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9.xml" ContentType="application/vnd.openxmlformats-officedocument.wordprocessingml.footer+xml"/>
  <Override PartName="/word/footer20.xml" ContentType="application/vnd.openxmlformats-officedocument.wordprocessingml.footer+xml"/>
  <Override PartName="/word/charts/chart6.xml" ContentType="application/vnd.openxmlformats-officedocument.drawingml.chart+xml"/>
  <Override PartName="/word/theme/themeOverride2.xml" ContentType="application/vnd.openxmlformats-officedocument.themeOverride+xml"/>
  <Override PartName="/word/footer21.xml" ContentType="application/vnd.openxmlformats-officedocument.wordprocessingml.footer+xml"/>
  <Override PartName="/word/footer22.xml" ContentType="application/vnd.openxmlformats-officedocument.wordprocessingml.footer+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4236C" w14:textId="77777777" w:rsidR="00987F0B" w:rsidRPr="00BD16B4" w:rsidRDefault="00987F0B" w:rsidP="00987F0B">
      <w:pPr>
        <w:pStyle w:val="BodyText"/>
      </w:pPr>
      <w:bookmarkStart w:id="0" w:name="_Toc215561202"/>
      <w:r w:rsidRPr="00BD16B4">
        <w:rPr>
          <w:noProof/>
        </w:rPr>
        <w:drawing>
          <wp:anchor distT="0" distB="0" distL="114300" distR="114300" simplePos="0" relativeHeight="251660288" behindDoc="0" locked="0" layoutInCell="1" allowOverlap="1" wp14:anchorId="7A3FB35F" wp14:editId="78D13A32">
            <wp:simplePos x="0" y="0"/>
            <wp:positionH relativeFrom="column">
              <wp:posOffset>-1076325</wp:posOffset>
            </wp:positionH>
            <wp:positionV relativeFrom="paragraph">
              <wp:posOffset>-3590925</wp:posOffset>
            </wp:positionV>
            <wp:extent cx="7609114" cy="10769525"/>
            <wp:effectExtent l="0" t="0" r="0" b="0"/>
            <wp:wrapNone/>
            <wp:docPr id="54" name="Picture 54" descr="A picture containing text, outdoor,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nature, mount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09114" cy="1076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FC266" w14:textId="77777777" w:rsidR="00987F0B" w:rsidRPr="00BD16B4" w:rsidRDefault="00987F0B" w:rsidP="00987F0B">
      <w:pPr>
        <w:pStyle w:val="BodyText"/>
      </w:pPr>
    </w:p>
    <w:p w14:paraId="0C118692" w14:textId="77777777" w:rsidR="00987F0B" w:rsidRPr="00BD16B4" w:rsidRDefault="00987F0B" w:rsidP="00987F0B">
      <w:pPr>
        <w:jc w:val="left"/>
        <w:rPr>
          <w:color w:val="FF0000"/>
        </w:rPr>
        <w:sectPr w:rsidR="00987F0B" w:rsidRPr="00BD16B4" w:rsidSect="00B86F2A">
          <w:headerReference w:type="even" r:id="rId12"/>
          <w:headerReference w:type="default" r:id="rId13"/>
          <w:footerReference w:type="even" r:id="rId14"/>
          <w:footerReference w:type="default" r:id="rId15"/>
          <w:headerReference w:type="first" r:id="rId16"/>
          <w:footerReference w:type="first" r:id="rId17"/>
          <w:pgSz w:w="11907" w:h="16840" w:code="9"/>
          <w:pgMar w:top="5670" w:right="1701" w:bottom="1701" w:left="1701" w:header="567" w:footer="1134" w:gutter="0"/>
          <w:cols w:space="720"/>
        </w:sectPr>
      </w:pPr>
    </w:p>
    <w:p w14:paraId="224AA2B1" w14:textId="77777777" w:rsidR="00A85A7A" w:rsidRPr="00BD16B4" w:rsidRDefault="00A85A7A" w:rsidP="00A85A7A">
      <w:pPr>
        <w:pStyle w:val="Imprint"/>
        <w:spacing w:before="0" w:after="0"/>
        <w:rPr>
          <w:b/>
          <w:bCs/>
        </w:rPr>
      </w:pPr>
      <w:r w:rsidRPr="00BD16B4">
        <w:rPr>
          <w:b/>
          <w:bCs/>
        </w:rPr>
        <w:lastRenderedPageBreak/>
        <w:t>Acknowledgements</w:t>
      </w:r>
    </w:p>
    <w:p w14:paraId="24502E01" w14:textId="400876A4" w:rsidR="00A85A7A" w:rsidRPr="00BD16B4" w:rsidRDefault="00A85A7A" w:rsidP="00A85A7A">
      <w:pPr>
        <w:pStyle w:val="Imprint"/>
      </w:pPr>
      <w:r w:rsidRPr="00BD16B4">
        <w:t>The Ministry for the Environment (MfE) thanks the following organisations for their contribution to the production of this document: Department of Conservation, Department of Internal Affairs, Energy Efficiency and Conservation Authority, Environmental Protection Authority – Te Mana Rauhī Taiao, Ministry of Business, Innovation and Employment, Ministry of Foreign Affairs and Trade, Ministry for Primary Industries, Ministry of Housing and Urban Development, Ministry of Social Development, Ministry of Transport, National Institute of Water and Atmospheric Research, The Treasury, Waka Kotahi NZ Transport Agency.</w:t>
      </w:r>
    </w:p>
    <w:p w14:paraId="33019DB4" w14:textId="77777777" w:rsidR="00A85A7A" w:rsidRPr="00BD16B4" w:rsidRDefault="00A85A7A" w:rsidP="00A85A7A">
      <w:pPr>
        <w:pStyle w:val="Imprint"/>
        <w:spacing w:after="100"/>
        <w:rPr>
          <w:b/>
          <w:bCs/>
        </w:rPr>
      </w:pPr>
      <w:r w:rsidRPr="00BD16B4">
        <w:rPr>
          <w:b/>
          <w:bCs/>
        </w:rPr>
        <w:t>Chapter leads</w:t>
      </w:r>
    </w:p>
    <w:p w14:paraId="600BC4DA" w14:textId="77777777" w:rsidR="00A85A7A" w:rsidRPr="00BD16B4" w:rsidRDefault="00A85A7A" w:rsidP="00A85A7A">
      <w:pPr>
        <w:pStyle w:val="Bullet"/>
      </w:pPr>
      <w:r w:rsidRPr="00BD16B4">
        <w:t>Lead compiler: Alice Ryan (MfE)</w:t>
      </w:r>
    </w:p>
    <w:p w14:paraId="3E8BBD75" w14:textId="77777777" w:rsidR="00A85A7A" w:rsidRPr="00BD16B4" w:rsidRDefault="00A85A7A" w:rsidP="00A85A7A">
      <w:pPr>
        <w:pStyle w:val="Bullet"/>
      </w:pPr>
      <w:r w:rsidRPr="00BD16B4">
        <w:t>Chapter 1 – Executive summary: Georgia Sharp (MfE)</w:t>
      </w:r>
    </w:p>
    <w:p w14:paraId="11EFF850" w14:textId="77777777" w:rsidR="00A85A7A" w:rsidRPr="00BD16B4" w:rsidRDefault="00A85A7A" w:rsidP="00A85A7A">
      <w:pPr>
        <w:pStyle w:val="Bullet"/>
      </w:pPr>
      <w:r w:rsidRPr="00BD16B4">
        <w:t>Chapter 2 – National circumstances: Frances Barnett (MfE)</w:t>
      </w:r>
    </w:p>
    <w:p w14:paraId="3E15E17D" w14:textId="77777777" w:rsidR="00A85A7A" w:rsidRPr="00BD16B4" w:rsidRDefault="00A85A7A" w:rsidP="00A85A7A">
      <w:pPr>
        <w:pStyle w:val="Bullet"/>
      </w:pPr>
      <w:r w:rsidRPr="00BD16B4">
        <w:t>Chapter 3 – Greenhouse gas inventory: Georgia Sharp (MfE)</w:t>
      </w:r>
    </w:p>
    <w:p w14:paraId="68785CBD" w14:textId="77777777" w:rsidR="00A85A7A" w:rsidRPr="00BD16B4" w:rsidRDefault="00A85A7A" w:rsidP="00A85A7A">
      <w:pPr>
        <w:pStyle w:val="Bullet"/>
      </w:pPr>
      <w:r w:rsidRPr="00BD16B4">
        <w:t>Chapter 4 – Policies and measures: Cassandra Moll, Alice Ryan (MfE)</w:t>
      </w:r>
    </w:p>
    <w:p w14:paraId="03378DEB" w14:textId="50444F6C" w:rsidR="00DD5EE3" w:rsidRPr="00BD16B4" w:rsidRDefault="00DD5EE3" w:rsidP="00DD5EE3">
      <w:pPr>
        <w:pStyle w:val="Bullet"/>
      </w:pPr>
      <w:r w:rsidRPr="00BD16B4">
        <w:t>Chapter 5 – Projections: Antony Gomez, Barnaby Pace, Alice Ryan, Frances Barnett (MfE)</w:t>
      </w:r>
    </w:p>
    <w:p w14:paraId="3C187139" w14:textId="30228B71" w:rsidR="00EE337D" w:rsidRPr="00BD16B4" w:rsidRDefault="00EE337D" w:rsidP="00EE337D">
      <w:pPr>
        <w:pStyle w:val="Sub-list"/>
      </w:pPr>
      <w:r w:rsidRPr="00BD16B4">
        <w:t>Energy and Transport: Michael Smith, Kam Szeto (Ministry of Business, Innovation and</w:t>
      </w:r>
      <w:r w:rsidR="008E7A1D" w:rsidRPr="00BD16B4">
        <w:t> </w:t>
      </w:r>
      <w:r w:rsidRPr="00BD16B4">
        <w:t>Employment)</w:t>
      </w:r>
    </w:p>
    <w:p w14:paraId="10BC7B11" w14:textId="5D69B5CC" w:rsidR="00EE337D" w:rsidRPr="00BD16B4" w:rsidRDefault="00EE337D" w:rsidP="00EE337D">
      <w:pPr>
        <w:pStyle w:val="Sub-list"/>
      </w:pPr>
      <w:r w:rsidRPr="00BD16B4">
        <w:t>Industrial processes and product use: Jamie Higgison (MfE), Wayne Hennessy (Verum</w:t>
      </w:r>
      <w:r w:rsidR="008E7A1D" w:rsidRPr="00BD16B4">
        <w:t> </w:t>
      </w:r>
      <w:r w:rsidRPr="00BD16B4">
        <w:t>Group – contractor)</w:t>
      </w:r>
    </w:p>
    <w:p w14:paraId="29C9E91C" w14:textId="52E4BE95" w:rsidR="00EE337D" w:rsidRPr="00BD16B4" w:rsidRDefault="00EE337D" w:rsidP="00EE337D">
      <w:pPr>
        <w:pStyle w:val="Sub-list"/>
      </w:pPr>
      <w:r w:rsidRPr="00BD16B4">
        <w:t>Agriculture: Joel Gibbs, Ben Morrow, Catherine Sangster (Ministry for Primary Industries)</w:t>
      </w:r>
    </w:p>
    <w:p w14:paraId="420097E9" w14:textId="5B621FA3" w:rsidR="00EE337D" w:rsidRPr="00BD16B4" w:rsidRDefault="00EE337D" w:rsidP="00EE337D">
      <w:pPr>
        <w:pStyle w:val="Sub-list"/>
      </w:pPr>
      <w:r w:rsidRPr="00BD16B4">
        <w:t>Land use, land-use change and forestry: Craig Elvidge (Ministry for Primary Industries)</w:t>
      </w:r>
    </w:p>
    <w:p w14:paraId="433D2A09" w14:textId="5646FC42" w:rsidR="00EE337D" w:rsidRPr="00BD16B4" w:rsidRDefault="00EE337D" w:rsidP="00EE337D">
      <w:pPr>
        <w:pStyle w:val="Sub-list"/>
      </w:pPr>
      <w:r w:rsidRPr="00BD16B4">
        <w:t>Waste: Chris Bean and Ivan Chirino-Valle (MfE)</w:t>
      </w:r>
    </w:p>
    <w:p w14:paraId="1D4849D2" w14:textId="61E45AF4" w:rsidR="00A85A7A" w:rsidRPr="00BD16B4" w:rsidRDefault="00A85A7A" w:rsidP="00A85A7A">
      <w:pPr>
        <w:pStyle w:val="Bullet"/>
      </w:pPr>
      <w:r w:rsidRPr="00BD16B4">
        <w:t xml:space="preserve">Chapter 6 – Vulnerability assessment, climate change impacts and adaptation measures: </w:t>
      </w:r>
      <w:r w:rsidR="00455AC3" w:rsidRPr="00BD16B4">
        <w:t xml:space="preserve">Hannah Chorley, Belinda McFadgen, </w:t>
      </w:r>
      <w:r w:rsidRPr="00BD16B4">
        <w:t>Frances Barnett, Clare Browne (MfE)</w:t>
      </w:r>
    </w:p>
    <w:p w14:paraId="7944B34F" w14:textId="5938439F" w:rsidR="00A85A7A" w:rsidRPr="00BD16B4" w:rsidRDefault="00A85A7A" w:rsidP="00A85A7A">
      <w:pPr>
        <w:pStyle w:val="Bullet"/>
      </w:pPr>
      <w:r w:rsidRPr="00BD16B4">
        <w:t>Chapter 7 – Financial, technological and capacity-building support: James Brennan, Alison</w:t>
      </w:r>
      <w:r w:rsidR="008E7A1D" w:rsidRPr="00BD16B4">
        <w:t> </w:t>
      </w:r>
      <w:r w:rsidRPr="00BD16B4">
        <w:t>Carlin (Ministry of Foreign Affairs and Trade)</w:t>
      </w:r>
    </w:p>
    <w:p w14:paraId="5B9FDC7A" w14:textId="77777777" w:rsidR="00A85A7A" w:rsidRPr="00BD16B4" w:rsidRDefault="00A85A7A" w:rsidP="00A85A7A">
      <w:pPr>
        <w:pStyle w:val="Bullet"/>
      </w:pPr>
      <w:r w:rsidRPr="00BD16B4">
        <w:t>Chapter 8 – Research and systematic observations: Alice Ryan (MfE)</w:t>
      </w:r>
    </w:p>
    <w:p w14:paraId="1EDA1B0D" w14:textId="77777777" w:rsidR="00A85A7A" w:rsidRPr="00BD16B4" w:rsidRDefault="00A85A7A" w:rsidP="00A85A7A">
      <w:pPr>
        <w:pStyle w:val="Bullet"/>
      </w:pPr>
      <w:r w:rsidRPr="00BD16B4">
        <w:t>Chapter 9 – Education, training and public awareness: Charissa Billings (MfE)</w:t>
      </w:r>
    </w:p>
    <w:p w14:paraId="304C7653" w14:textId="77777777" w:rsidR="00A85A7A" w:rsidRPr="00BD16B4" w:rsidRDefault="00A85A7A" w:rsidP="00A85A7A">
      <w:pPr>
        <w:pStyle w:val="Bullet"/>
      </w:pPr>
      <w:r w:rsidRPr="00BD16B4">
        <w:t>Supplementary information under Article 7.2 of the Kyoto Protocol: Andrea Brandon (MfE), Johanna Milius (Environmental Protection Authority – Te Mana Rauhī Taiao)</w:t>
      </w:r>
    </w:p>
    <w:p w14:paraId="00641543" w14:textId="7CF377AD" w:rsidR="00A85A7A" w:rsidRPr="00BD16B4" w:rsidRDefault="00A85A7A" w:rsidP="00A85A7A">
      <w:pPr>
        <w:pStyle w:val="Bullet"/>
      </w:pPr>
      <w:r w:rsidRPr="00BD16B4">
        <w:t>New Zealand’s report on the Global Climate Observing System: Jochen Schmidt (National</w:t>
      </w:r>
      <w:r w:rsidR="008E7A1D" w:rsidRPr="00BD16B4">
        <w:t> </w:t>
      </w:r>
      <w:r w:rsidRPr="00BD16B4">
        <w:t>Institute of Water and Atmospheric Research)</w:t>
      </w:r>
    </w:p>
    <w:p w14:paraId="1A906D48" w14:textId="77777777" w:rsidR="00A85A7A" w:rsidRPr="00BD16B4" w:rsidRDefault="00A85A7A" w:rsidP="00A85A7A">
      <w:pPr>
        <w:pStyle w:val="Imprint"/>
        <w:spacing w:after="100"/>
        <w:rPr>
          <w:b/>
          <w:bCs/>
        </w:rPr>
      </w:pPr>
      <w:r w:rsidRPr="00BD16B4">
        <w:rPr>
          <w:b/>
          <w:bCs/>
        </w:rPr>
        <w:t>Other advisors and principal reviewers</w:t>
      </w:r>
    </w:p>
    <w:p w14:paraId="31BD10A4" w14:textId="77777777" w:rsidR="00A85A7A" w:rsidRPr="00BD16B4" w:rsidRDefault="00A85A7A" w:rsidP="00A85A7A">
      <w:pPr>
        <w:pStyle w:val="Bullet"/>
      </w:pPr>
      <w:r w:rsidRPr="00BD16B4">
        <w:t>Principal reviewers: Andrea Brandon, Helen Plume (MfE)</w:t>
      </w:r>
    </w:p>
    <w:p w14:paraId="3D342F3D" w14:textId="77777777" w:rsidR="00A85A7A" w:rsidRPr="00BD16B4" w:rsidRDefault="00A85A7A" w:rsidP="00A85A7A">
      <w:pPr>
        <w:pStyle w:val="Bullet"/>
      </w:pPr>
      <w:r w:rsidRPr="00BD16B4">
        <w:t>Supplementary products: Clare Browne, Georgia Sharp (MfE)</w:t>
      </w:r>
    </w:p>
    <w:p w14:paraId="1605040A" w14:textId="77777777" w:rsidR="00A85A7A" w:rsidRPr="00BD16B4" w:rsidRDefault="00A85A7A" w:rsidP="00A85A7A">
      <w:pPr>
        <w:pStyle w:val="Bullet"/>
      </w:pPr>
      <w:r w:rsidRPr="00BD16B4">
        <w:t>Communications and publishing: Joanne Butcher, Daisy Smith (MfE)</w:t>
      </w:r>
    </w:p>
    <w:p w14:paraId="5978B50B" w14:textId="77777777" w:rsidR="00A85A7A" w:rsidRPr="00BD16B4" w:rsidRDefault="00A85A7A" w:rsidP="00A85A7A">
      <w:pPr>
        <w:pStyle w:val="Bullet"/>
      </w:pPr>
      <w:r w:rsidRPr="00BD16B4">
        <w:t>Project management: Marion Sorez (MfE)</w:t>
      </w:r>
    </w:p>
    <w:p w14:paraId="06C656CB" w14:textId="77777777" w:rsidR="00A85A7A" w:rsidRPr="00BD16B4" w:rsidRDefault="00A85A7A" w:rsidP="00A85A7A">
      <w:pPr>
        <w:pStyle w:val="Bullet"/>
      </w:pPr>
      <w:r w:rsidRPr="00BD16B4">
        <w:t>Quality control: Daniel Boczniewicz (MfE)</w:t>
      </w:r>
    </w:p>
    <w:p w14:paraId="01FC5D87" w14:textId="77777777" w:rsidR="00A85A7A" w:rsidRPr="00BD16B4" w:rsidRDefault="00A85A7A" w:rsidP="00A85A7A">
      <w:pPr>
        <w:spacing w:after="0"/>
        <w:rPr>
          <w:b/>
          <w:bCs/>
        </w:rPr>
      </w:pPr>
      <w:r w:rsidRPr="00BD16B4">
        <w:rPr>
          <w:b/>
          <w:bCs/>
        </w:rPr>
        <w:lastRenderedPageBreak/>
        <w:t>Other contributors</w:t>
      </w:r>
    </w:p>
    <w:p w14:paraId="499CA4DC" w14:textId="77777777" w:rsidR="00A85A7A" w:rsidRPr="00BD16B4" w:rsidRDefault="00A85A7A" w:rsidP="00A85A7A">
      <w:pPr>
        <w:spacing w:before="80" w:after="100"/>
        <w:rPr>
          <w:i/>
          <w:iCs/>
        </w:rPr>
      </w:pPr>
      <w:r w:rsidRPr="00BD16B4">
        <w:rPr>
          <w:i/>
          <w:iCs/>
        </w:rPr>
        <w:t>Ministry for the Environment</w:t>
      </w:r>
    </w:p>
    <w:p w14:paraId="196D7B32" w14:textId="44EF0408" w:rsidR="00A85A7A" w:rsidRPr="00BD16B4" w:rsidRDefault="00A85A7A" w:rsidP="00A85A7A">
      <w:pPr>
        <w:pStyle w:val="Bullet"/>
      </w:pPr>
      <w:r w:rsidRPr="00BD16B4">
        <w:t>Ivan Chirino-Valle, Mitchell Clark, Scott Gulliver, Alexandra Hunter, Jemima Jamieson, Jasmin Kaur, Danielle Kennedy, Carmel Rowlands, Augustus Shade, Charlotte Wood</w:t>
      </w:r>
    </w:p>
    <w:p w14:paraId="181BED88" w14:textId="77777777" w:rsidR="00A85A7A" w:rsidRPr="00BD16B4" w:rsidRDefault="00A85A7A" w:rsidP="00A85A7A">
      <w:pPr>
        <w:pStyle w:val="Imprint"/>
        <w:keepNext/>
        <w:rPr>
          <w:i/>
          <w:iCs/>
        </w:rPr>
      </w:pPr>
      <w:r w:rsidRPr="00BD16B4">
        <w:rPr>
          <w:i/>
          <w:iCs/>
        </w:rPr>
        <w:t>Ministry for Primary Industries</w:t>
      </w:r>
    </w:p>
    <w:p w14:paraId="02742F03" w14:textId="02C4F4F8" w:rsidR="00A85A7A" w:rsidRPr="00BD16B4" w:rsidRDefault="00A85A7A" w:rsidP="00A85A7A">
      <w:pPr>
        <w:pStyle w:val="Bullet"/>
      </w:pPr>
      <w:r w:rsidRPr="00BD16B4">
        <w:t>Erin Collier, Steven Cox, Laura Gardner, Claire McClintock, Steve Penno, Gerald</w:t>
      </w:r>
      <w:r w:rsidR="008C7C32" w:rsidRPr="00BD16B4">
        <w:t> </w:t>
      </w:r>
      <w:r w:rsidRPr="00BD16B4">
        <w:t>Rys, Parnell Trost</w:t>
      </w:r>
    </w:p>
    <w:p w14:paraId="3E3C26D5" w14:textId="7ACB9676" w:rsidR="00A85A7A" w:rsidRPr="00BD16B4" w:rsidRDefault="00A85A7A" w:rsidP="00A85A7A">
      <w:pPr>
        <w:pStyle w:val="Imprint"/>
        <w:spacing w:after="100"/>
        <w:rPr>
          <w:i/>
          <w:iCs/>
        </w:rPr>
      </w:pPr>
      <w:r w:rsidRPr="00BD16B4">
        <w:rPr>
          <w:i/>
          <w:iCs/>
        </w:rPr>
        <w:t>Ministry of Transport</w:t>
      </w:r>
    </w:p>
    <w:p w14:paraId="24AAA1AF" w14:textId="77777777" w:rsidR="00A85A7A" w:rsidRPr="00BD16B4" w:rsidRDefault="00A85A7A" w:rsidP="00A85A7A">
      <w:pPr>
        <w:pStyle w:val="Bullet"/>
      </w:pPr>
      <w:r w:rsidRPr="00BD16B4">
        <w:t>Joanna Pohatu, Mieke Welvaert, Gayelene Wright</w:t>
      </w:r>
    </w:p>
    <w:p w14:paraId="41097B0F" w14:textId="77777777" w:rsidR="00A85A7A" w:rsidRPr="00BD16B4" w:rsidRDefault="00A85A7A" w:rsidP="00A85A7A">
      <w:pPr>
        <w:pStyle w:val="Imprint"/>
        <w:spacing w:after="100"/>
        <w:rPr>
          <w:i/>
          <w:iCs/>
        </w:rPr>
      </w:pPr>
      <w:r w:rsidRPr="00BD16B4">
        <w:rPr>
          <w:i/>
          <w:iCs/>
        </w:rPr>
        <w:t>Energy Efficiency and Conservation Authority</w:t>
      </w:r>
    </w:p>
    <w:p w14:paraId="23C2C90A" w14:textId="77777777" w:rsidR="00A85A7A" w:rsidRPr="00BD16B4" w:rsidRDefault="00A85A7A" w:rsidP="00A85A7A">
      <w:pPr>
        <w:pStyle w:val="Bullet"/>
      </w:pPr>
      <w:r w:rsidRPr="00BD16B4">
        <w:t>Melanie Joan Lloyd, Maggie Tapa</w:t>
      </w:r>
    </w:p>
    <w:p w14:paraId="02A74F44" w14:textId="77777777" w:rsidR="00A85A7A" w:rsidRPr="00BD16B4" w:rsidRDefault="00A85A7A" w:rsidP="00A85A7A">
      <w:pPr>
        <w:pStyle w:val="Imprint"/>
        <w:spacing w:after="100"/>
        <w:rPr>
          <w:i/>
          <w:iCs/>
        </w:rPr>
      </w:pPr>
      <w:r w:rsidRPr="00BD16B4">
        <w:rPr>
          <w:i/>
          <w:iCs/>
        </w:rPr>
        <w:t>Ministry of Business, Innovation and Employment</w:t>
      </w:r>
    </w:p>
    <w:p w14:paraId="679893E1" w14:textId="578E1559" w:rsidR="00A85A7A" w:rsidRPr="00BD16B4" w:rsidRDefault="00A85A7A" w:rsidP="00A85A7A">
      <w:pPr>
        <w:pStyle w:val="Bullet"/>
      </w:pPr>
      <w:r w:rsidRPr="00BD16B4">
        <w:t xml:space="preserve">Coreen </w:t>
      </w:r>
      <w:r w:rsidR="00140496" w:rsidRPr="00BD16B4">
        <w:t>Adamson</w:t>
      </w:r>
      <w:r w:rsidRPr="00BD16B4">
        <w:t>, Jane Baxter, Ollie Cox, Sada Charlie, Neil Dalphin, Maj-Britt Engelhardt, Terry Genet, Nick Gillard, Rachael Hanna, Janet Humphris, Jamie Kerr, Richard Lee, Patrick Lindsay, Linda Moore, Jeremy Smith, Ruth Wiltshire</w:t>
      </w:r>
    </w:p>
    <w:p w14:paraId="636E1713" w14:textId="77777777" w:rsidR="00A85A7A" w:rsidRPr="00BD16B4" w:rsidRDefault="00A85A7A" w:rsidP="00A85A7A">
      <w:pPr>
        <w:pStyle w:val="Imprint"/>
        <w:spacing w:after="100"/>
        <w:rPr>
          <w:i/>
          <w:iCs/>
        </w:rPr>
      </w:pPr>
      <w:r w:rsidRPr="00BD16B4">
        <w:rPr>
          <w:i/>
          <w:iCs/>
        </w:rPr>
        <w:t xml:space="preserve">The Treasury </w:t>
      </w:r>
    </w:p>
    <w:p w14:paraId="117819CF" w14:textId="77777777" w:rsidR="00A85A7A" w:rsidRPr="00BD16B4" w:rsidRDefault="00A85A7A" w:rsidP="00A85A7A">
      <w:pPr>
        <w:pStyle w:val="Bullet"/>
      </w:pPr>
      <w:r w:rsidRPr="00BD16B4">
        <w:t>Carly Soo, Fiona Stokes</w:t>
      </w:r>
    </w:p>
    <w:p w14:paraId="46DA60F5" w14:textId="77777777" w:rsidR="00A85A7A" w:rsidRPr="00BD16B4" w:rsidRDefault="00A85A7A" w:rsidP="00A85A7A">
      <w:pPr>
        <w:pStyle w:val="Imprint"/>
        <w:spacing w:after="100"/>
        <w:rPr>
          <w:b/>
          <w:bCs/>
        </w:rPr>
      </w:pPr>
      <w:r w:rsidRPr="00BD16B4">
        <w:rPr>
          <w:b/>
          <w:bCs/>
        </w:rPr>
        <w:t>Editors</w:t>
      </w:r>
    </w:p>
    <w:p w14:paraId="42C66B3A" w14:textId="77777777" w:rsidR="00A85A7A" w:rsidRPr="00BD16B4" w:rsidRDefault="00A85A7A" w:rsidP="00A85A7A">
      <w:pPr>
        <w:pStyle w:val="Bullet"/>
      </w:pPr>
      <w:r w:rsidRPr="00BD16B4">
        <w:t>Jenny Heine, Tanya Tremewan</w:t>
      </w:r>
    </w:p>
    <w:p w14:paraId="510C583A" w14:textId="77777777" w:rsidR="00A85A7A" w:rsidRPr="00BD16B4" w:rsidRDefault="00A85A7A" w:rsidP="00A85A7A">
      <w:pPr>
        <w:pStyle w:val="Imprint"/>
      </w:pPr>
    </w:p>
    <w:p w14:paraId="61A17FD6" w14:textId="77777777" w:rsidR="00A85A7A" w:rsidRPr="00BD16B4" w:rsidRDefault="00A85A7A" w:rsidP="00A85A7A">
      <w:pPr>
        <w:pStyle w:val="Imprint"/>
      </w:pPr>
    </w:p>
    <w:p w14:paraId="67028B8C" w14:textId="77777777" w:rsidR="00A85A7A" w:rsidRPr="00BD16B4" w:rsidRDefault="00A85A7A" w:rsidP="00A85A7A">
      <w:pPr>
        <w:jc w:val="left"/>
      </w:pPr>
      <w:r w:rsidRPr="00BD16B4">
        <w:t>This document may be cited as: Ministry for the Environment. 2022.</w:t>
      </w:r>
      <w:r w:rsidRPr="00BD16B4">
        <w:rPr>
          <w:i/>
          <w:iCs/>
        </w:rPr>
        <w:t xml:space="preserve"> Te Whakawhitiwhiti Kōrero Tuawaru ā-Motu o Aotearoa:</w:t>
      </w:r>
      <w:r w:rsidRPr="00BD16B4">
        <w:t xml:space="preserve"> </w:t>
      </w:r>
      <w:r w:rsidRPr="00BD16B4">
        <w:rPr>
          <w:i/>
        </w:rPr>
        <w:t>New Zealand’s Eighth National Communication under the United Nations Framework Convention on Climate Change and the Kyoto Protocol</w:t>
      </w:r>
      <w:r w:rsidRPr="00BD16B4">
        <w:t>. Wellington: Ministry for the Environment.</w:t>
      </w:r>
    </w:p>
    <w:p w14:paraId="67B05AAA" w14:textId="77777777" w:rsidR="00A85A7A" w:rsidRPr="00BD16B4" w:rsidRDefault="00A85A7A" w:rsidP="00A85A7A">
      <w:pPr>
        <w:pStyle w:val="Imprint"/>
      </w:pPr>
    </w:p>
    <w:p w14:paraId="62C8080C" w14:textId="77777777" w:rsidR="008B6850" w:rsidRPr="00BD16B4" w:rsidRDefault="008B6850" w:rsidP="008B6850">
      <w:pPr>
        <w:pStyle w:val="Imprint"/>
        <w:spacing w:after="0"/>
      </w:pPr>
    </w:p>
    <w:p w14:paraId="73931FAB" w14:textId="77777777" w:rsidR="00A85A7A" w:rsidRPr="00BD16B4" w:rsidRDefault="00A85A7A" w:rsidP="008B6850">
      <w:pPr>
        <w:pStyle w:val="Imprint"/>
        <w:spacing w:before="0"/>
      </w:pPr>
      <w:r w:rsidRPr="00BD16B4">
        <w:t>Published in December 2022 by the</w:t>
      </w:r>
      <w:r w:rsidRPr="00BD16B4">
        <w:br/>
        <w:t xml:space="preserve">Ministry for the Environment </w:t>
      </w:r>
      <w:r w:rsidRPr="00BD16B4">
        <w:br/>
        <w:t>Manatū Mō Te Taiao</w:t>
      </w:r>
      <w:r w:rsidRPr="00BD16B4">
        <w:br/>
        <w:t>PO Box 10362, Wellington 6143, New Zealand</w:t>
      </w:r>
    </w:p>
    <w:p w14:paraId="6E32E33F" w14:textId="5DD5EF3B" w:rsidR="00A85A7A" w:rsidRPr="00BD16B4" w:rsidRDefault="00A85A7A" w:rsidP="00A85A7A">
      <w:pPr>
        <w:tabs>
          <w:tab w:val="left" w:pos="720"/>
        </w:tabs>
        <w:ind w:left="720" w:hanging="720"/>
        <w:jc w:val="left"/>
      </w:pPr>
      <w:r w:rsidRPr="00BD16B4">
        <w:t xml:space="preserve">ISBN: </w:t>
      </w:r>
      <w:r w:rsidRPr="00BD16B4">
        <w:tab/>
      </w:r>
      <w:r w:rsidR="00377111" w:rsidRPr="00BD16B4">
        <w:t>978-1-991077-21-9</w:t>
      </w:r>
    </w:p>
    <w:p w14:paraId="3144D91B" w14:textId="054D1119" w:rsidR="00A85A7A" w:rsidRPr="00BD16B4" w:rsidRDefault="00A85A7A" w:rsidP="00A85A7A">
      <w:pPr>
        <w:ind w:left="720" w:hanging="720"/>
      </w:pPr>
      <w:r w:rsidRPr="00BD16B4">
        <w:t xml:space="preserve">Publication number: ME </w:t>
      </w:r>
      <w:r w:rsidR="00377111" w:rsidRPr="00BD16B4">
        <w:t>1730</w:t>
      </w:r>
    </w:p>
    <w:p w14:paraId="36AD20C0" w14:textId="77777777" w:rsidR="00987F0B" w:rsidRPr="00BD16B4" w:rsidRDefault="00987F0B" w:rsidP="00987F0B">
      <w:pPr>
        <w:pStyle w:val="Imprint"/>
        <w:spacing w:after="80"/>
      </w:pPr>
      <w:r w:rsidRPr="00BD16B4">
        <w:t>© Crown copyright New Zealand 2022</w:t>
      </w:r>
    </w:p>
    <w:p w14:paraId="2ACE3015" w14:textId="77777777" w:rsidR="00987F0B" w:rsidRPr="00BD16B4" w:rsidRDefault="00987F0B" w:rsidP="00987F0B">
      <w:pPr>
        <w:pStyle w:val="Imprint"/>
        <w:spacing w:before="240" w:after="0"/>
      </w:pPr>
      <w:r w:rsidRPr="00BD16B4">
        <w:t xml:space="preserve">This document is available on the Ministry for the Environment website: </w:t>
      </w:r>
      <w:hyperlink r:id="rId18" w:history="1">
        <w:r w:rsidRPr="00BD16B4">
          <w:rPr>
            <w:rStyle w:val="Hyperlink"/>
          </w:rPr>
          <w:t>environment.govt.nz</w:t>
        </w:r>
      </w:hyperlink>
      <w:r w:rsidRPr="00BD16B4">
        <w:rPr>
          <w:rStyle w:val="Hyperlink"/>
          <w:color w:val="auto"/>
        </w:rPr>
        <w:t>.</w:t>
      </w:r>
    </w:p>
    <w:p w14:paraId="4317504C" w14:textId="77777777" w:rsidR="00987F0B" w:rsidRPr="00BD16B4" w:rsidRDefault="00987F0B" w:rsidP="00987F0B">
      <w:pPr>
        <w:sectPr w:rsidR="00987F0B" w:rsidRPr="00BD16B4" w:rsidSect="00933ECF">
          <w:headerReference w:type="even" r:id="rId19"/>
          <w:headerReference w:type="default" r:id="rId20"/>
          <w:footerReference w:type="even" r:id="rId21"/>
          <w:footerReference w:type="default" r:id="rId22"/>
          <w:pgSz w:w="11907" w:h="16840" w:code="9"/>
          <w:pgMar w:top="1134" w:right="1701" w:bottom="1134" w:left="1701" w:header="567" w:footer="567" w:gutter="0"/>
          <w:cols w:space="720"/>
        </w:sectPr>
      </w:pPr>
    </w:p>
    <w:p w14:paraId="617AAB25" w14:textId="77777777" w:rsidR="001854CC" w:rsidRPr="00BD16B4" w:rsidRDefault="001854CC" w:rsidP="002E4EBB">
      <w:pPr>
        <w:pStyle w:val="Heading1"/>
      </w:pPr>
      <w:bookmarkStart w:id="1" w:name="_Toc121774611"/>
      <w:r w:rsidRPr="00BD16B4">
        <w:lastRenderedPageBreak/>
        <w:t>Karakia</w:t>
      </w:r>
      <w:bookmarkEnd w:id="1"/>
    </w:p>
    <w:p w14:paraId="3A049AD6" w14:textId="77777777" w:rsidR="001854CC" w:rsidRPr="00BD16B4" w:rsidRDefault="001854CC" w:rsidP="002E4EBB">
      <w:pPr>
        <w:pStyle w:val="BodyText"/>
        <w:spacing w:after="0"/>
      </w:pPr>
      <w:r w:rsidRPr="00BD16B4">
        <w:t>Whakataka te hau ki te uru,</w:t>
      </w:r>
    </w:p>
    <w:p w14:paraId="5DB4C8E6" w14:textId="77777777" w:rsidR="001854CC" w:rsidRPr="00BD16B4" w:rsidRDefault="001854CC" w:rsidP="002E4EBB">
      <w:pPr>
        <w:pStyle w:val="BodyText"/>
        <w:spacing w:after="0"/>
      </w:pPr>
      <w:r w:rsidRPr="00BD16B4">
        <w:t>Whakataka te hau ki te tonga.</w:t>
      </w:r>
    </w:p>
    <w:p w14:paraId="7B8C127E" w14:textId="77777777" w:rsidR="001854CC" w:rsidRPr="00BD16B4" w:rsidRDefault="001854CC" w:rsidP="002E4EBB">
      <w:pPr>
        <w:pStyle w:val="BodyText"/>
        <w:spacing w:after="0"/>
      </w:pPr>
      <w:r w:rsidRPr="00BD16B4">
        <w:t>Kia mākinakina ki uta,</w:t>
      </w:r>
    </w:p>
    <w:p w14:paraId="47AE5E0A" w14:textId="77777777" w:rsidR="001854CC" w:rsidRPr="00BD16B4" w:rsidRDefault="001854CC" w:rsidP="002E4EBB">
      <w:pPr>
        <w:pStyle w:val="BodyText"/>
        <w:spacing w:after="0"/>
      </w:pPr>
      <w:r w:rsidRPr="00BD16B4">
        <w:t>Kia mātaratara ki tai.</w:t>
      </w:r>
    </w:p>
    <w:p w14:paraId="6F6955B8" w14:textId="77777777" w:rsidR="001A6583" w:rsidRPr="00BD16B4" w:rsidRDefault="001854CC" w:rsidP="002E4EBB">
      <w:pPr>
        <w:pStyle w:val="BodyText"/>
        <w:spacing w:after="0"/>
      </w:pPr>
      <w:r w:rsidRPr="00BD16B4">
        <w:t xml:space="preserve">E hī ake ana te atākura he tio, </w:t>
      </w:r>
    </w:p>
    <w:p w14:paraId="075A7FA0" w14:textId="2A5DE6BB" w:rsidR="001854CC" w:rsidRPr="00BD16B4" w:rsidRDefault="001854CC" w:rsidP="002E4EBB">
      <w:pPr>
        <w:pStyle w:val="BodyText"/>
        <w:spacing w:after="0"/>
      </w:pPr>
      <w:r w:rsidRPr="00BD16B4">
        <w:t>he huka, he hauhunga.</w:t>
      </w:r>
    </w:p>
    <w:p w14:paraId="35DED65F" w14:textId="77777777" w:rsidR="001854CC" w:rsidRPr="00BD16B4" w:rsidRDefault="001854CC" w:rsidP="006E73DA">
      <w:pPr>
        <w:pStyle w:val="BodyText"/>
      </w:pPr>
      <w:r w:rsidRPr="00BD16B4">
        <w:t>Haumi e! Hui e! Tāiki e!</w:t>
      </w:r>
    </w:p>
    <w:p w14:paraId="40D2CBA9" w14:textId="77777777" w:rsidR="001854CC" w:rsidRPr="00BD16B4" w:rsidRDefault="001854CC" w:rsidP="002E4EBB">
      <w:pPr>
        <w:pStyle w:val="BodyText"/>
        <w:spacing w:after="0"/>
      </w:pPr>
      <w:r w:rsidRPr="00BD16B4">
        <w:t>Get ready for the westerly</w:t>
      </w:r>
    </w:p>
    <w:p w14:paraId="71DBE15E" w14:textId="77777777" w:rsidR="001854CC" w:rsidRPr="00BD16B4" w:rsidRDefault="001854CC" w:rsidP="002E4EBB">
      <w:pPr>
        <w:pStyle w:val="BodyText"/>
        <w:spacing w:after="0"/>
      </w:pPr>
      <w:r w:rsidRPr="00BD16B4">
        <w:t>and be prepared for the southerly.</w:t>
      </w:r>
    </w:p>
    <w:p w14:paraId="1B61BE39" w14:textId="77777777" w:rsidR="001854CC" w:rsidRPr="00BD16B4" w:rsidRDefault="001854CC" w:rsidP="002E4EBB">
      <w:pPr>
        <w:pStyle w:val="BodyText"/>
        <w:spacing w:after="0"/>
      </w:pPr>
      <w:r w:rsidRPr="00BD16B4">
        <w:t>It will be icy cold inland,</w:t>
      </w:r>
    </w:p>
    <w:p w14:paraId="0FCB59EA" w14:textId="77777777" w:rsidR="001854CC" w:rsidRPr="00BD16B4" w:rsidRDefault="001854CC" w:rsidP="002E4EBB">
      <w:pPr>
        <w:pStyle w:val="BodyText"/>
        <w:spacing w:after="0"/>
      </w:pPr>
      <w:r w:rsidRPr="00BD16B4">
        <w:t>and icy cold on the shore.</w:t>
      </w:r>
    </w:p>
    <w:p w14:paraId="07452B3F" w14:textId="77777777" w:rsidR="001854CC" w:rsidRPr="00BD16B4" w:rsidRDefault="001854CC" w:rsidP="002E4EBB">
      <w:pPr>
        <w:pStyle w:val="BodyText"/>
        <w:spacing w:after="0"/>
      </w:pPr>
      <w:r w:rsidRPr="00BD16B4">
        <w:t>May the dawn rise red-tipped on ice,</w:t>
      </w:r>
    </w:p>
    <w:p w14:paraId="0398BD13" w14:textId="77777777" w:rsidR="001854CC" w:rsidRPr="00BD16B4" w:rsidRDefault="001854CC" w:rsidP="002E4EBB">
      <w:pPr>
        <w:pStyle w:val="BodyText"/>
        <w:spacing w:after="0"/>
      </w:pPr>
      <w:r w:rsidRPr="00BD16B4">
        <w:t>on snow, on frost.</w:t>
      </w:r>
    </w:p>
    <w:p w14:paraId="159A2353" w14:textId="77777777" w:rsidR="001854CC" w:rsidRPr="00BD16B4" w:rsidRDefault="001854CC" w:rsidP="002E4EBB">
      <w:pPr>
        <w:pStyle w:val="BodyText"/>
      </w:pPr>
      <w:r w:rsidRPr="00BD16B4">
        <w:t>Join! Gather! Intertwine!</w:t>
      </w:r>
    </w:p>
    <w:p w14:paraId="5549DB14" w14:textId="77777777" w:rsidR="001854CC" w:rsidRPr="00BD16B4" w:rsidRDefault="001854CC" w:rsidP="002E4EBB">
      <w:pPr>
        <w:pStyle w:val="BodyText"/>
      </w:pPr>
      <w:r w:rsidRPr="00BD16B4">
        <w:t>This karakia (prayer) speaks to the great natural forces, which bind us together. It portrays a Māori worldview to help frame our thinking, and our approach to huringa āhuarangi (climate change) in Aotearoa New Zealand. It speaks to the winds from the west (hau ki t e uru) and from the south (hau ki te tonga). It acknowledges the growing challenges before us and the preparation needed to respond to them. It expresses the strengthening of our resilience and acknowledges that with unity we can overcome challenges and respond to ongoing changes in our environment.</w:t>
      </w:r>
    </w:p>
    <w:p w14:paraId="0D666363" w14:textId="77777777" w:rsidR="001854CC" w:rsidRPr="00BD16B4" w:rsidRDefault="001854CC" w:rsidP="002E4EBB">
      <w:pPr>
        <w:pStyle w:val="BodyText"/>
      </w:pPr>
      <w:r w:rsidRPr="00BD16B4">
        <w:t>In the context of te huringa āhuarangi, this narrative emphasises our ties to and reliance on the natural world, and the connection of each generation to those before and after. This includes the connectedness of ecosystems and society, and of actions and consequences across domains.</w:t>
      </w:r>
    </w:p>
    <w:p w14:paraId="63B2E364" w14:textId="77777777" w:rsidR="00C87EFC" w:rsidRPr="00BD16B4" w:rsidRDefault="00C87EFC" w:rsidP="002E4EBB">
      <w:pPr>
        <w:pStyle w:val="BodyText"/>
      </w:pPr>
    </w:p>
    <w:p w14:paraId="6E6B4FFD" w14:textId="719995AC" w:rsidR="00C87EFC" w:rsidRPr="00BD16B4" w:rsidRDefault="00C87EFC" w:rsidP="00C87EFC">
      <w:pPr>
        <w:pStyle w:val="BodyText"/>
      </w:pPr>
    </w:p>
    <w:p w14:paraId="2C0FDCF9" w14:textId="77777777" w:rsidR="0069670D" w:rsidRPr="00BD16B4" w:rsidRDefault="0069670D" w:rsidP="00987F0B">
      <w:pPr>
        <w:pStyle w:val="Heading"/>
        <w:sectPr w:rsidR="0069670D" w:rsidRPr="00BD16B4" w:rsidSect="008A7498">
          <w:footerReference w:type="even" r:id="rId23"/>
          <w:footerReference w:type="default" r:id="rId24"/>
          <w:pgSz w:w="11907" w:h="16840" w:code="9"/>
          <w:pgMar w:top="1134" w:right="1701" w:bottom="1134" w:left="1701" w:header="567" w:footer="567" w:gutter="0"/>
          <w:cols w:space="720"/>
          <w:docGrid w:linePitch="299"/>
        </w:sectPr>
      </w:pPr>
    </w:p>
    <w:p w14:paraId="70705610" w14:textId="329738D0" w:rsidR="00987F0B" w:rsidRPr="00BD16B4" w:rsidRDefault="00987F0B" w:rsidP="00486FDE">
      <w:pPr>
        <w:pStyle w:val="Heading"/>
        <w:spacing w:after="240"/>
      </w:pPr>
      <w:r w:rsidRPr="00BD16B4">
        <w:lastRenderedPageBreak/>
        <w:t>Contents</w:t>
      </w:r>
    </w:p>
    <w:p w14:paraId="22FF24B5" w14:textId="295674D4" w:rsidR="00AD7449" w:rsidRPr="00BD16B4" w:rsidRDefault="00987F0B">
      <w:pPr>
        <w:pStyle w:val="TOC1"/>
        <w:rPr>
          <w:rFonts w:asciiTheme="minorHAnsi" w:hAnsiTheme="minorHAnsi"/>
          <w:noProof w:val="0"/>
        </w:rPr>
      </w:pPr>
      <w:r w:rsidRPr="00BD16B4">
        <w:rPr>
          <w:noProof w:val="0"/>
          <w:color w:val="0092CF"/>
        </w:rPr>
        <w:fldChar w:fldCharType="begin"/>
      </w:r>
      <w:r w:rsidRPr="00BD16B4">
        <w:rPr>
          <w:noProof w:val="0"/>
          <w:color w:val="0092CF"/>
        </w:rPr>
        <w:instrText xml:space="preserve"> TOC \h \z \t "Heading 1,1,Heading 2,2" </w:instrText>
      </w:r>
      <w:r w:rsidRPr="00BD16B4">
        <w:rPr>
          <w:noProof w:val="0"/>
          <w:color w:val="0092CF"/>
        </w:rPr>
        <w:fldChar w:fldCharType="separate"/>
      </w:r>
      <w:hyperlink w:anchor="_Toc121774611" w:history="1">
        <w:r w:rsidR="00AD7449" w:rsidRPr="00BD16B4">
          <w:rPr>
            <w:rStyle w:val="Hyperlink"/>
            <w:noProof w:val="0"/>
          </w:rPr>
          <w:t>Karakia</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_Toc121774611 \h </w:instrText>
        </w:r>
        <w:r w:rsidR="00AD7449" w:rsidRPr="00BD16B4">
          <w:rPr>
            <w:noProof w:val="0"/>
            <w:webHidden/>
          </w:rPr>
        </w:r>
        <w:r w:rsidR="00AD7449" w:rsidRPr="00BD16B4">
          <w:rPr>
            <w:noProof w:val="0"/>
            <w:webHidden/>
          </w:rPr>
          <w:fldChar w:fldCharType="separate"/>
        </w:r>
        <w:r w:rsidR="00A60C35">
          <w:rPr>
            <w:webHidden/>
          </w:rPr>
          <w:t>4</w:t>
        </w:r>
        <w:r w:rsidR="00AD7449" w:rsidRPr="00BD16B4">
          <w:rPr>
            <w:noProof w:val="0"/>
            <w:webHidden/>
          </w:rPr>
          <w:fldChar w:fldCharType="end"/>
        </w:r>
      </w:hyperlink>
    </w:p>
    <w:p w14:paraId="312FEBF4" w14:textId="5AB1FB6D" w:rsidR="00AD7449" w:rsidRPr="00BD16B4" w:rsidRDefault="00FC49D2">
      <w:pPr>
        <w:pStyle w:val="TOC1"/>
        <w:rPr>
          <w:rFonts w:asciiTheme="minorHAnsi" w:hAnsiTheme="minorHAnsi"/>
          <w:noProof w:val="0"/>
        </w:rPr>
      </w:pPr>
      <w:hyperlink w:anchor="_Toc121774612" w:history="1">
        <w:r w:rsidR="00AD7449" w:rsidRPr="00BD16B4">
          <w:rPr>
            <w:rStyle w:val="Hyperlink"/>
            <w:noProof w:val="0"/>
          </w:rPr>
          <w:t>Abbreviations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_Toc121774612 \h </w:instrText>
        </w:r>
        <w:r w:rsidR="00AD7449" w:rsidRPr="00BD16B4">
          <w:rPr>
            <w:noProof w:val="0"/>
            <w:webHidden/>
          </w:rPr>
        </w:r>
        <w:r w:rsidR="00AD7449" w:rsidRPr="00BD16B4">
          <w:rPr>
            <w:noProof w:val="0"/>
            <w:webHidden/>
          </w:rPr>
          <w:fldChar w:fldCharType="separate"/>
        </w:r>
        <w:r w:rsidR="00A60C35">
          <w:rPr>
            <w:webHidden/>
          </w:rPr>
          <w:t>12</w:t>
        </w:r>
        <w:r w:rsidR="00AD7449" w:rsidRPr="00BD16B4">
          <w:rPr>
            <w:noProof w:val="0"/>
            <w:webHidden/>
          </w:rPr>
          <w:fldChar w:fldCharType="end"/>
        </w:r>
      </w:hyperlink>
    </w:p>
    <w:p w14:paraId="167BABF6" w14:textId="2BC45498" w:rsidR="00AD7449" w:rsidRPr="00BD16B4" w:rsidRDefault="00FC49D2">
      <w:pPr>
        <w:pStyle w:val="TOC1"/>
        <w:rPr>
          <w:rFonts w:asciiTheme="minorHAnsi" w:hAnsiTheme="minorHAnsi"/>
          <w:noProof w:val="0"/>
        </w:rPr>
      </w:pPr>
      <w:hyperlink w:anchor="_Toc121774613" w:history="1">
        <w:r w:rsidR="00AD7449" w:rsidRPr="00BD16B4">
          <w:rPr>
            <w:rStyle w:val="Hyperlink"/>
            <w:noProof w:val="0"/>
          </w:rPr>
          <w:t>Minister’s foreword</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_Toc121774613 \h </w:instrText>
        </w:r>
        <w:r w:rsidR="00AD7449" w:rsidRPr="00BD16B4">
          <w:rPr>
            <w:noProof w:val="0"/>
            <w:webHidden/>
          </w:rPr>
        </w:r>
        <w:r w:rsidR="00AD7449" w:rsidRPr="00BD16B4">
          <w:rPr>
            <w:noProof w:val="0"/>
            <w:webHidden/>
          </w:rPr>
          <w:fldChar w:fldCharType="separate"/>
        </w:r>
        <w:r w:rsidR="00A60C35">
          <w:rPr>
            <w:webHidden/>
          </w:rPr>
          <w:t>19</w:t>
        </w:r>
        <w:r w:rsidR="00AD7449" w:rsidRPr="00BD16B4">
          <w:rPr>
            <w:noProof w:val="0"/>
            <w:webHidden/>
          </w:rPr>
          <w:fldChar w:fldCharType="end"/>
        </w:r>
      </w:hyperlink>
    </w:p>
    <w:p w14:paraId="2180B850" w14:textId="378CF61C" w:rsidR="00AD7449" w:rsidRPr="00BD16B4" w:rsidRDefault="00FC49D2">
      <w:pPr>
        <w:pStyle w:val="TOC1"/>
        <w:rPr>
          <w:rFonts w:asciiTheme="minorHAnsi" w:hAnsiTheme="minorHAnsi"/>
          <w:noProof w:val="0"/>
        </w:rPr>
      </w:pPr>
      <w:hyperlink w:anchor="_Toc121774614" w:history="1">
        <w:r w:rsidR="00AD7449" w:rsidRPr="00BD16B4">
          <w:rPr>
            <w:rStyle w:val="Hyperlink"/>
            <w:noProof w:val="0"/>
          </w:rPr>
          <w:t>1</w:t>
        </w:r>
        <w:r w:rsidR="00AD7449" w:rsidRPr="00BD16B4">
          <w:rPr>
            <w:rFonts w:asciiTheme="minorHAnsi" w:hAnsiTheme="minorHAnsi"/>
            <w:noProof w:val="0"/>
          </w:rPr>
          <w:tab/>
        </w:r>
        <w:r w:rsidR="00AD7449" w:rsidRPr="00BD16B4">
          <w:rPr>
            <w:rStyle w:val="Hyperlink"/>
            <w:noProof w:val="0"/>
          </w:rPr>
          <w:t>Executive summary</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_Toc121774614 \h </w:instrText>
        </w:r>
        <w:r w:rsidR="00AD7449" w:rsidRPr="00BD16B4">
          <w:rPr>
            <w:noProof w:val="0"/>
            <w:webHidden/>
          </w:rPr>
        </w:r>
        <w:r w:rsidR="00AD7449" w:rsidRPr="00BD16B4">
          <w:rPr>
            <w:noProof w:val="0"/>
            <w:webHidden/>
          </w:rPr>
          <w:fldChar w:fldCharType="separate"/>
        </w:r>
        <w:r w:rsidR="00A60C35">
          <w:rPr>
            <w:webHidden/>
          </w:rPr>
          <w:t>21</w:t>
        </w:r>
        <w:r w:rsidR="00AD7449" w:rsidRPr="00BD16B4">
          <w:rPr>
            <w:noProof w:val="0"/>
            <w:webHidden/>
          </w:rPr>
          <w:fldChar w:fldCharType="end"/>
        </w:r>
      </w:hyperlink>
    </w:p>
    <w:p w14:paraId="622B9486" w14:textId="324EBB62" w:rsidR="00AD7449" w:rsidRPr="00BD16B4" w:rsidRDefault="00FC49D2">
      <w:pPr>
        <w:pStyle w:val="TOC1"/>
        <w:rPr>
          <w:rFonts w:asciiTheme="minorHAnsi" w:hAnsiTheme="minorHAnsi"/>
          <w:noProof w:val="0"/>
        </w:rPr>
      </w:pPr>
      <w:hyperlink w:anchor="_Toc121774615" w:history="1">
        <w:r w:rsidR="00AD7449" w:rsidRPr="00BD16B4">
          <w:rPr>
            <w:rStyle w:val="Hyperlink"/>
            <w:noProof w:val="0"/>
          </w:rPr>
          <w:t>2</w:t>
        </w:r>
        <w:r w:rsidR="00AD7449" w:rsidRPr="00BD16B4">
          <w:rPr>
            <w:rFonts w:asciiTheme="minorHAnsi" w:hAnsiTheme="minorHAnsi"/>
            <w:noProof w:val="0"/>
          </w:rPr>
          <w:tab/>
        </w:r>
        <w:r w:rsidR="00AD7449" w:rsidRPr="00BD16B4">
          <w:rPr>
            <w:rStyle w:val="Hyperlink"/>
            <w:noProof w:val="0"/>
          </w:rPr>
          <w:t>National circumstances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_Toc121774615 \h </w:instrText>
        </w:r>
        <w:r w:rsidR="00AD7449" w:rsidRPr="00BD16B4">
          <w:rPr>
            <w:noProof w:val="0"/>
            <w:webHidden/>
          </w:rPr>
        </w:r>
        <w:r w:rsidR="00AD7449" w:rsidRPr="00BD16B4">
          <w:rPr>
            <w:noProof w:val="0"/>
            <w:webHidden/>
          </w:rPr>
          <w:fldChar w:fldCharType="separate"/>
        </w:r>
        <w:r w:rsidR="00A60C35">
          <w:rPr>
            <w:webHidden/>
          </w:rPr>
          <w:t>29</w:t>
        </w:r>
        <w:r w:rsidR="00AD7449" w:rsidRPr="00BD16B4">
          <w:rPr>
            <w:noProof w:val="0"/>
            <w:webHidden/>
          </w:rPr>
          <w:fldChar w:fldCharType="end"/>
        </w:r>
      </w:hyperlink>
    </w:p>
    <w:p w14:paraId="3CEDD31D" w14:textId="2CA83781" w:rsidR="00AD7449" w:rsidRPr="00BD16B4" w:rsidRDefault="00FC49D2">
      <w:pPr>
        <w:pStyle w:val="TOC2"/>
        <w:rPr>
          <w:rFonts w:asciiTheme="minorHAnsi" w:hAnsiTheme="minorHAnsi"/>
          <w:noProof w:val="0"/>
        </w:rPr>
      </w:pPr>
      <w:hyperlink w:anchor="_Toc121774616" w:history="1">
        <w:r w:rsidR="00AD7449" w:rsidRPr="00BD16B4">
          <w:rPr>
            <w:rStyle w:val="Hyperlink"/>
            <w:noProof w:val="0"/>
          </w:rPr>
          <w:t>2.1</w:t>
        </w:r>
        <w:r w:rsidR="00AD7449" w:rsidRPr="00BD16B4">
          <w:rPr>
            <w:rFonts w:asciiTheme="minorHAnsi" w:hAnsiTheme="minorHAnsi"/>
            <w:noProof w:val="0"/>
          </w:rPr>
          <w:tab/>
        </w:r>
        <w:r w:rsidR="00AD7449" w:rsidRPr="00BD16B4">
          <w:rPr>
            <w:rStyle w:val="Hyperlink"/>
            <w:noProof w:val="0"/>
          </w:rPr>
          <w:t>Geographic profile</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_Toc121774616 \h </w:instrText>
        </w:r>
        <w:r w:rsidR="00AD7449" w:rsidRPr="00BD16B4">
          <w:rPr>
            <w:noProof w:val="0"/>
            <w:webHidden/>
          </w:rPr>
        </w:r>
        <w:r w:rsidR="00AD7449" w:rsidRPr="00BD16B4">
          <w:rPr>
            <w:noProof w:val="0"/>
            <w:webHidden/>
          </w:rPr>
          <w:fldChar w:fldCharType="separate"/>
        </w:r>
        <w:r w:rsidR="00A60C35">
          <w:rPr>
            <w:webHidden/>
          </w:rPr>
          <w:t>29</w:t>
        </w:r>
        <w:r w:rsidR="00AD7449" w:rsidRPr="00BD16B4">
          <w:rPr>
            <w:noProof w:val="0"/>
            <w:webHidden/>
          </w:rPr>
          <w:fldChar w:fldCharType="end"/>
        </w:r>
      </w:hyperlink>
    </w:p>
    <w:p w14:paraId="0AC8D1BC" w14:textId="03CB4D8E" w:rsidR="00AD7449" w:rsidRPr="00BD16B4" w:rsidRDefault="00FC49D2">
      <w:pPr>
        <w:pStyle w:val="TOC2"/>
        <w:rPr>
          <w:rFonts w:asciiTheme="minorHAnsi" w:hAnsiTheme="minorHAnsi"/>
          <w:noProof w:val="0"/>
        </w:rPr>
      </w:pPr>
      <w:hyperlink w:anchor="_Toc121774617" w:history="1">
        <w:r w:rsidR="00AD7449" w:rsidRPr="00BD16B4">
          <w:rPr>
            <w:rStyle w:val="Hyperlink"/>
            <w:noProof w:val="0"/>
          </w:rPr>
          <w:t>2.2</w:t>
        </w:r>
        <w:r w:rsidR="00AD7449" w:rsidRPr="00BD16B4">
          <w:rPr>
            <w:rFonts w:asciiTheme="minorHAnsi" w:hAnsiTheme="minorHAnsi"/>
            <w:noProof w:val="0"/>
          </w:rPr>
          <w:tab/>
        </w:r>
        <w:r w:rsidR="00AD7449" w:rsidRPr="00BD16B4">
          <w:rPr>
            <w:rStyle w:val="Hyperlink"/>
            <w:noProof w:val="0"/>
          </w:rPr>
          <w:t>Population profile</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_Toc121774617 \h </w:instrText>
        </w:r>
        <w:r w:rsidR="00AD7449" w:rsidRPr="00BD16B4">
          <w:rPr>
            <w:noProof w:val="0"/>
            <w:webHidden/>
          </w:rPr>
        </w:r>
        <w:r w:rsidR="00AD7449" w:rsidRPr="00BD16B4">
          <w:rPr>
            <w:noProof w:val="0"/>
            <w:webHidden/>
          </w:rPr>
          <w:fldChar w:fldCharType="separate"/>
        </w:r>
        <w:r w:rsidR="00A60C35">
          <w:rPr>
            <w:webHidden/>
          </w:rPr>
          <w:t>30</w:t>
        </w:r>
        <w:r w:rsidR="00AD7449" w:rsidRPr="00BD16B4">
          <w:rPr>
            <w:noProof w:val="0"/>
            <w:webHidden/>
          </w:rPr>
          <w:fldChar w:fldCharType="end"/>
        </w:r>
      </w:hyperlink>
    </w:p>
    <w:p w14:paraId="5522D6BD" w14:textId="04253DE4" w:rsidR="00AD7449" w:rsidRPr="00BD16B4" w:rsidRDefault="00FC49D2">
      <w:pPr>
        <w:pStyle w:val="TOC2"/>
        <w:rPr>
          <w:rFonts w:asciiTheme="minorHAnsi" w:hAnsiTheme="minorHAnsi"/>
          <w:noProof w:val="0"/>
        </w:rPr>
      </w:pPr>
      <w:hyperlink w:anchor="_Toc121774618" w:history="1">
        <w:r w:rsidR="00AD7449" w:rsidRPr="00BD16B4">
          <w:rPr>
            <w:rStyle w:val="Hyperlink"/>
            <w:noProof w:val="0"/>
          </w:rPr>
          <w:t>2.3</w:t>
        </w:r>
        <w:r w:rsidR="00AD7449" w:rsidRPr="00BD16B4">
          <w:rPr>
            <w:rFonts w:asciiTheme="minorHAnsi" w:hAnsiTheme="minorHAnsi"/>
            <w:noProof w:val="0"/>
          </w:rPr>
          <w:tab/>
        </w:r>
        <w:r w:rsidR="00AD7449" w:rsidRPr="00BD16B4">
          <w:rPr>
            <w:rStyle w:val="Hyperlink"/>
            <w:noProof w:val="0"/>
          </w:rPr>
          <w:t>Climate</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_Toc121774618 \h </w:instrText>
        </w:r>
        <w:r w:rsidR="00AD7449" w:rsidRPr="00BD16B4">
          <w:rPr>
            <w:noProof w:val="0"/>
            <w:webHidden/>
          </w:rPr>
        </w:r>
        <w:r w:rsidR="00AD7449" w:rsidRPr="00BD16B4">
          <w:rPr>
            <w:noProof w:val="0"/>
            <w:webHidden/>
          </w:rPr>
          <w:fldChar w:fldCharType="separate"/>
        </w:r>
        <w:r w:rsidR="00A60C35">
          <w:rPr>
            <w:webHidden/>
          </w:rPr>
          <w:t>32</w:t>
        </w:r>
        <w:r w:rsidR="00AD7449" w:rsidRPr="00BD16B4">
          <w:rPr>
            <w:noProof w:val="0"/>
            <w:webHidden/>
          </w:rPr>
          <w:fldChar w:fldCharType="end"/>
        </w:r>
      </w:hyperlink>
    </w:p>
    <w:p w14:paraId="3494E867" w14:textId="2FD529FA" w:rsidR="00AD7449" w:rsidRPr="00BD16B4" w:rsidRDefault="00FC49D2">
      <w:pPr>
        <w:pStyle w:val="TOC2"/>
        <w:rPr>
          <w:rFonts w:asciiTheme="minorHAnsi" w:hAnsiTheme="minorHAnsi"/>
          <w:noProof w:val="0"/>
        </w:rPr>
      </w:pPr>
      <w:hyperlink w:anchor="_Toc121774619" w:history="1">
        <w:r w:rsidR="00AD7449" w:rsidRPr="00BD16B4">
          <w:rPr>
            <w:rStyle w:val="Hyperlink"/>
            <w:noProof w:val="0"/>
          </w:rPr>
          <w:t>2.4</w:t>
        </w:r>
        <w:r w:rsidR="00AD7449" w:rsidRPr="00BD16B4">
          <w:rPr>
            <w:rFonts w:asciiTheme="minorHAnsi" w:hAnsiTheme="minorHAnsi"/>
            <w:noProof w:val="0"/>
          </w:rPr>
          <w:tab/>
        </w:r>
        <w:r w:rsidR="00AD7449" w:rsidRPr="00BD16B4">
          <w:rPr>
            <w:rStyle w:val="Hyperlink"/>
            <w:noProof w:val="0"/>
          </w:rPr>
          <w:t>Government structure</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_Toc121774619 \h </w:instrText>
        </w:r>
        <w:r w:rsidR="00AD7449" w:rsidRPr="00BD16B4">
          <w:rPr>
            <w:noProof w:val="0"/>
            <w:webHidden/>
          </w:rPr>
        </w:r>
        <w:r w:rsidR="00AD7449" w:rsidRPr="00BD16B4">
          <w:rPr>
            <w:noProof w:val="0"/>
            <w:webHidden/>
          </w:rPr>
          <w:fldChar w:fldCharType="separate"/>
        </w:r>
        <w:r w:rsidR="00A60C35">
          <w:rPr>
            <w:webHidden/>
          </w:rPr>
          <w:t>33</w:t>
        </w:r>
        <w:r w:rsidR="00AD7449" w:rsidRPr="00BD16B4">
          <w:rPr>
            <w:noProof w:val="0"/>
            <w:webHidden/>
          </w:rPr>
          <w:fldChar w:fldCharType="end"/>
        </w:r>
      </w:hyperlink>
    </w:p>
    <w:p w14:paraId="4FA485CB" w14:textId="793A22B3" w:rsidR="00AD7449" w:rsidRPr="00BD16B4" w:rsidRDefault="00FC49D2">
      <w:pPr>
        <w:pStyle w:val="TOC2"/>
        <w:rPr>
          <w:rFonts w:asciiTheme="minorHAnsi" w:hAnsiTheme="minorHAnsi"/>
          <w:noProof w:val="0"/>
        </w:rPr>
      </w:pPr>
      <w:hyperlink w:anchor="_Toc121774620" w:history="1">
        <w:r w:rsidR="00AD7449" w:rsidRPr="00BD16B4">
          <w:rPr>
            <w:rStyle w:val="Hyperlink"/>
            <w:noProof w:val="0"/>
          </w:rPr>
          <w:t>2.5</w:t>
        </w:r>
        <w:r w:rsidR="00AD7449" w:rsidRPr="00BD16B4">
          <w:rPr>
            <w:rFonts w:asciiTheme="minorHAnsi" w:hAnsiTheme="minorHAnsi"/>
            <w:noProof w:val="0"/>
          </w:rPr>
          <w:tab/>
        </w:r>
        <w:r w:rsidR="00AD7449" w:rsidRPr="00BD16B4">
          <w:rPr>
            <w:rStyle w:val="Hyperlink"/>
            <w:noProof w:val="0"/>
          </w:rPr>
          <w:t>Buildings and urban structure</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_Toc121774620 \h </w:instrText>
        </w:r>
        <w:r w:rsidR="00AD7449" w:rsidRPr="00BD16B4">
          <w:rPr>
            <w:noProof w:val="0"/>
            <w:webHidden/>
          </w:rPr>
        </w:r>
        <w:r w:rsidR="00AD7449" w:rsidRPr="00BD16B4">
          <w:rPr>
            <w:noProof w:val="0"/>
            <w:webHidden/>
          </w:rPr>
          <w:fldChar w:fldCharType="separate"/>
        </w:r>
        <w:r w:rsidR="00A60C35">
          <w:rPr>
            <w:webHidden/>
          </w:rPr>
          <w:t>38</w:t>
        </w:r>
        <w:r w:rsidR="00AD7449" w:rsidRPr="00BD16B4">
          <w:rPr>
            <w:noProof w:val="0"/>
            <w:webHidden/>
          </w:rPr>
          <w:fldChar w:fldCharType="end"/>
        </w:r>
      </w:hyperlink>
    </w:p>
    <w:p w14:paraId="75AD966F" w14:textId="5ABD753F" w:rsidR="00AD7449" w:rsidRPr="00BD16B4" w:rsidRDefault="00FC49D2">
      <w:pPr>
        <w:pStyle w:val="TOC2"/>
        <w:rPr>
          <w:rFonts w:asciiTheme="minorHAnsi" w:hAnsiTheme="minorHAnsi"/>
          <w:noProof w:val="0"/>
        </w:rPr>
      </w:pPr>
      <w:hyperlink w:anchor="_Toc121774621" w:history="1">
        <w:r w:rsidR="00AD7449" w:rsidRPr="00BD16B4">
          <w:rPr>
            <w:rStyle w:val="Hyperlink"/>
            <w:noProof w:val="0"/>
          </w:rPr>
          <w:t>2.6</w:t>
        </w:r>
        <w:r w:rsidR="00AD7449" w:rsidRPr="00BD16B4">
          <w:rPr>
            <w:rFonts w:asciiTheme="minorHAnsi" w:hAnsiTheme="minorHAnsi"/>
            <w:noProof w:val="0"/>
          </w:rPr>
          <w:tab/>
        </w:r>
        <w:r w:rsidR="00AD7449" w:rsidRPr="00BD16B4">
          <w:rPr>
            <w:rStyle w:val="Hyperlink"/>
            <w:noProof w:val="0"/>
          </w:rPr>
          <w:t>Economy and industry</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_Toc121774621 \h </w:instrText>
        </w:r>
        <w:r w:rsidR="00AD7449" w:rsidRPr="00BD16B4">
          <w:rPr>
            <w:noProof w:val="0"/>
            <w:webHidden/>
          </w:rPr>
        </w:r>
        <w:r w:rsidR="00AD7449" w:rsidRPr="00BD16B4">
          <w:rPr>
            <w:noProof w:val="0"/>
            <w:webHidden/>
          </w:rPr>
          <w:fldChar w:fldCharType="separate"/>
        </w:r>
        <w:r w:rsidR="00A60C35">
          <w:rPr>
            <w:webHidden/>
          </w:rPr>
          <w:t>39</w:t>
        </w:r>
        <w:r w:rsidR="00AD7449" w:rsidRPr="00BD16B4">
          <w:rPr>
            <w:noProof w:val="0"/>
            <w:webHidden/>
          </w:rPr>
          <w:fldChar w:fldCharType="end"/>
        </w:r>
      </w:hyperlink>
    </w:p>
    <w:p w14:paraId="1F710A6D" w14:textId="2CD4F3EC" w:rsidR="00AD7449" w:rsidRPr="00BD16B4" w:rsidRDefault="00FC49D2">
      <w:pPr>
        <w:pStyle w:val="TOC2"/>
        <w:rPr>
          <w:rFonts w:asciiTheme="minorHAnsi" w:hAnsiTheme="minorHAnsi"/>
          <w:noProof w:val="0"/>
        </w:rPr>
      </w:pPr>
      <w:hyperlink w:anchor="_Toc121774622" w:history="1">
        <w:r w:rsidR="00AD7449" w:rsidRPr="00BD16B4">
          <w:rPr>
            <w:rStyle w:val="Hyperlink"/>
            <w:noProof w:val="0"/>
          </w:rPr>
          <w:t>2.7</w:t>
        </w:r>
        <w:r w:rsidR="00AD7449" w:rsidRPr="00BD16B4">
          <w:rPr>
            <w:rFonts w:asciiTheme="minorHAnsi" w:hAnsiTheme="minorHAnsi"/>
            <w:noProof w:val="0"/>
          </w:rPr>
          <w:tab/>
        </w:r>
        <w:r w:rsidR="00AD7449" w:rsidRPr="00BD16B4">
          <w:rPr>
            <w:rStyle w:val="Hyperlink"/>
            <w:noProof w:val="0"/>
          </w:rPr>
          <w:t>Energy</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_Toc121774622 \h </w:instrText>
        </w:r>
        <w:r w:rsidR="00AD7449" w:rsidRPr="00BD16B4">
          <w:rPr>
            <w:noProof w:val="0"/>
            <w:webHidden/>
          </w:rPr>
        </w:r>
        <w:r w:rsidR="00AD7449" w:rsidRPr="00BD16B4">
          <w:rPr>
            <w:noProof w:val="0"/>
            <w:webHidden/>
          </w:rPr>
          <w:fldChar w:fldCharType="separate"/>
        </w:r>
        <w:r w:rsidR="00A60C35">
          <w:rPr>
            <w:webHidden/>
          </w:rPr>
          <w:t>42</w:t>
        </w:r>
        <w:r w:rsidR="00AD7449" w:rsidRPr="00BD16B4">
          <w:rPr>
            <w:noProof w:val="0"/>
            <w:webHidden/>
          </w:rPr>
          <w:fldChar w:fldCharType="end"/>
        </w:r>
      </w:hyperlink>
    </w:p>
    <w:p w14:paraId="4EA9B2DE" w14:textId="585422A3" w:rsidR="00AD7449" w:rsidRPr="00BD16B4" w:rsidRDefault="00FC49D2">
      <w:pPr>
        <w:pStyle w:val="TOC2"/>
        <w:rPr>
          <w:rFonts w:asciiTheme="minorHAnsi" w:hAnsiTheme="minorHAnsi"/>
          <w:noProof w:val="0"/>
        </w:rPr>
      </w:pPr>
      <w:hyperlink w:anchor="_Toc121774623" w:history="1">
        <w:r w:rsidR="00AD7449" w:rsidRPr="00BD16B4">
          <w:rPr>
            <w:rStyle w:val="Hyperlink"/>
            <w:noProof w:val="0"/>
          </w:rPr>
          <w:t>2.8</w:t>
        </w:r>
        <w:r w:rsidR="00AD7449" w:rsidRPr="00BD16B4">
          <w:rPr>
            <w:rFonts w:asciiTheme="minorHAnsi" w:hAnsiTheme="minorHAnsi"/>
            <w:noProof w:val="0"/>
          </w:rPr>
          <w:tab/>
        </w:r>
        <w:r w:rsidR="00AD7449" w:rsidRPr="00BD16B4">
          <w:rPr>
            <w:rStyle w:val="Hyperlink"/>
            <w:noProof w:val="0"/>
          </w:rPr>
          <w:t>Transport</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_Toc121774623 \h </w:instrText>
        </w:r>
        <w:r w:rsidR="00AD7449" w:rsidRPr="00BD16B4">
          <w:rPr>
            <w:noProof w:val="0"/>
            <w:webHidden/>
          </w:rPr>
        </w:r>
        <w:r w:rsidR="00AD7449" w:rsidRPr="00BD16B4">
          <w:rPr>
            <w:noProof w:val="0"/>
            <w:webHidden/>
          </w:rPr>
          <w:fldChar w:fldCharType="separate"/>
        </w:r>
        <w:r w:rsidR="00A60C35">
          <w:rPr>
            <w:webHidden/>
          </w:rPr>
          <w:t>46</w:t>
        </w:r>
        <w:r w:rsidR="00AD7449" w:rsidRPr="00BD16B4">
          <w:rPr>
            <w:noProof w:val="0"/>
            <w:webHidden/>
          </w:rPr>
          <w:fldChar w:fldCharType="end"/>
        </w:r>
      </w:hyperlink>
    </w:p>
    <w:p w14:paraId="5F3FBC1F" w14:textId="5857702C" w:rsidR="00AD7449" w:rsidRPr="00BD16B4" w:rsidRDefault="00FC49D2">
      <w:pPr>
        <w:pStyle w:val="TOC2"/>
        <w:rPr>
          <w:rFonts w:asciiTheme="minorHAnsi" w:hAnsiTheme="minorHAnsi"/>
          <w:noProof w:val="0"/>
        </w:rPr>
      </w:pPr>
      <w:hyperlink w:anchor="_Toc121774624" w:history="1">
        <w:r w:rsidR="00AD7449" w:rsidRPr="00BD16B4">
          <w:rPr>
            <w:rStyle w:val="Hyperlink"/>
            <w:noProof w:val="0"/>
          </w:rPr>
          <w:t>2.9</w:t>
        </w:r>
        <w:r w:rsidR="00AD7449" w:rsidRPr="00BD16B4">
          <w:rPr>
            <w:rFonts w:asciiTheme="minorHAnsi" w:hAnsiTheme="minorHAnsi"/>
            <w:noProof w:val="0"/>
          </w:rPr>
          <w:tab/>
        </w:r>
        <w:r w:rsidR="00AD7449" w:rsidRPr="00BD16B4">
          <w:rPr>
            <w:rStyle w:val="Hyperlink"/>
            <w:noProof w:val="0"/>
          </w:rPr>
          <w:t>Agriculture</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_Toc121774624 \h </w:instrText>
        </w:r>
        <w:r w:rsidR="00AD7449" w:rsidRPr="00BD16B4">
          <w:rPr>
            <w:noProof w:val="0"/>
            <w:webHidden/>
          </w:rPr>
        </w:r>
        <w:r w:rsidR="00AD7449" w:rsidRPr="00BD16B4">
          <w:rPr>
            <w:noProof w:val="0"/>
            <w:webHidden/>
          </w:rPr>
          <w:fldChar w:fldCharType="separate"/>
        </w:r>
        <w:r w:rsidR="00A60C35">
          <w:rPr>
            <w:webHidden/>
          </w:rPr>
          <w:t>50</w:t>
        </w:r>
        <w:r w:rsidR="00AD7449" w:rsidRPr="00BD16B4">
          <w:rPr>
            <w:noProof w:val="0"/>
            <w:webHidden/>
          </w:rPr>
          <w:fldChar w:fldCharType="end"/>
        </w:r>
      </w:hyperlink>
    </w:p>
    <w:p w14:paraId="2B20EA6C" w14:textId="52308118" w:rsidR="00AD7449" w:rsidRPr="00BD16B4" w:rsidRDefault="00FC49D2">
      <w:pPr>
        <w:pStyle w:val="TOC2"/>
        <w:rPr>
          <w:rFonts w:asciiTheme="minorHAnsi" w:hAnsiTheme="minorHAnsi"/>
          <w:noProof w:val="0"/>
        </w:rPr>
      </w:pPr>
      <w:hyperlink w:anchor="_Toc121774625" w:history="1">
        <w:r w:rsidR="00AD7449" w:rsidRPr="00BD16B4">
          <w:rPr>
            <w:rStyle w:val="Hyperlink"/>
            <w:noProof w:val="0"/>
          </w:rPr>
          <w:t>2.10</w:t>
        </w:r>
        <w:r w:rsidR="00AD7449" w:rsidRPr="00BD16B4">
          <w:rPr>
            <w:rFonts w:asciiTheme="minorHAnsi" w:hAnsiTheme="minorHAnsi"/>
            <w:noProof w:val="0"/>
          </w:rPr>
          <w:tab/>
        </w:r>
        <w:r w:rsidR="00AD7449" w:rsidRPr="00BD16B4">
          <w:rPr>
            <w:rStyle w:val="Hyperlink"/>
            <w:noProof w:val="0"/>
          </w:rPr>
          <w:t>Fisheries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_Toc121774625 \h </w:instrText>
        </w:r>
        <w:r w:rsidR="00AD7449" w:rsidRPr="00BD16B4">
          <w:rPr>
            <w:noProof w:val="0"/>
            <w:webHidden/>
          </w:rPr>
        </w:r>
        <w:r w:rsidR="00AD7449" w:rsidRPr="00BD16B4">
          <w:rPr>
            <w:noProof w:val="0"/>
            <w:webHidden/>
          </w:rPr>
          <w:fldChar w:fldCharType="separate"/>
        </w:r>
        <w:r w:rsidR="00A60C35">
          <w:rPr>
            <w:webHidden/>
          </w:rPr>
          <w:t>53</w:t>
        </w:r>
        <w:r w:rsidR="00AD7449" w:rsidRPr="00BD16B4">
          <w:rPr>
            <w:noProof w:val="0"/>
            <w:webHidden/>
          </w:rPr>
          <w:fldChar w:fldCharType="end"/>
        </w:r>
      </w:hyperlink>
    </w:p>
    <w:p w14:paraId="28CE0010" w14:textId="78C9E210" w:rsidR="00AD7449" w:rsidRPr="00BD16B4" w:rsidRDefault="00FC49D2">
      <w:pPr>
        <w:pStyle w:val="TOC2"/>
        <w:rPr>
          <w:rFonts w:asciiTheme="minorHAnsi" w:hAnsiTheme="minorHAnsi"/>
          <w:noProof w:val="0"/>
        </w:rPr>
      </w:pPr>
      <w:hyperlink w:anchor="_Toc121774626" w:history="1">
        <w:r w:rsidR="00AD7449" w:rsidRPr="00BD16B4">
          <w:rPr>
            <w:rStyle w:val="Hyperlink"/>
            <w:noProof w:val="0"/>
          </w:rPr>
          <w:t>2.11</w:t>
        </w:r>
        <w:r w:rsidR="00AD7449" w:rsidRPr="00BD16B4">
          <w:rPr>
            <w:rFonts w:asciiTheme="minorHAnsi" w:hAnsiTheme="minorHAnsi"/>
            <w:noProof w:val="0"/>
          </w:rPr>
          <w:tab/>
        </w:r>
        <w:r w:rsidR="00AD7449" w:rsidRPr="00BD16B4">
          <w:rPr>
            <w:rStyle w:val="Hyperlink"/>
            <w:noProof w:val="0"/>
          </w:rPr>
          <w:t>Forestry</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_Toc121774626 \h </w:instrText>
        </w:r>
        <w:r w:rsidR="00AD7449" w:rsidRPr="00BD16B4">
          <w:rPr>
            <w:noProof w:val="0"/>
            <w:webHidden/>
          </w:rPr>
        </w:r>
        <w:r w:rsidR="00AD7449" w:rsidRPr="00BD16B4">
          <w:rPr>
            <w:noProof w:val="0"/>
            <w:webHidden/>
          </w:rPr>
          <w:fldChar w:fldCharType="separate"/>
        </w:r>
        <w:r w:rsidR="00A60C35">
          <w:rPr>
            <w:webHidden/>
          </w:rPr>
          <w:t>54</w:t>
        </w:r>
        <w:r w:rsidR="00AD7449" w:rsidRPr="00BD16B4">
          <w:rPr>
            <w:noProof w:val="0"/>
            <w:webHidden/>
          </w:rPr>
          <w:fldChar w:fldCharType="end"/>
        </w:r>
      </w:hyperlink>
    </w:p>
    <w:p w14:paraId="01E51C97" w14:textId="3A849B6C" w:rsidR="00AD7449" w:rsidRPr="00BD16B4" w:rsidRDefault="00FC49D2">
      <w:pPr>
        <w:pStyle w:val="TOC2"/>
        <w:rPr>
          <w:rFonts w:asciiTheme="minorHAnsi" w:hAnsiTheme="minorHAnsi"/>
          <w:noProof w:val="0"/>
        </w:rPr>
      </w:pPr>
      <w:hyperlink w:anchor="_Toc121774627" w:history="1">
        <w:r w:rsidR="00AD7449" w:rsidRPr="00BD16B4">
          <w:rPr>
            <w:rStyle w:val="Hyperlink"/>
            <w:noProof w:val="0"/>
          </w:rPr>
          <w:t>2.12</w:t>
        </w:r>
        <w:r w:rsidR="00AD7449" w:rsidRPr="00BD16B4">
          <w:rPr>
            <w:rFonts w:asciiTheme="minorHAnsi" w:hAnsiTheme="minorHAnsi"/>
            <w:noProof w:val="0"/>
          </w:rPr>
          <w:tab/>
        </w:r>
        <w:r w:rsidR="00AD7449" w:rsidRPr="00BD16B4">
          <w:rPr>
            <w:rStyle w:val="Hyperlink"/>
            <w:noProof w:val="0"/>
          </w:rPr>
          <w:t>Waste</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_Toc121774627 \h </w:instrText>
        </w:r>
        <w:r w:rsidR="00AD7449" w:rsidRPr="00BD16B4">
          <w:rPr>
            <w:noProof w:val="0"/>
            <w:webHidden/>
          </w:rPr>
        </w:r>
        <w:r w:rsidR="00AD7449" w:rsidRPr="00BD16B4">
          <w:rPr>
            <w:noProof w:val="0"/>
            <w:webHidden/>
          </w:rPr>
          <w:fldChar w:fldCharType="separate"/>
        </w:r>
        <w:r w:rsidR="00A60C35">
          <w:rPr>
            <w:webHidden/>
          </w:rPr>
          <w:t>56</w:t>
        </w:r>
        <w:r w:rsidR="00AD7449" w:rsidRPr="00BD16B4">
          <w:rPr>
            <w:noProof w:val="0"/>
            <w:webHidden/>
          </w:rPr>
          <w:fldChar w:fldCharType="end"/>
        </w:r>
      </w:hyperlink>
    </w:p>
    <w:p w14:paraId="4D8677DD" w14:textId="41E05E2D" w:rsidR="00AD7449" w:rsidRPr="00BD16B4" w:rsidRDefault="00FC49D2">
      <w:pPr>
        <w:pStyle w:val="TOC2"/>
        <w:rPr>
          <w:rFonts w:asciiTheme="minorHAnsi" w:hAnsiTheme="minorHAnsi"/>
          <w:noProof w:val="0"/>
        </w:rPr>
      </w:pPr>
      <w:hyperlink w:anchor="_Toc121774628" w:history="1">
        <w:r w:rsidR="00AD7449" w:rsidRPr="00BD16B4">
          <w:rPr>
            <w:rStyle w:val="Hyperlink"/>
            <w:noProof w:val="0"/>
          </w:rPr>
          <w:t>2.13</w:t>
        </w:r>
        <w:r w:rsidR="00AD7449" w:rsidRPr="00BD16B4">
          <w:rPr>
            <w:rFonts w:asciiTheme="minorHAnsi" w:hAnsiTheme="minorHAnsi"/>
            <w:noProof w:val="0"/>
          </w:rPr>
          <w:tab/>
        </w:r>
        <w:r w:rsidR="00AD7449" w:rsidRPr="00BD16B4">
          <w:rPr>
            <w:rStyle w:val="Hyperlink"/>
            <w:noProof w:val="0"/>
          </w:rPr>
          <w:t>Tokelau</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_Toc121774628 \h </w:instrText>
        </w:r>
        <w:r w:rsidR="00AD7449" w:rsidRPr="00BD16B4">
          <w:rPr>
            <w:noProof w:val="0"/>
            <w:webHidden/>
          </w:rPr>
        </w:r>
        <w:r w:rsidR="00AD7449" w:rsidRPr="00BD16B4">
          <w:rPr>
            <w:noProof w:val="0"/>
            <w:webHidden/>
          </w:rPr>
          <w:fldChar w:fldCharType="separate"/>
        </w:r>
        <w:r w:rsidR="00A60C35">
          <w:rPr>
            <w:webHidden/>
          </w:rPr>
          <w:t>58</w:t>
        </w:r>
        <w:r w:rsidR="00AD7449" w:rsidRPr="00BD16B4">
          <w:rPr>
            <w:noProof w:val="0"/>
            <w:webHidden/>
          </w:rPr>
          <w:fldChar w:fldCharType="end"/>
        </w:r>
      </w:hyperlink>
    </w:p>
    <w:p w14:paraId="3AB13D2B" w14:textId="5C4072DD" w:rsidR="00AD7449" w:rsidRPr="00BD16B4" w:rsidRDefault="00FC49D2">
      <w:pPr>
        <w:pStyle w:val="TOC1"/>
        <w:rPr>
          <w:rFonts w:asciiTheme="minorHAnsi" w:hAnsiTheme="minorHAnsi"/>
          <w:noProof w:val="0"/>
        </w:rPr>
      </w:pPr>
      <w:hyperlink w:anchor="_Toc121774629" w:history="1">
        <w:r w:rsidR="00AD7449" w:rsidRPr="00BD16B4">
          <w:rPr>
            <w:rStyle w:val="Hyperlink"/>
            <w:noProof w:val="0"/>
          </w:rPr>
          <w:t>3</w:t>
        </w:r>
        <w:r w:rsidR="00AD7449" w:rsidRPr="00BD16B4">
          <w:rPr>
            <w:rFonts w:asciiTheme="minorHAnsi" w:hAnsiTheme="minorHAnsi"/>
            <w:noProof w:val="0"/>
          </w:rPr>
          <w:tab/>
        </w:r>
        <w:r w:rsidR="00AD7449" w:rsidRPr="00BD16B4">
          <w:rPr>
            <w:rStyle w:val="Hyperlink"/>
            <w:noProof w:val="0"/>
          </w:rPr>
          <w:t>Greenhouse gas inventory</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_Toc121774629 \h </w:instrText>
        </w:r>
        <w:r w:rsidR="00AD7449" w:rsidRPr="00BD16B4">
          <w:rPr>
            <w:noProof w:val="0"/>
            <w:webHidden/>
          </w:rPr>
        </w:r>
        <w:r w:rsidR="00AD7449" w:rsidRPr="00BD16B4">
          <w:rPr>
            <w:noProof w:val="0"/>
            <w:webHidden/>
          </w:rPr>
          <w:fldChar w:fldCharType="separate"/>
        </w:r>
        <w:r w:rsidR="00A60C35">
          <w:rPr>
            <w:webHidden/>
          </w:rPr>
          <w:t>62</w:t>
        </w:r>
        <w:r w:rsidR="00AD7449" w:rsidRPr="00BD16B4">
          <w:rPr>
            <w:noProof w:val="0"/>
            <w:webHidden/>
          </w:rPr>
          <w:fldChar w:fldCharType="end"/>
        </w:r>
      </w:hyperlink>
    </w:p>
    <w:p w14:paraId="3C8469F8" w14:textId="61495569" w:rsidR="00AD7449" w:rsidRPr="00BD16B4" w:rsidRDefault="00FC49D2">
      <w:pPr>
        <w:pStyle w:val="TOC2"/>
        <w:rPr>
          <w:rFonts w:asciiTheme="minorHAnsi" w:hAnsiTheme="minorHAnsi"/>
          <w:noProof w:val="0"/>
        </w:rPr>
      </w:pPr>
      <w:hyperlink w:anchor="_Toc121774630" w:history="1">
        <w:r w:rsidR="00AD7449" w:rsidRPr="00BD16B4">
          <w:rPr>
            <w:rStyle w:val="Hyperlink"/>
            <w:noProof w:val="0"/>
          </w:rPr>
          <w:t>3.1</w:t>
        </w:r>
        <w:r w:rsidR="00AD7449" w:rsidRPr="00BD16B4">
          <w:rPr>
            <w:rFonts w:asciiTheme="minorHAnsi" w:hAnsiTheme="minorHAnsi"/>
            <w:noProof w:val="0"/>
          </w:rPr>
          <w:tab/>
        </w:r>
        <w:r w:rsidR="00AD7449" w:rsidRPr="00BD16B4">
          <w:rPr>
            <w:rStyle w:val="Hyperlink"/>
            <w:noProof w:val="0"/>
          </w:rPr>
          <w:t>Introduction</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_Toc121774630 \h </w:instrText>
        </w:r>
        <w:r w:rsidR="00AD7449" w:rsidRPr="00BD16B4">
          <w:rPr>
            <w:noProof w:val="0"/>
            <w:webHidden/>
          </w:rPr>
        </w:r>
        <w:r w:rsidR="00AD7449" w:rsidRPr="00BD16B4">
          <w:rPr>
            <w:noProof w:val="0"/>
            <w:webHidden/>
          </w:rPr>
          <w:fldChar w:fldCharType="separate"/>
        </w:r>
        <w:r w:rsidR="00A60C35">
          <w:rPr>
            <w:webHidden/>
          </w:rPr>
          <w:t>62</w:t>
        </w:r>
        <w:r w:rsidR="00AD7449" w:rsidRPr="00BD16B4">
          <w:rPr>
            <w:noProof w:val="0"/>
            <w:webHidden/>
          </w:rPr>
          <w:fldChar w:fldCharType="end"/>
        </w:r>
      </w:hyperlink>
    </w:p>
    <w:p w14:paraId="3EE236A5" w14:textId="28E13B5A" w:rsidR="00AD7449" w:rsidRPr="00BD16B4" w:rsidRDefault="00FC49D2">
      <w:pPr>
        <w:pStyle w:val="TOC2"/>
        <w:rPr>
          <w:rFonts w:asciiTheme="minorHAnsi" w:hAnsiTheme="minorHAnsi"/>
          <w:noProof w:val="0"/>
        </w:rPr>
      </w:pPr>
      <w:hyperlink w:anchor="_Toc121774631" w:history="1">
        <w:r w:rsidR="00AD7449" w:rsidRPr="00BD16B4">
          <w:rPr>
            <w:rStyle w:val="Hyperlink"/>
            <w:noProof w:val="0"/>
          </w:rPr>
          <w:t>3.2</w:t>
        </w:r>
        <w:r w:rsidR="00AD7449" w:rsidRPr="00BD16B4">
          <w:rPr>
            <w:rFonts w:asciiTheme="minorHAnsi" w:hAnsiTheme="minorHAnsi"/>
            <w:noProof w:val="0"/>
          </w:rPr>
          <w:tab/>
        </w:r>
        <w:r w:rsidR="00AD7449" w:rsidRPr="00BD16B4">
          <w:rPr>
            <w:rStyle w:val="Hyperlink"/>
            <w:noProof w:val="0"/>
          </w:rPr>
          <w:t>National trends in greenhouse gas emissions and removals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_Toc121774631 \h </w:instrText>
        </w:r>
        <w:r w:rsidR="00AD7449" w:rsidRPr="00BD16B4">
          <w:rPr>
            <w:noProof w:val="0"/>
            <w:webHidden/>
          </w:rPr>
        </w:r>
        <w:r w:rsidR="00AD7449" w:rsidRPr="00BD16B4">
          <w:rPr>
            <w:noProof w:val="0"/>
            <w:webHidden/>
          </w:rPr>
          <w:fldChar w:fldCharType="separate"/>
        </w:r>
        <w:r w:rsidR="00A60C35">
          <w:rPr>
            <w:webHidden/>
          </w:rPr>
          <w:t>63</w:t>
        </w:r>
        <w:r w:rsidR="00AD7449" w:rsidRPr="00BD16B4">
          <w:rPr>
            <w:noProof w:val="0"/>
            <w:webHidden/>
          </w:rPr>
          <w:fldChar w:fldCharType="end"/>
        </w:r>
      </w:hyperlink>
    </w:p>
    <w:p w14:paraId="075732D5" w14:textId="4075C61E" w:rsidR="00AD7449" w:rsidRPr="00BD16B4" w:rsidRDefault="00FC49D2">
      <w:pPr>
        <w:pStyle w:val="TOC2"/>
        <w:rPr>
          <w:rFonts w:asciiTheme="minorHAnsi" w:hAnsiTheme="minorHAnsi"/>
          <w:noProof w:val="0"/>
        </w:rPr>
      </w:pPr>
      <w:hyperlink w:anchor="_Toc121774632" w:history="1">
        <w:r w:rsidR="00AD7449" w:rsidRPr="00BD16B4">
          <w:rPr>
            <w:rStyle w:val="Hyperlink"/>
            <w:noProof w:val="0"/>
          </w:rPr>
          <w:t>3.3</w:t>
        </w:r>
        <w:r w:rsidR="00AD7449" w:rsidRPr="00BD16B4">
          <w:rPr>
            <w:rFonts w:asciiTheme="minorHAnsi" w:hAnsiTheme="minorHAnsi"/>
            <w:noProof w:val="0"/>
          </w:rPr>
          <w:tab/>
        </w:r>
        <w:r w:rsidR="00AD7449" w:rsidRPr="00BD16B4">
          <w:rPr>
            <w:rStyle w:val="Hyperlink"/>
            <w:noProof w:val="0"/>
          </w:rPr>
          <w:t>Emissions and removals by gas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_Toc121774632 \h </w:instrText>
        </w:r>
        <w:r w:rsidR="00AD7449" w:rsidRPr="00BD16B4">
          <w:rPr>
            <w:noProof w:val="0"/>
            <w:webHidden/>
          </w:rPr>
        </w:r>
        <w:r w:rsidR="00AD7449" w:rsidRPr="00BD16B4">
          <w:rPr>
            <w:noProof w:val="0"/>
            <w:webHidden/>
          </w:rPr>
          <w:fldChar w:fldCharType="separate"/>
        </w:r>
        <w:r w:rsidR="00A60C35">
          <w:rPr>
            <w:webHidden/>
          </w:rPr>
          <w:t>76</w:t>
        </w:r>
        <w:r w:rsidR="00AD7449" w:rsidRPr="00BD16B4">
          <w:rPr>
            <w:noProof w:val="0"/>
            <w:webHidden/>
          </w:rPr>
          <w:fldChar w:fldCharType="end"/>
        </w:r>
      </w:hyperlink>
    </w:p>
    <w:p w14:paraId="3745D585" w14:textId="4D0A13E2" w:rsidR="00AD7449" w:rsidRPr="00BD16B4" w:rsidRDefault="00FC49D2">
      <w:pPr>
        <w:pStyle w:val="TOC1"/>
        <w:rPr>
          <w:rFonts w:asciiTheme="minorHAnsi" w:hAnsiTheme="minorHAnsi"/>
          <w:noProof w:val="0"/>
        </w:rPr>
      </w:pPr>
      <w:hyperlink w:anchor="_Toc121774633" w:history="1">
        <w:r w:rsidR="00AD7449" w:rsidRPr="00BD16B4">
          <w:rPr>
            <w:rStyle w:val="Hyperlink"/>
            <w:noProof w:val="0"/>
          </w:rPr>
          <w:t>4</w:t>
        </w:r>
        <w:r w:rsidR="00AD7449" w:rsidRPr="00BD16B4">
          <w:rPr>
            <w:rFonts w:asciiTheme="minorHAnsi" w:hAnsiTheme="minorHAnsi"/>
            <w:noProof w:val="0"/>
          </w:rPr>
          <w:tab/>
        </w:r>
        <w:r w:rsidR="00AD7449" w:rsidRPr="00BD16B4">
          <w:rPr>
            <w:rStyle w:val="Hyperlink"/>
            <w:noProof w:val="0"/>
          </w:rPr>
          <w:t>Policies and measures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_Toc121774633 \h </w:instrText>
        </w:r>
        <w:r w:rsidR="00AD7449" w:rsidRPr="00BD16B4">
          <w:rPr>
            <w:noProof w:val="0"/>
            <w:webHidden/>
          </w:rPr>
        </w:r>
        <w:r w:rsidR="00AD7449" w:rsidRPr="00BD16B4">
          <w:rPr>
            <w:noProof w:val="0"/>
            <w:webHidden/>
          </w:rPr>
          <w:fldChar w:fldCharType="separate"/>
        </w:r>
        <w:r w:rsidR="00A60C35">
          <w:rPr>
            <w:webHidden/>
          </w:rPr>
          <w:t>80</w:t>
        </w:r>
        <w:r w:rsidR="00AD7449" w:rsidRPr="00BD16B4">
          <w:rPr>
            <w:noProof w:val="0"/>
            <w:webHidden/>
          </w:rPr>
          <w:fldChar w:fldCharType="end"/>
        </w:r>
      </w:hyperlink>
    </w:p>
    <w:p w14:paraId="0D1D1561" w14:textId="05DB8E54" w:rsidR="00AD7449" w:rsidRPr="00BD16B4" w:rsidRDefault="00FC49D2">
      <w:pPr>
        <w:pStyle w:val="TOC2"/>
        <w:rPr>
          <w:rFonts w:asciiTheme="minorHAnsi" w:hAnsiTheme="minorHAnsi"/>
          <w:noProof w:val="0"/>
        </w:rPr>
      </w:pPr>
      <w:hyperlink w:anchor="_Toc121774634" w:history="1">
        <w:r w:rsidR="00AD7449" w:rsidRPr="00BD16B4">
          <w:rPr>
            <w:rStyle w:val="Hyperlink"/>
            <w:rFonts w:eastAsia="Calibri"/>
            <w:noProof w:val="0"/>
          </w:rPr>
          <w:t>4.1</w:t>
        </w:r>
        <w:r w:rsidR="00AD7449" w:rsidRPr="00BD16B4">
          <w:rPr>
            <w:rFonts w:asciiTheme="minorHAnsi" w:hAnsiTheme="minorHAnsi"/>
            <w:noProof w:val="0"/>
          </w:rPr>
          <w:tab/>
        </w:r>
        <w:r w:rsidR="00AD7449" w:rsidRPr="00BD16B4">
          <w:rPr>
            <w:rStyle w:val="Hyperlink"/>
            <w:rFonts w:eastAsia="Calibri"/>
            <w:noProof w:val="0"/>
          </w:rPr>
          <w:t>Introduction</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_Toc121774634 \h </w:instrText>
        </w:r>
        <w:r w:rsidR="00AD7449" w:rsidRPr="00BD16B4">
          <w:rPr>
            <w:noProof w:val="0"/>
            <w:webHidden/>
          </w:rPr>
        </w:r>
        <w:r w:rsidR="00AD7449" w:rsidRPr="00BD16B4">
          <w:rPr>
            <w:noProof w:val="0"/>
            <w:webHidden/>
          </w:rPr>
          <w:fldChar w:fldCharType="separate"/>
        </w:r>
        <w:r w:rsidR="00A60C35">
          <w:rPr>
            <w:webHidden/>
          </w:rPr>
          <w:t>81</w:t>
        </w:r>
        <w:r w:rsidR="00AD7449" w:rsidRPr="00BD16B4">
          <w:rPr>
            <w:noProof w:val="0"/>
            <w:webHidden/>
          </w:rPr>
          <w:fldChar w:fldCharType="end"/>
        </w:r>
      </w:hyperlink>
    </w:p>
    <w:p w14:paraId="2FC9D759" w14:textId="54B6645F" w:rsidR="00AD7449" w:rsidRPr="00BD16B4" w:rsidRDefault="00FC49D2">
      <w:pPr>
        <w:pStyle w:val="TOC2"/>
        <w:rPr>
          <w:rFonts w:asciiTheme="minorHAnsi" w:hAnsiTheme="minorHAnsi"/>
          <w:noProof w:val="0"/>
        </w:rPr>
      </w:pPr>
      <w:hyperlink w:anchor="_Toc121774635" w:history="1">
        <w:r w:rsidR="00AD7449" w:rsidRPr="00BD16B4">
          <w:rPr>
            <w:rStyle w:val="Hyperlink"/>
            <w:rFonts w:eastAsia="Calibri"/>
            <w:noProof w:val="0"/>
          </w:rPr>
          <w:t>4.2</w:t>
        </w:r>
        <w:r w:rsidR="00AD7449" w:rsidRPr="00BD16B4">
          <w:rPr>
            <w:rFonts w:asciiTheme="minorHAnsi" w:hAnsiTheme="minorHAnsi"/>
            <w:noProof w:val="0"/>
          </w:rPr>
          <w:tab/>
        </w:r>
        <w:r w:rsidR="00AD7449" w:rsidRPr="00BD16B4">
          <w:rPr>
            <w:rStyle w:val="Hyperlink"/>
            <w:rFonts w:eastAsia="Calibri"/>
            <w:noProof w:val="0"/>
          </w:rPr>
          <w:t>Policy context for climate change actions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_Toc121774635 \h </w:instrText>
        </w:r>
        <w:r w:rsidR="00AD7449" w:rsidRPr="00BD16B4">
          <w:rPr>
            <w:noProof w:val="0"/>
            <w:webHidden/>
          </w:rPr>
        </w:r>
        <w:r w:rsidR="00AD7449" w:rsidRPr="00BD16B4">
          <w:rPr>
            <w:noProof w:val="0"/>
            <w:webHidden/>
          </w:rPr>
          <w:fldChar w:fldCharType="separate"/>
        </w:r>
        <w:r w:rsidR="00A60C35">
          <w:rPr>
            <w:webHidden/>
          </w:rPr>
          <w:t>84</w:t>
        </w:r>
        <w:r w:rsidR="00AD7449" w:rsidRPr="00BD16B4">
          <w:rPr>
            <w:noProof w:val="0"/>
            <w:webHidden/>
          </w:rPr>
          <w:fldChar w:fldCharType="end"/>
        </w:r>
      </w:hyperlink>
    </w:p>
    <w:p w14:paraId="6D573224" w14:textId="40C4EA4A" w:rsidR="00AD7449" w:rsidRPr="00BD16B4" w:rsidRDefault="00FC49D2">
      <w:pPr>
        <w:pStyle w:val="TOC2"/>
        <w:rPr>
          <w:rFonts w:asciiTheme="minorHAnsi" w:hAnsiTheme="minorHAnsi"/>
          <w:noProof w:val="0"/>
        </w:rPr>
      </w:pPr>
      <w:hyperlink w:anchor="_Toc121774636" w:history="1">
        <w:r w:rsidR="00AD7449" w:rsidRPr="00BD16B4">
          <w:rPr>
            <w:rStyle w:val="Hyperlink"/>
            <w:rFonts w:eastAsia="Calibri"/>
            <w:noProof w:val="0"/>
          </w:rPr>
          <w:t>4.3</w:t>
        </w:r>
        <w:r w:rsidR="00AD7449" w:rsidRPr="00BD16B4">
          <w:rPr>
            <w:rFonts w:asciiTheme="minorHAnsi" w:hAnsiTheme="minorHAnsi"/>
            <w:noProof w:val="0"/>
          </w:rPr>
          <w:tab/>
        </w:r>
        <w:r w:rsidR="00AD7449" w:rsidRPr="00BD16B4">
          <w:rPr>
            <w:rStyle w:val="Hyperlink"/>
            <w:rFonts w:eastAsia="Calibri"/>
            <w:noProof w:val="0"/>
          </w:rPr>
          <w:t>Policies and measures, and their effects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_Toc121774636 \h </w:instrText>
        </w:r>
        <w:r w:rsidR="00AD7449" w:rsidRPr="00BD16B4">
          <w:rPr>
            <w:noProof w:val="0"/>
            <w:webHidden/>
          </w:rPr>
        </w:r>
        <w:r w:rsidR="00AD7449" w:rsidRPr="00BD16B4">
          <w:rPr>
            <w:noProof w:val="0"/>
            <w:webHidden/>
          </w:rPr>
          <w:fldChar w:fldCharType="separate"/>
        </w:r>
        <w:r w:rsidR="00A60C35">
          <w:rPr>
            <w:webHidden/>
          </w:rPr>
          <w:t>91</w:t>
        </w:r>
        <w:r w:rsidR="00AD7449" w:rsidRPr="00BD16B4">
          <w:rPr>
            <w:noProof w:val="0"/>
            <w:webHidden/>
          </w:rPr>
          <w:fldChar w:fldCharType="end"/>
        </w:r>
      </w:hyperlink>
    </w:p>
    <w:p w14:paraId="452B93DA" w14:textId="518238C2" w:rsidR="00AD7449" w:rsidRPr="00BD16B4" w:rsidRDefault="00FC49D2">
      <w:pPr>
        <w:pStyle w:val="TOC2"/>
        <w:rPr>
          <w:rFonts w:asciiTheme="minorHAnsi" w:hAnsiTheme="minorHAnsi"/>
          <w:noProof w:val="0"/>
        </w:rPr>
      </w:pPr>
      <w:hyperlink w:anchor="_Toc121774637" w:history="1">
        <w:r w:rsidR="00AD7449" w:rsidRPr="00BD16B4">
          <w:rPr>
            <w:rStyle w:val="Hyperlink"/>
            <w:noProof w:val="0"/>
          </w:rPr>
          <w:t xml:space="preserve">4.4 </w:t>
        </w:r>
        <w:r w:rsidR="00AD7449" w:rsidRPr="00BD16B4">
          <w:rPr>
            <w:rFonts w:asciiTheme="minorHAnsi" w:hAnsiTheme="minorHAnsi"/>
            <w:noProof w:val="0"/>
          </w:rPr>
          <w:tab/>
        </w:r>
        <w:r w:rsidR="00AD7449" w:rsidRPr="00BD16B4">
          <w:rPr>
            <w:rStyle w:val="Hyperlink"/>
            <w:noProof w:val="0"/>
          </w:rPr>
          <w:t xml:space="preserve">Economic and social impacts of </w:t>
        </w:r>
        <w:r w:rsidR="00AD7449" w:rsidRPr="00BD16B4">
          <w:rPr>
            <w:rStyle w:val="Hyperlink"/>
            <w:rFonts w:eastAsia="Calibri"/>
            <w:noProof w:val="0"/>
          </w:rPr>
          <w:t>response</w:t>
        </w:r>
        <w:r w:rsidR="00AD7449" w:rsidRPr="00BD16B4">
          <w:rPr>
            <w:rStyle w:val="Hyperlink"/>
            <w:noProof w:val="0"/>
          </w:rPr>
          <w:t> measures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_Toc121774637 \h </w:instrText>
        </w:r>
        <w:r w:rsidR="00AD7449" w:rsidRPr="00BD16B4">
          <w:rPr>
            <w:noProof w:val="0"/>
            <w:webHidden/>
          </w:rPr>
        </w:r>
        <w:r w:rsidR="00AD7449" w:rsidRPr="00BD16B4">
          <w:rPr>
            <w:noProof w:val="0"/>
            <w:webHidden/>
          </w:rPr>
          <w:fldChar w:fldCharType="separate"/>
        </w:r>
        <w:r w:rsidR="00A60C35">
          <w:rPr>
            <w:webHidden/>
          </w:rPr>
          <w:t>153</w:t>
        </w:r>
        <w:r w:rsidR="00AD7449" w:rsidRPr="00BD16B4">
          <w:rPr>
            <w:noProof w:val="0"/>
            <w:webHidden/>
          </w:rPr>
          <w:fldChar w:fldCharType="end"/>
        </w:r>
      </w:hyperlink>
    </w:p>
    <w:p w14:paraId="33D3E6F1" w14:textId="1E281B22" w:rsidR="00AD7449" w:rsidRPr="00BD16B4" w:rsidRDefault="00FC49D2">
      <w:pPr>
        <w:pStyle w:val="TOC2"/>
        <w:rPr>
          <w:rFonts w:asciiTheme="minorHAnsi" w:hAnsiTheme="minorHAnsi"/>
          <w:noProof w:val="0"/>
        </w:rPr>
      </w:pPr>
      <w:hyperlink w:anchor="_Toc121774638" w:history="1">
        <w:r w:rsidR="00AD7449" w:rsidRPr="00BD16B4">
          <w:rPr>
            <w:rStyle w:val="Hyperlink"/>
            <w:rFonts w:eastAsia="Calibri"/>
            <w:noProof w:val="0"/>
          </w:rPr>
          <w:t>4.5</w:t>
        </w:r>
        <w:r w:rsidR="00AD7449" w:rsidRPr="00BD16B4">
          <w:rPr>
            <w:rFonts w:asciiTheme="minorHAnsi" w:hAnsiTheme="minorHAnsi"/>
            <w:noProof w:val="0"/>
          </w:rPr>
          <w:tab/>
        </w:r>
        <w:r w:rsidR="00AD7449" w:rsidRPr="00BD16B4">
          <w:rPr>
            <w:rStyle w:val="Hyperlink"/>
            <w:rFonts w:eastAsia="Calibri"/>
            <w:noProof w:val="0"/>
          </w:rPr>
          <w:t>Monitoring, evaluation and review</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_Toc121774638 \h </w:instrText>
        </w:r>
        <w:r w:rsidR="00AD7449" w:rsidRPr="00BD16B4">
          <w:rPr>
            <w:noProof w:val="0"/>
            <w:webHidden/>
          </w:rPr>
        </w:r>
        <w:r w:rsidR="00AD7449" w:rsidRPr="00BD16B4">
          <w:rPr>
            <w:noProof w:val="0"/>
            <w:webHidden/>
          </w:rPr>
          <w:fldChar w:fldCharType="separate"/>
        </w:r>
        <w:r w:rsidR="00A60C35">
          <w:rPr>
            <w:webHidden/>
          </w:rPr>
          <w:t>156</w:t>
        </w:r>
        <w:r w:rsidR="00AD7449" w:rsidRPr="00BD16B4">
          <w:rPr>
            <w:noProof w:val="0"/>
            <w:webHidden/>
          </w:rPr>
          <w:fldChar w:fldCharType="end"/>
        </w:r>
      </w:hyperlink>
    </w:p>
    <w:p w14:paraId="634F6FBC" w14:textId="056AAF16" w:rsidR="00AD7449" w:rsidRPr="00BD16B4" w:rsidRDefault="00FC49D2">
      <w:pPr>
        <w:pStyle w:val="TOC2"/>
        <w:rPr>
          <w:rFonts w:asciiTheme="minorHAnsi" w:hAnsiTheme="minorHAnsi"/>
          <w:noProof w:val="0"/>
        </w:rPr>
      </w:pPr>
      <w:hyperlink w:anchor="_Toc121774639" w:history="1">
        <w:r w:rsidR="00AD7449" w:rsidRPr="00BD16B4">
          <w:rPr>
            <w:rStyle w:val="Hyperlink"/>
            <w:rFonts w:eastAsia="Calibri"/>
            <w:noProof w:val="0"/>
          </w:rPr>
          <w:t xml:space="preserve">4.6 </w:t>
        </w:r>
        <w:r w:rsidR="00AD7449" w:rsidRPr="00BD16B4">
          <w:rPr>
            <w:rFonts w:asciiTheme="minorHAnsi" w:hAnsiTheme="minorHAnsi"/>
            <w:noProof w:val="0"/>
          </w:rPr>
          <w:tab/>
        </w:r>
        <w:r w:rsidR="00AD7449" w:rsidRPr="00BD16B4">
          <w:rPr>
            <w:rStyle w:val="Hyperlink"/>
            <w:rFonts w:eastAsia="Calibri"/>
            <w:noProof w:val="0"/>
          </w:rPr>
          <w:t>Policies and measures no longer in place</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_Toc121774639 \h </w:instrText>
        </w:r>
        <w:r w:rsidR="00AD7449" w:rsidRPr="00BD16B4">
          <w:rPr>
            <w:noProof w:val="0"/>
            <w:webHidden/>
          </w:rPr>
        </w:r>
        <w:r w:rsidR="00AD7449" w:rsidRPr="00BD16B4">
          <w:rPr>
            <w:noProof w:val="0"/>
            <w:webHidden/>
          </w:rPr>
          <w:fldChar w:fldCharType="separate"/>
        </w:r>
        <w:r w:rsidR="00A60C35">
          <w:rPr>
            <w:webHidden/>
          </w:rPr>
          <w:t>158</w:t>
        </w:r>
        <w:r w:rsidR="00AD7449" w:rsidRPr="00BD16B4">
          <w:rPr>
            <w:noProof w:val="0"/>
            <w:webHidden/>
          </w:rPr>
          <w:fldChar w:fldCharType="end"/>
        </w:r>
      </w:hyperlink>
    </w:p>
    <w:p w14:paraId="797E645F" w14:textId="6320E9E3" w:rsidR="00AD7449" w:rsidRPr="00BD16B4" w:rsidRDefault="00FC49D2">
      <w:pPr>
        <w:pStyle w:val="TOC1"/>
        <w:rPr>
          <w:rFonts w:asciiTheme="minorHAnsi" w:hAnsiTheme="minorHAnsi"/>
          <w:noProof w:val="0"/>
        </w:rPr>
      </w:pPr>
      <w:hyperlink w:anchor="_Toc121774640" w:history="1">
        <w:r w:rsidR="00AD7449" w:rsidRPr="00BD16B4">
          <w:rPr>
            <w:rStyle w:val="Hyperlink"/>
            <w:noProof w:val="0"/>
          </w:rPr>
          <w:t>5</w:t>
        </w:r>
        <w:r w:rsidR="00AD7449" w:rsidRPr="00BD16B4">
          <w:rPr>
            <w:rFonts w:asciiTheme="minorHAnsi" w:hAnsiTheme="minorHAnsi"/>
            <w:noProof w:val="0"/>
          </w:rPr>
          <w:tab/>
        </w:r>
        <w:r w:rsidR="00AD7449" w:rsidRPr="00BD16B4">
          <w:rPr>
            <w:rStyle w:val="Hyperlink"/>
            <w:noProof w:val="0"/>
          </w:rPr>
          <w:t>Projections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_Toc121774640 \h </w:instrText>
        </w:r>
        <w:r w:rsidR="00AD7449" w:rsidRPr="00BD16B4">
          <w:rPr>
            <w:noProof w:val="0"/>
            <w:webHidden/>
          </w:rPr>
        </w:r>
        <w:r w:rsidR="00AD7449" w:rsidRPr="00BD16B4">
          <w:rPr>
            <w:noProof w:val="0"/>
            <w:webHidden/>
          </w:rPr>
          <w:fldChar w:fldCharType="separate"/>
        </w:r>
        <w:r w:rsidR="00A60C35">
          <w:rPr>
            <w:webHidden/>
          </w:rPr>
          <w:t>160</w:t>
        </w:r>
        <w:r w:rsidR="00AD7449" w:rsidRPr="00BD16B4">
          <w:rPr>
            <w:noProof w:val="0"/>
            <w:webHidden/>
          </w:rPr>
          <w:fldChar w:fldCharType="end"/>
        </w:r>
      </w:hyperlink>
    </w:p>
    <w:p w14:paraId="00DD91FE" w14:textId="6A8FBABE" w:rsidR="00AD7449" w:rsidRPr="00BD16B4" w:rsidRDefault="00FC49D2">
      <w:pPr>
        <w:pStyle w:val="TOC2"/>
        <w:rPr>
          <w:rFonts w:asciiTheme="minorHAnsi" w:hAnsiTheme="minorHAnsi"/>
          <w:noProof w:val="0"/>
        </w:rPr>
      </w:pPr>
      <w:hyperlink w:anchor="_Toc121774641" w:history="1">
        <w:r w:rsidR="00AD7449" w:rsidRPr="00BD16B4">
          <w:rPr>
            <w:rStyle w:val="Hyperlink"/>
            <w:noProof w:val="0"/>
          </w:rPr>
          <w:t>5.1</w:t>
        </w:r>
        <w:r w:rsidR="00AD7449" w:rsidRPr="00BD16B4">
          <w:rPr>
            <w:rFonts w:asciiTheme="minorHAnsi" w:hAnsiTheme="minorHAnsi"/>
            <w:noProof w:val="0"/>
          </w:rPr>
          <w:tab/>
        </w:r>
        <w:r w:rsidR="00AD7449" w:rsidRPr="00BD16B4">
          <w:rPr>
            <w:rStyle w:val="Hyperlink"/>
            <w:noProof w:val="0"/>
          </w:rPr>
          <w:t>Introduction</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_Toc121774641 \h </w:instrText>
        </w:r>
        <w:r w:rsidR="00AD7449" w:rsidRPr="00BD16B4">
          <w:rPr>
            <w:noProof w:val="0"/>
            <w:webHidden/>
          </w:rPr>
        </w:r>
        <w:r w:rsidR="00AD7449" w:rsidRPr="00BD16B4">
          <w:rPr>
            <w:noProof w:val="0"/>
            <w:webHidden/>
          </w:rPr>
          <w:fldChar w:fldCharType="separate"/>
        </w:r>
        <w:r w:rsidR="00A60C35">
          <w:rPr>
            <w:webHidden/>
          </w:rPr>
          <w:t>160</w:t>
        </w:r>
        <w:r w:rsidR="00AD7449" w:rsidRPr="00BD16B4">
          <w:rPr>
            <w:noProof w:val="0"/>
            <w:webHidden/>
          </w:rPr>
          <w:fldChar w:fldCharType="end"/>
        </w:r>
      </w:hyperlink>
    </w:p>
    <w:p w14:paraId="4F366BF4" w14:textId="2D6D1709" w:rsidR="00AD7449" w:rsidRPr="00BD16B4" w:rsidRDefault="00FC49D2">
      <w:pPr>
        <w:pStyle w:val="TOC2"/>
        <w:rPr>
          <w:rFonts w:asciiTheme="minorHAnsi" w:hAnsiTheme="minorHAnsi"/>
          <w:noProof w:val="0"/>
        </w:rPr>
      </w:pPr>
      <w:hyperlink w:anchor="_Toc121774642" w:history="1">
        <w:r w:rsidR="00AD7449" w:rsidRPr="00BD16B4">
          <w:rPr>
            <w:rStyle w:val="Hyperlink"/>
            <w:noProof w:val="0"/>
          </w:rPr>
          <w:t>5.2</w:t>
        </w:r>
        <w:r w:rsidR="00AD7449" w:rsidRPr="00BD16B4">
          <w:rPr>
            <w:rFonts w:asciiTheme="minorHAnsi" w:hAnsiTheme="minorHAnsi"/>
            <w:noProof w:val="0"/>
          </w:rPr>
          <w:tab/>
        </w:r>
        <w:r w:rsidR="00AD7449" w:rsidRPr="00BD16B4">
          <w:rPr>
            <w:rStyle w:val="Hyperlink"/>
            <w:noProof w:val="0"/>
          </w:rPr>
          <w:t>Projections under the United Nations Framework Convention on Climate Change</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_Toc121774642 \h </w:instrText>
        </w:r>
        <w:r w:rsidR="00AD7449" w:rsidRPr="00BD16B4">
          <w:rPr>
            <w:noProof w:val="0"/>
            <w:webHidden/>
          </w:rPr>
        </w:r>
        <w:r w:rsidR="00AD7449" w:rsidRPr="00BD16B4">
          <w:rPr>
            <w:noProof w:val="0"/>
            <w:webHidden/>
          </w:rPr>
          <w:fldChar w:fldCharType="separate"/>
        </w:r>
        <w:r w:rsidR="00A60C35">
          <w:rPr>
            <w:webHidden/>
          </w:rPr>
          <w:t>161</w:t>
        </w:r>
        <w:r w:rsidR="00AD7449" w:rsidRPr="00BD16B4">
          <w:rPr>
            <w:noProof w:val="0"/>
            <w:webHidden/>
          </w:rPr>
          <w:fldChar w:fldCharType="end"/>
        </w:r>
      </w:hyperlink>
    </w:p>
    <w:p w14:paraId="75D84FB2" w14:textId="681A3D98" w:rsidR="00AD7449" w:rsidRPr="00BD16B4" w:rsidRDefault="00FC49D2">
      <w:pPr>
        <w:pStyle w:val="TOC2"/>
        <w:rPr>
          <w:rFonts w:asciiTheme="minorHAnsi" w:hAnsiTheme="minorHAnsi"/>
          <w:noProof w:val="0"/>
        </w:rPr>
      </w:pPr>
      <w:hyperlink w:anchor="_Toc121774643" w:history="1">
        <w:r w:rsidR="00AD7449" w:rsidRPr="00BD16B4">
          <w:rPr>
            <w:rStyle w:val="Hyperlink"/>
            <w:noProof w:val="0"/>
          </w:rPr>
          <w:t>5.3</w:t>
        </w:r>
        <w:r w:rsidR="00AD7449" w:rsidRPr="00BD16B4">
          <w:rPr>
            <w:rFonts w:asciiTheme="minorHAnsi" w:hAnsiTheme="minorHAnsi"/>
            <w:noProof w:val="0"/>
          </w:rPr>
          <w:tab/>
        </w:r>
        <w:r w:rsidR="00AD7449" w:rsidRPr="00BD16B4">
          <w:rPr>
            <w:rStyle w:val="Hyperlink"/>
            <w:noProof w:val="0"/>
          </w:rPr>
          <w:t>Assessment of the total effect of policies and measures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_Toc121774643 \h </w:instrText>
        </w:r>
        <w:r w:rsidR="00AD7449" w:rsidRPr="00BD16B4">
          <w:rPr>
            <w:noProof w:val="0"/>
            <w:webHidden/>
          </w:rPr>
        </w:r>
        <w:r w:rsidR="00AD7449" w:rsidRPr="00BD16B4">
          <w:rPr>
            <w:noProof w:val="0"/>
            <w:webHidden/>
          </w:rPr>
          <w:fldChar w:fldCharType="separate"/>
        </w:r>
        <w:r w:rsidR="00A60C35">
          <w:rPr>
            <w:webHidden/>
          </w:rPr>
          <w:t>173</w:t>
        </w:r>
        <w:r w:rsidR="00AD7449" w:rsidRPr="00BD16B4">
          <w:rPr>
            <w:noProof w:val="0"/>
            <w:webHidden/>
          </w:rPr>
          <w:fldChar w:fldCharType="end"/>
        </w:r>
      </w:hyperlink>
    </w:p>
    <w:p w14:paraId="06766617" w14:textId="6021CC44" w:rsidR="00AD7449" w:rsidRPr="00BD16B4" w:rsidRDefault="00FC49D2">
      <w:pPr>
        <w:pStyle w:val="TOC2"/>
        <w:rPr>
          <w:rFonts w:asciiTheme="minorHAnsi" w:hAnsiTheme="minorHAnsi"/>
          <w:noProof w:val="0"/>
        </w:rPr>
      </w:pPr>
      <w:hyperlink w:anchor="_Toc121774644" w:history="1">
        <w:r w:rsidR="00AD7449" w:rsidRPr="00BD16B4">
          <w:rPr>
            <w:rStyle w:val="Hyperlink"/>
            <w:noProof w:val="0"/>
          </w:rPr>
          <w:t>5.4</w:t>
        </w:r>
        <w:r w:rsidR="00AD7449" w:rsidRPr="00BD16B4">
          <w:rPr>
            <w:rFonts w:asciiTheme="minorHAnsi" w:hAnsiTheme="minorHAnsi"/>
            <w:noProof w:val="0"/>
          </w:rPr>
          <w:tab/>
        </w:r>
        <w:r w:rsidR="00AD7449" w:rsidRPr="00BD16B4">
          <w:rPr>
            <w:rStyle w:val="Hyperlink"/>
            <w:noProof w:val="0"/>
          </w:rPr>
          <w:t xml:space="preserve">Differences from the </w:t>
        </w:r>
        <w:r w:rsidR="00AD7449" w:rsidRPr="00BD16B4">
          <w:rPr>
            <w:rStyle w:val="Hyperlink"/>
            <w:i/>
            <w:noProof w:val="0"/>
          </w:rPr>
          <w:t>Fourth Biennial Report</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_Toc121774644 \h </w:instrText>
        </w:r>
        <w:r w:rsidR="00AD7449" w:rsidRPr="00BD16B4">
          <w:rPr>
            <w:noProof w:val="0"/>
            <w:webHidden/>
          </w:rPr>
        </w:r>
        <w:r w:rsidR="00AD7449" w:rsidRPr="00BD16B4">
          <w:rPr>
            <w:noProof w:val="0"/>
            <w:webHidden/>
          </w:rPr>
          <w:fldChar w:fldCharType="separate"/>
        </w:r>
        <w:r w:rsidR="00A60C35">
          <w:rPr>
            <w:webHidden/>
          </w:rPr>
          <w:t>175</w:t>
        </w:r>
        <w:r w:rsidR="00AD7449" w:rsidRPr="00BD16B4">
          <w:rPr>
            <w:noProof w:val="0"/>
            <w:webHidden/>
          </w:rPr>
          <w:fldChar w:fldCharType="end"/>
        </w:r>
      </w:hyperlink>
    </w:p>
    <w:p w14:paraId="07372EBD" w14:textId="01D380A5" w:rsidR="00AD7449" w:rsidRPr="00BD16B4" w:rsidRDefault="00FC49D2">
      <w:pPr>
        <w:pStyle w:val="TOC2"/>
        <w:rPr>
          <w:rFonts w:asciiTheme="minorHAnsi" w:hAnsiTheme="minorHAnsi"/>
          <w:noProof w:val="0"/>
        </w:rPr>
      </w:pPr>
      <w:hyperlink w:anchor="_Toc121774645" w:history="1">
        <w:r w:rsidR="00AD7449" w:rsidRPr="00BD16B4">
          <w:rPr>
            <w:rStyle w:val="Hyperlink"/>
            <w:noProof w:val="0"/>
          </w:rPr>
          <w:t>5.5</w:t>
        </w:r>
        <w:r w:rsidR="00AD7449" w:rsidRPr="00BD16B4">
          <w:rPr>
            <w:rFonts w:asciiTheme="minorHAnsi" w:hAnsiTheme="minorHAnsi"/>
            <w:noProof w:val="0"/>
          </w:rPr>
          <w:tab/>
        </w:r>
        <w:r w:rsidR="00AD7449" w:rsidRPr="00BD16B4">
          <w:rPr>
            <w:rStyle w:val="Hyperlink"/>
            <w:noProof w:val="0"/>
          </w:rPr>
          <w:t>Overview of methods by sector</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_Toc121774645 \h </w:instrText>
        </w:r>
        <w:r w:rsidR="00AD7449" w:rsidRPr="00BD16B4">
          <w:rPr>
            <w:noProof w:val="0"/>
            <w:webHidden/>
          </w:rPr>
        </w:r>
        <w:r w:rsidR="00AD7449" w:rsidRPr="00BD16B4">
          <w:rPr>
            <w:noProof w:val="0"/>
            <w:webHidden/>
          </w:rPr>
          <w:fldChar w:fldCharType="separate"/>
        </w:r>
        <w:r w:rsidR="00A60C35">
          <w:rPr>
            <w:webHidden/>
          </w:rPr>
          <w:t>177</w:t>
        </w:r>
        <w:r w:rsidR="00AD7449" w:rsidRPr="00BD16B4">
          <w:rPr>
            <w:noProof w:val="0"/>
            <w:webHidden/>
          </w:rPr>
          <w:fldChar w:fldCharType="end"/>
        </w:r>
      </w:hyperlink>
    </w:p>
    <w:p w14:paraId="6B08CCD8" w14:textId="191CE2F0" w:rsidR="00AD7449" w:rsidRPr="00BD16B4" w:rsidRDefault="00FC49D2">
      <w:pPr>
        <w:pStyle w:val="TOC1"/>
        <w:rPr>
          <w:rFonts w:asciiTheme="minorHAnsi" w:hAnsiTheme="minorHAnsi"/>
          <w:noProof w:val="0"/>
        </w:rPr>
      </w:pPr>
      <w:hyperlink w:anchor="_Toc121774646" w:history="1">
        <w:r w:rsidR="00AD7449" w:rsidRPr="00BD16B4">
          <w:rPr>
            <w:rStyle w:val="Hyperlink"/>
            <w:noProof w:val="0"/>
          </w:rPr>
          <w:t>6</w:t>
        </w:r>
        <w:r w:rsidR="00AD7449" w:rsidRPr="00BD16B4">
          <w:rPr>
            <w:rFonts w:asciiTheme="minorHAnsi" w:hAnsiTheme="minorHAnsi"/>
            <w:noProof w:val="0"/>
          </w:rPr>
          <w:tab/>
        </w:r>
        <w:r w:rsidR="00AD7449" w:rsidRPr="00BD16B4">
          <w:rPr>
            <w:rStyle w:val="Hyperlink"/>
            <w:noProof w:val="0"/>
          </w:rPr>
          <w:t>Vulnerability assessment, climate change impacts and adaptation measures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_Toc121774646 \h </w:instrText>
        </w:r>
        <w:r w:rsidR="00AD7449" w:rsidRPr="00BD16B4">
          <w:rPr>
            <w:noProof w:val="0"/>
            <w:webHidden/>
          </w:rPr>
        </w:r>
        <w:r w:rsidR="00AD7449" w:rsidRPr="00BD16B4">
          <w:rPr>
            <w:noProof w:val="0"/>
            <w:webHidden/>
          </w:rPr>
          <w:fldChar w:fldCharType="separate"/>
        </w:r>
        <w:r w:rsidR="00A60C35">
          <w:rPr>
            <w:webHidden/>
          </w:rPr>
          <w:t>206</w:t>
        </w:r>
        <w:r w:rsidR="00AD7449" w:rsidRPr="00BD16B4">
          <w:rPr>
            <w:noProof w:val="0"/>
            <w:webHidden/>
          </w:rPr>
          <w:fldChar w:fldCharType="end"/>
        </w:r>
      </w:hyperlink>
    </w:p>
    <w:p w14:paraId="4BA75F8C" w14:textId="5FB9A6DB" w:rsidR="00AD7449" w:rsidRPr="00BD16B4" w:rsidRDefault="00FC49D2">
      <w:pPr>
        <w:pStyle w:val="TOC2"/>
        <w:rPr>
          <w:rFonts w:asciiTheme="minorHAnsi" w:hAnsiTheme="minorHAnsi"/>
          <w:noProof w:val="0"/>
        </w:rPr>
      </w:pPr>
      <w:hyperlink w:anchor="_Toc121774647" w:history="1">
        <w:r w:rsidR="00AD7449" w:rsidRPr="00BD16B4">
          <w:rPr>
            <w:rStyle w:val="Hyperlink"/>
            <w:noProof w:val="0"/>
          </w:rPr>
          <w:t>6.1</w:t>
        </w:r>
        <w:r w:rsidR="00AD7449" w:rsidRPr="00BD16B4">
          <w:rPr>
            <w:rFonts w:asciiTheme="minorHAnsi" w:hAnsiTheme="minorHAnsi"/>
            <w:noProof w:val="0"/>
          </w:rPr>
          <w:tab/>
        </w:r>
        <w:r w:rsidR="00AD7449" w:rsidRPr="00BD16B4">
          <w:rPr>
            <w:rStyle w:val="Hyperlink"/>
            <w:noProof w:val="0"/>
          </w:rPr>
          <w:t>Introduction</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_Toc121774647 \h </w:instrText>
        </w:r>
        <w:r w:rsidR="00AD7449" w:rsidRPr="00BD16B4">
          <w:rPr>
            <w:noProof w:val="0"/>
            <w:webHidden/>
          </w:rPr>
        </w:r>
        <w:r w:rsidR="00AD7449" w:rsidRPr="00BD16B4">
          <w:rPr>
            <w:noProof w:val="0"/>
            <w:webHidden/>
          </w:rPr>
          <w:fldChar w:fldCharType="separate"/>
        </w:r>
        <w:r w:rsidR="00A60C35">
          <w:rPr>
            <w:webHidden/>
          </w:rPr>
          <w:t>206</w:t>
        </w:r>
        <w:r w:rsidR="00AD7449" w:rsidRPr="00BD16B4">
          <w:rPr>
            <w:noProof w:val="0"/>
            <w:webHidden/>
          </w:rPr>
          <w:fldChar w:fldCharType="end"/>
        </w:r>
      </w:hyperlink>
    </w:p>
    <w:p w14:paraId="6F09590B" w14:textId="57B96972" w:rsidR="00AD7449" w:rsidRPr="00BD16B4" w:rsidRDefault="00FC49D2">
      <w:pPr>
        <w:pStyle w:val="TOC2"/>
        <w:rPr>
          <w:rFonts w:asciiTheme="minorHAnsi" w:hAnsiTheme="minorHAnsi"/>
          <w:noProof w:val="0"/>
        </w:rPr>
      </w:pPr>
      <w:hyperlink w:anchor="_Toc121774648" w:history="1">
        <w:r w:rsidR="00AD7449" w:rsidRPr="00BD16B4">
          <w:rPr>
            <w:rStyle w:val="Hyperlink"/>
            <w:noProof w:val="0"/>
          </w:rPr>
          <w:t>6.2</w:t>
        </w:r>
        <w:r w:rsidR="00AD7449" w:rsidRPr="00BD16B4">
          <w:rPr>
            <w:rFonts w:asciiTheme="minorHAnsi" w:hAnsiTheme="minorHAnsi"/>
            <w:noProof w:val="0"/>
          </w:rPr>
          <w:tab/>
        </w:r>
        <w:r w:rsidR="00AD7449" w:rsidRPr="00BD16B4">
          <w:rPr>
            <w:rStyle w:val="Hyperlink"/>
            <w:noProof w:val="0"/>
          </w:rPr>
          <w:t>National circumstances, institutional arrangements and legal frameworks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_Toc121774648 \h </w:instrText>
        </w:r>
        <w:r w:rsidR="00AD7449" w:rsidRPr="00BD16B4">
          <w:rPr>
            <w:noProof w:val="0"/>
            <w:webHidden/>
          </w:rPr>
        </w:r>
        <w:r w:rsidR="00AD7449" w:rsidRPr="00BD16B4">
          <w:rPr>
            <w:noProof w:val="0"/>
            <w:webHidden/>
          </w:rPr>
          <w:fldChar w:fldCharType="separate"/>
        </w:r>
        <w:r w:rsidR="00A60C35">
          <w:rPr>
            <w:webHidden/>
          </w:rPr>
          <w:t>207</w:t>
        </w:r>
        <w:r w:rsidR="00AD7449" w:rsidRPr="00BD16B4">
          <w:rPr>
            <w:noProof w:val="0"/>
            <w:webHidden/>
          </w:rPr>
          <w:fldChar w:fldCharType="end"/>
        </w:r>
      </w:hyperlink>
    </w:p>
    <w:p w14:paraId="54A9FD5F" w14:textId="01A8465B" w:rsidR="00AD7449" w:rsidRPr="00BD16B4" w:rsidRDefault="00FC49D2">
      <w:pPr>
        <w:pStyle w:val="TOC2"/>
        <w:rPr>
          <w:rFonts w:asciiTheme="minorHAnsi" w:hAnsiTheme="minorHAnsi"/>
          <w:noProof w:val="0"/>
        </w:rPr>
      </w:pPr>
      <w:hyperlink w:anchor="_Toc121774649" w:history="1">
        <w:r w:rsidR="00AD7449" w:rsidRPr="00BD16B4">
          <w:rPr>
            <w:rStyle w:val="Hyperlink"/>
            <w:noProof w:val="0"/>
          </w:rPr>
          <w:t xml:space="preserve">6.3 </w:t>
        </w:r>
        <w:r w:rsidR="00AD7449" w:rsidRPr="00BD16B4">
          <w:rPr>
            <w:rFonts w:asciiTheme="minorHAnsi" w:hAnsiTheme="minorHAnsi"/>
            <w:noProof w:val="0"/>
          </w:rPr>
          <w:tab/>
        </w:r>
        <w:r w:rsidR="00AD7449" w:rsidRPr="00BD16B4">
          <w:rPr>
            <w:rStyle w:val="Hyperlink"/>
            <w:noProof w:val="0"/>
          </w:rPr>
          <w:t>Climate modelling, projections and scenarios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_Toc121774649 \h </w:instrText>
        </w:r>
        <w:r w:rsidR="00AD7449" w:rsidRPr="00BD16B4">
          <w:rPr>
            <w:noProof w:val="0"/>
            <w:webHidden/>
          </w:rPr>
        </w:r>
        <w:r w:rsidR="00AD7449" w:rsidRPr="00BD16B4">
          <w:rPr>
            <w:noProof w:val="0"/>
            <w:webHidden/>
          </w:rPr>
          <w:fldChar w:fldCharType="separate"/>
        </w:r>
        <w:r w:rsidR="00A60C35">
          <w:rPr>
            <w:webHidden/>
          </w:rPr>
          <w:t>210</w:t>
        </w:r>
        <w:r w:rsidR="00AD7449" w:rsidRPr="00BD16B4">
          <w:rPr>
            <w:noProof w:val="0"/>
            <w:webHidden/>
          </w:rPr>
          <w:fldChar w:fldCharType="end"/>
        </w:r>
      </w:hyperlink>
    </w:p>
    <w:p w14:paraId="186A0174" w14:textId="20B37CE4" w:rsidR="00AD7449" w:rsidRPr="00BD16B4" w:rsidRDefault="00FC49D2">
      <w:pPr>
        <w:pStyle w:val="TOC2"/>
        <w:rPr>
          <w:rFonts w:asciiTheme="minorHAnsi" w:hAnsiTheme="minorHAnsi"/>
          <w:noProof w:val="0"/>
        </w:rPr>
      </w:pPr>
      <w:hyperlink w:anchor="_Toc121774650" w:history="1">
        <w:r w:rsidR="00AD7449" w:rsidRPr="00BD16B4">
          <w:rPr>
            <w:rStyle w:val="Hyperlink"/>
            <w:noProof w:val="0"/>
          </w:rPr>
          <w:t>6.4</w:t>
        </w:r>
        <w:r w:rsidR="00AD7449" w:rsidRPr="00BD16B4">
          <w:rPr>
            <w:rFonts w:asciiTheme="minorHAnsi" w:hAnsiTheme="minorHAnsi"/>
            <w:noProof w:val="0"/>
          </w:rPr>
          <w:tab/>
        </w:r>
        <w:r w:rsidR="00AD7449" w:rsidRPr="00BD16B4">
          <w:rPr>
            <w:rStyle w:val="Hyperlink"/>
            <w:noProof w:val="0"/>
          </w:rPr>
          <w:t>Climate change impacts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_Toc121774650 \h </w:instrText>
        </w:r>
        <w:r w:rsidR="00AD7449" w:rsidRPr="00BD16B4">
          <w:rPr>
            <w:noProof w:val="0"/>
            <w:webHidden/>
          </w:rPr>
        </w:r>
        <w:r w:rsidR="00AD7449" w:rsidRPr="00BD16B4">
          <w:rPr>
            <w:noProof w:val="0"/>
            <w:webHidden/>
          </w:rPr>
          <w:fldChar w:fldCharType="separate"/>
        </w:r>
        <w:r w:rsidR="00A60C35">
          <w:rPr>
            <w:webHidden/>
          </w:rPr>
          <w:t>214</w:t>
        </w:r>
        <w:r w:rsidR="00AD7449" w:rsidRPr="00BD16B4">
          <w:rPr>
            <w:noProof w:val="0"/>
            <w:webHidden/>
          </w:rPr>
          <w:fldChar w:fldCharType="end"/>
        </w:r>
      </w:hyperlink>
    </w:p>
    <w:p w14:paraId="35C66DBF" w14:textId="26A37061" w:rsidR="00AD7449" w:rsidRPr="00BD16B4" w:rsidRDefault="00FC49D2">
      <w:pPr>
        <w:pStyle w:val="TOC2"/>
        <w:rPr>
          <w:rFonts w:asciiTheme="minorHAnsi" w:hAnsiTheme="minorHAnsi"/>
          <w:noProof w:val="0"/>
        </w:rPr>
      </w:pPr>
      <w:hyperlink w:anchor="_Toc121774651" w:history="1">
        <w:r w:rsidR="00AD7449" w:rsidRPr="00BD16B4">
          <w:rPr>
            <w:rStyle w:val="Hyperlink"/>
            <w:noProof w:val="0"/>
          </w:rPr>
          <w:t>6.5</w:t>
        </w:r>
        <w:r w:rsidR="00AD7449" w:rsidRPr="00BD16B4">
          <w:rPr>
            <w:rFonts w:asciiTheme="minorHAnsi" w:hAnsiTheme="minorHAnsi"/>
            <w:noProof w:val="0"/>
          </w:rPr>
          <w:tab/>
        </w:r>
        <w:r w:rsidR="00AD7449" w:rsidRPr="00BD16B4">
          <w:rPr>
            <w:rStyle w:val="Hyperlink"/>
            <w:noProof w:val="0"/>
          </w:rPr>
          <w:t>Assessment of risks and vulnerability to climate change</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_Toc121774651 \h </w:instrText>
        </w:r>
        <w:r w:rsidR="00AD7449" w:rsidRPr="00BD16B4">
          <w:rPr>
            <w:noProof w:val="0"/>
            <w:webHidden/>
          </w:rPr>
        </w:r>
        <w:r w:rsidR="00AD7449" w:rsidRPr="00BD16B4">
          <w:rPr>
            <w:noProof w:val="0"/>
            <w:webHidden/>
          </w:rPr>
          <w:fldChar w:fldCharType="separate"/>
        </w:r>
        <w:r w:rsidR="00A60C35">
          <w:rPr>
            <w:webHidden/>
          </w:rPr>
          <w:t>218</w:t>
        </w:r>
        <w:r w:rsidR="00AD7449" w:rsidRPr="00BD16B4">
          <w:rPr>
            <w:noProof w:val="0"/>
            <w:webHidden/>
          </w:rPr>
          <w:fldChar w:fldCharType="end"/>
        </w:r>
      </w:hyperlink>
    </w:p>
    <w:p w14:paraId="186D117B" w14:textId="141B0EFD" w:rsidR="00AD7449" w:rsidRPr="00BD16B4" w:rsidRDefault="00FC49D2">
      <w:pPr>
        <w:pStyle w:val="TOC2"/>
        <w:rPr>
          <w:rFonts w:asciiTheme="minorHAnsi" w:hAnsiTheme="minorHAnsi"/>
          <w:noProof w:val="0"/>
        </w:rPr>
      </w:pPr>
      <w:hyperlink w:anchor="_Toc121774652" w:history="1">
        <w:r w:rsidR="00AD7449" w:rsidRPr="00BD16B4">
          <w:rPr>
            <w:rStyle w:val="Hyperlink"/>
            <w:noProof w:val="0"/>
          </w:rPr>
          <w:t>6.6</w:t>
        </w:r>
        <w:r w:rsidR="00AD7449" w:rsidRPr="00BD16B4">
          <w:rPr>
            <w:rFonts w:asciiTheme="minorHAnsi" w:hAnsiTheme="minorHAnsi"/>
            <w:noProof w:val="0"/>
          </w:rPr>
          <w:tab/>
        </w:r>
        <w:r w:rsidR="00AD7449" w:rsidRPr="00BD16B4">
          <w:rPr>
            <w:rStyle w:val="Hyperlink"/>
            <w:noProof w:val="0"/>
          </w:rPr>
          <w:t>Aotearoa New Zealand’s adaptation strategy, policies and proposals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_Toc121774652 \h </w:instrText>
        </w:r>
        <w:r w:rsidR="00AD7449" w:rsidRPr="00BD16B4">
          <w:rPr>
            <w:noProof w:val="0"/>
            <w:webHidden/>
          </w:rPr>
        </w:r>
        <w:r w:rsidR="00AD7449" w:rsidRPr="00BD16B4">
          <w:rPr>
            <w:noProof w:val="0"/>
            <w:webHidden/>
          </w:rPr>
          <w:fldChar w:fldCharType="separate"/>
        </w:r>
        <w:r w:rsidR="00A60C35">
          <w:rPr>
            <w:webHidden/>
          </w:rPr>
          <w:t>223</w:t>
        </w:r>
        <w:r w:rsidR="00AD7449" w:rsidRPr="00BD16B4">
          <w:rPr>
            <w:noProof w:val="0"/>
            <w:webHidden/>
          </w:rPr>
          <w:fldChar w:fldCharType="end"/>
        </w:r>
      </w:hyperlink>
    </w:p>
    <w:p w14:paraId="2B444E09" w14:textId="3657B801" w:rsidR="00AD7449" w:rsidRPr="00BD16B4" w:rsidRDefault="00FC49D2">
      <w:pPr>
        <w:pStyle w:val="TOC2"/>
        <w:rPr>
          <w:rFonts w:asciiTheme="minorHAnsi" w:hAnsiTheme="minorHAnsi"/>
          <w:noProof w:val="0"/>
        </w:rPr>
      </w:pPr>
      <w:hyperlink w:anchor="_Toc121774653" w:history="1">
        <w:r w:rsidR="00AD7449" w:rsidRPr="00BD16B4">
          <w:rPr>
            <w:rStyle w:val="Hyperlink"/>
            <w:noProof w:val="0"/>
          </w:rPr>
          <w:t>6.7</w:t>
        </w:r>
        <w:r w:rsidR="00AD7449" w:rsidRPr="00BD16B4">
          <w:rPr>
            <w:rFonts w:asciiTheme="minorHAnsi" w:hAnsiTheme="minorHAnsi"/>
            <w:noProof w:val="0"/>
          </w:rPr>
          <w:tab/>
        </w:r>
        <w:r w:rsidR="00AD7449" w:rsidRPr="00BD16B4">
          <w:rPr>
            <w:rStyle w:val="Hyperlink"/>
            <w:noProof w:val="0"/>
          </w:rPr>
          <w:t>Use of science, mātauranga Māori and local knowledge in adaptation</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_Toc121774653 \h </w:instrText>
        </w:r>
        <w:r w:rsidR="00AD7449" w:rsidRPr="00BD16B4">
          <w:rPr>
            <w:noProof w:val="0"/>
            <w:webHidden/>
          </w:rPr>
        </w:r>
        <w:r w:rsidR="00AD7449" w:rsidRPr="00BD16B4">
          <w:rPr>
            <w:noProof w:val="0"/>
            <w:webHidden/>
          </w:rPr>
          <w:fldChar w:fldCharType="separate"/>
        </w:r>
        <w:r w:rsidR="00A60C35">
          <w:rPr>
            <w:webHidden/>
          </w:rPr>
          <w:t>234</w:t>
        </w:r>
        <w:r w:rsidR="00AD7449" w:rsidRPr="00BD16B4">
          <w:rPr>
            <w:noProof w:val="0"/>
            <w:webHidden/>
          </w:rPr>
          <w:fldChar w:fldCharType="end"/>
        </w:r>
      </w:hyperlink>
    </w:p>
    <w:p w14:paraId="76728B81" w14:textId="139EC7E4" w:rsidR="00AD7449" w:rsidRPr="00BD16B4" w:rsidRDefault="00FC49D2">
      <w:pPr>
        <w:pStyle w:val="TOC2"/>
        <w:rPr>
          <w:rFonts w:asciiTheme="minorHAnsi" w:hAnsiTheme="minorHAnsi"/>
          <w:noProof w:val="0"/>
        </w:rPr>
      </w:pPr>
      <w:hyperlink w:anchor="_Toc121774654" w:history="1">
        <w:r w:rsidR="00AD7449" w:rsidRPr="00BD16B4">
          <w:rPr>
            <w:rStyle w:val="Hyperlink"/>
            <w:rFonts w:eastAsia="Calibri Light"/>
            <w:noProof w:val="0"/>
          </w:rPr>
          <w:t>6.8</w:t>
        </w:r>
        <w:r w:rsidR="00AD7449" w:rsidRPr="00BD16B4">
          <w:rPr>
            <w:rFonts w:asciiTheme="minorHAnsi" w:hAnsiTheme="minorHAnsi"/>
            <w:noProof w:val="0"/>
          </w:rPr>
          <w:tab/>
        </w:r>
        <w:r w:rsidR="00AD7449" w:rsidRPr="00BD16B4">
          <w:rPr>
            <w:rStyle w:val="Hyperlink"/>
            <w:rFonts w:eastAsia="Calibri Light"/>
            <w:noProof w:val="0"/>
          </w:rPr>
          <w:t>Cooperation</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_Toc121774654 \h </w:instrText>
        </w:r>
        <w:r w:rsidR="00AD7449" w:rsidRPr="00BD16B4">
          <w:rPr>
            <w:noProof w:val="0"/>
            <w:webHidden/>
          </w:rPr>
        </w:r>
        <w:r w:rsidR="00AD7449" w:rsidRPr="00BD16B4">
          <w:rPr>
            <w:noProof w:val="0"/>
            <w:webHidden/>
          </w:rPr>
          <w:fldChar w:fldCharType="separate"/>
        </w:r>
        <w:r w:rsidR="00A60C35">
          <w:rPr>
            <w:webHidden/>
          </w:rPr>
          <w:t>236</w:t>
        </w:r>
        <w:r w:rsidR="00AD7449" w:rsidRPr="00BD16B4">
          <w:rPr>
            <w:noProof w:val="0"/>
            <w:webHidden/>
          </w:rPr>
          <w:fldChar w:fldCharType="end"/>
        </w:r>
      </w:hyperlink>
    </w:p>
    <w:p w14:paraId="235EC4B5" w14:textId="0C4EC87E" w:rsidR="00AD7449" w:rsidRPr="00BD16B4" w:rsidRDefault="00FC49D2">
      <w:pPr>
        <w:pStyle w:val="TOC2"/>
        <w:rPr>
          <w:rFonts w:asciiTheme="minorHAnsi" w:hAnsiTheme="minorHAnsi"/>
          <w:noProof w:val="0"/>
        </w:rPr>
      </w:pPr>
      <w:hyperlink w:anchor="_Toc121774655" w:history="1">
        <w:r w:rsidR="00AD7449" w:rsidRPr="00BD16B4">
          <w:rPr>
            <w:rStyle w:val="Hyperlink"/>
            <w:rFonts w:eastAsia="Calibri Light"/>
            <w:noProof w:val="0"/>
          </w:rPr>
          <w:t>6.9</w:t>
        </w:r>
        <w:r w:rsidR="00AD7449" w:rsidRPr="00BD16B4">
          <w:rPr>
            <w:rFonts w:asciiTheme="minorHAnsi" w:hAnsiTheme="minorHAnsi"/>
            <w:noProof w:val="0"/>
          </w:rPr>
          <w:tab/>
        </w:r>
        <w:r w:rsidR="00AD7449" w:rsidRPr="00BD16B4">
          <w:rPr>
            <w:rStyle w:val="Hyperlink"/>
            <w:rFonts w:eastAsia="Calibri Light"/>
            <w:noProof w:val="0"/>
          </w:rPr>
          <w:t>Finance</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_Toc121774655 \h </w:instrText>
        </w:r>
        <w:r w:rsidR="00AD7449" w:rsidRPr="00BD16B4">
          <w:rPr>
            <w:noProof w:val="0"/>
            <w:webHidden/>
          </w:rPr>
        </w:r>
        <w:r w:rsidR="00AD7449" w:rsidRPr="00BD16B4">
          <w:rPr>
            <w:noProof w:val="0"/>
            <w:webHidden/>
          </w:rPr>
          <w:fldChar w:fldCharType="separate"/>
        </w:r>
        <w:r w:rsidR="00A60C35">
          <w:rPr>
            <w:webHidden/>
          </w:rPr>
          <w:t>237</w:t>
        </w:r>
        <w:r w:rsidR="00AD7449" w:rsidRPr="00BD16B4">
          <w:rPr>
            <w:noProof w:val="0"/>
            <w:webHidden/>
          </w:rPr>
          <w:fldChar w:fldCharType="end"/>
        </w:r>
      </w:hyperlink>
    </w:p>
    <w:p w14:paraId="05AD1C83" w14:textId="2F19E9FA" w:rsidR="00AD7449" w:rsidRPr="00BD16B4" w:rsidRDefault="00FC49D2">
      <w:pPr>
        <w:pStyle w:val="TOC1"/>
        <w:rPr>
          <w:rFonts w:asciiTheme="minorHAnsi" w:hAnsiTheme="minorHAnsi"/>
          <w:noProof w:val="0"/>
        </w:rPr>
      </w:pPr>
      <w:hyperlink w:anchor="_Toc121774656" w:history="1">
        <w:r w:rsidR="00AD7449" w:rsidRPr="00BD16B4">
          <w:rPr>
            <w:rStyle w:val="Hyperlink"/>
            <w:noProof w:val="0"/>
          </w:rPr>
          <w:t>7</w:t>
        </w:r>
        <w:r w:rsidR="00AD7449" w:rsidRPr="00BD16B4">
          <w:rPr>
            <w:rFonts w:asciiTheme="minorHAnsi" w:hAnsiTheme="minorHAnsi"/>
            <w:noProof w:val="0"/>
          </w:rPr>
          <w:tab/>
        </w:r>
        <w:r w:rsidR="00AD7449" w:rsidRPr="00BD16B4">
          <w:rPr>
            <w:rStyle w:val="Hyperlink"/>
            <w:noProof w:val="0"/>
          </w:rPr>
          <w:t>Financial, technological and capacity-building support</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_Toc121774656 \h </w:instrText>
        </w:r>
        <w:r w:rsidR="00AD7449" w:rsidRPr="00BD16B4">
          <w:rPr>
            <w:noProof w:val="0"/>
            <w:webHidden/>
          </w:rPr>
        </w:r>
        <w:r w:rsidR="00AD7449" w:rsidRPr="00BD16B4">
          <w:rPr>
            <w:noProof w:val="0"/>
            <w:webHidden/>
          </w:rPr>
          <w:fldChar w:fldCharType="separate"/>
        </w:r>
        <w:r w:rsidR="00A60C35">
          <w:rPr>
            <w:webHidden/>
          </w:rPr>
          <w:t>239</w:t>
        </w:r>
        <w:r w:rsidR="00AD7449" w:rsidRPr="00BD16B4">
          <w:rPr>
            <w:noProof w:val="0"/>
            <w:webHidden/>
          </w:rPr>
          <w:fldChar w:fldCharType="end"/>
        </w:r>
      </w:hyperlink>
    </w:p>
    <w:p w14:paraId="5D2B8F60" w14:textId="677C2822" w:rsidR="00AD7449" w:rsidRPr="00BD16B4" w:rsidRDefault="00FC49D2">
      <w:pPr>
        <w:pStyle w:val="TOC2"/>
        <w:rPr>
          <w:rFonts w:asciiTheme="minorHAnsi" w:hAnsiTheme="minorHAnsi"/>
          <w:noProof w:val="0"/>
        </w:rPr>
      </w:pPr>
      <w:hyperlink w:anchor="_Toc121774657" w:history="1">
        <w:r w:rsidR="00AD7449" w:rsidRPr="00BD16B4">
          <w:rPr>
            <w:rStyle w:val="Hyperlink"/>
            <w:noProof w:val="0"/>
          </w:rPr>
          <w:t>7.1</w:t>
        </w:r>
        <w:r w:rsidR="00AD7449" w:rsidRPr="00BD16B4">
          <w:rPr>
            <w:rFonts w:asciiTheme="minorHAnsi" w:hAnsiTheme="minorHAnsi"/>
            <w:noProof w:val="0"/>
          </w:rPr>
          <w:tab/>
        </w:r>
        <w:r w:rsidR="00AD7449" w:rsidRPr="00BD16B4">
          <w:rPr>
            <w:rStyle w:val="Hyperlink"/>
            <w:noProof w:val="0"/>
          </w:rPr>
          <w:t>Introduction</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_Toc121774657 \h </w:instrText>
        </w:r>
        <w:r w:rsidR="00AD7449" w:rsidRPr="00BD16B4">
          <w:rPr>
            <w:noProof w:val="0"/>
            <w:webHidden/>
          </w:rPr>
        </w:r>
        <w:r w:rsidR="00AD7449" w:rsidRPr="00BD16B4">
          <w:rPr>
            <w:noProof w:val="0"/>
            <w:webHidden/>
          </w:rPr>
          <w:fldChar w:fldCharType="separate"/>
        </w:r>
        <w:r w:rsidR="00A60C35">
          <w:rPr>
            <w:webHidden/>
          </w:rPr>
          <w:t>239</w:t>
        </w:r>
        <w:r w:rsidR="00AD7449" w:rsidRPr="00BD16B4">
          <w:rPr>
            <w:noProof w:val="0"/>
            <w:webHidden/>
          </w:rPr>
          <w:fldChar w:fldCharType="end"/>
        </w:r>
      </w:hyperlink>
    </w:p>
    <w:p w14:paraId="6B284225" w14:textId="60990CA8" w:rsidR="00AD7449" w:rsidRPr="00BD16B4" w:rsidRDefault="00FC49D2">
      <w:pPr>
        <w:pStyle w:val="TOC2"/>
        <w:rPr>
          <w:rFonts w:asciiTheme="minorHAnsi" w:hAnsiTheme="minorHAnsi"/>
          <w:noProof w:val="0"/>
        </w:rPr>
      </w:pPr>
      <w:hyperlink w:anchor="_Toc121774658" w:history="1">
        <w:r w:rsidR="00AD7449" w:rsidRPr="00BD16B4">
          <w:rPr>
            <w:rStyle w:val="Hyperlink"/>
            <w:noProof w:val="0"/>
          </w:rPr>
          <w:t xml:space="preserve">7.2 </w:t>
        </w:r>
        <w:r w:rsidR="00AD7449" w:rsidRPr="00BD16B4">
          <w:rPr>
            <w:rFonts w:asciiTheme="minorHAnsi" w:hAnsiTheme="minorHAnsi"/>
            <w:noProof w:val="0"/>
          </w:rPr>
          <w:tab/>
        </w:r>
        <w:r w:rsidR="00AD7449" w:rsidRPr="00BD16B4">
          <w:rPr>
            <w:rStyle w:val="Hyperlink"/>
            <w:noProof w:val="0"/>
          </w:rPr>
          <w:t>Financial resources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_Toc121774658 \h </w:instrText>
        </w:r>
        <w:r w:rsidR="00AD7449" w:rsidRPr="00BD16B4">
          <w:rPr>
            <w:noProof w:val="0"/>
            <w:webHidden/>
          </w:rPr>
        </w:r>
        <w:r w:rsidR="00AD7449" w:rsidRPr="00BD16B4">
          <w:rPr>
            <w:noProof w:val="0"/>
            <w:webHidden/>
          </w:rPr>
          <w:fldChar w:fldCharType="separate"/>
        </w:r>
        <w:r w:rsidR="00A60C35">
          <w:rPr>
            <w:webHidden/>
          </w:rPr>
          <w:t>244</w:t>
        </w:r>
        <w:r w:rsidR="00AD7449" w:rsidRPr="00BD16B4">
          <w:rPr>
            <w:noProof w:val="0"/>
            <w:webHidden/>
          </w:rPr>
          <w:fldChar w:fldCharType="end"/>
        </w:r>
      </w:hyperlink>
    </w:p>
    <w:p w14:paraId="027E7158" w14:textId="677E4FF5" w:rsidR="00AD7449" w:rsidRPr="00BD16B4" w:rsidRDefault="00FC49D2">
      <w:pPr>
        <w:pStyle w:val="TOC2"/>
        <w:rPr>
          <w:rFonts w:asciiTheme="minorHAnsi" w:hAnsiTheme="minorHAnsi"/>
          <w:noProof w:val="0"/>
        </w:rPr>
      </w:pPr>
      <w:hyperlink w:anchor="_Toc121774659" w:history="1">
        <w:r w:rsidR="00AD7449" w:rsidRPr="00BD16B4">
          <w:rPr>
            <w:rStyle w:val="Hyperlink"/>
            <w:noProof w:val="0"/>
          </w:rPr>
          <w:t>7.3</w:t>
        </w:r>
        <w:r w:rsidR="00AD7449" w:rsidRPr="00BD16B4">
          <w:rPr>
            <w:rFonts w:asciiTheme="minorHAnsi" w:hAnsiTheme="minorHAnsi"/>
            <w:noProof w:val="0"/>
          </w:rPr>
          <w:tab/>
        </w:r>
        <w:r w:rsidR="00AD7449" w:rsidRPr="00BD16B4">
          <w:rPr>
            <w:rStyle w:val="Hyperlink"/>
            <w:noProof w:val="0"/>
          </w:rPr>
          <w:t>Technology development and transfer</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_Toc121774659 \h </w:instrText>
        </w:r>
        <w:r w:rsidR="00AD7449" w:rsidRPr="00BD16B4">
          <w:rPr>
            <w:noProof w:val="0"/>
            <w:webHidden/>
          </w:rPr>
        </w:r>
        <w:r w:rsidR="00AD7449" w:rsidRPr="00BD16B4">
          <w:rPr>
            <w:noProof w:val="0"/>
            <w:webHidden/>
          </w:rPr>
          <w:fldChar w:fldCharType="separate"/>
        </w:r>
        <w:r w:rsidR="00A60C35">
          <w:rPr>
            <w:webHidden/>
          </w:rPr>
          <w:t>269</w:t>
        </w:r>
        <w:r w:rsidR="00AD7449" w:rsidRPr="00BD16B4">
          <w:rPr>
            <w:noProof w:val="0"/>
            <w:webHidden/>
          </w:rPr>
          <w:fldChar w:fldCharType="end"/>
        </w:r>
      </w:hyperlink>
    </w:p>
    <w:p w14:paraId="47CEDFA9" w14:textId="4D5DAC80" w:rsidR="00AD7449" w:rsidRPr="00BD16B4" w:rsidRDefault="00FC49D2">
      <w:pPr>
        <w:pStyle w:val="TOC2"/>
        <w:rPr>
          <w:rFonts w:asciiTheme="minorHAnsi" w:hAnsiTheme="minorHAnsi"/>
          <w:noProof w:val="0"/>
        </w:rPr>
      </w:pPr>
      <w:hyperlink w:anchor="_Toc121774660" w:history="1">
        <w:r w:rsidR="00AD7449" w:rsidRPr="00BD16B4">
          <w:rPr>
            <w:rStyle w:val="Hyperlink"/>
            <w:noProof w:val="0"/>
          </w:rPr>
          <w:t>7.4</w:t>
        </w:r>
        <w:r w:rsidR="00AD7449" w:rsidRPr="00BD16B4">
          <w:rPr>
            <w:rFonts w:asciiTheme="minorHAnsi" w:hAnsiTheme="minorHAnsi"/>
            <w:noProof w:val="0"/>
          </w:rPr>
          <w:tab/>
        </w:r>
        <w:r w:rsidR="00AD7449" w:rsidRPr="00BD16B4">
          <w:rPr>
            <w:rStyle w:val="Hyperlink"/>
            <w:noProof w:val="0"/>
          </w:rPr>
          <w:t>Capacity building</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_Toc121774660 \h </w:instrText>
        </w:r>
        <w:r w:rsidR="00AD7449" w:rsidRPr="00BD16B4">
          <w:rPr>
            <w:noProof w:val="0"/>
            <w:webHidden/>
          </w:rPr>
        </w:r>
        <w:r w:rsidR="00AD7449" w:rsidRPr="00BD16B4">
          <w:rPr>
            <w:noProof w:val="0"/>
            <w:webHidden/>
          </w:rPr>
          <w:fldChar w:fldCharType="separate"/>
        </w:r>
        <w:r w:rsidR="00A60C35">
          <w:rPr>
            <w:webHidden/>
          </w:rPr>
          <w:t>293</w:t>
        </w:r>
        <w:r w:rsidR="00AD7449" w:rsidRPr="00BD16B4">
          <w:rPr>
            <w:noProof w:val="0"/>
            <w:webHidden/>
          </w:rPr>
          <w:fldChar w:fldCharType="end"/>
        </w:r>
      </w:hyperlink>
    </w:p>
    <w:p w14:paraId="6667340E" w14:textId="70A5D896" w:rsidR="00AD7449" w:rsidRPr="00BD16B4" w:rsidRDefault="00FC49D2">
      <w:pPr>
        <w:pStyle w:val="TOC1"/>
        <w:rPr>
          <w:rFonts w:asciiTheme="minorHAnsi" w:hAnsiTheme="minorHAnsi"/>
          <w:noProof w:val="0"/>
        </w:rPr>
      </w:pPr>
      <w:hyperlink w:anchor="_Toc121774661" w:history="1">
        <w:r w:rsidR="00AD7449" w:rsidRPr="00BD16B4">
          <w:rPr>
            <w:rStyle w:val="Hyperlink"/>
            <w:noProof w:val="0"/>
          </w:rPr>
          <w:t>8</w:t>
        </w:r>
        <w:r w:rsidR="00AD7449" w:rsidRPr="00BD16B4">
          <w:rPr>
            <w:rFonts w:asciiTheme="minorHAnsi" w:hAnsiTheme="minorHAnsi"/>
            <w:noProof w:val="0"/>
          </w:rPr>
          <w:tab/>
        </w:r>
        <w:r w:rsidR="00AD7449" w:rsidRPr="00BD16B4">
          <w:rPr>
            <w:rStyle w:val="Hyperlink"/>
            <w:noProof w:val="0"/>
          </w:rPr>
          <w:t>Research and systematic observations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_Toc121774661 \h </w:instrText>
        </w:r>
        <w:r w:rsidR="00AD7449" w:rsidRPr="00BD16B4">
          <w:rPr>
            <w:noProof w:val="0"/>
            <w:webHidden/>
          </w:rPr>
        </w:r>
        <w:r w:rsidR="00AD7449" w:rsidRPr="00BD16B4">
          <w:rPr>
            <w:noProof w:val="0"/>
            <w:webHidden/>
          </w:rPr>
          <w:fldChar w:fldCharType="separate"/>
        </w:r>
        <w:r w:rsidR="00A60C35">
          <w:rPr>
            <w:webHidden/>
          </w:rPr>
          <w:t>302</w:t>
        </w:r>
        <w:r w:rsidR="00AD7449" w:rsidRPr="00BD16B4">
          <w:rPr>
            <w:noProof w:val="0"/>
            <w:webHidden/>
          </w:rPr>
          <w:fldChar w:fldCharType="end"/>
        </w:r>
      </w:hyperlink>
    </w:p>
    <w:p w14:paraId="2044EFE1" w14:textId="443D3AC6" w:rsidR="00AD7449" w:rsidRPr="00BD16B4" w:rsidRDefault="00FC49D2">
      <w:pPr>
        <w:pStyle w:val="TOC2"/>
        <w:rPr>
          <w:rFonts w:asciiTheme="minorHAnsi" w:hAnsiTheme="minorHAnsi"/>
          <w:noProof w:val="0"/>
        </w:rPr>
      </w:pPr>
      <w:hyperlink w:anchor="_Toc121774662" w:history="1">
        <w:r w:rsidR="00AD7449" w:rsidRPr="00BD16B4">
          <w:rPr>
            <w:rStyle w:val="Hyperlink"/>
            <w:noProof w:val="0"/>
          </w:rPr>
          <w:t>8.1</w:t>
        </w:r>
        <w:r w:rsidR="00AD7449" w:rsidRPr="00BD16B4">
          <w:rPr>
            <w:rFonts w:asciiTheme="minorHAnsi" w:hAnsiTheme="minorHAnsi"/>
            <w:noProof w:val="0"/>
          </w:rPr>
          <w:tab/>
        </w:r>
        <w:r w:rsidR="00AD7449" w:rsidRPr="00BD16B4">
          <w:rPr>
            <w:rStyle w:val="Hyperlink"/>
            <w:noProof w:val="0"/>
          </w:rPr>
          <w:t>Introduction</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_Toc121774662 \h </w:instrText>
        </w:r>
        <w:r w:rsidR="00AD7449" w:rsidRPr="00BD16B4">
          <w:rPr>
            <w:noProof w:val="0"/>
            <w:webHidden/>
          </w:rPr>
        </w:r>
        <w:r w:rsidR="00AD7449" w:rsidRPr="00BD16B4">
          <w:rPr>
            <w:noProof w:val="0"/>
            <w:webHidden/>
          </w:rPr>
          <w:fldChar w:fldCharType="separate"/>
        </w:r>
        <w:r w:rsidR="00A60C35">
          <w:rPr>
            <w:webHidden/>
          </w:rPr>
          <w:t>302</w:t>
        </w:r>
        <w:r w:rsidR="00AD7449" w:rsidRPr="00BD16B4">
          <w:rPr>
            <w:noProof w:val="0"/>
            <w:webHidden/>
          </w:rPr>
          <w:fldChar w:fldCharType="end"/>
        </w:r>
      </w:hyperlink>
    </w:p>
    <w:p w14:paraId="0FB348B5" w14:textId="59AEF62C" w:rsidR="00AD7449" w:rsidRPr="00BD16B4" w:rsidRDefault="00FC49D2">
      <w:pPr>
        <w:pStyle w:val="TOC2"/>
        <w:rPr>
          <w:rFonts w:asciiTheme="minorHAnsi" w:hAnsiTheme="minorHAnsi"/>
          <w:noProof w:val="0"/>
        </w:rPr>
      </w:pPr>
      <w:hyperlink w:anchor="_Toc121774663" w:history="1">
        <w:r w:rsidR="00AD7449" w:rsidRPr="00BD16B4">
          <w:rPr>
            <w:rStyle w:val="Hyperlink"/>
            <w:noProof w:val="0"/>
          </w:rPr>
          <w:t>8.2</w:t>
        </w:r>
        <w:r w:rsidR="00AD7449" w:rsidRPr="00BD16B4">
          <w:rPr>
            <w:rFonts w:asciiTheme="minorHAnsi" w:hAnsiTheme="minorHAnsi"/>
            <w:noProof w:val="0"/>
          </w:rPr>
          <w:tab/>
        </w:r>
        <w:r w:rsidR="00AD7449" w:rsidRPr="00BD16B4">
          <w:rPr>
            <w:rStyle w:val="Hyperlink"/>
            <w:noProof w:val="0"/>
          </w:rPr>
          <w:t>Research and systematic observations: policy and funding</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_Toc121774663 \h </w:instrText>
        </w:r>
        <w:r w:rsidR="00AD7449" w:rsidRPr="00BD16B4">
          <w:rPr>
            <w:noProof w:val="0"/>
            <w:webHidden/>
          </w:rPr>
        </w:r>
        <w:r w:rsidR="00AD7449" w:rsidRPr="00BD16B4">
          <w:rPr>
            <w:noProof w:val="0"/>
            <w:webHidden/>
          </w:rPr>
          <w:fldChar w:fldCharType="separate"/>
        </w:r>
        <w:r w:rsidR="00A60C35">
          <w:rPr>
            <w:webHidden/>
          </w:rPr>
          <w:t>303</w:t>
        </w:r>
        <w:r w:rsidR="00AD7449" w:rsidRPr="00BD16B4">
          <w:rPr>
            <w:noProof w:val="0"/>
            <w:webHidden/>
          </w:rPr>
          <w:fldChar w:fldCharType="end"/>
        </w:r>
      </w:hyperlink>
    </w:p>
    <w:p w14:paraId="6BF9038B" w14:textId="77E7F651" w:rsidR="00AD7449" w:rsidRPr="00BD16B4" w:rsidRDefault="00FC49D2">
      <w:pPr>
        <w:pStyle w:val="TOC2"/>
        <w:rPr>
          <w:rFonts w:asciiTheme="minorHAnsi" w:hAnsiTheme="minorHAnsi"/>
          <w:noProof w:val="0"/>
        </w:rPr>
      </w:pPr>
      <w:hyperlink w:anchor="_Toc121774664" w:history="1">
        <w:r w:rsidR="00AD7449" w:rsidRPr="00BD16B4">
          <w:rPr>
            <w:rStyle w:val="Hyperlink"/>
            <w:noProof w:val="0"/>
          </w:rPr>
          <w:t>8.3</w:t>
        </w:r>
        <w:r w:rsidR="00AD7449" w:rsidRPr="00BD16B4">
          <w:rPr>
            <w:rFonts w:asciiTheme="minorHAnsi" w:hAnsiTheme="minorHAnsi"/>
            <w:noProof w:val="0"/>
          </w:rPr>
          <w:tab/>
        </w:r>
        <w:r w:rsidR="00AD7449" w:rsidRPr="00BD16B4">
          <w:rPr>
            <w:rStyle w:val="Hyperlink"/>
            <w:noProof w:val="0"/>
          </w:rPr>
          <w:t>Information exchange and dissemination of knowledge</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_Toc121774664 \h </w:instrText>
        </w:r>
        <w:r w:rsidR="00AD7449" w:rsidRPr="00BD16B4">
          <w:rPr>
            <w:noProof w:val="0"/>
            <w:webHidden/>
          </w:rPr>
        </w:r>
        <w:r w:rsidR="00AD7449" w:rsidRPr="00BD16B4">
          <w:rPr>
            <w:noProof w:val="0"/>
            <w:webHidden/>
          </w:rPr>
          <w:fldChar w:fldCharType="separate"/>
        </w:r>
        <w:r w:rsidR="00A60C35">
          <w:rPr>
            <w:webHidden/>
          </w:rPr>
          <w:t>319</w:t>
        </w:r>
        <w:r w:rsidR="00AD7449" w:rsidRPr="00BD16B4">
          <w:rPr>
            <w:noProof w:val="0"/>
            <w:webHidden/>
          </w:rPr>
          <w:fldChar w:fldCharType="end"/>
        </w:r>
      </w:hyperlink>
    </w:p>
    <w:p w14:paraId="4B09E9C0" w14:textId="1BF2295D" w:rsidR="00AD7449" w:rsidRPr="00BD16B4" w:rsidRDefault="00FC49D2">
      <w:pPr>
        <w:pStyle w:val="TOC2"/>
        <w:rPr>
          <w:rFonts w:asciiTheme="minorHAnsi" w:hAnsiTheme="minorHAnsi"/>
          <w:noProof w:val="0"/>
        </w:rPr>
      </w:pPr>
      <w:hyperlink w:anchor="_Toc121774665" w:history="1">
        <w:r w:rsidR="00AD7449" w:rsidRPr="00BD16B4">
          <w:rPr>
            <w:rStyle w:val="Hyperlink"/>
            <w:noProof w:val="0"/>
          </w:rPr>
          <w:t>8.4</w:t>
        </w:r>
        <w:r w:rsidR="00AD7449" w:rsidRPr="00BD16B4">
          <w:rPr>
            <w:rFonts w:asciiTheme="minorHAnsi" w:hAnsiTheme="minorHAnsi"/>
            <w:noProof w:val="0"/>
          </w:rPr>
          <w:tab/>
        </w:r>
        <w:r w:rsidR="00AD7449" w:rsidRPr="00BD16B4">
          <w:rPr>
            <w:rStyle w:val="Hyperlink"/>
            <w:noProof w:val="0"/>
          </w:rPr>
          <w:t>Research highlights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_Toc121774665 \h </w:instrText>
        </w:r>
        <w:r w:rsidR="00AD7449" w:rsidRPr="00BD16B4">
          <w:rPr>
            <w:noProof w:val="0"/>
            <w:webHidden/>
          </w:rPr>
        </w:r>
        <w:r w:rsidR="00AD7449" w:rsidRPr="00BD16B4">
          <w:rPr>
            <w:noProof w:val="0"/>
            <w:webHidden/>
          </w:rPr>
          <w:fldChar w:fldCharType="separate"/>
        </w:r>
        <w:r w:rsidR="00A60C35">
          <w:rPr>
            <w:webHidden/>
          </w:rPr>
          <w:t>322</w:t>
        </w:r>
        <w:r w:rsidR="00AD7449" w:rsidRPr="00BD16B4">
          <w:rPr>
            <w:noProof w:val="0"/>
            <w:webHidden/>
          </w:rPr>
          <w:fldChar w:fldCharType="end"/>
        </w:r>
      </w:hyperlink>
    </w:p>
    <w:p w14:paraId="56594723" w14:textId="379CACAD" w:rsidR="00AD7449" w:rsidRPr="00BD16B4" w:rsidRDefault="00FC49D2">
      <w:pPr>
        <w:pStyle w:val="TOC2"/>
        <w:rPr>
          <w:rFonts w:asciiTheme="minorHAnsi" w:hAnsiTheme="minorHAnsi"/>
          <w:noProof w:val="0"/>
        </w:rPr>
      </w:pPr>
      <w:hyperlink w:anchor="_Toc121774666" w:history="1">
        <w:r w:rsidR="00AD7449" w:rsidRPr="00BD16B4">
          <w:rPr>
            <w:rStyle w:val="Hyperlink"/>
            <w:noProof w:val="0"/>
          </w:rPr>
          <w:t>8.5</w:t>
        </w:r>
        <w:r w:rsidR="00AD7449" w:rsidRPr="00BD16B4">
          <w:rPr>
            <w:rFonts w:asciiTheme="minorHAnsi" w:hAnsiTheme="minorHAnsi"/>
            <w:noProof w:val="0"/>
          </w:rPr>
          <w:tab/>
        </w:r>
        <w:r w:rsidR="00AD7449" w:rsidRPr="00BD16B4">
          <w:rPr>
            <w:rStyle w:val="Hyperlink"/>
            <w:noProof w:val="0"/>
          </w:rPr>
          <w:t>Systematic observations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_Toc121774666 \h </w:instrText>
        </w:r>
        <w:r w:rsidR="00AD7449" w:rsidRPr="00BD16B4">
          <w:rPr>
            <w:noProof w:val="0"/>
            <w:webHidden/>
          </w:rPr>
        </w:r>
        <w:r w:rsidR="00AD7449" w:rsidRPr="00BD16B4">
          <w:rPr>
            <w:noProof w:val="0"/>
            <w:webHidden/>
          </w:rPr>
          <w:fldChar w:fldCharType="separate"/>
        </w:r>
        <w:r w:rsidR="00A60C35">
          <w:rPr>
            <w:webHidden/>
          </w:rPr>
          <w:t>341</w:t>
        </w:r>
        <w:r w:rsidR="00AD7449" w:rsidRPr="00BD16B4">
          <w:rPr>
            <w:noProof w:val="0"/>
            <w:webHidden/>
          </w:rPr>
          <w:fldChar w:fldCharType="end"/>
        </w:r>
      </w:hyperlink>
    </w:p>
    <w:p w14:paraId="3A0AE222" w14:textId="63B13F52" w:rsidR="00AD7449" w:rsidRPr="00BD16B4" w:rsidRDefault="00FC49D2">
      <w:pPr>
        <w:pStyle w:val="TOC1"/>
        <w:rPr>
          <w:rFonts w:asciiTheme="minorHAnsi" w:hAnsiTheme="minorHAnsi"/>
          <w:noProof w:val="0"/>
        </w:rPr>
      </w:pPr>
      <w:hyperlink w:anchor="_Toc121774667" w:history="1">
        <w:r w:rsidR="00AD7449" w:rsidRPr="00BD16B4">
          <w:rPr>
            <w:rStyle w:val="Hyperlink"/>
            <w:noProof w:val="0"/>
          </w:rPr>
          <w:t>9</w:t>
        </w:r>
        <w:r w:rsidR="00AD7449" w:rsidRPr="00BD16B4">
          <w:rPr>
            <w:rFonts w:asciiTheme="minorHAnsi" w:hAnsiTheme="minorHAnsi"/>
            <w:noProof w:val="0"/>
          </w:rPr>
          <w:tab/>
        </w:r>
        <w:r w:rsidR="00AD7449" w:rsidRPr="00BD16B4">
          <w:rPr>
            <w:rStyle w:val="Hyperlink"/>
            <w:noProof w:val="0"/>
          </w:rPr>
          <w:t>Education, training and public awareness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_Toc121774667 \h </w:instrText>
        </w:r>
        <w:r w:rsidR="00AD7449" w:rsidRPr="00BD16B4">
          <w:rPr>
            <w:noProof w:val="0"/>
            <w:webHidden/>
          </w:rPr>
        </w:r>
        <w:r w:rsidR="00AD7449" w:rsidRPr="00BD16B4">
          <w:rPr>
            <w:noProof w:val="0"/>
            <w:webHidden/>
          </w:rPr>
          <w:fldChar w:fldCharType="separate"/>
        </w:r>
        <w:r w:rsidR="00A60C35">
          <w:rPr>
            <w:webHidden/>
          </w:rPr>
          <w:t>342</w:t>
        </w:r>
        <w:r w:rsidR="00AD7449" w:rsidRPr="00BD16B4">
          <w:rPr>
            <w:noProof w:val="0"/>
            <w:webHidden/>
          </w:rPr>
          <w:fldChar w:fldCharType="end"/>
        </w:r>
      </w:hyperlink>
    </w:p>
    <w:p w14:paraId="4E91F2B7" w14:textId="55A6CC4D" w:rsidR="00AD7449" w:rsidRPr="00BD16B4" w:rsidRDefault="00FC49D2">
      <w:pPr>
        <w:pStyle w:val="TOC2"/>
        <w:rPr>
          <w:rFonts w:asciiTheme="minorHAnsi" w:hAnsiTheme="minorHAnsi"/>
          <w:noProof w:val="0"/>
        </w:rPr>
      </w:pPr>
      <w:hyperlink w:anchor="_Toc121774668" w:history="1">
        <w:r w:rsidR="00AD7449" w:rsidRPr="00BD16B4">
          <w:rPr>
            <w:rStyle w:val="Hyperlink"/>
            <w:noProof w:val="0"/>
          </w:rPr>
          <w:t>9.1</w:t>
        </w:r>
        <w:r w:rsidR="00AD7449" w:rsidRPr="00BD16B4">
          <w:rPr>
            <w:rFonts w:asciiTheme="minorHAnsi" w:hAnsiTheme="minorHAnsi"/>
            <w:noProof w:val="0"/>
          </w:rPr>
          <w:tab/>
        </w:r>
        <w:r w:rsidR="00AD7449" w:rsidRPr="00BD16B4">
          <w:rPr>
            <w:rStyle w:val="Hyperlink"/>
            <w:noProof w:val="0"/>
          </w:rPr>
          <w:t>Introduction</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_Toc121774668 \h </w:instrText>
        </w:r>
        <w:r w:rsidR="00AD7449" w:rsidRPr="00BD16B4">
          <w:rPr>
            <w:noProof w:val="0"/>
            <w:webHidden/>
          </w:rPr>
        </w:r>
        <w:r w:rsidR="00AD7449" w:rsidRPr="00BD16B4">
          <w:rPr>
            <w:noProof w:val="0"/>
            <w:webHidden/>
          </w:rPr>
          <w:fldChar w:fldCharType="separate"/>
        </w:r>
        <w:r w:rsidR="00A60C35">
          <w:rPr>
            <w:webHidden/>
          </w:rPr>
          <w:t>342</w:t>
        </w:r>
        <w:r w:rsidR="00AD7449" w:rsidRPr="00BD16B4">
          <w:rPr>
            <w:noProof w:val="0"/>
            <w:webHidden/>
          </w:rPr>
          <w:fldChar w:fldCharType="end"/>
        </w:r>
      </w:hyperlink>
    </w:p>
    <w:p w14:paraId="50193171" w14:textId="29CAC60E" w:rsidR="00AD7449" w:rsidRPr="00BD16B4" w:rsidRDefault="00FC49D2">
      <w:pPr>
        <w:pStyle w:val="TOC2"/>
        <w:rPr>
          <w:rFonts w:asciiTheme="minorHAnsi" w:hAnsiTheme="minorHAnsi"/>
          <w:noProof w:val="0"/>
        </w:rPr>
      </w:pPr>
      <w:hyperlink w:anchor="_Toc121774669" w:history="1">
        <w:r w:rsidR="00AD7449" w:rsidRPr="00BD16B4">
          <w:rPr>
            <w:rStyle w:val="Hyperlink"/>
            <w:noProof w:val="0"/>
          </w:rPr>
          <w:t>9.2</w:t>
        </w:r>
        <w:r w:rsidR="00AD7449" w:rsidRPr="00BD16B4">
          <w:rPr>
            <w:rFonts w:asciiTheme="minorHAnsi" w:hAnsiTheme="minorHAnsi"/>
            <w:noProof w:val="0"/>
          </w:rPr>
          <w:tab/>
        </w:r>
        <w:r w:rsidR="00AD7449" w:rsidRPr="00BD16B4">
          <w:rPr>
            <w:rStyle w:val="Hyperlink"/>
            <w:noProof w:val="0"/>
          </w:rPr>
          <w:t>Public awareness campaigns and behavioural change</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_Toc121774669 \h </w:instrText>
        </w:r>
        <w:r w:rsidR="00AD7449" w:rsidRPr="00BD16B4">
          <w:rPr>
            <w:noProof w:val="0"/>
            <w:webHidden/>
          </w:rPr>
        </w:r>
        <w:r w:rsidR="00AD7449" w:rsidRPr="00BD16B4">
          <w:rPr>
            <w:noProof w:val="0"/>
            <w:webHidden/>
          </w:rPr>
          <w:fldChar w:fldCharType="separate"/>
        </w:r>
        <w:r w:rsidR="00A60C35">
          <w:rPr>
            <w:webHidden/>
          </w:rPr>
          <w:t>343</w:t>
        </w:r>
        <w:r w:rsidR="00AD7449" w:rsidRPr="00BD16B4">
          <w:rPr>
            <w:noProof w:val="0"/>
            <w:webHidden/>
          </w:rPr>
          <w:fldChar w:fldCharType="end"/>
        </w:r>
      </w:hyperlink>
    </w:p>
    <w:p w14:paraId="718AA985" w14:textId="64EB0168" w:rsidR="00AD7449" w:rsidRPr="00BD16B4" w:rsidRDefault="00FC49D2">
      <w:pPr>
        <w:pStyle w:val="TOC2"/>
        <w:rPr>
          <w:rFonts w:asciiTheme="minorHAnsi" w:hAnsiTheme="minorHAnsi"/>
          <w:noProof w:val="0"/>
        </w:rPr>
      </w:pPr>
      <w:hyperlink w:anchor="_Toc121774670" w:history="1">
        <w:r w:rsidR="00AD7449" w:rsidRPr="00BD16B4">
          <w:rPr>
            <w:rStyle w:val="Hyperlink"/>
            <w:noProof w:val="0"/>
          </w:rPr>
          <w:t>9.3</w:t>
        </w:r>
        <w:r w:rsidR="00AD7449" w:rsidRPr="00BD16B4">
          <w:rPr>
            <w:rFonts w:asciiTheme="minorHAnsi" w:hAnsiTheme="minorHAnsi"/>
            <w:noProof w:val="0"/>
          </w:rPr>
          <w:tab/>
        </w:r>
        <w:r w:rsidR="00AD7449" w:rsidRPr="00BD16B4">
          <w:rPr>
            <w:rStyle w:val="Hyperlink"/>
            <w:noProof w:val="0"/>
          </w:rPr>
          <w:t>Public access to information</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_Toc121774670 \h </w:instrText>
        </w:r>
        <w:r w:rsidR="00AD7449" w:rsidRPr="00BD16B4">
          <w:rPr>
            <w:noProof w:val="0"/>
            <w:webHidden/>
          </w:rPr>
        </w:r>
        <w:r w:rsidR="00AD7449" w:rsidRPr="00BD16B4">
          <w:rPr>
            <w:noProof w:val="0"/>
            <w:webHidden/>
          </w:rPr>
          <w:fldChar w:fldCharType="separate"/>
        </w:r>
        <w:r w:rsidR="00A60C35">
          <w:rPr>
            <w:webHidden/>
          </w:rPr>
          <w:t>346</w:t>
        </w:r>
        <w:r w:rsidR="00AD7449" w:rsidRPr="00BD16B4">
          <w:rPr>
            <w:noProof w:val="0"/>
            <w:webHidden/>
          </w:rPr>
          <w:fldChar w:fldCharType="end"/>
        </w:r>
      </w:hyperlink>
    </w:p>
    <w:p w14:paraId="6F963B9D" w14:textId="2BF995FB" w:rsidR="00AD7449" w:rsidRPr="00BD16B4" w:rsidRDefault="00FC49D2">
      <w:pPr>
        <w:pStyle w:val="TOC2"/>
        <w:rPr>
          <w:rFonts w:asciiTheme="minorHAnsi" w:hAnsiTheme="minorHAnsi"/>
          <w:noProof w:val="0"/>
        </w:rPr>
      </w:pPr>
      <w:hyperlink w:anchor="_Toc121774671" w:history="1">
        <w:r w:rsidR="00AD7449" w:rsidRPr="00BD16B4">
          <w:rPr>
            <w:rStyle w:val="Hyperlink"/>
            <w:noProof w:val="0"/>
          </w:rPr>
          <w:t>9.4</w:t>
        </w:r>
        <w:r w:rsidR="00AD7449" w:rsidRPr="00BD16B4">
          <w:rPr>
            <w:rFonts w:asciiTheme="minorHAnsi" w:hAnsiTheme="minorHAnsi"/>
            <w:noProof w:val="0"/>
          </w:rPr>
          <w:tab/>
        </w:r>
        <w:r w:rsidR="00AD7449" w:rsidRPr="00BD16B4">
          <w:rPr>
            <w:rStyle w:val="Hyperlink"/>
            <w:noProof w:val="0"/>
          </w:rPr>
          <w:t>Education and training</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_Toc121774671 \h </w:instrText>
        </w:r>
        <w:r w:rsidR="00AD7449" w:rsidRPr="00BD16B4">
          <w:rPr>
            <w:noProof w:val="0"/>
            <w:webHidden/>
          </w:rPr>
        </w:r>
        <w:r w:rsidR="00AD7449" w:rsidRPr="00BD16B4">
          <w:rPr>
            <w:noProof w:val="0"/>
            <w:webHidden/>
          </w:rPr>
          <w:fldChar w:fldCharType="separate"/>
        </w:r>
        <w:r w:rsidR="00A60C35">
          <w:rPr>
            <w:webHidden/>
          </w:rPr>
          <w:t>354</w:t>
        </w:r>
        <w:r w:rsidR="00AD7449" w:rsidRPr="00BD16B4">
          <w:rPr>
            <w:noProof w:val="0"/>
            <w:webHidden/>
          </w:rPr>
          <w:fldChar w:fldCharType="end"/>
        </w:r>
      </w:hyperlink>
    </w:p>
    <w:p w14:paraId="7179F03E" w14:textId="6E68B6D5" w:rsidR="00AD7449" w:rsidRPr="00BD16B4" w:rsidRDefault="00FC49D2">
      <w:pPr>
        <w:pStyle w:val="TOC2"/>
        <w:rPr>
          <w:rFonts w:asciiTheme="minorHAnsi" w:hAnsiTheme="minorHAnsi"/>
          <w:noProof w:val="0"/>
        </w:rPr>
      </w:pPr>
      <w:hyperlink w:anchor="_Toc121774672" w:history="1">
        <w:r w:rsidR="00AD7449" w:rsidRPr="00BD16B4">
          <w:rPr>
            <w:rStyle w:val="Hyperlink"/>
            <w:noProof w:val="0"/>
          </w:rPr>
          <w:t>9.5</w:t>
        </w:r>
        <w:r w:rsidR="00AD7449" w:rsidRPr="00BD16B4">
          <w:rPr>
            <w:rFonts w:asciiTheme="minorHAnsi" w:hAnsiTheme="minorHAnsi"/>
            <w:noProof w:val="0"/>
          </w:rPr>
          <w:tab/>
        </w:r>
        <w:r w:rsidR="00AD7449" w:rsidRPr="00BD16B4">
          <w:rPr>
            <w:rStyle w:val="Hyperlink"/>
            <w:noProof w:val="0"/>
          </w:rPr>
          <w:t>Public engagement</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_Toc121774672 \h </w:instrText>
        </w:r>
        <w:r w:rsidR="00AD7449" w:rsidRPr="00BD16B4">
          <w:rPr>
            <w:noProof w:val="0"/>
            <w:webHidden/>
          </w:rPr>
        </w:r>
        <w:r w:rsidR="00AD7449" w:rsidRPr="00BD16B4">
          <w:rPr>
            <w:noProof w:val="0"/>
            <w:webHidden/>
          </w:rPr>
          <w:fldChar w:fldCharType="separate"/>
        </w:r>
        <w:r w:rsidR="00A60C35">
          <w:rPr>
            <w:webHidden/>
          </w:rPr>
          <w:t>363</w:t>
        </w:r>
        <w:r w:rsidR="00AD7449" w:rsidRPr="00BD16B4">
          <w:rPr>
            <w:noProof w:val="0"/>
            <w:webHidden/>
          </w:rPr>
          <w:fldChar w:fldCharType="end"/>
        </w:r>
      </w:hyperlink>
    </w:p>
    <w:p w14:paraId="6E025E40" w14:textId="6CB4F8D7" w:rsidR="00AD7449" w:rsidRPr="00BD16B4" w:rsidRDefault="00FC49D2">
      <w:pPr>
        <w:pStyle w:val="TOC2"/>
        <w:rPr>
          <w:rFonts w:asciiTheme="minorHAnsi" w:hAnsiTheme="minorHAnsi"/>
          <w:noProof w:val="0"/>
        </w:rPr>
      </w:pPr>
      <w:hyperlink w:anchor="_Toc121774673" w:history="1">
        <w:r w:rsidR="00AD7449" w:rsidRPr="00BD16B4">
          <w:rPr>
            <w:rStyle w:val="Hyperlink"/>
            <w:noProof w:val="0"/>
          </w:rPr>
          <w:t>9.6</w:t>
        </w:r>
        <w:r w:rsidR="00AD7449" w:rsidRPr="00BD16B4">
          <w:rPr>
            <w:rFonts w:asciiTheme="minorHAnsi" w:hAnsiTheme="minorHAnsi"/>
            <w:noProof w:val="0"/>
          </w:rPr>
          <w:tab/>
        </w:r>
        <w:r w:rsidR="00AD7449" w:rsidRPr="00BD16B4">
          <w:rPr>
            <w:rStyle w:val="Hyperlink"/>
            <w:noProof w:val="0"/>
          </w:rPr>
          <w:t>International engagement</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_Toc121774673 \h </w:instrText>
        </w:r>
        <w:r w:rsidR="00AD7449" w:rsidRPr="00BD16B4">
          <w:rPr>
            <w:noProof w:val="0"/>
            <w:webHidden/>
          </w:rPr>
        </w:r>
        <w:r w:rsidR="00AD7449" w:rsidRPr="00BD16B4">
          <w:rPr>
            <w:noProof w:val="0"/>
            <w:webHidden/>
          </w:rPr>
          <w:fldChar w:fldCharType="separate"/>
        </w:r>
        <w:r w:rsidR="00A60C35">
          <w:rPr>
            <w:webHidden/>
          </w:rPr>
          <w:t>367</w:t>
        </w:r>
        <w:r w:rsidR="00AD7449" w:rsidRPr="00BD16B4">
          <w:rPr>
            <w:noProof w:val="0"/>
            <w:webHidden/>
          </w:rPr>
          <w:fldChar w:fldCharType="end"/>
        </w:r>
      </w:hyperlink>
    </w:p>
    <w:p w14:paraId="6BE6B475" w14:textId="2CB467A7" w:rsidR="00AD7449" w:rsidRPr="00BD16B4" w:rsidRDefault="00FC49D2">
      <w:pPr>
        <w:pStyle w:val="TOC1"/>
        <w:rPr>
          <w:rFonts w:asciiTheme="minorHAnsi" w:hAnsiTheme="minorHAnsi"/>
          <w:noProof w:val="0"/>
        </w:rPr>
      </w:pPr>
      <w:hyperlink w:anchor="_Toc121774674" w:history="1">
        <w:r w:rsidR="00AD7449" w:rsidRPr="00BD16B4">
          <w:rPr>
            <w:rStyle w:val="Hyperlink"/>
            <w:noProof w:val="0"/>
          </w:rPr>
          <w:t xml:space="preserve">Appendix A: Summary of emissions and removals from New Zealand’s 2022 </w:t>
        </w:r>
        <w:r w:rsidR="00AD7449" w:rsidRPr="00BD16B4">
          <w:rPr>
            <w:rStyle w:val="Hyperlink"/>
            <w:i/>
            <w:iCs/>
            <w:noProof w:val="0"/>
          </w:rPr>
          <w:t>Greenhouse Gas Inventory</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_Toc121774674 \h </w:instrText>
        </w:r>
        <w:r w:rsidR="00AD7449" w:rsidRPr="00BD16B4">
          <w:rPr>
            <w:noProof w:val="0"/>
            <w:webHidden/>
          </w:rPr>
        </w:r>
        <w:r w:rsidR="00AD7449" w:rsidRPr="00BD16B4">
          <w:rPr>
            <w:noProof w:val="0"/>
            <w:webHidden/>
          </w:rPr>
          <w:fldChar w:fldCharType="separate"/>
        </w:r>
        <w:r w:rsidR="00A60C35">
          <w:rPr>
            <w:webHidden/>
          </w:rPr>
          <w:t>372</w:t>
        </w:r>
        <w:r w:rsidR="00AD7449" w:rsidRPr="00BD16B4">
          <w:rPr>
            <w:noProof w:val="0"/>
            <w:webHidden/>
          </w:rPr>
          <w:fldChar w:fldCharType="end"/>
        </w:r>
      </w:hyperlink>
    </w:p>
    <w:p w14:paraId="0CA5EC69" w14:textId="395F9112" w:rsidR="00AD7449" w:rsidRPr="00BD16B4" w:rsidRDefault="00FC49D2">
      <w:pPr>
        <w:pStyle w:val="TOC1"/>
        <w:rPr>
          <w:rFonts w:asciiTheme="minorHAnsi" w:hAnsiTheme="minorHAnsi"/>
          <w:noProof w:val="0"/>
        </w:rPr>
      </w:pPr>
      <w:hyperlink w:anchor="_Toc121774675" w:history="1">
        <w:r w:rsidR="00AD7449" w:rsidRPr="00BD16B4">
          <w:rPr>
            <w:rStyle w:val="Hyperlink"/>
            <w:noProof w:val="0"/>
          </w:rPr>
          <w:t>Appendix B: Supplementary information under Article 7.2 of the Kyoto Protocol</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_Toc121774675 \h </w:instrText>
        </w:r>
        <w:r w:rsidR="00AD7449" w:rsidRPr="00BD16B4">
          <w:rPr>
            <w:noProof w:val="0"/>
            <w:webHidden/>
          </w:rPr>
        </w:r>
        <w:r w:rsidR="00AD7449" w:rsidRPr="00BD16B4">
          <w:rPr>
            <w:noProof w:val="0"/>
            <w:webHidden/>
          </w:rPr>
          <w:fldChar w:fldCharType="separate"/>
        </w:r>
        <w:r w:rsidR="00A60C35">
          <w:rPr>
            <w:webHidden/>
          </w:rPr>
          <w:t>405</w:t>
        </w:r>
        <w:r w:rsidR="00AD7449" w:rsidRPr="00BD16B4">
          <w:rPr>
            <w:noProof w:val="0"/>
            <w:webHidden/>
          </w:rPr>
          <w:fldChar w:fldCharType="end"/>
        </w:r>
      </w:hyperlink>
    </w:p>
    <w:p w14:paraId="546B2E04" w14:textId="0942BD08" w:rsidR="00AD7449" w:rsidRPr="00BD16B4" w:rsidRDefault="00FC49D2">
      <w:pPr>
        <w:pStyle w:val="TOC1"/>
        <w:rPr>
          <w:rFonts w:asciiTheme="minorHAnsi" w:hAnsiTheme="minorHAnsi"/>
          <w:noProof w:val="0"/>
        </w:rPr>
      </w:pPr>
      <w:hyperlink w:anchor="_Toc121774676" w:history="1">
        <w:r w:rsidR="00AD7449" w:rsidRPr="00BD16B4">
          <w:rPr>
            <w:rStyle w:val="Hyperlink"/>
            <w:noProof w:val="0"/>
          </w:rPr>
          <w:t>Appendix C: Supplementary material for emissions projections</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_Toc121774676 \h </w:instrText>
        </w:r>
        <w:r w:rsidR="00AD7449" w:rsidRPr="00BD16B4">
          <w:rPr>
            <w:noProof w:val="0"/>
            <w:webHidden/>
          </w:rPr>
        </w:r>
        <w:r w:rsidR="00AD7449" w:rsidRPr="00BD16B4">
          <w:rPr>
            <w:noProof w:val="0"/>
            <w:webHidden/>
          </w:rPr>
          <w:fldChar w:fldCharType="separate"/>
        </w:r>
        <w:r w:rsidR="00A60C35">
          <w:rPr>
            <w:webHidden/>
          </w:rPr>
          <w:t>433</w:t>
        </w:r>
        <w:r w:rsidR="00AD7449" w:rsidRPr="00BD16B4">
          <w:rPr>
            <w:noProof w:val="0"/>
            <w:webHidden/>
          </w:rPr>
          <w:fldChar w:fldCharType="end"/>
        </w:r>
      </w:hyperlink>
    </w:p>
    <w:p w14:paraId="2ED1404C" w14:textId="0EFBE01A" w:rsidR="00AD7449" w:rsidRPr="00BD16B4" w:rsidRDefault="00FC49D2">
      <w:pPr>
        <w:pStyle w:val="TOC1"/>
        <w:rPr>
          <w:rFonts w:asciiTheme="minorHAnsi" w:hAnsiTheme="minorHAnsi"/>
          <w:noProof w:val="0"/>
        </w:rPr>
      </w:pPr>
      <w:hyperlink w:anchor="_Toc121774677" w:history="1">
        <w:r w:rsidR="00AD7449" w:rsidRPr="00BD16B4">
          <w:rPr>
            <w:rStyle w:val="Hyperlink"/>
            <w:noProof w:val="0"/>
          </w:rPr>
          <w:t>Appendix D: New Zealand’s report on the Global Climate Observing System</w:t>
        </w:r>
        <w:r w:rsidR="00AD7449" w:rsidRPr="00BD16B4">
          <w:rPr>
            <w:noProof w:val="0"/>
            <w:webHidden/>
          </w:rPr>
          <w:tab/>
        </w:r>
        <w:r w:rsidR="00AD7449" w:rsidRPr="00BD16B4">
          <w:rPr>
            <w:noProof w:val="0"/>
            <w:webHidden/>
          </w:rPr>
          <w:fldChar w:fldCharType="begin"/>
        </w:r>
        <w:r w:rsidR="00AD7449" w:rsidRPr="00BD16B4">
          <w:rPr>
            <w:noProof w:val="0"/>
            <w:webHidden/>
          </w:rPr>
          <w:instrText xml:space="preserve"> PAGEREF _Toc121774677 \h </w:instrText>
        </w:r>
        <w:r w:rsidR="00AD7449" w:rsidRPr="00BD16B4">
          <w:rPr>
            <w:noProof w:val="0"/>
            <w:webHidden/>
          </w:rPr>
        </w:r>
        <w:r w:rsidR="00AD7449" w:rsidRPr="00BD16B4">
          <w:rPr>
            <w:noProof w:val="0"/>
            <w:webHidden/>
          </w:rPr>
          <w:fldChar w:fldCharType="separate"/>
        </w:r>
        <w:r w:rsidR="00A60C35">
          <w:rPr>
            <w:webHidden/>
          </w:rPr>
          <w:t>443</w:t>
        </w:r>
        <w:r w:rsidR="00AD7449" w:rsidRPr="00BD16B4">
          <w:rPr>
            <w:noProof w:val="0"/>
            <w:webHidden/>
          </w:rPr>
          <w:fldChar w:fldCharType="end"/>
        </w:r>
      </w:hyperlink>
    </w:p>
    <w:p w14:paraId="176D117B" w14:textId="2C9C6C37" w:rsidR="00987F0B" w:rsidRPr="00BD16B4" w:rsidRDefault="00987F0B" w:rsidP="00DC334F">
      <w:pPr>
        <w:pStyle w:val="Glossary"/>
        <w:spacing w:before="0" w:line="240" w:lineRule="auto"/>
      </w:pPr>
      <w:r w:rsidRPr="00BD16B4">
        <w:rPr>
          <w:color w:val="0092CF"/>
        </w:rPr>
        <w:fldChar w:fldCharType="end"/>
      </w:r>
    </w:p>
    <w:p w14:paraId="184E9082" w14:textId="77777777" w:rsidR="006A1590" w:rsidRPr="00BD16B4" w:rsidRDefault="006A1590" w:rsidP="00DC334F">
      <w:pPr>
        <w:pStyle w:val="Heading"/>
        <w:spacing w:after="0"/>
        <w:sectPr w:rsidR="006A1590" w:rsidRPr="00BD16B4" w:rsidSect="008A7498">
          <w:footerReference w:type="even" r:id="rId25"/>
          <w:footerReference w:type="default" r:id="rId26"/>
          <w:pgSz w:w="11907" w:h="16840" w:code="9"/>
          <w:pgMar w:top="1134" w:right="1701" w:bottom="1134" w:left="1701" w:header="567" w:footer="567" w:gutter="0"/>
          <w:cols w:space="720"/>
          <w:docGrid w:linePitch="299"/>
        </w:sectPr>
      </w:pPr>
    </w:p>
    <w:p w14:paraId="4E445FCB" w14:textId="77777777" w:rsidR="00987F0B" w:rsidRPr="00BD16B4" w:rsidRDefault="00987F0B" w:rsidP="00987F0B">
      <w:pPr>
        <w:pStyle w:val="Heading"/>
      </w:pPr>
      <w:r w:rsidRPr="00BD16B4">
        <w:lastRenderedPageBreak/>
        <w:t>Tables</w:t>
      </w:r>
    </w:p>
    <w:p w14:paraId="30F1AED6" w14:textId="7FA7A984" w:rsidR="00B40C77" w:rsidRPr="00BD16B4" w:rsidRDefault="00987F0B">
      <w:pPr>
        <w:pStyle w:val="TableofFigures"/>
        <w:tabs>
          <w:tab w:val="right" w:pos="8495"/>
        </w:tabs>
        <w:rPr>
          <w:rFonts w:asciiTheme="minorHAnsi" w:hAnsiTheme="minorHAnsi"/>
        </w:rPr>
      </w:pPr>
      <w:r w:rsidRPr="00BD16B4">
        <w:fldChar w:fldCharType="begin"/>
      </w:r>
      <w:r w:rsidRPr="00BD16B4">
        <w:instrText xml:space="preserve"> TOC \h \z \t "Table heading" \c </w:instrText>
      </w:r>
      <w:r w:rsidRPr="00BD16B4">
        <w:fldChar w:fldCharType="separate"/>
      </w:r>
      <w:hyperlink w:anchor="_Toc121773783" w:history="1">
        <w:r w:rsidR="00B40C77" w:rsidRPr="00BD16B4">
          <w:rPr>
            <w:rStyle w:val="Hyperlink"/>
          </w:rPr>
          <w:t>Table 1.1:</w:t>
        </w:r>
        <w:r w:rsidR="00B40C77" w:rsidRPr="00BD16B4">
          <w:rPr>
            <w:rFonts w:asciiTheme="minorHAnsi" w:hAnsiTheme="minorHAnsi"/>
          </w:rPr>
          <w:tab/>
        </w:r>
        <w:r w:rsidR="00B40C77" w:rsidRPr="00BD16B4">
          <w:rPr>
            <w:rStyle w:val="Hyperlink"/>
          </w:rPr>
          <w:t>New Zealand’s first three emissions budgets, 2022–2035</w:t>
        </w:r>
        <w:r w:rsidR="00B40C77" w:rsidRPr="00BD16B4">
          <w:rPr>
            <w:webHidden/>
          </w:rPr>
          <w:tab/>
        </w:r>
        <w:r w:rsidR="00B40C77" w:rsidRPr="00BD16B4">
          <w:rPr>
            <w:webHidden/>
          </w:rPr>
          <w:fldChar w:fldCharType="begin"/>
        </w:r>
        <w:r w:rsidR="00B40C77" w:rsidRPr="00BD16B4">
          <w:rPr>
            <w:webHidden/>
          </w:rPr>
          <w:instrText xml:space="preserve"> PAGEREF _Toc121773783 \h </w:instrText>
        </w:r>
        <w:r w:rsidR="00B40C77" w:rsidRPr="00BD16B4">
          <w:rPr>
            <w:webHidden/>
          </w:rPr>
        </w:r>
        <w:r w:rsidR="00B40C77" w:rsidRPr="00BD16B4">
          <w:rPr>
            <w:webHidden/>
          </w:rPr>
          <w:fldChar w:fldCharType="separate"/>
        </w:r>
        <w:r w:rsidR="00A60C35">
          <w:rPr>
            <w:noProof/>
            <w:webHidden/>
          </w:rPr>
          <w:t>24</w:t>
        </w:r>
        <w:r w:rsidR="00B40C77" w:rsidRPr="00BD16B4">
          <w:rPr>
            <w:webHidden/>
          </w:rPr>
          <w:fldChar w:fldCharType="end"/>
        </w:r>
      </w:hyperlink>
    </w:p>
    <w:p w14:paraId="42CD1EBC" w14:textId="6B5C5D23" w:rsidR="00B40C77" w:rsidRPr="00BD16B4" w:rsidRDefault="00FC49D2">
      <w:pPr>
        <w:pStyle w:val="TableofFigures"/>
        <w:tabs>
          <w:tab w:val="right" w:pos="8495"/>
        </w:tabs>
        <w:rPr>
          <w:rFonts w:asciiTheme="minorHAnsi" w:hAnsiTheme="minorHAnsi"/>
        </w:rPr>
      </w:pPr>
      <w:hyperlink w:anchor="_Toc121773784" w:history="1">
        <w:r w:rsidR="00B40C77" w:rsidRPr="00BD16B4">
          <w:rPr>
            <w:rStyle w:val="Hyperlink"/>
          </w:rPr>
          <w:t>Table 2.1:</w:t>
        </w:r>
        <w:r w:rsidR="00B40C77" w:rsidRPr="00BD16B4">
          <w:rPr>
            <w:rFonts w:asciiTheme="minorHAnsi" w:hAnsiTheme="minorHAnsi"/>
          </w:rPr>
          <w:tab/>
        </w:r>
        <w:r w:rsidR="00B40C77" w:rsidRPr="00BD16B4">
          <w:rPr>
            <w:rStyle w:val="Hyperlink"/>
          </w:rPr>
          <w:t>Transportation emissions, 2020</w:t>
        </w:r>
        <w:r w:rsidR="00B40C77" w:rsidRPr="00BD16B4">
          <w:rPr>
            <w:webHidden/>
          </w:rPr>
          <w:tab/>
        </w:r>
        <w:r w:rsidR="00B40C77" w:rsidRPr="00BD16B4">
          <w:rPr>
            <w:webHidden/>
          </w:rPr>
          <w:fldChar w:fldCharType="begin"/>
        </w:r>
        <w:r w:rsidR="00B40C77" w:rsidRPr="00BD16B4">
          <w:rPr>
            <w:webHidden/>
          </w:rPr>
          <w:instrText xml:space="preserve"> PAGEREF _Toc121773784 \h </w:instrText>
        </w:r>
        <w:r w:rsidR="00B40C77" w:rsidRPr="00BD16B4">
          <w:rPr>
            <w:webHidden/>
          </w:rPr>
        </w:r>
        <w:r w:rsidR="00B40C77" w:rsidRPr="00BD16B4">
          <w:rPr>
            <w:webHidden/>
          </w:rPr>
          <w:fldChar w:fldCharType="separate"/>
        </w:r>
        <w:r w:rsidR="00A60C35">
          <w:rPr>
            <w:noProof/>
            <w:webHidden/>
          </w:rPr>
          <w:t>46</w:t>
        </w:r>
        <w:r w:rsidR="00B40C77" w:rsidRPr="00BD16B4">
          <w:rPr>
            <w:webHidden/>
          </w:rPr>
          <w:fldChar w:fldCharType="end"/>
        </w:r>
      </w:hyperlink>
    </w:p>
    <w:p w14:paraId="5220E7B7" w14:textId="03F9424B" w:rsidR="00B40C77" w:rsidRPr="00BD16B4" w:rsidRDefault="00FC49D2">
      <w:pPr>
        <w:pStyle w:val="TableofFigures"/>
        <w:tabs>
          <w:tab w:val="right" w:pos="8495"/>
        </w:tabs>
        <w:rPr>
          <w:rFonts w:asciiTheme="minorHAnsi" w:hAnsiTheme="minorHAnsi"/>
        </w:rPr>
      </w:pPr>
      <w:hyperlink w:anchor="_Toc121773785" w:history="1">
        <w:r w:rsidR="00B40C77" w:rsidRPr="00BD16B4">
          <w:rPr>
            <w:rStyle w:val="Hyperlink"/>
          </w:rPr>
          <w:t xml:space="preserve">Table 2.2: </w:t>
        </w:r>
        <w:r w:rsidR="00B40C77" w:rsidRPr="00BD16B4">
          <w:rPr>
            <w:rFonts w:asciiTheme="minorHAnsi" w:hAnsiTheme="minorHAnsi"/>
          </w:rPr>
          <w:tab/>
        </w:r>
        <w:r w:rsidR="00B40C77" w:rsidRPr="00BD16B4">
          <w:rPr>
            <w:rStyle w:val="Hyperlink"/>
          </w:rPr>
          <w:t>Climate change and related hazards projects been funded by New Zealand and Tokelau</w:t>
        </w:r>
        <w:r w:rsidR="00B40C77" w:rsidRPr="00BD16B4">
          <w:rPr>
            <w:webHidden/>
          </w:rPr>
          <w:tab/>
        </w:r>
        <w:r w:rsidR="00B40C77" w:rsidRPr="00BD16B4">
          <w:rPr>
            <w:webHidden/>
          </w:rPr>
          <w:fldChar w:fldCharType="begin"/>
        </w:r>
        <w:r w:rsidR="00B40C77" w:rsidRPr="00BD16B4">
          <w:rPr>
            <w:webHidden/>
          </w:rPr>
          <w:instrText xml:space="preserve"> PAGEREF _Toc121773785 \h </w:instrText>
        </w:r>
        <w:r w:rsidR="00B40C77" w:rsidRPr="00BD16B4">
          <w:rPr>
            <w:webHidden/>
          </w:rPr>
        </w:r>
        <w:r w:rsidR="00B40C77" w:rsidRPr="00BD16B4">
          <w:rPr>
            <w:webHidden/>
          </w:rPr>
          <w:fldChar w:fldCharType="separate"/>
        </w:r>
        <w:r w:rsidR="00A60C35">
          <w:rPr>
            <w:noProof/>
            <w:webHidden/>
          </w:rPr>
          <w:t>60</w:t>
        </w:r>
        <w:r w:rsidR="00B40C77" w:rsidRPr="00BD16B4">
          <w:rPr>
            <w:webHidden/>
          </w:rPr>
          <w:fldChar w:fldCharType="end"/>
        </w:r>
      </w:hyperlink>
    </w:p>
    <w:p w14:paraId="53663404" w14:textId="6342A8DE" w:rsidR="00B40C77" w:rsidRPr="00BD16B4" w:rsidRDefault="00FC49D2">
      <w:pPr>
        <w:pStyle w:val="TableofFigures"/>
        <w:tabs>
          <w:tab w:val="right" w:pos="8495"/>
        </w:tabs>
        <w:rPr>
          <w:rFonts w:asciiTheme="minorHAnsi" w:hAnsiTheme="minorHAnsi"/>
        </w:rPr>
      </w:pPr>
      <w:hyperlink w:anchor="_Toc121773786" w:history="1">
        <w:r w:rsidR="00B40C77" w:rsidRPr="00BD16B4">
          <w:rPr>
            <w:rStyle w:val="Hyperlink"/>
          </w:rPr>
          <w:t>Table 3.1:</w:t>
        </w:r>
        <w:r w:rsidR="00B40C77" w:rsidRPr="00BD16B4">
          <w:rPr>
            <w:rFonts w:asciiTheme="minorHAnsi" w:hAnsiTheme="minorHAnsi"/>
          </w:rPr>
          <w:tab/>
        </w:r>
        <w:r w:rsidR="00B40C77" w:rsidRPr="00BD16B4">
          <w:rPr>
            <w:rStyle w:val="Hyperlink"/>
          </w:rPr>
          <w:t>New Zealand’s emissions by sector, 1990 and 2020</w:t>
        </w:r>
        <w:r w:rsidR="00B40C77" w:rsidRPr="00BD16B4">
          <w:rPr>
            <w:webHidden/>
          </w:rPr>
          <w:tab/>
        </w:r>
        <w:r w:rsidR="00B40C77" w:rsidRPr="00BD16B4">
          <w:rPr>
            <w:webHidden/>
          </w:rPr>
          <w:fldChar w:fldCharType="begin"/>
        </w:r>
        <w:r w:rsidR="00B40C77" w:rsidRPr="00BD16B4">
          <w:rPr>
            <w:webHidden/>
          </w:rPr>
          <w:instrText xml:space="preserve"> PAGEREF _Toc121773786 \h </w:instrText>
        </w:r>
        <w:r w:rsidR="00B40C77" w:rsidRPr="00BD16B4">
          <w:rPr>
            <w:webHidden/>
          </w:rPr>
        </w:r>
        <w:r w:rsidR="00B40C77" w:rsidRPr="00BD16B4">
          <w:rPr>
            <w:webHidden/>
          </w:rPr>
          <w:fldChar w:fldCharType="separate"/>
        </w:r>
        <w:r w:rsidR="00A60C35">
          <w:rPr>
            <w:noProof/>
            <w:webHidden/>
          </w:rPr>
          <w:t>65</w:t>
        </w:r>
        <w:r w:rsidR="00B40C77" w:rsidRPr="00BD16B4">
          <w:rPr>
            <w:webHidden/>
          </w:rPr>
          <w:fldChar w:fldCharType="end"/>
        </w:r>
      </w:hyperlink>
    </w:p>
    <w:p w14:paraId="12E663CF" w14:textId="547B0F80" w:rsidR="00B40C77" w:rsidRPr="00BD16B4" w:rsidRDefault="00FC49D2">
      <w:pPr>
        <w:pStyle w:val="TableofFigures"/>
        <w:tabs>
          <w:tab w:val="right" w:pos="8495"/>
        </w:tabs>
        <w:rPr>
          <w:rFonts w:asciiTheme="minorHAnsi" w:hAnsiTheme="minorHAnsi"/>
        </w:rPr>
      </w:pPr>
      <w:hyperlink w:anchor="_Toc121773787" w:history="1">
        <w:r w:rsidR="00B40C77" w:rsidRPr="00BD16B4">
          <w:rPr>
            <w:rStyle w:val="Hyperlink"/>
          </w:rPr>
          <w:t>Table 3.2:</w:t>
        </w:r>
        <w:r w:rsidR="00B40C77" w:rsidRPr="00BD16B4">
          <w:rPr>
            <w:rFonts w:asciiTheme="minorHAnsi" w:hAnsiTheme="minorHAnsi"/>
          </w:rPr>
          <w:tab/>
        </w:r>
        <w:r w:rsidR="00B40C77" w:rsidRPr="00BD16B4">
          <w:rPr>
            <w:rStyle w:val="Hyperlink"/>
          </w:rPr>
          <w:t>New Zealand’s emissions of greenhouse gases by gas, 1990 and 2020</w:t>
        </w:r>
        <w:r w:rsidR="00B40C77" w:rsidRPr="00BD16B4">
          <w:rPr>
            <w:webHidden/>
          </w:rPr>
          <w:tab/>
        </w:r>
        <w:r w:rsidR="00B40C77" w:rsidRPr="00BD16B4">
          <w:rPr>
            <w:webHidden/>
          </w:rPr>
          <w:fldChar w:fldCharType="begin"/>
        </w:r>
        <w:r w:rsidR="00B40C77" w:rsidRPr="00BD16B4">
          <w:rPr>
            <w:webHidden/>
          </w:rPr>
          <w:instrText xml:space="preserve"> PAGEREF _Toc121773787 \h </w:instrText>
        </w:r>
        <w:r w:rsidR="00B40C77" w:rsidRPr="00BD16B4">
          <w:rPr>
            <w:webHidden/>
          </w:rPr>
        </w:r>
        <w:r w:rsidR="00B40C77" w:rsidRPr="00BD16B4">
          <w:rPr>
            <w:webHidden/>
          </w:rPr>
          <w:fldChar w:fldCharType="separate"/>
        </w:r>
        <w:r w:rsidR="00A60C35">
          <w:rPr>
            <w:noProof/>
            <w:webHidden/>
          </w:rPr>
          <w:t>77</w:t>
        </w:r>
        <w:r w:rsidR="00B40C77" w:rsidRPr="00BD16B4">
          <w:rPr>
            <w:webHidden/>
          </w:rPr>
          <w:fldChar w:fldCharType="end"/>
        </w:r>
      </w:hyperlink>
    </w:p>
    <w:p w14:paraId="2B8FB452" w14:textId="15653860" w:rsidR="00B40C77" w:rsidRPr="00BD16B4" w:rsidRDefault="00FC49D2">
      <w:pPr>
        <w:pStyle w:val="TableofFigures"/>
        <w:tabs>
          <w:tab w:val="right" w:pos="8495"/>
        </w:tabs>
        <w:rPr>
          <w:rFonts w:asciiTheme="minorHAnsi" w:hAnsiTheme="minorHAnsi"/>
        </w:rPr>
      </w:pPr>
      <w:hyperlink w:anchor="_Toc121773788" w:history="1">
        <w:r w:rsidR="00B40C77" w:rsidRPr="00BD16B4">
          <w:rPr>
            <w:rStyle w:val="Hyperlink"/>
            <w:rFonts w:eastAsia="Calibri"/>
          </w:rPr>
          <w:t>Table 4.1:</w:t>
        </w:r>
        <w:r w:rsidR="00B40C77" w:rsidRPr="00BD16B4">
          <w:rPr>
            <w:rFonts w:asciiTheme="minorHAnsi" w:hAnsiTheme="minorHAnsi"/>
          </w:rPr>
          <w:tab/>
        </w:r>
        <w:r w:rsidR="00B40C77" w:rsidRPr="00BD16B4">
          <w:rPr>
            <w:rStyle w:val="Hyperlink"/>
            <w:rFonts w:eastAsia="Calibri"/>
          </w:rPr>
          <w:t>Aotearoa New Zealand’s first three emissions budgets (Mt CO</w:t>
        </w:r>
        <w:r w:rsidR="00B40C77" w:rsidRPr="00BD16B4">
          <w:rPr>
            <w:rStyle w:val="Hyperlink"/>
            <w:rFonts w:eastAsia="Calibri"/>
            <w:vertAlign w:val="subscript"/>
          </w:rPr>
          <w:t>2</w:t>
        </w:r>
        <w:r w:rsidR="00B40C77" w:rsidRPr="00BD16B4">
          <w:rPr>
            <w:rStyle w:val="Hyperlink"/>
            <w:rFonts w:eastAsia="Calibri"/>
          </w:rPr>
          <w:t>-e)</w:t>
        </w:r>
        <w:r w:rsidR="00B40C77" w:rsidRPr="00BD16B4">
          <w:rPr>
            <w:webHidden/>
          </w:rPr>
          <w:tab/>
        </w:r>
        <w:r w:rsidR="00B40C77" w:rsidRPr="00BD16B4">
          <w:rPr>
            <w:webHidden/>
          </w:rPr>
          <w:fldChar w:fldCharType="begin"/>
        </w:r>
        <w:r w:rsidR="00B40C77" w:rsidRPr="00BD16B4">
          <w:rPr>
            <w:webHidden/>
          </w:rPr>
          <w:instrText xml:space="preserve"> PAGEREF _Toc121773788 \h </w:instrText>
        </w:r>
        <w:r w:rsidR="00B40C77" w:rsidRPr="00BD16B4">
          <w:rPr>
            <w:webHidden/>
          </w:rPr>
        </w:r>
        <w:r w:rsidR="00B40C77" w:rsidRPr="00BD16B4">
          <w:rPr>
            <w:webHidden/>
          </w:rPr>
          <w:fldChar w:fldCharType="separate"/>
        </w:r>
        <w:r w:rsidR="00A60C35">
          <w:rPr>
            <w:noProof/>
            <w:webHidden/>
          </w:rPr>
          <w:t>86</w:t>
        </w:r>
        <w:r w:rsidR="00B40C77" w:rsidRPr="00BD16B4">
          <w:rPr>
            <w:webHidden/>
          </w:rPr>
          <w:fldChar w:fldCharType="end"/>
        </w:r>
      </w:hyperlink>
    </w:p>
    <w:p w14:paraId="43058980" w14:textId="4C087633" w:rsidR="00B40C77" w:rsidRPr="00BD16B4" w:rsidRDefault="00FC49D2">
      <w:pPr>
        <w:pStyle w:val="TableofFigures"/>
        <w:tabs>
          <w:tab w:val="right" w:pos="8495"/>
        </w:tabs>
        <w:rPr>
          <w:rFonts w:asciiTheme="minorHAnsi" w:hAnsiTheme="minorHAnsi"/>
        </w:rPr>
      </w:pPr>
      <w:hyperlink w:anchor="_Toc121773789" w:history="1">
        <w:r w:rsidR="00B40C77" w:rsidRPr="00BD16B4">
          <w:rPr>
            <w:rStyle w:val="Hyperlink"/>
          </w:rPr>
          <w:t xml:space="preserve">Table 4.2: </w:t>
        </w:r>
        <w:r w:rsidR="00B40C77" w:rsidRPr="00BD16B4">
          <w:rPr>
            <w:rFonts w:asciiTheme="minorHAnsi" w:hAnsiTheme="minorHAnsi"/>
          </w:rPr>
          <w:tab/>
        </w:r>
        <w:r w:rsidR="00B40C77" w:rsidRPr="00BD16B4">
          <w:rPr>
            <w:rStyle w:val="Hyperlink"/>
          </w:rPr>
          <w:t>System settings – key actions</w:t>
        </w:r>
        <w:r w:rsidR="00B40C77" w:rsidRPr="00BD16B4">
          <w:rPr>
            <w:webHidden/>
          </w:rPr>
          <w:tab/>
        </w:r>
        <w:r w:rsidR="00B40C77" w:rsidRPr="00BD16B4">
          <w:rPr>
            <w:webHidden/>
          </w:rPr>
          <w:fldChar w:fldCharType="begin"/>
        </w:r>
        <w:r w:rsidR="00B40C77" w:rsidRPr="00BD16B4">
          <w:rPr>
            <w:webHidden/>
          </w:rPr>
          <w:instrText xml:space="preserve"> PAGEREF _Toc121773789 \h </w:instrText>
        </w:r>
        <w:r w:rsidR="00B40C77" w:rsidRPr="00BD16B4">
          <w:rPr>
            <w:webHidden/>
          </w:rPr>
        </w:r>
        <w:r w:rsidR="00B40C77" w:rsidRPr="00BD16B4">
          <w:rPr>
            <w:webHidden/>
          </w:rPr>
          <w:fldChar w:fldCharType="separate"/>
        </w:r>
        <w:r w:rsidR="00A60C35">
          <w:rPr>
            <w:noProof/>
            <w:webHidden/>
          </w:rPr>
          <w:t>90</w:t>
        </w:r>
        <w:r w:rsidR="00B40C77" w:rsidRPr="00BD16B4">
          <w:rPr>
            <w:webHidden/>
          </w:rPr>
          <w:fldChar w:fldCharType="end"/>
        </w:r>
      </w:hyperlink>
    </w:p>
    <w:p w14:paraId="4678D9ED" w14:textId="75EF8BBE" w:rsidR="00B40C77" w:rsidRPr="00BD16B4" w:rsidRDefault="00FC49D2">
      <w:pPr>
        <w:pStyle w:val="TableofFigures"/>
        <w:tabs>
          <w:tab w:val="right" w:pos="8495"/>
        </w:tabs>
        <w:rPr>
          <w:rFonts w:asciiTheme="minorHAnsi" w:hAnsiTheme="minorHAnsi"/>
        </w:rPr>
      </w:pPr>
      <w:hyperlink w:anchor="_Toc121773790" w:history="1">
        <w:r w:rsidR="00B40C77" w:rsidRPr="00BD16B4">
          <w:rPr>
            <w:rStyle w:val="Hyperlink"/>
          </w:rPr>
          <w:t xml:space="preserve">Table 4.3: </w:t>
        </w:r>
        <w:r w:rsidR="00B40C77" w:rsidRPr="00BD16B4">
          <w:rPr>
            <w:rFonts w:asciiTheme="minorHAnsi" w:hAnsiTheme="minorHAnsi"/>
          </w:rPr>
          <w:tab/>
        </w:r>
        <w:r w:rsidR="00B40C77" w:rsidRPr="00BD16B4">
          <w:rPr>
            <w:rStyle w:val="Hyperlink"/>
          </w:rPr>
          <w:t>Progress in achievement of the quantified economy-wide emissions reduction target: information on mitigation actions and their effects (CTF table 3)</w:t>
        </w:r>
        <w:r w:rsidR="00B40C77" w:rsidRPr="00BD16B4">
          <w:rPr>
            <w:webHidden/>
          </w:rPr>
          <w:tab/>
        </w:r>
        <w:r w:rsidR="00B40C77" w:rsidRPr="00BD16B4">
          <w:rPr>
            <w:webHidden/>
          </w:rPr>
          <w:fldChar w:fldCharType="begin"/>
        </w:r>
        <w:r w:rsidR="00B40C77" w:rsidRPr="00BD16B4">
          <w:rPr>
            <w:webHidden/>
          </w:rPr>
          <w:instrText xml:space="preserve"> PAGEREF _Toc121773790 \h </w:instrText>
        </w:r>
        <w:r w:rsidR="00B40C77" w:rsidRPr="00BD16B4">
          <w:rPr>
            <w:webHidden/>
          </w:rPr>
        </w:r>
        <w:r w:rsidR="00B40C77" w:rsidRPr="00BD16B4">
          <w:rPr>
            <w:webHidden/>
          </w:rPr>
          <w:fldChar w:fldCharType="separate"/>
        </w:r>
        <w:r w:rsidR="00A60C35">
          <w:rPr>
            <w:noProof/>
            <w:webHidden/>
          </w:rPr>
          <w:t>133</w:t>
        </w:r>
        <w:r w:rsidR="00B40C77" w:rsidRPr="00BD16B4">
          <w:rPr>
            <w:webHidden/>
          </w:rPr>
          <w:fldChar w:fldCharType="end"/>
        </w:r>
      </w:hyperlink>
    </w:p>
    <w:p w14:paraId="254D3E8D" w14:textId="480663DF" w:rsidR="00B40C77" w:rsidRPr="00BD16B4" w:rsidRDefault="00FC49D2">
      <w:pPr>
        <w:pStyle w:val="TableofFigures"/>
        <w:tabs>
          <w:tab w:val="right" w:pos="8495"/>
        </w:tabs>
        <w:rPr>
          <w:rFonts w:asciiTheme="minorHAnsi" w:hAnsiTheme="minorHAnsi"/>
        </w:rPr>
      </w:pPr>
      <w:hyperlink w:anchor="_Toc121773791" w:history="1">
        <w:r w:rsidR="00B40C77" w:rsidRPr="00BD16B4">
          <w:rPr>
            <w:rStyle w:val="Hyperlink"/>
          </w:rPr>
          <w:t xml:space="preserve">Table 5.1: </w:t>
        </w:r>
        <w:r w:rsidR="00B40C77" w:rsidRPr="00BD16B4">
          <w:rPr>
            <w:rFonts w:asciiTheme="minorHAnsi" w:hAnsiTheme="minorHAnsi"/>
          </w:rPr>
          <w:tab/>
        </w:r>
        <w:r w:rsidR="00B40C77" w:rsidRPr="00BD16B4">
          <w:rPr>
            <w:rStyle w:val="Hyperlink"/>
          </w:rPr>
          <w:t>Policies and measures included in the WEM, WOM and WAM scenarios</w:t>
        </w:r>
        <w:r w:rsidR="00B40C77" w:rsidRPr="00BD16B4">
          <w:rPr>
            <w:webHidden/>
          </w:rPr>
          <w:tab/>
        </w:r>
        <w:r w:rsidR="00B40C77" w:rsidRPr="00BD16B4">
          <w:rPr>
            <w:webHidden/>
          </w:rPr>
          <w:fldChar w:fldCharType="begin"/>
        </w:r>
        <w:r w:rsidR="00B40C77" w:rsidRPr="00BD16B4">
          <w:rPr>
            <w:webHidden/>
          </w:rPr>
          <w:instrText xml:space="preserve"> PAGEREF _Toc121773791 \h </w:instrText>
        </w:r>
        <w:r w:rsidR="00B40C77" w:rsidRPr="00BD16B4">
          <w:rPr>
            <w:webHidden/>
          </w:rPr>
        </w:r>
        <w:r w:rsidR="00B40C77" w:rsidRPr="00BD16B4">
          <w:rPr>
            <w:webHidden/>
          </w:rPr>
          <w:fldChar w:fldCharType="separate"/>
        </w:r>
        <w:r w:rsidR="00A60C35">
          <w:rPr>
            <w:noProof/>
            <w:webHidden/>
          </w:rPr>
          <w:t>163</w:t>
        </w:r>
        <w:r w:rsidR="00B40C77" w:rsidRPr="00BD16B4">
          <w:rPr>
            <w:webHidden/>
          </w:rPr>
          <w:fldChar w:fldCharType="end"/>
        </w:r>
      </w:hyperlink>
    </w:p>
    <w:p w14:paraId="1F657ED1" w14:textId="7865F76E" w:rsidR="00B40C77" w:rsidRPr="00BD16B4" w:rsidRDefault="00FC49D2">
      <w:pPr>
        <w:pStyle w:val="TableofFigures"/>
        <w:tabs>
          <w:tab w:val="right" w:pos="8495"/>
        </w:tabs>
        <w:rPr>
          <w:rFonts w:asciiTheme="minorHAnsi" w:hAnsiTheme="minorHAnsi"/>
        </w:rPr>
      </w:pPr>
      <w:hyperlink w:anchor="_Toc121773792" w:history="1">
        <w:r w:rsidR="00B40C77" w:rsidRPr="00BD16B4">
          <w:rPr>
            <w:rStyle w:val="Hyperlink"/>
          </w:rPr>
          <w:t>Table 5.2:</w:t>
        </w:r>
        <w:r w:rsidR="00B40C77" w:rsidRPr="00BD16B4">
          <w:rPr>
            <w:rFonts w:asciiTheme="minorHAnsi" w:hAnsiTheme="minorHAnsi"/>
          </w:rPr>
          <w:tab/>
        </w:r>
        <w:r w:rsidR="00B40C77" w:rsidRPr="00BD16B4">
          <w:rPr>
            <w:rStyle w:val="Hyperlink"/>
          </w:rPr>
          <w:t>Details on scenarios</w:t>
        </w:r>
        <w:r w:rsidR="00B40C77" w:rsidRPr="00BD16B4">
          <w:rPr>
            <w:webHidden/>
          </w:rPr>
          <w:tab/>
        </w:r>
        <w:r w:rsidR="00B40C77" w:rsidRPr="00BD16B4">
          <w:rPr>
            <w:webHidden/>
          </w:rPr>
          <w:fldChar w:fldCharType="begin"/>
        </w:r>
        <w:r w:rsidR="00B40C77" w:rsidRPr="00BD16B4">
          <w:rPr>
            <w:webHidden/>
          </w:rPr>
          <w:instrText xml:space="preserve"> PAGEREF _Toc121773792 \h </w:instrText>
        </w:r>
        <w:r w:rsidR="00B40C77" w:rsidRPr="00BD16B4">
          <w:rPr>
            <w:webHidden/>
          </w:rPr>
        </w:r>
        <w:r w:rsidR="00B40C77" w:rsidRPr="00BD16B4">
          <w:rPr>
            <w:webHidden/>
          </w:rPr>
          <w:fldChar w:fldCharType="separate"/>
        </w:r>
        <w:r w:rsidR="00A60C35">
          <w:rPr>
            <w:noProof/>
            <w:webHidden/>
          </w:rPr>
          <w:t>165</w:t>
        </w:r>
        <w:r w:rsidR="00B40C77" w:rsidRPr="00BD16B4">
          <w:rPr>
            <w:webHidden/>
          </w:rPr>
          <w:fldChar w:fldCharType="end"/>
        </w:r>
      </w:hyperlink>
    </w:p>
    <w:p w14:paraId="13BED85E" w14:textId="6CA3E320" w:rsidR="00B40C77" w:rsidRPr="00BD16B4" w:rsidRDefault="00FC49D2">
      <w:pPr>
        <w:pStyle w:val="TableofFigures"/>
        <w:tabs>
          <w:tab w:val="right" w:pos="8495"/>
        </w:tabs>
        <w:rPr>
          <w:rFonts w:asciiTheme="minorHAnsi" w:hAnsiTheme="minorHAnsi"/>
        </w:rPr>
      </w:pPr>
      <w:hyperlink w:anchor="_Toc121773793" w:history="1">
        <w:r w:rsidR="00B40C77" w:rsidRPr="00BD16B4">
          <w:rPr>
            <w:rStyle w:val="Hyperlink"/>
          </w:rPr>
          <w:t>Table 5.3:</w:t>
        </w:r>
        <w:r w:rsidR="00B40C77" w:rsidRPr="00BD16B4">
          <w:rPr>
            <w:rFonts w:asciiTheme="minorHAnsi" w:hAnsiTheme="minorHAnsi"/>
          </w:rPr>
          <w:tab/>
        </w:r>
        <w:r w:rsidR="00B40C77" w:rsidRPr="00BD16B4">
          <w:rPr>
            <w:rStyle w:val="Hyperlink"/>
          </w:rPr>
          <w:t>Summary of key assumptions for modelling New Zealand’s greenhouse gas emission projections, 1990–2035</w:t>
        </w:r>
        <w:r w:rsidR="00B40C77" w:rsidRPr="00BD16B4">
          <w:rPr>
            <w:webHidden/>
          </w:rPr>
          <w:tab/>
        </w:r>
        <w:r w:rsidR="00B40C77" w:rsidRPr="00BD16B4">
          <w:rPr>
            <w:webHidden/>
          </w:rPr>
          <w:fldChar w:fldCharType="begin"/>
        </w:r>
        <w:r w:rsidR="00B40C77" w:rsidRPr="00BD16B4">
          <w:rPr>
            <w:webHidden/>
          </w:rPr>
          <w:instrText xml:space="preserve"> PAGEREF _Toc121773793 \h </w:instrText>
        </w:r>
        <w:r w:rsidR="00B40C77" w:rsidRPr="00BD16B4">
          <w:rPr>
            <w:webHidden/>
          </w:rPr>
        </w:r>
        <w:r w:rsidR="00B40C77" w:rsidRPr="00BD16B4">
          <w:rPr>
            <w:webHidden/>
          </w:rPr>
          <w:fldChar w:fldCharType="separate"/>
        </w:r>
        <w:r w:rsidR="00A60C35">
          <w:rPr>
            <w:noProof/>
            <w:webHidden/>
          </w:rPr>
          <w:t>166</w:t>
        </w:r>
        <w:r w:rsidR="00B40C77" w:rsidRPr="00BD16B4">
          <w:rPr>
            <w:webHidden/>
          </w:rPr>
          <w:fldChar w:fldCharType="end"/>
        </w:r>
      </w:hyperlink>
    </w:p>
    <w:p w14:paraId="1B7F49B8" w14:textId="39A577D2" w:rsidR="00B40C77" w:rsidRPr="00BD16B4" w:rsidRDefault="00FC49D2">
      <w:pPr>
        <w:pStyle w:val="TableofFigures"/>
        <w:tabs>
          <w:tab w:val="right" w:pos="8495"/>
        </w:tabs>
        <w:rPr>
          <w:rFonts w:asciiTheme="minorHAnsi" w:hAnsiTheme="minorHAnsi"/>
        </w:rPr>
      </w:pPr>
      <w:hyperlink w:anchor="_Toc121773794" w:history="1">
        <w:r w:rsidR="00B40C77" w:rsidRPr="00BD16B4">
          <w:rPr>
            <w:rStyle w:val="Hyperlink"/>
          </w:rPr>
          <w:t>Table 5.4:</w:t>
        </w:r>
        <w:r w:rsidR="00B40C77" w:rsidRPr="00BD16B4">
          <w:rPr>
            <w:rFonts w:asciiTheme="minorHAnsi" w:hAnsiTheme="minorHAnsi"/>
          </w:rPr>
          <w:tab/>
        </w:r>
        <w:r w:rsidR="00B40C77" w:rsidRPr="00BD16B4">
          <w:rPr>
            <w:rStyle w:val="Hyperlink"/>
          </w:rPr>
          <w:t>Summary of key assumptions for energy and transport for modelling New Zealand’s greenhouse gas emission projections, 1990–2035</w:t>
        </w:r>
        <w:r w:rsidR="00B40C77" w:rsidRPr="00BD16B4">
          <w:rPr>
            <w:webHidden/>
          </w:rPr>
          <w:tab/>
        </w:r>
        <w:r w:rsidR="00B40C77" w:rsidRPr="00BD16B4">
          <w:rPr>
            <w:webHidden/>
          </w:rPr>
          <w:fldChar w:fldCharType="begin"/>
        </w:r>
        <w:r w:rsidR="00B40C77" w:rsidRPr="00BD16B4">
          <w:rPr>
            <w:webHidden/>
          </w:rPr>
          <w:instrText xml:space="preserve"> PAGEREF _Toc121773794 \h </w:instrText>
        </w:r>
        <w:r w:rsidR="00B40C77" w:rsidRPr="00BD16B4">
          <w:rPr>
            <w:webHidden/>
          </w:rPr>
        </w:r>
        <w:r w:rsidR="00B40C77" w:rsidRPr="00BD16B4">
          <w:rPr>
            <w:webHidden/>
          </w:rPr>
          <w:fldChar w:fldCharType="separate"/>
        </w:r>
        <w:r w:rsidR="00A60C35">
          <w:rPr>
            <w:noProof/>
            <w:webHidden/>
          </w:rPr>
          <w:t>166</w:t>
        </w:r>
        <w:r w:rsidR="00B40C77" w:rsidRPr="00BD16B4">
          <w:rPr>
            <w:webHidden/>
          </w:rPr>
          <w:fldChar w:fldCharType="end"/>
        </w:r>
      </w:hyperlink>
    </w:p>
    <w:p w14:paraId="7D3BDAD4" w14:textId="40E0F665" w:rsidR="00B40C77" w:rsidRPr="00BD16B4" w:rsidRDefault="00FC49D2">
      <w:pPr>
        <w:pStyle w:val="TableofFigures"/>
        <w:tabs>
          <w:tab w:val="right" w:pos="8495"/>
        </w:tabs>
        <w:rPr>
          <w:rFonts w:asciiTheme="minorHAnsi" w:hAnsiTheme="minorHAnsi"/>
        </w:rPr>
      </w:pPr>
      <w:hyperlink w:anchor="_Toc121773795" w:history="1">
        <w:r w:rsidR="00B40C77" w:rsidRPr="00BD16B4">
          <w:rPr>
            <w:rStyle w:val="Hyperlink"/>
          </w:rPr>
          <w:t xml:space="preserve">Table 5.5: </w:t>
        </w:r>
        <w:r w:rsidR="00B40C77" w:rsidRPr="00BD16B4">
          <w:rPr>
            <w:rFonts w:asciiTheme="minorHAnsi" w:hAnsiTheme="minorHAnsi"/>
          </w:rPr>
          <w:tab/>
        </w:r>
        <w:r w:rsidR="00B40C77" w:rsidRPr="00BD16B4">
          <w:rPr>
            <w:rStyle w:val="Hyperlink"/>
          </w:rPr>
          <w:t>New Zealand greenhouse gas emissions by sector, 1990–2035 (Mt CO</w:t>
        </w:r>
        <w:r w:rsidR="00B40C77" w:rsidRPr="00BD16B4">
          <w:rPr>
            <w:rStyle w:val="Hyperlink"/>
            <w:vertAlign w:val="subscript"/>
          </w:rPr>
          <w:t>2</w:t>
        </w:r>
        <w:r w:rsidR="00B40C77" w:rsidRPr="00BD16B4">
          <w:rPr>
            <w:rStyle w:val="Hyperlink"/>
          </w:rPr>
          <w:t>-e)</w:t>
        </w:r>
        <w:r w:rsidR="00B40C77" w:rsidRPr="00BD16B4">
          <w:rPr>
            <w:webHidden/>
          </w:rPr>
          <w:tab/>
        </w:r>
        <w:r w:rsidR="00B40C77" w:rsidRPr="00BD16B4">
          <w:rPr>
            <w:webHidden/>
          </w:rPr>
          <w:fldChar w:fldCharType="begin"/>
        </w:r>
        <w:r w:rsidR="00B40C77" w:rsidRPr="00BD16B4">
          <w:rPr>
            <w:webHidden/>
          </w:rPr>
          <w:instrText xml:space="preserve"> PAGEREF _Toc121773795 \h </w:instrText>
        </w:r>
        <w:r w:rsidR="00B40C77" w:rsidRPr="00BD16B4">
          <w:rPr>
            <w:webHidden/>
          </w:rPr>
        </w:r>
        <w:r w:rsidR="00B40C77" w:rsidRPr="00BD16B4">
          <w:rPr>
            <w:webHidden/>
          </w:rPr>
          <w:fldChar w:fldCharType="separate"/>
        </w:r>
        <w:r w:rsidR="00A60C35">
          <w:rPr>
            <w:noProof/>
            <w:webHidden/>
          </w:rPr>
          <w:t>167</w:t>
        </w:r>
        <w:r w:rsidR="00B40C77" w:rsidRPr="00BD16B4">
          <w:rPr>
            <w:webHidden/>
          </w:rPr>
          <w:fldChar w:fldCharType="end"/>
        </w:r>
      </w:hyperlink>
    </w:p>
    <w:p w14:paraId="7C46DFB0" w14:textId="2E0C6CE5" w:rsidR="00B40C77" w:rsidRPr="00BD16B4" w:rsidRDefault="00FC49D2">
      <w:pPr>
        <w:pStyle w:val="TableofFigures"/>
        <w:tabs>
          <w:tab w:val="right" w:pos="8495"/>
        </w:tabs>
        <w:rPr>
          <w:rFonts w:asciiTheme="minorHAnsi" w:hAnsiTheme="minorHAnsi"/>
        </w:rPr>
      </w:pPr>
      <w:hyperlink w:anchor="_Toc121773796" w:history="1">
        <w:r w:rsidR="00B40C77" w:rsidRPr="00BD16B4">
          <w:rPr>
            <w:rStyle w:val="Hyperlink"/>
          </w:rPr>
          <w:t xml:space="preserve">Table 5.6: </w:t>
        </w:r>
        <w:r w:rsidR="00B40C77" w:rsidRPr="00BD16B4">
          <w:rPr>
            <w:rFonts w:asciiTheme="minorHAnsi" w:hAnsiTheme="minorHAnsi"/>
          </w:rPr>
          <w:tab/>
        </w:r>
        <w:r w:rsidR="00B40C77" w:rsidRPr="00BD16B4">
          <w:rPr>
            <w:rStyle w:val="Hyperlink"/>
          </w:rPr>
          <w:t>New Zealand greenhouse gas emissions by gas, 1990–2035 (Mt CO</w:t>
        </w:r>
        <w:r w:rsidR="00B40C77" w:rsidRPr="00BD16B4">
          <w:rPr>
            <w:rStyle w:val="Hyperlink"/>
            <w:vertAlign w:val="subscript"/>
          </w:rPr>
          <w:t>2</w:t>
        </w:r>
        <w:r w:rsidR="00B40C77" w:rsidRPr="00BD16B4">
          <w:rPr>
            <w:rStyle w:val="Hyperlink"/>
          </w:rPr>
          <w:t>-e)</w:t>
        </w:r>
        <w:r w:rsidR="00B40C77" w:rsidRPr="00BD16B4">
          <w:rPr>
            <w:webHidden/>
          </w:rPr>
          <w:tab/>
        </w:r>
        <w:r w:rsidR="00B40C77" w:rsidRPr="00BD16B4">
          <w:rPr>
            <w:webHidden/>
          </w:rPr>
          <w:fldChar w:fldCharType="begin"/>
        </w:r>
        <w:r w:rsidR="00B40C77" w:rsidRPr="00BD16B4">
          <w:rPr>
            <w:webHidden/>
          </w:rPr>
          <w:instrText xml:space="preserve"> PAGEREF _Toc121773796 \h </w:instrText>
        </w:r>
        <w:r w:rsidR="00B40C77" w:rsidRPr="00BD16B4">
          <w:rPr>
            <w:webHidden/>
          </w:rPr>
        </w:r>
        <w:r w:rsidR="00B40C77" w:rsidRPr="00BD16B4">
          <w:rPr>
            <w:webHidden/>
          </w:rPr>
          <w:fldChar w:fldCharType="separate"/>
        </w:r>
        <w:r w:rsidR="00A60C35">
          <w:rPr>
            <w:noProof/>
            <w:webHidden/>
          </w:rPr>
          <w:t>168</w:t>
        </w:r>
        <w:r w:rsidR="00B40C77" w:rsidRPr="00BD16B4">
          <w:rPr>
            <w:webHidden/>
          </w:rPr>
          <w:fldChar w:fldCharType="end"/>
        </w:r>
      </w:hyperlink>
    </w:p>
    <w:p w14:paraId="460059B3" w14:textId="627CD62C" w:rsidR="00B40C77" w:rsidRPr="00BD16B4" w:rsidRDefault="00FC49D2">
      <w:pPr>
        <w:pStyle w:val="TableofFigures"/>
        <w:tabs>
          <w:tab w:val="right" w:pos="8495"/>
        </w:tabs>
        <w:rPr>
          <w:rFonts w:asciiTheme="minorHAnsi" w:hAnsiTheme="minorHAnsi"/>
        </w:rPr>
      </w:pPr>
      <w:hyperlink w:anchor="_Toc121773797" w:history="1">
        <w:r w:rsidR="00B40C77" w:rsidRPr="00BD16B4">
          <w:rPr>
            <w:rStyle w:val="Hyperlink"/>
            <w:rFonts w:eastAsia="Calibri"/>
          </w:rPr>
          <w:t>Table 5.7:</w:t>
        </w:r>
        <w:r w:rsidR="00B40C77" w:rsidRPr="00BD16B4">
          <w:rPr>
            <w:rFonts w:asciiTheme="minorHAnsi" w:hAnsiTheme="minorHAnsi"/>
          </w:rPr>
          <w:tab/>
        </w:r>
        <w:r w:rsidR="00B40C77" w:rsidRPr="00BD16B4">
          <w:rPr>
            <w:rStyle w:val="Hyperlink"/>
            <w:rFonts w:eastAsia="Calibri"/>
          </w:rPr>
          <w:t>Total effect of current policies and measures by sector,</w:t>
        </w:r>
        <w:r w:rsidR="00B40C77" w:rsidRPr="00BD16B4">
          <w:rPr>
            <w:rStyle w:val="Hyperlink"/>
          </w:rPr>
          <w:t xml:space="preserve"> 1990–2035</w:t>
        </w:r>
        <w:r w:rsidR="00B40C77" w:rsidRPr="00BD16B4">
          <w:rPr>
            <w:rStyle w:val="Hyperlink"/>
            <w:rFonts w:eastAsia="Calibri"/>
          </w:rPr>
          <w:t xml:space="preserve"> (kt CO</w:t>
        </w:r>
        <w:r w:rsidR="00B40C77" w:rsidRPr="00BD16B4">
          <w:rPr>
            <w:rStyle w:val="Hyperlink"/>
            <w:rFonts w:eastAsia="Calibri"/>
            <w:vertAlign w:val="subscript"/>
          </w:rPr>
          <w:t>2</w:t>
        </w:r>
        <w:r w:rsidR="00B40C77" w:rsidRPr="00BD16B4">
          <w:rPr>
            <w:rStyle w:val="Hyperlink"/>
            <w:rFonts w:eastAsia="Calibri"/>
          </w:rPr>
          <w:noBreakHyphen/>
          <w:t>e)</w:t>
        </w:r>
        <w:r w:rsidR="00B40C77" w:rsidRPr="00BD16B4">
          <w:rPr>
            <w:webHidden/>
          </w:rPr>
          <w:tab/>
        </w:r>
        <w:r w:rsidR="00B40C77" w:rsidRPr="00BD16B4">
          <w:rPr>
            <w:webHidden/>
          </w:rPr>
          <w:fldChar w:fldCharType="begin"/>
        </w:r>
        <w:r w:rsidR="00B40C77" w:rsidRPr="00BD16B4">
          <w:rPr>
            <w:webHidden/>
          </w:rPr>
          <w:instrText xml:space="preserve"> PAGEREF _Toc121773797 \h </w:instrText>
        </w:r>
        <w:r w:rsidR="00B40C77" w:rsidRPr="00BD16B4">
          <w:rPr>
            <w:webHidden/>
          </w:rPr>
        </w:r>
        <w:r w:rsidR="00B40C77" w:rsidRPr="00BD16B4">
          <w:rPr>
            <w:webHidden/>
          </w:rPr>
          <w:fldChar w:fldCharType="separate"/>
        </w:r>
        <w:r w:rsidR="00A60C35">
          <w:rPr>
            <w:noProof/>
            <w:webHidden/>
          </w:rPr>
          <w:t>174</w:t>
        </w:r>
        <w:r w:rsidR="00B40C77" w:rsidRPr="00BD16B4">
          <w:rPr>
            <w:webHidden/>
          </w:rPr>
          <w:fldChar w:fldCharType="end"/>
        </w:r>
      </w:hyperlink>
    </w:p>
    <w:p w14:paraId="167DFE1F" w14:textId="7EB38469" w:rsidR="00B40C77" w:rsidRPr="00BD16B4" w:rsidRDefault="00FC49D2">
      <w:pPr>
        <w:pStyle w:val="TableofFigures"/>
        <w:tabs>
          <w:tab w:val="right" w:pos="8495"/>
        </w:tabs>
        <w:rPr>
          <w:rFonts w:asciiTheme="minorHAnsi" w:hAnsiTheme="minorHAnsi"/>
        </w:rPr>
      </w:pPr>
      <w:hyperlink w:anchor="_Toc121773798" w:history="1">
        <w:r w:rsidR="00B40C77" w:rsidRPr="00BD16B4">
          <w:rPr>
            <w:rStyle w:val="Hyperlink"/>
            <w:rFonts w:eastAsia="Calibri"/>
          </w:rPr>
          <w:t xml:space="preserve">Table 5.8: </w:t>
        </w:r>
        <w:r w:rsidR="00B40C77" w:rsidRPr="00BD16B4">
          <w:rPr>
            <w:rFonts w:asciiTheme="minorHAnsi" w:hAnsiTheme="minorHAnsi"/>
          </w:rPr>
          <w:tab/>
        </w:r>
        <w:r w:rsidR="00B40C77" w:rsidRPr="00BD16B4">
          <w:rPr>
            <w:rStyle w:val="Hyperlink"/>
            <w:rFonts w:eastAsia="Calibri"/>
          </w:rPr>
          <w:t>Total effect of current policies and measures by gas,</w:t>
        </w:r>
        <w:r w:rsidR="00B40C77" w:rsidRPr="00BD16B4">
          <w:rPr>
            <w:rStyle w:val="Hyperlink"/>
          </w:rPr>
          <w:t xml:space="preserve"> 1990–2035</w:t>
        </w:r>
        <w:r w:rsidR="00B40C77" w:rsidRPr="00BD16B4">
          <w:rPr>
            <w:rStyle w:val="Hyperlink"/>
            <w:rFonts w:eastAsia="Calibri"/>
          </w:rPr>
          <w:t xml:space="preserve"> (kt CO</w:t>
        </w:r>
        <w:r w:rsidR="00B40C77" w:rsidRPr="00BD16B4">
          <w:rPr>
            <w:rStyle w:val="Hyperlink"/>
            <w:rFonts w:eastAsia="Calibri"/>
            <w:vertAlign w:val="subscript"/>
          </w:rPr>
          <w:t>2</w:t>
        </w:r>
        <w:r w:rsidR="00B40C77" w:rsidRPr="00BD16B4">
          <w:rPr>
            <w:rStyle w:val="Hyperlink"/>
            <w:rFonts w:eastAsia="Calibri"/>
          </w:rPr>
          <w:noBreakHyphen/>
          <w:t>e)</w:t>
        </w:r>
        <w:r w:rsidR="00B40C77" w:rsidRPr="00BD16B4">
          <w:rPr>
            <w:webHidden/>
          </w:rPr>
          <w:tab/>
        </w:r>
        <w:r w:rsidR="00B40C77" w:rsidRPr="00BD16B4">
          <w:rPr>
            <w:webHidden/>
          </w:rPr>
          <w:fldChar w:fldCharType="begin"/>
        </w:r>
        <w:r w:rsidR="00B40C77" w:rsidRPr="00BD16B4">
          <w:rPr>
            <w:webHidden/>
          </w:rPr>
          <w:instrText xml:space="preserve"> PAGEREF _Toc121773798 \h </w:instrText>
        </w:r>
        <w:r w:rsidR="00B40C77" w:rsidRPr="00BD16B4">
          <w:rPr>
            <w:webHidden/>
          </w:rPr>
        </w:r>
        <w:r w:rsidR="00B40C77" w:rsidRPr="00BD16B4">
          <w:rPr>
            <w:webHidden/>
          </w:rPr>
          <w:fldChar w:fldCharType="separate"/>
        </w:r>
        <w:r w:rsidR="00A60C35">
          <w:rPr>
            <w:noProof/>
            <w:webHidden/>
          </w:rPr>
          <w:t>174</w:t>
        </w:r>
        <w:r w:rsidR="00B40C77" w:rsidRPr="00BD16B4">
          <w:rPr>
            <w:webHidden/>
          </w:rPr>
          <w:fldChar w:fldCharType="end"/>
        </w:r>
      </w:hyperlink>
    </w:p>
    <w:p w14:paraId="7A8AB9C9" w14:textId="39A7E32F" w:rsidR="00B40C77" w:rsidRPr="00BD16B4" w:rsidRDefault="00FC49D2">
      <w:pPr>
        <w:pStyle w:val="TableofFigures"/>
        <w:tabs>
          <w:tab w:val="right" w:pos="8495"/>
        </w:tabs>
        <w:rPr>
          <w:rFonts w:asciiTheme="minorHAnsi" w:hAnsiTheme="minorHAnsi"/>
        </w:rPr>
      </w:pPr>
      <w:hyperlink w:anchor="_Toc121773799" w:history="1">
        <w:r w:rsidR="00B40C77" w:rsidRPr="00BD16B4">
          <w:rPr>
            <w:rStyle w:val="Hyperlink"/>
            <w:rFonts w:eastAsia="Calibri"/>
          </w:rPr>
          <w:t xml:space="preserve">Table 5.9: </w:t>
        </w:r>
        <w:r w:rsidR="00B40C77" w:rsidRPr="00BD16B4">
          <w:rPr>
            <w:rFonts w:asciiTheme="minorHAnsi" w:hAnsiTheme="minorHAnsi"/>
          </w:rPr>
          <w:tab/>
        </w:r>
        <w:r w:rsidR="00B40C77" w:rsidRPr="00BD16B4">
          <w:rPr>
            <w:rStyle w:val="Hyperlink"/>
            <w:rFonts w:eastAsia="Calibri"/>
          </w:rPr>
          <w:t>Total effect of additional policies and measures by sector, 1990–2035 (kt CO</w:t>
        </w:r>
        <w:r w:rsidR="00B40C77" w:rsidRPr="00BD16B4">
          <w:rPr>
            <w:rStyle w:val="Hyperlink"/>
            <w:rFonts w:eastAsia="Calibri"/>
            <w:vertAlign w:val="subscript"/>
          </w:rPr>
          <w:t>2</w:t>
        </w:r>
        <w:r w:rsidR="00B40C77" w:rsidRPr="00BD16B4">
          <w:rPr>
            <w:rStyle w:val="Hyperlink"/>
            <w:rFonts w:eastAsia="Calibri"/>
          </w:rPr>
          <w:t>-e)</w:t>
        </w:r>
        <w:r w:rsidR="00B40C77" w:rsidRPr="00BD16B4">
          <w:rPr>
            <w:webHidden/>
          </w:rPr>
          <w:tab/>
        </w:r>
        <w:r w:rsidR="00B40C77" w:rsidRPr="00BD16B4">
          <w:rPr>
            <w:webHidden/>
          </w:rPr>
          <w:fldChar w:fldCharType="begin"/>
        </w:r>
        <w:r w:rsidR="00B40C77" w:rsidRPr="00BD16B4">
          <w:rPr>
            <w:webHidden/>
          </w:rPr>
          <w:instrText xml:space="preserve"> PAGEREF _Toc121773799 \h </w:instrText>
        </w:r>
        <w:r w:rsidR="00B40C77" w:rsidRPr="00BD16B4">
          <w:rPr>
            <w:webHidden/>
          </w:rPr>
        </w:r>
        <w:r w:rsidR="00B40C77" w:rsidRPr="00BD16B4">
          <w:rPr>
            <w:webHidden/>
          </w:rPr>
          <w:fldChar w:fldCharType="separate"/>
        </w:r>
        <w:r w:rsidR="00A60C35">
          <w:rPr>
            <w:noProof/>
            <w:webHidden/>
          </w:rPr>
          <w:t>175</w:t>
        </w:r>
        <w:r w:rsidR="00B40C77" w:rsidRPr="00BD16B4">
          <w:rPr>
            <w:webHidden/>
          </w:rPr>
          <w:fldChar w:fldCharType="end"/>
        </w:r>
      </w:hyperlink>
    </w:p>
    <w:p w14:paraId="37063BA5" w14:textId="77E6A5FB" w:rsidR="00B40C77" w:rsidRPr="00BD16B4" w:rsidRDefault="00FC49D2">
      <w:pPr>
        <w:pStyle w:val="TableofFigures"/>
        <w:tabs>
          <w:tab w:val="right" w:pos="8495"/>
        </w:tabs>
        <w:rPr>
          <w:rFonts w:asciiTheme="minorHAnsi" w:hAnsiTheme="minorHAnsi"/>
        </w:rPr>
      </w:pPr>
      <w:hyperlink w:anchor="_Toc121773800" w:history="1">
        <w:r w:rsidR="00B40C77" w:rsidRPr="00BD16B4">
          <w:rPr>
            <w:rStyle w:val="Hyperlink"/>
            <w:rFonts w:eastAsia="Calibri"/>
          </w:rPr>
          <w:t xml:space="preserve">Table 5.10: </w:t>
        </w:r>
        <w:r w:rsidR="00B40C77" w:rsidRPr="00BD16B4">
          <w:rPr>
            <w:rFonts w:asciiTheme="minorHAnsi" w:hAnsiTheme="minorHAnsi"/>
          </w:rPr>
          <w:tab/>
        </w:r>
        <w:r w:rsidR="00B40C77" w:rsidRPr="00BD16B4">
          <w:rPr>
            <w:rStyle w:val="Hyperlink"/>
            <w:rFonts w:eastAsia="Calibri"/>
          </w:rPr>
          <w:t>Total effect of additional policies and measures by gas, 1990–2035 (kt CO</w:t>
        </w:r>
        <w:r w:rsidR="00B40C77" w:rsidRPr="00BD16B4">
          <w:rPr>
            <w:rStyle w:val="Hyperlink"/>
            <w:rFonts w:eastAsia="Calibri"/>
            <w:vertAlign w:val="subscript"/>
          </w:rPr>
          <w:t>2</w:t>
        </w:r>
        <w:r w:rsidR="00B40C77" w:rsidRPr="00BD16B4">
          <w:rPr>
            <w:rStyle w:val="Hyperlink"/>
            <w:rFonts w:eastAsia="Calibri"/>
          </w:rPr>
          <w:noBreakHyphen/>
          <w:t>e)</w:t>
        </w:r>
        <w:r w:rsidR="00B40C77" w:rsidRPr="00BD16B4">
          <w:rPr>
            <w:webHidden/>
          </w:rPr>
          <w:tab/>
        </w:r>
        <w:r w:rsidR="00B40C77" w:rsidRPr="00BD16B4">
          <w:rPr>
            <w:webHidden/>
          </w:rPr>
          <w:fldChar w:fldCharType="begin"/>
        </w:r>
        <w:r w:rsidR="00B40C77" w:rsidRPr="00BD16B4">
          <w:rPr>
            <w:webHidden/>
          </w:rPr>
          <w:instrText xml:space="preserve"> PAGEREF _Toc121773800 \h </w:instrText>
        </w:r>
        <w:r w:rsidR="00B40C77" w:rsidRPr="00BD16B4">
          <w:rPr>
            <w:webHidden/>
          </w:rPr>
        </w:r>
        <w:r w:rsidR="00B40C77" w:rsidRPr="00BD16B4">
          <w:rPr>
            <w:webHidden/>
          </w:rPr>
          <w:fldChar w:fldCharType="separate"/>
        </w:r>
        <w:r w:rsidR="00A60C35">
          <w:rPr>
            <w:noProof/>
            <w:webHidden/>
          </w:rPr>
          <w:t>175</w:t>
        </w:r>
        <w:r w:rsidR="00B40C77" w:rsidRPr="00BD16B4">
          <w:rPr>
            <w:webHidden/>
          </w:rPr>
          <w:fldChar w:fldCharType="end"/>
        </w:r>
      </w:hyperlink>
    </w:p>
    <w:p w14:paraId="052B0AE0" w14:textId="05E08749" w:rsidR="00B40C77" w:rsidRPr="00BD16B4" w:rsidRDefault="00FC49D2">
      <w:pPr>
        <w:pStyle w:val="TableofFigures"/>
        <w:tabs>
          <w:tab w:val="right" w:pos="8495"/>
        </w:tabs>
        <w:rPr>
          <w:rFonts w:asciiTheme="minorHAnsi" w:hAnsiTheme="minorHAnsi"/>
        </w:rPr>
      </w:pPr>
      <w:hyperlink w:anchor="_Toc121773801" w:history="1">
        <w:r w:rsidR="00B40C77" w:rsidRPr="00BD16B4">
          <w:rPr>
            <w:rStyle w:val="Hyperlink"/>
          </w:rPr>
          <w:t xml:space="preserve">Table 5.11: </w:t>
        </w:r>
        <w:r w:rsidR="00B40C77" w:rsidRPr="00BD16B4">
          <w:rPr>
            <w:rFonts w:asciiTheme="minorHAnsi" w:hAnsiTheme="minorHAnsi"/>
          </w:rPr>
          <w:tab/>
        </w:r>
        <w:r w:rsidR="00B40C77" w:rsidRPr="00BD16B4">
          <w:rPr>
            <w:rStyle w:val="Hyperlink"/>
          </w:rPr>
          <w:t xml:space="preserve">Revision of assumptions since </w:t>
        </w:r>
        <w:r w:rsidR="00B40C77" w:rsidRPr="00BD16B4">
          <w:rPr>
            <w:rStyle w:val="Hyperlink"/>
            <w:i/>
          </w:rPr>
          <w:t xml:space="preserve">New Zealand’s </w:t>
        </w:r>
        <w:r w:rsidR="00B40C77" w:rsidRPr="00BD16B4">
          <w:rPr>
            <w:rStyle w:val="Hyperlink"/>
            <w:i/>
            <w:iCs/>
          </w:rPr>
          <w:t>Fourth Biennial Report</w:t>
        </w:r>
        <w:r w:rsidR="00B40C77" w:rsidRPr="00BD16B4">
          <w:rPr>
            <w:webHidden/>
          </w:rPr>
          <w:tab/>
        </w:r>
        <w:r w:rsidR="00B40C77" w:rsidRPr="00BD16B4">
          <w:rPr>
            <w:webHidden/>
          </w:rPr>
          <w:fldChar w:fldCharType="begin"/>
        </w:r>
        <w:r w:rsidR="00B40C77" w:rsidRPr="00BD16B4">
          <w:rPr>
            <w:webHidden/>
          </w:rPr>
          <w:instrText xml:space="preserve"> PAGEREF _Toc121773801 \h </w:instrText>
        </w:r>
        <w:r w:rsidR="00B40C77" w:rsidRPr="00BD16B4">
          <w:rPr>
            <w:webHidden/>
          </w:rPr>
        </w:r>
        <w:r w:rsidR="00B40C77" w:rsidRPr="00BD16B4">
          <w:rPr>
            <w:webHidden/>
          </w:rPr>
          <w:fldChar w:fldCharType="separate"/>
        </w:r>
        <w:r w:rsidR="00A60C35">
          <w:rPr>
            <w:noProof/>
            <w:webHidden/>
          </w:rPr>
          <w:t>176</w:t>
        </w:r>
        <w:r w:rsidR="00B40C77" w:rsidRPr="00BD16B4">
          <w:rPr>
            <w:webHidden/>
          </w:rPr>
          <w:fldChar w:fldCharType="end"/>
        </w:r>
      </w:hyperlink>
    </w:p>
    <w:p w14:paraId="5F4CF65C" w14:textId="0F9F966C" w:rsidR="00B40C77" w:rsidRPr="00BD16B4" w:rsidRDefault="00FC49D2">
      <w:pPr>
        <w:pStyle w:val="TableofFigures"/>
        <w:tabs>
          <w:tab w:val="right" w:pos="8495"/>
        </w:tabs>
        <w:rPr>
          <w:rFonts w:asciiTheme="minorHAnsi" w:hAnsiTheme="minorHAnsi"/>
        </w:rPr>
      </w:pPr>
      <w:hyperlink w:anchor="_Toc121773802" w:history="1">
        <w:r w:rsidR="00B40C77" w:rsidRPr="00BD16B4">
          <w:rPr>
            <w:rStyle w:val="Hyperlink"/>
          </w:rPr>
          <w:t>Table 5.12:</w:t>
        </w:r>
        <w:r w:rsidR="00B40C77" w:rsidRPr="00BD16B4">
          <w:rPr>
            <w:rFonts w:asciiTheme="minorHAnsi" w:hAnsiTheme="minorHAnsi"/>
          </w:rPr>
          <w:tab/>
        </w:r>
        <w:r w:rsidR="00B40C77" w:rsidRPr="00BD16B4">
          <w:rPr>
            <w:rStyle w:val="Hyperlink"/>
          </w:rPr>
          <w:t xml:space="preserve">Comparison of WEM projections (including LULUCF) with </w:t>
        </w:r>
        <w:r w:rsidR="00B40C77" w:rsidRPr="00BD16B4">
          <w:rPr>
            <w:rStyle w:val="Hyperlink"/>
            <w:i/>
            <w:iCs/>
          </w:rPr>
          <w:t>Fourth Biennial Report</w:t>
        </w:r>
        <w:r w:rsidR="00B40C77" w:rsidRPr="00BD16B4">
          <w:rPr>
            <w:rStyle w:val="Hyperlink"/>
          </w:rPr>
          <w:t xml:space="preserve"> (Mt CO</w:t>
        </w:r>
        <w:r w:rsidR="00B40C77" w:rsidRPr="00BD16B4">
          <w:rPr>
            <w:rStyle w:val="Hyperlink"/>
            <w:vertAlign w:val="subscript"/>
          </w:rPr>
          <w:t>2</w:t>
        </w:r>
        <w:r w:rsidR="00B40C77" w:rsidRPr="00BD16B4">
          <w:rPr>
            <w:rStyle w:val="Hyperlink"/>
          </w:rPr>
          <w:t>-e)</w:t>
        </w:r>
        <w:r w:rsidR="00B40C77" w:rsidRPr="00BD16B4">
          <w:rPr>
            <w:webHidden/>
          </w:rPr>
          <w:tab/>
        </w:r>
        <w:r w:rsidR="00B40C77" w:rsidRPr="00BD16B4">
          <w:rPr>
            <w:webHidden/>
          </w:rPr>
          <w:fldChar w:fldCharType="begin"/>
        </w:r>
        <w:r w:rsidR="00B40C77" w:rsidRPr="00BD16B4">
          <w:rPr>
            <w:webHidden/>
          </w:rPr>
          <w:instrText xml:space="preserve"> PAGEREF _Toc121773802 \h </w:instrText>
        </w:r>
        <w:r w:rsidR="00B40C77" w:rsidRPr="00BD16B4">
          <w:rPr>
            <w:webHidden/>
          </w:rPr>
        </w:r>
        <w:r w:rsidR="00B40C77" w:rsidRPr="00BD16B4">
          <w:rPr>
            <w:webHidden/>
          </w:rPr>
          <w:fldChar w:fldCharType="separate"/>
        </w:r>
        <w:r w:rsidR="00A60C35">
          <w:rPr>
            <w:noProof/>
            <w:webHidden/>
          </w:rPr>
          <w:t>176</w:t>
        </w:r>
        <w:r w:rsidR="00B40C77" w:rsidRPr="00BD16B4">
          <w:rPr>
            <w:webHidden/>
          </w:rPr>
          <w:fldChar w:fldCharType="end"/>
        </w:r>
      </w:hyperlink>
    </w:p>
    <w:p w14:paraId="26941019" w14:textId="40BDFAF3" w:rsidR="00B40C77" w:rsidRPr="00BD16B4" w:rsidRDefault="00FC49D2">
      <w:pPr>
        <w:pStyle w:val="TableofFigures"/>
        <w:tabs>
          <w:tab w:val="right" w:pos="8495"/>
        </w:tabs>
        <w:rPr>
          <w:rFonts w:asciiTheme="minorHAnsi" w:hAnsiTheme="minorHAnsi"/>
        </w:rPr>
      </w:pPr>
      <w:hyperlink w:anchor="_Toc121773803" w:history="1">
        <w:r w:rsidR="00B40C77" w:rsidRPr="00BD16B4">
          <w:rPr>
            <w:rStyle w:val="Hyperlink"/>
          </w:rPr>
          <w:t xml:space="preserve">Table 5.13: </w:t>
        </w:r>
        <w:r w:rsidR="00B40C77" w:rsidRPr="00BD16B4">
          <w:rPr>
            <w:rFonts w:asciiTheme="minorHAnsi" w:hAnsiTheme="minorHAnsi"/>
          </w:rPr>
          <w:tab/>
        </w:r>
        <w:r w:rsidR="00B40C77" w:rsidRPr="00BD16B4">
          <w:rPr>
            <w:rStyle w:val="Hyperlink"/>
          </w:rPr>
          <w:t>Overview of models and approaches used to project New Zealand’s greenhouse gas emissions from different sectors</w:t>
        </w:r>
        <w:r w:rsidR="00B40C77" w:rsidRPr="00BD16B4">
          <w:rPr>
            <w:webHidden/>
          </w:rPr>
          <w:tab/>
        </w:r>
        <w:r w:rsidR="00B40C77" w:rsidRPr="00BD16B4">
          <w:rPr>
            <w:webHidden/>
          </w:rPr>
          <w:fldChar w:fldCharType="begin"/>
        </w:r>
        <w:r w:rsidR="00B40C77" w:rsidRPr="00BD16B4">
          <w:rPr>
            <w:webHidden/>
          </w:rPr>
          <w:instrText xml:space="preserve"> PAGEREF _Toc121773803 \h </w:instrText>
        </w:r>
        <w:r w:rsidR="00B40C77" w:rsidRPr="00BD16B4">
          <w:rPr>
            <w:webHidden/>
          </w:rPr>
        </w:r>
        <w:r w:rsidR="00B40C77" w:rsidRPr="00BD16B4">
          <w:rPr>
            <w:webHidden/>
          </w:rPr>
          <w:fldChar w:fldCharType="separate"/>
        </w:r>
        <w:r w:rsidR="00A60C35">
          <w:rPr>
            <w:noProof/>
            <w:webHidden/>
          </w:rPr>
          <w:t>177</w:t>
        </w:r>
        <w:r w:rsidR="00B40C77" w:rsidRPr="00BD16B4">
          <w:rPr>
            <w:webHidden/>
          </w:rPr>
          <w:fldChar w:fldCharType="end"/>
        </w:r>
      </w:hyperlink>
    </w:p>
    <w:p w14:paraId="193A5F68" w14:textId="68FE0C3E" w:rsidR="00B40C77" w:rsidRPr="00BD16B4" w:rsidRDefault="00FC49D2">
      <w:pPr>
        <w:pStyle w:val="TableofFigures"/>
        <w:tabs>
          <w:tab w:val="right" w:pos="8495"/>
        </w:tabs>
        <w:rPr>
          <w:rFonts w:asciiTheme="minorHAnsi" w:hAnsiTheme="minorHAnsi"/>
        </w:rPr>
      </w:pPr>
      <w:hyperlink w:anchor="_Toc121773804" w:history="1">
        <w:r w:rsidR="00B40C77" w:rsidRPr="00BD16B4">
          <w:rPr>
            <w:rStyle w:val="Hyperlink"/>
          </w:rPr>
          <w:t xml:space="preserve">Table 5.14: </w:t>
        </w:r>
        <w:r w:rsidR="00B40C77" w:rsidRPr="00BD16B4">
          <w:rPr>
            <w:rFonts w:asciiTheme="minorHAnsi" w:hAnsiTheme="minorHAnsi"/>
          </w:rPr>
          <w:tab/>
        </w:r>
        <w:r w:rsidR="00B40C77" w:rsidRPr="00BD16B4">
          <w:rPr>
            <w:rStyle w:val="Hyperlink"/>
          </w:rPr>
          <w:t>Historical and projected energy sector emissions by gas and subsector under the ‘with existing measures’ scenario, 1990–2035 (Mt CO</w:t>
        </w:r>
        <w:r w:rsidR="00B40C77" w:rsidRPr="00BD16B4">
          <w:rPr>
            <w:rStyle w:val="Hyperlink"/>
            <w:vertAlign w:val="subscript"/>
          </w:rPr>
          <w:t>2</w:t>
        </w:r>
        <w:r w:rsidR="00B40C77" w:rsidRPr="00BD16B4">
          <w:rPr>
            <w:rStyle w:val="Hyperlink"/>
          </w:rPr>
          <w:t>-e)</w:t>
        </w:r>
        <w:r w:rsidR="00B40C77" w:rsidRPr="00BD16B4">
          <w:rPr>
            <w:webHidden/>
          </w:rPr>
          <w:tab/>
        </w:r>
        <w:r w:rsidR="00B40C77" w:rsidRPr="00BD16B4">
          <w:rPr>
            <w:webHidden/>
          </w:rPr>
          <w:fldChar w:fldCharType="begin"/>
        </w:r>
        <w:r w:rsidR="00B40C77" w:rsidRPr="00BD16B4">
          <w:rPr>
            <w:webHidden/>
          </w:rPr>
          <w:instrText xml:space="preserve"> PAGEREF _Toc121773804 \h </w:instrText>
        </w:r>
        <w:r w:rsidR="00B40C77" w:rsidRPr="00BD16B4">
          <w:rPr>
            <w:webHidden/>
          </w:rPr>
        </w:r>
        <w:r w:rsidR="00B40C77" w:rsidRPr="00BD16B4">
          <w:rPr>
            <w:webHidden/>
          </w:rPr>
          <w:fldChar w:fldCharType="separate"/>
        </w:r>
        <w:r w:rsidR="00A60C35">
          <w:rPr>
            <w:noProof/>
            <w:webHidden/>
          </w:rPr>
          <w:t>179</w:t>
        </w:r>
        <w:r w:rsidR="00B40C77" w:rsidRPr="00BD16B4">
          <w:rPr>
            <w:webHidden/>
          </w:rPr>
          <w:fldChar w:fldCharType="end"/>
        </w:r>
      </w:hyperlink>
    </w:p>
    <w:p w14:paraId="6F6AE7D4" w14:textId="2E21BDD6" w:rsidR="00B40C77" w:rsidRPr="00BD16B4" w:rsidRDefault="00FC49D2">
      <w:pPr>
        <w:pStyle w:val="TableofFigures"/>
        <w:tabs>
          <w:tab w:val="right" w:pos="8495"/>
        </w:tabs>
        <w:rPr>
          <w:rFonts w:asciiTheme="minorHAnsi" w:hAnsiTheme="minorHAnsi"/>
        </w:rPr>
      </w:pPr>
      <w:hyperlink w:anchor="_Toc121773805" w:history="1">
        <w:r w:rsidR="00B40C77" w:rsidRPr="00BD16B4">
          <w:rPr>
            <w:rStyle w:val="Hyperlink"/>
          </w:rPr>
          <w:t xml:space="preserve">Table 5.15: </w:t>
        </w:r>
        <w:r w:rsidR="00B40C77" w:rsidRPr="00BD16B4">
          <w:rPr>
            <w:rFonts w:asciiTheme="minorHAnsi" w:hAnsiTheme="minorHAnsi"/>
          </w:rPr>
          <w:tab/>
        </w:r>
        <w:r w:rsidR="00B40C77" w:rsidRPr="00BD16B4">
          <w:rPr>
            <w:rStyle w:val="Hyperlink"/>
          </w:rPr>
          <w:t>Projected energy emissions under ‘with existing measures’, high- and low-emissions scenarios, 1990–2035 (Mt CO</w:t>
        </w:r>
        <w:r w:rsidR="00B40C77" w:rsidRPr="00BD16B4">
          <w:rPr>
            <w:rStyle w:val="Hyperlink"/>
            <w:vertAlign w:val="subscript"/>
          </w:rPr>
          <w:t>2</w:t>
        </w:r>
        <w:r w:rsidR="00B40C77" w:rsidRPr="00BD16B4">
          <w:rPr>
            <w:rStyle w:val="Hyperlink"/>
          </w:rPr>
          <w:t>-e)</w:t>
        </w:r>
        <w:r w:rsidR="00B40C77" w:rsidRPr="00BD16B4">
          <w:rPr>
            <w:webHidden/>
          </w:rPr>
          <w:tab/>
        </w:r>
        <w:r w:rsidR="00B40C77" w:rsidRPr="00BD16B4">
          <w:rPr>
            <w:webHidden/>
          </w:rPr>
          <w:fldChar w:fldCharType="begin"/>
        </w:r>
        <w:r w:rsidR="00B40C77" w:rsidRPr="00BD16B4">
          <w:rPr>
            <w:webHidden/>
          </w:rPr>
          <w:instrText xml:space="preserve"> PAGEREF _Toc121773805 \h </w:instrText>
        </w:r>
        <w:r w:rsidR="00B40C77" w:rsidRPr="00BD16B4">
          <w:rPr>
            <w:webHidden/>
          </w:rPr>
        </w:r>
        <w:r w:rsidR="00B40C77" w:rsidRPr="00BD16B4">
          <w:rPr>
            <w:webHidden/>
          </w:rPr>
          <w:fldChar w:fldCharType="separate"/>
        </w:r>
        <w:r w:rsidR="00A60C35">
          <w:rPr>
            <w:noProof/>
            <w:webHidden/>
          </w:rPr>
          <w:t>181</w:t>
        </w:r>
        <w:r w:rsidR="00B40C77" w:rsidRPr="00BD16B4">
          <w:rPr>
            <w:webHidden/>
          </w:rPr>
          <w:fldChar w:fldCharType="end"/>
        </w:r>
      </w:hyperlink>
    </w:p>
    <w:p w14:paraId="734CA20E" w14:textId="4945EAD6" w:rsidR="00B40C77" w:rsidRPr="00BD16B4" w:rsidRDefault="00FC49D2">
      <w:pPr>
        <w:pStyle w:val="TableofFigures"/>
        <w:tabs>
          <w:tab w:val="right" w:pos="8495"/>
        </w:tabs>
        <w:rPr>
          <w:rFonts w:asciiTheme="minorHAnsi" w:hAnsiTheme="minorHAnsi"/>
        </w:rPr>
      </w:pPr>
      <w:hyperlink w:anchor="_Toc121773806" w:history="1">
        <w:r w:rsidR="00B40C77" w:rsidRPr="00BD16B4">
          <w:rPr>
            <w:rStyle w:val="Hyperlink"/>
          </w:rPr>
          <w:t xml:space="preserve">Table 5.16: </w:t>
        </w:r>
        <w:r w:rsidR="00B40C77" w:rsidRPr="00BD16B4">
          <w:rPr>
            <w:rFonts w:asciiTheme="minorHAnsi" w:hAnsiTheme="minorHAnsi"/>
          </w:rPr>
          <w:tab/>
        </w:r>
        <w:r w:rsidR="00B40C77" w:rsidRPr="00BD16B4">
          <w:rPr>
            <w:rStyle w:val="Hyperlink"/>
          </w:rPr>
          <w:t>Historical and projected transport sector emissions by gas and subsector under the ‘with existing measures’ scenario, 1990–2035 (Mt CO</w:t>
        </w:r>
        <w:r w:rsidR="00B40C77" w:rsidRPr="00BD16B4">
          <w:rPr>
            <w:rStyle w:val="Hyperlink"/>
            <w:vertAlign w:val="subscript"/>
          </w:rPr>
          <w:t>2</w:t>
        </w:r>
        <w:r w:rsidR="00B40C77" w:rsidRPr="00BD16B4">
          <w:rPr>
            <w:rStyle w:val="Hyperlink"/>
          </w:rPr>
          <w:t>-e)</w:t>
        </w:r>
        <w:r w:rsidR="00B40C77" w:rsidRPr="00BD16B4">
          <w:rPr>
            <w:webHidden/>
          </w:rPr>
          <w:tab/>
        </w:r>
        <w:r w:rsidR="00B40C77" w:rsidRPr="00BD16B4">
          <w:rPr>
            <w:webHidden/>
          </w:rPr>
          <w:fldChar w:fldCharType="begin"/>
        </w:r>
        <w:r w:rsidR="00B40C77" w:rsidRPr="00BD16B4">
          <w:rPr>
            <w:webHidden/>
          </w:rPr>
          <w:instrText xml:space="preserve"> PAGEREF _Toc121773806 \h </w:instrText>
        </w:r>
        <w:r w:rsidR="00B40C77" w:rsidRPr="00BD16B4">
          <w:rPr>
            <w:webHidden/>
          </w:rPr>
        </w:r>
        <w:r w:rsidR="00B40C77" w:rsidRPr="00BD16B4">
          <w:rPr>
            <w:webHidden/>
          </w:rPr>
          <w:fldChar w:fldCharType="separate"/>
        </w:r>
        <w:r w:rsidR="00A60C35">
          <w:rPr>
            <w:noProof/>
            <w:webHidden/>
          </w:rPr>
          <w:t>182</w:t>
        </w:r>
        <w:r w:rsidR="00B40C77" w:rsidRPr="00BD16B4">
          <w:rPr>
            <w:webHidden/>
          </w:rPr>
          <w:fldChar w:fldCharType="end"/>
        </w:r>
      </w:hyperlink>
    </w:p>
    <w:p w14:paraId="5DF1DE9B" w14:textId="601D08E3" w:rsidR="00B40C77" w:rsidRPr="00BD16B4" w:rsidRDefault="00FC49D2">
      <w:pPr>
        <w:pStyle w:val="TableofFigures"/>
        <w:tabs>
          <w:tab w:val="right" w:pos="8495"/>
        </w:tabs>
        <w:rPr>
          <w:rFonts w:asciiTheme="minorHAnsi" w:hAnsiTheme="minorHAnsi"/>
        </w:rPr>
      </w:pPr>
      <w:hyperlink w:anchor="_Toc121773807" w:history="1">
        <w:r w:rsidR="00B40C77" w:rsidRPr="00BD16B4">
          <w:rPr>
            <w:rStyle w:val="Hyperlink"/>
          </w:rPr>
          <w:t xml:space="preserve">Table 5.17: </w:t>
        </w:r>
        <w:r w:rsidR="00B40C77" w:rsidRPr="00BD16B4">
          <w:rPr>
            <w:rFonts w:asciiTheme="minorHAnsi" w:hAnsiTheme="minorHAnsi"/>
          </w:rPr>
          <w:tab/>
        </w:r>
        <w:r w:rsidR="00B40C77" w:rsidRPr="00BD16B4">
          <w:rPr>
            <w:rStyle w:val="Hyperlink"/>
          </w:rPr>
          <w:t>Historical and projected IPPU emissions by gas under the ‘with existing measures’ scenario, 1990–2035 (kt CO</w:t>
        </w:r>
        <w:r w:rsidR="00B40C77" w:rsidRPr="00BD16B4">
          <w:rPr>
            <w:rStyle w:val="Hyperlink"/>
            <w:vertAlign w:val="subscript"/>
          </w:rPr>
          <w:t>2</w:t>
        </w:r>
        <w:r w:rsidR="00B40C77" w:rsidRPr="00BD16B4">
          <w:rPr>
            <w:rStyle w:val="Hyperlink"/>
          </w:rPr>
          <w:t>-e)</w:t>
        </w:r>
        <w:r w:rsidR="00B40C77" w:rsidRPr="00BD16B4">
          <w:rPr>
            <w:webHidden/>
          </w:rPr>
          <w:tab/>
        </w:r>
        <w:r w:rsidR="00B40C77" w:rsidRPr="00BD16B4">
          <w:rPr>
            <w:webHidden/>
          </w:rPr>
          <w:fldChar w:fldCharType="begin"/>
        </w:r>
        <w:r w:rsidR="00B40C77" w:rsidRPr="00BD16B4">
          <w:rPr>
            <w:webHidden/>
          </w:rPr>
          <w:instrText xml:space="preserve"> PAGEREF _Toc121773807 \h </w:instrText>
        </w:r>
        <w:r w:rsidR="00B40C77" w:rsidRPr="00BD16B4">
          <w:rPr>
            <w:webHidden/>
          </w:rPr>
        </w:r>
        <w:r w:rsidR="00B40C77" w:rsidRPr="00BD16B4">
          <w:rPr>
            <w:webHidden/>
          </w:rPr>
          <w:fldChar w:fldCharType="separate"/>
        </w:r>
        <w:r w:rsidR="00A60C35">
          <w:rPr>
            <w:noProof/>
            <w:webHidden/>
          </w:rPr>
          <w:t>184</w:t>
        </w:r>
        <w:r w:rsidR="00B40C77" w:rsidRPr="00BD16B4">
          <w:rPr>
            <w:webHidden/>
          </w:rPr>
          <w:fldChar w:fldCharType="end"/>
        </w:r>
      </w:hyperlink>
    </w:p>
    <w:p w14:paraId="22F5D353" w14:textId="4FE2D7B2" w:rsidR="00B40C77" w:rsidRPr="00BD16B4" w:rsidRDefault="00FC49D2">
      <w:pPr>
        <w:pStyle w:val="TableofFigures"/>
        <w:tabs>
          <w:tab w:val="right" w:pos="8495"/>
        </w:tabs>
        <w:rPr>
          <w:rFonts w:asciiTheme="minorHAnsi" w:hAnsiTheme="minorHAnsi"/>
        </w:rPr>
      </w:pPr>
      <w:hyperlink w:anchor="_Toc121773808" w:history="1">
        <w:r w:rsidR="00B40C77" w:rsidRPr="00BD16B4">
          <w:rPr>
            <w:rStyle w:val="Hyperlink"/>
          </w:rPr>
          <w:t xml:space="preserve">Table 5.18: </w:t>
        </w:r>
        <w:r w:rsidR="00B40C77" w:rsidRPr="00BD16B4">
          <w:rPr>
            <w:rFonts w:asciiTheme="minorHAnsi" w:hAnsiTheme="minorHAnsi"/>
          </w:rPr>
          <w:tab/>
        </w:r>
        <w:r w:rsidR="00B40C77" w:rsidRPr="00BD16B4">
          <w:rPr>
            <w:rStyle w:val="Hyperlink"/>
          </w:rPr>
          <w:t>Summary of IPPU key assumptions applied to the scenarios</w:t>
        </w:r>
        <w:r w:rsidR="00B40C77" w:rsidRPr="00BD16B4">
          <w:rPr>
            <w:webHidden/>
          </w:rPr>
          <w:tab/>
        </w:r>
        <w:r w:rsidR="00B40C77" w:rsidRPr="00BD16B4">
          <w:rPr>
            <w:webHidden/>
          </w:rPr>
          <w:fldChar w:fldCharType="begin"/>
        </w:r>
        <w:r w:rsidR="00B40C77" w:rsidRPr="00BD16B4">
          <w:rPr>
            <w:webHidden/>
          </w:rPr>
          <w:instrText xml:space="preserve"> PAGEREF _Toc121773808 \h </w:instrText>
        </w:r>
        <w:r w:rsidR="00B40C77" w:rsidRPr="00BD16B4">
          <w:rPr>
            <w:webHidden/>
          </w:rPr>
        </w:r>
        <w:r w:rsidR="00B40C77" w:rsidRPr="00BD16B4">
          <w:rPr>
            <w:webHidden/>
          </w:rPr>
          <w:fldChar w:fldCharType="separate"/>
        </w:r>
        <w:r w:rsidR="00A60C35">
          <w:rPr>
            <w:noProof/>
            <w:webHidden/>
          </w:rPr>
          <w:t>185</w:t>
        </w:r>
        <w:r w:rsidR="00B40C77" w:rsidRPr="00BD16B4">
          <w:rPr>
            <w:webHidden/>
          </w:rPr>
          <w:fldChar w:fldCharType="end"/>
        </w:r>
      </w:hyperlink>
    </w:p>
    <w:p w14:paraId="4BB8EA06" w14:textId="7004F13E" w:rsidR="00B40C77" w:rsidRPr="00BD16B4" w:rsidRDefault="00FC49D2">
      <w:pPr>
        <w:pStyle w:val="TableofFigures"/>
        <w:tabs>
          <w:tab w:val="right" w:pos="8495"/>
        </w:tabs>
        <w:rPr>
          <w:rFonts w:asciiTheme="minorHAnsi" w:hAnsiTheme="minorHAnsi"/>
        </w:rPr>
      </w:pPr>
      <w:hyperlink w:anchor="_Toc121773809" w:history="1">
        <w:r w:rsidR="00B40C77" w:rsidRPr="00BD16B4">
          <w:rPr>
            <w:rStyle w:val="Hyperlink"/>
          </w:rPr>
          <w:t xml:space="preserve">Table 5.19: </w:t>
        </w:r>
        <w:r w:rsidR="00B40C77" w:rsidRPr="00BD16B4">
          <w:rPr>
            <w:rFonts w:asciiTheme="minorHAnsi" w:hAnsiTheme="minorHAnsi"/>
          </w:rPr>
          <w:tab/>
        </w:r>
        <w:r w:rsidR="00B40C77" w:rsidRPr="00BD16B4">
          <w:rPr>
            <w:rStyle w:val="Hyperlink"/>
          </w:rPr>
          <w:t>Historical and projected agriculture sector emissions by gas under the ‘with existing measures’ scenario, 1990–2035 (Mt CO</w:t>
        </w:r>
        <w:r w:rsidR="00B40C77" w:rsidRPr="00BD16B4">
          <w:rPr>
            <w:rStyle w:val="Hyperlink"/>
            <w:vertAlign w:val="subscript"/>
          </w:rPr>
          <w:t>2</w:t>
        </w:r>
        <w:r w:rsidR="00B40C77" w:rsidRPr="00BD16B4">
          <w:rPr>
            <w:rStyle w:val="Hyperlink"/>
          </w:rPr>
          <w:t>-e)</w:t>
        </w:r>
        <w:r w:rsidR="00B40C77" w:rsidRPr="00BD16B4">
          <w:rPr>
            <w:webHidden/>
          </w:rPr>
          <w:tab/>
        </w:r>
        <w:r w:rsidR="00B40C77" w:rsidRPr="00BD16B4">
          <w:rPr>
            <w:webHidden/>
          </w:rPr>
          <w:fldChar w:fldCharType="begin"/>
        </w:r>
        <w:r w:rsidR="00B40C77" w:rsidRPr="00BD16B4">
          <w:rPr>
            <w:webHidden/>
          </w:rPr>
          <w:instrText xml:space="preserve"> PAGEREF _Toc121773809 \h </w:instrText>
        </w:r>
        <w:r w:rsidR="00B40C77" w:rsidRPr="00BD16B4">
          <w:rPr>
            <w:webHidden/>
          </w:rPr>
        </w:r>
        <w:r w:rsidR="00B40C77" w:rsidRPr="00BD16B4">
          <w:rPr>
            <w:webHidden/>
          </w:rPr>
          <w:fldChar w:fldCharType="separate"/>
        </w:r>
        <w:r w:rsidR="00A60C35">
          <w:rPr>
            <w:noProof/>
            <w:webHidden/>
          </w:rPr>
          <w:t>188</w:t>
        </w:r>
        <w:r w:rsidR="00B40C77" w:rsidRPr="00BD16B4">
          <w:rPr>
            <w:webHidden/>
          </w:rPr>
          <w:fldChar w:fldCharType="end"/>
        </w:r>
      </w:hyperlink>
    </w:p>
    <w:p w14:paraId="0FF6BDFA" w14:textId="2673F5B4" w:rsidR="00B40C77" w:rsidRPr="00BD16B4" w:rsidRDefault="00FC49D2">
      <w:pPr>
        <w:pStyle w:val="TableofFigures"/>
        <w:tabs>
          <w:tab w:val="right" w:pos="8495"/>
        </w:tabs>
        <w:rPr>
          <w:rFonts w:asciiTheme="minorHAnsi" w:hAnsiTheme="minorHAnsi"/>
        </w:rPr>
      </w:pPr>
      <w:hyperlink w:anchor="_Toc121773810" w:history="1">
        <w:r w:rsidR="00B40C77" w:rsidRPr="00BD16B4">
          <w:rPr>
            <w:rStyle w:val="Hyperlink"/>
          </w:rPr>
          <w:t xml:space="preserve">Table 5.20: </w:t>
        </w:r>
        <w:r w:rsidR="00B40C77" w:rsidRPr="00BD16B4">
          <w:rPr>
            <w:rFonts w:asciiTheme="minorHAnsi" w:hAnsiTheme="minorHAnsi"/>
          </w:rPr>
          <w:tab/>
        </w:r>
        <w:r w:rsidR="00B40C77" w:rsidRPr="00BD16B4">
          <w:rPr>
            <w:rStyle w:val="Hyperlink"/>
          </w:rPr>
          <w:t>Projected change in emissions, production and animal numbers between 2020 and 2035 under a ‘with existing measures’ scenario for dairy, sheep and beef sectors</w:t>
        </w:r>
        <w:r w:rsidR="00B40C77" w:rsidRPr="00BD16B4">
          <w:rPr>
            <w:webHidden/>
          </w:rPr>
          <w:tab/>
        </w:r>
        <w:r w:rsidR="00B40C77" w:rsidRPr="00BD16B4">
          <w:rPr>
            <w:webHidden/>
          </w:rPr>
          <w:fldChar w:fldCharType="begin"/>
        </w:r>
        <w:r w:rsidR="00B40C77" w:rsidRPr="00BD16B4">
          <w:rPr>
            <w:webHidden/>
          </w:rPr>
          <w:instrText xml:space="preserve"> PAGEREF _Toc121773810 \h </w:instrText>
        </w:r>
        <w:r w:rsidR="00B40C77" w:rsidRPr="00BD16B4">
          <w:rPr>
            <w:webHidden/>
          </w:rPr>
        </w:r>
        <w:r w:rsidR="00B40C77" w:rsidRPr="00BD16B4">
          <w:rPr>
            <w:webHidden/>
          </w:rPr>
          <w:fldChar w:fldCharType="separate"/>
        </w:r>
        <w:r w:rsidR="00A60C35">
          <w:rPr>
            <w:noProof/>
            <w:webHidden/>
          </w:rPr>
          <w:t>189</w:t>
        </w:r>
        <w:r w:rsidR="00B40C77" w:rsidRPr="00BD16B4">
          <w:rPr>
            <w:webHidden/>
          </w:rPr>
          <w:fldChar w:fldCharType="end"/>
        </w:r>
      </w:hyperlink>
    </w:p>
    <w:p w14:paraId="07E2D27A" w14:textId="772DEB3C" w:rsidR="00B40C77" w:rsidRPr="00BD16B4" w:rsidRDefault="00FC49D2">
      <w:pPr>
        <w:pStyle w:val="TableofFigures"/>
        <w:tabs>
          <w:tab w:val="right" w:pos="8495"/>
        </w:tabs>
        <w:rPr>
          <w:rFonts w:asciiTheme="minorHAnsi" w:hAnsiTheme="minorHAnsi"/>
        </w:rPr>
      </w:pPr>
      <w:hyperlink w:anchor="_Toc121773811" w:history="1">
        <w:r w:rsidR="00B40C77" w:rsidRPr="00BD16B4">
          <w:rPr>
            <w:rStyle w:val="Hyperlink"/>
          </w:rPr>
          <w:t xml:space="preserve">Table 5.21: </w:t>
        </w:r>
        <w:r w:rsidR="00B40C77" w:rsidRPr="00BD16B4">
          <w:rPr>
            <w:rFonts w:asciiTheme="minorHAnsi" w:hAnsiTheme="minorHAnsi"/>
          </w:rPr>
          <w:tab/>
        </w:r>
        <w:r w:rsidR="00B40C77" w:rsidRPr="00BD16B4">
          <w:rPr>
            <w:rStyle w:val="Hyperlink"/>
          </w:rPr>
          <w:t>Projected emissions from agriculture, under ‘with existing measures’, high</w:t>
        </w:r>
        <w:r w:rsidR="00B40C77" w:rsidRPr="00BD16B4">
          <w:rPr>
            <w:rStyle w:val="Hyperlink"/>
          </w:rPr>
          <w:noBreakHyphen/>
          <w:t xml:space="preserve"> and low</w:t>
        </w:r>
        <w:r w:rsidR="00B40C77" w:rsidRPr="00BD16B4">
          <w:rPr>
            <w:rStyle w:val="Hyperlink"/>
          </w:rPr>
          <w:noBreakHyphen/>
          <w:t>emissions scenarios, 1990–2035 (Mt CO</w:t>
        </w:r>
        <w:r w:rsidR="00B40C77" w:rsidRPr="00BD16B4">
          <w:rPr>
            <w:rStyle w:val="Hyperlink"/>
            <w:vertAlign w:val="subscript"/>
          </w:rPr>
          <w:t>2</w:t>
        </w:r>
        <w:r w:rsidR="00B40C77" w:rsidRPr="00BD16B4">
          <w:rPr>
            <w:rStyle w:val="Hyperlink"/>
          </w:rPr>
          <w:t>-e)</w:t>
        </w:r>
        <w:r w:rsidR="00B40C77" w:rsidRPr="00BD16B4">
          <w:rPr>
            <w:webHidden/>
          </w:rPr>
          <w:tab/>
        </w:r>
        <w:r w:rsidR="00B40C77" w:rsidRPr="00BD16B4">
          <w:rPr>
            <w:webHidden/>
          </w:rPr>
          <w:fldChar w:fldCharType="begin"/>
        </w:r>
        <w:r w:rsidR="00B40C77" w:rsidRPr="00BD16B4">
          <w:rPr>
            <w:webHidden/>
          </w:rPr>
          <w:instrText xml:space="preserve"> PAGEREF _Toc121773811 \h </w:instrText>
        </w:r>
        <w:r w:rsidR="00B40C77" w:rsidRPr="00BD16B4">
          <w:rPr>
            <w:webHidden/>
          </w:rPr>
        </w:r>
        <w:r w:rsidR="00B40C77" w:rsidRPr="00BD16B4">
          <w:rPr>
            <w:webHidden/>
          </w:rPr>
          <w:fldChar w:fldCharType="separate"/>
        </w:r>
        <w:r w:rsidR="00A60C35">
          <w:rPr>
            <w:noProof/>
            <w:webHidden/>
          </w:rPr>
          <w:t>192</w:t>
        </w:r>
        <w:r w:rsidR="00B40C77" w:rsidRPr="00BD16B4">
          <w:rPr>
            <w:webHidden/>
          </w:rPr>
          <w:fldChar w:fldCharType="end"/>
        </w:r>
      </w:hyperlink>
    </w:p>
    <w:p w14:paraId="23B13DB5" w14:textId="04647983" w:rsidR="00B40C77" w:rsidRPr="00BD16B4" w:rsidRDefault="00FC49D2">
      <w:pPr>
        <w:pStyle w:val="TableofFigures"/>
        <w:tabs>
          <w:tab w:val="right" w:pos="8495"/>
        </w:tabs>
        <w:rPr>
          <w:rFonts w:asciiTheme="minorHAnsi" w:hAnsiTheme="minorHAnsi"/>
        </w:rPr>
      </w:pPr>
      <w:hyperlink w:anchor="_Toc121773812" w:history="1">
        <w:r w:rsidR="00B40C77" w:rsidRPr="00BD16B4">
          <w:rPr>
            <w:rStyle w:val="Hyperlink"/>
          </w:rPr>
          <w:t xml:space="preserve">Table 5.22: </w:t>
        </w:r>
        <w:r w:rsidR="00B40C77" w:rsidRPr="00BD16B4">
          <w:rPr>
            <w:rFonts w:asciiTheme="minorHAnsi" w:hAnsiTheme="minorHAnsi"/>
          </w:rPr>
          <w:tab/>
        </w:r>
        <w:r w:rsidR="00B40C77" w:rsidRPr="00BD16B4">
          <w:rPr>
            <w:rStyle w:val="Hyperlink"/>
          </w:rPr>
          <w:t>Historical and projected LULUCF emissions and removals by gas under the ‘with existing measures’ scenario, 1990–2035 (Mt CO</w:t>
        </w:r>
        <w:r w:rsidR="00B40C77" w:rsidRPr="00BD16B4">
          <w:rPr>
            <w:rStyle w:val="Hyperlink"/>
            <w:vertAlign w:val="subscript"/>
          </w:rPr>
          <w:t>2</w:t>
        </w:r>
        <w:r w:rsidR="00B40C77" w:rsidRPr="00BD16B4">
          <w:rPr>
            <w:rStyle w:val="Hyperlink"/>
          </w:rPr>
          <w:t>-e)</w:t>
        </w:r>
        <w:r w:rsidR="00B40C77" w:rsidRPr="00BD16B4">
          <w:rPr>
            <w:webHidden/>
          </w:rPr>
          <w:tab/>
        </w:r>
        <w:r w:rsidR="00B40C77" w:rsidRPr="00BD16B4">
          <w:rPr>
            <w:webHidden/>
          </w:rPr>
          <w:fldChar w:fldCharType="begin"/>
        </w:r>
        <w:r w:rsidR="00B40C77" w:rsidRPr="00BD16B4">
          <w:rPr>
            <w:webHidden/>
          </w:rPr>
          <w:instrText xml:space="preserve"> PAGEREF _Toc121773812 \h </w:instrText>
        </w:r>
        <w:r w:rsidR="00B40C77" w:rsidRPr="00BD16B4">
          <w:rPr>
            <w:webHidden/>
          </w:rPr>
        </w:r>
        <w:r w:rsidR="00B40C77" w:rsidRPr="00BD16B4">
          <w:rPr>
            <w:webHidden/>
          </w:rPr>
          <w:fldChar w:fldCharType="separate"/>
        </w:r>
        <w:r w:rsidR="00A60C35">
          <w:rPr>
            <w:noProof/>
            <w:webHidden/>
          </w:rPr>
          <w:t>193</w:t>
        </w:r>
        <w:r w:rsidR="00B40C77" w:rsidRPr="00BD16B4">
          <w:rPr>
            <w:webHidden/>
          </w:rPr>
          <w:fldChar w:fldCharType="end"/>
        </w:r>
      </w:hyperlink>
    </w:p>
    <w:p w14:paraId="619902BF" w14:textId="29C3DE6D" w:rsidR="00B40C77" w:rsidRPr="00BD16B4" w:rsidRDefault="00FC49D2">
      <w:pPr>
        <w:pStyle w:val="TableofFigures"/>
        <w:tabs>
          <w:tab w:val="right" w:pos="8495"/>
        </w:tabs>
        <w:rPr>
          <w:rFonts w:asciiTheme="minorHAnsi" w:hAnsiTheme="minorHAnsi"/>
        </w:rPr>
      </w:pPr>
      <w:hyperlink w:anchor="_Toc121773813" w:history="1">
        <w:r w:rsidR="00B40C77" w:rsidRPr="00BD16B4">
          <w:rPr>
            <w:rStyle w:val="Hyperlink"/>
          </w:rPr>
          <w:t>Table 5.23:</w:t>
        </w:r>
        <w:r w:rsidR="00B40C77" w:rsidRPr="00BD16B4">
          <w:rPr>
            <w:rFonts w:asciiTheme="minorHAnsi" w:hAnsiTheme="minorHAnsi"/>
          </w:rPr>
          <w:tab/>
        </w:r>
        <w:r w:rsidR="00B40C77" w:rsidRPr="00BD16B4">
          <w:rPr>
            <w:rStyle w:val="Hyperlink"/>
          </w:rPr>
          <w:t>Net LULUCF removals under ‘with existing measures’ and ‘without measures’ scenario, and with ‘additional measures’ 1990–2035 (Mt CO</w:t>
        </w:r>
        <w:r w:rsidR="00B40C77" w:rsidRPr="00BD16B4">
          <w:rPr>
            <w:rStyle w:val="Hyperlink"/>
            <w:vertAlign w:val="subscript"/>
          </w:rPr>
          <w:t>2</w:t>
        </w:r>
        <w:r w:rsidR="00B40C77" w:rsidRPr="00BD16B4">
          <w:rPr>
            <w:rStyle w:val="Hyperlink"/>
          </w:rPr>
          <w:t>-e)</w:t>
        </w:r>
        <w:r w:rsidR="00B40C77" w:rsidRPr="00BD16B4">
          <w:rPr>
            <w:webHidden/>
          </w:rPr>
          <w:tab/>
        </w:r>
        <w:r w:rsidR="00B40C77" w:rsidRPr="00BD16B4">
          <w:rPr>
            <w:webHidden/>
          </w:rPr>
          <w:fldChar w:fldCharType="begin"/>
        </w:r>
        <w:r w:rsidR="00B40C77" w:rsidRPr="00BD16B4">
          <w:rPr>
            <w:webHidden/>
          </w:rPr>
          <w:instrText xml:space="preserve"> PAGEREF _Toc121773813 \h </w:instrText>
        </w:r>
        <w:r w:rsidR="00B40C77" w:rsidRPr="00BD16B4">
          <w:rPr>
            <w:webHidden/>
          </w:rPr>
        </w:r>
        <w:r w:rsidR="00B40C77" w:rsidRPr="00BD16B4">
          <w:rPr>
            <w:webHidden/>
          </w:rPr>
          <w:fldChar w:fldCharType="separate"/>
        </w:r>
        <w:r w:rsidR="00A60C35">
          <w:rPr>
            <w:noProof/>
            <w:webHidden/>
          </w:rPr>
          <w:t>198</w:t>
        </w:r>
        <w:r w:rsidR="00B40C77" w:rsidRPr="00BD16B4">
          <w:rPr>
            <w:webHidden/>
          </w:rPr>
          <w:fldChar w:fldCharType="end"/>
        </w:r>
      </w:hyperlink>
    </w:p>
    <w:p w14:paraId="460B49DB" w14:textId="50446829" w:rsidR="00B40C77" w:rsidRPr="00BD16B4" w:rsidRDefault="00FC49D2">
      <w:pPr>
        <w:pStyle w:val="TableofFigures"/>
        <w:tabs>
          <w:tab w:val="right" w:pos="8495"/>
        </w:tabs>
        <w:rPr>
          <w:rFonts w:asciiTheme="minorHAnsi" w:hAnsiTheme="minorHAnsi"/>
        </w:rPr>
      </w:pPr>
      <w:hyperlink w:anchor="_Toc121773814" w:history="1">
        <w:r w:rsidR="00B40C77" w:rsidRPr="00BD16B4">
          <w:rPr>
            <w:rStyle w:val="Hyperlink"/>
          </w:rPr>
          <w:t xml:space="preserve">Table 5.24: </w:t>
        </w:r>
        <w:r w:rsidR="00B40C77" w:rsidRPr="00BD16B4">
          <w:rPr>
            <w:rFonts w:asciiTheme="minorHAnsi" w:hAnsiTheme="minorHAnsi"/>
          </w:rPr>
          <w:tab/>
        </w:r>
        <w:r w:rsidR="00B40C77" w:rsidRPr="00BD16B4">
          <w:rPr>
            <w:rStyle w:val="Hyperlink"/>
          </w:rPr>
          <w:t>Projected net LULUCF removals under ‘with existing measures’, lower removals and upper removals scenarios, 1990–2035 (Mt CO</w:t>
        </w:r>
        <w:r w:rsidR="00B40C77" w:rsidRPr="00BD16B4">
          <w:rPr>
            <w:rStyle w:val="Hyperlink"/>
            <w:vertAlign w:val="subscript"/>
          </w:rPr>
          <w:t>2</w:t>
        </w:r>
        <w:r w:rsidR="00B40C77" w:rsidRPr="00BD16B4">
          <w:rPr>
            <w:rStyle w:val="Hyperlink"/>
          </w:rPr>
          <w:t>-e)</w:t>
        </w:r>
        <w:r w:rsidR="00B40C77" w:rsidRPr="00BD16B4">
          <w:rPr>
            <w:webHidden/>
          </w:rPr>
          <w:tab/>
        </w:r>
        <w:r w:rsidR="00B40C77" w:rsidRPr="00BD16B4">
          <w:rPr>
            <w:webHidden/>
          </w:rPr>
          <w:fldChar w:fldCharType="begin"/>
        </w:r>
        <w:r w:rsidR="00B40C77" w:rsidRPr="00BD16B4">
          <w:rPr>
            <w:webHidden/>
          </w:rPr>
          <w:instrText xml:space="preserve"> PAGEREF _Toc121773814 \h </w:instrText>
        </w:r>
        <w:r w:rsidR="00B40C77" w:rsidRPr="00BD16B4">
          <w:rPr>
            <w:webHidden/>
          </w:rPr>
        </w:r>
        <w:r w:rsidR="00B40C77" w:rsidRPr="00BD16B4">
          <w:rPr>
            <w:webHidden/>
          </w:rPr>
          <w:fldChar w:fldCharType="separate"/>
        </w:r>
        <w:r w:rsidR="00A60C35">
          <w:rPr>
            <w:noProof/>
            <w:webHidden/>
          </w:rPr>
          <w:t>200</w:t>
        </w:r>
        <w:r w:rsidR="00B40C77" w:rsidRPr="00BD16B4">
          <w:rPr>
            <w:webHidden/>
          </w:rPr>
          <w:fldChar w:fldCharType="end"/>
        </w:r>
      </w:hyperlink>
    </w:p>
    <w:p w14:paraId="3A1D22B0" w14:textId="64D5E2B6" w:rsidR="00B40C77" w:rsidRPr="00BD16B4" w:rsidRDefault="00FC49D2">
      <w:pPr>
        <w:pStyle w:val="TableofFigures"/>
        <w:tabs>
          <w:tab w:val="right" w:pos="8495"/>
        </w:tabs>
        <w:rPr>
          <w:rFonts w:asciiTheme="minorHAnsi" w:hAnsiTheme="minorHAnsi"/>
        </w:rPr>
      </w:pPr>
      <w:hyperlink w:anchor="_Toc121773815" w:history="1">
        <w:r w:rsidR="00B40C77" w:rsidRPr="00BD16B4">
          <w:rPr>
            <w:rStyle w:val="Hyperlink"/>
            <w:rFonts w:eastAsia="Calibri"/>
          </w:rPr>
          <w:t xml:space="preserve">Table 5.25: </w:t>
        </w:r>
        <w:r w:rsidR="00B40C77" w:rsidRPr="00BD16B4">
          <w:rPr>
            <w:rFonts w:asciiTheme="minorHAnsi" w:hAnsiTheme="minorHAnsi"/>
          </w:rPr>
          <w:tab/>
        </w:r>
        <w:r w:rsidR="00B40C77" w:rsidRPr="00BD16B4">
          <w:rPr>
            <w:rStyle w:val="Hyperlink"/>
            <w:rFonts w:eastAsia="Calibri"/>
          </w:rPr>
          <w:t>Historical and projected greenhouse gas emissions from waste by gas, under a ‘with existing measures’ scenario, 1990–2035 (kt CO</w:t>
        </w:r>
        <w:r w:rsidR="00B40C77" w:rsidRPr="00BD16B4">
          <w:rPr>
            <w:rStyle w:val="Hyperlink"/>
            <w:rFonts w:eastAsia="Calibri"/>
            <w:vertAlign w:val="subscript"/>
          </w:rPr>
          <w:t>2</w:t>
        </w:r>
        <w:r w:rsidR="00B40C77" w:rsidRPr="00BD16B4">
          <w:rPr>
            <w:rStyle w:val="Hyperlink"/>
            <w:rFonts w:eastAsia="Calibri"/>
          </w:rPr>
          <w:t>-e)</w:t>
        </w:r>
        <w:r w:rsidR="00B40C77" w:rsidRPr="00BD16B4">
          <w:rPr>
            <w:webHidden/>
          </w:rPr>
          <w:tab/>
        </w:r>
        <w:r w:rsidR="00B40C77" w:rsidRPr="00BD16B4">
          <w:rPr>
            <w:webHidden/>
          </w:rPr>
          <w:fldChar w:fldCharType="begin"/>
        </w:r>
        <w:r w:rsidR="00B40C77" w:rsidRPr="00BD16B4">
          <w:rPr>
            <w:webHidden/>
          </w:rPr>
          <w:instrText xml:space="preserve"> PAGEREF _Toc121773815 \h </w:instrText>
        </w:r>
        <w:r w:rsidR="00B40C77" w:rsidRPr="00BD16B4">
          <w:rPr>
            <w:webHidden/>
          </w:rPr>
        </w:r>
        <w:r w:rsidR="00B40C77" w:rsidRPr="00BD16B4">
          <w:rPr>
            <w:webHidden/>
          </w:rPr>
          <w:fldChar w:fldCharType="separate"/>
        </w:r>
        <w:r w:rsidR="00A60C35">
          <w:rPr>
            <w:noProof/>
            <w:webHidden/>
          </w:rPr>
          <w:t>201</w:t>
        </w:r>
        <w:r w:rsidR="00B40C77" w:rsidRPr="00BD16B4">
          <w:rPr>
            <w:webHidden/>
          </w:rPr>
          <w:fldChar w:fldCharType="end"/>
        </w:r>
      </w:hyperlink>
    </w:p>
    <w:p w14:paraId="0AC88266" w14:textId="234ECDD4" w:rsidR="00B40C77" w:rsidRPr="00BD16B4" w:rsidRDefault="00FC49D2">
      <w:pPr>
        <w:pStyle w:val="TableofFigures"/>
        <w:tabs>
          <w:tab w:val="right" w:pos="8495"/>
        </w:tabs>
        <w:rPr>
          <w:rFonts w:asciiTheme="minorHAnsi" w:hAnsiTheme="minorHAnsi"/>
        </w:rPr>
      </w:pPr>
      <w:hyperlink w:anchor="_Toc121773816" w:history="1">
        <w:r w:rsidR="00B40C77" w:rsidRPr="00BD16B4">
          <w:rPr>
            <w:rStyle w:val="Hyperlink"/>
            <w:rFonts w:eastAsia="Calibri"/>
          </w:rPr>
          <w:t xml:space="preserve">Table 5.26: </w:t>
        </w:r>
        <w:r w:rsidR="00B40C77" w:rsidRPr="00BD16B4">
          <w:rPr>
            <w:rFonts w:asciiTheme="minorHAnsi" w:hAnsiTheme="minorHAnsi"/>
          </w:rPr>
          <w:tab/>
        </w:r>
        <w:r w:rsidR="00B40C77" w:rsidRPr="00BD16B4">
          <w:rPr>
            <w:rStyle w:val="Hyperlink"/>
            <w:rFonts w:eastAsia="Calibri"/>
          </w:rPr>
          <w:t>Methods for projecting activity data and or emissions in the waste sector, 2021–35</w:t>
        </w:r>
        <w:r w:rsidR="00B40C77" w:rsidRPr="00BD16B4">
          <w:rPr>
            <w:webHidden/>
          </w:rPr>
          <w:tab/>
        </w:r>
        <w:r w:rsidR="00B40C77" w:rsidRPr="00BD16B4">
          <w:rPr>
            <w:webHidden/>
          </w:rPr>
          <w:fldChar w:fldCharType="begin"/>
        </w:r>
        <w:r w:rsidR="00B40C77" w:rsidRPr="00BD16B4">
          <w:rPr>
            <w:webHidden/>
          </w:rPr>
          <w:instrText xml:space="preserve"> PAGEREF _Toc121773816 \h </w:instrText>
        </w:r>
        <w:r w:rsidR="00B40C77" w:rsidRPr="00BD16B4">
          <w:rPr>
            <w:webHidden/>
          </w:rPr>
        </w:r>
        <w:r w:rsidR="00B40C77" w:rsidRPr="00BD16B4">
          <w:rPr>
            <w:webHidden/>
          </w:rPr>
          <w:fldChar w:fldCharType="separate"/>
        </w:r>
        <w:r w:rsidR="00A60C35">
          <w:rPr>
            <w:noProof/>
            <w:webHidden/>
          </w:rPr>
          <w:t>201</w:t>
        </w:r>
        <w:r w:rsidR="00B40C77" w:rsidRPr="00BD16B4">
          <w:rPr>
            <w:webHidden/>
          </w:rPr>
          <w:fldChar w:fldCharType="end"/>
        </w:r>
      </w:hyperlink>
    </w:p>
    <w:p w14:paraId="493F28F8" w14:textId="6EB3B068" w:rsidR="00B40C77" w:rsidRPr="00BD16B4" w:rsidRDefault="00FC49D2">
      <w:pPr>
        <w:pStyle w:val="TableofFigures"/>
        <w:tabs>
          <w:tab w:val="right" w:pos="8495"/>
        </w:tabs>
        <w:rPr>
          <w:rFonts w:asciiTheme="minorHAnsi" w:hAnsiTheme="minorHAnsi"/>
        </w:rPr>
      </w:pPr>
      <w:hyperlink w:anchor="_Toc121773817" w:history="1">
        <w:r w:rsidR="00B40C77" w:rsidRPr="00BD16B4">
          <w:rPr>
            <w:rStyle w:val="Hyperlink"/>
            <w:rFonts w:eastAsia="Calibri"/>
          </w:rPr>
          <w:t xml:space="preserve">Table 5.27: </w:t>
        </w:r>
        <w:r w:rsidR="00B40C77" w:rsidRPr="00BD16B4">
          <w:rPr>
            <w:rFonts w:asciiTheme="minorHAnsi" w:hAnsiTheme="minorHAnsi"/>
          </w:rPr>
          <w:tab/>
        </w:r>
        <w:r w:rsidR="00B40C77" w:rsidRPr="00BD16B4">
          <w:rPr>
            <w:rStyle w:val="Hyperlink"/>
            <w:rFonts w:eastAsia="Calibri"/>
          </w:rPr>
          <w:t>Qualitative analysis of key drivers of projected emissions in the waste sector</w:t>
        </w:r>
        <w:r w:rsidR="00B40C77" w:rsidRPr="00BD16B4">
          <w:rPr>
            <w:webHidden/>
          </w:rPr>
          <w:tab/>
        </w:r>
        <w:r w:rsidR="00B40C77" w:rsidRPr="00BD16B4">
          <w:rPr>
            <w:webHidden/>
          </w:rPr>
          <w:fldChar w:fldCharType="begin"/>
        </w:r>
        <w:r w:rsidR="00B40C77" w:rsidRPr="00BD16B4">
          <w:rPr>
            <w:webHidden/>
          </w:rPr>
          <w:instrText xml:space="preserve"> PAGEREF _Toc121773817 \h </w:instrText>
        </w:r>
        <w:r w:rsidR="00B40C77" w:rsidRPr="00BD16B4">
          <w:rPr>
            <w:webHidden/>
          </w:rPr>
        </w:r>
        <w:r w:rsidR="00B40C77" w:rsidRPr="00BD16B4">
          <w:rPr>
            <w:webHidden/>
          </w:rPr>
          <w:fldChar w:fldCharType="separate"/>
        </w:r>
        <w:r w:rsidR="00A60C35">
          <w:rPr>
            <w:noProof/>
            <w:webHidden/>
          </w:rPr>
          <w:t>203</w:t>
        </w:r>
        <w:r w:rsidR="00B40C77" w:rsidRPr="00BD16B4">
          <w:rPr>
            <w:webHidden/>
          </w:rPr>
          <w:fldChar w:fldCharType="end"/>
        </w:r>
      </w:hyperlink>
    </w:p>
    <w:p w14:paraId="1713887D" w14:textId="14CF3C48" w:rsidR="00B40C77" w:rsidRPr="00BD16B4" w:rsidRDefault="00FC49D2">
      <w:pPr>
        <w:pStyle w:val="TableofFigures"/>
        <w:tabs>
          <w:tab w:val="right" w:pos="8495"/>
        </w:tabs>
        <w:rPr>
          <w:rFonts w:asciiTheme="minorHAnsi" w:hAnsiTheme="minorHAnsi"/>
        </w:rPr>
      </w:pPr>
      <w:hyperlink w:anchor="_Toc121773818" w:history="1">
        <w:r w:rsidR="00B40C77" w:rsidRPr="00BD16B4">
          <w:rPr>
            <w:rStyle w:val="Hyperlink"/>
          </w:rPr>
          <w:t xml:space="preserve">Table 5.28: </w:t>
        </w:r>
        <w:r w:rsidR="00B40C77" w:rsidRPr="00BD16B4">
          <w:rPr>
            <w:rFonts w:asciiTheme="minorHAnsi" w:hAnsiTheme="minorHAnsi"/>
          </w:rPr>
          <w:tab/>
        </w:r>
        <w:r w:rsidR="00B40C77" w:rsidRPr="00BD16B4">
          <w:rPr>
            <w:rStyle w:val="Hyperlink"/>
          </w:rPr>
          <w:t>Tokelau’s gross greenhouse gas emissions by gas, 1990–2035 (kt CO</w:t>
        </w:r>
        <w:r w:rsidR="00B40C77" w:rsidRPr="00BD16B4">
          <w:rPr>
            <w:rStyle w:val="Hyperlink"/>
            <w:vertAlign w:val="subscript"/>
          </w:rPr>
          <w:t>2</w:t>
        </w:r>
        <w:r w:rsidR="00B40C77" w:rsidRPr="00BD16B4">
          <w:rPr>
            <w:rStyle w:val="Hyperlink"/>
          </w:rPr>
          <w:t>-e)</w:t>
        </w:r>
        <w:r w:rsidR="00B40C77" w:rsidRPr="00BD16B4">
          <w:rPr>
            <w:webHidden/>
          </w:rPr>
          <w:tab/>
        </w:r>
        <w:r w:rsidR="00B40C77" w:rsidRPr="00BD16B4">
          <w:rPr>
            <w:webHidden/>
          </w:rPr>
          <w:fldChar w:fldCharType="begin"/>
        </w:r>
        <w:r w:rsidR="00B40C77" w:rsidRPr="00BD16B4">
          <w:rPr>
            <w:webHidden/>
          </w:rPr>
          <w:instrText xml:space="preserve"> PAGEREF _Toc121773818 \h </w:instrText>
        </w:r>
        <w:r w:rsidR="00B40C77" w:rsidRPr="00BD16B4">
          <w:rPr>
            <w:webHidden/>
          </w:rPr>
        </w:r>
        <w:r w:rsidR="00B40C77" w:rsidRPr="00BD16B4">
          <w:rPr>
            <w:webHidden/>
          </w:rPr>
          <w:fldChar w:fldCharType="separate"/>
        </w:r>
        <w:r w:rsidR="00A60C35">
          <w:rPr>
            <w:noProof/>
            <w:webHidden/>
          </w:rPr>
          <w:t>205</w:t>
        </w:r>
        <w:r w:rsidR="00B40C77" w:rsidRPr="00BD16B4">
          <w:rPr>
            <w:webHidden/>
          </w:rPr>
          <w:fldChar w:fldCharType="end"/>
        </w:r>
      </w:hyperlink>
    </w:p>
    <w:p w14:paraId="6367E771" w14:textId="0BBBC0D1" w:rsidR="00B40C77" w:rsidRPr="00BD16B4" w:rsidRDefault="00FC49D2">
      <w:pPr>
        <w:pStyle w:val="TableofFigures"/>
        <w:tabs>
          <w:tab w:val="right" w:pos="8495"/>
        </w:tabs>
        <w:rPr>
          <w:rFonts w:asciiTheme="minorHAnsi" w:hAnsiTheme="minorHAnsi"/>
        </w:rPr>
      </w:pPr>
      <w:hyperlink w:anchor="_Toc121773819" w:history="1">
        <w:r w:rsidR="00B40C77" w:rsidRPr="00BD16B4">
          <w:rPr>
            <w:rStyle w:val="Hyperlink"/>
          </w:rPr>
          <w:t xml:space="preserve">Table 6.1: </w:t>
        </w:r>
        <w:r w:rsidR="00B40C77" w:rsidRPr="00BD16B4">
          <w:rPr>
            <w:rFonts w:asciiTheme="minorHAnsi" w:hAnsiTheme="minorHAnsi"/>
          </w:rPr>
          <w:tab/>
        </w:r>
        <w:r w:rsidR="00B40C77" w:rsidRPr="00BD16B4">
          <w:rPr>
            <w:rStyle w:val="Hyperlink"/>
          </w:rPr>
          <w:t>Key institutional arrangements for adaptation in Aotearoa New Zealand</w:t>
        </w:r>
        <w:r w:rsidR="00B40C77" w:rsidRPr="00BD16B4">
          <w:rPr>
            <w:webHidden/>
          </w:rPr>
          <w:tab/>
        </w:r>
        <w:r w:rsidR="00B40C77" w:rsidRPr="00BD16B4">
          <w:rPr>
            <w:webHidden/>
          </w:rPr>
          <w:fldChar w:fldCharType="begin"/>
        </w:r>
        <w:r w:rsidR="00B40C77" w:rsidRPr="00BD16B4">
          <w:rPr>
            <w:webHidden/>
          </w:rPr>
          <w:instrText xml:space="preserve"> PAGEREF _Toc121773819 \h </w:instrText>
        </w:r>
        <w:r w:rsidR="00B40C77" w:rsidRPr="00BD16B4">
          <w:rPr>
            <w:webHidden/>
          </w:rPr>
        </w:r>
        <w:r w:rsidR="00B40C77" w:rsidRPr="00BD16B4">
          <w:rPr>
            <w:webHidden/>
          </w:rPr>
          <w:fldChar w:fldCharType="separate"/>
        </w:r>
        <w:r w:rsidR="00A60C35">
          <w:rPr>
            <w:noProof/>
            <w:webHidden/>
          </w:rPr>
          <w:t>210</w:t>
        </w:r>
        <w:r w:rsidR="00B40C77" w:rsidRPr="00BD16B4">
          <w:rPr>
            <w:webHidden/>
          </w:rPr>
          <w:fldChar w:fldCharType="end"/>
        </w:r>
      </w:hyperlink>
    </w:p>
    <w:p w14:paraId="2426D78F" w14:textId="16D0C8C8" w:rsidR="00B40C77" w:rsidRPr="00BD16B4" w:rsidRDefault="00FC49D2">
      <w:pPr>
        <w:pStyle w:val="TableofFigures"/>
        <w:tabs>
          <w:tab w:val="right" w:pos="8495"/>
        </w:tabs>
        <w:rPr>
          <w:rFonts w:asciiTheme="minorHAnsi" w:hAnsiTheme="minorHAnsi"/>
        </w:rPr>
      </w:pPr>
      <w:hyperlink w:anchor="_Toc121773820" w:history="1">
        <w:r w:rsidR="00B40C77" w:rsidRPr="00BD16B4">
          <w:rPr>
            <w:rStyle w:val="Hyperlink"/>
          </w:rPr>
          <w:t xml:space="preserve">Table 6.2: </w:t>
        </w:r>
        <w:r w:rsidR="00B40C77" w:rsidRPr="00BD16B4">
          <w:rPr>
            <w:rFonts w:asciiTheme="minorHAnsi" w:hAnsiTheme="minorHAnsi"/>
          </w:rPr>
          <w:tab/>
        </w:r>
        <w:r w:rsidR="00B40C77" w:rsidRPr="00BD16B4">
          <w:rPr>
            <w:rStyle w:val="Hyperlink"/>
          </w:rPr>
          <w:t>Three stages of the National Climate Change Risk Assessment 2020</w:t>
        </w:r>
        <w:r w:rsidR="00B40C77" w:rsidRPr="00BD16B4">
          <w:rPr>
            <w:webHidden/>
          </w:rPr>
          <w:tab/>
        </w:r>
        <w:r w:rsidR="00B40C77" w:rsidRPr="00BD16B4">
          <w:rPr>
            <w:webHidden/>
          </w:rPr>
          <w:fldChar w:fldCharType="begin"/>
        </w:r>
        <w:r w:rsidR="00B40C77" w:rsidRPr="00BD16B4">
          <w:rPr>
            <w:webHidden/>
          </w:rPr>
          <w:instrText xml:space="preserve"> PAGEREF _Toc121773820 \h </w:instrText>
        </w:r>
        <w:r w:rsidR="00B40C77" w:rsidRPr="00BD16B4">
          <w:rPr>
            <w:webHidden/>
          </w:rPr>
        </w:r>
        <w:r w:rsidR="00B40C77" w:rsidRPr="00BD16B4">
          <w:rPr>
            <w:webHidden/>
          </w:rPr>
          <w:fldChar w:fldCharType="separate"/>
        </w:r>
        <w:r w:rsidR="00A60C35">
          <w:rPr>
            <w:noProof/>
            <w:webHidden/>
          </w:rPr>
          <w:t>219</w:t>
        </w:r>
        <w:r w:rsidR="00B40C77" w:rsidRPr="00BD16B4">
          <w:rPr>
            <w:webHidden/>
          </w:rPr>
          <w:fldChar w:fldCharType="end"/>
        </w:r>
      </w:hyperlink>
    </w:p>
    <w:p w14:paraId="012845F2" w14:textId="16251D37" w:rsidR="00B40C77" w:rsidRPr="00BD16B4" w:rsidRDefault="00FC49D2">
      <w:pPr>
        <w:pStyle w:val="TableofFigures"/>
        <w:tabs>
          <w:tab w:val="right" w:pos="8495"/>
        </w:tabs>
        <w:rPr>
          <w:rFonts w:asciiTheme="minorHAnsi" w:hAnsiTheme="minorHAnsi"/>
        </w:rPr>
      </w:pPr>
      <w:hyperlink w:anchor="_Toc121773821" w:history="1">
        <w:r w:rsidR="00B40C77" w:rsidRPr="00BD16B4">
          <w:rPr>
            <w:rStyle w:val="Hyperlink"/>
          </w:rPr>
          <w:t xml:space="preserve">Table 6.3: </w:t>
        </w:r>
        <w:r w:rsidR="00B40C77" w:rsidRPr="00BD16B4">
          <w:rPr>
            <w:rFonts w:asciiTheme="minorHAnsi" w:hAnsiTheme="minorHAnsi"/>
          </w:rPr>
          <w:tab/>
        </w:r>
        <w:r w:rsidR="00B40C77" w:rsidRPr="00BD16B4">
          <w:rPr>
            <w:rStyle w:val="Hyperlink"/>
          </w:rPr>
          <w:t>Stakeholder roles and examples for adaptation in Aotearoa New Zealand</w:t>
        </w:r>
        <w:r w:rsidR="00B40C77" w:rsidRPr="00BD16B4">
          <w:rPr>
            <w:webHidden/>
          </w:rPr>
          <w:tab/>
        </w:r>
        <w:r w:rsidR="00B40C77" w:rsidRPr="00BD16B4">
          <w:rPr>
            <w:webHidden/>
          </w:rPr>
          <w:fldChar w:fldCharType="begin"/>
        </w:r>
        <w:r w:rsidR="00B40C77" w:rsidRPr="00BD16B4">
          <w:rPr>
            <w:webHidden/>
          </w:rPr>
          <w:instrText xml:space="preserve"> PAGEREF _Toc121773821 \h </w:instrText>
        </w:r>
        <w:r w:rsidR="00B40C77" w:rsidRPr="00BD16B4">
          <w:rPr>
            <w:webHidden/>
          </w:rPr>
        </w:r>
        <w:r w:rsidR="00B40C77" w:rsidRPr="00BD16B4">
          <w:rPr>
            <w:webHidden/>
          </w:rPr>
          <w:fldChar w:fldCharType="separate"/>
        </w:r>
        <w:r w:rsidR="00A60C35">
          <w:rPr>
            <w:noProof/>
            <w:webHidden/>
          </w:rPr>
          <w:t>235</w:t>
        </w:r>
        <w:r w:rsidR="00B40C77" w:rsidRPr="00BD16B4">
          <w:rPr>
            <w:webHidden/>
          </w:rPr>
          <w:fldChar w:fldCharType="end"/>
        </w:r>
      </w:hyperlink>
    </w:p>
    <w:p w14:paraId="011002D9" w14:textId="7A2F2A9F" w:rsidR="00B40C77" w:rsidRPr="00BD16B4" w:rsidRDefault="00FC49D2">
      <w:pPr>
        <w:pStyle w:val="TableofFigures"/>
        <w:tabs>
          <w:tab w:val="right" w:pos="8495"/>
        </w:tabs>
        <w:rPr>
          <w:rFonts w:asciiTheme="minorHAnsi" w:hAnsiTheme="minorHAnsi"/>
        </w:rPr>
      </w:pPr>
      <w:hyperlink w:anchor="_Toc121773822" w:history="1">
        <w:r w:rsidR="00B40C77" w:rsidRPr="00BD16B4">
          <w:rPr>
            <w:rStyle w:val="Hyperlink"/>
          </w:rPr>
          <w:t>Table 7.1:</w:t>
        </w:r>
        <w:r w:rsidR="00B40C77" w:rsidRPr="00BD16B4">
          <w:rPr>
            <w:rFonts w:asciiTheme="minorHAnsi" w:hAnsiTheme="minorHAnsi"/>
          </w:rPr>
          <w:tab/>
        </w:r>
        <w:r w:rsidR="00B40C77" w:rsidRPr="00BD16B4">
          <w:rPr>
            <w:rStyle w:val="Hyperlink"/>
          </w:rPr>
          <w:t>Classifications and moderation weightings for quantifying and recording climate-related expenditure</w:t>
        </w:r>
        <w:r w:rsidR="00B40C77" w:rsidRPr="00BD16B4">
          <w:rPr>
            <w:webHidden/>
          </w:rPr>
          <w:tab/>
        </w:r>
        <w:r w:rsidR="00B40C77" w:rsidRPr="00BD16B4">
          <w:rPr>
            <w:webHidden/>
          </w:rPr>
          <w:fldChar w:fldCharType="begin"/>
        </w:r>
        <w:r w:rsidR="00B40C77" w:rsidRPr="00BD16B4">
          <w:rPr>
            <w:webHidden/>
          </w:rPr>
          <w:instrText xml:space="preserve"> PAGEREF _Toc121773822 \h </w:instrText>
        </w:r>
        <w:r w:rsidR="00B40C77" w:rsidRPr="00BD16B4">
          <w:rPr>
            <w:webHidden/>
          </w:rPr>
        </w:r>
        <w:r w:rsidR="00B40C77" w:rsidRPr="00BD16B4">
          <w:rPr>
            <w:webHidden/>
          </w:rPr>
          <w:fldChar w:fldCharType="separate"/>
        </w:r>
        <w:r w:rsidR="00A60C35">
          <w:rPr>
            <w:noProof/>
            <w:webHidden/>
          </w:rPr>
          <w:t>242</w:t>
        </w:r>
        <w:r w:rsidR="00B40C77" w:rsidRPr="00BD16B4">
          <w:rPr>
            <w:webHidden/>
          </w:rPr>
          <w:fldChar w:fldCharType="end"/>
        </w:r>
      </w:hyperlink>
    </w:p>
    <w:p w14:paraId="5E49FF92" w14:textId="0433CA66" w:rsidR="00B40C77" w:rsidRPr="00BD16B4" w:rsidRDefault="00FC49D2">
      <w:pPr>
        <w:pStyle w:val="TableofFigures"/>
        <w:tabs>
          <w:tab w:val="right" w:pos="8495"/>
        </w:tabs>
        <w:rPr>
          <w:rFonts w:asciiTheme="minorHAnsi" w:hAnsiTheme="minorHAnsi"/>
        </w:rPr>
      </w:pPr>
      <w:hyperlink w:anchor="_Toc121773823" w:history="1">
        <w:r w:rsidR="00B40C77" w:rsidRPr="00BD16B4">
          <w:rPr>
            <w:rStyle w:val="Hyperlink"/>
          </w:rPr>
          <w:t>Table 7.2:</w:t>
        </w:r>
        <w:r w:rsidR="00B40C77" w:rsidRPr="00BD16B4">
          <w:rPr>
            <w:rFonts w:asciiTheme="minorHAnsi" w:hAnsiTheme="minorHAnsi"/>
          </w:rPr>
          <w:tab/>
        </w:r>
        <w:r w:rsidR="00B40C77" w:rsidRPr="00BD16B4">
          <w:rPr>
            <w:rStyle w:val="Hyperlink"/>
          </w:rPr>
          <w:t>Guidance on the application of the climate change markers</w:t>
        </w:r>
        <w:r w:rsidR="00B40C77" w:rsidRPr="00BD16B4">
          <w:rPr>
            <w:webHidden/>
          </w:rPr>
          <w:tab/>
        </w:r>
        <w:r w:rsidR="00B40C77" w:rsidRPr="00BD16B4">
          <w:rPr>
            <w:webHidden/>
          </w:rPr>
          <w:fldChar w:fldCharType="begin"/>
        </w:r>
        <w:r w:rsidR="00B40C77" w:rsidRPr="00BD16B4">
          <w:rPr>
            <w:webHidden/>
          </w:rPr>
          <w:instrText xml:space="preserve"> PAGEREF _Toc121773823 \h </w:instrText>
        </w:r>
        <w:r w:rsidR="00B40C77" w:rsidRPr="00BD16B4">
          <w:rPr>
            <w:webHidden/>
          </w:rPr>
        </w:r>
        <w:r w:rsidR="00B40C77" w:rsidRPr="00BD16B4">
          <w:rPr>
            <w:webHidden/>
          </w:rPr>
          <w:fldChar w:fldCharType="separate"/>
        </w:r>
        <w:r w:rsidR="00A60C35">
          <w:rPr>
            <w:noProof/>
            <w:webHidden/>
          </w:rPr>
          <w:t>242</w:t>
        </w:r>
        <w:r w:rsidR="00B40C77" w:rsidRPr="00BD16B4">
          <w:rPr>
            <w:webHidden/>
          </w:rPr>
          <w:fldChar w:fldCharType="end"/>
        </w:r>
      </w:hyperlink>
    </w:p>
    <w:p w14:paraId="57DE66FA" w14:textId="58DBABF5" w:rsidR="00B40C77" w:rsidRPr="00BD16B4" w:rsidRDefault="00FC49D2">
      <w:pPr>
        <w:pStyle w:val="TableofFigures"/>
        <w:tabs>
          <w:tab w:val="right" w:pos="8495"/>
        </w:tabs>
        <w:rPr>
          <w:rFonts w:asciiTheme="minorHAnsi" w:hAnsiTheme="minorHAnsi"/>
        </w:rPr>
      </w:pPr>
      <w:hyperlink w:anchor="_Toc121773824" w:history="1">
        <w:r w:rsidR="00B40C77" w:rsidRPr="00BD16B4">
          <w:rPr>
            <w:rStyle w:val="Hyperlink"/>
          </w:rPr>
          <w:t>Table 7.3:</w:t>
        </w:r>
        <w:r w:rsidR="00B40C77" w:rsidRPr="00BD16B4">
          <w:rPr>
            <w:rFonts w:asciiTheme="minorHAnsi" w:hAnsiTheme="minorHAnsi"/>
          </w:rPr>
          <w:tab/>
        </w:r>
        <w:r w:rsidR="00B40C77" w:rsidRPr="00BD16B4">
          <w:rPr>
            <w:rStyle w:val="Hyperlink"/>
          </w:rPr>
          <w:t>Provision of public financial support – summary information, 2019 and 2020 (CTF Table 7)</w:t>
        </w:r>
        <w:r w:rsidR="00B40C77" w:rsidRPr="00BD16B4">
          <w:rPr>
            <w:webHidden/>
          </w:rPr>
          <w:tab/>
        </w:r>
        <w:r w:rsidR="00B40C77" w:rsidRPr="00BD16B4">
          <w:rPr>
            <w:webHidden/>
          </w:rPr>
          <w:fldChar w:fldCharType="begin"/>
        </w:r>
        <w:r w:rsidR="00B40C77" w:rsidRPr="00BD16B4">
          <w:rPr>
            <w:webHidden/>
          </w:rPr>
          <w:instrText xml:space="preserve"> PAGEREF _Toc121773824 \h </w:instrText>
        </w:r>
        <w:r w:rsidR="00B40C77" w:rsidRPr="00BD16B4">
          <w:rPr>
            <w:webHidden/>
          </w:rPr>
        </w:r>
        <w:r w:rsidR="00B40C77" w:rsidRPr="00BD16B4">
          <w:rPr>
            <w:webHidden/>
          </w:rPr>
          <w:fldChar w:fldCharType="separate"/>
        </w:r>
        <w:r w:rsidR="00A60C35">
          <w:rPr>
            <w:noProof/>
            <w:webHidden/>
          </w:rPr>
          <w:t>253</w:t>
        </w:r>
        <w:r w:rsidR="00B40C77" w:rsidRPr="00BD16B4">
          <w:rPr>
            <w:webHidden/>
          </w:rPr>
          <w:fldChar w:fldCharType="end"/>
        </w:r>
      </w:hyperlink>
    </w:p>
    <w:p w14:paraId="0A217BBC" w14:textId="622396A7" w:rsidR="00B40C77" w:rsidRPr="00BD16B4" w:rsidRDefault="00FC49D2">
      <w:pPr>
        <w:pStyle w:val="TableofFigures"/>
        <w:tabs>
          <w:tab w:val="right" w:pos="8495"/>
        </w:tabs>
        <w:rPr>
          <w:rFonts w:asciiTheme="minorHAnsi" w:hAnsiTheme="minorHAnsi"/>
        </w:rPr>
      </w:pPr>
      <w:hyperlink w:anchor="_Toc121773825" w:history="1">
        <w:r w:rsidR="00B40C77" w:rsidRPr="00BD16B4">
          <w:rPr>
            <w:rStyle w:val="Hyperlink"/>
          </w:rPr>
          <w:t>Table 7.4:</w:t>
        </w:r>
        <w:r w:rsidR="00B40C77" w:rsidRPr="00BD16B4">
          <w:rPr>
            <w:rFonts w:asciiTheme="minorHAnsi" w:hAnsiTheme="minorHAnsi"/>
          </w:rPr>
          <w:tab/>
        </w:r>
        <w:r w:rsidR="00B40C77" w:rsidRPr="00BD16B4">
          <w:rPr>
            <w:rStyle w:val="Hyperlink"/>
          </w:rPr>
          <w:t>Provision of public financial support – contributions through multilateral channels, 2019 and 2020 (CTF Table 7a)</w:t>
        </w:r>
        <w:r w:rsidR="00B40C77" w:rsidRPr="00BD16B4">
          <w:rPr>
            <w:webHidden/>
          </w:rPr>
          <w:tab/>
        </w:r>
        <w:r w:rsidR="00B40C77" w:rsidRPr="00BD16B4">
          <w:rPr>
            <w:webHidden/>
          </w:rPr>
          <w:fldChar w:fldCharType="begin"/>
        </w:r>
        <w:r w:rsidR="00B40C77" w:rsidRPr="00BD16B4">
          <w:rPr>
            <w:webHidden/>
          </w:rPr>
          <w:instrText xml:space="preserve"> PAGEREF _Toc121773825 \h </w:instrText>
        </w:r>
        <w:r w:rsidR="00B40C77" w:rsidRPr="00BD16B4">
          <w:rPr>
            <w:webHidden/>
          </w:rPr>
        </w:r>
        <w:r w:rsidR="00B40C77" w:rsidRPr="00BD16B4">
          <w:rPr>
            <w:webHidden/>
          </w:rPr>
          <w:fldChar w:fldCharType="separate"/>
        </w:r>
        <w:r w:rsidR="00A60C35">
          <w:rPr>
            <w:noProof/>
            <w:webHidden/>
          </w:rPr>
          <w:t>255</w:t>
        </w:r>
        <w:r w:rsidR="00B40C77" w:rsidRPr="00BD16B4">
          <w:rPr>
            <w:webHidden/>
          </w:rPr>
          <w:fldChar w:fldCharType="end"/>
        </w:r>
      </w:hyperlink>
    </w:p>
    <w:p w14:paraId="419498E3" w14:textId="550AF050" w:rsidR="00B40C77" w:rsidRPr="00BD16B4" w:rsidRDefault="00FC49D2">
      <w:pPr>
        <w:pStyle w:val="TableofFigures"/>
        <w:tabs>
          <w:tab w:val="right" w:pos="8495"/>
        </w:tabs>
        <w:rPr>
          <w:rFonts w:asciiTheme="minorHAnsi" w:hAnsiTheme="minorHAnsi"/>
        </w:rPr>
      </w:pPr>
      <w:hyperlink w:anchor="_Toc121773826" w:history="1">
        <w:r w:rsidR="00B40C77" w:rsidRPr="00BD16B4">
          <w:rPr>
            <w:rStyle w:val="Hyperlink"/>
          </w:rPr>
          <w:t>Table 7.5:</w:t>
        </w:r>
        <w:r w:rsidR="00B40C77" w:rsidRPr="00BD16B4">
          <w:rPr>
            <w:rFonts w:asciiTheme="minorHAnsi" w:hAnsiTheme="minorHAnsi"/>
          </w:rPr>
          <w:tab/>
        </w:r>
        <w:r w:rsidR="00B40C77" w:rsidRPr="00BD16B4">
          <w:rPr>
            <w:rStyle w:val="Hyperlink"/>
          </w:rPr>
          <w:t>Provision of public financial support – contributions through bilateral, regional and other channels, 2019 and 2020 (CTF Table 7b)</w:t>
        </w:r>
        <w:r w:rsidR="00B40C77" w:rsidRPr="00BD16B4">
          <w:rPr>
            <w:webHidden/>
          </w:rPr>
          <w:tab/>
        </w:r>
        <w:r w:rsidR="00B40C77" w:rsidRPr="00BD16B4">
          <w:rPr>
            <w:webHidden/>
          </w:rPr>
          <w:fldChar w:fldCharType="begin"/>
        </w:r>
        <w:r w:rsidR="00B40C77" w:rsidRPr="00BD16B4">
          <w:rPr>
            <w:webHidden/>
          </w:rPr>
          <w:instrText xml:space="preserve"> PAGEREF _Toc121773826 \h </w:instrText>
        </w:r>
        <w:r w:rsidR="00B40C77" w:rsidRPr="00BD16B4">
          <w:rPr>
            <w:webHidden/>
          </w:rPr>
        </w:r>
        <w:r w:rsidR="00B40C77" w:rsidRPr="00BD16B4">
          <w:rPr>
            <w:webHidden/>
          </w:rPr>
          <w:fldChar w:fldCharType="separate"/>
        </w:r>
        <w:r w:rsidR="00A60C35">
          <w:rPr>
            <w:noProof/>
            <w:webHidden/>
          </w:rPr>
          <w:t>258</w:t>
        </w:r>
        <w:r w:rsidR="00B40C77" w:rsidRPr="00BD16B4">
          <w:rPr>
            <w:webHidden/>
          </w:rPr>
          <w:fldChar w:fldCharType="end"/>
        </w:r>
      </w:hyperlink>
    </w:p>
    <w:p w14:paraId="7CBA2224" w14:textId="0AD3E833" w:rsidR="00B40C77" w:rsidRPr="00BD16B4" w:rsidRDefault="00FC49D2">
      <w:pPr>
        <w:pStyle w:val="TableofFigures"/>
        <w:tabs>
          <w:tab w:val="right" w:pos="8495"/>
        </w:tabs>
        <w:rPr>
          <w:rFonts w:asciiTheme="minorHAnsi" w:hAnsiTheme="minorHAnsi"/>
        </w:rPr>
      </w:pPr>
      <w:hyperlink w:anchor="_Toc121773827" w:history="1">
        <w:r w:rsidR="00B40C77" w:rsidRPr="00BD16B4">
          <w:rPr>
            <w:rStyle w:val="Hyperlink"/>
          </w:rPr>
          <w:t>Table 7.</w:t>
        </w:r>
        <w:r w:rsidR="007D6A94" w:rsidRPr="00BD16B4">
          <w:rPr>
            <w:rStyle w:val="Hyperlink"/>
          </w:rPr>
          <w:t>6</w:t>
        </w:r>
        <w:r w:rsidR="00B40C77" w:rsidRPr="00BD16B4">
          <w:rPr>
            <w:rStyle w:val="Hyperlink"/>
          </w:rPr>
          <w:t>:</w:t>
        </w:r>
        <w:r w:rsidR="00B40C77" w:rsidRPr="00BD16B4">
          <w:rPr>
            <w:rFonts w:asciiTheme="minorHAnsi" w:hAnsiTheme="minorHAnsi"/>
          </w:rPr>
          <w:tab/>
        </w:r>
        <w:r w:rsidR="00B40C77" w:rsidRPr="00BD16B4">
          <w:rPr>
            <w:rStyle w:val="Hyperlink"/>
          </w:rPr>
          <w:t>Technology transfer delivered through the New Zealand IDC Programme (CTF Table 8)</w:t>
        </w:r>
        <w:r w:rsidR="00B40C77" w:rsidRPr="00BD16B4">
          <w:rPr>
            <w:webHidden/>
          </w:rPr>
          <w:tab/>
        </w:r>
        <w:r w:rsidR="00B40C77" w:rsidRPr="00BD16B4">
          <w:rPr>
            <w:webHidden/>
          </w:rPr>
          <w:fldChar w:fldCharType="begin"/>
        </w:r>
        <w:r w:rsidR="00B40C77" w:rsidRPr="00BD16B4">
          <w:rPr>
            <w:webHidden/>
          </w:rPr>
          <w:instrText xml:space="preserve"> PAGEREF _Toc121773827 \h </w:instrText>
        </w:r>
        <w:r w:rsidR="00B40C77" w:rsidRPr="00BD16B4">
          <w:rPr>
            <w:webHidden/>
          </w:rPr>
        </w:r>
        <w:r w:rsidR="00B40C77" w:rsidRPr="00BD16B4">
          <w:rPr>
            <w:webHidden/>
          </w:rPr>
          <w:fldChar w:fldCharType="separate"/>
        </w:r>
        <w:r w:rsidR="00A60C35">
          <w:rPr>
            <w:noProof/>
            <w:webHidden/>
          </w:rPr>
          <w:t>273</w:t>
        </w:r>
        <w:r w:rsidR="00B40C77" w:rsidRPr="00BD16B4">
          <w:rPr>
            <w:webHidden/>
          </w:rPr>
          <w:fldChar w:fldCharType="end"/>
        </w:r>
      </w:hyperlink>
    </w:p>
    <w:p w14:paraId="0BBCAB94" w14:textId="7FFF257B" w:rsidR="00B40C77" w:rsidRPr="00BD16B4" w:rsidRDefault="00FC49D2">
      <w:pPr>
        <w:pStyle w:val="TableofFigures"/>
        <w:tabs>
          <w:tab w:val="right" w:pos="8495"/>
        </w:tabs>
        <w:rPr>
          <w:rFonts w:asciiTheme="minorHAnsi" w:hAnsiTheme="minorHAnsi"/>
        </w:rPr>
      </w:pPr>
      <w:hyperlink w:anchor="_Toc121773828" w:history="1">
        <w:r w:rsidR="00B40C77" w:rsidRPr="00BD16B4">
          <w:rPr>
            <w:rStyle w:val="Hyperlink"/>
          </w:rPr>
          <w:t>Table 7.7:</w:t>
        </w:r>
        <w:r w:rsidR="00B40C77" w:rsidRPr="00BD16B4">
          <w:rPr>
            <w:rFonts w:asciiTheme="minorHAnsi" w:hAnsiTheme="minorHAnsi"/>
          </w:rPr>
          <w:tab/>
        </w:r>
        <w:r w:rsidR="00B40C77" w:rsidRPr="00BD16B4">
          <w:rPr>
            <w:rStyle w:val="Hyperlink"/>
          </w:rPr>
          <w:t>Technology transfer delivered through the Global Research Alliance on Agricultural Greenhouse Gases</w:t>
        </w:r>
        <w:r w:rsidR="00B40C77" w:rsidRPr="00BD16B4">
          <w:rPr>
            <w:webHidden/>
          </w:rPr>
          <w:tab/>
        </w:r>
        <w:r w:rsidR="00B40C77" w:rsidRPr="00BD16B4">
          <w:rPr>
            <w:webHidden/>
          </w:rPr>
          <w:fldChar w:fldCharType="begin"/>
        </w:r>
        <w:r w:rsidR="00B40C77" w:rsidRPr="00BD16B4">
          <w:rPr>
            <w:webHidden/>
          </w:rPr>
          <w:instrText xml:space="preserve"> PAGEREF _Toc121773828 \h </w:instrText>
        </w:r>
        <w:r w:rsidR="00B40C77" w:rsidRPr="00BD16B4">
          <w:rPr>
            <w:webHidden/>
          </w:rPr>
        </w:r>
        <w:r w:rsidR="00B40C77" w:rsidRPr="00BD16B4">
          <w:rPr>
            <w:webHidden/>
          </w:rPr>
          <w:fldChar w:fldCharType="separate"/>
        </w:r>
        <w:r w:rsidR="00A60C35">
          <w:rPr>
            <w:noProof/>
            <w:webHidden/>
          </w:rPr>
          <w:t>287</w:t>
        </w:r>
        <w:r w:rsidR="00B40C77" w:rsidRPr="00BD16B4">
          <w:rPr>
            <w:webHidden/>
          </w:rPr>
          <w:fldChar w:fldCharType="end"/>
        </w:r>
      </w:hyperlink>
    </w:p>
    <w:p w14:paraId="600F00D7" w14:textId="19844E5A" w:rsidR="00B40C77" w:rsidRPr="00BD16B4" w:rsidRDefault="00FC49D2">
      <w:pPr>
        <w:pStyle w:val="TableofFigures"/>
        <w:tabs>
          <w:tab w:val="right" w:pos="8495"/>
        </w:tabs>
        <w:rPr>
          <w:rFonts w:asciiTheme="minorHAnsi" w:hAnsiTheme="minorHAnsi"/>
        </w:rPr>
      </w:pPr>
      <w:hyperlink w:anchor="_Toc121773829" w:history="1">
        <w:r w:rsidR="00B40C77" w:rsidRPr="00BD16B4">
          <w:rPr>
            <w:rStyle w:val="Hyperlink"/>
          </w:rPr>
          <w:t>Table 7.8:</w:t>
        </w:r>
        <w:r w:rsidR="00B40C77" w:rsidRPr="00BD16B4">
          <w:rPr>
            <w:rFonts w:asciiTheme="minorHAnsi" w:hAnsiTheme="minorHAnsi"/>
          </w:rPr>
          <w:tab/>
        </w:r>
        <w:r w:rsidR="00B40C77" w:rsidRPr="00BD16B4">
          <w:rPr>
            <w:rStyle w:val="Hyperlink"/>
          </w:rPr>
          <w:t>Activities managed by the New Zealand IDC Programme that address capacity building (CTF Table 9)</w:t>
        </w:r>
        <w:r w:rsidR="00B40C77" w:rsidRPr="00BD16B4">
          <w:rPr>
            <w:webHidden/>
          </w:rPr>
          <w:tab/>
        </w:r>
        <w:r w:rsidR="00B40C77" w:rsidRPr="00BD16B4">
          <w:rPr>
            <w:webHidden/>
          </w:rPr>
          <w:fldChar w:fldCharType="begin"/>
        </w:r>
        <w:r w:rsidR="00B40C77" w:rsidRPr="00BD16B4">
          <w:rPr>
            <w:webHidden/>
          </w:rPr>
          <w:instrText xml:space="preserve"> PAGEREF _Toc121773829 \h </w:instrText>
        </w:r>
        <w:r w:rsidR="00B40C77" w:rsidRPr="00BD16B4">
          <w:rPr>
            <w:webHidden/>
          </w:rPr>
        </w:r>
        <w:r w:rsidR="00B40C77" w:rsidRPr="00BD16B4">
          <w:rPr>
            <w:webHidden/>
          </w:rPr>
          <w:fldChar w:fldCharType="separate"/>
        </w:r>
        <w:r w:rsidR="00A60C35">
          <w:rPr>
            <w:noProof/>
            <w:webHidden/>
          </w:rPr>
          <w:t>295</w:t>
        </w:r>
        <w:r w:rsidR="00B40C77" w:rsidRPr="00BD16B4">
          <w:rPr>
            <w:webHidden/>
          </w:rPr>
          <w:fldChar w:fldCharType="end"/>
        </w:r>
      </w:hyperlink>
    </w:p>
    <w:p w14:paraId="3AA01B29" w14:textId="40088DD4" w:rsidR="00B40C77" w:rsidRPr="00BD16B4" w:rsidRDefault="00FC49D2">
      <w:pPr>
        <w:pStyle w:val="TableofFigures"/>
        <w:tabs>
          <w:tab w:val="right" w:pos="8495"/>
        </w:tabs>
        <w:rPr>
          <w:rFonts w:asciiTheme="minorHAnsi" w:hAnsiTheme="minorHAnsi"/>
        </w:rPr>
      </w:pPr>
      <w:hyperlink w:anchor="_Toc121773830" w:history="1">
        <w:r w:rsidR="00B40C77" w:rsidRPr="00BD16B4">
          <w:rPr>
            <w:rStyle w:val="Hyperlink"/>
          </w:rPr>
          <w:t>Table 7.9:</w:t>
        </w:r>
        <w:r w:rsidR="00B40C77" w:rsidRPr="00BD16B4">
          <w:rPr>
            <w:rFonts w:asciiTheme="minorHAnsi" w:hAnsiTheme="minorHAnsi"/>
          </w:rPr>
          <w:tab/>
        </w:r>
        <w:r w:rsidR="00B40C77" w:rsidRPr="00BD16B4">
          <w:rPr>
            <w:rStyle w:val="Hyperlink"/>
          </w:rPr>
          <w:t>Capacity-building activities funded from other sources</w:t>
        </w:r>
        <w:r w:rsidR="00B40C77" w:rsidRPr="00BD16B4">
          <w:rPr>
            <w:webHidden/>
          </w:rPr>
          <w:tab/>
        </w:r>
        <w:r w:rsidR="00B40C77" w:rsidRPr="00BD16B4">
          <w:rPr>
            <w:webHidden/>
          </w:rPr>
          <w:fldChar w:fldCharType="begin"/>
        </w:r>
        <w:r w:rsidR="00B40C77" w:rsidRPr="00BD16B4">
          <w:rPr>
            <w:webHidden/>
          </w:rPr>
          <w:instrText xml:space="preserve"> PAGEREF _Toc121773830 \h </w:instrText>
        </w:r>
        <w:r w:rsidR="00B40C77" w:rsidRPr="00BD16B4">
          <w:rPr>
            <w:webHidden/>
          </w:rPr>
        </w:r>
        <w:r w:rsidR="00B40C77" w:rsidRPr="00BD16B4">
          <w:rPr>
            <w:webHidden/>
          </w:rPr>
          <w:fldChar w:fldCharType="separate"/>
        </w:r>
        <w:r w:rsidR="00A60C35">
          <w:rPr>
            <w:noProof/>
            <w:webHidden/>
          </w:rPr>
          <w:t>300</w:t>
        </w:r>
        <w:r w:rsidR="00B40C77" w:rsidRPr="00BD16B4">
          <w:rPr>
            <w:webHidden/>
          </w:rPr>
          <w:fldChar w:fldCharType="end"/>
        </w:r>
      </w:hyperlink>
    </w:p>
    <w:p w14:paraId="2B3ED2AE" w14:textId="62A409DE" w:rsidR="00B40C77" w:rsidRPr="00BD16B4" w:rsidRDefault="00FC49D2">
      <w:pPr>
        <w:pStyle w:val="TableofFigures"/>
        <w:tabs>
          <w:tab w:val="right" w:pos="8495"/>
        </w:tabs>
        <w:rPr>
          <w:rFonts w:asciiTheme="minorHAnsi" w:hAnsiTheme="minorHAnsi"/>
        </w:rPr>
      </w:pPr>
      <w:hyperlink w:anchor="_Toc121773831" w:history="1">
        <w:r w:rsidR="00B40C77" w:rsidRPr="00BD16B4">
          <w:rPr>
            <w:rStyle w:val="Hyperlink"/>
          </w:rPr>
          <w:t>Table A.1:</w:t>
        </w:r>
        <w:r w:rsidR="00B40C77" w:rsidRPr="00BD16B4">
          <w:rPr>
            <w:rFonts w:asciiTheme="minorHAnsi" w:hAnsiTheme="minorHAnsi"/>
          </w:rPr>
          <w:tab/>
        </w:r>
        <w:r w:rsidR="00B40C77" w:rsidRPr="00BD16B4">
          <w:rPr>
            <w:rStyle w:val="Hyperlink"/>
          </w:rPr>
          <w:t>Emissions trends summary (CTF Table 1) (three parts)</w:t>
        </w:r>
        <w:r w:rsidR="00B40C77" w:rsidRPr="00BD16B4">
          <w:rPr>
            <w:webHidden/>
          </w:rPr>
          <w:tab/>
        </w:r>
        <w:r w:rsidR="00B40C77" w:rsidRPr="00BD16B4">
          <w:rPr>
            <w:webHidden/>
          </w:rPr>
          <w:fldChar w:fldCharType="begin"/>
        </w:r>
        <w:r w:rsidR="00B40C77" w:rsidRPr="00BD16B4">
          <w:rPr>
            <w:webHidden/>
          </w:rPr>
          <w:instrText xml:space="preserve"> PAGEREF _Toc121773831 \h </w:instrText>
        </w:r>
        <w:r w:rsidR="00B40C77" w:rsidRPr="00BD16B4">
          <w:rPr>
            <w:webHidden/>
          </w:rPr>
        </w:r>
        <w:r w:rsidR="00B40C77" w:rsidRPr="00BD16B4">
          <w:rPr>
            <w:webHidden/>
          </w:rPr>
          <w:fldChar w:fldCharType="separate"/>
        </w:r>
        <w:r w:rsidR="00A60C35">
          <w:rPr>
            <w:noProof/>
            <w:webHidden/>
          </w:rPr>
          <w:t>372</w:t>
        </w:r>
        <w:r w:rsidR="00B40C77" w:rsidRPr="00BD16B4">
          <w:rPr>
            <w:webHidden/>
          </w:rPr>
          <w:fldChar w:fldCharType="end"/>
        </w:r>
      </w:hyperlink>
    </w:p>
    <w:p w14:paraId="24252E6F" w14:textId="1B8A58A2" w:rsidR="00B40C77" w:rsidRPr="00BD16B4" w:rsidRDefault="00FC49D2">
      <w:pPr>
        <w:pStyle w:val="TableofFigures"/>
        <w:tabs>
          <w:tab w:val="right" w:pos="8495"/>
        </w:tabs>
        <w:rPr>
          <w:rFonts w:asciiTheme="minorHAnsi" w:hAnsiTheme="minorHAnsi"/>
        </w:rPr>
      </w:pPr>
      <w:hyperlink w:anchor="_Toc121773832" w:history="1">
        <w:r w:rsidR="00B40C77" w:rsidRPr="00BD16B4">
          <w:rPr>
            <w:rStyle w:val="Hyperlink"/>
          </w:rPr>
          <w:t>Table A.2:</w:t>
        </w:r>
        <w:r w:rsidR="00B40C77" w:rsidRPr="00BD16B4">
          <w:rPr>
            <w:rFonts w:asciiTheme="minorHAnsi" w:hAnsiTheme="minorHAnsi"/>
          </w:rPr>
          <w:tab/>
        </w:r>
        <w:r w:rsidR="00B40C77" w:rsidRPr="00BD16B4">
          <w:rPr>
            <w:rStyle w:val="Hyperlink"/>
          </w:rPr>
          <w:t>Emissions trends (CO</w:t>
        </w:r>
        <w:r w:rsidR="00B40C77" w:rsidRPr="00BD16B4">
          <w:rPr>
            <w:rStyle w:val="Hyperlink"/>
            <w:vertAlign w:val="subscript"/>
          </w:rPr>
          <w:t>2</w:t>
        </w:r>
        <w:r w:rsidR="00B40C77" w:rsidRPr="00BD16B4">
          <w:rPr>
            <w:rStyle w:val="Hyperlink"/>
          </w:rPr>
          <w:t>) (CTF Table 1(a)) (three parts)</w:t>
        </w:r>
        <w:r w:rsidR="00B40C77" w:rsidRPr="00BD16B4">
          <w:rPr>
            <w:webHidden/>
          </w:rPr>
          <w:tab/>
        </w:r>
        <w:r w:rsidR="00B40C77" w:rsidRPr="00BD16B4">
          <w:rPr>
            <w:webHidden/>
          </w:rPr>
          <w:fldChar w:fldCharType="begin"/>
        </w:r>
        <w:r w:rsidR="00B40C77" w:rsidRPr="00BD16B4">
          <w:rPr>
            <w:webHidden/>
          </w:rPr>
          <w:instrText xml:space="preserve"> PAGEREF _Toc121773832 \h </w:instrText>
        </w:r>
        <w:r w:rsidR="00B40C77" w:rsidRPr="00BD16B4">
          <w:rPr>
            <w:webHidden/>
          </w:rPr>
        </w:r>
        <w:r w:rsidR="00B40C77" w:rsidRPr="00BD16B4">
          <w:rPr>
            <w:webHidden/>
          </w:rPr>
          <w:fldChar w:fldCharType="separate"/>
        </w:r>
        <w:r w:rsidR="00A60C35">
          <w:rPr>
            <w:noProof/>
            <w:webHidden/>
          </w:rPr>
          <w:t>377</w:t>
        </w:r>
        <w:r w:rsidR="00B40C77" w:rsidRPr="00BD16B4">
          <w:rPr>
            <w:webHidden/>
          </w:rPr>
          <w:fldChar w:fldCharType="end"/>
        </w:r>
      </w:hyperlink>
    </w:p>
    <w:p w14:paraId="41732E44" w14:textId="5EA0192B" w:rsidR="00B40C77" w:rsidRPr="00BD16B4" w:rsidRDefault="00FC49D2">
      <w:pPr>
        <w:pStyle w:val="TableofFigures"/>
        <w:tabs>
          <w:tab w:val="right" w:pos="8495"/>
        </w:tabs>
        <w:rPr>
          <w:rFonts w:asciiTheme="minorHAnsi" w:hAnsiTheme="minorHAnsi"/>
        </w:rPr>
      </w:pPr>
      <w:hyperlink w:anchor="_Toc121773833" w:history="1">
        <w:r w:rsidR="00B40C77" w:rsidRPr="00BD16B4">
          <w:rPr>
            <w:rStyle w:val="Hyperlink"/>
          </w:rPr>
          <w:t>Table A.3:</w:t>
        </w:r>
        <w:r w:rsidR="00B40C77" w:rsidRPr="00BD16B4">
          <w:rPr>
            <w:rFonts w:asciiTheme="minorHAnsi" w:hAnsiTheme="minorHAnsi"/>
          </w:rPr>
          <w:tab/>
        </w:r>
        <w:r w:rsidR="00B40C77" w:rsidRPr="00BD16B4">
          <w:rPr>
            <w:rStyle w:val="Hyperlink"/>
          </w:rPr>
          <w:t>Emissions trends (CH</w:t>
        </w:r>
        <w:r w:rsidR="00B40C77" w:rsidRPr="00BD16B4">
          <w:rPr>
            <w:rStyle w:val="Hyperlink"/>
            <w:vertAlign w:val="subscript"/>
          </w:rPr>
          <w:t>4</w:t>
        </w:r>
        <w:r w:rsidR="00B40C77" w:rsidRPr="00BD16B4">
          <w:rPr>
            <w:rStyle w:val="Hyperlink"/>
          </w:rPr>
          <w:t>) (CTF Table 1(b) (three parts)</w:t>
        </w:r>
        <w:r w:rsidR="00B40C77" w:rsidRPr="00BD16B4">
          <w:rPr>
            <w:webHidden/>
          </w:rPr>
          <w:tab/>
        </w:r>
        <w:r w:rsidR="00B40C77" w:rsidRPr="00BD16B4">
          <w:rPr>
            <w:webHidden/>
          </w:rPr>
          <w:fldChar w:fldCharType="begin"/>
        </w:r>
        <w:r w:rsidR="00B40C77" w:rsidRPr="00BD16B4">
          <w:rPr>
            <w:webHidden/>
          </w:rPr>
          <w:instrText xml:space="preserve"> PAGEREF _Toc121773833 \h </w:instrText>
        </w:r>
        <w:r w:rsidR="00B40C77" w:rsidRPr="00BD16B4">
          <w:rPr>
            <w:webHidden/>
          </w:rPr>
        </w:r>
        <w:r w:rsidR="00B40C77" w:rsidRPr="00BD16B4">
          <w:rPr>
            <w:webHidden/>
          </w:rPr>
          <w:fldChar w:fldCharType="separate"/>
        </w:r>
        <w:r w:rsidR="00A60C35">
          <w:rPr>
            <w:noProof/>
            <w:webHidden/>
          </w:rPr>
          <w:t>385</w:t>
        </w:r>
        <w:r w:rsidR="00B40C77" w:rsidRPr="00BD16B4">
          <w:rPr>
            <w:webHidden/>
          </w:rPr>
          <w:fldChar w:fldCharType="end"/>
        </w:r>
      </w:hyperlink>
    </w:p>
    <w:p w14:paraId="7AC2CDA7" w14:textId="77F4AC4A" w:rsidR="00B40C77" w:rsidRPr="00BD16B4" w:rsidRDefault="00FC49D2">
      <w:pPr>
        <w:pStyle w:val="TableofFigures"/>
        <w:tabs>
          <w:tab w:val="right" w:pos="8495"/>
        </w:tabs>
        <w:rPr>
          <w:rFonts w:asciiTheme="minorHAnsi" w:hAnsiTheme="minorHAnsi"/>
        </w:rPr>
      </w:pPr>
      <w:hyperlink w:anchor="_Toc121773834" w:history="1">
        <w:r w:rsidR="00B40C77" w:rsidRPr="00BD16B4">
          <w:rPr>
            <w:rStyle w:val="Hyperlink"/>
          </w:rPr>
          <w:t>Table A.4:</w:t>
        </w:r>
        <w:r w:rsidR="00B40C77" w:rsidRPr="00BD16B4">
          <w:rPr>
            <w:rFonts w:asciiTheme="minorHAnsi" w:hAnsiTheme="minorHAnsi"/>
          </w:rPr>
          <w:tab/>
        </w:r>
        <w:r w:rsidR="00B40C77" w:rsidRPr="00BD16B4">
          <w:rPr>
            <w:rStyle w:val="Hyperlink"/>
          </w:rPr>
          <w:t>Emissions trends (N</w:t>
        </w:r>
        <w:r w:rsidR="00B40C77" w:rsidRPr="00BD16B4">
          <w:rPr>
            <w:rStyle w:val="Hyperlink"/>
            <w:vertAlign w:val="subscript"/>
          </w:rPr>
          <w:t>2</w:t>
        </w:r>
        <w:r w:rsidR="00B40C77" w:rsidRPr="00BD16B4">
          <w:rPr>
            <w:rStyle w:val="Hyperlink"/>
          </w:rPr>
          <w:t>O) (CTF Table 1(c)) (three parts)</w:t>
        </w:r>
        <w:r w:rsidR="00B40C77" w:rsidRPr="00BD16B4">
          <w:rPr>
            <w:webHidden/>
          </w:rPr>
          <w:tab/>
        </w:r>
        <w:r w:rsidR="00B40C77" w:rsidRPr="00BD16B4">
          <w:rPr>
            <w:webHidden/>
          </w:rPr>
          <w:fldChar w:fldCharType="begin"/>
        </w:r>
        <w:r w:rsidR="00B40C77" w:rsidRPr="00BD16B4">
          <w:rPr>
            <w:webHidden/>
          </w:rPr>
          <w:instrText xml:space="preserve"> PAGEREF _Toc121773834 \h </w:instrText>
        </w:r>
        <w:r w:rsidR="00B40C77" w:rsidRPr="00BD16B4">
          <w:rPr>
            <w:webHidden/>
          </w:rPr>
        </w:r>
        <w:r w:rsidR="00B40C77" w:rsidRPr="00BD16B4">
          <w:rPr>
            <w:webHidden/>
          </w:rPr>
          <w:fldChar w:fldCharType="separate"/>
        </w:r>
        <w:r w:rsidR="00A60C35">
          <w:rPr>
            <w:noProof/>
            <w:webHidden/>
          </w:rPr>
          <w:t>392</w:t>
        </w:r>
        <w:r w:rsidR="00B40C77" w:rsidRPr="00BD16B4">
          <w:rPr>
            <w:webHidden/>
          </w:rPr>
          <w:fldChar w:fldCharType="end"/>
        </w:r>
      </w:hyperlink>
    </w:p>
    <w:p w14:paraId="1E586F8A" w14:textId="29F5DFE6" w:rsidR="00B40C77" w:rsidRPr="00BD16B4" w:rsidRDefault="00FC49D2">
      <w:pPr>
        <w:pStyle w:val="TableofFigures"/>
        <w:tabs>
          <w:tab w:val="right" w:pos="8495"/>
        </w:tabs>
        <w:rPr>
          <w:rFonts w:asciiTheme="minorHAnsi" w:hAnsiTheme="minorHAnsi"/>
        </w:rPr>
      </w:pPr>
      <w:hyperlink w:anchor="_Toc121773835" w:history="1">
        <w:r w:rsidR="00B40C77" w:rsidRPr="00BD16B4">
          <w:rPr>
            <w:rStyle w:val="Hyperlink"/>
          </w:rPr>
          <w:t>Table A.5:</w:t>
        </w:r>
        <w:r w:rsidR="00B40C77" w:rsidRPr="00BD16B4">
          <w:rPr>
            <w:rFonts w:asciiTheme="minorHAnsi" w:hAnsiTheme="minorHAnsi"/>
          </w:rPr>
          <w:tab/>
        </w:r>
        <w:r w:rsidR="00B40C77" w:rsidRPr="00BD16B4">
          <w:rPr>
            <w:rStyle w:val="Hyperlink"/>
          </w:rPr>
          <w:t>Emissions trends (HFCs, PFCs and SF</w:t>
        </w:r>
        <w:r w:rsidR="00B40C77" w:rsidRPr="00BD16B4">
          <w:rPr>
            <w:rStyle w:val="Hyperlink"/>
            <w:vertAlign w:val="subscript"/>
          </w:rPr>
          <w:t>6</w:t>
        </w:r>
        <w:r w:rsidR="00B40C77" w:rsidRPr="00BD16B4">
          <w:rPr>
            <w:rStyle w:val="Hyperlink"/>
          </w:rPr>
          <w:t>) (CTF Table 1(d)) (three parts)</w:t>
        </w:r>
        <w:r w:rsidR="00B40C77" w:rsidRPr="00BD16B4">
          <w:rPr>
            <w:webHidden/>
          </w:rPr>
          <w:tab/>
        </w:r>
        <w:r w:rsidR="00B40C77" w:rsidRPr="00BD16B4">
          <w:rPr>
            <w:webHidden/>
          </w:rPr>
          <w:fldChar w:fldCharType="begin"/>
        </w:r>
        <w:r w:rsidR="00B40C77" w:rsidRPr="00BD16B4">
          <w:rPr>
            <w:webHidden/>
          </w:rPr>
          <w:instrText xml:space="preserve"> PAGEREF _Toc121773835 \h </w:instrText>
        </w:r>
        <w:r w:rsidR="00B40C77" w:rsidRPr="00BD16B4">
          <w:rPr>
            <w:webHidden/>
          </w:rPr>
        </w:r>
        <w:r w:rsidR="00B40C77" w:rsidRPr="00BD16B4">
          <w:rPr>
            <w:webHidden/>
          </w:rPr>
          <w:fldChar w:fldCharType="separate"/>
        </w:r>
        <w:r w:rsidR="00A60C35">
          <w:rPr>
            <w:noProof/>
            <w:webHidden/>
          </w:rPr>
          <w:t>399</w:t>
        </w:r>
        <w:r w:rsidR="00B40C77" w:rsidRPr="00BD16B4">
          <w:rPr>
            <w:webHidden/>
          </w:rPr>
          <w:fldChar w:fldCharType="end"/>
        </w:r>
      </w:hyperlink>
    </w:p>
    <w:p w14:paraId="41BBBBF4" w14:textId="5871F5D7" w:rsidR="00B40C77" w:rsidRPr="00BD16B4" w:rsidRDefault="00FC49D2">
      <w:pPr>
        <w:pStyle w:val="TableofFigures"/>
        <w:tabs>
          <w:tab w:val="right" w:pos="8495"/>
        </w:tabs>
        <w:rPr>
          <w:rFonts w:asciiTheme="minorHAnsi" w:hAnsiTheme="minorHAnsi"/>
        </w:rPr>
      </w:pPr>
      <w:hyperlink w:anchor="_Toc121773836" w:history="1">
        <w:r w:rsidR="00B40C77" w:rsidRPr="00BD16B4">
          <w:rPr>
            <w:rStyle w:val="Hyperlink"/>
          </w:rPr>
          <w:t>Table B.1:</w:t>
        </w:r>
        <w:r w:rsidR="00B40C77" w:rsidRPr="00BD16B4">
          <w:rPr>
            <w:rFonts w:asciiTheme="minorHAnsi" w:hAnsiTheme="minorHAnsi"/>
          </w:rPr>
          <w:tab/>
        </w:r>
        <w:r w:rsidR="00B40C77" w:rsidRPr="00BD16B4">
          <w:rPr>
            <w:rStyle w:val="Hyperlink"/>
          </w:rPr>
          <w:t>Quality assurance and quality control processes used in preparation of the inventory</w:t>
        </w:r>
        <w:r w:rsidR="00B40C77" w:rsidRPr="00BD16B4">
          <w:rPr>
            <w:webHidden/>
          </w:rPr>
          <w:tab/>
        </w:r>
        <w:r w:rsidR="00B40C77" w:rsidRPr="00BD16B4">
          <w:rPr>
            <w:webHidden/>
          </w:rPr>
          <w:fldChar w:fldCharType="begin"/>
        </w:r>
        <w:r w:rsidR="00B40C77" w:rsidRPr="00BD16B4">
          <w:rPr>
            <w:webHidden/>
          </w:rPr>
          <w:instrText xml:space="preserve"> PAGEREF _Toc121773836 \h </w:instrText>
        </w:r>
        <w:r w:rsidR="00B40C77" w:rsidRPr="00BD16B4">
          <w:rPr>
            <w:webHidden/>
          </w:rPr>
        </w:r>
        <w:r w:rsidR="00B40C77" w:rsidRPr="00BD16B4">
          <w:rPr>
            <w:webHidden/>
          </w:rPr>
          <w:fldChar w:fldCharType="separate"/>
        </w:r>
        <w:r w:rsidR="00A60C35">
          <w:rPr>
            <w:noProof/>
            <w:webHidden/>
          </w:rPr>
          <w:t>417</w:t>
        </w:r>
        <w:r w:rsidR="00B40C77" w:rsidRPr="00BD16B4">
          <w:rPr>
            <w:webHidden/>
          </w:rPr>
          <w:fldChar w:fldCharType="end"/>
        </w:r>
      </w:hyperlink>
    </w:p>
    <w:p w14:paraId="5A2649AB" w14:textId="0B2E2B8B" w:rsidR="00B40C77" w:rsidRPr="00BD16B4" w:rsidRDefault="00FC49D2">
      <w:pPr>
        <w:pStyle w:val="TableofFigures"/>
        <w:tabs>
          <w:tab w:val="right" w:pos="8495"/>
        </w:tabs>
        <w:rPr>
          <w:rFonts w:asciiTheme="minorHAnsi" w:hAnsiTheme="minorHAnsi"/>
        </w:rPr>
      </w:pPr>
      <w:hyperlink w:anchor="_Toc121773837" w:history="1">
        <w:r w:rsidR="00B40C77" w:rsidRPr="00BD16B4">
          <w:rPr>
            <w:rStyle w:val="Hyperlink"/>
            <w:rFonts w:eastAsia="Calibri"/>
          </w:rPr>
          <w:t>Table B.2:</w:t>
        </w:r>
        <w:r w:rsidR="00B40C77" w:rsidRPr="00BD16B4">
          <w:rPr>
            <w:rFonts w:asciiTheme="minorHAnsi" w:hAnsiTheme="minorHAnsi"/>
          </w:rPr>
          <w:tab/>
        </w:r>
        <w:r w:rsidR="00B40C77" w:rsidRPr="00BD16B4">
          <w:rPr>
            <w:rStyle w:val="Hyperlink"/>
            <w:rFonts w:eastAsia="Calibri"/>
          </w:rPr>
          <w:t>Database backup process for the</w:t>
        </w:r>
        <w:r w:rsidR="00B40C77" w:rsidRPr="00BD16B4">
          <w:rPr>
            <w:rStyle w:val="Hyperlink"/>
            <w:rFonts w:cs="Arial"/>
          </w:rPr>
          <w:t xml:space="preserve"> </w:t>
        </w:r>
        <w:r w:rsidR="00B40C77" w:rsidRPr="00BD16B4">
          <w:rPr>
            <w:rStyle w:val="Hyperlink"/>
          </w:rPr>
          <w:t>New Zealand Emissions Trading Register</w:t>
        </w:r>
        <w:r w:rsidR="00B40C77" w:rsidRPr="00BD16B4">
          <w:rPr>
            <w:webHidden/>
          </w:rPr>
          <w:tab/>
        </w:r>
        <w:r w:rsidR="00B40C77" w:rsidRPr="00BD16B4">
          <w:rPr>
            <w:webHidden/>
          </w:rPr>
          <w:fldChar w:fldCharType="begin"/>
        </w:r>
        <w:r w:rsidR="00B40C77" w:rsidRPr="00BD16B4">
          <w:rPr>
            <w:webHidden/>
          </w:rPr>
          <w:instrText xml:space="preserve"> PAGEREF _Toc121773837 \h </w:instrText>
        </w:r>
        <w:r w:rsidR="00B40C77" w:rsidRPr="00BD16B4">
          <w:rPr>
            <w:webHidden/>
          </w:rPr>
        </w:r>
        <w:r w:rsidR="00B40C77" w:rsidRPr="00BD16B4">
          <w:rPr>
            <w:webHidden/>
          </w:rPr>
          <w:fldChar w:fldCharType="separate"/>
        </w:r>
        <w:r w:rsidR="00A60C35">
          <w:rPr>
            <w:noProof/>
            <w:webHidden/>
          </w:rPr>
          <w:t>428</w:t>
        </w:r>
        <w:r w:rsidR="00B40C77" w:rsidRPr="00BD16B4">
          <w:rPr>
            <w:webHidden/>
          </w:rPr>
          <w:fldChar w:fldCharType="end"/>
        </w:r>
      </w:hyperlink>
    </w:p>
    <w:p w14:paraId="09E510A6" w14:textId="645A39C1" w:rsidR="00B40C77" w:rsidRPr="00BD16B4" w:rsidRDefault="00FC49D2">
      <w:pPr>
        <w:pStyle w:val="TableofFigures"/>
        <w:tabs>
          <w:tab w:val="right" w:pos="8495"/>
        </w:tabs>
        <w:rPr>
          <w:rFonts w:asciiTheme="minorHAnsi" w:hAnsiTheme="minorHAnsi"/>
        </w:rPr>
      </w:pPr>
      <w:hyperlink w:anchor="_Toc121773838" w:history="1">
        <w:r w:rsidR="00B40C77" w:rsidRPr="00BD16B4">
          <w:rPr>
            <w:rStyle w:val="Hyperlink"/>
          </w:rPr>
          <w:t>Table C.1:</w:t>
        </w:r>
        <w:r w:rsidR="00B40C77" w:rsidRPr="00BD16B4">
          <w:rPr>
            <w:rFonts w:asciiTheme="minorHAnsi" w:hAnsiTheme="minorHAnsi"/>
          </w:rPr>
          <w:tab/>
        </w:r>
        <w:r w:rsidR="00B40C77" w:rsidRPr="00BD16B4">
          <w:rPr>
            <w:rStyle w:val="Hyperlink"/>
          </w:rPr>
          <w:t>Summary of key variables and assumptions used in the projections analysis (CTF Table 5)</w:t>
        </w:r>
        <w:r w:rsidR="00B40C77" w:rsidRPr="00BD16B4">
          <w:rPr>
            <w:webHidden/>
          </w:rPr>
          <w:tab/>
        </w:r>
        <w:r w:rsidR="00B40C77" w:rsidRPr="00BD16B4">
          <w:rPr>
            <w:webHidden/>
          </w:rPr>
          <w:fldChar w:fldCharType="begin"/>
        </w:r>
        <w:r w:rsidR="00B40C77" w:rsidRPr="00BD16B4">
          <w:rPr>
            <w:webHidden/>
          </w:rPr>
          <w:instrText xml:space="preserve"> PAGEREF _Toc121773838 \h </w:instrText>
        </w:r>
        <w:r w:rsidR="00B40C77" w:rsidRPr="00BD16B4">
          <w:rPr>
            <w:webHidden/>
          </w:rPr>
        </w:r>
        <w:r w:rsidR="00B40C77" w:rsidRPr="00BD16B4">
          <w:rPr>
            <w:webHidden/>
          </w:rPr>
          <w:fldChar w:fldCharType="separate"/>
        </w:r>
        <w:r w:rsidR="00A60C35">
          <w:rPr>
            <w:noProof/>
            <w:webHidden/>
          </w:rPr>
          <w:t>433</w:t>
        </w:r>
        <w:r w:rsidR="00B40C77" w:rsidRPr="00BD16B4">
          <w:rPr>
            <w:webHidden/>
          </w:rPr>
          <w:fldChar w:fldCharType="end"/>
        </w:r>
      </w:hyperlink>
    </w:p>
    <w:p w14:paraId="33BC5685" w14:textId="1CDAB98B" w:rsidR="00B40C77" w:rsidRPr="00BD16B4" w:rsidRDefault="00FC49D2">
      <w:pPr>
        <w:pStyle w:val="TableofFigures"/>
        <w:tabs>
          <w:tab w:val="right" w:pos="8495"/>
        </w:tabs>
        <w:rPr>
          <w:rFonts w:asciiTheme="minorHAnsi" w:hAnsiTheme="minorHAnsi"/>
        </w:rPr>
      </w:pPr>
      <w:hyperlink w:anchor="_Toc121773839" w:history="1">
        <w:r w:rsidR="00B40C77" w:rsidRPr="00BD16B4">
          <w:rPr>
            <w:rStyle w:val="Hyperlink"/>
          </w:rPr>
          <w:t>Table C.2.1:</w:t>
        </w:r>
        <w:r w:rsidR="00B40C77" w:rsidRPr="00BD16B4">
          <w:rPr>
            <w:rFonts w:asciiTheme="minorHAnsi" w:hAnsiTheme="minorHAnsi"/>
          </w:rPr>
          <w:tab/>
        </w:r>
        <w:r w:rsidR="00B40C77" w:rsidRPr="00BD16B4">
          <w:rPr>
            <w:rStyle w:val="Hyperlink"/>
          </w:rPr>
          <w:t>Information on updated greenhouse gas emissions (with measures) (CTF Table 6a)</w:t>
        </w:r>
        <w:r w:rsidR="00B40C77" w:rsidRPr="00BD16B4">
          <w:rPr>
            <w:webHidden/>
          </w:rPr>
          <w:tab/>
        </w:r>
        <w:r w:rsidR="00B40C77" w:rsidRPr="00BD16B4">
          <w:rPr>
            <w:webHidden/>
          </w:rPr>
          <w:fldChar w:fldCharType="begin"/>
        </w:r>
        <w:r w:rsidR="00B40C77" w:rsidRPr="00BD16B4">
          <w:rPr>
            <w:webHidden/>
          </w:rPr>
          <w:instrText xml:space="preserve"> PAGEREF _Toc121773839 \h </w:instrText>
        </w:r>
        <w:r w:rsidR="00B40C77" w:rsidRPr="00BD16B4">
          <w:rPr>
            <w:webHidden/>
          </w:rPr>
        </w:r>
        <w:r w:rsidR="00B40C77" w:rsidRPr="00BD16B4">
          <w:rPr>
            <w:webHidden/>
          </w:rPr>
          <w:fldChar w:fldCharType="separate"/>
        </w:r>
        <w:r w:rsidR="00A60C35">
          <w:rPr>
            <w:noProof/>
            <w:webHidden/>
          </w:rPr>
          <w:t>438</w:t>
        </w:r>
        <w:r w:rsidR="00B40C77" w:rsidRPr="00BD16B4">
          <w:rPr>
            <w:webHidden/>
          </w:rPr>
          <w:fldChar w:fldCharType="end"/>
        </w:r>
      </w:hyperlink>
    </w:p>
    <w:p w14:paraId="5B4FF838" w14:textId="1E0FFC36" w:rsidR="00B40C77" w:rsidRPr="00BD16B4" w:rsidRDefault="00FC49D2">
      <w:pPr>
        <w:pStyle w:val="TableofFigures"/>
        <w:tabs>
          <w:tab w:val="right" w:pos="8495"/>
        </w:tabs>
        <w:rPr>
          <w:rFonts w:asciiTheme="minorHAnsi" w:hAnsiTheme="minorHAnsi"/>
        </w:rPr>
      </w:pPr>
      <w:hyperlink w:anchor="_Toc121773840" w:history="1">
        <w:r w:rsidR="00B40C77" w:rsidRPr="00BD16B4">
          <w:rPr>
            <w:rStyle w:val="Hyperlink"/>
          </w:rPr>
          <w:t>Table C.2.2:</w:t>
        </w:r>
        <w:r w:rsidR="00B40C77" w:rsidRPr="00BD16B4">
          <w:rPr>
            <w:rFonts w:asciiTheme="minorHAnsi" w:hAnsiTheme="minorHAnsi"/>
          </w:rPr>
          <w:tab/>
        </w:r>
        <w:r w:rsidR="00B40C77" w:rsidRPr="00BD16B4">
          <w:rPr>
            <w:rStyle w:val="Hyperlink"/>
          </w:rPr>
          <w:t>Information on updated greenhouse gas emissions (without measures) (CTF Table 6b)</w:t>
        </w:r>
        <w:r w:rsidR="00B40C77" w:rsidRPr="00BD16B4">
          <w:rPr>
            <w:webHidden/>
          </w:rPr>
          <w:tab/>
        </w:r>
        <w:r w:rsidR="00B40C77" w:rsidRPr="00BD16B4">
          <w:rPr>
            <w:webHidden/>
          </w:rPr>
          <w:fldChar w:fldCharType="begin"/>
        </w:r>
        <w:r w:rsidR="00B40C77" w:rsidRPr="00BD16B4">
          <w:rPr>
            <w:webHidden/>
          </w:rPr>
          <w:instrText xml:space="preserve"> PAGEREF _Toc121773840 \h </w:instrText>
        </w:r>
        <w:r w:rsidR="00B40C77" w:rsidRPr="00BD16B4">
          <w:rPr>
            <w:webHidden/>
          </w:rPr>
        </w:r>
        <w:r w:rsidR="00B40C77" w:rsidRPr="00BD16B4">
          <w:rPr>
            <w:webHidden/>
          </w:rPr>
          <w:fldChar w:fldCharType="separate"/>
        </w:r>
        <w:r w:rsidR="00A60C35">
          <w:rPr>
            <w:noProof/>
            <w:webHidden/>
          </w:rPr>
          <w:t>439</w:t>
        </w:r>
        <w:r w:rsidR="00B40C77" w:rsidRPr="00BD16B4">
          <w:rPr>
            <w:webHidden/>
          </w:rPr>
          <w:fldChar w:fldCharType="end"/>
        </w:r>
      </w:hyperlink>
    </w:p>
    <w:p w14:paraId="25F25642" w14:textId="765B62BA" w:rsidR="00B40C77" w:rsidRPr="00BD16B4" w:rsidRDefault="00FC49D2">
      <w:pPr>
        <w:pStyle w:val="TableofFigures"/>
        <w:tabs>
          <w:tab w:val="right" w:pos="8495"/>
        </w:tabs>
        <w:rPr>
          <w:rFonts w:asciiTheme="minorHAnsi" w:hAnsiTheme="minorHAnsi"/>
        </w:rPr>
      </w:pPr>
      <w:hyperlink w:anchor="_Toc121773841" w:history="1">
        <w:r w:rsidR="00B40C77" w:rsidRPr="00BD16B4">
          <w:rPr>
            <w:rStyle w:val="Hyperlink"/>
          </w:rPr>
          <w:t>Table C.2.3:</w:t>
        </w:r>
        <w:r w:rsidR="00B40C77" w:rsidRPr="00BD16B4">
          <w:rPr>
            <w:rFonts w:asciiTheme="minorHAnsi" w:hAnsiTheme="minorHAnsi"/>
          </w:rPr>
          <w:tab/>
        </w:r>
        <w:r w:rsidR="00B40C77" w:rsidRPr="00BD16B4">
          <w:rPr>
            <w:rStyle w:val="Hyperlink"/>
          </w:rPr>
          <w:t>Information on updated greenhouse gas emissions (with additional measures) (CTF Table 6c)</w:t>
        </w:r>
        <w:r w:rsidR="00B40C77" w:rsidRPr="00BD16B4">
          <w:rPr>
            <w:webHidden/>
          </w:rPr>
          <w:tab/>
        </w:r>
        <w:r w:rsidR="00B40C77" w:rsidRPr="00BD16B4">
          <w:rPr>
            <w:webHidden/>
          </w:rPr>
          <w:fldChar w:fldCharType="begin"/>
        </w:r>
        <w:r w:rsidR="00B40C77" w:rsidRPr="00BD16B4">
          <w:rPr>
            <w:webHidden/>
          </w:rPr>
          <w:instrText xml:space="preserve"> PAGEREF _Toc121773841 \h </w:instrText>
        </w:r>
        <w:r w:rsidR="00B40C77" w:rsidRPr="00BD16B4">
          <w:rPr>
            <w:webHidden/>
          </w:rPr>
        </w:r>
        <w:r w:rsidR="00B40C77" w:rsidRPr="00BD16B4">
          <w:rPr>
            <w:webHidden/>
          </w:rPr>
          <w:fldChar w:fldCharType="separate"/>
        </w:r>
        <w:r w:rsidR="00A60C35">
          <w:rPr>
            <w:noProof/>
            <w:webHidden/>
          </w:rPr>
          <w:t>441</w:t>
        </w:r>
        <w:r w:rsidR="00B40C77" w:rsidRPr="00BD16B4">
          <w:rPr>
            <w:webHidden/>
          </w:rPr>
          <w:fldChar w:fldCharType="end"/>
        </w:r>
      </w:hyperlink>
    </w:p>
    <w:p w14:paraId="5CE3FA9E" w14:textId="0E5CA57D" w:rsidR="00B40C77" w:rsidRPr="00BD16B4" w:rsidRDefault="00FC49D2">
      <w:pPr>
        <w:pStyle w:val="TableofFigures"/>
        <w:tabs>
          <w:tab w:val="right" w:pos="8495"/>
        </w:tabs>
        <w:rPr>
          <w:rFonts w:asciiTheme="minorHAnsi" w:hAnsiTheme="minorHAnsi"/>
        </w:rPr>
      </w:pPr>
      <w:hyperlink w:anchor="_Toc121773842" w:history="1">
        <w:r w:rsidR="00B40C77" w:rsidRPr="00BD16B4">
          <w:rPr>
            <w:rStyle w:val="Hyperlink"/>
          </w:rPr>
          <w:t>Table D.1:</w:t>
        </w:r>
        <w:r w:rsidR="00B40C77" w:rsidRPr="00BD16B4">
          <w:rPr>
            <w:rFonts w:asciiTheme="minorHAnsi" w:hAnsiTheme="minorHAnsi"/>
          </w:rPr>
          <w:tab/>
        </w:r>
        <w:r w:rsidR="00B40C77" w:rsidRPr="00BD16B4">
          <w:rPr>
            <w:rStyle w:val="Hyperlink"/>
          </w:rPr>
          <w:t>GCOS-relevant data sets and archives in New Zealand (not a comprehensive list)</w:t>
        </w:r>
        <w:r w:rsidR="00B40C77" w:rsidRPr="00BD16B4">
          <w:rPr>
            <w:webHidden/>
          </w:rPr>
          <w:tab/>
        </w:r>
        <w:r w:rsidR="00B40C77" w:rsidRPr="00BD16B4">
          <w:rPr>
            <w:webHidden/>
          </w:rPr>
          <w:fldChar w:fldCharType="begin"/>
        </w:r>
        <w:r w:rsidR="00B40C77" w:rsidRPr="00BD16B4">
          <w:rPr>
            <w:webHidden/>
          </w:rPr>
          <w:instrText xml:space="preserve"> PAGEREF _Toc121773842 \h </w:instrText>
        </w:r>
        <w:r w:rsidR="00B40C77" w:rsidRPr="00BD16B4">
          <w:rPr>
            <w:webHidden/>
          </w:rPr>
        </w:r>
        <w:r w:rsidR="00B40C77" w:rsidRPr="00BD16B4">
          <w:rPr>
            <w:webHidden/>
          </w:rPr>
          <w:fldChar w:fldCharType="separate"/>
        </w:r>
        <w:r w:rsidR="00A60C35">
          <w:rPr>
            <w:noProof/>
            <w:webHidden/>
          </w:rPr>
          <w:t>450</w:t>
        </w:r>
        <w:r w:rsidR="00B40C77" w:rsidRPr="00BD16B4">
          <w:rPr>
            <w:webHidden/>
          </w:rPr>
          <w:fldChar w:fldCharType="end"/>
        </w:r>
      </w:hyperlink>
    </w:p>
    <w:p w14:paraId="358ECCCB" w14:textId="311254AB" w:rsidR="00987F0B" w:rsidRPr="00BD16B4" w:rsidRDefault="00987F0B" w:rsidP="00987F0B">
      <w:pPr>
        <w:pStyle w:val="BodyText"/>
      </w:pPr>
      <w:r w:rsidRPr="00BD16B4">
        <w:fldChar w:fldCharType="end"/>
      </w:r>
    </w:p>
    <w:p w14:paraId="42535C6A" w14:textId="77777777" w:rsidR="00987F0B" w:rsidRPr="00BD16B4" w:rsidRDefault="00987F0B" w:rsidP="00987F0B"/>
    <w:p w14:paraId="772DC68F" w14:textId="77777777" w:rsidR="00991B9C" w:rsidRPr="00BD16B4" w:rsidRDefault="00991B9C" w:rsidP="00991B9C">
      <w:pPr>
        <w:pStyle w:val="BodyText"/>
      </w:pPr>
      <w:r w:rsidRPr="00BD16B4">
        <w:br w:type="page"/>
      </w:r>
    </w:p>
    <w:p w14:paraId="130D3217" w14:textId="32BC26EB" w:rsidR="00987F0B" w:rsidRPr="00BD16B4" w:rsidRDefault="00987F0B" w:rsidP="00987F0B">
      <w:pPr>
        <w:pStyle w:val="Heading"/>
      </w:pPr>
      <w:r w:rsidRPr="00BD16B4">
        <w:lastRenderedPageBreak/>
        <w:t>Figures</w:t>
      </w:r>
    </w:p>
    <w:p w14:paraId="243B8B6D" w14:textId="68B5AB0A" w:rsidR="00DC334F" w:rsidRPr="00BD16B4" w:rsidRDefault="00987F0B">
      <w:pPr>
        <w:pStyle w:val="TableofFigures"/>
        <w:tabs>
          <w:tab w:val="right" w:pos="8495"/>
        </w:tabs>
        <w:rPr>
          <w:rFonts w:asciiTheme="minorHAnsi" w:hAnsiTheme="minorHAnsi"/>
        </w:rPr>
      </w:pPr>
      <w:r w:rsidRPr="00BD16B4">
        <w:fldChar w:fldCharType="begin"/>
      </w:r>
      <w:r w:rsidRPr="00BD16B4">
        <w:instrText xml:space="preserve"> TOC \h \z \t "Figure heading" \c </w:instrText>
      </w:r>
      <w:r w:rsidRPr="00BD16B4">
        <w:fldChar w:fldCharType="separate"/>
      </w:r>
      <w:hyperlink w:anchor="_Toc121494367" w:history="1">
        <w:r w:rsidR="00DC334F" w:rsidRPr="00BD16B4">
          <w:rPr>
            <w:rStyle w:val="Hyperlink"/>
          </w:rPr>
          <w:t>Figure 2.1:</w:t>
        </w:r>
        <w:r w:rsidR="00DC334F" w:rsidRPr="00BD16B4">
          <w:rPr>
            <w:rFonts w:asciiTheme="minorHAnsi" w:hAnsiTheme="minorHAnsi"/>
          </w:rPr>
          <w:tab/>
        </w:r>
        <w:r w:rsidR="00DC334F" w:rsidRPr="00BD16B4">
          <w:rPr>
            <w:rStyle w:val="Hyperlink"/>
          </w:rPr>
          <w:t>Land covers in New Zealand, 2020</w:t>
        </w:r>
        <w:r w:rsidR="00DC334F" w:rsidRPr="00BD16B4">
          <w:rPr>
            <w:webHidden/>
          </w:rPr>
          <w:tab/>
        </w:r>
        <w:r w:rsidR="00DC334F" w:rsidRPr="00BD16B4">
          <w:rPr>
            <w:webHidden/>
          </w:rPr>
          <w:fldChar w:fldCharType="begin"/>
        </w:r>
        <w:r w:rsidR="00DC334F" w:rsidRPr="00BD16B4">
          <w:rPr>
            <w:webHidden/>
          </w:rPr>
          <w:instrText xml:space="preserve"> PAGEREF _Toc121494367 \h </w:instrText>
        </w:r>
        <w:r w:rsidR="00DC334F" w:rsidRPr="00BD16B4">
          <w:rPr>
            <w:webHidden/>
          </w:rPr>
        </w:r>
        <w:r w:rsidR="00DC334F" w:rsidRPr="00BD16B4">
          <w:rPr>
            <w:webHidden/>
          </w:rPr>
          <w:fldChar w:fldCharType="separate"/>
        </w:r>
        <w:r w:rsidR="00A60C35">
          <w:rPr>
            <w:noProof/>
            <w:webHidden/>
          </w:rPr>
          <w:t>30</w:t>
        </w:r>
        <w:r w:rsidR="00DC334F" w:rsidRPr="00BD16B4">
          <w:rPr>
            <w:webHidden/>
          </w:rPr>
          <w:fldChar w:fldCharType="end"/>
        </w:r>
      </w:hyperlink>
    </w:p>
    <w:p w14:paraId="1B609F61" w14:textId="7D089922" w:rsidR="00DC334F" w:rsidRPr="00BD16B4" w:rsidRDefault="00FC49D2">
      <w:pPr>
        <w:pStyle w:val="TableofFigures"/>
        <w:tabs>
          <w:tab w:val="right" w:pos="8495"/>
        </w:tabs>
        <w:rPr>
          <w:rFonts w:asciiTheme="minorHAnsi" w:hAnsiTheme="minorHAnsi"/>
        </w:rPr>
      </w:pPr>
      <w:hyperlink w:anchor="_Toc121494368" w:history="1">
        <w:r w:rsidR="00DC334F" w:rsidRPr="00BD16B4">
          <w:rPr>
            <w:rStyle w:val="Hyperlink"/>
          </w:rPr>
          <w:t>Figure 2.2:</w:t>
        </w:r>
        <w:r w:rsidR="00DC334F" w:rsidRPr="00BD16B4">
          <w:rPr>
            <w:rFonts w:asciiTheme="minorHAnsi" w:hAnsiTheme="minorHAnsi"/>
          </w:rPr>
          <w:tab/>
        </w:r>
        <w:r w:rsidR="00DC334F" w:rsidRPr="00BD16B4">
          <w:rPr>
            <w:rStyle w:val="Hyperlink"/>
          </w:rPr>
          <w:t>Annual population growth rate, 1953–2073</w:t>
        </w:r>
        <w:r w:rsidR="00DC334F" w:rsidRPr="00BD16B4">
          <w:rPr>
            <w:webHidden/>
          </w:rPr>
          <w:tab/>
        </w:r>
        <w:r w:rsidR="00DC334F" w:rsidRPr="00BD16B4">
          <w:rPr>
            <w:webHidden/>
          </w:rPr>
          <w:fldChar w:fldCharType="begin"/>
        </w:r>
        <w:r w:rsidR="00DC334F" w:rsidRPr="00BD16B4">
          <w:rPr>
            <w:webHidden/>
          </w:rPr>
          <w:instrText xml:space="preserve"> PAGEREF _Toc121494368 \h </w:instrText>
        </w:r>
        <w:r w:rsidR="00DC334F" w:rsidRPr="00BD16B4">
          <w:rPr>
            <w:webHidden/>
          </w:rPr>
        </w:r>
        <w:r w:rsidR="00DC334F" w:rsidRPr="00BD16B4">
          <w:rPr>
            <w:webHidden/>
          </w:rPr>
          <w:fldChar w:fldCharType="separate"/>
        </w:r>
        <w:r w:rsidR="00A60C35">
          <w:rPr>
            <w:noProof/>
            <w:webHidden/>
          </w:rPr>
          <w:t>31</w:t>
        </w:r>
        <w:r w:rsidR="00DC334F" w:rsidRPr="00BD16B4">
          <w:rPr>
            <w:webHidden/>
          </w:rPr>
          <w:fldChar w:fldCharType="end"/>
        </w:r>
      </w:hyperlink>
    </w:p>
    <w:p w14:paraId="64CF0A5A" w14:textId="49D4EAF5" w:rsidR="00DC334F" w:rsidRPr="00BD16B4" w:rsidRDefault="00FC49D2">
      <w:pPr>
        <w:pStyle w:val="TableofFigures"/>
        <w:tabs>
          <w:tab w:val="right" w:pos="8495"/>
        </w:tabs>
        <w:rPr>
          <w:rFonts w:asciiTheme="minorHAnsi" w:hAnsiTheme="minorHAnsi"/>
        </w:rPr>
      </w:pPr>
      <w:hyperlink w:anchor="_Toc121494369" w:history="1">
        <w:r w:rsidR="00DC334F" w:rsidRPr="00BD16B4">
          <w:rPr>
            <w:rStyle w:val="Hyperlink"/>
          </w:rPr>
          <w:t>Figure 2.3:</w:t>
        </w:r>
        <w:r w:rsidR="00DC334F" w:rsidRPr="00BD16B4">
          <w:rPr>
            <w:rFonts w:asciiTheme="minorHAnsi" w:hAnsiTheme="minorHAnsi"/>
          </w:rPr>
          <w:tab/>
        </w:r>
        <w:r w:rsidR="00DC334F" w:rsidRPr="00BD16B4">
          <w:rPr>
            <w:rStyle w:val="Hyperlink"/>
          </w:rPr>
          <w:t xml:space="preserve">Gross domestic product, quarterly and annual growth rates, March </w:t>
        </w:r>
        <w:r w:rsidR="00191389" w:rsidRPr="00BD16B4">
          <w:rPr>
            <w:rStyle w:val="Hyperlink"/>
          </w:rPr>
          <w:br/>
        </w:r>
        <w:r w:rsidR="00DC334F" w:rsidRPr="00BD16B4">
          <w:rPr>
            <w:rStyle w:val="Hyperlink"/>
          </w:rPr>
          <w:t>2016 – March 2022</w:t>
        </w:r>
        <w:r w:rsidR="00DC334F" w:rsidRPr="00BD16B4">
          <w:rPr>
            <w:webHidden/>
          </w:rPr>
          <w:tab/>
        </w:r>
        <w:r w:rsidR="00DC334F" w:rsidRPr="00BD16B4">
          <w:rPr>
            <w:webHidden/>
          </w:rPr>
          <w:fldChar w:fldCharType="begin"/>
        </w:r>
        <w:r w:rsidR="00DC334F" w:rsidRPr="00BD16B4">
          <w:rPr>
            <w:webHidden/>
          </w:rPr>
          <w:instrText xml:space="preserve"> PAGEREF _Toc121494369 \h </w:instrText>
        </w:r>
        <w:r w:rsidR="00DC334F" w:rsidRPr="00BD16B4">
          <w:rPr>
            <w:webHidden/>
          </w:rPr>
        </w:r>
        <w:r w:rsidR="00DC334F" w:rsidRPr="00BD16B4">
          <w:rPr>
            <w:webHidden/>
          </w:rPr>
          <w:fldChar w:fldCharType="separate"/>
        </w:r>
        <w:r w:rsidR="00A60C35">
          <w:rPr>
            <w:noProof/>
            <w:webHidden/>
          </w:rPr>
          <w:t>39</w:t>
        </w:r>
        <w:r w:rsidR="00DC334F" w:rsidRPr="00BD16B4">
          <w:rPr>
            <w:webHidden/>
          </w:rPr>
          <w:fldChar w:fldCharType="end"/>
        </w:r>
      </w:hyperlink>
    </w:p>
    <w:p w14:paraId="75CD0EC9" w14:textId="1964B8A6" w:rsidR="00DC334F" w:rsidRPr="00BD16B4" w:rsidRDefault="00FC49D2">
      <w:pPr>
        <w:pStyle w:val="TableofFigures"/>
        <w:tabs>
          <w:tab w:val="right" w:pos="8495"/>
        </w:tabs>
        <w:rPr>
          <w:rFonts w:asciiTheme="minorHAnsi" w:hAnsiTheme="minorHAnsi"/>
        </w:rPr>
      </w:pPr>
      <w:hyperlink w:anchor="_Toc121494370" w:history="1">
        <w:r w:rsidR="00DC334F" w:rsidRPr="00BD16B4">
          <w:rPr>
            <w:rStyle w:val="Hyperlink"/>
          </w:rPr>
          <w:t>Figure 2.4:</w:t>
        </w:r>
        <w:r w:rsidR="00DC334F" w:rsidRPr="00BD16B4">
          <w:rPr>
            <w:rFonts w:asciiTheme="minorHAnsi" w:hAnsiTheme="minorHAnsi"/>
          </w:rPr>
          <w:tab/>
        </w:r>
        <w:r w:rsidR="00DC334F" w:rsidRPr="00BD16B4">
          <w:rPr>
            <w:rStyle w:val="Hyperlink"/>
          </w:rPr>
          <w:t>Contribution of different industries to New Zealand’s GDP (year ending March 2020)</w:t>
        </w:r>
        <w:r w:rsidR="00DC334F" w:rsidRPr="00BD16B4">
          <w:rPr>
            <w:webHidden/>
          </w:rPr>
          <w:tab/>
        </w:r>
        <w:r w:rsidR="00DC334F" w:rsidRPr="00BD16B4">
          <w:rPr>
            <w:webHidden/>
          </w:rPr>
          <w:fldChar w:fldCharType="begin"/>
        </w:r>
        <w:r w:rsidR="00DC334F" w:rsidRPr="00BD16B4">
          <w:rPr>
            <w:webHidden/>
          </w:rPr>
          <w:instrText xml:space="preserve"> PAGEREF _Toc121494370 \h </w:instrText>
        </w:r>
        <w:r w:rsidR="00DC334F" w:rsidRPr="00BD16B4">
          <w:rPr>
            <w:webHidden/>
          </w:rPr>
        </w:r>
        <w:r w:rsidR="00DC334F" w:rsidRPr="00BD16B4">
          <w:rPr>
            <w:webHidden/>
          </w:rPr>
          <w:fldChar w:fldCharType="separate"/>
        </w:r>
        <w:r w:rsidR="00A60C35">
          <w:rPr>
            <w:noProof/>
            <w:webHidden/>
          </w:rPr>
          <w:t>40</w:t>
        </w:r>
        <w:r w:rsidR="00DC334F" w:rsidRPr="00BD16B4">
          <w:rPr>
            <w:webHidden/>
          </w:rPr>
          <w:fldChar w:fldCharType="end"/>
        </w:r>
      </w:hyperlink>
    </w:p>
    <w:p w14:paraId="56BD2B08" w14:textId="2083FE56" w:rsidR="00DC334F" w:rsidRPr="00BD16B4" w:rsidRDefault="00FC49D2">
      <w:pPr>
        <w:pStyle w:val="TableofFigures"/>
        <w:tabs>
          <w:tab w:val="right" w:pos="8495"/>
        </w:tabs>
        <w:rPr>
          <w:rFonts w:asciiTheme="minorHAnsi" w:hAnsiTheme="minorHAnsi"/>
        </w:rPr>
      </w:pPr>
      <w:hyperlink w:anchor="_Toc121494371" w:history="1">
        <w:r w:rsidR="00DC334F" w:rsidRPr="00BD16B4">
          <w:rPr>
            <w:rStyle w:val="Hyperlink"/>
          </w:rPr>
          <w:t>Figure 2.5:</w:t>
        </w:r>
        <w:r w:rsidR="00DC334F" w:rsidRPr="00BD16B4">
          <w:rPr>
            <w:rFonts w:asciiTheme="minorHAnsi" w:hAnsiTheme="minorHAnsi"/>
          </w:rPr>
          <w:tab/>
        </w:r>
        <w:r w:rsidR="00DC334F" w:rsidRPr="00BD16B4">
          <w:rPr>
            <w:rStyle w:val="Hyperlink"/>
          </w:rPr>
          <w:t>International tourism expenditure compared with value of selected primary exports (NZ$), 2018–21 (year ended March)</w:t>
        </w:r>
        <w:r w:rsidR="00DC334F" w:rsidRPr="00BD16B4">
          <w:rPr>
            <w:webHidden/>
          </w:rPr>
          <w:tab/>
        </w:r>
        <w:r w:rsidR="00DC334F" w:rsidRPr="00BD16B4">
          <w:rPr>
            <w:webHidden/>
          </w:rPr>
          <w:fldChar w:fldCharType="begin"/>
        </w:r>
        <w:r w:rsidR="00DC334F" w:rsidRPr="00BD16B4">
          <w:rPr>
            <w:webHidden/>
          </w:rPr>
          <w:instrText xml:space="preserve"> PAGEREF _Toc121494371 \h </w:instrText>
        </w:r>
        <w:r w:rsidR="00DC334F" w:rsidRPr="00BD16B4">
          <w:rPr>
            <w:webHidden/>
          </w:rPr>
        </w:r>
        <w:r w:rsidR="00DC334F" w:rsidRPr="00BD16B4">
          <w:rPr>
            <w:webHidden/>
          </w:rPr>
          <w:fldChar w:fldCharType="separate"/>
        </w:r>
        <w:r w:rsidR="00A60C35">
          <w:rPr>
            <w:noProof/>
            <w:webHidden/>
          </w:rPr>
          <w:t>41</w:t>
        </w:r>
        <w:r w:rsidR="00DC334F" w:rsidRPr="00BD16B4">
          <w:rPr>
            <w:webHidden/>
          </w:rPr>
          <w:fldChar w:fldCharType="end"/>
        </w:r>
      </w:hyperlink>
    </w:p>
    <w:p w14:paraId="3228AF0B" w14:textId="40CE37BE" w:rsidR="00DC334F" w:rsidRPr="00BD16B4" w:rsidRDefault="00FC49D2">
      <w:pPr>
        <w:pStyle w:val="TableofFigures"/>
        <w:tabs>
          <w:tab w:val="right" w:pos="8495"/>
        </w:tabs>
        <w:rPr>
          <w:rFonts w:asciiTheme="minorHAnsi" w:hAnsiTheme="minorHAnsi"/>
        </w:rPr>
      </w:pPr>
      <w:hyperlink w:anchor="_Toc121494372" w:history="1">
        <w:r w:rsidR="00DC334F" w:rsidRPr="00BD16B4">
          <w:rPr>
            <w:rStyle w:val="Hyperlink"/>
          </w:rPr>
          <w:t>Figure 2.6:</w:t>
        </w:r>
        <w:r w:rsidR="00DC334F" w:rsidRPr="00BD16B4">
          <w:rPr>
            <w:rFonts w:asciiTheme="minorHAnsi" w:hAnsiTheme="minorHAnsi"/>
          </w:rPr>
          <w:tab/>
        </w:r>
        <w:r w:rsidR="00DC334F" w:rsidRPr="00BD16B4">
          <w:rPr>
            <w:rStyle w:val="Hyperlink"/>
          </w:rPr>
          <w:t>New Zealand’s estimated and projected total primary energy supply by fuel, 1990–2050</w:t>
        </w:r>
        <w:r w:rsidR="00DC334F" w:rsidRPr="00BD16B4">
          <w:rPr>
            <w:webHidden/>
          </w:rPr>
          <w:tab/>
        </w:r>
        <w:r w:rsidR="00DC334F" w:rsidRPr="00BD16B4">
          <w:rPr>
            <w:webHidden/>
          </w:rPr>
          <w:fldChar w:fldCharType="begin"/>
        </w:r>
        <w:r w:rsidR="00DC334F" w:rsidRPr="00BD16B4">
          <w:rPr>
            <w:webHidden/>
          </w:rPr>
          <w:instrText xml:space="preserve"> PAGEREF _Toc121494372 \h </w:instrText>
        </w:r>
        <w:r w:rsidR="00DC334F" w:rsidRPr="00BD16B4">
          <w:rPr>
            <w:webHidden/>
          </w:rPr>
        </w:r>
        <w:r w:rsidR="00DC334F" w:rsidRPr="00BD16B4">
          <w:rPr>
            <w:webHidden/>
          </w:rPr>
          <w:fldChar w:fldCharType="separate"/>
        </w:r>
        <w:r w:rsidR="00A60C35">
          <w:rPr>
            <w:noProof/>
            <w:webHidden/>
          </w:rPr>
          <w:t>43</w:t>
        </w:r>
        <w:r w:rsidR="00DC334F" w:rsidRPr="00BD16B4">
          <w:rPr>
            <w:webHidden/>
          </w:rPr>
          <w:fldChar w:fldCharType="end"/>
        </w:r>
      </w:hyperlink>
    </w:p>
    <w:p w14:paraId="5DD00A5E" w14:textId="43E6EB36" w:rsidR="00DC334F" w:rsidRPr="00BD16B4" w:rsidRDefault="00FC49D2">
      <w:pPr>
        <w:pStyle w:val="TableofFigures"/>
        <w:tabs>
          <w:tab w:val="right" w:pos="8495"/>
        </w:tabs>
        <w:rPr>
          <w:rFonts w:asciiTheme="minorHAnsi" w:hAnsiTheme="minorHAnsi"/>
        </w:rPr>
      </w:pPr>
      <w:hyperlink w:anchor="_Toc121494373" w:history="1">
        <w:r w:rsidR="00DC334F" w:rsidRPr="00BD16B4">
          <w:rPr>
            <w:rStyle w:val="Hyperlink"/>
          </w:rPr>
          <w:t>Figure 2.7:</w:t>
        </w:r>
        <w:r w:rsidR="00DC334F" w:rsidRPr="00BD16B4">
          <w:rPr>
            <w:rFonts w:asciiTheme="minorHAnsi" w:hAnsiTheme="minorHAnsi"/>
          </w:rPr>
          <w:tab/>
        </w:r>
        <w:r w:rsidR="00DC334F" w:rsidRPr="00BD16B4">
          <w:rPr>
            <w:rStyle w:val="Hyperlink"/>
          </w:rPr>
          <w:t>New Zealand’s electricity generation by main source, 1990–2020</w:t>
        </w:r>
        <w:r w:rsidR="00DC334F" w:rsidRPr="00BD16B4">
          <w:rPr>
            <w:webHidden/>
          </w:rPr>
          <w:tab/>
        </w:r>
        <w:r w:rsidR="00DC334F" w:rsidRPr="00BD16B4">
          <w:rPr>
            <w:webHidden/>
          </w:rPr>
          <w:fldChar w:fldCharType="begin"/>
        </w:r>
        <w:r w:rsidR="00DC334F" w:rsidRPr="00BD16B4">
          <w:rPr>
            <w:webHidden/>
          </w:rPr>
          <w:instrText xml:space="preserve"> PAGEREF _Toc121494373 \h </w:instrText>
        </w:r>
        <w:r w:rsidR="00DC334F" w:rsidRPr="00BD16B4">
          <w:rPr>
            <w:webHidden/>
          </w:rPr>
        </w:r>
        <w:r w:rsidR="00DC334F" w:rsidRPr="00BD16B4">
          <w:rPr>
            <w:webHidden/>
          </w:rPr>
          <w:fldChar w:fldCharType="separate"/>
        </w:r>
        <w:r w:rsidR="00A60C35">
          <w:rPr>
            <w:noProof/>
            <w:webHidden/>
          </w:rPr>
          <w:t>44</w:t>
        </w:r>
        <w:r w:rsidR="00DC334F" w:rsidRPr="00BD16B4">
          <w:rPr>
            <w:webHidden/>
          </w:rPr>
          <w:fldChar w:fldCharType="end"/>
        </w:r>
      </w:hyperlink>
    </w:p>
    <w:p w14:paraId="112A9C08" w14:textId="2EDD23B6" w:rsidR="00DC334F" w:rsidRPr="00BD16B4" w:rsidRDefault="00FC49D2">
      <w:pPr>
        <w:pStyle w:val="TableofFigures"/>
        <w:tabs>
          <w:tab w:val="right" w:pos="8495"/>
        </w:tabs>
        <w:rPr>
          <w:rFonts w:asciiTheme="minorHAnsi" w:hAnsiTheme="minorHAnsi"/>
        </w:rPr>
      </w:pPr>
      <w:hyperlink w:anchor="_Toc121494374" w:history="1">
        <w:r w:rsidR="00DC334F" w:rsidRPr="00BD16B4">
          <w:rPr>
            <w:rStyle w:val="Hyperlink"/>
          </w:rPr>
          <w:t>Figure 2.8:</w:t>
        </w:r>
        <w:r w:rsidR="00DC334F" w:rsidRPr="00BD16B4">
          <w:rPr>
            <w:rFonts w:asciiTheme="minorHAnsi" w:hAnsiTheme="minorHAnsi"/>
          </w:rPr>
          <w:tab/>
        </w:r>
        <w:r w:rsidR="00DC334F" w:rsidRPr="00BD16B4">
          <w:rPr>
            <w:rStyle w:val="Hyperlink"/>
          </w:rPr>
          <w:t>Domestic transport emissions by mode (kt CO</w:t>
        </w:r>
        <w:r w:rsidR="00DC334F" w:rsidRPr="00BD16B4">
          <w:rPr>
            <w:rStyle w:val="Hyperlink"/>
            <w:vertAlign w:val="subscript"/>
          </w:rPr>
          <w:t>2</w:t>
        </w:r>
        <w:r w:rsidR="00DC334F" w:rsidRPr="00BD16B4">
          <w:rPr>
            <w:rStyle w:val="Hyperlink"/>
          </w:rPr>
          <w:t>-e), 1990–2020</w:t>
        </w:r>
        <w:r w:rsidR="00DC334F" w:rsidRPr="00BD16B4">
          <w:rPr>
            <w:webHidden/>
          </w:rPr>
          <w:tab/>
        </w:r>
        <w:r w:rsidR="00DC334F" w:rsidRPr="00BD16B4">
          <w:rPr>
            <w:webHidden/>
          </w:rPr>
          <w:fldChar w:fldCharType="begin"/>
        </w:r>
        <w:r w:rsidR="00DC334F" w:rsidRPr="00BD16B4">
          <w:rPr>
            <w:webHidden/>
          </w:rPr>
          <w:instrText xml:space="preserve"> PAGEREF _Toc121494374 \h </w:instrText>
        </w:r>
        <w:r w:rsidR="00DC334F" w:rsidRPr="00BD16B4">
          <w:rPr>
            <w:webHidden/>
          </w:rPr>
        </w:r>
        <w:r w:rsidR="00DC334F" w:rsidRPr="00BD16B4">
          <w:rPr>
            <w:webHidden/>
          </w:rPr>
          <w:fldChar w:fldCharType="separate"/>
        </w:r>
        <w:r w:rsidR="00A60C35">
          <w:rPr>
            <w:noProof/>
            <w:webHidden/>
          </w:rPr>
          <w:t>47</w:t>
        </w:r>
        <w:r w:rsidR="00DC334F" w:rsidRPr="00BD16B4">
          <w:rPr>
            <w:webHidden/>
          </w:rPr>
          <w:fldChar w:fldCharType="end"/>
        </w:r>
      </w:hyperlink>
    </w:p>
    <w:p w14:paraId="2AB09741" w14:textId="16A2E007" w:rsidR="00DC334F" w:rsidRPr="00BD16B4" w:rsidRDefault="00FC49D2">
      <w:pPr>
        <w:pStyle w:val="TableofFigures"/>
        <w:tabs>
          <w:tab w:val="right" w:pos="8495"/>
        </w:tabs>
        <w:rPr>
          <w:rFonts w:asciiTheme="minorHAnsi" w:hAnsiTheme="minorHAnsi"/>
        </w:rPr>
      </w:pPr>
      <w:hyperlink w:anchor="_Toc121494375" w:history="1">
        <w:r w:rsidR="00DC334F" w:rsidRPr="00BD16B4">
          <w:rPr>
            <w:rStyle w:val="Hyperlink"/>
          </w:rPr>
          <w:t>Figure 2.9:</w:t>
        </w:r>
        <w:r w:rsidR="00DC334F" w:rsidRPr="00BD16B4">
          <w:rPr>
            <w:rFonts w:asciiTheme="minorHAnsi" w:hAnsiTheme="minorHAnsi"/>
          </w:rPr>
          <w:tab/>
        </w:r>
        <w:r w:rsidR="00DC334F" w:rsidRPr="00BD16B4">
          <w:rPr>
            <w:rStyle w:val="Hyperlink"/>
          </w:rPr>
          <w:t>Light vehicle fleet per 1000 people in New Zealand, 2000–20</w:t>
        </w:r>
        <w:r w:rsidR="00DC334F" w:rsidRPr="00BD16B4">
          <w:rPr>
            <w:webHidden/>
          </w:rPr>
          <w:tab/>
        </w:r>
        <w:r w:rsidR="00DC334F" w:rsidRPr="00BD16B4">
          <w:rPr>
            <w:webHidden/>
          </w:rPr>
          <w:fldChar w:fldCharType="begin"/>
        </w:r>
        <w:r w:rsidR="00DC334F" w:rsidRPr="00BD16B4">
          <w:rPr>
            <w:webHidden/>
          </w:rPr>
          <w:instrText xml:space="preserve"> PAGEREF _Toc121494375 \h </w:instrText>
        </w:r>
        <w:r w:rsidR="00DC334F" w:rsidRPr="00BD16B4">
          <w:rPr>
            <w:webHidden/>
          </w:rPr>
        </w:r>
        <w:r w:rsidR="00DC334F" w:rsidRPr="00BD16B4">
          <w:rPr>
            <w:webHidden/>
          </w:rPr>
          <w:fldChar w:fldCharType="separate"/>
        </w:r>
        <w:r w:rsidR="00A60C35">
          <w:rPr>
            <w:noProof/>
            <w:webHidden/>
          </w:rPr>
          <w:t>48</w:t>
        </w:r>
        <w:r w:rsidR="00DC334F" w:rsidRPr="00BD16B4">
          <w:rPr>
            <w:webHidden/>
          </w:rPr>
          <w:fldChar w:fldCharType="end"/>
        </w:r>
      </w:hyperlink>
    </w:p>
    <w:p w14:paraId="53A762DE" w14:textId="1F132E63" w:rsidR="00DC334F" w:rsidRPr="00BD16B4" w:rsidRDefault="00FC49D2">
      <w:pPr>
        <w:pStyle w:val="TableofFigures"/>
        <w:tabs>
          <w:tab w:val="right" w:pos="8495"/>
        </w:tabs>
        <w:rPr>
          <w:rFonts w:asciiTheme="minorHAnsi" w:hAnsiTheme="minorHAnsi"/>
        </w:rPr>
      </w:pPr>
      <w:hyperlink w:anchor="_Toc121494376" w:history="1">
        <w:r w:rsidR="00DC334F" w:rsidRPr="00BD16B4">
          <w:rPr>
            <w:rStyle w:val="Hyperlink"/>
          </w:rPr>
          <w:t>Figure 2.10:</w:t>
        </w:r>
        <w:r w:rsidR="00DC334F" w:rsidRPr="00BD16B4">
          <w:rPr>
            <w:rFonts w:asciiTheme="minorHAnsi" w:hAnsiTheme="minorHAnsi"/>
          </w:rPr>
          <w:tab/>
        </w:r>
        <w:r w:rsidR="00DC334F" w:rsidRPr="00BD16B4">
          <w:rPr>
            <w:rStyle w:val="Hyperlink"/>
          </w:rPr>
          <w:t>Changes in New Zealand’s sheep population, 1990–2020 (year to 30 June)</w:t>
        </w:r>
        <w:r w:rsidR="00DC334F" w:rsidRPr="00BD16B4">
          <w:rPr>
            <w:webHidden/>
          </w:rPr>
          <w:tab/>
        </w:r>
        <w:r w:rsidR="00DC334F" w:rsidRPr="00BD16B4">
          <w:rPr>
            <w:webHidden/>
          </w:rPr>
          <w:fldChar w:fldCharType="begin"/>
        </w:r>
        <w:r w:rsidR="00DC334F" w:rsidRPr="00BD16B4">
          <w:rPr>
            <w:webHidden/>
          </w:rPr>
          <w:instrText xml:space="preserve"> PAGEREF _Toc121494376 \h </w:instrText>
        </w:r>
        <w:r w:rsidR="00DC334F" w:rsidRPr="00BD16B4">
          <w:rPr>
            <w:webHidden/>
          </w:rPr>
        </w:r>
        <w:r w:rsidR="00DC334F" w:rsidRPr="00BD16B4">
          <w:rPr>
            <w:webHidden/>
          </w:rPr>
          <w:fldChar w:fldCharType="separate"/>
        </w:r>
        <w:r w:rsidR="00A60C35">
          <w:rPr>
            <w:noProof/>
            <w:webHidden/>
          </w:rPr>
          <w:t>52</w:t>
        </w:r>
        <w:r w:rsidR="00DC334F" w:rsidRPr="00BD16B4">
          <w:rPr>
            <w:webHidden/>
          </w:rPr>
          <w:fldChar w:fldCharType="end"/>
        </w:r>
      </w:hyperlink>
    </w:p>
    <w:p w14:paraId="5788B8B6" w14:textId="6DD55410" w:rsidR="00DC334F" w:rsidRPr="00BD16B4" w:rsidRDefault="00FC49D2">
      <w:pPr>
        <w:pStyle w:val="TableofFigures"/>
        <w:tabs>
          <w:tab w:val="right" w:pos="8495"/>
        </w:tabs>
        <w:rPr>
          <w:rFonts w:asciiTheme="minorHAnsi" w:hAnsiTheme="minorHAnsi"/>
        </w:rPr>
      </w:pPr>
      <w:hyperlink w:anchor="_Toc121494377" w:history="1">
        <w:r w:rsidR="00DC334F" w:rsidRPr="00BD16B4">
          <w:rPr>
            <w:rStyle w:val="Hyperlink"/>
          </w:rPr>
          <w:t>Figure 2.11:</w:t>
        </w:r>
        <w:r w:rsidR="00DC334F" w:rsidRPr="00BD16B4">
          <w:rPr>
            <w:rFonts w:asciiTheme="minorHAnsi" w:hAnsiTheme="minorHAnsi"/>
          </w:rPr>
          <w:tab/>
        </w:r>
        <w:r w:rsidR="00DC334F" w:rsidRPr="00BD16B4">
          <w:rPr>
            <w:rStyle w:val="Hyperlink"/>
          </w:rPr>
          <w:t>Changes in New Zealand’s dairy, beef and deer populations, 1990–2020 (year to 30 June)</w:t>
        </w:r>
        <w:r w:rsidR="00DC334F" w:rsidRPr="00BD16B4">
          <w:rPr>
            <w:webHidden/>
          </w:rPr>
          <w:tab/>
        </w:r>
        <w:r w:rsidR="00DC334F" w:rsidRPr="00BD16B4">
          <w:rPr>
            <w:webHidden/>
          </w:rPr>
          <w:fldChar w:fldCharType="begin"/>
        </w:r>
        <w:r w:rsidR="00DC334F" w:rsidRPr="00BD16B4">
          <w:rPr>
            <w:webHidden/>
          </w:rPr>
          <w:instrText xml:space="preserve"> PAGEREF _Toc121494377 \h </w:instrText>
        </w:r>
        <w:r w:rsidR="00DC334F" w:rsidRPr="00BD16B4">
          <w:rPr>
            <w:webHidden/>
          </w:rPr>
        </w:r>
        <w:r w:rsidR="00DC334F" w:rsidRPr="00BD16B4">
          <w:rPr>
            <w:webHidden/>
          </w:rPr>
          <w:fldChar w:fldCharType="separate"/>
        </w:r>
        <w:r w:rsidR="00A60C35">
          <w:rPr>
            <w:noProof/>
            <w:webHidden/>
          </w:rPr>
          <w:t>52</w:t>
        </w:r>
        <w:r w:rsidR="00DC334F" w:rsidRPr="00BD16B4">
          <w:rPr>
            <w:webHidden/>
          </w:rPr>
          <w:fldChar w:fldCharType="end"/>
        </w:r>
      </w:hyperlink>
    </w:p>
    <w:p w14:paraId="332304B2" w14:textId="1F3599D2" w:rsidR="00DC334F" w:rsidRPr="00BD16B4" w:rsidRDefault="00FC49D2">
      <w:pPr>
        <w:pStyle w:val="TableofFigures"/>
        <w:tabs>
          <w:tab w:val="right" w:pos="8495"/>
        </w:tabs>
        <w:rPr>
          <w:rFonts w:asciiTheme="minorHAnsi" w:hAnsiTheme="minorHAnsi"/>
        </w:rPr>
      </w:pPr>
      <w:hyperlink w:anchor="_Toc121494378" w:history="1">
        <w:r w:rsidR="00DC334F" w:rsidRPr="00BD16B4">
          <w:rPr>
            <w:rStyle w:val="Hyperlink"/>
          </w:rPr>
          <w:t>Figure 2.12:</w:t>
        </w:r>
        <w:r w:rsidR="00DC334F" w:rsidRPr="00BD16B4">
          <w:rPr>
            <w:rFonts w:asciiTheme="minorHAnsi" w:hAnsiTheme="minorHAnsi"/>
          </w:rPr>
          <w:tab/>
        </w:r>
        <w:r w:rsidR="00DC334F" w:rsidRPr="00BD16B4">
          <w:rPr>
            <w:rStyle w:val="Hyperlink"/>
          </w:rPr>
          <w:t>New Zealand’s historical new production forest planting, 1920–2020</w:t>
        </w:r>
        <w:r w:rsidR="00DC334F" w:rsidRPr="00BD16B4">
          <w:rPr>
            <w:webHidden/>
          </w:rPr>
          <w:tab/>
        </w:r>
        <w:r w:rsidR="00DC334F" w:rsidRPr="00BD16B4">
          <w:rPr>
            <w:webHidden/>
          </w:rPr>
          <w:fldChar w:fldCharType="begin"/>
        </w:r>
        <w:r w:rsidR="00DC334F" w:rsidRPr="00BD16B4">
          <w:rPr>
            <w:webHidden/>
          </w:rPr>
          <w:instrText xml:space="preserve"> PAGEREF _Toc121494378 \h </w:instrText>
        </w:r>
        <w:r w:rsidR="00DC334F" w:rsidRPr="00BD16B4">
          <w:rPr>
            <w:webHidden/>
          </w:rPr>
        </w:r>
        <w:r w:rsidR="00DC334F" w:rsidRPr="00BD16B4">
          <w:rPr>
            <w:webHidden/>
          </w:rPr>
          <w:fldChar w:fldCharType="separate"/>
        </w:r>
        <w:r w:rsidR="00A60C35">
          <w:rPr>
            <w:noProof/>
            <w:webHidden/>
          </w:rPr>
          <w:t>56</w:t>
        </w:r>
        <w:r w:rsidR="00DC334F" w:rsidRPr="00BD16B4">
          <w:rPr>
            <w:webHidden/>
          </w:rPr>
          <w:fldChar w:fldCharType="end"/>
        </w:r>
      </w:hyperlink>
    </w:p>
    <w:p w14:paraId="6177EDB0" w14:textId="47115DCB" w:rsidR="00DC334F" w:rsidRPr="00BD16B4" w:rsidRDefault="00FC49D2">
      <w:pPr>
        <w:pStyle w:val="TableofFigures"/>
        <w:tabs>
          <w:tab w:val="right" w:pos="8495"/>
        </w:tabs>
        <w:rPr>
          <w:rFonts w:asciiTheme="minorHAnsi" w:hAnsiTheme="minorHAnsi"/>
        </w:rPr>
      </w:pPr>
      <w:hyperlink w:anchor="_Toc121494379" w:history="1">
        <w:r w:rsidR="00DC334F" w:rsidRPr="00BD16B4">
          <w:rPr>
            <w:rStyle w:val="Hyperlink"/>
          </w:rPr>
          <w:t>Figure 2.13:</w:t>
        </w:r>
        <w:r w:rsidR="00DC334F" w:rsidRPr="00BD16B4">
          <w:rPr>
            <w:rFonts w:asciiTheme="minorHAnsi" w:hAnsiTheme="minorHAnsi"/>
          </w:rPr>
          <w:tab/>
        </w:r>
        <w:r w:rsidR="00DC334F" w:rsidRPr="00BD16B4">
          <w:rPr>
            <w:rStyle w:val="Hyperlink"/>
          </w:rPr>
          <w:t>Total tonnage of waste to Class 1 landfills, 2010–21</w:t>
        </w:r>
        <w:r w:rsidR="00DC334F" w:rsidRPr="00BD16B4">
          <w:rPr>
            <w:webHidden/>
          </w:rPr>
          <w:tab/>
        </w:r>
        <w:r w:rsidR="00DC334F" w:rsidRPr="00BD16B4">
          <w:rPr>
            <w:webHidden/>
          </w:rPr>
          <w:fldChar w:fldCharType="begin"/>
        </w:r>
        <w:r w:rsidR="00DC334F" w:rsidRPr="00BD16B4">
          <w:rPr>
            <w:webHidden/>
          </w:rPr>
          <w:instrText xml:space="preserve"> PAGEREF _Toc121494379 \h </w:instrText>
        </w:r>
        <w:r w:rsidR="00DC334F" w:rsidRPr="00BD16B4">
          <w:rPr>
            <w:webHidden/>
          </w:rPr>
        </w:r>
        <w:r w:rsidR="00DC334F" w:rsidRPr="00BD16B4">
          <w:rPr>
            <w:webHidden/>
          </w:rPr>
          <w:fldChar w:fldCharType="separate"/>
        </w:r>
        <w:r w:rsidR="00A60C35">
          <w:rPr>
            <w:noProof/>
            <w:webHidden/>
          </w:rPr>
          <w:t>57</w:t>
        </w:r>
        <w:r w:rsidR="00DC334F" w:rsidRPr="00BD16B4">
          <w:rPr>
            <w:webHidden/>
          </w:rPr>
          <w:fldChar w:fldCharType="end"/>
        </w:r>
      </w:hyperlink>
    </w:p>
    <w:p w14:paraId="50E66EA6" w14:textId="64D7DF85" w:rsidR="00DC334F" w:rsidRPr="00BD16B4" w:rsidRDefault="00FC49D2">
      <w:pPr>
        <w:pStyle w:val="TableofFigures"/>
        <w:tabs>
          <w:tab w:val="right" w:pos="8495"/>
        </w:tabs>
        <w:rPr>
          <w:rFonts w:asciiTheme="minorHAnsi" w:hAnsiTheme="minorHAnsi"/>
        </w:rPr>
      </w:pPr>
      <w:hyperlink w:anchor="_Toc121494380" w:history="1">
        <w:r w:rsidR="00DC334F" w:rsidRPr="00BD16B4">
          <w:rPr>
            <w:rStyle w:val="Hyperlink"/>
          </w:rPr>
          <w:t>Figure 2.14:</w:t>
        </w:r>
        <w:r w:rsidR="00DC334F" w:rsidRPr="00BD16B4">
          <w:rPr>
            <w:rFonts w:asciiTheme="minorHAnsi" w:hAnsiTheme="minorHAnsi"/>
          </w:rPr>
          <w:tab/>
        </w:r>
        <w:r w:rsidR="00DC334F" w:rsidRPr="00BD16B4">
          <w:rPr>
            <w:rStyle w:val="Hyperlink"/>
          </w:rPr>
          <w:t>Estimate of New Zealand’s waste composition, 2018–20</w:t>
        </w:r>
        <w:r w:rsidR="00DC334F" w:rsidRPr="00BD16B4">
          <w:rPr>
            <w:webHidden/>
          </w:rPr>
          <w:tab/>
        </w:r>
        <w:r w:rsidR="00DC334F" w:rsidRPr="00BD16B4">
          <w:rPr>
            <w:webHidden/>
          </w:rPr>
          <w:fldChar w:fldCharType="begin"/>
        </w:r>
        <w:r w:rsidR="00DC334F" w:rsidRPr="00BD16B4">
          <w:rPr>
            <w:webHidden/>
          </w:rPr>
          <w:instrText xml:space="preserve"> PAGEREF _Toc121494380 \h </w:instrText>
        </w:r>
        <w:r w:rsidR="00DC334F" w:rsidRPr="00BD16B4">
          <w:rPr>
            <w:webHidden/>
          </w:rPr>
        </w:r>
        <w:r w:rsidR="00DC334F" w:rsidRPr="00BD16B4">
          <w:rPr>
            <w:webHidden/>
          </w:rPr>
          <w:fldChar w:fldCharType="separate"/>
        </w:r>
        <w:r w:rsidR="00A60C35">
          <w:rPr>
            <w:noProof/>
            <w:webHidden/>
          </w:rPr>
          <w:t>57</w:t>
        </w:r>
        <w:r w:rsidR="00DC334F" w:rsidRPr="00BD16B4">
          <w:rPr>
            <w:webHidden/>
          </w:rPr>
          <w:fldChar w:fldCharType="end"/>
        </w:r>
      </w:hyperlink>
    </w:p>
    <w:p w14:paraId="332FBDDB" w14:textId="43F1A4E3" w:rsidR="00DC334F" w:rsidRPr="00BD16B4" w:rsidRDefault="00FC49D2">
      <w:pPr>
        <w:pStyle w:val="TableofFigures"/>
        <w:tabs>
          <w:tab w:val="right" w:pos="8495"/>
        </w:tabs>
        <w:rPr>
          <w:rFonts w:asciiTheme="minorHAnsi" w:hAnsiTheme="minorHAnsi"/>
        </w:rPr>
      </w:pPr>
      <w:hyperlink w:anchor="_Toc121494381" w:history="1">
        <w:r w:rsidR="00DC334F" w:rsidRPr="00BD16B4">
          <w:rPr>
            <w:rStyle w:val="Hyperlink"/>
          </w:rPr>
          <w:t>Figure 3.1:</w:t>
        </w:r>
        <w:r w:rsidR="00DC334F" w:rsidRPr="00BD16B4">
          <w:rPr>
            <w:rFonts w:asciiTheme="minorHAnsi" w:hAnsiTheme="minorHAnsi"/>
          </w:rPr>
          <w:tab/>
        </w:r>
        <w:r w:rsidR="00DC334F" w:rsidRPr="00BD16B4">
          <w:rPr>
            <w:rStyle w:val="Hyperlink"/>
          </w:rPr>
          <w:t>New Zealand’s greenhouse gas emissions by sector, 2020</w:t>
        </w:r>
        <w:r w:rsidR="00DC334F" w:rsidRPr="00BD16B4">
          <w:rPr>
            <w:webHidden/>
          </w:rPr>
          <w:tab/>
        </w:r>
        <w:r w:rsidR="00DC334F" w:rsidRPr="00BD16B4">
          <w:rPr>
            <w:webHidden/>
          </w:rPr>
          <w:fldChar w:fldCharType="begin"/>
        </w:r>
        <w:r w:rsidR="00DC334F" w:rsidRPr="00BD16B4">
          <w:rPr>
            <w:webHidden/>
          </w:rPr>
          <w:instrText xml:space="preserve"> PAGEREF _Toc121494381 \h </w:instrText>
        </w:r>
        <w:r w:rsidR="00DC334F" w:rsidRPr="00BD16B4">
          <w:rPr>
            <w:webHidden/>
          </w:rPr>
        </w:r>
        <w:r w:rsidR="00DC334F" w:rsidRPr="00BD16B4">
          <w:rPr>
            <w:webHidden/>
          </w:rPr>
          <w:fldChar w:fldCharType="separate"/>
        </w:r>
        <w:r w:rsidR="00A60C35">
          <w:rPr>
            <w:noProof/>
            <w:webHidden/>
          </w:rPr>
          <w:t>64</w:t>
        </w:r>
        <w:r w:rsidR="00DC334F" w:rsidRPr="00BD16B4">
          <w:rPr>
            <w:webHidden/>
          </w:rPr>
          <w:fldChar w:fldCharType="end"/>
        </w:r>
      </w:hyperlink>
    </w:p>
    <w:p w14:paraId="49935572" w14:textId="0CDDB51F" w:rsidR="00DC334F" w:rsidRPr="00BD16B4" w:rsidRDefault="00FC49D2">
      <w:pPr>
        <w:pStyle w:val="TableofFigures"/>
        <w:tabs>
          <w:tab w:val="right" w:pos="8495"/>
        </w:tabs>
        <w:rPr>
          <w:rFonts w:asciiTheme="minorHAnsi" w:hAnsiTheme="minorHAnsi"/>
        </w:rPr>
      </w:pPr>
      <w:hyperlink w:anchor="_Toc121494382" w:history="1">
        <w:r w:rsidR="00DC334F" w:rsidRPr="00BD16B4">
          <w:rPr>
            <w:rStyle w:val="Hyperlink"/>
          </w:rPr>
          <w:t>Figure 3.2:</w:t>
        </w:r>
        <w:r w:rsidR="00DC334F" w:rsidRPr="00BD16B4">
          <w:rPr>
            <w:rFonts w:asciiTheme="minorHAnsi" w:hAnsiTheme="minorHAnsi"/>
          </w:rPr>
          <w:tab/>
        </w:r>
        <w:r w:rsidR="00DC334F" w:rsidRPr="00BD16B4">
          <w:rPr>
            <w:rStyle w:val="Hyperlink"/>
          </w:rPr>
          <w:t>Change in New Zealand’s emissions by sector, 1990 and 2020</w:t>
        </w:r>
        <w:r w:rsidR="00DC334F" w:rsidRPr="00BD16B4">
          <w:rPr>
            <w:webHidden/>
          </w:rPr>
          <w:tab/>
        </w:r>
        <w:r w:rsidR="00DC334F" w:rsidRPr="00BD16B4">
          <w:rPr>
            <w:webHidden/>
          </w:rPr>
          <w:fldChar w:fldCharType="begin"/>
        </w:r>
        <w:r w:rsidR="00DC334F" w:rsidRPr="00BD16B4">
          <w:rPr>
            <w:webHidden/>
          </w:rPr>
          <w:instrText xml:space="preserve"> PAGEREF _Toc121494382 \h </w:instrText>
        </w:r>
        <w:r w:rsidR="00DC334F" w:rsidRPr="00BD16B4">
          <w:rPr>
            <w:webHidden/>
          </w:rPr>
        </w:r>
        <w:r w:rsidR="00DC334F" w:rsidRPr="00BD16B4">
          <w:rPr>
            <w:webHidden/>
          </w:rPr>
          <w:fldChar w:fldCharType="separate"/>
        </w:r>
        <w:r w:rsidR="00A60C35">
          <w:rPr>
            <w:noProof/>
            <w:webHidden/>
          </w:rPr>
          <w:t>65</w:t>
        </w:r>
        <w:r w:rsidR="00DC334F" w:rsidRPr="00BD16B4">
          <w:rPr>
            <w:webHidden/>
          </w:rPr>
          <w:fldChar w:fldCharType="end"/>
        </w:r>
      </w:hyperlink>
    </w:p>
    <w:p w14:paraId="3441DCEB" w14:textId="5714DB03" w:rsidR="00DC334F" w:rsidRPr="00BD16B4" w:rsidRDefault="00FC49D2">
      <w:pPr>
        <w:pStyle w:val="TableofFigures"/>
        <w:tabs>
          <w:tab w:val="right" w:pos="8495"/>
        </w:tabs>
        <w:rPr>
          <w:rFonts w:asciiTheme="minorHAnsi" w:hAnsiTheme="minorHAnsi"/>
        </w:rPr>
      </w:pPr>
      <w:hyperlink w:anchor="_Toc121494383" w:history="1">
        <w:r w:rsidR="00DC334F" w:rsidRPr="00BD16B4">
          <w:rPr>
            <w:rStyle w:val="Hyperlink"/>
          </w:rPr>
          <w:t>Figure 3.3:</w:t>
        </w:r>
        <w:r w:rsidR="00DC334F" w:rsidRPr="00BD16B4">
          <w:rPr>
            <w:rFonts w:asciiTheme="minorHAnsi" w:hAnsiTheme="minorHAnsi"/>
          </w:rPr>
          <w:tab/>
        </w:r>
        <w:r w:rsidR="00DC334F" w:rsidRPr="00BD16B4">
          <w:rPr>
            <w:rStyle w:val="Hyperlink"/>
          </w:rPr>
          <w:t>New Zealand’s gross and net emissions (under the UNFCCC), 1990–2020</w:t>
        </w:r>
        <w:r w:rsidR="00DC334F" w:rsidRPr="00BD16B4">
          <w:rPr>
            <w:webHidden/>
          </w:rPr>
          <w:tab/>
        </w:r>
        <w:r w:rsidR="00DC334F" w:rsidRPr="00BD16B4">
          <w:rPr>
            <w:webHidden/>
          </w:rPr>
          <w:fldChar w:fldCharType="begin"/>
        </w:r>
        <w:r w:rsidR="00DC334F" w:rsidRPr="00BD16B4">
          <w:rPr>
            <w:webHidden/>
          </w:rPr>
          <w:instrText xml:space="preserve"> PAGEREF _Toc121494383 \h </w:instrText>
        </w:r>
        <w:r w:rsidR="00DC334F" w:rsidRPr="00BD16B4">
          <w:rPr>
            <w:webHidden/>
          </w:rPr>
        </w:r>
        <w:r w:rsidR="00DC334F" w:rsidRPr="00BD16B4">
          <w:rPr>
            <w:webHidden/>
          </w:rPr>
          <w:fldChar w:fldCharType="separate"/>
        </w:r>
        <w:r w:rsidR="00A60C35">
          <w:rPr>
            <w:noProof/>
            <w:webHidden/>
          </w:rPr>
          <w:t>66</w:t>
        </w:r>
        <w:r w:rsidR="00DC334F" w:rsidRPr="00BD16B4">
          <w:rPr>
            <w:webHidden/>
          </w:rPr>
          <w:fldChar w:fldCharType="end"/>
        </w:r>
      </w:hyperlink>
    </w:p>
    <w:p w14:paraId="5DC4E96D" w14:textId="149251A9" w:rsidR="00DC334F" w:rsidRPr="00BD16B4" w:rsidRDefault="00FC49D2">
      <w:pPr>
        <w:pStyle w:val="TableofFigures"/>
        <w:tabs>
          <w:tab w:val="right" w:pos="8495"/>
        </w:tabs>
        <w:rPr>
          <w:rFonts w:asciiTheme="minorHAnsi" w:hAnsiTheme="minorHAnsi"/>
        </w:rPr>
      </w:pPr>
      <w:hyperlink w:anchor="_Toc121494384" w:history="1">
        <w:r w:rsidR="00DC334F" w:rsidRPr="00BD16B4">
          <w:rPr>
            <w:rStyle w:val="Hyperlink"/>
          </w:rPr>
          <w:t>Figure 3.4:</w:t>
        </w:r>
        <w:r w:rsidR="00DC334F" w:rsidRPr="00BD16B4">
          <w:rPr>
            <w:rFonts w:asciiTheme="minorHAnsi" w:hAnsiTheme="minorHAnsi"/>
          </w:rPr>
          <w:tab/>
        </w:r>
        <w:r w:rsidR="00DC334F" w:rsidRPr="00BD16B4">
          <w:rPr>
            <w:rStyle w:val="Hyperlink"/>
          </w:rPr>
          <w:t>Trends in New Zealand’s greenhouse gas emissions by sector, 1990–2020</w:t>
        </w:r>
        <w:r w:rsidR="00DC334F" w:rsidRPr="00BD16B4">
          <w:rPr>
            <w:webHidden/>
          </w:rPr>
          <w:tab/>
        </w:r>
        <w:r w:rsidR="00DC334F" w:rsidRPr="00BD16B4">
          <w:rPr>
            <w:webHidden/>
          </w:rPr>
          <w:fldChar w:fldCharType="begin"/>
        </w:r>
        <w:r w:rsidR="00DC334F" w:rsidRPr="00BD16B4">
          <w:rPr>
            <w:webHidden/>
          </w:rPr>
          <w:instrText xml:space="preserve"> PAGEREF _Toc121494384 \h </w:instrText>
        </w:r>
        <w:r w:rsidR="00DC334F" w:rsidRPr="00BD16B4">
          <w:rPr>
            <w:webHidden/>
          </w:rPr>
        </w:r>
        <w:r w:rsidR="00DC334F" w:rsidRPr="00BD16B4">
          <w:rPr>
            <w:webHidden/>
          </w:rPr>
          <w:fldChar w:fldCharType="separate"/>
        </w:r>
        <w:r w:rsidR="00A60C35">
          <w:rPr>
            <w:noProof/>
            <w:webHidden/>
          </w:rPr>
          <w:t>67</w:t>
        </w:r>
        <w:r w:rsidR="00DC334F" w:rsidRPr="00BD16B4">
          <w:rPr>
            <w:webHidden/>
          </w:rPr>
          <w:fldChar w:fldCharType="end"/>
        </w:r>
      </w:hyperlink>
    </w:p>
    <w:p w14:paraId="663BF46E" w14:textId="37912F32" w:rsidR="00DC334F" w:rsidRPr="00BD16B4" w:rsidRDefault="00FC49D2">
      <w:pPr>
        <w:pStyle w:val="TableofFigures"/>
        <w:tabs>
          <w:tab w:val="right" w:pos="8495"/>
        </w:tabs>
        <w:rPr>
          <w:rFonts w:asciiTheme="minorHAnsi" w:hAnsiTheme="minorHAnsi"/>
        </w:rPr>
      </w:pPr>
      <w:hyperlink w:anchor="_Toc121494385" w:history="1">
        <w:r w:rsidR="00DC334F" w:rsidRPr="00BD16B4">
          <w:rPr>
            <w:rStyle w:val="Hyperlink"/>
          </w:rPr>
          <w:t xml:space="preserve">Figure 3.5: </w:t>
        </w:r>
        <w:r w:rsidR="00DC334F" w:rsidRPr="00BD16B4">
          <w:rPr>
            <w:rFonts w:asciiTheme="minorHAnsi" w:hAnsiTheme="minorHAnsi"/>
          </w:rPr>
          <w:tab/>
        </w:r>
        <w:r w:rsidR="00DC334F" w:rsidRPr="00BD16B4">
          <w:rPr>
            <w:rStyle w:val="Hyperlink"/>
          </w:rPr>
          <w:t>Change in New Zealand’s emissions from fuel combustion categories, 1990 and 2020</w:t>
        </w:r>
        <w:r w:rsidR="00DC334F" w:rsidRPr="00BD16B4">
          <w:rPr>
            <w:webHidden/>
          </w:rPr>
          <w:tab/>
        </w:r>
        <w:r w:rsidR="00DC334F" w:rsidRPr="00BD16B4">
          <w:rPr>
            <w:webHidden/>
          </w:rPr>
          <w:fldChar w:fldCharType="begin"/>
        </w:r>
        <w:r w:rsidR="00DC334F" w:rsidRPr="00BD16B4">
          <w:rPr>
            <w:webHidden/>
          </w:rPr>
          <w:instrText xml:space="preserve"> PAGEREF _Toc121494385 \h </w:instrText>
        </w:r>
        <w:r w:rsidR="00DC334F" w:rsidRPr="00BD16B4">
          <w:rPr>
            <w:webHidden/>
          </w:rPr>
        </w:r>
        <w:r w:rsidR="00DC334F" w:rsidRPr="00BD16B4">
          <w:rPr>
            <w:webHidden/>
          </w:rPr>
          <w:fldChar w:fldCharType="separate"/>
        </w:r>
        <w:r w:rsidR="00A60C35">
          <w:rPr>
            <w:noProof/>
            <w:webHidden/>
          </w:rPr>
          <w:t>69</w:t>
        </w:r>
        <w:r w:rsidR="00DC334F" w:rsidRPr="00BD16B4">
          <w:rPr>
            <w:webHidden/>
          </w:rPr>
          <w:fldChar w:fldCharType="end"/>
        </w:r>
      </w:hyperlink>
    </w:p>
    <w:p w14:paraId="251D0724" w14:textId="5599D4E9" w:rsidR="00DC334F" w:rsidRPr="00BD16B4" w:rsidRDefault="00FC49D2">
      <w:pPr>
        <w:pStyle w:val="TableofFigures"/>
        <w:tabs>
          <w:tab w:val="right" w:pos="8495"/>
        </w:tabs>
        <w:rPr>
          <w:rFonts w:asciiTheme="minorHAnsi" w:hAnsiTheme="minorHAnsi"/>
        </w:rPr>
      </w:pPr>
      <w:hyperlink w:anchor="_Toc121494386" w:history="1">
        <w:r w:rsidR="00DC334F" w:rsidRPr="00BD16B4">
          <w:rPr>
            <w:rStyle w:val="Hyperlink"/>
          </w:rPr>
          <w:t xml:space="preserve">Figure 3.6: </w:t>
        </w:r>
        <w:r w:rsidR="00DC334F" w:rsidRPr="00BD16B4">
          <w:rPr>
            <w:rFonts w:asciiTheme="minorHAnsi" w:hAnsiTheme="minorHAnsi"/>
          </w:rPr>
          <w:tab/>
        </w:r>
        <w:r w:rsidR="00DC334F" w:rsidRPr="00BD16B4">
          <w:rPr>
            <w:rStyle w:val="Hyperlink"/>
          </w:rPr>
          <w:t>Change in New Zealand’s emissions from the IPPU sector, 1990 and 2020</w:t>
        </w:r>
        <w:r w:rsidR="00DC334F" w:rsidRPr="00BD16B4">
          <w:rPr>
            <w:webHidden/>
          </w:rPr>
          <w:tab/>
        </w:r>
        <w:r w:rsidR="00DC334F" w:rsidRPr="00BD16B4">
          <w:rPr>
            <w:webHidden/>
          </w:rPr>
          <w:fldChar w:fldCharType="begin"/>
        </w:r>
        <w:r w:rsidR="00DC334F" w:rsidRPr="00BD16B4">
          <w:rPr>
            <w:webHidden/>
          </w:rPr>
          <w:instrText xml:space="preserve"> PAGEREF _Toc121494386 \h </w:instrText>
        </w:r>
        <w:r w:rsidR="00DC334F" w:rsidRPr="00BD16B4">
          <w:rPr>
            <w:webHidden/>
          </w:rPr>
        </w:r>
        <w:r w:rsidR="00DC334F" w:rsidRPr="00BD16B4">
          <w:rPr>
            <w:webHidden/>
          </w:rPr>
          <w:fldChar w:fldCharType="separate"/>
        </w:r>
        <w:r w:rsidR="00A60C35">
          <w:rPr>
            <w:noProof/>
            <w:webHidden/>
          </w:rPr>
          <w:t>70</w:t>
        </w:r>
        <w:r w:rsidR="00DC334F" w:rsidRPr="00BD16B4">
          <w:rPr>
            <w:webHidden/>
          </w:rPr>
          <w:fldChar w:fldCharType="end"/>
        </w:r>
      </w:hyperlink>
    </w:p>
    <w:p w14:paraId="65A7A81F" w14:textId="04BABBC9" w:rsidR="00DC334F" w:rsidRPr="00BD16B4" w:rsidRDefault="00FC49D2">
      <w:pPr>
        <w:pStyle w:val="TableofFigures"/>
        <w:tabs>
          <w:tab w:val="right" w:pos="8495"/>
        </w:tabs>
        <w:rPr>
          <w:rFonts w:asciiTheme="minorHAnsi" w:hAnsiTheme="minorHAnsi"/>
        </w:rPr>
      </w:pPr>
      <w:hyperlink w:anchor="_Toc121494387" w:history="1">
        <w:r w:rsidR="00DC334F" w:rsidRPr="00BD16B4">
          <w:rPr>
            <w:rStyle w:val="Hyperlink"/>
          </w:rPr>
          <w:t xml:space="preserve">Figure 3.7: </w:t>
        </w:r>
        <w:r w:rsidR="00DC334F" w:rsidRPr="00BD16B4">
          <w:rPr>
            <w:rFonts w:asciiTheme="minorHAnsi" w:hAnsiTheme="minorHAnsi"/>
          </w:rPr>
          <w:tab/>
        </w:r>
        <w:r w:rsidR="00DC334F" w:rsidRPr="00BD16B4">
          <w:rPr>
            <w:rStyle w:val="Hyperlink"/>
          </w:rPr>
          <w:t>Change in New Zealand’s emissions from the agriculture sector, 1990 and</w:t>
        </w:r>
        <w:r w:rsidR="00191389" w:rsidRPr="00BD16B4">
          <w:rPr>
            <w:rStyle w:val="Hyperlink"/>
          </w:rPr>
          <w:t> </w:t>
        </w:r>
        <w:r w:rsidR="00DC334F" w:rsidRPr="00BD16B4">
          <w:rPr>
            <w:rStyle w:val="Hyperlink"/>
          </w:rPr>
          <w:t>2020</w:t>
        </w:r>
        <w:r w:rsidR="00DC334F" w:rsidRPr="00BD16B4">
          <w:rPr>
            <w:webHidden/>
          </w:rPr>
          <w:tab/>
        </w:r>
        <w:r w:rsidR="00DC334F" w:rsidRPr="00BD16B4">
          <w:rPr>
            <w:webHidden/>
          </w:rPr>
          <w:fldChar w:fldCharType="begin"/>
        </w:r>
        <w:r w:rsidR="00DC334F" w:rsidRPr="00BD16B4">
          <w:rPr>
            <w:webHidden/>
          </w:rPr>
          <w:instrText xml:space="preserve"> PAGEREF _Toc121494387 \h </w:instrText>
        </w:r>
        <w:r w:rsidR="00DC334F" w:rsidRPr="00BD16B4">
          <w:rPr>
            <w:webHidden/>
          </w:rPr>
        </w:r>
        <w:r w:rsidR="00DC334F" w:rsidRPr="00BD16B4">
          <w:rPr>
            <w:webHidden/>
          </w:rPr>
          <w:fldChar w:fldCharType="separate"/>
        </w:r>
        <w:r w:rsidR="00A60C35">
          <w:rPr>
            <w:noProof/>
            <w:webHidden/>
          </w:rPr>
          <w:t>71</w:t>
        </w:r>
        <w:r w:rsidR="00DC334F" w:rsidRPr="00BD16B4">
          <w:rPr>
            <w:webHidden/>
          </w:rPr>
          <w:fldChar w:fldCharType="end"/>
        </w:r>
      </w:hyperlink>
    </w:p>
    <w:p w14:paraId="6BE9A85E" w14:textId="6B97618A" w:rsidR="00DC334F" w:rsidRPr="00BD16B4" w:rsidRDefault="00FC49D2">
      <w:pPr>
        <w:pStyle w:val="TableofFigures"/>
        <w:tabs>
          <w:tab w:val="right" w:pos="8495"/>
        </w:tabs>
        <w:rPr>
          <w:rFonts w:asciiTheme="minorHAnsi" w:hAnsiTheme="minorHAnsi"/>
        </w:rPr>
      </w:pPr>
      <w:hyperlink w:anchor="_Toc121494388" w:history="1">
        <w:r w:rsidR="00DC334F" w:rsidRPr="00BD16B4">
          <w:rPr>
            <w:rStyle w:val="Hyperlink"/>
          </w:rPr>
          <w:t>Figure 3.8:</w:t>
        </w:r>
        <w:r w:rsidR="00DC334F" w:rsidRPr="00BD16B4">
          <w:rPr>
            <w:rFonts w:asciiTheme="minorHAnsi" w:hAnsiTheme="minorHAnsi"/>
          </w:rPr>
          <w:tab/>
        </w:r>
        <w:r w:rsidR="00DC334F" w:rsidRPr="00BD16B4">
          <w:rPr>
            <w:rStyle w:val="Hyperlink"/>
          </w:rPr>
          <w:t>Change in New Zealand’s emissions from the waste sector, 1990 and 2020</w:t>
        </w:r>
        <w:r w:rsidR="00DC334F" w:rsidRPr="00BD16B4">
          <w:rPr>
            <w:webHidden/>
          </w:rPr>
          <w:tab/>
        </w:r>
        <w:r w:rsidR="00DC334F" w:rsidRPr="00BD16B4">
          <w:rPr>
            <w:webHidden/>
          </w:rPr>
          <w:fldChar w:fldCharType="begin"/>
        </w:r>
        <w:r w:rsidR="00DC334F" w:rsidRPr="00BD16B4">
          <w:rPr>
            <w:webHidden/>
          </w:rPr>
          <w:instrText xml:space="preserve"> PAGEREF _Toc121494388 \h </w:instrText>
        </w:r>
        <w:r w:rsidR="00DC334F" w:rsidRPr="00BD16B4">
          <w:rPr>
            <w:webHidden/>
          </w:rPr>
        </w:r>
        <w:r w:rsidR="00DC334F" w:rsidRPr="00BD16B4">
          <w:rPr>
            <w:webHidden/>
          </w:rPr>
          <w:fldChar w:fldCharType="separate"/>
        </w:r>
        <w:r w:rsidR="00A60C35">
          <w:rPr>
            <w:noProof/>
            <w:webHidden/>
          </w:rPr>
          <w:t>72</w:t>
        </w:r>
        <w:r w:rsidR="00DC334F" w:rsidRPr="00BD16B4">
          <w:rPr>
            <w:webHidden/>
          </w:rPr>
          <w:fldChar w:fldCharType="end"/>
        </w:r>
      </w:hyperlink>
    </w:p>
    <w:p w14:paraId="7DED08B1" w14:textId="11153A67" w:rsidR="00DC334F" w:rsidRPr="00BD16B4" w:rsidRDefault="00FC49D2">
      <w:pPr>
        <w:pStyle w:val="TableofFigures"/>
        <w:tabs>
          <w:tab w:val="right" w:pos="8495"/>
        </w:tabs>
        <w:rPr>
          <w:rFonts w:asciiTheme="minorHAnsi" w:hAnsiTheme="minorHAnsi"/>
        </w:rPr>
      </w:pPr>
      <w:hyperlink w:anchor="_Toc121494389" w:history="1">
        <w:r w:rsidR="00DC334F" w:rsidRPr="00BD16B4">
          <w:rPr>
            <w:rStyle w:val="Hyperlink"/>
          </w:rPr>
          <w:t>Figure 3.9:</w:t>
        </w:r>
        <w:r w:rsidR="00DC334F" w:rsidRPr="00BD16B4">
          <w:rPr>
            <w:rFonts w:asciiTheme="minorHAnsi" w:hAnsiTheme="minorHAnsi"/>
          </w:rPr>
          <w:tab/>
        </w:r>
        <w:r w:rsidR="00DC334F" w:rsidRPr="00BD16B4">
          <w:rPr>
            <w:rStyle w:val="Hyperlink"/>
          </w:rPr>
          <w:t>Tokelau’s greenhouse gas emissions by gas, 2020</w:t>
        </w:r>
        <w:r w:rsidR="00DC334F" w:rsidRPr="00BD16B4">
          <w:rPr>
            <w:webHidden/>
          </w:rPr>
          <w:tab/>
        </w:r>
        <w:r w:rsidR="00DC334F" w:rsidRPr="00BD16B4">
          <w:rPr>
            <w:webHidden/>
          </w:rPr>
          <w:fldChar w:fldCharType="begin"/>
        </w:r>
        <w:r w:rsidR="00DC334F" w:rsidRPr="00BD16B4">
          <w:rPr>
            <w:webHidden/>
          </w:rPr>
          <w:instrText xml:space="preserve"> PAGEREF _Toc121494389 \h </w:instrText>
        </w:r>
        <w:r w:rsidR="00DC334F" w:rsidRPr="00BD16B4">
          <w:rPr>
            <w:webHidden/>
          </w:rPr>
        </w:r>
        <w:r w:rsidR="00DC334F" w:rsidRPr="00BD16B4">
          <w:rPr>
            <w:webHidden/>
          </w:rPr>
          <w:fldChar w:fldCharType="separate"/>
        </w:r>
        <w:r w:rsidR="00A60C35">
          <w:rPr>
            <w:noProof/>
            <w:webHidden/>
          </w:rPr>
          <w:t>73</w:t>
        </w:r>
        <w:r w:rsidR="00DC334F" w:rsidRPr="00BD16B4">
          <w:rPr>
            <w:webHidden/>
          </w:rPr>
          <w:fldChar w:fldCharType="end"/>
        </w:r>
      </w:hyperlink>
    </w:p>
    <w:p w14:paraId="097379E5" w14:textId="00797E21" w:rsidR="00DC334F" w:rsidRPr="00BD16B4" w:rsidRDefault="00FC49D2">
      <w:pPr>
        <w:pStyle w:val="TableofFigures"/>
        <w:tabs>
          <w:tab w:val="right" w:pos="8495"/>
        </w:tabs>
        <w:rPr>
          <w:rFonts w:asciiTheme="minorHAnsi" w:hAnsiTheme="minorHAnsi"/>
        </w:rPr>
      </w:pPr>
      <w:hyperlink w:anchor="_Toc121494390" w:history="1">
        <w:r w:rsidR="00DC334F" w:rsidRPr="00BD16B4">
          <w:rPr>
            <w:rStyle w:val="Hyperlink"/>
          </w:rPr>
          <w:t>Figure 3.50:</w:t>
        </w:r>
        <w:r w:rsidR="00DC334F" w:rsidRPr="00BD16B4">
          <w:rPr>
            <w:rFonts w:asciiTheme="minorHAnsi" w:hAnsiTheme="minorHAnsi"/>
          </w:rPr>
          <w:tab/>
        </w:r>
        <w:r w:rsidR="00DC334F" w:rsidRPr="00BD16B4">
          <w:rPr>
            <w:rStyle w:val="Hyperlink"/>
          </w:rPr>
          <w:t>Tokelau’s greenhouse gas emissions by sector, 2020</w:t>
        </w:r>
        <w:r w:rsidR="00DC334F" w:rsidRPr="00BD16B4">
          <w:rPr>
            <w:webHidden/>
          </w:rPr>
          <w:tab/>
        </w:r>
        <w:r w:rsidR="00DC334F" w:rsidRPr="00BD16B4">
          <w:rPr>
            <w:webHidden/>
          </w:rPr>
          <w:fldChar w:fldCharType="begin"/>
        </w:r>
        <w:r w:rsidR="00DC334F" w:rsidRPr="00BD16B4">
          <w:rPr>
            <w:webHidden/>
          </w:rPr>
          <w:instrText xml:space="preserve"> PAGEREF _Toc121494390 \h </w:instrText>
        </w:r>
        <w:r w:rsidR="00DC334F" w:rsidRPr="00BD16B4">
          <w:rPr>
            <w:webHidden/>
          </w:rPr>
        </w:r>
        <w:r w:rsidR="00DC334F" w:rsidRPr="00BD16B4">
          <w:rPr>
            <w:webHidden/>
          </w:rPr>
          <w:fldChar w:fldCharType="separate"/>
        </w:r>
        <w:r w:rsidR="00A60C35">
          <w:rPr>
            <w:noProof/>
            <w:webHidden/>
          </w:rPr>
          <w:t>73</w:t>
        </w:r>
        <w:r w:rsidR="00DC334F" w:rsidRPr="00BD16B4">
          <w:rPr>
            <w:webHidden/>
          </w:rPr>
          <w:fldChar w:fldCharType="end"/>
        </w:r>
      </w:hyperlink>
    </w:p>
    <w:p w14:paraId="2E1808F4" w14:textId="234FBBD1" w:rsidR="00DC334F" w:rsidRPr="00BD16B4" w:rsidRDefault="00FC49D2">
      <w:pPr>
        <w:pStyle w:val="TableofFigures"/>
        <w:tabs>
          <w:tab w:val="right" w:pos="8495"/>
        </w:tabs>
        <w:rPr>
          <w:rFonts w:asciiTheme="minorHAnsi" w:hAnsiTheme="minorHAnsi"/>
        </w:rPr>
      </w:pPr>
      <w:hyperlink w:anchor="_Toc121494391" w:history="1">
        <w:r w:rsidR="00DC334F" w:rsidRPr="00BD16B4">
          <w:rPr>
            <w:rStyle w:val="Hyperlink"/>
          </w:rPr>
          <w:t>Figure 3.11:</w:t>
        </w:r>
        <w:r w:rsidR="00DC334F" w:rsidRPr="00BD16B4">
          <w:rPr>
            <w:rFonts w:asciiTheme="minorHAnsi" w:hAnsiTheme="minorHAnsi"/>
          </w:rPr>
          <w:tab/>
        </w:r>
        <w:r w:rsidR="00DC334F" w:rsidRPr="00BD16B4">
          <w:rPr>
            <w:rStyle w:val="Hyperlink"/>
          </w:rPr>
          <w:t>Absolute change in net emissions from the LULUCF sector, 1990–2020</w:t>
        </w:r>
        <w:r w:rsidR="00DC334F" w:rsidRPr="00BD16B4">
          <w:rPr>
            <w:webHidden/>
          </w:rPr>
          <w:tab/>
        </w:r>
        <w:r w:rsidR="00DC334F" w:rsidRPr="00BD16B4">
          <w:rPr>
            <w:webHidden/>
          </w:rPr>
          <w:fldChar w:fldCharType="begin"/>
        </w:r>
        <w:r w:rsidR="00DC334F" w:rsidRPr="00BD16B4">
          <w:rPr>
            <w:webHidden/>
          </w:rPr>
          <w:instrText xml:space="preserve"> PAGEREF _Toc121494391 \h </w:instrText>
        </w:r>
        <w:r w:rsidR="00DC334F" w:rsidRPr="00BD16B4">
          <w:rPr>
            <w:webHidden/>
          </w:rPr>
        </w:r>
        <w:r w:rsidR="00DC334F" w:rsidRPr="00BD16B4">
          <w:rPr>
            <w:webHidden/>
          </w:rPr>
          <w:fldChar w:fldCharType="separate"/>
        </w:r>
        <w:r w:rsidR="00A60C35">
          <w:rPr>
            <w:noProof/>
            <w:webHidden/>
          </w:rPr>
          <w:t>75</w:t>
        </w:r>
        <w:r w:rsidR="00DC334F" w:rsidRPr="00BD16B4">
          <w:rPr>
            <w:webHidden/>
          </w:rPr>
          <w:fldChar w:fldCharType="end"/>
        </w:r>
      </w:hyperlink>
    </w:p>
    <w:p w14:paraId="6B1C4C68" w14:textId="23B988F5" w:rsidR="00DC334F" w:rsidRPr="00BD16B4" w:rsidRDefault="00FC49D2">
      <w:pPr>
        <w:pStyle w:val="TableofFigures"/>
        <w:tabs>
          <w:tab w:val="right" w:pos="8495"/>
        </w:tabs>
        <w:rPr>
          <w:rFonts w:asciiTheme="minorHAnsi" w:hAnsiTheme="minorHAnsi"/>
        </w:rPr>
      </w:pPr>
      <w:hyperlink w:anchor="_Toc121494392" w:history="1">
        <w:r w:rsidR="00DC334F" w:rsidRPr="00BD16B4">
          <w:rPr>
            <w:rStyle w:val="Hyperlink"/>
          </w:rPr>
          <w:t>Figure 3.62:</w:t>
        </w:r>
        <w:r w:rsidR="00DC334F" w:rsidRPr="00BD16B4">
          <w:rPr>
            <w:rFonts w:asciiTheme="minorHAnsi" w:hAnsiTheme="minorHAnsi"/>
          </w:rPr>
          <w:tab/>
        </w:r>
        <w:r w:rsidR="00DC334F" w:rsidRPr="00BD16B4">
          <w:rPr>
            <w:rStyle w:val="Hyperlink"/>
          </w:rPr>
          <w:t>New Zealand’s annual emissions from the LULUCF sector, 1990–2020</w:t>
        </w:r>
        <w:r w:rsidR="00DC334F" w:rsidRPr="00BD16B4">
          <w:rPr>
            <w:webHidden/>
          </w:rPr>
          <w:tab/>
        </w:r>
        <w:r w:rsidR="00DC334F" w:rsidRPr="00BD16B4">
          <w:rPr>
            <w:webHidden/>
          </w:rPr>
          <w:fldChar w:fldCharType="begin"/>
        </w:r>
        <w:r w:rsidR="00DC334F" w:rsidRPr="00BD16B4">
          <w:rPr>
            <w:webHidden/>
          </w:rPr>
          <w:instrText xml:space="preserve"> PAGEREF _Toc121494392 \h </w:instrText>
        </w:r>
        <w:r w:rsidR="00DC334F" w:rsidRPr="00BD16B4">
          <w:rPr>
            <w:webHidden/>
          </w:rPr>
        </w:r>
        <w:r w:rsidR="00DC334F" w:rsidRPr="00BD16B4">
          <w:rPr>
            <w:webHidden/>
          </w:rPr>
          <w:fldChar w:fldCharType="separate"/>
        </w:r>
        <w:r w:rsidR="00A60C35">
          <w:rPr>
            <w:noProof/>
            <w:webHidden/>
          </w:rPr>
          <w:t>75</w:t>
        </w:r>
        <w:r w:rsidR="00DC334F" w:rsidRPr="00BD16B4">
          <w:rPr>
            <w:webHidden/>
          </w:rPr>
          <w:fldChar w:fldCharType="end"/>
        </w:r>
      </w:hyperlink>
    </w:p>
    <w:p w14:paraId="37AC34D5" w14:textId="501927E6" w:rsidR="00DC334F" w:rsidRPr="00BD16B4" w:rsidRDefault="00FC49D2">
      <w:pPr>
        <w:pStyle w:val="TableofFigures"/>
        <w:tabs>
          <w:tab w:val="right" w:pos="8495"/>
        </w:tabs>
        <w:rPr>
          <w:rFonts w:asciiTheme="minorHAnsi" w:hAnsiTheme="minorHAnsi"/>
        </w:rPr>
      </w:pPr>
      <w:hyperlink w:anchor="_Toc121494393" w:history="1">
        <w:r w:rsidR="00DC334F" w:rsidRPr="00BD16B4">
          <w:rPr>
            <w:rStyle w:val="Hyperlink"/>
          </w:rPr>
          <w:t xml:space="preserve">Figure 3.13: </w:t>
        </w:r>
        <w:r w:rsidR="00DC334F" w:rsidRPr="00BD16B4">
          <w:rPr>
            <w:rFonts w:asciiTheme="minorHAnsi" w:hAnsiTheme="minorHAnsi"/>
          </w:rPr>
          <w:tab/>
        </w:r>
        <w:r w:rsidR="00DC334F" w:rsidRPr="00BD16B4">
          <w:rPr>
            <w:rStyle w:val="Hyperlink"/>
          </w:rPr>
          <w:t>New Zealand’s gross greenhouse gas emissions by gas, 2020</w:t>
        </w:r>
        <w:r w:rsidR="00DC334F" w:rsidRPr="00BD16B4">
          <w:rPr>
            <w:webHidden/>
          </w:rPr>
          <w:tab/>
        </w:r>
        <w:r w:rsidR="00DC334F" w:rsidRPr="00BD16B4">
          <w:rPr>
            <w:webHidden/>
          </w:rPr>
          <w:fldChar w:fldCharType="begin"/>
        </w:r>
        <w:r w:rsidR="00DC334F" w:rsidRPr="00BD16B4">
          <w:rPr>
            <w:webHidden/>
          </w:rPr>
          <w:instrText xml:space="preserve"> PAGEREF _Toc121494393 \h </w:instrText>
        </w:r>
        <w:r w:rsidR="00DC334F" w:rsidRPr="00BD16B4">
          <w:rPr>
            <w:webHidden/>
          </w:rPr>
        </w:r>
        <w:r w:rsidR="00DC334F" w:rsidRPr="00BD16B4">
          <w:rPr>
            <w:webHidden/>
          </w:rPr>
          <w:fldChar w:fldCharType="separate"/>
        </w:r>
        <w:r w:rsidR="00A60C35">
          <w:rPr>
            <w:noProof/>
            <w:webHidden/>
          </w:rPr>
          <w:t>77</w:t>
        </w:r>
        <w:r w:rsidR="00DC334F" w:rsidRPr="00BD16B4">
          <w:rPr>
            <w:webHidden/>
          </w:rPr>
          <w:fldChar w:fldCharType="end"/>
        </w:r>
      </w:hyperlink>
    </w:p>
    <w:p w14:paraId="64739D61" w14:textId="0F8F63DC" w:rsidR="00DC334F" w:rsidRPr="00BD16B4" w:rsidRDefault="00FC49D2">
      <w:pPr>
        <w:pStyle w:val="TableofFigures"/>
        <w:tabs>
          <w:tab w:val="right" w:pos="8495"/>
        </w:tabs>
        <w:rPr>
          <w:rFonts w:asciiTheme="minorHAnsi" w:hAnsiTheme="minorHAnsi"/>
        </w:rPr>
      </w:pPr>
      <w:hyperlink w:anchor="_Toc121494394" w:history="1">
        <w:r w:rsidR="00DC334F" w:rsidRPr="00BD16B4">
          <w:rPr>
            <w:rStyle w:val="Hyperlink"/>
          </w:rPr>
          <w:t xml:space="preserve">Figure 3.14: </w:t>
        </w:r>
        <w:r w:rsidR="00DC334F" w:rsidRPr="00BD16B4">
          <w:rPr>
            <w:rFonts w:asciiTheme="minorHAnsi" w:hAnsiTheme="minorHAnsi"/>
          </w:rPr>
          <w:tab/>
        </w:r>
        <w:r w:rsidR="00DC334F" w:rsidRPr="00BD16B4">
          <w:rPr>
            <w:rStyle w:val="Hyperlink"/>
          </w:rPr>
          <w:t>New Zealand’s gross emissions by gas, 1990 and 2020</w:t>
        </w:r>
        <w:r w:rsidR="00DC334F" w:rsidRPr="00BD16B4">
          <w:rPr>
            <w:webHidden/>
          </w:rPr>
          <w:tab/>
        </w:r>
        <w:r w:rsidR="00DC334F" w:rsidRPr="00BD16B4">
          <w:rPr>
            <w:webHidden/>
          </w:rPr>
          <w:fldChar w:fldCharType="begin"/>
        </w:r>
        <w:r w:rsidR="00DC334F" w:rsidRPr="00BD16B4">
          <w:rPr>
            <w:webHidden/>
          </w:rPr>
          <w:instrText xml:space="preserve"> PAGEREF _Toc121494394 \h </w:instrText>
        </w:r>
        <w:r w:rsidR="00DC334F" w:rsidRPr="00BD16B4">
          <w:rPr>
            <w:webHidden/>
          </w:rPr>
        </w:r>
        <w:r w:rsidR="00DC334F" w:rsidRPr="00BD16B4">
          <w:rPr>
            <w:webHidden/>
          </w:rPr>
          <w:fldChar w:fldCharType="separate"/>
        </w:r>
        <w:r w:rsidR="00A60C35">
          <w:rPr>
            <w:noProof/>
            <w:webHidden/>
          </w:rPr>
          <w:t>78</w:t>
        </w:r>
        <w:r w:rsidR="00DC334F" w:rsidRPr="00BD16B4">
          <w:rPr>
            <w:webHidden/>
          </w:rPr>
          <w:fldChar w:fldCharType="end"/>
        </w:r>
      </w:hyperlink>
    </w:p>
    <w:p w14:paraId="42696F73" w14:textId="321FFBF8" w:rsidR="00DC334F" w:rsidRPr="00BD16B4" w:rsidRDefault="00FC49D2">
      <w:pPr>
        <w:pStyle w:val="TableofFigures"/>
        <w:tabs>
          <w:tab w:val="right" w:pos="8495"/>
        </w:tabs>
        <w:rPr>
          <w:rFonts w:asciiTheme="minorHAnsi" w:hAnsiTheme="minorHAnsi"/>
        </w:rPr>
      </w:pPr>
      <w:hyperlink w:anchor="_Toc121494395" w:history="1">
        <w:r w:rsidR="00DC334F" w:rsidRPr="00BD16B4">
          <w:rPr>
            <w:rStyle w:val="Hyperlink"/>
          </w:rPr>
          <w:t>Figure 4.1</w:t>
        </w:r>
        <w:r w:rsidR="00E07E64" w:rsidRPr="00BD16B4">
          <w:rPr>
            <w:rStyle w:val="Hyperlink"/>
          </w:rPr>
          <w:t>:</w:t>
        </w:r>
        <w:r w:rsidR="00DC334F" w:rsidRPr="00BD16B4">
          <w:rPr>
            <w:rFonts w:asciiTheme="minorHAnsi" w:hAnsiTheme="minorHAnsi"/>
          </w:rPr>
          <w:tab/>
        </w:r>
        <w:r w:rsidR="00DC334F" w:rsidRPr="00BD16B4">
          <w:rPr>
            <w:rStyle w:val="Hyperlink"/>
          </w:rPr>
          <w:t>New Zealand’s international and domestic emissions reductions targets</w:t>
        </w:r>
        <w:r w:rsidR="00DC334F" w:rsidRPr="00BD16B4">
          <w:rPr>
            <w:webHidden/>
          </w:rPr>
          <w:tab/>
        </w:r>
        <w:r w:rsidR="00DC334F" w:rsidRPr="00BD16B4">
          <w:rPr>
            <w:webHidden/>
          </w:rPr>
          <w:fldChar w:fldCharType="begin"/>
        </w:r>
        <w:r w:rsidR="00DC334F" w:rsidRPr="00BD16B4">
          <w:rPr>
            <w:webHidden/>
          </w:rPr>
          <w:instrText xml:space="preserve"> PAGEREF _Toc121494395 \h </w:instrText>
        </w:r>
        <w:r w:rsidR="00DC334F" w:rsidRPr="00BD16B4">
          <w:rPr>
            <w:webHidden/>
          </w:rPr>
        </w:r>
        <w:r w:rsidR="00DC334F" w:rsidRPr="00BD16B4">
          <w:rPr>
            <w:webHidden/>
          </w:rPr>
          <w:fldChar w:fldCharType="separate"/>
        </w:r>
        <w:r w:rsidR="00A60C35">
          <w:rPr>
            <w:noProof/>
            <w:webHidden/>
          </w:rPr>
          <w:t>83</w:t>
        </w:r>
        <w:r w:rsidR="00DC334F" w:rsidRPr="00BD16B4">
          <w:rPr>
            <w:webHidden/>
          </w:rPr>
          <w:fldChar w:fldCharType="end"/>
        </w:r>
      </w:hyperlink>
    </w:p>
    <w:p w14:paraId="61E5671E" w14:textId="253E8C3D" w:rsidR="00DC334F" w:rsidRPr="00BD16B4" w:rsidRDefault="00FC49D2">
      <w:pPr>
        <w:pStyle w:val="TableofFigures"/>
        <w:tabs>
          <w:tab w:val="right" w:pos="8495"/>
        </w:tabs>
        <w:rPr>
          <w:rFonts w:asciiTheme="minorHAnsi" w:hAnsiTheme="minorHAnsi"/>
        </w:rPr>
      </w:pPr>
      <w:hyperlink w:anchor="_Toc121494396" w:history="1">
        <w:r w:rsidR="00DC334F" w:rsidRPr="00BD16B4">
          <w:rPr>
            <w:rStyle w:val="Hyperlink"/>
          </w:rPr>
          <w:t xml:space="preserve">Figure 4.2: </w:t>
        </w:r>
        <w:r w:rsidR="00DC334F" w:rsidRPr="00BD16B4">
          <w:rPr>
            <w:rFonts w:asciiTheme="minorHAnsi" w:hAnsiTheme="minorHAnsi"/>
          </w:rPr>
          <w:tab/>
        </w:r>
        <w:r w:rsidR="00DC334F" w:rsidRPr="00BD16B4">
          <w:rPr>
            <w:rStyle w:val="Hyperlink"/>
          </w:rPr>
          <w:t>Aotearoa New Zealand’s emissions reductions strategy</w:t>
        </w:r>
        <w:r w:rsidR="00DC334F" w:rsidRPr="00BD16B4">
          <w:rPr>
            <w:webHidden/>
          </w:rPr>
          <w:tab/>
        </w:r>
        <w:r w:rsidR="00DC334F" w:rsidRPr="00BD16B4">
          <w:rPr>
            <w:webHidden/>
          </w:rPr>
          <w:fldChar w:fldCharType="begin"/>
        </w:r>
        <w:r w:rsidR="00DC334F" w:rsidRPr="00BD16B4">
          <w:rPr>
            <w:webHidden/>
          </w:rPr>
          <w:instrText xml:space="preserve"> PAGEREF _Toc121494396 \h </w:instrText>
        </w:r>
        <w:r w:rsidR="00DC334F" w:rsidRPr="00BD16B4">
          <w:rPr>
            <w:webHidden/>
          </w:rPr>
        </w:r>
        <w:r w:rsidR="00DC334F" w:rsidRPr="00BD16B4">
          <w:rPr>
            <w:webHidden/>
          </w:rPr>
          <w:fldChar w:fldCharType="separate"/>
        </w:r>
        <w:r w:rsidR="00A60C35">
          <w:rPr>
            <w:noProof/>
            <w:webHidden/>
          </w:rPr>
          <w:t>87</w:t>
        </w:r>
        <w:r w:rsidR="00DC334F" w:rsidRPr="00BD16B4">
          <w:rPr>
            <w:webHidden/>
          </w:rPr>
          <w:fldChar w:fldCharType="end"/>
        </w:r>
      </w:hyperlink>
    </w:p>
    <w:p w14:paraId="38B1C9A8" w14:textId="13E892AD" w:rsidR="00DC334F" w:rsidRPr="00BD16B4" w:rsidRDefault="00FC49D2">
      <w:pPr>
        <w:pStyle w:val="TableofFigures"/>
        <w:tabs>
          <w:tab w:val="right" w:pos="8495"/>
        </w:tabs>
        <w:rPr>
          <w:rFonts w:asciiTheme="minorHAnsi" w:hAnsiTheme="minorHAnsi"/>
        </w:rPr>
      </w:pPr>
      <w:hyperlink w:anchor="_Toc121494397" w:history="1">
        <w:r w:rsidR="00DC334F" w:rsidRPr="00BD16B4">
          <w:rPr>
            <w:rStyle w:val="Hyperlink"/>
            <w:rFonts w:eastAsia="Calibri"/>
          </w:rPr>
          <w:t>Figure 4.</w:t>
        </w:r>
        <w:r w:rsidR="00DC334F" w:rsidRPr="00BD16B4">
          <w:rPr>
            <w:rStyle w:val="Hyperlink"/>
          </w:rPr>
          <w:t>3</w:t>
        </w:r>
        <w:r w:rsidR="00DC334F" w:rsidRPr="00BD16B4">
          <w:rPr>
            <w:rStyle w:val="Hyperlink"/>
            <w:rFonts w:eastAsia="Calibri"/>
          </w:rPr>
          <w:t>:</w:t>
        </w:r>
        <w:r w:rsidR="00DC334F" w:rsidRPr="00BD16B4">
          <w:rPr>
            <w:rFonts w:asciiTheme="minorHAnsi" w:hAnsiTheme="minorHAnsi"/>
          </w:rPr>
          <w:tab/>
        </w:r>
        <w:r w:rsidR="00DC334F" w:rsidRPr="00BD16B4">
          <w:rPr>
            <w:rStyle w:val="Hyperlink"/>
            <w:rFonts w:eastAsia="Calibri"/>
          </w:rPr>
          <w:t>Trend in emissions intensity (kg CO</w:t>
        </w:r>
        <w:r w:rsidR="00DC334F" w:rsidRPr="00BD16B4">
          <w:rPr>
            <w:rStyle w:val="Hyperlink"/>
            <w:rFonts w:eastAsia="Calibri"/>
            <w:vertAlign w:val="subscript"/>
          </w:rPr>
          <w:t>2</w:t>
        </w:r>
        <w:r w:rsidR="00DC334F" w:rsidRPr="00BD16B4">
          <w:rPr>
            <w:rStyle w:val="Hyperlink"/>
            <w:rFonts w:eastAsia="Calibri"/>
          </w:rPr>
          <w:t>-e per kg product) for major livestock categories indexed to 1990 emissions intensity, 1990–2020</w:t>
        </w:r>
        <w:r w:rsidR="00DC334F" w:rsidRPr="00BD16B4">
          <w:rPr>
            <w:webHidden/>
          </w:rPr>
          <w:tab/>
        </w:r>
        <w:r w:rsidR="00DC334F" w:rsidRPr="00BD16B4">
          <w:rPr>
            <w:webHidden/>
          </w:rPr>
          <w:fldChar w:fldCharType="begin"/>
        </w:r>
        <w:r w:rsidR="00DC334F" w:rsidRPr="00BD16B4">
          <w:rPr>
            <w:webHidden/>
          </w:rPr>
          <w:instrText xml:space="preserve"> PAGEREF _Toc121494397 \h </w:instrText>
        </w:r>
        <w:r w:rsidR="00DC334F" w:rsidRPr="00BD16B4">
          <w:rPr>
            <w:webHidden/>
          </w:rPr>
        </w:r>
        <w:r w:rsidR="00DC334F" w:rsidRPr="00BD16B4">
          <w:rPr>
            <w:webHidden/>
          </w:rPr>
          <w:fldChar w:fldCharType="separate"/>
        </w:r>
        <w:r w:rsidR="00A60C35">
          <w:rPr>
            <w:noProof/>
            <w:webHidden/>
          </w:rPr>
          <w:t>119</w:t>
        </w:r>
        <w:r w:rsidR="00DC334F" w:rsidRPr="00BD16B4">
          <w:rPr>
            <w:webHidden/>
          </w:rPr>
          <w:fldChar w:fldCharType="end"/>
        </w:r>
      </w:hyperlink>
    </w:p>
    <w:p w14:paraId="1792111E" w14:textId="79E0E5D1" w:rsidR="00DC334F" w:rsidRPr="00BD16B4" w:rsidRDefault="00FC49D2">
      <w:pPr>
        <w:pStyle w:val="TableofFigures"/>
        <w:tabs>
          <w:tab w:val="right" w:pos="8495"/>
        </w:tabs>
        <w:rPr>
          <w:rFonts w:asciiTheme="minorHAnsi" w:hAnsiTheme="minorHAnsi"/>
        </w:rPr>
      </w:pPr>
      <w:hyperlink w:anchor="_Toc121494398" w:history="1">
        <w:r w:rsidR="00DC334F" w:rsidRPr="00BD16B4">
          <w:rPr>
            <w:rStyle w:val="Hyperlink"/>
          </w:rPr>
          <w:t xml:space="preserve">Figure 5.1: </w:t>
        </w:r>
        <w:r w:rsidR="00DC334F" w:rsidRPr="00BD16B4">
          <w:rPr>
            <w:rFonts w:asciiTheme="minorHAnsi" w:hAnsiTheme="minorHAnsi"/>
          </w:rPr>
          <w:tab/>
        </w:r>
        <w:r w:rsidR="00DC334F" w:rsidRPr="00BD16B4">
          <w:rPr>
            <w:rStyle w:val="Hyperlink"/>
          </w:rPr>
          <w:t>New Zealand’s gross emissions under the WEM, WOM and WAM scenarios, 1990–2035 (excluding emissions and removals from LULUCF)</w:t>
        </w:r>
        <w:r w:rsidR="00DC334F" w:rsidRPr="00BD16B4">
          <w:rPr>
            <w:webHidden/>
          </w:rPr>
          <w:tab/>
        </w:r>
        <w:r w:rsidR="00DC334F" w:rsidRPr="00BD16B4">
          <w:rPr>
            <w:webHidden/>
          </w:rPr>
          <w:fldChar w:fldCharType="begin"/>
        </w:r>
        <w:r w:rsidR="00DC334F" w:rsidRPr="00BD16B4">
          <w:rPr>
            <w:webHidden/>
          </w:rPr>
          <w:instrText xml:space="preserve"> PAGEREF _Toc121494398 \h </w:instrText>
        </w:r>
        <w:r w:rsidR="00DC334F" w:rsidRPr="00BD16B4">
          <w:rPr>
            <w:webHidden/>
          </w:rPr>
        </w:r>
        <w:r w:rsidR="00DC334F" w:rsidRPr="00BD16B4">
          <w:rPr>
            <w:webHidden/>
          </w:rPr>
          <w:fldChar w:fldCharType="separate"/>
        </w:r>
        <w:r w:rsidR="00A60C35">
          <w:rPr>
            <w:noProof/>
            <w:webHidden/>
          </w:rPr>
          <w:t>162</w:t>
        </w:r>
        <w:r w:rsidR="00DC334F" w:rsidRPr="00BD16B4">
          <w:rPr>
            <w:webHidden/>
          </w:rPr>
          <w:fldChar w:fldCharType="end"/>
        </w:r>
      </w:hyperlink>
    </w:p>
    <w:p w14:paraId="59A772A1" w14:textId="245E1657" w:rsidR="00DC334F" w:rsidRPr="00BD16B4" w:rsidRDefault="00FC49D2">
      <w:pPr>
        <w:pStyle w:val="TableofFigures"/>
        <w:tabs>
          <w:tab w:val="right" w:pos="8495"/>
        </w:tabs>
        <w:rPr>
          <w:rFonts w:asciiTheme="minorHAnsi" w:hAnsiTheme="minorHAnsi"/>
        </w:rPr>
      </w:pPr>
      <w:hyperlink w:anchor="_Toc121494399" w:history="1">
        <w:r w:rsidR="00DC334F" w:rsidRPr="00BD16B4">
          <w:rPr>
            <w:rStyle w:val="Hyperlink"/>
          </w:rPr>
          <w:t xml:space="preserve">Figure 5.2: </w:t>
        </w:r>
        <w:r w:rsidR="00DC334F" w:rsidRPr="00BD16B4">
          <w:rPr>
            <w:rFonts w:asciiTheme="minorHAnsi" w:hAnsiTheme="minorHAnsi"/>
          </w:rPr>
          <w:tab/>
        </w:r>
        <w:r w:rsidR="00DC334F" w:rsidRPr="00BD16B4">
          <w:rPr>
            <w:rStyle w:val="Hyperlink"/>
          </w:rPr>
          <w:t>New Zealand’s net emissions under the WEM, WOM and WAM scenarios, 1990–2035 (including emissions and removals from LULUCF)</w:t>
        </w:r>
        <w:r w:rsidR="00DC334F" w:rsidRPr="00BD16B4">
          <w:rPr>
            <w:webHidden/>
          </w:rPr>
          <w:tab/>
        </w:r>
        <w:r w:rsidR="00DC334F" w:rsidRPr="00BD16B4">
          <w:rPr>
            <w:webHidden/>
          </w:rPr>
          <w:fldChar w:fldCharType="begin"/>
        </w:r>
        <w:r w:rsidR="00DC334F" w:rsidRPr="00BD16B4">
          <w:rPr>
            <w:webHidden/>
          </w:rPr>
          <w:instrText xml:space="preserve"> PAGEREF _Toc121494399 \h </w:instrText>
        </w:r>
        <w:r w:rsidR="00DC334F" w:rsidRPr="00BD16B4">
          <w:rPr>
            <w:webHidden/>
          </w:rPr>
        </w:r>
        <w:r w:rsidR="00DC334F" w:rsidRPr="00BD16B4">
          <w:rPr>
            <w:webHidden/>
          </w:rPr>
          <w:fldChar w:fldCharType="separate"/>
        </w:r>
        <w:r w:rsidR="00A60C35">
          <w:rPr>
            <w:noProof/>
            <w:webHidden/>
          </w:rPr>
          <w:t>162</w:t>
        </w:r>
        <w:r w:rsidR="00DC334F" w:rsidRPr="00BD16B4">
          <w:rPr>
            <w:webHidden/>
          </w:rPr>
          <w:fldChar w:fldCharType="end"/>
        </w:r>
      </w:hyperlink>
    </w:p>
    <w:p w14:paraId="07E57650" w14:textId="368EA408" w:rsidR="00DC334F" w:rsidRPr="00BD16B4" w:rsidRDefault="00FC49D2">
      <w:pPr>
        <w:pStyle w:val="TableofFigures"/>
        <w:tabs>
          <w:tab w:val="right" w:pos="8495"/>
        </w:tabs>
        <w:rPr>
          <w:rFonts w:asciiTheme="minorHAnsi" w:hAnsiTheme="minorHAnsi"/>
        </w:rPr>
      </w:pPr>
      <w:hyperlink w:anchor="_Toc121494400" w:history="1">
        <w:r w:rsidR="00DC334F" w:rsidRPr="00BD16B4">
          <w:rPr>
            <w:rStyle w:val="Hyperlink"/>
          </w:rPr>
          <w:t xml:space="preserve">Figure 5.3: </w:t>
        </w:r>
        <w:r w:rsidR="00DC334F" w:rsidRPr="00BD16B4">
          <w:rPr>
            <w:rFonts w:asciiTheme="minorHAnsi" w:hAnsiTheme="minorHAnsi"/>
          </w:rPr>
          <w:tab/>
        </w:r>
        <w:r w:rsidR="00DC334F" w:rsidRPr="00BD16B4">
          <w:rPr>
            <w:rStyle w:val="Hyperlink"/>
          </w:rPr>
          <w:t>Greenhouse gas emissions (and removals) for the WEM, WOM and WAM scenarios by sector, 1990–2035</w:t>
        </w:r>
        <w:r w:rsidR="00DC334F" w:rsidRPr="00BD16B4">
          <w:rPr>
            <w:webHidden/>
          </w:rPr>
          <w:tab/>
        </w:r>
        <w:r w:rsidR="00DC334F" w:rsidRPr="00BD16B4">
          <w:rPr>
            <w:webHidden/>
          </w:rPr>
          <w:fldChar w:fldCharType="begin"/>
        </w:r>
        <w:r w:rsidR="00DC334F" w:rsidRPr="00BD16B4">
          <w:rPr>
            <w:webHidden/>
          </w:rPr>
          <w:instrText xml:space="preserve"> PAGEREF _Toc121494400 \h </w:instrText>
        </w:r>
        <w:r w:rsidR="00DC334F" w:rsidRPr="00BD16B4">
          <w:rPr>
            <w:webHidden/>
          </w:rPr>
        </w:r>
        <w:r w:rsidR="00DC334F" w:rsidRPr="00BD16B4">
          <w:rPr>
            <w:webHidden/>
          </w:rPr>
          <w:fldChar w:fldCharType="separate"/>
        </w:r>
        <w:r w:rsidR="00A60C35">
          <w:rPr>
            <w:noProof/>
            <w:webHidden/>
          </w:rPr>
          <w:t>169</w:t>
        </w:r>
        <w:r w:rsidR="00DC334F" w:rsidRPr="00BD16B4">
          <w:rPr>
            <w:webHidden/>
          </w:rPr>
          <w:fldChar w:fldCharType="end"/>
        </w:r>
      </w:hyperlink>
    </w:p>
    <w:p w14:paraId="08F89D27" w14:textId="035E50BF" w:rsidR="00DC334F" w:rsidRPr="00BD16B4" w:rsidRDefault="00FC49D2">
      <w:pPr>
        <w:pStyle w:val="TableofFigures"/>
        <w:tabs>
          <w:tab w:val="right" w:pos="8495"/>
        </w:tabs>
        <w:rPr>
          <w:rFonts w:asciiTheme="minorHAnsi" w:hAnsiTheme="minorHAnsi"/>
        </w:rPr>
      </w:pPr>
      <w:hyperlink w:anchor="_Toc121494401" w:history="1">
        <w:r w:rsidR="00DC334F" w:rsidRPr="00BD16B4">
          <w:rPr>
            <w:rStyle w:val="Hyperlink"/>
            <w:rFonts w:eastAsia="Calibri"/>
          </w:rPr>
          <w:t xml:space="preserve">Figure 5.4: </w:t>
        </w:r>
        <w:r w:rsidR="00DC334F" w:rsidRPr="00BD16B4">
          <w:rPr>
            <w:rFonts w:asciiTheme="minorHAnsi" w:hAnsiTheme="minorHAnsi"/>
          </w:rPr>
          <w:tab/>
        </w:r>
        <w:r w:rsidR="00DC334F" w:rsidRPr="00BD16B4">
          <w:rPr>
            <w:rStyle w:val="Hyperlink"/>
            <w:rFonts w:eastAsia="Calibri"/>
          </w:rPr>
          <w:t>Net greenhouse gas emissions for the WEM, WOM and WAM scenarios by gas, 1990–2035</w:t>
        </w:r>
        <w:r w:rsidR="00DC334F" w:rsidRPr="00BD16B4">
          <w:rPr>
            <w:webHidden/>
          </w:rPr>
          <w:tab/>
        </w:r>
        <w:r w:rsidR="00DC334F" w:rsidRPr="00BD16B4">
          <w:rPr>
            <w:webHidden/>
          </w:rPr>
          <w:fldChar w:fldCharType="begin"/>
        </w:r>
        <w:r w:rsidR="00DC334F" w:rsidRPr="00BD16B4">
          <w:rPr>
            <w:webHidden/>
          </w:rPr>
          <w:instrText xml:space="preserve"> PAGEREF _Toc121494401 \h </w:instrText>
        </w:r>
        <w:r w:rsidR="00DC334F" w:rsidRPr="00BD16B4">
          <w:rPr>
            <w:webHidden/>
          </w:rPr>
        </w:r>
        <w:r w:rsidR="00DC334F" w:rsidRPr="00BD16B4">
          <w:rPr>
            <w:webHidden/>
          </w:rPr>
          <w:fldChar w:fldCharType="separate"/>
        </w:r>
        <w:r w:rsidR="00A60C35">
          <w:rPr>
            <w:noProof/>
            <w:webHidden/>
          </w:rPr>
          <w:t>171</w:t>
        </w:r>
        <w:r w:rsidR="00DC334F" w:rsidRPr="00BD16B4">
          <w:rPr>
            <w:webHidden/>
          </w:rPr>
          <w:fldChar w:fldCharType="end"/>
        </w:r>
      </w:hyperlink>
    </w:p>
    <w:p w14:paraId="44B19C96" w14:textId="133CD5A8" w:rsidR="00DC334F" w:rsidRPr="00BD16B4" w:rsidRDefault="00FC49D2">
      <w:pPr>
        <w:pStyle w:val="TableofFigures"/>
        <w:tabs>
          <w:tab w:val="right" w:pos="8495"/>
        </w:tabs>
        <w:rPr>
          <w:rFonts w:asciiTheme="minorHAnsi" w:hAnsiTheme="minorHAnsi"/>
        </w:rPr>
      </w:pPr>
      <w:hyperlink w:anchor="_Toc121494402" w:history="1">
        <w:r w:rsidR="00DC334F" w:rsidRPr="00BD16B4">
          <w:rPr>
            <w:rStyle w:val="Hyperlink"/>
          </w:rPr>
          <w:t xml:space="preserve">Figure 5.5: </w:t>
        </w:r>
        <w:r w:rsidR="00DC334F" w:rsidRPr="00BD16B4">
          <w:rPr>
            <w:rFonts w:asciiTheme="minorHAnsi" w:hAnsiTheme="minorHAnsi"/>
          </w:rPr>
          <w:tab/>
        </w:r>
        <w:r w:rsidR="00DC334F" w:rsidRPr="00BD16B4">
          <w:rPr>
            <w:rStyle w:val="Hyperlink"/>
          </w:rPr>
          <w:t>Projected energy emissions under ‘with existing measures’, high- and low</w:t>
        </w:r>
        <w:r w:rsidR="00DC334F" w:rsidRPr="00BD16B4">
          <w:rPr>
            <w:rStyle w:val="Hyperlink"/>
          </w:rPr>
          <w:noBreakHyphen/>
          <w:t>emissions scenarios (Mt CO</w:t>
        </w:r>
        <w:r w:rsidR="00DC334F" w:rsidRPr="00BD16B4">
          <w:rPr>
            <w:rStyle w:val="Hyperlink"/>
            <w:vertAlign w:val="subscript"/>
          </w:rPr>
          <w:t>2</w:t>
        </w:r>
        <w:r w:rsidR="00DC334F" w:rsidRPr="00BD16B4">
          <w:rPr>
            <w:rStyle w:val="Hyperlink"/>
          </w:rPr>
          <w:t>-e)</w:t>
        </w:r>
        <w:r w:rsidR="00DC334F" w:rsidRPr="00BD16B4">
          <w:rPr>
            <w:webHidden/>
          </w:rPr>
          <w:tab/>
        </w:r>
        <w:r w:rsidR="00DC334F" w:rsidRPr="00BD16B4">
          <w:rPr>
            <w:webHidden/>
          </w:rPr>
          <w:fldChar w:fldCharType="begin"/>
        </w:r>
        <w:r w:rsidR="00DC334F" w:rsidRPr="00BD16B4">
          <w:rPr>
            <w:webHidden/>
          </w:rPr>
          <w:instrText xml:space="preserve"> PAGEREF _Toc121494402 \h </w:instrText>
        </w:r>
        <w:r w:rsidR="00DC334F" w:rsidRPr="00BD16B4">
          <w:rPr>
            <w:webHidden/>
          </w:rPr>
        </w:r>
        <w:r w:rsidR="00DC334F" w:rsidRPr="00BD16B4">
          <w:rPr>
            <w:webHidden/>
          </w:rPr>
          <w:fldChar w:fldCharType="separate"/>
        </w:r>
        <w:r w:rsidR="00A60C35">
          <w:rPr>
            <w:noProof/>
            <w:webHidden/>
          </w:rPr>
          <w:t>181</w:t>
        </w:r>
        <w:r w:rsidR="00DC334F" w:rsidRPr="00BD16B4">
          <w:rPr>
            <w:webHidden/>
          </w:rPr>
          <w:fldChar w:fldCharType="end"/>
        </w:r>
      </w:hyperlink>
    </w:p>
    <w:p w14:paraId="6CD101E7" w14:textId="06DC01C1" w:rsidR="00DC334F" w:rsidRPr="00BD16B4" w:rsidRDefault="00FC49D2">
      <w:pPr>
        <w:pStyle w:val="TableofFigures"/>
        <w:tabs>
          <w:tab w:val="right" w:pos="8495"/>
        </w:tabs>
        <w:rPr>
          <w:rFonts w:asciiTheme="minorHAnsi" w:hAnsiTheme="minorHAnsi"/>
        </w:rPr>
      </w:pPr>
      <w:hyperlink w:anchor="_Toc121494403" w:history="1">
        <w:r w:rsidR="00DC334F" w:rsidRPr="00BD16B4">
          <w:rPr>
            <w:rStyle w:val="Hyperlink"/>
          </w:rPr>
          <w:t xml:space="preserve">Figure 5.6: </w:t>
        </w:r>
        <w:r w:rsidR="00DC334F" w:rsidRPr="00BD16B4">
          <w:rPr>
            <w:rFonts w:asciiTheme="minorHAnsi" w:hAnsiTheme="minorHAnsi"/>
          </w:rPr>
          <w:tab/>
        </w:r>
        <w:r w:rsidR="00DC334F" w:rsidRPr="00BD16B4">
          <w:rPr>
            <w:rStyle w:val="Hyperlink"/>
          </w:rPr>
          <w:t>Projected emissions from agriculture, under ‘with existing measures’, with uncertainty envelope, 1990–2035 (Mt CO</w:t>
        </w:r>
        <w:r w:rsidR="00DC334F" w:rsidRPr="00BD16B4">
          <w:rPr>
            <w:rStyle w:val="Hyperlink"/>
            <w:vertAlign w:val="subscript"/>
          </w:rPr>
          <w:t>2</w:t>
        </w:r>
        <w:r w:rsidR="00DC334F" w:rsidRPr="00BD16B4">
          <w:rPr>
            <w:rStyle w:val="Hyperlink"/>
          </w:rPr>
          <w:t>-e)</w:t>
        </w:r>
        <w:r w:rsidR="00DC334F" w:rsidRPr="00BD16B4">
          <w:rPr>
            <w:webHidden/>
          </w:rPr>
          <w:tab/>
        </w:r>
        <w:r w:rsidR="00DC334F" w:rsidRPr="00BD16B4">
          <w:rPr>
            <w:webHidden/>
          </w:rPr>
          <w:fldChar w:fldCharType="begin"/>
        </w:r>
        <w:r w:rsidR="00DC334F" w:rsidRPr="00BD16B4">
          <w:rPr>
            <w:webHidden/>
          </w:rPr>
          <w:instrText xml:space="preserve"> PAGEREF _Toc121494403 \h </w:instrText>
        </w:r>
        <w:r w:rsidR="00DC334F" w:rsidRPr="00BD16B4">
          <w:rPr>
            <w:webHidden/>
          </w:rPr>
        </w:r>
        <w:r w:rsidR="00DC334F" w:rsidRPr="00BD16B4">
          <w:rPr>
            <w:webHidden/>
          </w:rPr>
          <w:fldChar w:fldCharType="separate"/>
        </w:r>
        <w:r w:rsidR="00A60C35">
          <w:rPr>
            <w:noProof/>
            <w:webHidden/>
          </w:rPr>
          <w:t>192</w:t>
        </w:r>
        <w:r w:rsidR="00DC334F" w:rsidRPr="00BD16B4">
          <w:rPr>
            <w:webHidden/>
          </w:rPr>
          <w:fldChar w:fldCharType="end"/>
        </w:r>
      </w:hyperlink>
    </w:p>
    <w:p w14:paraId="2942EBD6" w14:textId="369ACFEA" w:rsidR="00DC334F" w:rsidRPr="00BD16B4" w:rsidRDefault="00FC49D2">
      <w:pPr>
        <w:pStyle w:val="TableofFigures"/>
        <w:tabs>
          <w:tab w:val="right" w:pos="8495"/>
        </w:tabs>
        <w:rPr>
          <w:rFonts w:asciiTheme="minorHAnsi" w:hAnsiTheme="minorHAnsi"/>
        </w:rPr>
      </w:pPr>
      <w:hyperlink w:anchor="_Toc121494404" w:history="1">
        <w:r w:rsidR="00DC334F" w:rsidRPr="00BD16B4">
          <w:rPr>
            <w:rStyle w:val="Hyperlink"/>
          </w:rPr>
          <w:t>Figure 5.7:</w:t>
        </w:r>
        <w:r w:rsidR="00DC334F" w:rsidRPr="00BD16B4">
          <w:rPr>
            <w:rFonts w:asciiTheme="minorHAnsi" w:hAnsiTheme="minorHAnsi"/>
          </w:rPr>
          <w:tab/>
        </w:r>
        <w:r w:rsidR="00DC334F" w:rsidRPr="00BD16B4">
          <w:rPr>
            <w:rStyle w:val="Hyperlink"/>
          </w:rPr>
          <w:t>Net LULUCF removals under ‘with existing measures’ and ‘without measures’ scenarios, and with ‘additional measures’ 1990–2035 (Mt CO</w:t>
        </w:r>
        <w:r w:rsidR="00DC334F" w:rsidRPr="00BD16B4">
          <w:rPr>
            <w:rStyle w:val="Hyperlink"/>
            <w:vertAlign w:val="subscript"/>
          </w:rPr>
          <w:t>2</w:t>
        </w:r>
        <w:r w:rsidR="00DC334F" w:rsidRPr="00BD16B4">
          <w:rPr>
            <w:rStyle w:val="Hyperlink"/>
          </w:rPr>
          <w:t>-e)</w:t>
        </w:r>
        <w:r w:rsidR="00DC334F" w:rsidRPr="00BD16B4">
          <w:rPr>
            <w:webHidden/>
          </w:rPr>
          <w:tab/>
        </w:r>
        <w:r w:rsidR="00DC334F" w:rsidRPr="00BD16B4">
          <w:rPr>
            <w:webHidden/>
          </w:rPr>
          <w:fldChar w:fldCharType="begin"/>
        </w:r>
        <w:r w:rsidR="00DC334F" w:rsidRPr="00BD16B4">
          <w:rPr>
            <w:webHidden/>
          </w:rPr>
          <w:instrText xml:space="preserve"> PAGEREF _Toc121494404 \h </w:instrText>
        </w:r>
        <w:r w:rsidR="00DC334F" w:rsidRPr="00BD16B4">
          <w:rPr>
            <w:webHidden/>
          </w:rPr>
        </w:r>
        <w:r w:rsidR="00DC334F" w:rsidRPr="00BD16B4">
          <w:rPr>
            <w:webHidden/>
          </w:rPr>
          <w:fldChar w:fldCharType="separate"/>
        </w:r>
        <w:r w:rsidR="00A60C35">
          <w:rPr>
            <w:noProof/>
            <w:webHidden/>
          </w:rPr>
          <w:t>198</w:t>
        </w:r>
        <w:r w:rsidR="00DC334F" w:rsidRPr="00BD16B4">
          <w:rPr>
            <w:webHidden/>
          </w:rPr>
          <w:fldChar w:fldCharType="end"/>
        </w:r>
      </w:hyperlink>
    </w:p>
    <w:p w14:paraId="075E4065" w14:textId="32D38977" w:rsidR="00DC334F" w:rsidRPr="00BD16B4" w:rsidRDefault="00FC49D2">
      <w:pPr>
        <w:pStyle w:val="TableofFigures"/>
        <w:tabs>
          <w:tab w:val="right" w:pos="8495"/>
        </w:tabs>
        <w:rPr>
          <w:rFonts w:asciiTheme="minorHAnsi" w:hAnsiTheme="minorHAnsi"/>
        </w:rPr>
      </w:pPr>
      <w:hyperlink w:anchor="_Toc121494405" w:history="1">
        <w:r w:rsidR="00DC334F" w:rsidRPr="00BD16B4">
          <w:rPr>
            <w:rStyle w:val="Hyperlink"/>
          </w:rPr>
          <w:t>Figure 5.8:</w:t>
        </w:r>
        <w:r w:rsidR="00DC334F" w:rsidRPr="00BD16B4">
          <w:rPr>
            <w:rFonts w:asciiTheme="minorHAnsi" w:hAnsiTheme="minorHAnsi"/>
          </w:rPr>
          <w:tab/>
        </w:r>
        <w:r w:rsidR="00DC334F" w:rsidRPr="00BD16B4">
          <w:rPr>
            <w:rStyle w:val="Hyperlink"/>
          </w:rPr>
          <w:t>Projected net LULUCF removals under ‘with existing measures’, lower removals and upper removals scenarios, 1990–2035 (Mt CO</w:t>
        </w:r>
        <w:r w:rsidR="00DC334F" w:rsidRPr="00BD16B4">
          <w:rPr>
            <w:rStyle w:val="Hyperlink"/>
            <w:vertAlign w:val="subscript"/>
          </w:rPr>
          <w:t>2</w:t>
        </w:r>
        <w:r w:rsidR="00DC334F" w:rsidRPr="00BD16B4">
          <w:rPr>
            <w:rStyle w:val="Hyperlink"/>
          </w:rPr>
          <w:t>-e)</w:t>
        </w:r>
        <w:r w:rsidR="00DC334F" w:rsidRPr="00BD16B4">
          <w:rPr>
            <w:webHidden/>
          </w:rPr>
          <w:tab/>
        </w:r>
        <w:r w:rsidR="00DC334F" w:rsidRPr="00BD16B4">
          <w:rPr>
            <w:webHidden/>
          </w:rPr>
          <w:fldChar w:fldCharType="begin"/>
        </w:r>
        <w:r w:rsidR="00DC334F" w:rsidRPr="00BD16B4">
          <w:rPr>
            <w:webHidden/>
          </w:rPr>
          <w:instrText xml:space="preserve"> PAGEREF _Toc121494405 \h </w:instrText>
        </w:r>
        <w:r w:rsidR="00DC334F" w:rsidRPr="00BD16B4">
          <w:rPr>
            <w:webHidden/>
          </w:rPr>
        </w:r>
        <w:r w:rsidR="00DC334F" w:rsidRPr="00BD16B4">
          <w:rPr>
            <w:webHidden/>
          </w:rPr>
          <w:fldChar w:fldCharType="separate"/>
        </w:r>
        <w:r w:rsidR="00A60C35">
          <w:rPr>
            <w:noProof/>
            <w:webHidden/>
          </w:rPr>
          <w:t>200</w:t>
        </w:r>
        <w:r w:rsidR="00DC334F" w:rsidRPr="00BD16B4">
          <w:rPr>
            <w:webHidden/>
          </w:rPr>
          <w:fldChar w:fldCharType="end"/>
        </w:r>
      </w:hyperlink>
    </w:p>
    <w:p w14:paraId="45D91964" w14:textId="4A2C1919" w:rsidR="00DC334F" w:rsidRPr="00BD16B4" w:rsidRDefault="00FC49D2">
      <w:pPr>
        <w:pStyle w:val="TableofFigures"/>
        <w:tabs>
          <w:tab w:val="right" w:pos="8495"/>
        </w:tabs>
        <w:rPr>
          <w:rFonts w:asciiTheme="minorHAnsi" w:hAnsiTheme="minorHAnsi"/>
        </w:rPr>
      </w:pPr>
      <w:hyperlink w:anchor="_Toc121494406" w:history="1">
        <w:r w:rsidR="00DC334F" w:rsidRPr="00BD16B4">
          <w:rPr>
            <w:rStyle w:val="Hyperlink"/>
          </w:rPr>
          <w:t xml:space="preserve">Figure 5.9: </w:t>
        </w:r>
        <w:r w:rsidR="00DC334F" w:rsidRPr="00BD16B4">
          <w:rPr>
            <w:rFonts w:asciiTheme="minorHAnsi" w:hAnsiTheme="minorHAnsi"/>
          </w:rPr>
          <w:tab/>
        </w:r>
        <w:r w:rsidR="00DC334F" w:rsidRPr="00BD16B4">
          <w:rPr>
            <w:rStyle w:val="Hyperlink"/>
          </w:rPr>
          <w:t>Tokelau’s greenhouse gas emissions for the ‘with existing measures’ scenario, 1990–2035</w:t>
        </w:r>
        <w:r w:rsidR="00DC334F" w:rsidRPr="00BD16B4">
          <w:rPr>
            <w:webHidden/>
          </w:rPr>
          <w:tab/>
        </w:r>
        <w:r w:rsidR="00DC334F" w:rsidRPr="00BD16B4">
          <w:rPr>
            <w:webHidden/>
          </w:rPr>
          <w:fldChar w:fldCharType="begin"/>
        </w:r>
        <w:r w:rsidR="00DC334F" w:rsidRPr="00BD16B4">
          <w:rPr>
            <w:webHidden/>
          </w:rPr>
          <w:instrText xml:space="preserve"> PAGEREF _Toc121494406 \h </w:instrText>
        </w:r>
        <w:r w:rsidR="00DC334F" w:rsidRPr="00BD16B4">
          <w:rPr>
            <w:webHidden/>
          </w:rPr>
        </w:r>
        <w:r w:rsidR="00DC334F" w:rsidRPr="00BD16B4">
          <w:rPr>
            <w:webHidden/>
          </w:rPr>
          <w:fldChar w:fldCharType="separate"/>
        </w:r>
        <w:r w:rsidR="00A60C35">
          <w:rPr>
            <w:noProof/>
            <w:webHidden/>
          </w:rPr>
          <w:t>205</w:t>
        </w:r>
        <w:r w:rsidR="00DC334F" w:rsidRPr="00BD16B4">
          <w:rPr>
            <w:webHidden/>
          </w:rPr>
          <w:fldChar w:fldCharType="end"/>
        </w:r>
      </w:hyperlink>
    </w:p>
    <w:p w14:paraId="34AFDBBC" w14:textId="5686234E" w:rsidR="00DC334F" w:rsidRPr="00BD16B4" w:rsidRDefault="00FC49D2">
      <w:pPr>
        <w:pStyle w:val="TableofFigures"/>
        <w:tabs>
          <w:tab w:val="right" w:pos="8495"/>
        </w:tabs>
        <w:rPr>
          <w:rFonts w:asciiTheme="minorHAnsi" w:hAnsiTheme="minorHAnsi"/>
        </w:rPr>
      </w:pPr>
      <w:hyperlink w:anchor="_Toc121494407" w:history="1">
        <w:r w:rsidR="00DC334F" w:rsidRPr="00BD16B4">
          <w:rPr>
            <w:rStyle w:val="Hyperlink"/>
            <w:rFonts w:eastAsia="Calibri"/>
          </w:rPr>
          <w:t xml:space="preserve">Figure 6.1: </w:t>
        </w:r>
        <w:r w:rsidR="00DC334F" w:rsidRPr="00BD16B4">
          <w:rPr>
            <w:rFonts w:asciiTheme="minorHAnsi" w:hAnsiTheme="minorHAnsi"/>
          </w:rPr>
          <w:tab/>
        </w:r>
        <w:r w:rsidR="00DC334F" w:rsidRPr="00BD16B4">
          <w:rPr>
            <w:rStyle w:val="Hyperlink"/>
            <w:rFonts w:eastAsia="Calibri"/>
          </w:rPr>
          <w:t>Summary of projected impacts of climate change on Aotearoa New Zealand</w:t>
        </w:r>
        <w:r w:rsidR="00DC334F" w:rsidRPr="00BD16B4">
          <w:rPr>
            <w:webHidden/>
          </w:rPr>
          <w:tab/>
        </w:r>
        <w:r w:rsidR="00DC334F" w:rsidRPr="00BD16B4">
          <w:rPr>
            <w:webHidden/>
          </w:rPr>
          <w:fldChar w:fldCharType="begin"/>
        </w:r>
        <w:r w:rsidR="00DC334F" w:rsidRPr="00BD16B4">
          <w:rPr>
            <w:webHidden/>
          </w:rPr>
          <w:instrText xml:space="preserve"> PAGEREF _Toc121494407 \h </w:instrText>
        </w:r>
        <w:r w:rsidR="00DC334F" w:rsidRPr="00BD16B4">
          <w:rPr>
            <w:webHidden/>
          </w:rPr>
        </w:r>
        <w:r w:rsidR="00DC334F" w:rsidRPr="00BD16B4">
          <w:rPr>
            <w:webHidden/>
          </w:rPr>
          <w:fldChar w:fldCharType="separate"/>
        </w:r>
        <w:r w:rsidR="00A60C35">
          <w:rPr>
            <w:noProof/>
            <w:webHidden/>
          </w:rPr>
          <w:t>214</w:t>
        </w:r>
        <w:r w:rsidR="00DC334F" w:rsidRPr="00BD16B4">
          <w:rPr>
            <w:webHidden/>
          </w:rPr>
          <w:fldChar w:fldCharType="end"/>
        </w:r>
      </w:hyperlink>
    </w:p>
    <w:p w14:paraId="598D7CEF" w14:textId="2D8AD709" w:rsidR="00DC334F" w:rsidRPr="00BD16B4" w:rsidRDefault="00FC49D2">
      <w:pPr>
        <w:pStyle w:val="TableofFigures"/>
        <w:tabs>
          <w:tab w:val="right" w:pos="8495"/>
        </w:tabs>
        <w:rPr>
          <w:rFonts w:asciiTheme="minorHAnsi" w:hAnsiTheme="minorHAnsi"/>
        </w:rPr>
      </w:pPr>
      <w:hyperlink w:anchor="_Toc121494408" w:history="1">
        <w:r w:rsidR="00DC334F" w:rsidRPr="00BD16B4">
          <w:rPr>
            <w:rStyle w:val="Hyperlink"/>
          </w:rPr>
          <w:t xml:space="preserve">Figure 6.2: </w:t>
        </w:r>
        <w:r w:rsidR="00DC334F" w:rsidRPr="00BD16B4">
          <w:rPr>
            <w:rFonts w:asciiTheme="minorHAnsi" w:hAnsiTheme="minorHAnsi"/>
          </w:rPr>
          <w:tab/>
        </w:r>
        <w:r w:rsidR="00DC334F" w:rsidRPr="00BD16B4">
          <w:rPr>
            <w:rStyle w:val="Hyperlink"/>
          </w:rPr>
          <w:t>Ten most significant risks Aotearoa New Zealand will face from climate change, 2020–26, by domain</w:t>
        </w:r>
        <w:r w:rsidR="00DC334F" w:rsidRPr="00BD16B4">
          <w:rPr>
            <w:webHidden/>
          </w:rPr>
          <w:tab/>
        </w:r>
        <w:r w:rsidR="00DC334F" w:rsidRPr="00BD16B4">
          <w:rPr>
            <w:webHidden/>
          </w:rPr>
          <w:fldChar w:fldCharType="begin"/>
        </w:r>
        <w:r w:rsidR="00DC334F" w:rsidRPr="00BD16B4">
          <w:rPr>
            <w:webHidden/>
          </w:rPr>
          <w:instrText xml:space="preserve"> PAGEREF _Toc121494408 \h </w:instrText>
        </w:r>
        <w:r w:rsidR="00DC334F" w:rsidRPr="00BD16B4">
          <w:rPr>
            <w:webHidden/>
          </w:rPr>
        </w:r>
        <w:r w:rsidR="00DC334F" w:rsidRPr="00BD16B4">
          <w:rPr>
            <w:webHidden/>
          </w:rPr>
          <w:fldChar w:fldCharType="separate"/>
        </w:r>
        <w:r w:rsidR="00A60C35">
          <w:rPr>
            <w:noProof/>
            <w:webHidden/>
          </w:rPr>
          <w:t>221</w:t>
        </w:r>
        <w:r w:rsidR="00DC334F" w:rsidRPr="00BD16B4">
          <w:rPr>
            <w:webHidden/>
          </w:rPr>
          <w:fldChar w:fldCharType="end"/>
        </w:r>
      </w:hyperlink>
    </w:p>
    <w:p w14:paraId="23FEBB29" w14:textId="34F6EBF3" w:rsidR="00DC334F" w:rsidRPr="00BD16B4" w:rsidRDefault="00FC49D2">
      <w:pPr>
        <w:pStyle w:val="TableofFigures"/>
        <w:tabs>
          <w:tab w:val="right" w:pos="8495"/>
        </w:tabs>
        <w:rPr>
          <w:rFonts w:asciiTheme="minorHAnsi" w:hAnsiTheme="minorHAnsi"/>
        </w:rPr>
      </w:pPr>
      <w:hyperlink w:anchor="_Toc121494409" w:history="1">
        <w:r w:rsidR="00DC334F" w:rsidRPr="00BD16B4">
          <w:rPr>
            <w:rStyle w:val="Hyperlink"/>
          </w:rPr>
          <w:t xml:space="preserve">Figure 6.3: </w:t>
        </w:r>
        <w:r w:rsidR="00DC334F" w:rsidRPr="00BD16B4">
          <w:rPr>
            <w:rFonts w:asciiTheme="minorHAnsi" w:hAnsiTheme="minorHAnsi"/>
          </w:rPr>
          <w:tab/>
        </w:r>
        <w:r w:rsidR="00DC334F" w:rsidRPr="00BD16B4">
          <w:rPr>
            <w:rStyle w:val="Hyperlink"/>
          </w:rPr>
          <w:t>Aotearoa New Zealand’s legislated adaptation process</w:t>
        </w:r>
        <w:r w:rsidR="00DC334F" w:rsidRPr="00BD16B4">
          <w:rPr>
            <w:webHidden/>
          </w:rPr>
          <w:tab/>
        </w:r>
        <w:r w:rsidR="00DC334F" w:rsidRPr="00BD16B4">
          <w:rPr>
            <w:webHidden/>
          </w:rPr>
          <w:fldChar w:fldCharType="begin"/>
        </w:r>
        <w:r w:rsidR="00DC334F" w:rsidRPr="00BD16B4">
          <w:rPr>
            <w:webHidden/>
          </w:rPr>
          <w:instrText xml:space="preserve"> PAGEREF _Toc121494409 \h </w:instrText>
        </w:r>
        <w:r w:rsidR="00DC334F" w:rsidRPr="00BD16B4">
          <w:rPr>
            <w:webHidden/>
          </w:rPr>
        </w:r>
        <w:r w:rsidR="00DC334F" w:rsidRPr="00BD16B4">
          <w:rPr>
            <w:webHidden/>
          </w:rPr>
          <w:fldChar w:fldCharType="separate"/>
        </w:r>
        <w:r w:rsidR="00A60C35">
          <w:rPr>
            <w:noProof/>
            <w:webHidden/>
          </w:rPr>
          <w:t>223</w:t>
        </w:r>
        <w:r w:rsidR="00DC334F" w:rsidRPr="00BD16B4">
          <w:rPr>
            <w:webHidden/>
          </w:rPr>
          <w:fldChar w:fldCharType="end"/>
        </w:r>
      </w:hyperlink>
    </w:p>
    <w:p w14:paraId="7E5EE1AB" w14:textId="0294C5C4" w:rsidR="00DC334F" w:rsidRPr="00BD16B4" w:rsidRDefault="00FC49D2">
      <w:pPr>
        <w:pStyle w:val="TableofFigures"/>
        <w:tabs>
          <w:tab w:val="right" w:pos="8495"/>
        </w:tabs>
        <w:rPr>
          <w:rFonts w:asciiTheme="minorHAnsi" w:hAnsiTheme="minorHAnsi"/>
        </w:rPr>
      </w:pPr>
      <w:hyperlink w:anchor="_Toc121494410" w:history="1">
        <w:r w:rsidR="00DC334F" w:rsidRPr="00BD16B4">
          <w:rPr>
            <w:rStyle w:val="Hyperlink"/>
          </w:rPr>
          <w:t xml:space="preserve">Figure 6.4: </w:t>
        </w:r>
        <w:r w:rsidR="00DC334F" w:rsidRPr="00BD16B4">
          <w:rPr>
            <w:rFonts w:asciiTheme="minorHAnsi" w:hAnsiTheme="minorHAnsi"/>
          </w:rPr>
          <w:tab/>
        </w:r>
        <w:r w:rsidR="00DC334F" w:rsidRPr="00BD16B4">
          <w:rPr>
            <w:rStyle w:val="Hyperlink"/>
          </w:rPr>
          <w:t>Principles guiding Aotearoa New Zealand’s adaptation strategy</w:t>
        </w:r>
        <w:r w:rsidR="00DC334F" w:rsidRPr="00BD16B4">
          <w:rPr>
            <w:webHidden/>
          </w:rPr>
          <w:tab/>
        </w:r>
        <w:r w:rsidR="00DC334F" w:rsidRPr="00BD16B4">
          <w:rPr>
            <w:webHidden/>
          </w:rPr>
          <w:fldChar w:fldCharType="begin"/>
        </w:r>
        <w:r w:rsidR="00DC334F" w:rsidRPr="00BD16B4">
          <w:rPr>
            <w:webHidden/>
          </w:rPr>
          <w:instrText xml:space="preserve"> PAGEREF _Toc121494410 \h </w:instrText>
        </w:r>
        <w:r w:rsidR="00DC334F" w:rsidRPr="00BD16B4">
          <w:rPr>
            <w:webHidden/>
          </w:rPr>
        </w:r>
        <w:r w:rsidR="00DC334F" w:rsidRPr="00BD16B4">
          <w:rPr>
            <w:webHidden/>
          </w:rPr>
          <w:fldChar w:fldCharType="separate"/>
        </w:r>
        <w:r w:rsidR="00A60C35">
          <w:rPr>
            <w:noProof/>
            <w:webHidden/>
          </w:rPr>
          <w:t>224</w:t>
        </w:r>
        <w:r w:rsidR="00DC334F" w:rsidRPr="00BD16B4">
          <w:rPr>
            <w:webHidden/>
          </w:rPr>
          <w:fldChar w:fldCharType="end"/>
        </w:r>
      </w:hyperlink>
    </w:p>
    <w:p w14:paraId="19044BCB" w14:textId="0C643E08" w:rsidR="00DC334F" w:rsidRPr="00BD16B4" w:rsidRDefault="00FC49D2">
      <w:pPr>
        <w:pStyle w:val="TableofFigures"/>
        <w:tabs>
          <w:tab w:val="right" w:pos="8495"/>
        </w:tabs>
        <w:rPr>
          <w:rFonts w:asciiTheme="minorHAnsi" w:hAnsiTheme="minorHAnsi"/>
        </w:rPr>
      </w:pPr>
      <w:hyperlink w:anchor="_Toc121494411" w:history="1">
        <w:r w:rsidR="00DC334F" w:rsidRPr="00BD16B4">
          <w:rPr>
            <w:rStyle w:val="Hyperlink"/>
          </w:rPr>
          <w:t>Figure B.1:</w:t>
        </w:r>
        <w:r w:rsidR="00DC334F" w:rsidRPr="00BD16B4">
          <w:rPr>
            <w:rFonts w:asciiTheme="minorHAnsi" w:hAnsiTheme="minorHAnsi"/>
          </w:rPr>
          <w:tab/>
        </w:r>
        <w:r w:rsidR="00DC334F" w:rsidRPr="00BD16B4">
          <w:rPr>
            <w:rStyle w:val="Hyperlink"/>
          </w:rPr>
          <w:t>New Zealand’s inventory system at a glance: how different agencies are involved</w:t>
        </w:r>
        <w:r w:rsidR="00DC334F" w:rsidRPr="00BD16B4">
          <w:rPr>
            <w:webHidden/>
          </w:rPr>
          <w:tab/>
        </w:r>
        <w:r w:rsidR="00DC334F" w:rsidRPr="00BD16B4">
          <w:rPr>
            <w:webHidden/>
          </w:rPr>
          <w:fldChar w:fldCharType="begin"/>
        </w:r>
        <w:r w:rsidR="00DC334F" w:rsidRPr="00BD16B4">
          <w:rPr>
            <w:webHidden/>
          </w:rPr>
          <w:instrText xml:space="preserve"> PAGEREF _Toc121494411 \h </w:instrText>
        </w:r>
        <w:r w:rsidR="00DC334F" w:rsidRPr="00BD16B4">
          <w:rPr>
            <w:webHidden/>
          </w:rPr>
        </w:r>
        <w:r w:rsidR="00DC334F" w:rsidRPr="00BD16B4">
          <w:rPr>
            <w:webHidden/>
          </w:rPr>
          <w:fldChar w:fldCharType="separate"/>
        </w:r>
        <w:r w:rsidR="00A60C35">
          <w:rPr>
            <w:noProof/>
            <w:webHidden/>
          </w:rPr>
          <w:t>408</w:t>
        </w:r>
        <w:r w:rsidR="00DC334F" w:rsidRPr="00BD16B4">
          <w:rPr>
            <w:webHidden/>
          </w:rPr>
          <w:fldChar w:fldCharType="end"/>
        </w:r>
      </w:hyperlink>
    </w:p>
    <w:p w14:paraId="54DC6929" w14:textId="7D7920C3" w:rsidR="00DC334F" w:rsidRPr="00BD16B4" w:rsidRDefault="00FC49D2">
      <w:pPr>
        <w:pStyle w:val="TableofFigures"/>
        <w:tabs>
          <w:tab w:val="right" w:pos="8495"/>
        </w:tabs>
        <w:rPr>
          <w:rFonts w:asciiTheme="minorHAnsi" w:hAnsiTheme="minorHAnsi"/>
        </w:rPr>
      </w:pPr>
      <w:hyperlink w:anchor="_Toc121494412" w:history="1">
        <w:r w:rsidR="00DC334F" w:rsidRPr="00BD16B4">
          <w:rPr>
            <w:rStyle w:val="Hyperlink"/>
          </w:rPr>
          <w:t>Figure B.2:</w:t>
        </w:r>
        <w:r w:rsidR="00DC334F" w:rsidRPr="00BD16B4">
          <w:rPr>
            <w:rFonts w:asciiTheme="minorHAnsi" w:hAnsiTheme="minorHAnsi"/>
          </w:rPr>
          <w:tab/>
        </w:r>
        <w:r w:rsidR="00DC334F" w:rsidRPr="00BD16B4">
          <w:rPr>
            <w:rStyle w:val="Hyperlink"/>
          </w:rPr>
          <w:t>Summary of New Zealand’s inventory planning and preparation</w:t>
        </w:r>
        <w:r w:rsidR="00DC334F" w:rsidRPr="00BD16B4">
          <w:rPr>
            <w:webHidden/>
          </w:rPr>
          <w:tab/>
        </w:r>
        <w:r w:rsidR="00DC334F" w:rsidRPr="00BD16B4">
          <w:rPr>
            <w:webHidden/>
          </w:rPr>
          <w:fldChar w:fldCharType="begin"/>
        </w:r>
        <w:r w:rsidR="00DC334F" w:rsidRPr="00BD16B4">
          <w:rPr>
            <w:webHidden/>
          </w:rPr>
          <w:instrText xml:space="preserve"> PAGEREF _Toc121494412 \h </w:instrText>
        </w:r>
        <w:r w:rsidR="00DC334F" w:rsidRPr="00BD16B4">
          <w:rPr>
            <w:webHidden/>
          </w:rPr>
        </w:r>
        <w:r w:rsidR="00DC334F" w:rsidRPr="00BD16B4">
          <w:rPr>
            <w:webHidden/>
          </w:rPr>
          <w:fldChar w:fldCharType="separate"/>
        </w:r>
        <w:r w:rsidR="00A60C35">
          <w:rPr>
            <w:noProof/>
            <w:webHidden/>
          </w:rPr>
          <w:t>410</w:t>
        </w:r>
        <w:r w:rsidR="00DC334F" w:rsidRPr="00BD16B4">
          <w:rPr>
            <w:webHidden/>
          </w:rPr>
          <w:fldChar w:fldCharType="end"/>
        </w:r>
      </w:hyperlink>
    </w:p>
    <w:p w14:paraId="26BB2F80" w14:textId="0DF453FD" w:rsidR="00DC334F" w:rsidRPr="00BD16B4" w:rsidRDefault="00FC49D2">
      <w:pPr>
        <w:pStyle w:val="TableofFigures"/>
        <w:tabs>
          <w:tab w:val="right" w:pos="8495"/>
        </w:tabs>
        <w:rPr>
          <w:rFonts w:asciiTheme="minorHAnsi" w:hAnsiTheme="minorHAnsi"/>
        </w:rPr>
      </w:pPr>
      <w:hyperlink w:anchor="_Toc121494413" w:history="1">
        <w:r w:rsidR="00DC334F" w:rsidRPr="00BD16B4">
          <w:rPr>
            <w:rStyle w:val="Hyperlink"/>
          </w:rPr>
          <w:t xml:space="preserve">Figure B.3: </w:t>
        </w:r>
        <w:r w:rsidR="00DC334F" w:rsidRPr="00BD16B4">
          <w:rPr>
            <w:rFonts w:asciiTheme="minorHAnsi" w:hAnsiTheme="minorHAnsi"/>
          </w:rPr>
          <w:tab/>
        </w:r>
        <w:r w:rsidR="00DC334F" w:rsidRPr="00BD16B4">
          <w:rPr>
            <w:rStyle w:val="Hyperlink"/>
          </w:rPr>
          <w:t>How the quality assurance and quality control processes and products align with the preparation of the inventory</w:t>
        </w:r>
        <w:r w:rsidR="00DC334F" w:rsidRPr="00BD16B4">
          <w:rPr>
            <w:webHidden/>
          </w:rPr>
          <w:tab/>
        </w:r>
        <w:r w:rsidR="00DC334F" w:rsidRPr="00BD16B4">
          <w:rPr>
            <w:webHidden/>
          </w:rPr>
          <w:fldChar w:fldCharType="begin"/>
        </w:r>
        <w:r w:rsidR="00DC334F" w:rsidRPr="00BD16B4">
          <w:rPr>
            <w:webHidden/>
          </w:rPr>
          <w:instrText xml:space="preserve"> PAGEREF _Toc121494413 \h </w:instrText>
        </w:r>
        <w:r w:rsidR="00DC334F" w:rsidRPr="00BD16B4">
          <w:rPr>
            <w:webHidden/>
          </w:rPr>
        </w:r>
        <w:r w:rsidR="00DC334F" w:rsidRPr="00BD16B4">
          <w:rPr>
            <w:webHidden/>
          </w:rPr>
          <w:fldChar w:fldCharType="separate"/>
        </w:r>
        <w:r w:rsidR="00A60C35">
          <w:rPr>
            <w:noProof/>
            <w:webHidden/>
          </w:rPr>
          <w:t>418</w:t>
        </w:r>
        <w:r w:rsidR="00DC334F" w:rsidRPr="00BD16B4">
          <w:rPr>
            <w:webHidden/>
          </w:rPr>
          <w:fldChar w:fldCharType="end"/>
        </w:r>
      </w:hyperlink>
    </w:p>
    <w:p w14:paraId="761A00A9" w14:textId="43F9EF5A" w:rsidR="00DC334F" w:rsidRPr="00BD16B4" w:rsidRDefault="00FC49D2">
      <w:pPr>
        <w:pStyle w:val="TableofFigures"/>
        <w:tabs>
          <w:tab w:val="right" w:pos="8495"/>
        </w:tabs>
        <w:rPr>
          <w:rFonts w:asciiTheme="minorHAnsi" w:hAnsiTheme="minorHAnsi"/>
        </w:rPr>
      </w:pPr>
      <w:hyperlink w:anchor="_Toc121494414" w:history="1">
        <w:r w:rsidR="00DC334F" w:rsidRPr="00BD16B4">
          <w:rPr>
            <w:rStyle w:val="Hyperlink"/>
            <w:rFonts w:eastAsia="Calibri"/>
          </w:rPr>
          <w:t>Figure B.4:</w:t>
        </w:r>
        <w:r w:rsidR="00DC334F" w:rsidRPr="00BD16B4">
          <w:rPr>
            <w:rFonts w:asciiTheme="minorHAnsi" w:hAnsiTheme="minorHAnsi"/>
          </w:rPr>
          <w:tab/>
        </w:r>
        <w:r w:rsidR="00DC334F" w:rsidRPr="00BD16B4">
          <w:rPr>
            <w:rStyle w:val="Hyperlink"/>
          </w:rPr>
          <w:t>Configuration of the production environment of the New Zealand Emissions Trading Register</w:t>
        </w:r>
        <w:r w:rsidR="00DC334F" w:rsidRPr="00BD16B4">
          <w:rPr>
            <w:webHidden/>
          </w:rPr>
          <w:tab/>
        </w:r>
        <w:r w:rsidR="00DC334F" w:rsidRPr="00BD16B4">
          <w:rPr>
            <w:webHidden/>
          </w:rPr>
          <w:fldChar w:fldCharType="begin"/>
        </w:r>
        <w:r w:rsidR="00DC334F" w:rsidRPr="00BD16B4">
          <w:rPr>
            <w:webHidden/>
          </w:rPr>
          <w:instrText xml:space="preserve"> PAGEREF _Toc121494414 \h </w:instrText>
        </w:r>
        <w:r w:rsidR="00DC334F" w:rsidRPr="00BD16B4">
          <w:rPr>
            <w:webHidden/>
          </w:rPr>
        </w:r>
        <w:r w:rsidR="00DC334F" w:rsidRPr="00BD16B4">
          <w:rPr>
            <w:webHidden/>
          </w:rPr>
          <w:fldChar w:fldCharType="separate"/>
        </w:r>
        <w:r w:rsidR="00A60C35">
          <w:rPr>
            <w:noProof/>
            <w:webHidden/>
          </w:rPr>
          <w:t>424</w:t>
        </w:r>
        <w:r w:rsidR="00DC334F" w:rsidRPr="00BD16B4">
          <w:rPr>
            <w:webHidden/>
          </w:rPr>
          <w:fldChar w:fldCharType="end"/>
        </w:r>
      </w:hyperlink>
    </w:p>
    <w:p w14:paraId="5E985851" w14:textId="10EA0CAC" w:rsidR="00DC334F" w:rsidRPr="00BD16B4" w:rsidRDefault="00FC49D2">
      <w:pPr>
        <w:pStyle w:val="TableofFigures"/>
        <w:tabs>
          <w:tab w:val="right" w:pos="8495"/>
        </w:tabs>
        <w:rPr>
          <w:rFonts w:asciiTheme="minorHAnsi" w:hAnsiTheme="minorHAnsi"/>
        </w:rPr>
      </w:pPr>
      <w:hyperlink w:anchor="_Toc121494415" w:history="1">
        <w:r w:rsidR="00DC334F" w:rsidRPr="00BD16B4">
          <w:rPr>
            <w:rStyle w:val="Hyperlink"/>
          </w:rPr>
          <w:t>Figure D.1:</w:t>
        </w:r>
        <w:r w:rsidR="00DC334F" w:rsidRPr="00BD16B4">
          <w:rPr>
            <w:rFonts w:asciiTheme="minorHAnsi" w:hAnsiTheme="minorHAnsi"/>
          </w:rPr>
          <w:tab/>
        </w:r>
        <w:r w:rsidR="00DC334F" w:rsidRPr="00BD16B4">
          <w:rPr>
            <w:rStyle w:val="Hyperlink"/>
          </w:rPr>
          <w:t>Modelled glacier ice volume change, 1978–2020, and end of summer snowline of Rolleston Glacier, Arthurs Pass area, March 2016</w:t>
        </w:r>
        <w:r w:rsidR="00DC334F" w:rsidRPr="00BD16B4">
          <w:rPr>
            <w:webHidden/>
          </w:rPr>
          <w:tab/>
        </w:r>
        <w:r w:rsidR="00DC334F" w:rsidRPr="00BD16B4">
          <w:rPr>
            <w:webHidden/>
          </w:rPr>
          <w:fldChar w:fldCharType="begin"/>
        </w:r>
        <w:r w:rsidR="00DC334F" w:rsidRPr="00BD16B4">
          <w:rPr>
            <w:webHidden/>
          </w:rPr>
          <w:instrText xml:space="preserve"> PAGEREF _Toc121494415 \h </w:instrText>
        </w:r>
        <w:r w:rsidR="00DC334F" w:rsidRPr="00BD16B4">
          <w:rPr>
            <w:webHidden/>
          </w:rPr>
        </w:r>
        <w:r w:rsidR="00DC334F" w:rsidRPr="00BD16B4">
          <w:rPr>
            <w:webHidden/>
          </w:rPr>
          <w:fldChar w:fldCharType="separate"/>
        </w:r>
        <w:r w:rsidR="00A60C35">
          <w:rPr>
            <w:noProof/>
            <w:webHidden/>
          </w:rPr>
          <w:t>471</w:t>
        </w:r>
        <w:r w:rsidR="00DC334F" w:rsidRPr="00BD16B4">
          <w:rPr>
            <w:webHidden/>
          </w:rPr>
          <w:fldChar w:fldCharType="end"/>
        </w:r>
      </w:hyperlink>
    </w:p>
    <w:p w14:paraId="591BB58A" w14:textId="1580FE42" w:rsidR="00987F0B" w:rsidRPr="00BD16B4" w:rsidRDefault="00987F0B" w:rsidP="00987F0B">
      <w:pPr>
        <w:pStyle w:val="BodyText"/>
      </w:pPr>
      <w:r w:rsidRPr="00BD16B4">
        <w:fldChar w:fldCharType="end"/>
      </w:r>
    </w:p>
    <w:p w14:paraId="171047C7" w14:textId="77777777" w:rsidR="00987F0B" w:rsidRPr="00BD16B4" w:rsidRDefault="00987F0B" w:rsidP="00987F0B">
      <w:pPr>
        <w:spacing w:before="0" w:after="200" w:line="276" w:lineRule="auto"/>
        <w:jc w:val="left"/>
      </w:pPr>
    </w:p>
    <w:p w14:paraId="669E4C32" w14:textId="77777777" w:rsidR="00987F0B" w:rsidRPr="00BD16B4" w:rsidRDefault="00987F0B" w:rsidP="00987F0B">
      <w:pPr>
        <w:pStyle w:val="Heading"/>
        <w:sectPr w:rsidR="00987F0B" w:rsidRPr="00BD16B4" w:rsidSect="008A7498">
          <w:footerReference w:type="default" r:id="rId27"/>
          <w:pgSz w:w="11907" w:h="16840" w:code="9"/>
          <w:pgMar w:top="1134" w:right="1701" w:bottom="1134" w:left="1701" w:header="567" w:footer="567" w:gutter="0"/>
          <w:cols w:space="720"/>
          <w:docGrid w:linePitch="299"/>
        </w:sectPr>
      </w:pPr>
    </w:p>
    <w:p w14:paraId="61DE0F20" w14:textId="1A63B864" w:rsidR="00987F0B" w:rsidRPr="00BD16B4" w:rsidRDefault="00987F0B" w:rsidP="00B10948">
      <w:pPr>
        <w:pStyle w:val="Heading1"/>
      </w:pPr>
      <w:bookmarkStart w:id="2" w:name="_Toc121774612"/>
      <w:r w:rsidRPr="00BD16B4">
        <w:lastRenderedPageBreak/>
        <w:t>Abbreviations</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1758"/>
        <w:gridCol w:w="6804"/>
      </w:tblGrid>
      <w:tr w:rsidR="009A47B9" w:rsidRPr="00BD16B4" w14:paraId="05AE5654" w14:textId="77777777" w:rsidTr="00B10948">
        <w:tc>
          <w:tcPr>
            <w:tcW w:w="1758" w:type="dxa"/>
          </w:tcPr>
          <w:p w14:paraId="20E21166" w14:textId="77777777" w:rsidR="009A47B9" w:rsidRPr="00BD16B4" w:rsidRDefault="009A47B9" w:rsidP="003D5A34">
            <w:pPr>
              <w:pStyle w:val="BodyText"/>
              <w:spacing w:before="50" w:after="50"/>
              <w:rPr>
                <w:rFonts w:cs="Calibri"/>
                <w:sz w:val="21"/>
                <w:szCs w:val="21"/>
              </w:rPr>
            </w:pPr>
            <w:r w:rsidRPr="00BD16B4">
              <w:rPr>
                <w:rFonts w:cs="Calibri"/>
                <w:sz w:val="21"/>
                <w:szCs w:val="21"/>
              </w:rPr>
              <w:t>ANDRILL</w:t>
            </w:r>
          </w:p>
        </w:tc>
        <w:tc>
          <w:tcPr>
            <w:tcW w:w="6804" w:type="dxa"/>
          </w:tcPr>
          <w:p w14:paraId="1BC23D17" w14:textId="42DD0D21" w:rsidR="009A47B9" w:rsidRPr="00BD16B4" w:rsidRDefault="009A47B9" w:rsidP="003D5A34">
            <w:pPr>
              <w:pStyle w:val="BodyText"/>
              <w:spacing w:before="50" w:after="50"/>
              <w:rPr>
                <w:rFonts w:cs="Calibri"/>
                <w:sz w:val="21"/>
                <w:szCs w:val="21"/>
              </w:rPr>
            </w:pPr>
            <w:r w:rsidRPr="00BD16B4">
              <w:rPr>
                <w:rFonts w:cs="Calibri"/>
                <w:sz w:val="21"/>
                <w:szCs w:val="21"/>
              </w:rPr>
              <w:t>Antarctic Drilling programme</w:t>
            </w:r>
          </w:p>
        </w:tc>
      </w:tr>
      <w:tr w:rsidR="009A47B9" w:rsidRPr="00BD16B4" w14:paraId="5F898209" w14:textId="77777777" w:rsidTr="00B10948">
        <w:tc>
          <w:tcPr>
            <w:tcW w:w="1758" w:type="dxa"/>
          </w:tcPr>
          <w:p w14:paraId="0C32861F" w14:textId="77777777" w:rsidR="009A47B9" w:rsidRPr="00BD16B4" w:rsidRDefault="009A47B9" w:rsidP="003D5A34">
            <w:pPr>
              <w:pStyle w:val="BodyText"/>
              <w:spacing w:before="50" w:after="50"/>
              <w:rPr>
                <w:rFonts w:cs="Calibri"/>
                <w:sz w:val="21"/>
                <w:szCs w:val="21"/>
              </w:rPr>
            </w:pPr>
            <w:r w:rsidRPr="00BD16B4">
              <w:rPr>
                <w:rFonts w:cs="Calibri"/>
                <w:sz w:val="21"/>
                <w:szCs w:val="21"/>
              </w:rPr>
              <w:t>AR5</w:t>
            </w:r>
          </w:p>
        </w:tc>
        <w:tc>
          <w:tcPr>
            <w:tcW w:w="6804" w:type="dxa"/>
          </w:tcPr>
          <w:p w14:paraId="0950102F" w14:textId="77777777" w:rsidR="009A47B9" w:rsidRPr="00BD16B4" w:rsidRDefault="009A47B9" w:rsidP="003D5A34">
            <w:pPr>
              <w:pStyle w:val="BodyText"/>
              <w:spacing w:before="50" w:after="50"/>
              <w:rPr>
                <w:rFonts w:cs="Calibri"/>
                <w:sz w:val="21"/>
                <w:szCs w:val="21"/>
              </w:rPr>
            </w:pPr>
            <w:r w:rsidRPr="00BD16B4">
              <w:rPr>
                <w:rFonts w:cs="Calibri"/>
                <w:i/>
                <w:iCs/>
                <w:sz w:val="21"/>
                <w:szCs w:val="21"/>
              </w:rPr>
              <w:t>Fifth Assessment Report</w:t>
            </w:r>
            <w:r w:rsidRPr="00BD16B4">
              <w:rPr>
                <w:rFonts w:cs="Calibri"/>
                <w:sz w:val="21"/>
                <w:szCs w:val="21"/>
              </w:rPr>
              <w:t xml:space="preserve"> (of the Intergovernmental Panel on Climate Change)</w:t>
            </w:r>
          </w:p>
        </w:tc>
      </w:tr>
      <w:tr w:rsidR="009A47B9" w:rsidRPr="00BD16B4" w14:paraId="1EA9DA7F" w14:textId="77777777" w:rsidTr="00B10948">
        <w:tc>
          <w:tcPr>
            <w:tcW w:w="1758" w:type="dxa"/>
          </w:tcPr>
          <w:p w14:paraId="394E7E7E" w14:textId="77777777" w:rsidR="009A47B9" w:rsidRPr="00BD16B4" w:rsidRDefault="009A47B9" w:rsidP="003D5A34">
            <w:pPr>
              <w:pStyle w:val="BodyText"/>
              <w:spacing w:before="50" w:after="50"/>
              <w:rPr>
                <w:rFonts w:cs="Calibri"/>
                <w:sz w:val="21"/>
                <w:szCs w:val="21"/>
              </w:rPr>
            </w:pPr>
            <w:r w:rsidRPr="00BD16B4">
              <w:rPr>
                <w:rFonts w:cs="Calibri"/>
                <w:sz w:val="21"/>
                <w:szCs w:val="21"/>
              </w:rPr>
              <w:t>AR6</w:t>
            </w:r>
          </w:p>
        </w:tc>
        <w:tc>
          <w:tcPr>
            <w:tcW w:w="6804" w:type="dxa"/>
          </w:tcPr>
          <w:p w14:paraId="13577ED8" w14:textId="77777777" w:rsidR="009A47B9" w:rsidRPr="00BD16B4" w:rsidRDefault="009A47B9" w:rsidP="003D5A34">
            <w:pPr>
              <w:pStyle w:val="BodyText"/>
              <w:spacing w:before="50" w:after="50"/>
              <w:rPr>
                <w:rFonts w:cs="Calibri"/>
                <w:sz w:val="21"/>
                <w:szCs w:val="21"/>
              </w:rPr>
            </w:pPr>
            <w:r w:rsidRPr="00BD16B4">
              <w:rPr>
                <w:rFonts w:cs="Calibri"/>
                <w:i/>
                <w:iCs/>
                <w:sz w:val="21"/>
                <w:szCs w:val="21"/>
              </w:rPr>
              <w:t>Sixth Assessment Report</w:t>
            </w:r>
            <w:r w:rsidRPr="00BD16B4">
              <w:rPr>
                <w:rFonts w:cs="Calibri"/>
                <w:sz w:val="21"/>
                <w:szCs w:val="21"/>
              </w:rPr>
              <w:t xml:space="preserve"> (of the Intergovernmental Panel on Climate Change)</w:t>
            </w:r>
          </w:p>
        </w:tc>
      </w:tr>
      <w:tr w:rsidR="009A47B9" w:rsidRPr="00BD16B4" w14:paraId="64CC2A4B" w14:textId="77777777" w:rsidTr="00B10948">
        <w:tc>
          <w:tcPr>
            <w:tcW w:w="1758" w:type="dxa"/>
          </w:tcPr>
          <w:p w14:paraId="752FEC30"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ARC </w:t>
            </w:r>
          </w:p>
        </w:tc>
        <w:tc>
          <w:tcPr>
            <w:tcW w:w="6804" w:type="dxa"/>
          </w:tcPr>
          <w:p w14:paraId="4A84D42A" w14:textId="77777777" w:rsidR="009A47B9" w:rsidRPr="00BD16B4" w:rsidRDefault="009A47B9" w:rsidP="003D5A34">
            <w:pPr>
              <w:pStyle w:val="BodyText"/>
              <w:spacing w:before="50" w:after="50"/>
              <w:rPr>
                <w:rFonts w:cs="Calibri"/>
                <w:sz w:val="21"/>
                <w:szCs w:val="21"/>
              </w:rPr>
            </w:pPr>
            <w:r w:rsidRPr="00BD16B4">
              <w:rPr>
                <w:rFonts w:cs="Calibri"/>
                <w:sz w:val="21"/>
                <w:szCs w:val="21"/>
              </w:rPr>
              <w:t>Antarctic Research Centre</w:t>
            </w:r>
          </w:p>
        </w:tc>
      </w:tr>
      <w:tr w:rsidR="009A47B9" w:rsidRPr="00BD16B4" w14:paraId="0EA59456" w14:textId="77777777" w:rsidTr="00B10948">
        <w:tc>
          <w:tcPr>
            <w:tcW w:w="1758" w:type="dxa"/>
          </w:tcPr>
          <w:p w14:paraId="077F73B0" w14:textId="77777777" w:rsidR="009A47B9" w:rsidRPr="00BD16B4" w:rsidRDefault="009A47B9" w:rsidP="003D5A34">
            <w:pPr>
              <w:pStyle w:val="BodyText"/>
              <w:spacing w:before="50" w:after="50"/>
              <w:rPr>
                <w:rFonts w:cs="Calibri"/>
                <w:sz w:val="21"/>
                <w:szCs w:val="21"/>
              </w:rPr>
            </w:pPr>
            <w:r w:rsidRPr="00BD16B4">
              <w:rPr>
                <w:rFonts w:cs="Calibri"/>
                <w:sz w:val="21"/>
                <w:szCs w:val="21"/>
              </w:rPr>
              <w:t>ASEAN</w:t>
            </w:r>
          </w:p>
        </w:tc>
        <w:tc>
          <w:tcPr>
            <w:tcW w:w="6804" w:type="dxa"/>
          </w:tcPr>
          <w:p w14:paraId="3F85E4C1" w14:textId="77777777" w:rsidR="009A47B9" w:rsidRPr="00BD16B4" w:rsidRDefault="009A47B9" w:rsidP="003D5A34">
            <w:pPr>
              <w:pStyle w:val="BodyText"/>
              <w:spacing w:before="50" w:after="50"/>
              <w:rPr>
                <w:rFonts w:cs="Calibri"/>
                <w:sz w:val="21"/>
                <w:szCs w:val="21"/>
              </w:rPr>
            </w:pPr>
            <w:r w:rsidRPr="00BD16B4">
              <w:rPr>
                <w:rFonts w:cs="Calibri"/>
                <w:sz w:val="21"/>
                <w:szCs w:val="21"/>
              </w:rPr>
              <w:t>Association of Southeast Asian Nations</w:t>
            </w:r>
          </w:p>
        </w:tc>
      </w:tr>
      <w:tr w:rsidR="009A47B9" w:rsidRPr="00BD16B4" w14:paraId="5C705E28" w14:textId="77777777" w:rsidTr="00B10948">
        <w:tc>
          <w:tcPr>
            <w:tcW w:w="1758" w:type="dxa"/>
          </w:tcPr>
          <w:p w14:paraId="01386104"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AWS </w:t>
            </w:r>
          </w:p>
        </w:tc>
        <w:tc>
          <w:tcPr>
            <w:tcW w:w="6804" w:type="dxa"/>
          </w:tcPr>
          <w:p w14:paraId="6AEE8BA6" w14:textId="77777777" w:rsidR="009A47B9" w:rsidRPr="00BD16B4" w:rsidRDefault="009A47B9" w:rsidP="003D5A34">
            <w:pPr>
              <w:pStyle w:val="BodyText"/>
              <w:spacing w:before="50" w:after="50"/>
              <w:rPr>
                <w:rFonts w:cs="Calibri"/>
                <w:sz w:val="21"/>
                <w:szCs w:val="21"/>
              </w:rPr>
            </w:pPr>
            <w:r w:rsidRPr="00BD16B4">
              <w:rPr>
                <w:rFonts w:cs="Calibri"/>
                <w:sz w:val="21"/>
                <w:szCs w:val="21"/>
              </w:rPr>
              <w:t>Automatic weather station</w:t>
            </w:r>
          </w:p>
        </w:tc>
      </w:tr>
      <w:tr w:rsidR="009A47B9" w:rsidRPr="00BD16B4" w14:paraId="4867228B" w14:textId="77777777" w:rsidTr="00B10948">
        <w:tc>
          <w:tcPr>
            <w:tcW w:w="1758" w:type="dxa"/>
          </w:tcPr>
          <w:p w14:paraId="5DD91DD7" w14:textId="77777777" w:rsidR="009A47B9" w:rsidRPr="00BD16B4" w:rsidRDefault="009A47B9" w:rsidP="003D5A34">
            <w:pPr>
              <w:pStyle w:val="BodyText"/>
              <w:spacing w:before="50" w:after="50"/>
              <w:rPr>
                <w:rFonts w:cs="Calibri"/>
                <w:sz w:val="21"/>
                <w:szCs w:val="21"/>
              </w:rPr>
            </w:pPr>
            <w:r w:rsidRPr="00BD16B4">
              <w:rPr>
                <w:rFonts w:cs="Calibri"/>
                <w:sz w:val="21"/>
                <w:szCs w:val="21"/>
              </w:rPr>
              <w:t>BSRN</w:t>
            </w:r>
          </w:p>
        </w:tc>
        <w:tc>
          <w:tcPr>
            <w:tcW w:w="6804" w:type="dxa"/>
          </w:tcPr>
          <w:p w14:paraId="6D5A9DDD" w14:textId="77777777" w:rsidR="009A47B9" w:rsidRPr="00BD16B4" w:rsidRDefault="009A47B9" w:rsidP="003D5A34">
            <w:pPr>
              <w:pStyle w:val="BodyText"/>
              <w:spacing w:before="50" w:after="50"/>
              <w:rPr>
                <w:rFonts w:cs="Calibri"/>
                <w:sz w:val="21"/>
                <w:szCs w:val="21"/>
              </w:rPr>
            </w:pPr>
            <w:r w:rsidRPr="00BD16B4">
              <w:rPr>
                <w:rFonts w:cs="Calibri"/>
                <w:sz w:val="21"/>
                <w:szCs w:val="21"/>
              </w:rPr>
              <w:t>Baseline Surface Radiation Network</w:t>
            </w:r>
          </w:p>
        </w:tc>
      </w:tr>
      <w:tr w:rsidR="009A47B9" w:rsidRPr="00BD16B4" w14:paraId="53AB658C" w14:textId="77777777" w:rsidTr="00B10948">
        <w:tc>
          <w:tcPr>
            <w:tcW w:w="1758" w:type="dxa"/>
          </w:tcPr>
          <w:p w14:paraId="37A500B1" w14:textId="77777777" w:rsidR="009A47B9" w:rsidRPr="00BD16B4" w:rsidRDefault="009A47B9" w:rsidP="003D5A34">
            <w:pPr>
              <w:pStyle w:val="BodyText"/>
              <w:spacing w:before="50" w:after="50"/>
              <w:rPr>
                <w:rFonts w:cs="Calibri"/>
                <w:sz w:val="21"/>
                <w:szCs w:val="21"/>
              </w:rPr>
            </w:pPr>
            <w:r w:rsidRPr="00BD16B4">
              <w:rPr>
                <w:rFonts w:cs="Calibri"/>
                <w:sz w:val="21"/>
                <w:szCs w:val="21"/>
              </w:rPr>
              <w:t>CCRA</w:t>
            </w:r>
          </w:p>
        </w:tc>
        <w:tc>
          <w:tcPr>
            <w:tcW w:w="6804" w:type="dxa"/>
          </w:tcPr>
          <w:p w14:paraId="50186A1B" w14:textId="77777777" w:rsidR="009A47B9" w:rsidRPr="00BD16B4" w:rsidRDefault="009A47B9" w:rsidP="003D5A34">
            <w:pPr>
              <w:pStyle w:val="BodyText"/>
              <w:spacing w:before="50" w:after="50"/>
              <w:rPr>
                <w:rFonts w:cs="Calibri"/>
                <w:sz w:val="21"/>
                <w:szCs w:val="21"/>
              </w:rPr>
            </w:pPr>
            <w:r w:rsidRPr="00BD16B4">
              <w:rPr>
                <w:rFonts w:cs="Calibri"/>
                <w:sz w:val="21"/>
                <w:szCs w:val="21"/>
              </w:rPr>
              <w:t>Climate Change Response Act 2002</w:t>
            </w:r>
          </w:p>
        </w:tc>
      </w:tr>
      <w:tr w:rsidR="009A47B9" w:rsidRPr="00BD16B4" w14:paraId="4A0C5356" w14:textId="77777777" w:rsidTr="00B10948">
        <w:tc>
          <w:tcPr>
            <w:tcW w:w="1758" w:type="dxa"/>
          </w:tcPr>
          <w:p w14:paraId="042308C4" w14:textId="77777777" w:rsidR="009A47B9" w:rsidRPr="00BD16B4" w:rsidRDefault="009A47B9" w:rsidP="003D5A34">
            <w:pPr>
              <w:pStyle w:val="BodyText"/>
              <w:spacing w:before="50" w:after="50"/>
              <w:rPr>
                <w:rFonts w:cs="Calibri"/>
                <w:sz w:val="21"/>
                <w:szCs w:val="21"/>
              </w:rPr>
            </w:pPr>
            <w:r w:rsidRPr="00BD16B4">
              <w:rPr>
                <w:rFonts w:cs="Calibri"/>
                <w:sz w:val="21"/>
                <w:szCs w:val="21"/>
              </w:rPr>
              <w:t>CERF</w:t>
            </w:r>
          </w:p>
        </w:tc>
        <w:tc>
          <w:tcPr>
            <w:tcW w:w="6804" w:type="dxa"/>
          </w:tcPr>
          <w:p w14:paraId="4F13EA32" w14:textId="77777777" w:rsidR="009A47B9" w:rsidRPr="00BD16B4" w:rsidRDefault="009A47B9" w:rsidP="003D5A34">
            <w:pPr>
              <w:pStyle w:val="BodyText"/>
              <w:spacing w:before="50" w:after="50"/>
              <w:rPr>
                <w:rFonts w:cs="Calibri"/>
                <w:sz w:val="21"/>
                <w:szCs w:val="21"/>
              </w:rPr>
            </w:pPr>
            <w:r w:rsidRPr="00BD16B4">
              <w:rPr>
                <w:rFonts w:cs="Calibri"/>
                <w:sz w:val="21"/>
                <w:szCs w:val="21"/>
              </w:rPr>
              <w:t>Climate Emergency Response Fund</w:t>
            </w:r>
          </w:p>
        </w:tc>
      </w:tr>
      <w:tr w:rsidR="009A47B9" w:rsidRPr="00BD16B4" w14:paraId="0406E394" w14:textId="77777777" w:rsidTr="00B10948">
        <w:tc>
          <w:tcPr>
            <w:tcW w:w="1758" w:type="dxa"/>
          </w:tcPr>
          <w:p w14:paraId="55E5D58B" w14:textId="77777777" w:rsidR="009A47B9" w:rsidRPr="00BD16B4" w:rsidRDefault="009A47B9" w:rsidP="003D5A34">
            <w:pPr>
              <w:pStyle w:val="BodyText"/>
              <w:spacing w:before="50" w:after="50"/>
              <w:rPr>
                <w:rFonts w:cs="Calibri"/>
                <w:sz w:val="21"/>
                <w:szCs w:val="21"/>
              </w:rPr>
            </w:pPr>
            <w:r w:rsidRPr="00BD16B4">
              <w:rPr>
                <w:rFonts w:cs="Calibri"/>
                <w:sz w:val="21"/>
                <w:szCs w:val="21"/>
              </w:rPr>
              <w:t>CGIAR</w:t>
            </w:r>
          </w:p>
        </w:tc>
        <w:tc>
          <w:tcPr>
            <w:tcW w:w="6804" w:type="dxa"/>
          </w:tcPr>
          <w:p w14:paraId="6D3E2463" w14:textId="77777777" w:rsidR="009A47B9" w:rsidRPr="00BD16B4" w:rsidRDefault="009A47B9" w:rsidP="003D5A34">
            <w:pPr>
              <w:pStyle w:val="BodyText"/>
              <w:spacing w:before="50" w:after="50"/>
              <w:rPr>
                <w:rFonts w:cs="Calibri"/>
                <w:sz w:val="21"/>
                <w:szCs w:val="21"/>
              </w:rPr>
            </w:pPr>
            <w:r w:rsidRPr="00BD16B4">
              <w:rPr>
                <w:rFonts w:cs="Calibri"/>
                <w:sz w:val="21"/>
                <w:szCs w:val="21"/>
              </w:rPr>
              <w:t>Consultative Group for International Agricultural Research</w:t>
            </w:r>
          </w:p>
        </w:tc>
      </w:tr>
      <w:tr w:rsidR="009A47B9" w:rsidRPr="00BD16B4" w14:paraId="22BD3E7D" w14:textId="77777777" w:rsidTr="00B10948">
        <w:tc>
          <w:tcPr>
            <w:tcW w:w="1758" w:type="dxa"/>
          </w:tcPr>
          <w:p w14:paraId="175550C0" w14:textId="77777777" w:rsidR="009A47B9" w:rsidRPr="00BD16B4" w:rsidRDefault="009A47B9" w:rsidP="003D5A34">
            <w:pPr>
              <w:pStyle w:val="BodyText"/>
              <w:spacing w:before="50" w:after="50"/>
              <w:rPr>
                <w:rFonts w:cs="Calibri"/>
                <w:sz w:val="21"/>
                <w:szCs w:val="21"/>
              </w:rPr>
            </w:pPr>
            <w:r w:rsidRPr="00BD16B4">
              <w:rPr>
                <w:rFonts w:cs="Calibri"/>
                <w:sz w:val="21"/>
                <w:szCs w:val="21"/>
              </w:rPr>
              <w:t>CH</w:t>
            </w:r>
            <w:r w:rsidRPr="00BD16B4">
              <w:rPr>
                <w:rFonts w:cs="Calibri"/>
                <w:sz w:val="21"/>
                <w:szCs w:val="21"/>
                <w:vertAlign w:val="subscript"/>
              </w:rPr>
              <w:t>4</w:t>
            </w:r>
          </w:p>
        </w:tc>
        <w:tc>
          <w:tcPr>
            <w:tcW w:w="6804" w:type="dxa"/>
          </w:tcPr>
          <w:p w14:paraId="3F07A121" w14:textId="77777777" w:rsidR="009A47B9" w:rsidRPr="00BD16B4" w:rsidRDefault="009A47B9" w:rsidP="003D5A34">
            <w:pPr>
              <w:pStyle w:val="BodyText"/>
              <w:spacing w:before="50" w:after="50"/>
              <w:rPr>
                <w:rFonts w:cs="Calibri"/>
                <w:sz w:val="21"/>
                <w:szCs w:val="21"/>
              </w:rPr>
            </w:pPr>
            <w:r w:rsidRPr="00BD16B4">
              <w:rPr>
                <w:rFonts w:cs="Calibri"/>
                <w:sz w:val="21"/>
                <w:szCs w:val="21"/>
              </w:rPr>
              <w:t>Methane</w:t>
            </w:r>
          </w:p>
        </w:tc>
      </w:tr>
      <w:tr w:rsidR="009A47B9" w:rsidRPr="00BD16B4" w14:paraId="145E0BC3" w14:textId="77777777" w:rsidTr="00B10948">
        <w:tc>
          <w:tcPr>
            <w:tcW w:w="1758" w:type="dxa"/>
          </w:tcPr>
          <w:p w14:paraId="51131089" w14:textId="77777777" w:rsidR="009A47B9" w:rsidRPr="00BD16B4" w:rsidRDefault="009A47B9" w:rsidP="003D5A34">
            <w:pPr>
              <w:pStyle w:val="BodyText"/>
              <w:spacing w:before="50" w:after="50"/>
              <w:rPr>
                <w:rFonts w:cs="Calibri"/>
                <w:sz w:val="21"/>
                <w:szCs w:val="21"/>
              </w:rPr>
            </w:pPr>
            <w:r w:rsidRPr="00BD16B4">
              <w:rPr>
                <w:rFonts w:cs="Calibri"/>
                <w:sz w:val="21"/>
                <w:szCs w:val="21"/>
              </w:rPr>
              <w:t>CIHEAM</w:t>
            </w:r>
          </w:p>
        </w:tc>
        <w:tc>
          <w:tcPr>
            <w:tcW w:w="6804" w:type="dxa"/>
          </w:tcPr>
          <w:p w14:paraId="636E2A6A" w14:textId="77777777" w:rsidR="009A47B9" w:rsidRPr="00BD16B4" w:rsidRDefault="009A47B9" w:rsidP="003D5A34">
            <w:pPr>
              <w:pStyle w:val="BodyText"/>
              <w:spacing w:before="50" w:after="50"/>
              <w:rPr>
                <w:rFonts w:cs="Calibri"/>
                <w:sz w:val="21"/>
                <w:szCs w:val="21"/>
              </w:rPr>
            </w:pPr>
            <w:r w:rsidRPr="00BD16B4">
              <w:rPr>
                <w:rFonts w:cs="Calibri"/>
                <w:sz w:val="21"/>
                <w:szCs w:val="21"/>
              </w:rPr>
              <w:t>International Centre for Advanced Mediterranean Agronomic Studies</w:t>
            </w:r>
          </w:p>
        </w:tc>
      </w:tr>
      <w:tr w:rsidR="009A47B9" w:rsidRPr="00BD16B4" w14:paraId="486FCFA2" w14:textId="77777777" w:rsidTr="00B10948">
        <w:tc>
          <w:tcPr>
            <w:tcW w:w="1758" w:type="dxa"/>
          </w:tcPr>
          <w:p w14:paraId="76F5F6DA"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CLIFF-GRADS </w:t>
            </w:r>
          </w:p>
        </w:tc>
        <w:tc>
          <w:tcPr>
            <w:tcW w:w="6804" w:type="dxa"/>
          </w:tcPr>
          <w:p w14:paraId="550C002E" w14:textId="77777777" w:rsidR="009A47B9" w:rsidRPr="00BD16B4" w:rsidRDefault="009A47B9" w:rsidP="003D5A34">
            <w:pPr>
              <w:pStyle w:val="BodyText"/>
              <w:spacing w:before="50" w:after="50"/>
              <w:rPr>
                <w:rFonts w:cs="Calibri"/>
                <w:sz w:val="21"/>
                <w:szCs w:val="21"/>
              </w:rPr>
            </w:pPr>
            <w:r w:rsidRPr="00BD16B4">
              <w:rPr>
                <w:rFonts w:cs="Calibri"/>
                <w:sz w:val="21"/>
                <w:szCs w:val="21"/>
              </w:rPr>
              <w:t>Climate Food and Farming Research Network – Global Research Alliance Development Scholarship</w:t>
            </w:r>
          </w:p>
        </w:tc>
      </w:tr>
      <w:tr w:rsidR="009A47B9" w:rsidRPr="00BD16B4" w14:paraId="27688A96" w14:textId="77777777" w:rsidTr="00B10948">
        <w:tc>
          <w:tcPr>
            <w:tcW w:w="1758" w:type="dxa"/>
          </w:tcPr>
          <w:p w14:paraId="047D5B6A" w14:textId="77777777" w:rsidR="009A47B9" w:rsidRPr="00BD16B4" w:rsidRDefault="009A47B9" w:rsidP="003D5A34">
            <w:pPr>
              <w:pStyle w:val="BodyText"/>
              <w:spacing w:before="50" w:after="50"/>
              <w:rPr>
                <w:rFonts w:cs="Calibri"/>
                <w:sz w:val="21"/>
                <w:szCs w:val="21"/>
              </w:rPr>
            </w:pPr>
            <w:r w:rsidRPr="00BD16B4">
              <w:rPr>
                <w:rFonts w:cs="Calibri"/>
                <w:sz w:val="21"/>
                <w:szCs w:val="21"/>
              </w:rPr>
              <w:t>CNGP</w:t>
            </w:r>
          </w:p>
        </w:tc>
        <w:tc>
          <w:tcPr>
            <w:tcW w:w="6804" w:type="dxa"/>
          </w:tcPr>
          <w:p w14:paraId="582891A7" w14:textId="77777777" w:rsidR="009A47B9" w:rsidRPr="00BD16B4" w:rsidRDefault="009A47B9" w:rsidP="003D5A34">
            <w:pPr>
              <w:pStyle w:val="BodyText"/>
              <w:spacing w:before="50" w:after="50"/>
              <w:rPr>
                <w:rFonts w:cs="Calibri"/>
                <w:sz w:val="21"/>
                <w:szCs w:val="21"/>
              </w:rPr>
            </w:pPr>
            <w:r w:rsidRPr="00BD16B4">
              <w:rPr>
                <w:rFonts w:cs="Calibri"/>
                <w:sz w:val="21"/>
                <w:szCs w:val="21"/>
              </w:rPr>
              <w:t>Carbon Neutral Government Programme</w:t>
            </w:r>
          </w:p>
        </w:tc>
      </w:tr>
      <w:tr w:rsidR="009A47B9" w:rsidRPr="00BD16B4" w14:paraId="034B5763" w14:textId="77777777" w:rsidTr="00B10948">
        <w:tc>
          <w:tcPr>
            <w:tcW w:w="1758" w:type="dxa"/>
          </w:tcPr>
          <w:p w14:paraId="70996AF1" w14:textId="77777777" w:rsidR="009A47B9" w:rsidRPr="00BD16B4" w:rsidRDefault="009A47B9" w:rsidP="003D5A34">
            <w:pPr>
              <w:pStyle w:val="BodyText"/>
              <w:spacing w:before="50" w:after="50"/>
              <w:rPr>
                <w:rFonts w:cs="Calibri"/>
                <w:sz w:val="21"/>
                <w:szCs w:val="21"/>
              </w:rPr>
            </w:pPr>
            <w:r w:rsidRPr="00BD16B4">
              <w:rPr>
                <w:rFonts w:cs="Calibri"/>
                <w:sz w:val="21"/>
                <w:szCs w:val="21"/>
              </w:rPr>
              <w:t>CO</w:t>
            </w:r>
          </w:p>
        </w:tc>
        <w:tc>
          <w:tcPr>
            <w:tcW w:w="6804" w:type="dxa"/>
          </w:tcPr>
          <w:p w14:paraId="48A88035" w14:textId="414F426B" w:rsidR="009A47B9" w:rsidRPr="00BD16B4" w:rsidRDefault="00AE4051" w:rsidP="003D5A34">
            <w:pPr>
              <w:pStyle w:val="BodyText"/>
              <w:spacing w:before="50" w:after="50"/>
              <w:rPr>
                <w:rFonts w:cs="Calibri"/>
                <w:sz w:val="21"/>
                <w:szCs w:val="21"/>
              </w:rPr>
            </w:pPr>
            <w:r w:rsidRPr="00BD16B4">
              <w:rPr>
                <w:rFonts w:cs="Calibri"/>
                <w:sz w:val="21"/>
                <w:szCs w:val="21"/>
              </w:rPr>
              <w:t>Carbon monoxid</w:t>
            </w:r>
            <w:r w:rsidR="00953CF8" w:rsidRPr="00BD16B4">
              <w:rPr>
                <w:rFonts w:cs="Calibri"/>
                <w:sz w:val="21"/>
                <w:szCs w:val="21"/>
              </w:rPr>
              <w:t>e</w:t>
            </w:r>
          </w:p>
        </w:tc>
      </w:tr>
      <w:tr w:rsidR="009A47B9" w:rsidRPr="00BD16B4" w14:paraId="5AFBEB53" w14:textId="77777777" w:rsidTr="00B10948">
        <w:tc>
          <w:tcPr>
            <w:tcW w:w="1758" w:type="dxa"/>
          </w:tcPr>
          <w:p w14:paraId="7C64142E" w14:textId="77777777" w:rsidR="009A47B9" w:rsidRPr="00BD16B4" w:rsidRDefault="009A47B9" w:rsidP="003D5A34">
            <w:pPr>
              <w:pStyle w:val="BodyText"/>
              <w:spacing w:before="50" w:after="50"/>
              <w:rPr>
                <w:rFonts w:cs="Calibri"/>
                <w:sz w:val="21"/>
                <w:szCs w:val="21"/>
                <w:vertAlign w:val="subscript"/>
              </w:rPr>
            </w:pPr>
            <w:r w:rsidRPr="00BD16B4">
              <w:rPr>
                <w:rFonts w:cs="Calibri"/>
                <w:sz w:val="21"/>
                <w:szCs w:val="21"/>
              </w:rPr>
              <w:t>CO</w:t>
            </w:r>
            <w:r w:rsidRPr="00BD16B4">
              <w:rPr>
                <w:rFonts w:cs="Calibri"/>
                <w:sz w:val="21"/>
                <w:szCs w:val="21"/>
                <w:vertAlign w:val="subscript"/>
              </w:rPr>
              <w:t>2</w:t>
            </w:r>
          </w:p>
        </w:tc>
        <w:tc>
          <w:tcPr>
            <w:tcW w:w="6804" w:type="dxa"/>
          </w:tcPr>
          <w:p w14:paraId="266710CA" w14:textId="77777777" w:rsidR="009A47B9" w:rsidRPr="00BD16B4" w:rsidRDefault="009A47B9" w:rsidP="003D5A34">
            <w:pPr>
              <w:pStyle w:val="BodyText"/>
              <w:spacing w:before="50" w:after="50"/>
              <w:rPr>
                <w:rFonts w:cs="Calibri"/>
                <w:sz w:val="21"/>
                <w:szCs w:val="21"/>
              </w:rPr>
            </w:pPr>
            <w:r w:rsidRPr="00BD16B4">
              <w:rPr>
                <w:rFonts w:cs="Calibri"/>
                <w:sz w:val="21"/>
                <w:szCs w:val="21"/>
              </w:rPr>
              <w:t>Carbon dioxide</w:t>
            </w:r>
          </w:p>
        </w:tc>
      </w:tr>
      <w:tr w:rsidR="009A47B9" w:rsidRPr="00BD16B4" w14:paraId="1C78252C" w14:textId="77777777" w:rsidTr="00B10948">
        <w:tc>
          <w:tcPr>
            <w:tcW w:w="1758" w:type="dxa"/>
          </w:tcPr>
          <w:p w14:paraId="0D7FB61B" w14:textId="77777777" w:rsidR="009A47B9" w:rsidRPr="00BD16B4" w:rsidRDefault="009A47B9" w:rsidP="003D5A34">
            <w:pPr>
              <w:pStyle w:val="BodyText"/>
              <w:spacing w:before="50" w:after="50"/>
              <w:rPr>
                <w:rFonts w:cs="Calibri"/>
                <w:sz w:val="21"/>
                <w:szCs w:val="21"/>
              </w:rPr>
            </w:pPr>
            <w:r w:rsidRPr="00BD16B4">
              <w:rPr>
                <w:rFonts w:cs="Calibri"/>
                <w:sz w:val="21"/>
                <w:szCs w:val="21"/>
              </w:rPr>
              <w:t>Commission (the)</w:t>
            </w:r>
          </w:p>
        </w:tc>
        <w:tc>
          <w:tcPr>
            <w:tcW w:w="6804" w:type="dxa"/>
          </w:tcPr>
          <w:p w14:paraId="7779F34F" w14:textId="564C7814" w:rsidR="009A47B9" w:rsidRPr="00BD16B4" w:rsidRDefault="0026507D" w:rsidP="003D5A34">
            <w:pPr>
              <w:pStyle w:val="BodyText"/>
              <w:spacing w:before="50" w:after="50"/>
              <w:rPr>
                <w:rFonts w:cs="Calibri"/>
                <w:sz w:val="21"/>
                <w:szCs w:val="21"/>
              </w:rPr>
            </w:pPr>
            <w:r w:rsidRPr="00BD16B4">
              <w:rPr>
                <w:rFonts w:cs="Calibri"/>
                <w:sz w:val="21"/>
                <w:szCs w:val="21"/>
              </w:rPr>
              <w:t xml:space="preserve">He Pou a Rangi – </w:t>
            </w:r>
            <w:r w:rsidR="009A47B9" w:rsidRPr="00BD16B4">
              <w:rPr>
                <w:rFonts w:cs="Calibri"/>
                <w:sz w:val="21"/>
                <w:szCs w:val="21"/>
              </w:rPr>
              <w:t>Climate Change Commission</w:t>
            </w:r>
          </w:p>
        </w:tc>
      </w:tr>
      <w:tr w:rsidR="009A47B9" w:rsidRPr="00BD16B4" w14:paraId="7531ACC7" w14:textId="77777777" w:rsidTr="00B10948">
        <w:tc>
          <w:tcPr>
            <w:tcW w:w="1758" w:type="dxa"/>
          </w:tcPr>
          <w:p w14:paraId="4836CC0C" w14:textId="77777777" w:rsidR="009A47B9" w:rsidRPr="00BD16B4" w:rsidRDefault="009A47B9" w:rsidP="003D5A34">
            <w:pPr>
              <w:pStyle w:val="BodyText"/>
              <w:spacing w:before="50" w:after="50"/>
              <w:rPr>
                <w:rFonts w:cs="Calibri"/>
                <w:sz w:val="21"/>
                <w:szCs w:val="21"/>
              </w:rPr>
            </w:pPr>
            <w:r w:rsidRPr="00BD16B4">
              <w:rPr>
                <w:rFonts w:cs="Calibri"/>
                <w:sz w:val="21"/>
                <w:szCs w:val="21"/>
              </w:rPr>
              <w:t>CORSIA</w:t>
            </w:r>
          </w:p>
        </w:tc>
        <w:tc>
          <w:tcPr>
            <w:tcW w:w="6804" w:type="dxa"/>
          </w:tcPr>
          <w:p w14:paraId="793EB1A3" w14:textId="77777777" w:rsidR="009A47B9" w:rsidRPr="00BD16B4" w:rsidRDefault="009A47B9" w:rsidP="003D5A34">
            <w:pPr>
              <w:pStyle w:val="BodyText"/>
              <w:spacing w:before="50" w:after="50"/>
              <w:rPr>
                <w:rFonts w:cs="Calibri"/>
                <w:sz w:val="21"/>
                <w:szCs w:val="21"/>
              </w:rPr>
            </w:pPr>
            <w:r w:rsidRPr="00BD16B4">
              <w:rPr>
                <w:rFonts w:cs="Calibri"/>
                <w:sz w:val="21"/>
                <w:szCs w:val="21"/>
              </w:rPr>
              <w:t>Carbon Offsetting Reduction Scheme for International Aviation</w:t>
            </w:r>
          </w:p>
        </w:tc>
      </w:tr>
      <w:tr w:rsidR="009A47B9" w:rsidRPr="00BD16B4" w14:paraId="3A02BC8C" w14:textId="77777777" w:rsidTr="00B10948">
        <w:tc>
          <w:tcPr>
            <w:tcW w:w="1758" w:type="dxa"/>
          </w:tcPr>
          <w:p w14:paraId="0DBE4429" w14:textId="77777777" w:rsidR="009A47B9" w:rsidRPr="00BD16B4" w:rsidRDefault="009A47B9" w:rsidP="003D5A34">
            <w:pPr>
              <w:pStyle w:val="BodyText"/>
              <w:spacing w:before="50" w:after="50"/>
              <w:rPr>
                <w:rFonts w:cs="Calibri"/>
                <w:sz w:val="21"/>
                <w:szCs w:val="21"/>
              </w:rPr>
            </w:pPr>
            <w:r w:rsidRPr="00BD16B4">
              <w:rPr>
                <w:rFonts w:cs="Calibri"/>
                <w:sz w:val="21"/>
                <w:szCs w:val="21"/>
              </w:rPr>
              <w:t>CRF</w:t>
            </w:r>
          </w:p>
        </w:tc>
        <w:tc>
          <w:tcPr>
            <w:tcW w:w="6804" w:type="dxa"/>
          </w:tcPr>
          <w:p w14:paraId="574981BB" w14:textId="77777777" w:rsidR="009A47B9" w:rsidRPr="00BD16B4" w:rsidRDefault="009A47B9" w:rsidP="003D5A34">
            <w:pPr>
              <w:pStyle w:val="BodyText"/>
              <w:spacing w:before="50" w:after="50"/>
              <w:rPr>
                <w:rFonts w:cs="Calibri"/>
                <w:sz w:val="21"/>
                <w:szCs w:val="21"/>
              </w:rPr>
            </w:pPr>
            <w:r w:rsidRPr="00BD16B4">
              <w:rPr>
                <w:rFonts w:cs="Calibri"/>
                <w:sz w:val="21"/>
                <w:szCs w:val="21"/>
              </w:rPr>
              <w:t>common reporting format</w:t>
            </w:r>
          </w:p>
        </w:tc>
      </w:tr>
      <w:tr w:rsidR="009A47B9" w:rsidRPr="00BD16B4" w14:paraId="7102AADB" w14:textId="77777777" w:rsidTr="00B10948">
        <w:tc>
          <w:tcPr>
            <w:tcW w:w="1758" w:type="dxa"/>
          </w:tcPr>
          <w:p w14:paraId="160829FE" w14:textId="77777777" w:rsidR="009A47B9" w:rsidRPr="00BD16B4" w:rsidRDefault="009A47B9" w:rsidP="003D5A34">
            <w:pPr>
              <w:pStyle w:val="BodyText"/>
              <w:spacing w:before="50" w:after="50"/>
              <w:rPr>
                <w:rFonts w:cs="Calibri"/>
                <w:sz w:val="21"/>
                <w:szCs w:val="21"/>
              </w:rPr>
            </w:pPr>
            <w:r w:rsidRPr="00BD16B4">
              <w:rPr>
                <w:rFonts w:cs="Calibri"/>
                <w:sz w:val="21"/>
                <w:szCs w:val="21"/>
              </w:rPr>
              <w:t>CTD</w:t>
            </w:r>
          </w:p>
        </w:tc>
        <w:tc>
          <w:tcPr>
            <w:tcW w:w="6804" w:type="dxa"/>
          </w:tcPr>
          <w:p w14:paraId="523FB4A9" w14:textId="77777777" w:rsidR="009A47B9" w:rsidRPr="00BD16B4" w:rsidRDefault="009A47B9" w:rsidP="003D5A34">
            <w:pPr>
              <w:pStyle w:val="BodyText"/>
              <w:spacing w:before="50" w:after="50"/>
              <w:rPr>
                <w:rFonts w:cs="Calibri"/>
                <w:sz w:val="21"/>
                <w:szCs w:val="21"/>
              </w:rPr>
            </w:pPr>
            <w:r w:rsidRPr="00BD16B4">
              <w:rPr>
                <w:rFonts w:cs="Calibri"/>
                <w:sz w:val="21"/>
                <w:szCs w:val="21"/>
              </w:rPr>
              <w:t>Conductivity, temperature, depth</w:t>
            </w:r>
          </w:p>
        </w:tc>
      </w:tr>
      <w:tr w:rsidR="009A47B9" w:rsidRPr="00BD16B4" w14:paraId="7918171D" w14:textId="77777777" w:rsidTr="00B10948">
        <w:tc>
          <w:tcPr>
            <w:tcW w:w="1758" w:type="dxa"/>
          </w:tcPr>
          <w:p w14:paraId="0E61903E" w14:textId="77777777" w:rsidR="009A47B9" w:rsidRPr="00BD16B4" w:rsidRDefault="009A47B9" w:rsidP="003D5A34">
            <w:pPr>
              <w:pStyle w:val="BodyText"/>
              <w:spacing w:before="50" w:after="50"/>
              <w:rPr>
                <w:rFonts w:cs="Calibri"/>
                <w:sz w:val="21"/>
                <w:szCs w:val="21"/>
              </w:rPr>
            </w:pPr>
            <w:r w:rsidRPr="00BD16B4">
              <w:rPr>
                <w:rFonts w:cs="Calibri"/>
                <w:sz w:val="21"/>
                <w:szCs w:val="21"/>
              </w:rPr>
              <w:t>CTF</w:t>
            </w:r>
          </w:p>
        </w:tc>
        <w:tc>
          <w:tcPr>
            <w:tcW w:w="6804" w:type="dxa"/>
          </w:tcPr>
          <w:p w14:paraId="4FE75797" w14:textId="6C122DFB" w:rsidR="009A47B9" w:rsidRPr="00BD16B4" w:rsidRDefault="00961C82" w:rsidP="003D5A34">
            <w:pPr>
              <w:pStyle w:val="BodyText"/>
              <w:spacing w:before="50" w:after="50"/>
              <w:rPr>
                <w:rFonts w:cs="Calibri"/>
                <w:sz w:val="21"/>
                <w:szCs w:val="21"/>
              </w:rPr>
            </w:pPr>
            <w:r w:rsidRPr="00BD16B4">
              <w:rPr>
                <w:rFonts w:cs="Calibri"/>
                <w:sz w:val="21"/>
                <w:szCs w:val="21"/>
              </w:rPr>
              <w:t>C</w:t>
            </w:r>
            <w:r w:rsidR="009A47B9" w:rsidRPr="00BD16B4">
              <w:rPr>
                <w:rFonts w:cs="Calibri"/>
                <w:sz w:val="21"/>
                <w:szCs w:val="21"/>
              </w:rPr>
              <w:t>ommon tab</w:t>
            </w:r>
            <w:r w:rsidR="00A9226D" w:rsidRPr="00BD16B4">
              <w:rPr>
                <w:rFonts w:cs="Calibri"/>
                <w:sz w:val="21"/>
                <w:szCs w:val="21"/>
              </w:rPr>
              <w:t>ular</w:t>
            </w:r>
            <w:r w:rsidR="009A47B9" w:rsidRPr="00BD16B4">
              <w:rPr>
                <w:rFonts w:cs="Calibri"/>
                <w:sz w:val="21"/>
                <w:szCs w:val="21"/>
              </w:rPr>
              <w:t xml:space="preserve"> format</w:t>
            </w:r>
          </w:p>
        </w:tc>
      </w:tr>
      <w:tr w:rsidR="009A47B9" w:rsidRPr="00BD16B4" w14:paraId="7CFB8BCC" w14:textId="77777777" w:rsidTr="00B10948">
        <w:tc>
          <w:tcPr>
            <w:tcW w:w="1758" w:type="dxa"/>
          </w:tcPr>
          <w:p w14:paraId="2C3BBCE1" w14:textId="77777777" w:rsidR="009A47B9" w:rsidRPr="00BD16B4" w:rsidRDefault="009A47B9" w:rsidP="003D5A34">
            <w:pPr>
              <w:pStyle w:val="BodyText"/>
              <w:spacing w:before="50" w:after="50"/>
              <w:rPr>
                <w:rFonts w:cs="Calibri"/>
                <w:sz w:val="21"/>
                <w:szCs w:val="21"/>
              </w:rPr>
            </w:pPr>
            <w:r w:rsidRPr="00BD16B4">
              <w:rPr>
                <w:rFonts w:cs="Calibri"/>
                <w:sz w:val="21"/>
                <w:szCs w:val="21"/>
              </w:rPr>
              <w:t>DIA</w:t>
            </w:r>
          </w:p>
        </w:tc>
        <w:tc>
          <w:tcPr>
            <w:tcW w:w="6804" w:type="dxa"/>
          </w:tcPr>
          <w:p w14:paraId="0AC9DBA2" w14:textId="77777777" w:rsidR="009A47B9" w:rsidRPr="00BD16B4" w:rsidRDefault="009A47B9" w:rsidP="003D5A34">
            <w:pPr>
              <w:pStyle w:val="BodyText"/>
              <w:spacing w:before="50" w:after="50"/>
              <w:rPr>
                <w:rFonts w:cs="Calibri"/>
                <w:sz w:val="21"/>
                <w:szCs w:val="21"/>
              </w:rPr>
            </w:pPr>
            <w:r w:rsidRPr="00BD16B4">
              <w:rPr>
                <w:rFonts w:cs="Calibri"/>
                <w:sz w:val="21"/>
                <w:szCs w:val="21"/>
              </w:rPr>
              <w:t>Department of Internal Affairs</w:t>
            </w:r>
          </w:p>
        </w:tc>
      </w:tr>
      <w:tr w:rsidR="009A47B9" w:rsidRPr="00BD16B4" w14:paraId="5775C0CD" w14:textId="77777777" w:rsidTr="00B10948">
        <w:tc>
          <w:tcPr>
            <w:tcW w:w="1758" w:type="dxa"/>
          </w:tcPr>
          <w:p w14:paraId="592F08EB" w14:textId="77777777" w:rsidR="009A47B9" w:rsidRPr="00BD16B4" w:rsidRDefault="009A47B9" w:rsidP="003D5A34">
            <w:pPr>
              <w:pStyle w:val="BodyText"/>
              <w:spacing w:before="50" w:after="50"/>
              <w:rPr>
                <w:rFonts w:cs="Calibri"/>
                <w:sz w:val="21"/>
                <w:szCs w:val="21"/>
              </w:rPr>
            </w:pPr>
            <w:r w:rsidRPr="00BD16B4">
              <w:rPr>
                <w:rFonts w:cs="Calibri"/>
                <w:sz w:val="21"/>
                <w:szCs w:val="21"/>
              </w:rPr>
              <w:t>DOC</w:t>
            </w:r>
          </w:p>
        </w:tc>
        <w:tc>
          <w:tcPr>
            <w:tcW w:w="6804" w:type="dxa"/>
          </w:tcPr>
          <w:p w14:paraId="7C760A4A" w14:textId="77777777" w:rsidR="009A47B9" w:rsidRPr="00BD16B4" w:rsidRDefault="009A47B9" w:rsidP="003D5A34">
            <w:pPr>
              <w:pStyle w:val="BodyText"/>
              <w:spacing w:before="50" w:after="50"/>
              <w:rPr>
                <w:rFonts w:cs="Calibri"/>
                <w:sz w:val="21"/>
                <w:szCs w:val="21"/>
              </w:rPr>
            </w:pPr>
            <w:r w:rsidRPr="00BD16B4">
              <w:rPr>
                <w:rFonts w:cs="Calibri"/>
                <w:sz w:val="21"/>
                <w:szCs w:val="21"/>
              </w:rPr>
              <w:t>Department of Conservation</w:t>
            </w:r>
          </w:p>
        </w:tc>
      </w:tr>
      <w:tr w:rsidR="009A47B9" w:rsidRPr="00BD16B4" w14:paraId="497621B2" w14:textId="77777777" w:rsidTr="00B10948">
        <w:tc>
          <w:tcPr>
            <w:tcW w:w="1758" w:type="dxa"/>
          </w:tcPr>
          <w:p w14:paraId="5B72657E" w14:textId="77777777" w:rsidR="009A47B9" w:rsidRPr="00BD16B4" w:rsidRDefault="009A47B9" w:rsidP="003D5A34">
            <w:pPr>
              <w:pStyle w:val="BodyText"/>
              <w:spacing w:before="50" w:after="50"/>
              <w:rPr>
                <w:rFonts w:cs="Calibri"/>
                <w:sz w:val="21"/>
                <w:szCs w:val="21"/>
              </w:rPr>
            </w:pPr>
            <w:r w:rsidRPr="00BD16B4">
              <w:rPr>
                <w:rFonts w:cs="Calibri"/>
                <w:sz w:val="21"/>
                <w:szCs w:val="21"/>
              </w:rPr>
              <w:t>E3</w:t>
            </w:r>
          </w:p>
        </w:tc>
        <w:tc>
          <w:tcPr>
            <w:tcW w:w="6804" w:type="dxa"/>
          </w:tcPr>
          <w:p w14:paraId="4EAC77A0" w14:textId="77777777" w:rsidR="009A47B9" w:rsidRPr="00BD16B4" w:rsidRDefault="009A47B9" w:rsidP="003D5A34">
            <w:pPr>
              <w:pStyle w:val="BodyText"/>
              <w:spacing w:before="50" w:after="50"/>
              <w:rPr>
                <w:rFonts w:cs="Calibri"/>
                <w:sz w:val="21"/>
                <w:szCs w:val="21"/>
              </w:rPr>
            </w:pPr>
            <w:r w:rsidRPr="00BD16B4">
              <w:rPr>
                <w:rFonts w:cs="Calibri"/>
                <w:sz w:val="21"/>
                <w:szCs w:val="21"/>
              </w:rPr>
              <w:t>Equipment Energy Efficiency</w:t>
            </w:r>
          </w:p>
        </w:tc>
      </w:tr>
      <w:tr w:rsidR="009A47B9" w:rsidRPr="00BD16B4" w14:paraId="2347D11E" w14:textId="77777777" w:rsidTr="00B10948">
        <w:tc>
          <w:tcPr>
            <w:tcW w:w="1758" w:type="dxa"/>
          </w:tcPr>
          <w:p w14:paraId="53F78B12" w14:textId="77777777" w:rsidR="009A47B9" w:rsidRPr="00BD16B4" w:rsidRDefault="009A47B9" w:rsidP="003D5A34">
            <w:pPr>
              <w:pStyle w:val="BodyText"/>
              <w:spacing w:before="50" w:after="50"/>
              <w:rPr>
                <w:rFonts w:cs="Calibri"/>
                <w:sz w:val="21"/>
                <w:szCs w:val="21"/>
              </w:rPr>
            </w:pPr>
            <w:r w:rsidRPr="00BD16B4">
              <w:rPr>
                <w:rFonts w:cs="Calibri"/>
                <w:sz w:val="21"/>
                <w:szCs w:val="21"/>
              </w:rPr>
              <w:t>ECFP</w:t>
            </w:r>
          </w:p>
        </w:tc>
        <w:tc>
          <w:tcPr>
            <w:tcW w:w="6804" w:type="dxa"/>
          </w:tcPr>
          <w:p w14:paraId="5A9F1079" w14:textId="77777777" w:rsidR="009A47B9" w:rsidRPr="00BD16B4" w:rsidRDefault="009A47B9" w:rsidP="003D5A34">
            <w:pPr>
              <w:pStyle w:val="BodyText"/>
              <w:spacing w:before="50" w:after="50"/>
              <w:rPr>
                <w:rFonts w:cs="Calibri"/>
                <w:sz w:val="21"/>
                <w:szCs w:val="21"/>
              </w:rPr>
            </w:pPr>
            <w:r w:rsidRPr="00BD16B4">
              <w:rPr>
                <w:rFonts w:cs="Calibri"/>
                <w:sz w:val="21"/>
                <w:szCs w:val="21"/>
              </w:rPr>
              <w:t>Erosion Control Funding Programme</w:t>
            </w:r>
          </w:p>
        </w:tc>
      </w:tr>
      <w:tr w:rsidR="009A47B9" w:rsidRPr="00BD16B4" w14:paraId="1119D4FC" w14:textId="77777777" w:rsidTr="00B10948">
        <w:tc>
          <w:tcPr>
            <w:tcW w:w="1758" w:type="dxa"/>
          </w:tcPr>
          <w:p w14:paraId="152E399A" w14:textId="77777777" w:rsidR="009A47B9" w:rsidRPr="00BD16B4" w:rsidRDefault="009A47B9" w:rsidP="003D5A34">
            <w:pPr>
              <w:pStyle w:val="BodyText"/>
              <w:spacing w:before="50" w:after="50"/>
              <w:rPr>
                <w:rFonts w:cs="Calibri"/>
                <w:sz w:val="21"/>
                <w:szCs w:val="21"/>
              </w:rPr>
            </w:pPr>
            <w:r w:rsidRPr="00BD16B4">
              <w:rPr>
                <w:rFonts w:cs="Calibri"/>
                <w:sz w:val="21"/>
                <w:szCs w:val="21"/>
              </w:rPr>
              <w:t>ECVs</w:t>
            </w:r>
          </w:p>
        </w:tc>
        <w:tc>
          <w:tcPr>
            <w:tcW w:w="6804" w:type="dxa"/>
          </w:tcPr>
          <w:p w14:paraId="29648A49" w14:textId="77777777" w:rsidR="009A47B9" w:rsidRPr="00BD16B4" w:rsidRDefault="009A47B9" w:rsidP="003D5A34">
            <w:pPr>
              <w:pStyle w:val="BodyText"/>
              <w:spacing w:before="50" w:after="50"/>
              <w:rPr>
                <w:rFonts w:cs="Calibri"/>
                <w:sz w:val="21"/>
                <w:szCs w:val="21"/>
              </w:rPr>
            </w:pPr>
            <w:r w:rsidRPr="00BD16B4">
              <w:rPr>
                <w:rFonts w:cs="Calibri"/>
                <w:sz w:val="21"/>
                <w:szCs w:val="21"/>
              </w:rPr>
              <w:t>Essential Climate Variables</w:t>
            </w:r>
          </w:p>
        </w:tc>
      </w:tr>
      <w:tr w:rsidR="009A47B9" w:rsidRPr="00BD16B4" w14:paraId="0728FA23" w14:textId="77777777" w:rsidTr="00B10948">
        <w:tc>
          <w:tcPr>
            <w:tcW w:w="1758" w:type="dxa"/>
          </w:tcPr>
          <w:p w14:paraId="270C7F72"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EECA </w:t>
            </w:r>
          </w:p>
        </w:tc>
        <w:tc>
          <w:tcPr>
            <w:tcW w:w="6804" w:type="dxa"/>
          </w:tcPr>
          <w:p w14:paraId="2581FF39" w14:textId="77777777" w:rsidR="009A47B9" w:rsidRPr="00BD16B4" w:rsidRDefault="009A47B9" w:rsidP="003D5A34">
            <w:pPr>
              <w:pStyle w:val="BodyText"/>
              <w:spacing w:before="50" w:after="50"/>
              <w:rPr>
                <w:rFonts w:cs="Calibri"/>
                <w:sz w:val="21"/>
                <w:szCs w:val="21"/>
              </w:rPr>
            </w:pPr>
            <w:r w:rsidRPr="00BD16B4">
              <w:rPr>
                <w:rFonts w:cs="Calibri"/>
                <w:sz w:val="21"/>
                <w:szCs w:val="21"/>
              </w:rPr>
              <w:t>Energy Efficiency and Conservation Authority</w:t>
            </w:r>
          </w:p>
        </w:tc>
      </w:tr>
      <w:tr w:rsidR="009A47B9" w:rsidRPr="00BD16B4" w14:paraId="01E7AD0B" w14:textId="77777777" w:rsidTr="00B10948">
        <w:tc>
          <w:tcPr>
            <w:tcW w:w="1758" w:type="dxa"/>
          </w:tcPr>
          <w:p w14:paraId="4A10CEAE" w14:textId="77777777" w:rsidR="009A47B9" w:rsidRPr="00BD16B4" w:rsidRDefault="009A47B9" w:rsidP="003D5A34">
            <w:pPr>
              <w:pStyle w:val="BodyText"/>
              <w:spacing w:before="50" w:after="50"/>
              <w:rPr>
                <w:rFonts w:cs="Calibri"/>
                <w:sz w:val="21"/>
                <w:szCs w:val="21"/>
              </w:rPr>
            </w:pPr>
            <w:r w:rsidRPr="00BD16B4">
              <w:rPr>
                <w:rFonts w:cs="Calibri"/>
                <w:sz w:val="21"/>
                <w:szCs w:val="21"/>
              </w:rPr>
              <w:t>EEZ</w:t>
            </w:r>
          </w:p>
        </w:tc>
        <w:tc>
          <w:tcPr>
            <w:tcW w:w="6804" w:type="dxa"/>
          </w:tcPr>
          <w:p w14:paraId="01D5CB5F" w14:textId="77777777" w:rsidR="009A47B9" w:rsidRPr="00BD16B4" w:rsidRDefault="009A47B9" w:rsidP="003D5A34">
            <w:pPr>
              <w:pStyle w:val="BodyText"/>
              <w:spacing w:before="50" w:after="50"/>
              <w:rPr>
                <w:rFonts w:cs="Calibri"/>
                <w:sz w:val="21"/>
                <w:szCs w:val="21"/>
              </w:rPr>
            </w:pPr>
            <w:r w:rsidRPr="00BD16B4">
              <w:rPr>
                <w:rFonts w:cs="Calibri"/>
                <w:sz w:val="21"/>
                <w:szCs w:val="21"/>
              </w:rPr>
              <w:t>Exclusive Economic Zone</w:t>
            </w:r>
          </w:p>
        </w:tc>
      </w:tr>
      <w:tr w:rsidR="009A47B9" w:rsidRPr="00BD16B4" w14:paraId="24A27390" w14:textId="77777777" w:rsidTr="00B10948">
        <w:tc>
          <w:tcPr>
            <w:tcW w:w="1758" w:type="dxa"/>
          </w:tcPr>
          <w:p w14:paraId="2FE634F3"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EfS </w:t>
            </w:r>
          </w:p>
        </w:tc>
        <w:tc>
          <w:tcPr>
            <w:tcW w:w="6804" w:type="dxa"/>
          </w:tcPr>
          <w:p w14:paraId="2D8A105C" w14:textId="77777777" w:rsidR="009A47B9" w:rsidRPr="00BD16B4" w:rsidRDefault="009A47B9" w:rsidP="003D5A34">
            <w:pPr>
              <w:pStyle w:val="BodyText"/>
              <w:spacing w:before="50" w:after="50"/>
              <w:rPr>
                <w:rFonts w:cs="Calibri"/>
                <w:sz w:val="21"/>
                <w:szCs w:val="21"/>
              </w:rPr>
            </w:pPr>
            <w:r w:rsidRPr="00BD16B4">
              <w:rPr>
                <w:rFonts w:cs="Calibri"/>
                <w:sz w:val="21"/>
                <w:szCs w:val="21"/>
              </w:rPr>
              <w:t>Education for Sustainability</w:t>
            </w:r>
          </w:p>
        </w:tc>
      </w:tr>
      <w:tr w:rsidR="009A47B9" w:rsidRPr="00BD16B4" w14:paraId="28D014B9" w14:textId="77777777" w:rsidTr="00B10948">
        <w:tc>
          <w:tcPr>
            <w:tcW w:w="1758" w:type="dxa"/>
          </w:tcPr>
          <w:p w14:paraId="07382280" w14:textId="77777777" w:rsidR="009A47B9" w:rsidRPr="00BD16B4" w:rsidRDefault="009A47B9" w:rsidP="003D5A34">
            <w:pPr>
              <w:pStyle w:val="BodyText"/>
              <w:spacing w:before="50" w:after="50"/>
              <w:rPr>
                <w:rFonts w:cs="Calibri"/>
                <w:sz w:val="21"/>
                <w:szCs w:val="21"/>
              </w:rPr>
            </w:pPr>
            <w:r w:rsidRPr="00BD16B4">
              <w:rPr>
                <w:rFonts w:cs="Calibri"/>
                <w:sz w:val="21"/>
                <w:szCs w:val="21"/>
              </w:rPr>
              <w:t>EPA</w:t>
            </w:r>
          </w:p>
        </w:tc>
        <w:tc>
          <w:tcPr>
            <w:tcW w:w="6804" w:type="dxa"/>
          </w:tcPr>
          <w:p w14:paraId="0F902B0C" w14:textId="1D2D6169" w:rsidR="009A47B9" w:rsidRPr="00BD16B4" w:rsidRDefault="009A47B9" w:rsidP="003D5A34">
            <w:pPr>
              <w:pStyle w:val="BodyText"/>
              <w:spacing w:before="50" w:after="50"/>
              <w:rPr>
                <w:rFonts w:cs="Calibri"/>
                <w:sz w:val="21"/>
                <w:szCs w:val="21"/>
              </w:rPr>
            </w:pPr>
            <w:r w:rsidRPr="00BD16B4">
              <w:rPr>
                <w:rFonts w:cs="Calibri"/>
                <w:sz w:val="21"/>
                <w:szCs w:val="21"/>
              </w:rPr>
              <w:t>Environmental Protection Authority</w:t>
            </w:r>
            <w:r w:rsidR="00890B13" w:rsidRPr="00BD16B4">
              <w:rPr>
                <w:rFonts w:cs="Calibri"/>
                <w:sz w:val="21"/>
                <w:szCs w:val="21"/>
              </w:rPr>
              <w:t xml:space="preserve"> – Te Mana Rauhī Taiao</w:t>
            </w:r>
          </w:p>
        </w:tc>
      </w:tr>
      <w:tr w:rsidR="009A47B9" w:rsidRPr="00BD16B4" w14:paraId="6F78BA67" w14:textId="77777777" w:rsidTr="00B10948">
        <w:tc>
          <w:tcPr>
            <w:tcW w:w="1758" w:type="dxa"/>
          </w:tcPr>
          <w:p w14:paraId="51B7BADF" w14:textId="77777777" w:rsidR="009A47B9" w:rsidRPr="00BD16B4" w:rsidRDefault="009A47B9" w:rsidP="003D5A34">
            <w:pPr>
              <w:pStyle w:val="BodyText"/>
              <w:spacing w:before="50" w:after="50"/>
              <w:rPr>
                <w:rFonts w:cs="Calibri"/>
                <w:sz w:val="21"/>
                <w:szCs w:val="21"/>
              </w:rPr>
            </w:pPr>
            <w:r w:rsidRPr="00BD16B4">
              <w:rPr>
                <w:rFonts w:cs="Calibri"/>
                <w:sz w:val="21"/>
                <w:szCs w:val="21"/>
              </w:rPr>
              <w:t>EVs</w:t>
            </w:r>
          </w:p>
        </w:tc>
        <w:tc>
          <w:tcPr>
            <w:tcW w:w="6804" w:type="dxa"/>
          </w:tcPr>
          <w:p w14:paraId="1088E9A9" w14:textId="49D27484" w:rsidR="009A47B9" w:rsidRPr="00BD16B4" w:rsidRDefault="00D71FD6" w:rsidP="003D5A34">
            <w:pPr>
              <w:pStyle w:val="BodyText"/>
              <w:spacing w:before="50" w:after="50"/>
              <w:rPr>
                <w:rFonts w:cs="Calibri"/>
                <w:sz w:val="21"/>
                <w:szCs w:val="21"/>
              </w:rPr>
            </w:pPr>
            <w:r w:rsidRPr="00BD16B4">
              <w:rPr>
                <w:rFonts w:cs="Calibri"/>
                <w:sz w:val="21"/>
                <w:szCs w:val="21"/>
              </w:rPr>
              <w:t>E</w:t>
            </w:r>
            <w:r w:rsidR="009A47B9" w:rsidRPr="00BD16B4">
              <w:rPr>
                <w:rFonts w:cs="Calibri"/>
                <w:sz w:val="21"/>
                <w:szCs w:val="21"/>
              </w:rPr>
              <w:t>lectric vehicles</w:t>
            </w:r>
          </w:p>
        </w:tc>
      </w:tr>
      <w:tr w:rsidR="009A47B9" w:rsidRPr="00BD16B4" w14:paraId="6670964A" w14:textId="77777777" w:rsidTr="00B10948">
        <w:tc>
          <w:tcPr>
            <w:tcW w:w="1758" w:type="dxa"/>
          </w:tcPr>
          <w:p w14:paraId="05940299" w14:textId="77777777" w:rsidR="009A47B9" w:rsidRPr="00BD16B4" w:rsidRDefault="009A47B9" w:rsidP="003D5A34">
            <w:pPr>
              <w:pStyle w:val="BodyText"/>
              <w:spacing w:before="50" w:after="50"/>
              <w:rPr>
                <w:rFonts w:cs="Calibri"/>
                <w:sz w:val="21"/>
                <w:szCs w:val="21"/>
              </w:rPr>
            </w:pPr>
            <w:r w:rsidRPr="00BD16B4">
              <w:rPr>
                <w:rFonts w:cs="Calibri"/>
                <w:sz w:val="21"/>
                <w:szCs w:val="21"/>
              </w:rPr>
              <w:t>F-gases</w:t>
            </w:r>
          </w:p>
        </w:tc>
        <w:tc>
          <w:tcPr>
            <w:tcW w:w="6804" w:type="dxa"/>
          </w:tcPr>
          <w:p w14:paraId="1A3460C1" w14:textId="2E17E214" w:rsidR="009A47B9" w:rsidRPr="00BD16B4" w:rsidRDefault="00D71FD6" w:rsidP="003D5A34">
            <w:pPr>
              <w:pStyle w:val="BodyText"/>
              <w:spacing w:before="50" w:after="50"/>
              <w:rPr>
                <w:rFonts w:cs="Calibri"/>
                <w:sz w:val="21"/>
                <w:szCs w:val="21"/>
              </w:rPr>
            </w:pPr>
            <w:r w:rsidRPr="00BD16B4">
              <w:rPr>
                <w:rFonts w:cs="Calibri"/>
                <w:sz w:val="21"/>
                <w:szCs w:val="21"/>
              </w:rPr>
              <w:t>F</w:t>
            </w:r>
            <w:r w:rsidR="009A47B9" w:rsidRPr="00BD16B4">
              <w:rPr>
                <w:rFonts w:cs="Calibri"/>
                <w:sz w:val="21"/>
                <w:szCs w:val="21"/>
              </w:rPr>
              <w:t>luorinated gases</w:t>
            </w:r>
          </w:p>
        </w:tc>
      </w:tr>
      <w:tr w:rsidR="009A47B9" w:rsidRPr="00BD16B4" w14:paraId="5ED59EFC" w14:textId="77777777" w:rsidTr="00B10948">
        <w:tc>
          <w:tcPr>
            <w:tcW w:w="1758" w:type="dxa"/>
          </w:tcPr>
          <w:p w14:paraId="08428E58" w14:textId="77777777" w:rsidR="009A47B9" w:rsidRPr="00BD16B4" w:rsidRDefault="009A47B9" w:rsidP="003D5A34">
            <w:pPr>
              <w:pStyle w:val="BodyText"/>
              <w:spacing w:before="50" w:after="50"/>
              <w:rPr>
                <w:rFonts w:cs="Calibri"/>
                <w:sz w:val="21"/>
                <w:szCs w:val="21"/>
              </w:rPr>
            </w:pPr>
            <w:r w:rsidRPr="00BD16B4">
              <w:rPr>
                <w:rFonts w:cs="Calibri"/>
                <w:sz w:val="21"/>
                <w:szCs w:val="21"/>
              </w:rPr>
              <w:t>FTS</w:t>
            </w:r>
          </w:p>
        </w:tc>
        <w:tc>
          <w:tcPr>
            <w:tcW w:w="6804" w:type="dxa"/>
          </w:tcPr>
          <w:p w14:paraId="7C5B8A4D" w14:textId="77777777" w:rsidR="009A47B9" w:rsidRPr="00BD16B4" w:rsidRDefault="009A47B9" w:rsidP="003D5A34">
            <w:pPr>
              <w:pStyle w:val="BodyText"/>
              <w:spacing w:before="50" w:after="50"/>
              <w:rPr>
                <w:rFonts w:cs="Calibri"/>
                <w:sz w:val="21"/>
                <w:szCs w:val="21"/>
              </w:rPr>
            </w:pPr>
            <w:r w:rsidRPr="00BD16B4">
              <w:rPr>
                <w:rFonts w:cs="Calibri"/>
                <w:sz w:val="21"/>
                <w:szCs w:val="21"/>
              </w:rPr>
              <w:t>Fourier transform spectrometer</w:t>
            </w:r>
          </w:p>
        </w:tc>
      </w:tr>
      <w:tr w:rsidR="009A47B9" w:rsidRPr="00BD16B4" w14:paraId="4DC306AF" w14:textId="77777777" w:rsidTr="00B10948">
        <w:tc>
          <w:tcPr>
            <w:tcW w:w="1758" w:type="dxa"/>
          </w:tcPr>
          <w:p w14:paraId="444122DB" w14:textId="77777777" w:rsidR="009A47B9" w:rsidRPr="00BD16B4" w:rsidRDefault="009A47B9" w:rsidP="003D5A34">
            <w:pPr>
              <w:pStyle w:val="BodyText"/>
              <w:spacing w:before="50" w:after="50"/>
              <w:rPr>
                <w:rFonts w:cs="Calibri"/>
                <w:sz w:val="21"/>
                <w:szCs w:val="21"/>
              </w:rPr>
            </w:pPr>
            <w:r w:rsidRPr="00BD16B4">
              <w:rPr>
                <w:rFonts w:cs="Calibri"/>
                <w:sz w:val="21"/>
                <w:szCs w:val="21"/>
              </w:rPr>
              <w:t>GAW</w:t>
            </w:r>
          </w:p>
        </w:tc>
        <w:tc>
          <w:tcPr>
            <w:tcW w:w="6804" w:type="dxa"/>
          </w:tcPr>
          <w:p w14:paraId="11E30853" w14:textId="77777777" w:rsidR="009A47B9" w:rsidRPr="00BD16B4" w:rsidRDefault="009A47B9" w:rsidP="003D5A34">
            <w:pPr>
              <w:pStyle w:val="BodyText"/>
              <w:spacing w:before="50" w:after="50"/>
              <w:rPr>
                <w:rFonts w:cs="Calibri"/>
                <w:sz w:val="21"/>
                <w:szCs w:val="21"/>
              </w:rPr>
            </w:pPr>
            <w:r w:rsidRPr="00BD16B4">
              <w:rPr>
                <w:rFonts w:cs="Calibri"/>
                <w:sz w:val="21"/>
                <w:szCs w:val="21"/>
              </w:rPr>
              <w:t>Global Atmosphere Watch</w:t>
            </w:r>
          </w:p>
        </w:tc>
      </w:tr>
      <w:tr w:rsidR="009A47B9" w:rsidRPr="00BD16B4" w14:paraId="0418905E" w14:textId="77777777" w:rsidTr="00B10948">
        <w:tc>
          <w:tcPr>
            <w:tcW w:w="1758" w:type="dxa"/>
          </w:tcPr>
          <w:p w14:paraId="4DE439B2" w14:textId="77777777" w:rsidR="009A47B9" w:rsidRPr="00BD16B4" w:rsidRDefault="009A47B9" w:rsidP="003D5A34">
            <w:pPr>
              <w:pStyle w:val="BodyText"/>
              <w:spacing w:before="50" w:after="50"/>
              <w:rPr>
                <w:rFonts w:cs="Calibri"/>
                <w:sz w:val="21"/>
                <w:szCs w:val="21"/>
              </w:rPr>
            </w:pPr>
            <w:r w:rsidRPr="00BD16B4">
              <w:rPr>
                <w:rFonts w:cs="Calibri"/>
                <w:sz w:val="21"/>
                <w:szCs w:val="21"/>
              </w:rPr>
              <w:t>GBIF</w:t>
            </w:r>
          </w:p>
        </w:tc>
        <w:tc>
          <w:tcPr>
            <w:tcW w:w="6804" w:type="dxa"/>
          </w:tcPr>
          <w:p w14:paraId="47863E80" w14:textId="77777777" w:rsidR="009A47B9" w:rsidRPr="00BD16B4" w:rsidRDefault="009A47B9" w:rsidP="003D5A34">
            <w:pPr>
              <w:pStyle w:val="BodyText"/>
              <w:spacing w:before="50" w:after="50"/>
              <w:rPr>
                <w:rFonts w:cs="Calibri"/>
                <w:sz w:val="21"/>
                <w:szCs w:val="21"/>
              </w:rPr>
            </w:pPr>
            <w:r w:rsidRPr="00BD16B4">
              <w:rPr>
                <w:rFonts w:cs="Calibri"/>
                <w:sz w:val="21"/>
                <w:szCs w:val="21"/>
              </w:rPr>
              <w:t>Global Biodiversity Information Facility</w:t>
            </w:r>
          </w:p>
        </w:tc>
      </w:tr>
      <w:tr w:rsidR="009A47B9" w:rsidRPr="00BD16B4" w14:paraId="589D70C6" w14:textId="77777777" w:rsidTr="00B10948">
        <w:tc>
          <w:tcPr>
            <w:tcW w:w="1758" w:type="dxa"/>
          </w:tcPr>
          <w:p w14:paraId="3D670DC9" w14:textId="77777777" w:rsidR="009A47B9" w:rsidRPr="00BD16B4" w:rsidRDefault="009A47B9" w:rsidP="003D5A34">
            <w:pPr>
              <w:pStyle w:val="BodyText"/>
              <w:spacing w:before="50" w:after="50"/>
              <w:rPr>
                <w:rFonts w:cs="Calibri"/>
                <w:sz w:val="21"/>
                <w:szCs w:val="21"/>
              </w:rPr>
            </w:pPr>
            <w:r w:rsidRPr="00BD16B4">
              <w:rPr>
                <w:rFonts w:cs="Calibri"/>
                <w:sz w:val="21"/>
                <w:szCs w:val="21"/>
              </w:rPr>
              <w:lastRenderedPageBreak/>
              <w:t xml:space="preserve">GCF </w:t>
            </w:r>
          </w:p>
        </w:tc>
        <w:tc>
          <w:tcPr>
            <w:tcW w:w="6804" w:type="dxa"/>
          </w:tcPr>
          <w:p w14:paraId="3588B53B" w14:textId="77777777" w:rsidR="009A47B9" w:rsidRPr="00BD16B4" w:rsidRDefault="009A47B9" w:rsidP="003D5A34">
            <w:pPr>
              <w:pStyle w:val="BodyText"/>
              <w:spacing w:before="50" w:after="50"/>
              <w:rPr>
                <w:rFonts w:cs="Calibri"/>
                <w:sz w:val="21"/>
                <w:szCs w:val="21"/>
              </w:rPr>
            </w:pPr>
            <w:r w:rsidRPr="00BD16B4">
              <w:rPr>
                <w:rFonts w:cs="Calibri"/>
                <w:sz w:val="21"/>
                <w:szCs w:val="21"/>
              </w:rPr>
              <w:t>Green Climate Fund</w:t>
            </w:r>
          </w:p>
        </w:tc>
      </w:tr>
      <w:tr w:rsidR="009A47B9" w:rsidRPr="00BD16B4" w14:paraId="4842E2E9" w14:textId="77777777" w:rsidTr="00B10948">
        <w:tc>
          <w:tcPr>
            <w:tcW w:w="1758" w:type="dxa"/>
          </w:tcPr>
          <w:p w14:paraId="2AFC3BB1" w14:textId="77777777" w:rsidR="009A47B9" w:rsidRPr="00BD16B4" w:rsidRDefault="009A47B9" w:rsidP="003D5A34">
            <w:pPr>
              <w:pStyle w:val="BodyText"/>
              <w:spacing w:before="50" w:after="50"/>
              <w:rPr>
                <w:rFonts w:cs="Calibri"/>
                <w:sz w:val="21"/>
                <w:szCs w:val="21"/>
              </w:rPr>
            </w:pPr>
            <w:r w:rsidRPr="00BD16B4">
              <w:rPr>
                <w:rFonts w:cs="Calibri"/>
                <w:sz w:val="21"/>
                <w:szCs w:val="21"/>
              </w:rPr>
              <w:t>GCMP</w:t>
            </w:r>
          </w:p>
        </w:tc>
        <w:tc>
          <w:tcPr>
            <w:tcW w:w="6804" w:type="dxa"/>
          </w:tcPr>
          <w:p w14:paraId="298AAE06" w14:textId="77777777" w:rsidR="009A47B9" w:rsidRPr="00BD16B4" w:rsidRDefault="009A47B9" w:rsidP="003D5A34">
            <w:pPr>
              <w:pStyle w:val="BodyText"/>
              <w:spacing w:before="50" w:after="50"/>
              <w:rPr>
                <w:rFonts w:cs="Calibri"/>
                <w:sz w:val="21"/>
                <w:szCs w:val="21"/>
              </w:rPr>
            </w:pPr>
            <w:r w:rsidRPr="00BD16B4">
              <w:rPr>
                <w:rFonts w:cs="Calibri"/>
                <w:sz w:val="21"/>
                <w:szCs w:val="21"/>
              </w:rPr>
              <w:t>GCOS climate monitoring principles</w:t>
            </w:r>
          </w:p>
        </w:tc>
      </w:tr>
      <w:tr w:rsidR="009A47B9" w:rsidRPr="00BD16B4" w14:paraId="48CB0DFE" w14:textId="77777777" w:rsidTr="00B10948">
        <w:tc>
          <w:tcPr>
            <w:tcW w:w="1758" w:type="dxa"/>
          </w:tcPr>
          <w:p w14:paraId="4907F077" w14:textId="77777777" w:rsidR="009A47B9" w:rsidRPr="00BD16B4" w:rsidRDefault="009A47B9" w:rsidP="003D5A34">
            <w:pPr>
              <w:pStyle w:val="BodyText"/>
              <w:spacing w:before="50" w:after="50"/>
              <w:rPr>
                <w:rFonts w:cs="Calibri"/>
                <w:sz w:val="21"/>
                <w:szCs w:val="21"/>
              </w:rPr>
            </w:pPr>
            <w:r w:rsidRPr="00BD16B4">
              <w:rPr>
                <w:rFonts w:cs="Calibri"/>
                <w:sz w:val="21"/>
                <w:szCs w:val="21"/>
              </w:rPr>
              <w:t>GCOS</w:t>
            </w:r>
          </w:p>
        </w:tc>
        <w:tc>
          <w:tcPr>
            <w:tcW w:w="6804" w:type="dxa"/>
          </w:tcPr>
          <w:p w14:paraId="50A0EDAE" w14:textId="77777777" w:rsidR="009A47B9" w:rsidRPr="00BD16B4" w:rsidRDefault="009A47B9" w:rsidP="003D5A34">
            <w:pPr>
              <w:pStyle w:val="BodyText"/>
              <w:spacing w:before="50" w:after="50"/>
              <w:rPr>
                <w:rFonts w:cs="Calibri"/>
                <w:sz w:val="21"/>
                <w:szCs w:val="21"/>
              </w:rPr>
            </w:pPr>
            <w:r w:rsidRPr="00BD16B4">
              <w:rPr>
                <w:rFonts w:cs="Calibri"/>
                <w:sz w:val="21"/>
                <w:szCs w:val="21"/>
              </w:rPr>
              <w:t>Global Climate Observing System</w:t>
            </w:r>
          </w:p>
        </w:tc>
      </w:tr>
      <w:tr w:rsidR="009A47B9" w:rsidRPr="00BD16B4" w14:paraId="552EB759" w14:textId="77777777" w:rsidTr="00B10948">
        <w:tc>
          <w:tcPr>
            <w:tcW w:w="1758" w:type="dxa"/>
          </w:tcPr>
          <w:p w14:paraId="30E4A4B0" w14:textId="77777777" w:rsidR="009A47B9" w:rsidRPr="00BD16B4" w:rsidRDefault="009A47B9" w:rsidP="003D5A34">
            <w:pPr>
              <w:pStyle w:val="BodyText"/>
              <w:spacing w:before="50" w:after="50"/>
              <w:rPr>
                <w:rFonts w:cs="Calibri"/>
                <w:sz w:val="21"/>
                <w:szCs w:val="21"/>
              </w:rPr>
            </w:pPr>
            <w:r w:rsidRPr="00BD16B4">
              <w:rPr>
                <w:rFonts w:cs="Calibri"/>
                <w:sz w:val="21"/>
                <w:szCs w:val="21"/>
              </w:rPr>
              <w:t>GDP</w:t>
            </w:r>
          </w:p>
        </w:tc>
        <w:tc>
          <w:tcPr>
            <w:tcW w:w="6804" w:type="dxa"/>
          </w:tcPr>
          <w:p w14:paraId="4E8EBE7E" w14:textId="77777777" w:rsidR="009A47B9" w:rsidRPr="00BD16B4" w:rsidRDefault="009A47B9" w:rsidP="003D5A34">
            <w:pPr>
              <w:pStyle w:val="BodyText"/>
              <w:spacing w:before="50" w:after="50"/>
              <w:rPr>
                <w:rFonts w:cs="Calibri"/>
                <w:sz w:val="21"/>
                <w:szCs w:val="21"/>
              </w:rPr>
            </w:pPr>
            <w:r w:rsidRPr="00BD16B4">
              <w:rPr>
                <w:rFonts w:cs="Calibri"/>
                <w:sz w:val="21"/>
                <w:szCs w:val="21"/>
              </w:rPr>
              <w:t>Gross domestic product</w:t>
            </w:r>
          </w:p>
        </w:tc>
      </w:tr>
      <w:tr w:rsidR="009A47B9" w:rsidRPr="00BD16B4" w14:paraId="33E9BFE3" w14:textId="77777777" w:rsidTr="00B10948">
        <w:tc>
          <w:tcPr>
            <w:tcW w:w="1758" w:type="dxa"/>
          </w:tcPr>
          <w:p w14:paraId="7C3CA76C" w14:textId="77777777" w:rsidR="009A47B9" w:rsidRPr="00BD16B4" w:rsidRDefault="009A47B9" w:rsidP="003D5A34">
            <w:pPr>
              <w:pStyle w:val="BodyText"/>
              <w:spacing w:before="50" w:after="50"/>
              <w:rPr>
                <w:rFonts w:cs="Calibri"/>
                <w:sz w:val="21"/>
                <w:szCs w:val="21"/>
              </w:rPr>
            </w:pPr>
            <w:r w:rsidRPr="00BD16B4">
              <w:rPr>
                <w:rFonts w:cs="Calibri"/>
                <w:sz w:val="21"/>
                <w:szCs w:val="21"/>
              </w:rPr>
              <w:t>GEF</w:t>
            </w:r>
          </w:p>
        </w:tc>
        <w:tc>
          <w:tcPr>
            <w:tcW w:w="6804" w:type="dxa"/>
          </w:tcPr>
          <w:p w14:paraId="3DEFCF1F" w14:textId="77777777" w:rsidR="009A47B9" w:rsidRPr="00BD16B4" w:rsidRDefault="009A47B9" w:rsidP="003D5A34">
            <w:pPr>
              <w:pStyle w:val="BodyText"/>
              <w:spacing w:before="50" w:after="50"/>
              <w:rPr>
                <w:rFonts w:cs="Calibri"/>
                <w:sz w:val="21"/>
                <w:szCs w:val="21"/>
              </w:rPr>
            </w:pPr>
            <w:r w:rsidRPr="00BD16B4">
              <w:rPr>
                <w:rFonts w:cs="Calibri"/>
                <w:sz w:val="21"/>
                <w:szCs w:val="21"/>
              </w:rPr>
              <w:t>Global Environment Facility</w:t>
            </w:r>
          </w:p>
        </w:tc>
      </w:tr>
      <w:tr w:rsidR="009A47B9" w:rsidRPr="00BD16B4" w14:paraId="4F29AB6B" w14:textId="77777777" w:rsidTr="00B10948">
        <w:tc>
          <w:tcPr>
            <w:tcW w:w="1758" w:type="dxa"/>
          </w:tcPr>
          <w:p w14:paraId="29734953"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GEM </w:t>
            </w:r>
          </w:p>
        </w:tc>
        <w:tc>
          <w:tcPr>
            <w:tcW w:w="6804" w:type="dxa"/>
          </w:tcPr>
          <w:p w14:paraId="46D0B12B" w14:textId="77777777" w:rsidR="009A47B9" w:rsidRPr="00BD16B4" w:rsidRDefault="009A47B9" w:rsidP="003D5A34">
            <w:pPr>
              <w:pStyle w:val="BodyText"/>
              <w:spacing w:before="50" w:after="50"/>
              <w:rPr>
                <w:rFonts w:cs="Calibri"/>
                <w:sz w:val="21"/>
                <w:szCs w:val="21"/>
              </w:rPr>
            </w:pPr>
            <w:r w:rsidRPr="00BD16B4">
              <w:rPr>
                <w:rFonts w:cs="Calibri"/>
                <w:sz w:val="21"/>
                <w:szCs w:val="21"/>
              </w:rPr>
              <w:t>Generation Expansion Model</w:t>
            </w:r>
          </w:p>
        </w:tc>
      </w:tr>
      <w:tr w:rsidR="009A47B9" w:rsidRPr="00BD16B4" w14:paraId="54C6A934" w14:textId="77777777" w:rsidTr="00B10948">
        <w:tc>
          <w:tcPr>
            <w:tcW w:w="1758" w:type="dxa"/>
          </w:tcPr>
          <w:p w14:paraId="0CA1F7D3" w14:textId="77777777" w:rsidR="009A47B9" w:rsidRPr="00BD16B4" w:rsidRDefault="009A47B9" w:rsidP="003D5A34">
            <w:pPr>
              <w:pStyle w:val="BodyText"/>
              <w:spacing w:before="50" w:after="50"/>
              <w:rPr>
                <w:rFonts w:cs="Calibri"/>
                <w:sz w:val="21"/>
                <w:szCs w:val="21"/>
              </w:rPr>
            </w:pPr>
            <w:r w:rsidRPr="00BD16B4">
              <w:rPr>
                <w:rFonts w:cs="Calibri"/>
                <w:sz w:val="21"/>
                <w:szCs w:val="21"/>
              </w:rPr>
              <w:t>GEMS/Water</w:t>
            </w:r>
          </w:p>
        </w:tc>
        <w:tc>
          <w:tcPr>
            <w:tcW w:w="6804" w:type="dxa"/>
          </w:tcPr>
          <w:p w14:paraId="3CAD05DC" w14:textId="77777777" w:rsidR="009A47B9" w:rsidRPr="00BD16B4" w:rsidRDefault="009A47B9" w:rsidP="003D5A34">
            <w:pPr>
              <w:pStyle w:val="BodyText"/>
              <w:spacing w:before="50" w:after="50"/>
              <w:rPr>
                <w:rFonts w:cs="Calibri"/>
                <w:sz w:val="21"/>
                <w:szCs w:val="21"/>
              </w:rPr>
            </w:pPr>
            <w:r w:rsidRPr="00BD16B4">
              <w:rPr>
                <w:rFonts w:cs="Calibri"/>
                <w:sz w:val="21"/>
                <w:szCs w:val="21"/>
              </w:rPr>
              <w:t>Global Environment Monitoring System for Freshwater</w:t>
            </w:r>
          </w:p>
        </w:tc>
      </w:tr>
      <w:tr w:rsidR="009A47B9" w:rsidRPr="00BD16B4" w14:paraId="1392B2DA" w14:textId="77777777" w:rsidTr="00B10948">
        <w:tc>
          <w:tcPr>
            <w:tcW w:w="1758" w:type="dxa"/>
          </w:tcPr>
          <w:p w14:paraId="64561963" w14:textId="77777777" w:rsidR="009A47B9" w:rsidRPr="00BD16B4" w:rsidRDefault="009A47B9" w:rsidP="003D5A34">
            <w:pPr>
              <w:pStyle w:val="BodyText"/>
              <w:spacing w:before="50" w:after="50"/>
              <w:rPr>
                <w:rFonts w:cs="Calibri"/>
                <w:sz w:val="21"/>
                <w:szCs w:val="21"/>
              </w:rPr>
            </w:pPr>
            <w:r w:rsidRPr="00BD16B4">
              <w:rPr>
                <w:rFonts w:cs="Calibri"/>
                <w:sz w:val="21"/>
                <w:szCs w:val="21"/>
              </w:rPr>
              <w:t>GHG</w:t>
            </w:r>
          </w:p>
        </w:tc>
        <w:tc>
          <w:tcPr>
            <w:tcW w:w="6804" w:type="dxa"/>
          </w:tcPr>
          <w:p w14:paraId="5618E193" w14:textId="77777777" w:rsidR="009A47B9" w:rsidRPr="00BD16B4" w:rsidRDefault="009A47B9" w:rsidP="003D5A34">
            <w:pPr>
              <w:pStyle w:val="BodyText"/>
              <w:spacing w:before="50" w:after="50"/>
              <w:rPr>
                <w:rFonts w:cs="Calibri"/>
                <w:sz w:val="21"/>
                <w:szCs w:val="21"/>
              </w:rPr>
            </w:pPr>
            <w:r w:rsidRPr="00BD16B4">
              <w:rPr>
                <w:rFonts w:cs="Calibri"/>
                <w:sz w:val="21"/>
                <w:szCs w:val="21"/>
              </w:rPr>
              <w:t>Greenhouse gas</w:t>
            </w:r>
          </w:p>
        </w:tc>
      </w:tr>
      <w:tr w:rsidR="009A47B9" w:rsidRPr="00BD16B4" w14:paraId="23BEEA93" w14:textId="77777777" w:rsidTr="00B10948">
        <w:tc>
          <w:tcPr>
            <w:tcW w:w="1758" w:type="dxa"/>
          </w:tcPr>
          <w:p w14:paraId="7DE3FEA1"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GHGIR</w:t>
            </w:r>
          </w:p>
        </w:tc>
        <w:tc>
          <w:tcPr>
            <w:tcW w:w="6804" w:type="dxa"/>
          </w:tcPr>
          <w:p w14:paraId="2EAC517D" w14:textId="77777777" w:rsidR="009A47B9" w:rsidRPr="00BD16B4" w:rsidRDefault="009A47B9" w:rsidP="003D5A34">
            <w:pPr>
              <w:pStyle w:val="BodyText"/>
              <w:spacing w:before="50" w:after="50"/>
              <w:rPr>
                <w:rFonts w:eastAsia="Arial Narrow" w:cs="Calibri"/>
                <w:sz w:val="21"/>
                <w:szCs w:val="21"/>
              </w:rPr>
            </w:pPr>
            <w:r w:rsidRPr="00BD16B4">
              <w:rPr>
                <w:rFonts w:cs="Calibri"/>
                <w:bCs/>
                <w:sz w:val="21"/>
                <w:szCs w:val="21"/>
                <w:lang w:eastAsia="en-GB"/>
              </w:rPr>
              <w:t>Greenhouse Gas Inventory Research</w:t>
            </w:r>
          </w:p>
        </w:tc>
      </w:tr>
      <w:tr w:rsidR="009A47B9" w:rsidRPr="00BD16B4" w14:paraId="0B3746DB" w14:textId="77777777" w:rsidTr="00B10948">
        <w:tc>
          <w:tcPr>
            <w:tcW w:w="1758" w:type="dxa"/>
          </w:tcPr>
          <w:p w14:paraId="6E39CBC9"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GIDI Fund</w:t>
            </w:r>
          </w:p>
        </w:tc>
        <w:tc>
          <w:tcPr>
            <w:tcW w:w="6804" w:type="dxa"/>
          </w:tcPr>
          <w:p w14:paraId="3A4BDBAD"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Government Investment in Decarbonising Industry Fund</w:t>
            </w:r>
          </w:p>
        </w:tc>
      </w:tr>
      <w:tr w:rsidR="009A47B9" w:rsidRPr="00BD16B4" w14:paraId="1C3D5FE4" w14:textId="77777777" w:rsidTr="00B10948">
        <w:tc>
          <w:tcPr>
            <w:tcW w:w="1758" w:type="dxa"/>
          </w:tcPr>
          <w:p w14:paraId="62A5EC37"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 xml:space="preserve">GLOSS </w:t>
            </w:r>
          </w:p>
        </w:tc>
        <w:tc>
          <w:tcPr>
            <w:tcW w:w="6804" w:type="dxa"/>
          </w:tcPr>
          <w:p w14:paraId="1263DDB7"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Global Sea Level Observing System</w:t>
            </w:r>
          </w:p>
        </w:tc>
      </w:tr>
      <w:tr w:rsidR="009A47B9" w:rsidRPr="00BD16B4" w14:paraId="4C3CC7DA" w14:textId="77777777" w:rsidTr="00B10948">
        <w:tc>
          <w:tcPr>
            <w:tcW w:w="1758" w:type="dxa"/>
          </w:tcPr>
          <w:p w14:paraId="79948052"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GNS Science</w:t>
            </w:r>
          </w:p>
        </w:tc>
        <w:tc>
          <w:tcPr>
            <w:tcW w:w="6804" w:type="dxa"/>
          </w:tcPr>
          <w:p w14:paraId="510BC977"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Institute of Geological and Nuclear Sciences Limited</w:t>
            </w:r>
          </w:p>
        </w:tc>
      </w:tr>
      <w:tr w:rsidR="009A47B9" w:rsidRPr="00BD16B4" w14:paraId="6993857B" w14:textId="77777777" w:rsidTr="00B10948">
        <w:tc>
          <w:tcPr>
            <w:tcW w:w="1758" w:type="dxa"/>
          </w:tcPr>
          <w:p w14:paraId="52CBC611"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 xml:space="preserve">GNSS </w:t>
            </w:r>
          </w:p>
        </w:tc>
        <w:tc>
          <w:tcPr>
            <w:tcW w:w="6804" w:type="dxa"/>
          </w:tcPr>
          <w:p w14:paraId="6E7A6C24"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Global navigation satellite system</w:t>
            </w:r>
          </w:p>
        </w:tc>
      </w:tr>
      <w:tr w:rsidR="009A47B9" w:rsidRPr="00BD16B4" w14:paraId="42CF66C8" w14:textId="77777777" w:rsidTr="00B10948">
        <w:tc>
          <w:tcPr>
            <w:tcW w:w="1758" w:type="dxa"/>
          </w:tcPr>
          <w:p w14:paraId="5B74A8CE"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GOA-ON</w:t>
            </w:r>
          </w:p>
        </w:tc>
        <w:tc>
          <w:tcPr>
            <w:tcW w:w="6804" w:type="dxa"/>
          </w:tcPr>
          <w:p w14:paraId="257CE0F9"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Global Ocean Acidification Observing Network</w:t>
            </w:r>
          </w:p>
        </w:tc>
      </w:tr>
      <w:tr w:rsidR="009A47B9" w:rsidRPr="00BD16B4" w14:paraId="399DCEF9" w14:textId="77777777" w:rsidTr="00B10948">
        <w:tc>
          <w:tcPr>
            <w:tcW w:w="1758" w:type="dxa"/>
          </w:tcPr>
          <w:p w14:paraId="29A6D495"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GPS</w:t>
            </w:r>
          </w:p>
        </w:tc>
        <w:tc>
          <w:tcPr>
            <w:tcW w:w="6804" w:type="dxa"/>
          </w:tcPr>
          <w:p w14:paraId="00362E60"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Global positioning system</w:t>
            </w:r>
          </w:p>
        </w:tc>
      </w:tr>
      <w:tr w:rsidR="009A47B9" w:rsidRPr="00BD16B4" w14:paraId="59AD679F" w14:textId="77777777" w:rsidTr="00B10948">
        <w:tc>
          <w:tcPr>
            <w:tcW w:w="1758" w:type="dxa"/>
          </w:tcPr>
          <w:p w14:paraId="761A05D7"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GPS-LT</w:t>
            </w:r>
          </w:p>
        </w:tc>
        <w:tc>
          <w:tcPr>
            <w:tcW w:w="6804" w:type="dxa"/>
          </w:tcPr>
          <w:p w14:paraId="5F5EFA19"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Government Policy Statement on Land Transport</w:t>
            </w:r>
          </w:p>
        </w:tc>
      </w:tr>
      <w:tr w:rsidR="009A47B9" w:rsidRPr="00BD16B4" w14:paraId="317EE95D" w14:textId="77777777" w:rsidTr="00B10948">
        <w:tc>
          <w:tcPr>
            <w:tcW w:w="1758" w:type="dxa"/>
          </w:tcPr>
          <w:p w14:paraId="6C6D3718" w14:textId="77777777" w:rsidR="009A47B9" w:rsidRPr="00BD16B4" w:rsidRDefault="009A47B9" w:rsidP="003D5A34">
            <w:pPr>
              <w:pStyle w:val="BodyText"/>
              <w:spacing w:before="50" w:after="50"/>
              <w:rPr>
                <w:rFonts w:eastAsia="Arial Narrow" w:cs="Calibri"/>
                <w:sz w:val="21"/>
                <w:szCs w:val="21"/>
              </w:rPr>
            </w:pPr>
            <w:r w:rsidRPr="00BD16B4">
              <w:rPr>
                <w:rFonts w:eastAsia="Arial Narrow" w:cs="Calibri"/>
                <w:sz w:val="21"/>
                <w:szCs w:val="21"/>
              </w:rPr>
              <w:t xml:space="preserve">GRA </w:t>
            </w:r>
          </w:p>
        </w:tc>
        <w:tc>
          <w:tcPr>
            <w:tcW w:w="6804" w:type="dxa"/>
          </w:tcPr>
          <w:p w14:paraId="34E788FC" w14:textId="77777777" w:rsidR="009A47B9" w:rsidRPr="00BD16B4" w:rsidRDefault="009A47B9" w:rsidP="003D5A34">
            <w:pPr>
              <w:pStyle w:val="BodyText"/>
              <w:spacing w:before="50" w:after="50"/>
              <w:rPr>
                <w:rFonts w:cs="Calibri"/>
                <w:sz w:val="21"/>
                <w:szCs w:val="21"/>
              </w:rPr>
            </w:pPr>
            <w:r w:rsidRPr="00BD16B4">
              <w:rPr>
                <w:rFonts w:eastAsia="Arial Narrow" w:cs="Calibri"/>
                <w:sz w:val="21"/>
                <w:szCs w:val="21"/>
              </w:rPr>
              <w:t>Global Research Alliance on Agricultural Greenhouse Gases</w:t>
            </w:r>
          </w:p>
        </w:tc>
      </w:tr>
      <w:tr w:rsidR="009A47B9" w:rsidRPr="00BD16B4" w14:paraId="4CF982C6" w14:textId="77777777" w:rsidTr="00B10948">
        <w:tc>
          <w:tcPr>
            <w:tcW w:w="1758" w:type="dxa"/>
          </w:tcPr>
          <w:p w14:paraId="6CCB6901"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GRUAN</w:t>
            </w:r>
          </w:p>
        </w:tc>
        <w:tc>
          <w:tcPr>
            <w:tcW w:w="6804" w:type="dxa"/>
          </w:tcPr>
          <w:p w14:paraId="52882B7F"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GCOS Reference Upper Air Network</w:t>
            </w:r>
          </w:p>
        </w:tc>
      </w:tr>
      <w:tr w:rsidR="009A47B9" w:rsidRPr="00BD16B4" w14:paraId="1905955A" w14:textId="77777777" w:rsidTr="00B10948">
        <w:tc>
          <w:tcPr>
            <w:tcW w:w="1758" w:type="dxa"/>
          </w:tcPr>
          <w:p w14:paraId="1B1AC564"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GSN</w:t>
            </w:r>
          </w:p>
        </w:tc>
        <w:tc>
          <w:tcPr>
            <w:tcW w:w="6804" w:type="dxa"/>
          </w:tcPr>
          <w:p w14:paraId="6D135089"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GCOS Surface Network</w:t>
            </w:r>
          </w:p>
        </w:tc>
      </w:tr>
      <w:tr w:rsidR="009A47B9" w:rsidRPr="00BD16B4" w14:paraId="2CCFC45E" w14:textId="77777777" w:rsidTr="00B10948">
        <w:tc>
          <w:tcPr>
            <w:tcW w:w="1758" w:type="dxa"/>
          </w:tcPr>
          <w:p w14:paraId="063F61A9"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GUAN</w:t>
            </w:r>
          </w:p>
        </w:tc>
        <w:tc>
          <w:tcPr>
            <w:tcW w:w="6804" w:type="dxa"/>
          </w:tcPr>
          <w:p w14:paraId="48923A34"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GCOS Upper Air Network</w:t>
            </w:r>
          </w:p>
        </w:tc>
      </w:tr>
      <w:tr w:rsidR="009A47B9" w:rsidRPr="00BD16B4" w14:paraId="355FEA28" w14:textId="77777777" w:rsidTr="00B10948">
        <w:tc>
          <w:tcPr>
            <w:tcW w:w="1758" w:type="dxa"/>
          </w:tcPr>
          <w:p w14:paraId="39AD1E12"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GWP</w:t>
            </w:r>
          </w:p>
        </w:tc>
        <w:tc>
          <w:tcPr>
            <w:tcW w:w="6804" w:type="dxa"/>
          </w:tcPr>
          <w:p w14:paraId="41675CCD"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Global warming potential</w:t>
            </w:r>
          </w:p>
        </w:tc>
      </w:tr>
      <w:tr w:rsidR="009A47B9" w:rsidRPr="00BD16B4" w14:paraId="447B6C9E" w14:textId="77777777" w:rsidTr="00B10948">
        <w:tc>
          <w:tcPr>
            <w:tcW w:w="1758" w:type="dxa"/>
          </w:tcPr>
          <w:p w14:paraId="3BA6D786"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H</w:t>
            </w:r>
            <w:r w:rsidRPr="00BD16B4">
              <w:rPr>
                <w:rFonts w:cs="Calibri"/>
                <w:bCs/>
                <w:sz w:val="21"/>
                <w:szCs w:val="21"/>
                <w:vertAlign w:val="subscript"/>
                <w:lang w:eastAsia="en-GB"/>
              </w:rPr>
              <w:t>2</w:t>
            </w:r>
            <w:r w:rsidRPr="00BD16B4">
              <w:rPr>
                <w:rFonts w:cs="Calibri"/>
                <w:bCs/>
                <w:sz w:val="21"/>
                <w:szCs w:val="21"/>
                <w:lang w:eastAsia="en-GB"/>
              </w:rPr>
              <w:t xml:space="preserve">O </w:t>
            </w:r>
          </w:p>
        </w:tc>
        <w:tc>
          <w:tcPr>
            <w:tcW w:w="6804" w:type="dxa"/>
          </w:tcPr>
          <w:p w14:paraId="0AA7051A"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Water</w:t>
            </w:r>
          </w:p>
        </w:tc>
      </w:tr>
      <w:tr w:rsidR="009A47B9" w:rsidRPr="00BD16B4" w14:paraId="6B95F482" w14:textId="77777777" w:rsidTr="00B10948">
        <w:tc>
          <w:tcPr>
            <w:tcW w:w="1758" w:type="dxa"/>
          </w:tcPr>
          <w:p w14:paraId="4E02CFC0"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HDO</w:t>
            </w:r>
          </w:p>
        </w:tc>
        <w:tc>
          <w:tcPr>
            <w:tcW w:w="6804" w:type="dxa"/>
          </w:tcPr>
          <w:p w14:paraId="5CE8D73C"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Semiheavy water</w:t>
            </w:r>
          </w:p>
        </w:tc>
      </w:tr>
      <w:tr w:rsidR="009A47B9" w:rsidRPr="00BD16B4" w14:paraId="087A05CD" w14:textId="77777777" w:rsidTr="00B10948">
        <w:tc>
          <w:tcPr>
            <w:tcW w:w="1758" w:type="dxa"/>
          </w:tcPr>
          <w:p w14:paraId="72D205A7"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 xml:space="preserve">HFCs </w:t>
            </w:r>
          </w:p>
        </w:tc>
        <w:tc>
          <w:tcPr>
            <w:tcW w:w="6804" w:type="dxa"/>
          </w:tcPr>
          <w:p w14:paraId="7E2FBD31"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Hydrofluorocarbons</w:t>
            </w:r>
          </w:p>
        </w:tc>
      </w:tr>
      <w:tr w:rsidR="009A47B9" w:rsidRPr="00BD16B4" w14:paraId="72857F7C" w14:textId="77777777" w:rsidTr="00B10948">
        <w:tc>
          <w:tcPr>
            <w:tcW w:w="1758" w:type="dxa"/>
          </w:tcPr>
          <w:p w14:paraId="4C3D4CD5"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 xml:space="preserve">IDC </w:t>
            </w:r>
          </w:p>
        </w:tc>
        <w:tc>
          <w:tcPr>
            <w:tcW w:w="6804" w:type="dxa"/>
          </w:tcPr>
          <w:p w14:paraId="66B96C88"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International development cooperation</w:t>
            </w:r>
          </w:p>
        </w:tc>
      </w:tr>
      <w:tr w:rsidR="009A47B9" w:rsidRPr="00BD16B4" w14:paraId="7FA93E22" w14:textId="77777777" w:rsidTr="00B10948">
        <w:tc>
          <w:tcPr>
            <w:tcW w:w="1758" w:type="dxa"/>
          </w:tcPr>
          <w:p w14:paraId="0678AF56"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IGPS </w:t>
            </w:r>
          </w:p>
        </w:tc>
        <w:tc>
          <w:tcPr>
            <w:tcW w:w="6804" w:type="dxa"/>
          </w:tcPr>
          <w:p w14:paraId="5EEB304F" w14:textId="77777777" w:rsidR="009A47B9" w:rsidRPr="00BD16B4" w:rsidRDefault="009A47B9" w:rsidP="003D5A34">
            <w:pPr>
              <w:pStyle w:val="BodyText"/>
              <w:spacing w:before="50" w:after="50"/>
              <w:rPr>
                <w:rFonts w:cs="Calibri"/>
                <w:sz w:val="21"/>
                <w:szCs w:val="21"/>
              </w:rPr>
            </w:pPr>
            <w:r w:rsidRPr="00BD16B4">
              <w:rPr>
                <w:rFonts w:cs="Calibri"/>
                <w:sz w:val="21"/>
                <w:szCs w:val="21"/>
              </w:rPr>
              <w:t>Institute for Governance and Policy Studies</w:t>
            </w:r>
          </w:p>
        </w:tc>
      </w:tr>
      <w:tr w:rsidR="009A47B9" w:rsidRPr="00BD16B4" w14:paraId="56674E42" w14:textId="77777777" w:rsidTr="00B10948">
        <w:tc>
          <w:tcPr>
            <w:tcW w:w="1758" w:type="dxa"/>
          </w:tcPr>
          <w:p w14:paraId="1AC18CB9"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IMO</w:t>
            </w:r>
          </w:p>
        </w:tc>
        <w:tc>
          <w:tcPr>
            <w:tcW w:w="6804" w:type="dxa"/>
          </w:tcPr>
          <w:p w14:paraId="0E405E1E"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International Maritime Organization</w:t>
            </w:r>
          </w:p>
        </w:tc>
      </w:tr>
      <w:tr w:rsidR="009A47B9" w:rsidRPr="00BD16B4" w14:paraId="5D1EAA1A" w14:textId="77777777" w:rsidTr="00B10948">
        <w:tc>
          <w:tcPr>
            <w:tcW w:w="1758" w:type="dxa"/>
          </w:tcPr>
          <w:p w14:paraId="54321E01" w14:textId="77777777" w:rsidR="009A47B9" w:rsidRPr="00BD16B4" w:rsidRDefault="009A47B9" w:rsidP="003D5A34">
            <w:pPr>
              <w:pStyle w:val="BodyText"/>
              <w:spacing w:before="50" w:after="50"/>
              <w:rPr>
                <w:rFonts w:cs="Calibri"/>
                <w:sz w:val="21"/>
                <w:szCs w:val="21"/>
              </w:rPr>
            </w:pPr>
            <w:r w:rsidRPr="00BD16B4">
              <w:rPr>
                <w:rFonts w:cs="Calibri"/>
                <w:sz w:val="21"/>
                <w:szCs w:val="21"/>
              </w:rPr>
              <w:t>IMOS</w:t>
            </w:r>
          </w:p>
        </w:tc>
        <w:tc>
          <w:tcPr>
            <w:tcW w:w="6804" w:type="dxa"/>
          </w:tcPr>
          <w:p w14:paraId="21B5F903" w14:textId="77777777" w:rsidR="009A47B9" w:rsidRPr="00BD16B4" w:rsidRDefault="009A47B9" w:rsidP="003D5A34">
            <w:pPr>
              <w:pStyle w:val="BodyText"/>
              <w:spacing w:before="50" w:after="50"/>
              <w:rPr>
                <w:rFonts w:cs="Calibri"/>
                <w:sz w:val="21"/>
                <w:szCs w:val="21"/>
              </w:rPr>
            </w:pPr>
            <w:r w:rsidRPr="00BD16B4">
              <w:rPr>
                <w:rFonts w:cs="Calibri"/>
                <w:sz w:val="21"/>
                <w:szCs w:val="21"/>
              </w:rPr>
              <w:t>Integrated Marine Observing System</w:t>
            </w:r>
          </w:p>
        </w:tc>
      </w:tr>
      <w:tr w:rsidR="009A47B9" w:rsidRPr="00BD16B4" w14:paraId="15A754D9" w14:textId="77777777" w:rsidTr="00B10948">
        <w:tc>
          <w:tcPr>
            <w:tcW w:w="1758" w:type="dxa"/>
          </w:tcPr>
          <w:p w14:paraId="7C708241"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IPCC </w:t>
            </w:r>
          </w:p>
        </w:tc>
        <w:tc>
          <w:tcPr>
            <w:tcW w:w="6804" w:type="dxa"/>
          </w:tcPr>
          <w:p w14:paraId="0341FD84" w14:textId="77777777" w:rsidR="009A47B9" w:rsidRPr="00BD16B4" w:rsidRDefault="009A47B9" w:rsidP="003D5A34">
            <w:pPr>
              <w:pStyle w:val="BodyText"/>
              <w:spacing w:before="50" w:after="50"/>
              <w:rPr>
                <w:rFonts w:cs="Calibri"/>
                <w:sz w:val="21"/>
                <w:szCs w:val="21"/>
              </w:rPr>
            </w:pPr>
            <w:r w:rsidRPr="00BD16B4">
              <w:rPr>
                <w:rFonts w:cs="Calibri"/>
                <w:sz w:val="21"/>
                <w:szCs w:val="21"/>
              </w:rPr>
              <w:t>Intergovernmental Panel on Climate Change</w:t>
            </w:r>
          </w:p>
        </w:tc>
      </w:tr>
      <w:tr w:rsidR="009A47B9" w:rsidRPr="00BD16B4" w14:paraId="4D036FDF" w14:textId="77777777" w:rsidTr="00B10948">
        <w:tc>
          <w:tcPr>
            <w:tcW w:w="1758" w:type="dxa"/>
          </w:tcPr>
          <w:p w14:paraId="4F6EBC89"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IPPU</w:t>
            </w:r>
          </w:p>
        </w:tc>
        <w:tc>
          <w:tcPr>
            <w:tcW w:w="6804" w:type="dxa"/>
          </w:tcPr>
          <w:p w14:paraId="6643AAFC"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industrial processes and product use</w:t>
            </w:r>
          </w:p>
        </w:tc>
      </w:tr>
      <w:tr w:rsidR="009A47B9" w:rsidRPr="00BD16B4" w14:paraId="11F15D25" w14:textId="77777777" w:rsidTr="00B10948">
        <w:tc>
          <w:tcPr>
            <w:tcW w:w="1758" w:type="dxa"/>
          </w:tcPr>
          <w:p w14:paraId="17E78E30"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ISO</w:t>
            </w:r>
          </w:p>
        </w:tc>
        <w:tc>
          <w:tcPr>
            <w:tcW w:w="6804" w:type="dxa"/>
          </w:tcPr>
          <w:p w14:paraId="2946888D"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International Organization for Standardization</w:t>
            </w:r>
          </w:p>
        </w:tc>
      </w:tr>
      <w:tr w:rsidR="009A47B9" w:rsidRPr="00BD16B4" w14:paraId="26EBEB0C" w14:textId="77777777" w:rsidTr="00B10948">
        <w:tc>
          <w:tcPr>
            <w:tcW w:w="1758" w:type="dxa"/>
          </w:tcPr>
          <w:p w14:paraId="738F18B3"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JMA</w:t>
            </w:r>
          </w:p>
        </w:tc>
        <w:tc>
          <w:tcPr>
            <w:tcW w:w="6804" w:type="dxa"/>
          </w:tcPr>
          <w:p w14:paraId="53B37713"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Japan Meteorological Agency</w:t>
            </w:r>
          </w:p>
        </w:tc>
      </w:tr>
      <w:tr w:rsidR="009A47B9" w:rsidRPr="00BD16B4" w14:paraId="4F640903" w14:textId="77777777" w:rsidTr="00B10948">
        <w:tc>
          <w:tcPr>
            <w:tcW w:w="1758" w:type="dxa"/>
          </w:tcPr>
          <w:p w14:paraId="43A4E85A" w14:textId="6C8850EF"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kt CO</w:t>
            </w:r>
            <w:r w:rsidRPr="00BD16B4">
              <w:rPr>
                <w:rFonts w:cs="Calibri"/>
                <w:bCs/>
                <w:sz w:val="21"/>
                <w:szCs w:val="21"/>
                <w:vertAlign w:val="subscript"/>
                <w:lang w:eastAsia="en-GB"/>
              </w:rPr>
              <w:t>2</w:t>
            </w:r>
            <w:r w:rsidR="002B18CA" w:rsidRPr="00BD16B4">
              <w:rPr>
                <w:rFonts w:cs="Calibri"/>
                <w:bCs/>
                <w:sz w:val="21"/>
                <w:szCs w:val="21"/>
                <w:lang w:eastAsia="en-GB"/>
              </w:rPr>
              <w:t>-e</w:t>
            </w:r>
          </w:p>
        </w:tc>
        <w:tc>
          <w:tcPr>
            <w:tcW w:w="6804" w:type="dxa"/>
          </w:tcPr>
          <w:p w14:paraId="287298FE"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Kilotonnes of carbon dioxide equivalent</w:t>
            </w:r>
          </w:p>
        </w:tc>
      </w:tr>
      <w:tr w:rsidR="009A47B9" w:rsidRPr="00BD16B4" w14:paraId="46D29A3D" w14:textId="77777777" w:rsidTr="00B10948">
        <w:tc>
          <w:tcPr>
            <w:tcW w:w="1758" w:type="dxa"/>
          </w:tcPr>
          <w:p w14:paraId="4BBA8F88"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LAWA</w:t>
            </w:r>
          </w:p>
        </w:tc>
        <w:tc>
          <w:tcPr>
            <w:tcW w:w="6804" w:type="dxa"/>
          </w:tcPr>
          <w:p w14:paraId="4F212D45"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Land, Air, Water Aotearoa</w:t>
            </w:r>
          </w:p>
        </w:tc>
      </w:tr>
      <w:tr w:rsidR="009A47B9" w:rsidRPr="00BD16B4" w14:paraId="0D3B7957" w14:textId="77777777" w:rsidTr="00B10948">
        <w:tc>
          <w:tcPr>
            <w:tcW w:w="1758" w:type="dxa"/>
          </w:tcPr>
          <w:p w14:paraId="1873FEC3"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LCDB</w:t>
            </w:r>
          </w:p>
        </w:tc>
        <w:tc>
          <w:tcPr>
            <w:tcW w:w="6804" w:type="dxa"/>
          </w:tcPr>
          <w:p w14:paraId="35014832"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Land Cover Database</w:t>
            </w:r>
          </w:p>
        </w:tc>
      </w:tr>
      <w:tr w:rsidR="009A47B9" w:rsidRPr="00BD16B4" w14:paraId="7BA2A192" w14:textId="77777777" w:rsidTr="00B10948">
        <w:tc>
          <w:tcPr>
            <w:tcW w:w="1758" w:type="dxa"/>
          </w:tcPr>
          <w:p w14:paraId="3DAAA38C"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LIDAR</w:t>
            </w:r>
          </w:p>
        </w:tc>
        <w:tc>
          <w:tcPr>
            <w:tcW w:w="6804" w:type="dxa"/>
          </w:tcPr>
          <w:p w14:paraId="5650FA64"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Light detection and ranging</w:t>
            </w:r>
          </w:p>
        </w:tc>
      </w:tr>
      <w:tr w:rsidR="009A47B9" w:rsidRPr="00BD16B4" w14:paraId="50F74A56" w14:textId="77777777" w:rsidTr="00B10948">
        <w:tc>
          <w:tcPr>
            <w:tcW w:w="1758" w:type="dxa"/>
          </w:tcPr>
          <w:p w14:paraId="291D56AD" w14:textId="33D37C5C" w:rsidR="009A47B9" w:rsidRPr="00BD16B4" w:rsidRDefault="009A47B9" w:rsidP="006A1590">
            <w:pPr>
              <w:pStyle w:val="BodyText"/>
              <w:tabs>
                <w:tab w:val="left" w:pos="761"/>
              </w:tabs>
              <w:spacing w:before="50" w:after="50"/>
              <w:rPr>
                <w:rFonts w:cs="Calibri"/>
                <w:bCs/>
                <w:sz w:val="21"/>
                <w:szCs w:val="21"/>
                <w:lang w:eastAsia="en-GB"/>
              </w:rPr>
            </w:pPr>
            <w:r w:rsidRPr="00BD16B4">
              <w:rPr>
                <w:rFonts w:cs="Calibri"/>
                <w:bCs/>
                <w:sz w:val="21"/>
                <w:szCs w:val="21"/>
                <w:lang w:eastAsia="en-GB"/>
              </w:rPr>
              <w:t>LINZ</w:t>
            </w:r>
            <w:r w:rsidR="006A1590" w:rsidRPr="00BD16B4">
              <w:rPr>
                <w:rFonts w:cs="Calibri"/>
                <w:bCs/>
                <w:sz w:val="21"/>
                <w:szCs w:val="21"/>
                <w:lang w:eastAsia="en-GB"/>
              </w:rPr>
              <w:tab/>
            </w:r>
          </w:p>
        </w:tc>
        <w:tc>
          <w:tcPr>
            <w:tcW w:w="6804" w:type="dxa"/>
          </w:tcPr>
          <w:p w14:paraId="6592EF68"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Toitū Te Whenua Land Information New Zealand</w:t>
            </w:r>
          </w:p>
        </w:tc>
      </w:tr>
      <w:tr w:rsidR="009A47B9" w:rsidRPr="00BD16B4" w14:paraId="47CF0597" w14:textId="77777777" w:rsidTr="00B10948">
        <w:tc>
          <w:tcPr>
            <w:tcW w:w="1758" w:type="dxa"/>
          </w:tcPr>
          <w:p w14:paraId="39EBB21D"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LRIS</w:t>
            </w:r>
          </w:p>
        </w:tc>
        <w:tc>
          <w:tcPr>
            <w:tcW w:w="6804" w:type="dxa"/>
          </w:tcPr>
          <w:p w14:paraId="221CD974"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Land Resource Information System</w:t>
            </w:r>
          </w:p>
        </w:tc>
      </w:tr>
      <w:tr w:rsidR="009A47B9" w:rsidRPr="00BD16B4" w14:paraId="500E09C2" w14:textId="77777777" w:rsidTr="00B10948">
        <w:tc>
          <w:tcPr>
            <w:tcW w:w="1758" w:type="dxa"/>
          </w:tcPr>
          <w:p w14:paraId="6C165283"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lastRenderedPageBreak/>
              <w:t>LUCAS</w:t>
            </w:r>
          </w:p>
        </w:tc>
        <w:tc>
          <w:tcPr>
            <w:tcW w:w="6804" w:type="dxa"/>
          </w:tcPr>
          <w:p w14:paraId="2F685192" w14:textId="77777777" w:rsidR="009A47B9" w:rsidRPr="00BD16B4" w:rsidRDefault="009A47B9" w:rsidP="003D5A34">
            <w:pPr>
              <w:pStyle w:val="BodyText"/>
              <w:spacing w:before="50" w:after="50"/>
              <w:rPr>
                <w:rFonts w:cs="Calibri"/>
                <w:bCs/>
                <w:sz w:val="21"/>
                <w:szCs w:val="21"/>
                <w:lang w:eastAsia="en-GB"/>
              </w:rPr>
            </w:pPr>
            <w:r w:rsidRPr="00BD16B4">
              <w:rPr>
                <w:rFonts w:cs="Calibri"/>
                <w:bCs/>
                <w:sz w:val="21"/>
                <w:szCs w:val="21"/>
                <w:lang w:eastAsia="en-GB"/>
              </w:rPr>
              <w:t>Land Use and Carbon Analysis System</w:t>
            </w:r>
          </w:p>
        </w:tc>
      </w:tr>
      <w:tr w:rsidR="009A47B9" w:rsidRPr="00BD16B4" w14:paraId="3238D97C" w14:textId="77777777" w:rsidTr="00B10948">
        <w:tc>
          <w:tcPr>
            <w:tcW w:w="1758" w:type="dxa"/>
          </w:tcPr>
          <w:p w14:paraId="45992866"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LULUCF </w:t>
            </w:r>
          </w:p>
        </w:tc>
        <w:tc>
          <w:tcPr>
            <w:tcW w:w="6804" w:type="dxa"/>
          </w:tcPr>
          <w:p w14:paraId="1FAFB17D" w14:textId="5EF70A0A" w:rsidR="009A47B9" w:rsidRPr="00BD16B4" w:rsidRDefault="009A47B9" w:rsidP="003D5A34">
            <w:pPr>
              <w:pStyle w:val="BodyText"/>
              <w:spacing w:before="50" w:after="50"/>
              <w:rPr>
                <w:rFonts w:cs="Calibri"/>
                <w:sz w:val="21"/>
                <w:szCs w:val="21"/>
              </w:rPr>
            </w:pPr>
            <w:r w:rsidRPr="00BD16B4">
              <w:rPr>
                <w:rFonts w:cs="Calibri"/>
                <w:sz w:val="21"/>
                <w:szCs w:val="21"/>
              </w:rPr>
              <w:t>Land</w:t>
            </w:r>
            <w:r w:rsidR="002B62E4" w:rsidRPr="00BD16B4">
              <w:rPr>
                <w:rFonts w:cs="Calibri"/>
                <w:sz w:val="21"/>
                <w:szCs w:val="21"/>
              </w:rPr>
              <w:t xml:space="preserve"> </w:t>
            </w:r>
            <w:r w:rsidRPr="00BD16B4">
              <w:rPr>
                <w:rFonts w:cs="Calibri"/>
                <w:sz w:val="21"/>
                <w:szCs w:val="21"/>
              </w:rPr>
              <w:t>use, land-use change and forestry</w:t>
            </w:r>
          </w:p>
        </w:tc>
      </w:tr>
      <w:tr w:rsidR="009A47B9" w:rsidRPr="00BD16B4" w14:paraId="3AEAFF21" w14:textId="77777777" w:rsidTr="00B10948">
        <w:tc>
          <w:tcPr>
            <w:tcW w:w="1758" w:type="dxa"/>
          </w:tcPr>
          <w:p w14:paraId="49FC320D" w14:textId="77777777" w:rsidR="009A47B9" w:rsidRPr="00BD16B4" w:rsidRDefault="009A47B9" w:rsidP="003D5A34">
            <w:pPr>
              <w:pStyle w:val="BodyText"/>
              <w:spacing w:before="50" w:after="50"/>
              <w:rPr>
                <w:rFonts w:cs="Calibri"/>
                <w:sz w:val="21"/>
                <w:szCs w:val="21"/>
              </w:rPr>
            </w:pPr>
            <w:r w:rsidRPr="00BD16B4">
              <w:rPr>
                <w:rFonts w:cs="Calibri"/>
                <w:sz w:val="21"/>
                <w:szCs w:val="21"/>
              </w:rPr>
              <w:t>MBIE</w:t>
            </w:r>
          </w:p>
        </w:tc>
        <w:tc>
          <w:tcPr>
            <w:tcW w:w="6804" w:type="dxa"/>
          </w:tcPr>
          <w:p w14:paraId="6B190BEA" w14:textId="77777777" w:rsidR="009A47B9" w:rsidRPr="00BD16B4" w:rsidRDefault="009A47B9" w:rsidP="003D5A34">
            <w:pPr>
              <w:pStyle w:val="BodyText"/>
              <w:spacing w:before="50" w:after="50"/>
              <w:rPr>
                <w:rFonts w:cs="Calibri"/>
                <w:sz w:val="21"/>
                <w:szCs w:val="21"/>
              </w:rPr>
            </w:pPr>
            <w:r w:rsidRPr="00BD16B4">
              <w:rPr>
                <w:rFonts w:cs="Calibri"/>
                <w:sz w:val="21"/>
                <w:szCs w:val="21"/>
                <w:lang w:eastAsia="en-GB"/>
              </w:rPr>
              <w:t>Ministry of Business, Innovation and Employment</w:t>
            </w:r>
          </w:p>
        </w:tc>
      </w:tr>
      <w:tr w:rsidR="009A47B9" w:rsidRPr="00BD16B4" w14:paraId="043FB852" w14:textId="77777777" w:rsidTr="00B10948">
        <w:tc>
          <w:tcPr>
            <w:tcW w:w="1758" w:type="dxa"/>
          </w:tcPr>
          <w:p w14:paraId="644A56D9" w14:textId="77777777" w:rsidR="009A47B9" w:rsidRPr="00BD16B4" w:rsidRDefault="009A47B9" w:rsidP="003D5A34">
            <w:pPr>
              <w:pStyle w:val="BodyText"/>
              <w:spacing w:before="50" w:after="50"/>
              <w:rPr>
                <w:rFonts w:cs="Calibri"/>
                <w:sz w:val="21"/>
                <w:szCs w:val="21"/>
              </w:rPr>
            </w:pPr>
            <w:r w:rsidRPr="00BD16B4">
              <w:rPr>
                <w:rFonts w:cs="Calibri"/>
                <w:sz w:val="21"/>
                <w:szCs w:val="21"/>
              </w:rPr>
              <w:t>MEPL</w:t>
            </w:r>
          </w:p>
        </w:tc>
        <w:tc>
          <w:tcPr>
            <w:tcW w:w="6804" w:type="dxa"/>
          </w:tcPr>
          <w:p w14:paraId="12F2B613" w14:textId="77777777" w:rsidR="009A47B9" w:rsidRPr="00BD16B4" w:rsidRDefault="009A47B9" w:rsidP="003D5A34">
            <w:pPr>
              <w:pStyle w:val="BodyText"/>
              <w:spacing w:before="50" w:after="50"/>
              <w:rPr>
                <w:rFonts w:cs="Calibri"/>
                <w:sz w:val="21"/>
                <w:szCs w:val="21"/>
              </w:rPr>
            </w:pPr>
            <w:r w:rsidRPr="00BD16B4">
              <w:rPr>
                <w:rFonts w:cs="Calibri"/>
                <w:sz w:val="21"/>
                <w:szCs w:val="21"/>
              </w:rPr>
              <w:t>Mandatory energy performance labelling</w:t>
            </w:r>
          </w:p>
        </w:tc>
      </w:tr>
      <w:tr w:rsidR="009A47B9" w:rsidRPr="00BD16B4" w14:paraId="07EC9D37" w14:textId="77777777" w:rsidTr="00B10948">
        <w:tc>
          <w:tcPr>
            <w:tcW w:w="1758" w:type="dxa"/>
          </w:tcPr>
          <w:p w14:paraId="1B8EC4DC" w14:textId="77777777" w:rsidR="009A47B9" w:rsidRPr="00BD16B4" w:rsidRDefault="009A47B9" w:rsidP="003D5A34">
            <w:pPr>
              <w:pStyle w:val="BodyText"/>
              <w:spacing w:before="50" w:after="50"/>
              <w:rPr>
                <w:rFonts w:cs="Calibri"/>
                <w:sz w:val="21"/>
                <w:szCs w:val="21"/>
              </w:rPr>
            </w:pPr>
            <w:r w:rsidRPr="00BD16B4">
              <w:rPr>
                <w:rFonts w:cs="Calibri"/>
                <w:sz w:val="21"/>
                <w:szCs w:val="21"/>
              </w:rPr>
              <w:t>MEPS</w:t>
            </w:r>
          </w:p>
        </w:tc>
        <w:tc>
          <w:tcPr>
            <w:tcW w:w="6804" w:type="dxa"/>
          </w:tcPr>
          <w:p w14:paraId="4F22DFB2" w14:textId="77777777" w:rsidR="009A47B9" w:rsidRPr="00BD16B4" w:rsidRDefault="009A47B9" w:rsidP="003D5A34">
            <w:pPr>
              <w:pStyle w:val="BodyText"/>
              <w:spacing w:before="50" w:after="50"/>
              <w:rPr>
                <w:rFonts w:cs="Calibri"/>
                <w:sz w:val="21"/>
                <w:szCs w:val="21"/>
              </w:rPr>
            </w:pPr>
            <w:r w:rsidRPr="00BD16B4">
              <w:rPr>
                <w:rFonts w:cs="Calibri"/>
                <w:sz w:val="21"/>
                <w:szCs w:val="21"/>
              </w:rPr>
              <w:t>Minimum energy performance standards</w:t>
            </w:r>
          </w:p>
        </w:tc>
      </w:tr>
      <w:tr w:rsidR="009A47B9" w:rsidRPr="00BD16B4" w14:paraId="0DF21873" w14:textId="77777777" w:rsidTr="00B10948">
        <w:tc>
          <w:tcPr>
            <w:tcW w:w="1758" w:type="dxa"/>
          </w:tcPr>
          <w:p w14:paraId="1B57E986" w14:textId="77777777" w:rsidR="009A47B9" w:rsidRPr="00BD16B4" w:rsidRDefault="009A47B9" w:rsidP="003D5A34">
            <w:pPr>
              <w:pStyle w:val="BodyText"/>
              <w:spacing w:before="50" w:after="50"/>
              <w:rPr>
                <w:rFonts w:cs="Calibri"/>
                <w:sz w:val="21"/>
                <w:szCs w:val="21"/>
              </w:rPr>
            </w:pPr>
            <w:r w:rsidRPr="00BD16B4">
              <w:rPr>
                <w:rFonts w:cs="Calibri"/>
                <w:sz w:val="21"/>
                <w:szCs w:val="21"/>
              </w:rPr>
              <w:t>MetService</w:t>
            </w:r>
          </w:p>
        </w:tc>
        <w:tc>
          <w:tcPr>
            <w:tcW w:w="6804" w:type="dxa"/>
          </w:tcPr>
          <w:p w14:paraId="16A68968" w14:textId="77777777" w:rsidR="009A47B9" w:rsidRPr="00BD16B4" w:rsidRDefault="009A47B9" w:rsidP="003D5A34">
            <w:pPr>
              <w:pStyle w:val="BodyText"/>
              <w:spacing w:before="50" w:after="50"/>
              <w:rPr>
                <w:rFonts w:cs="Calibri"/>
                <w:sz w:val="21"/>
                <w:szCs w:val="21"/>
              </w:rPr>
            </w:pPr>
            <w:r w:rsidRPr="00BD16B4">
              <w:rPr>
                <w:rFonts w:cs="Calibri"/>
                <w:sz w:val="21"/>
                <w:szCs w:val="21"/>
              </w:rPr>
              <w:t>Meteorological Service of New Zealand Limited</w:t>
            </w:r>
          </w:p>
        </w:tc>
      </w:tr>
      <w:tr w:rsidR="009A47B9" w:rsidRPr="00BD16B4" w14:paraId="4FFBAE77" w14:textId="77777777" w:rsidTr="00B10948">
        <w:tc>
          <w:tcPr>
            <w:tcW w:w="1758" w:type="dxa"/>
          </w:tcPr>
          <w:p w14:paraId="1BA0BA10" w14:textId="77777777" w:rsidR="009A47B9" w:rsidRPr="00BD16B4" w:rsidRDefault="009A47B9" w:rsidP="003D5A34">
            <w:pPr>
              <w:pStyle w:val="BodyText"/>
              <w:spacing w:before="50" w:after="50"/>
              <w:rPr>
                <w:rFonts w:cs="Calibri"/>
                <w:sz w:val="21"/>
                <w:szCs w:val="21"/>
              </w:rPr>
            </w:pPr>
            <w:r w:rsidRPr="00BD16B4">
              <w:rPr>
                <w:rFonts w:cs="Calibri"/>
                <w:sz w:val="21"/>
                <w:szCs w:val="21"/>
              </w:rPr>
              <w:t>MfE</w:t>
            </w:r>
          </w:p>
        </w:tc>
        <w:tc>
          <w:tcPr>
            <w:tcW w:w="6804" w:type="dxa"/>
          </w:tcPr>
          <w:p w14:paraId="000EB9D4" w14:textId="77777777" w:rsidR="009A47B9" w:rsidRPr="00BD16B4" w:rsidRDefault="009A47B9" w:rsidP="003D5A34">
            <w:pPr>
              <w:pStyle w:val="BodyText"/>
              <w:spacing w:before="50" w:after="50"/>
              <w:rPr>
                <w:rFonts w:cs="Calibri"/>
                <w:sz w:val="21"/>
                <w:szCs w:val="21"/>
              </w:rPr>
            </w:pPr>
            <w:r w:rsidRPr="00BD16B4">
              <w:rPr>
                <w:rFonts w:cs="Calibri"/>
                <w:sz w:val="21"/>
                <w:szCs w:val="21"/>
              </w:rPr>
              <w:t>Ministry for the Environment</w:t>
            </w:r>
          </w:p>
        </w:tc>
      </w:tr>
      <w:tr w:rsidR="009A47B9" w:rsidRPr="00BD16B4" w14:paraId="19674A2A" w14:textId="77777777" w:rsidTr="00B10948">
        <w:tc>
          <w:tcPr>
            <w:tcW w:w="1758" w:type="dxa"/>
          </w:tcPr>
          <w:p w14:paraId="0560EAC5" w14:textId="77777777" w:rsidR="009A47B9" w:rsidRPr="00BD16B4" w:rsidRDefault="009A47B9" w:rsidP="003D5A34">
            <w:pPr>
              <w:pStyle w:val="BodyText"/>
              <w:spacing w:before="50" w:after="50"/>
              <w:rPr>
                <w:rFonts w:cs="Calibri"/>
                <w:sz w:val="21"/>
                <w:szCs w:val="21"/>
              </w:rPr>
            </w:pPr>
            <w:r w:rsidRPr="00BD16B4">
              <w:rPr>
                <w:rFonts w:cs="Calibri"/>
                <w:sz w:val="21"/>
                <w:szCs w:val="21"/>
              </w:rPr>
              <w:t>MPI</w:t>
            </w:r>
          </w:p>
        </w:tc>
        <w:tc>
          <w:tcPr>
            <w:tcW w:w="6804" w:type="dxa"/>
          </w:tcPr>
          <w:p w14:paraId="721B3904" w14:textId="77777777" w:rsidR="009A47B9" w:rsidRPr="00BD16B4" w:rsidRDefault="009A47B9" w:rsidP="003D5A34">
            <w:pPr>
              <w:pStyle w:val="BodyText"/>
              <w:spacing w:before="50" w:after="50"/>
              <w:rPr>
                <w:rFonts w:cs="Calibri"/>
                <w:sz w:val="21"/>
                <w:szCs w:val="21"/>
                <w:lang w:eastAsia="en-GB"/>
              </w:rPr>
            </w:pPr>
            <w:r w:rsidRPr="00BD16B4">
              <w:rPr>
                <w:rFonts w:cs="Calibri"/>
                <w:sz w:val="21"/>
                <w:szCs w:val="21"/>
                <w:lang w:eastAsia="en-GB"/>
              </w:rPr>
              <w:t>Ministry for Primary Industries</w:t>
            </w:r>
          </w:p>
        </w:tc>
      </w:tr>
      <w:tr w:rsidR="009A47B9" w:rsidRPr="00BD16B4" w14:paraId="6780A29B" w14:textId="77777777" w:rsidTr="00B10948">
        <w:tc>
          <w:tcPr>
            <w:tcW w:w="1758" w:type="dxa"/>
          </w:tcPr>
          <w:p w14:paraId="2A94DC8A" w14:textId="77777777" w:rsidR="009A47B9" w:rsidRPr="00BD16B4" w:rsidRDefault="009A47B9" w:rsidP="003D5A34">
            <w:pPr>
              <w:pStyle w:val="BodyText"/>
              <w:spacing w:before="50" w:after="50"/>
              <w:rPr>
                <w:rFonts w:cs="Calibri"/>
                <w:sz w:val="21"/>
                <w:szCs w:val="21"/>
                <w:lang w:eastAsia="en-GB"/>
              </w:rPr>
            </w:pPr>
            <w:r w:rsidRPr="00BD16B4">
              <w:rPr>
                <w:rFonts w:cs="Calibri"/>
                <w:sz w:val="21"/>
                <w:szCs w:val="21"/>
                <w:lang w:eastAsia="en-GB"/>
              </w:rPr>
              <w:t>MWLR</w:t>
            </w:r>
          </w:p>
        </w:tc>
        <w:tc>
          <w:tcPr>
            <w:tcW w:w="6804" w:type="dxa"/>
          </w:tcPr>
          <w:p w14:paraId="2BDD6536" w14:textId="77777777" w:rsidR="009A47B9" w:rsidRPr="00BD16B4" w:rsidRDefault="009A47B9" w:rsidP="003D5A34">
            <w:pPr>
              <w:pStyle w:val="BodyText"/>
              <w:spacing w:before="50" w:after="50"/>
              <w:rPr>
                <w:rFonts w:cs="Calibri"/>
                <w:sz w:val="21"/>
                <w:szCs w:val="21"/>
                <w:lang w:eastAsia="en-GB"/>
              </w:rPr>
            </w:pPr>
            <w:r w:rsidRPr="00BD16B4">
              <w:rPr>
                <w:rFonts w:cs="Calibri"/>
                <w:sz w:val="21"/>
                <w:szCs w:val="21"/>
                <w:lang w:eastAsia="en-GB"/>
              </w:rPr>
              <w:t>Manaaki Whenua Landcare Research</w:t>
            </w:r>
          </w:p>
        </w:tc>
      </w:tr>
      <w:tr w:rsidR="009A47B9" w:rsidRPr="00BD16B4" w14:paraId="43A3704A" w14:textId="77777777" w:rsidTr="00B10948">
        <w:tc>
          <w:tcPr>
            <w:tcW w:w="1758" w:type="dxa"/>
          </w:tcPr>
          <w:p w14:paraId="4CEAF3EB" w14:textId="77777777" w:rsidR="009A47B9" w:rsidRPr="00BD16B4" w:rsidRDefault="009A47B9" w:rsidP="003D5A34">
            <w:pPr>
              <w:pStyle w:val="BodyText"/>
              <w:spacing w:before="50" w:after="50"/>
              <w:rPr>
                <w:rFonts w:cs="Calibri"/>
                <w:sz w:val="21"/>
                <w:szCs w:val="21"/>
              </w:rPr>
            </w:pPr>
            <w:r w:rsidRPr="00BD16B4">
              <w:rPr>
                <w:rFonts w:cs="Calibri"/>
                <w:sz w:val="21"/>
                <w:szCs w:val="21"/>
              </w:rPr>
              <w:t>N</w:t>
            </w:r>
            <w:r w:rsidRPr="00BD16B4">
              <w:rPr>
                <w:rFonts w:cs="Calibri"/>
                <w:sz w:val="21"/>
                <w:szCs w:val="21"/>
                <w:vertAlign w:val="subscript"/>
              </w:rPr>
              <w:t>2</w:t>
            </w:r>
            <w:r w:rsidRPr="00BD16B4">
              <w:rPr>
                <w:rFonts w:cs="Calibri"/>
                <w:sz w:val="21"/>
                <w:szCs w:val="21"/>
              </w:rPr>
              <w:t>O</w:t>
            </w:r>
          </w:p>
        </w:tc>
        <w:tc>
          <w:tcPr>
            <w:tcW w:w="6804" w:type="dxa"/>
          </w:tcPr>
          <w:p w14:paraId="6C9C4F84" w14:textId="77777777" w:rsidR="009A47B9" w:rsidRPr="00BD16B4" w:rsidRDefault="009A47B9" w:rsidP="003D5A34">
            <w:pPr>
              <w:pStyle w:val="BodyText"/>
              <w:spacing w:before="50" w:after="50"/>
              <w:rPr>
                <w:rFonts w:cs="Calibri"/>
                <w:sz w:val="21"/>
                <w:szCs w:val="21"/>
              </w:rPr>
            </w:pPr>
            <w:r w:rsidRPr="00BD16B4">
              <w:rPr>
                <w:rFonts w:cs="Calibri"/>
                <w:sz w:val="21"/>
                <w:szCs w:val="21"/>
              </w:rPr>
              <w:t>Nitrous oxide</w:t>
            </w:r>
          </w:p>
        </w:tc>
      </w:tr>
      <w:tr w:rsidR="009A47B9" w:rsidRPr="00BD16B4" w14:paraId="40E149E9" w14:textId="77777777" w:rsidTr="00B10948">
        <w:tc>
          <w:tcPr>
            <w:tcW w:w="1758" w:type="dxa"/>
          </w:tcPr>
          <w:p w14:paraId="7017B21A" w14:textId="77777777" w:rsidR="009A47B9" w:rsidRPr="00BD16B4" w:rsidRDefault="009A47B9" w:rsidP="003D5A34">
            <w:pPr>
              <w:pStyle w:val="BodyText"/>
              <w:spacing w:before="50" w:after="50"/>
              <w:rPr>
                <w:rFonts w:cs="Calibri"/>
                <w:sz w:val="21"/>
                <w:szCs w:val="21"/>
              </w:rPr>
            </w:pPr>
            <w:r w:rsidRPr="00BD16B4">
              <w:rPr>
                <w:rFonts w:cs="Calibri"/>
                <w:sz w:val="21"/>
                <w:szCs w:val="21"/>
              </w:rPr>
              <w:t>N-cap</w:t>
            </w:r>
          </w:p>
        </w:tc>
        <w:tc>
          <w:tcPr>
            <w:tcW w:w="6804" w:type="dxa"/>
          </w:tcPr>
          <w:p w14:paraId="58188CE0" w14:textId="77777777" w:rsidR="009A47B9" w:rsidRPr="00BD16B4" w:rsidRDefault="009A47B9" w:rsidP="003D5A34">
            <w:pPr>
              <w:pStyle w:val="BodyText"/>
              <w:spacing w:before="50" w:after="50"/>
              <w:rPr>
                <w:rFonts w:cs="Calibri"/>
                <w:sz w:val="21"/>
                <w:szCs w:val="21"/>
              </w:rPr>
            </w:pPr>
            <w:r w:rsidRPr="00BD16B4">
              <w:rPr>
                <w:rFonts w:cs="Calibri"/>
                <w:sz w:val="21"/>
                <w:szCs w:val="21"/>
              </w:rPr>
              <w:t>Synthetic nitrogen fertiliser cap regulation</w:t>
            </w:r>
          </w:p>
        </w:tc>
      </w:tr>
      <w:tr w:rsidR="009A47B9" w:rsidRPr="00BD16B4" w14:paraId="5746DEF9" w14:textId="77777777" w:rsidTr="00B10948">
        <w:tc>
          <w:tcPr>
            <w:tcW w:w="1758" w:type="dxa"/>
          </w:tcPr>
          <w:p w14:paraId="1DDD5600" w14:textId="77777777" w:rsidR="009A47B9" w:rsidRPr="00BD16B4" w:rsidRDefault="009A47B9" w:rsidP="003D5A34">
            <w:pPr>
              <w:pStyle w:val="BodyText"/>
              <w:spacing w:before="50" w:after="50"/>
              <w:rPr>
                <w:rFonts w:cs="Calibri"/>
                <w:sz w:val="21"/>
                <w:szCs w:val="21"/>
              </w:rPr>
            </w:pPr>
            <w:r w:rsidRPr="00BD16B4">
              <w:rPr>
                <w:rFonts w:cs="Calibri"/>
                <w:sz w:val="21"/>
                <w:szCs w:val="21"/>
              </w:rPr>
              <w:t>NCCRA</w:t>
            </w:r>
          </w:p>
        </w:tc>
        <w:tc>
          <w:tcPr>
            <w:tcW w:w="6804" w:type="dxa"/>
          </w:tcPr>
          <w:p w14:paraId="4F38F61F" w14:textId="77777777" w:rsidR="009A47B9" w:rsidRPr="00BD16B4" w:rsidRDefault="009A47B9" w:rsidP="003D5A34">
            <w:pPr>
              <w:pStyle w:val="BodyText"/>
              <w:spacing w:before="50" w:after="50"/>
              <w:rPr>
                <w:rFonts w:cs="Calibri"/>
                <w:sz w:val="21"/>
                <w:szCs w:val="21"/>
              </w:rPr>
            </w:pPr>
            <w:r w:rsidRPr="00BD16B4">
              <w:rPr>
                <w:rFonts w:cs="Calibri"/>
                <w:sz w:val="21"/>
                <w:szCs w:val="21"/>
              </w:rPr>
              <w:t>National Climate Change Risk Assessment</w:t>
            </w:r>
          </w:p>
        </w:tc>
      </w:tr>
      <w:tr w:rsidR="009A47B9" w:rsidRPr="00BD16B4" w14:paraId="2E2DB22E" w14:textId="77777777" w:rsidTr="00B10948">
        <w:tc>
          <w:tcPr>
            <w:tcW w:w="1758" w:type="dxa"/>
          </w:tcPr>
          <w:p w14:paraId="54E4DCE2"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NDC </w:t>
            </w:r>
          </w:p>
        </w:tc>
        <w:tc>
          <w:tcPr>
            <w:tcW w:w="6804" w:type="dxa"/>
          </w:tcPr>
          <w:p w14:paraId="6AFAAF8D" w14:textId="77777777" w:rsidR="009A47B9" w:rsidRPr="00BD16B4" w:rsidRDefault="009A47B9" w:rsidP="003D5A34">
            <w:pPr>
              <w:pStyle w:val="BodyText"/>
              <w:spacing w:before="50" w:after="50"/>
              <w:rPr>
                <w:rFonts w:cs="Calibri"/>
                <w:sz w:val="21"/>
                <w:szCs w:val="21"/>
              </w:rPr>
            </w:pPr>
            <w:r w:rsidRPr="00BD16B4">
              <w:rPr>
                <w:rFonts w:cs="Calibri"/>
                <w:sz w:val="21"/>
                <w:szCs w:val="21"/>
              </w:rPr>
              <w:t>Nationally Determined Contribution</w:t>
            </w:r>
          </w:p>
        </w:tc>
      </w:tr>
      <w:tr w:rsidR="009A47B9" w:rsidRPr="00BD16B4" w14:paraId="4F32ED89" w14:textId="77777777" w:rsidTr="00B10948">
        <w:tc>
          <w:tcPr>
            <w:tcW w:w="1758" w:type="dxa"/>
          </w:tcPr>
          <w:p w14:paraId="2A194F3A" w14:textId="77777777" w:rsidR="009A47B9" w:rsidRPr="00BD16B4" w:rsidRDefault="009A47B9" w:rsidP="003D5A34">
            <w:pPr>
              <w:pStyle w:val="BodyText"/>
              <w:spacing w:before="50" w:after="50"/>
              <w:rPr>
                <w:rFonts w:cs="Calibri"/>
                <w:sz w:val="21"/>
                <w:szCs w:val="21"/>
              </w:rPr>
            </w:pPr>
            <w:r w:rsidRPr="00BD16B4">
              <w:rPr>
                <w:rFonts w:cs="Calibri"/>
                <w:sz w:val="21"/>
                <w:szCs w:val="21"/>
              </w:rPr>
              <w:t>NDC1</w:t>
            </w:r>
          </w:p>
        </w:tc>
        <w:tc>
          <w:tcPr>
            <w:tcW w:w="6804" w:type="dxa"/>
          </w:tcPr>
          <w:p w14:paraId="2801269C" w14:textId="77777777" w:rsidR="009A47B9" w:rsidRPr="00BD16B4" w:rsidRDefault="009A47B9" w:rsidP="003D5A34">
            <w:pPr>
              <w:pStyle w:val="BodyText"/>
              <w:spacing w:before="50" w:after="50"/>
              <w:rPr>
                <w:rFonts w:cs="Calibri"/>
                <w:sz w:val="21"/>
                <w:szCs w:val="21"/>
              </w:rPr>
            </w:pPr>
            <w:r w:rsidRPr="00BD16B4">
              <w:rPr>
                <w:rFonts w:cs="Calibri"/>
                <w:sz w:val="21"/>
                <w:szCs w:val="21"/>
              </w:rPr>
              <w:t>New Zealand’s first Nationally Determined Contribution</w:t>
            </w:r>
          </w:p>
        </w:tc>
      </w:tr>
      <w:tr w:rsidR="009A47B9" w:rsidRPr="00BD16B4" w14:paraId="457AF53D" w14:textId="77777777" w:rsidTr="00B10948">
        <w:tc>
          <w:tcPr>
            <w:tcW w:w="1758" w:type="dxa"/>
          </w:tcPr>
          <w:p w14:paraId="6FCF89D1" w14:textId="77777777" w:rsidR="009A47B9" w:rsidRPr="00BD16B4" w:rsidRDefault="009A47B9" w:rsidP="003D5A34">
            <w:pPr>
              <w:pStyle w:val="BodyText"/>
              <w:spacing w:before="50" w:after="50"/>
              <w:rPr>
                <w:rFonts w:cs="Calibri"/>
                <w:sz w:val="21"/>
                <w:szCs w:val="21"/>
              </w:rPr>
            </w:pPr>
            <w:r w:rsidRPr="00BD16B4">
              <w:rPr>
                <w:rFonts w:cs="Calibri"/>
                <w:sz w:val="21"/>
                <w:szCs w:val="21"/>
              </w:rPr>
              <w:t>NEMS</w:t>
            </w:r>
          </w:p>
        </w:tc>
        <w:tc>
          <w:tcPr>
            <w:tcW w:w="6804" w:type="dxa"/>
          </w:tcPr>
          <w:p w14:paraId="07E70A18" w14:textId="77777777" w:rsidR="009A47B9" w:rsidRPr="00BD16B4" w:rsidRDefault="009A47B9" w:rsidP="003D5A34">
            <w:pPr>
              <w:pStyle w:val="BodyText"/>
              <w:spacing w:before="50" w:after="50"/>
              <w:rPr>
                <w:rFonts w:cs="Calibri"/>
                <w:sz w:val="21"/>
                <w:szCs w:val="21"/>
              </w:rPr>
            </w:pPr>
            <w:r w:rsidRPr="00BD16B4">
              <w:rPr>
                <w:rFonts w:cs="Calibri"/>
                <w:sz w:val="21"/>
                <w:szCs w:val="21"/>
              </w:rPr>
              <w:t>National Environmental Monitoring Standards</w:t>
            </w:r>
          </w:p>
        </w:tc>
      </w:tr>
      <w:tr w:rsidR="009A47B9" w:rsidRPr="00BD16B4" w14:paraId="1CE665A4" w14:textId="77777777" w:rsidTr="00B10948">
        <w:tc>
          <w:tcPr>
            <w:tcW w:w="1758" w:type="dxa"/>
          </w:tcPr>
          <w:p w14:paraId="191EF9AF" w14:textId="77777777" w:rsidR="009A47B9" w:rsidRPr="00BD16B4" w:rsidRDefault="009A47B9" w:rsidP="003D5A34">
            <w:pPr>
              <w:pStyle w:val="BodyText"/>
              <w:spacing w:before="50" w:after="50"/>
              <w:rPr>
                <w:rFonts w:cs="Calibri"/>
                <w:sz w:val="21"/>
                <w:szCs w:val="21"/>
              </w:rPr>
            </w:pPr>
            <w:r w:rsidRPr="00BD16B4">
              <w:rPr>
                <w:rFonts w:cs="Calibri"/>
                <w:sz w:val="21"/>
                <w:szCs w:val="21"/>
              </w:rPr>
              <w:t>NGMP</w:t>
            </w:r>
          </w:p>
        </w:tc>
        <w:tc>
          <w:tcPr>
            <w:tcW w:w="6804" w:type="dxa"/>
          </w:tcPr>
          <w:p w14:paraId="545D5DDA" w14:textId="77777777" w:rsidR="009A47B9" w:rsidRPr="00BD16B4" w:rsidRDefault="009A47B9" w:rsidP="003D5A34">
            <w:pPr>
              <w:pStyle w:val="BodyText"/>
              <w:spacing w:before="50" w:after="50"/>
              <w:rPr>
                <w:rFonts w:cs="Calibri"/>
                <w:sz w:val="21"/>
                <w:szCs w:val="21"/>
              </w:rPr>
            </w:pPr>
            <w:r w:rsidRPr="00BD16B4">
              <w:rPr>
                <w:rFonts w:cs="Calibri"/>
                <w:sz w:val="21"/>
                <w:szCs w:val="21"/>
              </w:rPr>
              <w:t>National Groundwater Monitoring Programme</w:t>
            </w:r>
          </w:p>
        </w:tc>
      </w:tr>
      <w:tr w:rsidR="009A47B9" w:rsidRPr="00BD16B4" w14:paraId="1FF579A6" w14:textId="77777777" w:rsidTr="00B10948">
        <w:tc>
          <w:tcPr>
            <w:tcW w:w="1758" w:type="dxa"/>
          </w:tcPr>
          <w:p w14:paraId="4DD5F834"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NIWA </w:t>
            </w:r>
          </w:p>
        </w:tc>
        <w:tc>
          <w:tcPr>
            <w:tcW w:w="6804" w:type="dxa"/>
          </w:tcPr>
          <w:p w14:paraId="249FC280" w14:textId="77777777" w:rsidR="009A47B9" w:rsidRPr="00BD16B4" w:rsidRDefault="009A47B9" w:rsidP="003D5A34">
            <w:pPr>
              <w:pStyle w:val="BodyText"/>
              <w:spacing w:before="50" w:after="50"/>
              <w:rPr>
                <w:rFonts w:cs="Calibri"/>
                <w:sz w:val="21"/>
                <w:szCs w:val="21"/>
              </w:rPr>
            </w:pPr>
            <w:r w:rsidRPr="00BD16B4">
              <w:rPr>
                <w:rFonts w:cs="Calibri"/>
                <w:sz w:val="21"/>
                <w:szCs w:val="21"/>
              </w:rPr>
              <w:t>National Institute of Water and Atmospheric Research</w:t>
            </w:r>
          </w:p>
        </w:tc>
      </w:tr>
      <w:tr w:rsidR="009A47B9" w:rsidRPr="00BD16B4" w14:paraId="46ED67C7" w14:textId="77777777" w:rsidTr="00B10948">
        <w:tc>
          <w:tcPr>
            <w:tcW w:w="1758" w:type="dxa"/>
          </w:tcPr>
          <w:p w14:paraId="2748A448" w14:textId="77777777" w:rsidR="009A47B9" w:rsidRPr="00BD16B4" w:rsidRDefault="009A47B9" w:rsidP="003D5A34">
            <w:pPr>
              <w:pStyle w:val="BodyText"/>
              <w:spacing w:before="50" w:after="50"/>
              <w:rPr>
                <w:rFonts w:cs="Calibri"/>
                <w:sz w:val="21"/>
                <w:szCs w:val="21"/>
              </w:rPr>
            </w:pPr>
            <w:r w:rsidRPr="00BD16B4">
              <w:rPr>
                <w:rFonts w:cs="Calibri"/>
                <w:sz w:val="21"/>
                <w:szCs w:val="21"/>
              </w:rPr>
              <w:t>NOAA</w:t>
            </w:r>
          </w:p>
        </w:tc>
        <w:tc>
          <w:tcPr>
            <w:tcW w:w="6804" w:type="dxa"/>
          </w:tcPr>
          <w:p w14:paraId="28D322DE" w14:textId="77777777" w:rsidR="009A47B9" w:rsidRPr="00BD16B4" w:rsidRDefault="009A47B9" w:rsidP="003D5A34">
            <w:pPr>
              <w:pStyle w:val="BodyText"/>
              <w:spacing w:before="50" w:after="50"/>
              <w:rPr>
                <w:rFonts w:cs="Calibri"/>
                <w:sz w:val="21"/>
                <w:szCs w:val="21"/>
              </w:rPr>
            </w:pPr>
            <w:r w:rsidRPr="00BD16B4">
              <w:rPr>
                <w:rFonts w:cs="Calibri"/>
                <w:sz w:val="21"/>
                <w:szCs w:val="21"/>
              </w:rPr>
              <w:t>National Oceanic and Atmospheric Administration</w:t>
            </w:r>
          </w:p>
        </w:tc>
      </w:tr>
      <w:tr w:rsidR="009A47B9" w:rsidRPr="00BD16B4" w14:paraId="0A7F60D4" w14:textId="77777777" w:rsidTr="00B10948">
        <w:tc>
          <w:tcPr>
            <w:tcW w:w="1758" w:type="dxa"/>
          </w:tcPr>
          <w:p w14:paraId="1CB321ED" w14:textId="77777777" w:rsidR="009A47B9" w:rsidRPr="00BD16B4" w:rsidRDefault="009A47B9" w:rsidP="003D5A34">
            <w:pPr>
              <w:pStyle w:val="BodyText"/>
              <w:spacing w:before="50" w:after="50"/>
              <w:rPr>
                <w:rFonts w:cs="Calibri"/>
                <w:sz w:val="21"/>
                <w:szCs w:val="21"/>
              </w:rPr>
            </w:pPr>
            <w:r w:rsidRPr="00BD16B4">
              <w:rPr>
                <w:rFonts w:cs="Calibri"/>
                <w:sz w:val="21"/>
                <w:szCs w:val="21"/>
              </w:rPr>
              <w:t>NZ ETS</w:t>
            </w:r>
          </w:p>
        </w:tc>
        <w:tc>
          <w:tcPr>
            <w:tcW w:w="6804" w:type="dxa"/>
          </w:tcPr>
          <w:p w14:paraId="1F293267" w14:textId="77777777" w:rsidR="009A47B9" w:rsidRPr="00BD16B4" w:rsidRDefault="009A47B9" w:rsidP="003D5A34">
            <w:pPr>
              <w:pStyle w:val="BodyText"/>
              <w:spacing w:before="50" w:after="50"/>
              <w:rPr>
                <w:rFonts w:cs="Calibri"/>
                <w:sz w:val="21"/>
                <w:szCs w:val="21"/>
              </w:rPr>
            </w:pPr>
            <w:r w:rsidRPr="00BD16B4">
              <w:rPr>
                <w:rFonts w:cs="Calibri"/>
                <w:sz w:val="21"/>
                <w:szCs w:val="21"/>
              </w:rPr>
              <w:t>New Zealand Emissions Trading Scheme</w:t>
            </w:r>
          </w:p>
        </w:tc>
      </w:tr>
      <w:tr w:rsidR="009A47B9" w:rsidRPr="00BD16B4" w14:paraId="08C6FA03" w14:textId="77777777" w:rsidTr="00B10948">
        <w:tc>
          <w:tcPr>
            <w:tcW w:w="1758" w:type="dxa"/>
          </w:tcPr>
          <w:p w14:paraId="53B25C76"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NZAGRC </w:t>
            </w:r>
          </w:p>
        </w:tc>
        <w:tc>
          <w:tcPr>
            <w:tcW w:w="6804" w:type="dxa"/>
          </w:tcPr>
          <w:p w14:paraId="7C920496" w14:textId="77777777" w:rsidR="009A47B9" w:rsidRPr="00BD16B4" w:rsidRDefault="009A47B9" w:rsidP="003D5A34">
            <w:pPr>
              <w:pStyle w:val="BodyText"/>
              <w:spacing w:before="50" w:after="50"/>
              <w:rPr>
                <w:rFonts w:cs="Calibri"/>
                <w:sz w:val="21"/>
                <w:szCs w:val="21"/>
              </w:rPr>
            </w:pPr>
            <w:r w:rsidRPr="00BD16B4">
              <w:rPr>
                <w:rFonts w:cs="Calibri"/>
                <w:sz w:val="21"/>
                <w:szCs w:val="21"/>
              </w:rPr>
              <w:t>New Zealand Agricultural Greenhouse Gas Research Centre</w:t>
            </w:r>
          </w:p>
        </w:tc>
      </w:tr>
      <w:tr w:rsidR="009A47B9" w:rsidRPr="00BD16B4" w14:paraId="4FD1177A" w14:textId="77777777" w:rsidTr="00B10948">
        <w:tc>
          <w:tcPr>
            <w:tcW w:w="1758" w:type="dxa"/>
          </w:tcPr>
          <w:p w14:paraId="547200F5" w14:textId="77777777" w:rsidR="009A47B9" w:rsidRPr="00BD16B4" w:rsidRDefault="009A47B9" w:rsidP="003D5A34">
            <w:pPr>
              <w:pStyle w:val="BodyText"/>
              <w:spacing w:before="50" w:after="50"/>
              <w:rPr>
                <w:rFonts w:cs="Calibri"/>
                <w:sz w:val="21"/>
                <w:szCs w:val="21"/>
              </w:rPr>
            </w:pPr>
            <w:r w:rsidRPr="00BD16B4">
              <w:rPr>
                <w:rFonts w:cs="Calibri"/>
                <w:sz w:val="21"/>
                <w:szCs w:val="21"/>
              </w:rPr>
              <w:t>NZGIF</w:t>
            </w:r>
          </w:p>
        </w:tc>
        <w:tc>
          <w:tcPr>
            <w:tcW w:w="6804" w:type="dxa"/>
          </w:tcPr>
          <w:p w14:paraId="349B95DD" w14:textId="77777777" w:rsidR="009A47B9" w:rsidRPr="00BD16B4" w:rsidRDefault="009A47B9" w:rsidP="003D5A34">
            <w:pPr>
              <w:pStyle w:val="BodyText"/>
              <w:spacing w:before="50" w:after="50"/>
              <w:rPr>
                <w:rFonts w:cs="Calibri"/>
                <w:sz w:val="21"/>
                <w:szCs w:val="21"/>
              </w:rPr>
            </w:pPr>
            <w:r w:rsidRPr="00BD16B4">
              <w:rPr>
                <w:rFonts w:cs="Calibri"/>
                <w:sz w:val="21"/>
                <w:szCs w:val="21"/>
              </w:rPr>
              <w:t>New Zealand Green Investment Finance</w:t>
            </w:r>
          </w:p>
        </w:tc>
      </w:tr>
      <w:tr w:rsidR="009A47B9" w:rsidRPr="00BD16B4" w14:paraId="2DB4D4C4" w14:textId="77777777" w:rsidTr="00B10948">
        <w:tc>
          <w:tcPr>
            <w:tcW w:w="1758" w:type="dxa"/>
          </w:tcPr>
          <w:p w14:paraId="237E7525" w14:textId="77777777" w:rsidR="009A47B9" w:rsidRPr="00BD16B4" w:rsidRDefault="009A47B9" w:rsidP="003D5A34">
            <w:pPr>
              <w:pStyle w:val="BodyText"/>
              <w:spacing w:before="50" w:after="50"/>
              <w:rPr>
                <w:rFonts w:cs="Calibri"/>
                <w:sz w:val="21"/>
                <w:szCs w:val="21"/>
              </w:rPr>
            </w:pPr>
            <w:r w:rsidRPr="00BD16B4">
              <w:rPr>
                <w:rFonts w:cs="Calibri"/>
                <w:sz w:val="21"/>
                <w:szCs w:val="21"/>
              </w:rPr>
              <w:t>ODA</w:t>
            </w:r>
          </w:p>
        </w:tc>
        <w:tc>
          <w:tcPr>
            <w:tcW w:w="6804" w:type="dxa"/>
          </w:tcPr>
          <w:p w14:paraId="4560CD67" w14:textId="77777777" w:rsidR="009A47B9" w:rsidRPr="00BD16B4" w:rsidRDefault="009A47B9" w:rsidP="003D5A34">
            <w:pPr>
              <w:pStyle w:val="BodyText"/>
              <w:spacing w:before="50" w:after="50"/>
              <w:rPr>
                <w:rFonts w:cs="Calibri"/>
                <w:sz w:val="21"/>
                <w:szCs w:val="21"/>
              </w:rPr>
            </w:pPr>
            <w:r w:rsidRPr="00BD16B4">
              <w:rPr>
                <w:rFonts w:cs="Calibri"/>
                <w:sz w:val="21"/>
                <w:szCs w:val="21"/>
              </w:rPr>
              <w:t>Official Development Assistance</w:t>
            </w:r>
          </w:p>
        </w:tc>
      </w:tr>
      <w:tr w:rsidR="009A47B9" w:rsidRPr="00BD16B4" w14:paraId="557FF8F9" w14:textId="77777777" w:rsidTr="00B10948">
        <w:tc>
          <w:tcPr>
            <w:tcW w:w="1758" w:type="dxa"/>
          </w:tcPr>
          <w:p w14:paraId="0D532FB5"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ODS </w:t>
            </w:r>
          </w:p>
        </w:tc>
        <w:tc>
          <w:tcPr>
            <w:tcW w:w="6804" w:type="dxa"/>
          </w:tcPr>
          <w:p w14:paraId="4B59F7B0" w14:textId="77777777" w:rsidR="009A47B9" w:rsidRPr="00BD16B4" w:rsidRDefault="009A47B9" w:rsidP="003D5A34">
            <w:pPr>
              <w:pStyle w:val="BodyText"/>
              <w:spacing w:before="50" w:after="50"/>
              <w:rPr>
                <w:rFonts w:cs="Calibri"/>
                <w:sz w:val="21"/>
                <w:szCs w:val="21"/>
              </w:rPr>
            </w:pPr>
            <w:r w:rsidRPr="00BD16B4">
              <w:rPr>
                <w:rFonts w:cs="Calibri"/>
                <w:sz w:val="21"/>
                <w:szCs w:val="21"/>
              </w:rPr>
              <w:t>Ozone depleting substances</w:t>
            </w:r>
          </w:p>
        </w:tc>
      </w:tr>
      <w:tr w:rsidR="009A47B9" w:rsidRPr="00BD16B4" w14:paraId="459F06D7" w14:textId="77777777" w:rsidTr="00B10948">
        <w:tc>
          <w:tcPr>
            <w:tcW w:w="1758" w:type="dxa"/>
          </w:tcPr>
          <w:p w14:paraId="297F40B9" w14:textId="77777777" w:rsidR="009A47B9" w:rsidRPr="00BD16B4" w:rsidRDefault="009A47B9" w:rsidP="003D5A34">
            <w:pPr>
              <w:pStyle w:val="BodyText"/>
              <w:spacing w:before="50" w:after="50"/>
              <w:rPr>
                <w:rFonts w:cs="Calibri"/>
                <w:sz w:val="21"/>
                <w:szCs w:val="21"/>
              </w:rPr>
            </w:pPr>
            <w:r w:rsidRPr="00BD16B4">
              <w:rPr>
                <w:rFonts w:cs="Calibri"/>
                <w:sz w:val="21"/>
                <w:szCs w:val="21"/>
              </w:rPr>
              <w:t>OECD</w:t>
            </w:r>
          </w:p>
        </w:tc>
        <w:tc>
          <w:tcPr>
            <w:tcW w:w="6804" w:type="dxa"/>
          </w:tcPr>
          <w:p w14:paraId="11E2D200" w14:textId="77777777" w:rsidR="009A47B9" w:rsidRPr="00BD16B4" w:rsidRDefault="009A47B9" w:rsidP="003D5A34">
            <w:pPr>
              <w:pStyle w:val="BodyText"/>
              <w:spacing w:before="50" w:after="50"/>
              <w:rPr>
                <w:rFonts w:cs="Calibri"/>
                <w:sz w:val="21"/>
                <w:szCs w:val="21"/>
              </w:rPr>
            </w:pPr>
            <w:r w:rsidRPr="00BD16B4">
              <w:rPr>
                <w:rFonts w:cs="Calibri"/>
                <w:sz w:val="21"/>
                <w:szCs w:val="21"/>
              </w:rPr>
              <w:t>Organisation for Economic Co-operation and Development</w:t>
            </w:r>
          </w:p>
        </w:tc>
      </w:tr>
      <w:tr w:rsidR="009A47B9" w:rsidRPr="00BD16B4" w14:paraId="2820A855" w14:textId="77777777" w:rsidTr="00B10948">
        <w:tc>
          <w:tcPr>
            <w:tcW w:w="1758" w:type="dxa"/>
          </w:tcPr>
          <w:p w14:paraId="00D652D5" w14:textId="77777777" w:rsidR="009A47B9" w:rsidRPr="00BD16B4" w:rsidRDefault="009A47B9" w:rsidP="003D5A34">
            <w:pPr>
              <w:pStyle w:val="BodyText"/>
              <w:spacing w:before="50" w:after="50"/>
              <w:rPr>
                <w:rFonts w:cs="Calibri"/>
                <w:sz w:val="21"/>
                <w:szCs w:val="21"/>
              </w:rPr>
            </w:pPr>
            <w:r w:rsidRPr="00BD16B4">
              <w:rPr>
                <w:rFonts w:cs="Calibri"/>
                <w:sz w:val="21"/>
                <w:szCs w:val="21"/>
              </w:rPr>
              <w:t>PAGES</w:t>
            </w:r>
          </w:p>
        </w:tc>
        <w:tc>
          <w:tcPr>
            <w:tcW w:w="6804" w:type="dxa"/>
          </w:tcPr>
          <w:p w14:paraId="393457FF" w14:textId="77777777" w:rsidR="009A47B9" w:rsidRPr="00BD16B4" w:rsidRDefault="009A47B9" w:rsidP="003D5A34">
            <w:pPr>
              <w:pStyle w:val="BodyText"/>
              <w:spacing w:before="50" w:after="50"/>
              <w:rPr>
                <w:rFonts w:cs="Calibri"/>
                <w:sz w:val="21"/>
                <w:szCs w:val="21"/>
              </w:rPr>
            </w:pPr>
            <w:r w:rsidRPr="00BD16B4">
              <w:rPr>
                <w:rFonts w:cs="Calibri"/>
                <w:sz w:val="21"/>
                <w:szCs w:val="21"/>
              </w:rPr>
              <w:t>Past Global Changes</w:t>
            </w:r>
          </w:p>
        </w:tc>
      </w:tr>
      <w:tr w:rsidR="009A47B9" w:rsidRPr="00BD16B4" w14:paraId="0FE605BE" w14:textId="77777777" w:rsidTr="00B10948">
        <w:tc>
          <w:tcPr>
            <w:tcW w:w="1758" w:type="dxa"/>
          </w:tcPr>
          <w:p w14:paraId="07E689E4" w14:textId="77777777" w:rsidR="009A47B9" w:rsidRPr="00BD16B4" w:rsidRDefault="009A47B9" w:rsidP="003D5A34">
            <w:pPr>
              <w:pStyle w:val="BodyText"/>
              <w:spacing w:before="50" w:after="50"/>
              <w:rPr>
                <w:rFonts w:cs="Calibri"/>
                <w:sz w:val="21"/>
                <w:szCs w:val="21"/>
              </w:rPr>
            </w:pPr>
            <w:r w:rsidRPr="00BD16B4">
              <w:rPr>
                <w:rFonts w:cs="Calibri"/>
                <w:sz w:val="21"/>
                <w:szCs w:val="21"/>
              </w:rPr>
              <w:t>pCO</w:t>
            </w:r>
            <w:r w:rsidRPr="00BD16B4">
              <w:rPr>
                <w:rFonts w:cs="Calibri"/>
                <w:sz w:val="21"/>
                <w:szCs w:val="21"/>
                <w:vertAlign w:val="subscript"/>
              </w:rPr>
              <w:t>2</w:t>
            </w:r>
          </w:p>
        </w:tc>
        <w:tc>
          <w:tcPr>
            <w:tcW w:w="6804" w:type="dxa"/>
          </w:tcPr>
          <w:p w14:paraId="3244AE78" w14:textId="77777777" w:rsidR="009A47B9" w:rsidRPr="00BD16B4" w:rsidRDefault="009A47B9" w:rsidP="003D5A34">
            <w:pPr>
              <w:pStyle w:val="BodyText"/>
              <w:spacing w:before="50" w:after="50"/>
              <w:rPr>
                <w:rFonts w:cs="Calibri"/>
                <w:sz w:val="21"/>
                <w:szCs w:val="21"/>
              </w:rPr>
            </w:pPr>
            <w:r w:rsidRPr="00BD16B4">
              <w:rPr>
                <w:rFonts w:cs="Calibri"/>
                <w:sz w:val="21"/>
                <w:szCs w:val="21"/>
              </w:rPr>
              <w:t>Partial pressure of CO</w:t>
            </w:r>
            <w:r w:rsidRPr="00BD16B4">
              <w:rPr>
                <w:rFonts w:cs="Calibri"/>
                <w:sz w:val="21"/>
                <w:szCs w:val="21"/>
                <w:vertAlign w:val="subscript"/>
              </w:rPr>
              <w:t>2</w:t>
            </w:r>
          </w:p>
        </w:tc>
      </w:tr>
      <w:tr w:rsidR="009A47B9" w:rsidRPr="00BD16B4" w14:paraId="046F5D5D" w14:textId="77777777" w:rsidTr="00B10948">
        <w:tc>
          <w:tcPr>
            <w:tcW w:w="1758" w:type="dxa"/>
          </w:tcPr>
          <w:p w14:paraId="0676FCD4" w14:textId="77777777" w:rsidR="009A47B9" w:rsidRPr="00BD16B4" w:rsidRDefault="009A47B9" w:rsidP="003D5A34">
            <w:pPr>
              <w:pStyle w:val="BodyText"/>
              <w:spacing w:before="50" w:after="50"/>
              <w:rPr>
                <w:rFonts w:cs="Calibri"/>
                <w:sz w:val="21"/>
                <w:szCs w:val="21"/>
              </w:rPr>
            </w:pPr>
            <w:r w:rsidRPr="00BD16B4">
              <w:rPr>
                <w:rFonts w:cs="Calibri"/>
                <w:sz w:val="21"/>
                <w:szCs w:val="21"/>
              </w:rPr>
              <w:t>PFCs</w:t>
            </w:r>
          </w:p>
        </w:tc>
        <w:tc>
          <w:tcPr>
            <w:tcW w:w="6804" w:type="dxa"/>
          </w:tcPr>
          <w:p w14:paraId="1DCE0A57" w14:textId="77777777" w:rsidR="009A47B9" w:rsidRPr="00BD16B4" w:rsidRDefault="009A47B9" w:rsidP="003D5A34">
            <w:pPr>
              <w:pStyle w:val="BodyText"/>
              <w:spacing w:before="50" w:after="50"/>
              <w:rPr>
                <w:rFonts w:cs="Calibri"/>
                <w:sz w:val="21"/>
                <w:szCs w:val="21"/>
              </w:rPr>
            </w:pPr>
            <w:r w:rsidRPr="00BD16B4">
              <w:rPr>
                <w:rFonts w:cs="Calibri"/>
                <w:sz w:val="21"/>
                <w:szCs w:val="21"/>
              </w:rPr>
              <w:t>Perfluorocarbons</w:t>
            </w:r>
          </w:p>
        </w:tc>
      </w:tr>
      <w:tr w:rsidR="009A47B9" w:rsidRPr="00BD16B4" w14:paraId="7D164A58" w14:textId="77777777" w:rsidTr="00B10948">
        <w:tc>
          <w:tcPr>
            <w:tcW w:w="1758" w:type="dxa"/>
          </w:tcPr>
          <w:p w14:paraId="3F5D5D47" w14:textId="77777777" w:rsidR="009A47B9" w:rsidRPr="00BD16B4" w:rsidRDefault="009A47B9" w:rsidP="003D5A34">
            <w:pPr>
              <w:pStyle w:val="BodyText"/>
              <w:spacing w:before="50" w:after="50"/>
              <w:rPr>
                <w:rFonts w:cs="Calibri"/>
                <w:sz w:val="21"/>
                <w:szCs w:val="21"/>
              </w:rPr>
            </w:pPr>
            <w:r w:rsidRPr="00BD16B4">
              <w:rPr>
                <w:rFonts w:cs="Calibri"/>
                <w:sz w:val="21"/>
                <w:szCs w:val="21"/>
              </w:rPr>
              <w:t>PFSI</w:t>
            </w:r>
          </w:p>
        </w:tc>
        <w:tc>
          <w:tcPr>
            <w:tcW w:w="6804" w:type="dxa"/>
          </w:tcPr>
          <w:p w14:paraId="7BD031E0" w14:textId="77777777" w:rsidR="009A47B9" w:rsidRPr="00BD16B4" w:rsidRDefault="009A47B9" w:rsidP="003D5A34">
            <w:pPr>
              <w:pStyle w:val="BodyText"/>
              <w:spacing w:before="50" w:after="50"/>
              <w:rPr>
                <w:rFonts w:cs="Calibri"/>
                <w:sz w:val="21"/>
                <w:szCs w:val="21"/>
              </w:rPr>
            </w:pPr>
            <w:r w:rsidRPr="00BD16B4">
              <w:rPr>
                <w:rFonts w:cs="Calibri"/>
                <w:sz w:val="21"/>
                <w:szCs w:val="21"/>
              </w:rPr>
              <w:t>Permanent Forest Sink Initiative</w:t>
            </w:r>
          </w:p>
        </w:tc>
      </w:tr>
      <w:tr w:rsidR="009A47B9" w:rsidRPr="00BD16B4" w14:paraId="19496782" w14:textId="77777777" w:rsidTr="00B10948">
        <w:tc>
          <w:tcPr>
            <w:tcW w:w="1758" w:type="dxa"/>
          </w:tcPr>
          <w:p w14:paraId="5B2F086E" w14:textId="77777777" w:rsidR="009A47B9" w:rsidRPr="00BD16B4" w:rsidRDefault="009A47B9" w:rsidP="003D5A34">
            <w:pPr>
              <w:pStyle w:val="BodyText"/>
              <w:spacing w:before="50" w:after="50"/>
              <w:rPr>
                <w:rFonts w:cs="Calibri"/>
                <w:sz w:val="21"/>
                <w:szCs w:val="21"/>
                <w:lang w:eastAsia="en-GB"/>
              </w:rPr>
            </w:pPr>
            <w:r w:rsidRPr="00BD16B4">
              <w:rPr>
                <w:rFonts w:cs="Calibri"/>
                <w:sz w:val="21"/>
                <w:szCs w:val="21"/>
                <w:lang w:eastAsia="en-GB"/>
              </w:rPr>
              <w:t>PGgRc</w:t>
            </w:r>
          </w:p>
        </w:tc>
        <w:tc>
          <w:tcPr>
            <w:tcW w:w="6804" w:type="dxa"/>
          </w:tcPr>
          <w:p w14:paraId="3663448B" w14:textId="77777777" w:rsidR="009A47B9" w:rsidRPr="00BD16B4" w:rsidRDefault="009A47B9" w:rsidP="003D5A34">
            <w:pPr>
              <w:pStyle w:val="BodyText"/>
              <w:spacing w:before="50" w:after="50"/>
              <w:rPr>
                <w:rFonts w:cs="Calibri"/>
                <w:sz w:val="21"/>
                <w:szCs w:val="21"/>
                <w:lang w:eastAsia="en-GB"/>
              </w:rPr>
            </w:pPr>
            <w:r w:rsidRPr="00BD16B4">
              <w:rPr>
                <w:rFonts w:cs="Calibri"/>
                <w:sz w:val="21"/>
                <w:szCs w:val="21"/>
                <w:lang w:eastAsia="en-GB"/>
              </w:rPr>
              <w:t>Pastoral Greenhouse Gas Research Consortium</w:t>
            </w:r>
          </w:p>
        </w:tc>
      </w:tr>
      <w:tr w:rsidR="009A47B9" w:rsidRPr="00BD16B4" w14:paraId="21E2F546" w14:textId="77777777" w:rsidTr="00B10948">
        <w:tc>
          <w:tcPr>
            <w:tcW w:w="1758" w:type="dxa"/>
          </w:tcPr>
          <w:p w14:paraId="3014A5FE" w14:textId="77777777" w:rsidR="009A47B9" w:rsidRPr="00BD16B4" w:rsidRDefault="009A47B9" w:rsidP="003D5A34">
            <w:pPr>
              <w:pStyle w:val="BodyText"/>
              <w:spacing w:before="50" w:after="50"/>
              <w:rPr>
                <w:rFonts w:cs="Calibri"/>
                <w:sz w:val="21"/>
                <w:szCs w:val="21"/>
              </w:rPr>
            </w:pPr>
            <w:r w:rsidRPr="00BD16B4">
              <w:rPr>
                <w:rFonts w:cs="Calibri"/>
                <w:sz w:val="21"/>
                <w:szCs w:val="21"/>
              </w:rPr>
              <w:t>PRIF</w:t>
            </w:r>
          </w:p>
        </w:tc>
        <w:tc>
          <w:tcPr>
            <w:tcW w:w="6804" w:type="dxa"/>
          </w:tcPr>
          <w:p w14:paraId="2330CADB" w14:textId="77777777" w:rsidR="009A47B9" w:rsidRPr="00BD16B4" w:rsidRDefault="009A47B9" w:rsidP="003D5A34">
            <w:pPr>
              <w:pStyle w:val="BodyText"/>
              <w:spacing w:before="50" w:after="50"/>
              <w:rPr>
                <w:rFonts w:cs="Calibri"/>
                <w:sz w:val="21"/>
                <w:szCs w:val="21"/>
              </w:rPr>
            </w:pPr>
            <w:r w:rsidRPr="00BD16B4">
              <w:rPr>
                <w:rFonts w:cs="Calibri"/>
                <w:sz w:val="21"/>
                <w:szCs w:val="21"/>
              </w:rPr>
              <w:t>Pacific Regional Infrastructure Facility</w:t>
            </w:r>
          </w:p>
        </w:tc>
      </w:tr>
      <w:tr w:rsidR="009A47B9" w:rsidRPr="00BD16B4" w14:paraId="0F294D4E" w14:textId="77777777" w:rsidTr="00B10948">
        <w:tc>
          <w:tcPr>
            <w:tcW w:w="1758" w:type="dxa"/>
          </w:tcPr>
          <w:p w14:paraId="1AE83D5F"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PSMSL </w:t>
            </w:r>
          </w:p>
        </w:tc>
        <w:tc>
          <w:tcPr>
            <w:tcW w:w="6804" w:type="dxa"/>
          </w:tcPr>
          <w:p w14:paraId="5A872F2A" w14:textId="77777777" w:rsidR="009A47B9" w:rsidRPr="00BD16B4" w:rsidRDefault="009A47B9" w:rsidP="003D5A34">
            <w:pPr>
              <w:pStyle w:val="BodyText"/>
              <w:spacing w:before="50" w:after="50"/>
              <w:rPr>
                <w:rFonts w:cs="Calibri"/>
                <w:sz w:val="21"/>
                <w:szCs w:val="21"/>
              </w:rPr>
            </w:pPr>
            <w:r w:rsidRPr="00BD16B4">
              <w:rPr>
                <w:rFonts w:cs="Calibri"/>
                <w:sz w:val="21"/>
                <w:szCs w:val="21"/>
              </w:rPr>
              <w:t>Permanent Service for Mean Sea Level</w:t>
            </w:r>
          </w:p>
        </w:tc>
      </w:tr>
      <w:tr w:rsidR="009A47B9" w:rsidRPr="00BD16B4" w14:paraId="63C68578" w14:textId="77777777" w:rsidTr="00B10948">
        <w:tc>
          <w:tcPr>
            <w:tcW w:w="1758" w:type="dxa"/>
          </w:tcPr>
          <w:p w14:paraId="3E876428" w14:textId="77777777" w:rsidR="009A47B9" w:rsidRPr="00BD16B4" w:rsidRDefault="009A47B9" w:rsidP="003D5A34">
            <w:pPr>
              <w:pStyle w:val="BodyText"/>
              <w:spacing w:before="50" w:after="50"/>
              <w:rPr>
                <w:rFonts w:cs="Calibri"/>
                <w:sz w:val="21"/>
                <w:szCs w:val="21"/>
              </w:rPr>
            </w:pPr>
            <w:r w:rsidRPr="00BD16B4">
              <w:rPr>
                <w:rFonts w:cs="Calibri"/>
                <w:sz w:val="21"/>
                <w:szCs w:val="21"/>
              </w:rPr>
              <w:t>PSRM</w:t>
            </w:r>
          </w:p>
        </w:tc>
        <w:tc>
          <w:tcPr>
            <w:tcW w:w="6804" w:type="dxa"/>
          </w:tcPr>
          <w:p w14:paraId="6B1A1C8F" w14:textId="77777777" w:rsidR="009A47B9" w:rsidRPr="00BD16B4" w:rsidRDefault="009A47B9" w:rsidP="003D5A34">
            <w:pPr>
              <w:pStyle w:val="BodyText"/>
              <w:spacing w:before="50" w:after="50"/>
              <w:rPr>
                <w:rFonts w:cs="Calibri"/>
                <w:sz w:val="21"/>
                <w:szCs w:val="21"/>
              </w:rPr>
            </w:pPr>
            <w:r w:rsidRPr="00BD16B4">
              <w:rPr>
                <w:rFonts w:cs="Calibri"/>
                <w:sz w:val="21"/>
                <w:szCs w:val="21"/>
              </w:rPr>
              <w:t>Pastoral Supply Response Model</w:t>
            </w:r>
          </w:p>
        </w:tc>
      </w:tr>
      <w:tr w:rsidR="009A47B9" w:rsidRPr="00BD16B4" w14:paraId="33A1A84A" w14:textId="77777777" w:rsidTr="00B10948">
        <w:tc>
          <w:tcPr>
            <w:tcW w:w="1758" w:type="dxa"/>
          </w:tcPr>
          <w:p w14:paraId="51FB3F9C" w14:textId="77777777" w:rsidR="009A47B9" w:rsidRPr="00BD16B4" w:rsidRDefault="009A47B9" w:rsidP="003D5A34">
            <w:pPr>
              <w:pStyle w:val="BodyText"/>
              <w:spacing w:before="50" w:after="50"/>
              <w:rPr>
                <w:rFonts w:cs="Calibri"/>
                <w:sz w:val="21"/>
                <w:szCs w:val="21"/>
              </w:rPr>
            </w:pPr>
            <w:r w:rsidRPr="00BD16B4">
              <w:rPr>
                <w:rFonts w:cs="Calibri"/>
                <w:sz w:val="21"/>
                <w:szCs w:val="21"/>
              </w:rPr>
              <w:t>QA</w:t>
            </w:r>
          </w:p>
        </w:tc>
        <w:tc>
          <w:tcPr>
            <w:tcW w:w="6804" w:type="dxa"/>
          </w:tcPr>
          <w:p w14:paraId="2EC4168B" w14:textId="77777777" w:rsidR="009A47B9" w:rsidRPr="00BD16B4" w:rsidRDefault="009A47B9" w:rsidP="003D5A34">
            <w:pPr>
              <w:pStyle w:val="BodyText"/>
              <w:spacing w:before="50" w:after="50"/>
              <w:rPr>
                <w:rFonts w:cs="Calibri"/>
                <w:sz w:val="21"/>
                <w:szCs w:val="21"/>
              </w:rPr>
            </w:pPr>
            <w:r w:rsidRPr="00BD16B4">
              <w:rPr>
                <w:rFonts w:cs="Calibri"/>
                <w:sz w:val="21"/>
                <w:szCs w:val="21"/>
              </w:rPr>
              <w:t>Quality assurance</w:t>
            </w:r>
          </w:p>
        </w:tc>
      </w:tr>
      <w:tr w:rsidR="009A47B9" w:rsidRPr="00BD16B4" w14:paraId="07C1DE56" w14:textId="77777777" w:rsidTr="00B10948">
        <w:tc>
          <w:tcPr>
            <w:tcW w:w="1758" w:type="dxa"/>
          </w:tcPr>
          <w:p w14:paraId="5BC1F7E5" w14:textId="77777777" w:rsidR="009A47B9" w:rsidRPr="00BD16B4" w:rsidRDefault="009A47B9" w:rsidP="003D5A34">
            <w:pPr>
              <w:pStyle w:val="BodyText"/>
              <w:spacing w:before="50" w:after="50"/>
              <w:rPr>
                <w:rFonts w:cs="Calibri"/>
                <w:sz w:val="21"/>
                <w:szCs w:val="21"/>
              </w:rPr>
            </w:pPr>
            <w:r w:rsidRPr="00BD16B4">
              <w:rPr>
                <w:rFonts w:cs="Calibri"/>
                <w:sz w:val="21"/>
                <w:szCs w:val="21"/>
              </w:rPr>
              <w:t>QC</w:t>
            </w:r>
          </w:p>
        </w:tc>
        <w:tc>
          <w:tcPr>
            <w:tcW w:w="6804" w:type="dxa"/>
          </w:tcPr>
          <w:p w14:paraId="3B50044D" w14:textId="77777777" w:rsidR="009A47B9" w:rsidRPr="00BD16B4" w:rsidRDefault="009A47B9" w:rsidP="003D5A34">
            <w:pPr>
              <w:pStyle w:val="BodyText"/>
              <w:spacing w:before="50" w:after="50"/>
              <w:rPr>
                <w:rFonts w:cs="Calibri"/>
                <w:sz w:val="21"/>
                <w:szCs w:val="21"/>
              </w:rPr>
            </w:pPr>
            <w:r w:rsidRPr="00BD16B4">
              <w:rPr>
                <w:rFonts w:cs="Calibri"/>
                <w:sz w:val="21"/>
                <w:szCs w:val="21"/>
              </w:rPr>
              <w:t>Quality control</w:t>
            </w:r>
          </w:p>
        </w:tc>
      </w:tr>
      <w:tr w:rsidR="009A47B9" w:rsidRPr="00BD16B4" w14:paraId="2CF0344E" w14:textId="77777777" w:rsidTr="00B10948">
        <w:tc>
          <w:tcPr>
            <w:tcW w:w="1758" w:type="dxa"/>
          </w:tcPr>
          <w:p w14:paraId="337B2CFC"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RCP </w:t>
            </w:r>
          </w:p>
        </w:tc>
        <w:tc>
          <w:tcPr>
            <w:tcW w:w="6804" w:type="dxa"/>
          </w:tcPr>
          <w:p w14:paraId="17798BAD" w14:textId="77777777" w:rsidR="009A47B9" w:rsidRPr="00BD16B4" w:rsidRDefault="009A47B9" w:rsidP="003D5A34">
            <w:pPr>
              <w:pStyle w:val="BodyText"/>
              <w:spacing w:before="50" w:after="50"/>
              <w:rPr>
                <w:rFonts w:cs="Calibri"/>
                <w:sz w:val="21"/>
                <w:szCs w:val="21"/>
              </w:rPr>
            </w:pPr>
            <w:r w:rsidRPr="00BD16B4">
              <w:rPr>
                <w:rFonts w:cs="Calibri"/>
                <w:sz w:val="21"/>
                <w:szCs w:val="21"/>
              </w:rPr>
              <w:t>Representative Concentration Pathway</w:t>
            </w:r>
          </w:p>
        </w:tc>
      </w:tr>
      <w:tr w:rsidR="009A47B9" w:rsidRPr="00BD16B4" w14:paraId="20376900" w14:textId="77777777" w:rsidTr="00B10948">
        <w:tc>
          <w:tcPr>
            <w:tcW w:w="1758" w:type="dxa"/>
          </w:tcPr>
          <w:p w14:paraId="1613609E" w14:textId="77777777" w:rsidR="009A47B9" w:rsidRPr="00BD16B4" w:rsidRDefault="009A47B9" w:rsidP="003D5A34">
            <w:pPr>
              <w:pStyle w:val="BodyText"/>
              <w:spacing w:before="50" w:after="50"/>
              <w:rPr>
                <w:rFonts w:cs="Calibri"/>
                <w:sz w:val="21"/>
                <w:szCs w:val="21"/>
              </w:rPr>
            </w:pPr>
            <w:r w:rsidRPr="00BD16B4">
              <w:rPr>
                <w:rFonts w:cs="Calibri"/>
                <w:sz w:val="21"/>
                <w:szCs w:val="21"/>
              </w:rPr>
              <w:t>RGG</w:t>
            </w:r>
          </w:p>
        </w:tc>
        <w:tc>
          <w:tcPr>
            <w:tcW w:w="6804" w:type="dxa"/>
          </w:tcPr>
          <w:p w14:paraId="006E3D6F" w14:textId="77777777" w:rsidR="009A47B9" w:rsidRPr="00BD16B4" w:rsidRDefault="009A47B9" w:rsidP="003D5A34">
            <w:pPr>
              <w:pStyle w:val="BodyText"/>
              <w:spacing w:before="50" w:after="50"/>
              <w:rPr>
                <w:rFonts w:cs="Calibri"/>
                <w:sz w:val="21"/>
                <w:szCs w:val="21"/>
              </w:rPr>
            </w:pPr>
            <w:r w:rsidRPr="00BD16B4">
              <w:rPr>
                <w:rFonts w:cs="Calibri"/>
                <w:sz w:val="21"/>
                <w:szCs w:val="21"/>
              </w:rPr>
              <w:t>Reporting Governance Group</w:t>
            </w:r>
          </w:p>
        </w:tc>
      </w:tr>
      <w:tr w:rsidR="009A47B9" w:rsidRPr="00BD16B4" w14:paraId="3343EEC0" w14:textId="77777777" w:rsidTr="00B10948">
        <w:tc>
          <w:tcPr>
            <w:tcW w:w="1758" w:type="dxa"/>
          </w:tcPr>
          <w:p w14:paraId="08C3D5C8" w14:textId="77777777" w:rsidR="009A47B9" w:rsidRPr="00BD16B4" w:rsidRDefault="009A47B9" w:rsidP="003D5A34">
            <w:pPr>
              <w:pStyle w:val="BodyText"/>
              <w:spacing w:before="50" w:after="50"/>
              <w:rPr>
                <w:rFonts w:cs="Calibri"/>
                <w:sz w:val="21"/>
                <w:szCs w:val="21"/>
              </w:rPr>
            </w:pPr>
            <w:r w:rsidRPr="00BD16B4">
              <w:rPr>
                <w:rFonts w:cs="Calibri"/>
                <w:sz w:val="21"/>
                <w:szCs w:val="21"/>
              </w:rPr>
              <w:t>RMA</w:t>
            </w:r>
          </w:p>
        </w:tc>
        <w:tc>
          <w:tcPr>
            <w:tcW w:w="6804" w:type="dxa"/>
          </w:tcPr>
          <w:p w14:paraId="5BED2226" w14:textId="77777777" w:rsidR="009A47B9" w:rsidRPr="00BD16B4" w:rsidRDefault="009A47B9" w:rsidP="003D5A34">
            <w:pPr>
              <w:pStyle w:val="BodyText"/>
              <w:spacing w:before="50" w:after="50"/>
              <w:rPr>
                <w:rFonts w:cs="Calibri"/>
                <w:sz w:val="21"/>
                <w:szCs w:val="21"/>
              </w:rPr>
            </w:pPr>
            <w:r w:rsidRPr="00BD16B4">
              <w:rPr>
                <w:rFonts w:cs="Calibri"/>
                <w:sz w:val="21"/>
                <w:szCs w:val="21"/>
              </w:rPr>
              <w:t>Resource Management Act 1991</w:t>
            </w:r>
          </w:p>
        </w:tc>
      </w:tr>
      <w:tr w:rsidR="009A47B9" w:rsidRPr="00BD16B4" w14:paraId="6CC3E567" w14:textId="77777777" w:rsidTr="00B10948">
        <w:tc>
          <w:tcPr>
            <w:tcW w:w="1758" w:type="dxa"/>
          </w:tcPr>
          <w:p w14:paraId="502AFCF0"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RSI </w:t>
            </w:r>
          </w:p>
        </w:tc>
        <w:tc>
          <w:tcPr>
            <w:tcW w:w="6804" w:type="dxa"/>
          </w:tcPr>
          <w:p w14:paraId="1C365E14" w14:textId="306054E7" w:rsidR="009A47B9" w:rsidRPr="00BD16B4" w:rsidRDefault="00D71FD6" w:rsidP="003D5A34">
            <w:pPr>
              <w:pStyle w:val="BodyText"/>
              <w:spacing w:before="50" w:after="50"/>
              <w:rPr>
                <w:rFonts w:cs="Calibri"/>
                <w:sz w:val="21"/>
                <w:szCs w:val="21"/>
              </w:rPr>
            </w:pPr>
            <w:r w:rsidRPr="00BD16B4">
              <w:rPr>
                <w:rFonts w:cs="Calibri"/>
                <w:sz w:val="21"/>
                <w:szCs w:val="21"/>
              </w:rPr>
              <w:t>R</w:t>
            </w:r>
            <w:r w:rsidR="009A47B9" w:rsidRPr="00BD16B4">
              <w:rPr>
                <w:rFonts w:cs="Calibri"/>
                <w:sz w:val="21"/>
                <w:szCs w:val="21"/>
              </w:rPr>
              <w:t>esearch, science and innovation</w:t>
            </w:r>
          </w:p>
        </w:tc>
      </w:tr>
      <w:tr w:rsidR="009A47B9" w:rsidRPr="00BD16B4" w14:paraId="3152B973" w14:textId="77777777" w:rsidTr="00B10948">
        <w:tc>
          <w:tcPr>
            <w:tcW w:w="1758" w:type="dxa"/>
          </w:tcPr>
          <w:p w14:paraId="32448CD7" w14:textId="77777777" w:rsidR="009A47B9" w:rsidRPr="00BD16B4" w:rsidRDefault="009A47B9" w:rsidP="003D5A34">
            <w:pPr>
              <w:pStyle w:val="BodyText"/>
              <w:spacing w:before="50" w:after="50"/>
              <w:rPr>
                <w:rFonts w:cs="Calibri"/>
                <w:sz w:val="21"/>
                <w:szCs w:val="21"/>
              </w:rPr>
            </w:pPr>
            <w:r w:rsidRPr="00BD16B4">
              <w:rPr>
                <w:rFonts w:cs="Calibri"/>
                <w:sz w:val="21"/>
                <w:szCs w:val="21"/>
              </w:rPr>
              <w:lastRenderedPageBreak/>
              <w:t>SADEM</w:t>
            </w:r>
          </w:p>
        </w:tc>
        <w:tc>
          <w:tcPr>
            <w:tcW w:w="6804" w:type="dxa"/>
          </w:tcPr>
          <w:p w14:paraId="0ADBE7A7" w14:textId="77777777" w:rsidR="009A47B9" w:rsidRPr="00BD16B4" w:rsidRDefault="009A47B9" w:rsidP="003D5A34">
            <w:pPr>
              <w:pStyle w:val="BodyText"/>
              <w:spacing w:before="50" w:after="50"/>
              <w:rPr>
                <w:rFonts w:cs="Calibri"/>
                <w:sz w:val="21"/>
                <w:szCs w:val="21"/>
              </w:rPr>
            </w:pPr>
            <w:r w:rsidRPr="00BD16B4">
              <w:rPr>
                <w:rFonts w:cs="Calibri"/>
                <w:sz w:val="21"/>
                <w:szCs w:val="21"/>
              </w:rPr>
              <w:t>Supply and Demand Energy Model</w:t>
            </w:r>
          </w:p>
        </w:tc>
      </w:tr>
      <w:tr w:rsidR="009A47B9" w:rsidRPr="00BD16B4" w14:paraId="35174446" w14:textId="77777777" w:rsidTr="00B10948">
        <w:tc>
          <w:tcPr>
            <w:tcW w:w="1758" w:type="dxa"/>
          </w:tcPr>
          <w:p w14:paraId="4DA14B11" w14:textId="77777777" w:rsidR="009A47B9" w:rsidRPr="00BD16B4" w:rsidRDefault="009A47B9" w:rsidP="003D5A34">
            <w:pPr>
              <w:pStyle w:val="BodyText"/>
              <w:spacing w:before="50" w:after="50"/>
              <w:rPr>
                <w:rFonts w:cs="Calibri"/>
                <w:sz w:val="21"/>
                <w:szCs w:val="21"/>
              </w:rPr>
            </w:pPr>
            <w:r w:rsidRPr="00BD16B4">
              <w:rPr>
                <w:rFonts w:cs="Calibri"/>
                <w:sz w:val="21"/>
                <w:szCs w:val="21"/>
              </w:rPr>
              <w:t>SEEC</w:t>
            </w:r>
          </w:p>
        </w:tc>
        <w:tc>
          <w:tcPr>
            <w:tcW w:w="6804" w:type="dxa"/>
          </w:tcPr>
          <w:p w14:paraId="3FC9A04B" w14:textId="77777777" w:rsidR="009A47B9" w:rsidRPr="00BD16B4" w:rsidRDefault="009A47B9" w:rsidP="003D5A34">
            <w:pPr>
              <w:pStyle w:val="BodyText"/>
              <w:spacing w:before="50" w:after="50"/>
              <w:rPr>
                <w:rFonts w:cs="Calibri"/>
                <w:sz w:val="21"/>
                <w:szCs w:val="21"/>
              </w:rPr>
            </w:pPr>
            <w:r w:rsidRPr="00BD16B4">
              <w:rPr>
                <w:rFonts w:cs="Calibri"/>
                <w:sz w:val="21"/>
                <w:szCs w:val="21"/>
              </w:rPr>
              <w:t>Support for Energy Education in Communities</w:t>
            </w:r>
          </w:p>
        </w:tc>
      </w:tr>
      <w:tr w:rsidR="009A47B9" w:rsidRPr="00BD16B4" w14:paraId="3643A2B8" w14:textId="77777777" w:rsidTr="00B10948">
        <w:tc>
          <w:tcPr>
            <w:tcW w:w="1758" w:type="dxa"/>
          </w:tcPr>
          <w:p w14:paraId="58A301E7" w14:textId="77777777" w:rsidR="009A47B9" w:rsidRPr="00BD16B4" w:rsidRDefault="009A47B9" w:rsidP="003D5A34">
            <w:pPr>
              <w:pStyle w:val="BodyText"/>
              <w:spacing w:before="50" w:after="50"/>
              <w:rPr>
                <w:rFonts w:cs="Calibri"/>
                <w:sz w:val="21"/>
                <w:szCs w:val="21"/>
              </w:rPr>
            </w:pPr>
            <w:r w:rsidRPr="00BD16B4">
              <w:rPr>
                <w:rFonts w:cs="Calibri"/>
                <w:sz w:val="21"/>
                <w:szCs w:val="21"/>
              </w:rPr>
              <w:t>SF</w:t>
            </w:r>
            <w:r w:rsidRPr="00BD16B4">
              <w:rPr>
                <w:rFonts w:cs="Calibri"/>
                <w:sz w:val="21"/>
                <w:szCs w:val="21"/>
                <w:vertAlign w:val="subscript"/>
              </w:rPr>
              <w:t>6</w:t>
            </w:r>
          </w:p>
        </w:tc>
        <w:tc>
          <w:tcPr>
            <w:tcW w:w="6804" w:type="dxa"/>
          </w:tcPr>
          <w:p w14:paraId="008CD7E8" w14:textId="77777777" w:rsidR="009A47B9" w:rsidRPr="00BD16B4" w:rsidRDefault="009A47B9" w:rsidP="003D5A34">
            <w:pPr>
              <w:pStyle w:val="BodyText"/>
              <w:spacing w:before="50" w:after="50"/>
              <w:rPr>
                <w:rFonts w:cs="Calibri"/>
                <w:sz w:val="21"/>
                <w:szCs w:val="21"/>
              </w:rPr>
            </w:pPr>
            <w:r w:rsidRPr="00BD16B4">
              <w:rPr>
                <w:rFonts w:cs="Calibri"/>
                <w:sz w:val="21"/>
                <w:szCs w:val="21"/>
              </w:rPr>
              <w:t>Sulphur hexafluoride</w:t>
            </w:r>
          </w:p>
        </w:tc>
      </w:tr>
      <w:tr w:rsidR="009A47B9" w:rsidRPr="00BD16B4" w14:paraId="7E4330CA" w14:textId="77777777" w:rsidTr="00B10948">
        <w:tc>
          <w:tcPr>
            <w:tcW w:w="1758" w:type="dxa"/>
          </w:tcPr>
          <w:p w14:paraId="5BC6329A"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SLMACC </w:t>
            </w:r>
          </w:p>
        </w:tc>
        <w:tc>
          <w:tcPr>
            <w:tcW w:w="6804" w:type="dxa"/>
          </w:tcPr>
          <w:p w14:paraId="5D90275E" w14:textId="77777777" w:rsidR="009A47B9" w:rsidRPr="00BD16B4" w:rsidRDefault="009A47B9" w:rsidP="003D5A34">
            <w:pPr>
              <w:pStyle w:val="BodyText"/>
              <w:spacing w:before="50" w:after="50"/>
              <w:rPr>
                <w:rFonts w:cs="Calibri"/>
                <w:sz w:val="21"/>
                <w:szCs w:val="21"/>
              </w:rPr>
            </w:pPr>
            <w:r w:rsidRPr="00BD16B4">
              <w:rPr>
                <w:rFonts w:cs="Calibri"/>
                <w:sz w:val="21"/>
                <w:szCs w:val="21"/>
              </w:rPr>
              <w:t>Sustainable Land Management and Climate Change</w:t>
            </w:r>
          </w:p>
        </w:tc>
      </w:tr>
      <w:tr w:rsidR="009A47B9" w:rsidRPr="00BD16B4" w14:paraId="14DB757F" w14:textId="77777777" w:rsidTr="00B10948">
        <w:tc>
          <w:tcPr>
            <w:tcW w:w="1758" w:type="dxa"/>
          </w:tcPr>
          <w:p w14:paraId="72B3A7F2"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SMC </w:t>
            </w:r>
          </w:p>
        </w:tc>
        <w:tc>
          <w:tcPr>
            <w:tcW w:w="6804" w:type="dxa"/>
          </w:tcPr>
          <w:p w14:paraId="713EE4C6" w14:textId="77777777" w:rsidR="009A47B9" w:rsidRPr="00BD16B4" w:rsidRDefault="009A47B9" w:rsidP="003D5A34">
            <w:pPr>
              <w:pStyle w:val="BodyText"/>
              <w:spacing w:before="50" w:after="50"/>
              <w:rPr>
                <w:rFonts w:cs="Calibri"/>
                <w:sz w:val="21"/>
                <w:szCs w:val="21"/>
              </w:rPr>
            </w:pPr>
            <w:r w:rsidRPr="00BD16B4">
              <w:rPr>
                <w:rFonts w:cs="Calibri"/>
                <w:sz w:val="21"/>
                <w:szCs w:val="21"/>
              </w:rPr>
              <w:t>Science Media Centre</w:t>
            </w:r>
          </w:p>
        </w:tc>
      </w:tr>
      <w:tr w:rsidR="009A47B9" w:rsidRPr="00BD16B4" w14:paraId="0889395E" w14:textId="77777777" w:rsidTr="00B10948">
        <w:tc>
          <w:tcPr>
            <w:tcW w:w="1758" w:type="dxa"/>
          </w:tcPr>
          <w:p w14:paraId="42373C76" w14:textId="77777777" w:rsidR="009A47B9" w:rsidRPr="00BD16B4" w:rsidRDefault="009A47B9" w:rsidP="003D5A34">
            <w:pPr>
              <w:pStyle w:val="BodyText"/>
              <w:spacing w:before="50" w:after="50"/>
              <w:rPr>
                <w:rFonts w:cs="Calibri"/>
                <w:sz w:val="21"/>
                <w:szCs w:val="21"/>
              </w:rPr>
            </w:pPr>
            <w:r w:rsidRPr="00BD16B4">
              <w:rPr>
                <w:rFonts w:cs="Calibri"/>
                <w:sz w:val="21"/>
                <w:szCs w:val="21"/>
              </w:rPr>
              <w:t>SPC</w:t>
            </w:r>
          </w:p>
        </w:tc>
        <w:tc>
          <w:tcPr>
            <w:tcW w:w="6804" w:type="dxa"/>
          </w:tcPr>
          <w:p w14:paraId="5C1764F7" w14:textId="77777777" w:rsidR="009A47B9" w:rsidRPr="00BD16B4" w:rsidRDefault="009A47B9" w:rsidP="003D5A34">
            <w:pPr>
              <w:pStyle w:val="BodyText"/>
              <w:spacing w:before="50" w:after="50"/>
              <w:rPr>
                <w:rFonts w:cs="Calibri"/>
                <w:sz w:val="21"/>
                <w:szCs w:val="21"/>
              </w:rPr>
            </w:pPr>
            <w:r w:rsidRPr="00BD16B4">
              <w:rPr>
                <w:rFonts w:cs="Calibri"/>
                <w:sz w:val="21"/>
                <w:szCs w:val="21"/>
              </w:rPr>
              <w:t>Pacific Community</w:t>
            </w:r>
          </w:p>
        </w:tc>
      </w:tr>
      <w:tr w:rsidR="009A47B9" w:rsidRPr="00BD16B4" w14:paraId="39EBD88A" w14:textId="77777777" w:rsidTr="00B10948">
        <w:tc>
          <w:tcPr>
            <w:tcW w:w="1758" w:type="dxa"/>
          </w:tcPr>
          <w:p w14:paraId="136A7244" w14:textId="77777777" w:rsidR="009A47B9" w:rsidRPr="00BD16B4" w:rsidRDefault="009A47B9" w:rsidP="003D5A34">
            <w:pPr>
              <w:pStyle w:val="BodyText"/>
              <w:spacing w:before="50" w:after="50"/>
              <w:rPr>
                <w:rFonts w:cs="Calibri"/>
                <w:sz w:val="21"/>
                <w:szCs w:val="21"/>
              </w:rPr>
            </w:pPr>
            <w:r w:rsidRPr="00BD16B4">
              <w:rPr>
                <w:rFonts w:cs="Calibri"/>
                <w:sz w:val="21"/>
                <w:szCs w:val="21"/>
              </w:rPr>
              <w:t>SPREP</w:t>
            </w:r>
          </w:p>
        </w:tc>
        <w:tc>
          <w:tcPr>
            <w:tcW w:w="6804" w:type="dxa"/>
          </w:tcPr>
          <w:p w14:paraId="75AE4722" w14:textId="77777777" w:rsidR="009A47B9" w:rsidRPr="00BD16B4" w:rsidRDefault="009A47B9" w:rsidP="003D5A34">
            <w:pPr>
              <w:pStyle w:val="BodyText"/>
              <w:spacing w:before="50" w:after="50"/>
              <w:rPr>
                <w:rFonts w:cs="Calibri"/>
                <w:sz w:val="21"/>
                <w:szCs w:val="21"/>
              </w:rPr>
            </w:pPr>
            <w:r w:rsidRPr="00BD16B4">
              <w:rPr>
                <w:rFonts w:cs="Calibri"/>
                <w:sz w:val="21"/>
                <w:szCs w:val="21"/>
              </w:rPr>
              <w:t>Secretariat of the Pacific Regional Environment Programme</w:t>
            </w:r>
          </w:p>
        </w:tc>
      </w:tr>
      <w:tr w:rsidR="009A47B9" w:rsidRPr="00BD16B4" w14:paraId="12C78F92" w14:textId="77777777" w:rsidTr="00B10948">
        <w:tc>
          <w:tcPr>
            <w:tcW w:w="1758" w:type="dxa"/>
          </w:tcPr>
          <w:p w14:paraId="27DF0345" w14:textId="77777777" w:rsidR="009A47B9" w:rsidRPr="00BD16B4" w:rsidRDefault="009A47B9" w:rsidP="003D5A34">
            <w:pPr>
              <w:pStyle w:val="BodyText"/>
              <w:spacing w:before="50" w:after="50"/>
              <w:rPr>
                <w:rFonts w:cs="Calibri"/>
                <w:sz w:val="21"/>
                <w:szCs w:val="21"/>
              </w:rPr>
            </w:pPr>
            <w:r w:rsidRPr="00BD16B4">
              <w:rPr>
                <w:rFonts w:cs="Calibri"/>
                <w:sz w:val="21"/>
                <w:szCs w:val="21"/>
              </w:rPr>
              <w:t>SSDF</w:t>
            </w:r>
          </w:p>
        </w:tc>
        <w:tc>
          <w:tcPr>
            <w:tcW w:w="6804" w:type="dxa"/>
          </w:tcPr>
          <w:p w14:paraId="318D3F71" w14:textId="77777777" w:rsidR="009A47B9" w:rsidRPr="00BD16B4" w:rsidRDefault="009A47B9" w:rsidP="003D5A34">
            <w:pPr>
              <w:pStyle w:val="BodyText"/>
              <w:spacing w:before="50" w:after="50"/>
              <w:rPr>
                <w:rFonts w:cs="Calibri"/>
                <w:sz w:val="21"/>
                <w:szCs w:val="21"/>
              </w:rPr>
            </w:pPr>
            <w:r w:rsidRPr="00BD16B4">
              <w:rPr>
                <w:rFonts w:cs="Calibri"/>
                <w:sz w:val="21"/>
                <w:szCs w:val="21"/>
              </w:rPr>
              <w:t>State Sector Decarbonisation Fund</w:t>
            </w:r>
          </w:p>
        </w:tc>
      </w:tr>
      <w:tr w:rsidR="009A47B9" w:rsidRPr="00BD16B4" w14:paraId="309B4A69" w14:textId="77777777" w:rsidTr="00B10948">
        <w:tc>
          <w:tcPr>
            <w:tcW w:w="1758" w:type="dxa"/>
          </w:tcPr>
          <w:p w14:paraId="0CDB8C63" w14:textId="77777777" w:rsidR="009A47B9" w:rsidRPr="00BD16B4" w:rsidRDefault="009A47B9" w:rsidP="003D5A34">
            <w:pPr>
              <w:pStyle w:val="BodyText"/>
              <w:spacing w:before="50" w:after="50"/>
              <w:rPr>
                <w:rFonts w:cs="Calibri"/>
                <w:sz w:val="21"/>
                <w:szCs w:val="21"/>
              </w:rPr>
            </w:pPr>
            <w:r w:rsidRPr="00BD16B4">
              <w:rPr>
                <w:rFonts w:cs="Calibri"/>
                <w:sz w:val="21"/>
                <w:szCs w:val="21"/>
              </w:rPr>
              <w:t>SSF Futures</w:t>
            </w:r>
          </w:p>
        </w:tc>
        <w:tc>
          <w:tcPr>
            <w:tcW w:w="6804" w:type="dxa"/>
          </w:tcPr>
          <w:p w14:paraId="5DA57C38" w14:textId="77777777" w:rsidR="009A47B9" w:rsidRPr="00BD16B4" w:rsidRDefault="009A47B9" w:rsidP="003D5A34">
            <w:pPr>
              <w:pStyle w:val="BodyText"/>
              <w:spacing w:before="50" w:after="50"/>
              <w:rPr>
                <w:rFonts w:cs="Calibri"/>
                <w:sz w:val="21"/>
                <w:szCs w:val="21"/>
              </w:rPr>
            </w:pPr>
            <w:r w:rsidRPr="00BD16B4">
              <w:rPr>
                <w:rFonts w:cs="Calibri"/>
                <w:sz w:val="21"/>
                <w:szCs w:val="21"/>
              </w:rPr>
              <w:t>Sustainable Food and Fibre Futures</w:t>
            </w:r>
          </w:p>
        </w:tc>
      </w:tr>
      <w:tr w:rsidR="009A47B9" w:rsidRPr="00BD16B4" w14:paraId="7DCC571F" w14:textId="77777777" w:rsidTr="00B10948">
        <w:tc>
          <w:tcPr>
            <w:tcW w:w="1758" w:type="dxa"/>
          </w:tcPr>
          <w:p w14:paraId="50825E5B" w14:textId="77777777" w:rsidR="009A47B9" w:rsidRPr="00BD16B4" w:rsidRDefault="009A47B9" w:rsidP="003D5A34">
            <w:pPr>
              <w:pStyle w:val="BodyText"/>
              <w:spacing w:before="50" w:after="50"/>
              <w:rPr>
                <w:rFonts w:cs="Calibri"/>
                <w:sz w:val="21"/>
                <w:szCs w:val="21"/>
                <w:lang w:eastAsia="en-GB"/>
              </w:rPr>
            </w:pPr>
            <w:r w:rsidRPr="00BD16B4">
              <w:rPr>
                <w:rFonts w:cs="Calibri"/>
                <w:sz w:val="21"/>
                <w:szCs w:val="21"/>
                <w:lang w:eastAsia="en-GB"/>
              </w:rPr>
              <w:t>SSIF</w:t>
            </w:r>
          </w:p>
        </w:tc>
        <w:tc>
          <w:tcPr>
            <w:tcW w:w="6804" w:type="dxa"/>
          </w:tcPr>
          <w:p w14:paraId="346ABC73" w14:textId="77777777" w:rsidR="009A47B9" w:rsidRPr="00BD16B4" w:rsidRDefault="009A47B9" w:rsidP="003D5A34">
            <w:pPr>
              <w:pStyle w:val="BodyText"/>
              <w:spacing w:before="50" w:after="50"/>
              <w:rPr>
                <w:rFonts w:cs="Calibri"/>
                <w:sz w:val="21"/>
                <w:szCs w:val="21"/>
                <w:lang w:eastAsia="en-GB"/>
              </w:rPr>
            </w:pPr>
            <w:r w:rsidRPr="00BD16B4">
              <w:rPr>
                <w:rFonts w:cs="Calibri"/>
                <w:sz w:val="21"/>
                <w:szCs w:val="21"/>
                <w:lang w:eastAsia="en-GB"/>
              </w:rPr>
              <w:t>Strategic Science Investment Fund</w:t>
            </w:r>
          </w:p>
        </w:tc>
      </w:tr>
      <w:tr w:rsidR="009A47B9" w:rsidRPr="00BD16B4" w14:paraId="06F2770B" w14:textId="77777777" w:rsidTr="00B10948">
        <w:tc>
          <w:tcPr>
            <w:tcW w:w="1758" w:type="dxa"/>
          </w:tcPr>
          <w:p w14:paraId="23374E2E" w14:textId="77777777" w:rsidR="009A47B9" w:rsidRPr="00BD16B4" w:rsidRDefault="009A47B9" w:rsidP="003D5A34">
            <w:pPr>
              <w:pStyle w:val="BodyText"/>
              <w:spacing w:before="50" w:after="50"/>
              <w:rPr>
                <w:rFonts w:cs="Calibri"/>
                <w:sz w:val="21"/>
                <w:szCs w:val="21"/>
              </w:rPr>
            </w:pPr>
            <w:r w:rsidRPr="00BD16B4">
              <w:rPr>
                <w:rFonts w:cs="Calibri"/>
                <w:sz w:val="21"/>
                <w:szCs w:val="21"/>
              </w:rPr>
              <w:t>TCCON</w:t>
            </w:r>
          </w:p>
        </w:tc>
        <w:tc>
          <w:tcPr>
            <w:tcW w:w="6804" w:type="dxa"/>
          </w:tcPr>
          <w:p w14:paraId="1BBEEF63" w14:textId="77777777" w:rsidR="009A47B9" w:rsidRPr="00BD16B4" w:rsidRDefault="009A47B9" w:rsidP="003D5A34">
            <w:pPr>
              <w:pStyle w:val="BodyText"/>
              <w:spacing w:before="50" w:after="50"/>
              <w:rPr>
                <w:rFonts w:cs="Calibri"/>
                <w:sz w:val="21"/>
                <w:szCs w:val="21"/>
              </w:rPr>
            </w:pPr>
            <w:r w:rsidRPr="00BD16B4">
              <w:rPr>
                <w:rFonts w:cs="Calibri"/>
                <w:sz w:val="21"/>
                <w:szCs w:val="21"/>
              </w:rPr>
              <w:t>Total Carbon Column Observing Network</w:t>
            </w:r>
          </w:p>
        </w:tc>
      </w:tr>
      <w:tr w:rsidR="003D5A34" w:rsidRPr="00BD16B4" w14:paraId="7A836C7B" w14:textId="77777777" w:rsidTr="00B10948">
        <w:tc>
          <w:tcPr>
            <w:tcW w:w="1758" w:type="dxa"/>
          </w:tcPr>
          <w:p w14:paraId="7D075827" w14:textId="6831BB4C" w:rsidR="003D5A34" w:rsidRPr="00BD16B4" w:rsidRDefault="003D5A34" w:rsidP="003D5A34">
            <w:pPr>
              <w:pStyle w:val="BodyText"/>
              <w:spacing w:before="50" w:after="50"/>
              <w:rPr>
                <w:rFonts w:cs="Calibri"/>
                <w:sz w:val="21"/>
                <w:szCs w:val="21"/>
              </w:rPr>
            </w:pPr>
            <w:r w:rsidRPr="00BD16B4">
              <w:rPr>
                <w:rFonts w:cs="Calibri"/>
                <w:sz w:val="21"/>
                <w:szCs w:val="21"/>
              </w:rPr>
              <w:t>TMW</w:t>
            </w:r>
          </w:p>
        </w:tc>
        <w:tc>
          <w:tcPr>
            <w:tcW w:w="6804" w:type="dxa"/>
          </w:tcPr>
          <w:p w14:paraId="1DCDC821" w14:textId="78441DA2" w:rsidR="003D5A34" w:rsidRPr="00BD16B4" w:rsidRDefault="003D5A34" w:rsidP="003D5A34">
            <w:pPr>
              <w:pStyle w:val="BodyText"/>
              <w:spacing w:before="50" w:after="50"/>
              <w:rPr>
                <w:rFonts w:cs="Calibri"/>
                <w:sz w:val="21"/>
                <w:szCs w:val="21"/>
              </w:rPr>
            </w:pPr>
            <w:r w:rsidRPr="00BD16B4">
              <w:rPr>
                <w:rFonts w:cs="Calibri"/>
                <w:sz w:val="21"/>
                <w:szCs w:val="21"/>
              </w:rPr>
              <w:t>Te Manatū Waka – Ministry of Transport</w:t>
            </w:r>
          </w:p>
        </w:tc>
      </w:tr>
      <w:tr w:rsidR="009A47B9" w:rsidRPr="00BD16B4" w14:paraId="611789CA" w14:textId="77777777" w:rsidTr="00B10948">
        <w:tc>
          <w:tcPr>
            <w:tcW w:w="1758" w:type="dxa"/>
          </w:tcPr>
          <w:p w14:paraId="1ECD9ED0"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Toitū </w:t>
            </w:r>
          </w:p>
        </w:tc>
        <w:tc>
          <w:tcPr>
            <w:tcW w:w="6804" w:type="dxa"/>
          </w:tcPr>
          <w:p w14:paraId="515265C8"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Toitū Envirocare </w:t>
            </w:r>
          </w:p>
        </w:tc>
      </w:tr>
      <w:tr w:rsidR="009A47B9" w:rsidRPr="00BD16B4" w14:paraId="0515561E" w14:textId="77777777" w:rsidTr="00B10948">
        <w:tc>
          <w:tcPr>
            <w:tcW w:w="1758" w:type="dxa"/>
          </w:tcPr>
          <w:p w14:paraId="5F0DE5F2" w14:textId="77777777" w:rsidR="009A47B9" w:rsidRPr="00BD16B4" w:rsidRDefault="009A47B9" w:rsidP="003D5A34">
            <w:pPr>
              <w:pStyle w:val="BodyText"/>
              <w:spacing w:before="50" w:after="50"/>
              <w:rPr>
                <w:rFonts w:cs="Calibri"/>
                <w:sz w:val="21"/>
                <w:szCs w:val="21"/>
              </w:rPr>
            </w:pPr>
            <w:r w:rsidRPr="00BD16B4">
              <w:rPr>
                <w:rFonts w:cs="Calibri"/>
                <w:sz w:val="21"/>
                <w:szCs w:val="21"/>
              </w:rPr>
              <w:t>TPES</w:t>
            </w:r>
          </w:p>
        </w:tc>
        <w:tc>
          <w:tcPr>
            <w:tcW w:w="6804" w:type="dxa"/>
          </w:tcPr>
          <w:p w14:paraId="333B4D68" w14:textId="77777777" w:rsidR="009A47B9" w:rsidRPr="00BD16B4" w:rsidRDefault="009A47B9" w:rsidP="003D5A34">
            <w:pPr>
              <w:pStyle w:val="BodyText"/>
              <w:spacing w:before="50" w:after="50"/>
              <w:rPr>
                <w:rFonts w:cs="Calibri"/>
                <w:sz w:val="21"/>
                <w:szCs w:val="21"/>
              </w:rPr>
            </w:pPr>
            <w:r w:rsidRPr="00BD16B4">
              <w:rPr>
                <w:rFonts w:cs="Calibri"/>
                <w:sz w:val="21"/>
                <w:szCs w:val="21"/>
              </w:rPr>
              <w:t>Total primary energy supply</w:t>
            </w:r>
          </w:p>
        </w:tc>
      </w:tr>
      <w:tr w:rsidR="009A47B9" w:rsidRPr="00BD16B4" w14:paraId="29C01CA0" w14:textId="77777777" w:rsidTr="00B10948">
        <w:tc>
          <w:tcPr>
            <w:tcW w:w="1758" w:type="dxa"/>
          </w:tcPr>
          <w:p w14:paraId="1E956D61"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UNFCCC </w:t>
            </w:r>
          </w:p>
        </w:tc>
        <w:tc>
          <w:tcPr>
            <w:tcW w:w="6804" w:type="dxa"/>
          </w:tcPr>
          <w:p w14:paraId="6591E9B8" w14:textId="77777777" w:rsidR="009A47B9" w:rsidRPr="00BD16B4" w:rsidRDefault="009A47B9" w:rsidP="003D5A34">
            <w:pPr>
              <w:pStyle w:val="BodyText"/>
              <w:spacing w:before="50" w:after="50"/>
              <w:rPr>
                <w:rFonts w:cs="Calibri"/>
                <w:sz w:val="21"/>
                <w:szCs w:val="21"/>
              </w:rPr>
            </w:pPr>
            <w:r w:rsidRPr="00BD16B4">
              <w:rPr>
                <w:rFonts w:cs="Calibri"/>
                <w:sz w:val="21"/>
                <w:szCs w:val="21"/>
              </w:rPr>
              <w:t>United Nations Framework Convention on Climate Change</w:t>
            </w:r>
          </w:p>
        </w:tc>
      </w:tr>
      <w:tr w:rsidR="009A47B9" w:rsidRPr="00BD16B4" w14:paraId="5D81099F" w14:textId="77777777" w:rsidTr="00B10948">
        <w:tc>
          <w:tcPr>
            <w:tcW w:w="1758" w:type="dxa"/>
          </w:tcPr>
          <w:p w14:paraId="4A16E55D" w14:textId="77777777" w:rsidR="009A47B9" w:rsidRPr="00BD16B4" w:rsidRDefault="009A47B9" w:rsidP="003D5A34">
            <w:pPr>
              <w:pStyle w:val="BodyText"/>
              <w:spacing w:before="50" w:after="50"/>
              <w:rPr>
                <w:rFonts w:cs="Calibri"/>
                <w:sz w:val="21"/>
                <w:szCs w:val="21"/>
              </w:rPr>
            </w:pPr>
            <w:r w:rsidRPr="00BD16B4">
              <w:rPr>
                <w:rFonts w:cs="Calibri"/>
                <w:sz w:val="21"/>
                <w:szCs w:val="21"/>
              </w:rPr>
              <w:t>VFEM</w:t>
            </w:r>
          </w:p>
        </w:tc>
        <w:tc>
          <w:tcPr>
            <w:tcW w:w="6804" w:type="dxa"/>
          </w:tcPr>
          <w:p w14:paraId="6B6A0650" w14:textId="77777777" w:rsidR="009A47B9" w:rsidRPr="00BD16B4" w:rsidRDefault="009A47B9" w:rsidP="003D5A34">
            <w:pPr>
              <w:pStyle w:val="BodyText"/>
              <w:spacing w:before="50" w:after="50"/>
              <w:rPr>
                <w:rFonts w:cs="Calibri"/>
                <w:sz w:val="21"/>
                <w:szCs w:val="21"/>
              </w:rPr>
            </w:pPr>
            <w:r w:rsidRPr="00BD16B4">
              <w:rPr>
                <w:rFonts w:cs="Calibri"/>
                <w:sz w:val="21"/>
                <w:szCs w:val="21"/>
              </w:rPr>
              <w:t>Vehicle Fleet Emissions Model</w:t>
            </w:r>
          </w:p>
        </w:tc>
      </w:tr>
      <w:tr w:rsidR="009A47B9" w:rsidRPr="00BD16B4" w14:paraId="00405CAC" w14:textId="77777777" w:rsidTr="00B10948">
        <w:tc>
          <w:tcPr>
            <w:tcW w:w="1758" w:type="dxa"/>
          </w:tcPr>
          <w:p w14:paraId="3A5AFB98" w14:textId="77777777" w:rsidR="009A47B9" w:rsidRPr="00BD16B4" w:rsidRDefault="009A47B9" w:rsidP="003D5A34">
            <w:pPr>
              <w:pStyle w:val="BodyText"/>
              <w:spacing w:before="50" w:after="50"/>
              <w:rPr>
                <w:rFonts w:cs="Calibri"/>
                <w:sz w:val="21"/>
                <w:szCs w:val="21"/>
              </w:rPr>
            </w:pPr>
            <w:r w:rsidRPr="00BD16B4">
              <w:rPr>
                <w:rFonts w:cs="Calibri"/>
                <w:sz w:val="21"/>
                <w:szCs w:val="21"/>
              </w:rPr>
              <w:t>VKT</w:t>
            </w:r>
          </w:p>
        </w:tc>
        <w:tc>
          <w:tcPr>
            <w:tcW w:w="6804" w:type="dxa"/>
          </w:tcPr>
          <w:p w14:paraId="4F72C019" w14:textId="77777777" w:rsidR="009A47B9" w:rsidRPr="00BD16B4" w:rsidRDefault="009A47B9" w:rsidP="003D5A34">
            <w:pPr>
              <w:pStyle w:val="BodyText"/>
              <w:spacing w:before="50" w:after="50"/>
              <w:rPr>
                <w:rFonts w:cs="Calibri"/>
                <w:sz w:val="21"/>
                <w:szCs w:val="21"/>
              </w:rPr>
            </w:pPr>
            <w:r w:rsidRPr="00BD16B4">
              <w:rPr>
                <w:rFonts w:cs="Calibri"/>
                <w:sz w:val="21"/>
                <w:szCs w:val="21"/>
              </w:rPr>
              <w:t>Vehicle kilometres travelled</w:t>
            </w:r>
          </w:p>
        </w:tc>
      </w:tr>
      <w:tr w:rsidR="009A47B9" w:rsidRPr="00BD16B4" w14:paraId="1C5310BD" w14:textId="77777777" w:rsidTr="00B10948">
        <w:tc>
          <w:tcPr>
            <w:tcW w:w="1758" w:type="dxa"/>
          </w:tcPr>
          <w:p w14:paraId="402FE0F1" w14:textId="77777777" w:rsidR="009A47B9" w:rsidRPr="00BD16B4" w:rsidRDefault="009A47B9" w:rsidP="003D5A34">
            <w:pPr>
              <w:pStyle w:val="BodyText"/>
              <w:spacing w:before="50" w:after="50"/>
              <w:rPr>
                <w:rFonts w:cs="Calibri"/>
                <w:sz w:val="21"/>
                <w:szCs w:val="21"/>
              </w:rPr>
            </w:pPr>
            <w:r w:rsidRPr="00BD16B4">
              <w:rPr>
                <w:rFonts w:cs="Calibri"/>
                <w:sz w:val="21"/>
                <w:szCs w:val="21"/>
              </w:rPr>
              <w:t>VOS</w:t>
            </w:r>
          </w:p>
        </w:tc>
        <w:tc>
          <w:tcPr>
            <w:tcW w:w="6804" w:type="dxa"/>
          </w:tcPr>
          <w:p w14:paraId="07D548B6" w14:textId="77777777" w:rsidR="009A47B9" w:rsidRPr="00BD16B4" w:rsidRDefault="009A47B9" w:rsidP="003D5A34">
            <w:pPr>
              <w:pStyle w:val="BodyText"/>
              <w:spacing w:before="50" w:after="50"/>
              <w:rPr>
                <w:rFonts w:cs="Calibri"/>
                <w:sz w:val="21"/>
                <w:szCs w:val="21"/>
              </w:rPr>
            </w:pPr>
            <w:r w:rsidRPr="00BD16B4">
              <w:rPr>
                <w:rFonts w:cs="Calibri"/>
                <w:sz w:val="21"/>
                <w:szCs w:val="21"/>
              </w:rPr>
              <w:t>Voluntary Observing Ships Scheme</w:t>
            </w:r>
          </w:p>
        </w:tc>
      </w:tr>
      <w:tr w:rsidR="009A47B9" w:rsidRPr="00BD16B4" w14:paraId="404125F2" w14:textId="77777777" w:rsidTr="00B10948">
        <w:tc>
          <w:tcPr>
            <w:tcW w:w="1758" w:type="dxa"/>
          </w:tcPr>
          <w:p w14:paraId="39B5D2FD"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VOSClim </w:t>
            </w:r>
          </w:p>
        </w:tc>
        <w:tc>
          <w:tcPr>
            <w:tcW w:w="6804" w:type="dxa"/>
          </w:tcPr>
          <w:p w14:paraId="0F6C13D2" w14:textId="77777777" w:rsidR="009A47B9" w:rsidRPr="00BD16B4" w:rsidRDefault="009A47B9" w:rsidP="003D5A34">
            <w:pPr>
              <w:pStyle w:val="BodyText"/>
              <w:spacing w:before="50" w:after="50"/>
              <w:rPr>
                <w:rFonts w:cs="Calibri"/>
                <w:sz w:val="21"/>
                <w:szCs w:val="21"/>
              </w:rPr>
            </w:pPr>
            <w:r w:rsidRPr="00BD16B4">
              <w:rPr>
                <w:rFonts w:cs="Calibri"/>
                <w:sz w:val="21"/>
                <w:szCs w:val="21"/>
              </w:rPr>
              <w:t>VOS Climate Project</w:t>
            </w:r>
          </w:p>
        </w:tc>
      </w:tr>
      <w:tr w:rsidR="009A47B9" w:rsidRPr="00BD16B4" w14:paraId="61F7ED56" w14:textId="77777777" w:rsidTr="00B10948">
        <w:tc>
          <w:tcPr>
            <w:tcW w:w="1758" w:type="dxa"/>
          </w:tcPr>
          <w:p w14:paraId="1E5999C5" w14:textId="77777777" w:rsidR="009A47B9" w:rsidRPr="00BD16B4" w:rsidRDefault="009A47B9" w:rsidP="003D5A34">
            <w:pPr>
              <w:pStyle w:val="BodyText"/>
              <w:spacing w:before="50" w:after="50"/>
              <w:rPr>
                <w:rFonts w:cs="Calibri"/>
                <w:sz w:val="21"/>
                <w:szCs w:val="21"/>
              </w:rPr>
            </w:pPr>
            <w:r w:rsidRPr="00BD16B4">
              <w:rPr>
                <w:rFonts w:cs="Calibri"/>
                <w:sz w:val="21"/>
                <w:szCs w:val="21"/>
              </w:rPr>
              <w:t>WAM</w:t>
            </w:r>
          </w:p>
        </w:tc>
        <w:tc>
          <w:tcPr>
            <w:tcW w:w="6804" w:type="dxa"/>
          </w:tcPr>
          <w:p w14:paraId="6E6CE0C6" w14:textId="58DCA1ED" w:rsidR="009A47B9" w:rsidRPr="00BD16B4" w:rsidRDefault="00C4448F" w:rsidP="003D5A34">
            <w:pPr>
              <w:pStyle w:val="BodyText"/>
              <w:spacing w:before="50" w:after="50"/>
              <w:rPr>
                <w:rFonts w:cs="Calibri"/>
                <w:sz w:val="21"/>
                <w:szCs w:val="21"/>
              </w:rPr>
            </w:pPr>
            <w:r w:rsidRPr="00BD16B4">
              <w:rPr>
                <w:rFonts w:cs="Calibri"/>
                <w:sz w:val="21"/>
                <w:szCs w:val="21"/>
              </w:rPr>
              <w:t>W</w:t>
            </w:r>
            <w:r w:rsidR="009A47B9" w:rsidRPr="00BD16B4">
              <w:rPr>
                <w:rFonts w:cs="Calibri"/>
                <w:sz w:val="21"/>
                <w:szCs w:val="21"/>
              </w:rPr>
              <w:t>ith additional measures</w:t>
            </w:r>
          </w:p>
        </w:tc>
      </w:tr>
      <w:tr w:rsidR="009A47B9" w:rsidRPr="00BD16B4" w14:paraId="56014513" w14:textId="77777777" w:rsidTr="00B10948">
        <w:tc>
          <w:tcPr>
            <w:tcW w:w="1758" w:type="dxa"/>
          </w:tcPr>
          <w:p w14:paraId="7F58DB2C" w14:textId="77777777" w:rsidR="009A47B9" w:rsidRPr="00BD16B4" w:rsidRDefault="009A47B9" w:rsidP="003D5A34">
            <w:pPr>
              <w:pStyle w:val="BodyText"/>
              <w:spacing w:before="50" w:after="50"/>
              <w:rPr>
                <w:rFonts w:cs="Calibri"/>
                <w:sz w:val="21"/>
                <w:szCs w:val="21"/>
              </w:rPr>
            </w:pPr>
            <w:r w:rsidRPr="00BD16B4">
              <w:rPr>
                <w:rFonts w:cs="Calibri"/>
                <w:sz w:val="21"/>
                <w:szCs w:val="21"/>
              </w:rPr>
              <w:t>WEM</w:t>
            </w:r>
          </w:p>
        </w:tc>
        <w:tc>
          <w:tcPr>
            <w:tcW w:w="6804" w:type="dxa"/>
          </w:tcPr>
          <w:p w14:paraId="0EDD2C83" w14:textId="722EE945" w:rsidR="009A47B9" w:rsidRPr="00BD16B4" w:rsidRDefault="00C4448F" w:rsidP="003D5A34">
            <w:pPr>
              <w:pStyle w:val="BodyText"/>
              <w:spacing w:before="50" w:after="50"/>
              <w:rPr>
                <w:rFonts w:cs="Calibri"/>
                <w:sz w:val="21"/>
                <w:szCs w:val="21"/>
              </w:rPr>
            </w:pPr>
            <w:r w:rsidRPr="00BD16B4">
              <w:rPr>
                <w:rFonts w:cs="Calibri"/>
                <w:sz w:val="21"/>
                <w:szCs w:val="21"/>
              </w:rPr>
              <w:t>W</w:t>
            </w:r>
            <w:r w:rsidR="009A47B9" w:rsidRPr="00BD16B4">
              <w:rPr>
                <w:rFonts w:cs="Calibri"/>
                <w:sz w:val="21"/>
                <w:szCs w:val="21"/>
              </w:rPr>
              <w:t>ith existing measures</w:t>
            </w:r>
          </w:p>
        </w:tc>
      </w:tr>
      <w:tr w:rsidR="009A47B9" w:rsidRPr="00BD16B4" w14:paraId="18D9F87E" w14:textId="77777777" w:rsidTr="00B10948">
        <w:tc>
          <w:tcPr>
            <w:tcW w:w="1758" w:type="dxa"/>
          </w:tcPr>
          <w:p w14:paraId="09C3DF8B" w14:textId="77777777" w:rsidR="009A47B9" w:rsidRPr="00BD16B4" w:rsidRDefault="009A47B9" w:rsidP="003D5A34">
            <w:pPr>
              <w:pStyle w:val="BodyText"/>
              <w:spacing w:before="50" w:after="50"/>
              <w:rPr>
                <w:rFonts w:cs="Calibri"/>
                <w:sz w:val="21"/>
                <w:szCs w:val="21"/>
              </w:rPr>
            </w:pPr>
            <w:r w:rsidRPr="00BD16B4">
              <w:rPr>
                <w:rFonts w:cs="Calibri"/>
                <w:sz w:val="21"/>
                <w:szCs w:val="21"/>
              </w:rPr>
              <w:t>WKH</w:t>
            </w:r>
          </w:p>
        </w:tc>
        <w:tc>
          <w:tcPr>
            <w:tcW w:w="6804" w:type="dxa"/>
          </w:tcPr>
          <w:p w14:paraId="3A6391B7" w14:textId="77777777" w:rsidR="009A47B9" w:rsidRPr="00BD16B4" w:rsidRDefault="009A47B9" w:rsidP="003D5A34">
            <w:pPr>
              <w:pStyle w:val="BodyText"/>
              <w:spacing w:before="50" w:after="50"/>
              <w:rPr>
                <w:rFonts w:cs="Calibri"/>
                <w:sz w:val="21"/>
                <w:szCs w:val="21"/>
              </w:rPr>
            </w:pPr>
            <w:r w:rsidRPr="00BD16B4">
              <w:rPr>
                <w:rFonts w:cs="Calibri"/>
                <w:sz w:val="21"/>
                <w:szCs w:val="21"/>
              </w:rPr>
              <w:t>Warmer Kiwi Homes</w:t>
            </w:r>
          </w:p>
        </w:tc>
      </w:tr>
      <w:tr w:rsidR="009A47B9" w:rsidRPr="00BD16B4" w14:paraId="60AEAA57" w14:textId="77777777" w:rsidTr="00B10948">
        <w:tc>
          <w:tcPr>
            <w:tcW w:w="1758" w:type="dxa"/>
          </w:tcPr>
          <w:p w14:paraId="7D1EB989" w14:textId="77777777" w:rsidR="009A47B9" w:rsidRPr="00BD16B4" w:rsidRDefault="009A47B9" w:rsidP="003D5A34">
            <w:pPr>
              <w:pStyle w:val="BodyText"/>
              <w:spacing w:before="50" w:after="50"/>
              <w:rPr>
                <w:rFonts w:cs="Calibri"/>
                <w:sz w:val="21"/>
                <w:szCs w:val="21"/>
              </w:rPr>
            </w:pPr>
            <w:r w:rsidRPr="00BD16B4">
              <w:rPr>
                <w:rFonts w:cs="Calibri"/>
                <w:sz w:val="21"/>
                <w:szCs w:val="21"/>
              </w:rPr>
              <w:t>WMF</w:t>
            </w:r>
          </w:p>
        </w:tc>
        <w:tc>
          <w:tcPr>
            <w:tcW w:w="6804" w:type="dxa"/>
          </w:tcPr>
          <w:p w14:paraId="1EC0ACB7" w14:textId="77777777" w:rsidR="009A47B9" w:rsidRPr="00BD16B4" w:rsidRDefault="009A47B9" w:rsidP="003D5A34">
            <w:pPr>
              <w:pStyle w:val="BodyText"/>
              <w:spacing w:before="50" w:after="50"/>
              <w:rPr>
                <w:rFonts w:cs="Calibri"/>
                <w:sz w:val="21"/>
                <w:szCs w:val="21"/>
              </w:rPr>
            </w:pPr>
            <w:r w:rsidRPr="00BD16B4">
              <w:rPr>
                <w:rFonts w:cs="Calibri"/>
                <w:sz w:val="21"/>
                <w:szCs w:val="21"/>
              </w:rPr>
              <w:t>Waste Minimisation Fund</w:t>
            </w:r>
          </w:p>
        </w:tc>
      </w:tr>
      <w:tr w:rsidR="009A47B9" w:rsidRPr="00BD16B4" w14:paraId="2398D652" w14:textId="77777777" w:rsidTr="00B10948">
        <w:tc>
          <w:tcPr>
            <w:tcW w:w="1758" w:type="dxa"/>
          </w:tcPr>
          <w:p w14:paraId="27C9BED9" w14:textId="77777777" w:rsidR="009A47B9" w:rsidRPr="00BD16B4" w:rsidRDefault="009A47B9" w:rsidP="003D5A34">
            <w:pPr>
              <w:pStyle w:val="BodyText"/>
              <w:spacing w:before="50" w:after="50"/>
              <w:rPr>
                <w:rFonts w:cs="Calibri"/>
                <w:sz w:val="21"/>
                <w:szCs w:val="21"/>
                <w:lang w:eastAsia="en-GB"/>
              </w:rPr>
            </w:pPr>
            <w:r w:rsidRPr="00BD16B4">
              <w:rPr>
                <w:rFonts w:cs="Calibri"/>
                <w:sz w:val="21"/>
                <w:szCs w:val="21"/>
                <w:lang w:eastAsia="en-GB"/>
              </w:rPr>
              <w:t>WMO</w:t>
            </w:r>
          </w:p>
        </w:tc>
        <w:tc>
          <w:tcPr>
            <w:tcW w:w="6804" w:type="dxa"/>
          </w:tcPr>
          <w:p w14:paraId="01AB4C40" w14:textId="77777777" w:rsidR="009A47B9" w:rsidRPr="00BD16B4" w:rsidRDefault="009A47B9" w:rsidP="003D5A34">
            <w:pPr>
              <w:pStyle w:val="BodyText"/>
              <w:spacing w:before="50" w:after="50"/>
              <w:rPr>
                <w:rFonts w:cs="Calibri"/>
                <w:sz w:val="21"/>
                <w:szCs w:val="21"/>
                <w:lang w:eastAsia="en-GB"/>
              </w:rPr>
            </w:pPr>
            <w:r w:rsidRPr="00BD16B4">
              <w:rPr>
                <w:rFonts w:cs="Calibri"/>
                <w:sz w:val="21"/>
                <w:szCs w:val="21"/>
                <w:lang w:eastAsia="en-GB"/>
              </w:rPr>
              <w:t>World Meteorological Organization</w:t>
            </w:r>
          </w:p>
        </w:tc>
      </w:tr>
      <w:tr w:rsidR="009A47B9" w:rsidRPr="00BD16B4" w14:paraId="10E2E921" w14:textId="77777777" w:rsidTr="00B10948">
        <w:tc>
          <w:tcPr>
            <w:tcW w:w="1758" w:type="dxa"/>
          </w:tcPr>
          <w:p w14:paraId="3962BB91"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WMO/GAW </w:t>
            </w:r>
          </w:p>
        </w:tc>
        <w:tc>
          <w:tcPr>
            <w:tcW w:w="6804" w:type="dxa"/>
          </w:tcPr>
          <w:p w14:paraId="1BC287DD" w14:textId="77777777" w:rsidR="009A47B9" w:rsidRPr="00BD16B4" w:rsidRDefault="009A47B9" w:rsidP="003D5A34">
            <w:pPr>
              <w:pStyle w:val="BodyText"/>
              <w:spacing w:before="50" w:after="50"/>
              <w:rPr>
                <w:rFonts w:cs="Calibri"/>
                <w:sz w:val="21"/>
                <w:szCs w:val="21"/>
              </w:rPr>
            </w:pPr>
            <w:r w:rsidRPr="00BD16B4">
              <w:rPr>
                <w:rFonts w:cs="Calibri"/>
                <w:sz w:val="21"/>
                <w:szCs w:val="21"/>
              </w:rPr>
              <w:t>World Meteorological Organization / Global Atmosphere Watch</w:t>
            </w:r>
          </w:p>
        </w:tc>
      </w:tr>
      <w:tr w:rsidR="009A47B9" w:rsidRPr="00BD16B4" w14:paraId="1FFC9504" w14:textId="77777777" w:rsidTr="00B10948">
        <w:tc>
          <w:tcPr>
            <w:tcW w:w="1758" w:type="dxa"/>
          </w:tcPr>
          <w:p w14:paraId="6C16412C" w14:textId="77777777" w:rsidR="009A47B9" w:rsidRPr="00BD16B4" w:rsidRDefault="009A47B9" w:rsidP="003D5A34">
            <w:pPr>
              <w:pStyle w:val="BodyText"/>
              <w:spacing w:before="50" w:after="50"/>
              <w:rPr>
                <w:rFonts w:cs="Calibri"/>
                <w:sz w:val="21"/>
                <w:szCs w:val="21"/>
              </w:rPr>
            </w:pPr>
            <w:r w:rsidRPr="00BD16B4">
              <w:rPr>
                <w:rFonts w:cs="Calibri"/>
                <w:sz w:val="21"/>
                <w:szCs w:val="21"/>
              </w:rPr>
              <w:t>WOM</w:t>
            </w:r>
          </w:p>
        </w:tc>
        <w:tc>
          <w:tcPr>
            <w:tcW w:w="6804" w:type="dxa"/>
          </w:tcPr>
          <w:p w14:paraId="2CCF18F1" w14:textId="05C39DF1" w:rsidR="009A47B9" w:rsidRPr="00BD16B4" w:rsidRDefault="00C4448F" w:rsidP="003D5A34">
            <w:pPr>
              <w:pStyle w:val="BodyText"/>
              <w:spacing w:before="50" w:after="50"/>
              <w:rPr>
                <w:rFonts w:cs="Calibri"/>
                <w:sz w:val="21"/>
                <w:szCs w:val="21"/>
              </w:rPr>
            </w:pPr>
            <w:r w:rsidRPr="00BD16B4">
              <w:rPr>
                <w:rFonts w:cs="Calibri"/>
                <w:sz w:val="21"/>
                <w:szCs w:val="21"/>
              </w:rPr>
              <w:t>W</w:t>
            </w:r>
            <w:r w:rsidR="009A47B9" w:rsidRPr="00BD16B4">
              <w:rPr>
                <w:rFonts w:cs="Calibri"/>
                <w:sz w:val="21"/>
                <w:szCs w:val="21"/>
              </w:rPr>
              <w:t>ithout measures</w:t>
            </w:r>
          </w:p>
        </w:tc>
      </w:tr>
      <w:tr w:rsidR="009A47B9" w:rsidRPr="00BD16B4" w14:paraId="15A0812F" w14:textId="77777777" w:rsidTr="00B10948">
        <w:tc>
          <w:tcPr>
            <w:tcW w:w="1758" w:type="dxa"/>
          </w:tcPr>
          <w:p w14:paraId="37ED8E86" w14:textId="77777777" w:rsidR="009A47B9" w:rsidRPr="00BD16B4" w:rsidRDefault="009A47B9" w:rsidP="003D5A34">
            <w:pPr>
              <w:pStyle w:val="BodyText"/>
              <w:spacing w:before="50" w:after="50"/>
              <w:rPr>
                <w:rFonts w:cs="Calibri"/>
                <w:sz w:val="21"/>
                <w:szCs w:val="21"/>
              </w:rPr>
            </w:pPr>
            <w:r w:rsidRPr="00BD16B4">
              <w:rPr>
                <w:rFonts w:cs="Calibri"/>
                <w:sz w:val="21"/>
                <w:szCs w:val="21"/>
              </w:rPr>
              <w:t>WOUDC</w:t>
            </w:r>
          </w:p>
        </w:tc>
        <w:tc>
          <w:tcPr>
            <w:tcW w:w="6804" w:type="dxa"/>
          </w:tcPr>
          <w:p w14:paraId="2F817CE1" w14:textId="77777777" w:rsidR="009A47B9" w:rsidRPr="00BD16B4" w:rsidRDefault="009A47B9" w:rsidP="003D5A34">
            <w:pPr>
              <w:pStyle w:val="BodyText"/>
              <w:spacing w:before="50" w:after="50"/>
              <w:rPr>
                <w:rFonts w:cs="Calibri"/>
                <w:sz w:val="21"/>
                <w:szCs w:val="21"/>
              </w:rPr>
            </w:pPr>
            <w:r w:rsidRPr="00BD16B4">
              <w:rPr>
                <w:rFonts w:cs="Calibri"/>
                <w:sz w:val="21"/>
                <w:szCs w:val="21"/>
              </w:rPr>
              <w:t>World Ozone and Ultraviolet Radiation Data Centre</w:t>
            </w:r>
          </w:p>
        </w:tc>
      </w:tr>
      <w:tr w:rsidR="009A47B9" w:rsidRPr="00BD16B4" w14:paraId="2C6D32A5" w14:textId="77777777" w:rsidTr="00B10948">
        <w:tc>
          <w:tcPr>
            <w:tcW w:w="1758" w:type="dxa"/>
          </w:tcPr>
          <w:p w14:paraId="49889974" w14:textId="77777777" w:rsidR="009A47B9" w:rsidRPr="00BD16B4" w:rsidRDefault="009A47B9" w:rsidP="003D5A34">
            <w:pPr>
              <w:pStyle w:val="BodyText"/>
              <w:spacing w:before="50" w:after="50"/>
              <w:rPr>
                <w:rFonts w:cs="Calibri"/>
                <w:sz w:val="21"/>
                <w:szCs w:val="21"/>
              </w:rPr>
            </w:pPr>
            <w:r w:rsidRPr="00BD16B4">
              <w:rPr>
                <w:rFonts w:cs="Calibri"/>
                <w:sz w:val="21"/>
                <w:szCs w:val="21"/>
              </w:rPr>
              <w:t>WUNZ</w:t>
            </w:r>
          </w:p>
        </w:tc>
        <w:tc>
          <w:tcPr>
            <w:tcW w:w="6804" w:type="dxa"/>
          </w:tcPr>
          <w:p w14:paraId="1873C585" w14:textId="77777777" w:rsidR="009A47B9" w:rsidRPr="00BD16B4" w:rsidRDefault="009A47B9" w:rsidP="003D5A34">
            <w:pPr>
              <w:pStyle w:val="BodyText"/>
              <w:spacing w:before="50" w:after="50"/>
              <w:rPr>
                <w:rFonts w:cs="Calibri"/>
                <w:sz w:val="21"/>
                <w:szCs w:val="21"/>
              </w:rPr>
            </w:pPr>
            <w:r w:rsidRPr="00BD16B4">
              <w:rPr>
                <w:rFonts w:cs="Calibri"/>
                <w:sz w:val="21"/>
                <w:szCs w:val="21"/>
              </w:rPr>
              <w:t>Warmup New Zealand</w:t>
            </w:r>
          </w:p>
        </w:tc>
      </w:tr>
      <w:tr w:rsidR="009A47B9" w:rsidRPr="00BD16B4" w14:paraId="5EB6313C" w14:textId="77777777" w:rsidTr="00B10948">
        <w:tc>
          <w:tcPr>
            <w:tcW w:w="1758" w:type="dxa"/>
          </w:tcPr>
          <w:p w14:paraId="743CA7AC" w14:textId="77777777" w:rsidR="009A47B9" w:rsidRPr="00BD16B4" w:rsidRDefault="009A47B9" w:rsidP="003D5A34">
            <w:pPr>
              <w:pStyle w:val="BodyText"/>
              <w:spacing w:before="50" w:after="50"/>
              <w:rPr>
                <w:rFonts w:cs="Calibri"/>
                <w:sz w:val="21"/>
                <w:szCs w:val="21"/>
              </w:rPr>
            </w:pPr>
            <w:r w:rsidRPr="00BD16B4">
              <w:rPr>
                <w:rFonts w:cs="Calibri"/>
                <w:sz w:val="21"/>
                <w:szCs w:val="21"/>
              </w:rPr>
              <w:t xml:space="preserve">WWW/GOS </w:t>
            </w:r>
          </w:p>
        </w:tc>
        <w:tc>
          <w:tcPr>
            <w:tcW w:w="6804" w:type="dxa"/>
          </w:tcPr>
          <w:p w14:paraId="55F9797A" w14:textId="77777777" w:rsidR="009A47B9" w:rsidRPr="00BD16B4" w:rsidRDefault="009A47B9" w:rsidP="003D5A34">
            <w:pPr>
              <w:pStyle w:val="BodyText"/>
              <w:spacing w:before="50" w:after="50"/>
              <w:rPr>
                <w:rFonts w:cs="Calibri"/>
                <w:sz w:val="21"/>
                <w:szCs w:val="21"/>
              </w:rPr>
            </w:pPr>
            <w:r w:rsidRPr="00BD16B4">
              <w:rPr>
                <w:rFonts w:cs="Calibri"/>
                <w:sz w:val="21"/>
                <w:szCs w:val="21"/>
              </w:rPr>
              <w:t>World Weather Watch / Global Observing System</w:t>
            </w:r>
          </w:p>
        </w:tc>
      </w:tr>
    </w:tbl>
    <w:p w14:paraId="0B8E9B15" w14:textId="77777777" w:rsidR="00987F0B" w:rsidRPr="00BD16B4" w:rsidRDefault="00987F0B" w:rsidP="00B10948">
      <w:pPr>
        <w:pStyle w:val="BodyText"/>
        <w:spacing w:before="0" w:after="0"/>
      </w:pPr>
    </w:p>
    <w:p w14:paraId="78E03105" w14:textId="77777777" w:rsidR="00987F0B" w:rsidRPr="00BD16B4" w:rsidRDefault="00987F0B" w:rsidP="00987F0B">
      <w:pPr>
        <w:pStyle w:val="Heading1"/>
        <w:sectPr w:rsidR="00987F0B" w:rsidRPr="00BD16B4" w:rsidSect="008A7498">
          <w:footerReference w:type="even" r:id="rId28"/>
          <w:footerReference w:type="default" r:id="rId29"/>
          <w:pgSz w:w="11907" w:h="16840" w:code="9"/>
          <w:pgMar w:top="1134" w:right="1701" w:bottom="1134" w:left="1701" w:header="567" w:footer="567" w:gutter="0"/>
          <w:cols w:space="720"/>
          <w:docGrid w:linePitch="299"/>
        </w:sectPr>
      </w:pPr>
      <w:bookmarkStart w:id="3" w:name="_Toc500796122"/>
    </w:p>
    <w:p w14:paraId="6C8CB8C9" w14:textId="77777777" w:rsidR="00842EF2" w:rsidRPr="00BD16B4" w:rsidRDefault="00842EF2" w:rsidP="00774851">
      <w:pPr>
        <w:keepNext/>
        <w:tabs>
          <w:tab w:val="left" w:pos="851"/>
        </w:tabs>
        <w:spacing w:after="480" w:line="600" w:lineRule="atLeast"/>
        <w:outlineLvl w:val="0"/>
        <w:rPr>
          <w:rFonts w:ascii="Georgia" w:eastAsia="MS Gothic" w:hAnsi="Georgia" w:cs="Times New Roman"/>
          <w:b/>
          <w:bCs/>
          <w:color w:val="1B556B"/>
          <w:sz w:val="48"/>
          <w:szCs w:val="28"/>
        </w:rPr>
      </w:pPr>
      <w:bookmarkStart w:id="4" w:name="_Toc103156334"/>
      <w:bookmarkEnd w:id="3"/>
      <w:r w:rsidRPr="00BD16B4">
        <w:rPr>
          <w:rFonts w:ascii="Georgia" w:eastAsia="MS Gothic" w:hAnsi="Georgia" w:cs="Times New Roman"/>
          <w:b/>
          <w:bCs/>
          <w:color w:val="1B556B"/>
          <w:sz w:val="48"/>
          <w:szCs w:val="28"/>
        </w:rPr>
        <w:lastRenderedPageBreak/>
        <w:t>Te reo Māori glossary</w:t>
      </w:r>
    </w:p>
    <w:tbl>
      <w:tblPr>
        <w:tblStyle w:val="TableGrid1"/>
        <w:tblW w:w="8505" w:type="dxa"/>
        <w:tblInd w:w="136" w:type="dxa"/>
        <w:tblLayout w:type="fixed"/>
        <w:tblCellMar>
          <w:right w:w="0" w:type="dxa"/>
        </w:tblCellMar>
        <w:tblLook w:val="04A0" w:firstRow="1" w:lastRow="0" w:firstColumn="1" w:lastColumn="0" w:noHBand="0" w:noVBand="1"/>
      </w:tblPr>
      <w:tblGrid>
        <w:gridCol w:w="1957"/>
        <w:gridCol w:w="6548"/>
      </w:tblGrid>
      <w:tr w:rsidR="00F56010" w:rsidRPr="00BD16B4" w14:paraId="14BD11FE" w14:textId="77777777" w:rsidTr="00A25ABD">
        <w:trPr>
          <w:tblHeader/>
        </w:trPr>
        <w:tc>
          <w:tcPr>
            <w:tcW w:w="1957" w:type="dxa"/>
            <w:shd w:val="clear" w:color="auto" w:fill="1B556B" w:themeFill="text2"/>
            <w:hideMark/>
          </w:tcPr>
          <w:bookmarkEnd w:id="4"/>
          <w:p w14:paraId="42474A26" w14:textId="77777777" w:rsidR="00842EF2" w:rsidRPr="00BD16B4" w:rsidRDefault="00842EF2" w:rsidP="00257FC6">
            <w:pPr>
              <w:pStyle w:val="BodyText"/>
              <w:spacing w:before="60" w:after="80"/>
              <w:rPr>
                <w:rFonts w:cs="Calibri"/>
                <w:b/>
                <w:bCs/>
                <w:color w:val="FFFFFF" w:themeColor="background1"/>
                <w:sz w:val="21"/>
                <w:szCs w:val="21"/>
                <w:lang w:val="en-NZ"/>
              </w:rPr>
            </w:pPr>
            <w:r w:rsidRPr="00BD16B4">
              <w:rPr>
                <w:rFonts w:cs="Calibri"/>
                <w:b/>
                <w:bCs/>
                <w:color w:val="FFFFFF" w:themeColor="background1"/>
                <w:sz w:val="21"/>
                <w:szCs w:val="21"/>
                <w:lang w:val="en-NZ"/>
              </w:rPr>
              <w:t>Te reo Māori</w:t>
            </w:r>
          </w:p>
        </w:tc>
        <w:tc>
          <w:tcPr>
            <w:tcW w:w="6548" w:type="dxa"/>
            <w:shd w:val="clear" w:color="auto" w:fill="1B556B" w:themeFill="text2"/>
            <w:hideMark/>
          </w:tcPr>
          <w:p w14:paraId="43F4786F" w14:textId="77777777" w:rsidR="00842EF2" w:rsidRPr="00BD16B4" w:rsidRDefault="00842EF2" w:rsidP="00257FC6">
            <w:pPr>
              <w:pStyle w:val="BodyText"/>
              <w:spacing w:before="60" w:after="80"/>
              <w:rPr>
                <w:rFonts w:cs="Calibri"/>
                <w:b/>
                <w:bCs/>
                <w:color w:val="FFFFFF" w:themeColor="background1"/>
                <w:sz w:val="21"/>
                <w:szCs w:val="21"/>
                <w:lang w:val="en-NZ"/>
              </w:rPr>
            </w:pPr>
            <w:r w:rsidRPr="00BD16B4">
              <w:rPr>
                <w:rFonts w:cs="Calibri"/>
                <w:b/>
                <w:bCs/>
                <w:color w:val="FFFFFF" w:themeColor="background1"/>
                <w:sz w:val="21"/>
                <w:szCs w:val="21"/>
                <w:lang w:val="en-NZ"/>
              </w:rPr>
              <w:t>English</w:t>
            </w:r>
          </w:p>
        </w:tc>
      </w:tr>
      <w:tr w:rsidR="00842EF2" w:rsidRPr="00BD16B4" w14:paraId="2C985A8B" w14:textId="77777777" w:rsidTr="00A25ABD">
        <w:tc>
          <w:tcPr>
            <w:tcW w:w="1957" w:type="dxa"/>
          </w:tcPr>
          <w:p w14:paraId="346804AE"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Ākonga</w:t>
            </w:r>
          </w:p>
        </w:tc>
        <w:tc>
          <w:tcPr>
            <w:tcW w:w="6548" w:type="dxa"/>
          </w:tcPr>
          <w:p w14:paraId="15886506" w14:textId="66500BCD" w:rsidR="00842EF2" w:rsidRPr="00BD16B4" w:rsidRDefault="00AC64EA" w:rsidP="00F56010">
            <w:pPr>
              <w:pStyle w:val="BodyText"/>
              <w:spacing w:before="60" w:after="60"/>
              <w:rPr>
                <w:rFonts w:cs="Calibri"/>
                <w:sz w:val="21"/>
                <w:szCs w:val="21"/>
                <w:lang w:val="en-NZ"/>
              </w:rPr>
            </w:pPr>
            <w:r w:rsidRPr="00BD16B4">
              <w:rPr>
                <w:rFonts w:cs="Calibri"/>
                <w:sz w:val="21"/>
                <w:szCs w:val="21"/>
                <w:lang w:val="en-NZ"/>
              </w:rPr>
              <w:t>S</w:t>
            </w:r>
            <w:r w:rsidR="00842EF2" w:rsidRPr="00BD16B4">
              <w:rPr>
                <w:rFonts w:cs="Calibri"/>
                <w:sz w:val="21"/>
                <w:szCs w:val="21"/>
                <w:lang w:val="en-NZ"/>
              </w:rPr>
              <w:t>tudents</w:t>
            </w:r>
            <w:r w:rsidR="009C46A2" w:rsidRPr="00BD16B4">
              <w:rPr>
                <w:rFonts w:cs="Calibri"/>
                <w:sz w:val="21"/>
                <w:szCs w:val="21"/>
                <w:lang w:val="en-NZ"/>
              </w:rPr>
              <w:t>.</w:t>
            </w:r>
          </w:p>
        </w:tc>
      </w:tr>
      <w:tr w:rsidR="00842EF2" w:rsidRPr="00BD16B4" w14:paraId="53245BF1" w14:textId="77777777" w:rsidTr="00A25ABD">
        <w:tc>
          <w:tcPr>
            <w:tcW w:w="1957" w:type="dxa"/>
          </w:tcPr>
          <w:p w14:paraId="6BD64549"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Awa</w:t>
            </w:r>
          </w:p>
        </w:tc>
        <w:tc>
          <w:tcPr>
            <w:tcW w:w="6548" w:type="dxa"/>
          </w:tcPr>
          <w:p w14:paraId="162CE39B"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River, stream, creek.</w:t>
            </w:r>
          </w:p>
        </w:tc>
      </w:tr>
      <w:tr w:rsidR="00842EF2" w:rsidRPr="00BD16B4" w14:paraId="5D1E4399" w14:textId="77777777" w:rsidTr="00A25ABD">
        <w:tc>
          <w:tcPr>
            <w:tcW w:w="1957" w:type="dxa"/>
            <w:hideMark/>
          </w:tcPr>
          <w:p w14:paraId="34E813F4"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Ara whakamua</w:t>
            </w:r>
          </w:p>
        </w:tc>
        <w:tc>
          <w:tcPr>
            <w:tcW w:w="6548" w:type="dxa"/>
            <w:hideMark/>
          </w:tcPr>
          <w:p w14:paraId="46524498"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The path forward.</w:t>
            </w:r>
          </w:p>
        </w:tc>
      </w:tr>
      <w:tr w:rsidR="00842EF2" w:rsidRPr="00BD16B4" w14:paraId="29209DA6" w14:textId="77777777" w:rsidTr="00A25ABD">
        <w:tc>
          <w:tcPr>
            <w:tcW w:w="1957" w:type="dxa"/>
            <w:hideMark/>
          </w:tcPr>
          <w:p w14:paraId="6D143040"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Hapori</w:t>
            </w:r>
          </w:p>
        </w:tc>
        <w:tc>
          <w:tcPr>
            <w:tcW w:w="6548" w:type="dxa"/>
            <w:hideMark/>
          </w:tcPr>
          <w:p w14:paraId="3A8C0821"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Community, section of a kinship group, family, society.</w:t>
            </w:r>
          </w:p>
        </w:tc>
      </w:tr>
      <w:tr w:rsidR="00842EF2" w:rsidRPr="00BD16B4" w14:paraId="07CDA2BA" w14:textId="77777777" w:rsidTr="00A25ABD">
        <w:tc>
          <w:tcPr>
            <w:tcW w:w="1957" w:type="dxa"/>
            <w:hideMark/>
          </w:tcPr>
          <w:p w14:paraId="634CC3F7"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Hapū</w:t>
            </w:r>
          </w:p>
        </w:tc>
        <w:tc>
          <w:tcPr>
            <w:tcW w:w="6548" w:type="dxa"/>
            <w:hideMark/>
          </w:tcPr>
          <w:p w14:paraId="1306D2B2"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Kinship group, clan, subtribe.</w:t>
            </w:r>
          </w:p>
        </w:tc>
      </w:tr>
      <w:tr w:rsidR="00842EF2" w:rsidRPr="00BD16B4" w14:paraId="4F46AA61" w14:textId="77777777" w:rsidTr="00A25ABD">
        <w:tc>
          <w:tcPr>
            <w:tcW w:w="1957" w:type="dxa"/>
            <w:hideMark/>
          </w:tcPr>
          <w:p w14:paraId="76E8658D"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Iwi</w:t>
            </w:r>
          </w:p>
        </w:tc>
        <w:tc>
          <w:tcPr>
            <w:tcW w:w="6548" w:type="dxa"/>
            <w:hideMark/>
          </w:tcPr>
          <w:p w14:paraId="4C8CC3F7"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Tribe, large group descended from a common ancestor.</w:t>
            </w:r>
          </w:p>
        </w:tc>
      </w:tr>
      <w:tr w:rsidR="00842EF2" w:rsidRPr="00BD16B4" w14:paraId="21453580" w14:textId="77777777" w:rsidTr="00A25ABD">
        <w:tc>
          <w:tcPr>
            <w:tcW w:w="1957" w:type="dxa"/>
          </w:tcPr>
          <w:p w14:paraId="51820DB5"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Kaiako</w:t>
            </w:r>
          </w:p>
        </w:tc>
        <w:tc>
          <w:tcPr>
            <w:tcW w:w="6548" w:type="dxa"/>
          </w:tcPr>
          <w:p w14:paraId="0554CCE6"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Teacher, instructor.</w:t>
            </w:r>
          </w:p>
        </w:tc>
      </w:tr>
      <w:tr w:rsidR="00842EF2" w:rsidRPr="00BD16B4" w14:paraId="03DC8F63" w14:textId="77777777" w:rsidTr="00A25ABD">
        <w:tc>
          <w:tcPr>
            <w:tcW w:w="1957" w:type="dxa"/>
          </w:tcPr>
          <w:p w14:paraId="77222DD6"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Kaitiaki</w:t>
            </w:r>
          </w:p>
        </w:tc>
        <w:tc>
          <w:tcPr>
            <w:tcW w:w="6548" w:type="dxa"/>
          </w:tcPr>
          <w:p w14:paraId="75456FBD"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Guardian, caretaker, manager, trustee.</w:t>
            </w:r>
          </w:p>
        </w:tc>
      </w:tr>
      <w:tr w:rsidR="00842EF2" w:rsidRPr="00BD16B4" w14:paraId="6D108DFA" w14:textId="77777777" w:rsidTr="00A25ABD">
        <w:tc>
          <w:tcPr>
            <w:tcW w:w="1957" w:type="dxa"/>
            <w:hideMark/>
          </w:tcPr>
          <w:p w14:paraId="3F7587D4"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Kaitiakitanga</w:t>
            </w:r>
          </w:p>
        </w:tc>
        <w:tc>
          <w:tcPr>
            <w:tcW w:w="6548" w:type="dxa"/>
            <w:hideMark/>
          </w:tcPr>
          <w:p w14:paraId="1AE8B911"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Guardian or guardianship, stewardship – for example, of natural resources.</w:t>
            </w:r>
          </w:p>
        </w:tc>
      </w:tr>
      <w:tr w:rsidR="00842EF2" w:rsidRPr="00BD16B4" w14:paraId="2708DF66" w14:textId="77777777" w:rsidTr="00A25ABD">
        <w:tc>
          <w:tcPr>
            <w:tcW w:w="1957" w:type="dxa"/>
            <w:hideMark/>
          </w:tcPr>
          <w:p w14:paraId="2F2390A1"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Karanga</w:t>
            </w:r>
          </w:p>
        </w:tc>
        <w:tc>
          <w:tcPr>
            <w:tcW w:w="6548" w:type="dxa"/>
            <w:hideMark/>
          </w:tcPr>
          <w:p w14:paraId="02703E0B"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Formal call, ceremonial call, welcome call.</w:t>
            </w:r>
          </w:p>
        </w:tc>
      </w:tr>
      <w:tr w:rsidR="00842EF2" w:rsidRPr="00BD16B4" w14:paraId="64D1490E" w14:textId="77777777" w:rsidTr="00A25ABD">
        <w:tc>
          <w:tcPr>
            <w:tcW w:w="1957" w:type="dxa"/>
            <w:hideMark/>
          </w:tcPr>
          <w:p w14:paraId="1A6F16C3"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Kaupapa Māori</w:t>
            </w:r>
          </w:p>
        </w:tc>
        <w:tc>
          <w:tcPr>
            <w:tcW w:w="6548" w:type="dxa"/>
            <w:hideMark/>
          </w:tcPr>
          <w:p w14:paraId="32C904FE"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Māori approach, topic, customary practice, institution, agenda, principles, ideology – a philosophical doctrine incorporating the knowledge, skills, attitudes and values of Māori society.</w:t>
            </w:r>
          </w:p>
        </w:tc>
      </w:tr>
      <w:tr w:rsidR="00842EF2" w:rsidRPr="00BD16B4" w14:paraId="2EEDB131" w14:textId="77777777" w:rsidTr="00A25ABD">
        <w:tc>
          <w:tcPr>
            <w:tcW w:w="1957" w:type="dxa"/>
            <w:hideMark/>
          </w:tcPr>
          <w:p w14:paraId="4BEC948C"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Kawa</w:t>
            </w:r>
          </w:p>
        </w:tc>
        <w:tc>
          <w:tcPr>
            <w:tcW w:w="6548" w:type="dxa"/>
            <w:hideMark/>
          </w:tcPr>
          <w:p w14:paraId="4E0B9F5E"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Ceremony, protocol.</w:t>
            </w:r>
          </w:p>
        </w:tc>
      </w:tr>
      <w:tr w:rsidR="00842EF2" w:rsidRPr="00BD16B4" w14:paraId="0806DDC1" w14:textId="77777777" w:rsidTr="00A25ABD">
        <w:tc>
          <w:tcPr>
            <w:tcW w:w="1957" w:type="dxa"/>
            <w:hideMark/>
          </w:tcPr>
          <w:p w14:paraId="6FB368AF"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Kāwanatanga</w:t>
            </w:r>
          </w:p>
        </w:tc>
        <w:tc>
          <w:tcPr>
            <w:tcW w:w="6548" w:type="dxa"/>
            <w:hideMark/>
          </w:tcPr>
          <w:p w14:paraId="50C3F124"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Government, dominion, rule, governorship.</w:t>
            </w:r>
          </w:p>
        </w:tc>
      </w:tr>
      <w:tr w:rsidR="00842EF2" w:rsidRPr="00BD16B4" w14:paraId="75425F72" w14:textId="77777777" w:rsidTr="00A25ABD">
        <w:tc>
          <w:tcPr>
            <w:tcW w:w="1957" w:type="dxa"/>
          </w:tcPr>
          <w:p w14:paraId="0A75E944"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Kōhanga reo</w:t>
            </w:r>
          </w:p>
        </w:tc>
        <w:tc>
          <w:tcPr>
            <w:tcW w:w="6548" w:type="dxa"/>
          </w:tcPr>
          <w:p w14:paraId="6882995C"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Māori language preschool.</w:t>
            </w:r>
          </w:p>
        </w:tc>
      </w:tr>
      <w:tr w:rsidR="00842EF2" w:rsidRPr="00BD16B4" w14:paraId="1C9066D4" w14:textId="77777777" w:rsidTr="00A25ABD">
        <w:tc>
          <w:tcPr>
            <w:tcW w:w="1957" w:type="dxa"/>
            <w:hideMark/>
          </w:tcPr>
          <w:p w14:paraId="0E549061"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Kura</w:t>
            </w:r>
          </w:p>
        </w:tc>
        <w:tc>
          <w:tcPr>
            <w:tcW w:w="6548" w:type="dxa"/>
            <w:hideMark/>
          </w:tcPr>
          <w:p w14:paraId="5D33855F"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School, education, learning gathering.</w:t>
            </w:r>
          </w:p>
        </w:tc>
      </w:tr>
      <w:tr w:rsidR="00842EF2" w:rsidRPr="00BD16B4" w14:paraId="05D55F18" w14:textId="77777777" w:rsidTr="00A25ABD">
        <w:tc>
          <w:tcPr>
            <w:tcW w:w="1957" w:type="dxa"/>
            <w:hideMark/>
          </w:tcPr>
          <w:p w14:paraId="6AC59A45"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Mahinga kai</w:t>
            </w:r>
          </w:p>
        </w:tc>
        <w:tc>
          <w:tcPr>
            <w:tcW w:w="6548" w:type="dxa"/>
            <w:hideMark/>
          </w:tcPr>
          <w:p w14:paraId="39BC3F4E"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Places where traditional food and other natural resources are obtained.</w:t>
            </w:r>
          </w:p>
        </w:tc>
      </w:tr>
      <w:tr w:rsidR="00842EF2" w:rsidRPr="00BD16B4" w14:paraId="5CAF9F5C" w14:textId="77777777" w:rsidTr="00A25ABD">
        <w:tc>
          <w:tcPr>
            <w:tcW w:w="1957" w:type="dxa"/>
            <w:hideMark/>
          </w:tcPr>
          <w:p w14:paraId="65ADC155"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Mana</w:t>
            </w:r>
          </w:p>
        </w:tc>
        <w:tc>
          <w:tcPr>
            <w:tcW w:w="6548" w:type="dxa"/>
            <w:hideMark/>
          </w:tcPr>
          <w:p w14:paraId="55DEBAC3"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Prestige, authority, control, power, influence, status, spiritual power, charisma.</w:t>
            </w:r>
          </w:p>
        </w:tc>
      </w:tr>
      <w:tr w:rsidR="00842EF2" w:rsidRPr="00BD16B4" w14:paraId="5783249A" w14:textId="77777777" w:rsidTr="00A25ABD">
        <w:tc>
          <w:tcPr>
            <w:tcW w:w="1957" w:type="dxa"/>
          </w:tcPr>
          <w:p w14:paraId="58816210"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Manaakitanga</w:t>
            </w:r>
          </w:p>
        </w:tc>
        <w:tc>
          <w:tcPr>
            <w:tcW w:w="6548" w:type="dxa"/>
          </w:tcPr>
          <w:p w14:paraId="769BF140"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Hospitality, kindness, generosity, support – the process of showing respect, generosity and care for others.</w:t>
            </w:r>
          </w:p>
        </w:tc>
      </w:tr>
      <w:tr w:rsidR="00842EF2" w:rsidRPr="00BD16B4" w14:paraId="70B29C29" w14:textId="77777777" w:rsidTr="00A25ABD">
        <w:tc>
          <w:tcPr>
            <w:tcW w:w="1957" w:type="dxa"/>
            <w:hideMark/>
          </w:tcPr>
          <w:p w14:paraId="5D2007A1"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Mana motuhake</w:t>
            </w:r>
          </w:p>
        </w:tc>
        <w:tc>
          <w:tcPr>
            <w:tcW w:w="6548" w:type="dxa"/>
            <w:hideMark/>
          </w:tcPr>
          <w:p w14:paraId="30D1839B"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Self-determination.</w:t>
            </w:r>
          </w:p>
        </w:tc>
      </w:tr>
      <w:tr w:rsidR="00842EF2" w:rsidRPr="00BD16B4" w14:paraId="64195A87" w14:textId="77777777" w:rsidTr="00A25ABD">
        <w:tc>
          <w:tcPr>
            <w:tcW w:w="1957" w:type="dxa"/>
          </w:tcPr>
          <w:p w14:paraId="0F1DBC58"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Mana ōrite mō te mātauranga Māori</w:t>
            </w:r>
          </w:p>
        </w:tc>
        <w:tc>
          <w:tcPr>
            <w:tcW w:w="6548" w:type="dxa"/>
          </w:tcPr>
          <w:p w14:paraId="02CF41BB"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Equal status for Māori knowledge.</w:t>
            </w:r>
          </w:p>
        </w:tc>
      </w:tr>
      <w:tr w:rsidR="00842EF2" w:rsidRPr="00BD16B4" w14:paraId="7390A719" w14:textId="77777777" w:rsidTr="00A25ABD">
        <w:tc>
          <w:tcPr>
            <w:tcW w:w="1957" w:type="dxa"/>
            <w:hideMark/>
          </w:tcPr>
          <w:p w14:paraId="3BB2E4B5"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Mana whenua</w:t>
            </w:r>
          </w:p>
        </w:tc>
        <w:tc>
          <w:tcPr>
            <w:tcW w:w="6548" w:type="dxa"/>
            <w:hideMark/>
          </w:tcPr>
          <w:p w14:paraId="58FCC14E"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Power from and/or authority over land or territory.</w:t>
            </w:r>
          </w:p>
        </w:tc>
      </w:tr>
      <w:tr w:rsidR="00842EF2" w:rsidRPr="00BD16B4" w14:paraId="7D693725" w14:textId="77777777" w:rsidTr="00A25ABD">
        <w:tc>
          <w:tcPr>
            <w:tcW w:w="1957" w:type="dxa"/>
            <w:hideMark/>
          </w:tcPr>
          <w:p w14:paraId="0F675B27"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Marae</w:t>
            </w:r>
          </w:p>
        </w:tc>
        <w:tc>
          <w:tcPr>
            <w:tcW w:w="6548" w:type="dxa"/>
            <w:hideMark/>
          </w:tcPr>
          <w:p w14:paraId="0B209E65"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Courtyard – the open area in front of the wharenui (meeting house) where formal greetings and discussions take place. Often also used to include the complex of buildings around the marae.</w:t>
            </w:r>
          </w:p>
        </w:tc>
      </w:tr>
      <w:tr w:rsidR="00842EF2" w:rsidRPr="00BD16B4" w14:paraId="3EB7E2BA" w14:textId="77777777" w:rsidTr="00A25ABD">
        <w:tc>
          <w:tcPr>
            <w:tcW w:w="1957" w:type="dxa"/>
          </w:tcPr>
          <w:p w14:paraId="487577F5"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Māramatanga</w:t>
            </w:r>
          </w:p>
        </w:tc>
        <w:tc>
          <w:tcPr>
            <w:tcW w:w="6548" w:type="dxa"/>
          </w:tcPr>
          <w:p w14:paraId="5D87D309"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Enlightenment, clarity, understanding.</w:t>
            </w:r>
          </w:p>
        </w:tc>
      </w:tr>
      <w:tr w:rsidR="00842EF2" w:rsidRPr="00BD16B4" w14:paraId="42866577" w14:textId="77777777" w:rsidTr="00A25ABD">
        <w:tc>
          <w:tcPr>
            <w:tcW w:w="1957" w:type="dxa"/>
            <w:hideMark/>
          </w:tcPr>
          <w:p w14:paraId="2F81C6F9" w14:textId="77777777" w:rsidR="00842EF2" w:rsidRPr="00BD16B4" w:rsidRDefault="00842EF2" w:rsidP="00A25ABD">
            <w:pPr>
              <w:pStyle w:val="BodyText"/>
              <w:keepNext/>
              <w:spacing w:before="60" w:after="60"/>
              <w:rPr>
                <w:rFonts w:cs="Calibri"/>
                <w:sz w:val="21"/>
                <w:szCs w:val="21"/>
                <w:lang w:val="en-NZ"/>
              </w:rPr>
            </w:pPr>
            <w:r w:rsidRPr="00BD16B4">
              <w:rPr>
                <w:rFonts w:cs="Calibri"/>
                <w:sz w:val="21"/>
                <w:szCs w:val="21"/>
                <w:lang w:val="en-NZ"/>
              </w:rPr>
              <w:t>Marau ā-kura</w:t>
            </w:r>
          </w:p>
        </w:tc>
        <w:tc>
          <w:tcPr>
            <w:tcW w:w="6548" w:type="dxa"/>
            <w:hideMark/>
          </w:tcPr>
          <w:p w14:paraId="20BB0A49"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Localised curriculum. Ministry of Education term referring to a living, breathing curriculum. Marau ā-kura reflects the expectations and aspirations of the whānau, hapū and iwi.</w:t>
            </w:r>
          </w:p>
        </w:tc>
      </w:tr>
      <w:tr w:rsidR="00842EF2" w:rsidRPr="00BD16B4" w14:paraId="17DC66BF" w14:textId="77777777" w:rsidTr="00A25ABD">
        <w:tc>
          <w:tcPr>
            <w:tcW w:w="1957" w:type="dxa"/>
            <w:hideMark/>
          </w:tcPr>
          <w:p w14:paraId="38EF62FE"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Mātauranga (Māori)</w:t>
            </w:r>
          </w:p>
        </w:tc>
        <w:tc>
          <w:tcPr>
            <w:tcW w:w="6548" w:type="dxa"/>
            <w:hideMark/>
          </w:tcPr>
          <w:p w14:paraId="52B57F2B"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Māori knowledge systems and worldviews, including traditional concepts.</w:t>
            </w:r>
          </w:p>
        </w:tc>
      </w:tr>
      <w:tr w:rsidR="00842EF2" w:rsidRPr="00BD16B4" w14:paraId="43554F2B" w14:textId="77777777" w:rsidTr="00A25ABD">
        <w:tc>
          <w:tcPr>
            <w:tcW w:w="1957" w:type="dxa"/>
            <w:hideMark/>
          </w:tcPr>
          <w:p w14:paraId="7D5E63DB"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lastRenderedPageBreak/>
              <w:t>Mātauranga-a-iwi</w:t>
            </w:r>
          </w:p>
        </w:tc>
        <w:tc>
          <w:tcPr>
            <w:tcW w:w="6548" w:type="dxa"/>
            <w:hideMark/>
          </w:tcPr>
          <w:p w14:paraId="2929CAC9"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Knowledge with an iwi-specific base.</w:t>
            </w:r>
          </w:p>
        </w:tc>
      </w:tr>
      <w:tr w:rsidR="00842EF2" w:rsidRPr="00BD16B4" w14:paraId="06A70245" w14:textId="77777777" w:rsidTr="00A25ABD">
        <w:tc>
          <w:tcPr>
            <w:tcW w:w="1957" w:type="dxa"/>
            <w:hideMark/>
          </w:tcPr>
          <w:p w14:paraId="3ACB0FC5"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Mauri</w:t>
            </w:r>
          </w:p>
        </w:tc>
        <w:tc>
          <w:tcPr>
            <w:tcW w:w="6548" w:type="dxa"/>
            <w:hideMark/>
          </w:tcPr>
          <w:p w14:paraId="1B28C8AB"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Life principle, life force, vital essence, special nature, a material symbol of a life principle, source of emotions – the essential quality and vitality of a being or entity. Also used for a physical object, individual, ecosystem or social group in which this essence is located.</w:t>
            </w:r>
          </w:p>
        </w:tc>
      </w:tr>
      <w:tr w:rsidR="00842EF2" w:rsidRPr="00BD16B4" w14:paraId="1CA28FA3" w14:textId="77777777" w:rsidTr="00A25ABD">
        <w:tc>
          <w:tcPr>
            <w:tcW w:w="1957" w:type="dxa"/>
            <w:hideMark/>
          </w:tcPr>
          <w:p w14:paraId="500EC2BE"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Noa</w:t>
            </w:r>
          </w:p>
        </w:tc>
        <w:tc>
          <w:tcPr>
            <w:tcW w:w="6548" w:type="dxa"/>
            <w:hideMark/>
          </w:tcPr>
          <w:p w14:paraId="6151DD45"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Free from tapu, ordinary, unrestricted.</w:t>
            </w:r>
          </w:p>
        </w:tc>
      </w:tr>
      <w:tr w:rsidR="00842EF2" w:rsidRPr="00BD16B4" w14:paraId="6B41B7EE" w14:textId="77777777" w:rsidTr="00A25ABD">
        <w:tc>
          <w:tcPr>
            <w:tcW w:w="1957" w:type="dxa"/>
            <w:hideMark/>
          </w:tcPr>
          <w:p w14:paraId="236D2573"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Papakaīnga</w:t>
            </w:r>
          </w:p>
        </w:tc>
        <w:tc>
          <w:tcPr>
            <w:tcW w:w="6548" w:type="dxa"/>
            <w:hideMark/>
          </w:tcPr>
          <w:p w14:paraId="2D428053"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Original home, home base, village, communal Māori land.</w:t>
            </w:r>
          </w:p>
        </w:tc>
      </w:tr>
      <w:tr w:rsidR="00842EF2" w:rsidRPr="00BD16B4" w14:paraId="1DC9FC91" w14:textId="77777777" w:rsidTr="00A25ABD">
        <w:tc>
          <w:tcPr>
            <w:tcW w:w="1957" w:type="dxa"/>
            <w:hideMark/>
          </w:tcPr>
          <w:p w14:paraId="533A261D"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Papatūānuku</w:t>
            </w:r>
          </w:p>
        </w:tc>
        <w:tc>
          <w:tcPr>
            <w:tcW w:w="6548" w:type="dxa"/>
            <w:hideMark/>
          </w:tcPr>
          <w:p w14:paraId="78D4FBBA"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Earth, earth mother and wife of Ranginui – all living things originate from Papatūānuku and Ranginui in Māori mythology.</w:t>
            </w:r>
          </w:p>
        </w:tc>
      </w:tr>
      <w:tr w:rsidR="00842EF2" w:rsidRPr="00BD16B4" w14:paraId="1A6C1433" w14:textId="77777777" w:rsidTr="00A25ABD">
        <w:tc>
          <w:tcPr>
            <w:tcW w:w="1957" w:type="dxa"/>
            <w:hideMark/>
          </w:tcPr>
          <w:p w14:paraId="68EB1307"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Pou</w:t>
            </w:r>
          </w:p>
        </w:tc>
        <w:tc>
          <w:tcPr>
            <w:tcW w:w="6548" w:type="dxa"/>
            <w:hideMark/>
          </w:tcPr>
          <w:p w14:paraId="1D45D0E8"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Support, supporter, stalwart, mentor, symbol of support, metaphoric post – a person, group, iwi, gathering or object that strongly supports a cause or is a territorial symbol (such as a mountain or landmark) representing that support.</w:t>
            </w:r>
          </w:p>
        </w:tc>
      </w:tr>
      <w:tr w:rsidR="00842EF2" w:rsidRPr="00BD16B4" w14:paraId="60BAF40C" w14:textId="77777777" w:rsidTr="00A25ABD">
        <w:tc>
          <w:tcPr>
            <w:tcW w:w="1957" w:type="dxa"/>
            <w:hideMark/>
          </w:tcPr>
          <w:p w14:paraId="3F4F99AE"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Rangatiratanga</w:t>
            </w:r>
          </w:p>
        </w:tc>
        <w:tc>
          <w:tcPr>
            <w:tcW w:w="6548" w:type="dxa"/>
            <w:hideMark/>
          </w:tcPr>
          <w:p w14:paraId="6BC7880B"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Chieftainship, right to exercise authority, chiefly authority, ownership, leadership of a social group.</w:t>
            </w:r>
          </w:p>
        </w:tc>
      </w:tr>
      <w:tr w:rsidR="00842EF2" w:rsidRPr="00BD16B4" w14:paraId="5278D7C3" w14:textId="77777777" w:rsidTr="00A25ABD">
        <w:tc>
          <w:tcPr>
            <w:tcW w:w="1957" w:type="dxa"/>
            <w:hideMark/>
          </w:tcPr>
          <w:p w14:paraId="7F31597B"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Ranginui</w:t>
            </w:r>
          </w:p>
        </w:tc>
        <w:tc>
          <w:tcPr>
            <w:tcW w:w="6548" w:type="dxa"/>
            <w:hideMark/>
          </w:tcPr>
          <w:p w14:paraId="2342BDD2"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Atua (God)of the sky and husband of Papatūānuku – all living things originate from Papatūānuku and Ranginui in Māori mythology.</w:t>
            </w:r>
          </w:p>
        </w:tc>
      </w:tr>
      <w:tr w:rsidR="00842EF2" w:rsidRPr="00BD16B4" w14:paraId="6A3B0B8A" w14:textId="77777777" w:rsidTr="00A25ABD">
        <w:tc>
          <w:tcPr>
            <w:tcW w:w="1957" w:type="dxa"/>
          </w:tcPr>
          <w:p w14:paraId="00FA2FB5"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Rohe</w:t>
            </w:r>
          </w:p>
        </w:tc>
        <w:tc>
          <w:tcPr>
            <w:tcW w:w="6548" w:type="dxa"/>
          </w:tcPr>
          <w:p w14:paraId="1904DA65"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Boundary, district, region.</w:t>
            </w:r>
          </w:p>
        </w:tc>
      </w:tr>
      <w:tr w:rsidR="00842EF2" w:rsidRPr="00BD16B4" w14:paraId="7ACB03DD" w14:textId="77777777" w:rsidTr="00A25ABD">
        <w:tc>
          <w:tcPr>
            <w:tcW w:w="1957" w:type="dxa"/>
            <w:hideMark/>
          </w:tcPr>
          <w:p w14:paraId="763690F9"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Rongoā crops</w:t>
            </w:r>
          </w:p>
        </w:tc>
        <w:tc>
          <w:tcPr>
            <w:tcW w:w="6548" w:type="dxa"/>
            <w:hideMark/>
          </w:tcPr>
          <w:p w14:paraId="26648EE7"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Medicinal plants.</w:t>
            </w:r>
          </w:p>
        </w:tc>
      </w:tr>
      <w:tr w:rsidR="00842EF2" w:rsidRPr="00BD16B4" w14:paraId="1A76755E" w14:textId="77777777" w:rsidTr="00A25ABD">
        <w:tc>
          <w:tcPr>
            <w:tcW w:w="1957" w:type="dxa"/>
            <w:hideMark/>
          </w:tcPr>
          <w:p w14:paraId="59602E38"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Tāne mahuta</w:t>
            </w:r>
          </w:p>
        </w:tc>
        <w:tc>
          <w:tcPr>
            <w:tcW w:w="6548" w:type="dxa"/>
            <w:hideMark/>
          </w:tcPr>
          <w:p w14:paraId="59D9FAC6"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Atua (God) of the forests and birds and one of the children of Ranginui and Papatūānuku.</w:t>
            </w:r>
          </w:p>
        </w:tc>
      </w:tr>
      <w:tr w:rsidR="00842EF2" w:rsidRPr="00BD16B4" w14:paraId="792D9A8A" w14:textId="77777777" w:rsidTr="00A25ABD">
        <w:tc>
          <w:tcPr>
            <w:tcW w:w="1957" w:type="dxa"/>
            <w:hideMark/>
          </w:tcPr>
          <w:p w14:paraId="4D815F27"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Tangaroa</w:t>
            </w:r>
          </w:p>
        </w:tc>
        <w:tc>
          <w:tcPr>
            <w:tcW w:w="6548" w:type="dxa"/>
            <w:hideMark/>
          </w:tcPr>
          <w:p w14:paraId="772C4A5C"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Atua (God) of the sea and fish. One of the offspring of Ranginui and Papatūānuku.</w:t>
            </w:r>
          </w:p>
        </w:tc>
      </w:tr>
      <w:tr w:rsidR="00842EF2" w:rsidRPr="00BD16B4" w14:paraId="55587141" w14:textId="77777777" w:rsidTr="00A25ABD">
        <w:tc>
          <w:tcPr>
            <w:tcW w:w="1957" w:type="dxa"/>
          </w:tcPr>
          <w:p w14:paraId="658E885B"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Tangata whaikaha</w:t>
            </w:r>
          </w:p>
        </w:tc>
        <w:tc>
          <w:tcPr>
            <w:tcW w:w="6548" w:type="dxa"/>
          </w:tcPr>
          <w:p w14:paraId="2811FE60"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People with disabilities.</w:t>
            </w:r>
          </w:p>
        </w:tc>
      </w:tr>
      <w:tr w:rsidR="00842EF2" w:rsidRPr="00BD16B4" w14:paraId="7766C1ED" w14:textId="77777777" w:rsidTr="00A25ABD">
        <w:tc>
          <w:tcPr>
            <w:tcW w:w="1957" w:type="dxa"/>
            <w:hideMark/>
          </w:tcPr>
          <w:p w14:paraId="3CFDB649"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Tangata whenua</w:t>
            </w:r>
          </w:p>
        </w:tc>
        <w:tc>
          <w:tcPr>
            <w:tcW w:w="6548" w:type="dxa"/>
            <w:hideMark/>
          </w:tcPr>
          <w:p w14:paraId="6C46E908"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The people of the land, local indigenous people. Māori are tangata whenua of the land on which they whakapapa back to.</w:t>
            </w:r>
          </w:p>
        </w:tc>
      </w:tr>
      <w:tr w:rsidR="00842EF2" w:rsidRPr="00BD16B4" w14:paraId="1125E1E5" w14:textId="77777777" w:rsidTr="00A25ABD">
        <w:tc>
          <w:tcPr>
            <w:tcW w:w="1957" w:type="dxa"/>
            <w:hideMark/>
          </w:tcPr>
          <w:p w14:paraId="3C2AA233"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Taonga/taonga Māori</w:t>
            </w:r>
          </w:p>
        </w:tc>
        <w:tc>
          <w:tcPr>
            <w:tcW w:w="6548" w:type="dxa"/>
            <w:hideMark/>
          </w:tcPr>
          <w:p w14:paraId="4A9D572B"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Treasure, anything prized – applied to anything considered to be of value, including socially or culturally valuable objects, resources, phenomena, ideas and techniques.</w:t>
            </w:r>
          </w:p>
        </w:tc>
      </w:tr>
      <w:tr w:rsidR="00842EF2" w:rsidRPr="00BD16B4" w14:paraId="7A09CF88" w14:textId="77777777" w:rsidTr="00A25ABD">
        <w:tc>
          <w:tcPr>
            <w:tcW w:w="1957" w:type="dxa"/>
            <w:hideMark/>
          </w:tcPr>
          <w:p w14:paraId="7557B66D"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Tapu</w:t>
            </w:r>
          </w:p>
        </w:tc>
        <w:tc>
          <w:tcPr>
            <w:tcW w:w="6548" w:type="dxa"/>
            <w:hideMark/>
          </w:tcPr>
          <w:p w14:paraId="40FE6231"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Sacred, prohibited, restricted, set apart.</w:t>
            </w:r>
          </w:p>
        </w:tc>
      </w:tr>
      <w:tr w:rsidR="00842EF2" w:rsidRPr="00BD16B4" w14:paraId="13286017" w14:textId="77777777" w:rsidTr="00A25ABD">
        <w:tc>
          <w:tcPr>
            <w:tcW w:w="1957" w:type="dxa"/>
            <w:hideMark/>
          </w:tcPr>
          <w:p w14:paraId="656B9D86"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Te ao Māori</w:t>
            </w:r>
          </w:p>
        </w:tc>
        <w:tc>
          <w:tcPr>
            <w:tcW w:w="6548" w:type="dxa"/>
            <w:hideMark/>
          </w:tcPr>
          <w:p w14:paraId="6C87071A"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The Māori world.</w:t>
            </w:r>
            <w:r w:rsidRPr="00BD16B4">
              <w:rPr>
                <w:rFonts w:cs="Calibri"/>
                <w:sz w:val="21"/>
                <w:szCs w:val="21"/>
                <w:lang w:val="en-NZ"/>
              </w:rPr>
              <w:tab/>
            </w:r>
          </w:p>
        </w:tc>
      </w:tr>
      <w:tr w:rsidR="00842EF2" w:rsidRPr="00BD16B4" w14:paraId="7276B5CF" w14:textId="77777777" w:rsidTr="00A25ABD">
        <w:tc>
          <w:tcPr>
            <w:tcW w:w="1957" w:type="dxa"/>
          </w:tcPr>
          <w:p w14:paraId="0EFB1EB6"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Te ao tūroa</w:t>
            </w:r>
          </w:p>
        </w:tc>
        <w:tc>
          <w:tcPr>
            <w:tcW w:w="6548" w:type="dxa"/>
          </w:tcPr>
          <w:p w14:paraId="52D5E31D"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The natural world, the enduring world.</w:t>
            </w:r>
          </w:p>
        </w:tc>
      </w:tr>
      <w:tr w:rsidR="00842EF2" w:rsidRPr="00BD16B4" w14:paraId="046D8C23" w14:textId="77777777" w:rsidTr="00A25ABD">
        <w:tc>
          <w:tcPr>
            <w:tcW w:w="1957" w:type="dxa"/>
          </w:tcPr>
          <w:p w14:paraId="4F29C414"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Te reo Māori</w:t>
            </w:r>
          </w:p>
        </w:tc>
        <w:tc>
          <w:tcPr>
            <w:tcW w:w="6548" w:type="dxa"/>
          </w:tcPr>
          <w:p w14:paraId="1054131A"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The Māori language</w:t>
            </w:r>
          </w:p>
        </w:tc>
      </w:tr>
      <w:tr w:rsidR="00842EF2" w:rsidRPr="00BD16B4" w14:paraId="115C2C43" w14:textId="77777777" w:rsidTr="00A25ABD">
        <w:tc>
          <w:tcPr>
            <w:tcW w:w="1957" w:type="dxa"/>
          </w:tcPr>
          <w:p w14:paraId="79A5DD53"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Te Taiao</w:t>
            </w:r>
          </w:p>
        </w:tc>
        <w:tc>
          <w:tcPr>
            <w:tcW w:w="6548" w:type="dxa"/>
          </w:tcPr>
          <w:p w14:paraId="6B28A559"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World around us, earth, natural world, environment, nature.</w:t>
            </w:r>
          </w:p>
        </w:tc>
      </w:tr>
      <w:tr w:rsidR="00842EF2" w:rsidRPr="00BD16B4" w14:paraId="648D095C" w14:textId="77777777" w:rsidTr="00A25ABD">
        <w:tc>
          <w:tcPr>
            <w:tcW w:w="1957" w:type="dxa"/>
            <w:hideMark/>
          </w:tcPr>
          <w:p w14:paraId="181AD398" w14:textId="6501DE91" w:rsidR="00842EF2" w:rsidRPr="00BD16B4" w:rsidRDefault="00842EF2" w:rsidP="00C5737C">
            <w:pPr>
              <w:pStyle w:val="BodyText"/>
              <w:spacing w:before="60" w:after="60"/>
              <w:rPr>
                <w:rFonts w:cs="Calibri"/>
                <w:sz w:val="21"/>
                <w:szCs w:val="21"/>
                <w:lang w:val="en-NZ"/>
              </w:rPr>
            </w:pPr>
            <w:r w:rsidRPr="00BD16B4">
              <w:rPr>
                <w:rFonts w:cs="Calibri"/>
                <w:sz w:val="21"/>
                <w:szCs w:val="21"/>
                <w:lang w:val="en-NZ"/>
              </w:rPr>
              <w:t>Te Tiriti o Waitangi/</w:t>
            </w:r>
            <w:r w:rsidR="0072620A" w:rsidRPr="00BD16B4">
              <w:rPr>
                <w:rFonts w:cs="Calibri"/>
                <w:sz w:val="21"/>
                <w:szCs w:val="21"/>
                <w:lang w:val="en-NZ"/>
              </w:rPr>
              <w:t xml:space="preserve"> </w:t>
            </w:r>
            <w:r w:rsidRPr="00BD16B4">
              <w:rPr>
                <w:rFonts w:cs="Calibri"/>
                <w:sz w:val="21"/>
                <w:szCs w:val="21"/>
                <w:lang w:val="en-NZ"/>
              </w:rPr>
              <w:t>Te Tiriti</w:t>
            </w:r>
          </w:p>
        </w:tc>
        <w:tc>
          <w:tcPr>
            <w:tcW w:w="6548" w:type="dxa"/>
            <w:hideMark/>
          </w:tcPr>
          <w:p w14:paraId="58342C1C"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The Treaty of Waitangi. Note: While these terms are used interchangeably, the national adaptation plan acknowledges that the English version and te reo Māori translation are separate documents and differ in a number of respects.</w:t>
            </w:r>
          </w:p>
        </w:tc>
      </w:tr>
      <w:tr w:rsidR="00842EF2" w:rsidRPr="00BD16B4" w14:paraId="75075F4E" w14:textId="77777777" w:rsidTr="00A25ABD">
        <w:tc>
          <w:tcPr>
            <w:tcW w:w="1957" w:type="dxa"/>
            <w:hideMark/>
          </w:tcPr>
          <w:p w14:paraId="11ACEA70" w14:textId="77777777" w:rsidR="00842EF2" w:rsidRPr="00BD16B4" w:rsidRDefault="00842EF2" w:rsidP="0005773B">
            <w:pPr>
              <w:pStyle w:val="BodyText"/>
              <w:keepNext/>
              <w:spacing w:before="60" w:after="60"/>
              <w:rPr>
                <w:rFonts w:cs="Calibri"/>
                <w:sz w:val="21"/>
                <w:szCs w:val="21"/>
                <w:lang w:val="en-NZ"/>
              </w:rPr>
            </w:pPr>
            <w:r w:rsidRPr="00BD16B4">
              <w:rPr>
                <w:rFonts w:cs="Calibri"/>
                <w:sz w:val="21"/>
                <w:szCs w:val="21"/>
                <w:lang w:val="en-NZ"/>
              </w:rPr>
              <w:lastRenderedPageBreak/>
              <w:t>Tikanga</w:t>
            </w:r>
          </w:p>
        </w:tc>
        <w:tc>
          <w:tcPr>
            <w:tcW w:w="6548" w:type="dxa"/>
            <w:hideMark/>
          </w:tcPr>
          <w:p w14:paraId="31AA8043"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Custom, practice, correct protocol – the customary system of values and practices that have developed over time and are deeply embedded in the social context.</w:t>
            </w:r>
          </w:p>
        </w:tc>
      </w:tr>
      <w:tr w:rsidR="00842EF2" w:rsidRPr="00BD16B4" w14:paraId="4922A330" w14:textId="77777777" w:rsidTr="00A25ABD">
        <w:tc>
          <w:tcPr>
            <w:tcW w:w="1957" w:type="dxa"/>
          </w:tcPr>
          <w:p w14:paraId="36E032CA"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Tūpuna</w:t>
            </w:r>
          </w:p>
        </w:tc>
        <w:tc>
          <w:tcPr>
            <w:tcW w:w="6548" w:type="dxa"/>
          </w:tcPr>
          <w:p w14:paraId="5209482C"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Ancestors, grandparents.</w:t>
            </w:r>
          </w:p>
        </w:tc>
      </w:tr>
      <w:tr w:rsidR="00842EF2" w:rsidRPr="00BD16B4" w14:paraId="15333E12" w14:textId="77777777" w:rsidTr="00A25ABD">
        <w:tc>
          <w:tcPr>
            <w:tcW w:w="1957" w:type="dxa"/>
          </w:tcPr>
          <w:p w14:paraId="50DB5528"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Tūrangawaewae</w:t>
            </w:r>
          </w:p>
        </w:tc>
        <w:tc>
          <w:tcPr>
            <w:tcW w:w="6548" w:type="dxa"/>
          </w:tcPr>
          <w:p w14:paraId="095ECEE1"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Domicile, standing, place where one has the right to stand.</w:t>
            </w:r>
          </w:p>
        </w:tc>
      </w:tr>
      <w:tr w:rsidR="00842EF2" w:rsidRPr="00BD16B4" w14:paraId="14F05129" w14:textId="77777777" w:rsidTr="00A25ABD">
        <w:tc>
          <w:tcPr>
            <w:tcW w:w="1957" w:type="dxa"/>
            <w:hideMark/>
          </w:tcPr>
          <w:p w14:paraId="69E0F215"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Urupā</w:t>
            </w:r>
          </w:p>
        </w:tc>
        <w:tc>
          <w:tcPr>
            <w:tcW w:w="6548" w:type="dxa"/>
            <w:hideMark/>
          </w:tcPr>
          <w:p w14:paraId="75B3FCA6"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Burial ground.</w:t>
            </w:r>
          </w:p>
        </w:tc>
      </w:tr>
      <w:tr w:rsidR="00842EF2" w:rsidRPr="00BD16B4" w14:paraId="438963E9" w14:textId="77777777" w:rsidTr="00A25ABD">
        <w:tc>
          <w:tcPr>
            <w:tcW w:w="1957" w:type="dxa"/>
            <w:hideMark/>
          </w:tcPr>
          <w:p w14:paraId="62665840"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Wāhi tapu</w:t>
            </w:r>
          </w:p>
        </w:tc>
        <w:tc>
          <w:tcPr>
            <w:tcW w:w="6548" w:type="dxa"/>
            <w:hideMark/>
          </w:tcPr>
          <w:p w14:paraId="0B547E99"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Sacred site – a place subject to long-term ritual restrictions on access or use, such as a burial ground, a battle site or a place where tapu objects were placed.</w:t>
            </w:r>
          </w:p>
        </w:tc>
      </w:tr>
      <w:tr w:rsidR="00842EF2" w:rsidRPr="00BD16B4" w14:paraId="1B37CE61" w14:textId="77777777" w:rsidTr="00A25ABD">
        <w:tc>
          <w:tcPr>
            <w:tcW w:w="1957" w:type="dxa"/>
          </w:tcPr>
          <w:p w14:paraId="08CAC18E"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Wairua</w:t>
            </w:r>
          </w:p>
        </w:tc>
        <w:tc>
          <w:tcPr>
            <w:tcW w:w="6548" w:type="dxa"/>
          </w:tcPr>
          <w:p w14:paraId="65702B3E"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Spirit, soul.</w:t>
            </w:r>
          </w:p>
        </w:tc>
      </w:tr>
      <w:tr w:rsidR="00842EF2" w:rsidRPr="00BD16B4" w14:paraId="355DC239" w14:textId="77777777" w:rsidTr="00A25ABD">
        <w:tc>
          <w:tcPr>
            <w:tcW w:w="1957" w:type="dxa"/>
            <w:hideMark/>
          </w:tcPr>
          <w:p w14:paraId="46F52572"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Wānanga</w:t>
            </w:r>
          </w:p>
        </w:tc>
        <w:tc>
          <w:tcPr>
            <w:tcW w:w="6548" w:type="dxa"/>
            <w:hideMark/>
          </w:tcPr>
          <w:p w14:paraId="45AA67D2"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Conference, forum, seminar.</w:t>
            </w:r>
          </w:p>
        </w:tc>
      </w:tr>
      <w:tr w:rsidR="00842EF2" w:rsidRPr="00BD16B4" w14:paraId="6B3C0308" w14:textId="77777777" w:rsidTr="00A25ABD">
        <w:tc>
          <w:tcPr>
            <w:tcW w:w="1957" w:type="dxa"/>
            <w:hideMark/>
          </w:tcPr>
          <w:p w14:paraId="68F0E3DD"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Whaikōrero</w:t>
            </w:r>
          </w:p>
        </w:tc>
        <w:tc>
          <w:tcPr>
            <w:tcW w:w="6548" w:type="dxa"/>
            <w:hideMark/>
          </w:tcPr>
          <w:p w14:paraId="7C628959"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Oratory, formal speech-making.</w:t>
            </w:r>
          </w:p>
        </w:tc>
      </w:tr>
      <w:tr w:rsidR="00842EF2" w:rsidRPr="00BD16B4" w14:paraId="4B503AEB" w14:textId="77777777" w:rsidTr="00A25ABD">
        <w:tc>
          <w:tcPr>
            <w:tcW w:w="1957" w:type="dxa"/>
            <w:hideMark/>
          </w:tcPr>
          <w:p w14:paraId="784D32BA"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Whakapapa</w:t>
            </w:r>
          </w:p>
        </w:tc>
        <w:tc>
          <w:tcPr>
            <w:tcW w:w="6548" w:type="dxa"/>
            <w:hideMark/>
          </w:tcPr>
          <w:p w14:paraId="44A00E45"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Genealogy, genealogical table, lineage, descent.</w:t>
            </w:r>
          </w:p>
        </w:tc>
      </w:tr>
      <w:tr w:rsidR="00842EF2" w:rsidRPr="00BD16B4" w14:paraId="47A9BDB0" w14:textId="77777777" w:rsidTr="00A25ABD">
        <w:tc>
          <w:tcPr>
            <w:tcW w:w="1957" w:type="dxa"/>
            <w:hideMark/>
          </w:tcPr>
          <w:p w14:paraId="5FF118A5"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Whakataukī</w:t>
            </w:r>
          </w:p>
        </w:tc>
        <w:tc>
          <w:tcPr>
            <w:tcW w:w="6548" w:type="dxa"/>
            <w:hideMark/>
          </w:tcPr>
          <w:p w14:paraId="3F4B5286"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Proverb, significant saying.</w:t>
            </w:r>
          </w:p>
        </w:tc>
      </w:tr>
      <w:tr w:rsidR="00842EF2" w:rsidRPr="00BD16B4" w14:paraId="09D65C31" w14:textId="77777777" w:rsidTr="00A25ABD">
        <w:tc>
          <w:tcPr>
            <w:tcW w:w="1957" w:type="dxa"/>
            <w:hideMark/>
          </w:tcPr>
          <w:p w14:paraId="55DEEF10"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Whānau</w:t>
            </w:r>
          </w:p>
        </w:tc>
        <w:tc>
          <w:tcPr>
            <w:tcW w:w="6548" w:type="dxa"/>
            <w:hideMark/>
          </w:tcPr>
          <w:p w14:paraId="648628C1"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Family, extended family, family connection.</w:t>
            </w:r>
          </w:p>
        </w:tc>
      </w:tr>
      <w:tr w:rsidR="00842EF2" w:rsidRPr="00BD16B4" w14:paraId="1702E7F8" w14:textId="77777777" w:rsidTr="00A25ABD">
        <w:tc>
          <w:tcPr>
            <w:tcW w:w="1957" w:type="dxa"/>
          </w:tcPr>
          <w:p w14:paraId="7F9B82BD"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Whanaungatanga</w:t>
            </w:r>
          </w:p>
        </w:tc>
        <w:tc>
          <w:tcPr>
            <w:tcW w:w="6548" w:type="dxa"/>
          </w:tcPr>
          <w:p w14:paraId="0BF37CAE"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Relationship, kinship, sense of family connection.</w:t>
            </w:r>
          </w:p>
        </w:tc>
      </w:tr>
      <w:tr w:rsidR="00842EF2" w:rsidRPr="00BD16B4" w14:paraId="0D8DD2A0" w14:textId="77777777" w:rsidTr="00A25ABD">
        <w:tc>
          <w:tcPr>
            <w:tcW w:w="1957" w:type="dxa"/>
          </w:tcPr>
          <w:p w14:paraId="6589D6E1"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Whenua</w:t>
            </w:r>
          </w:p>
        </w:tc>
        <w:tc>
          <w:tcPr>
            <w:tcW w:w="6548" w:type="dxa"/>
          </w:tcPr>
          <w:p w14:paraId="74056202"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Country, land, nation, state.</w:t>
            </w:r>
          </w:p>
        </w:tc>
      </w:tr>
      <w:tr w:rsidR="00842EF2" w:rsidRPr="00BD16B4" w14:paraId="76BDC74C" w14:textId="77777777" w:rsidTr="00A25ABD">
        <w:tc>
          <w:tcPr>
            <w:tcW w:w="1957" w:type="dxa"/>
            <w:hideMark/>
          </w:tcPr>
          <w:p w14:paraId="14D60D2F"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Whenua Māori</w:t>
            </w:r>
          </w:p>
        </w:tc>
        <w:tc>
          <w:tcPr>
            <w:tcW w:w="6548" w:type="dxa"/>
            <w:hideMark/>
          </w:tcPr>
          <w:p w14:paraId="72C47B5E" w14:textId="77777777" w:rsidR="00842EF2" w:rsidRPr="00BD16B4" w:rsidRDefault="00842EF2" w:rsidP="00F56010">
            <w:pPr>
              <w:pStyle w:val="BodyText"/>
              <w:spacing w:before="60" w:after="60"/>
              <w:rPr>
                <w:rFonts w:cs="Calibri"/>
                <w:sz w:val="21"/>
                <w:szCs w:val="21"/>
                <w:lang w:val="en-NZ"/>
              </w:rPr>
            </w:pPr>
            <w:r w:rsidRPr="00BD16B4">
              <w:rPr>
                <w:rFonts w:cs="Calibri"/>
                <w:sz w:val="21"/>
                <w:szCs w:val="21"/>
                <w:lang w:val="en-NZ"/>
              </w:rPr>
              <w:t>Māori land. There are three types of whenua Māori: Māori freehold land, Māori customary land and general land owned by Māori.</w:t>
            </w:r>
          </w:p>
        </w:tc>
      </w:tr>
    </w:tbl>
    <w:p w14:paraId="2CA04421" w14:textId="77777777" w:rsidR="00987F0B" w:rsidRPr="00BD16B4" w:rsidRDefault="00987F0B" w:rsidP="00987F0B">
      <w:pPr>
        <w:spacing w:before="0" w:after="200" w:line="276" w:lineRule="auto"/>
        <w:jc w:val="left"/>
      </w:pPr>
    </w:p>
    <w:p w14:paraId="19815781" w14:textId="77777777" w:rsidR="00987F0B" w:rsidRPr="00BD16B4" w:rsidRDefault="00987F0B" w:rsidP="00987F0B">
      <w:pPr>
        <w:spacing w:before="0" w:after="200" w:line="276" w:lineRule="auto"/>
        <w:jc w:val="left"/>
      </w:pPr>
    </w:p>
    <w:p w14:paraId="1206AB6F" w14:textId="77777777" w:rsidR="00987F0B" w:rsidRPr="00BD16B4" w:rsidRDefault="00987F0B" w:rsidP="00987F0B">
      <w:pPr>
        <w:pStyle w:val="Heading1"/>
        <w:sectPr w:rsidR="00987F0B" w:rsidRPr="00BD16B4" w:rsidSect="008A7498">
          <w:footerReference w:type="even" r:id="rId30"/>
          <w:footerReference w:type="default" r:id="rId31"/>
          <w:pgSz w:w="11907" w:h="16840" w:code="9"/>
          <w:pgMar w:top="1134" w:right="1701" w:bottom="1134" w:left="1701" w:header="567" w:footer="567" w:gutter="0"/>
          <w:cols w:space="720"/>
          <w:docGrid w:linePitch="299"/>
        </w:sectPr>
      </w:pPr>
    </w:p>
    <w:p w14:paraId="3361C649" w14:textId="23EA9650" w:rsidR="00B47EBA" w:rsidRPr="00BD16B4" w:rsidRDefault="00987F0B" w:rsidP="00987F0B">
      <w:pPr>
        <w:pStyle w:val="Heading1"/>
      </w:pPr>
      <w:bookmarkStart w:id="5" w:name="_Toc121774613"/>
      <w:r w:rsidRPr="00BD16B4">
        <w:lastRenderedPageBreak/>
        <w:t xml:space="preserve">Minister’s </w:t>
      </w:r>
      <w:r w:rsidR="00B47EBA" w:rsidRPr="00BD16B4">
        <w:t>foreword</w:t>
      </w:r>
      <w:bookmarkEnd w:id="5"/>
    </w:p>
    <w:p w14:paraId="231E5674" w14:textId="1C321AE2" w:rsidR="00E63176" w:rsidRPr="00BD16B4" w:rsidRDefault="00E63176" w:rsidP="00E63176">
      <w:pPr>
        <w:pStyle w:val="BodyText"/>
      </w:pPr>
      <w:r w:rsidRPr="00BD16B4">
        <w:rPr>
          <w:rFonts w:ascii="Georgia" w:hAnsi="Georgia"/>
          <w:b/>
          <w:bCs/>
          <w:noProof/>
          <w:color w:val="1C556C"/>
          <w:sz w:val="48"/>
          <w:szCs w:val="48"/>
        </w:rPr>
        <w:drawing>
          <wp:anchor distT="0" distB="0" distL="144145" distR="114300" simplePos="0" relativeHeight="251656192" behindDoc="1" locked="0" layoutInCell="1" allowOverlap="1" wp14:anchorId="47E82C59" wp14:editId="37532F98">
            <wp:simplePos x="0" y="0"/>
            <wp:positionH relativeFrom="margin">
              <wp:posOffset>4082415</wp:posOffset>
            </wp:positionH>
            <wp:positionV relativeFrom="paragraph">
              <wp:posOffset>134955</wp:posOffset>
            </wp:positionV>
            <wp:extent cx="1276350" cy="1921510"/>
            <wp:effectExtent l="19050" t="19050" r="0" b="2540"/>
            <wp:wrapTight wrapText="bothSides">
              <wp:wrapPolygon edited="0">
                <wp:start x="-322" y="-214"/>
                <wp:lineTo x="-322" y="21629"/>
                <wp:lineTo x="21600" y="21629"/>
                <wp:lineTo x="21600" y="-214"/>
                <wp:lineTo x="-322" y="-21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6350" cy="1921510"/>
                    </a:xfrm>
                    <a:prstGeom prst="rect">
                      <a:avLst/>
                    </a:prstGeom>
                    <a:noFill/>
                    <a:ln w="3175">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BD16B4">
        <w:t xml:space="preserve">In this report, the </w:t>
      </w:r>
      <w:r w:rsidRPr="00BD16B4">
        <w:rPr>
          <w:i/>
          <w:iCs/>
        </w:rPr>
        <w:t>Eighth National Communication</w:t>
      </w:r>
      <w:r w:rsidRPr="00BD16B4">
        <w:t>, Aotearoa New Zealand is fulfilling its reporting obligations under the United Nations Framework Convention on Climate Change. The report details emissions reduction policies that meet our international requirements and guide domestic climate action. These policies demonstrate our response to climate change. It is also an opportunity to take stock of what we have achieved so far, and how much work there is still to do.</w:t>
      </w:r>
    </w:p>
    <w:p w14:paraId="37B10101" w14:textId="20EE757E" w:rsidR="00B47EBA" w:rsidRPr="00BD16B4" w:rsidRDefault="00AD7CF4" w:rsidP="00AD7CF4">
      <w:pPr>
        <w:pStyle w:val="BodyText"/>
      </w:pPr>
      <w:r w:rsidRPr="00BD16B4">
        <w:t>New Zealand is committed to addressing the challenge of climate change. We have put the 1.5°C global warming limit into law as part of our Climate Change Response (Zero Carbon) Amendment Act. In 2019, we established the Climate Change Commission to provide government with independent, evidence-based climate advice. With the Commission’s help, New Zealand has set the first three emissions budgets through to 2035, putting us on the path to our 2050 goal of net-zero emissions.</w:t>
      </w:r>
    </w:p>
    <w:p w14:paraId="32A8810B" w14:textId="110AD075" w:rsidR="00B54C30" w:rsidRPr="00BD16B4" w:rsidRDefault="00B54C30" w:rsidP="00B54C30">
      <w:pPr>
        <w:pStyle w:val="BodyText"/>
      </w:pPr>
      <w:r w:rsidRPr="00BD16B4">
        <w:t>New Zealand’s first emissions reduction plan was published in 2022. This plan guides actions towards lower emissions for every sector in the economy. The New Zealand Emissions Trading Scheme has been updated to ensure it remains fit-for-purpose, increasing the cost of pollution and moving us towards the Government’s goal of a net-zero future. We are working together with farmers and Māori through the He Waka Eke Noa partnership to develop pricing for farm</w:t>
      </w:r>
      <w:r w:rsidR="00E213C8" w:rsidRPr="00BD16B4">
        <w:noBreakHyphen/>
      </w:r>
      <w:r w:rsidRPr="00BD16B4">
        <w:t>level emissions and to help prepare the agricultural sector to meet future emissions reduction targets.</w:t>
      </w:r>
    </w:p>
    <w:p w14:paraId="0073EAD6" w14:textId="77777777" w:rsidR="00B54C30" w:rsidRPr="00BD16B4" w:rsidRDefault="00B54C30" w:rsidP="00B54C30">
      <w:pPr>
        <w:pStyle w:val="BodyText"/>
      </w:pPr>
      <w:r w:rsidRPr="00BD16B4">
        <w:t>We know that there is more work to be done to reduce emissions across all sectors. We have invested in a range of measures to support New Zealanders to make more climate- friendly transport choices. This includes incentivising the switch to low-emissions vehicles via the Clean Car Discount scheme. We are supporting major energy users to switch to clean, renewable energy through the Government Investment in Decarbonising Industry fund. We are future-proofing our financial sector; it is now mandatory for large financial institutions and listed companies to report on climate-related risks. We have also allocated funding to encourage green investment in the private sector.</w:t>
      </w:r>
    </w:p>
    <w:p w14:paraId="22FCD0CC" w14:textId="77777777" w:rsidR="00B54C30" w:rsidRPr="00BD16B4" w:rsidRDefault="00B54C30" w:rsidP="00B54C30">
      <w:pPr>
        <w:pStyle w:val="BodyText"/>
      </w:pPr>
      <w:r w:rsidRPr="00BD16B4">
        <w:t>We now have more tools to prepare New Zealanders for the impacts of a changing climate. The national adaptation plan provides the information and support that communities will need to respond to climate change. We will conduct a new Climate Change Risk Assessment every six years to ensure our planning is responsive to the most pressing concerns.</w:t>
      </w:r>
    </w:p>
    <w:p w14:paraId="3F236A64" w14:textId="366D530B" w:rsidR="00B47EBA" w:rsidRPr="00BD16B4" w:rsidRDefault="00B54C30" w:rsidP="00B54C30">
      <w:pPr>
        <w:pStyle w:val="BodyText"/>
      </w:pPr>
      <w:r w:rsidRPr="00BD16B4">
        <w:t>We are committed to a just transition, so that no community or country affected by climate change is left behind. This includes working in partnership with Māori to embed te ao Māori (the Māori world) in our climate response. A new framework will be established for Māori-led solutions as part of our climate action. New Zealand has quadrupled the climate aid available to Pacific Island and other lower-income nations. These countries are making their own transition to lower-emissions economies and building more climate-resilient communities.</w:t>
      </w:r>
    </w:p>
    <w:p w14:paraId="4CB55266" w14:textId="4C6AC65A" w:rsidR="00B47EBA" w:rsidRPr="00BD16B4" w:rsidRDefault="00CE7CB3" w:rsidP="003F0361">
      <w:pPr>
        <w:pStyle w:val="BodyText"/>
        <w:keepLines/>
      </w:pPr>
      <w:r w:rsidRPr="00BD16B4">
        <w:lastRenderedPageBreak/>
        <w:t>New Zealand has formally recognised that the world is experiencing a climate emergency. This report details our response. But this work is urgent and ongoing. We know that there is more to be done. We will continue to work with our international partners to take action on this global challenge.</w:t>
      </w:r>
    </w:p>
    <w:p w14:paraId="48A49501" w14:textId="77777777" w:rsidR="00E213C8" w:rsidRPr="00BD16B4" w:rsidRDefault="00E213C8" w:rsidP="00E213C8">
      <w:pPr>
        <w:pStyle w:val="BodyText"/>
      </w:pPr>
      <w:r w:rsidRPr="00BD16B4">
        <w:rPr>
          <w:noProof/>
        </w:rPr>
        <w:drawing>
          <wp:inline distT="0" distB="0" distL="0" distR="0" wp14:anchorId="1B44ACCE" wp14:editId="6D9E1B6F">
            <wp:extent cx="1404367" cy="539305"/>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33" cstate="print"/>
                    <a:stretch>
                      <a:fillRect/>
                    </a:stretch>
                  </pic:blipFill>
                  <pic:spPr>
                    <a:xfrm>
                      <a:off x="0" y="0"/>
                      <a:ext cx="1404367" cy="539305"/>
                    </a:xfrm>
                    <a:prstGeom prst="rect">
                      <a:avLst/>
                    </a:prstGeom>
                  </pic:spPr>
                </pic:pic>
              </a:graphicData>
            </a:graphic>
          </wp:inline>
        </w:drawing>
      </w:r>
    </w:p>
    <w:p w14:paraId="5B59CF64" w14:textId="658F61B7" w:rsidR="00B47EBA" w:rsidRPr="00BD16B4" w:rsidRDefault="00B47EBA" w:rsidP="00E213C8">
      <w:pPr>
        <w:pStyle w:val="BodyText"/>
        <w:spacing w:after="0"/>
      </w:pPr>
      <w:r w:rsidRPr="00BD16B4">
        <w:t>Hon James Shaw</w:t>
      </w:r>
    </w:p>
    <w:p w14:paraId="7E917880" w14:textId="1F760905" w:rsidR="00796A6F" w:rsidRPr="00BD16B4" w:rsidRDefault="00B47EBA" w:rsidP="003F0361">
      <w:pPr>
        <w:pStyle w:val="BodyText"/>
        <w:spacing w:before="0"/>
      </w:pPr>
      <w:r w:rsidRPr="00BD16B4">
        <w:t>Minister for Climate Change, New Zealand</w:t>
      </w:r>
      <w:bookmarkEnd w:id="0"/>
    </w:p>
    <w:p w14:paraId="27904DAE" w14:textId="77777777" w:rsidR="009D7729" w:rsidRPr="00BD16B4" w:rsidRDefault="009D7729" w:rsidP="003F0361">
      <w:pPr>
        <w:pStyle w:val="BodyText"/>
        <w:spacing w:before="0"/>
      </w:pPr>
    </w:p>
    <w:p w14:paraId="1F32C096" w14:textId="77777777" w:rsidR="009D7729" w:rsidRPr="00BD16B4" w:rsidRDefault="009D7729" w:rsidP="003F0361">
      <w:pPr>
        <w:pStyle w:val="BodyText"/>
        <w:spacing w:before="0"/>
        <w:sectPr w:rsidR="009D7729" w:rsidRPr="00BD16B4" w:rsidSect="008A7498">
          <w:footerReference w:type="even" r:id="rId34"/>
          <w:footerReference w:type="default" r:id="rId35"/>
          <w:pgSz w:w="11907" w:h="16840" w:code="9"/>
          <w:pgMar w:top="1134" w:right="1701" w:bottom="1134" w:left="1701" w:header="567" w:footer="567" w:gutter="0"/>
          <w:cols w:space="720"/>
          <w:docGrid w:linePitch="299"/>
        </w:sectPr>
      </w:pPr>
    </w:p>
    <w:p w14:paraId="53D738A1" w14:textId="266AE5BA" w:rsidR="00236185" w:rsidRPr="00BD16B4" w:rsidRDefault="00236185" w:rsidP="00236185">
      <w:pPr>
        <w:pStyle w:val="Heading1"/>
      </w:pPr>
      <w:bookmarkStart w:id="6" w:name="_Toc491435427"/>
      <w:bookmarkStart w:id="7" w:name="_Toc497392881"/>
      <w:bookmarkStart w:id="8" w:name="_Toc497740257"/>
      <w:bookmarkStart w:id="9" w:name="_Toc498516715"/>
      <w:bookmarkStart w:id="10" w:name="_Toc248736146"/>
      <w:bookmarkStart w:id="11" w:name="_Toc372551717"/>
      <w:bookmarkStart w:id="12" w:name="_Toc374520332"/>
      <w:bookmarkStart w:id="13" w:name="_Toc500796125"/>
      <w:bookmarkStart w:id="14" w:name="_Toc121774614"/>
      <w:r w:rsidRPr="00BD16B4">
        <w:lastRenderedPageBreak/>
        <w:t>1</w:t>
      </w:r>
      <w:r w:rsidRPr="00BD16B4">
        <w:tab/>
        <w:t>Executive summary</w:t>
      </w:r>
      <w:bookmarkEnd w:id="6"/>
      <w:bookmarkEnd w:id="7"/>
      <w:bookmarkEnd w:id="8"/>
      <w:bookmarkEnd w:id="9"/>
      <w:bookmarkEnd w:id="10"/>
      <w:bookmarkEnd w:id="11"/>
      <w:bookmarkEnd w:id="12"/>
      <w:bookmarkEnd w:id="13"/>
      <w:bookmarkEnd w:id="14"/>
    </w:p>
    <w:p w14:paraId="02A44D16" w14:textId="19E11FA1" w:rsidR="00236185" w:rsidRPr="00BD16B4" w:rsidRDefault="005E3C08" w:rsidP="00236185">
      <w:pPr>
        <w:pStyle w:val="BodyText"/>
      </w:pPr>
      <w:bookmarkStart w:id="15" w:name="_Toc499993057"/>
      <w:r w:rsidRPr="00BD16B4">
        <w:t>Climate change is one of the greatest challenges of our time</w:t>
      </w:r>
      <w:r w:rsidR="00236185" w:rsidRPr="00BD16B4">
        <w:t xml:space="preserve">. By taking action today, we can ensure we are able to adapt to climate change and limit its effects on future generations. Aotearoa New Zealand has demonstrated its commitment to addressing the challenges of climate change by taking clear actions towards creating a low-emissions, productive, resilient, sustainable and inclusive economy. These actions will enable our communities and environment to prosper for generations to come. </w:t>
      </w:r>
    </w:p>
    <w:p w14:paraId="742DFB3D" w14:textId="2B74A4DF" w:rsidR="00236185" w:rsidRPr="00BD16B4" w:rsidRDefault="00236185" w:rsidP="00236185">
      <w:pPr>
        <w:pStyle w:val="BodyText"/>
      </w:pPr>
      <w:r w:rsidRPr="00BD16B4">
        <w:t>In December 2020, the Government declared a climate emergency. The Government has made significant progress through ratifying the Paris Agreement and putting the global goal of limiting warming to 1.5</w:t>
      </w:r>
      <w:r w:rsidR="00A437C7" w:rsidRPr="00BD16B4">
        <w:t>°C</w:t>
      </w:r>
      <w:r w:rsidRPr="00BD16B4">
        <w:t xml:space="preserve"> above pre-industrial levels into law through the Climate Change Response (Zero Carbon) Amendment Act 2019.</w:t>
      </w:r>
      <w:r w:rsidRPr="00BD16B4">
        <w:rPr>
          <w:rStyle w:val="FootnoteReference"/>
          <w:color w:val="auto"/>
        </w:rPr>
        <w:footnoteReference w:id="1"/>
      </w:r>
      <w:r w:rsidRPr="00BD16B4">
        <w:t xml:space="preserve"> New Zealand’s ratification of the Paris Agreement commits the country to update its Nationally Determined Contribution (NDC) under the Agreement. In November 2021, New Zealand updated its NDC1 to reduce net</w:t>
      </w:r>
      <w:r w:rsidR="00A437C7" w:rsidRPr="00BD16B4">
        <w:t xml:space="preserve"> </w:t>
      </w:r>
      <w:r w:rsidRPr="00BD16B4">
        <w:t xml:space="preserve">greenhouse gas emissions to 50 per cent below </w:t>
      </w:r>
      <w:r w:rsidR="006615F2" w:rsidRPr="00BD16B4">
        <w:t xml:space="preserve">gross </w:t>
      </w:r>
      <w:r w:rsidRPr="00BD16B4">
        <w:t xml:space="preserve">2005 levels by 2030. New Zealand will continue to work both domestically and internationally to ensure we do our fair share to tackle and support action on climate change. </w:t>
      </w:r>
    </w:p>
    <w:p w14:paraId="230C407C" w14:textId="77777777" w:rsidR="00236185" w:rsidRPr="00BD16B4" w:rsidRDefault="00236185" w:rsidP="00236185">
      <w:pPr>
        <w:pStyle w:val="BodyText"/>
        <w:rPr>
          <w:lang w:eastAsia="en-GB"/>
        </w:rPr>
      </w:pPr>
      <w:r w:rsidRPr="00BD16B4">
        <w:t>New Zealand is founded on a partnership between the Crown and indigenous New Zealanders, Māori, through Te Tiriti o Waitangi (the Treaty of Waitangi) signed in 1840. Climate change will affect Māori as tangata whenua (people of the land) and kaitiaki (guardians) of their ancestral and cultural landscape. Certain whānau (families), hapū (subtribes) and iwi (tribes) will be disproportionately affected, as will Māori interests, values, practices and wellbeing. Māori are kaitiaki of their whenua (land), leaders in their com</w:t>
      </w:r>
      <w:r w:rsidRPr="00BD16B4">
        <w:rPr>
          <w:lang w:eastAsia="en-GB"/>
        </w:rPr>
        <w:t>munities, decision-makers about resources and infrastructure, land owners and business owners. An equitable transition for Māori, led by Māori, will require building Crown–Māori relationships and capability to work together as equal partners on our climate response.</w:t>
      </w:r>
    </w:p>
    <w:p w14:paraId="2812A00D" w14:textId="77777777" w:rsidR="00236185" w:rsidRPr="00BD16B4" w:rsidRDefault="00236185" w:rsidP="00236185">
      <w:pPr>
        <w:pStyle w:val="BodyText"/>
      </w:pPr>
      <w:r w:rsidRPr="00BD16B4">
        <w:t>New Zealand’s small population of 5.1 million is widely dispersed across a long, narrow and mountainous country. It consists of two large islands, the North Island and the South Island, and a number of smaller islands. Located in the southwest Pacific Ocean, the country is distant from most of its trading partners. It has an export-dependent economy, with a significant reliance on the primary sector, which contributes over half of New Zealand’s total export earnings. The country’s geography and population distribution have contributed to a dependence on fossil fuel powered transport. As a result of this and the primary sector export base, New Zealand’s emissions profile is dominated by the energy and agriculture sectors, which combined contributed 89.9 per cent of gross greenhouse gas emissions in 2020.</w:t>
      </w:r>
      <w:r w:rsidRPr="00BD16B4">
        <w:rPr>
          <w:rStyle w:val="FootnoteReference"/>
        </w:rPr>
        <w:footnoteReference w:id="2"/>
      </w:r>
      <w:r w:rsidRPr="00BD16B4">
        <w:t xml:space="preserve"> </w:t>
      </w:r>
    </w:p>
    <w:p w14:paraId="6D92E5BE" w14:textId="77777777" w:rsidR="00236185" w:rsidRPr="00BD16B4" w:rsidRDefault="00236185" w:rsidP="00236185">
      <w:pPr>
        <w:pStyle w:val="BodyText"/>
        <w:rPr>
          <w:lang w:eastAsia="en-GB"/>
        </w:rPr>
      </w:pPr>
      <w:r w:rsidRPr="00BD16B4">
        <w:t xml:space="preserve">New Zealand has abundant renewable energy resources and a long history of renewable energy development. As a result, 82.1 per cent of the country’s electricity generation came from renewable sources in 2021 – primarily hydro-electric, with smaller contributions from geothermal and wind generation. Continued development of geothermal and wind renewables has seen the amount of electricity generated from these sources more than triple since 1990. </w:t>
      </w:r>
    </w:p>
    <w:p w14:paraId="37848DC1" w14:textId="77777777" w:rsidR="00236185" w:rsidRPr="00BD16B4" w:rsidRDefault="00236185" w:rsidP="00236185">
      <w:pPr>
        <w:pStyle w:val="BodyText"/>
        <w:spacing w:before="100" w:after="100" w:line="270" w:lineRule="atLeast"/>
      </w:pPr>
      <w:r w:rsidRPr="00BD16B4">
        <w:lastRenderedPageBreak/>
        <w:t xml:space="preserve">Because of the high levels of agricultural activity, half of New Zealand’s gross emissions come from agriculture. Our country has made significant improvements in production efficiency </w:t>
      </w:r>
      <w:r w:rsidRPr="00BD16B4">
        <w:rPr>
          <w:spacing w:val="-2"/>
        </w:rPr>
        <w:t>across the agriculture sector. This means that while overall production has increased, emissions</w:t>
      </w:r>
      <w:r w:rsidRPr="00BD16B4">
        <w:t xml:space="preserve"> per unit of production have significantly decreased. As a result, gross emissions from agriculture have remained relatively stable since 2006. New Zealand continues to seek opportunities through agricultural research to create economically viable and effective technologies to reduce emissions from this sector. </w:t>
      </w:r>
    </w:p>
    <w:p w14:paraId="733EF5F5" w14:textId="77777777" w:rsidR="00236185" w:rsidRPr="00BD16B4" w:rsidRDefault="00236185" w:rsidP="00236185">
      <w:pPr>
        <w:pStyle w:val="BodyText"/>
        <w:spacing w:before="100" w:after="100" w:line="270" w:lineRule="atLeast"/>
        <w:rPr>
          <w:rFonts w:eastAsia="Calibri"/>
        </w:rPr>
      </w:pPr>
      <w:r w:rsidRPr="00BD16B4">
        <w:t xml:space="preserve">In November 2017, New Zealand extended its ratification of the United Nations Framework Convention on Climate Change (UNFCCC) and the Paris Agreement to include Tokelau, and as a result Tokelau is now included in New Zealand’s international climate change reporting. Tokelau is a non-self-governing territory of New Zealand made up of three small coral atolls. The combination of the small land area, small population and absence of industry means Tokelau contributes only a very small amount of greenhouse gas emissions. </w:t>
      </w:r>
      <w:r w:rsidRPr="00BD16B4">
        <w:rPr>
          <w:rFonts w:eastAsia="Calibri"/>
        </w:rPr>
        <w:t>Tokelau’s low-lying atolls are extremely vulnerable to the impacts of climate change and related hazards. The Government is supporting Tokelau to strengthen its resilience and adapt to the impacts of climate change and is committed to helping achieve Tokelau’s vision for its future under its Climate Change Strategy.</w:t>
      </w:r>
      <w:r w:rsidRPr="00BD16B4">
        <w:rPr>
          <w:rStyle w:val="FootnoteReference"/>
          <w:rFonts w:eastAsia="Calibri"/>
        </w:rPr>
        <w:footnoteReference w:id="3"/>
      </w:r>
      <w:r w:rsidRPr="00BD16B4">
        <w:rPr>
          <w:rFonts w:eastAsia="Calibri"/>
        </w:rPr>
        <w:t xml:space="preserve"> </w:t>
      </w:r>
    </w:p>
    <w:p w14:paraId="516EB7D5" w14:textId="77777777" w:rsidR="00236185" w:rsidRPr="00BD16B4" w:rsidRDefault="00236185" w:rsidP="00236185">
      <w:pPr>
        <w:pStyle w:val="BodyText"/>
        <w:spacing w:before="100" w:after="100" w:line="270" w:lineRule="atLeast"/>
        <w:rPr>
          <w:rFonts w:eastAsia="Calibri"/>
        </w:rPr>
      </w:pPr>
      <w:r w:rsidRPr="00BD16B4">
        <w:rPr>
          <w:rFonts w:eastAsia="Calibri"/>
        </w:rPr>
        <w:t>New Zealand has decoupled emissions from economic growth, meaning our economy is growing faster than our emissions. However, gross emissions have increased since 1990 on the back of strong economic and population growth. New Zealand continues to explore opportunities to further reduce our greenhouse gas emissions. Detailed information on this work to date can be found in the emissions reduction plan.</w:t>
      </w:r>
      <w:r w:rsidRPr="00BD16B4">
        <w:rPr>
          <w:rStyle w:val="FootnoteReference"/>
          <w:rFonts w:eastAsia="Calibri"/>
        </w:rPr>
        <w:footnoteReference w:id="4"/>
      </w:r>
      <w:r w:rsidRPr="00BD16B4">
        <w:rPr>
          <w:rFonts w:eastAsia="Calibri"/>
        </w:rPr>
        <w:t xml:space="preserve"> Alongside this, New Zealand also continues to prioritise work on how to adapt to the effects of climate change and build a more resilient nation. Extensive information on this can be found in the national adaptation plan.</w:t>
      </w:r>
      <w:r w:rsidRPr="00BD16B4">
        <w:rPr>
          <w:rStyle w:val="FootnoteReference"/>
          <w:rFonts w:eastAsia="Calibri"/>
        </w:rPr>
        <w:footnoteReference w:id="5"/>
      </w:r>
    </w:p>
    <w:p w14:paraId="1F8F3BB9" w14:textId="77777777" w:rsidR="00236185" w:rsidRPr="00BD16B4" w:rsidRDefault="00236185" w:rsidP="00236185">
      <w:pPr>
        <w:pStyle w:val="Heading2notTOC"/>
        <w:spacing w:before="320"/>
      </w:pPr>
      <w:r w:rsidRPr="00BD16B4">
        <w:t>1.1</w:t>
      </w:r>
      <w:r w:rsidRPr="00BD16B4">
        <w:tab/>
        <w:t>New Zealand’s emissions targets</w:t>
      </w:r>
      <w:bookmarkEnd w:id="15"/>
    </w:p>
    <w:p w14:paraId="54F2FDC6" w14:textId="57496220" w:rsidR="00236185" w:rsidRPr="00BD16B4" w:rsidRDefault="00236185" w:rsidP="00236185">
      <w:pPr>
        <w:pStyle w:val="BodyText"/>
        <w:spacing w:line="270" w:lineRule="atLeast"/>
      </w:pPr>
      <w:r w:rsidRPr="00BD16B4">
        <w:t xml:space="preserve">Since the </w:t>
      </w:r>
      <w:r w:rsidRPr="00BD16B4">
        <w:rPr>
          <w:i/>
          <w:iCs/>
        </w:rPr>
        <w:t>Seventh National Communication</w:t>
      </w:r>
      <w:r w:rsidRPr="00BD16B4">
        <w:t>, Aotearoa New Zealand has updated its NDC1 under the Paris Agreement.</w:t>
      </w:r>
      <w:r w:rsidRPr="00BD16B4">
        <w:rPr>
          <w:rStyle w:val="FootnoteReference"/>
        </w:rPr>
        <w:footnoteReference w:id="6"/>
      </w:r>
      <w:r w:rsidRPr="00BD16B4">
        <w:t xml:space="preserve"> New Zealand’s increased ambition aligns with global efforts to limit global warming to 1.5</w:t>
      </w:r>
      <w:r w:rsidR="00E254D0" w:rsidRPr="00BD16B4">
        <w:t>°C</w:t>
      </w:r>
      <w:r w:rsidRPr="00BD16B4">
        <w:t xml:space="preserve"> above pre-industrial levels. New Zealand has committed to the following targets.</w:t>
      </w:r>
    </w:p>
    <w:p w14:paraId="08FE7F68" w14:textId="37B60276" w:rsidR="00236185" w:rsidRPr="00BD16B4" w:rsidRDefault="00236185" w:rsidP="0011037B">
      <w:pPr>
        <w:pStyle w:val="Bullet"/>
        <w:spacing w:line="270" w:lineRule="atLeast"/>
      </w:pPr>
      <w:r w:rsidRPr="00BD16B4">
        <w:t xml:space="preserve">2030 NDC Target (2021–30): Under the Paris Agreement, New Zealand has set a headline target for NDC1 to reduce net greenhouse gas emissions by 50 per cent below </w:t>
      </w:r>
      <w:r w:rsidR="005E3C08" w:rsidRPr="00BD16B4">
        <w:t xml:space="preserve">gross </w:t>
      </w:r>
      <w:r w:rsidRPr="00BD16B4">
        <w:t xml:space="preserve">2005 levels by 2030. The NDC1 target is economy wide, covering all sectors and all greenhouse gases. New Zealand will report on the implementation and achievement of its NDC1 through the Paris Agreement’s Enhanced Transparency Framework. </w:t>
      </w:r>
    </w:p>
    <w:p w14:paraId="266A7088" w14:textId="77777777" w:rsidR="00236185" w:rsidRPr="00BD16B4" w:rsidRDefault="00236185" w:rsidP="0011037B">
      <w:pPr>
        <w:pStyle w:val="Bullet"/>
        <w:tabs>
          <w:tab w:val="num" w:pos="397"/>
        </w:tabs>
        <w:spacing w:line="280" w:lineRule="exact"/>
      </w:pPr>
      <w:r w:rsidRPr="00BD16B4">
        <w:lastRenderedPageBreak/>
        <w:t xml:space="preserve">2020 Target (2013–20): Under the UNFCCC (while applying the Kyoto Protocol framework of rules), New Zealand set a target to reduce gross greenhouse gas emissions to 5 per cent below 1990 levels by 2020. We have met this target based on the 2022 submission of </w:t>
      </w:r>
      <w:r w:rsidRPr="00BD16B4">
        <w:rPr>
          <w:i/>
          <w:iCs/>
        </w:rPr>
        <w:t>New Zealand’s Greenhouse Gas Inventory</w:t>
      </w:r>
      <w:r w:rsidRPr="00BD16B4">
        <w:t xml:space="preserve">. This will be formally confirmed following the international expert review process. </w:t>
      </w:r>
    </w:p>
    <w:p w14:paraId="5C6BCA47" w14:textId="77777777" w:rsidR="00236185" w:rsidRPr="00BD16B4" w:rsidRDefault="00236185" w:rsidP="0011037B">
      <w:pPr>
        <w:pStyle w:val="Bullet"/>
        <w:tabs>
          <w:tab w:val="num" w:pos="397"/>
        </w:tabs>
        <w:spacing w:line="280" w:lineRule="exact"/>
      </w:pPr>
      <w:r w:rsidRPr="00BD16B4">
        <w:t xml:space="preserve">2012 Target (2008–12): Under the Kyoto Protocol’s first commitment period, New Zealand’s target was to reduce greenhouse gas emissions to 1990 levels by 2012. This target was confirmed as met in 2015, when </w:t>
      </w:r>
      <w:r w:rsidRPr="00BD16B4">
        <w:rPr>
          <w:i/>
          <w:iCs/>
        </w:rPr>
        <w:t>New Zealand’s True-up Report</w:t>
      </w:r>
      <w:r w:rsidRPr="00BD16B4">
        <w:t xml:space="preserve"> was reviewed by UNFCCC.</w:t>
      </w:r>
    </w:p>
    <w:p w14:paraId="2E3BDA77" w14:textId="77777777" w:rsidR="00236185" w:rsidRPr="00BD16B4" w:rsidRDefault="00236185" w:rsidP="0011037B">
      <w:pPr>
        <w:pStyle w:val="Bullet"/>
        <w:tabs>
          <w:tab w:val="num" w:pos="397"/>
        </w:tabs>
        <w:spacing w:line="280" w:lineRule="exact"/>
      </w:pPr>
      <w:r w:rsidRPr="00BD16B4">
        <w:t xml:space="preserve">Domestic targets: In 2019, the Climate Change Response Act 2002 was amended to include 2050 emissions reduction targets. These legislated targets require all greenhouse gases other than biogenic methane to reach net zero by 2050 with a minimum biogenic methane reduction of 10 per cent by 2030, and 24–47 per cent by 2050 compared with 2017 levels. </w:t>
      </w:r>
    </w:p>
    <w:p w14:paraId="4938C472" w14:textId="0955EFCC" w:rsidR="00236185" w:rsidRPr="00BD16B4" w:rsidRDefault="00236185" w:rsidP="00236185">
      <w:pPr>
        <w:pStyle w:val="BodyText"/>
      </w:pPr>
      <w:r w:rsidRPr="00BD16B4">
        <w:t xml:space="preserve">New Zealand will meet its </w:t>
      </w:r>
      <w:r w:rsidR="00891114" w:rsidRPr="00BD16B4">
        <w:t xml:space="preserve">international </w:t>
      </w:r>
      <w:r w:rsidRPr="00BD16B4">
        <w:t>emissions reduction targets through a combination of domestic emissions reductions, removal of carbon dioxide via sequestration sources such as forests, and participating in international carbon markets. New Zealand uses a multi-year emissions budget approach to set and measure progress towards our targets.</w:t>
      </w:r>
      <w:r w:rsidRPr="00BD16B4">
        <w:rPr>
          <w:rStyle w:val="FootnoteReference"/>
        </w:rPr>
        <w:footnoteReference w:id="7"/>
      </w:r>
      <w:r w:rsidRPr="00BD16B4">
        <w:t xml:space="preserve"> This means that progress towards our targets is not measured by looking at emissions in a single year but includes emissions across all years for each target period. This approach was required for countries that took a first commitment period target under Kyoto Protocol and is being used by New Zealand for its 2030 target. </w:t>
      </w:r>
      <w:r w:rsidRPr="00BD16B4">
        <w:rPr>
          <w:rFonts w:eastAsia="Calibri"/>
        </w:rPr>
        <w:t>New Zealand will continue to regularly review its contributions to international mitigation action, considering the latest science, development of new technologies, progress by other countries and the commitments</w:t>
      </w:r>
      <w:r w:rsidRPr="00BD16B4" w:rsidDel="000B5099">
        <w:rPr>
          <w:rFonts w:eastAsia="Calibri"/>
        </w:rPr>
        <w:t xml:space="preserve"> </w:t>
      </w:r>
      <w:r w:rsidRPr="00BD16B4">
        <w:rPr>
          <w:rFonts w:eastAsia="Calibri"/>
        </w:rPr>
        <w:t xml:space="preserve">New Zealand has made. </w:t>
      </w:r>
    </w:p>
    <w:p w14:paraId="21D5329E" w14:textId="77777777" w:rsidR="00236185" w:rsidRPr="00BD16B4" w:rsidRDefault="00236185" w:rsidP="00236185">
      <w:pPr>
        <w:pStyle w:val="Heading2notTOC"/>
      </w:pPr>
      <w:bookmarkStart w:id="16" w:name="_Toc499993058"/>
      <w:r w:rsidRPr="00BD16B4">
        <w:t>1.2</w:t>
      </w:r>
      <w:r w:rsidRPr="00BD16B4">
        <w:tab/>
        <w:t>Action on climate change</w:t>
      </w:r>
      <w:bookmarkEnd w:id="16"/>
      <w:r w:rsidRPr="00BD16B4">
        <w:t xml:space="preserve"> </w:t>
      </w:r>
    </w:p>
    <w:p w14:paraId="0B038BC7" w14:textId="5C79004D" w:rsidR="00236185" w:rsidRPr="00BD16B4" w:rsidRDefault="00236185" w:rsidP="00236185">
      <w:pPr>
        <w:pStyle w:val="BodyText"/>
      </w:pPr>
      <w:r w:rsidRPr="00BD16B4">
        <w:t xml:space="preserve">In 2019, the Government published the </w:t>
      </w:r>
      <w:r w:rsidRPr="00BD16B4">
        <w:rPr>
          <w:b/>
          <w:bCs/>
        </w:rPr>
        <w:t xml:space="preserve">Climate Change Response (Zero Carbon) Amendment </w:t>
      </w:r>
      <w:r w:rsidRPr="00BD16B4">
        <w:rPr>
          <w:b/>
          <w:bCs/>
          <w:spacing w:val="-2"/>
        </w:rPr>
        <w:t>Act 2019</w:t>
      </w:r>
      <w:r w:rsidRPr="00BD16B4">
        <w:rPr>
          <w:spacing w:val="-2"/>
        </w:rPr>
        <w:t>. The Act includes the need to prepare for, and adapt to, the effects of climate change</w:t>
      </w:r>
      <w:r w:rsidRPr="00BD16B4">
        <w:t xml:space="preserve">. </w:t>
      </w:r>
      <w:r w:rsidRPr="00BD16B4">
        <w:rPr>
          <w:spacing w:val="-2"/>
        </w:rPr>
        <w:t>This included provision for a climate change commission, which would provide</w:t>
      </w:r>
      <w:r w:rsidR="00313A1E" w:rsidRPr="00BD16B4">
        <w:rPr>
          <w:spacing w:val="-2"/>
        </w:rPr>
        <w:t xml:space="preserve"> the Government</w:t>
      </w:r>
      <w:r w:rsidR="00313A1E" w:rsidRPr="00BD16B4">
        <w:t xml:space="preserve"> with</w:t>
      </w:r>
      <w:r w:rsidRPr="00BD16B4">
        <w:t xml:space="preserve"> independent expert advice and monitor and review progress towards emissions reduction and adaptation goals</w:t>
      </w:r>
      <w:r w:rsidR="007005C1" w:rsidRPr="00BD16B4">
        <w:t>.</w:t>
      </w:r>
      <w:r w:rsidRPr="00BD16B4">
        <w:t xml:space="preserve"> He Pou a Rangi – Climate Change Commission was established in 2019. </w:t>
      </w:r>
    </w:p>
    <w:p w14:paraId="2216037F" w14:textId="1E36E411" w:rsidR="00236185" w:rsidRPr="00BD16B4" w:rsidRDefault="00236185" w:rsidP="00236185">
      <w:pPr>
        <w:pStyle w:val="BodyText"/>
      </w:pPr>
      <w:r w:rsidRPr="00BD16B4">
        <w:t>Aotearoa New Zealand will contribute to the global effort to limit temperatures to 1.5</w:t>
      </w:r>
      <w:r w:rsidR="00E254D0" w:rsidRPr="00BD16B4">
        <w:t>°C</w:t>
      </w:r>
      <w:r w:rsidRPr="00BD16B4">
        <w:t xml:space="preserve"> above</w:t>
      </w:r>
      <w:r w:rsidR="0019550F" w:rsidRPr="00BD16B4">
        <w:t> </w:t>
      </w:r>
      <w:r w:rsidRPr="00BD16B4">
        <w:t>pre-industrial levels and the 2050 target</w:t>
      </w:r>
      <w:r w:rsidR="00416BAE" w:rsidRPr="00BD16B4">
        <w:t>s</w:t>
      </w:r>
      <w:r w:rsidRPr="00BD16B4">
        <w:t xml:space="preserve"> through a series of interim targets known as </w:t>
      </w:r>
      <w:r w:rsidRPr="00BD16B4">
        <w:rPr>
          <w:b/>
          <w:bCs/>
        </w:rPr>
        <w:t>emissions budgets</w:t>
      </w:r>
      <w:r w:rsidRPr="00BD16B4">
        <w:t xml:space="preserve">. An emissions budget is the total quantity of greenhouse gas emissions that are permitted during a specified time period. New Zealand’s first three emissions budgets have been developed through to 2035 (table 1.1) and are set to get smaller over time to help the country progressively step towards our 2050 targets. </w:t>
      </w:r>
    </w:p>
    <w:p w14:paraId="4190ED70" w14:textId="77777777" w:rsidR="00236185" w:rsidRPr="00BD16B4" w:rsidRDefault="00236185" w:rsidP="00BB7302">
      <w:pPr>
        <w:pStyle w:val="Tableheading"/>
      </w:pPr>
      <w:bookmarkStart w:id="17" w:name="_Toc121773783"/>
      <w:r w:rsidRPr="00BD16B4">
        <w:lastRenderedPageBreak/>
        <w:t>Table 1.1:</w:t>
      </w:r>
      <w:r w:rsidRPr="00BD16B4">
        <w:tab/>
        <w:t>New Zealand’s first three emissions budgets, 2022–2035</w:t>
      </w:r>
      <w:bookmarkEnd w:id="17"/>
    </w:p>
    <w:tbl>
      <w:tblPr>
        <w:tblW w:w="8505" w:type="dxa"/>
        <w:tblInd w:w="113" w:type="dxa"/>
        <w:tblBorders>
          <w:top w:val="single" w:sz="6" w:space="0" w:color="1B556B" w:themeColor="text2"/>
          <w:bottom w:val="single" w:sz="6" w:space="0" w:color="1B556B" w:themeColor="text2"/>
          <w:insideH w:val="single" w:sz="6" w:space="0" w:color="1B556B" w:themeColor="text2"/>
        </w:tblBorders>
        <w:tblLook w:val="04A0" w:firstRow="1" w:lastRow="0" w:firstColumn="1" w:lastColumn="0" w:noHBand="0" w:noVBand="1"/>
      </w:tblPr>
      <w:tblGrid>
        <w:gridCol w:w="1992"/>
        <w:gridCol w:w="2171"/>
        <w:gridCol w:w="2171"/>
        <w:gridCol w:w="2171"/>
      </w:tblGrid>
      <w:tr w:rsidR="00D522B3" w:rsidRPr="00BD16B4" w14:paraId="1C1836C0" w14:textId="77777777" w:rsidTr="009A4FC8">
        <w:tc>
          <w:tcPr>
            <w:tcW w:w="1980" w:type="dxa"/>
            <w:shd w:val="clear" w:color="auto" w:fill="1B556B" w:themeFill="text2"/>
            <w:hideMark/>
          </w:tcPr>
          <w:p w14:paraId="6FF1B468" w14:textId="77777777" w:rsidR="00236185" w:rsidRPr="00BD16B4" w:rsidRDefault="00236185" w:rsidP="00D522B3">
            <w:pPr>
              <w:pStyle w:val="TableTextBold0"/>
              <w:keepNext/>
              <w:rPr>
                <w:rFonts w:ascii="Segoe UI" w:hAnsi="Segoe UI" w:cs="Segoe UI"/>
                <w:color w:val="FFFFFF" w:themeColor="background1"/>
                <w:szCs w:val="18"/>
              </w:rPr>
            </w:pPr>
            <w:r w:rsidRPr="00BD16B4">
              <w:rPr>
                <w:color w:val="FFFFFF" w:themeColor="background1"/>
              </w:rPr>
              <w:t xml:space="preserve">Emissions </w:t>
            </w:r>
            <w:r w:rsidRPr="00BD16B4">
              <w:rPr>
                <w:color w:val="FFFFFF" w:themeColor="background1"/>
              </w:rPr>
              <w:br/>
              <w:t>(Mt CO</w:t>
            </w:r>
            <w:r w:rsidRPr="00BD16B4">
              <w:rPr>
                <w:color w:val="FFFFFF" w:themeColor="background1"/>
                <w:vertAlign w:val="subscript"/>
              </w:rPr>
              <w:t>2</w:t>
            </w:r>
            <w:r w:rsidRPr="00BD16B4">
              <w:rPr>
                <w:color w:val="FFFFFF" w:themeColor="background1"/>
              </w:rPr>
              <w:t>-e)</w:t>
            </w:r>
          </w:p>
        </w:tc>
        <w:tc>
          <w:tcPr>
            <w:tcW w:w="2160" w:type="dxa"/>
            <w:shd w:val="clear" w:color="auto" w:fill="1B556B" w:themeFill="text2"/>
            <w:hideMark/>
          </w:tcPr>
          <w:p w14:paraId="26A2E801" w14:textId="77777777" w:rsidR="00236185" w:rsidRPr="00BD16B4" w:rsidRDefault="00236185" w:rsidP="00D522B3">
            <w:pPr>
              <w:pStyle w:val="TableTextBold0"/>
              <w:rPr>
                <w:rFonts w:ascii="Segoe UI" w:hAnsi="Segoe UI" w:cs="Segoe UI"/>
                <w:color w:val="FFFFFF" w:themeColor="background1"/>
                <w:szCs w:val="18"/>
              </w:rPr>
            </w:pPr>
            <w:r w:rsidRPr="00BD16B4">
              <w:rPr>
                <w:color w:val="FFFFFF" w:themeColor="background1"/>
              </w:rPr>
              <w:t>First emissions budget (2022–25) </w:t>
            </w:r>
          </w:p>
        </w:tc>
        <w:tc>
          <w:tcPr>
            <w:tcW w:w="2160" w:type="dxa"/>
            <w:shd w:val="clear" w:color="auto" w:fill="1B556B" w:themeFill="text2"/>
            <w:hideMark/>
          </w:tcPr>
          <w:p w14:paraId="52AB2955" w14:textId="77777777" w:rsidR="00236185" w:rsidRPr="00BD16B4" w:rsidRDefault="00236185" w:rsidP="00D522B3">
            <w:pPr>
              <w:pStyle w:val="TableTextBold0"/>
              <w:rPr>
                <w:rFonts w:ascii="Segoe UI" w:hAnsi="Segoe UI" w:cs="Segoe UI"/>
                <w:color w:val="FFFFFF" w:themeColor="background1"/>
                <w:szCs w:val="18"/>
              </w:rPr>
            </w:pPr>
            <w:r w:rsidRPr="00BD16B4">
              <w:rPr>
                <w:color w:val="FFFFFF" w:themeColor="background1"/>
              </w:rPr>
              <w:t>Second emissions budget (2026–30) </w:t>
            </w:r>
          </w:p>
        </w:tc>
        <w:tc>
          <w:tcPr>
            <w:tcW w:w="2160" w:type="dxa"/>
            <w:shd w:val="clear" w:color="auto" w:fill="1B556B" w:themeFill="text2"/>
            <w:hideMark/>
          </w:tcPr>
          <w:p w14:paraId="0B5D79D9" w14:textId="77777777" w:rsidR="00236185" w:rsidRPr="00BD16B4" w:rsidRDefault="00236185" w:rsidP="00D522B3">
            <w:pPr>
              <w:pStyle w:val="TableTextBold0"/>
              <w:rPr>
                <w:rFonts w:ascii="Segoe UI" w:hAnsi="Segoe UI" w:cs="Segoe UI"/>
                <w:color w:val="FFFFFF" w:themeColor="background1"/>
                <w:szCs w:val="18"/>
              </w:rPr>
            </w:pPr>
            <w:r w:rsidRPr="00BD16B4">
              <w:rPr>
                <w:color w:val="FFFFFF" w:themeColor="background1"/>
              </w:rPr>
              <w:t>Third emissions budget (2031–35) </w:t>
            </w:r>
          </w:p>
        </w:tc>
      </w:tr>
      <w:tr w:rsidR="00236185" w:rsidRPr="00BD16B4" w14:paraId="1E0AD96E" w14:textId="77777777" w:rsidTr="009A4FC8">
        <w:tc>
          <w:tcPr>
            <w:tcW w:w="1980" w:type="dxa"/>
            <w:shd w:val="clear" w:color="auto" w:fill="FFFFFF"/>
            <w:hideMark/>
          </w:tcPr>
          <w:p w14:paraId="67F93113" w14:textId="77777777" w:rsidR="00236185" w:rsidRPr="00BD16B4" w:rsidRDefault="00236185" w:rsidP="005C79D1">
            <w:pPr>
              <w:pStyle w:val="TableText"/>
              <w:rPr>
                <w:rFonts w:ascii="Segoe UI" w:eastAsia="Times New Roman" w:hAnsi="Segoe UI" w:cs="Segoe UI"/>
                <w:b/>
                <w:bCs/>
                <w:szCs w:val="18"/>
              </w:rPr>
            </w:pPr>
            <w:r w:rsidRPr="00BD16B4">
              <w:rPr>
                <w:rFonts w:eastAsia="Times New Roman"/>
              </w:rPr>
              <w:t>All gases, net (AR5)</w:t>
            </w:r>
          </w:p>
        </w:tc>
        <w:tc>
          <w:tcPr>
            <w:tcW w:w="2160" w:type="dxa"/>
            <w:shd w:val="clear" w:color="auto" w:fill="auto"/>
            <w:hideMark/>
          </w:tcPr>
          <w:p w14:paraId="5DDC9120" w14:textId="77777777" w:rsidR="00236185" w:rsidRPr="00BD16B4" w:rsidRDefault="00236185" w:rsidP="005C79D1">
            <w:pPr>
              <w:pStyle w:val="TableText"/>
              <w:rPr>
                <w:rFonts w:ascii="Segoe UI" w:eastAsia="Times New Roman" w:hAnsi="Segoe UI" w:cs="Segoe UI"/>
                <w:szCs w:val="18"/>
              </w:rPr>
            </w:pPr>
            <w:r w:rsidRPr="00BD16B4">
              <w:rPr>
                <w:rFonts w:eastAsia="Times New Roman"/>
              </w:rPr>
              <w:t>290.0</w:t>
            </w:r>
          </w:p>
        </w:tc>
        <w:tc>
          <w:tcPr>
            <w:tcW w:w="2160" w:type="dxa"/>
            <w:shd w:val="clear" w:color="auto" w:fill="auto"/>
            <w:hideMark/>
          </w:tcPr>
          <w:p w14:paraId="71B84FB0" w14:textId="77777777" w:rsidR="00236185" w:rsidRPr="00BD16B4" w:rsidRDefault="00236185" w:rsidP="005C79D1">
            <w:pPr>
              <w:pStyle w:val="TableText"/>
              <w:rPr>
                <w:rFonts w:ascii="Segoe UI" w:eastAsia="Times New Roman" w:hAnsi="Segoe UI" w:cs="Segoe UI"/>
                <w:szCs w:val="18"/>
              </w:rPr>
            </w:pPr>
            <w:r w:rsidRPr="00BD16B4">
              <w:rPr>
                <w:rFonts w:eastAsia="Times New Roman"/>
              </w:rPr>
              <w:t>305.0</w:t>
            </w:r>
          </w:p>
        </w:tc>
        <w:tc>
          <w:tcPr>
            <w:tcW w:w="2160" w:type="dxa"/>
            <w:shd w:val="clear" w:color="auto" w:fill="auto"/>
            <w:hideMark/>
          </w:tcPr>
          <w:p w14:paraId="46D615B0" w14:textId="77777777" w:rsidR="00236185" w:rsidRPr="00BD16B4" w:rsidRDefault="00236185" w:rsidP="005C79D1">
            <w:pPr>
              <w:pStyle w:val="TableText"/>
              <w:rPr>
                <w:rFonts w:ascii="Segoe UI" w:eastAsia="Times New Roman" w:hAnsi="Segoe UI" w:cs="Segoe UI"/>
                <w:szCs w:val="18"/>
              </w:rPr>
            </w:pPr>
            <w:r w:rsidRPr="00BD16B4">
              <w:rPr>
                <w:rFonts w:eastAsia="Times New Roman"/>
              </w:rPr>
              <w:t>240.0</w:t>
            </w:r>
          </w:p>
        </w:tc>
      </w:tr>
      <w:tr w:rsidR="00236185" w:rsidRPr="00BD16B4" w14:paraId="4923EEEB" w14:textId="77777777" w:rsidTr="009A4FC8">
        <w:tc>
          <w:tcPr>
            <w:tcW w:w="1980" w:type="dxa"/>
            <w:shd w:val="clear" w:color="auto" w:fill="FFFFFF"/>
            <w:hideMark/>
          </w:tcPr>
          <w:p w14:paraId="2144184B" w14:textId="77777777" w:rsidR="00236185" w:rsidRPr="00BD16B4" w:rsidRDefault="00236185" w:rsidP="005C79D1">
            <w:pPr>
              <w:pStyle w:val="TableText"/>
              <w:rPr>
                <w:rFonts w:ascii="Segoe UI" w:eastAsia="Times New Roman" w:hAnsi="Segoe UI" w:cs="Segoe UI"/>
                <w:b/>
                <w:bCs/>
                <w:szCs w:val="18"/>
              </w:rPr>
            </w:pPr>
            <w:r w:rsidRPr="00BD16B4">
              <w:rPr>
                <w:rFonts w:eastAsia="Times New Roman"/>
              </w:rPr>
              <w:t>Annual average</w:t>
            </w:r>
          </w:p>
        </w:tc>
        <w:tc>
          <w:tcPr>
            <w:tcW w:w="2160" w:type="dxa"/>
            <w:shd w:val="clear" w:color="auto" w:fill="auto"/>
            <w:hideMark/>
          </w:tcPr>
          <w:p w14:paraId="4C64CC16" w14:textId="77777777" w:rsidR="00236185" w:rsidRPr="00BD16B4" w:rsidRDefault="00236185" w:rsidP="005C79D1">
            <w:pPr>
              <w:pStyle w:val="TableText"/>
              <w:rPr>
                <w:rFonts w:ascii="Segoe UI" w:eastAsia="Times New Roman" w:hAnsi="Segoe UI" w:cs="Segoe UI"/>
                <w:szCs w:val="18"/>
              </w:rPr>
            </w:pPr>
            <w:r w:rsidRPr="00BD16B4">
              <w:rPr>
                <w:rFonts w:eastAsia="Times New Roman"/>
              </w:rPr>
              <w:t>72.5</w:t>
            </w:r>
          </w:p>
        </w:tc>
        <w:tc>
          <w:tcPr>
            <w:tcW w:w="2160" w:type="dxa"/>
            <w:shd w:val="clear" w:color="auto" w:fill="auto"/>
            <w:hideMark/>
          </w:tcPr>
          <w:p w14:paraId="51F655D6" w14:textId="77777777" w:rsidR="00236185" w:rsidRPr="00BD16B4" w:rsidRDefault="00236185" w:rsidP="005C79D1">
            <w:pPr>
              <w:pStyle w:val="TableText"/>
              <w:rPr>
                <w:rFonts w:ascii="Segoe UI" w:eastAsia="Times New Roman" w:hAnsi="Segoe UI" w:cs="Segoe UI"/>
                <w:szCs w:val="18"/>
              </w:rPr>
            </w:pPr>
            <w:r w:rsidRPr="00BD16B4">
              <w:rPr>
                <w:rFonts w:eastAsia="Times New Roman"/>
              </w:rPr>
              <w:t>61.0</w:t>
            </w:r>
          </w:p>
        </w:tc>
        <w:tc>
          <w:tcPr>
            <w:tcW w:w="2160" w:type="dxa"/>
            <w:shd w:val="clear" w:color="auto" w:fill="auto"/>
            <w:hideMark/>
          </w:tcPr>
          <w:p w14:paraId="7247D785" w14:textId="77777777" w:rsidR="00236185" w:rsidRPr="00BD16B4" w:rsidRDefault="00236185" w:rsidP="005C79D1">
            <w:pPr>
              <w:pStyle w:val="TableText"/>
              <w:rPr>
                <w:rFonts w:ascii="Segoe UI" w:eastAsia="Times New Roman" w:hAnsi="Segoe UI" w:cs="Segoe UI"/>
                <w:szCs w:val="18"/>
              </w:rPr>
            </w:pPr>
            <w:r w:rsidRPr="00BD16B4">
              <w:rPr>
                <w:rFonts w:eastAsia="Times New Roman"/>
              </w:rPr>
              <w:t>48.0</w:t>
            </w:r>
          </w:p>
        </w:tc>
      </w:tr>
    </w:tbl>
    <w:p w14:paraId="029192E7" w14:textId="77777777" w:rsidR="00236185" w:rsidRPr="00BD16B4" w:rsidRDefault="00236185" w:rsidP="00120409">
      <w:pPr>
        <w:pStyle w:val="Note"/>
      </w:pPr>
      <w:r w:rsidRPr="00BD16B4">
        <w:t>Note:</w:t>
      </w:r>
      <w:r w:rsidRPr="00BD16B4">
        <w:rPr>
          <w:shd w:val="clear" w:color="auto" w:fill="FFFFFF"/>
        </w:rPr>
        <w:t xml:space="preserve"> Emissions in million tonnes of carbon dioxide equivalent (Mt CO</w:t>
      </w:r>
      <w:r w:rsidRPr="00BD16B4">
        <w:rPr>
          <w:shd w:val="clear" w:color="auto" w:fill="FFFFFF"/>
          <w:vertAlign w:val="subscript"/>
        </w:rPr>
        <w:t>2</w:t>
      </w:r>
      <w:r w:rsidRPr="00BD16B4">
        <w:rPr>
          <w:shd w:val="clear" w:color="auto" w:fill="FFFFFF"/>
        </w:rPr>
        <w:t xml:space="preserve">-e) are based on the GWP100 values from the Intergovernmental Panel on Climate Change’s </w:t>
      </w:r>
      <w:r w:rsidRPr="00BD16B4">
        <w:rPr>
          <w:i/>
          <w:iCs/>
          <w:shd w:val="clear" w:color="auto" w:fill="FFFFFF"/>
        </w:rPr>
        <w:t>Fifth Assessment Report</w:t>
      </w:r>
      <w:r w:rsidRPr="00BD16B4">
        <w:rPr>
          <w:shd w:val="clear" w:color="auto" w:fill="FFFFFF"/>
        </w:rPr>
        <w:t xml:space="preserve"> (AR5). Parties to the Paris Agreement decided that each Party shall use the 100-year time horizon global warming potential (GWP) values from AR5 to report aggregate emissions and removals of greenhouse gases.</w:t>
      </w:r>
    </w:p>
    <w:p w14:paraId="25BD601E" w14:textId="69BFC11F" w:rsidR="00236185" w:rsidRPr="00BD16B4" w:rsidRDefault="00236185" w:rsidP="00236185">
      <w:pPr>
        <w:pStyle w:val="BodyText"/>
      </w:pPr>
      <w:r w:rsidRPr="00BD16B4">
        <w:t xml:space="preserve">New Zealand released its first </w:t>
      </w:r>
      <w:r w:rsidRPr="00BD16B4">
        <w:rPr>
          <w:b/>
          <w:bCs/>
        </w:rPr>
        <w:t>emissions reduction plan</w:t>
      </w:r>
      <w:r w:rsidRPr="00BD16B4">
        <w:t xml:space="preserve"> in May 2022, setting out policies and strategies on how our country will meet its first emissions budget and ultimately the 2050 targets. Some key initiatives of the emissions reduction plan are:</w:t>
      </w:r>
    </w:p>
    <w:p w14:paraId="6D1D1B37" w14:textId="77777777" w:rsidR="00236185" w:rsidRPr="00BD16B4" w:rsidRDefault="00236185" w:rsidP="0011037B">
      <w:pPr>
        <w:pStyle w:val="Bullet"/>
      </w:pPr>
      <w:r w:rsidRPr="00BD16B4">
        <w:t>increasing access to electric vehicles, beginning the process of decarbonising heavy transport and freight, and helping more people to walk, cycle and take public transport</w:t>
      </w:r>
    </w:p>
    <w:p w14:paraId="10AA064B" w14:textId="77777777" w:rsidR="00236185" w:rsidRPr="00BD16B4" w:rsidRDefault="00236185" w:rsidP="0011037B">
      <w:pPr>
        <w:pStyle w:val="Bullet"/>
      </w:pPr>
      <w:r w:rsidRPr="00BD16B4">
        <w:t>supporting businesses to improve energy efficiency and move away from fossil fuels, such as coal, by continuing to roll out the Government Investment in Decarbonising Industry Fund</w:t>
      </w:r>
    </w:p>
    <w:p w14:paraId="65C021B8" w14:textId="77777777" w:rsidR="00236185" w:rsidRPr="00BD16B4" w:rsidRDefault="00236185" w:rsidP="0011037B">
      <w:pPr>
        <w:pStyle w:val="Bullet"/>
      </w:pPr>
      <w:r w:rsidRPr="00BD16B4">
        <w:t>banning new low- to medium-temperature coal boilers and phasing out existing ones</w:t>
      </w:r>
    </w:p>
    <w:p w14:paraId="16DA6BB5" w14:textId="77777777" w:rsidR="00236185" w:rsidRPr="00BD16B4" w:rsidRDefault="00236185" w:rsidP="0011037B">
      <w:pPr>
        <w:pStyle w:val="Bullet"/>
      </w:pPr>
      <w:r w:rsidRPr="00BD16B4">
        <w:t>introducing an emissions pricing mechanism for agriculture</w:t>
      </w:r>
    </w:p>
    <w:p w14:paraId="5462CCC1" w14:textId="77777777" w:rsidR="00236185" w:rsidRPr="00BD16B4" w:rsidRDefault="00236185" w:rsidP="0011037B">
      <w:pPr>
        <w:pStyle w:val="Bullet"/>
      </w:pPr>
      <w:r w:rsidRPr="00BD16B4">
        <w:t>accelerating the delivery of agricultural emissions reduction tools and technologies for farmers and farming businesses through the establishment of a new Centre for Climate Action on Agricultural Emissions</w:t>
      </w:r>
    </w:p>
    <w:p w14:paraId="6D55E552" w14:textId="77777777" w:rsidR="00236185" w:rsidRPr="00BD16B4" w:rsidRDefault="00236185" w:rsidP="0011037B">
      <w:pPr>
        <w:pStyle w:val="Bullet"/>
      </w:pPr>
      <w:r w:rsidRPr="00BD16B4">
        <w:t>reducing the amount of waste (including food waste) going to landfills, investing in waste infrastructure and expanding landfill gas capture</w:t>
      </w:r>
    </w:p>
    <w:p w14:paraId="134B797F" w14:textId="77777777" w:rsidR="00236185" w:rsidRPr="00BD16B4" w:rsidRDefault="00236185" w:rsidP="0011037B">
      <w:pPr>
        <w:pStyle w:val="Bullet"/>
      </w:pPr>
      <w:r w:rsidRPr="00BD16B4">
        <w:t>establishing native forests at scale to develop long-term carbon sinks and improve biodiversity</w:t>
      </w:r>
    </w:p>
    <w:p w14:paraId="5180B69B" w14:textId="77777777" w:rsidR="00236185" w:rsidRPr="00BD16B4" w:rsidRDefault="00236185" w:rsidP="0011037B">
      <w:pPr>
        <w:pStyle w:val="Bullet"/>
      </w:pPr>
      <w:r w:rsidRPr="00BD16B4">
        <w:t>accelerating the supply of woody biomass to replace coal and other carbon-intensive fuels and materials</w:t>
      </w:r>
    </w:p>
    <w:p w14:paraId="51EA3E5C" w14:textId="77777777" w:rsidR="00236185" w:rsidRPr="00BD16B4" w:rsidRDefault="00236185" w:rsidP="0011037B">
      <w:pPr>
        <w:pStyle w:val="Bullet"/>
      </w:pPr>
      <w:r w:rsidRPr="00BD16B4">
        <w:t>driving mission-led innovation in some of the most challenging parts of our economy through climate innovation platforms and the wider research, science and innovation system</w:t>
      </w:r>
    </w:p>
    <w:p w14:paraId="22673866" w14:textId="77777777" w:rsidR="00236185" w:rsidRPr="00BD16B4" w:rsidRDefault="00236185" w:rsidP="0011037B">
      <w:pPr>
        <w:pStyle w:val="Bullet"/>
      </w:pPr>
      <w:r w:rsidRPr="00BD16B4">
        <w:t>requiring refrigerants to be captured and destroyed when heating and cooling systems reach the end of their life</w:t>
      </w:r>
    </w:p>
    <w:p w14:paraId="6CEB66E3" w14:textId="77777777" w:rsidR="00236185" w:rsidRPr="00BD16B4" w:rsidRDefault="00236185" w:rsidP="0011037B">
      <w:pPr>
        <w:pStyle w:val="Bullet"/>
      </w:pPr>
      <w:r w:rsidRPr="00BD16B4">
        <w:t>establishing a platform for Māori climate action that embeds partnership and representation, supports Māori-led strategy and alignment, and activates kaupapa M</w:t>
      </w:r>
      <w:r w:rsidRPr="00BD16B4">
        <w:rPr>
          <w:rFonts w:cs="Calibri"/>
        </w:rPr>
        <w:t>ā</w:t>
      </w:r>
      <w:r w:rsidRPr="00BD16B4">
        <w:t>ori (M</w:t>
      </w:r>
      <w:r w:rsidRPr="00BD16B4">
        <w:rPr>
          <w:rFonts w:cs="Calibri"/>
        </w:rPr>
        <w:t>ā</w:t>
      </w:r>
      <w:r w:rsidRPr="00BD16B4">
        <w:t>ori approach or customary practice), tangata Māori (Māori people) solutions.</w:t>
      </w:r>
    </w:p>
    <w:p w14:paraId="1DD6F765" w14:textId="77777777" w:rsidR="00236185" w:rsidRPr="00BD16B4" w:rsidRDefault="00236185" w:rsidP="00236185">
      <w:pPr>
        <w:pStyle w:val="BodyText"/>
      </w:pPr>
      <w:r w:rsidRPr="00BD16B4">
        <w:rPr>
          <w:rFonts w:cstheme="minorHAnsi"/>
        </w:rPr>
        <w:t xml:space="preserve">The </w:t>
      </w:r>
      <w:r w:rsidRPr="00BD16B4">
        <w:rPr>
          <w:rFonts w:cstheme="minorHAnsi"/>
          <w:b/>
          <w:bCs/>
        </w:rPr>
        <w:t>New Zealand Emissions Trading Scheme</w:t>
      </w:r>
      <w:r w:rsidRPr="00BD16B4">
        <w:rPr>
          <w:rFonts w:cstheme="minorHAnsi"/>
        </w:rPr>
        <w:t xml:space="preserve"> (NZ ETS) was introduced</w:t>
      </w:r>
      <w:r w:rsidRPr="00BD16B4">
        <w:t xml:space="preserve"> in 2008 as the principal policy tool underpinning New Zealand’s domestic emissions reduction action. It requires emitters to report on their emissions and surrender units that correspond to their obligations. By 2025, all sectors in New Zealand will be covered by the NZ ETS or an alternative pricing system, ensuring all domestic emissions in the country will be subject to emissions pricing. </w:t>
      </w:r>
    </w:p>
    <w:p w14:paraId="5ADDAAF1" w14:textId="77777777" w:rsidR="00236185" w:rsidRPr="00BD16B4" w:rsidRDefault="00236185" w:rsidP="00236185">
      <w:pPr>
        <w:pStyle w:val="BodyText"/>
        <w:keepLines/>
      </w:pPr>
      <w:r w:rsidRPr="00BD16B4">
        <w:lastRenderedPageBreak/>
        <w:t xml:space="preserve">The Government has regularly reviewed the NZ ETS and made modifications as necessary to </w:t>
      </w:r>
      <w:r w:rsidRPr="00BD16B4">
        <w:rPr>
          <w:spacing w:val="-2"/>
        </w:rPr>
        <w:t>ensure the tool remains fit for purpose to confirm New Zealand is able to meet its international</w:t>
      </w:r>
      <w:r w:rsidRPr="00BD16B4">
        <w:t xml:space="preserve"> climate change obligations and reduce emissions. In 2020, the NZ ETS was reformed to make the tool more efficient by implementing an annually updated emissions cap, introducing an auctioning platform to sell units into the market, beginning to phase down free allocation, simplifying some forestry provisions and improving administration and transparency. </w:t>
      </w:r>
    </w:p>
    <w:p w14:paraId="04F3C3CF" w14:textId="7F1F4EFD" w:rsidR="00236185" w:rsidRPr="00BD16B4" w:rsidRDefault="00236185" w:rsidP="00236185">
      <w:pPr>
        <w:pStyle w:val="BodyText"/>
      </w:pPr>
      <w:r w:rsidRPr="00BD16B4">
        <w:rPr>
          <w:b/>
          <w:bCs/>
        </w:rPr>
        <w:t>Agriculture:</w:t>
      </w:r>
      <w:r w:rsidRPr="00BD16B4">
        <w:t xml:space="preserve"> A key priority for New Zealand is to begin pricing agricultural emissions by 2025. The approach to pricing emissions is being developed in partnership with the agricultural and horticultural sectors and Māori through He Waka Eke Noa – Primary Sector Climate Action Partnership (He Waka Eke Noa)</w:t>
      </w:r>
      <w:r w:rsidRPr="00BD16B4">
        <w:rPr>
          <w:rStyle w:val="FootnoteReference"/>
        </w:rPr>
        <w:footnoteReference w:id="8"/>
      </w:r>
      <w:r w:rsidRPr="00BD16B4">
        <w:t xml:space="preserve"> which was established in 2019. He Waka Eke Noa explores alternative pricing approaches to ensure the agricultural emissions pricing scheme is effective in driving emissions reduction at the farm level. The final report was provided for the Government’s consideration on 31 May 2022. The Government’s final decision on the agricultural pricing system is due in </w:t>
      </w:r>
      <w:r w:rsidR="00D433BC" w:rsidRPr="00BD16B4">
        <w:t>early</w:t>
      </w:r>
      <w:r w:rsidRPr="00BD16B4">
        <w:t xml:space="preserve"> 2023. </w:t>
      </w:r>
    </w:p>
    <w:p w14:paraId="16AB9107" w14:textId="77777777" w:rsidR="00236185" w:rsidRPr="00BD16B4" w:rsidRDefault="00236185" w:rsidP="00236185">
      <w:pPr>
        <w:pStyle w:val="BodyText"/>
        <w:rPr>
          <w:rFonts w:cstheme="minorHAnsi"/>
        </w:rPr>
      </w:pPr>
      <w:r w:rsidRPr="00BD16B4">
        <w:t>New Zealand continues to invest in research to improve productivity and reduce emissions from agricultural production and, building on this strong domestic research programme, has announced the establishment of a new Centre for Climate Action on Agricultural Emissions.</w:t>
      </w:r>
      <w:r w:rsidRPr="00BD16B4">
        <w:rPr>
          <w:rStyle w:val="FootnoteReference"/>
        </w:rPr>
        <w:footnoteReference w:id="9"/>
      </w:r>
      <w:r w:rsidRPr="00BD16B4">
        <w:t xml:space="preserve"> New Zealand has an enduring commitment to providing leadership in research, innovation and technical solutions to reduce greenhouse gas emissions from agriculture and seeks to share this knowledge internationally as a leading member of the Global Research Alliance on Agricultural Greenhouse Gases. </w:t>
      </w:r>
    </w:p>
    <w:p w14:paraId="4EE76F31" w14:textId="77777777" w:rsidR="00236185" w:rsidRPr="00BD16B4" w:rsidRDefault="00236185" w:rsidP="00236185">
      <w:pPr>
        <w:pStyle w:val="BodyText"/>
      </w:pPr>
      <w:r w:rsidRPr="00BD16B4">
        <w:rPr>
          <w:b/>
          <w:bCs/>
        </w:rPr>
        <w:t>Vulnerability and adaptation:</w:t>
      </w:r>
      <w:r w:rsidRPr="00BD16B4">
        <w:t xml:space="preserve"> Climate change is already having observable impacts on New Zealand’s natural and built environments and is expected to cause new risks for the country’s future as projected changes such as sea-level rise, ocean warming, more hot days and different rainfall patterns occur. </w:t>
      </w:r>
    </w:p>
    <w:p w14:paraId="1FA186BD" w14:textId="77777777" w:rsidR="00236185" w:rsidRPr="00BD16B4" w:rsidRDefault="00236185" w:rsidP="00236185">
      <w:pPr>
        <w:pStyle w:val="BodyText"/>
        <w:rPr>
          <w:rFonts w:cstheme="minorHAnsi"/>
        </w:rPr>
      </w:pPr>
      <w:r w:rsidRPr="00BD16B4">
        <w:t>Following the introduction of the Climate Change Response (Zero Carbon) Amendment Act 2019, a National Climate Risk Assessment</w:t>
      </w:r>
      <w:r w:rsidRPr="00BD16B4">
        <w:rPr>
          <w:rStyle w:val="FootnoteReference"/>
        </w:rPr>
        <w:footnoteReference w:id="10"/>
      </w:r>
      <w:r w:rsidRPr="00BD16B4">
        <w:t xml:space="preserve"> has been conducted and published covering expected risks through to 2026. New Zealand’s first national adaptation plan in response to the risk assessment was completed in August 2022. This plan sets out objectives for adapting to the effects of climate </w:t>
      </w:r>
      <w:r w:rsidRPr="00BD16B4">
        <w:rPr>
          <w:rFonts w:cstheme="minorHAnsi"/>
        </w:rPr>
        <w:t>change, strategies, policies and proposals for meeting these objectives, and measures and indicators to enable regular monitoring of implementation. Four priority areas guide the plan:</w:t>
      </w:r>
    </w:p>
    <w:p w14:paraId="12BAD5A2" w14:textId="77777777" w:rsidR="00236185" w:rsidRPr="00BD16B4" w:rsidRDefault="00236185" w:rsidP="0011037B">
      <w:pPr>
        <w:pStyle w:val="Bullet"/>
      </w:pPr>
      <w:r w:rsidRPr="00BD16B4">
        <w:t>enabling better risk-informed decisions</w:t>
      </w:r>
    </w:p>
    <w:p w14:paraId="24A25A94" w14:textId="77777777" w:rsidR="00236185" w:rsidRPr="00BD16B4" w:rsidRDefault="00236185" w:rsidP="0011037B">
      <w:pPr>
        <w:pStyle w:val="Bullet"/>
      </w:pPr>
      <w:r w:rsidRPr="00BD16B4">
        <w:t>driving climate-resilient development in the right locations</w:t>
      </w:r>
    </w:p>
    <w:p w14:paraId="0379B87C" w14:textId="77777777" w:rsidR="00236185" w:rsidRPr="00BD16B4" w:rsidRDefault="00236185" w:rsidP="0011037B">
      <w:pPr>
        <w:pStyle w:val="Bullet"/>
      </w:pPr>
      <w:r w:rsidRPr="00BD16B4">
        <w:t>laying the foundations for a range of adaptation options, including managed retreat</w:t>
      </w:r>
    </w:p>
    <w:p w14:paraId="6FA722EB" w14:textId="77777777" w:rsidR="00236185" w:rsidRPr="00BD16B4" w:rsidRDefault="00236185" w:rsidP="0011037B">
      <w:pPr>
        <w:pStyle w:val="Bullet"/>
      </w:pPr>
      <w:r w:rsidRPr="00BD16B4">
        <w:t xml:space="preserve">embedding climate resilience across government. </w:t>
      </w:r>
    </w:p>
    <w:p w14:paraId="79F38236" w14:textId="77777777" w:rsidR="00236185" w:rsidRPr="00BD16B4" w:rsidRDefault="00236185" w:rsidP="00236185">
      <w:pPr>
        <w:pStyle w:val="BodyText"/>
      </w:pPr>
      <w:r w:rsidRPr="00BD16B4">
        <w:lastRenderedPageBreak/>
        <w:t xml:space="preserve">The National Climate Risk Assessment will be updated every six years followed by the publication of national adaptation plans that respond to the new scientific information and assessment. </w:t>
      </w:r>
    </w:p>
    <w:p w14:paraId="0DD740BD" w14:textId="77777777" w:rsidR="00236185" w:rsidRPr="00BD16B4" w:rsidRDefault="00236185" w:rsidP="00236185">
      <w:pPr>
        <w:pStyle w:val="BodyText"/>
      </w:pPr>
      <w:r w:rsidRPr="00BD16B4">
        <w:rPr>
          <w:b/>
          <w:bCs/>
        </w:rPr>
        <w:t>Financial support:</w:t>
      </w:r>
      <w:r w:rsidRPr="00BD16B4">
        <w:t xml:space="preserve"> New Zealand remains committed to assisting developing countries to address climate change. The Government has contributed NZ$285.78 million in climate-related support for developing countries across 2019 and 2020. This is an increase of NZ$26.13 million compared with 2017 and 2018. The focus of the 2019–20 period was strengthening Pacific engagement and international development cooperation to support an effective global response to climate change and improve Pacific resilience. </w:t>
      </w:r>
    </w:p>
    <w:p w14:paraId="15DB5486" w14:textId="77777777" w:rsidR="00236185" w:rsidRPr="00BD16B4" w:rsidRDefault="00236185" w:rsidP="00236185">
      <w:pPr>
        <w:pStyle w:val="BodyText"/>
      </w:pPr>
      <w:r w:rsidRPr="00BD16B4">
        <w:t xml:space="preserve">New Zealand delivers its international climate finance through activities in its International Development Cooperation Programme. Activities focus on agriculture, disaster prevention and preparedness, ecosystem strengthening, renewable energy and water security. The Government also continues to support multilateral climate funds, providing a total of NZ$22.16 million including a NZ$15 million contribution to the first replenishment of the Green Climate Fund and NZ$3 million contribution to the Adaptation Fund. </w:t>
      </w:r>
    </w:p>
    <w:p w14:paraId="1A46658F" w14:textId="07312DC7" w:rsidR="00236185" w:rsidRPr="00BD16B4" w:rsidRDefault="00236185" w:rsidP="00236185">
      <w:pPr>
        <w:pStyle w:val="BodyText"/>
      </w:pPr>
      <w:r w:rsidRPr="00BD16B4">
        <w:t>In October 2021, New Zealand committed to spending NZ$1.3 billion on grant-based climate finance between 2022 and 2025. This funding will be used to ensure that New Zealand’s climate finance supports developing countries and communities to build resilience to climate change as well as to contribute to keeping global warming to no more than 1.5</w:t>
      </w:r>
      <w:r w:rsidR="00E254D0" w:rsidRPr="00BD16B4">
        <w:t>°C</w:t>
      </w:r>
      <w:r w:rsidRPr="00BD16B4">
        <w:t>. To do so, there are four key goals:</w:t>
      </w:r>
    </w:p>
    <w:p w14:paraId="19B2E05D" w14:textId="77777777" w:rsidR="00236185" w:rsidRPr="00BD16B4" w:rsidRDefault="00236185" w:rsidP="0011037B">
      <w:pPr>
        <w:pStyle w:val="Bullet"/>
      </w:pPr>
      <w:r w:rsidRPr="00BD16B4">
        <w:t>enhance resilience and adaptation</w:t>
      </w:r>
    </w:p>
    <w:p w14:paraId="7E561936" w14:textId="77777777" w:rsidR="00236185" w:rsidRPr="00BD16B4" w:rsidRDefault="00236185" w:rsidP="0011037B">
      <w:pPr>
        <w:pStyle w:val="Bullet"/>
      </w:pPr>
      <w:r w:rsidRPr="00BD16B4">
        <w:t>promote quicker action on mitigation</w:t>
      </w:r>
    </w:p>
    <w:p w14:paraId="48122D1E" w14:textId="77777777" w:rsidR="00236185" w:rsidRPr="00BD16B4" w:rsidRDefault="00236185" w:rsidP="0011037B">
      <w:pPr>
        <w:pStyle w:val="Bullet"/>
      </w:pPr>
      <w:r w:rsidRPr="00BD16B4">
        <w:t xml:space="preserve">improve information to allow evidence-based decisions </w:t>
      </w:r>
    </w:p>
    <w:p w14:paraId="7C59C584" w14:textId="77777777" w:rsidR="00236185" w:rsidRPr="00BD16B4" w:rsidRDefault="00236185" w:rsidP="0011037B">
      <w:pPr>
        <w:pStyle w:val="Bullet"/>
      </w:pPr>
      <w:r w:rsidRPr="00BD16B4">
        <w:t>leverage our investment to make greater impacts.</w:t>
      </w:r>
    </w:p>
    <w:p w14:paraId="1AFB4F31" w14:textId="77777777" w:rsidR="00236185" w:rsidRPr="00BD16B4" w:rsidRDefault="00236185" w:rsidP="00236185">
      <w:pPr>
        <w:pStyle w:val="BodyText"/>
        <w:rPr>
          <w:color w:val="000000"/>
          <w:shd w:val="clear" w:color="auto" w:fill="FFFFFF"/>
        </w:rPr>
      </w:pPr>
      <w:r w:rsidRPr="00BD16B4">
        <w:rPr>
          <w:b/>
          <w:bCs/>
        </w:rPr>
        <w:t>Public awareness, education and training:</w:t>
      </w:r>
      <w:r w:rsidRPr="00BD16B4">
        <w:t xml:space="preserve"> The Government actively supports initiatives that encourage public awareness of climate change at national, business and household levels. In 2019 the Gen Less programme</w:t>
      </w:r>
      <w:r w:rsidRPr="00BD16B4">
        <w:rPr>
          <w:rStyle w:val="FootnoteReference"/>
          <w:rFonts w:cstheme="minorHAnsi"/>
          <w:shd w:val="clear" w:color="auto" w:fill="FFFFFF"/>
        </w:rPr>
        <w:footnoteReference w:id="11"/>
      </w:r>
      <w:r w:rsidRPr="00BD16B4">
        <w:rPr>
          <w:rFonts w:cstheme="minorHAnsi"/>
          <w:color w:val="000000"/>
          <w:shd w:val="clear" w:color="auto" w:fill="FFFFFF"/>
        </w:rPr>
        <w:t xml:space="preserve"> </w:t>
      </w:r>
      <w:r w:rsidRPr="00BD16B4">
        <w:t xml:space="preserve">was launched by the Energy Efficiency and Conservation Authority to support New Zealanders to reduce their personal greenhouse gas emissions and take positive climate action. The Government regularly updates </w:t>
      </w:r>
      <w:r w:rsidRPr="00BD16B4">
        <w:rPr>
          <w:i/>
          <w:iCs/>
        </w:rPr>
        <w:t>Measuring Emissions: A guide for organisations</w:t>
      </w:r>
      <w:r w:rsidRPr="00BD16B4">
        <w:t>, which outlines the steps that organisations can take to voluntarily measure and report their greenhouse gas emissions.</w:t>
      </w:r>
    </w:p>
    <w:p w14:paraId="3619D68E" w14:textId="77777777" w:rsidR="00236185" w:rsidRPr="00BD16B4" w:rsidRDefault="00236185" w:rsidP="00236185">
      <w:pPr>
        <w:pStyle w:val="BodyText"/>
      </w:pPr>
      <w:r w:rsidRPr="00BD16B4">
        <w:t>The Government provides resources and funding for climate change–related education and training in schools, institutes and research centres, and industry training. This support includes an updated national school curriculum, resources for teaching and learning, and continued support to Enviro Schools and Te Aho Tū Roa programmes, which are designed to work in conjunction with the national curriculum and produce various environmental, educational, social and cultural outcomes.</w:t>
      </w:r>
    </w:p>
    <w:p w14:paraId="1848D191" w14:textId="77777777" w:rsidR="00236185" w:rsidRPr="00BD16B4" w:rsidRDefault="00236185" w:rsidP="00236185">
      <w:pPr>
        <w:pStyle w:val="BodyText"/>
        <w:spacing w:after="100"/>
      </w:pPr>
      <w:r w:rsidRPr="00BD16B4">
        <w:rPr>
          <w:b/>
          <w:bCs/>
        </w:rPr>
        <w:t>International engagement:</w:t>
      </w:r>
      <w:r w:rsidRPr="00BD16B4">
        <w:t xml:space="preserve"> New Zealand engages widely at the international level to address climate change. In addition to participating broadly in the Intergovernmental Panel on Climate Change (IPCC) working groups and UNFCCC negotiations, New Zealand contributes to several international scientific organisations and plurilateral initiatives. For example, through the Secretariat of the Pacific Regional Environment Programme (SPREP) New Zealand actively </w:t>
      </w:r>
      <w:r w:rsidRPr="00BD16B4">
        <w:lastRenderedPageBreak/>
        <w:t>supports Pacific Island nations to meet their commitments under UNFCCC and adapt to climate change. We also offer support to science students from developing countries who want to complete their doctorate in New Zealand through the New Zealand Global Research Alliance Doctoral Scholarship (NZ-GRADS).</w:t>
      </w:r>
      <w:r w:rsidRPr="00BD16B4">
        <w:rPr>
          <w:rStyle w:val="FootnoteReference"/>
          <w:rFonts w:cstheme="minorHAnsi"/>
        </w:rPr>
        <w:footnoteReference w:id="12"/>
      </w:r>
      <w:r w:rsidRPr="00BD16B4">
        <w:t xml:space="preserve"> This scholarship allows students from developing countries to build their capability as researchers on topics related to greenhouse gas emissions from agricultural systems. </w:t>
      </w:r>
    </w:p>
    <w:p w14:paraId="3C9C6232" w14:textId="77777777" w:rsidR="00236185" w:rsidRPr="00BD16B4" w:rsidRDefault="00236185" w:rsidP="00236185">
      <w:pPr>
        <w:pStyle w:val="Heading2notTOC"/>
        <w:spacing w:before="320"/>
      </w:pPr>
      <w:bookmarkStart w:id="18" w:name="_Toc499993059"/>
      <w:r w:rsidRPr="00BD16B4">
        <w:t>1.3</w:t>
      </w:r>
      <w:r w:rsidRPr="00BD16B4">
        <w:tab/>
        <w:t>New Zealand’s greenhouse gas emissions and removals</w:t>
      </w:r>
      <w:bookmarkEnd w:id="18"/>
    </w:p>
    <w:p w14:paraId="566FECAF" w14:textId="77777777" w:rsidR="00236185" w:rsidRPr="00BD16B4" w:rsidRDefault="00236185" w:rsidP="00236185">
      <w:pPr>
        <w:pStyle w:val="BodyText"/>
        <w:spacing w:before="80" w:after="100"/>
      </w:pPr>
      <w:r w:rsidRPr="00BD16B4">
        <w:t xml:space="preserve">Aotearoa New Zealand supplies a transparent, accurate and regular national greenhouse gas </w:t>
      </w:r>
      <w:r w:rsidRPr="00BD16B4">
        <w:rPr>
          <w:spacing w:val="-2"/>
        </w:rPr>
        <w:t>inventory report, which forms one of the building blocks for effective climate change mitigation</w:t>
      </w:r>
      <w:r w:rsidRPr="00BD16B4">
        <w:t>. As a developed country Party (Annex I Party) to the</w:t>
      </w:r>
      <w:bookmarkStart w:id="19" w:name="_Hlk113888061"/>
      <w:r w:rsidRPr="00BD16B4">
        <w:t xml:space="preserve"> UNFCCC</w:t>
      </w:r>
      <w:bookmarkEnd w:id="19"/>
      <w:r w:rsidRPr="00BD16B4">
        <w:t xml:space="preserve">, New Zealand is obliged to prepare, publish and update </w:t>
      </w:r>
      <w:r w:rsidRPr="00BD16B4">
        <w:rPr>
          <w:i/>
          <w:iCs/>
        </w:rPr>
        <w:t>New Zealand’s Greenhouse Gas Inventory</w:t>
      </w:r>
      <w:r w:rsidRPr="00BD16B4">
        <w:t xml:space="preserve"> of anthropogenic greenhouse gas emissions and removals on an annual basis.</w:t>
      </w:r>
    </w:p>
    <w:p w14:paraId="1ED7CB38" w14:textId="77777777" w:rsidR="00236185" w:rsidRPr="00BD16B4" w:rsidRDefault="00236185" w:rsidP="00236185">
      <w:pPr>
        <w:pStyle w:val="BodyText"/>
        <w:spacing w:before="100" w:after="100"/>
      </w:pPr>
      <w:r w:rsidRPr="00BD16B4">
        <w:t>Inventory reporting under the UNFCCC considers five sectors: energy; industrial processes and product use (IPPU); agriculture; waste; and land use, land-use change and forestry (LULUCF). For Tokelau, a non-self-governing territory of New Zealand, emissions and removals are also reported separately by sector as ‘Other’.</w:t>
      </w:r>
    </w:p>
    <w:p w14:paraId="579BEE6C" w14:textId="77777777" w:rsidR="00236185" w:rsidRPr="00BD16B4" w:rsidRDefault="00236185" w:rsidP="00236185">
      <w:pPr>
        <w:pStyle w:val="BodyText"/>
        <w:spacing w:before="100" w:after="100"/>
        <w:rPr>
          <w:rFonts w:cstheme="minorHAnsi"/>
        </w:rPr>
      </w:pPr>
      <w:r w:rsidRPr="00BD16B4">
        <w:rPr>
          <w:rFonts w:cstheme="minorHAnsi"/>
        </w:rPr>
        <w:t xml:space="preserve">For reporting purposes, the difference between gross and net emissions is whether the LULUCF sector is included. Gross emissions exclude the LULUCF sector, while net emissions include the LULUCF sector. </w:t>
      </w:r>
    </w:p>
    <w:p w14:paraId="14167F3A" w14:textId="77777777" w:rsidR="00236185" w:rsidRPr="00BD16B4" w:rsidRDefault="00236185" w:rsidP="00236185">
      <w:pPr>
        <w:pStyle w:val="BodyText"/>
        <w:spacing w:before="100" w:after="100"/>
        <w:rPr>
          <w:rFonts w:cstheme="minorHAnsi"/>
        </w:rPr>
      </w:pPr>
      <w:r w:rsidRPr="00BD16B4">
        <w:rPr>
          <w:rFonts w:cstheme="minorHAnsi"/>
        </w:rPr>
        <w:t>In 2020, New Zealand’s gross greenhouse gas emissions were 78,778.4 kilotonnes of carbon dioxide equivalent (kt CO</w:t>
      </w:r>
      <w:r w:rsidRPr="00BD16B4">
        <w:rPr>
          <w:rFonts w:cstheme="minorHAnsi"/>
          <w:vertAlign w:val="subscript"/>
        </w:rPr>
        <w:t>2</w:t>
      </w:r>
      <w:r w:rsidRPr="00BD16B4">
        <w:rPr>
          <w:rFonts w:cstheme="minorHAnsi"/>
        </w:rPr>
        <w:t xml:space="preserve">-e). The sectors contributing the most to the country’s emissions profile were agriculture at 50.0 per cent and energy at 39.9 per </w:t>
      </w:r>
      <w:bookmarkStart w:id="20" w:name="_Int_ISh9fSah"/>
      <w:r w:rsidRPr="00BD16B4">
        <w:rPr>
          <w:rFonts w:cstheme="minorHAnsi"/>
        </w:rPr>
        <w:t>cent</w:t>
      </w:r>
      <w:bookmarkEnd w:id="20"/>
      <w:r w:rsidRPr="00BD16B4">
        <w:rPr>
          <w:rFonts w:cstheme="minorHAnsi"/>
        </w:rPr>
        <w:t>. Between 1990 and 2020, New Zealand’s gross greenhouse gas emissions increased by 20.8 per cent due to increased agricultural activity and population growth. In 2020, the LULUCF sector offset 29.6 per cent of gross emissions. Net emissions in 2020, at 55,465.1 kt CO</w:t>
      </w:r>
      <w:r w:rsidRPr="00BD16B4">
        <w:rPr>
          <w:rFonts w:cstheme="minorHAnsi"/>
          <w:vertAlign w:val="subscript"/>
        </w:rPr>
        <w:t>2</w:t>
      </w:r>
      <w:r w:rsidRPr="00BD16B4">
        <w:rPr>
          <w:rFonts w:cstheme="minorHAnsi"/>
        </w:rPr>
        <w:t>-e, were therefore lower than gross emissions. Between 1990 and 2020, the country’s net greenhouse gas emissions increased by 26.1 per cent due to the underlying increase in greenhouse gas emissions.</w:t>
      </w:r>
    </w:p>
    <w:p w14:paraId="3E1B8D51" w14:textId="77777777" w:rsidR="00236185" w:rsidRPr="00BD16B4" w:rsidRDefault="00236185" w:rsidP="00236185">
      <w:pPr>
        <w:pStyle w:val="Heading2notTOC"/>
        <w:spacing w:before="320"/>
      </w:pPr>
      <w:bookmarkStart w:id="21" w:name="_Toc499993060"/>
      <w:r w:rsidRPr="00BD16B4">
        <w:t>1.4</w:t>
      </w:r>
      <w:r w:rsidRPr="00BD16B4">
        <w:tab/>
        <w:t>Greenhouse gas projections</w:t>
      </w:r>
      <w:bookmarkEnd w:id="21"/>
    </w:p>
    <w:p w14:paraId="42092D93" w14:textId="77777777" w:rsidR="00236185" w:rsidRPr="00BD16B4" w:rsidRDefault="00236185" w:rsidP="00236185">
      <w:pPr>
        <w:pStyle w:val="BodyText"/>
        <w:spacing w:before="80" w:after="100"/>
      </w:pPr>
      <w:r w:rsidRPr="00BD16B4">
        <w:rPr>
          <w:spacing w:val="-2"/>
        </w:rPr>
        <w:t>Aotearoa New Zealand uses projections to anticipate future emissions. Projections of emissions</w:t>
      </w:r>
      <w:r w:rsidRPr="00BD16B4">
        <w:t xml:space="preserve"> and removals are useful for policy planning and design but are inherently uncertain. Economic variables – such as commodity and oil prices, the assumed carbon price, the estimated rate of afforestation and deforestation, and the harvest age of forests – have significant impacts on projected emissions and removals. In addition, seasonal climate changes, especially variation in rainfall, can affect agriculture and electricity generation emissions.</w:t>
      </w:r>
    </w:p>
    <w:p w14:paraId="75262F60" w14:textId="77777777" w:rsidR="00236185" w:rsidRPr="00BD16B4" w:rsidRDefault="00236185" w:rsidP="00236185">
      <w:pPr>
        <w:pStyle w:val="BodyText"/>
        <w:spacing w:before="100" w:after="100"/>
        <w:rPr>
          <w:rFonts w:eastAsia="Calibri"/>
        </w:rPr>
      </w:pPr>
      <w:r w:rsidRPr="00BD16B4">
        <w:rPr>
          <w:rFonts w:eastAsia="Calibri"/>
        </w:rPr>
        <w:t>Based on New Zealand’s existing policies and measures, gross emissions are reported to be 78.8 million tonnes of carbon dioxide equivalent (Mt CO</w:t>
      </w:r>
      <w:r w:rsidRPr="00BD16B4">
        <w:rPr>
          <w:rFonts w:eastAsia="Calibri"/>
          <w:vertAlign w:val="subscript"/>
        </w:rPr>
        <w:t>2</w:t>
      </w:r>
      <w:r w:rsidRPr="00BD16B4">
        <w:rPr>
          <w:rFonts w:eastAsia="Calibri"/>
        </w:rPr>
        <w:t>-e) in 2020 and estimated to decrease to 66.7 Mt CO</w:t>
      </w:r>
      <w:r w:rsidRPr="00BD16B4">
        <w:rPr>
          <w:rFonts w:eastAsia="Calibri"/>
          <w:vertAlign w:val="subscript"/>
        </w:rPr>
        <w:t>2</w:t>
      </w:r>
      <w:r w:rsidRPr="00BD16B4">
        <w:rPr>
          <w:rFonts w:eastAsia="Calibri"/>
        </w:rPr>
        <w:t xml:space="preserve">-e in 2035, which will be 2.3 per cent above 1990 levels. In the short term, the decreasing trend in gross emissions is primarily due to decreasing emissions in all sectors except transport, with the agriculture and energy sectors contributing the largest decreases. In the long term, decreasing gross emissions are primarily the result of policies </w:t>
      </w:r>
      <w:r w:rsidRPr="00BD16B4">
        <w:rPr>
          <w:rFonts w:eastAsia="Calibri"/>
        </w:rPr>
        <w:lastRenderedPageBreak/>
        <w:t>and measures introduced by the Government across all sectors.</w:t>
      </w:r>
      <w:r w:rsidRPr="00BD16B4">
        <w:t xml:space="preserve"> </w:t>
      </w:r>
      <w:r w:rsidRPr="00BD16B4">
        <w:rPr>
          <w:rFonts w:eastAsia="Calibri"/>
        </w:rPr>
        <w:t>These projections are based on implemented policies and measures and do not reflect all the policies included in the emissions reduction plan.</w:t>
      </w:r>
    </w:p>
    <w:p w14:paraId="54F460F2" w14:textId="77777777" w:rsidR="00236185" w:rsidRPr="00BD16B4" w:rsidRDefault="00236185" w:rsidP="00236185">
      <w:pPr>
        <w:pStyle w:val="BodyText"/>
      </w:pPr>
      <w:r w:rsidRPr="00BD16B4">
        <w:rPr>
          <w:rFonts w:eastAsia="Calibri"/>
        </w:rPr>
        <w:t>New Zealand’s net emissions in 2020 were reported to be 55.5 Mt CO</w:t>
      </w:r>
      <w:r w:rsidRPr="00BD16B4">
        <w:rPr>
          <w:rFonts w:eastAsia="Calibri"/>
          <w:vertAlign w:val="subscript"/>
        </w:rPr>
        <w:t>2</w:t>
      </w:r>
      <w:r w:rsidRPr="00BD16B4">
        <w:rPr>
          <w:rFonts w:eastAsia="Calibri"/>
        </w:rPr>
        <w:t>-e. Net emissions are projected to increase to 63.8 Mt CO</w:t>
      </w:r>
      <w:r w:rsidRPr="00BD16B4">
        <w:rPr>
          <w:rFonts w:eastAsia="Calibri"/>
          <w:vertAlign w:val="subscript"/>
        </w:rPr>
        <w:t>2</w:t>
      </w:r>
      <w:r w:rsidRPr="00BD16B4">
        <w:rPr>
          <w:rFonts w:eastAsia="Calibri"/>
        </w:rPr>
        <w:t>-e in 2025 (45.0 per cent above 1990 levels), before decreasing to 41.2 Mt CO</w:t>
      </w:r>
      <w:r w:rsidRPr="00BD16B4">
        <w:rPr>
          <w:rFonts w:eastAsia="Calibri"/>
          <w:vertAlign w:val="subscript"/>
        </w:rPr>
        <w:t>2</w:t>
      </w:r>
      <w:r w:rsidRPr="00BD16B4">
        <w:rPr>
          <w:rFonts w:eastAsia="Calibri"/>
        </w:rPr>
        <w:t xml:space="preserve">-e (6.3 per cent below 1990 levels) in 2035. </w:t>
      </w:r>
      <w:r w:rsidRPr="00BD16B4">
        <w:t>Given the influence of forestry on New Zealand’s total emissions, net emissions at any given time will be influenced by planting and harvesting cycles in plantation forests.</w:t>
      </w:r>
    </w:p>
    <w:p w14:paraId="3E38137C" w14:textId="12A0FF8B" w:rsidR="00236185" w:rsidRPr="00BD16B4" w:rsidRDefault="00A06EDB" w:rsidP="00236185">
      <w:pPr>
        <w:pStyle w:val="BodyText"/>
        <w:rPr>
          <w:rFonts w:eastAsia="Calibri"/>
        </w:rPr>
      </w:pPr>
      <w:r w:rsidRPr="00BD16B4">
        <w:rPr>
          <w:rFonts w:cstheme="minorHAnsi"/>
        </w:rPr>
        <w:t>The LULUCF sector reported net removals of 23.3 Mt CO</w:t>
      </w:r>
      <w:r w:rsidRPr="00BD16B4">
        <w:rPr>
          <w:rFonts w:cstheme="minorHAnsi"/>
          <w:vertAlign w:val="subscript"/>
        </w:rPr>
        <w:t>2</w:t>
      </w:r>
      <w:r w:rsidRPr="00BD16B4">
        <w:rPr>
          <w:rFonts w:cstheme="minorHAnsi"/>
        </w:rPr>
        <w:t>-e in 2020. LULUCF net removals are projected to be 9.5 Mt CO</w:t>
      </w:r>
      <w:r w:rsidRPr="00BD16B4">
        <w:rPr>
          <w:rFonts w:cstheme="minorHAnsi"/>
          <w:vertAlign w:val="subscript"/>
        </w:rPr>
        <w:t>2</w:t>
      </w:r>
      <w:r w:rsidRPr="00BD16B4">
        <w:rPr>
          <w:rFonts w:cstheme="minorHAnsi"/>
        </w:rPr>
        <w:t>-e in 2025 (a 55.2 per cent decrease in net removals than in 1990); however, net removals are projected to be 25.5 Mt CO</w:t>
      </w:r>
      <w:r w:rsidRPr="00BD16B4">
        <w:rPr>
          <w:rFonts w:cstheme="minorHAnsi"/>
          <w:vertAlign w:val="subscript"/>
        </w:rPr>
        <w:t>2</w:t>
      </w:r>
      <w:r w:rsidRPr="00BD16B4">
        <w:rPr>
          <w:rFonts w:cstheme="minorHAnsi"/>
        </w:rPr>
        <w:t>-e in 2035 (a 20.3 per cent increase in net removals than in 1990)</w:t>
      </w:r>
      <w:r w:rsidR="00236185" w:rsidRPr="00BD16B4">
        <w:rPr>
          <w:rFonts w:eastAsia="Calibri"/>
        </w:rPr>
        <w:t xml:space="preserve">. </w:t>
      </w:r>
      <w:r w:rsidR="00236185" w:rsidRPr="00BD16B4">
        <w:t>Projected LULUCF emissions and removals are significantly influenced by New Zealand’s planted forest age-class profile and harvesting rates. Harvest and</w:t>
      </w:r>
      <w:r w:rsidR="006E7E52" w:rsidRPr="00BD16B4">
        <w:t> </w:t>
      </w:r>
      <w:r w:rsidR="00236185" w:rsidRPr="00BD16B4">
        <w:t xml:space="preserve">replanting cycles of New Zealand’s plantation forests will continue to affect the country’s emissions and removals well into the future. </w:t>
      </w:r>
    </w:p>
    <w:p w14:paraId="08504149" w14:textId="77777777" w:rsidR="00236185" w:rsidRPr="00BD16B4" w:rsidRDefault="00236185" w:rsidP="00236185">
      <w:pPr>
        <w:pStyle w:val="BodyText"/>
      </w:pPr>
      <w:r w:rsidRPr="00BD16B4">
        <w:t xml:space="preserve">New Zealand’s LULUCF sector is currently a net sink of carbon dioxide, meaning it removes more carbon dioxide from the atmosphere than it emits. Net removals from the LULUCF sector are projected to decline in the early 2020s as plantation forests established in the late 1980s and 1990s are harvested. In the late 2020s net removals are expected to increase due to the replanting of plantation forests harvested in the early 2020s and the additional sequestration from projected afforestation activities. </w:t>
      </w:r>
    </w:p>
    <w:p w14:paraId="09E53AB4" w14:textId="77777777" w:rsidR="00236185" w:rsidRPr="00BD16B4" w:rsidRDefault="00236185" w:rsidP="00236185">
      <w:pPr>
        <w:pStyle w:val="BodyText"/>
      </w:pPr>
      <w:r w:rsidRPr="00BD16B4">
        <w:t xml:space="preserve">Comparing New Zealand’s projected emissions ‘with measures’ demonstrates the impact of some, but not all, policies and measures. Unforeseen technological disruption may also affect greenhouse gas emissions. For example, New Zealand’s investment in agricultural research may contribute to a reduction in domestic emissions and potentially contribute indirectly to reducing global agriculture emissions. However, the benefits of these contributions cannot be predicted and thus are not included within the emissions estimates. </w:t>
      </w:r>
    </w:p>
    <w:p w14:paraId="3A09D32C" w14:textId="77777777" w:rsidR="00236185" w:rsidRPr="00BD16B4" w:rsidRDefault="00236185" w:rsidP="00236185">
      <w:pPr>
        <w:pStyle w:val="BodyText"/>
      </w:pPr>
    </w:p>
    <w:p w14:paraId="58C2FDC7" w14:textId="77777777" w:rsidR="009E128F" w:rsidRPr="00BD16B4" w:rsidRDefault="009E128F" w:rsidP="003F0361">
      <w:pPr>
        <w:pStyle w:val="BodyText"/>
        <w:spacing w:before="0"/>
        <w:sectPr w:rsidR="009E128F" w:rsidRPr="00BD16B4" w:rsidSect="008A7498">
          <w:footerReference w:type="even" r:id="rId36"/>
          <w:footerReference w:type="default" r:id="rId37"/>
          <w:pgSz w:w="11907" w:h="16840" w:code="9"/>
          <w:pgMar w:top="1134" w:right="1701" w:bottom="1134" w:left="1701" w:header="567" w:footer="567" w:gutter="0"/>
          <w:cols w:space="720"/>
          <w:docGrid w:linePitch="299"/>
        </w:sectPr>
      </w:pPr>
    </w:p>
    <w:p w14:paraId="520066D8" w14:textId="3CAEC5BA" w:rsidR="00FD1D4D" w:rsidRPr="00BD16B4" w:rsidRDefault="00FD1D4D" w:rsidP="00FD1D4D">
      <w:pPr>
        <w:pStyle w:val="Heading1"/>
        <w:spacing w:after="400"/>
      </w:pPr>
      <w:bookmarkStart w:id="22" w:name="_Toc491435428"/>
      <w:bookmarkStart w:id="23" w:name="_Toc497392882"/>
      <w:bookmarkStart w:id="24" w:name="_Toc497740258"/>
      <w:bookmarkStart w:id="25" w:name="_Toc498516716"/>
      <w:bookmarkStart w:id="26" w:name="_Toc500796126"/>
      <w:bookmarkStart w:id="27" w:name="_Toc121774615"/>
      <w:r w:rsidRPr="00BD16B4">
        <w:lastRenderedPageBreak/>
        <w:t>2</w:t>
      </w:r>
      <w:r w:rsidRPr="00BD16B4">
        <w:tab/>
        <w:t>National circumstances</w:t>
      </w:r>
      <w:bookmarkEnd w:id="22"/>
      <w:bookmarkEnd w:id="23"/>
      <w:bookmarkEnd w:id="24"/>
      <w:bookmarkEnd w:id="25"/>
      <w:bookmarkEnd w:id="26"/>
      <w:bookmarkEnd w:id="27"/>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D1D4D" w:rsidRPr="00BD16B4" w14:paraId="0C80A086" w14:textId="77777777" w:rsidTr="005C79D1">
        <w:tc>
          <w:tcPr>
            <w:tcW w:w="0" w:type="auto"/>
            <w:shd w:val="clear" w:color="auto" w:fill="D2DDE2"/>
          </w:tcPr>
          <w:p w14:paraId="74763FDC" w14:textId="77777777" w:rsidR="00FD1D4D" w:rsidRPr="00BD16B4" w:rsidRDefault="00FD1D4D" w:rsidP="005C79D1">
            <w:pPr>
              <w:pStyle w:val="Boxheading"/>
              <w:spacing w:after="100"/>
            </w:pPr>
            <w:r w:rsidRPr="00BD16B4">
              <w:t>Key points</w:t>
            </w:r>
          </w:p>
          <w:p w14:paraId="777CE17D" w14:textId="77777777" w:rsidR="00FD1D4D" w:rsidRPr="00BD16B4" w:rsidRDefault="00FD1D4D" w:rsidP="005C79D1">
            <w:pPr>
              <w:pStyle w:val="Boxbullet"/>
              <w:spacing w:after="100"/>
            </w:pPr>
            <w:r w:rsidRPr="00BD16B4">
              <w:t>Aotearoa New Zealand is a long, mountainous country in the southwest Pacific Ocean with a temperate, oceanic climate.</w:t>
            </w:r>
          </w:p>
          <w:p w14:paraId="0CE3814F" w14:textId="77777777" w:rsidR="00FD1D4D" w:rsidRPr="00BD16B4" w:rsidRDefault="00FD1D4D" w:rsidP="005C79D1">
            <w:pPr>
              <w:pStyle w:val="Boxbullet"/>
              <w:spacing w:after="100"/>
            </w:pPr>
            <w:r w:rsidRPr="00BD16B4">
              <w:t xml:space="preserve">Due to New Zealand’s widely distributed population of 5.1 million people and mountainous terrain, roads are the main form of transport. </w:t>
            </w:r>
          </w:p>
          <w:p w14:paraId="0EE461C9" w14:textId="77777777" w:rsidR="00FD1D4D" w:rsidRPr="00BD16B4" w:rsidRDefault="00FD1D4D" w:rsidP="005C79D1">
            <w:pPr>
              <w:pStyle w:val="Boxbullet"/>
              <w:spacing w:after="100"/>
            </w:pPr>
            <w:r w:rsidRPr="00BD16B4">
              <w:t>New Zealand has an export-dependent economy based on the services, manufacturing and primary sectors.</w:t>
            </w:r>
          </w:p>
          <w:p w14:paraId="6A880454" w14:textId="77777777" w:rsidR="00FD1D4D" w:rsidRPr="00BD16B4" w:rsidRDefault="00FD1D4D" w:rsidP="005C79D1">
            <w:pPr>
              <w:pStyle w:val="Boxbullet"/>
              <w:spacing w:after="100"/>
            </w:pPr>
            <w:r w:rsidRPr="00BD16B4">
              <w:t>The efficient, largely pastoral agricultural system is fundamental to the economy, and its products are exported to countries all over the world.</w:t>
            </w:r>
          </w:p>
          <w:p w14:paraId="7F1B0013" w14:textId="77777777" w:rsidR="00FD1D4D" w:rsidRPr="00BD16B4" w:rsidRDefault="00FD1D4D" w:rsidP="005C79D1">
            <w:pPr>
              <w:pStyle w:val="Boxbullet"/>
              <w:spacing w:after="100"/>
            </w:pPr>
            <w:r w:rsidRPr="00BD16B4">
              <w:t>The majority of electricity generation comes from renewable sources – primarily hydro, geothermal and wind.</w:t>
            </w:r>
          </w:p>
          <w:p w14:paraId="49DED8E1" w14:textId="77777777" w:rsidR="00FD1D4D" w:rsidRPr="00BD16B4" w:rsidRDefault="00FD1D4D" w:rsidP="005C79D1">
            <w:pPr>
              <w:pStyle w:val="Boxbullet"/>
              <w:spacing w:after="100"/>
            </w:pPr>
            <w:r w:rsidRPr="00BD16B4">
              <w:t>Greenhouse gas emissions are susceptible to year-to-year variation due to localised events, such as droughts and earthquakes.</w:t>
            </w:r>
          </w:p>
          <w:p w14:paraId="053312DF" w14:textId="77777777" w:rsidR="00FD1D4D" w:rsidRPr="00BD16B4" w:rsidRDefault="00FD1D4D" w:rsidP="005C79D1">
            <w:pPr>
              <w:pStyle w:val="Boxbullet"/>
              <w:spacing w:after="100"/>
            </w:pPr>
            <w:r w:rsidRPr="00BD16B4">
              <w:t>Planting and harvesting cycles in the forestry sector will affect New Zealand’s net emissions well into the future.</w:t>
            </w:r>
          </w:p>
          <w:p w14:paraId="1367B467" w14:textId="77777777" w:rsidR="00FD1D4D" w:rsidRPr="00BD16B4" w:rsidRDefault="00FD1D4D" w:rsidP="005C79D1">
            <w:pPr>
              <w:pStyle w:val="Boxbullet"/>
              <w:spacing w:after="180"/>
            </w:pPr>
            <w:r w:rsidRPr="00BD16B4">
              <w:t xml:space="preserve">The COVID-19 pandemic and related restrictions have had an impact across the country, particularly on international tourism. </w:t>
            </w:r>
          </w:p>
        </w:tc>
      </w:tr>
    </w:tbl>
    <w:p w14:paraId="3D9AE4A2" w14:textId="3C74E4CF" w:rsidR="00FD1D4D" w:rsidRPr="00BD16B4" w:rsidRDefault="00FD1D4D" w:rsidP="0011037B">
      <w:pPr>
        <w:pStyle w:val="Heading2"/>
        <w:numPr>
          <w:ilvl w:val="0"/>
          <w:numId w:val="16"/>
        </w:numPr>
        <w:spacing w:before="400"/>
      </w:pPr>
      <w:bookmarkStart w:id="28" w:name="_Toc497740361"/>
      <w:bookmarkStart w:id="29" w:name="_Toc500796127"/>
      <w:bookmarkStart w:id="30" w:name="_Toc121774616"/>
      <w:r w:rsidRPr="00BD16B4">
        <w:t>Geographic profile</w:t>
      </w:r>
      <w:bookmarkEnd w:id="28"/>
      <w:bookmarkEnd w:id="29"/>
      <w:bookmarkEnd w:id="30"/>
    </w:p>
    <w:p w14:paraId="7A41FE47" w14:textId="77777777" w:rsidR="00FD1D4D" w:rsidRPr="00BD16B4" w:rsidRDefault="00FD1D4D" w:rsidP="00FD1D4D">
      <w:pPr>
        <w:pStyle w:val="BodyText"/>
        <w:rPr>
          <w:rFonts w:ascii="Times New Roman" w:hAnsi="Times New Roman"/>
          <w:szCs w:val="20"/>
          <w:lang w:eastAsia="en-GB"/>
        </w:rPr>
      </w:pPr>
      <w:r w:rsidRPr="00BD16B4">
        <w:t>Aotearoa New Zealand is a long, narrow and mountainous country. It consists of two large islands, the North Island and the South Island, and a number of smaller islands. The two main islands are located in the southwest Pacific Ocean between 33 and 47 degrees latitude south. The nearest large land mass (Australia) is more than 2000 kilometres away.</w:t>
      </w:r>
    </w:p>
    <w:p w14:paraId="50C4EB6B" w14:textId="77777777" w:rsidR="00FD1D4D" w:rsidRPr="00BD16B4" w:rsidRDefault="00FD1D4D" w:rsidP="00FD1D4D">
      <w:pPr>
        <w:pStyle w:val="BodyText"/>
        <w:rPr>
          <w:lang w:eastAsia="en-GB"/>
        </w:rPr>
      </w:pPr>
      <w:r w:rsidRPr="00BD16B4">
        <w:rPr>
          <w:lang w:eastAsia="en-GB"/>
        </w:rPr>
        <w:t>New Zealand has a combined land area of around 27 million hectares and is similar in size to Japan or the United Kingdom. It has approximately 15,000 kilometres of coastline</w:t>
      </w:r>
      <w:r w:rsidRPr="00BD16B4">
        <w:t xml:space="preserve"> and its </w:t>
      </w:r>
      <w:r w:rsidRPr="00BD16B4">
        <w:rPr>
          <w:lang w:eastAsia="en-GB"/>
        </w:rPr>
        <w:t>Exclusive Economic Zone (EEZ) is the fourth largest in the world.</w:t>
      </w:r>
      <w:r w:rsidRPr="00BD16B4">
        <w:rPr>
          <w:rStyle w:val="FootnoteReference"/>
        </w:rPr>
        <w:footnoteReference w:id="13"/>
      </w:r>
      <w:r w:rsidRPr="00BD16B4">
        <w:rPr>
          <w:lang w:eastAsia="en-GB"/>
        </w:rPr>
        <w:t xml:space="preserve"> Combined, New Zealand’s EEZ and territorial sea cover 4.4 million square kilometres.</w:t>
      </w:r>
    </w:p>
    <w:p w14:paraId="2D884B01" w14:textId="77777777" w:rsidR="00FD1D4D" w:rsidRPr="00BD16B4" w:rsidRDefault="00FD1D4D" w:rsidP="00FD1D4D">
      <w:pPr>
        <w:pStyle w:val="BodyText"/>
      </w:pPr>
      <w:r w:rsidRPr="00BD16B4">
        <w:rPr>
          <w:lang w:eastAsia="en-GB"/>
        </w:rPr>
        <w:t>New Zealand straddles the boundary of the Pacific and Australian tectonic plates. The resulting earth movements have produced hilly and mountainous terrain over two-thirds of the land. Earthquakes occur frequently in most parts of the country. There is also a zone of volcanic and geothermal activity in the central North Island. The diverse topography and climate have created a variety of diverse ecosystems ranging from high alpine to w</w:t>
      </w:r>
      <w:r w:rsidRPr="00BD16B4">
        <w:rPr>
          <w:color w:val="000000"/>
        </w:rPr>
        <w:t>arm temperate forests</w:t>
      </w:r>
      <w:r w:rsidRPr="00BD16B4">
        <w:rPr>
          <w:lang w:eastAsia="en-GB"/>
        </w:rPr>
        <w:t>, including 72 types of naturally uncommon ecosystems.</w:t>
      </w:r>
      <w:r w:rsidRPr="00BD16B4">
        <w:rPr>
          <w:rStyle w:val="FootnoteReference"/>
        </w:rPr>
        <w:footnoteReference w:id="14"/>
      </w:r>
      <w:r w:rsidRPr="00BD16B4">
        <w:rPr>
          <w:lang w:eastAsia="en-GB"/>
        </w:rPr>
        <w:t xml:space="preserve"> </w:t>
      </w:r>
      <w:r w:rsidRPr="00BD16B4">
        <w:t xml:space="preserve">After New Zealand’s land mass broke away from the Gondwana supercontinent around 80 million years ago, plants and animals evolved in isolation for millions of years almost entirely without </w:t>
      </w:r>
      <w:r w:rsidRPr="00BD16B4">
        <w:lastRenderedPageBreak/>
        <w:t>the presence of mammals. As a result, many of the country’s estimated 80,000 species of native animals, plants and fungi are</w:t>
      </w:r>
      <w:r w:rsidRPr="00BD16B4" w:rsidDel="00EF2BF9">
        <w:t xml:space="preserve"> found nowhere else in the world</w:t>
      </w:r>
      <w:r w:rsidRPr="00BD16B4">
        <w:t>.</w:t>
      </w:r>
      <w:r w:rsidRPr="00BD16B4">
        <w:rPr>
          <w:rStyle w:val="FootnoteReference"/>
        </w:rPr>
        <w:footnoteReference w:id="15"/>
      </w:r>
      <w:r w:rsidRPr="00BD16B4">
        <w:rPr>
          <w:rFonts w:ascii="Segoe UI" w:hAnsi="Segoe UI" w:cs="Segoe UI"/>
          <w:color w:val="00483A"/>
          <w:spacing w:val="6"/>
          <w:shd w:val="clear" w:color="auto" w:fill="FFFFFF"/>
        </w:rPr>
        <w:t xml:space="preserve"> </w:t>
      </w:r>
    </w:p>
    <w:p w14:paraId="60B224C0" w14:textId="77777777" w:rsidR="00FD1D4D" w:rsidRPr="00BD16B4" w:rsidRDefault="00FD1D4D" w:rsidP="00FD1D4D">
      <w:pPr>
        <w:pStyle w:val="BodyText"/>
        <w:rPr>
          <w:lang w:eastAsia="en-GB"/>
        </w:rPr>
      </w:pPr>
      <w:r w:rsidRPr="00BD16B4">
        <w:t>Today, grassland for agriculture, natural forest and planted forestry form New Zealand’s main land covers (figure 2.1). Around one-third of the land area is protected for conservation purposes.</w:t>
      </w:r>
    </w:p>
    <w:p w14:paraId="2D38CD37" w14:textId="3C3A526C" w:rsidR="00FD1D4D" w:rsidRPr="00BD16B4" w:rsidRDefault="00FD1D4D" w:rsidP="00EC76A2">
      <w:pPr>
        <w:pStyle w:val="Figureheading"/>
      </w:pPr>
      <w:bookmarkStart w:id="31" w:name="_Toc497740666"/>
      <w:bookmarkStart w:id="32" w:name="_Toc500767095"/>
      <w:bookmarkStart w:id="33" w:name="_Toc121494367"/>
      <w:r w:rsidRPr="00BD16B4">
        <w:t>Figure 2.</w:t>
      </w:r>
      <w:r w:rsidRPr="00BD16B4">
        <w:fldChar w:fldCharType="begin"/>
      </w:r>
      <w:r w:rsidRPr="00BD16B4">
        <w:instrText>SEQ Figure_2. \* ARABIC</w:instrText>
      </w:r>
      <w:r w:rsidRPr="00BD16B4">
        <w:fldChar w:fldCharType="separate"/>
      </w:r>
      <w:r w:rsidR="00A60C35">
        <w:rPr>
          <w:noProof/>
        </w:rPr>
        <w:t>1</w:t>
      </w:r>
      <w:r w:rsidRPr="00BD16B4">
        <w:fldChar w:fldCharType="end"/>
      </w:r>
      <w:r w:rsidRPr="00BD16B4">
        <w:t>:</w:t>
      </w:r>
      <w:r w:rsidRPr="00BD16B4">
        <w:tab/>
        <w:t>Land covers in New Zealand, 20</w:t>
      </w:r>
      <w:bookmarkEnd w:id="31"/>
      <w:bookmarkEnd w:id="32"/>
      <w:r w:rsidRPr="00BD16B4">
        <w:t>20</w:t>
      </w:r>
      <w:bookmarkEnd w:id="33"/>
    </w:p>
    <w:p w14:paraId="77258D4B" w14:textId="77777777" w:rsidR="00FD1D4D" w:rsidRPr="00BD16B4" w:rsidRDefault="00FD1D4D" w:rsidP="00FD1D4D">
      <w:pPr>
        <w:pStyle w:val="BodyText"/>
      </w:pPr>
      <w:r w:rsidRPr="00BD16B4">
        <w:rPr>
          <w:noProof/>
        </w:rPr>
        <w:drawing>
          <wp:inline distT="0" distB="0" distL="0" distR="0" wp14:anchorId="76BEE54E" wp14:editId="146FEA88">
            <wp:extent cx="4765559" cy="26154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28A0092B-C50C-407E-A947-70E740481C1C}">
                          <a14:useLocalDpi xmlns:a14="http://schemas.microsoft.com/office/drawing/2010/main" val="0"/>
                        </a:ext>
                      </a:extLst>
                    </a:blip>
                    <a:srcRect b="8143"/>
                    <a:stretch/>
                  </pic:blipFill>
                  <pic:spPr bwMode="auto">
                    <a:xfrm>
                      <a:off x="0" y="0"/>
                      <a:ext cx="4798286" cy="2633372"/>
                    </a:xfrm>
                    <a:prstGeom prst="rect">
                      <a:avLst/>
                    </a:prstGeom>
                    <a:noFill/>
                    <a:ln>
                      <a:noFill/>
                    </a:ln>
                    <a:extLst>
                      <a:ext uri="{53640926-AAD7-44D8-BBD7-CCE9431645EC}">
                        <a14:shadowObscured xmlns:a14="http://schemas.microsoft.com/office/drawing/2010/main"/>
                      </a:ext>
                    </a:extLst>
                  </pic:spPr>
                </pic:pic>
              </a:graphicData>
            </a:graphic>
          </wp:inline>
        </w:drawing>
      </w:r>
    </w:p>
    <w:p w14:paraId="76AA8009" w14:textId="77777777" w:rsidR="00FD1D4D" w:rsidRPr="00BD16B4" w:rsidRDefault="00FD1D4D" w:rsidP="00120409">
      <w:pPr>
        <w:pStyle w:val="Source"/>
      </w:pPr>
      <w:r w:rsidRPr="00BD16B4">
        <w:rPr>
          <w:bCs/>
        </w:rPr>
        <w:t>Source:</w:t>
      </w:r>
      <w:r w:rsidRPr="00BD16B4">
        <w:t xml:space="preserve"> Ministry for the Environment. 2022. </w:t>
      </w:r>
      <w:r w:rsidRPr="00BD16B4">
        <w:rPr>
          <w:i/>
        </w:rPr>
        <w:t>New Zealand’s Greenhouse Gas Inventory 1990–2020.</w:t>
      </w:r>
      <w:r w:rsidRPr="00BD16B4">
        <w:t xml:space="preserve"> Wellington: Ministry for the Environment.</w:t>
      </w:r>
    </w:p>
    <w:p w14:paraId="05FEDAF9" w14:textId="43B95785" w:rsidR="00FD1D4D" w:rsidRPr="00BD16B4" w:rsidRDefault="00FD1D4D" w:rsidP="0011037B">
      <w:pPr>
        <w:pStyle w:val="Heading2"/>
        <w:numPr>
          <w:ilvl w:val="0"/>
          <w:numId w:val="16"/>
        </w:numPr>
        <w:spacing w:before="320"/>
      </w:pPr>
      <w:bookmarkStart w:id="34" w:name="_Toc497740362"/>
      <w:bookmarkStart w:id="35" w:name="_Toc500796128"/>
      <w:bookmarkStart w:id="36" w:name="_Toc121774617"/>
      <w:r w:rsidRPr="00BD16B4">
        <w:t>Population profile</w:t>
      </w:r>
      <w:bookmarkEnd w:id="34"/>
      <w:bookmarkEnd w:id="35"/>
      <w:bookmarkEnd w:id="36"/>
    </w:p>
    <w:p w14:paraId="1D23461F" w14:textId="77777777" w:rsidR="00FD1D4D" w:rsidRPr="00BD16B4" w:rsidRDefault="00FD1D4D" w:rsidP="00FD1D4D">
      <w:pPr>
        <w:pStyle w:val="BodyText"/>
        <w:rPr>
          <w:lang w:eastAsia="en-GB"/>
        </w:rPr>
      </w:pPr>
      <w:r w:rsidRPr="00BD16B4">
        <w:rPr>
          <w:lang w:eastAsia="en-GB"/>
        </w:rPr>
        <w:t>Aotearoa New Zealand’s resident population – the population living in New Zealand – was 5.1 million at 30 June 2021.</w:t>
      </w:r>
      <w:r w:rsidRPr="00BD16B4">
        <w:rPr>
          <w:rStyle w:val="FootnoteReference"/>
        </w:rPr>
        <w:footnoteReference w:id="16"/>
      </w:r>
      <w:r w:rsidRPr="00BD16B4">
        <w:rPr>
          <w:lang w:eastAsia="en-GB"/>
        </w:rPr>
        <w:t xml:space="preserve"> </w:t>
      </w:r>
      <w:r w:rsidRPr="00BD16B4">
        <w:t xml:space="preserve">The </w:t>
      </w:r>
      <w:r w:rsidRPr="00BD16B4">
        <w:rPr>
          <w:lang w:eastAsia="en-GB"/>
        </w:rPr>
        <w:t>majority of the population is urbanised and 76.6 per cent live in the North Island; the largest city is Auckland and 33.3</w:t>
      </w:r>
      <w:r w:rsidRPr="00BD16B4" w:rsidDel="00436525">
        <w:rPr>
          <w:lang w:eastAsia="en-GB"/>
        </w:rPr>
        <w:t xml:space="preserve"> </w:t>
      </w:r>
      <w:r w:rsidRPr="00BD16B4">
        <w:rPr>
          <w:lang w:eastAsia="en-GB"/>
        </w:rPr>
        <w:t>per cent of the total population live within the greater Auckland area (as at June 2021).</w:t>
      </w:r>
      <w:r w:rsidRPr="00BD16B4">
        <w:rPr>
          <w:rStyle w:val="FootnoteReference"/>
          <w:color w:val="auto"/>
        </w:rPr>
        <w:footnoteReference w:id="17"/>
      </w:r>
      <w:r w:rsidRPr="00BD16B4">
        <w:rPr>
          <w:lang w:eastAsia="en-GB"/>
        </w:rPr>
        <w:t xml:space="preserve"> Population density is relatively low, with an average of 19 people per square kilometre.</w:t>
      </w:r>
      <w:r w:rsidRPr="00BD16B4">
        <w:rPr>
          <w:vertAlign w:val="superscript"/>
          <w:lang w:eastAsia="en-GB"/>
        </w:rPr>
        <w:t xml:space="preserve">4, </w:t>
      </w:r>
      <w:r w:rsidRPr="00BD16B4">
        <w:rPr>
          <w:rStyle w:val="FootnoteReference"/>
          <w:lang w:eastAsia="en-GB"/>
        </w:rPr>
        <w:footnoteReference w:id="18"/>
      </w:r>
    </w:p>
    <w:p w14:paraId="6D45C78F" w14:textId="77777777" w:rsidR="00FD1D4D" w:rsidRPr="00BD16B4" w:rsidRDefault="00FD1D4D" w:rsidP="00FD1D4D">
      <w:pPr>
        <w:pStyle w:val="BodyText"/>
        <w:rPr>
          <w:lang w:eastAsia="en-GB"/>
        </w:rPr>
      </w:pPr>
      <w:r w:rsidRPr="00BD16B4">
        <w:rPr>
          <w:lang w:eastAsia="en-GB"/>
        </w:rPr>
        <w:t>New Zealand’s population is growing. It has increased by an average of 1.3 per cent a year between 1953 and 2022.</w:t>
      </w:r>
      <w:r w:rsidRPr="00BD16B4">
        <w:rPr>
          <w:rStyle w:val="FootnoteReference"/>
          <w:lang w:eastAsia="en-GB"/>
        </w:rPr>
        <w:footnoteReference w:id="19"/>
      </w:r>
      <w:r w:rsidRPr="00BD16B4">
        <w:rPr>
          <w:lang w:eastAsia="en-GB"/>
        </w:rPr>
        <w:t xml:space="preserve"> The population grew fastest in the 1950s, but the growth rate slowed as fertility rates fell and the population’s age structure changed. During the 1980s the annual growth was only 0.6 per cent on average (figure 2.2). Despite relatively high population growth between 2013 and 2020 (1.8 per cent per year on average), growth has slowed since then, provisionally at 0.4 per cent in 2021 and 0.3 per cent in 2022.</w:t>
      </w:r>
      <w:r w:rsidRPr="00BD16B4">
        <w:rPr>
          <w:vertAlign w:val="superscript"/>
          <w:lang w:eastAsia="en-GB"/>
        </w:rPr>
        <w:t xml:space="preserve">7, </w:t>
      </w:r>
      <w:r w:rsidRPr="00BD16B4">
        <w:rPr>
          <w:rStyle w:val="FootnoteReference"/>
          <w:lang w:eastAsia="en-GB"/>
        </w:rPr>
        <w:footnoteReference w:id="20"/>
      </w:r>
      <w:r w:rsidRPr="00BD16B4">
        <w:rPr>
          <w:lang w:eastAsia="en-GB"/>
        </w:rPr>
        <w:t xml:space="preserve"> </w:t>
      </w:r>
    </w:p>
    <w:p w14:paraId="2905B0E9" w14:textId="77777777" w:rsidR="00FD1D4D" w:rsidRPr="00BD16B4" w:rsidRDefault="00FD1D4D" w:rsidP="00FD1D4D">
      <w:pPr>
        <w:pStyle w:val="BodyText"/>
        <w:rPr>
          <w:lang w:eastAsia="en-GB"/>
        </w:rPr>
      </w:pPr>
      <w:r w:rsidRPr="00BD16B4">
        <w:rPr>
          <w:lang w:eastAsia="en-GB"/>
        </w:rPr>
        <w:lastRenderedPageBreak/>
        <w:t>COVID-19 had a significant impact on international travel and migration from 2020, which accounts for some of the decrease in population growth rate.</w:t>
      </w:r>
      <w:r w:rsidRPr="00BD16B4">
        <w:rPr>
          <w:rStyle w:val="FootnoteReference"/>
          <w:lang w:eastAsia="en-GB"/>
        </w:rPr>
        <w:footnoteReference w:id="21"/>
      </w:r>
      <w:r w:rsidRPr="00BD16B4">
        <w:rPr>
          <w:lang w:eastAsia="en-GB"/>
        </w:rPr>
        <w:t xml:space="preserve"> Figure 2.2 shows that the population growth rate is projected to increase in the 2020s, before slowing in the long term out to 2073. The long-term trend is driven by the narrowing gap between births and deaths (natural increase). </w:t>
      </w:r>
    </w:p>
    <w:p w14:paraId="5A60AD24" w14:textId="7149BAE0" w:rsidR="00FD1D4D" w:rsidRPr="00BD16B4" w:rsidRDefault="00FD1D4D" w:rsidP="00EC76A2">
      <w:pPr>
        <w:pStyle w:val="Figureheading"/>
      </w:pPr>
      <w:bookmarkStart w:id="37" w:name="_Toc497740667"/>
      <w:bookmarkStart w:id="38" w:name="_Toc500767096"/>
      <w:bookmarkStart w:id="39" w:name="_Toc121494368"/>
      <w:r w:rsidRPr="00BD16B4">
        <w:t>Figure 2.</w:t>
      </w:r>
      <w:r w:rsidRPr="00BD16B4">
        <w:fldChar w:fldCharType="begin"/>
      </w:r>
      <w:r w:rsidRPr="00BD16B4">
        <w:instrText>SEQ Figure_2. \* ARABIC</w:instrText>
      </w:r>
      <w:r w:rsidRPr="00BD16B4">
        <w:fldChar w:fldCharType="separate"/>
      </w:r>
      <w:r w:rsidR="00A60C35">
        <w:rPr>
          <w:noProof/>
        </w:rPr>
        <w:t>2</w:t>
      </w:r>
      <w:r w:rsidRPr="00BD16B4">
        <w:fldChar w:fldCharType="end"/>
      </w:r>
      <w:r w:rsidRPr="00BD16B4">
        <w:t>:</w:t>
      </w:r>
      <w:r w:rsidRPr="00BD16B4">
        <w:tab/>
        <w:t>Annual population growth rate, 1953–20</w:t>
      </w:r>
      <w:bookmarkEnd w:id="37"/>
      <w:bookmarkEnd w:id="38"/>
      <w:r w:rsidRPr="00BD16B4">
        <w:t>73</w:t>
      </w:r>
      <w:bookmarkEnd w:id="39"/>
    </w:p>
    <w:p w14:paraId="49DF1764" w14:textId="77777777" w:rsidR="00FD1D4D" w:rsidRPr="00BD16B4" w:rsidRDefault="00FD1D4D" w:rsidP="00FD1D4D">
      <w:pPr>
        <w:pStyle w:val="BodyText"/>
        <w:spacing w:after="0"/>
      </w:pPr>
      <w:r w:rsidRPr="00BD16B4">
        <w:rPr>
          <w:noProof/>
        </w:rPr>
        <w:drawing>
          <wp:inline distT="0" distB="0" distL="0" distR="0" wp14:anchorId="24852D5D" wp14:editId="242A06FA">
            <wp:extent cx="5294299" cy="1975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7398" b="14308"/>
                    <a:stretch/>
                  </pic:blipFill>
                  <pic:spPr bwMode="auto">
                    <a:xfrm>
                      <a:off x="0" y="0"/>
                      <a:ext cx="5298883" cy="1976780"/>
                    </a:xfrm>
                    <a:prstGeom prst="rect">
                      <a:avLst/>
                    </a:prstGeom>
                    <a:ln>
                      <a:noFill/>
                    </a:ln>
                    <a:extLst>
                      <a:ext uri="{53640926-AAD7-44D8-BBD7-CCE9431645EC}">
                        <a14:shadowObscured xmlns:a14="http://schemas.microsoft.com/office/drawing/2010/main"/>
                      </a:ext>
                    </a:extLst>
                  </pic:spPr>
                </pic:pic>
              </a:graphicData>
            </a:graphic>
          </wp:inline>
        </w:drawing>
      </w:r>
    </w:p>
    <w:p w14:paraId="0E9144F4" w14:textId="77777777" w:rsidR="00FD1D4D" w:rsidRPr="00BD16B4" w:rsidRDefault="00FD1D4D" w:rsidP="00120409">
      <w:pPr>
        <w:pStyle w:val="Note"/>
        <w:rPr>
          <w:szCs w:val="20"/>
        </w:rPr>
      </w:pPr>
      <w:r w:rsidRPr="00BD16B4">
        <w:rPr>
          <w:bCs/>
          <w:szCs w:val="20"/>
        </w:rPr>
        <w:t>Source:</w:t>
      </w:r>
      <w:r w:rsidRPr="00BD16B4">
        <w:rPr>
          <w:szCs w:val="20"/>
        </w:rPr>
        <w:t xml:space="preserve"> </w:t>
      </w:r>
      <w:r w:rsidRPr="00BD16B4">
        <w:t>Stats NZ. 2022.</w:t>
      </w:r>
      <w:r w:rsidRPr="00BD16B4">
        <w:rPr>
          <w:szCs w:val="20"/>
        </w:rPr>
        <w:t xml:space="preserve"> </w:t>
      </w:r>
      <w:r w:rsidRPr="00BD16B4">
        <w:t>National Population Projections: 2022(base)–2073.</w:t>
      </w:r>
    </w:p>
    <w:p w14:paraId="760EEE26" w14:textId="77777777" w:rsidR="00FD1D4D" w:rsidRPr="00BD16B4" w:rsidRDefault="00FD1D4D" w:rsidP="00FD1D4D">
      <w:pPr>
        <w:pStyle w:val="BodyText"/>
        <w:spacing w:before="100"/>
        <w:rPr>
          <w:lang w:eastAsia="en-GB"/>
        </w:rPr>
      </w:pPr>
      <w:r w:rsidRPr="00BD16B4">
        <w:rPr>
          <w:lang w:eastAsia="en-GB"/>
        </w:rPr>
        <w:t xml:space="preserve">Net migration (migrants entering New Zealand, minus those leaving) has varied greatly over the years as a result of economic factors, labour market conditions, and immigration policy in New Zealand and other countries. As noted, more recently COVID-19 also had a significant impact. </w:t>
      </w:r>
    </w:p>
    <w:p w14:paraId="35D319C6" w14:textId="77777777" w:rsidR="00FD1D4D" w:rsidRPr="00BD16B4" w:rsidRDefault="00FD1D4D" w:rsidP="00FD1D4D">
      <w:pPr>
        <w:pStyle w:val="BodyText"/>
        <w:spacing w:before="100" w:after="240"/>
        <w:rPr>
          <w:lang w:eastAsia="en-GB"/>
        </w:rPr>
      </w:pPr>
      <w:r w:rsidRPr="00BD16B4">
        <w:rPr>
          <w:lang w:eastAsia="en-GB"/>
        </w:rPr>
        <w:t>In the 12 months ended June 2022, there was a provisional net migration loss of 12,960 people.</w:t>
      </w:r>
      <w:r w:rsidRPr="00BD16B4">
        <w:rPr>
          <w:rStyle w:val="FootnoteReference"/>
          <w:lang w:eastAsia="en-GB"/>
        </w:rPr>
        <w:footnoteReference w:id="22"/>
      </w:r>
      <w:r w:rsidRPr="00BD16B4">
        <w:rPr>
          <w:lang w:eastAsia="en-GB"/>
        </w:rPr>
        <w:t xml:space="preserve"> Monthly net migration losses have occurred in most months since November 2020. As New Zealand’s border restrictions ease through 2022, net migration is expected to gradually rise from the current losses to the long-term median net migration gain of 25,000 people in 2026 and beyond.</w:t>
      </w:r>
      <w:r w:rsidRPr="00BD16B4">
        <w:rPr>
          <w:rStyle w:val="FootnoteReference"/>
          <w:lang w:eastAsia="en-GB"/>
        </w:rPr>
        <w:footnoteReference w:id="23"/>
      </w:r>
      <w:r w:rsidRPr="00BD16B4">
        <w:rPr>
          <w:lang w:eastAsia="en-GB"/>
        </w:rPr>
        <w:t xml:space="preserve"> Annual net migration will of course fluctuate around this median, but the median indicates the average net migration gain based on historical trends and current policy settings. </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D1D4D" w:rsidRPr="00BD16B4" w14:paraId="4FFD3E6C" w14:textId="77777777" w:rsidTr="005C79D1">
        <w:tc>
          <w:tcPr>
            <w:tcW w:w="0" w:type="auto"/>
            <w:shd w:val="clear" w:color="auto" w:fill="D2DDE2"/>
          </w:tcPr>
          <w:p w14:paraId="7E907F0B" w14:textId="77777777" w:rsidR="00FD1D4D" w:rsidRPr="00BD16B4" w:rsidRDefault="00FD1D4D" w:rsidP="005C79D1">
            <w:pPr>
              <w:pStyle w:val="Boxheading"/>
              <w:keepNext w:val="0"/>
              <w:spacing w:before="180"/>
            </w:pPr>
            <w:r w:rsidRPr="00BD16B4">
              <w:t>Census data</w:t>
            </w:r>
          </w:p>
          <w:p w14:paraId="0866B918" w14:textId="77777777" w:rsidR="00FD1D4D" w:rsidRPr="00BD16B4" w:rsidRDefault="00FD1D4D" w:rsidP="005C79D1">
            <w:pPr>
              <w:pStyle w:val="Boxtext"/>
              <w:spacing w:before="80" w:after="60"/>
            </w:pPr>
            <w:r w:rsidRPr="00BD16B4">
              <w:t xml:space="preserve">Many figures in this chapter are derived from the New Zealand Census of Population and Dwellings, the official count of people and dwellings collated by Statistics New Zealand. The latest Census was conducted in 2018. The next Census will be conducted in 2023. </w:t>
            </w:r>
          </w:p>
          <w:p w14:paraId="67D77701" w14:textId="77777777" w:rsidR="00FD1D4D" w:rsidRPr="00BD16B4" w:rsidRDefault="00FD1D4D" w:rsidP="005C79D1">
            <w:pPr>
              <w:pStyle w:val="Boxtext"/>
              <w:spacing w:after="180"/>
            </w:pPr>
            <w:r w:rsidRPr="00BD16B4">
              <w:t>The collection rate for the 2018 Census was lower than expected, with one in six New Zealand residents not completing a questionnaire. Methods to produce the final dataset included using data from alternative sources. The 2018 Census external data quality panel assessed the methodologies and the methods to produce the final data.</w:t>
            </w:r>
            <w:r w:rsidRPr="00BD16B4">
              <w:rPr>
                <w:vertAlign w:val="superscript"/>
              </w:rPr>
              <w:footnoteReference w:id="24"/>
            </w:r>
          </w:p>
        </w:tc>
      </w:tr>
    </w:tbl>
    <w:p w14:paraId="4150A600" w14:textId="703E5098" w:rsidR="00FD1D4D" w:rsidRPr="00BD16B4" w:rsidRDefault="00FD1D4D" w:rsidP="0011037B">
      <w:pPr>
        <w:pStyle w:val="Heading2"/>
        <w:numPr>
          <w:ilvl w:val="0"/>
          <w:numId w:val="16"/>
        </w:numPr>
        <w:spacing w:before="400"/>
      </w:pPr>
      <w:bookmarkStart w:id="40" w:name="_Toc497740363"/>
      <w:bookmarkStart w:id="41" w:name="_Toc500796129"/>
      <w:bookmarkStart w:id="42" w:name="_Toc121774618"/>
      <w:r w:rsidRPr="00BD16B4">
        <w:lastRenderedPageBreak/>
        <w:t>Climate</w:t>
      </w:r>
      <w:bookmarkEnd w:id="40"/>
      <w:bookmarkEnd w:id="41"/>
      <w:bookmarkEnd w:id="42"/>
    </w:p>
    <w:p w14:paraId="4DFD3600" w14:textId="77777777" w:rsidR="00FD1D4D" w:rsidRPr="00BD16B4" w:rsidRDefault="00FD1D4D" w:rsidP="00FD1D4D">
      <w:pPr>
        <w:pStyle w:val="Heading3"/>
        <w:spacing w:before="240"/>
      </w:pPr>
      <w:r w:rsidRPr="00BD16B4">
        <w:t>2.3.1</w:t>
      </w:r>
      <w:r w:rsidRPr="00BD16B4">
        <w:tab/>
        <w:t>Current climate</w:t>
      </w:r>
    </w:p>
    <w:p w14:paraId="060D7C57" w14:textId="77777777" w:rsidR="00FD1D4D" w:rsidRPr="00BD16B4" w:rsidRDefault="00FD1D4D" w:rsidP="00FD1D4D">
      <w:pPr>
        <w:pStyle w:val="BodyText"/>
        <w:spacing w:before="100" w:after="100"/>
        <w:rPr>
          <w:lang w:eastAsia="en-GB"/>
        </w:rPr>
      </w:pPr>
      <w:r w:rsidRPr="00BD16B4">
        <w:rPr>
          <w:lang w:eastAsia="en-GB"/>
        </w:rPr>
        <w:t xml:space="preserve">Aotearoa New Zealand has </w:t>
      </w:r>
      <w:r w:rsidRPr="00BD16B4">
        <w:t>climate</w:t>
      </w:r>
      <w:r w:rsidRPr="00BD16B4">
        <w:rPr>
          <w:lang w:eastAsia="en-GB"/>
        </w:rPr>
        <w:t xml:space="preserve"> zones ranging from subtropical to subantarctic. The climate is heavily influenced by the country’s location in a latitudinal zone with prevailing westerly winds and by the surrounding ocean. It is also influenced by mountain chains that modify the weather systems as they sweep </w:t>
      </w:r>
      <w:r w:rsidRPr="00BD16B4">
        <w:t>eastward</w:t>
      </w:r>
      <w:r w:rsidRPr="00BD16B4">
        <w:rPr>
          <w:lang w:eastAsia="en-GB"/>
        </w:rPr>
        <w:t>. This leads to more rainfall in the west and drier conditions in the east.</w:t>
      </w:r>
    </w:p>
    <w:p w14:paraId="4E67BD04" w14:textId="77777777" w:rsidR="00FD1D4D" w:rsidRPr="00BD16B4" w:rsidRDefault="00FD1D4D" w:rsidP="00FD1D4D">
      <w:pPr>
        <w:pStyle w:val="BodyText"/>
        <w:spacing w:before="100" w:after="100"/>
        <w:rPr>
          <w:lang w:eastAsia="en-GB"/>
        </w:rPr>
      </w:pPr>
      <w:r w:rsidRPr="00BD16B4">
        <w:rPr>
          <w:lang w:eastAsia="en-GB"/>
        </w:rPr>
        <w:t>The average rainfall in most areas is between 600 and 1600 millimetres a year. In the mountain ranges, annual rainfall often exceeds 5000 millimetres, and in the Southern Alps it can be more than 10,000 millimetres. However, areas to the east of the main ranges have an average rainfall of less than 600 millimetres a year.</w:t>
      </w:r>
      <w:r w:rsidRPr="00BD16B4">
        <w:rPr>
          <w:rStyle w:val="FootnoteReference"/>
        </w:rPr>
        <w:footnoteReference w:id="25"/>
      </w:r>
      <w:r w:rsidRPr="00BD16B4">
        <w:rPr>
          <w:vertAlign w:val="superscript"/>
          <w:lang w:eastAsia="en-GB"/>
        </w:rPr>
        <w:t xml:space="preserve">, </w:t>
      </w:r>
      <w:r w:rsidRPr="00BD16B4">
        <w:rPr>
          <w:rStyle w:val="FootnoteReference"/>
          <w:lang w:eastAsia="en-GB"/>
        </w:rPr>
        <w:footnoteReference w:id="26"/>
      </w:r>
      <w:r w:rsidRPr="00BD16B4">
        <w:rPr>
          <w:vertAlign w:val="superscript"/>
          <w:lang w:eastAsia="en-GB"/>
        </w:rPr>
        <w:t xml:space="preserve">, </w:t>
      </w:r>
      <w:r w:rsidRPr="00BD16B4">
        <w:rPr>
          <w:rStyle w:val="FootnoteReference"/>
          <w:lang w:eastAsia="en-GB"/>
        </w:rPr>
        <w:footnoteReference w:id="27"/>
      </w:r>
    </w:p>
    <w:p w14:paraId="7CCB311E" w14:textId="1D3BE6B0" w:rsidR="00FD1D4D" w:rsidRPr="00BD16B4" w:rsidRDefault="00FD1D4D" w:rsidP="00FD1D4D">
      <w:pPr>
        <w:pStyle w:val="BodyText"/>
        <w:spacing w:before="100" w:after="100"/>
      </w:pPr>
      <w:r w:rsidRPr="00BD16B4">
        <w:rPr>
          <w:lang w:eastAsia="en-GB"/>
        </w:rPr>
        <w:t>Average annual temperatures range from 10</w:t>
      </w:r>
      <w:r w:rsidR="00E254D0" w:rsidRPr="00BD16B4">
        <w:t>°C</w:t>
      </w:r>
      <w:r w:rsidRPr="00BD16B4">
        <w:rPr>
          <w:lang w:eastAsia="en-GB"/>
        </w:rPr>
        <w:t xml:space="preserve"> in the southern part of New Zealand to 16</w:t>
      </w:r>
      <w:r w:rsidR="00E254D0" w:rsidRPr="00BD16B4">
        <w:t>°C</w:t>
      </w:r>
      <w:r w:rsidRPr="00BD16B4">
        <w:rPr>
          <w:rFonts w:eastAsia="Symbol"/>
        </w:rPr>
        <w:t xml:space="preserve"> </w:t>
      </w:r>
      <w:r w:rsidRPr="00BD16B4">
        <w:rPr>
          <w:lang w:eastAsia="en-GB"/>
        </w:rPr>
        <w:t>in the north.</w:t>
      </w:r>
      <w:r w:rsidRPr="00BD16B4">
        <w:rPr>
          <w:vertAlign w:val="superscript"/>
          <w:lang w:eastAsia="en-GB"/>
        </w:rPr>
        <w:t>14</w:t>
      </w:r>
      <w:r w:rsidRPr="00BD16B4">
        <w:rPr>
          <w:lang w:eastAsia="en-GB"/>
        </w:rPr>
        <w:t xml:space="preserve"> In areas inland and to the east of the main ranges,</w:t>
      </w:r>
      <w:r w:rsidRPr="00BD16B4">
        <w:rPr>
          <w:szCs w:val="20"/>
          <w:lang w:eastAsia="en-GB"/>
        </w:rPr>
        <w:t xml:space="preserve"> temperatures </w:t>
      </w:r>
      <w:r w:rsidRPr="00BD16B4">
        <w:rPr>
          <w:lang w:eastAsia="en-GB"/>
        </w:rPr>
        <w:t>fluctuate by up to 14</w:t>
      </w:r>
      <w:r w:rsidR="004F7F9A" w:rsidRPr="00BD16B4">
        <w:t>°C</w:t>
      </w:r>
      <w:r w:rsidRPr="00BD16B4">
        <w:rPr>
          <w:lang w:eastAsia="en-GB"/>
        </w:rPr>
        <w:t xml:space="preserve"> between seasons, but generally the</w:t>
      </w:r>
      <w:r w:rsidR="004F7F9A" w:rsidRPr="00BD16B4">
        <w:rPr>
          <w:szCs w:val="20"/>
          <w:lang w:eastAsia="en-GB"/>
        </w:rPr>
        <w:t xml:space="preserve"> </w:t>
      </w:r>
      <w:r w:rsidRPr="00BD16B4">
        <w:rPr>
          <w:szCs w:val="20"/>
          <w:lang w:eastAsia="en-GB"/>
        </w:rPr>
        <w:t>changes between summer and winter temperatures are small.</w:t>
      </w:r>
      <w:r w:rsidRPr="00BD16B4">
        <w:rPr>
          <w:szCs w:val="20"/>
          <w:vertAlign w:val="superscript"/>
          <w:lang w:eastAsia="en-GB"/>
        </w:rPr>
        <w:t>14</w:t>
      </w:r>
      <w:r w:rsidRPr="00BD16B4">
        <w:rPr>
          <w:rFonts w:eastAsia="Calibri"/>
        </w:rPr>
        <w:t xml:space="preserve"> On average, most of the country receives between 1700 and 2100 sunshine hours annually.</w:t>
      </w:r>
      <w:r w:rsidRPr="00BD16B4">
        <w:rPr>
          <w:rStyle w:val="FootnoteReference"/>
          <w:rFonts w:eastAsia="Calibri"/>
        </w:rPr>
        <w:footnoteReference w:id="28"/>
      </w:r>
      <w:r w:rsidRPr="00BD16B4" w:rsidDel="00F07154">
        <w:rPr>
          <w:rStyle w:val="FootnoteReference"/>
        </w:rPr>
        <w:t xml:space="preserve"> </w:t>
      </w:r>
    </w:p>
    <w:p w14:paraId="1A2856F8" w14:textId="0C944A12" w:rsidR="00FD1D4D" w:rsidRPr="00BD16B4" w:rsidRDefault="00FD1D4D" w:rsidP="00FD1D4D">
      <w:pPr>
        <w:pStyle w:val="BodyText"/>
        <w:spacing w:after="100"/>
        <w:rPr>
          <w:lang w:eastAsia="en-GB"/>
        </w:rPr>
      </w:pPr>
      <w:r w:rsidRPr="00BD16B4">
        <w:t>New Zealand is already experiencing changes in climate due to climate change, with an increase in average annual temperature of</w:t>
      </w:r>
      <w:r w:rsidRPr="00BD16B4">
        <w:rPr>
          <w:lang w:eastAsia="en-GB"/>
        </w:rPr>
        <w:t xml:space="preserve"> 1.1</w:t>
      </w:r>
      <w:r w:rsidR="004F7F9A" w:rsidRPr="00BD16B4">
        <w:t>°C</w:t>
      </w:r>
      <w:r w:rsidRPr="00BD16B4">
        <w:rPr>
          <w:lang w:eastAsia="en-GB"/>
        </w:rPr>
        <w:t xml:space="preserve"> over the past 100 years.</w:t>
      </w:r>
      <w:r w:rsidRPr="00BD16B4">
        <w:rPr>
          <w:rStyle w:val="FootnoteReference"/>
        </w:rPr>
        <w:footnoteReference w:id="29"/>
      </w:r>
      <w:r w:rsidRPr="00BD16B4">
        <w:rPr>
          <w:lang w:eastAsia="en-GB"/>
        </w:rPr>
        <w:t xml:space="preserve"> 2021 was the warmest year on record, surpassing the previous record set in 2016.</w:t>
      </w:r>
      <w:r w:rsidRPr="00BD16B4">
        <w:rPr>
          <w:vertAlign w:val="superscript"/>
          <w:lang w:eastAsia="en-GB"/>
        </w:rPr>
        <w:t>14</w:t>
      </w:r>
      <w:r w:rsidRPr="00BD16B4">
        <w:rPr>
          <w:lang w:eastAsia="en-GB"/>
        </w:rPr>
        <w:t xml:space="preserve"> </w:t>
      </w:r>
    </w:p>
    <w:p w14:paraId="189D205E" w14:textId="20466370" w:rsidR="00FD1D4D" w:rsidRPr="00BD16B4" w:rsidRDefault="00FD1D4D" w:rsidP="00FD1D4D">
      <w:pPr>
        <w:pStyle w:val="BodyText"/>
        <w:spacing w:before="100" w:after="100"/>
        <w:rPr>
          <w:lang w:eastAsia="en-GB"/>
        </w:rPr>
      </w:pPr>
      <w:r w:rsidRPr="00BD16B4">
        <w:t>Sea-level rise is accelerating globally, with an average rate of 3.7 millimetres per year between 2006 and 2018.</w:t>
      </w:r>
      <w:r w:rsidRPr="00BD16B4">
        <w:rPr>
          <w:rStyle w:val="FootnoteReference"/>
        </w:rPr>
        <w:footnoteReference w:id="30"/>
      </w:r>
      <w:r w:rsidRPr="00BD16B4">
        <w:t xml:space="preserve"> New Zealand’s long-term records show rising coastal sea levels (relative to land) of 1.81 millimetres per year from the start of our records in 1901 to 2018.</w:t>
      </w:r>
      <w:r w:rsidRPr="00BD16B4">
        <w:rPr>
          <w:rStyle w:val="FootnoteReference"/>
        </w:rPr>
        <w:footnoteReference w:id="31"/>
      </w:r>
      <w:r w:rsidRPr="00BD16B4">
        <w:t xml:space="preserve"> The rate of</w:t>
      </w:r>
      <w:r w:rsidR="00FC2DE7" w:rsidRPr="00BD16B4">
        <w:t> </w:t>
      </w:r>
      <w:r w:rsidRPr="00BD16B4">
        <w:t>sea-level rise has also increased. Between 1961 and 2018, the mean rate of sea-level rise was</w:t>
      </w:r>
      <w:r w:rsidR="00A61157" w:rsidRPr="00BD16B4">
        <w:t xml:space="preserve"> </w:t>
      </w:r>
      <w:r w:rsidRPr="00BD16B4">
        <w:t>2.44 millimetres per year.</w:t>
      </w:r>
      <w:r w:rsidRPr="00BD16B4">
        <w:rPr>
          <w:rStyle w:val="FootnoteReference"/>
        </w:rPr>
        <w:footnoteReference w:id="32"/>
      </w:r>
      <w:r w:rsidRPr="00BD16B4">
        <w:t xml:space="preserve"> This rate is more than double the mean rate in the 60 years before this time period, which was 1.22 millimetres per year between the start of our records and 1960.</w:t>
      </w:r>
      <w:r w:rsidRPr="00BD16B4">
        <w:rPr>
          <w:rStyle w:val="FootnoteReference"/>
        </w:rPr>
        <w:footnoteReference w:id="33"/>
      </w:r>
    </w:p>
    <w:p w14:paraId="5EEF796F" w14:textId="77777777" w:rsidR="00FD1D4D" w:rsidRPr="00BD16B4" w:rsidRDefault="00FD1D4D" w:rsidP="00FD1D4D">
      <w:pPr>
        <w:pStyle w:val="Heading3"/>
      </w:pPr>
      <w:r w:rsidRPr="00BD16B4">
        <w:lastRenderedPageBreak/>
        <w:t>2.3.2</w:t>
      </w:r>
      <w:r w:rsidRPr="00BD16B4">
        <w:tab/>
        <w:t>Projected changes in climate</w:t>
      </w:r>
      <w:r w:rsidRPr="00BD16B4">
        <w:rPr>
          <w:vertAlign w:val="superscript"/>
        </w:rPr>
        <w:footnoteReference w:id="34"/>
      </w:r>
    </w:p>
    <w:p w14:paraId="24127583" w14:textId="7DD9D0EA" w:rsidR="00FD1D4D" w:rsidRPr="00BD16B4" w:rsidRDefault="00FD1D4D" w:rsidP="00FD1D4D">
      <w:pPr>
        <w:pStyle w:val="BodyText"/>
        <w:spacing w:before="100" w:after="100"/>
      </w:pPr>
      <w:r w:rsidRPr="00BD16B4">
        <w:t>The mid-range estimate for projected temperature change in New Zealand is for an expected increase of about 0.8</w:t>
      </w:r>
      <w:r w:rsidR="004F7F9A" w:rsidRPr="00BD16B4">
        <w:t>°C</w:t>
      </w:r>
      <w:r w:rsidRPr="00BD16B4">
        <w:t xml:space="preserve"> by 2040, 1.4</w:t>
      </w:r>
      <w:r w:rsidR="004F7F9A" w:rsidRPr="00BD16B4">
        <w:t>°C</w:t>
      </w:r>
      <w:r w:rsidRPr="00BD16B4">
        <w:t xml:space="preserve"> by 2090 and 1.6</w:t>
      </w:r>
      <w:r w:rsidR="004F7F9A" w:rsidRPr="00BD16B4">
        <w:t>°C</w:t>
      </w:r>
      <w:r w:rsidRPr="00BD16B4">
        <w:t xml:space="preserve"> by 2110, relative to the 1986–2005 period.</w:t>
      </w:r>
      <w:r w:rsidRPr="00BD16B4">
        <w:rPr>
          <w:rStyle w:val="FootnoteReference"/>
        </w:rPr>
        <w:footnoteReference w:id="35"/>
      </w:r>
      <w:r w:rsidRPr="00BD16B4">
        <w:t xml:space="preserve"> Because of the different possible pathways for the concentrations of greenhouse gases in the atmosphere, as well as the differences in climate model response to those pathways, the possible projections for future warming span a wide range: 0.2–1.7</w:t>
      </w:r>
      <w:r w:rsidR="004F7F9A" w:rsidRPr="00BD16B4">
        <w:t>°C</w:t>
      </w:r>
      <w:r w:rsidRPr="00BD16B4">
        <w:t xml:space="preserve"> by 2040, 0.1–4.6</w:t>
      </w:r>
      <w:r w:rsidR="004F7F9A" w:rsidRPr="00BD16B4">
        <w:t>°C</w:t>
      </w:r>
      <w:r w:rsidRPr="00BD16B4">
        <w:t xml:space="preserve"> by 2090 and 0.3–5.0</w:t>
      </w:r>
      <w:r w:rsidR="004F7F9A" w:rsidRPr="00BD16B4">
        <w:t>°C</w:t>
      </w:r>
      <w:r w:rsidRPr="00BD16B4">
        <w:t xml:space="preserve"> by 2110. </w:t>
      </w:r>
    </w:p>
    <w:p w14:paraId="7332E26D" w14:textId="77777777" w:rsidR="00FD1D4D" w:rsidRPr="00BD16B4" w:rsidRDefault="00FD1D4D" w:rsidP="00FD1D4D">
      <w:pPr>
        <w:pStyle w:val="BodyText"/>
        <w:spacing w:before="100" w:after="100"/>
      </w:pPr>
      <w:r w:rsidRPr="00BD16B4">
        <w:t xml:space="preserve">Projected changes in rainfall show a marked seasonality and variability across regions. It is very likely that for winter and spring, rainfall will increase in the west of both the North and South Islands, while the east and north will have drier conditions, caused by a projected increase in the westerly winds over New Zealand during these seasons. For summer, conditions are likely to be wetter in the east of both islands and drier in the west and central North Island. </w:t>
      </w:r>
    </w:p>
    <w:p w14:paraId="02256683" w14:textId="77777777" w:rsidR="00FD1D4D" w:rsidRPr="00BD16B4" w:rsidRDefault="00FD1D4D" w:rsidP="00FD1D4D">
      <w:pPr>
        <w:pStyle w:val="BodyText"/>
        <w:spacing w:before="100" w:after="100"/>
      </w:pPr>
      <w:r w:rsidRPr="00BD16B4">
        <w:t xml:space="preserve">Extreme weather events, such as storms, heat waves and heavy rainfall, are likely to be more frequent and intense. Tropical cyclones are likely to have increased wind intensity and rain rates, and to be stronger and cause more damage. Drought severity is projected to increase in most areas of the country, except for Taranaki-Manawatu, West Coast and Southland. </w:t>
      </w:r>
    </w:p>
    <w:p w14:paraId="6FDA6D41" w14:textId="618A5BA4" w:rsidR="00FD1D4D" w:rsidRPr="00BD16B4" w:rsidRDefault="00FD1D4D" w:rsidP="0011037B">
      <w:pPr>
        <w:pStyle w:val="Heading2"/>
        <w:numPr>
          <w:ilvl w:val="0"/>
          <w:numId w:val="16"/>
        </w:numPr>
        <w:spacing w:before="320"/>
      </w:pPr>
      <w:bookmarkStart w:id="43" w:name="_Toc497740364"/>
      <w:bookmarkStart w:id="44" w:name="_Toc500796130"/>
      <w:bookmarkStart w:id="45" w:name="_Toc121774619"/>
      <w:r w:rsidRPr="00BD16B4">
        <w:t>Government structure</w:t>
      </w:r>
      <w:bookmarkEnd w:id="43"/>
      <w:bookmarkEnd w:id="44"/>
      <w:bookmarkEnd w:id="45"/>
    </w:p>
    <w:p w14:paraId="299E4343" w14:textId="77777777" w:rsidR="00FD1D4D" w:rsidRPr="00BD16B4" w:rsidRDefault="00FD1D4D" w:rsidP="00FD1D4D">
      <w:pPr>
        <w:pStyle w:val="Heading3"/>
        <w:spacing w:before="240"/>
      </w:pPr>
      <w:r w:rsidRPr="00BD16B4">
        <w:t xml:space="preserve">2.4.1 </w:t>
      </w:r>
      <w:r w:rsidRPr="00BD16B4">
        <w:tab/>
        <w:t>Te Tiriti o Waitangi – New Zealand’s founding document</w:t>
      </w:r>
    </w:p>
    <w:p w14:paraId="37873A6E" w14:textId="77777777" w:rsidR="00FD1D4D" w:rsidRPr="00BD16B4" w:rsidRDefault="00FD1D4D" w:rsidP="00FD1D4D">
      <w:pPr>
        <w:pStyle w:val="BodyText"/>
        <w:spacing w:after="100"/>
        <w:rPr>
          <w:rFonts w:eastAsiaTheme="minorHAnsi"/>
          <w:lang w:eastAsia="en-GB"/>
        </w:rPr>
      </w:pPr>
      <w:r w:rsidRPr="00BD16B4">
        <w:rPr>
          <w:lang w:eastAsia="en-GB"/>
        </w:rPr>
        <w:t xml:space="preserve">Aotearoa New Zealand is founded on a partnership between the Crown and indigenous New Zealanders, Māori, through Te Tiriti o Waitangi (the Treaty of Waitangi) signed in 1840. It establishes the principles of the relationship between Crown and Māori: partnership, participation and protection. </w:t>
      </w:r>
    </w:p>
    <w:p w14:paraId="59D966AD" w14:textId="77777777" w:rsidR="00FD1D4D" w:rsidRPr="00BD16B4" w:rsidRDefault="00FD1D4D" w:rsidP="00FD1D4D">
      <w:pPr>
        <w:pStyle w:val="BodyText"/>
        <w:spacing w:after="100"/>
        <w:rPr>
          <w:lang w:eastAsia="en-GB"/>
        </w:rPr>
      </w:pPr>
      <w:r w:rsidRPr="00BD16B4">
        <w:rPr>
          <w:lang w:eastAsia="en-GB"/>
        </w:rPr>
        <w:t>The climate change legislation administered by the Ministry for the Environment contains clauses requiring the Crown to take into account the principles of Te Tiriti. Te Tiriti o Waitangi has significant implications for climate change policy because the Crown has a duty to actively protect Māori lands, estates, forests, fisheries and other taonga (treasures), and must enable Māori to protect these taonga.</w:t>
      </w:r>
      <w:r w:rsidRPr="00BD16B4">
        <w:rPr>
          <w:rStyle w:val="FootnoteReference"/>
          <w:lang w:eastAsia="en-GB"/>
        </w:rPr>
        <w:footnoteReference w:id="36"/>
      </w:r>
      <w:r w:rsidRPr="00BD16B4">
        <w:rPr>
          <w:lang w:eastAsia="en-GB"/>
        </w:rPr>
        <w:t xml:space="preserve"> </w:t>
      </w:r>
    </w:p>
    <w:p w14:paraId="0444D717" w14:textId="77777777" w:rsidR="00FD1D4D" w:rsidRPr="00BD16B4" w:rsidRDefault="00FD1D4D" w:rsidP="00FD1D4D">
      <w:pPr>
        <w:pStyle w:val="BodyText"/>
        <w:spacing w:after="100"/>
      </w:pPr>
      <w:r w:rsidRPr="00BD16B4">
        <w:rPr>
          <w:lang w:eastAsia="en-GB"/>
        </w:rPr>
        <w:t>In 1989 the Crown established the Office of Treaty Settlements (now Te Kāhui Whakatau within</w:t>
      </w:r>
      <w:r w:rsidRPr="00BD16B4">
        <w:rPr>
          <w:rFonts w:eastAsia="MS Mincho" w:cs="Arial"/>
        </w:rPr>
        <w:t xml:space="preserve"> The Office for Māori Crown Relations –</w:t>
      </w:r>
      <w:r w:rsidRPr="00BD16B4">
        <w:rPr>
          <w:lang w:eastAsia="en-GB"/>
        </w:rPr>
        <w:t xml:space="preserve"> Te Arawhiti). </w:t>
      </w:r>
      <w:r w:rsidRPr="00BD16B4">
        <w:t>Treaty settlements are intended to address the historical grievances of iwi and hapū groups that resulted from the Crown’s breaches of Te Tiriti o Waitangi.</w:t>
      </w:r>
      <w:r w:rsidRPr="00BD16B4">
        <w:rPr>
          <w:rStyle w:val="FootnoteReference"/>
        </w:rPr>
        <w:footnoteReference w:id="37"/>
      </w:r>
      <w:r w:rsidRPr="00BD16B4">
        <w:t xml:space="preserve"> Enacted settlements establish legal rights and obligations that the Crown must be aware of when developing new policy to ensure it does not </w:t>
      </w:r>
      <w:r w:rsidRPr="00BD16B4">
        <w:lastRenderedPageBreak/>
        <w:t>inadvertently breach these rights. Policies that do not consider Treaty settlements have the potential to undermine the relationship between settled groups and the Crown.</w:t>
      </w:r>
    </w:p>
    <w:p w14:paraId="5FFC3178" w14:textId="77777777" w:rsidR="00FD1D4D" w:rsidRPr="00BD16B4" w:rsidRDefault="00FD1D4D" w:rsidP="00FD1D4D">
      <w:pPr>
        <w:pStyle w:val="BodyText"/>
        <w:spacing w:after="100"/>
        <w:rPr>
          <w:lang w:eastAsia="en-GB"/>
        </w:rPr>
      </w:pPr>
      <w:r w:rsidRPr="00BD16B4">
        <w:t xml:space="preserve">Climate change will affect Māori as tangata whenua (people of the land) and kaitiaki (guardians) of their ancestral and cultural landscape. Certain whānau, hapū and iwi will be disproportionately affected, as will Māori interests, values, practices and wellbeing. Many Māori communities are located in rural and remote locations, and are particularly vulnerable to the effects of climate change on their homes, infrastructure and sites of cultural significance to Māori – including marae (courtyard), </w:t>
      </w:r>
      <w:bookmarkStart w:id="46" w:name="_Hlk117069041"/>
      <w:r w:rsidRPr="00BD16B4">
        <w:t>urupā (burial grounds), w</w:t>
      </w:r>
      <w:r w:rsidRPr="00BD16B4">
        <w:rPr>
          <w:rFonts w:cs="Calibri"/>
        </w:rPr>
        <w:t>ā</w:t>
      </w:r>
      <w:r w:rsidRPr="00BD16B4">
        <w:t>hi tapu (sacred sites</w:t>
      </w:r>
      <w:bookmarkEnd w:id="46"/>
      <w:r w:rsidRPr="00BD16B4">
        <w:t xml:space="preserve">) and mahinga kai (food-gathering places). </w:t>
      </w:r>
    </w:p>
    <w:p w14:paraId="6902B78F" w14:textId="77777777" w:rsidR="00FD1D4D" w:rsidRPr="00BD16B4" w:rsidRDefault="00FD1D4D" w:rsidP="00FD1D4D">
      <w:pPr>
        <w:pStyle w:val="BodyText"/>
        <w:spacing w:after="100"/>
        <w:rPr>
          <w:lang w:eastAsia="en-GB"/>
        </w:rPr>
      </w:pPr>
      <w:r w:rsidRPr="00BD16B4">
        <w:t xml:space="preserve">In keeping with the principles of Te Tiriti o Waitangi, the Government and Māori will together </w:t>
      </w:r>
      <w:r w:rsidRPr="00BD16B4">
        <w:rPr>
          <w:spacing w:val="-2"/>
        </w:rPr>
        <w:t>need to make climate change decisions in a way that balances</w:t>
      </w:r>
      <w:bookmarkStart w:id="47" w:name="_Hlk117071858"/>
      <w:r w:rsidRPr="00BD16B4">
        <w:rPr>
          <w:spacing w:val="-2"/>
        </w:rPr>
        <w:t xml:space="preserve"> kāwanatanga (the Government’s</w:t>
      </w:r>
      <w:r w:rsidRPr="00BD16B4">
        <w:t xml:space="preserve"> right to govern) with rangatiratanga (the Māori right to make decisions for Māori)</w:t>
      </w:r>
      <w:bookmarkEnd w:id="47"/>
      <w:r w:rsidRPr="00BD16B4">
        <w:t>.</w:t>
      </w:r>
    </w:p>
    <w:p w14:paraId="2848E987" w14:textId="0F6D1034" w:rsidR="00FD1D4D" w:rsidRPr="00BD16B4" w:rsidRDefault="00FD1D4D" w:rsidP="00FD1D4D">
      <w:pPr>
        <w:pStyle w:val="Heading3"/>
        <w:spacing w:before="320"/>
      </w:pPr>
      <w:r w:rsidRPr="00BD16B4">
        <w:t>2.4.2</w:t>
      </w:r>
      <w:r w:rsidR="008430D1" w:rsidRPr="00BD16B4">
        <w:t xml:space="preserve"> </w:t>
      </w:r>
      <w:r w:rsidRPr="00BD16B4">
        <w:tab/>
        <w:t>Central government</w:t>
      </w:r>
    </w:p>
    <w:p w14:paraId="1033AE32" w14:textId="072F31E9" w:rsidR="00FD1D4D" w:rsidRPr="00BD16B4" w:rsidRDefault="00FD1D4D" w:rsidP="00FD1D4D">
      <w:pPr>
        <w:pStyle w:val="BodyText"/>
        <w:spacing w:before="100" w:after="100"/>
        <w:rPr>
          <w:lang w:eastAsia="en-GB"/>
        </w:rPr>
      </w:pPr>
      <w:r w:rsidRPr="00BD16B4">
        <w:rPr>
          <w:lang w:eastAsia="en-GB"/>
        </w:rPr>
        <w:t>New Zealand’s central government is formed from a democratically elected House of Representatives. The Government advises New Zealand’s head of state, King Charles III (the</w:t>
      </w:r>
      <w:r w:rsidR="006502A2" w:rsidRPr="00BD16B4">
        <w:rPr>
          <w:lang w:eastAsia="en-GB"/>
        </w:rPr>
        <w:t> </w:t>
      </w:r>
      <w:r w:rsidRPr="00BD16B4">
        <w:rPr>
          <w:lang w:eastAsia="en-GB"/>
        </w:rPr>
        <w:t>Sovereign). The King is the source of all executive legal authority in New Zealand but acts</w:t>
      </w:r>
      <w:r w:rsidR="006502A2" w:rsidRPr="00BD16B4">
        <w:rPr>
          <w:lang w:eastAsia="en-GB"/>
        </w:rPr>
        <w:t> </w:t>
      </w:r>
      <w:r w:rsidRPr="00BD16B4">
        <w:rPr>
          <w:lang w:eastAsia="en-GB"/>
        </w:rPr>
        <w:t>on the advice of the Government in all but the most exceptional circumstances. This system is known as a constitutional monarchy. The King is represented in New Zealand by a Governor-General, currently</w:t>
      </w:r>
      <w:r w:rsidRPr="00BD16B4">
        <w:t xml:space="preserve"> </w:t>
      </w:r>
      <w:r w:rsidRPr="00BD16B4">
        <w:rPr>
          <w:lang w:eastAsia="en-GB"/>
        </w:rPr>
        <w:t>Her Excellency The Right Honourable Dame Cindy Kiro.</w:t>
      </w:r>
      <w:r w:rsidRPr="00BD16B4">
        <w:rPr>
          <w:rStyle w:val="FootnoteReference"/>
        </w:rPr>
        <w:footnoteReference w:id="38"/>
      </w:r>
      <w:r w:rsidRPr="00BD16B4">
        <w:rPr>
          <w:lang w:eastAsia="en-GB"/>
        </w:rPr>
        <w:t xml:space="preserve"> The Governor-General carries out the King’s constitutional and ceremonial duties. </w:t>
      </w:r>
    </w:p>
    <w:p w14:paraId="29AE78F3" w14:textId="77777777" w:rsidR="00FD1D4D" w:rsidRPr="00BD16B4" w:rsidRDefault="00FD1D4D" w:rsidP="00FD1D4D">
      <w:pPr>
        <w:pStyle w:val="BodyText"/>
        <w:spacing w:before="100" w:after="100"/>
        <w:rPr>
          <w:lang w:eastAsia="en-GB"/>
        </w:rPr>
      </w:pPr>
      <w:r w:rsidRPr="00BD16B4">
        <w:rPr>
          <w:lang w:eastAsia="en-GB"/>
        </w:rPr>
        <w:t xml:space="preserve">In New Zealand, the meaning of ‘the Crown’ differs depending on context, but generally refers to the Government as the successor of the British Crown and Queen Victoria, who was party to Te Tiriti o Waitangi. After becoming a British colony in 1840, New Zealand gradually gained independence. A ‘Crown entity’ is an organisation that is part of the state sector and operates with some independence from the Government. Government Ministers oversee Crown entities within their portfolio, but a board governs a Crown entity’s operations. </w:t>
      </w:r>
    </w:p>
    <w:p w14:paraId="2562D261" w14:textId="77777777" w:rsidR="00FD1D4D" w:rsidRPr="00BD16B4" w:rsidRDefault="00FD1D4D" w:rsidP="00FD1D4D">
      <w:pPr>
        <w:pStyle w:val="BodyText"/>
        <w:spacing w:before="100" w:after="100"/>
        <w:rPr>
          <w:lang w:eastAsia="en-GB"/>
        </w:rPr>
      </w:pPr>
      <w:r w:rsidRPr="00BD16B4">
        <w:rPr>
          <w:lang w:eastAsia="en-GB"/>
        </w:rPr>
        <w:t>Parliament consists of the House of Representatives and the Sovereign. The principal functions of Parliament are to enact laws and to hold the Government to account over its policies, actions and spending. Since 1996 members of Parliament have been elected using a mixed member proportional representation system. There are five parliamentary parties in the current 53rd Parliament.</w:t>
      </w:r>
      <w:r w:rsidRPr="00BD16B4">
        <w:rPr>
          <w:rStyle w:val="FootnoteReference"/>
        </w:rPr>
        <w:footnoteReference w:id="39"/>
      </w:r>
    </w:p>
    <w:p w14:paraId="5B2D8D62" w14:textId="77777777" w:rsidR="00FD1D4D" w:rsidRPr="00BD16B4" w:rsidRDefault="00FD1D4D" w:rsidP="00FD1D4D">
      <w:pPr>
        <w:pStyle w:val="Heading3"/>
        <w:spacing w:before="240"/>
      </w:pPr>
      <w:r w:rsidRPr="00BD16B4">
        <w:t xml:space="preserve">2.4.3 </w:t>
      </w:r>
      <w:r w:rsidRPr="00BD16B4">
        <w:rPr>
          <w:lang w:eastAsia="en-GB"/>
        </w:rPr>
        <w:tab/>
        <w:t>Central government roles and responsibilities in relation to climate change</w:t>
      </w:r>
    </w:p>
    <w:p w14:paraId="7B9F5F23" w14:textId="77777777" w:rsidR="00202853" w:rsidRPr="00BD16B4" w:rsidRDefault="00202853" w:rsidP="004E1B8C">
      <w:pPr>
        <w:pStyle w:val="Heading4"/>
        <w:rPr>
          <w:rFonts w:eastAsia="Calibri"/>
        </w:rPr>
      </w:pPr>
      <w:r w:rsidRPr="00BD16B4">
        <w:rPr>
          <w:rFonts w:eastAsia="Calibri"/>
        </w:rPr>
        <w:t>Central government agencies</w:t>
      </w:r>
    </w:p>
    <w:p w14:paraId="2C11B33C" w14:textId="77777777" w:rsidR="00202853" w:rsidRPr="00BD16B4" w:rsidRDefault="00202853" w:rsidP="00202853">
      <w:pPr>
        <w:pStyle w:val="BodyText"/>
      </w:pPr>
      <w:r w:rsidRPr="00BD16B4">
        <w:rPr>
          <w:rFonts w:eastAsia="Calibri"/>
        </w:rPr>
        <w:t>The</w:t>
      </w:r>
      <w:r w:rsidRPr="00BD16B4">
        <w:rPr>
          <w:rFonts w:eastAsia="Calibri"/>
          <w:b/>
        </w:rPr>
        <w:t xml:space="preserve"> Ministry for the Environment (MfE)</w:t>
      </w:r>
      <w:r w:rsidRPr="00BD16B4">
        <w:rPr>
          <w:rFonts w:eastAsia="Calibri"/>
        </w:rPr>
        <w:t xml:space="preserve"> was established under the Environment Act 1986 and is the </w:t>
      </w:r>
      <w:r w:rsidRPr="00BD16B4">
        <w:t>New Zealand Government’s primary advisor on the environment,</w:t>
      </w:r>
      <w:r w:rsidRPr="00BD16B4">
        <w:rPr>
          <w:b/>
        </w:rPr>
        <w:t xml:space="preserve"> </w:t>
      </w:r>
      <w:r w:rsidRPr="00BD16B4">
        <w:t>including on global challenges affecting the environment and climate change. In relation to climate change, MfE’s key roles include:</w:t>
      </w:r>
      <w:r w:rsidRPr="00BD16B4" w:rsidDel="00FE4D81">
        <w:t xml:space="preserve"> </w:t>
      </w:r>
      <w:r w:rsidRPr="00BD16B4">
        <w:t xml:space="preserve">advising the Government on the New Zealand Emissions Trading Scheme (NZ ETS) and the development of regulations under the scheme, </w:t>
      </w:r>
      <w:r w:rsidRPr="00BD16B4" w:rsidDel="006C4D5F">
        <w:t xml:space="preserve">administering </w:t>
      </w:r>
      <w:r w:rsidRPr="00BD16B4">
        <w:t xml:space="preserve">the Waste </w:t>
      </w:r>
      <w:r w:rsidRPr="00BD16B4">
        <w:lastRenderedPageBreak/>
        <w:t xml:space="preserve">Minimisation Act 2008 and advising on </w:t>
      </w:r>
      <w:bookmarkStart w:id="48" w:name="_Hlk113954720"/>
      <w:r w:rsidRPr="00BD16B4">
        <w:t>waste management and minimisation, implementing several schemes to reduce fluorinated gases; monitoring the implementation and setting out national direction under the Resource Management Act 1991 (RMA); participating in He Waka Eke Noa – the Primary Sector Climate Action Partnership (He Waka Eke Noa) and providing advice on an agricultural emissions pricing mechanism jointly with the Ministry for Primary Industries;</w:t>
      </w:r>
      <w:bookmarkEnd w:id="48"/>
      <w:r w:rsidRPr="00BD16B4">
        <w:t xml:space="preserve"> and international negotiations and reporting under the United Nations Framework Convention on Climate Change</w:t>
      </w:r>
      <w:r w:rsidRPr="00BD16B4">
        <w:rPr>
          <w:lang w:eastAsia="en-GB"/>
        </w:rPr>
        <w:t xml:space="preserve"> (</w:t>
      </w:r>
      <w:r w:rsidRPr="00BD16B4">
        <w:t xml:space="preserve">UNFCCC) and the Kyoto Protocol. </w:t>
      </w:r>
    </w:p>
    <w:p w14:paraId="3E15BF77" w14:textId="4285D421" w:rsidR="00202853" w:rsidRPr="00BD16B4" w:rsidRDefault="005B7FA0" w:rsidP="00202853">
      <w:pPr>
        <w:pStyle w:val="BodyText"/>
        <w:rPr>
          <w:rFonts w:eastAsiaTheme="minorHAnsi"/>
        </w:rPr>
      </w:pPr>
      <w:r w:rsidRPr="00BD16B4">
        <w:rPr>
          <w:rFonts w:eastAsiaTheme="minorHAnsi"/>
        </w:rPr>
        <w:t xml:space="preserve">MfE supports the Minister of Climate Change’s duties to set emissions budgets, prepare and publish emissions reduction plans and national adaptation plans. </w:t>
      </w:r>
      <w:r w:rsidR="00202853" w:rsidRPr="00BD16B4">
        <w:rPr>
          <w:rFonts w:eastAsiaTheme="minorHAnsi"/>
        </w:rPr>
        <w:t>MfE advises the Government more broadly on mitigation measures, the impacts of climate change on New Zealand, and New Zealand’s response to these. MfE is also responsible for coordinating climate change policy across government.</w:t>
      </w:r>
    </w:p>
    <w:p w14:paraId="635F1AAF" w14:textId="77777777" w:rsidR="00202853" w:rsidRPr="00BD16B4" w:rsidRDefault="00202853" w:rsidP="00202853">
      <w:pPr>
        <w:pStyle w:val="BodyText"/>
        <w:rPr>
          <w:rFonts w:eastAsia="Calibri"/>
        </w:rPr>
      </w:pPr>
      <w:r w:rsidRPr="00BD16B4">
        <w:t>The</w:t>
      </w:r>
      <w:r w:rsidRPr="00BD16B4">
        <w:rPr>
          <w:b/>
          <w:bCs/>
        </w:rPr>
        <w:t> Department of Conservation (DOC)</w:t>
      </w:r>
      <w:r w:rsidRPr="00BD16B4">
        <w:rPr>
          <w:i/>
          <w:iCs/>
        </w:rPr>
        <w:t> </w:t>
      </w:r>
      <w:r w:rsidRPr="00BD16B4">
        <w:t>manages public conservation land, which includes national parks and reserves, and has responsibilities for wildlife. DOC provides policy advice for protecting and enhancing native carbon sequestration and on climate change issues, including planning for adaptation measures where they relate to and intersect with conservation issues. DOC supports the Minister of Conservation’s role in sustainable coastal management under the RMA, which includes preparing a New Zealand Coastal Policy Statement to set national priorities for the coastal environment.</w:t>
      </w:r>
    </w:p>
    <w:p w14:paraId="528F9F56" w14:textId="77777777" w:rsidR="00202853" w:rsidRPr="00BD16B4" w:rsidRDefault="00202853" w:rsidP="00202853">
      <w:pPr>
        <w:pStyle w:val="BodyText"/>
      </w:pPr>
      <w:r w:rsidRPr="00BD16B4">
        <w:t>The</w:t>
      </w:r>
      <w:r w:rsidRPr="00BD16B4">
        <w:rPr>
          <w:b/>
          <w:bCs/>
        </w:rPr>
        <w:t xml:space="preserve"> Department of Internal Affairs (DIA)</w:t>
      </w:r>
      <w:r w:rsidRPr="00BD16B4">
        <w:t xml:space="preserve"> leads the central government’s relationship with local government in New Zealand. DIA’s community resilience programme was established in 2018 to look at how central government could better work with local government to address </w:t>
      </w:r>
      <w:r w:rsidRPr="00BD16B4">
        <w:rPr>
          <w:spacing w:val="-2"/>
        </w:rPr>
        <w:t>the challenges of reducing natural hazard risks and adapting to climate change. The programme</w:t>
      </w:r>
      <w:r w:rsidRPr="00BD16B4">
        <w:t xml:space="preserve"> focuses on shifting the system from disaster response towards a more proactive risk response before disasters occur. The community resilience programme partners with local government and other central government agencies to ensure policy levers, regulatory frameworks and tools support natural hazard risk reduction and climate change adaptation objectives.</w:t>
      </w:r>
    </w:p>
    <w:p w14:paraId="6AE0986E" w14:textId="77777777" w:rsidR="00202853" w:rsidRPr="00BD16B4" w:rsidRDefault="00202853" w:rsidP="00202853">
      <w:pPr>
        <w:pStyle w:val="BodyText"/>
      </w:pPr>
      <w:r w:rsidRPr="00BD16B4">
        <w:rPr>
          <w:bCs/>
        </w:rPr>
        <w:t>The</w:t>
      </w:r>
      <w:r w:rsidRPr="00BD16B4">
        <w:rPr>
          <w:b/>
        </w:rPr>
        <w:t xml:space="preserve"> Energy Efficiency and Conservation Authority (EECA)</w:t>
      </w:r>
      <w:r w:rsidRPr="00BD16B4">
        <w:t xml:space="preserve"> is the primary government agency responsible for encouraging energy efficiency in homes and businesses and the uptake of renewable energy. EECA provides information, resources and tools, regulates the energy performance of appliances and equipment, and runs co-investment and other programmes in various sectors. EECA’s goal is for Aotearoa New Zealand to have a sustainable energy system that supports the prosperity and wellbeing of current and future generations. </w:t>
      </w:r>
    </w:p>
    <w:p w14:paraId="4544AD45" w14:textId="6D5DFD2A" w:rsidR="00202853" w:rsidRPr="00BD16B4" w:rsidRDefault="00202853" w:rsidP="00202853">
      <w:pPr>
        <w:pStyle w:val="BodyText"/>
      </w:pPr>
      <w:r w:rsidRPr="00BD16B4">
        <w:t>The</w:t>
      </w:r>
      <w:r w:rsidRPr="00BD16B4">
        <w:rPr>
          <w:b/>
          <w:bCs/>
        </w:rPr>
        <w:t xml:space="preserve"> Environmental Protection Authority </w:t>
      </w:r>
      <w:r w:rsidR="0045156F" w:rsidRPr="00BD16B4">
        <w:rPr>
          <w:b/>
          <w:bCs/>
        </w:rPr>
        <w:t xml:space="preserve">– Te Mana Rauhī Taiao </w:t>
      </w:r>
      <w:r w:rsidRPr="00BD16B4">
        <w:rPr>
          <w:b/>
          <w:bCs/>
        </w:rPr>
        <w:t xml:space="preserve">(EPA) </w:t>
      </w:r>
      <w:r w:rsidRPr="00BD16B4">
        <w:t>is the government agency responsible for regulatory functions concerning New Zealand’s environmental management. The EPA is responsible for the operation of the New Zealand Emissions Trading Register and the administration of all the non-forestry sectors in the NZ ETS.</w:t>
      </w:r>
      <w:r w:rsidRPr="00BD16B4">
        <w:rPr>
          <w:rStyle w:val="FootnoteReference"/>
          <w:b/>
          <w:bCs/>
        </w:rPr>
        <w:footnoteReference w:id="40"/>
      </w:r>
      <w:r w:rsidRPr="00BD16B4">
        <w:t xml:space="preserve"> This includes emissions reporting by NZ ETS participants and applications for industrial allocation under the</w:t>
      </w:r>
      <w:r w:rsidR="0045156F" w:rsidRPr="00BD16B4">
        <w:t> </w:t>
      </w:r>
      <w:r w:rsidRPr="00BD16B4">
        <w:t xml:space="preserve">NZ ETS. </w:t>
      </w:r>
    </w:p>
    <w:p w14:paraId="76B80CE6" w14:textId="77777777" w:rsidR="00202853" w:rsidRPr="00BD16B4" w:rsidRDefault="00202853" w:rsidP="00202853">
      <w:pPr>
        <w:pStyle w:val="BodyText"/>
        <w:rPr>
          <w:rFonts w:eastAsia="Calibri"/>
        </w:rPr>
      </w:pPr>
      <w:r w:rsidRPr="00BD16B4">
        <w:rPr>
          <w:rFonts w:eastAsia="Calibri"/>
        </w:rPr>
        <w:t>The</w:t>
      </w:r>
      <w:r w:rsidRPr="00BD16B4">
        <w:rPr>
          <w:rFonts w:eastAsia="Calibri"/>
          <w:b/>
          <w:bCs/>
        </w:rPr>
        <w:t xml:space="preserve"> Ministry of Business, Innovation and Employment’s </w:t>
      </w:r>
      <w:r w:rsidRPr="00BD16B4">
        <w:rPr>
          <w:rFonts w:asciiTheme="minorHAnsi" w:eastAsiaTheme="minorHAnsi" w:hAnsiTheme="minorHAnsi"/>
          <w:b/>
          <w:bCs/>
          <w:lang w:eastAsia="en-US"/>
        </w:rPr>
        <w:t>–</w:t>
      </w:r>
      <w:r w:rsidRPr="00BD16B4">
        <w:rPr>
          <w:rFonts w:eastAsia="Calibri"/>
          <w:b/>
          <w:bCs/>
        </w:rPr>
        <w:t xml:space="preserve"> Hīkina Whakatutuki’s (MBIE)</w:t>
      </w:r>
      <w:r w:rsidRPr="00BD16B4">
        <w:rPr>
          <w:rFonts w:eastAsia="Calibri"/>
        </w:rPr>
        <w:t xml:space="preserve"> overarching purpose is to “grow New Zealand for all”. It plays a central role in shaping and delivering a strong New Zealand economy, with a focus on shifting New Zealand to a low-emissions, climate-resilient and high-wage economy.</w:t>
      </w:r>
    </w:p>
    <w:p w14:paraId="0DD3D5C9" w14:textId="77777777" w:rsidR="00202853" w:rsidRPr="00BD16B4" w:rsidRDefault="00202853" w:rsidP="00725B88">
      <w:pPr>
        <w:pStyle w:val="BodyText"/>
        <w:rPr>
          <w:rFonts w:eastAsia="Calibri"/>
        </w:rPr>
      </w:pPr>
      <w:r w:rsidRPr="00BD16B4">
        <w:rPr>
          <w:rFonts w:eastAsia="Calibri"/>
        </w:rPr>
        <w:lastRenderedPageBreak/>
        <w:t xml:space="preserve">MBIE’s responsibilities </w:t>
      </w:r>
      <w:r w:rsidRPr="00BD16B4">
        <w:t>include</w:t>
      </w:r>
      <w:r w:rsidRPr="00BD16B4">
        <w:rPr>
          <w:rFonts w:eastAsia="Calibri"/>
        </w:rPr>
        <w:t xml:space="preserve"> advising on economic strategy with the Treasury, energy policy, building and construction policy, science and innovation policy, research funding, economic and regional development, labour market policy and economic transitions policy. It is also involved in designing and delivering various regulatory systems, leadership for New Zealand Government property and procurement, and supporting business growth.</w:t>
      </w:r>
    </w:p>
    <w:p w14:paraId="12BD27CF" w14:textId="77777777" w:rsidR="00202853" w:rsidRPr="00BD16B4" w:rsidRDefault="00202853" w:rsidP="00202853">
      <w:pPr>
        <w:pStyle w:val="BodyText"/>
        <w:rPr>
          <w:rFonts w:asciiTheme="minorHAnsi" w:eastAsiaTheme="minorHAnsi" w:hAnsiTheme="minorHAnsi"/>
          <w:lang w:eastAsia="en-US"/>
        </w:rPr>
      </w:pPr>
      <w:r w:rsidRPr="00BD16B4">
        <w:rPr>
          <w:rFonts w:asciiTheme="minorHAnsi" w:eastAsiaTheme="minorHAnsi" w:hAnsiTheme="minorHAnsi"/>
          <w:lang w:eastAsia="en-US"/>
        </w:rPr>
        <w:t xml:space="preserve">The </w:t>
      </w:r>
      <w:r w:rsidRPr="00BD16B4">
        <w:rPr>
          <w:rFonts w:asciiTheme="minorHAnsi" w:eastAsiaTheme="minorHAnsi" w:hAnsiTheme="minorHAnsi"/>
          <w:b/>
          <w:bCs/>
          <w:lang w:eastAsia="en-US"/>
        </w:rPr>
        <w:t>Ministry of Foreign Affairs and Trade (MFAT)</w:t>
      </w:r>
      <w:r w:rsidRPr="00BD16B4">
        <w:rPr>
          <w:rFonts w:asciiTheme="minorHAnsi" w:eastAsiaTheme="minorHAnsi" w:hAnsiTheme="minorHAnsi"/>
          <w:lang w:eastAsia="en-US"/>
        </w:rPr>
        <w:t xml:space="preserve"> is responsible for leading New Zealand’s international climate change negotiations, and it coordinates inputs from experts from MfE, the Ministry for Primary Industries, the Treasury and other government agencies for this purpose. MFAT also delivers the majority of New Zealand’s climate-related support to other countries as part of our bilateral, regional and multilateral assistance managed through New Zealand’s International Development Cooperation programme.</w:t>
      </w:r>
    </w:p>
    <w:p w14:paraId="7DACF4FB" w14:textId="77777777" w:rsidR="00202853" w:rsidRPr="00BD16B4" w:rsidRDefault="00202853" w:rsidP="00202853">
      <w:pPr>
        <w:pStyle w:val="BodyText"/>
        <w:rPr>
          <w:rFonts w:asciiTheme="minorHAnsi" w:eastAsiaTheme="minorHAnsi" w:hAnsiTheme="minorHAnsi"/>
          <w:lang w:eastAsia="en-US"/>
        </w:rPr>
      </w:pPr>
      <w:r w:rsidRPr="00BD16B4">
        <w:rPr>
          <w:rFonts w:eastAsia="Calibri"/>
        </w:rPr>
        <w:t>The</w:t>
      </w:r>
      <w:r w:rsidRPr="00BD16B4">
        <w:rPr>
          <w:rFonts w:eastAsia="Calibri"/>
          <w:b/>
        </w:rPr>
        <w:t xml:space="preserve"> Ministry of Health (MOH)</w:t>
      </w:r>
      <w:r w:rsidRPr="00BD16B4">
        <w:rPr>
          <w:rFonts w:eastAsia="Calibri"/>
        </w:rPr>
        <w:t xml:space="preserve"> </w:t>
      </w:r>
      <w:r w:rsidRPr="00BD16B4">
        <w:rPr>
          <w:rFonts w:asciiTheme="minorHAnsi" w:eastAsiaTheme="minorHAnsi" w:hAnsiTheme="minorHAnsi"/>
          <w:lang w:eastAsia="en-US"/>
        </w:rPr>
        <w:t>is New Zealand’s principal advisor on health and disability. It works to improve, promote and protect the health of all New Zealanders, including by addressing the human health impacts of climate change.</w:t>
      </w:r>
    </w:p>
    <w:p w14:paraId="6F3F37A5" w14:textId="77777777" w:rsidR="00202853" w:rsidRPr="00BD16B4" w:rsidRDefault="00202853" w:rsidP="00202853">
      <w:pPr>
        <w:pStyle w:val="BodyText"/>
        <w:rPr>
          <w:rFonts w:asciiTheme="minorHAnsi" w:eastAsiaTheme="minorHAnsi" w:hAnsiTheme="minorHAnsi"/>
          <w:lang w:eastAsia="en-US"/>
        </w:rPr>
      </w:pPr>
      <w:r w:rsidRPr="00BD16B4">
        <w:rPr>
          <w:rFonts w:asciiTheme="minorHAnsi" w:eastAsiaTheme="minorHAnsi" w:hAnsiTheme="minorHAnsi"/>
          <w:b/>
          <w:bCs/>
          <w:lang w:eastAsia="en-US"/>
        </w:rPr>
        <w:t>Te Tūāpapa Kura Kāinga – the</w:t>
      </w:r>
      <w:r w:rsidRPr="00BD16B4">
        <w:rPr>
          <w:rFonts w:asciiTheme="minorHAnsi" w:eastAsiaTheme="minorHAnsi" w:hAnsiTheme="minorHAnsi"/>
          <w:lang w:eastAsia="en-US"/>
        </w:rPr>
        <w:t xml:space="preserve"> </w:t>
      </w:r>
      <w:r w:rsidRPr="00BD16B4">
        <w:rPr>
          <w:rFonts w:asciiTheme="minorHAnsi" w:eastAsiaTheme="minorHAnsi" w:hAnsiTheme="minorHAnsi"/>
          <w:b/>
          <w:bCs/>
          <w:lang w:eastAsia="en-US"/>
        </w:rPr>
        <w:t>Ministry of Housing and Urban Development (HUD)</w:t>
      </w:r>
      <w:r w:rsidRPr="00BD16B4">
        <w:rPr>
          <w:rFonts w:asciiTheme="minorHAnsi" w:eastAsiaTheme="minorHAnsi" w:hAnsiTheme="minorHAnsi"/>
          <w:lang w:eastAsia="en-US"/>
        </w:rPr>
        <w:t xml:space="preserve"> shapes the strategies and work programmes for housing and urban development in </w:t>
      </w:r>
      <w:r w:rsidRPr="00BD16B4" w:rsidDel="006055BF">
        <w:rPr>
          <w:rFonts w:asciiTheme="minorHAnsi" w:eastAsiaTheme="minorHAnsi" w:hAnsiTheme="minorHAnsi"/>
          <w:lang w:eastAsia="en-US"/>
        </w:rPr>
        <w:t xml:space="preserve">Aotearoa </w:t>
      </w:r>
      <w:r w:rsidRPr="00BD16B4">
        <w:rPr>
          <w:rFonts w:asciiTheme="minorHAnsi" w:eastAsiaTheme="minorHAnsi" w:hAnsiTheme="minorHAnsi"/>
          <w:lang w:eastAsia="en-US"/>
        </w:rPr>
        <w:t>New Zealand. HUD is responsible for developing climate change policy in relation to housing and urban development and has a key role in working with other agencies to ensure climate change policy is joined up across the system. </w:t>
      </w:r>
    </w:p>
    <w:p w14:paraId="67469586" w14:textId="77777777" w:rsidR="00202853" w:rsidRPr="00BD16B4" w:rsidRDefault="00202853" w:rsidP="00202853">
      <w:pPr>
        <w:pStyle w:val="BodyText"/>
        <w:rPr>
          <w:rFonts w:eastAsia="Calibri"/>
        </w:rPr>
      </w:pPr>
      <w:r w:rsidRPr="00BD16B4">
        <w:rPr>
          <w:rFonts w:asciiTheme="minorHAnsi" w:hAnsiTheme="minorHAnsi"/>
          <w:b/>
        </w:rPr>
        <w:t xml:space="preserve">Te Manatū Ahu Matua </w:t>
      </w:r>
      <w:r w:rsidRPr="00BD16B4">
        <w:rPr>
          <w:rFonts w:asciiTheme="minorHAnsi" w:eastAsiaTheme="minorHAnsi" w:hAnsiTheme="minorHAnsi"/>
          <w:b/>
          <w:bCs/>
          <w:lang w:eastAsia="en-US"/>
        </w:rPr>
        <w:t>–</w:t>
      </w:r>
      <w:r w:rsidRPr="00BD16B4">
        <w:rPr>
          <w:rFonts w:asciiTheme="minorHAnsi" w:hAnsiTheme="minorHAnsi"/>
          <w:b/>
        </w:rPr>
        <w:t xml:space="preserve"> the</w:t>
      </w:r>
      <w:r w:rsidRPr="00BD16B4">
        <w:rPr>
          <w:rFonts w:eastAsia="Calibri"/>
          <w:b/>
        </w:rPr>
        <w:t xml:space="preserve"> Ministry for Primary Industries (MPI)</w:t>
      </w:r>
      <w:r w:rsidRPr="00BD16B4">
        <w:rPr>
          <w:rFonts w:eastAsia="Calibri"/>
        </w:rPr>
        <w:t xml:space="preserve"> contributes to Government policy development for the primary sector, primarily forestry and agriculture. MPI has particular responsibility for the implementation of the NZ ETS in relation to forestry, and it administers other climate-relevant, forestry-related initiatives. MPI also provides advice on an agricultural emissions pricing mechanism jointly with MfE, including through participation in He Waka Eke Noa. MPI collects data on national annual greenhouse gas emissions for the agricultural and forestry sectors to support reporting and accounting under the UNFCCC, Kyoto Protocol and Paris Agreement. MPI also provides direct funding for some elements of climate change research (including for the national greenhouse gas inventory and mitigation practices </w:t>
      </w:r>
      <w:r w:rsidRPr="00BD16B4">
        <w:rPr>
          <w:rFonts w:eastAsia="Calibri"/>
          <w:spacing w:val="-2"/>
        </w:rPr>
        <w:t>and technologies) and sustainable farming. MPI hosts the Secretariat and Special Representativ</w:t>
      </w:r>
      <w:r w:rsidRPr="00BD16B4">
        <w:rPr>
          <w:rFonts w:eastAsia="Calibri"/>
        </w:rPr>
        <w:t>e of the Global Research Alliance on Agricultural Greenhouse Gases, supporting international agriculture mitigation science and capability building. It has a further role of extending research knowledge on climate change to farmers and foresters. In addition, it is responsible for maximising the sustainable use of fish stocks within environmental limits, including through research on climate change and its effects on the ocean environment, aquaculture and wild fish stocks.</w:t>
      </w:r>
    </w:p>
    <w:p w14:paraId="19E314C4" w14:textId="77777777" w:rsidR="00202853" w:rsidRPr="00BD16B4" w:rsidRDefault="00202853" w:rsidP="00202853">
      <w:pPr>
        <w:pStyle w:val="BodyText"/>
      </w:pPr>
      <w:r w:rsidRPr="00BD16B4">
        <w:rPr>
          <w:rFonts w:eastAsia="Calibri"/>
          <w:b/>
          <w:bCs/>
        </w:rPr>
        <w:t xml:space="preserve">The Ministry of Social Development (MSD) </w:t>
      </w:r>
      <w:r w:rsidRPr="00BD16B4">
        <w:t xml:space="preserve">helps New Zealanders to be safe, strong and independent. MSD is centred on helping people, whānau and communities, and contributing positively to the wellbeing of people today and into the future. </w:t>
      </w:r>
    </w:p>
    <w:p w14:paraId="37A069F0" w14:textId="77777777" w:rsidR="00202853" w:rsidRPr="00BD16B4" w:rsidRDefault="00202853" w:rsidP="00202853">
      <w:r w:rsidRPr="00BD16B4">
        <w:t xml:space="preserve">MSD’s core responsibilities include providing New Zealanders with: </w:t>
      </w:r>
    </w:p>
    <w:p w14:paraId="200CE1A6" w14:textId="77777777" w:rsidR="00202853" w:rsidRPr="00BD16B4" w:rsidRDefault="00202853" w:rsidP="00202853">
      <w:pPr>
        <w:pStyle w:val="Bullet"/>
      </w:pPr>
      <w:r w:rsidRPr="00BD16B4">
        <w:t xml:space="preserve">employment services </w:t>
      </w:r>
    </w:p>
    <w:p w14:paraId="29395F65" w14:textId="77777777" w:rsidR="00202853" w:rsidRPr="00BD16B4" w:rsidRDefault="00202853" w:rsidP="00202853">
      <w:pPr>
        <w:pStyle w:val="Bullet"/>
      </w:pPr>
      <w:r w:rsidRPr="00BD16B4">
        <w:t xml:space="preserve">income support </w:t>
      </w:r>
    </w:p>
    <w:p w14:paraId="190D611D" w14:textId="77777777" w:rsidR="00202853" w:rsidRPr="00BD16B4" w:rsidRDefault="00202853" w:rsidP="00202853">
      <w:pPr>
        <w:pStyle w:val="Bullet"/>
      </w:pPr>
      <w:r w:rsidRPr="00BD16B4">
        <w:t xml:space="preserve">housing services </w:t>
      </w:r>
    </w:p>
    <w:p w14:paraId="31534A96" w14:textId="77777777" w:rsidR="00202853" w:rsidRPr="00BD16B4" w:rsidRDefault="00202853" w:rsidP="00202853">
      <w:pPr>
        <w:pStyle w:val="Bullet"/>
      </w:pPr>
      <w:r w:rsidRPr="00BD16B4">
        <w:t xml:space="preserve">supporting communities. </w:t>
      </w:r>
    </w:p>
    <w:p w14:paraId="6361270B" w14:textId="77777777" w:rsidR="00202853" w:rsidRPr="00BD16B4" w:rsidRDefault="00202853" w:rsidP="00202853">
      <w:pPr>
        <w:pStyle w:val="BodyText"/>
      </w:pPr>
      <w:r w:rsidRPr="00BD16B4">
        <w:lastRenderedPageBreak/>
        <w:t xml:space="preserve">MSD also supports youth, students, people of working age and seniors through delivering a wide range of services and funding community providers. </w:t>
      </w:r>
    </w:p>
    <w:p w14:paraId="2123C6EF" w14:textId="77777777" w:rsidR="00202853" w:rsidRPr="00BD16B4" w:rsidRDefault="00202853" w:rsidP="00202853">
      <w:pPr>
        <w:pStyle w:val="BodyText"/>
        <w:rPr>
          <w:rFonts w:eastAsia="Calibri"/>
        </w:rPr>
      </w:pPr>
      <w:r w:rsidRPr="00BD16B4">
        <w:rPr>
          <w:rFonts w:eastAsia="Calibri"/>
          <w:b/>
        </w:rPr>
        <w:t xml:space="preserve">Te Manatū Waka </w:t>
      </w:r>
      <w:r w:rsidRPr="00BD16B4">
        <w:rPr>
          <w:rFonts w:asciiTheme="minorHAnsi" w:eastAsiaTheme="minorHAnsi" w:hAnsiTheme="minorHAnsi"/>
          <w:b/>
          <w:bCs/>
          <w:lang w:eastAsia="en-US"/>
        </w:rPr>
        <w:t xml:space="preserve">– </w:t>
      </w:r>
      <w:r w:rsidRPr="00BD16B4">
        <w:rPr>
          <w:rFonts w:eastAsia="Calibri"/>
          <w:b/>
        </w:rPr>
        <w:t xml:space="preserve">Ministry of Transport (TMW) </w:t>
      </w:r>
      <w:r w:rsidRPr="00BD16B4">
        <w:rPr>
          <w:rFonts w:eastAsia="Calibri"/>
        </w:rPr>
        <w:t xml:space="preserve">is the Government’s principal advisor on transport policy in New Zealand. It advises the Government on enhancing domestic transport efficiency. TMW is responsible for developing climate change policies specific to transport and it is the lead agency for the Clean Vehicles Programme, with Waka Kotahi administering it. </w:t>
      </w:r>
      <w:r w:rsidRPr="00BD16B4">
        <w:rPr>
          <w:rFonts w:eastAsia="Calibri"/>
          <w:spacing w:val="-2"/>
        </w:rPr>
        <w:t>TMW also works with other ministries, such as the Ministry of Housing and Urban Development</w:t>
      </w:r>
      <w:r w:rsidRPr="00BD16B4">
        <w:rPr>
          <w:rFonts w:eastAsia="Calibri"/>
        </w:rPr>
        <w:t xml:space="preserve">, to ensure joined-up approaches to addressing climate change. TMW also represents the New Zealand Government at international forums related to transport, such as the International Maritime Organization and the International Civil Aviation Organization. </w:t>
      </w:r>
    </w:p>
    <w:p w14:paraId="749394EA" w14:textId="77777777" w:rsidR="00202853" w:rsidRPr="00BD16B4" w:rsidRDefault="00202853" w:rsidP="00202853">
      <w:pPr>
        <w:pStyle w:val="BodyText"/>
        <w:rPr>
          <w:rFonts w:ascii="Arial" w:hAnsi="Arial" w:cs="Arial"/>
          <w:sz w:val="20"/>
          <w:szCs w:val="20"/>
        </w:rPr>
      </w:pPr>
      <w:r w:rsidRPr="00BD16B4">
        <w:rPr>
          <w:rFonts w:eastAsia="Calibri"/>
          <w:b/>
          <w:bCs/>
        </w:rPr>
        <w:t xml:space="preserve">The Treasury </w:t>
      </w:r>
      <w:r w:rsidRPr="00BD16B4">
        <w:rPr>
          <w:rFonts w:asciiTheme="minorHAnsi" w:eastAsiaTheme="minorHAnsi" w:hAnsiTheme="minorHAnsi"/>
          <w:b/>
          <w:bCs/>
          <w:lang w:eastAsia="en-US"/>
        </w:rPr>
        <w:t>–</w:t>
      </w:r>
      <w:r w:rsidRPr="00BD16B4">
        <w:rPr>
          <w:rFonts w:eastAsia="Calibri"/>
          <w:b/>
          <w:bCs/>
        </w:rPr>
        <w:t xml:space="preserve"> Te Tai Ōhanga</w:t>
      </w:r>
      <w:r w:rsidRPr="00BD16B4">
        <w:rPr>
          <w:rFonts w:eastAsia="Calibri"/>
        </w:rPr>
        <w:t xml:space="preserve"> is the Government’s lead economic and financial advisor and steward of the public sector financial management and regulatory systems. The Treasury provides advice to Ministers on the performance of companies and entities in which the Crown has full or partial ownership. The Treasury also monitors and appoints people to governance roles on these boards.</w:t>
      </w:r>
      <w:r w:rsidRPr="00BD16B4">
        <w:t xml:space="preserve"> </w:t>
      </w:r>
    </w:p>
    <w:p w14:paraId="5CC4C9E5" w14:textId="77777777" w:rsidR="00202853" w:rsidRPr="00BD16B4" w:rsidRDefault="00202853" w:rsidP="00202853">
      <w:pPr>
        <w:pStyle w:val="BodyText"/>
        <w:rPr>
          <w:rFonts w:eastAsia="Calibri"/>
        </w:rPr>
      </w:pPr>
      <w:r w:rsidRPr="00BD16B4">
        <w:rPr>
          <w:rFonts w:eastAsia="Calibri"/>
        </w:rPr>
        <w:t>The</w:t>
      </w:r>
      <w:r w:rsidRPr="00BD16B4">
        <w:rPr>
          <w:rFonts w:eastAsia="Calibri"/>
          <w:b/>
        </w:rPr>
        <w:t xml:space="preserve"> Waka Kotahi NZ Transport Agency (Waka Kotahi)</w:t>
      </w:r>
      <w:r w:rsidRPr="00BD16B4">
        <w:rPr>
          <w:rFonts w:eastAsia="Calibri"/>
        </w:rPr>
        <w:t xml:space="preserve"> is a Crown entity governed by a statutory board. Its primary objective on behalf of the Government is to contribute to an effective, efficient and safe land transport system in the public interest. Waka Kotahi’s main functions are to give effect to Government transport policy. It does this through regulating access to and use of the land transport system, including through the use of standards, vehicle and driver licensing; planning and overseeing delivery of the public transport system and the state highway system, and managing investment in the multi-modal land transport system alongside local government. </w:t>
      </w:r>
    </w:p>
    <w:p w14:paraId="71233FF6" w14:textId="77777777" w:rsidR="00FD1D4D" w:rsidRPr="00BD16B4" w:rsidRDefault="00FD1D4D" w:rsidP="004E1B8C">
      <w:pPr>
        <w:pStyle w:val="Heading4"/>
        <w:rPr>
          <w:lang w:eastAsia="en-GB"/>
        </w:rPr>
      </w:pPr>
      <w:r w:rsidRPr="00BD16B4">
        <w:rPr>
          <w:lang w:eastAsia="en-GB"/>
        </w:rPr>
        <w:t>Central government working groups</w:t>
      </w:r>
    </w:p>
    <w:p w14:paraId="42B45607" w14:textId="77777777" w:rsidR="00202853" w:rsidRPr="00BD16B4" w:rsidRDefault="00202853" w:rsidP="00202853">
      <w:pPr>
        <w:pStyle w:val="BodyText"/>
        <w:rPr>
          <w:rFonts w:eastAsia="Calibri"/>
        </w:rPr>
      </w:pPr>
      <w:r w:rsidRPr="00BD16B4">
        <w:rPr>
          <w:rFonts w:eastAsia="Calibri"/>
        </w:rPr>
        <w:t xml:space="preserve">The </w:t>
      </w:r>
      <w:r w:rsidRPr="00BD16B4">
        <w:rPr>
          <w:rFonts w:eastAsia="Calibri"/>
          <w:b/>
        </w:rPr>
        <w:t>Climate Change Chief Executives Board (the Board)</w:t>
      </w:r>
      <w:r w:rsidRPr="00BD16B4">
        <w:rPr>
          <w:rFonts w:eastAsia="Calibri"/>
        </w:rPr>
        <w:t xml:space="preserve"> is responsible to the Prime Minister and is made up of the chief executives of New Zealand government agencies with key roles in mitigating and/or adapting to climate change. The Board has been formalised as an interdepartmental executive board under the Public Service Act 2020.</w:t>
      </w:r>
    </w:p>
    <w:p w14:paraId="1B5514E0" w14:textId="77777777" w:rsidR="00202853" w:rsidRPr="00BD16B4" w:rsidRDefault="00202853" w:rsidP="00202853">
      <w:pPr>
        <w:pStyle w:val="BodyText"/>
        <w:rPr>
          <w:rFonts w:eastAsia="Calibri"/>
        </w:rPr>
      </w:pPr>
      <w:r w:rsidRPr="00BD16B4">
        <w:rPr>
          <w:rFonts w:eastAsia="Calibri"/>
        </w:rPr>
        <w:t xml:space="preserve">The </w:t>
      </w:r>
      <w:r w:rsidRPr="00BD16B4">
        <w:rPr>
          <w:rFonts w:eastAsia="Calibri"/>
          <w:b/>
        </w:rPr>
        <w:t>Climate Response Ministerial Group</w:t>
      </w:r>
      <w:r w:rsidRPr="00BD16B4">
        <w:rPr>
          <w:rFonts w:eastAsia="Calibri"/>
        </w:rPr>
        <w:t xml:space="preserve"> was established in 2020 and is chaired by the Prime Minister. This group meets regularly to progress and direct the climate change work programme, including the emissions budgets and sector sub-targets.</w:t>
      </w:r>
    </w:p>
    <w:p w14:paraId="2BD72168" w14:textId="77777777" w:rsidR="00FD1D4D" w:rsidRPr="00BD16B4" w:rsidRDefault="00FD1D4D" w:rsidP="0042209A">
      <w:pPr>
        <w:pStyle w:val="Heading3"/>
      </w:pPr>
      <w:r w:rsidRPr="00BD16B4">
        <w:t>2.4.4</w:t>
      </w:r>
      <w:r w:rsidRPr="00BD16B4">
        <w:tab/>
        <w:t>Local government</w:t>
      </w:r>
    </w:p>
    <w:p w14:paraId="772966B3" w14:textId="77777777" w:rsidR="00FD1D4D" w:rsidRPr="00BD16B4" w:rsidRDefault="00FD1D4D" w:rsidP="00FD1D4D">
      <w:pPr>
        <w:pStyle w:val="BodyText"/>
      </w:pPr>
      <w:r w:rsidRPr="00BD16B4">
        <w:t xml:space="preserve">New Zealand has 78 local authorities, comprising 11 regional councils, 61 territorial authorities </w:t>
      </w:r>
      <w:r w:rsidRPr="00BD16B4">
        <w:rPr>
          <w:spacing w:val="-2"/>
        </w:rPr>
        <w:t>and six unitary councils (which are territorial authorities with regional council responsibilities).</w:t>
      </w:r>
      <w:r w:rsidRPr="00BD16B4">
        <w:rPr>
          <w:rStyle w:val="FootnoteReference"/>
          <w:spacing w:val="-2"/>
        </w:rPr>
        <w:footnoteReference w:id="41"/>
      </w:r>
      <w:r w:rsidRPr="00BD16B4">
        <w:t xml:space="preserve"> Due to devolved decision-making, local authorities are largely independent of the central executive government. They have their own sources of income independent of central government, from council-owned enterprises and from taxes on land and property.</w:t>
      </w:r>
    </w:p>
    <w:p w14:paraId="19EFA34A" w14:textId="4C0A8BAB" w:rsidR="00F93953" w:rsidRPr="00BD16B4" w:rsidRDefault="00F93953" w:rsidP="00F93953">
      <w:pPr>
        <w:pStyle w:val="BodyText"/>
      </w:pPr>
      <w:r w:rsidRPr="00BD16B4">
        <w:rPr>
          <w:rFonts w:eastAsia="Calibri"/>
          <w:b/>
        </w:rPr>
        <w:t>Local government</w:t>
      </w:r>
      <w:r w:rsidRPr="00BD16B4">
        <w:rPr>
          <w:rFonts w:eastAsia="Calibri"/>
        </w:rPr>
        <w:t xml:space="preserve"> plays an important role in achieving a thriving, climate-resilient and low-emissions New Zealand. Local government makes decisions in many sectors, including land use</w:t>
      </w:r>
      <w:r w:rsidR="00725B88" w:rsidRPr="00BD16B4">
        <w:rPr>
          <w:rFonts w:eastAsia="Calibri"/>
        </w:rPr>
        <w:t> </w:t>
      </w:r>
      <w:r w:rsidRPr="00BD16B4">
        <w:rPr>
          <w:rFonts w:eastAsia="Calibri"/>
        </w:rPr>
        <w:t xml:space="preserve">planning, transport and waste management, that are relevant to climate mitigation and </w:t>
      </w:r>
      <w:r w:rsidRPr="00BD16B4">
        <w:rPr>
          <w:rFonts w:eastAsia="Calibri"/>
        </w:rPr>
        <w:lastRenderedPageBreak/>
        <w:t>adaptation. Local authorities are also the owners of a significant amount of assets (including infrastructure and forestry) at risk from the impacts of climate change.</w:t>
      </w:r>
      <w:r w:rsidRPr="00BD16B4">
        <w:t xml:space="preserve"> </w:t>
      </w:r>
    </w:p>
    <w:p w14:paraId="1957FDC4" w14:textId="77777777" w:rsidR="00F93953" w:rsidRPr="00BD16B4" w:rsidRDefault="00F93953" w:rsidP="00007DBB">
      <w:pPr>
        <w:pStyle w:val="BodyText"/>
        <w:spacing w:before="100" w:after="100" w:line="274" w:lineRule="atLeast"/>
        <w:rPr>
          <w:rFonts w:eastAsia="Calibri"/>
        </w:rPr>
      </w:pPr>
      <w:r w:rsidRPr="00BD16B4">
        <w:rPr>
          <w:rFonts w:eastAsia="Calibri"/>
        </w:rPr>
        <w:t>Local government has functions and responsibilities relating to managing natural hazard and climate change effects under the Local Government Act 2002, the Resource Management Act 1991 and other legislation. These include a requirement to plan for the future in terms of managing the effects of land use, avoiding and mitigating natural hazards, and having specific regard to the effects of climate change. In particular, regional councils have responsibility for: managing water, air and land resources where there are regionally significant management issues; biosecurity; natural hazards; emergencies; and regional land transport. For city and district councils, responsibilities include: land use planning; building control; emergency management; waste management and minimisation; and the provision of local infrastructure and community services.</w:t>
      </w:r>
    </w:p>
    <w:p w14:paraId="3284DBFC" w14:textId="16D780E6" w:rsidR="009B785C" w:rsidRPr="00BD16B4" w:rsidRDefault="009B785C" w:rsidP="00007DBB">
      <w:pPr>
        <w:pStyle w:val="Heading3"/>
        <w:spacing w:before="240"/>
        <w:rPr>
          <w:rFonts w:eastAsia="Calibri"/>
        </w:rPr>
      </w:pPr>
      <w:r w:rsidRPr="00BD16B4">
        <w:rPr>
          <w:rFonts w:eastAsia="Calibri"/>
        </w:rPr>
        <w:t>2.4.5</w:t>
      </w:r>
      <w:r w:rsidRPr="00BD16B4">
        <w:rPr>
          <w:rFonts w:eastAsia="Calibri"/>
        </w:rPr>
        <w:tab/>
        <w:t>Independent Crown entity</w:t>
      </w:r>
    </w:p>
    <w:p w14:paraId="2DF81C34" w14:textId="77777777" w:rsidR="009B785C" w:rsidRPr="00BD16B4" w:rsidRDefault="009B785C" w:rsidP="00007DBB">
      <w:pPr>
        <w:pStyle w:val="BodyText"/>
        <w:spacing w:before="100" w:after="100" w:line="270" w:lineRule="atLeast"/>
        <w:rPr>
          <w:rFonts w:eastAsia="Calibri"/>
        </w:rPr>
      </w:pPr>
      <w:r w:rsidRPr="00BD16B4">
        <w:rPr>
          <w:rFonts w:eastAsia="Calibri"/>
          <w:b/>
        </w:rPr>
        <w:t>He Pou a Rangi – Climate Change Commission</w:t>
      </w:r>
      <w:r w:rsidRPr="00BD16B4">
        <w:rPr>
          <w:rFonts w:eastAsia="Calibri"/>
        </w:rPr>
        <w:t xml:space="preserve"> is an independent Crown entity that delivers evidence-based advice to the Government to guide climate change action for New Zealand.</w:t>
      </w:r>
      <w:r w:rsidRPr="00BD16B4">
        <w:rPr>
          <w:rFonts w:eastAsia="Calibri"/>
          <w:b/>
        </w:rPr>
        <w:t xml:space="preserve"> </w:t>
      </w:r>
      <w:r w:rsidRPr="00BD16B4">
        <w:rPr>
          <w:rFonts w:eastAsia="Calibri"/>
          <w:bCs/>
        </w:rPr>
        <w:t xml:space="preserve">The Commission was established in 2019 </w:t>
      </w:r>
      <w:r w:rsidRPr="00BD16B4">
        <w:rPr>
          <w:rFonts w:eastAsia="Calibri"/>
        </w:rPr>
        <w:t>to:</w:t>
      </w:r>
    </w:p>
    <w:p w14:paraId="225EBF93" w14:textId="77777777" w:rsidR="009B785C" w:rsidRPr="00BD16B4" w:rsidRDefault="009B785C" w:rsidP="00007DBB">
      <w:pPr>
        <w:pStyle w:val="Bullet"/>
        <w:spacing w:after="100" w:line="270" w:lineRule="atLeast"/>
      </w:pPr>
      <w:r w:rsidRPr="00BD16B4">
        <w:t>provide independent advice to the Government on climate change mitigation and adaptation</w:t>
      </w:r>
    </w:p>
    <w:p w14:paraId="27E82539" w14:textId="77777777" w:rsidR="009B785C" w:rsidRPr="00BD16B4" w:rsidRDefault="009B785C" w:rsidP="00007DBB">
      <w:pPr>
        <w:pStyle w:val="Bullet"/>
        <w:spacing w:line="270" w:lineRule="atLeast"/>
      </w:pPr>
      <w:r w:rsidRPr="00BD16B4">
        <w:t xml:space="preserve">monitor and review the Government’s progress towards the meeting the emissions budgets and 2050 target, as well as the implementation of emissions reduction and national adaptation plans. </w:t>
      </w:r>
    </w:p>
    <w:p w14:paraId="41DDE93F" w14:textId="68D58CF7" w:rsidR="00FD1D4D" w:rsidRPr="00BD16B4" w:rsidRDefault="00FD1D4D" w:rsidP="00007DBB">
      <w:pPr>
        <w:pStyle w:val="Heading2"/>
        <w:numPr>
          <w:ilvl w:val="0"/>
          <w:numId w:val="16"/>
        </w:numPr>
        <w:spacing w:before="240"/>
        <w:ind w:left="0" w:firstLine="0"/>
      </w:pPr>
      <w:bookmarkStart w:id="49" w:name="_Toc497740365"/>
      <w:bookmarkStart w:id="50" w:name="_Toc500796131"/>
      <w:bookmarkStart w:id="51" w:name="_Toc121774620"/>
      <w:r w:rsidRPr="00BD16B4">
        <w:t>Buildings and urban structure</w:t>
      </w:r>
      <w:bookmarkEnd w:id="49"/>
      <w:bookmarkEnd w:id="50"/>
      <w:bookmarkEnd w:id="51"/>
    </w:p>
    <w:p w14:paraId="7949F2DF" w14:textId="3A82366A" w:rsidR="00FD1D4D" w:rsidRPr="00BD16B4" w:rsidRDefault="00FD1D4D" w:rsidP="00007DBB">
      <w:pPr>
        <w:pStyle w:val="BodyText"/>
        <w:spacing w:before="100" w:after="100"/>
      </w:pPr>
      <w:r w:rsidRPr="00BD16B4">
        <w:t>The 2018 Census recorded almost 1.7 million occupied dwellings (of which about 9600 were non-private dwellings) and approximately 191,600 unoccupied private dwellings.</w:t>
      </w:r>
      <w:r w:rsidRPr="00BD16B4">
        <w:rPr>
          <w:rStyle w:val="FootnoteReference"/>
        </w:rPr>
        <w:footnoteReference w:id="42"/>
      </w:r>
      <w:r w:rsidRPr="00BD16B4">
        <w:rPr>
          <w:vertAlign w:val="superscript"/>
        </w:rPr>
        <w:t xml:space="preserve">, </w:t>
      </w:r>
      <w:r w:rsidRPr="00BD16B4">
        <w:rPr>
          <w:rStyle w:val="FootnoteReference"/>
        </w:rPr>
        <w:footnoteReference w:id="43"/>
      </w:r>
      <w:r w:rsidRPr="00BD16B4">
        <w:t xml:space="preserve"> The majority (83.6 per cent)</w:t>
      </w:r>
      <w:r w:rsidRPr="00BD16B4" w:rsidDel="00F80695">
        <w:t xml:space="preserve"> </w:t>
      </w:r>
      <w:r w:rsidRPr="00BD16B4">
        <w:t>of occupied dwellings were separate houses, 15.1 per cent were two or more flats or apartments joined together, and the remaining 1.2 per cent were a mixture of other types of dwellings, including holiday homes, mobile homes and improvised dwellings.</w:t>
      </w:r>
      <w:r w:rsidRPr="00BD16B4">
        <w:rPr>
          <w:rStyle w:val="FootnoteReference"/>
        </w:rPr>
        <w:footnoteReference w:id="44"/>
      </w:r>
      <w:r w:rsidRPr="00BD16B4">
        <w:t xml:space="preserve"> The number of private dwellings was estimated to be 2.0 million at 30 June 2022.</w:t>
      </w:r>
      <w:r w:rsidRPr="00BD16B4">
        <w:rPr>
          <w:rStyle w:val="FootnoteReference"/>
        </w:rPr>
        <w:footnoteReference w:id="45"/>
      </w:r>
    </w:p>
    <w:p w14:paraId="24F73ED0" w14:textId="77777777" w:rsidR="00FD1D4D" w:rsidRPr="00BD16B4" w:rsidRDefault="00FD1D4D" w:rsidP="00007DBB">
      <w:pPr>
        <w:pStyle w:val="BodyText"/>
        <w:spacing w:before="100" w:after="100"/>
      </w:pPr>
      <w:r w:rsidRPr="00BD16B4">
        <w:t>At the time of the 2018 Census, Aotearoa New Zealand’s homeownership rates were at their lowest since the 1950s.</w:t>
      </w:r>
      <w:r w:rsidRPr="00BD16B4">
        <w:rPr>
          <w:rStyle w:val="FootnoteReference"/>
        </w:rPr>
        <w:footnoteReference w:id="46"/>
      </w:r>
      <w:r w:rsidRPr="00BD16B4">
        <w:t xml:space="preserve"> Homeownership peaked in the 1990s, at 73.8 per cent of households, but by 2018 it had decreased to 64.5 per cent of households. The proportion of households who rent their dwelling increased from 22.9 per cent in 1991 to 31.9 per cent in 2018.</w:t>
      </w:r>
      <w:r w:rsidRPr="00BD16B4">
        <w:rPr>
          <w:vertAlign w:val="superscript"/>
        </w:rPr>
        <w:t>33</w:t>
      </w:r>
      <w:r w:rsidRPr="00BD16B4">
        <w:t xml:space="preserve"> The 2018 Census showed a 16.5 per cent increase in the number of households renting since 2013 </w:t>
      </w:r>
      <w:r w:rsidRPr="00BD16B4">
        <w:lastRenderedPageBreak/>
        <w:t>(from 453,135 in 2013 to 527,853 in 2018). This apparent increase, however, may partly reflect improved data quality due to the use of administrative data.</w:t>
      </w:r>
      <w:r w:rsidRPr="00BD16B4">
        <w:rPr>
          <w:rStyle w:val="FootnoteReference"/>
        </w:rPr>
        <w:footnoteReference w:id="47"/>
      </w:r>
    </w:p>
    <w:p w14:paraId="3C317752" w14:textId="5C995139" w:rsidR="00FD1D4D" w:rsidRPr="00BD16B4" w:rsidRDefault="00FD1D4D" w:rsidP="0011037B">
      <w:pPr>
        <w:pStyle w:val="Heading2"/>
        <w:numPr>
          <w:ilvl w:val="0"/>
          <w:numId w:val="16"/>
        </w:numPr>
        <w:ind w:left="0" w:firstLine="0"/>
      </w:pPr>
      <w:bookmarkStart w:id="52" w:name="_Toc497740366"/>
      <w:bookmarkStart w:id="53" w:name="_Toc500796132"/>
      <w:bookmarkStart w:id="54" w:name="_Toc121774621"/>
      <w:r w:rsidRPr="00BD16B4">
        <w:t>Economy</w:t>
      </w:r>
      <w:bookmarkEnd w:id="52"/>
      <w:bookmarkEnd w:id="53"/>
      <w:r w:rsidRPr="00BD16B4">
        <w:t xml:space="preserve"> and industry</w:t>
      </w:r>
      <w:bookmarkEnd w:id="54"/>
    </w:p>
    <w:p w14:paraId="50BB62C0" w14:textId="77777777" w:rsidR="00FD1D4D" w:rsidRPr="00BD16B4" w:rsidRDefault="00FD1D4D" w:rsidP="00FD1D4D">
      <w:pPr>
        <w:pStyle w:val="BodyText"/>
        <w:rPr>
          <w:lang w:eastAsia="en-GB"/>
        </w:rPr>
      </w:pPr>
      <w:r w:rsidRPr="00BD16B4">
        <w:rPr>
          <w:lang w:eastAsia="en-GB"/>
        </w:rPr>
        <w:t>Aotearoa New Zealand has an export-dependent economy that operates on free market principles. In the year ended March 2020, nominal gross domestic product (GDP) was NZ$324.0 billion.</w:t>
      </w:r>
      <w:r w:rsidRPr="00BD16B4">
        <w:rPr>
          <w:rStyle w:val="FootnoteReference"/>
        </w:rPr>
        <w:footnoteReference w:id="48"/>
      </w:r>
      <w:r w:rsidRPr="00BD16B4">
        <w:rPr>
          <w:rFonts w:eastAsia="Calibri"/>
        </w:rPr>
        <w:t xml:space="preserve"> The economy has grown at an average annual rate of 2.8 per cent since 1990.</w:t>
      </w:r>
      <w:r w:rsidRPr="00BD16B4">
        <w:rPr>
          <w:rStyle w:val="FootnoteReference"/>
        </w:rPr>
        <w:footnoteReference w:id="49"/>
      </w:r>
      <w:r w:rsidRPr="00BD16B4">
        <w:rPr>
          <w:rFonts w:eastAsia="Calibri"/>
        </w:rPr>
        <w:t xml:space="preserve"> </w:t>
      </w:r>
    </w:p>
    <w:p w14:paraId="3FC8310C" w14:textId="77777777" w:rsidR="00FD1D4D" w:rsidRPr="00BD16B4" w:rsidRDefault="00FD1D4D" w:rsidP="00FD1D4D">
      <w:pPr>
        <w:pStyle w:val="BodyText"/>
        <w:rPr>
          <w:lang w:eastAsia="en-GB"/>
        </w:rPr>
      </w:pPr>
      <w:r w:rsidRPr="00BD16B4">
        <w:rPr>
          <w:rFonts w:asciiTheme="minorHAnsi" w:hAnsiTheme="minorHAnsi"/>
          <w:lang w:eastAsia="en-GB"/>
        </w:rPr>
        <w:t>The COVID-19 pandemic and associated responses have generated unprecedented changes in the measured GDP.</w:t>
      </w:r>
      <w:r w:rsidRPr="00BD16B4">
        <w:rPr>
          <w:rStyle w:val="FootnoteReference"/>
          <w:lang w:eastAsia="en-GB"/>
        </w:rPr>
        <w:footnoteReference w:id="50"/>
      </w:r>
      <w:r w:rsidRPr="00BD16B4">
        <w:rPr>
          <w:lang w:eastAsia="en-GB"/>
        </w:rPr>
        <w:t xml:space="preserve"> New Zealand went into a nationwide lockdown in March 2020, which significantly impacted economic activity in the June 2020 quarter with a large decline in GDP. As COVID-19 alert levels have lowered, economic activity experienced an historically large increase in the September 2020 quarter. A similar pattern was observed in the lockdown-affected September 2021 quarter and then the December 2021 quarter when restrictions were eased (figure 2.3). </w:t>
      </w:r>
    </w:p>
    <w:p w14:paraId="7E0E7644" w14:textId="335F75BC" w:rsidR="00FD1D4D" w:rsidRPr="00BD16B4" w:rsidRDefault="00FD1D4D" w:rsidP="00EC76A2">
      <w:pPr>
        <w:pStyle w:val="Figureheading"/>
      </w:pPr>
      <w:bookmarkStart w:id="55" w:name="_Toc121494369"/>
      <w:r w:rsidRPr="00BD16B4">
        <w:t>Figure 2.</w:t>
      </w:r>
      <w:r w:rsidR="00FC49D2">
        <w:fldChar w:fldCharType="begin"/>
      </w:r>
      <w:r w:rsidR="00FC49D2">
        <w:instrText xml:space="preserve"> SEQ Figure_2. \* ARABIC </w:instrText>
      </w:r>
      <w:r w:rsidR="00FC49D2">
        <w:fldChar w:fldCharType="separate"/>
      </w:r>
      <w:r w:rsidR="00A60C35">
        <w:rPr>
          <w:noProof/>
        </w:rPr>
        <w:t>3</w:t>
      </w:r>
      <w:r w:rsidR="00FC49D2">
        <w:rPr>
          <w:noProof/>
        </w:rPr>
        <w:fldChar w:fldCharType="end"/>
      </w:r>
      <w:r w:rsidRPr="00BD16B4">
        <w:t>:</w:t>
      </w:r>
      <w:r w:rsidRPr="00BD16B4">
        <w:tab/>
        <w:t>Gross domestic product, quarterly and annual growth rates, March 2016 – March 2022</w:t>
      </w:r>
      <w:bookmarkEnd w:id="55"/>
    </w:p>
    <w:p w14:paraId="0BDC17E6" w14:textId="77777777" w:rsidR="00FD1D4D" w:rsidRPr="00BD16B4" w:rsidRDefault="00FD1D4D" w:rsidP="00FD1D4D">
      <w:pPr>
        <w:pStyle w:val="BodyText"/>
      </w:pPr>
      <w:r w:rsidRPr="00BD16B4">
        <w:rPr>
          <w:noProof/>
          <w:lang w:eastAsia="en-GB"/>
        </w:rPr>
        <w:drawing>
          <wp:inline distT="0" distB="0" distL="0" distR="0" wp14:anchorId="7B5A7584" wp14:editId="585B3AD8">
            <wp:extent cx="5408427" cy="188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90" t="10788" b="2252"/>
                    <a:stretch/>
                  </pic:blipFill>
                  <pic:spPr bwMode="auto">
                    <a:xfrm>
                      <a:off x="0" y="0"/>
                      <a:ext cx="5444780" cy="1895294"/>
                    </a:xfrm>
                    <a:prstGeom prst="rect">
                      <a:avLst/>
                    </a:prstGeom>
                    <a:ln>
                      <a:noFill/>
                    </a:ln>
                    <a:extLst>
                      <a:ext uri="{53640926-AAD7-44D8-BBD7-CCE9431645EC}">
                        <a14:shadowObscured xmlns:a14="http://schemas.microsoft.com/office/drawing/2010/main"/>
                      </a:ext>
                    </a:extLst>
                  </pic:spPr>
                </pic:pic>
              </a:graphicData>
            </a:graphic>
          </wp:inline>
        </w:drawing>
      </w:r>
    </w:p>
    <w:p w14:paraId="158D9C83" w14:textId="77777777" w:rsidR="00FD1D4D" w:rsidRPr="00BD16B4" w:rsidRDefault="00FD1D4D" w:rsidP="00120409">
      <w:pPr>
        <w:pStyle w:val="Source"/>
        <w:rPr>
          <w:lang w:eastAsia="en-GB"/>
        </w:rPr>
      </w:pPr>
      <w:r w:rsidRPr="00BD16B4">
        <w:rPr>
          <w:lang w:eastAsia="en-GB"/>
        </w:rPr>
        <w:t xml:space="preserve">Source: Stats NZ. </w:t>
      </w:r>
      <w:r w:rsidRPr="00BD16B4">
        <w:t>2022. Gross Domestic Product (GDP).</w:t>
      </w:r>
    </w:p>
    <w:p w14:paraId="74BA0BC7" w14:textId="77777777" w:rsidR="00FD1D4D" w:rsidRPr="00BD16B4" w:rsidRDefault="00FD1D4D" w:rsidP="00FD1D4D">
      <w:pPr>
        <w:pStyle w:val="BodyText"/>
        <w:spacing w:after="100"/>
      </w:pPr>
      <w:r w:rsidRPr="00BD16B4">
        <w:rPr>
          <w:rFonts w:eastAsia="Calibri"/>
        </w:rPr>
        <w:t xml:space="preserve">The economy is based on the provision of services (roughly two-thirds of the total GDP) and the manufacturing and primary sectors (figure 2.4). </w:t>
      </w:r>
      <w:r w:rsidRPr="00BD16B4">
        <w:t xml:space="preserve">The primary sector (agricultural, horticultural, forestry, mining and fishing industries) plays a fundamental role in the export sector and in employment. </w:t>
      </w:r>
      <w:r w:rsidRPr="00BD16B4">
        <w:rPr>
          <w:rFonts w:eastAsia="Calibri"/>
        </w:rPr>
        <w:t>The primary sector directly accounts for around 6.5 per cent of GDP (figure 2.4) and contributes over half of New Zealand’s total export earnings.</w:t>
      </w:r>
      <w:r w:rsidRPr="00BD16B4">
        <w:rPr>
          <w:rStyle w:val="FootnoteReference"/>
        </w:rPr>
        <w:footnoteReference w:id="51"/>
      </w:r>
      <w:r w:rsidRPr="00BD16B4">
        <w:rPr>
          <w:rFonts w:eastAsia="Calibri"/>
        </w:rPr>
        <w:t xml:space="preserve"> </w:t>
      </w:r>
      <w:r w:rsidRPr="00BD16B4">
        <w:t>In 2021 the primary sector employed 174,200 people, accounting for 6.2 per cent of all employed people.</w:t>
      </w:r>
      <w:r w:rsidRPr="00BD16B4">
        <w:rPr>
          <w:rStyle w:val="FootnoteReference"/>
        </w:rPr>
        <w:footnoteReference w:id="52"/>
      </w:r>
      <w:r w:rsidRPr="00BD16B4">
        <w:t xml:space="preserve"> </w:t>
      </w:r>
    </w:p>
    <w:p w14:paraId="2062C85B" w14:textId="2E142855" w:rsidR="00FD1D4D" w:rsidRPr="00BD16B4" w:rsidRDefault="00FD1D4D" w:rsidP="00EC76A2">
      <w:pPr>
        <w:pStyle w:val="Figureheading"/>
      </w:pPr>
      <w:bookmarkStart w:id="56" w:name="_Toc497740671"/>
      <w:bookmarkStart w:id="57" w:name="_Toc500767100"/>
      <w:bookmarkStart w:id="58" w:name="_Toc121494370"/>
      <w:r w:rsidRPr="00BD16B4">
        <w:lastRenderedPageBreak/>
        <w:t>Figure 2.</w:t>
      </w:r>
      <w:r w:rsidR="00FC49D2">
        <w:fldChar w:fldCharType="begin"/>
      </w:r>
      <w:r w:rsidR="00FC49D2">
        <w:instrText xml:space="preserve"> SEQ Figure_2. \* ARABIC </w:instrText>
      </w:r>
      <w:r w:rsidR="00FC49D2">
        <w:fldChar w:fldCharType="separate"/>
      </w:r>
      <w:r w:rsidR="00A60C35">
        <w:rPr>
          <w:noProof/>
        </w:rPr>
        <w:t>4</w:t>
      </w:r>
      <w:r w:rsidR="00FC49D2">
        <w:rPr>
          <w:noProof/>
        </w:rPr>
        <w:fldChar w:fldCharType="end"/>
      </w:r>
      <w:r w:rsidRPr="00BD16B4">
        <w:t>:</w:t>
      </w:r>
      <w:r w:rsidRPr="00BD16B4">
        <w:tab/>
        <w:t>Contribution of different industries to New Zealand’s GDP</w:t>
      </w:r>
      <w:bookmarkEnd w:id="56"/>
      <w:bookmarkEnd w:id="57"/>
      <w:r w:rsidRPr="00BD16B4">
        <w:t xml:space="preserve"> (year ending March 2020)</w:t>
      </w:r>
      <w:bookmarkEnd w:id="58"/>
    </w:p>
    <w:p w14:paraId="08AD16AA" w14:textId="77777777" w:rsidR="00FD1D4D" w:rsidRPr="00BD16B4" w:rsidRDefault="00FD1D4D" w:rsidP="00FD1D4D">
      <w:pPr>
        <w:pStyle w:val="BodyText"/>
      </w:pPr>
      <w:r w:rsidRPr="00BD16B4">
        <w:rPr>
          <w:noProof/>
        </w:rPr>
        <w:drawing>
          <wp:inline distT="0" distB="0" distL="0" distR="0" wp14:anchorId="3EED4DE8" wp14:editId="1ED0866B">
            <wp:extent cx="5247640" cy="6464410"/>
            <wp:effectExtent l="0" t="0" r="0" b="0"/>
            <wp:docPr id="7" name="Chart 7">
              <a:extLst xmlns:a="http://schemas.openxmlformats.org/drawingml/2006/main">
                <a:ext uri="{FF2B5EF4-FFF2-40B4-BE49-F238E27FC236}">
                  <a16:creationId xmlns:a16="http://schemas.microsoft.com/office/drawing/2014/main" id="{B9C89348-3C47-7CCD-BE12-31B8397AA9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34B35CC" w14:textId="77777777" w:rsidR="00FD1D4D" w:rsidRPr="00BD16B4" w:rsidRDefault="00FD1D4D" w:rsidP="00A0471B">
      <w:pPr>
        <w:pStyle w:val="Note"/>
        <w:spacing w:before="80" w:after="80"/>
      </w:pPr>
      <w:r w:rsidRPr="00BD16B4">
        <w:rPr>
          <w:b/>
        </w:rPr>
        <w:t>Note</w:t>
      </w:r>
      <w:r w:rsidRPr="00BD16B4">
        <w:t>: Percentages calculated using the sum of the categories as the total GDP.</w:t>
      </w:r>
    </w:p>
    <w:p w14:paraId="275BBC3C" w14:textId="77777777" w:rsidR="00FD1D4D" w:rsidRPr="00BD16B4" w:rsidRDefault="00FD1D4D" w:rsidP="00E009DF">
      <w:pPr>
        <w:pStyle w:val="Source"/>
        <w:rPr>
          <w:rStyle w:val="Hyperlink"/>
          <w:color w:val="auto"/>
        </w:rPr>
      </w:pPr>
      <w:r w:rsidRPr="00BD16B4">
        <w:rPr>
          <w:bCs/>
        </w:rPr>
        <w:t>Source:</w:t>
      </w:r>
      <w:r w:rsidRPr="00BD16B4">
        <w:rPr>
          <w:b/>
        </w:rPr>
        <w:t xml:space="preserve"> </w:t>
      </w:r>
      <w:r w:rsidRPr="00BD16B4">
        <w:t xml:space="preserve">Stats NZ. 2021. National Accounts (industry production and investment): Year ended March 2020. </w:t>
      </w:r>
    </w:p>
    <w:p w14:paraId="05511DA5" w14:textId="77777777" w:rsidR="00FD1D4D" w:rsidRPr="00BD16B4" w:rsidRDefault="00FD1D4D" w:rsidP="00FD1D4D">
      <w:pPr>
        <w:pStyle w:val="Heading3"/>
      </w:pPr>
      <w:r w:rsidRPr="00BD16B4">
        <w:t>2.6.1</w:t>
      </w:r>
      <w:r w:rsidRPr="00BD16B4">
        <w:tab/>
        <w:t>Exports</w:t>
      </w:r>
    </w:p>
    <w:p w14:paraId="13EB003C" w14:textId="77777777" w:rsidR="00FD1D4D" w:rsidRPr="00BD16B4" w:rsidRDefault="00FD1D4D" w:rsidP="00FD1D4D">
      <w:pPr>
        <w:pStyle w:val="BodyText"/>
        <w:rPr>
          <w:lang w:eastAsia="en-GB"/>
        </w:rPr>
      </w:pPr>
      <w:r w:rsidRPr="00BD16B4">
        <w:rPr>
          <w:lang w:eastAsia="en-GB"/>
        </w:rPr>
        <w:t>New Zealand’s total exports of goods and services were valued at NZ$79.4 billion for the year ended March 2022. China was its main export market, worth NZ$21.3 billion, followed by the United States (NZ$11.2 billion), Australia (NZ$11.2billion) and Japan (NZ$4.0 billion).</w:t>
      </w:r>
      <w:r w:rsidRPr="00BD16B4">
        <w:rPr>
          <w:rStyle w:val="FootnoteReference"/>
        </w:rPr>
        <w:footnoteReference w:id="53"/>
      </w:r>
    </w:p>
    <w:p w14:paraId="3974C79A" w14:textId="77777777" w:rsidR="00FD1D4D" w:rsidRPr="00BD16B4" w:rsidRDefault="00FD1D4D" w:rsidP="00FD1D4D">
      <w:pPr>
        <w:pStyle w:val="BodyText"/>
        <w:rPr>
          <w:lang w:eastAsia="en-GB"/>
        </w:rPr>
      </w:pPr>
      <w:r w:rsidRPr="00BD16B4">
        <w:rPr>
          <w:lang w:eastAsia="en-GB"/>
        </w:rPr>
        <w:lastRenderedPageBreak/>
        <w:t xml:space="preserve">New Zealand is the world’s largest single-country exporter of dairy products and sheep meat, and among the largest exporters of forestry products in the </w:t>
      </w:r>
      <w:bookmarkStart w:id="59" w:name="_Hlk116907794"/>
      <w:r w:rsidRPr="00BD16B4">
        <w:rPr>
          <w:lang w:eastAsia="en-GB"/>
        </w:rPr>
        <w:t>Organisation for Economic Co</w:t>
      </w:r>
      <w:r w:rsidRPr="00BD16B4">
        <w:rPr>
          <w:lang w:eastAsia="en-GB"/>
        </w:rPr>
        <w:noBreakHyphen/>
        <w:t>operation and Development</w:t>
      </w:r>
      <w:bookmarkEnd w:id="59"/>
      <w:r w:rsidRPr="00BD16B4">
        <w:rPr>
          <w:lang w:eastAsia="en-GB"/>
        </w:rPr>
        <w:t xml:space="preserve"> (OECD).</w:t>
      </w:r>
      <w:r w:rsidRPr="00BD16B4">
        <w:rPr>
          <w:rStyle w:val="FootnoteReference"/>
        </w:rPr>
        <w:footnoteReference w:id="54"/>
      </w:r>
      <w:r w:rsidRPr="00BD16B4">
        <w:rPr>
          <w:lang w:eastAsia="en-GB"/>
        </w:rPr>
        <w:t xml:space="preserve"> It is also a significant exporter in the kiwifruit, pip fruit and wool industries. </w:t>
      </w:r>
    </w:p>
    <w:p w14:paraId="501A3590" w14:textId="77777777" w:rsidR="00FD1D4D" w:rsidRPr="00BD16B4" w:rsidRDefault="00FD1D4D" w:rsidP="00FD1D4D">
      <w:pPr>
        <w:pStyle w:val="BodyText"/>
        <w:rPr>
          <w:lang w:eastAsia="en-GB"/>
        </w:rPr>
      </w:pPr>
      <w:r w:rsidRPr="00BD16B4">
        <w:rPr>
          <w:lang w:eastAsia="en-GB"/>
        </w:rPr>
        <w:t>Dairy products were New Zealand’s largest export earner in the year ending March 2022, accounting for 23.0 per cent of exports at NZ$18.3 billion.</w:t>
      </w:r>
      <w:r w:rsidRPr="00BD16B4">
        <w:rPr>
          <w:rStyle w:val="FootnoteReference"/>
          <w:lang w:eastAsia="en-GB"/>
        </w:rPr>
        <w:footnoteReference w:id="55"/>
      </w:r>
      <w:r w:rsidRPr="00BD16B4">
        <w:rPr>
          <w:lang w:eastAsia="en-GB"/>
        </w:rPr>
        <w:t xml:space="preserve"> In the same year the next three largest groups of export goods were meat products at 11.4 per cent of total exports, wood products at 6.8 per cent and fruit at 4.8 per cent. The largest service export was the travel service, which contributed NZ$3.8 billion (4.8 per cent) of total export goods and services.</w:t>
      </w:r>
    </w:p>
    <w:p w14:paraId="1885AE41" w14:textId="77777777" w:rsidR="00FD1D4D" w:rsidRPr="00BD16B4" w:rsidRDefault="00FD1D4D" w:rsidP="00FD1D4D">
      <w:pPr>
        <w:pStyle w:val="BodyText"/>
        <w:rPr>
          <w:rFonts w:eastAsia="Calibri"/>
        </w:rPr>
      </w:pPr>
      <w:r w:rsidRPr="00BD16B4">
        <w:rPr>
          <w:rFonts w:eastAsia="Calibri"/>
        </w:rPr>
        <w:t>Before 2021, international tourism was a significant export earner for New Zealand, compared with traditional export products in the primary sector. In 2019, international tourism expenditure was NZ$17.2 billion.</w:t>
      </w:r>
      <w:r w:rsidRPr="00BD16B4">
        <w:rPr>
          <w:rStyle w:val="FootnoteReference"/>
          <w:rFonts w:eastAsia="Calibri"/>
        </w:rPr>
        <w:footnoteReference w:id="56"/>
      </w:r>
      <w:r w:rsidRPr="00BD16B4">
        <w:rPr>
          <w:rFonts w:eastAsia="Calibri"/>
        </w:rPr>
        <w:t xml:space="preserve"> Due to COVID-19 border restrictions, and the subsequent decline in international tourism, this number has dropped significantly (figure 2.5). In 2021, the provisional international tourism expenditure was NZ$1.5 billion.</w:t>
      </w:r>
      <w:r w:rsidRPr="00BD16B4">
        <w:rPr>
          <w:rStyle w:val="FootnoteReference"/>
          <w:rFonts w:eastAsia="Calibri"/>
        </w:rPr>
        <w:footnoteReference w:id="57"/>
      </w:r>
      <w:r w:rsidRPr="00BD16B4">
        <w:rPr>
          <w:rFonts w:eastAsia="Calibri"/>
        </w:rPr>
        <w:t xml:space="preserve"> </w:t>
      </w:r>
    </w:p>
    <w:p w14:paraId="5B7ABE64" w14:textId="51D2D225" w:rsidR="00FD1D4D" w:rsidRPr="00BD16B4" w:rsidRDefault="00FD1D4D" w:rsidP="00EC76A2">
      <w:pPr>
        <w:pStyle w:val="Figureheading"/>
      </w:pPr>
      <w:bookmarkStart w:id="60" w:name="_Toc121494371"/>
      <w:r w:rsidRPr="00BD16B4">
        <w:t>Figure 2.</w:t>
      </w:r>
      <w:r w:rsidR="00FC49D2">
        <w:fldChar w:fldCharType="begin"/>
      </w:r>
      <w:r w:rsidR="00FC49D2">
        <w:instrText xml:space="preserve"> SEQ Figure_2. \* ARABIC </w:instrText>
      </w:r>
      <w:r w:rsidR="00FC49D2">
        <w:fldChar w:fldCharType="separate"/>
      </w:r>
      <w:r w:rsidR="00A60C35">
        <w:rPr>
          <w:noProof/>
        </w:rPr>
        <w:t>5</w:t>
      </w:r>
      <w:r w:rsidR="00FC49D2">
        <w:rPr>
          <w:noProof/>
        </w:rPr>
        <w:fldChar w:fldCharType="end"/>
      </w:r>
      <w:r w:rsidRPr="00BD16B4">
        <w:t>:</w:t>
      </w:r>
      <w:r w:rsidRPr="00BD16B4">
        <w:tab/>
        <w:t>International tourism expenditure compared with value of selected primary exports (NZ$), 2018–21 (year ended March)</w:t>
      </w:r>
      <w:bookmarkEnd w:id="60"/>
    </w:p>
    <w:p w14:paraId="0EE6E6CF" w14:textId="582BFA29" w:rsidR="00FD1D4D" w:rsidRPr="00BD16B4" w:rsidRDefault="00FD1D4D" w:rsidP="00FD1D4D">
      <w:pPr>
        <w:pStyle w:val="BodyText"/>
        <w:rPr>
          <w:rFonts w:eastAsia="Calibri"/>
        </w:rPr>
      </w:pPr>
      <w:r w:rsidRPr="00BD16B4">
        <w:rPr>
          <w:noProof/>
        </w:rPr>
        <w:drawing>
          <wp:inline distT="0" distB="0" distL="0" distR="0" wp14:anchorId="172512A8" wp14:editId="286BB28D">
            <wp:extent cx="5311472" cy="2679589"/>
            <wp:effectExtent l="0" t="0" r="0" b="0"/>
            <wp:docPr id="9" name="Chart 9">
              <a:extLst xmlns:a="http://schemas.openxmlformats.org/drawingml/2006/main">
                <a:ext uri="{FF2B5EF4-FFF2-40B4-BE49-F238E27FC236}">
                  <a16:creationId xmlns:a16="http://schemas.microsoft.com/office/drawing/2014/main" id="{A697A542-6759-0237-8BAE-59E7028D29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B315CEE" w14:textId="77777777" w:rsidR="00FD1D4D" w:rsidRPr="00BD16B4" w:rsidRDefault="00FD1D4D" w:rsidP="00120409">
      <w:pPr>
        <w:pStyle w:val="Source"/>
      </w:pPr>
      <w:r w:rsidRPr="00BD16B4">
        <w:rPr>
          <w:bCs/>
        </w:rPr>
        <w:t>Source:</w:t>
      </w:r>
      <w:r w:rsidRPr="00BD16B4">
        <w:rPr>
          <w:b/>
        </w:rPr>
        <w:t xml:space="preserve"> </w:t>
      </w:r>
      <w:r w:rsidRPr="00BD16B4">
        <w:t xml:space="preserve">Stats NZ. 2021. Tourism satellite account: Year ended March 2021. </w:t>
      </w:r>
    </w:p>
    <w:p w14:paraId="3FC6E61C" w14:textId="77777777" w:rsidR="00FD1D4D" w:rsidRPr="00BD16B4" w:rsidRDefault="00FD1D4D" w:rsidP="00FD1D4D">
      <w:pPr>
        <w:pStyle w:val="Heading3"/>
      </w:pPr>
      <w:r w:rsidRPr="00BD16B4">
        <w:lastRenderedPageBreak/>
        <w:t>2.6.2</w:t>
      </w:r>
      <w:r w:rsidRPr="00BD16B4">
        <w:tab/>
        <w:t>Imports</w:t>
      </w:r>
    </w:p>
    <w:p w14:paraId="4C769D3B" w14:textId="77777777" w:rsidR="00FD1D4D" w:rsidRPr="00BD16B4" w:rsidRDefault="00FD1D4D" w:rsidP="00B03EC9">
      <w:pPr>
        <w:pStyle w:val="BodyText"/>
        <w:keepLines/>
      </w:pPr>
      <w:r w:rsidRPr="00BD16B4">
        <w:rPr>
          <w:lang w:eastAsia="en-GB"/>
        </w:rPr>
        <w:t>New Zealand’s goods and services imports were valued at NZ$90.32 billion in the year ending March 2022.</w:t>
      </w:r>
      <w:r w:rsidRPr="00BD16B4">
        <w:rPr>
          <w:rStyle w:val="FootnoteReference"/>
          <w:lang w:eastAsia="en-GB"/>
        </w:rPr>
        <w:footnoteReference w:id="58"/>
      </w:r>
      <w:r w:rsidRPr="00BD16B4">
        <w:rPr>
          <w:lang w:eastAsia="en-GB"/>
        </w:rPr>
        <w:t xml:space="preserve"> China was the country’s largest source of imports, accounting for 19.0 per cent of the total, followed by the European Union (14.7 per cent) and Australia (14.0 per cent). </w:t>
      </w:r>
      <w:r w:rsidRPr="00BD16B4">
        <w:t xml:space="preserve">In the same year, the vehicles and mechanical machinery categories contributed the most to New Zealand’s total imports, both at 10.9 per cent, followed by the electrical machinery and equipment category at 6.9 per cent. </w:t>
      </w:r>
    </w:p>
    <w:p w14:paraId="7D7AD132" w14:textId="77777777" w:rsidR="00FD1D4D" w:rsidRPr="00BD16B4" w:rsidRDefault="00FD1D4D" w:rsidP="0011037B">
      <w:pPr>
        <w:pStyle w:val="Heading2"/>
        <w:numPr>
          <w:ilvl w:val="0"/>
          <w:numId w:val="16"/>
        </w:numPr>
        <w:ind w:left="0" w:firstLine="0"/>
      </w:pPr>
      <w:bookmarkStart w:id="61" w:name="_Toc121774622"/>
      <w:bookmarkStart w:id="62" w:name="_Toc497740367"/>
      <w:bookmarkStart w:id="63" w:name="_Toc500796133"/>
      <w:r w:rsidRPr="00BD16B4">
        <w:t>Energy</w:t>
      </w:r>
      <w:bookmarkEnd w:id="61"/>
    </w:p>
    <w:p w14:paraId="6BB87987" w14:textId="77777777" w:rsidR="00FD1D4D" w:rsidRPr="00BD16B4" w:rsidRDefault="00FD1D4D" w:rsidP="00FD1D4D">
      <w:pPr>
        <w:pStyle w:val="BodyText"/>
      </w:pPr>
      <w:r w:rsidRPr="00BD16B4">
        <w:t xml:space="preserve">Aotearoa New Zealand’s </w:t>
      </w:r>
      <w:bookmarkStart w:id="64" w:name="_Hlk116908746"/>
      <w:r w:rsidRPr="00BD16B4">
        <w:t>total primary energy supply</w:t>
      </w:r>
      <w:bookmarkEnd w:id="64"/>
      <w:r w:rsidRPr="00BD16B4">
        <w:t xml:space="preserve"> (TPES) was 872 petajoules in 2021.</w:t>
      </w:r>
      <w:r w:rsidRPr="00BD16B4">
        <w:rPr>
          <w:rStyle w:val="FootnoteReference"/>
        </w:rPr>
        <w:footnoteReference w:id="59"/>
      </w:r>
      <w:r w:rsidRPr="00BD16B4">
        <w:rPr>
          <w:vertAlign w:val="superscript"/>
        </w:rPr>
        <w:t>, 46</w:t>
      </w:r>
      <w:r w:rsidRPr="00BD16B4">
        <w:t xml:space="preserve"> This is calculated as domestic production plus imports, less exports and energy used for international transport. Renewable energy contributed 40.8 per cent of the 2021 TPES. The remainder of the TPES was dominated by oil (34.0 per cent) and gas (17.6 per cent).</w:t>
      </w:r>
      <w:r w:rsidRPr="00BD16B4">
        <w:rPr>
          <w:rStyle w:val="FootnoteReference"/>
        </w:rPr>
        <w:footnoteReference w:id="60"/>
      </w:r>
    </w:p>
    <w:p w14:paraId="1F1B0E61" w14:textId="77777777" w:rsidR="00FD1D4D" w:rsidRPr="00BD16B4" w:rsidRDefault="00FD1D4D" w:rsidP="00FD1D4D">
      <w:pPr>
        <w:pStyle w:val="BodyText"/>
      </w:pPr>
      <w:r w:rsidRPr="00BD16B4">
        <w:t>Figure 2.6 provides an overview of primary energy inputs required for the energy system in New Zealand. From 1990, primary energy has increased steadily, and geothermal energy and fossil oil have been the main source of growth. Looking out to 2050, TPES has peaked at around 925 petajoules in 2019 and then declines slowly to 832 petajoules in 2050 on average at an annual rate of 0.3 per cent per year.</w:t>
      </w:r>
      <w:r w:rsidRPr="00BD16B4">
        <w:rPr>
          <w:rStyle w:val="FootnoteReference"/>
        </w:rPr>
        <w:footnoteReference w:id="61"/>
      </w:r>
      <w:r w:rsidRPr="00BD16B4">
        <w:t xml:space="preserve"> </w:t>
      </w:r>
    </w:p>
    <w:p w14:paraId="6C036D16" w14:textId="77777777" w:rsidR="00FD1D4D" w:rsidRPr="00BD16B4" w:rsidRDefault="00FD1D4D" w:rsidP="00FD1D4D">
      <w:pPr>
        <w:pStyle w:val="BodyText"/>
      </w:pPr>
      <w:r w:rsidRPr="00BD16B4">
        <w:t>The energy sector (including transport) is the second-largest contributor to New Zealand’s gross greenhouse gas emissions, at 39.9 per cent in 2020.</w:t>
      </w:r>
      <w:r w:rsidRPr="00BD16B4">
        <w:rPr>
          <w:rStyle w:val="FootnoteReference"/>
        </w:rPr>
        <w:footnoteReference w:id="62"/>
      </w:r>
      <w:r w:rsidRPr="00BD16B4">
        <w:t xml:space="preserve"> Since 1990, GDP has grown at a greater rate than the amount of energy used by consumers. As a result, the overall energy intensity of the economy has improved by 1.5 per cent on average per year between the years 1990 and 2019. In 2021, energy intensity decreased by 4.7 per cent compared with 2020. </w:t>
      </w:r>
    </w:p>
    <w:p w14:paraId="5A7CDAA1" w14:textId="77777777" w:rsidR="00FD1D4D" w:rsidRPr="00BD16B4" w:rsidRDefault="00FD1D4D" w:rsidP="00FD1D4D">
      <w:pPr>
        <w:pStyle w:val="BodyText"/>
      </w:pPr>
      <w:r w:rsidRPr="00BD16B4">
        <w:t>New Zealand’s total energy self-sufficiency was 72.4 per cent in 2021.</w:t>
      </w:r>
      <w:r w:rsidRPr="00BD16B4">
        <w:rPr>
          <w:rStyle w:val="FootnoteReference"/>
        </w:rPr>
        <w:footnoteReference w:id="63"/>
      </w:r>
      <w:r w:rsidRPr="00BD16B4">
        <w:t xml:space="preserve"> Energy self-sufficiency peaked in 2010 at 92.0 per cent due to historically high oil, gas and coal production. The country meets all of its gas and waste heat needs through indigenous production. For other energy types, it engages in trade through exporting and importing. This means that changes in New Zealand’s energy self-sufficiency are driven by changes in the balance between imports and exports of tradeable commodities. </w:t>
      </w:r>
    </w:p>
    <w:p w14:paraId="02DC333A" w14:textId="54C13424" w:rsidR="00FD1D4D" w:rsidRPr="00BD16B4" w:rsidRDefault="00FD1D4D" w:rsidP="00EC76A2">
      <w:pPr>
        <w:pStyle w:val="Figureheading"/>
      </w:pPr>
      <w:bookmarkStart w:id="65" w:name="_Toc121494372"/>
      <w:r w:rsidRPr="00BD16B4">
        <w:lastRenderedPageBreak/>
        <w:t>Figure 2.</w:t>
      </w:r>
      <w:r w:rsidR="00FC49D2">
        <w:fldChar w:fldCharType="begin"/>
      </w:r>
      <w:r w:rsidR="00FC49D2">
        <w:instrText xml:space="preserve"> SEQ Figure_2. \* ARABIC </w:instrText>
      </w:r>
      <w:r w:rsidR="00FC49D2">
        <w:fldChar w:fldCharType="separate"/>
      </w:r>
      <w:r w:rsidR="00A60C35">
        <w:rPr>
          <w:noProof/>
        </w:rPr>
        <w:t>6</w:t>
      </w:r>
      <w:r w:rsidR="00FC49D2">
        <w:rPr>
          <w:noProof/>
        </w:rPr>
        <w:fldChar w:fldCharType="end"/>
      </w:r>
      <w:r w:rsidRPr="00BD16B4">
        <w:t>:</w:t>
      </w:r>
      <w:r w:rsidRPr="00BD16B4">
        <w:tab/>
        <w:t>New Zealand’s estimated and projected total primary energy supply by fuel, 1990–2050</w:t>
      </w:r>
      <w:bookmarkEnd w:id="65"/>
    </w:p>
    <w:p w14:paraId="54A5D84A" w14:textId="77777777" w:rsidR="00FD1D4D" w:rsidRPr="00BD16B4" w:rsidRDefault="00FD1D4D" w:rsidP="00B37D04">
      <w:pPr>
        <w:pStyle w:val="BodyText"/>
      </w:pPr>
      <w:bookmarkStart w:id="66" w:name="_Toc120797307"/>
      <w:r w:rsidRPr="00BD16B4">
        <w:rPr>
          <w:noProof/>
        </w:rPr>
        <w:drawing>
          <wp:inline distT="0" distB="0" distL="0" distR="0" wp14:anchorId="107C23E9" wp14:editId="057A4FA8">
            <wp:extent cx="5357524" cy="2981025"/>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0191" cy="2982509"/>
                    </a:xfrm>
                    <a:prstGeom prst="rect">
                      <a:avLst/>
                    </a:prstGeom>
                    <a:noFill/>
                    <a:ln>
                      <a:noFill/>
                    </a:ln>
                  </pic:spPr>
                </pic:pic>
              </a:graphicData>
            </a:graphic>
          </wp:inline>
        </w:drawing>
      </w:r>
      <w:bookmarkEnd w:id="66"/>
    </w:p>
    <w:p w14:paraId="79676CC4" w14:textId="77777777" w:rsidR="00FD1D4D" w:rsidRPr="00BD16B4" w:rsidRDefault="00FD1D4D" w:rsidP="00120409">
      <w:pPr>
        <w:pStyle w:val="Source"/>
      </w:pPr>
      <w:r w:rsidRPr="00BD16B4">
        <w:rPr>
          <w:bCs/>
        </w:rPr>
        <w:t>Source:</w:t>
      </w:r>
      <w:r w:rsidRPr="00BD16B4">
        <w:rPr>
          <w:b/>
        </w:rPr>
        <w:t xml:space="preserve"> </w:t>
      </w:r>
      <w:r w:rsidRPr="00BD16B4">
        <w:t xml:space="preserve">Ministry of Business, Innovation and Employment. 2021. </w:t>
      </w:r>
      <w:r w:rsidRPr="00BD16B4">
        <w:rPr>
          <w:i/>
        </w:rPr>
        <w:t>Energy in New Zealand</w:t>
      </w:r>
      <w:r w:rsidRPr="00BD16B4">
        <w:t xml:space="preserve"> </w:t>
      </w:r>
      <w:r w:rsidRPr="00BD16B4">
        <w:rPr>
          <w:i/>
        </w:rPr>
        <w:t>2021.</w:t>
      </w:r>
      <w:r w:rsidRPr="00BD16B4">
        <w:t xml:space="preserve"> Wellington: MBIE.</w:t>
      </w:r>
    </w:p>
    <w:p w14:paraId="0FC4A2E7" w14:textId="77777777" w:rsidR="00FD1D4D" w:rsidRPr="00BD16B4" w:rsidRDefault="00FD1D4D" w:rsidP="00FD1D4D">
      <w:pPr>
        <w:pStyle w:val="Heading3"/>
      </w:pPr>
      <w:r w:rsidRPr="00BD16B4">
        <w:t>2.7.1</w:t>
      </w:r>
      <w:r w:rsidRPr="00BD16B4">
        <w:tab/>
        <w:t>Electricity</w:t>
      </w:r>
    </w:p>
    <w:p w14:paraId="05AA2999" w14:textId="77777777" w:rsidR="00FD1D4D" w:rsidRPr="00BD16B4" w:rsidRDefault="00FD1D4D" w:rsidP="00FD1D4D">
      <w:pPr>
        <w:pStyle w:val="BodyText"/>
        <w:rPr>
          <w:lang w:eastAsia="en-GB"/>
        </w:rPr>
      </w:pPr>
      <w:r w:rsidRPr="00BD16B4">
        <w:rPr>
          <w:lang w:eastAsia="en-GB"/>
        </w:rPr>
        <w:t>New Zealand has abundant renewable energy resources and a long history of renewable energy development. As a result, the majority of New Zealand’s electricity generation comes from renewable sources (82.1 per cent in 2021).</w:t>
      </w:r>
      <w:r w:rsidRPr="00BD16B4">
        <w:rPr>
          <w:rStyle w:val="FootnoteReference"/>
          <w:lang w:eastAsia="en-GB"/>
        </w:rPr>
        <w:footnoteReference w:id="64"/>
      </w:r>
      <w:r w:rsidRPr="00BD16B4">
        <w:rPr>
          <w:lang w:eastAsia="en-GB"/>
        </w:rPr>
        <w:t xml:space="preserve"> For the </w:t>
      </w:r>
      <w:r w:rsidRPr="00BD16B4">
        <w:t>2021</w:t>
      </w:r>
      <w:r w:rsidRPr="00BD16B4">
        <w:rPr>
          <w:lang w:eastAsia="en-GB"/>
        </w:rPr>
        <w:t xml:space="preserve"> calendar year, hydro generation provided 55.5 per cent of New Zealand’s electricity. A further 18.4 per cent came from geothermal, 6.0 per cent from wind, 1.1 per cent from wood, 0.6 per cent from biogas and 0.5 per cent from solar. The remaining 17.9 per cent came from fossil fuel thermal generation plants using gas, coal and oil.</w:t>
      </w:r>
    </w:p>
    <w:p w14:paraId="6C0A9677" w14:textId="77777777" w:rsidR="00FD1D4D" w:rsidRPr="00BD16B4" w:rsidRDefault="00FD1D4D" w:rsidP="00FD1D4D">
      <w:pPr>
        <w:pStyle w:val="BodyText"/>
        <w:rPr>
          <w:lang w:eastAsia="en-GB"/>
        </w:rPr>
      </w:pPr>
      <w:r w:rsidRPr="00BD16B4">
        <w:rPr>
          <w:lang w:eastAsia="en-GB"/>
        </w:rPr>
        <w:t>Electricity consumption decreased by 0.1 per cent between 2020 and 2021.</w:t>
      </w:r>
      <w:r w:rsidRPr="00BD16B4">
        <w:rPr>
          <w:rStyle w:val="FootnoteReference"/>
          <w:lang w:eastAsia="en-GB"/>
        </w:rPr>
        <w:footnoteReference w:id="65"/>
      </w:r>
      <w:r w:rsidRPr="00BD16B4">
        <w:rPr>
          <w:lang w:eastAsia="en-GB"/>
        </w:rPr>
        <w:t xml:space="preserve"> The industrial sector accounted for the largest share of consumption in 2021 at 36.1 per cent, followed by the residential sector at 33.4 per cent. In 2020 the </w:t>
      </w:r>
      <w:r w:rsidRPr="00BD16B4">
        <w:t>public electricity and heat production</w:t>
      </w:r>
      <w:r w:rsidRPr="00BD16B4">
        <w:rPr>
          <w:i/>
          <w:lang w:eastAsia="en-GB"/>
        </w:rPr>
        <w:t xml:space="preserve"> </w:t>
      </w:r>
      <w:r w:rsidRPr="00BD16B4">
        <w:rPr>
          <w:lang w:eastAsia="en-GB"/>
        </w:rPr>
        <w:t>category contributed 5.9</w:t>
      </w:r>
      <w:r w:rsidRPr="00BD16B4">
        <w:t xml:space="preserve"> per cent</w:t>
      </w:r>
      <w:r w:rsidRPr="00BD16B4">
        <w:rPr>
          <w:lang w:eastAsia="en-GB"/>
        </w:rPr>
        <w:t xml:space="preserve"> of New Zealand’s gross greenhouse gas emissions, an increase of 32.3 per cent since 1990.</w:t>
      </w:r>
      <w:r w:rsidRPr="00BD16B4">
        <w:rPr>
          <w:rStyle w:val="FootnoteReference"/>
          <w:lang w:eastAsia="en-GB"/>
        </w:rPr>
        <w:footnoteReference w:id="66"/>
      </w:r>
      <w:r w:rsidRPr="00BD16B4">
        <w:rPr>
          <w:lang w:eastAsia="en-GB"/>
        </w:rPr>
        <w:t xml:space="preserve"> However, New Zealand’s electricity generation emissions per capita are low compared with many other countries because of the high share of renewable energy.</w:t>
      </w:r>
    </w:p>
    <w:p w14:paraId="6D3B42CC" w14:textId="77777777" w:rsidR="00FD1D4D" w:rsidRPr="00BD16B4" w:rsidRDefault="00FD1D4D" w:rsidP="00FD1D4D">
      <w:pPr>
        <w:pStyle w:val="BodyText"/>
        <w:rPr>
          <w:lang w:eastAsia="en-GB"/>
        </w:rPr>
      </w:pPr>
      <w:r w:rsidRPr="00BD16B4">
        <w:rPr>
          <w:lang w:eastAsia="en-GB"/>
        </w:rPr>
        <w:t xml:space="preserve">The proportion of electricity that is generated by hydro power each year changes depending on rainfall. In a dry year, low rainfall affects the majority of New Zealand’s hydro lake levels. During these years the shortfall is made up by non-renewable electricity generation. Figure 2.7 shows the close inverse relationship between non-renewable and hydro generation. This </w:t>
      </w:r>
      <w:r w:rsidRPr="00BD16B4">
        <w:rPr>
          <w:lang w:eastAsia="en-GB"/>
        </w:rPr>
        <w:lastRenderedPageBreak/>
        <w:t>relationship has historically influenced the yearly fluctuations seen in the country’s total energy and gross greenhouse gas emissions. The Government is currently investigating options to address the ‘dry year problem’. The NZ Battery Project will provide comprehensive advice on the technical, environmental and commercial feasibility of pumped hydro and other potential energy storage projects.</w:t>
      </w:r>
      <w:r w:rsidRPr="00BD16B4">
        <w:rPr>
          <w:rStyle w:val="FootnoteReference"/>
          <w:lang w:eastAsia="en-GB"/>
        </w:rPr>
        <w:footnoteReference w:id="67"/>
      </w:r>
      <w:r w:rsidRPr="00BD16B4">
        <w:rPr>
          <w:lang w:eastAsia="en-GB"/>
        </w:rPr>
        <w:t xml:space="preserve"> Figure 2.7 also shows that the amount of electricity generated by renewable sources other than hydro power has more than tripled since 1990.</w:t>
      </w:r>
    </w:p>
    <w:p w14:paraId="157E77C9" w14:textId="5747F7BD" w:rsidR="00FD1D4D" w:rsidRPr="00BD16B4" w:rsidRDefault="00FD1D4D" w:rsidP="00EC76A2">
      <w:pPr>
        <w:pStyle w:val="Figureheading"/>
      </w:pPr>
      <w:bookmarkStart w:id="67" w:name="_Toc121494373"/>
      <w:r w:rsidRPr="00BD16B4">
        <w:t>Figure 2.</w:t>
      </w:r>
      <w:r w:rsidR="00FC49D2">
        <w:fldChar w:fldCharType="begin"/>
      </w:r>
      <w:r w:rsidR="00FC49D2">
        <w:instrText xml:space="preserve"> SEQ Figure_2. \* ARABIC </w:instrText>
      </w:r>
      <w:r w:rsidR="00FC49D2">
        <w:fldChar w:fldCharType="separate"/>
      </w:r>
      <w:r w:rsidR="00A60C35">
        <w:rPr>
          <w:noProof/>
        </w:rPr>
        <w:t>7</w:t>
      </w:r>
      <w:r w:rsidR="00FC49D2">
        <w:rPr>
          <w:noProof/>
        </w:rPr>
        <w:fldChar w:fldCharType="end"/>
      </w:r>
      <w:r w:rsidRPr="00BD16B4">
        <w:t>:</w:t>
      </w:r>
      <w:r w:rsidRPr="00BD16B4">
        <w:tab/>
        <w:t>New Zealand’s electricity generation by main source, 1990–2020</w:t>
      </w:r>
      <w:bookmarkEnd w:id="67"/>
    </w:p>
    <w:p w14:paraId="2FC60E3F" w14:textId="77777777" w:rsidR="00FD1D4D" w:rsidRPr="00BD16B4" w:rsidRDefault="00FD1D4D" w:rsidP="00FD1D4D">
      <w:pPr>
        <w:pStyle w:val="BodyText"/>
        <w:spacing w:after="60"/>
      </w:pPr>
      <w:r w:rsidRPr="00BD16B4">
        <w:rPr>
          <w:noProof/>
        </w:rPr>
        <w:drawing>
          <wp:inline distT="0" distB="0" distL="0" distR="0" wp14:anchorId="404E8160" wp14:editId="1EC61333">
            <wp:extent cx="4782217" cy="2724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82217" cy="2724530"/>
                    </a:xfrm>
                    <a:prstGeom prst="rect">
                      <a:avLst/>
                    </a:prstGeom>
                  </pic:spPr>
                </pic:pic>
              </a:graphicData>
            </a:graphic>
          </wp:inline>
        </w:drawing>
      </w:r>
    </w:p>
    <w:p w14:paraId="5C1D5184" w14:textId="77777777" w:rsidR="00FD1D4D" w:rsidRPr="00BD16B4" w:rsidRDefault="00FD1D4D" w:rsidP="00120409">
      <w:pPr>
        <w:pStyle w:val="Source"/>
        <w:rPr>
          <w:iCs/>
        </w:rPr>
      </w:pPr>
      <w:r w:rsidRPr="00BD16B4">
        <w:rPr>
          <w:bCs/>
        </w:rPr>
        <w:t>Source:</w:t>
      </w:r>
      <w:r w:rsidRPr="00BD16B4">
        <w:rPr>
          <w:b/>
        </w:rPr>
        <w:t xml:space="preserve"> </w:t>
      </w:r>
      <w:r w:rsidRPr="00BD16B4">
        <w:t xml:space="preserve">Ministry of Business, Innovation and Employment. </w:t>
      </w:r>
      <w:r w:rsidRPr="00BD16B4">
        <w:rPr>
          <w:i/>
        </w:rPr>
        <w:t>Energy in New Zealand</w:t>
      </w:r>
      <w:r w:rsidRPr="00BD16B4">
        <w:t xml:space="preserve"> </w:t>
      </w:r>
      <w:r w:rsidRPr="00BD16B4">
        <w:rPr>
          <w:i/>
        </w:rPr>
        <w:t>2022.</w:t>
      </w:r>
      <w:r w:rsidRPr="00BD16B4">
        <w:rPr>
          <w:iCs/>
        </w:rPr>
        <w:t xml:space="preserve"> Wellington: MBIE.</w:t>
      </w:r>
    </w:p>
    <w:p w14:paraId="6BCD0B7E" w14:textId="77777777" w:rsidR="00FD1D4D" w:rsidRPr="00BD16B4" w:rsidRDefault="00FD1D4D" w:rsidP="00FD1D4D">
      <w:pPr>
        <w:pStyle w:val="BodyText"/>
        <w:rPr>
          <w:lang w:eastAsia="en-GB"/>
        </w:rPr>
      </w:pPr>
      <w:r w:rsidRPr="00BD16B4">
        <w:rPr>
          <w:lang w:eastAsia="en-GB"/>
        </w:rPr>
        <w:t xml:space="preserve">The electricity industry has gone through a long process of reform. Competition in the generation sector was introduced in 1996 with the establishment of a wholesale electricity market. Wholesale electricity is sold by generators and bought by retailers and large industrial </w:t>
      </w:r>
      <w:r w:rsidRPr="00BD16B4">
        <w:rPr>
          <w:spacing w:val="-2"/>
          <w:lang w:eastAsia="en-GB"/>
        </w:rPr>
        <w:t>users under rules that the Electricity Authority, an independent Crown entity, now administers.</w:t>
      </w:r>
      <w:r w:rsidRPr="00BD16B4">
        <w:rPr>
          <w:rStyle w:val="FootnoteReference"/>
        </w:rPr>
        <w:footnoteReference w:id="68"/>
      </w:r>
      <w:r w:rsidRPr="00BD16B4">
        <w:rPr>
          <w:lang w:eastAsia="en-GB"/>
        </w:rPr>
        <w:t xml:space="preserve"> </w:t>
      </w:r>
    </w:p>
    <w:p w14:paraId="343ED91C" w14:textId="77777777" w:rsidR="00FD1D4D" w:rsidRPr="00BD16B4" w:rsidRDefault="00FD1D4D" w:rsidP="00FD1D4D">
      <w:pPr>
        <w:pStyle w:val="BodyText"/>
        <w:rPr>
          <w:lang w:eastAsia="en-GB"/>
        </w:rPr>
      </w:pPr>
      <w:r w:rsidRPr="00BD16B4">
        <w:rPr>
          <w:lang w:eastAsia="en-GB"/>
        </w:rPr>
        <w:t xml:space="preserve">The state-owned enterprise Transpower operates the national transmission grid, which conveys electricity from most of the major power stations around the country to local distribution lines. It also conveys electricity directly to major users, such as the New Zealand Aluminium Smelter. There are 27 local distribution network companies in New Zealand, which have a variety of ownership models. Electricity consumers can choose between competing retailers of electricity. There are currently five main generation companies. </w:t>
      </w:r>
    </w:p>
    <w:p w14:paraId="6A1BD638" w14:textId="77777777" w:rsidR="00FD1D4D" w:rsidRPr="00BD16B4" w:rsidRDefault="00FD1D4D" w:rsidP="00FD1D4D">
      <w:pPr>
        <w:pStyle w:val="Heading3"/>
      </w:pPr>
      <w:r w:rsidRPr="00BD16B4">
        <w:t>2.7.2</w:t>
      </w:r>
      <w:r w:rsidRPr="00BD16B4">
        <w:tab/>
        <w:t>Natural gas</w:t>
      </w:r>
    </w:p>
    <w:p w14:paraId="48F61462" w14:textId="3B97FF61" w:rsidR="00FD1D4D" w:rsidRPr="00BD16B4" w:rsidRDefault="00FD1D4D" w:rsidP="00FD1D4D">
      <w:pPr>
        <w:pStyle w:val="BodyText"/>
        <w:rPr>
          <w:lang w:eastAsia="en-GB"/>
        </w:rPr>
      </w:pPr>
      <w:r w:rsidRPr="00BD16B4">
        <w:rPr>
          <w:lang w:eastAsia="en-GB"/>
        </w:rPr>
        <w:t xml:space="preserve">Natural gas is produced in the Taranaki region and is transmitted by pipelines across the North Island to various distribution networks. In 2021 New Zealand produced 157.5 petajoules of gas. The majority of this (99.6 per cent) was from 10 gas fields. Of the country’s total consumption in 2021 (68.7 petajoules), 76.6 per cent was used by the industrial sector. </w:t>
      </w:r>
      <w:r w:rsidRPr="00BD16B4">
        <w:rPr>
          <w:color w:val="000000"/>
          <w:lang w:eastAsia="en-GB"/>
        </w:rPr>
        <w:t xml:space="preserve">The remainder </w:t>
      </w:r>
      <w:r w:rsidRPr="00BD16B4">
        <w:rPr>
          <w:color w:val="000000"/>
          <w:lang w:eastAsia="en-GB"/>
        </w:rPr>
        <w:lastRenderedPageBreak/>
        <w:t>was</w:t>
      </w:r>
      <w:r w:rsidR="00202F97" w:rsidRPr="00BD16B4">
        <w:rPr>
          <w:color w:val="000000"/>
          <w:lang w:eastAsia="en-GB"/>
        </w:rPr>
        <w:t> </w:t>
      </w:r>
      <w:r w:rsidRPr="00BD16B4">
        <w:rPr>
          <w:color w:val="000000"/>
          <w:lang w:eastAsia="en-GB"/>
        </w:rPr>
        <w:t>consumed by the commercial and residential sectors, and the agriculture, forestry and fishing industries.</w:t>
      </w:r>
      <w:r w:rsidRPr="00BD16B4">
        <w:rPr>
          <w:rStyle w:val="FootnoteReference"/>
        </w:rPr>
        <w:footnoteReference w:id="69"/>
      </w:r>
      <w:r w:rsidRPr="00BD16B4">
        <w:rPr>
          <w:lang w:eastAsia="en-GB"/>
        </w:rPr>
        <w:t xml:space="preserve"> In 2020 combustion of natural gas contributed approximately 8 per cent of</w:t>
      </w:r>
      <w:r w:rsidR="00202F97" w:rsidRPr="00BD16B4">
        <w:rPr>
          <w:lang w:eastAsia="en-GB"/>
        </w:rPr>
        <w:t> </w:t>
      </w:r>
      <w:r w:rsidRPr="00BD16B4">
        <w:rPr>
          <w:lang w:eastAsia="en-GB"/>
        </w:rPr>
        <w:t>New Zealand’s gross greenhouse gas emissions.</w:t>
      </w:r>
      <w:r w:rsidRPr="00BD16B4">
        <w:rPr>
          <w:rStyle w:val="FootnoteReference"/>
          <w:lang w:eastAsia="en-GB"/>
        </w:rPr>
        <w:footnoteReference w:id="70"/>
      </w:r>
      <w:r w:rsidRPr="00BD16B4">
        <w:rPr>
          <w:lang w:eastAsia="en-GB"/>
        </w:rPr>
        <w:t xml:space="preserve"> </w:t>
      </w:r>
    </w:p>
    <w:p w14:paraId="2378DEFA" w14:textId="77777777" w:rsidR="00FD1D4D" w:rsidRPr="00BD16B4" w:rsidRDefault="00FD1D4D" w:rsidP="00FD1D4D">
      <w:pPr>
        <w:pStyle w:val="Heading3"/>
      </w:pPr>
      <w:r w:rsidRPr="00BD16B4">
        <w:t>2.7.3</w:t>
      </w:r>
      <w:r w:rsidRPr="00BD16B4">
        <w:tab/>
        <w:t>Oil</w:t>
      </w:r>
    </w:p>
    <w:p w14:paraId="6F0EDB75" w14:textId="77777777" w:rsidR="00FD1D4D" w:rsidRPr="00BD16B4" w:rsidRDefault="00FD1D4D" w:rsidP="00FD1D4D">
      <w:pPr>
        <w:pStyle w:val="BodyText"/>
      </w:pPr>
      <w:r w:rsidRPr="00BD16B4">
        <w:rPr>
          <w:lang w:eastAsia="en-GB"/>
        </w:rPr>
        <w:t>All crude oil extraction (crude, condensate, naphtha and natural gas liquids) occurs in the Taranaki region, with the Maari and Pohokura oil fields making up over half of domestic production. In 2020 New Zealand produced 39.0 petajoules of crude oil. Oil production peaked in 2008, with an annual production of 128.2 petajoules.</w:t>
      </w:r>
      <w:r w:rsidRPr="00BD16B4">
        <w:rPr>
          <w:rStyle w:val="FootnoteReference"/>
        </w:rPr>
        <w:footnoteReference w:id="71"/>
      </w:r>
      <w:r w:rsidRPr="00BD16B4">
        <w:rPr>
          <w:lang w:eastAsia="en-GB"/>
        </w:rPr>
        <w:t xml:space="preserve"> The country’s energy emissions are dominated by liquid fuels. These account for over half of all energy sector emissions and have been steadily increasing since 1990. </w:t>
      </w:r>
    </w:p>
    <w:p w14:paraId="28061203" w14:textId="77777777" w:rsidR="00FD1D4D" w:rsidRPr="00BD16B4" w:rsidRDefault="00FD1D4D" w:rsidP="00FD1D4D">
      <w:pPr>
        <w:pStyle w:val="BodyText"/>
        <w:rPr>
          <w:lang w:eastAsia="en-GB"/>
        </w:rPr>
      </w:pPr>
      <w:r w:rsidRPr="00BD16B4">
        <w:rPr>
          <w:lang w:eastAsia="en-GB"/>
        </w:rPr>
        <w:t>In 2020, COVID-19 reduced transport demand and caused changes in the mix of transport activity (most significantly lowering aviation use). This reduced the need for New Zealand to refine crude oil into oil products, leading to a 15 per cent fall in the import of crude oil and oil. T</w:t>
      </w:r>
      <w:r w:rsidRPr="00BD16B4">
        <w:t>he month of July 2020 saw no crude oil imports for the first time in 34 years.</w:t>
      </w:r>
      <w:r w:rsidRPr="00BD16B4">
        <w:rPr>
          <w:rStyle w:val="FootnoteReference"/>
        </w:rPr>
        <w:footnoteReference w:id="72"/>
      </w:r>
      <w:r w:rsidRPr="00BD16B4">
        <w:t xml:space="preserve"> In 2021 Refining NZ, now Channel Infrastructure NZ, decided to cease oil refining activities at Marsden Point, which was New Zealand’s only oil refinery. In April 2022 the refinery was shut down, switching to an import-only terminal. </w:t>
      </w:r>
    </w:p>
    <w:p w14:paraId="0BEDD655" w14:textId="77777777" w:rsidR="00FD1D4D" w:rsidRPr="00BD16B4" w:rsidRDefault="00FD1D4D" w:rsidP="00FD1D4D">
      <w:pPr>
        <w:pStyle w:val="Heading3"/>
      </w:pPr>
      <w:r w:rsidRPr="00BD16B4">
        <w:t>2.7.4</w:t>
      </w:r>
      <w:r w:rsidRPr="00BD16B4">
        <w:tab/>
        <w:t>Coal</w:t>
      </w:r>
    </w:p>
    <w:p w14:paraId="3E443B2B" w14:textId="77777777" w:rsidR="00FD1D4D" w:rsidRPr="00BD16B4" w:rsidRDefault="00FD1D4D" w:rsidP="00FD1D4D">
      <w:pPr>
        <w:pStyle w:val="BodyText"/>
        <w:rPr>
          <w:lang w:eastAsia="en-GB"/>
        </w:rPr>
      </w:pPr>
      <w:r w:rsidRPr="00BD16B4">
        <w:rPr>
          <w:lang w:eastAsia="en-GB"/>
        </w:rPr>
        <w:t>New Zealand’s coal resources are distributed widely on both main islands: in the Waikato and Taranaki regions of the North Island; and in the West Coast, Otago and Southland regions of the South Island. In 2021 there were 15 operating coal mines. The estimated in-ground resources for all coal types are over 15 billion tonnes. Approximately 80 per cent of this is lignite (low grade).</w:t>
      </w:r>
      <w:r w:rsidRPr="00BD16B4">
        <w:rPr>
          <w:rStyle w:val="FootnoteReference"/>
          <w:lang w:eastAsia="en-GB"/>
        </w:rPr>
        <w:footnoteReference w:id="73"/>
      </w:r>
      <w:r w:rsidRPr="00BD16B4">
        <w:rPr>
          <w:lang w:eastAsia="en-GB"/>
        </w:rPr>
        <w:t xml:space="preserve"> Bituminous and sub</w:t>
      </w:r>
      <w:r w:rsidRPr="00BD16B4">
        <w:rPr>
          <w:lang w:eastAsia="en-GB"/>
        </w:rPr>
        <w:noBreakHyphen/>
        <w:t>bituminous in-ground resources are around 4 billion tonnes.</w:t>
      </w:r>
      <w:r w:rsidRPr="00BD16B4">
        <w:rPr>
          <w:rFonts w:ascii="Gustan-Book" w:eastAsia="Calibri" w:hAnsi="Gustan-Book" w:cs="Gustan-Book"/>
          <w:sz w:val="17"/>
          <w:szCs w:val="17"/>
        </w:rPr>
        <w:t xml:space="preserve"> </w:t>
      </w:r>
      <w:r w:rsidRPr="00BD16B4">
        <w:rPr>
          <w:lang w:eastAsia="en-GB"/>
        </w:rPr>
        <w:t xml:space="preserve">Most of the country’s bituminous coal production is exported, accounting for 95 per cent of total coal exports in 2021. In 2021 New Zealand exported 1.2 million tonnes (36.9 petajoules) of coal. In 2021 it produced 2.9 million tonnes of coal, an increase of 1.7 per cent on the previous year. </w:t>
      </w:r>
    </w:p>
    <w:p w14:paraId="5A9EB49D" w14:textId="77777777" w:rsidR="00FD1D4D" w:rsidRPr="00BD16B4" w:rsidRDefault="00FD1D4D" w:rsidP="00FD1D4D">
      <w:pPr>
        <w:pStyle w:val="BodyText"/>
        <w:rPr>
          <w:lang w:eastAsia="en-GB"/>
        </w:rPr>
      </w:pPr>
      <w:r w:rsidRPr="00BD16B4">
        <w:rPr>
          <w:lang w:eastAsia="en-GB"/>
        </w:rPr>
        <w:t xml:space="preserve">In 2021 New Zealand transformed and consumed 3.2 million tonnes of coal, an increase of 12 per cent from the previous year. The coal was mainly used for electricity generation (38 per cent) and industrial purposes (29 per cent). </w:t>
      </w:r>
    </w:p>
    <w:p w14:paraId="1583DCA1" w14:textId="77777777" w:rsidR="00FD1D4D" w:rsidRPr="00BD16B4" w:rsidRDefault="00FD1D4D" w:rsidP="00FD1D4D">
      <w:pPr>
        <w:pStyle w:val="BodyText"/>
        <w:keepLines/>
        <w:rPr>
          <w:lang w:eastAsia="en-GB"/>
        </w:rPr>
      </w:pPr>
      <w:r w:rsidRPr="00BD16B4">
        <w:lastRenderedPageBreak/>
        <w:t>Unfavourable hydrological conditions and a natural gas shortage caused an increase in coal use for electricity generation in 2021. This, and constraints on the capacity of domestic coal production to meet the energy demand at short notice, caused an increase in coal imports, which remained at the highest level since 2006. In 2021 electricity generated from coal made up 7.0 per cent of all electricity. This is the highest share of electricity generated from coal since 2012.</w:t>
      </w:r>
    </w:p>
    <w:p w14:paraId="7EB3CE0C" w14:textId="11B14EE6" w:rsidR="00FD1D4D" w:rsidRPr="00BD16B4" w:rsidRDefault="00FD1D4D" w:rsidP="0011037B">
      <w:pPr>
        <w:pStyle w:val="Heading2"/>
        <w:numPr>
          <w:ilvl w:val="0"/>
          <w:numId w:val="16"/>
        </w:numPr>
        <w:ind w:left="0" w:firstLine="0"/>
      </w:pPr>
      <w:bookmarkStart w:id="68" w:name="_Toc497740368"/>
      <w:bookmarkStart w:id="69" w:name="_Toc500796134"/>
      <w:bookmarkStart w:id="70" w:name="_Toc121774623"/>
      <w:bookmarkEnd w:id="62"/>
      <w:bookmarkEnd w:id="63"/>
      <w:r w:rsidRPr="00BD16B4">
        <w:t>Transport</w:t>
      </w:r>
      <w:bookmarkEnd w:id="68"/>
      <w:bookmarkEnd w:id="69"/>
      <w:bookmarkEnd w:id="70"/>
    </w:p>
    <w:p w14:paraId="52F4A017" w14:textId="77777777" w:rsidR="00FD1D4D" w:rsidRPr="00BD16B4" w:rsidRDefault="00FD1D4D" w:rsidP="00FD1D4D">
      <w:pPr>
        <w:pStyle w:val="BodyText"/>
        <w:rPr>
          <w:color w:val="000000"/>
          <w:lang w:eastAsia="en-GB"/>
        </w:rPr>
      </w:pPr>
      <w:r w:rsidRPr="00BD16B4">
        <w:rPr>
          <w:lang w:eastAsia="en-GB"/>
        </w:rPr>
        <w:t>International a</w:t>
      </w:r>
      <w:r w:rsidRPr="00BD16B4">
        <w:t>viation and shipping are critical due to Aotearoa New Zealand’s isolated location in the Pacific Ocean and the importance of primary industry exports and tourism to the economy</w:t>
      </w:r>
      <w:r w:rsidRPr="00BD16B4">
        <w:rPr>
          <w:color w:val="000000"/>
          <w:lang w:eastAsia="en-GB"/>
        </w:rPr>
        <w:t xml:space="preserve">. Domestically, </w:t>
      </w:r>
      <w:r w:rsidRPr="00BD16B4">
        <w:t>road transport is the central element of the country’s transport system, reflecting the small but widely distributed population and long, narrow geography. Due to its sparse population and rural-based economy, New Zealand’s domestic transportation emissions per capita are high when compared with many other developed countries. New Zealand has one of the highest rates of car ownership globally, with 796 light vehicles per 1000 people in 2020.</w:t>
      </w:r>
      <w:r w:rsidRPr="00BD16B4">
        <w:rPr>
          <w:rStyle w:val="FootnoteReference"/>
        </w:rPr>
        <w:footnoteReference w:id="74"/>
      </w:r>
      <w:r w:rsidRPr="00BD16B4">
        <w:t xml:space="preserve"> As a result, t</w:t>
      </w:r>
      <w:r w:rsidRPr="00BD16B4">
        <w:rPr>
          <w:lang w:eastAsia="en-GB"/>
        </w:rPr>
        <w:t>ransport is energy intensive and relies on fossil fuels. In 2020 transport contributed 16.7 per cent of gross domestic greenhouse gas emissions, an increase of 62.1 per cent from 1990.</w:t>
      </w:r>
      <w:r w:rsidRPr="00BD16B4">
        <w:rPr>
          <w:rStyle w:val="FootnoteReference"/>
        </w:rPr>
        <w:footnoteReference w:id="75"/>
      </w:r>
      <w:r w:rsidRPr="00BD16B4">
        <w:rPr>
          <w:lang w:eastAsia="en-GB"/>
        </w:rPr>
        <w:t xml:space="preserve"> The great majority (91.2 per cent) of these emissions are from road transport (table 2.1 and figure 2.8). </w:t>
      </w:r>
    </w:p>
    <w:p w14:paraId="0DAE6468" w14:textId="16ACD803" w:rsidR="00FD1D4D" w:rsidRPr="00BD16B4" w:rsidRDefault="00FD1D4D" w:rsidP="00BB7302">
      <w:pPr>
        <w:pStyle w:val="Tableheading"/>
      </w:pPr>
      <w:bookmarkStart w:id="71" w:name="_Toc500767013"/>
      <w:bookmarkStart w:id="72" w:name="_Toc121773784"/>
      <w:r w:rsidRPr="00BD16B4">
        <w:t>Table 2.</w:t>
      </w:r>
      <w:r w:rsidRPr="00BD16B4">
        <w:fldChar w:fldCharType="begin"/>
      </w:r>
      <w:r w:rsidRPr="00BD16B4">
        <w:instrText>SEQ Table_2. \* ARABIC</w:instrText>
      </w:r>
      <w:r w:rsidRPr="00BD16B4">
        <w:fldChar w:fldCharType="separate"/>
      </w:r>
      <w:r w:rsidR="00A60C35">
        <w:rPr>
          <w:noProof/>
        </w:rPr>
        <w:t>1</w:t>
      </w:r>
      <w:r w:rsidRPr="00BD16B4">
        <w:fldChar w:fldCharType="end"/>
      </w:r>
      <w:r w:rsidRPr="00BD16B4">
        <w:t>:</w:t>
      </w:r>
      <w:r w:rsidRPr="00BD16B4">
        <w:tab/>
        <w:t>Transportation emissions, 2020</w:t>
      </w:r>
      <w:bookmarkEnd w:id="71"/>
      <w:bookmarkEnd w:id="72"/>
    </w:p>
    <w:tbl>
      <w:tblPr>
        <w:tblW w:w="8608" w:type="dxa"/>
        <w:tblInd w:w="113"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122"/>
        <w:gridCol w:w="2268"/>
        <w:gridCol w:w="2268"/>
        <w:gridCol w:w="1950"/>
      </w:tblGrid>
      <w:tr w:rsidR="00FD1D4D" w:rsidRPr="00BD16B4" w14:paraId="600212EA" w14:textId="77777777" w:rsidTr="005C79D1">
        <w:tc>
          <w:tcPr>
            <w:tcW w:w="2122" w:type="dxa"/>
            <w:tcBorders>
              <w:bottom w:val="single" w:sz="4" w:space="0" w:color="1B556B" w:themeColor="text2"/>
            </w:tcBorders>
            <w:shd w:val="clear" w:color="000000" w:fill="1B556B" w:themeFill="text2"/>
            <w:noWrap/>
            <w:vAlign w:val="bottom"/>
            <w:hideMark/>
          </w:tcPr>
          <w:p w14:paraId="764E9948" w14:textId="77777777" w:rsidR="00FD1D4D" w:rsidRPr="00BD16B4" w:rsidRDefault="00FD1D4D" w:rsidP="005C79D1">
            <w:pPr>
              <w:pStyle w:val="TableText"/>
              <w:rPr>
                <w:color w:val="FFFFFF" w:themeColor="background1"/>
              </w:rPr>
            </w:pPr>
            <w:r w:rsidRPr="00BD16B4">
              <w:rPr>
                <w:color w:val="FFFFFF" w:themeColor="background1"/>
              </w:rPr>
              <w:t>Category</w:t>
            </w:r>
          </w:p>
        </w:tc>
        <w:tc>
          <w:tcPr>
            <w:tcW w:w="2268" w:type="dxa"/>
            <w:tcBorders>
              <w:bottom w:val="single" w:sz="4" w:space="0" w:color="1B556B" w:themeColor="text2"/>
            </w:tcBorders>
            <w:shd w:val="clear" w:color="000000" w:fill="1B556B" w:themeFill="text2"/>
            <w:noWrap/>
            <w:vAlign w:val="bottom"/>
            <w:hideMark/>
          </w:tcPr>
          <w:p w14:paraId="405B6581" w14:textId="77777777" w:rsidR="00FD1D4D" w:rsidRPr="00BD16B4" w:rsidRDefault="00FD1D4D" w:rsidP="005C79D1">
            <w:pPr>
              <w:pStyle w:val="TableText"/>
              <w:jc w:val="right"/>
              <w:rPr>
                <w:color w:val="FFFFFF" w:themeColor="background1"/>
              </w:rPr>
            </w:pPr>
            <w:r w:rsidRPr="00BD16B4">
              <w:rPr>
                <w:color w:val="FFFFFF" w:themeColor="background1"/>
              </w:rPr>
              <w:t>Emissions (kilotonnes of carbon dioxide equivalent)</w:t>
            </w:r>
          </w:p>
        </w:tc>
        <w:tc>
          <w:tcPr>
            <w:tcW w:w="2268" w:type="dxa"/>
            <w:tcBorders>
              <w:bottom w:val="single" w:sz="4" w:space="0" w:color="1B556B" w:themeColor="text2"/>
            </w:tcBorders>
            <w:shd w:val="clear" w:color="000000" w:fill="1B556B" w:themeFill="text2"/>
            <w:noWrap/>
            <w:vAlign w:val="bottom"/>
            <w:hideMark/>
          </w:tcPr>
          <w:p w14:paraId="0D51D391" w14:textId="77777777" w:rsidR="00FD1D4D" w:rsidRPr="00BD16B4" w:rsidRDefault="00FD1D4D" w:rsidP="005C79D1">
            <w:pPr>
              <w:pStyle w:val="TableText"/>
              <w:jc w:val="right"/>
              <w:rPr>
                <w:color w:val="FFFFFF" w:themeColor="background1"/>
              </w:rPr>
            </w:pPr>
            <w:r w:rsidRPr="00BD16B4">
              <w:rPr>
                <w:color w:val="FFFFFF" w:themeColor="background1"/>
              </w:rPr>
              <w:t>Percentage of total transport emissions</w:t>
            </w:r>
          </w:p>
        </w:tc>
        <w:tc>
          <w:tcPr>
            <w:tcW w:w="1950" w:type="dxa"/>
            <w:tcBorders>
              <w:bottom w:val="single" w:sz="4" w:space="0" w:color="1B556B" w:themeColor="text2"/>
            </w:tcBorders>
            <w:shd w:val="clear" w:color="000000" w:fill="1B556B" w:themeFill="text2"/>
            <w:noWrap/>
            <w:vAlign w:val="bottom"/>
            <w:hideMark/>
          </w:tcPr>
          <w:p w14:paraId="172E2304" w14:textId="77777777" w:rsidR="00FD1D4D" w:rsidRPr="00BD16B4" w:rsidRDefault="00FD1D4D" w:rsidP="005C79D1">
            <w:pPr>
              <w:pStyle w:val="TableText"/>
              <w:jc w:val="right"/>
              <w:rPr>
                <w:color w:val="FFFFFF" w:themeColor="background1"/>
              </w:rPr>
            </w:pPr>
            <w:r w:rsidRPr="00BD16B4">
              <w:rPr>
                <w:color w:val="FFFFFF" w:themeColor="background1"/>
              </w:rPr>
              <w:t>Percentage of total energy sector</w:t>
            </w:r>
          </w:p>
        </w:tc>
      </w:tr>
      <w:tr w:rsidR="00FD1D4D" w:rsidRPr="00BD16B4" w14:paraId="63C4A5A0" w14:textId="77777777" w:rsidTr="005C79D1">
        <w:tc>
          <w:tcPr>
            <w:tcW w:w="2122" w:type="dxa"/>
            <w:shd w:val="clear" w:color="000000" w:fill="D2DDE1" w:themeFill="background2"/>
            <w:noWrap/>
            <w:vAlign w:val="center"/>
            <w:hideMark/>
          </w:tcPr>
          <w:p w14:paraId="4A9C7944" w14:textId="77777777" w:rsidR="00FD1D4D" w:rsidRPr="00BD16B4" w:rsidRDefault="00FD1D4D" w:rsidP="005C79D1">
            <w:pPr>
              <w:pStyle w:val="TableText"/>
              <w:rPr>
                <w:color w:val="000000"/>
              </w:rPr>
            </w:pPr>
            <w:r w:rsidRPr="00BD16B4">
              <w:t>Road transportation</w:t>
            </w:r>
          </w:p>
        </w:tc>
        <w:tc>
          <w:tcPr>
            <w:tcW w:w="2268" w:type="dxa"/>
            <w:shd w:val="clear" w:color="000000" w:fill="D2DDE1" w:themeFill="background2"/>
            <w:noWrap/>
            <w:vAlign w:val="center"/>
            <w:hideMark/>
          </w:tcPr>
          <w:p w14:paraId="6FE512DF" w14:textId="77777777" w:rsidR="00FD1D4D" w:rsidRPr="00BD16B4" w:rsidRDefault="00FD1D4D" w:rsidP="005C79D1">
            <w:pPr>
              <w:pStyle w:val="TableText"/>
              <w:jc w:val="right"/>
              <w:rPr>
                <w:color w:val="000000"/>
              </w:rPr>
            </w:pPr>
            <w:r w:rsidRPr="00BD16B4">
              <w:rPr>
                <w:color w:val="000000"/>
              </w:rPr>
              <w:t>12,023.2</w:t>
            </w:r>
          </w:p>
        </w:tc>
        <w:tc>
          <w:tcPr>
            <w:tcW w:w="2268" w:type="dxa"/>
            <w:tcBorders>
              <w:bottom w:val="single" w:sz="4" w:space="0" w:color="1B556B" w:themeColor="text2"/>
            </w:tcBorders>
            <w:shd w:val="clear" w:color="000000" w:fill="D2DDE1" w:themeFill="background2"/>
            <w:noWrap/>
            <w:vAlign w:val="center"/>
            <w:hideMark/>
          </w:tcPr>
          <w:p w14:paraId="4211E7CD" w14:textId="77777777" w:rsidR="00FD1D4D" w:rsidRPr="00BD16B4" w:rsidRDefault="00FD1D4D" w:rsidP="005C79D1">
            <w:pPr>
              <w:pStyle w:val="TableText"/>
              <w:jc w:val="right"/>
              <w:rPr>
                <w:color w:val="000000"/>
              </w:rPr>
            </w:pPr>
            <w:r w:rsidRPr="00BD16B4">
              <w:t>91.2%</w:t>
            </w:r>
          </w:p>
        </w:tc>
        <w:tc>
          <w:tcPr>
            <w:tcW w:w="1950" w:type="dxa"/>
            <w:shd w:val="clear" w:color="000000" w:fill="D2DDE1" w:themeFill="background2"/>
            <w:noWrap/>
            <w:vAlign w:val="center"/>
            <w:hideMark/>
          </w:tcPr>
          <w:p w14:paraId="43F687CD" w14:textId="77777777" w:rsidR="00FD1D4D" w:rsidRPr="00BD16B4" w:rsidRDefault="00FD1D4D" w:rsidP="005C79D1">
            <w:pPr>
              <w:pStyle w:val="TableText"/>
              <w:jc w:val="right"/>
              <w:rPr>
                <w:color w:val="000000"/>
              </w:rPr>
            </w:pPr>
            <w:r w:rsidRPr="00BD16B4">
              <w:t>38.2%</w:t>
            </w:r>
          </w:p>
        </w:tc>
      </w:tr>
      <w:tr w:rsidR="00FD1D4D" w:rsidRPr="00BD16B4" w14:paraId="3E9F5AAF" w14:textId="77777777" w:rsidTr="005C79D1">
        <w:tc>
          <w:tcPr>
            <w:tcW w:w="2122" w:type="dxa"/>
            <w:tcBorders>
              <w:bottom w:val="single" w:sz="4" w:space="0" w:color="1B556B" w:themeColor="text2"/>
            </w:tcBorders>
            <w:shd w:val="clear" w:color="auto" w:fill="auto"/>
            <w:noWrap/>
            <w:vAlign w:val="center"/>
            <w:hideMark/>
          </w:tcPr>
          <w:p w14:paraId="0A12E962" w14:textId="77777777" w:rsidR="00FD1D4D" w:rsidRPr="00BD16B4" w:rsidRDefault="00FD1D4D" w:rsidP="005C79D1">
            <w:pPr>
              <w:pStyle w:val="TableText"/>
              <w:rPr>
                <w:color w:val="000000"/>
              </w:rPr>
            </w:pPr>
            <w:r w:rsidRPr="00BD16B4">
              <w:rPr>
                <w:color w:val="000000"/>
              </w:rPr>
              <w:t>Domestic aviation</w:t>
            </w:r>
          </w:p>
        </w:tc>
        <w:tc>
          <w:tcPr>
            <w:tcW w:w="2268" w:type="dxa"/>
            <w:tcBorders>
              <w:bottom w:val="single" w:sz="4" w:space="0" w:color="1B556B" w:themeColor="text2"/>
            </w:tcBorders>
            <w:shd w:val="clear" w:color="auto" w:fill="auto"/>
            <w:noWrap/>
            <w:vAlign w:val="center"/>
            <w:hideMark/>
          </w:tcPr>
          <w:p w14:paraId="12900A8E" w14:textId="77777777" w:rsidR="00FD1D4D" w:rsidRPr="00BD16B4" w:rsidRDefault="00FD1D4D" w:rsidP="005C79D1">
            <w:pPr>
              <w:pStyle w:val="TableText"/>
              <w:jc w:val="right"/>
              <w:rPr>
                <w:color w:val="000000"/>
              </w:rPr>
            </w:pPr>
            <w:r w:rsidRPr="00BD16B4">
              <w:rPr>
                <w:color w:val="000000"/>
              </w:rPr>
              <w:t>709.8</w:t>
            </w:r>
          </w:p>
        </w:tc>
        <w:tc>
          <w:tcPr>
            <w:tcW w:w="2268" w:type="dxa"/>
            <w:tcBorders>
              <w:bottom w:val="single" w:sz="4" w:space="0" w:color="1B556B" w:themeColor="text2"/>
            </w:tcBorders>
            <w:shd w:val="clear" w:color="auto" w:fill="D2DDE1" w:themeFill="background2"/>
            <w:noWrap/>
            <w:vAlign w:val="center"/>
            <w:hideMark/>
          </w:tcPr>
          <w:p w14:paraId="3AF194AC" w14:textId="77777777" w:rsidR="00FD1D4D" w:rsidRPr="00BD16B4" w:rsidRDefault="00FD1D4D" w:rsidP="005C79D1">
            <w:pPr>
              <w:pStyle w:val="TableText"/>
              <w:jc w:val="right"/>
              <w:rPr>
                <w:color w:val="000000"/>
              </w:rPr>
            </w:pPr>
            <w:r w:rsidRPr="00BD16B4">
              <w:rPr>
                <w:color w:val="000000"/>
              </w:rPr>
              <w:t>5.4%</w:t>
            </w:r>
          </w:p>
        </w:tc>
        <w:tc>
          <w:tcPr>
            <w:tcW w:w="1950" w:type="dxa"/>
            <w:tcBorders>
              <w:bottom w:val="single" w:sz="4" w:space="0" w:color="1B556B" w:themeColor="text2"/>
            </w:tcBorders>
            <w:shd w:val="clear" w:color="auto" w:fill="auto"/>
            <w:noWrap/>
            <w:vAlign w:val="center"/>
            <w:hideMark/>
          </w:tcPr>
          <w:p w14:paraId="60E14EF8" w14:textId="77777777" w:rsidR="00FD1D4D" w:rsidRPr="00BD16B4" w:rsidRDefault="00FD1D4D" w:rsidP="005C79D1">
            <w:pPr>
              <w:pStyle w:val="TableText"/>
              <w:jc w:val="right"/>
              <w:rPr>
                <w:color w:val="000000"/>
              </w:rPr>
            </w:pPr>
            <w:r w:rsidRPr="00BD16B4">
              <w:rPr>
                <w:color w:val="000000"/>
              </w:rPr>
              <w:t>2.3%</w:t>
            </w:r>
          </w:p>
        </w:tc>
      </w:tr>
      <w:tr w:rsidR="00FD1D4D" w:rsidRPr="00BD16B4" w14:paraId="03D0D0A2" w14:textId="77777777" w:rsidTr="005C79D1">
        <w:tc>
          <w:tcPr>
            <w:tcW w:w="2122" w:type="dxa"/>
            <w:shd w:val="clear" w:color="000000" w:fill="D2DDE1" w:themeFill="background2"/>
            <w:noWrap/>
            <w:vAlign w:val="center"/>
            <w:hideMark/>
          </w:tcPr>
          <w:p w14:paraId="0266B635" w14:textId="77777777" w:rsidR="00FD1D4D" w:rsidRPr="00BD16B4" w:rsidRDefault="00FD1D4D" w:rsidP="005C79D1">
            <w:pPr>
              <w:pStyle w:val="TableText"/>
              <w:rPr>
                <w:color w:val="000000"/>
              </w:rPr>
            </w:pPr>
            <w:r w:rsidRPr="00BD16B4">
              <w:rPr>
                <w:rFonts w:eastAsia="Calibri"/>
              </w:rPr>
              <w:t>Domestic navigation</w:t>
            </w:r>
          </w:p>
        </w:tc>
        <w:tc>
          <w:tcPr>
            <w:tcW w:w="2268" w:type="dxa"/>
            <w:shd w:val="clear" w:color="000000" w:fill="D2DDE1" w:themeFill="background2"/>
            <w:noWrap/>
            <w:vAlign w:val="center"/>
            <w:hideMark/>
          </w:tcPr>
          <w:p w14:paraId="3968BF6F" w14:textId="77777777" w:rsidR="00FD1D4D" w:rsidRPr="00BD16B4" w:rsidRDefault="00FD1D4D" w:rsidP="005C79D1">
            <w:pPr>
              <w:pStyle w:val="TableText"/>
              <w:jc w:val="right"/>
              <w:rPr>
                <w:color w:val="000000"/>
              </w:rPr>
            </w:pPr>
            <w:r w:rsidRPr="00BD16B4">
              <w:rPr>
                <w:color w:val="000000"/>
              </w:rPr>
              <w:t>274.5</w:t>
            </w:r>
          </w:p>
        </w:tc>
        <w:tc>
          <w:tcPr>
            <w:tcW w:w="2268" w:type="dxa"/>
            <w:shd w:val="clear" w:color="auto" w:fill="D2DDE1" w:themeFill="background2"/>
            <w:noWrap/>
            <w:vAlign w:val="center"/>
            <w:hideMark/>
          </w:tcPr>
          <w:p w14:paraId="0284D74D" w14:textId="77777777" w:rsidR="00FD1D4D" w:rsidRPr="00BD16B4" w:rsidRDefault="00FD1D4D" w:rsidP="005C79D1">
            <w:pPr>
              <w:pStyle w:val="TableText"/>
              <w:jc w:val="right"/>
              <w:rPr>
                <w:color w:val="000000"/>
              </w:rPr>
            </w:pPr>
            <w:r w:rsidRPr="00BD16B4">
              <w:t>2.1%</w:t>
            </w:r>
          </w:p>
        </w:tc>
        <w:tc>
          <w:tcPr>
            <w:tcW w:w="1950" w:type="dxa"/>
            <w:shd w:val="clear" w:color="000000" w:fill="D2DDE1" w:themeFill="background2"/>
            <w:noWrap/>
            <w:vAlign w:val="center"/>
            <w:hideMark/>
          </w:tcPr>
          <w:p w14:paraId="3D446483" w14:textId="77777777" w:rsidR="00FD1D4D" w:rsidRPr="00BD16B4" w:rsidRDefault="00FD1D4D" w:rsidP="005C79D1">
            <w:pPr>
              <w:pStyle w:val="TableText"/>
              <w:jc w:val="right"/>
              <w:rPr>
                <w:color w:val="000000"/>
              </w:rPr>
            </w:pPr>
            <w:r w:rsidRPr="00BD16B4">
              <w:t>0.9%</w:t>
            </w:r>
          </w:p>
        </w:tc>
      </w:tr>
      <w:tr w:rsidR="00FD1D4D" w:rsidRPr="00BD16B4" w14:paraId="220B3AA1" w14:textId="77777777" w:rsidTr="005C79D1">
        <w:tc>
          <w:tcPr>
            <w:tcW w:w="2122" w:type="dxa"/>
            <w:tcBorders>
              <w:bottom w:val="single" w:sz="4" w:space="0" w:color="1B556B" w:themeColor="text2"/>
            </w:tcBorders>
            <w:shd w:val="clear" w:color="auto" w:fill="auto"/>
            <w:noWrap/>
            <w:vAlign w:val="center"/>
            <w:hideMark/>
          </w:tcPr>
          <w:p w14:paraId="7CE09590" w14:textId="77777777" w:rsidR="00FD1D4D" w:rsidRPr="00BD16B4" w:rsidRDefault="00FD1D4D" w:rsidP="005C79D1">
            <w:pPr>
              <w:pStyle w:val="TableText"/>
              <w:rPr>
                <w:color w:val="000000"/>
              </w:rPr>
            </w:pPr>
            <w:r w:rsidRPr="00BD16B4">
              <w:rPr>
                <w:rFonts w:eastAsia="Calibri"/>
                <w:color w:val="000000"/>
              </w:rPr>
              <w:t>Railways</w:t>
            </w:r>
          </w:p>
        </w:tc>
        <w:tc>
          <w:tcPr>
            <w:tcW w:w="2268" w:type="dxa"/>
            <w:tcBorders>
              <w:bottom w:val="single" w:sz="4" w:space="0" w:color="1B556B" w:themeColor="text2"/>
            </w:tcBorders>
            <w:shd w:val="clear" w:color="auto" w:fill="auto"/>
            <w:noWrap/>
            <w:vAlign w:val="center"/>
            <w:hideMark/>
          </w:tcPr>
          <w:p w14:paraId="4ED6B6CA" w14:textId="77777777" w:rsidR="00FD1D4D" w:rsidRPr="00BD16B4" w:rsidRDefault="00FD1D4D" w:rsidP="005C79D1">
            <w:pPr>
              <w:pStyle w:val="TableText"/>
              <w:jc w:val="right"/>
              <w:rPr>
                <w:color w:val="000000"/>
              </w:rPr>
            </w:pPr>
            <w:r w:rsidRPr="00BD16B4">
              <w:rPr>
                <w:color w:val="000000"/>
              </w:rPr>
              <w:t>126.2</w:t>
            </w:r>
          </w:p>
        </w:tc>
        <w:tc>
          <w:tcPr>
            <w:tcW w:w="2268" w:type="dxa"/>
            <w:tcBorders>
              <w:bottom w:val="single" w:sz="4" w:space="0" w:color="1B556B" w:themeColor="text2"/>
            </w:tcBorders>
            <w:shd w:val="clear" w:color="auto" w:fill="D2DDE1" w:themeFill="background2"/>
            <w:noWrap/>
            <w:vAlign w:val="center"/>
            <w:hideMark/>
          </w:tcPr>
          <w:p w14:paraId="1E2F386E" w14:textId="77777777" w:rsidR="00FD1D4D" w:rsidRPr="00BD16B4" w:rsidRDefault="00FD1D4D" w:rsidP="005C79D1">
            <w:pPr>
              <w:pStyle w:val="TableText"/>
              <w:jc w:val="right"/>
              <w:rPr>
                <w:color w:val="000000"/>
              </w:rPr>
            </w:pPr>
            <w:r w:rsidRPr="00BD16B4">
              <w:rPr>
                <w:color w:val="000000"/>
              </w:rPr>
              <w:t>1.0%</w:t>
            </w:r>
          </w:p>
        </w:tc>
        <w:tc>
          <w:tcPr>
            <w:tcW w:w="1950" w:type="dxa"/>
            <w:tcBorders>
              <w:bottom w:val="single" w:sz="4" w:space="0" w:color="1B556B" w:themeColor="text2"/>
            </w:tcBorders>
            <w:shd w:val="clear" w:color="auto" w:fill="auto"/>
            <w:noWrap/>
            <w:vAlign w:val="center"/>
            <w:hideMark/>
          </w:tcPr>
          <w:p w14:paraId="14948DA9" w14:textId="77777777" w:rsidR="00FD1D4D" w:rsidRPr="00BD16B4" w:rsidRDefault="00FD1D4D" w:rsidP="005C79D1">
            <w:pPr>
              <w:pStyle w:val="TableText"/>
              <w:jc w:val="right"/>
              <w:rPr>
                <w:color w:val="000000"/>
              </w:rPr>
            </w:pPr>
            <w:r w:rsidRPr="00BD16B4">
              <w:rPr>
                <w:color w:val="000000"/>
              </w:rPr>
              <w:t>0.4%</w:t>
            </w:r>
          </w:p>
        </w:tc>
      </w:tr>
      <w:tr w:rsidR="00FD1D4D" w:rsidRPr="00BD16B4" w14:paraId="61498F14" w14:textId="77777777" w:rsidTr="005C79D1">
        <w:tc>
          <w:tcPr>
            <w:tcW w:w="2122" w:type="dxa"/>
            <w:shd w:val="clear" w:color="000000" w:fill="D2DDE1" w:themeFill="background2"/>
            <w:noWrap/>
            <w:vAlign w:val="center"/>
            <w:hideMark/>
          </w:tcPr>
          <w:p w14:paraId="23D4E8BD" w14:textId="77777777" w:rsidR="00FD1D4D" w:rsidRPr="00BD16B4" w:rsidRDefault="00FD1D4D" w:rsidP="005C79D1">
            <w:pPr>
              <w:pStyle w:val="TableText"/>
              <w:rPr>
                <w:color w:val="000000"/>
              </w:rPr>
            </w:pPr>
            <w:r w:rsidRPr="00BD16B4">
              <w:rPr>
                <w:rFonts w:eastAsia="Calibri"/>
              </w:rPr>
              <w:t>Other transportation</w:t>
            </w:r>
          </w:p>
        </w:tc>
        <w:tc>
          <w:tcPr>
            <w:tcW w:w="2268" w:type="dxa"/>
            <w:shd w:val="clear" w:color="000000" w:fill="D2DDE1" w:themeFill="background2"/>
            <w:noWrap/>
            <w:vAlign w:val="center"/>
            <w:hideMark/>
          </w:tcPr>
          <w:p w14:paraId="39F1619E" w14:textId="77777777" w:rsidR="00FD1D4D" w:rsidRPr="00BD16B4" w:rsidRDefault="00FD1D4D" w:rsidP="005C79D1">
            <w:pPr>
              <w:pStyle w:val="TableText"/>
              <w:jc w:val="right"/>
              <w:rPr>
                <w:color w:val="000000"/>
              </w:rPr>
            </w:pPr>
            <w:r w:rsidRPr="00BD16B4">
              <w:rPr>
                <w:color w:val="000000"/>
              </w:rPr>
              <w:t>42.8</w:t>
            </w:r>
          </w:p>
        </w:tc>
        <w:tc>
          <w:tcPr>
            <w:tcW w:w="2268" w:type="dxa"/>
            <w:shd w:val="clear" w:color="000000" w:fill="D2DDE1" w:themeFill="background2"/>
            <w:noWrap/>
            <w:vAlign w:val="center"/>
            <w:hideMark/>
          </w:tcPr>
          <w:p w14:paraId="7C3AC4C2" w14:textId="77777777" w:rsidR="00FD1D4D" w:rsidRPr="00BD16B4" w:rsidRDefault="00FD1D4D" w:rsidP="005C79D1">
            <w:pPr>
              <w:pStyle w:val="TableText"/>
              <w:jc w:val="right"/>
              <w:rPr>
                <w:color w:val="000000"/>
              </w:rPr>
            </w:pPr>
            <w:r w:rsidRPr="00BD16B4">
              <w:t>0.3%</w:t>
            </w:r>
          </w:p>
        </w:tc>
        <w:tc>
          <w:tcPr>
            <w:tcW w:w="1950" w:type="dxa"/>
            <w:shd w:val="clear" w:color="000000" w:fill="D2DDE1" w:themeFill="background2"/>
            <w:noWrap/>
            <w:vAlign w:val="center"/>
            <w:hideMark/>
          </w:tcPr>
          <w:p w14:paraId="759B48EC" w14:textId="77777777" w:rsidR="00FD1D4D" w:rsidRPr="00BD16B4" w:rsidRDefault="00FD1D4D" w:rsidP="005C79D1">
            <w:pPr>
              <w:pStyle w:val="TableText"/>
              <w:jc w:val="right"/>
              <w:rPr>
                <w:color w:val="000000"/>
              </w:rPr>
            </w:pPr>
            <w:r w:rsidRPr="00BD16B4">
              <w:t>0.1%</w:t>
            </w:r>
          </w:p>
        </w:tc>
      </w:tr>
      <w:tr w:rsidR="00FD1D4D" w:rsidRPr="00BD16B4" w14:paraId="6D45EE25" w14:textId="77777777" w:rsidTr="005C79D1">
        <w:tc>
          <w:tcPr>
            <w:tcW w:w="2122" w:type="dxa"/>
            <w:shd w:val="clear" w:color="auto" w:fill="auto"/>
            <w:noWrap/>
            <w:vAlign w:val="center"/>
            <w:hideMark/>
          </w:tcPr>
          <w:p w14:paraId="5E02CA28" w14:textId="77777777" w:rsidR="00FD1D4D" w:rsidRPr="00BD16B4" w:rsidRDefault="00FD1D4D" w:rsidP="005C79D1">
            <w:pPr>
              <w:pStyle w:val="TableText"/>
            </w:pPr>
            <w:r w:rsidRPr="00BD16B4">
              <w:rPr>
                <w:rFonts w:eastAsia="Calibri"/>
              </w:rPr>
              <w:t>Total</w:t>
            </w:r>
          </w:p>
        </w:tc>
        <w:tc>
          <w:tcPr>
            <w:tcW w:w="2268" w:type="dxa"/>
            <w:shd w:val="clear" w:color="auto" w:fill="auto"/>
            <w:noWrap/>
            <w:vAlign w:val="center"/>
            <w:hideMark/>
          </w:tcPr>
          <w:p w14:paraId="2C123CD8" w14:textId="77777777" w:rsidR="00FD1D4D" w:rsidRPr="00BD16B4" w:rsidRDefault="00FD1D4D" w:rsidP="005C79D1">
            <w:pPr>
              <w:pStyle w:val="TableText"/>
              <w:jc w:val="right"/>
            </w:pPr>
            <w:r w:rsidRPr="00BD16B4">
              <w:t>13,176.4</w:t>
            </w:r>
          </w:p>
        </w:tc>
        <w:tc>
          <w:tcPr>
            <w:tcW w:w="2268" w:type="dxa"/>
            <w:shd w:val="clear" w:color="auto" w:fill="auto"/>
            <w:noWrap/>
            <w:vAlign w:val="center"/>
            <w:hideMark/>
          </w:tcPr>
          <w:p w14:paraId="52B4FBEA" w14:textId="77777777" w:rsidR="00FD1D4D" w:rsidRPr="00BD16B4" w:rsidRDefault="00FD1D4D" w:rsidP="005C79D1">
            <w:pPr>
              <w:pStyle w:val="TableText"/>
              <w:jc w:val="right"/>
            </w:pPr>
            <w:r w:rsidRPr="00BD16B4">
              <w:t>100.0%</w:t>
            </w:r>
          </w:p>
        </w:tc>
        <w:tc>
          <w:tcPr>
            <w:tcW w:w="1950" w:type="dxa"/>
            <w:shd w:val="clear" w:color="auto" w:fill="auto"/>
            <w:noWrap/>
            <w:vAlign w:val="center"/>
            <w:hideMark/>
          </w:tcPr>
          <w:p w14:paraId="04312ADC" w14:textId="77777777" w:rsidR="00FD1D4D" w:rsidRPr="00BD16B4" w:rsidRDefault="00FD1D4D" w:rsidP="005C79D1">
            <w:pPr>
              <w:pStyle w:val="TableText"/>
              <w:jc w:val="right"/>
            </w:pPr>
            <w:r w:rsidRPr="00BD16B4">
              <w:t>41.9%</w:t>
            </w:r>
          </w:p>
        </w:tc>
      </w:tr>
    </w:tbl>
    <w:p w14:paraId="2ECDF26F" w14:textId="77777777" w:rsidR="00FD1D4D" w:rsidRPr="00BD16B4" w:rsidRDefault="00FD1D4D" w:rsidP="00120409">
      <w:pPr>
        <w:pStyle w:val="Note"/>
      </w:pPr>
      <w:bookmarkStart w:id="73" w:name="_Toc497740674"/>
      <w:bookmarkStart w:id="74" w:name="_Toc500767103"/>
      <w:r w:rsidRPr="00BD16B4">
        <w:rPr>
          <w:b/>
          <w:bCs/>
          <w:lang w:eastAsia="en-GB"/>
        </w:rPr>
        <w:t>Note:</w:t>
      </w:r>
      <w:r w:rsidRPr="00BD16B4">
        <w:rPr>
          <w:lang w:eastAsia="en-GB"/>
        </w:rPr>
        <w:t xml:space="preserve"> Columns may not total due to rounding.</w:t>
      </w:r>
    </w:p>
    <w:p w14:paraId="2DDA62DE" w14:textId="78D9E2EB" w:rsidR="00FD1D4D" w:rsidRPr="00BD16B4" w:rsidRDefault="00FD1D4D" w:rsidP="00EC76A2">
      <w:pPr>
        <w:pStyle w:val="Figureheading"/>
      </w:pPr>
      <w:bookmarkStart w:id="75" w:name="_Toc121494374"/>
      <w:r w:rsidRPr="00BD16B4">
        <w:lastRenderedPageBreak/>
        <w:t>Figure 2.</w:t>
      </w:r>
      <w:r w:rsidRPr="00BD16B4">
        <w:fldChar w:fldCharType="begin"/>
      </w:r>
      <w:r w:rsidRPr="00BD16B4">
        <w:instrText>SEQ Figure_2. \* ARABIC</w:instrText>
      </w:r>
      <w:r w:rsidRPr="00BD16B4">
        <w:fldChar w:fldCharType="separate"/>
      </w:r>
      <w:r w:rsidR="00A60C35">
        <w:rPr>
          <w:noProof/>
        </w:rPr>
        <w:t>8</w:t>
      </w:r>
      <w:r w:rsidRPr="00BD16B4">
        <w:fldChar w:fldCharType="end"/>
      </w:r>
      <w:r w:rsidRPr="00BD16B4">
        <w:t>:</w:t>
      </w:r>
      <w:r w:rsidRPr="00BD16B4">
        <w:tab/>
        <w:t>Domestic transport emissions by mode (kt CO</w:t>
      </w:r>
      <w:r w:rsidRPr="00BD16B4">
        <w:rPr>
          <w:vertAlign w:val="subscript"/>
        </w:rPr>
        <w:t>2</w:t>
      </w:r>
      <w:r w:rsidRPr="00BD16B4">
        <w:t>-e), 1990–2020</w:t>
      </w:r>
      <w:bookmarkEnd w:id="73"/>
      <w:bookmarkEnd w:id="74"/>
      <w:bookmarkEnd w:id="75"/>
    </w:p>
    <w:p w14:paraId="2E0FB09F" w14:textId="77777777" w:rsidR="00FD1D4D" w:rsidRPr="00BD16B4" w:rsidRDefault="00FD1D4D" w:rsidP="00FD1D4D">
      <w:pPr>
        <w:pStyle w:val="BodyText"/>
      </w:pPr>
      <w:r w:rsidRPr="00BD16B4">
        <w:rPr>
          <w:noProof/>
        </w:rPr>
        <w:drawing>
          <wp:inline distT="0" distB="0" distL="0" distR="0" wp14:anchorId="2FDB3E68" wp14:editId="08F5DC13">
            <wp:extent cx="4572000" cy="2743200"/>
            <wp:effectExtent l="0" t="0" r="0" b="0"/>
            <wp:docPr id="19" name="Chart 19">
              <a:extLst xmlns:a="http://schemas.openxmlformats.org/drawingml/2006/main">
                <a:ext uri="{FF2B5EF4-FFF2-40B4-BE49-F238E27FC236}">
                  <a16:creationId xmlns:a16="http://schemas.microsoft.com/office/drawing/2014/main" id="{2E1E8816-F9FB-4EA5-F26A-CB554708C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AF792AA" w14:textId="77777777" w:rsidR="00FD1D4D" w:rsidRPr="00BD16B4" w:rsidRDefault="00FD1D4D" w:rsidP="00120409">
      <w:pPr>
        <w:pStyle w:val="Note"/>
      </w:pPr>
      <w:r w:rsidRPr="00BD16B4">
        <w:rPr>
          <w:bCs/>
        </w:rPr>
        <w:t>Source:</w:t>
      </w:r>
      <w:r w:rsidRPr="00BD16B4">
        <w:rPr>
          <w:b/>
        </w:rPr>
        <w:t xml:space="preserve"> </w:t>
      </w:r>
      <w:r w:rsidRPr="00BD16B4">
        <w:t xml:space="preserve">Ministry of Business, Innovation and Employment. </w:t>
      </w:r>
      <w:r w:rsidRPr="00BD16B4">
        <w:rPr>
          <w:i/>
          <w:iCs/>
        </w:rPr>
        <w:t>New Zealand Energy Sector Greenhouse Gas Emissions</w:t>
      </w:r>
      <w:r w:rsidRPr="00BD16B4">
        <w:t xml:space="preserve">. Retrieved from </w:t>
      </w:r>
      <w:hyperlink r:id="rId46" w:history="1">
        <w:r w:rsidRPr="00BD16B4">
          <w:rPr>
            <w:rStyle w:val="Hyperlink"/>
          </w:rPr>
          <w:t>www.mbie.govt.nz/building-and-energy/energy-and-natural-resources/energy-statistics-and-modelling/energy-statistics/new-zealand-energy-sector-greenhouse-gas-emissions</w:t>
        </w:r>
      </w:hyperlink>
      <w:r w:rsidRPr="00BD16B4">
        <w:t>.</w:t>
      </w:r>
    </w:p>
    <w:p w14:paraId="76C2417F" w14:textId="77777777" w:rsidR="00FD1D4D" w:rsidRPr="00BD16B4" w:rsidRDefault="00FD1D4D" w:rsidP="00FD1D4D">
      <w:pPr>
        <w:pStyle w:val="Heading3"/>
      </w:pPr>
      <w:r w:rsidRPr="00BD16B4">
        <w:t>2.8.1</w:t>
      </w:r>
      <w:r w:rsidRPr="00BD16B4">
        <w:tab/>
        <w:t>Road transport</w:t>
      </w:r>
    </w:p>
    <w:p w14:paraId="155798C1" w14:textId="77777777" w:rsidR="00FD1D4D" w:rsidRPr="00BD16B4" w:rsidRDefault="00FD1D4D" w:rsidP="00FD1D4D">
      <w:pPr>
        <w:pStyle w:val="BodyText"/>
        <w:rPr>
          <w:lang w:eastAsia="en-GB"/>
        </w:rPr>
      </w:pPr>
      <w:r w:rsidRPr="00BD16B4">
        <w:rPr>
          <w:lang w:eastAsia="en-GB"/>
        </w:rPr>
        <w:t>New Zealand has 94,000 kilometres of roads with over 4200 bridges on the state highway network. The majority of its vehicles (91.2 per cent in 2020) are light vehicles (those that have a gross vehicle mass of less than 3.5 tonnes). In 2020, 77 per cent of the light vehicle fleet was powered by petrol and 20 per cent by diesel, while about 2 per cent were petrol/electric hybrid and 0.5 per cent were fully electric vehicles.</w:t>
      </w:r>
    </w:p>
    <w:p w14:paraId="5C8BE214" w14:textId="13A15366" w:rsidR="00FD1D4D" w:rsidRPr="00BD16B4" w:rsidRDefault="00FD1D4D" w:rsidP="00FD1D4D">
      <w:pPr>
        <w:pStyle w:val="BodyText"/>
        <w:rPr>
          <w:lang w:eastAsia="en-GB"/>
        </w:rPr>
      </w:pPr>
      <w:r w:rsidRPr="00BD16B4">
        <w:rPr>
          <w:lang w:eastAsia="en-GB"/>
        </w:rPr>
        <w:t>The country has a relatively old vehicle fleet: in 2020 on average the age of the light vehicle fleet was 14.3 years and the age of the truck fleet was 18.0 years. New Zealand’s light vehicle fleet is older compared with the fleets in other OECD countries that have similar high levels of</w:t>
      </w:r>
      <w:r w:rsidR="00E90A5B" w:rsidRPr="00BD16B4">
        <w:rPr>
          <w:lang w:eastAsia="en-GB"/>
        </w:rPr>
        <w:t> </w:t>
      </w:r>
      <w:r w:rsidRPr="00BD16B4">
        <w:rPr>
          <w:lang w:eastAsia="en-GB"/>
        </w:rPr>
        <w:t xml:space="preserve">motorisation and similar patterns of development, including the </w:t>
      </w:r>
      <w:r w:rsidRPr="00BD16B4">
        <w:t>United States (11.8 years for light vehicles in 2019), Australia (10.4 years for all vehicles in 2019) and Canada (9.7 years for light vehicles in 2017</w:t>
      </w:r>
      <w:r w:rsidRPr="00BD16B4">
        <w:rPr>
          <w:lang w:eastAsia="en-GB"/>
        </w:rPr>
        <w:t>).</w:t>
      </w:r>
    </w:p>
    <w:p w14:paraId="7D6CFB6B" w14:textId="7A61DA64" w:rsidR="00FD1D4D" w:rsidRPr="00BD16B4" w:rsidRDefault="00FD1D4D" w:rsidP="00FD1D4D">
      <w:pPr>
        <w:pStyle w:val="BodyText"/>
        <w:rPr>
          <w:lang w:eastAsia="en-GB"/>
        </w:rPr>
      </w:pPr>
      <w:r w:rsidRPr="00BD16B4">
        <w:rPr>
          <w:lang w:eastAsia="en-GB"/>
        </w:rPr>
        <w:t>In 2020 there were approximately 4.0 million light vehicles in New Zealand, which is the equivalent of 797 light vehicles for every 1000 people. This number increased between the</w:t>
      </w:r>
      <w:r w:rsidR="00654C64" w:rsidRPr="00BD16B4">
        <w:rPr>
          <w:lang w:eastAsia="en-GB"/>
        </w:rPr>
        <w:t> </w:t>
      </w:r>
      <w:r w:rsidRPr="00BD16B4">
        <w:rPr>
          <w:lang w:eastAsia="en-GB"/>
        </w:rPr>
        <w:t>years 2000 and 2007 due to the entry of a large number of used vehicles from Japan. The</w:t>
      </w:r>
      <w:r w:rsidR="00654C64" w:rsidRPr="00BD16B4">
        <w:rPr>
          <w:lang w:eastAsia="en-GB"/>
        </w:rPr>
        <w:t> </w:t>
      </w:r>
      <w:r w:rsidRPr="00BD16B4">
        <w:rPr>
          <w:lang w:eastAsia="en-GB"/>
        </w:rPr>
        <w:t>number of light vehicles per person decreased after the 2007 peak until 2011 due to the global</w:t>
      </w:r>
      <w:r w:rsidR="00AC7BF1" w:rsidRPr="00BD16B4">
        <w:rPr>
          <w:lang w:eastAsia="en-GB"/>
        </w:rPr>
        <w:t> </w:t>
      </w:r>
      <w:r w:rsidRPr="00BD16B4">
        <w:rPr>
          <w:lang w:eastAsia="en-GB"/>
        </w:rPr>
        <w:t>financial crisis, but the number has been increasing significantly since 2011. However, 2020 had a slight decrease in ownership, likely to be influenced by the COVID-19 pandemic (figure 2.9).</w:t>
      </w:r>
    </w:p>
    <w:p w14:paraId="58F63620" w14:textId="77777777" w:rsidR="00FD1D4D" w:rsidRPr="00BD16B4" w:rsidRDefault="00FD1D4D" w:rsidP="00FD1D4D">
      <w:pPr>
        <w:pStyle w:val="BodyText"/>
      </w:pPr>
      <w:r w:rsidRPr="00BD16B4">
        <w:t xml:space="preserve">Heavy vehicles represent only 3 per cent of New Zealand’s vehicle fleet, but deliver 93 per cent </w:t>
      </w:r>
      <w:r w:rsidRPr="00BD16B4">
        <w:rPr>
          <w:spacing w:val="-2"/>
        </w:rPr>
        <w:t>of freight volume and contribute around 25 per cent of total transport emissions. The emissions</w:t>
      </w:r>
      <w:r w:rsidRPr="00BD16B4">
        <w:t xml:space="preserve"> reduction plan sets targets for reducing freight sector emissions by 2035 and puts the sector on a path to meeting New Zealand’s net zero target by 2050. The Government has pledged that zero-emissions heavy vehicles entering the new vehicle fleet will make up 30 per cent of sales by 2030 and 100 per cent by 2040.</w:t>
      </w:r>
    </w:p>
    <w:p w14:paraId="78874602" w14:textId="0CDD4909" w:rsidR="00FD1D4D" w:rsidRPr="00BD16B4" w:rsidRDefault="00FD1D4D" w:rsidP="00EC76A2">
      <w:pPr>
        <w:pStyle w:val="Figureheading"/>
      </w:pPr>
      <w:bookmarkStart w:id="76" w:name="_Toc497740675"/>
      <w:bookmarkStart w:id="77" w:name="_Toc500767104"/>
      <w:bookmarkStart w:id="78" w:name="_Toc121494375"/>
      <w:r w:rsidRPr="00BD16B4">
        <w:lastRenderedPageBreak/>
        <w:t>Figure 2.</w:t>
      </w:r>
      <w:r w:rsidRPr="00BD16B4">
        <w:fldChar w:fldCharType="begin"/>
      </w:r>
      <w:r w:rsidRPr="00BD16B4">
        <w:instrText>SEQ Figure_2. \* ARABIC</w:instrText>
      </w:r>
      <w:r w:rsidRPr="00BD16B4">
        <w:fldChar w:fldCharType="separate"/>
      </w:r>
      <w:r w:rsidR="00A60C35">
        <w:rPr>
          <w:noProof/>
        </w:rPr>
        <w:t>9</w:t>
      </w:r>
      <w:r w:rsidRPr="00BD16B4">
        <w:fldChar w:fldCharType="end"/>
      </w:r>
      <w:r w:rsidRPr="00BD16B4">
        <w:t>:</w:t>
      </w:r>
      <w:r w:rsidRPr="00BD16B4">
        <w:tab/>
        <w:t>Light vehicle fleet per 1000 people in New Zealand, 2000–20</w:t>
      </w:r>
      <w:bookmarkEnd w:id="76"/>
      <w:bookmarkEnd w:id="77"/>
      <w:bookmarkEnd w:id="78"/>
    </w:p>
    <w:p w14:paraId="7895B981" w14:textId="77777777" w:rsidR="00FD1D4D" w:rsidRPr="00BD16B4" w:rsidRDefault="00FD1D4D" w:rsidP="00FD1D4D">
      <w:pPr>
        <w:pStyle w:val="BodyText"/>
      </w:pPr>
      <w:r w:rsidRPr="00BD16B4">
        <w:rPr>
          <w:noProof/>
        </w:rPr>
        <w:drawing>
          <wp:inline distT="0" distB="0" distL="0" distR="0" wp14:anchorId="5B087288" wp14:editId="60E581E7">
            <wp:extent cx="5128592" cy="2997642"/>
            <wp:effectExtent l="0" t="0" r="0" b="0"/>
            <wp:docPr id="21" name="Chart 21">
              <a:extLst xmlns:a="http://schemas.openxmlformats.org/drawingml/2006/main">
                <a:ext uri="{FF2B5EF4-FFF2-40B4-BE49-F238E27FC236}">
                  <a16:creationId xmlns:a16="http://schemas.microsoft.com/office/drawing/2014/main" id="{1CEF5F69-06B1-1284-9F78-997844161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2FA7098" w14:textId="0BAFD9C8" w:rsidR="00FD1D4D" w:rsidRPr="00BD16B4" w:rsidRDefault="00FD1D4D" w:rsidP="00120409">
      <w:pPr>
        <w:pStyle w:val="Source"/>
      </w:pPr>
      <w:r w:rsidRPr="00BD16B4">
        <w:rPr>
          <w:bCs/>
        </w:rPr>
        <w:t>Source:</w:t>
      </w:r>
      <w:r w:rsidRPr="00BD16B4">
        <w:t xml:space="preserve"> Ministry of Transport. 2021. </w:t>
      </w:r>
      <w:r w:rsidRPr="00BD16B4">
        <w:rPr>
          <w:i/>
        </w:rPr>
        <w:t>New Zealand Vehicle Fleet Annual Statistics.</w:t>
      </w:r>
      <w:r w:rsidRPr="00BD16B4">
        <w:t xml:space="preserve"> Wellington: Ministry of</w:t>
      </w:r>
      <w:r w:rsidR="00096D86" w:rsidRPr="00BD16B4">
        <w:t> </w:t>
      </w:r>
      <w:r w:rsidRPr="00BD16B4">
        <w:t>Transport.</w:t>
      </w:r>
    </w:p>
    <w:p w14:paraId="7CBE2BE4" w14:textId="77777777" w:rsidR="00FD1D4D" w:rsidRPr="00BD16B4" w:rsidRDefault="00FD1D4D" w:rsidP="00FD1D4D">
      <w:pPr>
        <w:pStyle w:val="Heading3"/>
        <w:spacing w:before="320"/>
      </w:pPr>
      <w:r w:rsidRPr="00BD16B4">
        <w:t>2.8.2</w:t>
      </w:r>
      <w:r w:rsidRPr="00BD16B4">
        <w:tab/>
        <w:t>Aviation</w:t>
      </w:r>
    </w:p>
    <w:p w14:paraId="26A6BE45" w14:textId="77777777" w:rsidR="00FD1D4D" w:rsidRPr="00BD16B4" w:rsidRDefault="00FD1D4D" w:rsidP="00FD1D4D">
      <w:pPr>
        <w:pStyle w:val="BodyText"/>
        <w:spacing w:before="100" w:after="100"/>
        <w:rPr>
          <w:lang w:eastAsia="en-GB"/>
        </w:rPr>
      </w:pPr>
      <w:r w:rsidRPr="00BD16B4">
        <w:rPr>
          <w:lang w:eastAsia="en-GB"/>
        </w:rPr>
        <w:t xml:space="preserve">Domestic and international aviation has been increasing, in part due to a reduction in the real </w:t>
      </w:r>
      <w:r w:rsidRPr="00BD16B4">
        <w:rPr>
          <w:spacing w:val="-2"/>
          <w:lang w:eastAsia="en-GB"/>
        </w:rPr>
        <w:t>cost of airfares. Before the COVID-19 pandemic and associated border restrictions, international</w:t>
      </w:r>
      <w:r w:rsidRPr="00BD16B4">
        <w:rPr>
          <w:lang w:eastAsia="en-GB"/>
        </w:rPr>
        <w:t xml:space="preserve"> flights had been increasing at a rate of 5 per cent per year since 1990. At the same time, the fuel efficiency of air travel has increased due to higher load factors, advances in aircraft design and improvements in air traffic management for aircraft approaches to airports.</w:t>
      </w:r>
    </w:p>
    <w:p w14:paraId="65DE1B08" w14:textId="77777777" w:rsidR="00FD1D4D" w:rsidRPr="00BD16B4" w:rsidRDefault="00FD1D4D" w:rsidP="00AC7BF1">
      <w:pPr>
        <w:pStyle w:val="BodyText"/>
        <w:rPr>
          <w:lang w:eastAsia="en-GB"/>
        </w:rPr>
      </w:pPr>
      <w:r w:rsidRPr="00BD16B4">
        <w:rPr>
          <w:lang w:eastAsia="en-GB"/>
        </w:rPr>
        <w:t xml:space="preserve">Almost all passenger travel to and from New Zealand is by air. There were 6,809,964 air passenger arrivals into the country in the year </w:t>
      </w:r>
      <w:r w:rsidRPr="00BD16B4">
        <w:t>ended</w:t>
      </w:r>
      <w:r w:rsidRPr="00BD16B4">
        <w:rPr>
          <w:lang w:eastAsia="en-GB"/>
        </w:rPr>
        <w:t xml:space="preserve"> March 2020, an increase of 50 per cent in 10 years (since the year ended March 2010).</w:t>
      </w:r>
      <w:r w:rsidRPr="00BD16B4">
        <w:rPr>
          <w:rStyle w:val="FootnoteReference"/>
          <w:lang w:eastAsia="en-GB"/>
        </w:rPr>
        <w:footnoteReference w:id="76"/>
      </w:r>
      <w:r w:rsidRPr="00BD16B4">
        <w:rPr>
          <w:lang w:eastAsia="en-GB"/>
        </w:rPr>
        <w:t xml:space="preserve"> Due to </w:t>
      </w:r>
      <w:r w:rsidRPr="00BD16B4">
        <w:t>COVID</w:t>
      </w:r>
      <w:r w:rsidRPr="00BD16B4">
        <w:rPr>
          <w:lang w:eastAsia="en-GB"/>
        </w:rPr>
        <w:t>-19 border restrictions in New Zealand, where borders were closed to international travellers, international travel has decreased. In the year ending March 2022 there were 459,682 arrivals, up from the low of 127,559 in the year ending March 2021.</w:t>
      </w:r>
      <w:r w:rsidRPr="00BD16B4">
        <w:rPr>
          <w:rStyle w:val="FootnoteReference"/>
          <w:lang w:eastAsia="en-GB"/>
        </w:rPr>
        <w:footnoteReference w:id="77"/>
      </w:r>
      <w:r w:rsidRPr="00BD16B4">
        <w:rPr>
          <w:lang w:eastAsia="en-GB"/>
        </w:rPr>
        <w:t xml:space="preserve"> </w:t>
      </w:r>
    </w:p>
    <w:p w14:paraId="14BFE411" w14:textId="77777777" w:rsidR="00FD1D4D" w:rsidRPr="00BD16B4" w:rsidRDefault="00FD1D4D" w:rsidP="00FD1D4D">
      <w:pPr>
        <w:pStyle w:val="BodyText"/>
        <w:spacing w:before="100" w:after="100"/>
        <w:rPr>
          <w:lang w:eastAsia="en-GB"/>
        </w:rPr>
      </w:pPr>
      <w:r w:rsidRPr="00BD16B4">
        <w:rPr>
          <w:lang w:eastAsia="en-GB"/>
        </w:rPr>
        <w:t>Aviation is also important for the export and import of time-sensitive goods and high-value goods. Freight exports by air made up 14 per cent of exports by value in the year ending June 2022; however, they contributed only 0.25 per cent by tonne.</w:t>
      </w:r>
      <w:r w:rsidRPr="00BD16B4">
        <w:rPr>
          <w:rStyle w:val="FootnoteReference"/>
          <w:lang w:eastAsia="en-GB"/>
        </w:rPr>
        <w:footnoteReference w:id="78"/>
      </w:r>
      <w:r w:rsidRPr="00BD16B4">
        <w:rPr>
          <w:lang w:eastAsia="en-GB"/>
        </w:rPr>
        <w:t xml:space="preserve"> Freight imports by air made up 23 per cent of imports by value and 0.4 per cent by tonne.</w:t>
      </w:r>
      <w:r w:rsidRPr="00BD16B4">
        <w:rPr>
          <w:rStyle w:val="FootnoteReference"/>
          <w:lang w:eastAsia="en-GB"/>
        </w:rPr>
        <w:footnoteReference w:id="79"/>
      </w:r>
    </w:p>
    <w:p w14:paraId="209D11B5" w14:textId="77777777" w:rsidR="00FD1D4D" w:rsidRPr="00BD16B4" w:rsidRDefault="00FD1D4D" w:rsidP="00FD1D4D">
      <w:pPr>
        <w:pStyle w:val="Heading3"/>
      </w:pPr>
      <w:r w:rsidRPr="00BD16B4">
        <w:lastRenderedPageBreak/>
        <w:t>2.8.3</w:t>
      </w:r>
      <w:r w:rsidRPr="00BD16B4">
        <w:tab/>
        <w:t>Maritime</w:t>
      </w:r>
    </w:p>
    <w:p w14:paraId="44BD02B4" w14:textId="77777777" w:rsidR="00FD1D4D" w:rsidRPr="00BD16B4" w:rsidRDefault="00FD1D4D" w:rsidP="00AA44C1">
      <w:pPr>
        <w:pStyle w:val="BodyText"/>
        <w:keepLines/>
      </w:pPr>
      <w:bookmarkStart w:id="79" w:name="_Hlk115165353"/>
      <w:r w:rsidRPr="00BD16B4">
        <w:t xml:space="preserve">New Zealand relies on domestic shipping for transporting some freight within the country, including across the Cook Strait between the North and South Islands. Coastal shipping transports 1.6 per cent of domestic freight volumes. The domestic coastal shipping fleet consists of about 13 vessels, of which only one is a container ship. Cargo moved by coastal shipping includes bulk commodities like cement, grain, fertiliser and aggregate. Containerised cargo includes domestic goods, and export and import transhipments, as well as empty containers. Two competing companies operate daily ferry services across the Cook Strait using a total of five vessels. These ferries transport passengers and freight, with a journey time of around three hours. A small number of passenger ferries operate in coastal cities (mainly Auckland and Wellington), which provide commuter and recreational services. </w:t>
      </w:r>
    </w:p>
    <w:p w14:paraId="221D84D7" w14:textId="77777777" w:rsidR="00FD1D4D" w:rsidRPr="00BD16B4" w:rsidRDefault="00FD1D4D" w:rsidP="00AA44C1">
      <w:pPr>
        <w:pStyle w:val="BodyText"/>
      </w:pPr>
      <w:r w:rsidRPr="00BD16B4">
        <w:t>International shipping is crucial to New Zealand’s trading. Sea freight carries 99.7 per cent of the country’s trade by volume and around 86 per cent by value. New Zealand is serviced by international container shipping lines and other bulk ships. In the year to June 2022, it exported 39.9 million tonnes (with a real value of NZ$61.2 billion) by sea.</w:t>
      </w:r>
      <w:r w:rsidRPr="00BD16B4">
        <w:rPr>
          <w:rStyle w:val="FootnoteReference"/>
        </w:rPr>
        <w:footnoteReference w:id="80"/>
      </w:r>
      <w:r w:rsidRPr="00BD16B4">
        <w:t> In the same year, imports by sea totalled 24.8 million tonnes, worth NZ$61.8 billion.</w:t>
      </w:r>
      <w:r w:rsidRPr="00BD16B4">
        <w:rPr>
          <w:rStyle w:val="FootnoteReference"/>
        </w:rPr>
        <w:footnoteReference w:id="81"/>
      </w:r>
      <w:r w:rsidRPr="00BD16B4">
        <w:t xml:space="preserve"> International shipping is </w:t>
      </w:r>
      <w:r w:rsidRPr="00BD16B4">
        <w:rPr>
          <w:spacing w:val="-2"/>
        </w:rPr>
        <w:t>responsible for about 3 per cent of the world’s carbon emissions and this is expected to grow.</w:t>
      </w:r>
      <w:r w:rsidRPr="00BD16B4">
        <w:rPr>
          <w:rStyle w:val="FootnoteReference"/>
        </w:rPr>
        <w:footnoteReference w:id="82"/>
      </w:r>
    </w:p>
    <w:p w14:paraId="617DF097" w14:textId="77777777" w:rsidR="00FD1D4D" w:rsidRPr="00BD16B4" w:rsidRDefault="00FD1D4D" w:rsidP="00AA44C1">
      <w:pPr>
        <w:pStyle w:val="BodyText"/>
      </w:pPr>
      <w:r w:rsidRPr="00BD16B4">
        <w:t>New Zealand has 15 ports of varying sizes and stages of development, through which most of its imports and exports flow. Nine of them are international container ports. The majority of imports arrive through the ports of Auckland and Tauranga, and are bound for main centres in the upper North Island, while the Port of Tauranga is the largest export port. Exports are more evenly spread across the North and South Islands. The biggest container ports are Tauranga (39 per cent of container volumes), Auckland (22 per cent) and Lyttelton (14 per cent). In 2020, containerised exports made up 29 per cent of New Zealand’s sea export tonnage but 83 per cent of the value. In 2019 coastal shipping contributed 2.1 per cent of New Zealand’s total transport emissions.</w:t>
      </w:r>
      <w:r w:rsidRPr="00BD16B4">
        <w:rPr>
          <w:rStyle w:val="FootnoteReference"/>
        </w:rPr>
        <w:footnoteReference w:id="83"/>
      </w:r>
    </w:p>
    <w:p w14:paraId="3783AB72" w14:textId="77777777" w:rsidR="00FD1D4D" w:rsidRPr="00BD16B4" w:rsidRDefault="00FD1D4D" w:rsidP="00AA44C1">
      <w:pPr>
        <w:pStyle w:val="BodyText"/>
      </w:pPr>
      <w:r w:rsidRPr="00BD16B4">
        <w:t>New Zealand’s Climate Change Commission has been tasked to provide advice to the Government on the inclusion of international aviation and maritime emissions within our emissions budgets. This advice is due in 2024.</w:t>
      </w:r>
    </w:p>
    <w:bookmarkEnd w:id="79"/>
    <w:p w14:paraId="5154FF0B" w14:textId="77777777" w:rsidR="00FD1D4D" w:rsidRPr="00BD16B4" w:rsidRDefault="00FD1D4D" w:rsidP="00E3077D">
      <w:pPr>
        <w:pStyle w:val="Heading3"/>
        <w:spacing w:before="320"/>
      </w:pPr>
      <w:r w:rsidRPr="00BD16B4">
        <w:t>2.8.4</w:t>
      </w:r>
      <w:r w:rsidRPr="00BD16B4">
        <w:tab/>
        <w:t>Rail</w:t>
      </w:r>
    </w:p>
    <w:p w14:paraId="44C91F8A" w14:textId="77777777" w:rsidR="00FD1D4D" w:rsidRPr="00BD16B4" w:rsidRDefault="00FD1D4D" w:rsidP="00AA44C1">
      <w:pPr>
        <w:pStyle w:val="BodyText"/>
        <w:rPr>
          <w:lang w:eastAsia="en-GB"/>
        </w:rPr>
      </w:pPr>
      <w:r w:rsidRPr="00BD16B4">
        <w:rPr>
          <w:lang w:eastAsia="en-GB"/>
        </w:rPr>
        <w:t>The national rail network totals approximately 3700 kilometres, which includes more than 1300 bridges and almost 100 tunnels.</w:t>
      </w:r>
      <w:r w:rsidRPr="00BD16B4">
        <w:rPr>
          <w:rStyle w:val="FootnoteReference"/>
          <w:lang w:eastAsia="en-GB"/>
        </w:rPr>
        <w:footnoteReference w:id="84"/>
      </w:r>
      <w:r w:rsidRPr="00BD16B4">
        <w:rPr>
          <w:lang w:eastAsia="en-GB"/>
        </w:rPr>
        <w:t xml:space="preserve"> The Government, through the state-owned enterprise KiwiRail, owns and controls the rail infrastructure and the majority of the rolling stock. There are urban rail networks in both Wellington and Auckland, which together provide approximately 35.7 million passenger trips annually: approximately 14.3 million trips in </w:t>
      </w:r>
      <w:r w:rsidRPr="00BD16B4">
        <w:rPr>
          <w:lang w:eastAsia="en-GB"/>
        </w:rPr>
        <w:lastRenderedPageBreak/>
        <w:t>Wellington and 21.4 million trips in Auckland.</w:t>
      </w:r>
      <w:r w:rsidRPr="00BD16B4">
        <w:rPr>
          <w:rStyle w:val="FootnoteReference"/>
        </w:rPr>
        <w:footnoteReference w:id="85"/>
      </w:r>
      <w:r w:rsidRPr="00BD16B4">
        <w:rPr>
          <w:lang w:eastAsia="en-GB"/>
        </w:rPr>
        <w:t xml:space="preserve"> Within the country, 5.6 per cent of freight volumes are transported by rail. Rail carried 18.4 million tonnes of domestic freight in 2020.</w:t>
      </w:r>
      <w:r w:rsidRPr="00BD16B4">
        <w:rPr>
          <w:rStyle w:val="FootnoteReference"/>
        </w:rPr>
        <w:footnoteReference w:id="86"/>
      </w:r>
      <w:r w:rsidRPr="00BD16B4">
        <w:rPr>
          <w:lang w:eastAsia="en-GB"/>
        </w:rPr>
        <w:t xml:space="preserve"> </w:t>
      </w:r>
      <w:r w:rsidRPr="00BD16B4">
        <w:rPr>
          <w:spacing w:val="-2"/>
          <w:lang w:eastAsia="en-GB"/>
        </w:rPr>
        <w:t xml:space="preserve">In 2019 rail contributed 0.9 per cent of </w:t>
      </w:r>
      <w:r w:rsidRPr="00BD16B4">
        <w:t>New</w:t>
      </w:r>
      <w:r w:rsidRPr="00BD16B4">
        <w:rPr>
          <w:spacing w:val="-2"/>
          <w:lang w:eastAsia="en-GB"/>
        </w:rPr>
        <w:t xml:space="preserve"> Zealand’s total transport emissions.</w:t>
      </w:r>
      <w:r w:rsidRPr="00BD16B4">
        <w:rPr>
          <w:rStyle w:val="FootnoteReference"/>
          <w:spacing w:val="-2"/>
          <w:lang w:eastAsia="en-GB"/>
        </w:rPr>
        <w:footnoteReference w:id="87"/>
      </w:r>
      <w:r w:rsidRPr="00BD16B4">
        <w:rPr>
          <w:spacing w:val="-2"/>
          <w:lang w:eastAsia="en-GB"/>
        </w:rPr>
        <w:t xml:space="preserve"> </w:t>
      </w:r>
      <w:r w:rsidRPr="00BD16B4">
        <w:rPr>
          <w:spacing w:val="-2"/>
        </w:rPr>
        <w:t>The inaugura</w:t>
      </w:r>
      <w:r w:rsidRPr="00BD16B4">
        <w:t xml:space="preserve">l </w:t>
      </w:r>
      <w:r w:rsidRPr="00BD16B4">
        <w:rPr>
          <w:spacing w:val="-2"/>
        </w:rPr>
        <w:t>Rail Network Investment Programme, arising from the New Zealand Rail Plan, targets an increase in rail mode share from 12 per cent of total freight task in 2020 to 14 per cent by 2030</w:t>
      </w:r>
      <w:r w:rsidRPr="00BD16B4">
        <w:t>.</w:t>
      </w:r>
    </w:p>
    <w:p w14:paraId="72CBC31A" w14:textId="62ACB5D9" w:rsidR="00FD1D4D" w:rsidRPr="00BD16B4" w:rsidRDefault="00FD1D4D" w:rsidP="00AA44C1">
      <w:pPr>
        <w:pStyle w:val="Heading2"/>
        <w:numPr>
          <w:ilvl w:val="0"/>
          <w:numId w:val="16"/>
        </w:numPr>
        <w:ind w:left="0" w:firstLine="0"/>
      </w:pPr>
      <w:bookmarkStart w:id="80" w:name="_Toc497740369"/>
      <w:bookmarkStart w:id="81" w:name="_Toc500796135"/>
      <w:bookmarkStart w:id="82" w:name="_Toc121774624"/>
      <w:r w:rsidRPr="00BD16B4">
        <w:t>Agriculture</w:t>
      </w:r>
      <w:bookmarkEnd w:id="80"/>
      <w:bookmarkEnd w:id="81"/>
      <w:bookmarkEnd w:id="82"/>
    </w:p>
    <w:p w14:paraId="0E08B1B6" w14:textId="77777777" w:rsidR="00FD1D4D" w:rsidRPr="00BD16B4" w:rsidRDefault="00FD1D4D" w:rsidP="00AA44C1">
      <w:pPr>
        <w:pStyle w:val="BodyText"/>
      </w:pPr>
      <w:r w:rsidRPr="00BD16B4">
        <w:rPr>
          <w:lang w:eastAsia="en-GB"/>
        </w:rPr>
        <w:t xml:space="preserve">Agriculture in Aotearoa New Zealand is dominated by pastoral farming of </w:t>
      </w:r>
      <w:r w:rsidRPr="00BD16B4">
        <w:t>dairy cattle, beef cattle, sheep and deer. As at June 2021 the country had 6.2 million dairy cattle, 4.0 million beef cattle, 25.7 million sheep and 0.8 million deer.</w:t>
      </w:r>
      <w:r w:rsidRPr="00BD16B4">
        <w:rPr>
          <w:rStyle w:val="FootnoteReference"/>
        </w:rPr>
        <w:footnoteReference w:id="88"/>
      </w:r>
      <w:r w:rsidRPr="00BD16B4">
        <w:t xml:space="preserve"> The country also produces a number of different horticultural products, including kiwifruit, pip fruit, wine, and fresh and processed vegetables.</w:t>
      </w:r>
    </w:p>
    <w:p w14:paraId="7E9650EE" w14:textId="6EE791FE" w:rsidR="00FD1D4D" w:rsidRPr="00BD16B4" w:rsidRDefault="00FD1D4D" w:rsidP="00AA44C1">
      <w:pPr>
        <w:pStyle w:val="BodyText"/>
      </w:pPr>
      <w:r w:rsidRPr="00BD16B4">
        <w:t>Because of the temperate climate, the majority of animals are fed on grass outside all year round and are rarely housed inside. Pastures have four primary sources of nitrogen: nitrogen fixed by legumes, nitrogen fertiliser, nitrogen from external supplementary feeds and nitrogen from atmospheric sources. The use of synthetic nitrogen-containing fertiliser on agricultural soils increased by 693 per cent between 1990 and 2020.</w:t>
      </w:r>
      <w:r w:rsidRPr="00BD16B4">
        <w:rPr>
          <w:rStyle w:val="FootnoteReference"/>
        </w:rPr>
        <w:footnoteReference w:id="89"/>
      </w:r>
    </w:p>
    <w:p w14:paraId="67ABB50B" w14:textId="77777777" w:rsidR="00FD1D4D" w:rsidRPr="00BD16B4" w:rsidRDefault="00FD1D4D" w:rsidP="00BD795F">
      <w:pPr>
        <w:pStyle w:val="BodyText"/>
        <w:spacing w:before="100" w:after="100"/>
      </w:pPr>
      <w:r w:rsidRPr="00BD16B4">
        <w:t>The impacts of climate change are already being felt across New Zealand’s agriculture sector. Across all regions, the incidence and severity of drought (including in regions that have not previously experienced drought) and flooding and extreme weather events have increased.</w:t>
      </w:r>
      <w:r w:rsidRPr="00BD16B4">
        <w:rPr>
          <w:rStyle w:val="FootnoteReference"/>
        </w:rPr>
        <w:footnoteReference w:id="90"/>
      </w:r>
      <w:r w:rsidRPr="00BD16B4">
        <w:t xml:space="preserve"> Increased rainfall events are projected across the country and increased drought severity is projected to increase in almost all regions. Droughts can result in reduced pasture production, lower livestock performance and the need to reduce livestock numbers, which in turn leads to lower greenhouse gas emissions.</w:t>
      </w:r>
    </w:p>
    <w:p w14:paraId="414D4721" w14:textId="77777777" w:rsidR="00FD1D4D" w:rsidRPr="00BD16B4" w:rsidRDefault="00FD1D4D" w:rsidP="00CC7973">
      <w:pPr>
        <w:pStyle w:val="Heading3"/>
        <w:spacing w:before="320"/>
      </w:pPr>
      <w:r w:rsidRPr="00BD16B4">
        <w:lastRenderedPageBreak/>
        <w:t>2.9.1</w:t>
      </w:r>
      <w:r w:rsidRPr="00BD16B4">
        <w:tab/>
        <w:t>Agricultural exports</w:t>
      </w:r>
    </w:p>
    <w:p w14:paraId="4CAE988D" w14:textId="77777777" w:rsidR="00FD1D4D" w:rsidRPr="00BD16B4" w:rsidRDefault="00FD1D4D" w:rsidP="00AA44C1">
      <w:pPr>
        <w:pStyle w:val="BodyText"/>
        <w:keepNext/>
        <w:keepLines/>
        <w:spacing w:before="100" w:after="100"/>
      </w:pPr>
      <w:r w:rsidRPr="00BD16B4">
        <w:rPr>
          <w:spacing w:val="-2"/>
        </w:rPr>
        <w:t>Agricultural exports accounted for over half of the total value of New Zealand’s goods exported</w:t>
      </w:r>
      <w:r w:rsidRPr="00BD16B4">
        <w:t xml:space="preserve"> in the year to 30 June 2022. The highest-earning export sectors were dairy (NZ$22.0 billion), meat and wool (NZ$12.3 billion) and horticulture (NZ$6.8 billion).</w:t>
      </w:r>
      <w:r w:rsidRPr="00BD16B4">
        <w:rPr>
          <w:rStyle w:val="FootnoteReference"/>
        </w:rPr>
        <w:footnoteReference w:id="91"/>
      </w:r>
      <w:r w:rsidRPr="00BD16B4">
        <w:t xml:space="preserve"> The top five export destinations for the year to 30 June 2022 by value for dairy products, in order, were China, Australia, Indonesia, United States and Japan.</w:t>
      </w:r>
      <w:r w:rsidRPr="00BD16B4">
        <w:rPr>
          <w:rStyle w:val="FootnoteReference"/>
        </w:rPr>
        <w:footnoteReference w:id="92"/>
      </w:r>
      <w:r w:rsidRPr="00BD16B4">
        <w:t xml:space="preserve"> </w:t>
      </w:r>
    </w:p>
    <w:p w14:paraId="611F31B6" w14:textId="77777777" w:rsidR="00FD1D4D" w:rsidRPr="00BD16B4" w:rsidRDefault="00FD1D4D" w:rsidP="00FD1D4D">
      <w:pPr>
        <w:pStyle w:val="BodyText"/>
      </w:pPr>
      <w:r w:rsidRPr="00BD16B4">
        <w:t>Over 2021/22, demand for dairy products was strong, driven by increased demand for dairy imports from China and other Asian countries, as well as reduced supply from key dairy exporting regions. Strong export revenue in 2021/22 was achieved despite ongoing headwinds, especially from rising farm input costs, labour shortages, disruptions related to COVID-19 and high freight costs. Over the medium term, a decline in global prices and flattening milk production are expected to result in a slight decline in export revenue. For 2022/23 export revenue is estimated to decrease by 2 per cent compared with the previous year.</w:t>
      </w:r>
      <w:r w:rsidRPr="00BD16B4">
        <w:rPr>
          <w:rStyle w:val="FootnoteReference"/>
        </w:rPr>
        <w:footnoteReference w:id="93"/>
      </w:r>
      <w:r w:rsidRPr="00BD16B4">
        <w:t xml:space="preserve"> </w:t>
      </w:r>
    </w:p>
    <w:p w14:paraId="04C300D1" w14:textId="77777777" w:rsidR="00FD1D4D" w:rsidRPr="00BD16B4" w:rsidRDefault="00FD1D4D" w:rsidP="00FD1D4D">
      <w:pPr>
        <w:pStyle w:val="Heading3"/>
      </w:pPr>
      <w:r w:rsidRPr="00BD16B4">
        <w:t>2.9.2</w:t>
      </w:r>
      <w:r w:rsidRPr="00BD16B4">
        <w:tab/>
        <w:t>Changes in the agricultural industry</w:t>
      </w:r>
    </w:p>
    <w:p w14:paraId="48030267" w14:textId="77777777" w:rsidR="00FD1D4D" w:rsidRPr="00BD16B4" w:rsidRDefault="00FD1D4D" w:rsidP="00FD1D4D">
      <w:pPr>
        <w:pStyle w:val="BodyText"/>
      </w:pPr>
      <w:r w:rsidRPr="00BD16B4">
        <w:t>Triggered by the removal of agricultural subsidies in 1984, New Zealand’s agricultural sector transformed to become highly competitive and efficient.</w:t>
      </w:r>
      <w:r w:rsidRPr="00BD16B4">
        <w:rPr>
          <w:rStyle w:val="FootnoteReference"/>
        </w:rPr>
        <w:footnoteReference w:id="94"/>
      </w:r>
      <w:r w:rsidRPr="00BD16B4">
        <w:t xml:space="preserve"> It is now the least subsidised agriculture sector in the OECD.</w:t>
      </w:r>
      <w:r w:rsidRPr="00BD16B4">
        <w:rPr>
          <w:rStyle w:val="FootnoteReference"/>
        </w:rPr>
        <w:footnoteReference w:id="95"/>
      </w:r>
      <w:r w:rsidRPr="00BD16B4">
        <w:t xml:space="preserve"> Agricultural productivity has increased due to advances in technology, farm management and animal breeding, the expansion of the average size of farms and improved animal health, animal fertility and plant nutrition.</w:t>
      </w:r>
      <w:r w:rsidRPr="00BD16B4">
        <w:rPr>
          <w:rStyle w:val="FootnoteReference"/>
        </w:rPr>
        <w:footnoteReference w:id="96"/>
      </w:r>
    </w:p>
    <w:p w14:paraId="36801744" w14:textId="77777777" w:rsidR="00FD1D4D" w:rsidRPr="00BD16B4" w:rsidRDefault="00FD1D4D" w:rsidP="00FD1D4D">
      <w:pPr>
        <w:pStyle w:val="BodyText"/>
      </w:pPr>
      <w:r w:rsidRPr="00BD16B4">
        <w:t xml:space="preserve">The proportions of the main livestock species farmed in New Zealand have also changed. From the early 1990s to the present, sheep numbers have declined steadily (figure 2.10) due to low sheep meat and wool prices, while sheep farms have converted to dairying, viticulture, cropping and forestry. The dairy cattle herd grew significantly between 1990 and 2014 but has stayed relatively stable since then (figure 2.12). The growth was due to the increasing profitability of dairy products compared with sheep and beef products over that period. </w:t>
      </w:r>
    </w:p>
    <w:p w14:paraId="6B094A1E" w14:textId="504F0507" w:rsidR="00FD1D4D" w:rsidRPr="00BD16B4" w:rsidRDefault="00FD1D4D" w:rsidP="00EC76A2">
      <w:pPr>
        <w:pStyle w:val="Figureheading"/>
      </w:pPr>
      <w:bookmarkStart w:id="83" w:name="_Toc121494376"/>
      <w:r w:rsidRPr="00BD16B4">
        <w:lastRenderedPageBreak/>
        <w:t>Figure 2.</w:t>
      </w:r>
      <w:r w:rsidRPr="00BD16B4">
        <w:fldChar w:fldCharType="begin"/>
      </w:r>
      <w:r w:rsidRPr="00BD16B4">
        <w:instrText>SEQ Figure_2. \* ARABIC</w:instrText>
      </w:r>
      <w:r w:rsidRPr="00BD16B4">
        <w:fldChar w:fldCharType="separate"/>
      </w:r>
      <w:r w:rsidR="00A60C35">
        <w:rPr>
          <w:noProof/>
        </w:rPr>
        <w:t>10</w:t>
      </w:r>
      <w:r w:rsidRPr="00BD16B4">
        <w:fldChar w:fldCharType="end"/>
      </w:r>
      <w:r w:rsidRPr="00BD16B4">
        <w:t>:</w:t>
      </w:r>
      <w:r w:rsidRPr="00BD16B4">
        <w:tab/>
        <w:t>Changes in New Zealand’s sheep population, 1990–2020 (year to 30 June)</w:t>
      </w:r>
      <w:bookmarkEnd w:id="83"/>
    </w:p>
    <w:p w14:paraId="5E6D4680" w14:textId="77777777" w:rsidR="00FD1D4D" w:rsidRPr="00BD16B4" w:rsidRDefault="00FD1D4D" w:rsidP="00FD1D4D">
      <w:pPr>
        <w:pStyle w:val="BodyText"/>
      </w:pPr>
      <w:r w:rsidRPr="00BD16B4">
        <w:rPr>
          <w:noProof/>
        </w:rPr>
        <w:drawing>
          <wp:inline distT="0" distB="0" distL="0" distR="0" wp14:anchorId="2C456A90" wp14:editId="3EF5AC07">
            <wp:extent cx="5295569" cy="3282765"/>
            <wp:effectExtent l="0" t="0" r="0" b="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rotWithShape="1">
                    <a:blip r:embed="rId48"/>
                    <a:srcRect t="2502"/>
                    <a:stretch/>
                  </pic:blipFill>
                  <pic:spPr bwMode="auto">
                    <a:xfrm>
                      <a:off x="0" y="0"/>
                      <a:ext cx="5303592" cy="3287739"/>
                    </a:xfrm>
                    <a:prstGeom prst="rect">
                      <a:avLst/>
                    </a:prstGeom>
                    <a:ln>
                      <a:noFill/>
                    </a:ln>
                    <a:extLst>
                      <a:ext uri="{53640926-AAD7-44D8-BBD7-CCE9431645EC}">
                        <a14:shadowObscured xmlns:a14="http://schemas.microsoft.com/office/drawing/2010/main"/>
                      </a:ext>
                    </a:extLst>
                  </pic:spPr>
                </pic:pic>
              </a:graphicData>
            </a:graphic>
          </wp:inline>
        </w:drawing>
      </w:r>
    </w:p>
    <w:p w14:paraId="21368208" w14:textId="77777777" w:rsidR="00FD1D4D" w:rsidRPr="00BD16B4" w:rsidRDefault="00FD1D4D" w:rsidP="00120409">
      <w:pPr>
        <w:pStyle w:val="Note"/>
        <w:rPr>
          <w:b/>
        </w:rPr>
      </w:pPr>
      <w:r w:rsidRPr="00BD16B4">
        <w:rPr>
          <w:bCs/>
        </w:rPr>
        <w:t>Source:</w:t>
      </w:r>
      <w:r w:rsidRPr="00BD16B4">
        <w:rPr>
          <w:b/>
        </w:rPr>
        <w:t xml:space="preserve"> </w:t>
      </w:r>
      <w:r w:rsidRPr="00BD16B4">
        <w:t xml:space="preserve">Ministry for the Environment. 2022. </w:t>
      </w:r>
      <w:r w:rsidRPr="00BD16B4">
        <w:rPr>
          <w:i/>
        </w:rPr>
        <w:t>New Zealand’s Greenhouse Gas Inventory 1990–2020.</w:t>
      </w:r>
      <w:r w:rsidRPr="00BD16B4">
        <w:t xml:space="preserve"> Wellington: Ministry for the Environment.</w:t>
      </w:r>
    </w:p>
    <w:p w14:paraId="4327251A" w14:textId="5BD0C8A1" w:rsidR="00FD1D4D" w:rsidRPr="00BD16B4" w:rsidRDefault="00FD1D4D" w:rsidP="00EC76A2">
      <w:pPr>
        <w:pStyle w:val="Figureheading"/>
      </w:pPr>
      <w:bookmarkStart w:id="84" w:name="_Toc121494377"/>
      <w:r w:rsidRPr="00BD16B4">
        <w:t>Figure 2.</w:t>
      </w:r>
      <w:r w:rsidRPr="00BD16B4">
        <w:fldChar w:fldCharType="begin"/>
      </w:r>
      <w:r w:rsidRPr="00BD16B4">
        <w:instrText>SEQ Figure_2. \* ARABIC</w:instrText>
      </w:r>
      <w:r w:rsidRPr="00BD16B4">
        <w:fldChar w:fldCharType="separate"/>
      </w:r>
      <w:r w:rsidR="00A60C35">
        <w:rPr>
          <w:noProof/>
        </w:rPr>
        <w:t>11</w:t>
      </w:r>
      <w:r w:rsidRPr="00BD16B4">
        <w:fldChar w:fldCharType="end"/>
      </w:r>
      <w:r w:rsidRPr="00BD16B4">
        <w:t>:</w:t>
      </w:r>
      <w:r w:rsidRPr="00BD16B4">
        <w:tab/>
        <w:t>Changes in New Zealand’s dairy, beef and deer populations, 1990–2020 (year to 30 June)</w:t>
      </w:r>
      <w:bookmarkEnd w:id="84"/>
    </w:p>
    <w:p w14:paraId="4FC73920" w14:textId="77777777" w:rsidR="00FD1D4D" w:rsidRPr="00BD16B4" w:rsidRDefault="00FD1D4D" w:rsidP="00FD1D4D">
      <w:pPr>
        <w:pStyle w:val="BodyText"/>
        <w:spacing w:before="0" w:after="0"/>
        <w:rPr>
          <w:rFonts w:cs="Arial"/>
          <w:szCs w:val="16"/>
        </w:rPr>
      </w:pPr>
      <w:r w:rsidRPr="00BD16B4">
        <w:rPr>
          <w:rFonts w:cs="Arial"/>
          <w:noProof/>
          <w:szCs w:val="16"/>
        </w:rPr>
        <w:drawing>
          <wp:inline distT="0" distB="0" distL="0" distR="0" wp14:anchorId="2A4EDDFB" wp14:editId="0E4AEAD7">
            <wp:extent cx="5359180" cy="2975782"/>
            <wp:effectExtent l="0" t="0" r="0" b="0"/>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49"/>
                    <a:stretch>
                      <a:fillRect/>
                    </a:stretch>
                  </pic:blipFill>
                  <pic:spPr>
                    <a:xfrm>
                      <a:off x="0" y="0"/>
                      <a:ext cx="5360010" cy="2976243"/>
                    </a:xfrm>
                    <a:prstGeom prst="rect">
                      <a:avLst/>
                    </a:prstGeom>
                  </pic:spPr>
                </pic:pic>
              </a:graphicData>
            </a:graphic>
          </wp:inline>
        </w:drawing>
      </w:r>
    </w:p>
    <w:p w14:paraId="28E762EF" w14:textId="77777777" w:rsidR="00FD1D4D" w:rsidRPr="00BD16B4" w:rsidRDefault="00FD1D4D" w:rsidP="00120409">
      <w:pPr>
        <w:pStyle w:val="Note"/>
      </w:pPr>
      <w:r w:rsidRPr="00BD16B4">
        <w:rPr>
          <w:bCs/>
        </w:rPr>
        <w:t>Source:</w:t>
      </w:r>
      <w:r w:rsidRPr="00BD16B4">
        <w:rPr>
          <w:b/>
        </w:rPr>
        <w:t xml:space="preserve"> </w:t>
      </w:r>
      <w:r w:rsidRPr="00BD16B4">
        <w:t xml:space="preserve">Ministry for the Environment. 2022. </w:t>
      </w:r>
      <w:r w:rsidRPr="00BD16B4">
        <w:rPr>
          <w:i/>
        </w:rPr>
        <w:t>New Zealand’s Greenhouse Gas Inventory 1990–2020.</w:t>
      </w:r>
      <w:r w:rsidRPr="00BD16B4">
        <w:t xml:space="preserve"> Wellington: Ministry for the Environment.</w:t>
      </w:r>
    </w:p>
    <w:p w14:paraId="4FCB2A4A" w14:textId="3A918C89" w:rsidR="00FD1D4D" w:rsidRPr="00BD16B4" w:rsidRDefault="00FD1D4D" w:rsidP="00FD1D4D">
      <w:pPr>
        <w:pStyle w:val="BodyText"/>
      </w:pPr>
      <w:r w:rsidRPr="00BD16B4">
        <w:t>In 2019, He Waka Eke Noa – the Primary Sector Climate Action Partnership between the Government, the primary sector and Māori was established. Its goal is to equip farmers and</w:t>
      </w:r>
      <w:r w:rsidR="008F0168" w:rsidRPr="00BD16B4">
        <w:t> </w:t>
      </w:r>
      <w:r w:rsidRPr="00BD16B4">
        <w:t>growers to measure, manage and reduce on-farm agricultural greenhouse gas emissions and adapt to climate change. This is to enable sustainable food and fibre production for future</w:t>
      </w:r>
      <w:r w:rsidR="008F0168" w:rsidRPr="00BD16B4">
        <w:t> </w:t>
      </w:r>
      <w:r w:rsidRPr="00BD16B4">
        <w:t>generations. The partnership’s work includes developing an effective system for pricing</w:t>
      </w:r>
      <w:r w:rsidR="008F0168" w:rsidRPr="00BD16B4">
        <w:t> </w:t>
      </w:r>
      <w:r w:rsidRPr="00BD16B4">
        <w:t>agricultural emissions from 2025, as an alternative to bringing agriculture into the New</w:t>
      </w:r>
      <w:r w:rsidR="008F0168" w:rsidRPr="00BD16B4">
        <w:t> </w:t>
      </w:r>
      <w:r w:rsidRPr="00BD16B4">
        <w:t>Zealand Emissions Trading Scheme.</w:t>
      </w:r>
    </w:p>
    <w:p w14:paraId="793F806A" w14:textId="77777777" w:rsidR="00FD1D4D" w:rsidRPr="00BD16B4" w:rsidRDefault="00FD1D4D" w:rsidP="00FD1D4D">
      <w:pPr>
        <w:pStyle w:val="Heading3"/>
        <w:spacing w:before="240"/>
      </w:pPr>
      <w:r w:rsidRPr="00BD16B4">
        <w:lastRenderedPageBreak/>
        <w:t>2.9.3</w:t>
      </w:r>
      <w:r w:rsidRPr="00BD16B4">
        <w:tab/>
        <w:t>Emissions</w:t>
      </w:r>
    </w:p>
    <w:p w14:paraId="142E6A81" w14:textId="77777777" w:rsidR="00FD1D4D" w:rsidRPr="00BD16B4" w:rsidRDefault="00FD1D4D" w:rsidP="00FD1D4D">
      <w:pPr>
        <w:pStyle w:val="BodyText"/>
      </w:pPr>
      <w:r w:rsidRPr="00BD16B4">
        <w:t xml:space="preserve">High levels of agricultural activity mean half of New Zealand’s gross greenhouse gas emissions </w:t>
      </w:r>
      <w:r w:rsidRPr="00BD16B4">
        <w:rPr>
          <w:spacing w:val="-2"/>
        </w:rPr>
        <w:t>come from agriculture, compared with an average of 13 per cent in other developed countries</w:t>
      </w:r>
      <w:r w:rsidRPr="00BD16B4">
        <w:t>.</w:t>
      </w:r>
      <w:r w:rsidRPr="00BD16B4">
        <w:rPr>
          <w:rStyle w:val="FootnoteReference"/>
        </w:rPr>
        <w:footnoteReference w:id="97"/>
      </w:r>
      <w:r w:rsidRPr="00BD16B4">
        <w:t xml:space="preserve"> </w:t>
      </w:r>
      <w:r w:rsidRPr="00BD16B4">
        <w:rPr>
          <w:rFonts w:eastAsia="Calibri"/>
          <w:color w:val="000000"/>
        </w:rPr>
        <w:t>Most</w:t>
      </w:r>
      <w:r w:rsidRPr="00BD16B4">
        <w:t xml:space="preserve"> </w:t>
      </w:r>
      <w:r w:rsidRPr="00BD16B4">
        <w:rPr>
          <w:rFonts w:eastAsia="Calibri"/>
          <w:color w:val="000000"/>
        </w:rPr>
        <w:t>of those emissions (</w:t>
      </w:r>
      <w:r w:rsidRPr="00BD16B4">
        <w:t xml:space="preserve">73.1 per cent of agriculture emissions in 2020) </w:t>
      </w:r>
      <w:r w:rsidRPr="00BD16B4">
        <w:rPr>
          <w:rFonts w:eastAsia="Calibri"/>
          <w:color w:val="000000"/>
        </w:rPr>
        <w:t xml:space="preserve">come from methane from </w:t>
      </w:r>
      <w:r w:rsidRPr="00BD16B4">
        <w:t xml:space="preserve">enteric fermentation. </w:t>
      </w:r>
    </w:p>
    <w:p w14:paraId="53B8A46A" w14:textId="54D407AA" w:rsidR="00FD1D4D" w:rsidRPr="00BD16B4" w:rsidRDefault="00FD1D4D" w:rsidP="00FD1D4D">
      <w:pPr>
        <w:pStyle w:val="BodyText"/>
        <w:rPr>
          <w:rFonts w:eastAsia="Calibri"/>
          <w:color w:val="000000"/>
        </w:rPr>
      </w:pPr>
      <w:r w:rsidRPr="00BD16B4">
        <w:t>Livestock numbers are a significant determinant of New Zealand’s gross primary sector emissions. Greenhouse gas emissions from the agriculture sector increased by 16.0 per cent between 1990 and 2006. The increase was mainly due to an 80 per cent increase in the national dairy herd population within that period and an increase in the application of synthetic nitrogen fertiliser by 693 per cent.</w:t>
      </w:r>
      <w:r w:rsidRPr="00BD16B4">
        <w:rPr>
          <w:rStyle w:val="FootnoteReference"/>
        </w:rPr>
        <w:footnoteReference w:id="98"/>
      </w:r>
      <w:r w:rsidRPr="00BD16B4">
        <w:rPr>
          <w:rFonts w:eastAsia="Calibri"/>
          <w:color w:val="000000"/>
        </w:rPr>
        <w:t xml:space="preserve"> These increases in emissions have</w:t>
      </w:r>
      <w:r w:rsidR="00710DA9" w:rsidRPr="00BD16B4">
        <w:rPr>
          <w:rFonts w:eastAsia="Calibri"/>
          <w:color w:val="000000"/>
        </w:rPr>
        <w:t xml:space="preserve"> </w:t>
      </w:r>
      <w:r w:rsidRPr="00BD16B4">
        <w:rPr>
          <w:rFonts w:eastAsia="Calibri"/>
          <w:color w:val="000000"/>
        </w:rPr>
        <w:t xml:space="preserve">been partially offset by decreases in the populations of sheep (by 55 per cent), beef cattle (by 15 per cent) and deer (by 15 per cent) since 1990. Since 2006, emissions from the primary sector have been relatively stable, with some variations from year to year based on product prices and seasonal climate events, for example drought. </w:t>
      </w:r>
    </w:p>
    <w:p w14:paraId="6D885045" w14:textId="6AF9AE4F" w:rsidR="00FD1D4D" w:rsidRPr="00BD16B4" w:rsidRDefault="00FD1D4D" w:rsidP="00FD1D4D">
      <w:pPr>
        <w:pStyle w:val="BodyText"/>
        <w:rPr>
          <w:rFonts w:eastAsia="Calibri"/>
          <w:color w:val="000000"/>
        </w:rPr>
      </w:pPr>
      <w:r w:rsidRPr="00BD16B4">
        <w:t>In 2020 emissions from the agriculture sector decreased very slightly (by 0.2 per cent) fro</w:t>
      </w:r>
      <w:r w:rsidR="00411893" w:rsidRPr="00BD16B4">
        <w:t>m </w:t>
      </w:r>
      <w:r w:rsidRPr="00BD16B4">
        <w:t>2019 because of a decline in production. This decrease was mainly due to a reduction in</w:t>
      </w:r>
      <w:r w:rsidR="000E65FF" w:rsidRPr="00BD16B4">
        <w:t> </w:t>
      </w:r>
      <w:r w:rsidRPr="00BD16B4">
        <w:t>the sheep population, as well as decreases in the use of lime and urea fertiliser. Emissions from other sources rose, such as inorganic fertiliser, and beef and dairy cattle, but these increases were not enough to offset the overall decrease in agricultural emissions between 2019 and 2020.</w:t>
      </w:r>
    </w:p>
    <w:p w14:paraId="217C5823" w14:textId="1EEA8BD2" w:rsidR="00FD1D4D" w:rsidRPr="00BD16B4" w:rsidRDefault="00FD1D4D" w:rsidP="00102202">
      <w:pPr>
        <w:pStyle w:val="Heading2"/>
        <w:numPr>
          <w:ilvl w:val="0"/>
          <w:numId w:val="16"/>
        </w:numPr>
        <w:tabs>
          <w:tab w:val="clear" w:pos="851"/>
          <w:tab w:val="left" w:pos="907"/>
        </w:tabs>
        <w:ind w:left="0" w:firstLine="0"/>
      </w:pPr>
      <w:bookmarkStart w:id="85" w:name="_Toc497740370"/>
      <w:bookmarkStart w:id="86" w:name="_Toc500796136"/>
      <w:bookmarkStart w:id="87" w:name="_Toc121774625"/>
      <w:r w:rsidRPr="00BD16B4">
        <w:t>Fisheries</w:t>
      </w:r>
      <w:bookmarkEnd w:id="85"/>
      <w:bookmarkEnd w:id="86"/>
      <w:bookmarkEnd w:id="87"/>
    </w:p>
    <w:p w14:paraId="3A4DEDF0" w14:textId="77777777" w:rsidR="00FD1D4D" w:rsidRPr="00BD16B4" w:rsidRDefault="00FD1D4D" w:rsidP="00FD1D4D">
      <w:pPr>
        <w:pStyle w:val="BodyText"/>
        <w:rPr>
          <w:rFonts w:eastAsia="Calibri"/>
        </w:rPr>
      </w:pPr>
      <w:r w:rsidRPr="00BD16B4">
        <w:t>Approximately 410,000 tonnes of seafood (excluding aquaculture) is harvested from Aotearoa New Zealand waters each year.</w:t>
      </w:r>
      <w:r w:rsidRPr="00BD16B4">
        <w:rPr>
          <w:rFonts w:cs="Arial"/>
        </w:rPr>
        <w:t xml:space="preserve"> </w:t>
      </w:r>
      <w:r w:rsidRPr="00BD16B4">
        <w:t>The seafood industry employs over 16,000 people.</w:t>
      </w:r>
      <w:r w:rsidRPr="00BD16B4">
        <w:rPr>
          <w:rStyle w:val="FootnoteReference"/>
        </w:rPr>
        <w:footnoteReference w:id="99"/>
      </w:r>
      <w:r w:rsidRPr="00BD16B4">
        <w:rPr>
          <w:rFonts w:cs="Arial"/>
        </w:rPr>
        <w:t xml:space="preserve"> </w:t>
      </w:r>
      <w:r w:rsidRPr="00BD16B4">
        <w:t xml:space="preserve">Seafood exports earned $1.73 </w:t>
      </w:r>
      <w:r w:rsidRPr="00BD16B4">
        <w:rPr>
          <w:rFonts w:eastAsia="Calibri"/>
        </w:rPr>
        <w:t>billion in the year ending March 2022.</w:t>
      </w:r>
      <w:r w:rsidRPr="00BD16B4">
        <w:rPr>
          <w:rStyle w:val="FootnoteReference"/>
          <w:rFonts w:eastAsia="Calibri"/>
        </w:rPr>
        <w:footnoteReference w:id="100"/>
      </w:r>
      <w:r w:rsidRPr="00BD16B4">
        <w:rPr>
          <w:rFonts w:eastAsia="Calibri"/>
        </w:rPr>
        <w:t xml:space="preserve"> </w:t>
      </w:r>
    </w:p>
    <w:p w14:paraId="5AADE501" w14:textId="77777777" w:rsidR="00FD1D4D" w:rsidRPr="00BD16B4" w:rsidRDefault="00FD1D4D" w:rsidP="00FD1D4D">
      <w:pPr>
        <w:pStyle w:val="BodyText"/>
        <w:rPr>
          <w:rFonts w:eastAsia="Calibri"/>
        </w:rPr>
      </w:pPr>
      <w:r w:rsidRPr="00BD16B4">
        <w:rPr>
          <w:rFonts w:eastAsia="Calibri"/>
        </w:rPr>
        <w:t>New Zealand’s marine fisheries waters (EEZ and territorial sea) measures 4.4 million square kilometres and is the world’s fourth-largest EEZ. Fish stocks are managed through a Quota Management System that controls harvest levels for each fish species and area. Each year, the Ministry for Primary Industries reviews the Total Allowable Catch for fish stocks and sets limits.</w:t>
      </w:r>
    </w:p>
    <w:p w14:paraId="5C3748E1" w14:textId="4E05AA16" w:rsidR="00FD1D4D" w:rsidRPr="00BD16B4" w:rsidRDefault="00FD1D4D" w:rsidP="00FA5954">
      <w:pPr>
        <w:pStyle w:val="BodyText"/>
        <w:keepNext/>
        <w:keepLines/>
        <w:rPr>
          <w:lang w:eastAsia="en-GB"/>
        </w:rPr>
      </w:pPr>
      <w:r w:rsidRPr="00BD16B4">
        <w:rPr>
          <w:rFonts w:eastAsia="Calibri"/>
        </w:rPr>
        <w:lastRenderedPageBreak/>
        <w:t>Climate and oceanographic conditions play an important role in driving the productivity of the oceans and the abundance and distribution of New Zealand’s fish stocks and fisheries. The ocean surrounding the country plays a major role in moderating the climate on land, and</w:t>
      </w:r>
      <w:r w:rsidR="008F0168" w:rsidRPr="00BD16B4">
        <w:rPr>
          <w:rFonts w:eastAsia="Calibri"/>
        </w:rPr>
        <w:t> </w:t>
      </w:r>
      <w:r w:rsidRPr="00BD16B4">
        <w:rPr>
          <w:rFonts w:eastAsia="Calibri"/>
        </w:rPr>
        <w:t>evidence indicates that the chemistry of seawater is changing (eg, ocean acidification) in line with other parts of the globe.</w:t>
      </w:r>
      <w:r w:rsidRPr="00BD16B4">
        <w:rPr>
          <w:rStyle w:val="FootnoteReference"/>
        </w:rPr>
        <w:footnoteReference w:id="101"/>
      </w:r>
      <w:r w:rsidRPr="00BD16B4">
        <w:rPr>
          <w:rFonts w:eastAsia="Calibri"/>
        </w:rPr>
        <w:t xml:space="preserve"> Long-term measurements off the Otago coast show an increase </w:t>
      </w:r>
      <w:r w:rsidRPr="00BD16B4">
        <w:rPr>
          <w:rFonts w:eastAsia="Calibri"/>
          <w:spacing w:val="-2"/>
        </w:rPr>
        <w:t>of 8.6 per cent in ocean acidity between January 1998 and December 2020.</w:t>
      </w:r>
      <w:r w:rsidRPr="00BD16B4">
        <w:rPr>
          <w:rStyle w:val="FootnoteReference"/>
          <w:rFonts w:eastAsia="Calibri"/>
          <w:spacing w:val="-2"/>
        </w:rPr>
        <w:footnoteReference w:id="102"/>
      </w:r>
      <w:r w:rsidRPr="00BD16B4">
        <w:rPr>
          <w:rFonts w:eastAsia="Calibri"/>
          <w:spacing w:val="-2"/>
        </w:rPr>
        <w:t xml:space="preserve"> Marine heatwaves</w:t>
      </w:r>
      <w:r w:rsidRPr="00BD16B4">
        <w:rPr>
          <w:rFonts w:eastAsia="Calibri"/>
        </w:rPr>
        <w:t xml:space="preserve"> are also becoming more persistent throughout New Zealand,</w:t>
      </w:r>
      <w:r w:rsidRPr="00BD16B4">
        <w:rPr>
          <w:rStyle w:val="FootnoteReference"/>
          <w:rFonts w:eastAsia="Calibri"/>
        </w:rPr>
        <w:footnoteReference w:id="103"/>
      </w:r>
      <w:r w:rsidRPr="00BD16B4">
        <w:rPr>
          <w:rFonts w:eastAsia="Calibri"/>
        </w:rPr>
        <w:t xml:space="preserve"> with major impacts on fisheries and associated habitats.</w:t>
      </w:r>
    </w:p>
    <w:p w14:paraId="4FF3C0B2" w14:textId="79725E96" w:rsidR="00FD1D4D" w:rsidRPr="00BD16B4" w:rsidRDefault="00FD1D4D" w:rsidP="0011037B">
      <w:pPr>
        <w:pStyle w:val="Heading2"/>
        <w:numPr>
          <w:ilvl w:val="0"/>
          <w:numId w:val="16"/>
        </w:numPr>
        <w:ind w:left="0" w:firstLine="0"/>
      </w:pPr>
      <w:bookmarkStart w:id="88" w:name="_Toc497740371"/>
      <w:bookmarkStart w:id="89" w:name="_Toc500796137"/>
      <w:bookmarkStart w:id="90" w:name="_Toc121774626"/>
      <w:r w:rsidRPr="00BD16B4">
        <w:t>Forestry</w:t>
      </w:r>
      <w:bookmarkEnd w:id="88"/>
      <w:bookmarkEnd w:id="89"/>
      <w:bookmarkEnd w:id="90"/>
    </w:p>
    <w:p w14:paraId="55344827" w14:textId="77777777" w:rsidR="00FD1D4D" w:rsidRPr="00BD16B4" w:rsidRDefault="00FD1D4D" w:rsidP="00FD1D4D">
      <w:pPr>
        <w:pStyle w:val="BodyText"/>
      </w:pPr>
      <w:r w:rsidRPr="00BD16B4">
        <w:t>Aotearoa New Zealand has one of the highest rates of exotic forest growth among developed countries, due to favourable climate and fertile soils combined with intensive forest management. Forestry is economically important to the country as it is the third-biggest export earner at 6.8 per cent of total exports.</w:t>
      </w:r>
      <w:r w:rsidRPr="00BD16B4">
        <w:rPr>
          <w:rStyle w:val="FootnoteReference"/>
        </w:rPr>
        <w:footnoteReference w:id="104"/>
      </w:r>
      <w:r w:rsidRPr="00BD16B4">
        <w:t xml:space="preserve"> An estimated 37,800 people work in the forestry and wood processing sector.</w:t>
      </w:r>
      <w:r w:rsidRPr="00BD16B4">
        <w:rPr>
          <w:rStyle w:val="FootnoteReference"/>
        </w:rPr>
        <w:footnoteReference w:id="105"/>
      </w:r>
      <w:r w:rsidRPr="00BD16B4">
        <w:t xml:space="preserve"> </w:t>
      </w:r>
    </w:p>
    <w:p w14:paraId="51C0D1B0" w14:textId="77777777" w:rsidR="00FD1D4D" w:rsidRPr="00BD16B4" w:rsidRDefault="00FD1D4D" w:rsidP="00FD1D4D">
      <w:pPr>
        <w:pStyle w:val="BodyText"/>
        <w:rPr>
          <w:lang w:eastAsia="en-GB"/>
        </w:rPr>
      </w:pPr>
      <w:r w:rsidRPr="00BD16B4">
        <w:rPr>
          <w:lang w:eastAsia="en-GB"/>
        </w:rPr>
        <w:t>New Zealand has 10.0 million hectares of forest, covering approximately 37 per cent of land.</w:t>
      </w:r>
      <w:r w:rsidRPr="00BD16B4">
        <w:rPr>
          <w:rStyle w:val="FootnoteReference"/>
          <w:lang w:eastAsia="en-GB"/>
        </w:rPr>
        <w:footnoteReference w:id="106"/>
      </w:r>
      <w:r w:rsidRPr="00BD16B4">
        <w:rPr>
          <w:lang w:eastAsia="en-GB"/>
        </w:rPr>
        <w:t xml:space="preserve"> Of this, 7.8 million hectares are natural (indigenous) forest. </w:t>
      </w:r>
      <w:r w:rsidRPr="00BD16B4">
        <w:t xml:space="preserve">Two-thirds of this natural forest is protected within public conservation land. </w:t>
      </w:r>
      <w:r w:rsidRPr="00BD16B4">
        <w:rPr>
          <w:lang w:eastAsia="en-GB"/>
        </w:rPr>
        <w:t>The two main types of natural forest are beech and podocarp/broadleaf forest. In addition, shrublands (mainly mānuka and kānuka) and retired grasslands are classified as forests when they meet New Zealand’s forest definition.</w:t>
      </w:r>
      <w:r w:rsidRPr="00BD16B4">
        <w:rPr>
          <w:rStyle w:val="FootnoteReference"/>
        </w:rPr>
        <w:footnoteReference w:id="107"/>
      </w:r>
    </w:p>
    <w:p w14:paraId="6D393EC0" w14:textId="77777777" w:rsidR="00FD1D4D" w:rsidRPr="00BD16B4" w:rsidRDefault="00FD1D4D" w:rsidP="001F4CE4">
      <w:pPr>
        <w:pStyle w:val="BodyText"/>
        <w:keepLines/>
        <w:rPr>
          <w:lang w:eastAsia="en-GB"/>
        </w:rPr>
      </w:pPr>
      <w:r w:rsidRPr="00BD16B4">
        <w:rPr>
          <w:lang w:eastAsia="en-GB"/>
        </w:rPr>
        <w:lastRenderedPageBreak/>
        <w:t>Planted production forests account for 1.66 million hectares of land in New Zealand as of 1 April 2020.</w:t>
      </w:r>
      <w:r w:rsidRPr="00BD16B4">
        <w:rPr>
          <w:rStyle w:val="FootnoteReference"/>
          <w:lang w:eastAsia="en-GB"/>
        </w:rPr>
        <w:footnoteReference w:id="108"/>
      </w:r>
      <w:r w:rsidRPr="00BD16B4">
        <w:rPr>
          <w:lang w:eastAsia="en-GB"/>
        </w:rPr>
        <w:t xml:space="preserve"> New Zealand’s forestry industry is largely based around plantation forests. Approximately 90 per cent of plantation forests is radiata pine (</w:t>
      </w:r>
      <w:r w:rsidRPr="00BD16B4">
        <w:rPr>
          <w:i/>
          <w:iCs/>
          <w:lang w:eastAsia="en-GB"/>
        </w:rPr>
        <w:t>Pinus radiata</w:t>
      </w:r>
      <w:r w:rsidRPr="00BD16B4">
        <w:rPr>
          <w:lang w:eastAsia="en-GB"/>
        </w:rPr>
        <w:t>), followed by Douglas fir (</w:t>
      </w:r>
      <w:r w:rsidRPr="00BD16B4">
        <w:rPr>
          <w:i/>
          <w:iCs/>
          <w:lang w:eastAsia="en-GB"/>
        </w:rPr>
        <w:t xml:space="preserve">Pseudotsuga menziesii) </w:t>
      </w:r>
      <w:r w:rsidRPr="00BD16B4">
        <w:rPr>
          <w:lang w:eastAsia="en-GB"/>
        </w:rPr>
        <w:t>at 6 per cent.</w:t>
      </w:r>
      <w:r w:rsidRPr="00BD16B4">
        <w:rPr>
          <w:rStyle w:val="FootnoteReference"/>
          <w:lang w:eastAsia="en-GB"/>
        </w:rPr>
        <w:footnoteReference w:id="109"/>
      </w:r>
      <w:r w:rsidRPr="00BD16B4">
        <w:rPr>
          <w:lang w:eastAsia="en-GB"/>
        </w:rPr>
        <w:t xml:space="preserve"> There are smaller amounts of eucalyptus, and other softwood and hardwood species.</w:t>
      </w:r>
    </w:p>
    <w:p w14:paraId="48294895" w14:textId="40BCB02E" w:rsidR="00FD1D4D" w:rsidRPr="00BD16B4" w:rsidRDefault="00FD1D4D" w:rsidP="00FD1D4D">
      <w:pPr>
        <w:pStyle w:val="BodyText"/>
      </w:pPr>
      <w:r w:rsidRPr="00BD16B4">
        <w:t>New Zealand’s forests are currently a net carbon sink. The land use, land-use change and forestry sector offset 30 per cent of New Zealand’s gross emissions in 2020. In 2020</w:t>
      </w:r>
      <w:r w:rsidR="00060C75" w:rsidRPr="00BD16B4">
        <w:t> </w:t>
      </w:r>
      <w:r w:rsidRPr="00BD16B4">
        <w:t>approximately 41,111 hectares of new forest were planted and 2506 hectares were</w:t>
      </w:r>
      <w:r w:rsidR="00060C75" w:rsidRPr="00BD16B4">
        <w:t> </w:t>
      </w:r>
      <w:r w:rsidRPr="00BD16B4">
        <w:t>deforested.</w:t>
      </w:r>
      <w:r w:rsidRPr="00BD16B4">
        <w:rPr>
          <w:rStyle w:val="FootnoteReference"/>
        </w:rPr>
        <w:footnoteReference w:id="110"/>
      </w:r>
      <w:r w:rsidRPr="00BD16B4">
        <w:t xml:space="preserve"> </w:t>
      </w:r>
    </w:p>
    <w:p w14:paraId="72D24747" w14:textId="77777777" w:rsidR="00FD1D4D" w:rsidRPr="00BD16B4" w:rsidRDefault="00FD1D4D" w:rsidP="00FD1D4D">
      <w:pPr>
        <w:pStyle w:val="BodyText"/>
      </w:pPr>
      <w:r w:rsidRPr="00BD16B4">
        <w:t>Net emissions from the land use, land-use change and forestry sector have decreased by 9.8 per cent since 1990.</w:t>
      </w:r>
      <w:r w:rsidRPr="00BD16B4">
        <w:rPr>
          <w:rStyle w:val="FootnoteReference"/>
        </w:rPr>
        <w:footnoteReference w:id="111"/>
      </w:r>
      <w:r w:rsidRPr="00BD16B4">
        <w:t xml:space="preserve"> The main reason for the decrease is that the production of harvested wood products has increased.</w:t>
      </w:r>
      <w:r w:rsidRPr="00BD16B4">
        <w:rPr>
          <w:rStyle w:val="FootnoteReference"/>
        </w:rPr>
        <w:footnoteReference w:id="112"/>
      </w:r>
      <w:r w:rsidRPr="00BD16B4">
        <w:t xml:space="preserve"> Yearly fluctuations in emissions and removals from forestry are mainly driven by harvesting and deforestation in production forests, and historically variable rates of new forest plantings. Historical planting peaks and the resulting harvest and replanting cycles will affect New Zealand’s plantation forestry emissions and removals profile well into the future.</w:t>
      </w:r>
    </w:p>
    <w:p w14:paraId="0805761E" w14:textId="77777777" w:rsidR="00FD1D4D" w:rsidRPr="00BD16B4" w:rsidRDefault="00FD1D4D" w:rsidP="00FD1D4D">
      <w:pPr>
        <w:pStyle w:val="BodyText"/>
        <w:rPr>
          <w:lang w:eastAsia="en-GB"/>
        </w:rPr>
      </w:pPr>
      <w:r w:rsidRPr="00BD16B4">
        <w:rPr>
          <w:lang w:eastAsia="en-GB"/>
        </w:rPr>
        <w:t>Forest planting rates were particularly high in the 1980s and 1990s (figure 2.12). This followed on from a change in the taxation regime, an unprecedented price spike for forest products and subsequent favourable publicity, a Government focus on forestry as an instrument for regional development, and the conclusion of the state forest assets sale. The removal of agricultural subsidies and generally poor performance of the New Zealand and international share markets also encouraged investors to seek alternative sectors for investment.</w:t>
      </w:r>
      <w:r w:rsidRPr="00BD16B4">
        <w:rPr>
          <w:rStyle w:val="FootnoteReference"/>
        </w:rPr>
        <w:footnoteReference w:id="113"/>
      </w:r>
      <w:r w:rsidRPr="00BD16B4">
        <w:rPr>
          <w:lang w:eastAsia="en-GB"/>
        </w:rPr>
        <w:t xml:space="preserve"> After the late 1990s the rate of planting declined. The increase in planting between 2008 and 2012 is largely due to the first Afforestation Grant Scheme and market-based measures for forest carbon (the NZ ETS and the Permanent Forest Sink Initiative), which were introduced by the New Zealand Government to encourage the planting of new forests and the regeneration of natural forests.</w:t>
      </w:r>
    </w:p>
    <w:p w14:paraId="5491122C" w14:textId="3B827838" w:rsidR="00FD1D4D" w:rsidRPr="00BD16B4" w:rsidRDefault="00FD1D4D" w:rsidP="00EC76A2">
      <w:pPr>
        <w:pStyle w:val="Figureheading"/>
      </w:pPr>
      <w:bookmarkStart w:id="91" w:name="_Toc497740678"/>
      <w:bookmarkStart w:id="92" w:name="_Toc500767107"/>
      <w:bookmarkStart w:id="93" w:name="_Toc121494378"/>
      <w:r w:rsidRPr="00BD16B4">
        <w:lastRenderedPageBreak/>
        <w:t>Figure 2.</w:t>
      </w:r>
      <w:r w:rsidRPr="00BD16B4">
        <w:fldChar w:fldCharType="begin"/>
      </w:r>
      <w:r w:rsidRPr="00BD16B4">
        <w:instrText>SEQ Figure_2. \* ARABIC</w:instrText>
      </w:r>
      <w:r w:rsidRPr="00BD16B4">
        <w:fldChar w:fldCharType="separate"/>
      </w:r>
      <w:r w:rsidR="00A60C35">
        <w:rPr>
          <w:noProof/>
        </w:rPr>
        <w:t>12</w:t>
      </w:r>
      <w:r w:rsidRPr="00BD16B4">
        <w:fldChar w:fldCharType="end"/>
      </w:r>
      <w:r w:rsidRPr="00BD16B4">
        <w:t>:</w:t>
      </w:r>
      <w:r w:rsidRPr="00BD16B4">
        <w:tab/>
        <w:t>New Zealand’s historical new production forest planting, 1920–2020</w:t>
      </w:r>
      <w:bookmarkEnd w:id="91"/>
      <w:bookmarkEnd w:id="92"/>
      <w:bookmarkEnd w:id="93"/>
    </w:p>
    <w:p w14:paraId="5C730171" w14:textId="77777777" w:rsidR="00FD1D4D" w:rsidRPr="00BD16B4" w:rsidRDefault="00FD1D4D" w:rsidP="00FD1D4D">
      <w:pPr>
        <w:pStyle w:val="BodyText"/>
      </w:pPr>
      <w:r w:rsidRPr="00BD16B4">
        <w:rPr>
          <w:noProof/>
        </w:rPr>
        <w:drawing>
          <wp:inline distT="0" distB="0" distL="0" distR="0" wp14:anchorId="4ADA1D9D" wp14:editId="2CAEF783">
            <wp:extent cx="5400040" cy="278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1749"/>
                    <a:stretch/>
                  </pic:blipFill>
                  <pic:spPr bwMode="auto">
                    <a:xfrm>
                      <a:off x="0" y="0"/>
                      <a:ext cx="5400040" cy="2781300"/>
                    </a:xfrm>
                    <a:prstGeom prst="rect">
                      <a:avLst/>
                    </a:prstGeom>
                    <a:ln>
                      <a:noFill/>
                    </a:ln>
                    <a:extLst>
                      <a:ext uri="{53640926-AAD7-44D8-BBD7-CCE9431645EC}">
                        <a14:shadowObscured xmlns:a14="http://schemas.microsoft.com/office/drawing/2010/main"/>
                      </a:ext>
                    </a:extLst>
                  </pic:spPr>
                </pic:pic>
              </a:graphicData>
            </a:graphic>
          </wp:inline>
        </w:drawing>
      </w:r>
    </w:p>
    <w:p w14:paraId="430B35A0" w14:textId="77777777" w:rsidR="00FD1D4D" w:rsidRPr="00BD16B4" w:rsidRDefault="00FD1D4D" w:rsidP="00120409">
      <w:pPr>
        <w:pStyle w:val="Note"/>
      </w:pPr>
      <w:r w:rsidRPr="00BD16B4">
        <w:rPr>
          <w:rFonts w:eastAsia="Arial"/>
          <w:b/>
        </w:rPr>
        <w:t xml:space="preserve">Note: </w:t>
      </w:r>
      <w:r w:rsidRPr="00BD16B4">
        <w:rPr>
          <w:rFonts w:eastAsia="Arial"/>
        </w:rPr>
        <w:t>ha = hectares.</w:t>
      </w:r>
    </w:p>
    <w:p w14:paraId="20151258" w14:textId="77777777" w:rsidR="00FD1D4D" w:rsidRPr="00BD16B4" w:rsidRDefault="00FD1D4D" w:rsidP="00AA7EEA">
      <w:pPr>
        <w:pStyle w:val="Source"/>
        <w:rPr>
          <w:rFonts w:ascii="Times New Roman" w:hAnsi="Times New Roman"/>
          <w:szCs w:val="20"/>
          <w:lang w:eastAsia="en-GB"/>
        </w:rPr>
      </w:pPr>
      <w:r w:rsidRPr="00BD16B4">
        <w:rPr>
          <w:rFonts w:eastAsia="Arial"/>
        </w:rPr>
        <w:t xml:space="preserve">Source: Ministry for Primary Industries. </w:t>
      </w:r>
      <w:r w:rsidRPr="00BD16B4">
        <w:rPr>
          <w:rFonts w:eastAsia="Arial"/>
          <w:i/>
        </w:rPr>
        <w:t>National Exotic Forest Description, page 19, as at 1 April 2021</w:t>
      </w:r>
      <w:r w:rsidRPr="00BD16B4">
        <w:rPr>
          <w:rFonts w:eastAsia="Arial"/>
        </w:rPr>
        <w:t>.</w:t>
      </w:r>
      <w:r w:rsidRPr="00BD16B4">
        <w:t xml:space="preserve"> Wellington: Ministry for Primary Industries.</w:t>
      </w:r>
    </w:p>
    <w:p w14:paraId="636D7DED" w14:textId="77777777" w:rsidR="00FD1D4D" w:rsidRPr="00BD16B4" w:rsidRDefault="00FD1D4D" w:rsidP="00FD1D4D">
      <w:pPr>
        <w:pStyle w:val="BodyText"/>
        <w:rPr>
          <w:lang w:eastAsia="en-GB"/>
        </w:rPr>
      </w:pPr>
      <w:r w:rsidRPr="00BD16B4">
        <w:rPr>
          <w:lang w:eastAsia="en-GB"/>
        </w:rPr>
        <w:t>Between 2013 and 2018 new forest planting rates dropped back to pre-2008 levels.</w:t>
      </w:r>
      <w:r w:rsidRPr="00BD16B4">
        <w:rPr>
          <w:rStyle w:val="FootnoteReference"/>
          <w:lang w:eastAsia="en-GB"/>
        </w:rPr>
        <w:footnoteReference w:id="114"/>
      </w:r>
      <w:r w:rsidRPr="00BD16B4">
        <w:rPr>
          <w:lang w:eastAsia="en-GB"/>
        </w:rPr>
        <w:t xml:space="preserve"> </w:t>
      </w:r>
      <w:r w:rsidRPr="00BD16B4">
        <w:t>This is likely due in part to a significant drop in the price of carbon in the NZ ETS and the increase in profitability of other non-forest land uses. In 2019 and 2020, afforestation and reforestation activities significantly increased again, with 27,070 hectares of new planting occurring in 2019 and 40,887 hectares in 2020. This increase is likely due to planting of seedlings funded by the One Billion Trees programme and the higher carbon prices in the NZ ETS that resulted from the announcements leading up to the Climate Change Response (Emissions Trading Reform) Amendment Bill and its passing in June 2020.</w:t>
      </w:r>
      <w:r w:rsidRPr="00BD16B4" w:rsidDel="002040A2">
        <w:rPr>
          <w:lang w:eastAsia="en-GB"/>
        </w:rPr>
        <w:t xml:space="preserve"> </w:t>
      </w:r>
    </w:p>
    <w:p w14:paraId="7A84E3A2" w14:textId="46CA4CAA" w:rsidR="00FD1D4D" w:rsidRPr="00BD16B4" w:rsidRDefault="00FD1D4D" w:rsidP="0011037B">
      <w:pPr>
        <w:pStyle w:val="Heading2"/>
        <w:numPr>
          <w:ilvl w:val="0"/>
          <w:numId w:val="16"/>
        </w:numPr>
        <w:ind w:left="0" w:firstLine="0"/>
      </w:pPr>
      <w:bookmarkStart w:id="94" w:name="_Toc497740372"/>
      <w:bookmarkStart w:id="95" w:name="_Toc500796138"/>
      <w:bookmarkStart w:id="96" w:name="_Toc121774627"/>
      <w:r w:rsidRPr="00BD16B4">
        <w:t>Waste</w:t>
      </w:r>
      <w:bookmarkEnd w:id="94"/>
      <w:bookmarkEnd w:id="95"/>
      <w:bookmarkEnd w:id="96"/>
    </w:p>
    <w:p w14:paraId="571DA554" w14:textId="63154119" w:rsidR="00FD1D4D" w:rsidRPr="00BD16B4" w:rsidRDefault="00FD1D4D" w:rsidP="00FD1D4D">
      <w:pPr>
        <w:pStyle w:val="BodyText"/>
        <w:rPr>
          <w:lang w:eastAsia="en-GB"/>
        </w:rPr>
      </w:pPr>
      <w:r w:rsidRPr="00BD16B4">
        <w:rPr>
          <w:lang w:eastAsia="en-GB"/>
        </w:rPr>
        <w:t>Aotearoa New Zealand generates an estimated 17.5 million tonnes of waste per year, of which an estimated 12.6 million tonnes are sent to landfill.</w:t>
      </w:r>
      <w:r w:rsidRPr="00BD16B4">
        <w:rPr>
          <w:rStyle w:val="FootnoteReference"/>
          <w:lang w:eastAsia="en-GB"/>
        </w:rPr>
        <w:footnoteReference w:id="115"/>
      </w:r>
    </w:p>
    <w:p w14:paraId="275C5B83" w14:textId="62467279" w:rsidR="00FD1D4D" w:rsidRPr="00BD16B4" w:rsidRDefault="00FD1D4D" w:rsidP="00FD1D4D">
      <w:pPr>
        <w:pStyle w:val="BodyText"/>
        <w:rPr>
          <w:lang w:eastAsia="en-GB"/>
        </w:rPr>
      </w:pPr>
      <w:r w:rsidRPr="00BD16B4">
        <w:rPr>
          <w:lang w:eastAsia="en-GB"/>
        </w:rPr>
        <w:t>Waste sent to Class 1 landfills (landfills that accept household waste) increased by 47 per cent from 2.5 million tonnes in 2010 to 3.7 million tonnes in 2018.</w:t>
      </w:r>
      <w:r w:rsidRPr="00BD16B4">
        <w:rPr>
          <w:rStyle w:val="FootnoteReference"/>
          <w:lang w:eastAsia="en-GB"/>
        </w:rPr>
        <w:footnoteReference w:id="116"/>
      </w:r>
      <w:r w:rsidRPr="00BD16B4">
        <w:rPr>
          <w:rFonts w:ascii="Helvetica" w:hAnsi="Helvetica" w:cs="Helvetica"/>
          <w:color w:val="003D59"/>
          <w:sz w:val="27"/>
          <w:szCs w:val="27"/>
        </w:rPr>
        <w:t xml:space="preserve"> </w:t>
      </w:r>
      <w:r w:rsidRPr="00BD16B4">
        <w:rPr>
          <w:lang w:eastAsia="en-GB"/>
        </w:rPr>
        <w:t xml:space="preserve">While waste to Class 1 landfills decreased slightly in 2019 and 2020, with the decrease in 2020 likely largely due to COVID-19, longer-term trends suggest the rate of waste disposal is increasing for many sites around the country (figure </w:t>
      </w:r>
      <w:r w:rsidR="00087619" w:rsidRPr="00BD16B4">
        <w:rPr>
          <w:lang w:eastAsia="en-GB"/>
        </w:rPr>
        <w:t>2.</w:t>
      </w:r>
      <w:r w:rsidRPr="00BD16B4">
        <w:rPr>
          <w:lang w:eastAsia="en-GB"/>
        </w:rPr>
        <w:t xml:space="preserve">13). In 2021 there were 3.5 million tonnes of waste sent to landfill. </w:t>
      </w:r>
    </w:p>
    <w:p w14:paraId="1D2F7BD2" w14:textId="0FC5CA33" w:rsidR="00FD1D4D" w:rsidRPr="00BD16B4" w:rsidRDefault="00FD1D4D" w:rsidP="00EC76A2">
      <w:pPr>
        <w:pStyle w:val="Figureheading"/>
      </w:pPr>
      <w:bookmarkStart w:id="97" w:name="_Toc121494379"/>
      <w:r w:rsidRPr="00BD16B4">
        <w:lastRenderedPageBreak/>
        <w:t>Figure 2.</w:t>
      </w:r>
      <w:r w:rsidR="00FC49D2">
        <w:fldChar w:fldCharType="begin"/>
      </w:r>
      <w:r w:rsidR="00FC49D2">
        <w:instrText xml:space="preserve"> SEQ Figure_2. \* ARABIC </w:instrText>
      </w:r>
      <w:r w:rsidR="00FC49D2">
        <w:fldChar w:fldCharType="separate"/>
      </w:r>
      <w:r w:rsidR="00A60C35">
        <w:rPr>
          <w:noProof/>
        </w:rPr>
        <w:t>13</w:t>
      </w:r>
      <w:r w:rsidR="00FC49D2">
        <w:rPr>
          <w:noProof/>
        </w:rPr>
        <w:fldChar w:fldCharType="end"/>
      </w:r>
      <w:r w:rsidRPr="00BD16B4">
        <w:t>:</w:t>
      </w:r>
      <w:r w:rsidRPr="00BD16B4">
        <w:tab/>
        <w:t>Total tonnage of waste to Class 1 landfills, 2010–21</w:t>
      </w:r>
      <w:bookmarkEnd w:id="97"/>
      <w:r w:rsidRPr="00BD16B4">
        <w:t xml:space="preserve"> </w:t>
      </w:r>
    </w:p>
    <w:p w14:paraId="41ADE8DA" w14:textId="77777777" w:rsidR="00FD1D4D" w:rsidRPr="00BD16B4" w:rsidRDefault="00FD1D4D" w:rsidP="00FD1D4D">
      <w:pPr>
        <w:pStyle w:val="BodyText"/>
        <w:spacing w:after="80"/>
      </w:pPr>
      <w:r w:rsidRPr="00BD16B4">
        <w:rPr>
          <w:noProof/>
        </w:rPr>
        <w:drawing>
          <wp:inline distT="0" distB="0" distL="0" distR="0" wp14:anchorId="4F5A3082" wp14:editId="4690BE79">
            <wp:extent cx="5040000" cy="2592926"/>
            <wp:effectExtent l="0" t="0" r="0" b="0"/>
            <wp:docPr id="11" name="Picture 11"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 histogram&#10;&#10;Description automatically generated"/>
                    <pic:cNvPicPr>
                      <a:picLocks noChangeAspect="1" noChangeArrowheads="1"/>
                    </pic:cNvPicPr>
                  </pic:nvPicPr>
                  <pic:blipFill rotWithShape="1">
                    <a:blip r:embed="rId51">
                      <a:extLst>
                        <a:ext uri="{28A0092B-C50C-407E-A947-70E740481C1C}">
                          <a14:useLocalDpi xmlns:a14="http://schemas.microsoft.com/office/drawing/2010/main" val="0"/>
                        </a:ext>
                      </a:extLst>
                    </a:blip>
                    <a:srcRect t="1937" b="1866"/>
                    <a:stretch/>
                  </pic:blipFill>
                  <pic:spPr bwMode="auto">
                    <a:xfrm>
                      <a:off x="0" y="0"/>
                      <a:ext cx="5040000" cy="2592926"/>
                    </a:xfrm>
                    <a:prstGeom prst="rect">
                      <a:avLst/>
                    </a:prstGeom>
                    <a:noFill/>
                    <a:ln>
                      <a:noFill/>
                    </a:ln>
                    <a:extLst>
                      <a:ext uri="{53640926-AAD7-44D8-BBD7-CCE9431645EC}">
                        <a14:shadowObscured xmlns:a14="http://schemas.microsoft.com/office/drawing/2010/main"/>
                      </a:ext>
                    </a:extLst>
                  </pic:spPr>
                </pic:pic>
              </a:graphicData>
            </a:graphic>
          </wp:inline>
        </w:drawing>
      </w:r>
    </w:p>
    <w:p w14:paraId="47CACA90" w14:textId="77777777" w:rsidR="00FD1D4D" w:rsidRPr="00BD16B4" w:rsidRDefault="00FD1D4D" w:rsidP="00120409">
      <w:pPr>
        <w:pStyle w:val="Source"/>
        <w:rPr>
          <w:lang w:eastAsia="en-GB"/>
        </w:rPr>
      </w:pPr>
      <w:r w:rsidRPr="00BD16B4">
        <w:t>Source:</w:t>
      </w:r>
      <w:r w:rsidRPr="00BD16B4">
        <w:rPr>
          <w:b/>
        </w:rPr>
        <w:t xml:space="preserve"> </w:t>
      </w:r>
      <w:r w:rsidRPr="00BD16B4">
        <w:t>Ministry for the Environment.</w:t>
      </w:r>
      <w:r w:rsidRPr="00BD16B4" w:rsidDel="007D7225">
        <w:t xml:space="preserve"> </w:t>
      </w:r>
      <w:r w:rsidRPr="00BD16B4">
        <w:rPr>
          <w:i/>
          <w:iCs/>
        </w:rPr>
        <w:t>Estimates of Waste generated in Aotearoa New Zealand.</w:t>
      </w:r>
      <w:r w:rsidRPr="00BD16B4">
        <w:t xml:space="preserve"> Retrieved from </w:t>
      </w:r>
      <w:hyperlink r:id="rId52" w:history="1">
        <w:r w:rsidRPr="00BD16B4">
          <w:rPr>
            <w:rStyle w:val="Hyperlink"/>
            <w:bCs/>
          </w:rPr>
          <w:t>www.environment.govt.nz/facts-and-science/waste/estimates-of-waste-generated</w:t>
        </w:r>
      </w:hyperlink>
      <w:r w:rsidRPr="00BD16B4">
        <w:t>.</w:t>
      </w:r>
    </w:p>
    <w:p w14:paraId="49C9C835" w14:textId="77777777" w:rsidR="00FD1D4D" w:rsidRPr="00BD16B4" w:rsidRDefault="00FD1D4D" w:rsidP="00FD1D4D">
      <w:pPr>
        <w:pStyle w:val="BodyText"/>
        <w:spacing w:before="100" w:after="100"/>
        <w:rPr>
          <w:lang w:eastAsia="en-GB"/>
        </w:rPr>
      </w:pPr>
      <w:r w:rsidRPr="00BD16B4">
        <w:rPr>
          <w:lang w:eastAsia="en-GB"/>
        </w:rPr>
        <w:t xml:space="preserve">Solid waste in New Zealand either is disposed of at landfills or is recycled. </w:t>
      </w:r>
      <w:r w:rsidRPr="00BD16B4">
        <w:t>No incineration of municipal waste occurs, and incineration is only used on a very small scale for hazardous and clinical waste. The majority of the solid waste disposed of at municipal landfill consists of inert waste (57 per cent) and wood waste (13 per cent) (</w:t>
      </w:r>
      <w:r w:rsidRPr="00BD16B4">
        <w:rPr>
          <w:lang w:eastAsia="en-GB"/>
        </w:rPr>
        <w:t>figure 2.14).</w:t>
      </w:r>
    </w:p>
    <w:p w14:paraId="5D12878C" w14:textId="38A9F899" w:rsidR="00FD1D4D" w:rsidRPr="00BD16B4" w:rsidRDefault="00FD1D4D" w:rsidP="00EC76A2">
      <w:pPr>
        <w:pStyle w:val="Figureheading"/>
      </w:pPr>
      <w:bookmarkStart w:id="98" w:name="_Toc121494380"/>
      <w:r w:rsidRPr="00BD16B4">
        <w:t>Figure 2.</w:t>
      </w:r>
      <w:r w:rsidRPr="00BD16B4">
        <w:fldChar w:fldCharType="begin"/>
      </w:r>
      <w:r w:rsidRPr="00BD16B4">
        <w:instrText>SEQ Figure_2. \* ARABIC</w:instrText>
      </w:r>
      <w:r w:rsidRPr="00BD16B4">
        <w:fldChar w:fldCharType="separate"/>
      </w:r>
      <w:r w:rsidR="00A60C35">
        <w:rPr>
          <w:noProof/>
        </w:rPr>
        <w:t>14</w:t>
      </w:r>
      <w:r w:rsidRPr="00BD16B4">
        <w:fldChar w:fldCharType="end"/>
      </w:r>
      <w:r w:rsidRPr="00BD16B4">
        <w:t>:</w:t>
      </w:r>
      <w:r w:rsidRPr="00BD16B4">
        <w:tab/>
        <w:t>Estimate of New Zealand’s waste composition, 2018–20</w:t>
      </w:r>
      <w:bookmarkEnd w:id="98"/>
    </w:p>
    <w:p w14:paraId="2AE6EE16" w14:textId="77777777" w:rsidR="00FD1D4D" w:rsidRPr="00BD16B4" w:rsidRDefault="00FD1D4D" w:rsidP="00FD1D4D">
      <w:pPr>
        <w:pStyle w:val="BodyText"/>
      </w:pPr>
      <w:r w:rsidRPr="00BD16B4">
        <w:rPr>
          <w:noProof/>
        </w:rPr>
        <w:drawing>
          <wp:inline distT="0" distB="0" distL="0" distR="0" wp14:anchorId="782FD1E0" wp14:editId="7BC4DC38">
            <wp:extent cx="5040000" cy="2907030"/>
            <wp:effectExtent l="0" t="0" r="0" b="0"/>
            <wp:docPr id="14" name="Chart 14">
              <a:extLst xmlns:a="http://schemas.openxmlformats.org/drawingml/2006/main">
                <a:ext uri="{FF2B5EF4-FFF2-40B4-BE49-F238E27FC236}">
                  <a16:creationId xmlns:a16="http://schemas.microsoft.com/office/drawing/2014/main" id="{9EEC60E1-1F98-101C-C2E9-AD12E354F6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8488EDE" w14:textId="77777777" w:rsidR="00FD1D4D" w:rsidRPr="00BD16B4" w:rsidRDefault="00FD1D4D" w:rsidP="00120409">
      <w:pPr>
        <w:pStyle w:val="Note"/>
      </w:pPr>
      <w:r w:rsidRPr="00BD16B4">
        <w:rPr>
          <w:b/>
        </w:rPr>
        <w:t>Note:</w:t>
      </w:r>
      <w:r w:rsidRPr="00BD16B4">
        <w:t xml:space="preserve"> * Waste that neither produces greenhouse gases nor decomposes.</w:t>
      </w:r>
    </w:p>
    <w:p w14:paraId="129DC26D" w14:textId="77777777" w:rsidR="00FD1D4D" w:rsidRPr="00BD16B4" w:rsidRDefault="00FD1D4D" w:rsidP="00120409">
      <w:pPr>
        <w:pStyle w:val="Source"/>
      </w:pPr>
      <w:r w:rsidRPr="00BD16B4">
        <w:rPr>
          <w:bCs/>
        </w:rPr>
        <w:t>Source:</w:t>
      </w:r>
      <w:r w:rsidRPr="00BD16B4">
        <w:rPr>
          <w:b/>
        </w:rPr>
        <w:t xml:space="preserve"> </w:t>
      </w:r>
      <w:r w:rsidRPr="00BD16B4">
        <w:t xml:space="preserve">Ministry for the Environment. 2022. </w:t>
      </w:r>
      <w:r w:rsidRPr="00BD16B4">
        <w:rPr>
          <w:i/>
        </w:rPr>
        <w:t>New Zealand’s Greenhouse Gas Inventory 1990–2020</w:t>
      </w:r>
      <w:r w:rsidRPr="00BD16B4">
        <w:t>. Wellington: Ministry for the Environment. Estimates based on survey conducted in 2012.</w:t>
      </w:r>
    </w:p>
    <w:p w14:paraId="4938991A" w14:textId="0FD771E3" w:rsidR="00FD1D4D" w:rsidRPr="00BD16B4" w:rsidRDefault="00FD1D4D" w:rsidP="00FD1D4D">
      <w:pPr>
        <w:pStyle w:val="BodyText"/>
        <w:rPr>
          <w:spacing w:val="-2"/>
        </w:rPr>
      </w:pPr>
      <w:r w:rsidRPr="00BD16B4">
        <w:rPr>
          <w:spacing w:val="-2"/>
        </w:rPr>
        <w:t>The Waste Minimisation Act 2008 introduced a levy on all waste disposed of in municipal landfills. The funding from this levy helps local government, communities and businesses to</w:t>
      </w:r>
      <w:r w:rsidR="00326D9F" w:rsidRPr="00BD16B4">
        <w:rPr>
          <w:spacing w:val="-2"/>
        </w:rPr>
        <w:t xml:space="preserve"> </w:t>
      </w:r>
      <w:r w:rsidRPr="00BD16B4">
        <w:rPr>
          <w:spacing w:val="-2"/>
        </w:rPr>
        <w:t>reduce waste. The Act also provides for requirements for reporting, clarification of the</w:t>
      </w:r>
      <w:r w:rsidR="00326D9F" w:rsidRPr="00BD16B4">
        <w:rPr>
          <w:spacing w:val="-2"/>
        </w:rPr>
        <w:t xml:space="preserve"> </w:t>
      </w:r>
      <w:r w:rsidRPr="00BD16B4">
        <w:rPr>
          <w:spacing w:val="-2"/>
        </w:rPr>
        <w:t>roles</w:t>
      </w:r>
      <w:r w:rsidR="00326D9F" w:rsidRPr="00BD16B4">
        <w:rPr>
          <w:spacing w:val="-2"/>
        </w:rPr>
        <w:t xml:space="preserve"> </w:t>
      </w:r>
      <w:r w:rsidRPr="00BD16B4">
        <w:rPr>
          <w:spacing w:val="-2"/>
        </w:rPr>
        <w:t>and responsibilities of territorial authorities, and accreditation for product stewardship</w:t>
      </w:r>
      <w:r w:rsidR="00326D9F" w:rsidRPr="00BD16B4">
        <w:rPr>
          <w:spacing w:val="-2"/>
        </w:rPr>
        <w:t xml:space="preserve"> </w:t>
      </w:r>
      <w:r w:rsidRPr="00BD16B4">
        <w:rPr>
          <w:spacing w:val="-2"/>
        </w:rPr>
        <w:t>schemes.</w:t>
      </w:r>
    </w:p>
    <w:p w14:paraId="1B565B8E" w14:textId="77777777" w:rsidR="00FD1D4D" w:rsidRPr="00BD16B4" w:rsidRDefault="00FD1D4D" w:rsidP="00FD1D4D">
      <w:pPr>
        <w:pStyle w:val="BodyText"/>
        <w:spacing w:before="100" w:after="100"/>
      </w:pPr>
      <w:r w:rsidRPr="00BD16B4">
        <w:lastRenderedPageBreak/>
        <w:t>Wastewater from almost every town in New Zealand with a population over 1000 is collected and treated in community wastewater treatment plants. The country has approximately 318 wastewater treatment plants.</w:t>
      </w:r>
      <w:r w:rsidRPr="00BD16B4">
        <w:rPr>
          <w:rStyle w:val="FootnoteReference"/>
        </w:rPr>
        <w:footnoteReference w:id="117"/>
      </w:r>
      <w:r w:rsidRPr="00BD16B4">
        <w:t xml:space="preserve"> Most of the treatment processes are aerobic, but a significant number of plants use partially anaerobic processes such as oxidation ponds or septic tanks. Small communities and rural dwellings are generally served by simple septic tanks followed by ground soakage trenches.</w:t>
      </w:r>
      <w:r w:rsidRPr="00BD16B4">
        <w:rPr>
          <w:rStyle w:val="FootnoteReference"/>
        </w:rPr>
        <w:footnoteReference w:id="118"/>
      </w:r>
    </w:p>
    <w:p w14:paraId="5B0319A5" w14:textId="6F14BE80" w:rsidR="00FD1D4D" w:rsidRPr="00BD16B4" w:rsidRDefault="00FD1D4D" w:rsidP="00FD1D4D">
      <w:pPr>
        <w:pStyle w:val="BodyText"/>
        <w:spacing w:before="100" w:after="100"/>
        <w:rPr>
          <w:lang w:eastAsia="en-GB"/>
        </w:rPr>
      </w:pPr>
      <w:r w:rsidRPr="00BD16B4">
        <w:rPr>
          <w:lang w:eastAsia="en-GB"/>
        </w:rPr>
        <w:t>In 2020 the waste sector contributed 4.1 per cent of New Zealand’s gross greenhouse gas emissions. Between 1990 and 2020, emissions from the waste sector declined by 17.1</w:t>
      </w:r>
      <w:r w:rsidR="00D754AA" w:rsidRPr="00BD16B4">
        <w:rPr>
          <w:lang w:eastAsia="en-GB"/>
        </w:rPr>
        <w:t> </w:t>
      </w:r>
      <w:r w:rsidRPr="00BD16B4">
        <w:rPr>
          <w:lang w:eastAsia="en-GB"/>
        </w:rPr>
        <w:t>per cent. This was the only gross emissions sector to have a decrease in emissions between 1990</w:t>
      </w:r>
      <w:r w:rsidR="00AA7EEA" w:rsidRPr="00BD16B4">
        <w:rPr>
          <w:lang w:eastAsia="en-GB"/>
        </w:rPr>
        <w:t> </w:t>
      </w:r>
      <w:r w:rsidRPr="00BD16B4">
        <w:rPr>
          <w:lang w:eastAsia="en-GB"/>
        </w:rPr>
        <w:t xml:space="preserve">and 2020. </w:t>
      </w:r>
    </w:p>
    <w:p w14:paraId="20FBBE96" w14:textId="04AC210B" w:rsidR="00FD1D4D" w:rsidRPr="00BD16B4" w:rsidRDefault="00FD1D4D" w:rsidP="00FD1D4D">
      <w:pPr>
        <w:pStyle w:val="BodyText"/>
        <w:spacing w:before="100" w:after="100"/>
        <w:rPr>
          <w:lang w:eastAsia="en-GB"/>
        </w:rPr>
      </w:pPr>
      <w:r w:rsidRPr="00BD16B4">
        <w:rPr>
          <w:lang w:eastAsia="en-GB"/>
        </w:rPr>
        <w:t>Annual emissions increased between 1990 and 2002 because of the ongoing growth in population and economic activity. However, since 2005 annual emissions have steadily declined. This is mainly due to ongoing improvements in managing solid waste disposal at</w:t>
      </w:r>
      <w:r w:rsidR="00D754AA" w:rsidRPr="00BD16B4">
        <w:rPr>
          <w:lang w:eastAsia="en-GB"/>
        </w:rPr>
        <w:t> </w:t>
      </w:r>
      <w:r w:rsidRPr="00BD16B4">
        <w:rPr>
          <w:lang w:eastAsia="en-GB"/>
        </w:rPr>
        <w:t>municipal landfills, particularly in landfill</w:t>
      </w:r>
      <w:r w:rsidR="004328ED" w:rsidRPr="00BD16B4">
        <w:rPr>
          <w:lang w:eastAsia="en-GB"/>
        </w:rPr>
        <w:t xml:space="preserve"> gas</w:t>
      </w:r>
      <w:r w:rsidRPr="00BD16B4">
        <w:rPr>
          <w:lang w:eastAsia="en-GB"/>
        </w:rPr>
        <w:t xml:space="preserve"> recovery. This decline is despite ongoing population growth and the resulting increases in the amount of municipal waste generated. </w:t>
      </w:r>
      <w:r w:rsidRPr="00BD16B4">
        <w:t>Emissions in the waste sector were from solid waste disposal (80.7 per cent), wastewater (11.5</w:t>
      </w:r>
      <w:r w:rsidR="004328ED" w:rsidRPr="00BD16B4">
        <w:t> </w:t>
      </w:r>
      <w:r w:rsidRPr="00BD16B4">
        <w:t>per cent), incineration (5.7 per cent) and composting (2.1 per cent).</w:t>
      </w:r>
    </w:p>
    <w:p w14:paraId="74CB4CB1" w14:textId="44BF5737" w:rsidR="00FD1D4D" w:rsidRPr="00BD16B4" w:rsidRDefault="00FD1D4D" w:rsidP="0011037B">
      <w:pPr>
        <w:pStyle w:val="Heading2"/>
        <w:numPr>
          <w:ilvl w:val="0"/>
          <w:numId w:val="16"/>
        </w:numPr>
        <w:ind w:left="0" w:firstLine="0"/>
      </w:pPr>
      <w:bookmarkStart w:id="99" w:name="_Toc497740373"/>
      <w:bookmarkStart w:id="100" w:name="_Toc500796139"/>
      <w:bookmarkStart w:id="101" w:name="_Toc121774628"/>
      <w:r w:rsidRPr="00BD16B4">
        <w:t>Tokelau</w:t>
      </w:r>
      <w:bookmarkEnd w:id="99"/>
      <w:bookmarkEnd w:id="100"/>
      <w:bookmarkEnd w:id="101"/>
    </w:p>
    <w:p w14:paraId="364A1817" w14:textId="77777777" w:rsidR="00FD1D4D" w:rsidRPr="00BD16B4" w:rsidRDefault="00FD1D4D" w:rsidP="00FD1D4D">
      <w:pPr>
        <w:pStyle w:val="BodyText"/>
        <w:spacing w:before="100" w:after="100"/>
      </w:pPr>
      <w:r w:rsidRPr="00BD16B4" w:rsidDel="001B1CA8">
        <w:rPr>
          <w:rFonts w:eastAsia="Calibri"/>
        </w:rPr>
        <w:t xml:space="preserve">This </w:t>
      </w:r>
      <w:r w:rsidRPr="00BD16B4" w:rsidDel="001B1CA8">
        <w:rPr>
          <w:rFonts w:eastAsia="Calibri"/>
          <w:i/>
        </w:rPr>
        <w:t>National Communication</w:t>
      </w:r>
      <w:r w:rsidRPr="00BD16B4" w:rsidDel="001B1CA8">
        <w:rPr>
          <w:rFonts w:eastAsia="Calibri"/>
        </w:rPr>
        <w:t xml:space="preserve"> includes reporting on Tokelau’s response to the challenges of climate change. </w:t>
      </w:r>
      <w:r w:rsidRPr="00BD16B4">
        <w:rPr>
          <w:rFonts w:eastAsia="Calibri"/>
        </w:rPr>
        <w:t xml:space="preserve">Tokelau has been a dependent territory of Aotearoa New Zealand since 1926, and is considered “part of New Zealand” for certain purposes under the Tokelau Act 1948 (NZ). The extension of New Zealand’s ratification of the UNFCCC and the Paris Agreement to Tokelau was announced on 13 November 2017. The Government will continue to work with Tokelau to meet reporting obligations under the UNFCCC and the Paris Agreement. Tokelau has produced a climate change strategy, which this report sets out in annex E. The Government is working closely with Tokelau’s national legislative and executive body to help achieve its vision for the future under the strategy. </w:t>
      </w:r>
    </w:p>
    <w:p w14:paraId="538AF283" w14:textId="77777777" w:rsidR="00FD1D4D" w:rsidRPr="00BD16B4" w:rsidRDefault="00FD1D4D" w:rsidP="00D86FAE">
      <w:pPr>
        <w:pStyle w:val="Heading3"/>
      </w:pPr>
      <w:r w:rsidRPr="00BD16B4">
        <w:t xml:space="preserve">2.13.1 </w:t>
      </w:r>
      <w:r w:rsidRPr="00BD16B4">
        <w:tab/>
        <w:t>National circumstances</w:t>
      </w:r>
    </w:p>
    <w:p w14:paraId="1486625C" w14:textId="77777777" w:rsidR="00FD1D4D" w:rsidRPr="00BD16B4" w:rsidRDefault="00FD1D4D" w:rsidP="00FD1D4D">
      <w:pPr>
        <w:pStyle w:val="BodyText"/>
        <w:spacing w:before="100" w:after="100"/>
        <w:rPr>
          <w:rFonts w:eastAsia="Calibri"/>
        </w:rPr>
      </w:pPr>
      <w:r w:rsidRPr="00BD16B4">
        <w:rPr>
          <w:rFonts w:eastAsia="Calibri"/>
        </w:rPr>
        <w:t xml:space="preserve">In formal terms, Tokelau is administered by New Zealand, but in practice it is substantially self-governing, with strong links to New Zealand. Tokelau’s national legislative and executive body, the General Fono, governs Tokelau’s national matters. An Administrator, appointed by the New Zealand Government, is charged with the administration of the executive government of Tokelau and Tokelau’s EEZ. The New Zealand Government is responsible for Tokelau’s international relations. Nevertheless, Tokelau engages autonomously on climate change and Pacific fisheries matters where possible. New Zealand statute law does not apply to Tokelau unless it is expressly extended to Tokelau and agreed to by Tokelau. </w:t>
      </w:r>
    </w:p>
    <w:p w14:paraId="027823F0" w14:textId="77777777" w:rsidR="00FD1D4D" w:rsidRPr="00BD16B4" w:rsidRDefault="00FD1D4D" w:rsidP="00D86FAE">
      <w:pPr>
        <w:pStyle w:val="BodyText"/>
        <w:keepLines/>
        <w:spacing w:after="100"/>
        <w:rPr>
          <w:rFonts w:eastAsia="Calibri"/>
        </w:rPr>
      </w:pPr>
      <w:r w:rsidRPr="00BD16B4">
        <w:rPr>
          <w:rFonts w:eastAsia="Calibri"/>
        </w:rPr>
        <w:lastRenderedPageBreak/>
        <w:t>Tokelau’s population is spread over three small coral atolls (Atafu, Fakaofo and Nukunonu), which lie some 500 kilometres to the north of Samoa. The population of Tokelau is 1647 (2019), of whom 55.9 per cent are aged under 30 years. Tokelau has a common language and the three atolls share similar social structures, but each atoll has unique historical influences. Tokelauans are New Zealand citizens. In addition to the citizens living in Tokelau, approximately 8600 Tokelauans live in New Zealand.</w:t>
      </w:r>
    </w:p>
    <w:p w14:paraId="560770B9" w14:textId="77777777" w:rsidR="00FD1D4D" w:rsidRPr="00BD16B4" w:rsidRDefault="00FD1D4D" w:rsidP="00D86FAE">
      <w:pPr>
        <w:pStyle w:val="BodyText"/>
        <w:spacing w:after="100"/>
        <w:rPr>
          <w:rFonts w:eastAsia="Calibri"/>
        </w:rPr>
      </w:pPr>
      <w:r w:rsidRPr="00BD16B4">
        <w:rPr>
          <w:rFonts w:eastAsia="Calibri"/>
        </w:rPr>
        <w:t>Tokelau’s two principal sources of revenue are economic assistance from New Zealand and fisheries revenue (the latter amounting to NZ$61.4 million from 2018/19–2020/21). New Zealand provides general budget support ($12.5 million per annum) to assist the delivery of essential services, consistent with its constitutional and United Nations Charter obligations.</w:t>
      </w:r>
    </w:p>
    <w:p w14:paraId="767C4E6F" w14:textId="77777777" w:rsidR="00FD1D4D" w:rsidRPr="00BD16B4" w:rsidRDefault="00FD1D4D" w:rsidP="00D86FAE">
      <w:pPr>
        <w:pStyle w:val="BodyText"/>
        <w:spacing w:after="100"/>
        <w:rPr>
          <w:rFonts w:eastAsia="Calibri"/>
        </w:rPr>
      </w:pPr>
      <w:r w:rsidRPr="00BD16B4">
        <w:rPr>
          <w:rFonts w:eastAsia="Calibri"/>
        </w:rPr>
        <w:t xml:space="preserve">General budget support is complemented by support for wellbeing and human development outcomes through investments in health, education, language revitalisation and justice reform as well as major investments in information and communications technology connectivity and planning for projects to enhance Tokelau’s climate change resilience. New Zealand’s total development assistance to Tokelau for the period 2019/20–2021/22 was NZ$81.3million. </w:t>
      </w:r>
    </w:p>
    <w:p w14:paraId="19D9F861" w14:textId="77777777" w:rsidR="00FD1D4D" w:rsidRPr="00BD16B4" w:rsidRDefault="00FD1D4D" w:rsidP="00D86FAE">
      <w:pPr>
        <w:pStyle w:val="BodyText"/>
        <w:spacing w:after="100"/>
        <w:rPr>
          <w:rFonts w:eastAsia="Calibri"/>
        </w:rPr>
      </w:pPr>
      <w:r w:rsidRPr="00BD16B4">
        <w:rPr>
          <w:rFonts w:eastAsia="Calibri"/>
        </w:rPr>
        <w:t>Tokelau’s low-lying atolls are extremely vulnerable to the impacts of climate change and related hazards. The principal hazard induced by climate change that Tokelau faces is inundation of coastal waters during severe weather events. Storms have become more frequent and severe over time, and sea-level rise presents an additional risk to Tokelau’s low</w:t>
      </w:r>
      <w:r w:rsidRPr="00BD16B4">
        <w:rPr>
          <w:rFonts w:eastAsia="Calibri"/>
        </w:rPr>
        <w:noBreakHyphen/>
        <w:t>lying atolls. New Zealand also supports a range of climate-related projects in Tokelau. During the reporting period, this support related to climate change has included:</w:t>
      </w:r>
    </w:p>
    <w:p w14:paraId="5A1A650C" w14:textId="77777777" w:rsidR="00FD1D4D" w:rsidRPr="00BD16B4" w:rsidRDefault="00FD1D4D" w:rsidP="00D86FAE">
      <w:pPr>
        <w:pStyle w:val="Bullet"/>
        <w:spacing w:after="100"/>
      </w:pPr>
      <w:r w:rsidRPr="00BD16B4">
        <w:rPr>
          <w:rFonts w:eastAsia="Calibri"/>
        </w:rPr>
        <w:t>funding for a Coastal Risk Mitigation Activity to build Tokelau’s resilience to the impacts of climate change (NZ$1 million). Through this activity, suppliers have worked with Tokelau to prepare a coastal hazard study and implementation plan, and to produce detailed designs for the repair of critical infrastructure and the construction of emergency shelters</w:t>
      </w:r>
    </w:p>
    <w:p w14:paraId="41A365F6" w14:textId="77777777" w:rsidR="00FD1D4D" w:rsidRPr="00BD16B4" w:rsidRDefault="00FD1D4D" w:rsidP="00D86FAE">
      <w:pPr>
        <w:pStyle w:val="Bullet"/>
        <w:tabs>
          <w:tab w:val="num" w:pos="397"/>
        </w:tabs>
        <w:spacing w:after="100" w:line="280" w:lineRule="exact"/>
      </w:pPr>
      <w:r w:rsidRPr="00BD16B4">
        <w:rPr>
          <w:rFonts w:eastAsia="Calibri"/>
        </w:rPr>
        <w:t xml:space="preserve">approval of funding (NZ$4.1 million) to upgrade the main bridge in Nukunonu so that it is resilient to the impacts of coastal inundation </w:t>
      </w:r>
    </w:p>
    <w:p w14:paraId="348B57B9" w14:textId="77777777" w:rsidR="00FD1D4D" w:rsidRPr="00BD16B4" w:rsidRDefault="00FD1D4D" w:rsidP="00D86FAE">
      <w:pPr>
        <w:pStyle w:val="Bullet"/>
        <w:tabs>
          <w:tab w:val="num" w:pos="397"/>
        </w:tabs>
        <w:spacing w:after="100" w:line="280" w:lineRule="exact"/>
      </w:pPr>
      <w:r w:rsidRPr="00BD16B4">
        <w:rPr>
          <w:rFonts w:eastAsia="Calibri"/>
        </w:rPr>
        <w:t>funding for an activity to better understand climate mobility issues facing Pacific Island countries</w:t>
      </w:r>
    </w:p>
    <w:p w14:paraId="60B12760" w14:textId="77777777" w:rsidR="00FD1D4D" w:rsidRPr="00BD16B4" w:rsidRDefault="00FD1D4D" w:rsidP="00D86FAE">
      <w:pPr>
        <w:pStyle w:val="Bullet"/>
        <w:tabs>
          <w:tab w:val="num" w:pos="397"/>
        </w:tabs>
        <w:spacing w:after="100" w:line="280" w:lineRule="exact"/>
      </w:pPr>
      <w:r w:rsidRPr="00BD16B4">
        <w:rPr>
          <w:rFonts w:eastAsia="Calibri"/>
        </w:rPr>
        <w:t>supporting Tokelau (through the Climate and Oceans Support Program in the Pacific) to make better use of climate and meteorological data in decision-making to increase resilience</w:t>
      </w:r>
    </w:p>
    <w:p w14:paraId="07407F8C" w14:textId="77777777" w:rsidR="00FD1D4D" w:rsidRPr="00BD16B4" w:rsidRDefault="00FD1D4D" w:rsidP="00D86FAE">
      <w:pPr>
        <w:pStyle w:val="Bullet"/>
        <w:tabs>
          <w:tab w:val="num" w:pos="397"/>
        </w:tabs>
        <w:spacing w:after="100" w:line="280" w:lineRule="exact"/>
      </w:pPr>
      <w:r w:rsidRPr="00BD16B4">
        <w:rPr>
          <w:rFonts w:eastAsia="Calibri"/>
        </w:rPr>
        <w:t xml:space="preserve">funding the development of a Water Scarcity Investment Plan with the Pacific Community (SPC) </w:t>
      </w:r>
    </w:p>
    <w:p w14:paraId="5069C007" w14:textId="1C9FCAF7" w:rsidR="00FD1D4D" w:rsidRPr="00BD16B4" w:rsidRDefault="00FD1D4D" w:rsidP="0011037B">
      <w:pPr>
        <w:pStyle w:val="Bullet"/>
        <w:tabs>
          <w:tab w:val="num" w:pos="397"/>
        </w:tabs>
        <w:spacing w:line="280" w:lineRule="exact"/>
      </w:pPr>
      <w:r w:rsidRPr="00BD16B4">
        <w:rPr>
          <w:rFonts w:eastAsia="Calibri"/>
        </w:rPr>
        <w:t>funding (through the Water Scarcity Investment Plan) the delivery and connection of 30</w:t>
      </w:r>
      <w:r w:rsidR="001336E4" w:rsidRPr="00BD16B4">
        <w:rPr>
          <w:rFonts w:eastAsia="Calibri"/>
        </w:rPr>
        <w:t> </w:t>
      </w:r>
      <w:r w:rsidRPr="00BD16B4">
        <w:rPr>
          <w:rFonts w:eastAsia="Calibri"/>
        </w:rPr>
        <w:t xml:space="preserve">new water tanks and plumbing supplies, noting that 18 further tanks are awaiting a separate delivery of concrete. </w:t>
      </w:r>
    </w:p>
    <w:p w14:paraId="03F89FCB" w14:textId="77777777" w:rsidR="00FD1D4D" w:rsidRPr="00BD16B4" w:rsidRDefault="00FD1D4D" w:rsidP="00D86FAE">
      <w:pPr>
        <w:pStyle w:val="Heading3"/>
      </w:pPr>
      <w:r w:rsidRPr="00BD16B4">
        <w:t xml:space="preserve">2.13.2 </w:t>
      </w:r>
      <w:r w:rsidRPr="00BD16B4">
        <w:tab/>
        <w:t>Tokelau’s climate change strategy</w:t>
      </w:r>
    </w:p>
    <w:p w14:paraId="7416DAA7" w14:textId="77777777" w:rsidR="00FD1D4D" w:rsidRPr="00BD16B4" w:rsidRDefault="00FD1D4D" w:rsidP="00FD1D4D">
      <w:pPr>
        <w:pStyle w:val="BodyText"/>
        <w:rPr>
          <w:rFonts w:eastAsia="Calibri"/>
        </w:rPr>
      </w:pPr>
      <w:r w:rsidRPr="00BD16B4">
        <w:rPr>
          <w:rFonts w:eastAsia="Calibri"/>
          <w:i/>
        </w:rPr>
        <w:t>Living with Change: An Integrated National Strategy for Enhancing the Resilience of Tokelau to Climate Change and Related Hazards, 2017–30</w:t>
      </w:r>
      <w:r w:rsidRPr="00BD16B4">
        <w:rPr>
          <w:rFonts w:eastAsia="Calibri"/>
        </w:rPr>
        <w:t xml:space="preserve"> (LivC)</w:t>
      </w:r>
      <w:r w:rsidRPr="00BD16B4">
        <w:rPr>
          <w:rStyle w:val="FootnoteReference"/>
          <w:rFonts w:eastAsia="Calibri"/>
        </w:rPr>
        <w:footnoteReference w:id="119"/>
      </w:r>
      <w:r w:rsidRPr="00BD16B4">
        <w:rPr>
          <w:rFonts w:eastAsia="Calibri"/>
        </w:rPr>
        <w:t xml:space="preserve"> and its companion the </w:t>
      </w:r>
      <w:r w:rsidRPr="00BD16B4">
        <w:rPr>
          <w:rFonts w:eastAsia="Calibri"/>
          <w:i/>
        </w:rPr>
        <w:t>LivC Implementation Plan, 2017–22</w:t>
      </w:r>
      <w:r w:rsidRPr="00BD16B4">
        <w:rPr>
          <w:rStyle w:val="FootnoteReference"/>
          <w:rFonts w:eastAsia="Calibri"/>
          <w:iCs/>
        </w:rPr>
        <w:footnoteReference w:id="120"/>
      </w:r>
      <w:r w:rsidRPr="00BD16B4">
        <w:rPr>
          <w:rFonts w:eastAsia="Calibri"/>
        </w:rPr>
        <w:t xml:space="preserve"> are Tokelau’s response to the challenges posed by climate </w:t>
      </w:r>
      <w:r w:rsidRPr="00BD16B4">
        <w:rPr>
          <w:rFonts w:eastAsia="Calibri"/>
        </w:rPr>
        <w:lastRenderedPageBreak/>
        <w:t xml:space="preserve">change and related hazards officially launched in April 2017. The strategy conveys Tokelau’s vision of the future, the issues that must be addressed, the specific outcomes Tokelau aims to achieve, and the actions that must be taken to manage the impacts of climate change. As the administering power for Tokelau, New Zealand is responsible for assisting Tokelau’s Government to meet the needs of the people of Tokelau. The New Zealand Government is working closely with Tokelau to help it achieve its LivC vision where possible. </w:t>
      </w:r>
    </w:p>
    <w:p w14:paraId="2BCF2371" w14:textId="77777777" w:rsidR="00FD1D4D" w:rsidRPr="00BD16B4" w:rsidRDefault="00FD1D4D" w:rsidP="00FD1D4D">
      <w:pPr>
        <w:pStyle w:val="BodyText"/>
        <w:rPr>
          <w:rFonts w:eastAsia="Calibri"/>
        </w:rPr>
      </w:pPr>
      <w:r w:rsidRPr="00BD16B4">
        <w:rPr>
          <w:rFonts w:eastAsia="Calibri"/>
        </w:rPr>
        <w:t>The strategy identifies three inter-related climate-resilient pathways:</w:t>
      </w:r>
    </w:p>
    <w:p w14:paraId="448F79BF" w14:textId="77777777" w:rsidR="00FD1D4D" w:rsidRPr="00BD16B4" w:rsidRDefault="00FD1D4D" w:rsidP="0011037B">
      <w:pPr>
        <w:pStyle w:val="Bullet"/>
        <w:tabs>
          <w:tab w:val="num" w:pos="397"/>
        </w:tabs>
        <w:spacing w:line="280" w:lineRule="exact"/>
        <w:rPr>
          <w:rFonts w:eastAsia="Calibri"/>
        </w:rPr>
      </w:pPr>
      <w:r w:rsidRPr="00BD16B4">
        <w:rPr>
          <w:rFonts w:eastAsia="Calibri"/>
        </w:rPr>
        <w:t>mitigation – decarbonisation development</w:t>
      </w:r>
    </w:p>
    <w:p w14:paraId="4F3E6A1B" w14:textId="77777777" w:rsidR="00FD1D4D" w:rsidRPr="00BD16B4" w:rsidRDefault="00FD1D4D" w:rsidP="0011037B">
      <w:pPr>
        <w:pStyle w:val="Bullet"/>
        <w:tabs>
          <w:tab w:val="num" w:pos="397"/>
        </w:tabs>
        <w:spacing w:line="280" w:lineRule="exact"/>
        <w:rPr>
          <w:rFonts w:eastAsia="Calibri"/>
        </w:rPr>
      </w:pPr>
      <w:r w:rsidRPr="00BD16B4">
        <w:rPr>
          <w:rFonts w:eastAsia="Calibri"/>
        </w:rPr>
        <w:t>adaptation – strengthened risk reduction and adaptation to enhance resilience in the face of climate change and disasters</w:t>
      </w:r>
    </w:p>
    <w:p w14:paraId="28795FDB" w14:textId="77777777" w:rsidR="00FD1D4D" w:rsidRPr="00BD16B4" w:rsidRDefault="00FD1D4D" w:rsidP="0011037B">
      <w:pPr>
        <w:pStyle w:val="Bullet"/>
        <w:tabs>
          <w:tab w:val="num" w:pos="397"/>
        </w:tabs>
        <w:spacing w:line="280" w:lineRule="exact"/>
        <w:rPr>
          <w:rFonts w:eastAsia="Calibri"/>
        </w:rPr>
      </w:pPr>
      <w:r w:rsidRPr="00BD16B4">
        <w:rPr>
          <w:rFonts w:eastAsia="Calibri"/>
        </w:rPr>
        <w:t xml:space="preserve">human development – capacity building, education, training, public awareness and outreach. </w:t>
      </w:r>
    </w:p>
    <w:p w14:paraId="535F2A6D" w14:textId="77777777" w:rsidR="00FD1D4D" w:rsidRPr="00BD16B4" w:rsidRDefault="00FD1D4D" w:rsidP="00FD1D4D">
      <w:pPr>
        <w:pStyle w:val="BodyText"/>
        <w:rPr>
          <w:rFonts w:eastAsia="Calibri"/>
        </w:rPr>
      </w:pPr>
      <w:r w:rsidRPr="00BD16B4">
        <w:rPr>
          <w:rFonts w:eastAsia="Calibri"/>
        </w:rPr>
        <w:t xml:space="preserve">The first phrase of the LivC Implementation Plan, 1 July 2017 to 30 June 2019 was transitional whereby stakeholders became familiar with LivC concepts and key deliverables, developed the necessary governance and institutional frameworks, increased national and villages’ capabilities, and established key partnerships. The second phase, 1 July 2019 to 20 June 2022 was the consolidation phase. During this phase, stakeholders continued to build LivC governance and institutional arrangements, as well as selected actions in Annex 2 of the LivC Plan to progress successfully to implementable projects. </w:t>
      </w:r>
    </w:p>
    <w:p w14:paraId="04EB7796" w14:textId="77777777" w:rsidR="00FD1D4D" w:rsidRPr="00BD16B4" w:rsidRDefault="00FD1D4D" w:rsidP="00FD1D4D">
      <w:pPr>
        <w:pStyle w:val="BodyText"/>
        <w:rPr>
          <w:rFonts w:eastAsia="Calibri"/>
        </w:rPr>
      </w:pPr>
      <w:r w:rsidRPr="00BD16B4">
        <w:rPr>
          <w:rFonts w:eastAsia="Calibri"/>
        </w:rPr>
        <w:t xml:space="preserve">Out of the eight initiatives in the LivC Implementation plan, six have been successfully turned into projects, summarised in table 1. </w:t>
      </w:r>
    </w:p>
    <w:p w14:paraId="58575CC1" w14:textId="07ED3270" w:rsidR="00FD1D4D" w:rsidRPr="00BD16B4" w:rsidRDefault="00FD1D4D" w:rsidP="00BB7302">
      <w:pPr>
        <w:pStyle w:val="Tableheading"/>
        <w:rPr>
          <w:sz w:val="21"/>
          <w:szCs w:val="21"/>
        </w:rPr>
      </w:pPr>
      <w:bookmarkStart w:id="102" w:name="_Toc121773785"/>
      <w:r w:rsidRPr="00BD16B4">
        <w:t xml:space="preserve">Table </w:t>
      </w:r>
      <w:r w:rsidR="006A2DA4" w:rsidRPr="00BD16B4">
        <w:t>2.</w:t>
      </w:r>
      <w:r w:rsidR="00C65ED5" w:rsidRPr="00BD16B4">
        <w:t>2</w:t>
      </w:r>
      <w:r w:rsidRPr="00BD16B4">
        <w:t xml:space="preserve">: </w:t>
      </w:r>
      <w:r w:rsidRPr="00BD16B4">
        <w:tab/>
        <w:t>Climate change and related hazards projects been funded by New Zealand and Tokelau</w:t>
      </w:r>
      <w:bookmarkEnd w:id="102"/>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1980"/>
        <w:gridCol w:w="3095"/>
        <w:gridCol w:w="3430"/>
      </w:tblGrid>
      <w:tr w:rsidR="00FD1D4D" w:rsidRPr="00BD16B4" w14:paraId="0D83A806" w14:textId="77777777" w:rsidTr="00D754AA">
        <w:trPr>
          <w:tblHeader/>
        </w:trPr>
        <w:tc>
          <w:tcPr>
            <w:tcW w:w="1980" w:type="dxa"/>
            <w:tcBorders>
              <w:right w:val="nil"/>
            </w:tcBorders>
            <w:shd w:val="clear" w:color="auto" w:fill="1B556B" w:themeFill="text2"/>
            <w:vAlign w:val="bottom"/>
          </w:tcPr>
          <w:p w14:paraId="2A8E38D9" w14:textId="77777777" w:rsidR="00FD1D4D" w:rsidRPr="00BD16B4" w:rsidRDefault="00FD1D4D" w:rsidP="005C79D1">
            <w:pPr>
              <w:pStyle w:val="TableText"/>
              <w:rPr>
                <w:b/>
                <w:bCs/>
                <w:color w:val="FFFFFF" w:themeColor="background1"/>
              </w:rPr>
            </w:pPr>
            <w:r w:rsidRPr="00BD16B4">
              <w:rPr>
                <w:b/>
                <w:bCs/>
                <w:color w:val="FFFFFF" w:themeColor="background1"/>
              </w:rPr>
              <w:t>Climate Resilience Investment Pathway (CRIP) #</w:t>
            </w:r>
          </w:p>
        </w:tc>
        <w:tc>
          <w:tcPr>
            <w:tcW w:w="3095" w:type="dxa"/>
            <w:tcBorders>
              <w:left w:val="nil"/>
              <w:right w:val="nil"/>
            </w:tcBorders>
            <w:shd w:val="clear" w:color="auto" w:fill="1B556B" w:themeFill="text2"/>
            <w:vAlign w:val="bottom"/>
          </w:tcPr>
          <w:p w14:paraId="2D27A36A" w14:textId="77777777" w:rsidR="00FD1D4D" w:rsidRPr="00BD16B4" w:rsidRDefault="00FD1D4D" w:rsidP="005C79D1">
            <w:pPr>
              <w:pStyle w:val="TableText"/>
              <w:rPr>
                <w:b/>
                <w:bCs/>
                <w:color w:val="FFFFFF" w:themeColor="background1"/>
              </w:rPr>
            </w:pPr>
            <w:r w:rsidRPr="00BD16B4">
              <w:rPr>
                <w:b/>
                <w:bCs/>
                <w:color w:val="FFFFFF" w:themeColor="background1"/>
              </w:rPr>
              <w:t>Outputs</w:t>
            </w:r>
          </w:p>
        </w:tc>
        <w:tc>
          <w:tcPr>
            <w:tcW w:w="3430" w:type="dxa"/>
            <w:tcBorders>
              <w:left w:val="nil"/>
            </w:tcBorders>
            <w:shd w:val="clear" w:color="auto" w:fill="1B556B" w:themeFill="text2"/>
            <w:vAlign w:val="bottom"/>
          </w:tcPr>
          <w:p w14:paraId="64B4F764" w14:textId="77777777" w:rsidR="00FD1D4D" w:rsidRPr="00BD16B4" w:rsidRDefault="00FD1D4D" w:rsidP="005C79D1">
            <w:pPr>
              <w:pStyle w:val="TableText"/>
              <w:rPr>
                <w:b/>
                <w:bCs/>
                <w:color w:val="FFFFFF" w:themeColor="background1"/>
              </w:rPr>
            </w:pPr>
            <w:r w:rsidRPr="00BD16B4">
              <w:rPr>
                <w:b/>
                <w:bCs/>
                <w:color w:val="FFFFFF" w:themeColor="background1"/>
              </w:rPr>
              <w:t xml:space="preserve">Outcomes </w:t>
            </w:r>
          </w:p>
        </w:tc>
      </w:tr>
      <w:tr w:rsidR="00FD1D4D" w:rsidRPr="00BD16B4" w14:paraId="23E620CF" w14:textId="77777777" w:rsidTr="005C79D1">
        <w:tc>
          <w:tcPr>
            <w:tcW w:w="1980" w:type="dxa"/>
          </w:tcPr>
          <w:p w14:paraId="0ED1A8DA" w14:textId="77777777" w:rsidR="00FD1D4D" w:rsidRPr="00BD16B4" w:rsidRDefault="00FD1D4D" w:rsidP="005C79D1">
            <w:pPr>
              <w:pStyle w:val="TableText"/>
            </w:pPr>
            <w:r w:rsidRPr="00BD16B4">
              <w:t>CRIP 2-1: Reducing the risks of inundation in Tokelau.</w:t>
            </w:r>
          </w:p>
        </w:tc>
        <w:tc>
          <w:tcPr>
            <w:tcW w:w="3095" w:type="dxa"/>
          </w:tcPr>
          <w:p w14:paraId="1C476F4A" w14:textId="77777777" w:rsidR="00FD1D4D" w:rsidRPr="00BD16B4" w:rsidRDefault="00FD1D4D" w:rsidP="0011037B">
            <w:pPr>
              <w:pStyle w:val="TableBullet"/>
              <w:spacing w:before="60"/>
            </w:pPr>
            <w:r w:rsidRPr="00BD16B4">
              <w:t>Coastal hazard risk reduction plans for each village.</w:t>
            </w:r>
          </w:p>
          <w:p w14:paraId="7B853748" w14:textId="77777777" w:rsidR="00FD1D4D" w:rsidRPr="00BD16B4" w:rsidRDefault="00FD1D4D" w:rsidP="0011037B">
            <w:pPr>
              <w:pStyle w:val="TableBullet"/>
            </w:pPr>
            <w:r w:rsidRPr="00BD16B4">
              <w:t>Preliminary and detailed designed for coastal infrastructure and measures.</w:t>
            </w:r>
          </w:p>
          <w:p w14:paraId="40A6B759" w14:textId="77777777" w:rsidR="00FD1D4D" w:rsidRPr="00BD16B4" w:rsidRDefault="00FD1D4D" w:rsidP="0011037B">
            <w:pPr>
              <w:pStyle w:val="TableBullet"/>
            </w:pPr>
            <w:r w:rsidRPr="00BD16B4">
              <w:t xml:space="preserve">Construction and quality assurance services out-source where necessary to implement the plan. </w:t>
            </w:r>
          </w:p>
        </w:tc>
        <w:tc>
          <w:tcPr>
            <w:tcW w:w="3430" w:type="dxa"/>
          </w:tcPr>
          <w:p w14:paraId="56D4A447" w14:textId="77777777" w:rsidR="00FD1D4D" w:rsidRPr="00BD16B4" w:rsidRDefault="00FD1D4D" w:rsidP="0011037B">
            <w:pPr>
              <w:pStyle w:val="TableBullet"/>
              <w:spacing w:before="60"/>
            </w:pPr>
            <w:r w:rsidRPr="00BD16B4">
              <w:t>Effective coastal protection for public safety and community infrastructure.</w:t>
            </w:r>
          </w:p>
          <w:p w14:paraId="36AF148E" w14:textId="77777777" w:rsidR="00FD1D4D" w:rsidRPr="00BD16B4" w:rsidRDefault="00FD1D4D" w:rsidP="0011037B">
            <w:pPr>
              <w:pStyle w:val="TableBullet"/>
            </w:pPr>
            <w:r w:rsidRPr="00BD16B4">
              <w:t>Strengthening integration of climate change and disaster risk into capital development planning and decision making.</w:t>
            </w:r>
          </w:p>
          <w:p w14:paraId="75B4607A" w14:textId="77777777" w:rsidR="00FD1D4D" w:rsidRPr="00BD16B4" w:rsidRDefault="00FD1D4D" w:rsidP="0011037B">
            <w:pPr>
              <w:pStyle w:val="TableBullet"/>
            </w:pPr>
            <w:r w:rsidRPr="00BD16B4">
              <w:t xml:space="preserve">Increased awareness and knowledge of coastal management and risk reduction. </w:t>
            </w:r>
          </w:p>
        </w:tc>
      </w:tr>
      <w:tr w:rsidR="00FD1D4D" w:rsidRPr="00BD16B4" w14:paraId="5B509785" w14:textId="77777777" w:rsidTr="005C79D1">
        <w:tc>
          <w:tcPr>
            <w:tcW w:w="1980" w:type="dxa"/>
          </w:tcPr>
          <w:p w14:paraId="4E855BAC" w14:textId="77777777" w:rsidR="00FD1D4D" w:rsidRPr="00BD16B4" w:rsidRDefault="00FD1D4D" w:rsidP="005C79D1">
            <w:pPr>
              <w:pStyle w:val="TableText"/>
            </w:pPr>
            <w:r w:rsidRPr="00BD16B4">
              <w:t>CRIP 2-2: Tokelau restoration of climate, weather, water and ocean services.</w:t>
            </w:r>
          </w:p>
        </w:tc>
        <w:tc>
          <w:tcPr>
            <w:tcW w:w="3095" w:type="dxa"/>
          </w:tcPr>
          <w:p w14:paraId="6D1AB158" w14:textId="77777777" w:rsidR="00FD1D4D" w:rsidRPr="00BD16B4" w:rsidRDefault="00FD1D4D" w:rsidP="0011037B">
            <w:pPr>
              <w:pStyle w:val="TableBullet"/>
              <w:spacing w:before="60"/>
            </w:pPr>
            <w:r w:rsidRPr="00BD16B4">
              <w:t>Technical assistance with weather monitoring equipment (partnership with NEMA and MetService NZ).</w:t>
            </w:r>
          </w:p>
          <w:p w14:paraId="34127155" w14:textId="77777777" w:rsidR="00FD1D4D" w:rsidRPr="00BD16B4" w:rsidRDefault="00FD1D4D" w:rsidP="0011037B">
            <w:pPr>
              <w:pStyle w:val="TableBullet"/>
            </w:pPr>
            <w:r w:rsidRPr="00BD16B4">
              <w:t xml:space="preserve">Weather, climate, water, ocean and related environmental conditions monitoring and infrastructure plans for each village and a national plan identifying human resources and contracted services needed to support villages and implement their plans. </w:t>
            </w:r>
          </w:p>
        </w:tc>
        <w:tc>
          <w:tcPr>
            <w:tcW w:w="3430" w:type="dxa"/>
          </w:tcPr>
          <w:p w14:paraId="4292A72A" w14:textId="77777777" w:rsidR="00FD1D4D" w:rsidRPr="00BD16B4" w:rsidRDefault="00FD1D4D" w:rsidP="0011037B">
            <w:pPr>
              <w:pStyle w:val="TableBullet"/>
              <w:spacing w:before="60"/>
            </w:pPr>
            <w:r w:rsidRPr="00BD16B4">
              <w:t xml:space="preserve">Effective climate, weather, water and related environmental conditions monitoring programme for public safety and community infrastructure. </w:t>
            </w:r>
          </w:p>
          <w:p w14:paraId="0F23D592" w14:textId="77777777" w:rsidR="00FD1D4D" w:rsidRPr="00BD16B4" w:rsidRDefault="00FD1D4D" w:rsidP="0011037B">
            <w:pPr>
              <w:pStyle w:val="TableBullet"/>
            </w:pPr>
            <w:r w:rsidRPr="00BD16B4">
              <w:t>Strengthening integration of weather, climate change and disaster risk into capital development plans to protect lives and property.</w:t>
            </w:r>
          </w:p>
          <w:p w14:paraId="6CC4F750" w14:textId="77777777" w:rsidR="00FD1D4D" w:rsidRPr="00BD16B4" w:rsidRDefault="00FD1D4D" w:rsidP="0011037B">
            <w:pPr>
              <w:pStyle w:val="TableBullet"/>
            </w:pPr>
            <w:r w:rsidRPr="00BD16B4">
              <w:t>Increased awareness and knowledge of weather, climate, water, ocean and related environmental hazards.</w:t>
            </w:r>
          </w:p>
        </w:tc>
      </w:tr>
      <w:tr w:rsidR="00FD1D4D" w:rsidRPr="00BD16B4" w14:paraId="1AD397E6" w14:textId="77777777" w:rsidTr="005C79D1">
        <w:tc>
          <w:tcPr>
            <w:tcW w:w="1980" w:type="dxa"/>
          </w:tcPr>
          <w:p w14:paraId="3DD1B30A" w14:textId="77777777" w:rsidR="00FD1D4D" w:rsidRPr="00BD16B4" w:rsidRDefault="00FD1D4D" w:rsidP="005C79D1">
            <w:pPr>
              <w:pStyle w:val="TableText"/>
              <w:keepNext/>
            </w:pPr>
            <w:r w:rsidRPr="00BD16B4">
              <w:lastRenderedPageBreak/>
              <w:t>CRIP 3-1: Tokelau Climate Change, resilience, readiness and emergency services’ office.</w:t>
            </w:r>
          </w:p>
        </w:tc>
        <w:tc>
          <w:tcPr>
            <w:tcW w:w="3095" w:type="dxa"/>
          </w:tcPr>
          <w:p w14:paraId="30CE6BCA" w14:textId="77777777" w:rsidR="00FD1D4D" w:rsidRPr="00BD16B4" w:rsidRDefault="00FD1D4D" w:rsidP="0011037B">
            <w:pPr>
              <w:pStyle w:val="TableBullet"/>
              <w:keepNext/>
              <w:spacing w:before="60"/>
            </w:pPr>
            <w:r w:rsidRPr="00BD16B4">
              <w:t>Expert Assistance.</w:t>
            </w:r>
          </w:p>
          <w:p w14:paraId="7A09E019" w14:textId="77777777" w:rsidR="00FD1D4D" w:rsidRPr="00BD16B4" w:rsidRDefault="00FD1D4D" w:rsidP="0011037B">
            <w:pPr>
              <w:pStyle w:val="TableBullet"/>
              <w:keepNext/>
            </w:pPr>
            <w:r w:rsidRPr="00BD16B4">
              <w:t xml:space="preserve">Report outlining options for a new Tokelau Climate change, Resilient, Readiness &amp; Emergency Services’ Office (TCR2O) and/or similar arrangement. </w:t>
            </w:r>
          </w:p>
          <w:p w14:paraId="67E7165E" w14:textId="77777777" w:rsidR="00FD1D4D" w:rsidRPr="00BD16B4" w:rsidRDefault="00FD1D4D" w:rsidP="0011037B">
            <w:pPr>
              <w:pStyle w:val="TableBullet"/>
              <w:keepNext/>
            </w:pPr>
            <w:r w:rsidRPr="00BD16B4">
              <w:t xml:space="preserve">Identification of human and financial resources and contracted services needed to establish Tokelau’s new TCR2O and/or similar institution. </w:t>
            </w:r>
          </w:p>
        </w:tc>
        <w:tc>
          <w:tcPr>
            <w:tcW w:w="3430" w:type="dxa"/>
          </w:tcPr>
          <w:p w14:paraId="2751F495" w14:textId="77777777" w:rsidR="00FD1D4D" w:rsidRPr="00BD16B4" w:rsidRDefault="00FD1D4D" w:rsidP="0011037B">
            <w:pPr>
              <w:pStyle w:val="TableBullet"/>
              <w:keepNext/>
              <w:spacing w:before="60"/>
            </w:pPr>
            <w:r w:rsidRPr="00BD16B4">
              <w:t>A fully functional national institution (Office/department) tasked with managing Tokelau’s climate change and related hazards’ programmes.</w:t>
            </w:r>
          </w:p>
          <w:p w14:paraId="0E20C934" w14:textId="77777777" w:rsidR="00FD1D4D" w:rsidRPr="00BD16B4" w:rsidRDefault="00FD1D4D" w:rsidP="0011037B">
            <w:pPr>
              <w:pStyle w:val="TableBullet"/>
              <w:keepNext/>
            </w:pPr>
            <w:r w:rsidRPr="00BD16B4">
              <w:t>Strengthening integration of climate change and disaster risk into government and villages’ development planning and decision making and human resource development plans to reduce the accumulation of existing risks and prevent creation of additional risks.</w:t>
            </w:r>
          </w:p>
        </w:tc>
      </w:tr>
      <w:tr w:rsidR="00FD1D4D" w:rsidRPr="00BD16B4" w14:paraId="68FCA9B9" w14:textId="77777777" w:rsidTr="005C79D1">
        <w:tc>
          <w:tcPr>
            <w:tcW w:w="1980" w:type="dxa"/>
          </w:tcPr>
          <w:p w14:paraId="42771B63" w14:textId="77777777" w:rsidR="00FD1D4D" w:rsidRPr="00BD16B4" w:rsidRDefault="00FD1D4D" w:rsidP="005C79D1">
            <w:pPr>
              <w:pStyle w:val="TableText"/>
            </w:pPr>
            <w:r w:rsidRPr="00BD16B4">
              <w:t>CRIP 3-2: Increase resilience to climate change and ocean acidification</w:t>
            </w:r>
          </w:p>
        </w:tc>
        <w:tc>
          <w:tcPr>
            <w:tcW w:w="3095" w:type="dxa"/>
          </w:tcPr>
          <w:p w14:paraId="6E626DB8" w14:textId="77777777" w:rsidR="00FD1D4D" w:rsidRPr="00BD16B4" w:rsidRDefault="00FD1D4D" w:rsidP="0011037B">
            <w:pPr>
              <w:pStyle w:val="TableBullet"/>
            </w:pPr>
            <w:r w:rsidRPr="00BD16B4">
              <w:t>Identification and implementation of practical Adaptation Actions.</w:t>
            </w:r>
          </w:p>
          <w:p w14:paraId="511813FE" w14:textId="77777777" w:rsidR="00FD1D4D" w:rsidRPr="00BD16B4" w:rsidRDefault="00FD1D4D" w:rsidP="0011037B">
            <w:pPr>
              <w:pStyle w:val="TableBullet"/>
            </w:pPr>
            <w:r w:rsidRPr="00BD16B4">
              <w:t>Ecosystem and Social resilience assessment and mapping (ESRAM) study completed</w:t>
            </w:r>
          </w:p>
          <w:p w14:paraId="23C3E3B2" w14:textId="77777777" w:rsidR="00FD1D4D" w:rsidRPr="00BD16B4" w:rsidRDefault="00FD1D4D" w:rsidP="0011037B">
            <w:pPr>
              <w:pStyle w:val="TableBullet"/>
            </w:pPr>
            <w:r w:rsidRPr="00BD16B4">
              <w:t>Research and Monitoring Programmes established.</w:t>
            </w:r>
          </w:p>
          <w:p w14:paraId="2D02F723" w14:textId="77777777" w:rsidR="00FD1D4D" w:rsidRPr="00BD16B4" w:rsidRDefault="00FD1D4D" w:rsidP="0011037B">
            <w:pPr>
              <w:pStyle w:val="TableBullet"/>
            </w:pPr>
            <w:r w:rsidRPr="00BD16B4">
              <w:t xml:space="preserve">Capacity Building and Awareness raising at the villages’ level completed. </w:t>
            </w:r>
          </w:p>
        </w:tc>
        <w:tc>
          <w:tcPr>
            <w:tcW w:w="3430" w:type="dxa"/>
          </w:tcPr>
          <w:p w14:paraId="65CFBA87" w14:textId="77777777" w:rsidR="00FD1D4D" w:rsidRPr="00BD16B4" w:rsidRDefault="00FD1D4D" w:rsidP="0011037B">
            <w:pPr>
              <w:pStyle w:val="TableBullet"/>
            </w:pPr>
            <w:r w:rsidRPr="00BD16B4">
              <w:t xml:space="preserve">Increased awareness and knowledge of local communities from each of the three villages about climate change and ocean acidification. </w:t>
            </w:r>
          </w:p>
          <w:p w14:paraId="6D33AB73" w14:textId="77777777" w:rsidR="00FD1D4D" w:rsidRPr="00BD16B4" w:rsidRDefault="00FD1D4D" w:rsidP="0011037B">
            <w:pPr>
              <w:pStyle w:val="TableBullet"/>
            </w:pPr>
            <w:r w:rsidRPr="00BD16B4">
              <w:t>Improved understanding of resilience and capacity that can be integrated into climate change strategies.</w:t>
            </w:r>
          </w:p>
          <w:p w14:paraId="724555E2" w14:textId="77777777" w:rsidR="00FD1D4D" w:rsidRPr="00BD16B4" w:rsidRDefault="00FD1D4D" w:rsidP="0011037B">
            <w:pPr>
              <w:pStyle w:val="TableBullet"/>
            </w:pPr>
            <w:r w:rsidRPr="00BD16B4">
              <w:t>Improved ability to reduce risks and improve planning with knowledge of more effective methods for resource allocation.</w:t>
            </w:r>
          </w:p>
        </w:tc>
      </w:tr>
    </w:tbl>
    <w:p w14:paraId="40080A54" w14:textId="77777777" w:rsidR="00FD1D4D" w:rsidRPr="00BD16B4" w:rsidRDefault="00FD1D4D" w:rsidP="00FD1D4D">
      <w:pPr>
        <w:pStyle w:val="BodyText"/>
        <w:spacing w:before="240"/>
        <w:rPr>
          <w:rFonts w:eastAsia="Calibri"/>
        </w:rPr>
      </w:pPr>
      <w:r w:rsidRPr="00BD16B4">
        <w:rPr>
          <w:rFonts w:eastAsia="Calibri"/>
        </w:rPr>
        <w:t xml:space="preserve">LivC was formulated with the understanding that Tokelau and development partners would support its financing and implementation. New Zealand is the key partner supporting Tokelau’s climate change and related programmes. </w:t>
      </w:r>
    </w:p>
    <w:p w14:paraId="0F81167B" w14:textId="77777777" w:rsidR="00FD1D4D" w:rsidRPr="00BD16B4" w:rsidRDefault="00FD1D4D" w:rsidP="00FD1D4D">
      <w:pPr>
        <w:pStyle w:val="BodyText"/>
        <w:rPr>
          <w:rFonts w:eastAsia="Calibri"/>
        </w:rPr>
      </w:pPr>
      <w:r w:rsidRPr="00BD16B4">
        <w:rPr>
          <w:rFonts w:eastAsia="Calibri"/>
        </w:rPr>
        <w:t>Strengthening Tokelau’s climate change resilience is a national priority under Tokelau’s new National Strategic Plan 2021–26.</w:t>
      </w:r>
    </w:p>
    <w:p w14:paraId="0BE92D3E" w14:textId="77777777" w:rsidR="00913BEC" w:rsidRPr="00BD16B4" w:rsidRDefault="00913BEC" w:rsidP="00FD1D4D">
      <w:pPr>
        <w:pStyle w:val="BodyText"/>
      </w:pPr>
    </w:p>
    <w:p w14:paraId="0CBF3917" w14:textId="1EFDDBE2" w:rsidR="00913BEC" w:rsidRPr="00BD16B4" w:rsidRDefault="00913BEC" w:rsidP="00FD1D4D">
      <w:pPr>
        <w:pStyle w:val="BodyText"/>
        <w:sectPr w:rsidR="00913BEC" w:rsidRPr="00BD16B4" w:rsidSect="008A7498">
          <w:footerReference w:type="even" r:id="rId54"/>
          <w:footerReference w:type="default" r:id="rId55"/>
          <w:pgSz w:w="11907" w:h="16840" w:code="9"/>
          <w:pgMar w:top="1134" w:right="1701" w:bottom="1134" w:left="1701" w:header="567" w:footer="567" w:gutter="0"/>
          <w:cols w:space="720"/>
          <w:docGrid w:linePitch="299"/>
        </w:sectPr>
      </w:pPr>
    </w:p>
    <w:p w14:paraId="220F9A0F" w14:textId="530E88AF" w:rsidR="00711C35" w:rsidRPr="00BD16B4" w:rsidRDefault="00711C35" w:rsidP="00711C35">
      <w:pPr>
        <w:pStyle w:val="Heading1"/>
        <w:spacing w:after="400"/>
      </w:pPr>
      <w:bookmarkStart w:id="103" w:name="_Toc246918242"/>
      <w:bookmarkStart w:id="104" w:name="_Toc248736168"/>
      <w:bookmarkStart w:id="105" w:name="_Toc491435429"/>
      <w:bookmarkStart w:id="106" w:name="_Toc497392883"/>
      <w:bookmarkStart w:id="107" w:name="_Toc497740272"/>
      <w:bookmarkStart w:id="108" w:name="_Toc498516730"/>
      <w:bookmarkStart w:id="109" w:name="_Toc500796140"/>
      <w:bookmarkStart w:id="110" w:name="_Toc121774629"/>
      <w:r w:rsidRPr="00BD16B4">
        <w:lastRenderedPageBreak/>
        <w:t>3</w:t>
      </w:r>
      <w:r w:rsidRPr="00BD16B4">
        <w:tab/>
      </w:r>
      <w:bookmarkStart w:id="111" w:name="_Hlk120794070"/>
      <w:r w:rsidRPr="00BD16B4">
        <w:t>Greenhouse gas inventory</w:t>
      </w:r>
      <w:bookmarkEnd w:id="103"/>
      <w:bookmarkEnd w:id="104"/>
      <w:bookmarkEnd w:id="105"/>
      <w:bookmarkEnd w:id="106"/>
      <w:bookmarkEnd w:id="107"/>
      <w:bookmarkEnd w:id="108"/>
      <w:bookmarkEnd w:id="109"/>
      <w:bookmarkEnd w:id="110"/>
      <w:bookmarkEnd w:id="111"/>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711C35" w:rsidRPr="00BD16B4" w14:paraId="0EEB8841" w14:textId="77777777" w:rsidTr="00C838A4">
        <w:tc>
          <w:tcPr>
            <w:tcW w:w="0" w:type="auto"/>
            <w:shd w:val="clear" w:color="auto" w:fill="D2DDE1" w:themeFill="background2"/>
          </w:tcPr>
          <w:p w14:paraId="4B95E5F9" w14:textId="77777777" w:rsidR="00711C35" w:rsidRPr="00BD16B4" w:rsidRDefault="00711C35" w:rsidP="00F31129">
            <w:pPr>
              <w:pStyle w:val="Boxheading"/>
              <w:spacing w:after="100"/>
            </w:pPr>
            <w:r w:rsidRPr="00BD16B4">
              <w:t>Key points</w:t>
            </w:r>
          </w:p>
          <w:p w14:paraId="50A467F5" w14:textId="77777777" w:rsidR="00711C35" w:rsidRPr="00BD16B4" w:rsidRDefault="00711C35" w:rsidP="00F31129">
            <w:pPr>
              <w:pStyle w:val="Boxbullet"/>
              <w:spacing w:after="100"/>
            </w:pPr>
            <w:r w:rsidRPr="00BD16B4">
              <w:t>Aotearoa New Zealand’s gross greenhouse gas emissions in 2020 were 78,778 kilotonnes of carbon dioxide equivalent (kt CO</w:t>
            </w:r>
            <w:r w:rsidRPr="00BD16B4">
              <w:rPr>
                <w:vertAlign w:val="subscript"/>
              </w:rPr>
              <w:t>2</w:t>
            </w:r>
            <w:r w:rsidRPr="00BD16B4">
              <w:t xml:space="preserve">-e), comprising 44 per cent carbon dioxide, 44 per cent methane, 11 per cent nitrous oxide and 2 per cent fluorinated gases. </w:t>
            </w:r>
          </w:p>
          <w:p w14:paraId="4E350E6D" w14:textId="77777777" w:rsidR="00711C35" w:rsidRPr="00BD16B4" w:rsidRDefault="00711C35" w:rsidP="00F31129">
            <w:pPr>
              <w:pStyle w:val="Boxbullet"/>
              <w:spacing w:after="100"/>
            </w:pPr>
            <w:r w:rsidRPr="00BD16B4">
              <w:t>The two largest contributors to New Zealand’s emissions profile in 2020 were the agriculture sector (at 50 per cent of gross emissions) and the energy sector (at 40 per cent).</w:t>
            </w:r>
          </w:p>
          <w:p w14:paraId="64773F11" w14:textId="77777777" w:rsidR="00711C35" w:rsidRPr="00BD16B4" w:rsidRDefault="00711C35" w:rsidP="00F31129">
            <w:pPr>
              <w:pStyle w:val="Boxbullet"/>
              <w:spacing w:after="100"/>
            </w:pPr>
            <w:r w:rsidRPr="00BD16B4">
              <w:t>Gross emissions decreased by 3 per cent between 2019 and 2020. The main reason for this is the COVID-19 pandemic restrictions.</w:t>
            </w:r>
          </w:p>
          <w:p w14:paraId="4DBB565A" w14:textId="77777777" w:rsidR="00711C35" w:rsidRPr="00BD16B4" w:rsidRDefault="00711C35" w:rsidP="00F31129">
            <w:pPr>
              <w:pStyle w:val="Boxbullet"/>
              <w:spacing w:after="100"/>
            </w:pPr>
            <w:r w:rsidRPr="00BD16B4">
              <w:t xml:space="preserve">Since 1990, New Zealand’s gross emissions have increased by 21 per cent. The emission sources that contributed the most to this increase are: </w:t>
            </w:r>
          </w:p>
          <w:p w14:paraId="26EC991B" w14:textId="77777777" w:rsidR="00711C35" w:rsidRPr="00BD16B4" w:rsidRDefault="00711C35" w:rsidP="0011037B">
            <w:pPr>
              <w:pStyle w:val="Boxsub-bullet"/>
              <w:spacing w:after="100"/>
            </w:pPr>
            <w:r w:rsidRPr="00BD16B4">
              <w:t>enteric fermentation from an increase in the dairy cattle population (methane)</w:t>
            </w:r>
          </w:p>
          <w:p w14:paraId="5DBA758D" w14:textId="77777777" w:rsidR="00711C35" w:rsidRPr="00BD16B4" w:rsidRDefault="00711C35" w:rsidP="0011037B">
            <w:pPr>
              <w:pStyle w:val="Boxsub-bullet"/>
              <w:spacing w:after="100"/>
            </w:pPr>
            <w:r w:rsidRPr="00BD16B4">
              <w:t xml:space="preserve">fuel use in road transport due to traffic growth (carbon dioxide) </w:t>
            </w:r>
          </w:p>
          <w:p w14:paraId="553C8CC5" w14:textId="77777777" w:rsidR="00711C35" w:rsidRPr="00BD16B4" w:rsidRDefault="00711C35" w:rsidP="0011037B">
            <w:pPr>
              <w:pStyle w:val="Boxsub-bullet"/>
              <w:spacing w:after="100"/>
            </w:pPr>
            <w:r w:rsidRPr="00BD16B4">
              <w:t>fertiliser use on agricultural soils (nitrous oxide)</w:t>
            </w:r>
          </w:p>
          <w:p w14:paraId="0EF146A6" w14:textId="77777777" w:rsidR="00711C35" w:rsidRPr="00BD16B4" w:rsidRDefault="00711C35" w:rsidP="0011037B">
            <w:pPr>
              <w:pStyle w:val="Boxsub-bullet"/>
              <w:spacing w:after="100"/>
            </w:pPr>
            <w:r w:rsidRPr="00BD16B4">
              <w:t xml:space="preserve">fuel use in manufacturing industries and construction due to economic growth (carbon dioxide) </w:t>
            </w:r>
          </w:p>
          <w:p w14:paraId="5930030E" w14:textId="77777777" w:rsidR="00711C35" w:rsidRPr="00BD16B4" w:rsidRDefault="00711C35" w:rsidP="0011037B">
            <w:pPr>
              <w:pStyle w:val="Boxsub-bullet"/>
              <w:spacing w:after="100"/>
            </w:pPr>
            <w:r w:rsidRPr="00BD16B4">
              <w:t>industrial and household refrigeration and air-conditioning systems from increased use of hydrofluorocarbon-based refrigerants (fluorinated gases) that replaced ozone depleting substances.</w:t>
            </w:r>
          </w:p>
          <w:p w14:paraId="21F20522" w14:textId="77777777" w:rsidR="00711C35" w:rsidRPr="00BD16B4" w:rsidRDefault="00711C35" w:rsidP="00F31129">
            <w:pPr>
              <w:pStyle w:val="Boxbullet"/>
              <w:spacing w:after="100"/>
            </w:pPr>
            <w:r w:rsidRPr="00BD16B4">
              <w:t xml:space="preserve">The </w:t>
            </w:r>
            <w:bookmarkStart w:id="112" w:name="_Hlk113888020"/>
            <w:r w:rsidRPr="00BD16B4">
              <w:t>land use, land-use change and forestry (LULUCF)</w:t>
            </w:r>
            <w:bookmarkEnd w:id="112"/>
            <w:r w:rsidRPr="00BD16B4">
              <w:t xml:space="preserve"> sector offset 30 per cent of New Zealand’s gross emissions in 2020.</w:t>
            </w:r>
          </w:p>
          <w:p w14:paraId="5CBBA30C" w14:textId="77777777" w:rsidR="00711C35" w:rsidRPr="00BD16B4" w:rsidRDefault="00711C35" w:rsidP="00F31129">
            <w:pPr>
              <w:pStyle w:val="Boxbullet"/>
              <w:spacing w:after="100"/>
            </w:pPr>
            <w:r w:rsidRPr="00BD16B4">
              <w:t>New Zealand’s net emissions in 2020 were 55,465 kt CO</w:t>
            </w:r>
            <w:r w:rsidRPr="00BD16B4">
              <w:rPr>
                <w:vertAlign w:val="subscript"/>
              </w:rPr>
              <w:t>2</w:t>
            </w:r>
            <w:r w:rsidRPr="00BD16B4">
              <w:t>-e. Net emissions consist of gross emissions combined with the emissions and removals of the LULUCF sector.</w:t>
            </w:r>
          </w:p>
          <w:p w14:paraId="256AD7F5" w14:textId="77777777" w:rsidR="00711C35" w:rsidRPr="00BD16B4" w:rsidRDefault="00711C35" w:rsidP="00F31129">
            <w:pPr>
              <w:pStyle w:val="Boxbullet"/>
              <w:spacing w:after="180"/>
            </w:pPr>
            <w:r w:rsidRPr="00BD16B4">
              <w:t xml:space="preserve">New Zealand’s net emissions have increased by 26 per cent since 1990, due to the underlying increase in gross emissions. </w:t>
            </w:r>
          </w:p>
        </w:tc>
      </w:tr>
    </w:tbl>
    <w:p w14:paraId="7CD6EC91" w14:textId="2D98B100" w:rsidR="00711C35" w:rsidRPr="00BD16B4" w:rsidRDefault="00711C35" w:rsidP="00711C35">
      <w:pPr>
        <w:pStyle w:val="Heading2"/>
        <w:spacing w:before="400"/>
      </w:pPr>
      <w:bookmarkStart w:id="113" w:name="_Toc497740273"/>
      <w:bookmarkStart w:id="114" w:name="_Toc498516731"/>
      <w:bookmarkStart w:id="115" w:name="_Toc500796141"/>
      <w:bookmarkStart w:id="116" w:name="_Toc121774630"/>
      <w:r w:rsidRPr="00BD16B4">
        <w:t>3.1</w:t>
      </w:r>
      <w:r w:rsidRPr="00BD16B4">
        <w:tab/>
        <w:t>Introduction</w:t>
      </w:r>
      <w:bookmarkEnd w:id="113"/>
      <w:bookmarkEnd w:id="114"/>
      <w:bookmarkEnd w:id="115"/>
      <w:bookmarkEnd w:id="116"/>
    </w:p>
    <w:p w14:paraId="5C3E7767" w14:textId="77777777" w:rsidR="00711C35" w:rsidRPr="00BD16B4" w:rsidRDefault="00711C35" w:rsidP="00711C35">
      <w:pPr>
        <w:pStyle w:val="BodyText"/>
      </w:pPr>
      <w:r w:rsidRPr="00BD16B4">
        <w:t xml:space="preserve">Aotearoa New Zealand supplies a transparent, accurate and regular national greenhouse gas inventory report, which forms one of the building blocks for effective climate change mitigation. As a developed country Party (Annex I Party) to the </w:t>
      </w:r>
      <w:r w:rsidRPr="00BD16B4">
        <w:rPr>
          <w:rFonts w:eastAsia="Calibri"/>
        </w:rPr>
        <w:t>United Nations Framework Convention on Climate Change</w:t>
      </w:r>
      <w:r w:rsidRPr="00BD16B4">
        <w:t xml:space="preserve"> (UNFCCC) and the Kyoto Protocol, New Zealand is obliged to prepare, publish and update </w:t>
      </w:r>
      <w:r w:rsidRPr="00BD16B4">
        <w:rPr>
          <w:i/>
          <w:iCs/>
        </w:rPr>
        <w:t>New Zealand’s Greenhouse Gas Inventory</w:t>
      </w:r>
      <w:r w:rsidRPr="00BD16B4">
        <w:t xml:space="preserve"> of anthropogenic greenhouse gas emissions and removals on an annual basis. New Zealand must also build and maintain the national system for estimating emissions and removals of greenhouse gases. </w:t>
      </w:r>
    </w:p>
    <w:p w14:paraId="637786A7" w14:textId="77777777" w:rsidR="00711C35" w:rsidRPr="00BD16B4" w:rsidRDefault="00711C35" w:rsidP="00711C35">
      <w:pPr>
        <w:pStyle w:val="BodyText"/>
      </w:pPr>
      <w:r w:rsidRPr="00BD16B4">
        <w:rPr>
          <w:spacing w:val="-2"/>
        </w:rPr>
        <w:t xml:space="preserve">The latest edition of </w:t>
      </w:r>
      <w:r w:rsidRPr="00BD16B4">
        <w:rPr>
          <w:i/>
          <w:iCs/>
          <w:spacing w:val="-2"/>
        </w:rPr>
        <w:t>New Zealand’s Greenhouse Gas Inventory</w:t>
      </w:r>
      <w:r w:rsidRPr="00BD16B4">
        <w:rPr>
          <w:spacing w:val="-2"/>
        </w:rPr>
        <w:t xml:space="preserve"> (2022 Inventory)</w:t>
      </w:r>
      <w:r w:rsidRPr="00BD16B4">
        <w:rPr>
          <w:rStyle w:val="FootnoteReference"/>
          <w:spacing w:val="-2"/>
        </w:rPr>
        <w:footnoteReference w:id="121"/>
      </w:r>
      <w:r w:rsidRPr="00BD16B4">
        <w:rPr>
          <w:rStyle w:val="FootnoteReference"/>
          <w:spacing w:val="-2"/>
          <w:vertAlign w:val="baseline"/>
        </w:rPr>
        <w:t xml:space="preserve"> </w:t>
      </w:r>
      <w:r w:rsidRPr="00BD16B4">
        <w:rPr>
          <w:spacing w:val="-2"/>
        </w:rPr>
        <w:t>was submitted</w:t>
      </w:r>
      <w:r w:rsidRPr="00BD16B4">
        <w:t xml:space="preserve"> to the UNFCCC in April 2022. The 2022 Inventory includes information on emissions and </w:t>
      </w:r>
      <w:r w:rsidRPr="00BD16B4">
        <w:lastRenderedPageBreak/>
        <w:t>removals of greenhouse gases for the complete time series from 1990–2020.</w:t>
      </w:r>
      <w:r w:rsidRPr="00BD16B4">
        <w:rPr>
          <w:rStyle w:val="FootnoteReference"/>
        </w:rPr>
        <w:footnoteReference w:id="122"/>
      </w:r>
      <w:r w:rsidRPr="00BD16B4">
        <w:t xml:space="preserve"> Inventory reporting under the UNFCCC considers five sectors: energy, industrial processes and product use (IPPU), agriculture, waste and LULUCF. For Tokelau, a non-self-governing territory of New Zealand, emissions and removals are also reported separately by sector as ‘Other.’</w:t>
      </w:r>
    </w:p>
    <w:p w14:paraId="7B75A582" w14:textId="77777777" w:rsidR="00711C35" w:rsidRPr="00BD16B4" w:rsidRDefault="00711C35" w:rsidP="00711C35">
      <w:pPr>
        <w:pStyle w:val="BodyText"/>
      </w:pPr>
      <w:r w:rsidRPr="00BD16B4">
        <w:t xml:space="preserve">Greenhouse gas emissions and removals reported in this chapter were prepared in accordance with UNFCCC reporting guidelines. Under the UNFCCC guidelines, the emissions and removals from the entire LULUCF sector are estimated and reported in the inventory. For accounting purposes under the Kyoto Protocol, only the emissions and removals from afforestation, reforestation, deforestation and forest management activities are included (as required under Articles 3.3 and 3.4 of the Kyoto Protocol). Therefore, the reporting of land use, land-use change and forestry (LULUCF) activities under the Kyoto Protocol differs from that under the UNFCCC. </w:t>
      </w:r>
    </w:p>
    <w:p w14:paraId="6B5B5B31" w14:textId="77777777" w:rsidR="00711C35" w:rsidRPr="00BD16B4" w:rsidRDefault="00711C35" w:rsidP="00711C35">
      <w:pPr>
        <w:pStyle w:val="BodyText"/>
      </w:pPr>
      <w:r w:rsidRPr="00BD16B4">
        <w:t xml:space="preserve">For the period 2013–20, New Zealand’s target is to reduce emissions to 5.0 per cent below 1990 levels by 2020. New Zealand has taken its target under the UNFCCC. New Zealand remains a Party to the Kyoto Protocol and has applied the Kyoto Protocol framework of rules to ensure actions taken to meet the target are transparent and have integrity. To measure progress towards New Zealand’s target, annual gross emissions from the 2022 Inventory, as the final submission for the period, are summed for the 2013–20 period. This represents the quantity of gross emissions for which New Zealand is responsible. </w:t>
      </w:r>
    </w:p>
    <w:p w14:paraId="2AC66774" w14:textId="1346FAD2" w:rsidR="00711C35" w:rsidRPr="00BD16B4" w:rsidRDefault="00711C35" w:rsidP="00711C35">
      <w:pPr>
        <w:pStyle w:val="BodyText"/>
        <w:rPr>
          <w:rStyle w:val="FootnoteReference"/>
          <w:color w:val="auto"/>
          <w:vertAlign w:val="baseline"/>
        </w:rPr>
      </w:pPr>
      <w:r w:rsidRPr="00BD16B4">
        <w:t>For the target period, New Zealand’s gross emissions sum to 639,600.7 kilotonnes of carbon</w:t>
      </w:r>
      <w:r w:rsidR="00347ABE" w:rsidRPr="00BD16B4">
        <w:t> </w:t>
      </w:r>
      <w:r w:rsidRPr="00BD16B4">
        <w:t>dioxide equivalent (kt CO</w:t>
      </w:r>
      <w:r w:rsidRPr="00BD16B4">
        <w:rPr>
          <w:vertAlign w:val="subscript"/>
        </w:rPr>
        <w:t>2</w:t>
      </w:r>
      <w:r w:rsidRPr="00BD16B4">
        <w:t>-e). The contribution towards New Zealand’s target from LULUCF activities under the Kyoto Protocol is a net removal of 123,281.1 kt CO</w:t>
      </w:r>
      <w:r w:rsidRPr="00BD16B4">
        <w:rPr>
          <w:vertAlign w:val="subscript"/>
        </w:rPr>
        <w:t>2</w:t>
      </w:r>
      <w:r w:rsidRPr="00BD16B4">
        <w:t>-e (for more information, see chapter 2, section 2.3, and chapter 11 of the 2022 Inventory). In addition, New Zealand can access sufficient Kyoto units (carry-over from the first commitment period) for the purpose of meeting the target if required, pending the outcome of the expert review of the 2022 Inventory. Refer to New Zealand’s latest net position for further details.</w:t>
      </w:r>
      <w:r w:rsidRPr="00BD16B4">
        <w:rPr>
          <w:rStyle w:val="FootnoteReference"/>
        </w:rPr>
        <w:footnoteReference w:id="123"/>
      </w:r>
    </w:p>
    <w:p w14:paraId="187BA256" w14:textId="77777777" w:rsidR="00711C35" w:rsidRPr="00BD16B4" w:rsidRDefault="00711C35" w:rsidP="00711C35">
      <w:pPr>
        <w:pStyle w:val="BodyText"/>
      </w:pPr>
      <w:r w:rsidRPr="00BD16B4">
        <w:t xml:space="preserve">This chapter provides summary information on the latest human-induced greenhouse gas emission trends in New Zealand. It also includes information on the national inventory system. Annex A includes numerical data on inventory trends and annex B contains additional details on New Zealand’s inventory system. For additional information on the national inventory system and the country’s emissions and removals, see the 2022 Inventory. </w:t>
      </w:r>
    </w:p>
    <w:p w14:paraId="5A0F84DF" w14:textId="59D0EC36" w:rsidR="00711C35" w:rsidRPr="00BD16B4" w:rsidRDefault="00711C35" w:rsidP="00711C35">
      <w:pPr>
        <w:pStyle w:val="Heading2"/>
      </w:pPr>
      <w:bookmarkStart w:id="117" w:name="_Toc246918245"/>
      <w:bookmarkStart w:id="118" w:name="_Toc248736171"/>
      <w:bookmarkStart w:id="119" w:name="_Toc497740274"/>
      <w:bookmarkStart w:id="120" w:name="_Toc498516732"/>
      <w:bookmarkStart w:id="121" w:name="_Toc500796142"/>
      <w:bookmarkStart w:id="122" w:name="_Toc121774631"/>
      <w:r w:rsidRPr="00BD16B4">
        <w:t>3.2</w:t>
      </w:r>
      <w:r w:rsidRPr="00BD16B4">
        <w:tab/>
        <w:t>National trends in greenhouse gas emissions and removals</w:t>
      </w:r>
      <w:bookmarkEnd w:id="117"/>
      <w:bookmarkEnd w:id="118"/>
      <w:bookmarkEnd w:id="119"/>
      <w:bookmarkEnd w:id="120"/>
      <w:bookmarkEnd w:id="121"/>
      <w:bookmarkEnd w:id="122"/>
    </w:p>
    <w:p w14:paraId="206951BB" w14:textId="77777777" w:rsidR="00711C35" w:rsidRPr="00BD16B4" w:rsidRDefault="00711C35" w:rsidP="00711C35">
      <w:pPr>
        <w:pStyle w:val="Heading3"/>
        <w:spacing w:before="240"/>
      </w:pPr>
      <w:r w:rsidRPr="00BD16B4">
        <w:t>3.2.1</w:t>
      </w:r>
      <w:r w:rsidRPr="00BD16B4">
        <w:tab/>
        <w:t>Emissions in 2020</w:t>
      </w:r>
    </w:p>
    <w:p w14:paraId="037129EF" w14:textId="77777777" w:rsidR="00711C35" w:rsidRPr="00BD16B4" w:rsidRDefault="00711C35" w:rsidP="00711C35">
      <w:pPr>
        <w:pStyle w:val="BodyText"/>
      </w:pPr>
      <w:r w:rsidRPr="00BD16B4">
        <w:t>In 2020, Aotearoa New Zealand’s gross greenhouse gas emissions (excluding emissions and removals from the LULUCF sector) were 78,778.4 kt CO</w:t>
      </w:r>
      <w:r w:rsidRPr="00BD16B4">
        <w:rPr>
          <w:vertAlign w:val="subscript"/>
        </w:rPr>
        <w:t>2</w:t>
      </w:r>
      <w:r w:rsidRPr="00BD16B4">
        <w:t xml:space="preserve">-e. The sectors contributing the most to the country’s emissions profile were agriculture at 50.0 per cent and energy at 39.9 per cent. Minor emission contributions came from the IPPU sector at 5.9 per cent and waste sector </w:t>
      </w:r>
      <w:r w:rsidRPr="00BD16B4">
        <w:lastRenderedPageBreak/>
        <w:t>at 4.1 per cent. Emissions from Tokelau were negligible at only 0.005 per cent. In 2020, the LULUCF sector offset 29.6 per cent of gross emissions (figure 3.1). Net emissions in 2020, at 55,465.1 kt CO</w:t>
      </w:r>
      <w:r w:rsidRPr="00BD16B4">
        <w:rPr>
          <w:vertAlign w:val="subscript"/>
        </w:rPr>
        <w:t>2</w:t>
      </w:r>
      <w:r w:rsidRPr="00BD16B4">
        <w:t xml:space="preserve">-e, were therefore lower than gross emissions (table 3.1). </w:t>
      </w:r>
    </w:p>
    <w:p w14:paraId="276275BD" w14:textId="0008DAAE" w:rsidR="00711C35" w:rsidRPr="00BD16B4" w:rsidRDefault="00711C35" w:rsidP="00EC76A2">
      <w:pPr>
        <w:pStyle w:val="Figureheading"/>
      </w:pPr>
      <w:bookmarkStart w:id="123" w:name="_Toc498517310"/>
      <w:bookmarkStart w:id="124" w:name="_Toc500767109"/>
      <w:bookmarkStart w:id="125" w:name="_Toc121494381"/>
      <w:r w:rsidRPr="00BD16B4">
        <w:t>Figure 3.</w:t>
      </w:r>
      <w:r w:rsidRPr="00BD16B4">
        <w:fldChar w:fldCharType="begin"/>
      </w:r>
      <w:r w:rsidRPr="00BD16B4">
        <w:instrText>SEQ Figure_3. \* ARABIC</w:instrText>
      </w:r>
      <w:r w:rsidRPr="00BD16B4">
        <w:fldChar w:fldCharType="separate"/>
      </w:r>
      <w:r w:rsidR="00A60C35">
        <w:rPr>
          <w:noProof/>
        </w:rPr>
        <w:t>1</w:t>
      </w:r>
      <w:r w:rsidRPr="00BD16B4">
        <w:fldChar w:fldCharType="end"/>
      </w:r>
      <w:r w:rsidRPr="00BD16B4">
        <w:t>:</w:t>
      </w:r>
      <w:r w:rsidRPr="00BD16B4">
        <w:tab/>
        <w:t>New Zealand’s greenhouse gas emissions by sector, 20</w:t>
      </w:r>
      <w:bookmarkEnd w:id="123"/>
      <w:bookmarkEnd w:id="124"/>
      <w:r w:rsidRPr="00BD16B4">
        <w:t>20</w:t>
      </w:r>
      <w:bookmarkEnd w:id="125"/>
    </w:p>
    <w:p w14:paraId="074BAB2E" w14:textId="77777777" w:rsidR="00711C35" w:rsidRPr="00BD16B4" w:rsidRDefault="00711C35" w:rsidP="00711C35">
      <w:pPr>
        <w:pStyle w:val="BodyText"/>
      </w:pPr>
      <w:r w:rsidRPr="00BD16B4">
        <w:rPr>
          <w:noProof/>
        </w:rPr>
        <w:drawing>
          <wp:inline distT="0" distB="0" distL="0" distR="0" wp14:anchorId="585B23D6" wp14:editId="3B7AAF05">
            <wp:extent cx="5208422" cy="3839244"/>
            <wp:effectExtent l="0" t="0" r="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6">
                      <a:extLst>
                        <a:ext uri="{28A0092B-C50C-407E-A947-70E740481C1C}">
                          <a14:useLocalDpi xmlns:a14="http://schemas.microsoft.com/office/drawing/2010/main" val="0"/>
                        </a:ext>
                      </a:extLst>
                    </a:blip>
                    <a:srcRect r="3578" b="1711"/>
                    <a:stretch>
                      <a:fillRect/>
                    </a:stretch>
                  </pic:blipFill>
                  <pic:spPr>
                    <a:xfrm>
                      <a:off x="0" y="0"/>
                      <a:ext cx="5208422" cy="3839244"/>
                    </a:xfrm>
                    <a:prstGeom prst="rect">
                      <a:avLst/>
                    </a:prstGeom>
                  </pic:spPr>
                </pic:pic>
              </a:graphicData>
            </a:graphic>
          </wp:inline>
        </w:drawing>
      </w:r>
    </w:p>
    <w:p w14:paraId="7CF2BD2D" w14:textId="77777777" w:rsidR="00711C35" w:rsidRPr="00BD16B4" w:rsidRDefault="00711C35" w:rsidP="00120409">
      <w:pPr>
        <w:pStyle w:val="Note"/>
      </w:pPr>
      <w:r w:rsidRPr="00BD16B4">
        <w:rPr>
          <w:b/>
        </w:rPr>
        <w:t>Note:</w:t>
      </w:r>
      <w:r w:rsidRPr="00BD16B4">
        <w:t xml:space="preserve"> IPPU = industrial processes and product use; kt CO</w:t>
      </w:r>
      <w:r w:rsidRPr="00BD16B4">
        <w:rPr>
          <w:vertAlign w:val="subscript"/>
        </w:rPr>
        <w:t>2</w:t>
      </w:r>
      <w:r w:rsidRPr="00BD16B4">
        <w:t>-equivalent = kilotonnes of carbon dioxide equivalent; LULUCF = land use, land-use change and forestry. The percentages may not add up to 100 per cent due to rounding. The LULUCF sector, which is not part of gross emissions, is included here as a negative value. The Tokelau sector is barely visible due to its small contribution (4.18 kt CO</w:t>
      </w:r>
      <w:r w:rsidRPr="00BD16B4">
        <w:rPr>
          <w:vertAlign w:val="subscript"/>
        </w:rPr>
        <w:t>2</w:t>
      </w:r>
      <w:r w:rsidRPr="00BD16B4">
        <w:t>-e or 0.005 per cent of New Zealand’s gross greenhouse gas emissions).</w:t>
      </w:r>
    </w:p>
    <w:p w14:paraId="075073C4" w14:textId="77777777" w:rsidR="00711C35" w:rsidRPr="00BD16B4" w:rsidRDefault="00711C35" w:rsidP="00120409">
      <w:pPr>
        <w:pStyle w:val="Source"/>
      </w:pPr>
      <w:r w:rsidRPr="00BD16B4">
        <w:rPr>
          <w:bCs/>
        </w:rPr>
        <w:t>Source:</w:t>
      </w:r>
      <w:r w:rsidRPr="00BD16B4">
        <w:rPr>
          <w:b/>
        </w:rPr>
        <w:t xml:space="preserve"> </w:t>
      </w:r>
      <w:r w:rsidRPr="00BD16B4">
        <w:t xml:space="preserve">Ministry for the Environment. 2022. </w:t>
      </w:r>
      <w:r w:rsidRPr="00BD16B4">
        <w:rPr>
          <w:i/>
        </w:rPr>
        <w:t xml:space="preserve">New Zealand’s Greenhouse Gas Inventory 1990–2020. </w:t>
      </w:r>
      <w:r w:rsidRPr="00BD16B4">
        <w:t>Wellington: Ministry for the Environment.</w:t>
      </w:r>
    </w:p>
    <w:p w14:paraId="3475E8F7" w14:textId="77777777" w:rsidR="00711C35" w:rsidRPr="00BD16B4" w:rsidRDefault="00711C35" w:rsidP="00711C35">
      <w:pPr>
        <w:pStyle w:val="Heading3"/>
      </w:pPr>
      <w:r w:rsidRPr="00BD16B4">
        <w:t>3.2.2</w:t>
      </w:r>
      <w:r w:rsidRPr="00BD16B4">
        <w:tab/>
        <w:t>Changes in gross emissions between 1990 and 2020</w:t>
      </w:r>
    </w:p>
    <w:p w14:paraId="2A771F80" w14:textId="0EA2C8C8" w:rsidR="00711C35" w:rsidRPr="00BD16B4" w:rsidRDefault="00711C35" w:rsidP="00711C35">
      <w:pPr>
        <w:pStyle w:val="BodyText"/>
      </w:pPr>
      <w:r w:rsidRPr="00BD16B4">
        <w:t>Between 1990 and 2020, New Zealand’s gross greenhouse gas emissions increased by 20.8 per cent (table 3.1 and figures 3.2 and 3.3). The average annual growth in emissions was 0.6 per cent. The emissions categories that contributed the most to the increase in gross emissions were enteric fermentation from dairy cattle (methane, CH</w:t>
      </w:r>
      <w:r w:rsidRPr="00BD16B4">
        <w:rPr>
          <w:vertAlign w:val="subscript"/>
        </w:rPr>
        <w:t>4</w:t>
      </w:r>
      <w:r w:rsidRPr="00BD16B4">
        <w:t>),</w:t>
      </w:r>
      <w:r w:rsidRPr="00BD16B4">
        <w:rPr>
          <w:rStyle w:val="FootnoteReference"/>
        </w:rPr>
        <w:footnoteReference w:id="124"/>
      </w:r>
      <w:r w:rsidRPr="00BD16B4">
        <w:t xml:space="preserve"> road transportation (CO</w:t>
      </w:r>
      <w:r w:rsidRPr="00BD16B4">
        <w:rPr>
          <w:vertAlign w:val="subscript"/>
        </w:rPr>
        <w:t>2</w:t>
      </w:r>
      <w:r w:rsidRPr="00BD16B4">
        <w:t>), agricultural soils (nitrous oxide, N</w:t>
      </w:r>
      <w:r w:rsidRPr="00BD16B4">
        <w:rPr>
          <w:vertAlign w:val="subscript"/>
        </w:rPr>
        <w:t>2</w:t>
      </w:r>
      <w:r w:rsidRPr="00BD16B4">
        <w:t>O), manufacturing industries and construction (CO</w:t>
      </w:r>
      <w:r w:rsidRPr="00BD16B4">
        <w:rPr>
          <w:vertAlign w:val="subscript"/>
        </w:rPr>
        <w:t>2</w:t>
      </w:r>
      <w:r w:rsidRPr="00BD16B4">
        <w:t>)</w:t>
      </w:r>
      <w:r w:rsidRPr="00BD16B4">
        <w:br/>
        <w:t xml:space="preserve">– especially the categories of chemicals, food processing, beverages and tobacco – and fluorinated gases (F-gases) used as substitutes for ozone depleting substances (ODS). Figure 3.4 shows the trends by sector across the entire time series from 1990–2020. </w:t>
      </w:r>
    </w:p>
    <w:p w14:paraId="37004E30" w14:textId="5E1540F6" w:rsidR="00711C35" w:rsidRPr="00BD16B4" w:rsidRDefault="00711C35" w:rsidP="00BB7302">
      <w:pPr>
        <w:pStyle w:val="Tableheading"/>
      </w:pPr>
      <w:bookmarkStart w:id="126" w:name="_Toc498516934"/>
      <w:bookmarkStart w:id="127" w:name="_Toc500767014"/>
      <w:bookmarkStart w:id="128" w:name="_Toc121773786"/>
      <w:r w:rsidRPr="00BD16B4">
        <w:lastRenderedPageBreak/>
        <w:t>Table 3.</w:t>
      </w:r>
      <w:r w:rsidRPr="00BD16B4">
        <w:fldChar w:fldCharType="begin"/>
      </w:r>
      <w:r w:rsidRPr="00BD16B4">
        <w:instrText>SEQ Table_3. \* ARABIC</w:instrText>
      </w:r>
      <w:r w:rsidRPr="00BD16B4">
        <w:fldChar w:fldCharType="separate"/>
      </w:r>
      <w:r w:rsidR="00A60C35">
        <w:rPr>
          <w:noProof/>
        </w:rPr>
        <w:t>1</w:t>
      </w:r>
      <w:r w:rsidRPr="00BD16B4">
        <w:fldChar w:fldCharType="end"/>
      </w:r>
      <w:r w:rsidRPr="00BD16B4">
        <w:t>:</w:t>
      </w:r>
      <w:r w:rsidRPr="00BD16B4">
        <w:tab/>
        <w:t>New Zealand’s emissions by sector, 1990 and 20</w:t>
      </w:r>
      <w:bookmarkEnd w:id="126"/>
      <w:bookmarkEnd w:id="127"/>
      <w:r w:rsidRPr="00BD16B4">
        <w:t>20</w:t>
      </w:r>
      <w:bookmarkEnd w:id="128"/>
    </w:p>
    <w:tbl>
      <w:tblPr>
        <w:tblW w:w="8505" w:type="dxa"/>
        <w:tblInd w:w="108"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1E0" w:firstRow="1" w:lastRow="1" w:firstColumn="1" w:lastColumn="1" w:noHBand="0" w:noVBand="0"/>
      </w:tblPr>
      <w:tblGrid>
        <w:gridCol w:w="3009"/>
        <w:gridCol w:w="1268"/>
        <w:gridCol w:w="1268"/>
        <w:gridCol w:w="1690"/>
        <w:gridCol w:w="1270"/>
      </w:tblGrid>
      <w:tr w:rsidR="00711C35" w:rsidRPr="00BD16B4" w14:paraId="0B4586FF" w14:textId="77777777" w:rsidTr="00F31129">
        <w:tc>
          <w:tcPr>
            <w:tcW w:w="3028" w:type="dxa"/>
            <w:vMerge w:val="restart"/>
            <w:shd w:val="clear" w:color="auto" w:fill="1B556B" w:themeFill="text2"/>
            <w:vAlign w:val="bottom"/>
          </w:tcPr>
          <w:p w14:paraId="21C4555D" w14:textId="77777777" w:rsidR="00711C35" w:rsidRPr="00BD16B4" w:rsidRDefault="00711C35" w:rsidP="00F31129">
            <w:pPr>
              <w:pStyle w:val="TableText"/>
              <w:rPr>
                <w:rFonts w:cs="Calibri"/>
                <w:b/>
                <w:bCs/>
                <w:color w:val="FFFFFF" w:themeColor="background1"/>
                <w:szCs w:val="18"/>
              </w:rPr>
            </w:pPr>
            <w:r w:rsidRPr="00BD16B4">
              <w:rPr>
                <w:rFonts w:cs="Calibri"/>
                <w:b/>
                <w:bCs/>
                <w:color w:val="FFFFFF" w:themeColor="background1"/>
                <w:szCs w:val="18"/>
              </w:rPr>
              <w:t>Sector</w:t>
            </w:r>
          </w:p>
        </w:tc>
        <w:tc>
          <w:tcPr>
            <w:tcW w:w="2551" w:type="dxa"/>
            <w:gridSpan w:val="2"/>
            <w:shd w:val="clear" w:color="auto" w:fill="1B556B" w:themeFill="text2"/>
            <w:vAlign w:val="bottom"/>
          </w:tcPr>
          <w:p w14:paraId="040BA708" w14:textId="77777777" w:rsidR="00711C35" w:rsidRPr="00BD16B4" w:rsidRDefault="00711C35" w:rsidP="00F31129">
            <w:pPr>
              <w:pStyle w:val="TableText"/>
              <w:spacing w:after="0"/>
              <w:jc w:val="center"/>
              <w:rPr>
                <w:rFonts w:cs="Calibri"/>
                <w:b/>
                <w:bCs/>
                <w:color w:val="FFFFFF" w:themeColor="background1"/>
                <w:szCs w:val="18"/>
              </w:rPr>
            </w:pPr>
            <w:r w:rsidRPr="00BD16B4">
              <w:rPr>
                <w:rFonts w:cs="Calibri"/>
                <w:b/>
                <w:bCs/>
                <w:color w:val="FFFFFF" w:themeColor="background1"/>
                <w:szCs w:val="18"/>
              </w:rPr>
              <w:t>kt CO</w:t>
            </w:r>
            <w:r w:rsidRPr="00BD16B4">
              <w:rPr>
                <w:rFonts w:cs="Calibri"/>
                <w:b/>
                <w:bCs/>
                <w:color w:val="FFFFFF" w:themeColor="background1"/>
                <w:szCs w:val="18"/>
                <w:vertAlign w:val="subscript"/>
              </w:rPr>
              <w:t>2</w:t>
            </w:r>
            <w:r w:rsidRPr="00BD16B4">
              <w:rPr>
                <w:rFonts w:cs="Calibri"/>
                <w:b/>
                <w:bCs/>
                <w:color w:val="FFFFFF" w:themeColor="background1"/>
                <w:szCs w:val="18"/>
              </w:rPr>
              <w:t>-equivalent</w:t>
            </w:r>
          </w:p>
        </w:tc>
        <w:tc>
          <w:tcPr>
            <w:tcW w:w="1700" w:type="dxa"/>
            <w:vMerge w:val="restart"/>
            <w:shd w:val="clear" w:color="auto" w:fill="1B556B" w:themeFill="text2"/>
            <w:vAlign w:val="bottom"/>
          </w:tcPr>
          <w:p w14:paraId="4E139401" w14:textId="77777777" w:rsidR="00711C35" w:rsidRPr="00BD16B4" w:rsidRDefault="00711C35" w:rsidP="00F31129">
            <w:pPr>
              <w:pStyle w:val="TableText"/>
              <w:jc w:val="right"/>
              <w:rPr>
                <w:rFonts w:cs="Calibri"/>
                <w:b/>
                <w:bCs/>
                <w:color w:val="FFFFFF" w:themeColor="background1"/>
                <w:szCs w:val="18"/>
              </w:rPr>
            </w:pPr>
            <w:r w:rsidRPr="00BD16B4">
              <w:rPr>
                <w:rFonts w:cs="Calibri"/>
                <w:b/>
                <w:bCs/>
                <w:color w:val="FFFFFF" w:themeColor="background1"/>
                <w:szCs w:val="18"/>
              </w:rPr>
              <w:t>Change from 1990 (kt CO</w:t>
            </w:r>
            <w:r w:rsidRPr="00BD16B4">
              <w:rPr>
                <w:rFonts w:cs="Calibri"/>
                <w:b/>
                <w:bCs/>
                <w:color w:val="FFFFFF" w:themeColor="background1"/>
                <w:szCs w:val="18"/>
                <w:vertAlign w:val="subscript"/>
              </w:rPr>
              <w:t>2</w:t>
            </w:r>
            <w:r w:rsidRPr="00BD16B4">
              <w:rPr>
                <w:rFonts w:cs="Calibri"/>
                <w:b/>
                <w:bCs/>
                <w:color w:val="FFFFFF" w:themeColor="background1"/>
                <w:szCs w:val="18"/>
              </w:rPr>
              <w:t>-equivalent)</w:t>
            </w:r>
          </w:p>
        </w:tc>
        <w:tc>
          <w:tcPr>
            <w:tcW w:w="1278" w:type="dxa"/>
            <w:vMerge w:val="restart"/>
            <w:shd w:val="clear" w:color="auto" w:fill="1B556B" w:themeFill="text2"/>
            <w:vAlign w:val="bottom"/>
          </w:tcPr>
          <w:p w14:paraId="6021C9BF" w14:textId="77777777" w:rsidR="00711C35" w:rsidRPr="00BD16B4" w:rsidRDefault="00711C35" w:rsidP="00F31129">
            <w:pPr>
              <w:pStyle w:val="TableText"/>
              <w:jc w:val="right"/>
              <w:rPr>
                <w:rFonts w:cs="Calibri"/>
                <w:b/>
                <w:bCs/>
                <w:color w:val="FFFFFF" w:themeColor="background1"/>
                <w:szCs w:val="18"/>
              </w:rPr>
            </w:pPr>
            <w:r w:rsidRPr="00BD16B4">
              <w:rPr>
                <w:rFonts w:cs="Calibri"/>
                <w:b/>
                <w:bCs/>
                <w:color w:val="FFFFFF" w:themeColor="background1"/>
                <w:szCs w:val="18"/>
              </w:rPr>
              <w:t>Change from 1990 (%)</w:t>
            </w:r>
          </w:p>
        </w:tc>
      </w:tr>
      <w:tr w:rsidR="00711C35" w:rsidRPr="00BD16B4" w14:paraId="48C94DFB" w14:textId="77777777" w:rsidTr="00F31129">
        <w:tc>
          <w:tcPr>
            <w:tcW w:w="3028" w:type="dxa"/>
            <w:vMerge/>
            <w:shd w:val="clear" w:color="auto" w:fill="1B556B" w:themeFill="text2"/>
            <w:vAlign w:val="bottom"/>
          </w:tcPr>
          <w:p w14:paraId="0558999D" w14:textId="77777777" w:rsidR="00711C35" w:rsidRPr="00BD16B4" w:rsidRDefault="00711C35" w:rsidP="00F31129">
            <w:pPr>
              <w:pStyle w:val="TableText"/>
              <w:rPr>
                <w:rFonts w:cs="Calibri"/>
                <w:b/>
                <w:bCs/>
                <w:color w:val="FFFFFF" w:themeColor="background1"/>
                <w:szCs w:val="18"/>
              </w:rPr>
            </w:pPr>
          </w:p>
        </w:tc>
        <w:tc>
          <w:tcPr>
            <w:tcW w:w="1276" w:type="dxa"/>
            <w:shd w:val="clear" w:color="auto" w:fill="1B556B" w:themeFill="text2"/>
            <w:vAlign w:val="bottom"/>
          </w:tcPr>
          <w:p w14:paraId="3309DF9F" w14:textId="77777777" w:rsidR="00711C35" w:rsidRPr="00BD16B4" w:rsidRDefault="00711C35" w:rsidP="00F31129">
            <w:pPr>
              <w:pStyle w:val="TableText"/>
              <w:spacing w:before="0"/>
              <w:jc w:val="center"/>
              <w:rPr>
                <w:rFonts w:cs="Calibri"/>
                <w:b/>
                <w:bCs/>
                <w:color w:val="FFFFFF" w:themeColor="background1"/>
                <w:szCs w:val="18"/>
              </w:rPr>
            </w:pPr>
            <w:r w:rsidRPr="00BD16B4">
              <w:rPr>
                <w:rFonts w:cs="Calibri"/>
                <w:b/>
                <w:bCs/>
                <w:color w:val="FFFFFF" w:themeColor="background1"/>
                <w:szCs w:val="18"/>
              </w:rPr>
              <w:t>1990</w:t>
            </w:r>
          </w:p>
        </w:tc>
        <w:tc>
          <w:tcPr>
            <w:tcW w:w="1276" w:type="dxa"/>
            <w:shd w:val="clear" w:color="auto" w:fill="1B556B" w:themeFill="text2"/>
            <w:vAlign w:val="bottom"/>
          </w:tcPr>
          <w:p w14:paraId="1CD4AA76" w14:textId="77777777" w:rsidR="00711C35" w:rsidRPr="00BD16B4" w:rsidRDefault="00711C35" w:rsidP="00F31129">
            <w:pPr>
              <w:pStyle w:val="TableText"/>
              <w:spacing w:before="0"/>
              <w:jc w:val="center"/>
              <w:rPr>
                <w:rFonts w:cs="Calibri"/>
                <w:b/>
                <w:bCs/>
                <w:color w:val="FFFFFF" w:themeColor="background1"/>
                <w:szCs w:val="18"/>
              </w:rPr>
            </w:pPr>
            <w:r w:rsidRPr="00BD16B4">
              <w:rPr>
                <w:rFonts w:cs="Calibri"/>
                <w:b/>
                <w:bCs/>
                <w:color w:val="FFFFFF" w:themeColor="background1"/>
                <w:szCs w:val="18"/>
              </w:rPr>
              <w:t>2020</w:t>
            </w:r>
          </w:p>
        </w:tc>
        <w:tc>
          <w:tcPr>
            <w:tcW w:w="1701" w:type="dxa"/>
            <w:vMerge/>
            <w:shd w:val="clear" w:color="auto" w:fill="1B556B" w:themeFill="text2"/>
            <w:vAlign w:val="bottom"/>
          </w:tcPr>
          <w:p w14:paraId="259C2039" w14:textId="77777777" w:rsidR="00711C35" w:rsidRPr="00BD16B4" w:rsidRDefault="00711C35" w:rsidP="00F31129">
            <w:pPr>
              <w:pStyle w:val="TableText"/>
              <w:jc w:val="right"/>
              <w:rPr>
                <w:rFonts w:cs="Calibri"/>
                <w:b/>
                <w:bCs/>
                <w:color w:val="FFFFFF" w:themeColor="background1"/>
                <w:szCs w:val="18"/>
              </w:rPr>
            </w:pPr>
          </w:p>
        </w:tc>
        <w:tc>
          <w:tcPr>
            <w:tcW w:w="1276" w:type="dxa"/>
            <w:vMerge/>
            <w:shd w:val="clear" w:color="auto" w:fill="1B556B" w:themeFill="text2"/>
            <w:vAlign w:val="bottom"/>
          </w:tcPr>
          <w:p w14:paraId="718CFCC0" w14:textId="77777777" w:rsidR="00711C35" w:rsidRPr="00BD16B4" w:rsidRDefault="00711C35" w:rsidP="00F31129">
            <w:pPr>
              <w:pStyle w:val="TableText"/>
              <w:jc w:val="right"/>
              <w:rPr>
                <w:rFonts w:cs="Calibri"/>
                <w:b/>
                <w:bCs/>
                <w:color w:val="FFFFFF" w:themeColor="background1"/>
                <w:szCs w:val="18"/>
              </w:rPr>
            </w:pPr>
          </w:p>
        </w:tc>
      </w:tr>
      <w:tr w:rsidR="00711C35" w:rsidRPr="00BD16B4" w14:paraId="79EFA71A" w14:textId="77777777" w:rsidTr="00F31129">
        <w:tc>
          <w:tcPr>
            <w:tcW w:w="3028" w:type="dxa"/>
            <w:shd w:val="clear" w:color="auto" w:fill="auto"/>
          </w:tcPr>
          <w:p w14:paraId="6DC17650" w14:textId="77777777" w:rsidR="00711C35" w:rsidRPr="00BD16B4" w:rsidRDefault="00711C35" w:rsidP="00F31129">
            <w:pPr>
              <w:pStyle w:val="TableText"/>
              <w:rPr>
                <w:rFonts w:cs="Calibri"/>
                <w:szCs w:val="18"/>
              </w:rPr>
            </w:pPr>
            <w:r w:rsidRPr="00BD16B4">
              <w:rPr>
                <w:rFonts w:cs="Calibri"/>
                <w:szCs w:val="18"/>
              </w:rPr>
              <w:t>Energy</w:t>
            </w:r>
          </w:p>
        </w:tc>
        <w:tc>
          <w:tcPr>
            <w:tcW w:w="1276" w:type="dxa"/>
            <w:shd w:val="clear" w:color="auto" w:fill="auto"/>
          </w:tcPr>
          <w:p w14:paraId="31E4DCFD" w14:textId="77777777" w:rsidR="00711C35" w:rsidRPr="00BD16B4" w:rsidRDefault="00711C35" w:rsidP="00F31129">
            <w:pPr>
              <w:pStyle w:val="TableText"/>
              <w:jc w:val="right"/>
              <w:rPr>
                <w:rFonts w:cs="Calibri"/>
                <w:szCs w:val="18"/>
              </w:rPr>
            </w:pPr>
            <w:r w:rsidRPr="00BD16B4">
              <w:rPr>
                <w:rFonts w:cs="Calibri"/>
                <w:szCs w:val="18"/>
              </w:rPr>
              <w:t>23,877.9</w:t>
            </w:r>
          </w:p>
        </w:tc>
        <w:tc>
          <w:tcPr>
            <w:tcW w:w="1276" w:type="dxa"/>
            <w:shd w:val="clear" w:color="auto" w:fill="auto"/>
            <w:vAlign w:val="bottom"/>
          </w:tcPr>
          <w:p w14:paraId="33FEAE8D" w14:textId="77777777" w:rsidR="00711C35" w:rsidRPr="00BD16B4" w:rsidRDefault="00711C35" w:rsidP="00F31129">
            <w:pPr>
              <w:pStyle w:val="TableText"/>
              <w:jc w:val="right"/>
              <w:rPr>
                <w:rFonts w:cs="Calibri"/>
                <w:szCs w:val="18"/>
              </w:rPr>
            </w:pPr>
            <w:r w:rsidRPr="00BD16B4">
              <w:rPr>
                <w:rFonts w:cs="Calibri"/>
                <w:szCs w:val="18"/>
              </w:rPr>
              <w:t>31,461.4</w:t>
            </w:r>
          </w:p>
        </w:tc>
        <w:tc>
          <w:tcPr>
            <w:tcW w:w="1701" w:type="dxa"/>
            <w:shd w:val="clear" w:color="auto" w:fill="auto"/>
            <w:vAlign w:val="bottom"/>
          </w:tcPr>
          <w:p w14:paraId="4C7B2C7E" w14:textId="77777777" w:rsidR="00711C35" w:rsidRPr="00BD16B4" w:rsidRDefault="00711C35" w:rsidP="00F31129">
            <w:pPr>
              <w:pStyle w:val="TableText"/>
              <w:jc w:val="right"/>
              <w:rPr>
                <w:rFonts w:cs="Calibri"/>
                <w:szCs w:val="18"/>
              </w:rPr>
            </w:pPr>
            <w:r w:rsidRPr="00BD16B4">
              <w:rPr>
                <w:rFonts w:cs="Calibri"/>
                <w:szCs w:val="18"/>
              </w:rPr>
              <w:t>7,583.5</w:t>
            </w:r>
          </w:p>
        </w:tc>
        <w:tc>
          <w:tcPr>
            <w:tcW w:w="1276" w:type="dxa"/>
            <w:shd w:val="clear" w:color="auto" w:fill="auto"/>
            <w:vAlign w:val="bottom"/>
          </w:tcPr>
          <w:p w14:paraId="2C66AC60" w14:textId="77777777" w:rsidR="00711C35" w:rsidRPr="00BD16B4" w:rsidRDefault="00711C35" w:rsidP="00F31129">
            <w:pPr>
              <w:pStyle w:val="TableText"/>
              <w:jc w:val="right"/>
              <w:rPr>
                <w:rFonts w:cs="Calibri"/>
                <w:szCs w:val="18"/>
              </w:rPr>
            </w:pPr>
            <w:r w:rsidRPr="00BD16B4">
              <w:rPr>
                <w:rFonts w:cs="Calibri"/>
                <w:szCs w:val="18"/>
              </w:rPr>
              <w:t>31.8</w:t>
            </w:r>
          </w:p>
        </w:tc>
      </w:tr>
      <w:tr w:rsidR="00711C35" w:rsidRPr="00BD16B4" w14:paraId="33448564" w14:textId="77777777" w:rsidTr="00F31129">
        <w:tc>
          <w:tcPr>
            <w:tcW w:w="3028" w:type="dxa"/>
            <w:shd w:val="clear" w:color="auto" w:fill="auto"/>
          </w:tcPr>
          <w:p w14:paraId="79EA948A" w14:textId="77777777" w:rsidR="00711C35" w:rsidRPr="00BD16B4" w:rsidRDefault="00711C35" w:rsidP="00F31129">
            <w:pPr>
              <w:pStyle w:val="TableText"/>
              <w:rPr>
                <w:rFonts w:cs="Calibri"/>
                <w:szCs w:val="18"/>
              </w:rPr>
            </w:pPr>
            <w:r w:rsidRPr="00BD16B4">
              <w:rPr>
                <w:rFonts w:cs="Calibri"/>
                <w:szCs w:val="18"/>
              </w:rPr>
              <w:t>Industrial processes and product use</w:t>
            </w:r>
          </w:p>
        </w:tc>
        <w:tc>
          <w:tcPr>
            <w:tcW w:w="1276" w:type="dxa"/>
            <w:shd w:val="clear" w:color="auto" w:fill="auto"/>
            <w:vAlign w:val="bottom"/>
          </w:tcPr>
          <w:p w14:paraId="37517B54" w14:textId="77777777" w:rsidR="00711C35" w:rsidRPr="00BD16B4" w:rsidRDefault="00711C35" w:rsidP="00F31129">
            <w:pPr>
              <w:pStyle w:val="TableText"/>
              <w:jc w:val="right"/>
              <w:rPr>
                <w:rFonts w:cs="Calibri"/>
                <w:szCs w:val="18"/>
              </w:rPr>
            </w:pPr>
            <w:r w:rsidRPr="00BD16B4">
              <w:rPr>
                <w:rFonts w:cs="Calibri"/>
                <w:szCs w:val="18"/>
              </w:rPr>
              <w:t>3,579.9</w:t>
            </w:r>
          </w:p>
        </w:tc>
        <w:tc>
          <w:tcPr>
            <w:tcW w:w="1276" w:type="dxa"/>
            <w:shd w:val="clear" w:color="auto" w:fill="auto"/>
            <w:vAlign w:val="bottom"/>
          </w:tcPr>
          <w:p w14:paraId="4BF50F78" w14:textId="77777777" w:rsidR="00711C35" w:rsidRPr="00BD16B4" w:rsidRDefault="00711C35" w:rsidP="00F31129">
            <w:pPr>
              <w:pStyle w:val="TableText"/>
              <w:jc w:val="right"/>
              <w:rPr>
                <w:rFonts w:cs="Calibri"/>
                <w:szCs w:val="18"/>
              </w:rPr>
            </w:pPr>
            <w:r w:rsidRPr="00BD16B4">
              <w:rPr>
                <w:rFonts w:cs="Calibri"/>
                <w:szCs w:val="18"/>
              </w:rPr>
              <w:t>4,618.4</w:t>
            </w:r>
          </w:p>
        </w:tc>
        <w:tc>
          <w:tcPr>
            <w:tcW w:w="1701" w:type="dxa"/>
            <w:shd w:val="clear" w:color="auto" w:fill="auto"/>
            <w:vAlign w:val="bottom"/>
          </w:tcPr>
          <w:p w14:paraId="135F5327" w14:textId="77777777" w:rsidR="00711C35" w:rsidRPr="00BD16B4" w:rsidRDefault="00711C35" w:rsidP="00F31129">
            <w:pPr>
              <w:pStyle w:val="TableText"/>
              <w:jc w:val="right"/>
              <w:rPr>
                <w:rFonts w:cs="Calibri"/>
                <w:szCs w:val="18"/>
              </w:rPr>
            </w:pPr>
            <w:r w:rsidRPr="00BD16B4">
              <w:rPr>
                <w:rFonts w:cs="Calibri"/>
                <w:szCs w:val="18"/>
              </w:rPr>
              <w:t>1,038.4</w:t>
            </w:r>
          </w:p>
        </w:tc>
        <w:tc>
          <w:tcPr>
            <w:tcW w:w="1276" w:type="dxa"/>
            <w:shd w:val="clear" w:color="auto" w:fill="auto"/>
            <w:vAlign w:val="bottom"/>
          </w:tcPr>
          <w:p w14:paraId="4B05A981" w14:textId="77777777" w:rsidR="00711C35" w:rsidRPr="00BD16B4" w:rsidRDefault="00711C35" w:rsidP="00F31129">
            <w:pPr>
              <w:pStyle w:val="TableText"/>
              <w:jc w:val="right"/>
              <w:rPr>
                <w:rFonts w:cs="Calibri"/>
                <w:szCs w:val="18"/>
              </w:rPr>
            </w:pPr>
            <w:r w:rsidRPr="00BD16B4">
              <w:rPr>
                <w:rFonts w:cs="Calibri"/>
                <w:szCs w:val="18"/>
              </w:rPr>
              <w:t>29.0</w:t>
            </w:r>
          </w:p>
        </w:tc>
      </w:tr>
      <w:tr w:rsidR="00711C35" w:rsidRPr="00BD16B4" w14:paraId="3D905753" w14:textId="77777777" w:rsidTr="00F31129">
        <w:tc>
          <w:tcPr>
            <w:tcW w:w="3028" w:type="dxa"/>
            <w:shd w:val="clear" w:color="auto" w:fill="auto"/>
          </w:tcPr>
          <w:p w14:paraId="66BE2AC3" w14:textId="77777777" w:rsidR="00711C35" w:rsidRPr="00BD16B4" w:rsidRDefault="00711C35" w:rsidP="00F31129">
            <w:pPr>
              <w:pStyle w:val="TableText"/>
              <w:rPr>
                <w:rFonts w:cs="Calibri"/>
                <w:szCs w:val="18"/>
              </w:rPr>
            </w:pPr>
            <w:r w:rsidRPr="00BD16B4">
              <w:rPr>
                <w:rFonts w:cs="Calibri"/>
                <w:szCs w:val="18"/>
              </w:rPr>
              <w:t>Agriculture</w:t>
            </w:r>
          </w:p>
        </w:tc>
        <w:tc>
          <w:tcPr>
            <w:tcW w:w="1276" w:type="dxa"/>
            <w:shd w:val="clear" w:color="auto" w:fill="auto"/>
            <w:vAlign w:val="bottom"/>
          </w:tcPr>
          <w:p w14:paraId="287B6816" w14:textId="77777777" w:rsidR="00711C35" w:rsidRPr="00BD16B4" w:rsidRDefault="00711C35" w:rsidP="00F31129">
            <w:pPr>
              <w:pStyle w:val="TableText"/>
              <w:jc w:val="right"/>
              <w:rPr>
                <w:rFonts w:cs="Calibri"/>
                <w:szCs w:val="18"/>
              </w:rPr>
            </w:pPr>
            <w:r w:rsidRPr="00BD16B4">
              <w:rPr>
                <w:rFonts w:cs="Calibri"/>
                <w:szCs w:val="18"/>
              </w:rPr>
              <w:t>33,792.9</w:t>
            </w:r>
          </w:p>
        </w:tc>
        <w:tc>
          <w:tcPr>
            <w:tcW w:w="1276" w:type="dxa"/>
            <w:shd w:val="clear" w:color="auto" w:fill="auto"/>
            <w:vAlign w:val="bottom"/>
          </w:tcPr>
          <w:p w14:paraId="2154E764" w14:textId="77777777" w:rsidR="00711C35" w:rsidRPr="00BD16B4" w:rsidRDefault="00711C35" w:rsidP="00F31129">
            <w:pPr>
              <w:pStyle w:val="TableText"/>
              <w:jc w:val="right"/>
              <w:rPr>
                <w:rFonts w:cs="Calibri"/>
                <w:szCs w:val="18"/>
              </w:rPr>
            </w:pPr>
            <w:r w:rsidRPr="00BD16B4">
              <w:rPr>
                <w:rFonts w:cs="Calibri"/>
                <w:szCs w:val="18"/>
              </w:rPr>
              <w:t>39,425.5</w:t>
            </w:r>
          </w:p>
        </w:tc>
        <w:tc>
          <w:tcPr>
            <w:tcW w:w="1701" w:type="dxa"/>
            <w:shd w:val="clear" w:color="auto" w:fill="auto"/>
            <w:vAlign w:val="bottom"/>
          </w:tcPr>
          <w:p w14:paraId="513DA12C" w14:textId="77777777" w:rsidR="00711C35" w:rsidRPr="00BD16B4" w:rsidRDefault="00711C35" w:rsidP="00F31129">
            <w:pPr>
              <w:pStyle w:val="TableText"/>
              <w:jc w:val="right"/>
              <w:rPr>
                <w:rFonts w:cs="Calibri"/>
                <w:szCs w:val="18"/>
              </w:rPr>
            </w:pPr>
            <w:r w:rsidRPr="00BD16B4">
              <w:rPr>
                <w:rFonts w:cs="Calibri"/>
                <w:szCs w:val="18"/>
              </w:rPr>
              <w:t>5,632.7</w:t>
            </w:r>
          </w:p>
        </w:tc>
        <w:tc>
          <w:tcPr>
            <w:tcW w:w="1276" w:type="dxa"/>
            <w:shd w:val="clear" w:color="auto" w:fill="auto"/>
            <w:vAlign w:val="bottom"/>
          </w:tcPr>
          <w:p w14:paraId="445CF784" w14:textId="77777777" w:rsidR="00711C35" w:rsidRPr="00BD16B4" w:rsidRDefault="00711C35" w:rsidP="00F31129">
            <w:pPr>
              <w:pStyle w:val="TableText"/>
              <w:jc w:val="right"/>
              <w:rPr>
                <w:rFonts w:cs="Calibri"/>
                <w:szCs w:val="18"/>
              </w:rPr>
            </w:pPr>
            <w:r w:rsidRPr="00BD16B4">
              <w:rPr>
                <w:rFonts w:cs="Calibri"/>
                <w:szCs w:val="18"/>
              </w:rPr>
              <w:t>16.7</w:t>
            </w:r>
          </w:p>
        </w:tc>
      </w:tr>
      <w:tr w:rsidR="00711C35" w:rsidRPr="00BD16B4" w14:paraId="5C950902" w14:textId="77777777" w:rsidTr="00F31129">
        <w:tc>
          <w:tcPr>
            <w:tcW w:w="3028" w:type="dxa"/>
            <w:shd w:val="clear" w:color="auto" w:fill="auto"/>
          </w:tcPr>
          <w:p w14:paraId="6572D2DB" w14:textId="77777777" w:rsidR="00711C35" w:rsidRPr="00BD16B4" w:rsidRDefault="00711C35" w:rsidP="00F31129">
            <w:pPr>
              <w:pStyle w:val="TableText"/>
              <w:rPr>
                <w:rFonts w:cs="Calibri"/>
                <w:szCs w:val="18"/>
              </w:rPr>
            </w:pPr>
            <w:r w:rsidRPr="00BD16B4">
              <w:rPr>
                <w:rFonts w:cs="Calibri"/>
                <w:szCs w:val="18"/>
              </w:rPr>
              <w:t>Waste</w:t>
            </w:r>
          </w:p>
        </w:tc>
        <w:tc>
          <w:tcPr>
            <w:tcW w:w="1276" w:type="dxa"/>
            <w:shd w:val="clear" w:color="auto" w:fill="auto"/>
            <w:vAlign w:val="bottom"/>
          </w:tcPr>
          <w:p w14:paraId="0110153F" w14:textId="77777777" w:rsidR="00711C35" w:rsidRPr="00BD16B4" w:rsidRDefault="00711C35" w:rsidP="00F31129">
            <w:pPr>
              <w:pStyle w:val="TableText"/>
              <w:jc w:val="right"/>
              <w:rPr>
                <w:rFonts w:cs="Calibri"/>
                <w:szCs w:val="18"/>
              </w:rPr>
            </w:pPr>
            <w:r w:rsidRPr="00BD16B4">
              <w:rPr>
                <w:rFonts w:cs="Calibri"/>
                <w:szCs w:val="18"/>
              </w:rPr>
              <w:t>3,943.1</w:t>
            </w:r>
          </w:p>
        </w:tc>
        <w:tc>
          <w:tcPr>
            <w:tcW w:w="1276" w:type="dxa"/>
            <w:shd w:val="clear" w:color="auto" w:fill="auto"/>
            <w:vAlign w:val="bottom"/>
          </w:tcPr>
          <w:p w14:paraId="610BC4C3" w14:textId="77777777" w:rsidR="00711C35" w:rsidRPr="00BD16B4" w:rsidRDefault="00711C35" w:rsidP="00F31129">
            <w:pPr>
              <w:pStyle w:val="TableText"/>
              <w:jc w:val="right"/>
              <w:rPr>
                <w:rFonts w:cs="Calibri"/>
                <w:szCs w:val="18"/>
              </w:rPr>
            </w:pPr>
            <w:r w:rsidRPr="00BD16B4">
              <w:rPr>
                <w:rFonts w:cs="Calibri"/>
                <w:szCs w:val="18"/>
              </w:rPr>
              <w:t>3,268.9</w:t>
            </w:r>
          </w:p>
        </w:tc>
        <w:tc>
          <w:tcPr>
            <w:tcW w:w="1701" w:type="dxa"/>
            <w:shd w:val="clear" w:color="auto" w:fill="auto"/>
            <w:vAlign w:val="bottom"/>
          </w:tcPr>
          <w:p w14:paraId="1B88537F" w14:textId="77777777" w:rsidR="00711C35" w:rsidRPr="00BD16B4" w:rsidRDefault="00711C35" w:rsidP="00F31129">
            <w:pPr>
              <w:pStyle w:val="TableText"/>
              <w:jc w:val="right"/>
              <w:rPr>
                <w:rFonts w:cs="Calibri"/>
                <w:szCs w:val="18"/>
              </w:rPr>
            </w:pPr>
            <w:r w:rsidRPr="00BD16B4">
              <w:rPr>
                <w:rFonts w:cs="Calibri"/>
                <w:szCs w:val="18"/>
              </w:rPr>
              <w:t>–674.2</w:t>
            </w:r>
          </w:p>
        </w:tc>
        <w:tc>
          <w:tcPr>
            <w:tcW w:w="1276" w:type="dxa"/>
            <w:shd w:val="clear" w:color="auto" w:fill="auto"/>
            <w:vAlign w:val="bottom"/>
          </w:tcPr>
          <w:p w14:paraId="57F7E83B" w14:textId="77777777" w:rsidR="00711C35" w:rsidRPr="00BD16B4" w:rsidRDefault="00711C35" w:rsidP="00F31129">
            <w:pPr>
              <w:pStyle w:val="TableText"/>
              <w:jc w:val="right"/>
              <w:rPr>
                <w:rFonts w:cs="Calibri"/>
                <w:szCs w:val="18"/>
              </w:rPr>
            </w:pPr>
            <w:r w:rsidRPr="00BD16B4">
              <w:rPr>
                <w:rFonts w:cs="Calibri"/>
                <w:szCs w:val="18"/>
              </w:rPr>
              <w:t>–17.1</w:t>
            </w:r>
          </w:p>
        </w:tc>
      </w:tr>
      <w:tr w:rsidR="00711C35" w:rsidRPr="00BD16B4" w14:paraId="014EC078" w14:textId="77777777" w:rsidTr="00F31129">
        <w:tc>
          <w:tcPr>
            <w:tcW w:w="3028" w:type="dxa"/>
            <w:shd w:val="clear" w:color="auto" w:fill="auto"/>
          </w:tcPr>
          <w:p w14:paraId="5C8768F1" w14:textId="77777777" w:rsidR="00711C35" w:rsidRPr="00BD16B4" w:rsidRDefault="00711C35" w:rsidP="00F31129">
            <w:pPr>
              <w:pStyle w:val="TableText"/>
              <w:rPr>
                <w:rFonts w:cs="Calibri"/>
                <w:szCs w:val="18"/>
              </w:rPr>
            </w:pPr>
            <w:r w:rsidRPr="00BD16B4">
              <w:rPr>
                <w:rFonts w:cs="Calibri"/>
                <w:szCs w:val="18"/>
              </w:rPr>
              <w:t>Tokelau</w:t>
            </w:r>
          </w:p>
        </w:tc>
        <w:tc>
          <w:tcPr>
            <w:tcW w:w="1276" w:type="dxa"/>
            <w:shd w:val="clear" w:color="auto" w:fill="auto"/>
            <w:vAlign w:val="bottom"/>
          </w:tcPr>
          <w:p w14:paraId="51D1CFE0" w14:textId="77777777" w:rsidR="00711C35" w:rsidRPr="00BD16B4" w:rsidRDefault="00711C35" w:rsidP="00F31129">
            <w:pPr>
              <w:pStyle w:val="TableText"/>
              <w:jc w:val="right"/>
              <w:rPr>
                <w:rFonts w:cs="Calibri"/>
                <w:szCs w:val="18"/>
              </w:rPr>
            </w:pPr>
            <w:r w:rsidRPr="00BD16B4">
              <w:rPr>
                <w:rFonts w:cs="Calibri"/>
                <w:szCs w:val="18"/>
              </w:rPr>
              <w:t>3.2</w:t>
            </w:r>
          </w:p>
        </w:tc>
        <w:tc>
          <w:tcPr>
            <w:tcW w:w="1276" w:type="dxa"/>
            <w:shd w:val="clear" w:color="auto" w:fill="auto"/>
            <w:vAlign w:val="bottom"/>
          </w:tcPr>
          <w:p w14:paraId="7920948C" w14:textId="77777777" w:rsidR="00711C35" w:rsidRPr="00BD16B4" w:rsidRDefault="00711C35" w:rsidP="00F31129">
            <w:pPr>
              <w:pStyle w:val="TableText"/>
              <w:jc w:val="right"/>
              <w:rPr>
                <w:rFonts w:cs="Calibri"/>
                <w:szCs w:val="18"/>
              </w:rPr>
            </w:pPr>
            <w:r w:rsidRPr="00BD16B4">
              <w:rPr>
                <w:rFonts w:cs="Calibri"/>
                <w:szCs w:val="18"/>
              </w:rPr>
              <w:t>4.2</w:t>
            </w:r>
          </w:p>
        </w:tc>
        <w:tc>
          <w:tcPr>
            <w:tcW w:w="1701" w:type="dxa"/>
            <w:shd w:val="clear" w:color="auto" w:fill="auto"/>
            <w:vAlign w:val="bottom"/>
          </w:tcPr>
          <w:p w14:paraId="71EFA655" w14:textId="77777777" w:rsidR="00711C35" w:rsidRPr="00BD16B4" w:rsidRDefault="00711C35" w:rsidP="00F31129">
            <w:pPr>
              <w:pStyle w:val="TableText"/>
              <w:jc w:val="right"/>
              <w:rPr>
                <w:rFonts w:cs="Calibri"/>
                <w:szCs w:val="18"/>
              </w:rPr>
            </w:pPr>
            <w:r w:rsidRPr="00BD16B4">
              <w:rPr>
                <w:rFonts w:cs="Calibri"/>
                <w:szCs w:val="18"/>
              </w:rPr>
              <w:t>1.0</w:t>
            </w:r>
          </w:p>
        </w:tc>
        <w:tc>
          <w:tcPr>
            <w:tcW w:w="1276" w:type="dxa"/>
            <w:shd w:val="clear" w:color="auto" w:fill="auto"/>
            <w:vAlign w:val="bottom"/>
          </w:tcPr>
          <w:p w14:paraId="11CD053D" w14:textId="77777777" w:rsidR="00711C35" w:rsidRPr="00BD16B4" w:rsidRDefault="00711C35" w:rsidP="00F31129">
            <w:pPr>
              <w:pStyle w:val="TableText"/>
              <w:jc w:val="right"/>
              <w:rPr>
                <w:rFonts w:cs="Calibri"/>
                <w:szCs w:val="18"/>
              </w:rPr>
            </w:pPr>
            <w:r w:rsidRPr="00BD16B4">
              <w:rPr>
                <w:rFonts w:cs="Calibri"/>
                <w:szCs w:val="18"/>
              </w:rPr>
              <w:t>31.9</w:t>
            </w:r>
          </w:p>
        </w:tc>
      </w:tr>
      <w:tr w:rsidR="00711C35" w:rsidRPr="00BD16B4" w14:paraId="00DDFA33" w14:textId="77777777" w:rsidTr="00F31129">
        <w:tc>
          <w:tcPr>
            <w:tcW w:w="3028" w:type="dxa"/>
            <w:shd w:val="clear" w:color="auto" w:fill="auto"/>
          </w:tcPr>
          <w:p w14:paraId="453A5DC3" w14:textId="77777777" w:rsidR="00711C35" w:rsidRPr="00BD16B4" w:rsidRDefault="00711C35" w:rsidP="00F31129">
            <w:pPr>
              <w:pStyle w:val="TableText"/>
              <w:rPr>
                <w:rFonts w:cs="Calibri"/>
                <w:szCs w:val="18"/>
              </w:rPr>
            </w:pPr>
            <w:r w:rsidRPr="00BD16B4">
              <w:rPr>
                <w:rFonts w:cs="Calibri"/>
                <w:szCs w:val="18"/>
              </w:rPr>
              <w:t>Gross (excluding LULUCF)</w:t>
            </w:r>
          </w:p>
        </w:tc>
        <w:tc>
          <w:tcPr>
            <w:tcW w:w="1276" w:type="dxa"/>
            <w:shd w:val="clear" w:color="auto" w:fill="auto"/>
          </w:tcPr>
          <w:p w14:paraId="6B2BD516" w14:textId="77777777" w:rsidR="00711C35" w:rsidRPr="00BD16B4" w:rsidRDefault="00711C35" w:rsidP="00F31129">
            <w:pPr>
              <w:pStyle w:val="TableText"/>
              <w:jc w:val="right"/>
              <w:rPr>
                <w:rFonts w:cs="Calibri"/>
                <w:szCs w:val="18"/>
              </w:rPr>
            </w:pPr>
            <w:r w:rsidRPr="00BD16B4">
              <w:rPr>
                <w:rFonts w:cs="Calibri"/>
                <w:szCs w:val="18"/>
              </w:rPr>
              <w:t>65,197.0</w:t>
            </w:r>
          </w:p>
        </w:tc>
        <w:tc>
          <w:tcPr>
            <w:tcW w:w="1276" w:type="dxa"/>
            <w:shd w:val="clear" w:color="auto" w:fill="auto"/>
            <w:vAlign w:val="bottom"/>
          </w:tcPr>
          <w:p w14:paraId="0B9A8ABB" w14:textId="77777777" w:rsidR="00711C35" w:rsidRPr="00BD16B4" w:rsidRDefault="00711C35" w:rsidP="00F31129">
            <w:pPr>
              <w:pStyle w:val="TableText"/>
              <w:jc w:val="right"/>
              <w:rPr>
                <w:rFonts w:cs="Calibri"/>
                <w:szCs w:val="18"/>
              </w:rPr>
            </w:pPr>
            <w:r w:rsidRPr="00BD16B4">
              <w:rPr>
                <w:rFonts w:cs="Calibri"/>
                <w:szCs w:val="18"/>
              </w:rPr>
              <w:t>78,778.4</w:t>
            </w:r>
          </w:p>
        </w:tc>
        <w:tc>
          <w:tcPr>
            <w:tcW w:w="1701" w:type="dxa"/>
            <w:shd w:val="clear" w:color="auto" w:fill="auto"/>
            <w:vAlign w:val="bottom"/>
          </w:tcPr>
          <w:p w14:paraId="42C8E467" w14:textId="77777777" w:rsidR="00711C35" w:rsidRPr="00BD16B4" w:rsidRDefault="00711C35" w:rsidP="00F31129">
            <w:pPr>
              <w:pStyle w:val="TableText"/>
              <w:jc w:val="right"/>
              <w:rPr>
                <w:rFonts w:cs="Calibri"/>
                <w:szCs w:val="18"/>
              </w:rPr>
            </w:pPr>
            <w:r w:rsidRPr="00BD16B4">
              <w:rPr>
                <w:rFonts w:cs="Calibri"/>
                <w:szCs w:val="18"/>
              </w:rPr>
              <w:t>13,581.4</w:t>
            </w:r>
          </w:p>
        </w:tc>
        <w:tc>
          <w:tcPr>
            <w:tcW w:w="1276" w:type="dxa"/>
            <w:shd w:val="clear" w:color="auto" w:fill="auto"/>
            <w:vAlign w:val="bottom"/>
          </w:tcPr>
          <w:p w14:paraId="2FEF0D4C" w14:textId="77777777" w:rsidR="00711C35" w:rsidRPr="00BD16B4" w:rsidRDefault="00711C35" w:rsidP="00F31129">
            <w:pPr>
              <w:pStyle w:val="TableText"/>
              <w:jc w:val="right"/>
              <w:rPr>
                <w:rFonts w:cs="Calibri"/>
                <w:szCs w:val="18"/>
              </w:rPr>
            </w:pPr>
            <w:r w:rsidRPr="00BD16B4">
              <w:rPr>
                <w:rFonts w:cs="Calibri"/>
                <w:szCs w:val="18"/>
              </w:rPr>
              <w:t>20.8</w:t>
            </w:r>
          </w:p>
        </w:tc>
      </w:tr>
      <w:tr w:rsidR="00711C35" w:rsidRPr="00BD16B4" w14:paraId="4A2BBFF7" w14:textId="77777777" w:rsidTr="00F31129">
        <w:tc>
          <w:tcPr>
            <w:tcW w:w="3028" w:type="dxa"/>
            <w:shd w:val="clear" w:color="auto" w:fill="auto"/>
          </w:tcPr>
          <w:p w14:paraId="5ED424FB" w14:textId="77777777" w:rsidR="00711C35" w:rsidRPr="00BD16B4" w:rsidRDefault="00711C35" w:rsidP="00F31129">
            <w:pPr>
              <w:pStyle w:val="TableText"/>
              <w:rPr>
                <w:rFonts w:cs="Calibri"/>
                <w:szCs w:val="18"/>
              </w:rPr>
            </w:pPr>
            <w:r w:rsidRPr="00BD16B4">
              <w:rPr>
                <w:rFonts w:cs="Calibri"/>
                <w:szCs w:val="18"/>
              </w:rPr>
              <w:t>LULUCF</w:t>
            </w:r>
          </w:p>
        </w:tc>
        <w:tc>
          <w:tcPr>
            <w:tcW w:w="1276" w:type="dxa"/>
            <w:shd w:val="clear" w:color="auto" w:fill="auto"/>
          </w:tcPr>
          <w:p w14:paraId="0B9BA2B4" w14:textId="77777777" w:rsidR="00711C35" w:rsidRPr="00BD16B4" w:rsidRDefault="00711C35" w:rsidP="00F31129">
            <w:pPr>
              <w:pStyle w:val="TableText"/>
              <w:jc w:val="right"/>
              <w:rPr>
                <w:rFonts w:cs="Calibri"/>
                <w:szCs w:val="18"/>
              </w:rPr>
            </w:pPr>
            <w:r w:rsidRPr="00BD16B4">
              <w:rPr>
                <w:rFonts w:cs="Calibri"/>
                <w:szCs w:val="18"/>
              </w:rPr>
              <w:t>–21,229.2</w:t>
            </w:r>
          </w:p>
        </w:tc>
        <w:tc>
          <w:tcPr>
            <w:tcW w:w="1276" w:type="dxa"/>
            <w:shd w:val="clear" w:color="auto" w:fill="auto"/>
            <w:vAlign w:val="bottom"/>
          </w:tcPr>
          <w:p w14:paraId="6CBD9972" w14:textId="77777777" w:rsidR="00711C35" w:rsidRPr="00BD16B4" w:rsidRDefault="00711C35" w:rsidP="00F31129">
            <w:pPr>
              <w:pStyle w:val="TableText"/>
              <w:jc w:val="right"/>
              <w:rPr>
                <w:rFonts w:cs="Calibri"/>
                <w:szCs w:val="18"/>
              </w:rPr>
            </w:pPr>
            <w:r w:rsidRPr="00BD16B4">
              <w:rPr>
                <w:rFonts w:cs="Calibri"/>
                <w:szCs w:val="18"/>
              </w:rPr>
              <w:t>–23,313.3</w:t>
            </w:r>
          </w:p>
        </w:tc>
        <w:tc>
          <w:tcPr>
            <w:tcW w:w="1701" w:type="dxa"/>
            <w:shd w:val="clear" w:color="auto" w:fill="auto"/>
            <w:vAlign w:val="bottom"/>
          </w:tcPr>
          <w:p w14:paraId="40B4A43F" w14:textId="77777777" w:rsidR="00711C35" w:rsidRPr="00BD16B4" w:rsidRDefault="00711C35" w:rsidP="00F31129">
            <w:pPr>
              <w:pStyle w:val="TableText"/>
              <w:jc w:val="right"/>
              <w:rPr>
                <w:rFonts w:cs="Calibri"/>
                <w:szCs w:val="18"/>
              </w:rPr>
            </w:pPr>
            <w:r w:rsidRPr="00BD16B4">
              <w:rPr>
                <w:rFonts w:cs="Calibri"/>
                <w:szCs w:val="18"/>
              </w:rPr>
              <w:t>–2,084.0</w:t>
            </w:r>
          </w:p>
        </w:tc>
        <w:tc>
          <w:tcPr>
            <w:tcW w:w="1276" w:type="dxa"/>
            <w:shd w:val="clear" w:color="auto" w:fill="auto"/>
            <w:vAlign w:val="bottom"/>
          </w:tcPr>
          <w:p w14:paraId="6D0DEC36" w14:textId="77777777" w:rsidR="00711C35" w:rsidRPr="00BD16B4" w:rsidRDefault="00711C35" w:rsidP="00F31129">
            <w:pPr>
              <w:pStyle w:val="TableText"/>
              <w:jc w:val="right"/>
              <w:rPr>
                <w:rFonts w:cs="Calibri"/>
                <w:szCs w:val="18"/>
              </w:rPr>
            </w:pPr>
            <w:r w:rsidRPr="00BD16B4">
              <w:rPr>
                <w:rFonts w:cs="Calibri"/>
                <w:szCs w:val="18"/>
              </w:rPr>
              <w:t>–9.8</w:t>
            </w:r>
          </w:p>
        </w:tc>
      </w:tr>
      <w:tr w:rsidR="00711C35" w:rsidRPr="00BD16B4" w14:paraId="12A0F4A3" w14:textId="77777777" w:rsidTr="00F31129">
        <w:tc>
          <w:tcPr>
            <w:tcW w:w="3028" w:type="dxa"/>
            <w:shd w:val="clear" w:color="auto" w:fill="auto"/>
          </w:tcPr>
          <w:p w14:paraId="0B703363" w14:textId="77777777" w:rsidR="00711C35" w:rsidRPr="00BD16B4" w:rsidRDefault="00711C35" w:rsidP="00F31129">
            <w:pPr>
              <w:pStyle w:val="TableText"/>
              <w:rPr>
                <w:rFonts w:cs="Calibri"/>
                <w:szCs w:val="18"/>
              </w:rPr>
            </w:pPr>
            <w:r w:rsidRPr="00BD16B4">
              <w:rPr>
                <w:rFonts w:cs="Calibri"/>
                <w:szCs w:val="18"/>
              </w:rPr>
              <w:t>Net (including LULUCF)</w:t>
            </w:r>
          </w:p>
        </w:tc>
        <w:tc>
          <w:tcPr>
            <w:tcW w:w="1276" w:type="dxa"/>
            <w:shd w:val="clear" w:color="auto" w:fill="auto"/>
            <w:vAlign w:val="center"/>
          </w:tcPr>
          <w:p w14:paraId="6A700978" w14:textId="77777777" w:rsidR="00711C35" w:rsidRPr="00BD16B4" w:rsidRDefault="00711C35" w:rsidP="00F31129">
            <w:pPr>
              <w:pStyle w:val="TableText"/>
              <w:jc w:val="right"/>
              <w:rPr>
                <w:rFonts w:cs="Calibri"/>
                <w:szCs w:val="18"/>
              </w:rPr>
            </w:pPr>
            <w:r w:rsidRPr="00BD16B4">
              <w:rPr>
                <w:rFonts w:cs="Calibri"/>
                <w:szCs w:val="18"/>
              </w:rPr>
              <w:t>43,967.8</w:t>
            </w:r>
          </w:p>
        </w:tc>
        <w:tc>
          <w:tcPr>
            <w:tcW w:w="1276" w:type="dxa"/>
            <w:shd w:val="clear" w:color="auto" w:fill="auto"/>
            <w:vAlign w:val="center"/>
          </w:tcPr>
          <w:p w14:paraId="67283CBF" w14:textId="77777777" w:rsidR="00711C35" w:rsidRPr="00BD16B4" w:rsidRDefault="00711C35" w:rsidP="00F31129">
            <w:pPr>
              <w:pStyle w:val="TableText"/>
              <w:jc w:val="right"/>
              <w:rPr>
                <w:rFonts w:cs="Calibri"/>
                <w:szCs w:val="18"/>
              </w:rPr>
            </w:pPr>
            <w:r w:rsidRPr="00BD16B4">
              <w:rPr>
                <w:rFonts w:cs="Calibri"/>
                <w:szCs w:val="18"/>
              </w:rPr>
              <w:t>55,465.1</w:t>
            </w:r>
          </w:p>
        </w:tc>
        <w:tc>
          <w:tcPr>
            <w:tcW w:w="1701" w:type="dxa"/>
            <w:shd w:val="clear" w:color="auto" w:fill="auto"/>
            <w:vAlign w:val="center"/>
          </w:tcPr>
          <w:p w14:paraId="0DAF6AC5" w14:textId="77777777" w:rsidR="00711C35" w:rsidRPr="00BD16B4" w:rsidRDefault="00711C35" w:rsidP="00F31129">
            <w:pPr>
              <w:pStyle w:val="TableText"/>
              <w:jc w:val="right"/>
              <w:rPr>
                <w:rFonts w:cs="Calibri"/>
                <w:szCs w:val="18"/>
              </w:rPr>
            </w:pPr>
            <w:r w:rsidRPr="00BD16B4">
              <w:rPr>
                <w:rFonts w:cs="Calibri"/>
                <w:szCs w:val="18"/>
              </w:rPr>
              <w:t>11,497.3</w:t>
            </w:r>
          </w:p>
        </w:tc>
        <w:tc>
          <w:tcPr>
            <w:tcW w:w="1276" w:type="dxa"/>
            <w:shd w:val="clear" w:color="auto" w:fill="auto"/>
            <w:vAlign w:val="center"/>
          </w:tcPr>
          <w:p w14:paraId="1D9FB2F4" w14:textId="77777777" w:rsidR="00711C35" w:rsidRPr="00BD16B4" w:rsidRDefault="00711C35" w:rsidP="00F31129">
            <w:pPr>
              <w:pStyle w:val="TableText"/>
              <w:jc w:val="right"/>
              <w:rPr>
                <w:rFonts w:cs="Calibri"/>
                <w:szCs w:val="18"/>
              </w:rPr>
            </w:pPr>
            <w:r w:rsidRPr="00BD16B4">
              <w:rPr>
                <w:rFonts w:cs="Calibri"/>
                <w:szCs w:val="18"/>
              </w:rPr>
              <w:t>26.1</w:t>
            </w:r>
          </w:p>
        </w:tc>
      </w:tr>
    </w:tbl>
    <w:p w14:paraId="43D5DB52" w14:textId="77777777" w:rsidR="00711C35" w:rsidRPr="00BD16B4" w:rsidRDefault="00711C35" w:rsidP="00120409">
      <w:pPr>
        <w:pStyle w:val="Note"/>
      </w:pPr>
      <w:r w:rsidRPr="00BD16B4">
        <w:rPr>
          <w:b/>
        </w:rPr>
        <w:t>Note:</w:t>
      </w:r>
      <w:r w:rsidRPr="00BD16B4">
        <w:t xml:space="preserve"> kt CO</w:t>
      </w:r>
      <w:r w:rsidRPr="00BD16B4">
        <w:rPr>
          <w:vertAlign w:val="subscript"/>
        </w:rPr>
        <w:t>2</w:t>
      </w:r>
      <w:r w:rsidRPr="00BD16B4">
        <w:t>-equivalent = kilotonnes of carbon dioxide equivalent; LULUCF = land use, land-use change and forestry. Net emissions from the LULUCF sector are reported as a negative number because the sector removes more CO</w:t>
      </w:r>
      <w:r w:rsidRPr="00BD16B4">
        <w:rPr>
          <w:vertAlign w:val="subscript"/>
        </w:rPr>
        <w:t>2</w:t>
      </w:r>
      <w:r w:rsidRPr="00BD16B4">
        <w:t xml:space="preserve"> from the atmosphere than it emits (see chapter 6 of the 2022 Inventory). Columns may not total due to rounding. </w:t>
      </w:r>
      <w:r w:rsidRPr="00BD16B4">
        <w:rPr>
          <w:spacing w:val="-2"/>
        </w:rPr>
        <w:t>Percentages presented are calculated from unrounded values. For Tokelau contributions by sector, see section 3.2.8.</w:t>
      </w:r>
    </w:p>
    <w:p w14:paraId="7E4BA4EA" w14:textId="77777777" w:rsidR="00711C35" w:rsidRPr="00BD16B4" w:rsidRDefault="00711C35" w:rsidP="006E5F97">
      <w:pPr>
        <w:pStyle w:val="Source"/>
      </w:pPr>
      <w:r w:rsidRPr="00BD16B4">
        <w:rPr>
          <w:bCs/>
        </w:rPr>
        <w:t>Source:</w:t>
      </w:r>
      <w:r w:rsidRPr="00BD16B4">
        <w:rPr>
          <w:rFonts w:ascii="Times New Roman" w:hAnsi="Times New Roman"/>
          <w:b/>
        </w:rPr>
        <w:t xml:space="preserve"> </w:t>
      </w:r>
      <w:r w:rsidRPr="00BD16B4">
        <w:t xml:space="preserve">Ministry for the Environment. 2022. </w:t>
      </w:r>
      <w:r w:rsidRPr="00BD16B4">
        <w:rPr>
          <w:i/>
        </w:rPr>
        <w:t>New Zealand’s Greenhouse Gas Inventory 1990–2020.</w:t>
      </w:r>
      <w:r w:rsidRPr="00BD16B4">
        <w:t xml:space="preserve"> Wellington: Ministry for the Environment.</w:t>
      </w:r>
    </w:p>
    <w:p w14:paraId="370293D4" w14:textId="346BA2CA" w:rsidR="00711C35" w:rsidRPr="00BD16B4" w:rsidRDefault="00711C35" w:rsidP="00EC76A2">
      <w:pPr>
        <w:pStyle w:val="Figureheading"/>
      </w:pPr>
      <w:bookmarkStart w:id="129" w:name="_Toc444693966"/>
      <w:bookmarkStart w:id="130" w:name="_Toc447275651"/>
      <w:bookmarkStart w:id="131" w:name="_Toc481751968"/>
      <w:bookmarkStart w:id="132" w:name="_Toc498517311"/>
      <w:bookmarkStart w:id="133" w:name="_Toc500767110"/>
      <w:bookmarkStart w:id="134" w:name="_Toc121494382"/>
      <w:r w:rsidRPr="00BD16B4">
        <w:t>Figure 3.</w:t>
      </w:r>
      <w:r w:rsidRPr="00BD16B4">
        <w:fldChar w:fldCharType="begin"/>
      </w:r>
      <w:r w:rsidRPr="00BD16B4">
        <w:instrText>SEQ Figure_3. \* ARABIC</w:instrText>
      </w:r>
      <w:r w:rsidRPr="00BD16B4">
        <w:fldChar w:fldCharType="separate"/>
      </w:r>
      <w:r w:rsidR="00A60C35">
        <w:rPr>
          <w:noProof/>
        </w:rPr>
        <w:t>2</w:t>
      </w:r>
      <w:r w:rsidRPr="00BD16B4">
        <w:fldChar w:fldCharType="end"/>
      </w:r>
      <w:r w:rsidRPr="00BD16B4">
        <w:t>:</w:t>
      </w:r>
      <w:r w:rsidRPr="00BD16B4">
        <w:tab/>
        <w:t>Change in New Zealand’s emissions by sector, 1990 and 20</w:t>
      </w:r>
      <w:bookmarkEnd w:id="129"/>
      <w:bookmarkEnd w:id="130"/>
      <w:bookmarkEnd w:id="131"/>
      <w:bookmarkEnd w:id="132"/>
      <w:bookmarkEnd w:id="133"/>
      <w:r w:rsidRPr="00BD16B4">
        <w:t>20</w:t>
      </w:r>
      <w:bookmarkEnd w:id="134"/>
    </w:p>
    <w:p w14:paraId="78EDF85D" w14:textId="77777777" w:rsidR="00711C35" w:rsidRPr="00BD16B4" w:rsidRDefault="00711C35" w:rsidP="00711C35">
      <w:pPr>
        <w:pStyle w:val="BodyText"/>
      </w:pPr>
      <w:r w:rsidRPr="00BD16B4">
        <w:rPr>
          <w:noProof/>
        </w:rPr>
        <w:drawing>
          <wp:inline distT="0" distB="0" distL="0" distR="0" wp14:anchorId="6C992A55" wp14:editId="4AF9DEB6">
            <wp:extent cx="5318150" cy="3957968"/>
            <wp:effectExtent l="0" t="0" r="0" b="0"/>
            <wp:docPr id="8" name="Picture 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7">
                      <a:extLst>
                        <a:ext uri="{28A0092B-C50C-407E-A947-70E740481C1C}">
                          <a14:useLocalDpi xmlns:a14="http://schemas.microsoft.com/office/drawing/2010/main" val="0"/>
                        </a:ext>
                      </a:extLst>
                    </a:blip>
                    <a:srcRect b="1505"/>
                    <a:stretch>
                      <a:fillRect/>
                    </a:stretch>
                  </pic:blipFill>
                  <pic:spPr>
                    <a:xfrm>
                      <a:off x="0" y="0"/>
                      <a:ext cx="5318150" cy="3957968"/>
                    </a:xfrm>
                    <a:prstGeom prst="rect">
                      <a:avLst/>
                    </a:prstGeom>
                  </pic:spPr>
                </pic:pic>
              </a:graphicData>
            </a:graphic>
          </wp:inline>
        </w:drawing>
      </w:r>
    </w:p>
    <w:p w14:paraId="5C5E0B82" w14:textId="77777777" w:rsidR="00711C35" w:rsidRPr="00BD16B4" w:rsidRDefault="00711C35" w:rsidP="0080785D">
      <w:pPr>
        <w:pStyle w:val="Note"/>
        <w:spacing w:before="80"/>
      </w:pPr>
      <w:r w:rsidRPr="00BD16B4">
        <w:rPr>
          <w:b/>
        </w:rPr>
        <w:t>Note:</w:t>
      </w:r>
      <w:r w:rsidRPr="00BD16B4">
        <w:t xml:space="preserve"> IPPU = industrial processes and product use; kt CO</w:t>
      </w:r>
      <w:r w:rsidRPr="00BD16B4">
        <w:rPr>
          <w:vertAlign w:val="subscript"/>
        </w:rPr>
        <w:t>2</w:t>
      </w:r>
      <w:r w:rsidRPr="00BD16B4">
        <w:t xml:space="preserve">-equivalent = kilotonnes of carbon dioxide equivalent; LULUCF = land use, land-use change and forestry. Tokelau is not visible due to its very low greenhouse gas emissions. </w:t>
      </w:r>
    </w:p>
    <w:p w14:paraId="1EEC60A8" w14:textId="77777777" w:rsidR="00711C35" w:rsidRPr="00BD16B4" w:rsidRDefault="00711C35" w:rsidP="0080785D">
      <w:pPr>
        <w:pStyle w:val="Source"/>
      </w:pPr>
      <w:r w:rsidRPr="00BD16B4">
        <w:rPr>
          <w:bCs/>
        </w:rPr>
        <w:t>Source:</w:t>
      </w:r>
      <w:r w:rsidRPr="00BD16B4">
        <w:rPr>
          <w:rFonts w:ascii="Times New Roman" w:hAnsi="Times New Roman"/>
          <w:b/>
        </w:rPr>
        <w:t xml:space="preserve"> </w:t>
      </w:r>
      <w:r w:rsidRPr="00BD16B4">
        <w:t xml:space="preserve">Ministry for the Environment. 2022. </w:t>
      </w:r>
      <w:r w:rsidRPr="00BD16B4">
        <w:rPr>
          <w:i/>
        </w:rPr>
        <w:t>New Zealand’s Greenhouse Gas Inventory 1990–2020.</w:t>
      </w:r>
      <w:r w:rsidRPr="00BD16B4">
        <w:t xml:space="preserve"> Wellington: Ministry for the Environment.</w:t>
      </w:r>
    </w:p>
    <w:p w14:paraId="6D44CC1E" w14:textId="34FA05A5" w:rsidR="00711C35" w:rsidRPr="00BD16B4" w:rsidRDefault="00711C35" w:rsidP="00EC76A2">
      <w:pPr>
        <w:pStyle w:val="Figureheading"/>
      </w:pPr>
      <w:bookmarkStart w:id="135" w:name="_Toc500767111"/>
      <w:bookmarkStart w:id="136" w:name="_Toc121494383"/>
      <w:r w:rsidRPr="00BD16B4">
        <w:lastRenderedPageBreak/>
        <w:t>Figure 3.</w:t>
      </w:r>
      <w:r w:rsidRPr="00BD16B4">
        <w:fldChar w:fldCharType="begin"/>
      </w:r>
      <w:r w:rsidRPr="00BD16B4">
        <w:instrText>SEQ Figure_3. \* ARABIC</w:instrText>
      </w:r>
      <w:r w:rsidRPr="00BD16B4">
        <w:fldChar w:fldCharType="separate"/>
      </w:r>
      <w:r w:rsidR="00A60C35">
        <w:rPr>
          <w:noProof/>
        </w:rPr>
        <w:t>3</w:t>
      </w:r>
      <w:r w:rsidRPr="00BD16B4">
        <w:fldChar w:fldCharType="end"/>
      </w:r>
      <w:r w:rsidRPr="00BD16B4">
        <w:t>:</w:t>
      </w:r>
      <w:r w:rsidRPr="00BD16B4">
        <w:tab/>
        <w:t>New Zealand’s gross and net emissions (under the UNFCCC), 1990–20</w:t>
      </w:r>
      <w:bookmarkEnd w:id="135"/>
      <w:r w:rsidRPr="00BD16B4">
        <w:t>20</w:t>
      </w:r>
      <w:bookmarkEnd w:id="136"/>
    </w:p>
    <w:p w14:paraId="035798DB" w14:textId="77777777" w:rsidR="00711C35" w:rsidRPr="00BD16B4" w:rsidRDefault="00711C35" w:rsidP="00CF6A4E">
      <w:pPr>
        <w:pStyle w:val="BodyText"/>
        <w:spacing w:after="60"/>
        <w:jc w:val="center"/>
      </w:pPr>
      <w:r w:rsidRPr="00BD16B4">
        <w:rPr>
          <w:noProof/>
        </w:rPr>
        <w:drawing>
          <wp:inline distT="0" distB="0" distL="0" distR="0" wp14:anchorId="6EE1D23E" wp14:editId="6E53345C">
            <wp:extent cx="5128591" cy="3780708"/>
            <wp:effectExtent l="0" t="0" r="0"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8">
                      <a:extLst>
                        <a:ext uri="{28A0092B-C50C-407E-A947-70E740481C1C}">
                          <a14:useLocalDpi xmlns:a14="http://schemas.microsoft.com/office/drawing/2010/main" val="0"/>
                        </a:ext>
                      </a:extLst>
                    </a:blip>
                    <a:srcRect b="1601"/>
                    <a:stretch>
                      <a:fillRect/>
                    </a:stretch>
                  </pic:blipFill>
                  <pic:spPr>
                    <a:xfrm>
                      <a:off x="0" y="0"/>
                      <a:ext cx="5128591" cy="3780708"/>
                    </a:xfrm>
                    <a:prstGeom prst="rect">
                      <a:avLst/>
                    </a:prstGeom>
                  </pic:spPr>
                </pic:pic>
              </a:graphicData>
            </a:graphic>
          </wp:inline>
        </w:drawing>
      </w:r>
    </w:p>
    <w:p w14:paraId="528FCA12" w14:textId="77777777" w:rsidR="00711C35" w:rsidRPr="00BD16B4" w:rsidRDefault="00711C35" w:rsidP="0080785D">
      <w:pPr>
        <w:pStyle w:val="Note"/>
        <w:spacing w:before="80"/>
      </w:pPr>
      <w:r w:rsidRPr="00BD16B4">
        <w:rPr>
          <w:b/>
        </w:rPr>
        <w:t>Note:</w:t>
      </w:r>
      <w:r w:rsidRPr="00BD16B4">
        <w:t xml:space="preserve"> kt CO</w:t>
      </w:r>
      <w:r w:rsidRPr="00BD16B4">
        <w:rPr>
          <w:vertAlign w:val="subscript"/>
        </w:rPr>
        <w:t>2</w:t>
      </w:r>
      <w:r w:rsidRPr="00BD16B4">
        <w:t>-equivalent = kilotonnes of carbon dioxide equivalent; LULUCF = land use, land-use change and forestry; UNFCCC = United Nations Framework Convention on Climate Change.</w:t>
      </w:r>
    </w:p>
    <w:p w14:paraId="7147FD70" w14:textId="77777777" w:rsidR="00711C35" w:rsidRPr="00BD16B4" w:rsidRDefault="00711C35" w:rsidP="00E05EAA">
      <w:pPr>
        <w:pStyle w:val="Source"/>
      </w:pPr>
      <w:r w:rsidRPr="00BD16B4">
        <w:rPr>
          <w:bCs/>
        </w:rPr>
        <w:t>Source:</w:t>
      </w:r>
      <w:r w:rsidRPr="00BD16B4">
        <w:rPr>
          <w:b/>
        </w:rPr>
        <w:t xml:space="preserve"> </w:t>
      </w:r>
      <w:r w:rsidRPr="00BD16B4">
        <w:t xml:space="preserve">Ministry for the Environment. 2022. </w:t>
      </w:r>
      <w:r w:rsidRPr="00BD16B4">
        <w:rPr>
          <w:i/>
        </w:rPr>
        <w:t xml:space="preserve">New Zealand’s Greenhouse Gas Inventory 1990–2020. </w:t>
      </w:r>
      <w:r w:rsidRPr="00BD16B4">
        <w:t>Wellington: Ministry for the Environment</w:t>
      </w:r>
      <w:r w:rsidRPr="00BD16B4">
        <w:rPr>
          <w:sz w:val="20"/>
        </w:rPr>
        <w:t>.</w:t>
      </w:r>
    </w:p>
    <w:p w14:paraId="71D296EA" w14:textId="3E02F5D5" w:rsidR="00711C35" w:rsidRPr="00BD16B4" w:rsidRDefault="00711C35" w:rsidP="00EC76A2">
      <w:pPr>
        <w:pStyle w:val="Figureheading"/>
      </w:pPr>
      <w:bookmarkStart w:id="137" w:name="_Toc498517313"/>
      <w:bookmarkStart w:id="138" w:name="_Toc500767112"/>
      <w:bookmarkStart w:id="139" w:name="_Toc121494384"/>
      <w:r w:rsidRPr="00BD16B4">
        <w:lastRenderedPageBreak/>
        <w:t>Figure 3.</w:t>
      </w:r>
      <w:r w:rsidRPr="00BD16B4">
        <w:fldChar w:fldCharType="begin"/>
      </w:r>
      <w:r w:rsidRPr="00BD16B4">
        <w:instrText>SEQ Figure_3. \* ARABIC</w:instrText>
      </w:r>
      <w:r w:rsidRPr="00BD16B4">
        <w:fldChar w:fldCharType="separate"/>
      </w:r>
      <w:r w:rsidR="00A60C35">
        <w:rPr>
          <w:noProof/>
        </w:rPr>
        <w:t>4</w:t>
      </w:r>
      <w:r w:rsidRPr="00BD16B4">
        <w:fldChar w:fldCharType="end"/>
      </w:r>
      <w:r w:rsidRPr="00BD16B4">
        <w:t>:</w:t>
      </w:r>
      <w:r w:rsidRPr="00BD16B4">
        <w:tab/>
        <w:t>Trends in New Zealand’s greenhouse gas emissions by sector, 1990–20</w:t>
      </w:r>
      <w:bookmarkEnd w:id="137"/>
      <w:bookmarkEnd w:id="138"/>
      <w:r w:rsidRPr="00BD16B4">
        <w:t>20</w:t>
      </w:r>
      <w:bookmarkEnd w:id="139"/>
    </w:p>
    <w:p w14:paraId="36F47822" w14:textId="77777777" w:rsidR="00711C35" w:rsidRPr="00BD16B4" w:rsidRDefault="00711C35" w:rsidP="00711C35">
      <w:pPr>
        <w:pStyle w:val="BodyText"/>
      </w:pPr>
      <w:r w:rsidRPr="00BD16B4">
        <w:rPr>
          <w:noProof/>
        </w:rPr>
        <w:drawing>
          <wp:inline distT="0" distB="0" distL="0" distR="0" wp14:anchorId="3425B175" wp14:editId="090C8FCE">
            <wp:extent cx="5340096" cy="3974301"/>
            <wp:effectExtent l="0" t="0" r="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9">
                      <a:extLst>
                        <a:ext uri="{28A0092B-C50C-407E-A947-70E740481C1C}">
                          <a14:useLocalDpi xmlns:a14="http://schemas.microsoft.com/office/drawing/2010/main" val="0"/>
                        </a:ext>
                      </a:extLst>
                    </a:blip>
                    <a:srcRect t="2" b="1865"/>
                    <a:stretch>
                      <a:fillRect/>
                    </a:stretch>
                  </pic:blipFill>
                  <pic:spPr>
                    <a:xfrm>
                      <a:off x="0" y="0"/>
                      <a:ext cx="5340096" cy="3974301"/>
                    </a:xfrm>
                    <a:prstGeom prst="rect">
                      <a:avLst/>
                    </a:prstGeom>
                  </pic:spPr>
                </pic:pic>
              </a:graphicData>
            </a:graphic>
          </wp:inline>
        </w:drawing>
      </w:r>
    </w:p>
    <w:p w14:paraId="5BB18432" w14:textId="77777777" w:rsidR="00711C35" w:rsidRPr="00BD16B4" w:rsidRDefault="00711C35" w:rsidP="0080785D">
      <w:pPr>
        <w:pStyle w:val="Note"/>
        <w:spacing w:before="80"/>
        <w:rPr>
          <w:b/>
        </w:rPr>
      </w:pPr>
      <w:r w:rsidRPr="00BD16B4">
        <w:rPr>
          <w:b/>
        </w:rPr>
        <w:t>Note:</w:t>
      </w:r>
      <w:r w:rsidRPr="00BD16B4">
        <w:t xml:space="preserve"> IPPU = industrial processes and product use; kt CO</w:t>
      </w:r>
      <w:r w:rsidRPr="00BD16B4">
        <w:rPr>
          <w:vertAlign w:val="subscript"/>
        </w:rPr>
        <w:t>2</w:t>
      </w:r>
      <w:r w:rsidRPr="00BD16B4">
        <w:t xml:space="preserve">-equivalent = kilotonnes of carbon dioxide equivalent; LULUCF = land use, land-use change and forestry. Net removals from the LULUCF sector are reported under the UNFCCC guidelines (see chapter 6 of 2022 Inventory). </w:t>
      </w:r>
    </w:p>
    <w:p w14:paraId="442955D2" w14:textId="77777777" w:rsidR="00711C35" w:rsidRPr="00BD16B4" w:rsidRDefault="00711C35" w:rsidP="00E05EAA">
      <w:pPr>
        <w:pStyle w:val="Source"/>
      </w:pPr>
      <w:r w:rsidRPr="00BD16B4">
        <w:rPr>
          <w:bCs/>
        </w:rPr>
        <w:t>Source:</w:t>
      </w:r>
      <w:r w:rsidRPr="00BD16B4">
        <w:rPr>
          <w:b/>
        </w:rPr>
        <w:t xml:space="preserve"> </w:t>
      </w:r>
      <w:r w:rsidRPr="00BD16B4">
        <w:t xml:space="preserve">Ministry for the Environment. 2022. </w:t>
      </w:r>
      <w:r w:rsidRPr="00BD16B4">
        <w:rPr>
          <w:i/>
        </w:rPr>
        <w:t xml:space="preserve">New Zealand’s Greenhouse Gas Inventory 1990–2020. </w:t>
      </w:r>
      <w:r w:rsidRPr="00BD16B4">
        <w:t>Wellington: Ministry for the Environment</w:t>
      </w:r>
      <w:r w:rsidRPr="00BD16B4">
        <w:rPr>
          <w:sz w:val="20"/>
        </w:rPr>
        <w:t>.</w:t>
      </w:r>
    </w:p>
    <w:p w14:paraId="00CE2319" w14:textId="77777777" w:rsidR="00711C35" w:rsidRPr="00BD16B4" w:rsidRDefault="00711C35" w:rsidP="00711C35">
      <w:pPr>
        <w:pStyle w:val="Heading3"/>
        <w:spacing w:before="280"/>
      </w:pPr>
      <w:r w:rsidRPr="00BD16B4">
        <w:t>3.2.3</w:t>
      </w:r>
      <w:r w:rsidRPr="00BD16B4">
        <w:tab/>
        <w:t>Changes in net emissions between 1990 and 2020</w:t>
      </w:r>
      <w:r w:rsidRPr="00BD16B4">
        <w:rPr>
          <w:sz w:val="22"/>
        </w:rPr>
        <w:t xml:space="preserve"> </w:t>
      </w:r>
    </w:p>
    <w:p w14:paraId="7F252655" w14:textId="7E42D112" w:rsidR="00711C35" w:rsidRPr="00BD16B4" w:rsidRDefault="00711C35" w:rsidP="00711C35">
      <w:pPr>
        <w:pStyle w:val="BodyText"/>
      </w:pPr>
      <w:r w:rsidRPr="00BD16B4">
        <w:t>For reporting purposes, the difference between gross and net emissions is whether or not the</w:t>
      </w:r>
      <w:r w:rsidR="00D754AA" w:rsidRPr="00BD16B4">
        <w:t> </w:t>
      </w:r>
      <w:r w:rsidRPr="00BD16B4">
        <w:t xml:space="preserve">LULUCF sector is included. Gross emissions exclude the LULUCF sector, while net emissions </w:t>
      </w:r>
      <w:r w:rsidRPr="00BD16B4">
        <w:rPr>
          <w:spacing w:val="-2"/>
        </w:rPr>
        <w:t>include the LULUCF sector. As figure 3.3 demonstrates, New Zealand’s net emissions are always</w:t>
      </w:r>
      <w:r w:rsidRPr="00BD16B4">
        <w:t xml:space="preserve"> lower than gross emissions. This is because the LULUCF sector acts as a net carbon sink across the time series. The main reason is that managed forest makes a significant contribution to the</w:t>
      </w:r>
      <w:r w:rsidR="00D754AA" w:rsidRPr="00BD16B4">
        <w:t> </w:t>
      </w:r>
      <w:r w:rsidRPr="00BD16B4">
        <w:t xml:space="preserve">inventory. </w:t>
      </w:r>
    </w:p>
    <w:p w14:paraId="4F3C8A2F" w14:textId="77777777" w:rsidR="00711C35" w:rsidRPr="00BD16B4" w:rsidRDefault="00711C35" w:rsidP="00711C35">
      <w:pPr>
        <w:pStyle w:val="BodyText"/>
      </w:pPr>
      <w:r w:rsidRPr="00BD16B4">
        <w:t>Between 1990 and 2020, our country’s net greenhouse gas emissions increased by 26.1 per cent (table 3.1 and figure 3.3). The categories that contributed the most to the increase in net emissions were land converted to forest land (declining CO</w:t>
      </w:r>
      <w:r w:rsidRPr="00BD16B4">
        <w:rPr>
          <w:vertAlign w:val="subscript"/>
        </w:rPr>
        <w:t>2</w:t>
      </w:r>
      <w:r w:rsidRPr="00BD16B4">
        <w:t xml:space="preserve"> sink), enteric fermentation from </w:t>
      </w:r>
      <w:r w:rsidRPr="00BD16B4">
        <w:rPr>
          <w:spacing w:val="-2"/>
        </w:rPr>
        <w:t>dairy cattle (CH</w:t>
      </w:r>
      <w:r w:rsidRPr="00BD16B4">
        <w:rPr>
          <w:spacing w:val="-2"/>
          <w:vertAlign w:val="subscript"/>
        </w:rPr>
        <w:t>4</w:t>
      </w:r>
      <w:r w:rsidRPr="00BD16B4">
        <w:rPr>
          <w:spacing w:val="-2"/>
        </w:rPr>
        <w:t>), road transportation (CO</w:t>
      </w:r>
      <w:r w:rsidRPr="00BD16B4">
        <w:rPr>
          <w:spacing w:val="-2"/>
          <w:vertAlign w:val="subscript"/>
        </w:rPr>
        <w:t>2</w:t>
      </w:r>
      <w:r w:rsidRPr="00BD16B4">
        <w:rPr>
          <w:spacing w:val="-2"/>
        </w:rPr>
        <w:t>) and agricultural soils (N</w:t>
      </w:r>
      <w:r w:rsidRPr="00BD16B4">
        <w:rPr>
          <w:spacing w:val="-2"/>
          <w:vertAlign w:val="subscript"/>
        </w:rPr>
        <w:t>2</w:t>
      </w:r>
      <w:r w:rsidRPr="00BD16B4">
        <w:rPr>
          <w:spacing w:val="-2"/>
        </w:rPr>
        <w:t>O). Despite the considerable</w:t>
      </w:r>
      <w:r w:rsidRPr="00BD16B4">
        <w:t xml:space="preserve"> variability that occurred from year to year over this period, overall the amount of CO</w:t>
      </w:r>
      <w:r w:rsidRPr="00BD16B4">
        <w:rPr>
          <w:vertAlign w:val="subscript"/>
        </w:rPr>
        <w:t>2</w:t>
      </w:r>
      <w:r w:rsidRPr="00BD16B4">
        <w:t xml:space="preserve"> the LULUCF sector has removed from the atmosphere has increased since 1990.</w:t>
      </w:r>
      <w:r w:rsidRPr="00BD16B4">
        <w:rPr>
          <w:rStyle w:val="FootnoteReference"/>
        </w:rPr>
        <w:footnoteReference w:id="125"/>
      </w:r>
      <w:r w:rsidRPr="00BD16B4">
        <w:t xml:space="preserve"> In 2020, net removals in the LULUCF sector increased by 9.8 per cent compared with 1990 levels.</w:t>
      </w:r>
    </w:p>
    <w:p w14:paraId="608E0377" w14:textId="77777777" w:rsidR="00711C35" w:rsidRPr="00BD16B4" w:rsidRDefault="00711C35" w:rsidP="00711C35">
      <w:pPr>
        <w:pStyle w:val="Heading3"/>
      </w:pPr>
      <w:r w:rsidRPr="00BD16B4">
        <w:lastRenderedPageBreak/>
        <w:t>3.2.4</w:t>
      </w:r>
      <w:r w:rsidRPr="00BD16B4">
        <w:tab/>
        <w:t>Energy sector</w:t>
      </w:r>
    </w:p>
    <w:p w14:paraId="4327D6A1" w14:textId="77777777" w:rsidR="00711C35" w:rsidRPr="00BD16B4" w:rsidRDefault="00711C35" w:rsidP="00711C35">
      <w:pPr>
        <w:pStyle w:val="BodyText"/>
      </w:pPr>
      <w:r w:rsidRPr="00BD16B4">
        <w:t>The energy sector produces two types of emissions: combustion emissions and fugitive emissions. Combustion emissions that result from fossil fuel being burned are reported under the following categories:</w:t>
      </w:r>
    </w:p>
    <w:p w14:paraId="6A61B5A1" w14:textId="77777777" w:rsidR="00711C35" w:rsidRPr="00BD16B4" w:rsidRDefault="00711C35" w:rsidP="0011037B">
      <w:pPr>
        <w:pStyle w:val="Bullet"/>
      </w:pPr>
      <w:r w:rsidRPr="00BD16B4">
        <w:t>energy industries, covering public electricity and heat production, petroleum refining, and manufacture of solid fuels and other energy</w:t>
      </w:r>
    </w:p>
    <w:p w14:paraId="4181C4D8" w14:textId="77777777" w:rsidR="00711C35" w:rsidRPr="00BD16B4" w:rsidRDefault="00711C35" w:rsidP="0011037B">
      <w:pPr>
        <w:pStyle w:val="Bullet"/>
      </w:pPr>
      <w:r w:rsidRPr="00BD16B4">
        <w:t>manufacturing industries and construction, covering iron and steel, other non-ferrous metals, chemicals, pulp, paper and print, food processing, beverages and tobacco, non</w:t>
      </w:r>
      <w:r w:rsidRPr="00BD16B4">
        <w:noBreakHyphen/>
        <w:t>metallic minerals and other uses (manufacturing of machinery, mining (excluding fuels) and quarrying, construction, textile and leather)</w:t>
      </w:r>
    </w:p>
    <w:p w14:paraId="2A6966C4" w14:textId="77777777" w:rsidR="00711C35" w:rsidRPr="00BD16B4" w:rsidRDefault="00711C35" w:rsidP="0011037B">
      <w:pPr>
        <w:pStyle w:val="Bullet"/>
      </w:pPr>
      <w:r w:rsidRPr="00BD16B4">
        <w:t>transport, covering domestic transportation such as civil aviation, road transportation, railways, domestic marine transport and pipeline transport</w:t>
      </w:r>
    </w:p>
    <w:p w14:paraId="28982DF1" w14:textId="77777777" w:rsidR="00711C35" w:rsidRPr="00BD16B4" w:rsidRDefault="00711C35" w:rsidP="0011037B">
      <w:pPr>
        <w:pStyle w:val="Bullet"/>
      </w:pPr>
      <w:r w:rsidRPr="00BD16B4">
        <w:t>other sectors, covering commercial/industrial, residential and agriculture/forestry/fishing.</w:t>
      </w:r>
    </w:p>
    <w:p w14:paraId="71274DFD" w14:textId="77777777" w:rsidR="00711C35" w:rsidRPr="00BD16B4" w:rsidRDefault="00711C35" w:rsidP="00711C35">
      <w:pPr>
        <w:pStyle w:val="BodyText"/>
        <w:tabs>
          <w:tab w:val="left" w:pos="1808"/>
        </w:tabs>
      </w:pPr>
      <w:r w:rsidRPr="00BD16B4">
        <w:t>Fugitive emissions resulting from production, processing, transmission, storage and use of fossil fuels and non-productive combustion are reported under the following categories:</w:t>
      </w:r>
    </w:p>
    <w:p w14:paraId="0BE7E224" w14:textId="77777777" w:rsidR="00711C35" w:rsidRPr="00BD16B4" w:rsidRDefault="00711C35" w:rsidP="0011037B">
      <w:pPr>
        <w:pStyle w:val="Bullet"/>
        <w:spacing w:line="280" w:lineRule="exact"/>
      </w:pPr>
      <w:r w:rsidRPr="00BD16B4">
        <w:t xml:space="preserve">solid fuels, covering by-products of coal mining operations </w:t>
      </w:r>
    </w:p>
    <w:p w14:paraId="59DB4309" w14:textId="77777777" w:rsidR="00711C35" w:rsidRPr="00BD16B4" w:rsidRDefault="00711C35" w:rsidP="0011037B">
      <w:pPr>
        <w:pStyle w:val="Bullet"/>
        <w:spacing w:line="280" w:lineRule="exact"/>
      </w:pPr>
      <w:r w:rsidRPr="00BD16B4">
        <w:t xml:space="preserve">oil and natural gas and other emissions from energy production, covering production and processing of natural gases, and geothermal operations. </w:t>
      </w:r>
    </w:p>
    <w:p w14:paraId="4BA7A6CE" w14:textId="77777777" w:rsidR="00711C35" w:rsidRPr="00BD16B4" w:rsidRDefault="00711C35" w:rsidP="00711C35">
      <w:pPr>
        <w:pStyle w:val="BodyText"/>
      </w:pPr>
      <w:r w:rsidRPr="00BD16B4">
        <w:t>In 2020, emissions from the energy sector contributed 31,461.4 kt CO</w:t>
      </w:r>
      <w:r w:rsidRPr="00BD16B4">
        <w:rPr>
          <w:vertAlign w:val="subscript"/>
        </w:rPr>
        <w:t>2</w:t>
      </w:r>
      <w:r w:rsidRPr="00BD16B4">
        <w:t>-e (table 3.1), of which fugitive emissions accounted for 4.3 per cent. Emissions from the energy sector are dominated by CO</w:t>
      </w:r>
      <w:r w:rsidRPr="00BD16B4">
        <w:rPr>
          <w:vertAlign w:val="subscript"/>
        </w:rPr>
        <w:t>2</w:t>
      </w:r>
      <w:r w:rsidRPr="00BD16B4">
        <w:t xml:space="preserve"> at 97.1 per cent, with smaller contributions from CH</w:t>
      </w:r>
      <w:r w:rsidRPr="00BD16B4">
        <w:rPr>
          <w:vertAlign w:val="subscript"/>
        </w:rPr>
        <w:t>4</w:t>
      </w:r>
      <w:r w:rsidRPr="00BD16B4">
        <w:t xml:space="preserve"> (2.2 per cent) and N</w:t>
      </w:r>
      <w:r w:rsidRPr="00BD16B4">
        <w:rPr>
          <w:vertAlign w:val="subscript"/>
        </w:rPr>
        <w:t>2</w:t>
      </w:r>
      <w:r w:rsidRPr="00BD16B4">
        <w:t xml:space="preserve">O (0.7 per cent). The major categories contributing to emissions in the sector are road transportation, contributing 38.2 per cent, and manufacturing industries and construction, contributing 21.2 per cent. </w:t>
      </w:r>
    </w:p>
    <w:p w14:paraId="79B7144F" w14:textId="77777777" w:rsidR="00711C35" w:rsidRPr="00BD16B4" w:rsidRDefault="00711C35" w:rsidP="00711C35">
      <w:pPr>
        <w:pStyle w:val="BodyText"/>
        <w:tabs>
          <w:tab w:val="left" w:pos="1808"/>
        </w:tabs>
      </w:pPr>
      <w:r w:rsidRPr="00BD16B4">
        <w:t xml:space="preserve">Figure 3.5 summarises change in emissions from fuel combustion in the energy sector between 1990 and 2020. Over this period, emissions from the energy sector have increased by 31.8 per cent. This is mainly driven by increases in three categories: road transportation increased by 76.1 per cent; food processing, beverages and tobacco increased by 83.0 per cent; and public energy and heat production increased by 32.3 per cent. </w:t>
      </w:r>
    </w:p>
    <w:p w14:paraId="7F9314FB" w14:textId="77777777" w:rsidR="00711C35" w:rsidRPr="00BD16B4" w:rsidRDefault="00711C35" w:rsidP="00711C35">
      <w:pPr>
        <w:pStyle w:val="BodyText"/>
      </w:pPr>
      <w:r w:rsidRPr="00BD16B4">
        <w:t>Recent global events such as the COVID-19 pandemic restrictions have impacted on the supply of and demand for energy in New Zealand. Between 2019 and 2020, emissions decreased by 7.2 per cent in the energy sector because of supressed activity in road transportation and domestic aviation during periods of restriction. These decreases were partially offset by an increase in emissions from public electricity and heat production. This increase occurred because hydro inflows reduced over the year, with the result that the share of electricity from renewable sources dropped from 83 per cent in 2019 to 81 per cent in 2020.</w:t>
      </w:r>
    </w:p>
    <w:p w14:paraId="4898CBCE" w14:textId="77777777" w:rsidR="00711C35" w:rsidRPr="00BD16B4" w:rsidRDefault="00711C35" w:rsidP="00711C35">
      <w:pPr>
        <w:pStyle w:val="BodyText"/>
      </w:pPr>
      <w:r w:rsidRPr="00BD16B4">
        <w:t xml:space="preserve">Emissions from the energy sector peaked in 2006, after which a flat to decreasing trend has been observed (figure 3.4). The trend reflects a steady growth in energy production from renewable sources, dominated by hydro-electric generation and with smaller contributions from geothermal and wind generation. In 2020, fossil fuel thermal plants supplied only 18.8 per cent of New Zealand’s total electricity supply, which is well below the global average. While renewable sources provide a strong power generation base, renewable hydro-electric generation remains sensitive to rainfall fluctuations in key catchment areas feeding hydro-electric schemes. </w:t>
      </w:r>
    </w:p>
    <w:p w14:paraId="28CF89F6" w14:textId="77777777" w:rsidR="00711C35" w:rsidRPr="00BD16B4" w:rsidRDefault="00711C35" w:rsidP="00EC76A2">
      <w:pPr>
        <w:pStyle w:val="Figureheading"/>
      </w:pPr>
      <w:bookmarkStart w:id="140" w:name="_Toc498517315"/>
      <w:bookmarkStart w:id="141" w:name="_Toc500767114"/>
      <w:bookmarkStart w:id="142" w:name="_Toc121494385"/>
      <w:r w:rsidRPr="00BD16B4">
        <w:lastRenderedPageBreak/>
        <w:t xml:space="preserve">Figure 3.5: </w:t>
      </w:r>
      <w:r w:rsidRPr="00BD16B4">
        <w:tab/>
        <w:t>Change in New Zealand’s emissions from fuel combustion categories, 1990 and 20</w:t>
      </w:r>
      <w:bookmarkEnd w:id="140"/>
      <w:bookmarkEnd w:id="141"/>
      <w:r w:rsidRPr="00BD16B4">
        <w:t>20</w:t>
      </w:r>
      <w:bookmarkEnd w:id="142"/>
    </w:p>
    <w:p w14:paraId="3CEC59F7" w14:textId="77777777" w:rsidR="00711C35" w:rsidRPr="00BD16B4" w:rsidRDefault="00711C35" w:rsidP="00711C35">
      <w:pPr>
        <w:pStyle w:val="BodyText"/>
        <w:spacing w:after="60"/>
      </w:pPr>
      <w:r w:rsidRPr="00BD16B4">
        <w:rPr>
          <w:noProof/>
        </w:rPr>
        <w:drawing>
          <wp:inline distT="0" distB="0" distL="0" distR="0" wp14:anchorId="4A034B04" wp14:editId="7B61A1E1">
            <wp:extent cx="5324249" cy="2450592"/>
            <wp:effectExtent l="0" t="0" r="0" b="0"/>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rotWithShape="1">
                    <a:blip r:embed="rId60" cstate="print">
                      <a:extLst>
                        <a:ext uri="{28A0092B-C50C-407E-A947-70E740481C1C}">
                          <a14:useLocalDpi xmlns:a14="http://schemas.microsoft.com/office/drawing/2010/main" val="0"/>
                        </a:ext>
                      </a:extLst>
                    </a:blip>
                    <a:srcRect t="3354" b="5128"/>
                    <a:stretch/>
                  </pic:blipFill>
                  <pic:spPr bwMode="auto">
                    <a:xfrm>
                      <a:off x="0" y="0"/>
                      <a:ext cx="5330138" cy="2453302"/>
                    </a:xfrm>
                    <a:prstGeom prst="rect">
                      <a:avLst/>
                    </a:prstGeom>
                    <a:ln>
                      <a:noFill/>
                    </a:ln>
                    <a:extLst>
                      <a:ext uri="{53640926-AAD7-44D8-BBD7-CCE9431645EC}">
                        <a14:shadowObscured xmlns:a14="http://schemas.microsoft.com/office/drawing/2010/main"/>
                      </a:ext>
                    </a:extLst>
                  </pic:spPr>
                </pic:pic>
              </a:graphicData>
            </a:graphic>
          </wp:inline>
        </w:drawing>
      </w:r>
    </w:p>
    <w:p w14:paraId="52442A07" w14:textId="77777777" w:rsidR="00711C35" w:rsidRPr="00BD16B4" w:rsidRDefault="00711C35" w:rsidP="003A77E5">
      <w:pPr>
        <w:pStyle w:val="Note"/>
        <w:spacing w:before="80"/>
        <w:rPr>
          <w:b/>
        </w:rPr>
      </w:pPr>
      <w:r w:rsidRPr="00BD16B4">
        <w:rPr>
          <w:b/>
        </w:rPr>
        <w:t>Note:</w:t>
      </w:r>
      <w:r w:rsidRPr="00BD16B4">
        <w:t xml:space="preserve"> kt CO</w:t>
      </w:r>
      <w:r w:rsidRPr="00BD16B4">
        <w:rPr>
          <w:vertAlign w:val="subscript"/>
        </w:rPr>
        <w:t>2</w:t>
      </w:r>
      <w:r w:rsidRPr="00BD16B4">
        <w:t>-equivalent = kilotonnes of carbon dioxide equivalent.</w:t>
      </w:r>
    </w:p>
    <w:p w14:paraId="1C0D2B75" w14:textId="77777777" w:rsidR="00711C35" w:rsidRPr="00BD16B4" w:rsidRDefault="00711C35" w:rsidP="00E05EAA">
      <w:pPr>
        <w:pStyle w:val="Source"/>
        <w:rPr>
          <w:sz w:val="20"/>
        </w:rPr>
      </w:pPr>
      <w:r w:rsidRPr="00BD16B4">
        <w:rPr>
          <w:bCs/>
        </w:rPr>
        <w:t>Source:</w:t>
      </w:r>
      <w:r w:rsidRPr="00BD16B4">
        <w:rPr>
          <w:b/>
        </w:rPr>
        <w:t xml:space="preserve"> </w:t>
      </w:r>
      <w:r w:rsidRPr="00BD16B4">
        <w:t xml:space="preserve">Ministry for the Environment. 2022. </w:t>
      </w:r>
      <w:r w:rsidRPr="00BD16B4">
        <w:rPr>
          <w:i/>
        </w:rPr>
        <w:t xml:space="preserve">New Zealand’s Greenhouse Gas Inventory 1990–2020. </w:t>
      </w:r>
      <w:r w:rsidRPr="00BD16B4">
        <w:t>Wellington: Ministry for the Environment</w:t>
      </w:r>
      <w:r w:rsidRPr="00BD16B4">
        <w:rPr>
          <w:sz w:val="20"/>
        </w:rPr>
        <w:t>.</w:t>
      </w:r>
    </w:p>
    <w:p w14:paraId="4048E3F9" w14:textId="77777777" w:rsidR="00711C35" w:rsidRPr="00BD16B4" w:rsidRDefault="00711C35" w:rsidP="00711C35">
      <w:pPr>
        <w:pStyle w:val="Heading3"/>
        <w:spacing w:before="280"/>
      </w:pPr>
      <w:r w:rsidRPr="00BD16B4">
        <w:t>3.2.5</w:t>
      </w:r>
      <w:r w:rsidRPr="00BD16B4">
        <w:tab/>
        <w:t>Industrial processes and product use sector</w:t>
      </w:r>
    </w:p>
    <w:p w14:paraId="475E9156" w14:textId="69F27138" w:rsidR="00711C35" w:rsidRPr="00BD16B4" w:rsidRDefault="00711C35" w:rsidP="00711C35">
      <w:pPr>
        <w:pStyle w:val="BodyText"/>
        <w:spacing w:after="100"/>
      </w:pPr>
      <w:r w:rsidRPr="00BD16B4">
        <w:t>The IPPU sector covers non-energy emissions from industrial processes, and emissions of a range of greenhouse gases with uses such as refrigeration and medical applications. New Zealand has a small number of industrial processing plants emitting non-energy related</w:t>
      </w:r>
      <w:r w:rsidR="00065454" w:rsidRPr="00BD16B4">
        <w:t> </w:t>
      </w:r>
      <w:r w:rsidRPr="00BD16B4">
        <w:t>greenhouse gases. The IPPU sector reports CO</w:t>
      </w:r>
      <w:r w:rsidRPr="00BD16B4">
        <w:rPr>
          <w:vertAlign w:val="subscript"/>
        </w:rPr>
        <w:t>2</w:t>
      </w:r>
      <w:r w:rsidRPr="00BD16B4">
        <w:t>, CH</w:t>
      </w:r>
      <w:r w:rsidRPr="00BD16B4">
        <w:rPr>
          <w:vertAlign w:val="subscript"/>
        </w:rPr>
        <w:t>4</w:t>
      </w:r>
      <w:r w:rsidRPr="00BD16B4">
        <w:t xml:space="preserve"> and N</w:t>
      </w:r>
      <w:r w:rsidRPr="00BD16B4">
        <w:rPr>
          <w:vertAlign w:val="subscript"/>
        </w:rPr>
        <w:t>2</w:t>
      </w:r>
      <w:r w:rsidRPr="00BD16B4">
        <w:t>O emissions from eight industrial processes:</w:t>
      </w:r>
    </w:p>
    <w:p w14:paraId="11FA6DD5" w14:textId="77777777" w:rsidR="00711C35" w:rsidRPr="00BD16B4" w:rsidRDefault="00711C35" w:rsidP="0011037B">
      <w:pPr>
        <w:pStyle w:val="Bullet"/>
        <w:spacing w:after="100" w:line="280" w:lineRule="exact"/>
      </w:pPr>
      <w:r w:rsidRPr="00BD16B4">
        <w:t>calcination of limestone in cement production</w:t>
      </w:r>
    </w:p>
    <w:p w14:paraId="4F5432D5" w14:textId="77777777" w:rsidR="00711C35" w:rsidRPr="00BD16B4" w:rsidRDefault="00711C35" w:rsidP="0011037B">
      <w:pPr>
        <w:pStyle w:val="Bullet"/>
        <w:spacing w:after="100" w:line="280" w:lineRule="exact"/>
      </w:pPr>
      <w:r w:rsidRPr="00BD16B4">
        <w:t>calcination of limestone in burnt and slaked lime production</w:t>
      </w:r>
    </w:p>
    <w:p w14:paraId="6C2F06E5" w14:textId="77777777" w:rsidR="00711C35" w:rsidRPr="00BD16B4" w:rsidRDefault="00711C35" w:rsidP="0011037B">
      <w:pPr>
        <w:pStyle w:val="Bullet"/>
        <w:spacing w:after="100" w:line="280" w:lineRule="exact"/>
      </w:pPr>
      <w:r w:rsidRPr="00BD16B4">
        <w:t>production of ammonia, which is further processed into urea</w:t>
      </w:r>
    </w:p>
    <w:p w14:paraId="63286026" w14:textId="77777777" w:rsidR="00711C35" w:rsidRPr="00BD16B4" w:rsidRDefault="00711C35" w:rsidP="0011037B">
      <w:pPr>
        <w:pStyle w:val="Bullet"/>
        <w:spacing w:after="100" w:line="280" w:lineRule="exact"/>
      </w:pPr>
      <w:r w:rsidRPr="00BD16B4">
        <w:t>production of methanol</w:t>
      </w:r>
    </w:p>
    <w:p w14:paraId="1EFD6D72" w14:textId="77777777" w:rsidR="00711C35" w:rsidRPr="00BD16B4" w:rsidRDefault="00711C35" w:rsidP="0011037B">
      <w:pPr>
        <w:pStyle w:val="Bullet"/>
        <w:spacing w:after="100" w:line="280" w:lineRule="exact"/>
      </w:pPr>
      <w:r w:rsidRPr="00BD16B4">
        <w:t>production of hydrogen in oil refining and for making hydrogen peroxide</w:t>
      </w:r>
    </w:p>
    <w:p w14:paraId="7B5C6782" w14:textId="77777777" w:rsidR="00711C35" w:rsidRPr="00BD16B4" w:rsidRDefault="00711C35" w:rsidP="0011037B">
      <w:pPr>
        <w:pStyle w:val="Bullet"/>
        <w:spacing w:after="100" w:line="280" w:lineRule="exact"/>
      </w:pPr>
      <w:r w:rsidRPr="00BD16B4">
        <w:t>production of steel, from iron sand and from scrap steel</w:t>
      </w:r>
    </w:p>
    <w:p w14:paraId="22FBCFCD" w14:textId="77777777" w:rsidR="00711C35" w:rsidRPr="00BD16B4" w:rsidRDefault="00711C35" w:rsidP="0011037B">
      <w:pPr>
        <w:pStyle w:val="Bullet"/>
        <w:spacing w:after="100" w:line="280" w:lineRule="exact"/>
      </w:pPr>
      <w:r w:rsidRPr="00BD16B4">
        <w:t>oxidation of anodes in aluminium smelting</w:t>
      </w:r>
    </w:p>
    <w:p w14:paraId="315FC2C4" w14:textId="77777777" w:rsidR="00711C35" w:rsidRPr="00BD16B4" w:rsidRDefault="00711C35" w:rsidP="0011037B">
      <w:pPr>
        <w:pStyle w:val="Bullet"/>
        <w:spacing w:after="100" w:line="280" w:lineRule="exact"/>
      </w:pPr>
      <w:r w:rsidRPr="00BD16B4">
        <w:t xml:space="preserve">use of soda ash and limestone in glass making. </w:t>
      </w:r>
    </w:p>
    <w:p w14:paraId="41BFA422" w14:textId="77777777" w:rsidR="00711C35" w:rsidRPr="00BD16B4" w:rsidRDefault="00711C35" w:rsidP="00711C35">
      <w:pPr>
        <w:pStyle w:val="BodyText"/>
        <w:spacing w:after="100"/>
      </w:pPr>
      <w:r w:rsidRPr="00BD16B4">
        <w:t>Hydrofluorocarbons (HFCs) and perfluorocarbons (PFCs) are used in many products such as refrigeration and air-conditioning equipment. PFCs are also emitted from anode effects in aluminium smelting. Some recovered HFCs are exported for destruction. Sulphur hexafluoride (SF</w:t>
      </w:r>
      <w:r w:rsidRPr="00BD16B4">
        <w:rPr>
          <w:vertAlign w:val="subscript"/>
        </w:rPr>
        <w:t>6</w:t>
      </w:r>
      <w:r w:rsidRPr="00BD16B4">
        <w:t xml:space="preserve">) is used in the electricity distribution sector and for small-scale medical and scientific applications. All F-gases are imported into New Zealand, with no domestic production. </w:t>
      </w:r>
    </w:p>
    <w:p w14:paraId="70087867" w14:textId="77777777" w:rsidR="00711C35" w:rsidRPr="00BD16B4" w:rsidRDefault="00711C35" w:rsidP="00711C35">
      <w:pPr>
        <w:pStyle w:val="BodyText"/>
      </w:pPr>
      <w:r w:rsidRPr="00BD16B4">
        <w:t>In 2020, emissions from the IPPU sector contributed 4,618.4 kt CO</w:t>
      </w:r>
      <w:r w:rsidRPr="00BD16B4">
        <w:rPr>
          <w:vertAlign w:val="subscript"/>
        </w:rPr>
        <w:t>2</w:t>
      </w:r>
      <w:r w:rsidRPr="00BD16B4">
        <w:t>-e (table 3.1). Emissions from the IPPU sector are dominated by CO</w:t>
      </w:r>
      <w:r w:rsidRPr="00BD16B4">
        <w:rPr>
          <w:vertAlign w:val="subscript"/>
        </w:rPr>
        <w:t>2</w:t>
      </w:r>
      <w:r w:rsidRPr="00BD16B4">
        <w:t xml:space="preserve"> at 62.0 per cent and F-gases at 34.0 per cent, with smaller contributions from CH</w:t>
      </w:r>
      <w:r w:rsidRPr="00BD16B4">
        <w:rPr>
          <w:vertAlign w:val="subscript"/>
        </w:rPr>
        <w:t>4</w:t>
      </w:r>
      <w:r w:rsidRPr="00BD16B4">
        <w:t xml:space="preserve"> and N</w:t>
      </w:r>
      <w:r w:rsidRPr="00BD16B4">
        <w:rPr>
          <w:vertAlign w:val="subscript"/>
        </w:rPr>
        <w:t>2</w:t>
      </w:r>
      <w:r w:rsidRPr="00BD16B4">
        <w:t>O. The major categories contributing to emissions in the sector are metal industry at 48.0 per cent and product uses as substitutes for ODS (mainly HFCs used for refrigeration and air conditioning) at 32.0 per cent. Most emissions in the metal industry occur in iron and steel production and aluminium production. Most non</w:t>
      </w:r>
      <w:r w:rsidRPr="00BD16B4">
        <w:noBreakHyphen/>
        <w:t>CO</w:t>
      </w:r>
      <w:r w:rsidRPr="00BD16B4">
        <w:rPr>
          <w:vertAlign w:val="subscript"/>
        </w:rPr>
        <w:t>2</w:t>
      </w:r>
      <w:r w:rsidRPr="00BD16B4">
        <w:t xml:space="preserve"> emissions occur in the product uses as substitutes for ODS category.</w:t>
      </w:r>
    </w:p>
    <w:p w14:paraId="0FFFEF46" w14:textId="77777777" w:rsidR="00711C35" w:rsidRPr="00BD16B4" w:rsidRDefault="00711C35" w:rsidP="00711C35">
      <w:pPr>
        <w:pStyle w:val="BodyText"/>
        <w:spacing w:after="100"/>
      </w:pPr>
      <w:r w:rsidRPr="00BD16B4">
        <w:lastRenderedPageBreak/>
        <w:t>Between 1990 and 2020, emissions from the IPPU sector increased by 29.0 per cent. This is driven by increases in product uses as substitutes for ODS after HFCs were introduced to replace ODS in refrigeration and air-conditioning units. To a lesser degree, increased production of metals, lime and cement have also contributed to increased emissions within the sector. In the same period, substantial reductions in emissions of PFCs have occurred due to improved management of anode effects in aluminium smelting, and reductions in emissions from N</w:t>
      </w:r>
      <w:r w:rsidRPr="00BD16B4">
        <w:rPr>
          <w:vertAlign w:val="subscript"/>
        </w:rPr>
        <w:t>2</w:t>
      </w:r>
      <w:r w:rsidRPr="00BD16B4">
        <w:t>O used for medical applications. Figure 3.6 summarises change in emissions from the IPPU sector between 1990 and 2020.</w:t>
      </w:r>
    </w:p>
    <w:p w14:paraId="688AFA9D" w14:textId="77777777" w:rsidR="00711C35" w:rsidRPr="00BD16B4" w:rsidRDefault="00711C35" w:rsidP="00711C35">
      <w:pPr>
        <w:pStyle w:val="BodyText"/>
        <w:spacing w:before="100" w:after="100"/>
      </w:pPr>
      <w:r w:rsidRPr="00BD16B4">
        <w:t>Between 2019 and 2020, emissions decreased by 5.0 per cent in the IPPU sector. This change occurred because of a significant decrease in the metal industry category and lesser decreases in other categories. The COVID-19 pandemic restrictions explain the lower emissions, as they led to plant shutdowns and decreased production.</w:t>
      </w:r>
    </w:p>
    <w:p w14:paraId="36BD3CFE" w14:textId="77777777" w:rsidR="00711C35" w:rsidRPr="00BD16B4" w:rsidRDefault="00711C35" w:rsidP="00EC76A2">
      <w:pPr>
        <w:pStyle w:val="Figureheading"/>
      </w:pPr>
      <w:bookmarkStart w:id="143" w:name="_Toc498517317"/>
      <w:bookmarkStart w:id="144" w:name="_Toc500767116"/>
      <w:bookmarkStart w:id="145" w:name="_Toc121494386"/>
      <w:bookmarkStart w:id="146" w:name="_Toc378853332"/>
      <w:bookmarkStart w:id="147" w:name="_Toc414531600"/>
      <w:bookmarkStart w:id="148" w:name="_Toc447275686"/>
      <w:bookmarkStart w:id="149" w:name="_Toc481752003"/>
      <w:r w:rsidRPr="00BD16B4">
        <w:t xml:space="preserve">Figure 3.6: </w:t>
      </w:r>
      <w:r w:rsidRPr="00BD16B4">
        <w:tab/>
        <w:t>Change in New Zealand’s emissions from the IPPU sector, 1990 and 2</w:t>
      </w:r>
      <w:bookmarkEnd w:id="143"/>
      <w:bookmarkEnd w:id="144"/>
      <w:r w:rsidRPr="00BD16B4">
        <w:t>020</w:t>
      </w:r>
      <w:bookmarkEnd w:id="145"/>
    </w:p>
    <w:bookmarkEnd w:id="146"/>
    <w:bookmarkEnd w:id="147"/>
    <w:bookmarkEnd w:id="148"/>
    <w:bookmarkEnd w:id="149"/>
    <w:p w14:paraId="14D99B97" w14:textId="77777777" w:rsidR="00711C35" w:rsidRPr="00BD16B4" w:rsidRDefault="00711C35" w:rsidP="00711C35">
      <w:pPr>
        <w:pStyle w:val="BodyText"/>
      </w:pPr>
      <w:r w:rsidRPr="00BD16B4">
        <w:rPr>
          <w:noProof/>
        </w:rPr>
        <w:drawing>
          <wp:inline distT="0" distB="0" distL="0" distR="0" wp14:anchorId="6B8C353D" wp14:editId="301B66C0">
            <wp:extent cx="5184475" cy="2149068"/>
            <wp:effectExtent l="0" t="0" r="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rotWithShape="1">
                    <a:blip r:embed="rId61">
                      <a:extLst>
                        <a:ext uri="{28A0092B-C50C-407E-A947-70E740481C1C}">
                          <a14:useLocalDpi xmlns:a14="http://schemas.microsoft.com/office/drawing/2010/main" val="0"/>
                        </a:ext>
                      </a:extLst>
                    </a:blip>
                    <a:srcRect t="12569" r="1970" b="17803"/>
                    <a:stretch/>
                  </pic:blipFill>
                  <pic:spPr bwMode="auto">
                    <a:xfrm>
                      <a:off x="0" y="0"/>
                      <a:ext cx="5200891" cy="2155873"/>
                    </a:xfrm>
                    <a:prstGeom prst="rect">
                      <a:avLst/>
                    </a:prstGeom>
                    <a:ln>
                      <a:noFill/>
                    </a:ln>
                    <a:extLst>
                      <a:ext uri="{53640926-AAD7-44D8-BBD7-CCE9431645EC}">
                        <a14:shadowObscured xmlns:a14="http://schemas.microsoft.com/office/drawing/2010/main"/>
                      </a:ext>
                    </a:extLst>
                  </pic:spPr>
                </pic:pic>
              </a:graphicData>
            </a:graphic>
          </wp:inline>
        </w:drawing>
      </w:r>
    </w:p>
    <w:p w14:paraId="7B32B5FC" w14:textId="77777777" w:rsidR="00711C35" w:rsidRPr="00BD16B4" w:rsidRDefault="00711C35" w:rsidP="00E05EAA">
      <w:pPr>
        <w:pStyle w:val="Note"/>
        <w:spacing w:before="0"/>
      </w:pPr>
      <w:r w:rsidRPr="00BD16B4">
        <w:rPr>
          <w:b/>
        </w:rPr>
        <w:t>Note:</w:t>
      </w:r>
      <w:r w:rsidRPr="00BD16B4">
        <w:t xml:space="preserve"> IPPU = industrial processes and product use; kt CO</w:t>
      </w:r>
      <w:r w:rsidRPr="00BD16B4">
        <w:rPr>
          <w:vertAlign w:val="subscript"/>
        </w:rPr>
        <w:t>2</w:t>
      </w:r>
      <w:r w:rsidRPr="00BD16B4">
        <w:t>-equivalent = kilotonnes of carbon dioxide equivalent; ODS = ozone depleting substances. Emissions from the electronics industry are not occurring (NO).</w:t>
      </w:r>
    </w:p>
    <w:p w14:paraId="637C8559" w14:textId="77777777" w:rsidR="00711C35" w:rsidRPr="00BD16B4" w:rsidRDefault="00711C35" w:rsidP="00E05EAA">
      <w:pPr>
        <w:pStyle w:val="Source"/>
      </w:pPr>
      <w:r w:rsidRPr="00BD16B4">
        <w:rPr>
          <w:bCs/>
        </w:rPr>
        <w:t>Source:</w:t>
      </w:r>
      <w:r w:rsidRPr="00BD16B4">
        <w:rPr>
          <w:b/>
        </w:rPr>
        <w:t xml:space="preserve"> </w:t>
      </w:r>
      <w:r w:rsidRPr="00BD16B4">
        <w:t xml:space="preserve">Ministry for the Environment. 2022. </w:t>
      </w:r>
      <w:r w:rsidRPr="00BD16B4">
        <w:rPr>
          <w:i/>
        </w:rPr>
        <w:t xml:space="preserve">New Zealand’s Greenhouse Gas Inventory 1990–2020. </w:t>
      </w:r>
      <w:r w:rsidRPr="00BD16B4">
        <w:t>Wellington: Ministry for the Environment</w:t>
      </w:r>
      <w:r w:rsidRPr="00BD16B4">
        <w:rPr>
          <w:sz w:val="20"/>
        </w:rPr>
        <w:t>.</w:t>
      </w:r>
    </w:p>
    <w:p w14:paraId="3B148A76" w14:textId="77777777" w:rsidR="00711C35" w:rsidRPr="00BD16B4" w:rsidRDefault="00711C35" w:rsidP="00711C35">
      <w:pPr>
        <w:pStyle w:val="Heading3"/>
        <w:spacing w:before="280"/>
      </w:pPr>
      <w:r w:rsidRPr="00BD16B4">
        <w:t>3.2.6</w:t>
      </w:r>
      <w:r w:rsidRPr="00BD16B4">
        <w:tab/>
        <w:t>Agriculture sector</w:t>
      </w:r>
    </w:p>
    <w:p w14:paraId="1E10B69F" w14:textId="77777777" w:rsidR="00711C35" w:rsidRPr="00BD16B4" w:rsidRDefault="00711C35" w:rsidP="00711C35">
      <w:pPr>
        <w:pStyle w:val="BodyText"/>
        <w:spacing w:before="100" w:after="100" w:line="270" w:lineRule="atLeast"/>
      </w:pPr>
      <w:r w:rsidRPr="00BD16B4">
        <w:t xml:space="preserve">Practices in the New Zealand agriculture sector differ from those in most other developed countries. In this country, farms typically use year-round outdoor pastoral grazing systems. For this reason, the agriculture sector is more sensitive to climatic events than countries where grain-fed systems and indoor feedlots are common. Trends in the agriculture sector are driven by the population of ruminant livestock (dairy cattle, beef cattle, sheep and deer). Since 1990, the number of dairy cattle in our country has increased, while the number of sheep and beef cattle has decreased. Consequently, the land area of sheep, beef and deer grazing has decreased by 35.7 per cent and the area of dairy farming has increased by 67.4 per cent. </w:t>
      </w:r>
    </w:p>
    <w:p w14:paraId="023ABEDE" w14:textId="225EAB1D" w:rsidR="00711C35" w:rsidRPr="00BD16B4" w:rsidRDefault="00711C35" w:rsidP="00711C35">
      <w:pPr>
        <w:pStyle w:val="BodyText"/>
        <w:spacing w:before="100" w:after="100" w:line="270" w:lineRule="atLeast"/>
      </w:pPr>
      <w:r w:rsidRPr="00BD16B4">
        <w:t>In 2020, emissions from the agriculture sector contributed 39,425.5 kt CO</w:t>
      </w:r>
      <w:r w:rsidRPr="00BD16B4">
        <w:rPr>
          <w:vertAlign w:val="subscript"/>
        </w:rPr>
        <w:t>2</w:t>
      </w:r>
      <w:r w:rsidRPr="00BD16B4">
        <w:t>-e (table 3.1). The major sources of emissions were enteric fermentation, contributing 73.1 per cent of the sector’s emissions, and agricultural soils, contributing 20.0 per cent. Methane emissions from enteric fermentation made up 36.6 per cent of gross emissions, and N</w:t>
      </w:r>
      <w:r w:rsidRPr="00BD16B4">
        <w:rPr>
          <w:vertAlign w:val="subscript"/>
        </w:rPr>
        <w:t>2</w:t>
      </w:r>
      <w:r w:rsidRPr="00BD16B4">
        <w:t>O emissions from agricultural soils made up 10.0 per cent. Between 2019 and 2020, total agricultural emissions decreased by 0.2 per cent. This change occurred because the sheep population decreased, as did the use of lime and urea fertiliser. Emissions from other sources, such as inorganic fertiliser and beef and dairy cattle, rose but these increases were not enough to offset the overall decrease in agricultural emissions.</w:t>
      </w:r>
    </w:p>
    <w:p w14:paraId="22B8FA9B" w14:textId="77777777" w:rsidR="00711C35" w:rsidRPr="00BD16B4" w:rsidRDefault="00711C35" w:rsidP="00711C35">
      <w:pPr>
        <w:pStyle w:val="BodyText"/>
      </w:pPr>
      <w:r w:rsidRPr="00BD16B4">
        <w:lastRenderedPageBreak/>
        <w:t xml:space="preserve">Between 1990 and 2020, emissions from the agriculture sector increased by 16.7 per cent. This has largely been driven by an increase in the population of dairy cattle, which has led to increases in emissions across several agricultural reporting categories. The population has expanded because farming dairy cattle has provided better financial returns over the period. </w:t>
      </w:r>
      <w:r w:rsidRPr="00BD16B4">
        <w:rPr>
          <w:spacing w:val="-2"/>
        </w:rPr>
        <w:t>Figure 3.7 summarises change in emissions from the agriculture sector between 1990 and 2020.</w:t>
      </w:r>
      <w:r w:rsidRPr="00BD16B4">
        <w:t xml:space="preserve"> </w:t>
      </w:r>
    </w:p>
    <w:p w14:paraId="2D72C961" w14:textId="77777777" w:rsidR="00711C35" w:rsidRPr="00BD16B4" w:rsidRDefault="00711C35" w:rsidP="00711C35">
      <w:pPr>
        <w:pStyle w:val="BodyText"/>
      </w:pPr>
      <w:r w:rsidRPr="00BD16B4">
        <w:t>Agriculture emissions peaked in 2014 (figure 3.4), which corresponded with the peak in total cattle numbers. Agriculture emissions have since been declining, partly because profitability of dairy exports relative to other primary sector exports has fallen since 2015.</w:t>
      </w:r>
    </w:p>
    <w:p w14:paraId="27A45A24" w14:textId="77777777" w:rsidR="00711C35" w:rsidRPr="00BD16B4" w:rsidRDefault="00711C35" w:rsidP="00EC76A2">
      <w:pPr>
        <w:pStyle w:val="Figureheading"/>
      </w:pPr>
      <w:bookmarkStart w:id="150" w:name="_Toc498517316"/>
      <w:bookmarkStart w:id="151" w:name="_Toc500767115"/>
      <w:bookmarkStart w:id="152" w:name="_Toc121494387"/>
      <w:r w:rsidRPr="00BD16B4">
        <w:t xml:space="preserve">Figure 3.7: </w:t>
      </w:r>
      <w:r w:rsidRPr="00BD16B4">
        <w:tab/>
        <w:t xml:space="preserve">Change in New Zealand’s emissions from the </w:t>
      </w:r>
      <w:bookmarkStart w:id="153" w:name="_Int_AsIelAeJ"/>
      <w:r w:rsidRPr="00BD16B4">
        <w:t>agriculture</w:t>
      </w:r>
      <w:bookmarkEnd w:id="153"/>
      <w:r w:rsidRPr="00BD16B4">
        <w:t xml:space="preserve"> sector, 1990 and 20</w:t>
      </w:r>
      <w:bookmarkEnd w:id="150"/>
      <w:bookmarkEnd w:id="151"/>
      <w:r w:rsidRPr="00BD16B4">
        <w:t>20</w:t>
      </w:r>
      <w:bookmarkEnd w:id="152"/>
    </w:p>
    <w:p w14:paraId="6722F0FD" w14:textId="77777777" w:rsidR="00711C35" w:rsidRPr="00BD16B4" w:rsidRDefault="00711C35" w:rsidP="00711C35">
      <w:pPr>
        <w:pStyle w:val="BodyText"/>
      </w:pPr>
      <w:r w:rsidRPr="00BD16B4">
        <w:rPr>
          <w:rFonts w:cs="Calibri"/>
          <w:noProof/>
        </w:rPr>
        <w:drawing>
          <wp:inline distT="0" distB="0" distL="0" distR="0" wp14:anchorId="37EB929B" wp14:editId="636416F4">
            <wp:extent cx="5266541" cy="3196742"/>
            <wp:effectExtent l="0" t="0" r="0" b="0"/>
            <wp:docPr id="25" name="Picture 2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waterfall chart&#10;&#10;Description automatically generated"/>
                    <pic:cNvPicPr>
                      <a:picLocks noChangeAspect="1" noChangeArrowheads="1"/>
                    </pic:cNvPicPr>
                  </pic:nvPicPr>
                  <pic:blipFill rotWithShape="1">
                    <a:blip r:embed="rId62">
                      <a:extLst>
                        <a:ext uri="{28A0092B-C50C-407E-A947-70E740481C1C}">
                          <a14:useLocalDpi xmlns:a14="http://schemas.microsoft.com/office/drawing/2010/main" val="0"/>
                        </a:ext>
                      </a:extLst>
                    </a:blip>
                    <a:srcRect b="1559"/>
                    <a:stretch/>
                  </pic:blipFill>
                  <pic:spPr bwMode="auto">
                    <a:xfrm>
                      <a:off x="0" y="0"/>
                      <a:ext cx="5271844" cy="3199961"/>
                    </a:xfrm>
                    <a:prstGeom prst="rect">
                      <a:avLst/>
                    </a:prstGeom>
                    <a:noFill/>
                    <a:ln>
                      <a:noFill/>
                    </a:ln>
                    <a:extLst>
                      <a:ext uri="{53640926-AAD7-44D8-BBD7-CCE9431645EC}">
                        <a14:shadowObscured xmlns:a14="http://schemas.microsoft.com/office/drawing/2010/main"/>
                      </a:ext>
                    </a:extLst>
                  </pic:spPr>
                </pic:pic>
              </a:graphicData>
            </a:graphic>
          </wp:inline>
        </w:drawing>
      </w:r>
    </w:p>
    <w:p w14:paraId="428418EA" w14:textId="77777777" w:rsidR="00711C35" w:rsidRPr="00BD16B4" w:rsidRDefault="00711C35" w:rsidP="003A77E5">
      <w:pPr>
        <w:pStyle w:val="Note"/>
        <w:spacing w:before="80"/>
        <w:rPr>
          <w:b/>
        </w:rPr>
      </w:pPr>
      <w:r w:rsidRPr="00BD16B4">
        <w:rPr>
          <w:b/>
        </w:rPr>
        <w:t>Note:</w:t>
      </w:r>
      <w:r w:rsidRPr="00BD16B4">
        <w:t xml:space="preserve"> kt CO</w:t>
      </w:r>
      <w:r w:rsidRPr="00BD16B4">
        <w:rPr>
          <w:vertAlign w:val="subscript"/>
        </w:rPr>
        <w:t>2</w:t>
      </w:r>
      <w:r w:rsidRPr="00BD16B4">
        <w:t>-equivalent = kilotonnes of carbon dioxide equivalent; LULUCF = land use, land-use change and forestry. Rice cultivation does not occur (NO) in New Zealand. Emissions from other carbon-containing fertilisers are not estimated (NE).</w:t>
      </w:r>
    </w:p>
    <w:p w14:paraId="60BC9E46" w14:textId="77777777" w:rsidR="00711C35" w:rsidRPr="00BD16B4" w:rsidRDefault="00711C35" w:rsidP="00E05EAA">
      <w:pPr>
        <w:pStyle w:val="Source"/>
      </w:pPr>
      <w:r w:rsidRPr="00BD16B4">
        <w:rPr>
          <w:bCs/>
        </w:rPr>
        <w:t>Source:</w:t>
      </w:r>
      <w:r w:rsidRPr="00BD16B4">
        <w:rPr>
          <w:b/>
        </w:rPr>
        <w:t xml:space="preserve"> </w:t>
      </w:r>
      <w:r w:rsidRPr="00BD16B4">
        <w:t xml:space="preserve">Ministry for the Environment. 2022. </w:t>
      </w:r>
      <w:r w:rsidRPr="00BD16B4">
        <w:rPr>
          <w:i/>
        </w:rPr>
        <w:t xml:space="preserve">New Zealand’s Greenhouse Gas Inventory 1990–2020. </w:t>
      </w:r>
      <w:r w:rsidRPr="00BD16B4">
        <w:t>Wellington: Ministry for the Environment</w:t>
      </w:r>
      <w:r w:rsidRPr="00BD16B4">
        <w:rPr>
          <w:sz w:val="20"/>
        </w:rPr>
        <w:t>.</w:t>
      </w:r>
    </w:p>
    <w:p w14:paraId="3F10D865" w14:textId="77777777" w:rsidR="00711C35" w:rsidRPr="00BD16B4" w:rsidRDefault="00711C35" w:rsidP="00711C35">
      <w:pPr>
        <w:pStyle w:val="Heading3"/>
        <w:spacing w:before="240"/>
      </w:pPr>
      <w:r w:rsidRPr="00BD16B4">
        <w:t>3.2.7</w:t>
      </w:r>
      <w:r w:rsidRPr="00BD16B4">
        <w:tab/>
        <w:t>Waste sector</w:t>
      </w:r>
    </w:p>
    <w:p w14:paraId="044A62ED" w14:textId="77777777" w:rsidR="00711C35" w:rsidRPr="00BD16B4" w:rsidRDefault="00711C35" w:rsidP="00711C35">
      <w:pPr>
        <w:pStyle w:val="BodyText"/>
      </w:pPr>
      <w:bookmarkStart w:id="154" w:name="_Toc444001674"/>
      <w:bookmarkStart w:id="155" w:name="_Toc447275718"/>
      <w:bookmarkStart w:id="156" w:name="_Toc481752037"/>
      <w:bookmarkStart w:id="157" w:name="_Toc498517318"/>
      <w:bookmarkStart w:id="158" w:name="_Toc500767117"/>
      <w:r w:rsidRPr="00BD16B4">
        <w:t>Greenhouse gas emissions from the waste sector result from the processing and disposal of solid waste, biological treatment of solid waste, incineration and open burning of waste, and wastewater treatment and discharge. In New Zealand, most emissions from the waste sector are CH</w:t>
      </w:r>
      <w:r w:rsidRPr="00BD16B4">
        <w:rPr>
          <w:vertAlign w:val="subscript"/>
        </w:rPr>
        <w:t>4</w:t>
      </w:r>
      <w:r w:rsidRPr="00BD16B4">
        <w:t xml:space="preserve"> (92.1 per cent), followed by N</w:t>
      </w:r>
      <w:r w:rsidRPr="00BD16B4">
        <w:rPr>
          <w:vertAlign w:val="subscript"/>
        </w:rPr>
        <w:t>2</w:t>
      </w:r>
      <w:r w:rsidRPr="00BD16B4">
        <w:t>O (5.1 per cent) and CO</w:t>
      </w:r>
      <w:r w:rsidRPr="00BD16B4">
        <w:rPr>
          <w:vertAlign w:val="subscript"/>
        </w:rPr>
        <w:t>2</w:t>
      </w:r>
      <w:r w:rsidRPr="00BD16B4">
        <w:t xml:space="preserve"> (2.7 per cent).</w:t>
      </w:r>
    </w:p>
    <w:p w14:paraId="34C1D578" w14:textId="77777777" w:rsidR="00711C35" w:rsidRPr="00BD16B4" w:rsidRDefault="00711C35" w:rsidP="00711C35">
      <w:pPr>
        <w:pStyle w:val="BodyText"/>
      </w:pPr>
      <w:r w:rsidRPr="00BD16B4">
        <w:t>In 2020, emissions from the waste sector contributed 3,268.9 kt CO</w:t>
      </w:r>
      <w:r w:rsidRPr="00BD16B4">
        <w:rPr>
          <w:vertAlign w:val="subscript"/>
        </w:rPr>
        <w:t>2</w:t>
      </w:r>
      <w:r w:rsidRPr="00BD16B4">
        <w:t>-e (table 3.1). The largest source of waste sector emissions in 2020 was solid waste disposal at 80.7 per cent, followed by wastewater treatment and discharge at 11.5 per cent. Between 2019 and 2020, emissions from the waste sector decreased by 1.3 per cent. This was largely because of decreases in CH</w:t>
      </w:r>
      <w:r w:rsidRPr="00BD16B4">
        <w:rPr>
          <w:vertAlign w:val="subscript"/>
        </w:rPr>
        <w:t>4</w:t>
      </w:r>
      <w:r w:rsidRPr="00BD16B4">
        <w:t xml:space="preserve"> emissions from solid waste disposal, due to changes in the composition of waste disposed in municipal landfills. </w:t>
      </w:r>
    </w:p>
    <w:p w14:paraId="0B273F5A" w14:textId="77777777" w:rsidR="00711C35" w:rsidRPr="00BD16B4" w:rsidRDefault="00711C35" w:rsidP="00841648">
      <w:pPr>
        <w:pStyle w:val="BodyText"/>
        <w:keepLines/>
      </w:pPr>
      <w:r w:rsidRPr="00BD16B4">
        <w:lastRenderedPageBreak/>
        <w:t xml:space="preserve">Between 1990 and 2020, total emissions from the waste sector decreased by 17.1 per cent. Annual emissions peaked in 2002 and have generally declined since then, even though the growth in population and economic activity has resulted in overall higher volumes of waste since 1990. The reason for the downward trend in emissions in the waste sector since 2005 (figure 3.4) is that the management of solid waste disposal at municipal landfills has continued to improve. Figure 3.8 summarises change in emissions from the waste sector between 1990 and 2020. </w:t>
      </w:r>
    </w:p>
    <w:p w14:paraId="7BB6229A" w14:textId="77777777" w:rsidR="00711C35" w:rsidRPr="00BD16B4" w:rsidRDefault="00711C35" w:rsidP="00EC76A2">
      <w:pPr>
        <w:pStyle w:val="Figureheading"/>
      </w:pPr>
      <w:bookmarkStart w:id="159" w:name="_Toc121494388"/>
      <w:r w:rsidRPr="00BD16B4">
        <w:t>Figure 3.8:</w:t>
      </w:r>
      <w:r w:rsidRPr="00BD16B4">
        <w:tab/>
        <w:t xml:space="preserve">Change in New Zealand’s emissions from the waste sector, </w:t>
      </w:r>
      <w:bookmarkEnd w:id="154"/>
      <w:bookmarkEnd w:id="155"/>
      <w:bookmarkEnd w:id="156"/>
      <w:bookmarkEnd w:id="157"/>
      <w:bookmarkEnd w:id="158"/>
      <w:r w:rsidRPr="00BD16B4">
        <w:t>1990 and 2020</w:t>
      </w:r>
      <w:bookmarkEnd w:id="159"/>
    </w:p>
    <w:p w14:paraId="155A7605" w14:textId="77777777" w:rsidR="00711C35" w:rsidRPr="00BD16B4" w:rsidRDefault="00711C35" w:rsidP="00711C35">
      <w:pPr>
        <w:pStyle w:val="BodyText"/>
        <w:spacing w:after="60"/>
      </w:pPr>
      <w:r w:rsidRPr="00BD16B4">
        <w:rPr>
          <w:noProof/>
        </w:rPr>
        <w:drawing>
          <wp:inline distT="0" distB="0" distL="0" distR="0" wp14:anchorId="11D175E5" wp14:editId="2BA49135">
            <wp:extent cx="5303520" cy="2932602"/>
            <wp:effectExtent l="0" t="0" r="0" b="0"/>
            <wp:docPr id="12" name="Picture 1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rotWithShape="1">
                    <a:blip r:embed="rId63" cstate="print">
                      <a:extLst>
                        <a:ext uri="{28A0092B-C50C-407E-A947-70E740481C1C}">
                          <a14:useLocalDpi xmlns:a14="http://schemas.microsoft.com/office/drawing/2010/main" val="0"/>
                        </a:ext>
                      </a:extLst>
                    </a:blip>
                    <a:srcRect t="2081" b="3520"/>
                    <a:stretch/>
                  </pic:blipFill>
                  <pic:spPr bwMode="auto">
                    <a:xfrm>
                      <a:off x="0" y="0"/>
                      <a:ext cx="5307508" cy="2934807"/>
                    </a:xfrm>
                    <a:prstGeom prst="rect">
                      <a:avLst/>
                    </a:prstGeom>
                    <a:ln>
                      <a:noFill/>
                    </a:ln>
                    <a:extLst>
                      <a:ext uri="{53640926-AAD7-44D8-BBD7-CCE9431645EC}">
                        <a14:shadowObscured xmlns:a14="http://schemas.microsoft.com/office/drawing/2010/main"/>
                      </a:ext>
                    </a:extLst>
                  </pic:spPr>
                </pic:pic>
              </a:graphicData>
            </a:graphic>
          </wp:inline>
        </w:drawing>
      </w:r>
    </w:p>
    <w:p w14:paraId="4A6E4BE6" w14:textId="77777777" w:rsidR="00711C35" w:rsidRPr="00BD16B4" w:rsidRDefault="00711C35" w:rsidP="003A77E5">
      <w:pPr>
        <w:pStyle w:val="Note"/>
        <w:spacing w:before="80"/>
        <w:rPr>
          <w:b/>
        </w:rPr>
      </w:pPr>
      <w:r w:rsidRPr="00BD16B4">
        <w:rPr>
          <w:b/>
        </w:rPr>
        <w:t>Note:</w:t>
      </w:r>
      <w:r w:rsidRPr="00BD16B4">
        <w:t xml:space="preserve"> kt CO</w:t>
      </w:r>
      <w:r w:rsidRPr="00BD16B4">
        <w:rPr>
          <w:vertAlign w:val="subscript"/>
        </w:rPr>
        <w:t>2</w:t>
      </w:r>
      <w:r w:rsidRPr="00BD16B4">
        <w:t>-equivalent = kilotonnes of carbon dioxide equivalent.</w:t>
      </w:r>
    </w:p>
    <w:p w14:paraId="0462853C" w14:textId="77777777" w:rsidR="00711C35" w:rsidRPr="00BD16B4" w:rsidRDefault="00711C35" w:rsidP="00E05EAA">
      <w:pPr>
        <w:pStyle w:val="Source"/>
      </w:pPr>
      <w:r w:rsidRPr="00BD16B4">
        <w:rPr>
          <w:bCs/>
        </w:rPr>
        <w:t xml:space="preserve">Source: </w:t>
      </w:r>
      <w:r w:rsidRPr="00BD16B4">
        <w:t xml:space="preserve">Ministry for the Environment. 2022. </w:t>
      </w:r>
      <w:r w:rsidRPr="00BD16B4">
        <w:rPr>
          <w:i/>
        </w:rPr>
        <w:t xml:space="preserve">New Zealand’s Greenhouse Gas Inventory 1990–2020. </w:t>
      </w:r>
      <w:r w:rsidRPr="00BD16B4">
        <w:t>Wellington: Ministry for the Environment.</w:t>
      </w:r>
    </w:p>
    <w:p w14:paraId="529DF7A2" w14:textId="77777777" w:rsidR="00711C35" w:rsidRPr="00BD16B4" w:rsidRDefault="00711C35" w:rsidP="00841648">
      <w:pPr>
        <w:pStyle w:val="Heading3"/>
        <w:spacing w:before="240"/>
      </w:pPr>
      <w:r w:rsidRPr="00BD16B4">
        <w:t>3.2.8</w:t>
      </w:r>
      <w:r w:rsidRPr="00BD16B4">
        <w:tab/>
        <w:t>Tokelau (other) sector</w:t>
      </w:r>
    </w:p>
    <w:p w14:paraId="1131DB78" w14:textId="77777777" w:rsidR="00711C35" w:rsidRPr="00BD16B4" w:rsidRDefault="00711C35" w:rsidP="00711C35">
      <w:pPr>
        <w:pStyle w:val="BodyText"/>
      </w:pPr>
      <w:r w:rsidRPr="00BD16B4">
        <w:t>Tokelau is a non-self-governing territory of New Zealand made up of three small coral atolls. It has a subsistence economy, in which sharing of resources plays a significant role. The combination of the small land area, small population and absence of industry means Tokelau has an extremely minimal impact on the environment and contributes only a minor amount of greenhouse gas emissions. Emissions in Tokelau are limited to:</w:t>
      </w:r>
    </w:p>
    <w:p w14:paraId="40BD475C" w14:textId="77777777" w:rsidR="00711C35" w:rsidRPr="00BD16B4" w:rsidRDefault="00711C35" w:rsidP="0011037B">
      <w:pPr>
        <w:pStyle w:val="Bullet"/>
        <w:spacing w:line="280" w:lineRule="exact"/>
      </w:pPr>
      <w:r w:rsidRPr="00BD16B4">
        <w:t>CO</w:t>
      </w:r>
      <w:r w:rsidRPr="00BD16B4">
        <w:rPr>
          <w:vertAlign w:val="subscript"/>
        </w:rPr>
        <w:t>2</w:t>
      </w:r>
      <w:r w:rsidRPr="00BD16B4">
        <w:t xml:space="preserve"> from boat engines and land vehicles</w:t>
      </w:r>
    </w:p>
    <w:p w14:paraId="38677A2D" w14:textId="77777777" w:rsidR="00711C35" w:rsidRPr="00BD16B4" w:rsidRDefault="00711C35" w:rsidP="0011037B">
      <w:pPr>
        <w:pStyle w:val="Bullet"/>
        <w:spacing w:line="280" w:lineRule="exact"/>
      </w:pPr>
      <w:r w:rsidRPr="00BD16B4">
        <w:t>CO</w:t>
      </w:r>
      <w:r w:rsidRPr="00BD16B4">
        <w:rPr>
          <w:vertAlign w:val="subscript"/>
        </w:rPr>
        <w:t>2</w:t>
      </w:r>
      <w:r w:rsidRPr="00BD16B4">
        <w:t xml:space="preserve"> from back-up power generators</w:t>
      </w:r>
    </w:p>
    <w:p w14:paraId="74C6DD72" w14:textId="77777777" w:rsidR="00711C35" w:rsidRPr="00BD16B4" w:rsidRDefault="00711C35" w:rsidP="0011037B">
      <w:pPr>
        <w:pStyle w:val="Bullet"/>
        <w:spacing w:line="280" w:lineRule="exact"/>
      </w:pPr>
      <w:r w:rsidRPr="00BD16B4">
        <w:t xml:space="preserve">F-gases from the use of refrigerants </w:t>
      </w:r>
    </w:p>
    <w:p w14:paraId="0C2A5B19" w14:textId="77777777" w:rsidR="00711C35" w:rsidRPr="00BD16B4" w:rsidRDefault="00711C35" w:rsidP="0011037B">
      <w:pPr>
        <w:pStyle w:val="Bullet"/>
        <w:spacing w:line="280" w:lineRule="exact"/>
      </w:pPr>
      <w:r w:rsidRPr="00BD16B4">
        <w:t>CH</w:t>
      </w:r>
      <w:r w:rsidRPr="00BD16B4">
        <w:rPr>
          <w:vertAlign w:val="subscript"/>
        </w:rPr>
        <w:t>4</w:t>
      </w:r>
      <w:r w:rsidRPr="00BD16B4">
        <w:t xml:space="preserve"> and N</w:t>
      </w:r>
      <w:r w:rsidRPr="00BD16B4">
        <w:rPr>
          <w:vertAlign w:val="subscript"/>
        </w:rPr>
        <w:t>2</w:t>
      </w:r>
      <w:r w:rsidRPr="00BD16B4">
        <w:t>O from livestock (pig and poultry)</w:t>
      </w:r>
    </w:p>
    <w:p w14:paraId="4FF58B26" w14:textId="77777777" w:rsidR="00711C35" w:rsidRPr="00BD16B4" w:rsidRDefault="00711C35" w:rsidP="0011037B">
      <w:pPr>
        <w:pStyle w:val="Bullet"/>
        <w:spacing w:line="280" w:lineRule="exact"/>
      </w:pPr>
      <w:r w:rsidRPr="00BD16B4">
        <w:t>CH</w:t>
      </w:r>
      <w:r w:rsidRPr="00BD16B4">
        <w:rPr>
          <w:vertAlign w:val="subscript"/>
        </w:rPr>
        <w:t>4</w:t>
      </w:r>
      <w:r w:rsidRPr="00BD16B4">
        <w:t>, CO</w:t>
      </w:r>
      <w:r w:rsidRPr="00BD16B4">
        <w:rPr>
          <w:vertAlign w:val="subscript"/>
        </w:rPr>
        <w:t>2</w:t>
      </w:r>
      <w:r w:rsidRPr="00BD16B4">
        <w:t xml:space="preserve"> and N</w:t>
      </w:r>
      <w:r w:rsidRPr="00BD16B4">
        <w:rPr>
          <w:vertAlign w:val="subscript"/>
        </w:rPr>
        <w:t>2</w:t>
      </w:r>
      <w:r w:rsidRPr="00BD16B4">
        <w:t>O from waste.</w:t>
      </w:r>
    </w:p>
    <w:p w14:paraId="19E80C12" w14:textId="77777777" w:rsidR="00711C35" w:rsidRPr="00BD16B4" w:rsidRDefault="00711C35" w:rsidP="00711C35">
      <w:pPr>
        <w:pStyle w:val="BodyText"/>
      </w:pPr>
      <w:r w:rsidRPr="00BD16B4">
        <w:t>In 2020, emissions from Tokelau contributed 4.2 kt CO</w:t>
      </w:r>
      <w:r w:rsidRPr="00BD16B4">
        <w:rPr>
          <w:vertAlign w:val="subscript"/>
        </w:rPr>
        <w:t>2</w:t>
      </w:r>
      <w:r w:rsidRPr="00BD16B4">
        <w:t>-e (table 3.1). Carbon dioxide</w:t>
      </w:r>
      <w:r w:rsidRPr="00BD16B4">
        <w:rPr>
          <w:vertAlign w:val="subscript"/>
        </w:rPr>
        <w:t xml:space="preserve"> </w:t>
      </w:r>
      <w:r w:rsidRPr="00BD16B4">
        <w:t>dominated emissions from Tokelau, contributing 57.9 per cent of total emissions, followed by CH</w:t>
      </w:r>
      <w:r w:rsidRPr="00BD16B4">
        <w:rPr>
          <w:vertAlign w:val="subscript"/>
        </w:rPr>
        <w:t>4</w:t>
      </w:r>
      <w:r w:rsidRPr="00BD16B4">
        <w:t xml:space="preserve"> at 35.3 per cent, HFCs at 5.6 per cent and N</w:t>
      </w:r>
      <w:r w:rsidRPr="00BD16B4">
        <w:rPr>
          <w:vertAlign w:val="subscript"/>
        </w:rPr>
        <w:t>2</w:t>
      </w:r>
      <w:r w:rsidRPr="00BD16B4">
        <w:t xml:space="preserve">O at 1.2 per cent (figure 3.9). The major source of emissions in Tokelau is the energy sector, which contributed 57.5 per cent of emissions, followed by the </w:t>
      </w:r>
      <w:bookmarkStart w:id="160" w:name="_Int_W0TknAld"/>
      <w:r w:rsidRPr="00BD16B4">
        <w:t>agriculture</w:t>
      </w:r>
      <w:bookmarkEnd w:id="160"/>
      <w:r w:rsidRPr="00BD16B4">
        <w:t xml:space="preserve"> sector at 19.7 per cent, waste sector at 16.6 per cent and IPPU sector at 6.1 per cent in 2020 (figure 3.10). </w:t>
      </w:r>
    </w:p>
    <w:p w14:paraId="7623CB27" w14:textId="77777777" w:rsidR="00711C35" w:rsidRPr="00BD16B4" w:rsidRDefault="00711C35" w:rsidP="00711C35">
      <w:pPr>
        <w:pStyle w:val="BodyText"/>
      </w:pPr>
      <w:r w:rsidRPr="00BD16B4">
        <w:lastRenderedPageBreak/>
        <w:t xml:space="preserve">The largest source of emissions in Tokelau is domestic navigation. </w:t>
      </w:r>
    </w:p>
    <w:p w14:paraId="56359559" w14:textId="77777777" w:rsidR="00711C35" w:rsidRPr="00BD16B4" w:rsidRDefault="00711C35" w:rsidP="00711C35">
      <w:pPr>
        <w:pStyle w:val="BodyText"/>
      </w:pPr>
      <w:r w:rsidRPr="00BD16B4">
        <w:t xml:space="preserve">Between 1990 and 2020, emissions from Tokelau increased by 31.9 per cent. This is driven by an increase in domestic navigation, which occurred after Tokelau gained ownership and use of passenger and cargo vessels, and an increase in electricity generation due to the introduction of air conditioning after 2006. </w:t>
      </w:r>
    </w:p>
    <w:p w14:paraId="60AF4CAC" w14:textId="77777777" w:rsidR="00711C35" w:rsidRPr="00BD16B4" w:rsidRDefault="00711C35" w:rsidP="00711C35">
      <w:pPr>
        <w:pStyle w:val="BodyText"/>
      </w:pPr>
      <w:r w:rsidRPr="00BD16B4">
        <w:t xml:space="preserve">Between 2019 and 2020, total emissions from Tokelau decreased by 2.8 per cent. The reason for this change was that domestic navigation reduced because shipping in Tokelau decreased in response to restrictions related to the COVID-19 pandemic. </w:t>
      </w:r>
    </w:p>
    <w:p w14:paraId="401D5E6B" w14:textId="77777777" w:rsidR="00711C35" w:rsidRPr="00BD16B4" w:rsidRDefault="00711C35" w:rsidP="00EC76A2">
      <w:pPr>
        <w:pStyle w:val="Figureheading"/>
      </w:pPr>
      <w:bookmarkStart w:id="161" w:name="_Toc121494389"/>
      <w:r w:rsidRPr="00BD16B4">
        <w:t>Figure 3.9:</w:t>
      </w:r>
      <w:r w:rsidRPr="00BD16B4">
        <w:tab/>
        <w:t>Tokelau’s greenhouse gas emissions by gas, 2020</w:t>
      </w:r>
      <w:bookmarkEnd w:id="161"/>
    </w:p>
    <w:p w14:paraId="41BBF2FB" w14:textId="77777777" w:rsidR="00711C35" w:rsidRPr="00BD16B4" w:rsidRDefault="00711C35" w:rsidP="00711C35">
      <w:pPr>
        <w:pStyle w:val="Default"/>
        <w:spacing w:after="120"/>
        <w:rPr>
          <w:sz w:val="22"/>
          <w:szCs w:val="22"/>
        </w:rPr>
      </w:pPr>
      <w:r w:rsidRPr="00BD16B4">
        <w:rPr>
          <w:noProof/>
        </w:rPr>
        <w:drawing>
          <wp:inline distT="0" distB="0" distL="0" distR="0" wp14:anchorId="63636EE0" wp14:editId="78A1724B">
            <wp:extent cx="5210174" cy="2438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64">
                      <a:extLst>
                        <a:ext uri="{28A0092B-C50C-407E-A947-70E740481C1C}">
                          <a14:useLocalDpi xmlns:a14="http://schemas.microsoft.com/office/drawing/2010/main" val="0"/>
                        </a:ext>
                      </a:extLst>
                    </a:blip>
                    <a:srcRect t="17538" b="1961"/>
                    <a:stretch>
                      <a:fillRect/>
                    </a:stretch>
                  </pic:blipFill>
                  <pic:spPr>
                    <a:xfrm>
                      <a:off x="0" y="0"/>
                      <a:ext cx="5210174" cy="2438400"/>
                    </a:xfrm>
                    <a:prstGeom prst="rect">
                      <a:avLst/>
                    </a:prstGeom>
                  </pic:spPr>
                </pic:pic>
              </a:graphicData>
            </a:graphic>
          </wp:inline>
        </w:drawing>
      </w:r>
    </w:p>
    <w:p w14:paraId="6265654B" w14:textId="77777777" w:rsidR="00711C35" w:rsidRPr="00BD16B4" w:rsidRDefault="00711C35" w:rsidP="00120409">
      <w:pPr>
        <w:pStyle w:val="Note"/>
        <w:rPr>
          <w:b/>
        </w:rPr>
      </w:pPr>
      <w:r w:rsidRPr="00BD16B4">
        <w:rPr>
          <w:b/>
        </w:rPr>
        <w:t>Note:</w:t>
      </w:r>
      <w:r w:rsidRPr="00BD16B4">
        <w:t xml:space="preserve"> CH</w:t>
      </w:r>
      <w:r w:rsidRPr="00BD16B4">
        <w:rPr>
          <w:vertAlign w:val="subscript"/>
        </w:rPr>
        <w:t>4</w:t>
      </w:r>
      <w:r w:rsidRPr="00BD16B4">
        <w:t xml:space="preserve"> = methane; CO</w:t>
      </w:r>
      <w:r w:rsidRPr="00BD16B4">
        <w:rPr>
          <w:vertAlign w:val="subscript"/>
        </w:rPr>
        <w:t xml:space="preserve">2 </w:t>
      </w:r>
      <w:r w:rsidRPr="00BD16B4">
        <w:t>= carbon dioxide; HFCs = hydrofluorocarbons; kt CO</w:t>
      </w:r>
      <w:r w:rsidRPr="00BD16B4">
        <w:rPr>
          <w:vertAlign w:val="subscript"/>
        </w:rPr>
        <w:t>2</w:t>
      </w:r>
      <w:r w:rsidRPr="00BD16B4">
        <w:t>-e = kilotonnes of carbon dioxide equivalent; N</w:t>
      </w:r>
      <w:r w:rsidRPr="00BD16B4">
        <w:rPr>
          <w:vertAlign w:val="subscript"/>
        </w:rPr>
        <w:t>2</w:t>
      </w:r>
      <w:r w:rsidRPr="00BD16B4">
        <w:t>O = nitrous oxide.</w:t>
      </w:r>
    </w:p>
    <w:p w14:paraId="66EBCD7A" w14:textId="77777777" w:rsidR="00711C35" w:rsidRPr="00BD16B4" w:rsidRDefault="00711C35" w:rsidP="00E05EAA">
      <w:pPr>
        <w:pStyle w:val="Source"/>
      </w:pPr>
      <w:r w:rsidRPr="00BD16B4">
        <w:rPr>
          <w:bCs/>
        </w:rPr>
        <w:t>Source:</w:t>
      </w:r>
      <w:r w:rsidRPr="00BD16B4">
        <w:rPr>
          <w:b/>
        </w:rPr>
        <w:t xml:space="preserve"> </w:t>
      </w:r>
      <w:r w:rsidRPr="00BD16B4">
        <w:t xml:space="preserve">Ministry for the Environment. 2022. </w:t>
      </w:r>
      <w:r w:rsidRPr="00BD16B4">
        <w:rPr>
          <w:i/>
        </w:rPr>
        <w:t xml:space="preserve">New Zealand’s Greenhouse Gas Inventory 1990–2020. </w:t>
      </w:r>
      <w:r w:rsidRPr="00BD16B4">
        <w:t>Wellington: Ministry for the Environment.</w:t>
      </w:r>
    </w:p>
    <w:p w14:paraId="7F36BC59" w14:textId="18FBFD6A" w:rsidR="00711C35" w:rsidRPr="00BD16B4" w:rsidRDefault="00711C35" w:rsidP="00EC76A2">
      <w:pPr>
        <w:pStyle w:val="Figureheading"/>
      </w:pPr>
      <w:bookmarkStart w:id="162" w:name="_Toc121494390"/>
      <w:r w:rsidRPr="00BD16B4">
        <w:t>Figure 3.</w:t>
      </w:r>
      <w:r w:rsidRPr="00BD16B4">
        <w:fldChar w:fldCharType="begin"/>
      </w:r>
      <w:r w:rsidRPr="00BD16B4">
        <w:instrText>SEQ Figure_3. \* ARABIC</w:instrText>
      </w:r>
      <w:r w:rsidRPr="00BD16B4">
        <w:fldChar w:fldCharType="separate"/>
      </w:r>
      <w:r w:rsidR="00A60C35">
        <w:rPr>
          <w:noProof/>
        </w:rPr>
        <w:t>5</w:t>
      </w:r>
      <w:r w:rsidRPr="00BD16B4">
        <w:fldChar w:fldCharType="end"/>
      </w:r>
      <w:r w:rsidRPr="00BD16B4">
        <w:t>0:</w:t>
      </w:r>
      <w:r w:rsidRPr="00BD16B4">
        <w:tab/>
        <w:t>Tokelau’s greenhouse gas emissions by sector, 2020</w:t>
      </w:r>
      <w:bookmarkEnd w:id="162"/>
    </w:p>
    <w:p w14:paraId="71E4AC46" w14:textId="77777777" w:rsidR="00711C35" w:rsidRPr="00BD16B4" w:rsidRDefault="00711C35" w:rsidP="00711C35">
      <w:pPr>
        <w:pStyle w:val="BodyText"/>
      </w:pPr>
      <w:r w:rsidRPr="00BD16B4">
        <w:rPr>
          <w:noProof/>
        </w:rPr>
        <w:drawing>
          <wp:inline distT="0" distB="0" distL="0" distR="0" wp14:anchorId="64AAAF2A" wp14:editId="030ECB48">
            <wp:extent cx="5210174" cy="1666875"/>
            <wp:effectExtent l="0" t="0" r="9525" b="9525"/>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5">
                      <a:extLst>
                        <a:ext uri="{28A0092B-C50C-407E-A947-70E740481C1C}">
                          <a14:useLocalDpi xmlns:a14="http://schemas.microsoft.com/office/drawing/2010/main" val="0"/>
                        </a:ext>
                      </a:extLst>
                    </a:blip>
                    <a:srcRect t="29515"/>
                    <a:stretch>
                      <a:fillRect/>
                    </a:stretch>
                  </pic:blipFill>
                  <pic:spPr>
                    <a:xfrm>
                      <a:off x="0" y="0"/>
                      <a:ext cx="5210174" cy="1666875"/>
                    </a:xfrm>
                    <a:prstGeom prst="rect">
                      <a:avLst/>
                    </a:prstGeom>
                  </pic:spPr>
                </pic:pic>
              </a:graphicData>
            </a:graphic>
          </wp:inline>
        </w:drawing>
      </w:r>
    </w:p>
    <w:p w14:paraId="6CB1E2B4" w14:textId="77777777" w:rsidR="00711C35" w:rsidRPr="00BD16B4" w:rsidRDefault="00711C35" w:rsidP="00120409">
      <w:pPr>
        <w:pStyle w:val="Note"/>
        <w:rPr>
          <w:bCs/>
        </w:rPr>
      </w:pPr>
      <w:r w:rsidRPr="00BD16B4">
        <w:rPr>
          <w:b/>
        </w:rPr>
        <w:t xml:space="preserve">Note: </w:t>
      </w:r>
      <w:r w:rsidRPr="00BD16B4">
        <w:t>IPPU = industrial processes and product use; kt CO</w:t>
      </w:r>
      <w:r w:rsidRPr="00BD16B4">
        <w:rPr>
          <w:vertAlign w:val="subscript"/>
        </w:rPr>
        <w:t>2</w:t>
      </w:r>
      <w:r w:rsidRPr="00BD16B4">
        <w:t>-e = kilotonnes of carbon dioxide equivalent.</w:t>
      </w:r>
    </w:p>
    <w:p w14:paraId="7F52F52B" w14:textId="77777777" w:rsidR="00711C35" w:rsidRPr="00BD16B4" w:rsidRDefault="00711C35" w:rsidP="00E05EAA">
      <w:pPr>
        <w:pStyle w:val="Source"/>
      </w:pPr>
      <w:r w:rsidRPr="00BD16B4">
        <w:rPr>
          <w:bCs/>
        </w:rPr>
        <w:t>Source:</w:t>
      </w:r>
      <w:r w:rsidRPr="00BD16B4">
        <w:rPr>
          <w:b/>
        </w:rPr>
        <w:t xml:space="preserve"> </w:t>
      </w:r>
      <w:r w:rsidRPr="00BD16B4">
        <w:t xml:space="preserve">Ministry for the Environment. 2022. </w:t>
      </w:r>
      <w:r w:rsidRPr="00BD16B4">
        <w:rPr>
          <w:i/>
        </w:rPr>
        <w:t xml:space="preserve">New Zealand’s Greenhouse Gas Inventory 1990–2020. </w:t>
      </w:r>
      <w:r w:rsidRPr="00BD16B4">
        <w:t>Wellington: Ministry for the Environment.</w:t>
      </w:r>
    </w:p>
    <w:p w14:paraId="2C947479" w14:textId="77777777" w:rsidR="00711C35" w:rsidRPr="00BD16B4" w:rsidRDefault="00711C35" w:rsidP="00711C35">
      <w:pPr>
        <w:pStyle w:val="Heading3"/>
      </w:pPr>
      <w:r w:rsidRPr="00BD16B4">
        <w:lastRenderedPageBreak/>
        <w:t xml:space="preserve">3.2.9 </w:t>
      </w:r>
      <w:r w:rsidRPr="00BD16B4">
        <w:tab/>
        <w:t>Land use, land-use change and forestry sector</w:t>
      </w:r>
    </w:p>
    <w:p w14:paraId="5645178E" w14:textId="77777777" w:rsidR="00711C35" w:rsidRPr="00BD16B4" w:rsidRDefault="00711C35" w:rsidP="00841648">
      <w:pPr>
        <w:pStyle w:val="BodyText"/>
        <w:keepLines/>
        <w:rPr>
          <w:rFonts w:eastAsia="+mn-ea"/>
        </w:rPr>
      </w:pPr>
      <w:r w:rsidRPr="00BD16B4">
        <w:t xml:space="preserve">Plantation forestry forms a core part of the New Zealand economy and has a </w:t>
      </w:r>
      <w:r w:rsidRPr="00BD16B4">
        <w:rPr>
          <w:szCs w:val="20"/>
        </w:rPr>
        <w:t xml:space="preserve">considerable </w:t>
      </w:r>
      <w:r w:rsidRPr="00BD16B4">
        <w:rPr>
          <w:spacing w:val="-2"/>
          <w:szCs w:val="20"/>
        </w:rPr>
        <w:t>influence</w:t>
      </w:r>
      <w:r w:rsidRPr="00BD16B4">
        <w:rPr>
          <w:spacing w:val="-2"/>
        </w:rPr>
        <w:t xml:space="preserve"> on the LULUCF sector emissions profile. </w:t>
      </w:r>
      <w:r w:rsidRPr="00BD16B4">
        <w:rPr>
          <w:rFonts w:eastAsia="+mn-ea"/>
          <w:spacing w:val="-2"/>
        </w:rPr>
        <w:t>As a result of its intensive forest management</w:t>
      </w:r>
      <w:r w:rsidRPr="00BD16B4">
        <w:rPr>
          <w:rFonts w:eastAsia="+mn-ea"/>
        </w:rPr>
        <w:t xml:space="preserve"> combined with </w:t>
      </w:r>
      <w:r w:rsidRPr="00BD16B4">
        <w:t xml:space="preserve">the </w:t>
      </w:r>
      <w:r w:rsidRPr="00BD16B4">
        <w:rPr>
          <w:rFonts w:eastAsia="+mn-ea"/>
        </w:rPr>
        <w:t>temperate climate</w:t>
      </w:r>
      <w:r w:rsidRPr="00BD16B4">
        <w:t>,</w:t>
      </w:r>
      <w:r w:rsidRPr="00BD16B4">
        <w:rPr>
          <w:rFonts w:eastAsia="+mn-ea"/>
        </w:rPr>
        <w:t xml:space="preserve"> </w:t>
      </w:r>
      <w:r w:rsidRPr="00BD16B4">
        <w:t>fertile soils and high rainfall,</w:t>
      </w:r>
      <w:r w:rsidRPr="00BD16B4">
        <w:rPr>
          <w:rFonts w:eastAsia="+mn-ea"/>
        </w:rPr>
        <w:t xml:space="preserve"> our country has </w:t>
      </w:r>
      <w:r w:rsidRPr="00BD16B4">
        <w:t>one of the highest rates of plantation forest growth among developed countries</w:t>
      </w:r>
      <w:r w:rsidRPr="00BD16B4">
        <w:rPr>
          <w:rFonts w:eastAsia="+mn-ea"/>
        </w:rPr>
        <w:t>.</w:t>
      </w:r>
    </w:p>
    <w:p w14:paraId="33A57502" w14:textId="77777777" w:rsidR="00711C35" w:rsidRPr="00BD16B4" w:rsidRDefault="00711C35" w:rsidP="00711C35">
      <w:pPr>
        <w:pStyle w:val="BodyText"/>
        <w:rPr>
          <w:rFonts w:eastAsia="+mn-ea"/>
        </w:rPr>
      </w:pPr>
      <w:r w:rsidRPr="00BD16B4">
        <w:t xml:space="preserve">In New Zealand, the LULUCF sector is a net carbon sink. In 2020, net emissions from the LULUCF </w:t>
      </w:r>
      <w:r w:rsidRPr="00BD16B4">
        <w:rPr>
          <w:rFonts w:cs="Calibri"/>
        </w:rPr>
        <w:t>sector (as reported under the UNFCCC)</w:t>
      </w:r>
      <w:r w:rsidRPr="00BD16B4">
        <w:rPr>
          <w:rFonts w:cs="Calibri"/>
          <w:vertAlign w:val="superscript"/>
        </w:rPr>
        <w:footnoteReference w:id="126"/>
      </w:r>
      <w:r w:rsidRPr="00BD16B4">
        <w:rPr>
          <w:rFonts w:cs="Calibri"/>
        </w:rPr>
        <w:t xml:space="preserve"> </w:t>
      </w:r>
      <w:bookmarkStart w:id="163" w:name="_Int_J7IKkMld"/>
      <w:r w:rsidRPr="00BD16B4">
        <w:rPr>
          <w:rFonts w:cs="Calibri"/>
        </w:rPr>
        <w:t>were</w:t>
      </w:r>
      <w:bookmarkEnd w:id="163"/>
      <w:r w:rsidRPr="00BD16B4">
        <w:rPr>
          <w:rFonts w:cs="Calibri"/>
        </w:rPr>
        <w:t xml:space="preserve"> –23,313.3 kt CO</w:t>
      </w:r>
      <w:r w:rsidRPr="00BD16B4">
        <w:rPr>
          <w:rFonts w:cs="Calibri"/>
          <w:vertAlign w:val="subscript"/>
        </w:rPr>
        <w:t>2</w:t>
      </w:r>
      <w:r w:rsidRPr="00BD16B4">
        <w:rPr>
          <w:rFonts w:cs="Calibri"/>
        </w:rPr>
        <w:t xml:space="preserve">-e (table 3.1). This total comprises </w:t>
      </w:r>
      <w:r w:rsidRPr="00BD16B4">
        <w:t xml:space="preserve">removals of –23,666.2 </w:t>
      </w:r>
      <w:r w:rsidRPr="00BD16B4">
        <w:rPr>
          <w:rFonts w:cs="Calibri"/>
        </w:rPr>
        <w:t>kt CO</w:t>
      </w:r>
      <w:r w:rsidRPr="00BD16B4">
        <w:rPr>
          <w:rFonts w:cs="Calibri"/>
          <w:vertAlign w:val="subscript"/>
        </w:rPr>
        <w:t>2</w:t>
      </w:r>
      <w:r w:rsidRPr="00BD16B4">
        <w:rPr>
          <w:rFonts w:cs="Calibri"/>
        </w:rPr>
        <w:t>-e</w:t>
      </w:r>
      <w:r w:rsidRPr="00BD16B4">
        <w:t xml:space="preserve"> of CO</w:t>
      </w:r>
      <w:r w:rsidRPr="00BD16B4">
        <w:rPr>
          <w:vertAlign w:val="subscript"/>
        </w:rPr>
        <w:t>2</w:t>
      </w:r>
      <w:r w:rsidRPr="00BD16B4">
        <w:t>, and small emissions of CH</w:t>
      </w:r>
      <w:r w:rsidRPr="00BD16B4">
        <w:rPr>
          <w:vertAlign w:val="subscript"/>
        </w:rPr>
        <w:t xml:space="preserve">4 </w:t>
      </w:r>
      <w:r w:rsidRPr="00BD16B4">
        <w:t>at 81.7</w:t>
      </w:r>
      <w:r w:rsidRPr="00BD16B4">
        <w:rPr>
          <w:rFonts w:cs="Calibri"/>
        </w:rPr>
        <w:t xml:space="preserve"> kt CO</w:t>
      </w:r>
      <w:r w:rsidRPr="00BD16B4">
        <w:rPr>
          <w:rFonts w:cs="Calibri"/>
          <w:vertAlign w:val="subscript"/>
        </w:rPr>
        <w:t>2</w:t>
      </w:r>
      <w:r w:rsidRPr="00BD16B4">
        <w:rPr>
          <w:rFonts w:cs="Calibri"/>
        </w:rPr>
        <w:t xml:space="preserve">-e </w:t>
      </w:r>
      <w:r w:rsidRPr="00BD16B4">
        <w:t>and N</w:t>
      </w:r>
      <w:r w:rsidRPr="00BD16B4">
        <w:rPr>
          <w:vertAlign w:val="subscript"/>
        </w:rPr>
        <w:t>2</w:t>
      </w:r>
      <w:r w:rsidRPr="00BD16B4">
        <w:t xml:space="preserve">O at </w:t>
      </w:r>
      <w:r w:rsidRPr="00BD16B4">
        <w:rPr>
          <w:rFonts w:cs="Calibri"/>
        </w:rPr>
        <w:t>271.3 kt CO</w:t>
      </w:r>
      <w:r w:rsidRPr="00BD16B4">
        <w:rPr>
          <w:rFonts w:cs="Calibri"/>
          <w:vertAlign w:val="subscript"/>
        </w:rPr>
        <w:t>2</w:t>
      </w:r>
      <w:r w:rsidRPr="00BD16B4">
        <w:rPr>
          <w:rFonts w:cs="Calibri"/>
        </w:rPr>
        <w:t>-e (resulting in the net removals figure of –23,313.3 kt CO</w:t>
      </w:r>
      <w:r w:rsidRPr="00BD16B4">
        <w:rPr>
          <w:rFonts w:cs="Calibri"/>
          <w:vertAlign w:val="subscript"/>
        </w:rPr>
        <w:t>2</w:t>
      </w:r>
      <w:r w:rsidRPr="00BD16B4">
        <w:rPr>
          <w:rFonts w:cs="Calibri"/>
        </w:rPr>
        <w:t>-e as noted above)</w:t>
      </w:r>
      <w:r w:rsidRPr="00BD16B4">
        <w:t>. The greatest contribution to both emissions and removals came from the category of forest land remaining forest land. A large amount of CO</w:t>
      </w:r>
      <w:r w:rsidRPr="00BD16B4">
        <w:rPr>
          <w:vertAlign w:val="subscript"/>
        </w:rPr>
        <w:t>2</w:t>
      </w:r>
      <w:r w:rsidRPr="00BD16B4">
        <w:t xml:space="preserve"> is sequestered as trees grow, while large emissions come from sustainable harvesting of plantation forests. </w:t>
      </w:r>
    </w:p>
    <w:p w14:paraId="6D86A012" w14:textId="77777777" w:rsidR="00711C35" w:rsidRPr="00BD16B4" w:rsidRDefault="00711C35" w:rsidP="00711C35">
      <w:pPr>
        <w:pStyle w:val="BodyText"/>
      </w:pPr>
      <w:r w:rsidRPr="00BD16B4">
        <w:t xml:space="preserve">Net emissions from the LULUCF sector have fluctuated over the time series as the rate of harvesting, afforestation and deforestation changes. (See figure 3.11, which plots the absolute net change in emissions across the time series to demonstrate how much emissions caused by these activities vary from year to year.) Between 1990 and 2020, net removals from the LULUCF sector have increased by 9.8 per cent. This is largely the result of increased production of harvested wood products, which have compensated for the emissions from the increase in forest harvesting (figure 3.12). </w:t>
      </w:r>
    </w:p>
    <w:p w14:paraId="60B7C447" w14:textId="77777777" w:rsidR="00711C35" w:rsidRPr="00BD16B4" w:rsidRDefault="00711C35" w:rsidP="00711C35">
      <w:pPr>
        <w:pStyle w:val="BodyText"/>
      </w:pPr>
      <w:r w:rsidRPr="00BD16B4">
        <w:t xml:space="preserve">Between 2019 and 2020, net removals from the LULUCF sector increased by 1.2 per cent. The largest change in absolute terms was in the harvested wood products category, which had an increase in emissions of 24.4 per cent. This change resulted from disruptions in processing and logistics while COVID-19 pandemic restrictions applied. The second greatest change occurred in the grassland category, where emissions decreased by 41.2 per cent between the two years. The reason was that deforestation of planted forest reduced, resulting in fewer conversions from forest land to grassland. </w:t>
      </w:r>
    </w:p>
    <w:p w14:paraId="04F1CDCF" w14:textId="77777777" w:rsidR="00711C35" w:rsidRPr="00BD16B4" w:rsidRDefault="00711C35" w:rsidP="00EC76A2">
      <w:pPr>
        <w:pStyle w:val="Figureheading"/>
      </w:pPr>
      <w:bookmarkStart w:id="164" w:name="_Toc447275661"/>
      <w:bookmarkStart w:id="165" w:name="_Toc481751978"/>
      <w:bookmarkStart w:id="166" w:name="_Toc498517314"/>
      <w:bookmarkStart w:id="167" w:name="_Toc500767113"/>
      <w:bookmarkStart w:id="168" w:name="_Toc121494391"/>
      <w:r w:rsidRPr="00BD16B4">
        <w:lastRenderedPageBreak/>
        <w:t>Figure 3.11:</w:t>
      </w:r>
      <w:r w:rsidRPr="00BD16B4">
        <w:tab/>
        <w:t>Absolute change in net emissions from the LULUCF sector, 1990–20</w:t>
      </w:r>
      <w:bookmarkEnd w:id="164"/>
      <w:bookmarkEnd w:id="165"/>
      <w:bookmarkEnd w:id="166"/>
      <w:bookmarkEnd w:id="167"/>
      <w:r w:rsidRPr="00BD16B4">
        <w:t>20</w:t>
      </w:r>
      <w:bookmarkEnd w:id="168"/>
    </w:p>
    <w:p w14:paraId="4B7134E6" w14:textId="77777777" w:rsidR="00711C35" w:rsidRPr="00BD16B4" w:rsidRDefault="00711C35" w:rsidP="00711C35">
      <w:pPr>
        <w:pStyle w:val="BodyText"/>
      </w:pPr>
      <w:r w:rsidRPr="00BD16B4">
        <w:rPr>
          <w:noProof/>
        </w:rPr>
        <w:drawing>
          <wp:inline distT="0" distB="0" distL="0" distR="0" wp14:anchorId="699947A5" wp14:editId="385E7184">
            <wp:extent cx="5332780" cy="3987670"/>
            <wp:effectExtent l="0" t="0" r="0" b="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34377" cy="3988864"/>
                    </a:xfrm>
                    <a:prstGeom prst="rect">
                      <a:avLst/>
                    </a:prstGeom>
                    <a:noFill/>
                    <a:ln>
                      <a:noFill/>
                    </a:ln>
                  </pic:spPr>
                </pic:pic>
              </a:graphicData>
            </a:graphic>
          </wp:inline>
        </w:drawing>
      </w:r>
    </w:p>
    <w:p w14:paraId="510725F5" w14:textId="77777777" w:rsidR="00711C35" w:rsidRPr="00BD16B4" w:rsidRDefault="00711C35" w:rsidP="00120409">
      <w:pPr>
        <w:pStyle w:val="Note"/>
        <w:rPr>
          <w:b/>
        </w:rPr>
      </w:pPr>
      <w:r w:rsidRPr="00BD16B4">
        <w:rPr>
          <w:b/>
        </w:rPr>
        <w:t xml:space="preserve">Note: </w:t>
      </w:r>
      <w:r w:rsidRPr="00BD16B4">
        <w:t>kt CO</w:t>
      </w:r>
      <w:r w:rsidRPr="00BD16B4">
        <w:rPr>
          <w:vertAlign w:val="subscript"/>
        </w:rPr>
        <w:t>2</w:t>
      </w:r>
      <w:r w:rsidRPr="00BD16B4">
        <w:t>-equivalent = kilotonnes of carbon dioxide equivalent; LULUCF = land use, land-use change and forestry.</w:t>
      </w:r>
    </w:p>
    <w:p w14:paraId="1A481002" w14:textId="77777777" w:rsidR="00711C35" w:rsidRPr="00BD16B4" w:rsidRDefault="00711C35" w:rsidP="00E05EAA">
      <w:pPr>
        <w:pStyle w:val="Source"/>
      </w:pPr>
      <w:r w:rsidRPr="00BD16B4">
        <w:rPr>
          <w:bCs/>
        </w:rPr>
        <w:t>Source:</w:t>
      </w:r>
      <w:r w:rsidRPr="00BD16B4">
        <w:rPr>
          <w:b/>
        </w:rPr>
        <w:t xml:space="preserve"> </w:t>
      </w:r>
      <w:r w:rsidRPr="00BD16B4">
        <w:t xml:space="preserve">Ministry for the Environment. 2022. </w:t>
      </w:r>
      <w:r w:rsidRPr="00BD16B4">
        <w:rPr>
          <w:i/>
        </w:rPr>
        <w:t xml:space="preserve">New Zealand’s Greenhouse Gas Inventory 1990–2020. </w:t>
      </w:r>
      <w:r w:rsidRPr="00BD16B4">
        <w:t>Wellington: Ministry for the Environment</w:t>
      </w:r>
      <w:r w:rsidRPr="00BD16B4">
        <w:rPr>
          <w:sz w:val="20"/>
        </w:rPr>
        <w:t>.</w:t>
      </w:r>
    </w:p>
    <w:p w14:paraId="599AD4B2" w14:textId="51C22A33" w:rsidR="00711C35" w:rsidRPr="00BD16B4" w:rsidRDefault="00711C35" w:rsidP="00EC76A2">
      <w:pPr>
        <w:pStyle w:val="Figureheading"/>
      </w:pPr>
      <w:bookmarkStart w:id="169" w:name="_Toc121494392"/>
      <w:r w:rsidRPr="00BD16B4">
        <w:t>Figure 3.</w:t>
      </w:r>
      <w:r w:rsidRPr="00BD16B4">
        <w:fldChar w:fldCharType="begin"/>
      </w:r>
      <w:r w:rsidRPr="00BD16B4">
        <w:instrText>SEQ Figure_3. \* ARABIC</w:instrText>
      </w:r>
      <w:r w:rsidRPr="00BD16B4">
        <w:fldChar w:fldCharType="separate"/>
      </w:r>
      <w:r w:rsidR="00A60C35">
        <w:rPr>
          <w:noProof/>
        </w:rPr>
        <w:t>6</w:t>
      </w:r>
      <w:r w:rsidRPr="00BD16B4">
        <w:fldChar w:fldCharType="end"/>
      </w:r>
      <w:r w:rsidRPr="00BD16B4">
        <w:t>2:</w:t>
      </w:r>
      <w:r w:rsidRPr="00BD16B4">
        <w:tab/>
        <w:t>New Zealand’s annual emissions from the LULUCF sector, 1990–2020</w:t>
      </w:r>
      <w:bookmarkEnd w:id="169"/>
      <w:r w:rsidRPr="00BD16B4">
        <w:t xml:space="preserve"> </w:t>
      </w:r>
    </w:p>
    <w:p w14:paraId="23DEA4CE" w14:textId="77777777" w:rsidR="00711C35" w:rsidRPr="00BD16B4" w:rsidRDefault="00711C35" w:rsidP="00711C35">
      <w:pPr>
        <w:pStyle w:val="BodyText"/>
      </w:pPr>
      <w:r w:rsidRPr="00BD16B4">
        <w:rPr>
          <w:noProof/>
        </w:rPr>
        <w:drawing>
          <wp:inline distT="0" distB="0" distL="0" distR="0" wp14:anchorId="1A35A701" wp14:editId="175480DF">
            <wp:extent cx="5208270" cy="3086100"/>
            <wp:effectExtent l="0" t="0" r="0" b="0"/>
            <wp:docPr id="30" name="Char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F653B25" w14:textId="77777777" w:rsidR="00711C35" w:rsidRPr="00BD16B4" w:rsidRDefault="00711C35" w:rsidP="00120409">
      <w:pPr>
        <w:pStyle w:val="Note"/>
        <w:rPr>
          <w:b/>
        </w:rPr>
      </w:pPr>
      <w:r w:rsidRPr="00BD16B4">
        <w:rPr>
          <w:b/>
        </w:rPr>
        <w:t xml:space="preserve">Note: </w:t>
      </w:r>
      <w:r w:rsidRPr="00BD16B4">
        <w:t>kt CO</w:t>
      </w:r>
      <w:r w:rsidRPr="00BD16B4">
        <w:rPr>
          <w:vertAlign w:val="subscript"/>
        </w:rPr>
        <w:t>2</w:t>
      </w:r>
      <w:r w:rsidRPr="00BD16B4">
        <w:t>-equivalent = kilotonnes of carbon dioxide equivalent; LULUCF = land use, land-use change and forestry.</w:t>
      </w:r>
    </w:p>
    <w:p w14:paraId="599AB8C8" w14:textId="77777777" w:rsidR="00711C35" w:rsidRPr="00BD16B4" w:rsidRDefault="00711C35" w:rsidP="00E05EAA">
      <w:pPr>
        <w:pStyle w:val="Source"/>
      </w:pPr>
      <w:r w:rsidRPr="00BD16B4">
        <w:rPr>
          <w:bCs/>
        </w:rPr>
        <w:t xml:space="preserve">Source: </w:t>
      </w:r>
      <w:r w:rsidRPr="00BD16B4">
        <w:t xml:space="preserve">Ministry for the Environment. 2022. </w:t>
      </w:r>
      <w:r w:rsidRPr="00BD16B4">
        <w:rPr>
          <w:i/>
        </w:rPr>
        <w:t xml:space="preserve">New Zealand’s Greenhouse Gas Inventory 1990–2020. </w:t>
      </w:r>
      <w:r w:rsidRPr="00BD16B4">
        <w:t>Wellington: Ministry for the Environment.</w:t>
      </w:r>
    </w:p>
    <w:p w14:paraId="1FAFAF4B" w14:textId="77777777" w:rsidR="00711C35" w:rsidRPr="00BD16B4" w:rsidRDefault="00711C35" w:rsidP="00711C35">
      <w:pPr>
        <w:pStyle w:val="Heading3"/>
      </w:pPr>
      <w:r w:rsidRPr="00BD16B4">
        <w:lastRenderedPageBreak/>
        <w:t>3.2.10</w:t>
      </w:r>
      <w:r w:rsidRPr="00BD16B4">
        <w:tab/>
        <w:t>Articles 3.3 and 3.4 activities under the Kyoto Protocol</w:t>
      </w:r>
    </w:p>
    <w:p w14:paraId="31E49388" w14:textId="77777777" w:rsidR="00711C35" w:rsidRPr="00BD16B4" w:rsidRDefault="00711C35" w:rsidP="00711C35">
      <w:pPr>
        <w:pStyle w:val="BodyText"/>
      </w:pPr>
      <w:r w:rsidRPr="00BD16B4">
        <w:t xml:space="preserve">For Annex 1 Parties that have taken a target to reduce greenhouse gas emissions under the Kyoto Protocol, accounting and reporting of afforestation, reforestation and deforestation activities (Article 3.3) and forest management (Article 3.4) is mandatory during the second commitment period (2013–20). This is a change from the first commitment period, when reporting on forest management was voluntary. Even though New Zealand did not take a target under the Kyoto Protocol for the second commitment period, it applies Kyoto Protocol </w:t>
      </w:r>
      <w:r w:rsidRPr="00BD16B4">
        <w:rPr>
          <w:spacing w:val="-2"/>
        </w:rPr>
        <w:t>LULUCF accounting to its target under the UNFCCC for the period 2013–20. Our country reports</w:t>
      </w:r>
      <w:r w:rsidRPr="00BD16B4">
        <w:t xml:space="preserve"> on the mandatory activities under Articles 3.3 and 3.4 by monitoring trends in land use. To do so, land use maps and forestry statistics are used to detect and report the emissions from afforestation, reforestation, deforestation and forest management activities. New Zealand did not elect to report on any voluntary activities during the 2013–20 period. In 2020, activities covered 10,188,427 hectares, which represents 37.8 per cent of the country’s total land area. </w:t>
      </w:r>
    </w:p>
    <w:p w14:paraId="28FCA698" w14:textId="77777777" w:rsidR="00711C35" w:rsidRPr="00BD16B4" w:rsidRDefault="00711C35" w:rsidP="00711C35">
      <w:pPr>
        <w:pStyle w:val="BodyText"/>
      </w:pPr>
      <w:r w:rsidRPr="00BD16B4">
        <w:t xml:space="preserve">In 2020, net emissions reported under Articles 3.3 and 3.4 of the Kyoto Protocol were </w:t>
      </w:r>
      <w:r w:rsidRPr="00BD16B4">
        <w:br/>
        <w:t>–29,476.1 kt CO</w:t>
      </w:r>
      <w:r w:rsidRPr="00BD16B4">
        <w:rPr>
          <w:vertAlign w:val="subscript"/>
        </w:rPr>
        <w:t>2</w:t>
      </w:r>
      <w:r w:rsidRPr="00BD16B4">
        <w:t>-e. This consists of –14,764.7 kt CO</w:t>
      </w:r>
      <w:r w:rsidRPr="00BD16B4">
        <w:rPr>
          <w:vertAlign w:val="subscript"/>
        </w:rPr>
        <w:t>2</w:t>
      </w:r>
      <w:r w:rsidRPr="00BD16B4">
        <w:t>-e for afforestation and reforestation activities, 1,320.5 kt CO</w:t>
      </w:r>
      <w:r w:rsidRPr="00BD16B4">
        <w:rPr>
          <w:vertAlign w:val="subscript"/>
        </w:rPr>
        <w:t>2</w:t>
      </w:r>
      <w:r w:rsidRPr="00BD16B4">
        <w:t>-e for deforestation activities and –16,031.9 kt CO</w:t>
      </w:r>
      <w:r w:rsidRPr="00BD16B4">
        <w:rPr>
          <w:vertAlign w:val="subscript"/>
        </w:rPr>
        <w:t>2</w:t>
      </w:r>
      <w:r w:rsidRPr="00BD16B4">
        <w:t>-e for forest management activities. Estimates under the UNFCCC and the Kyoto Protocol differ because of their different approaches in accounting for pre-1990 forest in the LULUCF sector: it appears under forest management in Kyoto Protocol reporting, and as forest land remaining forest land in LULUCF reporting. Our government has interpreted forest management to include the whole area classified as pre-1990 natural forest and pre-1990 planted forest. Because reporting of emissions occurs against a business-as-usual reference level, New Zealand only accounts for emissions and removals that differ from the forest management reference level.</w:t>
      </w:r>
    </w:p>
    <w:p w14:paraId="7F8FD50E" w14:textId="77777777" w:rsidR="00711C35" w:rsidRPr="00BD16B4" w:rsidRDefault="00711C35" w:rsidP="00711C35">
      <w:pPr>
        <w:pStyle w:val="BodyText"/>
      </w:pPr>
      <w:r w:rsidRPr="00BD16B4">
        <w:t>Our government elected to account for LULUCF activities at the end of the accounting period rather than annually, in line with its accounting approach for the Kyoto Protocol first commitment period. The accounting quantity for the 2013–20 period is –123,281.1 kt CO</w:t>
      </w:r>
      <w:r w:rsidRPr="00BD16B4">
        <w:rPr>
          <w:vertAlign w:val="subscript"/>
        </w:rPr>
        <w:t>2</w:t>
      </w:r>
      <w:r w:rsidRPr="00BD16B4">
        <w:t>-e. This is the sum of emissions and removals from afforestation, reforestation and deforestation (Article 3.3) and net emissions from forest management (Article 3.4). (See chapter 2, section 2.3, and chapter 11 of the 2022 Inventory for details.)</w:t>
      </w:r>
    </w:p>
    <w:p w14:paraId="4BED70FF" w14:textId="613F334C" w:rsidR="00711C35" w:rsidRPr="00BD16B4" w:rsidRDefault="00711C35" w:rsidP="00711C35">
      <w:pPr>
        <w:pStyle w:val="Heading2"/>
      </w:pPr>
      <w:bookmarkStart w:id="170" w:name="figure13"/>
      <w:bookmarkStart w:id="171" w:name="_Toc246918246"/>
      <w:bookmarkStart w:id="172" w:name="_Toc248736172"/>
      <w:bookmarkStart w:id="173" w:name="_Toc500796143"/>
      <w:bookmarkStart w:id="174" w:name="_Toc121774632"/>
      <w:bookmarkEnd w:id="170"/>
      <w:r w:rsidRPr="00BD16B4">
        <w:t>3.3</w:t>
      </w:r>
      <w:r w:rsidRPr="00BD16B4">
        <w:tab/>
        <w:t>Emissions and removals by gas</w:t>
      </w:r>
      <w:bookmarkEnd w:id="171"/>
      <w:bookmarkEnd w:id="172"/>
      <w:bookmarkEnd w:id="173"/>
      <w:bookmarkEnd w:id="174"/>
    </w:p>
    <w:p w14:paraId="6F14CAAA" w14:textId="77777777" w:rsidR="00711C35" w:rsidRPr="00BD16B4" w:rsidRDefault="00711C35" w:rsidP="00711C35">
      <w:pPr>
        <w:pStyle w:val="Heading3"/>
        <w:spacing w:before="240"/>
      </w:pPr>
      <w:r w:rsidRPr="00BD16B4">
        <w:t>3.3.1</w:t>
      </w:r>
      <w:r w:rsidRPr="00BD16B4">
        <w:tab/>
        <w:t>Overview</w:t>
      </w:r>
    </w:p>
    <w:p w14:paraId="0BAFC868" w14:textId="77777777" w:rsidR="00711C35" w:rsidRPr="00BD16B4" w:rsidRDefault="00711C35" w:rsidP="00711C35">
      <w:pPr>
        <w:pStyle w:val="BodyText"/>
      </w:pPr>
      <w:r w:rsidRPr="00BD16B4">
        <w:t>Inventory reporting under the UNFCCC covers the following direct greenhouse gases: CO</w:t>
      </w:r>
      <w:r w:rsidRPr="00BD16B4">
        <w:rPr>
          <w:vertAlign w:val="subscript"/>
        </w:rPr>
        <w:t>2</w:t>
      </w:r>
      <w:r w:rsidRPr="00BD16B4">
        <w:t>, CH</w:t>
      </w:r>
      <w:r w:rsidRPr="00BD16B4">
        <w:rPr>
          <w:vertAlign w:val="subscript"/>
        </w:rPr>
        <w:t>4</w:t>
      </w:r>
      <w:r w:rsidRPr="00BD16B4">
        <w:t>, N</w:t>
      </w:r>
      <w:r w:rsidRPr="00BD16B4">
        <w:rPr>
          <w:vertAlign w:val="subscript"/>
        </w:rPr>
        <w:t>2</w:t>
      </w:r>
      <w:r w:rsidRPr="00BD16B4">
        <w:t>O, HFCs, PFCs, SF</w:t>
      </w:r>
      <w:r w:rsidRPr="00BD16B4">
        <w:rPr>
          <w:vertAlign w:val="subscript"/>
        </w:rPr>
        <w:t>6</w:t>
      </w:r>
      <w:r w:rsidRPr="00BD16B4">
        <w:t xml:space="preserve"> and nitrogen trifluoride.</w:t>
      </w:r>
      <w:r w:rsidRPr="00BD16B4">
        <w:rPr>
          <w:sz w:val="19"/>
          <w:szCs w:val="19"/>
          <w:vertAlign w:val="superscript"/>
        </w:rPr>
        <w:footnoteReference w:id="127"/>
      </w:r>
      <w:r w:rsidRPr="00BD16B4">
        <w:t xml:space="preserve"> Figure 3.13 shows New Zealand’s emissions profile by gas in 2020. Table 3.2 and figure 3.14 show the change in all direct greenhouse gases between 1990 and 2020. </w:t>
      </w:r>
    </w:p>
    <w:p w14:paraId="71A7FFF1" w14:textId="77777777" w:rsidR="00711C35" w:rsidRPr="00BD16B4" w:rsidRDefault="00711C35" w:rsidP="00711C35">
      <w:pPr>
        <w:pStyle w:val="BodyText"/>
      </w:pPr>
      <w:r w:rsidRPr="00BD16B4">
        <w:t xml:space="preserve">In accordance with UNFCCC reporting guidelines, indirect greenhouse gases are included in inventory reporting but not in the national emissions total. These indirect greenhouse gases include carbon monoxide, sulphur dioxide, oxides of nitrogen and non-methane volatile organic compounds. </w:t>
      </w:r>
    </w:p>
    <w:p w14:paraId="5512A94D" w14:textId="77777777" w:rsidR="00711C35" w:rsidRPr="00BD16B4" w:rsidRDefault="00711C35" w:rsidP="00EC76A2">
      <w:pPr>
        <w:pStyle w:val="Figureheading"/>
      </w:pPr>
      <w:bookmarkStart w:id="175" w:name="_Toc498517320"/>
      <w:bookmarkStart w:id="176" w:name="_Toc500767119"/>
      <w:bookmarkStart w:id="177" w:name="_Toc121494393"/>
      <w:r w:rsidRPr="00BD16B4">
        <w:lastRenderedPageBreak/>
        <w:t xml:space="preserve">Figure 3.13: </w:t>
      </w:r>
      <w:r w:rsidRPr="00BD16B4">
        <w:tab/>
        <w:t>New Zealand’s gross greenhouse gas emissions</w:t>
      </w:r>
      <w:bookmarkEnd w:id="175"/>
      <w:bookmarkEnd w:id="176"/>
      <w:r w:rsidRPr="00BD16B4">
        <w:t xml:space="preserve"> by gas, 2020</w:t>
      </w:r>
      <w:bookmarkEnd w:id="177"/>
    </w:p>
    <w:p w14:paraId="47F5C66A" w14:textId="77777777" w:rsidR="00711C35" w:rsidRPr="00BD16B4" w:rsidRDefault="00711C35" w:rsidP="00711C35">
      <w:pPr>
        <w:pStyle w:val="BodyText"/>
      </w:pPr>
      <w:r w:rsidRPr="00BD16B4">
        <w:rPr>
          <w:noProof/>
        </w:rPr>
        <w:drawing>
          <wp:inline distT="0" distB="0" distL="0" distR="0" wp14:anchorId="1FE0A4A2" wp14:editId="0818A87B">
            <wp:extent cx="5332780" cy="4006483"/>
            <wp:effectExtent l="0" t="0" r="0" b="0"/>
            <wp:docPr id="31" name="Picture 31"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68">
                      <a:extLst>
                        <a:ext uri="{28A0092B-C50C-407E-A947-70E740481C1C}">
                          <a14:useLocalDpi xmlns:a14="http://schemas.microsoft.com/office/drawing/2010/main" val="0"/>
                        </a:ext>
                      </a:extLst>
                    </a:blip>
                    <a:srcRect r="5362" b="1413"/>
                    <a:stretch>
                      <a:fillRect/>
                    </a:stretch>
                  </pic:blipFill>
                  <pic:spPr>
                    <a:xfrm>
                      <a:off x="0" y="0"/>
                      <a:ext cx="5332780" cy="4006483"/>
                    </a:xfrm>
                    <a:prstGeom prst="rect">
                      <a:avLst/>
                    </a:prstGeom>
                  </pic:spPr>
                </pic:pic>
              </a:graphicData>
            </a:graphic>
          </wp:inline>
        </w:drawing>
      </w:r>
    </w:p>
    <w:p w14:paraId="3AC9A960" w14:textId="77777777" w:rsidR="00711C35" w:rsidRPr="00BD16B4" w:rsidRDefault="00711C35" w:rsidP="003A77E5">
      <w:pPr>
        <w:pStyle w:val="Note"/>
        <w:spacing w:before="80"/>
      </w:pPr>
      <w:r w:rsidRPr="00BD16B4">
        <w:rPr>
          <w:b/>
        </w:rPr>
        <w:t xml:space="preserve">Note: </w:t>
      </w:r>
      <w:r w:rsidRPr="00BD16B4">
        <w:t>CH</w:t>
      </w:r>
      <w:r w:rsidRPr="00BD16B4">
        <w:rPr>
          <w:vertAlign w:val="subscript"/>
        </w:rPr>
        <w:t>4</w:t>
      </w:r>
      <w:r w:rsidRPr="00BD16B4">
        <w:t xml:space="preserve"> = methane; CO</w:t>
      </w:r>
      <w:r w:rsidRPr="00BD16B4">
        <w:rPr>
          <w:vertAlign w:val="subscript"/>
        </w:rPr>
        <w:t xml:space="preserve">2 </w:t>
      </w:r>
      <w:r w:rsidRPr="00BD16B4">
        <w:t>= carbon dioxide; F-gases = fluorinated gases; kt CO</w:t>
      </w:r>
      <w:r w:rsidRPr="00BD16B4">
        <w:rPr>
          <w:vertAlign w:val="subscript"/>
        </w:rPr>
        <w:t>2</w:t>
      </w:r>
      <w:r w:rsidRPr="00BD16B4">
        <w:t>-e = kilotonnes of carbon dioxide equivalent; N</w:t>
      </w:r>
      <w:r w:rsidRPr="00BD16B4">
        <w:rPr>
          <w:vertAlign w:val="subscript"/>
        </w:rPr>
        <w:t>2</w:t>
      </w:r>
      <w:r w:rsidRPr="00BD16B4">
        <w:t>O = nitrous oxide. The percentages may not add up to 100 per cent due to rounding.</w:t>
      </w:r>
    </w:p>
    <w:p w14:paraId="65738BAF" w14:textId="77777777" w:rsidR="00711C35" w:rsidRPr="00BD16B4" w:rsidRDefault="00711C35" w:rsidP="00E05EAA">
      <w:pPr>
        <w:pStyle w:val="Source"/>
      </w:pPr>
      <w:r w:rsidRPr="00BD16B4">
        <w:rPr>
          <w:bCs/>
        </w:rPr>
        <w:t>Source:</w:t>
      </w:r>
      <w:r w:rsidRPr="00BD16B4">
        <w:rPr>
          <w:b/>
        </w:rPr>
        <w:t xml:space="preserve"> </w:t>
      </w:r>
      <w:r w:rsidRPr="00BD16B4">
        <w:t xml:space="preserve">Ministry for the Environment. 2022. </w:t>
      </w:r>
      <w:r w:rsidRPr="00BD16B4">
        <w:rPr>
          <w:i/>
        </w:rPr>
        <w:t xml:space="preserve">New Zealand’s Greenhouse Gas Inventory 1990–2020. </w:t>
      </w:r>
      <w:r w:rsidRPr="00BD16B4">
        <w:t>Wellington: Ministry for the Environment</w:t>
      </w:r>
      <w:r w:rsidRPr="00BD16B4">
        <w:rPr>
          <w:sz w:val="20"/>
        </w:rPr>
        <w:t>.</w:t>
      </w:r>
    </w:p>
    <w:p w14:paraId="1CC2A12D" w14:textId="4CBE378D" w:rsidR="00711C35" w:rsidRPr="00BD16B4" w:rsidRDefault="00711C35" w:rsidP="00BB7302">
      <w:pPr>
        <w:pStyle w:val="Tableheading"/>
      </w:pPr>
      <w:bookmarkStart w:id="178" w:name="_Toc248736282"/>
      <w:bookmarkStart w:id="179" w:name="_Toc498516935"/>
      <w:bookmarkStart w:id="180" w:name="_Toc500767015"/>
      <w:bookmarkStart w:id="181" w:name="_Toc121773787"/>
      <w:r w:rsidRPr="00BD16B4">
        <w:t>Table 3.</w:t>
      </w:r>
      <w:r w:rsidRPr="00BD16B4">
        <w:fldChar w:fldCharType="begin"/>
      </w:r>
      <w:r w:rsidRPr="00BD16B4">
        <w:instrText>SEQ Table_3. \* ARABIC</w:instrText>
      </w:r>
      <w:r w:rsidRPr="00BD16B4">
        <w:fldChar w:fldCharType="separate"/>
      </w:r>
      <w:r w:rsidR="00A60C35">
        <w:rPr>
          <w:noProof/>
        </w:rPr>
        <w:t>2</w:t>
      </w:r>
      <w:r w:rsidRPr="00BD16B4">
        <w:fldChar w:fldCharType="end"/>
      </w:r>
      <w:r w:rsidRPr="00BD16B4">
        <w:t>:</w:t>
      </w:r>
      <w:r w:rsidRPr="00BD16B4">
        <w:tab/>
        <w:t>New Zealand’s emissions of greenhouse gases by gas, 1990 and 20</w:t>
      </w:r>
      <w:bookmarkEnd w:id="178"/>
      <w:bookmarkEnd w:id="179"/>
      <w:bookmarkEnd w:id="180"/>
      <w:r w:rsidRPr="00BD16B4">
        <w:t>20</w:t>
      </w:r>
      <w:bookmarkEnd w:id="181"/>
    </w:p>
    <w:tbl>
      <w:tblPr>
        <w:tblW w:w="8562" w:type="dxa"/>
        <w:tblInd w:w="108" w:type="dxa"/>
        <w:tblBorders>
          <w:top w:val="single" w:sz="4" w:space="0" w:color="1C556C"/>
          <w:bottom w:val="single" w:sz="4" w:space="0" w:color="1C556C"/>
          <w:insideH w:val="single" w:sz="4" w:space="0" w:color="1C556C"/>
          <w:insideV w:val="single" w:sz="4" w:space="0" w:color="1C556C"/>
        </w:tblBorders>
        <w:tblLook w:val="01E0" w:firstRow="1" w:lastRow="1" w:firstColumn="1" w:lastColumn="1" w:noHBand="0" w:noVBand="0"/>
      </w:tblPr>
      <w:tblGrid>
        <w:gridCol w:w="1959"/>
        <w:gridCol w:w="1468"/>
        <w:gridCol w:w="1748"/>
        <w:gridCol w:w="1676"/>
        <w:gridCol w:w="1711"/>
      </w:tblGrid>
      <w:tr w:rsidR="00711C35" w:rsidRPr="00BD16B4" w14:paraId="624DA97C" w14:textId="77777777" w:rsidTr="00F31129">
        <w:tc>
          <w:tcPr>
            <w:tcW w:w="1894" w:type="dxa"/>
            <w:vMerge w:val="restart"/>
            <w:tcBorders>
              <w:bottom w:val="nil"/>
              <w:right w:val="nil"/>
            </w:tcBorders>
            <w:shd w:val="clear" w:color="auto" w:fill="1C556C"/>
            <w:vAlign w:val="bottom"/>
          </w:tcPr>
          <w:p w14:paraId="71AE04B3" w14:textId="77777777" w:rsidR="00711C35" w:rsidRPr="00BD16B4" w:rsidRDefault="00711C35" w:rsidP="00F31129">
            <w:pPr>
              <w:pStyle w:val="TableText"/>
              <w:rPr>
                <w:rFonts w:cs="Calibri"/>
                <w:b/>
                <w:bCs/>
                <w:color w:val="FFFFFF" w:themeColor="background1"/>
                <w:szCs w:val="18"/>
              </w:rPr>
            </w:pPr>
            <w:r w:rsidRPr="00BD16B4">
              <w:rPr>
                <w:rFonts w:cs="Calibri"/>
                <w:b/>
                <w:bCs/>
                <w:color w:val="FFFFFF" w:themeColor="background1"/>
                <w:szCs w:val="18"/>
              </w:rPr>
              <w:t>Direct greenhouse gas emissions</w:t>
            </w:r>
          </w:p>
        </w:tc>
        <w:tc>
          <w:tcPr>
            <w:tcW w:w="3107" w:type="dxa"/>
            <w:gridSpan w:val="2"/>
            <w:tcBorders>
              <w:left w:val="nil"/>
              <w:bottom w:val="nil"/>
              <w:right w:val="nil"/>
            </w:tcBorders>
            <w:shd w:val="clear" w:color="auto" w:fill="1C556C"/>
            <w:vAlign w:val="bottom"/>
          </w:tcPr>
          <w:p w14:paraId="3BF74090" w14:textId="77777777" w:rsidR="00711C35" w:rsidRPr="00BD16B4" w:rsidRDefault="00711C35" w:rsidP="00F31129">
            <w:pPr>
              <w:pStyle w:val="TableText"/>
              <w:spacing w:after="0"/>
              <w:jc w:val="center"/>
              <w:rPr>
                <w:rFonts w:cs="Calibri"/>
                <w:b/>
                <w:bCs/>
                <w:color w:val="FFFFFF" w:themeColor="background1"/>
                <w:szCs w:val="18"/>
              </w:rPr>
            </w:pPr>
            <w:r w:rsidRPr="00BD16B4">
              <w:rPr>
                <w:rFonts w:cs="Calibri"/>
                <w:b/>
                <w:bCs/>
                <w:color w:val="FFFFFF" w:themeColor="background1"/>
                <w:szCs w:val="18"/>
              </w:rPr>
              <w:t>kt CO</w:t>
            </w:r>
            <w:r w:rsidRPr="00BD16B4">
              <w:rPr>
                <w:rFonts w:cs="Calibri"/>
                <w:b/>
                <w:bCs/>
                <w:color w:val="FFFFFF" w:themeColor="background1"/>
                <w:szCs w:val="18"/>
                <w:vertAlign w:val="subscript"/>
              </w:rPr>
              <w:t>2</w:t>
            </w:r>
            <w:r w:rsidRPr="00BD16B4">
              <w:rPr>
                <w:rFonts w:cs="Calibri"/>
                <w:b/>
                <w:bCs/>
                <w:color w:val="FFFFFF" w:themeColor="background1"/>
                <w:szCs w:val="18"/>
              </w:rPr>
              <w:t>-equivalent</w:t>
            </w:r>
          </w:p>
        </w:tc>
        <w:tc>
          <w:tcPr>
            <w:tcW w:w="1619" w:type="dxa"/>
            <w:vMerge w:val="restart"/>
            <w:tcBorders>
              <w:left w:val="nil"/>
              <w:bottom w:val="nil"/>
              <w:right w:val="nil"/>
            </w:tcBorders>
            <w:shd w:val="clear" w:color="auto" w:fill="1C556C"/>
            <w:vAlign w:val="bottom"/>
          </w:tcPr>
          <w:p w14:paraId="17749FC5" w14:textId="77777777" w:rsidR="00711C35" w:rsidRPr="00BD16B4" w:rsidRDefault="00711C35" w:rsidP="00F31129">
            <w:pPr>
              <w:pStyle w:val="TableText"/>
              <w:jc w:val="right"/>
              <w:rPr>
                <w:rFonts w:cs="Calibri"/>
                <w:b/>
                <w:bCs/>
                <w:color w:val="FFFFFF" w:themeColor="background1"/>
                <w:szCs w:val="18"/>
              </w:rPr>
            </w:pPr>
            <w:r w:rsidRPr="00BD16B4">
              <w:rPr>
                <w:rFonts w:cs="Calibri"/>
                <w:b/>
                <w:bCs/>
                <w:color w:val="FFFFFF" w:themeColor="background1"/>
                <w:szCs w:val="18"/>
              </w:rPr>
              <w:t>Change from 1990 (kt CO</w:t>
            </w:r>
            <w:r w:rsidRPr="00BD16B4">
              <w:rPr>
                <w:rFonts w:cs="Calibri"/>
                <w:b/>
                <w:bCs/>
                <w:color w:val="FFFFFF" w:themeColor="background1"/>
                <w:szCs w:val="18"/>
                <w:vertAlign w:val="subscript"/>
              </w:rPr>
              <w:t>2</w:t>
            </w:r>
            <w:r w:rsidRPr="00BD16B4">
              <w:rPr>
                <w:rFonts w:cs="Calibri"/>
                <w:b/>
                <w:bCs/>
                <w:color w:val="FFFFFF" w:themeColor="background1"/>
                <w:szCs w:val="18"/>
              </w:rPr>
              <w:t>-equivalent)</w:t>
            </w:r>
          </w:p>
        </w:tc>
        <w:tc>
          <w:tcPr>
            <w:tcW w:w="1653" w:type="dxa"/>
            <w:vMerge w:val="restart"/>
            <w:tcBorders>
              <w:left w:val="nil"/>
              <w:bottom w:val="nil"/>
            </w:tcBorders>
            <w:shd w:val="clear" w:color="auto" w:fill="1C556C"/>
            <w:vAlign w:val="bottom"/>
          </w:tcPr>
          <w:p w14:paraId="7021F8AB" w14:textId="77777777" w:rsidR="00711C35" w:rsidRPr="00BD16B4" w:rsidRDefault="00711C35" w:rsidP="00F31129">
            <w:pPr>
              <w:pStyle w:val="TableText"/>
              <w:jc w:val="right"/>
              <w:rPr>
                <w:rFonts w:cs="Calibri"/>
                <w:b/>
                <w:bCs/>
                <w:color w:val="FFFFFF" w:themeColor="background1"/>
                <w:szCs w:val="18"/>
              </w:rPr>
            </w:pPr>
            <w:r w:rsidRPr="00BD16B4">
              <w:rPr>
                <w:rFonts w:cs="Calibri"/>
                <w:b/>
                <w:bCs/>
                <w:color w:val="FFFFFF" w:themeColor="background1"/>
                <w:szCs w:val="18"/>
              </w:rPr>
              <w:t>Change from 1990 (%)</w:t>
            </w:r>
          </w:p>
        </w:tc>
      </w:tr>
      <w:tr w:rsidR="00711C35" w:rsidRPr="00BD16B4" w14:paraId="68A61CAC" w14:textId="77777777" w:rsidTr="00F31129">
        <w:tc>
          <w:tcPr>
            <w:tcW w:w="1894" w:type="dxa"/>
            <w:vMerge/>
            <w:tcBorders>
              <w:top w:val="nil"/>
              <w:right w:val="nil"/>
            </w:tcBorders>
            <w:shd w:val="clear" w:color="auto" w:fill="1C556C"/>
            <w:vAlign w:val="bottom"/>
          </w:tcPr>
          <w:p w14:paraId="586BF381" w14:textId="77777777" w:rsidR="00711C35" w:rsidRPr="00BD16B4" w:rsidRDefault="00711C35" w:rsidP="00F31129">
            <w:pPr>
              <w:pStyle w:val="TableText"/>
              <w:rPr>
                <w:rFonts w:cs="Calibri"/>
                <w:b/>
                <w:bCs/>
                <w:color w:val="FFFFFF" w:themeColor="background1"/>
                <w:szCs w:val="18"/>
              </w:rPr>
            </w:pPr>
          </w:p>
        </w:tc>
        <w:tc>
          <w:tcPr>
            <w:tcW w:w="1418" w:type="dxa"/>
            <w:tcBorders>
              <w:top w:val="nil"/>
              <w:left w:val="nil"/>
              <w:right w:val="nil"/>
            </w:tcBorders>
            <w:shd w:val="clear" w:color="auto" w:fill="1C556C"/>
            <w:vAlign w:val="bottom"/>
          </w:tcPr>
          <w:p w14:paraId="40698690" w14:textId="77777777" w:rsidR="00711C35" w:rsidRPr="00BD16B4" w:rsidRDefault="00711C35" w:rsidP="00F31129">
            <w:pPr>
              <w:pStyle w:val="TableText"/>
              <w:spacing w:before="0"/>
              <w:jc w:val="center"/>
              <w:rPr>
                <w:rFonts w:cs="Calibri"/>
                <w:b/>
                <w:bCs/>
                <w:color w:val="FFFFFF" w:themeColor="background1"/>
                <w:szCs w:val="18"/>
              </w:rPr>
            </w:pPr>
            <w:r w:rsidRPr="00BD16B4">
              <w:rPr>
                <w:rFonts w:cs="Calibri"/>
                <w:b/>
                <w:bCs/>
                <w:color w:val="FFFFFF" w:themeColor="background1"/>
                <w:szCs w:val="18"/>
              </w:rPr>
              <w:t>1990</w:t>
            </w:r>
          </w:p>
        </w:tc>
        <w:tc>
          <w:tcPr>
            <w:tcW w:w="1689" w:type="dxa"/>
            <w:tcBorders>
              <w:top w:val="nil"/>
              <w:left w:val="nil"/>
              <w:right w:val="nil"/>
            </w:tcBorders>
            <w:shd w:val="clear" w:color="auto" w:fill="1C556C"/>
            <w:vAlign w:val="bottom"/>
          </w:tcPr>
          <w:p w14:paraId="2B5C0EF7" w14:textId="77777777" w:rsidR="00711C35" w:rsidRPr="00BD16B4" w:rsidRDefault="00711C35" w:rsidP="00F31129">
            <w:pPr>
              <w:pStyle w:val="TableText"/>
              <w:spacing w:before="0"/>
              <w:jc w:val="center"/>
              <w:rPr>
                <w:rFonts w:cs="Calibri"/>
                <w:b/>
                <w:bCs/>
                <w:color w:val="FFFFFF" w:themeColor="background1"/>
                <w:szCs w:val="18"/>
              </w:rPr>
            </w:pPr>
            <w:r w:rsidRPr="00BD16B4">
              <w:rPr>
                <w:rFonts w:cs="Calibri"/>
                <w:b/>
                <w:bCs/>
                <w:color w:val="FFFFFF" w:themeColor="background1"/>
                <w:szCs w:val="18"/>
              </w:rPr>
              <w:t>2020</w:t>
            </w:r>
          </w:p>
        </w:tc>
        <w:tc>
          <w:tcPr>
            <w:tcW w:w="1619" w:type="dxa"/>
            <w:vMerge/>
            <w:tcBorders>
              <w:top w:val="nil"/>
              <w:left w:val="nil"/>
              <w:right w:val="nil"/>
            </w:tcBorders>
            <w:shd w:val="clear" w:color="auto" w:fill="1C556C"/>
            <w:vAlign w:val="bottom"/>
          </w:tcPr>
          <w:p w14:paraId="05B6EC9B" w14:textId="77777777" w:rsidR="00711C35" w:rsidRPr="00BD16B4" w:rsidRDefault="00711C35" w:rsidP="00F31129">
            <w:pPr>
              <w:pStyle w:val="TableText"/>
              <w:rPr>
                <w:rFonts w:cs="Calibri"/>
                <w:b/>
                <w:bCs/>
                <w:color w:val="FFFFFF" w:themeColor="background1"/>
                <w:szCs w:val="18"/>
              </w:rPr>
            </w:pPr>
          </w:p>
        </w:tc>
        <w:tc>
          <w:tcPr>
            <w:tcW w:w="1653" w:type="dxa"/>
            <w:vMerge/>
            <w:tcBorders>
              <w:top w:val="nil"/>
              <w:left w:val="nil"/>
            </w:tcBorders>
            <w:shd w:val="clear" w:color="auto" w:fill="1C556C"/>
            <w:vAlign w:val="bottom"/>
          </w:tcPr>
          <w:p w14:paraId="559FA5BD" w14:textId="77777777" w:rsidR="00711C35" w:rsidRPr="00BD16B4" w:rsidRDefault="00711C35" w:rsidP="00F31129">
            <w:pPr>
              <w:pStyle w:val="TableText"/>
              <w:rPr>
                <w:rFonts w:cs="Calibri"/>
                <w:b/>
                <w:bCs/>
                <w:color w:val="FFFFFF" w:themeColor="background1"/>
                <w:szCs w:val="18"/>
              </w:rPr>
            </w:pPr>
          </w:p>
        </w:tc>
      </w:tr>
      <w:tr w:rsidR="00711C35" w:rsidRPr="00BD16B4" w14:paraId="659FA80B" w14:textId="77777777" w:rsidTr="00F31129">
        <w:tc>
          <w:tcPr>
            <w:tcW w:w="1894" w:type="dxa"/>
            <w:shd w:val="clear" w:color="auto" w:fill="auto"/>
          </w:tcPr>
          <w:p w14:paraId="47A6EA98" w14:textId="77777777" w:rsidR="00711C35" w:rsidRPr="00BD16B4" w:rsidRDefault="00711C35" w:rsidP="00F31129">
            <w:pPr>
              <w:pStyle w:val="TableText"/>
              <w:rPr>
                <w:rFonts w:cs="Calibri"/>
                <w:szCs w:val="18"/>
              </w:rPr>
            </w:pPr>
            <w:r w:rsidRPr="00BD16B4">
              <w:rPr>
                <w:rFonts w:cs="Calibri"/>
                <w:szCs w:val="18"/>
              </w:rPr>
              <w:t>CO</w:t>
            </w:r>
            <w:r w:rsidRPr="00BD16B4">
              <w:rPr>
                <w:rFonts w:cs="Calibri"/>
                <w:szCs w:val="18"/>
                <w:vertAlign w:val="subscript"/>
              </w:rPr>
              <w:t>2</w:t>
            </w:r>
            <w:r w:rsidRPr="00BD16B4">
              <w:rPr>
                <w:rFonts w:cs="Calibri"/>
                <w:szCs w:val="18"/>
              </w:rPr>
              <w:t xml:space="preserve"> </w:t>
            </w:r>
          </w:p>
        </w:tc>
        <w:tc>
          <w:tcPr>
            <w:tcW w:w="1418" w:type="dxa"/>
            <w:shd w:val="clear" w:color="auto" w:fill="auto"/>
            <w:vAlign w:val="center"/>
          </w:tcPr>
          <w:p w14:paraId="6982A993" w14:textId="77777777" w:rsidR="00711C35" w:rsidRPr="00BD16B4" w:rsidRDefault="00711C35" w:rsidP="00F31129">
            <w:pPr>
              <w:pStyle w:val="TableText"/>
              <w:jc w:val="right"/>
              <w:rPr>
                <w:rFonts w:cs="Calibri"/>
                <w:szCs w:val="18"/>
              </w:rPr>
            </w:pPr>
            <w:r w:rsidRPr="00BD16B4">
              <w:rPr>
                <w:rFonts w:cs="Calibri"/>
                <w:szCs w:val="18"/>
              </w:rPr>
              <w:t>25,502.5</w:t>
            </w:r>
          </w:p>
        </w:tc>
        <w:tc>
          <w:tcPr>
            <w:tcW w:w="1689" w:type="dxa"/>
            <w:shd w:val="clear" w:color="auto" w:fill="auto"/>
            <w:vAlign w:val="center"/>
          </w:tcPr>
          <w:p w14:paraId="54B05CDE" w14:textId="77777777" w:rsidR="00711C35" w:rsidRPr="00BD16B4" w:rsidRDefault="00711C35" w:rsidP="00F31129">
            <w:pPr>
              <w:pStyle w:val="TableText"/>
              <w:jc w:val="right"/>
              <w:rPr>
                <w:rFonts w:cs="Calibri"/>
                <w:szCs w:val="18"/>
              </w:rPr>
            </w:pPr>
            <w:r w:rsidRPr="00BD16B4">
              <w:rPr>
                <w:rFonts w:cs="Calibri"/>
                <w:szCs w:val="18"/>
              </w:rPr>
              <w:t>34,456.8</w:t>
            </w:r>
          </w:p>
        </w:tc>
        <w:tc>
          <w:tcPr>
            <w:tcW w:w="1619" w:type="dxa"/>
            <w:shd w:val="clear" w:color="auto" w:fill="auto"/>
            <w:vAlign w:val="center"/>
          </w:tcPr>
          <w:p w14:paraId="0CE7A324" w14:textId="77777777" w:rsidR="00711C35" w:rsidRPr="00BD16B4" w:rsidRDefault="00711C35" w:rsidP="00F31129">
            <w:pPr>
              <w:pStyle w:val="TableText"/>
              <w:jc w:val="right"/>
              <w:rPr>
                <w:rFonts w:cs="Calibri"/>
                <w:szCs w:val="18"/>
              </w:rPr>
            </w:pPr>
            <w:r w:rsidRPr="00BD16B4">
              <w:rPr>
                <w:rFonts w:cs="Calibri"/>
                <w:szCs w:val="18"/>
              </w:rPr>
              <w:t>8,954.2</w:t>
            </w:r>
          </w:p>
        </w:tc>
        <w:tc>
          <w:tcPr>
            <w:tcW w:w="1653" w:type="dxa"/>
            <w:shd w:val="clear" w:color="auto" w:fill="auto"/>
            <w:vAlign w:val="center"/>
          </w:tcPr>
          <w:p w14:paraId="2D6A6489" w14:textId="77777777" w:rsidR="00711C35" w:rsidRPr="00BD16B4" w:rsidRDefault="00711C35" w:rsidP="00F31129">
            <w:pPr>
              <w:pStyle w:val="TableText"/>
              <w:jc w:val="right"/>
              <w:rPr>
                <w:rFonts w:cs="Calibri"/>
                <w:szCs w:val="18"/>
              </w:rPr>
            </w:pPr>
            <w:r w:rsidRPr="00BD16B4">
              <w:rPr>
                <w:rFonts w:cs="Calibri"/>
                <w:szCs w:val="18"/>
              </w:rPr>
              <w:t>35.1</w:t>
            </w:r>
          </w:p>
        </w:tc>
      </w:tr>
      <w:tr w:rsidR="00711C35" w:rsidRPr="00BD16B4" w14:paraId="005AA887" w14:textId="77777777" w:rsidTr="00F31129">
        <w:tc>
          <w:tcPr>
            <w:tcW w:w="1894" w:type="dxa"/>
            <w:shd w:val="clear" w:color="auto" w:fill="auto"/>
          </w:tcPr>
          <w:p w14:paraId="38FEAAC1" w14:textId="77777777" w:rsidR="00711C35" w:rsidRPr="00BD16B4" w:rsidRDefault="00711C35" w:rsidP="00F31129">
            <w:pPr>
              <w:pStyle w:val="TableText"/>
              <w:rPr>
                <w:rFonts w:cs="Calibri"/>
                <w:szCs w:val="18"/>
              </w:rPr>
            </w:pPr>
            <w:r w:rsidRPr="00BD16B4">
              <w:rPr>
                <w:rFonts w:cs="Calibri"/>
                <w:szCs w:val="18"/>
              </w:rPr>
              <w:t>CH</w:t>
            </w:r>
            <w:r w:rsidRPr="00BD16B4">
              <w:rPr>
                <w:rFonts w:cs="Calibri"/>
                <w:szCs w:val="18"/>
                <w:vertAlign w:val="subscript"/>
              </w:rPr>
              <w:t xml:space="preserve">4 </w:t>
            </w:r>
          </w:p>
        </w:tc>
        <w:tc>
          <w:tcPr>
            <w:tcW w:w="1418" w:type="dxa"/>
            <w:shd w:val="clear" w:color="auto" w:fill="auto"/>
            <w:vAlign w:val="center"/>
          </w:tcPr>
          <w:p w14:paraId="1CE97227" w14:textId="77777777" w:rsidR="00711C35" w:rsidRPr="00BD16B4" w:rsidRDefault="00711C35" w:rsidP="00F31129">
            <w:pPr>
              <w:pStyle w:val="TableText"/>
              <w:jc w:val="right"/>
              <w:rPr>
                <w:rFonts w:cs="Calibri"/>
                <w:szCs w:val="18"/>
              </w:rPr>
            </w:pPr>
            <w:r w:rsidRPr="00BD16B4">
              <w:rPr>
                <w:rFonts w:cs="Calibri"/>
                <w:szCs w:val="18"/>
              </w:rPr>
              <w:t>32,972.5</w:t>
            </w:r>
          </w:p>
        </w:tc>
        <w:tc>
          <w:tcPr>
            <w:tcW w:w="1689" w:type="dxa"/>
            <w:shd w:val="clear" w:color="auto" w:fill="auto"/>
            <w:vAlign w:val="center"/>
          </w:tcPr>
          <w:p w14:paraId="42CCF2F2" w14:textId="77777777" w:rsidR="00711C35" w:rsidRPr="00BD16B4" w:rsidRDefault="00711C35" w:rsidP="00F31129">
            <w:pPr>
              <w:pStyle w:val="TableText"/>
              <w:jc w:val="right"/>
              <w:rPr>
                <w:rFonts w:cs="Calibri"/>
                <w:szCs w:val="18"/>
              </w:rPr>
            </w:pPr>
            <w:r w:rsidRPr="00BD16B4">
              <w:rPr>
                <w:rFonts w:cs="Calibri"/>
                <w:szCs w:val="18"/>
              </w:rPr>
              <w:t>34,272.9</w:t>
            </w:r>
          </w:p>
        </w:tc>
        <w:tc>
          <w:tcPr>
            <w:tcW w:w="1619" w:type="dxa"/>
            <w:shd w:val="clear" w:color="auto" w:fill="auto"/>
            <w:vAlign w:val="center"/>
          </w:tcPr>
          <w:p w14:paraId="4B911145" w14:textId="77777777" w:rsidR="00711C35" w:rsidRPr="00BD16B4" w:rsidRDefault="00711C35" w:rsidP="00F31129">
            <w:pPr>
              <w:pStyle w:val="TableText"/>
              <w:jc w:val="right"/>
              <w:rPr>
                <w:rFonts w:cs="Calibri"/>
                <w:szCs w:val="18"/>
              </w:rPr>
            </w:pPr>
            <w:r w:rsidRPr="00BD16B4">
              <w:rPr>
                <w:rFonts w:cs="Calibri"/>
                <w:szCs w:val="18"/>
              </w:rPr>
              <w:t>1,300.4</w:t>
            </w:r>
          </w:p>
        </w:tc>
        <w:tc>
          <w:tcPr>
            <w:tcW w:w="1653" w:type="dxa"/>
            <w:shd w:val="clear" w:color="auto" w:fill="auto"/>
            <w:vAlign w:val="center"/>
          </w:tcPr>
          <w:p w14:paraId="1750585D" w14:textId="77777777" w:rsidR="00711C35" w:rsidRPr="00BD16B4" w:rsidRDefault="00711C35" w:rsidP="00F31129">
            <w:pPr>
              <w:pStyle w:val="TableText"/>
              <w:jc w:val="right"/>
              <w:rPr>
                <w:rFonts w:cs="Calibri"/>
                <w:szCs w:val="18"/>
              </w:rPr>
            </w:pPr>
            <w:r w:rsidRPr="00BD16B4">
              <w:rPr>
                <w:rFonts w:cs="Calibri"/>
                <w:szCs w:val="18"/>
              </w:rPr>
              <w:t>3.9</w:t>
            </w:r>
          </w:p>
        </w:tc>
      </w:tr>
      <w:tr w:rsidR="00711C35" w:rsidRPr="00BD16B4" w14:paraId="7336A40E" w14:textId="77777777" w:rsidTr="00F31129">
        <w:tc>
          <w:tcPr>
            <w:tcW w:w="1894" w:type="dxa"/>
            <w:shd w:val="clear" w:color="auto" w:fill="auto"/>
          </w:tcPr>
          <w:p w14:paraId="30FFF41F" w14:textId="77777777" w:rsidR="00711C35" w:rsidRPr="00BD16B4" w:rsidRDefault="00711C35" w:rsidP="00F31129">
            <w:pPr>
              <w:pStyle w:val="TableText"/>
              <w:rPr>
                <w:rFonts w:cs="Calibri"/>
                <w:szCs w:val="18"/>
              </w:rPr>
            </w:pPr>
            <w:r w:rsidRPr="00BD16B4">
              <w:rPr>
                <w:rFonts w:cs="Calibri"/>
                <w:szCs w:val="18"/>
              </w:rPr>
              <w:t>N</w:t>
            </w:r>
            <w:r w:rsidRPr="00BD16B4">
              <w:rPr>
                <w:rFonts w:cs="Calibri"/>
                <w:szCs w:val="18"/>
                <w:vertAlign w:val="subscript"/>
              </w:rPr>
              <w:t>2</w:t>
            </w:r>
            <w:r w:rsidRPr="00BD16B4">
              <w:rPr>
                <w:rFonts w:cs="Calibri"/>
                <w:szCs w:val="18"/>
              </w:rPr>
              <w:t xml:space="preserve">O </w:t>
            </w:r>
          </w:p>
        </w:tc>
        <w:tc>
          <w:tcPr>
            <w:tcW w:w="1418" w:type="dxa"/>
            <w:shd w:val="clear" w:color="auto" w:fill="auto"/>
            <w:vAlign w:val="center"/>
          </w:tcPr>
          <w:p w14:paraId="66452220" w14:textId="77777777" w:rsidR="00711C35" w:rsidRPr="00BD16B4" w:rsidRDefault="00711C35" w:rsidP="00F31129">
            <w:pPr>
              <w:pStyle w:val="TableText"/>
              <w:jc w:val="right"/>
              <w:rPr>
                <w:rFonts w:cs="Calibri"/>
                <w:szCs w:val="18"/>
              </w:rPr>
            </w:pPr>
            <w:r w:rsidRPr="00BD16B4">
              <w:rPr>
                <w:rFonts w:cs="Calibri"/>
                <w:szCs w:val="18"/>
              </w:rPr>
              <w:t>5,792.0</w:t>
            </w:r>
          </w:p>
        </w:tc>
        <w:tc>
          <w:tcPr>
            <w:tcW w:w="1689" w:type="dxa"/>
            <w:shd w:val="clear" w:color="auto" w:fill="auto"/>
            <w:vAlign w:val="center"/>
          </w:tcPr>
          <w:p w14:paraId="053B1E30" w14:textId="77777777" w:rsidR="00711C35" w:rsidRPr="00BD16B4" w:rsidRDefault="00711C35" w:rsidP="00F31129">
            <w:pPr>
              <w:pStyle w:val="TableText"/>
              <w:jc w:val="right"/>
              <w:rPr>
                <w:rFonts w:cs="Calibri"/>
                <w:szCs w:val="18"/>
              </w:rPr>
            </w:pPr>
            <w:r w:rsidRPr="00BD16B4">
              <w:rPr>
                <w:rFonts w:cs="Calibri"/>
                <w:szCs w:val="18"/>
              </w:rPr>
              <w:t>8,463.8</w:t>
            </w:r>
          </w:p>
        </w:tc>
        <w:tc>
          <w:tcPr>
            <w:tcW w:w="1619" w:type="dxa"/>
            <w:shd w:val="clear" w:color="auto" w:fill="auto"/>
            <w:vAlign w:val="center"/>
          </w:tcPr>
          <w:p w14:paraId="4801D4E1" w14:textId="77777777" w:rsidR="00711C35" w:rsidRPr="00BD16B4" w:rsidRDefault="00711C35" w:rsidP="00F31129">
            <w:pPr>
              <w:pStyle w:val="TableText"/>
              <w:jc w:val="right"/>
              <w:rPr>
                <w:rFonts w:cs="Calibri"/>
                <w:szCs w:val="18"/>
              </w:rPr>
            </w:pPr>
            <w:r w:rsidRPr="00BD16B4">
              <w:rPr>
                <w:rFonts w:cs="Calibri"/>
                <w:szCs w:val="18"/>
              </w:rPr>
              <w:t>2,671.7</w:t>
            </w:r>
          </w:p>
        </w:tc>
        <w:tc>
          <w:tcPr>
            <w:tcW w:w="1653" w:type="dxa"/>
            <w:shd w:val="clear" w:color="auto" w:fill="auto"/>
            <w:vAlign w:val="center"/>
          </w:tcPr>
          <w:p w14:paraId="0950937C" w14:textId="77777777" w:rsidR="00711C35" w:rsidRPr="00BD16B4" w:rsidRDefault="00711C35" w:rsidP="00F31129">
            <w:pPr>
              <w:pStyle w:val="TableText"/>
              <w:jc w:val="right"/>
              <w:rPr>
                <w:rFonts w:cs="Calibri"/>
                <w:szCs w:val="18"/>
              </w:rPr>
            </w:pPr>
            <w:r w:rsidRPr="00BD16B4">
              <w:rPr>
                <w:rFonts w:cs="Calibri"/>
                <w:szCs w:val="18"/>
              </w:rPr>
              <w:t>46.1</w:t>
            </w:r>
          </w:p>
        </w:tc>
      </w:tr>
      <w:tr w:rsidR="00711C35" w:rsidRPr="00BD16B4" w14:paraId="4A9F0C38" w14:textId="77777777" w:rsidTr="00F31129">
        <w:tc>
          <w:tcPr>
            <w:tcW w:w="1894" w:type="dxa"/>
            <w:shd w:val="clear" w:color="auto" w:fill="auto"/>
          </w:tcPr>
          <w:p w14:paraId="1240AD24" w14:textId="77777777" w:rsidR="00711C35" w:rsidRPr="00BD16B4" w:rsidRDefault="00711C35" w:rsidP="00F31129">
            <w:pPr>
              <w:pStyle w:val="TableText"/>
              <w:rPr>
                <w:rFonts w:cs="Calibri"/>
                <w:szCs w:val="18"/>
              </w:rPr>
            </w:pPr>
            <w:r w:rsidRPr="00BD16B4">
              <w:rPr>
                <w:rFonts w:cs="Calibri"/>
                <w:szCs w:val="18"/>
              </w:rPr>
              <w:t>HFCs</w:t>
            </w:r>
          </w:p>
        </w:tc>
        <w:tc>
          <w:tcPr>
            <w:tcW w:w="1418" w:type="dxa"/>
            <w:shd w:val="clear" w:color="auto" w:fill="auto"/>
            <w:vAlign w:val="center"/>
          </w:tcPr>
          <w:p w14:paraId="563F01E3" w14:textId="77777777" w:rsidR="00711C35" w:rsidRPr="00BD16B4" w:rsidRDefault="00711C35" w:rsidP="00F31129">
            <w:pPr>
              <w:pStyle w:val="TableText"/>
              <w:jc w:val="right"/>
              <w:rPr>
                <w:rFonts w:cs="Calibri"/>
                <w:szCs w:val="18"/>
              </w:rPr>
            </w:pPr>
            <w:r w:rsidRPr="00BD16B4">
              <w:rPr>
                <w:rFonts w:cs="Calibri"/>
                <w:szCs w:val="18"/>
              </w:rPr>
              <w:t>NO</w:t>
            </w:r>
          </w:p>
        </w:tc>
        <w:tc>
          <w:tcPr>
            <w:tcW w:w="1689" w:type="dxa"/>
            <w:shd w:val="clear" w:color="auto" w:fill="auto"/>
            <w:vAlign w:val="center"/>
          </w:tcPr>
          <w:p w14:paraId="4A384A10" w14:textId="77777777" w:rsidR="00711C35" w:rsidRPr="00BD16B4" w:rsidRDefault="00711C35" w:rsidP="00F31129">
            <w:pPr>
              <w:pStyle w:val="TableText"/>
              <w:jc w:val="right"/>
              <w:rPr>
                <w:rFonts w:cs="Calibri"/>
                <w:szCs w:val="18"/>
              </w:rPr>
            </w:pPr>
            <w:r w:rsidRPr="00BD16B4">
              <w:rPr>
                <w:rFonts w:cs="Calibri"/>
                <w:szCs w:val="18"/>
              </w:rPr>
              <w:t>1,480.3</w:t>
            </w:r>
          </w:p>
        </w:tc>
        <w:tc>
          <w:tcPr>
            <w:tcW w:w="1619" w:type="dxa"/>
            <w:shd w:val="clear" w:color="auto" w:fill="auto"/>
            <w:vAlign w:val="center"/>
          </w:tcPr>
          <w:p w14:paraId="6C7E3787" w14:textId="77777777" w:rsidR="00711C35" w:rsidRPr="00BD16B4" w:rsidRDefault="00711C35" w:rsidP="00F31129">
            <w:pPr>
              <w:pStyle w:val="TableText"/>
              <w:jc w:val="right"/>
              <w:rPr>
                <w:rFonts w:cs="Calibri"/>
                <w:szCs w:val="18"/>
              </w:rPr>
            </w:pPr>
            <w:r w:rsidRPr="00BD16B4">
              <w:rPr>
                <w:rFonts w:cs="Calibri"/>
                <w:szCs w:val="18"/>
              </w:rPr>
              <w:t>1,480.3</w:t>
            </w:r>
          </w:p>
        </w:tc>
        <w:tc>
          <w:tcPr>
            <w:tcW w:w="1653" w:type="dxa"/>
            <w:shd w:val="clear" w:color="auto" w:fill="auto"/>
            <w:vAlign w:val="center"/>
          </w:tcPr>
          <w:p w14:paraId="41252F94" w14:textId="77777777" w:rsidR="00711C35" w:rsidRPr="00BD16B4" w:rsidRDefault="00711C35" w:rsidP="00F31129">
            <w:pPr>
              <w:pStyle w:val="TableText"/>
              <w:jc w:val="right"/>
              <w:rPr>
                <w:rFonts w:cs="Calibri"/>
                <w:szCs w:val="18"/>
              </w:rPr>
            </w:pPr>
            <w:r w:rsidRPr="00BD16B4">
              <w:rPr>
                <w:rFonts w:cs="Calibri"/>
                <w:szCs w:val="18"/>
              </w:rPr>
              <w:t>NA</w:t>
            </w:r>
          </w:p>
        </w:tc>
      </w:tr>
      <w:tr w:rsidR="00711C35" w:rsidRPr="00BD16B4" w14:paraId="41F173BA" w14:textId="77777777" w:rsidTr="00F31129">
        <w:tc>
          <w:tcPr>
            <w:tcW w:w="1894" w:type="dxa"/>
            <w:shd w:val="clear" w:color="auto" w:fill="auto"/>
          </w:tcPr>
          <w:p w14:paraId="52A496CF" w14:textId="77777777" w:rsidR="00711C35" w:rsidRPr="00BD16B4" w:rsidRDefault="00711C35" w:rsidP="00F31129">
            <w:pPr>
              <w:pStyle w:val="TableText"/>
              <w:rPr>
                <w:rFonts w:cs="Calibri"/>
                <w:szCs w:val="18"/>
              </w:rPr>
            </w:pPr>
            <w:r w:rsidRPr="00BD16B4">
              <w:rPr>
                <w:rFonts w:cs="Calibri"/>
                <w:szCs w:val="18"/>
              </w:rPr>
              <w:t>PFCs</w:t>
            </w:r>
          </w:p>
        </w:tc>
        <w:tc>
          <w:tcPr>
            <w:tcW w:w="1418" w:type="dxa"/>
            <w:shd w:val="clear" w:color="auto" w:fill="auto"/>
            <w:vAlign w:val="center"/>
          </w:tcPr>
          <w:p w14:paraId="0F3A7492" w14:textId="77777777" w:rsidR="00711C35" w:rsidRPr="00BD16B4" w:rsidRDefault="00711C35" w:rsidP="00F31129">
            <w:pPr>
              <w:pStyle w:val="TableText"/>
              <w:jc w:val="right"/>
              <w:rPr>
                <w:rFonts w:cs="Calibri"/>
                <w:szCs w:val="18"/>
              </w:rPr>
            </w:pPr>
            <w:r w:rsidRPr="00BD16B4">
              <w:rPr>
                <w:rFonts w:cs="Calibri"/>
                <w:szCs w:val="18"/>
              </w:rPr>
              <w:t>909.9</w:t>
            </w:r>
          </w:p>
        </w:tc>
        <w:tc>
          <w:tcPr>
            <w:tcW w:w="1689" w:type="dxa"/>
            <w:shd w:val="clear" w:color="auto" w:fill="auto"/>
            <w:vAlign w:val="center"/>
          </w:tcPr>
          <w:p w14:paraId="5096B1B2" w14:textId="77777777" w:rsidR="00711C35" w:rsidRPr="00BD16B4" w:rsidRDefault="00711C35" w:rsidP="00F31129">
            <w:pPr>
              <w:pStyle w:val="TableText"/>
              <w:jc w:val="right"/>
              <w:rPr>
                <w:rFonts w:cs="Calibri"/>
                <w:szCs w:val="18"/>
              </w:rPr>
            </w:pPr>
            <w:r w:rsidRPr="00BD16B4">
              <w:rPr>
                <w:rFonts w:cs="Calibri"/>
                <w:szCs w:val="18"/>
              </w:rPr>
              <w:t>87.9</w:t>
            </w:r>
          </w:p>
        </w:tc>
        <w:tc>
          <w:tcPr>
            <w:tcW w:w="1619" w:type="dxa"/>
            <w:shd w:val="clear" w:color="auto" w:fill="auto"/>
            <w:vAlign w:val="center"/>
          </w:tcPr>
          <w:p w14:paraId="402BDD65" w14:textId="77777777" w:rsidR="00711C35" w:rsidRPr="00BD16B4" w:rsidRDefault="00711C35" w:rsidP="00F31129">
            <w:pPr>
              <w:pStyle w:val="TableText"/>
              <w:jc w:val="right"/>
              <w:rPr>
                <w:rFonts w:cs="Calibri"/>
                <w:szCs w:val="18"/>
              </w:rPr>
            </w:pPr>
            <w:r w:rsidRPr="00BD16B4">
              <w:rPr>
                <w:rFonts w:cs="Calibri"/>
                <w:szCs w:val="18"/>
              </w:rPr>
              <w:t>–822.0</w:t>
            </w:r>
          </w:p>
        </w:tc>
        <w:tc>
          <w:tcPr>
            <w:tcW w:w="1653" w:type="dxa"/>
            <w:shd w:val="clear" w:color="auto" w:fill="auto"/>
            <w:vAlign w:val="center"/>
          </w:tcPr>
          <w:p w14:paraId="6DD93C76" w14:textId="77777777" w:rsidR="00711C35" w:rsidRPr="00BD16B4" w:rsidRDefault="00711C35" w:rsidP="00F31129">
            <w:pPr>
              <w:pStyle w:val="TableText"/>
              <w:jc w:val="right"/>
              <w:rPr>
                <w:rFonts w:cs="Calibri"/>
                <w:szCs w:val="18"/>
              </w:rPr>
            </w:pPr>
            <w:r w:rsidRPr="00BD16B4">
              <w:rPr>
                <w:rFonts w:cs="Calibri"/>
                <w:szCs w:val="18"/>
              </w:rPr>
              <w:t>–90.3</w:t>
            </w:r>
          </w:p>
        </w:tc>
      </w:tr>
      <w:tr w:rsidR="00711C35" w:rsidRPr="00BD16B4" w14:paraId="433560C6" w14:textId="77777777" w:rsidTr="00F31129">
        <w:tc>
          <w:tcPr>
            <w:tcW w:w="1894" w:type="dxa"/>
            <w:shd w:val="clear" w:color="auto" w:fill="auto"/>
          </w:tcPr>
          <w:p w14:paraId="66F17FF5" w14:textId="77777777" w:rsidR="00711C35" w:rsidRPr="00BD16B4" w:rsidRDefault="00711C35" w:rsidP="00F31129">
            <w:pPr>
              <w:pStyle w:val="TableText"/>
              <w:rPr>
                <w:rFonts w:cs="Calibri"/>
                <w:szCs w:val="18"/>
              </w:rPr>
            </w:pPr>
            <w:r w:rsidRPr="00BD16B4">
              <w:rPr>
                <w:rFonts w:cs="Calibri"/>
                <w:szCs w:val="18"/>
              </w:rPr>
              <w:t>SF</w:t>
            </w:r>
            <w:r w:rsidRPr="00BD16B4">
              <w:rPr>
                <w:rFonts w:cs="Calibri"/>
                <w:szCs w:val="18"/>
                <w:vertAlign w:val="subscript"/>
              </w:rPr>
              <w:t>6</w:t>
            </w:r>
          </w:p>
        </w:tc>
        <w:tc>
          <w:tcPr>
            <w:tcW w:w="1418" w:type="dxa"/>
            <w:shd w:val="clear" w:color="auto" w:fill="auto"/>
            <w:vAlign w:val="center"/>
          </w:tcPr>
          <w:p w14:paraId="59C6CE97" w14:textId="77777777" w:rsidR="00711C35" w:rsidRPr="00BD16B4" w:rsidRDefault="00711C35" w:rsidP="00F31129">
            <w:pPr>
              <w:pStyle w:val="TableText"/>
              <w:jc w:val="right"/>
              <w:rPr>
                <w:rFonts w:cs="Calibri"/>
                <w:szCs w:val="18"/>
              </w:rPr>
            </w:pPr>
            <w:r w:rsidRPr="00BD16B4">
              <w:rPr>
                <w:rFonts w:cs="Calibri"/>
                <w:szCs w:val="18"/>
              </w:rPr>
              <w:t>20.0</w:t>
            </w:r>
          </w:p>
        </w:tc>
        <w:tc>
          <w:tcPr>
            <w:tcW w:w="1689" w:type="dxa"/>
            <w:shd w:val="clear" w:color="auto" w:fill="auto"/>
            <w:vAlign w:val="center"/>
          </w:tcPr>
          <w:p w14:paraId="3AF068F9" w14:textId="77777777" w:rsidR="00711C35" w:rsidRPr="00BD16B4" w:rsidRDefault="00711C35" w:rsidP="00F31129">
            <w:pPr>
              <w:pStyle w:val="TableText"/>
              <w:jc w:val="right"/>
              <w:rPr>
                <w:rFonts w:cs="Calibri"/>
                <w:szCs w:val="18"/>
              </w:rPr>
            </w:pPr>
            <w:r w:rsidRPr="00BD16B4">
              <w:rPr>
                <w:rFonts w:cs="Calibri"/>
                <w:szCs w:val="18"/>
              </w:rPr>
              <w:t>16.7</w:t>
            </w:r>
          </w:p>
        </w:tc>
        <w:tc>
          <w:tcPr>
            <w:tcW w:w="1619" w:type="dxa"/>
            <w:shd w:val="clear" w:color="auto" w:fill="auto"/>
            <w:vAlign w:val="center"/>
          </w:tcPr>
          <w:p w14:paraId="33F7E46F" w14:textId="77777777" w:rsidR="00711C35" w:rsidRPr="00BD16B4" w:rsidRDefault="00711C35" w:rsidP="00F31129">
            <w:pPr>
              <w:pStyle w:val="TableText"/>
              <w:jc w:val="right"/>
              <w:rPr>
                <w:rFonts w:cs="Calibri"/>
                <w:szCs w:val="18"/>
              </w:rPr>
            </w:pPr>
            <w:r w:rsidRPr="00BD16B4">
              <w:rPr>
                <w:rFonts w:cs="Calibri"/>
                <w:szCs w:val="18"/>
              </w:rPr>
              <w:t>–3.3</w:t>
            </w:r>
          </w:p>
        </w:tc>
        <w:tc>
          <w:tcPr>
            <w:tcW w:w="1653" w:type="dxa"/>
            <w:shd w:val="clear" w:color="auto" w:fill="auto"/>
            <w:vAlign w:val="center"/>
          </w:tcPr>
          <w:p w14:paraId="48035735" w14:textId="77777777" w:rsidR="00711C35" w:rsidRPr="00BD16B4" w:rsidRDefault="00711C35" w:rsidP="00F31129">
            <w:pPr>
              <w:pStyle w:val="TableText"/>
              <w:jc w:val="right"/>
              <w:rPr>
                <w:rFonts w:cs="Calibri"/>
                <w:szCs w:val="18"/>
              </w:rPr>
            </w:pPr>
            <w:r w:rsidRPr="00BD16B4">
              <w:rPr>
                <w:rFonts w:cs="Calibri"/>
                <w:szCs w:val="18"/>
              </w:rPr>
              <w:t>–16.5</w:t>
            </w:r>
          </w:p>
        </w:tc>
      </w:tr>
      <w:tr w:rsidR="00711C35" w:rsidRPr="00BD16B4" w14:paraId="2D4CD608" w14:textId="77777777" w:rsidTr="00F31129">
        <w:tc>
          <w:tcPr>
            <w:tcW w:w="1894" w:type="dxa"/>
            <w:shd w:val="clear" w:color="auto" w:fill="auto"/>
          </w:tcPr>
          <w:p w14:paraId="71CE6192" w14:textId="77777777" w:rsidR="00711C35" w:rsidRPr="00BD16B4" w:rsidRDefault="00711C35" w:rsidP="00F31129">
            <w:pPr>
              <w:pStyle w:val="TableText"/>
              <w:rPr>
                <w:rFonts w:cs="Calibri"/>
                <w:szCs w:val="18"/>
              </w:rPr>
            </w:pPr>
            <w:r w:rsidRPr="00BD16B4">
              <w:rPr>
                <w:rFonts w:cs="Calibri"/>
                <w:szCs w:val="18"/>
              </w:rPr>
              <w:t>Gross, all gases</w:t>
            </w:r>
          </w:p>
        </w:tc>
        <w:tc>
          <w:tcPr>
            <w:tcW w:w="1418" w:type="dxa"/>
            <w:shd w:val="clear" w:color="auto" w:fill="auto"/>
            <w:vAlign w:val="center"/>
          </w:tcPr>
          <w:p w14:paraId="15820F7C" w14:textId="77777777" w:rsidR="00711C35" w:rsidRPr="00BD16B4" w:rsidRDefault="00711C35" w:rsidP="00F31129">
            <w:pPr>
              <w:pStyle w:val="TableText"/>
              <w:jc w:val="right"/>
              <w:rPr>
                <w:rFonts w:cs="Calibri"/>
                <w:szCs w:val="18"/>
              </w:rPr>
            </w:pPr>
            <w:r w:rsidRPr="00BD16B4">
              <w:rPr>
                <w:rFonts w:cs="Calibri"/>
                <w:szCs w:val="18"/>
              </w:rPr>
              <w:t>65,197.0</w:t>
            </w:r>
          </w:p>
        </w:tc>
        <w:tc>
          <w:tcPr>
            <w:tcW w:w="1689" w:type="dxa"/>
            <w:shd w:val="clear" w:color="auto" w:fill="auto"/>
            <w:vAlign w:val="center"/>
          </w:tcPr>
          <w:p w14:paraId="3998BBD3" w14:textId="77777777" w:rsidR="00711C35" w:rsidRPr="00BD16B4" w:rsidRDefault="00711C35" w:rsidP="00F31129">
            <w:pPr>
              <w:pStyle w:val="TableText"/>
              <w:jc w:val="right"/>
              <w:rPr>
                <w:rFonts w:cs="Calibri"/>
                <w:szCs w:val="18"/>
              </w:rPr>
            </w:pPr>
            <w:r w:rsidRPr="00BD16B4">
              <w:rPr>
                <w:rFonts w:cs="Calibri"/>
                <w:szCs w:val="18"/>
              </w:rPr>
              <w:t>78,778.4</w:t>
            </w:r>
          </w:p>
        </w:tc>
        <w:tc>
          <w:tcPr>
            <w:tcW w:w="1619" w:type="dxa"/>
            <w:shd w:val="clear" w:color="auto" w:fill="auto"/>
            <w:vAlign w:val="center"/>
          </w:tcPr>
          <w:p w14:paraId="336A54D6" w14:textId="77777777" w:rsidR="00711C35" w:rsidRPr="00BD16B4" w:rsidRDefault="00711C35" w:rsidP="00F31129">
            <w:pPr>
              <w:pStyle w:val="TableText"/>
              <w:jc w:val="right"/>
              <w:rPr>
                <w:rFonts w:cs="Calibri"/>
                <w:szCs w:val="18"/>
              </w:rPr>
            </w:pPr>
            <w:r w:rsidRPr="00BD16B4">
              <w:rPr>
                <w:rFonts w:cs="Calibri"/>
                <w:szCs w:val="18"/>
              </w:rPr>
              <w:t>13,581.4</w:t>
            </w:r>
          </w:p>
        </w:tc>
        <w:tc>
          <w:tcPr>
            <w:tcW w:w="1653" w:type="dxa"/>
            <w:shd w:val="clear" w:color="auto" w:fill="auto"/>
            <w:vAlign w:val="center"/>
          </w:tcPr>
          <w:p w14:paraId="11455EA7" w14:textId="77777777" w:rsidR="00711C35" w:rsidRPr="00BD16B4" w:rsidRDefault="00711C35" w:rsidP="00F31129">
            <w:pPr>
              <w:pStyle w:val="TableText"/>
              <w:jc w:val="right"/>
              <w:rPr>
                <w:rFonts w:cs="Calibri"/>
                <w:szCs w:val="18"/>
              </w:rPr>
            </w:pPr>
            <w:r w:rsidRPr="00BD16B4">
              <w:rPr>
                <w:rFonts w:cs="Calibri"/>
                <w:szCs w:val="18"/>
              </w:rPr>
              <w:t>20.8</w:t>
            </w:r>
          </w:p>
        </w:tc>
      </w:tr>
    </w:tbl>
    <w:p w14:paraId="77BBAE92" w14:textId="77777777" w:rsidR="00711C35" w:rsidRPr="00BD16B4" w:rsidRDefault="00711C35" w:rsidP="00120409">
      <w:pPr>
        <w:pStyle w:val="Note"/>
      </w:pPr>
      <w:r w:rsidRPr="00BD16B4">
        <w:rPr>
          <w:b/>
        </w:rPr>
        <w:t>Note:</w:t>
      </w:r>
      <w:r w:rsidRPr="00BD16B4">
        <w:t xml:space="preserve"> CH</w:t>
      </w:r>
      <w:r w:rsidRPr="00BD16B4">
        <w:rPr>
          <w:vertAlign w:val="subscript"/>
        </w:rPr>
        <w:t>4</w:t>
      </w:r>
      <w:r w:rsidRPr="00BD16B4">
        <w:t xml:space="preserve"> = methane; CO</w:t>
      </w:r>
      <w:r w:rsidRPr="00BD16B4">
        <w:rPr>
          <w:vertAlign w:val="subscript"/>
        </w:rPr>
        <w:t xml:space="preserve">2 </w:t>
      </w:r>
      <w:r w:rsidRPr="00BD16B4">
        <w:t>= carbon dioxide; HFCs = hydrofluorocarbons; kt CO</w:t>
      </w:r>
      <w:r w:rsidRPr="00BD16B4">
        <w:rPr>
          <w:vertAlign w:val="subscript"/>
        </w:rPr>
        <w:t>2</w:t>
      </w:r>
      <w:r w:rsidRPr="00BD16B4">
        <w:t>-equivalent = kilotonnes of carbon dioxide equivalent; N</w:t>
      </w:r>
      <w:r w:rsidRPr="00BD16B4">
        <w:rPr>
          <w:vertAlign w:val="subscript"/>
        </w:rPr>
        <w:t>2</w:t>
      </w:r>
      <w:r w:rsidRPr="00BD16B4">
        <w:t>O = nitrous oxide; PFCs = perfluorocarbons; SF</w:t>
      </w:r>
      <w:r w:rsidRPr="00BD16B4">
        <w:rPr>
          <w:vertAlign w:val="subscript"/>
        </w:rPr>
        <w:t>6</w:t>
      </w:r>
      <w:r w:rsidRPr="00BD16B4">
        <w:t xml:space="preserve"> = sulphur hexafluoride. Gross emissions exclude net removals from the LULUCF sector. The percentage change for HFCs is not applicable (NA) as emissions were not occurring (NO) in 1990. Columns may not total due to rounding. Percentages presented are calculated from unrounded values. </w:t>
      </w:r>
    </w:p>
    <w:p w14:paraId="762503AF" w14:textId="77777777" w:rsidR="00711C35" w:rsidRPr="00BD16B4" w:rsidRDefault="00711C35" w:rsidP="00E05EAA">
      <w:pPr>
        <w:pStyle w:val="Source"/>
      </w:pPr>
      <w:r w:rsidRPr="00BD16B4">
        <w:rPr>
          <w:bCs/>
        </w:rPr>
        <w:t>Source:</w:t>
      </w:r>
      <w:r w:rsidRPr="00BD16B4">
        <w:rPr>
          <w:b/>
        </w:rPr>
        <w:t xml:space="preserve"> </w:t>
      </w:r>
      <w:r w:rsidRPr="00BD16B4">
        <w:t xml:space="preserve">Ministry for the Environment. 2022. </w:t>
      </w:r>
      <w:r w:rsidRPr="00BD16B4">
        <w:rPr>
          <w:i/>
        </w:rPr>
        <w:t xml:space="preserve">New Zealand’s Greenhouse Gas Inventory 1990–2020. </w:t>
      </w:r>
      <w:r w:rsidRPr="00BD16B4">
        <w:t>Wellington: Ministry for the Environment</w:t>
      </w:r>
      <w:r w:rsidRPr="00BD16B4">
        <w:rPr>
          <w:sz w:val="20"/>
        </w:rPr>
        <w:t>.</w:t>
      </w:r>
    </w:p>
    <w:p w14:paraId="050B391A" w14:textId="788D8574" w:rsidR="00711C35" w:rsidRPr="00BD16B4" w:rsidRDefault="00711C35" w:rsidP="00EC76A2">
      <w:pPr>
        <w:pStyle w:val="Figureheading"/>
      </w:pPr>
      <w:bookmarkStart w:id="182" w:name="_Toc248736341"/>
      <w:bookmarkStart w:id="183" w:name="_Toc498517321"/>
      <w:bookmarkStart w:id="184" w:name="_Toc500767120"/>
      <w:bookmarkStart w:id="185" w:name="_Toc121494394"/>
      <w:r w:rsidRPr="00BD16B4">
        <w:lastRenderedPageBreak/>
        <w:t xml:space="preserve">Figure 3.14: </w:t>
      </w:r>
      <w:r w:rsidRPr="00BD16B4">
        <w:tab/>
      </w:r>
      <w:bookmarkEnd w:id="182"/>
      <w:r w:rsidRPr="00BD16B4">
        <w:t>New Zealand’s gross emissions by gas, 1990</w:t>
      </w:r>
      <w:bookmarkEnd w:id="183"/>
      <w:bookmarkEnd w:id="184"/>
      <w:r w:rsidRPr="00BD16B4">
        <w:t xml:space="preserve"> and 2020</w:t>
      </w:r>
      <w:bookmarkEnd w:id="185"/>
    </w:p>
    <w:p w14:paraId="1A9A5CE9" w14:textId="77777777" w:rsidR="00711C35" w:rsidRPr="00BD16B4" w:rsidRDefault="00711C35" w:rsidP="00711C35">
      <w:pPr>
        <w:pStyle w:val="BodyText"/>
        <w:spacing w:after="60"/>
      </w:pPr>
      <w:r w:rsidRPr="00BD16B4">
        <w:rPr>
          <w:noProof/>
        </w:rPr>
        <w:drawing>
          <wp:inline distT="0" distB="0" distL="0" distR="0" wp14:anchorId="3504310E" wp14:editId="7FD80B49">
            <wp:extent cx="5311472" cy="3887418"/>
            <wp:effectExtent l="0" t="0" r="0" b="0"/>
            <wp:docPr id="32" name="Picture 3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69">
                      <a:extLst>
                        <a:ext uri="{28A0092B-C50C-407E-A947-70E740481C1C}">
                          <a14:useLocalDpi xmlns:a14="http://schemas.microsoft.com/office/drawing/2010/main" val="0"/>
                        </a:ext>
                      </a:extLst>
                    </a:blip>
                    <a:srcRect b="2118"/>
                    <a:stretch>
                      <a:fillRect/>
                    </a:stretch>
                  </pic:blipFill>
                  <pic:spPr>
                    <a:xfrm>
                      <a:off x="0" y="0"/>
                      <a:ext cx="5314825" cy="3889872"/>
                    </a:xfrm>
                    <a:prstGeom prst="rect">
                      <a:avLst/>
                    </a:prstGeom>
                  </pic:spPr>
                </pic:pic>
              </a:graphicData>
            </a:graphic>
          </wp:inline>
        </w:drawing>
      </w:r>
    </w:p>
    <w:p w14:paraId="2EEB0E8B" w14:textId="77777777" w:rsidR="00711C35" w:rsidRPr="00BD16B4" w:rsidRDefault="00711C35" w:rsidP="00120409">
      <w:pPr>
        <w:pStyle w:val="Note"/>
      </w:pPr>
      <w:r w:rsidRPr="00BD16B4">
        <w:rPr>
          <w:b/>
        </w:rPr>
        <w:t>Note:</w:t>
      </w:r>
      <w:r w:rsidRPr="00BD16B4">
        <w:t xml:space="preserve"> CH</w:t>
      </w:r>
      <w:r w:rsidRPr="00BD16B4">
        <w:rPr>
          <w:vertAlign w:val="subscript"/>
        </w:rPr>
        <w:t>4</w:t>
      </w:r>
      <w:r w:rsidRPr="00BD16B4">
        <w:t xml:space="preserve"> = methane; CO</w:t>
      </w:r>
      <w:r w:rsidRPr="00BD16B4">
        <w:rPr>
          <w:vertAlign w:val="subscript"/>
        </w:rPr>
        <w:t xml:space="preserve">2 </w:t>
      </w:r>
      <w:r w:rsidRPr="00BD16B4">
        <w:t>= carbon dioxide; HFCs = hydrofluorocarbons; kt CO</w:t>
      </w:r>
      <w:r w:rsidRPr="00BD16B4">
        <w:rPr>
          <w:vertAlign w:val="subscript"/>
        </w:rPr>
        <w:t>2</w:t>
      </w:r>
      <w:r w:rsidRPr="00BD16B4">
        <w:t>-equivalent = kilotonnes of carbon dioxide equivalent; N</w:t>
      </w:r>
      <w:r w:rsidRPr="00BD16B4">
        <w:rPr>
          <w:vertAlign w:val="subscript"/>
        </w:rPr>
        <w:t>2</w:t>
      </w:r>
      <w:r w:rsidRPr="00BD16B4">
        <w:t>O = nitrous oxide; PFCs = perfluorocarbons; SF</w:t>
      </w:r>
      <w:r w:rsidRPr="00BD16B4">
        <w:rPr>
          <w:vertAlign w:val="subscript"/>
        </w:rPr>
        <w:t>6</w:t>
      </w:r>
      <w:r w:rsidRPr="00BD16B4">
        <w:t xml:space="preserve"> = sulphur hexafluoride. </w:t>
      </w:r>
    </w:p>
    <w:p w14:paraId="0A99B14F" w14:textId="77777777" w:rsidR="00711C35" w:rsidRPr="00BD16B4" w:rsidRDefault="00711C35" w:rsidP="00E05EAA">
      <w:pPr>
        <w:pStyle w:val="Source"/>
      </w:pPr>
      <w:r w:rsidRPr="00BD16B4">
        <w:rPr>
          <w:bCs/>
        </w:rPr>
        <w:t>Source:</w:t>
      </w:r>
      <w:r w:rsidRPr="00BD16B4">
        <w:rPr>
          <w:b/>
        </w:rPr>
        <w:t xml:space="preserve"> </w:t>
      </w:r>
      <w:r w:rsidRPr="00BD16B4">
        <w:t xml:space="preserve">Ministry for the Environment. 2022. </w:t>
      </w:r>
      <w:r w:rsidRPr="00BD16B4">
        <w:rPr>
          <w:i/>
        </w:rPr>
        <w:t xml:space="preserve">New Zealand’s Greenhouse Gas Inventory 1990–2020. </w:t>
      </w:r>
      <w:r w:rsidRPr="00BD16B4">
        <w:t>Wellington: Ministry for the Environment</w:t>
      </w:r>
      <w:r w:rsidRPr="00BD16B4">
        <w:rPr>
          <w:sz w:val="20"/>
        </w:rPr>
        <w:t>.</w:t>
      </w:r>
    </w:p>
    <w:p w14:paraId="4533C9C3" w14:textId="77777777" w:rsidR="00711C35" w:rsidRPr="00BD16B4" w:rsidRDefault="00711C35" w:rsidP="00711C35">
      <w:pPr>
        <w:pStyle w:val="Heading3"/>
        <w:spacing w:before="280"/>
      </w:pPr>
      <w:r w:rsidRPr="00BD16B4">
        <w:t>3.3.2</w:t>
      </w:r>
      <w:r w:rsidRPr="00BD16B4">
        <w:tab/>
        <w:t>Carbon dioxide</w:t>
      </w:r>
    </w:p>
    <w:p w14:paraId="6ED0222B" w14:textId="77777777" w:rsidR="00711C35" w:rsidRPr="00BD16B4" w:rsidRDefault="00711C35" w:rsidP="00711C35">
      <w:pPr>
        <w:pStyle w:val="BodyText"/>
        <w:spacing w:before="100" w:after="100"/>
      </w:pPr>
      <w:r w:rsidRPr="00BD16B4">
        <w:t>Carbon dioxide is the primary greenhouse gas emitted from human activities in New Zealand. Human activities are altering the carbon cycle, both by adding more CO</w:t>
      </w:r>
      <w:r w:rsidRPr="00BD16B4">
        <w:rPr>
          <w:vertAlign w:val="subscript"/>
        </w:rPr>
        <w:t xml:space="preserve">2 </w:t>
      </w:r>
      <w:r w:rsidRPr="00BD16B4">
        <w:t>to the atmosphere and by influencing the ability of natural sinks to remove CO</w:t>
      </w:r>
      <w:r w:rsidRPr="00BD16B4">
        <w:rPr>
          <w:vertAlign w:val="subscript"/>
        </w:rPr>
        <w:t xml:space="preserve">2 </w:t>
      </w:r>
      <w:r w:rsidRPr="00BD16B4">
        <w:t>from the atmosphere. The main human activity that emits CO</w:t>
      </w:r>
      <w:r w:rsidRPr="00BD16B4">
        <w:rPr>
          <w:vertAlign w:val="subscript"/>
        </w:rPr>
        <w:t xml:space="preserve">2 </w:t>
      </w:r>
      <w:r w:rsidRPr="00BD16B4">
        <w:t>is the combustion of fossil fuels for energy and transportation. Some industrial processes, waste processing and land-use changes also emit CO</w:t>
      </w:r>
      <w:r w:rsidRPr="00BD16B4">
        <w:rPr>
          <w:vertAlign w:val="subscript"/>
        </w:rPr>
        <w:t>2</w:t>
      </w:r>
      <w:r w:rsidRPr="00BD16B4">
        <w:t>. Between 1990 and 2020, gross CO</w:t>
      </w:r>
      <w:r w:rsidRPr="00BD16B4">
        <w:rPr>
          <w:vertAlign w:val="subscript"/>
        </w:rPr>
        <w:t>2</w:t>
      </w:r>
      <w:r w:rsidRPr="00BD16B4">
        <w:t xml:space="preserve"> emissions increased by 35.1 per cent (table 3.2).</w:t>
      </w:r>
    </w:p>
    <w:p w14:paraId="41BBADC7" w14:textId="77777777" w:rsidR="00711C35" w:rsidRPr="00BD16B4" w:rsidRDefault="00711C35" w:rsidP="00711C35">
      <w:pPr>
        <w:pStyle w:val="BodyText"/>
        <w:spacing w:before="100" w:after="100"/>
      </w:pPr>
      <w:r w:rsidRPr="00BD16B4">
        <w:t>Carbon dioxide</w:t>
      </w:r>
      <w:r w:rsidRPr="00BD16B4">
        <w:rPr>
          <w:vertAlign w:val="subscript"/>
        </w:rPr>
        <w:t xml:space="preserve"> </w:t>
      </w:r>
      <w:r w:rsidRPr="00BD16B4">
        <w:t>emissions contributed the largest proportion of our country’s gross greenhouse gas emissions in 2020 at 34,456.8 kt CO</w:t>
      </w:r>
      <w:r w:rsidRPr="00BD16B4">
        <w:rPr>
          <w:vertAlign w:val="subscript"/>
        </w:rPr>
        <w:t>2</w:t>
      </w:r>
      <w:r w:rsidRPr="00BD16B4">
        <w:t>-e (43.7 per cent of gross emissions). The main contributor to total CO</w:t>
      </w:r>
      <w:r w:rsidRPr="00BD16B4">
        <w:rPr>
          <w:vertAlign w:val="subscript"/>
        </w:rPr>
        <w:t xml:space="preserve">2 </w:t>
      </w:r>
      <w:r w:rsidRPr="00BD16B4">
        <w:t>emissions was the energy sector, which contributed 88.7 per cent of gross CO</w:t>
      </w:r>
      <w:r w:rsidRPr="00BD16B4">
        <w:rPr>
          <w:vertAlign w:val="subscript"/>
        </w:rPr>
        <w:t>2</w:t>
      </w:r>
      <w:r w:rsidRPr="00BD16B4">
        <w:t xml:space="preserve"> emissions. Of this total, transport (</w:t>
      </w:r>
      <w:r w:rsidRPr="00BD16B4">
        <w:rPr>
          <w:color w:val="000000"/>
        </w:rPr>
        <w:t>38.0 per cent</w:t>
      </w:r>
      <w:r w:rsidRPr="00BD16B4">
        <w:t>) and manufacturing industries and construction</w:t>
      </w:r>
      <w:r w:rsidRPr="00BD16B4">
        <w:rPr>
          <w:rFonts w:eastAsia="Calibri"/>
          <w:color w:val="000000"/>
        </w:rPr>
        <w:t xml:space="preserve"> (</w:t>
      </w:r>
      <w:r w:rsidRPr="00BD16B4">
        <w:t>19.1 per cent) contributed the most to CO</w:t>
      </w:r>
      <w:r w:rsidRPr="00BD16B4">
        <w:rPr>
          <w:vertAlign w:val="subscript"/>
        </w:rPr>
        <w:t>2</w:t>
      </w:r>
      <w:r w:rsidRPr="00BD16B4">
        <w:t xml:space="preserve"> emissions. </w:t>
      </w:r>
    </w:p>
    <w:p w14:paraId="58068355" w14:textId="77777777" w:rsidR="00711C35" w:rsidRPr="00BD16B4" w:rsidRDefault="00711C35" w:rsidP="00711C35">
      <w:pPr>
        <w:pStyle w:val="Heading3"/>
        <w:spacing w:before="280"/>
      </w:pPr>
      <w:r w:rsidRPr="00BD16B4">
        <w:t>3.3.3</w:t>
      </w:r>
      <w:r w:rsidRPr="00BD16B4">
        <w:tab/>
        <w:t>Methane</w:t>
      </w:r>
    </w:p>
    <w:p w14:paraId="0CE93E21" w14:textId="77777777" w:rsidR="00711C35" w:rsidRPr="00BD16B4" w:rsidRDefault="00711C35" w:rsidP="00711C35">
      <w:pPr>
        <w:pStyle w:val="BodyText"/>
        <w:spacing w:before="100" w:after="100"/>
      </w:pPr>
      <w:r w:rsidRPr="00BD16B4">
        <w:t>The lifetime of CH</w:t>
      </w:r>
      <w:r w:rsidRPr="00BD16B4">
        <w:rPr>
          <w:vertAlign w:val="subscript"/>
        </w:rPr>
        <w:t>4</w:t>
      </w:r>
      <w:r w:rsidRPr="00BD16B4">
        <w:t xml:space="preserve"> in the atmosphere is much shorter than CO</w:t>
      </w:r>
      <w:r w:rsidRPr="00BD16B4">
        <w:rPr>
          <w:vertAlign w:val="subscript"/>
        </w:rPr>
        <w:t>2</w:t>
      </w:r>
      <w:r w:rsidRPr="00BD16B4">
        <w:t>, but CH</w:t>
      </w:r>
      <w:r w:rsidRPr="00BD16B4">
        <w:rPr>
          <w:vertAlign w:val="subscript"/>
        </w:rPr>
        <w:t>4</w:t>
      </w:r>
      <w:r w:rsidRPr="00BD16B4">
        <w:t xml:space="preserve"> is more efficient at trapping radiation. Natural processes in soil and chemical reactions help remove CH</w:t>
      </w:r>
      <w:r w:rsidRPr="00BD16B4">
        <w:rPr>
          <w:vertAlign w:val="subscript"/>
        </w:rPr>
        <w:t>4</w:t>
      </w:r>
      <w:r w:rsidRPr="00BD16B4">
        <w:t xml:space="preserve"> from the atmosphere. In New Zealand, CH</w:t>
      </w:r>
      <w:r w:rsidRPr="00BD16B4">
        <w:rPr>
          <w:vertAlign w:val="subscript"/>
        </w:rPr>
        <w:t>4</w:t>
      </w:r>
      <w:r w:rsidRPr="00BD16B4">
        <w:t xml:space="preserve"> is the second-most prevalent greenhouse gas emitted from human activities. Most CH</w:t>
      </w:r>
      <w:r w:rsidRPr="00BD16B4">
        <w:rPr>
          <w:vertAlign w:val="subscript"/>
        </w:rPr>
        <w:t>4</w:t>
      </w:r>
      <w:r w:rsidRPr="00BD16B4">
        <w:t xml:space="preserve"> comes from ruminant livestock farming, with further contributions from coal mining activities, natural oil and gas systems, and waste disposal activities. Between 1990 and 2020, gross CH</w:t>
      </w:r>
      <w:r w:rsidRPr="00BD16B4">
        <w:rPr>
          <w:vertAlign w:val="subscript"/>
        </w:rPr>
        <w:t>4</w:t>
      </w:r>
      <w:r w:rsidRPr="00BD16B4">
        <w:t xml:space="preserve"> emissions increased by 3.9 per cent (table 3.2).</w:t>
      </w:r>
    </w:p>
    <w:p w14:paraId="6B014131" w14:textId="77777777" w:rsidR="00711C35" w:rsidRPr="00BD16B4" w:rsidRDefault="00711C35" w:rsidP="00711C35">
      <w:pPr>
        <w:pStyle w:val="BodyText"/>
      </w:pPr>
      <w:r w:rsidRPr="00BD16B4">
        <w:rPr>
          <w:color w:val="151515"/>
        </w:rPr>
        <w:lastRenderedPageBreak/>
        <w:t xml:space="preserve">Methane </w:t>
      </w:r>
      <w:r w:rsidRPr="00BD16B4">
        <w:t>contributed 34,272.9 kt CO</w:t>
      </w:r>
      <w:r w:rsidRPr="00BD16B4">
        <w:rPr>
          <w:vertAlign w:val="subscript"/>
        </w:rPr>
        <w:t>2</w:t>
      </w:r>
      <w:r w:rsidRPr="00BD16B4">
        <w:t>-e in 2020 (43.5 per cent of gross emissions). The main contributor to total CH</w:t>
      </w:r>
      <w:r w:rsidRPr="00BD16B4">
        <w:rPr>
          <w:vertAlign w:val="subscript"/>
        </w:rPr>
        <w:t xml:space="preserve">4 </w:t>
      </w:r>
      <w:r w:rsidRPr="00BD16B4">
        <w:t xml:space="preserve">emissions was the </w:t>
      </w:r>
      <w:bookmarkStart w:id="186" w:name="_Int_PzKo8uwu"/>
      <w:r w:rsidRPr="00BD16B4">
        <w:t>agriculture</w:t>
      </w:r>
      <w:bookmarkEnd w:id="186"/>
      <w:r w:rsidRPr="00BD16B4">
        <w:t xml:space="preserve"> sector, at 88.9 per cent of our country’s gross CH</w:t>
      </w:r>
      <w:r w:rsidRPr="00BD16B4">
        <w:rPr>
          <w:vertAlign w:val="subscript"/>
        </w:rPr>
        <w:t>4</w:t>
      </w:r>
      <w:r w:rsidRPr="00BD16B4">
        <w:t xml:space="preserve"> emissions. Of this total contribution, 84.1 per cent came from enteric fermentation in ruminant livestock. Methane is also the largest component of New Zealand’s waste sector emissions, contributing 3,011.9 kt CO</w:t>
      </w:r>
      <w:r w:rsidRPr="00BD16B4">
        <w:rPr>
          <w:sz w:val="14"/>
          <w:szCs w:val="14"/>
        </w:rPr>
        <w:t>2</w:t>
      </w:r>
      <w:r w:rsidRPr="00BD16B4">
        <w:t>-e (8.8 per cent of gross CH</w:t>
      </w:r>
      <w:r w:rsidRPr="00BD16B4">
        <w:rPr>
          <w:vertAlign w:val="subscript"/>
        </w:rPr>
        <w:t xml:space="preserve">4 </w:t>
      </w:r>
      <w:r w:rsidRPr="00BD16B4">
        <w:t xml:space="preserve">emissions). </w:t>
      </w:r>
    </w:p>
    <w:p w14:paraId="2A2EE066" w14:textId="77777777" w:rsidR="00711C35" w:rsidRPr="00BD16B4" w:rsidRDefault="00711C35" w:rsidP="00711C35">
      <w:pPr>
        <w:pStyle w:val="Heading3"/>
      </w:pPr>
      <w:r w:rsidRPr="00BD16B4">
        <w:t>3.3.4</w:t>
      </w:r>
      <w:r w:rsidRPr="00BD16B4">
        <w:tab/>
        <w:t>Nitrous oxide</w:t>
      </w:r>
    </w:p>
    <w:p w14:paraId="63637C99" w14:textId="77777777" w:rsidR="00711C35" w:rsidRPr="00BD16B4" w:rsidRDefault="00711C35" w:rsidP="00711C35">
      <w:pPr>
        <w:pStyle w:val="BodyText"/>
      </w:pPr>
      <w:r w:rsidRPr="00BD16B4">
        <w:t>Nitrous oxide</w:t>
      </w:r>
      <w:r w:rsidRPr="00BD16B4">
        <w:rPr>
          <w:sz w:val="24"/>
          <w:szCs w:val="24"/>
        </w:rPr>
        <w:t xml:space="preserve"> </w:t>
      </w:r>
      <w:r w:rsidRPr="00BD16B4">
        <w:t xml:space="preserve">is naturally present in the atmosphere as part of Earth’s nitrogen cycle and has a </w:t>
      </w:r>
      <w:r w:rsidRPr="00BD16B4">
        <w:rPr>
          <w:spacing w:val="-2"/>
        </w:rPr>
        <w:t>variety of natural sources. However, human activities such as agriculture, fossil fuel combustion</w:t>
      </w:r>
      <w:r w:rsidRPr="00BD16B4">
        <w:t>, wastewater management and industrial processes are increasing the amount of N</w:t>
      </w:r>
      <w:r w:rsidRPr="00BD16B4">
        <w:rPr>
          <w:vertAlign w:val="subscript"/>
        </w:rPr>
        <w:t>2</w:t>
      </w:r>
      <w:r w:rsidRPr="00BD16B4">
        <w:t>O in the atmosphere. Nitrous oxide is a potent greenhouse gas. It stays in the atmosphere for longer than CH</w:t>
      </w:r>
      <w:r w:rsidRPr="00BD16B4">
        <w:rPr>
          <w:vertAlign w:val="subscript"/>
        </w:rPr>
        <w:t>4</w:t>
      </w:r>
      <w:r w:rsidRPr="00BD16B4">
        <w:t xml:space="preserve"> but for shorter periods than CO</w:t>
      </w:r>
      <w:r w:rsidRPr="00BD16B4">
        <w:rPr>
          <w:vertAlign w:val="subscript"/>
        </w:rPr>
        <w:t>2</w:t>
      </w:r>
      <w:r w:rsidRPr="00BD16B4">
        <w:t>, before being destroyed through chemical reactions. Between 1990 and 2020, gross N</w:t>
      </w:r>
      <w:r w:rsidRPr="00BD16B4">
        <w:rPr>
          <w:vertAlign w:val="subscript"/>
        </w:rPr>
        <w:t>2</w:t>
      </w:r>
      <w:r w:rsidRPr="00BD16B4">
        <w:t>O emissions increased by 46.1 per cent (table 3.2).</w:t>
      </w:r>
    </w:p>
    <w:p w14:paraId="7AAFE7B9" w14:textId="77777777" w:rsidR="00711C35" w:rsidRPr="00BD16B4" w:rsidRDefault="00711C35" w:rsidP="00711C35">
      <w:pPr>
        <w:pStyle w:val="BodyText"/>
      </w:pPr>
      <w:r w:rsidRPr="00BD16B4">
        <w:t>Nitrous oxide contributed 8,463.8 kt CO</w:t>
      </w:r>
      <w:r w:rsidRPr="00BD16B4">
        <w:rPr>
          <w:vertAlign w:val="subscript"/>
        </w:rPr>
        <w:t>2</w:t>
      </w:r>
      <w:r w:rsidRPr="00BD16B4">
        <w:t>-e in 2020 (10.7 per cent of gross emissions). The main contributor to total N</w:t>
      </w:r>
      <w:r w:rsidRPr="00BD16B4">
        <w:rPr>
          <w:vertAlign w:val="subscript"/>
        </w:rPr>
        <w:t>2</w:t>
      </w:r>
      <w:r w:rsidRPr="00BD16B4">
        <w:t>O emissions is the agriculture sector, at 94.5 per cent of New Zealand’s gross N</w:t>
      </w:r>
      <w:r w:rsidRPr="00BD16B4">
        <w:rPr>
          <w:vertAlign w:val="subscript"/>
        </w:rPr>
        <w:t>2</w:t>
      </w:r>
      <w:r w:rsidRPr="00BD16B4">
        <w:t>O emissions. Of this contribution, 93.1 per cent of gross N</w:t>
      </w:r>
      <w:r w:rsidRPr="00BD16B4">
        <w:rPr>
          <w:vertAlign w:val="subscript"/>
        </w:rPr>
        <w:t>2</w:t>
      </w:r>
      <w:r w:rsidRPr="00BD16B4">
        <w:t xml:space="preserve">O came from agricultural soils (from fertiliser use and the deposition of animal dung and urine) and the remainder from manure management. </w:t>
      </w:r>
    </w:p>
    <w:p w14:paraId="4959A4DC" w14:textId="77777777" w:rsidR="00711C35" w:rsidRPr="00BD16B4" w:rsidRDefault="00711C35" w:rsidP="00711C35">
      <w:pPr>
        <w:pStyle w:val="Heading3"/>
      </w:pPr>
      <w:bookmarkStart w:id="187" w:name="_Toc144607346"/>
      <w:bookmarkStart w:id="188" w:name="_Toc144607436"/>
      <w:bookmarkStart w:id="189" w:name="_Toc226118360"/>
      <w:r w:rsidRPr="00BD16B4">
        <w:t>3.3.5</w:t>
      </w:r>
      <w:r w:rsidRPr="00BD16B4">
        <w:tab/>
        <w:t xml:space="preserve">Hydrofluorocarbons, perfluorocarbons and sulphur hexafluoride </w:t>
      </w:r>
    </w:p>
    <w:p w14:paraId="0F16611E" w14:textId="77777777" w:rsidR="00711C35" w:rsidRPr="00BD16B4" w:rsidRDefault="00711C35" w:rsidP="00711C35">
      <w:pPr>
        <w:pStyle w:val="BodyText"/>
      </w:pPr>
      <w:r w:rsidRPr="00BD16B4">
        <w:t>HFCs, PFCs and SF</w:t>
      </w:r>
      <w:r w:rsidRPr="00BD16B4">
        <w:rPr>
          <w:vertAlign w:val="subscript"/>
        </w:rPr>
        <w:t>6</w:t>
      </w:r>
      <w:r w:rsidRPr="00BD16B4">
        <w:t xml:space="preserve"> are often referred to together as F-gases. They are human-made chemicals mostly used in refrigeration and air conditioning, as well as in foams, aerosols, fire protection and solvents. Fluorinated gases can escape into the atmosphere during maintenance, through leaks from faulty or outdated equipment, or from some metal refining processes. These gases have long atmospheric lifetimes (decades for HFCs and millennia for PFCs and SF</w:t>
      </w:r>
      <w:r w:rsidRPr="00BD16B4">
        <w:rPr>
          <w:vertAlign w:val="subscript"/>
        </w:rPr>
        <w:t>6</w:t>
      </w:r>
      <w:r w:rsidRPr="00BD16B4">
        <w:t xml:space="preserve">) and are potent greenhouse gases. Changes in the emissions of these gases between 1990 and 2020 have been relatively large (table 3.2). </w:t>
      </w:r>
    </w:p>
    <w:p w14:paraId="68988387" w14:textId="77777777" w:rsidR="00711C35" w:rsidRPr="00BD16B4" w:rsidRDefault="00711C35" w:rsidP="00711C35">
      <w:pPr>
        <w:pStyle w:val="BodyText"/>
      </w:pPr>
      <w:r w:rsidRPr="00BD16B4">
        <w:t>In total, F-gases contributed 2.0 per cent of gross emissions in 2020. The IPPU sector is the only source of F-gases in New Zealand. Taken together, the emissions of HFCs, PFCs and SF</w:t>
      </w:r>
      <w:r w:rsidRPr="00BD16B4">
        <w:rPr>
          <w:sz w:val="14"/>
          <w:szCs w:val="14"/>
        </w:rPr>
        <w:t xml:space="preserve">6 </w:t>
      </w:r>
      <w:r w:rsidRPr="00BD16B4">
        <w:t>were 1,584.9 kt CO</w:t>
      </w:r>
      <w:r w:rsidRPr="00BD16B4">
        <w:rPr>
          <w:sz w:val="14"/>
          <w:szCs w:val="14"/>
        </w:rPr>
        <w:t>2</w:t>
      </w:r>
      <w:r w:rsidRPr="00BD16B4">
        <w:t>-e in 2020. Emissions of F-gases are dominated by HFCs (93.4 per cent of all F-gases). PFCs contributed 5.5 per cent and SF</w:t>
      </w:r>
      <w:r w:rsidRPr="00BD16B4">
        <w:rPr>
          <w:sz w:val="14"/>
          <w:szCs w:val="14"/>
        </w:rPr>
        <w:t>6</w:t>
      </w:r>
      <w:r w:rsidRPr="00BD16B4">
        <w:t xml:space="preserve"> contributed 1.1 per cent to total emissions of F-gases.</w:t>
      </w:r>
      <w:bookmarkEnd w:id="187"/>
      <w:bookmarkEnd w:id="188"/>
      <w:bookmarkEnd w:id="189"/>
      <w:r w:rsidRPr="00BD16B4">
        <w:t xml:space="preserve"> </w:t>
      </w:r>
    </w:p>
    <w:p w14:paraId="08524BEB" w14:textId="77777777" w:rsidR="006B5324" w:rsidRPr="00BD16B4" w:rsidRDefault="006B5324" w:rsidP="00711C35">
      <w:pPr>
        <w:pStyle w:val="BodyText"/>
      </w:pPr>
    </w:p>
    <w:p w14:paraId="5AA0AF82" w14:textId="50D4A1DC" w:rsidR="006B5324" w:rsidRPr="00BD16B4" w:rsidRDefault="006B5324" w:rsidP="00711C35">
      <w:pPr>
        <w:pStyle w:val="BodyText"/>
        <w:sectPr w:rsidR="006B5324" w:rsidRPr="00BD16B4" w:rsidSect="008A7498">
          <w:footerReference w:type="even" r:id="rId70"/>
          <w:footerReference w:type="default" r:id="rId71"/>
          <w:pgSz w:w="11907" w:h="16840" w:code="9"/>
          <w:pgMar w:top="1134" w:right="1701" w:bottom="1134" w:left="1701" w:header="567" w:footer="567" w:gutter="0"/>
          <w:cols w:space="720"/>
          <w:docGrid w:linePitch="299"/>
        </w:sectPr>
      </w:pPr>
    </w:p>
    <w:p w14:paraId="3C72CBF1" w14:textId="77777777" w:rsidR="00CA1920" w:rsidRPr="00BD16B4" w:rsidRDefault="00CA1920" w:rsidP="000F308E">
      <w:pPr>
        <w:pStyle w:val="Heading1"/>
        <w:spacing w:after="440"/>
      </w:pPr>
      <w:bookmarkStart w:id="190" w:name="_Toc491435430"/>
      <w:bookmarkStart w:id="191" w:name="_Toc497392884"/>
      <w:bookmarkStart w:id="192" w:name="_Toc497740275"/>
      <w:bookmarkStart w:id="193" w:name="_Toc498516733"/>
      <w:bookmarkStart w:id="194" w:name="_Toc500796144"/>
      <w:bookmarkStart w:id="195" w:name="_Toc121774633"/>
      <w:r w:rsidRPr="00BD16B4">
        <w:lastRenderedPageBreak/>
        <w:t>4</w:t>
      </w:r>
      <w:r w:rsidRPr="00BD16B4">
        <w:tab/>
      </w:r>
      <w:bookmarkStart w:id="196" w:name="_Hlk121223814"/>
      <w:r w:rsidRPr="00BD16B4">
        <w:t>Policies and measures</w:t>
      </w:r>
      <w:bookmarkEnd w:id="190"/>
      <w:bookmarkEnd w:id="191"/>
      <w:bookmarkEnd w:id="192"/>
      <w:bookmarkEnd w:id="193"/>
      <w:bookmarkEnd w:id="194"/>
      <w:bookmarkEnd w:id="195"/>
      <w:bookmarkEnd w:id="196"/>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CA1920" w:rsidRPr="00BD16B4" w14:paraId="7E7DFD76" w14:textId="77777777" w:rsidTr="002D166E">
        <w:tc>
          <w:tcPr>
            <w:tcW w:w="0" w:type="auto"/>
            <w:shd w:val="clear" w:color="auto" w:fill="D2DDE1" w:themeFill="background2"/>
          </w:tcPr>
          <w:p w14:paraId="1B06A529" w14:textId="77777777" w:rsidR="00CA1920" w:rsidRPr="00BD16B4" w:rsidRDefault="00CA1920" w:rsidP="00FC7827">
            <w:pPr>
              <w:pStyle w:val="Boxheading"/>
              <w:spacing w:line="240" w:lineRule="atLeast"/>
            </w:pPr>
            <w:r w:rsidRPr="00BD16B4">
              <w:t xml:space="preserve">Key developments since the </w:t>
            </w:r>
            <w:r w:rsidRPr="00BD16B4">
              <w:rPr>
                <w:i/>
                <w:iCs/>
              </w:rPr>
              <w:t>Seventh National Communication</w:t>
            </w:r>
          </w:p>
          <w:p w14:paraId="68FAC9BE" w14:textId="77777777" w:rsidR="00CA1920" w:rsidRPr="00BD16B4" w:rsidRDefault="00CA1920" w:rsidP="00FC7827">
            <w:pPr>
              <w:pStyle w:val="Boxtext"/>
              <w:spacing w:after="0" w:line="250" w:lineRule="atLeast"/>
              <w:rPr>
                <w:i/>
                <w:iCs/>
              </w:rPr>
            </w:pPr>
            <w:r w:rsidRPr="00BD16B4">
              <w:rPr>
                <w:i/>
                <w:iCs/>
              </w:rPr>
              <w:t>Targets</w:t>
            </w:r>
          </w:p>
          <w:p w14:paraId="781A7289" w14:textId="77777777" w:rsidR="00CA1920" w:rsidRPr="00BD16B4" w:rsidRDefault="00CA1920" w:rsidP="00FC7827">
            <w:pPr>
              <w:pStyle w:val="Boxtext"/>
              <w:spacing w:before="60" w:after="0" w:line="250" w:lineRule="atLeast"/>
            </w:pPr>
            <w:r w:rsidRPr="00BD16B4">
              <w:t>Aotearoa New Zealand is on track to meet its 2020 international greenhouse gas emissions target, based on the 2022 submission of its national Greenhouse Gas Inventory. This will be formally confirmed following the international expert review process.</w:t>
            </w:r>
          </w:p>
          <w:p w14:paraId="29A8DCEB" w14:textId="64E8BB10" w:rsidR="00CA1920" w:rsidRPr="00BD16B4" w:rsidRDefault="00CA1920" w:rsidP="00FC7827">
            <w:pPr>
              <w:pStyle w:val="Boxtext"/>
              <w:spacing w:after="80" w:line="250" w:lineRule="atLeast"/>
            </w:pPr>
            <w:r w:rsidRPr="00BD16B4">
              <w:t>New Zealand’s first nationally determined contribution (NDC1) under the Paris Agreement was updated in 2021 to be compatible with global efforts to limit global warming to 1.5</w:t>
            </w:r>
            <w:r w:rsidR="00A56D32" w:rsidRPr="00BD16B4">
              <w:t>°C</w:t>
            </w:r>
            <w:r w:rsidRPr="00BD16B4">
              <w:t xml:space="preserve"> above pre-industrial levels. We have increased our ambition to reduce greenhouse gas emissions to 50 per cent below </w:t>
            </w:r>
            <w:r w:rsidR="0041122D" w:rsidRPr="00BD16B4">
              <w:t xml:space="preserve">gross </w:t>
            </w:r>
            <w:r w:rsidRPr="00BD16B4">
              <w:t xml:space="preserve">2005 levels by 2030. </w:t>
            </w:r>
          </w:p>
          <w:p w14:paraId="4E2FF39E" w14:textId="77777777" w:rsidR="00CA1920" w:rsidRPr="00BD16B4" w:rsidRDefault="00CA1920" w:rsidP="00FC7827">
            <w:pPr>
              <w:pStyle w:val="Boxtext"/>
              <w:spacing w:after="0" w:line="250" w:lineRule="atLeast"/>
              <w:rPr>
                <w:i/>
                <w:iCs/>
              </w:rPr>
            </w:pPr>
            <w:r w:rsidRPr="00BD16B4">
              <w:rPr>
                <w:i/>
                <w:iCs/>
              </w:rPr>
              <w:t>Policies and measures</w:t>
            </w:r>
          </w:p>
          <w:p w14:paraId="20A1E2D8" w14:textId="0B8AA5B0" w:rsidR="00CA1920" w:rsidRPr="00BD16B4" w:rsidRDefault="00CA1920" w:rsidP="00FC7827">
            <w:pPr>
              <w:pStyle w:val="Boxtext"/>
              <w:spacing w:before="60" w:after="80" w:line="250" w:lineRule="atLeast"/>
            </w:pPr>
            <w:r w:rsidRPr="00BD16B4">
              <w:t>In 2019, New Zealand enacted a legislative framework to reduce domestic emissions, increase removals and contribute to global efforts to limit temperature rise to 1.5</w:t>
            </w:r>
            <w:r w:rsidR="00A56D32" w:rsidRPr="00BD16B4">
              <w:t>°C</w:t>
            </w:r>
            <w:r w:rsidRPr="00BD16B4">
              <w:t>, and assess risk and increase resilience. Key elements of this framework include:</w:t>
            </w:r>
          </w:p>
          <w:p w14:paraId="7D884844" w14:textId="77777777" w:rsidR="00CA1920" w:rsidRPr="00BD16B4" w:rsidRDefault="00CA1920" w:rsidP="00FC7827">
            <w:pPr>
              <w:pStyle w:val="Boxbullet"/>
              <w:spacing w:after="80" w:line="250" w:lineRule="atLeast"/>
            </w:pPr>
            <w:r w:rsidRPr="00BD16B4">
              <w:t>establishing He Pou a Rangi – Climate Change Commission to provide independent expert advice to the Government on climate change matters</w:t>
            </w:r>
          </w:p>
          <w:p w14:paraId="704943B3" w14:textId="77777777" w:rsidR="00CA1920" w:rsidRPr="00BD16B4" w:rsidRDefault="00CA1920" w:rsidP="00FC7827">
            <w:pPr>
              <w:pStyle w:val="Boxbullet"/>
              <w:spacing w:after="80" w:line="250" w:lineRule="atLeast"/>
            </w:pPr>
            <w:r w:rsidRPr="00BD16B4">
              <w:t>legislating long-term domestic emissions reduction targets for 2050</w:t>
            </w:r>
          </w:p>
          <w:p w14:paraId="45B7128D" w14:textId="767EE001" w:rsidR="00CA1920" w:rsidRPr="00BD16B4" w:rsidRDefault="00CA1920" w:rsidP="00FC7827">
            <w:pPr>
              <w:pStyle w:val="Boxbullet"/>
              <w:spacing w:after="80" w:line="250" w:lineRule="atLeast"/>
            </w:pPr>
            <w:r w:rsidRPr="00BD16B4">
              <w:t>implementing a system of emissions budgets that step progressively towards the 2050 target</w:t>
            </w:r>
            <w:r w:rsidR="007B0FB3" w:rsidRPr="00BD16B4">
              <w:t>s</w:t>
            </w:r>
            <w:r w:rsidRPr="00BD16B4">
              <w:t>; the first three emissions budgets were set in May 2022</w:t>
            </w:r>
          </w:p>
          <w:p w14:paraId="1B4F940D" w14:textId="77777777" w:rsidR="00CA1920" w:rsidRPr="00BD16B4" w:rsidRDefault="00CA1920" w:rsidP="00FC7827">
            <w:pPr>
              <w:pStyle w:val="Boxbullet"/>
              <w:spacing w:after="80" w:line="250" w:lineRule="atLeast"/>
            </w:pPr>
            <w:r w:rsidRPr="00BD16B4">
              <w:t>requiring the preparation and publication of emissions reduction plans that contain the policies and strategies for achieving emissions budgets; the first emissions reduction plan was published in May 2022</w:t>
            </w:r>
          </w:p>
          <w:p w14:paraId="56EF6E9E" w14:textId="77777777" w:rsidR="00CA1920" w:rsidRPr="00BD16B4" w:rsidRDefault="00CA1920" w:rsidP="00FC7827">
            <w:pPr>
              <w:pStyle w:val="Boxbullet"/>
              <w:spacing w:after="80" w:line="250" w:lineRule="atLeast"/>
            </w:pPr>
            <w:r w:rsidRPr="00BD16B4">
              <w:t>requiring six-yearly national climate change risk assessments; the first risk assessment was published in August 2020</w:t>
            </w:r>
          </w:p>
          <w:p w14:paraId="34803D65" w14:textId="77777777" w:rsidR="00CA1920" w:rsidRPr="00BD16B4" w:rsidRDefault="00CA1920" w:rsidP="00FC7827">
            <w:pPr>
              <w:pStyle w:val="Boxbullet"/>
              <w:spacing w:after="80" w:line="250" w:lineRule="atLeast"/>
            </w:pPr>
            <w:r w:rsidRPr="00BD16B4">
              <w:t>requiring the preparation and publication of national adaptation plans that respond to the risk assessments; the first national adaptation plan was published in August 2022.</w:t>
            </w:r>
          </w:p>
          <w:p w14:paraId="17A6E3FB" w14:textId="77777777" w:rsidR="007B0FB3" w:rsidRPr="00BD16B4" w:rsidRDefault="007B0FB3" w:rsidP="00FC7827">
            <w:pPr>
              <w:pStyle w:val="Boxtext"/>
              <w:spacing w:before="60" w:after="60" w:line="250" w:lineRule="atLeast"/>
            </w:pPr>
            <w:r w:rsidRPr="00BD16B4">
              <w:t>New Zealand established the He Waka Eke Noa – Primary Sector Climate Action Partnership to develop a system for measuring, managing and reducing agricultural greenhouse gas emissions, including an emissions pricing system. This partnership includes the Government, the primary sector and iwi and Māori.</w:t>
            </w:r>
            <w:r w:rsidRPr="00BD16B4">
              <w:rPr>
                <w:rStyle w:val="FootnoteReference"/>
              </w:rPr>
              <w:footnoteReference w:id="128"/>
            </w:r>
          </w:p>
          <w:p w14:paraId="7884E46E" w14:textId="77777777" w:rsidR="007B0FB3" w:rsidRPr="00BD16B4" w:rsidRDefault="007B0FB3" w:rsidP="00FC7827">
            <w:pPr>
              <w:pStyle w:val="Boxtext"/>
              <w:spacing w:before="60" w:after="60" w:line="250" w:lineRule="atLeast"/>
            </w:pPr>
            <w:r w:rsidRPr="00BD16B4">
              <w:t xml:space="preserve">The Government has legislated to bring agricultural emissions within an emissions pricing system by 2025, either through the New Zealand Emissions Trading Scheme or through an alternative system. This will mean that all domestic emissions in New Zealand are subject to emissions pricing. </w:t>
            </w:r>
          </w:p>
          <w:p w14:paraId="1D3C3E68" w14:textId="77777777" w:rsidR="007B0FB3" w:rsidRPr="00BD16B4" w:rsidRDefault="007B0FB3" w:rsidP="00FC7827">
            <w:pPr>
              <w:pStyle w:val="Boxtext"/>
              <w:spacing w:before="60" w:after="60" w:line="250" w:lineRule="atLeast"/>
              <w:rPr>
                <w:iCs/>
              </w:rPr>
            </w:pPr>
            <w:r w:rsidRPr="00BD16B4">
              <w:rPr>
                <w:iCs/>
              </w:rPr>
              <w:t>New Zealand established the Carbon Neutral Government Programme to accelerate the reduction of emissions within the public sector.</w:t>
            </w:r>
          </w:p>
          <w:p w14:paraId="2B32EBBB" w14:textId="77777777" w:rsidR="007B0FB3" w:rsidRPr="00BD16B4" w:rsidRDefault="007B0FB3" w:rsidP="00FC7827">
            <w:pPr>
              <w:pStyle w:val="Boxtext"/>
              <w:spacing w:before="60" w:after="60" w:line="250" w:lineRule="atLeast"/>
              <w:rPr>
                <w:iCs/>
              </w:rPr>
            </w:pPr>
            <w:r w:rsidRPr="00BD16B4">
              <w:rPr>
                <w:iCs/>
              </w:rPr>
              <w:t>The New Zealand Emissions Trading Scheme was reformed to</w:t>
            </w:r>
            <w:r w:rsidRPr="00BD16B4" w:rsidDel="003F3148">
              <w:rPr>
                <w:iCs/>
              </w:rPr>
              <w:t xml:space="preserve"> </w:t>
            </w:r>
            <w:r w:rsidRPr="00BD16B4">
              <w:rPr>
                <w:iCs/>
              </w:rPr>
              <w:t xml:space="preserve">implement an annually updated emissions cap, introduce an auctioning platform to sell units into the market, begin phasing-down free allocation, simplify some forestry provisions and improve its administration and transparency. </w:t>
            </w:r>
          </w:p>
          <w:p w14:paraId="3A739092" w14:textId="44419D8E" w:rsidR="007B0FB3" w:rsidRPr="00BD16B4" w:rsidRDefault="007B0FB3" w:rsidP="00FC7827">
            <w:pPr>
              <w:pStyle w:val="Boxtext"/>
              <w:spacing w:before="60" w:line="250" w:lineRule="atLeast"/>
            </w:pPr>
            <w:r w:rsidRPr="00BD16B4">
              <w:t>New Zealand passed legislation making climate-related disclosures mandatory for approximately 200 large financial market participants. These organisations include large publicly listed companies, insurers, banks, credit unions, building societies and investment managers.</w:t>
            </w:r>
          </w:p>
        </w:tc>
      </w:tr>
    </w:tbl>
    <w:p w14:paraId="58FF43CF" w14:textId="77777777" w:rsidR="00CA1920" w:rsidRPr="00BD16B4" w:rsidRDefault="00CA1920" w:rsidP="00CA1920">
      <w:pPr>
        <w:pStyle w:val="Heading2"/>
      </w:pPr>
      <w:bookmarkStart w:id="197" w:name="_Toc372551735"/>
      <w:bookmarkStart w:id="198" w:name="_Toc374520350"/>
      <w:bookmarkStart w:id="199" w:name="_Toc497740276"/>
      <w:bookmarkStart w:id="200" w:name="_Toc498516734"/>
      <w:bookmarkStart w:id="201" w:name="_Toc500796145"/>
      <w:bookmarkStart w:id="202" w:name="_Toc121774634"/>
      <w:r w:rsidRPr="00BD16B4">
        <w:rPr>
          <w:rFonts w:eastAsia="Calibri"/>
        </w:rPr>
        <w:lastRenderedPageBreak/>
        <w:t>4.1</w:t>
      </w:r>
      <w:r w:rsidRPr="00BD16B4">
        <w:rPr>
          <w:rFonts w:eastAsia="Calibri"/>
        </w:rPr>
        <w:tab/>
        <w:t>Introduction</w:t>
      </w:r>
      <w:bookmarkEnd w:id="197"/>
      <w:bookmarkEnd w:id="198"/>
      <w:bookmarkEnd w:id="199"/>
      <w:bookmarkEnd w:id="200"/>
      <w:bookmarkEnd w:id="201"/>
      <w:bookmarkEnd w:id="202"/>
    </w:p>
    <w:p w14:paraId="53D9446C" w14:textId="77777777" w:rsidR="00CA1920" w:rsidRPr="00BD16B4" w:rsidRDefault="00CA1920" w:rsidP="00CA1920">
      <w:pPr>
        <w:pStyle w:val="BodyText"/>
      </w:pPr>
      <w:r w:rsidRPr="00BD16B4">
        <w:t>Aotearoa New Zealand is committed to achieving a low-emissions and climate-resilient economy. To achieve this, New Zealand has established a framework that drives climate change policy across Government.</w:t>
      </w:r>
      <w:r w:rsidRPr="00BD16B4">
        <w:rPr>
          <w:rStyle w:val="FootnoteReference"/>
          <w:color w:val="auto"/>
        </w:rPr>
        <w:footnoteReference w:id="129"/>
      </w:r>
    </w:p>
    <w:p w14:paraId="5122D679" w14:textId="77777777" w:rsidR="00CA1920" w:rsidRPr="00BD16B4" w:rsidRDefault="00CA1920" w:rsidP="00CA1920">
      <w:pPr>
        <w:pStyle w:val="BodyText"/>
      </w:pPr>
      <w:r w:rsidRPr="00BD16B4">
        <w:t>The framework focuses on:</w:t>
      </w:r>
    </w:p>
    <w:p w14:paraId="408AC7BC" w14:textId="77777777" w:rsidR="00CA1920" w:rsidRPr="00BD16B4" w:rsidRDefault="00CA1920" w:rsidP="00CA1920">
      <w:pPr>
        <w:pStyle w:val="Bullet"/>
      </w:pPr>
      <w:r w:rsidRPr="00BD16B4">
        <w:t>leadership both domestically and internationally</w:t>
      </w:r>
    </w:p>
    <w:p w14:paraId="271D40BA" w14:textId="77777777" w:rsidR="00CA1920" w:rsidRPr="00BD16B4" w:rsidRDefault="00CA1920" w:rsidP="00CA1920">
      <w:pPr>
        <w:pStyle w:val="Bullet"/>
      </w:pPr>
      <w:r w:rsidRPr="00BD16B4">
        <w:t>a productive, sustainable and climate-resilient economy</w:t>
      </w:r>
    </w:p>
    <w:p w14:paraId="2848F9B6" w14:textId="77777777" w:rsidR="00CA1920" w:rsidRPr="00BD16B4" w:rsidRDefault="00CA1920" w:rsidP="00CA1920">
      <w:pPr>
        <w:pStyle w:val="Bullet"/>
        <w:rPr>
          <w:rFonts w:cstheme="minorHAnsi"/>
        </w:rPr>
      </w:pPr>
      <w:r w:rsidRPr="00BD16B4">
        <w:t>a just</w:t>
      </w:r>
      <w:r w:rsidRPr="00BD16B4">
        <w:rPr>
          <w:rFonts w:cstheme="minorHAnsi"/>
        </w:rPr>
        <w:t xml:space="preserve"> and inclusive society.</w:t>
      </w:r>
    </w:p>
    <w:p w14:paraId="12A0824D" w14:textId="77777777" w:rsidR="00CA1920" w:rsidRPr="00BD16B4" w:rsidRDefault="00CA1920" w:rsidP="00CA1920">
      <w:pPr>
        <w:pStyle w:val="BodyText"/>
        <w:rPr>
          <w:rFonts w:asciiTheme="minorHAnsi" w:hAnsiTheme="minorHAnsi" w:cstheme="minorHAnsi"/>
        </w:rPr>
      </w:pPr>
      <w:r w:rsidRPr="00BD16B4">
        <w:rPr>
          <w:rFonts w:asciiTheme="minorHAnsi" w:hAnsiTheme="minorHAnsi" w:cstheme="minorHAnsi"/>
        </w:rPr>
        <w:t xml:space="preserve">The framework supports New Zealand’s commitments under the Paris Agreement, </w:t>
      </w:r>
      <w:r w:rsidRPr="00BD16B4">
        <w:t>which includes provisions on mitigation, adaptation and climate finance</w:t>
      </w:r>
      <w:r w:rsidRPr="00BD16B4">
        <w:rPr>
          <w:rFonts w:asciiTheme="minorHAnsi" w:hAnsiTheme="minorHAnsi" w:cstheme="minorHAnsi"/>
        </w:rPr>
        <w:t xml:space="preserve">. </w:t>
      </w:r>
    </w:p>
    <w:p w14:paraId="32B38CE1" w14:textId="47E43F21" w:rsidR="00CA1920" w:rsidRPr="00BD16B4" w:rsidRDefault="00CA1920" w:rsidP="00CA1920">
      <w:pPr>
        <w:pStyle w:val="BodyText"/>
      </w:pPr>
      <w:r w:rsidRPr="00BD16B4">
        <w:rPr>
          <w:rFonts w:asciiTheme="minorHAnsi" w:hAnsiTheme="minorHAnsi" w:cstheme="minorHAnsi"/>
        </w:rPr>
        <w:t xml:space="preserve">Under the Paris Agreement, New Zealand has set its first Nationally Determined Contribution (NDC1) headline target </w:t>
      </w:r>
      <w:r w:rsidRPr="00BD16B4">
        <w:rPr>
          <w:rFonts w:asciiTheme="minorHAnsi" w:hAnsiTheme="minorHAnsi"/>
        </w:rPr>
        <w:t>of</w:t>
      </w:r>
      <w:r w:rsidRPr="00BD16B4">
        <w:rPr>
          <w:rFonts w:asciiTheme="minorHAnsi" w:hAnsiTheme="minorHAnsi" w:cstheme="minorHAnsi"/>
        </w:rPr>
        <w:t xml:space="preserve"> reducing net emissions by 50 per cent below 2005 gross emissions by 2030. This target </w:t>
      </w:r>
      <w:r w:rsidRPr="00BD16B4">
        <w:t>represents the highest possible ambition at this time for contributing to the global effort of limiting temperature rise to 1.5</w:t>
      </w:r>
      <w:r w:rsidR="00A56D32" w:rsidRPr="00BD16B4">
        <w:t>°C</w:t>
      </w:r>
      <w:r w:rsidRPr="00BD16B4">
        <w:t xml:space="preserve"> above pre</w:t>
      </w:r>
      <w:r w:rsidR="00A81DE0" w:rsidRPr="00BD16B4">
        <w:noBreakHyphen/>
      </w:r>
      <w:r w:rsidRPr="00BD16B4">
        <w:t xml:space="preserve">industrial levels. New Zealand’s second NDC is due in 2025 to cover the period 2031–35. </w:t>
      </w:r>
    </w:p>
    <w:p w14:paraId="2D306377" w14:textId="77777777" w:rsidR="00CA1920" w:rsidRPr="00BD16B4" w:rsidRDefault="00CA1920" w:rsidP="00CA1920">
      <w:pPr>
        <w:pStyle w:val="BodyText"/>
      </w:pPr>
      <w:r w:rsidRPr="00BD16B4">
        <w:t xml:space="preserve">Equally as important, New Zealand has adopted domestic emissions reduction targets for 2050 in its primary legislation – the Climate Change Response Act 2002. The 2050 targets will be met through a series of interim targets, known as emissions budgets. </w:t>
      </w:r>
    </w:p>
    <w:p w14:paraId="346489E6" w14:textId="77777777" w:rsidR="00CA1920" w:rsidRPr="00BD16B4" w:rsidRDefault="00CA1920" w:rsidP="00CA1920">
      <w:pPr>
        <w:pStyle w:val="BodyText"/>
      </w:pPr>
      <w:r w:rsidRPr="00BD16B4">
        <w:t xml:space="preserve">For the first time, the Government has set domestic emissions budgets out to 2035, placing limits on the greenhouse gas (GHG) emissions that New Zealand can produce for each budget period. </w:t>
      </w:r>
    </w:p>
    <w:p w14:paraId="100B02D7" w14:textId="009B8B73" w:rsidR="00CA1920" w:rsidRPr="00BD16B4" w:rsidRDefault="00CA1920" w:rsidP="00CA1920">
      <w:pPr>
        <w:pStyle w:val="BodyText"/>
      </w:pPr>
      <w:r w:rsidRPr="00BD16B4">
        <w:t xml:space="preserve">New Zealand’s first emissions reduction plan, published in May 2022, sets out how the first emissions budget will be met. The plan sets out a coherent and ambitious package of both strategic and sector-specific policies and measures needed to deliver the necessary emissions reductions to meet the first emissions budget, while putting New Zealand on track to achieve </w:t>
      </w:r>
      <w:r w:rsidR="0024060B" w:rsidRPr="00BD16B4">
        <w:t>long-term targets</w:t>
      </w:r>
      <w:r w:rsidRPr="00BD16B4">
        <w:t xml:space="preserve">. </w:t>
      </w:r>
    </w:p>
    <w:p w14:paraId="1178B41F" w14:textId="77777777" w:rsidR="00CA1920" w:rsidRPr="00BD16B4" w:rsidRDefault="00CA1920" w:rsidP="00CA1920">
      <w:pPr>
        <w:pStyle w:val="BodyText"/>
      </w:pPr>
      <w:r w:rsidRPr="00BD16B4">
        <w:t>The framework also supports New Zealand to prepare for and adapt to the impacts of climate change, with the first national adaptation plan for 2022–28 published in August 2022. The plan sets out both the Government’s long-term adaptation strategy and Government-led strategies, policies and proposals that will help New Zealand adapt to the changing climate and its effects. See chapter 6 for further detail.</w:t>
      </w:r>
    </w:p>
    <w:p w14:paraId="5EA2BDB6" w14:textId="77777777" w:rsidR="00CA1920" w:rsidRPr="00BD16B4" w:rsidRDefault="00CA1920" w:rsidP="007B4ECF">
      <w:pPr>
        <w:pStyle w:val="BodyText"/>
        <w:spacing w:after="100"/>
        <w:rPr>
          <w:rFonts w:eastAsia="Calibri"/>
        </w:rPr>
      </w:pPr>
      <w:r w:rsidRPr="00BD16B4">
        <w:t xml:space="preserve">Guided by the framework, the Government’s programme of work will continue to develop and implement policies that contribute to the global effort to limit temperature increase; and to allow New Zealand to prepare for and adapt to the effects of climate change. </w:t>
      </w:r>
    </w:p>
    <w:p w14:paraId="2454CEA7" w14:textId="77777777" w:rsidR="00CA1920" w:rsidRPr="00BD16B4" w:rsidRDefault="00CA1920" w:rsidP="004E1B8C">
      <w:pPr>
        <w:pStyle w:val="Heading3"/>
        <w:spacing w:before="240"/>
      </w:pPr>
      <w:r w:rsidRPr="00BD16B4">
        <w:rPr>
          <w:rFonts w:eastAsia="Calibri"/>
        </w:rPr>
        <w:lastRenderedPageBreak/>
        <w:t>4.1.1</w:t>
      </w:r>
      <w:r w:rsidRPr="00BD16B4">
        <w:rPr>
          <w:rFonts w:eastAsia="Calibri"/>
        </w:rPr>
        <w:tab/>
        <w:t>Key targets</w:t>
      </w:r>
    </w:p>
    <w:p w14:paraId="6488A6D8" w14:textId="228013D2" w:rsidR="00CA1920" w:rsidRPr="00BD16B4" w:rsidRDefault="00CA1920" w:rsidP="007B4ECF">
      <w:pPr>
        <w:pStyle w:val="BodyText"/>
        <w:spacing w:before="100" w:after="100"/>
      </w:pPr>
      <w:r w:rsidRPr="00BD16B4">
        <w:t>New Zealand has set both</w:t>
      </w:r>
      <w:r w:rsidRPr="00BD16B4" w:rsidDel="00C744FD">
        <w:t xml:space="preserve"> </w:t>
      </w:r>
      <w:r w:rsidRPr="00BD16B4">
        <w:t>domestic and international emissions reduction targets to drive its contribution to global efforts under the Paris Agreement to limit the global temperature rise to 1.5</w:t>
      </w:r>
      <w:r w:rsidR="004907AA" w:rsidRPr="00BD16B4">
        <w:t>°C</w:t>
      </w:r>
      <w:r w:rsidR="004907AA" w:rsidRPr="00BD16B4" w:rsidDel="005321E7">
        <w:t xml:space="preserve"> </w:t>
      </w:r>
      <w:r w:rsidRPr="00BD16B4">
        <w:t>above pre-industrial levels.</w:t>
      </w:r>
    </w:p>
    <w:p w14:paraId="6975A5ED" w14:textId="77777777" w:rsidR="00CA1920" w:rsidRPr="00BD16B4" w:rsidRDefault="00CA1920" w:rsidP="007B4ECF">
      <w:pPr>
        <w:pStyle w:val="Heading4"/>
        <w:spacing w:line="240" w:lineRule="auto"/>
      </w:pPr>
      <w:r w:rsidRPr="00BD16B4">
        <w:t xml:space="preserve">Domestic targets </w:t>
      </w:r>
    </w:p>
    <w:p w14:paraId="616B5FCB" w14:textId="77777777" w:rsidR="00CA1920" w:rsidRPr="00BD16B4" w:rsidRDefault="00CA1920" w:rsidP="007B4ECF">
      <w:pPr>
        <w:pStyle w:val="BodyText"/>
        <w:spacing w:after="100"/>
        <w:rPr>
          <w:rFonts w:eastAsia="Calibri"/>
        </w:rPr>
      </w:pPr>
      <w:r w:rsidRPr="00BD16B4">
        <w:rPr>
          <w:rFonts w:eastAsia="Calibri"/>
        </w:rPr>
        <w:t>In 2019, the Climate Change Response Act 2002 (CCRA) was amended to include new domestic emissions reduction 2050 targets.</w:t>
      </w:r>
      <w:r w:rsidRPr="00BD16B4">
        <w:rPr>
          <w:rStyle w:val="FootnoteReference"/>
          <w:rFonts w:eastAsia="Calibri"/>
        </w:rPr>
        <w:footnoteReference w:id="130"/>
      </w:r>
      <w:r w:rsidRPr="00BD16B4">
        <w:rPr>
          <w:rFonts w:eastAsia="Calibri"/>
        </w:rPr>
        <w:t xml:space="preserve"> These legislated targets require:</w:t>
      </w:r>
    </w:p>
    <w:p w14:paraId="6F46E1C2" w14:textId="77777777" w:rsidR="00CA1920" w:rsidRPr="00BD16B4" w:rsidRDefault="00CA1920" w:rsidP="007B4ECF">
      <w:pPr>
        <w:pStyle w:val="Bullet"/>
        <w:spacing w:after="100"/>
      </w:pPr>
      <w:r w:rsidRPr="00BD16B4">
        <w:t>all GHGs, other than biogenic methane, to reach net zero by 2050</w:t>
      </w:r>
    </w:p>
    <w:p w14:paraId="0D4FC8B7" w14:textId="77777777" w:rsidR="00CA1920" w:rsidRPr="00BD16B4" w:rsidRDefault="00CA1920" w:rsidP="007B4ECF">
      <w:pPr>
        <w:pStyle w:val="Bullet"/>
        <w:spacing w:after="100"/>
      </w:pPr>
      <w:r w:rsidRPr="00BD16B4">
        <w:t>a minimum 10 per cent reduction in biogenic methane emissions by 2030, and a 24 to 47 per cent reduction by 2050 (compared with 2017 levels).</w:t>
      </w:r>
    </w:p>
    <w:p w14:paraId="48D3C40F" w14:textId="77777777" w:rsidR="00CA1920" w:rsidRPr="00BD16B4" w:rsidRDefault="00CA1920" w:rsidP="007B4ECF">
      <w:pPr>
        <w:pStyle w:val="Heading4"/>
        <w:spacing w:line="240" w:lineRule="auto"/>
      </w:pPr>
      <w:r w:rsidRPr="00BD16B4">
        <w:t>International targets</w:t>
      </w:r>
    </w:p>
    <w:p w14:paraId="7F155A66" w14:textId="77777777" w:rsidR="00CA1920" w:rsidRPr="00BD16B4" w:rsidRDefault="00CA1920" w:rsidP="007B4ECF">
      <w:pPr>
        <w:pStyle w:val="Heading5"/>
      </w:pPr>
      <w:r w:rsidRPr="00BD16B4">
        <w:t>2030 NDC target (2021–30)</w:t>
      </w:r>
    </w:p>
    <w:p w14:paraId="7139EAEC" w14:textId="77777777" w:rsidR="00CA1920" w:rsidRPr="00BD16B4" w:rsidRDefault="00CA1920" w:rsidP="007B4ECF">
      <w:pPr>
        <w:pStyle w:val="BodyText"/>
        <w:spacing w:before="100" w:after="100"/>
        <w:rPr>
          <w:rFonts w:asciiTheme="minorHAnsi" w:hAnsiTheme="minorHAnsi" w:cstheme="minorHAnsi"/>
        </w:rPr>
      </w:pPr>
      <w:r w:rsidRPr="00BD16B4">
        <w:t>Under the Paris Agreement, New Zealand has set a headline target for</w:t>
      </w:r>
      <w:r w:rsidRPr="00BD16B4">
        <w:rPr>
          <w:rFonts w:asciiTheme="minorHAnsi" w:hAnsiTheme="minorHAnsi" w:cstheme="minorHAnsi"/>
        </w:rPr>
        <w:t xml:space="preserve"> </w:t>
      </w:r>
      <w:r w:rsidRPr="00BD16B4">
        <w:t xml:space="preserve">NDC1 </w:t>
      </w:r>
      <w:r w:rsidRPr="00BD16B4">
        <w:rPr>
          <w:rFonts w:asciiTheme="minorHAnsi" w:hAnsiTheme="minorHAnsi" w:cstheme="minorHAnsi"/>
        </w:rPr>
        <w:t>t</w:t>
      </w:r>
      <w:r w:rsidRPr="00BD16B4">
        <w:t>o reduce net greenhouse gas emissions to 50 per cent below gross 2005 levels by 2030</w:t>
      </w:r>
      <w:r w:rsidRPr="00BD16B4">
        <w:rPr>
          <w:rFonts w:asciiTheme="minorHAnsi" w:hAnsiTheme="minorHAnsi" w:cstheme="minorHAnsi"/>
        </w:rPr>
        <w:t>. The NDC1 target is economy-wide, covering all sectors and all greenhouse gases.</w:t>
      </w:r>
      <w:r w:rsidRPr="00BD16B4">
        <w:rPr>
          <w:rStyle w:val="FootnoteReference"/>
          <w:rFonts w:cstheme="minorHAnsi"/>
        </w:rPr>
        <w:footnoteReference w:id="131"/>
      </w:r>
    </w:p>
    <w:p w14:paraId="55F640EA" w14:textId="77777777" w:rsidR="00CA1920" w:rsidRPr="00BD16B4" w:rsidRDefault="00CA1920" w:rsidP="00CA1920">
      <w:pPr>
        <w:pStyle w:val="Heading5"/>
        <w:rPr>
          <w:rFonts w:asciiTheme="minorHAnsi" w:hAnsiTheme="minorHAnsi" w:cstheme="minorBidi"/>
        </w:rPr>
      </w:pPr>
      <w:r w:rsidRPr="00BD16B4">
        <w:t>2020 target (2013–20)</w:t>
      </w:r>
    </w:p>
    <w:p w14:paraId="1D1CA6A2" w14:textId="77777777" w:rsidR="004533A2" w:rsidRPr="00BD16B4" w:rsidRDefault="004533A2" w:rsidP="007B4ECF">
      <w:pPr>
        <w:pStyle w:val="BodyText"/>
        <w:spacing w:before="100" w:after="100"/>
      </w:pPr>
      <w:r w:rsidRPr="00BD16B4">
        <w:t xml:space="preserve">New Zealand set a target to reduce gross GHG emissions to 5 per cent below 1990 levels over the period 1 January 2013 to 31 December 2020. </w:t>
      </w:r>
    </w:p>
    <w:p w14:paraId="6A9D513B" w14:textId="5FD1A70A" w:rsidR="00CA1920" w:rsidRPr="00BD16B4" w:rsidRDefault="00CA1920" w:rsidP="007B4ECF">
      <w:pPr>
        <w:pStyle w:val="BodyText"/>
        <w:spacing w:before="100" w:after="100"/>
      </w:pPr>
      <w:r w:rsidRPr="00BD16B4">
        <w:t>This target is under the United Nations Framework Convention on Climate Change (UNFCCC) while applying the Kyoto Protocol framework of rules.</w:t>
      </w:r>
      <w:r w:rsidR="004533A2" w:rsidRPr="00BD16B4">
        <w:t xml:space="preserve"> </w:t>
      </w:r>
      <w:r w:rsidRPr="00BD16B4">
        <w:t>This means we can meet this target through a combination of reducing our emissions, forestry activities and offshore mitigation.</w:t>
      </w:r>
    </w:p>
    <w:p w14:paraId="30423713" w14:textId="77777777" w:rsidR="00CA1920" w:rsidRPr="00BD16B4" w:rsidRDefault="00CA1920" w:rsidP="007B4ECF">
      <w:pPr>
        <w:pStyle w:val="BodyText"/>
        <w:spacing w:before="100" w:after="100"/>
      </w:pPr>
      <w:r w:rsidRPr="00BD16B4">
        <w:t>We are on track to meet this target</w:t>
      </w:r>
      <w:r w:rsidRPr="00BD16B4">
        <w:rPr>
          <w:rFonts w:ascii="Segoe UI" w:hAnsi="Segoe UI" w:cs="Segoe UI"/>
          <w:sz w:val="18"/>
          <w:szCs w:val="18"/>
        </w:rPr>
        <w:t xml:space="preserve"> </w:t>
      </w:r>
      <w:r w:rsidRPr="00BD16B4">
        <w:t xml:space="preserve">based on the 2022 submission of </w:t>
      </w:r>
      <w:r w:rsidRPr="00BD16B4">
        <w:rPr>
          <w:i/>
          <w:iCs/>
        </w:rPr>
        <w:t>New Zealand’s Greenhouse Gas Inventory</w:t>
      </w:r>
      <w:r w:rsidRPr="00BD16B4">
        <w:t>. This will be formally confirmed following the international expert review process.</w:t>
      </w:r>
    </w:p>
    <w:p w14:paraId="7747AA4B" w14:textId="77777777" w:rsidR="00CA1920" w:rsidRPr="00BD16B4" w:rsidRDefault="00CA1920" w:rsidP="00CA1920">
      <w:pPr>
        <w:pStyle w:val="Heading5"/>
      </w:pPr>
      <w:r w:rsidRPr="00BD16B4">
        <w:t>2012 target (2008–12)</w:t>
      </w:r>
    </w:p>
    <w:p w14:paraId="135CE9A6" w14:textId="66DECCD2" w:rsidR="00CA1920" w:rsidRPr="00BD16B4" w:rsidRDefault="00CA1920" w:rsidP="007B4ECF">
      <w:pPr>
        <w:pStyle w:val="BodyText"/>
        <w:spacing w:before="100" w:after="100"/>
        <w:rPr>
          <w:rFonts w:eastAsia="Calibri"/>
        </w:rPr>
      </w:pPr>
      <w:r w:rsidRPr="00BD16B4">
        <w:t>In 2015 New Zealand met the previous target, under the first Kyoto Protocol commitment period, of reducing greenhouse gas emissions to 1990 levels between 2008 and 2012. New Zealand’s ‘</w:t>
      </w:r>
      <w:r w:rsidR="00AB61BA" w:rsidRPr="00BD16B4">
        <w:rPr>
          <w:rFonts w:asciiTheme="minorHAnsi" w:hAnsiTheme="minorHAnsi" w:cstheme="minorHAnsi"/>
        </w:rPr>
        <w:t>True-up Report</w:t>
      </w:r>
      <w:r w:rsidRPr="00BD16B4">
        <w:t>’ to UNFCCC</w:t>
      </w:r>
      <w:r w:rsidR="00043DC3" w:rsidRPr="00BD16B4">
        <w:rPr>
          <w:rStyle w:val="FootnoteReference"/>
        </w:rPr>
        <w:footnoteReference w:id="132"/>
      </w:r>
      <w:r w:rsidR="00043DC3" w:rsidRPr="00BD16B4">
        <w:rPr>
          <w:vertAlign w:val="superscript"/>
        </w:rPr>
        <w:t>,</w:t>
      </w:r>
      <w:r w:rsidR="00043DC3" w:rsidRPr="00BD16B4">
        <w:t xml:space="preserve"> </w:t>
      </w:r>
      <w:r w:rsidRPr="00BD16B4">
        <w:rPr>
          <w:rStyle w:val="FootnoteReference"/>
          <w:rFonts w:cstheme="minorHAnsi"/>
          <w:color w:val="auto"/>
        </w:rPr>
        <w:footnoteReference w:id="133"/>
      </w:r>
      <w:r w:rsidRPr="00BD16B4">
        <w:t xml:space="preserve"> provides detail on how the target was met.</w:t>
      </w:r>
    </w:p>
    <w:p w14:paraId="6E7C3615" w14:textId="6470FDDB" w:rsidR="00CA1920" w:rsidRPr="00BD16B4" w:rsidRDefault="00CA1920" w:rsidP="00CA1920">
      <w:pPr>
        <w:pStyle w:val="BodyText"/>
        <w:rPr>
          <w:rFonts w:eastAsia="Calibri"/>
        </w:rPr>
      </w:pPr>
      <w:r w:rsidRPr="00BD16B4">
        <w:rPr>
          <w:rFonts w:eastAsia="Calibri"/>
        </w:rPr>
        <w:t>New Zealand has pledged to take action in line with the undertakings of other countries and</w:t>
      </w:r>
      <w:r w:rsidR="00882DF8" w:rsidRPr="00BD16B4">
        <w:rPr>
          <w:rFonts w:eastAsia="Calibri"/>
        </w:rPr>
        <w:t> </w:t>
      </w:r>
      <w:r w:rsidRPr="00BD16B4">
        <w:rPr>
          <w:rFonts w:eastAsia="Calibri"/>
        </w:rPr>
        <w:t xml:space="preserve">is committed by the Paris Agreement to increasing ambition following future periodic stocktakes undertaken as part of the Agreement. New Zealand will continue to regularly </w:t>
      </w:r>
      <w:r w:rsidRPr="00BD16B4">
        <w:rPr>
          <w:rFonts w:eastAsia="Calibri"/>
        </w:rPr>
        <w:lastRenderedPageBreak/>
        <w:t>review its contributions to international mitigation action, taking into account the latest science, development of new technologies, progress by other countries and the commitments</w:t>
      </w:r>
      <w:r w:rsidRPr="00BD16B4" w:rsidDel="000B5099">
        <w:rPr>
          <w:rFonts w:eastAsia="Calibri"/>
        </w:rPr>
        <w:t xml:space="preserve"> </w:t>
      </w:r>
      <w:r w:rsidRPr="00BD16B4">
        <w:rPr>
          <w:rFonts w:eastAsia="Calibri"/>
        </w:rPr>
        <w:t xml:space="preserve">New Zealand has made. In 2021, New Zealand updated its first NDC to be more </w:t>
      </w:r>
      <w:r w:rsidRPr="00BD16B4">
        <w:t>consistent with the global efforts to limit global warming to 1.5</w:t>
      </w:r>
      <w:r w:rsidR="004907AA" w:rsidRPr="00BD16B4">
        <w:t>°C</w:t>
      </w:r>
      <w:r w:rsidRPr="00BD16B4">
        <w:t xml:space="preserve"> above pre-industrial levels. New Zealand will report on the implementation and achievement of its NDC1 through the Paris Agreement’s Enhanced Transparency Framework.</w:t>
      </w:r>
    </w:p>
    <w:p w14:paraId="2E33A6FC" w14:textId="1A7A6AA6" w:rsidR="00CA1920" w:rsidRPr="00BD16B4" w:rsidRDefault="00CA1920" w:rsidP="00CA1920">
      <w:pPr>
        <w:pStyle w:val="Figureheading"/>
      </w:pPr>
      <w:bookmarkStart w:id="203" w:name="_Toc121494395"/>
      <w:r w:rsidRPr="00BD16B4">
        <w:t>Figure 4.1</w:t>
      </w:r>
      <w:r w:rsidR="00E07E64" w:rsidRPr="00BD16B4">
        <w:t>:</w:t>
      </w:r>
      <w:r w:rsidRPr="00BD16B4">
        <w:tab/>
      </w:r>
      <w:bookmarkStart w:id="204" w:name="_Hlk120611224"/>
      <w:r w:rsidRPr="00BD16B4">
        <w:t>New Zealand’s international and domestic emissions reductions targets</w:t>
      </w:r>
      <w:bookmarkEnd w:id="203"/>
      <w:bookmarkEnd w:id="204"/>
      <w:r w:rsidRPr="00BD16B4">
        <w:t xml:space="preserve"> </w:t>
      </w:r>
    </w:p>
    <w:p w14:paraId="0E99E5FF" w14:textId="1DDA25E2" w:rsidR="00CA1920" w:rsidRPr="00BD16B4" w:rsidRDefault="00812EF7" w:rsidP="00CA1920">
      <w:r w:rsidRPr="00BD16B4">
        <w:rPr>
          <w:noProof/>
        </w:rPr>
        <w:drawing>
          <wp:inline distT="0" distB="0" distL="0" distR="0" wp14:anchorId="54EC2438" wp14:editId="6AF5CCF9">
            <wp:extent cx="5354954" cy="63150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72"/>
                    <a:srcRect b="939"/>
                    <a:stretch/>
                  </pic:blipFill>
                  <pic:spPr bwMode="auto">
                    <a:xfrm>
                      <a:off x="0" y="0"/>
                      <a:ext cx="5356562" cy="6316972"/>
                    </a:xfrm>
                    <a:prstGeom prst="rect">
                      <a:avLst/>
                    </a:prstGeom>
                    <a:ln>
                      <a:noFill/>
                    </a:ln>
                    <a:extLst>
                      <a:ext uri="{53640926-AAD7-44D8-BBD7-CCE9431645EC}">
                        <a14:shadowObscured xmlns:a14="http://schemas.microsoft.com/office/drawing/2010/main"/>
                      </a:ext>
                    </a:extLst>
                  </pic:spPr>
                </pic:pic>
              </a:graphicData>
            </a:graphic>
          </wp:inline>
        </w:drawing>
      </w:r>
    </w:p>
    <w:p w14:paraId="18369DF0" w14:textId="6DC6AD9D" w:rsidR="00CA1920" w:rsidRPr="00BD16B4" w:rsidRDefault="00CA1920" w:rsidP="00812EF7">
      <w:pPr>
        <w:pStyle w:val="Note"/>
      </w:pPr>
      <w:r w:rsidRPr="00BD16B4">
        <w:rPr>
          <w:b/>
          <w:bCs/>
        </w:rPr>
        <w:t>Note:</w:t>
      </w:r>
      <w:r w:rsidR="00AA4BCA" w:rsidRPr="00BD16B4">
        <w:rPr>
          <w:b/>
          <w:bCs/>
        </w:rPr>
        <w:t xml:space="preserve"> </w:t>
      </w:r>
      <w:r w:rsidR="00AA4BCA" w:rsidRPr="00BD16B4">
        <w:t>Budget periods cover the years 2022–25 for EB1, 2026–30 for EB2 and 2031–35 for EB3. Target and budget periods end at 31 December.</w:t>
      </w:r>
      <w:r w:rsidRPr="00BD16B4">
        <w:t xml:space="preserve"> Biogenic methane is defined as the methane produced by the agriculture and waste sectors. Calculations use the IPCC’S Fourth Assessment Report (AR4).</w:t>
      </w:r>
    </w:p>
    <w:p w14:paraId="0255BCF5" w14:textId="77777777" w:rsidR="00CA1920" w:rsidRPr="00BD16B4" w:rsidRDefault="00CA1920" w:rsidP="00CA1920">
      <w:pPr>
        <w:pStyle w:val="Heading2"/>
        <w:rPr>
          <w:rFonts w:eastAsia="Calibri"/>
        </w:rPr>
      </w:pPr>
      <w:bookmarkStart w:id="205" w:name="_Toc121774635"/>
      <w:r w:rsidRPr="00BD16B4">
        <w:rPr>
          <w:rFonts w:eastAsia="Calibri"/>
        </w:rPr>
        <w:lastRenderedPageBreak/>
        <w:t>4.2</w:t>
      </w:r>
      <w:r w:rsidRPr="00BD16B4">
        <w:rPr>
          <w:rFonts w:eastAsia="Calibri"/>
        </w:rPr>
        <w:tab/>
        <w:t>Policy context for climate change actions</w:t>
      </w:r>
      <w:bookmarkEnd w:id="205"/>
    </w:p>
    <w:p w14:paraId="2E3EC265" w14:textId="77777777" w:rsidR="00CA1920" w:rsidRPr="00BD16B4" w:rsidRDefault="00CA1920" w:rsidP="00CA1920">
      <w:pPr>
        <w:pStyle w:val="BodyText"/>
        <w:rPr>
          <w:rFonts w:eastAsia="Calibri"/>
        </w:rPr>
      </w:pPr>
      <w:r w:rsidRPr="00BD16B4">
        <w:rPr>
          <w:rFonts w:eastAsia="Calibri"/>
        </w:rPr>
        <w:t>This section provides an overview of the climate change policy context for Aotearoa New Zealand. It sets out the relevant domestic legislation and outlines the country’s key strategies to reduce emissions and increase removals.</w:t>
      </w:r>
    </w:p>
    <w:p w14:paraId="38B469CC" w14:textId="77777777" w:rsidR="00CA1920" w:rsidRPr="00BD16B4" w:rsidRDefault="00CA1920" w:rsidP="00CA1920">
      <w:pPr>
        <w:pStyle w:val="Heading3"/>
        <w:rPr>
          <w:rFonts w:eastAsia="Calibri"/>
        </w:rPr>
      </w:pPr>
      <w:r w:rsidRPr="00BD16B4">
        <w:rPr>
          <w:rFonts w:eastAsia="Calibri"/>
        </w:rPr>
        <w:t>4.2.1</w:t>
      </w:r>
      <w:r w:rsidRPr="00BD16B4">
        <w:rPr>
          <w:rFonts w:eastAsia="Calibri"/>
        </w:rPr>
        <w:tab/>
        <w:t xml:space="preserve">Domestic legislation </w:t>
      </w:r>
    </w:p>
    <w:p w14:paraId="7C4B7E10" w14:textId="77777777" w:rsidR="00CA1920" w:rsidRPr="00BD16B4" w:rsidRDefault="00CA1920" w:rsidP="004E1B8C">
      <w:pPr>
        <w:pStyle w:val="Heading4"/>
      </w:pPr>
      <w:r w:rsidRPr="00BD16B4">
        <w:t>Climate Change Response Act 2002</w:t>
      </w:r>
    </w:p>
    <w:p w14:paraId="77302C89" w14:textId="77777777" w:rsidR="00CA1920" w:rsidRPr="00BD16B4" w:rsidRDefault="00CA1920" w:rsidP="00C02B22">
      <w:pPr>
        <w:pStyle w:val="BodyText"/>
        <w:spacing w:after="100"/>
      </w:pPr>
      <w:r w:rsidRPr="00BD16B4">
        <w:t xml:space="preserve">The Climate Change Response Act 2002 (CCRA) is New Zealand’s primary climate change legislation. It provides the legal framework to enable New Zealand to meet its obligations under the UNFCCC, the Paris Agreement and the Kyoto Protocol. It also includes the framework for the New Zealand Emissions Trading Scheme (NZ ETS). </w:t>
      </w:r>
    </w:p>
    <w:p w14:paraId="0E29865F" w14:textId="77777777" w:rsidR="00CA1920" w:rsidRPr="00BD16B4" w:rsidRDefault="00CA1920" w:rsidP="00C02B22">
      <w:pPr>
        <w:pStyle w:val="BodyText"/>
        <w:spacing w:after="100"/>
      </w:pPr>
      <w:r w:rsidRPr="00BD16B4">
        <w:rPr>
          <w:rFonts w:eastAsia="Calibri"/>
        </w:rPr>
        <w:t xml:space="preserve">In 2019, amendments to the CCRA introduced the Zero Carbon Framework. Under this framework, New Zealand can develop and implement climate change policies </w:t>
      </w:r>
      <w:r w:rsidRPr="00BD16B4">
        <w:t>that:</w:t>
      </w:r>
    </w:p>
    <w:p w14:paraId="6A14B510" w14:textId="64ED88F4" w:rsidR="00CA1920" w:rsidRPr="00BD16B4" w:rsidRDefault="00CA1920" w:rsidP="00C02B22">
      <w:pPr>
        <w:pStyle w:val="Bullet"/>
        <w:spacing w:after="100"/>
      </w:pPr>
      <w:r w:rsidRPr="00BD16B4">
        <w:t>contribute to global efforts under the Paris Agreement to limit the global average temperature increase to 1.5</w:t>
      </w:r>
      <w:r w:rsidR="004907AA" w:rsidRPr="00BD16B4">
        <w:t>°C</w:t>
      </w:r>
      <w:r w:rsidRPr="00BD16B4">
        <w:t xml:space="preserve"> above pre-industrial levels and </w:t>
      </w:r>
    </w:p>
    <w:p w14:paraId="37731CC0" w14:textId="77777777" w:rsidR="00CA1920" w:rsidRPr="00BD16B4" w:rsidRDefault="00CA1920" w:rsidP="00C02B22">
      <w:pPr>
        <w:pStyle w:val="Bullet"/>
        <w:spacing w:after="100"/>
      </w:pPr>
      <w:r w:rsidRPr="00BD16B4">
        <w:t>allow New Zealand to prepare for, and adapt to, the impacts of climate change.</w:t>
      </w:r>
      <w:r w:rsidRPr="00BD16B4">
        <w:rPr>
          <w:rStyle w:val="FootnoteReference"/>
        </w:rPr>
        <w:footnoteReference w:id="134"/>
      </w:r>
      <w:r w:rsidRPr="00BD16B4">
        <w:t xml:space="preserve"> </w:t>
      </w:r>
    </w:p>
    <w:p w14:paraId="5622C7D7" w14:textId="77777777" w:rsidR="00CA1920" w:rsidRPr="00BD16B4" w:rsidRDefault="00CA1920" w:rsidP="00C02B22">
      <w:pPr>
        <w:pStyle w:val="BodyText"/>
        <w:keepNext/>
        <w:spacing w:after="100"/>
        <w:rPr>
          <w:rFonts w:eastAsia="Calibri"/>
        </w:rPr>
      </w:pPr>
      <w:r w:rsidRPr="00BD16B4">
        <w:t>The 2019 amendments:</w:t>
      </w:r>
    </w:p>
    <w:p w14:paraId="0F5977FF" w14:textId="77777777" w:rsidR="00CA1920" w:rsidRPr="00BD16B4" w:rsidRDefault="00CA1920" w:rsidP="00C02B22">
      <w:pPr>
        <w:pStyle w:val="Bullet"/>
        <w:keepNext/>
        <w:spacing w:after="100"/>
      </w:pPr>
      <w:r w:rsidRPr="00BD16B4">
        <w:t>established He Pou a Rangi – Climate Change Commission (the Commission)</w:t>
      </w:r>
      <w:r w:rsidRPr="00BD16B4">
        <w:rPr>
          <w:vertAlign w:val="superscript"/>
        </w:rPr>
        <w:footnoteReference w:id="135"/>
      </w:r>
      <w:r w:rsidRPr="00BD16B4">
        <w:t xml:space="preserve"> to:</w:t>
      </w:r>
    </w:p>
    <w:p w14:paraId="765D32E5" w14:textId="77777777" w:rsidR="00CA1920" w:rsidRPr="00BD16B4" w:rsidRDefault="00CA1920" w:rsidP="00C02B22">
      <w:pPr>
        <w:pStyle w:val="Sub-list"/>
        <w:tabs>
          <w:tab w:val="clear" w:pos="397"/>
        </w:tabs>
        <w:spacing w:after="100"/>
        <w:rPr>
          <w:rFonts w:eastAsia="Calibri"/>
        </w:rPr>
      </w:pPr>
      <w:r w:rsidRPr="00BD16B4">
        <w:rPr>
          <w:rFonts w:eastAsia="Calibri"/>
        </w:rPr>
        <w:t>provide independent advice to the Government on climate change mitigation and adaptation</w:t>
      </w:r>
    </w:p>
    <w:p w14:paraId="70768369" w14:textId="10555A05" w:rsidR="00CA1920" w:rsidRPr="00BD16B4" w:rsidRDefault="00CA1920" w:rsidP="00C02B22">
      <w:pPr>
        <w:pStyle w:val="Sub-list"/>
        <w:spacing w:after="100"/>
        <w:rPr>
          <w:rFonts w:eastAsia="Calibri"/>
        </w:rPr>
      </w:pPr>
      <w:r w:rsidRPr="00BD16B4">
        <w:rPr>
          <w:rFonts w:eastAsia="Calibri"/>
        </w:rPr>
        <w:t>monitor and review the Government’s progress towards meeting the emissions budgets and 2050 target</w:t>
      </w:r>
      <w:r w:rsidR="00C114D9" w:rsidRPr="00BD16B4">
        <w:rPr>
          <w:rFonts w:eastAsia="Calibri"/>
        </w:rPr>
        <w:t>s</w:t>
      </w:r>
      <w:r w:rsidRPr="00BD16B4">
        <w:rPr>
          <w:rFonts w:eastAsia="Calibri"/>
        </w:rPr>
        <w:t>, as well as the implementation of emissions reduction and national adaptation plans</w:t>
      </w:r>
    </w:p>
    <w:p w14:paraId="0D9C35AE" w14:textId="77777777" w:rsidR="00CA1920" w:rsidRPr="00BD16B4" w:rsidRDefault="00CA1920" w:rsidP="00C02B22">
      <w:pPr>
        <w:pStyle w:val="Bullet"/>
        <w:tabs>
          <w:tab w:val="num" w:pos="397"/>
        </w:tabs>
        <w:spacing w:after="100" w:line="280" w:lineRule="exact"/>
      </w:pPr>
      <w:r w:rsidRPr="00BD16B4">
        <w:t xml:space="preserve">set new domestic emissions reduction targets for 2050 </w:t>
      </w:r>
    </w:p>
    <w:p w14:paraId="3CC4024B" w14:textId="77777777" w:rsidR="00CA1920" w:rsidRPr="00BD16B4" w:rsidRDefault="00CA1920" w:rsidP="00C02B22">
      <w:pPr>
        <w:pStyle w:val="Bullet"/>
        <w:tabs>
          <w:tab w:val="num" w:pos="397"/>
        </w:tabs>
        <w:spacing w:after="100" w:line="280" w:lineRule="exact"/>
      </w:pPr>
      <w:r w:rsidRPr="00BD16B4">
        <w:t>established a system of emissions budgets to step New Zealand towards these 2050 targets</w:t>
      </w:r>
    </w:p>
    <w:p w14:paraId="4698C5EC" w14:textId="77777777" w:rsidR="00CA1920" w:rsidRPr="00BD16B4" w:rsidRDefault="00CA1920" w:rsidP="00C02B22">
      <w:pPr>
        <w:pStyle w:val="Bullet"/>
        <w:spacing w:after="100"/>
      </w:pPr>
      <w:r w:rsidRPr="00BD16B4">
        <w:t>require the development of an emissions reduction plan for each budget period that sets out the policies and strategies for achieving the emissions budget</w:t>
      </w:r>
    </w:p>
    <w:p w14:paraId="6DEDBDEE" w14:textId="77777777" w:rsidR="00CA1920" w:rsidRPr="00BD16B4" w:rsidRDefault="00CA1920" w:rsidP="00C02B22">
      <w:pPr>
        <w:pStyle w:val="Bullet"/>
        <w:tabs>
          <w:tab w:val="num" w:pos="397"/>
        </w:tabs>
        <w:spacing w:after="100" w:line="280" w:lineRule="exact"/>
      </w:pPr>
      <w:r w:rsidRPr="00BD16B4">
        <w:t>require the Commission to prepare a national climate change risk assessment every six years</w:t>
      </w:r>
      <w:r w:rsidRPr="00BD16B4">
        <w:rPr>
          <w:rStyle w:val="FootnoteReference"/>
        </w:rPr>
        <w:footnoteReference w:id="136"/>
      </w:r>
      <w:r w:rsidRPr="00BD16B4">
        <w:t xml:space="preserve"> </w:t>
      </w:r>
    </w:p>
    <w:p w14:paraId="549C5370" w14:textId="77777777" w:rsidR="00CA1920" w:rsidRPr="00BD16B4" w:rsidRDefault="00CA1920" w:rsidP="00C02B22">
      <w:pPr>
        <w:pStyle w:val="Bullet"/>
        <w:tabs>
          <w:tab w:val="num" w:pos="397"/>
        </w:tabs>
        <w:spacing w:after="100" w:line="280" w:lineRule="exact"/>
      </w:pPr>
      <w:r w:rsidRPr="00BD16B4">
        <w:t>require the Government to develop a national adaptation plan that responds to the Commission’s risk assessment</w:t>
      </w:r>
      <w:r w:rsidRPr="00BD16B4" w:rsidDel="003B6745">
        <w:t>.</w:t>
      </w:r>
    </w:p>
    <w:p w14:paraId="0C39D2D2" w14:textId="77777777" w:rsidR="00CA1920" w:rsidRPr="00BD16B4" w:rsidRDefault="00CA1920" w:rsidP="004E1B8C">
      <w:pPr>
        <w:pStyle w:val="Heading4"/>
      </w:pPr>
      <w:bookmarkStart w:id="206" w:name="_Toc363540326"/>
      <w:r w:rsidRPr="00BD16B4">
        <w:lastRenderedPageBreak/>
        <w:t>Comprehensive review of the Resource Management Act 1991</w:t>
      </w:r>
    </w:p>
    <w:p w14:paraId="215981AE" w14:textId="77777777" w:rsidR="00CA1920" w:rsidRPr="00BD16B4" w:rsidRDefault="00CA1920" w:rsidP="000F308E">
      <w:pPr>
        <w:pStyle w:val="BodyText"/>
        <w:keepLines/>
        <w:spacing w:before="100"/>
      </w:pPr>
      <w:r w:rsidRPr="00BD16B4">
        <w:t xml:space="preserve">The Resource Management Act 1991 (RMA) is the primary legislation governing the use of New Zealand’s land, water and air resources, and is also administered by the Ministry for the Environment. The RMA currently requires anyone exercising and functioning powers under it to have regard to the effects of climate change. </w:t>
      </w:r>
    </w:p>
    <w:p w14:paraId="01D0BD51" w14:textId="77777777" w:rsidR="00CA1920" w:rsidRPr="00BD16B4" w:rsidRDefault="00CA1920" w:rsidP="00CA1920">
      <w:pPr>
        <w:pStyle w:val="BodyText"/>
        <w:spacing w:before="100"/>
      </w:pPr>
      <w:r w:rsidRPr="00BD16B4">
        <w:t xml:space="preserve">The current provisions in the RMA do not enable the consideration of the climate change effects of greenhouse gas emissions. On 30 November 2022, the Resource Management Amendment Act 2020 will require local authorities to consider the climate change effects of greenhouse gases. </w:t>
      </w:r>
    </w:p>
    <w:p w14:paraId="3FFB7C61" w14:textId="77777777" w:rsidR="00CA1920" w:rsidRPr="00BD16B4" w:rsidRDefault="00CA1920" w:rsidP="00CA1920">
      <w:pPr>
        <w:pStyle w:val="BodyText"/>
        <w:spacing w:before="100"/>
      </w:pPr>
      <w:r w:rsidRPr="00BD16B4">
        <w:t>The resource management system is being reformed and will be replaced with three new acts: the Natural and Built Environments Act, the Spatial Planning Act and the Climate Adaptation Act. The Climate Adaptation Act will address complex issues associated with managed retreat, and funding and financing climate adaptation. The Natural and Built Environments Bill and Spatial Planning Bill are expected to be introduced to Parliament later in 2022. The Climate Adaptation Bill is likely to follow at the end of 2023.</w:t>
      </w:r>
    </w:p>
    <w:bookmarkEnd w:id="206"/>
    <w:p w14:paraId="2DDF78AC" w14:textId="77777777" w:rsidR="00CA1920" w:rsidRPr="00BD16B4" w:rsidRDefault="00CA1920" w:rsidP="00C02B22">
      <w:pPr>
        <w:pStyle w:val="Heading3"/>
        <w:spacing w:before="280"/>
        <w:rPr>
          <w:rFonts w:eastAsia="Calibri"/>
        </w:rPr>
      </w:pPr>
      <w:r w:rsidRPr="00BD16B4">
        <w:rPr>
          <w:rFonts w:eastAsia="Calibri"/>
        </w:rPr>
        <w:t>4.2.2</w:t>
      </w:r>
      <w:r w:rsidRPr="00BD16B4">
        <w:rPr>
          <w:rFonts w:eastAsia="Calibri"/>
        </w:rPr>
        <w:tab/>
        <w:t>Key strategies to reduce emissions and increase removals</w:t>
      </w:r>
    </w:p>
    <w:p w14:paraId="71252A62" w14:textId="77777777" w:rsidR="00CA1920" w:rsidRPr="00BD16B4" w:rsidRDefault="00CA1920" w:rsidP="00013C87">
      <w:pPr>
        <w:pStyle w:val="Heading4"/>
        <w:spacing w:line="320" w:lineRule="exact"/>
        <w:rPr>
          <w:rFonts w:eastAsia="Calibri"/>
        </w:rPr>
      </w:pPr>
      <w:r w:rsidRPr="00BD16B4">
        <w:rPr>
          <w:rFonts w:eastAsia="Calibri"/>
        </w:rPr>
        <w:t>Emissions budgets and Aotearoa New Zealand’s first emissions reduction plan</w:t>
      </w:r>
    </w:p>
    <w:p w14:paraId="39D7F1E1" w14:textId="77777777" w:rsidR="00CA1920" w:rsidRPr="00BD16B4" w:rsidRDefault="00CA1920" w:rsidP="00C02B22">
      <w:pPr>
        <w:pStyle w:val="Heading5"/>
        <w:spacing w:before="180"/>
        <w:rPr>
          <w:rFonts w:eastAsia="Calibri"/>
        </w:rPr>
      </w:pPr>
      <w:r w:rsidRPr="00BD16B4">
        <w:rPr>
          <w:rFonts w:eastAsia="Calibri"/>
        </w:rPr>
        <w:t>Aotearoa New Zealand’s first three emissions budgets</w:t>
      </w:r>
    </w:p>
    <w:p w14:paraId="2C671D61" w14:textId="51ABC29C" w:rsidR="00CA1920" w:rsidRPr="00BD16B4" w:rsidRDefault="00CA1920" w:rsidP="00CA1920">
      <w:pPr>
        <w:pStyle w:val="BodyText"/>
        <w:spacing w:before="100" w:after="100"/>
        <w:rPr>
          <w:rFonts w:eastAsia="Calibri"/>
        </w:rPr>
      </w:pPr>
      <w:r w:rsidRPr="00BD16B4">
        <w:rPr>
          <w:spacing w:val="-2"/>
        </w:rPr>
        <w:t>Aotearoa New Zealand’s contribution to the global effort to limit temperature rise to 1.5</w:t>
      </w:r>
      <w:r w:rsidR="004907AA" w:rsidRPr="00BD16B4">
        <w:t>°C</w:t>
      </w:r>
      <w:r w:rsidR="004907AA" w:rsidRPr="00BD16B4" w:rsidDel="00C02B22">
        <w:rPr>
          <w:spacing w:val="-2"/>
        </w:rPr>
        <w:t xml:space="preserve"> </w:t>
      </w:r>
      <w:r w:rsidRPr="00BD16B4">
        <w:rPr>
          <w:spacing w:val="-2"/>
        </w:rPr>
        <w:t xml:space="preserve">above pre-industrial levels underpins and drives New Zealand’s </w:t>
      </w:r>
      <w:r w:rsidRPr="00BD16B4">
        <w:rPr>
          <w:rFonts w:eastAsia="Calibri"/>
          <w:spacing w:val="-2"/>
        </w:rPr>
        <w:t>long-term targets, which in turn will be achieved through a series of interim targets – known as emissions budgets</w:t>
      </w:r>
      <w:r w:rsidRPr="00BD16B4">
        <w:rPr>
          <w:rFonts w:eastAsia="Calibri"/>
        </w:rPr>
        <w:t xml:space="preserve">. </w:t>
      </w:r>
    </w:p>
    <w:p w14:paraId="0ADEE783" w14:textId="77777777" w:rsidR="00CA1920" w:rsidRPr="00BD16B4" w:rsidRDefault="00CA1920" w:rsidP="00CA1920">
      <w:pPr>
        <w:pStyle w:val="BodyText"/>
        <w:spacing w:before="100" w:after="100"/>
        <w:rPr>
          <w:rFonts w:eastAsia="Calibri"/>
        </w:rPr>
      </w:pPr>
      <w:r w:rsidRPr="00BD16B4">
        <w:rPr>
          <w:rFonts w:eastAsia="Calibri"/>
        </w:rPr>
        <w:t>An emissions budget is a total quantity of greenhouse gas emissions that is permitted during a five-year period, or four years in the case of the first emissions budget (2022–25). Emissions budgets will get smaller over time and will help New Zealand progressively step towards the 2050 targets. An emissions reduction plan will be prepared for each emissions budget period and will set out the policies and strategies needed to achieve the upcoming emissions budgets and, ultimately, the 2050 targets.</w:t>
      </w:r>
    </w:p>
    <w:p w14:paraId="246434D4" w14:textId="1E93AF67" w:rsidR="00CA1920" w:rsidRPr="00BD16B4" w:rsidRDefault="00CA1920" w:rsidP="00CA1920">
      <w:pPr>
        <w:pStyle w:val="BodyText"/>
        <w:spacing w:before="100" w:after="100"/>
        <w:rPr>
          <w:rFonts w:eastAsia="Calibri"/>
        </w:rPr>
      </w:pPr>
      <w:r w:rsidRPr="00BD16B4">
        <w:rPr>
          <w:rFonts w:eastAsia="Calibri"/>
        </w:rPr>
        <w:t xml:space="preserve">On 31 May 2021, the Commission delivered advice to the Government in its report </w:t>
      </w:r>
      <w:r w:rsidRPr="00BD16B4">
        <w:rPr>
          <w:rFonts w:eastAsia="Calibri"/>
          <w:i/>
          <w:iCs/>
        </w:rPr>
        <w:t xml:space="preserve">Ināia tonu nei: </w:t>
      </w:r>
      <w:r w:rsidR="001631C5">
        <w:rPr>
          <w:rFonts w:eastAsia="Calibri"/>
          <w:i/>
          <w:iCs/>
        </w:rPr>
        <w:t>A</w:t>
      </w:r>
      <w:r w:rsidRPr="00BD16B4">
        <w:rPr>
          <w:rFonts w:eastAsia="Calibri"/>
          <w:i/>
          <w:iCs/>
        </w:rPr>
        <w:t xml:space="preserve"> low emissions future for Aotearoa</w:t>
      </w:r>
      <w:r w:rsidRPr="00BD16B4">
        <w:rPr>
          <w:rFonts w:eastAsia="Calibri"/>
        </w:rPr>
        <w:t>. The Commission’s report provided recommendations on the first three emissions budgets, policy direction for the first emissions reduction plan, New Zealand’s 2030 NDC and reductions required for biogenic methane.</w:t>
      </w:r>
    </w:p>
    <w:p w14:paraId="334B713F" w14:textId="77777777" w:rsidR="00CA1920" w:rsidRPr="00BD16B4" w:rsidRDefault="00CA1920" w:rsidP="00CA1920">
      <w:pPr>
        <w:pStyle w:val="BodyText"/>
        <w:rPr>
          <w:rFonts w:eastAsia="Calibri"/>
        </w:rPr>
      </w:pPr>
      <w:r w:rsidRPr="00BD16B4">
        <w:rPr>
          <w:rFonts w:eastAsia="Calibri"/>
        </w:rPr>
        <w:t>As required by the CCRA, the Minister of Climate Change set New Zealand’s first three emissions budgets for 2022–25, 2026–30 and 2031–35 in May 2022 (table 4.1).</w:t>
      </w:r>
    </w:p>
    <w:p w14:paraId="70445B9F" w14:textId="77777777" w:rsidR="00CA1920" w:rsidRPr="00BD16B4" w:rsidRDefault="00CA1920" w:rsidP="000F308E">
      <w:pPr>
        <w:pStyle w:val="Tableheading"/>
        <w:rPr>
          <w:rFonts w:eastAsia="Calibri"/>
        </w:rPr>
      </w:pPr>
      <w:bookmarkStart w:id="207" w:name="_Toc121773788"/>
      <w:r w:rsidRPr="00BD16B4">
        <w:rPr>
          <w:rFonts w:eastAsia="Calibri"/>
        </w:rPr>
        <w:lastRenderedPageBreak/>
        <w:t>Table 4.1:</w:t>
      </w:r>
      <w:r w:rsidRPr="00BD16B4">
        <w:rPr>
          <w:rFonts w:eastAsia="Calibri"/>
        </w:rPr>
        <w:tab/>
        <w:t>Aotearoa New Zealand’s first three emissions budgets (Mt CO</w:t>
      </w:r>
      <w:r w:rsidRPr="00BD16B4">
        <w:rPr>
          <w:rFonts w:eastAsia="Calibri"/>
          <w:vertAlign w:val="subscript"/>
        </w:rPr>
        <w:t>2</w:t>
      </w:r>
      <w:r w:rsidRPr="00BD16B4">
        <w:rPr>
          <w:rFonts w:eastAsia="Calibri"/>
        </w:rPr>
        <w:t>-e)</w:t>
      </w:r>
      <w:bookmarkEnd w:id="207"/>
      <w:r w:rsidRPr="00BD16B4">
        <w:rPr>
          <w:rFonts w:eastAsia="Calibri"/>
        </w:rPr>
        <w:t xml:space="preserve"> </w:t>
      </w:r>
    </w:p>
    <w:tbl>
      <w:tblPr>
        <w:tblStyle w:val="ListTable3-Accent1"/>
        <w:tblW w:w="8505" w:type="dxa"/>
        <w:tblInd w:w="113" w:type="dxa"/>
        <w:tblBorders>
          <w:left w:val="none" w:sz="0" w:space="0" w:color="auto"/>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982"/>
        <w:gridCol w:w="2174"/>
        <w:gridCol w:w="2174"/>
        <w:gridCol w:w="2175"/>
      </w:tblGrid>
      <w:tr w:rsidR="00CA1920" w:rsidRPr="00BD16B4" w14:paraId="12DDBB7C" w14:textId="77777777" w:rsidTr="002D16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tcPr>
          <w:p w14:paraId="097BC585" w14:textId="77777777" w:rsidR="00CA1920" w:rsidRPr="00BD16B4" w:rsidRDefault="00CA1920" w:rsidP="000F308E">
            <w:pPr>
              <w:pStyle w:val="TableTextBold0"/>
              <w:keepNext/>
              <w:spacing w:before="40" w:after="40"/>
              <w:rPr>
                <w:rFonts w:eastAsia="Calibri"/>
                <w:b/>
                <w:bCs w:val="0"/>
              </w:rPr>
            </w:pPr>
          </w:p>
        </w:tc>
        <w:tc>
          <w:tcPr>
            <w:tcW w:w="2171" w:type="dxa"/>
          </w:tcPr>
          <w:p w14:paraId="6C554260" w14:textId="77777777" w:rsidR="00CA1920" w:rsidRPr="00BD16B4" w:rsidRDefault="00CA1920" w:rsidP="000F308E">
            <w:pPr>
              <w:pStyle w:val="TableTextBold0"/>
              <w:keepNext/>
              <w:spacing w:before="40" w:after="40"/>
              <w:cnfStyle w:val="100000000000" w:firstRow="1" w:lastRow="0" w:firstColumn="0" w:lastColumn="0" w:oddVBand="0" w:evenVBand="0" w:oddHBand="0" w:evenHBand="0" w:firstRowFirstColumn="0" w:firstRowLastColumn="0" w:lastRowFirstColumn="0" w:lastRowLastColumn="0"/>
              <w:rPr>
                <w:rFonts w:eastAsia="Calibri"/>
                <w:b/>
                <w:bCs w:val="0"/>
              </w:rPr>
            </w:pPr>
            <w:r w:rsidRPr="00BD16B4">
              <w:rPr>
                <w:rFonts w:eastAsia="Calibri"/>
                <w:b/>
                <w:bCs w:val="0"/>
              </w:rPr>
              <w:t>First emissions budget (2022–25)</w:t>
            </w:r>
          </w:p>
        </w:tc>
        <w:tc>
          <w:tcPr>
            <w:tcW w:w="2171" w:type="dxa"/>
          </w:tcPr>
          <w:p w14:paraId="1DE04C85" w14:textId="77777777" w:rsidR="00CA1920" w:rsidRPr="00BD16B4" w:rsidRDefault="00CA1920" w:rsidP="000F308E">
            <w:pPr>
              <w:pStyle w:val="TableTextBold0"/>
              <w:keepNext/>
              <w:spacing w:before="40" w:after="40"/>
              <w:cnfStyle w:val="100000000000" w:firstRow="1" w:lastRow="0" w:firstColumn="0" w:lastColumn="0" w:oddVBand="0" w:evenVBand="0" w:oddHBand="0" w:evenHBand="0" w:firstRowFirstColumn="0" w:firstRowLastColumn="0" w:lastRowFirstColumn="0" w:lastRowLastColumn="0"/>
              <w:rPr>
                <w:rFonts w:eastAsia="Calibri"/>
                <w:b/>
                <w:bCs w:val="0"/>
              </w:rPr>
            </w:pPr>
            <w:r w:rsidRPr="00BD16B4">
              <w:rPr>
                <w:rFonts w:eastAsia="Calibri"/>
                <w:b/>
                <w:bCs w:val="0"/>
              </w:rPr>
              <w:t>Second emissions budget (2026–30)</w:t>
            </w:r>
          </w:p>
        </w:tc>
        <w:tc>
          <w:tcPr>
            <w:tcW w:w="2172" w:type="dxa"/>
          </w:tcPr>
          <w:p w14:paraId="40E456AB" w14:textId="77777777" w:rsidR="00CA1920" w:rsidRPr="00BD16B4" w:rsidRDefault="00CA1920" w:rsidP="000F308E">
            <w:pPr>
              <w:pStyle w:val="TableTextBold0"/>
              <w:keepNext/>
              <w:spacing w:before="40" w:after="40"/>
              <w:cnfStyle w:val="100000000000" w:firstRow="1" w:lastRow="0" w:firstColumn="0" w:lastColumn="0" w:oddVBand="0" w:evenVBand="0" w:oddHBand="0" w:evenHBand="0" w:firstRowFirstColumn="0" w:firstRowLastColumn="0" w:lastRowFirstColumn="0" w:lastRowLastColumn="0"/>
              <w:rPr>
                <w:rFonts w:eastAsia="Calibri"/>
                <w:b/>
                <w:bCs w:val="0"/>
              </w:rPr>
            </w:pPr>
            <w:r w:rsidRPr="00BD16B4">
              <w:rPr>
                <w:rFonts w:eastAsia="Calibri"/>
                <w:b/>
                <w:bCs w:val="0"/>
              </w:rPr>
              <w:t>Third emissions budget (2031–35)</w:t>
            </w:r>
          </w:p>
        </w:tc>
      </w:tr>
      <w:tr w:rsidR="00CA1920" w:rsidRPr="00BD16B4" w14:paraId="71B23459" w14:textId="77777777" w:rsidTr="002D1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5F6E43F6" w14:textId="77777777" w:rsidR="00CA1920" w:rsidRPr="00BD16B4" w:rsidRDefault="00CA1920" w:rsidP="000F308E">
            <w:pPr>
              <w:pStyle w:val="TableText"/>
              <w:keepNext/>
              <w:spacing w:before="40" w:after="40"/>
              <w:rPr>
                <w:rFonts w:eastAsia="Calibri"/>
                <w:b w:val="0"/>
                <w:bCs w:val="0"/>
              </w:rPr>
            </w:pPr>
            <w:r w:rsidRPr="00BD16B4">
              <w:rPr>
                <w:rFonts w:eastAsia="Calibri"/>
                <w:b w:val="0"/>
                <w:bCs w:val="0"/>
              </w:rPr>
              <w:t>All gases, net (AR5)</w:t>
            </w:r>
          </w:p>
        </w:tc>
        <w:tc>
          <w:tcPr>
            <w:tcW w:w="2171" w:type="dxa"/>
            <w:tcBorders>
              <w:top w:val="none" w:sz="0" w:space="0" w:color="auto"/>
              <w:bottom w:val="none" w:sz="0" w:space="0" w:color="auto"/>
            </w:tcBorders>
          </w:tcPr>
          <w:p w14:paraId="24320BE3" w14:textId="77777777" w:rsidR="00CA1920" w:rsidRPr="00BD16B4" w:rsidRDefault="00CA1920" w:rsidP="000F308E">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eastAsia="Calibri"/>
              </w:rPr>
            </w:pPr>
            <w:r w:rsidRPr="00BD16B4">
              <w:rPr>
                <w:rFonts w:eastAsia="Calibri"/>
              </w:rPr>
              <w:t>290</w:t>
            </w:r>
          </w:p>
        </w:tc>
        <w:tc>
          <w:tcPr>
            <w:tcW w:w="2171" w:type="dxa"/>
            <w:tcBorders>
              <w:top w:val="none" w:sz="0" w:space="0" w:color="auto"/>
              <w:bottom w:val="none" w:sz="0" w:space="0" w:color="auto"/>
            </w:tcBorders>
          </w:tcPr>
          <w:p w14:paraId="2EFEBCF0" w14:textId="77777777" w:rsidR="00CA1920" w:rsidRPr="00BD16B4" w:rsidRDefault="00CA1920" w:rsidP="000F308E">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eastAsia="Calibri"/>
              </w:rPr>
            </w:pPr>
            <w:r w:rsidRPr="00BD16B4">
              <w:rPr>
                <w:rFonts w:eastAsia="Calibri"/>
              </w:rPr>
              <w:t>305</w:t>
            </w:r>
          </w:p>
        </w:tc>
        <w:tc>
          <w:tcPr>
            <w:tcW w:w="2172" w:type="dxa"/>
            <w:tcBorders>
              <w:top w:val="none" w:sz="0" w:space="0" w:color="auto"/>
              <w:bottom w:val="none" w:sz="0" w:space="0" w:color="auto"/>
            </w:tcBorders>
          </w:tcPr>
          <w:p w14:paraId="7DA302E0" w14:textId="77777777" w:rsidR="00CA1920" w:rsidRPr="00BD16B4" w:rsidRDefault="00CA1920" w:rsidP="000F308E">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eastAsia="Calibri"/>
              </w:rPr>
            </w:pPr>
            <w:r w:rsidRPr="00BD16B4">
              <w:rPr>
                <w:rFonts w:eastAsia="Calibri"/>
              </w:rPr>
              <w:t>240</w:t>
            </w:r>
          </w:p>
        </w:tc>
      </w:tr>
      <w:tr w:rsidR="00CA1920" w:rsidRPr="00BD16B4" w14:paraId="5F9CBF98" w14:textId="77777777" w:rsidTr="002D166E">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5C8F269A" w14:textId="77777777" w:rsidR="00CA1920" w:rsidRPr="00BD16B4" w:rsidRDefault="00CA1920" w:rsidP="000F308E">
            <w:pPr>
              <w:pStyle w:val="TableText"/>
              <w:keepNext/>
              <w:spacing w:before="40" w:after="40"/>
              <w:rPr>
                <w:rFonts w:eastAsia="Calibri"/>
                <w:b w:val="0"/>
                <w:bCs w:val="0"/>
              </w:rPr>
            </w:pPr>
            <w:r w:rsidRPr="00BD16B4">
              <w:rPr>
                <w:rFonts w:eastAsia="Calibri"/>
                <w:b w:val="0"/>
                <w:bCs w:val="0"/>
              </w:rPr>
              <w:t>Annual average</w:t>
            </w:r>
          </w:p>
        </w:tc>
        <w:tc>
          <w:tcPr>
            <w:tcW w:w="2171" w:type="dxa"/>
          </w:tcPr>
          <w:p w14:paraId="7AC8CDEA" w14:textId="77777777" w:rsidR="00CA1920" w:rsidRPr="00BD16B4" w:rsidRDefault="00CA1920" w:rsidP="000F308E">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eastAsia="Calibri"/>
              </w:rPr>
            </w:pPr>
            <w:r w:rsidRPr="00BD16B4">
              <w:rPr>
                <w:rFonts w:eastAsia="Calibri"/>
              </w:rPr>
              <w:t>72.5</w:t>
            </w:r>
          </w:p>
        </w:tc>
        <w:tc>
          <w:tcPr>
            <w:tcW w:w="2171" w:type="dxa"/>
          </w:tcPr>
          <w:p w14:paraId="04908066" w14:textId="77777777" w:rsidR="00CA1920" w:rsidRPr="00BD16B4" w:rsidRDefault="00CA1920" w:rsidP="000F308E">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eastAsia="Calibri"/>
              </w:rPr>
            </w:pPr>
            <w:r w:rsidRPr="00BD16B4">
              <w:rPr>
                <w:rFonts w:eastAsia="Calibri"/>
              </w:rPr>
              <w:t>61.0</w:t>
            </w:r>
          </w:p>
        </w:tc>
        <w:tc>
          <w:tcPr>
            <w:tcW w:w="2172" w:type="dxa"/>
          </w:tcPr>
          <w:p w14:paraId="369A7C3B" w14:textId="77777777" w:rsidR="00CA1920" w:rsidRPr="00BD16B4" w:rsidRDefault="00CA1920" w:rsidP="000F308E">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eastAsia="Calibri"/>
              </w:rPr>
            </w:pPr>
            <w:r w:rsidRPr="00BD16B4">
              <w:rPr>
                <w:rFonts w:eastAsia="Calibri"/>
              </w:rPr>
              <w:t>48.0</w:t>
            </w:r>
          </w:p>
        </w:tc>
      </w:tr>
    </w:tbl>
    <w:p w14:paraId="1B6F1418" w14:textId="77777777" w:rsidR="00CA1920" w:rsidRPr="00BD16B4" w:rsidRDefault="00CA1920" w:rsidP="00CA1920">
      <w:pPr>
        <w:pStyle w:val="Note"/>
        <w:rPr>
          <w:rFonts w:eastAsia="Calibri"/>
        </w:rPr>
      </w:pPr>
      <w:r w:rsidRPr="00BD16B4">
        <w:rPr>
          <w:b/>
          <w:bCs/>
        </w:rPr>
        <w:t xml:space="preserve">Note: </w:t>
      </w:r>
      <w:r w:rsidRPr="00BD16B4">
        <w:t>Emissions in million tonnes of carbon dioxide equivalent (Mt CO</w:t>
      </w:r>
      <w:r w:rsidRPr="00BD16B4">
        <w:rPr>
          <w:vertAlign w:val="subscript"/>
        </w:rPr>
        <w:t>2</w:t>
      </w:r>
      <w:r w:rsidRPr="00BD16B4">
        <w:t xml:space="preserve">-e) are based on the global warming potential (GWP)100 metric values from the Intergovernmental Panel on Climate Change’s (IPCC) </w:t>
      </w:r>
      <w:r w:rsidRPr="00BD16B4">
        <w:rPr>
          <w:i/>
          <w:iCs/>
        </w:rPr>
        <w:t xml:space="preserve">Fifth Assessment Report </w:t>
      </w:r>
      <w:r w:rsidRPr="00BD16B4">
        <w:t xml:space="preserve">(AR5). </w:t>
      </w:r>
    </w:p>
    <w:p w14:paraId="0F62A973" w14:textId="77777777" w:rsidR="00CA1920" w:rsidRPr="00BD16B4" w:rsidRDefault="00CA1920" w:rsidP="00CA1920">
      <w:pPr>
        <w:pStyle w:val="Heading5"/>
        <w:rPr>
          <w:rFonts w:eastAsia="Calibri"/>
        </w:rPr>
      </w:pPr>
      <w:r w:rsidRPr="00BD16B4">
        <w:rPr>
          <w:rFonts w:eastAsia="Calibri"/>
        </w:rPr>
        <w:t>Sector sub-targets</w:t>
      </w:r>
    </w:p>
    <w:p w14:paraId="4416581E" w14:textId="77777777" w:rsidR="00380BA7" w:rsidRPr="00BD16B4" w:rsidRDefault="00380BA7" w:rsidP="00CA1920">
      <w:pPr>
        <w:pStyle w:val="BodyText"/>
        <w:spacing w:before="100" w:after="100"/>
        <w:rPr>
          <w:rFonts w:eastAsia="Calibri"/>
        </w:rPr>
      </w:pPr>
      <w:r w:rsidRPr="00BD16B4">
        <w:rPr>
          <w:rFonts w:eastAsia="Calibri"/>
        </w:rPr>
        <w:t>For the first three emissions budgets, the Government has set sector sub-targets to track progress across key sectors over each emissions budget period. Unlike emissions budgets, these sub-targets are not legislated.</w:t>
      </w:r>
    </w:p>
    <w:p w14:paraId="68AC1348" w14:textId="38AF9C92" w:rsidR="00CA1920" w:rsidRPr="00BD16B4" w:rsidRDefault="00CA1920" w:rsidP="00CA1920">
      <w:pPr>
        <w:pStyle w:val="BodyText"/>
        <w:spacing w:before="100" w:after="100"/>
        <w:rPr>
          <w:rFonts w:eastAsia="Calibri"/>
        </w:rPr>
      </w:pPr>
      <w:r w:rsidRPr="00BD16B4">
        <w:t xml:space="preserve">The </w:t>
      </w:r>
      <w:bookmarkStart w:id="208" w:name="_Hlk118888027"/>
      <w:r w:rsidRPr="00BD16B4">
        <w:t>Climate Change Chief Executives Board</w:t>
      </w:r>
      <w:bookmarkEnd w:id="208"/>
      <w:r w:rsidRPr="00BD16B4">
        <w:t xml:space="preserve"> (the Board) is responsible for monitoring and reporting on overall progress towards the emissions budgets, including sector sub-targets. This will involve advising on how to adjust policy settings to manage variances within – and between – sector sub-targets to support meeting the overall emissions budgets.</w:t>
      </w:r>
    </w:p>
    <w:p w14:paraId="2C6CB0E9" w14:textId="77777777" w:rsidR="00CA1920" w:rsidRPr="00BD16B4" w:rsidRDefault="00CA1920" w:rsidP="00CA1920">
      <w:pPr>
        <w:pStyle w:val="Heading5"/>
        <w:rPr>
          <w:rFonts w:eastAsia="Calibri"/>
        </w:rPr>
      </w:pPr>
      <w:r w:rsidRPr="00BD16B4">
        <w:rPr>
          <w:rFonts w:eastAsia="Calibri"/>
        </w:rPr>
        <w:t>Aotearoa New Zealand’s first emissions reduction plan</w:t>
      </w:r>
    </w:p>
    <w:p w14:paraId="60CBA8DE" w14:textId="77357700" w:rsidR="00CA1920" w:rsidRPr="00BD16B4" w:rsidRDefault="00CA1920" w:rsidP="00CA1920">
      <w:pPr>
        <w:pStyle w:val="BodyText"/>
        <w:spacing w:before="100" w:after="100"/>
      </w:pPr>
      <w:r w:rsidRPr="00BD16B4">
        <w:rPr>
          <w:rFonts w:eastAsia="Calibri"/>
        </w:rPr>
        <w:t xml:space="preserve">In May 2022, the Government published New Zealand's first emissions reduction plan </w:t>
      </w:r>
      <w:r w:rsidRPr="00BD16B4">
        <w:t xml:space="preserve">(mapped below), setting out the </w:t>
      </w:r>
      <w:r w:rsidRPr="00BD16B4">
        <w:rPr>
          <w:rFonts w:eastAsia="Calibri"/>
        </w:rPr>
        <w:t xml:space="preserve">policies and strategies </w:t>
      </w:r>
      <w:r w:rsidRPr="00BD16B4">
        <w:t>for how New Zealand will meet its first emissions budget and ultimately the 2050 target</w:t>
      </w:r>
      <w:r w:rsidR="00E16640" w:rsidRPr="00BD16B4">
        <w:t>s</w:t>
      </w:r>
      <w:r w:rsidRPr="00BD16B4">
        <w:t xml:space="preserve">. </w:t>
      </w:r>
    </w:p>
    <w:p w14:paraId="001A3EC5" w14:textId="77777777" w:rsidR="00CA1920" w:rsidRPr="00BD16B4" w:rsidRDefault="00CA1920" w:rsidP="00CA1920">
      <w:pPr>
        <w:pStyle w:val="BodyText"/>
        <w:rPr>
          <w:rFonts w:eastAsia="Calibri"/>
        </w:rPr>
      </w:pPr>
      <w:r w:rsidRPr="00BD16B4">
        <w:rPr>
          <w:rFonts w:eastAsia="Calibri"/>
        </w:rPr>
        <w:t xml:space="preserve">These policies and strategies form a coherent, strategic package with a mutually supportive and balanced mix of emissions pricing, well-targeted regulations, tailored sectoral policies, direct investment (public and private), innovation and mechanisms </w:t>
      </w:r>
      <w:r w:rsidRPr="00BD16B4">
        <w:t>to meet our climate targets, while supporting an equitable transition to a low-emissions economy</w:t>
      </w:r>
      <w:r w:rsidRPr="00BD16B4">
        <w:rPr>
          <w:rFonts w:eastAsia="Calibri"/>
        </w:rPr>
        <w:t>.</w:t>
      </w:r>
    </w:p>
    <w:p w14:paraId="09E6B12F" w14:textId="77777777" w:rsidR="00CA1920" w:rsidRPr="00BD16B4" w:rsidRDefault="00CA1920" w:rsidP="00CA1920">
      <w:pPr>
        <w:pStyle w:val="BodyText"/>
        <w:rPr>
          <w:rFonts w:eastAsia="Calibri"/>
        </w:rPr>
      </w:pPr>
      <w:r w:rsidRPr="00BD16B4">
        <w:t>Future emissions reduction plans will continue to build on these policies and strategies, and the</w:t>
      </w:r>
      <w:r w:rsidRPr="00BD16B4">
        <w:rPr>
          <w:rFonts w:eastAsia="Calibri"/>
        </w:rPr>
        <w:t xml:space="preserve"> mix of policy tools will change over time, responding to changing circumstances. The </w:t>
      </w:r>
      <w:r w:rsidRPr="00BD16B4">
        <w:t>next emissions reduction plan for the 2026–30 period is to be published by the end of 2024.</w:t>
      </w:r>
    </w:p>
    <w:p w14:paraId="72281298" w14:textId="77777777" w:rsidR="00CA1920" w:rsidRPr="00BD16B4" w:rsidRDefault="00CA1920" w:rsidP="00CA1920">
      <w:pPr>
        <w:pStyle w:val="BodyText"/>
        <w:rPr>
          <w:rFonts w:eastAsia="Calibri"/>
        </w:rPr>
      </w:pPr>
      <w:r w:rsidRPr="00BD16B4">
        <w:rPr>
          <w:rFonts w:eastAsia="Calibri"/>
        </w:rPr>
        <w:t xml:space="preserve">Figure 4.2 gives an overview of New Zealand’s first emissions reduction plan. It sets out several of the plan’s guiding principles, its systems approach and sector plans. </w:t>
      </w:r>
    </w:p>
    <w:p w14:paraId="065E341E" w14:textId="77777777" w:rsidR="00CA1920" w:rsidRPr="00BD16B4" w:rsidRDefault="00CA1920" w:rsidP="00CA1920">
      <w:pPr>
        <w:pStyle w:val="BodyText"/>
        <w:rPr>
          <w:rFonts w:eastAsia="Calibri"/>
        </w:rPr>
      </w:pPr>
      <w:r w:rsidRPr="00BD16B4">
        <w:rPr>
          <w:rFonts w:eastAsia="Calibri"/>
        </w:rPr>
        <w:t xml:space="preserve">See the </w:t>
      </w:r>
      <w:hyperlink r:id="rId73" w:history="1">
        <w:r w:rsidRPr="00BD16B4">
          <w:rPr>
            <w:rStyle w:val="Hyperlink"/>
            <w:rFonts w:eastAsia="Calibri"/>
          </w:rPr>
          <w:t>emissions reduction plan</w:t>
        </w:r>
      </w:hyperlink>
      <w:r w:rsidRPr="00BD16B4">
        <w:rPr>
          <w:rFonts w:eastAsia="Calibri"/>
        </w:rPr>
        <w:t xml:space="preserve"> for more information.</w:t>
      </w:r>
      <w:r w:rsidRPr="00BD16B4">
        <w:rPr>
          <w:rStyle w:val="FootnoteReference"/>
          <w:rFonts w:eastAsia="Calibri"/>
        </w:rPr>
        <w:footnoteReference w:id="137"/>
      </w:r>
    </w:p>
    <w:p w14:paraId="6702249C" w14:textId="502408BE" w:rsidR="00CA1920" w:rsidRPr="00BD16B4" w:rsidRDefault="00CA1920" w:rsidP="00CA1920">
      <w:pPr>
        <w:pStyle w:val="Figureheading"/>
      </w:pPr>
      <w:bookmarkStart w:id="209" w:name="_Toc121494396"/>
      <w:r w:rsidRPr="00BD16B4">
        <w:lastRenderedPageBreak/>
        <w:t xml:space="preserve">Figure 4.2: </w:t>
      </w:r>
      <w:r w:rsidR="001C203F" w:rsidRPr="00BD16B4">
        <w:tab/>
      </w:r>
      <w:r w:rsidRPr="00BD16B4">
        <w:t>Aotearoa New Zealand’s emissions reductions strategy</w:t>
      </w:r>
      <w:bookmarkEnd w:id="209"/>
      <w:r w:rsidRPr="00BD16B4">
        <w:t xml:space="preserve"> </w:t>
      </w:r>
    </w:p>
    <w:p w14:paraId="584359F9" w14:textId="77777777" w:rsidR="00CA1920" w:rsidRPr="00BD16B4" w:rsidRDefault="00CA1920" w:rsidP="00CA1920">
      <w:pPr>
        <w:pStyle w:val="BodyText"/>
      </w:pPr>
      <w:r w:rsidRPr="00BD16B4">
        <w:rPr>
          <w:noProof/>
        </w:rPr>
        <w:drawing>
          <wp:inline distT="0" distB="0" distL="0" distR="0" wp14:anchorId="1386163A" wp14:editId="1A0F6672">
            <wp:extent cx="5213985" cy="7381476"/>
            <wp:effectExtent l="0" t="0" r="0" b="0"/>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74" cstate="print">
                      <a:extLst>
                        <a:ext uri="{28A0092B-C50C-407E-A947-70E740481C1C}">
                          <a14:useLocalDpi xmlns:a14="http://schemas.microsoft.com/office/drawing/2010/main" val="0"/>
                        </a:ext>
                      </a:extLst>
                    </a:blip>
                    <a:srcRect l="2798" t="3376" r="3848" b="3193"/>
                    <a:stretch/>
                  </pic:blipFill>
                  <pic:spPr bwMode="auto">
                    <a:xfrm>
                      <a:off x="0" y="0"/>
                      <a:ext cx="5221966" cy="7392775"/>
                    </a:xfrm>
                    <a:prstGeom prst="rect">
                      <a:avLst/>
                    </a:prstGeom>
                    <a:ln>
                      <a:noFill/>
                    </a:ln>
                    <a:extLst>
                      <a:ext uri="{53640926-AAD7-44D8-BBD7-CCE9431645EC}">
                        <a14:shadowObscured xmlns:a14="http://schemas.microsoft.com/office/drawing/2010/main"/>
                      </a:ext>
                    </a:extLst>
                  </pic:spPr>
                </pic:pic>
              </a:graphicData>
            </a:graphic>
          </wp:inline>
        </w:drawing>
      </w:r>
    </w:p>
    <w:p w14:paraId="2ADF957A" w14:textId="77777777" w:rsidR="00CA1920" w:rsidRPr="00BD16B4" w:rsidRDefault="00CA1920" w:rsidP="00CA1920">
      <w:pPr>
        <w:pStyle w:val="Heading5"/>
        <w:spacing w:before="360"/>
      </w:pPr>
      <w:r w:rsidRPr="00BD16B4">
        <w:t>Empowering Māori</w:t>
      </w:r>
    </w:p>
    <w:p w14:paraId="5E763200" w14:textId="7233E9E3" w:rsidR="00CA1920" w:rsidRPr="00BD16B4" w:rsidRDefault="00CA1920" w:rsidP="00CA1920">
      <w:pPr>
        <w:pStyle w:val="BodyText"/>
      </w:pPr>
      <w:r w:rsidRPr="00BD16B4">
        <w:t>An approach to climate policy that empowers Māori is a guiding principle in the emissions reduction plan. Climate change, and our response to it, has the potential to affect all aspects of Māori life. Tangata whenua (people of the land) are especially vulnerable to the effects of climate change and there are particular risks and opportunities for the Māori economy in</w:t>
      </w:r>
      <w:r w:rsidR="00BD4856" w:rsidRPr="00BD16B4">
        <w:t> </w:t>
      </w:r>
      <w:r w:rsidRPr="00BD16B4">
        <w:t>the transition.</w:t>
      </w:r>
    </w:p>
    <w:p w14:paraId="77690B2E" w14:textId="77777777" w:rsidR="00CA1920" w:rsidRPr="00BD16B4" w:rsidRDefault="00CA1920" w:rsidP="00CA1920">
      <w:pPr>
        <w:pStyle w:val="BodyText"/>
      </w:pPr>
      <w:r w:rsidRPr="00BD16B4">
        <w:lastRenderedPageBreak/>
        <w:t>Māori are kaitiaki (guardians) of their whenua (land), leaders in their communities, decision-makers about resources and infrastructure, land owners and business owners. Māori will help lead the transition in each of these roles. Mātauranga Māori (Māori knowledge systems and world views) will help us learn and better inform our decision-making.</w:t>
      </w:r>
    </w:p>
    <w:p w14:paraId="13DED41B" w14:textId="77777777" w:rsidR="00CA1920" w:rsidRPr="00BD16B4" w:rsidRDefault="00CA1920" w:rsidP="00CA1920">
      <w:pPr>
        <w:pStyle w:val="BodyText"/>
        <w:spacing w:after="240"/>
      </w:pPr>
      <w:r w:rsidRPr="00BD16B4">
        <w:t>An equitable transition for Māori, led by Māori, will require new funding approaches and strengthened Crown–Māori relationships and capability to work together as partners through our climate response.</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A1920" w:rsidRPr="00BD16B4" w14:paraId="243D0995" w14:textId="77777777" w:rsidTr="002D166E">
        <w:tc>
          <w:tcPr>
            <w:tcW w:w="0" w:type="auto"/>
            <w:shd w:val="clear" w:color="auto" w:fill="D2DDE2"/>
          </w:tcPr>
          <w:p w14:paraId="667BD4F7" w14:textId="77777777" w:rsidR="00CA1920" w:rsidRPr="00BD16B4" w:rsidRDefault="00CA1920" w:rsidP="002D166E">
            <w:pPr>
              <w:pStyle w:val="Boxheading"/>
            </w:pPr>
            <w:r w:rsidRPr="00BD16B4">
              <w:t>Key actions in the emissions reduction plan</w:t>
            </w:r>
          </w:p>
          <w:p w14:paraId="37A5FAAC" w14:textId="77777777" w:rsidR="00CA1920" w:rsidRPr="00BD16B4" w:rsidRDefault="00CA1920" w:rsidP="002D166E">
            <w:pPr>
              <w:pStyle w:val="Boxtext"/>
              <w:spacing w:after="80"/>
            </w:pPr>
            <w:r w:rsidRPr="00BD16B4">
              <w:t>Establish a platform for Māori climate action that will:</w:t>
            </w:r>
          </w:p>
          <w:p w14:paraId="758E6462" w14:textId="77777777" w:rsidR="00CA1920" w:rsidRPr="00BD16B4" w:rsidRDefault="00CA1920" w:rsidP="002D166E">
            <w:pPr>
              <w:pStyle w:val="Boxbullet"/>
              <w:spacing w:after="80"/>
            </w:pPr>
            <w:r w:rsidRPr="00BD16B4">
              <w:t>embed partnership and representation – to uphold Te Tiriti of Waitangi principles, processes and mechanisms will be resourced and designed alongside Māori to help tangata whenua to actively participate in the climate response</w:t>
            </w:r>
          </w:p>
          <w:p w14:paraId="72AE03E0" w14:textId="77777777" w:rsidR="00CA1920" w:rsidRPr="00BD16B4" w:rsidRDefault="00CA1920" w:rsidP="002D166E">
            <w:pPr>
              <w:pStyle w:val="Boxbullet"/>
              <w:spacing w:after="80"/>
            </w:pPr>
            <w:r w:rsidRPr="00BD16B4">
              <w:t>support Māori-led strategy and alignment – to elevate te ao Māori (the Māori world) within the climate response, Māori will be supported to define, measure and implement a Māori climate strategy and action plan</w:t>
            </w:r>
          </w:p>
          <w:p w14:paraId="18D7A762" w14:textId="77777777" w:rsidR="00CA1920" w:rsidRPr="00BD16B4" w:rsidRDefault="00CA1920" w:rsidP="002D166E">
            <w:pPr>
              <w:pStyle w:val="Boxbullet"/>
              <w:spacing w:after="180"/>
            </w:pPr>
            <w:r w:rsidRPr="00BD16B4">
              <w:t>activate kaupapa Māori (Māori approach or customary practice), tangata Māori (Māori people) solutions – to enable community action, kaupapa Māori, tangata Māori actions and solutions for the climate emergency will be funded.</w:t>
            </w:r>
          </w:p>
        </w:tc>
      </w:tr>
    </w:tbl>
    <w:p w14:paraId="54A56EB2" w14:textId="77777777" w:rsidR="00CA1920" w:rsidRPr="00BD16B4" w:rsidRDefault="00CA1920" w:rsidP="00CA1920">
      <w:pPr>
        <w:pStyle w:val="Heading5"/>
        <w:spacing w:before="440"/>
      </w:pPr>
      <w:r w:rsidRPr="00BD16B4">
        <w:t>Equitable transition</w:t>
      </w:r>
    </w:p>
    <w:p w14:paraId="69948D23" w14:textId="77777777" w:rsidR="00CA1920" w:rsidRPr="00BD16B4" w:rsidRDefault="00CA1920" w:rsidP="00CA1920">
      <w:pPr>
        <w:pStyle w:val="BodyText"/>
      </w:pPr>
      <w:r w:rsidRPr="00BD16B4">
        <w:t xml:space="preserve">Achieving an equitable transition to a low-emissions economy is another guiding principle in the emissions reduction plan. </w:t>
      </w:r>
    </w:p>
    <w:p w14:paraId="02F755D4" w14:textId="77777777" w:rsidR="00CA1920" w:rsidRPr="00BD16B4" w:rsidRDefault="00CA1920" w:rsidP="00CA1920">
      <w:pPr>
        <w:pStyle w:val="BodyText"/>
      </w:pPr>
      <w:r w:rsidRPr="00BD16B4">
        <w:t>Under the Paris Agreement, the Government has agreed to “take into account the imperatives of a just transition of the workforce and the creation of decent work and quality jobs…”. The Government also signed the ‘Supporting the Conditions for a Just Transition Internationally’</w:t>
      </w:r>
      <w:r w:rsidRPr="00BD16B4">
        <w:rPr>
          <w:rStyle w:val="FootnoteReference"/>
        </w:rPr>
        <w:footnoteReference w:id="138"/>
      </w:r>
      <w:r w:rsidRPr="00BD16B4">
        <w:t xml:space="preserve"> declaration at the 26th United Nations Climate Change Conference of the Parties.</w:t>
      </w:r>
    </w:p>
    <w:p w14:paraId="65A45EE2" w14:textId="77777777" w:rsidR="00CA1920" w:rsidRPr="00BD16B4" w:rsidRDefault="00CA1920" w:rsidP="00CA1920">
      <w:pPr>
        <w:pStyle w:val="BodyText"/>
      </w:pPr>
      <w:r w:rsidRPr="00BD16B4">
        <w:t xml:space="preserve">The CCRA requires the emissions reduction plan to include a strategy to mitigate the impacts </w:t>
      </w:r>
      <w:r w:rsidRPr="00BD16B4">
        <w:rPr>
          <w:spacing w:val="-2"/>
        </w:rPr>
        <w:t>that reducing emissions and increasing removals will have on employees and employers, regions, iwi and Māori, and wider communities, including the funding for any mitigation action.</w:t>
      </w:r>
    </w:p>
    <w:p w14:paraId="6DD8FF22" w14:textId="77777777" w:rsidR="00CA1920" w:rsidRPr="00BD16B4" w:rsidRDefault="00CA1920" w:rsidP="00CA1920">
      <w:pPr>
        <w:pStyle w:val="BodyText"/>
        <w:spacing w:after="240"/>
      </w:pPr>
      <w:r w:rsidRPr="00BD16B4">
        <w:t xml:space="preserve">The Government’s strategy to mitigate the impacts for these groups is built around the following objectives. </w:t>
      </w:r>
    </w:p>
    <w:tbl>
      <w:tblPr>
        <w:tblStyle w:val="GridTable4-Accent1"/>
        <w:tblW w:w="8500"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8500"/>
      </w:tblGrid>
      <w:tr w:rsidR="00CA1920" w:rsidRPr="00BD16B4" w14:paraId="541071F5" w14:textId="77777777" w:rsidTr="002D16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Borders>
              <w:top w:val="none" w:sz="0" w:space="0" w:color="auto"/>
              <w:left w:val="none" w:sz="0" w:space="0" w:color="auto"/>
              <w:bottom w:val="single" w:sz="4" w:space="0" w:color="1B556B" w:themeColor="text2"/>
              <w:right w:val="none" w:sz="0" w:space="0" w:color="auto"/>
            </w:tcBorders>
            <w:shd w:val="clear" w:color="auto" w:fill="1B556B" w:themeFill="text2"/>
          </w:tcPr>
          <w:p w14:paraId="38C0B5EF" w14:textId="77777777" w:rsidR="00CA1920" w:rsidRPr="00BD16B4" w:rsidRDefault="00CA1920" w:rsidP="002D166E">
            <w:pPr>
              <w:pStyle w:val="TableTextBold0"/>
              <w:keepNext/>
              <w:spacing w:before="50" w:after="50"/>
              <w:rPr>
                <w:rFonts w:eastAsia="Calibri"/>
                <w:b/>
                <w:bCs w:val="0"/>
              </w:rPr>
            </w:pPr>
            <w:r w:rsidRPr="00BD16B4">
              <w:rPr>
                <w:rFonts w:eastAsia="Calibri"/>
                <w:b/>
                <w:bCs w:val="0"/>
              </w:rPr>
              <w:lastRenderedPageBreak/>
              <w:t>Objectives</w:t>
            </w:r>
          </w:p>
        </w:tc>
      </w:tr>
      <w:tr w:rsidR="00CA1920" w:rsidRPr="00BD16B4" w14:paraId="4B26562A" w14:textId="77777777" w:rsidTr="002D1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shd w:val="clear" w:color="auto" w:fill="D2DDE1" w:themeFill="background2"/>
          </w:tcPr>
          <w:p w14:paraId="15F09F92" w14:textId="77777777" w:rsidR="00CA1920" w:rsidRPr="00BD16B4" w:rsidRDefault="00CA1920" w:rsidP="002D166E">
            <w:pPr>
              <w:pStyle w:val="TableText"/>
              <w:keepNext/>
              <w:spacing w:before="50" w:after="50"/>
              <w:rPr>
                <w:b w:val="0"/>
                <w:bCs w:val="0"/>
              </w:rPr>
            </w:pPr>
            <w:r w:rsidRPr="00BD16B4">
              <w:rPr>
                <w:b w:val="0"/>
                <w:bCs w:val="0"/>
              </w:rPr>
              <w:t>Seize the opportunities of the transition, including new business and job opportunities.</w:t>
            </w:r>
          </w:p>
        </w:tc>
      </w:tr>
      <w:tr w:rsidR="00CA1920" w:rsidRPr="00BD16B4" w14:paraId="4414457C" w14:textId="77777777" w:rsidTr="002D166E">
        <w:tc>
          <w:tcPr>
            <w:cnfStyle w:val="001000000000" w:firstRow="0" w:lastRow="0" w:firstColumn="1" w:lastColumn="0" w:oddVBand="0" w:evenVBand="0" w:oddHBand="0" w:evenHBand="0" w:firstRowFirstColumn="0" w:firstRowLastColumn="0" w:lastRowFirstColumn="0" w:lastRowLastColumn="0"/>
            <w:tcW w:w="8500" w:type="dxa"/>
            <w:tcBorders>
              <w:bottom w:val="single" w:sz="4" w:space="0" w:color="1B556B" w:themeColor="text2"/>
            </w:tcBorders>
          </w:tcPr>
          <w:p w14:paraId="18C476F5" w14:textId="77777777" w:rsidR="00CA1920" w:rsidRPr="00BD16B4" w:rsidRDefault="00CA1920" w:rsidP="002D166E">
            <w:pPr>
              <w:pStyle w:val="TableText"/>
              <w:keepNext/>
              <w:spacing w:before="50" w:after="50"/>
              <w:rPr>
                <w:b w:val="0"/>
                <w:bCs w:val="0"/>
              </w:rPr>
            </w:pPr>
            <w:r w:rsidRPr="00BD16B4">
              <w:rPr>
                <w:b w:val="0"/>
                <w:bCs w:val="0"/>
              </w:rPr>
              <w:t>Support proactive transition planning with industries, workers, iwi and Māori, regions, small and medium businesses, and communities.</w:t>
            </w:r>
          </w:p>
        </w:tc>
      </w:tr>
      <w:tr w:rsidR="00CA1920" w:rsidRPr="00BD16B4" w14:paraId="0308B8D3" w14:textId="77777777" w:rsidTr="002D1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shd w:val="clear" w:color="auto" w:fill="D2DDE1" w:themeFill="background2"/>
          </w:tcPr>
          <w:p w14:paraId="58BA6D87" w14:textId="77777777" w:rsidR="00CA1920" w:rsidRPr="00BD16B4" w:rsidRDefault="00CA1920" w:rsidP="002D166E">
            <w:pPr>
              <w:pStyle w:val="TableText"/>
              <w:keepNext/>
              <w:spacing w:before="50" w:after="50"/>
              <w:rPr>
                <w:b w:val="0"/>
                <w:bCs w:val="0"/>
              </w:rPr>
            </w:pPr>
            <w:r w:rsidRPr="00BD16B4">
              <w:rPr>
                <w:b w:val="0"/>
                <w:bCs w:val="0"/>
              </w:rPr>
              <w:t>Enable an affordable and inclusive transition, particularly for those least able to respond.</w:t>
            </w:r>
          </w:p>
        </w:tc>
      </w:tr>
      <w:tr w:rsidR="00CA1920" w:rsidRPr="00BD16B4" w14:paraId="29CB515C" w14:textId="77777777" w:rsidTr="002D166E">
        <w:tc>
          <w:tcPr>
            <w:cnfStyle w:val="001000000000" w:firstRow="0" w:lastRow="0" w:firstColumn="1" w:lastColumn="0" w:oddVBand="0" w:evenVBand="0" w:oddHBand="0" w:evenHBand="0" w:firstRowFirstColumn="0" w:firstRowLastColumn="0" w:lastRowFirstColumn="0" w:lastRowLastColumn="0"/>
            <w:tcW w:w="8500" w:type="dxa"/>
            <w:tcBorders>
              <w:bottom w:val="single" w:sz="4" w:space="0" w:color="1B556B" w:themeColor="text2"/>
            </w:tcBorders>
          </w:tcPr>
          <w:p w14:paraId="00A735E5" w14:textId="77777777" w:rsidR="00CA1920" w:rsidRPr="00BD16B4" w:rsidRDefault="00CA1920" w:rsidP="002D166E">
            <w:pPr>
              <w:pStyle w:val="TableText"/>
              <w:keepNext/>
              <w:spacing w:before="50" w:after="50"/>
              <w:rPr>
                <w:b w:val="0"/>
                <w:bCs w:val="0"/>
              </w:rPr>
            </w:pPr>
            <w:r w:rsidRPr="00BD16B4">
              <w:rPr>
                <w:b w:val="0"/>
                <w:bCs w:val="0"/>
              </w:rPr>
              <w:t>Build the evidence base and tools to monitor and assess impacts to enable timely and well-evidenced policy responses.</w:t>
            </w:r>
          </w:p>
        </w:tc>
      </w:tr>
      <w:tr w:rsidR="00CA1920" w:rsidRPr="00BD16B4" w14:paraId="40CD44DE" w14:textId="77777777" w:rsidTr="002D1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shd w:val="clear" w:color="auto" w:fill="D2DDE1" w:themeFill="background2"/>
          </w:tcPr>
          <w:p w14:paraId="77FD059D" w14:textId="77777777" w:rsidR="00CA1920" w:rsidRPr="00BD16B4" w:rsidRDefault="00CA1920" w:rsidP="002D166E">
            <w:pPr>
              <w:pStyle w:val="TableText"/>
              <w:spacing w:before="50" w:after="50"/>
              <w:rPr>
                <w:b w:val="0"/>
                <w:bCs w:val="0"/>
              </w:rPr>
            </w:pPr>
            <w:r w:rsidRPr="00BD16B4">
              <w:rPr>
                <w:b w:val="0"/>
                <w:bCs w:val="0"/>
              </w:rPr>
              <w:t>Encourage informed public participation, to support an active, engaged and informed public willing to advocate for and take up actions consistent with a low-emissions society.</w:t>
            </w:r>
          </w:p>
        </w:tc>
      </w:tr>
    </w:tbl>
    <w:p w14:paraId="1DD7DF61" w14:textId="77777777" w:rsidR="00CA1920" w:rsidRPr="00BD16B4" w:rsidRDefault="00CA1920" w:rsidP="00CA1920">
      <w:pPr>
        <w:pStyle w:val="BodyText"/>
        <w:spacing w:before="240"/>
      </w:pPr>
      <w:r w:rsidRPr="00BD16B4">
        <w:t>Refer to section 4.4 for the actions to achieve these five objectives.</w:t>
      </w:r>
    </w:p>
    <w:p w14:paraId="7DA140D6" w14:textId="77777777" w:rsidR="00CA1920" w:rsidRPr="00BD16B4" w:rsidRDefault="00CA1920" w:rsidP="00CA1920">
      <w:pPr>
        <w:pStyle w:val="Heading5"/>
      </w:pPr>
      <w:r w:rsidRPr="00BD16B4">
        <w:t>Working with nature</w:t>
      </w:r>
    </w:p>
    <w:p w14:paraId="2E413F37" w14:textId="77777777" w:rsidR="00CA1920" w:rsidRPr="00BD16B4" w:rsidRDefault="00CA1920" w:rsidP="00CA1920">
      <w:pPr>
        <w:pStyle w:val="BodyText"/>
        <w:spacing w:before="100" w:after="100"/>
      </w:pPr>
      <w:r w:rsidRPr="00BD16B4">
        <w:t xml:space="preserve">The emissions reduction plan is an opportunity to use nature-based solutions to tackle the climate emergency and to design our response to the climate crisis in a way that protects, enhances and restores nature where possible. </w:t>
      </w:r>
    </w:p>
    <w:p w14:paraId="1822E2FF" w14:textId="77777777" w:rsidR="00CA1920" w:rsidRPr="00BD16B4" w:rsidRDefault="00CA1920" w:rsidP="00CA1920">
      <w:pPr>
        <w:pStyle w:val="BodyText"/>
        <w:spacing w:before="100" w:after="100"/>
      </w:pPr>
      <w:r w:rsidRPr="00BD16B4">
        <w:t>Through engagement with tangata whenua, the Government has heard the call for a kaupapa Māori approach to climate change. A kaupapa Māori approach requires a holistic view, in which our efforts to reduce emissions and promote climate resilience support wider outcomes for te taiao (the environment) and people at the same time.</w:t>
      </w:r>
    </w:p>
    <w:p w14:paraId="0D6B0517" w14:textId="77777777" w:rsidR="00CA1920" w:rsidRPr="00BD16B4" w:rsidRDefault="00CA1920" w:rsidP="00CA1920">
      <w:pPr>
        <w:pStyle w:val="BodyText"/>
        <w:spacing w:after="240"/>
      </w:pPr>
      <w:r w:rsidRPr="00BD16B4">
        <w:t>In New Zealand and around the world, biodiversity is rapidly declining and has reached a crisis point.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A1920" w:rsidRPr="00BD16B4" w14:paraId="6DBCC115" w14:textId="77777777" w:rsidTr="002D166E">
        <w:tc>
          <w:tcPr>
            <w:tcW w:w="0" w:type="auto"/>
            <w:shd w:val="clear" w:color="auto" w:fill="D2DDE2"/>
          </w:tcPr>
          <w:p w14:paraId="5DAEFC86" w14:textId="77777777" w:rsidR="00CA1920" w:rsidRPr="00BD16B4" w:rsidRDefault="00CA1920" w:rsidP="002D166E">
            <w:pPr>
              <w:pStyle w:val="Boxheading"/>
              <w:spacing w:after="100"/>
            </w:pPr>
            <w:r w:rsidRPr="00BD16B4">
              <w:t>Key actions in the emissions reduction plan</w:t>
            </w:r>
          </w:p>
          <w:p w14:paraId="1D1A9139" w14:textId="77777777" w:rsidR="00CA1920" w:rsidRPr="00BD16B4" w:rsidRDefault="00CA1920" w:rsidP="002D166E">
            <w:pPr>
              <w:pStyle w:val="Boxbullet"/>
              <w:spacing w:after="100"/>
            </w:pPr>
            <w:r w:rsidRPr="00BD16B4">
              <w:t>Prioritise nature-based solutions in our planning and regulatory system.</w:t>
            </w:r>
          </w:p>
          <w:p w14:paraId="1F420ACE" w14:textId="77777777" w:rsidR="00CA1920" w:rsidRPr="00BD16B4" w:rsidRDefault="00CA1920" w:rsidP="002D166E">
            <w:pPr>
              <w:pStyle w:val="Boxbullet"/>
              <w:spacing w:after="100"/>
            </w:pPr>
            <w:r w:rsidRPr="00BD16B4">
              <w:t xml:space="preserve">Establish an integrated work programme that delivers climate, biodiversity and wider environmental outcomes. </w:t>
            </w:r>
          </w:p>
          <w:p w14:paraId="43A5452C" w14:textId="77777777" w:rsidR="00CA1920" w:rsidRPr="00BD16B4" w:rsidRDefault="00CA1920" w:rsidP="002D166E">
            <w:pPr>
              <w:pStyle w:val="Boxbullet"/>
              <w:spacing w:after="100"/>
            </w:pPr>
            <w:r w:rsidRPr="00BD16B4">
              <w:t>Report on biodiversity as part of emissions reduction plan reporting.</w:t>
            </w:r>
          </w:p>
          <w:p w14:paraId="365B75A3" w14:textId="77777777" w:rsidR="00CA1920" w:rsidRPr="00BD16B4" w:rsidRDefault="00CA1920" w:rsidP="002D166E">
            <w:pPr>
              <w:pStyle w:val="Boxbullet"/>
              <w:spacing w:after="180"/>
            </w:pPr>
            <w:r w:rsidRPr="00BD16B4">
              <w:t>Encourage global efforts to use nature-based solutions.</w:t>
            </w:r>
          </w:p>
        </w:tc>
      </w:tr>
    </w:tbl>
    <w:p w14:paraId="7D483EC8" w14:textId="77777777" w:rsidR="00CA1920" w:rsidRPr="00BD16B4" w:rsidRDefault="00CA1920" w:rsidP="00CA1920">
      <w:pPr>
        <w:pStyle w:val="BodyText"/>
        <w:spacing w:before="240" w:after="100"/>
      </w:pPr>
      <w:r w:rsidRPr="00BD16B4">
        <w:rPr>
          <w:i/>
          <w:iCs/>
        </w:rPr>
        <w:t>Te Mana o te Taiao – Aotearoa New Zealand Biodiversity Strategy 2020</w:t>
      </w:r>
      <w:r w:rsidRPr="00BD16B4">
        <w:rPr>
          <w:rStyle w:val="FootnoteReference"/>
        </w:rPr>
        <w:footnoteReference w:id="139"/>
      </w:r>
      <w:r w:rsidRPr="00BD16B4">
        <w:t xml:space="preserve"> sets out the national vision for biodiversity for the next 30 years. The Biodiversity Strategy recognises that, for our native wildlife to thrive, we need to address the climate and biodiversity crises at the same time. </w:t>
      </w:r>
    </w:p>
    <w:p w14:paraId="579D7E1C" w14:textId="77777777" w:rsidR="00CA1920" w:rsidRPr="00BD16B4" w:rsidRDefault="00CA1920" w:rsidP="00CA1920">
      <w:pPr>
        <w:pStyle w:val="Heading5"/>
      </w:pPr>
      <w:r w:rsidRPr="00BD16B4">
        <w:t>A systems approach</w:t>
      </w:r>
    </w:p>
    <w:p w14:paraId="4FFBD0F6" w14:textId="77777777" w:rsidR="00CA1920" w:rsidRPr="00BD16B4" w:rsidRDefault="00CA1920" w:rsidP="00CA1920">
      <w:pPr>
        <w:pStyle w:val="BodyText"/>
        <w:spacing w:before="100" w:after="100"/>
      </w:pPr>
      <w:r w:rsidRPr="00BD16B4">
        <w:t xml:space="preserve">The emissions reduction plan </w:t>
      </w:r>
      <w:r w:rsidRPr="00BD16B4" w:rsidDel="00267709">
        <w:t>detail</w:t>
      </w:r>
      <w:r w:rsidRPr="00BD16B4">
        <w:t>s</w:t>
      </w:r>
      <w:r w:rsidRPr="00BD16B4" w:rsidDel="00267709">
        <w:t xml:space="preserve"> </w:t>
      </w:r>
      <w:r w:rsidRPr="00BD16B4">
        <w:t>how we will ensure our system settings also foster low</w:t>
      </w:r>
      <w:r w:rsidRPr="00BD16B4">
        <w:noBreakHyphen/>
        <w:t>emissions development and support New Zealand’s transition to a low-emissions economy. Table 4.2 provides a short overview of the key actions we are taking on across the whole economy.</w:t>
      </w:r>
    </w:p>
    <w:p w14:paraId="0A8C5093" w14:textId="69902524" w:rsidR="00CA1920" w:rsidRPr="00BD16B4" w:rsidRDefault="00CA1920" w:rsidP="00CA1920">
      <w:pPr>
        <w:pStyle w:val="Tableheading"/>
      </w:pPr>
      <w:bookmarkStart w:id="210" w:name="_Toc121773789"/>
      <w:r w:rsidRPr="00BD16B4">
        <w:lastRenderedPageBreak/>
        <w:t xml:space="preserve">Table 4.2: </w:t>
      </w:r>
      <w:r w:rsidR="00707125" w:rsidRPr="00BD16B4">
        <w:tab/>
      </w:r>
      <w:r w:rsidRPr="00BD16B4">
        <w:t>System settings – key actions</w:t>
      </w:r>
      <w:bookmarkEnd w:id="210"/>
      <w:r w:rsidRPr="00BD16B4">
        <w:t xml:space="preserve"> </w:t>
      </w:r>
    </w:p>
    <w:tbl>
      <w:tblPr>
        <w:tblStyle w:val="GridTable4-Accent2"/>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759"/>
        <w:gridCol w:w="5746"/>
      </w:tblGrid>
      <w:tr w:rsidR="00CA1920" w:rsidRPr="00BD16B4" w14:paraId="6B7E30FB" w14:textId="77777777" w:rsidTr="002D16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1B556B" w:themeFill="text2"/>
          </w:tcPr>
          <w:p w14:paraId="43FBDDC3" w14:textId="77777777" w:rsidR="00CA1920" w:rsidRPr="00BD16B4" w:rsidRDefault="00CA1920" w:rsidP="002D166E">
            <w:pPr>
              <w:pStyle w:val="TableText"/>
            </w:pPr>
            <w:r w:rsidRPr="00BD16B4">
              <w:t>Settings</w:t>
            </w:r>
          </w:p>
        </w:tc>
        <w:tc>
          <w:tcPr>
            <w:tcW w:w="0" w:type="auto"/>
            <w:tcBorders>
              <w:top w:val="none" w:sz="0" w:space="0" w:color="auto"/>
              <w:left w:val="none" w:sz="0" w:space="0" w:color="auto"/>
              <w:bottom w:val="none" w:sz="0" w:space="0" w:color="auto"/>
              <w:right w:val="none" w:sz="0" w:space="0" w:color="auto"/>
            </w:tcBorders>
            <w:shd w:val="clear" w:color="auto" w:fill="1B556B" w:themeFill="text2"/>
          </w:tcPr>
          <w:p w14:paraId="30774AD2" w14:textId="77777777" w:rsidR="00CA1920" w:rsidRPr="00BD16B4" w:rsidRDefault="00CA1920" w:rsidP="002D166E">
            <w:pPr>
              <w:pStyle w:val="TableText"/>
              <w:cnfStyle w:val="100000000000" w:firstRow="1" w:lastRow="0" w:firstColumn="0" w:lastColumn="0" w:oddVBand="0" w:evenVBand="0" w:oddHBand="0" w:evenHBand="0" w:firstRowFirstColumn="0" w:firstRowLastColumn="0" w:lastRowFirstColumn="0" w:lastRowLastColumn="0"/>
            </w:pPr>
            <w:r w:rsidRPr="00BD16B4">
              <w:t>Key actions</w:t>
            </w:r>
          </w:p>
        </w:tc>
      </w:tr>
      <w:tr w:rsidR="00CA1920" w:rsidRPr="00BD16B4" w14:paraId="7E21797C" w14:textId="77777777" w:rsidTr="002D1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2DDE1" w:themeFill="background2"/>
            <w:hideMark/>
          </w:tcPr>
          <w:p w14:paraId="6329ED17" w14:textId="77777777" w:rsidR="00CA1920" w:rsidRPr="00BD16B4" w:rsidRDefault="00CA1920" w:rsidP="002D166E">
            <w:pPr>
              <w:pStyle w:val="TableText"/>
              <w:rPr>
                <w:b w:val="0"/>
                <w:bCs w:val="0"/>
              </w:rPr>
            </w:pPr>
            <w:r w:rsidRPr="00BD16B4">
              <w:rPr>
                <w:b w:val="0"/>
                <w:bCs w:val="0"/>
              </w:rPr>
              <w:t>Emissions pricing</w:t>
            </w:r>
          </w:p>
        </w:tc>
        <w:tc>
          <w:tcPr>
            <w:tcW w:w="0" w:type="auto"/>
            <w:shd w:val="clear" w:color="auto" w:fill="D2DDE1" w:themeFill="background2"/>
            <w:hideMark/>
          </w:tcPr>
          <w:p w14:paraId="5A797860" w14:textId="77777777" w:rsidR="00CA1920" w:rsidRPr="00BD16B4" w:rsidRDefault="00CA1920" w:rsidP="002D166E">
            <w:pPr>
              <w:pStyle w:val="TableText"/>
              <w:cnfStyle w:val="000000100000" w:firstRow="0" w:lastRow="0" w:firstColumn="0" w:lastColumn="0" w:oddVBand="0" w:evenVBand="0" w:oddHBand="1" w:evenHBand="0" w:firstRowFirstColumn="0" w:firstRowLastColumn="0" w:lastRowFirstColumn="0" w:lastRowLastColumn="0"/>
            </w:pPr>
            <w:r w:rsidRPr="00BD16B4">
              <w:t>Implement emissions pricing for agriculture</w:t>
            </w:r>
          </w:p>
          <w:p w14:paraId="010BDFBC" w14:textId="77777777" w:rsidR="00CA1920" w:rsidRPr="00BD16B4" w:rsidRDefault="00CA1920" w:rsidP="002D166E">
            <w:pPr>
              <w:pStyle w:val="TableText"/>
              <w:cnfStyle w:val="000000100000" w:firstRow="0" w:lastRow="0" w:firstColumn="0" w:lastColumn="0" w:oddVBand="0" w:evenVBand="0" w:oddHBand="1" w:evenHBand="0" w:firstRowFirstColumn="0" w:firstRowLastColumn="0" w:lastRowFirstColumn="0" w:lastRowLastColumn="0"/>
            </w:pPr>
            <w:r w:rsidRPr="00BD16B4">
              <w:t>Align the New Zealand Emissions Trading Scheme unit and price controls with climate goals</w:t>
            </w:r>
          </w:p>
          <w:p w14:paraId="3F92CF24" w14:textId="77777777" w:rsidR="00CA1920" w:rsidRPr="00BD16B4" w:rsidRDefault="00CA1920" w:rsidP="002D166E">
            <w:pPr>
              <w:pStyle w:val="TableText"/>
              <w:cnfStyle w:val="000000100000" w:firstRow="0" w:lastRow="0" w:firstColumn="0" w:lastColumn="0" w:oddVBand="0" w:evenVBand="0" w:oddHBand="1" w:evenHBand="0" w:firstRowFirstColumn="0" w:firstRowLastColumn="0" w:lastRowFirstColumn="0" w:lastRowLastColumn="0"/>
            </w:pPr>
            <w:r w:rsidRPr="00BD16B4">
              <w:t>Adjust the New Zealand Emissions Trading Scheme to drive a balance of gross and net emissions reductions</w:t>
            </w:r>
          </w:p>
        </w:tc>
      </w:tr>
      <w:tr w:rsidR="00CA1920" w:rsidRPr="00BD16B4" w14:paraId="512E1C92" w14:textId="77777777" w:rsidTr="002D166E">
        <w:tc>
          <w:tcPr>
            <w:cnfStyle w:val="001000000000" w:firstRow="0" w:lastRow="0" w:firstColumn="1" w:lastColumn="0" w:oddVBand="0" w:evenVBand="0" w:oddHBand="0" w:evenHBand="0" w:firstRowFirstColumn="0" w:firstRowLastColumn="0" w:lastRowFirstColumn="0" w:lastRowLastColumn="0"/>
            <w:tcW w:w="0" w:type="auto"/>
            <w:hideMark/>
          </w:tcPr>
          <w:p w14:paraId="653E7471" w14:textId="77777777" w:rsidR="00CA1920" w:rsidRPr="00BD16B4" w:rsidRDefault="00CA1920" w:rsidP="002D166E">
            <w:pPr>
              <w:pStyle w:val="TableText"/>
              <w:rPr>
                <w:b w:val="0"/>
                <w:bCs w:val="0"/>
              </w:rPr>
            </w:pPr>
            <w:r w:rsidRPr="00BD16B4">
              <w:rPr>
                <w:b w:val="0"/>
                <w:bCs w:val="0"/>
              </w:rPr>
              <w:t>Funding and finance</w:t>
            </w:r>
          </w:p>
        </w:tc>
        <w:tc>
          <w:tcPr>
            <w:tcW w:w="0" w:type="auto"/>
            <w:hideMark/>
          </w:tcPr>
          <w:p w14:paraId="2806108F" w14:textId="22BCBFDC" w:rsidR="00CA1920" w:rsidRPr="00BD16B4" w:rsidRDefault="00CA1920" w:rsidP="002D166E">
            <w:pPr>
              <w:pStyle w:val="TableText"/>
              <w:cnfStyle w:val="000000000000" w:firstRow="0" w:lastRow="0" w:firstColumn="0" w:lastColumn="0" w:oddVBand="0" w:evenVBand="0" w:oddHBand="0" w:evenHBand="0" w:firstRowFirstColumn="0" w:firstRowLastColumn="0" w:lastRowFirstColumn="0" w:lastRowLastColumn="0"/>
            </w:pPr>
            <w:r w:rsidRPr="00BD16B4">
              <w:t>Establish the Climate Emergency Response Fund (with initial down</w:t>
            </w:r>
            <w:r w:rsidR="001631C5">
              <w:t xml:space="preserve"> </w:t>
            </w:r>
            <w:r w:rsidRPr="00BD16B4">
              <w:t>payment of NZ$4.5 billion)</w:t>
            </w:r>
          </w:p>
          <w:p w14:paraId="0BB5FAF2" w14:textId="77777777" w:rsidR="00CA1920" w:rsidRPr="00BD16B4" w:rsidRDefault="00CA1920" w:rsidP="002D166E">
            <w:pPr>
              <w:pStyle w:val="TableText"/>
              <w:cnfStyle w:val="000000000000" w:firstRow="0" w:lastRow="0" w:firstColumn="0" w:lastColumn="0" w:oddVBand="0" w:evenVBand="0" w:oddHBand="0" w:evenHBand="0" w:firstRowFirstColumn="0" w:firstRowLastColumn="0" w:lastRowFirstColumn="0" w:lastRowLastColumn="0"/>
            </w:pPr>
            <w:r w:rsidRPr="00BD16B4">
              <w:t>Support climate objectives by issuing Sovereign Green Bonds</w:t>
            </w:r>
          </w:p>
          <w:p w14:paraId="5F68C3D8" w14:textId="77777777" w:rsidR="00CA1920" w:rsidRPr="00BD16B4" w:rsidRDefault="00CA1920" w:rsidP="002D166E">
            <w:pPr>
              <w:pStyle w:val="TableText"/>
              <w:cnfStyle w:val="000000000000" w:firstRow="0" w:lastRow="0" w:firstColumn="0" w:lastColumn="0" w:oddVBand="0" w:evenVBand="0" w:oddHBand="0" w:evenHBand="0" w:firstRowFirstColumn="0" w:firstRowLastColumn="0" w:lastRowFirstColumn="0" w:lastRowLastColumn="0"/>
            </w:pPr>
            <w:r w:rsidRPr="00BD16B4">
              <w:t>Improve transparency and management of climate risks through mandatory climate reporting</w:t>
            </w:r>
          </w:p>
        </w:tc>
      </w:tr>
      <w:tr w:rsidR="00CA1920" w:rsidRPr="00BD16B4" w14:paraId="3A313B5E" w14:textId="77777777" w:rsidTr="002D1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2DDE1" w:themeFill="background2"/>
            <w:hideMark/>
          </w:tcPr>
          <w:p w14:paraId="710AE47A" w14:textId="77777777" w:rsidR="00CA1920" w:rsidRPr="00BD16B4" w:rsidRDefault="00CA1920" w:rsidP="002D166E">
            <w:pPr>
              <w:pStyle w:val="TableText"/>
              <w:rPr>
                <w:b w:val="0"/>
                <w:bCs w:val="0"/>
              </w:rPr>
            </w:pPr>
            <w:r w:rsidRPr="00BD16B4">
              <w:rPr>
                <w:b w:val="0"/>
                <w:bCs w:val="0"/>
              </w:rPr>
              <w:t>Planning and infrastructure</w:t>
            </w:r>
          </w:p>
        </w:tc>
        <w:tc>
          <w:tcPr>
            <w:tcW w:w="0" w:type="auto"/>
            <w:shd w:val="clear" w:color="auto" w:fill="D2DDE1" w:themeFill="background2"/>
            <w:hideMark/>
          </w:tcPr>
          <w:p w14:paraId="49EC1B8C" w14:textId="77777777" w:rsidR="00CA1920" w:rsidRPr="00BD16B4" w:rsidRDefault="00CA1920" w:rsidP="002D166E">
            <w:pPr>
              <w:pStyle w:val="TableText"/>
              <w:cnfStyle w:val="000000100000" w:firstRow="0" w:lastRow="0" w:firstColumn="0" w:lastColumn="0" w:oddVBand="0" w:evenVBand="0" w:oddHBand="1" w:evenHBand="0" w:firstRowFirstColumn="0" w:firstRowLastColumn="0" w:lastRowFirstColumn="0" w:lastRowLastColumn="0"/>
            </w:pPr>
            <w:r w:rsidRPr="00BD16B4">
              <w:t>Reform the resource management system to promote lower emissions and climate resilience</w:t>
            </w:r>
          </w:p>
          <w:p w14:paraId="01E9B430" w14:textId="77777777" w:rsidR="00CA1920" w:rsidRPr="00BD16B4" w:rsidRDefault="00CA1920" w:rsidP="002D166E">
            <w:pPr>
              <w:pStyle w:val="TableText"/>
              <w:cnfStyle w:val="000000100000" w:firstRow="0" w:lastRow="0" w:firstColumn="0" w:lastColumn="0" w:oddVBand="0" w:evenVBand="0" w:oddHBand="1" w:evenHBand="0" w:firstRowFirstColumn="0" w:firstRowLastColumn="0" w:lastRowFirstColumn="0" w:lastRowLastColumn="0"/>
            </w:pPr>
            <w:r w:rsidRPr="00BD16B4">
              <w:t>Enable low-emissions and resilient housing and urban development</w:t>
            </w:r>
          </w:p>
          <w:p w14:paraId="7DB23F3E" w14:textId="77777777" w:rsidR="00CA1920" w:rsidRPr="00BD16B4" w:rsidRDefault="00CA1920" w:rsidP="002D166E">
            <w:pPr>
              <w:pStyle w:val="TableText"/>
              <w:cnfStyle w:val="000000100000" w:firstRow="0" w:lastRow="0" w:firstColumn="0" w:lastColumn="0" w:oddVBand="0" w:evenVBand="0" w:oddHBand="1" w:evenHBand="0" w:firstRowFirstColumn="0" w:firstRowLastColumn="0" w:lastRowFirstColumn="0" w:lastRowLastColumn="0"/>
            </w:pPr>
            <w:r w:rsidRPr="00BD16B4">
              <w:t>Address funding and financing challenges for infrastructure to support low-emissions urban environments</w:t>
            </w:r>
          </w:p>
        </w:tc>
      </w:tr>
      <w:tr w:rsidR="00CA1920" w:rsidRPr="00BD16B4" w14:paraId="147C9954" w14:textId="77777777" w:rsidTr="002D166E">
        <w:tc>
          <w:tcPr>
            <w:cnfStyle w:val="001000000000" w:firstRow="0" w:lastRow="0" w:firstColumn="1" w:lastColumn="0" w:oddVBand="0" w:evenVBand="0" w:oddHBand="0" w:evenHBand="0" w:firstRowFirstColumn="0" w:firstRowLastColumn="0" w:lastRowFirstColumn="0" w:lastRowLastColumn="0"/>
            <w:tcW w:w="0" w:type="auto"/>
            <w:hideMark/>
          </w:tcPr>
          <w:p w14:paraId="0DBF49B6" w14:textId="77777777" w:rsidR="00CA1920" w:rsidRPr="00BD16B4" w:rsidRDefault="00CA1920" w:rsidP="002D166E">
            <w:pPr>
              <w:pStyle w:val="TableText"/>
              <w:rPr>
                <w:b w:val="0"/>
                <w:bCs w:val="0"/>
              </w:rPr>
            </w:pPr>
            <w:r w:rsidRPr="00BD16B4">
              <w:rPr>
                <w:b w:val="0"/>
                <w:bCs w:val="0"/>
              </w:rPr>
              <w:t>Research, science, innovation and technology</w:t>
            </w:r>
          </w:p>
        </w:tc>
        <w:tc>
          <w:tcPr>
            <w:tcW w:w="0" w:type="auto"/>
            <w:hideMark/>
          </w:tcPr>
          <w:p w14:paraId="7E7B864F" w14:textId="77777777" w:rsidR="00CA1920" w:rsidRPr="00BD16B4" w:rsidRDefault="00CA1920" w:rsidP="002D166E">
            <w:pPr>
              <w:pStyle w:val="TableText"/>
              <w:cnfStyle w:val="000000000000" w:firstRow="0" w:lastRow="0" w:firstColumn="0" w:lastColumn="0" w:oddVBand="0" w:evenVBand="0" w:oddHBand="0" w:evenHBand="0" w:firstRowFirstColumn="0" w:firstRowLastColumn="0" w:lastRowFirstColumn="0" w:lastRowLastColumn="0"/>
            </w:pPr>
            <w:r w:rsidRPr="00BD16B4">
              <w:t>Develop a portfolio of climate innovation platforms</w:t>
            </w:r>
          </w:p>
          <w:p w14:paraId="63DC7191" w14:textId="77777777" w:rsidR="00CA1920" w:rsidRPr="00BD16B4" w:rsidRDefault="00CA1920" w:rsidP="002D166E">
            <w:pPr>
              <w:pStyle w:val="TableText"/>
              <w:cnfStyle w:val="000000000000" w:firstRow="0" w:lastRow="0" w:firstColumn="0" w:lastColumn="0" w:oddVBand="0" w:evenVBand="0" w:oddHBand="0" w:evenHBand="0" w:firstRowFirstColumn="0" w:firstRowLastColumn="0" w:lastRowFirstColumn="0" w:lastRowLastColumn="0"/>
            </w:pPr>
            <w:r w:rsidRPr="00BD16B4">
              <w:t>Support the development, assessment and deployment of low-emissions technology</w:t>
            </w:r>
          </w:p>
          <w:p w14:paraId="1AFDC509" w14:textId="77777777" w:rsidR="00CA1920" w:rsidRPr="00BD16B4" w:rsidRDefault="00CA1920" w:rsidP="002D166E">
            <w:pPr>
              <w:pStyle w:val="TableText"/>
              <w:cnfStyle w:val="000000000000" w:firstRow="0" w:lastRow="0" w:firstColumn="0" w:lastColumn="0" w:oddVBand="0" w:evenVBand="0" w:oddHBand="0" w:evenHBand="0" w:firstRowFirstColumn="0" w:firstRowLastColumn="0" w:lastRowFirstColumn="0" w:lastRowLastColumn="0"/>
            </w:pPr>
            <w:r w:rsidRPr="00BD16B4">
              <w:t>Scale up and reorient existing initiatives towards accelerating our transition to a low-emissions economy</w:t>
            </w:r>
          </w:p>
        </w:tc>
      </w:tr>
      <w:tr w:rsidR="00CA1920" w:rsidRPr="00BD16B4" w14:paraId="5FD5B738" w14:textId="77777777" w:rsidTr="002D1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2DDE1" w:themeFill="background2"/>
            <w:hideMark/>
          </w:tcPr>
          <w:p w14:paraId="0B12E1B1" w14:textId="77777777" w:rsidR="00CA1920" w:rsidRPr="00BD16B4" w:rsidRDefault="00CA1920" w:rsidP="002D166E">
            <w:pPr>
              <w:pStyle w:val="TableText"/>
              <w:rPr>
                <w:b w:val="0"/>
                <w:bCs w:val="0"/>
              </w:rPr>
            </w:pPr>
            <w:r w:rsidRPr="00BD16B4">
              <w:rPr>
                <w:b w:val="0"/>
                <w:bCs w:val="0"/>
              </w:rPr>
              <w:t>Circular economy and bioeconomy</w:t>
            </w:r>
          </w:p>
        </w:tc>
        <w:tc>
          <w:tcPr>
            <w:tcW w:w="0" w:type="auto"/>
            <w:shd w:val="clear" w:color="auto" w:fill="D2DDE1" w:themeFill="background2"/>
            <w:hideMark/>
          </w:tcPr>
          <w:p w14:paraId="6E690349" w14:textId="77777777" w:rsidR="00CA1920" w:rsidRPr="00BD16B4" w:rsidRDefault="00CA1920" w:rsidP="002D166E">
            <w:pPr>
              <w:pStyle w:val="TableText"/>
              <w:cnfStyle w:val="000000100000" w:firstRow="0" w:lastRow="0" w:firstColumn="0" w:lastColumn="0" w:oddVBand="0" w:evenVBand="0" w:oddHBand="1" w:evenHBand="0" w:firstRowFirstColumn="0" w:firstRowLastColumn="0" w:lastRowFirstColumn="0" w:lastRowLastColumn="0"/>
            </w:pPr>
            <w:r w:rsidRPr="00BD16B4">
              <w:t>Accelerate the supply and uptake of bioenergy</w:t>
            </w:r>
          </w:p>
          <w:p w14:paraId="4DB00C5E" w14:textId="77777777" w:rsidR="00CA1920" w:rsidRPr="00BD16B4" w:rsidRDefault="00CA1920" w:rsidP="002D166E">
            <w:pPr>
              <w:pStyle w:val="TableText"/>
              <w:cnfStyle w:val="000000100000" w:firstRow="0" w:lastRow="0" w:firstColumn="0" w:lastColumn="0" w:oddVBand="0" w:evenVBand="0" w:oddHBand="1" w:evenHBand="0" w:firstRowFirstColumn="0" w:firstRowLastColumn="0" w:lastRowFirstColumn="0" w:lastRowLastColumn="0"/>
            </w:pPr>
            <w:r w:rsidRPr="00BD16B4">
              <w:t>Support businesses moving to circular practices</w:t>
            </w:r>
          </w:p>
          <w:p w14:paraId="75D74DEF" w14:textId="77777777" w:rsidR="00CA1920" w:rsidRPr="00BD16B4" w:rsidRDefault="00CA1920" w:rsidP="002D166E">
            <w:pPr>
              <w:pStyle w:val="TableText"/>
              <w:cnfStyle w:val="000000100000" w:firstRow="0" w:lastRow="0" w:firstColumn="0" w:lastColumn="0" w:oddVBand="0" w:evenVBand="0" w:oddHBand="1" w:evenHBand="0" w:firstRowFirstColumn="0" w:firstRowLastColumn="0" w:lastRowFirstColumn="0" w:lastRowLastColumn="0"/>
            </w:pPr>
            <w:r w:rsidRPr="00BD16B4">
              <w:t>Develop a circular economy and bioeconomy strategy</w:t>
            </w:r>
          </w:p>
        </w:tc>
      </w:tr>
    </w:tbl>
    <w:p w14:paraId="24E2C0AD" w14:textId="77777777" w:rsidR="00CA1920" w:rsidRPr="00BD16B4" w:rsidRDefault="00CA1920" w:rsidP="00CA1920">
      <w:pPr>
        <w:pStyle w:val="Note"/>
      </w:pPr>
      <w:bookmarkStart w:id="211" w:name="_Toc491430134"/>
      <w:bookmarkStart w:id="212" w:name="_Ref21696664"/>
      <w:bookmarkStart w:id="213" w:name="_Ref21696676"/>
      <w:r w:rsidRPr="00BD16B4">
        <w:rPr>
          <w:b/>
          <w:bCs/>
        </w:rPr>
        <w:t>Note:</w:t>
      </w:r>
      <w:r w:rsidRPr="00BD16B4">
        <w:t xml:space="preserve"> In a circular economy, we design out waste and pollution, keep resources in use for as long as possible, then recover and regenerate products and materials at the end of their life cycle.</w:t>
      </w:r>
    </w:p>
    <w:p w14:paraId="2A0684D1" w14:textId="77777777" w:rsidR="00CA1920" w:rsidRPr="00BD16B4" w:rsidRDefault="00CA1920" w:rsidP="00CA1920">
      <w:pPr>
        <w:pStyle w:val="Heading5"/>
      </w:pPr>
      <w:r w:rsidRPr="00BD16B4">
        <w:t xml:space="preserve">Sector plans </w:t>
      </w:r>
    </w:p>
    <w:p w14:paraId="572202D7" w14:textId="77777777" w:rsidR="00CA1920" w:rsidRPr="00BD16B4" w:rsidRDefault="00CA1920" w:rsidP="00CA1920">
      <w:pPr>
        <w:pStyle w:val="BodyText"/>
      </w:pPr>
      <w:r w:rsidRPr="00BD16B4">
        <w:t xml:space="preserve">Every sector will need to play a role in reducing emissions. The emissions reduction plan includes sector plans, detailing the policies and strategies that will reduce emissions and increase removals. Key policies and strategies from the emissions reduction plan are reflected in section 4.3. </w:t>
      </w:r>
    </w:p>
    <w:p w14:paraId="4ED3E5CB" w14:textId="77777777" w:rsidR="00CA1920" w:rsidRPr="00BD16B4" w:rsidRDefault="00CA1920" w:rsidP="00CA1920">
      <w:pPr>
        <w:pStyle w:val="BodyText"/>
        <w:rPr>
          <w:rFonts w:eastAsia="Calibri"/>
        </w:rPr>
      </w:pPr>
      <w:r w:rsidRPr="00BD16B4">
        <w:t xml:space="preserve">Meeting the first emissions budget requires New Zealand to make sustained cuts in gross emissions, as well as storing carbon through forestry. In the first </w:t>
      </w:r>
      <w:r w:rsidRPr="00BD16B4">
        <w:rPr>
          <w:rFonts w:eastAsia="Calibri"/>
        </w:rPr>
        <w:t xml:space="preserve">emissions budget period, it is likely that the most significant emissions reductions will be in the transport, energy and industry sectors. </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A1920" w:rsidRPr="00BD16B4" w14:paraId="105FA0BB" w14:textId="77777777" w:rsidTr="002D166E">
        <w:tc>
          <w:tcPr>
            <w:tcW w:w="0" w:type="auto"/>
            <w:shd w:val="clear" w:color="auto" w:fill="D2DDE2"/>
          </w:tcPr>
          <w:p w14:paraId="322387F8" w14:textId="77777777" w:rsidR="00CA1920" w:rsidRPr="00BD16B4" w:rsidRDefault="00CA1920" w:rsidP="002D166E">
            <w:pPr>
              <w:pStyle w:val="Boxheading"/>
            </w:pPr>
            <w:r w:rsidRPr="00BD16B4">
              <w:lastRenderedPageBreak/>
              <w:t>Productivity Commission</w:t>
            </w:r>
          </w:p>
          <w:p w14:paraId="18240C2A" w14:textId="77777777" w:rsidR="00CA1920" w:rsidRPr="00BD16B4" w:rsidRDefault="00CA1920" w:rsidP="00E2096C">
            <w:pPr>
              <w:pStyle w:val="Boxtext"/>
              <w:spacing w:after="60"/>
            </w:pPr>
            <w:r w:rsidRPr="00BD16B4">
              <w:rPr>
                <w:rFonts w:eastAsia="Calibri"/>
              </w:rPr>
              <w:t xml:space="preserve">The New Zealand Productivity Commission – Te Kōmihana Whai Hua o Aotearoa is </w:t>
            </w:r>
            <w:r w:rsidRPr="00BD16B4">
              <w:t xml:space="preserve">an </w:t>
            </w:r>
            <w:hyperlink r:id="rId75" w:tooltip="Crown entity" w:history="1">
              <w:r w:rsidRPr="00BD16B4">
                <w:t>independent Crown entity</w:t>
              </w:r>
            </w:hyperlink>
            <w:r w:rsidRPr="00BD16B4">
              <w:t xml:space="preserve"> that provides advice to the Government on improving New Zealand’s </w:t>
            </w:r>
            <w:hyperlink r:id="rId76" w:tooltip="Productivity" w:history="1">
              <w:r w:rsidRPr="00BD16B4">
                <w:t>productivity</w:t>
              </w:r>
            </w:hyperlink>
            <w:r w:rsidRPr="00BD16B4">
              <w:t xml:space="preserve">. </w:t>
            </w:r>
          </w:p>
          <w:p w14:paraId="39F35D48" w14:textId="77777777" w:rsidR="00CA1920" w:rsidRPr="00BD16B4" w:rsidRDefault="00CA1920" w:rsidP="00E2096C">
            <w:pPr>
              <w:pStyle w:val="Boxtext"/>
              <w:spacing w:after="60"/>
            </w:pPr>
            <w:r w:rsidRPr="00BD16B4">
              <w:t xml:space="preserve">In 2018, the Productivity Commission released the </w:t>
            </w:r>
            <w:r w:rsidRPr="00BD16B4">
              <w:rPr>
                <w:i/>
              </w:rPr>
              <w:t>Low-emissions Economy</w:t>
            </w:r>
            <w:r w:rsidRPr="00BD16B4">
              <w:rPr>
                <w:iCs/>
                <w:vertAlign w:val="superscript"/>
              </w:rPr>
              <w:footnoteReference w:id="140"/>
            </w:r>
            <w:r w:rsidRPr="00BD16B4">
              <w:rPr>
                <w:iCs/>
              </w:rPr>
              <w:t xml:space="preserve"> </w:t>
            </w:r>
            <w:r w:rsidRPr="00BD16B4">
              <w:t>report, which included 173 findings and 77 recommendations. Among the recommended changes, it emphasised three particular changes that must happen for New Zealand to achieve its low</w:t>
            </w:r>
            <w:r w:rsidRPr="00BD16B4">
              <w:noBreakHyphen/>
              <w:t xml:space="preserve">emissions goals, while continuing to grow incomes and wellbeing: </w:t>
            </w:r>
          </w:p>
          <w:p w14:paraId="484E6B92" w14:textId="77777777" w:rsidR="00CA1920" w:rsidRPr="00BD16B4" w:rsidRDefault="00CA1920" w:rsidP="00E2096C">
            <w:pPr>
              <w:pStyle w:val="Boxbullet"/>
              <w:spacing w:after="60"/>
            </w:pPr>
            <w:r w:rsidRPr="00BD16B4">
              <w:t>transition from fossil fuels to electricity and other low-emissions fuels across the economy</w:t>
            </w:r>
          </w:p>
          <w:p w14:paraId="0381A6C5" w14:textId="77777777" w:rsidR="00CA1920" w:rsidRPr="00BD16B4" w:rsidRDefault="00CA1920" w:rsidP="00E2096C">
            <w:pPr>
              <w:pStyle w:val="Boxbullet"/>
              <w:spacing w:after="60"/>
            </w:pPr>
            <w:r w:rsidRPr="00BD16B4">
              <w:t>substantial afforestation</w:t>
            </w:r>
          </w:p>
          <w:p w14:paraId="6774D555" w14:textId="77777777" w:rsidR="00CA1920" w:rsidRPr="00BD16B4" w:rsidRDefault="00CA1920" w:rsidP="00867026">
            <w:pPr>
              <w:pStyle w:val="Boxbullet"/>
              <w:spacing w:after="80"/>
            </w:pPr>
            <w:r w:rsidRPr="00BD16B4">
              <w:t xml:space="preserve">changes to the structure and methods of agricultural production. </w:t>
            </w:r>
          </w:p>
          <w:p w14:paraId="1813D5C1" w14:textId="77777777" w:rsidR="00867026" w:rsidRPr="00BD16B4" w:rsidRDefault="00867026" w:rsidP="00E2096C">
            <w:pPr>
              <w:pStyle w:val="Boxtext"/>
              <w:spacing w:after="60"/>
            </w:pPr>
            <w:r w:rsidRPr="00BD16B4">
              <w:t>The report found that it is necessary to act quickly and that delaying the transition will make it more costly. In 2019, the Government released its climate action plan</w:t>
            </w:r>
            <w:r w:rsidRPr="00BD16B4">
              <w:rPr>
                <w:vertAlign w:val="superscript"/>
              </w:rPr>
              <w:footnoteReference w:id="141"/>
            </w:r>
            <w:r w:rsidRPr="00BD16B4">
              <w:t xml:space="preserve"> in response to the Productivity Commission’s report. </w:t>
            </w:r>
          </w:p>
          <w:p w14:paraId="1FE7882B" w14:textId="4AE83EEF" w:rsidR="00867026" w:rsidRPr="00BD16B4" w:rsidRDefault="00867026" w:rsidP="00867026">
            <w:pPr>
              <w:pStyle w:val="Boxtext"/>
              <w:spacing w:after="180"/>
            </w:pPr>
            <w:r w:rsidRPr="00BD16B4">
              <w:t xml:space="preserve">The emissions reduction plan builds on the </w:t>
            </w:r>
            <w:r w:rsidRPr="00BD16B4">
              <w:rPr>
                <w:i/>
                <w:iCs/>
              </w:rPr>
              <w:t>Low-emissions Economy</w:t>
            </w:r>
            <w:r w:rsidRPr="00BD16B4">
              <w:t xml:space="preserve"> report and the climate action plan 2019. </w:t>
            </w:r>
          </w:p>
        </w:tc>
      </w:tr>
    </w:tbl>
    <w:p w14:paraId="25FB9A37" w14:textId="77777777" w:rsidR="00CA1920" w:rsidRPr="00BD16B4" w:rsidRDefault="00CA1920" w:rsidP="00867026">
      <w:pPr>
        <w:pStyle w:val="Heading4"/>
        <w:spacing w:before="360"/>
      </w:pPr>
      <w:r w:rsidRPr="00BD16B4">
        <w:t xml:space="preserve">Aotearoa New </w:t>
      </w:r>
      <w:r w:rsidRPr="00BD16B4">
        <w:rPr>
          <w:rFonts w:eastAsia="Calibri"/>
        </w:rPr>
        <w:t>Zealand’s</w:t>
      </w:r>
      <w:r w:rsidRPr="00BD16B4">
        <w:t xml:space="preserve"> first </w:t>
      </w:r>
      <w:r w:rsidRPr="00BD16B4">
        <w:rPr>
          <w:rFonts w:eastAsia="Calibri"/>
        </w:rPr>
        <w:t>national</w:t>
      </w:r>
      <w:r w:rsidRPr="00BD16B4">
        <w:t xml:space="preserve"> adaptation plan</w:t>
      </w:r>
    </w:p>
    <w:bookmarkEnd w:id="211"/>
    <w:bookmarkEnd w:id="212"/>
    <w:bookmarkEnd w:id="213"/>
    <w:p w14:paraId="4057F9C9" w14:textId="3695FA6C" w:rsidR="00CA1920" w:rsidRPr="00BD16B4" w:rsidRDefault="00CA1920" w:rsidP="00E2096C">
      <w:pPr>
        <w:pStyle w:val="BodyText"/>
        <w:spacing w:before="100"/>
      </w:pPr>
      <w:r w:rsidRPr="00BD16B4">
        <w:t>In August 2022, Aotearoa New Zealand released its first national adaptation plan 2022–28 in</w:t>
      </w:r>
      <w:r w:rsidR="00EB004C" w:rsidRPr="00BD16B4">
        <w:t> </w:t>
      </w:r>
      <w:r w:rsidRPr="00BD16B4">
        <w:t xml:space="preserve">response the risks identified in the National Climate Change Risk Assessment 2020. </w:t>
      </w:r>
    </w:p>
    <w:p w14:paraId="0A166AA4" w14:textId="5F362245" w:rsidR="00CA1920" w:rsidRPr="00BD16B4" w:rsidRDefault="00CA1920" w:rsidP="00E2096C">
      <w:pPr>
        <w:pStyle w:val="BodyText"/>
        <w:spacing w:before="100"/>
        <w:rPr>
          <w:rFonts w:eastAsia="Calibri"/>
        </w:rPr>
      </w:pPr>
      <w:r w:rsidRPr="00BD16B4">
        <w:t>The emissions reduction plan and the national adaptation plan are both key strategies and are</w:t>
      </w:r>
      <w:r w:rsidR="00EB004C" w:rsidRPr="00BD16B4">
        <w:t> </w:t>
      </w:r>
      <w:r w:rsidRPr="00BD16B4">
        <w:t xml:space="preserve">interlinked. </w:t>
      </w:r>
      <w:r w:rsidRPr="00BD16B4">
        <w:rPr>
          <w:rFonts w:eastAsia="Calibri"/>
        </w:rPr>
        <w:t xml:space="preserve">For further details on adaptation, refer to chapter 6. </w:t>
      </w:r>
    </w:p>
    <w:p w14:paraId="1905C828" w14:textId="77777777" w:rsidR="00CA1920" w:rsidRPr="00BD16B4" w:rsidRDefault="00CA1920" w:rsidP="00E2096C">
      <w:pPr>
        <w:pStyle w:val="BodyText"/>
        <w:spacing w:after="0"/>
        <w:rPr>
          <w:rFonts w:eastAsia="Calibri"/>
        </w:rPr>
      </w:pPr>
      <w:r w:rsidRPr="00BD16B4">
        <w:rPr>
          <w:rFonts w:eastAsia="Calibri"/>
        </w:rPr>
        <w:t xml:space="preserve">See the </w:t>
      </w:r>
      <w:hyperlink r:id="rId77" w:history="1">
        <w:r w:rsidRPr="00BD16B4">
          <w:rPr>
            <w:rStyle w:val="Hyperlink"/>
            <w:rFonts w:eastAsia="Calibri"/>
          </w:rPr>
          <w:t>national adaptation plan</w:t>
        </w:r>
      </w:hyperlink>
      <w:r w:rsidRPr="00BD16B4">
        <w:rPr>
          <w:rFonts w:eastAsia="Calibri"/>
        </w:rPr>
        <w:t xml:space="preserve"> for more information.</w:t>
      </w:r>
    </w:p>
    <w:p w14:paraId="0DDC7150" w14:textId="77777777" w:rsidR="00CA1920" w:rsidRPr="00BD16B4" w:rsidRDefault="00CA1920" w:rsidP="00E2096C">
      <w:pPr>
        <w:pStyle w:val="Heading2"/>
        <w:spacing w:after="60"/>
        <w:rPr>
          <w:rFonts w:eastAsia="Calibri"/>
        </w:rPr>
      </w:pPr>
      <w:bookmarkStart w:id="214" w:name="_Toc246918251"/>
      <w:bookmarkStart w:id="215" w:name="_Toc248736177"/>
      <w:bookmarkStart w:id="216" w:name="_Toc363540327"/>
      <w:bookmarkStart w:id="217" w:name="_Toc372551737"/>
      <w:bookmarkStart w:id="218" w:name="_Toc374520353"/>
      <w:bookmarkStart w:id="219" w:name="_Toc497740278"/>
      <w:bookmarkStart w:id="220" w:name="_Toc498516736"/>
      <w:bookmarkStart w:id="221" w:name="_Toc500796147"/>
      <w:bookmarkStart w:id="222" w:name="_Toc121774636"/>
      <w:r w:rsidRPr="00BD16B4">
        <w:rPr>
          <w:rFonts w:eastAsia="Calibri"/>
        </w:rPr>
        <w:t>4.3</w:t>
      </w:r>
      <w:r w:rsidRPr="00BD16B4">
        <w:rPr>
          <w:rFonts w:eastAsia="Calibri"/>
        </w:rPr>
        <w:tab/>
        <w:t>Policies and measures, and their effects</w:t>
      </w:r>
      <w:bookmarkEnd w:id="214"/>
      <w:bookmarkEnd w:id="215"/>
      <w:bookmarkEnd w:id="216"/>
      <w:bookmarkEnd w:id="217"/>
      <w:bookmarkEnd w:id="218"/>
      <w:bookmarkEnd w:id="219"/>
      <w:bookmarkEnd w:id="220"/>
      <w:bookmarkEnd w:id="221"/>
      <w:bookmarkEnd w:id="222"/>
    </w:p>
    <w:p w14:paraId="5CF3C82D" w14:textId="77777777" w:rsidR="00CA1920" w:rsidRPr="00BD16B4" w:rsidRDefault="00CA1920" w:rsidP="00E2096C">
      <w:pPr>
        <w:pStyle w:val="BodyText"/>
        <w:spacing w:before="100"/>
        <w:rPr>
          <w:rFonts w:eastAsia="Calibri"/>
        </w:rPr>
      </w:pPr>
      <w:r w:rsidRPr="00BD16B4">
        <w:rPr>
          <w:rFonts w:eastAsia="Calibri"/>
        </w:rPr>
        <w:t xml:space="preserve">This section outlines Aotearoa New Zealand’s key policies and measures to reduce emissions and increase removals. It begins by setting out cross-cutting policies and measures before describing those that are sector specific. </w:t>
      </w:r>
    </w:p>
    <w:p w14:paraId="0F535672" w14:textId="77777777" w:rsidR="00CA1920" w:rsidRPr="00BD16B4" w:rsidRDefault="00CA1920" w:rsidP="00E2096C">
      <w:pPr>
        <w:pStyle w:val="BodyText"/>
        <w:spacing w:before="100"/>
        <w:rPr>
          <w:rFonts w:eastAsia="Calibri"/>
        </w:rPr>
      </w:pPr>
      <w:r w:rsidRPr="00BD16B4">
        <w:rPr>
          <w:rFonts w:eastAsia="Calibri"/>
        </w:rPr>
        <w:t>In preparing this chapter, priority has been given to policies and measures – or combinations of policies and measures – that have the most significant impact on greenhouse </w:t>
      </w:r>
      <w:r w:rsidRPr="00BD16B4">
        <w:t xml:space="preserve">gas emissions and removals, or that support an </w:t>
      </w:r>
      <w:r w:rsidRPr="00BD16B4">
        <w:rPr>
          <w:rFonts w:cs="Calibri"/>
        </w:rPr>
        <w:t xml:space="preserve">equitable transition, are </w:t>
      </w:r>
      <w:r w:rsidRPr="00BD16B4">
        <w:t>innovative or are easy for other parties to replicate.</w:t>
      </w:r>
    </w:p>
    <w:p w14:paraId="0B27FCB4" w14:textId="77777777" w:rsidR="00CA1920" w:rsidRPr="00BD16B4" w:rsidRDefault="00CA1920" w:rsidP="00E2096C">
      <w:pPr>
        <w:pStyle w:val="BodyText"/>
        <w:spacing w:before="100"/>
        <w:rPr>
          <w:rFonts w:eastAsia="Calibri"/>
        </w:rPr>
      </w:pPr>
      <w:r w:rsidRPr="00BD16B4">
        <w:rPr>
          <w:rFonts w:eastAsia="Calibri"/>
        </w:rPr>
        <w:t xml:space="preserve">Many of the sector-specific policies and initiatives set out in this section have been drawn from New Zealand’s first emissions reduction plan. </w:t>
      </w:r>
    </w:p>
    <w:p w14:paraId="18163C17" w14:textId="77777777" w:rsidR="00CA1920" w:rsidRPr="00BD16B4" w:rsidRDefault="00CA1920" w:rsidP="00CA1920">
      <w:pPr>
        <w:pStyle w:val="Heading3"/>
      </w:pPr>
      <w:bookmarkStart w:id="223" w:name="_Toc363540328"/>
      <w:r w:rsidRPr="00BD16B4">
        <w:rPr>
          <w:rFonts w:eastAsia="Calibri"/>
        </w:rPr>
        <w:lastRenderedPageBreak/>
        <w:t>4.3.1</w:t>
      </w:r>
      <w:r w:rsidRPr="00BD16B4">
        <w:rPr>
          <w:rFonts w:eastAsia="Calibri"/>
        </w:rPr>
        <w:tab/>
        <w:t>Cross-cutting policies and measures</w:t>
      </w:r>
      <w:bookmarkEnd w:id="223"/>
    </w:p>
    <w:p w14:paraId="280C08C3" w14:textId="77777777" w:rsidR="00CA1920" w:rsidRPr="00BD16B4" w:rsidRDefault="00CA1920" w:rsidP="004E1B8C">
      <w:pPr>
        <w:pStyle w:val="Heading4"/>
      </w:pPr>
      <w:r w:rsidRPr="00BD16B4">
        <w:rPr>
          <w:rFonts w:eastAsia="Calibri"/>
        </w:rPr>
        <w:t>New Zealand Emissions Trading Scheme</w:t>
      </w:r>
    </w:p>
    <w:p w14:paraId="70B8E279" w14:textId="77777777" w:rsidR="00CA1920" w:rsidRPr="00BD16B4" w:rsidRDefault="00CA1920" w:rsidP="00CA1920">
      <w:pPr>
        <w:pStyle w:val="BodyText"/>
      </w:pPr>
      <w:r w:rsidRPr="00BD16B4">
        <w:t>The NZ ETS has been New Zealand’s primary emissions pricing tool since its inception in 2008. It requires upstream entities, such as fuel suppliers and emitters with process emissions, to surrender emissions units (New Zealand Units or NZUs) to the government for their activities. It also rewards entities that remove carbon from the atmosphere, which for New Zealand is predominantly through forestry. Entities that embed or export greenhouse gases where those emissions had been priced by the NZ ETS as if they would occur in New Zealand are also entitled to emissions units.</w:t>
      </w:r>
    </w:p>
    <w:p w14:paraId="7FD540A7" w14:textId="77777777" w:rsidR="00CA1920" w:rsidRPr="00BD16B4" w:rsidRDefault="00CA1920" w:rsidP="00CA1920">
      <w:pPr>
        <w:pStyle w:val="BodyText"/>
      </w:pPr>
      <w:r w:rsidRPr="00BD16B4">
        <w:t xml:space="preserve">Each NZU represents one tonne of carbon dioxide equivalent and is provided to the NZ ETS market through three channels: government auctions, units earned by entities performing removal activities, and free units to eligible industries (industrial allocation). Once units have been allocated to the market, they can be traded on the secondary market with the price being set by supply and demand at a point in time. </w:t>
      </w:r>
    </w:p>
    <w:p w14:paraId="331E3AE2" w14:textId="77777777" w:rsidR="00CA1920" w:rsidRPr="00BD16B4" w:rsidRDefault="00CA1920" w:rsidP="00CA1920">
      <w:pPr>
        <w:pStyle w:val="BodyText"/>
      </w:pPr>
      <w:r w:rsidRPr="00BD16B4">
        <w:t>The NZ ETS is a form of ‘cap-and-trade’ scheme. Its power comes from both pricing emissions and removals and covering emissions with a ‘cap’ – or limit – on the tonnes of net emissions that can be emitted annually. Over time this cap will decrease in alignment with emission budgets, reducing the supply of NZUs available for auctioning. The reducing cap on net emissions shapes future economic development by encouraging alignment of investment decisions with a low-carbon economy and influencing technology choices towards low-emissions alternatives.</w:t>
      </w:r>
    </w:p>
    <w:p w14:paraId="29C5BF74" w14:textId="77777777" w:rsidR="00CA1920" w:rsidRPr="00BD16B4" w:rsidRDefault="00CA1920" w:rsidP="00CA1920">
      <w:pPr>
        <w:pStyle w:val="BodyText"/>
      </w:pPr>
      <w:r w:rsidRPr="00BD16B4">
        <w:t>The NZ ETS creates a price signal on domestic emissions within the stationary energy, liquid fossil fuel, industrial process, synthetic greenhouse gas, waste, and forestry sectors.</w:t>
      </w:r>
      <w:r w:rsidRPr="00BD16B4">
        <w:rPr>
          <w:rStyle w:val="FootnoteReference"/>
        </w:rPr>
        <w:footnoteReference w:id="142"/>
      </w:r>
      <w:r w:rsidRPr="00BD16B4">
        <w:t xml:space="preserve"> </w:t>
      </w:r>
      <w:r w:rsidRPr="00BD16B4">
        <w:rPr>
          <w:spacing w:val="-2"/>
        </w:rPr>
        <w:t>Emissions from the agriculture sector (approximately 50 per cent of New Zealand’s emissions)</w:t>
      </w:r>
      <w:r w:rsidRPr="00BD16B4">
        <w:rPr>
          <w:rStyle w:val="FootnoteReference"/>
        </w:rPr>
        <w:footnoteReference w:id="143"/>
      </w:r>
      <w:r w:rsidRPr="00BD16B4">
        <w:rPr>
          <w:rStyle w:val="FootnoteReference"/>
        </w:rPr>
        <w:t xml:space="preserve"> </w:t>
      </w:r>
      <w:r w:rsidRPr="00BD16B4">
        <w:t>are outside the NZ ETS. Additionally, two-thirds of waste,</w:t>
      </w:r>
      <w:r w:rsidRPr="00BD16B4">
        <w:rPr>
          <w:rStyle w:val="FootnoteReference"/>
        </w:rPr>
        <w:footnoteReference w:id="144"/>
      </w:r>
      <w:r w:rsidRPr="00BD16B4">
        <w:t xml:space="preserve"> one-third</w:t>
      </w:r>
      <w:r w:rsidRPr="00BD16B4" w:rsidDel="0016190B">
        <w:t xml:space="preserve"> </w:t>
      </w:r>
      <w:r w:rsidRPr="00BD16B4">
        <w:t>of synthetic greenhouse gases,</w:t>
      </w:r>
      <w:r w:rsidRPr="00BD16B4">
        <w:rPr>
          <w:rStyle w:val="FootnoteReference"/>
        </w:rPr>
        <w:footnoteReference w:id="145"/>
      </w:r>
      <w:r w:rsidRPr="00BD16B4">
        <w:t xml:space="preserve"> and other small sources of gross emissions are excluded from the NZ ETS to reduce administrative costs or to address measurement uncertainties. </w:t>
      </w:r>
    </w:p>
    <w:p w14:paraId="224E8655" w14:textId="77777777" w:rsidR="00CA1920" w:rsidRPr="00BD16B4" w:rsidRDefault="00CA1920" w:rsidP="00CA1920">
      <w:pPr>
        <w:pStyle w:val="BodyText"/>
      </w:pPr>
      <w:r w:rsidRPr="00BD16B4">
        <w:t>NZ ETS settings for forestry have been designed to align with international target accounting rules. Emissions and removals depend on the forest type and if the forest existed before or after 1990. Exotic forests established prior to 31 December 1989 (known as pre-1990 forests) cannot earn NZ ETS emissions units from forest growth, but units are required to be surrendered if the forest is deforested. Forests, exotic or indigenous, established from 1 January 1990 (known as post-1989 forests) have the option of entering the NZ ETS and can earn units for emissions removals from the forest’s growth. Emissions units are required to be surrendered if the forest is deforested, and depending on the accounting methodology used, emissions units may need to be surrendered if the forest is harvested. Approximately</w:t>
      </w:r>
      <w:r w:rsidRPr="00BD16B4">
        <w:rPr>
          <w:color w:val="E8A67D" w:themeColor="accent6" w:themeTint="99"/>
        </w:rPr>
        <w:t xml:space="preserve"> </w:t>
      </w:r>
      <w:r w:rsidRPr="00BD16B4">
        <w:t>55</w:t>
      </w:r>
      <w:r w:rsidRPr="00BD16B4">
        <w:rPr>
          <w:color w:val="E8A67D" w:themeColor="accent6" w:themeTint="99"/>
        </w:rPr>
        <w:t> </w:t>
      </w:r>
      <w:r w:rsidRPr="00BD16B4">
        <w:t>per cent of the post-1989 forest estate is in the NZ ETS.</w:t>
      </w:r>
    </w:p>
    <w:p w14:paraId="39841F68" w14:textId="77777777" w:rsidR="00CA1920" w:rsidRPr="00BD16B4" w:rsidRDefault="00CA1920" w:rsidP="00CA1920">
      <w:pPr>
        <w:pStyle w:val="Heading5"/>
      </w:pPr>
      <w:r w:rsidRPr="00BD16B4">
        <w:rPr>
          <w:rFonts w:eastAsia="Calibri"/>
        </w:rPr>
        <w:lastRenderedPageBreak/>
        <w:t xml:space="preserve">International linking </w:t>
      </w:r>
    </w:p>
    <w:p w14:paraId="1CB598EC" w14:textId="77777777" w:rsidR="00CA1920" w:rsidRPr="00BD16B4" w:rsidRDefault="00CA1920" w:rsidP="00CA1920">
      <w:pPr>
        <w:pStyle w:val="BodyText"/>
      </w:pPr>
      <w:r w:rsidRPr="00BD16B4">
        <w:t xml:space="preserve">Prior to May 2015, some types of international emissions units issued under the Kyoto Protocol could be imported and surrendered to cover NZ ETS obligations. The NZ ETS closed to international markets and became a domestic-only scheme in 2015 once the true-up for the first commitment period under the Kyoto Protocol was completed. </w:t>
      </w:r>
    </w:p>
    <w:p w14:paraId="7DB85BCA" w14:textId="77777777" w:rsidR="00CA1920" w:rsidRPr="00BD16B4" w:rsidRDefault="00CA1920" w:rsidP="00CA1920">
      <w:pPr>
        <w:pStyle w:val="BodyText"/>
      </w:pPr>
      <w:r w:rsidRPr="00BD16B4">
        <w:t xml:space="preserve">In 2021 New Zealand increased its NDC (NDC1) to a 50 per cent reduction of net emissions below New Zealand’s gross 2005 levels by 2030. To meet NDC1, domestic action will be prioritised; however, offshore mitigation will still be needed. New Zealand is exploring a range of options to source offshore mitigation with environmental integrity, and that prioritises partnering with countries in the Asia-Pacific region in ways that promote sustainable development outcomes and resilience. New Zealand is also exploring linking the NZ ETS to international markets with environmental integrity. </w:t>
      </w:r>
    </w:p>
    <w:p w14:paraId="24A64E38" w14:textId="77777777" w:rsidR="00CA1920" w:rsidRPr="00BD16B4" w:rsidRDefault="00CA1920" w:rsidP="00CA1920">
      <w:pPr>
        <w:pStyle w:val="Heading5"/>
        <w:rPr>
          <w:rFonts w:eastAsia="Calibri"/>
        </w:rPr>
      </w:pPr>
      <w:r w:rsidRPr="00BD16B4">
        <w:rPr>
          <w:rFonts w:eastAsia="Calibri"/>
        </w:rPr>
        <w:t xml:space="preserve">Recent changes to the NZ ETS </w:t>
      </w:r>
    </w:p>
    <w:p w14:paraId="1B137B4F" w14:textId="77777777" w:rsidR="00CA1920" w:rsidRPr="00BD16B4" w:rsidRDefault="00CA1920" w:rsidP="00CA1920">
      <w:pPr>
        <w:pStyle w:val="BodyText"/>
        <w:spacing w:after="140"/>
      </w:pPr>
      <w:r w:rsidRPr="00BD16B4">
        <w:t>In 2020 the NZ ETS was amended</w:t>
      </w:r>
      <w:r w:rsidRPr="00BD16B4">
        <w:rPr>
          <w:rStyle w:val="FootnoteReference"/>
        </w:rPr>
        <w:footnoteReference w:id="146"/>
      </w:r>
      <w:r w:rsidRPr="00BD16B4">
        <w:t xml:space="preserve"> to include an auctioning platform, the removal of the Fixed Price </w:t>
      </w:r>
      <w:r w:rsidRPr="00BD16B4" w:rsidDel="00997A58">
        <w:t>O</w:t>
      </w:r>
      <w:r w:rsidRPr="00BD16B4">
        <w:t>ption (FPO)</w:t>
      </w:r>
      <w:r w:rsidRPr="00BD16B4">
        <w:rPr>
          <w:rStyle w:val="FootnoteReference"/>
        </w:rPr>
        <w:footnoteReference w:id="147"/>
      </w:r>
      <w:r w:rsidRPr="00BD16B4">
        <w:t xml:space="preserve">, the inclusion of a flexible cap on NZ ETS net emissions, a phase-out of industrial allocation, the introduction of averaging accounting for forestry, and other technical changes including improvements to market transparency. </w:t>
      </w:r>
    </w:p>
    <w:p w14:paraId="556E4BAE" w14:textId="7DC65060" w:rsidR="00CA1920" w:rsidRPr="00BD16B4" w:rsidRDefault="00CA1920" w:rsidP="00CA1920">
      <w:pPr>
        <w:pStyle w:val="BodyText"/>
        <w:spacing w:after="140"/>
      </w:pPr>
      <w:r w:rsidRPr="00BD16B4">
        <w:t>The Government is considering the recommendations</w:t>
      </w:r>
      <w:r w:rsidRPr="00BD16B4">
        <w:rPr>
          <w:rStyle w:val="FootnoteReference"/>
        </w:rPr>
        <w:footnoteReference w:id="148"/>
      </w:r>
      <w:r w:rsidRPr="00BD16B4">
        <w:t xml:space="preserve"> of the Climate Change Commission to</w:t>
      </w:r>
      <w:r w:rsidR="00EB004C" w:rsidRPr="00BD16B4">
        <w:t> </w:t>
      </w:r>
      <w:r w:rsidRPr="00BD16B4">
        <w:t xml:space="preserve">amend the NZ ETS to strengthen the incentives for gross emissions reductions and manage the amount of exotic forestry driven by the scheme. It has agreed in principle to those recommendations subject to ongoing policy analysis. There are also many other areas of active work ongoing, including reforming industrial allocation, market governance, and permanent forestry. </w:t>
      </w:r>
    </w:p>
    <w:p w14:paraId="035A4514" w14:textId="77777777" w:rsidR="00CA1920" w:rsidRPr="00BD16B4" w:rsidRDefault="00CA1920" w:rsidP="00CA1920">
      <w:pPr>
        <w:pStyle w:val="Heading5"/>
        <w:rPr>
          <w:rFonts w:eastAsia="Calibri"/>
        </w:rPr>
      </w:pPr>
      <w:r w:rsidRPr="00BD16B4">
        <w:rPr>
          <w:rFonts w:eastAsia="Calibri"/>
        </w:rPr>
        <w:t>NZ ETS implementation costs</w:t>
      </w:r>
    </w:p>
    <w:p w14:paraId="3918D533" w14:textId="77777777" w:rsidR="00CA1920" w:rsidRPr="00BD16B4" w:rsidRDefault="00CA1920" w:rsidP="00CA1920">
      <w:pPr>
        <w:pStyle w:val="BodyText"/>
        <w:rPr>
          <w:rFonts w:eastAsia="Calibri"/>
        </w:rPr>
      </w:pPr>
      <w:r w:rsidRPr="00BD16B4">
        <w:rPr>
          <w:rFonts w:eastAsia="Calibri"/>
        </w:rPr>
        <w:t>The approximate cost of implementing and administering the NZ ETS since 2008 is NZ$110.9 million. The budgeted NZ ETS implementation and administration costs borne by Government, as budgeted for the 2021/22 financial year, were approximately NZ$6.5 million.</w:t>
      </w:r>
      <w:r w:rsidRPr="00BD16B4">
        <w:rPr>
          <w:rStyle w:val="FootnoteReference"/>
        </w:rPr>
        <w:footnoteReference w:id="149"/>
      </w:r>
      <w:r w:rsidRPr="00BD16B4">
        <w:rPr>
          <w:rFonts w:eastAsia="Calibri"/>
        </w:rPr>
        <w:t xml:space="preserve"> This only includes costs incurred by the Ministry for the Environment and the Environmental Protection Authority</w:t>
      </w:r>
      <w:r w:rsidRPr="00BD16B4">
        <w:t xml:space="preserve"> – Te Mana Rauhī Taiao</w:t>
      </w:r>
      <w:r w:rsidRPr="00BD16B4">
        <w:rPr>
          <w:rFonts w:eastAsia="Calibri"/>
        </w:rPr>
        <w: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A1920" w:rsidRPr="00BD16B4" w14:paraId="776155E2" w14:textId="77777777" w:rsidTr="002D166E">
        <w:tc>
          <w:tcPr>
            <w:tcW w:w="0" w:type="auto"/>
            <w:shd w:val="clear" w:color="auto" w:fill="D2DDE2"/>
          </w:tcPr>
          <w:p w14:paraId="08B7E391" w14:textId="77777777" w:rsidR="00CA1920" w:rsidRPr="00BD16B4" w:rsidRDefault="00CA1920" w:rsidP="002D166E">
            <w:pPr>
              <w:pStyle w:val="Boxheading"/>
              <w:spacing w:after="120"/>
            </w:pPr>
            <w:r w:rsidRPr="00BD16B4">
              <w:lastRenderedPageBreak/>
              <w:t>Key actions in the emissions reduction plan</w:t>
            </w:r>
          </w:p>
          <w:p w14:paraId="11A1E395" w14:textId="77777777" w:rsidR="00CA1920" w:rsidRPr="00BD16B4" w:rsidRDefault="00CA1920" w:rsidP="002D166E">
            <w:pPr>
              <w:pStyle w:val="Boxbullet"/>
            </w:pPr>
            <w:r w:rsidRPr="00BD16B4">
              <w:t>Align NZ ETS settings with emissions budgets.</w:t>
            </w:r>
          </w:p>
          <w:p w14:paraId="0AA47D8F" w14:textId="77777777" w:rsidR="00CA1920" w:rsidRPr="00BD16B4" w:rsidRDefault="00CA1920" w:rsidP="002D166E">
            <w:pPr>
              <w:pStyle w:val="Boxbullet"/>
            </w:pPr>
            <w:r w:rsidRPr="00BD16B4">
              <w:t>Adjust the NZ ETS to drive an appropriate balance of gross and net emissions reductions.</w:t>
            </w:r>
          </w:p>
          <w:p w14:paraId="637193CA" w14:textId="77777777" w:rsidR="00CA1920" w:rsidRPr="00BD16B4" w:rsidRDefault="00CA1920" w:rsidP="002D166E">
            <w:pPr>
              <w:pStyle w:val="Boxbullet"/>
            </w:pPr>
            <w:r w:rsidRPr="00BD16B4">
              <w:t>Develop an overarching market governance framework.</w:t>
            </w:r>
          </w:p>
          <w:p w14:paraId="173F991B" w14:textId="77777777" w:rsidR="00CA1920" w:rsidRPr="00BD16B4" w:rsidRDefault="00CA1920" w:rsidP="002D166E">
            <w:pPr>
              <w:pStyle w:val="Boxbullet"/>
            </w:pPr>
            <w:r w:rsidRPr="00BD16B4">
              <w:t>Align emissions leakage policies with current and future climate response.</w:t>
            </w:r>
          </w:p>
          <w:p w14:paraId="7DE169C9" w14:textId="77777777" w:rsidR="00CA1920" w:rsidRPr="00BD16B4" w:rsidRDefault="00CA1920" w:rsidP="002D166E">
            <w:pPr>
              <w:pStyle w:val="Boxbullet"/>
            </w:pPr>
            <w:r w:rsidRPr="00BD16B4">
              <w:t>Develop a voluntary carbon market framework.</w:t>
            </w:r>
          </w:p>
          <w:p w14:paraId="4BA44113" w14:textId="77777777" w:rsidR="00CA1920" w:rsidRPr="00BD16B4" w:rsidRDefault="00CA1920" w:rsidP="002D166E">
            <w:pPr>
              <w:pStyle w:val="Boxbullet"/>
              <w:spacing w:after="180"/>
            </w:pPr>
            <w:r w:rsidRPr="00BD16B4">
              <w:t xml:space="preserve">Price agricultural emissions informed by recommendations from He Waka Eke Noa </w:t>
            </w:r>
            <w:r w:rsidRPr="00BD16B4">
              <w:br/>
              <w:t xml:space="preserve">– Primary Sector Climate Action Partnership </w:t>
            </w:r>
          </w:p>
        </w:tc>
      </w:tr>
    </w:tbl>
    <w:p w14:paraId="6C28B317" w14:textId="77777777" w:rsidR="00CA1920" w:rsidRPr="00BD16B4" w:rsidRDefault="00CA1920" w:rsidP="00491565">
      <w:pPr>
        <w:pStyle w:val="Heading4"/>
        <w:spacing w:before="360"/>
        <w:rPr>
          <w:rFonts w:eastAsia="Calibri"/>
        </w:rPr>
      </w:pPr>
      <w:bookmarkStart w:id="224" w:name="_Toc363540329"/>
      <w:r w:rsidRPr="00BD16B4">
        <w:rPr>
          <w:rFonts w:eastAsia="Calibri"/>
        </w:rPr>
        <w:t xml:space="preserve">Dedicated funding and finance initiatives </w:t>
      </w:r>
    </w:p>
    <w:p w14:paraId="706B5A16" w14:textId="77777777" w:rsidR="00CA1920" w:rsidRPr="00BD16B4" w:rsidRDefault="00CA1920" w:rsidP="00CA1920">
      <w:pPr>
        <w:pStyle w:val="BodyText"/>
        <w:rPr>
          <w:rFonts w:eastAsia="Calibri"/>
        </w:rPr>
      </w:pPr>
      <w:r w:rsidRPr="00BD16B4">
        <w:t>The Government has a responsibility to use its funds wisely. The public and private sectors need to work together to provide the funding and financing that will be necessary to reduce our emissions. This approach to funding and financing will complement other measures to drive emissions reductions, such as regulation.</w:t>
      </w:r>
    </w:p>
    <w:p w14:paraId="616BEB03" w14:textId="77777777" w:rsidR="00CA1920" w:rsidRPr="00BD16B4" w:rsidRDefault="00CA1920" w:rsidP="00CA1920">
      <w:pPr>
        <w:pStyle w:val="Heading5"/>
      </w:pPr>
      <w:r w:rsidRPr="00BD16B4">
        <w:rPr>
          <w:rFonts w:eastAsia="Calibri"/>
        </w:rPr>
        <w:t>Climate Emergency Response Fund</w:t>
      </w:r>
    </w:p>
    <w:p w14:paraId="0423B706" w14:textId="6B53D151" w:rsidR="00CA1920" w:rsidRPr="00BD16B4" w:rsidRDefault="00CA1920" w:rsidP="00CA1920">
      <w:pPr>
        <w:pStyle w:val="BodyText"/>
      </w:pPr>
      <w:r w:rsidRPr="00BD16B4">
        <w:t>In Budget 2022 the Government established its Climate Emergency Response Fund (CERF), a Budget funding mechanism to support the Government’s climate spending. The CERF was established using the cash proceeds from New Zealand’s Emissions Trading Scheme over the period from 2022/23 to 2025/26 as a down</w:t>
      </w:r>
      <w:r w:rsidR="005410E9">
        <w:t xml:space="preserve"> </w:t>
      </w:r>
      <w:r w:rsidRPr="00BD16B4">
        <w:t>payment. The CERF was initially established at NZ$4.5 billion and to date has provided NZ$3.7 billion for climate-related spending initiatives. The Minister of Finance has signalled an intention to continue using ETS cash proceeds to support climate investment, and to provide additional funding for high-value initiatives.</w:t>
      </w:r>
    </w:p>
    <w:p w14:paraId="693107FE" w14:textId="77777777" w:rsidR="00CA1920" w:rsidRPr="00BD16B4" w:rsidRDefault="00CA1920" w:rsidP="00CA1920">
      <w:pPr>
        <w:pStyle w:val="Heading5"/>
      </w:pPr>
      <w:r w:rsidRPr="00BD16B4">
        <w:rPr>
          <w:rFonts w:eastAsia="Calibri"/>
        </w:rPr>
        <w:t>New Zealand’s Sovereign Green Bond Programme</w:t>
      </w:r>
    </w:p>
    <w:p w14:paraId="190C7890" w14:textId="77777777" w:rsidR="00CA1920" w:rsidRPr="00BD16B4" w:rsidRDefault="00CA1920" w:rsidP="00CA1920">
      <w:pPr>
        <w:pStyle w:val="BodyText"/>
      </w:pPr>
      <w:r w:rsidRPr="00BD16B4">
        <w:t>New Zealand’s Sovereign Green Bond Programme launched in 2022, providing the opportunity to invest in projects that contribute to climate and environmental objectives. Green Bonds provide financing to advance climate change and environmental priorities like the transition to clean transport and support for biodiversity. The bonds are a way to recognise green public sector projects already planned or under way that meet internationally recognised standards for eligibility, selection and reporting.</w:t>
      </w:r>
    </w:p>
    <w:p w14:paraId="0E79E543" w14:textId="77777777" w:rsidR="00CA1920" w:rsidRPr="00BD16B4" w:rsidRDefault="00CA1920" w:rsidP="00CA1920">
      <w:pPr>
        <w:pStyle w:val="BodyText"/>
      </w:pPr>
      <w:r w:rsidRPr="00BD16B4">
        <w:t>Green Bonds do not mean taking on new debt over and above the Government’s existing borrowing; they will be issued as part of the overall forecast core Crown borrowing programme. Money raised from the bonds will be used to support projects that help reach the Government’s pledge to reduce net greenhouse gas emissions by 50 per cent by 2030 and reach its net zero carbon target by 2050. New Zealand Debt Management at the Treasury is leading work on the Green Bond Programme. Subject to market conditions, the inaugural issuance is expected in late 2022.</w:t>
      </w:r>
    </w:p>
    <w:p w14:paraId="755CF09C" w14:textId="77777777" w:rsidR="00CA1920" w:rsidRPr="00BD16B4" w:rsidRDefault="00CA1920" w:rsidP="00CA1920">
      <w:pPr>
        <w:pStyle w:val="Heading5"/>
        <w:rPr>
          <w:rFonts w:eastAsia="Calibri" w:cs="Calibri"/>
          <w:color w:val="000000" w:themeColor="text1"/>
          <w:szCs w:val="24"/>
        </w:rPr>
      </w:pPr>
      <w:r w:rsidRPr="00BD16B4">
        <w:rPr>
          <w:rFonts w:eastAsia="Calibri"/>
        </w:rPr>
        <w:t>New Zealand Green Investment Finance Ltd</w:t>
      </w:r>
    </w:p>
    <w:p w14:paraId="0987967F" w14:textId="77777777" w:rsidR="00CA1920" w:rsidRPr="00BD16B4" w:rsidRDefault="00CA1920" w:rsidP="00CA1920">
      <w:pPr>
        <w:pStyle w:val="BodyText"/>
      </w:pPr>
      <w:bookmarkStart w:id="225" w:name="_Hlk118898113"/>
      <w:r w:rsidRPr="00BD16B4">
        <w:t>New Zealand Green Investment Finance</w:t>
      </w:r>
      <w:bookmarkEnd w:id="225"/>
      <w:r w:rsidRPr="00BD16B4">
        <w:t xml:space="preserve"> (NZGIF) is a Crown-owned investment vehicle established in April 2019, and was operational from September of that year. Established with an initial investment capital of NZ$100 million from the Government, it was recapitalised to NZ$400 million in Budget 2021. NZGIF has a mandate to invest in commercial opportunities </w:t>
      </w:r>
      <w:r w:rsidRPr="00BD16B4">
        <w:lastRenderedPageBreak/>
        <w:t>that accelerate the reduction in domestic greenhouse gas emissions and provide a commercial return on the investment. It will seek to crowd in industry, investment houses and other sources of private finance to develop large-scale projects in areas such as transport, industrial process heat, waste, plastics, the built environment and agriculture.</w:t>
      </w:r>
    </w:p>
    <w:p w14:paraId="31A54980" w14:textId="77777777" w:rsidR="00CA1920" w:rsidRPr="00BD16B4" w:rsidRDefault="00CA1920" w:rsidP="00CA1920">
      <w:pPr>
        <w:pStyle w:val="Heading5"/>
        <w:rPr>
          <w:rFonts w:eastAsia="Calibri"/>
        </w:rPr>
      </w:pPr>
      <w:r w:rsidRPr="00BD16B4">
        <w:rPr>
          <w:rFonts w:eastAsia="Calibri"/>
        </w:rPr>
        <w:t>Climate-related disclosures</w:t>
      </w:r>
    </w:p>
    <w:p w14:paraId="2D01724B" w14:textId="77777777" w:rsidR="00CA1920" w:rsidRPr="00BD16B4" w:rsidRDefault="00CA1920" w:rsidP="00CA1920">
      <w:pPr>
        <w:pStyle w:val="BodyText"/>
      </w:pPr>
      <w:r w:rsidRPr="00BD16B4">
        <w:t xml:space="preserve">New Zealand became the first country in the world to require annual public disclosure of climate-related risks and opportunities when it passed the Financial Sector (Climate-related Disclosures and Other Matters) Amendment Act in 2021. This legislation, which applies to large publicly listed companies, insurers, banks, credit unions, building societies and investment managers, ensures that the effects of climate change are routinely considered in business, investment, lending and insurance decisions. </w:t>
      </w:r>
    </w:p>
    <w:p w14:paraId="2B8A62F7" w14:textId="77777777" w:rsidR="00CA1920" w:rsidRPr="00BD16B4" w:rsidRDefault="00CA1920" w:rsidP="00CA1920">
      <w:pPr>
        <w:pStyle w:val="Heading5"/>
        <w:rPr>
          <w:rFonts w:eastAsiaTheme="minorEastAsia"/>
        </w:rPr>
      </w:pPr>
      <w:r w:rsidRPr="00BD16B4">
        <w:rPr>
          <w:rFonts w:eastAsiaTheme="minorEastAsia"/>
        </w:rPr>
        <w:t>State Sector Decarbonisation Fund</w:t>
      </w:r>
    </w:p>
    <w:p w14:paraId="77036EA6" w14:textId="77777777" w:rsidR="00CA1920" w:rsidRPr="00BD16B4" w:rsidRDefault="00CA1920" w:rsidP="00CA1920">
      <w:pPr>
        <w:pStyle w:val="BodyText"/>
      </w:pPr>
      <w:r w:rsidRPr="00BD16B4">
        <w:t>In December 2019, the New Zealand Government launched the State Sector Decarbonisation Fund (SSDF) to help reduce the estimated 490,000 tonnes of carbon dioxide equivalent (CO</w:t>
      </w:r>
      <w:r w:rsidRPr="00BD16B4">
        <w:rPr>
          <w:vertAlign w:val="subscript"/>
        </w:rPr>
        <w:t>2</w:t>
      </w:r>
      <w:r w:rsidRPr="00BD16B4">
        <w:noBreakHyphen/>
        <w:t xml:space="preserve">e) annually emitted across the state sector. The NZ$219.5 million fund is administered by the </w:t>
      </w:r>
      <w:bookmarkStart w:id="226" w:name="_Hlk118981487"/>
      <w:r w:rsidRPr="00BD16B4">
        <w:t xml:space="preserve">Energy Efficiency and Conservation Authority </w:t>
      </w:r>
      <w:bookmarkEnd w:id="226"/>
      <w:r w:rsidRPr="00BD16B4">
        <w:t>(EECA). EECA works with the state sector to provide expert advice and technical support, and to facilitate low-emissions energy investments.</w:t>
      </w:r>
    </w:p>
    <w:p w14:paraId="59B8DD19" w14:textId="77777777" w:rsidR="00CA1920" w:rsidRPr="00BD16B4" w:rsidRDefault="00CA1920" w:rsidP="00CA1920">
      <w:pPr>
        <w:pStyle w:val="BodyText"/>
      </w:pPr>
      <w:r w:rsidRPr="00BD16B4">
        <w:t xml:space="preserve">The SSDF supports the </w:t>
      </w:r>
      <w:bookmarkStart w:id="227" w:name="_Hlk118981649"/>
      <w:r w:rsidRPr="00BD16B4">
        <w:t xml:space="preserve">Carbon Neutral Government Programme </w:t>
      </w:r>
      <w:bookmarkEnd w:id="227"/>
      <w:r w:rsidRPr="00BD16B4">
        <w:t xml:space="preserve">(CNGP) and aims to help numerous organisations within the public sector to be carbon neutral from 2025. SSDF investment focuses on replacing fossil-fuelled boilers cross the state sector and particularly in hospitals and tertiary institutions with low-emissions alternatives, such as biomass boilers and heat pumps. EECA also works with the Ministry of Education to replace coal boilers in schools. With the support from the SSDF, it was announced that all coal boilers across New Zealand schools will be replaced with low-emissions alternatives by 2025. Other priorities are to support the replacement of vehicle fleets with electric vehicles, install energy-efficient chillers and install LED lighting. </w:t>
      </w:r>
    </w:p>
    <w:p w14:paraId="2406FF98" w14:textId="77777777" w:rsidR="00CA1920" w:rsidRPr="00BD16B4" w:rsidRDefault="00CA1920" w:rsidP="00CA1920">
      <w:pPr>
        <w:pStyle w:val="BodyText"/>
      </w:pPr>
      <w:bookmarkStart w:id="228" w:name="_Hlk116651367"/>
      <w:r w:rsidRPr="00BD16B4">
        <w:t xml:space="preserve">As of August 2022, NZ$137.4 million of capital funding has been allocated across 10 tranches, supporting 86 decarbonisation projects across the state sector. </w:t>
      </w:r>
      <w:bookmarkEnd w:id="228"/>
      <w:r w:rsidRPr="00BD16B4">
        <w:t>It is estimated that this will reduce the state sector’s carbon emissions by around 43,292 tonnes per annum.</w:t>
      </w:r>
    </w:p>
    <w:p w14:paraId="3B883932" w14:textId="77777777" w:rsidR="00CA1920" w:rsidRPr="00BD16B4" w:rsidRDefault="00CA1920" w:rsidP="004E1B8C">
      <w:pPr>
        <w:pStyle w:val="Heading4"/>
        <w:rPr>
          <w:rFonts w:eastAsia="Calibri"/>
        </w:rPr>
      </w:pPr>
      <w:r w:rsidRPr="00BD16B4">
        <w:rPr>
          <w:rFonts w:eastAsia="Calibri"/>
        </w:rPr>
        <w:t>Public sector leadership</w:t>
      </w:r>
    </w:p>
    <w:p w14:paraId="7406F7DF" w14:textId="77777777" w:rsidR="00CA1920" w:rsidRPr="00BD16B4" w:rsidRDefault="00CA1920" w:rsidP="00CA1920">
      <w:pPr>
        <w:pStyle w:val="BodyText"/>
      </w:pPr>
      <w:r w:rsidRPr="00BD16B4">
        <w:t>While government agencies are only responsible for 2 per cent of New Zealand’s energy-related emissions, the transition to a low-emissions economy calls for the Government to demonstrate the action required to accelerate the transition and influence New Zealanders to do the same.</w:t>
      </w:r>
    </w:p>
    <w:p w14:paraId="4A601581" w14:textId="77777777" w:rsidR="00CA1920" w:rsidRPr="00BD16B4" w:rsidRDefault="00CA1920" w:rsidP="00CA1920">
      <w:pPr>
        <w:pStyle w:val="Heading5"/>
        <w:rPr>
          <w:rFonts w:eastAsia="Calibri" w:cs="Calibri"/>
          <w:szCs w:val="24"/>
        </w:rPr>
      </w:pPr>
      <w:r w:rsidRPr="00BD16B4">
        <w:rPr>
          <w:rFonts w:eastAsiaTheme="minorEastAsia"/>
        </w:rPr>
        <w:t>Carbon Neutral Government Programme</w:t>
      </w:r>
    </w:p>
    <w:p w14:paraId="6325DA7D" w14:textId="77777777" w:rsidR="00CA1920" w:rsidRPr="00BD16B4" w:rsidRDefault="00CA1920" w:rsidP="00CA1920">
      <w:pPr>
        <w:pStyle w:val="BodyText"/>
      </w:pPr>
      <w:r w:rsidRPr="00BD16B4">
        <w:t xml:space="preserve">The Carbon Neutral Government Programme (CNGP) has been set up to accelerate the reduction of emissions within the public sector. The programme’s aim is to make a number of organisations within the public sector carbon neutral from 2025. It was launched in December 2020. The CNGP is a cross-government programme led by the Ministry for the Environment (MfE) in partnership with EECA and the Ministry of Business, Innovation and Employment (MBIE). </w:t>
      </w:r>
    </w:p>
    <w:p w14:paraId="3E3BEB71" w14:textId="77777777" w:rsidR="00CA1920" w:rsidRPr="00BD16B4" w:rsidRDefault="00CA1920" w:rsidP="00CA1920">
      <w:pPr>
        <w:pStyle w:val="BodyText"/>
      </w:pPr>
      <w:r w:rsidRPr="00BD16B4">
        <w:lastRenderedPageBreak/>
        <w:t xml:space="preserve">CNGP organisations should: </w:t>
      </w:r>
    </w:p>
    <w:p w14:paraId="1BC41576" w14:textId="77777777" w:rsidR="00CA1920" w:rsidRPr="00BD16B4" w:rsidRDefault="00CA1920" w:rsidP="00CA1920">
      <w:pPr>
        <w:pStyle w:val="Bullet"/>
      </w:pPr>
      <w:r w:rsidRPr="00BD16B4">
        <w:t>measure, verify and report their emissions annually</w:t>
      </w:r>
    </w:p>
    <w:p w14:paraId="4C780750" w14:textId="77777777" w:rsidR="00CA1920" w:rsidRPr="00BD16B4" w:rsidRDefault="00CA1920" w:rsidP="00CA1920">
      <w:pPr>
        <w:pStyle w:val="Bullet"/>
      </w:pPr>
      <w:r w:rsidRPr="00BD16B4">
        <w:t>set gross emissions reduction targets and longer-term reduction plans</w:t>
      </w:r>
    </w:p>
    <w:p w14:paraId="33BD71CA" w14:textId="77777777" w:rsidR="00CA1920" w:rsidRPr="00BD16B4" w:rsidRDefault="00CA1920" w:rsidP="00CA1920">
      <w:pPr>
        <w:pStyle w:val="Bullet"/>
      </w:pPr>
      <w:r w:rsidRPr="00BD16B4">
        <w:t>introduce a plan to reduce their organisation’s emissions</w:t>
      </w:r>
    </w:p>
    <w:p w14:paraId="05C3112D" w14:textId="77777777" w:rsidR="00CA1920" w:rsidRPr="00BD16B4" w:rsidRDefault="00CA1920" w:rsidP="00CA1920">
      <w:pPr>
        <w:pStyle w:val="Bullet"/>
        <w:tabs>
          <w:tab w:val="num" w:pos="397"/>
        </w:tabs>
        <w:spacing w:line="280" w:lineRule="exact"/>
      </w:pPr>
      <w:r w:rsidRPr="00BD16B4">
        <w:t>offset any remaining gross emissions from 2025.</w:t>
      </w:r>
    </w:p>
    <w:p w14:paraId="2776A711" w14:textId="77777777" w:rsidR="00CA1920" w:rsidRPr="00BD16B4" w:rsidRDefault="00CA1920" w:rsidP="00CA1920">
      <w:pPr>
        <w:pStyle w:val="BodyText"/>
      </w:pPr>
      <w:r w:rsidRPr="00BD16B4">
        <w:t xml:space="preserve">Emissions measurement and reporting by CNGP participants is being implemented in a phased manner. </w:t>
      </w:r>
    </w:p>
    <w:p w14:paraId="0DF4081A" w14:textId="77777777" w:rsidR="00CA1920" w:rsidRPr="00BD16B4" w:rsidRDefault="00CA1920" w:rsidP="00CA1920">
      <w:pPr>
        <w:pStyle w:val="BodyText"/>
      </w:pPr>
      <w:r w:rsidRPr="00BD16B4">
        <w:t xml:space="preserve">By December 2022, all departments, departmental agencies and non-public service departments will report on their emissions and publish reduction plans, including gross emissions reduction targets, from the 2021/22 financial year. </w:t>
      </w:r>
    </w:p>
    <w:p w14:paraId="65E78783" w14:textId="77777777" w:rsidR="00CA1920" w:rsidRPr="00BD16B4" w:rsidRDefault="00CA1920" w:rsidP="00CA1920">
      <w:pPr>
        <w:pStyle w:val="BodyText"/>
      </w:pPr>
      <w:r w:rsidRPr="00BD16B4">
        <w:t>By December 2023, all Crown agents are to report emissions, and publish reduction plans from the 2022/23 financial year. Further, the Reserve Bank of New Zealand, offices of Parliament, state-owned enterprises and tertiary institutions (including the New Zealand Institute of Skills and Technology) are encouraged to report their emissions and publish reduction plans from the 2022/23 financial year.</w:t>
      </w:r>
    </w:p>
    <w:p w14:paraId="7E46A406" w14:textId="77777777" w:rsidR="00CA1920" w:rsidRPr="00BD16B4" w:rsidRDefault="00CA1920" w:rsidP="00CA1920">
      <w:pPr>
        <w:pStyle w:val="BodyText"/>
      </w:pPr>
      <w:r w:rsidRPr="00BD16B4">
        <w:t xml:space="preserve">Emissions reduction targets will be reviewed in 2025, 2028 and 2030 to ensure they are ambitious and practicable. Guidance, tools, training and support are provided to CNGP organisations. </w:t>
      </w:r>
    </w:p>
    <w:p w14:paraId="770F688C" w14:textId="77777777" w:rsidR="00CA1920" w:rsidRPr="00BD16B4" w:rsidRDefault="00CA1920" w:rsidP="00CA1920">
      <w:pPr>
        <w:pStyle w:val="BodyText"/>
      </w:pPr>
      <w:r w:rsidRPr="00BD16B4">
        <w:t xml:space="preserve">The initial priorities for emissions reductions are to: </w:t>
      </w:r>
    </w:p>
    <w:p w14:paraId="252AB221" w14:textId="77777777" w:rsidR="00CA1920" w:rsidRPr="00BD16B4" w:rsidRDefault="00CA1920" w:rsidP="00CA1920">
      <w:pPr>
        <w:pStyle w:val="Bullet"/>
      </w:pPr>
      <w:r w:rsidRPr="00BD16B4">
        <w:t>phase out coal-fired boilers from the public sector, with a focus on removing the largest by the end of 2025</w:t>
      </w:r>
    </w:p>
    <w:p w14:paraId="72006BC9" w14:textId="77777777" w:rsidR="00CA1920" w:rsidRPr="00BD16B4" w:rsidRDefault="00CA1920" w:rsidP="00CA1920">
      <w:pPr>
        <w:pStyle w:val="Bullet"/>
      </w:pPr>
      <w:r w:rsidRPr="00BD16B4">
        <w:t>optimise the size of agencies’</w:t>
      </w:r>
      <w:r w:rsidRPr="00BD16B4">
        <w:rPr>
          <w:rStyle w:val="FootnoteReference"/>
        </w:rPr>
        <w:footnoteReference w:id="150"/>
      </w:r>
      <w:r w:rsidRPr="00BD16B4">
        <w:t xml:space="preserve"> light vehicle</w:t>
      </w:r>
      <w:r w:rsidRPr="00BD16B4">
        <w:rPr>
          <w:rStyle w:val="FootnoteReference"/>
        </w:rPr>
        <w:footnoteReference w:id="151"/>
      </w:r>
      <w:r w:rsidRPr="00BD16B4">
        <w:t xml:space="preserve"> fleets and purchase battery electric vehicles, or plug-in hybrid electric vehicles if a full electric vehicle is not appropriate, unless there are operational requirements or other circumstances that prevent them from doing so</w:t>
      </w:r>
    </w:p>
    <w:p w14:paraId="1533E905" w14:textId="77777777" w:rsidR="00CA1920" w:rsidRPr="00BD16B4" w:rsidRDefault="00CA1920" w:rsidP="00CA1920">
      <w:pPr>
        <w:pStyle w:val="Bullet"/>
      </w:pPr>
      <w:r w:rsidRPr="00BD16B4">
        <w:t xml:space="preserve">requiring the use of the National Australian Built Environment Rating System New Zealand </w:t>
      </w:r>
      <w:r w:rsidRPr="00BD16B4">
        <w:rPr>
          <w:spacing w:val="-2"/>
        </w:rPr>
        <w:t>(NABERSNZ), to promote energy efficient government office accommodation, by agencies</w:t>
      </w:r>
      <w:r w:rsidRPr="00BD16B4">
        <w:rPr>
          <w:rStyle w:val="FootnoteReference"/>
          <w:rFonts w:cs="Calibri"/>
          <w:color w:val="auto"/>
        </w:rPr>
        <w:footnoteReference w:id="152"/>
      </w:r>
      <w:r w:rsidRPr="00BD16B4">
        <w:t xml:space="preserve"> that occupy large office spaces (over 2,000m</w:t>
      </w:r>
      <w:r w:rsidRPr="00BD16B4">
        <w:rPr>
          <w:vertAlign w:val="superscript"/>
        </w:rPr>
        <w:t>2</w:t>
      </w:r>
      <w:r w:rsidRPr="00BD16B4">
        <w:t>)</w:t>
      </w:r>
      <w:r w:rsidRPr="00BD16B4">
        <w:rPr>
          <w:rStyle w:val="FootnoteReference"/>
          <w:rFonts w:cs="Calibri"/>
          <w:color w:val="auto"/>
        </w:rPr>
        <w:footnoteReference w:id="153"/>
      </w:r>
    </w:p>
    <w:p w14:paraId="037F26FB" w14:textId="77777777" w:rsidR="00CA1920" w:rsidRPr="00BD16B4" w:rsidRDefault="00CA1920" w:rsidP="00CA1920">
      <w:pPr>
        <w:pStyle w:val="Bullet"/>
        <w:rPr>
          <w:rFonts w:asciiTheme="minorHAnsi" w:hAnsiTheme="minorHAnsi" w:cstheme="minorHAnsi"/>
        </w:rPr>
      </w:pPr>
      <w:r w:rsidRPr="00BD16B4">
        <w:t>requiring agencies</w:t>
      </w:r>
      <w:r w:rsidRPr="00BD16B4">
        <w:rPr>
          <w:rStyle w:val="FootnoteReference"/>
          <w:rFonts w:cs="Calibri"/>
          <w:color w:val="auto"/>
        </w:rPr>
        <w:footnoteReference w:id="154"/>
      </w:r>
      <w:r w:rsidRPr="00BD16B4">
        <w:t xml:space="preserve"> to use an approved sustainable building rating system, when building a new non</w:t>
      </w:r>
      <w:r w:rsidRPr="00BD16B4">
        <w:noBreakHyphen/>
        <w:t>residential government owned building with an estimated capital value of $9 million and over</w:t>
      </w:r>
      <w:r w:rsidRPr="00BD16B4">
        <w:rPr>
          <w:rFonts w:asciiTheme="minorHAnsi" w:hAnsiTheme="minorHAnsi" w:cstheme="minorHAnsi"/>
        </w:rPr>
        <w:t xml:space="preserve">. </w:t>
      </w:r>
    </w:p>
    <w:p w14:paraId="40072D92" w14:textId="77777777" w:rsidR="00CA1920" w:rsidRPr="00BD16B4" w:rsidRDefault="00CA1920" w:rsidP="00CA1920">
      <w:pPr>
        <w:pStyle w:val="BodyText"/>
        <w:spacing w:after="100"/>
      </w:pPr>
      <w:r w:rsidRPr="00BD16B4">
        <w:lastRenderedPageBreak/>
        <w:t xml:space="preserve">The State Sector Decarbonisation Fund and/or the Government Investment in Decarbonising Industry (GIDI) Fund managed by EECA can be available to organisations seeking financial support for decarbonisation projects. </w:t>
      </w:r>
    </w:p>
    <w:p w14:paraId="6E6C1154" w14:textId="77777777" w:rsidR="00CA1920" w:rsidRPr="00BD16B4" w:rsidRDefault="00CA1920" w:rsidP="00CA1920">
      <w:pPr>
        <w:pStyle w:val="BodyText"/>
        <w:spacing w:after="100"/>
      </w:pPr>
      <w:r w:rsidRPr="00BD16B4">
        <w:t>The CNGP is collaborating closely with the Building for Climate Change programme and New Zealand Government Procurement (both within MBIE). Through the CNGP, the Government and wider public sector are collectively showing leadership in reducing and offsetting emissions from their activities.</w:t>
      </w:r>
    </w:p>
    <w:p w14:paraId="42E1B4CF" w14:textId="77777777" w:rsidR="00CA1920" w:rsidRPr="00BD16B4" w:rsidRDefault="00CA1920" w:rsidP="00CA1920">
      <w:pPr>
        <w:pStyle w:val="Heading5"/>
      </w:pPr>
      <w:r w:rsidRPr="00BD16B4">
        <w:rPr>
          <w:rFonts w:eastAsiaTheme="minorEastAsia"/>
        </w:rPr>
        <w:t xml:space="preserve">Sustainable government procurement </w:t>
      </w:r>
    </w:p>
    <w:p w14:paraId="67E23540" w14:textId="7A27402F" w:rsidR="00CA1920" w:rsidRPr="00BD16B4" w:rsidRDefault="00CA1920" w:rsidP="00CA1920">
      <w:pPr>
        <w:pStyle w:val="BodyText"/>
        <w:spacing w:after="100"/>
      </w:pPr>
      <w:r w:rsidRPr="00BD16B4">
        <w:t>The Procurement System Lead is responsible for leading and coordinating best-practice procurement across government. New Zealand Government Procurement, a branch within MBIE, supports the Procurement System Lead to undertake this role. Government spends approximately NZ$51.5 billion through procurement each year; providing an opportunity to</w:t>
      </w:r>
      <w:r w:rsidR="004F1E92" w:rsidRPr="00BD16B4">
        <w:t> </w:t>
      </w:r>
      <w:r w:rsidRPr="00BD16B4">
        <w:t xml:space="preserve">achieve positive social, economic, cultural and environmental outcomes through its procurement activities. </w:t>
      </w:r>
    </w:p>
    <w:p w14:paraId="6C21C019" w14:textId="77777777" w:rsidR="00CA1920" w:rsidRPr="00BD16B4" w:rsidRDefault="00CA1920" w:rsidP="00CA1920">
      <w:pPr>
        <w:pStyle w:val="BodyText"/>
        <w:spacing w:after="100"/>
      </w:pPr>
      <w:r w:rsidRPr="00BD16B4">
        <w:t>The New Zealand Government is committed to designing waste out of the system. Rule 20 of the Government Procurement Rules sets an expectation that agencies:</w:t>
      </w:r>
    </w:p>
    <w:p w14:paraId="65D375D7" w14:textId="77777777" w:rsidR="00CA1920" w:rsidRPr="00BD16B4" w:rsidRDefault="00CA1920" w:rsidP="00CA1920">
      <w:pPr>
        <w:pStyle w:val="Bullet"/>
        <w:spacing w:after="100"/>
      </w:pPr>
      <w:r w:rsidRPr="00BD16B4">
        <w:t>procure low-emissions and low-waste goods, services and works</w:t>
      </w:r>
    </w:p>
    <w:p w14:paraId="7C5CB58F" w14:textId="77777777" w:rsidR="00CA1920" w:rsidRPr="00BD16B4" w:rsidRDefault="00CA1920" w:rsidP="00CA1920">
      <w:pPr>
        <w:pStyle w:val="Bullet"/>
      </w:pPr>
      <w:r w:rsidRPr="00BD16B4">
        <w:t>encourage innovation to significantly reduce emissions and waste impacts from goods and services.</w:t>
      </w:r>
    </w:p>
    <w:p w14:paraId="0BAE23D7" w14:textId="77777777" w:rsidR="00CA1920" w:rsidRPr="00BD16B4" w:rsidRDefault="00CA1920" w:rsidP="00CA1920">
      <w:pPr>
        <w:pStyle w:val="BodyText"/>
        <w:spacing w:after="100"/>
      </w:pPr>
      <w:r w:rsidRPr="00BD16B4">
        <w:t>As major procurers of building and construction projects, government agencies have significant influence. The Procurement System Lead has published a procurement guide to reducing carbon emissions in building and construction, which:</w:t>
      </w:r>
    </w:p>
    <w:p w14:paraId="32A1B05F" w14:textId="77777777" w:rsidR="00CA1920" w:rsidRPr="00BD16B4" w:rsidRDefault="00CA1920" w:rsidP="00CA1920">
      <w:pPr>
        <w:pStyle w:val="Bullet"/>
        <w:spacing w:after="100"/>
      </w:pPr>
      <w:r w:rsidRPr="00BD16B4">
        <w:t>provides practical guidance to support government agencies to lead the way in reducing carbon emissions generated by the construction of new government buildings</w:t>
      </w:r>
    </w:p>
    <w:p w14:paraId="7FF7E800" w14:textId="77777777" w:rsidR="00CA1920" w:rsidRPr="00BD16B4" w:rsidRDefault="00CA1920" w:rsidP="00CA1920">
      <w:pPr>
        <w:pStyle w:val="Bullet"/>
      </w:pPr>
      <w:r w:rsidRPr="00BD16B4">
        <w:t>sets an expectation that agencies should choose the lowest carbon option that meets the project requirements.</w:t>
      </w:r>
    </w:p>
    <w:p w14:paraId="648C50BE" w14:textId="77777777" w:rsidR="00CA1920" w:rsidRPr="00BD16B4" w:rsidRDefault="00CA1920" w:rsidP="004E1B8C">
      <w:pPr>
        <w:pStyle w:val="Heading4"/>
      </w:pPr>
      <w:r w:rsidRPr="00BD16B4">
        <w:rPr>
          <w:rFonts w:eastAsia="Calibri"/>
        </w:rPr>
        <w:t>Climate implications of policy assessment</w:t>
      </w:r>
    </w:p>
    <w:p w14:paraId="760275E4" w14:textId="77777777" w:rsidR="00CA1920" w:rsidRPr="00BD16B4" w:rsidRDefault="00CA1920" w:rsidP="00CA1920">
      <w:pPr>
        <w:pStyle w:val="BodyText"/>
        <w:spacing w:after="100"/>
      </w:pPr>
      <w:r w:rsidRPr="00BD16B4">
        <w:t>From November 2019, it became mandatory for central government agencies to do a greenhouse gas emissions analysis on certain policy proposals. The requirement will enable New Zealand to measure, monitor and report on Cabinet decisions that will impact New Zealand’s greenhouse gas emissions</w:t>
      </w:r>
      <w:r w:rsidRPr="00BD16B4">
        <w:rPr>
          <w:rFonts w:cstheme="majorBidi"/>
          <w:i/>
          <w:sz w:val="24"/>
          <w:szCs w:val="24"/>
        </w:rPr>
        <w:t xml:space="preserve">. </w:t>
      </w:r>
    </w:p>
    <w:p w14:paraId="5771A91B" w14:textId="77777777" w:rsidR="00CA1920" w:rsidRPr="00BD16B4" w:rsidRDefault="00CA1920" w:rsidP="004E1B8C">
      <w:pPr>
        <w:pStyle w:val="Heading4"/>
      </w:pPr>
      <w:r w:rsidRPr="00BD16B4">
        <w:rPr>
          <w:rFonts w:eastAsia="Calibri"/>
        </w:rPr>
        <w:t>Climate innovation platforms</w:t>
      </w:r>
    </w:p>
    <w:p w14:paraId="3E71659F" w14:textId="77777777" w:rsidR="00CA1920" w:rsidRPr="00BD16B4" w:rsidRDefault="00CA1920" w:rsidP="00CA1920">
      <w:pPr>
        <w:pStyle w:val="BodyText"/>
        <w:spacing w:after="100"/>
      </w:pPr>
      <w:r w:rsidRPr="00BD16B4">
        <w:t>To accelerate emissions reductions, the Government is working towards establishing climate innovation platforms to coordinate action on key challenges and take opportunities in our shift to a low-emissions future. The platforms will improve the competitiveness of existing sectors, grow new ones and reduce emissions simultaneously. The approach is intended to be established and built upon by late 2023.</w:t>
      </w:r>
    </w:p>
    <w:p w14:paraId="1F54656C" w14:textId="77777777" w:rsidR="00CA1920" w:rsidRPr="00BD16B4" w:rsidRDefault="00CA1920" w:rsidP="00CA1920">
      <w:pPr>
        <w:pStyle w:val="BodyText"/>
        <w:spacing w:after="100"/>
      </w:pPr>
      <w:r w:rsidRPr="00BD16B4">
        <w:t>Climate innovation platforms will be:</w:t>
      </w:r>
    </w:p>
    <w:p w14:paraId="03C39FDA" w14:textId="77777777" w:rsidR="00CA1920" w:rsidRPr="00BD16B4" w:rsidRDefault="00CA1920" w:rsidP="00CA1920">
      <w:pPr>
        <w:pStyle w:val="Bullet"/>
        <w:spacing w:after="100"/>
      </w:pPr>
      <w:r w:rsidRPr="00BD16B4">
        <w:t>outcomes focused – they will be designed around a specific goal</w:t>
      </w:r>
    </w:p>
    <w:p w14:paraId="02D829D8" w14:textId="77777777" w:rsidR="00CA1920" w:rsidRPr="00BD16B4" w:rsidRDefault="00CA1920" w:rsidP="00CA1920">
      <w:pPr>
        <w:pStyle w:val="Bullet"/>
      </w:pPr>
      <w:r w:rsidRPr="00BD16B4">
        <w:t>international-facing – they will look for innovation and investment both at home and from across the world</w:t>
      </w:r>
    </w:p>
    <w:p w14:paraId="39C9E70F" w14:textId="77777777" w:rsidR="00CA1920" w:rsidRPr="00BD16B4" w:rsidRDefault="00CA1920" w:rsidP="00CA1920">
      <w:pPr>
        <w:pStyle w:val="Bullet"/>
        <w:spacing w:after="100"/>
      </w:pPr>
      <w:r w:rsidRPr="00BD16B4">
        <w:lastRenderedPageBreak/>
        <w:t>designed to help New Zealand absorb climate innovation at pace – with a mandate stretching across different agencies and sectors to identify and remove barriers to testing and widespread use of innovations</w:t>
      </w:r>
    </w:p>
    <w:p w14:paraId="11B20F02" w14:textId="77777777" w:rsidR="00CA1920" w:rsidRPr="00BD16B4" w:rsidRDefault="00CA1920" w:rsidP="00CA1920">
      <w:pPr>
        <w:pStyle w:val="Bullet"/>
        <w:spacing w:after="100"/>
      </w:pPr>
      <w:r w:rsidRPr="00BD16B4">
        <w:t>flexible and open to change as the global environment changes.</w:t>
      </w:r>
    </w:p>
    <w:p w14:paraId="76F68110" w14:textId="77777777" w:rsidR="00CA1920" w:rsidRPr="00BD16B4" w:rsidRDefault="00CA1920" w:rsidP="00CA1920">
      <w:pPr>
        <w:pStyle w:val="BodyText"/>
        <w:spacing w:after="100"/>
      </w:pPr>
      <w:r w:rsidRPr="00BD16B4">
        <w:t xml:space="preserve">This all-of-government approach will use a wide range of tools and approaches, including proactive policy, regulatory settings and innovation tools, to ensure that ideas from New Zealand and around the world can be implemented quickly. The nature of individual platforms and exact mix of government support (including but not limited to research and development support, international partnerships, training and skills development, and sector regulatory and policy changes) will depend on the particular challenge the platform is addressing. </w:t>
      </w:r>
    </w:p>
    <w:p w14:paraId="69C22BA3" w14:textId="77777777" w:rsidR="00CA1920" w:rsidRPr="00BD16B4" w:rsidRDefault="00CA1920" w:rsidP="00CA1920">
      <w:pPr>
        <w:pStyle w:val="BodyText"/>
        <w:spacing w:after="100"/>
      </w:pPr>
      <w:r w:rsidRPr="00BD16B4">
        <w:t xml:space="preserve">The Government will take a portfolio approach – in which a range of initiatives are pursued at the same time, and support is boosted for the most promising ones – to adapt to changing priorities and levels of uncertainty as New Zealand progresses to a low-emissions future. The portfolio will engage across all areas of the economy to develop future-focused platforms, </w:t>
      </w:r>
      <w:r w:rsidRPr="00BD16B4">
        <w:rPr>
          <w:spacing w:val="-2"/>
        </w:rPr>
        <w:t>including working closely with the private sector to ensure the platforms have optimum impact</w:t>
      </w:r>
      <w:r w:rsidRPr="00BD16B4">
        <w:t>.</w:t>
      </w:r>
    </w:p>
    <w:p w14:paraId="5910EA8C" w14:textId="77777777" w:rsidR="00CA1920" w:rsidRPr="00BD16B4" w:rsidRDefault="00CA1920" w:rsidP="00CA1920">
      <w:pPr>
        <w:pStyle w:val="Heading3"/>
        <w:rPr>
          <w:rFonts w:eastAsia="Calibri"/>
        </w:rPr>
      </w:pPr>
      <w:r w:rsidRPr="00BD16B4">
        <w:rPr>
          <w:rFonts w:eastAsia="Calibri"/>
        </w:rPr>
        <w:t xml:space="preserve">4.3.2 </w:t>
      </w:r>
      <w:r w:rsidRPr="00BD16B4">
        <w:rPr>
          <w:rFonts w:eastAsia="Calibri"/>
        </w:rPr>
        <w:tab/>
        <w:t>Energy</w:t>
      </w:r>
      <w:bookmarkEnd w:id="224"/>
    </w:p>
    <w:p w14:paraId="7902F0FF" w14:textId="77777777" w:rsidR="00CA1920" w:rsidRPr="00BD16B4" w:rsidRDefault="00CA1920" w:rsidP="00CA1920">
      <w:pPr>
        <w:pStyle w:val="BodyText"/>
        <w:spacing w:after="100"/>
        <w:rPr>
          <w:rFonts w:eastAsia="Calibri"/>
        </w:rPr>
      </w:pPr>
      <w:r w:rsidRPr="00BD16B4">
        <w:rPr>
          <w:rFonts w:eastAsia="Calibri"/>
        </w:rPr>
        <w:t>In 2020, the energy sector was responsible for 23 per cent of New Zealand’s total gross emissions.</w:t>
      </w:r>
      <w:r w:rsidRPr="00BD16B4">
        <w:rPr>
          <w:rStyle w:val="FootnoteReference"/>
          <w:rFonts w:eastAsia="Calibri"/>
        </w:rPr>
        <w:footnoteReference w:id="155"/>
      </w:r>
    </w:p>
    <w:p w14:paraId="00E4554F" w14:textId="77777777" w:rsidR="00CA1920" w:rsidRPr="00BD16B4" w:rsidRDefault="00CA1920" w:rsidP="00CA1920">
      <w:pPr>
        <w:pStyle w:val="BodyText"/>
        <w:spacing w:after="100"/>
        <w:rPr>
          <w:rFonts w:eastAsia="Calibri"/>
        </w:rPr>
      </w:pPr>
      <w:r w:rsidRPr="00BD16B4">
        <w:rPr>
          <w:rFonts w:eastAsia="Calibri"/>
        </w:rPr>
        <w:t>New Zealand’s energy system is highly renewable by international standards. Just over 40 per cent of our total primary energy supply</w:t>
      </w:r>
      <w:r w:rsidRPr="00BD16B4">
        <w:rPr>
          <w:rStyle w:val="FootnoteReference"/>
          <w:rFonts w:eastAsia="Calibri"/>
        </w:rPr>
        <w:footnoteReference w:id="156"/>
      </w:r>
      <w:r w:rsidRPr="00BD16B4">
        <w:rPr>
          <w:rFonts w:eastAsia="Calibri"/>
        </w:rPr>
        <w:t xml:space="preserve"> and nearly 28 per cent of our total final energy consumption</w:t>
      </w:r>
      <w:r w:rsidRPr="00BD16B4">
        <w:rPr>
          <w:rStyle w:val="FootnoteReference"/>
          <w:rFonts w:eastAsia="Calibri"/>
        </w:rPr>
        <w:footnoteReference w:id="157"/>
      </w:r>
      <w:r w:rsidRPr="00BD16B4">
        <w:rPr>
          <w:rFonts w:eastAsia="Calibri"/>
        </w:rPr>
        <w:t xml:space="preserve"> comes from renewable energy sources.</w:t>
      </w:r>
    </w:p>
    <w:p w14:paraId="52A9761D" w14:textId="77777777" w:rsidR="00CA1920" w:rsidRPr="00BD16B4" w:rsidRDefault="00CA1920" w:rsidP="00CA1920">
      <w:pPr>
        <w:pStyle w:val="BodyText"/>
        <w:spacing w:after="100"/>
        <w:rPr>
          <w:rFonts w:eastAsia="Calibri"/>
        </w:rPr>
      </w:pPr>
      <w:r w:rsidRPr="00BD16B4">
        <w:rPr>
          <w:rFonts w:eastAsia="Calibri"/>
        </w:rPr>
        <w:t xml:space="preserve">The Government’s 2050 vision for energy and industry is for </w:t>
      </w:r>
      <w:r w:rsidRPr="00BD16B4" w:rsidDel="000B5099">
        <w:rPr>
          <w:rFonts w:eastAsia="Calibri"/>
        </w:rPr>
        <w:t>New Zealand</w:t>
      </w:r>
      <w:r w:rsidRPr="00BD16B4">
        <w:rPr>
          <w:rFonts w:eastAsia="Calibri"/>
        </w:rPr>
        <w:t xml:space="preserve"> to have a highly renewable, sustainable and efficient energy system supporting a low-emissions economy.</w:t>
      </w:r>
    </w:p>
    <w:p w14:paraId="4A251C24" w14:textId="77777777" w:rsidR="00CA1920" w:rsidRPr="00BD16B4" w:rsidRDefault="00CA1920" w:rsidP="00CA1920">
      <w:pPr>
        <w:pStyle w:val="Bullet"/>
        <w:spacing w:after="100"/>
      </w:pPr>
      <w:r w:rsidRPr="00BD16B4">
        <w:t xml:space="preserve">Energy will be accessible and affordable and will support the wellbeing of all New Zealanders. </w:t>
      </w:r>
    </w:p>
    <w:p w14:paraId="0CB55BB6" w14:textId="77777777" w:rsidR="00CA1920" w:rsidRPr="00BD16B4" w:rsidRDefault="00CA1920" w:rsidP="00CA1920">
      <w:pPr>
        <w:pStyle w:val="Bullet"/>
        <w:spacing w:after="100"/>
      </w:pPr>
      <w:r w:rsidRPr="00BD16B4">
        <w:t xml:space="preserve">Energy supply will be secure, reliable and resilient, including in the face of global shocks. </w:t>
      </w:r>
    </w:p>
    <w:p w14:paraId="248C054C" w14:textId="77777777" w:rsidR="00CA1920" w:rsidRPr="00BD16B4" w:rsidRDefault="00CA1920" w:rsidP="00CA1920">
      <w:pPr>
        <w:pStyle w:val="Bullet"/>
      </w:pPr>
      <w:r w:rsidRPr="00BD16B4">
        <w:t>Energy systems will support economic development and an equitable transition to a low</w:t>
      </w:r>
      <w:r w:rsidRPr="00BD16B4">
        <w:noBreakHyphen/>
        <w:t xml:space="preserve">emissions economy. </w:t>
      </w:r>
    </w:p>
    <w:p w14:paraId="2AB40695" w14:textId="77777777" w:rsidR="00CA1920" w:rsidRPr="00BD16B4" w:rsidRDefault="00CA1920" w:rsidP="00CA1920">
      <w:pPr>
        <w:pStyle w:val="BodyText"/>
        <w:spacing w:after="100"/>
        <w:rPr>
          <w:rFonts w:eastAsia="Calibri"/>
        </w:rPr>
      </w:pPr>
      <w:r w:rsidRPr="00BD16B4">
        <w:rPr>
          <w:rFonts w:eastAsia="Calibri"/>
        </w:rPr>
        <w:t>To achieve this future, New Zealand needs to move away from fossil fuels and shift towards increased renewable electricity generation, and the development and use of other low-emissions fuels. A well-planned transition can help reduce energy costs for businesses and New Zealanders, increase energy independence and create high-wage jobs in areas such as hydrogen, bioenergy and electrification. It can also be an opportunity to improve our productivity as we adopt clean technologies and improve energy efficiency.</w:t>
      </w:r>
    </w:p>
    <w:p w14:paraId="576D5107" w14:textId="77777777" w:rsidR="00CA1920" w:rsidRPr="00BD16B4" w:rsidRDefault="00CA1920" w:rsidP="00CA1920">
      <w:pPr>
        <w:pStyle w:val="BodyText"/>
        <w:spacing w:after="240"/>
      </w:pPr>
      <w:r w:rsidRPr="00BD16B4">
        <w:rPr>
          <w:rFonts w:eastAsia="Calibri"/>
        </w:rPr>
        <w:lastRenderedPageBreak/>
        <w:t xml:space="preserve">In order to achieve this vision, the emissions reduction plan sets out actions across five interdependent focus areas. These actions </w:t>
      </w:r>
      <w:r w:rsidRPr="00BD16B4">
        <w:t>complement the NZ ETS. They are designed to address barriers in responding to the emissions price and minimise impacts on households, businesses, communities and Māori, while unlocking health and other benefits.</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A1920" w:rsidRPr="00BD16B4" w14:paraId="335BC067" w14:textId="77777777" w:rsidTr="002D166E">
        <w:tc>
          <w:tcPr>
            <w:tcW w:w="0" w:type="auto"/>
            <w:shd w:val="clear" w:color="auto" w:fill="D2DDE2"/>
          </w:tcPr>
          <w:p w14:paraId="17CA5DA6" w14:textId="77777777" w:rsidR="00CA1920" w:rsidRPr="00BD16B4" w:rsidRDefault="00CA1920" w:rsidP="008B19C0">
            <w:pPr>
              <w:pStyle w:val="Boxheading"/>
              <w:keepNext w:val="0"/>
            </w:pPr>
            <w:r w:rsidRPr="00BD16B4">
              <w:rPr>
                <w:iCs/>
              </w:rPr>
              <w:t>Key actions in</w:t>
            </w:r>
            <w:r w:rsidRPr="00BD16B4">
              <w:t xml:space="preserve"> the emissions reduction plan</w:t>
            </w:r>
          </w:p>
          <w:p w14:paraId="4977768E" w14:textId="77777777" w:rsidR="00CA1920" w:rsidRPr="00BD16B4" w:rsidRDefault="00CA1920" w:rsidP="002D166E">
            <w:pPr>
              <w:pStyle w:val="Boxtext"/>
              <w:spacing w:after="80"/>
              <w:rPr>
                <w:rFonts w:eastAsia="Calibri"/>
                <w:i/>
                <w:iCs/>
              </w:rPr>
            </w:pPr>
            <w:r w:rsidRPr="00BD16B4">
              <w:rPr>
                <w:rFonts w:eastAsia="Calibri"/>
                <w:i/>
                <w:iCs/>
              </w:rPr>
              <w:t>Set a strategy and targets to guide us to 2050 by:</w:t>
            </w:r>
          </w:p>
          <w:p w14:paraId="070C09D8" w14:textId="77777777" w:rsidR="00CA1920" w:rsidRPr="00BD16B4" w:rsidRDefault="00CA1920" w:rsidP="002D166E">
            <w:pPr>
              <w:pStyle w:val="Boxbullet"/>
              <w:spacing w:after="80"/>
            </w:pPr>
            <w:r w:rsidRPr="00BD16B4">
              <w:t>setting a target for 50 per cent of total final energy consumption to come from renewable sources by 2035</w:t>
            </w:r>
          </w:p>
          <w:p w14:paraId="73E2584A" w14:textId="77777777" w:rsidR="00CA1920" w:rsidRPr="00BD16B4" w:rsidRDefault="00CA1920" w:rsidP="002D166E">
            <w:pPr>
              <w:pStyle w:val="Boxbullet"/>
            </w:pPr>
            <w:r w:rsidRPr="00BD16B4">
              <w:t>developing an energy strategy to address strategic challenges in the energy sector and signal pathways away from fossil fuels.</w:t>
            </w:r>
          </w:p>
          <w:p w14:paraId="4D621142" w14:textId="77777777" w:rsidR="00CA1920" w:rsidRPr="00BD16B4" w:rsidRDefault="00CA1920" w:rsidP="005B3DF2">
            <w:pPr>
              <w:pStyle w:val="Boxtext"/>
              <w:spacing w:before="100" w:after="80"/>
              <w:rPr>
                <w:rFonts w:eastAsia="Calibri"/>
                <w:i/>
                <w:iCs/>
              </w:rPr>
            </w:pPr>
            <w:r w:rsidRPr="00BD16B4">
              <w:rPr>
                <w:rFonts w:eastAsia="Calibri"/>
                <w:i/>
                <w:iCs/>
              </w:rPr>
              <w:t>Reduce emissions and energy use in industry by:</w:t>
            </w:r>
          </w:p>
          <w:p w14:paraId="463CECEA" w14:textId="77777777" w:rsidR="00CA1920" w:rsidRPr="00BD16B4" w:rsidRDefault="00CA1920" w:rsidP="002D166E">
            <w:pPr>
              <w:pStyle w:val="Boxbullet"/>
              <w:spacing w:after="80"/>
              <w:rPr>
                <w:rStyle w:val="Hyperlink"/>
                <w:color w:val="1B556B"/>
              </w:rPr>
            </w:pPr>
            <w:r w:rsidRPr="00BD16B4">
              <w:t xml:space="preserve">supporting industry to improve energy efficiency, reduce costs and switch from fossil fuels to low-emissions alternatives through the </w:t>
            </w:r>
            <w:hyperlink r:id="rId78">
              <w:r w:rsidRPr="00BD16B4">
                <w:rPr>
                  <w:rStyle w:val="Hyperlink"/>
                  <w:color w:val="1B556B"/>
                </w:rPr>
                <w:t>GIDI Fund</w:t>
              </w:r>
            </w:hyperlink>
            <w:r w:rsidRPr="00BD16B4">
              <w:t xml:space="preserve"> and</w:t>
            </w:r>
            <w:hyperlink r:id="rId79">
              <w:r w:rsidRPr="00BD16B4">
                <w:rPr>
                  <w:rStyle w:val="Hyperlink"/>
                  <w:color w:val="1B556B"/>
                </w:rPr>
                <w:t xml:space="preserve"> EECA’s business programmes</w:t>
              </w:r>
            </w:hyperlink>
          </w:p>
          <w:p w14:paraId="2A59A1FA" w14:textId="77777777" w:rsidR="00CA1920" w:rsidRPr="00BD16B4" w:rsidRDefault="00CA1920" w:rsidP="002D166E">
            <w:pPr>
              <w:pStyle w:val="Boxbullet"/>
            </w:pPr>
            <w:r w:rsidRPr="00BD16B4">
              <w:t>banning new low- and medium-temperature coal boilers and phasing out existing ones by 2037 through a national direction for industrial greenhouse gas emissions.</w:t>
            </w:r>
          </w:p>
          <w:p w14:paraId="4BA7CCE9" w14:textId="77777777" w:rsidR="00CA1920" w:rsidRPr="00BD16B4" w:rsidRDefault="00CA1920" w:rsidP="005B3DF2">
            <w:pPr>
              <w:pStyle w:val="Boxtext"/>
              <w:spacing w:before="100" w:after="80"/>
              <w:rPr>
                <w:rFonts w:eastAsia="Calibri"/>
                <w:i/>
                <w:iCs/>
              </w:rPr>
            </w:pPr>
            <w:r w:rsidRPr="00BD16B4">
              <w:rPr>
                <w:rFonts w:eastAsia="Calibri"/>
                <w:i/>
                <w:iCs/>
              </w:rPr>
              <w:t>Reduce our reliance on fossil fuels and exposure to volatile global fuel markets, and support the switch to low-emissions fuels by:</w:t>
            </w:r>
          </w:p>
          <w:p w14:paraId="7F6CDF5B" w14:textId="77777777" w:rsidR="00CA1920" w:rsidRPr="00BD16B4" w:rsidRDefault="00CA1920" w:rsidP="002D166E">
            <w:pPr>
              <w:pStyle w:val="Boxbullet"/>
              <w:spacing w:after="80"/>
            </w:pPr>
            <w:r w:rsidRPr="00BD16B4">
              <w:t>setting a pathway to reduce reliance on fossil gas through a Gas Transition Plan</w:t>
            </w:r>
          </w:p>
          <w:p w14:paraId="0EC1A8A9" w14:textId="77777777" w:rsidR="00CA1920" w:rsidRPr="00BD16B4" w:rsidRDefault="00CA1920" w:rsidP="002D166E">
            <w:pPr>
              <w:pStyle w:val="Boxbullet"/>
            </w:pPr>
            <w:r w:rsidRPr="00BD16B4">
              <w:t>increasing access to low-emissions fuels, including developing a Hydrogen Roadmap.</w:t>
            </w:r>
          </w:p>
          <w:p w14:paraId="367025F3" w14:textId="77777777" w:rsidR="00CA1920" w:rsidRPr="00BD16B4" w:rsidRDefault="00CA1920" w:rsidP="005B3DF2">
            <w:pPr>
              <w:pStyle w:val="Boxtext"/>
              <w:spacing w:before="100" w:after="80"/>
              <w:rPr>
                <w:rFonts w:eastAsia="Calibri"/>
                <w:i/>
                <w:iCs/>
              </w:rPr>
            </w:pPr>
            <w:r w:rsidRPr="00BD16B4">
              <w:rPr>
                <w:rFonts w:eastAsia="Calibri"/>
                <w:i/>
                <w:iCs/>
              </w:rPr>
              <w:t>Ensure the electricity system is ready to meet future needs by:</w:t>
            </w:r>
          </w:p>
          <w:p w14:paraId="076CAADB" w14:textId="77777777" w:rsidR="00CA1920" w:rsidRPr="00BD16B4" w:rsidRDefault="00CA1920" w:rsidP="002D166E">
            <w:pPr>
              <w:pStyle w:val="Boxbullet"/>
              <w:spacing w:after="80"/>
            </w:pPr>
            <w:r w:rsidRPr="00BD16B4">
              <w:t>investigating options for electricity storage in dry years through the New Zealand Battery Project and investigating the need for electricity market measures to support the transition to a highly renewable electricity system</w:t>
            </w:r>
          </w:p>
          <w:p w14:paraId="6EE34349" w14:textId="77777777" w:rsidR="00CA1920" w:rsidRPr="00BD16B4" w:rsidRDefault="00CA1920" w:rsidP="002D166E">
            <w:pPr>
              <w:pStyle w:val="Boxbullet"/>
              <w:spacing w:after="80"/>
            </w:pPr>
            <w:r w:rsidRPr="00BD16B4">
              <w:t>developing regulatory settings to enable investment in offshore renewables, energy and innovation</w:t>
            </w:r>
          </w:p>
          <w:p w14:paraId="1F993C69" w14:textId="77777777" w:rsidR="00CA1920" w:rsidRPr="00BD16B4" w:rsidRDefault="00CA1920" w:rsidP="002D166E">
            <w:pPr>
              <w:pStyle w:val="Boxbullet"/>
              <w:spacing w:after="80"/>
            </w:pPr>
            <w:r w:rsidRPr="00BD16B4">
              <w:t>reducing barriers to developing and efficiently using electricity infrastructure, including transmission and distribution networks</w:t>
            </w:r>
          </w:p>
          <w:p w14:paraId="54AF4968" w14:textId="04577D07" w:rsidR="00CA1920" w:rsidRPr="00BD16B4" w:rsidRDefault="00CA1920" w:rsidP="002D166E">
            <w:pPr>
              <w:pStyle w:val="Boxbullet"/>
            </w:pPr>
            <w:r w:rsidRPr="00BD16B4">
              <w:t>supporting renewable and affordable energy in communities through the Māori and Public Housing Renewable Energy Fund</w:t>
            </w:r>
            <w:r w:rsidR="004276A8" w:rsidRPr="00BD16B4">
              <w:rPr>
                <w:rStyle w:val="FootnoteReference"/>
              </w:rPr>
              <w:footnoteReference w:id="158"/>
            </w:r>
            <w:r w:rsidRPr="00BD16B4">
              <w:t xml:space="preserve"> and the Community Energy Fund.</w:t>
            </w:r>
          </w:p>
          <w:p w14:paraId="639FFCA3" w14:textId="77777777" w:rsidR="00CA1920" w:rsidRPr="00BD16B4" w:rsidRDefault="00CA1920" w:rsidP="005B3DF2">
            <w:pPr>
              <w:pStyle w:val="Boxtext"/>
              <w:spacing w:before="100" w:after="80"/>
              <w:rPr>
                <w:rFonts w:eastAsia="Calibri"/>
                <w:i/>
                <w:iCs/>
              </w:rPr>
            </w:pPr>
            <w:r w:rsidRPr="00BD16B4">
              <w:rPr>
                <w:rFonts w:eastAsia="Calibri"/>
                <w:i/>
                <w:iCs/>
              </w:rPr>
              <w:t>Use energy efficiently, lower costs and manage demand for energy by:</w:t>
            </w:r>
          </w:p>
          <w:p w14:paraId="0BABDB99" w14:textId="753557E0" w:rsidR="00CA1920" w:rsidRPr="00BD16B4" w:rsidRDefault="00CA1920" w:rsidP="002D166E">
            <w:pPr>
              <w:pStyle w:val="Boxbullet"/>
              <w:spacing w:after="80"/>
              <w:rPr>
                <w:rFonts w:eastAsia="Calibri"/>
                <w:szCs w:val="22"/>
              </w:rPr>
            </w:pPr>
            <w:r w:rsidRPr="00BD16B4">
              <w:t>improving</w:t>
            </w:r>
            <w:r w:rsidRPr="00BD16B4">
              <w:rPr>
                <w:szCs w:val="22"/>
              </w:rPr>
              <w:t xml:space="preserve"> business and consumer energy efficiency through programmes such as </w:t>
            </w:r>
            <w:r w:rsidRPr="00BD16B4">
              <w:rPr>
                <w:rFonts w:eastAsia="Calibri"/>
              </w:rPr>
              <w:t>Equipment Energy Efficiency (E3)</w:t>
            </w:r>
            <w:r w:rsidRPr="00BD16B4">
              <w:rPr>
                <w:szCs w:val="22"/>
              </w:rPr>
              <w:t>,</w:t>
            </w:r>
            <w:r w:rsidR="00C05D90" w:rsidRPr="00BD16B4">
              <w:rPr>
                <w:rStyle w:val="FootnoteReference"/>
                <w:szCs w:val="22"/>
              </w:rPr>
              <w:footnoteReference w:id="159"/>
            </w:r>
            <w:r w:rsidRPr="00BD16B4">
              <w:rPr>
                <w:szCs w:val="22"/>
              </w:rPr>
              <w:t xml:space="preserve"> </w:t>
            </w:r>
            <w:r w:rsidRPr="00BD16B4">
              <w:rPr>
                <w:rFonts w:eastAsia="Calibri"/>
              </w:rPr>
              <w:t>Gen Less</w:t>
            </w:r>
            <w:r w:rsidR="00C05D90" w:rsidRPr="00BD16B4">
              <w:rPr>
                <w:rStyle w:val="FootnoteReference"/>
                <w:rFonts w:eastAsia="Calibri"/>
              </w:rPr>
              <w:footnoteReference w:id="160"/>
            </w:r>
            <w:r w:rsidRPr="00BD16B4">
              <w:rPr>
                <w:szCs w:val="22"/>
              </w:rPr>
              <w:t xml:space="preserve"> and </w:t>
            </w:r>
            <w:r w:rsidRPr="00BD16B4">
              <w:rPr>
                <w:rFonts w:eastAsia="Calibri"/>
              </w:rPr>
              <w:t>Support for Energy Education in Communities</w:t>
            </w:r>
            <w:r w:rsidR="00C05D90" w:rsidRPr="00BD16B4">
              <w:rPr>
                <w:rStyle w:val="FootnoteReference"/>
                <w:rFonts w:eastAsia="Calibri"/>
              </w:rPr>
              <w:footnoteReference w:id="161"/>
            </w:r>
          </w:p>
          <w:p w14:paraId="5B144303" w14:textId="32D01C9F" w:rsidR="00CA1920" w:rsidRPr="00BD16B4" w:rsidRDefault="00CA1920" w:rsidP="002D166E">
            <w:pPr>
              <w:pStyle w:val="Boxbullet"/>
              <w:spacing w:after="180"/>
            </w:pPr>
            <w:r w:rsidRPr="00BD16B4">
              <w:rPr>
                <w:rFonts w:eastAsia="Calibri"/>
              </w:rPr>
              <w:t>helping low-income New Zealanders have warmer, drier homes through Warmer Kiwi Homes</w:t>
            </w:r>
            <w:r w:rsidRPr="00BD16B4">
              <w:rPr>
                <w:rStyle w:val="Hyperlink"/>
                <w:rFonts w:eastAsia="Calibri"/>
              </w:rPr>
              <w:t>.</w:t>
            </w:r>
            <w:r w:rsidR="008B19C0" w:rsidRPr="00BD16B4">
              <w:rPr>
                <w:rStyle w:val="FootnoteReference"/>
                <w:rFonts w:eastAsia="Calibri"/>
              </w:rPr>
              <w:footnoteReference w:id="162"/>
            </w:r>
            <w:r w:rsidRPr="00BD16B4">
              <w:rPr>
                <w:szCs w:val="22"/>
              </w:rPr>
              <w:t xml:space="preserve"> </w:t>
            </w:r>
          </w:p>
        </w:tc>
      </w:tr>
    </w:tbl>
    <w:p w14:paraId="61F101FD" w14:textId="77777777" w:rsidR="00CA1920" w:rsidRPr="00BD16B4" w:rsidRDefault="00CA1920" w:rsidP="004E1B8C">
      <w:pPr>
        <w:pStyle w:val="Heading4"/>
        <w:rPr>
          <w:rFonts w:eastAsia="Calibri"/>
        </w:rPr>
      </w:pPr>
      <w:r w:rsidRPr="00BD16B4">
        <w:rPr>
          <w:rFonts w:eastAsia="Calibri"/>
        </w:rPr>
        <w:lastRenderedPageBreak/>
        <w:t>Strategic approaches to manage the phase-out of fossil fuels</w:t>
      </w:r>
    </w:p>
    <w:p w14:paraId="75E62731" w14:textId="77777777" w:rsidR="00CA1920" w:rsidRPr="00BD16B4" w:rsidRDefault="00CA1920" w:rsidP="00CA1920">
      <w:pPr>
        <w:pStyle w:val="Heading5"/>
        <w:rPr>
          <w:rFonts w:eastAsia="Calibri"/>
        </w:rPr>
      </w:pPr>
      <w:r w:rsidRPr="00BD16B4">
        <w:rPr>
          <w:rFonts w:eastAsia="Calibri"/>
        </w:rPr>
        <w:t xml:space="preserve">Aotearoa New Zealand Energy Strategy </w:t>
      </w:r>
    </w:p>
    <w:p w14:paraId="197A6C4D" w14:textId="77777777" w:rsidR="00CA1920" w:rsidRPr="00BD16B4" w:rsidRDefault="00CA1920" w:rsidP="00CA1920">
      <w:pPr>
        <w:pStyle w:val="BodyText"/>
      </w:pPr>
      <w:r w:rsidRPr="00BD16B4">
        <w:t xml:space="preserve">The Government is developing an Aotearoa New Zealand Energy Strategy to support the transition to a low-carbon economy, address strategic challenges in the energy sector and signal pathways away from fossil fuels. </w:t>
      </w:r>
    </w:p>
    <w:p w14:paraId="08999639" w14:textId="77777777" w:rsidR="00CA1920" w:rsidRPr="00BD16B4" w:rsidRDefault="00CA1920" w:rsidP="00CA1920">
      <w:pPr>
        <w:pStyle w:val="BodyText"/>
      </w:pPr>
      <w:r w:rsidRPr="00BD16B4">
        <w:t>The strategy will reflect the Government’s vision for the energy and industry sectors that, by 2050, New Zealand has a highly renewable, sustainable and efficient energy system that is accessible and affordable, secure and reliable, and supports the wellbeing of New Zealanders.</w:t>
      </w:r>
    </w:p>
    <w:p w14:paraId="0724D0CB" w14:textId="77777777" w:rsidR="00CA1920" w:rsidRPr="00BD16B4" w:rsidRDefault="00CA1920" w:rsidP="00CA1920">
      <w:pPr>
        <w:pStyle w:val="BodyText"/>
      </w:pPr>
      <w:r w:rsidRPr="00BD16B4">
        <w:t>The Energy Strategy will help set the pathways to navigate our way through the energy trilemma</w:t>
      </w:r>
      <w:r w:rsidRPr="00BD16B4">
        <w:rPr>
          <w:rStyle w:val="FootnoteReference"/>
        </w:rPr>
        <w:footnoteReference w:id="163"/>
      </w:r>
      <w:r w:rsidRPr="00BD16B4">
        <w:t xml:space="preserve"> and to provide certainty for the sector, industry and consumers. It will set the direction for New Zealand’s pathway away from fossil fuels, towards greater levels of renewable electricity and other low-emissions alternatives.</w:t>
      </w:r>
    </w:p>
    <w:p w14:paraId="2A6AA52F" w14:textId="77777777" w:rsidR="00CA1920" w:rsidRPr="00BD16B4" w:rsidRDefault="00CA1920" w:rsidP="00CA1920">
      <w:pPr>
        <w:pStyle w:val="BodyText"/>
      </w:pPr>
      <w:r w:rsidRPr="00BD16B4">
        <w:t xml:space="preserve">Scoping work is under way. MBIE will collaborate and engage with Treaty partners and work with energy system stakeholders to develop it by the end of 2024. </w:t>
      </w:r>
    </w:p>
    <w:p w14:paraId="584FC0B5" w14:textId="77777777" w:rsidR="00CA1920" w:rsidRPr="00BD16B4" w:rsidRDefault="00CA1920" w:rsidP="00CA1920">
      <w:pPr>
        <w:pStyle w:val="Heading5"/>
        <w:rPr>
          <w:rFonts w:eastAsia="Calibri"/>
        </w:rPr>
      </w:pPr>
      <w:r w:rsidRPr="00BD16B4">
        <w:rPr>
          <w:rFonts w:eastAsia="Calibri"/>
        </w:rPr>
        <w:t>Gas Transition Plan</w:t>
      </w:r>
    </w:p>
    <w:p w14:paraId="06A0C848" w14:textId="77777777" w:rsidR="00CA1920" w:rsidRPr="00BD16B4" w:rsidRDefault="00CA1920" w:rsidP="00CA1920">
      <w:pPr>
        <w:pStyle w:val="BodyText"/>
        <w:rPr>
          <w:rFonts w:eastAsia="Calibri"/>
        </w:rPr>
      </w:pPr>
      <w:r w:rsidRPr="00BD16B4">
        <w:rPr>
          <w:rFonts w:eastAsia="Calibri"/>
        </w:rPr>
        <w:t xml:space="preserve">The Government will develop a gas transition path by the end of 2023. This will set out a transition pathway for the fossil gas industry, explore opportunities for renewable gases and contribute to an equitable transition as we reduce our reliance on fossil gas. The Gas Transition Plan will be an input to the Energy Strategy. </w:t>
      </w:r>
    </w:p>
    <w:p w14:paraId="6130348B" w14:textId="77777777" w:rsidR="00CA1920" w:rsidRPr="00BD16B4" w:rsidRDefault="00CA1920" w:rsidP="00CA1920">
      <w:pPr>
        <w:pStyle w:val="Heading5"/>
        <w:rPr>
          <w:rFonts w:eastAsia="Calibri"/>
        </w:rPr>
      </w:pPr>
      <w:r w:rsidRPr="00BD16B4">
        <w:rPr>
          <w:rFonts w:eastAsia="Calibri"/>
        </w:rPr>
        <w:t>New Zealand Energy Efficiency and Conservation Strategy 2017–2022</w:t>
      </w:r>
    </w:p>
    <w:p w14:paraId="115C8FCA" w14:textId="77777777" w:rsidR="00CA1920" w:rsidRPr="00BD16B4" w:rsidRDefault="00CA1920" w:rsidP="00CA1920">
      <w:pPr>
        <w:pStyle w:val="BodyText"/>
      </w:pPr>
      <w:r w:rsidRPr="00BD16B4">
        <w:t xml:space="preserve">The current New Zealand Energy Efficiency and Conservation Strategy (NZEECS) 2017–2022 sets the overarching policy direction for government support and intervention for promoting energy efficiency, energy conservation and the use of renewable sources of energy. </w:t>
      </w:r>
    </w:p>
    <w:p w14:paraId="27050350" w14:textId="77777777" w:rsidR="00CA1920" w:rsidRPr="00BD16B4" w:rsidRDefault="00CA1920" w:rsidP="00CA1920">
      <w:pPr>
        <w:pStyle w:val="BodyText"/>
      </w:pPr>
      <w:r w:rsidRPr="00BD16B4">
        <w:t>In December 2021 the Minister of Energy and Resources decided that a new five-year energy efficiency and conversation strategy should be developed to replace the existing strategy.</w:t>
      </w:r>
    </w:p>
    <w:p w14:paraId="065CE01E" w14:textId="77777777" w:rsidR="00CA1920" w:rsidRPr="00BD16B4" w:rsidRDefault="00CA1920" w:rsidP="00CA1920">
      <w:pPr>
        <w:pStyle w:val="BodyText"/>
      </w:pPr>
      <w:r w:rsidRPr="00BD16B4">
        <w:t>This new strategy will better align with the Government’s climate change and energy system priorities. It is intended that the new NZEECS will complement, and integrate with,</w:t>
      </w:r>
      <w:r w:rsidRPr="00BD16B4">
        <w:rPr>
          <w:color w:val="FF0000"/>
        </w:rPr>
        <w:t xml:space="preserve"> </w:t>
      </w:r>
      <w:r w:rsidRPr="00BD16B4">
        <w:t xml:space="preserve">the broader Energy Strategy. </w:t>
      </w:r>
    </w:p>
    <w:p w14:paraId="340EA063" w14:textId="77777777" w:rsidR="00CA1920" w:rsidRPr="00BD16B4" w:rsidRDefault="00CA1920" w:rsidP="00CA1920">
      <w:pPr>
        <w:pStyle w:val="Heading5"/>
        <w:rPr>
          <w:rFonts w:eastAsia="Calibri"/>
        </w:rPr>
      </w:pPr>
      <w:r w:rsidRPr="00BD16B4">
        <w:rPr>
          <w:rFonts w:eastAsia="Calibri"/>
        </w:rPr>
        <w:t xml:space="preserve">Hydrogen Roadmap </w:t>
      </w:r>
    </w:p>
    <w:p w14:paraId="302BC65D" w14:textId="77777777" w:rsidR="00CA1920" w:rsidRPr="00BD16B4" w:rsidRDefault="00CA1920" w:rsidP="00CA1920">
      <w:pPr>
        <w:pStyle w:val="BodyText"/>
        <w:rPr>
          <w:rFonts w:eastAsia="Calibri"/>
        </w:rPr>
      </w:pPr>
      <w:r w:rsidRPr="00BD16B4">
        <w:rPr>
          <w:rFonts w:eastAsia="Calibri"/>
        </w:rPr>
        <w:t>The Government will develop a Hydrogen Roadmap for New Zealand by 2023. This roadmap will build on the</w:t>
      </w:r>
      <w:r w:rsidRPr="00BD16B4">
        <w:rPr>
          <w:rFonts w:eastAsia="Calibri"/>
          <w:i/>
        </w:rPr>
        <w:t xml:space="preserve"> Vision </w:t>
      </w:r>
      <w:r w:rsidRPr="00BD16B4">
        <w:rPr>
          <w:rFonts w:eastAsia="Calibri"/>
        </w:rPr>
        <w:t xml:space="preserve">for Hydrogen in New Zealand, published in September 2019, to set a strategy guiding investment in hydrogen, and maximising economic benefits and emissions reductions. </w:t>
      </w:r>
    </w:p>
    <w:p w14:paraId="1A65B3CE" w14:textId="77777777" w:rsidR="00CA1920" w:rsidRPr="00BD16B4" w:rsidRDefault="00CA1920" w:rsidP="00CA1920">
      <w:pPr>
        <w:pStyle w:val="BodyText"/>
        <w:rPr>
          <w:rFonts w:eastAsia="Calibri"/>
        </w:rPr>
      </w:pPr>
      <w:r w:rsidRPr="00BD16B4">
        <w:rPr>
          <w:rFonts w:eastAsia="Calibri"/>
        </w:rPr>
        <w:t xml:space="preserve">The Government is also reviewing and evaluating current hydrogen regulatory settings to ensure they are fit-for-purpose for new hydrogen technologies and novel applications of hydrogen, and consistent with international best-practice standards. </w:t>
      </w:r>
    </w:p>
    <w:p w14:paraId="4AAFAD64" w14:textId="77777777" w:rsidR="00CA1920" w:rsidRPr="00BD16B4" w:rsidRDefault="00CA1920" w:rsidP="004E1B8C">
      <w:pPr>
        <w:pStyle w:val="Heading4"/>
        <w:rPr>
          <w:rFonts w:eastAsia="Calibri"/>
        </w:rPr>
      </w:pPr>
      <w:r w:rsidRPr="00BD16B4">
        <w:rPr>
          <w:rFonts w:eastAsia="Calibri"/>
        </w:rPr>
        <w:lastRenderedPageBreak/>
        <w:t>Programmes regulating energy efficiency</w:t>
      </w:r>
    </w:p>
    <w:p w14:paraId="509BC113" w14:textId="77777777" w:rsidR="00CA1920" w:rsidRPr="00BD16B4" w:rsidRDefault="00CA1920" w:rsidP="00CA1920">
      <w:pPr>
        <w:pStyle w:val="Heading5"/>
        <w:rPr>
          <w:rFonts w:eastAsia="Calibri"/>
        </w:rPr>
      </w:pPr>
      <w:r w:rsidRPr="00BD16B4">
        <w:rPr>
          <w:rFonts w:eastAsia="Calibri"/>
        </w:rPr>
        <w:t>Equipment Energy Efficiency programme</w:t>
      </w:r>
    </w:p>
    <w:p w14:paraId="024AD763" w14:textId="77777777" w:rsidR="00CA1920" w:rsidRPr="00BD16B4" w:rsidRDefault="00CA1920" w:rsidP="00CA1920">
      <w:pPr>
        <w:pStyle w:val="BodyText"/>
        <w:rPr>
          <w:rFonts w:eastAsia="Calibri"/>
        </w:rPr>
      </w:pPr>
      <w:r w:rsidRPr="00BD16B4">
        <w:rPr>
          <w:rFonts w:eastAsia="Calibri"/>
        </w:rPr>
        <w:t xml:space="preserve">As noted in previous National Communications, New Zealand and Australia have a trans-Tasman Equipment Energy Efficiency (E3) programme, which develops standards and measures for energy efficiency in both countries. The E3 programme aims to increase the energy efficiency of new appliances and equipment sold in Australia and New Zealand, thereby reducing energy consumption and associated greenhouse gas emissions. </w:t>
      </w:r>
    </w:p>
    <w:p w14:paraId="0C35B082" w14:textId="77777777" w:rsidR="00CA1920" w:rsidRPr="00BD16B4" w:rsidRDefault="00CA1920" w:rsidP="00CA1920">
      <w:pPr>
        <w:pStyle w:val="BodyText"/>
        <w:rPr>
          <w:rFonts w:eastAsia="Calibri"/>
        </w:rPr>
      </w:pPr>
      <w:r w:rsidRPr="00BD16B4">
        <w:t xml:space="preserve">Inefficient appliances are kept out of the country through administering and developing </w:t>
      </w:r>
      <w:bookmarkStart w:id="229" w:name="_Hlk118990848"/>
      <w:r w:rsidRPr="00BD16B4">
        <w:t>Minimum Energy Performance Standards</w:t>
      </w:r>
      <w:bookmarkEnd w:id="229"/>
      <w:r w:rsidRPr="00BD16B4">
        <w:t xml:space="preserve"> (MEPS) and </w:t>
      </w:r>
      <w:bookmarkStart w:id="230" w:name="_Hlk118990903"/>
      <w:r w:rsidRPr="00BD16B4">
        <w:t>Mandatory Energy Performance Labelling</w:t>
      </w:r>
      <w:bookmarkEnd w:id="230"/>
      <w:r w:rsidRPr="00BD16B4">
        <w:t xml:space="preserve"> (MEPL) requirements, also allowing consumers to make more informed purchasing decisions. The Energy Efficiency (Energy Using Products) Regulations 2002 are used to implement the </w:t>
      </w:r>
      <w:r w:rsidRPr="00BD16B4">
        <w:rPr>
          <w:rFonts w:eastAsia="Calibri"/>
        </w:rPr>
        <w:t xml:space="preserve">MEPS and MEPL requirements in New Zealand with </w:t>
      </w:r>
      <w:r w:rsidRPr="00BD16B4">
        <w:t xml:space="preserve">ongoing </w:t>
      </w:r>
      <w:r w:rsidRPr="00BD16B4">
        <w:rPr>
          <w:rFonts w:eastAsia="Calibri"/>
        </w:rPr>
        <w:t>development of MEPS and MEPL for a range of commonly used residential, commercial and industrial electrical products.</w:t>
      </w:r>
    </w:p>
    <w:p w14:paraId="02C11FE8" w14:textId="77777777" w:rsidR="00CA1920" w:rsidRPr="00BD16B4" w:rsidRDefault="00CA1920" w:rsidP="00B1745B">
      <w:pPr>
        <w:pStyle w:val="Heading6"/>
      </w:pPr>
      <w:r w:rsidRPr="00BD16B4">
        <w:t>Minimum energy performance standards</w:t>
      </w:r>
    </w:p>
    <w:p w14:paraId="45F1C5FD" w14:textId="77777777" w:rsidR="00CA1920" w:rsidRPr="00BD16B4" w:rsidRDefault="00CA1920" w:rsidP="00CA1920">
      <w:pPr>
        <w:pStyle w:val="BodyText"/>
        <w:rPr>
          <w:rFonts w:eastAsia="Calibri"/>
        </w:rPr>
      </w:pPr>
      <w:r w:rsidRPr="00BD16B4">
        <w:rPr>
          <w:rFonts w:eastAsia="Calibri"/>
        </w:rPr>
        <w:t>Under the MEPS regulations, new products entering the market must meet or exceed minimum energy performance criteria before they can be sold in New Zealand. This currently applies to 17 product classes.</w:t>
      </w:r>
      <w:r w:rsidRPr="00BD16B4">
        <w:rPr>
          <w:rStyle w:val="FootnoteReference"/>
          <w:rFonts w:eastAsia="Calibri"/>
        </w:rPr>
        <w:footnoteReference w:id="164"/>
      </w:r>
    </w:p>
    <w:p w14:paraId="674546C4" w14:textId="77777777" w:rsidR="00CA1920" w:rsidRPr="00BD16B4" w:rsidRDefault="00CA1920" w:rsidP="00CA1920">
      <w:pPr>
        <w:pStyle w:val="BodyText"/>
        <w:rPr>
          <w:rFonts w:eastAsia="Calibri"/>
        </w:rPr>
      </w:pPr>
      <w:r w:rsidRPr="00BD16B4">
        <w:rPr>
          <w:rFonts w:eastAsia="Calibri"/>
        </w:rPr>
        <w:t>The regulations are updated periodically as technology changes, new test methods are developed, or as new products are added to the programme. The 2021 update included amending the MEPS for refrigerated cabinets, air conditioners and heat pumps.</w:t>
      </w:r>
    </w:p>
    <w:p w14:paraId="67B8BE91" w14:textId="77777777" w:rsidR="00CA1920" w:rsidRPr="00BD16B4" w:rsidRDefault="00CA1920" w:rsidP="00B1745B">
      <w:pPr>
        <w:pStyle w:val="Heading6"/>
      </w:pPr>
      <w:r w:rsidRPr="00BD16B4">
        <w:t xml:space="preserve">Mandatory energy performance labelling </w:t>
      </w:r>
    </w:p>
    <w:p w14:paraId="3573BA10" w14:textId="77777777" w:rsidR="00CA1920" w:rsidRPr="00BD16B4" w:rsidRDefault="00CA1920" w:rsidP="00CA1920">
      <w:pPr>
        <w:pStyle w:val="BodyText"/>
        <w:rPr>
          <w:rFonts w:eastAsia="Calibri"/>
        </w:rPr>
      </w:pPr>
      <w:r w:rsidRPr="00BD16B4">
        <w:rPr>
          <w:rFonts w:eastAsia="Calibri"/>
        </w:rPr>
        <w:t>Product labelling regulations require an Energy Rating Label to be displayed to consumers at the point of sale in retail outlets. Currently seven product classes have MEPL requirements.</w:t>
      </w:r>
      <w:r w:rsidRPr="00BD16B4">
        <w:rPr>
          <w:rStyle w:val="FootnoteReference"/>
          <w:rFonts w:eastAsia="Calibri"/>
        </w:rPr>
        <w:footnoteReference w:id="165"/>
      </w:r>
      <w:r w:rsidRPr="00BD16B4">
        <w:rPr>
          <w:rFonts w:eastAsia="Calibri"/>
        </w:rPr>
        <w:t xml:space="preserve"> The Energy Rating Label shows how much electricity the appliance will use in one year (based on test conditions and usage assumptions) and provides a star rating that allows comparison between products of a similar size. </w:t>
      </w:r>
    </w:p>
    <w:p w14:paraId="33B5B52E" w14:textId="77777777" w:rsidR="00CA1920" w:rsidRPr="00BD16B4" w:rsidRDefault="00CA1920" w:rsidP="00B1745B">
      <w:pPr>
        <w:pStyle w:val="Heading6"/>
      </w:pPr>
      <w:r w:rsidRPr="00BD16B4">
        <w:t>E3 Prioritisation Plan</w:t>
      </w:r>
    </w:p>
    <w:p w14:paraId="5CF4767B" w14:textId="77777777" w:rsidR="00CA1920" w:rsidRPr="00BD16B4" w:rsidRDefault="00CA1920" w:rsidP="00CA1920">
      <w:pPr>
        <w:pStyle w:val="BodyText"/>
        <w:rPr>
          <w:rFonts w:eastAsia="Calibri"/>
        </w:rPr>
      </w:pPr>
      <w:bookmarkStart w:id="231" w:name="_Hlk113885558"/>
      <w:r w:rsidRPr="00BD16B4">
        <w:rPr>
          <w:rFonts w:eastAsia="Calibri"/>
        </w:rPr>
        <w:t xml:space="preserve">The E3 Prioritisation Plan for 2021–22 has been developed to ensure activities that provide the greatest benefit are actioned first. The plan helps to reduce emissions, utilise opportunities to save energy and lower energy costs for households and businesses as early as possible. </w:t>
      </w:r>
      <w:r w:rsidRPr="00BD16B4">
        <w:t>The plan shortlists 34 products and projects and identifies 26 of these as ‘top priority’ and 8 as ‘medium-term’ priority.</w:t>
      </w:r>
    </w:p>
    <w:p w14:paraId="2972458B" w14:textId="77777777" w:rsidR="00CA1920" w:rsidRPr="00BD16B4" w:rsidRDefault="00CA1920" w:rsidP="00CA1920">
      <w:pPr>
        <w:pStyle w:val="Heading5"/>
      </w:pPr>
      <w:r w:rsidRPr="00BD16B4">
        <w:rPr>
          <w:rFonts w:eastAsia="Calibri"/>
        </w:rPr>
        <w:lastRenderedPageBreak/>
        <w:t xml:space="preserve">Publicly Available Specifications </w:t>
      </w:r>
    </w:p>
    <w:p w14:paraId="1FE2BED0" w14:textId="4738B593" w:rsidR="00CA1920" w:rsidRPr="00BD16B4" w:rsidRDefault="00CA1920" w:rsidP="00CA1920">
      <w:pPr>
        <w:pStyle w:val="BodyText"/>
      </w:pPr>
      <w:r w:rsidRPr="00BD16B4">
        <w:t>EECA has worked with Standards New Zealand since 2020 to develop five Publicly Available Specifications (PAS). These cover residential and commercial electric vehicle chargers, high</w:t>
      </w:r>
      <w:r w:rsidR="003175F0" w:rsidRPr="00BD16B4">
        <w:noBreakHyphen/>
      </w:r>
      <w:r w:rsidRPr="00BD16B4">
        <w:t xml:space="preserve">temperature heat pumps, biomass boilers and fossil fuel boilers. </w:t>
      </w:r>
    </w:p>
    <w:p w14:paraId="58BEF8D1" w14:textId="77777777" w:rsidR="00CA1920" w:rsidRPr="00BD16B4" w:rsidRDefault="00CA1920" w:rsidP="00CA1920">
      <w:pPr>
        <w:pStyle w:val="BodyText"/>
      </w:pPr>
      <w:r w:rsidRPr="00BD16B4">
        <w:t xml:space="preserve">The PAS have been well received by industry and are also used to detail minimum specification requirements for EECA funding programmes such as the GIDI Fund. </w:t>
      </w:r>
    </w:p>
    <w:bookmarkEnd w:id="231"/>
    <w:p w14:paraId="315C602A" w14:textId="77777777" w:rsidR="00CA1920" w:rsidRPr="00BD16B4" w:rsidRDefault="00CA1920" w:rsidP="00CA1920">
      <w:pPr>
        <w:pStyle w:val="BodyText"/>
        <w:keepLines/>
      </w:pPr>
      <w:r w:rsidRPr="00BD16B4">
        <w:t xml:space="preserve">PAS for smart homes were published in September 2022, introducing the concept of residential demand response and demand flexibility systems to New Zealand households. Residential demand response and demand flexibility will help to reduce peak electricity generation and help consumers to optimise electricity use to reduce outgoings. </w:t>
      </w:r>
    </w:p>
    <w:p w14:paraId="3FE1F6DC" w14:textId="77777777" w:rsidR="00CA1920" w:rsidRPr="00BD16B4" w:rsidRDefault="00CA1920" w:rsidP="004E1B8C">
      <w:pPr>
        <w:pStyle w:val="Heading4"/>
      </w:pPr>
      <w:r w:rsidRPr="00BD16B4">
        <w:rPr>
          <w:rFonts w:eastAsia="Calibri"/>
        </w:rPr>
        <w:t>Reduce emissions and energy use in industry</w:t>
      </w:r>
    </w:p>
    <w:p w14:paraId="5AC83A53" w14:textId="77777777" w:rsidR="00CA1920" w:rsidRPr="00BD16B4" w:rsidRDefault="00CA1920" w:rsidP="00CA1920">
      <w:pPr>
        <w:pStyle w:val="BodyText"/>
        <w:keepLines/>
        <w:rPr>
          <w:rFonts w:eastAsia="Calibri"/>
        </w:rPr>
      </w:pPr>
      <w:r w:rsidRPr="00BD16B4">
        <w:rPr>
          <w:rFonts w:eastAsia="Calibri"/>
        </w:rPr>
        <w:t>Energy use by businesses (excluding transport) accounts for about 50 per cent of New Zealand’s total energy use, and more than 40 per cent of New Zealand’s energy-related emissions.</w:t>
      </w:r>
      <w:r w:rsidRPr="00BD16B4">
        <w:rPr>
          <w:rStyle w:val="FootnoteReference"/>
          <w:rFonts w:eastAsia="Calibri"/>
        </w:rPr>
        <w:footnoteReference w:id="166"/>
      </w:r>
      <w:r w:rsidRPr="00BD16B4">
        <w:rPr>
          <w:rFonts w:eastAsia="Calibri"/>
        </w:rPr>
        <w:t xml:space="preserve"> </w:t>
      </w:r>
    </w:p>
    <w:p w14:paraId="4E726B47" w14:textId="77777777" w:rsidR="00CA1920" w:rsidRPr="00BD16B4" w:rsidRDefault="00CA1920" w:rsidP="00CA1920">
      <w:pPr>
        <w:pStyle w:val="BodyText"/>
      </w:pPr>
      <w:r w:rsidRPr="00BD16B4">
        <w:t xml:space="preserve">EECA works with New Zealand’s businesses and large energy users to find long-term solutions that improve energy efficiency and decarbonise operations by switching to renewable forms of energy. These business decarbonisation programmes aim to help businesses meet emissions reduction targets, benefit from improved energy productivity and use low-emissions innovations and insights. Priorities include: </w:t>
      </w:r>
    </w:p>
    <w:p w14:paraId="168A5691" w14:textId="77777777" w:rsidR="00CA1920" w:rsidRPr="00BD16B4" w:rsidRDefault="00CA1920" w:rsidP="00CA1920">
      <w:pPr>
        <w:pStyle w:val="Bullet"/>
      </w:pPr>
      <w:r w:rsidRPr="00BD16B4">
        <w:t>improving support to businesses through better use of data and insights</w:t>
      </w:r>
    </w:p>
    <w:p w14:paraId="5427AEFF" w14:textId="77777777" w:rsidR="00CA1920" w:rsidRPr="00BD16B4" w:rsidRDefault="00CA1920" w:rsidP="00CA1920">
      <w:pPr>
        <w:pStyle w:val="Bullet"/>
      </w:pPr>
      <w:r w:rsidRPr="00BD16B4">
        <w:t>investigating new opportunities to support business sectors, and funding new technology opportunities</w:t>
      </w:r>
    </w:p>
    <w:p w14:paraId="117160EE" w14:textId="77777777" w:rsidR="00CA1920" w:rsidRPr="00BD16B4" w:rsidRDefault="00CA1920" w:rsidP="00CA1920">
      <w:pPr>
        <w:pStyle w:val="Bullet"/>
      </w:pPr>
      <w:r w:rsidRPr="00BD16B4">
        <w:t>fast-tracking investment into, and implementation of, projects that reduce business emissions through a co-investment approach</w:t>
      </w:r>
    </w:p>
    <w:p w14:paraId="45A03A57" w14:textId="77777777" w:rsidR="00CA1920" w:rsidRPr="00BD16B4" w:rsidRDefault="00CA1920" w:rsidP="00CA1920">
      <w:pPr>
        <w:pStyle w:val="Bullet"/>
      </w:pPr>
      <w:r w:rsidRPr="00BD16B4">
        <w:t>exploring new funding mechanisms to accelerate decarbonisation.</w:t>
      </w:r>
    </w:p>
    <w:p w14:paraId="2EEAF811" w14:textId="77777777" w:rsidR="00CA1920" w:rsidRPr="00BD16B4" w:rsidRDefault="00CA1920" w:rsidP="00CA1920">
      <w:pPr>
        <w:pStyle w:val="Heading5"/>
      </w:pPr>
      <w:bookmarkStart w:id="232" w:name="_Hlk118991926"/>
      <w:r w:rsidRPr="00BD16B4">
        <w:t>Government Investment in Decarbonising Industry</w:t>
      </w:r>
      <w:bookmarkEnd w:id="232"/>
      <w:r w:rsidRPr="00BD16B4">
        <w:t xml:space="preserve"> Fund</w:t>
      </w:r>
    </w:p>
    <w:p w14:paraId="073B8390" w14:textId="77777777" w:rsidR="00CA1920" w:rsidRPr="00BD16B4" w:rsidRDefault="00CA1920" w:rsidP="00CA1920">
      <w:pPr>
        <w:pStyle w:val="BodyText"/>
      </w:pPr>
      <w:bookmarkStart w:id="233" w:name="_Hlk116995859"/>
      <w:r w:rsidRPr="00BD16B4">
        <w:t>In 2020, the Government launched the Government Investment in Decarbonising Industry Fund. The GIDI Fund is a partnership between the Government and business administered by EECA to accelerate the decarbonisation of industrial process heat. This is achieved through assisting private sector businesses with the upfront capital costs of energy efficiency initiatives as well as switching from fossil fuels to renewables to accelerate their decarbonisation goals.</w:t>
      </w:r>
    </w:p>
    <w:p w14:paraId="1132E78F" w14:textId="7982885B" w:rsidR="00CA1920" w:rsidRPr="00BD16B4" w:rsidRDefault="00CA1920" w:rsidP="00CA1920">
      <w:pPr>
        <w:pStyle w:val="BodyText"/>
      </w:pPr>
      <w:r w:rsidRPr="00BD16B4">
        <w:t>The first iteration of the GIDI Fund was an NZ$69 million fund, which supported 53 projects with a combined estimated lifetime carbon abatement of 7.4 million tonnes, and which will all</w:t>
      </w:r>
      <w:r w:rsidR="003175F0" w:rsidRPr="00BD16B4">
        <w:t> </w:t>
      </w:r>
      <w:r w:rsidRPr="00BD16B4">
        <w:t xml:space="preserve">be fully commissioned by April 2024. </w:t>
      </w:r>
    </w:p>
    <w:p w14:paraId="68EA0DEC" w14:textId="22F25C82" w:rsidR="00CA1920" w:rsidRPr="00BD16B4" w:rsidRDefault="00CA1920" w:rsidP="00CA1920">
      <w:pPr>
        <w:pStyle w:val="BodyText"/>
      </w:pPr>
      <w:r w:rsidRPr="00BD16B4">
        <w:t>This initial demand for the GIDI Fund highlighted New Zealand businesses are committed to</w:t>
      </w:r>
      <w:r w:rsidR="003175F0" w:rsidRPr="00BD16B4">
        <w:t> </w:t>
      </w:r>
      <w:r w:rsidRPr="00BD16B4">
        <w:t>decarbonising and how working in partnership can effectively accelerate our country’s decarbonisation goals.</w:t>
      </w:r>
    </w:p>
    <w:p w14:paraId="762500AE" w14:textId="77777777" w:rsidR="00CA1920" w:rsidRPr="00BD16B4" w:rsidRDefault="00CA1920" w:rsidP="00C436ED">
      <w:pPr>
        <w:pStyle w:val="BodyText"/>
        <w:spacing w:after="100"/>
      </w:pPr>
      <w:r w:rsidRPr="00BD16B4">
        <w:lastRenderedPageBreak/>
        <w:t>In 2022 the New Zealand Government expanded the GIDI Fund and allocated approximately NZ$650 million over four years to directly support, enable and accelerate decarbonisation across the business sector. This will include:</w:t>
      </w:r>
    </w:p>
    <w:bookmarkEnd w:id="233"/>
    <w:p w14:paraId="04980D46" w14:textId="77777777" w:rsidR="00CA1920" w:rsidRPr="00BD16B4" w:rsidRDefault="00CA1920" w:rsidP="00C436ED">
      <w:pPr>
        <w:pStyle w:val="Bullet"/>
        <w:keepNext/>
        <w:spacing w:after="100"/>
      </w:pPr>
      <w:r w:rsidRPr="00BD16B4">
        <w:t>continued support for medium to large process heat decarbonisation projects</w:t>
      </w:r>
    </w:p>
    <w:p w14:paraId="5841E5DC" w14:textId="77777777" w:rsidR="00CA1920" w:rsidRPr="00BD16B4" w:rsidRDefault="00CA1920" w:rsidP="00C436ED">
      <w:pPr>
        <w:pStyle w:val="Bullet"/>
        <w:spacing w:after="100"/>
      </w:pPr>
      <w:r w:rsidRPr="00BD16B4">
        <w:t>additional support for branching into medium to small emitters, including for efficient equipment replacement, and decarbonisation of commercial space and water heating</w:t>
      </w:r>
    </w:p>
    <w:p w14:paraId="731C01EF" w14:textId="77777777" w:rsidR="00CA1920" w:rsidRPr="00BD16B4" w:rsidRDefault="00CA1920" w:rsidP="00C436ED">
      <w:pPr>
        <w:pStyle w:val="Bullet"/>
        <w:spacing w:after="100"/>
      </w:pPr>
      <w:r w:rsidRPr="00BD16B4">
        <w:t>working directly with New Zealand’s very largest emitters on their decarbonisation pathways and entering into bespoke arrangements for the fund to support them through the available funding</w:t>
      </w:r>
    </w:p>
    <w:p w14:paraId="148325F0" w14:textId="77777777" w:rsidR="00CA1920" w:rsidRPr="00BD16B4" w:rsidRDefault="00CA1920" w:rsidP="00CA1920">
      <w:pPr>
        <w:pStyle w:val="Bullet"/>
      </w:pPr>
      <w:r w:rsidRPr="00BD16B4">
        <w:t>investing more into necessary renewable fuel supply infrastructure (eg, enabling electricity or biomass infrastructure) where it will enable decarbonisation projects.</w:t>
      </w:r>
    </w:p>
    <w:p w14:paraId="06532243" w14:textId="77777777" w:rsidR="00CA1920" w:rsidRPr="00BD16B4" w:rsidRDefault="00CA1920" w:rsidP="00CA1920">
      <w:pPr>
        <w:pStyle w:val="Heading5"/>
      </w:pPr>
      <w:r w:rsidRPr="00BD16B4">
        <w:rPr>
          <w:rFonts w:eastAsia="Calibri"/>
        </w:rPr>
        <w:t xml:space="preserve">Energy Transition Accelerator programme </w:t>
      </w:r>
    </w:p>
    <w:p w14:paraId="3E560F0D" w14:textId="77777777" w:rsidR="00CA1920" w:rsidRPr="00BD16B4" w:rsidRDefault="00CA1920" w:rsidP="00C436ED">
      <w:pPr>
        <w:pStyle w:val="BodyText"/>
        <w:spacing w:before="100" w:after="100"/>
      </w:pPr>
      <w:r w:rsidRPr="00BD16B4">
        <w:t xml:space="preserve">The Energy Transition Accelerator (ETA) is an EECA programme available to large energy-using businesses and public sector organisations committed to reducing their carbon emissions. </w:t>
      </w:r>
    </w:p>
    <w:p w14:paraId="068C2DBC" w14:textId="77777777" w:rsidR="00CA1920" w:rsidRPr="00BD16B4" w:rsidRDefault="00CA1920" w:rsidP="00C436ED">
      <w:pPr>
        <w:pStyle w:val="BodyText"/>
        <w:spacing w:before="100" w:after="100"/>
      </w:pPr>
      <w:r w:rsidRPr="00BD16B4">
        <w:t xml:space="preserve">Under this programme, EECA works with large energy users to help them develop a tailored and practical long-term decarbonisation roadmap for transitioning. This shows large energy users what the technically and economically feasible opportunities are, including innovative technologies, energy-efficiency initiatives and fuel switching opportunities. Significant emissions reduction opportunities have been identified and are beginning to be realised. </w:t>
      </w:r>
    </w:p>
    <w:p w14:paraId="4AC327C3" w14:textId="77777777" w:rsidR="00CA1920" w:rsidRPr="00BD16B4" w:rsidRDefault="00CA1920" w:rsidP="00CA1920">
      <w:pPr>
        <w:pStyle w:val="Heading5"/>
        <w:rPr>
          <w:b/>
        </w:rPr>
      </w:pPr>
      <w:r w:rsidRPr="00BD16B4">
        <w:t xml:space="preserve">Technology demonstration programme </w:t>
      </w:r>
    </w:p>
    <w:p w14:paraId="3BD952F6" w14:textId="77777777" w:rsidR="00CA1920" w:rsidRPr="00BD16B4" w:rsidRDefault="00CA1920" w:rsidP="00CA1920">
      <w:pPr>
        <w:pStyle w:val="BodyText"/>
      </w:pPr>
      <w:r w:rsidRPr="00BD16B4">
        <w:t>The Technology demonstration programme helps businesses test new or underutilised energy</w:t>
      </w:r>
      <w:r w:rsidRPr="00BD16B4">
        <w:noBreakHyphen/>
        <w:t>saving technologies and process improvement opportunities that could also benefit the wider sector. This project supports both first and early adopters of new technologies to help accelerate market uptake of energy-efficient, low-carbon technologies. EECA provides co</w:t>
      </w:r>
      <w:r w:rsidRPr="00BD16B4">
        <w:noBreakHyphen/>
        <w:t>investment for project costs and shares the lessons learned with the business sector.</w:t>
      </w:r>
    </w:p>
    <w:p w14:paraId="1B506928" w14:textId="77777777" w:rsidR="00CA1920" w:rsidRPr="00BD16B4" w:rsidRDefault="00CA1920" w:rsidP="00CA1920">
      <w:pPr>
        <w:pStyle w:val="BodyText"/>
      </w:pPr>
      <w:r w:rsidRPr="00BD16B4">
        <w:t>The funding contributes to the cost of demonstrating proven technology or an innovative process improvement opportunity that has yet to be widely adopted in New Zealand. The project must improve energy efficiency and/or reduce carbon emissions. EECA pays up to 40 per cent of project costs, generally limited to NZ$100,000. For projects that result in energy and carbon savings through process heat technology or processes, funding can be up to NZ$250,000 or higher in exceptional circumstances.</w:t>
      </w:r>
    </w:p>
    <w:p w14:paraId="76DEE970" w14:textId="77777777" w:rsidR="00CA1920" w:rsidRPr="00BD16B4" w:rsidRDefault="00CA1920" w:rsidP="00CA1920">
      <w:pPr>
        <w:pStyle w:val="BodyText"/>
      </w:pPr>
      <w:r w:rsidRPr="00BD16B4">
        <w:rPr>
          <w:spacing w:val="-2"/>
        </w:rPr>
        <w:t>For example, high-temperature heat pump technologies that were supported by the Technology</w:t>
      </w:r>
      <w:r w:rsidRPr="00BD16B4">
        <w:t xml:space="preserve"> demonstration programme were adopted to replace fossil fuels in the food processing sector and also as a heat source for large buildings. Additionally, a demonstration biomass pellet conversion was adopted in Government-funded business decarbonisation projects.</w:t>
      </w:r>
    </w:p>
    <w:p w14:paraId="60AE5995" w14:textId="77777777" w:rsidR="00CA1920" w:rsidRPr="00BD16B4" w:rsidRDefault="00CA1920" w:rsidP="00CA1920">
      <w:pPr>
        <w:pStyle w:val="Heading5"/>
      </w:pPr>
      <w:r w:rsidRPr="00BD16B4">
        <w:t>Sector Decarbonisation Programme</w:t>
      </w:r>
    </w:p>
    <w:p w14:paraId="1BAF988D" w14:textId="77777777" w:rsidR="00CA1920" w:rsidRPr="00BD16B4" w:rsidRDefault="00CA1920" w:rsidP="00CA1920">
      <w:pPr>
        <w:pStyle w:val="BodyText"/>
      </w:pPr>
      <w:r w:rsidRPr="00BD16B4">
        <w:t>EECA’s Sector Decarbonisation Programme collaborates with sector associations and technical experts to connect New Zealand businesses with world-class innovation and best-practice guidance to decarbonise at a sector level. The programme also provides new businesses with best-practice knowledge when they enter the sector.</w:t>
      </w:r>
    </w:p>
    <w:p w14:paraId="3A7C1085" w14:textId="77777777" w:rsidR="00CA1920" w:rsidRPr="00BD16B4" w:rsidRDefault="00CA1920" w:rsidP="00CA1920">
      <w:pPr>
        <w:pStyle w:val="BodyText"/>
      </w:pPr>
      <w:r w:rsidRPr="00BD16B4">
        <w:t xml:space="preserve">The pilot Sector Decarbonisation Programme focused on the indoor cropping sector, with the aim to help create sector-wide decarbonisation pathways for businesses in this sector. </w:t>
      </w:r>
    </w:p>
    <w:p w14:paraId="44929A1B" w14:textId="77777777" w:rsidR="00CA1920" w:rsidRPr="00BD16B4" w:rsidRDefault="00CA1920" w:rsidP="004E1B8C">
      <w:pPr>
        <w:pStyle w:val="Heading4"/>
        <w:rPr>
          <w:rFonts w:eastAsia="Calibri"/>
        </w:rPr>
      </w:pPr>
      <w:r w:rsidRPr="00BD16B4">
        <w:rPr>
          <w:rFonts w:eastAsia="Calibri"/>
        </w:rPr>
        <w:lastRenderedPageBreak/>
        <w:t>Energy-efficient communities</w:t>
      </w:r>
    </w:p>
    <w:p w14:paraId="472EC4D7" w14:textId="77777777" w:rsidR="00CA1920" w:rsidRPr="00BD16B4" w:rsidRDefault="00CA1920" w:rsidP="00CA1920">
      <w:pPr>
        <w:pStyle w:val="Heading5"/>
      </w:pPr>
      <w:r w:rsidRPr="00BD16B4">
        <w:t>Gen Less</w:t>
      </w:r>
    </w:p>
    <w:p w14:paraId="68424D6F" w14:textId="77777777" w:rsidR="00CA1920" w:rsidRPr="00BD16B4" w:rsidRDefault="00CA1920" w:rsidP="00CA1920">
      <w:pPr>
        <w:pStyle w:val="BodyText"/>
        <w:rPr>
          <w:rFonts w:eastAsia="Calibri"/>
        </w:rPr>
      </w:pPr>
      <w:r w:rsidRPr="00BD16B4">
        <w:rPr>
          <w:rFonts w:eastAsia="Calibri"/>
        </w:rPr>
        <w:t>Following the conclusion of EECA’s successful Energy Spot campaign, EECA shifted its communications approach in 2019 in response to growing government priorities and public attention on climate change.</w:t>
      </w:r>
    </w:p>
    <w:p w14:paraId="52A199A7" w14:textId="77777777" w:rsidR="00CA1920" w:rsidRPr="00BD16B4" w:rsidRDefault="00CA1920" w:rsidP="00CA1920">
      <w:pPr>
        <w:pStyle w:val="BodyText"/>
        <w:rPr>
          <w:rFonts w:eastAsia="Calibri"/>
        </w:rPr>
      </w:pPr>
      <w:r w:rsidRPr="00BD16B4">
        <w:rPr>
          <w:rFonts w:eastAsia="Calibri"/>
        </w:rPr>
        <w:t xml:space="preserve">Gen Less was subsequently launched in October 2019 to help educate people and businesses about their energy choices and support the Government’s wider move towards a net zero carbon New Zealand by 2050. </w:t>
      </w:r>
    </w:p>
    <w:p w14:paraId="1C907EF3" w14:textId="77777777" w:rsidR="00CA1920" w:rsidRPr="00BD16B4" w:rsidRDefault="00CA1920" w:rsidP="00CA1920">
      <w:pPr>
        <w:pStyle w:val="BodyText"/>
        <w:rPr>
          <w:rFonts w:eastAsia="Calibri"/>
        </w:rPr>
      </w:pPr>
      <w:r w:rsidRPr="00BD16B4">
        <w:rPr>
          <w:rFonts w:eastAsia="Calibri"/>
        </w:rPr>
        <w:t>The Gen Less platform is run by EECA. The Gen Less website,</w:t>
      </w:r>
      <w:r w:rsidRPr="00BD16B4">
        <w:rPr>
          <w:rStyle w:val="FootnoteReference"/>
          <w:rFonts w:eastAsia="Calibri"/>
        </w:rPr>
        <w:footnoteReference w:id="167"/>
      </w:r>
      <w:r w:rsidRPr="00BD16B4">
        <w:rPr>
          <w:rFonts w:eastAsia="Calibri"/>
        </w:rPr>
        <w:t xml:space="preserve"> social media channels and direct mailing lists provide information about climate change and how to reduce energy-related emissions at individual, household and business levels. </w:t>
      </w:r>
    </w:p>
    <w:p w14:paraId="6E62FD9A" w14:textId="77777777" w:rsidR="00CA1920" w:rsidRPr="00BD16B4" w:rsidRDefault="00CA1920" w:rsidP="00CA1920">
      <w:pPr>
        <w:pStyle w:val="BodyText"/>
        <w:rPr>
          <w:rFonts w:eastAsia="Calibri"/>
        </w:rPr>
      </w:pPr>
      <w:r w:rsidRPr="00BD16B4">
        <w:rPr>
          <w:rFonts w:eastAsia="Calibri"/>
        </w:rPr>
        <w:t xml:space="preserve">Gen Less is based on extensive research into New Zealanders’ beliefs, attitudes and knowledge </w:t>
      </w:r>
      <w:r w:rsidRPr="00BD16B4">
        <w:rPr>
          <w:rFonts w:eastAsia="Calibri"/>
          <w:spacing w:val="-2"/>
        </w:rPr>
        <w:t>about climate change. It is advertised across television, radio, digital and outdoor billboard sites</w:t>
      </w:r>
      <w:r w:rsidRPr="00BD16B4">
        <w:rPr>
          <w:rFonts w:eastAsia="Calibri"/>
        </w:rPr>
        <w:t xml:space="preserve">. The ‘umbrella’ campaigns seek to capture New Zealanders’ attention by positioning climate change as something everyone can and should tackle together, now, while driving people to </w:t>
      </w:r>
      <w:r w:rsidRPr="00BD16B4">
        <w:rPr>
          <w:rFonts w:eastAsia="Calibri"/>
          <w:spacing w:val="-2"/>
        </w:rPr>
        <w:t>the website and other channels where they can get information relevant to their circumstances.</w:t>
      </w:r>
    </w:p>
    <w:p w14:paraId="66A7E82A" w14:textId="77777777" w:rsidR="00CA1920" w:rsidRPr="00BD16B4" w:rsidRDefault="00CA1920" w:rsidP="00CA1920">
      <w:pPr>
        <w:pStyle w:val="BodyText"/>
        <w:rPr>
          <w:rFonts w:eastAsia="Calibri"/>
        </w:rPr>
      </w:pPr>
      <w:r w:rsidRPr="00BD16B4">
        <w:rPr>
          <w:rFonts w:eastAsia="Calibri"/>
        </w:rPr>
        <w:t>There have been a number of ‘sub-campaigns’, targeting businesses, particularly small to medium enterprises, and transport behaviours, encouraging mode shift and the uptake of electric vehicles (see chapter 9 for more detail).</w:t>
      </w:r>
    </w:p>
    <w:p w14:paraId="528290C3" w14:textId="77777777" w:rsidR="00CA1920" w:rsidRPr="00BD16B4" w:rsidRDefault="00CA1920" w:rsidP="00CA1920">
      <w:pPr>
        <w:pStyle w:val="Heading5"/>
        <w:rPr>
          <w:rFonts w:eastAsia="Calibri"/>
        </w:rPr>
      </w:pPr>
      <w:r w:rsidRPr="00BD16B4">
        <w:rPr>
          <w:rFonts w:eastAsia="Calibri"/>
        </w:rPr>
        <w:t>Support for Energy Education in Communities Programme</w:t>
      </w:r>
    </w:p>
    <w:p w14:paraId="75F86C31" w14:textId="40AD21A8" w:rsidR="00CA1920" w:rsidRPr="00BD16B4" w:rsidRDefault="00CA1920" w:rsidP="00CA1920">
      <w:pPr>
        <w:pStyle w:val="BodyText"/>
        <w:rPr>
          <w:rFonts w:eastAsia="Calibri"/>
        </w:rPr>
      </w:pPr>
      <w:r w:rsidRPr="00BD16B4">
        <w:rPr>
          <w:rFonts w:eastAsia="Calibri"/>
        </w:rPr>
        <w:t xml:space="preserve">The </w:t>
      </w:r>
      <w:bookmarkStart w:id="234" w:name="_Hlk119062324"/>
      <w:r w:rsidRPr="00BD16B4">
        <w:rPr>
          <w:rFonts w:eastAsia="Calibri"/>
        </w:rPr>
        <w:t>Support for Energy Education in Communities</w:t>
      </w:r>
      <w:bookmarkEnd w:id="234"/>
      <w:r w:rsidRPr="00BD16B4">
        <w:rPr>
          <w:rFonts w:eastAsia="Calibri"/>
        </w:rPr>
        <w:t xml:space="preserve"> (SEEC) Programme</w:t>
      </w:r>
      <w:r w:rsidR="005E5C93" w:rsidRPr="00BD16B4">
        <w:rPr>
          <w:rStyle w:val="FootnoteReference"/>
          <w:rFonts w:eastAsia="Calibri"/>
        </w:rPr>
        <w:footnoteReference w:id="168"/>
      </w:r>
      <w:r w:rsidRPr="00BD16B4">
        <w:rPr>
          <w:rFonts w:eastAsia="Calibri"/>
        </w:rPr>
        <w:t xml:space="preserve"> is part of a suite of Government initiatives to lift people out of energy hardship. The programme is part of an NZ$17 million four-year package from the Government’s COVID-19 Response and Recovery Fund, announced in August 2020 to reduce energy hardship and strengthen the consumer voice. </w:t>
      </w:r>
    </w:p>
    <w:p w14:paraId="565B8E75" w14:textId="77777777" w:rsidR="00CA1920" w:rsidRPr="00BD16B4" w:rsidRDefault="00CA1920" w:rsidP="00CA1920">
      <w:pPr>
        <w:pStyle w:val="BodyText"/>
        <w:rPr>
          <w:rFonts w:eastAsia="Calibri"/>
        </w:rPr>
      </w:pPr>
      <w:r w:rsidRPr="00BD16B4">
        <w:rPr>
          <w:rFonts w:eastAsia="Calibri"/>
        </w:rPr>
        <w:t>The SEEC Programme includes funding to build and expand the network of services to support people experiencing energy hardship achieve warmer, more energy-efficient homes and lower their energy bills.</w:t>
      </w:r>
    </w:p>
    <w:p w14:paraId="117505AF" w14:textId="77777777" w:rsidR="00CA1920" w:rsidRPr="00BD16B4" w:rsidRDefault="00CA1920" w:rsidP="00CA1920">
      <w:pPr>
        <w:pStyle w:val="BodyText"/>
        <w:rPr>
          <w:rFonts w:eastAsia="Calibri"/>
        </w:rPr>
      </w:pPr>
      <w:r w:rsidRPr="00BD16B4">
        <w:rPr>
          <w:rFonts w:eastAsia="Calibri"/>
        </w:rPr>
        <w:t>Funding is available to eligible community-level groups, organisations or businesses, and will be primarily allocated through a regular open process. The first funding round opened in December 2020. The funding is to contribute to the provision of personalised, specialist advice and education to households in energy hardship, and purchasing low-cost, energy-saving equipment and devices.</w:t>
      </w:r>
    </w:p>
    <w:p w14:paraId="5167C29F" w14:textId="77777777" w:rsidR="00CA1920" w:rsidRPr="00BD16B4" w:rsidRDefault="00CA1920" w:rsidP="00CA1920">
      <w:pPr>
        <w:pStyle w:val="BodyText"/>
        <w:rPr>
          <w:rFonts w:eastAsia="Calibri"/>
        </w:rPr>
      </w:pPr>
      <w:r w:rsidRPr="00BD16B4">
        <w:rPr>
          <w:rFonts w:eastAsia="Calibri"/>
        </w:rPr>
        <w:t>The SEEC Programme complements other initiatives across government, the community and private sector that focus on making homes warmer and more energy efficient. The SEEC Programme consists of the SEEC Fund and the associated SEEC Equipment and Devices Fund.</w:t>
      </w:r>
      <w:r w:rsidRPr="00BD16B4" w:rsidDel="009D693F">
        <w:rPr>
          <w:rFonts w:eastAsia="Calibri"/>
        </w:rPr>
        <w:t xml:space="preserve"> </w:t>
      </w:r>
    </w:p>
    <w:p w14:paraId="14A22282" w14:textId="77777777" w:rsidR="00CA1920" w:rsidRPr="00BD16B4" w:rsidRDefault="00CA1920" w:rsidP="004E1B8C">
      <w:pPr>
        <w:pStyle w:val="Heading4"/>
        <w:rPr>
          <w:rFonts w:eastAsia="Calibri"/>
        </w:rPr>
      </w:pPr>
      <w:r w:rsidRPr="00BD16B4">
        <w:rPr>
          <w:rFonts w:eastAsia="Calibri"/>
        </w:rPr>
        <w:lastRenderedPageBreak/>
        <w:t>Further programmes to improve the energy system</w:t>
      </w:r>
    </w:p>
    <w:p w14:paraId="2B12996A" w14:textId="77777777" w:rsidR="00CA1920" w:rsidRPr="00BD16B4" w:rsidRDefault="00CA1920" w:rsidP="00CA1920">
      <w:pPr>
        <w:pStyle w:val="Heading5"/>
        <w:rPr>
          <w:rFonts w:eastAsia="Calibri"/>
        </w:rPr>
      </w:pPr>
      <w:r w:rsidRPr="00BD16B4">
        <w:rPr>
          <w:rFonts w:eastAsia="Calibri"/>
        </w:rPr>
        <w:t xml:space="preserve">Māori and Public Housing Renewable Energy Fund </w:t>
      </w:r>
    </w:p>
    <w:p w14:paraId="0394363A" w14:textId="77777777" w:rsidR="00CA1920" w:rsidRPr="00BD16B4" w:rsidRDefault="00CA1920" w:rsidP="00CA1920">
      <w:pPr>
        <w:pStyle w:val="BodyText"/>
        <w:spacing w:before="100"/>
        <w:rPr>
          <w:rFonts w:eastAsia="Calibri"/>
        </w:rPr>
      </w:pPr>
      <w:r w:rsidRPr="00BD16B4">
        <w:rPr>
          <w:rFonts w:eastAsia="Calibri"/>
        </w:rPr>
        <w:t xml:space="preserve">This fund trials community-scale renewable technologies on Māori and public housing. These include technologies such as modern geothermal, solar panels and batteries. The most recent round made funding available for larger, more complex, renewable energy technologies, such as small-scale hydro, wind energy generation and projects integrating remote distribution and retail solutions. </w:t>
      </w:r>
    </w:p>
    <w:p w14:paraId="67F103D1" w14:textId="77777777" w:rsidR="00CA1920" w:rsidRPr="00BD16B4" w:rsidRDefault="00CA1920" w:rsidP="00CA1920">
      <w:pPr>
        <w:pStyle w:val="BodyText"/>
        <w:spacing w:before="100"/>
        <w:rPr>
          <w:rFonts w:eastAsia="Calibri"/>
        </w:rPr>
      </w:pPr>
      <w:r w:rsidRPr="00BD16B4">
        <w:rPr>
          <w:rFonts w:eastAsia="Calibri"/>
        </w:rPr>
        <w:t>In May 2022, the Government announced NZ$16 million over four years to support small-scale community renewable energy projects. This builds on and expands the successful Māori and Public Housing Renewable Energy Fund and aims to support low-income communities or communities with insecure access to energy.</w:t>
      </w:r>
    </w:p>
    <w:p w14:paraId="242C6456" w14:textId="77777777" w:rsidR="00CA1920" w:rsidRPr="00BD16B4" w:rsidRDefault="00CA1920" w:rsidP="00CA1920">
      <w:pPr>
        <w:pStyle w:val="Heading5"/>
        <w:rPr>
          <w:rFonts w:eastAsia="Calibri"/>
        </w:rPr>
      </w:pPr>
      <w:r w:rsidRPr="00BD16B4">
        <w:rPr>
          <w:rFonts w:eastAsia="Calibri"/>
        </w:rPr>
        <w:t>New Zealand Battery Project</w:t>
      </w:r>
    </w:p>
    <w:p w14:paraId="5611F0F0" w14:textId="77777777" w:rsidR="00CA1920" w:rsidRPr="00BD16B4" w:rsidRDefault="00CA1920" w:rsidP="00CA1920">
      <w:pPr>
        <w:pStyle w:val="BodyText"/>
        <w:spacing w:after="100"/>
        <w:rPr>
          <w:rFonts w:eastAsia="Calibri"/>
        </w:rPr>
      </w:pPr>
      <w:r w:rsidRPr="00BD16B4">
        <w:rPr>
          <w:rFonts w:eastAsia="Calibri"/>
        </w:rPr>
        <w:t xml:space="preserve">The New Zealand Battery Project is investigating solutions to the ‘dry year problem’ when hydro catchments are low and fossil fuels are used to generate electricity to cover the shortfall. The New Zealand Battery Project will provide comprehensive advice on the technical, environmental and commercial feasibility of pumped hydro and other potential energy storage projects to mitigate the dry year problem. </w:t>
      </w:r>
    </w:p>
    <w:p w14:paraId="0954FBC9" w14:textId="77777777" w:rsidR="00CA1920" w:rsidRPr="00BD16B4" w:rsidRDefault="00CA1920" w:rsidP="00CA1920">
      <w:pPr>
        <w:pStyle w:val="BodyText"/>
        <w:spacing w:after="100"/>
        <w:rPr>
          <w:rFonts w:eastAsia="Calibri"/>
        </w:rPr>
      </w:pPr>
      <w:r w:rsidRPr="00BD16B4">
        <w:rPr>
          <w:rFonts w:eastAsia="Calibri"/>
        </w:rPr>
        <w:t xml:space="preserve">The project’s first phase includes evaluating the viability of pumped hydro schemes of various sizes at Lake Onslow, as well as at other possible locations around the country. The project is also considering the viability of three other technologies: flexible geothermal, hydrogen and biofuels. </w:t>
      </w:r>
    </w:p>
    <w:p w14:paraId="1C4C0445" w14:textId="77777777" w:rsidR="00CA1920" w:rsidRPr="00BD16B4" w:rsidRDefault="00CA1920" w:rsidP="00CA1920">
      <w:pPr>
        <w:pStyle w:val="BodyText"/>
        <w:spacing w:after="100"/>
      </w:pPr>
      <w:r w:rsidRPr="00BD16B4">
        <w:rPr>
          <w:rFonts w:eastAsia="Calibri"/>
        </w:rPr>
        <w:t>The New Zealand Battery Project will help to achieve the Government’s target of 50 per cent of total final energy consumption coming from renewable sources and the aspirational target of 100 per cent renewable electricity generation by 2030.</w:t>
      </w:r>
    </w:p>
    <w:p w14:paraId="2B4C9206" w14:textId="77777777" w:rsidR="00CA1920" w:rsidRPr="00BD16B4" w:rsidRDefault="00CA1920" w:rsidP="00CA1920">
      <w:pPr>
        <w:pStyle w:val="Heading3"/>
        <w:rPr>
          <w:rFonts w:eastAsia="Calibri"/>
        </w:rPr>
      </w:pPr>
      <w:r w:rsidRPr="00BD16B4">
        <w:rPr>
          <w:rFonts w:eastAsia="Calibri"/>
        </w:rPr>
        <w:t xml:space="preserve">4.3.3 </w:t>
      </w:r>
      <w:r w:rsidRPr="00BD16B4">
        <w:rPr>
          <w:rFonts w:eastAsia="Calibri"/>
        </w:rPr>
        <w:tab/>
        <w:t>Building and construction</w:t>
      </w:r>
    </w:p>
    <w:p w14:paraId="338ACA8B" w14:textId="77777777" w:rsidR="00CA1920" w:rsidRPr="00BD16B4" w:rsidRDefault="00CA1920" w:rsidP="00CA1920">
      <w:pPr>
        <w:pStyle w:val="BodyText"/>
        <w:spacing w:after="100"/>
      </w:pPr>
      <w:r w:rsidRPr="00BD16B4">
        <w:t>In 2018, nearly 9.4 per cent of domestic emissions were building-related. These emissions are largely accounted for in the energy and industry, transport and waste sectors and include:</w:t>
      </w:r>
    </w:p>
    <w:p w14:paraId="6E891295" w14:textId="77777777" w:rsidR="00CA1920" w:rsidRPr="00BD16B4" w:rsidRDefault="00CA1920" w:rsidP="00CA1920">
      <w:pPr>
        <w:pStyle w:val="Bullet"/>
        <w:spacing w:after="100"/>
      </w:pPr>
      <w:r w:rsidRPr="00BD16B4">
        <w:t>operational emissions – from the energy and other resources used when operating a building</w:t>
      </w:r>
    </w:p>
    <w:p w14:paraId="1B9AC109" w14:textId="77777777" w:rsidR="00CA1920" w:rsidRPr="00BD16B4" w:rsidRDefault="00CA1920" w:rsidP="00CA1920">
      <w:pPr>
        <w:pStyle w:val="Bullet"/>
        <w:spacing w:after="100"/>
      </w:pPr>
      <w:r w:rsidRPr="00BD16B4">
        <w:t>embodied carbon – emissions from the manufacture, transport, use and disposal of the materials and products used in a building across its life, from construction and maintenance to deconstruction.</w:t>
      </w:r>
    </w:p>
    <w:p w14:paraId="1AEC471F" w14:textId="37225A24" w:rsidR="00CA1920" w:rsidRPr="00BD16B4" w:rsidRDefault="00CA1920" w:rsidP="00CA1920">
      <w:pPr>
        <w:pStyle w:val="BodyText"/>
      </w:pPr>
      <w:r w:rsidRPr="00BD16B4">
        <w:t>MBIE’s Building for Climate Change programme</w:t>
      </w:r>
      <w:r w:rsidRPr="00BD16B4">
        <w:rPr>
          <w:rStyle w:val="FootnoteReference"/>
        </w:rPr>
        <w:footnoteReference w:id="169"/>
      </w:r>
      <w:r w:rsidRPr="00BD16B4">
        <w:t xml:space="preserve"> is leading a range of legislative, regulatory and technical actions across Government and industry to reduce the building and construction sector’s emissions and support warmer, drier and healthier homes and buildings. Given the</w:t>
      </w:r>
      <w:r w:rsidR="00D52AA0" w:rsidRPr="00BD16B4">
        <w:t> </w:t>
      </w:r>
      <w:r w:rsidRPr="00BD16B4">
        <w:t xml:space="preserve">number of new buildings designed and constructed in New Zealand each year, these requirements have the potential to contribute to significant levels of emissions reductions over time. </w:t>
      </w:r>
    </w:p>
    <w:p w14:paraId="7571235C" w14:textId="5863E436" w:rsidR="00CA1920" w:rsidRPr="00BD16B4" w:rsidRDefault="00CA1920" w:rsidP="00CA1920">
      <w:pPr>
        <w:pStyle w:val="BodyText"/>
      </w:pPr>
      <w:r w:rsidRPr="00BD16B4">
        <w:lastRenderedPageBreak/>
        <w:t>As buildings are long-lived and have a significant impact on the economy and New Zealanders’ wellbeing, this work is important to get right. As we reduce our emissions and build New</w:t>
      </w:r>
      <w:r w:rsidR="003175F0" w:rsidRPr="00BD16B4">
        <w:t> </w:t>
      </w:r>
      <w:r w:rsidRPr="00BD16B4">
        <w:t>Zealand’s circular economy and bioeconomy, we can expect healthier homes, less reliance on global supply chains for construction materials and more sustainable living.</w:t>
      </w:r>
    </w:p>
    <w:p w14:paraId="10667BFB" w14:textId="77777777" w:rsidR="00CA1920" w:rsidRPr="00BD16B4" w:rsidRDefault="00CA1920" w:rsidP="00CA1920">
      <w:pPr>
        <w:pStyle w:val="BodyText"/>
      </w:pPr>
      <w:r w:rsidRPr="00BD16B4">
        <w:t>The Government has made significant investments to lift buildings’ energy efficiency, improve their quality and drive down energy costs</w:t>
      </w:r>
      <w:r w:rsidRPr="00BD16B4" w:rsidDel="00D620BC">
        <w:t xml:space="preserve">: </w:t>
      </w:r>
    </w:p>
    <w:p w14:paraId="46AF13E4" w14:textId="77777777" w:rsidR="00CA1920" w:rsidRPr="00BD16B4" w:rsidRDefault="00CA1920" w:rsidP="00CA1920">
      <w:pPr>
        <w:pStyle w:val="Bullet"/>
      </w:pPr>
      <w:r w:rsidRPr="00BD16B4">
        <w:t>EECA has delivered more than 90,000 insulation and heating retrofits for low-income homeowners under the Warmer Kiwi Homes programme since July 2018. The programme helps ensure low-income homeowners have warmer, drier, healthier and more energy-efficient homes.</w:t>
      </w:r>
    </w:p>
    <w:p w14:paraId="459AE526" w14:textId="77777777" w:rsidR="00CA1920" w:rsidRPr="00BD16B4" w:rsidRDefault="00CA1920" w:rsidP="00CA1920">
      <w:pPr>
        <w:pStyle w:val="Bullet"/>
      </w:pPr>
      <w:r w:rsidRPr="00BD16B4">
        <w:t>In 2021, MBIE progressed changes to Building Code compliance pathways that increased the minimum requirements for insulation in new homes and buildings.</w:t>
      </w:r>
      <w:r w:rsidRPr="00BD16B4">
        <w:rPr>
          <w:color w:val="FF0000"/>
        </w:rPr>
        <w:t xml:space="preserve"> </w:t>
      </w:r>
      <w:r w:rsidRPr="00BD16B4">
        <w:t>These changes will deliver warmer, drier, healthier and energy-efficient homes that cost significantly less to heat.</w:t>
      </w:r>
    </w:p>
    <w:p w14:paraId="6255BC0B" w14:textId="77777777" w:rsidR="00CA1920" w:rsidRPr="00BD16B4" w:rsidRDefault="00CA1920" w:rsidP="00CA1920">
      <w:pPr>
        <w:pStyle w:val="Bullet"/>
      </w:pPr>
      <w:r w:rsidRPr="00BD16B4">
        <w:t>In Budget 2022 Government allocated NZ$40 million for commercial space and water heating decarbonisation through the GIDI Fund.</w:t>
      </w:r>
    </w:p>
    <w:p w14:paraId="0E1BD8A7" w14:textId="77777777" w:rsidR="00CA1920" w:rsidRPr="00BD16B4" w:rsidRDefault="00CA1920" w:rsidP="00CA1920">
      <w:pPr>
        <w:pStyle w:val="BodyText"/>
        <w:spacing w:after="240"/>
      </w:pPr>
      <w:r w:rsidRPr="00BD16B4">
        <w:t>More opportunities are being realised as shown in the box below.</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A1920" w:rsidRPr="00BD16B4" w14:paraId="47322A8E" w14:textId="77777777" w:rsidTr="002D166E">
        <w:tc>
          <w:tcPr>
            <w:tcW w:w="0" w:type="auto"/>
            <w:shd w:val="clear" w:color="auto" w:fill="D2DDE2"/>
          </w:tcPr>
          <w:p w14:paraId="5D532C4C" w14:textId="77777777" w:rsidR="00CA1920" w:rsidRPr="00BD16B4" w:rsidRDefault="00CA1920" w:rsidP="002D166E">
            <w:pPr>
              <w:pStyle w:val="Boxheading"/>
              <w:spacing w:after="120"/>
            </w:pPr>
            <w:r w:rsidRPr="00BD16B4">
              <w:rPr>
                <w:iCs/>
              </w:rPr>
              <w:t>Key actions in</w:t>
            </w:r>
            <w:r w:rsidRPr="00BD16B4">
              <w:t xml:space="preserve"> the emissions reduction plan</w:t>
            </w:r>
          </w:p>
          <w:p w14:paraId="5AD75133" w14:textId="77777777" w:rsidR="00CA1920" w:rsidRPr="00BD16B4" w:rsidRDefault="00CA1920" w:rsidP="002D166E">
            <w:pPr>
              <w:pStyle w:val="Boxbullet"/>
              <w:rPr>
                <w:b/>
              </w:rPr>
            </w:pPr>
            <w:r w:rsidRPr="00BD16B4">
              <w:t>Reduce the embodied carbon of construction materials by supporting innovation and regulating to promote the use of low-emissions building design and materials.</w:t>
            </w:r>
          </w:p>
          <w:p w14:paraId="1152F975" w14:textId="77777777" w:rsidR="00CA1920" w:rsidRPr="00BD16B4" w:rsidRDefault="00CA1920" w:rsidP="002D166E">
            <w:pPr>
              <w:pStyle w:val="Boxbullet"/>
              <w:rPr>
                <w:b/>
              </w:rPr>
            </w:pPr>
            <w:r w:rsidRPr="00BD16B4">
              <w:t>Accelerate the shift to low-emissions buildings by promoting good examples, providing incentives and supporting the use of low-emissions practices.</w:t>
            </w:r>
          </w:p>
          <w:p w14:paraId="3738AE82" w14:textId="77777777" w:rsidR="00CA1920" w:rsidRPr="00BD16B4" w:rsidRDefault="00CA1920" w:rsidP="002D166E">
            <w:pPr>
              <w:pStyle w:val="Boxbullet"/>
              <w:rPr>
                <w:b/>
              </w:rPr>
            </w:pPr>
            <w:r w:rsidRPr="00BD16B4">
              <w:t>Improve building energy efficiency by amending the Building Code and measuring energy performance to ensure buildings are designed, and retrofitted, to use less energy for heating and cooling.</w:t>
            </w:r>
          </w:p>
          <w:p w14:paraId="148B8320" w14:textId="77777777" w:rsidR="00CA1920" w:rsidRPr="00BD16B4" w:rsidRDefault="00CA1920" w:rsidP="002D166E">
            <w:pPr>
              <w:pStyle w:val="Boxbullet"/>
              <w:spacing w:after="180"/>
            </w:pPr>
            <w:r w:rsidRPr="00BD16B4">
              <w:t>Establish foundations for future emissions reduction by improving emissions data for buildings and materials, building relationships with Māori, and progressing behaviour change and workforce transition programmes.</w:t>
            </w:r>
          </w:p>
        </w:tc>
      </w:tr>
    </w:tbl>
    <w:p w14:paraId="6A9771CF" w14:textId="77777777" w:rsidR="00CA1920" w:rsidRPr="00BD16B4" w:rsidRDefault="00CA1920" w:rsidP="00CA1920">
      <w:pPr>
        <w:pStyle w:val="Heading5"/>
        <w:spacing w:before="440"/>
        <w:rPr>
          <w:rFonts w:eastAsia="Calibri"/>
        </w:rPr>
      </w:pPr>
      <w:r w:rsidRPr="00BD16B4">
        <w:rPr>
          <w:rFonts w:eastAsia="Calibri"/>
        </w:rPr>
        <w:t>Improving energy efficiency and reducing embodied carbon</w:t>
      </w:r>
    </w:p>
    <w:p w14:paraId="4EF60570" w14:textId="77777777" w:rsidR="00CA1920" w:rsidRPr="00BD16B4" w:rsidRDefault="00CA1920" w:rsidP="00CA1920">
      <w:pPr>
        <w:pStyle w:val="BodyText"/>
      </w:pPr>
      <w:r w:rsidRPr="00BD16B4">
        <w:t>Building on frameworks released in 2020</w:t>
      </w:r>
      <w:r w:rsidRPr="00BD16B4">
        <w:rPr>
          <w:rStyle w:val="FootnoteReference"/>
        </w:rPr>
        <w:footnoteReference w:id="170"/>
      </w:r>
      <w:r w:rsidRPr="00BD16B4">
        <w:t xml:space="preserve"> and recent increases to minimum insulation requirements, the Building for Climate Change programme is developing proposals to introduce operational efficiency and embodied carbon reporting requirements for new buildings. It is also proposed that over time, buildings may need to meet caps on embodied carbon and emissions from energy usage. It is anticipated people will be able to choose how they meet these caps rather than specifying the design or </w:t>
      </w:r>
      <w:r w:rsidRPr="00BD16B4">
        <w:rPr>
          <w:rFonts w:eastAsia="Calibri"/>
        </w:rPr>
        <w:t>systems</w:t>
      </w:r>
      <w:r w:rsidRPr="00BD16B4">
        <w:t xml:space="preserve"> to be used (or not used) for heating, construction, deconstruction and so on. Public consultation on proposed options is expected to take place in 2023. </w:t>
      </w:r>
    </w:p>
    <w:p w14:paraId="4F3B8176" w14:textId="77777777" w:rsidR="00CA1920" w:rsidRPr="00BD16B4" w:rsidRDefault="00CA1920" w:rsidP="00CA1920">
      <w:pPr>
        <w:pStyle w:val="BodyText"/>
        <w:keepLines/>
      </w:pPr>
      <w:r w:rsidRPr="00BD16B4">
        <w:lastRenderedPageBreak/>
        <w:t>Requirements for waste minimisation plans to be developed as a prerequisite for receiving a building consent are also being explored. These could support people to design waste out of their buildings, reduce waste going to landfill, and contribute to the development of end-markets for reused or recycled building materials.</w:t>
      </w:r>
    </w:p>
    <w:p w14:paraId="38E27BA9" w14:textId="77777777" w:rsidR="00CA1920" w:rsidRPr="00BD16B4" w:rsidRDefault="00CA1920" w:rsidP="00CA1920">
      <w:pPr>
        <w:pStyle w:val="Heading5"/>
        <w:rPr>
          <w:rFonts w:eastAsia="Calibri"/>
        </w:rPr>
      </w:pPr>
      <w:r w:rsidRPr="00BD16B4">
        <w:rPr>
          <w:rFonts w:eastAsia="Calibri"/>
        </w:rPr>
        <w:t>Energy performance ratings</w:t>
      </w:r>
    </w:p>
    <w:p w14:paraId="63AEDC88" w14:textId="77777777" w:rsidR="00CA1920" w:rsidRPr="00BD16B4" w:rsidRDefault="00CA1920" w:rsidP="00CA1920">
      <w:pPr>
        <w:pStyle w:val="BodyText"/>
      </w:pPr>
      <w:r w:rsidRPr="00BD16B4">
        <w:t>New Zealand does not have a comprehensive compulsory building certification system in contrast to many other countries. A number of voluntary systems are in place, such as Homestar,</w:t>
      </w:r>
      <w:r w:rsidRPr="00BD16B4">
        <w:rPr>
          <w:rStyle w:val="FootnoteReference"/>
        </w:rPr>
        <w:footnoteReference w:id="171"/>
      </w:r>
      <w:r w:rsidRPr="00BD16B4">
        <w:t xml:space="preserve"> Green Star,</w:t>
      </w:r>
      <w:r w:rsidRPr="00BD16B4">
        <w:rPr>
          <w:rStyle w:val="FootnoteReference"/>
        </w:rPr>
        <w:footnoteReference w:id="172"/>
      </w:r>
      <w:r w:rsidRPr="00BD16B4">
        <w:t xml:space="preserve"> NABERSNZ</w:t>
      </w:r>
      <w:r w:rsidRPr="00BD16B4">
        <w:rPr>
          <w:rStyle w:val="FootnoteReference"/>
        </w:rPr>
        <w:footnoteReference w:id="173"/>
      </w:r>
      <w:r w:rsidRPr="00BD16B4">
        <w:t xml:space="preserve"> and Passive House.</w:t>
      </w:r>
      <w:r w:rsidRPr="00BD16B4">
        <w:rPr>
          <w:rStyle w:val="FootnoteReference"/>
        </w:rPr>
        <w:footnoteReference w:id="174"/>
      </w:r>
      <w:r w:rsidRPr="00BD16B4">
        <w:t xml:space="preserve"> These have limited but increasing uptake across the sector.</w:t>
      </w:r>
    </w:p>
    <w:p w14:paraId="464F3AF4" w14:textId="77777777" w:rsidR="00CA1920" w:rsidRPr="00BD16B4" w:rsidRDefault="00CA1920" w:rsidP="00CA1920">
      <w:pPr>
        <w:pStyle w:val="BodyText"/>
      </w:pPr>
      <w:r w:rsidRPr="00BD16B4">
        <w:t xml:space="preserve">The Building for Climate Change programme is exploring the introduction of mandatory ratings for certain building types, which could require new and existing buildings to hold and display a current energy performance rating. Building energy ratings can incentivise building owners to invest in improvements to their buildings’ energy usage, as a higher rating potentially provides reward in the </w:t>
      </w:r>
      <w:r w:rsidRPr="00BD16B4">
        <w:rPr>
          <w:rFonts w:eastAsia="Calibri" w:cs="Calibri"/>
        </w:rPr>
        <w:t>market</w:t>
      </w:r>
      <w:r w:rsidRPr="00BD16B4">
        <w:t>. Building rating schemes can also contribute to effectively reducing buildings’ energy use and costs. Commercial buildings use 21 per cent of New Zealand’s electricity, costing business NZ$800 million every year. On average, building energy performance could be improved by 20–25 per cent.</w:t>
      </w:r>
      <w:r w:rsidRPr="00BD16B4">
        <w:rPr>
          <w:rStyle w:val="FootnoteReference"/>
        </w:rPr>
        <w:footnoteReference w:id="175"/>
      </w:r>
      <w:r w:rsidRPr="00BD16B4">
        <w:t xml:space="preserve"> The proposed energy performance ratings could initially apply to commercial, public, industrial and large-scale residential buildings, with application to residential buildings to be explored in the future.</w:t>
      </w:r>
    </w:p>
    <w:p w14:paraId="68956B8B" w14:textId="77777777" w:rsidR="00CA1920" w:rsidRPr="00BD16B4" w:rsidRDefault="00CA1920" w:rsidP="00B1745B">
      <w:pPr>
        <w:pStyle w:val="Heading6"/>
      </w:pPr>
      <w:r w:rsidRPr="00BD16B4">
        <w:t>National Australian Built Environment Rating System – New Zealand</w:t>
      </w:r>
    </w:p>
    <w:p w14:paraId="474BA995" w14:textId="77777777" w:rsidR="00CA1920" w:rsidRPr="00BD16B4" w:rsidRDefault="00CA1920" w:rsidP="00CA1920">
      <w:pPr>
        <w:pStyle w:val="BodyText"/>
      </w:pPr>
      <w:r w:rsidRPr="00BD16B4" w:rsidDel="00E121C8">
        <w:t>NABERSNZ</w:t>
      </w:r>
      <w:r w:rsidRPr="00BD16B4">
        <w:t xml:space="preserve"> is an existing voluntary building rating system that can help owners and tenants to reduce energy use and costs and reduce greenhouse gas emissions. The NABERSNZ tool is designed to rate and improve the energy efficiency of New Zealand’s office buildings. A NABERSNZ Certified Rating gives a star rating, from 0 to 6, that shows a building’s energy performance compared with others. This helps building owners and tenants to understand, compare and improve energy performance. </w:t>
      </w:r>
    </w:p>
    <w:p w14:paraId="3CB59D29" w14:textId="77777777" w:rsidR="00CA1920" w:rsidRPr="00BD16B4" w:rsidRDefault="00CA1920" w:rsidP="00CA1920">
      <w:pPr>
        <w:pStyle w:val="BodyText"/>
      </w:pPr>
      <w:r w:rsidRPr="00BD16B4">
        <w:t>There are three kinds of ratings. A ‘base build’ rating measures the energy performance of a building’s core services including lifts, stairwell lighting, common toilets, air conditioning and ventilation.</w:t>
      </w:r>
      <w:r w:rsidRPr="00BD16B4" w:rsidDel="00577AEA">
        <w:t xml:space="preserve"> </w:t>
      </w:r>
      <w:r w:rsidRPr="00BD16B4">
        <w:t>A ‘tenancy’ rating measures just the floors/areas occupied exclusively by the tenant, including energy use such as computers, lighting, data centres and staff kitchens. A ‘whole building’ rating combines base building and tenancy.</w:t>
      </w:r>
    </w:p>
    <w:p w14:paraId="1E5AF42E" w14:textId="77777777" w:rsidR="00CA1920" w:rsidRPr="00BD16B4" w:rsidRDefault="00CA1920" w:rsidP="00CA1920">
      <w:pPr>
        <w:pStyle w:val="Heading5"/>
        <w:rPr>
          <w:rFonts w:eastAsia="Calibri"/>
        </w:rPr>
      </w:pPr>
      <w:r w:rsidRPr="00BD16B4">
        <w:rPr>
          <w:rFonts w:eastAsia="Calibri"/>
        </w:rPr>
        <w:t>Government leading the way</w:t>
      </w:r>
    </w:p>
    <w:p w14:paraId="22564ABA" w14:textId="77777777" w:rsidR="00CA1920" w:rsidRPr="00BD16B4" w:rsidRDefault="00CA1920" w:rsidP="00CA1920">
      <w:pPr>
        <w:pStyle w:val="BodyText"/>
      </w:pPr>
      <w:r w:rsidRPr="00BD16B4">
        <w:t>The Government owns, manages or procures a large number of buildings, including public and defence housing, schools, hospitals and office buildings. The Government is using its purchasing power to drive the market towards low-emissions alternatives and to support workforce transition. Initiatives include:</w:t>
      </w:r>
    </w:p>
    <w:p w14:paraId="637D7605" w14:textId="77777777" w:rsidR="00CA1920" w:rsidRPr="00BD16B4" w:rsidRDefault="00CA1920" w:rsidP="00CA1920">
      <w:pPr>
        <w:pStyle w:val="Bullet"/>
      </w:pPr>
      <w:r w:rsidRPr="00BD16B4">
        <w:lastRenderedPageBreak/>
        <w:t>introducing sustainability requirements into government procurement, including procurement of new buildings</w:t>
      </w:r>
    </w:p>
    <w:p w14:paraId="5F257D59" w14:textId="77777777" w:rsidR="00CA1920" w:rsidRPr="00BD16B4" w:rsidRDefault="00CA1920" w:rsidP="00CA1920">
      <w:pPr>
        <w:pStyle w:val="Bullet"/>
      </w:pPr>
      <w:r w:rsidRPr="00BD16B4">
        <w:t>requiring NABERSNZ energy efficiency ratings for government-owned and tenanted office buildings from 1 January 2022</w:t>
      </w:r>
    </w:p>
    <w:p w14:paraId="3C46AFE0" w14:textId="77777777" w:rsidR="00CA1920" w:rsidRPr="00BD16B4" w:rsidRDefault="00CA1920" w:rsidP="00CA1920">
      <w:pPr>
        <w:pStyle w:val="Bullet"/>
      </w:pPr>
      <w:r w:rsidRPr="00BD16B4">
        <w:t>requiring Green Star ratings for new government-owned, non-residential buildings from 1 April 2022</w:t>
      </w:r>
    </w:p>
    <w:p w14:paraId="7ED5F778" w14:textId="77777777" w:rsidR="00CA1920" w:rsidRPr="00BD16B4" w:rsidRDefault="00CA1920" w:rsidP="00CA1920">
      <w:pPr>
        <w:pStyle w:val="Bullet"/>
      </w:pPr>
      <w:r w:rsidRPr="00BD16B4">
        <w:t>commitment by Kāinga Ora in 2020 that all of the new homes it constructs will be built to a Homestar 6 standard.</w:t>
      </w:r>
    </w:p>
    <w:p w14:paraId="7183A14A" w14:textId="77777777" w:rsidR="00CA1920" w:rsidRPr="00BD16B4" w:rsidRDefault="00CA1920" w:rsidP="00CA1920">
      <w:pPr>
        <w:pStyle w:val="Heading5"/>
      </w:pPr>
      <w:r w:rsidRPr="00BD16B4">
        <w:t xml:space="preserve">Insulation and heating grants programmes </w:t>
      </w:r>
    </w:p>
    <w:p w14:paraId="61CF86E5" w14:textId="77777777" w:rsidR="00CA1920" w:rsidRPr="00BD16B4" w:rsidRDefault="00CA1920" w:rsidP="00CA1920">
      <w:pPr>
        <w:pStyle w:val="BodyText"/>
      </w:pPr>
      <w:r w:rsidRPr="00BD16B4">
        <w:t xml:space="preserve">The </w:t>
      </w:r>
      <w:bookmarkStart w:id="235" w:name="_Hlk119068673"/>
      <w:r w:rsidRPr="00BD16B4">
        <w:t>Warmup New Zealand</w:t>
      </w:r>
      <w:bookmarkEnd w:id="235"/>
      <w:r w:rsidRPr="00BD16B4">
        <w:t xml:space="preserve"> (WUNZ) programme commenced in 2009 and was EECA’s core heating and insulation retrofit programme helping to improve the health, productivity and energy efficiency of New Zealand homes. Upon its completion on 30 June 2018, the WUNZ programme had contributed to 324,000 insulation retrofits. </w:t>
      </w:r>
    </w:p>
    <w:p w14:paraId="7176F87F" w14:textId="77777777" w:rsidR="00CA1920" w:rsidRPr="00BD16B4" w:rsidRDefault="00CA1920" w:rsidP="00CA1920">
      <w:pPr>
        <w:pStyle w:val="BodyText"/>
      </w:pPr>
      <w:r w:rsidRPr="00BD16B4">
        <w:t xml:space="preserve">On 15 May 2018, the Government announced the </w:t>
      </w:r>
      <w:bookmarkStart w:id="236" w:name="_Hlk119068659"/>
      <w:r w:rsidRPr="00BD16B4">
        <w:t>Warmer Kiwi Homes</w:t>
      </w:r>
      <w:bookmarkEnd w:id="236"/>
      <w:r w:rsidRPr="00BD16B4">
        <w:t xml:space="preserve"> (WKH) programme </w:t>
      </w:r>
      <w:r w:rsidRPr="00BD16B4">
        <w:br/>
        <w:t>– EECA’s new insulation and heating retrofit programme to deliver subsidised insulation and heating to low-income, owner-occupied households across New Zealand. Similar to the WUNZ programme, the WKH programme seeks to prevent unnecessary heat loss and increase the energy efficiency of low-income households while improving overall health outcomes for New Zealanders. Following the COVID-19 outbreak in April 2020, the Government increased its funding contribution from 67 per cent to 90 per cent and has since reduced this to 80 per cent.</w:t>
      </w:r>
    </w:p>
    <w:p w14:paraId="7C282342" w14:textId="77777777" w:rsidR="00CA1920" w:rsidRPr="00BD16B4" w:rsidRDefault="00CA1920" w:rsidP="00CA1920">
      <w:pPr>
        <w:pStyle w:val="BodyText"/>
      </w:pPr>
      <w:bookmarkStart w:id="237" w:name="_Hlk116651931"/>
      <w:r w:rsidRPr="00BD16B4">
        <w:t xml:space="preserve">The WKH programme has become one of EECA’s most successful programmes to date. From July 2018 until 31 August 2022, EECA delivered 98,131 retrofits to households (67,772 insulation and 30,359 heating). </w:t>
      </w:r>
      <w:bookmarkEnd w:id="237"/>
      <w:r w:rsidRPr="00BD16B4">
        <w:t>In 2020, EECA commenced a formal evaluation of the WKH programme. The interim report published in January 2022</w:t>
      </w:r>
      <w:r w:rsidRPr="00BD16B4">
        <w:rPr>
          <w:rStyle w:val="FootnoteReference"/>
        </w:rPr>
        <w:footnoteReference w:id="176"/>
      </w:r>
      <w:r w:rsidRPr="00BD16B4">
        <w:t xml:space="preserve"> showed that 82 per cent of participants’ homes are more comfortable, and the proportion of households restricting their heating fell from 80 per cent to 21 per cent after accessing the programme. The final evaluation results are expected in December 2022. </w:t>
      </w:r>
    </w:p>
    <w:p w14:paraId="2ADD9663" w14:textId="77777777" w:rsidR="00CA1920" w:rsidRPr="00BD16B4" w:rsidRDefault="00CA1920" w:rsidP="00CA1920">
      <w:pPr>
        <w:pStyle w:val="Heading3"/>
        <w:rPr>
          <w:rFonts w:eastAsia="Calibri"/>
        </w:rPr>
      </w:pPr>
      <w:bookmarkStart w:id="238" w:name="_Toc363540330"/>
      <w:r w:rsidRPr="00BD16B4">
        <w:rPr>
          <w:rFonts w:eastAsia="Calibri"/>
        </w:rPr>
        <w:t>4.3.4</w:t>
      </w:r>
      <w:r w:rsidRPr="00BD16B4">
        <w:rPr>
          <w:rFonts w:eastAsia="Calibri"/>
        </w:rPr>
        <w:tab/>
        <w:t>Transport</w:t>
      </w:r>
      <w:bookmarkEnd w:id="238"/>
    </w:p>
    <w:p w14:paraId="11DF0DBD" w14:textId="77777777" w:rsidR="00CA1920" w:rsidRPr="00BD16B4" w:rsidRDefault="00CA1920" w:rsidP="00CA1920">
      <w:pPr>
        <w:pStyle w:val="BodyText"/>
      </w:pPr>
      <w:r w:rsidRPr="00BD16B4">
        <w:t>Transport is one of Aotearoa New Zealand’s largest sources of greenhouse gases and</w:t>
      </w:r>
      <w:r w:rsidRPr="00BD16B4">
        <w:rPr>
          <w:rFonts w:eastAsia="Calibri"/>
        </w:rPr>
        <w:t xml:space="preserve"> was </w:t>
      </w:r>
      <w:r w:rsidRPr="00BD16B4">
        <w:rPr>
          <w:rFonts w:eastAsia="Calibri" w:cs="Calibri"/>
        </w:rPr>
        <w:t>responsible for 17 per cent of New Zealand’s total gross emissions in 2020.</w:t>
      </w:r>
      <w:r w:rsidRPr="00BD16B4">
        <w:rPr>
          <w:rStyle w:val="FootnoteReference"/>
          <w:rFonts w:eastAsia="Calibri"/>
        </w:rPr>
        <w:footnoteReference w:id="177"/>
      </w:r>
      <w:r w:rsidRPr="00BD16B4">
        <w:rPr>
          <w:rFonts w:eastAsia="Calibri" w:cs="Calibri"/>
        </w:rPr>
        <w:t xml:space="preserve"> </w:t>
      </w:r>
    </w:p>
    <w:p w14:paraId="351EC0DC" w14:textId="77777777" w:rsidR="00CA1920" w:rsidRPr="00BD16B4" w:rsidRDefault="00CA1920" w:rsidP="00CA1920">
      <w:pPr>
        <w:pStyle w:val="BodyText"/>
      </w:pPr>
      <w:r w:rsidRPr="00BD16B4">
        <w:t>This section outlines the Government’s approach to reducing transport emissions. While the immediate focus is on action over the next three years, this approach lays the foundation for the next 30 years. Three focus areas guide the Government’s approach to reducing transport emissions:</w:t>
      </w:r>
    </w:p>
    <w:p w14:paraId="77D99069" w14:textId="77777777" w:rsidR="00CA1920" w:rsidRPr="00BD16B4" w:rsidRDefault="00CA1920" w:rsidP="00CA1920">
      <w:pPr>
        <w:pStyle w:val="Bullet"/>
        <w:keepNext/>
        <w:tabs>
          <w:tab w:val="num" w:pos="397"/>
        </w:tabs>
        <w:spacing w:line="280" w:lineRule="exact"/>
      </w:pPr>
      <w:r w:rsidRPr="00BD16B4">
        <w:lastRenderedPageBreak/>
        <w:t>reduce reliance on cars and support people to walk, cycle and use public transport</w:t>
      </w:r>
    </w:p>
    <w:p w14:paraId="7085F9D6" w14:textId="77777777" w:rsidR="00CA1920" w:rsidRPr="00BD16B4" w:rsidRDefault="00CA1920" w:rsidP="00CA1920">
      <w:pPr>
        <w:pStyle w:val="Bullet"/>
      </w:pPr>
      <w:r w:rsidRPr="00BD16B4">
        <w:t>rapidly adopt low-emissions vehicles, including by increasing access to ‘safe’ low- and zero-emissions vehicles</w:t>
      </w:r>
    </w:p>
    <w:p w14:paraId="5ECE83F2" w14:textId="77777777" w:rsidR="00CA1920" w:rsidRPr="00BD16B4" w:rsidRDefault="00CA1920" w:rsidP="00CA1920">
      <w:pPr>
        <w:pStyle w:val="Bullet"/>
      </w:pPr>
      <w:r w:rsidRPr="00BD16B4">
        <w:t>begin work now to decarbonise heavy transport and freight.</w:t>
      </w:r>
    </w:p>
    <w:p w14:paraId="33A8C8D6" w14:textId="77777777" w:rsidR="00CA1920" w:rsidRPr="00BD16B4" w:rsidRDefault="00CA1920" w:rsidP="00CA1920">
      <w:pPr>
        <w:pStyle w:val="BodyText"/>
      </w:pPr>
      <w:r w:rsidRPr="00BD16B4">
        <w:t>The Government has set four transport targets to support these focus areas and help achieve the sector sub-target for transport.</w:t>
      </w:r>
      <w:r w:rsidRPr="00BD16B4">
        <w:rPr>
          <w:rStyle w:val="FootnoteReference"/>
        </w:rPr>
        <w:footnoteReference w:id="178"/>
      </w:r>
      <w:r w:rsidRPr="00BD16B4">
        <w:t xml:space="preserve"> </w:t>
      </w:r>
    </w:p>
    <w:p w14:paraId="6D2D7F20" w14:textId="77777777" w:rsidR="00CA1920" w:rsidRPr="00BD16B4" w:rsidRDefault="00CA1920" w:rsidP="00CA1920">
      <w:pPr>
        <w:pStyle w:val="Bullet"/>
      </w:pPr>
      <w:r w:rsidRPr="00BD16B4">
        <w:t>Target 1 – Reduce total kilometres</w:t>
      </w:r>
      <w:r w:rsidRPr="00BD16B4">
        <w:rPr>
          <w:rStyle w:val="FootnoteReference"/>
        </w:rPr>
        <w:footnoteReference w:id="179"/>
      </w:r>
      <w:r w:rsidRPr="00BD16B4">
        <w:t xml:space="preserve"> travelled by the light fleet by 20 per cent by 2035 through improved urban form and providing better travel options, particularly in our largest cities.</w:t>
      </w:r>
    </w:p>
    <w:p w14:paraId="0572D01C" w14:textId="77777777" w:rsidR="00CA1920" w:rsidRPr="00BD16B4" w:rsidRDefault="00CA1920" w:rsidP="00CA1920">
      <w:pPr>
        <w:pStyle w:val="Bullet"/>
      </w:pPr>
      <w:r w:rsidRPr="00BD16B4">
        <w:t>Target 2 – Increase zero-emissions vehicles to 30 per cent of the light fleet by 2035.</w:t>
      </w:r>
    </w:p>
    <w:p w14:paraId="20A681CA" w14:textId="77777777" w:rsidR="00CA1920" w:rsidRPr="00BD16B4" w:rsidRDefault="00CA1920" w:rsidP="00CA1920">
      <w:pPr>
        <w:pStyle w:val="Bullet"/>
      </w:pPr>
      <w:r w:rsidRPr="00BD16B4">
        <w:t>Target 3 – Reduce emissions from freight transport by 35 per cent by 2035</w:t>
      </w:r>
      <w:r w:rsidRPr="00BD16B4">
        <w:rPr>
          <w:rStyle w:val="FootnoteReference"/>
          <w:color w:val="auto"/>
          <w:vertAlign w:val="baseline"/>
        </w:rPr>
        <w:footnoteReference w:id="180"/>
      </w:r>
      <w:r w:rsidRPr="00BD16B4">
        <w:t>.</w:t>
      </w:r>
    </w:p>
    <w:p w14:paraId="2ECDDE07" w14:textId="77777777" w:rsidR="00CA1920" w:rsidRPr="00BD16B4" w:rsidRDefault="00CA1920" w:rsidP="00CA1920">
      <w:pPr>
        <w:pStyle w:val="Bullet"/>
      </w:pPr>
      <w:r w:rsidRPr="00BD16B4">
        <w:t>Target 4 – Reduce the emissions intensity of transport fuel by 10 per cent by 2035.</w:t>
      </w:r>
    </w:p>
    <w:p w14:paraId="2ACB7C80" w14:textId="77777777" w:rsidR="00CA1920" w:rsidRPr="00BD16B4" w:rsidRDefault="00CA1920" w:rsidP="00CA1920">
      <w:pPr>
        <w:pStyle w:val="BodyText"/>
      </w:pPr>
      <w:r w:rsidRPr="00BD16B4">
        <w:t>The targets indicate how much effort is required to reduce transport emissions across the system and will shape our policy and investment decisions to support the scale and pace of change required.</w:t>
      </w:r>
      <w:r w:rsidRPr="00BD16B4">
        <w:rPr>
          <w:rStyle w:val="FootnoteReference"/>
        </w:rPr>
        <w:footnoteReference w:id="181"/>
      </w:r>
      <w:r w:rsidRPr="00BD16B4">
        <w:t xml:space="preserve"> Together, these targets equate to a 41 per cent reduction in transport emissions by 2035 from 2019 levels.</w:t>
      </w:r>
      <w:r w:rsidRPr="00BD16B4">
        <w:rPr>
          <w:rStyle w:val="FootnoteReference"/>
        </w:rPr>
        <w:footnoteReference w:id="182"/>
      </w:r>
    </w:p>
    <w:p w14:paraId="5B73F8B0" w14:textId="77777777" w:rsidR="00CA1920" w:rsidRPr="00BD16B4" w:rsidRDefault="00CA1920" w:rsidP="00CA1920">
      <w:pPr>
        <w:pStyle w:val="BodyText"/>
      </w:pPr>
      <w:r w:rsidRPr="00BD16B4">
        <w:t>Achieving the transport targets depends on complementary policies, such as having a strong NZ ETS price to incentivise low-emissions fuels, and changing the way we plan our towns and cities to make it easier and safer for people to reduce car travel.</w:t>
      </w:r>
    </w:p>
    <w:p w14:paraId="0B186F01" w14:textId="77777777" w:rsidR="00CA1920" w:rsidRPr="00BD16B4" w:rsidRDefault="00CA1920" w:rsidP="00CA1920">
      <w:pPr>
        <w:pStyle w:val="BodyText"/>
      </w:pPr>
      <w:r w:rsidRPr="00BD16B4">
        <w:t>Many of the actions in the emissions reduction plan will also support an equitable transition, including by making clean and affordable transport options more accessible for low-income and transport-disadvantaged New Zealanders.</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A1920" w:rsidRPr="00BD16B4" w14:paraId="30508EF9" w14:textId="77777777" w:rsidTr="002D166E">
        <w:tc>
          <w:tcPr>
            <w:tcW w:w="0" w:type="auto"/>
            <w:shd w:val="clear" w:color="auto" w:fill="D2DDE2"/>
          </w:tcPr>
          <w:p w14:paraId="43671E87" w14:textId="77777777" w:rsidR="00CA1920" w:rsidRPr="00BD16B4" w:rsidRDefault="00CA1920" w:rsidP="002D166E">
            <w:pPr>
              <w:pStyle w:val="Boxheading"/>
            </w:pPr>
            <w:r w:rsidRPr="00BD16B4">
              <w:rPr>
                <w:iCs/>
              </w:rPr>
              <w:lastRenderedPageBreak/>
              <w:t>Key actions in</w:t>
            </w:r>
            <w:r w:rsidRPr="00BD16B4">
              <w:t xml:space="preserve"> the emissions reduction plan</w:t>
            </w:r>
          </w:p>
          <w:p w14:paraId="660AFE7A" w14:textId="77777777" w:rsidR="00CA1920" w:rsidRPr="00BD16B4" w:rsidRDefault="00CA1920" w:rsidP="002D166E">
            <w:pPr>
              <w:pStyle w:val="Boxtext"/>
              <w:spacing w:after="80"/>
              <w:ind w:right="227"/>
              <w:rPr>
                <w:i/>
                <w:iCs/>
              </w:rPr>
            </w:pPr>
            <w:r w:rsidRPr="00BD16B4">
              <w:rPr>
                <w:i/>
                <w:iCs/>
              </w:rPr>
              <w:t>Reduce reliance on cars and support people to walk, cycle and use public transport including by:</w:t>
            </w:r>
          </w:p>
          <w:p w14:paraId="4ED17B91" w14:textId="77777777" w:rsidR="00CA1920" w:rsidRPr="00BD16B4" w:rsidRDefault="00CA1920" w:rsidP="002D166E">
            <w:pPr>
              <w:pStyle w:val="Boxbullet"/>
              <w:spacing w:after="80"/>
            </w:pPr>
            <w:r w:rsidRPr="00BD16B4">
              <w:t>improving the reach, frequency and quality of public transport and making it more affordable for low-income New Zealanders</w:t>
            </w:r>
          </w:p>
          <w:p w14:paraId="557E3D12" w14:textId="77777777" w:rsidR="00CA1920" w:rsidRPr="00BD16B4" w:rsidRDefault="00CA1920" w:rsidP="002D166E">
            <w:pPr>
              <w:pStyle w:val="Boxbullet"/>
              <w:spacing w:after="80"/>
            </w:pPr>
            <w:r w:rsidRPr="00BD16B4">
              <w:t>increasing support for walking and cycling, including initiatives to increase the use of e</w:t>
            </w:r>
            <w:r w:rsidRPr="00BD16B4">
              <w:noBreakHyphen/>
              <w:t>bikes</w:t>
            </w:r>
          </w:p>
          <w:p w14:paraId="66F9BBBF" w14:textId="77777777" w:rsidR="00CA1920" w:rsidRPr="00BD16B4" w:rsidRDefault="00CA1920" w:rsidP="002D166E">
            <w:pPr>
              <w:pStyle w:val="Boxbullet"/>
            </w:pPr>
            <w:r w:rsidRPr="00BD16B4">
              <w:t>ensuring safer streets and well-planned urban areas.</w:t>
            </w:r>
          </w:p>
          <w:p w14:paraId="15A470EC" w14:textId="77777777" w:rsidR="00CA1920" w:rsidRPr="00BD16B4" w:rsidRDefault="00CA1920" w:rsidP="002D166E">
            <w:pPr>
              <w:pStyle w:val="Boxtext"/>
              <w:spacing w:after="80"/>
              <w:rPr>
                <w:i/>
                <w:iCs/>
              </w:rPr>
            </w:pPr>
            <w:r w:rsidRPr="00BD16B4">
              <w:rPr>
                <w:i/>
                <w:iCs/>
              </w:rPr>
              <w:t>Rapidly adopt low-emissions vehicles including by:</w:t>
            </w:r>
          </w:p>
          <w:p w14:paraId="608CBBBD" w14:textId="77777777" w:rsidR="00CA1920" w:rsidRPr="00BD16B4" w:rsidRDefault="00CA1920" w:rsidP="002D166E">
            <w:pPr>
              <w:pStyle w:val="Boxbullet"/>
              <w:spacing w:after="80"/>
            </w:pPr>
            <w:r w:rsidRPr="00BD16B4">
              <w:t>continuing to incentivise the uptake of low- and zero-emissions vehicles through the Clean Vehicle Discount scheme and consider the future of the Road User Charges exemption for light electric vehicles beyond 2024</w:t>
            </w:r>
          </w:p>
          <w:p w14:paraId="120B2FBC" w14:textId="77777777" w:rsidR="00CA1920" w:rsidRPr="00BD16B4" w:rsidRDefault="00CA1920" w:rsidP="002D166E">
            <w:pPr>
              <w:pStyle w:val="Boxbullet"/>
              <w:spacing w:after="80"/>
            </w:pPr>
            <w:r w:rsidRPr="00BD16B4">
              <w:t>increasing access to safe, low- and zero-emissions vehicles for low-income households by supporting social leasing schemes and trialling an equity-oriented vehicle scrap-and-replace scheme</w:t>
            </w:r>
          </w:p>
          <w:p w14:paraId="5232EC41" w14:textId="77777777" w:rsidR="00CA1920" w:rsidRPr="00BD16B4" w:rsidRDefault="00CA1920" w:rsidP="002D166E">
            <w:pPr>
              <w:pStyle w:val="Boxbullet"/>
            </w:pPr>
            <w:r w:rsidRPr="00BD16B4">
              <w:t xml:space="preserve">improving the electric vehicle charging infrastructure across New Zealand to ensure that all New Zealanders can charge when they need to. </w:t>
            </w:r>
          </w:p>
          <w:p w14:paraId="069E52DB" w14:textId="77777777" w:rsidR="00CA1920" w:rsidRPr="00BD16B4" w:rsidRDefault="00CA1920" w:rsidP="002D166E">
            <w:pPr>
              <w:pStyle w:val="Boxtext"/>
              <w:spacing w:after="80"/>
              <w:rPr>
                <w:i/>
                <w:iCs/>
              </w:rPr>
            </w:pPr>
            <w:r w:rsidRPr="00BD16B4">
              <w:rPr>
                <w:i/>
                <w:iCs/>
              </w:rPr>
              <w:t xml:space="preserve">Begin work now to decarbonise heavy transport and freight including by: </w:t>
            </w:r>
          </w:p>
          <w:p w14:paraId="02DD5BDA" w14:textId="77777777" w:rsidR="00CA1920" w:rsidRPr="00BD16B4" w:rsidRDefault="00CA1920" w:rsidP="002D166E">
            <w:pPr>
              <w:pStyle w:val="Boxbullet"/>
              <w:spacing w:after="80"/>
            </w:pPr>
            <w:r w:rsidRPr="00BD16B4">
              <w:t xml:space="preserve">developing a national Freight and Supply Chain Strategy with industry. It will set out system-wide actions that need to happen across the sector to achieve our decarbonisation, resilience, productivity and wellbeing outcomes </w:t>
            </w:r>
          </w:p>
          <w:p w14:paraId="011967D5" w14:textId="77777777" w:rsidR="00CA1920" w:rsidRPr="00BD16B4" w:rsidRDefault="00CA1920" w:rsidP="002D166E">
            <w:pPr>
              <w:pStyle w:val="Boxbullet"/>
              <w:spacing w:after="80"/>
            </w:pPr>
            <w:r w:rsidRPr="00BD16B4">
              <w:t>providing funding to support the freight sector to purchase zero- and low-emissions trucks</w:t>
            </w:r>
          </w:p>
          <w:p w14:paraId="46B0FB3F" w14:textId="77777777" w:rsidR="00CA1920" w:rsidRPr="00BD16B4" w:rsidRDefault="00CA1920" w:rsidP="002D166E">
            <w:pPr>
              <w:pStyle w:val="Boxbullet"/>
              <w:spacing w:after="80"/>
              <w:rPr>
                <w:rFonts w:eastAsia="Calibri"/>
              </w:rPr>
            </w:pPr>
            <w:r w:rsidRPr="00BD16B4">
              <w:t>requiring only zero-emissions public transport buses to be purchased by 2025</w:t>
            </w:r>
            <w:r w:rsidRPr="00BD16B4">
              <w:rPr>
                <w:rFonts w:eastAsia="Calibri"/>
              </w:rPr>
              <w:t xml:space="preserve"> </w:t>
            </w:r>
          </w:p>
          <w:p w14:paraId="0EA37873" w14:textId="77777777" w:rsidR="00CA1920" w:rsidRPr="00BD16B4" w:rsidRDefault="00CA1920" w:rsidP="002D166E">
            <w:pPr>
              <w:pStyle w:val="Boxbullet"/>
              <w:spacing w:after="180"/>
            </w:pPr>
            <w:r w:rsidRPr="00BD16B4">
              <w:t>supporting the uptake of low-carbon liquid fuels by implementing a sustainable aviation fuel mandate and a sustainable biofuels obligation.</w:t>
            </w:r>
          </w:p>
        </w:tc>
      </w:tr>
    </w:tbl>
    <w:p w14:paraId="1D89ACF8" w14:textId="77777777" w:rsidR="00CA1920" w:rsidRPr="00BD16B4" w:rsidRDefault="00CA1920" w:rsidP="008F3958">
      <w:pPr>
        <w:pStyle w:val="Heading4"/>
        <w:spacing w:before="360"/>
        <w:rPr>
          <w:rFonts w:eastAsia="Calibri"/>
        </w:rPr>
      </w:pPr>
      <w:r w:rsidRPr="00BD16B4">
        <w:rPr>
          <w:rFonts w:eastAsia="Calibri"/>
        </w:rPr>
        <w:t>Reducing reliance on vehicles and supporting people to walk, cycle and use public transport</w:t>
      </w:r>
    </w:p>
    <w:p w14:paraId="45BD56A6" w14:textId="77777777" w:rsidR="00CA1920" w:rsidRPr="00BD16B4" w:rsidRDefault="00CA1920" w:rsidP="00CA1920">
      <w:pPr>
        <w:pStyle w:val="Heading5"/>
        <w:rPr>
          <w:rFonts w:eastAsia="Calibri"/>
        </w:rPr>
      </w:pPr>
      <w:r w:rsidRPr="00BD16B4">
        <w:rPr>
          <w:rFonts w:eastAsia="Calibri"/>
        </w:rPr>
        <w:t>Investment in walking and cycling</w:t>
      </w:r>
    </w:p>
    <w:p w14:paraId="0BB1ECC2" w14:textId="77777777" w:rsidR="00CA1920" w:rsidRPr="00BD16B4" w:rsidRDefault="00CA1920" w:rsidP="00CA1920">
      <w:pPr>
        <w:pStyle w:val="BodyText"/>
      </w:pPr>
      <w:r w:rsidRPr="00BD16B4">
        <w:rPr>
          <w:rFonts w:eastAsia="Calibri"/>
        </w:rPr>
        <w:t xml:space="preserve">As part of Budget 2022, the Government committed NZ$350 million from the Climate Emergency Response Fund (CERF) to support the uptake of active modes and public transport. </w:t>
      </w:r>
      <w:bookmarkStart w:id="239" w:name="_Hlk115851889"/>
      <w:r w:rsidRPr="00BD16B4">
        <w:rPr>
          <w:rFonts w:eastAsia="Calibri"/>
        </w:rPr>
        <w:t>This Transport Choices package</w:t>
      </w:r>
      <w:r w:rsidRPr="00BD16B4">
        <w:t xml:space="preserve"> will be developed and implemented by mid-2024, with investment to be targeted in four key areas:</w:t>
      </w:r>
    </w:p>
    <w:bookmarkEnd w:id="239"/>
    <w:p w14:paraId="43D488C5" w14:textId="77777777" w:rsidR="00CA1920" w:rsidRPr="00BD16B4" w:rsidRDefault="00CA1920" w:rsidP="00CA1920">
      <w:pPr>
        <w:pStyle w:val="Bullet"/>
      </w:pPr>
      <w:r w:rsidRPr="00BD16B4">
        <w:t>progressing strategic cycle networks</w:t>
      </w:r>
    </w:p>
    <w:p w14:paraId="4B8FD38B" w14:textId="77777777" w:rsidR="00CA1920" w:rsidRPr="00BD16B4" w:rsidRDefault="00CA1920" w:rsidP="00CA1920">
      <w:pPr>
        <w:pStyle w:val="Bullet"/>
      </w:pPr>
      <w:r w:rsidRPr="00BD16B4">
        <w:t>creating walkable neighbourhoods</w:t>
      </w:r>
    </w:p>
    <w:p w14:paraId="67B35D80" w14:textId="77777777" w:rsidR="00CA1920" w:rsidRPr="00BD16B4" w:rsidRDefault="00CA1920" w:rsidP="00CA1920">
      <w:pPr>
        <w:pStyle w:val="Bullet"/>
      </w:pPr>
      <w:r w:rsidRPr="00BD16B4">
        <w:t>safe, green and healthy school travel</w:t>
      </w:r>
    </w:p>
    <w:p w14:paraId="6716E7D1" w14:textId="77777777" w:rsidR="00CA1920" w:rsidRPr="00BD16B4" w:rsidRDefault="00CA1920" w:rsidP="00CA1920">
      <w:pPr>
        <w:pStyle w:val="Bullet"/>
      </w:pPr>
      <w:r w:rsidRPr="00BD16B4">
        <w:t>making public transport more reliable and easier to use.</w:t>
      </w:r>
    </w:p>
    <w:p w14:paraId="74C8217A" w14:textId="77777777" w:rsidR="00CA1920" w:rsidRPr="00BD16B4" w:rsidRDefault="00CA1920" w:rsidP="00CA1920">
      <w:pPr>
        <w:pStyle w:val="Heading5"/>
        <w:rPr>
          <w:rFonts w:eastAsia="Calibri"/>
        </w:rPr>
      </w:pPr>
      <w:r w:rsidRPr="00BD16B4">
        <w:rPr>
          <w:rFonts w:eastAsia="Calibri"/>
        </w:rPr>
        <w:t>Reducing vehicle kilometres travelled</w:t>
      </w:r>
    </w:p>
    <w:p w14:paraId="3CB93C62" w14:textId="77777777" w:rsidR="00CA1920" w:rsidRPr="00BD16B4" w:rsidRDefault="00CA1920" w:rsidP="00CA1920">
      <w:pPr>
        <w:pStyle w:val="BodyText"/>
        <w:spacing w:after="100"/>
      </w:pPr>
      <w:r w:rsidRPr="00BD16B4">
        <w:t>Achieving the national vehicle kilometres travelled (VKT) reduction target will require a</w:t>
      </w:r>
      <w:r w:rsidRPr="00BD16B4">
        <w:rPr>
          <w:rFonts w:cs="Calibri"/>
          <w:color w:val="E8A67D" w:themeColor="accent6" w:themeTint="99"/>
          <w:bdr w:val="none" w:sz="0" w:space="0" w:color="auto" w:frame="1"/>
        </w:rPr>
        <w:t xml:space="preserve"> </w:t>
      </w:r>
      <w:r w:rsidRPr="00BD16B4">
        <w:t>combination of good urban form, better transport options and effective demand management.</w:t>
      </w:r>
      <w:r w:rsidRPr="00BD16B4">
        <w:rPr>
          <w:rFonts w:cs="Calibri"/>
          <w:color w:val="E8A67D" w:themeColor="accent6" w:themeTint="99"/>
          <w:bdr w:val="none" w:sz="0" w:space="0" w:color="auto" w:frame="1"/>
        </w:rPr>
        <w:t xml:space="preserve"> </w:t>
      </w:r>
      <w:r w:rsidRPr="00BD16B4">
        <w:lastRenderedPageBreak/>
        <w:t>The emissions reduction plan calls for planning and investment programmes to frame this approach, with a focus on our major urban areas where the potential for change is greatest.</w:t>
      </w:r>
    </w:p>
    <w:p w14:paraId="294E4735" w14:textId="77777777" w:rsidR="00CA1920" w:rsidRPr="00BD16B4" w:rsidRDefault="00CA1920" w:rsidP="00CA1920">
      <w:pPr>
        <w:pStyle w:val="BodyText"/>
        <w:spacing w:before="100" w:after="100"/>
      </w:pPr>
      <w:r w:rsidRPr="00BD16B4">
        <w:t xml:space="preserve">Waka Kotahi NZ Transport Agency (Waka Kotahi) will publish a national VKT reduction plan by </w:t>
      </w:r>
      <w:r w:rsidRPr="00BD16B4">
        <w:rPr>
          <w:spacing w:val="-2"/>
        </w:rPr>
        <w:t>mid-2023. This will update the national mode shift plan published by Waka Kotahi in September</w:t>
      </w:r>
      <w:r w:rsidRPr="00BD16B4">
        <w:t xml:space="preserve"> 2019, </w:t>
      </w:r>
      <w:r w:rsidRPr="00BD16B4">
        <w:rPr>
          <w:i/>
        </w:rPr>
        <w:t>Keeping Cities Moving.</w:t>
      </w:r>
      <w:r w:rsidRPr="00BD16B4">
        <w:rPr>
          <w:rStyle w:val="FootnoteReference"/>
          <w:i/>
        </w:rPr>
        <w:footnoteReference w:id="183"/>
      </w:r>
      <w:r w:rsidRPr="00BD16B4">
        <w:rPr>
          <w:i/>
        </w:rPr>
        <w:t xml:space="preserve"> </w:t>
      </w:r>
      <w:r w:rsidRPr="00BD16B4">
        <w:t>Among other things, this plan will include direction, guidance and tools to support VKT reduction in urban, rural and provincial places over time.</w:t>
      </w:r>
    </w:p>
    <w:p w14:paraId="3B0E7A4C" w14:textId="77777777" w:rsidR="00CA1920" w:rsidRPr="00BD16B4" w:rsidRDefault="00CA1920" w:rsidP="00CA1920">
      <w:pPr>
        <w:pStyle w:val="BodyText"/>
        <w:spacing w:before="100" w:after="100"/>
      </w:pPr>
      <w:r w:rsidRPr="00BD16B4">
        <w:t>Waka Kotahi will also partner with councils and others to develop urban VKT reduction programmes in Aotearoa’s largest urban areas. These programmes will build on mode shift plans developed for Aotearoa’s six fastest-growing cities in 2020/21 and are due to be in place by the end of 2024.</w:t>
      </w:r>
    </w:p>
    <w:p w14:paraId="3576785F" w14:textId="77777777" w:rsidR="00CA1920" w:rsidRPr="00BD16B4" w:rsidRDefault="00CA1920" w:rsidP="00CA1920">
      <w:pPr>
        <w:pStyle w:val="BodyText"/>
        <w:spacing w:before="100" w:after="100"/>
      </w:pPr>
      <w:r w:rsidRPr="00BD16B4" w:rsidDel="005C519A">
        <w:t>Te Manatū Waka</w:t>
      </w:r>
      <w:r w:rsidRPr="00BD16B4">
        <w:t xml:space="preserve"> – Ministry of Transport is developing proposed sub-national VKT reduction targets by the end of 2022. These will help frame urban VKT reduction programmes. These targets will set out the contribution that major urban areas will make in delivering on the national VKT reduction target of a 20 per cent reduction in VKT by light vehicles by 2035.</w:t>
      </w:r>
    </w:p>
    <w:p w14:paraId="1CF4A849" w14:textId="77777777" w:rsidR="00CA1920" w:rsidRPr="00BD16B4" w:rsidRDefault="00CA1920" w:rsidP="00CA1920">
      <w:pPr>
        <w:pStyle w:val="BodyText"/>
        <w:spacing w:after="100"/>
      </w:pPr>
      <w:r w:rsidRPr="00BD16B4">
        <w:t xml:space="preserve">The NZ$350 million CERF funding, allocated for the Transport Choices package, will also build momentum, capability and public support for VKT reduction through targeted investments that support mode shift and that reduce people’s reliance on cars (see above for the four key investment areas for the Transport Choices package). </w:t>
      </w:r>
    </w:p>
    <w:p w14:paraId="70E8AED7" w14:textId="77777777" w:rsidR="00CA1920" w:rsidRPr="00BD16B4" w:rsidRDefault="00CA1920" w:rsidP="00CA1920">
      <w:pPr>
        <w:pStyle w:val="Heading5"/>
        <w:rPr>
          <w:rFonts w:eastAsia="Calibri"/>
          <w:i w:val="0"/>
          <w:iCs/>
        </w:rPr>
      </w:pPr>
      <w:r w:rsidRPr="00BD16B4">
        <w:rPr>
          <w:rFonts w:eastAsia="Calibri"/>
        </w:rPr>
        <w:t>Public transport bus decarbonisation</w:t>
      </w:r>
      <w:r w:rsidRPr="00BD16B4">
        <w:rPr>
          <w:rStyle w:val="FootnoteReference"/>
          <w:rFonts w:eastAsia="Calibri"/>
          <w:i w:val="0"/>
          <w:iCs/>
        </w:rPr>
        <w:footnoteReference w:id="184"/>
      </w:r>
    </w:p>
    <w:p w14:paraId="29886265" w14:textId="77777777" w:rsidR="00CA1920" w:rsidRPr="00BD16B4" w:rsidRDefault="00CA1920" w:rsidP="00CA1920">
      <w:pPr>
        <w:pStyle w:val="BodyText"/>
        <w:spacing w:before="100" w:after="100"/>
        <w:rPr>
          <w:rFonts w:eastAsia="Calibri"/>
        </w:rPr>
      </w:pPr>
      <w:r w:rsidRPr="00BD16B4">
        <w:rPr>
          <w:rFonts w:eastAsia="Calibri"/>
        </w:rPr>
        <w:t>The Government is committed to ongoing investment in public transport, including the decarbonisation of public transport buses. The 2021–24 National Land Transport Programme proposes spend of NZ$1.33 billion on public transport services and NZ$1.699 billion on public transport infrastructure over the three-year period.</w:t>
      </w:r>
      <w:r w:rsidRPr="00BD16B4">
        <w:rPr>
          <w:rStyle w:val="FootnoteReference"/>
          <w:rFonts w:eastAsia="Calibri"/>
        </w:rPr>
        <w:t xml:space="preserve"> </w:t>
      </w:r>
      <w:r w:rsidRPr="00BD16B4">
        <w:rPr>
          <w:rStyle w:val="FootnoteReference"/>
          <w:rFonts w:eastAsia="Calibri"/>
        </w:rPr>
        <w:footnoteReference w:id="185"/>
      </w:r>
      <w:r w:rsidRPr="00BD16B4">
        <w:rPr>
          <w:rFonts w:eastAsia="Calibri"/>
        </w:rPr>
        <w:t xml:space="preserve"> </w:t>
      </w:r>
    </w:p>
    <w:p w14:paraId="703392EE" w14:textId="77777777" w:rsidR="00CA1920" w:rsidRPr="00BD16B4" w:rsidRDefault="00CA1920" w:rsidP="00CA1920">
      <w:pPr>
        <w:pStyle w:val="BodyText"/>
        <w:spacing w:after="100"/>
        <w:rPr>
          <w:rFonts w:eastAsia="Calibri"/>
        </w:rPr>
      </w:pPr>
      <w:r w:rsidRPr="00BD16B4">
        <w:rPr>
          <w:rFonts w:eastAsia="Calibri"/>
        </w:rPr>
        <w:t>Public transport buses bought from 2025 are required to be zero-emission vehicles.</w:t>
      </w:r>
      <w:r w:rsidRPr="00BD16B4">
        <w:rPr>
          <w:rStyle w:val="FootnoteReference"/>
          <w:rFonts w:eastAsia="Calibri"/>
        </w:rPr>
        <w:footnoteReference w:id="186"/>
      </w:r>
    </w:p>
    <w:p w14:paraId="0598B74A" w14:textId="77777777" w:rsidR="00CA1920" w:rsidRPr="00BD16B4" w:rsidRDefault="00CA1920" w:rsidP="00CA1920">
      <w:pPr>
        <w:pStyle w:val="BodyText"/>
        <w:spacing w:after="100"/>
      </w:pPr>
      <w:r w:rsidRPr="00BD16B4">
        <w:rPr>
          <w:rFonts w:eastAsia="Calibri"/>
        </w:rPr>
        <w:t xml:space="preserve">The Government has also recently completed a review of the policy framework for planning and contracting public transport, known as the Public Transport Operating Model (PTOM). </w:t>
      </w:r>
      <w:r w:rsidRPr="00BD16B4">
        <w:t xml:space="preserve">Following the review, the Government is replacing PTOM with the Sustainable Public Transport Framework (SPTF), which will prioritise fair and equitable treatment of employees, mode-shift and improved environment and health outcomes. The SPTF reforms include: </w:t>
      </w:r>
    </w:p>
    <w:p w14:paraId="4EBC4B0D" w14:textId="77777777" w:rsidR="00CA1920" w:rsidRPr="00BD16B4" w:rsidRDefault="00CA1920" w:rsidP="00CA1920">
      <w:pPr>
        <w:pStyle w:val="Bullet"/>
        <w:tabs>
          <w:tab w:val="num" w:pos="397"/>
        </w:tabs>
        <w:spacing w:after="100" w:line="280" w:lineRule="exact"/>
      </w:pPr>
      <w:r w:rsidRPr="00BD16B4">
        <w:t>enabling in-house delivery of public transport services by public transport authorities</w:t>
      </w:r>
    </w:p>
    <w:p w14:paraId="28982244" w14:textId="77777777" w:rsidR="00CA1920" w:rsidRPr="00BD16B4" w:rsidRDefault="00CA1920" w:rsidP="00CA1920">
      <w:pPr>
        <w:pStyle w:val="Bullet"/>
        <w:tabs>
          <w:tab w:val="num" w:pos="397"/>
        </w:tabs>
        <w:spacing w:after="100" w:line="280" w:lineRule="exact"/>
      </w:pPr>
      <w:r w:rsidRPr="00BD16B4">
        <w:t>requiring services to be procured, contracted and/or delivered in such a way that ensures transparency around aspects of operation and service delivery</w:t>
      </w:r>
    </w:p>
    <w:p w14:paraId="6F675DCC" w14:textId="77777777" w:rsidR="00CA1920" w:rsidRPr="00BD16B4" w:rsidRDefault="00CA1920" w:rsidP="00CA1920">
      <w:pPr>
        <w:pStyle w:val="Bullet"/>
      </w:pPr>
      <w:r w:rsidRPr="00BD16B4">
        <w:lastRenderedPageBreak/>
        <w:t>enabling different asset ownership arrangements to remove barriers to decarbonisation</w:t>
      </w:r>
    </w:p>
    <w:p w14:paraId="6B8645CE" w14:textId="77777777" w:rsidR="00CA1920" w:rsidRPr="00BD16B4" w:rsidRDefault="00CA1920" w:rsidP="00CA1920">
      <w:pPr>
        <w:pStyle w:val="Bullet"/>
      </w:pPr>
      <w:r w:rsidRPr="00BD16B4">
        <w:t>enabling public transport authorities to deliver innovative services, such as on-demand public transport services.</w:t>
      </w:r>
    </w:p>
    <w:p w14:paraId="1930E2DB" w14:textId="77777777" w:rsidR="00CA1920" w:rsidRPr="00BD16B4" w:rsidRDefault="00CA1920" w:rsidP="00CA1920">
      <w:pPr>
        <w:pStyle w:val="BodyText"/>
      </w:pPr>
      <w:r w:rsidRPr="00BD16B4">
        <w:t>The Government has also committed additional funding through Budget 2022 to further support key public transport outcomes, including:</w:t>
      </w:r>
    </w:p>
    <w:p w14:paraId="037B9825" w14:textId="77777777" w:rsidR="00CA1920" w:rsidRPr="00BD16B4" w:rsidRDefault="00CA1920" w:rsidP="00CA1920">
      <w:pPr>
        <w:pStyle w:val="Bullet"/>
      </w:pPr>
      <w:r w:rsidRPr="00BD16B4">
        <w:t>NZ$61 million over four years to fund improved wages and conditions for bus drivers</w:t>
      </w:r>
    </w:p>
    <w:p w14:paraId="378879D7" w14:textId="77777777" w:rsidR="00CA1920" w:rsidRPr="00BD16B4" w:rsidRDefault="00CA1920" w:rsidP="00CA1920">
      <w:pPr>
        <w:pStyle w:val="Bullet"/>
      </w:pPr>
      <w:r w:rsidRPr="00BD16B4">
        <w:t>NZ$137 million over 12 years to support public transport authorities to invest in bus decarbonisation initiatives</w:t>
      </w:r>
    </w:p>
    <w:p w14:paraId="09B70201" w14:textId="77777777" w:rsidR="00CA1920" w:rsidRPr="00BD16B4" w:rsidRDefault="00CA1920" w:rsidP="00CA1920">
      <w:pPr>
        <w:pStyle w:val="Bullet"/>
        <w:rPr>
          <w:rFonts w:cs="Calibri"/>
        </w:rPr>
      </w:pPr>
      <w:r w:rsidRPr="00BD16B4">
        <w:t xml:space="preserve">approximately NZ$25 million a year to implement and operate Community Connect </w:t>
      </w:r>
      <w:r w:rsidRPr="00BD16B4">
        <w:br/>
        <w:t>– a 50 per cent concession on public transport for Community Services Card holders.</w:t>
      </w:r>
    </w:p>
    <w:p w14:paraId="4CD48C1F" w14:textId="77777777" w:rsidR="00CA1920" w:rsidRPr="00BD16B4" w:rsidRDefault="00CA1920" w:rsidP="004E1B8C">
      <w:pPr>
        <w:pStyle w:val="Heading4"/>
        <w:rPr>
          <w:rFonts w:eastAsia="Calibri"/>
        </w:rPr>
      </w:pPr>
      <w:r w:rsidRPr="00BD16B4">
        <w:rPr>
          <w:rFonts w:eastAsia="Calibri"/>
        </w:rPr>
        <w:t>Rapidly adopting low-emission vehicles</w:t>
      </w:r>
    </w:p>
    <w:p w14:paraId="11105E1A" w14:textId="77777777" w:rsidR="00CA1920" w:rsidRPr="00BD16B4" w:rsidRDefault="00CA1920" w:rsidP="00CA1920">
      <w:pPr>
        <w:pStyle w:val="BodyText"/>
      </w:pPr>
      <w:r w:rsidRPr="00BD16B4">
        <w:t>Since 2016 the Government has been implementing a suite of initiatives to encourage electric vehicle uptake.</w:t>
      </w:r>
      <w:r w:rsidRPr="00BD16B4">
        <w:rPr>
          <w:rStyle w:val="FootnoteReference"/>
        </w:rPr>
        <w:footnoteReference w:id="187"/>
      </w:r>
      <w:r w:rsidRPr="00BD16B4">
        <w:t xml:space="preserve"> New Zealand’s competitive advantage in renewable electricity generation enables electric vehicle opportunities to be encouraged. The initiatives aim to tackle and remove barriers that may prevent households and businesses from choosing electric vehicles. The initiatives that have been implemented are described below.</w:t>
      </w:r>
    </w:p>
    <w:p w14:paraId="3BF6C0F2" w14:textId="77777777" w:rsidR="00CA1920" w:rsidRPr="00BD16B4" w:rsidRDefault="00CA1920" w:rsidP="00CA1920">
      <w:pPr>
        <w:pStyle w:val="Heading5"/>
        <w:rPr>
          <w:rFonts w:eastAsia="Calibri"/>
        </w:rPr>
      </w:pPr>
      <w:r w:rsidRPr="00BD16B4">
        <w:rPr>
          <w:rFonts w:eastAsia="Calibri"/>
        </w:rPr>
        <w:t>Road User Charge exemptions</w:t>
      </w:r>
    </w:p>
    <w:p w14:paraId="0454D1EB" w14:textId="77777777" w:rsidR="00CA1920" w:rsidRPr="00BD16B4" w:rsidRDefault="00CA1920" w:rsidP="00CA1920">
      <w:pPr>
        <w:pStyle w:val="BodyText"/>
      </w:pPr>
      <w:r w:rsidRPr="00BD16B4">
        <w:t>The removal of road user charges was introduced as an incentive to encourage electric vehicle uptake in both the light and heavy fleets.</w:t>
      </w:r>
    </w:p>
    <w:p w14:paraId="4505DB38" w14:textId="77777777" w:rsidR="00CA1920" w:rsidRPr="00BD16B4" w:rsidRDefault="00CA1920" w:rsidP="00CA1920">
      <w:pPr>
        <w:pStyle w:val="BodyText"/>
      </w:pPr>
      <w:r w:rsidRPr="00BD16B4">
        <w:t>A Road User Charges exemption on light electric vehicles commenced in 2012 and will run until 31 March 2024. A new Road User Charges exemption for heavy electric vehicles was introduced in 2017 and will run until 31 December 2025.</w:t>
      </w:r>
      <w:r w:rsidRPr="00BD16B4">
        <w:rPr>
          <w:vertAlign w:val="superscript"/>
        </w:rPr>
        <w:footnoteReference w:id="188"/>
      </w:r>
    </w:p>
    <w:p w14:paraId="0CB7CBB0" w14:textId="77777777" w:rsidR="00CA1920" w:rsidRPr="00BD16B4" w:rsidRDefault="00CA1920" w:rsidP="00CA1920">
      <w:pPr>
        <w:pStyle w:val="Heading5"/>
        <w:rPr>
          <w:rFonts w:eastAsia="Calibri"/>
        </w:rPr>
      </w:pPr>
      <w:r w:rsidRPr="00BD16B4">
        <w:rPr>
          <w:rFonts w:eastAsia="Calibri"/>
        </w:rPr>
        <w:t>Clean Vehicle Discount Scheme</w:t>
      </w:r>
    </w:p>
    <w:p w14:paraId="020DD856" w14:textId="77777777" w:rsidR="00CA1920" w:rsidRPr="00BD16B4" w:rsidRDefault="00CA1920" w:rsidP="00CA1920">
      <w:pPr>
        <w:pStyle w:val="BodyText"/>
        <w:rPr>
          <w:rFonts w:eastAsia="Calibri"/>
        </w:rPr>
      </w:pPr>
      <w:r w:rsidRPr="00BD16B4">
        <w:rPr>
          <w:rFonts w:eastAsia="Calibri"/>
        </w:rPr>
        <w:t>The Clean Vehicle Discount encourages buyer demand for low-emission vehicles by providing rebates for zero- and low-emission light vehicles, and requiring a fee be paid for high-emission vehicles, registered in New Zealand for the first time.</w:t>
      </w:r>
      <w:r w:rsidRPr="00BD16B4">
        <w:rPr>
          <w:rStyle w:val="FootnoteReference"/>
          <w:rFonts w:eastAsia="Calibri"/>
        </w:rPr>
        <w:footnoteReference w:id="189"/>
      </w:r>
    </w:p>
    <w:p w14:paraId="683113F6" w14:textId="77777777" w:rsidR="00CA1920" w:rsidRPr="00BD16B4" w:rsidRDefault="00CA1920" w:rsidP="00CA1920">
      <w:pPr>
        <w:pStyle w:val="BodyText"/>
        <w:rPr>
          <w:rFonts w:eastAsia="Calibri"/>
        </w:rPr>
      </w:pPr>
      <w:r w:rsidRPr="00BD16B4">
        <w:rPr>
          <w:rFonts w:eastAsia="Calibri"/>
        </w:rPr>
        <w:t>The Clean Vehicle Discount is based on carbon dioxide (CO</w:t>
      </w:r>
      <w:r w:rsidRPr="00BD16B4">
        <w:rPr>
          <w:rFonts w:eastAsia="Calibri"/>
          <w:vertAlign w:val="subscript"/>
        </w:rPr>
        <w:t>2</w:t>
      </w:r>
      <w:r w:rsidRPr="00BD16B4">
        <w:rPr>
          <w:rFonts w:eastAsia="Calibri"/>
        </w:rPr>
        <w:t>) emissions. The rebate part of this policy for those buying zero- and low-emission vehicles was introduced in July 2021. The second part, comprising fees for those purchasing higher-emitting vehicles, was introduced on 1 April 2022. Significant increases in the share of electric vehicle and hybrid vehicle sales, as well as the variety of available vehicle models, have occurred as a consequence.</w:t>
      </w:r>
    </w:p>
    <w:p w14:paraId="3DD7B177" w14:textId="77777777" w:rsidR="00CA1920" w:rsidRPr="00BD16B4" w:rsidRDefault="00CA1920" w:rsidP="00CA1920">
      <w:pPr>
        <w:pStyle w:val="Heading5"/>
        <w:rPr>
          <w:rFonts w:eastAsia="Calibri"/>
        </w:rPr>
      </w:pPr>
      <w:r w:rsidRPr="00BD16B4">
        <w:rPr>
          <w:rFonts w:eastAsia="Calibri"/>
        </w:rPr>
        <w:lastRenderedPageBreak/>
        <w:t>Clean Vehicle Standard</w:t>
      </w:r>
    </w:p>
    <w:p w14:paraId="16BFFEB2" w14:textId="77777777" w:rsidR="00CA1920" w:rsidRPr="00BD16B4" w:rsidRDefault="00CA1920" w:rsidP="00CA1920">
      <w:pPr>
        <w:pStyle w:val="BodyText"/>
        <w:rPr>
          <w:rFonts w:eastAsia="Calibri"/>
        </w:rPr>
      </w:pPr>
      <w:r w:rsidRPr="00BD16B4">
        <w:rPr>
          <w:rFonts w:eastAsia="Calibri"/>
        </w:rPr>
        <w:t>The Clean Vehicle Standard was passed into legislation in February 2022.</w:t>
      </w:r>
      <w:r w:rsidRPr="00BD16B4">
        <w:rPr>
          <w:rFonts w:eastAsia="Calibri"/>
          <w:vertAlign w:val="superscript"/>
        </w:rPr>
        <w:footnoteReference w:id="190"/>
      </w:r>
      <w:r w:rsidRPr="00BD16B4">
        <w:rPr>
          <w:rFonts w:eastAsia="Calibri"/>
        </w:rPr>
        <w:t xml:space="preserve"> It sets ambitious annual targets for the period 2023–27 that require light vehicle importers to progressively reduce the CO</w:t>
      </w:r>
      <w:r w:rsidRPr="00BD16B4">
        <w:rPr>
          <w:rFonts w:eastAsia="Calibri"/>
          <w:vertAlign w:val="subscript"/>
        </w:rPr>
        <w:t>2</w:t>
      </w:r>
      <w:r w:rsidRPr="00BD16B4">
        <w:rPr>
          <w:rFonts w:eastAsia="Calibri"/>
        </w:rPr>
        <w:t xml:space="preserve"> emissions of the vehicles they import. It allows subsequent targets for 2028 and later years to be set by regulation. By 2027, the strength of the targets rival those in leading markets such as North America and the European Union.</w:t>
      </w:r>
    </w:p>
    <w:p w14:paraId="5E9AABAF" w14:textId="77777777" w:rsidR="00CA1920" w:rsidRPr="00BD16B4" w:rsidRDefault="00CA1920" w:rsidP="00CA1920">
      <w:pPr>
        <w:pStyle w:val="BodyText"/>
        <w:rPr>
          <w:rFonts w:eastAsia="Calibri"/>
        </w:rPr>
      </w:pPr>
      <w:r w:rsidRPr="00BD16B4">
        <w:rPr>
          <w:rFonts w:eastAsia="Calibri"/>
        </w:rPr>
        <w:t xml:space="preserve">Importers will be encouraged to bring cleaner cars into New Zealand by ensuring that, on average, the vehicles they import each year achieve the annual </w:t>
      </w:r>
      <w:r w:rsidRPr="00BD16B4">
        <w:t>CO</w:t>
      </w:r>
      <w:r w:rsidRPr="00BD16B4">
        <w:rPr>
          <w:vertAlign w:val="subscript"/>
        </w:rPr>
        <w:t xml:space="preserve">2 </w:t>
      </w:r>
      <w:r w:rsidRPr="00BD16B4">
        <w:rPr>
          <w:rFonts w:eastAsia="Calibri"/>
        </w:rPr>
        <w:t xml:space="preserve">targets. Importers face charges calculated per vehicle and per gram of </w:t>
      </w:r>
      <w:r w:rsidRPr="00BD16B4">
        <w:t>CO</w:t>
      </w:r>
      <w:r w:rsidRPr="00BD16B4">
        <w:rPr>
          <w:vertAlign w:val="subscript"/>
        </w:rPr>
        <w:t>2</w:t>
      </w:r>
      <w:r w:rsidRPr="00BD16B4">
        <w:rPr>
          <w:rFonts w:eastAsia="Calibri"/>
        </w:rPr>
        <w:t xml:space="preserve"> where targets are not met. </w:t>
      </w:r>
    </w:p>
    <w:p w14:paraId="6EB93B2D" w14:textId="48FA9355" w:rsidR="00CA1920" w:rsidRPr="00BD16B4" w:rsidRDefault="00CA1920" w:rsidP="00CA1920">
      <w:pPr>
        <w:pStyle w:val="BodyText"/>
        <w:rPr>
          <w:rFonts w:eastAsia="Calibri"/>
        </w:rPr>
      </w:pPr>
      <w:r w:rsidRPr="00BD16B4">
        <w:t xml:space="preserve">To meet the emissions reduction plan target of 30 per cent of our light vehicle fleet being zero emissions by 2050, and to contribute to achieving net zero </w:t>
      </w:r>
      <w:r w:rsidR="003175F0" w:rsidRPr="00BD16B4">
        <w:t>carbon</w:t>
      </w:r>
      <w:r w:rsidRPr="00BD16B4">
        <w:t xml:space="preserve"> economy by 2050, progressively stricter annual CO</w:t>
      </w:r>
      <w:r w:rsidRPr="00BD16B4">
        <w:rPr>
          <w:vertAlign w:val="subscript"/>
        </w:rPr>
        <w:t>2</w:t>
      </w:r>
      <w:r w:rsidRPr="00BD16B4">
        <w:t xml:space="preserve"> targets could be imposed on vehicle importers from 2028 until this eventually reaches 0 grams. </w:t>
      </w:r>
    </w:p>
    <w:p w14:paraId="53202F0C" w14:textId="77777777" w:rsidR="00CA1920" w:rsidRPr="00BD16B4" w:rsidRDefault="00CA1920" w:rsidP="00CA1920">
      <w:pPr>
        <w:pStyle w:val="Heading5"/>
        <w:rPr>
          <w:rFonts w:eastAsia="Calibri"/>
        </w:rPr>
      </w:pPr>
      <w:r w:rsidRPr="00BD16B4">
        <w:rPr>
          <w:rFonts w:eastAsia="Calibri"/>
        </w:rPr>
        <w:t>Low Emissions Transport Fund</w:t>
      </w:r>
    </w:p>
    <w:p w14:paraId="14B9C963" w14:textId="77777777" w:rsidR="00CA1920" w:rsidRPr="00BD16B4" w:rsidRDefault="00CA1920" w:rsidP="00CA1920">
      <w:pPr>
        <w:pStyle w:val="BodyText"/>
      </w:pPr>
      <w:r w:rsidRPr="00BD16B4">
        <w:t>Since 2016, EECA have been supporting the uptake of low-emission vehicles through the Low Emission Vehicle Contestable Fund (LEVCF). Key achievements included:</w:t>
      </w:r>
    </w:p>
    <w:p w14:paraId="366F8F44" w14:textId="77777777" w:rsidR="00CA1920" w:rsidRPr="00BD16B4" w:rsidRDefault="00CA1920" w:rsidP="00CA1920">
      <w:pPr>
        <w:pStyle w:val="Bullet"/>
      </w:pPr>
      <w:r w:rsidRPr="00BD16B4">
        <w:t>funding the installation of 832 public charging stations</w:t>
      </w:r>
    </w:p>
    <w:p w14:paraId="70D7F54C" w14:textId="77777777" w:rsidR="00CA1920" w:rsidRPr="00BD16B4" w:rsidRDefault="00CA1920" w:rsidP="00CA1920">
      <w:pPr>
        <w:pStyle w:val="Bullet"/>
      </w:pPr>
      <w:r w:rsidRPr="00BD16B4">
        <w:t>supporting 647 new low-emission vehicles, from light vehicles to heavy freight vehicles</w:t>
      </w:r>
    </w:p>
    <w:p w14:paraId="27EA5D65" w14:textId="77777777" w:rsidR="00CA1920" w:rsidRPr="00BD16B4" w:rsidRDefault="00CA1920" w:rsidP="00CA1920">
      <w:pPr>
        <w:pStyle w:val="Bullet"/>
      </w:pPr>
      <w:r w:rsidRPr="00BD16B4">
        <w:t>funding a fleet optimisation pilot project to reduce fleet sizes and help prepare for electric vehicles</w:t>
      </w:r>
    </w:p>
    <w:p w14:paraId="650DBE09" w14:textId="77777777" w:rsidR="00CA1920" w:rsidRPr="00BD16B4" w:rsidRDefault="00CA1920" w:rsidP="00CA1920">
      <w:pPr>
        <w:pStyle w:val="Bullet"/>
      </w:pPr>
      <w:r w:rsidRPr="00BD16B4">
        <w:t>supporting the delivery of New Zealand’s first hydrogen fuel cell bus and 300 kilowatt hyper electric vehicle charger.</w:t>
      </w:r>
    </w:p>
    <w:p w14:paraId="5B405102" w14:textId="77777777" w:rsidR="00CA1920" w:rsidRPr="00BD16B4" w:rsidRDefault="00CA1920" w:rsidP="00CA1920">
      <w:pPr>
        <w:pStyle w:val="BodyText"/>
      </w:pPr>
      <w:r w:rsidRPr="00BD16B4">
        <w:t xml:space="preserve">In 2021, the LEVCF was reconfigured into the Low Emissions Transport Fund (LETF) to better reflect the expanded scope for projects, which is supporting the demonstration and adoption of low-emissions transport technology, innovation and infrastructure to accelerate the decarbonisation of New Zealand’s transport sector. The Government will increase the funding contribution from NZ$6–7 million per year to NZ$25 million per year by 2023/24. </w:t>
      </w:r>
    </w:p>
    <w:p w14:paraId="4D70AF97" w14:textId="77777777" w:rsidR="00CA1920" w:rsidRPr="00BD16B4" w:rsidRDefault="00CA1920" w:rsidP="00CA1920">
      <w:pPr>
        <w:pStyle w:val="BodyText"/>
      </w:pPr>
      <w:r w:rsidRPr="00BD16B4">
        <w:t>Although the LETF launched less than a year ago, the fund has already supported some important projects to accelerate the adoption of low-emission transport. This includes:</w:t>
      </w:r>
    </w:p>
    <w:p w14:paraId="770D02FA" w14:textId="77777777" w:rsidR="00CA1920" w:rsidRPr="00BD16B4" w:rsidRDefault="00CA1920" w:rsidP="00CA1920">
      <w:pPr>
        <w:pStyle w:val="Bullet"/>
      </w:pPr>
      <w:r w:rsidRPr="00BD16B4">
        <w:t>committing funding to 51 public charging stations to fill key gaps in the public charging network</w:t>
      </w:r>
      <w:r w:rsidRPr="00BD16B4">
        <w:rPr>
          <w:rStyle w:val="FootnoteReference"/>
          <w:color w:val="auto"/>
        </w:rPr>
        <w:footnoteReference w:id="191"/>
      </w:r>
    </w:p>
    <w:p w14:paraId="493829D4" w14:textId="77777777" w:rsidR="00CA1920" w:rsidRPr="00BD16B4" w:rsidRDefault="00CA1920" w:rsidP="00CA1920">
      <w:pPr>
        <w:pStyle w:val="Bullet"/>
      </w:pPr>
      <w:r w:rsidRPr="00BD16B4">
        <w:t>New Zealand’s first electric milk tanker</w:t>
      </w:r>
    </w:p>
    <w:p w14:paraId="0AA99158" w14:textId="77777777" w:rsidR="00CA1920" w:rsidRPr="00BD16B4" w:rsidRDefault="00CA1920" w:rsidP="00CA1920">
      <w:pPr>
        <w:pStyle w:val="Bullet"/>
      </w:pPr>
      <w:r w:rsidRPr="00BD16B4">
        <w:t>a wireless charging ground-pad solution for electric buses</w:t>
      </w:r>
    </w:p>
    <w:p w14:paraId="2639A2F4" w14:textId="77777777" w:rsidR="00CA1920" w:rsidRPr="00BD16B4" w:rsidRDefault="00CA1920" w:rsidP="00CA1920">
      <w:pPr>
        <w:pStyle w:val="Bullet"/>
      </w:pPr>
      <w:r w:rsidRPr="00BD16B4">
        <w:t>the construction of a passenger bus with solar panels providing 5 to 10 per cent of its own power so that is has greater range and less maintenance than other electric buses.</w:t>
      </w:r>
    </w:p>
    <w:p w14:paraId="0C2D3725" w14:textId="77777777" w:rsidR="00CA1920" w:rsidRPr="00BD16B4" w:rsidRDefault="00CA1920" w:rsidP="00CA1920">
      <w:pPr>
        <w:pStyle w:val="Heading5"/>
        <w:rPr>
          <w:rFonts w:eastAsia="Calibri"/>
        </w:rPr>
      </w:pPr>
      <w:r w:rsidRPr="00BD16B4">
        <w:rPr>
          <w:rFonts w:eastAsia="Calibri"/>
        </w:rPr>
        <w:lastRenderedPageBreak/>
        <w:t>Electric vehicle charging infrastructure</w:t>
      </w:r>
    </w:p>
    <w:p w14:paraId="3DA94B60" w14:textId="77777777" w:rsidR="00CA1920" w:rsidRPr="00BD16B4" w:rsidRDefault="00CA1920" w:rsidP="00CA1920">
      <w:pPr>
        <w:pStyle w:val="BodyText"/>
        <w:spacing w:before="100" w:after="100"/>
        <w:rPr>
          <w:rFonts w:eastAsia="Calibri"/>
        </w:rPr>
      </w:pPr>
      <w:r w:rsidRPr="00BD16B4">
        <w:rPr>
          <w:rFonts w:eastAsia="Calibri"/>
        </w:rPr>
        <w:t>A draft national electric vehicle charging infrastructure strategy (due at the end of 2022) will set out the Government’s vision and policy objectives around electric vehicle charging. It will support the transition to and use of low-emissions transport by being accessible, affordable, convenient, secure and reliable for all users.</w:t>
      </w:r>
    </w:p>
    <w:p w14:paraId="22BD7FEA" w14:textId="77777777" w:rsidR="00CA1920" w:rsidRPr="00BD16B4" w:rsidRDefault="00CA1920" w:rsidP="00CA1920">
      <w:pPr>
        <w:pStyle w:val="Heading5"/>
        <w:rPr>
          <w:rFonts w:eastAsia="Calibri"/>
        </w:rPr>
      </w:pPr>
      <w:r w:rsidRPr="00BD16B4">
        <w:rPr>
          <w:rFonts w:eastAsia="Calibri"/>
        </w:rPr>
        <w:t>Vehicle Fuel Economy Labelling programme</w:t>
      </w:r>
    </w:p>
    <w:p w14:paraId="5AE0E5E9" w14:textId="77777777" w:rsidR="00CA1920" w:rsidRPr="00BD16B4" w:rsidRDefault="00CA1920" w:rsidP="00CA1920">
      <w:pPr>
        <w:pStyle w:val="BodyText"/>
        <w:spacing w:before="100" w:after="100"/>
        <w:rPr>
          <w:rFonts w:eastAsia="Calibri"/>
        </w:rPr>
      </w:pPr>
      <w:r w:rsidRPr="00BD16B4">
        <w:rPr>
          <w:rFonts w:eastAsia="Calibri"/>
        </w:rPr>
        <w:t xml:space="preserve">The Vehicle Fuel Economy Labelling programme, which came into effect in April 2008, makes it compulsory for vehicle traders and online vendors to display information about the fuel economy of their vehicles. Its aim is to allow consumers to make a more informed choice when purchasing a vehicle and place an appropriate value on fuel economy. </w:t>
      </w:r>
    </w:p>
    <w:p w14:paraId="00E0F470" w14:textId="77777777" w:rsidR="00CA1920" w:rsidRPr="00BD16B4" w:rsidRDefault="00CA1920" w:rsidP="00CA1920">
      <w:pPr>
        <w:pStyle w:val="BodyText"/>
        <w:spacing w:before="100" w:after="100"/>
        <w:rPr>
          <w:rFonts w:eastAsia="Calibri"/>
        </w:rPr>
      </w:pPr>
      <w:r w:rsidRPr="00BD16B4">
        <w:rPr>
          <w:rFonts w:eastAsia="Calibri"/>
        </w:rPr>
        <w:t>In 2022, the label was updated to clearly display the CO</w:t>
      </w:r>
      <w:r w:rsidRPr="00BD16B4">
        <w:rPr>
          <w:rFonts w:eastAsia="Calibri"/>
          <w:vertAlign w:val="subscript"/>
        </w:rPr>
        <w:t>2</w:t>
      </w:r>
      <w:r w:rsidRPr="00BD16B4">
        <w:rPr>
          <w:rFonts w:eastAsia="Calibri"/>
        </w:rPr>
        <w:t xml:space="preserve"> emissions of vehicles, and any rebate available or charge payable under the Clean Vehicle Discount Scheme. Star ratings for carbon emissions were recalibrated to be much stricter; vehicles must now produce much lower emissions to receive a high star rating.</w:t>
      </w:r>
    </w:p>
    <w:p w14:paraId="510E2987" w14:textId="77777777" w:rsidR="00CA1920" w:rsidRPr="00BD16B4" w:rsidRDefault="00CA1920" w:rsidP="004E1B8C">
      <w:pPr>
        <w:pStyle w:val="Heading4"/>
        <w:rPr>
          <w:rFonts w:eastAsia="Calibri"/>
        </w:rPr>
      </w:pPr>
      <w:r w:rsidRPr="00BD16B4">
        <w:rPr>
          <w:rFonts w:eastAsia="Calibri"/>
        </w:rPr>
        <w:t xml:space="preserve">Begin work now to decarbonise heavy transport and freight </w:t>
      </w:r>
    </w:p>
    <w:p w14:paraId="275C0CC4" w14:textId="77777777" w:rsidR="00CA1920" w:rsidRPr="00BD16B4" w:rsidRDefault="00CA1920" w:rsidP="00CA1920">
      <w:pPr>
        <w:pStyle w:val="Heading5"/>
        <w:rPr>
          <w:rFonts w:eastAsia="Calibri"/>
        </w:rPr>
      </w:pPr>
      <w:bookmarkStart w:id="240" w:name="_Hlk112768418"/>
      <w:r w:rsidRPr="00BD16B4">
        <w:rPr>
          <w:rFonts w:eastAsia="Calibri"/>
        </w:rPr>
        <w:t>Freight and Supply Chain Strategy</w:t>
      </w:r>
    </w:p>
    <w:p w14:paraId="11628FA7" w14:textId="77777777" w:rsidR="00CA1920" w:rsidRPr="00BD16B4" w:rsidRDefault="00CA1920" w:rsidP="00CA1920">
      <w:pPr>
        <w:pStyle w:val="BodyText"/>
        <w:rPr>
          <w:rFonts w:eastAsia="Calibri"/>
        </w:rPr>
      </w:pPr>
      <w:r w:rsidRPr="00BD16B4">
        <w:rPr>
          <w:rFonts w:eastAsia="Calibri"/>
        </w:rPr>
        <w:t xml:space="preserve">A Freight and Supply Chain Strategy is being developed in collaboration with iwi/Māori, local government and industry. It will set out system-wide actions that need to happen across the sector to achieve our decarbonisation, resilience, productivity, and wellbeing outcomes. </w:t>
      </w:r>
    </w:p>
    <w:p w14:paraId="0D2DA1FC" w14:textId="77777777" w:rsidR="00CA1920" w:rsidRPr="00BD16B4" w:rsidRDefault="00CA1920" w:rsidP="00CA1920">
      <w:pPr>
        <w:pStyle w:val="BodyText"/>
        <w:rPr>
          <w:rFonts w:eastAsia="Calibri"/>
        </w:rPr>
      </w:pPr>
      <w:r w:rsidRPr="00BD16B4">
        <w:rPr>
          <w:rFonts w:eastAsia="Calibri"/>
        </w:rPr>
        <w:t>This includes exploring longer-term options for decarbonising freight modes and identifying quick wins, and exploring ways to encourage greater mode-shift to rail and coastal shipping. The Strategy will build on work being progressed in the first emissions budget period and set the pathway for what actions we should take in the second and third budget periods.</w:t>
      </w:r>
    </w:p>
    <w:bookmarkEnd w:id="240"/>
    <w:p w14:paraId="2AABE962" w14:textId="77777777" w:rsidR="00CA1920" w:rsidRPr="00BD16B4" w:rsidRDefault="00CA1920" w:rsidP="00CA1920">
      <w:pPr>
        <w:pStyle w:val="Heading5"/>
        <w:rPr>
          <w:rFonts w:eastAsia="Calibri"/>
        </w:rPr>
      </w:pPr>
      <w:r w:rsidRPr="00BD16B4">
        <w:rPr>
          <w:rFonts w:eastAsia="Calibri"/>
        </w:rPr>
        <w:t>Zero-emissions trucks and buses</w:t>
      </w:r>
    </w:p>
    <w:p w14:paraId="20252E38" w14:textId="77777777" w:rsidR="00CA1920" w:rsidRPr="00BD16B4" w:rsidRDefault="00CA1920" w:rsidP="00CA1920">
      <w:pPr>
        <w:pStyle w:val="BodyText"/>
      </w:pPr>
      <w:r w:rsidRPr="00BD16B4">
        <w:t xml:space="preserve">Heavy vehicles (trucks and buses) contribute a quarter of </w:t>
      </w:r>
      <w:r w:rsidRPr="00BD16B4" w:rsidDel="0013012B">
        <w:rPr>
          <w:rFonts w:eastAsia="Calibri"/>
        </w:rPr>
        <w:t>Aotearoa</w:t>
      </w:r>
      <w:r w:rsidRPr="00BD16B4">
        <w:t xml:space="preserve"> New Zealand’s carbon emissions related to road use. The Government requires that only zero-emission public transport buses be purchased by 2025. The Government is now exploring policy options to encourage the uptake of zero-emission trucks.</w:t>
      </w:r>
    </w:p>
    <w:p w14:paraId="4D6AD71C" w14:textId="77777777" w:rsidR="00CA1920" w:rsidRPr="00BD16B4" w:rsidRDefault="00CA1920" w:rsidP="00CA1920">
      <w:pPr>
        <w:pStyle w:val="Heading5"/>
        <w:rPr>
          <w:rFonts w:eastAsia="Calibri"/>
        </w:rPr>
      </w:pPr>
      <w:r w:rsidRPr="00BD16B4">
        <w:rPr>
          <w:rFonts w:eastAsia="Calibri"/>
        </w:rPr>
        <w:t>Sustainable Biofuels Obligation</w:t>
      </w:r>
    </w:p>
    <w:p w14:paraId="16CB32ED" w14:textId="77777777" w:rsidR="00CA1920" w:rsidRPr="00BD16B4" w:rsidRDefault="00CA1920" w:rsidP="00CA1920">
      <w:pPr>
        <w:pStyle w:val="BodyText"/>
        <w:rPr>
          <w:rFonts w:eastAsia="Calibri"/>
        </w:rPr>
      </w:pPr>
      <w:r w:rsidRPr="00BD16B4">
        <w:rPr>
          <w:rFonts w:eastAsia="Calibri"/>
        </w:rPr>
        <w:t>On 9 November 2022, the Government introduced the Sustainable Biofuel Obligation Bill to help overcome the cost and risk barriers to sustainable biofuels uptake. This bill introduces an obligation for any person or company that imports or refines more than 50,000 litres of liquid fossil fuels for transport in New Zealand, excluding aviation fuels, to reduce the greenhouse gas emissions intensity of those fuels by also supplying sustainable biofuels.</w:t>
      </w:r>
    </w:p>
    <w:p w14:paraId="0C6D7B34" w14:textId="77777777" w:rsidR="00CA1920" w:rsidRPr="00BD16B4" w:rsidRDefault="00CA1920" w:rsidP="00CA1920">
      <w:pPr>
        <w:pStyle w:val="BodyText"/>
        <w:rPr>
          <w:rFonts w:eastAsia="Calibri"/>
        </w:rPr>
      </w:pPr>
      <w:r w:rsidRPr="00BD16B4">
        <w:rPr>
          <w:rFonts w:eastAsia="Calibri"/>
        </w:rPr>
        <w:t xml:space="preserve">The Obligation will come into force on 1 April 2024. </w:t>
      </w:r>
    </w:p>
    <w:p w14:paraId="5F1C29D8" w14:textId="40E32332" w:rsidR="00CA1920" w:rsidRPr="00BD16B4" w:rsidRDefault="00CA1920" w:rsidP="00CA1920">
      <w:pPr>
        <w:pStyle w:val="BodyText"/>
        <w:rPr>
          <w:rFonts w:eastAsia="Calibri"/>
        </w:rPr>
      </w:pPr>
      <w:r w:rsidRPr="00BD16B4">
        <w:rPr>
          <w:rFonts w:eastAsia="Calibri"/>
        </w:rPr>
        <w:t>The Obligation will require fuel wholesalers that purchase or import fuel for use in New</w:t>
      </w:r>
      <w:r w:rsidR="004B7458" w:rsidRPr="00BD16B4">
        <w:rPr>
          <w:rFonts w:eastAsia="Calibri"/>
        </w:rPr>
        <w:t> </w:t>
      </w:r>
      <w:r w:rsidRPr="00BD16B4">
        <w:rPr>
          <w:rFonts w:eastAsia="Calibri"/>
        </w:rPr>
        <w:t>Zealand</w:t>
      </w:r>
      <w:r w:rsidRPr="00BD16B4" w:rsidDel="0013012B">
        <w:rPr>
          <w:rFonts w:eastAsia="Calibri"/>
        </w:rPr>
        <w:t xml:space="preserve"> </w:t>
      </w:r>
      <w:r w:rsidRPr="00BD16B4">
        <w:rPr>
          <w:rFonts w:eastAsia="Calibri"/>
        </w:rPr>
        <w:t>to reduce the total emissions of the fuels they sell by a set percentage each year.</w:t>
      </w:r>
      <w:r w:rsidR="004B7458" w:rsidRPr="00BD16B4">
        <w:rPr>
          <w:rFonts w:eastAsia="Calibri"/>
        </w:rPr>
        <w:t> </w:t>
      </w:r>
      <w:r w:rsidRPr="00BD16B4">
        <w:rPr>
          <w:rFonts w:eastAsia="Calibri"/>
        </w:rPr>
        <w:t>Fuel suppliers will do this by blending biofuels into some, or potentially all, of the fuels</w:t>
      </w:r>
      <w:r w:rsidR="00F40559" w:rsidRPr="00BD16B4">
        <w:rPr>
          <w:rFonts w:eastAsia="Calibri"/>
        </w:rPr>
        <w:t> </w:t>
      </w:r>
      <w:r w:rsidRPr="00BD16B4">
        <w:rPr>
          <w:rFonts w:eastAsia="Calibri"/>
        </w:rPr>
        <w:t>they sell. Both domestically produced and imported biofuels can be used to meet the</w:t>
      </w:r>
      <w:r w:rsidR="00F40559" w:rsidRPr="00BD16B4">
        <w:rPr>
          <w:rFonts w:eastAsia="Calibri"/>
        </w:rPr>
        <w:t> </w:t>
      </w:r>
      <w:r w:rsidRPr="00BD16B4">
        <w:rPr>
          <w:rFonts w:eastAsia="Calibri"/>
        </w:rPr>
        <w:t>percentage reduction, subject to their meeting set sustainability criteria.</w:t>
      </w:r>
    </w:p>
    <w:p w14:paraId="567E26E6" w14:textId="77777777" w:rsidR="00CA1920" w:rsidRPr="00BD16B4" w:rsidRDefault="00CA1920" w:rsidP="00CA1920">
      <w:pPr>
        <w:pStyle w:val="BodyText"/>
        <w:rPr>
          <w:rFonts w:eastAsia="Calibri"/>
        </w:rPr>
      </w:pPr>
      <w:r w:rsidRPr="00BD16B4">
        <w:rPr>
          <w:rFonts w:eastAsia="Calibri"/>
        </w:rPr>
        <w:lastRenderedPageBreak/>
        <w:t>The Obligation will set a single target for petrol and diesel fuels. A separate mandate for sustainable aviation fuels (SAF) will also be considered.</w:t>
      </w:r>
    </w:p>
    <w:p w14:paraId="40A720D1" w14:textId="77777777" w:rsidR="00CA1920" w:rsidRPr="00BD16B4" w:rsidRDefault="00CA1920" w:rsidP="00CA1920">
      <w:pPr>
        <w:pStyle w:val="Heading5"/>
        <w:rPr>
          <w:rFonts w:eastAsia="Calibri"/>
        </w:rPr>
      </w:pPr>
      <w:bookmarkStart w:id="241" w:name="_Hlk113280492"/>
      <w:r w:rsidRPr="00BD16B4">
        <w:rPr>
          <w:rFonts w:eastAsia="Calibri"/>
        </w:rPr>
        <w:t>Infrastructure and planning</w:t>
      </w:r>
    </w:p>
    <w:p w14:paraId="66A2D4E7" w14:textId="77777777" w:rsidR="00CA1920" w:rsidRPr="00BD16B4" w:rsidRDefault="00CA1920" w:rsidP="00CA1920">
      <w:pPr>
        <w:pStyle w:val="BodyText"/>
        <w:rPr>
          <w:rFonts w:eastAsia="Calibri"/>
        </w:rPr>
      </w:pPr>
      <w:r w:rsidRPr="00BD16B4">
        <w:rPr>
          <w:rFonts w:eastAsia="Calibri"/>
        </w:rPr>
        <w:t>As part of the Carbon Neutral Government Programme, Waka Kotahi is transitioning to lower</w:t>
      </w:r>
      <w:r w:rsidRPr="00BD16B4">
        <w:rPr>
          <w:rFonts w:eastAsia="Calibri"/>
        </w:rPr>
        <w:noBreakHyphen/>
        <w:t xml:space="preserve">emissions transport infrastructure. It has committed to lowering the carbon footprint of construction projects and is on a structured pathway for measuring and reporting on progress against emissions reduction targets for non-corporate emissions. Waka Kotahi is also reducing its corporate emissions in line with an emissions reduction plan. </w:t>
      </w:r>
    </w:p>
    <w:p w14:paraId="0FCEA01A" w14:textId="39158F5C" w:rsidR="00CA1920" w:rsidRPr="00BD16B4" w:rsidRDefault="00CA1920" w:rsidP="00CA1920">
      <w:pPr>
        <w:pStyle w:val="BodyText"/>
        <w:rPr>
          <w:rFonts w:eastAsia="Calibri"/>
        </w:rPr>
      </w:pPr>
      <w:r w:rsidRPr="00BD16B4">
        <w:rPr>
          <w:rFonts w:eastAsia="Calibri"/>
        </w:rPr>
        <w:t>Waka Kotahi uses a Vehicle Emissions Prediction Model to predict enabled emissions from vehicles in the New Zealand fleet under typical road, traffic and operating conditions. It can be used to estimate enabled greenhouse gas emissions from road projects, and can be used to inform investment decisions. Waka Kotahi also uses a Vehicles Emissions Mapping Tool. This is</w:t>
      </w:r>
      <w:r w:rsidR="00F40559" w:rsidRPr="00BD16B4">
        <w:rPr>
          <w:rFonts w:eastAsia="Calibri"/>
        </w:rPr>
        <w:t> </w:t>
      </w:r>
      <w:r w:rsidRPr="00BD16B4">
        <w:rPr>
          <w:rFonts w:eastAsia="Calibri"/>
        </w:rPr>
        <w:t xml:space="preserve">a GIS (geographic information system) user interface that uses information from the Vehicle Emissions Prediction Model to visualise and map emissions related to the New Zealand road network. It provides context for planning and investment decision-making. </w:t>
      </w:r>
    </w:p>
    <w:p w14:paraId="04E0B46E" w14:textId="77777777" w:rsidR="00CA1920" w:rsidRPr="00BD16B4" w:rsidRDefault="00CA1920" w:rsidP="00CA1920">
      <w:pPr>
        <w:pStyle w:val="BodyText"/>
        <w:rPr>
          <w:rFonts w:eastAsia="Calibri"/>
        </w:rPr>
      </w:pPr>
      <w:r w:rsidRPr="00BD16B4">
        <w:rPr>
          <w:rFonts w:eastAsia="Calibri"/>
        </w:rPr>
        <w:t>Emissions impact assessment is required for all Waka Kotahi investment decisions.</w:t>
      </w:r>
      <w:bookmarkEnd w:id="241"/>
      <w:r w:rsidRPr="00BD16B4">
        <w:rPr>
          <w:rFonts w:eastAsia="Calibri"/>
        </w:rPr>
        <w:t xml:space="preserve"> </w:t>
      </w:r>
    </w:p>
    <w:p w14:paraId="3B768F2B" w14:textId="77777777" w:rsidR="00CA1920" w:rsidRPr="00BD16B4" w:rsidRDefault="00CA1920" w:rsidP="004E1B8C">
      <w:pPr>
        <w:pStyle w:val="Heading4"/>
      </w:pPr>
      <w:r w:rsidRPr="00BD16B4">
        <w:rPr>
          <w:rFonts w:eastAsia="Calibri"/>
        </w:rPr>
        <w:t>Cross-cutting measures to contribute to the delivery of a low-emissions transport system</w:t>
      </w:r>
    </w:p>
    <w:p w14:paraId="4E5F28BB" w14:textId="77777777" w:rsidR="00CA1920" w:rsidRPr="00BD16B4" w:rsidRDefault="00CA1920" w:rsidP="00CA1920">
      <w:pPr>
        <w:pStyle w:val="Heading5"/>
        <w:rPr>
          <w:rFonts w:eastAsia="Calibri"/>
        </w:rPr>
      </w:pPr>
      <w:r w:rsidRPr="00BD16B4">
        <w:rPr>
          <w:rFonts w:eastAsia="Calibri"/>
        </w:rPr>
        <w:t xml:space="preserve">Government Policy Statement on Land Transport 2021 </w:t>
      </w:r>
    </w:p>
    <w:p w14:paraId="33AA6C0B" w14:textId="77777777" w:rsidR="00CA1920" w:rsidRPr="00BD16B4" w:rsidRDefault="00CA1920" w:rsidP="00CA1920">
      <w:pPr>
        <w:pStyle w:val="BodyText"/>
        <w:rPr>
          <w:rFonts w:eastAsia="Calibri"/>
        </w:rPr>
      </w:pPr>
      <w:r w:rsidRPr="00BD16B4">
        <w:rPr>
          <w:rFonts w:eastAsia="Calibri"/>
        </w:rPr>
        <w:t xml:space="preserve">The </w:t>
      </w:r>
      <w:bookmarkStart w:id="242" w:name="_Hlk119165894"/>
      <w:r w:rsidRPr="00BD16B4">
        <w:rPr>
          <w:rFonts w:eastAsia="Calibri"/>
        </w:rPr>
        <w:t>Government Policy Statement on Land Transport</w:t>
      </w:r>
      <w:bookmarkEnd w:id="242"/>
      <w:r w:rsidRPr="00BD16B4">
        <w:rPr>
          <w:rFonts w:eastAsia="Calibri"/>
        </w:rPr>
        <w:t xml:space="preserve"> (GPS-LT), a land transport investment strategy, is the Government’s main lever for delivering its transport priorities over a 10-year period. It includes strategic priorities which are focused on outcomes the Government would </w:t>
      </w:r>
      <w:r w:rsidRPr="00BD16B4">
        <w:rPr>
          <w:rFonts w:eastAsia="Calibri"/>
          <w:spacing w:val="-2"/>
        </w:rPr>
        <w:t>like to achieve from investment in transport. GPS-LT 2021/22–2030/31 includes climate change</w:t>
      </w:r>
      <w:r w:rsidRPr="00BD16B4">
        <w:rPr>
          <w:rFonts w:eastAsia="Calibri"/>
        </w:rPr>
        <w:t xml:space="preserve"> as a priority, with a focus on supporting a rapid transition to a low-carbon transport system. </w:t>
      </w:r>
    </w:p>
    <w:p w14:paraId="2BFFC13B" w14:textId="77777777" w:rsidR="00CA1920" w:rsidRPr="00BD16B4" w:rsidRDefault="00CA1920" w:rsidP="00CA1920">
      <w:pPr>
        <w:pStyle w:val="BodyText"/>
        <w:rPr>
          <w:rFonts w:eastAsia="Calibri"/>
        </w:rPr>
      </w:pPr>
      <w:r w:rsidRPr="00BD16B4">
        <w:rPr>
          <w:rFonts w:eastAsia="Calibri"/>
        </w:rPr>
        <w:t>The GPS-LT 2021 recognises that reducing emissions will contribute to a resilient transport sector and promotes the benefits of:</w:t>
      </w:r>
    </w:p>
    <w:p w14:paraId="0DA4C91B" w14:textId="77777777" w:rsidR="00CA1920" w:rsidRPr="00BD16B4" w:rsidRDefault="00CA1920" w:rsidP="00CA1920">
      <w:pPr>
        <w:pStyle w:val="Bullet"/>
      </w:pPr>
      <w:r w:rsidRPr="00BD16B4">
        <w:t>inclusive access through supporting the development of public and active modes of transport in urban areas. Promoting higher-density, transit-oriented development where people live in closer proximity to where they work, learn and play will help reduce emissions by making public and active transport more accessible and appealing</w:t>
      </w:r>
    </w:p>
    <w:p w14:paraId="05C3CE07" w14:textId="77777777" w:rsidR="00CA1920" w:rsidRPr="00BD16B4" w:rsidRDefault="00CA1920" w:rsidP="00CA1920">
      <w:pPr>
        <w:pStyle w:val="Bullet"/>
      </w:pPr>
      <w:r w:rsidRPr="00BD16B4">
        <w:t>encouraging a healthy and safe population by reducing exposure to elevated concentrations of land transport-related air and noise pollution</w:t>
      </w:r>
    </w:p>
    <w:p w14:paraId="43C3A561" w14:textId="77777777" w:rsidR="00CA1920" w:rsidRPr="00BD16B4" w:rsidRDefault="00CA1920" w:rsidP="00CA1920">
      <w:pPr>
        <w:pStyle w:val="Bullet"/>
      </w:pPr>
      <w:r w:rsidRPr="00BD16B4">
        <w:t>improved resilience and security by managing the impact of climate-related effects on critical infrastructure.</w:t>
      </w:r>
    </w:p>
    <w:p w14:paraId="43AC54FA" w14:textId="77777777" w:rsidR="00CA1920" w:rsidRPr="00BD16B4" w:rsidRDefault="00CA1920" w:rsidP="00CA1920">
      <w:pPr>
        <w:pStyle w:val="BodyText"/>
        <w:rPr>
          <w:rFonts w:eastAsia="Calibri"/>
        </w:rPr>
      </w:pPr>
      <w:r w:rsidRPr="00BD16B4">
        <w:rPr>
          <w:rFonts w:eastAsia="Calibri"/>
        </w:rPr>
        <w:t>The GPS-LT 2021 is currently being reviewed, and a new GPS-LT 2024 is expected to be released for engagement in early 2023, with a final version intended to be issued in mid-2023. The GPS-LT 2024 will continue to support emissions reduction by building on the strategic direction of GPS-LT 2021 to move New Zealand towards a low-carbon transport system.</w:t>
      </w:r>
    </w:p>
    <w:p w14:paraId="4544D363" w14:textId="77777777" w:rsidR="00CA1920" w:rsidRPr="00BD16B4" w:rsidRDefault="00CA1920" w:rsidP="004E1B8C">
      <w:pPr>
        <w:pStyle w:val="Heading4"/>
        <w:rPr>
          <w:rFonts w:eastAsia="Calibri"/>
        </w:rPr>
      </w:pPr>
      <w:r w:rsidRPr="00BD16B4">
        <w:rPr>
          <w:rFonts w:eastAsia="Calibri"/>
        </w:rPr>
        <w:lastRenderedPageBreak/>
        <w:t>International aviation and shipping</w:t>
      </w:r>
    </w:p>
    <w:p w14:paraId="7C6E4B43" w14:textId="77777777" w:rsidR="00CA1920" w:rsidRPr="00BD16B4" w:rsidRDefault="00CA1920" w:rsidP="00CA1920">
      <w:pPr>
        <w:pStyle w:val="BodyText"/>
      </w:pPr>
      <w:r w:rsidRPr="00BD16B4">
        <w:t>In 2016, the Government agreed to participate in the Carbon Offsetting Reduction Scheme for International Aviation (CORSIA). It is one of four measures</w:t>
      </w:r>
      <w:r w:rsidRPr="00BD16B4">
        <w:rPr>
          <w:rStyle w:val="FootnoteReference"/>
        </w:rPr>
        <w:footnoteReference w:id="192"/>
      </w:r>
      <w:r w:rsidRPr="00BD16B4">
        <w:t xml:space="preserve"> the international aviation sector is focused on to reduce its carbon footprint. Implementation of CORSIA is included in the Civil Aviation Bill, which is currently being progressed through the House and anticipated to be passed into law by the end of 2022. In the interim, a Memorandum of Understanding is in place between the State and airline operator that falls under CORSIA to ensure New Zealand meets its monitoring, reporting and offsetting obligations.</w:t>
      </w:r>
    </w:p>
    <w:p w14:paraId="2E4A426D" w14:textId="77777777" w:rsidR="00CA1920" w:rsidRPr="00BD16B4" w:rsidRDefault="00CA1920" w:rsidP="00CA1920">
      <w:pPr>
        <w:pStyle w:val="BodyText"/>
      </w:pPr>
      <w:r w:rsidRPr="00BD16B4">
        <w:t>For international shipping, States, including New Zealand, work through the International Maritime Organization (IMO) to pursue emissions reductions from international shipping. The IMO adopted its Initial Strategy on the Reduction of GHG Emissions from Ships in 2018.</w:t>
      </w:r>
      <w:r w:rsidRPr="00BD16B4">
        <w:rPr>
          <w:rStyle w:val="FootnoteReference"/>
        </w:rPr>
        <w:footnoteReference w:id="193"/>
      </w:r>
      <w:r w:rsidRPr="00BD16B4">
        <w:t xml:space="preserve"> The Initial Strategy sets a target of reducing the total annual GHG emissions from international shipping by at least 50 per cent by 2050 compared to 2008. This strategy will be reviewed by 2023. New Zealand will be represented at the IMO negotiations in December </w:t>
      </w:r>
      <w:r w:rsidRPr="00BD16B4" w:rsidDel="00F5637D">
        <w:t>2022</w:t>
      </w:r>
      <w:r w:rsidRPr="00BD16B4">
        <w:t xml:space="preserve">, which will include a focus on the revision of the Initial Strategy. </w:t>
      </w:r>
    </w:p>
    <w:p w14:paraId="71E31773" w14:textId="77777777" w:rsidR="00CA1920" w:rsidRPr="00BD16B4" w:rsidRDefault="00CA1920" w:rsidP="00CA1920">
      <w:pPr>
        <w:pStyle w:val="BodyText"/>
      </w:pPr>
      <w:r w:rsidRPr="00BD16B4">
        <w:t>In 2022 New Zealand acceded to Annex VI of the International Convention for the Prevention of Pollution from Ships (MARPOL), which seeks to address the impact of shipping emissions on human health and environments in and around port communities, as well as on climate change and ozone layer depletion. MARPOL Annex VI will be the main ‘vehicle’ to bring in globally consistent GHG emissions reduction measures negotiated at the IMO.</w:t>
      </w:r>
    </w:p>
    <w:p w14:paraId="30079E66" w14:textId="77777777" w:rsidR="00CA1920" w:rsidRPr="00BD16B4" w:rsidRDefault="00CA1920" w:rsidP="00CA1920">
      <w:pPr>
        <w:pStyle w:val="BodyText"/>
        <w:rPr>
          <w:rFonts w:cs="Calibri"/>
          <w:lang w:eastAsia="en-US"/>
        </w:rPr>
      </w:pPr>
      <w:r w:rsidRPr="00BD16B4">
        <w:t xml:space="preserve">At the 2021 United Nations Climate Change Conference, </w:t>
      </w:r>
      <w:r w:rsidRPr="00BD16B4" w:rsidDel="003E23D0">
        <w:t xml:space="preserve">Aotearoa </w:t>
      </w:r>
      <w:r w:rsidRPr="00BD16B4">
        <w:t>New Zealand agreed to support the following.</w:t>
      </w:r>
    </w:p>
    <w:p w14:paraId="2F548034" w14:textId="77777777" w:rsidR="00CA1920" w:rsidRPr="00BD16B4" w:rsidRDefault="00CA1920" w:rsidP="00CA1920">
      <w:pPr>
        <w:pStyle w:val="Bullet"/>
        <w:tabs>
          <w:tab w:val="num" w:pos="397"/>
        </w:tabs>
        <w:spacing w:line="280" w:lineRule="exact"/>
      </w:pPr>
      <w:r w:rsidRPr="00BD16B4">
        <w:t>The Clydebank Declaration on Green Shipping Corridors supports work to decarbonise international shipping corridors through international coalitions between two or more States to partner to establish green corridors on shared maritime routes. This would be done in conjunction with the relevant ports and operators. New Zealand will need to work with like-minded countries (with participation from ports, operators and others along the value chain) to facilitate partnerships to establish green shipping corridors.</w:t>
      </w:r>
    </w:p>
    <w:p w14:paraId="57C719DD" w14:textId="77777777" w:rsidR="00CA1920" w:rsidRPr="00BD16B4" w:rsidRDefault="00CA1920" w:rsidP="00CA1920">
      <w:pPr>
        <w:pStyle w:val="Bullet"/>
        <w:tabs>
          <w:tab w:val="num" w:pos="397"/>
        </w:tabs>
        <w:spacing w:line="280" w:lineRule="exact"/>
      </w:pPr>
      <w:r w:rsidRPr="00BD16B4">
        <w:t>The International Aviation Climate Ambition Coalition and associated Aviation Net Zero Declaration supports the goal of net zero international aviation emissions by 2050, implementing CORSIA and investigating a sustainable aviation fuel mandate.</w:t>
      </w:r>
    </w:p>
    <w:p w14:paraId="0C381E5C" w14:textId="77777777" w:rsidR="00CA1920" w:rsidRPr="00BD16B4" w:rsidRDefault="00CA1920" w:rsidP="00CA1920">
      <w:pPr>
        <w:pStyle w:val="Heading3"/>
        <w:spacing w:before="240"/>
      </w:pPr>
      <w:bookmarkStart w:id="243" w:name="_Toc363540331"/>
      <w:r w:rsidRPr="00BD16B4">
        <w:rPr>
          <w:rFonts w:eastAsia="Calibri"/>
        </w:rPr>
        <w:t>4.3.5</w:t>
      </w:r>
      <w:r w:rsidRPr="00BD16B4">
        <w:rPr>
          <w:rFonts w:eastAsia="Calibri"/>
        </w:rPr>
        <w:tab/>
      </w:r>
      <w:bookmarkEnd w:id="243"/>
      <w:r w:rsidRPr="00BD16B4">
        <w:rPr>
          <w:rFonts w:eastAsia="Calibri"/>
        </w:rPr>
        <w:t xml:space="preserve">Industry </w:t>
      </w:r>
    </w:p>
    <w:p w14:paraId="5FF1788D" w14:textId="1659E906" w:rsidR="00CA1920" w:rsidRPr="00BD16B4" w:rsidRDefault="00CA1920" w:rsidP="00CA1920">
      <w:pPr>
        <w:pStyle w:val="BodyText"/>
        <w:rPr>
          <w:rFonts w:eastAsia="Calibri"/>
        </w:rPr>
      </w:pPr>
      <w:r w:rsidRPr="00BD16B4">
        <w:rPr>
          <w:rFonts w:eastAsia="Calibri" w:cs="Calibri"/>
        </w:rPr>
        <w:t>In 2020, the industrial processes and product use sector was responsible for 6 per cent of New</w:t>
      </w:r>
      <w:r w:rsidR="00503950" w:rsidRPr="00BD16B4">
        <w:rPr>
          <w:rFonts w:eastAsia="Calibri" w:cs="Calibri"/>
        </w:rPr>
        <w:t> </w:t>
      </w:r>
      <w:r w:rsidRPr="00BD16B4">
        <w:rPr>
          <w:rFonts w:eastAsia="Calibri" w:cs="Calibri"/>
        </w:rPr>
        <w:t>Zealand’s total gross emissions.</w:t>
      </w:r>
      <w:r w:rsidRPr="00BD16B4">
        <w:rPr>
          <w:rStyle w:val="FootnoteReference"/>
          <w:rFonts w:eastAsia="Calibri" w:cs="Calibri"/>
        </w:rPr>
        <w:footnoteReference w:id="194"/>
      </w:r>
      <w:r w:rsidRPr="00BD16B4">
        <w:rPr>
          <w:rFonts w:eastAsia="Calibri" w:cs="Calibri"/>
        </w:rPr>
        <w:t xml:space="preserve"> </w:t>
      </w:r>
    </w:p>
    <w:p w14:paraId="4DAA9DDA" w14:textId="77777777" w:rsidR="00CA1920" w:rsidRPr="00BD16B4" w:rsidRDefault="00CA1920" w:rsidP="00CA1920">
      <w:pPr>
        <w:pStyle w:val="BodyText"/>
        <w:rPr>
          <w:rFonts w:eastAsia="Calibri"/>
        </w:rPr>
      </w:pPr>
      <w:r w:rsidRPr="00BD16B4">
        <w:rPr>
          <w:rFonts w:eastAsia="Calibri"/>
        </w:rPr>
        <w:lastRenderedPageBreak/>
        <w:t>The Government is acting to decarbonise process heat and reduce industrial emissions. These actions, alongside actions to encourage greater energy efficiency, support electrification and increase low-emissions fuel use, will support industrial decarbonisation and provide clear investment signals for the future. Action 11.4.1 in the emissions reduction plan also refers to national direction to support decisions on greenhouse gas emissions from industrial process heat made under the Resource Management Act 1991.</w:t>
      </w:r>
      <w:r w:rsidRPr="00BD16B4" w:rsidDel="003E23D0">
        <w:rPr>
          <w:rFonts w:eastAsia="Calibri"/>
        </w:rPr>
        <w:t xml:space="preserve"> </w:t>
      </w:r>
      <w:r w:rsidRPr="00BD16B4">
        <w:rPr>
          <w:rFonts w:eastAsia="Calibri"/>
        </w:rPr>
        <w:t>National direction is in development to provide a regulatory framework for reducing greenhouse gas emissions from the process heat sector. This is a complementary measure to other actions in the Government’s programme to decarbonise industry.</w:t>
      </w:r>
    </w:p>
    <w:p w14:paraId="25768BDD" w14:textId="77777777" w:rsidR="00CA1920" w:rsidRPr="00BD16B4" w:rsidRDefault="00CA1920" w:rsidP="00CA1920">
      <w:pPr>
        <w:pStyle w:val="BodyText"/>
        <w:spacing w:after="240"/>
        <w:rPr>
          <w:rFonts w:eastAsia="Calibri"/>
        </w:rPr>
      </w:pPr>
      <w:r w:rsidRPr="00BD16B4">
        <w:rPr>
          <w:rFonts w:eastAsia="Calibri"/>
        </w:rPr>
        <w:t xml:space="preserve">Moving away from </w:t>
      </w:r>
      <w:bookmarkStart w:id="244" w:name="_Hlk119241315"/>
      <w:r w:rsidRPr="00BD16B4">
        <w:rPr>
          <w:rFonts w:eastAsia="Calibri"/>
        </w:rPr>
        <w:t>fluorinated gases</w:t>
      </w:r>
      <w:bookmarkEnd w:id="244"/>
      <w:r w:rsidRPr="00BD16B4">
        <w:rPr>
          <w:rFonts w:eastAsia="Calibri"/>
        </w:rPr>
        <w:t xml:space="preserve"> (F-gases)</w:t>
      </w:r>
      <w:r w:rsidRPr="00BD16B4">
        <w:rPr>
          <w:rStyle w:val="FootnoteReference"/>
          <w:rFonts w:eastAsia="Calibri"/>
        </w:rPr>
        <w:footnoteReference w:id="195"/>
      </w:r>
      <w:r w:rsidRPr="00BD16B4">
        <w:rPr>
          <w:rFonts w:eastAsia="Calibri"/>
        </w:rPr>
        <w:t xml:space="preserve"> with high global warming potentials will also </w:t>
      </w:r>
      <w:r w:rsidRPr="002B5E62">
        <w:rPr>
          <w:rFonts w:eastAsia="Calibri"/>
          <w:spacing w:val="-2"/>
        </w:rPr>
        <w:t>support our domestic transition to a low-emissions future and the global phase-down of F-gases</w:t>
      </w:r>
      <w:r w:rsidRPr="00BD16B4">
        <w:rPr>
          <w:rFonts w:eastAsia="Calibri"/>
        </w:rPr>
        <w:t>. To achieve this transition, the Government will encourage and support New Zealanders to increasingly replace F-gases with alternatives that have lower global warming potentials (GWPs). A regulated product stewardship scheme will help reduce emissions from refrigerants through improving through-life and end-of-life management. Where alternative gases pose risks to health and safety, the Government will promote good industry practice through training schemes.</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A1920" w:rsidRPr="00BD16B4" w14:paraId="7A845493" w14:textId="77777777" w:rsidTr="002D166E">
        <w:tc>
          <w:tcPr>
            <w:tcW w:w="0" w:type="auto"/>
            <w:shd w:val="clear" w:color="auto" w:fill="D2DDE2"/>
          </w:tcPr>
          <w:p w14:paraId="4FE064B1" w14:textId="77777777" w:rsidR="00CA1920" w:rsidRPr="00BD16B4" w:rsidRDefault="00CA1920" w:rsidP="002D166E">
            <w:pPr>
              <w:pStyle w:val="Boxheading"/>
              <w:spacing w:after="120"/>
            </w:pPr>
            <w:r w:rsidRPr="00BD16B4">
              <w:rPr>
                <w:iCs/>
              </w:rPr>
              <w:t>Key actions in</w:t>
            </w:r>
            <w:r w:rsidRPr="00BD16B4">
              <w:t xml:space="preserve"> the emissions reduction plan</w:t>
            </w:r>
          </w:p>
          <w:p w14:paraId="6E83B81C" w14:textId="77777777" w:rsidR="00CA1920" w:rsidRPr="00BD16B4" w:rsidRDefault="00CA1920" w:rsidP="002D166E">
            <w:pPr>
              <w:pStyle w:val="Boxbullet"/>
              <w:rPr>
                <w:rFonts w:eastAsia="Calibri"/>
                <w:b/>
              </w:rPr>
            </w:pPr>
            <w:r w:rsidRPr="00BD16B4">
              <w:rPr>
                <w:rFonts w:eastAsia="Calibri"/>
              </w:rPr>
              <w:t>Develop an action plan for decarbonising industry by the end of 2024. The plan will sit within the energy strategy to align with the broader approach for decarbonising the energy sector, including ensuring competitive energy prices and security of supply.</w:t>
            </w:r>
          </w:p>
          <w:p w14:paraId="4E3AF3E5" w14:textId="77777777" w:rsidR="00CA1920" w:rsidRPr="00BD16B4" w:rsidRDefault="00CA1920" w:rsidP="002D166E">
            <w:pPr>
              <w:pStyle w:val="Boxbullet"/>
              <w:rPr>
                <w:rFonts w:eastAsia="Calibri"/>
                <w:b/>
              </w:rPr>
            </w:pPr>
            <w:r w:rsidRPr="00BD16B4">
              <w:rPr>
                <w:rFonts w:eastAsia="Calibri"/>
              </w:rPr>
              <w:t>Develop training and accreditation for handling alternative refrigerants.</w:t>
            </w:r>
          </w:p>
          <w:p w14:paraId="46AB7D6B" w14:textId="77777777" w:rsidR="00CA1920" w:rsidRPr="00BD16B4" w:rsidRDefault="00CA1920" w:rsidP="002D166E">
            <w:pPr>
              <w:pStyle w:val="Boxbullet"/>
              <w:rPr>
                <w:rFonts w:eastAsia="Calibri"/>
                <w:b/>
              </w:rPr>
            </w:pPr>
            <w:r w:rsidRPr="00BD16B4">
              <w:rPr>
                <w:rFonts w:eastAsia="Calibri"/>
              </w:rPr>
              <w:t>Prohibit the import of equipment pre-charged with F-gases.</w:t>
            </w:r>
          </w:p>
          <w:p w14:paraId="3BF75AEC" w14:textId="77777777" w:rsidR="00CA1920" w:rsidRPr="00BD16B4" w:rsidRDefault="00CA1920" w:rsidP="002D166E">
            <w:pPr>
              <w:pStyle w:val="Boxbullet"/>
              <w:rPr>
                <w:rFonts w:eastAsia="Calibri"/>
                <w:b/>
              </w:rPr>
            </w:pPr>
            <w:r w:rsidRPr="00BD16B4">
              <w:rPr>
                <w:rFonts w:eastAsia="Calibri"/>
              </w:rPr>
              <w:t>Investigate prohibiting F-gases with high GWP.</w:t>
            </w:r>
          </w:p>
          <w:p w14:paraId="1B67DC8A" w14:textId="77777777" w:rsidR="00CA1920" w:rsidRPr="00BD16B4" w:rsidRDefault="00CA1920" w:rsidP="002D166E">
            <w:pPr>
              <w:pStyle w:val="Boxbullet"/>
              <w:spacing w:after="180"/>
            </w:pPr>
            <w:r w:rsidRPr="00BD16B4">
              <w:rPr>
                <w:rFonts w:eastAsia="Calibri"/>
              </w:rPr>
              <w:t>Introduce a mandatory product stewardship scheme for refrigerants.</w:t>
            </w:r>
          </w:p>
        </w:tc>
      </w:tr>
    </w:tbl>
    <w:p w14:paraId="41AD7F51" w14:textId="77777777" w:rsidR="00CA1920" w:rsidRPr="00BD16B4" w:rsidRDefault="00CA1920" w:rsidP="00CA1920">
      <w:pPr>
        <w:pStyle w:val="Heading5"/>
        <w:spacing w:before="440"/>
        <w:rPr>
          <w:rFonts w:eastAsia="Calibri"/>
        </w:rPr>
      </w:pPr>
      <w:r w:rsidRPr="00BD16B4">
        <w:rPr>
          <w:rFonts w:eastAsia="Calibri"/>
        </w:rPr>
        <w:t>Emissions Trading Scheme</w:t>
      </w:r>
    </w:p>
    <w:p w14:paraId="37FA2044" w14:textId="77777777" w:rsidR="00CA1920" w:rsidRPr="00BD16B4" w:rsidRDefault="00CA1920" w:rsidP="00CA1920">
      <w:pPr>
        <w:pStyle w:val="BodyText"/>
        <w:rPr>
          <w:rFonts w:eastAsia="Calibri"/>
        </w:rPr>
      </w:pPr>
      <w:r w:rsidRPr="00BD16B4">
        <w:rPr>
          <w:rFonts w:eastAsia="Calibri"/>
        </w:rPr>
        <w:t>Emissions produced as a result of industrial processes and product use are captured by the NZ ETS. Activities include the production of iron and steel, aluminium,</w:t>
      </w:r>
      <w:r w:rsidRPr="00BD16B4">
        <w:rPr>
          <w:rStyle w:val="FootnoteReference"/>
          <w:rFonts w:eastAsia="Calibri"/>
        </w:rPr>
        <w:footnoteReference w:id="196"/>
      </w:r>
      <w:r w:rsidRPr="00BD16B4">
        <w:rPr>
          <w:rFonts w:eastAsia="Calibri"/>
        </w:rPr>
        <w:t xml:space="preserve"> clinker and burnt lime, and glass. </w:t>
      </w:r>
    </w:p>
    <w:p w14:paraId="11B4A261" w14:textId="77777777" w:rsidR="00CA1920" w:rsidRPr="00BD16B4" w:rsidRDefault="00CA1920" w:rsidP="00CA1920">
      <w:pPr>
        <w:pStyle w:val="BodyText"/>
        <w:rPr>
          <w:rFonts w:eastAsia="Calibri"/>
        </w:rPr>
      </w:pPr>
      <w:r w:rsidRPr="00BD16B4">
        <w:rPr>
          <w:rFonts w:eastAsia="Calibri"/>
        </w:rPr>
        <w:t xml:space="preserve">Bulk importers of </w:t>
      </w:r>
      <w:bookmarkStart w:id="245" w:name="_Hlk495745617"/>
      <w:r w:rsidRPr="00BD16B4">
        <w:rPr>
          <w:rFonts w:eastAsia="Calibri"/>
        </w:rPr>
        <w:t>hydrofluorocarbons (HFCs) and perfluorocarbons (PFCs)</w:t>
      </w:r>
      <w:bookmarkEnd w:id="245"/>
      <w:r w:rsidRPr="00BD16B4">
        <w:rPr>
          <w:rFonts w:eastAsia="Calibri"/>
        </w:rPr>
        <w:t xml:space="preserve"> and users of sulphur hexafluoride above a threshold have obligations to surrender NZUs equivalent to the amount of HFCs and PFCs they import or the sulphur hexafluoride emitted through use.</w:t>
      </w:r>
      <w:r w:rsidRPr="00BD16B4">
        <w:t xml:space="preserve"> </w:t>
      </w:r>
      <w:r w:rsidRPr="00BD16B4">
        <w:rPr>
          <w:rFonts w:eastAsia="Calibri"/>
        </w:rPr>
        <w:t>While there is currently no manufacture of HFCs and PFCs in New Zealand, should this occur in the future, manufacturers of these gases would also have obligations under the NZ ETS.</w:t>
      </w:r>
      <w:r w:rsidRPr="00BD16B4">
        <w:rPr>
          <w:rStyle w:val="FootnoteReference"/>
        </w:rPr>
        <w:footnoteReference w:id="197"/>
      </w:r>
      <w:r w:rsidRPr="00BD16B4">
        <w:rPr>
          <w:rFonts w:eastAsia="Calibri"/>
        </w:rPr>
        <w:t xml:space="preserve"> </w:t>
      </w:r>
    </w:p>
    <w:p w14:paraId="59C61643" w14:textId="77777777" w:rsidR="00CA1920" w:rsidRPr="00BD16B4" w:rsidRDefault="00CA1920" w:rsidP="00CA1920">
      <w:pPr>
        <w:pStyle w:val="Heading5"/>
        <w:rPr>
          <w:rFonts w:eastAsia="Calibri"/>
        </w:rPr>
      </w:pPr>
      <w:r w:rsidRPr="00BD16B4">
        <w:rPr>
          <w:rFonts w:eastAsia="Calibri"/>
        </w:rPr>
        <w:lastRenderedPageBreak/>
        <w:t>Synthetic greenhouse gas levy</w:t>
      </w:r>
    </w:p>
    <w:p w14:paraId="1F50FCEE" w14:textId="77777777" w:rsidR="00CA1920" w:rsidRPr="00BD16B4" w:rsidRDefault="00CA1920" w:rsidP="00CA1920">
      <w:pPr>
        <w:pStyle w:val="BodyText"/>
        <w:keepLines/>
        <w:rPr>
          <w:rFonts w:eastAsia="Calibri"/>
        </w:rPr>
      </w:pPr>
      <w:r w:rsidRPr="00BD16B4">
        <w:rPr>
          <w:rFonts w:eastAsia="Calibri"/>
        </w:rPr>
        <w:t xml:space="preserve">A levy is applied to imported goods and motor vehicles containing synthetic greenhouse gas (HFCs and PFCs). The levy applies to goods such as fridges, freezers, heat pumps, air conditioners, refrigerated trailers and air-conditioning units contained in motor vehicles. The levy is linked to the price of carbon in the NZ ETS and varies between items to reflect the amount of gas, the specified gas and its global warming potential. </w:t>
      </w:r>
    </w:p>
    <w:p w14:paraId="01040238" w14:textId="2ABC277D" w:rsidR="00CA1920" w:rsidRPr="00BD16B4" w:rsidRDefault="00CA1920" w:rsidP="00CA1920">
      <w:pPr>
        <w:pStyle w:val="Heading5"/>
        <w:rPr>
          <w:rFonts w:eastAsia="Calibri"/>
        </w:rPr>
      </w:pPr>
      <w:r w:rsidRPr="00BD16B4">
        <w:rPr>
          <w:rFonts w:eastAsia="Calibri"/>
        </w:rPr>
        <w:t>Permitting scheme for imports</w:t>
      </w:r>
      <w:r w:rsidR="00870095" w:rsidRPr="00BD16B4">
        <w:rPr>
          <w:rFonts w:eastAsia="Calibri"/>
        </w:rPr>
        <w:t xml:space="preserve"> and exports</w:t>
      </w:r>
      <w:r w:rsidRPr="00BD16B4">
        <w:rPr>
          <w:rFonts w:eastAsia="Calibri"/>
        </w:rPr>
        <w:t xml:space="preserve"> of bulk HFCs</w:t>
      </w:r>
    </w:p>
    <w:p w14:paraId="11D5C3F6" w14:textId="7BCAD869" w:rsidR="00CA1920" w:rsidRPr="00BD16B4" w:rsidRDefault="00CA1920" w:rsidP="00CA1920">
      <w:pPr>
        <w:pStyle w:val="BodyText"/>
        <w:rPr>
          <w:rFonts w:eastAsia="Calibri"/>
        </w:rPr>
      </w:pPr>
      <w:r w:rsidRPr="00BD16B4">
        <w:rPr>
          <w:rFonts w:eastAsia="Calibri"/>
        </w:rPr>
        <w:t>The Kigali Amendment to the Montreal Protocol is facilitating a worldwide phase-down of the use of HFCs by requiring parties to limit their consumption (defined as import and production minus export) of HFCs.</w:t>
      </w:r>
      <w:r w:rsidRPr="00BD16B4" w:rsidDel="00D11E09">
        <w:rPr>
          <w:rFonts w:eastAsia="Calibri"/>
        </w:rPr>
        <w:t xml:space="preserve"> </w:t>
      </w:r>
      <w:r w:rsidR="00870095" w:rsidRPr="00BD16B4">
        <w:rPr>
          <w:rFonts w:eastAsia="Calibri"/>
        </w:rPr>
        <w:t>In line with its ratification of the Kigali Amendment, New Zealand has implemented a permitting scheme for imports and exports of bulk HFCs. This requires importers and exporters of bulk HFCs to obtain a permit for the HFCs they want to transport. Import permits are issued in limited numbers for each calendar year</w:t>
      </w:r>
      <w:r w:rsidRPr="00BD16B4">
        <w:rPr>
          <w:rFonts w:eastAsia="Calibri"/>
        </w:rPr>
        <w:t>. The scheme has been active since 1 January 2020.</w:t>
      </w:r>
    </w:p>
    <w:p w14:paraId="50CB6EE3" w14:textId="77777777" w:rsidR="00CA1920" w:rsidRPr="00BD16B4" w:rsidRDefault="00CA1920" w:rsidP="00CA1920">
      <w:pPr>
        <w:pStyle w:val="Heading3"/>
        <w:spacing w:before="240"/>
      </w:pPr>
      <w:bookmarkStart w:id="246" w:name="_Toc363540332"/>
      <w:r w:rsidRPr="00BD16B4">
        <w:rPr>
          <w:rFonts w:eastAsia="Calibri"/>
        </w:rPr>
        <w:t>4.3.6</w:t>
      </w:r>
      <w:r w:rsidRPr="00BD16B4">
        <w:rPr>
          <w:rFonts w:eastAsia="Calibri"/>
        </w:rPr>
        <w:tab/>
        <w:t>Agriculture</w:t>
      </w:r>
      <w:bookmarkEnd w:id="246"/>
      <w:r w:rsidRPr="00BD16B4">
        <w:rPr>
          <w:rFonts w:eastAsia="Calibri"/>
        </w:rPr>
        <w:t xml:space="preserve"> </w:t>
      </w:r>
    </w:p>
    <w:p w14:paraId="2769DA7D" w14:textId="77777777" w:rsidR="00CA1920" w:rsidRPr="00BD16B4" w:rsidRDefault="00CA1920" w:rsidP="00CA1920">
      <w:pPr>
        <w:pStyle w:val="BodyText"/>
        <w:rPr>
          <w:strike/>
        </w:rPr>
      </w:pPr>
      <w:r w:rsidRPr="00BD16B4">
        <w:t xml:space="preserve">The agriculture sector contributes 50 per cent of Aotearoa New Zealand’s gross emissions. Approximately 94 per cent of our nitrous oxide emissions and around 91 per cent of our biogenic methane emissions are from agriculture. There is increasing recognition that the sector needs to rapidly reduce emissions and adapt to resilient, sustainable production to play its part in the global climate change response. Pricing agricultural emissions, increasing research into new technologies and mitigations, and supporting farmers and growers to change practice are the key elements being progressed. </w:t>
      </w:r>
    </w:p>
    <w:p w14:paraId="22EFAB4E" w14:textId="77777777" w:rsidR="00CA1920" w:rsidRPr="00BD16B4" w:rsidRDefault="00CA1920" w:rsidP="00CA1920">
      <w:pPr>
        <w:pStyle w:val="BodyText"/>
        <w:rPr>
          <w:rFonts w:asciiTheme="minorHAnsi" w:hAnsiTheme="minorHAnsi" w:cstheme="minorHAnsi"/>
        </w:rPr>
      </w:pPr>
      <w:r w:rsidRPr="00BD16B4">
        <w:rPr>
          <w:rFonts w:asciiTheme="minorHAnsi" w:hAnsiTheme="minorHAnsi" w:cstheme="minorHAnsi"/>
        </w:rPr>
        <w:t>New Zealand has a target for biogenic methane of a 10 per cent reduction by 2030, and a 24 to 47 per cent reduction by 2050 (compared with 2017 levels).</w:t>
      </w:r>
    </w:p>
    <w:p w14:paraId="5F8B8429" w14:textId="6375C3DE" w:rsidR="00CA1920" w:rsidRPr="00BD16B4" w:rsidRDefault="00CA1920" w:rsidP="00CA1920">
      <w:pPr>
        <w:pStyle w:val="BodyText"/>
      </w:pPr>
      <w:r w:rsidRPr="00BD16B4">
        <w:t xml:space="preserve">The split gas target reflects the different impact of methane – which is a short-lived </w:t>
      </w:r>
      <w:r w:rsidR="00C96B1F" w:rsidRPr="00BD16B4">
        <w:br/>
      </w:r>
      <w:r w:rsidRPr="00BD16B4">
        <w:t>gas – compared to carbon dioxide and nitrous oxide, which are long-lived gases. The Intergovernmental Panel on Climate Change (IPCC) advises that rapid, steep methane reductions, alongside bringing global carbon dioxide emissions to net zero by 2050, are</w:t>
      </w:r>
      <w:r w:rsidR="00C96B1F" w:rsidRPr="00BD16B4">
        <w:t> </w:t>
      </w:r>
      <w:r w:rsidRPr="00BD16B4">
        <w:t>needed</w:t>
      </w:r>
      <w:r w:rsidR="00E02B16" w:rsidRPr="00BD16B4">
        <w:t> </w:t>
      </w:r>
      <w:r w:rsidRPr="00BD16B4">
        <w:t>to limit global warming to 1.5</w:t>
      </w:r>
      <w:r w:rsidR="00550600" w:rsidRPr="00BD16B4">
        <w:t>°C</w:t>
      </w:r>
      <w:r w:rsidRPr="00BD16B4">
        <w:t>.</w:t>
      </w:r>
    </w:p>
    <w:p w14:paraId="0659F4E9" w14:textId="77777777" w:rsidR="00CA1920" w:rsidRPr="00BD16B4" w:rsidRDefault="00CA1920" w:rsidP="00CA1920">
      <w:pPr>
        <w:pStyle w:val="BodyText"/>
        <w:rPr>
          <w:rFonts w:eastAsia="Calibri"/>
        </w:rPr>
      </w:pPr>
      <w:r w:rsidRPr="00BD16B4">
        <w:rPr>
          <w:rFonts w:eastAsia="Calibri"/>
        </w:rPr>
        <w:t>A feature of Aotearoa New Zealand agriculture is that emissions per unit of product (known as emissions intensity) have been decreasing in recent decades, with the rate of reduction close to 1 per cent a year since 1990 (figure 4.3). This is a result of improvements such as plant and animal genetics, grassland management and animal health, and better-optimised fertiliser applications.</w:t>
      </w:r>
    </w:p>
    <w:p w14:paraId="44154438" w14:textId="77777777" w:rsidR="00CA1920" w:rsidRPr="00BD16B4" w:rsidRDefault="00CA1920" w:rsidP="00CA1920">
      <w:pPr>
        <w:pStyle w:val="BodyText"/>
      </w:pPr>
      <w:r w:rsidRPr="00BD16B4">
        <w:t>The Government recognises that agriculture must be at the forefront of climate action and has invested consistently in research and development to improve the measurement and mitigation of agricultural emissions (see chapter 8). The Government and industry have invested about NZ$200 million over the last 10 years into agricultural emissions research, capability building and international leadership.</w:t>
      </w:r>
    </w:p>
    <w:p w14:paraId="7EE6ED4F" w14:textId="253C0BB9" w:rsidR="00CA1920" w:rsidRPr="00BD16B4" w:rsidRDefault="00CA1920" w:rsidP="00CA1920">
      <w:pPr>
        <w:pStyle w:val="Figureheading"/>
        <w:spacing w:after="0"/>
        <w:rPr>
          <w:rFonts w:eastAsia="Calibri"/>
        </w:rPr>
      </w:pPr>
      <w:bookmarkStart w:id="247" w:name="_Toc121494397"/>
      <w:r w:rsidRPr="00BD16B4">
        <w:rPr>
          <w:rFonts w:eastAsia="Calibri"/>
        </w:rPr>
        <w:lastRenderedPageBreak/>
        <w:t>Figure 4.</w:t>
      </w:r>
      <w:r w:rsidRPr="00BD16B4">
        <w:t>3</w:t>
      </w:r>
      <w:r w:rsidRPr="00BD16B4">
        <w:rPr>
          <w:rFonts w:eastAsia="Calibri"/>
        </w:rPr>
        <w:t>:</w:t>
      </w:r>
      <w:r w:rsidRPr="00BD16B4">
        <w:rPr>
          <w:rFonts w:eastAsia="Calibri"/>
        </w:rPr>
        <w:tab/>
        <w:t>Trend in emissions intensity (kg CO</w:t>
      </w:r>
      <w:r w:rsidRPr="00BD16B4">
        <w:rPr>
          <w:rFonts w:eastAsia="Calibri"/>
          <w:vertAlign w:val="subscript"/>
        </w:rPr>
        <w:t>2</w:t>
      </w:r>
      <w:r w:rsidRPr="00BD16B4">
        <w:rPr>
          <w:rFonts w:eastAsia="Calibri"/>
        </w:rPr>
        <w:t>-e per kg product) for major livestock categories indexed to 1990 emissions intensity, 1990–2020</w:t>
      </w:r>
      <w:bookmarkEnd w:id="247"/>
    </w:p>
    <w:p w14:paraId="7C2AEF26" w14:textId="77777777" w:rsidR="00CA1920" w:rsidRPr="00BD16B4" w:rsidRDefault="00CA1920" w:rsidP="00CA1920">
      <w:pPr>
        <w:pStyle w:val="BodyText"/>
        <w:spacing w:before="0"/>
        <w:rPr>
          <w:rFonts w:eastAsia="Calibri"/>
        </w:rPr>
      </w:pPr>
      <w:r w:rsidRPr="00BD16B4">
        <w:rPr>
          <w:noProof/>
        </w:rPr>
        <w:drawing>
          <wp:inline distT="0" distB="0" distL="0" distR="0" wp14:anchorId="5BD9DFCE" wp14:editId="13E5EED2">
            <wp:extent cx="5400675" cy="2742565"/>
            <wp:effectExtent l="0" t="0" r="0" b="0"/>
            <wp:docPr id="59" name="Chart 59">
              <a:extLst xmlns:a="http://schemas.openxmlformats.org/drawingml/2006/main">
                <a:ext uri="{FF2B5EF4-FFF2-40B4-BE49-F238E27FC236}">
                  <a16:creationId xmlns:a16="http://schemas.microsoft.com/office/drawing/2014/main" id="{7CE235F6-E703-44A0-855D-080115642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62583F6" w14:textId="77777777" w:rsidR="00CA1920" w:rsidRPr="00BD16B4" w:rsidRDefault="00CA1920" w:rsidP="00CA1920">
      <w:pPr>
        <w:pStyle w:val="BodyText"/>
        <w:spacing w:before="0" w:after="0"/>
        <w:rPr>
          <w:rFonts w:eastAsia="Calibri"/>
        </w:rPr>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A1920" w:rsidRPr="00BD16B4" w14:paraId="0867BA59" w14:textId="77777777" w:rsidTr="002D166E">
        <w:tc>
          <w:tcPr>
            <w:tcW w:w="0" w:type="auto"/>
            <w:shd w:val="clear" w:color="auto" w:fill="D2DDE2"/>
          </w:tcPr>
          <w:p w14:paraId="38443149" w14:textId="77777777" w:rsidR="00CA1920" w:rsidRPr="00BD16B4" w:rsidRDefault="00CA1920" w:rsidP="002D166E">
            <w:pPr>
              <w:pStyle w:val="Boxheading"/>
            </w:pPr>
            <w:r w:rsidRPr="00BD16B4">
              <w:t>Key actions in the emissions reduction plan</w:t>
            </w:r>
          </w:p>
          <w:p w14:paraId="2B238AD9" w14:textId="77777777" w:rsidR="00CA1920" w:rsidRPr="00BD16B4" w:rsidRDefault="00CA1920" w:rsidP="002D166E">
            <w:pPr>
              <w:pStyle w:val="Boxtext"/>
              <w:spacing w:before="80"/>
              <w:rPr>
                <w:b/>
              </w:rPr>
            </w:pPr>
            <w:r w:rsidRPr="00BD16B4">
              <w:t xml:space="preserve">Five key focus areas for agriculture informed the actions included in the emissions reduction plan. The key actions in the first four focus areas are detailed below. The fifth focus area, to enable Māori-led solutions, is cross-cutting and embedded in actions and work with Māori across the other four focus areas. </w:t>
            </w:r>
          </w:p>
          <w:p w14:paraId="0D926BB2" w14:textId="77777777" w:rsidR="00CA1920" w:rsidRPr="00BD16B4" w:rsidRDefault="00CA1920" w:rsidP="002D166E">
            <w:pPr>
              <w:pStyle w:val="Boxtext"/>
              <w:spacing w:after="80"/>
              <w:rPr>
                <w:i/>
                <w:iCs/>
              </w:rPr>
            </w:pPr>
            <w:r w:rsidRPr="00BD16B4">
              <w:rPr>
                <w:i/>
                <w:iCs/>
              </w:rPr>
              <w:t xml:space="preserve">Price agricultural emissions </w:t>
            </w:r>
          </w:p>
          <w:p w14:paraId="453A3C5E" w14:textId="77777777" w:rsidR="00CA1920" w:rsidRPr="00BD16B4" w:rsidRDefault="00CA1920" w:rsidP="002D166E">
            <w:pPr>
              <w:pStyle w:val="Boxbullet"/>
              <w:spacing w:after="80"/>
            </w:pPr>
            <w:r w:rsidRPr="00BD16B4">
              <w:t>Introduce an agricultural emissions pricing mechanism by 2025.</w:t>
            </w:r>
          </w:p>
          <w:p w14:paraId="662ABE88" w14:textId="77777777" w:rsidR="00CA1920" w:rsidRPr="00BD16B4" w:rsidRDefault="00CA1920" w:rsidP="002D166E">
            <w:pPr>
              <w:pStyle w:val="Boxbullet"/>
              <w:rPr>
                <w:b/>
              </w:rPr>
            </w:pPr>
            <w:r w:rsidRPr="00BD16B4">
              <w:t xml:space="preserve">Support early adopters of low-emissions practices. </w:t>
            </w:r>
          </w:p>
          <w:p w14:paraId="10DC6630" w14:textId="77777777" w:rsidR="00CA1920" w:rsidRPr="00BD16B4" w:rsidRDefault="00CA1920" w:rsidP="002D166E">
            <w:pPr>
              <w:pStyle w:val="Boxtext"/>
              <w:spacing w:after="80"/>
              <w:rPr>
                <w:i/>
                <w:iCs/>
              </w:rPr>
            </w:pPr>
            <w:r w:rsidRPr="00BD16B4">
              <w:rPr>
                <w:i/>
                <w:iCs/>
              </w:rPr>
              <w:t>Accelerate mitigation technologies</w:t>
            </w:r>
          </w:p>
          <w:p w14:paraId="7248FFCC" w14:textId="77777777" w:rsidR="00CA1920" w:rsidRPr="00BD16B4" w:rsidRDefault="00CA1920" w:rsidP="002D166E">
            <w:pPr>
              <w:pStyle w:val="Boxbullet"/>
              <w:rPr>
                <w:b/>
              </w:rPr>
            </w:pPr>
            <w:r w:rsidRPr="00BD16B4">
              <w:t xml:space="preserve">Establish a new Centre for Climate Action on Agricultural Emissions to drive a step change in mitigation practice and technology innovation and uptake on farms. </w:t>
            </w:r>
          </w:p>
          <w:p w14:paraId="758A366F" w14:textId="77777777" w:rsidR="00CA1920" w:rsidRPr="00BD16B4" w:rsidRDefault="00CA1920" w:rsidP="002D166E">
            <w:pPr>
              <w:pStyle w:val="Boxtext"/>
              <w:spacing w:after="80"/>
              <w:rPr>
                <w:i/>
                <w:iCs/>
              </w:rPr>
            </w:pPr>
            <w:r w:rsidRPr="00BD16B4">
              <w:rPr>
                <w:i/>
                <w:iCs/>
              </w:rPr>
              <w:t>Support producers to make changes</w:t>
            </w:r>
          </w:p>
          <w:p w14:paraId="52572DF2" w14:textId="77777777" w:rsidR="00CA1920" w:rsidRPr="00BD16B4" w:rsidRDefault="00CA1920" w:rsidP="002D166E">
            <w:pPr>
              <w:pStyle w:val="Boxbullet"/>
              <w:spacing w:after="80"/>
            </w:pPr>
            <w:r w:rsidRPr="00BD16B4">
              <w:t>Fund tikanga-based (custom-based) programmes to support needs and aspirations of Māori.</w:t>
            </w:r>
          </w:p>
          <w:p w14:paraId="758A6CDC" w14:textId="77777777" w:rsidR="00CA1920" w:rsidRPr="00BD16B4" w:rsidRDefault="00CA1920" w:rsidP="002D166E">
            <w:pPr>
              <w:pStyle w:val="Boxbullet"/>
              <w:rPr>
                <w:b/>
              </w:rPr>
            </w:pPr>
            <w:r w:rsidRPr="00BD16B4">
              <w:t xml:space="preserve">Introduce climate-focused extension and advisory services. </w:t>
            </w:r>
          </w:p>
          <w:p w14:paraId="5A7F2CDB" w14:textId="77777777" w:rsidR="00CA1920" w:rsidRPr="00BD16B4" w:rsidRDefault="00CA1920" w:rsidP="002D166E">
            <w:pPr>
              <w:pStyle w:val="Boxtext"/>
              <w:spacing w:after="80"/>
              <w:rPr>
                <w:rFonts w:eastAsia="Calibri"/>
                <w:i/>
                <w:iCs/>
              </w:rPr>
            </w:pPr>
            <w:r w:rsidRPr="00BD16B4">
              <w:rPr>
                <w:i/>
                <w:iCs/>
              </w:rPr>
              <w:t>Transition to lower-emissions land uses and systems</w:t>
            </w:r>
          </w:p>
          <w:p w14:paraId="5BE8ADFD" w14:textId="77777777" w:rsidR="00CA1920" w:rsidRPr="00BD16B4" w:rsidRDefault="00CA1920" w:rsidP="002D166E">
            <w:pPr>
              <w:pStyle w:val="Boxbullet"/>
              <w:spacing w:after="180"/>
            </w:pPr>
            <w:r w:rsidRPr="00BD16B4">
              <w:t xml:space="preserve">Develop food and fibre science and </w:t>
            </w:r>
            <w:bookmarkStart w:id="248" w:name="_Hlk114644729"/>
            <w:r w:rsidRPr="00BD16B4">
              <w:t xml:space="preserve">mātauranga </w:t>
            </w:r>
            <w:bookmarkEnd w:id="248"/>
            <w:r w:rsidRPr="00BD16B4">
              <w:t>Māori accelerators.</w:t>
            </w:r>
          </w:p>
        </w:tc>
      </w:tr>
    </w:tbl>
    <w:p w14:paraId="0E64B057" w14:textId="77777777" w:rsidR="00CA1920" w:rsidRPr="00BD16B4" w:rsidRDefault="00CA1920" w:rsidP="00CA1920">
      <w:pPr>
        <w:pStyle w:val="Heading5"/>
        <w:spacing w:before="440"/>
        <w:rPr>
          <w:rFonts w:eastAsia="Calibri"/>
        </w:rPr>
      </w:pPr>
      <w:r w:rsidRPr="00BD16B4">
        <w:rPr>
          <w:rFonts w:eastAsia="Calibri"/>
        </w:rPr>
        <w:t xml:space="preserve">Pricing agricultural emissions by 2025 </w:t>
      </w:r>
    </w:p>
    <w:p w14:paraId="47CDC270" w14:textId="77777777" w:rsidR="00CA1920" w:rsidRPr="00BD16B4" w:rsidRDefault="00CA1920" w:rsidP="00CA1920">
      <w:pPr>
        <w:pStyle w:val="BodyText"/>
        <w:rPr>
          <w:rFonts w:eastAsia="Calibri"/>
        </w:rPr>
      </w:pPr>
      <w:r w:rsidRPr="00BD16B4">
        <w:rPr>
          <w:rFonts w:eastAsia="Calibri"/>
        </w:rPr>
        <w:t xml:space="preserve">A key priority is to deliver advice on how to price agricultural emissions. Pricing agricultural emissions helps create an incentive for emitters to adopt cost-effective mitigations. </w:t>
      </w:r>
    </w:p>
    <w:p w14:paraId="771D7AF9" w14:textId="77777777" w:rsidR="00A77CB6" w:rsidRPr="00BD16B4" w:rsidRDefault="00A77CB6" w:rsidP="00A77CB6">
      <w:pPr>
        <w:pStyle w:val="BodyText"/>
      </w:pPr>
      <w:r w:rsidRPr="00BD16B4">
        <w:t xml:space="preserve">The Government has taken a unique approach in partnering with the agricultural and horticultural sector to develop a proposed system for pricing emissions by 2025. The Primary Sector Climate Action Partnership provided its final report to Government on 31 May, and the Government now has until December 2022 to report on how it intends to price emissions. </w:t>
      </w:r>
      <w:r w:rsidRPr="00BD16B4">
        <w:lastRenderedPageBreak/>
        <w:t>Final decisions will be made in early 2023. The Climate Change Commission has supported the process by assessing the sector’s readiness to implement on-farm emissions pricing by 2025. The Commission has also provided advice on the case and options for providing financial assistance to the sector to manage the transitional impacts of introducing pricing.</w:t>
      </w:r>
    </w:p>
    <w:p w14:paraId="43EB7A7C" w14:textId="561ECCD1" w:rsidR="00A77CB6" w:rsidRPr="00BD16B4" w:rsidRDefault="00A77CB6" w:rsidP="00A77CB6">
      <w:pPr>
        <w:pStyle w:val="BodyText"/>
      </w:pPr>
      <w:r w:rsidRPr="00BD16B4">
        <w:t>The Partnership has explored alternative pricing approaches to agriculture entering the NZ</w:t>
      </w:r>
      <w:r w:rsidR="002372BA" w:rsidRPr="00BD16B4">
        <w:t> </w:t>
      </w:r>
      <w:r w:rsidRPr="00BD16B4">
        <w:t>ETS.</w:t>
      </w:r>
      <w:r w:rsidR="00070F27" w:rsidRPr="00BD16B4">
        <w:t xml:space="preserve"> </w:t>
      </w:r>
      <w:r w:rsidRPr="00BD16B4">
        <w:t>The Partnership recommended a farm-level split gas levy to support incentivising emissions reductions at the farm level. The advice reflects New Zealand’s split gas target with</w:t>
      </w:r>
      <w:r w:rsidR="002372BA" w:rsidRPr="00BD16B4">
        <w:t> </w:t>
      </w:r>
      <w:r w:rsidRPr="00BD16B4">
        <w:t>a</w:t>
      </w:r>
      <w:r w:rsidR="002372BA" w:rsidRPr="00BD16B4">
        <w:t> </w:t>
      </w:r>
      <w:r w:rsidRPr="00BD16B4">
        <w:t xml:space="preserve">different approach to methane, compared to carbon dioxide and nitrous oxide. </w:t>
      </w:r>
    </w:p>
    <w:p w14:paraId="0611D403" w14:textId="21C36E8F" w:rsidR="00CA1920" w:rsidRPr="00BD16B4" w:rsidRDefault="00A77CB6" w:rsidP="00A77CB6">
      <w:pPr>
        <w:pStyle w:val="BodyText"/>
      </w:pPr>
      <w:r w:rsidRPr="00BD16B4">
        <w:t>The agriculture sector is working towards a commitment that all farms will know their annual total of on-farm greenhouse gas emissions by 31 December 2022. This will support the introduction of farm level pricing in 2025.</w:t>
      </w:r>
    </w:p>
    <w:p w14:paraId="74FF19C7" w14:textId="77777777" w:rsidR="00CA1920" w:rsidRPr="00BD16B4" w:rsidRDefault="00CA1920" w:rsidP="00CA1920">
      <w:pPr>
        <w:pStyle w:val="Heading5"/>
        <w:rPr>
          <w:rFonts w:eastAsia="Calibri"/>
        </w:rPr>
      </w:pPr>
      <w:r w:rsidRPr="00BD16B4">
        <w:rPr>
          <w:rFonts w:eastAsia="Calibri"/>
        </w:rPr>
        <w:t>Centre for Climate Action on Agricultural Emissions</w:t>
      </w:r>
    </w:p>
    <w:p w14:paraId="798CEB50" w14:textId="77777777" w:rsidR="00CA1920" w:rsidRPr="00BD16B4" w:rsidRDefault="00CA1920" w:rsidP="00CA1920">
      <w:pPr>
        <w:pStyle w:val="BodyText"/>
        <w:rPr>
          <w:rFonts w:eastAsia="Calibri"/>
        </w:rPr>
      </w:pPr>
      <w:r w:rsidRPr="00BD16B4">
        <w:t xml:space="preserve">A step change in investment, by both government and industry, is needed to accelerate delivery and widespread uptake of emissions reduction tools and technologies. </w:t>
      </w:r>
    </w:p>
    <w:p w14:paraId="2E2C5E5D" w14:textId="77777777" w:rsidR="00CA1920" w:rsidRPr="00BD16B4" w:rsidRDefault="00CA1920" w:rsidP="00CA1920">
      <w:pPr>
        <w:pStyle w:val="BodyText"/>
      </w:pPr>
      <w:r w:rsidRPr="00BD16B4">
        <w:t>The Government has committed to a significant increase in investment of NZ$338.7 million in the 2022 Budget to accelerate the development of adoptable greenhouse gas mitigations, including the establishment of a Centre for Climate Action on Agricultural Emissions to drive our efforts.</w:t>
      </w:r>
      <w:r w:rsidRPr="00BD16B4">
        <w:rPr>
          <w:rStyle w:val="FootnoteReference"/>
        </w:rPr>
        <w:footnoteReference w:id="198"/>
      </w:r>
    </w:p>
    <w:p w14:paraId="772CEAD3" w14:textId="77777777" w:rsidR="00CA1920" w:rsidRPr="00BD16B4" w:rsidRDefault="00CA1920" w:rsidP="00CA1920">
      <w:pPr>
        <w:pStyle w:val="BodyText"/>
      </w:pPr>
      <w:r w:rsidRPr="00BD16B4">
        <w:t xml:space="preserve">The Centre for Climate Action on Agricultural Emissions will include a new public–private joint venture with a focus on product development and commercialisation to get effective tools into the hands of farmers more quickly, and will deliver on three key outcomes: </w:t>
      </w:r>
    </w:p>
    <w:p w14:paraId="1139A714" w14:textId="77777777" w:rsidR="00CA1920" w:rsidRPr="00BD16B4" w:rsidRDefault="00CA1920" w:rsidP="00CA1920">
      <w:pPr>
        <w:pStyle w:val="Bullet"/>
      </w:pPr>
      <w:r w:rsidRPr="00BD16B4">
        <w:t>faster development, commercialisation and uptake of emissions mitigation technologies (which will enable gross emissions reduction)</w:t>
      </w:r>
    </w:p>
    <w:p w14:paraId="6BCB58A5" w14:textId="77777777" w:rsidR="00CA1920" w:rsidRPr="00BD16B4" w:rsidRDefault="00CA1920" w:rsidP="00CA1920">
      <w:pPr>
        <w:pStyle w:val="Bullet"/>
      </w:pPr>
      <w:r w:rsidRPr="00BD16B4">
        <w:t xml:space="preserve">a strong system to support delivering mitigations over the long term </w:t>
      </w:r>
    </w:p>
    <w:p w14:paraId="73149C7D" w14:textId="77777777" w:rsidR="00CA1920" w:rsidRPr="00BD16B4" w:rsidRDefault="00CA1920" w:rsidP="00CA1920">
      <w:pPr>
        <w:pStyle w:val="Bullet"/>
      </w:pPr>
      <w:r w:rsidRPr="00BD16B4">
        <w:t xml:space="preserve">strong leadership and alignment of biological emissions reduction efforts. </w:t>
      </w:r>
    </w:p>
    <w:p w14:paraId="78C44CA3" w14:textId="77777777" w:rsidR="00CA1920" w:rsidRPr="00BD16B4" w:rsidRDefault="00CA1920" w:rsidP="00CA1920">
      <w:pPr>
        <w:pStyle w:val="BodyText"/>
      </w:pPr>
      <w:r w:rsidRPr="00BD16B4">
        <w:t xml:space="preserve">Discussions with the private sector on investment and participation in the joint venture are well advanced. The joint venture will be supported by an enhanced New Zealand Agricultural Greenhouse Gas Research Centre, with a focus on strengthening the underpinning biological emissions research and development system more broadly. </w:t>
      </w:r>
    </w:p>
    <w:p w14:paraId="1DBCF257" w14:textId="77777777" w:rsidR="00CA1920" w:rsidRPr="00BD16B4" w:rsidRDefault="00CA1920" w:rsidP="00CA1920">
      <w:pPr>
        <w:pStyle w:val="Heading5"/>
        <w:rPr>
          <w:rFonts w:eastAsia="Calibri"/>
        </w:rPr>
      </w:pPr>
      <w:r w:rsidRPr="00BD16B4">
        <w:rPr>
          <w:rFonts w:eastAsia="Calibri"/>
        </w:rPr>
        <w:t xml:space="preserve">Global Research Alliance on Agricultural Greenhouse Gases </w:t>
      </w:r>
    </w:p>
    <w:p w14:paraId="74A9C773" w14:textId="77777777" w:rsidR="00CA1920" w:rsidRPr="00BD16B4" w:rsidRDefault="00CA1920" w:rsidP="00CA1920">
      <w:pPr>
        <w:pStyle w:val="BodyText"/>
        <w:rPr>
          <w:rFonts w:eastAsia="Calibri"/>
          <w:lang w:eastAsia="en-GB"/>
        </w:rPr>
      </w:pPr>
      <w:r w:rsidRPr="00BD16B4">
        <w:rPr>
          <w:lang w:eastAsia="en-GB"/>
        </w:rPr>
        <w:t xml:space="preserve">The Global Research Alliance on Agricultural Greenhouse Gases (GRA), initiated by New Zealand in late 2009, seeks to increase cooperation and investment to reduce the emissions intensity of agricultural production systems globally. New Zealand’s leadership in establishing and hosting the GRA Secretariat and New Zealand’s activities in support of the GRA (see chapters 7 and 9) aim to foster collaborative international research projects, global datasets, and standard measurement and mitigation techniques and protocols between countries. </w:t>
      </w:r>
    </w:p>
    <w:p w14:paraId="30556A6F" w14:textId="77777777" w:rsidR="00CA1920" w:rsidRPr="00BD16B4" w:rsidRDefault="00CA1920" w:rsidP="008F75E0">
      <w:pPr>
        <w:pStyle w:val="BodyText"/>
        <w:keepLines/>
      </w:pPr>
      <w:r w:rsidRPr="00BD16B4">
        <w:rPr>
          <w:lang w:eastAsia="en-GB"/>
        </w:rPr>
        <w:lastRenderedPageBreak/>
        <w:t xml:space="preserve">New Zealand’s activities have established global networks of scientists, creating capability development and training opportunities (particularly for scientists from developing countries) and identifying good-practice mitigation options for different production systems and climates. Through the </w:t>
      </w:r>
      <w:r w:rsidRPr="00BD16B4">
        <w:t>GRA, New Zealand and Samoa are establishing an Indigenous Research Network. The Indigenous Research Network provides the opportunity for indigenous people in GRA member countries to be able to connect and share their traditional knowledge in both ‘adaptation and mitigation’ to address greenhouse gas emissions reductions. The Tāngata Whenua Alliance provides a New Zealand platform for iwi Māori to work with indigenous peoples in their GRA work programmes.</w:t>
      </w:r>
    </w:p>
    <w:p w14:paraId="57E0EE47" w14:textId="77777777" w:rsidR="00CA1920" w:rsidRPr="00BD16B4" w:rsidRDefault="00CA1920" w:rsidP="00CA1920">
      <w:pPr>
        <w:pStyle w:val="Heading5"/>
        <w:rPr>
          <w:rFonts w:eastAsia="Calibri"/>
        </w:rPr>
      </w:pPr>
      <w:r w:rsidRPr="00BD16B4">
        <w:rPr>
          <w:rFonts w:eastAsia="Calibri"/>
        </w:rPr>
        <w:t>Sustainable Food and Fibre Futures</w:t>
      </w:r>
    </w:p>
    <w:p w14:paraId="6B21FE58" w14:textId="77777777" w:rsidR="00CA1920" w:rsidRPr="00BD16B4" w:rsidRDefault="00CA1920" w:rsidP="00CA1920">
      <w:pPr>
        <w:pStyle w:val="BodyText"/>
        <w:rPr>
          <w:rFonts w:eastAsia="Calibri"/>
        </w:rPr>
      </w:pPr>
      <w:r w:rsidRPr="00BD16B4">
        <w:t>The Government established the Sustainable Food and Fibre Futures (SFF Futures) fund in 2018.</w:t>
      </w:r>
      <w:r w:rsidRPr="00BD16B4">
        <w:rPr>
          <w:rStyle w:val="FootnoteReference"/>
        </w:rPr>
        <w:footnoteReference w:id="199"/>
      </w:r>
      <w:r w:rsidRPr="00BD16B4">
        <w:t xml:space="preserve"> SFF Futures supports problem-solving and innovation in New Zealand’s food and fibre sector by co-investing in initiatives that make a positive and lasting difference. It funds a range of projects, from small grassroots community projects to large-scale industry development; from new product development to new ways of tackling an environmental issue or improving animal health and welfare.</w:t>
      </w:r>
    </w:p>
    <w:p w14:paraId="12276D08" w14:textId="77777777" w:rsidR="00CA1920" w:rsidRPr="00BD16B4" w:rsidRDefault="00CA1920" w:rsidP="00CA1920">
      <w:pPr>
        <w:pStyle w:val="BodyText"/>
      </w:pPr>
      <w:r w:rsidRPr="00BD16B4">
        <w:t xml:space="preserve">About NZ$40 million of funding is available each year through SFF Futures. Projects undertaken require joint investment between the Government and private partner(s). Depending on whether the project is predominantly commercially oriented or community-driven or, in exceptional cases, has highly compelling public-good benefits, SFF Futures will contribute between 40 and 80 per cent of the total project costs. </w:t>
      </w:r>
    </w:p>
    <w:p w14:paraId="0D8E9783" w14:textId="77777777" w:rsidR="00CA1920" w:rsidRPr="00BD16B4" w:rsidRDefault="00CA1920" w:rsidP="00CA1920">
      <w:pPr>
        <w:pStyle w:val="BodyText"/>
      </w:pPr>
      <w:r w:rsidRPr="00BD16B4">
        <w:t>As at 30 June 2022, SFF Futures has invested in 202 projects. Over the life of these projects, SFF Futures and private partners have committed a total of NZ$442.9 million. Many projects provide sustainability and climate change benefits (of either reducing absolute emissions from the primary sector or reducing emissions per unit of product).</w:t>
      </w:r>
    </w:p>
    <w:p w14:paraId="32573AA2" w14:textId="77777777" w:rsidR="00CA1920" w:rsidRPr="00BD16B4" w:rsidRDefault="00CA1920" w:rsidP="00CA1920">
      <w:pPr>
        <w:pStyle w:val="BodyText"/>
      </w:pPr>
      <w:r w:rsidRPr="00BD16B4">
        <w:t>Example projects include: prototyping a spatial integrated farm plan for greenhouse gas reduction; the preliminary evaluation of potential feed-based commercial solutions to ruminant methane emissions; ‘N-Vision’, a programme to enable smarter nitrogen management; and ‘Future Ready Farms’, a project trialling and developing 12 farm nutrient technologies that will help reduce the food and fibre sector’s environmental footprint.</w:t>
      </w:r>
    </w:p>
    <w:p w14:paraId="57711B9D" w14:textId="77777777" w:rsidR="00CA1920" w:rsidRPr="00BD16B4" w:rsidRDefault="00CA1920" w:rsidP="00CA1920">
      <w:pPr>
        <w:pStyle w:val="BodyText"/>
        <w:rPr>
          <w:rFonts w:eastAsia="Calibri"/>
        </w:rPr>
      </w:pPr>
      <w:r w:rsidRPr="00BD16B4">
        <w:t>SFF Futures superseded the Primary Growth Partnership (PGP) and the Sustainable Farming Fund (SFF). The Ministry for Primary Industries is continuing to support current PGP and SFF projects and programmes as part of the SFF Futures portfolio until their completion.</w:t>
      </w:r>
    </w:p>
    <w:p w14:paraId="293D29CF" w14:textId="77777777" w:rsidR="00CA1920" w:rsidRPr="00BD16B4" w:rsidRDefault="00CA1920" w:rsidP="00CA1920">
      <w:pPr>
        <w:pStyle w:val="Heading5"/>
        <w:rPr>
          <w:rFonts w:eastAsia="Calibri"/>
        </w:rPr>
      </w:pPr>
      <w:r w:rsidRPr="00BD16B4">
        <w:rPr>
          <w:rFonts w:eastAsia="Calibri"/>
        </w:rPr>
        <w:t>Sustainable Land Management and Climate Change Research Programme</w:t>
      </w:r>
    </w:p>
    <w:p w14:paraId="2A79A086" w14:textId="77777777" w:rsidR="00CA1920" w:rsidRPr="00BD16B4" w:rsidRDefault="00CA1920" w:rsidP="00CA1920">
      <w:pPr>
        <w:pStyle w:val="BodyText"/>
        <w:rPr>
          <w:rFonts w:eastAsia="Calibri"/>
        </w:rPr>
      </w:pPr>
      <w:r w:rsidRPr="00BD16B4">
        <w:t>In 2007, the Government set up the Sustainable Land Management and Climate Change (SLMACC) research programme</w:t>
      </w:r>
      <w:r w:rsidRPr="00BD16B4">
        <w:rPr>
          <w:rStyle w:val="FootnoteReference"/>
        </w:rPr>
        <w:footnoteReference w:id="200"/>
      </w:r>
      <w:r w:rsidRPr="00BD16B4">
        <w:t xml:space="preserve"> as part of a wider plan of action to support the generation of new climate change knowledge across the agriculture and forestry sectors.</w:t>
      </w:r>
      <w:r w:rsidRPr="00BD16B4">
        <w:rPr>
          <w:rFonts w:eastAsia="Calibri"/>
        </w:rPr>
        <w:t xml:space="preserve"> </w:t>
      </w:r>
    </w:p>
    <w:p w14:paraId="1710029C" w14:textId="77777777" w:rsidR="00CA1920" w:rsidRPr="00BD16B4" w:rsidRDefault="00CA1920" w:rsidP="00CA1920">
      <w:pPr>
        <w:pStyle w:val="BodyText"/>
        <w:rPr>
          <w:rFonts w:eastAsia="Calibri"/>
        </w:rPr>
      </w:pPr>
      <w:r w:rsidRPr="00BD16B4">
        <w:rPr>
          <w:rFonts w:eastAsia="Calibri"/>
        </w:rPr>
        <w:lastRenderedPageBreak/>
        <w:t xml:space="preserve">The research programme covered all aspects of climate change in the land-based sectors, including impacts and adaptation, reducing greenhouse gas emissions and increasing forest carbon sinks. Over 180 projects have been commissioned as at June 2022. </w:t>
      </w:r>
    </w:p>
    <w:p w14:paraId="5C40CA8D" w14:textId="77777777" w:rsidR="00CA1920" w:rsidRPr="00BD16B4" w:rsidRDefault="00CA1920" w:rsidP="00CA1920">
      <w:pPr>
        <w:pStyle w:val="BodyText"/>
        <w:rPr>
          <w:rFonts w:eastAsia="Calibri"/>
        </w:rPr>
      </w:pPr>
      <w:r w:rsidRPr="00BD16B4">
        <w:t>An independent review of the SLMACC research programme completed in 2018 found that the programme was creating high-quality research, engaging stakeholders and end users, and growing climate change science capability in New Zealand.</w:t>
      </w:r>
      <w:r w:rsidRPr="00BD16B4">
        <w:rPr>
          <w:rFonts w:eastAsia="Calibri"/>
        </w:rPr>
        <w:t xml:space="preserve"> </w:t>
      </w:r>
    </w:p>
    <w:p w14:paraId="3CA75FAF" w14:textId="77777777" w:rsidR="00CA1920" w:rsidRPr="00BD16B4" w:rsidRDefault="00CA1920" w:rsidP="00CA1920">
      <w:pPr>
        <w:pStyle w:val="BodyText"/>
        <w:rPr>
          <w:rFonts w:eastAsia="Calibri"/>
        </w:rPr>
      </w:pPr>
      <w:r w:rsidRPr="00BD16B4">
        <w:t>In 2020 the SLMACC research programme was changed to limit its focus to climate change adaptation (including in the forestry sector). This was largely due to the availability of other funding resources for climate change mitigation research, and the need to prioritise the limited funding available to the SLMACC research programme.</w:t>
      </w:r>
    </w:p>
    <w:p w14:paraId="7C0E9BF4" w14:textId="77777777" w:rsidR="00CA1920" w:rsidRPr="00BD16B4" w:rsidRDefault="00CA1920" w:rsidP="00CA1920">
      <w:pPr>
        <w:pStyle w:val="BodyText"/>
        <w:rPr>
          <w:rFonts w:eastAsia="Calibri"/>
        </w:rPr>
      </w:pPr>
      <w:r w:rsidRPr="00BD16B4">
        <w:t xml:space="preserve">Also in 2020, NZ$16 million in funding was allocated to a new four-year SLMACC Freshwater Mitigation programme. This fund supports field trials of existing farm technologies and practices that protect waterways and wetlands by reducing nutrient run-off and leaching, including nitrogen. The programme aims to produce scientific data that can be incorporated into decision support tools. </w:t>
      </w:r>
    </w:p>
    <w:p w14:paraId="5781E89C" w14:textId="77777777" w:rsidR="00CA1920" w:rsidRPr="00BD16B4" w:rsidRDefault="00CA1920" w:rsidP="00CA1920">
      <w:pPr>
        <w:pStyle w:val="BodyText"/>
      </w:pPr>
      <w:r w:rsidRPr="00BD16B4">
        <w:t xml:space="preserve">In addition to the research programmes included in the emissions reduction plan and those described above, domestic research has been supported through the government-funded New Zealand Agricultural Greenhouse Gas Research Centre, alongside other programmes, including the Pastoral Greenhouse Gas Research Consortium (PGgRc). For more information on the PGgRc, see chapter 8. </w:t>
      </w:r>
    </w:p>
    <w:p w14:paraId="2DC58403" w14:textId="77777777" w:rsidR="00CA1920" w:rsidRPr="00BD16B4" w:rsidRDefault="00CA1920" w:rsidP="00CA1920">
      <w:pPr>
        <w:pStyle w:val="Heading5"/>
        <w:rPr>
          <w:rFonts w:eastAsia="Calibri"/>
        </w:rPr>
      </w:pPr>
      <w:r w:rsidRPr="00BD16B4">
        <w:rPr>
          <w:rFonts w:eastAsia="Calibri"/>
        </w:rPr>
        <w:t>Regulations to manage freshwater introduced under the Essential Freshwater package</w:t>
      </w:r>
    </w:p>
    <w:p w14:paraId="0D662AAE" w14:textId="77777777" w:rsidR="00CA1920" w:rsidRPr="00BD16B4" w:rsidRDefault="00CA1920" w:rsidP="00CA1920">
      <w:pPr>
        <w:pStyle w:val="BodyText"/>
        <w:rPr>
          <w:rFonts w:eastAsia="Calibri"/>
        </w:rPr>
      </w:pPr>
      <w:r w:rsidRPr="00BD16B4">
        <w:t xml:space="preserve">The </w:t>
      </w:r>
      <w:hyperlink r:id="rId81" w:history="1">
        <w:r w:rsidRPr="00BD16B4">
          <w:t>National Policy Statement for Freshwater Management (NPS-FM)</w:t>
        </w:r>
      </w:hyperlink>
      <w:r w:rsidRPr="00BD16B4">
        <w:t xml:space="preserve"> provides national policy direction to regional councils on freshwater management. These measures will impact emissions from agriculture through their influence on animal numbers.</w:t>
      </w:r>
    </w:p>
    <w:p w14:paraId="2380028B" w14:textId="77777777" w:rsidR="00CA1920" w:rsidRPr="00BD16B4" w:rsidRDefault="00CA1920" w:rsidP="00CA1920">
      <w:pPr>
        <w:pStyle w:val="BodyText"/>
        <w:rPr>
          <w:rFonts w:eastAsia="Calibri"/>
        </w:rPr>
      </w:pPr>
      <w:r w:rsidRPr="00BD16B4">
        <w:rPr>
          <w:rFonts w:eastAsia="Calibri"/>
        </w:rPr>
        <w:t>Freshwater management in New Zealand is largely devolved to local authorities under the Resource Management Act 1991. Regional councils are responsible for managing water bodies in their region, including the flows and levels in any water body; control of the taking, use or damming, and diversion of water; the allocation of water; and the control of discharges.</w:t>
      </w:r>
    </w:p>
    <w:p w14:paraId="00EE6438" w14:textId="77777777" w:rsidR="00CA1920" w:rsidRPr="00BD16B4" w:rsidRDefault="00CA1920" w:rsidP="00CA1920">
      <w:pPr>
        <w:pStyle w:val="BodyText"/>
        <w:rPr>
          <w:rFonts w:eastAsia="Calibri"/>
        </w:rPr>
      </w:pPr>
      <w:r w:rsidRPr="00BD16B4">
        <w:t>In August 2020, the Essential Freshwater package was gazetted and includes several new regulatory instruments to stop the further degradation of New Zealand’s freshwater resources, start making immediate improvements in freshwater ecosystems and water quality, and reverse past damage within a generation. The instruments introduced under the package include the:</w:t>
      </w:r>
    </w:p>
    <w:p w14:paraId="54876407" w14:textId="77777777" w:rsidR="00CA1920" w:rsidRPr="00BD16B4" w:rsidRDefault="00CA1920" w:rsidP="00CA1920">
      <w:pPr>
        <w:pStyle w:val="Bullet"/>
      </w:pPr>
      <w:r w:rsidRPr="00BD16B4">
        <w:t xml:space="preserve">National Policy Statement for Freshwater Management 2020, designed to require regional councils to update regional plans which embed long term changes to manage freshwater </w:t>
      </w:r>
    </w:p>
    <w:p w14:paraId="69153669" w14:textId="77777777" w:rsidR="00CA1920" w:rsidRPr="00BD16B4" w:rsidRDefault="00CA1920" w:rsidP="00CA1920">
      <w:pPr>
        <w:pStyle w:val="Bullet"/>
      </w:pPr>
      <w:r w:rsidRPr="00BD16B4">
        <w:t>National Environmental Standard for Freshwater, which regulates high-risk land use activities such as the application of synthetic nitrogen fertiliser in dairy farm systems</w:t>
      </w:r>
    </w:p>
    <w:p w14:paraId="6DD54597" w14:textId="77777777" w:rsidR="00CA1920" w:rsidRPr="00BD16B4" w:rsidRDefault="00CA1920" w:rsidP="00CA1920">
      <w:pPr>
        <w:pStyle w:val="Bullet"/>
      </w:pPr>
      <w:r w:rsidRPr="00BD16B4">
        <w:t xml:space="preserve">Resource Management (Stock Exclusion) Regulations, which require farmers to exclude cattle, pigs and deer from rivers, lakes and wetlands. </w:t>
      </w:r>
    </w:p>
    <w:p w14:paraId="29DB9DD4" w14:textId="77777777" w:rsidR="00CA1920" w:rsidRPr="00BD16B4" w:rsidRDefault="00CA1920" w:rsidP="00CA1920">
      <w:pPr>
        <w:pStyle w:val="BodyText"/>
      </w:pPr>
      <w:r w:rsidRPr="00BD16B4">
        <w:t xml:space="preserve">Although the regulations were primarily designed to manage land use activities to see improvements in freshwater quality and ecosystem health, resulting changes in land use activity will also impact agricultural GHG emissions. </w:t>
      </w:r>
    </w:p>
    <w:p w14:paraId="69429E1D" w14:textId="77777777" w:rsidR="00CA1920" w:rsidRPr="00BD16B4" w:rsidRDefault="00CA1920" w:rsidP="00CA1920">
      <w:pPr>
        <w:pStyle w:val="BodyText"/>
      </w:pPr>
      <w:r w:rsidRPr="00BD16B4">
        <w:lastRenderedPageBreak/>
        <w:t xml:space="preserve">Under the NPS-FM, regional councils must have regard to the reasonably foreseeable impacts of climate change. As such, the NPS-FM encourages national consistency across regional councils in taking climate change impacts into account in freshwater planning. Communities and businesses require long-term stability in allocations and rules. Therefore, when rules are set, future changes in catchments and climate need to be considered. </w:t>
      </w:r>
    </w:p>
    <w:p w14:paraId="3BB89F0B" w14:textId="77777777" w:rsidR="00CA1920" w:rsidRPr="00BD16B4" w:rsidRDefault="00CA1920" w:rsidP="00CA1920">
      <w:pPr>
        <w:pStyle w:val="BodyText"/>
      </w:pPr>
      <w:r w:rsidRPr="00BD16B4">
        <w:t>The National Environmental Standard for Freshwater includes the synthetic nitrogen fertiliser cap regulation (the N-cap). The N-cap restricts the application of synthetic fertiliser to no more than 190 kilograms per hectare per year across the land used in pastoral systems. A farmer must obtain a resource consent in order to exceed the cap. When fully implemented, it is estimated that the N-cap regulations could reduce gross agricultural GHG emissions by approximately 0.5 per cent (equal to approximately 150 kilotonnes of carbon dioxide equivalent (kt CO</w:t>
      </w:r>
      <w:r w:rsidRPr="00BD16B4">
        <w:rPr>
          <w:vertAlign w:val="subscript"/>
        </w:rPr>
        <w:t>2</w:t>
      </w:r>
      <w:r w:rsidRPr="00BD16B4">
        <w:t>-e) of nitrous oxide).</w:t>
      </w:r>
    </w:p>
    <w:p w14:paraId="34BA410A" w14:textId="77777777" w:rsidR="00CA1920" w:rsidRPr="00BD16B4" w:rsidRDefault="00CA1920" w:rsidP="00CA1920">
      <w:pPr>
        <w:pStyle w:val="Heading3"/>
        <w:spacing w:before="440"/>
        <w:rPr>
          <w:rFonts w:eastAsia="Calibri"/>
        </w:rPr>
      </w:pPr>
      <w:r w:rsidRPr="00BD16B4">
        <w:rPr>
          <w:rFonts w:eastAsia="Calibri"/>
        </w:rPr>
        <w:t>4.3.7</w:t>
      </w:r>
      <w:r w:rsidRPr="00BD16B4">
        <w:rPr>
          <w:rFonts w:eastAsia="Calibri"/>
        </w:rPr>
        <w:tab/>
        <w:t>Land use, land-use change and forestry</w:t>
      </w:r>
    </w:p>
    <w:p w14:paraId="685DE084" w14:textId="77777777" w:rsidR="00CA1920" w:rsidRPr="00BD16B4" w:rsidRDefault="00CA1920" w:rsidP="00CA1920">
      <w:pPr>
        <w:pStyle w:val="BodyText"/>
        <w:spacing w:before="100" w:after="100"/>
      </w:pPr>
      <w:r w:rsidRPr="00BD16B4">
        <w:t xml:space="preserve">Reducing gross emissions from the sectors that make up our economy is the Government’s priority – but forestry has a part to play in offsetting the emissions of sectors that cannot easily reduce or remove their emissions. It also contributes to lowering gross emissions in other sectors through providing inputs to the bioeconomy. Forestry can provide flexibility in our path to a cost-effective, timely and equitable transition. </w:t>
      </w:r>
    </w:p>
    <w:p w14:paraId="747B1785" w14:textId="77777777" w:rsidR="00CA1920" w:rsidRPr="00BD16B4" w:rsidRDefault="00CA1920" w:rsidP="00CA1920">
      <w:pPr>
        <w:pStyle w:val="BodyText"/>
        <w:spacing w:after="100"/>
        <w:rPr>
          <w:rFonts w:eastAsia="Calibri"/>
        </w:rPr>
      </w:pPr>
      <w:r w:rsidRPr="00BD16B4">
        <w:rPr>
          <w:rFonts w:eastAsia="Calibri"/>
        </w:rPr>
        <w:t>The role of forests in Aotearoa New Zealand has evolved over time and continues to do so. The past century has seen New Zealand’s forestry sector transition from a dependence on indigenous tree species to a sustainable, plantation-based system. At the farm scale, tree and shrub plantings have become an increasingly important tool in land management, with both indigenous and exotic plantings being used increasingly in farm planning (for erosion control, animal welfare and watershed management).</w:t>
      </w:r>
    </w:p>
    <w:p w14:paraId="314234EA" w14:textId="77777777" w:rsidR="00CA1920" w:rsidRPr="00BD16B4" w:rsidRDefault="00CA1920" w:rsidP="00CA1920">
      <w:pPr>
        <w:pStyle w:val="BodyText"/>
        <w:rPr>
          <w:rFonts w:eastAsia="Calibri"/>
        </w:rPr>
      </w:pPr>
      <w:r w:rsidRPr="00BD16B4">
        <w:rPr>
          <w:rFonts w:eastAsia="Calibri"/>
        </w:rPr>
        <w:t>Planted and natural forests (both tall and regenerating) cover approximately 37 per cent of New Zealand’s land area.</w:t>
      </w:r>
      <w:r w:rsidRPr="00BD16B4">
        <w:rPr>
          <w:rStyle w:val="FootnoteReference"/>
          <w:rFonts w:eastAsia="Calibri"/>
        </w:rPr>
        <w:footnoteReference w:id="201"/>
      </w:r>
      <w:r w:rsidRPr="00BD16B4">
        <w:rPr>
          <w:rFonts w:eastAsia="Calibri"/>
        </w:rPr>
        <w:t xml:space="preserve"> The area of land in forests is expected to increase, with plantings being used increasingly to build value in marginal land and to meet national objectives for emissions reduction. New types of forests are emerging, including m</w:t>
      </w:r>
      <w:r w:rsidRPr="00BD16B4">
        <w:rPr>
          <w:rFonts w:eastAsia="Calibri" w:cs="Calibri"/>
        </w:rPr>
        <w:t>ā</w:t>
      </w:r>
      <w:r w:rsidRPr="00BD16B4">
        <w:rPr>
          <w:rFonts w:eastAsia="Calibri"/>
        </w:rPr>
        <w:t xml:space="preserve">nuka plantations for honey production, short-rotation exotic plantations to support the growth of the bioeconomy, exotic forests grown for carbon sequestration (and not intended for harvest) and forests actively managed to transition from exotic to indigenous species over time. </w:t>
      </w:r>
    </w:p>
    <w:p w14:paraId="53F4C88D" w14:textId="77777777" w:rsidR="00CA1920" w:rsidRPr="00BD16B4" w:rsidRDefault="00CA1920" w:rsidP="00CA1920">
      <w:pPr>
        <w:pStyle w:val="BodyText"/>
        <w:rPr>
          <w:rFonts w:eastAsia="Calibri"/>
        </w:rPr>
      </w:pPr>
      <w:r w:rsidRPr="00BD16B4">
        <w:rPr>
          <w:rFonts w:eastAsia="Calibri"/>
        </w:rPr>
        <w:t xml:space="preserve">The pattern of afforestation is likely to be focused on lower-productivity agricultural land, areas where forestry can support erosion and water management, and more marginal (or difficult) parts of farm properties, particularly hill country properties. An issue that the Government is currently working through is the risk that high carbon prices will lead to increased levels of permanent exotic afforestation, which has the potential to displace other productive land uses, particularly sheep and beef farming and production forestry, impacting rural communities and economies. </w:t>
      </w:r>
    </w:p>
    <w:p w14:paraId="70BEB75D" w14:textId="77777777" w:rsidR="00CA1920" w:rsidRPr="00BD16B4" w:rsidRDefault="00CA1920" w:rsidP="00CA1920">
      <w:pPr>
        <w:pStyle w:val="BodyText"/>
        <w:rPr>
          <w:rFonts w:eastAsia="Calibri"/>
        </w:rPr>
      </w:pPr>
      <w:r w:rsidRPr="00BD16B4">
        <w:rPr>
          <w:rFonts w:eastAsia="Calibri"/>
        </w:rPr>
        <w:t xml:space="preserve">In 2020 the Land Use and Carbon Analysis System (LUCAS) measured 2.13 million hectares of plantation forest and 7.84 million hectares of natural forest. New Zealand’s large proportion of planted forest enables it to protect much of the natural forest resource from harvesting. Less </w:t>
      </w:r>
      <w:r w:rsidRPr="00BD16B4">
        <w:rPr>
          <w:rFonts w:eastAsia="Calibri"/>
        </w:rPr>
        <w:lastRenderedPageBreak/>
        <w:t>than 0.1 per cent of New Zealand’s annual timber production is harvested from natural forests, which are managed under sustainable forest management plans and permits.</w:t>
      </w:r>
      <w:r w:rsidRPr="00BD16B4">
        <w:rPr>
          <w:rStyle w:val="FootnoteReference"/>
          <w:rFonts w:eastAsia="Calibri"/>
        </w:rPr>
        <w:footnoteReference w:id="202"/>
      </w:r>
      <w:r w:rsidRPr="00BD16B4">
        <w:rPr>
          <w:rFonts w:eastAsia="Calibri"/>
        </w:rPr>
        <w:t xml:space="preserve"> This system of management has been in place since 1993, following an amendment to the Forests Act 1949.</w:t>
      </w:r>
    </w:p>
    <w:p w14:paraId="5F8D6B6F" w14:textId="32871CA6" w:rsidR="00CA1920" w:rsidRPr="00BD16B4" w:rsidRDefault="00CA1920" w:rsidP="00CA1920">
      <w:pPr>
        <w:pStyle w:val="BodyText"/>
        <w:rPr>
          <w:rFonts w:eastAsia="Calibri"/>
        </w:rPr>
      </w:pPr>
      <w:r w:rsidRPr="00BD16B4">
        <w:rPr>
          <w:rFonts w:eastAsia="Calibri"/>
        </w:rPr>
        <w:t xml:space="preserve">New Zealand’s timber production is derived almost exclusively from exotic plantations. These production forests are managed on a sustainable cycle of planting, harvesting and replanting. Extensive planting of commercial forests occurred between 1992 and 2003, due to a relatively high rate of return for logs. A significant proportion of this planting was undertaken by farmers and utilised </w:t>
      </w:r>
      <w:r w:rsidR="00C4665C" w:rsidRPr="00BD16B4">
        <w:rPr>
          <w:rFonts w:eastAsia="Calibri"/>
        </w:rPr>
        <w:t xml:space="preserve">land </w:t>
      </w:r>
      <w:r w:rsidRPr="00BD16B4">
        <w:rPr>
          <w:rFonts w:eastAsia="Calibri"/>
        </w:rPr>
        <w:t xml:space="preserve">less suitable for livestock production. These forests have contributed to offsetting emissions from other sectors of the economy. </w:t>
      </w:r>
    </w:p>
    <w:p w14:paraId="4F5F7CE1" w14:textId="77777777" w:rsidR="00CA1920" w:rsidRPr="00BD16B4" w:rsidRDefault="00CA1920" w:rsidP="004E1B8C">
      <w:pPr>
        <w:pStyle w:val="Heading4"/>
        <w:rPr>
          <w:rFonts w:eastAsia="Calibri"/>
        </w:rPr>
      </w:pPr>
      <w:r w:rsidRPr="00BD16B4">
        <w:t>Role of forests in emissions reduction</w:t>
      </w:r>
    </w:p>
    <w:p w14:paraId="1D46B1BC" w14:textId="77777777" w:rsidR="00CA1920" w:rsidRPr="00BD16B4" w:rsidRDefault="00CA1920" w:rsidP="00CA1920">
      <w:pPr>
        <w:pStyle w:val="BodyText"/>
        <w:rPr>
          <w:rFonts w:eastAsia="Calibri"/>
        </w:rPr>
      </w:pPr>
      <w:r w:rsidRPr="00BD16B4">
        <w:rPr>
          <w:rFonts w:eastAsia="Calibri"/>
        </w:rPr>
        <w:t>Forests can act as significant carbon sinks, by absorbing CO</w:t>
      </w:r>
      <w:r w:rsidRPr="00BD16B4">
        <w:rPr>
          <w:rFonts w:eastAsia="Calibri"/>
          <w:vertAlign w:val="subscript"/>
        </w:rPr>
        <w:t>2</w:t>
      </w:r>
      <w:r w:rsidRPr="00BD16B4">
        <w:rPr>
          <w:rFonts w:eastAsia="Calibri"/>
        </w:rPr>
        <w:t>, as well as helping to achieve other positive environmental outcomes (such as reducing erosion). In 2020 the l</w:t>
      </w:r>
      <w:r w:rsidRPr="00BD16B4">
        <w:t>and use, land-use change and forestry (</w:t>
      </w:r>
      <w:r w:rsidRPr="00BD16B4">
        <w:rPr>
          <w:rFonts w:eastAsia="Calibri"/>
        </w:rPr>
        <w:t xml:space="preserve">LULUCF) sector offset 30 per cent of New Zealand’s gross emissions. Both the </w:t>
      </w:r>
      <w:r w:rsidRPr="00BD16B4">
        <w:t>native forests and the plantation estate of New Zealand are significant carbon stores. New Zealand’s natural (tall) forest and regenerating forest together are estimated to hold about 1.8 billion tonnes of carbon in their biomass.</w:t>
      </w:r>
      <w:r w:rsidRPr="00BD16B4">
        <w:rPr>
          <w:rStyle w:val="FootnoteReference"/>
        </w:rPr>
        <w:footnoteReference w:id="203"/>
      </w:r>
    </w:p>
    <w:p w14:paraId="3C1D45A6" w14:textId="77777777" w:rsidR="00CA1920" w:rsidRPr="00BD16B4" w:rsidRDefault="00CA1920" w:rsidP="004E1B8C">
      <w:pPr>
        <w:pStyle w:val="Heading4"/>
      </w:pPr>
      <w:r w:rsidRPr="00BD16B4">
        <w:t>Promoting afforestation and carbon sequestration</w:t>
      </w:r>
    </w:p>
    <w:p w14:paraId="4A05CEAA" w14:textId="77777777" w:rsidR="00CA1920" w:rsidRPr="00BD16B4" w:rsidRDefault="00CA1920" w:rsidP="00CA1920">
      <w:pPr>
        <w:pStyle w:val="BodyText"/>
        <w:rPr>
          <w:rFonts w:eastAsia="Calibri"/>
        </w:rPr>
      </w:pPr>
      <w:r w:rsidRPr="00BD16B4">
        <w:rPr>
          <w:rFonts w:eastAsia="Calibri"/>
        </w:rPr>
        <w:t>Afforestation has been used as a tool to mitigate soil erosion and sedimentation for over 80 years in New Zealand. In the early 1990s the Government introduced the East Coast Forestry Project (more recently renamed the Erosion Control Funding Programme) to support land owners to treat vulnerable land in the East Coast region of the North Island. Afforestation initiatives increased from the late 2000s, and their scope broadened to address wider environmental issues and to promote carbon sequestration. Six principal measures to</w:t>
      </w:r>
      <w:r w:rsidRPr="00BD16B4" w:rsidDel="00A45B71">
        <w:rPr>
          <w:rFonts w:eastAsia="Calibri"/>
        </w:rPr>
        <w:t xml:space="preserve"> </w:t>
      </w:r>
      <w:r w:rsidRPr="00BD16B4">
        <w:rPr>
          <w:rFonts w:eastAsia="Calibri"/>
        </w:rPr>
        <w:t>promote afforestation have been in place for part, or all, of the past 15 years. These initiatives are listed below and described in more detail in later in this section:</w:t>
      </w:r>
    </w:p>
    <w:p w14:paraId="5BD63609" w14:textId="77777777" w:rsidR="00CA1920" w:rsidRPr="00BD16B4" w:rsidRDefault="00CA1920" w:rsidP="00CA1920">
      <w:pPr>
        <w:pStyle w:val="Bullet"/>
        <w:keepNext/>
      </w:pPr>
      <w:r w:rsidRPr="00BD16B4">
        <w:t>New Zealand Emissions Trading Scheme (NZ ETS)</w:t>
      </w:r>
    </w:p>
    <w:p w14:paraId="43E3CEC9" w14:textId="77777777" w:rsidR="00CA1920" w:rsidRPr="00BD16B4" w:rsidRDefault="00CA1920" w:rsidP="00CA1920">
      <w:pPr>
        <w:pStyle w:val="Bullet"/>
        <w:tabs>
          <w:tab w:val="num" w:pos="397"/>
        </w:tabs>
        <w:spacing w:line="280" w:lineRule="exact"/>
      </w:pPr>
      <w:r w:rsidRPr="00BD16B4">
        <w:t>One Billion Trees Fund (1BT)</w:t>
      </w:r>
      <w:r w:rsidRPr="00BD16B4">
        <w:rPr>
          <w:rStyle w:val="FootnoteReference"/>
        </w:rPr>
        <w:footnoteReference w:id="204"/>
      </w:r>
      <w:r w:rsidRPr="00BD16B4">
        <w:t xml:space="preserve"> </w:t>
      </w:r>
    </w:p>
    <w:p w14:paraId="1580D4DB" w14:textId="77777777" w:rsidR="00CA1920" w:rsidRPr="00BD16B4" w:rsidRDefault="00CA1920" w:rsidP="0070352B">
      <w:pPr>
        <w:pStyle w:val="Bullet"/>
        <w:tabs>
          <w:tab w:val="num" w:pos="397"/>
        </w:tabs>
        <w:spacing w:after="100" w:line="280" w:lineRule="exact"/>
      </w:pPr>
      <w:bookmarkStart w:id="249" w:name="_Hlk119319809"/>
      <w:r w:rsidRPr="00BD16B4">
        <w:t>Permanent Forest Sink Initiative</w:t>
      </w:r>
      <w:bookmarkEnd w:id="249"/>
      <w:r w:rsidRPr="00BD16B4">
        <w:t xml:space="preserve"> (PFSI)</w:t>
      </w:r>
    </w:p>
    <w:p w14:paraId="0A729540" w14:textId="77777777" w:rsidR="00CA1920" w:rsidRPr="00BD16B4" w:rsidRDefault="00CA1920" w:rsidP="0070352B">
      <w:pPr>
        <w:pStyle w:val="Bullet"/>
        <w:tabs>
          <w:tab w:val="num" w:pos="397"/>
        </w:tabs>
        <w:spacing w:after="100" w:line="280" w:lineRule="exact"/>
      </w:pPr>
      <w:r w:rsidRPr="00BD16B4">
        <w:t>Sustainable Land Management Hill Country Erosion Programme (HCEP)</w:t>
      </w:r>
    </w:p>
    <w:p w14:paraId="68D47ADC" w14:textId="77777777" w:rsidR="00CA1920" w:rsidRPr="00BD16B4" w:rsidRDefault="00CA1920" w:rsidP="0070352B">
      <w:pPr>
        <w:pStyle w:val="Bullet"/>
        <w:tabs>
          <w:tab w:val="num" w:pos="397"/>
        </w:tabs>
        <w:spacing w:after="100" w:line="280" w:lineRule="exact"/>
      </w:pPr>
      <w:bookmarkStart w:id="250" w:name="_Hlk119319837"/>
      <w:r w:rsidRPr="00BD16B4">
        <w:t>Erosion Control Funding Programme</w:t>
      </w:r>
      <w:bookmarkEnd w:id="250"/>
      <w:r w:rsidRPr="00BD16B4">
        <w:t xml:space="preserve"> (ECFP – formerly the East Coast Forestry Project)</w:t>
      </w:r>
    </w:p>
    <w:p w14:paraId="3A7A361E" w14:textId="77777777" w:rsidR="00CA1920" w:rsidRPr="00BD16B4" w:rsidRDefault="00CA1920" w:rsidP="0070352B">
      <w:pPr>
        <w:pStyle w:val="Bullet"/>
        <w:tabs>
          <w:tab w:val="num" w:pos="397"/>
        </w:tabs>
        <w:spacing w:after="100" w:line="280" w:lineRule="exact"/>
      </w:pPr>
      <w:r w:rsidRPr="00BD16B4">
        <w:t>Afforestation Grant Scheme (AGS).</w:t>
      </w:r>
      <w:r w:rsidRPr="00BD16B4">
        <w:rPr>
          <w:rStyle w:val="FootnoteReference"/>
        </w:rPr>
        <w:footnoteReference w:id="205"/>
      </w:r>
    </w:p>
    <w:p w14:paraId="7D7B01D3" w14:textId="6F0B9E90" w:rsidR="00CA1920" w:rsidRPr="00BD16B4" w:rsidRDefault="00CA1920" w:rsidP="0003189F">
      <w:pPr>
        <w:pStyle w:val="BodyText"/>
        <w:keepLines/>
        <w:spacing w:after="100"/>
        <w:rPr>
          <w:rFonts w:eastAsia="Calibri"/>
        </w:rPr>
      </w:pPr>
      <w:r w:rsidRPr="00BD16B4">
        <w:rPr>
          <w:rFonts w:eastAsia="Calibri"/>
        </w:rPr>
        <w:lastRenderedPageBreak/>
        <w:t xml:space="preserve">Between 2008 and 2020 </w:t>
      </w:r>
      <w:r w:rsidRPr="00BD16B4">
        <w:t xml:space="preserve">the majority </w:t>
      </w:r>
      <w:r w:rsidRPr="00BD16B4">
        <w:rPr>
          <w:rFonts w:eastAsia="Calibri"/>
        </w:rPr>
        <w:t xml:space="preserve">of </w:t>
      </w:r>
      <w:r w:rsidRPr="00BD16B4">
        <w:t>total afforestation in New Zealand can be attributed to</w:t>
      </w:r>
      <w:r w:rsidR="00280979" w:rsidRPr="00BD16B4">
        <w:t> </w:t>
      </w:r>
      <w:r w:rsidRPr="00BD16B4">
        <w:t>the Government initiatives listed above</w:t>
      </w:r>
      <w:r w:rsidRPr="00BD16B4">
        <w:rPr>
          <w:rFonts w:eastAsia="Calibri"/>
        </w:rPr>
        <w:t xml:space="preserve">. Between 1990 and 2020 these initiatives have </w:t>
      </w:r>
      <w:r w:rsidRPr="00BD16B4">
        <w:t xml:space="preserve">also </w:t>
      </w:r>
      <w:r w:rsidRPr="00BD16B4">
        <w:rPr>
          <w:rFonts w:eastAsia="Calibri"/>
        </w:rPr>
        <w:t xml:space="preserve">led to the sequestering of an </w:t>
      </w:r>
      <w:r w:rsidRPr="00BD16B4">
        <w:t xml:space="preserve">estimated </w:t>
      </w:r>
      <w:r w:rsidRPr="00BD16B4">
        <w:rPr>
          <w:rFonts w:eastAsia="Calibri"/>
        </w:rPr>
        <w:t xml:space="preserve">additional </w:t>
      </w:r>
      <w:r w:rsidRPr="00BD16B4">
        <w:t xml:space="preserve">18,310 </w:t>
      </w:r>
      <w:r w:rsidRPr="00BD16B4">
        <w:rPr>
          <w:rFonts w:eastAsia="Calibri"/>
        </w:rPr>
        <w:t>kt CO</w:t>
      </w:r>
      <w:r w:rsidRPr="00BD16B4">
        <w:rPr>
          <w:rFonts w:eastAsia="Calibri"/>
          <w:vertAlign w:val="subscript"/>
        </w:rPr>
        <w:t>2</w:t>
      </w:r>
      <w:r w:rsidRPr="00BD16B4">
        <w:rPr>
          <w:rFonts w:eastAsia="Calibri"/>
        </w:rPr>
        <w:t xml:space="preserve"> from the atmosphere</w:t>
      </w:r>
      <w:r w:rsidRPr="00BD16B4">
        <w:t>. This figure includes afforestation resulting from the NZ ETS, PFSI, ECFP, 1BT, HCEP and AGS, as well as the estimated impact the NZ ETS has had on reducing pre-1990 planted forest deforestation since 2008.</w:t>
      </w:r>
    </w:p>
    <w:p w14:paraId="7301EF30" w14:textId="77777777" w:rsidR="00CA1920" w:rsidRPr="00BD16B4" w:rsidRDefault="00CA1920" w:rsidP="00CA1920">
      <w:pPr>
        <w:pStyle w:val="BodyText"/>
        <w:spacing w:after="240"/>
      </w:pPr>
      <w:r w:rsidRPr="00BD16B4">
        <w:t>The groundwork laid by these initiatives will be built upon through the emissions reduction plan released in 2022. The specific actions in the emissions reduction plan to support afforestation and to meet New Zealand’s 2050 targets are set out below.</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A1920" w:rsidRPr="00BD16B4" w14:paraId="13B4E77F" w14:textId="77777777" w:rsidTr="002D166E">
        <w:tc>
          <w:tcPr>
            <w:tcW w:w="0" w:type="auto"/>
            <w:shd w:val="clear" w:color="auto" w:fill="D2DDE2"/>
          </w:tcPr>
          <w:p w14:paraId="2C42083D" w14:textId="77777777" w:rsidR="00CA1920" w:rsidRPr="00BD16B4" w:rsidRDefault="00CA1920" w:rsidP="002D166E">
            <w:pPr>
              <w:pStyle w:val="Boxheading"/>
            </w:pPr>
            <w:r w:rsidRPr="00BD16B4">
              <w:t>Key actions in the emissions reduction plan</w:t>
            </w:r>
          </w:p>
          <w:p w14:paraId="7C42D31D" w14:textId="77777777" w:rsidR="00CA1920" w:rsidRPr="00BD16B4" w:rsidRDefault="00CA1920" w:rsidP="002D166E">
            <w:pPr>
              <w:pStyle w:val="Boxtext"/>
              <w:spacing w:after="80"/>
            </w:pPr>
            <w:r w:rsidRPr="00BD16B4">
              <w:t>Support afforestation by:</w:t>
            </w:r>
          </w:p>
          <w:p w14:paraId="2AAA0043" w14:textId="77777777" w:rsidR="00CA1920" w:rsidRPr="00BD16B4" w:rsidRDefault="00CA1920" w:rsidP="002D166E">
            <w:pPr>
              <w:pStyle w:val="Boxbullet"/>
              <w:spacing w:after="80"/>
            </w:pPr>
            <w:r w:rsidRPr="00BD16B4">
              <w:t>considering amendments to the NZ ETS and resource management settings to achieve the right type and scale of forests, in the right place</w:t>
            </w:r>
          </w:p>
          <w:p w14:paraId="56D8E693" w14:textId="77777777" w:rsidR="00CA1920" w:rsidRPr="00BD16B4" w:rsidRDefault="00CA1920" w:rsidP="0070352B">
            <w:pPr>
              <w:pStyle w:val="Boxbullet"/>
              <w:spacing w:after="80"/>
              <w:ind w:right="170"/>
              <w:rPr>
                <w:spacing w:val="-2"/>
              </w:rPr>
            </w:pPr>
            <w:r w:rsidRPr="00BD16B4">
              <w:rPr>
                <w:spacing w:val="-2"/>
              </w:rPr>
              <w:t>supporting land owners and others to undertake afforestation, particularly for erodible land</w:t>
            </w:r>
          </w:p>
          <w:p w14:paraId="79D1A23C" w14:textId="77777777" w:rsidR="00CA1920" w:rsidRPr="00BD16B4" w:rsidRDefault="00CA1920" w:rsidP="00A5626E">
            <w:pPr>
              <w:pStyle w:val="Boxbullet"/>
              <w:spacing w:after="80"/>
            </w:pPr>
            <w:r w:rsidRPr="00BD16B4">
              <w:t>providing advisory services to land users, councils, Māori and other stakeholders to support choices for sustainable afforestation.</w:t>
            </w:r>
          </w:p>
          <w:p w14:paraId="42DA0167" w14:textId="77777777" w:rsidR="00A5626E" w:rsidRPr="00BD16B4" w:rsidRDefault="00A5626E" w:rsidP="00A5626E">
            <w:pPr>
              <w:pStyle w:val="Boxtext"/>
              <w:spacing w:after="80"/>
            </w:pPr>
            <w:r w:rsidRPr="00BD16B4">
              <w:t>Encourage native forests as long-term carbon sinks through reducing costs and improving incentives.</w:t>
            </w:r>
          </w:p>
          <w:p w14:paraId="4074B325" w14:textId="77777777" w:rsidR="00A5626E" w:rsidRPr="00BD16B4" w:rsidRDefault="00A5626E" w:rsidP="00A5626E">
            <w:pPr>
              <w:pStyle w:val="Boxtext"/>
              <w:spacing w:after="80"/>
            </w:pPr>
            <w:r w:rsidRPr="00BD16B4">
              <w:t>Maintain existing forests by exploring options to reduce deforestation and encourage forest management practices that increase carbon stocks in pre-1990 forests.</w:t>
            </w:r>
          </w:p>
          <w:p w14:paraId="5A12863E" w14:textId="09CE14AD" w:rsidR="00A5626E" w:rsidRPr="00BD16B4" w:rsidRDefault="00A5626E" w:rsidP="00A5626E">
            <w:pPr>
              <w:pStyle w:val="Boxtext"/>
              <w:spacing w:after="180"/>
            </w:pPr>
            <w:r w:rsidRPr="00BD16B4">
              <w:t>Grow the forestry and wood processing industry to deliver more value from low-carbon products, while delivering jobs for communities.</w:t>
            </w:r>
          </w:p>
        </w:tc>
      </w:tr>
    </w:tbl>
    <w:p w14:paraId="76E4B5AD" w14:textId="77777777" w:rsidR="00CA1920" w:rsidRPr="00BD16B4" w:rsidRDefault="00CA1920" w:rsidP="00A5626E">
      <w:pPr>
        <w:pStyle w:val="BodyText"/>
        <w:spacing w:before="240"/>
        <w:rPr>
          <w:rFonts w:eastAsia="Calibri"/>
        </w:rPr>
      </w:pPr>
      <w:r w:rsidRPr="00BD16B4">
        <w:t>In Budget 2022, the New Zealand Government committed almost NZ$329.7 million of the CERF over four years to maximise forestry’s contribution to reducing emissions, boosting carbon storage and sequestration, and increasing our woody biomass supply, to help achieve New Zealand’s future carbon goals.</w:t>
      </w:r>
    </w:p>
    <w:p w14:paraId="3F1AB4B8" w14:textId="77777777" w:rsidR="00CA1920" w:rsidRPr="00BD16B4" w:rsidRDefault="00CA1920" w:rsidP="004E1B8C">
      <w:pPr>
        <w:pStyle w:val="Heading4"/>
      </w:pPr>
      <w:r w:rsidRPr="00BD16B4">
        <w:t>Principal measures</w:t>
      </w:r>
    </w:p>
    <w:p w14:paraId="7E93CEE2" w14:textId="77777777" w:rsidR="00CA1920" w:rsidRPr="00BD16B4" w:rsidRDefault="00CA1920" w:rsidP="00CA1920">
      <w:pPr>
        <w:pStyle w:val="Heading5"/>
        <w:spacing w:before="180"/>
        <w:rPr>
          <w:rFonts w:eastAsia="Calibri"/>
        </w:rPr>
      </w:pPr>
      <w:r w:rsidRPr="00BD16B4">
        <w:rPr>
          <w:rFonts w:eastAsia="Calibri"/>
        </w:rPr>
        <w:t xml:space="preserve">New Zealand Emissions Trading Scheme </w:t>
      </w:r>
    </w:p>
    <w:p w14:paraId="07749E5B" w14:textId="77777777" w:rsidR="00CA1920" w:rsidRPr="00BD16B4" w:rsidRDefault="00CA1920" w:rsidP="000E3BE4">
      <w:pPr>
        <w:pStyle w:val="BodyText"/>
        <w:rPr>
          <w:rFonts w:eastAsia="Calibri"/>
        </w:rPr>
      </w:pPr>
      <w:r w:rsidRPr="00BD16B4">
        <w:rPr>
          <w:rFonts w:eastAsia="Calibri"/>
        </w:rPr>
        <w:t>The NZ ETS is the main policy instrument to encourage afforestation and reduce deforestation for climate change purposes.</w:t>
      </w:r>
      <w:r w:rsidRPr="00BD16B4">
        <w:rPr>
          <w:rStyle w:val="FootnoteReference"/>
          <w:rFonts w:eastAsia="Calibri"/>
        </w:rPr>
        <w:footnoteReference w:id="206"/>
      </w:r>
      <w:r w:rsidRPr="00BD16B4">
        <w:rPr>
          <w:rFonts w:eastAsia="Calibri"/>
        </w:rPr>
        <w:t xml:space="preserve"> The forestry sector entered the NZ ETS in 2008, and as at 30 June 2022 around 55 per cent of forests established after 31 December 1989 had been voluntarily registered in the NZ ETS.</w:t>
      </w:r>
      <w:r w:rsidRPr="00BD16B4">
        <w:rPr>
          <w:rStyle w:val="FootnoteReference"/>
          <w:rFonts w:eastAsia="Calibri"/>
        </w:rPr>
        <w:footnoteReference w:id="207"/>
      </w:r>
    </w:p>
    <w:p w14:paraId="1FEBAC0D" w14:textId="77777777" w:rsidR="00CA1920" w:rsidRPr="00BD16B4" w:rsidRDefault="00CA1920" w:rsidP="000E3BE4">
      <w:pPr>
        <w:pStyle w:val="BodyText"/>
        <w:rPr>
          <w:rFonts w:eastAsia="Calibri"/>
        </w:rPr>
      </w:pPr>
      <w:r w:rsidRPr="00BD16B4">
        <w:rPr>
          <w:rFonts w:eastAsia="Calibri"/>
        </w:rPr>
        <w:t xml:space="preserve">Forests established since 1 January 1990 and entered into the NZ ETS are eligible to earn emissions units that represent the carbon sequestered by the forest </w:t>
      </w:r>
      <w:r w:rsidRPr="00BD16B4">
        <w:t xml:space="preserve">since the start of the </w:t>
      </w:r>
      <w:r w:rsidRPr="00BD16B4">
        <w:lastRenderedPageBreak/>
        <w:t>mandatory emissions return period in which they were registered,</w:t>
      </w:r>
      <w:r w:rsidRPr="00BD16B4">
        <w:rPr>
          <w:rStyle w:val="FootnoteReference"/>
        </w:rPr>
        <w:footnoteReference w:id="208"/>
      </w:r>
      <w:r w:rsidRPr="00BD16B4">
        <w:rPr>
          <w:rFonts w:eastAsia="Calibri"/>
        </w:rPr>
        <w:t xml:space="preserve"> but can also be liable to surrender units if there is a reduction in carbon stock (depending on the accounting methodology used).</w:t>
      </w:r>
      <w:r w:rsidRPr="00BD16B4">
        <w:rPr>
          <w:rFonts w:eastAsia="Calibri"/>
          <w:vertAlign w:val="superscript"/>
        </w:rPr>
        <w:footnoteReference w:id="209"/>
      </w:r>
      <w:r w:rsidRPr="00BD16B4">
        <w:rPr>
          <w:rFonts w:eastAsia="Calibri"/>
        </w:rPr>
        <w:t xml:space="preserve"> The majority of land owners with exotic forests planted before 1990 face deforestation liabilities</w:t>
      </w:r>
      <w:r w:rsidRPr="00BD16B4">
        <w:rPr>
          <w:rStyle w:val="FootnoteReference"/>
          <w:rFonts w:eastAsia="Calibri"/>
        </w:rPr>
        <w:footnoteReference w:id="210"/>
      </w:r>
      <w:r w:rsidRPr="00BD16B4">
        <w:rPr>
          <w:rFonts w:eastAsia="Calibri"/>
        </w:rPr>
        <w:t xml:space="preserve"> under the NZ ETS if they deforest.</w:t>
      </w:r>
    </w:p>
    <w:p w14:paraId="2F3441E5" w14:textId="77777777" w:rsidR="00CA1920" w:rsidRPr="00BD16B4" w:rsidRDefault="00CA1920" w:rsidP="000E3BE4">
      <w:pPr>
        <w:pStyle w:val="BodyText"/>
        <w:rPr>
          <w:rFonts w:eastAsia="Calibri"/>
        </w:rPr>
      </w:pPr>
      <w:r w:rsidRPr="00BD16B4">
        <w:rPr>
          <w:rFonts w:eastAsia="Calibri"/>
        </w:rPr>
        <w:t>As noted in section 4.3.1, amendments to the NZ ETS were enacted in 2020 to improve its overall operation and effectiveness, and to ensure its settings are able to support New Zealand to meet its future emissions reduction targets.</w:t>
      </w:r>
      <w:r w:rsidRPr="00BD16B4">
        <w:t xml:space="preserve"> For forestry, these improvements include the following.</w:t>
      </w:r>
    </w:p>
    <w:p w14:paraId="02D0B980" w14:textId="77777777" w:rsidR="00CA1920" w:rsidRPr="00BD16B4" w:rsidRDefault="00CA1920" w:rsidP="000E3BE4">
      <w:pPr>
        <w:pStyle w:val="Bullet"/>
      </w:pPr>
      <w:r w:rsidRPr="00BD16B4">
        <w:t>Averaging accounting was introduced from 1 January 2023, which was made optional for forests registered into the NZ ETS between 1 January 2019 and 31 December 2022, and mandatory for those registered after 1 January 2023. Under averaging accounting, first rotation forests earn units up to the long-term average carbon stock of the forest based on multiple rotations, without having to surrender units at harvest. This provides a greater incentive to establish new production (harvested) forests than the stock change accounting approach, where units are earned based on the actual carbon stock of the forest and must be surrendered at harvest, as it allows a greater proportion of units to be retained (so long as the forest is replanted and remains registered in the NZ ETS) and offers simplified long-term reporting.</w:t>
      </w:r>
    </w:p>
    <w:p w14:paraId="1C6905AB" w14:textId="2116F037" w:rsidR="00CA1920" w:rsidRPr="00BD16B4" w:rsidRDefault="00CA1920" w:rsidP="000E3BE4">
      <w:pPr>
        <w:pStyle w:val="Bullet"/>
      </w:pPr>
      <w:r w:rsidRPr="00BD16B4">
        <w:t xml:space="preserve">A new permanent post-1989 forest category was introduced from 1 January 2023. Forest land registered as permanent must remain in the NZ ETS for at least 50 years and cannot be clear-felled during that time. If the land is clear-felled, there are substantial penalties. Permanent forests will use the stock change accounting approach. </w:t>
      </w:r>
      <w:r w:rsidR="00275336" w:rsidRPr="00BD16B4">
        <w:t>Registered forest owners will earn NZUs as long as the forest carbon stock is increasing.</w:t>
      </w:r>
    </w:p>
    <w:p w14:paraId="040B445F" w14:textId="77777777" w:rsidR="00CA1920" w:rsidRPr="00BD16B4" w:rsidRDefault="00CA1920" w:rsidP="000E3BE4">
      <w:pPr>
        <w:pStyle w:val="Bullet"/>
      </w:pPr>
      <w:r w:rsidRPr="00BD16B4">
        <w:t xml:space="preserve">A number of operational and process changes were made to improve the NZ ETS for forestry and make it easier and more flexible for participants. </w:t>
      </w:r>
    </w:p>
    <w:p w14:paraId="3F4AB36C" w14:textId="77777777" w:rsidR="00CA1920" w:rsidRPr="00BD16B4" w:rsidRDefault="00CA1920" w:rsidP="000E3BE4">
      <w:pPr>
        <w:pStyle w:val="BodyText"/>
      </w:pPr>
      <w:r w:rsidRPr="00BD16B4">
        <w:t xml:space="preserve">Since these amendments were enacted, </w:t>
      </w:r>
      <w:r w:rsidRPr="00BD16B4">
        <w:rPr>
          <w:spacing w:val="-2"/>
        </w:rPr>
        <w:t>rapidly rising carbon prices have resulted in an increased financial incentive to plant permanent</w:t>
      </w:r>
      <w:r w:rsidRPr="00BD16B4">
        <w:t xml:space="preserve"> exotic forests. This risks the displacement of other productive land uses, particularly sheep and beef farming and production forestry, as well as other climate and environmental concerns.</w:t>
      </w:r>
    </w:p>
    <w:p w14:paraId="2FD217F1" w14:textId="77777777" w:rsidR="00CA1920" w:rsidRPr="00BD16B4" w:rsidRDefault="00CA1920" w:rsidP="000E3BE4">
      <w:pPr>
        <w:pStyle w:val="BodyText"/>
      </w:pPr>
      <w:r w:rsidRPr="00BD16B4">
        <w:t>To address this, earlier this year the Government consulted on proposals to manage exotic afforestation incentives, particularly focusing on the new permanent post-1989 forest category that is due to become available from 1 January 2023. Following this, the Government has announced that the category will remain unchanged for now, but has committed to further work with Māori and other technical forestry experts to redesign the settings of the NZ ETS permanent forest category so that it better supports long-term indigenous carbon sinks.</w:t>
      </w:r>
    </w:p>
    <w:p w14:paraId="29ED4CFF" w14:textId="77777777" w:rsidR="00CA1920" w:rsidRPr="00BD16B4" w:rsidRDefault="00CA1920" w:rsidP="00CA1920">
      <w:pPr>
        <w:pStyle w:val="Heading5"/>
        <w:rPr>
          <w:rFonts w:eastAsia="Calibri"/>
        </w:rPr>
      </w:pPr>
      <w:r w:rsidRPr="00BD16B4">
        <w:rPr>
          <w:rFonts w:eastAsia="Calibri"/>
        </w:rPr>
        <w:lastRenderedPageBreak/>
        <w:t>Sustainable Land Management Hill Country Erosion Programme</w:t>
      </w:r>
    </w:p>
    <w:p w14:paraId="0FAFA151" w14:textId="659989D0" w:rsidR="00CA1920" w:rsidRPr="00BD16B4" w:rsidRDefault="00CA1920" w:rsidP="000E3BE4">
      <w:pPr>
        <w:pStyle w:val="BodyText"/>
      </w:pPr>
      <w:r w:rsidRPr="00BD16B4">
        <w:rPr>
          <w:rFonts w:eastAsia="Calibri"/>
        </w:rPr>
        <w:t>The Sustainable Land Management Hill Country Erosion Programme helps protect New Zealand’s estimated 1.4 million hectares of pastoral hill country that is classified as erosion-prone. It provides up to NZ$10 million of targeted funding support annually to regional</w:t>
      </w:r>
      <w:r w:rsidR="00D36A5F" w:rsidRPr="00BD16B4">
        <w:rPr>
          <w:rFonts w:eastAsia="Calibri"/>
        </w:rPr>
        <w:t> </w:t>
      </w:r>
      <w:r w:rsidRPr="00BD16B4">
        <w:rPr>
          <w:rFonts w:eastAsia="Calibri"/>
        </w:rPr>
        <w:t xml:space="preserve">and unitary councils. The purpose of the Programme is to speed up the rate of treatment of erosion-prone land. The Programme was initiated in 2008 in response to significant storm events in previous years. Funding is provided for four-year projects on a contestable basis. Projects deliver sustainable land management treatments </w:t>
      </w:r>
      <w:r w:rsidRPr="00BD16B4">
        <w:t xml:space="preserve">including wide-spaced poplar and willow planting, small-scale afforestation, reversion to indigenous forest and retirement of land. In the current four year funding round, land management treatments have been applied to over 26,000 hectares. The fund also supports catchment facilitation work and capability-building initiatives. </w:t>
      </w:r>
    </w:p>
    <w:p w14:paraId="5FCC4943" w14:textId="77777777" w:rsidR="00CA1920" w:rsidRPr="00BD16B4" w:rsidRDefault="00CA1920" w:rsidP="000E3BE4">
      <w:pPr>
        <w:pStyle w:val="BodyText"/>
      </w:pPr>
      <w:r w:rsidRPr="00BD16B4">
        <w:t>In June 2022, applications were opened for a new funding round that will commence in July 2023 and will end in 2027. The 2023 funding round will continue the momentum towards soil conservation and revegetation work under regional programmes.</w:t>
      </w:r>
    </w:p>
    <w:p w14:paraId="3B2368F4" w14:textId="77777777" w:rsidR="00CA1920" w:rsidRPr="00BD16B4" w:rsidRDefault="00CA1920" w:rsidP="000E3BE4">
      <w:pPr>
        <w:pStyle w:val="BodyText"/>
        <w:rPr>
          <w:rFonts w:eastAsia="Calibri"/>
        </w:rPr>
      </w:pPr>
      <w:r w:rsidRPr="00BD16B4">
        <w:t>Although its main purpose is to reduce erosion, the Programme</w:t>
      </w:r>
      <w:r w:rsidRPr="00BD16B4">
        <w:rPr>
          <w:rFonts w:eastAsia="Calibri"/>
        </w:rPr>
        <w:t xml:space="preserve"> also contributes to the sequestration of carbon in small-scale forests and through planting of poplars and willows. </w:t>
      </w:r>
    </w:p>
    <w:p w14:paraId="587E3BC5" w14:textId="77777777" w:rsidR="00CA1920" w:rsidRPr="00BD16B4" w:rsidRDefault="00CA1920" w:rsidP="00CA1920">
      <w:pPr>
        <w:pStyle w:val="Heading5"/>
        <w:rPr>
          <w:rFonts w:eastAsia="Calibri"/>
        </w:rPr>
      </w:pPr>
      <w:r w:rsidRPr="00BD16B4">
        <w:rPr>
          <w:rFonts w:eastAsia="Calibri"/>
        </w:rPr>
        <w:t>Erosion Control Funding Programme</w:t>
      </w:r>
    </w:p>
    <w:p w14:paraId="7DC7DA51" w14:textId="77777777" w:rsidR="00CA1920" w:rsidRPr="00BD16B4" w:rsidRDefault="00CA1920" w:rsidP="000E3BE4">
      <w:pPr>
        <w:pStyle w:val="BodyText"/>
      </w:pPr>
      <w:r w:rsidRPr="00BD16B4">
        <w:rPr>
          <w:rFonts w:eastAsia="Calibri"/>
        </w:rPr>
        <w:t xml:space="preserve">The Erosion Control Funding Programme (formerly the East Coast Forestry Project) was implemented in 1992 to address soil erosion in the </w:t>
      </w:r>
      <w:r w:rsidRPr="00BD16B4">
        <w:t>Gisborne district. The Programme aims to encourage tree planting on severely eroding or erodible land. Land owners are eligible for government grants, which help to fund the cost of establishing and managing treatments on this land. The Programme allows a range of treatments, including indigenous or exotic afforestation, reversion to indigenous forest, and wide-spaced poplar and willow planting.</w:t>
      </w:r>
    </w:p>
    <w:p w14:paraId="770F48E3" w14:textId="77777777" w:rsidR="00CA1920" w:rsidRPr="00BD16B4" w:rsidRDefault="00CA1920" w:rsidP="000E3BE4">
      <w:pPr>
        <w:pStyle w:val="BodyText"/>
      </w:pPr>
      <w:r w:rsidRPr="00BD16B4">
        <w:t xml:space="preserve">Although its main purpose is to reduce erosion, the Programme also contributes to the sequestration of carbon in forests as a co-benefit of some treatments. Around 45,000 hectares have been treated through the Programme to date. </w:t>
      </w:r>
    </w:p>
    <w:p w14:paraId="206C2939" w14:textId="77777777" w:rsidR="00CA1920" w:rsidRPr="00BD16B4" w:rsidRDefault="00CA1920" w:rsidP="000E3BE4">
      <w:pPr>
        <w:pStyle w:val="BodyText"/>
      </w:pPr>
      <w:r w:rsidRPr="00BD16B4">
        <w:t>In 2016 the scope of the fund was broadened to address erosion issues at the community and regional scales, and to deliver wider environmental, social and economic benefits for the region. Funding for community grants flows from underspent funding from the ECFP land treatment grants.</w:t>
      </w:r>
    </w:p>
    <w:p w14:paraId="707633D0" w14:textId="77777777" w:rsidR="00CA1920" w:rsidRPr="00BD16B4" w:rsidRDefault="00CA1920" w:rsidP="000E3BE4">
      <w:pPr>
        <w:pStyle w:val="BodyText"/>
        <w:rPr>
          <w:rFonts w:eastAsia="Calibri"/>
        </w:rPr>
      </w:pPr>
      <w:r w:rsidRPr="00BD16B4">
        <w:t>The final funding round for ECFP land</w:t>
      </w:r>
      <w:r w:rsidRPr="00BD16B4">
        <w:rPr>
          <w:rFonts w:eastAsia="Calibri"/>
        </w:rPr>
        <w:t xml:space="preserve"> treatments was held in 2018, with no further funding rounds since then. ECFP community grants are still available for catchment and community groups that meet the application criteria.</w:t>
      </w:r>
    </w:p>
    <w:p w14:paraId="01AEB70A" w14:textId="77777777" w:rsidR="00CA1920" w:rsidRPr="00BD16B4" w:rsidRDefault="00CA1920" w:rsidP="00CA1920">
      <w:pPr>
        <w:pStyle w:val="Heading5"/>
        <w:rPr>
          <w:rFonts w:eastAsia="Calibri"/>
        </w:rPr>
      </w:pPr>
      <w:r w:rsidRPr="00BD16B4">
        <w:rPr>
          <w:rFonts w:eastAsia="Calibri"/>
        </w:rPr>
        <w:t>Permanent Forest Sink Initiative</w:t>
      </w:r>
    </w:p>
    <w:p w14:paraId="26B0B381" w14:textId="77777777" w:rsidR="00CA1920" w:rsidRPr="00BD16B4" w:rsidRDefault="00CA1920" w:rsidP="000E3BE4">
      <w:pPr>
        <w:pStyle w:val="BodyText"/>
      </w:pPr>
      <w:r w:rsidRPr="00BD16B4">
        <w:rPr>
          <w:rFonts w:eastAsia="Calibri"/>
        </w:rPr>
        <w:t xml:space="preserve">The Permanent Forest Sink Initiative promotes the establishment of permanent forests on land that was unforested before 1 January 1990. It offers land owners with land registered in the PFSI the opportunity to earn emissions units for the carbon sequestered by their forests since the start of the mandatory emissions </w:t>
      </w:r>
      <w:r w:rsidRPr="00BD16B4">
        <w:t>return period in which they register.</w:t>
      </w:r>
    </w:p>
    <w:p w14:paraId="63E33088" w14:textId="77777777" w:rsidR="00CA1920" w:rsidRPr="00BD16B4" w:rsidRDefault="00CA1920" w:rsidP="000E3BE4">
      <w:pPr>
        <w:pStyle w:val="BodyText"/>
      </w:pPr>
      <w:r w:rsidRPr="00BD16B4">
        <w:t xml:space="preserve">In return, participants have a legal covenant registered against their land title in perpetuity to ensure the carbon removals remain ‘permanent’. The covenant is in perpetuity, even if the land is sold, although there is an ability to terminate after 50 years. Land owners are </w:t>
      </w:r>
      <w:r w:rsidRPr="00BD16B4">
        <w:lastRenderedPageBreak/>
        <w:t>responsible for establishing and maintaining the forest. Limited harvesting is allowed on a continuous forestry cover basis.</w:t>
      </w:r>
    </w:p>
    <w:p w14:paraId="1DC9CBFE" w14:textId="4F632148" w:rsidR="00CA1920" w:rsidRPr="00BD16B4" w:rsidRDefault="00CA1920" w:rsidP="00122555">
      <w:pPr>
        <w:pStyle w:val="BodyText"/>
        <w:keepLines/>
      </w:pPr>
      <w:r w:rsidRPr="00BD16B4">
        <w:t>From 1 January 2024, the PFSI will close. PFSI participants will be able to move their forest into the new permanent forest category in the NZ ETS or they can choose to move it to the</w:t>
      </w:r>
      <w:r w:rsidR="00122555" w:rsidRPr="00BD16B4">
        <w:t> </w:t>
      </w:r>
      <w:r w:rsidRPr="00BD16B4">
        <w:t>standard forestry category. They can also choose to leave the PFSI without moving to the</w:t>
      </w:r>
      <w:r w:rsidR="00122555" w:rsidRPr="00BD16B4">
        <w:t> </w:t>
      </w:r>
      <w:r w:rsidRPr="00BD16B4">
        <w:t>NZ ETS.</w:t>
      </w:r>
    </w:p>
    <w:p w14:paraId="61A3890B" w14:textId="77777777" w:rsidR="00CA1920" w:rsidRPr="00BD16B4" w:rsidRDefault="00CA1920" w:rsidP="000E3BE4">
      <w:pPr>
        <w:pStyle w:val="BodyText"/>
        <w:rPr>
          <w:rFonts w:eastAsia="Calibri"/>
        </w:rPr>
      </w:pPr>
      <w:r w:rsidRPr="00BD16B4">
        <w:t>From 1 January 2023, the new permanent</w:t>
      </w:r>
      <w:r w:rsidRPr="00BD16B4">
        <w:rPr>
          <w:rFonts w:eastAsia="Calibri"/>
        </w:rPr>
        <w:t xml:space="preserve"> forestry category will be available for forests established after 31 December 1989 that will not be clear-felled for 50 years. This will replace the PFSI.</w:t>
      </w:r>
    </w:p>
    <w:p w14:paraId="59CD468F" w14:textId="77777777" w:rsidR="00CA1920" w:rsidRPr="00BD16B4" w:rsidRDefault="00CA1920" w:rsidP="004E1B8C">
      <w:pPr>
        <w:pStyle w:val="Heading4"/>
        <w:rPr>
          <w:rFonts w:eastAsia="Calibri"/>
        </w:rPr>
      </w:pPr>
      <w:r w:rsidRPr="00BD16B4">
        <w:rPr>
          <w:rFonts w:eastAsia="Calibri"/>
        </w:rPr>
        <w:t>Other measures</w:t>
      </w:r>
    </w:p>
    <w:p w14:paraId="3318B471" w14:textId="77777777" w:rsidR="00CA1920" w:rsidRPr="00BD16B4" w:rsidRDefault="00CA1920" w:rsidP="00CA1920">
      <w:pPr>
        <w:pStyle w:val="Heading5"/>
        <w:rPr>
          <w:rFonts w:eastAsia="Calibri"/>
        </w:rPr>
      </w:pPr>
      <w:r w:rsidRPr="00BD16B4">
        <w:rPr>
          <w:rFonts w:eastAsia="Calibri"/>
        </w:rPr>
        <w:t>Woody biomass</w:t>
      </w:r>
    </w:p>
    <w:p w14:paraId="55CF1A62" w14:textId="77777777" w:rsidR="00CA1920" w:rsidRPr="00BD16B4" w:rsidRDefault="00CA1920" w:rsidP="000E3BE4">
      <w:pPr>
        <w:pStyle w:val="BodyText"/>
        <w:rPr>
          <w:rFonts w:eastAsia="Calibri"/>
        </w:rPr>
      </w:pPr>
      <w:r w:rsidRPr="00BD16B4">
        <w:rPr>
          <w:rFonts w:eastAsia="Calibri"/>
        </w:rPr>
        <w:t xml:space="preserve">Woody biomass offers the best alternative to coal and other carbon-intensive fuels and materials. New Zealand has a growing solid heat energy sector (based on renewable wood pellets and chips for boilers) and there have been investigations and research into the development of a liquid biofuels sector, which is building sector and investment interest. In order to offset and replace carbon emissions from fossil fuels, this initiative will: </w:t>
      </w:r>
    </w:p>
    <w:p w14:paraId="0533F873" w14:textId="16D437D5" w:rsidR="00CA1920" w:rsidRPr="00BD16B4" w:rsidRDefault="00CA1920" w:rsidP="000E3BE4">
      <w:pPr>
        <w:pStyle w:val="Bullet"/>
      </w:pPr>
      <w:r w:rsidRPr="00BD16B4">
        <w:t xml:space="preserve">enable Crown </w:t>
      </w:r>
      <w:r w:rsidR="00122555" w:rsidRPr="00BD16B4">
        <w:t>F</w:t>
      </w:r>
      <w:r w:rsidRPr="00BD16B4">
        <w:t>orestry to invest in commercial planting to increase supply of biomass for energy and other products in targeted areas where increased supply is required</w:t>
      </w:r>
    </w:p>
    <w:p w14:paraId="35CEF4E6" w14:textId="77777777" w:rsidR="00CA1920" w:rsidRPr="00BD16B4" w:rsidRDefault="00CA1920" w:rsidP="000E3BE4">
      <w:pPr>
        <w:pStyle w:val="Bullet"/>
      </w:pPr>
      <w:r w:rsidRPr="00BD16B4">
        <w:t>support research into the costs and benefits of alternative biomass crops, including business case development</w:t>
      </w:r>
    </w:p>
    <w:p w14:paraId="5F95D9F8" w14:textId="77777777" w:rsidR="00CA1920" w:rsidRPr="00BD16B4" w:rsidRDefault="00CA1920" w:rsidP="000E3BE4">
      <w:pPr>
        <w:pStyle w:val="Bullet"/>
      </w:pPr>
      <w:r w:rsidRPr="00BD16B4">
        <w:t>commission research to examine ways to support effective slash (forest waste) recovery to utilise biomass currently left in forests after harvest.</w:t>
      </w:r>
    </w:p>
    <w:p w14:paraId="12D7E4B3" w14:textId="77777777" w:rsidR="00CA1920" w:rsidRPr="00BD16B4" w:rsidRDefault="00CA1920" w:rsidP="00CA1920">
      <w:pPr>
        <w:pStyle w:val="Heading5"/>
        <w:rPr>
          <w:rFonts w:eastAsia="Calibri"/>
        </w:rPr>
      </w:pPr>
      <w:r w:rsidRPr="00BD16B4">
        <w:rPr>
          <w:rFonts w:eastAsia="Calibri"/>
        </w:rPr>
        <w:t>Native afforestation initiative</w:t>
      </w:r>
    </w:p>
    <w:p w14:paraId="7F6D6630" w14:textId="77777777" w:rsidR="00CA1920" w:rsidRPr="00BD16B4" w:rsidRDefault="00CA1920" w:rsidP="00CA1920">
      <w:pPr>
        <w:pStyle w:val="BodyText"/>
        <w:spacing w:after="100"/>
        <w:rPr>
          <w:rFonts w:eastAsia="Calibri"/>
        </w:rPr>
      </w:pPr>
      <w:r w:rsidRPr="00BD16B4">
        <w:t xml:space="preserve">This initiative focuses on developing long-term carbon sinks and improving biodiversity. </w:t>
      </w:r>
    </w:p>
    <w:p w14:paraId="22F6445D" w14:textId="77777777" w:rsidR="00CA1920" w:rsidRPr="00BD16B4" w:rsidRDefault="00CA1920" w:rsidP="00CA1920">
      <w:pPr>
        <w:pStyle w:val="BodyText"/>
        <w:spacing w:after="100"/>
      </w:pPr>
      <w:r w:rsidRPr="00BD16B4">
        <w:t xml:space="preserve">To achieve </w:t>
      </w:r>
      <w:r w:rsidRPr="00BD16B4">
        <w:rPr>
          <w:rFonts w:eastAsia="Calibri"/>
        </w:rPr>
        <w:t>our</w:t>
      </w:r>
      <w:r w:rsidRPr="00BD16B4">
        <w:t xml:space="preserve"> aspiration of increased native afforestation, we need to increase supply of seedlings and reduce the barriers to and costs of planting. This initiative is the initial stage of a multi-phase programme to support the establishment of native forests at scale to develop long-term carbon sinks. This initiative: </w:t>
      </w:r>
    </w:p>
    <w:p w14:paraId="5CA96040" w14:textId="77777777" w:rsidR="00CA1920" w:rsidRPr="00BD16B4" w:rsidRDefault="00CA1920" w:rsidP="00CA1920">
      <w:pPr>
        <w:pStyle w:val="Bullet"/>
        <w:spacing w:after="100"/>
      </w:pPr>
      <w:r w:rsidRPr="00BD16B4">
        <w:t>will focus on the deployment and uptake of technology to increase supply and reduce the cost of high-quality native seedlings to support native afforestation at lower cost</w:t>
      </w:r>
    </w:p>
    <w:p w14:paraId="68DE677E" w14:textId="77777777" w:rsidR="00CA1920" w:rsidRPr="00BD16B4" w:rsidRDefault="00CA1920" w:rsidP="00CA1920">
      <w:pPr>
        <w:pStyle w:val="Bullet"/>
      </w:pPr>
      <w:r w:rsidRPr="00BD16B4">
        <w:t>support development of a long-term national strategy and action plan to grow native forests and native biodiversity in partnership with rural land owners, iwi/Māori, foresters, communities and the private sector</w:t>
      </w:r>
    </w:p>
    <w:p w14:paraId="37352A5C" w14:textId="77777777" w:rsidR="00CA1920" w:rsidRPr="00BD16B4" w:rsidRDefault="00CA1920" w:rsidP="00CA1920">
      <w:pPr>
        <w:pStyle w:val="Bullet"/>
        <w:spacing w:after="100"/>
      </w:pPr>
      <w:r w:rsidRPr="00BD16B4">
        <w:t>support research and science in forestry to identify gaps and explore innovation in propagation, planting and restoration</w:t>
      </w:r>
    </w:p>
    <w:p w14:paraId="0DA6E03E" w14:textId="77777777" w:rsidR="00CA1920" w:rsidRPr="00BD16B4" w:rsidRDefault="00CA1920" w:rsidP="00CA1920">
      <w:pPr>
        <w:pStyle w:val="Bullet"/>
      </w:pPr>
      <w:r w:rsidRPr="00BD16B4">
        <w:t>increase knowledge and advice to support the growth of the nursery sector including building strong partnerships with iwi/Māori.</w:t>
      </w:r>
    </w:p>
    <w:p w14:paraId="55F575AD" w14:textId="77777777" w:rsidR="00CA1920" w:rsidRPr="00BD16B4" w:rsidRDefault="00CA1920" w:rsidP="00CA1920">
      <w:pPr>
        <w:pStyle w:val="Heading5"/>
        <w:rPr>
          <w:rFonts w:eastAsia="Calibri"/>
        </w:rPr>
      </w:pPr>
      <w:r w:rsidRPr="00BD16B4">
        <w:rPr>
          <w:rFonts w:eastAsia="Calibri"/>
        </w:rPr>
        <w:lastRenderedPageBreak/>
        <w:t>Maximising carbon storage</w:t>
      </w:r>
    </w:p>
    <w:p w14:paraId="44B04ECE" w14:textId="77777777" w:rsidR="00CA1920" w:rsidRPr="00BD16B4" w:rsidRDefault="00CA1920" w:rsidP="00CA1920">
      <w:pPr>
        <w:pStyle w:val="BodyText"/>
        <w:spacing w:after="100"/>
        <w:rPr>
          <w:rFonts w:eastAsia="Calibri"/>
        </w:rPr>
      </w:pPr>
      <w:r w:rsidRPr="00BD16B4">
        <w:t xml:space="preserve">This initiative will support the increased sequestration of carbon to achieve New Zealand’s future emissions targets. It aims to help reduce emissions by more than 9.3 million tonnes over 2022–35. This initiative includes: </w:t>
      </w:r>
    </w:p>
    <w:p w14:paraId="3ACC1053" w14:textId="77777777" w:rsidR="00CA1920" w:rsidRPr="00BD16B4" w:rsidRDefault="00CA1920" w:rsidP="00CA1920">
      <w:pPr>
        <w:pStyle w:val="Bullet"/>
        <w:tabs>
          <w:tab w:val="num" w:pos="397"/>
        </w:tabs>
        <w:spacing w:after="100" w:line="280" w:lineRule="exact"/>
      </w:pPr>
      <w:r w:rsidRPr="00BD16B4">
        <w:t>stimulating investment in domestic wood processing to get more value from our exports and maximise the carbon stored in manufactured wood products</w:t>
      </w:r>
    </w:p>
    <w:p w14:paraId="419B11AD" w14:textId="77777777" w:rsidR="00CA1920" w:rsidRPr="00BD16B4" w:rsidRDefault="00CA1920" w:rsidP="00CA1920">
      <w:pPr>
        <w:pStyle w:val="Bullet"/>
        <w:tabs>
          <w:tab w:val="num" w:pos="397"/>
        </w:tabs>
        <w:spacing w:after="100" w:line="280" w:lineRule="exact"/>
      </w:pPr>
      <w:r w:rsidRPr="00BD16B4">
        <w:t>funding research to link increased carbon storage to forest management actions (eg, pest control)</w:t>
      </w:r>
    </w:p>
    <w:p w14:paraId="7501E54C" w14:textId="77777777" w:rsidR="00CA1920" w:rsidRPr="00BD16B4" w:rsidRDefault="00CA1920" w:rsidP="00CA1920">
      <w:pPr>
        <w:pStyle w:val="Bullet"/>
        <w:tabs>
          <w:tab w:val="num" w:pos="397"/>
        </w:tabs>
        <w:spacing w:line="280" w:lineRule="exact"/>
      </w:pPr>
      <w:r w:rsidRPr="00BD16B4">
        <w:t>expanding the ETS look-up tables to more accurately reflect carbon stock changes.</w:t>
      </w:r>
    </w:p>
    <w:p w14:paraId="64C69170" w14:textId="77777777" w:rsidR="00CA1920" w:rsidRPr="00BD16B4" w:rsidRDefault="00CA1920" w:rsidP="00CA1920">
      <w:pPr>
        <w:pStyle w:val="Heading5"/>
        <w:rPr>
          <w:rFonts w:eastAsia="Calibri"/>
        </w:rPr>
      </w:pPr>
      <w:r w:rsidRPr="00BD16B4">
        <w:rPr>
          <w:rFonts w:eastAsia="Calibri"/>
        </w:rPr>
        <w:t>National Environmental Standards</w:t>
      </w:r>
    </w:p>
    <w:p w14:paraId="30C66735" w14:textId="77777777" w:rsidR="00CA1920" w:rsidRPr="00BD16B4" w:rsidRDefault="00CA1920" w:rsidP="000E3BE4">
      <w:pPr>
        <w:pStyle w:val="BodyText"/>
        <w:rPr>
          <w:rFonts w:eastAsia="Calibri"/>
        </w:rPr>
      </w:pPr>
      <w:r w:rsidRPr="00BD16B4">
        <w:rPr>
          <w:rFonts w:eastAsia="Calibri"/>
        </w:rPr>
        <w:t xml:space="preserve">The National Environmental </w:t>
      </w:r>
      <w:r w:rsidRPr="00BD16B4">
        <w:t>Standards</w:t>
      </w:r>
      <w:r w:rsidRPr="00BD16B4">
        <w:rPr>
          <w:rFonts w:eastAsia="Calibri"/>
        </w:rPr>
        <w:t xml:space="preserve"> for Plantation Forestry are regulations under the Resource Management Act 1991 and are the main environmental management rules for plantation forestry activities in New Zealand, including afforestation. In 2022 the Government consulted on:</w:t>
      </w:r>
    </w:p>
    <w:p w14:paraId="467216D9" w14:textId="77777777" w:rsidR="00CA1920" w:rsidRPr="00BD16B4" w:rsidRDefault="00CA1920" w:rsidP="000E3BE4">
      <w:pPr>
        <w:pStyle w:val="Bullet"/>
      </w:pPr>
      <w:r w:rsidRPr="00BD16B4">
        <w:t>proposals to extend the scope of the standards to manage the environmental (biophysical) effects of exotic carbon forests</w:t>
      </w:r>
    </w:p>
    <w:p w14:paraId="21E35E52" w14:textId="77777777" w:rsidR="00CA1920" w:rsidRPr="00BD16B4" w:rsidRDefault="00CA1920" w:rsidP="000E3BE4">
      <w:pPr>
        <w:pStyle w:val="Bullet"/>
      </w:pPr>
      <w:r w:rsidRPr="00BD16B4">
        <w:t>options to extend the scope of regulatory controls to control the location of plantation and exotic carbon afforestation to manage social, cultural and economic effects</w:t>
      </w:r>
    </w:p>
    <w:p w14:paraId="2AA64150" w14:textId="77777777" w:rsidR="00CA1920" w:rsidRPr="00BD16B4" w:rsidRDefault="00CA1920" w:rsidP="000E3BE4">
      <w:pPr>
        <w:pStyle w:val="Bullet"/>
      </w:pPr>
      <w:r w:rsidRPr="00BD16B4">
        <w:t>a proposal to extend the scope of regulatory controls to improve wildfire risk management in plantation and exotic forests</w:t>
      </w:r>
    </w:p>
    <w:p w14:paraId="47246584" w14:textId="77777777" w:rsidR="00CA1920" w:rsidRPr="00BD16B4" w:rsidRDefault="00CA1920" w:rsidP="000E3BE4">
      <w:pPr>
        <w:pStyle w:val="Bullet"/>
      </w:pPr>
      <w:r w:rsidRPr="00BD16B4">
        <w:t>proposals to address matters identified through the Year One Review of the standards that was carried out in 2019–20, to better enable foresters and councils to manage the environmental effects of forestry.</w:t>
      </w:r>
    </w:p>
    <w:p w14:paraId="5A574F6B" w14:textId="77777777" w:rsidR="00CA1920" w:rsidRPr="00BD16B4" w:rsidRDefault="00CA1920" w:rsidP="00CA1920">
      <w:pPr>
        <w:pStyle w:val="Heading5"/>
        <w:rPr>
          <w:rFonts w:eastAsia="Calibri"/>
        </w:rPr>
      </w:pPr>
      <w:r w:rsidRPr="00BD16B4">
        <w:rPr>
          <w:rFonts w:eastAsia="Calibri"/>
        </w:rPr>
        <w:t xml:space="preserve">Development of a forestry and wood processing industry transformation plan (ITP) </w:t>
      </w:r>
    </w:p>
    <w:p w14:paraId="628EAD3C" w14:textId="77777777" w:rsidR="00CA1920" w:rsidRPr="00BD16B4" w:rsidRDefault="00CA1920" w:rsidP="00CA1920">
      <w:pPr>
        <w:pStyle w:val="BodyText"/>
        <w:spacing w:after="100"/>
        <w:rPr>
          <w:rFonts w:eastAsia="Calibri"/>
        </w:rPr>
      </w:pPr>
      <w:r w:rsidRPr="00BD16B4">
        <w:rPr>
          <w:rFonts w:eastAsia="Calibri"/>
        </w:rPr>
        <w:t>The Government’s vision is that the forestry and wood processing sector generates more value for New Zealand, is a key pillar of our regional communities and underpins New Zealand’s low</w:t>
      </w:r>
      <w:r w:rsidRPr="00BD16B4">
        <w:rPr>
          <w:rFonts w:eastAsia="Calibri"/>
        </w:rPr>
        <w:noBreakHyphen/>
        <w:t>emissions economy.</w:t>
      </w:r>
    </w:p>
    <w:p w14:paraId="1698D02F" w14:textId="77777777" w:rsidR="00CA1920" w:rsidRPr="00BD16B4" w:rsidRDefault="00CA1920" w:rsidP="00CA1920">
      <w:pPr>
        <w:pStyle w:val="BodyText"/>
        <w:spacing w:after="100"/>
        <w:rPr>
          <w:rFonts w:eastAsia="Calibri"/>
        </w:rPr>
      </w:pPr>
      <w:r w:rsidRPr="00BD16B4">
        <w:rPr>
          <w:rFonts w:eastAsia="Calibri"/>
        </w:rPr>
        <w:t>The draft plan aims to support the industry to make better use of New Zealand’s forestry resources by processing more wood onshore, producing more high-value wood products and using residues to grow the forest-based bioeconomy. This will:</w:t>
      </w:r>
    </w:p>
    <w:p w14:paraId="7F775870" w14:textId="77777777" w:rsidR="00CA1920" w:rsidRPr="00BD16B4" w:rsidRDefault="00CA1920" w:rsidP="00CA1920">
      <w:pPr>
        <w:pStyle w:val="Bullet"/>
        <w:keepNext/>
        <w:spacing w:after="100"/>
      </w:pPr>
      <w:r w:rsidRPr="00BD16B4">
        <w:t>create more higher-paid jobs</w:t>
      </w:r>
    </w:p>
    <w:p w14:paraId="2088B7D3" w14:textId="77777777" w:rsidR="00CA1920" w:rsidRPr="00BD16B4" w:rsidRDefault="00CA1920" w:rsidP="00CA1920">
      <w:pPr>
        <w:pStyle w:val="Bullet"/>
        <w:spacing w:after="100"/>
      </w:pPr>
      <w:r w:rsidRPr="00BD16B4">
        <w:t>build resilience in the sector</w:t>
      </w:r>
    </w:p>
    <w:p w14:paraId="3800EC4D" w14:textId="77777777" w:rsidR="00CA1920" w:rsidRPr="00BD16B4" w:rsidRDefault="00CA1920" w:rsidP="00CA1920">
      <w:pPr>
        <w:pStyle w:val="Bullet"/>
      </w:pPr>
      <w:r w:rsidRPr="00BD16B4">
        <w:t>support our climate change goals.</w:t>
      </w:r>
    </w:p>
    <w:p w14:paraId="167606DD" w14:textId="77777777" w:rsidR="00CA1920" w:rsidRPr="00BD16B4" w:rsidRDefault="00CA1920" w:rsidP="00CA1920">
      <w:pPr>
        <w:pStyle w:val="BodyText"/>
        <w:spacing w:after="100"/>
        <w:rPr>
          <w:rFonts w:eastAsia="Calibri"/>
        </w:rPr>
      </w:pPr>
      <w:r w:rsidRPr="00BD16B4">
        <w:rPr>
          <w:rFonts w:eastAsia="Calibri"/>
        </w:rPr>
        <w:t>The draft plan is based around four priority areas:</w:t>
      </w:r>
    </w:p>
    <w:p w14:paraId="48F20B4D" w14:textId="77777777" w:rsidR="00CA1920" w:rsidRPr="00BD16B4" w:rsidRDefault="00CA1920" w:rsidP="00CA1920">
      <w:pPr>
        <w:pStyle w:val="Bullet"/>
        <w:spacing w:after="100"/>
      </w:pPr>
      <w:r w:rsidRPr="00BD16B4">
        <w:t>growing sustainable forests for our future</w:t>
      </w:r>
    </w:p>
    <w:p w14:paraId="08A85999" w14:textId="77777777" w:rsidR="00CA1920" w:rsidRPr="00BD16B4" w:rsidRDefault="00CA1920" w:rsidP="00CA1920">
      <w:pPr>
        <w:pStyle w:val="Bullet"/>
        <w:spacing w:after="100"/>
      </w:pPr>
      <w:r w:rsidRPr="00BD16B4">
        <w:t>modernising and expanding the wood processing sector</w:t>
      </w:r>
    </w:p>
    <w:p w14:paraId="3D820724" w14:textId="77777777" w:rsidR="00CA1920" w:rsidRPr="00BD16B4" w:rsidRDefault="00CA1920" w:rsidP="00CA1920">
      <w:pPr>
        <w:pStyle w:val="Bullet"/>
      </w:pPr>
      <w:r w:rsidRPr="00BD16B4">
        <w:t>growing and diversifying domestic and export markets</w:t>
      </w:r>
    </w:p>
    <w:p w14:paraId="4058D1A3" w14:textId="77777777" w:rsidR="00CA1920" w:rsidRPr="00BD16B4" w:rsidRDefault="00CA1920" w:rsidP="00CA1920">
      <w:pPr>
        <w:pStyle w:val="Bullet"/>
      </w:pPr>
      <w:r w:rsidRPr="00BD16B4">
        <w:t>improving system settings for a thriving sector.</w:t>
      </w:r>
    </w:p>
    <w:p w14:paraId="2A6F20B9" w14:textId="77777777" w:rsidR="00CA1920" w:rsidRPr="00BD16B4" w:rsidRDefault="00CA1920" w:rsidP="000E3BE4">
      <w:pPr>
        <w:pStyle w:val="BodyText"/>
        <w:rPr>
          <w:rFonts w:eastAsia="Calibri"/>
        </w:rPr>
      </w:pPr>
      <w:r w:rsidRPr="00BD16B4">
        <w:rPr>
          <w:rFonts w:eastAsia="Calibri"/>
        </w:rPr>
        <w:t xml:space="preserve">The final version of the </w:t>
      </w:r>
      <w:r w:rsidRPr="00BD16B4">
        <w:t>Plan</w:t>
      </w:r>
      <w:r w:rsidRPr="00BD16B4">
        <w:rPr>
          <w:rFonts w:eastAsia="Calibri"/>
        </w:rPr>
        <w:t xml:space="preserve"> is expected to be released in late 2022, following the recently completed period of consultation.</w:t>
      </w:r>
    </w:p>
    <w:p w14:paraId="04473021" w14:textId="77777777" w:rsidR="00CA1920" w:rsidRPr="00BD16B4" w:rsidRDefault="00CA1920" w:rsidP="00CA1920">
      <w:pPr>
        <w:pStyle w:val="Heading3"/>
      </w:pPr>
      <w:r w:rsidRPr="00BD16B4">
        <w:rPr>
          <w:rFonts w:eastAsia="Calibri"/>
        </w:rPr>
        <w:lastRenderedPageBreak/>
        <w:t>4.3.8</w:t>
      </w:r>
      <w:r w:rsidRPr="00BD16B4">
        <w:rPr>
          <w:rFonts w:eastAsia="Calibri"/>
        </w:rPr>
        <w:tab/>
        <w:t>Waste</w:t>
      </w:r>
    </w:p>
    <w:p w14:paraId="3A0E0A13" w14:textId="77777777" w:rsidR="00CA1920" w:rsidRPr="00BD16B4" w:rsidRDefault="00CA1920" w:rsidP="00CA1920">
      <w:pPr>
        <w:pStyle w:val="BodyText"/>
        <w:spacing w:after="240"/>
        <w:rPr>
          <w:rFonts w:eastAsia="Calibri"/>
        </w:rPr>
      </w:pPr>
      <w:r w:rsidRPr="00BD16B4">
        <w:rPr>
          <w:rFonts w:eastAsia="Calibri"/>
        </w:rPr>
        <w:t>In 2020, the waste sector was responsible for 4 per cent of New Zealand’s total gross emissions and around 9 per cent of its biogenic methane emissions. While agriculture contributes to the bulk (91 per cent) of New Zealand’s biogenic methane emissions, the waste sector has a key role to play in meeting New Zealand’s 2030 and 2050 emissions reduction targets.</w:t>
      </w:r>
      <w:r w:rsidRPr="00BD16B4" w:rsidDel="00CE662C">
        <w:rPr>
          <w:rFonts w:eastAsia="Calibri"/>
        </w:rPr>
        <w:t xml:space="preserve"> </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A1920" w:rsidRPr="00BD16B4" w14:paraId="75C3BACD" w14:textId="77777777" w:rsidTr="002D166E">
        <w:tc>
          <w:tcPr>
            <w:tcW w:w="0" w:type="auto"/>
            <w:shd w:val="clear" w:color="auto" w:fill="D2DDE2"/>
          </w:tcPr>
          <w:p w14:paraId="47A55B8F" w14:textId="77777777" w:rsidR="00CA1920" w:rsidRPr="00BD16B4" w:rsidRDefault="00CA1920" w:rsidP="0003189F">
            <w:pPr>
              <w:pStyle w:val="Boxtext"/>
              <w:spacing w:before="240" w:after="70"/>
            </w:pPr>
            <w:r w:rsidRPr="00BD16B4">
              <w:rPr>
                <w:bCs/>
              </w:rPr>
              <w:t>The waste chapter in the emissions reduction plan</w:t>
            </w:r>
            <w:r w:rsidRPr="00BD16B4">
              <w:t xml:space="preserve"> </w:t>
            </w:r>
            <w:r w:rsidRPr="00BD16B4">
              <w:rPr>
                <w:b/>
                <w:bCs/>
              </w:rPr>
              <w:t>outlines 14 new key initiatives under six focus areas</w:t>
            </w:r>
            <w:r w:rsidRPr="00BD16B4">
              <w:t>.</w:t>
            </w:r>
          </w:p>
          <w:p w14:paraId="2DB662EE" w14:textId="77777777" w:rsidR="00CA1920" w:rsidRPr="00BD16B4" w:rsidRDefault="00CA1920" w:rsidP="0003189F">
            <w:pPr>
              <w:pStyle w:val="Boxtext"/>
              <w:spacing w:before="80" w:after="70"/>
              <w:ind w:left="681" w:hanging="397"/>
              <w:rPr>
                <w:b/>
                <w:bCs/>
              </w:rPr>
            </w:pPr>
            <w:r w:rsidRPr="00BD16B4">
              <w:rPr>
                <w:b/>
                <w:bCs/>
              </w:rPr>
              <w:t>1.</w:t>
            </w:r>
            <w:r w:rsidRPr="00BD16B4">
              <w:rPr>
                <w:b/>
                <w:bCs/>
              </w:rPr>
              <w:tab/>
              <w:t>Enable households and businesses to reduce organic waste.</w:t>
            </w:r>
          </w:p>
          <w:p w14:paraId="48FE001B" w14:textId="71F9834D" w:rsidR="00CA1920" w:rsidRPr="00BD16B4" w:rsidRDefault="00CA1920" w:rsidP="0003189F">
            <w:pPr>
              <w:pStyle w:val="Boxbullet"/>
              <w:spacing w:after="70"/>
              <w:ind w:left="1077"/>
              <w:rPr>
                <w:b/>
              </w:rPr>
            </w:pPr>
            <w:r w:rsidRPr="00BD16B4">
              <w:t>Encourage behaviour to prevent waste at home.</w:t>
            </w:r>
          </w:p>
          <w:p w14:paraId="5356D5C3" w14:textId="0C2F10D8" w:rsidR="00CA1920" w:rsidRPr="00BD16B4" w:rsidRDefault="00CA1920" w:rsidP="0003189F">
            <w:pPr>
              <w:pStyle w:val="Boxbullet"/>
              <w:spacing w:after="70"/>
              <w:ind w:left="1077"/>
              <w:rPr>
                <w:b/>
              </w:rPr>
            </w:pPr>
            <w:r w:rsidRPr="00BD16B4">
              <w:t>Enable businesses to reduce food waste.</w:t>
            </w:r>
          </w:p>
          <w:p w14:paraId="45537E65" w14:textId="04A5E94B" w:rsidR="00CA1920" w:rsidRPr="00BD16B4" w:rsidRDefault="00CA1920" w:rsidP="0003189F">
            <w:pPr>
              <w:pStyle w:val="Boxbullet"/>
              <w:spacing w:after="70"/>
              <w:ind w:left="1077"/>
              <w:rPr>
                <w:b/>
              </w:rPr>
            </w:pPr>
            <w:r w:rsidRPr="00BD16B4">
              <w:t>Support participation in improved kerbside collections.</w:t>
            </w:r>
          </w:p>
          <w:p w14:paraId="2F24B964" w14:textId="77777777" w:rsidR="00CA1920" w:rsidRPr="00BD16B4" w:rsidRDefault="00CA1920" w:rsidP="0003189F">
            <w:pPr>
              <w:pStyle w:val="Boxtext"/>
              <w:spacing w:after="70"/>
              <w:ind w:left="681" w:hanging="397"/>
              <w:rPr>
                <w:b/>
                <w:bCs/>
              </w:rPr>
            </w:pPr>
            <w:r w:rsidRPr="00BD16B4">
              <w:rPr>
                <w:b/>
                <w:bCs/>
              </w:rPr>
              <w:t xml:space="preserve">2. </w:t>
            </w:r>
            <w:r w:rsidRPr="00BD16B4">
              <w:rPr>
                <w:b/>
                <w:bCs/>
              </w:rPr>
              <w:tab/>
              <w:t>Increase the amount of organic waste diverted from landfill</w:t>
            </w:r>
          </w:p>
          <w:p w14:paraId="2EE8FCDB" w14:textId="0B64AA87" w:rsidR="00CA1920" w:rsidRPr="00BD16B4" w:rsidRDefault="00CA1920" w:rsidP="0003189F">
            <w:pPr>
              <w:pStyle w:val="Boxbullet"/>
              <w:spacing w:after="70"/>
              <w:ind w:left="1077"/>
              <w:rPr>
                <w:b/>
              </w:rPr>
            </w:pPr>
            <w:r w:rsidRPr="00BD16B4">
              <w:t>Improve household kerbside collections of food scraps and garden waste.</w:t>
            </w:r>
          </w:p>
          <w:p w14:paraId="3B393AFF" w14:textId="2FEEAE6C" w:rsidR="00CA1920" w:rsidRPr="00BD16B4" w:rsidRDefault="00CA1920" w:rsidP="0003189F">
            <w:pPr>
              <w:pStyle w:val="Boxbullet"/>
              <w:spacing w:after="70"/>
              <w:ind w:left="1077"/>
              <w:rPr>
                <w:b/>
              </w:rPr>
            </w:pPr>
            <w:r w:rsidRPr="00BD16B4">
              <w:t>Invest in organic waste processing and resource recovery infrastructure.</w:t>
            </w:r>
          </w:p>
          <w:p w14:paraId="1D990F85" w14:textId="72A6339B" w:rsidR="00CA1920" w:rsidRPr="00BD16B4" w:rsidRDefault="00CA1920" w:rsidP="0003189F">
            <w:pPr>
              <w:pStyle w:val="Boxbullet"/>
              <w:spacing w:after="70"/>
              <w:ind w:left="1077"/>
              <w:rPr>
                <w:b/>
              </w:rPr>
            </w:pPr>
            <w:r w:rsidRPr="00BD16B4">
              <w:t>Require the separation of organic waste.</w:t>
            </w:r>
          </w:p>
          <w:p w14:paraId="13F534B7" w14:textId="77777777" w:rsidR="00CA1920" w:rsidRPr="00BD16B4" w:rsidRDefault="00CA1920" w:rsidP="0003189F">
            <w:pPr>
              <w:pStyle w:val="Boxtext"/>
              <w:spacing w:after="70"/>
              <w:ind w:left="681" w:hanging="397"/>
              <w:rPr>
                <w:b/>
                <w:bCs/>
              </w:rPr>
            </w:pPr>
            <w:r w:rsidRPr="00BD16B4">
              <w:rPr>
                <w:b/>
                <w:bCs/>
              </w:rPr>
              <w:t xml:space="preserve">3. </w:t>
            </w:r>
            <w:r w:rsidRPr="00BD16B4">
              <w:rPr>
                <w:b/>
                <w:bCs/>
              </w:rPr>
              <w:tab/>
              <w:t>Reduce and divert construction and demolition waste to beneficial uses</w:t>
            </w:r>
          </w:p>
          <w:p w14:paraId="40F40A53" w14:textId="32C521E6" w:rsidR="00CA1920" w:rsidRPr="00BD16B4" w:rsidRDefault="00CA1920" w:rsidP="0003189F">
            <w:pPr>
              <w:pStyle w:val="Boxbullet"/>
              <w:spacing w:after="70"/>
              <w:ind w:left="1077"/>
              <w:rPr>
                <w:b/>
              </w:rPr>
            </w:pPr>
            <w:r w:rsidRPr="00BD16B4">
              <w:t>Support the building and construction sector to minimise waste through research and improved capability.</w:t>
            </w:r>
          </w:p>
          <w:p w14:paraId="6D3CF4AE" w14:textId="4FB25403" w:rsidR="00CA1920" w:rsidRPr="00BD16B4" w:rsidRDefault="00CA1920" w:rsidP="0003189F">
            <w:pPr>
              <w:pStyle w:val="Boxbullet"/>
              <w:spacing w:after="70"/>
              <w:ind w:left="1077"/>
              <w:rPr>
                <w:b/>
              </w:rPr>
            </w:pPr>
            <w:r w:rsidRPr="00BD16B4">
              <w:t>Invest in sorting and processing infrastructure for construction and demolition materials.</w:t>
            </w:r>
          </w:p>
          <w:p w14:paraId="5683B1F1" w14:textId="074DE0AB" w:rsidR="00CA1920" w:rsidRPr="00BD16B4" w:rsidRDefault="00CA1920" w:rsidP="0003189F">
            <w:pPr>
              <w:pStyle w:val="Boxbullet"/>
              <w:spacing w:after="70"/>
              <w:ind w:left="1077"/>
              <w:rPr>
                <w:b/>
              </w:rPr>
            </w:pPr>
            <w:r w:rsidRPr="00BD16B4">
              <w:t>Enable the separation of construction and demolition materials.</w:t>
            </w:r>
          </w:p>
          <w:p w14:paraId="154E58C6" w14:textId="77777777" w:rsidR="00CA1920" w:rsidRPr="00BD16B4" w:rsidRDefault="00CA1920" w:rsidP="0003189F">
            <w:pPr>
              <w:pStyle w:val="Boxtext"/>
              <w:spacing w:after="70"/>
              <w:ind w:left="681" w:hanging="397"/>
              <w:rPr>
                <w:b/>
                <w:bCs/>
              </w:rPr>
            </w:pPr>
            <w:r w:rsidRPr="00BD16B4">
              <w:rPr>
                <w:b/>
                <w:bCs/>
              </w:rPr>
              <w:t xml:space="preserve">4. </w:t>
            </w:r>
            <w:r w:rsidRPr="00BD16B4">
              <w:rPr>
                <w:b/>
                <w:bCs/>
              </w:rPr>
              <w:tab/>
              <w:t>Explore bans or limits to divert more organic waste from landfills</w:t>
            </w:r>
          </w:p>
          <w:p w14:paraId="79B05ED2" w14:textId="222CC91B" w:rsidR="00CA1920" w:rsidRPr="00BD16B4" w:rsidRDefault="00CA1920" w:rsidP="0003189F">
            <w:pPr>
              <w:pStyle w:val="Boxbullet"/>
              <w:spacing w:after="70"/>
              <w:ind w:left="1077"/>
              <w:rPr>
                <w:b/>
              </w:rPr>
            </w:pPr>
            <w:r w:rsidRPr="00BD16B4">
              <w:t>Investigate banning organic waste from landfills by 2030.</w:t>
            </w:r>
          </w:p>
          <w:p w14:paraId="7E3295A5" w14:textId="77777777" w:rsidR="00CA1920" w:rsidRPr="00BD16B4" w:rsidRDefault="00CA1920" w:rsidP="0003189F">
            <w:pPr>
              <w:pStyle w:val="Boxtext"/>
              <w:spacing w:after="70"/>
              <w:ind w:left="681" w:hanging="397"/>
              <w:rPr>
                <w:b/>
                <w:bCs/>
              </w:rPr>
            </w:pPr>
            <w:r w:rsidRPr="00BD16B4">
              <w:rPr>
                <w:b/>
                <w:bCs/>
              </w:rPr>
              <w:t xml:space="preserve">5. </w:t>
            </w:r>
            <w:r w:rsidRPr="00BD16B4">
              <w:rPr>
                <w:b/>
                <w:bCs/>
              </w:rPr>
              <w:tab/>
              <w:t>Increase the capture of gas from municipal landfills</w:t>
            </w:r>
          </w:p>
          <w:p w14:paraId="75A3E8C7" w14:textId="54569065" w:rsidR="00CA1920" w:rsidRPr="00BD16B4" w:rsidRDefault="00CA1920" w:rsidP="0003189F">
            <w:pPr>
              <w:pStyle w:val="Boxbullet"/>
              <w:spacing w:after="70"/>
              <w:ind w:left="1077"/>
              <w:rPr>
                <w:b/>
              </w:rPr>
            </w:pPr>
            <w:r w:rsidRPr="00BD16B4">
              <w:t>Regulations will require landfill gas capture at municipal landfills.</w:t>
            </w:r>
          </w:p>
          <w:p w14:paraId="2C2614A7" w14:textId="17EE6110" w:rsidR="00CA1920" w:rsidRPr="00BD16B4" w:rsidRDefault="00CA1920" w:rsidP="0003189F">
            <w:pPr>
              <w:pStyle w:val="Boxbullet"/>
              <w:spacing w:after="70"/>
              <w:ind w:left="1077"/>
              <w:rPr>
                <w:b/>
              </w:rPr>
            </w:pPr>
            <w:r w:rsidRPr="00BD16B4">
              <w:t>Feasibility studies will determine the need for additional landfill gas capture requirements.</w:t>
            </w:r>
          </w:p>
          <w:p w14:paraId="4BF315F8" w14:textId="77777777" w:rsidR="00CA1920" w:rsidRPr="00BD16B4" w:rsidRDefault="00CA1920" w:rsidP="0003189F">
            <w:pPr>
              <w:pStyle w:val="Boxtext"/>
              <w:spacing w:after="70"/>
              <w:ind w:left="681" w:hanging="397"/>
              <w:rPr>
                <w:b/>
                <w:bCs/>
              </w:rPr>
            </w:pPr>
            <w:r w:rsidRPr="00BD16B4">
              <w:rPr>
                <w:b/>
                <w:bCs/>
              </w:rPr>
              <w:t xml:space="preserve">6. </w:t>
            </w:r>
            <w:r w:rsidRPr="00BD16B4">
              <w:rPr>
                <w:b/>
                <w:bCs/>
              </w:rPr>
              <w:tab/>
              <w:t>Improve waste data and prioritise a national waste licensing scheme</w:t>
            </w:r>
          </w:p>
          <w:p w14:paraId="479EB9FD" w14:textId="773D3483" w:rsidR="00CA1920" w:rsidRPr="00BD16B4" w:rsidRDefault="00CA1920" w:rsidP="000002F1">
            <w:pPr>
              <w:pStyle w:val="Boxbullet"/>
              <w:spacing w:after="80"/>
              <w:ind w:left="1077"/>
              <w:rPr>
                <w:b/>
              </w:rPr>
            </w:pPr>
            <w:r w:rsidRPr="00BD16B4">
              <w:t>Develop a national waste licensing scheme.</w:t>
            </w:r>
          </w:p>
          <w:p w14:paraId="2F51F228" w14:textId="02148486" w:rsidR="00CA1920" w:rsidRPr="00BD16B4" w:rsidRDefault="00CA1920" w:rsidP="000002F1">
            <w:pPr>
              <w:pStyle w:val="Boxbullet"/>
              <w:spacing w:after="180"/>
              <w:ind w:left="1077"/>
            </w:pPr>
            <w:r w:rsidRPr="00BD16B4">
              <w:t xml:space="preserve">Improve information on greenhouse gas emissions from waste disposal. </w:t>
            </w:r>
          </w:p>
        </w:tc>
      </w:tr>
    </w:tbl>
    <w:p w14:paraId="70E2353E" w14:textId="77777777" w:rsidR="00CA1920" w:rsidRPr="00BD16B4" w:rsidRDefault="00CA1920" w:rsidP="00CA1920">
      <w:pPr>
        <w:pStyle w:val="BodyText"/>
        <w:spacing w:before="240"/>
        <w:rPr>
          <w:rFonts w:eastAsia="Calibri"/>
        </w:rPr>
      </w:pPr>
      <w:r w:rsidRPr="00BD16B4">
        <w:t xml:space="preserve">To achieve its goals, the Government has developed a set of legislative instruments to reduce waste generation and waste-derived emissions. </w:t>
      </w:r>
    </w:p>
    <w:p w14:paraId="31218595" w14:textId="77777777" w:rsidR="00CA1920" w:rsidRPr="00BD16B4" w:rsidRDefault="00CA1920" w:rsidP="00CA1920">
      <w:pPr>
        <w:pStyle w:val="BodyText"/>
        <w:rPr>
          <w:rFonts w:cs="Calibri"/>
        </w:rPr>
      </w:pPr>
      <w:r w:rsidRPr="00BD16B4">
        <w:rPr>
          <w:rFonts w:cs="Calibri"/>
        </w:rPr>
        <w:t xml:space="preserve">The major legislation governing waste management in New Zealand is the </w:t>
      </w:r>
      <w:hyperlink r:id="rId82" w:history="1">
        <w:r w:rsidRPr="00BD16B4">
          <w:t>Waste Minimisation Act 2008</w:t>
        </w:r>
      </w:hyperlink>
      <w:r w:rsidRPr="00BD16B4">
        <w:t>,</w:t>
      </w:r>
      <w:r w:rsidRPr="00BD16B4">
        <w:rPr>
          <w:rStyle w:val="FootnoteReference"/>
        </w:rPr>
        <w:footnoteReference w:id="211"/>
      </w:r>
      <w:r w:rsidRPr="00BD16B4">
        <w:rPr>
          <w:rFonts w:cs="Calibri"/>
        </w:rPr>
        <w:t xml:space="preserve"> which is administered by the Ministry for the Environment. The Act encourages reductions in the amount of waste generated and disposed of, which may also result in a reduction of greenhouse gas emissions. In addition, certain landfills are required to surrender units under the NZ ETS.</w:t>
      </w:r>
    </w:p>
    <w:p w14:paraId="6E0E7AEB" w14:textId="77777777" w:rsidR="00CA1920" w:rsidRPr="00BD16B4" w:rsidRDefault="00CA1920" w:rsidP="00CA1920">
      <w:pPr>
        <w:pStyle w:val="Heading5"/>
      </w:pPr>
      <w:r w:rsidRPr="00BD16B4">
        <w:rPr>
          <w:rFonts w:eastAsia="Calibri"/>
        </w:rPr>
        <w:lastRenderedPageBreak/>
        <w:t>Waste Disposal Levy</w:t>
      </w:r>
    </w:p>
    <w:p w14:paraId="3C8E88C0" w14:textId="77777777" w:rsidR="00CA1920" w:rsidRPr="00BD16B4" w:rsidRDefault="00CA1920" w:rsidP="00CA1920">
      <w:pPr>
        <w:pStyle w:val="BodyText"/>
      </w:pPr>
      <w:r w:rsidRPr="00BD16B4">
        <w:t xml:space="preserve">The </w:t>
      </w:r>
      <w:hyperlink r:id="rId83" w:history="1">
        <w:r w:rsidRPr="00BD16B4">
          <w:t>Waste Disposal Levy</w:t>
        </w:r>
      </w:hyperlink>
      <w:r w:rsidRPr="00BD16B4">
        <w:rPr>
          <w:rStyle w:val="FootnoteReference"/>
        </w:rPr>
        <w:footnoteReference w:id="212"/>
      </w:r>
      <w:r w:rsidRPr="00BD16B4">
        <w:t xml:space="preserve"> was introduced under the Waste Minimisation Act 2008 for the purpose of raising revenue for the promotion and achievement of waste minimisation. The levy encourages organisations and individuals to take responsibility for their waste generation and to find more effective ways to reduce, reuse, recycle or reprocess waste. </w:t>
      </w:r>
    </w:p>
    <w:p w14:paraId="4320FF7F" w14:textId="77777777" w:rsidR="00CA1920" w:rsidRPr="00BD16B4" w:rsidRDefault="00CA1920" w:rsidP="00CA1920">
      <w:pPr>
        <w:pStyle w:val="BodyText"/>
      </w:pPr>
      <w:r w:rsidRPr="00BD16B4">
        <w:t>From 1 July 2021, the Government has progressively increased and expanded the national Waste Disposal Levy. This expansion involves:</w:t>
      </w:r>
    </w:p>
    <w:p w14:paraId="63F68B7E" w14:textId="77777777" w:rsidR="00CA1920" w:rsidRPr="00BD16B4" w:rsidRDefault="00CA1920" w:rsidP="00CA1920">
      <w:pPr>
        <w:pStyle w:val="Bullet"/>
      </w:pPr>
      <w:r w:rsidRPr="00BD16B4">
        <w:t>progressively increasing the levy rate for landfills that take household waste over a period of four years until 2024</w:t>
      </w:r>
    </w:p>
    <w:p w14:paraId="0452513F" w14:textId="77777777" w:rsidR="00CA1920" w:rsidRPr="00BD16B4" w:rsidRDefault="00CA1920" w:rsidP="00CA1920">
      <w:pPr>
        <w:pStyle w:val="Bullet"/>
      </w:pPr>
      <w:r w:rsidRPr="00BD16B4">
        <w:t>expanding the waste levy to cover additional landfill types, including construction and demolition and demolition fills. Previously, the waste levy only applied to municipal landfills that take household waste</w:t>
      </w:r>
    </w:p>
    <w:p w14:paraId="650383A6" w14:textId="77777777" w:rsidR="00CA1920" w:rsidRPr="00BD16B4" w:rsidRDefault="00CA1920" w:rsidP="00CA1920">
      <w:pPr>
        <w:pStyle w:val="Bullet"/>
      </w:pPr>
      <w:r w:rsidRPr="00BD16B4">
        <w:t>collecting better data on waste generation, disposal and management</w:t>
      </w:r>
    </w:p>
    <w:p w14:paraId="52DE661F" w14:textId="77777777" w:rsidR="00CA1920" w:rsidRPr="00BD16B4" w:rsidRDefault="00CA1920" w:rsidP="00CA1920">
      <w:pPr>
        <w:pStyle w:val="Bullet"/>
      </w:pPr>
      <w:r w:rsidRPr="00BD16B4">
        <w:t>investing the additional waste revenue from the waste levy into initiatives that support waste reduction.</w:t>
      </w:r>
    </w:p>
    <w:p w14:paraId="3900A5E7" w14:textId="77777777" w:rsidR="00CA1920" w:rsidRPr="00BD16B4" w:rsidRDefault="00CA1920" w:rsidP="00CA1920">
      <w:pPr>
        <w:pStyle w:val="BodyText"/>
      </w:pPr>
      <w:r w:rsidRPr="00BD16B4">
        <w:t>Half of the levy money goes to city and district councils to spend on promoting or achieving the waste minimisation activities set out in their waste management and minimisation plans. The remaining levy money (minus administration costs) is invested by central government in waste minimisation projects, including via the Waste Minimisation Fund.</w:t>
      </w:r>
    </w:p>
    <w:p w14:paraId="68E9654F" w14:textId="77777777" w:rsidR="00CA1920" w:rsidRPr="00BD16B4" w:rsidRDefault="00CA1920" w:rsidP="00CA1920">
      <w:pPr>
        <w:pStyle w:val="Heading5"/>
      </w:pPr>
      <w:r w:rsidRPr="00BD16B4">
        <w:rPr>
          <w:rFonts w:eastAsia="Calibri"/>
        </w:rPr>
        <w:t>Waste Minimisation Fund</w:t>
      </w:r>
    </w:p>
    <w:p w14:paraId="5CE07219" w14:textId="77777777" w:rsidR="00CA1920" w:rsidRPr="00BD16B4" w:rsidRDefault="00CA1920" w:rsidP="00CA1920">
      <w:pPr>
        <w:pStyle w:val="BodyText"/>
      </w:pPr>
      <w:r w:rsidRPr="00BD16B4">
        <w:t>The Waste Minimisation Fund (WMF), established under the Waste Minimisation Act 2008, provides co-benefits for emissions reductions. Through this fund, a portion of the total levy on waste disposed to landfills is allocated to waste minimisation projects. The purpose of the WMF is to support projects that increase the reuse, recovery and recycling of materials. The fund invests in a wide range of projects from infrastructure investments to behaviour change and community-centred projects.</w:t>
      </w:r>
    </w:p>
    <w:p w14:paraId="2986003A" w14:textId="77777777" w:rsidR="00CA1920" w:rsidRPr="00BD16B4" w:rsidRDefault="00CA1920" w:rsidP="00CA1920">
      <w:pPr>
        <w:pStyle w:val="Heading5"/>
      </w:pPr>
      <w:r w:rsidRPr="00BD16B4">
        <w:rPr>
          <w:rFonts w:eastAsia="Calibri"/>
        </w:rPr>
        <w:t>Regulated Product Stewardship</w:t>
      </w:r>
    </w:p>
    <w:p w14:paraId="14C36E11" w14:textId="77777777" w:rsidR="00CA1920" w:rsidRPr="00BD16B4" w:rsidRDefault="00CA1920" w:rsidP="00CA1920">
      <w:pPr>
        <w:pStyle w:val="BodyText"/>
      </w:pPr>
      <w:r w:rsidRPr="00BD16B4">
        <w:t>In July 2020, the New Zealand Government announced six products to be declared ‘priority products’ for the establishment of</w:t>
      </w:r>
      <w:r w:rsidRPr="00BD16B4">
        <w:rPr>
          <w:bCs/>
        </w:rPr>
        <w:t xml:space="preserve"> Regulated Product Stewardship</w:t>
      </w:r>
      <w:r w:rsidRPr="00BD16B4">
        <w:t xml:space="preserve"> schemes under the Waste Minimisation Act 2008.</w:t>
      </w:r>
    </w:p>
    <w:p w14:paraId="2862301C" w14:textId="77777777" w:rsidR="00CA1920" w:rsidRPr="00BD16B4" w:rsidRDefault="00CA1920" w:rsidP="00CA1920">
      <w:pPr>
        <w:pStyle w:val="BodyText"/>
        <w:keepNext/>
      </w:pPr>
      <w:r w:rsidRPr="00BD16B4">
        <w:t>The products are:</w:t>
      </w:r>
    </w:p>
    <w:p w14:paraId="59DC62E9" w14:textId="77777777" w:rsidR="00CA1920" w:rsidRPr="00BD16B4" w:rsidRDefault="00CA1920" w:rsidP="00CA1920">
      <w:pPr>
        <w:pStyle w:val="Bullet"/>
        <w:keepNext/>
      </w:pPr>
      <w:r w:rsidRPr="00BD16B4">
        <w:t>plastic packaging</w:t>
      </w:r>
    </w:p>
    <w:p w14:paraId="76CB5C15" w14:textId="77777777" w:rsidR="00CA1920" w:rsidRPr="00BD16B4" w:rsidRDefault="00CA1920" w:rsidP="00CA1920">
      <w:pPr>
        <w:pStyle w:val="Bullet"/>
      </w:pPr>
      <w:r w:rsidRPr="00BD16B4">
        <w:t>tyres</w:t>
      </w:r>
    </w:p>
    <w:p w14:paraId="729890DB" w14:textId="77777777" w:rsidR="00CA1920" w:rsidRPr="00BD16B4" w:rsidRDefault="00CA1920" w:rsidP="00CA1920">
      <w:pPr>
        <w:pStyle w:val="Bullet"/>
      </w:pPr>
      <w:r w:rsidRPr="00BD16B4">
        <w:t>electrical and electronic products (e-waste including batteries)</w:t>
      </w:r>
    </w:p>
    <w:p w14:paraId="61FA0BE1" w14:textId="77777777" w:rsidR="00CA1920" w:rsidRPr="00BD16B4" w:rsidRDefault="00CA1920" w:rsidP="00CA1920">
      <w:pPr>
        <w:pStyle w:val="Bullet"/>
      </w:pPr>
      <w:r w:rsidRPr="00BD16B4">
        <w:t>agrichemicals and their containers</w:t>
      </w:r>
    </w:p>
    <w:p w14:paraId="50A6AD59" w14:textId="77777777" w:rsidR="00CA1920" w:rsidRPr="00BD16B4" w:rsidRDefault="00CA1920" w:rsidP="00CA1920">
      <w:pPr>
        <w:pStyle w:val="Bullet"/>
      </w:pPr>
      <w:r w:rsidRPr="00BD16B4">
        <w:t>refrigerants</w:t>
      </w:r>
    </w:p>
    <w:p w14:paraId="25551DC7" w14:textId="77777777" w:rsidR="00CA1920" w:rsidRPr="00BD16B4" w:rsidRDefault="00CA1920" w:rsidP="00CA1920">
      <w:pPr>
        <w:pStyle w:val="Bullet"/>
      </w:pPr>
      <w:r w:rsidRPr="00BD16B4">
        <w:t>farm plastics.</w:t>
      </w:r>
    </w:p>
    <w:p w14:paraId="4D642B17" w14:textId="77777777" w:rsidR="00CA1920" w:rsidRPr="00BD16B4" w:rsidRDefault="00CA1920" w:rsidP="00CA1920">
      <w:pPr>
        <w:pStyle w:val="BodyText"/>
        <w:rPr>
          <w:rFonts w:eastAsia="Calibri"/>
        </w:rPr>
      </w:pPr>
      <w:r w:rsidRPr="00BD16B4">
        <w:lastRenderedPageBreak/>
        <w:t xml:space="preserve">The Ministry for the Environment is working with stakeholders to co-design product stewardship schemes for each priority product group. Co-design of the schemes for tyres and refrigerants is currently under way. Of particular interest from an emissions perspective is product stewardship for refrigerants (found in heating and cooling devices). Product stewardship of electric vehicle batteries is also important to assist with uptake and sustainability of electric vehicles. </w:t>
      </w:r>
    </w:p>
    <w:p w14:paraId="16D5FC5B" w14:textId="77777777" w:rsidR="00CA1920" w:rsidRPr="00BD16B4" w:rsidRDefault="00CA1920" w:rsidP="00CA1920">
      <w:pPr>
        <w:pStyle w:val="Heading5"/>
      </w:pPr>
      <w:r w:rsidRPr="00BD16B4">
        <w:rPr>
          <w:rFonts w:eastAsia="Calibri"/>
        </w:rPr>
        <w:t>National Environmental Standard for Air Quality</w:t>
      </w:r>
    </w:p>
    <w:p w14:paraId="2A3EF139" w14:textId="77777777" w:rsidR="00CA1920" w:rsidRPr="00BD16B4" w:rsidRDefault="00CA1920" w:rsidP="00CA1920">
      <w:pPr>
        <w:pStyle w:val="BodyText"/>
        <w:rPr>
          <w:rFonts w:eastAsia="Calibri"/>
        </w:rPr>
      </w:pPr>
      <w:r w:rsidRPr="00BD16B4">
        <w:rPr>
          <w:rFonts w:eastAsia="Calibri"/>
        </w:rPr>
        <w:t xml:space="preserve">The Ministry for the Environment also administers a </w:t>
      </w:r>
      <w:r w:rsidRPr="00BD16B4">
        <w:rPr>
          <w:rFonts w:eastAsia="Calibri"/>
          <w:bCs/>
        </w:rPr>
        <w:t>National Environmental Standard for Air Quality</w:t>
      </w:r>
      <w:r w:rsidRPr="00BD16B4">
        <w:rPr>
          <w:rFonts w:eastAsia="Calibri"/>
          <w:b/>
        </w:rPr>
        <w:t xml:space="preserve"> </w:t>
      </w:r>
      <w:r w:rsidRPr="00BD16B4">
        <w:rPr>
          <w:rFonts w:eastAsia="Calibri"/>
        </w:rPr>
        <w:t>(including control of greenhouse gas emissions at landfills), which is implemented by local and regional councils. The Standard includes specific regulations for the control of landfill methane, which requires landfill sites with a lifetime design capacity of greater than one million tonnes of refuse to collect and destroy methane emissions. This policy has had the largest impact on emissions in the waste sector to date.</w:t>
      </w:r>
    </w:p>
    <w:p w14:paraId="4BB8DA18" w14:textId="77777777" w:rsidR="00CA1920" w:rsidRPr="00BD16B4" w:rsidRDefault="00CA1920" w:rsidP="004E1B8C">
      <w:pPr>
        <w:pStyle w:val="Heading4"/>
      </w:pPr>
      <w:r w:rsidRPr="00BD16B4">
        <w:rPr>
          <w:rFonts w:eastAsia="Calibri"/>
        </w:rPr>
        <w:t>Ongoing strategic changes to support emissions reductions from waste</w:t>
      </w:r>
    </w:p>
    <w:p w14:paraId="0D93A203" w14:textId="77777777" w:rsidR="00CA1920" w:rsidRPr="00BD16B4" w:rsidRDefault="00CA1920" w:rsidP="00CA1920">
      <w:pPr>
        <w:pStyle w:val="BodyText"/>
        <w:rPr>
          <w:rFonts w:eastAsia="Calibri"/>
        </w:rPr>
      </w:pPr>
      <w:r w:rsidRPr="00BD16B4">
        <w:rPr>
          <w:rFonts w:eastAsia="Calibri"/>
        </w:rPr>
        <w:t>The Ministry for the Environment is currently developing a new New Zealand Waste Strategy. The strategy will take a broader approach that goes beyond emissions reductions, with the aim of ensuring that waste is minimised and that organic and inorganic materials are recovered and available for reuse in a more circular, low-emissions economy. The updated Waste Strategy will be finalised in late 2022.</w:t>
      </w:r>
    </w:p>
    <w:p w14:paraId="73BB1804" w14:textId="77777777" w:rsidR="00CA1920" w:rsidRPr="00BD16B4" w:rsidRDefault="00CA1920" w:rsidP="00CA1920">
      <w:pPr>
        <w:pStyle w:val="BodyText"/>
        <w:rPr>
          <w:rFonts w:eastAsia="Calibri"/>
        </w:rPr>
      </w:pPr>
      <w:r w:rsidRPr="00BD16B4">
        <w:rPr>
          <w:rFonts w:eastAsia="Calibri"/>
        </w:rPr>
        <w:t xml:space="preserve">Work is also under way to develop new legislation to replace the Waste Minimisation Act 2008 and Litter Act 1979. This legislation will create new powers to support delivery of the Waste Strategy and the emissions reduction plan. Additional regulatory tools will help achieve emissions reduction goals: see the Ministry for the Environment’s consultation on </w:t>
      </w:r>
      <w:r w:rsidRPr="00BD16B4">
        <w:t>Taking responsibility for our waste.</w:t>
      </w:r>
      <w:r w:rsidRPr="00BD16B4">
        <w:rPr>
          <w:rStyle w:val="FootnoteReference"/>
        </w:rPr>
        <w:footnoteReference w:id="213"/>
      </w:r>
    </w:p>
    <w:p w14:paraId="6B9543DE" w14:textId="77777777" w:rsidR="00CA1920" w:rsidRPr="00BD16B4" w:rsidRDefault="00CA1920" w:rsidP="00CA1920">
      <w:pPr>
        <w:pStyle w:val="Heading3"/>
        <w:rPr>
          <w:rFonts w:eastAsia="Calibri"/>
        </w:rPr>
      </w:pPr>
      <w:r w:rsidRPr="00BD16B4">
        <w:rPr>
          <w:rFonts w:eastAsia="Calibri"/>
        </w:rPr>
        <w:t>4.3.9</w:t>
      </w:r>
      <w:r w:rsidRPr="00BD16B4">
        <w:rPr>
          <w:rFonts w:eastAsia="Calibri"/>
        </w:rPr>
        <w:tab/>
        <w:t>Policy status and impacts</w:t>
      </w:r>
    </w:p>
    <w:p w14:paraId="58598393" w14:textId="77777777" w:rsidR="00CA1920" w:rsidRPr="00BD16B4" w:rsidRDefault="00CA1920" w:rsidP="00CA1920">
      <w:pPr>
        <w:pStyle w:val="BodyText"/>
        <w:rPr>
          <w:rFonts w:eastAsia="Calibri"/>
        </w:rPr>
      </w:pPr>
      <w:r w:rsidRPr="00BD16B4">
        <w:rPr>
          <w:rFonts w:eastAsia="Calibri"/>
        </w:rPr>
        <w:t xml:space="preserve">This section provides a description and details on the status of policies, including an estimate of mitigation impacts where available. </w:t>
      </w:r>
    </w:p>
    <w:p w14:paraId="08B216A4" w14:textId="77777777" w:rsidR="00000C1F" w:rsidRPr="00BD16B4" w:rsidRDefault="00000C1F" w:rsidP="00000C1F">
      <w:pPr>
        <w:pStyle w:val="BodyText"/>
        <w:spacing w:before="0" w:after="0"/>
        <w:rPr>
          <w:rFonts w:eastAsia="Calibri"/>
        </w:rPr>
      </w:pPr>
    </w:p>
    <w:p w14:paraId="7D1975D7" w14:textId="77777777" w:rsidR="00CA1920" w:rsidRPr="00BD16B4" w:rsidRDefault="00CA1920" w:rsidP="00CA1920">
      <w:pPr>
        <w:spacing w:before="0" w:after="0" w:line="240" w:lineRule="auto"/>
        <w:jc w:val="left"/>
        <w:rPr>
          <w:i/>
          <w:sz w:val="20"/>
        </w:rPr>
        <w:sectPr w:rsidR="00CA1920" w:rsidRPr="00BD16B4">
          <w:footerReference w:type="even" r:id="rId84"/>
          <w:footerReference w:type="default" r:id="rId85"/>
          <w:pgSz w:w="11907" w:h="16840" w:code="9"/>
          <w:pgMar w:top="1134" w:right="1701" w:bottom="1134" w:left="1701" w:header="567" w:footer="567" w:gutter="0"/>
          <w:cols w:space="720"/>
          <w:docGrid w:linePitch="299"/>
        </w:sectPr>
      </w:pPr>
    </w:p>
    <w:p w14:paraId="54CAB855" w14:textId="647C4D1E" w:rsidR="00CA1920" w:rsidRPr="00BD16B4" w:rsidRDefault="00CA1920" w:rsidP="00CA1920">
      <w:pPr>
        <w:pStyle w:val="Tableheading"/>
        <w:spacing w:before="0"/>
      </w:pPr>
      <w:bookmarkStart w:id="251" w:name="_Toc121773790"/>
      <w:r w:rsidRPr="00BD16B4">
        <w:lastRenderedPageBreak/>
        <w:t xml:space="preserve">Table 4.3: </w:t>
      </w:r>
      <w:r w:rsidR="00707125" w:rsidRPr="00BD16B4">
        <w:tab/>
      </w:r>
      <w:r w:rsidRPr="00BD16B4">
        <w:t>Progress in achievement of the quantified economy-wide emissions reduction target: information on mitigation actions and their effects (CTF</w:t>
      </w:r>
      <w:r w:rsidR="00707125" w:rsidRPr="00BD16B4">
        <w:t> </w:t>
      </w:r>
      <w:r w:rsidRPr="00BD16B4">
        <w:t>table 3)</w:t>
      </w:r>
      <w:bookmarkEnd w:id="251"/>
    </w:p>
    <w:p w14:paraId="000E7F35" w14:textId="77777777" w:rsidR="00CA1920" w:rsidRPr="00BD16B4" w:rsidRDefault="00CA1920" w:rsidP="00C65701">
      <w:pPr>
        <w:pStyle w:val="Note"/>
        <w:spacing w:before="60" w:after="60"/>
        <w:rPr>
          <w:rFonts w:eastAsia="Calibri"/>
        </w:rPr>
      </w:pPr>
      <w:r w:rsidRPr="00BD16B4">
        <w:rPr>
          <w:rFonts w:eastAsia="Calibri"/>
          <w:b/>
          <w:bCs/>
        </w:rPr>
        <w:t>Note:</w:t>
      </w:r>
      <w:r w:rsidRPr="00BD16B4">
        <w:rPr>
          <w:rFonts w:eastAsia="Calibri"/>
        </w:rPr>
        <w:t xml:space="preserve"> </w:t>
      </w:r>
      <w:bookmarkStart w:id="252" w:name="_Hlk120876872"/>
      <w:r w:rsidRPr="00BD16B4">
        <w:rPr>
          <w:rFonts w:eastAsia="Calibri"/>
        </w:rPr>
        <w:t>CCRA = Climate Change Response Act 2002; CH</w:t>
      </w:r>
      <w:r w:rsidRPr="00BD16B4">
        <w:rPr>
          <w:rFonts w:eastAsia="Calibri"/>
          <w:vertAlign w:val="subscript"/>
        </w:rPr>
        <w:t xml:space="preserve">4 </w:t>
      </w:r>
      <w:r w:rsidRPr="00BD16B4">
        <w:rPr>
          <w:rFonts w:eastAsia="Calibri"/>
        </w:rPr>
        <w:t>= methane; CO</w:t>
      </w:r>
      <w:r w:rsidRPr="00BD16B4">
        <w:rPr>
          <w:rFonts w:eastAsia="Calibri"/>
          <w:vertAlign w:val="subscript"/>
        </w:rPr>
        <w:t>2</w:t>
      </w:r>
      <w:r w:rsidRPr="00BD16B4">
        <w:rPr>
          <w:rFonts w:eastAsia="Calibri"/>
        </w:rPr>
        <w:t xml:space="preserve"> = carbon dioxide; </w:t>
      </w:r>
      <w:r w:rsidRPr="00BD16B4">
        <w:t>CO</w:t>
      </w:r>
      <w:r w:rsidRPr="00BD16B4">
        <w:rPr>
          <w:vertAlign w:val="subscript"/>
        </w:rPr>
        <w:t>2</w:t>
      </w:r>
      <w:r w:rsidRPr="00BD16B4">
        <w:t>-e = carbon dioxide equivalent;</w:t>
      </w:r>
      <w:r w:rsidRPr="00BD16B4">
        <w:rPr>
          <w:rFonts w:eastAsia="Calibri"/>
        </w:rPr>
        <w:t xml:space="preserve"> GHGs = greenhouse gases;</w:t>
      </w:r>
      <w:r w:rsidRPr="00BD16B4">
        <w:t xml:space="preserve"> HFCs =</w:t>
      </w:r>
      <w:r w:rsidRPr="00BD16B4">
        <w:rPr>
          <w:rFonts w:eastAsia="Calibri"/>
        </w:rPr>
        <w:t xml:space="preserve"> hydrofluorocarbons; IPPU = industrial processes and product use; </w:t>
      </w:r>
      <w:r w:rsidRPr="00BD16B4">
        <w:t>kt = kilotonnes;</w:t>
      </w:r>
      <w:r w:rsidRPr="00BD16B4">
        <w:rPr>
          <w:rFonts w:eastAsia="Calibri"/>
        </w:rPr>
        <w:t xml:space="preserve"> LULUCF = land use, land-use change and forestry; </w:t>
      </w:r>
      <w:r w:rsidRPr="00BD16B4">
        <w:t>N</w:t>
      </w:r>
      <w:r w:rsidRPr="00BD16B4">
        <w:rPr>
          <w:vertAlign w:val="subscript"/>
        </w:rPr>
        <w:t>2</w:t>
      </w:r>
      <w:r w:rsidRPr="00BD16B4">
        <w:t>O = nitrous oxide; NA = not applicable; NE = not estimated; NZU = New Zealand Unit; PFCs = perfluorocarbons; SF</w:t>
      </w:r>
      <w:r w:rsidRPr="00BD16B4">
        <w:rPr>
          <w:vertAlign w:val="subscript"/>
        </w:rPr>
        <w:t>6</w:t>
      </w:r>
      <w:r w:rsidRPr="00BD16B4">
        <w:t xml:space="preserve"> = sulphur hexafluoride; TBC = to be confirmed; WAM = with additional measures; WEM = with existing measures</w:t>
      </w:r>
      <w:r w:rsidRPr="00BD16B4">
        <w:rPr>
          <w:rFonts w:eastAsia="Calibri"/>
        </w:rPr>
        <w:t xml:space="preserve">. </w:t>
      </w:r>
    </w:p>
    <w:p w14:paraId="4732BE10" w14:textId="77777777" w:rsidR="00CA1920" w:rsidRPr="00BD16B4" w:rsidRDefault="00CA1920" w:rsidP="00C65701">
      <w:pPr>
        <w:pStyle w:val="Note"/>
        <w:spacing w:before="60" w:after="60"/>
        <w:rPr>
          <w:rFonts w:eastAsia="Calibri"/>
        </w:rPr>
      </w:pPr>
      <w:r w:rsidRPr="00BD16B4">
        <w:rPr>
          <w:rFonts w:eastAsia="Calibri"/>
          <w:i/>
          <w:iCs/>
        </w:rPr>
        <w:t>Estimate of mitigation impact:</w:t>
      </w:r>
      <w:r w:rsidRPr="00BD16B4">
        <w:rPr>
          <w:rFonts w:eastAsia="Calibri"/>
        </w:rPr>
        <w:t xml:space="preserve"> Mitigation impacts were not estimated (NE) for some policies because the policy is not implemented or is in the early stages of implementation, insufficient data were available, there were </w:t>
      </w:r>
      <w:r w:rsidRPr="00BD16B4">
        <w:t xml:space="preserve">model design constraints or the </w:t>
      </w:r>
      <w:r w:rsidRPr="00BD16B4">
        <w:rPr>
          <w:rFonts w:eastAsia="Calibri"/>
        </w:rPr>
        <w:t xml:space="preserve">impact is considered negligible. </w:t>
      </w:r>
    </w:p>
    <w:p w14:paraId="00B2534B" w14:textId="5BF3D673" w:rsidR="00CA1920" w:rsidRPr="00BD16B4" w:rsidRDefault="00CA1920" w:rsidP="00C65701">
      <w:pPr>
        <w:pStyle w:val="Note"/>
        <w:spacing w:before="60" w:after="60"/>
        <w:rPr>
          <w:rFonts w:eastAsia="Calibri"/>
        </w:rPr>
      </w:pPr>
      <w:r w:rsidRPr="00BD16B4">
        <w:rPr>
          <w:i/>
          <w:iCs/>
        </w:rPr>
        <w:t>Status of implementation:</w:t>
      </w:r>
      <w:r w:rsidRPr="00BD16B4">
        <w:t xml:space="preserve"> Policies with a status described as WEM (with existing measures) or WAM (with additional measures) have mitigation impacts estimated from emissions projections scenarios described in chapter 5. </w:t>
      </w:r>
      <w:bookmarkEnd w:id="252"/>
      <w:r w:rsidRPr="00BD16B4">
        <w:t>Mitigation impacts for all other policies have been developed at policy level using other methods and have not been integrated into sector-level modelling. This also</w:t>
      </w:r>
      <w:r w:rsidR="00C65701" w:rsidRPr="00BD16B4">
        <w:t> </w:t>
      </w:r>
      <w:r w:rsidRPr="00BD16B4">
        <w:t>means that the estimated total mitigation impacts of policies and measures do not align with the change in emissions between the ‘without measures’ scenario and the ‘with measures’ scenario from chapter 5.</w:t>
      </w:r>
    </w:p>
    <w:p w14:paraId="54321F70" w14:textId="77777777" w:rsidR="00CA1920" w:rsidRPr="00BD16B4" w:rsidRDefault="00CA1920" w:rsidP="00F052EC">
      <w:pPr>
        <w:pStyle w:val="Note"/>
        <w:spacing w:before="60" w:after="180"/>
        <w:rPr>
          <w:rFonts w:eastAsia="Calibri"/>
          <w:sz w:val="20"/>
          <w:szCs w:val="20"/>
        </w:rPr>
      </w:pPr>
      <w:r w:rsidRPr="00BD16B4">
        <w:t>A negative estimate of mitigation impact indicates additional GHG emissions resulting from this policy or measure for this particular year.</w:t>
      </w:r>
    </w:p>
    <w:tbl>
      <w:tblPr>
        <w:tblW w:w="14572" w:type="dxa"/>
        <w:tblInd w:w="57"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28" w:type="dxa"/>
          <w:right w:w="28" w:type="dxa"/>
        </w:tblCellMar>
        <w:tblLook w:val="04A0" w:firstRow="1" w:lastRow="0" w:firstColumn="1" w:lastColumn="0" w:noHBand="0" w:noVBand="1"/>
      </w:tblPr>
      <w:tblGrid>
        <w:gridCol w:w="1632"/>
        <w:gridCol w:w="1316"/>
        <w:gridCol w:w="567"/>
        <w:gridCol w:w="1701"/>
        <w:gridCol w:w="1134"/>
        <w:gridCol w:w="992"/>
        <w:gridCol w:w="2410"/>
        <w:gridCol w:w="567"/>
        <w:gridCol w:w="1701"/>
        <w:gridCol w:w="851"/>
        <w:gridCol w:w="850"/>
        <w:gridCol w:w="851"/>
      </w:tblGrid>
      <w:tr w:rsidR="007728C3" w:rsidRPr="00BD16B4" w14:paraId="71EEBFB6" w14:textId="77777777" w:rsidTr="006709EC">
        <w:trPr>
          <w:cantSplit/>
          <w:trHeight w:val="1311"/>
          <w:tblHeader/>
        </w:trPr>
        <w:tc>
          <w:tcPr>
            <w:tcW w:w="1632" w:type="dxa"/>
            <w:shd w:val="clear" w:color="auto" w:fill="1B556B" w:themeFill="text2"/>
            <w:noWrap/>
            <w:vAlign w:val="bottom"/>
            <w:hideMark/>
          </w:tcPr>
          <w:p w14:paraId="21ECF890" w14:textId="77777777" w:rsidR="00CA1920" w:rsidRPr="00BD16B4" w:rsidRDefault="00CA1920" w:rsidP="002D166E">
            <w:pPr>
              <w:pStyle w:val="TableTextBold0"/>
              <w:keepNext/>
              <w:spacing w:before="40" w:after="40" w:line="240" w:lineRule="auto"/>
              <w:rPr>
                <w:rFonts w:eastAsia="Calibri"/>
                <w:color w:val="FFFFFF" w:themeColor="background1"/>
                <w:sz w:val="14"/>
                <w:szCs w:val="14"/>
              </w:rPr>
            </w:pPr>
            <w:r w:rsidRPr="00BD16B4">
              <w:rPr>
                <w:color w:val="FFFFFF" w:themeColor="background1"/>
                <w:sz w:val="14"/>
                <w:szCs w:val="14"/>
              </w:rPr>
              <w:t>Name of mitigation action</w:t>
            </w:r>
          </w:p>
        </w:tc>
        <w:tc>
          <w:tcPr>
            <w:tcW w:w="1316" w:type="dxa"/>
            <w:shd w:val="clear" w:color="auto" w:fill="1B556B" w:themeFill="text2"/>
            <w:noWrap/>
            <w:vAlign w:val="bottom"/>
            <w:hideMark/>
          </w:tcPr>
          <w:p w14:paraId="1B086855" w14:textId="77777777" w:rsidR="00CA1920" w:rsidRPr="00BD16B4" w:rsidRDefault="00CA1920" w:rsidP="002D166E">
            <w:pPr>
              <w:pStyle w:val="TableTextBold0"/>
              <w:keepNext/>
              <w:spacing w:before="40" w:after="40" w:line="240" w:lineRule="auto"/>
              <w:jc w:val="center"/>
              <w:rPr>
                <w:rFonts w:eastAsia="Calibri"/>
                <w:color w:val="FFFFFF" w:themeColor="background1"/>
                <w:sz w:val="14"/>
                <w:szCs w:val="14"/>
              </w:rPr>
            </w:pPr>
            <w:r w:rsidRPr="00BD16B4">
              <w:rPr>
                <w:color w:val="FFFFFF" w:themeColor="background1"/>
                <w:sz w:val="14"/>
                <w:szCs w:val="14"/>
              </w:rPr>
              <w:t>Sectors affected</w:t>
            </w:r>
          </w:p>
        </w:tc>
        <w:tc>
          <w:tcPr>
            <w:tcW w:w="567" w:type="dxa"/>
            <w:shd w:val="clear" w:color="auto" w:fill="1B556B" w:themeFill="text2"/>
            <w:noWrap/>
            <w:vAlign w:val="bottom"/>
            <w:hideMark/>
          </w:tcPr>
          <w:p w14:paraId="2C974B50" w14:textId="77777777" w:rsidR="00CA1920" w:rsidRPr="00BD16B4" w:rsidRDefault="00CA1920" w:rsidP="002D166E">
            <w:pPr>
              <w:pStyle w:val="TableTextBold0"/>
              <w:keepNext/>
              <w:spacing w:before="40" w:after="40" w:line="240" w:lineRule="auto"/>
              <w:jc w:val="center"/>
              <w:rPr>
                <w:rFonts w:eastAsia="Calibri"/>
                <w:color w:val="FFFFFF" w:themeColor="background1"/>
                <w:sz w:val="14"/>
                <w:szCs w:val="14"/>
              </w:rPr>
            </w:pPr>
            <w:r w:rsidRPr="00BD16B4">
              <w:rPr>
                <w:color w:val="FFFFFF" w:themeColor="background1"/>
                <w:sz w:val="14"/>
                <w:szCs w:val="14"/>
              </w:rPr>
              <w:t>GHG(s) affected</w:t>
            </w:r>
          </w:p>
        </w:tc>
        <w:tc>
          <w:tcPr>
            <w:tcW w:w="1701" w:type="dxa"/>
            <w:shd w:val="clear" w:color="auto" w:fill="1B556B" w:themeFill="text2"/>
            <w:noWrap/>
            <w:vAlign w:val="bottom"/>
            <w:hideMark/>
          </w:tcPr>
          <w:p w14:paraId="43310C03" w14:textId="2A3FE641" w:rsidR="00CA1920" w:rsidRPr="00BD16B4" w:rsidRDefault="00CA1920" w:rsidP="002D166E">
            <w:pPr>
              <w:pStyle w:val="TableTextBold0"/>
              <w:keepNext/>
              <w:spacing w:before="40" w:after="40" w:line="240" w:lineRule="auto"/>
              <w:jc w:val="center"/>
              <w:rPr>
                <w:rFonts w:eastAsia="Calibri"/>
                <w:color w:val="FFFFFF" w:themeColor="background1"/>
                <w:sz w:val="14"/>
                <w:szCs w:val="14"/>
              </w:rPr>
            </w:pPr>
            <w:r w:rsidRPr="00BD16B4">
              <w:rPr>
                <w:color w:val="FFFFFF" w:themeColor="background1"/>
                <w:sz w:val="14"/>
                <w:szCs w:val="14"/>
              </w:rPr>
              <w:t xml:space="preserve">Objective and/or </w:t>
            </w:r>
            <w:r w:rsidR="000A136D" w:rsidRPr="00BD16B4">
              <w:rPr>
                <w:color w:val="FFFFFF" w:themeColor="background1"/>
                <w:sz w:val="14"/>
                <w:szCs w:val="14"/>
              </w:rPr>
              <w:br/>
            </w:r>
            <w:r w:rsidRPr="00BD16B4">
              <w:rPr>
                <w:color w:val="FFFFFF" w:themeColor="background1"/>
                <w:sz w:val="14"/>
                <w:szCs w:val="14"/>
              </w:rPr>
              <w:t>activity affected</w:t>
            </w:r>
          </w:p>
        </w:tc>
        <w:tc>
          <w:tcPr>
            <w:tcW w:w="1134" w:type="dxa"/>
            <w:shd w:val="clear" w:color="auto" w:fill="1B556B" w:themeFill="text2"/>
            <w:noWrap/>
            <w:vAlign w:val="bottom"/>
            <w:hideMark/>
          </w:tcPr>
          <w:p w14:paraId="4BA6A1A9" w14:textId="77777777" w:rsidR="00CA1920" w:rsidRPr="00BD16B4" w:rsidRDefault="00CA1920" w:rsidP="002D166E">
            <w:pPr>
              <w:pStyle w:val="TableTextBold0"/>
              <w:keepNext/>
              <w:spacing w:before="40" w:after="40" w:line="240" w:lineRule="auto"/>
              <w:jc w:val="center"/>
              <w:rPr>
                <w:rFonts w:eastAsia="Calibri"/>
                <w:color w:val="FFFFFF" w:themeColor="background1"/>
                <w:sz w:val="14"/>
                <w:szCs w:val="14"/>
              </w:rPr>
            </w:pPr>
            <w:r w:rsidRPr="00BD16B4">
              <w:rPr>
                <w:color w:val="FFFFFF" w:themeColor="background1"/>
                <w:sz w:val="14"/>
                <w:szCs w:val="14"/>
              </w:rPr>
              <w:t>Type of instrument</w:t>
            </w:r>
          </w:p>
        </w:tc>
        <w:tc>
          <w:tcPr>
            <w:tcW w:w="992" w:type="dxa"/>
            <w:shd w:val="clear" w:color="auto" w:fill="1B556B" w:themeFill="text2"/>
            <w:noWrap/>
            <w:textDirection w:val="btLr"/>
            <w:vAlign w:val="center"/>
            <w:hideMark/>
          </w:tcPr>
          <w:p w14:paraId="5294B0AD" w14:textId="77777777" w:rsidR="00CA1920" w:rsidRPr="00BD16B4" w:rsidRDefault="00CA1920" w:rsidP="00C65701">
            <w:pPr>
              <w:pStyle w:val="TableTextBold0"/>
              <w:keepNext/>
              <w:spacing w:before="40" w:after="40" w:line="240" w:lineRule="auto"/>
              <w:ind w:left="113" w:right="113"/>
              <w:rPr>
                <w:rFonts w:eastAsia="Calibri"/>
                <w:color w:val="FFFFFF" w:themeColor="background1"/>
                <w:sz w:val="14"/>
                <w:szCs w:val="14"/>
              </w:rPr>
            </w:pPr>
            <w:r w:rsidRPr="00BD16B4">
              <w:rPr>
                <w:color w:val="FFFFFF" w:themeColor="background1"/>
                <w:sz w:val="14"/>
                <w:szCs w:val="14"/>
              </w:rPr>
              <w:t>Status of implementation</w:t>
            </w:r>
          </w:p>
        </w:tc>
        <w:tc>
          <w:tcPr>
            <w:tcW w:w="2410" w:type="dxa"/>
            <w:shd w:val="clear" w:color="auto" w:fill="1B556B" w:themeFill="text2"/>
            <w:noWrap/>
            <w:vAlign w:val="bottom"/>
            <w:hideMark/>
          </w:tcPr>
          <w:p w14:paraId="2D4AC659" w14:textId="77777777" w:rsidR="00CA1920" w:rsidRPr="00BD16B4" w:rsidRDefault="00CA1920" w:rsidP="002D166E">
            <w:pPr>
              <w:pStyle w:val="TableTextBold0"/>
              <w:keepNext/>
              <w:spacing w:before="40" w:after="40" w:line="240" w:lineRule="auto"/>
              <w:jc w:val="center"/>
              <w:rPr>
                <w:rFonts w:eastAsia="Calibri"/>
                <w:color w:val="FFFFFF" w:themeColor="background1"/>
                <w:sz w:val="14"/>
                <w:szCs w:val="14"/>
              </w:rPr>
            </w:pPr>
            <w:r w:rsidRPr="00BD16B4">
              <w:rPr>
                <w:color w:val="FFFFFF" w:themeColor="background1"/>
                <w:sz w:val="14"/>
                <w:szCs w:val="14"/>
              </w:rPr>
              <w:t>Brief description</w:t>
            </w:r>
          </w:p>
        </w:tc>
        <w:tc>
          <w:tcPr>
            <w:tcW w:w="567" w:type="dxa"/>
            <w:shd w:val="clear" w:color="auto" w:fill="1B556B" w:themeFill="text2"/>
            <w:noWrap/>
            <w:textDirection w:val="btLr"/>
            <w:vAlign w:val="center"/>
            <w:hideMark/>
          </w:tcPr>
          <w:p w14:paraId="28A81495" w14:textId="77777777" w:rsidR="00CA1920" w:rsidRPr="00BD16B4" w:rsidRDefault="00CA1920" w:rsidP="00C65701">
            <w:pPr>
              <w:pStyle w:val="TableTextBold0"/>
              <w:keepNext/>
              <w:spacing w:before="40" w:after="40" w:line="240" w:lineRule="auto"/>
              <w:ind w:left="113" w:right="113"/>
              <w:rPr>
                <w:rFonts w:eastAsia="Calibri"/>
                <w:color w:val="FFFFFF" w:themeColor="background1"/>
                <w:sz w:val="14"/>
                <w:szCs w:val="14"/>
              </w:rPr>
            </w:pPr>
            <w:r w:rsidRPr="00BD16B4">
              <w:rPr>
                <w:color w:val="FFFFFF" w:themeColor="background1"/>
                <w:sz w:val="14"/>
                <w:szCs w:val="14"/>
              </w:rPr>
              <w:t>Start year of implementation</w:t>
            </w:r>
          </w:p>
        </w:tc>
        <w:tc>
          <w:tcPr>
            <w:tcW w:w="1701" w:type="dxa"/>
            <w:shd w:val="clear" w:color="auto" w:fill="1B556B" w:themeFill="text2"/>
            <w:noWrap/>
            <w:vAlign w:val="bottom"/>
            <w:hideMark/>
          </w:tcPr>
          <w:p w14:paraId="532A6036" w14:textId="77777777" w:rsidR="00CA1920" w:rsidRPr="00BD16B4" w:rsidRDefault="00CA1920" w:rsidP="002D166E">
            <w:pPr>
              <w:pStyle w:val="TableTextBold0"/>
              <w:keepNext/>
              <w:spacing w:before="40" w:after="40" w:line="240" w:lineRule="auto"/>
              <w:jc w:val="center"/>
              <w:rPr>
                <w:rFonts w:eastAsia="Calibri"/>
                <w:color w:val="FFFFFF" w:themeColor="background1"/>
                <w:sz w:val="14"/>
                <w:szCs w:val="14"/>
              </w:rPr>
            </w:pPr>
            <w:r w:rsidRPr="00BD16B4">
              <w:rPr>
                <w:color w:val="FFFFFF" w:themeColor="background1"/>
                <w:sz w:val="14"/>
                <w:szCs w:val="14"/>
              </w:rPr>
              <w:t>Implementing entity or entities</w:t>
            </w:r>
          </w:p>
        </w:tc>
        <w:tc>
          <w:tcPr>
            <w:tcW w:w="851" w:type="dxa"/>
            <w:shd w:val="clear" w:color="auto" w:fill="1B556B" w:themeFill="text2"/>
            <w:vAlign w:val="bottom"/>
          </w:tcPr>
          <w:p w14:paraId="1BB9C76B" w14:textId="77777777" w:rsidR="00CA1920" w:rsidRPr="00BD16B4" w:rsidRDefault="00CA1920" w:rsidP="005173B2">
            <w:pPr>
              <w:pStyle w:val="TableTextBold0"/>
              <w:keepNext/>
              <w:spacing w:before="40" w:after="40" w:line="240" w:lineRule="auto"/>
              <w:rPr>
                <w:color w:val="FFFFFF" w:themeColor="background1"/>
                <w:sz w:val="14"/>
                <w:szCs w:val="14"/>
              </w:rPr>
            </w:pPr>
            <w:r w:rsidRPr="00BD16B4">
              <w:rPr>
                <w:color w:val="FFFFFF" w:themeColor="background1"/>
                <w:sz w:val="14"/>
                <w:szCs w:val="14"/>
              </w:rPr>
              <w:t>Estimate of mitigation impact (not cumulative) (kt CO</w:t>
            </w:r>
            <w:r w:rsidRPr="00BD16B4">
              <w:rPr>
                <w:color w:val="FFFFFF" w:themeColor="background1"/>
                <w:sz w:val="14"/>
                <w:szCs w:val="14"/>
                <w:vertAlign w:val="subscript"/>
              </w:rPr>
              <w:t>2</w:t>
            </w:r>
            <w:r w:rsidRPr="00BD16B4">
              <w:rPr>
                <w:color w:val="FFFFFF" w:themeColor="background1"/>
                <w:sz w:val="14"/>
                <w:szCs w:val="14"/>
              </w:rPr>
              <w:t>-e) 2025</w:t>
            </w:r>
          </w:p>
        </w:tc>
        <w:tc>
          <w:tcPr>
            <w:tcW w:w="850" w:type="dxa"/>
            <w:shd w:val="clear" w:color="auto" w:fill="1B556B" w:themeFill="text2"/>
            <w:vAlign w:val="bottom"/>
          </w:tcPr>
          <w:p w14:paraId="41241881" w14:textId="77777777" w:rsidR="00CA1920" w:rsidRPr="00BD16B4" w:rsidRDefault="00CA1920" w:rsidP="0073204A">
            <w:pPr>
              <w:pStyle w:val="TableTextBold0"/>
              <w:keepNext/>
              <w:spacing w:before="40" w:after="40" w:line="240" w:lineRule="auto"/>
              <w:rPr>
                <w:color w:val="FFFFFF" w:themeColor="background1"/>
                <w:sz w:val="14"/>
                <w:szCs w:val="14"/>
              </w:rPr>
            </w:pPr>
            <w:r w:rsidRPr="00BD16B4">
              <w:rPr>
                <w:color w:val="FFFFFF" w:themeColor="background1"/>
                <w:sz w:val="14"/>
                <w:szCs w:val="14"/>
              </w:rPr>
              <w:t>Estimate of mitigation impact (not cumulative) (kt CO</w:t>
            </w:r>
            <w:r w:rsidRPr="00BD16B4">
              <w:rPr>
                <w:color w:val="FFFFFF" w:themeColor="background1"/>
                <w:sz w:val="14"/>
                <w:szCs w:val="14"/>
                <w:vertAlign w:val="subscript"/>
              </w:rPr>
              <w:t>2</w:t>
            </w:r>
            <w:r w:rsidRPr="00BD16B4">
              <w:rPr>
                <w:color w:val="FFFFFF" w:themeColor="background1"/>
                <w:sz w:val="14"/>
                <w:szCs w:val="14"/>
              </w:rPr>
              <w:t>-e) 2030</w:t>
            </w:r>
          </w:p>
        </w:tc>
        <w:tc>
          <w:tcPr>
            <w:tcW w:w="851" w:type="dxa"/>
            <w:shd w:val="clear" w:color="auto" w:fill="1B556B" w:themeFill="text2"/>
            <w:vAlign w:val="bottom"/>
          </w:tcPr>
          <w:p w14:paraId="20CCF564" w14:textId="77777777" w:rsidR="00CA1920" w:rsidRPr="00BD16B4" w:rsidRDefault="00CA1920" w:rsidP="0073204A">
            <w:pPr>
              <w:pStyle w:val="TableTextBold0"/>
              <w:keepNext/>
              <w:spacing w:before="40" w:after="40" w:line="240" w:lineRule="auto"/>
              <w:rPr>
                <w:color w:val="FFFFFF" w:themeColor="background1"/>
                <w:sz w:val="14"/>
                <w:szCs w:val="14"/>
              </w:rPr>
            </w:pPr>
            <w:r w:rsidRPr="00BD16B4">
              <w:rPr>
                <w:color w:val="FFFFFF" w:themeColor="background1"/>
                <w:sz w:val="14"/>
                <w:szCs w:val="14"/>
              </w:rPr>
              <w:t>Estimate of mitigation impact (not cumulative) (kt CO</w:t>
            </w:r>
            <w:r w:rsidRPr="00BD16B4">
              <w:rPr>
                <w:color w:val="FFFFFF" w:themeColor="background1"/>
                <w:sz w:val="14"/>
                <w:szCs w:val="14"/>
                <w:vertAlign w:val="subscript"/>
              </w:rPr>
              <w:t>2</w:t>
            </w:r>
            <w:r w:rsidRPr="00BD16B4">
              <w:rPr>
                <w:color w:val="FFFFFF" w:themeColor="background1"/>
                <w:sz w:val="14"/>
                <w:szCs w:val="14"/>
              </w:rPr>
              <w:t>-e) 2035</w:t>
            </w:r>
          </w:p>
        </w:tc>
      </w:tr>
      <w:tr w:rsidR="00CA1920" w:rsidRPr="00BD16B4" w14:paraId="2B33C4EF" w14:textId="77777777" w:rsidTr="000A136D">
        <w:tc>
          <w:tcPr>
            <w:tcW w:w="14572" w:type="dxa"/>
            <w:gridSpan w:val="12"/>
            <w:shd w:val="clear" w:color="auto" w:fill="D2DDE1" w:themeFill="background2"/>
          </w:tcPr>
          <w:p w14:paraId="6F3DA6C5" w14:textId="77777777" w:rsidR="00CA1920" w:rsidRPr="00BD16B4" w:rsidRDefault="00CA1920" w:rsidP="005173B2">
            <w:pPr>
              <w:pStyle w:val="TableText"/>
              <w:spacing w:before="40" w:after="40" w:line="240" w:lineRule="auto"/>
              <w:rPr>
                <w:rFonts w:cs="Calibri"/>
                <w:b/>
                <w:bCs/>
                <w:sz w:val="14"/>
                <w:szCs w:val="14"/>
              </w:rPr>
            </w:pPr>
            <w:r w:rsidRPr="00BD16B4">
              <w:rPr>
                <w:rFonts w:cs="Calibri"/>
                <w:b/>
                <w:bCs/>
                <w:sz w:val="14"/>
                <w:szCs w:val="14"/>
              </w:rPr>
              <w:t>Cross-cutting policies and measures: New Zealand’s emissions reduction plan and the New Zealand Emissions Trading Scheme</w:t>
            </w:r>
          </w:p>
        </w:tc>
      </w:tr>
      <w:tr w:rsidR="006709EC" w:rsidRPr="00BD16B4" w14:paraId="2B1C3E77" w14:textId="77777777" w:rsidTr="006709EC">
        <w:tc>
          <w:tcPr>
            <w:tcW w:w="1632" w:type="dxa"/>
            <w:shd w:val="clear" w:color="auto" w:fill="auto"/>
          </w:tcPr>
          <w:p w14:paraId="7C16D7EB"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Emissions reduction plan</w:t>
            </w:r>
          </w:p>
        </w:tc>
        <w:tc>
          <w:tcPr>
            <w:tcW w:w="1316" w:type="dxa"/>
            <w:shd w:val="clear" w:color="auto" w:fill="auto"/>
          </w:tcPr>
          <w:p w14:paraId="13663D12"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Energy, transport, agriculture, waste, IPPU, LULUCF</w:t>
            </w:r>
          </w:p>
        </w:tc>
        <w:tc>
          <w:tcPr>
            <w:tcW w:w="567" w:type="dxa"/>
            <w:shd w:val="clear" w:color="auto" w:fill="auto"/>
          </w:tcPr>
          <w:p w14:paraId="5441A831"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CO</w:t>
            </w:r>
            <w:r w:rsidRPr="00BD16B4">
              <w:rPr>
                <w:rFonts w:cs="Calibri"/>
                <w:color w:val="000000"/>
                <w:sz w:val="14"/>
                <w:szCs w:val="14"/>
                <w:vertAlign w:val="subscript"/>
              </w:rPr>
              <w:t>2</w:t>
            </w:r>
            <w:r w:rsidRPr="00BD16B4">
              <w:rPr>
                <w:rFonts w:cs="Calibri"/>
                <w:color w:val="000000"/>
                <w:sz w:val="14"/>
                <w:szCs w:val="14"/>
              </w:rPr>
              <w:t>, CH</w:t>
            </w:r>
            <w:r w:rsidRPr="00BD16B4">
              <w:rPr>
                <w:rFonts w:cs="Calibri"/>
                <w:color w:val="000000"/>
                <w:sz w:val="14"/>
                <w:szCs w:val="14"/>
                <w:vertAlign w:val="subscript"/>
              </w:rPr>
              <w:t>4</w:t>
            </w:r>
            <w:r w:rsidRPr="00BD16B4">
              <w:rPr>
                <w:rFonts w:cs="Calibri"/>
                <w:color w:val="000000"/>
                <w:sz w:val="14"/>
                <w:szCs w:val="14"/>
              </w:rPr>
              <w:t>, N</w:t>
            </w:r>
            <w:r w:rsidRPr="00BD16B4">
              <w:rPr>
                <w:rFonts w:cs="Calibri"/>
                <w:color w:val="000000"/>
                <w:sz w:val="14"/>
                <w:szCs w:val="14"/>
                <w:vertAlign w:val="subscript"/>
              </w:rPr>
              <w:t>2</w:t>
            </w:r>
            <w:r w:rsidRPr="00BD16B4">
              <w:rPr>
                <w:rFonts w:cs="Calibri"/>
                <w:color w:val="000000"/>
                <w:sz w:val="14"/>
                <w:szCs w:val="14"/>
              </w:rPr>
              <w:t>O, PFCs, HFCs, SF</w:t>
            </w:r>
            <w:r w:rsidRPr="00BD16B4">
              <w:rPr>
                <w:rFonts w:cs="Calibri"/>
                <w:color w:val="000000"/>
                <w:sz w:val="14"/>
                <w:szCs w:val="14"/>
                <w:vertAlign w:val="subscript"/>
              </w:rPr>
              <w:t>6</w:t>
            </w:r>
          </w:p>
        </w:tc>
        <w:tc>
          <w:tcPr>
            <w:tcW w:w="1701" w:type="dxa"/>
            <w:shd w:val="clear" w:color="auto" w:fill="auto"/>
          </w:tcPr>
          <w:p w14:paraId="75DE32AB"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 xml:space="preserve">Sets out over 300 actions, policies and strategies for meeting New Zealand’s first emissions budget. </w:t>
            </w:r>
          </w:p>
        </w:tc>
        <w:tc>
          <w:tcPr>
            <w:tcW w:w="1134" w:type="dxa"/>
            <w:shd w:val="clear" w:color="auto" w:fill="auto"/>
          </w:tcPr>
          <w:p w14:paraId="684AC646"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Economic, fiscal, voluntary agreement, regulatory, information, education, research</w:t>
            </w:r>
          </w:p>
        </w:tc>
        <w:tc>
          <w:tcPr>
            <w:tcW w:w="992" w:type="dxa"/>
            <w:shd w:val="clear" w:color="auto" w:fill="auto"/>
          </w:tcPr>
          <w:p w14:paraId="17A56AE3"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 xml:space="preserve">Adopted </w:t>
            </w:r>
          </w:p>
        </w:tc>
        <w:tc>
          <w:tcPr>
            <w:tcW w:w="2410" w:type="dxa"/>
            <w:shd w:val="clear" w:color="auto" w:fill="auto"/>
          </w:tcPr>
          <w:p w14:paraId="400238D1"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The policies and strategies in the emissions reduction plan form a coherent, strategic package with a mutually supportive and balanced mix of emissions pricing, well-targeted regulations, tailored sectoral policies, direct investment (public and private), innovation and mechanisms to meet our climate targets and support an equitable transition to a low-emissions economy.</w:t>
            </w:r>
          </w:p>
        </w:tc>
        <w:tc>
          <w:tcPr>
            <w:tcW w:w="567" w:type="dxa"/>
            <w:shd w:val="clear" w:color="auto" w:fill="auto"/>
          </w:tcPr>
          <w:p w14:paraId="304A862A"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2022</w:t>
            </w:r>
          </w:p>
        </w:tc>
        <w:tc>
          <w:tcPr>
            <w:tcW w:w="1701" w:type="dxa"/>
            <w:shd w:val="clear" w:color="auto" w:fill="auto"/>
          </w:tcPr>
          <w:p w14:paraId="3609C3BD"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Ministry for the Environment, Ministry for Primary Industries, Te Manatū Waka – Ministry of Transport, Ministry of Business, Innovation and Employment, The Treasury New Zealand, Ministry of Foreign Affairs and Trade, Ministry of Social Development, Ministry of Housing and Urban Development, Department of Conservation, Energy Efficiency &amp; Conversation Authority, Waka Kotahi, Kāinga Ora, Te Arawhiti, Te Puni Kōkiri, Te Waihanga, Department of Internal Affairs</w:t>
            </w:r>
          </w:p>
        </w:tc>
        <w:tc>
          <w:tcPr>
            <w:tcW w:w="851" w:type="dxa"/>
          </w:tcPr>
          <w:p w14:paraId="2FA6F244"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See the first emissions reduction plan for further details</w:t>
            </w:r>
          </w:p>
        </w:tc>
        <w:tc>
          <w:tcPr>
            <w:tcW w:w="850" w:type="dxa"/>
          </w:tcPr>
          <w:p w14:paraId="32A8F4EB"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NA</w:t>
            </w:r>
          </w:p>
        </w:tc>
        <w:tc>
          <w:tcPr>
            <w:tcW w:w="851" w:type="dxa"/>
          </w:tcPr>
          <w:p w14:paraId="16C8A986"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NA</w:t>
            </w:r>
          </w:p>
        </w:tc>
      </w:tr>
      <w:tr w:rsidR="006709EC" w:rsidRPr="00BD16B4" w14:paraId="06B06E4B" w14:textId="77777777" w:rsidTr="006709EC">
        <w:trPr>
          <w:trHeight w:val="281"/>
        </w:trPr>
        <w:tc>
          <w:tcPr>
            <w:tcW w:w="1632" w:type="dxa"/>
          </w:tcPr>
          <w:p w14:paraId="75952B53"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lastRenderedPageBreak/>
              <w:t xml:space="preserve">New Zealand Emissions Trading Scheme (NZ ETS) </w:t>
            </w:r>
          </w:p>
        </w:tc>
        <w:tc>
          <w:tcPr>
            <w:tcW w:w="1316" w:type="dxa"/>
          </w:tcPr>
          <w:p w14:paraId="76AC1605"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t>Forestry/LULUCF, energy, other (fishing), industry/ industrial processes, other (liquid fossil fuels), other (synthetic gases), waste management/ waste, agriculture</w:t>
            </w:r>
          </w:p>
        </w:tc>
        <w:tc>
          <w:tcPr>
            <w:tcW w:w="567" w:type="dxa"/>
          </w:tcPr>
          <w:p w14:paraId="42D5BC38"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t>CO</w:t>
            </w:r>
            <w:r w:rsidRPr="00BD16B4">
              <w:rPr>
                <w:rFonts w:cs="Calibri"/>
                <w:color w:val="000000"/>
                <w:sz w:val="14"/>
                <w:szCs w:val="14"/>
                <w:vertAlign w:val="subscript"/>
              </w:rPr>
              <w:t>2</w:t>
            </w:r>
            <w:r w:rsidRPr="00BD16B4">
              <w:rPr>
                <w:rFonts w:cs="Calibri"/>
                <w:color w:val="000000"/>
                <w:sz w:val="14"/>
                <w:szCs w:val="14"/>
              </w:rPr>
              <w:t>, CH</w:t>
            </w:r>
            <w:r w:rsidRPr="00BD16B4">
              <w:rPr>
                <w:rFonts w:cs="Calibri"/>
                <w:color w:val="000000"/>
                <w:sz w:val="14"/>
                <w:szCs w:val="14"/>
                <w:vertAlign w:val="subscript"/>
              </w:rPr>
              <w:t>4</w:t>
            </w:r>
            <w:r w:rsidRPr="00BD16B4">
              <w:rPr>
                <w:rFonts w:cs="Calibri"/>
                <w:color w:val="000000"/>
                <w:sz w:val="14"/>
                <w:szCs w:val="14"/>
              </w:rPr>
              <w:t>, N</w:t>
            </w:r>
            <w:r w:rsidRPr="00BD16B4">
              <w:rPr>
                <w:rFonts w:cs="Calibri"/>
                <w:color w:val="000000"/>
                <w:sz w:val="14"/>
                <w:szCs w:val="14"/>
                <w:vertAlign w:val="subscript"/>
              </w:rPr>
              <w:t>2</w:t>
            </w:r>
            <w:r w:rsidRPr="00BD16B4">
              <w:rPr>
                <w:rFonts w:cs="Calibri"/>
                <w:color w:val="000000"/>
                <w:sz w:val="14"/>
                <w:szCs w:val="14"/>
              </w:rPr>
              <w:t>O, PFCs, HFCs, SF</w:t>
            </w:r>
            <w:r w:rsidRPr="00BD16B4">
              <w:rPr>
                <w:rFonts w:cs="Calibri"/>
                <w:color w:val="000000"/>
                <w:sz w:val="14"/>
                <w:szCs w:val="14"/>
                <w:vertAlign w:val="subscript"/>
              </w:rPr>
              <w:t>6</w:t>
            </w:r>
          </w:p>
        </w:tc>
        <w:tc>
          <w:tcPr>
            <w:tcW w:w="1701" w:type="dxa"/>
          </w:tcPr>
          <w:p w14:paraId="1CA29AAB"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t>Reduce emissions by creating a market through which emitters pay for emissions covered by the scheme.</w:t>
            </w:r>
          </w:p>
        </w:tc>
        <w:tc>
          <w:tcPr>
            <w:tcW w:w="1134" w:type="dxa"/>
          </w:tcPr>
          <w:p w14:paraId="2514624C"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t>Economic, regulatory</w:t>
            </w:r>
          </w:p>
        </w:tc>
        <w:tc>
          <w:tcPr>
            <w:tcW w:w="992" w:type="dxa"/>
          </w:tcPr>
          <w:p w14:paraId="1A0BBEBA"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t>Implemented (WEM, WAM)</w:t>
            </w:r>
          </w:p>
        </w:tc>
        <w:tc>
          <w:tcPr>
            <w:tcW w:w="2410" w:type="dxa"/>
          </w:tcPr>
          <w:p w14:paraId="4FA09320"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themeColor="text1"/>
                <w:sz w:val="14"/>
                <w:szCs w:val="14"/>
              </w:rPr>
              <w:t xml:space="preserve">The NZ ETS requires upstream entities, such as fuel suppliers and large emitters, to pay emissions units (NZUs) to the Government for their activities that result in emissions. It also rewards entities that remove carbon from the atmosphere – which for New Zealand is predominantly through forestry sequestration. A reducing cap on emissions, and the expectation of a rising NZU price shapes future economic development by encouraging alignment of investment decisions with a low-carbon economy and influencing technology choices towards low-emissions alternatives. The NZ ETS places a price signal on the stationary energy, liquid fossil fuel, industrial process, synthetic greenhouse gas, waste and forestry sectors. </w:t>
            </w:r>
            <w:r w:rsidRPr="00BD16B4">
              <w:rPr>
                <w:rFonts w:cs="Calibri"/>
                <w:color w:val="000000"/>
                <w:sz w:val="14"/>
                <w:szCs w:val="14"/>
              </w:rPr>
              <w:t>There has been a phased entry of sectors since 2008.</w:t>
            </w:r>
          </w:p>
        </w:tc>
        <w:tc>
          <w:tcPr>
            <w:tcW w:w="567" w:type="dxa"/>
          </w:tcPr>
          <w:p w14:paraId="5E391D3F"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t>2008</w:t>
            </w:r>
          </w:p>
        </w:tc>
        <w:tc>
          <w:tcPr>
            <w:tcW w:w="1701" w:type="dxa"/>
          </w:tcPr>
          <w:p w14:paraId="5023E5EF"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t>Environmental Protection Authority, Ministry for the Environment, Ministry for Primary Industries</w:t>
            </w:r>
          </w:p>
        </w:tc>
        <w:tc>
          <w:tcPr>
            <w:tcW w:w="851" w:type="dxa"/>
          </w:tcPr>
          <w:p w14:paraId="0C38D8D2"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2,520.4</w:t>
            </w:r>
          </w:p>
        </w:tc>
        <w:tc>
          <w:tcPr>
            <w:tcW w:w="850" w:type="dxa"/>
          </w:tcPr>
          <w:p w14:paraId="7BE29F57"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4,419.1</w:t>
            </w:r>
          </w:p>
        </w:tc>
        <w:tc>
          <w:tcPr>
            <w:tcW w:w="851" w:type="dxa"/>
          </w:tcPr>
          <w:p w14:paraId="4007CF81"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5,638.6</w:t>
            </w:r>
            <w:r w:rsidRPr="00BD16B4">
              <w:rPr>
                <w:rStyle w:val="FootnoteReference"/>
                <w:rFonts w:cs="Calibri"/>
                <w:sz w:val="14"/>
                <w:szCs w:val="14"/>
              </w:rPr>
              <w:footnoteReference w:id="214"/>
            </w:r>
          </w:p>
        </w:tc>
      </w:tr>
      <w:tr w:rsidR="00CA1920" w:rsidRPr="00BD16B4" w14:paraId="15F4A4D6" w14:textId="77777777" w:rsidTr="00D35A28">
        <w:trPr>
          <w:cantSplit/>
        </w:trPr>
        <w:tc>
          <w:tcPr>
            <w:tcW w:w="14572" w:type="dxa"/>
            <w:gridSpan w:val="12"/>
            <w:shd w:val="clear" w:color="auto" w:fill="D2DDE1" w:themeFill="background2"/>
          </w:tcPr>
          <w:p w14:paraId="3983F256" w14:textId="77777777" w:rsidR="00CA1920" w:rsidRPr="00BD16B4" w:rsidRDefault="00CA1920" w:rsidP="005173B2">
            <w:pPr>
              <w:pStyle w:val="TableText"/>
              <w:keepNext/>
              <w:spacing w:before="40" w:after="40" w:line="240" w:lineRule="auto"/>
              <w:rPr>
                <w:rFonts w:cs="Calibri"/>
                <w:b/>
                <w:bCs/>
                <w:sz w:val="14"/>
                <w:szCs w:val="14"/>
              </w:rPr>
            </w:pPr>
            <w:r w:rsidRPr="00BD16B4">
              <w:rPr>
                <w:rFonts w:cs="Calibri"/>
                <w:b/>
                <w:bCs/>
                <w:sz w:val="14"/>
                <w:szCs w:val="14"/>
              </w:rPr>
              <w:t>Cross-cutting policies and measures: dedicated funding and finance initiatives</w:t>
            </w:r>
          </w:p>
        </w:tc>
      </w:tr>
      <w:tr w:rsidR="006709EC" w:rsidRPr="00BD16B4" w14:paraId="6CEFF97D" w14:textId="77777777" w:rsidTr="006709EC">
        <w:tc>
          <w:tcPr>
            <w:tcW w:w="1632" w:type="dxa"/>
          </w:tcPr>
          <w:p w14:paraId="6564662E" w14:textId="77777777" w:rsidR="00CA1920" w:rsidRPr="00BD16B4" w:rsidRDefault="00CA1920" w:rsidP="002D166E">
            <w:pPr>
              <w:spacing w:before="40" w:after="40" w:line="240" w:lineRule="auto"/>
              <w:jc w:val="left"/>
              <w:rPr>
                <w:rFonts w:cs="Calibri"/>
                <w:sz w:val="14"/>
                <w:szCs w:val="14"/>
                <w:lang w:eastAsia="en-US"/>
              </w:rPr>
            </w:pPr>
            <w:r w:rsidRPr="00BD16B4">
              <w:rPr>
                <w:rFonts w:cs="Calibri"/>
                <w:sz w:val="14"/>
                <w:szCs w:val="14"/>
                <w:lang w:eastAsia="en-US"/>
              </w:rPr>
              <w:t>Climate Emergency Response Fund</w:t>
            </w:r>
            <w:r w:rsidRPr="00BD16B4">
              <w:rPr>
                <w:sz w:val="14"/>
                <w:szCs w:val="14"/>
                <w:lang w:eastAsia="en-US"/>
              </w:rPr>
              <w:t xml:space="preserve"> (</w:t>
            </w:r>
            <w:r w:rsidRPr="00BD16B4">
              <w:rPr>
                <w:rFonts w:cs="Calibri"/>
                <w:sz w:val="14"/>
                <w:szCs w:val="14"/>
                <w:lang w:eastAsia="en-US"/>
              </w:rPr>
              <w:t>CERF)</w:t>
            </w:r>
          </w:p>
        </w:tc>
        <w:tc>
          <w:tcPr>
            <w:tcW w:w="1316" w:type="dxa"/>
          </w:tcPr>
          <w:p w14:paraId="57B0D4A4"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lang w:eastAsia="en-US"/>
              </w:rPr>
              <w:t>Transport, energy, agriculture, forestry</w:t>
            </w:r>
          </w:p>
        </w:tc>
        <w:tc>
          <w:tcPr>
            <w:tcW w:w="567" w:type="dxa"/>
          </w:tcPr>
          <w:p w14:paraId="35DA80EE"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t>CO</w:t>
            </w:r>
            <w:r w:rsidRPr="00BD16B4">
              <w:rPr>
                <w:rFonts w:cs="Calibri"/>
                <w:color w:val="000000"/>
                <w:sz w:val="14"/>
                <w:szCs w:val="14"/>
                <w:vertAlign w:val="subscript"/>
              </w:rPr>
              <w:t>2</w:t>
            </w:r>
            <w:r w:rsidRPr="00BD16B4">
              <w:rPr>
                <w:rFonts w:cs="Calibri"/>
                <w:color w:val="000000"/>
                <w:sz w:val="14"/>
                <w:szCs w:val="14"/>
              </w:rPr>
              <w:t>, CH</w:t>
            </w:r>
            <w:r w:rsidRPr="00BD16B4">
              <w:rPr>
                <w:rFonts w:cs="Calibri"/>
                <w:color w:val="000000"/>
                <w:sz w:val="14"/>
                <w:szCs w:val="14"/>
                <w:vertAlign w:val="subscript"/>
              </w:rPr>
              <w:t>4</w:t>
            </w:r>
            <w:r w:rsidRPr="00BD16B4">
              <w:rPr>
                <w:rFonts w:cs="Calibri"/>
                <w:color w:val="000000"/>
                <w:sz w:val="14"/>
                <w:szCs w:val="14"/>
              </w:rPr>
              <w:t>, N</w:t>
            </w:r>
            <w:r w:rsidRPr="00BD16B4">
              <w:rPr>
                <w:rFonts w:cs="Calibri"/>
                <w:color w:val="000000"/>
                <w:sz w:val="14"/>
                <w:szCs w:val="14"/>
                <w:vertAlign w:val="subscript"/>
              </w:rPr>
              <w:t>2</w:t>
            </w:r>
            <w:r w:rsidRPr="00BD16B4">
              <w:rPr>
                <w:rFonts w:cs="Calibri"/>
                <w:color w:val="000000"/>
                <w:sz w:val="14"/>
                <w:szCs w:val="14"/>
              </w:rPr>
              <w:t>O</w:t>
            </w:r>
          </w:p>
        </w:tc>
        <w:tc>
          <w:tcPr>
            <w:tcW w:w="1701" w:type="dxa"/>
            <w:shd w:val="clear" w:color="auto" w:fill="auto"/>
          </w:tcPr>
          <w:p w14:paraId="1A90ECC6"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lang w:eastAsia="en-US"/>
              </w:rPr>
              <w:t>The CERF is a dedicated funding source for public investment on climate-related initiatives.</w:t>
            </w:r>
          </w:p>
        </w:tc>
        <w:tc>
          <w:tcPr>
            <w:tcW w:w="1134" w:type="dxa"/>
            <w:shd w:val="clear" w:color="auto" w:fill="auto"/>
          </w:tcPr>
          <w:p w14:paraId="44D83841"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lang w:eastAsia="en-US"/>
              </w:rPr>
              <w:t xml:space="preserve">Fiscal </w:t>
            </w:r>
          </w:p>
        </w:tc>
        <w:tc>
          <w:tcPr>
            <w:tcW w:w="992" w:type="dxa"/>
          </w:tcPr>
          <w:p w14:paraId="35F2E4AA" w14:textId="77777777" w:rsidR="00CA1920" w:rsidRPr="00BD16B4" w:rsidRDefault="00CA1920" w:rsidP="002D166E">
            <w:pPr>
              <w:pStyle w:val="TableText"/>
              <w:spacing w:before="40" w:after="40" w:line="240" w:lineRule="auto"/>
              <w:jc w:val="center"/>
              <w:rPr>
                <w:rFonts w:cs="Calibri"/>
                <w:sz w:val="14"/>
                <w:szCs w:val="14"/>
                <w:lang w:eastAsia="en-US"/>
              </w:rPr>
            </w:pPr>
            <w:r w:rsidRPr="00BD16B4">
              <w:rPr>
                <w:rFonts w:cs="Calibri"/>
                <w:sz w:val="14"/>
                <w:szCs w:val="14"/>
                <w:lang w:eastAsia="en-US"/>
              </w:rPr>
              <w:t>Implemented</w:t>
            </w:r>
          </w:p>
        </w:tc>
        <w:tc>
          <w:tcPr>
            <w:tcW w:w="2410" w:type="dxa"/>
          </w:tcPr>
          <w:p w14:paraId="423B1970" w14:textId="77777777" w:rsidR="00CA1920" w:rsidRPr="00BD16B4" w:rsidRDefault="00CA1920" w:rsidP="002D166E">
            <w:pPr>
              <w:pStyle w:val="TableText"/>
              <w:spacing w:before="40" w:after="40" w:line="240" w:lineRule="auto"/>
              <w:rPr>
                <w:sz w:val="14"/>
                <w:szCs w:val="14"/>
                <w:lang w:eastAsia="en-US"/>
              </w:rPr>
            </w:pPr>
            <w:r w:rsidRPr="00BD16B4">
              <w:rPr>
                <w:sz w:val="14"/>
                <w:szCs w:val="14"/>
                <w:lang w:eastAsia="en-US"/>
              </w:rPr>
              <w:t>The CERF is a Budget funding mechanism to support the Government’s climate spending.</w:t>
            </w:r>
          </w:p>
          <w:p w14:paraId="6DD312AE" w14:textId="77777777" w:rsidR="00730D2D" w:rsidRPr="00BD16B4" w:rsidRDefault="00CA1920" w:rsidP="002D166E">
            <w:pPr>
              <w:pStyle w:val="TableText"/>
              <w:spacing w:before="40" w:after="40" w:line="240" w:lineRule="auto"/>
              <w:rPr>
                <w:sz w:val="14"/>
                <w:szCs w:val="14"/>
                <w:lang w:eastAsia="en-US"/>
              </w:rPr>
            </w:pPr>
            <w:r w:rsidRPr="00BD16B4">
              <w:rPr>
                <w:sz w:val="14"/>
                <w:szCs w:val="14"/>
                <w:lang w:eastAsia="en-US"/>
              </w:rPr>
              <w:t xml:space="preserve">The abatement impact of the policies and measures in the emissions reduction plan has been quantified as 95–228 Mt across the first, second and third emissions budget periods, reflecting a range of low to high impacts of policies and measures. The investments made through the CERF in Budget 2022 are estimated to drive 52–70% of this abatement. </w:t>
            </w:r>
          </w:p>
          <w:p w14:paraId="704BA2B2" w14:textId="3881FCFC" w:rsidR="00CA1920" w:rsidRPr="00BD16B4" w:rsidRDefault="00CA1920" w:rsidP="002D166E">
            <w:pPr>
              <w:pStyle w:val="TableText"/>
              <w:spacing w:before="40" w:after="40" w:line="240" w:lineRule="auto"/>
              <w:rPr>
                <w:rFonts w:cs="Calibri"/>
                <w:sz w:val="14"/>
                <w:szCs w:val="14"/>
                <w:lang w:eastAsia="en-US"/>
              </w:rPr>
            </w:pPr>
            <w:r w:rsidRPr="00BD16B4">
              <w:rPr>
                <w:sz w:val="14"/>
                <w:szCs w:val="14"/>
                <w:lang w:eastAsia="en-US"/>
              </w:rPr>
              <w:lastRenderedPageBreak/>
              <w:t>In the first emissions budget period, emissions reduction plan policies and measures have been quantified to drive 5.4–11.9Mt of abatement, of which funding from the CERF in Budget 2022 is estimated to support 21–34%.</w:t>
            </w:r>
          </w:p>
        </w:tc>
        <w:tc>
          <w:tcPr>
            <w:tcW w:w="567" w:type="dxa"/>
          </w:tcPr>
          <w:p w14:paraId="20AD6BAB"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lang w:eastAsia="en-US"/>
              </w:rPr>
              <w:lastRenderedPageBreak/>
              <w:t>2021</w:t>
            </w:r>
          </w:p>
        </w:tc>
        <w:tc>
          <w:tcPr>
            <w:tcW w:w="1701" w:type="dxa"/>
          </w:tcPr>
          <w:p w14:paraId="38085344"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lang w:eastAsia="en-US"/>
              </w:rPr>
              <w:t>The Treasury</w:t>
            </w:r>
          </w:p>
        </w:tc>
        <w:tc>
          <w:tcPr>
            <w:tcW w:w="851" w:type="dxa"/>
          </w:tcPr>
          <w:p w14:paraId="326F30DE"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tcPr>
          <w:p w14:paraId="6EB29454"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tcPr>
          <w:p w14:paraId="53F158FE"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6709EC" w:rsidRPr="00BD16B4" w14:paraId="71E63781" w14:textId="77777777" w:rsidTr="006709EC">
        <w:tc>
          <w:tcPr>
            <w:tcW w:w="1632" w:type="dxa"/>
          </w:tcPr>
          <w:p w14:paraId="4D431BDB" w14:textId="77777777" w:rsidR="00CA1920" w:rsidRPr="00BD16B4" w:rsidRDefault="00CA1920" w:rsidP="002D166E">
            <w:pPr>
              <w:spacing w:before="40" w:after="40" w:line="240" w:lineRule="auto"/>
              <w:jc w:val="left"/>
              <w:rPr>
                <w:rFonts w:cs="Calibri"/>
                <w:color w:val="000000"/>
                <w:sz w:val="14"/>
                <w:szCs w:val="14"/>
              </w:rPr>
            </w:pPr>
            <w:r w:rsidRPr="00BD16B4">
              <w:rPr>
                <w:rFonts w:cs="Calibri"/>
                <w:color w:val="000000"/>
                <w:sz w:val="14"/>
                <w:szCs w:val="14"/>
              </w:rPr>
              <w:t>New Zealand’s Sovereign Green Bond Programme</w:t>
            </w:r>
          </w:p>
        </w:tc>
        <w:tc>
          <w:tcPr>
            <w:tcW w:w="1316" w:type="dxa"/>
          </w:tcPr>
          <w:p w14:paraId="22908CAF" w14:textId="77777777" w:rsidR="00CA1920" w:rsidRPr="00BD16B4" w:rsidRDefault="00CA1920" w:rsidP="002D166E">
            <w:pPr>
              <w:pStyle w:val="TableText"/>
              <w:spacing w:before="40" w:after="40" w:line="240" w:lineRule="auto"/>
              <w:rPr>
                <w:rFonts w:cs="Calibri"/>
                <w:sz w:val="14"/>
                <w:szCs w:val="14"/>
                <w:lang w:eastAsia="en-US"/>
              </w:rPr>
            </w:pPr>
            <w:r w:rsidRPr="00BD16B4">
              <w:rPr>
                <w:sz w:val="14"/>
                <w:szCs w:val="14"/>
                <w:lang w:eastAsia="en-US"/>
              </w:rPr>
              <w:t>Energy, transport, agriculture, forestry, waste</w:t>
            </w:r>
          </w:p>
        </w:tc>
        <w:tc>
          <w:tcPr>
            <w:tcW w:w="567" w:type="dxa"/>
          </w:tcPr>
          <w:p w14:paraId="1E71CD2C"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t>CO</w:t>
            </w:r>
            <w:r w:rsidRPr="00BD16B4">
              <w:rPr>
                <w:rFonts w:cs="Calibri"/>
                <w:color w:val="000000"/>
                <w:sz w:val="14"/>
                <w:szCs w:val="14"/>
                <w:vertAlign w:val="subscript"/>
              </w:rPr>
              <w:t>2</w:t>
            </w:r>
            <w:r w:rsidRPr="00BD16B4">
              <w:rPr>
                <w:rFonts w:cs="Calibri"/>
                <w:color w:val="000000"/>
                <w:sz w:val="14"/>
                <w:szCs w:val="14"/>
              </w:rPr>
              <w:t>, CH</w:t>
            </w:r>
            <w:r w:rsidRPr="00BD16B4">
              <w:rPr>
                <w:rFonts w:cs="Calibri"/>
                <w:color w:val="000000"/>
                <w:sz w:val="14"/>
                <w:szCs w:val="14"/>
                <w:vertAlign w:val="subscript"/>
              </w:rPr>
              <w:t>4</w:t>
            </w:r>
            <w:r w:rsidRPr="00BD16B4">
              <w:rPr>
                <w:rFonts w:cs="Calibri"/>
                <w:color w:val="000000"/>
                <w:sz w:val="14"/>
                <w:szCs w:val="14"/>
              </w:rPr>
              <w:t>, N</w:t>
            </w:r>
            <w:r w:rsidRPr="00BD16B4">
              <w:rPr>
                <w:rFonts w:cs="Calibri"/>
                <w:color w:val="000000"/>
                <w:sz w:val="14"/>
                <w:szCs w:val="14"/>
                <w:vertAlign w:val="subscript"/>
              </w:rPr>
              <w:t>2</w:t>
            </w:r>
            <w:r w:rsidRPr="00BD16B4">
              <w:rPr>
                <w:rFonts w:cs="Calibri"/>
                <w:color w:val="000000"/>
                <w:sz w:val="14"/>
                <w:szCs w:val="14"/>
              </w:rPr>
              <w:t>O, PFCs, HFCs, SF</w:t>
            </w:r>
            <w:r w:rsidRPr="00BD16B4">
              <w:rPr>
                <w:rFonts w:cs="Calibri"/>
                <w:color w:val="000000"/>
                <w:sz w:val="14"/>
                <w:szCs w:val="14"/>
                <w:vertAlign w:val="subscript"/>
              </w:rPr>
              <w:t>6</w:t>
            </w:r>
          </w:p>
        </w:tc>
        <w:tc>
          <w:tcPr>
            <w:tcW w:w="1701" w:type="dxa"/>
          </w:tcPr>
          <w:p w14:paraId="0ED8E249" w14:textId="77777777" w:rsidR="00CA1920" w:rsidRPr="00BD16B4" w:rsidRDefault="00CA1920" w:rsidP="002D166E">
            <w:pPr>
              <w:pStyle w:val="TableText"/>
              <w:spacing w:before="40" w:after="40" w:line="240" w:lineRule="auto"/>
              <w:rPr>
                <w:rFonts w:cs="Calibri"/>
                <w:sz w:val="14"/>
                <w:szCs w:val="14"/>
                <w:lang w:eastAsia="en-US"/>
              </w:rPr>
            </w:pPr>
            <w:r w:rsidRPr="00BD16B4">
              <w:rPr>
                <w:sz w:val="14"/>
                <w:szCs w:val="14"/>
                <w:lang w:eastAsia="en-US"/>
              </w:rPr>
              <w:t xml:space="preserve">Finance or re-finance specific government projects with positive climate and environmental government impacts. </w:t>
            </w:r>
          </w:p>
        </w:tc>
        <w:tc>
          <w:tcPr>
            <w:tcW w:w="1134" w:type="dxa"/>
          </w:tcPr>
          <w:p w14:paraId="316DC112"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lang w:eastAsia="en-US"/>
              </w:rPr>
              <w:t xml:space="preserve">Fiscal </w:t>
            </w:r>
          </w:p>
        </w:tc>
        <w:tc>
          <w:tcPr>
            <w:tcW w:w="992" w:type="dxa"/>
          </w:tcPr>
          <w:p w14:paraId="5A948C01" w14:textId="77777777" w:rsidR="00CA1920" w:rsidRPr="00BD16B4" w:rsidRDefault="00CA1920" w:rsidP="002D166E">
            <w:pPr>
              <w:pStyle w:val="TableText"/>
              <w:spacing w:before="40" w:after="40" w:line="240" w:lineRule="auto"/>
              <w:jc w:val="center"/>
              <w:rPr>
                <w:rFonts w:cs="Calibri"/>
                <w:sz w:val="14"/>
                <w:szCs w:val="14"/>
                <w:lang w:eastAsia="en-US"/>
              </w:rPr>
            </w:pPr>
            <w:r w:rsidRPr="00BD16B4">
              <w:rPr>
                <w:rFonts w:cs="Calibri"/>
                <w:sz w:val="14"/>
                <w:szCs w:val="14"/>
                <w:lang w:eastAsia="en-US"/>
              </w:rPr>
              <w:t>Implemented</w:t>
            </w:r>
          </w:p>
        </w:tc>
        <w:tc>
          <w:tcPr>
            <w:tcW w:w="2410" w:type="dxa"/>
          </w:tcPr>
          <w:p w14:paraId="0FCBF29C" w14:textId="77777777" w:rsidR="00CA1920" w:rsidRPr="00BD16B4" w:rsidRDefault="00CA1920" w:rsidP="002D166E">
            <w:pPr>
              <w:pStyle w:val="TableText"/>
              <w:spacing w:before="40" w:after="40" w:line="240" w:lineRule="auto"/>
              <w:rPr>
                <w:rFonts w:cs="Calibri"/>
                <w:sz w:val="14"/>
                <w:szCs w:val="14"/>
                <w:lang w:eastAsia="en-US"/>
              </w:rPr>
            </w:pPr>
            <w:r w:rsidRPr="00BD16B4">
              <w:rPr>
                <w:sz w:val="14"/>
                <w:szCs w:val="14"/>
                <w:lang w:eastAsia="en-US"/>
              </w:rPr>
              <w:t>Green Bonds provide financing for existing expenditures with positive climate and environmental outcomes. Design of the Green Bond Programme has been informed by international best practice and incorporates New Zealand–specific elements. Alongside Nominal Bonds and Inflation-Indexed Bonds, Green Bonds are expected to be an important and enduring part of the New Zealand Government Bond portfolio. Green Bonds will help ensure high-quality government projects with robust environmental outcomes are financed, delivered, monitored and reported on.</w:t>
            </w:r>
          </w:p>
        </w:tc>
        <w:tc>
          <w:tcPr>
            <w:tcW w:w="567" w:type="dxa"/>
          </w:tcPr>
          <w:p w14:paraId="1E2701E5"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lang w:eastAsia="en-US"/>
              </w:rPr>
              <w:t>2022</w:t>
            </w:r>
          </w:p>
        </w:tc>
        <w:tc>
          <w:tcPr>
            <w:tcW w:w="1701" w:type="dxa"/>
          </w:tcPr>
          <w:p w14:paraId="59808302"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lang w:eastAsia="en-US"/>
              </w:rPr>
              <w:t>The Treasury</w:t>
            </w:r>
          </w:p>
        </w:tc>
        <w:tc>
          <w:tcPr>
            <w:tcW w:w="851" w:type="dxa"/>
          </w:tcPr>
          <w:p w14:paraId="322ED53E"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tcPr>
          <w:p w14:paraId="49B78C7B"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tcPr>
          <w:p w14:paraId="2195262C"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6709EC" w:rsidRPr="00BD16B4" w14:paraId="7A0F8623" w14:textId="77777777" w:rsidTr="006709EC">
        <w:trPr>
          <w:cantSplit/>
          <w:trHeight w:val="281"/>
        </w:trPr>
        <w:tc>
          <w:tcPr>
            <w:tcW w:w="1632" w:type="dxa"/>
          </w:tcPr>
          <w:p w14:paraId="27EC41AE" w14:textId="77777777" w:rsidR="00CA1920" w:rsidRPr="00BD16B4" w:rsidRDefault="00CA1920" w:rsidP="002D166E">
            <w:pPr>
              <w:spacing w:before="40" w:after="40" w:line="240" w:lineRule="auto"/>
              <w:jc w:val="left"/>
              <w:rPr>
                <w:rFonts w:cs="Calibri"/>
                <w:color w:val="000000"/>
                <w:sz w:val="14"/>
                <w:szCs w:val="14"/>
              </w:rPr>
            </w:pPr>
            <w:r w:rsidRPr="00BD16B4">
              <w:rPr>
                <w:color w:val="000000"/>
                <w:sz w:val="14"/>
                <w:szCs w:val="14"/>
                <w:lang w:eastAsia="en-US"/>
              </w:rPr>
              <w:t>New Zealand Green Investment Finance Limited (NZGIF)</w:t>
            </w:r>
          </w:p>
        </w:tc>
        <w:tc>
          <w:tcPr>
            <w:tcW w:w="1316" w:type="dxa"/>
          </w:tcPr>
          <w:p w14:paraId="2DA086C1" w14:textId="77777777" w:rsidR="00CA1920" w:rsidRPr="00BD16B4" w:rsidRDefault="00CA1920" w:rsidP="002D166E">
            <w:pPr>
              <w:pStyle w:val="TableText"/>
              <w:spacing w:before="40" w:after="40" w:line="240" w:lineRule="auto"/>
              <w:rPr>
                <w:rFonts w:cs="Calibri"/>
                <w:sz w:val="14"/>
                <w:szCs w:val="14"/>
                <w:lang w:eastAsia="en-US"/>
              </w:rPr>
            </w:pPr>
            <w:r w:rsidRPr="00BD16B4">
              <w:rPr>
                <w:color w:val="000000"/>
                <w:sz w:val="14"/>
                <w:szCs w:val="14"/>
              </w:rPr>
              <w:t>Various</w:t>
            </w:r>
          </w:p>
        </w:tc>
        <w:tc>
          <w:tcPr>
            <w:tcW w:w="567" w:type="dxa"/>
          </w:tcPr>
          <w:p w14:paraId="025E6C17"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t>CO</w:t>
            </w:r>
            <w:r w:rsidRPr="00BD16B4">
              <w:rPr>
                <w:rFonts w:cs="Calibri"/>
                <w:color w:val="000000"/>
                <w:sz w:val="14"/>
                <w:szCs w:val="14"/>
                <w:vertAlign w:val="subscript"/>
              </w:rPr>
              <w:t>2</w:t>
            </w:r>
            <w:r w:rsidRPr="00BD16B4">
              <w:rPr>
                <w:rFonts w:cs="Calibri"/>
                <w:color w:val="000000"/>
                <w:sz w:val="14"/>
                <w:szCs w:val="14"/>
              </w:rPr>
              <w:t>, CH</w:t>
            </w:r>
            <w:r w:rsidRPr="00BD16B4">
              <w:rPr>
                <w:rFonts w:cs="Calibri"/>
                <w:color w:val="000000"/>
                <w:sz w:val="14"/>
                <w:szCs w:val="14"/>
                <w:vertAlign w:val="subscript"/>
              </w:rPr>
              <w:t>4</w:t>
            </w:r>
            <w:r w:rsidRPr="00BD16B4">
              <w:rPr>
                <w:rFonts w:cs="Calibri"/>
                <w:color w:val="000000"/>
                <w:sz w:val="14"/>
                <w:szCs w:val="14"/>
              </w:rPr>
              <w:t>, N</w:t>
            </w:r>
            <w:r w:rsidRPr="00BD16B4">
              <w:rPr>
                <w:rFonts w:cs="Calibri"/>
                <w:color w:val="000000"/>
                <w:sz w:val="14"/>
                <w:szCs w:val="14"/>
                <w:vertAlign w:val="subscript"/>
              </w:rPr>
              <w:t>2</w:t>
            </w:r>
            <w:r w:rsidRPr="00BD16B4">
              <w:rPr>
                <w:rFonts w:cs="Calibri"/>
                <w:color w:val="000000"/>
                <w:sz w:val="14"/>
                <w:szCs w:val="14"/>
              </w:rPr>
              <w:t>O, PFCs, HFCs, SF</w:t>
            </w:r>
            <w:r w:rsidRPr="00BD16B4">
              <w:rPr>
                <w:rFonts w:cs="Calibri"/>
                <w:color w:val="000000"/>
                <w:sz w:val="14"/>
                <w:szCs w:val="14"/>
                <w:vertAlign w:val="subscript"/>
              </w:rPr>
              <w:t>6</w:t>
            </w:r>
            <w:r w:rsidRPr="00BD16B4">
              <w:rPr>
                <w:sz w:val="14"/>
                <w:szCs w:val="14"/>
                <w:lang w:eastAsia="en-US"/>
              </w:rPr>
              <w:t xml:space="preserve"> </w:t>
            </w:r>
          </w:p>
        </w:tc>
        <w:tc>
          <w:tcPr>
            <w:tcW w:w="1701" w:type="dxa"/>
          </w:tcPr>
          <w:p w14:paraId="7B6556E3" w14:textId="77777777" w:rsidR="00CA1920" w:rsidRPr="00BD16B4" w:rsidRDefault="00CA1920" w:rsidP="002D166E">
            <w:pPr>
              <w:pStyle w:val="TableText"/>
              <w:spacing w:before="40" w:after="40" w:line="240" w:lineRule="auto"/>
              <w:rPr>
                <w:sz w:val="14"/>
                <w:szCs w:val="14"/>
                <w:lang w:eastAsia="en-US"/>
              </w:rPr>
            </w:pPr>
            <w:r w:rsidRPr="00BD16B4">
              <w:rPr>
                <w:sz w:val="14"/>
                <w:szCs w:val="14"/>
                <w:lang w:eastAsia="en-US"/>
              </w:rPr>
              <w:t>Invest in climate mitigating technologies.</w:t>
            </w:r>
          </w:p>
          <w:p w14:paraId="79C34CEE" w14:textId="77777777" w:rsidR="00CA1920" w:rsidRPr="00BD16B4" w:rsidRDefault="00CA1920" w:rsidP="002D166E">
            <w:pPr>
              <w:pStyle w:val="TableBullet"/>
              <w:spacing w:after="40" w:line="240" w:lineRule="auto"/>
              <w:ind w:left="170" w:hanging="170"/>
              <w:rPr>
                <w:sz w:val="14"/>
                <w:szCs w:val="14"/>
                <w:lang w:eastAsia="en-US"/>
              </w:rPr>
            </w:pPr>
            <w:r w:rsidRPr="00BD16B4">
              <w:rPr>
                <w:sz w:val="14"/>
                <w:szCs w:val="14"/>
                <w:lang w:eastAsia="en-US"/>
              </w:rPr>
              <w:t>Invest to reduce emissions.</w:t>
            </w:r>
          </w:p>
          <w:p w14:paraId="546B5127" w14:textId="77777777" w:rsidR="00CA1920" w:rsidRPr="00BD16B4" w:rsidRDefault="00CA1920" w:rsidP="002D166E">
            <w:pPr>
              <w:pStyle w:val="TableBullet"/>
              <w:spacing w:after="40" w:line="240" w:lineRule="auto"/>
              <w:ind w:left="170" w:hanging="170"/>
              <w:rPr>
                <w:sz w:val="14"/>
                <w:szCs w:val="14"/>
                <w:lang w:eastAsia="en-US"/>
              </w:rPr>
            </w:pPr>
            <w:r w:rsidRPr="00BD16B4">
              <w:rPr>
                <w:sz w:val="14"/>
                <w:szCs w:val="14"/>
                <w:lang w:eastAsia="en-US"/>
              </w:rPr>
              <w:t>Invest on a commercial basis.</w:t>
            </w:r>
          </w:p>
          <w:p w14:paraId="34152766" w14:textId="77777777" w:rsidR="00CA1920" w:rsidRPr="00BD16B4" w:rsidRDefault="00CA1920" w:rsidP="002D166E">
            <w:pPr>
              <w:pStyle w:val="TableBullet"/>
              <w:spacing w:after="40" w:line="240" w:lineRule="auto"/>
              <w:ind w:left="170" w:hanging="170"/>
              <w:rPr>
                <w:sz w:val="14"/>
                <w:szCs w:val="14"/>
                <w:lang w:eastAsia="en-US"/>
              </w:rPr>
            </w:pPr>
            <w:r w:rsidRPr="00BD16B4">
              <w:rPr>
                <w:sz w:val="14"/>
                <w:szCs w:val="14"/>
                <w:lang w:eastAsia="en-US"/>
              </w:rPr>
              <w:t>Crowd-in private capital.</w:t>
            </w:r>
          </w:p>
          <w:p w14:paraId="2A9552EA" w14:textId="77777777" w:rsidR="00CA1920" w:rsidRPr="00BD16B4" w:rsidRDefault="00CA1920" w:rsidP="002D166E">
            <w:pPr>
              <w:pStyle w:val="TableBullet"/>
              <w:spacing w:after="40" w:line="240" w:lineRule="auto"/>
              <w:ind w:left="170" w:hanging="170"/>
              <w:rPr>
                <w:rFonts w:cs="Calibri"/>
                <w:lang w:eastAsia="en-US"/>
              </w:rPr>
            </w:pPr>
            <w:r w:rsidRPr="00BD16B4">
              <w:rPr>
                <w:sz w:val="14"/>
                <w:szCs w:val="14"/>
                <w:lang w:eastAsia="en-US"/>
              </w:rPr>
              <w:t>Show market leadership.</w:t>
            </w:r>
          </w:p>
        </w:tc>
        <w:tc>
          <w:tcPr>
            <w:tcW w:w="1134" w:type="dxa"/>
          </w:tcPr>
          <w:p w14:paraId="3D9AB333"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lang w:eastAsia="en-US"/>
              </w:rPr>
              <w:t xml:space="preserve">Fiscal </w:t>
            </w:r>
          </w:p>
        </w:tc>
        <w:tc>
          <w:tcPr>
            <w:tcW w:w="992" w:type="dxa"/>
          </w:tcPr>
          <w:p w14:paraId="72D97D59" w14:textId="77777777" w:rsidR="00CA1920" w:rsidRPr="00BD16B4" w:rsidRDefault="00CA1920" w:rsidP="002D166E">
            <w:pPr>
              <w:pStyle w:val="TableText"/>
              <w:spacing w:before="40" w:after="40" w:line="240" w:lineRule="auto"/>
              <w:jc w:val="center"/>
              <w:rPr>
                <w:rFonts w:cs="Calibri"/>
                <w:sz w:val="14"/>
                <w:szCs w:val="14"/>
                <w:lang w:eastAsia="en-US"/>
              </w:rPr>
            </w:pPr>
            <w:r w:rsidRPr="00BD16B4">
              <w:rPr>
                <w:rFonts w:cs="Calibri"/>
                <w:sz w:val="14"/>
                <w:szCs w:val="14"/>
                <w:lang w:eastAsia="en-US"/>
              </w:rPr>
              <w:t>Implemented</w:t>
            </w:r>
          </w:p>
        </w:tc>
        <w:tc>
          <w:tcPr>
            <w:tcW w:w="2410" w:type="dxa"/>
          </w:tcPr>
          <w:p w14:paraId="1CAAA6A9" w14:textId="77777777" w:rsidR="00CA1920" w:rsidRPr="00BD16B4" w:rsidRDefault="00CA1920" w:rsidP="002D166E">
            <w:pPr>
              <w:pStyle w:val="TableText"/>
              <w:spacing w:before="40" w:after="40" w:line="240" w:lineRule="auto"/>
              <w:rPr>
                <w:rFonts w:cs="Calibri"/>
                <w:sz w:val="14"/>
                <w:szCs w:val="14"/>
                <w:lang w:eastAsia="en-US"/>
              </w:rPr>
            </w:pPr>
            <w:r w:rsidRPr="00BD16B4">
              <w:rPr>
                <w:color w:val="000000"/>
                <w:sz w:val="14"/>
                <w:szCs w:val="14"/>
              </w:rPr>
              <w:t>This government-owned entity has the objective of accelerating emissions reduction in New Zealand by investing in climate-mitigating technologies. NZGIF’s emissions mitigation impact is estimated as emissions reduction,</w:t>
            </w:r>
            <w:r w:rsidRPr="00BD16B4">
              <w:rPr>
                <w:rStyle w:val="FootnoteReference"/>
                <w:sz w:val="14"/>
                <w:szCs w:val="14"/>
              </w:rPr>
              <w:footnoteReference w:id="215"/>
            </w:r>
            <w:r w:rsidRPr="00BD16B4">
              <w:rPr>
                <w:color w:val="000000"/>
                <w:sz w:val="14"/>
                <w:szCs w:val="14"/>
              </w:rPr>
              <w:t xml:space="preserve"> crowding-in private capital, and demonstrating the benefits of low-carbon investment to the market. As at 30 June 2022, the total estimated lifetime emissions reduction of its capital committed is 580–710 kilotonnes of CO</w:t>
            </w:r>
            <w:r w:rsidRPr="00BD16B4">
              <w:rPr>
                <w:color w:val="000000"/>
                <w:sz w:val="14"/>
                <w:szCs w:val="14"/>
                <w:vertAlign w:val="subscript"/>
              </w:rPr>
              <w:t>2</w:t>
            </w:r>
            <w:r w:rsidRPr="00BD16B4">
              <w:rPr>
                <w:color w:val="000000"/>
                <w:sz w:val="14"/>
                <w:szCs w:val="14"/>
              </w:rPr>
              <w:t xml:space="preserve"> (or equivalents).</w:t>
            </w:r>
          </w:p>
        </w:tc>
        <w:tc>
          <w:tcPr>
            <w:tcW w:w="567" w:type="dxa"/>
          </w:tcPr>
          <w:p w14:paraId="59C86774"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lang w:eastAsia="en-US"/>
              </w:rPr>
              <w:t>2019</w:t>
            </w:r>
          </w:p>
        </w:tc>
        <w:tc>
          <w:tcPr>
            <w:tcW w:w="1701" w:type="dxa"/>
          </w:tcPr>
          <w:p w14:paraId="7835A09C" w14:textId="77777777" w:rsidR="00CA1920" w:rsidRPr="00BD16B4" w:rsidRDefault="00CA1920" w:rsidP="002D166E">
            <w:pPr>
              <w:pStyle w:val="TableText"/>
              <w:spacing w:before="40" w:line="240" w:lineRule="auto"/>
              <w:rPr>
                <w:sz w:val="14"/>
                <w:szCs w:val="18"/>
              </w:rPr>
            </w:pPr>
            <w:r w:rsidRPr="00BD16B4">
              <w:rPr>
                <w:sz w:val="14"/>
                <w:szCs w:val="18"/>
                <w:lang w:eastAsia="en-US"/>
              </w:rPr>
              <w:t>New Zealand Green Investment Finance Limited</w:t>
            </w:r>
          </w:p>
        </w:tc>
        <w:tc>
          <w:tcPr>
            <w:tcW w:w="851" w:type="dxa"/>
          </w:tcPr>
          <w:p w14:paraId="3C5F67D9"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tcPr>
          <w:p w14:paraId="331FCE51"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tcPr>
          <w:p w14:paraId="663AD523" w14:textId="77777777" w:rsidR="00CA1920" w:rsidRPr="00BD16B4" w:rsidRDefault="00CA1920" w:rsidP="005173B2">
            <w:pPr>
              <w:pStyle w:val="TableText"/>
              <w:spacing w:before="40" w:after="40" w:line="240" w:lineRule="auto"/>
              <w:rPr>
                <w:rFonts w:cs="Calibri"/>
                <w:sz w:val="14"/>
                <w:szCs w:val="14"/>
              </w:rPr>
            </w:pPr>
            <w:r w:rsidRPr="00BD16B4">
              <w:rPr>
                <w:sz w:val="14"/>
                <w:szCs w:val="14"/>
              </w:rPr>
              <w:t>NE</w:t>
            </w:r>
          </w:p>
        </w:tc>
      </w:tr>
      <w:tr w:rsidR="006709EC" w:rsidRPr="00BD16B4" w14:paraId="22E294C7" w14:textId="77777777" w:rsidTr="00D35A28">
        <w:tc>
          <w:tcPr>
            <w:tcW w:w="1632" w:type="dxa"/>
            <w:shd w:val="clear" w:color="auto" w:fill="auto"/>
          </w:tcPr>
          <w:p w14:paraId="4099F888" w14:textId="77777777" w:rsidR="00CA1920" w:rsidRPr="00BD16B4" w:rsidRDefault="00CA1920" w:rsidP="00D35A28">
            <w:pPr>
              <w:pStyle w:val="TableText"/>
              <w:keepNext/>
              <w:spacing w:before="20" w:after="20" w:line="240" w:lineRule="auto"/>
              <w:rPr>
                <w:rFonts w:cs="Calibri"/>
                <w:sz w:val="14"/>
                <w:szCs w:val="14"/>
              </w:rPr>
            </w:pPr>
            <w:r w:rsidRPr="00BD16B4">
              <w:rPr>
                <w:rFonts w:cs="Calibri"/>
                <w:sz w:val="14"/>
                <w:szCs w:val="14"/>
              </w:rPr>
              <w:lastRenderedPageBreak/>
              <w:t>State Sector Decarbonisation Fund (SSDF)</w:t>
            </w:r>
          </w:p>
        </w:tc>
        <w:tc>
          <w:tcPr>
            <w:tcW w:w="1316" w:type="dxa"/>
            <w:shd w:val="clear" w:color="auto" w:fill="auto"/>
          </w:tcPr>
          <w:p w14:paraId="6DE05125" w14:textId="77777777" w:rsidR="00CA1920" w:rsidRPr="00BD16B4" w:rsidRDefault="00CA1920" w:rsidP="002D166E">
            <w:pPr>
              <w:pStyle w:val="TableText"/>
              <w:spacing w:before="20" w:after="20" w:line="240" w:lineRule="auto"/>
              <w:rPr>
                <w:rFonts w:cs="Calibri"/>
                <w:sz w:val="14"/>
                <w:szCs w:val="14"/>
              </w:rPr>
            </w:pPr>
            <w:r w:rsidRPr="00BD16B4">
              <w:rPr>
                <w:rFonts w:cs="Calibri"/>
                <w:sz w:val="14"/>
                <w:szCs w:val="14"/>
              </w:rPr>
              <w:t>Energy</w:t>
            </w:r>
          </w:p>
        </w:tc>
        <w:tc>
          <w:tcPr>
            <w:tcW w:w="567" w:type="dxa"/>
            <w:shd w:val="clear" w:color="auto" w:fill="auto"/>
          </w:tcPr>
          <w:p w14:paraId="5195ED2E" w14:textId="77777777" w:rsidR="00CA1920" w:rsidRPr="00BD16B4" w:rsidRDefault="00CA1920" w:rsidP="002D166E">
            <w:pPr>
              <w:pStyle w:val="TableText"/>
              <w:spacing w:before="20" w:after="20" w:line="240" w:lineRule="auto"/>
              <w:rPr>
                <w:rFonts w:cs="Calibri"/>
                <w:sz w:val="14"/>
                <w:szCs w:val="14"/>
              </w:rPr>
            </w:pPr>
            <w:r w:rsidRPr="00BD16B4">
              <w:rPr>
                <w:rFonts w:cs="Calibri"/>
                <w:sz w:val="14"/>
                <w:szCs w:val="14"/>
              </w:rPr>
              <w:t>CO</w:t>
            </w:r>
            <w:r w:rsidRPr="00BD16B4">
              <w:rPr>
                <w:rFonts w:cs="Calibri"/>
                <w:sz w:val="14"/>
                <w:szCs w:val="14"/>
                <w:vertAlign w:val="subscript"/>
              </w:rPr>
              <w:t>2</w:t>
            </w:r>
          </w:p>
        </w:tc>
        <w:tc>
          <w:tcPr>
            <w:tcW w:w="1701" w:type="dxa"/>
            <w:shd w:val="clear" w:color="auto" w:fill="auto"/>
          </w:tcPr>
          <w:p w14:paraId="7FB8D78C" w14:textId="77777777" w:rsidR="00CA1920" w:rsidRPr="00BD16B4" w:rsidRDefault="00CA1920" w:rsidP="002D166E">
            <w:pPr>
              <w:pStyle w:val="TableText"/>
              <w:spacing w:before="20" w:after="20" w:line="240" w:lineRule="auto"/>
              <w:rPr>
                <w:rFonts w:cs="Calibri"/>
                <w:sz w:val="14"/>
                <w:szCs w:val="14"/>
              </w:rPr>
            </w:pPr>
            <w:r w:rsidRPr="00BD16B4">
              <w:rPr>
                <w:rFonts w:cs="Calibri"/>
                <w:sz w:val="14"/>
                <w:szCs w:val="14"/>
              </w:rPr>
              <w:t>Government agencies demonstrate the action required to decarbonise.</w:t>
            </w:r>
          </w:p>
        </w:tc>
        <w:tc>
          <w:tcPr>
            <w:tcW w:w="1134" w:type="dxa"/>
            <w:shd w:val="clear" w:color="auto" w:fill="auto"/>
          </w:tcPr>
          <w:p w14:paraId="71320DE4" w14:textId="77777777" w:rsidR="00CA1920" w:rsidRPr="00BD16B4" w:rsidRDefault="00CA1920" w:rsidP="002D166E">
            <w:pPr>
              <w:pStyle w:val="TableText"/>
              <w:spacing w:before="20" w:after="20" w:line="240" w:lineRule="auto"/>
              <w:rPr>
                <w:rFonts w:cs="Calibri"/>
                <w:sz w:val="14"/>
                <w:szCs w:val="14"/>
              </w:rPr>
            </w:pPr>
            <w:r w:rsidRPr="00BD16B4">
              <w:rPr>
                <w:rFonts w:cs="Calibri"/>
                <w:sz w:val="14"/>
                <w:szCs w:val="14"/>
              </w:rPr>
              <w:t>Financial support</w:t>
            </w:r>
          </w:p>
        </w:tc>
        <w:tc>
          <w:tcPr>
            <w:tcW w:w="992" w:type="dxa"/>
            <w:shd w:val="clear" w:color="auto" w:fill="auto"/>
          </w:tcPr>
          <w:p w14:paraId="284BE3BC" w14:textId="77777777" w:rsidR="00CA1920" w:rsidRPr="00BD16B4" w:rsidRDefault="00CA1920" w:rsidP="002D166E">
            <w:pPr>
              <w:pStyle w:val="TableText"/>
              <w:spacing w:before="20" w:after="20" w:line="240" w:lineRule="auto"/>
              <w:rPr>
                <w:rFonts w:cs="Calibri"/>
                <w:sz w:val="14"/>
                <w:szCs w:val="14"/>
              </w:rPr>
            </w:pPr>
            <w:r w:rsidRPr="00BD16B4">
              <w:rPr>
                <w:rFonts w:cs="Calibri"/>
                <w:sz w:val="14"/>
                <w:szCs w:val="14"/>
              </w:rPr>
              <w:t>Implemented</w:t>
            </w:r>
          </w:p>
        </w:tc>
        <w:tc>
          <w:tcPr>
            <w:tcW w:w="2410" w:type="dxa"/>
            <w:shd w:val="clear" w:color="auto" w:fill="auto"/>
          </w:tcPr>
          <w:p w14:paraId="026C592D" w14:textId="77777777" w:rsidR="00CA1920" w:rsidRPr="00BD16B4" w:rsidRDefault="00CA1920" w:rsidP="002D166E">
            <w:pPr>
              <w:pStyle w:val="TableText"/>
              <w:spacing w:before="20" w:after="20" w:line="240" w:lineRule="auto"/>
              <w:rPr>
                <w:rFonts w:cs="Calibri"/>
                <w:sz w:val="14"/>
                <w:szCs w:val="14"/>
              </w:rPr>
            </w:pPr>
            <w:r w:rsidRPr="00BD16B4">
              <w:rPr>
                <w:rFonts w:cs="Calibri"/>
                <w:sz w:val="14"/>
                <w:szCs w:val="14"/>
              </w:rPr>
              <w:t>The NZ$219.437 million SSDF provides co-funding to state sector agencies to replace coal boilers with low-emissions alternatives and for other energy efficiency or renewable energy projects, including efficient lighting and electric vehicles. Three-quarters of the funding is targeted for hospitals, schools and universities, which are the biggest emitters.</w:t>
            </w:r>
          </w:p>
        </w:tc>
        <w:tc>
          <w:tcPr>
            <w:tcW w:w="567" w:type="dxa"/>
            <w:shd w:val="clear" w:color="auto" w:fill="auto"/>
          </w:tcPr>
          <w:p w14:paraId="11A5B777" w14:textId="77777777" w:rsidR="00CA1920" w:rsidRPr="00BD16B4" w:rsidRDefault="00CA1920" w:rsidP="002D166E">
            <w:pPr>
              <w:pStyle w:val="TableText"/>
              <w:spacing w:before="20" w:after="20" w:line="240" w:lineRule="auto"/>
              <w:rPr>
                <w:rFonts w:cs="Calibri"/>
                <w:sz w:val="14"/>
                <w:szCs w:val="14"/>
              </w:rPr>
            </w:pPr>
            <w:r w:rsidRPr="00BD16B4">
              <w:rPr>
                <w:rFonts w:cs="Calibri"/>
                <w:sz w:val="14"/>
                <w:szCs w:val="14"/>
              </w:rPr>
              <w:t>2020</w:t>
            </w:r>
          </w:p>
        </w:tc>
        <w:tc>
          <w:tcPr>
            <w:tcW w:w="1701" w:type="dxa"/>
            <w:shd w:val="clear" w:color="auto" w:fill="auto"/>
          </w:tcPr>
          <w:p w14:paraId="1D7C18D7" w14:textId="77777777" w:rsidR="00CA1920" w:rsidRPr="00BD16B4" w:rsidRDefault="00CA1920" w:rsidP="002D166E">
            <w:pPr>
              <w:pStyle w:val="TableText"/>
              <w:spacing w:before="20" w:after="20" w:line="240" w:lineRule="auto"/>
              <w:rPr>
                <w:rFonts w:cs="Calibri"/>
                <w:sz w:val="14"/>
                <w:szCs w:val="14"/>
              </w:rPr>
            </w:pPr>
            <w:r w:rsidRPr="00BD16B4">
              <w:rPr>
                <w:rFonts w:cs="Calibri"/>
                <w:sz w:val="14"/>
                <w:szCs w:val="14"/>
              </w:rPr>
              <w:t>Energy Efficiency and Conservation Authority, Ministry of Business, Innovation and Employment, The Treasury</w:t>
            </w:r>
          </w:p>
        </w:tc>
        <w:tc>
          <w:tcPr>
            <w:tcW w:w="851" w:type="dxa"/>
            <w:shd w:val="clear" w:color="auto" w:fill="auto"/>
          </w:tcPr>
          <w:p w14:paraId="3CD1BAF6" w14:textId="77777777" w:rsidR="00CA1920" w:rsidRPr="00BD16B4" w:rsidRDefault="00CA1920" w:rsidP="005173B2">
            <w:pPr>
              <w:pStyle w:val="TableText"/>
              <w:spacing w:before="20" w:after="20" w:line="240" w:lineRule="auto"/>
              <w:rPr>
                <w:rFonts w:cs="Calibri"/>
                <w:sz w:val="14"/>
                <w:szCs w:val="14"/>
              </w:rPr>
            </w:pPr>
            <w:r w:rsidRPr="00BD16B4">
              <w:rPr>
                <w:rFonts w:cs="Calibri"/>
                <w:sz w:val="14"/>
                <w:szCs w:val="14"/>
              </w:rPr>
              <w:t>46.0</w:t>
            </w:r>
          </w:p>
        </w:tc>
        <w:tc>
          <w:tcPr>
            <w:tcW w:w="850" w:type="dxa"/>
            <w:shd w:val="clear" w:color="auto" w:fill="auto"/>
          </w:tcPr>
          <w:p w14:paraId="54FE3473" w14:textId="77777777" w:rsidR="00CA1920" w:rsidRPr="00BD16B4" w:rsidRDefault="00CA1920" w:rsidP="002D166E">
            <w:pPr>
              <w:pStyle w:val="TableText"/>
              <w:spacing w:before="20" w:after="20" w:line="240" w:lineRule="auto"/>
              <w:rPr>
                <w:rFonts w:cs="Calibri"/>
                <w:sz w:val="14"/>
                <w:szCs w:val="14"/>
              </w:rPr>
            </w:pPr>
            <w:r w:rsidRPr="00BD16B4">
              <w:rPr>
                <w:rFonts w:cs="Calibri"/>
                <w:sz w:val="14"/>
                <w:szCs w:val="14"/>
              </w:rPr>
              <w:t>115.6</w:t>
            </w:r>
          </w:p>
        </w:tc>
        <w:tc>
          <w:tcPr>
            <w:tcW w:w="851" w:type="dxa"/>
            <w:shd w:val="clear" w:color="auto" w:fill="auto"/>
          </w:tcPr>
          <w:p w14:paraId="372F0BC0" w14:textId="77777777" w:rsidR="00CA1920" w:rsidRPr="00BD16B4" w:rsidRDefault="00CA1920" w:rsidP="005173B2">
            <w:pPr>
              <w:pStyle w:val="TableText"/>
              <w:spacing w:before="20" w:after="20" w:line="240" w:lineRule="auto"/>
              <w:rPr>
                <w:rFonts w:cs="Calibri"/>
                <w:sz w:val="14"/>
                <w:szCs w:val="14"/>
              </w:rPr>
            </w:pPr>
            <w:r w:rsidRPr="00BD16B4">
              <w:rPr>
                <w:rFonts w:cs="Calibri"/>
                <w:sz w:val="14"/>
                <w:szCs w:val="14"/>
              </w:rPr>
              <w:t>110.8</w:t>
            </w:r>
          </w:p>
        </w:tc>
      </w:tr>
      <w:tr w:rsidR="00CA1920" w:rsidRPr="00BD16B4" w14:paraId="60795CC1" w14:textId="77777777" w:rsidTr="00D35A28">
        <w:tc>
          <w:tcPr>
            <w:tcW w:w="14572" w:type="dxa"/>
            <w:gridSpan w:val="12"/>
            <w:shd w:val="clear" w:color="auto" w:fill="D2DDE1" w:themeFill="background2"/>
          </w:tcPr>
          <w:p w14:paraId="69724977" w14:textId="77777777" w:rsidR="00CA1920" w:rsidRPr="00BD16B4" w:rsidRDefault="00CA1920" w:rsidP="005173B2">
            <w:pPr>
              <w:pStyle w:val="TableText"/>
              <w:keepNext/>
              <w:spacing w:before="40" w:after="40" w:line="240" w:lineRule="auto"/>
              <w:rPr>
                <w:rFonts w:cs="Calibri"/>
                <w:b/>
                <w:bCs/>
                <w:color w:val="000000"/>
                <w:sz w:val="14"/>
                <w:szCs w:val="14"/>
              </w:rPr>
            </w:pPr>
            <w:r w:rsidRPr="00BD16B4">
              <w:rPr>
                <w:rFonts w:cs="Calibri"/>
                <w:b/>
                <w:bCs/>
                <w:color w:val="000000"/>
                <w:sz w:val="14"/>
                <w:szCs w:val="14"/>
              </w:rPr>
              <w:t>Cross-cutting policies and measures: public sector leadership</w:t>
            </w:r>
          </w:p>
        </w:tc>
      </w:tr>
      <w:tr w:rsidR="006709EC" w:rsidRPr="00BD16B4" w14:paraId="427E7B56" w14:textId="77777777" w:rsidTr="00D35A28">
        <w:tc>
          <w:tcPr>
            <w:tcW w:w="1632" w:type="dxa"/>
            <w:shd w:val="clear" w:color="auto" w:fill="auto"/>
          </w:tcPr>
          <w:p w14:paraId="2AE841FD" w14:textId="77777777" w:rsidR="00CA1920" w:rsidRPr="00BD16B4" w:rsidRDefault="00CA1920" w:rsidP="002D166E">
            <w:pPr>
              <w:pStyle w:val="TableText"/>
              <w:spacing w:before="20" w:after="20" w:line="240" w:lineRule="auto"/>
              <w:rPr>
                <w:rFonts w:cs="Calibri"/>
                <w:sz w:val="14"/>
                <w:szCs w:val="18"/>
              </w:rPr>
            </w:pPr>
            <w:r w:rsidRPr="00BD16B4">
              <w:rPr>
                <w:sz w:val="14"/>
                <w:szCs w:val="18"/>
              </w:rPr>
              <w:t>Sustainable Government Procurement</w:t>
            </w:r>
          </w:p>
        </w:tc>
        <w:tc>
          <w:tcPr>
            <w:tcW w:w="1316" w:type="dxa"/>
            <w:shd w:val="clear" w:color="auto" w:fill="auto"/>
          </w:tcPr>
          <w:p w14:paraId="2B3853A3" w14:textId="77777777" w:rsidR="00CA1920" w:rsidRPr="00BD16B4" w:rsidRDefault="00CA1920" w:rsidP="002D166E">
            <w:pPr>
              <w:pStyle w:val="TableText"/>
              <w:spacing w:before="20" w:after="20" w:line="240" w:lineRule="auto"/>
              <w:rPr>
                <w:rFonts w:cs="Calibri"/>
                <w:sz w:val="14"/>
                <w:szCs w:val="18"/>
              </w:rPr>
            </w:pPr>
            <w:r w:rsidRPr="00BD16B4">
              <w:rPr>
                <w:sz w:val="14"/>
                <w:szCs w:val="18"/>
              </w:rPr>
              <w:t>Energy</w:t>
            </w:r>
          </w:p>
        </w:tc>
        <w:tc>
          <w:tcPr>
            <w:tcW w:w="567" w:type="dxa"/>
            <w:shd w:val="clear" w:color="auto" w:fill="auto"/>
          </w:tcPr>
          <w:p w14:paraId="2AED6E0E" w14:textId="77777777" w:rsidR="00CA1920" w:rsidRPr="00BD16B4" w:rsidRDefault="00CA1920" w:rsidP="002D166E">
            <w:pPr>
              <w:pStyle w:val="TableText"/>
              <w:spacing w:before="20" w:after="20" w:line="240" w:lineRule="auto"/>
              <w:rPr>
                <w:rFonts w:cs="Calibri"/>
                <w:sz w:val="14"/>
                <w:szCs w:val="18"/>
              </w:rPr>
            </w:pPr>
            <w:r w:rsidRPr="00BD16B4">
              <w:rPr>
                <w:sz w:val="14"/>
                <w:szCs w:val="18"/>
              </w:rPr>
              <w:t>CO</w:t>
            </w:r>
            <w:r w:rsidRPr="00BD16B4">
              <w:rPr>
                <w:sz w:val="14"/>
                <w:szCs w:val="18"/>
                <w:vertAlign w:val="subscript"/>
              </w:rPr>
              <w:t>2</w:t>
            </w:r>
          </w:p>
        </w:tc>
        <w:tc>
          <w:tcPr>
            <w:tcW w:w="1701" w:type="dxa"/>
            <w:shd w:val="clear" w:color="auto" w:fill="auto"/>
          </w:tcPr>
          <w:p w14:paraId="71A3E0C1" w14:textId="77777777" w:rsidR="00CA1920" w:rsidRPr="00BD16B4" w:rsidRDefault="00CA1920" w:rsidP="002D166E">
            <w:pPr>
              <w:pStyle w:val="TableText"/>
              <w:spacing w:before="20" w:after="20" w:line="240" w:lineRule="auto"/>
              <w:rPr>
                <w:rFonts w:cs="Calibri"/>
                <w:sz w:val="14"/>
                <w:szCs w:val="18"/>
              </w:rPr>
            </w:pPr>
            <w:r w:rsidRPr="00BD16B4">
              <w:rPr>
                <w:sz w:val="14"/>
                <w:szCs w:val="18"/>
              </w:rPr>
              <w:t>Make sustainable procurement part of government procurement practice.</w:t>
            </w:r>
          </w:p>
        </w:tc>
        <w:tc>
          <w:tcPr>
            <w:tcW w:w="1134" w:type="dxa"/>
            <w:shd w:val="clear" w:color="auto" w:fill="auto"/>
          </w:tcPr>
          <w:p w14:paraId="36F24BDE" w14:textId="77777777" w:rsidR="00CA1920" w:rsidRPr="00BD16B4" w:rsidRDefault="00CA1920" w:rsidP="002D166E">
            <w:pPr>
              <w:pStyle w:val="TableText"/>
              <w:spacing w:before="20" w:after="20" w:line="240" w:lineRule="auto"/>
              <w:rPr>
                <w:rFonts w:cs="Calibri"/>
                <w:sz w:val="14"/>
                <w:szCs w:val="18"/>
              </w:rPr>
            </w:pPr>
            <w:r w:rsidRPr="00BD16B4">
              <w:rPr>
                <w:sz w:val="14"/>
                <w:szCs w:val="18"/>
              </w:rPr>
              <w:t>Other (System Leadership), information</w:t>
            </w:r>
          </w:p>
        </w:tc>
        <w:tc>
          <w:tcPr>
            <w:tcW w:w="992" w:type="dxa"/>
            <w:shd w:val="clear" w:color="auto" w:fill="auto"/>
          </w:tcPr>
          <w:p w14:paraId="085551F4" w14:textId="77777777" w:rsidR="00CA1920" w:rsidRPr="00BD16B4" w:rsidRDefault="00CA1920" w:rsidP="002D166E">
            <w:pPr>
              <w:pStyle w:val="TableText"/>
              <w:spacing w:before="20" w:after="20" w:line="240" w:lineRule="auto"/>
              <w:rPr>
                <w:rFonts w:cs="Calibri"/>
                <w:sz w:val="14"/>
                <w:szCs w:val="18"/>
              </w:rPr>
            </w:pPr>
            <w:r w:rsidRPr="00BD16B4">
              <w:rPr>
                <w:sz w:val="14"/>
                <w:szCs w:val="18"/>
              </w:rPr>
              <w:t>Implemented</w:t>
            </w:r>
          </w:p>
        </w:tc>
        <w:tc>
          <w:tcPr>
            <w:tcW w:w="2410" w:type="dxa"/>
            <w:shd w:val="clear" w:color="auto" w:fill="auto"/>
          </w:tcPr>
          <w:p w14:paraId="4C35A9FF" w14:textId="77777777" w:rsidR="00CA1920" w:rsidRPr="00BD16B4" w:rsidRDefault="00CA1920" w:rsidP="002D166E">
            <w:pPr>
              <w:pStyle w:val="TableText"/>
              <w:spacing w:before="20" w:after="20" w:line="240" w:lineRule="auto"/>
              <w:rPr>
                <w:sz w:val="14"/>
                <w:szCs w:val="18"/>
              </w:rPr>
            </w:pPr>
            <w:r w:rsidRPr="00BD16B4">
              <w:rPr>
                <w:sz w:val="14"/>
                <w:szCs w:val="18"/>
              </w:rPr>
              <w:t>The Government Procurement Rules were updated in 2019 to include a focus on the achievement of wider social, economic, cultural and environmental outcomes that go beyond the immediate purchase of goods and services. New Government Procurement Rule introduced. Rule 20: Transitioning to a net zero emissions economy and designing waste out of the system. This directs agencies to:</w:t>
            </w:r>
          </w:p>
          <w:p w14:paraId="41C789DB" w14:textId="77777777" w:rsidR="00CA1920" w:rsidRPr="00BD16B4" w:rsidRDefault="00CA1920" w:rsidP="002D166E">
            <w:pPr>
              <w:pStyle w:val="TableText"/>
              <w:spacing w:before="0" w:after="20" w:line="240" w:lineRule="auto"/>
              <w:ind w:left="170" w:hanging="170"/>
              <w:rPr>
                <w:sz w:val="14"/>
                <w:szCs w:val="18"/>
              </w:rPr>
            </w:pPr>
            <w:r w:rsidRPr="00BD16B4">
              <w:rPr>
                <w:sz w:val="14"/>
                <w:szCs w:val="18"/>
              </w:rPr>
              <w:t xml:space="preserve">1) </w:t>
            </w:r>
            <w:r w:rsidRPr="00BD16B4">
              <w:rPr>
                <w:sz w:val="14"/>
                <w:szCs w:val="18"/>
              </w:rPr>
              <w:tab/>
              <w:t>support the procurement of low-emissions and low-waste goods, services and works</w:t>
            </w:r>
          </w:p>
          <w:p w14:paraId="1F0077D1" w14:textId="77777777" w:rsidR="00CA1920" w:rsidRPr="00BD16B4" w:rsidRDefault="00CA1920" w:rsidP="002D166E">
            <w:pPr>
              <w:pStyle w:val="TableText"/>
              <w:spacing w:before="0" w:after="20" w:line="240" w:lineRule="auto"/>
              <w:ind w:left="170" w:hanging="170"/>
              <w:rPr>
                <w:sz w:val="14"/>
                <w:szCs w:val="18"/>
              </w:rPr>
            </w:pPr>
            <w:r w:rsidRPr="00BD16B4">
              <w:rPr>
                <w:sz w:val="14"/>
                <w:szCs w:val="18"/>
              </w:rPr>
              <w:t xml:space="preserve">2) </w:t>
            </w:r>
            <w:r w:rsidRPr="00BD16B4">
              <w:rPr>
                <w:sz w:val="14"/>
                <w:szCs w:val="18"/>
              </w:rPr>
              <w:tab/>
              <w:t>encourage innovation to significantly reduce emissions and waste impacts from goods and services.</w:t>
            </w:r>
          </w:p>
        </w:tc>
        <w:tc>
          <w:tcPr>
            <w:tcW w:w="567" w:type="dxa"/>
            <w:shd w:val="clear" w:color="auto" w:fill="auto"/>
          </w:tcPr>
          <w:p w14:paraId="70015DEC" w14:textId="77777777" w:rsidR="00CA1920" w:rsidRPr="00BD16B4" w:rsidRDefault="00CA1920" w:rsidP="002D166E">
            <w:pPr>
              <w:pStyle w:val="TableText"/>
              <w:spacing w:before="20" w:after="20" w:line="240" w:lineRule="auto"/>
              <w:rPr>
                <w:rFonts w:cs="Calibri"/>
                <w:sz w:val="14"/>
                <w:szCs w:val="18"/>
              </w:rPr>
            </w:pPr>
            <w:r w:rsidRPr="00BD16B4">
              <w:rPr>
                <w:sz w:val="14"/>
                <w:szCs w:val="18"/>
              </w:rPr>
              <w:t>2019</w:t>
            </w:r>
          </w:p>
        </w:tc>
        <w:tc>
          <w:tcPr>
            <w:tcW w:w="1701" w:type="dxa"/>
            <w:shd w:val="clear" w:color="auto" w:fill="auto"/>
          </w:tcPr>
          <w:p w14:paraId="7F7D0E22" w14:textId="77777777" w:rsidR="00CA1920" w:rsidRPr="00BD16B4" w:rsidRDefault="00CA1920" w:rsidP="002D166E">
            <w:pPr>
              <w:pStyle w:val="TableText"/>
              <w:spacing w:before="20" w:after="20" w:line="240" w:lineRule="auto"/>
              <w:rPr>
                <w:rFonts w:cs="Calibri"/>
                <w:sz w:val="14"/>
                <w:szCs w:val="18"/>
              </w:rPr>
            </w:pPr>
            <w:r w:rsidRPr="00BD16B4">
              <w:rPr>
                <w:sz w:val="14"/>
                <w:szCs w:val="18"/>
              </w:rPr>
              <w:t>Ministry of Business, Innovation and Employment</w:t>
            </w:r>
          </w:p>
        </w:tc>
        <w:tc>
          <w:tcPr>
            <w:tcW w:w="851" w:type="dxa"/>
            <w:shd w:val="clear" w:color="auto" w:fill="auto"/>
          </w:tcPr>
          <w:p w14:paraId="7B9421AA" w14:textId="77777777" w:rsidR="00CA1920" w:rsidRPr="00BD16B4" w:rsidRDefault="00CA1920" w:rsidP="005173B2">
            <w:pPr>
              <w:pStyle w:val="TableText"/>
              <w:spacing w:before="20" w:after="20" w:line="240" w:lineRule="auto"/>
              <w:rPr>
                <w:rFonts w:cs="Calibri"/>
                <w:sz w:val="14"/>
                <w:szCs w:val="18"/>
              </w:rPr>
            </w:pPr>
            <w:r w:rsidRPr="00BD16B4">
              <w:rPr>
                <w:rFonts w:cs="Calibri"/>
                <w:sz w:val="14"/>
                <w:szCs w:val="18"/>
              </w:rPr>
              <w:t>NE</w:t>
            </w:r>
          </w:p>
        </w:tc>
        <w:tc>
          <w:tcPr>
            <w:tcW w:w="850" w:type="dxa"/>
            <w:shd w:val="clear" w:color="auto" w:fill="auto"/>
          </w:tcPr>
          <w:p w14:paraId="7CDC6593" w14:textId="77777777" w:rsidR="00CA1920" w:rsidRPr="00BD16B4" w:rsidRDefault="00CA1920" w:rsidP="002D166E">
            <w:pPr>
              <w:pStyle w:val="TableText"/>
              <w:spacing w:before="20" w:after="20" w:line="240" w:lineRule="auto"/>
              <w:rPr>
                <w:rFonts w:cs="Calibri"/>
                <w:sz w:val="14"/>
                <w:szCs w:val="18"/>
              </w:rPr>
            </w:pPr>
            <w:r w:rsidRPr="00BD16B4">
              <w:rPr>
                <w:rFonts w:cs="Calibri"/>
                <w:sz w:val="14"/>
                <w:szCs w:val="18"/>
              </w:rPr>
              <w:t>NE</w:t>
            </w:r>
          </w:p>
        </w:tc>
        <w:tc>
          <w:tcPr>
            <w:tcW w:w="851" w:type="dxa"/>
            <w:shd w:val="clear" w:color="auto" w:fill="auto"/>
          </w:tcPr>
          <w:p w14:paraId="2E31AB1E" w14:textId="77777777" w:rsidR="00CA1920" w:rsidRPr="00BD16B4" w:rsidRDefault="00CA1920" w:rsidP="005173B2">
            <w:pPr>
              <w:pStyle w:val="TableText"/>
              <w:spacing w:before="20" w:after="20" w:line="240" w:lineRule="auto"/>
              <w:rPr>
                <w:rFonts w:cs="Calibri"/>
                <w:sz w:val="14"/>
                <w:szCs w:val="14"/>
              </w:rPr>
            </w:pPr>
            <w:r w:rsidRPr="00BD16B4">
              <w:rPr>
                <w:rFonts w:cs="Calibri"/>
                <w:sz w:val="14"/>
                <w:szCs w:val="14"/>
              </w:rPr>
              <w:t>NE</w:t>
            </w:r>
          </w:p>
        </w:tc>
      </w:tr>
      <w:tr w:rsidR="006709EC" w:rsidRPr="00BD16B4" w14:paraId="52750428" w14:textId="77777777" w:rsidTr="006709EC">
        <w:tc>
          <w:tcPr>
            <w:tcW w:w="1632" w:type="dxa"/>
            <w:shd w:val="clear" w:color="auto" w:fill="auto"/>
          </w:tcPr>
          <w:p w14:paraId="094E5921" w14:textId="77777777" w:rsidR="00CA1920" w:rsidRPr="00BD16B4" w:rsidRDefault="00CA1920" w:rsidP="000E1111">
            <w:pPr>
              <w:pStyle w:val="TableText"/>
              <w:spacing w:before="20" w:after="20" w:line="240" w:lineRule="auto"/>
              <w:rPr>
                <w:sz w:val="14"/>
                <w:szCs w:val="18"/>
                <w:highlight w:val="yellow"/>
              </w:rPr>
            </w:pPr>
            <w:r w:rsidRPr="00BD16B4">
              <w:rPr>
                <w:rFonts w:cs="Calibri"/>
                <w:sz w:val="14"/>
                <w:szCs w:val="14"/>
              </w:rPr>
              <w:t xml:space="preserve">Sustainable building rating systems </w:t>
            </w:r>
          </w:p>
        </w:tc>
        <w:tc>
          <w:tcPr>
            <w:tcW w:w="1316" w:type="dxa"/>
            <w:shd w:val="clear" w:color="auto" w:fill="auto"/>
          </w:tcPr>
          <w:p w14:paraId="1DBDF406" w14:textId="77777777" w:rsidR="00CA1920" w:rsidRPr="00BD16B4" w:rsidRDefault="00CA1920" w:rsidP="000E1111">
            <w:pPr>
              <w:pStyle w:val="TableText"/>
              <w:spacing w:before="20" w:after="20" w:line="240" w:lineRule="auto"/>
              <w:rPr>
                <w:sz w:val="14"/>
                <w:szCs w:val="18"/>
              </w:rPr>
            </w:pPr>
            <w:r w:rsidRPr="00BD16B4">
              <w:rPr>
                <w:sz w:val="14"/>
                <w:szCs w:val="18"/>
              </w:rPr>
              <w:t>Energy, construction</w:t>
            </w:r>
          </w:p>
        </w:tc>
        <w:tc>
          <w:tcPr>
            <w:tcW w:w="567" w:type="dxa"/>
            <w:shd w:val="clear" w:color="auto" w:fill="auto"/>
          </w:tcPr>
          <w:p w14:paraId="1B474407" w14:textId="77777777" w:rsidR="00CA1920" w:rsidRPr="00BD16B4" w:rsidRDefault="00CA1920" w:rsidP="000E1111">
            <w:pPr>
              <w:pStyle w:val="TableText"/>
              <w:spacing w:before="20" w:after="20" w:line="240" w:lineRule="auto"/>
              <w:rPr>
                <w:sz w:val="14"/>
                <w:szCs w:val="18"/>
              </w:rPr>
            </w:pPr>
            <w:r w:rsidRPr="00BD16B4">
              <w:rPr>
                <w:sz w:val="14"/>
                <w:szCs w:val="18"/>
              </w:rPr>
              <w:t>CO</w:t>
            </w:r>
            <w:r w:rsidRPr="00BD16B4">
              <w:rPr>
                <w:sz w:val="14"/>
                <w:szCs w:val="18"/>
                <w:vertAlign w:val="subscript"/>
              </w:rPr>
              <w:t>2</w:t>
            </w:r>
          </w:p>
        </w:tc>
        <w:tc>
          <w:tcPr>
            <w:tcW w:w="1701" w:type="dxa"/>
            <w:shd w:val="clear" w:color="auto" w:fill="auto"/>
          </w:tcPr>
          <w:p w14:paraId="18097CB7" w14:textId="77777777" w:rsidR="00CA1920" w:rsidRPr="00BD16B4" w:rsidRDefault="00CA1920" w:rsidP="000E1111">
            <w:pPr>
              <w:pStyle w:val="TableText"/>
              <w:spacing w:before="20" w:after="20" w:line="240" w:lineRule="auto"/>
              <w:rPr>
                <w:sz w:val="14"/>
                <w:szCs w:val="18"/>
              </w:rPr>
            </w:pPr>
            <w:r w:rsidRPr="00BD16B4">
              <w:rPr>
                <w:sz w:val="14"/>
                <w:szCs w:val="18"/>
              </w:rPr>
              <w:t>Reduce greenhouse gas emissions and construction and demolition waste associated with the construction of new non-residential government owned buildings. Support agencies to meet the requirements of the Carbon Neutral Government Programme.</w:t>
            </w:r>
          </w:p>
        </w:tc>
        <w:tc>
          <w:tcPr>
            <w:tcW w:w="1134" w:type="dxa"/>
            <w:shd w:val="clear" w:color="auto" w:fill="auto"/>
          </w:tcPr>
          <w:p w14:paraId="3F02267D" w14:textId="77777777" w:rsidR="00CA1920" w:rsidRPr="00BD16B4" w:rsidRDefault="00CA1920" w:rsidP="000E1111">
            <w:pPr>
              <w:pStyle w:val="TableText"/>
              <w:spacing w:before="20" w:after="20" w:line="240" w:lineRule="auto"/>
              <w:rPr>
                <w:sz w:val="14"/>
                <w:szCs w:val="18"/>
              </w:rPr>
            </w:pPr>
            <w:r w:rsidRPr="00BD16B4">
              <w:rPr>
                <w:rFonts w:cs="Calibri"/>
                <w:sz w:val="14"/>
                <w:szCs w:val="14"/>
              </w:rPr>
              <w:t>Other (system leadership), information</w:t>
            </w:r>
          </w:p>
        </w:tc>
        <w:tc>
          <w:tcPr>
            <w:tcW w:w="992" w:type="dxa"/>
            <w:shd w:val="clear" w:color="auto" w:fill="auto"/>
          </w:tcPr>
          <w:p w14:paraId="508B511E" w14:textId="77777777" w:rsidR="00CA1920" w:rsidRPr="00BD16B4" w:rsidRDefault="00CA1920" w:rsidP="000E1111">
            <w:pPr>
              <w:pStyle w:val="TableText"/>
              <w:spacing w:before="20" w:after="20" w:line="240" w:lineRule="auto"/>
              <w:rPr>
                <w:sz w:val="14"/>
                <w:szCs w:val="18"/>
              </w:rPr>
            </w:pPr>
            <w:r w:rsidRPr="00BD16B4">
              <w:rPr>
                <w:sz w:val="14"/>
                <w:szCs w:val="14"/>
              </w:rPr>
              <w:t>Partially implemented</w:t>
            </w:r>
          </w:p>
        </w:tc>
        <w:tc>
          <w:tcPr>
            <w:tcW w:w="2410" w:type="dxa"/>
            <w:shd w:val="clear" w:color="auto" w:fill="auto"/>
          </w:tcPr>
          <w:p w14:paraId="0BB3BF39" w14:textId="77777777" w:rsidR="00CA1920" w:rsidRPr="00BD16B4" w:rsidRDefault="00CA1920" w:rsidP="000E1111">
            <w:pPr>
              <w:pStyle w:val="TableText"/>
              <w:spacing w:before="20" w:after="20" w:line="240" w:lineRule="auto"/>
              <w:rPr>
                <w:sz w:val="14"/>
                <w:szCs w:val="18"/>
              </w:rPr>
            </w:pPr>
            <w:r w:rsidRPr="00BD16B4">
              <w:rPr>
                <w:rFonts w:cs="Calibri"/>
                <w:sz w:val="14"/>
                <w:szCs w:val="14"/>
              </w:rPr>
              <w:t>When constructing a new non-residential government-owned building, agencies are required to use an approved sustainable building rating system and achieve minimum requirements around reducing embodied and operational greenhouse gas emissions as well as building and construction waste.</w:t>
            </w:r>
          </w:p>
        </w:tc>
        <w:tc>
          <w:tcPr>
            <w:tcW w:w="567" w:type="dxa"/>
            <w:shd w:val="clear" w:color="auto" w:fill="auto"/>
          </w:tcPr>
          <w:p w14:paraId="09BBA096" w14:textId="77777777" w:rsidR="00CA1920" w:rsidRPr="00BD16B4" w:rsidRDefault="00CA1920" w:rsidP="000E1111">
            <w:pPr>
              <w:pStyle w:val="TableText"/>
              <w:spacing w:before="20" w:after="20" w:line="240" w:lineRule="auto"/>
              <w:rPr>
                <w:sz w:val="14"/>
                <w:szCs w:val="18"/>
              </w:rPr>
            </w:pPr>
            <w:r w:rsidRPr="00BD16B4">
              <w:rPr>
                <w:rFonts w:cs="Calibri"/>
                <w:sz w:val="14"/>
                <w:szCs w:val="14"/>
              </w:rPr>
              <w:t>2022</w:t>
            </w:r>
          </w:p>
        </w:tc>
        <w:tc>
          <w:tcPr>
            <w:tcW w:w="1701" w:type="dxa"/>
            <w:shd w:val="clear" w:color="auto" w:fill="auto"/>
          </w:tcPr>
          <w:p w14:paraId="7E0C5AC7" w14:textId="77777777" w:rsidR="00CA1920" w:rsidRPr="00BD16B4" w:rsidRDefault="00CA1920" w:rsidP="000E1111">
            <w:pPr>
              <w:pStyle w:val="TableText"/>
              <w:spacing w:before="20" w:after="20" w:line="240" w:lineRule="auto"/>
              <w:rPr>
                <w:sz w:val="14"/>
                <w:szCs w:val="18"/>
              </w:rPr>
            </w:pPr>
            <w:r w:rsidRPr="00BD16B4">
              <w:rPr>
                <w:sz w:val="14"/>
                <w:szCs w:val="18"/>
              </w:rPr>
              <w:t>Ministry of Business, Innovation and Employment</w:t>
            </w:r>
          </w:p>
        </w:tc>
        <w:tc>
          <w:tcPr>
            <w:tcW w:w="851" w:type="dxa"/>
            <w:shd w:val="clear" w:color="auto" w:fill="auto"/>
          </w:tcPr>
          <w:p w14:paraId="3B037EA7" w14:textId="77777777" w:rsidR="00CA1920" w:rsidRPr="00BD16B4" w:rsidRDefault="00CA1920" w:rsidP="005173B2">
            <w:pPr>
              <w:pStyle w:val="TableText"/>
              <w:spacing w:before="20" w:after="20" w:line="240" w:lineRule="auto"/>
              <w:rPr>
                <w:rFonts w:cs="Calibri"/>
                <w:sz w:val="14"/>
                <w:szCs w:val="18"/>
              </w:rPr>
            </w:pPr>
            <w:r w:rsidRPr="00BD16B4">
              <w:rPr>
                <w:rFonts w:cs="Calibri"/>
                <w:sz w:val="14"/>
                <w:szCs w:val="18"/>
              </w:rPr>
              <w:t>NE</w:t>
            </w:r>
          </w:p>
        </w:tc>
        <w:tc>
          <w:tcPr>
            <w:tcW w:w="850" w:type="dxa"/>
            <w:shd w:val="clear" w:color="auto" w:fill="auto"/>
          </w:tcPr>
          <w:p w14:paraId="101E97F9" w14:textId="77777777" w:rsidR="00CA1920" w:rsidRPr="00BD16B4" w:rsidRDefault="00CA1920" w:rsidP="000E1111">
            <w:pPr>
              <w:pStyle w:val="TableText"/>
              <w:spacing w:before="20" w:after="20" w:line="240" w:lineRule="auto"/>
              <w:rPr>
                <w:rFonts w:cs="Calibri"/>
                <w:sz w:val="14"/>
                <w:szCs w:val="18"/>
              </w:rPr>
            </w:pPr>
            <w:r w:rsidRPr="00BD16B4">
              <w:rPr>
                <w:rFonts w:cs="Calibri"/>
                <w:sz w:val="14"/>
                <w:szCs w:val="18"/>
              </w:rPr>
              <w:t>NE</w:t>
            </w:r>
          </w:p>
        </w:tc>
        <w:tc>
          <w:tcPr>
            <w:tcW w:w="851" w:type="dxa"/>
            <w:shd w:val="clear" w:color="auto" w:fill="auto"/>
          </w:tcPr>
          <w:p w14:paraId="00B8F3FE" w14:textId="77777777" w:rsidR="00CA1920" w:rsidRPr="00BD16B4" w:rsidRDefault="00CA1920" w:rsidP="005173B2">
            <w:pPr>
              <w:pStyle w:val="TableText"/>
              <w:spacing w:before="20" w:after="20" w:line="240" w:lineRule="auto"/>
              <w:rPr>
                <w:rFonts w:cs="Calibri"/>
                <w:sz w:val="14"/>
                <w:szCs w:val="14"/>
              </w:rPr>
            </w:pPr>
            <w:r w:rsidRPr="00BD16B4">
              <w:rPr>
                <w:rFonts w:cs="Calibri"/>
                <w:sz w:val="14"/>
                <w:szCs w:val="14"/>
              </w:rPr>
              <w:t>NE</w:t>
            </w:r>
          </w:p>
        </w:tc>
      </w:tr>
      <w:tr w:rsidR="006709EC" w:rsidRPr="00BD16B4" w14:paraId="248DC252" w14:textId="77777777" w:rsidTr="006709EC">
        <w:tc>
          <w:tcPr>
            <w:tcW w:w="1632" w:type="dxa"/>
            <w:tcBorders>
              <w:bottom w:val="single" w:sz="4" w:space="0" w:color="1B556B" w:themeColor="text2"/>
            </w:tcBorders>
            <w:shd w:val="clear" w:color="auto" w:fill="auto"/>
          </w:tcPr>
          <w:p w14:paraId="6E2D44CD" w14:textId="77777777" w:rsidR="00CA1920" w:rsidRPr="00BD16B4" w:rsidRDefault="00CA1920" w:rsidP="005173B2">
            <w:pPr>
              <w:pStyle w:val="TableText"/>
              <w:keepNext/>
              <w:spacing w:before="20" w:after="20" w:line="240" w:lineRule="auto"/>
              <w:rPr>
                <w:sz w:val="14"/>
                <w:szCs w:val="18"/>
              </w:rPr>
            </w:pPr>
            <w:r w:rsidRPr="00BD16B4">
              <w:rPr>
                <w:rFonts w:cs="Calibri"/>
                <w:sz w:val="14"/>
                <w:szCs w:val="14"/>
              </w:rPr>
              <w:lastRenderedPageBreak/>
              <w:t>Energy-efficient government office accommodation</w:t>
            </w:r>
          </w:p>
        </w:tc>
        <w:tc>
          <w:tcPr>
            <w:tcW w:w="1316" w:type="dxa"/>
            <w:tcBorders>
              <w:bottom w:val="single" w:sz="4" w:space="0" w:color="1B556B" w:themeColor="text2"/>
            </w:tcBorders>
            <w:shd w:val="clear" w:color="auto" w:fill="auto"/>
          </w:tcPr>
          <w:p w14:paraId="59B562B5" w14:textId="77777777" w:rsidR="00CA1920" w:rsidRPr="00BD16B4" w:rsidRDefault="00CA1920" w:rsidP="000E1111">
            <w:pPr>
              <w:pStyle w:val="TableText"/>
              <w:spacing w:before="20" w:after="20" w:line="240" w:lineRule="auto"/>
              <w:rPr>
                <w:sz w:val="14"/>
                <w:szCs w:val="18"/>
              </w:rPr>
            </w:pPr>
            <w:r w:rsidRPr="00BD16B4">
              <w:rPr>
                <w:rFonts w:cs="Calibri"/>
                <w:sz w:val="14"/>
                <w:szCs w:val="14"/>
              </w:rPr>
              <w:t>Energy</w:t>
            </w:r>
          </w:p>
        </w:tc>
        <w:tc>
          <w:tcPr>
            <w:tcW w:w="567" w:type="dxa"/>
            <w:tcBorders>
              <w:bottom w:val="single" w:sz="4" w:space="0" w:color="1B556B" w:themeColor="text2"/>
            </w:tcBorders>
            <w:shd w:val="clear" w:color="auto" w:fill="auto"/>
          </w:tcPr>
          <w:p w14:paraId="1E98ABDF" w14:textId="77777777" w:rsidR="00CA1920" w:rsidRPr="00BD16B4" w:rsidRDefault="00CA1920" w:rsidP="000E1111">
            <w:pPr>
              <w:pStyle w:val="TableText"/>
              <w:spacing w:before="20" w:after="20" w:line="240" w:lineRule="auto"/>
              <w:rPr>
                <w:sz w:val="14"/>
                <w:szCs w:val="18"/>
              </w:rPr>
            </w:pPr>
            <w:r w:rsidRPr="00BD16B4">
              <w:rPr>
                <w:rFonts w:cs="Calibri"/>
                <w:sz w:val="14"/>
                <w:szCs w:val="14"/>
              </w:rPr>
              <w:t>CO</w:t>
            </w:r>
            <w:r w:rsidRPr="00BD16B4">
              <w:rPr>
                <w:rFonts w:cs="Calibri"/>
                <w:sz w:val="14"/>
                <w:szCs w:val="14"/>
                <w:vertAlign w:val="subscript"/>
              </w:rPr>
              <w:t>2</w:t>
            </w:r>
          </w:p>
        </w:tc>
        <w:tc>
          <w:tcPr>
            <w:tcW w:w="1701" w:type="dxa"/>
            <w:tcBorders>
              <w:bottom w:val="single" w:sz="4" w:space="0" w:color="1B556B" w:themeColor="text2"/>
            </w:tcBorders>
            <w:shd w:val="clear" w:color="auto" w:fill="auto"/>
          </w:tcPr>
          <w:p w14:paraId="620655FD" w14:textId="77777777" w:rsidR="00CA1920" w:rsidRPr="00BD16B4" w:rsidRDefault="00CA1920" w:rsidP="000E1111">
            <w:pPr>
              <w:pStyle w:val="TableText"/>
              <w:spacing w:before="20" w:after="20" w:line="240" w:lineRule="auto"/>
              <w:rPr>
                <w:rFonts w:cs="Calibri"/>
                <w:sz w:val="14"/>
                <w:szCs w:val="14"/>
              </w:rPr>
            </w:pPr>
            <w:r w:rsidRPr="00BD16B4">
              <w:rPr>
                <w:rFonts w:cs="Calibri"/>
                <w:sz w:val="14"/>
                <w:szCs w:val="14"/>
              </w:rPr>
              <w:t>Improve the energy performance of government office accommodation.</w:t>
            </w:r>
            <w:r w:rsidRPr="00BD16B4">
              <w:rPr>
                <w:rFonts w:cs="Calibri"/>
                <w:sz w:val="14"/>
                <w:szCs w:val="14"/>
              </w:rPr>
              <w:br/>
              <w:t>Support agencies to meet the requirements of the Carbon Neutral Government Programme.</w:t>
            </w:r>
          </w:p>
        </w:tc>
        <w:tc>
          <w:tcPr>
            <w:tcW w:w="1134" w:type="dxa"/>
            <w:tcBorders>
              <w:bottom w:val="single" w:sz="4" w:space="0" w:color="1B556B" w:themeColor="text2"/>
            </w:tcBorders>
            <w:shd w:val="clear" w:color="auto" w:fill="auto"/>
          </w:tcPr>
          <w:p w14:paraId="281DABCB" w14:textId="77777777" w:rsidR="00CA1920" w:rsidRPr="00BD16B4" w:rsidRDefault="00CA1920" w:rsidP="000E1111">
            <w:pPr>
              <w:pStyle w:val="TableText"/>
              <w:spacing w:before="20" w:after="20" w:line="240" w:lineRule="auto"/>
              <w:rPr>
                <w:rFonts w:cs="Calibri"/>
                <w:sz w:val="14"/>
                <w:szCs w:val="14"/>
              </w:rPr>
            </w:pPr>
            <w:r w:rsidRPr="00BD16B4">
              <w:rPr>
                <w:rFonts w:cs="Calibri"/>
                <w:sz w:val="14"/>
                <w:szCs w:val="14"/>
              </w:rPr>
              <w:t>Other (system leadership), information</w:t>
            </w:r>
          </w:p>
        </w:tc>
        <w:tc>
          <w:tcPr>
            <w:tcW w:w="992" w:type="dxa"/>
            <w:tcBorders>
              <w:bottom w:val="single" w:sz="4" w:space="0" w:color="1B556B" w:themeColor="text2"/>
            </w:tcBorders>
            <w:shd w:val="clear" w:color="auto" w:fill="auto"/>
          </w:tcPr>
          <w:p w14:paraId="15545F45" w14:textId="77777777" w:rsidR="00CA1920" w:rsidRPr="00BD16B4" w:rsidRDefault="00CA1920" w:rsidP="000E1111">
            <w:pPr>
              <w:pStyle w:val="TableText"/>
              <w:spacing w:before="20" w:after="20" w:line="240" w:lineRule="auto"/>
              <w:rPr>
                <w:sz w:val="14"/>
                <w:szCs w:val="14"/>
              </w:rPr>
            </w:pPr>
            <w:r w:rsidRPr="00BD16B4">
              <w:rPr>
                <w:rFonts w:cs="Calibri"/>
                <w:sz w:val="14"/>
                <w:szCs w:val="14"/>
              </w:rPr>
              <w:t>Implemented</w:t>
            </w:r>
          </w:p>
        </w:tc>
        <w:tc>
          <w:tcPr>
            <w:tcW w:w="2410" w:type="dxa"/>
            <w:tcBorders>
              <w:bottom w:val="single" w:sz="4" w:space="0" w:color="1B556B" w:themeColor="text2"/>
            </w:tcBorders>
            <w:shd w:val="clear" w:color="auto" w:fill="auto"/>
          </w:tcPr>
          <w:p w14:paraId="60D78958" w14:textId="77777777" w:rsidR="00CA1920" w:rsidRPr="00BD16B4" w:rsidRDefault="00CA1920" w:rsidP="000E1111">
            <w:pPr>
              <w:pStyle w:val="TableText"/>
              <w:spacing w:before="20" w:after="20" w:line="240" w:lineRule="auto"/>
              <w:rPr>
                <w:rFonts w:cs="Calibri"/>
                <w:sz w:val="14"/>
                <w:szCs w:val="14"/>
              </w:rPr>
            </w:pPr>
            <w:r w:rsidRPr="00BD16B4">
              <w:rPr>
                <w:rFonts w:cs="Calibri"/>
                <w:sz w:val="14"/>
                <w:szCs w:val="14"/>
              </w:rPr>
              <w:t>Agencies that are subject to the Property System Lead mandate and have office accommodation over 2,000 m</w:t>
            </w:r>
            <w:r w:rsidRPr="00BD16B4">
              <w:rPr>
                <w:rFonts w:cs="Calibri"/>
                <w:sz w:val="14"/>
                <w:szCs w:val="14"/>
                <w:vertAlign w:val="superscript"/>
              </w:rPr>
              <w:t>2</w:t>
            </w:r>
            <w:r w:rsidRPr="00BD16B4">
              <w:rPr>
                <w:rFonts w:cs="Calibri"/>
                <w:sz w:val="14"/>
                <w:szCs w:val="14"/>
              </w:rPr>
              <w:t xml:space="preserve"> are required to begin a National Australian Built Environment Rating System New Zealand (NABERSNZ™) assessment at the next available opportunity (such as a lease renewal). Agencies entering a new lease or renewing an existing lease should target the building achieving a minimum of a 4-star rating. Agencies planning a new build project need to achieve a minimum of a 5-star rating.</w:t>
            </w:r>
          </w:p>
        </w:tc>
        <w:tc>
          <w:tcPr>
            <w:tcW w:w="567" w:type="dxa"/>
            <w:tcBorders>
              <w:bottom w:val="single" w:sz="4" w:space="0" w:color="1B556B" w:themeColor="text2"/>
            </w:tcBorders>
            <w:shd w:val="clear" w:color="auto" w:fill="auto"/>
          </w:tcPr>
          <w:p w14:paraId="47BCE669" w14:textId="77777777" w:rsidR="00CA1920" w:rsidRPr="00BD16B4" w:rsidRDefault="00CA1920" w:rsidP="000E1111">
            <w:pPr>
              <w:pStyle w:val="TableText"/>
              <w:spacing w:before="20" w:after="20" w:line="240" w:lineRule="auto"/>
              <w:rPr>
                <w:rFonts w:cs="Calibri"/>
                <w:sz w:val="14"/>
                <w:szCs w:val="14"/>
              </w:rPr>
            </w:pPr>
            <w:r w:rsidRPr="00BD16B4">
              <w:rPr>
                <w:rFonts w:cs="Calibri"/>
                <w:sz w:val="14"/>
                <w:szCs w:val="14"/>
              </w:rPr>
              <w:t>2021</w:t>
            </w:r>
          </w:p>
        </w:tc>
        <w:tc>
          <w:tcPr>
            <w:tcW w:w="1701" w:type="dxa"/>
            <w:tcBorders>
              <w:bottom w:val="single" w:sz="4" w:space="0" w:color="1B556B" w:themeColor="text2"/>
            </w:tcBorders>
            <w:shd w:val="clear" w:color="auto" w:fill="auto"/>
          </w:tcPr>
          <w:p w14:paraId="34E02422" w14:textId="77777777" w:rsidR="00CA1920" w:rsidRPr="00BD16B4" w:rsidRDefault="00CA1920" w:rsidP="000E1111">
            <w:pPr>
              <w:pStyle w:val="TableText"/>
              <w:spacing w:before="20" w:after="20" w:line="240" w:lineRule="auto"/>
              <w:rPr>
                <w:sz w:val="14"/>
                <w:szCs w:val="18"/>
              </w:rPr>
            </w:pPr>
            <w:r w:rsidRPr="00BD16B4">
              <w:rPr>
                <w:rFonts w:cs="Calibri"/>
                <w:sz w:val="14"/>
                <w:szCs w:val="14"/>
              </w:rPr>
              <w:t>Ministry of Business, Innovation and Employment</w:t>
            </w:r>
          </w:p>
        </w:tc>
        <w:tc>
          <w:tcPr>
            <w:tcW w:w="851" w:type="dxa"/>
            <w:tcBorders>
              <w:bottom w:val="single" w:sz="4" w:space="0" w:color="1B556B" w:themeColor="text2"/>
            </w:tcBorders>
            <w:shd w:val="clear" w:color="auto" w:fill="auto"/>
          </w:tcPr>
          <w:p w14:paraId="15D70BF7" w14:textId="77777777" w:rsidR="00CA1920" w:rsidRPr="00BD16B4" w:rsidRDefault="00CA1920" w:rsidP="005173B2">
            <w:pPr>
              <w:pStyle w:val="TableText"/>
              <w:spacing w:before="20" w:after="20" w:line="240" w:lineRule="auto"/>
              <w:rPr>
                <w:rFonts w:cs="Calibri"/>
                <w:sz w:val="14"/>
                <w:szCs w:val="18"/>
              </w:rPr>
            </w:pPr>
            <w:r w:rsidRPr="00BD16B4">
              <w:rPr>
                <w:rFonts w:cs="Calibri"/>
                <w:sz w:val="14"/>
                <w:szCs w:val="14"/>
              </w:rPr>
              <w:t>NE</w:t>
            </w:r>
          </w:p>
        </w:tc>
        <w:tc>
          <w:tcPr>
            <w:tcW w:w="850" w:type="dxa"/>
            <w:tcBorders>
              <w:bottom w:val="single" w:sz="4" w:space="0" w:color="1B556B" w:themeColor="text2"/>
            </w:tcBorders>
            <w:shd w:val="clear" w:color="auto" w:fill="auto"/>
          </w:tcPr>
          <w:p w14:paraId="75F2AD83" w14:textId="77777777" w:rsidR="00CA1920" w:rsidRPr="00BD16B4" w:rsidRDefault="00CA1920" w:rsidP="000E1111">
            <w:pPr>
              <w:pStyle w:val="TableText"/>
              <w:spacing w:before="20" w:after="20" w:line="240" w:lineRule="auto"/>
              <w:rPr>
                <w:rFonts w:cs="Calibri"/>
                <w:sz w:val="14"/>
                <w:szCs w:val="18"/>
              </w:rPr>
            </w:pPr>
            <w:r w:rsidRPr="00BD16B4">
              <w:rPr>
                <w:rFonts w:cs="Calibri"/>
                <w:sz w:val="14"/>
                <w:szCs w:val="14"/>
              </w:rPr>
              <w:t>NE</w:t>
            </w:r>
          </w:p>
        </w:tc>
        <w:tc>
          <w:tcPr>
            <w:tcW w:w="851" w:type="dxa"/>
            <w:tcBorders>
              <w:bottom w:val="single" w:sz="4" w:space="0" w:color="1B556B" w:themeColor="text2"/>
            </w:tcBorders>
            <w:shd w:val="clear" w:color="auto" w:fill="auto"/>
          </w:tcPr>
          <w:p w14:paraId="79F76FED" w14:textId="77777777" w:rsidR="00CA1920" w:rsidRPr="00BD16B4" w:rsidRDefault="00CA1920" w:rsidP="005173B2">
            <w:pPr>
              <w:pStyle w:val="TableText"/>
              <w:spacing w:before="20" w:after="20" w:line="240" w:lineRule="auto"/>
              <w:rPr>
                <w:rFonts w:cs="Calibri"/>
                <w:sz w:val="14"/>
                <w:szCs w:val="14"/>
              </w:rPr>
            </w:pPr>
            <w:r w:rsidRPr="00BD16B4">
              <w:rPr>
                <w:rFonts w:cs="Calibri"/>
                <w:sz w:val="14"/>
                <w:szCs w:val="14"/>
              </w:rPr>
              <w:t>NE</w:t>
            </w:r>
          </w:p>
        </w:tc>
      </w:tr>
      <w:tr w:rsidR="00CA1920" w:rsidRPr="00BD16B4" w14:paraId="47987FD1" w14:textId="77777777" w:rsidTr="000A136D">
        <w:trPr>
          <w:cantSplit/>
        </w:trPr>
        <w:tc>
          <w:tcPr>
            <w:tcW w:w="14572" w:type="dxa"/>
            <w:gridSpan w:val="12"/>
            <w:shd w:val="clear" w:color="auto" w:fill="D2DDE1" w:themeFill="background2"/>
          </w:tcPr>
          <w:p w14:paraId="6D649AEE" w14:textId="77777777" w:rsidR="00CA1920" w:rsidRPr="00BD16B4" w:rsidRDefault="00CA1920" w:rsidP="005173B2">
            <w:pPr>
              <w:pStyle w:val="TableText"/>
              <w:spacing w:before="40" w:after="40" w:line="240" w:lineRule="auto"/>
              <w:rPr>
                <w:rFonts w:cs="Calibri"/>
                <w:b/>
                <w:color w:val="000000"/>
                <w:sz w:val="14"/>
                <w:szCs w:val="14"/>
              </w:rPr>
            </w:pPr>
            <w:r w:rsidRPr="00BD16B4">
              <w:rPr>
                <w:rFonts w:cs="Calibri"/>
                <w:b/>
                <w:color w:val="000000"/>
                <w:sz w:val="14"/>
                <w:szCs w:val="14"/>
              </w:rPr>
              <w:t xml:space="preserve">Cross-cutting policies and measures: climate innovation </w:t>
            </w:r>
            <w:r w:rsidRPr="00BD16B4">
              <w:rPr>
                <w:rFonts w:cs="Calibri"/>
                <w:b/>
                <w:bCs/>
                <w:color w:val="000000"/>
                <w:sz w:val="14"/>
                <w:szCs w:val="14"/>
              </w:rPr>
              <w:t>platforms</w:t>
            </w:r>
          </w:p>
        </w:tc>
      </w:tr>
      <w:tr w:rsidR="006709EC" w:rsidRPr="00BD16B4" w14:paraId="0C4BDB5D" w14:textId="77777777" w:rsidTr="006709EC">
        <w:tc>
          <w:tcPr>
            <w:tcW w:w="1632" w:type="dxa"/>
            <w:shd w:val="clear" w:color="auto" w:fill="auto"/>
          </w:tcPr>
          <w:p w14:paraId="406C495F" w14:textId="77777777" w:rsidR="00CA1920" w:rsidRPr="00BD16B4" w:rsidRDefault="00CA1920" w:rsidP="000E1111">
            <w:pPr>
              <w:pStyle w:val="TableText"/>
              <w:spacing w:before="20" w:after="20" w:line="240" w:lineRule="auto"/>
              <w:rPr>
                <w:sz w:val="14"/>
                <w:szCs w:val="18"/>
              </w:rPr>
            </w:pPr>
            <w:r w:rsidRPr="00BD16B4">
              <w:rPr>
                <w:sz w:val="14"/>
                <w:szCs w:val="18"/>
              </w:rPr>
              <w:t xml:space="preserve">Climate innovation platforms </w:t>
            </w:r>
          </w:p>
        </w:tc>
        <w:tc>
          <w:tcPr>
            <w:tcW w:w="1316" w:type="dxa"/>
            <w:shd w:val="clear" w:color="auto" w:fill="auto"/>
          </w:tcPr>
          <w:p w14:paraId="15479030" w14:textId="77777777" w:rsidR="00CA1920" w:rsidRPr="00BD16B4" w:rsidRDefault="00CA1920" w:rsidP="000E1111">
            <w:pPr>
              <w:pStyle w:val="TableText"/>
              <w:spacing w:before="20" w:after="20" w:line="240" w:lineRule="auto"/>
              <w:rPr>
                <w:rFonts w:cs="Calibri"/>
                <w:color w:val="000000"/>
                <w:sz w:val="14"/>
                <w:szCs w:val="14"/>
              </w:rPr>
            </w:pPr>
            <w:r w:rsidRPr="00BD16B4">
              <w:rPr>
                <w:rFonts w:cs="Calibri"/>
                <w:color w:val="000000"/>
                <w:sz w:val="14"/>
                <w:szCs w:val="14"/>
              </w:rPr>
              <w:t>Energy, transport, agriculture, waste, IPPU, LULUCF</w:t>
            </w:r>
          </w:p>
        </w:tc>
        <w:tc>
          <w:tcPr>
            <w:tcW w:w="567" w:type="dxa"/>
            <w:shd w:val="clear" w:color="auto" w:fill="auto"/>
          </w:tcPr>
          <w:p w14:paraId="757350A2" w14:textId="77777777" w:rsidR="00CA1920" w:rsidRPr="00BD16B4" w:rsidRDefault="00CA1920" w:rsidP="000E1111">
            <w:pPr>
              <w:pStyle w:val="TableText"/>
              <w:spacing w:before="20" w:after="20" w:line="240" w:lineRule="auto"/>
              <w:rPr>
                <w:rFonts w:cs="Calibri"/>
                <w:color w:val="000000"/>
                <w:sz w:val="14"/>
                <w:szCs w:val="14"/>
              </w:rPr>
            </w:pPr>
            <w:r w:rsidRPr="00BD16B4">
              <w:rPr>
                <w:rFonts w:cs="Calibri"/>
                <w:color w:val="000000"/>
                <w:sz w:val="14"/>
                <w:szCs w:val="14"/>
              </w:rPr>
              <w:t>CO</w:t>
            </w:r>
            <w:r w:rsidRPr="00BD16B4">
              <w:rPr>
                <w:rFonts w:cs="Calibri"/>
                <w:color w:val="000000"/>
                <w:sz w:val="14"/>
                <w:szCs w:val="14"/>
                <w:vertAlign w:val="subscript"/>
              </w:rPr>
              <w:t>2</w:t>
            </w:r>
            <w:r w:rsidRPr="00BD16B4">
              <w:rPr>
                <w:rFonts w:cs="Calibri"/>
                <w:color w:val="000000"/>
                <w:sz w:val="14"/>
                <w:szCs w:val="14"/>
              </w:rPr>
              <w:t>, CH</w:t>
            </w:r>
            <w:r w:rsidRPr="00BD16B4">
              <w:rPr>
                <w:rFonts w:cs="Calibri"/>
                <w:color w:val="000000"/>
                <w:sz w:val="14"/>
                <w:szCs w:val="14"/>
                <w:vertAlign w:val="subscript"/>
              </w:rPr>
              <w:t>4</w:t>
            </w:r>
            <w:r w:rsidRPr="00BD16B4">
              <w:rPr>
                <w:rFonts w:cs="Calibri"/>
                <w:color w:val="000000"/>
                <w:sz w:val="14"/>
                <w:szCs w:val="14"/>
              </w:rPr>
              <w:t>, N</w:t>
            </w:r>
            <w:r w:rsidRPr="00BD16B4">
              <w:rPr>
                <w:rFonts w:cs="Calibri"/>
                <w:color w:val="000000"/>
                <w:sz w:val="14"/>
                <w:szCs w:val="14"/>
                <w:vertAlign w:val="subscript"/>
              </w:rPr>
              <w:t>2</w:t>
            </w:r>
            <w:r w:rsidRPr="00BD16B4">
              <w:rPr>
                <w:rFonts w:cs="Calibri"/>
                <w:color w:val="000000"/>
                <w:sz w:val="14"/>
                <w:szCs w:val="14"/>
              </w:rPr>
              <w:t>O, PFCs, HFCs, SF</w:t>
            </w:r>
            <w:r w:rsidRPr="00BD16B4">
              <w:rPr>
                <w:rFonts w:cs="Calibri"/>
                <w:color w:val="000000"/>
                <w:sz w:val="14"/>
                <w:szCs w:val="14"/>
                <w:vertAlign w:val="subscript"/>
              </w:rPr>
              <w:t>6</w:t>
            </w:r>
          </w:p>
        </w:tc>
        <w:tc>
          <w:tcPr>
            <w:tcW w:w="1701" w:type="dxa"/>
            <w:shd w:val="clear" w:color="auto" w:fill="auto"/>
          </w:tcPr>
          <w:p w14:paraId="63E956D4" w14:textId="77777777" w:rsidR="00CA1920" w:rsidRPr="00BD16B4" w:rsidRDefault="00CA1920" w:rsidP="000E1111">
            <w:pPr>
              <w:pStyle w:val="TableText"/>
              <w:spacing w:before="20" w:after="20" w:line="240" w:lineRule="auto"/>
              <w:rPr>
                <w:sz w:val="14"/>
                <w:szCs w:val="18"/>
              </w:rPr>
            </w:pPr>
            <w:r w:rsidRPr="00BD16B4">
              <w:rPr>
                <w:sz w:val="14"/>
                <w:szCs w:val="18"/>
              </w:rPr>
              <w:t>Coordinate action on key challenges and take opportunities in our shift to a low-emissions future</w:t>
            </w:r>
          </w:p>
        </w:tc>
        <w:tc>
          <w:tcPr>
            <w:tcW w:w="1134" w:type="dxa"/>
            <w:shd w:val="clear" w:color="auto" w:fill="auto"/>
          </w:tcPr>
          <w:p w14:paraId="09B4E626" w14:textId="77777777" w:rsidR="00CA1920" w:rsidRPr="00BD16B4" w:rsidRDefault="00CA1920" w:rsidP="000E1111">
            <w:pPr>
              <w:pStyle w:val="TableText"/>
              <w:spacing w:before="20" w:after="20" w:line="240" w:lineRule="auto"/>
              <w:rPr>
                <w:sz w:val="14"/>
                <w:szCs w:val="18"/>
              </w:rPr>
            </w:pPr>
            <w:r w:rsidRPr="00BD16B4">
              <w:rPr>
                <w:sz w:val="14"/>
                <w:szCs w:val="18"/>
              </w:rPr>
              <w:t>Other</w:t>
            </w:r>
          </w:p>
        </w:tc>
        <w:tc>
          <w:tcPr>
            <w:tcW w:w="992" w:type="dxa"/>
            <w:shd w:val="clear" w:color="auto" w:fill="auto"/>
          </w:tcPr>
          <w:p w14:paraId="7BEDFF31" w14:textId="77777777" w:rsidR="00CA1920" w:rsidRPr="00BD16B4" w:rsidRDefault="00CA1920" w:rsidP="000E1111">
            <w:pPr>
              <w:pStyle w:val="TableText"/>
              <w:spacing w:before="20" w:after="20" w:line="240" w:lineRule="auto"/>
              <w:rPr>
                <w:sz w:val="14"/>
                <w:szCs w:val="18"/>
              </w:rPr>
            </w:pPr>
            <w:r w:rsidRPr="00BD16B4">
              <w:rPr>
                <w:sz w:val="14"/>
                <w:szCs w:val="18"/>
              </w:rPr>
              <w:t>Adopted</w:t>
            </w:r>
          </w:p>
        </w:tc>
        <w:tc>
          <w:tcPr>
            <w:tcW w:w="2410" w:type="dxa"/>
            <w:shd w:val="clear" w:color="auto" w:fill="auto"/>
          </w:tcPr>
          <w:p w14:paraId="7463EE43" w14:textId="77777777" w:rsidR="00CA1920" w:rsidRPr="00BD16B4" w:rsidRDefault="00CA1920" w:rsidP="000E1111">
            <w:pPr>
              <w:pStyle w:val="TableText"/>
              <w:spacing w:before="20" w:after="20" w:line="240" w:lineRule="auto"/>
              <w:rPr>
                <w:sz w:val="14"/>
                <w:szCs w:val="18"/>
              </w:rPr>
            </w:pPr>
            <w:r w:rsidRPr="00BD16B4">
              <w:rPr>
                <w:sz w:val="14"/>
                <w:szCs w:val="18"/>
              </w:rPr>
              <w:t xml:space="preserve">This all-of-government approach will use a wide range of tools and approaches including proactive policy, regulatory settings and innovation tools to ensure that ideas from here and around the world can be implemented quickly. </w:t>
            </w:r>
          </w:p>
        </w:tc>
        <w:tc>
          <w:tcPr>
            <w:tcW w:w="567" w:type="dxa"/>
            <w:shd w:val="clear" w:color="auto" w:fill="auto"/>
          </w:tcPr>
          <w:p w14:paraId="38B87D19" w14:textId="77777777" w:rsidR="00CA1920" w:rsidRPr="00BD16B4" w:rsidRDefault="00CA1920" w:rsidP="000E1111">
            <w:pPr>
              <w:pStyle w:val="TableText"/>
              <w:spacing w:before="20" w:after="20" w:line="240" w:lineRule="auto"/>
              <w:rPr>
                <w:sz w:val="14"/>
                <w:szCs w:val="18"/>
              </w:rPr>
            </w:pPr>
            <w:r w:rsidRPr="00BD16B4">
              <w:rPr>
                <w:sz w:val="14"/>
                <w:szCs w:val="18"/>
              </w:rPr>
              <w:t>TBC</w:t>
            </w:r>
          </w:p>
        </w:tc>
        <w:tc>
          <w:tcPr>
            <w:tcW w:w="1701" w:type="dxa"/>
            <w:shd w:val="clear" w:color="auto" w:fill="auto"/>
          </w:tcPr>
          <w:p w14:paraId="18A3EC32" w14:textId="77777777" w:rsidR="00CA1920" w:rsidRPr="00BD16B4" w:rsidRDefault="00CA1920" w:rsidP="000E1111">
            <w:pPr>
              <w:pStyle w:val="TableText"/>
              <w:spacing w:before="20" w:after="20" w:line="240" w:lineRule="auto"/>
              <w:rPr>
                <w:sz w:val="14"/>
                <w:szCs w:val="18"/>
              </w:rPr>
            </w:pPr>
            <w:r w:rsidRPr="00BD16B4">
              <w:rPr>
                <w:sz w:val="14"/>
                <w:szCs w:val="18"/>
              </w:rPr>
              <w:t>Ministry of Business, Innovation and Employment</w:t>
            </w:r>
          </w:p>
        </w:tc>
        <w:tc>
          <w:tcPr>
            <w:tcW w:w="851" w:type="dxa"/>
            <w:shd w:val="clear" w:color="auto" w:fill="auto"/>
          </w:tcPr>
          <w:p w14:paraId="63A8F1E9" w14:textId="77777777" w:rsidR="00CA1920" w:rsidRPr="00BD16B4" w:rsidRDefault="00CA1920" w:rsidP="005173B2">
            <w:pPr>
              <w:pStyle w:val="TableText"/>
              <w:spacing w:before="20" w:after="20" w:line="240" w:lineRule="auto"/>
              <w:rPr>
                <w:rFonts w:cs="Calibri"/>
                <w:color w:val="000000"/>
                <w:sz w:val="14"/>
                <w:szCs w:val="18"/>
              </w:rPr>
            </w:pPr>
            <w:r w:rsidRPr="00BD16B4">
              <w:rPr>
                <w:rFonts w:cs="Calibri"/>
                <w:color w:val="000000"/>
                <w:sz w:val="14"/>
                <w:szCs w:val="18"/>
              </w:rPr>
              <w:t>NE</w:t>
            </w:r>
          </w:p>
        </w:tc>
        <w:tc>
          <w:tcPr>
            <w:tcW w:w="850" w:type="dxa"/>
            <w:shd w:val="clear" w:color="auto" w:fill="auto"/>
          </w:tcPr>
          <w:p w14:paraId="635556E0" w14:textId="77777777" w:rsidR="00CA1920" w:rsidRPr="00BD16B4" w:rsidRDefault="00CA1920" w:rsidP="000E1111">
            <w:pPr>
              <w:pStyle w:val="TableText"/>
              <w:spacing w:before="20" w:after="20" w:line="240" w:lineRule="auto"/>
              <w:rPr>
                <w:rFonts w:cs="Calibri"/>
                <w:color w:val="000000"/>
                <w:sz w:val="14"/>
                <w:szCs w:val="18"/>
              </w:rPr>
            </w:pPr>
            <w:r w:rsidRPr="00BD16B4">
              <w:rPr>
                <w:rFonts w:cs="Calibri"/>
                <w:color w:val="000000"/>
                <w:sz w:val="14"/>
                <w:szCs w:val="18"/>
              </w:rPr>
              <w:t>NE</w:t>
            </w:r>
          </w:p>
        </w:tc>
        <w:tc>
          <w:tcPr>
            <w:tcW w:w="851" w:type="dxa"/>
            <w:shd w:val="clear" w:color="auto" w:fill="auto"/>
          </w:tcPr>
          <w:p w14:paraId="5BF2CA68" w14:textId="77777777" w:rsidR="00CA1920" w:rsidRPr="00BD16B4" w:rsidRDefault="00CA1920" w:rsidP="005173B2">
            <w:pPr>
              <w:pStyle w:val="TableText"/>
              <w:spacing w:before="20" w:after="20" w:line="240" w:lineRule="auto"/>
              <w:rPr>
                <w:rFonts w:cs="Calibri"/>
                <w:color w:val="000000"/>
                <w:sz w:val="14"/>
                <w:szCs w:val="14"/>
              </w:rPr>
            </w:pPr>
            <w:r w:rsidRPr="00BD16B4">
              <w:rPr>
                <w:rFonts w:cs="Calibri"/>
                <w:color w:val="000000"/>
                <w:sz w:val="14"/>
                <w:szCs w:val="14"/>
              </w:rPr>
              <w:t>NE</w:t>
            </w:r>
          </w:p>
        </w:tc>
      </w:tr>
      <w:tr w:rsidR="00CA1920" w:rsidRPr="00BD16B4" w14:paraId="77814B7F" w14:textId="77777777" w:rsidTr="000A136D">
        <w:tc>
          <w:tcPr>
            <w:tcW w:w="14572" w:type="dxa"/>
            <w:gridSpan w:val="12"/>
            <w:shd w:val="clear" w:color="auto" w:fill="D2DDE1" w:themeFill="background2"/>
          </w:tcPr>
          <w:p w14:paraId="552B419F" w14:textId="77777777" w:rsidR="00CA1920" w:rsidRPr="00BD16B4" w:rsidRDefault="00CA1920" w:rsidP="005173B2">
            <w:pPr>
              <w:pStyle w:val="TableText"/>
              <w:spacing w:before="40" w:after="40" w:line="240" w:lineRule="auto"/>
              <w:rPr>
                <w:rFonts w:cs="Calibri"/>
                <w:b/>
                <w:bCs/>
                <w:color w:val="000000"/>
                <w:sz w:val="14"/>
                <w:szCs w:val="14"/>
              </w:rPr>
            </w:pPr>
            <w:r w:rsidRPr="00BD16B4">
              <w:rPr>
                <w:rFonts w:cs="Calibri"/>
                <w:b/>
                <w:bCs/>
                <w:color w:val="000000"/>
                <w:sz w:val="14"/>
                <w:szCs w:val="14"/>
              </w:rPr>
              <w:t>Energy: strategic approaches to manage the phase-out of fossil fuels</w:t>
            </w:r>
          </w:p>
        </w:tc>
      </w:tr>
      <w:tr w:rsidR="00507FA1" w:rsidRPr="00BD16B4" w14:paraId="73FC2E80" w14:textId="77777777" w:rsidTr="006709EC">
        <w:tc>
          <w:tcPr>
            <w:tcW w:w="1632" w:type="dxa"/>
            <w:shd w:val="clear" w:color="auto" w:fill="auto"/>
          </w:tcPr>
          <w:p w14:paraId="363A4611"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t>Aotearoa New Zealand Energy Strategy</w:t>
            </w:r>
          </w:p>
        </w:tc>
        <w:tc>
          <w:tcPr>
            <w:tcW w:w="1316" w:type="dxa"/>
            <w:shd w:val="clear" w:color="auto" w:fill="FFFFFF" w:themeFill="background1"/>
          </w:tcPr>
          <w:p w14:paraId="749EC89F"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t>Energy</w:t>
            </w:r>
          </w:p>
        </w:tc>
        <w:tc>
          <w:tcPr>
            <w:tcW w:w="567" w:type="dxa"/>
            <w:shd w:val="clear" w:color="auto" w:fill="FFFFFF" w:themeFill="background1"/>
          </w:tcPr>
          <w:p w14:paraId="0A8382C9"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t>CO</w:t>
            </w:r>
            <w:r w:rsidRPr="00BD16B4">
              <w:rPr>
                <w:rFonts w:cs="Calibri"/>
                <w:color w:val="000000"/>
                <w:sz w:val="14"/>
                <w:szCs w:val="14"/>
                <w:vertAlign w:val="subscript"/>
              </w:rPr>
              <w:t xml:space="preserve">2, </w:t>
            </w:r>
            <w:r w:rsidRPr="00BD16B4">
              <w:rPr>
                <w:rFonts w:cs="Calibri"/>
                <w:color w:val="000000"/>
                <w:sz w:val="14"/>
                <w:szCs w:val="14"/>
              </w:rPr>
              <w:t>CH</w:t>
            </w:r>
            <w:r w:rsidRPr="00BD16B4">
              <w:rPr>
                <w:rFonts w:cs="Calibri"/>
                <w:color w:val="000000"/>
                <w:sz w:val="14"/>
                <w:szCs w:val="14"/>
                <w:vertAlign w:val="subscript"/>
              </w:rPr>
              <w:t>4</w:t>
            </w:r>
          </w:p>
        </w:tc>
        <w:tc>
          <w:tcPr>
            <w:tcW w:w="1701" w:type="dxa"/>
            <w:shd w:val="clear" w:color="auto" w:fill="FFFFFF" w:themeFill="background1"/>
          </w:tcPr>
          <w:p w14:paraId="723D18C8"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t>Support the transition to a low-carbon economy, address strategic challenges in the energy sector and signal pathways away from fossil fuels.</w:t>
            </w:r>
          </w:p>
        </w:tc>
        <w:tc>
          <w:tcPr>
            <w:tcW w:w="1134" w:type="dxa"/>
            <w:shd w:val="clear" w:color="auto" w:fill="FFFFFF" w:themeFill="background1"/>
          </w:tcPr>
          <w:p w14:paraId="2CECA09A"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Research, regulatory</w:t>
            </w:r>
          </w:p>
        </w:tc>
        <w:tc>
          <w:tcPr>
            <w:tcW w:w="992" w:type="dxa"/>
            <w:shd w:val="clear" w:color="auto" w:fill="FFFFFF" w:themeFill="background1"/>
          </w:tcPr>
          <w:p w14:paraId="0CD9F5D0"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t>Planned</w:t>
            </w:r>
          </w:p>
        </w:tc>
        <w:tc>
          <w:tcPr>
            <w:tcW w:w="2410" w:type="dxa"/>
            <w:shd w:val="clear" w:color="auto" w:fill="FFFFFF" w:themeFill="background1"/>
          </w:tcPr>
          <w:p w14:paraId="20B7D314"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t>The Energy Strategy will help set the pathways to navigate through the energy trilemma and to provide certainty for the sector, industry and consumers. It will set the direction for New Zealand’s pathway away from fossil fuels and towards greater levels of renewable electricity and other low-emissions alternatives.</w:t>
            </w:r>
          </w:p>
        </w:tc>
        <w:tc>
          <w:tcPr>
            <w:tcW w:w="567" w:type="dxa"/>
            <w:shd w:val="clear" w:color="auto" w:fill="FFFFFF" w:themeFill="background1"/>
          </w:tcPr>
          <w:p w14:paraId="472967AE"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2022</w:t>
            </w:r>
          </w:p>
        </w:tc>
        <w:tc>
          <w:tcPr>
            <w:tcW w:w="1701" w:type="dxa"/>
            <w:shd w:val="clear" w:color="auto" w:fill="FFFFFF" w:themeFill="background1"/>
          </w:tcPr>
          <w:p w14:paraId="1A7B47A5"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color w:val="000000"/>
                <w:sz w:val="14"/>
                <w:szCs w:val="14"/>
              </w:rPr>
              <w:t>Ministry of Business, Innovation and Employment</w:t>
            </w:r>
          </w:p>
        </w:tc>
        <w:tc>
          <w:tcPr>
            <w:tcW w:w="851" w:type="dxa"/>
            <w:shd w:val="clear" w:color="auto" w:fill="FFFFFF" w:themeFill="background1"/>
          </w:tcPr>
          <w:p w14:paraId="067838B8" w14:textId="77777777" w:rsidR="00CA1920" w:rsidRPr="00BD16B4" w:rsidRDefault="00CA1920" w:rsidP="005173B2">
            <w:pPr>
              <w:pStyle w:val="TableText"/>
              <w:spacing w:before="40" w:after="40" w:line="240" w:lineRule="auto"/>
              <w:rPr>
                <w:rFonts w:cs="Calibri"/>
                <w:sz w:val="14"/>
                <w:szCs w:val="14"/>
              </w:rPr>
            </w:pPr>
            <w:r w:rsidRPr="00BD16B4">
              <w:rPr>
                <w:rFonts w:cs="Calibri"/>
                <w:color w:val="000000"/>
                <w:sz w:val="14"/>
                <w:szCs w:val="14"/>
              </w:rPr>
              <w:t>NE</w:t>
            </w:r>
          </w:p>
        </w:tc>
        <w:tc>
          <w:tcPr>
            <w:tcW w:w="850" w:type="dxa"/>
            <w:shd w:val="clear" w:color="auto" w:fill="FFFFFF" w:themeFill="background1"/>
          </w:tcPr>
          <w:p w14:paraId="4D24B206" w14:textId="77777777" w:rsidR="00CA1920" w:rsidRPr="00BD16B4" w:rsidRDefault="00CA1920" w:rsidP="002D166E">
            <w:pPr>
              <w:pStyle w:val="TableText"/>
              <w:spacing w:before="40" w:after="40" w:line="240" w:lineRule="auto"/>
              <w:rPr>
                <w:rFonts w:cs="Calibri"/>
                <w:sz w:val="14"/>
                <w:szCs w:val="14"/>
              </w:rPr>
            </w:pPr>
            <w:r w:rsidRPr="00BD16B4">
              <w:rPr>
                <w:rFonts w:cs="Calibri"/>
                <w:color w:val="000000"/>
                <w:sz w:val="14"/>
                <w:szCs w:val="14"/>
              </w:rPr>
              <w:t>NE</w:t>
            </w:r>
          </w:p>
        </w:tc>
        <w:tc>
          <w:tcPr>
            <w:tcW w:w="851" w:type="dxa"/>
            <w:shd w:val="clear" w:color="auto" w:fill="FFFFFF" w:themeFill="background1"/>
          </w:tcPr>
          <w:p w14:paraId="13CE7F74" w14:textId="77777777" w:rsidR="00CA1920" w:rsidRPr="00BD16B4" w:rsidRDefault="00CA1920" w:rsidP="005173B2">
            <w:pPr>
              <w:pStyle w:val="TableText"/>
              <w:spacing w:before="40" w:after="40" w:line="240" w:lineRule="auto"/>
              <w:rPr>
                <w:rFonts w:cs="Calibri"/>
                <w:sz w:val="14"/>
                <w:szCs w:val="14"/>
              </w:rPr>
            </w:pPr>
            <w:r w:rsidRPr="00BD16B4">
              <w:rPr>
                <w:rFonts w:cs="Calibri"/>
                <w:color w:val="000000"/>
                <w:sz w:val="14"/>
                <w:szCs w:val="14"/>
              </w:rPr>
              <w:t>NE</w:t>
            </w:r>
          </w:p>
        </w:tc>
      </w:tr>
      <w:tr w:rsidR="00507FA1" w:rsidRPr="00BD16B4" w14:paraId="0E463C0F" w14:textId="77777777" w:rsidTr="006709EC">
        <w:tc>
          <w:tcPr>
            <w:tcW w:w="1632" w:type="dxa"/>
            <w:shd w:val="clear" w:color="auto" w:fill="auto"/>
          </w:tcPr>
          <w:p w14:paraId="2C90C888"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New Zealand Energy Efficiency and Conservation Strategy (NZEECS) 2017–2022</w:t>
            </w:r>
          </w:p>
        </w:tc>
        <w:tc>
          <w:tcPr>
            <w:tcW w:w="1316" w:type="dxa"/>
            <w:shd w:val="clear" w:color="auto" w:fill="FFFFFF" w:themeFill="background1"/>
          </w:tcPr>
          <w:p w14:paraId="4969CFC3"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Energy</w:t>
            </w:r>
          </w:p>
        </w:tc>
        <w:tc>
          <w:tcPr>
            <w:tcW w:w="567" w:type="dxa"/>
            <w:shd w:val="clear" w:color="auto" w:fill="FFFFFF" w:themeFill="background1"/>
          </w:tcPr>
          <w:p w14:paraId="7B545B2E"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CO</w:t>
            </w:r>
            <w:r w:rsidRPr="00BD16B4">
              <w:rPr>
                <w:rFonts w:cs="Calibri"/>
                <w:sz w:val="14"/>
                <w:szCs w:val="14"/>
                <w:vertAlign w:val="subscript"/>
              </w:rPr>
              <w:t xml:space="preserve">2, </w:t>
            </w:r>
          </w:p>
        </w:tc>
        <w:tc>
          <w:tcPr>
            <w:tcW w:w="1701" w:type="dxa"/>
            <w:shd w:val="clear" w:color="auto" w:fill="FFFFFF" w:themeFill="background1"/>
          </w:tcPr>
          <w:p w14:paraId="6E3AF0C4"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Develop a new New Zealand Energy Efficiency and Conservation Strategy to better align with current energy efficiency, conservation and climate change priorities.</w:t>
            </w:r>
          </w:p>
        </w:tc>
        <w:tc>
          <w:tcPr>
            <w:tcW w:w="1134" w:type="dxa"/>
            <w:shd w:val="clear" w:color="auto" w:fill="FFFFFF" w:themeFill="background1"/>
          </w:tcPr>
          <w:p w14:paraId="66336F2F"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Research, regulatory</w:t>
            </w:r>
          </w:p>
        </w:tc>
        <w:tc>
          <w:tcPr>
            <w:tcW w:w="992" w:type="dxa"/>
            <w:shd w:val="clear" w:color="auto" w:fill="FFFFFF" w:themeFill="background1"/>
          </w:tcPr>
          <w:p w14:paraId="5E3D5223"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Planned</w:t>
            </w:r>
          </w:p>
        </w:tc>
        <w:tc>
          <w:tcPr>
            <w:tcW w:w="2410" w:type="dxa"/>
            <w:shd w:val="clear" w:color="auto" w:fill="FFFFFF" w:themeFill="background1"/>
          </w:tcPr>
          <w:p w14:paraId="7184F06A"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The new strategy will better align with the Government’s climate change and energy system priorities. It is intended that the new NZEECS will complement, and integrate with, the broader Government-led national energy strategy.</w:t>
            </w:r>
          </w:p>
        </w:tc>
        <w:tc>
          <w:tcPr>
            <w:tcW w:w="567" w:type="dxa"/>
            <w:shd w:val="clear" w:color="auto" w:fill="FFFFFF" w:themeFill="background1"/>
          </w:tcPr>
          <w:p w14:paraId="1407FB56"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2022</w:t>
            </w:r>
          </w:p>
        </w:tc>
        <w:tc>
          <w:tcPr>
            <w:tcW w:w="1701" w:type="dxa"/>
            <w:shd w:val="clear" w:color="auto" w:fill="FFFFFF" w:themeFill="background1"/>
          </w:tcPr>
          <w:p w14:paraId="1141CA38"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Ministry of Business, Innovation and Employment</w:t>
            </w:r>
          </w:p>
        </w:tc>
        <w:tc>
          <w:tcPr>
            <w:tcW w:w="851" w:type="dxa"/>
            <w:shd w:val="clear" w:color="auto" w:fill="FFFFFF" w:themeFill="background1"/>
          </w:tcPr>
          <w:p w14:paraId="23F76DC2"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shd w:val="clear" w:color="auto" w:fill="FFFFFF" w:themeFill="background1"/>
          </w:tcPr>
          <w:p w14:paraId="663A73C8" w14:textId="77777777" w:rsidR="00CA1920" w:rsidRPr="00BD16B4" w:rsidRDefault="00CA1920" w:rsidP="002D166E">
            <w:pPr>
              <w:pStyle w:val="TableText"/>
              <w:spacing w:before="40" w:after="40" w:line="240" w:lineRule="auto"/>
              <w:rPr>
                <w:rFonts w:cs="Calibri"/>
                <w:color w:val="000000" w:themeColor="text1"/>
                <w:sz w:val="14"/>
                <w:szCs w:val="14"/>
              </w:rPr>
            </w:pPr>
            <w:r w:rsidRPr="00BD16B4">
              <w:rPr>
                <w:rFonts w:cs="Calibri"/>
                <w:color w:val="000000" w:themeColor="text1"/>
                <w:sz w:val="14"/>
                <w:szCs w:val="14"/>
              </w:rPr>
              <w:t>NE</w:t>
            </w:r>
          </w:p>
        </w:tc>
        <w:tc>
          <w:tcPr>
            <w:tcW w:w="851" w:type="dxa"/>
            <w:shd w:val="clear" w:color="auto" w:fill="FFFFFF" w:themeFill="background1"/>
          </w:tcPr>
          <w:p w14:paraId="6B78A45C" w14:textId="77777777" w:rsidR="00CA1920" w:rsidRPr="00BD16B4" w:rsidRDefault="00CA1920" w:rsidP="005173B2">
            <w:pPr>
              <w:pStyle w:val="TableText"/>
              <w:spacing w:before="40" w:after="40" w:line="240" w:lineRule="auto"/>
              <w:rPr>
                <w:rFonts w:cs="Calibri"/>
                <w:color w:val="000000" w:themeColor="text1"/>
                <w:sz w:val="14"/>
                <w:szCs w:val="14"/>
              </w:rPr>
            </w:pPr>
            <w:r w:rsidRPr="00BD16B4">
              <w:rPr>
                <w:rFonts w:cs="Calibri"/>
                <w:color w:val="000000" w:themeColor="text1"/>
                <w:sz w:val="14"/>
                <w:szCs w:val="14"/>
              </w:rPr>
              <w:t>NE</w:t>
            </w:r>
          </w:p>
        </w:tc>
      </w:tr>
      <w:tr w:rsidR="00507FA1" w:rsidRPr="00BD16B4" w14:paraId="69C9E8F0" w14:textId="77777777" w:rsidTr="006709EC">
        <w:tc>
          <w:tcPr>
            <w:tcW w:w="1632" w:type="dxa"/>
            <w:shd w:val="clear" w:color="auto" w:fill="auto"/>
          </w:tcPr>
          <w:p w14:paraId="377ACED0" w14:textId="77777777" w:rsidR="00CA1920" w:rsidRPr="00BD16B4" w:rsidRDefault="00CA1920" w:rsidP="005173B2">
            <w:pPr>
              <w:pStyle w:val="TableText"/>
              <w:keepNext/>
              <w:spacing w:before="40" w:after="40" w:line="240" w:lineRule="auto"/>
              <w:rPr>
                <w:rFonts w:cs="Calibri"/>
                <w:sz w:val="14"/>
                <w:szCs w:val="14"/>
              </w:rPr>
            </w:pPr>
            <w:r w:rsidRPr="00BD16B4">
              <w:rPr>
                <w:rFonts w:cs="Calibri"/>
                <w:sz w:val="14"/>
                <w:szCs w:val="14"/>
              </w:rPr>
              <w:lastRenderedPageBreak/>
              <w:t>Hydrogen Roadmap</w:t>
            </w:r>
          </w:p>
        </w:tc>
        <w:tc>
          <w:tcPr>
            <w:tcW w:w="1316" w:type="dxa"/>
            <w:shd w:val="clear" w:color="auto" w:fill="FFFFFF" w:themeFill="background1"/>
          </w:tcPr>
          <w:p w14:paraId="7D5CC059"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Energy, industry, transport</w:t>
            </w:r>
          </w:p>
        </w:tc>
        <w:tc>
          <w:tcPr>
            <w:tcW w:w="567" w:type="dxa"/>
            <w:shd w:val="clear" w:color="auto" w:fill="FFFFFF" w:themeFill="background1"/>
          </w:tcPr>
          <w:p w14:paraId="6A4C1EC6"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CO</w:t>
            </w:r>
            <w:r w:rsidRPr="00BD16B4">
              <w:rPr>
                <w:rFonts w:cs="Calibri"/>
                <w:sz w:val="14"/>
                <w:szCs w:val="14"/>
                <w:vertAlign w:val="subscript"/>
              </w:rPr>
              <w:t>2</w:t>
            </w:r>
          </w:p>
        </w:tc>
        <w:tc>
          <w:tcPr>
            <w:tcW w:w="1701" w:type="dxa"/>
            <w:shd w:val="clear" w:color="auto" w:fill="FFFFFF" w:themeFill="background1"/>
          </w:tcPr>
          <w:p w14:paraId="0545894B"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Support the development of future fuels to decarbonise sectors of the economy.</w:t>
            </w:r>
          </w:p>
        </w:tc>
        <w:tc>
          <w:tcPr>
            <w:tcW w:w="1134" w:type="dxa"/>
            <w:shd w:val="clear" w:color="auto" w:fill="FFFFFF" w:themeFill="background1"/>
          </w:tcPr>
          <w:p w14:paraId="57B0C348"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Research, regulatory</w:t>
            </w:r>
          </w:p>
        </w:tc>
        <w:tc>
          <w:tcPr>
            <w:tcW w:w="992" w:type="dxa"/>
            <w:shd w:val="clear" w:color="auto" w:fill="FFFFFF" w:themeFill="background1"/>
          </w:tcPr>
          <w:p w14:paraId="33409479"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Planned</w:t>
            </w:r>
          </w:p>
        </w:tc>
        <w:tc>
          <w:tcPr>
            <w:tcW w:w="2410" w:type="dxa"/>
            <w:shd w:val="clear" w:color="auto" w:fill="FFFFFF" w:themeFill="background1"/>
          </w:tcPr>
          <w:p w14:paraId="4F8CAE56" w14:textId="77777777" w:rsidR="00CA1920" w:rsidRPr="00BD16B4" w:rsidDel="00873F63" w:rsidRDefault="00CA1920" w:rsidP="002D166E">
            <w:pPr>
              <w:pStyle w:val="TableText"/>
              <w:spacing w:before="40" w:after="40" w:line="240" w:lineRule="auto"/>
              <w:rPr>
                <w:rFonts w:cs="Calibri"/>
                <w:sz w:val="14"/>
                <w:szCs w:val="14"/>
              </w:rPr>
            </w:pPr>
            <w:r w:rsidRPr="00BD16B4">
              <w:rPr>
                <w:rFonts w:cs="Calibri"/>
                <w:sz w:val="14"/>
                <w:szCs w:val="14"/>
              </w:rPr>
              <w:t xml:space="preserve">The Government will develop a hydrogen roadmap for New Zealand by 2023. This roadmap will build on the Vision for Hydrogen in New Zealand, published in September 2019, to set a strategy guiding investment in hydrogen, and maximising economic benefits and emissions reductions. </w:t>
            </w:r>
          </w:p>
        </w:tc>
        <w:tc>
          <w:tcPr>
            <w:tcW w:w="567" w:type="dxa"/>
            <w:shd w:val="clear" w:color="auto" w:fill="FFFFFF" w:themeFill="background1"/>
          </w:tcPr>
          <w:p w14:paraId="630904EA"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2022</w:t>
            </w:r>
          </w:p>
        </w:tc>
        <w:tc>
          <w:tcPr>
            <w:tcW w:w="1701" w:type="dxa"/>
            <w:shd w:val="clear" w:color="auto" w:fill="FFFFFF" w:themeFill="background1"/>
          </w:tcPr>
          <w:p w14:paraId="6C0E5F85" w14:textId="77777777" w:rsidR="00CA1920" w:rsidRPr="00BD16B4" w:rsidDel="00873F63" w:rsidRDefault="00CA1920" w:rsidP="002D166E">
            <w:pPr>
              <w:pStyle w:val="TableText"/>
              <w:spacing w:before="40" w:after="40" w:line="240" w:lineRule="auto"/>
              <w:rPr>
                <w:rFonts w:cs="Calibri"/>
                <w:sz w:val="14"/>
                <w:szCs w:val="14"/>
              </w:rPr>
            </w:pPr>
            <w:r w:rsidRPr="00BD16B4">
              <w:rPr>
                <w:rFonts w:cs="Calibri"/>
                <w:sz w:val="14"/>
                <w:szCs w:val="14"/>
              </w:rPr>
              <w:t>Ministry of Business, Innovation and Employment</w:t>
            </w:r>
          </w:p>
        </w:tc>
        <w:tc>
          <w:tcPr>
            <w:tcW w:w="851" w:type="dxa"/>
            <w:shd w:val="clear" w:color="auto" w:fill="FFFFFF" w:themeFill="background1"/>
          </w:tcPr>
          <w:p w14:paraId="7E735B56"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shd w:val="clear" w:color="auto" w:fill="FFFFFF" w:themeFill="background1"/>
          </w:tcPr>
          <w:p w14:paraId="2A83F358"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shd w:val="clear" w:color="auto" w:fill="FFFFFF" w:themeFill="background1"/>
          </w:tcPr>
          <w:p w14:paraId="231B4F9C" w14:textId="77777777" w:rsidR="00CA1920" w:rsidRPr="00BD16B4" w:rsidRDefault="00CA1920" w:rsidP="005173B2">
            <w:pPr>
              <w:pStyle w:val="TableText"/>
              <w:spacing w:before="40" w:after="40" w:line="240" w:lineRule="auto"/>
              <w:rPr>
                <w:rFonts w:cs="Calibri"/>
                <w:color w:val="E8A67D" w:themeColor="accent6" w:themeTint="99"/>
                <w:sz w:val="14"/>
                <w:szCs w:val="14"/>
              </w:rPr>
            </w:pPr>
            <w:r w:rsidRPr="00BD16B4">
              <w:rPr>
                <w:rFonts w:cs="Calibri"/>
                <w:color w:val="000000"/>
                <w:sz w:val="14"/>
                <w:szCs w:val="14"/>
              </w:rPr>
              <w:t>NE</w:t>
            </w:r>
          </w:p>
        </w:tc>
      </w:tr>
      <w:tr w:rsidR="00507FA1" w:rsidRPr="00BD16B4" w14:paraId="10335809" w14:textId="77777777" w:rsidTr="006709EC">
        <w:tc>
          <w:tcPr>
            <w:tcW w:w="1632" w:type="dxa"/>
            <w:tcBorders>
              <w:bottom w:val="single" w:sz="4" w:space="0" w:color="1B556B" w:themeColor="text2"/>
            </w:tcBorders>
            <w:shd w:val="clear" w:color="auto" w:fill="auto"/>
          </w:tcPr>
          <w:p w14:paraId="01FA3428" w14:textId="77777777" w:rsidR="00CA1920" w:rsidRPr="00BD16B4" w:rsidRDefault="00CA1920" w:rsidP="00F052EC">
            <w:pPr>
              <w:pStyle w:val="TableText"/>
              <w:keepNext/>
              <w:spacing w:before="40" w:after="40" w:line="240" w:lineRule="auto"/>
              <w:rPr>
                <w:rFonts w:cs="Calibri"/>
                <w:sz w:val="14"/>
                <w:szCs w:val="14"/>
              </w:rPr>
            </w:pPr>
            <w:r w:rsidRPr="00BD16B4">
              <w:rPr>
                <w:rFonts w:cs="Calibri"/>
                <w:sz w:val="14"/>
                <w:szCs w:val="14"/>
              </w:rPr>
              <w:t>Gas Transition Plan</w:t>
            </w:r>
          </w:p>
        </w:tc>
        <w:tc>
          <w:tcPr>
            <w:tcW w:w="1316" w:type="dxa"/>
            <w:tcBorders>
              <w:bottom w:val="single" w:sz="4" w:space="0" w:color="1B556B" w:themeColor="text2"/>
            </w:tcBorders>
            <w:shd w:val="clear" w:color="auto" w:fill="FFFFFF" w:themeFill="background1"/>
          </w:tcPr>
          <w:p w14:paraId="76AF8465"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Energy</w:t>
            </w:r>
          </w:p>
        </w:tc>
        <w:tc>
          <w:tcPr>
            <w:tcW w:w="567" w:type="dxa"/>
            <w:tcBorders>
              <w:bottom w:val="single" w:sz="4" w:space="0" w:color="1B556B" w:themeColor="text2"/>
            </w:tcBorders>
            <w:shd w:val="clear" w:color="auto" w:fill="FFFFFF" w:themeFill="background1"/>
          </w:tcPr>
          <w:p w14:paraId="46771ACB"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CO</w:t>
            </w:r>
            <w:r w:rsidRPr="00BD16B4">
              <w:rPr>
                <w:rFonts w:cs="Calibri"/>
                <w:sz w:val="14"/>
                <w:szCs w:val="14"/>
                <w:vertAlign w:val="subscript"/>
              </w:rPr>
              <w:t xml:space="preserve">2, </w:t>
            </w:r>
            <w:r w:rsidRPr="00BD16B4">
              <w:rPr>
                <w:rFonts w:cs="Calibri"/>
                <w:sz w:val="14"/>
                <w:szCs w:val="14"/>
              </w:rPr>
              <w:t>CH</w:t>
            </w:r>
            <w:r w:rsidRPr="00BD16B4">
              <w:rPr>
                <w:rFonts w:cs="Calibri"/>
                <w:sz w:val="14"/>
                <w:szCs w:val="14"/>
                <w:vertAlign w:val="subscript"/>
              </w:rPr>
              <w:t>4</w:t>
            </w:r>
          </w:p>
        </w:tc>
        <w:tc>
          <w:tcPr>
            <w:tcW w:w="1701" w:type="dxa"/>
            <w:tcBorders>
              <w:bottom w:val="single" w:sz="4" w:space="0" w:color="1B556B" w:themeColor="text2"/>
            </w:tcBorders>
            <w:shd w:val="clear" w:color="auto" w:fill="FFFFFF" w:themeFill="background1"/>
          </w:tcPr>
          <w:p w14:paraId="624BB124"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Set a pathway to reduce reliance on fossil gas through a gas transition plan.</w:t>
            </w:r>
          </w:p>
        </w:tc>
        <w:tc>
          <w:tcPr>
            <w:tcW w:w="1134" w:type="dxa"/>
            <w:tcBorders>
              <w:bottom w:val="single" w:sz="4" w:space="0" w:color="1B556B" w:themeColor="text2"/>
            </w:tcBorders>
            <w:shd w:val="clear" w:color="auto" w:fill="FFFFFF" w:themeFill="background1"/>
          </w:tcPr>
          <w:p w14:paraId="0CD7924A"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Research, regulatory</w:t>
            </w:r>
          </w:p>
        </w:tc>
        <w:tc>
          <w:tcPr>
            <w:tcW w:w="992" w:type="dxa"/>
            <w:tcBorders>
              <w:bottom w:val="single" w:sz="4" w:space="0" w:color="1B556B" w:themeColor="text2"/>
            </w:tcBorders>
            <w:shd w:val="clear" w:color="auto" w:fill="FFFFFF" w:themeFill="background1"/>
          </w:tcPr>
          <w:p w14:paraId="4513DD0D"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Planned</w:t>
            </w:r>
          </w:p>
        </w:tc>
        <w:tc>
          <w:tcPr>
            <w:tcW w:w="2410" w:type="dxa"/>
            <w:tcBorders>
              <w:bottom w:val="single" w:sz="4" w:space="0" w:color="1B556B" w:themeColor="text2"/>
            </w:tcBorders>
            <w:shd w:val="clear" w:color="auto" w:fill="FFFFFF" w:themeFill="background1"/>
          </w:tcPr>
          <w:p w14:paraId="26141018" w14:textId="77777777" w:rsidR="00CA1920" w:rsidRPr="00BD16B4" w:rsidDel="00873F63" w:rsidRDefault="00CA1920" w:rsidP="002D166E">
            <w:pPr>
              <w:pStyle w:val="TableText"/>
              <w:spacing w:before="40" w:after="40" w:line="240" w:lineRule="auto"/>
              <w:rPr>
                <w:rFonts w:cs="Calibri"/>
                <w:sz w:val="14"/>
                <w:szCs w:val="14"/>
              </w:rPr>
            </w:pPr>
            <w:r w:rsidRPr="00BD16B4">
              <w:rPr>
                <w:rFonts w:cs="Calibri"/>
                <w:sz w:val="14"/>
                <w:szCs w:val="14"/>
              </w:rPr>
              <w:t>The Gas Transition Plan will set out a transition pathway for the fossil gas industry, explore opportunities for renewable gases and contribute to an equitable transition as we reduce our reliance on fossil gas.</w:t>
            </w:r>
          </w:p>
        </w:tc>
        <w:tc>
          <w:tcPr>
            <w:tcW w:w="567" w:type="dxa"/>
            <w:tcBorders>
              <w:bottom w:val="single" w:sz="4" w:space="0" w:color="1B556B" w:themeColor="text2"/>
            </w:tcBorders>
            <w:shd w:val="clear" w:color="auto" w:fill="FFFFFF" w:themeFill="background1"/>
          </w:tcPr>
          <w:p w14:paraId="6ABA306C"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2022</w:t>
            </w:r>
          </w:p>
        </w:tc>
        <w:tc>
          <w:tcPr>
            <w:tcW w:w="1701" w:type="dxa"/>
            <w:tcBorders>
              <w:bottom w:val="single" w:sz="4" w:space="0" w:color="1B556B" w:themeColor="text2"/>
            </w:tcBorders>
            <w:shd w:val="clear" w:color="auto" w:fill="FFFFFF" w:themeFill="background1"/>
          </w:tcPr>
          <w:p w14:paraId="03E098EC" w14:textId="77777777" w:rsidR="00CA1920" w:rsidRPr="00BD16B4" w:rsidDel="00873F63" w:rsidRDefault="00CA1920" w:rsidP="002D166E">
            <w:pPr>
              <w:pStyle w:val="TableText"/>
              <w:spacing w:before="40" w:after="40" w:line="240" w:lineRule="auto"/>
              <w:rPr>
                <w:rFonts w:cs="Calibri"/>
                <w:sz w:val="14"/>
                <w:szCs w:val="14"/>
              </w:rPr>
            </w:pPr>
            <w:r w:rsidRPr="00BD16B4">
              <w:rPr>
                <w:rFonts w:cs="Calibri"/>
                <w:sz w:val="14"/>
                <w:szCs w:val="14"/>
              </w:rPr>
              <w:t>Ministry of Business, Innovation and Employment</w:t>
            </w:r>
          </w:p>
        </w:tc>
        <w:tc>
          <w:tcPr>
            <w:tcW w:w="851" w:type="dxa"/>
            <w:tcBorders>
              <w:bottom w:val="single" w:sz="4" w:space="0" w:color="1B556B" w:themeColor="text2"/>
            </w:tcBorders>
            <w:shd w:val="clear" w:color="auto" w:fill="FFFFFF" w:themeFill="background1"/>
          </w:tcPr>
          <w:p w14:paraId="5A57489C"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tcBorders>
              <w:bottom w:val="single" w:sz="4" w:space="0" w:color="1B556B" w:themeColor="text2"/>
            </w:tcBorders>
            <w:shd w:val="clear" w:color="auto" w:fill="FFFFFF" w:themeFill="background1"/>
          </w:tcPr>
          <w:p w14:paraId="61896F52"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tcBorders>
              <w:bottom w:val="single" w:sz="4" w:space="0" w:color="1B556B" w:themeColor="text2"/>
            </w:tcBorders>
            <w:shd w:val="clear" w:color="auto" w:fill="FFFFFF" w:themeFill="background1"/>
          </w:tcPr>
          <w:p w14:paraId="70809725"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CA1920" w:rsidRPr="00BD16B4" w14:paraId="4F704CBF" w14:textId="77777777" w:rsidTr="000A136D">
        <w:tc>
          <w:tcPr>
            <w:tcW w:w="14572" w:type="dxa"/>
            <w:gridSpan w:val="12"/>
            <w:shd w:val="clear" w:color="auto" w:fill="D2DDE1" w:themeFill="background2"/>
          </w:tcPr>
          <w:p w14:paraId="1CC512D6" w14:textId="77777777" w:rsidR="00CA1920" w:rsidRPr="00BD16B4" w:rsidRDefault="00CA1920" w:rsidP="005173B2">
            <w:pPr>
              <w:pStyle w:val="TableText"/>
              <w:spacing w:before="40" w:after="40" w:line="240" w:lineRule="auto"/>
              <w:rPr>
                <w:rFonts w:cs="Calibri"/>
                <w:b/>
                <w:sz w:val="14"/>
                <w:szCs w:val="14"/>
              </w:rPr>
            </w:pPr>
            <w:r w:rsidRPr="00BD16B4">
              <w:rPr>
                <w:rFonts w:cs="Calibri"/>
                <w:b/>
                <w:sz w:val="14"/>
                <w:szCs w:val="14"/>
              </w:rPr>
              <w:t>Energy: programmes regulating energy efficiency</w:t>
            </w:r>
          </w:p>
        </w:tc>
      </w:tr>
      <w:tr w:rsidR="006709EC" w:rsidRPr="00BD16B4" w14:paraId="60D5E78F" w14:textId="77777777" w:rsidTr="006709EC">
        <w:tc>
          <w:tcPr>
            <w:tcW w:w="1632" w:type="dxa"/>
            <w:shd w:val="clear" w:color="auto" w:fill="auto"/>
          </w:tcPr>
          <w:p w14:paraId="223D0D49"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Equipment Energy Efficiency (E3) programme</w:t>
            </w:r>
          </w:p>
        </w:tc>
        <w:tc>
          <w:tcPr>
            <w:tcW w:w="1316" w:type="dxa"/>
            <w:shd w:val="clear" w:color="auto" w:fill="auto"/>
          </w:tcPr>
          <w:p w14:paraId="1B337174"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Energy</w:t>
            </w:r>
          </w:p>
        </w:tc>
        <w:tc>
          <w:tcPr>
            <w:tcW w:w="567" w:type="dxa"/>
            <w:shd w:val="clear" w:color="auto" w:fill="auto"/>
          </w:tcPr>
          <w:p w14:paraId="1F943101"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CO</w:t>
            </w:r>
            <w:r w:rsidRPr="00BD16B4">
              <w:rPr>
                <w:rFonts w:cs="Calibri"/>
                <w:sz w:val="14"/>
                <w:szCs w:val="14"/>
                <w:vertAlign w:val="subscript"/>
              </w:rPr>
              <w:t>2</w:t>
            </w:r>
          </w:p>
        </w:tc>
        <w:tc>
          <w:tcPr>
            <w:tcW w:w="1701" w:type="dxa"/>
            <w:shd w:val="clear" w:color="auto" w:fill="auto"/>
          </w:tcPr>
          <w:p w14:paraId="1328C03E"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Help households and businesses to purchase and use products that use less energy and save money.</w:t>
            </w:r>
          </w:p>
        </w:tc>
        <w:tc>
          <w:tcPr>
            <w:tcW w:w="1134" w:type="dxa"/>
            <w:shd w:val="clear" w:color="auto" w:fill="auto"/>
          </w:tcPr>
          <w:p w14:paraId="1D63CBF0"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Regulatory, information</w:t>
            </w:r>
          </w:p>
        </w:tc>
        <w:tc>
          <w:tcPr>
            <w:tcW w:w="992" w:type="dxa"/>
            <w:shd w:val="clear" w:color="auto" w:fill="auto"/>
          </w:tcPr>
          <w:p w14:paraId="18937F9F"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Implemented</w:t>
            </w:r>
          </w:p>
        </w:tc>
        <w:tc>
          <w:tcPr>
            <w:tcW w:w="2410" w:type="dxa"/>
            <w:shd w:val="clear" w:color="auto" w:fill="auto"/>
          </w:tcPr>
          <w:p w14:paraId="6D93AA89"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A joint E3 Programme has been developed with Australia. Energy efficiency measures, including energy rating labelling for a range of residential, commercial and industrial products, along with mandatory performance standards, allow both countries to set consistent standards and measures for energy efficiency.</w:t>
            </w:r>
          </w:p>
        </w:tc>
        <w:tc>
          <w:tcPr>
            <w:tcW w:w="567" w:type="dxa"/>
            <w:shd w:val="clear" w:color="auto" w:fill="auto"/>
          </w:tcPr>
          <w:p w14:paraId="55023750"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2002</w:t>
            </w:r>
          </w:p>
        </w:tc>
        <w:tc>
          <w:tcPr>
            <w:tcW w:w="1701" w:type="dxa"/>
            <w:shd w:val="clear" w:color="auto" w:fill="auto"/>
          </w:tcPr>
          <w:p w14:paraId="5110E77B"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Energy Efficiency and Conservation Authority</w:t>
            </w:r>
          </w:p>
        </w:tc>
        <w:tc>
          <w:tcPr>
            <w:tcW w:w="851" w:type="dxa"/>
            <w:shd w:val="clear" w:color="auto" w:fill="auto"/>
          </w:tcPr>
          <w:p w14:paraId="108D3759"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214.6</w:t>
            </w:r>
          </w:p>
        </w:tc>
        <w:tc>
          <w:tcPr>
            <w:tcW w:w="850" w:type="dxa"/>
            <w:shd w:val="clear" w:color="auto" w:fill="auto"/>
          </w:tcPr>
          <w:p w14:paraId="149106C2"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234.0</w:t>
            </w:r>
          </w:p>
        </w:tc>
        <w:tc>
          <w:tcPr>
            <w:tcW w:w="851" w:type="dxa"/>
            <w:shd w:val="clear" w:color="auto" w:fill="auto"/>
          </w:tcPr>
          <w:p w14:paraId="1ABD0783"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301.4</w:t>
            </w:r>
          </w:p>
        </w:tc>
      </w:tr>
      <w:tr w:rsidR="006709EC" w:rsidRPr="00BD16B4" w14:paraId="34B862AC" w14:textId="77777777" w:rsidTr="006709EC">
        <w:tc>
          <w:tcPr>
            <w:tcW w:w="1632" w:type="dxa"/>
            <w:shd w:val="clear" w:color="auto" w:fill="auto"/>
          </w:tcPr>
          <w:p w14:paraId="092130EB"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Publicly Available Specifications (PAS)</w:t>
            </w:r>
          </w:p>
        </w:tc>
        <w:tc>
          <w:tcPr>
            <w:tcW w:w="1316" w:type="dxa"/>
            <w:shd w:val="clear" w:color="auto" w:fill="auto"/>
          </w:tcPr>
          <w:p w14:paraId="595E6449"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Energy</w:t>
            </w:r>
          </w:p>
        </w:tc>
        <w:tc>
          <w:tcPr>
            <w:tcW w:w="567" w:type="dxa"/>
            <w:shd w:val="clear" w:color="auto" w:fill="auto"/>
          </w:tcPr>
          <w:p w14:paraId="153A3836"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CO</w:t>
            </w:r>
            <w:r w:rsidRPr="00BD16B4">
              <w:rPr>
                <w:rFonts w:cs="Calibri"/>
                <w:sz w:val="14"/>
                <w:szCs w:val="14"/>
                <w:vertAlign w:val="subscript"/>
              </w:rPr>
              <w:t>2</w:t>
            </w:r>
          </w:p>
        </w:tc>
        <w:tc>
          <w:tcPr>
            <w:tcW w:w="1701" w:type="dxa"/>
            <w:shd w:val="clear" w:color="auto" w:fill="auto"/>
          </w:tcPr>
          <w:p w14:paraId="758B3479"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Provide best-practice specifications for non-regulated products.</w:t>
            </w:r>
          </w:p>
        </w:tc>
        <w:tc>
          <w:tcPr>
            <w:tcW w:w="1134" w:type="dxa"/>
            <w:shd w:val="clear" w:color="auto" w:fill="auto"/>
          </w:tcPr>
          <w:p w14:paraId="78690362"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Voluntary documents</w:t>
            </w:r>
          </w:p>
        </w:tc>
        <w:tc>
          <w:tcPr>
            <w:tcW w:w="992" w:type="dxa"/>
            <w:shd w:val="clear" w:color="auto" w:fill="auto"/>
          </w:tcPr>
          <w:p w14:paraId="6FB3C980"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Implemented</w:t>
            </w:r>
          </w:p>
        </w:tc>
        <w:tc>
          <w:tcPr>
            <w:tcW w:w="2410" w:type="dxa"/>
            <w:shd w:val="clear" w:color="auto" w:fill="auto"/>
          </w:tcPr>
          <w:p w14:paraId="5F4619ED"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EECA has worked with Standards New Zealand since 2020 to develop five PAS. This includes guidance for biomass boilers, high-temperature heat pumps, and residential and commercial electric vehicle chargers.</w:t>
            </w:r>
          </w:p>
        </w:tc>
        <w:tc>
          <w:tcPr>
            <w:tcW w:w="567" w:type="dxa"/>
            <w:shd w:val="clear" w:color="auto" w:fill="auto"/>
          </w:tcPr>
          <w:p w14:paraId="1F5D7EA1"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2020</w:t>
            </w:r>
          </w:p>
        </w:tc>
        <w:tc>
          <w:tcPr>
            <w:tcW w:w="1701" w:type="dxa"/>
            <w:shd w:val="clear" w:color="auto" w:fill="auto"/>
          </w:tcPr>
          <w:p w14:paraId="60CF9EAF" w14:textId="77777777" w:rsidR="00CA1920" w:rsidRPr="00BD16B4" w:rsidRDefault="00CA1920" w:rsidP="002D166E">
            <w:pPr>
              <w:pStyle w:val="TableText"/>
              <w:spacing w:before="40" w:after="40" w:line="240" w:lineRule="auto"/>
              <w:rPr>
                <w:rFonts w:cs="Calibri"/>
                <w:sz w:val="14"/>
                <w:szCs w:val="14"/>
                <w:lang w:eastAsia="en-US"/>
              </w:rPr>
            </w:pPr>
            <w:r w:rsidRPr="00BD16B4">
              <w:rPr>
                <w:rFonts w:cs="Calibri"/>
                <w:sz w:val="14"/>
                <w:szCs w:val="14"/>
              </w:rPr>
              <w:t>Energy Efficiency and Conservation Authority</w:t>
            </w:r>
          </w:p>
        </w:tc>
        <w:tc>
          <w:tcPr>
            <w:tcW w:w="851" w:type="dxa"/>
            <w:shd w:val="clear" w:color="auto" w:fill="auto"/>
          </w:tcPr>
          <w:p w14:paraId="18078242"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shd w:val="clear" w:color="auto" w:fill="auto"/>
          </w:tcPr>
          <w:p w14:paraId="731CD9EB"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shd w:val="clear" w:color="auto" w:fill="auto"/>
          </w:tcPr>
          <w:p w14:paraId="34E0F233"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CA1920" w:rsidRPr="00BD16B4" w14:paraId="56E674FD" w14:textId="77777777" w:rsidTr="000A136D">
        <w:tc>
          <w:tcPr>
            <w:tcW w:w="14572" w:type="dxa"/>
            <w:gridSpan w:val="12"/>
            <w:shd w:val="clear" w:color="auto" w:fill="D2DDE1" w:themeFill="background2"/>
          </w:tcPr>
          <w:p w14:paraId="20AE39A7" w14:textId="77777777" w:rsidR="00CA1920" w:rsidRPr="00BD16B4" w:rsidRDefault="00CA1920" w:rsidP="005173B2">
            <w:pPr>
              <w:pStyle w:val="TableTextBold0"/>
              <w:keepNext/>
              <w:spacing w:before="40" w:after="40" w:line="240" w:lineRule="auto"/>
              <w:rPr>
                <w:sz w:val="14"/>
                <w:szCs w:val="14"/>
              </w:rPr>
            </w:pPr>
            <w:r w:rsidRPr="00BD16B4">
              <w:rPr>
                <w:sz w:val="14"/>
                <w:szCs w:val="14"/>
              </w:rPr>
              <w:lastRenderedPageBreak/>
              <w:t>Energy: reduce emissions and energy use in industry</w:t>
            </w:r>
          </w:p>
        </w:tc>
      </w:tr>
      <w:tr w:rsidR="006709EC" w:rsidRPr="00BD16B4" w14:paraId="0286B463" w14:textId="77777777" w:rsidTr="006709EC">
        <w:tc>
          <w:tcPr>
            <w:tcW w:w="1632" w:type="dxa"/>
          </w:tcPr>
          <w:p w14:paraId="6222E606" w14:textId="77777777" w:rsidR="00CA1920" w:rsidRPr="00BD16B4" w:rsidRDefault="00CA1920" w:rsidP="005173B2">
            <w:pPr>
              <w:pStyle w:val="TableText"/>
              <w:keepNext/>
              <w:spacing w:before="40" w:after="40" w:line="240" w:lineRule="auto"/>
              <w:rPr>
                <w:sz w:val="14"/>
                <w:szCs w:val="18"/>
              </w:rPr>
            </w:pPr>
            <w:r w:rsidRPr="00BD16B4">
              <w:rPr>
                <w:sz w:val="14"/>
                <w:szCs w:val="18"/>
              </w:rPr>
              <w:t>Government Investment in Decarbonising Industry (GIDI) Fund</w:t>
            </w:r>
          </w:p>
        </w:tc>
        <w:tc>
          <w:tcPr>
            <w:tcW w:w="1316" w:type="dxa"/>
            <w:shd w:val="clear" w:color="auto" w:fill="auto"/>
          </w:tcPr>
          <w:p w14:paraId="6FDF6565" w14:textId="77777777" w:rsidR="00CA1920" w:rsidRPr="00BD16B4" w:rsidRDefault="00CA1920" w:rsidP="002D166E">
            <w:pPr>
              <w:pStyle w:val="TableText"/>
              <w:spacing w:before="40" w:after="40" w:line="240" w:lineRule="auto"/>
              <w:rPr>
                <w:rFonts w:cs="Calibri"/>
                <w:sz w:val="14"/>
                <w:szCs w:val="14"/>
                <w:lang w:eastAsia="en-US"/>
              </w:rPr>
            </w:pPr>
            <w:r w:rsidRPr="00BD16B4">
              <w:rPr>
                <w:sz w:val="14"/>
                <w:szCs w:val="18"/>
              </w:rPr>
              <w:t>Energy</w:t>
            </w:r>
          </w:p>
        </w:tc>
        <w:tc>
          <w:tcPr>
            <w:tcW w:w="567" w:type="dxa"/>
            <w:shd w:val="clear" w:color="auto" w:fill="auto"/>
          </w:tcPr>
          <w:p w14:paraId="6841BF23" w14:textId="77777777" w:rsidR="00CA1920" w:rsidRPr="00BD16B4" w:rsidRDefault="00CA1920" w:rsidP="002D166E">
            <w:pPr>
              <w:pStyle w:val="TableText"/>
              <w:spacing w:before="40" w:after="40" w:line="240" w:lineRule="auto"/>
              <w:rPr>
                <w:rFonts w:cs="Calibri"/>
                <w:sz w:val="14"/>
                <w:szCs w:val="14"/>
                <w:lang w:eastAsia="en-US"/>
              </w:rPr>
            </w:pPr>
            <w:r w:rsidRPr="00BD16B4">
              <w:rPr>
                <w:sz w:val="14"/>
                <w:szCs w:val="18"/>
              </w:rPr>
              <w:t>CO</w:t>
            </w:r>
            <w:r w:rsidRPr="00BD16B4">
              <w:rPr>
                <w:sz w:val="14"/>
                <w:szCs w:val="18"/>
                <w:vertAlign w:val="subscript"/>
              </w:rPr>
              <w:t>2</w:t>
            </w:r>
          </w:p>
        </w:tc>
        <w:tc>
          <w:tcPr>
            <w:tcW w:w="1701" w:type="dxa"/>
            <w:shd w:val="clear" w:color="auto" w:fill="auto"/>
          </w:tcPr>
          <w:p w14:paraId="3D4E8DD6" w14:textId="77777777" w:rsidR="00CA1920" w:rsidRPr="00BD16B4" w:rsidRDefault="00CA1920" w:rsidP="002D166E">
            <w:pPr>
              <w:pStyle w:val="TableText"/>
              <w:spacing w:before="40" w:after="40" w:line="240" w:lineRule="auto"/>
              <w:rPr>
                <w:rFonts w:cs="Calibri"/>
                <w:sz w:val="14"/>
                <w:szCs w:val="14"/>
                <w:lang w:eastAsia="en-US"/>
              </w:rPr>
            </w:pPr>
            <w:r w:rsidRPr="00BD16B4">
              <w:rPr>
                <w:sz w:val="14"/>
                <w:szCs w:val="18"/>
              </w:rPr>
              <w:t xml:space="preserve">Accelerate the decarbonisation of industrial process heat. </w:t>
            </w:r>
          </w:p>
        </w:tc>
        <w:tc>
          <w:tcPr>
            <w:tcW w:w="1134" w:type="dxa"/>
            <w:shd w:val="clear" w:color="auto" w:fill="auto"/>
          </w:tcPr>
          <w:p w14:paraId="09A428B5" w14:textId="77777777" w:rsidR="00CA1920" w:rsidRPr="00BD16B4" w:rsidRDefault="00CA1920" w:rsidP="002D166E">
            <w:pPr>
              <w:pStyle w:val="TableText"/>
              <w:spacing w:before="40" w:after="40" w:line="240" w:lineRule="auto"/>
              <w:rPr>
                <w:rFonts w:cs="Calibri"/>
                <w:sz w:val="14"/>
                <w:szCs w:val="14"/>
                <w:lang w:eastAsia="en-US"/>
              </w:rPr>
            </w:pPr>
            <w:r w:rsidRPr="00BD16B4">
              <w:rPr>
                <w:sz w:val="14"/>
                <w:szCs w:val="18"/>
              </w:rPr>
              <w:t>Financial support</w:t>
            </w:r>
          </w:p>
        </w:tc>
        <w:tc>
          <w:tcPr>
            <w:tcW w:w="992" w:type="dxa"/>
            <w:shd w:val="clear" w:color="auto" w:fill="auto"/>
          </w:tcPr>
          <w:p w14:paraId="79BA52AF" w14:textId="77777777" w:rsidR="00CA1920" w:rsidRPr="00BD16B4" w:rsidRDefault="00CA1920" w:rsidP="002D166E">
            <w:pPr>
              <w:pStyle w:val="TableText"/>
              <w:spacing w:before="40" w:after="40" w:line="240" w:lineRule="auto"/>
              <w:rPr>
                <w:rFonts w:cs="Calibri"/>
                <w:sz w:val="14"/>
                <w:szCs w:val="14"/>
                <w:lang w:eastAsia="en-US"/>
              </w:rPr>
            </w:pPr>
            <w:r w:rsidRPr="00BD16B4">
              <w:rPr>
                <w:sz w:val="14"/>
                <w:szCs w:val="18"/>
              </w:rPr>
              <w:t>Implemented</w:t>
            </w:r>
          </w:p>
        </w:tc>
        <w:tc>
          <w:tcPr>
            <w:tcW w:w="2410" w:type="dxa"/>
            <w:shd w:val="clear" w:color="auto" w:fill="auto"/>
          </w:tcPr>
          <w:p w14:paraId="7C0306D8" w14:textId="77777777" w:rsidR="00CA1920" w:rsidRPr="00BD16B4" w:rsidRDefault="00CA1920" w:rsidP="002D166E">
            <w:pPr>
              <w:pStyle w:val="TableText"/>
              <w:spacing w:before="40" w:after="40" w:line="240" w:lineRule="auto"/>
              <w:rPr>
                <w:rFonts w:cs="Calibri"/>
                <w:sz w:val="14"/>
                <w:szCs w:val="14"/>
                <w:lang w:eastAsia="en-US"/>
              </w:rPr>
            </w:pPr>
            <w:r w:rsidRPr="00BD16B4">
              <w:rPr>
                <w:sz w:val="14"/>
                <w:szCs w:val="18"/>
              </w:rPr>
              <w:t>Assists private sector businesses with the upfront capital costs of energy efficiency initiatives as well as switching from fossil fuels to renewables to accelerate their decarbonisation goals. The combined emissions reduction across the three rounds of GIDI 1.0 is 7.46 million tonnes of CO</w:t>
            </w:r>
            <w:r w:rsidRPr="00BD16B4">
              <w:rPr>
                <w:sz w:val="14"/>
                <w:szCs w:val="18"/>
                <w:vertAlign w:val="subscript"/>
              </w:rPr>
              <w:t>2</w:t>
            </w:r>
            <w:r w:rsidRPr="00BD16B4">
              <w:rPr>
                <w:sz w:val="14"/>
                <w:szCs w:val="18"/>
              </w:rPr>
              <w:t>-e, equivalent to taking 134,800 cars off the road.</w:t>
            </w:r>
          </w:p>
        </w:tc>
        <w:tc>
          <w:tcPr>
            <w:tcW w:w="567" w:type="dxa"/>
            <w:shd w:val="clear" w:color="auto" w:fill="auto"/>
          </w:tcPr>
          <w:p w14:paraId="1B2A95AA" w14:textId="77777777" w:rsidR="00CA1920" w:rsidRPr="00BD16B4" w:rsidRDefault="00CA1920" w:rsidP="002D166E">
            <w:pPr>
              <w:pStyle w:val="TableText"/>
              <w:spacing w:before="40" w:after="40" w:line="240" w:lineRule="auto"/>
              <w:rPr>
                <w:rFonts w:cs="Calibri"/>
                <w:sz w:val="14"/>
                <w:szCs w:val="14"/>
                <w:lang w:eastAsia="en-US"/>
              </w:rPr>
            </w:pPr>
            <w:r w:rsidRPr="00BD16B4">
              <w:rPr>
                <w:sz w:val="14"/>
                <w:szCs w:val="18"/>
              </w:rPr>
              <w:t>2020</w:t>
            </w:r>
          </w:p>
        </w:tc>
        <w:tc>
          <w:tcPr>
            <w:tcW w:w="1701" w:type="dxa"/>
            <w:shd w:val="clear" w:color="auto" w:fill="auto"/>
          </w:tcPr>
          <w:p w14:paraId="4BBC64B6" w14:textId="77777777" w:rsidR="00CA1920" w:rsidRPr="00BD16B4" w:rsidRDefault="00CA1920" w:rsidP="002D166E">
            <w:pPr>
              <w:pStyle w:val="TableText"/>
              <w:spacing w:before="40" w:after="40" w:line="240" w:lineRule="auto"/>
              <w:rPr>
                <w:rFonts w:cs="Calibri"/>
                <w:sz w:val="14"/>
                <w:szCs w:val="14"/>
                <w:lang w:eastAsia="en-US"/>
              </w:rPr>
            </w:pPr>
            <w:r w:rsidRPr="00BD16B4">
              <w:rPr>
                <w:sz w:val="14"/>
                <w:szCs w:val="18"/>
              </w:rPr>
              <w:t>Energy Efficiency and Conservation Authority</w:t>
            </w:r>
          </w:p>
        </w:tc>
        <w:tc>
          <w:tcPr>
            <w:tcW w:w="851" w:type="dxa"/>
            <w:shd w:val="clear" w:color="auto" w:fill="auto"/>
          </w:tcPr>
          <w:p w14:paraId="15707EAD" w14:textId="77777777" w:rsidR="00CA1920" w:rsidRPr="00BD16B4" w:rsidRDefault="00CA1920" w:rsidP="005173B2">
            <w:pPr>
              <w:pStyle w:val="TableText"/>
              <w:spacing w:before="40" w:after="40" w:line="240" w:lineRule="auto"/>
              <w:rPr>
                <w:rFonts w:cs="Calibri"/>
                <w:sz w:val="14"/>
                <w:szCs w:val="14"/>
              </w:rPr>
            </w:pPr>
            <w:r w:rsidRPr="00BD16B4">
              <w:rPr>
                <w:sz w:val="14"/>
                <w:szCs w:val="18"/>
              </w:rPr>
              <w:t>179.0</w:t>
            </w:r>
          </w:p>
        </w:tc>
        <w:tc>
          <w:tcPr>
            <w:tcW w:w="850" w:type="dxa"/>
            <w:shd w:val="clear" w:color="auto" w:fill="auto"/>
          </w:tcPr>
          <w:p w14:paraId="17B85D2F" w14:textId="77777777" w:rsidR="00CA1920" w:rsidRPr="00BD16B4" w:rsidRDefault="00CA1920" w:rsidP="002D166E">
            <w:pPr>
              <w:pStyle w:val="TableText"/>
              <w:spacing w:before="40" w:after="40" w:line="240" w:lineRule="auto"/>
              <w:rPr>
                <w:rFonts w:cs="Calibri"/>
                <w:sz w:val="14"/>
                <w:szCs w:val="14"/>
              </w:rPr>
            </w:pPr>
            <w:r w:rsidRPr="00BD16B4">
              <w:rPr>
                <w:sz w:val="14"/>
                <w:szCs w:val="18"/>
              </w:rPr>
              <w:t>330.6</w:t>
            </w:r>
          </w:p>
        </w:tc>
        <w:tc>
          <w:tcPr>
            <w:tcW w:w="851" w:type="dxa"/>
            <w:shd w:val="clear" w:color="auto" w:fill="auto"/>
          </w:tcPr>
          <w:p w14:paraId="16DB9F9B" w14:textId="77777777" w:rsidR="00CA1920" w:rsidRPr="00BD16B4" w:rsidRDefault="00CA1920" w:rsidP="005173B2">
            <w:pPr>
              <w:pStyle w:val="TableText"/>
              <w:spacing w:before="40" w:after="40" w:line="240" w:lineRule="auto"/>
              <w:rPr>
                <w:rFonts w:cs="Calibri"/>
                <w:sz w:val="14"/>
                <w:szCs w:val="14"/>
              </w:rPr>
            </w:pPr>
            <w:r w:rsidRPr="00BD16B4">
              <w:rPr>
                <w:sz w:val="14"/>
                <w:szCs w:val="18"/>
              </w:rPr>
              <w:t>198.2</w:t>
            </w:r>
          </w:p>
        </w:tc>
      </w:tr>
      <w:tr w:rsidR="006709EC" w:rsidRPr="00BD16B4" w14:paraId="50931E49" w14:textId="77777777" w:rsidTr="006709EC">
        <w:tc>
          <w:tcPr>
            <w:tcW w:w="1632" w:type="dxa"/>
            <w:shd w:val="clear" w:color="auto" w:fill="auto"/>
          </w:tcPr>
          <w:p w14:paraId="04C2DA7D" w14:textId="77777777" w:rsidR="00CA1920" w:rsidRPr="00BD16B4" w:rsidRDefault="00CA1920" w:rsidP="007728C3">
            <w:pPr>
              <w:pStyle w:val="TableText"/>
              <w:keepNext/>
              <w:spacing w:before="40" w:after="40" w:line="240" w:lineRule="auto"/>
              <w:rPr>
                <w:sz w:val="14"/>
                <w:szCs w:val="18"/>
              </w:rPr>
            </w:pPr>
            <w:r w:rsidRPr="00BD16B4">
              <w:rPr>
                <w:sz w:val="14"/>
                <w:szCs w:val="18"/>
              </w:rPr>
              <w:t>Expansion of GIDI Fund</w:t>
            </w:r>
          </w:p>
        </w:tc>
        <w:tc>
          <w:tcPr>
            <w:tcW w:w="1316" w:type="dxa"/>
            <w:shd w:val="clear" w:color="auto" w:fill="auto"/>
          </w:tcPr>
          <w:p w14:paraId="42449A72" w14:textId="77777777" w:rsidR="00CA1920" w:rsidRPr="00BD16B4" w:rsidRDefault="00CA1920" w:rsidP="002D166E">
            <w:pPr>
              <w:pStyle w:val="TableText"/>
              <w:spacing w:before="40" w:after="40" w:line="240" w:lineRule="auto"/>
              <w:rPr>
                <w:sz w:val="14"/>
                <w:szCs w:val="18"/>
              </w:rPr>
            </w:pPr>
            <w:r w:rsidRPr="00BD16B4">
              <w:rPr>
                <w:sz w:val="14"/>
                <w:szCs w:val="18"/>
              </w:rPr>
              <w:t>Energy</w:t>
            </w:r>
          </w:p>
        </w:tc>
        <w:tc>
          <w:tcPr>
            <w:tcW w:w="567" w:type="dxa"/>
            <w:shd w:val="clear" w:color="auto" w:fill="auto"/>
          </w:tcPr>
          <w:p w14:paraId="5CE5D840" w14:textId="77777777" w:rsidR="00CA1920" w:rsidRPr="00BD16B4" w:rsidRDefault="00CA1920" w:rsidP="002D166E">
            <w:pPr>
              <w:pStyle w:val="TableText"/>
              <w:spacing w:before="40" w:after="40" w:line="240" w:lineRule="auto"/>
              <w:rPr>
                <w:sz w:val="14"/>
                <w:szCs w:val="18"/>
              </w:rPr>
            </w:pPr>
            <w:r w:rsidRPr="00BD16B4">
              <w:rPr>
                <w:sz w:val="14"/>
                <w:szCs w:val="18"/>
              </w:rPr>
              <w:t>CO</w:t>
            </w:r>
            <w:r w:rsidRPr="00BD16B4">
              <w:rPr>
                <w:sz w:val="14"/>
                <w:szCs w:val="18"/>
                <w:vertAlign w:val="subscript"/>
              </w:rPr>
              <w:t>2</w:t>
            </w:r>
          </w:p>
        </w:tc>
        <w:tc>
          <w:tcPr>
            <w:tcW w:w="1701" w:type="dxa"/>
            <w:shd w:val="clear" w:color="auto" w:fill="auto"/>
          </w:tcPr>
          <w:p w14:paraId="78A5FFCA" w14:textId="77777777" w:rsidR="00CA1920" w:rsidRPr="00BD16B4" w:rsidRDefault="00CA1920" w:rsidP="002D166E">
            <w:pPr>
              <w:pStyle w:val="TableText"/>
              <w:spacing w:before="40" w:after="40" w:line="240" w:lineRule="auto"/>
              <w:rPr>
                <w:sz w:val="14"/>
                <w:szCs w:val="18"/>
              </w:rPr>
            </w:pPr>
            <w:r w:rsidRPr="00BD16B4">
              <w:rPr>
                <w:sz w:val="14"/>
                <w:szCs w:val="18"/>
              </w:rPr>
              <w:t>Decarbonise businesses through a number of workstreams, including industrial process heat, commercial space and water heating, and efficient industrial equipment replacements.</w:t>
            </w:r>
          </w:p>
        </w:tc>
        <w:tc>
          <w:tcPr>
            <w:tcW w:w="1134" w:type="dxa"/>
            <w:shd w:val="clear" w:color="auto" w:fill="auto"/>
          </w:tcPr>
          <w:p w14:paraId="1352E1D8" w14:textId="77777777" w:rsidR="00CA1920" w:rsidRPr="00BD16B4" w:rsidRDefault="00CA1920" w:rsidP="002D166E">
            <w:pPr>
              <w:pStyle w:val="TableText"/>
              <w:spacing w:before="40" w:after="40" w:line="240" w:lineRule="auto"/>
              <w:rPr>
                <w:sz w:val="14"/>
                <w:szCs w:val="18"/>
              </w:rPr>
            </w:pPr>
            <w:r w:rsidRPr="00BD16B4">
              <w:rPr>
                <w:sz w:val="14"/>
                <w:szCs w:val="18"/>
              </w:rPr>
              <w:t>Financial support</w:t>
            </w:r>
          </w:p>
        </w:tc>
        <w:tc>
          <w:tcPr>
            <w:tcW w:w="992" w:type="dxa"/>
            <w:shd w:val="clear" w:color="auto" w:fill="auto"/>
          </w:tcPr>
          <w:p w14:paraId="6DAEDFE0" w14:textId="1FCF30A5" w:rsidR="00CA1920" w:rsidRPr="00BD16B4" w:rsidRDefault="00CA1920" w:rsidP="002D166E">
            <w:pPr>
              <w:pStyle w:val="TableText"/>
              <w:spacing w:before="40" w:after="40" w:line="240" w:lineRule="auto"/>
              <w:rPr>
                <w:sz w:val="14"/>
                <w:szCs w:val="18"/>
              </w:rPr>
            </w:pPr>
            <w:r w:rsidRPr="00BD16B4">
              <w:rPr>
                <w:sz w:val="14"/>
                <w:szCs w:val="18"/>
              </w:rPr>
              <w:t>Adopted</w:t>
            </w:r>
            <w:r w:rsidR="001B52AC" w:rsidRPr="00BD16B4">
              <w:rPr>
                <w:sz w:val="14"/>
                <w:szCs w:val="18"/>
              </w:rPr>
              <w:t xml:space="preserve"> (WAM)</w:t>
            </w:r>
          </w:p>
        </w:tc>
        <w:tc>
          <w:tcPr>
            <w:tcW w:w="2410" w:type="dxa"/>
            <w:shd w:val="clear" w:color="auto" w:fill="auto"/>
          </w:tcPr>
          <w:p w14:paraId="68CF8E5B" w14:textId="77777777" w:rsidR="00CA1920" w:rsidRPr="00BD16B4" w:rsidRDefault="00CA1920" w:rsidP="002D166E">
            <w:pPr>
              <w:pStyle w:val="TableText"/>
              <w:spacing w:before="40" w:after="40" w:line="240" w:lineRule="auto"/>
              <w:rPr>
                <w:sz w:val="14"/>
                <w:szCs w:val="18"/>
              </w:rPr>
            </w:pPr>
            <w:r w:rsidRPr="00BD16B4">
              <w:rPr>
                <w:sz w:val="14"/>
                <w:szCs w:val="18"/>
              </w:rPr>
              <w:t>The expanded fund significantly increases the funding for the original GIDI Fund, and will go to market through multiple channels, including the original contestable process heat fund, as well partnerships with large energy users, equipment subsidies and infrastructure enablement.</w:t>
            </w:r>
          </w:p>
        </w:tc>
        <w:tc>
          <w:tcPr>
            <w:tcW w:w="567" w:type="dxa"/>
            <w:shd w:val="clear" w:color="auto" w:fill="auto"/>
          </w:tcPr>
          <w:p w14:paraId="7D952E2B" w14:textId="77777777" w:rsidR="00CA1920" w:rsidRPr="00BD16B4" w:rsidRDefault="00CA1920" w:rsidP="002D166E">
            <w:pPr>
              <w:pStyle w:val="TableText"/>
              <w:spacing w:before="40" w:after="40" w:line="240" w:lineRule="auto"/>
              <w:rPr>
                <w:sz w:val="14"/>
                <w:szCs w:val="18"/>
              </w:rPr>
            </w:pPr>
            <w:r w:rsidRPr="00BD16B4">
              <w:rPr>
                <w:sz w:val="14"/>
                <w:szCs w:val="18"/>
              </w:rPr>
              <w:t>2022</w:t>
            </w:r>
          </w:p>
        </w:tc>
        <w:tc>
          <w:tcPr>
            <w:tcW w:w="1701" w:type="dxa"/>
            <w:shd w:val="clear" w:color="auto" w:fill="auto"/>
          </w:tcPr>
          <w:p w14:paraId="5F192426" w14:textId="77777777" w:rsidR="00CA1920" w:rsidRPr="00BD16B4" w:rsidRDefault="00CA1920" w:rsidP="002D166E">
            <w:pPr>
              <w:pStyle w:val="TableText"/>
              <w:spacing w:before="40" w:after="40" w:line="240" w:lineRule="auto"/>
              <w:rPr>
                <w:sz w:val="14"/>
                <w:szCs w:val="18"/>
              </w:rPr>
            </w:pPr>
            <w:r w:rsidRPr="00BD16B4">
              <w:rPr>
                <w:sz w:val="14"/>
                <w:szCs w:val="18"/>
              </w:rPr>
              <w:t>Energy Efficiency and Conservation Authority</w:t>
            </w:r>
          </w:p>
        </w:tc>
        <w:tc>
          <w:tcPr>
            <w:tcW w:w="851" w:type="dxa"/>
            <w:shd w:val="clear" w:color="auto" w:fill="auto"/>
          </w:tcPr>
          <w:p w14:paraId="628CC1CF" w14:textId="77777777" w:rsidR="00CA1920" w:rsidRPr="00BD16B4" w:rsidRDefault="00CA1920" w:rsidP="005173B2">
            <w:pPr>
              <w:pStyle w:val="TableText"/>
              <w:spacing w:before="40" w:after="40" w:line="240" w:lineRule="auto"/>
              <w:rPr>
                <w:sz w:val="14"/>
                <w:szCs w:val="18"/>
              </w:rPr>
            </w:pPr>
            <w:r w:rsidRPr="00BD16B4">
              <w:rPr>
                <w:sz w:val="14"/>
                <w:szCs w:val="18"/>
              </w:rPr>
              <w:t>1,080.7</w:t>
            </w:r>
          </w:p>
        </w:tc>
        <w:tc>
          <w:tcPr>
            <w:tcW w:w="850" w:type="dxa"/>
            <w:shd w:val="clear" w:color="auto" w:fill="auto"/>
          </w:tcPr>
          <w:p w14:paraId="4CF413A4" w14:textId="77777777" w:rsidR="00CA1920" w:rsidRPr="00BD16B4" w:rsidRDefault="00CA1920" w:rsidP="002D166E">
            <w:pPr>
              <w:pStyle w:val="TableText"/>
              <w:spacing w:before="40" w:after="40" w:line="240" w:lineRule="auto"/>
              <w:rPr>
                <w:sz w:val="14"/>
                <w:szCs w:val="18"/>
              </w:rPr>
            </w:pPr>
            <w:r w:rsidRPr="00BD16B4">
              <w:rPr>
                <w:sz w:val="14"/>
                <w:szCs w:val="18"/>
              </w:rPr>
              <w:t>2,543.1</w:t>
            </w:r>
          </w:p>
        </w:tc>
        <w:tc>
          <w:tcPr>
            <w:tcW w:w="851" w:type="dxa"/>
            <w:shd w:val="clear" w:color="auto" w:fill="auto"/>
          </w:tcPr>
          <w:p w14:paraId="4AA25491" w14:textId="77777777" w:rsidR="00CA1920" w:rsidRPr="00BD16B4" w:rsidRDefault="00CA1920" w:rsidP="005173B2">
            <w:pPr>
              <w:pStyle w:val="TableText"/>
              <w:spacing w:before="40" w:after="40" w:line="240" w:lineRule="auto"/>
              <w:rPr>
                <w:sz w:val="14"/>
                <w:szCs w:val="18"/>
              </w:rPr>
            </w:pPr>
            <w:r w:rsidRPr="00BD16B4">
              <w:rPr>
                <w:sz w:val="14"/>
                <w:szCs w:val="18"/>
              </w:rPr>
              <w:t>1,709.5</w:t>
            </w:r>
          </w:p>
        </w:tc>
      </w:tr>
      <w:tr w:rsidR="006709EC" w:rsidRPr="00BD16B4" w14:paraId="4D39811E" w14:textId="77777777" w:rsidTr="006709EC">
        <w:tc>
          <w:tcPr>
            <w:tcW w:w="1632" w:type="dxa"/>
            <w:shd w:val="clear" w:color="auto" w:fill="auto"/>
          </w:tcPr>
          <w:p w14:paraId="36FDA7AB" w14:textId="77777777" w:rsidR="00CA1920" w:rsidRPr="00BD16B4" w:rsidRDefault="00CA1920" w:rsidP="002D166E">
            <w:pPr>
              <w:pStyle w:val="TableText"/>
              <w:spacing w:before="40" w:after="40" w:line="240" w:lineRule="auto"/>
              <w:rPr>
                <w:sz w:val="14"/>
                <w:szCs w:val="18"/>
              </w:rPr>
            </w:pPr>
            <w:r w:rsidRPr="00BD16B4">
              <w:rPr>
                <w:sz w:val="14"/>
                <w:szCs w:val="18"/>
              </w:rPr>
              <w:t>Energy Transition Accelerator (ETA) Programme</w:t>
            </w:r>
          </w:p>
        </w:tc>
        <w:tc>
          <w:tcPr>
            <w:tcW w:w="1316" w:type="dxa"/>
            <w:shd w:val="clear" w:color="auto" w:fill="auto"/>
          </w:tcPr>
          <w:p w14:paraId="3C161A19" w14:textId="77777777" w:rsidR="00CA1920" w:rsidRPr="00BD16B4" w:rsidRDefault="00CA1920" w:rsidP="002D166E">
            <w:pPr>
              <w:pStyle w:val="TableText"/>
              <w:spacing w:before="40" w:after="40" w:line="240" w:lineRule="auto"/>
              <w:rPr>
                <w:sz w:val="14"/>
                <w:szCs w:val="18"/>
              </w:rPr>
            </w:pPr>
            <w:r w:rsidRPr="00BD16B4">
              <w:rPr>
                <w:sz w:val="14"/>
                <w:szCs w:val="14"/>
              </w:rPr>
              <w:t>Energy (commercial, industrial sector)</w:t>
            </w:r>
          </w:p>
        </w:tc>
        <w:tc>
          <w:tcPr>
            <w:tcW w:w="567" w:type="dxa"/>
            <w:shd w:val="clear" w:color="auto" w:fill="auto"/>
          </w:tcPr>
          <w:p w14:paraId="36F3F5CB" w14:textId="77777777" w:rsidR="00CA1920" w:rsidRPr="00BD16B4" w:rsidRDefault="00CA1920" w:rsidP="002D166E">
            <w:pPr>
              <w:pStyle w:val="TableText"/>
              <w:spacing w:before="40" w:after="40" w:line="240" w:lineRule="auto"/>
              <w:rPr>
                <w:sz w:val="14"/>
                <w:szCs w:val="18"/>
              </w:rPr>
            </w:pPr>
            <w:r w:rsidRPr="00BD16B4">
              <w:rPr>
                <w:sz w:val="14"/>
                <w:szCs w:val="14"/>
              </w:rPr>
              <w:t>CO</w:t>
            </w:r>
            <w:r w:rsidRPr="00BD16B4">
              <w:rPr>
                <w:sz w:val="14"/>
                <w:szCs w:val="14"/>
                <w:vertAlign w:val="subscript"/>
              </w:rPr>
              <w:t>2</w:t>
            </w:r>
          </w:p>
        </w:tc>
        <w:tc>
          <w:tcPr>
            <w:tcW w:w="1701" w:type="dxa"/>
            <w:shd w:val="clear" w:color="auto" w:fill="auto"/>
          </w:tcPr>
          <w:p w14:paraId="482935E0" w14:textId="77777777" w:rsidR="00CA1920" w:rsidRPr="00BD16B4" w:rsidRDefault="00CA1920" w:rsidP="002D166E">
            <w:pPr>
              <w:pStyle w:val="TableText"/>
              <w:spacing w:before="40" w:after="40" w:line="240" w:lineRule="auto"/>
              <w:rPr>
                <w:sz w:val="14"/>
                <w:szCs w:val="18"/>
              </w:rPr>
            </w:pPr>
            <w:r w:rsidRPr="00BD16B4">
              <w:rPr>
                <w:sz w:val="14"/>
                <w:szCs w:val="14"/>
              </w:rPr>
              <w:t>Develop long-term plans for businesses to transition to lowering emissions as much as possible.</w:t>
            </w:r>
          </w:p>
        </w:tc>
        <w:tc>
          <w:tcPr>
            <w:tcW w:w="1134" w:type="dxa"/>
            <w:shd w:val="clear" w:color="auto" w:fill="auto"/>
          </w:tcPr>
          <w:p w14:paraId="7004B700" w14:textId="77777777" w:rsidR="00CA1920" w:rsidRPr="00BD16B4" w:rsidRDefault="00CA1920" w:rsidP="002D166E">
            <w:pPr>
              <w:pStyle w:val="TableText"/>
              <w:spacing w:before="40" w:after="40" w:line="240" w:lineRule="auto"/>
              <w:rPr>
                <w:sz w:val="14"/>
                <w:szCs w:val="18"/>
              </w:rPr>
            </w:pPr>
            <w:r w:rsidRPr="00BD16B4">
              <w:rPr>
                <w:sz w:val="14"/>
                <w:szCs w:val="14"/>
              </w:rPr>
              <w:t>Information, financial and industry support</w:t>
            </w:r>
          </w:p>
        </w:tc>
        <w:tc>
          <w:tcPr>
            <w:tcW w:w="992" w:type="dxa"/>
            <w:shd w:val="clear" w:color="auto" w:fill="auto"/>
          </w:tcPr>
          <w:p w14:paraId="7FED7907" w14:textId="77777777" w:rsidR="00CA1920" w:rsidRPr="00BD16B4" w:rsidRDefault="00CA1920" w:rsidP="002D166E">
            <w:pPr>
              <w:pStyle w:val="TableText"/>
              <w:spacing w:before="40" w:after="40" w:line="240" w:lineRule="auto"/>
              <w:rPr>
                <w:sz w:val="14"/>
                <w:szCs w:val="18"/>
              </w:rPr>
            </w:pPr>
            <w:r w:rsidRPr="00BD16B4">
              <w:rPr>
                <w:sz w:val="14"/>
                <w:szCs w:val="14"/>
              </w:rPr>
              <w:t>Implemented</w:t>
            </w:r>
          </w:p>
        </w:tc>
        <w:tc>
          <w:tcPr>
            <w:tcW w:w="2410" w:type="dxa"/>
            <w:shd w:val="clear" w:color="auto" w:fill="auto"/>
          </w:tcPr>
          <w:p w14:paraId="5448EF76" w14:textId="77777777" w:rsidR="00CA1920" w:rsidRPr="00BD16B4" w:rsidRDefault="00CA1920" w:rsidP="002D166E">
            <w:pPr>
              <w:pStyle w:val="TableText"/>
              <w:spacing w:before="40" w:after="40" w:line="240" w:lineRule="auto"/>
              <w:rPr>
                <w:sz w:val="14"/>
                <w:szCs w:val="18"/>
              </w:rPr>
            </w:pPr>
            <w:r w:rsidRPr="00BD16B4">
              <w:rPr>
                <w:sz w:val="14"/>
                <w:szCs w:val="14"/>
              </w:rPr>
              <w:t>The Energy Efficiency and Conservation Authority is working with large energy users to help them develop tailored and practical low-carbon transition pathways. The goal is to facilitate long-term thinking by drafting a practical map for transition, showing what the technically and economically feasible opportunities are, including innovative technologies, energy efficiency and fuel switching.</w:t>
            </w:r>
          </w:p>
        </w:tc>
        <w:tc>
          <w:tcPr>
            <w:tcW w:w="567" w:type="dxa"/>
            <w:shd w:val="clear" w:color="auto" w:fill="auto"/>
          </w:tcPr>
          <w:p w14:paraId="0D176DB1" w14:textId="77777777" w:rsidR="00CA1920" w:rsidRPr="00BD16B4" w:rsidRDefault="00CA1920" w:rsidP="002D166E">
            <w:pPr>
              <w:pStyle w:val="TableText"/>
              <w:spacing w:before="40" w:after="40" w:line="240" w:lineRule="auto"/>
              <w:rPr>
                <w:sz w:val="14"/>
                <w:szCs w:val="18"/>
              </w:rPr>
            </w:pPr>
            <w:r w:rsidRPr="00BD16B4">
              <w:rPr>
                <w:rFonts w:cs="Calibri"/>
                <w:sz w:val="14"/>
                <w:szCs w:val="14"/>
              </w:rPr>
              <w:t>2019</w:t>
            </w:r>
          </w:p>
        </w:tc>
        <w:tc>
          <w:tcPr>
            <w:tcW w:w="1701" w:type="dxa"/>
            <w:shd w:val="clear" w:color="auto" w:fill="auto"/>
          </w:tcPr>
          <w:p w14:paraId="56D7E163" w14:textId="77777777" w:rsidR="00CA1920" w:rsidRPr="00BD16B4" w:rsidRDefault="00CA1920" w:rsidP="002D166E">
            <w:pPr>
              <w:pStyle w:val="TableText"/>
              <w:spacing w:before="40" w:after="40" w:line="240" w:lineRule="auto"/>
              <w:rPr>
                <w:sz w:val="14"/>
                <w:szCs w:val="18"/>
              </w:rPr>
            </w:pPr>
            <w:r w:rsidRPr="00BD16B4">
              <w:rPr>
                <w:sz w:val="14"/>
                <w:szCs w:val="14"/>
              </w:rPr>
              <w:t>Energy Efficiency and Conservation Authority</w:t>
            </w:r>
          </w:p>
        </w:tc>
        <w:tc>
          <w:tcPr>
            <w:tcW w:w="851" w:type="dxa"/>
            <w:shd w:val="clear" w:color="auto" w:fill="auto"/>
          </w:tcPr>
          <w:p w14:paraId="32EE74BF" w14:textId="77777777" w:rsidR="00CA1920" w:rsidRPr="00BD16B4" w:rsidRDefault="00CA1920" w:rsidP="005173B2">
            <w:pPr>
              <w:pStyle w:val="TableText"/>
              <w:spacing w:before="40" w:after="40" w:line="240" w:lineRule="auto"/>
              <w:rPr>
                <w:sz w:val="14"/>
                <w:szCs w:val="18"/>
              </w:rPr>
            </w:pPr>
            <w:r w:rsidRPr="00BD16B4">
              <w:rPr>
                <w:sz w:val="14"/>
                <w:szCs w:val="14"/>
              </w:rPr>
              <w:t>NE</w:t>
            </w:r>
          </w:p>
        </w:tc>
        <w:tc>
          <w:tcPr>
            <w:tcW w:w="850" w:type="dxa"/>
            <w:shd w:val="clear" w:color="auto" w:fill="auto"/>
          </w:tcPr>
          <w:p w14:paraId="01019ECE" w14:textId="77777777" w:rsidR="00CA1920" w:rsidRPr="00BD16B4" w:rsidRDefault="00CA1920" w:rsidP="002D166E">
            <w:pPr>
              <w:pStyle w:val="TableText"/>
              <w:spacing w:before="40" w:after="40" w:line="240" w:lineRule="auto"/>
              <w:rPr>
                <w:sz w:val="14"/>
                <w:szCs w:val="18"/>
              </w:rPr>
            </w:pPr>
            <w:r w:rsidRPr="00BD16B4">
              <w:rPr>
                <w:sz w:val="14"/>
                <w:szCs w:val="14"/>
              </w:rPr>
              <w:t>NE</w:t>
            </w:r>
          </w:p>
        </w:tc>
        <w:tc>
          <w:tcPr>
            <w:tcW w:w="851" w:type="dxa"/>
            <w:shd w:val="clear" w:color="auto" w:fill="auto"/>
          </w:tcPr>
          <w:p w14:paraId="3635E907" w14:textId="77777777" w:rsidR="00CA1920" w:rsidRPr="00BD16B4" w:rsidRDefault="00CA1920" w:rsidP="005173B2">
            <w:pPr>
              <w:pStyle w:val="TableText"/>
              <w:spacing w:before="40" w:after="40" w:line="240" w:lineRule="auto"/>
              <w:rPr>
                <w:sz w:val="14"/>
                <w:szCs w:val="18"/>
              </w:rPr>
            </w:pPr>
            <w:r w:rsidRPr="00BD16B4">
              <w:rPr>
                <w:sz w:val="14"/>
                <w:szCs w:val="14"/>
              </w:rPr>
              <w:t>NE</w:t>
            </w:r>
          </w:p>
        </w:tc>
      </w:tr>
      <w:tr w:rsidR="006709EC" w:rsidRPr="00BD16B4" w14:paraId="230FF153" w14:textId="77777777" w:rsidTr="006709EC">
        <w:tc>
          <w:tcPr>
            <w:tcW w:w="1632" w:type="dxa"/>
            <w:shd w:val="clear" w:color="auto" w:fill="auto"/>
          </w:tcPr>
          <w:p w14:paraId="321B3D75" w14:textId="77777777" w:rsidR="00CA1920" w:rsidRPr="00BD16B4" w:rsidRDefault="00CA1920" w:rsidP="002D166E">
            <w:pPr>
              <w:pStyle w:val="TableText"/>
              <w:spacing w:before="40" w:after="40" w:line="240" w:lineRule="auto"/>
              <w:rPr>
                <w:sz w:val="14"/>
                <w:szCs w:val="18"/>
              </w:rPr>
            </w:pPr>
            <w:r w:rsidRPr="00BD16B4">
              <w:rPr>
                <w:sz w:val="14"/>
                <w:szCs w:val="18"/>
              </w:rPr>
              <w:t xml:space="preserve">Technology demonstration programme </w:t>
            </w:r>
          </w:p>
        </w:tc>
        <w:tc>
          <w:tcPr>
            <w:tcW w:w="1316" w:type="dxa"/>
            <w:shd w:val="clear" w:color="auto" w:fill="auto"/>
          </w:tcPr>
          <w:p w14:paraId="5A117803" w14:textId="77777777" w:rsidR="00CA1920" w:rsidRPr="00BD16B4" w:rsidRDefault="00CA1920" w:rsidP="002D166E">
            <w:pPr>
              <w:pStyle w:val="TableText"/>
              <w:spacing w:before="40" w:after="40" w:line="240" w:lineRule="auto"/>
              <w:rPr>
                <w:sz w:val="14"/>
                <w:szCs w:val="18"/>
              </w:rPr>
            </w:pPr>
            <w:r w:rsidRPr="00BD16B4">
              <w:rPr>
                <w:sz w:val="14"/>
                <w:szCs w:val="14"/>
              </w:rPr>
              <w:t>Energy (commercial, industrial)</w:t>
            </w:r>
          </w:p>
        </w:tc>
        <w:tc>
          <w:tcPr>
            <w:tcW w:w="567" w:type="dxa"/>
            <w:shd w:val="clear" w:color="auto" w:fill="auto"/>
          </w:tcPr>
          <w:p w14:paraId="6B35E201" w14:textId="77777777" w:rsidR="00CA1920" w:rsidRPr="00BD16B4" w:rsidRDefault="00CA1920" w:rsidP="002D166E">
            <w:pPr>
              <w:pStyle w:val="TableText"/>
              <w:spacing w:before="40" w:after="40" w:line="240" w:lineRule="auto"/>
              <w:rPr>
                <w:sz w:val="14"/>
                <w:szCs w:val="18"/>
              </w:rPr>
            </w:pPr>
            <w:r w:rsidRPr="00BD16B4">
              <w:rPr>
                <w:sz w:val="14"/>
                <w:szCs w:val="14"/>
              </w:rPr>
              <w:t>CO</w:t>
            </w:r>
            <w:r w:rsidRPr="00BD16B4">
              <w:rPr>
                <w:sz w:val="14"/>
                <w:szCs w:val="14"/>
                <w:vertAlign w:val="subscript"/>
              </w:rPr>
              <w:t>2</w:t>
            </w:r>
          </w:p>
        </w:tc>
        <w:tc>
          <w:tcPr>
            <w:tcW w:w="1701" w:type="dxa"/>
            <w:shd w:val="clear" w:color="auto" w:fill="auto"/>
          </w:tcPr>
          <w:p w14:paraId="0D2C352E" w14:textId="77777777" w:rsidR="00CA1920" w:rsidRPr="00BD16B4" w:rsidRDefault="00CA1920" w:rsidP="002D166E">
            <w:pPr>
              <w:pStyle w:val="TableText"/>
              <w:spacing w:before="40" w:after="40" w:line="240" w:lineRule="auto"/>
              <w:rPr>
                <w:sz w:val="14"/>
                <w:szCs w:val="18"/>
              </w:rPr>
            </w:pPr>
            <w:r w:rsidRPr="00BD16B4">
              <w:rPr>
                <w:sz w:val="14"/>
                <w:szCs w:val="14"/>
              </w:rPr>
              <w:t>Promote technology that is commercially proven, but underused in New Zealand.</w:t>
            </w:r>
          </w:p>
        </w:tc>
        <w:tc>
          <w:tcPr>
            <w:tcW w:w="1134" w:type="dxa"/>
            <w:shd w:val="clear" w:color="auto" w:fill="auto"/>
          </w:tcPr>
          <w:p w14:paraId="7400E014" w14:textId="77777777" w:rsidR="00CA1920" w:rsidRPr="00BD16B4" w:rsidRDefault="00CA1920" w:rsidP="002D166E">
            <w:pPr>
              <w:pStyle w:val="TableText"/>
              <w:spacing w:before="40" w:after="40" w:line="240" w:lineRule="auto"/>
              <w:rPr>
                <w:sz w:val="14"/>
                <w:szCs w:val="18"/>
              </w:rPr>
            </w:pPr>
            <w:r w:rsidRPr="00BD16B4">
              <w:rPr>
                <w:sz w:val="14"/>
                <w:szCs w:val="14"/>
              </w:rPr>
              <w:t>Information</w:t>
            </w:r>
          </w:p>
        </w:tc>
        <w:tc>
          <w:tcPr>
            <w:tcW w:w="992" w:type="dxa"/>
            <w:shd w:val="clear" w:color="auto" w:fill="auto"/>
          </w:tcPr>
          <w:p w14:paraId="60A14C36" w14:textId="77777777" w:rsidR="00CA1920" w:rsidRPr="00BD16B4" w:rsidRDefault="00CA1920" w:rsidP="002D166E">
            <w:pPr>
              <w:pStyle w:val="TableText"/>
              <w:spacing w:before="40" w:after="40" w:line="240" w:lineRule="auto"/>
              <w:rPr>
                <w:sz w:val="14"/>
                <w:szCs w:val="18"/>
              </w:rPr>
            </w:pPr>
            <w:r w:rsidRPr="00BD16B4">
              <w:rPr>
                <w:sz w:val="14"/>
                <w:szCs w:val="14"/>
              </w:rPr>
              <w:t>Implemented</w:t>
            </w:r>
          </w:p>
        </w:tc>
        <w:tc>
          <w:tcPr>
            <w:tcW w:w="2410" w:type="dxa"/>
            <w:shd w:val="clear" w:color="auto" w:fill="auto"/>
          </w:tcPr>
          <w:p w14:paraId="23C729BD" w14:textId="77777777" w:rsidR="008038E4" w:rsidRPr="00BD16B4" w:rsidRDefault="00CA1920" w:rsidP="002D166E">
            <w:pPr>
              <w:pStyle w:val="TableText"/>
              <w:spacing w:before="40" w:after="40" w:line="240" w:lineRule="auto"/>
              <w:rPr>
                <w:sz w:val="14"/>
                <w:szCs w:val="14"/>
              </w:rPr>
            </w:pPr>
            <w:r w:rsidRPr="00BD16B4">
              <w:rPr>
                <w:sz w:val="14"/>
                <w:szCs w:val="14"/>
              </w:rPr>
              <w:t xml:space="preserve">The Technology demonstration programme will offer up to NZ$2 million in the coming year (spread across several projects) to co-fund and reduce risk for underused energy-saving technology for wider market deployment. Since 2018/19, the programme has included a specific investment focus to demonstrate innovative electric heat pump technologies. </w:t>
            </w:r>
          </w:p>
          <w:p w14:paraId="26F591A7" w14:textId="3EB0E828" w:rsidR="00CA1920" w:rsidRPr="00BD16B4" w:rsidRDefault="00CA1920" w:rsidP="002D166E">
            <w:pPr>
              <w:pStyle w:val="TableText"/>
              <w:spacing w:before="40" w:after="40" w:line="240" w:lineRule="auto"/>
              <w:rPr>
                <w:sz w:val="14"/>
                <w:szCs w:val="18"/>
              </w:rPr>
            </w:pPr>
            <w:r w:rsidRPr="00BD16B4">
              <w:rPr>
                <w:sz w:val="14"/>
                <w:szCs w:val="14"/>
              </w:rPr>
              <w:lastRenderedPageBreak/>
              <w:t>Since 2013, the expected total annual emissions savings from completed and commissioned projects was 94.232 kt CO</w:t>
            </w:r>
            <w:r w:rsidRPr="00BD16B4">
              <w:rPr>
                <w:sz w:val="14"/>
                <w:szCs w:val="14"/>
                <w:vertAlign w:val="subscript"/>
              </w:rPr>
              <w:t>2</w:t>
            </w:r>
            <w:r w:rsidRPr="00BD16B4">
              <w:rPr>
                <w:sz w:val="14"/>
                <w:szCs w:val="14"/>
              </w:rPr>
              <w:t>-e per annum. A further total annual emissions saving of 31.641 kt CO</w:t>
            </w:r>
            <w:r w:rsidRPr="00BD16B4">
              <w:rPr>
                <w:sz w:val="14"/>
                <w:szCs w:val="14"/>
                <w:vertAlign w:val="subscript"/>
              </w:rPr>
              <w:t>2</w:t>
            </w:r>
            <w:r w:rsidRPr="00BD16B4">
              <w:rPr>
                <w:sz w:val="14"/>
                <w:szCs w:val="14"/>
              </w:rPr>
              <w:t>-e per annum is expected from projects in the pipeline.</w:t>
            </w:r>
          </w:p>
        </w:tc>
        <w:tc>
          <w:tcPr>
            <w:tcW w:w="567" w:type="dxa"/>
            <w:shd w:val="clear" w:color="auto" w:fill="auto"/>
          </w:tcPr>
          <w:p w14:paraId="35E18BEF" w14:textId="77777777" w:rsidR="00CA1920" w:rsidRPr="00BD16B4" w:rsidRDefault="00CA1920" w:rsidP="002D166E">
            <w:pPr>
              <w:pStyle w:val="TableText"/>
              <w:spacing w:before="40" w:after="40" w:line="240" w:lineRule="auto"/>
              <w:rPr>
                <w:sz w:val="14"/>
                <w:szCs w:val="18"/>
              </w:rPr>
            </w:pPr>
            <w:r w:rsidRPr="00BD16B4">
              <w:rPr>
                <w:sz w:val="14"/>
                <w:szCs w:val="14"/>
              </w:rPr>
              <w:lastRenderedPageBreak/>
              <w:t>2013</w:t>
            </w:r>
          </w:p>
        </w:tc>
        <w:tc>
          <w:tcPr>
            <w:tcW w:w="1701" w:type="dxa"/>
            <w:shd w:val="clear" w:color="auto" w:fill="auto"/>
          </w:tcPr>
          <w:p w14:paraId="28C2289E" w14:textId="77777777" w:rsidR="00CA1920" w:rsidRPr="00BD16B4" w:rsidRDefault="00CA1920" w:rsidP="002D166E">
            <w:pPr>
              <w:pStyle w:val="TableText"/>
              <w:spacing w:before="40" w:after="40" w:line="240" w:lineRule="auto"/>
              <w:rPr>
                <w:sz w:val="14"/>
                <w:szCs w:val="18"/>
              </w:rPr>
            </w:pPr>
            <w:r w:rsidRPr="00BD16B4">
              <w:rPr>
                <w:sz w:val="14"/>
                <w:szCs w:val="14"/>
              </w:rPr>
              <w:t>Energy Efficiency and Conservation Authority</w:t>
            </w:r>
          </w:p>
        </w:tc>
        <w:tc>
          <w:tcPr>
            <w:tcW w:w="851" w:type="dxa"/>
            <w:shd w:val="clear" w:color="auto" w:fill="auto"/>
          </w:tcPr>
          <w:p w14:paraId="3B9CF23E" w14:textId="77777777" w:rsidR="00CA1920" w:rsidRPr="00BD16B4" w:rsidRDefault="00CA1920" w:rsidP="005173B2">
            <w:pPr>
              <w:pStyle w:val="TableText"/>
              <w:spacing w:before="40" w:after="40" w:line="240" w:lineRule="auto"/>
              <w:rPr>
                <w:sz w:val="14"/>
                <w:szCs w:val="18"/>
              </w:rPr>
            </w:pPr>
            <w:r w:rsidRPr="00BD16B4">
              <w:rPr>
                <w:sz w:val="14"/>
                <w:szCs w:val="14"/>
              </w:rPr>
              <w:t>NE</w:t>
            </w:r>
          </w:p>
        </w:tc>
        <w:tc>
          <w:tcPr>
            <w:tcW w:w="850" w:type="dxa"/>
            <w:shd w:val="clear" w:color="auto" w:fill="auto"/>
          </w:tcPr>
          <w:p w14:paraId="0F05FAE2" w14:textId="77777777" w:rsidR="00CA1920" w:rsidRPr="00BD16B4" w:rsidRDefault="00CA1920" w:rsidP="002D166E">
            <w:pPr>
              <w:pStyle w:val="TableText"/>
              <w:spacing w:before="40" w:after="40" w:line="240" w:lineRule="auto"/>
              <w:rPr>
                <w:sz w:val="14"/>
                <w:szCs w:val="18"/>
              </w:rPr>
            </w:pPr>
            <w:r w:rsidRPr="00BD16B4">
              <w:rPr>
                <w:sz w:val="14"/>
                <w:szCs w:val="14"/>
              </w:rPr>
              <w:t>NE</w:t>
            </w:r>
          </w:p>
        </w:tc>
        <w:tc>
          <w:tcPr>
            <w:tcW w:w="851" w:type="dxa"/>
            <w:shd w:val="clear" w:color="auto" w:fill="auto"/>
          </w:tcPr>
          <w:p w14:paraId="73767914" w14:textId="77777777" w:rsidR="00CA1920" w:rsidRPr="00BD16B4" w:rsidRDefault="00CA1920" w:rsidP="005173B2">
            <w:pPr>
              <w:pStyle w:val="TableText"/>
              <w:spacing w:before="40" w:after="40" w:line="240" w:lineRule="auto"/>
              <w:rPr>
                <w:sz w:val="14"/>
                <w:szCs w:val="18"/>
              </w:rPr>
            </w:pPr>
            <w:r w:rsidRPr="00BD16B4">
              <w:rPr>
                <w:sz w:val="14"/>
                <w:szCs w:val="14"/>
              </w:rPr>
              <w:t>NE</w:t>
            </w:r>
          </w:p>
        </w:tc>
      </w:tr>
      <w:tr w:rsidR="00CA1920" w:rsidRPr="00BD16B4" w14:paraId="4AD5978E" w14:textId="77777777" w:rsidTr="000A136D">
        <w:tc>
          <w:tcPr>
            <w:tcW w:w="14572" w:type="dxa"/>
            <w:gridSpan w:val="12"/>
            <w:shd w:val="clear" w:color="auto" w:fill="D2DDE1" w:themeFill="background2"/>
          </w:tcPr>
          <w:p w14:paraId="35A9B6C6" w14:textId="77777777" w:rsidR="00CA1920" w:rsidRPr="00BD16B4" w:rsidRDefault="00CA1920" w:rsidP="005173B2">
            <w:pPr>
              <w:pStyle w:val="TableText"/>
              <w:keepNext/>
              <w:spacing w:before="40" w:after="40" w:line="240" w:lineRule="auto"/>
              <w:rPr>
                <w:b/>
                <w:bCs/>
                <w:sz w:val="14"/>
                <w:szCs w:val="14"/>
              </w:rPr>
            </w:pPr>
            <w:r w:rsidRPr="00BD16B4">
              <w:rPr>
                <w:b/>
                <w:bCs/>
                <w:sz w:val="14"/>
                <w:szCs w:val="14"/>
              </w:rPr>
              <w:t>Energy: energy efficient communities</w:t>
            </w:r>
          </w:p>
        </w:tc>
      </w:tr>
      <w:tr w:rsidR="006709EC" w:rsidRPr="00BD16B4" w14:paraId="043CFF19" w14:textId="77777777" w:rsidTr="006709EC">
        <w:tc>
          <w:tcPr>
            <w:tcW w:w="1632" w:type="dxa"/>
            <w:shd w:val="clear" w:color="auto" w:fill="auto"/>
          </w:tcPr>
          <w:p w14:paraId="7F240351" w14:textId="77777777" w:rsidR="00CA1920" w:rsidRPr="00BD16B4" w:rsidRDefault="00CA1920" w:rsidP="007728C3">
            <w:pPr>
              <w:pStyle w:val="TableText"/>
              <w:keepNext/>
              <w:spacing w:before="40" w:after="40" w:line="240" w:lineRule="auto"/>
              <w:rPr>
                <w:rFonts w:cs="Calibri"/>
                <w:sz w:val="14"/>
                <w:szCs w:val="14"/>
              </w:rPr>
            </w:pPr>
            <w:r w:rsidRPr="00BD16B4">
              <w:rPr>
                <w:rFonts w:cs="Calibri"/>
                <w:sz w:val="14"/>
                <w:szCs w:val="14"/>
              </w:rPr>
              <w:t>Gen Less</w:t>
            </w:r>
          </w:p>
        </w:tc>
        <w:tc>
          <w:tcPr>
            <w:tcW w:w="1316" w:type="dxa"/>
            <w:shd w:val="clear" w:color="auto" w:fill="auto"/>
          </w:tcPr>
          <w:p w14:paraId="23A02760" w14:textId="77777777" w:rsidR="00CA1920" w:rsidRPr="00BD16B4" w:rsidRDefault="00CA1920" w:rsidP="007728C3">
            <w:pPr>
              <w:pStyle w:val="TableText"/>
              <w:keepNext/>
              <w:spacing w:before="40" w:after="40" w:line="240" w:lineRule="auto"/>
              <w:rPr>
                <w:rFonts w:cs="Calibri"/>
                <w:sz w:val="14"/>
                <w:szCs w:val="14"/>
              </w:rPr>
            </w:pPr>
            <w:r w:rsidRPr="00BD16B4">
              <w:rPr>
                <w:rFonts w:cs="Calibri"/>
                <w:sz w:val="14"/>
                <w:szCs w:val="14"/>
              </w:rPr>
              <w:t>Energy</w:t>
            </w:r>
          </w:p>
        </w:tc>
        <w:tc>
          <w:tcPr>
            <w:tcW w:w="567" w:type="dxa"/>
            <w:shd w:val="clear" w:color="auto" w:fill="auto"/>
          </w:tcPr>
          <w:p w14:paraId="5213458C" w14:textId="77777777" w:rsidR="00CA1920" w:rsidRPr="00BD16B4" w:rsidRDefault="00CA1920" w:rsidP="007728C3">
            <w:pPr>
              <w:pStyle w:val="TableText"/>
              <w:keepNext/>
              <w:spacing w:before="40" w:after="40" w:line="240" w:lineRule="auto"/>
              <w:rPr>
                <w:rFonts w:cs="Calibri"/>
                <w:sz w:val="14"/>
                <w:szCs w:val="14"/>
              </w:rPr>
            </w:pPr>
            <w:r w:rsidRPr="00BD16B4">
              <w:rPr>
                <w:rFonts w:cs="Calibri"/>
                <w:sz w:val="14"/>
                <w:szCs w:val="14"/>
              </w:rPr>
              <w:t>CO</w:t>
            </w:r>
            <w:r w:rsidRPr="00BD16B4">
              <w:rPr>
                <w:rFonts w:cs="Calibri"/>
                <w:sz w:val="14"/>
                <w:szCs w:val="14"/>
                <w:vertAlign w:val="subscript"/>
              </w:rPr>
              <w:t>2</w:t>
            </w:r>
          </w:p>
        </w:tc>
        <w:tc>
          <w:tcPr>
            <w:tcW w:w="1701" w:type="dxa"/>
            <w:shd w:val="clear" w:color="auto" w:fill="auto"/>
          </w:tcPr>
          <w:p w14:paraId="485FE420" w14:textId="77777777" w:rsidR="00CA1920" w:rsidRPr="00BD16B4" w:rsidRDefault="00CA1920" w:rsidP="007728C3">
            <w:pPr>
              <w:pStyle w:val="TableText"/>
              <w:keepNext/>
              <w:spacing w:before="40" w:after="40" w:line="240" w:lineRule="auto"/>
              <w:rPr>
                <w:rFonts w:cs="Calibri"/>
                <w:sz w:val="14"/>
                <w:szCs w:val="14"/>
              </w:rPr>
            </w:pPr>
            <w:r w:rsidRPr="00BD16B4">
              <w:rPr>
                <w:rFonts w:cs="Calibri"/>
                <w:sz w:val="14"/>
                <w:szCs w:val="14"/>
              </w:rPr>
              <w:t>Educate people and businesses about their energy choices and support the Government’s wider move towards a net zero carbon New Zealand by 2050.</w:t>
            </w:r>
          </w:p>
        </w:tc>
        <w:tc>
          <w:tcPr>
            <w:tcW w:w="1134" w:type="dxa"/>
            <w:shd w:val="clear" w:color="auto" w:fill="auto"/>
          </w:tcPr>
          <w:p w14:paraId="21BF786B" w14:textId="77777777" w:rsidR="00CA1920" w:rsidRPr="00BD16B4" w:rsidRDefault="00CA1920" w:rsidP="007728C3">
            <w:pPr>
              <w:pStyle w:val="TableText"/>
              <w:keepNext/>
              <w:spacing w:before="40" w:after="40" w:line="240" w:lineRule="auto"/>
              <w:rPr>
                <w:rFonts w:cs="Calibri"/>
                <w:sz w:val="14"/>
                <w:szCs w:val="14"/>
              </w:rPr>
            </w:pPr>
            <w:r w:rsidRPr="00BD16B4">
              <w:rPr>
                <w:rFonts w:cs="Calibri"/>
                <w:sz w:val="14"/>
                <w:szCs w:val="14"/>
              </w:rPr>
              <w:t>Information</w:t>
            </w:r>
          </w:p>
        </w:tc>
        <w:tc>
          <w:tcPr>
            <w:tcW w:w="992" w:type="dxa"/>
            <w:shd w:val="clear" w:color="auto" w:fill="auto"/>
          </w:tcPr>
          <w:p w14:paraId="497B5DB6" w14:textId="77777777" w:rsidR="00CA1920" w:rsidRPr="00BD16B4" w:rsidRDefault="00CA1920" w:rsidP="007728C3">
            <w:pPr>
              <w:pStyle w:val="TableText"/>
              <w:keepNext/>
              <w:spacing w:before="40" w:after="40" w:line="240" w:lineRule="auto"/>
              <w:rPr>
                <w:rFonts w:cs="Calibri"/>
                <w:sz w:val="14"/>
                <w:szCs w:val="14"/>
              </w:rPr>
            </w:pPr>
            <w:r w:rsidRPr="00BD16B4">
              <w:rPr>
                <w:rFonts w:cs="Calibri"/>
                <w:sz w:val="14"/>
                <w:szCs w:val="14"/>
              </w:rPr>
              <w:t>Implemented</w:t>
            </w:r>
          </w:p>
        </w:tc>
        <w:tc>
          <w:tcPr>
            <w:tcW w:w="2410" w:type="dxa"/>
            <w:shd w:val="clear" w:color="auto" w:fill="auto"/>
          </w:tcPr>
          <w:p w14:paraId="1CC6FBD7" w14:textId="77777777" w:rsidR="00CA1920" w:rsidRPr="00BD16B4" w:rsidRDefault="00CA1920" w:rsidP="007728C3">
            <w:pPr>
              <w:pStyle w:val="TableText"/>
              <w:keepNext/>
              <w:spacing w:before="40" w:after="40" w:line="240" w:lineRule="auto"/>
              <w:rPr>
                <w:rFonts w:cs="Calibri"/>
                <w:sz w:val="14"/>
                <w:szCs w:val="14"/>
              </w:rPr>
            </w:pPr>
            <w:r w:rsidRPr="00BD16B4">
              <w:rPr>
                <w:rFonts w:cs="Calibri"/>
                <w:sz w:val="14"/>
                <w:szCs w:val="14"/>
              </w:rPr>
              <w:t xml:space="preserve">The Gen Less website, social media channels and direct mailing lists provide information about climate change and how to reduce energy-related emissions at household, business and national levels. </w:t>
            </w:r>
          </w:p>
        </w:tc>
        <w:tc>
          <w:tcPr>
            <w:tcW w:w="567" w:type="dxa"/>
            <w:shd w:val="clear" w:color="auto" w:fill="auto"/>
          </w:tcPr>
          <w:p w14:paraId="18B83017" w14:textId="77777777" w:rsidR="00CA1920" w:rsidRPr="00BD16B4" w:rsidRDefault="00CA1920" w:rsidP="007728C3">
            <w:pPr>
              <w:pStyle w:val="TableText"/>
              <w:keepNext/>
              <w:spacing w:before="40" w:after="40" w:line="240" w:lineRule="auto"/>
              <w:rPr>
                <w:rFonts w:cs="Calibri"/>
                <w:sz w:val="14"/>
                <w:szCs w:val="14"/>
              </w:rPr>
            </w:pPr>
            <w:r w:rsidRPr="00BD16B4">
              <w:rPr>
                <w:rFonts w:cs="Calibri"/>
                <w:sz w:val="14"/>
                <w:szCs w:val="14"/>
              </w:rPr>
              <w:t>2019</w:t>
            </w:r>
          </w:p>
        </w:tc>
        <w:tc>
          <w:tcPr>
            <w:tcW w:w="1701" w:type="dxa"/>
            <w:shd w:val="clear" w:color="auto" w:fill="auto"/>
          </w:tcPr>
          <w:p w14:paraId="6D1992AF" w14:textId="77777777" w:rsidR="00CA1920" w:rsidRPr="00BD16B4" w:rsidRDefault="00CA1920" w:rsidP="007728C3">
            <w:pPr>
              <w:pStyle w:val="TableText"/>
              <w:keepNext/>
              <w:spacing w:before="40" w:after="40" w:line="240" w:lineRule="auto"/>
              <w:rPr>
                <w:rFonts w:cs="Calibri"/>
                <w:sz w:val="14"/>
                <w:szCs w:val="14"/>
              </w:rPr>
            </w:pPr>
            <w:r w:rsidRPr="00BD16B4">
              <w:rPr>
                <w:rFonts w:cs="Calibri"/>
                <w:sz w:val="14"/>
                <w:szCs w:val="14"/>
              </w:rPr>
              <w:t>Energy Efficiency and Conservation Authority</w:t>
            </w:r>
          </w:p>
        </w:tc>
        <w:tc>
          <w:tcPr>
            <w:tcW w:w="851" w:type="dxa"/>
            <w:shd w:val="clear" w:color="auto" w:fill="auto"/>
          </w:tcPr>
          <w:p w14:paraId="091D237C" w14:textId="77777777" w:rsidR="00CA1920" w:rsidRPr="00BD16B4" w:rsidRDefault="00CA1920" w:rsidP="005173B2">
            <w:pPr>
              <w:pStyle w:val="TableText"/>
              <w:keepNext/>
              <w:spacing w:before="40" w:after="40" w:line="240" w:lineRule="auto"/>
              <w:rPr>
                <w:rFonts w:cs="Calibri"/>
                <w:sz w:val="14"/>
                <w:szCs w:val="14"/>
              </w:rPr>
            </w:pPr>
            <w:r w:rsidRPr="00BD16B4">
              <w:rPr>
                <w:rFonts w:cs="Calibri"/>
                <w:sz w:val="14"/>
                <w:szCs w:val="14"/>
              </w:rPr>
              <w:t>NE</w:t>
            </w:r>
          </w:p>
        </w:tc>
        <w:tc>
          <w:tcPr>
            <w:tcW w:w="850" w:type="dxa"/>
            <w:shd w:val="clear" w:color="auto" w:fill="auto"/>
          </w:tcPr>
          <w:p w14:paraId="3DE712B4" w14:textId="77777777" w:rsidR="00CA1920" w:rsidRPr="00BD16B4" w:rsidRDefault="00CA1920" w:rsidP="007728C3">
            <w:pPr>
              <w:pStyle w:val="TableText"/>
              <w:keepNext/>
              <w:spacing w:before="40" w:after="40" w:line="240" w:lineRule="auto"/>
              <w:rPr>
                <w:rFonts w:cs="Calibri"/>
                <w:sz w:val="14"/>
                <w:szCs w:val="14"/>
              </w:rPr>
            </w:pPr>
            <w:r w:rsidRPr="00BD16B4">
              <w:rPr>
                <w:rFonts w:cs="Calibri"/>
                <w:sz w:val="14"/>
                <w:szCs w:val="14"/>
              </w:rPr>
              <w:t>NE</w:t>
            </w:r>
          </w:p>
        </w:tc>
        <w:tc>
          <w:tcPr>
            <w:tcW w:w="851" w:type="dxa"/>
            <w:shd w:val="clear" w:color="auto" w:fill="auto"/>
          </w:tcPr>
          <w:p w14:paraId="64C5683E" w14:textId="77777777" w:rsidR="00CA1920" w:rsidRPr="00BD16B4" w:rsidRDefault="00CA1920" w:rsidP="005173B2">
            <w:pPr>
              <w:pStyle w:val="TableText"/>
              <w:keepNext/>
              <w:spacing w:before="40" w:after="40" w:line="240" w:lineRule="auto"/>
              <w:rPr>
                <w:rFonts w:cs="Calibri"/>
                <w:szCs w:val="18"/>
              </w:rPr>
            </w:pPr>
            <w:r w:rsidRPr="00BD16B4">
              <w:rPr>
                <w:rFonts w:cs="Calibri"/>
                <w:sz w:val="14"/>
                <w:szCs w:val="14"/>
              </w:rPr>
              <w:t>NE</w:t>
            </w:r>
          </w:p>
        </w:tc>
      </w:tr>
      <w:tr w:rsidR="006709EC" w:rsidRPr="00BD16B4" w14:paraId="0026F93A" w14:textId="77777777" w:rsidTr="006709EC">
        <w:tc>
          <w:tcPr>
            <w:tcW w:w="1632" w:type="dxa"/>
            <w:shd w:val="clear" w:color="auto" w:fill="auto"/>
          </w:tcPr>
          <w:p w14:paraId="33131D20"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 xml:space="preserve">Support for Energy Education in Communities Programme </w:t>
            </w:r>
          </w:p>
        </w:tc>
        <w:tc>
          <w:tcPr>
            <w:tcW w:w="1316" w:type="dxa"/>
            <w:shd w:val="clear" w:color="auto" w:fill="auto"/>
          </w:tcPr>
          <w:p w14:paraId="7F51338E"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Energy</w:t>
            </w:r>
          </w:p>
        </w:tc>
        <w:tc>
          <w:tcPr>
            <w:tcW w:w="567" w:type="dxa"/>
            <w:shd w:val="clear" w:color="auto" w:fill="auto"/>
          </w:tcPr>
          <w:p w14:paraId="6933D41B"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CO</w:t>
            </w:r>
            <w:r w:rsidRPr="00BD16B4">
              <w:rPr>
                <w:rFonts w:cs="Calibri"/>
                <w:color w:val="000000"/>
                <w:sz w:val="14"/>
                <w:szCs w:val="14"/>
                <w:vertAlign w:val="subscript"/>
              </w:rPr>
              <w:t>2</w:t>
            </w:r>
          </w:p>
        </w:tc>
        <w:tc>
          <w:tcPr>
            <w:tcW w:w="1701" w:type="dxa"/>
            <w:shd w:val="clear" w:color="auto" w:fill="auto"/>
          </w:tcPr>
          <w:p w14:paraId="045D0407"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 xml:space="preserve">Lift people out of energy hardship. </w:t>
            </w:r>
          </w:p>
        </w:tc>
        <w:tc>
          <w:tcPr>
            <w:tcW w:w="1134" w:type="dxa"/>
            <w:shd w:val="clear" w:color="auto" w:fill="auto"/>
          </w:tcPr>
          <w:p w14:paraId="7F702973"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Fiscal</w:t>
            </w:r>
          </w:p>
        </w:tc>
        <w:tc>
          <w:tcPr>
            <w:tcW w:w="992" w:type="dxa"/>
            <w:shd w:val="clear" w:color="auto" w:fill="auto"/>
          </w:tcPr>
          <w:p w14:paraId="0CF327BA"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Implemented</w:t>
            </w:r>
          </w:p>
        </w:tc>
        <w:tc>
          <w:tcPr>
            <w:tcW w:w="2410" w:type="dxa"/>
            <w:shd w:val="clear" w:color="auto" w:fill="auto"/>
          </w:tcPr>
          <w:p w14:paraId="6747C34A"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Funding to build and expand the network of services to support people experiencing energy hardship to achieve warmer, more energy-efficient homes and lower their energy bills.</w:t>
            </w:r>
          </w:p>
        </w:tc>
        <w:tc>
          <w:tcPr>
            <w:tcW w:w="567" w:type="dxa"/>
            <w:shd w:val="clear" w:color="auto" w:fill="auto"/>
          </w:tcPr>
          <w:p w14:paraId="471BDAFA"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2020</w:t>
            </w:r>
          </w:p>
        </w:tc>
        <w:tc>
          <w:tcPr>
            <w:tcW w:w="1701" w:type="dxa"/>
            <w:shd w:val="clear" w:color="auto" w:fill="auto"/>
          </w:tcPr>
          <w:p w14:paraId="12AC94A5"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Ministry of Business, Innovation and Employment</w:t>
            </w:r>
          </w:p>
        </w:tc>
        <w:tc>
          <w:tcPr>
            <w:tcW w:w="851" w:type="dxa"/>
            <w:shd w:val="clear" w:color="auto" w:fill="auto"/>
          </w:tcPr>
          <w:p w14:paraId="01CF4008" w14:textId="3AC174DB" w:rsidR="00CA1920" w:rsidRPr="00BD16B4" w:rsidRDefault="00CA1920" w:rsidP="005173B2">
            <w:pPr>
              <w:pStyle w:val="TableText"/>
              <w:spacing w:before="40" w:after="40" w:line="240" w:lineRule="auto"/>
              <w:rPr>
                <w:rFonts w:cs="Calibri"/>
                <w:color w:val="000000"/>
                <w:sz w:val="14"/>
                <w:szCs w:val="14"/>
              </w:rPr>
            </w:pPr>
            <w:r w:rsidRPr="00BD16B4">
              <w:rPr>
                <w:rFonts w:cs="Calibri"/>
                <w:color w:val="000000"/>
                <w:sz w:val="14"/>
                <w:szCs w:val="14"/>
              </w:rPr>
              <w:t>NE</w:t>
            </w:r>
          </w:p>
        </w:tc>
        <w:tc>
          <w:tcPr>
            <w:tcW w:w="850" w:type="dxa"/>
            <w:shd w:val="clear" w:color="auto" w:fill="auto"/>
          </w:tcPr>
          <w:p w14:paraId="06D82E54"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 NE</w:t>
            </w:r>
          </w:p>
        </w:tc>
        <w:tc>
          <w:tcPr>
            <w:tcW w:w="851" w:type="dxa"/>
            <w:shd w:val="clear" w:color="auto" w:fill="auto"/>
          </w:tcPr>
          <w:p w14:paraId="2E760192" w14:textId="52EF531D" w:rsidR="00CA1920" w:rsidRPr="00BD16B4" w:rsidRDefault="00CA1920" w:rsidP="005173B2">
            <w:pPr>
              <w:pStyle w:val="TableText"/>
              <w:spacing w:before="40" w:after="40" w:line="240" w:lineRule="auto"/>
              <w:rPr>
                <w:rFonts w:cs="Calibri"/>
                <w:color w:val="000000"/>
                <w:szCs w:val="18"/>
              </w:rPr>
            </w:pPr>
            <w:r w:rsidRPr="00BD16B4">
              <w:rPr>
                <w:rFonts w:cs="Calibri"/>
                <w:color w:val="000000"/>
                <w:sz w:val="14"/>
                <w:szCs w:val="14"/>
              </w:rPr>
              <w:t>NE</w:t>
            </w:r>
          </w:p>
        </w:tc>
      </w:tr>
      <w:tr w:rsidR="00CA1920" w:rsidRPr="00BD16B4" w14:paraId="4ABECB00" w14:textId="77777777" w:rsidTr="000A136D">
        <w:tc>
          <w:tcPr>
            <w:tcW w:w="14572" w:type="dxa"/>
            <w:gridSpan w:val="12"/>
            <w:shd w:val="clear" w:color="auto" w:fill="D2DDE1" w:themeFill="background2"/>
          </w:tcPr>
          <w:p w14:paraId="7233DD54" w14:textId="77777777" w:rsidR="00CA1920" w:rsidRPr="00BD16B4" w:rsidRDefault="00CA1920" w:rsidP="005173B2">
            <w:pPr>
              <w:pStyle w:val="TableText"/>
              <w:spacing w:before="40" w:after="40" w:line="240" w:lineRule="auto"/>
              <w:rPr>
                <w:rFonts w:cs="Calibri"/>
                <w:b/>
                <w:bCs/>
                <w:sz w:val="14"/>
                <w:szCs w:val="14"/>
              </w:rPr>
            </w:pPr>
            <w:r w:rsidRPr="00BD16B4">
              <w:rPr>
                <w:rFonts w:cs="Calibri"/>
                <w:b/>
                <w:bCs/>
                <w:sz w:val="14"/>
                <w:szCs w:val="14"/>
              </w:rPr>
              <w:t>Energy: further programmes to improve the energy system</w:t>
            </w:r>
          </w:p>
        </w:tc>
      </w:tr>
      <w:tr w:rsidR="006709EC" w:rsidRPr="00BD16B4" w14:paraId="26E9BF16" w14:textId="77777777" w:rsidTr="006709EC">
        <w:tc>
          <w:tcPr>
            <w:tcW w:w="1632" w:type="dxa"/>
          </w:tcPr>
          <w:p w14:paraId="147EA9C7"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Māori and Public Housing Renewable Energy Fund and Community Energy Fund</w:t>
            </w:r>
          </w:p>
        </w:tc>
        <w:tc>
          <w:tcPr>
            <w:tcW w:w="1316" w:type="dxa"/>
          </w:tcPr>
          <w:p w14:paraId="5A43E48C"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Energy</w:t>
            </w:r>
          </w:p>
        </w:tc>
        <w:tc>
          <w:tcPr>
            <w:tcW w:w="567" w:type="dxa"/>
          </w:tcPr>
          <w:p w14:paraId="79A3C3F8"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CO</w:t>
            </w:r>
            <w:r w:rsidRPr="00BD16B4">
              <w:rPr>
                <w:rFonts w:cs="Calibri"/>
                <w:color w:val="000000"/>
                <w:sz w:val="14"/>
                <w:szCs w:val="14"/>
                <w:vertAlign w:val="subscript"/>
              </w:rPr>
              <w:t>2</w:t>
            </w:r>
          </w:p>
        </w:tc>
        <w:tc>
          <w:tcPr>
            <w:tcW w:w="1701" w:type="dxa"/>
          </w:tcPr>
          <w:p w14:paraId="1AA1FDA1"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Support renewable and affordable energy in communities.</w:t>
            </w:r>
          </w:p>
        </w:tc>
        <w:tc>
          <w:tcPr>
            <w:tcW w:w="1134" w:type="dxa"/>
          </w:tcPr>
          <w:p w14:paraId="538BB8C4" w14:textId="77777777" w:rsidR="00CA1920" w:rsidRPr="00BD16B4" w:rsidRDefault="00CA1920" w:rsidP="002D166E">
            <w:pPr>
              <w:pStyle w:val="TableText"/>
              <w:spacing w:before="40" w:after="40" w:line="240" w:lineRule="auto"/>
              <w:rPr>
                <w:rFonts w:cs="Calibri"/>
                <w:sz w:val="14"/>
                <w:szCs w:val="14"/>
              </w:rPr>
            </w:pPr>
            <w:r w:rsidRPr="00BD16B4">
              <w:rPr>
                <w:rFonts w:cs="Calibri"/>
                <w:color w:val="000000"/>
                <w:sz w:val="14"/>
                <w:szCs w:val="14"/>
              </w:rPr>
              <w:t>Fiscal</w:t>
            </w:r>
          </w:p>
        </w:tc>
        <w:tc>
          <w:tcPr>
            <w:tcW w:w="992" w:type="dxa"/>
          </w:tcPr>
          <w:p w14:paraId="323C28A5"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sz w:val="14"/>
                <w:szCs w:val="14"/>
              </w:rPr>
              <w:t>Implemented</w:t>
            </w:r>
          </w:p>
        </w:tc>
        <w:tc>
          <w:tcPr>
            <w:tcW w:w="2410" w:type="dxa"/>
          </w:tcPr>
          <w:p w14:paraId="48F01BEE" w14:textId="09B5D64F"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This fund trials community-scale renewable technologies such as modern geothermal, solar panels and batteries. The most recent round made funding available for larger, more complex, renewable energy technologies, such as small-scale hydro, wind energy generation and projects integrating remote distribution and retail solutions. The Community Energy Fund builds on and expands this.</w:t>
            </w:r>
          </w:p>
        </w:tc>
        <w:tc>
          <w:tcPr>
            <w:tcW w:w="567" w:type="dxa"/>
          </w:tcPr>
          <w:p w14:paraId="3E6C5912" w14:textId="77777777" w:rsidR="00CA1920" w:rsidRPr="00BD16B4" w:rsidRDefault="00CA1920" w:rsidP="002D166E">
            <w:pPr>
              <w:pStyle w:val="TableText"/>
              <w:spacing w:before="40" w:after="40" w:line="240" w:lineRule="auto"/>
              <w:rPr>
                <w:rFonts w:cs="Calibri"/>
                <w:sz w:val="14"/>
                <w:szCs w:val="14"/>
              </w:rPr>
            </w:pPr>
            <w:r w:rsidRPr="00BD16B4">
              <w:rPr>
                <w:rFonts w:cs="Calibri"/>
                <w:color w:val="000000"/>
                <w:sz w:val="14"/>
                <w:szCs w:val="14"/>
              </w:rPr>
              <w:t>2020</w:t>
            </w:r>
          </w:p>
        </w:tc>
        <w:tc>
          <w:tcPr>
            <w:tcW w:w="1701" w:type="dxa"/>
          </w:tcPr>
          <w:p w14:paraId="5DA1D8AF" w14:textId="77777777" w:rsidR="00CA1920" w:rsidRPr="00BD16B4" w:rsidRDefault="00CA1920" w:rsidP="002D166E">
            <w:pPr>
              <w:pStyle w:val="TableText"/>
              <w:spacing w:before="40" w:after="40" w:line="240" w:lineRule="auto"/>
              <w:rPr>
                <w:rFonts w:cs="Calibri"/>
                <w:color w:val="000000"/>
                <w:sz w:val="14"/>
                <w:szCs w:val="14"/>
              </w:rPr>
            </w:pPr>
            <w:r w:rsidRPr="00BD16B4">
              <w:rPr>
                <w:rFonts w:cs="Calibri"/>
                <w:color w:val="000000"/>
                <w:sz w:val="14"/>
                <w:szCs w:val="14"/>
              </w:rPr>
              <w:t>Ministry of Business, Innovation and Employment</w:t>
            </w:r>
          </w:p>
        </w:tc>
        <w:tc>
          <w:tcPr>
            <w:tcW w:w="851" w:type="dxa"/>
          </w:tcPr>
          <w:p w14:paraId="2502A6EA"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tcPr>
          <w:p w14:paraId="71CA23B7"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tcPr>
          <w:p w14:paraId="72C912F9"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6709EC" w:rsidRPr="00BD16B4" w14:paraId="024354A3" w14:textId="77777777" w:rsidTr="006709EC">
        <w:tc>
          <w:tcPr>
            <w:tcW w:w="1632" w:type="dxa"/>
          </w:tcPr>
          <w:p w14:paraId="705486BB"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 xml:space="preserve">NZ Battery Project </w:t>
            </w:r>
          </w:p>
        </w:tc>
        <w:tc>
          <w:tcPr>
            <w:tcW w:w="1316" w:type="dxa"/>
          </w:tcPr>
          <w:p w14:paraId="75C1A8AB"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Energy</w:t>
            </w:r>
          </w:p>
        </w:tc>
        <w:tc>
          <w:tcPr>
            <w:tcW w:w="567" w:type="dxa"/>
          </w:tcPr>
          <w:p w14:paraId="2170A853"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CO</w:t>
            </w:r>
            <w:r w:rsidRPr="00BD16B4">
              <w:rPr>
                <w:rFonts w:cs="Calibri"/>
                <w:sz w:val="14"/>
                <w:szCs w:val="14"/>
                <w:vertAlign w:val="subscript"/>
              </w:rPr>
              <w:t>2</w:t>
            </w:r>
          </w:p>
        </w:tc>
        <w:tc>
          <w:tcPr>
            <w:tcW w:w="1701" w:type="dxa"/>
          </w:tcPr>
          <w:p w14:paraId="79F649E5"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 xml:space="preserve">Investigate solutions to the ‘dry year problem’ when hydro catchments are low and fossil fuels are used to generate electricity to cover the shortfall. </w:t>
            </w:r>
          </w:p>
        </w:tc>
        <w:tc>
          <w:tcPr>
            <w:tcW w:w="1134" w:type="dxa"/>
          </w:tcPr>
          <w:p w14:paraId="787DDCE9"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Research</w:t>
            </w:r>
          </w:p>
        </w:tc>
        <w:tc>
          <w:tcPr>
            <w:tcW w:w="992" w:type="dxa"/>
          </w:tcPr>
          <w:p w14:paraId="0F90C744"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Implemented</w:t>
            </w:r>
          </w:p>
        </w:tc>
        <w:tc>
          <w:tcPr>
            <w:tcW w:w="2410" w:type="dxa"/>
          </w:tcPr>
          <w:p w14:paraId="40392F7B"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The NZ Battery Project will provide comprehensive advice on the technical, environmental and commercial feasibility of pumped hydro and other potential energy storage projects to mitigate the dry year problem.</w:t>
            </w:r>
          </w:p>
        </w:tc>
        <w:tc>
          <w:tcPr>
            <w:tcW w:w="567" w:type="dxa"/>
          </w:tcPr>
          <w:p w14:paraId="6CDF48DD"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2020</w:t>
            </w:r>
          </w:p>
        </w:tc>
        <w:tc>
          <w:tcPr>
            <w:tcW w:w="1701" w:type="dxa"/>
          </w:tcPr>
          <w:p w14:paraId="4CFB358E"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Ministry of Business, Innovation and Employment</w:t>
            </w:r>
          </w:p>
        </w:tc>
        <w:tc>
          <w:tcPr>
            <w:tcW w:w="851" w:type="dxa"/>
          </w:tcPr>
          <w:p w14:paraId="5C425862"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tcPr>
          <w:p w14:paraId="78459299"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tcPr>
          <w:p w14:paraId="2015E01C"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6709EC" w:rsidRPr="00BD16B4" w14:paraId="373A62AD" w14:textId="77777777" w:rsidTr="006709EC">
        <w:tc>
          <w:tcPr>
            <w:tcW w:w="1632" w:type="dxa"/>
          </w:tcPr>
          <w:p w14:paraId="6C12A91C"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lastRenderedPageBreak/>
              <w:t>Electricity Market Measures</w:t>
            </w:r>
          </w:p>
        </w:tc>
        <w:tc>
          <w:tcPr>
            <w:tcW w:w="1316" w:type="dxa"/>
          </w:tcPr>
          <w:p w14:paraId="22EE8459"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Energy</w:t>
            </w:r>
          </w:p>
        </w:tc>
        <w:tc>
          <w:tcPr>
            <w:tcW w:w="567" w:type="dxa"/>
          </w:tcPr>
          <w:p w14:paraId="33580766"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CO</w:t>
            </w:r>
            <w:r w:rsidRPr="00BD16B4">
              <w:rPr>
                <w:rFonts w:cs="Calibri"/>
                <w:sz w:val="14"/>
                <w:szCs w:val="14"/>
                <w:vertAlign w:val="subscript"/>
              </w:rPr>
              <w:t>2</w:t>
            </w:r>
          </w:p>
        </w:tc>
        <w:tc>
          <w:tcPr>
            <w:tcW w:w="1701" w:type="dxa"/>
          </w:tcPr>
          <w:p w14:paraId="5320AF51"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Support the electricity market to transition to 100 per cent renewable generation.</w:t>
            </w:r>
          </w:p>
        </w:tc>
        <w:tc>
          <w:tcPr>
            <w:tcW w:w="1134" w:type="dxa"/>
          </w:tcPr>
          <w:p w14:paraId="27F29968"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Research, regulatory</w:t>
            </w:r>
          </w:p>
        </w:tc>
        <w:tc>
          <w:tcPr>
            <w:tcW w:w="992" w:type="dxa"/>
          </w:tcPr>
          <w:p w14:paraId="20F40299"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Planned</w:t>
            </w:r>
          </w:p>
        </w:tc>
        <w:tc>
          <w:tcPr>
            <w:tcW w:w="2410" w:type="dxa"/>
          </w:tcPr>
          <w:p w14:paraId="4C147CED"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Investigation of the need for and implementation of additional market mechanisms and regulation to support affordable and reliable electricity supply, while accelerating the transition to a highly renewable electricity system.</w:t>
            </w:r>
          </w:p>
        </w:tc>
        <w:tc>
          <w:tcPr>
            <w:tcW w:w="567" w:type="dxa"/>
          </w:tcPr>
          <w:p w14:paraId="490965AA"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2022</w:t>
            </w:r>
          </w:p>
        </w:tc>
        <w:tc>
          <w:tcPr>
            <w:tcW w:w="1701" w:type="dxa"/>
          </w:tcPr>
          <w:p w14:paraId="088E153C"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Ministry of Business, Innovation and Employment</w:t>
            </w:r>
          </w:p>
        </w:tc>
        <w:tc>
          <w:tcPr>
            <w:tcW w:w="851" w:type="dxa"/>
          </w:tcPr>
          <w:p w14:paraId="4DD1568B"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tcPr>
          <w:p w14:paraId="72F1F1BA"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tcPr>
          <w:p w14:paraId="46D3679A"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6709EC" w:rsidRPr="00BD16B4" w14:paraId="63154267" w14:textId="77777777" w:rsidTr="006709EC">
        <w:tc>
          <w:tcPr>
            <w:tcW w:w="1632" w:type="dxa"/>
          </w:tcPr>
          <w:p w14:paraId="55E8579F" w14:textId="77777777" w:rsidR="00CA1920" w:rsidRPr="00BD16B4" w:rsidRDefault="00CA1920" w:rsidP="007728C3">
            <w:pPr>
              <w:pStyle w:val="TableText"/>
              <w:keepNext/>
              <w:spacing w:before="40" w:after="40" w:line="240" w:lineRule="auto"/>
              <w:rPr>
                <w:rFonts w:cs="Calibri"/>
                <w:sz w:val="14"/>
                <w:szCs w:val="14"/>
              </w:rPr>
            </w:pPr>
            <w:r w:rsidRPr="00BD16B4">
              <w:rPr>
                <w:rFonts w:cs="Calibri"/>
                <w:sz w:val="14"/>
                <w:szCs w:val="14"/>
              </w:rPr>
              <w:t>Develop offshore energy regulatory framework</w:t>
            </w:r>
          </w:p>
        </w:tc>
        <w:tc>
          <w:tcPr>
            <w:tcW w:w="1316" w:type="dxa"/>
          </w:tcPr>
          <w:p w14:paraId="4D764142"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Energy</w:t>
            </w:r>
          </w:p>
        </w:tc>
        <w:tc>
          <w:tcPr>
            <w:tcW w:w="567" w:type="dxa"/>
          </w:tcPr>
          <w:p w14:paraId="4CB25A4A"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CO</w:t>
            </w:r>
            <w:r w:rsidRPr="00BD16B4">
              <w:rPr>
                <w:rFonts w:cs="Calibri"/>
                <w:sz w:val="14"/>
                <w:szCs w:val="14"/>
                <w:vertAlign w:val="subscript"/>
              </w:rPr>
              <w:t>2</w:t>
            </w:r>
          </w:p>
        </w:tc>
        <w:tc>
          <w:tcPr>
            <w:tcW w:w="1701" w:type="dxa"/>
          </w:tcPr>
          <w:p w14:paraId="713EB680"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Enable investment in offshore renewable energy.</w:t>
            </w:r>
          </w:p>
        </w:tc>
        <w:tc>
          <w:tcPr>
            <w:tcW w:w="1134" w:type="dxa"/>
          </w:tcPr>
          <w:p w14:paraId="0DEC42BE"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Regulatory</w:t>
            </w:r>
          </w:p>
        </w:tc>
        <w:tc>
          <w:tcPr>
            <w:tcW w:w="992" w:type="dxa"/>
          </w:tcPr>
          <w:p w14:paraId="3BC9186A"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Planned</w:t>
            </w:r>
          </w:p>
        </w:tc>
        <w:tc>
          <w:tcPr>
            <w:tcW w:w="2410" w:type="dxa"/>
          </w:tcPr>
          <w:p w14:paraId="2CBA667D"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Develop regulatory settings to enable investment in offshore renewable energy (such as offshore wind farms) and innovation.</w:t>
            </w:r>
          </w:p>
        </w:tc>
        <w:tc>
          <w:tcPr>
            <w:tcW w:w="567" w:type="dxa"/>
          </w:tcPr>
          <w:p w14:paraId="05FA83EF"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2022</w:t>
            </w:r>
          </w:p>
        </w:tc>
        <w:tc>
          <w:tcPr>
            <w:tcW w:w="1701" w:type="dxa"/>
          </w:tcPr>
          <w:p w14:paraId="76A415FA"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Ministry of Business, Innovation and Employment</w:t>
            </w:r>
          </w:p>
        </w:tc>
        <w:tc>
          <w:tcPr>
            <w:tcW w:w="851" w:type="dxa"/>
          </w:tcPr>
          <w:p w14:paraId="0FEC13D4"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tcPr>
          <w:p w14:paraId="6EC1772B"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tcPr>
          <w:p w14:paraId="0F058D95"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6709EC" w:rsidRPr="00BD16B4" w14:paraId="34320AEE" w14:textId="77777777" w:rsidTr="006709EC">
        <w:tc>
          <w:tcPr>
            <w:tcW w:w="1632" w:type="dxa"/>
          </w:tcPr>
          <w:p w14:paraId="41A148E0"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Review national direction tools for new renewable generation and electricity infrastructure</w:t>
            </w:r>
          </w:p>
        </w:tc>
        <w:tc>
          <w:tcPr>
            <w:tcW w:w="1316" w:type="dxa"/>
          </w:tcPr>
          <w:p w14:paraId="6375A2F2"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Energy</w:t>
            </w:r>
          </w:p>
        </w:tc>
        <w:tc>
          <w:tcPr>
            <w:tcW w:w="567" w:type="dxa"/>
          </w:tcPr>
          <w:p w14:paraId="32F91B7F"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CO</w:t>
            </w:r>
            <w:r w:rsidRPr="00BD16B4">
              <w:rPr>
                <w:rFonts w:cs="Calibri"/>
                <w:sz w:val="14"/>
                <w:szCs w:val="14"/>
                <w:vertAlign w:val="subscript"/>
              </w:rPr>
              <w:t>2</w:t>
            </w:r>
          </w:p>
        </w:tc>
        <w:tc>
          <w:tcPr>
            <w:tcW w:w="1701" w:type="dxa"/>
          </w:tcPr>
          <w:p w14:paraId="19A09B19"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Determine whether – and how – resource consent processes could be improved.</w:t>
            </w:r>
          </w:p>
        </w:tc>
        <w:tc>
          <w:tcPr>
            <w:tcW w:w="1134" w:type="dxa"/>
          </w:tcPr>
          <w:p w14:paraId="416ADE41"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Regulatory</w:t>
            </w:r>
          </w:p>
        </w:tc>
        <w:tc>
          <w:tcPr>
            <w:tcW w:w="992" w:type="dxa"/>
          </w:tcPr>
          <w:p w14:paraId="3BDD4B17"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Planned</w:t>
            </w:r>
          </w:p>
        </w:tc>
        <w:tc>
          <w:tcPr>
            <w:tcW w:w="2410" w:type="dxa"/>
          </w:tcPr>
          <w:p w14:paraId="33968547"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Review of national direction tools for enabling investment in new renewable electricity generation and infrastructure, including small-scale generation. Determine whether, and how, resource consenting processes could be improved.</w:t>
            </w:r>
          </w:p>
        </w:tc>
        <w:tc>
          <w:tcPr>
            <w:tcW w:w="567" w:type="dxa"/>
          </w:tcPr>
          <w:p w14:paraId="3083B90E"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2022</w:t>
            </w:r>
          </w:p>
        </w:tc>
        <w:tc>
          <w:tcPr>
            <w:tcW w:w="1701" w:type="dxa"/>
          </w:tcPr>
          <w:p w14:paraId="485F13C5"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Ministry of Business, Innovation and Employment</w:t>
            </w:r>
          </w:p>
        </w:tc>
        <w:tc>
          <w:tcPr>
            <w:tcW w:w="851" w:type="dxa"/>
          </w:tcPr>
          <w:p w14:paraId="02864390"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tcPr>
          <w:p w14:paraId="73DA9A5D"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tcPr>
          <w:p w14:paraId="2460E4B0"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CA1920" w:rsidRPr="00BD16B4" w14:paraId="11529147" w14:textId="77777777" w:rsidTr="000A136D">
        <w:tc>
          <w:tcPr>
            <w:tcW w:w="14572" w:type="dxa"/>
            <w:gridSpan w:val="12"/>
            <w:shd w:val="clear" w:color="auto" w:fill="D2DDE1" w:themeFill="background2"/>
          </w:tcPr>
          <w:p w14:paraId="7EDA21E0" w14:textId="77777777" w:rsidR="00CA1920" w:rsidRPr="00BD16B4" w:rsidRDefault="00CA1920" w:rsidP="005173B2">
            <w:pPr>
              <w:pStyle w:val="TableText"/>
              <w:spacing w:before="40" w:after="40" w:line="240" w:lineRule="auto"/>
              <w:rPr>
                <w:rFonts w:cs="Calibri"/>
                <w:b/>
                <w:bCs/>
                <w:sz w:val="14"/>
                <w:szCs w:val="14"/>
              </w:rPr>
            </w:pPr>
            <w:r w:rsidRPr="00BD16B4">
              <w:rPr>
                <w:rFonts w:cs="Calibri"/>
                <w:b/>
                <w:bCs/>
                <w:sz w:val="14"/>
                <w:szCs w:val="14"/>
              </w:rPr>
              <w:t>Building and construction</w:t>
            </w:r>
          </w:p>
        </w:tc>
      </w:tr>
      <w:tr w:rsidR="006709EC" w:rsidRPr="00BD16B4" w14:paraId="5F2FB723" w14:textId="77777777" w:rsidTr="006709EC">
        <w:tc>
          <w:tcPr>
            <w:tcW w:w="1632" w:type="dxa"/>
          </w:tcPr>
          <w:p w14:paraId="279C10DC" w14:textId="77777777" w:rsidR="00CA1920" w:rsidRPr="00BD16B4" w:rsidRDefault="00CA1920" w:rsidP="002D166E">
            <w:pPr>
              <w:pStyle w:val="TableText"/>
              <w:spacing w:before="40" w:after="40" w:line="240" w:lineRule="auto"/>
              <w:rPr>
                <w:sz w:val="14"/>
                <w:szCs w:val="18"/>
              </w:rPr>
            </w:pPr>
            <w:r w:rsidRPr="00BD16B4">
              <w:rPr>
                <w:sz w:val="14"/>
                <w:szCs w:val="18"/>
              </w:rPr>
              <w:t>National Australian Built Environment Rating System – New Zealand (NABERSNZ</w:t>
            </w:r>
            <w:r w:rsidRPr="00BD16B4">
              <w:rPr>
                <w:sz w:val="14"/>
                <w:szCs w:val="18"/>
                <w:vertAlign w:val="superscript"/>
              </w:rPr>
              <w:t>TM</w:t>
            </w:r>
            <w:r w:rsidRPr="00BD16B4">
              <w:rPr>
                <w:sz w:val="14"/>
                <w:szCs w:val="18"/>
              </w:rPr>
              <w:t>)</w:t>
            </w:r>
          </w:p>
        </w:tc>
        <w:tc>
          <w:tcPr>
            <w:tcW w:w="1316" w:type="dxa"/>
          </w:tcPr>
          <w:p w14:paraId="293F8703" w14:textId="77777777" w:rsidR="00CA1920" w:rsidRPr="00BD16B4" w:rsidRDefault="00CA1920" w:rsidP="002D166E">
            <w:pPr>
              <w:pStyle w:val="TableText"/>
              <w:spacing w:before="40" w:after="40" w:line="240" w:lineRule="auto"/>
              <w:rPr>
                <w:rFonts w:cs="Calibri"/>
                <w:sz w:val="14"/>
                <w:szCs w:val="18"/>
              </w:rPr>
            </w:pPr>
            <w:r w:rsidRPr="00BD16B4">
              <w:rPr>
                <w:sz w:val="14"/>
                <w:szCs w:val="18"/>
              </w:rPr>
              <w:t>Energy (commercial, public sector)</w:t>
            </w:r>
          </w:p>
        </w:tc>
        <w:tc>
          <w:tcPr>
            <w:tcW w:w="567" w:type="dxa"/>
          </w:tcPr>
          <w:p w14:paraId="052B55AF" w14:textId="77777777" w:rsidR="00CA1920" w:rsidRPr="00BD16B4" w:rsidRDefault="00CA1920" w:rsidP="002D166E">
            <w:pPr>
              <w:pStyle w:val="TableText"/>
              <w:spacing w:before="40" w:after="40" w:line="240" w:lineRule="auto"/>
              <w:rPr>
                <w:rFonts w:cs="Calibri"/>
                <w:sz w:val="14"/>
                <w:szCs w:val="18"/>
              </w:rPr>
            </w:pPr>
            <w:r w:rsidRPr="00BD16B4">
              <w:rPr>
                <w:sz w:val="14"/>
                <w:szCs w:val="18"/>
              </w:rPr>
              <w:t>CO</w:t>
            </w:r>
            <w:r w:rsidRPr="00BD16B4">
              <w:rPr>
                <w:sz w:val="14"/>
                <w:szCs w:val="18"/>
                <w:vertAlign w:val="subscript"/>
              </w:rPr>
              <w:t>2</w:t>
            </w:r>
          </w:p>
        </w:tc>
        <w:tc>
          <w:tcPr>
            <w:tcW w:w="1701" w:type="dxa"/>
          </w:tcPr>
          <w:p w14:paraId="6A82DB03" w14:textId="77777777" w:rsidR="00CA1920" w:rsidRPr="00BD16B4" w:rsidRDefault="00CA1920" w:rsidP="002D166E">
            <w:pPr>
              <w:pStyle w:val="TableText"/>
              <w:spacing w:before="40" w:after="40" w:line="240" w:lineRule="auto"/>
              <w:rPr>
                <w:rFonts w:cs="Calibri"/>
                <w:sz w:val="14"/>
                <w:szCs w:val="18"/>
              </w:rPr>
            </w:pPr>
            <w:r w:rsidRPr="00BD16B4">
              <w:rPr>
                <w:sz w:val="14"/>
                <w:szCs w:val="18"/>
              </w:rPr>
              <w:t>Improve the energy performance of new and existing commercial buildings.</w:t>
            </w:r>
          </w:p>
        </w:tc>
        <w:tc>
          <w:tcPr>
            <w:tcW w:w="1134" w:type="dxa"/>
          </w:tcPr>
          <w:p w14:paraId="3918E406" w14:textId="77777777" w:rsidR="00CA1920" w:rsidRPr="00BD16B4" w:rsidRDefault="00CA1920" w:rsidP="002D166E">
            <w:pPr>
              <w:pStyle w:val="TableText"/>
              <w:spacing w:before="40" w:after="40" w:line="240" w:lineRule="auto"/>
              <w:rPr>
                <w:rFonts w:cs="Calibri"/>
                <w:sz w:val="14"/>
                <w:szCs w:val="18"/>
              </w:rPr>
            </w:pPr>
            <w:r w:rsidRPr="00BD16B4">
              <w:rPr>
                <w:sz w:val="14"/>
                <w:szCs w:val="18"/>
              </w:rPr>
              <w:t>Information</w:t>
            </w:r>
          </w:p>
        </w:tc>
        <w:tc>
          <w:tcPr>
            <w:tcW w:w="992" w:type="dxa"/>
          </w:tcPr>
          <w:p w14:paraId="0AF07D2B" w14:textId="77777777" w:rsidR="00CA1920" w:rsidRPr="00BD16B4" w:rsidRDefault="00CA1920" w:rsidP="002D166E">
            <w:pPr>
              <w:pStyle w:val="TableText"/>
              <w:spacing w:before="40" w:after="40" w:line="240" w:lineRule="auto"/>
              <w:rPr>
                <w:rFonts w:cs="Calibri"/>
                <w:sz w:val="14"/>
                <w:szCs w:val="18"/>
              </w:rPr>
            </w:pPr>
            <w:r w:rsidRPr="00BD16B4">
              <w:rPr>
                <w:sz w:val="14"/>
                <w:szCs w:val="18"/>
              </w:rPr>
              <w:t>Implemented</w:t>
            </w:r>
          </w:p>
        </w:tc>
        <w:tc>
          <w:tcPr>
            <w:tcW w:w="2410" w:type="dxa"/>
          </w:tcPr>
          <w:p w14:paraId="46FE9CEF" w14:textId="77777777" w:rsidR="00CA1920" w:rsidRPr="00BD16B4" w:rsidRDefault="00CA1920" w:rsidP="002D166E">
            <w:pPr>
              <w:pStyle w:val="TableText"/>
              <w:spacing w:before="40" w:after="40" w:line="240" w:lineRule="auto"/>
              <w:rPr>
                <w:rFonts w:cs="Calibri"/>
                <w:sz w:val="14"/>
                <w:szCs w:val="18"/>
              </w:rPr>
            </w:pPr>
            <w:r w:rsidRPr="00BD16B4">
              <w:rPr>
                <w:sz w:val="14"/>
                <w:szCs w:val="18"/>
              </w:rPr>
              <w:t>NABERSNZ</w:t>
            </w:r>
            <w:r w:rsidRPr="00BD16B4">
              <w:rPr>
                <w:sz w:val="14"/>
                <w:szCs w:val="18"/>
                <w:vertAlign w:val="superscript"/>
              </w:rPr>
              <w:t>TM</w:t>
            </w:r>
            <w:r w:rsidRPr="00BD16B4">
              <w:rPr>
                <w:sz w:val="14"/>
                <w:szCs w:val="18"/>
              </w:rPr>
              <w:t xml:space="preserve"> is a system for rating the energy efficiency of existing office buildings and identifies opportunities for implementing building energy performance improvements. Other work includes: financial grants and loans for energy audits; energy plans; monitoring and verification systems; systems optimisation; and new and emerging technologies.</w:t>
            </w:r>
          </w:p>
        </w:tc>
        <w:tc>
          <w:tcPr>
            <w:tcW w:w="567" w:type="dxa"/>
          </w:tcPr>
          <w:p w14:paraId="30D74D26" w14:textId="77777777" w:rsidR="00CA1920" w:rsidRPr="00BD16B4" w:rsidRDefault="00CA1920" w:rsidP="002D166E">
            <w:pPr>
              <w:pStyle w:val="TableText"/>
              <w:spacing w:before="40" w:after="40" w:line="240" w:lineRule="auto"/>
              <w:rPr>
                <w:rFonts w:cs="Calibri"/>
                <w:sz w:val="14"/>
                <w:szCs w:val="18"/>
              </w:rPr>
            </w:pPr>
            <w:r w:rsidRPr="00BD16B4">
              <w:rPr>
                <w:sz w:val="14"/>
                <w:szCs w:val="18"/>
              </w:rPr>
              <w:t>2013</w:t>
            </w:r>
          </w:p>
        </w:tc>
        <w:tc>
          <w:tcPr>
            <w:tcW w:w="1701" w:type="dxa"/>
          </w:tcPr>
          <w:p w14:paraId="4EB779DA" w14:textId="77777777" w:rsidR="00CA1920" w:rsidRPr="00BD16B4" w:rsidRDefault="00CA1920" w:rsidP="002D166E">
            <w:pPr>
              <w:pStyle w:val="TableText"/>
              <w:spacing w:before="40" w:after="40" w:line="240" w:lineRule="auto"/>
              <w:rPr>
                <w:rFonts w:cs="Calibri"/>
                <w:sz w:val="14"/>
                <w:szCs w:val="18"/>
              </w:rPr>
            </w:pPr>
            <w:r w:rsidRPr="00BD16B4">
              <w:rPr>
                <w:sz w:val="14"/>
                <w:szCs w:val="18"/>
              </w:rPr>
              <w:t>Energy Efficiency and Conservation Authority</w:t>
            </w:r>
          </w:p>
        </w:tc>
        <w:tc>
          <w:tcPr>
            <w:tcW w:w="851" w:type="dxa"/>
          </w:tcPr>
          <w:p w14:paraId="6FCA923C" w14:textId="77777777" w:rsidR="00CA1920" w:rsidRPr="00BD16B4" w:rsidRDefault="00CA1920" w:rsidP="005173B2">
            <w:pPr>
              <w:pStyle w:val="TableText"/>
              <w:spacing w:before="40" w:after="40" w:line="240" w:lineRule="auto"/>
              <w:rPr>
                <w:rFonts w:cs="Calibri"/>
                <w:sz w:val="14"/>
                <w:szCs w:val="14"/>
              </w:rPr>
            </w:pPr>
            <w:r w:rsidRPr="00BD16B4">
              <w:rPr>
                <w:sz w:val="14"/>
                <w:szCs w:val="18"/>
              </w:rPr>
              <w:t>NE</w:t>
            </w:r>
          </w:p>
        </w:tc>
        <w:tc>
          <w:tcPr>
            <w:tcW w:w="850" w:type="dxa"/>
          </w:tcPr>
          <w:p w14:paraId="4958F32B" w14:textId="77777777" w:rsidR="00CA1920" w:rsidRPr="00BD16B4" w:rsidRDefault="00CA1920" w:rsidP="002D166E">
            <w:pPr>
              <w:pStyle w:val="TableText"/>
              <w:spacing w:before="40" w:after="40" w:line="240" w:lineRule="auto"/>
              <w:rPr>
                <w:rFonts w:cs="Calibri"/>
                <w:sz w:val="14"/>
                <w:szCs w:val="14"/>
              </w:rPr>
            </w:pPr>
            <w:r w:rsidRPr="00BD16B4">
              <w:rPr>
                <w:sz w:val="14"/>
                <w:szCs w:val="18"/>
              </w:rPr>
              <w:t>NE</w:t>
            </w:r>
          </w:p>
        </w:tc>
        <w:tc>
          <w:tcPr>
            <w:tcW w:w="851" w:type="dxa"/>
          </w:tcPr>
          <w:p w14:paraId="74759DB2" w14:textId="77777777" w:rsidR="00CA1920" w:rsidRPr="00BD16B4" w:rsidRDefault="00CA1920" w:rsidP="005173B2">
            <w:pPr>
              <w:pStyle w:val="TableText"/>
              <w:spacing w:before="40" w:after="40" w:line="240" w:lineRule="auto"/>
              <w:rPr>
                <w:rFonts w:cs="Calibri"/>
                <w:sz w:val="14"/>
                <w:szCs w:val="14"/>
              </w:rPr>
            </w:pPr>
            <w:r w:rsidRPr="00BD16B4">
              <w:rPr>
                <w:sz w:val="14"/>
                <w:szCs w:val="18"/>
              </w:rPr>
              <w:t>NE</w:t>
            </w:r>
          </w:p>
        </w:tc>
      </w:tr>
      <w:tr w:rsidR="006709EC" w:rsidRPr="00BD16B4" w14:paraId="6BEC9E7E" w14:textId="77777777" w:rsidTr="006709EC">
        <w:tc>
          <w:tcPr>
            <w:tcW w:w="1632" w:type="dxa"/>
          </w:tcPr>
          <w:p w14:paraId="4491B51F" w14:textId="77777777" w:rsidR="00CA1920" w:rsidRPr="00BD16B4" w:rsidRDefault="00CA1920" w:rsidP="002D166E">
            <w:pPr>
              <w:pStyle w:val="TableText"/>
              <w:spacing w:before="40" w:after="40" w:line="240" w:lineRule="auto"/>
              <w:rPr>
                <w:rFonts w:cs="Calibri"/>
                <w:sz w:val="14"/>
                <w:szCs w:val="18"/>
              </w:rPr>
            </w:pPr>
            <w:r w:rsidRPr="00BD16B4">
              <w:rPr>
                <w:sz w:val="14"/>
                <w:szCs w:val="18"/>
              </w:rPr>
              <w:t>Insulation and heating grants programmes</w:t>
            </w:r>
          </w:p>
        </w:tc>
        <w:tc>
          <w:tcPr>
            <w:tcW w:w="1316" w:type="dxa"/>
          </w:tcPr>
          <w:p w14:paraId="24DE4652" w14:textId="77777777" w:rsidR="00CA1920" w:rsidRPr="00BD16B4" w:rsidRDefault="00CA1920" w:rsidP="002D166E">
            <w:pPr>
              <w:pStyle w:val="TableText"/>
              <w:spacing w:before="40" w:after="40" w:line="240" w:lineRule="auto"/>
              <w:rPr>
                <w:rFonts w:cs="Calibri"/>
                <w:sz w:val="14"/>
                <w:szCs w:val="18"/>
              </w:rPr>
            </w:pPr>
            <w:r w:rsidRPr="00BD16B4">
              <w:rPr>
                <w:sz w:val="14"/>
                <w:szCs w:val="18"/>
              </w:rPr>
              <w:t>Energy (residential)</w:t>
            </w:r>
          </w:p>
        </w:tc>
        <w:tc>
          <w:tcPr>
            <w:tcW w:w="567" w:type="dxa"/>
          </w:tcPr>
          <w:p w14:paraId="7E3C8C61" w14:textId="77777777" w:rsidR="00CA1920" w:rsidRPr="00BD16B4" w:rsidRDefault="00CA1920" w:rsidP="002D166E">
            <w:pPr>
              <w:pStyle w:val="TableText"/>
              <w:spacing w:before="40" w:after="40" w:line="240" w:lineRule="auto"/>
              <w:rPr>
                <w:rFonts w:cs="Calibri"/>
                <w:sz w:val="14"/>
                <w:szCs w:val="18"/>
              </w:rPr>
            </w:pPr>
            <w:r w:rsidRPr="00BD16B4">
              <w:rPr>
                <w:sz w:val="14"/>
                <w:szCs w:val="18"/>
              </w:rPr>
              <w:t>CO</w:t>
            </w:r>
            <w:r w:rsidRPr="00BD16B4">
              <w:rPr>
                <w:sz w:val="14"/>
                <w:szCs w:val="18"/>
                <w:vertAlign w:val="subscript"/>
              </w:rPr>
              <w:t>2</w:t>
            </w:r>
          </w:p>
        </w:tc>
        <w:tc>
          <w:tcPr>
            <w:tcW w:w="1701" w:type="dxa"/>
          </w:tcPr>
          <w:p w14:paraId="73E26836" w14:textId="77777777" w:rsidR="00CA1920" w:rsidRPr="00BD16B4" w:rsidRDefault="00CA1920" w:rsidP="002D166E">
            <w:pPr>
              <w:pStyle w:val="TableText"/>
              <w:spacing w:before="40" w:after="40" w:line="240" w:lineRule="auto"/>
              <w:rPr>
                <w:rFonts w:cs="Calibri"/>
                <w:sz w:val="14"/>
                <w:szCs w:val="18"/>
              </w:rPr>
            </w:pPr>
            <w:r w:rsidRPr="00BD16B4">
              <w:rPr>
                <w:sz w:val="14"/>
                <w:szCs w:val="18"/>
              </w:rPr>
              <w:t>Provide warmer, drier homes through improved thermal performance.</w:t>
            </w:r>
          </w:p>
        </w:tc>
        <w:tc>
          <w:tcPr>
            <w:tcW w:w="1134" w:type="dxa"/>
          </w:tcPr>
          <w:p w14:paraId="4FC4CCF0" w14:textId="77777777" w:rsidR="00CA1920" w:rsidRPr="00BD16B4" w:rsidRDefault="00CA1920" w:rsidP="002D166E">
            <w:pPr>
              <w:pStyle w:val="TableText"/>
              <w:spacing w:before="40" w:after="40" w:line="240" w:lineRule="auto"/>
              <w:rPr>
                <w:rFonts w:cs="Calibri"/>
                <w:sz w:val="14"/>
                <w:szCs w:val="18"/>
              </w:rPr>
            </w:pPr>
            <w:r w:rsidRPr="00BD16B4">
              <w:rPr>
                <w:sz w:val="14"/>
                <w:szCs w:val="18"/>
              </w:rPr>
              <w:t>Financial and industry support</w:t>
            </w:r>
          </w:p>
        </w:tc>
        <w:tc>
          <w:tcPr>
            <w:tcW w:w="992" w:type="dxa"/>
          </w:tcPr>
          <w:p w14:paraId="4BF6EDA0" w14:textId="77777777" w:rsidR="00CA1920" w:rsidRPr="00BD16B4" w:rsidRDefault="00CA1920" w:rsidP="002D166E">
            <w:pPr>
              <w:pStyle w:val="TableText"/>
              <w:spacing w:before="40" w:after="40" w:line="240" w:lineRule="auto"/>
              <w:rPr>
                <w:rFonts w:cs="Calibri"/>
                <w:sz w:val="14"/>
                <w:szCs w:val="18"/>
              </w:rPr>
            </w:pPr>
            <w:r w:rsidRPr="00BD16B4">
              <w:rPr>
                <w:sz w:val="14"/>
                <w:szCs w:val="18"/>
              </w:rPr>
              <w:t>Implemented</w:t>
            </w:r>
          </w:p>
        </w:tc>
        <w:tc>
          <w:tcPr>
            <w:tcW w:w="2410" w:type="dxa"/>
          </w:tcPr>
          <w:p w14:paraId="5B06F62E" w14:textId="77777777" w:rsidR="00CA1920" w:rsidRPr="00BD16B4" w:rsidRDefault="00CA1920" w:rsidP="002D166E">
            <w:pPr>
              <w:spacing w:before="40" w:after="40" w:line="240" w:lineRule="auto"/>
              <w:jc w:val="left"/>
              <w:rPr>
                <w:rFonts w:cs="Calibri"/>
                <w:sz w:val="14"/>
                <w:szCs w:val="18"/>
              </w:rPr>
            </w:pPr>
            <w:r w:rsidRPr="00BD16B4">
              <w:rPr>
                <w:rFonts w:cs="Calibri"/>
                <w:sz w:val="14"/>
                <w:szCs w:val="18"/>
              </w:rPr>
              <w:t>To date, the Energy Efficiency and Conservation Authority has administered two major insulation and heating programmes.</w:t>
            </w:r>
          </w:p>
          <w:p w14:paraId="351F217F" w14:textId="1810224D" w:rsidR="00CA1920" w:rsidRPr="00BD16B4" w:rsidRDefault="00CA1920" w:rsidP="002D166E">
            <w:pPr>
              <w:pStyle w:val="TableBullet"/>
              <w:spacing w:after="40" w:line="240" w:lineRule="auto"/>
              <w:ind w:left="170" w:hanging="170"/>
              <w:rPr>
                <w:sz w:val="14"/>
                <w:szCs w:val="14"/>
              </w:rPr>
            </w:pPr>
            <w:r w:rsidRPr="00BD16B4">
              <w:rPr>
                <w:sz w:val="14"/>
                <w:szCs w:val="14"/>
              </w:rPr>
              <w:t xml:space="preserve">Warm Up New Zealand (running 2009–18) offered insulation retrofits to low-income and/or high-health-need households, as well as to </w:t>
            </w:r>
            <w:r w:rsidRPr="00BD16B4">
              <w:rPr>
                <w:spacing w:val="-2"/>
                <w:sz w:val="14"/>
                <w:szCs w:val="14"/>
              </w:rPr>
              <w:t>general homeowners in its early years.</w:t>
            </w:r>
            <w:r w:rsidR="006B690B" w:rsidRPr="00BD16B4">
              <w:rPr>
                <w:spacing w:val="-2"/>
                <w:sz w:val="14"/>
                <w:szCs w:val="14"/>
              </w:rPr>
              <w:br/>
            </w:r>
            <w:r w:rsidR="006B690B" w:rsidRPr="00BD16B4">
              <w:rPr>
                <w:spacing w:val="-2"/>
                <w:sz w:val="14"/>
                <w:szCs w:val="14"/>
              </w:rPr>
              <w:br/>
            </w:r>
          </w:p>
          <w:p w14:paraId="0654D65D" w14:textId="77777777" w:rsidR="00CA1920" w:rsidRPr="00BD16B4" w:rsidRDefault="00CA1920" w:rsidP="002D166E">
            <w:pPr>
              <w:pStyle w:val="TableBullet"/>
              <w:spacing w:after="40" w:line="240" w:lineRule="auto"/>
              <w:ind w:left="170" w:hanging="170"/>
              <w:rPr>
                <w:sz w:val="14"/>
                <w:szCs w:val="14"/>
              </w:rPr>
            </w:pPr>
            <w:r w:rsidRPr="00BD16B4">
              <w:rPr>
                <w:sz w:val="14"/>
                <w:szCs w:val="14"/>
              </w:rPr>
              <w:lastRenderedPageBreak/>
              <w:t>Warmer Kiwi Homes replaced Warm Up New Zealand in 2018 and added grants for heat pumps and woodburners.</w:t>
            </w:r>
          </w:p>
          <w:p w14:paraId="7FB05D5C" w14:textId="77777777" w:rsidR="00CA1920" w:rsidRPr="00BD16B4" w:rsidRDefault="00CA1920" w:rsidP="002D166E">
            <w:pPr>
              <w:spacing w:before="40" w:after="40" w:line="240" w:lineRule="auto"/>
              <w:jc w:val="left"/>
              <w:rPr>
                <w:rFonts w:cs="Calibri"/>
                <w:sz w:val="14"/>
                <w:szCs w:val="18"/>
              </w:rPr>
            </w:pPr>
            <w:r w:rsidRPr="00BD16B4">
              <w:rPr>
                <w:rFonts w:cs="Calibri"/>
                <w:sz w:val="14"/>
                <w:szCs w:val="18"/>
              </w:rPr>
              <w:t>The Energy Efficiency and Conservation Authority has taken a partnership approach by working with third-party funders in the community to leverage government grants.</w:t>
            </w:r>
          </w:p>
        </w:tc>
        <w:tc>
          <w:tcPr>
            <w:tcW w:w="567" w:type="dxa"/>
          </w:tcPr>
          <w:p w14:paraId="2BFA9FBD" w14:textId="77777777" w:rsidR="00CA1920" w:rsidRPr="00BD16B4" w:rsidRDefault="00CA1920" w:rsidP="002D166E">
            <w:pPr>
              <w:pStyle w:val="TableText"/>
              <w:spacing w:before="40" w:after="40" w:line="240" w:lineRule="auto"/>
              <w:rPr>
                <w:rFonts w:cs="Calibri"/>
                <w:sz w:val="14"/>
                <w:szCs w:val="18"/>
              </w:rPr>
            </w:pPr>
            <w:r w:rsidRPr="00BD16B4">
              <w:rPr>
                <w:sz w:val="14"/>
                <w:szCs w:val="18"/>
              </w:rPr>
              <w:lastRenderedPageBreak/>
              <w:t>2009</w:t>
            </w:r>
          </w:p>
        </w:tc>
        <w:tc>
          <w:tcPr>
            <w:tcW w:w="1701" w:type="dxa"/>
          </w:tcPr>
          <w:p w14:paraId="48CEDF51" w14:textId="77777777" w:rsidR="00CA1920" w:rsidRPr="00BD16B4" w:rsidRDefault="00CA1920" w:rsidP="002D166E">
            <w:pPr>
              <w:pStyle w:val="TableText"/>
              <w:spacing w:before="40" w:after="40" w:line="240" w:lineRule="auto"/>
              <w:rPr>
                <w:rFonts w:cs="Calibri"/>
                <w:sz w:val="14"/>
                <w:szCs w:val="18"/>
              </w:rPr>
            </w:pPr>
            <w:r w:rsidRPr="00BD16B4">
              <w:rPr>
                <w:sz w:val="14"/>
                <w:szCs w:val="18"/>
              </w:rPr>
              <w:t>Energy Efficiency and Conservation Authority</w:t>
            </w:r>
          </w:p>
        </w:tc>
        <w:tc>
          <w:tcPr>
            <w:tcW w:w="851" w:type="dxa"/>
          </w:tcPr>
          <w:p w14:paraId="4359EF1B"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tcPr>
          <w:p w14:paraId="6C36BFFD"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tcPr>
          <w:p w14:paraId="0B703D4E"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CA1920" w:rsidRPr="00BD16B4" w14:paraId="7E9E4A87" w14:textId="77777777" w:rsidTr="000A136D">
        <w:tc>
          <w:tcPr>
            <w:tcW w:w="14572" w:type="dxa"/>
            <w:gridSpan w:val="12"/>
            <w:shd w:val="clear" w:color="auto" w:fill="D2DDE1" w:themeFill="background2"/>
          </w:tcPr>
          <w:p w14:paraId="6F893AB6" w14:textId="77777777" w:rsidR="00CA1920" w:rsidRPr="00BD16B4" w:rsidRDefault="00CA1920" w:rsidP="005173B2">
            <w:pPr>
              <w:pStyle w:val="TableText"/>
              <w:keepNext/>
              <w:spacing w:before="40" w:after="40" w:line="240" w:lineRule="auto"/>
              <w:rPr>
                <w:rFonts w:cs="Calibri"/>
                <w:b/>
                <w:bCs/>
                <w:sz w:val="14"/>
                <w:szCs w:val="14"/>
              </w:rPr>
            </w:pPr>
            <w:r w:rsidRPr="00BD16B4">
              <w:rPr>
                <w:rFonts w:cs="Calibri"/>
                <w:b/>
                <w:bCs/>
                <w:sz w:val="14"/>
                <w:szCs w:val="14"/>
              </w:rPr>
              <w:t>Transport: reducing reliance on vehicles and supporting people to walk, cycle and use public transport</w:t>
            </w:r>
          </w:p>
        </w:tc>
      </w:tr>
      <w:tr w:rsidR="006709EC" w:rsidRPr="00BD16B4" w14:paraId="417CFEAF" w14:textId="77777777" w:rsidTr="006709EC">
        <w:tc>
          <w:tcPr>
            <w:tcW w:w="1632" w:type="dxa"/>
          </w:tcPr>
          <w:p w14:paraId="199E2B56" w14:textId="77777777" w:rsidR="00CA1920" w:rsidRPr="00BD16B4" w:rsidRDefault="00CA1920" w:rsidP="002D166E">
            <w:pPr>
              <w:pStyle w:val="TableText"/>
              <w:spacing w:before="40" w:after="40" w:line="240" w:lineRule="auto"/>
              <w:rPr>
                <w:sz w:val="14"/>
                <w:szCs w:val="14"/>
              </w:rPr>
            </w:pPr>
            <w:r w:rsidRPr="00BD16B4">
              <w:rPr>
                <w:sz w:val="14"/>
                <w:szCs w:val="14"/>
              </w:rPr>
              <w:t>Urban Cycleways programme</w:t>
            </w:r>
          </w:p>
        </w:tc>
        <w:tc>
          <w:tcPr>
            <w:tcW w:w="1316" w:type="dxa"/>
          </w:tcPr>
          <w:p w14:paraId="63F13351" w14:textId="77777777" w:rsidR="00CA1920" w:rsidRPr="00BD16B4" w:rsidRDefault="00CA1920" w:rsidP="002D166E">
            <w:pPr>
              <w:pStyle w:val="TableText"/>
              <w:spacing w:before="40" w:after="40" w:line="240" w:lineRule="auto"/>
              <w:rPr>
                <w:sz w:val="14"/>
                <w:szCs w:val="14"/>
              </w:rPr>
            </w:pPr>
            <w:r w:rsidRPr="00BD16B4">
              <w:rPr>
                <w:sz w:val="14"/>
                <w:szCs w:val="14"/>
              </w:rPr>
              <w:t>Transport</w:t>
            </w:r>
          </w:p>
        </w:tc>
        <w:tc>
          <w:tcPr>
            <w:tcW w:w="567" w:type="dxa"/>
          </w:tcPr>
          <w:p w14:paraId="374AA9A8" w14:textId="77777777" w:rsidR="00CA1920" w:rsidRPr="00BD16B4" w:rsidRDefault="00CA1920" w:rsidP="002D166E">
            <w:pPr>
              <w:pStyle w:val="TableText"/>
              <w:spacing w:before="40" w:after="40" w:line="240" w:lineRule="auto"/>
              <w:rPr>
                <w:sz w:val="14"/>
                <w:szCs w:val="14"/>
              </w:rPr>
            </w:pPr>
            <w:r w:rsidRPr="00BD16B4">
              <w:rPr>
                <w:sz w:val="14"/>
                <w:szCs w:val="14"/>
              </w:rPr>
              <w:t>CO</w:t>
            </w:r>
            <w:r w:rsidRPr="00BD16B4">
              <w:rPr>
                <w:sz w:val="14"/>
                <w:szCs w:val="14"/>
                <w:vertAlign w:val="subscript"/>
              </w:rPr>
              <w:t>2</w:t>
            </w:r>
          </w:p>
        </w:tc>
        <w:tc>
          <w:tcPr>
            <w:tcW w:w="1701" w:type="dxa"/>
          </w:tcPr>
          <w:p w14:paraId="465B55D7" w14:textId="77777777" w:rsidR="00CA1920" w:rsidRPr="00BD16B4" w:rsidRDefault="00CA1920" w:rsidP="002D166E">
            <w:pPr>
              <w:pStyle w:val="TableText"/>
              <w:spacing w:before="40" w:after="40" w:line="240" w:lineRule="auto"/>
              <w:rPr>
                <w:sz w:val="14"/>
                <w:szCs w:val="14"/>
              </w:rPr>
            </w:pPr>
            <w:r w:rsidRPr="00BD16B4">
              <w:rPr>
                <w:sz w:val="14"/>
                <w:szCs w:val="14"/>
              </w:rPr>
              <w:t xml:space="preserve">Accelerate investment in and uptake of cycling. </w:t>
            </w:r>
          </w:p>
        </w:tc>
        <w:tc>
          <w:tcPr>
            <w:tcW w:w="1134" w:type="dxa"/>
          </w:tcPr>
          <w:p w14:paraId="38F901B5" w14:textId="77777777" w:rsidR="00CA1920" w:rsidRPr="00BD16B4" w:rsidRDefault="00CA1920" w:rsidP="002D166E">
            <w:pPr>
              <w:pStyle w:val="TableText"/>
              <w:spacing w:before="40" w:after="40" w:line="240" w:lineRule="auto"/>
              <w:rPr>
                <w:sz w:val="14"/>
                <w:szCs w:val="14"/>
              </w:rPr>
            </w:pPr>
            <w:r w:rsidRPr="00BD16B4">
              <w:rPr>
                <w:sz w:val="14"/>
                <w:szCs w:val="14"/>
              </w:rPr>
              <w:t>Fiscal</w:t>
            </w:r>
          </w:p>
        </w:tc>
        <w:tc>
          <w:tcPr>
            <w:tcW w:w="992" w:type="dxa"/>
          </w:tcPr>
          <w:p w14:paraId="43C3461C" w14:textId="77777777" w:rsidR="00CA1920" w:rsidRPr="00BD16B4" w:rsidRDefault="00CA1920" w:rsidP="002D166E">
            <w:pPr>
              <w:pStyle w:val="TableText"/>
              <w:spacing w:before="40" w:after="40" w:line="240" w:lineRule="auto"/>
              <w:rPr>
                <w:sz w:val="14"/>
                <w:szCs w:val="14"/>
              </w:rPr>
            </w:pPr>
            <w:r w:rsidRPr="00BD16B4">
              <w:rPr>
                <w:sz w:val="14"/>
                <w:szCs w:val="14"/>
              </w:rPr>
              <w:t>Implemented</w:t>
            </w:r>
          </w:p>
        </w:tc>
        <w:tc>
          <w:tcPr>
            <w:tcW w:w="2410" w:type="dxa"/>
          </w:tcPr>
          <w:p w14:paraId="35657358" w14:textId="77777777" w:rsidR="00CA1920" w:rsidRPr="00BD16B4" w:rsidRDefault="00CA1920" w:rsidP="002D166E">
            <w:pPr>
              <w:spacing w:before="40" w:after="40" w:line="240" w:lineRule="auto"/>
              <w:jc w:val="left"/>
              <w:rPr>
                <w:sz w:val="14"/>
                <w:szCs w:val="14"/>
              </w:rPr>
            </w:pPr>
            <w:r w:rsidRPr="00BD16B4">
              <w:rPr>
                <w:sz w:val="14"/>
                <w:szCs w:val="14"/>
              </w:rPr>
              <w:t xml:space="preserve">This Programme optimises co-investment from central government through the Urban Cycleways Fund with funding from the National Land Transport Fund and other local funding. </w:t>
            </w:r>
          </w:p>
        </w:tc>
        <w:tc>
          <w:tcPr>
            <w:tcW w:w="567" w:type="dxa"/>
          </w:tcPr>
          <w:p w14:paraId="1006C246" w14:textId="77777777" w:rsidR="00CA1920" w:rsidRPr="00BD16B4" w:rsidRDefault="00CA1920" w:rsidP="002D166E">
            <w:pPr>
              <w:pStyle w:val="TableText"/>
              <w:spacing w:before="40" w:after="40" w:line="240" w:lineRule="auto"/>
              <w:rPr>
                <w:sz w:val="14"/>
                <w:szCs w:val="14"/>
              </w:rPr>
            </w:pPr>
            <w:r w:rsidRPr="00BD16B4">
              <w:rPr>
                <w:sz w:val="14"/>
                <w:szCs w:val="14"/>
              </w:rPr>
              <w:t>2014</w:t>
            </w:r>
          </w:p>
        </w:tc>
        <w:tc>
          <w:tcPr>
            <w:tcW w:w="1701" w:type="dxa"/>
          </w:tcPr>
          <w:p w14:paraId="6E57BFF5" w14:textId="77777777" w:rsidR="00CA1920" w:rsidRPr="00BD16B4" w:rsidRDefault="00CA1920" w:rsidP="002D166E">
            <w:pPr>
              <w:pStyle w:val="TableText"/>
              <w:spacing w:before="40" w:after="40" w:line="240" w:lineRule="auto"/>
              <w:rPr>
                <w:sz w:val="14"/>
                <w:szCs w:val="14"/>
              </w:rPr>
            </w:pPr>
            <w:r w:rsidRPr="00BD16B4">
              <w:rPr>
                <w:sz w:val="14"/>
                <w:szCs w:val="14"/>
              </w:rPr>
              <w:t>Waka Kotahi</w:t>
            </w:r>
          </w:p>
        </w:tc>
        <w:tc>
          <w:tcPr>
            <w:tcW w:w="851" w:type="dxa"/>
          </w:tcPr>
          <w:p w14:paraId="376C139D"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tcPr>
          <w:p w14:paraId="48394062"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tcPr>
          <w:p w14:paraId="5767BAFA"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6709EC" w:rsidRPr="00BD16B4" w14:paraId="55A37E89" w14:textId="77777777" w:rsidTr="006709EC">
        <w:tc>
          <w:tcPr>
            <w:tcW w:w="1632" w:type="dxa"/>
          </w:tcPr>
          <w:p w14:paraId="73434EB2" w14:textId="77777777" w:rsidR="00CA1920" w:rsidRPr="00BD16B4" w:rsidRDefault="00CA1920" w:rsidP="002D166E">
            <w:pPr>
              <w:pStyle w:val="TableText"/>
              <w:spacing w:before="40" w:after="40" w:line="240" w:lineRule="auto"/>
              <w:rPr>
                <w:sz w:val="14"/>
                <w:szCs w:val="14"/>
              </w:rPr>
            </w:pPr>
            <w:r w:rsidRPr="00BD16B4">
              <w:rPr>
                <w:sz w:val="14"/>
                <w:szCs w:val="14"/>
              </w:rPr>
              <w:t>Community Connect public transport concession</w:t>
            </w:r>
          </w:p>
        </w:tc>
        <w:tc>
          <w:tcPr>
            <w:tcW w:w="1316" w:type="dxa"/>
          </w:tcPr>
          <w:p w14:paraId="782EFBAC" w14:textId="77777777" w:rsidR="00CA1920" w:rsidRPr="00BD16B4" w:rsidRDefault="00CA1920" w:rsidP="002D166E">
            <w:pPr>
              <w:pStyle w:val="TableText"/>
              <w:spacing w:before="40" w:after="40" w:line="240" w:lineRule="auto"/>
              <w:rPr>
                <w:sz w:val="14"/>
                <w:szCs w:val="14"/>
              </w:rPr>
            </w:pPr>
            <w:r w:rsidRPr="00BD16B4">
              <w:rPr>
                <w:sz w:val="14"/>
                <w:szCs w:val="14"/>
              </w:rPr>
              <w:t>Transport</w:t>
            </w:r>
          </w:p>
        </w:tc>
        <w:tc>
          <w:tcPr>
            <w:tcW w:w="567" w:type="dxa"/>
          </w:tcPr>
          <w:p w14:paraId="3D79DCD0" w14:textId="77777777" w:rsidR="00CA1920" w:rsidRPr="00BD16B4" w:rsidRDefault="00CA1920" w:rsidP="002D166E">
            <w:pPr>
              <w:pStyle w:val="TableText"/>
              <w:spacing w:before="40" w:after="40" w:line="240" w:lineRule="auto"/>
              <w:rPr>
                <w:sz w:val="14"/>
                <w:szCs w:val="14"/>
              </w:rPr>
            </w:pPr>
            <w:r w:rsidRPr="00BD16B4">
              <w:rPr>
                <w:sz w:val="14"/>
                <w:szCs w:val="14"/>
              </w:rPr>
              <w:t>CO</w:t>
            </w:r>
            <w:r w:rsidRPr="00BD16B4">
              <w:rPr>
                <w:sz w:val="14"/>
                <w:szCs w:val="14"/>
                <w:vertAlign w:val="subscript"/>
              </w:rPr>
              <w:t>2</w:t>
            </w:r>
          </w:p>
        </w:tc>
        <w:tc>
          <w:tcPr>
            <w:tcW w:w="1701" w:type="dxa"/>
          </w:tcPr>
          <w:p w14:paraId="0718DDA0" w14:textId="77777777" w:rsidR="00CA1920" w:rsidRPr="00BD16B4" w:rsidRDefault="00CA1920" w:rsidP="002D166E">
            <w:pPr>
              <w:pStyle w:val="TableText"/>
              <w:spacing w:before="40" w:after="40" w:line="240" w:lineRule="auto"/>
              <w:rPr>
                <w:sz w:val="14"/>
                <w:szCs w:val="14"/>
              </w:rPr>
            </w:pPr>
            <w:r w:rsidRPr="00BD16B4">
              <w:rPr>
                <w:sz w:val="14"/>
                <w:szCs w:val="14"/>
              </w:rPr>
              <w:t>Improve affordability of public transport for low-income New Zealanders.</w:t>
            </w:r>
          </w:p>
        </w:tc>
        <w:tc>
          <w:tcPr>
            <w:tcW w:w="1134" w:type="dxa"/>
          </w:tcPr>
          <w:p w14:paraId="5FFAF03B" w14:textId="77777777" w:rsidR="00CA1920" w:rsidRPr="00BD16B4" w:rsidRDefault="00CA1920" w:rsidP="002D166E">
            <w:pPr>
              <w:pStyle w:val="TableText"/>
              <w:spacing w:before="40" w:after="40" w:line="240" w:lineRule="auto"/>
              <w:rPr>
                <w:sz w:val="14"/>
                <w:szCs w:val="14"/>
              </w:rPr>
            </w:pPr>
            <w:r w:rsidRPr="00BD16B4">
              <w:rPr>
                <w:sz w:val="14"/>
                <w:szCs w:val="14"/>
              </w:rPr>
              <w:t>Economic, fiscal</w:t>
            </w:r>
          </w:p>
        </w:tc>
        <w:tc>
          <w:tcPr>
            <w:tcW w:w="992" w:type="dxa"/>
          </w:tcPr>
          <w:p w14:paraId="38DEEE9C" w14:textId="77777777" w:rsidR="00CA1920" w:rsidRPr="00BD16B4" w:rsidRDefault="00CA1920" w:rsidP="002D166E">
            <w:pPr>
              <w:pStyle w:val="TableText"/>
              <w:spacing w:before="40" w:after="40" w:line="240" w:lineRule="auto"/>
              <w:rPr>
                <w:sz w:val="14"/>
                <w:szCs w:val="14"/>
              </w:rPr>
            </w:pPr>
            <w:r w:rsidRPr="00BD16B4">
              <w:rPr>
                <w:sz w:val="14"/>
                <w:szCs w:val="14"/>
              </w:rPr>
              <w:t>Planned</w:t>
            </w:r>
          </w:p>
        </w:tc>
        <w:tc>
          <w:tcPr>
            <w:tcW w:w="2410" w:type="dxa"/>
          </w:tcPr>
          <w:p w14:paraId="5B74B515" w14:textId="77777777" w:rsidR="00CA1920" w:rsidRPr="00BD16B4" w:rsidRDefault="00CA1920" w:rsidP="002D166E">
            <w:pPr>
              <w:spacing w:before="40" w:after="40" w:line="240" w:lineRule="auto"/>
              <w:jc w:val="left"/>
              <w:rPr>
                <w:sz w:val="14"/>
                <w:szCs w:val="14"/>
              </w:rPr>
            </w:pPr>
            <w:r w:rsidRPr="00BD16B4">
              <w:rPr>
                <w:sz w:val="14"/>
                <w:szCs w:val="14"/>
              </w:rPr>
              <w:t xml:space="preserve">The Community Connect public transport concession will provide half-price fares for Community Service Cardholders. The Government is providing approximately $25 million a year for this concession. </w:t>
            </w:r>
          </w:p>
        </w:tc>
        <w:tc>
          <w:tcPr>
            <w:tcW w:w="567" w:type="dxa"/>
          </w:tcPr>
          <w:p w14:paraId="2753BB60" w14:textId="77777777" w:rsidR="00CA1920" w:rsidRPr="00BD16B4" w:rsidRDefault="00CA1920" w:rsidP="002D166E">
            <w:pPr>
              <w:pStyle w:val="TableText"/>
              <w:spacing w:before="40" w:after="40" w:line="240" w:lineRule="auto"/>
              <w:rPr>
                <w:sz w:val="14"/>
                <w:szCs w:val="14"/>
              </w:rPr>
            </w:pPr>
            <w:r w:rsidRPr="00BD16B4">
              <w:rPr>
                <w:sz w:val="14"/>
                <w:szCs w:val="14"/>
              </w:rPr>
              <w:t>2023</w:t>
            </w:r>
          </w:p>
        </w:tc>
        <w:tc>
          <w:tcPr>
            <w:tcW w:w="1701" w:type="dxa"/>
          </w:tcPr>
          <w:p w14:paraId="5248160F" w14:textId="77777777" w:rsidR="00CA1920" w:rsidRPr="00BD16B4" w:rsidRDefault="00CA1920" w:rsidP="002D166E">
            <w:pPr>
              <w:pStyle w:val="TableText"/>
              <w:spacing w:before="40" w:after="40" w:line="240" w:lineRule="auto"/>
              <w:rPr>
                <w:sz w:val="14"/>
                <w:szCs w:val="14"/>
              </w:rPr>
            </w:pPr>
            <w:r w:rsidRPr="00BD16B4">
              <w:rPr>
                <w:sz w:val="14"/>
                <w:szCs w:val="14"/>
              </w:rPr>
              <w:t>Waka Kotahi, public transport authorities</w:t>
            </w:r>
          </w:p>
        </w:tc>
        <w:tc>
          <w:tcPr>
            <w:tcW w:w="851" w:type="dxa"/>
          </w:tcPr>
          <w:p w14:paraId="32832287" w14:textId="77777777" w:rsidR="00CA1920" w:rsidRPr="00BD16B4" w:rsidRDefault="00CA1920" w:rsidP="005173B2">
            <w:pPr>
              <w:pStyle w:val="TableText"/>
              <w:spacing w:before="40" w:after="40" w:line="240" w:lineRule="auto"/>
              <w:rPr>
                <w:rFonts w:cs="Calibri"/>
                <w:sz w:val="14"/>
                <w:szCs w:val="14"/>
              </w:rPr>
            </w:pPr>
            <w:r w:rsidRPr="00BD16B4">
              <w:rPr>
                <w:sz w:val="14"/>
                <w:szCs w:val="14"/>
              </w:rPr>
              <w:t>5</w:t>
            </w:r>
          </w:p>
        </w:tc>
        <w:tc>
          <w:tcPr>
            <w:tcW w:w="850" w:type="dxa"/>
          </w:tcPr>
          <w:p w14:paraId="6BD07027" w14:textId="77777777" w:rsidR="00CA1920" w:rsidRPr="00BD16B4" w:rsidRDefault="00CA1920" w:rsidP="002D166E">
            <w:pPr>
              <w:pStyle w:val="TableText"/>
              <w:spacing w:before="40" w:after="40" w:line="240" w:lineRule="auto"/>
              <w:rPr>
                <w:rFonts w:cs="Calibri"/>
                <w:sz w:val="14"/>
                <w:szCs w:val="14"/>
              </w:rPr>
            </w:pPr>
            <w:r w:rsidRPr="00BD16B4">
              <w:rPr>
                <w:sz w:val="14"/>
                <w:szCs w:val="14"/>
              </w:rPr>
              <w:t>6</w:t>
            </w:r>
          </w:p>
        </w:tc>
        <w:tc>
          <w:tcPr>
            <w:tcW w:w="851" w:type="dxa"/>
          </w:tcPr>
          <w:p w14:paraId="366B8393" w14:textId="77777777" w:rsidR="00CA1920" w:rsidRPr="00BD16B4" w:rsidRDefault="00CA1920" w:rsidP="005173B2">
            <w:pPr>
              <w:pStyle w:val="TableText"/>
              <w:spacing w:before="40" w:after="40" w:line="240" w:lineRule="auto"/>
              <w:rPr>
                <w:rFonts w:cs="Calibri"/>
                <w:sz w:val="14"/>
                <w:szCs w:val="14"/>
              </w:rPr>
            </w:pPr>
            <w:r w:rsidRPr="00BD16B4">
              <w:rPr>
                <w:sz w:val="14"/>
                <w:szCs w:val="14"/>
              </w:rPr>
              <w:t>0</w:t>
            </w:r>
          </w:p>
        </w:tc>
      </w:tr>
      <w:tr w:rsidR="006709EC" w:rsidRPr="00BD16B4" w14:paraId="41751534" w14:textId="77777777" w:rsidTr="006709EC">
        <w:tc>
          <w:tcPr>
            <w:tcW w:w="1632" w:type="dxa"/>
          </w:tcPr>
          <w:p w14:paraId="7C3A2954" w14:textId="77777777" w:rsidR="00CA1920" w:rsidRPr="00BD16B4" w:rsidRDefault="00CA1920" w:rsidP="002D166E">
            <w:pPr>
              <w:pStyle w:val="TableText"/>
              <w:spacing w:before="40" w:after="40" w:line="240" w:lineRule="auto"/>
              <w:rPr>
                <w:sz w:val="14"/>
                <w:szCs w:val="14"/>
              </w:rPr>
            </w:pPr>
            <w:r w:rsidRPr="00BD16B4">
              <w:rPr>
                <w:sz w:val="14"/>
                <w:szCs w:val="14"/>
              </w:rPr>
              <w:t>Public transport bus decarbonisation</w:t>
            </w:r>
          </w:p>
        </w:tc>
        <w:tc>
          <w:tcPr>
            <w:tcW w:w="1316" w:type="dxa"/>
          </w:tcPr>
          <w:p w14:paraId="5E507A5E" w14:textId="77777777" w:rsidR="00CA1920" w:rsidRPr="00BD16B4" w:rsidRDefault="00CA1920" w:rsidP="002D166E">
            <w:pPr>
              <w:pStyle w:val="TableText"/>
              <w:spacing w:before="40" w:after="40" w:line="240" w:lineRule="auto"/>
              <w:rPr>
                <w:sz w:val="14"/>
                <w:szCs w:val="14"/>
              </w:rPr>
            </w:pPr>
            <w:r w:rsidRPr="00BD16B4">
              <w:rPr>
                <w:sz w:val="14"/>
                <w:szCs w:val="14"/>
              </w:rPr>
              <w:t>Transport</w:t>
            </w:r>
          </w:p>
        </w:tc>
        <w:tc>
          <w:tcPr>
            <w:tcW w:w="567" w:type="dxa"/>
          </w:tcPr>
          <w:p w14:paraId="507355EB" w14:textId="77777777" w:rsidR="00CA1920" w:rsidRPr="00BD16B4" w:rsidRDefault="00CA1920" w:rsidP="002D166E">
            <w:pPr>
              <w:pStyle w:val="TableText"/>
              <w:spacing w:before="40" w:after="40" w:line="240" w:lineRule="auto"/>
              <w:rPr>
                <w:sz w:val="14"/>
                <w:szCs w:val="14"/>
              </w:rPr>
            </w:pPr>
            <w:r w:rsidRPr="00BD16B4">
              <w:rPr>
                <w:sz w:val="14"/>
                <w:szCs w:val="14"/>
              </w:rPr>
              <w:t>CO</w:t>
            </w:r>
            <w:r w:rsidRPr="00BD16B4">
              <w:rPr>
                <w:sz w:val="14"/>
                <w:szCs w:val="14"/>
                <w:vertAlign w:val="subscript"/>
              </w:rPr>
              <w:t>2</w:t>
            </w:r>
          </w:p>
        </w:tc>
        <w:tc>
          <w:tcPr>
            <w:tcW w:w="1701" w:type="dxa"/>
          </w:tcPr>
          <w:p w14:paraId="73B3F62E" w14:textId="77777777" w:rsidR="00CA1920" w:rsidRPr="00BD16B4" w:rsidRDefault="00CA1920" w:rsidP="002D166E">
            <w:pPr>
              <w:pStyle w:val="TableText"/>
              <w:spacing w:before="40" w:after="40" w:line="240" w:lineRule="auto"/>
              <w:rPr>
                <w:sz w:val="14"/>
                <w:szCs w:val="14"/>
              </w:rPr>
            </w:pPr>
            <w:r w:rsidRPr="00BD16B4">
              <w:rPr>
                <w:sz w:val="14"/>
                <w:szCs w:val="14"/>
              </w:rPr>
              <w:t>Accelerate decarbonisation of the public transport bus fleet.</w:t>
            </w:r>
          </w:p>
        </w:tc>
        <w:tc>
          <w:tcPr>
            <w:tcW w:w="1134" w:type="dxa"/>
          </w:tcPr>
          <w:p w14:paraId="59F82C6F" w14:textId="77777777" w:rsidR="00CA1920" w:rsidRPr="00BD16B4" w:rsidRDefault="00CA1920" w:rsidP="002D166E">
            <w:pPr>
              <w:pStyle w:val="TableText"/>
              <w:spacing w:before="40" w:after="40" w:line="240" w:lineRule="auto"/>
              <w:rPr>
                <w:sz w:val="14"/>
                <w:szCs w:val="14"/>
              </w:rPr>
            </w:pPr>
            <w:r w:rsidRPr="00BD16B4">
              <w:rPr>
                <w:sz w:val="14"/>
                <w:szCs w:val="14"/>
              </w:rPr>
              <w:t>Economic, fiscal, regulatory</w:t>
            </w:r>
          </w:p>
        </w:tc>
        <w:tc>
          <w:tcPr>
            <w:tcW w:w="992" w:type="dxa"/>
          </w:tcPr>
          <w:p w14:paraId="20CD838E" w14:textId="77777777" w:rsidR="00CA1920" w:rsidRPr="00BD16B4" w:rsidRDefault="00CA1920" w:rsidP="002D166E">
            <w:pPr>
              <w:pStyle w:val="TableText"/>
              <w:spacing w:before="40" w:after="40" w:line="240" w:lineRule="auto"/>
              <w:rPr>
                <w:sz w:val="14"/>
                <w:szCs w:val="14"/>
              </w:rPr>
            </w:pPr>
            <w:r w:rsidRPr="00BD16B4">
              <w:rPr>
                <w:sz w:val="14"/>
                <w:szCs w:val="14"/>
              </w:rPr>
              <w:t xml:space="preserve">Partially implemented </w:t>
            </w:r>
          </w:p>
        </w:tc>
        <w:tc>
          <w:tcPr>
            <w:tcW w:w="2410" w:type="dxa"/>
          </w:tcPr>
          <w:p w14:paraId="073CA147" w14:textId="77777777" w:rsidR="00CA1920" w:rsidRPr="00BD16B4" w:rsidRDefault="00CA1920" w:rsidP="002D166E">
            <w:pPr>
              <w:spacing w:before="40" w:after="40" w:line="240" w:lineRule="auto"/>
              <w:jc w:val="left"/>
              <w:rPr>
                <w:sz w:val="14"/>
                <w:szCs w:val="14"/>
              </w:rPr>
            </w:pPr>
            <w:r w:rsidRPr="00BD16B4">
              <w:rPr>
                <w:sz w:val="14"/>
                <w:szCs w:val="14"/>
              </w:rPr>
              <w:t>The Government will require only zero-emission public transport buses to be purchased by 1 July 2025 and is targeting full decarbonisation of the bus fleet by 2035. The Government is providing $137 million over 12 years to support bus decarbonisation initiatives. Funding provided in 2022 for bus decarbonisation is expected to result in an emissions reduction of approximately 290,000 tonnes of CO</w:t>
            </w:r>
            <w:r w:rsidRPr="00BD16B4">
              <w:rPr>
                <w:sz w:val="14"/>
                <w:szCs w:val="14"/>
                <w:vertAlign w:val="subscript"/>
              </w:rPr>
              <w:t>2</w:t>
            </w:r>
            <w:r w:rsidRPr="00BD16B4">
              <w:rPr>
                <w:sz w:val="14"/>
                <w:szCs w:val="14"/>
              </w:rPr>
              <w:t>-e over 2022–45.</w:t>
            </w:r>
          </w:p>
        </w:tc>
        <w:tc>
          <w:tcPr>
            <w:tcW w:w="567" w:type="dxa"/>
          </w:tcPr>
          <w:p w14:paraId="3C03C73B" w14:textId="77777777" w:rsidR="00CA1920" w:rsidRPr="00BD16B4" w:rsidRDefault="00CA1920" w:rsidP="002D166E">
            <w:pPr>
              <w:pStyle w:val="TableText"/>
              <w:spacing w:before="40" w:after="40" w:line="240" w:lineRule="auto"/>
              <w:rPr>
                <w:sz w:val="14"/>
                <w:szCs w:val="14"/>
              </w:rPr>
            </w:pPr>
            <w:r w:rsidRPr="00BD16B4">
              <w:rPr>
                <w:sz w:val="14"/>
                <w:szCs w:val="14"/>
              </w:rPr>
              <w:t>2023</w:t>
            </w:r>
          </w:p>
        </w:tc>
        <w:tc>
          <w:tcPr>
            <w:tcW w:w="1701" w:type="dxa"/>
          </w:tcPr>
          <w:p w14:paraId="77FF033D" w14:textId="77777777" w:rsidR="00CA1920" w:rsidRPr="00BD16B4" w:rsidRDefault="00CA1920" w:rsidP="002D166E">
            <w:pPr>
              <w:pStyle w:val="TableText"/>
              <w:spacing w:before="40" w:after="40" w:line="240" w:lineRule="auto"/>
              <w:rPr>
                <w:sz w:val="14"/>
                <w:szCs w:val="14"/>
              </w:rPr>
            </w:pPr>
            <w:r w:rsidRPr="00BD16B4">
              <w:rPr>
                <w:sz w:val="14"/>
                <w:szCs w:val="14"/>
              </w:rPr>
              <w:t>Te Manatū Waka – Ministry of Transport, Waka Kotahi</w:t>
            </w:r>
          </w:p>
        </w:tc>
        <w:tc>
          <w:tcPr>
            <w:tcW w:w="851" w:type="dxa"/>
          </w:tcPr>
          <w:p w14:paraId="0D2C2F14"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23</w:t>
            </w:r>
          </w:p>
        </w:tc>
        <w:tc>
          <w:tcPr>
            <w:tcW w:w="850" w:type="dxa"/>
          </w:tcPr>
          <w:p w14:paraId="7316C5BD"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78</w:t>
            </w:r>
          </w:p>
        </w:tc>
        <w:tc>
          <w:tcPr>
            <w:tcW w:w="851" w:type="dxa"/>
          </w:tcPr>
          <w:p w14:paraId="4BACDBB2"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177</w:t>
            </w:r>
          </w:p>
        </w:tc>
      </w:tr>
      <w:tr w:rsidR="00CA1920" w:rsidRPr="00BD16B4" w14:paraId="02C8049A" w14:textId="77777777" w:rsidTr="000A136D">
        <w:tc>
          <w:tcPr>
            <w:tcW w:w="14572" w:type="dxa"/>
            <w:gridSpan w:val="12"/>
            <w:shd w:val="clear" w:color="auto" w:fill="D2DDE1" w:themeFill="background2"/>
          </w:tcPr>
          <w:p w14:paraId="43BB480D" w14:textId="77777777" w:rsidR="00CA1920" w:rsidRPr="00BD16B4" w:rsidRDefault="00CA1920" w:rsidP="005173B2">
            <w:pPr>
              <w:pStyle w:val="TableText"/>
              <w:keepNext/>
              <w:spacing w:before="40" w:after="40" w:line="240" w:lineRule="auto"/>
              <w:rPr>
                <w:rFonts w:cs="Calibri"/>
                <w:b/>
                <w:bCs/>
                <w:sz w:val="14"/>
                <w:szCs w:val="14"/>
              </w:rPr>
            </w:pPr>
            <w:r w:rsidRPr="00BD16B4">
              <w:rPr>
                <w:rFonts w:cs="Calibri"/>
                <w:b/>
                <w:bCs/>
                <w:sz w:val="14"/>
                <w:szCs w:val="14"/>
              </w:rPr>
              <w:t>Transport: rapidly adopting low-emissions vehicles</w:t>
            </w:r>
          </w:p>
        </w:tc>
      </w:tr>
      <w:tr w:rsidR="006709EC" w:rsidRPr="00BD16B4" w14:paraId="306B002F" w14:textId="77777777" w:rsidTr="006709EC">
        <w:tc>
          <w:tcPr>
            <w:tcW w:w="1632" w:type="dxa"/>
          </w:tcPr>
          <w:p w14:paraId="4E652E4F" w14:textId="77777777" w:rsidR="00CA1920" w:rsidRPr="00BD16B4" w:rsidRDefault="00CA1920" w:rsidP="002D166E">
            <w:pPr>
              <w:pStyle w:val="TableText"/>
              <w:spacing w:before="40" w:after="40" w:line="240" w:lineRule="auto"/>
              <w:rPr>
                <w:sz w:val="14"/>
                <w:szCs w:val="18"/>
              </w:rPr>
            </w:pPr>
            <w:r w:rsidRPr="00BD16B4">
              <w:rPr>
                <w:sz w:val="14"/>
                <w:szCs w:val="18"/>
              </w:rPr>
              <w:t>Road User Charges exemptions for electric vehicles</w:t>
            </w:r>
          </w:p>
        </w:tc>
        <w:tc>
          <w:tcPr>
            <w:tcW w:w="1316" w:type="dxa"/>
          </w:tcPr>
          <w:p w14:paraId="1AAE668B" w14:textId="77777777" w:rsidR="00CA1920" w:rsidRPr="00BD16B4" w:rsidRDefault="00CA1920" w:rsidP="002D166E">
            <w:pPr>
              <w:pStyle w:val="TableText"/>
              <w:spacing w:before="40" w:after="40" w:line="240" w:lineRule="auto"/>
              <w:rPr>
                <w:sz w:val="14"/>
                <w:szCs w:val="18"/>
              </w:rPr>
            </w:pPr>
            <w:r w:rsidRPr="00BD16B4">
              <w:rPr>
                <w:sz w:val="14"/>
                <w:szCs w:val="18"/>
              </w:rPr>
              <w:t>Transport</w:t>
            </w:r>
          </w:p>
        </w:tc>
        <w:tc>
          <w:tcPr>
            <w:tcW w:w="567" w:type="dxa"/>
          </w:tcPr>
          <w:p w14:paraId="2FA0A4CF" w14:textId="77777777" w:rsidR="00CA1920" w:rsidRPr="00BD16B4" w:rsidRDefault="00CA1920" w:rsidP="002D166E">
            <w:pPr>
              <w:pStyle w:val="TableText"/>
              <w:spacing w:before="40" w:after="40" w:line="240" w:lineRule="auto"/>
              <w:rPr>
                <w:sz w:val="14"/>
                <w:szCs w:val="18"/>
              </w:rPr>
            </w:pPr>
            <w:r w:rsidRPr="00BD16B4">
              <w:rPr>
                <w:sz w:val="14"/>
                <w:szCs w:val="18"/>
              </w:rPr>
              <w:t>CO</w:t>
            </w:r>
            <w:r w:rsidRPr="00BD16B4">
              <w:rPr>
                <w:sz w:val="14"/>
                <w:szCs w:val="18"/>
                <w:vertAlign w:val="subscript"/>
              </w:rPr>
              <w:t>2</w:t>
            </w:r>
          </w:p>
        </w:tc>
        <w:tc>
          <w:tcPr>
            <w:tcW w:w="1701" w:type="dxa"/>
          </w:tcPr>
          <w:p w14:paraId="40DF6986" w14:textId="77777777" w:rsidR="00CA1920" w:rsidRPr="00BD16B4" w:rsidRDefault="00CA1920" w:rsidP="002D166E">
            <w:pPr>
              <w:pStyle w:val="TableText"/>
              <w:spacing w:before="40" w:after="40" w:line="240" w:lineRule="auto"/>
              <w:rPr>
                <w:sz w:val="14"/>
                <w:szCs w:val="18"/>
              </w:rPr>
            </w:pPr>
            <w:r w:rsidRPr="00BD16B4">
              <w:rPr>
                <w:sz w:val="14"/>
                <w:szCs w:val="18"/>
              </w:rPr>
              <w:t>Encourage electric vehicle uptake in both the light and heavy fleets.</w:t>
            </w:r>
          </w:p>
        </w:tc>
        <w:tc>
          <w:tcPr>
            <w:tcW w:w="1134" w:type="dxa"/>
          </w:tcPr>
          <w:p w14:paraId="55E008BA" w14:textId="77777777" w:rsidR="00CA1920" w:rsidRPr="00BD16B4" w:rsidRDefault="00CA1920" w:rsidP="002D166E">
            <w:pPr>
              <w:pStyle w:val="TableText"/>
              <w:spacing w:before="40" w:after="40" w:line="240" w:lineRule="auto"/>
              <w:rPr>
                <w:sz w:val="14"/>
                <w:szCs w:val="18"/>
              </w:rPr>
            </w:pPr>
            <w:r w:rsidRPr="00BD16B4">
              <w:rPr>
                <w:sz w:val="14"/>
                <w:szCs w:val="18"/>
              </w:rPr>
              <w:t>Fiscal</w:t>
            </w:r>
          </w:p>
        </w:tc>
        <w:tc>
          <w:tcPr>
            <w:tcW w:w="992" w:type="dxa"/>
          </w:tcPr>
          <w:p w14:paraId="0EBBB99D" w14:textId="77777777" w:rsidR="00CA1920" w:rsidRPr="00BD16B4" w:rsidRDefault="00CA1920" w:rsidP="002D166E">
            <w:pPr>
              <w:pStyle w:val="TableText"/>
              <w:spacing w:before="40" w:after="40" w:line="240" w:lineRule="auto"/>
              <w:rPr>
                <w:sz w:val="14"/>
                <w:szCs w:val="18"/>
              </w:rPr>
            </w:pPr>
            <w:r w:rsidRPr="00BD16B4">
              <w:rPr>
                <w:sz w:val="14"/>
                <w:szCs w:val="18"/>
              </w:rPr>
              <w:t>Implemented (WEM)</w:t>
            </w:r>
          </w:p>
        </w:tc>
        <w:tc>
          <w:tcPr>
            <w:tcW w:w="2410" w:type="dxa"/>
          </w:tcPr>
          <w:p w14:paraId="52CC810B" w14:textId="77777777" w:rsidR="00CA1920" w:rsidRPr="00BD16B4" w:rsidRDefault="00CA1920" w:rsidP="002D166E">
            <w:pPr>
              <w:spacing w:before="40" w:after="40" w:line="240" w:lineRule="auto"/>
              <w:jc w:val="left"/>
              <w:rPr>
                <w:sz w:val="14"/>
                <w:szCs w:val="18"/>
              </w:rPr>
            </w:pPr>
            <w:r w:rsidRPr="00BD16B4">
              <w:rPr>
                <w:sz w:val="14"/>
                <w:szCs w:val="18"/>
              </w:rPr>
              <w:t>A Road User Charges exemption on light electric vehicles commenced in 2012 and will run until 31 March 2024. A new Road User Charges exemption for heavy electric vehicles was introduced in 2017 and will run until 31 December 2025.</w:t>
            </w:r>
          </w:p>
        </w:tc>
        <w:tc>
          <w:tcPr>
            <w:tcW w:w="567" w:type="dxa"/>
          </w:tcPr>
          <w:p w14:paraId="0A7F6801" w14:textId="77777777" w:rsidR="00CA1920" w:rsidRPr="00BD16B4" w:rsidRDefault="00CA1920" w:rsidP="002D166E">
            <w:pPr>
              <w:pStyle w:val="TableText"/>
              <w:spacing w:before="40" w:after="40" w:line="240" w:lineRule="auto"/>
              <w:rPr>
                <w:sz w:val="14"/>
                <w:szCs w:val="18"/>
              </w:rPr>
            </w:pPr>
            <w:r w:rsidRPr="00BD16B4">
              <w:rPr>
                <w:sz w:val="14"/>
                <w:szCs w:val="18"/>
              </w:rPr>
              <w:t>2012</w:t>
            </w:r>
          </w:p>
        </w:tc>
        <w:tc>
          <w:tcPr>
            <w:tcW w:w="1701" w:type="dxa"/>
          </w:tcPr>
          <w:p w14:paraId="54C59C25" w14:textId="77777777" w:rsidR="00CA1920" w:rsidRPr="00BD16B4" w:rsidRDefault="00CA1920" w:rsidP="002D166E">
            <w:pPr>
              <w:pStyle w:val="TableText"/>
              <w:spacing w:before="40" w:after="40" w:line="240" w:lineRule="auto"/>
              <w:rPr>
                <w:sz w:val="14"/>
                <w:szCs w:val="18"/>
              </w:rPr>
            </w:pPr>
            <w:r w:rsidRPr="00BD16B4">
              <w:rPr>
                <w:sz w:val="14"/>
                <w:szCs w:val="18"/>
              </w:rPr>
              <w:t>Te Manatū Waka – Ministry of Transport, Waka Kotahi</w:t>
            </w:r>
          </w:p>
        </w:tc>
        <w:tc>
          <w:tcPr>
            <w:tcW w:w="851" w:type="dxa"/>
          </w:tcPr>
          <w:p w14:paraId="3C04109B"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9</w:t>
            </w:r>
          </w:p>
        </w:tc>
        <w:tc>
          <w:tcPr>
            <w:tcW w:w="850" w:type="dxa"/>
          </w:tcPr>
          <w:p w14:paraId="02FDE9FF"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9</w:t>
            </w:r>
          </w:p>
        </w:tc>
        <w:tc>
          <w:tcPr>
            <w:tcW w:w="851" w:type="dxa"/>
          </w:tcPr>
          <w:p w14:paraId="62068D63"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8</w:t>
            </w:r>
          </w:p>
        </w:tc>
      </w:tr>
      <w:tr w:rsidR="006709EC" w:rsidRPr="00BD16B4" w14:paraId="4F1106BC" w14:textId="77777777" w:rsidTr="006709EC">
        <w:tc>
          <w:tcPr>
            <w:tcW w:w="1632" w:type="dxa"/>
          </w:tcPr>
          <w:p w14:paraId="13F2E72A" w14:textId="77777777" w:rsidR="00CA1920" w:rsidRPr="00BD16B4" w:rsidRDefault="00CA1920" w:rsidP="006B690B">
            <w:pPr>
              <w:pStyle w:val="TableText"/>
              <w:keepNext/>
              <w:spacing w:before="40" w:after="40" w:line="240" w:lineRule="auto"/>
              <w:rPr>
                <w:sz w:val="14"/>
                <w:szCs w:val="18"/>
              </w:rPr>
            </w:pPr>
            <w:r w:rsidRPr="00BD16B4">
              <w:rPr>
                <w:sz w:val="14"/>
                <w:szCs w:val="18"/>
              </w:rPr>
              <w:lastRenderedPageBreak/>
              <w:t>Clean Vehicle Discount Scheme and Clean Vehicle Standard</w:t>
            </w:r>
          </w:p>
        </w:tc>
        <w:tc>
          <w:tcPr>
            <w:tcW w:w="1316" w:type="dxa"/>
          </w:tcPr>
          <w:p w14:paraId="689AF2CC" w14:textId="77777777" w:rsidR="00CA1920" w:rsidRPr="00BD16B4" w:rsidRDefault="00CA1920" w:rsidP="002D166E">
            <w:pPr>
              <w:pStyle w:val="TableText"/>
              <w:spacing w:before="40" w:after="40" w:line="240" w:lineRule="auto"/>
              <w:rPr>
                <w:sz w:val="14"/>
                <w:szCs w:val="18"/>
              </w:rPr>
            </w:pPr>
            <w:r w:rsidRPr="00BD16B4">
              <w:rPr>
                <w:sz w:val="14"/>
                <w:szCs w:val="18"/>
              </w:rPr>
              <w:t>Transport</w:t>
            </w:r>
          </w:p>
        </w:tc>
        <w:tc>
          <w:tcPr>
            <w:tcW w:w="567" w:type="dxa"/>
          </w:tcPr>
          <w:p w14:paraId="1B617353" w14:textId="77777777" w:rsidR="00CA1920" w:rsidRPr="00BD16B4" w:rsidRDefault="00CA1920" w:rsidP="002D166E">
            <w:pPr>
              <w:pStyle w:val="TableText"/>
              <w:spacing w:before="40" w:after="40" w:line="240" w:lineRule="auto"/>
              <w:rPr>
                <w:sz w:val="14"/>
                <w:szCs w:val="18"/>
              </w:rPr>
            </w:pPr>
            <w:r w:rsidRPr="00BD16B4">
              <w:rPr>
                <w:sz w:val="14"/>
                <w:szCs w:val="18"/>
              </w:rPr>
              <w:t>CO</w:t>
            </w:r>
            <w:r w:rsidRPr="00BD16B4">
              <w:rPr>
                <w:sz w:val="14"/>
                <w:szCs w:val="18"/>
                <w:vertAlign w:val="subscript"/>
              </w:rPr>
              <w:t>2</w:t>
            </w:r>
          </w:p>
        </w:tc>
        <w:tc>
          <w:tcPr>
            <w:tcW w:w="1701" w:type="dxa"/>
          </w:tcPr>
          <w:p w14:paraId="0491EA42" w14:textId="77777777" w:rsidR="00CA1920" w:rsidRPr="00BD16B4" w:rsidRDefault="00CA1920" w:rsidP="002D166E">
            <w:pPr>
              <w:pStyle w:val="TableText"/>
              <w:spacing w:before="40" w:after="40" w:line="240" w:lineRule="auto"/>
              <w:rPr>
                <w:sz w:val="14"/>
                <w:szCs w:val="18"/>
              </w:rPr>
            </w:pPr>
            <w:r w:rsidRPr="00BD16B4">
              <w:rPr>
                <w:sz w:val="14"/>
                <w:szCs w:val="18"/>
              </w:rPr>
              <w:t>Address both the supply of and the demand for low-emissions vehicles in New Zealand.</w:t>
            </w:r>
          </w:p>
        </w:tc>
        <w:tc>
          <w:tcPr>
            <w:tcW w:w="1134" w:type="dxa"/>
          </w:tcPr>
          <w:p w14:paraId="6CD494CE" w14:textId="77777777" w:rsidR="00CA1920" w:rsidRPr="00BD16B4" w:rsidRDefault="00CA1920" w:rsidP="002D166E">
            <w:pPr>
              <w:pStyle w:val="TableText"/>
              <w:spacing w:before="40" w:after="40" w:line="240" w:lineRule="auto"/>
              <w:rPr>
                <w:sz w:val="14"/>
                <w:szCs w:val="18"/>
              </w:rPr>
            </w:pPr>
            <w:r w:rsidRPr="00BD16B4">
              <w:rPr>
                <w:sz w:val="14"/>
                <w:szCs w:val="18"/>
              </w:rPr>
              <w:t>Fiscal, regulatory</w:t>
            </w:r>
          </w:p>
        </w:tc>
        <w:tc>
          <w:tcPr>
            <w:tcW w:w="992" w:type="dxa"/>
          </w:tcPr>
          <w:p w14:paraId="325D90D5" w14:textId="77777777" w:rsidR="00CA1920" w:rsidRPr="00BD16B4" w:rsidRDefault="00CA1920" w:rsidP="002D166E">
            <w:pPr>
              <w:pStyle w:val="TableText"/>
              <w:spacing w:before="40" w:after="40" w:line="240" w:lineRule="auto"/>
              <w:rPr>
                <w:sz w:val="14"/>
                <w:szCs w:val="18"/>
              </w:rPr>
            </w:pPr>
            <w:r w:rsidRPr="00BD16B4">
              <w:rPr>
                <w:sz w:val="14"/>
                <w:szCs w:val="18"/>
              </w:rPr>
              <w:t>Implemented</w:t>
            </w:r>
          </w:p>
        </w:tc>
        <w:tc>
          <w:tcPr>
            <w:tcW w:w="2410" w:type="dxa"/>
          </w:tcPr>
          <w:p w14:paraId="4A8A07BB" w14:textId="77777777" w:rsidR="00CA1920" w:rsidRPr="00BD16B4" w:rsidRDefault="00CA1920" w:rsidP="002D166E">
            <w:pPr>
              <w:spacing w:before="40" w:after="40" w:line="240" w:lineRule="auto"/>
              <w:jc w:val="left"/>
              <w:rPr>
                <w:sz w:val="14"/>
                <w:szCs w:val="18"/>
              </w:rPr>
            </w:pPr>
            <w:r w:rsidRPr="00BD16B4">
              <w:rPr>
                <w:sz w:val="14"/>
                <w:szCs w:val="18"/>
              </w:rPr>
              <w:t>The Clean Vehicle Discount encourages buyer demand for low-emission vehicles by providing rebates for zero- and low-emission light vehicles, and requiring a fee be paid for high-emission vehicles registered in New Zealand for the first time. The Clean Vehicle Standard requires vehicle importers to achieve annually stricter CO</w:t>
            </w:r>
            <w:r w:rsidRPr="00BD16B4">
              <w:rPr>
                <w:sz w:val="14"/>
                <w:szCs w:val="18"/>
                <w:vertAlign w:val="subscript"/>
              </w:rPr>
              <w:t>2</w:t>
            </w:r>
            <w:r w:rsidRPr="00BD16B4">
              <w:rPr>
                <w:sz w:val="14"/>
                <w:szCs w:val="18"/>
              </w:rPr>
              <w:t xml:space="preserve"> targets from 2023 or otherwise face financial charges. </w:t>
            </w:r>
          </w:p>
          <w:p w14:paraId="2C576E4C" w14:textId="77777777" w:rsidR="00CA1920" w:rsidRPr="00BD16B4" w:rsidRDefault="00CA1920" w:rsidP="002D166E">
            <w:pPr>
              <w:spacing w:before="40" w:after="40" w:line="240" w:lineRule="auto"/>
              <w:jc w:val="left"/>
              <w:rPr>
                <w:sz w:val="14"/>
                <w:szCs w:val="18"/>
              </w:rPr>
            </w:pPr>
            <w:r w:rsidRPr="00BD16B4">
              <w:rPr>
                <w:sz w:val="14"/>
                <w:szCs w:val="18"/>
              </w:rPr>
              <w:t>Scenario modelling using assumed demand response to price changes suggests emissions reduction benefits between 2022 and 2050 from the Clean Vehicle Discount and the Clean Vehicle Standard policies could range between 3.8 and 15.3 million tonnes.</w:t>
            </w:r>
          </w:p>
        </w:tc>
        <w:tc>
          <w:tcPr>
            <w:tcW w:w="567" w:type="dxa"/>
          </w:tcPr>
          <w:p w14:paraId="312F1986" w14:textId="77777777" w:rsidR="00CA1920" w:rsidRPr="00BD16B4" w:rsidRDefault="00CA1920" w:rsidP="002D166E">
            <w:pPr>
              <w:pStyle w:val="TableText"/>
              <w:spacing w:before="40" w:after="40" w:line="240" w:lineRule="auto"/>
              <w:rPr>
                <w:sz w:val="14"/>
                <w:szCs w:val="18"/>
              </w:rPr>
            </w:pPr>
            <w:r w:rsidRPr="00BD16B4">
              <w:rPr>
                <w:sz w:val="14"/>
                <w:szCs w:val="18"/>
              </w:rPr>
              <w:t>2021</w:t>
            </w:r>
          </w:p>
        </w:tc>
        <w:tc>
          <w:tcPr>
            <w:tcW w:w="1701" w:type="dxa"/>
          </w:tcPr>
          <w:p w14:paraId="76F30131" w14:textId="77777777" w:rsidR="00CA1920" w:rsidRPr="00BD16B4" w:rsidRDefault="00CA1920" w:rsidP="002D166E">
            <w:pPr>
              <w:pStyle w:val="TableText"/>
              <w:spacing w:before="40" w:after="40" w:line="240" w:lineRule="auto"/>
              <w:rPr>
                <w:sz w:val="14"/>
                <w:szCs w:val="18"/>
              </w:rPr>
            </w:pPr>
            <w:r w:rsidRPr="00BD16B4">
              <w:rPr>
                <w:sz w:val="14"/>
                <w:szCs w:val="18"/>
              </w:rPr>
              <w:t>Te Manatū Waka – Ministry of Transport, Waka Kotahi</w:t>
            </w:r>
          </w:p>
        </w:tc>
        <w:tc>
          <w:tcPr>
            <w:tcW w:w="851" w:type="dxa"/>
          </w:tcPr>
          <w:p w14:paraId="6381BAFF"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tcPr>
          <w:p w14:paraId="02EFAEC5"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tcPr>
          <w:p w14:paraId="40105EC8"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6709EC" w:rsidRPr="00BD16B4" w14:paraId="7F0A0FDE" w14:textId="77777777" w:rsidTr="006709EC">
        <w:tc>
          <w:tcPr>
            <w:tcW w:w="1632" w:type="dxa"/>
          </w:tcPr>
          <w:p w14:paraId="5B3C303D" w14:textId="77777777" w:rsidR="00CA1920" w:rsidRPr="00BD16B4" w:rsidRDefault="00CA1920" w:rsidP="002D166E">
            <w:pPr>
              <w:pStyle w:val="TableText"/>
              <w:keepNext/>
              <w:spacing w:before="40" w:after="40" w:line="240" w:lineRule="auto"/>
              <w:rPr>
                <w:sz w:val="14"/>
                <w:szCs w:val="18"/>
              </w:rPr>
            </w:pPr>
            <w:r w:rsidRPr="00BD16B4">
              <w:rPr>
                <w:sz w:val="14"/>
                <w:szCs w:val="18"/>
              </w:rPr>
              <w:t>Low Emissions Transport Fund</w:t>
            </w:r>
          </w:p>
        </w:tc>
        <w:tc>
          <w:tcPr>
            <w:tcW w:w="1316" w:type="dxa"/>
          </w:tcPr>
          <w:p w14:paraId="2F137B1D" w14:textId="77777777" w:rsidR="00CA1920" w:rsidRPr="00BD16B4" w:rsidRDefault="00CA1920" w:rsidP="002D166E">
            <w:pPr>
              <w:pStyle w:val="TableText"/>
              <w:spacing w:before="40" w:after="40" w:line="240" w:lineRule="auto"/>
              <w:rPr>
                <w:sz w:val="14"/>
                <w:szCs w:val="18"/>
              </w:rPr>
            </w:pPr>
            <w:r w:rsidRPr="00BD16B4">
              <w:rPr>
                <w:sz w:val="14"/>
                <w:szCs w:val="18"/>
              </w:rPr>
              <w:t>Transport</w:t>
            </w:r>
          </w:p>
        </w:tc>
        <w:tc>
          <w:tcPr>
            <w:tcW w:w="567" w:type="dxa"/>
          </w:tcPr>
          <w:p w14:paraId="1966D10B" w14:textId="77777777" w:rsidR="00CA1920" w:rsidRPr="00BD16B4" w:rsidRDefault="00CA1920" w:rsidP="002D166E">
            <w:pPr>
              <w:pStyle w:val="TableText"/>
              <w:spacing w:before="40" w:after="40" w:line="240" w:lineRule="auto"/>
              <w:rPr>
                <w:sz w:val="14"/>
                <w:szCs w:val="18"/>
              </w:rPr>
            </w:pPr>
            <w:r w:rsidRPr="00BD16B4">
              <w:rPr>
                <w:sz w:val="14"/>
                <w:szCs w:val="18"/>
              </w:rPr>
              <w:t>CO</w:t>
            </w:r>
            <w:r w:rsidRPr="00BD16B4">
              <w:rPr>
                <w:sz w:val="14"/>
                <w:szCs w:val="18"/>
                <w:vertAlign w:val="subscript"/>
              </w:rPr>
              <w:t>2</w:t>
            </w:r>
          </w:p>
        </w:tc>
        <w:tc>
          <w:tcPr>
            <w:tcW w:w="1701" w:type="dxa"/>
          </w:tcPr>
          <w:p w14:paraId="186E4DBE" w14:textId="77777777" w:rsidR="00CA1920" w:rsidRPr="00BD16B4" w:rsidRDefault="00CA1920" w:rsidP="002D166E">
            <w:pPr>
              <w:pStyle w:val="TableText"/>
              <w:spacing w:before="40" w:after="40" w:line="240" w:lineRule="auto"/>
              <w:rPr>
                <w:sz w:val="14"/>
                <w:szCs w:val="18"/>
              </w:rPr>
            </w:pPr>
            <w:r w:rsidRPr="00BD16B4">
              <w:rPr>
                <w:sz w:val="14"/>
                <w:szCs w:val="18"/>
              </w:rPr>
              <w:t xml:space="preserve">Support the demonstration and adoption of low-emission transport technology, innovation and infrastructure to accelerate the decarbonisation of New Zealand’s transport sector. </w:t>
            </w:r>
          </w:p>
        </w:tc>
        <w:tc>
          <w:tcPr>
            <w:tcW w:w="1134" w:type="dxa"/>
          </w:tcPr>
          <w:p w14:paraId="5AA93515" w14:textId="77777777" w:rsidR="00CA1920" w:rsidRPr="00BD16B4" w:rsidRDefault="00CA1920" w:rsidP="002D166E">
            <w:pPr>
              <w:pStyle w:val="TableText"/>
              <w:spacing w:before="40" w:after="40" w:line="240" w:lineRule="auto"/>
              <w:rPr>
                <w:sz w:val="14"/>
                <w:szCs w:val="18"/>
              </w:rPr>
            </w:pPr>
            <w:r w:rsidRPr="00BD16B4">
              <w:rPr>
                <w:sz w:val="14"/>
                <w:szCs w:val="18"/>
              </w:rPr>
              <w:t>Financial support</w:t>
            </w:r>
          </w:p>
        </w:tc>
        <w:tc>
          <w:tcPr>
            <w:tcW w:w="992" w:type="dxa"/>
          </w:tcPr>
          <w:p w14:paraId="28665646" w14:textId="77777777" w:rsidR="00CA1920" w:rsidRPr="00BD16B4" w:rsidRDefault="00CA1920" w:rsidP="002D166E">
            <w:pPr>
              <w:pStyle w:val="TableText"/>
              <w:spacing w:before="40" w:after="40" w:line="240" w:lineRule="auto"/>
              <w:rPr>
                <w:sz w:val="14"/>
                <w:szCs w:val="18"/>
              </w:rPr>
            </w:pPr>
            <w:r w:rsidRPr="00BD16B4">
              <w:rPr>
                <w:sz w:val="14"/>
                <w:szCs w:val="18"/>
              </w:rPr>
              <w:t>Implemented</w:t>
            </w:r>
          </w:p>
        </w:tc>
        <w:tc>
          <w:tcPr>
            <w:tcW w:w="2410" w:type="dxa"/>
          </w:tcPr>
          <w:p w14:paraId="790887A1" w14:textId="77777777" w:rsidR="00CA1920" w:rsidRPr="00BD16B4" w:rsidRDefault="00CA1920" w:rsidP="002D166E">
            <w:pPr>
              <w:spacing w:before="40" w:after="40" w:line="240" w:lineRule="auto"/>
              <w:jc w:val="left"/>
              <w:rPr>
                <w:rFonts w:cs="Calibri"/>
                <w:sz w:val="14"/>
                <w:szCs w:val="18"/>
              </w:rPr>
            </w:pPr>
            <w:r w:rsidRPr="00BD16B4">
              <w:rPr>
                <w:sz w:val="14"/>
                <w:szCs w:val="18"/>
              </w:rPr>
              <w:t>The Government increased the funding contribution from $6–7 million per year to $25 million per year by 2023/24.</w:t>
            </w:r>
          </w:p>
        </w:tc>
        <w:tc>
          <w:tcPr>
            <w:tcW w:w="567" w:type="dxa"/>
          </w:tcPr>
          <w:p w14:paraId="57482146" w14:textId="77777777" w:rsidR="00CA1920" w:rsidRPr="00BD16B4" w:rsidRDefault="00CA1920" w:rsidP="002D166E">
            <w:pPr>
              <w:pStyle w:val="TableText"/>
              <w:spacing w:before="40" w:after="40" w:line="240" w:lineRule="auto"/>
              <w:rPr>
                <w:sz w:val="14"/>
                <w:szCs w:val="18"/>
              </w:rPr>
            </w:pPr>
            <w:r w:rsidRPr="00BD16B4">
              <w:rPr>
                <w:sz w:val="14"/>
                <w:szCs w:val="18"/>
              </w:rPr>
              <w:t>2021</w:t>
            </w:r>
          </w:p>
        </w:tc>
        <w:tc>
          <w:tcPr>
            <w:tcW w:w="1701" w:type="dxa"/>
          </w:tcPr>
          <w:p w14:paraId="053168F4" w14:textId="77777777" w:rsidR="00CA1920" w:rsidRPr="00BD16B4" w:rsidRDefault="00CA1920" w:rsidP="002D166E">
            <w:pPr>
              <w:pStyle w:val="TableText"/>
              <w:spacing w:before="40" w:after="40" w:line="240" w:lineRule="auto"/>
              <w:rPr>
                <w:sz w:val="14"/>
                <w:szCs w:val="18"/>
              </w:rPr>
            </w:pPr>
            <w:r w:rsidRPr="00BD16B4">
              <w:rPr>
                <w:sz w:val="14"/>
                <w:szCs w:val="18"/>
              </w:rPr>
              <w:t>Energy Efficiency and Conservation Authority</w:t>
            </w:r>
          </w:p>
        </w:tc>
        <w:tc>
          <w:tcPr>
            <w:tcW w:w="851" w:type="dxa"/>
          </w:tcPr>
          <w:p w14:paraId="5394090B" w14:textId="77777777" w:rsidR="00CA1920" w:rsidRPr="00BD16B4" w:rsidRDefault="00CA1920" w:rsidP="005173B2">
            <w:pPr>
              <w:pStyle w:val="TableText"/>
              <w:spacing w:before="40" w:after="40" w:line="240" w:lineRule="auto"/>
              <w:rPr>
                <w:rFonts w:cs="Calibri"/>
                <w:sz w:val="14"/>
                <w:szCs w:val="14"/>
              </w:rPr>
            </w:pPr>
            <w:r w:rsidRPr="00BD16B4">
              <w:rPr>
                <w:sz w:val="14"/>
                <w:szCs w:val="18"/>
              </w:rPr>
              <w:t>NE</w:t>
            </w:r>
          </w:p>
        </w:tc>
        <w:tc>
          <w:tcPr>
            <w:tcW w:w="850" w:type="dxa"/>
          </w:tcPr>
          <w:p w14:paraId="712BD1DF" w14:textId="77777777" w:rsidR="00CA1920" w:rsidRPr="00BD16B4" w:rsidRDefault="00CA1920" w:rsidP="002D166E">
            <w:pPr>
              <w:pStyle w:val="TableText"/>
              <w:spacing w:before="40" w:after="40" w:line="240" w:lineRule="auto"/>
              <w:rPr>
                <w:rFonts w:cs="Calibri"/>
                <w:sz w:val="14"/>
                <w:szCs w:val="14"/>
              </w:rPr>
            </w:pPr>
            <w:r w:rsidRPr="00BD16B4">
              <w:rPr>
                <w:sz w:val="14"/>
                <w:szCs w:val="18"/>
              </w:rPr>
              <w:t>NE</w:t>
            </w:r>
          </w:p>
        </w:tc>
        <w:tc>
          <w:tcPr>
            <w:tcW w:w="851" w:type="dxa"/>
          </w:tcPr>
          <w:p w14:paraId="391F40E9" w14:textId="77777777" w:rsidR="00CA1920" w:rsidRPr="00BD16B4" w:rsidRDefault="00CA1920" w:rsidP="005173B2">
            <w:pPr>
              <w:pStyle w:val="TableText"/>
              <w:spacing w:before="40" w:after="40" w:line="240" w:lineRule="auto"/>
              <w:rPr>
                <w:rFonts w:cs="Calibri"/>
                <w:sz w:val="14"/>
                <w:szCs w:val="14"/>
              </w:rPr>
            </w:pPr>
            <w:r w:rsidRPr="00BD16B4">
              <w:rPr>
                <w:sz w:val="14"/>
                <w:szCs w:val="18"/>
              </w:rPr>
              <w:t>NE</w:t>
            </w:r>
          </w:p>
        </w:tc>
      </w:tr>
      <w:tr w:rsidR="006709EC" w:rsidRPr="00BD16B4" w14:paraId="3F5FB5CE" w14:textId="77777777" w:rsidTr="006709EC">
        <w:tc>
          <w:tcPr>
            <w:tcW w:w="1632" w:type="dxa"/>
          </w:tcPr>
          <w:p w14:paraId="400FC710" w14:textId="77777777" w:rsidR="00CA1920" w:rsidRPr="00BD16B4" w:rsidRDefault="00CA1920" w:rsidP="002D166E">
            <w:pPr>
              <w:pStyle w:val="TableText"/>
              <w:spacing w:before="40" w:after="40" w:line="240" w:lineRule="auto"/>
              <w:rPr>
                <w:sz w:val="14"/>
                <w:szCs w:val="18"/>
              </w:rPr>
            </w:pPr>
            <w:r w:rsidRPr="00BD16B4">
              <w:rPr>
                <w:sz w:val="14"/>
                <w:szCs w:val="18"/>
              </w:rPr>
              <w:t>Electric vehicle charging infrastructure</w:t>
            </w:r>
          </w:p>
        </w:tc>
        <w:tc>
          <w:tcPr>
            <w:tcW w:w="1316" w:type="dxa"/>
          </w:tcPr>
          <w:p w14:paraId="38547DC4" w14:textId="77777777" w:rsidR="00CA1920" w:rsidRPr="00BD16B4" w:rsidRDefault="00CA1920" w:rsidP="002D166E">
            <w:pPr>
              <w:pStyle w:val="TableText"/>
              <w:spacing w:before="40" w:after="40" w:line="240" w:lineRule="auto"/>
              <w:rPr>
                <w:sz w:val="14"/>
                <w:szCs w:val="18"/>
              </w:rPr>
            </w:pPr>
            <w:r w:rsidRPr="00BD16B4">
              <w:rPr>
                <w:sz w:val="14"/>
                <w:szCs w:val="18"/>
              </w:rPr>
              <w:t>Transport</w:t>
            </w:r>
          </w:p>
        </w:tc>
        <w:tc>
          <w:tcPr>
            <w:tcW w:w="567" w:type="dxa"/>
          </w:tcPr>
          <w:p w14:paraId="1C699096" w14:textId="77777777" w:rsidR="00CA1920" w:rsidRPr="00BD16B4" w:rsidRDefault="00CA1920" w:rsidP="002D166E">
            <w:pPr>
              <w:pStyle w:val="TableText"/>
              <w:spacing w:before="40" w:after="40" w:line="240" w:lineRule="auto"/>
              <w:rPr>
                <w:sz w:val="14"/>
                <w:szCs w:val="18"/>
              </w:rPr>
            </w:pPr>
            <w:r w:rsidRPr="00BD16B4">
              <w:rPr>
                <w:sz w:val="14"/>
                <w:szCs w:val="18"/>
              </w:rPr>
              <w:t>CO</w:t>
            </w:r>
            <w:r w:rsidRPr="00BD16B4">
              <w:rPr>
                <w:sz w:val="14"/>
                <w:szCs w:val="18"/>
                <w:vertAlign w:val="subscript"/>
              </w:rPr>
              <w:t>2</w:t>
            </w:r>
          </w:p>
        </w:tc>
        <w:tc>
          <w:tcPr>
            <w:tcW w:w="1701" w:type="dxa"/>
          </w:tcPr>
          <w:p w14:paraId="18DC8FCE" w14:textId="77777777" w:rsidR="00CA1920" w:rsidRPr="00BD16B4" w:rsidRDefault="00CA1920" w:rsidP="002D166E">
            <w:pPr>
              <w:pStyle w:val="TableText"/>
              <w:spacing w:before="40" w:after="40" w:line="240" w:lineRule="auto"/>
              <w:rPr>
                <w:sz w:val="14"/>
                <w:szCs w:val="18"/>
              </w:rPr>
            </w:pPr>
            <w:r w:rsidRPr="00BD16B4">
              <w:rPr>
                <w:sz w:val="14"/>
                <w:szCs w:val="18"/>
              </w:rPr>
              <w:t xml:space="preserve">Provide a long-term strategic direction as New Zealand’s electric vehicle infrastructure expands. </w:t>
            </w:r>
          </w:p>
        </w:tc>
        <w:tc>
          <w:tcPr>
            <w:tcW w:w="1134" w:type="dxa"/>
          </w:tcPr>
          <w:p w14:paraId="608585FC" w14:textId="77777777" w:rsidR="00CA1920" w:rsidRPr="00BD16B4" w:rsidRDefault="00CA1920" w:rsidP="002D166E">
            <w:pPr>
              <w:pStyle w:val="TableText"/>
              <w:spacing w:before="40" w:after="40" w:line="240" w:lineRule="auto"/>
              <w:rPr>
                <w:sz w:val="14"/>
                <w:szCs w:val="18"/>
              </w:rPr>
            </w:pPr>
            <w:r w:rsidRPr="00BD16B4">
              <w:rPr>
                <w:sz w:val="14"/>
                <w:szCs w:val="18"/>
              </w:rPr>
              <w:t>Other</w:t>
            </w:r>
          </w:p>
        </w:tc>
        <w:tc>
          <w:tcPr>
            <w:tcW w:w="992" w:type="dxa"/>
          </w:tcPr>
          <w:p w14:paraId="7D71FE91" w14:textId="77777777" w:rsidR="00CA1920" w:rsidRPr="00BD16B4" w:rsidRDefault="00CA1920" w:rsidP="002D166E">
            <w:pPr>
              <w:pStyle w:val="TableText"/>
              <w:spacing w:before="40" w:after="40" w:line="240" w:lineRule="auto"/>
              <w:rPr>
                <w:sz w:val="14"/>
                <w:szCs w:val="18"/>
              </w:rPr>
            </w:pPr>
            <w:r w:rsidRPr="00BD16B4">
              <w:rPr>
                <w:sz w:val="14"/>
                <w:szCs w:val="18"/>
              </w:rPr>
              <w:t>Planned</w:t>
            </w:r>
          </w:p>
        </w:tc>
        <w:tc>
          <w:tcPr>
            <w:tcW w:w="2410" w:type="dxa"/>
          </w:tcPr>
          <w:p w14:paraId="194001B4" w14:textId="77777777" w:rsidR="00CA1920" w:rsidRPr="00BD16B4" w:rsidRDefault="00CA1920" w:rsidP="002D166E">
            <w:pPr>
              <w:spacing w:before="40" w:after="40" w:line="240" w:lineRule="auto"/>
              <w:jc w:val="left"/>
              <w:rPr>
                <w:sz w:val="14"/>
                <w:szCs w:val="18"/>
              </w:rPr>
            </w:pPr>
            <w:r w:rsidRPr="00BD16B4">
              <w:rPr>
                <w:sz w:val="14"/>
                <w:szCs w:val="18"/>
              </w:rPr>
              <w:t>This strategy (a discussion document for it is due at the end of 2022) will set out the Government’s vision and policy objectives around electric vehicle charging.</w:t>
            </w:r>
          </w:p>
        </w:tc>
        <w:tc>
          <w:tcPr>
            <w:tcW w:w="567" w:type="dxa"/>
          </w:tcPr>
          <w:p w14:paraId="478E2823" w14:textId="77777777" w:rsidR="00CA1920" w:rsidRPr="00BD16B4" w:rsidRDefault="00CA1920" w:rsidP="002D166E">
            <w:pPr>
              <w:pStyle w:val="TableText"/>
              <w:spacing w:before="40" w:after="40" w:line="240" w:lineRule="auto"/>
              <w:rPr>
                <w:sz w:val="14"/>
                <w:szCs w:val="18"/>
                <w:highlight w:val="yellow"/>
              </w:rPr>
            </w:pPr>
            <w:r w:rsidRPr="00BD16B4">
              <w:rPr>
                <w:sz w:val="14"/>
                <w:szCs w:val="18"/>
              </w:rPr>
              <w:t>TBC</w:t>
            </w:r>
          </w:p>
        </w:tc>
        <w:tc>
          <w:tcPr>
            <w:tcW w:w="1701" w:type="dxa"/>
          </w:tcPr>
          <w:p w14:paraId="33A6A713" w14:textId="77777777" w:rsidR="00CA1920" w:rsidRPr="00BD16B4" w:rsidRDefault="00CA1920" w:rsidP="002D166E">
            <w:pPr>
              <w:pStyle w:val="TableText"/>
              <w:spacing w:before="40" w:after="40" w:line="240" w:lineRule="auto"/>
              <w:rPr>
                <w:sz w:val="14"/>
                <w:szCs w:val="18"/>
              </w:rPr>
            </w:pPr>
            <w:r w:rsidRPr="00BD16B4">
              <w:rPr>
                <w:sz w:val="14"/>
                <w:szCs w:val="18"/>
              </w:rPr>
              <w:t>Te Manatū Waka – Ministry of Transport</w:t>
            </w:r>
          </w:p>
        </w:tc>
        <w:tc>
          <w:tcPr>
            <w:tcW w:w="851" w:type="dxa"/>
          </w:tcPr>
          <w:p w14:paraId="1B644E02"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tcPr>
          <w:p w14:paraId="72116EDA"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tcPr>
          <w:p w14:paraId="21D69004"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6709EC" w:rsidRPr="00BD16B4" w14:paraId="23FE1DBC" w14:textId="77777777" w:rsidTr="006709EC">
        <w:tc>
          <w:tcPr>
            <w:tcW w:w="1632" w:type="dxa"/>
          </w:tcPr>
          <w:p w14:paraId="55CE7D32" w14:textId="77777777" w:rsidR="00CA1920" w:rsidRPr="00BD16B4" w:rsidRDefault="00CA1920" w:rsidP="008038E4">
            <w:pPr>
              <w:pStyle w:val="TableText"/>
              <w:keepNext/>
              <w:spacing w:before="40" w:after="40" w:line="240" w:lineRule="auto"/>
              <w:rPr>
                <w:sz w:val="14"/>
                <w:szCs w:val="18"/>
              </w:rPr>
            </w:pPr>
            <w:r w:rsidRPr="00BD16B4">
              <w:rPr>
                <w:sz w:val="14"/>
                <w:szCs w:val="18"/>
              </w:rPr>
              <w:lastRenderedPageBreak/>
              <w:t>Vehicle Fuel Economy Labelling</w:t>
            </w:r>
          </w:p>
        </w:tc>
        <w:tc>
          <w:tcPr>
            <w:tcW w:w="1316" w:type="dxa"/>
          </w:tcPr>
          <w:p w14:paraId="6DA5CD70" w14:textId="77777777" w:rsidR="00CA1920" w:rsidRPr="00BD16B4" w:rsidRDefault="00CA1920" w:rsidP="002D166E">
            <w:pPr>
              <w:pStyle w:val="TableText"/>
              <w:spacing w:before="40" w:after="40" w:line="240" w:lineRule="auto"/>
              <w:rPr>
                <w:sz w:val="14"/>
                <w:szCs w:val="18"/>
              </w:rPr>
            </w:pPr>
            <w:r w:rsidRPr="00BD16B4">
              <w:rPr>
                <w:sz w:val="14"/>
                <w:szCs w:val="18"/>
              </w:rPr>
              <w:t>Transport</w:t>
            </w:r>
          </w:p>
        </w:tc>
        <w:tc>
          <w:tcPr>
            <w:tcW w:w="567" w:type="dxa"/>
          </w:tcPr>
          <w:p w14:paraId="0CC73F92" w14:textId="77777777" w:rsidR="00CA1920" w:rsidRPr="00BD16B4" w:rsidRDefault="00CA1920" w:rsidP="002D166E">
            <w:pPr>
              <w:pStyle w:val="TableText"/>
              <w:spacing w:before="40" w:after="40" w:line="240" w:lineRule="auto"/>
              <w:rPr>
                <w:sz w:val="14"/>
                <w:szCs w:val="18"/>
              </w:rPr>
            </w:pPr>
            <w:r w:rsidRPr="00BD16B4">
              <w:rPr>
                <w:sz w:val="14"/>
                <w:szCs w:val="18"/>
              </w:rPr>
              <w:t>CO</w:t>
            </w:r>
            <w:r w:rsidRPr="00BD16B4">
              <w:rPr>
                <w:sz w:val="14"/>
                <w:szCs w:val="18"/>
                <w:vertAlign w:val="subscript"/>
              </w:rPr>
              <w:t>2</w:t>
            </w:r>
          </w:p>
        </w:tc>
        <w:tc>
          <w:tcPr>
            <w:tcW w:w="1701" w:type="dxa"/>
          </w:tcPr>
          <w:p w14:paraId="52DE7D82" w14:textId="77777777" w:rsidR="00CA1920" w:rsidRPr="00BD16B4" w:rsidRDefault="00CA1920" w:rsidP="002D166E">
            <w:pPr>
              <w:pStyle w:val="TableText"/>
              <w:spacing w:before="40" w:after="40" w:line="240" w:lineRule="auto"/>
              <w:rPr>
                <w:sz w:val="14"/>
                <w:szCs w:val="18"/>
              </w:rPr>
            </w:pPr>
            <w:r w:rsidRPr="00BD16B4">
              <w:rPr>
                <w:sz w:val="14"/>
                <w:szCs w:val="18"/>
              </w:rPr>
              <w:t xml:space="preserve">Allow consumers to make more informed vehicle purchase choices, and to place an appropriate value on fuel economy. </w:t>
            </w:r>
          </w:p>
        </w:tc>
        <w:tc>
          <w:tcPr>
            <w:tcW w:w="1134" w:type="dxa"/>
          </w:tcPr>
          <w:p w14:paraId="3C81CA48" w14:textId="77777777" w:rsidR="00CA1920" w:rsidRPr="00BD16B4" w:rsidRDefault="00CA1920" w:rsidP="002D166E">
            <w:pPr>
              <w:pStyle w:val="TableText"/>
              <w:spacing w:before="40" w:after="40" w:line="240" w:lineRule="auto"/>
              <w:rPr>
                <w:sz w:val="14"/>
                <w:szCs w:val="18"/>
              </w:rPr>
            </w:pPr>
            <w:r w:rsidRPr="00BD16B4">
              <w:rPr>
                <w:sz w:val="14"/>
                <w:szCs w:val="18"/>
              </w:rPr>
              <w:t>Regulatory, information</w:t>
            </w:r>
          </w:p>
        </w:tc>
        <w:tc>
          <w:tcPr>
            <w:tcW w:w="992" w:type="dxa"/>
          </w:tcPr>
          <w:p w14:paraId="5A39EEC4" w14:textId="77777777" w:rsidR="00CA1920" w:rsidRPr="00BD16B4" w:rsidRDefault="00CA1920" w:rsidP="002D166E">
            <w:pPr>
              <w:pStyle w:val="TableText"/>
              <w:spacing w:before="40" w:after="40" w:line="240" w:lineRule="auto"/>
              <w:rPr>
                <w:sz w:val="14"/>
                <w:szCs w:val="18"/>
              </w:rPr>
            </w:pPr>
            <w:r w:rsidRPr="00BD16B4">
              <w:rPr>
                <w:sz w:val="14"/>
                <w:szCs w:val="18"/>
              </w:rPr>
              <w:t>Implemented</w:t>
            </w:r>
          </w:p>
        </w:tc>
        <w:tc>
          <w:tcPr>
            <w:tcW w:w="2410" w:type="dxa"/>
          </w:tcPr>
          <w:p w14:paraId="7B89C165" w14:textId="52843491" w:rsidR="00CA1920" w:rsidRPr="00BD16B4" w:rsidRDefault="00CA1920" w:rsidP="002D166E">
            <w:pPr>
              <w:spacing w:before="40" w:after="40" w:line="240" w:lineRule="auto"/>
              <w:jc w:val="left"/>
              <w:rPr>
                <w:sz w:val="14"/>
                <w:szCs w:val="18"/>
              </w:rPr>
            </w:pPr>
            <w:r w:rsidRPr="00BD16B4">
              <w:rPr>
                <w:sz w:val="14"/>
                <w:szCs w:val="18"/>
              </w:rPr>
              <w:t>This compulsory programme requires vehicle traders and online vendors to display information relating to fuel economy. Updated 2022 to better show CO</w:t>
            </w:r>
            <w:r w:rsidRPr="00BD16B4">
              <w:rPr>
                <w:sz w:val="14"/>
                <w:szCs w:val="18"/>
                <w:vertAlign w:val="subscript"/>
              </w:rPr>
              <w:t>2</w:t>
            </w:r>
            <w:r w:rsidRPr="00BD16B4">
              <w:rPr>
                <w:sz w:val="14"/>
                <w:szCs w:val="18"/>
              </w:rPr>
              <w:t xml:space="preserve"> emissions, a stricter star rating scheme, and any rebate/charge under the Clean Vehicle Discount scheme. The Energy Efficiency and Conservation Authority estimates that the Vehicle Fuel Economy Labelling programme will encourage CO</w:t>
            </w:r>
            <w:r w:rsidRPr="00BD16B4">
              <w:rPr>
                <w:sz w:val="14"/>
                <w:szCs w:val="18"/>
                <w:vertAlign w:val="subscript"/>
              </w:rPr>
              <w:t>2</w:t>
            </w:r>
            <w:r w:rsidRPr="00BD16B4">
              <w:rPr>
                <w:sz w:val="14"/>
                <w:szCs w:val="18"/>
              </w:rPr>
              <w:t xml:space="preserve"> savings of 41 kt CO</w:t>
            </w:r>
            <w:r w:rsidRPr="00BD16B4">
              <w:rPr>
                <w:sz w:val="14"/>
                <w:szCs w:val="18"/>
                <w:vertAlign w:val="subscript"/>
              </w:rPr>
              <w:t>2</w:t>
            </w:r>
            <w:r w:rsidRPr="00BD16B4">
              <w:rPr>
                <w:sz w:val="14"/>
                <w:szCs w:val="18"/>
              </w:rPr>
              <w:t>-e per year by 2020.</w:t>
            </w:r>
          </w:p>
        </w:tc>
        <w:tc>
          <w:tcPr>
            <w:tcW w:w="567" w:type="dxa"/>
          </w:tcPr>
          <w:p w14:paraId="6ECD4AFB" w14:textId="77777777" w:rsidR="00CA1920" w:rsidRPr="00BD16B4" w:rsidRDefault="00CA1920" w:rsidP="002D166E">
            <w:pPr>
              <w:pStyle w:val="TableText"/>
              <w:spacing w:before="40" w:after="40" w:line="240" w:lineRule="auto"/>
              <w:rPr>
                <w:sz w:val="14"/>
                <w:szCs w:val="18"/>
                <w:highlight w:val="yellow"/>
              </w:rPr>
            </w:pPr>
            <w:r w:rsidRPr="00BD16B4">
              <w:rPr>
                <w:sz w:val="14"/>
                <w:szCs w:val="18"/>
              </w:rPr>
              <w:t>2008</w:t>
            </w:r>
          </w:p>
        </w:tc>
        <w:tc>
          <w:tcPr>
            <w:tcW w:w="1701" w:type="dxa"/>
          </w:tcPr>
          <w:p w14:paraId="54C272CC" w14:textId="77777777" w:rsidR="00CA1920" w:rsidRPr="00BD16B4" w:rsidRDefault="00CA1920" w:rsidP="002D166E">
            <w:pPr>
              <w:pStyle w:val="TableText"/>
              <w:spacing w:before="40" w:after="40" w:line="240" w:lineRule="auto"/>
              <w:rPr>
                <w:sz w:val="14"/>
                <w:szCs w:val="18"/>
              </w:rPr>
            </w:pPr>
            <w:r w:rsidRPr="00BD16B4">
              <w:rPr>
                <w:sz w:val="14"/>
                <w:szCs w:val="18"/>
              </w:rPr>
              <w:t>Energy Efficiency and Conservation Authority</w:t>
            </w:r>
          </w:p>
        </w:tc>
        <w:tc>
          <w:tcPr>
            <w:tcW w:w="851" w:type="dxa"/>
          </w:tcPr>
          <w:p w14:paraId="42BAE070" w14:textId="77777777" w:rsidR="00CA1920" w:rsidRPr="00BD16B4" w:rsidRDefault="00CA1920" w:rsidP="005173B2">
            <w:pPr>
              <w:pStyle w:val="TableText"/>
              <w:spacing w:before="40" w:after="40" w:line="240" w:lineRule="auto"/>
              <w:rPr>
                <w:rFonts w:cs="Calibri"/>
                <w:sz w:val="14"/>
                <w:szCs w:val="14"/>
              </w:rPr>
            </w:pPr>
            <w:r w:rsidRPr="00BD16B4">
              <w:rPr>
                <w:sz w:val="14"/>
                <w:szCs w:val="18"/>
              </w:rPr>
              <w:t>NE</w:t>
            </w:r>
          </w:p>
        </w:tc>
        <w:tc>
          <w:tcPr>
            <w:tcW w:w="850" w:type="dxa"/>
          </w:tcPr>
          <w:p w14:paraId="16410AD9" w14:textId="77777777" w:rsidR="00CA1920" w:rsidRPr="00BD16B4" w:rsidRDefault="00CA1920" w:rsidP="002D166E">
            <w:pPr>
              <w:pStyle w:val="TableText"/>
              <w:spacing w:before="40" w:after="40" w:line="240" w:lineRule="auto"/>
              <w:rPr>
                <w:rFonts w:cs="Calibri"/>
                <w:sz w:val="14"/>
                <w:szCs w:val="14"/>
              </w:rPr>
            </w:pPr>
            <w:r w:rsidRPr="00BD16B4">
              <w:rPr>
                <w:sz w:val="14"/>
                <w:szCs w:val="18"/>
              </w:rPr>
              <w:t>NE</w:t>
            </w:r>
          </w:p>
        </w:tc>
        <w:tc>
          <w:tcPr>
            <w:tcW w:w="851" w:type="dxa"/>
          </w:tcPr>
          <w:p w14:paraId="5849D85C"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CA1920" w:rsidRPr="00BD16B4" w14:paraId="0F8911E0" w14:textId="77777777" w:rsidTr="000A136D">
        <w:tc>
          <w:tcPr>
            <w:tcW w:w="14572" w:type="dxa"/>
            <w:gridSpan w:val="12"/>
            <w:shd w:val="clear" w:color="auto" w:fill="D2DDE1" w:themeFill="background2"/>
          </w:tcPr>
          <w:p w14:paraId="66C786BE" w14:textId="77777777" w:rsidR="00CA1920" w:rsidRPr="00BD16B4" w:rsidRDefault="00CA1920" w:rsidP="005173B2">
            <w:pPr>
              <w:pStyle w:val="TableText"/>
              <w:spacing w:before="40" w:after="40" w:line="240" w:lineRule="auto"/>
              <w:rPr>
                <w:rFonts w:cs="Calibri"/>
                <w:b/>
                <w:bCs/>
                <w:sz w:val="14"/>
                <w:szCs w:val="14"/>
              </w:rPr>
            </w:pPr>
            <w:r w:rsidRPr="00BD16B4">
              <w:rPr>
                <w:rFonts w:cs="Calibri"/>
                <w:b/>
                <w:bCs/>
                <w:sz w:val="14"/>
                <w:szCs w:val="14"/>
              </w:rPr>
              <w:t>Transport: begin work now to decarbonise heavy transport and freight</w:t>
            </w:r>
          </w:p>
        </w:tc>
      </w:tr>
      <w:tr w:rsidR="006709EC" w:rsidRPr="00BD16B4" w14:paraId="645F0FE0" w14:textId="77777777" w:rsidTr="006709EC">
        <w:tc>
          <w:tcPr>
            <w:tcW w:w="1632" w:type="dxa"/>
          </w:tcPr>
          <w:p w14:paraId="187F729A" w14:textId="77777777" w:rsidR="00CA1920" w:rsidRPr="00BD16B4" w:rsidRDefault="00CA1920" w:rsidP="002D166E">
            <w:pPr>
              <w:pStyle w:val="TableText"/>
              <w:spacing w:before="40" w:after="40" w:line="240" w:lineRule="auto"/>
              <w:rPr>
                <w:sz w:val="14"/>
                <w:szCs w:val="18"/>
              </w:rPr>
            </w:pPr>
            <w:r w:rsidRPr="00BD16B4">
              <w:rPr>
                <w:sz w:val="14"/>
                <w:szCs w:val="18"/>
              </w:rPr>
              <w:t>Freight and Supply Chain Strategy</w:t>
            </w:r>
          </w:p>
        </w:tc>
        <w:tc>
          <w:tcPr>
            <w:tcW w:w="1316" w:type="dxa"/>
          </w:tcPr>
          <w:p w14:paraId="6C5C4892" w14:textId="77777777" w:rsidR="00CA1920" w:rsidRPr="00BD16B4" w:rsidRDefault="00CA1920" w:rsidP="002D166E">
            <w:pPr>
              <w:pStyle w:val="TableText"/>
              <w:spacing w:before="40" w:after="40" w:line="240" w:lineRule="auto"/>
              <w:rPr>
                <w:sz w:val="14"/>
                <w:szCs w:val="18"/>
              </w:rPr>
            </w:pPr>
            <w:r w:rsidRPr="00BD16B4">
              <w:rPr>
                <w:sz w:val="14"/>
                <w:szCs w:val="18"/>
              </w:rPr>
              <w:t xml:space="preserve">Transport </w:t>
            </w:r>
          </w:p>
        </w:tc>
        <w:tc>
          <w:tcPr>
            <w:tcW w:w="567" w:type="dxa"/>
          </w:tcPr>
          <w:p w14:paraId="2B5905F2" w14:textId="77777777" w:rsidR="00CA1920" w:rsidRPr="00BD16B4" w:rsidRDefault="00CA1920" w:rsidP="002D166E">
            <w:pPr>
              <w:pStyle w:val="TableText"/>
              <w:spacing w:before="40" w:after="40" w:line="240" w:lineRule="auto"/>
              <w:rPr>
                <w:sz w:val="14"/>
                <w:szCs w:val="18"/>
              </w:rPr>
            </w:pPr>
            <w:r w:rsidRPr="00BD16B4">
              <w:rPr>
                <w:sz w:val="14"/>
                <w:szCs w:val="18"/>
              </w:rPr>
              <w:t>CO</w:t>
            </w:r>
            <w:r w:rsidRPr="00BD16B4">
              <w:rPr>
                <w:sz w:val="14"/>
                <w:szCs w:val="18"/>
                <w:vertAlign w:val="subscript"/>
              </w:rPr>
              <w:t>2</w:t>
            </w:r>
          </w:p>
        </w:tc>
        <w:tc>
          <w:tcPr>
            <w:tcW w:w="1701" w:type="dxa"/>
          </w:tcPr>
          <w:p w14:paraId="1145E6F7" w14:textId="77777777" w:rsidR="00CA1920" w:rsidRPr="00BD16B4" w:rsidRDefault="00CA1920" w:rsidP="002D166E">
            <w:pPr>
              <w:pStyle w:val="TableText"/>
              <w:spacing w:before="40" w:after="40" w:line="240" w:lineRule="auto"/>
              <w:rPr>
                <w:sz w:val="14"/>
                <w:szCs w:val="18"/>
              </w:rPr>
            </w:pPr>
            <w:r w:rsidRPr="00BD16B4">
              <w:rPr>
                <w:sz w:val="14"/>
                <w:szCs w:val="18"/>
              </w:rPr>
              <w:t>Reduce emissions from heavy road freight.</w:t>
            </w:r>
          </w:p>
        </w:tc>
        <w:tc>
          <w:tcPr>
            <w:tcW w:w="1134" w:type="dxa"/>
          </w:tcPr>
          <w:p w14:paraId="41BA413C" w14:textId="77777777" w:rsidR="00CA1920" w:rsidRPr="00BD16B4" w:rsidRDefault="00CA1920" w:rsidP="002D166E">
            <w:pPr>
              <w:pStyle w:val="TableText"/>
              <w:spacing w:before="40" w:after="40" w:line="240" w:lineRule="auto"/>
              <w:rPr>
                <w:sz w:val="14"/>
                <w:szCs w:val="18"/>
              </w:rPr>
            </w:pPr>
            <w:r w:rsidRPr="00BD16B4">
              <w:rPr>
                <w:sz w:val="14"/>
                <w:szCs w:val="18"/>
              </w:rPr>
              <w:t>Education</w:t>
            </w:r>
          </w:p>
        </w:tc>
        <w:tc>
          <w:tcPr>
            <w:tcW w:w="992" w:type="dxa"/>
          </w:tcPr>
          <w:p w14:paraId="21657AC8" w14:textId="77777777" w:rsidR="00CA1920" w:rsidRPr="00BD16B4" w:rsidRDefault="00CA1920" w:rsidP="002D166E">
            <w:pPr>
              <w:pStyle w:val="TableText"/>
              <w:spacing w:before="40" w:after="40" w:line="240" w:lineRule="auto"/>
              <w:rPr>
                <w:sz w:val="14"/>
                <w:szCs w:val="18"/>
              </w:rPr>
            </w:pPr>
            <w:r w:rsidRPr="00BD16B4">
              <w:rPr>
                <w:sz w:val="14"/>
                <w:szCs w:val="18"/>
              </w:rPr>
              <w:t>Planned</w:t>
            </w:r>
          </w:p>
        </w:tc>
        <w:tc>
          <w:tcPr>
            <w:tcW w:w="2410" w:type="dxa"/>
          </w:tcPr>
          <w:p w14:paraId="4D241848" w14:textId="77777777" w:rsidR="00CA1920" w:rsidRPr="00BD16B4" w:rsidRDefault="00CA1920" w:rsidP="002D166E">
            <w:pPr>
              <w:spacing w:before="40" w:after="40" w:line="240" w:lineRule="auto"/>
              <w:jc w:val="left"/>
              <w:rPr>
                <w:sz w:val="14"/>
                <w:szCs w:val="18"/>
              </w:rPr>
            </w:pPr>
            <w:r w:rsidRPr="00BD16B4">
              <w:rPr>
                <w:sz w:val="14"/>
                <w:szCs w:val="18"/>
              </w:rPr>
              <w:t xml:space="preserve">Developing a Freight and Supply Chain Strategy in collaboration with iwi/Māori, local government and industry. It will set out system-wide actions that need to happen across the sector to achieve our decarbonisation, resilience, productivity and wellbeing outcomes. </w:t>
            </w:r>
          </w:p>
        </w:tc>
        <w:tc>
          <w:tcPr>
            <w:tcW w:w="567" w:type="dxa"/>
          </w:tcPr>
          <w:p w14:paraId="7CC462E3" w14:textId="77777777" w:rsidR="00CA1920" w:rsidRPr="00BD16B4" w:rsidRDefault="00CA1920" w:rsidP="002D166E">
            <w:pPr>
              <w:pStyle w:val="TableText"/>
              <w:spacing w:before="40" w:after="40" w:line="240" w:lineRule="auto"/>
              <w:rPr>
                <w:sz w:val="14"/>
                <w:szCs w:val="18"/>
              </w:rPr>
            </w:pPr>
            <w:r w:rsidRPr="00BD16B4">
              <w:rPr>
                <w:sz w:val="14"/>
                <w:szCs w:val="18"/>
              </w:rPr>
              <w:t>2023</w:t>
            </w:r>
          </w:p>
        </w:tc>
        <w:tc>
          <w:tcPr>
            <w:tcW w:w="1701" w:type="dxa"/>
          </w:tcPr>
          <w:p w14:paraId="15128B6A" w14:textId="77777777" w:rsidR="00CA1920" w:rsidRPr="00BD16B4" w:rsidRDefault="00CA1920" w:rsidP="002D166E">
            <w:pPr>
              <w:pStyle w:val="TableText"/>
              <w:spacing w:before="40" w:after="40" w:line="240" w:lineRule="auto"/>
              <w:rPr>
                <w:sz w:val="14"/>
                <w:szCs w:val="18"/>
              </w:rPr>
            </w:pPr>
            <w:r w:rsidRPr="00BD16B4">
              <w:rPr>
                <w:sz w:val="14"/>
                <w:szCs w:val="18"/>
              </w:rPr>
              <w:t>Te Manatū Waka – Ministry of Transport</w:t>
            </w:r>
          </w:p>
        </w:tc>
        <w:tc>
          <w:tcPr>
            <w:tcW w:w="851" w:type="dxa"/>
          </w:tcPr>
          <w:p w14:paraId="037B192F"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tcPr>
          <w:p w14:paraId="2481D1FA"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tcPr>
          <w:p w14:paraId="23613C9D"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6709EC" w:rsidRPr="00BD16B4" w14:paraId="76702DDA" w14:textId="77777777" w:rsidTr="006709EC">
        <w:tc>
          <w:tcPr>
            <w:tcW w:w="1632" w:type="dxa"/>
          </w:tcPr>
          <w:p w14:paraId="2DF0F119" w14:textId="77777777" w:rsidR="00CA1920" w:rsidRPr="00BD16B4" w:rsidRDefault="00CA1920" w:rsidP="002D166E">
            <w:pPr>
              <w:pStyle w:val="TableText"/>
              <w:spacing w:before="40" w:after="40" w:line="240" w:lineRule="auto"/>
              <w:rPr>
                <w:sz w:val="14"/>
                <w:szCs w:val="18"/>
              </w:rPr>
            </w:pPr>
            <w:r w:rsidRPr="00BD16B4">
              <w:rPr>
                <w:sz w:val="14"/>
                <w:szCs w:val="18"/>
              </w:rPr>
              <w:t xml:space="preserve">Sustainable Biofuels Obligation </w:t>
            </w:r>
          </w:p>
        </w:tc>
        <w:tc>
          <w:tcPr>
            <w:tcW w:w="1316" w:type="dxa"/>
          </w:tcPr>
          <w:p w14:paraId="0F5E1511" w14:textId="77777777" w:rsidR="00CA1920" w:rsidRPr="00BD16B4" w:rsidRDefault="00CA1920" w:rsidP="002D166E">
            <w:pPr>
              <w:pStyle w:val="TableText"/>
              <w:spacing w:before="40" w:after="40" w:line="240" w:lineRule="auto"/>
              <w:rPr>
                <w:sz w:val="14"/>
                <w:szCs w:val="18"/>
              </w:rPr>
            </w:pPr>
            <w:r w:rsidRPr="00BD16B4">
              <w:rPr>
                <w:sz w:val="14"/>
                <w:szCs w:val="18"/>
              </w:rPr>
              <w:t>Transport</w:t>
            </w:r>
          </w:p>
        </w:tc>
        <w:tc>
          <w:tcPr>
            <w:tcW w:w="567" w:type="dxa"/>
          </w:tcPr>
          <w:p w14:paraId="275ADD82" w14:textId="77777777" w:rsidR="00CA1920" w:rsidRPr="00BD16B4" w:rsidRDefault="00CA1920" w:rsidP="002D166E">
            <w:pPr>
              <w:pStyle w:val="TableText"/>
              <w:spacing w:before="40" w:after="40" w:line="240" w:lineRule="auto"/>
              <w:rPr>
                <w:sz w:val="14"/>
                <w:szCs w:val="18"/>
              </w:rPr>
            </w:pPr>
            <w:r w:rsidRPr="00BD16B4">
              <w:rPr>
                <w:sz w:val="14"/>
                <w:szCs w:val="18"/>
              </w:rPr>
              <w:t>CO</w:t>
            </w:r>
            <w:r w:rsidRPr="00BD16B4">
              <w:rPr>
                <w:sz w:val="14"/>
                <w:szCs w:val="18"/>
                <w:vertAlign w:val="subscript"/>
              </w:rPr>
              <w:t>2</w:t>
            </w:r>
          </w:p>
        </w:tc>
        <w:tc>
          <w:tcPr>
            <w:tcW w:w="1701" w:type="dxa"/>
          </w:tcPr>
          <w:p w14:paraId="63F07DC5" w14:textId="77777777" w:rsidR="00CA1920" w:rsidRPr="00BD16B4" w:rsidRDefault="00CA1920" w:rsidP="002D166E">
            <w:pPr>
              <w:pStyle w:val="TableText"/>
              <w:spacing w:before="40" w:after="40" w:line="240" w:lineRule="auto"/>
              <w:rPr>
                <w:sz w:val="14"/>
                <w:szCs w:val="18"/>
              </w:rPr>
            </w:pPr>
            <w:r w:rsidRPr="00BD16B4">
              <w:rPr>
                <w:sz w:val="14"/>
                <w:szCs w:val="18"/>
              </w:rPr>
              <w:t>Help overcome the cost and risk barriers to sustainable biofuels uptake.</w:t>
            </w:r>
          </w:p>
        </w:tc>
        <w:tc>
          <w:tcPr>
            <w:tcW w:w="1134" w:type="dxa"/>
          </w:tcPr>
          <w:p w14:paraId="1C15DB97" w14:textId="77777777" w:rsidR="00CA1920" w:rsidRPr="00BD16B4" w:rsidRDefault="00CA1920" w:rsidP="002D166E">
            <w:pPr>
              <w:pStyle w:val="TableText"/>
              <w:spacing w:before="40" w:after="40" w:line="240" w:lineRule="auto"/>
              <w:rPr>
                <w:sz w:val="14"/>
                <w:szCs w:val="18"/>
              </w:rPr>
            </w:pPr>
            <w:r w:rsidRPr="00BD16B4">
              <w:rPr>
                <w:sz w:val="14"/>
                <w:szCs w:val="18"/>
              </w:rPr>
              <w:t>Regulatory</w:t>
            </w:r>
          </w:p>
        </w:tc>
        <w:tc>
          <w:tcPr>
            <w:tcW w:w="992" w:type="dxa"/>
          </w:tcPr>
          <w:p w14:paraId="0D95EE59" w14:textId="77777777" w:rsidR="00CA1920" w:rsidRPr="00BD16B4" w:rsidRDefault="00CA1920" w:rsidP="002D166E">
            <w:pPr>
              <w:pStyle w:val="TableText"/>
              <w:spacing w:before="40" w:after="40" w:line="240" w:lineRule="auto"/>
              <w:rPr>
                <w:sz w:val="14"/>
                <w:szCs w:val="18"/>
              </w:rPr>
            </w:pPr>
            <w:r w:rsidRPr="00BD16B4">
              <w:rPr>
                <w:sz w:val="14"/>
                <w:szCs w:val="18"/>
              </w:rPr>
              <w:t>Planned</w:t>
            </w:r>
          </w:p>
        </w:tc>
        <w:tc>
          <w:tcPr>
            <w:tcW w:w="2410" w:type="dxa"/>
          </w:tcPr>
          <w:p w14:paraId="4BE5928A" w14:textId="77777777" w:rsidR="00CA1920" w:rsidRPr="00BD16B4" w:rsidRDefault="00CA1920" w:rsidP="002D166E">
            <w:pPr>
              <w:spacing w:before="40" w:after="40" w:line="240" w:lineRule="auto"/>
              <w:jc w:val="left"/>
              <w:rPr>
                <w:sz w:val="14"/>
                <w:szCs w:val="18"/>
              </w:rPr>
            </w:pPr>
            <w:r w:rsidRPr="00BD16B4">
              <w:rPr>
                <w:sz w:val="14"/>
                <w:szCs w:val="18"/>
              </w:rPr>
              <w:t>The Sustainable Biofuels Obligation will require fuel suppliers that purchase or import fuel for use in Aotearoa to reduce the total emissions of the fuels they sell by a set percentage each year through the deployment of sustainable biofuels.</w:t>
            </w:r>
          </w:p>
        </w:tc>
        <w:tc>
          <w:tcPr>
            <w:tcW w:w="567" w:type="dxa"/>
          </w:tcPr>
          <w:p w14:paraId="4133998A" w14:textId="77777777" w:rsidR="00CA1920" w:rsidRPr="00BD16B4" w:rsidRDefault="00CA1920" w:rsidP="002D166E">
            <w:pPr>
              <w:pStyle w:val="TableText"/>
              <w:spacing w:before="40" w:after="40" w:line="240" w:lineRule="auto"/>
              <w:rPr>
                <w:sz w:val="14"/>
                <w:szCs w:val="18"/>
              </w:rPr>
            </w:pPr>
            <w:r w:rsidRPr="00BD16B4">
              <w:rPr>
                <w:sz w:val="14"/>
                <w:szCs w:val="18"/>
              </w:rPr>
              <w:t>2024</w:t>
            </w:r>
          </w:p>
        </w:tc>
        <w:tc>
          <w:tcPr>
            <w:tcW w:w="1701" w:type="dxa"/>
          </w:tcPr>
          <w:p w14:paraId="73962210" w14:textId="77777777" w:rsidR="00CA1920" w:rsidRPr="00BD16B4" w:rsidRDefault="00CA1920" w:rsidP="002D166E">
            <w:pPr>
              <w:pStyle w:val="TableText"/>
              <w:spacing w:before="40" w:after="40" w:line="240" w:lineRule="auto"/>
              <w:rPr>
                <w:sz w:val="14"/>
                <w:szCs w:val="18"/>
              </w:rPr>
            </w:pPr>
            <w:r w:rsidRPr="00BD16B4">
              <w:rPr>
                <w:sz w:val="14"/>
                <w:szCs w:val="18"/>
              </w:rPr>
              <w:t>Te Manatū Waka – Ministry of Transport and Ministry of Business, Innovation and Employment; Environmental Protection Agency as regulatory agency</w:t>
            </w:r>
          </w:p>
        </w:tc>
        <w:tc>
          <w:tcPr>
            <w:tcW w:w="851" w:type="dxa"/>
          </w:tcPr>
          <w:p w14:paraId="61A5C555"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513</w:t>
            </w:r>
          </w:p>
        </w:tc>
        <w:tc>
          <w:tcPr>
            <w:tcW w:w="850" w:type="dxa"/>
          </w:tcPr>
          <w:p w14:paraId="2F904218"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659</w:t>
            </w:r>
          </w:p>
        </w:tc>
        <w:tc>
          <w:tcPr>
            <w:tcW w:w="851" w:type="dxa"/>
          </w:tcPr>
          <w:p w14:paraId="4C4461FE"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1,001</w:t>
            </w:r>
          </w:p>
        </w:tc>
      </w:tr>
      <w:tr w:rsidR="00CA1920" w:rsidRPr="00BD16B4" w14:paraId="2527E5CE" w14:textId="77777777" w:rsidTr="000A136D">
        <w:tc>
          <w:tcPr>
            <w:tcW w:w="14572" w:type="dxa"/>
            <w:gridSpan w:val="12"/>
            <w:shd w:val="clear" w:color="auto" w:fill="D2DDE1" w:themeFill="background2"/>
          </w:tcPr>
          <w:p w14:paraId="489C0991" w14:textId="77777777" w:rsidR="00CA1920" w:rsidRPr="00BD16B4" w:rsidRDefault="00CA1920" w:rsidP="005173B2">
            <w:pPr>
              <w:pStyle w:val="TableText"/>
              <w:keepNext/>
              <w:spacing w:before="40" w:after="40" w:line="240" w:lineRule="auto"/>
              <w:rPr>
                <w:rFonts w:cs="Calibri"/>
                <w:b/>
                <w:bCs/>
                <w:sz w:val="14"/>
                <w:szCs w:val="14"/>
              </w:rPr>
            </w:pPr>
            <w:r w:rsidRPr="00BD16B4">
              <w:rPr>
                <w:rFonts w:cs="Calibri"/>
                <w:b/>
                <w:bCs/>
                <w:sz w:val="14"/>
                <w:szCs w:val="14"/>
              </w:rPr>
              <w:t>Transport: Cross-cutting measures to contribute to the delivery of a low-emissions transport system</w:t>
            </w:r>
          </w:p>
        </w:tc>
      </w:tr>
      <w:tr w:rsidR="006709EC" w:rsidRPr="00BD16B4" w14:paraId="1293BA80" w14:textId="77777777" w:rsidTr="006709EC">
        <w:tc>
          <w:tcPr>
            <w:tcW w:w="1632" w:type="dxa"/>
          </w:tcPr>
          <w:p w14:paraId="06A7D96B" w14:textId="77777777" w:rsidR="00CA1920" w:rsidRPr="00BD16B4" w:rsidRDefault="00CA1920" w:rsidP="002D166E">
            <w:pPr>
              <w:pStyle w:val="TableText"/>
              <w:spacing w:before="40" w:after="40" w:line="240" w:lineRule="auto"/>
              <w:rPr>
                <w:sz w:val="14"/>
                <w:szCs w:val="18"/>
              </w:rPr>
            </w:pPr>
            <w:r w:rsidRPr="00BD16B4">
              <w:rPr>
                <w:sz w:val="14"/>
                <w:szCs w:val="18"/>
              </w:rPr>
              <w:t>Government Policy Statement (GPS) on Land Transport 2021</w:t>
            </w:r>
          </w:p>
        </w:tc>
        <w:tc>
          <w:tcPr>
            <w:tcW w:w="1316" w:type="dxa"/>
          </w:tcPr>
          <w:p w14:paraId="704C9F95" w14:textId="77777777" w:rsidR="00CA1920" w:rsidRPr="00BD16B4" w:rsidRDefault="00CA1920" w:rsidP="002D166E">
            <w:pPr>
              <w:pStyle w:val="TableText"/>
              <w:spacing w:before="40" w:after="40" w:line="240" w:lineRule="auto"/>
              <w:rPr>
                <w:sz w:val="14"/>
                <w:szCs w:val="18"/>
              </w:rPr>
            </w:pPr>
            <w:r w:rsidRPr="00BD16B4">
              <w:rPr>
                <w:sz w:val="14"/>
                <w:szCs w:val="18"/>
              </w:rPr>
              <w:t>Transport</w:t>
            </w:r>
          </w:p>
        </w:tc>
        <w:tc>
          <w:tcPr>
            <w:tcW w:w="567" w:type="dxa"/>
          </w:tcPr>
          <w:p w14:paraId="4692FC6F" w14:textId="77777777" w:rsidR="00CA1920" w:rsidRPr="00BD16B4" w:rsidRDefault="00CA1920" w:rsidP="002D166E">
            <w:pPr>
              <w:pStyle w:val="TableText"/>
              <w:spacing w:before="40" w:after="40" w:line="240" w:lineRule="auto"/>
              <w:rPr>
                <w:sz w:val="14"/>
                <w:szCs w:val="18"/>
              </w:rPr>
            </w:pPr>
            <w:r w:rsidRPr="00BD16B4">
              <w:rPr>
                <w:sz w:val="14"/>
                <w:szCs w:val="18"/>
              </w:rPr>
              <w:t>CO</w:t>
            </w:r>
            <w:r w:rsidRPr="00BD16B4">
              <w:rPr>
                <w:sz w:val="14"/>
                <w:szCs w:val="18"/>
                <w:vertAlign w:val="subscript"/>
              </w:rPr>
              <w:t>2</w:t>
            </w:r>
          </w:p>
        </w:tc>
        <w:tc>
          <w:tcPr>
            <w:tcW w:w="1701" w:type="dxa"/>
          </w:tcPr>
          <w:p w14:paraId="0FEAF7FB" w14:textId="77777777" w:rsidR="00CA1920" w:rsidRPr="00BD16B4" w:rsidRDefault="00CA1920" w:rsidP="002D166E">
            <w:pPr>
              <w:pStyle w:val="TableText"/>
              <w:spacing w:before="40" w:after="40" w:line="240" w:lineRule="auto"/>
              <w:rPr>
                <w:sz w:val="14"/>
                <w:szCs w:val="18"/>
              </w:rPr>
            </w:pPr>
            <w:r w:rsidRPr="00BD16B4">
              <w:rPr>
                <w:sz w:val="14"/>
                <w:szCs w:val="18"/>
              </w:rPr>
              <w:t>Invest in rail, public transport and active modes of transport to mitigate emissions and avoid further increases.</w:t>
            </w:r>
          </w:p>
        </w:tc>
        <w:tc>
          <w:tcPr>
            <w:tcW w:w="1134" w:type="dxa"/>
          </w:tcPr>
          <w:p w14:paraId="443820DD" w14:textId="77777777" w:rsidR="00CA1920" w:rsidRPr="00BD16B4" w:rsidRDefault="00CA1920" w:rsidP="002D166E">
            <w:pPr>
              <w:pStyle w:val="TableText"/>
              <w:spacing w:before="40" w:after="40" w:line="240" w:lineRule="auto"/>
              <w:rPr>
                <w:sz w:val="14"/>
                <w:szCs w:val="18"/>
              </w:rPr>
            </w:pPr>
            <w:r w:rsidRPr="00BD16B4">
              <w:rPr>
                <w:sz w:val="14"/>
                <w:szCs w:val="18"/>
              </w:rPr>
              <w:t>Regulatory, fiscal</w:t>
            </w:r>
          </w:p>
        </w:tc>
        <w:tc>
          <w:tcPr>
            <w:tcW w:w="992" w:type="dxa"/>
          </w:tcPr>
          <w:p w14:paraId="38519F78" w14:textId="77777777" w:rsidR="00CA1920" w:rsidRPr="00BD16B4" w:rsidRDefault="00CA1920" w:rsidP="002D166E">
            <w:pPr>
              <w:pStyle w:val="TableText"/>
              <w:spacing w:before="40" w:after="40" w:line="240" w:lineRule="auto"/>
              <w:rPr>
                <w:sz w:val="14"/>
                <w:szCs w:val="18"/>
              </w:rPr>
            </w:pPr>
            <w:r w:rsidRPr="00BD16B4">
              <w:rPr>
                <w:sz w:val="14"/>
                <w:szCs w:val="18"/>
              </w:rPr>
              <w:t>Implemented</w:t>
            </w:r>
          </w:p>
        </w:tc>
        <w:tc>
          <w:tcPr>
            <w:tcW w:w="2410" w:type="dxa"/>
          </w:tcPr>
          <w:p w14:paraId="2E5F88A0" w14:textId="77777777" w:rsidR="00CA1920" w:rsidRPr="00BD16B4" w:rsidRDefault="00CA1920" w:rsidP="002D166E">
            <w:pPr>
              <w:spacing w:before="40" w:after="40" w:line="240" w:lineRule="auto"/>
              <w:jc w:val="left"/>
              <w:rPr>
                <w:sz w:val="14"/>
                <w:szCs w:val="18"/>
              </w:rPr>
            </w:pPr>
            <w:r w:rsidRPr="00BD16B4">
              <w:rPr>
                <w:sz w:val="14"/>
                <w:szCs w:val="18"/>
              </w:rPr>
              <w:t>The GPS on land transport sets the Government’s priorities for land transport investment over a 10-year period. It also sets out how money from the National Land Transport Fund is spent on activities such as public transport, state highway improvements, local roads and road safety.</w:t>
            </w:r>
          </w:p>
        </w:tc>
        <w:tc>
          <w:tcPr>
            <w:tcW w:w="567" w:type="dxa"/>
          </w:tcPr>
          <w:p w14:paraId="22092749" w14:textId="77777777" w:rsidR="00CA1920" w:rsidRPr="00BD16B4" w:rsidRDefault="00CA1920" w:rsidP="002D166E">
            <w:pPr>
              <w:pStyle w:val="TableText"/>
              <w:spacing w:before="40" w:after="40" w:line="240" w:lineRule="auto"/>
              <w:rPr>
                <w:sz w:val="14"/>
                <w:szCs w:val="18"/>
              </w:rPr>
            </w:pPr>
            <w:r w:rsidRPr="00BD16B4">
              <w:rPr>
                <w:sz w:val="14"/>
                <w:szCs w:val="18"/>
              </w:rPr>
              <w:t>2021</w:t>
            </w:r>
          </w:p>
        </w:tc>
        <w:tc>
          <w:tcPr>
            <w:tcW w:w="1701" w:type="dxa"/>
          </w:tcPr>
          <w:p w14:paraId="5434E818" w14:textId="77777777" w:rsidR="00CA1920" w:rsidRPr="00BD16B4" w:rsidRDefault="00CA1920" w:rsidP="002D166E">
            <w:pPr>
              <w:pStyle w:val="TableText"/>
              <w:spacing w:before="40" w:after="40" w:line="240" w:lineRule="auto"/>
              <w:rPr>
                <w:sz w:val="14"/>
                <w:szCs w:val="18"/>
              </w:rPr>
            </w:pPr>
            <w:r w:rsidRPr="00BD16B4">
              <w:rPr>
                <w:sz w:val="14"/>
                <w:szCs w:val="18"/>
              </w:rPr>
              <w:t>Te Manatū Waka – Ministry of Transport, Waka Kotahi</w:t>
            </w:r>
          </w:p>
        </w:tc>
        <w:tc>
          <w:tcPr>
            <w:tcW w:w="851" w:type="dxa"/>
          </w:tcPr>
          <w:p w14:paraId="0CB8D2FD"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tcPr>
          <w:p w14:paraId="2982E776"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tcPr>
          <w:p w14:paraId="1DF67282"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CA1920" w:rsidRPr="00BD16B4" w14:paraId="1BCCE2E5" w14:textId="77777777" w:rsidTr="000A136D">
        <w:tc>
          <w:tcPr>
            <w:tcW w:w="14572" w:type="dxa"/>
            <w:gridSpan w:val="12"/>
            <w:shd w:val="clear" w:color="auto" w:fill="D2DDE1" w:themeFill="background2"/>
          </w:tcPr>
          <w:p w14:paraId="486668BC" w14:textId="77777777" w:rsidR="00CA1920" w:rsidRPr="00BD16B4" w:rsidRDefault="00CA1920" w:rsidP="008038E4">
            <w:pPr>
              <w:pStyle w:val="TableText"/>
              <w:keepNext/>
              <w:spacing w:before="40" w:after="40" w:line="240" w:lineRule="auto"/>
              <w:rPr>
                <w:rFonts w:cs="Calibri"/>
                <w:b/>
                <w:bCs/>
                <w:sz w:val="14"/>
                <w:szCs w:val="14"/>
              </w:rPr>
            </w:pPr>
            <w:r w:rsidRPr="00BD16B4">
              <w:rPr>
                <w:rFonts w:cs="Calibri"/>
                <w:b/>
                <w:bCs/>
                <w:sz w:val="14"/>
                <w:szCs w:val="14"/>
              </w:rPr>
              <w:lastRenderedPageBreak/>
              <w:t>Industry</w:t>
            </w:r>
          </w:p>
        </w:tc>
      </w:tr>
      <w:tr w:rsidR="006709EC" w:rsidRPr="00BD16B4" w14:paraId="42F3C564" w14:textId="77777777" w:rsidTr="006709EC">
        <w:tc>
          <w:tcPr>
            <w:tcW w:w="1632" w:type="dxa"/>
          </w:tcPr>
          <w:p w14:paraId="1E292291" w14:textId="77777777" w:rsidR="00CA1920" w:rsidRPr="00BD16B4" w:rsidRDefault="00CA1920" w:rsidP="008038E4">
            <w:pPr>
              <w:pStyle w:val="TableText"/>
              <w:keepNext/>
              <w:spacing w:before="40" w:after="40" w:line="240" w:lineRule="auto"/>
              <w:rPr>
                <w:sz w:val="14"/>
                <w:szCs w:val="18"/>
              </w:rPr>
            </w:pPr>
            <w:r w:rsidRPr="00BD16B4">
              <w:rPr>
                <w:sz w:val="14"/>
                <w:szCs w:val="18"/>
              </w:rPr>
              <w:t>Kigali Amendment to the Montreal Protocol</w:t>
            </w:r>
          </w:p>
        </w:tc>
        <w:tc>
          <w:tcPr>
            <w:tcW w:w="1316" w:type="dxa"/>
          </w:tcPr>
          <w:p w14:paraId="2B1FD112" w14:textId="77777777" w:rsidR="00CA1920" w:rsidRPr="00BD16B4" w:rsidRDefault="00CA1920" w:rsidP="002D166E">
            <w:pPr>
              <w:pStyle w:val="TableText"/>
              <w:spacing w:before="40" w:after="40" w:line="240" w:lineRule="auto"/>
              <w:rPr>
                <w:sz w:val="14"/>
                <w:szCs w:val="18"/>
              </w:rPr>
            </w:pPr>
            <w:r w:rsidRPr="00BD16B4">
              <w:rPr>
                <w:sz w:val="14"/>
                <w:szCs w:val="18"/>
              </w:rPr>
              <w:t>IPPU</w:t>
            </w:r>
          </w:p>
        </w:tc>
        <w:tc>
          <w:tcPr>
            <w:tcW w:w="567" w:type="dxa"/>
          </w:tcPr>
          <w:p w14:paraId="7EA46272" w14:textId="77777777" w:rsidR="00CA1920" w:rsidRPr="00BD16B4" w:rsidRDefault="00CA1920" w:rsidP="002D166E">
            <w:pPr>
              <w:pStyle w:val="TableText"/>
              <w:spacing w:before="40" w:after="40" w:line="240" w:lineRule="auto"/>
              <w:rPr>
                <w:sz w:val="14"/>
                <w:szCs w:val="18"/>
              </w:rPr>
            </w:pPr>
            <w:r w:rsidRPr="00BD16B4">
              <w:rPr>
                <w:sz w:val="14"/>
                <w:szCs w:val="18"/>
              </w:rPr>
              <w:t>HFCs</w:t>
            </w:r>
          </w:p>
        </w:tc>
        <w:tc>
          <w:tcPr>
            <w:tcW w:w="1701" w:type="dxa"/>
          </w:tcPr>
          <w:p w14:paraId="0361B77D" w14:textId="77777777" w:rsidR="00CA1920" w:rsidRPr="00BD16B4" w:rsidRDefault="00CA1920" w:rsidP="002D166E">
            <w:pPr>
              <w:pStyle w:val="TableText"/>
              <w:spacing w:before="40" w:after="40" w:line="240" w:lineRule="auto"/>
              <w:rPr>
                <w:sz w:val="14"/>
                <w:szCs w:val="18"/>
              </w:rPr>
            </w:pPr>
            <w:r w:rsidRPr="00BD16B4">
              <w:rPr>
                <w:sz w:val="14"/>
                <w:szCs w:val="18"/>
              </w:rPr>
              <w:t>Phase-down of consumption of HFC gases.</w:t>
            </w:r>
          </w:p>
        </w:tc>
        <w:tc>
          <w:tcPr>
            <w:tcW w:w="1134" w:type="dxa"/>
          </w:tcPr>
          <w:p w14:paraId="56C8E47D" w14:textId="77777777" w:rsidR="00CA1920" w:rsidRPr="00BD16B4" w:rsidRDefault="00CA1920" w:rsidP="002D166E">
            <w:pPr>
              <w:pStyle w:val="TableText"/>
              <w:spacing w:before="40" w:after="40" w:line="240" w:lineRule="auto"/>
              <w:rPr>
                <w:sz w:val="14"/>
                <w:szCs w:val="18"/>
              </w:rPr>
            </w:pPr>
            <w:r w:rsidRPr="00BD16B4">
              <w:rPr>
                <w:sz w:val="14"/>
                <w:szCs w:val="18"/>
              </w:rPr>
              <w:t>Regulatory</w:t>
            </w:r>
          </w:p>
        </w:tc>
        <w:tc>
          <w:tcPr>
            <w:tcW w:w="992" w:type="dxa"/>
          </w:tcPr>
          <w:p w14:paraId="73F28472" w14:textId="468F9CF6" w:rsidR="00CA1920" w:rsidRPr="00BD16B4" w:rsidRDefault="00CA1920" w:rsidP="002D166E">
            <w:pPr>
              <w:pStyle w:val="TableText"/>
              <w:spacing w:before="40" w:after="40" w:line="240" w:lineRule="auto"/>
              <w:rPr>
                <w:sz w:val="14"/>
                <w:szCs w:val="18"/>
              </w:rPr>
            </w:pPr>
            <w:r w:rsidRPr="00BD16B4">
              <w:rPr>
                <w:sz w:val="14"/>
                <w:szCs w:val="18"/>
              </w:rPr>
              <w:t>Implemented (WEM)</w:t>
            </w:r>
          </w:p>
        </w:tc>
        <w:tc>
          <w:tcPr>
            <w:tcW w:w="2410" w:type="dxa"/>
          </w:tcPr>
          <w:p w14:paraId="39CFFEFA" w14:textId="77777777" w:rsidR="00CA1920" w:rsidRPr="00BD16B4" w:rsidRDefault="00CA1920" w:rsidP="002D166E">
            <w:pPr>
              <w:spacing w:before="40" w:after="40" w:line="240" w:lineRule="auto"/>
              <w:jc w:val="left"/>
              <w:rPr>
                <w:sz w:val="14"/>
                <w:szCs w:val="18"/>
              </w:rPr>
            </w:pPr>
            <w:r w:rsidRPr="00BD16B4">
              <w:rPr>
                <w:sz w:val="14"/>
                <w:szCs w:val="18"/>
              </w:rPr>
              <w:t>Staged phase-down on consumption (production, importation and exportation) of bulk HFCs.</w:t>
            </w:r>
          </w:p>
        </w:tc>
        <w:tc>
          <w:tcPr>
            <w:tcW w:w="567" w:type="dxa"/>
          </w:tcPr>
          <w:p w14:paraId="7B759682" w14:textId="77777777" w:rsidR="00CA1920" w:rsidRPr="00BD16B4" w:rsidRDefault="00CA1920" w:rsidP="002D166E">
            <w:pPr>
              <w:pStyle w:val="TableText"/>
              <w:spacing w:before="40" w:after="40" w:line="240" w:lineRule="auto"/>
              <w:rPr>
                <w:sz w:val="14"/>
                <w:szCs w:val="18"/>
              </w:rPr>
            </w:pPr>
            <w:r w:rsidRPr="00BD16B4">
              <w:rPr>
                <w:sz w:val="14"/>
                <w:szCs w:val="18"/>
              </w:rPr>
              <w:t>2020</w:t>
            </w:r>
          </w:p>
        </w:tc>
        <w:tc>
          <w:tcPr>
            <w:tcW w:w="1701" w:type="dxa"/>
          </w:tcPr>
          <w:p w14:paraId="691BE353" w14:textId="77777777" w:rsidR="00CA1920" w:rsidRPr="00BD16B4" w:rsidRDefault="00CA1920" w:rsidP="002D166E">
            <w:pPr>
              <w:pStyle w:val="TableText"/>
              <w:spacing w:before="40" w:after="40" w:line="240" w:lineRule="auto"/>
              <w:rPr>
                <w:sz w:val="14"/>
                <w:szCs w:val="18"/>
              </w:rPr>
            </w:pPr>
            <w:r w:rsidRPr="00BD16B4">
              <w:rPr>
                <w:sz w:val="14"/>
                <w:szCs w:val="18"/>
              </w:rPr>
              <w:t>Ministry for the Environment</w:t>
            </w:r>
          </w:p>
        </w:tc>
        <w:tc>
          <w:tcPr>
            <w:tcW w:w="851" w:type="dxa"/>
          </w:tcPr>
          <w:p w14:paraId="6DECC8C8"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c>
          <w:tcPr>
            <w:tcW w:w="850" w:type="dxa"/>
          </w:tcPr>
          <w:p w14:paraId="2FDF947F"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tcPr>
          <w:p w14:paraId="2F509F15"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6709EC" w:rsidRPr="00BD16B4" w14:paraId="03467560" w14:textId="77777777" w:rsidTr="006709EC">
        <w:tc>
          <w:tcPr>
            <w:tcW w:w="1632" w:type="dxa"/>
          </w:tcPr>
          <w:p w14:paraId="1CE86239" w14:textId="77777777" w:rsidR="00CA1920" w:rsidRPr="00BD16B4" w:rsidRDefault="00CA1920" w:rsidP="002D166E">
            <w:pPr>
              <w:pStyle w:val="TableText"/>
              <w:spacing w:before="40" w:after="40" w:line="240" w:lineRule="auto"/>
              <w:rPr>
                <w:sz w:val="14"/>
                <w:szCs w:val="18"/>
              </w:rPr>
            </w:pPr>
            <w:r w:rsidRPr="00BD16B4">
              <w:rPr>
                <w:rFonts w:asciiTheme="minorHAnsi" w:hAnsiTheme="minorHAnsi" w:cstheme="minorHAnsi"/>
                <w:sz w:val="14"/>
                <w:szCs w:val="14"/>
              </w:rPr>
              <w:t>Proposals to prohibit import and sale of pre-charged equipment containing HFCs</w:t>
            </w:r>
          </w:p>
        </w:tc>
        <w:tc>
          <w:tcPr>
            <w:tcW w:w="1316" w:type="dxa"/>
          </w:tcPr>
          <w:p w14:paraId="1A0CF6D5" w14:textId="77777777" w:rsidR="00CA1920" w:rsidRPr="00BD16B4" w:rsidRDefault="00CA1920" w:rsidP="002D166E">
            <w:pPr>
              <w:pStyle w:val="TableText"/>
              <w:spacing w:before="40" w:after="40" w:line="240" w:lineRule="auto"/>
              <w:rPr>
                <w:sz w:val="14"/>
                <w:szCs w:val="18"/>
              </w:rPr>
            </w:pPr>
            <w:r w:rsidRPr="00BD16B4">
              <w:rPr>
                <w:sz w:val="14"/>
                <w:szCs w:val="18"/>
              </w:rPr>
              <w:t>IPPU</w:t>
            </w:r>
          </w:p>
        </w:tc>
        <w:tc>
          <w:tcPr>
            <w:tcW w:w="567" w:type="dxa"/>
          </w:tcPr>
          <w:p w14:paraId="7E65FFD9" w14:textId="77777777" w:rsidR="00CA1920" w:rsidRPr="00BD16B4" w:rsidRDefault="00CA1920" w:rsidP="002D166E">
            <w:pPr>
              <w:pStyle w:val="TableText"/>
              <w:spacing w:before="40" w:after="40" w:line="240" w:lineRule="auto"/>
              <w:rPr>
                <w:sz w:val="14"/>
                <w:szCs w:val="18"/>
              </w:rPr>
            </w:pPr>
            <w:r w:rsidRPr="00BD16B4">
              <w:rPr>
                <w:sz w:val="14"/>
                <w:szCs w:val="18"/>
              </w:rPr>
              <w:t>HFCs</w:t>
            </w:r>
          </w:p>
        </w:tc>
        <w:tc>
          <w:tcPr>
            <w:tcW w:w="1701" w:type="dxa"/>
          </w:tcPr>
          <w:p w14:paraId="2A152A0F" w14:textId="77777777" w:rsidR="00CA1920" w:rsidRPr="00BD16B4" w:rsidRDefault="00CA1920" w:rsidP="002D166E">
            <w:pPr>
              <w:pStyle w:val="TableText"/>
              <w:spacing w:before="40" w:after="40" w:line="240" w:lineRule="auto"/>
              <w:rPr>
                <w:sz w:val="14"/>
                <w:szCs w:val="18"/>
              </w:rPr>
            </w:pPr>
            <w:r w:rsidRPr="00BD16B4">
              <w:rPr>
                <w:sz w:val="14"/>
                <w:szCs w:val="18"/>
              </w:rPr>
              <w:t xml:space="preserve">Reduce HFCs emissions by prohibiting their use where alternatives are available. </w:t>
            </w:r>
          </w:p>
        </w:tc>
        <w:tc>
          <w:tcPr>
            <w:tcW w:w="1134" w:type="dxa"/>
          </w:tcPr>
          <w:p w14:paraId="08FB4F9A" w14:textId="77777777" w:rsidR="00CA1920" w:rsidRPr="00BD16B4" w:rsidRDefault="00CA1920" w:rsidP="002D166E">
            <w:pPr>
              <w:pStyle w:val="TableText"/>
              <w:spacing w:before="40" w:after="40" w:line="240" w:lineRule="auto"/>
              <w:rPr>
                <w:sz w:val="14"/>
                <w:szCs w:val="18"/>
              </w:rPr>
            </w:pPr>
            <w:r w:rsidRPr="00BD16B4">
              <w:rPr>
                <w:sz w:val="14"/>
                <w:szCs w:val="18"/>
              </w:rPr>
              <w:t>Regulatory</w:t>
            </w:r>
          </w:p>
        </w:tc>
        <w:tc>
          <w:tcPr>
            <w:tcW w:w="992" w:type="dxa"/>
          </w:tcPr>
          <w:p w14:paraId="2C298BBB" w14:textId="77777777" w:rsidR="00CA1920" w:rsidRPr="00BD16B4" w:rsidRDefault="00CA1920" w:rsidP="002D166E">
            <w:pPr>
              <w:pStyle w:val="TableText"/>
              <w:spacing w:before="40" w:after="40" w:line="240" w:lineRule="auto"/>
              <w:rPr>
                <w:sz w:val="14"/>
                <w:szCs w:val="18"/>
              </w:rPr>
            </w:pPr>
            <w:r w:rsidRPr="00BD16B4">
              <w:rPr>
                <w:sz w:val="14"/>
                <w:szCs w:val="18"/>
              </w:rPr>
              <w:t>Planned (WAM)</w:t>
            </w:r>
          </w:p>
        </w:tc>
        <w:tc>
          <w:tcPr>
            <w:tcW w:w="2410" w:type="dxa"/>
          </w:tcPr>
          <w:p w14:paraId="50E25508" w14:textId="77777777" w:rsidR="00CA1920" w:rsidRPr="00BD16B4" w:rsidRDefault="00CA1920" w:rsidP="002D166E">
            <w:pPr>
              <w:spacing w:before="40" w:after="40" w:line="240" w:lineRule="auto"/>
              <w:jc w:val="left"/>
              <w:rPr>
                <w:sz w:val="14"/>
                <w:szCs w:val="18"/>
              </w:rPr>
            </w:pPr>
            <w:r w:rsidRPr="00BD16B4">
              <w:rPr>
                <w:sz w:val="14"/>
                <w:szCs w:val="18"/>
              </w:rPr>
              <w:t>Prohibiting the import and sale of pre-charged equipment containing HFCs in cases where alternatives are available.</w:t>
            </w:r>
          </w:p>
        </w:tc>
        <w:tc>
          <w:tcPr>
            <w:tcW w:w="567" w:type="dxa"/>
          </w:tcPr>
          <w:p w14:paraId="15E4F46B" w14:textId="77777777" w:rsidR="00CA1920" w:rsidRPr="00BD16B4" w:rsidRDefault="00CA1920" w:rsidP="002D166E">
            <w:pPr>
              <w:pStyle w:val="TableText"/>
              <w:spacing w:before="40" w:after="40" w:line="240" w:lineRule="auto"/>
              <w:rPr>
                <w:sz w:val="14"/>
                <w:szCs w:val="18"/>
              </w:rPr>
            </w:pPr>
            <w:r w:rsidRPr="00BD16B4">
              <w:rPr>
                <w:sz w:val="14"/>
                <w:szCs w:val="18"/>
              </w:rPr>
              <w:t>TBC</w:t>
            </w:r>
          </w:p>
        </w:tc>
        <w:tc>
          <w:tcPr>
            <w:tcW w:w="1701" w:type="dxa"/>
          </w:tcPr>
          <w:p w14:paraId="0B815E8D" w14:textId="77777777" w:rsidR="00CA1920" w:rsidRPr="00BD16B4" w:rsidRDefault="00CA1920" w:rsidP="002D166E">
            <w:pPr>
              <w:pStyle w:val="TableText"/>
              <w:spacing w:before="40" w:after="40" w:line="240" w:lineRule="auto"/>
              <w:rPr>
                <w:sz w:val="14"/>
                <w:szCs w:val="18"/>
              </w:rPr>
            </w:pPr>
            <w:r w:rsidRPr="00BD16B4">
              <w:rPr>
                <w:sz w:val="14"/>
                <w:szCs w:val="18"/>
              </w:rPr>
              <w:t>Ministry for the Environment</w:t>
            </w:r>
          </w:p>
        </w:tc>
        <w:tc>
          <w:tcPr>
            <w:tcW w:w="851" w:type="dxa"/>
          </w:tcPr>
          <w:p w14:paraId="7D150B1B" w14:textId="77777777" w:rsidR="00CA1920" w:rsidRPr="00BD16B4" w:rsidRDefault="00CA1920" w:rsidP="005173B2">
            <w:pPr>
              <w:pStyle w:val="TableText"/>
              <w:spacing w:before="40" w:after="40" w:line="240" w:lineRule="auto"/>
            </w:pPr>
            <w:r w:rsidRPr="00BD16B4">
              <w:t>NE</w:t>
            </w:r>
          </w:p>
        </w:tc>
        <w:tc>
          <w:tcPr>
            <w:tcW w:w="850" w:type="dxa"/>
          </w:tcPr>
          <w:p w14:paraId="2B57FA61" w14:textId="77777777" w:rsidR="00CA1920" w:rsidRPr="00BD16B4" w:rsidRDefault="00CA1920" w:rsidP="002D166E">
            <w:pPr>
              <w:pStyle w:val="TableText"/>
              <w:spacing w:before="40" w:after="40" w:line="240" w:lineRule="auto"/>
              <w:rPr>
                <w:rFonts w:cs="Calibri"/>
                <w:sz w:val="14"/>
                <w:szCs w:val="14"/>
              </w:rPr>
            </w:pPr>
            <w:r w:rsidRPr="00BD16B4">
              <w:rPr>
                <w:rFonts w:cs="Calibri"/>
                <w:sz w:val="14"/>
                <w:szCs w:val="14"/>
              </w:rPr>
              <w:t>NE</w:t>
            </w:r>
          </w:p>
        </w:tc>
        <w:tc>
          <w:tcPr>
            <w:tcW w:w="851" w:type="dxa"/>
          </w:tcPr>
          <w:p w14:paraId="692D208B" w14:textId="77777777" w:rsidR="00CA1920" w:rsidRPr="00BD16B4" w:rsidRDefault="00CA1920" w:rsidP="005173B2">
            <w:pPr>
              <w:pStyle w:val="TableText"/>
              <w:spacing w:before="40" w:after="40" w:line="240" w:lineRule="auto"/>
              <w:rPr>
                <w:rFonts w:cs="Calibri"/>
                <w:sz w:val="14"/>
                <w:szCs w:val="14"/>
              </w:rPr>
            </w:pPr>
            <w:r w:rsidRPr="00BD16B4">
              <w:rPr>
                <w:rFonts w:cs="Calibri"/>
                <w:sz w:val="14"/>
                <w:szCs w:val="14"/>
              </w:rPr>
              <w:t>NE</w:t>
            </w:r>
          </w:p>
        </w:tc>
      </w:tr>
      <w:tr w:rsidR="006709EC" w:rsidRPr="00BD16B4" w14:paraId="6F1D4CA4" w14:textId="77777777" w:rsidTr="006709EC">
        <w:tc>
          <w:tcPr>
            <w:tcW w:w="1632" w:type="dxa"/>
          </w:tcPr>
          <w:p w14:paraId="4111A789" w14:textId="77777777"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cs="Calibri"/>
                <w:color w:val="000000"/>
                <w:sz w:val="14"/>
                <w:szCs w:val="14"/>
              </w:rPr>
              <w:t>Action plan for decarbonising industry</w:t>
            </w:r>
          </w:p>
        </w:tc>
        <w:tc>
          <w:tcPr>
            <w:tcW w:w="1316" w:type="dxa"/>
          </w:tcPr>
          <w:p w14:paraId="5D550D6F" w14:textId="77777777" w:rsidR="00CA1920" w:rsidRPr="00BD16B4" w:rsidRDefault="00CA1920" w:rsidP="002D166E">
            <w:pPr>
              <w:pStyle w:val="TableText"/>
              <w:spacing w:before="40" w:after="40" w:line="240" w:lineRule="auto"/>
              <w:rPr>
                <w:sz w:val="14"/>
                <w:szCs w:val="18"/>
              </w:rPr>
            </w:pPr>
            <w:r w:rsidRPr="00BD16B4">
              <w:rPr>
                <w:rFonts w:cs="Calibri"/>
                <w:color w:val="000000"/>
                <w:sz w:val="14"/>
                <w:szCs w:val="14"/>
              </w:rPr>
              <w:t>Energy</w:t>
            </w:r>
          </w:p>
        </w:tc>
        <w:tc>
          <w:tcPr>
            <w:tcW w:w="567" w:type="dxa"/>
          </w:tcPr>
          <w:p w14:paraId="22F143ED" w14:textId="77777777" w:rsidR="00CA1920" w:rsidRPr="00BD16B4" w:rsidRDefault="00CA1920" w:rsidP="002D166E">
            <w:pPr>
              <w:pStyle w:val="TableText"/>
              <w:spacing w:before="40" w:after="40" w:line="240" w:lineRule="auto"/>
              <w:rPr>
                <w:sz w:val="14"/>
                <w:szCs w:val="18"/>
              </w:rPr>
            </w:pPr>
            <w:r w:rsidRPr="00BD16B4">
              <w:rPr>
                <w:rFonts w:cs="Calibri"/>
                <w:color w:val="000000"/>
                <w:sz w:val="14"/>
                <w:szCs w:val="14"/>
              </w:rPr>
              <w:t>CO</w:t>
            </w:r>
            <w:r w:rsidRPr="00BD16B4">
              <w:rPr>
                <w:rFonts w:cs="Calibri"/>
                <w:color w:val="000000"/>
                <w:sz w:val="14"/>
                <w:szCs w:val="14"/>
                <w:vertAlign w:val="subscript"/>
              </w:rPr>
              <w:t>2</w:t>
            </w:r>
          </w:p>
        </w:tc>
        <w:tc>
          <w:tcPr>
            <w:tcW w:w="1701" w:type="dxa"/>
          </w:tcPr>
          <w:p w14:paraId="1CC7A474" w14:textId="77777777" w:rsidR="00CA1920" w:rsidRPr="00BD16B4" w:rsidRDefault="00CA1920" w:rsidP="002D166E">
            <w:pPr>
              <w:pStyle w:val="TableText"/>
              <w:spacing w:before="40" w:after="40" w:line="240" w:lineRule="auto"/>
              <w:rPr>
                <w:sz w:val="14"/>
                <w:szCs w:val="18"/>
              </w:rPr>
            </w:pPr>
            <w:r w:rsidRPr="00BD16B4">
              <w:rPr>
                <w:rFonts w:cs="Calibri"/>
                <w:color w:val="000000"/>
                <w:sz w:val="14"/>
                <w:szCs w:val="14"/>
              </w:rPr>
              <w:t>Decarbonise industry.</w:t>
            </w:r>
          </w:p>
        </w:tc>
        <w:tc>
          <w:tcPr>
            <w:tcW w:w="1134" w:type="dxa"/>
          </w:tcPr>
          <w:p w14:paraId="31FCC950" w14:textId="77777777" w:rsidR="00CA1920" w:rsidRPr="00BD16B4" w:rsidRDefault="00CA1920" w:rsidP="002D166E">
            <w:pPr>
              <w:pStyle w:val="TableText"/>
              <w:spacing w:before="40" w:after="40" w:line="240" w:lineRule="auto"/>
              <w:rPr>
                <w:sz w:val="14"/>
                <w:szCs w:val="18"/>
              </w:rPr>
            </w:pPr>
            <w:r w:rsidRPr="00BD16B4">
              <w:rPr>
                <w:rFonts w:cs="Calibri"/>
                <w:sz w:val="14"/>
                <w:szCs w:val="14"/>
              </w:rPr>
              <w:t>Research, regulatory</w:t>
            </w:r>
          </w:p>
        </w:tc>
        <w:tc>
          <w:tcPr>
            <w:tcW w:w="992" w:type="dxa"/>
          </w:tcPr>
          <w:p w14:paraId="49C3CD5D" w14:textId="77777777" w:rsidR="00CA1920" w:rsidRPr="00BD16B4" w:rsidRDefault="00CA1920" w:rsidP="002D166E">
            <w:pPr>
              <w:pStyle w:val="TableText"/>
              <w:spacing w:before="40" w:after="40" w:line="240" w:lineRule="auto"/>
              <w:rPr>
                <w:sz w:val="14"/>
                <w:szCs w:val="18"/>
              </w:rPr>
            </w:pPr>
            <w:r w:rsidRPr="00BD16B4">
              <w:rPr>
                <w:rFonts w:cs="Calibri"/>
                <w:color w:val="000000"/>
                <w:sz w:val="14"/>
                <w:szCs w:val="14"/>
              </w:rPr>
              <w:t>Planned</w:t>
            </w:r>
          </w:p>
        </w:tc>
        <w:tc>
          <w:tcPr>
            <w:tcW w:w="2410" w:type="dxa"/>
          </w:tcPr>
          <w:p w14:paraId="77AA57AD" w14:textId="77777777" w:rsidR="00CA1920" w:rsidRPr="00BD16B4" w:rsidRDefault="00CA1920" w:rsidP="002D166E">
            <w:pPr>
              <w:spacing w:before="40" w:after="40" w:line="240" w:lineRule="auto"/>
              <w:jc w:val="left"/>
              <w:rPr>
                <w:sz w:val="14"/>
                <w:szCs w:val="18"/>
              </w:rPr>
            </w:pPr>
            <w:r w:rsidRPr="00BD16B4">
              <w:rPr>
                <w:rFonts w:cs="Calibri"/>
                <w:color w:val="000000"/>
                <w:sz w:val="14"/>
                <w:szCs w:val="14"/>
              </w:rPr>
              <w:t xml:space="preserve">The Government will set an action plan for decarbonising industry by the end of 2024. The plan will support existing industries to decarbonise and innovative low-emissions industries to grow. The plan will sit within the energy strategy to align with the broader approach for decarbonising the energy sector, including ensuring competitive energy prices and security of supply. </w:t>
            </w:r>
          </w:p>
        </w:tc>
        <w:tc>
          <w:tcPr>
            <w:tcW w:w="567" w:type="dxa"/>
          </w:tcPr>
          <w:p w14:paraId="5CF28174" w14:textId="77777777" w:rsidR="00CA1920" w:rsidRPr="00BD16B4" w:rsidRDefault="00CA1920" w:rsidP="002D166E">
            <w:pPr>
              <w:pStyle w:val="TableText"/>
              <w:spacing w:before="40" w:after="40" w:line="240" w:lineRule="auto"/>
              <w:rPr>
                <w:sz w:val="14"/>
                <w:szCs w:val="18"/>
                <w:highlight w:val="yellow"/>
              </w:rPr>
            </w:pPr>
            <w:r w:rsidRPr="00BD16B4">
              <w:rPr>
                <w:rFonts w:cs="Calibri"/>
                <w:sz w:val="14"/>
                <w:szCs w:val="14"/>
              </w:rPr>
              <w:t>2022</w:t>
            </w:r>
          </w:p>
        </w:tc>
        <w:tc>
          <w:tcPr>
            <w:tcW w:w="1701" w:type="dxa"/>
          </w:tcPr>
          <w:p w14:paraId="5E5D37D9" w14:textId="77777777" w:rsidR="00CA1920" w:rsidRPr="00BD16B4" w:rsidRDefault="00CA1920" w:rsidP="002D166E">
            <w:pPr>
              <w:pStyle w:val="TableText"/>
              <w:spacing w:before="40" w:after="40" w:line="240" w:lineRule="auto"/>
              <w:rPr>
                <w:sz w:val="14"/>
                <w:szCs w:val="18"/>
              </w:rPr>
            </w:pPr>
            <w:r w:rsidRPr="00BD16B4">
              <w:rPr>
                <w:rFonts w:cs="Calibri"/>
                <w:color w:val="000000"/>
                <w:sz w:val="14"/>
                <w:szCs w:val="14"/>
              </w:rPr>
              <w:t>Ministry of Business, Innovation and Employment</w:t>
            </w:r>
          </w:p>
        </w:tc>
        <w:tc>
          <w:tcPr>
            <w:tcW w:w="851" w:type="dxa"/>
          </w:tcPr>
          <w:p w14:paraId="39347193" w14:textId="77777777" w:rsidR="00CA1920" w:rsidRPr="00BD16B4" w:rsidRDefault="00CA1920" w:rsidP="005173B2">
            <w:pPr>
              <w:pStyle w:val="TableText"/>
              <w:spacing w:before="40" w:after="40" w:line="240" w:lineRule="auto"/>
            </w:pPr>
            <w:r w:rsidRPr="00BD16B4">
              <w:rPr>
                <w:rFonts w:cs="Calibri"/>
                <w:color w:val="000000"/>
                <w:sz w:val="14"/>
                <w:szCs w:val="14"/>
              </w:rPr>
              <w:t>NE</w:t>
            </w:r>
          </w:p>
        </w:tc>
        <w:tc>
          <w:tcPr>
            <w:tcW w:w="850" w:type="dxa"/>
          </w:tcPr>
          <w:p w14:paraId="2BF5E3E7" w14:textId="77777777" w:rsidR="00CA1920" w:rsidRPr="00BD16B4" w:rsidRDefault="00CA1920" w:rsidP="002D166E">
            <w:pPr>
              <w:pStyle w:val="TableText"/>
              <w:spacing w:before="40" w:after="40" w:line="240" w:lineRule="auto"/>
              <w:rPr>
                <w:rFonts w:cs="Calibri"/>
                <w:sz w:val="14"/>
                <w:szCs w:val="14"/>
              </w:rPr>
            </w:pPr>
            <w:r w:rsidRPr="00BD16B4">
              <w:rPr>
                <w:rFonts w:cs="Calibri"/>
                <w:color w:val="000000"/>
                <w:sz w:val="14"/>
                <w:szCs w:val="14"/>
              </w:rPr>
              <w:t>NE</w:t>
            </w:r>
          </w:p>
        </w:tc>
        <w:tc>
          <w:tcPr>
            <w:tcW w:w="851" w:type="dxa"/>
          </w:tcPr>
          <w:p w14:paraId="1334E40C" w14:textId="77777777" w:rsidR="00CA1920" w:rsidRPr="00BD16B4" w:rsidRDefault="00CA1920" w:rsidP="005173B2">
            <w:pPr>
              <w:pStyle w:val="TableText"/>
              <w:spacing w:before="40" w:after="40" w:line="240" w:lineRule="auto"/>
              <w:rPr>
                <w:rFonts w:cs="Calibri"/>
                <w:sz w:val="14"/>
                <w:szCs w:val="14"/>
              </w:rPr>
            </w:pPr>
            <w:r w:rsidRPr="00BD16B4">
              <w:rPr>
                <w:rFonts w:cs="Calibri"/>
                <w:color w:val="000000"/>
                <w:sz w:val="14"/>
                <w:szCs w:val="14"/>
              </w:rPr>
              <w:t>NE</w:t>
            </w:r>
          </w:p>
        </w:tc>
      </w:tr>
      <w:tr w:rsidR="00CA1920" w:rsidRPr="00BD16B4" w14:paraId="1B02A88C" w14:textId="77777777" w:rsidTr="000A136D">
        <w:tc>
          <w:tcPr>
            <w:tcW w:w="14572" w:type="dxa"/>
            <w:gridSpan w:val="12"/>
            <w:shd w:val="clear" w:color="auto" w:fill="D2DDE1" w:themeFill="background2"/>
          </w:tcPr>
          <w:p w14:paraId="521216D4" w14:textId="77777777" w:rsidR="00CA1920" w:rsidRPr="00BD16B4" w:rsidRDefault="00CA1920" w:rsidP="005173B2">
            <w:pPr>
              <w:pStyle w:val="TableText"/>
              <w:spacing w:before="40" w:after="40" w:line="240" w:lineRule="auto"/>
              <w:rPr>
                <w:rFonts w:cs="Calibri"/>
                <w:b/>
                <w:bCs/>
                <w:sz w:val="14"/>
                <w:szCs w:val="14"/>
              </w:rPr>
            </w:pPr>
            <w:r w:rsidRPr="00BD16B4">
              <w:rPr>
                <w:rFonts w:cs="Calibri"/>
                <w:b/>
                <w:bCs/>
                <w:sz w:val="14"/>
                <w:szCs w:val="14"/>
              </w:rPr>
              <w:t>Agriculture</w:t>
            </w:r>
          </w:p>
        </w:tc>
      </w:tr>
      <w:tr w:rsidR="006709EC" w:rsidRPr="00BD16B4" w14:paraId="0FA77EA1" w14:textId="77777777" w:rsidTr="006709EC">
        <w:tc>
          <w:tcPr>
            <w:tcW w:w="1632" w:type="dxa"/>
          </w:tcPr>
          <w:p w14:paraId="5008BB0E" w14:textId="77777777" w:rsidR="00CA1920" w:rsidRPr="00BD16B4" w:rsidRDefault="00CA1920" w:rsidP="002D166E">
            <w:pPr>
              <w:pStyle w:val="TableText"/>
              <w:spacing w:before="40" w:after="40" w:line="240" w:lineRule="auto"/>
              <w:rPr>
                <w:sz w:val="14"/>
                <w:szCs w:val="18"/>
              </w:rPr>
            </w:pPr>
            <w:r w:rsidRPr="00BD16B4">
              <w:rPr>
                <w:sz w:val="14"/>
                <w:szCs w:val="18"/>
              </w:rPr>
              <w:t xml:space="preserve">New Zealand Emissions Trading Scheme (NZ ETS) </w:t>
            </w:r>
          </w:p>
        </w:tc>
        <w:tc>
          <w:tcPr>
            <w:tcW w:w="1316" w:type="dxa"/>
          </w:tcPr>
          <w:p w14:paraId="79FCEAC3" w14:textId="77777777" w:rsidR="00CA1920" w:rsidRPr="00BD16B4" w:rsidRDefault="00CA1920" w:rsidP="002D166E">
            <w:pPr>
              <w:pStyle w:val="TableText"/>
              <w:spacing w:before="40" w:after="40" w:line="240" w:lineRule="auto"/>
              <w:rPr>
                <w:sz w:val="14"/>
                <w:szCs w:val="18"/>
              </w:rPr>
            </w:pPr>
            <w:r w:rsidRPr="00BD16B4">
              <w:rPr>
                <w:sz w:val="14"/>
                <w:szCs w:val="18"/>
              </w:rPr>
              <w:t>Agriculture</w:t>
            </w:r>
          </w:p>
        </w:tc>
        <w:tc>
          <w:tcPr>
            <w:tcW w:w="567" w:type="dxa"/>
          </w:tcPr>
          <w:p w14:paraId="76C74382" w14:textId="77777777" w:rsidR="00CA1920" w:rsidRPr="00BD16B4" w:rsidRDefault="00CA1920" w:rsidP="002D166E">
            <w:pPr>
              <w:pStyle w:val="TableText"/>
              <w:spacing w:before="40" w:after="40" w:line="240" w:lineRule="auto"/>
              <w:rPr>
                <w:sz w:val="14"/>
                <w:szCs w:val="18"/>
              </w:rPr>
            </w:pPr>
            <w:r w:rsidRPr="00BD16B4">
              <w:rPr>
                <w:sz w:val="14"/>
                <w:szCs w:val="18"/>
              </w:rPr>
              <w:t>CO</w:t>
            </w:r>
            <w:r w:rsidRPr="00BD16B4">
              <w:rPr>
                <w:sz w:val="14"/>
                <w:szCs w:val="18"/>
                <w:vertAlign w:val="subscript"/>
              </w:rPr>
              <w:t>2</w:t>
            </w:r>
            <w:r w:rsidRPr="00BD16B4">
              <w:rPr>
                <w:sz w:val="14"/>
                <w:szCs w:val="18"/>
              </w:rPr>
              <w:t>, CH</w:t>
            </w:r>
            <w:r w:rsidRPr="00BD16B4">
              <w:rPr>
                <w:sz w:val="14"/>
                <w:szCs w:val="18"/>
                <w:vertAlign w:val="subscript"/>
              </w:rPr>
              <w:t>4</w:t>
            </w:r>
            <w:r w:rsidRPr="00BD16B4">
              <w:rPr>
                <w:sz w:val="14"/>
                <w:szCs w:val="18"/>
              </w:rPr>
              <w:t>, N</w:t>
            </w:r>
            <w:r w:rsidRPr="00BD16B4">
              <w:rPr>
                <w:sz w:val="14"/>
                <w:szCs w:val="18"/>
                <w:vertAlign w:val="subscript"/>
              </w:rPr>
              <w:t>2</w:t>
            </w:r>
            <w:r w:rsidRPr="00BD16B4">
              <w:rPr>
                <w:sz w:val="14"/>
                <w:szCs w:val="18"/>
              </w:rPr>
              <w:t>O, PFCs, HFCs, SF</w:t>
            </w:r>
            <w:r w:rsidRPr="00BD16B4">
              <w:rPr>
                <w:sz w:val="14"/>
                <w:szCs w:val="18"/>
                <w:vertAlign w:val="subscript"/>
              </w:rPr>
              <w:t>6</w:t>
            </w:r>
          </w:p>
        </w:tc>
        <w:tc>
          <w:tcPr>
            <w:tcW w:w="1701" w:type="dxa"/>
          </w:tcPr>
          <w:p w14:paraId="5575B80E" w14:textId="77777777" w:rsidR="00CA1920" w:rsidRPr="00BD16B4" w:rsidRDefault="00CA1920" w:rsidP="002D166E">
            <w:pPr>
              <w:pStyle w:val="TableText"/>
              <w:spacing w:before="40" w:after="40" w:line="240" w:lineRule="auto"/>
              <w:rPr>
                <w:sz w:val="14"/>
                <w:szCs w:val="18"/>
              </w:rPr>
            </w:pPr>
            <w:r w:rsidRPr="00BD16B4">
              <w:rPr>
                <w:sz w:val="14"/>
                <w:szCs w:val="18"/>
              </w:rPr>
              <w:t>Reduce emissions by creating a market through which emitters pay for emissions covered by the scheme.</w:t>
            </w:r>
          </w:p>
        </w:tc>
        <w:tc>
          <w:tcPr>
            <w:tcW w:w="1134" w:type="dxa"/>
          </w:tcPr>
          <w:p w14:paraId="2022C53C" w14:textId="77777777" w:rsidR="00CA1920" w:rsidRPr="00BD16B4" w:rsidRDefault="00CA1920" w:rsidP="002D166E">
            <w:pPr>
              <w:pStyle w:val="TableText"/>
              <w:spacing w:before="40" w:after="40" w:line="240" w:lineRule="auto"/>
              <w:rPr>
                <w:sz w:val="14"/>
                <w:szCs w:val="18"/>
              </w:rPr>
            </w:pPr>
            <w:r w:rsidRPr="00BD16B4">
              <w:rPr>
                <w:sz w:val="14"/>
                <w:szCs w:val="18"/>
              </w:rPr>
              <w:t>Economic, regulatory</w:t>
            </w:r>
          </w:p>
        </w:tc>
        <w:tc>
          <w:tcPr>
            <w:tcW w:w="992" w:type="dxa"/>
          </w:tcPr>
          <w:p w14:paraId="70F54198" w14:textId="249C1F25" w:rsidR="00CA1920" w:rsidRPr="00BD16B4" w:rsidRDefault="00CA1920" w:rsidP="002D166E">
            <w:pPr>
              <w:pStyle w:val="TableText"/>
              <w:spacing w:before="40" w:after="40" w:line="240" w:lineRule="auto"/>
              <w:rPr>
                <w:sz w:val="14"/>
                <w:szCs w:val="18"/>
              </w:rPr>
            </w:pPr>
            <w:r w:rsidRPr="00BD16B4">
              <w:rPr>
                <w:sz w:val="14"/>
                <w:szCs w:val="18"/>
              </w:rPr>
              <w:t>Implemented</w:t>
            </w:r>
            <w:r w:rsidR="00FA4750" w:rsidRPr="00BD16B4">
              <w:rPr>
                <w:sz w:val="14"/>
                <w:szCs w:val="18"/>
              </w:rPr>
              <w:t xml:space="preserve"> (WEM)</w:t>
            </w:r>
          </w:p>
        </w:tc>
        <w:tc>
          <w:tcPr>
            <w:tcW w:w="2410" w:type="dxa"/>
          </w:tcPr>
          <w:p w14:paraId="0BE26A45" w14:textId="77777777" w:rsidR="00CA1920" w:rsidRPr="00BD16B4" w:rsidRDefault="00CA1920" w:rsidP="002D166E">
            <w:pPr>
              <w:spacing w:before="40" w:after="40" w:line="240" w:lineRule="auto"/>
              <w:jc w:val="left"/>
              <w:rPr>
                <w:sz w:val="14"/>
                <w:szCs w:val="18"/>
              </w:rPr>
            </w:pPr>
            <w:r w:rsidRPr="00BD16B4">
              <w:rPr>
                <w:sz w:val="14"/>
                <w:szCs w:val="18"/>
              </w:rPr>
              <w:t>The NZ ETS covers all sectors and all gases with reporting and/or surrender obligations – that is, all emissions except for biological emissions from agriculture. The 2012 amendments to the CCRA removed the date for biological emissions from agriculture to assume surrender obligations.</w:t>
            </w:r>
            <w:r w:rsidRPr="00BD16B4">
              <w:rPr>
                <w:rFonts w:cs="Calibri"/>
                <w:color w:val="000000"/>
                <w:sz w:val="14"/>
                <w:szCs w:val="14"/>
              </w:rPr>
              <w:t xml:space="preserve"> The mitigation impacts noted here relate to land-use change. There has been a phased entry of sectors since 2008. </w:t>
            </w:r>
          </w:p>
        </w:tc>
        <w:tc>
          <w:tcPr>
            <w:tcW w:w="567" w:type="dxa"/>
          </w:tcPr>
          <w:p w14:paraId="08138AE6" w14:textId="77777777" w:rsidR="00CA1920" w:rsidRPr="00BD16B4" w:rsidRDefault="00CA1920" w:rsidP="002D166E">
            <w:pPr>
              <w:pStyle w:val="TableText"/>
              <w:spacing w:before="40" w:after="40" w:line="240" w:lineRule="auto"/>
              <w:rPr>
                <w:sz w:val="14"/>
                <w:szCs w:val="18"/>
              </w:rPr>
            </w:pPr>
            <w:r w:rsidRPr="00BD16B4">
              <w:rPr>
                <w:sz w:val="14"/>
                <w:szCs w:val="18"/>
              </w:rPr>
              <w:t xml:space="preserve">2008 </w:t>
            </w:r>
          </w:p>
        </w:tc>
        <w:tc>
          <w:tcPr>
            <w:tcW w:w="1701" w:type="dxa"/>
          </w:tcPr>
          <w:p w14:paraId="34986B6B" w14:textId="08C1F724" w:rsidR="00CA1920" w:rsidRPr="00BD16B4" w:rsidRDefault="00CA1920" w:rsidP="002D166E">
            <w:pPr>
              <w:pStyle w:val="TableText"/>
              <w:spacing w:before="40" w:after="40" w:line="240" w:lineRule="auto"/>
              <w:rPr>
                <w:sz w:val="14"/>
                <w:szCs w:val="18"/>
              </w:rPr>
            </w:pPr>
            <w:r w:rsidRPr="00BD16B4">
              <w:rPr>
                <w:sz w:val="14"/>
                <w:szCs w:val="18"/>
              </w:rPr>
              <w:t>Environmental Protection Authority, Ministry for the Environment, Ministry for Primary Industries</w:t>
            </w:r>
          </w:p>
        </w:tc>
        <w:tc>
          <w:tcPr>
            <w:tcW w:w="851" w:type="dxa"/>
          </w:tcPr>
          <w:p w14:paraId="565DADEE" w14:textId="77777777" w:rsidR="00CA1920" w:rsidRPr="00BD16B4" w:rsidRDefault="00CA1920" w:rsidP="005173B2">
            <w:pPr>
              <w:pStyle w:val="TableText"/>
              <w:spacing w:before="40" w:after="40" w:line="240" w:lineRule="auto"/>
              <w:rPr>
                <w:sz w:val="14"/>
                <w:szCs w:val="18"/>
              </w:rPr>
            </w:pPr>
            <w:r w:rsidRPr="00BD16B4">
              <w:rPr>
                <w:sz w:val="14"/>
                <w:szCs w:val="18"/>
              </w:rPr>
              <w:t>589.4</w:t>
            </w:r>
          </w:p>
        </w:tc>
        <w:tc>
          <w:tcPr>
            <w:tcW w:w="850" w:type="dxa"/>
          </w:tcPr>
          <w:p w14:paraId="62E656EE" w14:textId="77777777" w:rsidR="00CA1920" w:rsidRPr="00BD16B4" w:rsidRDefault="00CA1920" w:rsidP="002D166E">
            <w:pPr>
              <w:pStyle w:val="TableText"/>
              <w:spacing w:before="40" w:after="40" w:line="240" w:lineRule="auto"/>
              <w:rPr>
                <w:sz w:val="14"/>
                <w:szCs w:val="18"/>
              </w:rPr>
            </w:pPr>
            <w:r w:rsidRPr="00BD16B4">
              <w:rPr>
                <w:sz w:val="14"/>
                <w:szCs w:val="18"/>
              </w:rPr>
              <w:t>903.2</w:t>
            </w:r>
          </w:p>
        </w:tc>
        <w:tc>
          <w:tcPr>
            <w:tcW w:w="851" w:type="dxa"/>
          </w:tcPr>
          <w:p w14:paraId="39A1CFA3" w14:textId="77777777" w:rsidR="00CA1920" w:rsidRPr="00BD16B4" w:rsidRDefault="00CA1920" w:rsidP="005173B2">
            <w:pPr>
              <w:pStyle w:val="TableText"/>
              <w:spacing w:before="40" w:after="40" w:line="240" w:lineRule="auto"/>
              <w:rPr>
                <w:sz w:val="14"/>
                <w:szCs w:val="18"/>
              </w:rPr>
            </w:pPr>
            <w:r w:rsidRPr="00BD16B4">
              <w:rPr>
                <w:sz w:val="14"/>
                <w:szCs w:val="18"/>
              </w:rPr>
              <w:t>1,215.3</w:t>
            </w:r>
          </w:p>
        </w:tc>
      </w:tr>
      <w:tr w:rsidR="006709EC" w:rsidRPr="00BD16B4" w14:paraId="3F7370AA" w14:textId="77777777" w:rsidTr="006709EC">
        <w:trPr>
          <w:cantSplit/>
          <w:trHeight w:val="281"/>
        </w:trPr>
        <w:tc>
          <w:tcPr>
            <w:tcW w:w="1632" w:type="dxa"/>
          </w:tcPr>
          <w:p w14:paraId="27B194DF" w14:textId="77777777" w:rsidR="00CA1920" w:rsidRPr="00BD16B4" w:rsidRDefault="00CA1920" w:rsidP="002D166E">
            <w:pPr>
              <w:pStyle w:val="TableText"/>
              <w:spacing w:before="40" w:after="40" w:line="240" w:lineRule="auto"/>
              <w:rPr>
                <w:sz w:val="14"/>
                <w:szCs w:val="18"/>
              </w:rPr>
            </w:pPr>
            <w:r w:rsidRPr="00BD16B4">
              <w:rPr>
                <w:sz w:val="14"/>
                <w:szCs w:val="14"/>
              </w:rPr>
              <w:lastRenderedPageBreak/>
              <w:t>Pricing on agricultural emissions with 95% free allocation</w:t>
            </w:r>
          </w:p>
        </w:tc>
        <w:tc>
          <w:tcPr>
            <w:tcW w:w="1316" w:type="dxa"/>
          </w:tcPr>
          <w:p w14:paraId="62A8F332" w14:textId="77777777" w:rsidR="00CA1920" w:rsidRPr="00BD16B4" w:rsidRDefault="00CA1920" w:rsidP="002D166E">
            <w:pPr>
              <w:pStyle w:val="TableText"/>
              <w:spacing w:before="40" w:after="40" w:line="240" w:lineRule="auto"/>
              <w:rPr>
                <w:sz w:val="14"/>
                <w:szCs w:val="18"/>
              </w:rPr>
            </w:pPr>
            <w:r w:rsidRPr="00BD16B4">
              <w:rPr>
                <w:sz w:val="14"/>
                <w:szCs w:val="14"/>
              </w:rPr>
              <w:t>Agriculture</w:t>
            </w:r>
          </w:p>
        </w:tc>
        <w:tc>
          <w:tcPr>
            <w:tcW w:w="567" w:type="dxa"/>
          </w:tcPr>
          <w:p w14:paraId="0686AA3F" w14:textId="77777777" w:rsidR="00CA1920" w:rsidRPr="00BD16B4" w:rsidRDefault="00CA1920" w:rsidP="002D166E">
            <w:pPr>
              <w:pStyle w:val="TableText"/>
              <w:spacing w:before="40" w:after="40" w:line="240" w:lineRule="auto"/>
              <w:rPr>
                <w:sz w:val="14"/>
                <w:szCs w:val="18"/>
              </w:rPr>
            </w:pPr>
            <w:r w:rsidRPr="00BD16B4">
              <w:rPr>
                <w:sz w:val="14"/>
                <w:szCs w:val="14"/>
              </w:rPr>
              <w:t>CH</w:t>
            </w:r>
            <w:r w:rsidRPr="00BD16B4">
              <w:rPr>
                <w:sz w:val="14"/>
                <w:szCs w:val="14"/>
                <w:vertAlign w:val="subscript"/>
              </w:rPr>
              <w:t>4</w:t>
            </w:r>
            <w:r w:rsidRPr="00BD16B4">
              <w:rPr>
                <w:sz w:val="14"/>
                <w:szCs w:val="14"/>
              </w:rPr>
              <w:t>, N</w:t>
            </w:r>
            <w:r w:rsidRPr="00BD16B4">
              <w:rPr>
                <w:sz w:val="14"/>
                <w:szCs w:val="14"/>
                <w:vertAlign w:val="subscript"/>
              </w:rPr>
              <w:t>2</w:t>
            </w:r>
            <w:r w:rsidRPr="00BD16B4">
              <w:rPr>
                <w:sz w:val="14"/>
                <w:szCs w:val="14"/>
              </w:rPr>
              <w:t>O</w:t>
            </w:r>
          </w:p>
        </w:tc>
        <w:tc>
          <w:tcPr>
            <w:tcW w:w="1701" w:type="dxa"/>
          </w:tcPr>
          <w:p w14:paraId="773DE7A2" w14:textId="77777777" w:rsidR="00CA1920" w:rsidRPr="00BD16B4" w:rsidRDefault="00CA1920" w:rsidP="002D166E">
            <w:pPr>
              <w:pStyle w:val="TableText"/>
              <w:spacing w:before="40" w:after="40" w:line="240" w:lineRule="auto"/>
              <w:rPr>
                <w:sz w:val="14"/>
                <w:szCs w:val="18"/>
              </w:rPr>
            </w:pPr>
            <w:r w:rsidRPr="00BD16B4">
              <w:rPr>
                <w:sz w:val="14"/>
                <w:szCs w:val="14"/>
              </w:rPr>
              <w:t>Encourage reduction in agricultural emissions.</w:t>
            </w:r>
          </w:p>
        </w:tc>
        <w:tc>
          <w:tcPr>
            <w:tcW w:w="1134" w:type="dxa"/>
          </w:tcPr>
          <w:p w14:paraId="1CEC2D43" w14:textId="77777777" w:rsidR="00CA1920" w:rsidRPr="00BD16B4" w:rsidRDefault="00CA1920" w:rsidP="002D166E">
            <w:pPr>
              <w:pStyle w:val="TableText"/>
              <w:spacing w:before="40" w:after="40" w:line="240" w:lineRule="auto"/>
              <w:rPr>
                <w:sz w:val="14"/>
                <w:szCs w:val="18"/>
              </w:rPr>
            </w:pPr>
            <w:r w:rsidRPr="00BD16B4">
              <w:rPr>
                <w:sz w:val="14"/>
                <w:szCs w:val="14"/>
              </w:rPr>
              <w:t>Economic, regulatory</w:t>
            </w:r>
          </w:p>
        </w:tc>
        <w:tc>
          <w:tcPr>
            <w:tcW w:w="992" w:type="dxa"/>
          </w:tcPr>
          <w:p w14:paraId="2B911D1C" w14:textId="1ECF1599" w:rsidR="00CA1920" w:rsidRPr="00BD16B4" w:rsidRDefault="00CA1920" w:rsidP="002D166E">
            <w:pPr>
              <w:pStyle w:val="TableText"/>
              <w:spacing w:before="40" w:after="40" w:line="240" w:lineRule="auto"/>
              <w:rPr>
                <w:sz w:val="14"/>
                <w:szCs w:val="18"/>
              </w:rPr>
            </w:pPr>
            <w:r w:rsidRPr="00BD16B4">
              <w:rPr>
                <w:sz w:val="14"/>
                <w:szCs w:val="14"/>
              </w:rPr>
              <w:t>Planned</w:t>
            </w:r>
            <w:r w:rsidR="00AB3E36" w:rsidRPr="00BD16B4">
              <w:rPr>
                <w:sz w:val="14"/>
                <w:szCs w:val="14"/>
              </w:rPr>
              <w:t xml:space="preserve"> (WEM)</w:t>
            </w:r>
          </w:p>
        </w:tc>
        <w:tc>
          <w:tcPr>
            <w:tcW w:w="2410" w:type="dxa"/>
          </w:tcPr>
          <w:p w14:paraId="791696BB" w14:textId="02A820F7" w:rsidR="00CA1920" w:rsidRPr="00BD16B4" w:rsidRDefault="00CA1920" w:rsidP="002D166E">
            <w:pPr>
              <w:spacing w:before="40" w:after="40" w:line="240" w:lineRule="auto"/>
              <w:jc w:val="left"/>
              <w:rPr>
                <w:sz w:val="14"/>
                <w:szCs w:val="18"/>
              </w:rPr>
            </w:pPr>
            <w:r w:rsidRPr="00BD16B4">
              <w:rPr>
                <w:sz w:val="14"/>
                <w:szCs w:val="14"/>
              </w:rPr>
              <w:t>The Climate Change Response (Emissions Trading Reform) Amendment Bill will put a price on agricultural emissions from 2025, with free allocation set at 95%. In</w:t>
            </w:r>
            <w:r w:rsidR="00AB3E36" w:rsidRPr="00BD16B4">
              <w:rPr>
                <w:sz w:val="14"/>
                <w:szCs w:val="14"/>
              </w:rPr>
              <w:t> </w:t>
            </w:r>
            <w:r w:rsidRPr="00BD16B4">
              <w:rPr>
                <w:sz w:val="14"/>
                <w:szCs w:val="14"/>
              </w:rPr>
              <w:t>the meantime, a formal sector–Government partnership is helping to prepare for emissions pricing, including by enabling on-farm emissions reporting while considering an alternative pricing mechanism. The Climate Change Commission has carried out a review of progress in 2022.</w:t>
            </w:r>
          </w:p>
        </w:tc>
        <w:tc>
          <w:tcPr>
            <w:tcW w:w="567" w:type="dxa"/>
          </w:tcPr>
          <w:p w14:paraId="72A182C9" w14:textId="77777777" w:rsidR="00CA1920" w:rsidRPr="00BD16B4" w:rsidRDefault="00CA1920" w:rsidP="002D166E">
            <w:pPr>
              <w:pStyle w:val="TableText"/>
              <w:spacing w:before="40" w:after="40" w:line="240" w:lineRule="auto"/>
              <w:rPr>
                <w:sz w:val="14"/>
                <w:szCs w:val="18"/>
              </w:rPr>
            </w:pPr>
            <w:r w:rsidRPr="00BD16B4">
              <w:rPr>
                <w:sz w:val="14"/>
                <w:szCs w:val="14"/>
              </w:rPr>
              <w:t>2020</w:t>
            </w:r>
          </w:p>
        </w:tc>
        <w:tc>
          <w:tcPr>
            <w:tcW w:w="1701" w:type="dxa"/>
          </w:tcPr>
          <w:p w14:paraId="392346CA" w14:textId="77777777" w:rsidR="00CA1920" w:rsidRPr="00BD16B4" w:rsidRDefault="00CA1920" w:rsidP="002D166E">
            <w:pPr>
              <w:pStyle w:val="TableText"/>
              <w:spacing w:before="40" w:after="40" w:line="240" w:lineRule="auto"/>
              <w:rPr>
                <w:sz w:val="14"/>
                <w:szCs w:val="18"/>
              </w:rPr>
            </w:pPr>
            <w:r w:rsidRPr="00BD16B4">
              <w:rPr>
                <w:sz w:val="14"/>
                <w:szCs w:val="14"/>
              </w:rPr>
              <w:t>Ministry for the Environment, Ministry for Primary Industries</w:t>
            </w:r>
          </w:p>
        </w:tc>
        <w:tc>
          <w:tcPr>
            <w:tcW w:w="851" w:type="dxa"/>
          </w:tcPr>
          <w:p w14:paraId="195F9145" w14:textId="77777777" w:rsidR="00CA1920" w:rsidRPr="00BD16B4" w:rsidRDefault="00CA1920" w:rsidP="005173B2">
            <w:pPr>
              <w:pStyle w:val="TableText"/>
              <w:spacing w:before="40" w:after="40" w:line="240" w:lineRule="auto"/>
              <w:rPr>
                <w:rFonts w:cs="Calibri"/>
                <w:sz w:val="14"/>
                <w:szCs w:val="14"/>
              </w:rPr>
            </w:pPr>
            <w:r w:rsidRPr="00BD16B4">
              <w:rPr>
                <w:sz w:val="14"/>
                <w:szCs w:val="14"/>
              </w:rPr>
              <w:t>123.5</w:t>
            </w:r>
          </w:p>
        </w:tc>
        <w:tc>
          <w:tcPr>
            <w:tcW w:w="850" w:type="dxa"/>
          </w:tcPr>
          <w:p w14:paraId="0254CE66" w14:textId="77777777" w:rsidR="00CA1920" w:rsidRPr="00BD16B4" w:rsidRDefault="00CA1920" w:rsidP="002D166E">
            <w:pPr>
              <w:pStyle w:val="TableText"/>
              <w:spacing w:before="40" w:after="40" w:line="240" w:lineRule="auto"/>
              <w:rPr>
                <w:rFonts w:cs="Calibri"/>
                <w:sz w:val="14"/>
                <w:szCs w:val="14"/>
              </w:rPr>
            </w:pPr>
            <w:r w:rsidRPr="00BD16B4">
              <w:rPr>
                <w:sz w:val="14"/>
                <w:szCs w:val="14"/>
              </w:rPr>
              <w:t>649.8</w:t>
            </w:r>
          </w:p>
        </w:tc>
        <w:tc>
          <w:tcPr>
            <w:tcW w:w="851" w:type="dxa"/>
          </w:tcPr>
          <w:p w14:paraId="0A7ED9BA" w14:textId="77777777" w:rsidR="00CA1920" w:rsidRPr="00BD16B4" w:rsidRDefault="00CA1920" w:rsidP="005173B2">
            <w:pPr>
              <w:pStyle w:val="TableText"/>
              <w:spacing w:before="40" w:after="40" w:line="240" w:lineRule="auto"/>
              <w:rPr>
                <w:rFonts w:cs="Calibri"/>
                <w:sz w:val="14"/>
                <w:szCs w:val="14"/>
              </w:rPr>
            </w:pPr>
            <w:r w:rsidRPr="00BD16B4">
              <w:rPr>
                <w:sz w:val="14"/>
                <w:szCs w:val="14"/>
              </w:rPr>
              <w:t>1,136.0</w:t>
            </w:r>
          </w:p>
        </w:tc>
      </w:tr>
      <w:tr w:rsidR="006709EC" w:rsidRPr="00BD16B4" w14:paraId="3DE0C1A4" w14:textId="77777777" w:rsidTr="006709EC">
        <w:tc>
          <w:tcPr>
            <w:tcW w:w="1632" w:type="dxa"/>
          </w:tcPr>
          <w:p w14:paraId="4AB60E27" w14:textId="77777777" w:rsidR="00CA1920" w:rsidRPr="00BD16B4" w:rsidRDefault="00CA1920" w:rsidP="002D166E">
            <w:pPr>
              <w:pStyle w:val="TableText"/>
              <w:spacing w:before="40" w:after="40" w:line="240" w:lineRule="auto"/>
              <w:rPr>
                <w:sz w:val="14"/>
                <w:szCs w:val="18"/>
              </w:rPr>
            </w:pPr>
            <w:r w:rsidRPr="00BD16B4">
              <w:rPr>
                <w:sz w:val="14"/>
                <w:szCs w:val="14"/>
              </w:rPr>
              <w:t>Centre for Climate Action on Agricultural Emissions</w:t>
            </w:r>
          </w:p>
        </w:tc>
        <w:tc>
          <w:tcPr>
            <w:tcW w:w="1316" w:type="dxa"/>
          </w:tcPr>
          <w:p w14:paraId="4549C802" w14:textId="77777777" w:rsidR="00CA1920" w:rsidRPr="00BD16B4" w:rsidRDefault="00CA1920" w:rsidP="002D166E">
            <w:pPr>
              <w:pStyle w:val="TableText"/>
              <w:spacing w:before="40" w:after="40" w:line="240" w:lineRule="auto"/>
              <w:rPr>
                <w:sz w:val="14"/>
                <w:szCs w:val="18"/>
              </w:rPr>
            </w:pPr>
            <w:r w:rsidRPr="00BD16B4">
              <w:rPr>
                <w:sz w:val="14"/>
                <w:szCs w:val="14"/>
              </w:rPr>
              <w:t>Agriculture</w:t>
            </w:r>
          </w:p>
        </w:tc>
        <w:tc>
          <w:tcPr>
            <w:tcW w:w="567" w:type="dxa"/>
          </w:tcPr>
          <w:p w14:paraId="3A8AC666" w14:textId="77777777" w:rsidR="00CA1920" w:rsidRPr="00BD16B4" w:rsidRDefault="00CA1920" w:rsidP="002D166E">
            <w:pPr>
              <w:pStyle w:val="TableText"/>
              <w:spacing w:before="40" w:after="40" w:line="240" w:lineRule="auto"/>
              <w:rPr>
                <w:sz w:val="14"/>
                <w:szCs w:val="18"/>
              </w:rPr>
            </w:pPr>
            <w:r w:rsidRPr="00BD16B4">
              <w:rPr>
                <w:sz w:val="14"/>
                <w:szCs w:val="14"/>
              </w:rPr>
              <w:t>CH</w:t>
            </w:r>
            <w:r w:rsidRPr="00BD16B4">
              <w:rPr>
                <w:sz w:val="14"/>
                <w:szCs w:val="14"/>
                <w:vertAlign w:val="subscript"/>
              </w:rPr>
              <w:t>4</w:t>
            </w:r>
            <w:r w:rsidRPr="00BD16B4">
              <w:rPr>
                <w:sz w:val="14"/>
                <w:szCs w:val="14"/>
              </w:rPr>
              <w:t>, N</w:t>
            </w:r>
            <w:r w:rsidRPr="00BD16B4">
              <w:rPr>
                <w:sz w:val="14"/>
                <w:szCs w:val="14"/>
                <w:vertAlign w:val="subscript"/>
              </w:rPr>
              <w:t>2</w:t>
            </w:r>
            <w:r w:rsidRPr="00BD16B4">
              <w:rPr>
                <w:sz w:val="14"/>
                <w:szCs w:val="14"/>
              </w:rPr>
              <w:t>O, CO</w:t>
            </w:r>
            <w:r w:rsidRPr="00BD16B4">
              <w:rPr>
                <w:sz w:val="14"/>
                <w:szCs w:val="14"/>
                <w:vertAlign w:val="subscript"/>
              </w:rPr>
              <w:t>2</w:t>
            </w:r>
          </w:p>
        </w:tc>
        <w:tc>
          <w:tcPr>
            <w:tcW w:w="1701" w:type="dxa"/>
          </w:tcPr>
          <w:p w14:paraId="78EA1071" w14:textId="77777777" w:rsidR="00CA1920" w:rsidRPr="00BD16B4" w:rsidRDefault="00CA1920" w:rsidP="002D166E">
            <w:pPr>
              <w:pStyle w:val="TableText"/>
              <w:spacing w:before="40" w:after="40" w:line="240" w:lineRule="auto"/>
              <w:rPr>
                <w:sz w:val="14"/>
                <w:szCs w:val="18"/>
              </w:rPr>
            </w:pPr>
            <w:r w:rsidRPr="00BD16B4">
              <w:rPr>
                <w:sz w:val="14"/>
                <w:szCs w:val="14"/>
              </w:rPr>
              <w:t>Accelerate the development of greenhouse gas mitigations</w:t>
            </w:r>
          </w:p>
        </w:tc>
        <w:tc>
          <w:tcPr>
            <w:tcW w:w="1134" w:type="dxa"/>
          </w:tcPr>
          <w:p w14:paraId="4685B3A4" w14:textId="77777777" w:rsidR="00CA1920" w:rsidRPr="00BD16B4" w:rsidRDefault="00CA1920" w:rsidP="002D166E">
            <w:pPr>
              <w:pStyle w:val="TableText"/>
              <w:spacing w:before="40" w:after="40" w:line="240" w:lineRule="auto"/>
              <w:rPr>
                <w:sz w:val="14"/>
                <w:szCs w:val="18"/>
              </w:rPr>
            </w:pPr>
            <w:r w:rsidRPr="00BD16B4">
              <w:rPr>
                <w:sz w:val="14"/>
                <w:szCs w:val="14"/>
              </w:rPr>
              <w:t xml:space="preserve">Research, </w:t>
            </w:r>
            <w:r w:rsidRPr="00BD16B4">
              <w:rPr>
                <w:spacing w:val="-2"/>
                <w:sz w:val="14"/>
                <w:szCs w:val="14"/>
              </w:rPr>
              <w:t>commercialisation,</w:t>
            </w:r>
            <w:r w:rsidRPr="00BD16B4">
              <w:rPr>
                <w:sz w:val="14"/>
                <w:szCs w:val="14"/>
              </w:rPr>
              <w:t xml:space="preserve"> information, capability building</w:t>
            </w:r>
          </w:p>
        </w:tc>
        <w:tc>
          <w:tcPr>
            <w:tcW w:w="992" w:type="dxa"/>
          </w:tcPr>
          <w:p w14:paraId="12496655" w14:textId="77777777" w:rsidR="00CA1920" w:rsidRPr="00BD16B4" w:rsidRDefault="00CA1920" w:rsidP="002D166E">
            <w:pPr>
              <w:pStyle w:val="TableText"/>
              <w:spacing w:before="40" w:after="40" w:line="240" w:lineRule="auto"/>
              <w:rPr>
                <w:sz w:val="14"/>
                <w:szCs w:val="18"/>
              </w:rPr>
            </w:pPr>
            <w:r w:rsidRPr="00BD16B4">
              <w:rPr>
                <w:sz w:val="14"/>
                <w:szCs w:val="14"/>
              </w:rPr>
              <w:t>Planned</w:t>
            </w:r>
          </w:p>
        </w:tc>
        <w:tc>
          <w:tcPr>
            <w:tcW w:w="2410" w:type="dxa"/>
          </w:tcPr>
          <w:p w14:paraId="24E796DC" w14:textId="77777777" w:rsidR="00CA1920" w:rsidRPr="00BD16B4" w:rsidRDefault="00CA1920" w:rsidP="002D166E">
            <w:pPr>
              <w:spacing w:before="40" w:after="40" w:line="240" w:lineRule="auto"/>
              <w:jc w:val="left"/>
              <w:rPr>
                <w:sz w:val="14"/>
                <w:szCs w:val="18"/>
              </w:rPr>
            </w:pPr>
            <w:r w:rsidRPr="00BD16B4">
              <w:rPr>
                <w:sz w:val="14"/>
                <w:szCs w:val="14"/>
              </w:rPr>
              <w:t>The Centre will include a new public–private joint venture with a focus on product development and commercialisation to drive research and development activity.</w:t>
            </w:r>
          </w:p>
        </w:tc>
        <w:tc>
          <w:tcPr>
            <w:tcW w:w="567" w:type="dxa"/>
          </w:tcPr>
          <w:p w14:paraId="63933070" w14:textId="77777777" w:rsidR="00CA1920" w:rsidRPr="00BD16B4" w:rsidRDefault="00CA1920" w:rsidP="002D166E">
            <w:pPr>
              <w:pStyle w:val="TableText"/>
              <w:spacing w:before="40" w:after="40" w:line="240" w:lineRule="auto"/>
              <w:rPr>
                <w:sz w:val="14"/>
                <w:szCs w:val="18"/>
              </w:rPr>
            </w:pPr>
            <w:r w:rsidRPr="00BD16B4">
              <w:rPr>
                <w:sz w:val="14"/>
                <w:szCs w:val="18"/>
              </w:rPr>
              <w:t>TBC</w:t>
            </w:r>
          </w:p>
        </w:tc>
        <w:tc>
          <w:tcPr>
            <w:tcW w:w="1701" w:type="dxa"/>
          </w:tcPr>
          <w:p w14:paraId="20B63392" w14:textId="77777777" w:rsidR="00CA1920" w:rsidRPr="00BD16B4" w:rsidRDefault="00CA1920" w:rsidP="002D166E">
            <w:pPr>
              <w:pStyle w:val="TableText"/>
              <w:spacing w:before="40" w:after="40" w:line="240" w:lineRule="auto"/>
              <w:rPr>
                <w:sz w:val="14"/>
                <w:szCs w:val="18"/>
              </w:rPr>
            </w:pPr>
            <w:r w:rsidRPr="00BD16B4">
              <w:rPr>
                <w:sz w:val="14"/>
                <w:szCs w:val="14"/>
              </w:rPr>
              <w:t>Ministry for Primary Industries</w:t>
            </w:r>
          </w:p>
        </w:tc>
        <w:tc>
          <w:tcPr>
            <w:tcW w:w="851" w:type="dxa"/>
          </w:tcPr>
          <w:p w14:paraId="08E53DB0" w14:textId="77777777" w:rsidR="00CA1920" w:rsidRPr="00BD16B4" w:rsidRDefault="00CA1920" w:rsidP="005173B2">
            <w:pPr>
              <w:pStyle w:val="TableText"/>
              <w:spacing w:before="40" w:after="40" w:line="240" w:lineRule="auto"/>
              <w:rPr>
                <w:rFonts w:cs="Calibri"/>
                <w:sz w:val="14"/>
                <w:szCs w:val="14"/>
              </w:rPr>
            </w:pPr>
            <w:r w:rsidRPr="00BD16B4">
              <w:rPr>
                <w:sz w:val="14"/>
                <w:szCs w:val="14"/>
              </w:rPr>
              <w:t>NE</w:t>
            </w:r>
          </w:p>
        </w:tc>
        <w:tc>
          <w:tcPr>
            <w:tcW w:w="850" w:type="dxa"/>
          </w:tcPr>
          <w:p w14:paraId="5D7C2DA7" w14:textId="77777777" w:rsidR="00CA1920" w:rsidRPr="00BD16B4" w:rsidRDefault="00CA1920" w:rsidP="002D166E">
            <w:pPr>
              <w:pStyle w:val="TableText"/>
              <w:spacing w:before="40" w:after="40" w:line="240" w:lineRule="auto"/>
              <w:rPr>
                <w:rFonts w:cs="Calibri"/>
                <w:sz w:val="14"/>
                <w:szCs w:val="14"/>
              </w:rPr>
            </w:pPr>
            <w:r w:rsidRPr="00BD16B4">
              <w:rPr>
                <w:sz w:val="14"/>
                <w:szCs w:val="14"/>
              </w:rPr>
              <w:t>NE</w:t>
            </w:r>
          </w:p>
        </w:tc>
        <w:tc>
          <w:tcPr>
            <w:tcW w:w="851" w:type="dxa"/>
          </w:tcPr>
          <w:p w14:paraId="7FF039A7" w14:textId="77777777" w:rsidR="00CA1920" w:rsidRPr="00BD16B4" w:rsidRDefault="00CA1920" w:rsidP="005173B2">
            <w:pPr>
              <w:pStyle w:val="TableText"/>
              <w:spacing w:before="40" w:after="40" w:line="240" w:lineRule="auto"/>
              <w:rPr>
                <w:rFonts w:cs="Calibri"/>
                <w:sz w:val="14"/>
                <w:szCs w:val="14"/>
              </w:rPr>
            </w:pPr>
            <w:r w:rsidRPr="00BD16B4">
              <w:rPr>
                <w:sz w:val="14"/>
                <w:szCs w:val="14"/>
              </w:rPr>
              <w:t>NE</w:t>
            </w:r>
          </w:p>
        </w:tc>
      </w:tr>
      <w:tr w:rsidR="006709EC" w:rsidRPr="00BD16B4" w14:paraId="6B191476" w14:textId="77777777" w:rsidTr="006709EC">
        <w:tc>
          <w:tcPr>
            <w:tcW w:w="1632" w:type="dxa"/>
          </w:tcPr>
          <w:p w14:paraId="727181B9" w14:textId="77777777" w:rsidR="00CA1920" w:rsidRPr="00BD16B4" w:rsidRDefault="00CA1920" w:rsidP="005F3E59">
            <w:pPr>
              <w:pStyle w:val="TableText"/>
              <w:keepNext/>
              <w:spacing w:before="40" w:after="40" w:line="240" w:lineRule="auto"/>
              <w:rPr>
                <w:sz w:val="14"/>
                <w:szCs w:val="14"/>
              </w:rPr>
            </w:pPr>
            <w:r w:rsidRPr="00BD16B4">
              <w:rPr>
                <w:sz w:val="14"/>
                <w:szCs w:val="14"/>
              </w:rPr>
              <w:t>Global Research Alliance on Agricultural Greenhouse Gases (GRA)</w:t>
            </w:r>
          </w:p>
        </w:tc>
        <w:tc>
          <w:tcPr>
            <w:tcW w:w="1316" w:type="dxa"/>
          </w:tcPr>
          <w:p w14:paraId="078A8B8C" w14:textId="77777777" w:rsidR="00CA1920" w:rsidRPr="00BD16B4" w:rsidRDefault="00CA1920" w:rsidP="002D166E">
            <w:pPr>
              <w:pStyle w:val="TableText"/>
              <w:spacing w:before="40" w:after="40" w:line="240" w:lineRule="auto"/>
              <w:rPr>
                <w:sz w:val="14"/>
                <w:szCs w:val="14"/>
              </w:rPr>
            </w:pPr>
            <w:r w:rsidRPr="00BD16B4">
              <w:rPr>
                <w:sz w:val="14"/>
                <w:szCs w:val="14"/>
              </w:rPr>
              <w:t>Agriculture</w:t>
            </w:r>
          </w:p>
        </w:tc>
        <w:tc>
          <w:tcPr>
            <w:tcW w:w="567" w:type="dxa"/>
          </w:tcPr>
          <w:p w14:paraId="69183EB7" w14:textId="77777777" w:rsidR="00CA1920" w:rsidRPr="00BD16B4" w:rsidRDefault="00CA1920" w:rsidP="002D166E">
            <w:pPr>
              <w:pStyle w:val="TableText"/>
              <w:spacing w:before="40" w:after="40" w:line="240" w:lineRule="auto"/>
              <w:rPr>
                <w:sz w:val="14"/>
                <w:szCs w:val="14"/>
              </w:rPr>
            </w:pPr>
            <w:r w:rsidRPr="00BD16B4">
              <w:rPr>
                <w:sz w:val="14"/>
                <w:szCs w:val="14"/>
              </w:rPr>
              <w:t>CH</w:t>
            </w:r>
            <w:r w:rsidRPr="00BD16B4">
              <w:rPr>
                <w:sz w:val="14"/>
                <w:szCs w:val="14"/>
                <w:vertAlign w:val="subscript"/>
              </w:rPr>
              <w:t>4</w:t>
            </w:r>
            <w:r w:rsidRPr="00BD16B4">
              <w:rPr>
                <w:sz w:val="14"/>
                <w:szCs w:val="14"/>
              </w:rPr>
              <w:t>, N</w:t>
            </w:r>
            <w:r w:rsidRPr="00BD16B4">
              <w:rPr>
                <w:sz w:val="14"/>
                <w:szCs w:val="14"/>
                <w:vertAlign w:val="subscript"/>
              </w:rPr>
              <w:t>2</w:t>
            </w:r>
            <w:r w:rsidRPr="00BD16B4">
              <w:rPr>
                <w:sz w:val="14"/>
                <w:szCs w:val="14"/>
              </w:rPr>
              <w:t>O, CO</w:t>
            </w:r>
            <w:r w:rsidRPr="00BD16B4">
              <w:rPr>
                <w:sz w:val="14"/>
                <w:szCs w:val="14"/>
                <w:vertAlign w:val="subscript"/>
              </w:rPr>
              <w:t>2</w:t>
            </w:r>
          </w:p>
        </w:tc>
        <w:tc>
          <w:tcPr>
            <w:tcW w:w="1701" w:type="dxa"/>
          </w:tcPr>
          <w:p w14:paraId="622AEFE9" w14:textId="77777777" w:rsidR="00CA1920" w:rsidRPr="00BD16B4" w:rsidRDefault="00CA1920" w:rsidP="002D166E">
            <w:pPr>
              <w:pStyle w:val="TableText"/>
              <w:spacing w:before="40" w:after="40" w:line="240" w:lineRule="auto"/>
              <w:rPr>
                <w:sz w:val="14"/>
                <w:szCs w:val="14"/>
              </w:rPr>
            </w:pPr>
            <w:r w:rsidRPr="00BD16B4">
              <w:rPr>
                <w:sz w:val="14"/>
                <w:szCs w:val="14"/>
              </w:rPr>
              <w:t>Increase international collaboration on and investment in research on increasing agricultural and food production, without growing greenhouse gas emissions.</w:t>
            </w:r>
          </w:p>
        </w:tc>
        <w:tc>
          <w:tcPr>
            <w:tcW w:w="1134" w:type="dxa"/>
          </w:tcPr>
          <w:p w14:paraId="24429A08" w14:textId="77777777" w:rsidR="00CA1920" w:rsidRPr="00BD16B4" w:rsidRDefault="00CA1920" w:rsidP="002D166E">
            <w:pPr>
              <w:pStyle w:val="TableText"/>
              <w:spacing w:before="40" w:after="40" w:line="240" w:lineRule="auto"/>
              <w:rPr>
                <w:sz w:val="14"/>
                <w:szCs w:val="14"/>
              </w:rPr>
            </w:pPr>
            <w:r w:rsidRPr="00BD16B4">
              <w:rPr>
                <w:sz w:val="14"/>
                <w:szCs w:val="14"/>
              </w:rPr>
              <w:t>Research, information, training, education</w:t>
            </w:r>
          </w:p>
        </w:tc>
        <w:tc>
          <w:tcPr>
            <w:tcW w:w="992" w:type="dxa"/>
          </w:tcPr>
          <w:p w14:paraId="2A1BFD53" w14:textId="77777777" w:rsidR="00CA1920" w:rsidRPr="00BD16B4" w:rsidRDefault="00CA1920" w:rsidP="002D166E">
            <w:pPr>
              <w:pStyle w:val="TableText"/>
              <w:spacing w:before="40" w:after="40" w:line="240" w:lineRule="auto"/>
              <w:rPr>
                <w:sz w:val="14"/>
                <w:szCs w:val="14"/>
              </w:rPr>
            </w:pPr>
            <w:r w:rsidRPr="00BD16B4">
              <w:rPr>
                <w:sz w:val="14"/>
                <w:szCs w:val="14"/>
              </w:rPr>
              <w:t>Implemented</w:t>
            </w:r>
          </w:p>
        </w:tc>
        <w:tc>
          <w:tcPr>
            <w:tcW w:w="2410" w:type="dxa"/>
          </w:tcPr>
          <w:p w14:paraId="0ED21985" w14:textId="77777777" w:rsidR="00CA1920" w:rsidRPr="00BD16B4" w:rsidRDefault="00CA1920" w:rsidP="002D166E">
            <w:pPr>
              <w:spacing w:before="40" w:after="40" w:line="240" w:lineRule="auto"/>
              <w:jc w:val="left"/>
              <w:rPr>
                <w:sz w:val="14"/>
                <w:szCs w:val="14"/>
              </w:rPr>
            </w:pPr>
            <w:r w:rsidRPr="00BD16B4">
              <w:rPr>
                <w:sz w:val="14"/>
                <w:szCs w:val="14"/>
              </w:rPr>
              <w:t xml:space="preserve">New Zealand plays an active role in supporting the GRA through funding and delivery of education, training and public awareness, funding of mitigation research projects and funding of regional and international collaboration in addition to co-chairing the GRA’s Livestock Research Group and hosting the GRA Secretariat and Special Representative. </w:t>
            </w:r>
          </w:p>
        </w:tc>
        <w:tc>
          <w:tcPr>
            <w:tcW w:w="567" w:type="dxa"/>
          </w:tcPr>
          <w:p w14:paraId="2D29B7EB" w14:textId="77777777" w:rsidR="00CA1920" w:rsidRPr="00BD16B4" w:rsidRDefault="00CA1920" w:rsidP="002D166E">
            <w:pPr>
              <w:pStyle w:val="TableText"/>
              <w:spacing w:before="40" w:after="40" w:line="240" w:lineRule="auto"/>
              <w:rPr>
                <w:sz w:val="14"/>
                <w:szCs w:val="14"/>
              </w:rPr>
            </w:pPr>
            <w:r w:rsidRPr="00BD16B4">
              <w:rPr>
                <w:sz w:val="14"/>
                <w:szCs w:val="14"/>
              </w:rPr>
              <w:t>2009</w:t>
            </w:r>
          </w:p>
        </w:tc>
        <w:tc>
          <w:tcPr>
            <w:tcW w:w="1701" w:type="dxa"/>
          </w:tcPr>
          <w:p w14:paraId="3481797B" w14:textId="77777777" w:rsidR="00CA1920" w:rsidRPr="00BD16B4" w:rsidRDefault="00CA1920" w:rsidP="002D166E">
            <w:pPr>
              <w:pStyle w:val="TableText"/>
              <w:spacing w:before="40" w:after="40" w:line="240" w:lineRule="auto"/>
              <w:rPr>
                <w:sz w:val="14"/>
                <w:szCs w:val="14"/>
              </w:rPr>
            </w:pPr>
            <w:r w:rsidRPr="00BD16B4">
              <w:rPr>
                <w:sz w:val="14"/>
                <w:szCs w:val="14"/>
              </w:rPr>
              <w:t xml:space="preserve">Secretariat support and co-Chair of the Livestock Research Group provided by New Zealand </w:t>
            </w:r>
          </w:p>
          <w:p w14:paraId="661E259E" w14:textId="77777777" w:rsidR="00CA1920" w:rsidRPr="00BD16B4" w:rsidRDefault="00CA1920" w:rsidP="002D166E">
            <w:pPr>
              <w:pStyle w:val="TableText"/>
              <w:spacing w:before="40" w:after="40" w:line="240" w:lineRule="auto"/>
              <w:rPr>
                <w:sz w:val="14"/>
                <w:szCs w:val="14"/>
              </w:rPr>
            </w:pPr>
            <w:r w:rsidRPr="00BD16B4">
              <w:rPr>
                <w:sz w:val="14"/>
                <w:szCs w:val="14"/>
              </w:rPr>
              <w:t>Ministry for Primary Industries</w:t>
            </w:r>
          </w:p>
        </w:tc>
        <w:tc>
          <w:tcPr>
            <w:tcW w:w="851" w:type="dxa"/>
          </w:tcPr>
          <w:p w14:paraId="2D96189C" w14:textId="77777777" w:rsidR="00CA1920" w:rsidRPr="00BD16B4" w:rsidRDefault="00CA1920" w:rsidP="005173B2">
            <w:pPr>
              <w:pStyle w:val="TableText"/>
              <w:spacing w:before="40" w:after="40" w:line="240" w:lineRule="auto"/>
              <w:rPr>
                <w:rFonts w:cs="Calibri"/>
                <w:sz w:val="14"/>
                <w:szCs w:val="14"/>
              </w:rPr>
            </w:pPr>
            <w:r w:rsidRPr="00BD16B4">
              <w:rPr>
                <w:sz w:val="14"/>
                <w:szCs w:val="14"/>
              </w:rPr>
              <w:t>NE</w:t>
            </w:r>
          </w:p>
        </w:tc>
        <w:tc>
          <w:tcPr>
            <w:tcW w:w="850" w:type="dxa"/>
          </w:tcPr>
          <w:p w14:paraId="723AD5F6" w14:textId="77777777" w:rsidR="00CA1920" w:rsidRPr="00BD16B4" w:rsidRDefault="00CA1920" w:rsidP="002D166E">
            <w:pPr>
              <w:pStyle w:val="TableText"/>
              <w:spacing w:before="40" w:after="40" w:line="240" w:lineRule="auto"/>
              <w:rPr>
                <w:rFonts w:cs="Calibri"/>
                <w:sz w:val="14"/>
                <w:szCs w:val="14"/>
              </w:rPr>
            </w:pPr>
            <w:r w:rsidRPr="00BD16B4">
              <w:rPr>
                <w:sz w:val="14"/>
                <w:szCs w:val="14"/>
              </w:rPr>
              <w:t>NE</w:t>
            </w:r>
          </w:p>
        </w:tc>
        <w:tc>
          <w:tcPr>
            <w:tcW w:w="851" w:type="dxa"/>
          </w:tcPr>
          <w:p w14:paraId="562F2E89" w14:textId="77777777" w:rsidR="00CA1920" w:rsidRPr="00BD16B4" w:rsidRDefault="00CA1920" w:rsidP="005173B2">
            <w:pPr>
              <w:pStyle w:val="TableText"/>
              <w:spacing w:before="40" w:after="40" w:line="240" w:lineRule="auto"/>
              <w:rPr>
                <w:rFonts w:cs="Calibri"/>
                <w:sz w:val="14"/>
                <w:szCs w:val="14"/>
              </w:rPr>
            </w:pPr>
            <w:r w:rsidRPr="00BD16B4">
              <w:rPr>
                <w:sz w:val="14"/>
                <w:szCs w:val="14"/>
              </w:rPr>
              <w:t>NE</w:t>
            </w:r>
          </w:p>
        </w:tc>
      </w:tr>
      <w:tr w:rsidR="006709EC" w:rsidRPr="00BD16B4" w14:paraId="5855E4EF" w14:textId="77777777" w:rsidTr="006709EC">
        <w:tc>
          <w:tcPr>
            <w:tcW w:w="1632" w:type="dxa"/>
          </w:tcPr>
          <w:p w14:paraId="3C32D2C7" w14:textId="77777777" w:rsidR="00CA1920" w:rsidRPr="00BD16B4" w:rsidRDefault="00CA1920" w:rsidP="002D166E">
            <w:pPr>
              <w:pStyle w:val="TableText"/>
              <w:keepNext/>
              <w:spacing w:before="40" w:after="40" w:line="240" w:lineRule="auto"/>
              <w:rPr>
                <w:sz w:val="14"/>
                <w:szCs w:val="14"/>
              </w:rPr>
            </w:pPr>
            <w:r w:rsidRPr="00BD16B4">
              <w:rPr>
                <w:sz w:val="14"/>
                <w:szCs w:val="14"/>
              </w:rPr>
              <w:t>New Zealand Agricultural Greenhouse Gas Research Centre</w:t>
            </w:r>
          </w:p>
        </w:tc>
        <w:tc>
          <w:tcPr>
            <w:tcW w:w="1316" w:type="dxa"/>
          </w:tcPr>
          <w:p w14:paraId="04CCE2F4" w14:textId="77777777" w:rsidR="00CA1920" w:rsidRPr="00BD16B4" w:rsidRDefault="00CA1920" w:rsidP="002D166E">
            <w:pPr>
              <w:pStyle w:val="TableText"/>
              <w:spacing w:before="40" w:after="40" w:line="240" w:lineRule="auto"/>
              <w:rPr>
                <w:sz w:val="14"/>
                <w:szCs w:val="14"/>
              </w:rPr>
            </w:pPr>
            <w:r w:rsidRPr="00BD16B4">
              <w:rPr>
                <w:sz w:val="14"/>
                <w:szCs w:val="14"/>
              </w:rPr>
              <w:t>Agriculture</w:t>
            </w:r>
          </w:p>
        </w:tc>
        <w:tc>
          <w:tcPr>
            <w:tcW w:w="567" w:type="dxa"/>
          </w:tcPr>
          <w:p w14:paraId="432B6922" w14:textId="77777777" w:rsidR="00CA1920" w:rsidRPr="00BD16B4" w:rsidRDefault="00CA1920" w:rsidP="002D166E">
            <w:pPr>
              <w:pStyle w:val="TableText"/>
              <w:spacing w:before="40" w:after="40" w:line="240" w:lineRule="auto"/>
              <w:rPr>
                <w:sz w:val="14"/>
                <w:szCs w:val="14"/>
              </w:rPr>
            </w:pPr>
            <w:r w:rsidRPr="00BD16B4">
              <w:rPr>
                <w:sz w:val="14"/>
                <w:szCs w:val="14"/>
              </w:rPr>
              <w:t>CH</w:t>
            </w:r>
            <w:r w:rsidRPr="00BD16B4">
              <w:rPr>
                <w:sz w:val="14"/>
                <w:szCs w:val="14"/>
                <w:vertAlign w:val="subscript"/>
              </w:rPr>
              <w:t>4</w:t>
            </w:r>
            <w:r w:rsidRPr="00BD16B4">
              <w:rPr>
                <w:sz w:val="14"/>
                <w:szCs w:val="14"/>
              </w:rPr>
              <w:t>, N</w:t>
            </w:r>
            <w:r w:rsidRPr="00BD16B4">
              <w:rPr>
                <w:sz w:val="14"/>
                <w:szCs w:val="14"/>
                <w:vertAlign w:val="subscript"/>
              </w:rPr>
              <w:t>2</w:t>
            </w:r>
            <w:r w:rsidRPr="00BD16B4">
              <w:rPr>
                <w:sz w:val="14"/>
                <w:szCs w:val="14"/>
              </w:rPr>
              <w:t>O, CO</w:t>
            </w:r>
            <w:r w:rsidRPr="00BD16B4">
              <w:rPr>
                <w:sz w:val="14"/>
                <w:szCs w:val="14"/>
                <w:vertAlign w:val="subscript"/>
              </w:rPr>
              <w:t>2</w:t>
            </w:r>
          </w:p>
        </w:tc>
        <w:tc>
          <w:tcPr>
            <w:tcW w:w="1701" w:type="dxa"/>
          </w:tcPr>
          <w:p w14:paraId="736D038E" w14:textId="77777777" w:rsidR="00CA1920" w:rsidRPr="00BD16B4" w:rsidRDefault="00CA1920" w:rsidP="002D166E">
            <w:pPr>
              <w:pStyle w:val="TableText"/>
              <w:spacing w:before="40" w:after="40" w:line="240" w:lineRule="auto"/>
              <w:rPr>
                <w:sz w:val="14"/>
                <w:szCs w:val="14"/>
              </w:rPr>
            </w:pPr>
            <w:r w:rsidRPr="00BD16B4">
              <w:rPr>
                <w:sz w:val="14"/>
                <w:szCs w:val="14"/>
              </w:rPr>
              <w:t>Focus on ways to reduce on-farm CH</w:t>
            </w:r>
            <w:r w:rsidRPr="00BD16B4">
              <w:rPr>
                <w:sz w:val="14"/>
                <w:szCs w:val="14"/>
                <w:vertAlign w:val="subscript"/>
              </w:rPr>
              <w:t>4</w:t>
            </w:r>
            <w:r w:rsidRPr="00BD16B4">
              <w:rPr>
                <w:sz w:val="14"/>
                <w:szCs w:val="14"/>
              </w:rPr>
              <w:t xml:space="preserve"> and N</w:t>
            </w:r>
            <w:r w:rsidRPr="00BD16B4">
              <w:rPr>
                <w:sz w:val="14"/>
                <w:szCs w:val="14"/>
                <w:vertAlign w:val="subscript"/>
              </w:rPr>
              <w:t>2</w:t>
            </w:r>
            <w:r w:rsidRPr="00BD16B4">
              <w:rPr>
                <w:sz w:val="14"/>
                <w:szCs w:val="14"/>
              </w:rPr>
              <w:t>O emissions and enhance soil carbon.</w:t>
            </w:r>
          </w:p>
        </w:tc>
        <w:tc>
          <w:tcPr>
            <w:tcW w:w="1134" w:type="dxa"/>
          </w:tcPr>
          <w:p w14:paraId="382E665B" w14:textId="77777777" w:rsidR="00CA1920" w:rsidRPr="00BD16B4" w:rsidRDefault="00CA1920" w:rsidP="002D166E">
            <w:pPr>
              <w:pStyle w:val="TableText"/>
              <w:spacing w:before="40" w:after="40" w:line="240" w:lineRule="auto"/>
              <w:rPr>
                <w:sz w:val="14"/>
                <w:szCs w:val="14"/>
              </w:rPr>
            </w:pPr>
            <w:r w:rsidRPr="00BD16B4">
              <w:rPr>
                <w:sz w:val="14"/>
                <w:szCs w:val="14"/>
              </w:rPr>
              <w:t>Research, information, capability building, education</w:t>
            </w:r>
          </w:p>
        </w:tc>
        <w:tc>
          <w:tcPr>
            <w:tcW w:w="992" w:type="dxa"/>
          </w:tcPr>
          <w:p w14:paraId="67198FFE" w14:textId="77777777" w:rsidR="00CA1920" w:rsidRPr="00BD16B4" w:rsidRDefault="00CA1920" w:rsidP="002D166E">
            <w:pPr>
              <w:pStyle w:val="TableText"/>
              <w:spacing w:before="40" w:after="40" w:line="240" w:lineRule="auto"/>
              <w:rPr>
                <w:sz w:val="14"/>
                <w:szCs w:val="14"/>
              </w:rPr>
            </w:pPr>
            <w:r w:rsidRPr="00BD16B4">
              <w:rPr>
                <w:sz w:val="14"/>
                <w:szCs w:val="14"/>
              </w:rPr>
              <w:t>Implemented</w:t>
            </w:r>
          </w:p>
        </w:tc>
        <w:tc>
          <w:tcPr>
            <w:tcW w:w="2410" w:type="dxa"/>
          </w:tcPr>
          <w:p w14:paraId="5AB5E26E" w14:textId="77777777" w:rsidR="00CA1920" w:rsidRPr="00BD16B4" w:rsidRDefault="00CA1920" w:rsidP="002D166E">
            <w:pPr>
              <w:spacing w:before="40" w:after="40" w:line="240" w:lineRule="auto"/>
              <w:jc w:val="left"/>
              <w:rPr>
                <w:sz w:val="14"/>
                <w:szCs w:val="14"/>
              </w:rPr>
            </w:pPr>
            <w:r w:rsidRPr="00BD16B4">
              <w:rPr>
                <w:sz w:val="14"/>
                <w:szCs w:val="14"/>
              </w:rPr>
              <w:t>Brings together nine primary sector research organisations.</w:t>
            </w:r>
          </w:p>
        </w:tc>
        <w:tc>
          <w:tcPr>
            <w:tcW w:w="567" w:type="dxa"/>
          </w:tcPr>
          <w:p w14:paraId="0EBC8A07" w14:textId="77777777" w:rsidR="00CA1920" w:rsidRPr="00BD16B4" w:rsidRDefault="00CA1920" w:rsidP="002D166E">
            <w:pPr>
              <w:pStyle w:val="TableText"/>
              <w:spacing w:before="40" w:after="40" w:line="240" w:lineRule="auto"/>
              <w:rPr>
                <w:sz w:val="14"/>
                <w:szCs w:val="14"/>
              </w:rPr>
            </w:pPr>
            <w:r w:rsidRPr="00BD16B4">
              <w:rPr>
                <w:sz w:val="14"/>
                <w:szCs w:val="14"/>
              </w:rPr>
              <w:t>2009</w:t>
            </w:r>
          </w:p>
        </w:tc>
        <w:tc>
          <w:tcPr>
            <w:tcW w:w="1701" w:type="dxa"/>
          </w:tcPr>
          <w:p w14:paraId="7207EFE1" w14:textId="77777777" w:rsidR="00CA1920" w:rsidRPr="00BD16B4" w:rsidRDefault="00CA1920" w:rsidP="002D166E">
            <w:pPr>
              <w:pStyle w:val="TableText"/>
              <w:spacing w:before="40" w:after="40" w:line="240" w:lineRule="auto"/>
              <w:rPr>
                <w:sz w:val="14"/>
                <w:szCs w:val="14"/>
              </w:rPr>
            </w:pPr>
            <w:r w:rsidRPr="00BD16B4">
              <w:rPr>
                <w:sz w:val="14"/>
                <w:szCs w:val="14"/>
              </w:rPr>
              <w:t>Ministry for Primary Industries</w:t>
            </w:r>
          </w:p>
        </w:tc>
        <w:tc>
          <w:tcPr>
            <w:tcW w:w="851" w:type="dxa"/>
          </w:tcPr>
          <w:p w14:paraId="358A7390" w14:textId="77777777" w:rsidR="00CA1920" w:rsidRPr="00BD16B4" w:rsidRDefault="00CA1920" w:rsidP="005173B2">
            <w:pPr>
              <w:pStyle w:val="TableText"/>
              <w:spacing w:before="40" w:after="40" w:line="240" w:lineRule="auto"/>
              <w:rPr>
                <w:rFonts w:cs="Calibri"/>
                <w:sz w:val="14"/>
                <w:szCs w:val="14"/>
              </w:rPr>
            </w:pPr>
            <w:r w:rsidRPr="00BD16B4">
              <w:rPr>
                <w:sz w:val="14"/>
                <w:szCs w:val="14"/>
              </w:rPr>
              <w:t>NE</w:t>
            </w:r>
          </w:p>
        </w:tc>
        <w:tc>
          <w:tcPr>
            <w:tcW w:w="850" w:type="dxa"/>
          </w:tcPr>
          <w:p w14:paraId="1B8039A6" w14:textId="77777777" w:rsidR="00CA1920" w:rsidRPr="00BD16B4" w:rsidRDefault="00CA1920" w:rsidP="002D166E">
            <w:pPr>
              <w:pStyle w:val="TableText"/>
              <w:spacing w:before="40" w:after="40" w:line="240" w:lineRule="auto"/>
              <w:rPr>
                <w:rFonts w:cs="Calibri"/>
                <w:sz w:val="14"/>
                <w:szCs w:val="14"/>
              </w:rPr>
            </w:pPr>
            <w:r w:rsidRPr="00BD16B4">
              <w:rPr>
                <w:sz w:val="14"/>
                <w:szCs w:val="14"/>
              </w:rPr>
              <w:t>NE</w:t>
            </w:r>
          </w:p>
        </w:tc>
        <w:tc>
          <w:tcPr>
            <w:tcW w:w="851" w:type="dxa"/>
          </w:tcPr>
          <w:p w14:paraId="21306315" w14:textId="77777777" w:rsidR="00CA1920" w:rsidRPr="00BD16B4" w:rsidRDefault="00CA1920" w:rsidP="005173B2">
            <w:pPr>
              <w:pStyle w:val="TableText"/>
              <w:spacing w:before="40" w:after="40" w:line="240" w:lineRule="auto"/>
              <w:rPr>
                <w:rFonts w:cs="Calibri"/>
                <w:sz w:val="14"/>
                <w:szCs w:val="14"/>
              </w:rPr>
            </w:pPr>
            <w:r w:rsidRPr="00BD16B4">
              <w:rPr>
                <w:sz w:val="14"/>
                <w:szCs w:val="14"/>
              </w:rPr>
              <w:t>NE</w:t>
            </w:r>
          </w:p>
        </w:tc>
      </w:tr>
      <w:tr w:rsidR="006709EC" w:rsidRPr="00BD16B4" w14:paraId="5C616FEC" w14:textId="77777777" w:rsidTr="006709EC">
        <w:tc>
          <w:tcPr>
            <w:tcW w:w="1632" w:type="dxa"/>
          </w:tcPr>
          <w:p w14:paraId="723C8986" w14:textId="77777777" w:rsidR="00CA1920" w:rsidRPr="00BD16B4" w:rsidRDefault="00CA1920" w:rsidP="002D166E">
            <w:pPr>
              <w:pStyle w:val="TableText"/>
              <w:spacing w:before="40" w:after="40" w:line="240" w:lineRule="auto"/>
              <w:rPr>
                <w:sz w:val="14"/>
                <w:szCs w:val="14"/>
              </w:rPr>
            </w:pPr>
            <w:r w:rsidRPr="00BD16B4">
              <w:rPr>
                <w:sz w:val="14"/>
                <w:szCs w:val="14"/>
              </w:rPr>
              <w:t>Sustainable Food and Fibre Futures</w:t>
            </w:r>
          </w:p>
        </w:tc>
        <w:tc>
          <w:tcPr>
            <w:tcW w:w="1316" w:type="dxa"/>
          </w:tcPr>
          <w:p w14:paraId="1774DEAE" w14:textId="77777777" w:rsidR="00CA1920" w:rsidRPr="00BD16B4" w:rsidRDefault="00CA1920" w:rsidP="002D166E">
            <w:pPr>
              <w:pStyle w:val="TableText"/>
              <w:spacing w:before="40" w:after="40" w:line="240" w:lineRule="auto"/>
              <w:rPr>
                <w:sz w:val="14"/>
                <w:szCs w:val="14"/>
              </w:rPr>
            </w:pPr>
            <w:r w:rsidRPr="00BD16B4">
              <w:rPr>
                <w:sz w:val="14"/>
                <w:szCs w:val="14"/>
              </w:rPr>
              <w:t>Agriculture</w:t>
            </w:r>
          </w:p>
        </w:tc>
        <w:tc>
          <w:tcPr>
            <w:tcW w:w="567" w:type="dxa"/>
          </w:tcPr>
          <w:p w14:paraId="798F7C91" w14:textId="77777777" w:rsidR="00CA1920" w:rsidRPr="00BD16B4" w:rsidRDefault="00CA1920" w:rsidP="002D166E">
            <w:pPr>
              <w:pStyle w:val="TableText"/>
              <w:spacing w:before="40" w:after="40" w:line="240" w:lineRule="auto"/>
              <w:rPr>
                <w:sz w:val="14"/>
                <w:szCs w:val="14"/>
              </w:rPr>
            </w:pPr>
            <w:r w:rsidRPr="00BD16B4">
              <w:rPr>
                <w:sz w:val="14"/>
                <w:szCs w:val="14"/>
              </w:rPr>
              <w:t>CH</w:t>
            </w:r>
            <w:r w:rsidRPr="00BD16B4">
              <w:rPr>
                <w:sz w:val="14"/>
                <w:szCs w:val="14"/>
                <w:vertAlign w:val="subscript"/>
              </w:rPr>
              <w:t>4</w:t>
            </w:r>
            <w:r w:rsidRPr="00BD16B4">
              <w:rPr>
                <w:sz w:val="14"/>
                <w:szCs w:val="14"/>
              </w:rPr>
              <w:t>, N</w:t>
            </w:r>
            <w:r w:rsidRPr="00BD16B4">
              <w:rPr>
                <w:sz w:val="14"/>
                <w:szCs w:val="14"/>
                <w:vertAlign w:val="subscript"/>
              </w:rPr>
              <w:t>2</w:t>
            </w:r>
            <w:r w:rsidRPr="00BD16B4">
              <w:rPr>
                <w:sz w:val="14"/>
                <w:szCs w:val="14"/>
              </w:rPr>
              <w:t>O, CO</w:t>
            </w:r>
            <w:r w:rsidRPr="00BD16B4">
              <w:rPr>
                <w:sz w:val="14"/>
                <w:szCs w:val="14"/>
                <w:vertAlign w:val="subscript"/>
              </w:rPr>
              <w:t>2</w:t>
            </w:r>
          </w:p>
        </w:tc>
        <w:tc>
          <w:tcPr>
            <w:tcW w:w="1701" w:type="dxa"/>
          </w:tcPr>
          <w:p w14:paraId="10AAD232" w14:textId="77777777" w:rsidR="00CA1920" w:rsidRPr="00BD16B4" w:rsidRDefault="00CA1920" w:rsidP="002D166E">
            <w:pPr>
              <w:pStyle w:val="TableText"/>
              <w:spacing w:before="40" w:after="40" w:line="240" w:lineRule="auto"/>
              <w:rPr>
                <w:sz w:val="14"/>
                <w:szCs w:val="14"/>
              </w:rPr>
            </w:pPr>
            <w:r w:rsidRPr="00BD16B4">
              <w:rPr>
                <w:sz w:val="14"/>
                <w:szCs w:val="14"/>
              </w:rPr>
              <w:t>Invest in innovative projects to grow New Zealand's food and fibre industries sustainably.</w:t>
            </w:r>
          </w:p>
        </w:tc>
        <w:tc>
          <w:tcPr>
            <w:tcW w:w="1134" w:type="dxa"/>
          </w:tcPr>
          <w:p w14:paraId="044E8409" w14:textId="77777777" w:rsidR="00CA1920" w:rsidRPr="00BD16B4" w:rsidRDefault="00CA1920" w:rsidP="002D166E">
            <w:pPr>
              <w:pStyle w:val="TableText"/>
              <w:spacing w:before="40" w:after="40" w:line="240" w:lineRule="auto"/>
              <w:rPr>
                <w:sz w:val="14"/>
                <w:szCs w:val="14"/>
              </w:rPr>
            </w:pPr>
            <w:r w:rsidRPr="00BD16B4">
              <w:rPr>
                <w:sz w:val="14"/>
                <w:szCs w:val="14"/>
              </w:rPr>
              <w:t>Research, information, training</w:t>
            </w:r>
          </w:p>
        </w:tc>
        <w:tc>
          <w:tcPr>
            <w:tcW w:w="992" w:type="dxa"/>
          </w:tcPr>
          <w:p w14:paraId="532C05C4" w14:textId="77777777" w:rsidR="00CA1920" w:rsidRPr="00BD16B4" w:rsidRDefault="00CA1920" w:rsidP="002D166E">
            <w:pPr>
              <w:pStyle w:val="TableText"/>
              <w:spacing w:before="40" w:after="40" w:line="240" w:lineRule="auto"/>
              <w:rPr>
                <w:sz w:val="14"/>
                <w:szCs w:val="14"/>
              </w:rPr>
            </w:pPr>
            <w:r w:rsidRPr="00BD16B4">
              <w:rPr>
                <w:sz w:val="14"/>
                <w:szCs w:val="14"/>
              </w:rPr>
              <w:t>Implemented</w:t>
            </w:r>
          </w:p>
        </w:tc>
        <w:tc>
          <w:tcPr>
            <w:tcW w:w="2410" w:type="dxa"/>
          </w:tcPr>
          <w:p w14:paraId="5AE60864" w14:textId="77777777" w:rsidR="00CA1920" w:rsidRPr="00BD16B4" w:rsidRDefault="00CA1920" w:rsidP="002D166E">
            <w:pPr>
              <w:spacing w:before="40" w:after="40" w:line="240" w:lineRule="auto"/>
              <w:jc w:val="left"/>
              <w:rPr>
                <w:sz w:val="14"/>
                <w:szCs w:val="14"/>
              </w:rPr>
            </w:pPr>
            <w:r w:rsidRPr="00BD16B4">
              <w:rPr>
                <w:sz w:val="14"/>
                <w:szCs w:val="14"/>
              </w:rPr>
              <w:t>Provides funding for programmes of research and innovation.</w:t>
            </w:r>
          </w:p>
        </w:tc>
        <w:tc>
          <w:tcPr>
            <w:tcW w:w="567" w:type="dxa"/>
          </w:tcPr>
          <w:p w14:paraId="45DCDC83" w14:textId="77777777" w:rsidR="00CA1920" w:rsidRPr="00BD16B4" w:rsidRDefault="00CA1920" w:rsidP="002D166E">
            <w:pPr>
              <w:pStyle w:val="TableText"/>
              <w:spacing w:before="40" w:after="40" w:line="240" w:lineRule="auto"/>
              <w:rPr>
                <w:sz w:val="14"/>
                <w:szCs w:val="14"/>
              </w:rPr>
            </w:pPr>
            <w:r w:rsidRPr="00BD16B4">
              <w:rPr>
                <w:sz w:val="14"/>
                <w:szCs w:val="14"/>
              </w:rPr>
              <w:t>2018</w:t>
            </w:r>
          </w:p>
        </w:tc>
        <w:tc>
          <w:tcPr>
            <w:tcW w:w="1701" w:type="dxa"/>
          </w:tcPr>
          <w:p w14:paraId="450474EA" w14:textId="77777777" w:rsidR="00CA1920" w:rsidRPr="00BD16B4" w:rsidRDefault="00CA1920" w:rsidP="002D166E">
            <w:pPr>
              <w:pStyle w:val="TableText"/>
              <w:spacing w:before="40" w:after="40" w:line="240" w:lineRule="auto"/>
              <w:rPr>
                <w:sz w:val="14"/>
                <w:szCs w:val="14"/>
              </w:rPr>
            </w:pPr>
            <w:r w:rsidRPr="00BD16B4">
              <w:rPr>
                <w:sz w:val="14"/>
                <w:szCs w:val="14"/>
              </w:rPr>
              <w:t>Ministry for Primary Industries</w:t>
            </w:r>
          </w:p>
        </w:tc>
        <w:tc>
          <w:tcPr>
            <w:tcW w:w="851" w:type="dxa"/>
          </w:tcPr>
          <w:p w14:paraId="5706215A" w14:textId="77777777" w:rsidR="00CA1920" w:rsidRPr="00BD16B4" w:rsidRDefault="00CA1920" w:rsidP="005173B2">
            <w:pPr>
              <w:pStyle w:val="TableText"/>
              <w:spacing w:before="40" w:after="40" w:line="240" w:lineRule="auto"/>
              <w:rPr>
                <w:sz w:val="14"/>
                <w:szCs w:val="14"/>
              </w:rPr>
            </w:pPr>
            <w:r w:rsidRPr="00BD16B4">
              <w:rPr>
                <w:sz w:val="14"/>
                <w:szCs w:val="14"/>
              </w:rPr>
              <w:t>NE</w:t>
            </w:r>
          </w:p>
        </w:tc>
        <w:tc>
          <w:tcPr>
            <w:tcW w:w="850" w:type="dxa"/>
          </w:tcPr>
          <w:p w14:paraId="213A6C90" w14:textId="77777777" w:rsidR="00CA1920" w:rsidRPr="00BD16B4" w:rsidRDefault="00CA1920" w:rsidP="002D166E">
            <w:pPr>
              <w:pStyle w:val="TableText"/>
              <w:spacing w:before="40" w:after="40" w:line="240" w:lineRule="auto"/>
              <w:rPr>
                <w:sz w:val="14"/>
                <w:szCs w:val="14"/>
              </w:rPr>
            </w:pPr>
            <w:r w:rsidRPr="00BD16B4">
              <w:rPr>
                <w:sz w:val="14"/>
                <w:szCs w:val="14"/>
              </w:rPr>
              <w:t>NE</w:t>
            </w:r>
          </w:p>
        </w:tc>
        <w:tc>
          <w:tcPr>
            <w:tcW w:w="851" w:type="dxa"/>
          </w:tcPr>
          <w:p w14:paraId="5963953F" w14:textId="77777777" w:rsidR="00CA1920" w:rsidRPr="00BD16B4" w:rsidRDefault="00CA1920" w:rsidP="005173B2">
            <w:pPr>
              <w:pStyle w:val="TableText"/>
              <w:spacing w:before="40" w:after="40" w:line="240" w:lineRule="auto"/>
              <w:rPr>
                <w:sz w:val="14"/>
                <w:szCs w:val="14"/>
              </w:rPr>
            </w:pPr>
            <w:r w:rsidRPr="00BD16B4">
              <w:rPr>
                <w:sz w:val="14"/>
                <w:szCs w:val="14"/>
              </w:rPr>
              <w:t>NE</w:t>
            </w:r>
          </w:p>
        </w:tc>
      </w:tr>
      <w:tr w:rsidR="006709EC" w:rsidRPr="00BD16B4" w14:paraId="38F79B17" w14:textId="77777777" w:rsidTr="006709EC">
        <w:tc>
          <w:tcPr>
            <w:tcW w:w="1632" w:type="dxa"/>
          </w:tcPr>
          <w:p w14:paraId="210F8901" w14:textId="77777777" w:rsidR="00CA1920" w:rsidRPr="00BD16B4" w:rsidRDefault="00CA1920" w:rsidP="00536082">
            <w:pPr>
              <w:pStyle w:val="TableText"/>
              <w:keepNext/>
              <w:spacing w:before="40" w:after="40" w:line="240" w:lineRule="auto"/>
              <w:rPr>
                <w:sz w:val="14"/>
                <w:szCs w:val="14"/>
              </w:rPr>
            </w:pPr>
            <w:r w:rsidRPr="00BD16B4">
              <w:rPr>
                <w:sz w:val="14"/>
                <w:szCs w:val="14"/>
              </w:rPr>
              <w:lastRenderedPageBreak/>
              <w:t>Sustainable Land Management and Climate Change Research Programme</w:t>
            </w:r>
          </w:p>
        </w:tc>
        <w:tc>
          <w:tcPr>
            <w:tcW w:w="1316" w:type="dxa"/>
          </w:tcPr>
          <w:p w14:paraId="6C079DCA" w14:textId="77777777" w:rsidR="00CA1920" w:rsidRPr="00BD16B4" w:rsidRDefault="00CA1920" w:rsidP="002D166E">
            <w:pPr>
              <w:pStyle w:val="TableText"/>
              <w:spacing w:before="40" w:after="40" w:line="240" w:lineRule="auto"/>
              <w:rPr>
                <w:sz w:val="14"/>
                <w:szCs w:val="14"/>
              </w:rPr>
            </w:pPr>
            <w:r w:rsidRPr="00BD16B4">
              <w:rPr>
                <w:sz w:val="14"/>
                <w:szCs w:val="14"/>
              </w:rPr>
              <w:t>Agriculture</w:t>
            </w:r>
          </w:p>
        </w:tc>
        <w:tc>
          <w:tcPr>
            <w:tcW w:w="567" w:type="dxa"/>
          </w:tcPr>
          <w:p w14:paraId="7B3D3196" w14:textId="77777777" w:rsidR="00CA1920" w:rsidRPr="00BD16B4" w:rsidRDefault="00CA1920" w:rsidP="002D166E">
            <w:pPr>
              <w:pStyle w:val="TableText"/>
              <w:spacing w:before="40" w:after="40" w:line="240" w:lineRule="auto"/>
              <w:rPr>
                <w:sz w:val="14"/>
                <w:szCs w:val="14"/>
              </w:rPr>
            </w:pPr>
            <w:r w:rsidRPr="00BD16B4">
              <w:rPr>
                <w:sz w:val="14"/>
                <w:szCs w:val="14"/>
              </w:rPr>
              <w:t>CH</w:t>
            </w:r>
            <w:r w:rsidRPr="00BD16B4">
              <w:rPr>
                <w:sz w:val="14"/>
                <w:szCs w:val="14"/>
                <w:vertAlign w:val="subscript"/>
              </w:rPr>
              <w:t>4</w:t>
            </w:r>
            <w:r w:rsidRPr="00BD16B4">
              <w:rPr>
                <w:sz w:val="14"/>
                <w:szCs w:val="14"/>
              </w:rPr>
              <w:t>, N</w:t>
            </w:r>
            <w:r w:rsidRPr="00BD16B4">
              <w:rPr>
                <w:sz w:val="14"/>
                <w:szCs w:val="14"/>
                <w:vertAlign w:val="subscript"/>
              </w:rPr>
              <w:t>2</w:t>
            </w:r>
            <w:r w:rsidRPr="00BD16B4">
              <w:rPr>
                <w:sz w:val="14"/>
                <w:szCs w:val="14"/>
              </w:rPr>
              <w:t>O, CO</w:t>
            </w:r>
            <w:r w:rsidRPr="00BD16B4">
              <w:rPr>
                <w:sz w:val="14"/>
                <w:szCs w:val="14"/>
                <w:vertAlign w:val="subscript"/>
              </w:rPr>
              <w:t>2</w:t>
            </w:r>
          </w:p>
        </w:tc>
        <w:tc>
          <w:tcPr>
            <w:tcW w:w="1701" w:type="dxa"/>
          </w:tcPr>
          <w:p w14:paraId="75A43436" w14:textId="77777777" w:rsidR="00CA1920" w:rsidRPr="00BD16B4" w:rsidRDefault="00CA1920" w:rsidP="002D166E">
            <w:pPr>
              <w:pStyle w:val="TableText"/>
              <w:spacing w:before="40" w:after="40" w:line="240" w:lineRule="auto"/>
              <w:rPr>
                <w:sz w:val="14"/>
                <w:szCs w:val="14"/>
              </w:rPr>
            </w:pPr>
            <w:r w:rsidRPr="00BD16B4">
              <w:rPr>
                <w:sz w:val="14"/>
                <w:szCs w:val="14"/>
              </w:rPr>
              <w:t xml:space="preserve">Research programmes in agriculture and forestry sectors. </w:t>
            </w:r>
          </w:p>
        </w:tc>
        <w:tc>
          <w:tcPr>
            <w:tcW w:w="1134" w:type="dxa"/>
          </w:tcPr>
          <w:p w14:paraId="3773EB09" w14:textId="77777777" w:rsidR="00CA1920" w:rsidRPr="00BD16B4" w:rsidRDefault="00CA1920" w:rsidP="002D166E">
            <w:pPr>
              <w:pStyle w:val="TableText"/>
              <w:spacing w:before="40" w:after="40" w:line="240" w:lineRule="auto"/>
              <w:rPr>
                <w:sz w:val="14"/>
                <w:szCs w:val="14"/>
              </w:rPr>
            </w:pPr>
            <w:r w:rsidRPr="00BD16B4">
              <w:rPr>
                <w:sz w:val="14"/>
                <w:szCs w:val="14"/>
              </w:rPr>
              <w:t>Research, information, education, capability building, extension</w:t>
            </w:r>
          </w:p>
        </w:tc>
        <w:tc>
          <w:tcPr>
            <w:tcW w:w="992" w:type="dxa"/>
          </w:tcPr>
          <w:p w14:paraId="750C9600" w14:textId="761BA684" w:rsidR="00CA1920" w:rsidRPr="00BD16B4" w:rsidRDefault="00CA1920" w:rsidP="002D166E">
            <w:pPr>
              <w:pStyle w:val="TableText"/>
              <w:spacing w:before="40" w:after="40" w:line="240" w:lineRule="auto"/>
              <w:rPr>
                <w:sz w:val="14"/>
                <w:szCs w:val="14"/>
              </w:rPr>
            </w:pPr>
            <w:r w:rsidRPr="00BD16B4">
              <w:rPr>
                <w:sz w:val="14"/>
                <w:szCs w:val="14"/>
              </w:rPr>
              <w:t>Implemented</w:t>
            </w:r>
          </w:p>
        </w:tc>
        <w:tc>
          <w:tcPr>
            <w:tcW w:w="2410" w:type="dxa"/>
          </w:tcPr>
          <w:p w14:paraId="7EE3871E" w14:textId="77777777" w:rsidR="00CA1920" w:rsidRPr="00BD16B4" w:rsidRDefault="00CA1920" w:rsidP="002D166E">
            <w:pPr>
              <w:spacing w:before="40" w:after="40" w:line="240" w:lineRule="auto"/>
              <w:jc w:val="left"/>
              <w:rPr>
                <w:sz w:val="14"/>
                <w:szCs w:val="14"/>
              </w:rPr>
            </w:pPr>
            <w:r w:rsidRPr="00BD16B4">
              <w:rPr>
                <w:sz w:val="14"/>
                <w:szCs w:val="14"/>
              </w:rPr>
              <w:t>Initiatives and programmes in the agricultural and forestry sectors that focus on adaptation to climate change.</w:t>
            </w:r>
          </w:p>
        </w:tc>
        <w:tc>
          <w:tcPr>
            <w:tcW w:w="567" w:type="dxa"/>
          </w:tcPr>
          <w:p w14:paraId="79C37352" w14:textId="77777777" w:rsidR="00CA1920" w:rsidRPr="00BD16B4" w:rsidRDefault="00CA1920" w:rsidP="002D166E">
            <w:pPr>
              <w:pStyle w:val="TableText"/>
              <w:spacing w:before="40" w:after="40" w:line="240" w:lineRule="auto"/>
              <w:rPr>
                <w:sz w:val="14"/>
                <w:szCs w:val="14"/>
              </w:rPr>
            </w:pPr>
            <w:r w:rsidRPr="00BD16B4">
              <w:rPr>
                <w:sz w:val="14"/>
                <w:szCs w:val="14"/>
              </w:rPr>
              <w:t>2007</w:t>
            </w:r>
          </w:p>
        </w:tc>
        <w:tc>
          <w:tcPr>
            <w:tcW w:w="1701" w:type="dxa"/>
          </w:tcPr>
          <w:p w14:paraId="5A2C0082" w14:textId="77777777" w:rsidR="00CA1920" w:rsidRPr="00BD16B4" w:rsidRDefault="00CA1920" w:rsidP="002D166E">
            <w:pPr>
              <w:pStyle w:val="TableText"/>
              <w:spacing w:before="40" w:after="40" w:line="240" w:lineRule="auto"/>
              <w:rPr>
                <w:sz w:val="14"/>
                <w:szCs w:val="14"/>
              </w:rPr>
            </w:pPr>
            <w:r w:rsidRPr="00BD16B4">
              <w:rPr>
                <w:sz w:val="14"/>
                <w:szCs w:val="14"/>
              </w:rPr>
              <w:t>Ministry for Primary Industries</w:t>
            </w:r>
          </w:p>
        </w:tc>
        <w:tc>
          <w:tcPr>
            <w:tcW w:w="851" w:type="dxa"/>
          </w:tcPr>
          <w:p w14:paraId="651C4E78" w14:textId="77777777" w:rsidR="00CA1920" w:rsidRPr="00BD16B4" w:rsidRDefault="00CA1920" w:rsidP="005173B2">
            <w:pPr>
              <w:pStyle w:val="TableText"/>
              <w:spacing w:before="40" w:after="40" w:line="240" w:lineRule="auto"/>
              <w:rPr>
                <w:sz w:val="14"/>
                <w:szCs w:val="14"/>
              </w:rPr>
            </w:pPr>
            <w:r w:rsidRPr="00BD16B4">
              <w:rPr>
                <w:sz w:val="14"/>
                <w:szCs w:val="14"/>
              </w:rPr>
              <w:t>NE</w:t>
            </w:r>
          </w:p>
        </w:tc>
        <w:tc>
          <w:tcPr>
            <w:tcW w:w="850" w:type="dxa"/>
          </w:tcPr>
          <w:p w14:paraId="09FB4A3B" w14:textId="77777777" w:rsidR="00CA1920" w:rsidRPr="00BD16B4" w:rsidRDefault="00CA1920" w:rsidP="002D166E">
            <w:pPr>
              <w:pStyle w:val="TableText"/>
              <w:spacing w:before="40" w:after="40" w:line="240" w:lineRule="auto"/>
              <w:rPr>
                <w:sz w:val="14"/>
                <w:szCs w:val="14"/>
              </w:rPr>
            </w:pPr>
            <w:r w:rsidRPr="00BD16B4">
              <w:rPr>
                <w:sz w:val="14"/>
                <w:szCs w:val="14"/>
              </w:rPr>
              <w:t>NE</w:t>
            </w:r>
          </w:p>
        </w:tc>
        <w:tc>
          <w:tcPr>
            <w:tcW w:w="851" w:type="dxa"/>
          </w:tcPr>
          <w:p w14:paraId="085B7DD9" w14:textId="77777777" w:rsidR="00CA1920" w:rsidRPr="00BD16B4" w:rsidRDefault="00CA1920" w:rsidP="005173B2">
            <w:pPr>
              <w:pStyle w:val="TableText"/>
              <w:spacing w:before="40" w:after="40" w:line="240" w:lineRule="auto"/>
              <w:rPr>
                <w:sz w:val="14"/>
                <w:szCs w:val="14"/>
              </w:rPr>
            </w:pPr>
            <w:r w:rsidRPr="00BD16B4">
              <w:rPr>
                <w:sz w:val="14"/>
                <w:szCs w:val="14"/>
              </w:rPr>
              <w:t>NE</w:t>
            </w:r>
          </w:p>
        </w:tc>
      </w:tr>
      <w:tr w:rsidR="006709EC" w:rsidRPr="00BD16B4" w14:paraId="7F8105FF" w14:textId="77777777" w:rsidTr="006709EC">
        <w:tc>
          <w:tcPr>
            <w:tcW w:w="1632" w:type="dxa"/>
          </w:tcPr>
          <w:p w14:paraId="0E05901C" w14:textId="77777777" w:rsidR="00CA1920" w:rsidRPr="00BD16B4" w:rsidRDefault="00CA1920" w:rsidP="002D166E">
            <w:pPr>
              <w:pStyle w:val="TableText"/>
              <w:spacing w:before="40" w:after="40" w:line="240" w:lineRule="auto"/>
              <w:rPr>
                <w:sz w:val="14"/>
                <w:szCs w:val="18"/>
              </w:rPr>
            </w:pPr>
            <w:r w:rsidRPr="00BD16B4">
              <w:rPr>
                <w:sz w:val="14"/>
                <w:szCs w:val="14"/>
              </w:rPr>
              <w:t>Synthetic nitrogen fertiliser cap (N-cap)</w:t>
            </w:r>
          </w:p>
        </w:tc>
        <w:tc>
          <w:tcPr>
            <w:tcW w:w="1316" w:type="dxa"/>
          </w:tcPr>
          <w:p w14:paraId="067631FB" w14:textId="77777777" w:rsidR="00CA1920" w:rsidRPr="00BD16B4" w:rsidRDefault="00CA1920" w:rsidP="002D166E">
            <w:pPr>
              <w:pStyle w:val="TableText"/>
              <w:spacing w:before="40" w:after="40" w:line="240" w:lineRule="auto"/>
              <w:rPr>
                <w:sz w:val="14"/>
                <w:szCs w:val="18"/>
              </w:rPr>
            </w:pPr>
            <w:r w:rsidRPr="00BD16B4">
              <w:rPr>
                <w:sz w:val="14"/>
                <w:szCs w:val="14"/>
              </w:rPr>
              <w:t>Agriculture</w:t>
            </w:r>
          </w:p>
        </w:tc>
        <w:tc>
          <w:tcPr>
            <w:tcW w:w="567" w:type="dxa"/>
          </w:tcPr>
          <w:p w14:paraId="7F68194F" w14:textId="77777777" w:rsidR="00CA1920" w:rsidRPr="00BD16B4" w:rsidRDefault="00CA1920" w:rsidP="002D166E">
            <w:pPr>
              <w:pStyle w:val="TableText"/>
              <w:spacing w:before="40" w:after="40" w:line="240" w:lineRule="auto"/>
              <w:rPr>
                <w:sz w:val="14"/>
                <w:szCs w:val="18"/>
              </w:rPr>
            </w:pPr>
            <w:r w:rsidRPr="00BD16B4">
              <w:rPr>
                <w:sz w:val="14"/>
                <w:szCs w:val="14"/>
              </w:rPr>
              <w:t>N</w:t>
            </w:r>
            <w:r w:rsidRPr="00BD16B4">
              <w:rPr>
                <w:sz w:val="14"/>
                <w:szCs w:val="14"/>
                <w:vertAlign w:val="subscript"/>
              </w:rPr>
              <w:t>2</w:t>
            </w:r>
            <w:r w:rsidRPr="00BD16B4">
              <w:rPr>
                <w:sz w:val="14"/>
                <w:szCs w:val="14"/>
              </w:rPr>
              <w:t>O</w:t>
            </w:r>
          </w:p>
        </w:tc>
        <w:tc>
          <w:tcPr>
            <w:tcW w:w="1701" w:type="dxa"/>
          </w:tcPr>
          <w:p w14:paraId="579FF591" w14:textId="77777777" w:rsidR="00CA1920" w:rsidRPr="00BD16B4" w:rsidRDefault="00CA1920" w:rsidP="002D166E">
            <w:pPr>
              <w:pStyle w:val="TableText"/>
              <w:spacing w:before="40" w:after="40" w:line="240" w:lineRule="auto"/>
              <w:rPr>
                <w:sz w:val="14"/>
                <w:szCs w:val="18"/>
              </w:rPr>
            </w:pPr>
            <w:r w:rsidRPr="00BD16B4">
              <w:rPr>
                <w:sz w:val="14"/>
                <w:szCs w:val="14"/>
              </w:rPr>
              <w:t>Limit the impacts of synthetic nitrogen fertiliser on freshwater ecosystems following application to land. The synthetic fertiliser cap will have the co-benefit of a reduction in synthetic nitrogen fertiliser applied to land, and modelled reduction in N</w:t>
            </w:r>
            <w:r w:rsidRPr="00BD16B4">
              <w:rPr>
                <w:sz w:val="14"/>
                <w:szCs w:val="14"/>
                <w:vertAlign w:val="subscript"/>
              </w:rPr>
              <w:t>2</w:t>
            </w:r>
            <w:r w:rsidRPr="00BD16B4">
              <w:rPr>
                <w:sz w:val="14"/>
                <w:szCs w:val="14"/>
              </w:rPr>
              <w:t>O emissions.</w:t>
            </w:r>
          </w:p>
        </w:tc>
        <w:tc>
          <w:tcPr>
            <w:tcW w:w="1134" w:type="dxa"/>
          </w:tcPr>
          <w:p w14:paraId="2E9C9DE8" w14:textId="77777777" w:rsidR="00CA1920" w:rsidRPr="00BD16B4" w:rsidRDefault="00CA1920" w:rsidP="002D166E">
            <w:pPr>
              <w:pStyle w:val="TableText"/>
              <w:spacing w:before="40" w:after="40" w:line="240" w:lineRule="auto"/>
              <w:rPr>
                <w:sz w:val="14"/>
                <w:szCs w:val="18"/>
              </w:rPr>
            </w:pPr>
            <w:r w:rsidRPr="00BD16B4">
              <w:rPr>
                <w:sz w:val="14"/>
                <w:szCs w:val="14"/>
              </w:rPr>
              <w:t>Regulatory</w:t>
            </w:r>
          </w:p>
        </w:tc>
        <w:tc>
          <w:tcPr>
            <w:tcW w:w="992" w:type="dxa"/>
          </w:tcPr>
          <w:p w14:paraId="4962AC24" w14:textId="77777777" w:rsidR="00CA1920" w:rsidRPr="00BD16B4" w:rsidRDefault="00CA1920" w:rsidP="002D166E">
            <w:pPr>
              <w:pStyle w:val="TableText"/>
              <w:spacing w:before="40" w:after="40" w:line="240" w:lineRule="auto"/>
              <w:rPr>
                <w:sz w:val="14"/>
                <w:szCs w:val="18"/>
              </w:rPr>
            </w:pPr>
            <w:r w:rsidRPr="00BD16B4">
              <w:rPr>
                <w:sz w:val="14"/>
                <w:szCs w:val="14"/>
              </w:rPr>
              <w:t>Implemented (WEM)</w:t>
            </w:r>
          </w:p>
        </w:tc>
        <w:tc>
          <w:tcPr>
            <w:tcW w:w="2410" w:type="dxa"/>
          </w:tcPr>
          <w:p w14:paraId="6972B944" w14:textId="77777777" w:rsidR="00CA1920" w:rsidRPr="00BD16B4" w:rsidRDefault="00CA1920" w:rsidP="002D166E">
            <w:pPr>
              <w:spacing w:before="40" w:after="40" w:line="240" w:lineRule="auto"/>
              <w:jc w:val="left"/>
              <w:rPr>
                <w:sz w:val="14"/>
                <w:szCs w:val="18"/>
              </w:rPr>
            </w:pPr>
            <w:r w:rsidRPr="00BD16B4">
              <w:rPr>
                <w:sz w:val="14"/>
                <w:szCs w:val="14"/>
              </w:rPr>
              <w:t xml:space="preserve">From 1 July 2021, a cap on the use of synthetic nitrogen fertiliser applies on any contiguous parcel of pastoral land. The cap has been set at 190 kg per hectare per year. </w:t>
            </w:r>
          </w:p>
        </w:tc>
        <w:tc>
          <w:tcPr>
            <w:tcW w:w="567" w:type="dxa"/>
          </w:tcPr>
          <w:p w14:paraId="713A5DE3" w14:textId="77777777" w:rsidR="00CA1920" w:rsidRPr="00BD16B4" w:rsidRDefault="00CA1920" w:rsidP="002D166E">
            <w:pPr>
              <w:pStyle w:val="TableText"/>
              <w:spacing w:before="40" w:after="40" w:line="240" w:lineRule="auto"/>
              <w:rPr>
                <w:sz w:val="14"/>
                <w:szCs w:val="18"/>
              </w:rPr>
            </w:pPr>
            <w:r w:rsidRPr="00BD16B4">
              <w:rPr>
                <w:sz w:val="14"/>
                <w:szCs w:val="14"/>
              </w:rPr>
              <w:t>2021</w:t>
            </w:r>
          </w:p>
        </w:tc>
        <w:tc>
          <w:tcPr>
            <w:tcW w:w="1701" w:type="dxa"/>
          </w:tcPr>
          <w:p w14:paraId="6730B4CA" w14:textId="77777777" w:rsidR="00CA1920" w:rsidRPr="00BD16B4" w:rsidRDefault="00CA1920" w:rsidP="002D166E">
            <w:pPr>
              <w:pStyle w:val="TableText"/>
              <w:spacing w:before="40" w:after="40" w:line="240" w:lineRule="auto"/>
              <w:rPr>
                <w:sz w:val="14"/>
                <w:szCs w:val="18"/>
              </w:rPr>
            </w:pPr>
            <w:r w:rsidRPr="00BD16B4">
              <w:rPr>
                <w:sz w:val="14"/>
                <w:szCs w:val="14"/>
              </w:rPr>
              <w:t>Ministry for the Environment and regional and local councils</w:t>
            </w:r>
          </w:p>
        </w:tc>
        <w:tc>
          <w:tcPr>
            <w:tcW w:w="851" w:type="dxa"/>
          </w:tcPr>
          <w:p w14:paraId="529495CE" w14:textId="77777777" w:rsidR="00CA1920" w:rsidRPr="00BD16B4" w:rsidRDefault="00CA1920" w:rsidP="005173B2">
            <w:pPr>
              <w:pStyle w:val="TableText"/>
              <w:spacing w:before="40" w:after="40" w:line="240" w:lineRule="auto"/>
              <w:rPr>
                <w:sz w:val="14"/>
                <w:szCs w:val="18"/>
              </w:rPr>
            </w:pPr>
            <w:r w:rsidRPr="00BD16B4">
              <w:rPr>
                <w:sz w:val="14"/>
                <w:szCs w:val="14"/>
              </w:rPr>
              <w:t>0.0</w:t>
            </w:r>
          </w:p>
        </w:tc>
        <w:tc>
          <w:tcPr>
            <w:tcW w:w="850" w:type="dxa"/>
          </w:tcPr>
          <w:p w14:paraId="2943D34F" w14:textId="77777777" w:rsidR="00CA1920" w:rsidRPr="00BD16B4" w:rsidRDefault="00CA1920" w:rsidP="002D166E">
            <w:pPr>
              <w:pStyle w:val="TableText"/>
              <w:spacing w:before="40" w:after="40" w:line="240" w:lineRule="auto"/>
              <w:rPr>
                <w:sz w:val="14"/>
                <w:szCs w:val="18"/>
              </w:rPr>
            </w:pPr>
            <w:r w:rsidRPr="00BD16B4">
              <w:rPr>
                <w:sz w:val="14"/>
                <w:szCs w:val="14"/>
              </w:rPr>
              <w:t>71.7</w:t>
            </w:r>
          </w:p>
        </w:tc>
        <w:tc>
          <w:tcPr>
            <w:tcW w:w="851" w:type="dxa"/>
          </w:tcPr>
          <w:p w14:paraId="2A0E3E84" w14:textId="77777777" w:rsidR="00CA1920" w:rsidRPr="00BD16B4" w:rsidRDefault="00CA1920" w:rsidP="005173B2">
            <w:pPr>
              <w:pStyle w:val="TableText"/>
              <w:spacing w:before="40" w:after="40" w:line="240" w:lineRule="auto"/>
              <w:rPr>
                <w:sz w:val="14"/>
                <w:szCs w:val="18"/>
              </w:rPr>
            </w:pPr>
            <w:r w:rsidRPr="00BD16B4">
              <w:rPr>
                <w:sz w:val="14"/>
                <w:szCs w:val="14"/>
              </w:rPr>
              <w:t>149.8</w:t>
            </w:r>
          </w:p>
        </w:tc>
      </w:tr>
      <w:tr w:rsidR="006709EC" w:rsidRPr="00BD16B4" w14:paraId="6850D740" w14:textId="77777777" w:rsidTr="006709EC">
        <w:tc>
          <w:tcPr>
            <w:tcW w:w="1632" w:type="dxa"/>
          </w:tcPr>
          <w:p w14:paraId="13D002BF" w14:textId="77777777" w:rsidR="00CA1920" w:rsidRPr="00BD16B4" w:rsidRDefault="00CA1920" w:rsidP="00536082">
            <w:pPr>
              <w:pStyle w:val="TableText"/>
              <w:spacing w:before="40" w:after="40" w:line="240" w:lineRule="auto"/>
              <w:rPr>
                <w:sz w:val="14"/>
                <w:szCs w:val="18"/>
              </w:rPr>
            </w:pPr>
            <w:r w:rsidRPr="00BD16B4">
              <w:rPr>
                <w:sz w:val="14"/>
                <w:szCs w:val="14"/>
              </w:rPr>
              <w:t>Essential Freshwater Package (excluding the impact of the N-cap)</w:t>
            </w:r>
          </w:p>
        </w:tc>
        <w:tc>
          <w:tcPr>
            <w:tcW w:w="1316" w:type="dxa"/>
          </w:tcPr>
          <w:p w14:paraId="2E061DA6" w14:textId="77777777" w:rsidR="00CA1920" w:rsidRPr="00BD16B4" w:rsidRDefault="00CA1920" w:rsidP="002D166E">
            <w:pPr>
              <w:pStyle w:val="TableText"/>
              <w:spacing w:before="40" w:after="40" w:line="240" w:lineRule="auto"/>
              <w:rPr>
                <w:sz w:val="14"/>
                <w:szCs w:val="18"/>
              </w:rPr>
            </w:pPr>
            <w:r w:rsidRPr="00BD16B4">
              <w:rPr>
                <w:sz w:val="14"/>
                <w:szCs w:val="14"/>
              </w:rPr>
              <w:t>Agriculture</w:t>
            </w:r>
          </w:p>
        </w:tc>
        <w:tc>
          <w:tcPr>
            <w:tcW w:w="567" w:type="dxa"/>
          </w:tcPr>
          <w:p w14:paraId="3BAC2EFD" w14:textId="77777777" w:rsidR="00CA1920" w:rsidRPr="00BD16B4" w:rsidRDefault="00CA1920" w:rsidP="002D166E">
            <w:pPr>
              <w:pStyle w:val="TableText"/>
              <w:spacing w:before="40" w:after="40" w:line="240" w:lineRule="auto"/>
              <w:rPr>
                <w:sz w:val="14"/>
                <w:szCs w:val="18"/>
              </w:rPr>
            </w:pPr>
            <w:r w:rsidRPr="00BD16B4">
              <w:rPr>
                <w:sz w:val="14"/>
                <w:szCs w:val="14"/>
              </w:rPr>
              <w:t>CH</w:t>
            </w:r>
            <w:r w:rsidRPr="00BD16B4">
              <w:rPr>
                <w:sz w:val="14"/>
                <w:szCs w:val="14"/>
                <w:vertAlign w:val="subscript"/>
              </w:rPr>
              <w:t>4</w:t>
            </w:r>
            <w:r w:rsidRPr="00BD16B4">
              <w:rPr>
                <w:sz w:val="14"/>
                <w:szCs w:val="14"/>
              </w:rPr>
              <w:t>, N</w:t>
            </w:r>
            <w:r w:rsidRPr="00BD16B4">
              <w:rPr>
                <w:sz w:val="14"/>
                <w:szCs w:val="14"/>
                <w:vertAlign w:val="subscript"/>
              </w:rPr>
              <w:t>2</w:t>
            </w:r>
            <w:r w:rsidRPr="00BD16B4">
              <w:rPr>
                <w:sz w:val="14"/>
                <w:szCs w:val="14"/>
              </w:rPr>
              <w:t>O</w:t>
            </w:r>
          </w:p>
        </w:tc>
        <w:tc>
          <w:tcPr>
            <w:tcW w:w="1701" w:type="dxa"/>
          </w:tcPr>
          <w:p w14:paraId="579376E7" w14:textId="77777777" w:rsidR="00CA1920" w:rsidRPr="00BD16B4" w:rsidRDefault="00CA1920" w:rsidP="002D166E">
            <w:pPr>
              <w:pStyle w:val="TableText"/>
              <w:spacing w:before="40" w:after="40" w:line="240" w:lineRule="auto"/>
              <w:rPr>
                <w:sz w:val="14"/>
                <w:szCs w:val="18"/>
              </w:rPr>
            </w:pPr>
            <w:r w:rsidRPr="00BD16B4">
              <w:rPr>
                <w:sz w:val="14"/>
                <w:szCs w:val="14"/>
              </w:rPr>
              <w:t xml:space="preserve">Improve the quality of freshwater in New Zealand. Its implementation will have a co-benefit of more streamside planting (to reduce rural runoff), retention of more natural wetlands, and potentially less intensive stocking. These actions will contribute to carbon capture and reduce emissions. </w:t>
            </w:r>
          </w:p>
        </w:tc>
        <w:tc>
          <w:tcPr>
            <w:tcW w:w="1134" w:type="dxa"/>
          </w:tcPr>
          <w:p w14:paraId="4F455156" w14:textId="77777777" w:rsidR="00CA1920" w:rsidRPr="00BD16B4" w:rsidRDefault="00CA1920" w:rsidP="002D166E">
            <w:pPr>
              <w:pStyle w:val="TableText"/>
              <w:spacing w:before="40" w:after="40" w:line="240" w:lineRule="auto"/>
              <w:rPr>
                <w:sz w:val="14"/>
                <w:szCs w:val="18"/>
              </w:rPr>
            </w:pPr>
            <w:r w:rsidRPr="00BD16B4">
              <w:rPr>
                <w:sz w:val="14"/>
                <w:szCs w:val="14"/>
              </w:rPr>
              <w:t>Regulatory</w:t>
            </w:r>
          </w:p>
        </w:tc>
        <w:tc>
          <w:tcPr>
            <w:tcW w:w="992" w:type="dxa"/>
          </w:tcPr>
          <w:p w14:paraId="314E2CC8" w14:textId="77777777" w:rsidR="00CA1920" w:rsidRPr="00BD16B4" w:rsidRDefault="00CA1920" w:rsidP="002D166E">
            <w:pPr>
              <w:pStyle w:val="TableText"/>
              <w:spacing w:before="40" w:after="40" w:line="240" w:lineRule="auto"/>
              <w:rPr>
                <w:sz w:val="14"/>
                <w:szCs w:val="18"/>
              </w:rPr>
            </w:pPr>
            <w:r w:rsidRPr="00BD16B4">
              <w:rPr>
                <w:sz w:val="14"/>
                <w:szCs w:val="14"/>
              </w:rPr>
              <w:t>Implemented (WEM)</w:t>
            </w:r>
          </w:p>
        </w:tc>
        <w:tc>
          <w:tcPr>
            <w:tcW w:w="2410" w:type="dxa"/>
          </w:tcPr>
          <w:p w14:paraId="1F18B4A6" w14:textId="77777777" w:rsidR="00CA1920" w:rsidRPr="00BD16B4" w:rsidRDefault="00CA1920" w:rsidP="002D166E">
            <w:pPr>
              <w:spacing w:before="40" w:after="40" w:line="240" w:lineRule="auto"/>
              <w:jc w:val="left"/>
              <w:rPr>
                <w:sz w:val="14"/>
                <w:szCs w:val="18"/>
              </w:rPr>
            </w:pPr>
            <w:r w:rsidRPr="00BD16B4">
              <w:rPr>
                <w:sz w:val="14"/>
                <w:szCs w:val="14"/>
              </w:rPr>
              <w:t>The National Policy Statement for Freshwater Management provides national policy direction to regional councils on freshwater management. These measures will impact emissions from agriculture through their influence on animal numbers.</w:t>
            </w:r>
          </w:p>
        </w:tc>
        <w:tc>
          <w:tcPr>
            <w:tcW w:w="567" w:type="dxa"/>
          </w:tcPr>
          <w:p w14:paraId="11D6FC6E" w14:textId="77777777" w:rsidR="00CA1920" w:rsidRPr="00BD16B4" w:rsidRDefault="00CA1920" w:rsidP="002D166E">
            <w:pPr>
              <w:pStyle w:val="TableText"/>
              <w:spacing w:before="40" w:after="40" w:line="240" w:lineRule="auto"/>
              <w:rPr>
                <w:sz w:val="14"/>
                <w:szCs w:val="18"/>
              </w:rPr>
            </w:pPr>
            <w:r w:rsidRPr="00BD16B4">
              <w:rPr>
                <w:sz w:val="14"/>
                <w:szCs w:val="14"/>
              </w:rPr>
              <w:t>2020</w:t>
            </w:r>
          </w:p>
        </w:tc>
        <w:tc>
          <w:tcPr>
            <w:tcW w:w="1701" w:type="dxa"/>
          </w:tcPr>
          <w:p w14:paraId="7F9EBD4E" w14:textId="77777777" w:rsidR="00CA1920" w:rsidRPr="00BD16B4" w:rsidRDefault="00CA1920" w:rsidP="002D166E">
            <w:pPr>
              <w:pStyle w:val="TableText"/>
              <w:spacing w:before="40" w:after="40" w:line="240" w:lineRule="auto"/>
              <w:rPr>
                <w:sz w:val="14"/>
                <w:szCs w:val="18"/>
              </w:rPr>
            </w:pPr>
            <w:r w:rsidRPr="00BD16B4">
              <w:rPr>
                <w:sz w:val="14"/>
                <w:szCs w:val="14"/>
              </w:rPr>
              <w:t>Regional and local councils</w:t>
            </w:r>
          </w:p>
        </w:tc>
        <w:tc>
          <w:tcPr>
            <w:tcW w:w="851" w:type="dxa"/>
          </w:tcPr>
          <w:p w14:paraId="07D16621" w14:textId="77777777" w:rsidR="00CA1920" w:rsidRPr="00BD16B4" w:rsidRDefault="00CA1920" w:rsidP="005173B2">
            <w:pPr>
              <w:pStyle w:val="TableText"/>
              <w:spacing w:before="40" w:after="40" w:line="240" w:lineRule="auto"/>
              <w:rPr>
                <w:sz w:val="14"/>
                <w:szCs w:val="18"/>
              </w:rPr>
            </w:pPr>
            <w:r w:rsidRPr="00BD16B4">
              <w:rPr>
                <w:sz w:val="14"/>
                <w:szCs w:val="14"/>
              </w:rPr>
              <w:t>82.2</w:t>
            </w:r>
          </w:p>
        </w:tc>
        <w:tc>
          <w:tcPr>
            <w:tcW w:w="850" w:type="dxa"/>
          </w:tcPr>
          <w:p w14:paraId="0747BF28" w14:textId="77777777" w:rsidR="00CA1920" w:rsidRPr="00BD16B4" w:rsidRDefault="00CA1920" w:rsidP="002D166E">
            <w:pPr>
              <w:pStyle w:val="TableText"/>
              <w:spacing w:before="40" w:after="40" w:line="240" w:lineRule="auto"/>
              <w:rPr>
                <w:sz w:val="14"/>
                <w:szCs w:val="18"/>
              </w:rPr>
            </w:pPr>
            <w:r w:rsidRPr="00BD16B4">
              <w:rPr>
                <w:sz w:val="14"/>
                <w:szCs w:val="14"/>
              </w:rPr>
              <w:t>424.5</w:t>
            </w:r>
          </w:p>
        </w:tc>
        <w:tc>
          <w:tcPr>
            <w:tcW w:w="851" w:type="dxa"/>
          </w:tcPr>
          <w:p w14:paraId="667D19BA" w14:textId="77777777" w:rsidR="00CA1920" w:rsidRPr="00BD16B4" w:rsidRDefault="00CA1920" w:rsidP="005173B2">
            <w:pPr>
              <w:pStyle w:val="TableText"/>
              <w:spacing w:before="40" w:after="40" w:line="240" w:lineRule="auto"/>
              <w:rPr>
                <w:sz w:val="14"/>
                <w:szCs w:val="18"/>
              </w:rPr>
            </w:pPr>
            <w:r w:rsidRPr="00BD16B4">
              <w:rPr>
                <w:sz w:val="14"/>
                <w:szCs w:val="14"/>
              </w:rPr>
              <w:t>767.5</w:t>
            </w:r>
          </w:p>
        </w:tc>
      </w:tr>
      <w:tr w:rsidR="00CA1920" w:rsidRPr="00BD16B4" w14:paraId="4775F16A" w14:textId="77777777" w:rsidTr="000A136D">
        <w:tc>
          <w:tcPr>
            <w:tcW w:w="14572" w:type="dxa"/>
            <w:gridSpan w:val="12"/>
            <w:shd w:val="clear" w:color="auto" w:fill="D2DDE1" w:themeFill="background2"/>
          </w:tcPr>
          <w:p w14:paraId="005E948F" w14:textId="77777777" w:rsidR="00CA1920" w:rsidRPr="00BD16B4" w:rsidRDefault="00CA1920" w:rsidP="00536082">
            <w:pPr>
              <w:pStyle w:val="TableText"/>
              <w:spacing w:before="40" w:after="40" w:line="240" w:lineRule="auto"/>
              <w:rPr>
                <w:b/>
                <w:bCs/>
                <w:sz w:val="14"/>
                <w:szCs w:val="18"/>
              </w:rPr>
            </w:pPr>
            <w:r w:rsidRPr="00BD16B4">
              <w:rPr>
                <w:b/>
                <w:bCs/>
                <w:sz w:val="14"/>
                <w:szCs w:val="18"/>
              </w:rPr>
              <w:t>Land use, land-use change and forestry (LULUCF): principal measures</w:t>
            </w:r>
          </w:p>
        </w:tc>
      </w:tr>
      <w:tr w:rsidR="006709EC" w:rsidRPr="00BD16B4" w14:paraId="2C7032F7" w14:textId="77777777" w:rsidTr="006709EC">
        <w:tc>
          <w:tcPr>
            <w:tcW w:w="1632" w:type="dxa"/>
          </w:tcPr>
          <w:p w14:paraId="12BB4395" w14:textId="77777777" w:rsidR="00CA1920" w:rsidRPr="00BD16B4" w:rsidRDefault="00CA1920" w:rsidP="00536082">
            <w:pPr>
              <w:pStyle w:val="TableText"/>
              <w:spacing w:before="40" w:after="40" w:line="240" w:lineRule="auto"/>
              <w:rPr>
                <w:sz w:val="14"/>
                <w:szCs w:val="18"/>
              </w:rPr>
            </w:pPr>
            <w:r w:rsidRPr="00BD16B4">
              <w:rPr>
                <w:sz w:val="14"/>
                <w:szCs w:val="14"/>
              </w:rPr>
              <w:t>NZ ETS</w:t>
            </w:r>
          </w:p>
        </w:tc>
        <w:tc>
          <w:tcPr>
            <w:tcW w:w="1316" w:type="dxa"/>
          </w:tcPr>
          <w:p w14:paraId="351C6559" w14:textId="77777777" w:rsidR="00CA1920" w:rsidRPr="00BD16B4" w:rsidRDefault="00CA1920" w:rsidP="002D166E">
            <w:pPr>
              <w:pStyle w:val="TableText"/>
              <w:spacing w:before="40" w:after="40" w:line="240" w:lineRule="auto"/>
              <w:rPr>
                <w:sz w:val="14"/>
                <w:szCs w:val="18"/>
              </w:rPr>
            </w:pPr>
            <w:r w:rsidRPr="00BD16B4">
              <w:rPr>
                <w:sz w:val="14"/>
                <w:szCs w:val="14"/>
              </w:rPr>
              <w:t>LULUCF</w:t>
            </w:r>
          </w:p>
        </w:tc>
        <w:tc>
          <w:tcPr>
            <w:tcW w:w="567" w:type="dxa"/>
          </w:tcPr>
          <w:p w14:paraId="1D68E658" w14:textId="77777777" w:rsidR="00CA1920" w:rsidRPr="00BD16B4" w:rsidRDefault="00CA1920" w:rsidP="002D166E">
            <w:pPr>
              <w:pStyle w:val="TableText"/>
              <w:spacing w:before="40" w:after="40" w:line="240" w:lineRule="auto"/>
              <w:rPr>
                <w:sz w:val="14"/>
                <w:szCs w:val="18"/>
              </w:rPr>
            </w:pPr>
            <w:r w:rsidRPr="00BD16B4">
              <w:rPr>
                <w:sz w:val="14"/>
                <w:szCs w:val="14"/>
              </w:rPr>
              <w:t>CO</w:t>
            </w:r>
            <w:r w:rsidRPr="00BD16B4">
              <w:rPr>
                <w:sz w:val="14"/>
                <w:szCs w:val="14"/>
                <w:vertAlign w:val="subscript"/>
              </w:rPr>
              <w:t>2</w:t>
            </w:r>
          </w:p>
        </w:tc>
        <w:tc>
          <w:tcPr>
            <w:tcW w:w="1701" w:type="dxa"/>
          </w:tcPr>
          <w:p w14:paraId="5C597DBB" w14:textId="77777777" w:rsidR="00CA1920" w:rsidRPr="00BD16B4" w:rsidRDefault="00CA1920" w:rsidP="002D166E">
            <w:pPr>
              <w:pStyle w:val="TableText"/>
              <w:spacing w:before="40" w:after="40" w:line="240" w:lineRule="auto"/>
              <w:rPr>
                <w:sz w:val="14"/>
                <w:szCs w:val="18"/>
              </w:rPr>
            </w:pPr>
            <w:r w:rsidRPr="00BD16B4">
              <w:rPr>
                <w:sz w:val="14"/>
                <w:szCs w:val="14"/>
              </w:rPr>
              <w:t>Promote afforestation and disincentivise planted forest deforestation.</w:t>
            </w:r>
          </w:p>
        </w:tc>
        <w:tc>
          <w:tcPr>
            <w:tcW w:w="1134" w:type="dxa"/>
          </w:tcPr>
          <w:p w14:paraId="70395EE0" w14:textId="77777777" w:rsidR="00CA1920" w:rsidRPr="00BD16B4" w:rsidRDefault="00CA1920" w:rsidP="002D166E">
            <w:pPr>
              <w:pStyle w:val="TableText"/>
              <w:spacing w:before="40" w:after="40" w:line="240" w:lineRule="auto"/>
              <w:rPr>
                <w:sz w:val="14"/>
                <w:szCs w:val="18"/>
              </w:rPr>
            </w:pPr>
            <w:r w:rsidRPr="00BD16B4">
              <w:rPr>
                <w:sz w:val="14"/>
                <w:szCs w:val="14"/>
              </w:rPr>
              <w:t>Fiscal</w:t>
            </w:r>
          </w:p>
        </w:tc>
        <w:tc>
          <w:tcPr>
            <w:tcW w:w="992" w:type="dxa"/>
          </w:tcPr>
          <w:p w14:paraId="63F99F73" w14:textId="77777777" w:rsidR="00CA1920" w:rsidRPr="00BD16B4" w:rsidRDefault="00CA1920" w:rsidP="002D166E">
            <w:pPr>
              <w:pStyle w:val="TableText"/>
              <w:spacing w:before="40" w:after="40" w:line="240" w:lineRule="auto"/>
              <w:rPr>
                <w:sz w:val="14"/>
                <w:szCs w:val="18"/>
              </w:rPr>
            </w:pPr>
            <w:r w:rsidRPr="00BD16B4">
              <w:rPr>
                <w:sz w:val="14"/>
                <w:szCs w:val="14"/>
              </w:rPr>
              <w:t>Implemented (WEM)</w:t>
            </w:r>
          </w:p>
        </w:tc>
        <w:tc>
          <w:tcPr>
            <w:tcW w:w="2410" w:type="dxa"/>
          </w:tcPr>
          <w:p w14:paraId="7A66E427" w14:textId="07528907" w:rsidR="00CA1920" w:rsidRPr="00BD16B4" w:rsidRDefault="00CA1920" w:rsidP="002D166E">
            <w:pPr>
              <w:spacing w:before="40" w:after="40" w:line="240" w:lineRule="auto"/>
              <w:jc w:val="left"/>
              <w:rPr>
                <w:sz w:val="14"/>
                <w:szCs w:val="18"/>
              </w:rPr>
            </w:pPr>
            <w:r w:rsidRPr="00BD16B4">
              <w:rPr>
                <w:sz w:val="14"/>
                <w:szCs w:val="14"/>
              </w:rPr>
              <w:t xml:space="preserve">The NZ ETS is a key tool for meeting domestic and international climate change targets. </w:t>
            </w:r>
            <w:r w:rsidR="00330180" w:rsidRPr="00BD16B4">
              <w:rPr>
                <w:sz w:val="14"/>
                <w:szCs w:val="14"/>
              </w:rPr>
              <w:t>O</w:t>
            </w:r>
            <w:r w:rsidRPr="00BD16B4">
              <w:rPr>
                <w:sz w:val="14"/>
                <w:szCs w:val="14"/>
              </w:rPr>
              <w:t>wners of post-1989 eligible forest can earn NZUs for carbon sequestered. There are also liabilities for forest carbon loss, via harvesting or deforestation.</w:t>
            </w:r>
          </w:p>
        </w:tc>
        <w:tc>
          <w:tcPr>
            <w:tcW w:w="567" w:type="dxa"/>
          </w:tcPr>
          <w:p w14:paraId="584BA327" w14:textId="77777777" w:rsidR="00CA1920" w:rsidRPr="00BD16B4" w:rsidRDefault="00CA1920" w:rsidP="002D166E">
            <w:pPr>
              <w:pStyle w:val="TableText"/>
              <w:spacing w:before="40" w:after="40" w:line="240" w:lineRule="auto"/>
              <w:rPr>
                <w:sz w:val="14"/>
                <w:szCs w:val="18"/>
              </w:rPr>
            </w:pPr>
            <w:r w:rsidRPr="00BD16B4">
              <w:rPr>
                <w:sz w:val="14"/>
                <w:szCs w:val="14"/>
              </w:rPr>
              <w:t>2008</w:t>
            </w:r>
          </w:p>
        </w:tc>
        <w:tc>
          <w:tcPr>
            <w:tcW w:w="1701" w:type="dxa"/>
          </w:tcPr>
          <w:p w14:paraId="68BEFA17" w14:textId="77777777" w:rsidR="00CA1920" w:rsidRPr="00BD16B4" w:rsidRDefault="00CA1920" w:rsidP="002D166E">
            <w:pPr>
              <w:pStyle w:val="TableText"/>
              <w:spacing w:before="40" w:after="40" w:line="240" w:lineRule="auto"/>
              <w:rPr>
                <w:sz w:val="14"/>
                <w:szCs w:val="18"/>
              </w:rPr>
            </w:pPr>
            <w:r w:rsidRPr="00BD16B4">
              <w:rPr>
                <w:sz w:val="14"/>
                <w:szCs w:val="14"/>
              </w:rPr>
              <w:t>Ministry for Primary Industries</w:t>
            </w:r>
          </w:p>
        </w:tc>
        <w:tc>
          <w:tcPr>
            <w:tcW w:w="851" w:type="dxa"/>
          </w:tcPr>
          <w:p w14:paraId="018D25EB" w14:textId="77777777" w:rsidR="00CA1920" w:rsidRPr="00BD16B4" w:rsidRDefault="00CA1920" w:rsidP="005173B2">
            <w:pPr>
              <w:pStyle w:val="TableText"/>
              <w:spacing w:before="40" w:after="40" w:line="240" w:lineRule="auto"/>
              <w:rPr>
                <w:sz w:val="14"/>
                <w:szCs w:val="14"/>
              </w:rPr>
            </w:pPr>
            <w:r w:rsidRPr="00BD16B4">
              <w:rPr>
                <w:rFonts w:cs="Calibri"/>
                <w:sz w:val="14"/>
                <w:szCs w:val="14"/>
              </w:rPr>
              <w:t>4,569.7</w:t>
            </w:r>
          </w:p>
        </w:tc>
        <w:tc>
          <w:tcPr>
            <w:tcW w:w="850" w:type="dxa"/>
          </w:tcPr>
          <w:p w14:paraId="1EF44885" w14:textId="77777777" w:rsidR="00CA1920" w:rsidRPr="00BD16B4" w:rsidRDefault="00CA1920" w:rsidP="002D166E">
            <w:pPr>
              <w:pStyle w:val="TableText"/>
              <w:spacing w:before="40" w:after="40" w:line="240" w:lineRule="auto"/>
              <w:rPr>
                <w:sz w:val="14"/>
                <w:szCs w:val="14"/>
              </w:rPr>
            </w:pPr>
            <w:r w:rsidRPr="00BD16B4">
              <w:rPr>
                <w:rFonts w:cs="Calibri"/>
                <w:sz w:val="14"/>
                <w:szCs w:val="14"/>
              </w:rPr>
              <w:t>10,109.0</w:t>
            </w:r>
          </w:p>
        </w:tc>
        <w:tc>
          <w:tcPr>
            <w:tcW w:w="851" w:type="dxa"/>
          </w:tcPr>
          <w:p w14:paraId="1C8EC6E0" w14:textId="77777777" w:rsidR="00CA1920" w:rsidRPr="00BD16B4" w:rsidRDefault="00CA1920" w:rsidP="005173B2">
            <w:pPr>
              <w:pStyle w:val="TableText"/>
              <w:spacing w:before="40" w:after="40" w:line="240" w:lineRule="auto"/>
              <w:rPr>
                <w:sz w:val="14"/>
                <w:szCs w:val="14"/>
              </w:rPr>
            </w:pPr>
            <w:r w:rsidRPr="00BD16B4">
              <w:rPr>
                <w:rFonts w:cs="Calibri"/>
                <w:sz w:val="14"/>
                <w:szCs w:val="14"/>
              </w:rPr>
              <w:t>16,394.3</w:t>
            </w:r>
          </w:p>
        </w:tc>
      </w:tr>
      <w:tr w:rsidR="006709EC" w:rsidRPr="00BD16B4" w14:paraId="60E2636D" w14:textId="77777777" w:rsidTr="006709EC">
        <w:trPr>
          <w:cantSplit/>
          <w:trHeight w:val="281"/>
        </w:trPr>
        <w:tc>
          <w:tcPr>
            <w:tcW w:w="1632" w:type="dxa"/>
          </w:tcPr>
          <w:p w14:paraId="675FF6AC" w14:textId="77777777" w:rsidR="00CA1920" w:rsidRPr="00BD16B4" w:rsidRDefault="00CA1920" w:rsidP="002D166E">
            <w:pPr>
              <w:pStyle w:val="TableText"/>
              <w:spacing w:before="40" w:after="40" w:line="240" w:lineRule="auto"/>
              <w:rPr>
                <w:sz w:val="14"/>
                <w:szCs w:val="14"/>
              </w:rPr>
            </w:pPr>
            <w:r w:rsidRPr="00BD16B4">
              <w:rPr>
                <w:sz w:val="14"/>
                <w:szCs w:val="14"/>
              </w:rPr>
              <w:lastRenderedPageBreak/>
              <w:t>Afforestation Grant Scheme</w:t>
            </w:r>
          </w:p>
        </w:tc>
        <w:tc>
          <w:tcPr>
            <w:tcW w:w="1316" w:type="dxa"/>
          </w:tcPr>
          <w:p w14:paraId="67870ADF" w14:textId="77777777" w:rsidR="00CA1920" w:rsidRPr="00BD16B4" w:rsidRDefault="00CA1920" w:rsidP="002D166E">
            <w:pPr>
              <w:pStyle w:val="TableText"/>
              <w:spacing w:before="40" w:after="40" w:line="240" w:lineRule="auto"/>
              <w:rPr>
                <w:sz w:val="14"/>
                <w:szCs w:val="14"/>
              </w:rPr>
            </w:pPr>
            <w:r w:rsidRPr="00BD16B4">
              <w:rPr>
                <w:sz w:val="14"/>
                <w:szCs w:val="14"/>
              </w:rPr>
              <w:t>LULUCF</w:t>
            </w:r>
          </w:p>
        </w:tc>
        <w:tc>
          <w:tcPr>
            <w:tcW w:w="567" w:type="dxa"/>
          </w:tcPr>
          <w:p w14:paraId="42B90233" w14:textId="77777777" w:rsidR="00CA1920" w:rsidRPr="00BD16B4" w:rsidRDefault="00CA1920" w:rsidP="002D166E">
            <w:pPr>
              <w:pStyle w:val="TableText"/>
              <w:spacing w:before="40" w:after="40" w:line="240" w:lineRule="auto"/>
              <w:rPr>
                <w:sz w:val="14"/>
                <w:szCs w:val="14"/>
              </w:rPr>
            </w:pPr>
            <w:r w:rsidRPr="00BD16B4">
              <w:rPr>
                <w:sz w:val="14"/>
                <w:szCs w:val="14"/>
              </w:rPr>
              <w:t>CO</w:t>
            </w:r>
            <w:r w:rsidRPr="00BD16B4">
              <w:rPr>
                <w:sz w:val="14"/>
                <w:szCs w:val="14"/>
                <w:vertAlign w:val="subscript"/>
              </w:rPr>
              <w:t>2</w:t>
            </w:r>
          </w:p>
        </w:tc>
        <w:tc>
          <w:tcPr>
            <w:tcW w:w="1701" w:type="dxa"/>
          </w:tcPr>
          <w:p w14:paraId="4E963BAA" w14:textId="77777777" w:rsidR="00CA1920" w:rsidRPr="00BD16B4" w:rsidRDefault="00CA1920" w:rsidP="002D166E">
            <w:pPr>
              <w:pStyle w:val="TableText"/>
              <w:spacing w:before="40" w:after="40" w:line="240" w:lineRule="auto"/>
              <w:rPr>
                <w:sz w:val="14"/>
                <w:szCs w:val="14"/>
              </w:rPr>
            </w:pPr>
            <w:r w:rsidRPr="00BD16B4">
              <w:rPr>
                <w:sz w:val="14"/>
                <w:szCs w:val="14"/>
              </w:rPr>
              <w:t>Promote the establishment of production and permanent forests on previously unforested land. Reduce erosion by encouraging tree planting on erosion-prone land. Enhance the sequestration of carbon in forest sinks. Increase the area of new forests that meet the afforestation/ reforestation definition under the Kyoto Protocol in New Zealand.</w:t>
            </w:r>
          </w:p>
        </w:tc>
        <w:tc>
          <w:tcPr>
            <w:tcW w:w="1134" w:type="dxa"/>
          </w:tcPr>
          <w:p w14:paraId="747BBA21" w14:textId="77777777" w:rsidR="00CA1920" w:rsidRPr="00BD16B4" w:rsidRDefault="00CA1920" w:rsidP="002D166E">
            <w:pPr>
              <w:pStyle w:val="TableText"/>
              <w:spacing w:before="40" w:after="40" w:line="240" w:lineRule="auto"/>
              <w:rPr>
                <w:sz w:val="14"/>
                <w:szCs w:val="14"/>
              </w:rPr>
            </w:pPr>
            <w:r w:rsidRPr="00BD16B4">
              <w:rPr>
                <w:sz w:val="14"/>
                <w:szCs w:val="14"/>
              </w:rPr>
              <w:t>Fiscal</w:t>
            </w:r>
          </w:p>
        </w:tc>
        <w:tc>
          <w:tcPr>
            <w:tcW w:w="992" w:type="dxa"/>
          </w:tcPr>
          <w:p w14:paraId="49A067DE" w14:textId="77777777" w:rsidR="00CA1920" w:rsidRPr="00BD16B4" w:rsidRDefault="00CA1920" w:rsidP="002D166E">
            <w:pPr>
              <w:pStyle w:val="TableText"/>
              <w:spacing w:before="40" w:after="40" w:line="240" w:lineRule="auto"/>
              <w:rPr>
                <w:sz w:val="14"/>
                <w:szCs w:val="14"/>
              </w:rPr>
            </w:pPr>
            <w:r w:rsidRPr="00BD16B4">
              <w:rPr>
                <w:sz w:val="14"/>
                <w:szCs w:val="14"/>
              </w:rPr>
              <w:t>Implemented (WEM)</w:t>
            </w:r>
          </w:p>
        </w:tc>
        <w:tc>
          <w:tcPr>
            <w:tcW w:w="2410" w:type="dxa"/>
          </w:tcPr>
          <w:p w14:paraId="29BD8E6F" w14:textId="77777777" w:rsidR="00CA1920" w:rsidRPr="00BD16B4" w:rsidRDefault="00CA1920" w:rsidP="002D166E">
            <w:pPr>
              <w:pStyle w:val="TableText"/>
              <w:spacing w:before="40" w:after="40" w:line="240" w:lineRule="auto"/>
              <w:rPr>
                <w:sz w:val="14"/>
                <w:szCs w:val="14"/>
              </w:rPr>
            </w:pPr>
            <w:r w:rsidRPr="00BD16B4">
              <w:rPr>
                <w:sz w:val="14"/>
                <w:szCs w:val="14"/>
              </w:rPr>
              <w:t>Under the Afforestation Grant Scheme, landowners who have received a grant have ongoing obligations to maintain their grant forests for a minimum 10-year period.</w:t>
            </w:r>
          </w:p>
        </w:tc>
        <w:tc>
          <w:tcPr>
            <w:tcW w:w="567" w:type="dxa"/>
          </w:tcPr>
          <w:p w14:paraId="680E098B" w14:textId="77777777" w:rsidR="00CA1920" w:rsidRPr="00BD16B4" w:rsidRDefault="00CA1920" w:rsidP="002D166E">
            <w:pPr>
              <w:pStyle w:val="TableText"/>
              <w:spacing w:before="40" w:after="40" w:line="240" w:lineRule="auto"/>
              <w:rPr>
                <w:sz w:val="14"/>
                <w:szCs w:val="14"/>
              </w:rPr>
            </w:pPr>
            <w:r w:rsidRPr="00BD16B4">
              <w:rPr>
                <w:sz w:val="14"/>
                <w:szCs w:val="14"/>
              </w:rPr>
              <w:t>2008–18</w:t>
            </w:r>
          </w:p>
        </w:tc>
        <w:tc>
          <w:tcPr>
            <w:tcW w:w="1701" w:type="dxa"/>
          </w:tcPr>
          <w:p w14:paraId="7D9115CC" w14:textId="77777777" w:rsidR="00CA1920" w:rsidRPr="00BD16B4" w:rsidRDefault="00CA1920" w:rsidP="002D166E">
            <w:pPr>
              <w:pStyle w:val="TableText"/>
              <w:spacing w:before="40" w:after="40" w:line="240" w:lineRule="auto"/>
              <w:rPr>
                <w:sz w:val="14"/>
                <w:szCs w:val="14"/>
              </w:rPr>
            </w:pPr>
            <w:r w:rsidRPr="00BD16B4">
              <w:rPr>
                <w:sz w:val="14"/>
                <w:szCs w:val="14"/>
              </w:rPr>
              <w:t>Ministry for Primary Industries</w:t>
            </w:r>
          </w:p>
        </w:tc>
        <w:tc>
          <w:tcPr>
            <w:tcW w:w="851" w:type="dxa"/>
          </w:tcPr>
          <w:p w14:paraId="41FE406D" w14:textId="77777777" w:rsidR="00CA1920" w:rsidRPr="00BD16B4" w:rsidRDefault="00CA1920" w:rsidP="005173B2">
            <w:pPr>
              <w:pStyle w:val="TableText"/>
              <w:spacing w:before="40" w:after="40" w:line="240" w:lineRule="auto"/>
              <w:rPr>
                <w:sz w:val="14"/>
                <w:szCs w:val="14"/>
              </w:rPr>
            </w:pPr>
            <w:r w:rsidRPr="00BD16B4">
              <w:rPr>
                <w:sz w:val="14"/>
                <w:szCs w:val="14"/>
              </w:rPr>
              <w:t>713.4</w:t>
            </w:r>
          </w:p>
        </w:tc>
        <w:tc>
          <w:tcPr>
            <w:tcW w:w="850" w:type="dxa"/>
          </w:tcPr>
          <w:p w14:paraId="51FA5F40" w14:textId="77777777" w:rsidR="00CA1920" w:rsidRPr="00BD16B4" w:rsidRDefault="00CA1920" w:rsidP="002D166E">
            <w:pPr>
              <w:pStyle w:val="TableText"/>
              <w:spacing w:before="40" w:after="40" w:line="240" w:lineRule="auto"/>
              <w:rPr>
                <w:sz w:val="14"/>
                <w:szCs w:val="14"/>
              </w:rPr>
            </w:pPr>
            <w:r w:rsidRPr="00BD16B4">
              <w:rPr>
                <w:sz w:val="14"/>
                <w:szCs w:val="14"/>
              </w:rPr>
              <w:t>703.6</w:t>
            </w:r>
          </w:p>
        </w:tc>
        <w:tc>
          <w:tcPr>
            <w:tcW w:w="851" w:type="dxa"/>
          </w:tcPr>
          <w:p w14:paraId="0D25094C" w14:textId="77777777" w:rsidR="00CA1920" w:rsidRPr="00BD16B4" w:rsidRDefault="00CA1920" w:rsidP="005173B2">
            <w:pPr>
              <w:pStyle w:val="TableText"/>
              <w:spacing w:before="40" w:after="40" w:line="240" w:lineRule="auto"/>
              <w:rPr>
                <w:sz w:val="14"/>
                <w:szCs w:val="14"/>
              </w:rPr>
            </w:pPr>
            <w:r w:rsidRPr="00BD16B4">
              <w:rPr>
                <w:sz w:val="14"/>
                <w:szCs w:val="14"/>
              </w:rPr>
              <w:t>774.5</w:t>
            </w:r>
          </w:p>
        </w:tc>
      </w:tr>
      <w:tr w:rsidR="006709EC" w:rsidRPr="00BD16B4" w14:paraId="06A2DDEB" w14:textId="77777777" w:rsidTr="006709EC">
        <w:tc>
          <w:tcPr>
            <w:tcW w:w="1632" w:type="dxa"/>
          </w:tcPr>
          <w:p w14:paraId="680D3CFD" w14:textId="77777777" w:rsidR="00CA1920" w:rsidRPr="00BD16B4" w:rsidRDefault="00CA1920" w:rsidP="005F3E59">
            <w:pPr>
              <w:pStyle w:val="TableText"/>
              <w:keepNext/>
              <w:spacing w:before="30" w:after="30" w:line="240" w:lineRule="auto"/>
              <w:rPr>
                <w:sz w:val="14"/>
                <w:szCs w:val="18"/>
              </w:rPr>
            </w:pPr>
            <w:r w:rsidRPr="00BD16B4">
              <w:rPr>
                <w:sz w:val="14"/>
                <w:szCs w:val="14"/>
              </w:rPr>
              <w:t>One Billion Trees Programme</w:t>
            </w:r>
          </w:p>
        </w:tc>
        <w:tc>
          <w:tcPr>
            <w:tcW w:w="1316" w:type="dxa"/>
          </w:tcPr>
          <w:p w14:paraId="5EE9A16E" w14:textId="77777777" w:rsidR="00CA1920" w:rsidRPr="00BD16B4" w:rsidRDefault="00CA1920" w:rsidP="002D166E">
            <w:pPr>
              <w:pStyle w:val="TableText"/>
              <w:spacing w:before="30" w:after="30" w:line="240" w:lineRule="auto"/>
              <w:rPr>
                <w:sz w:val="14"/>
                <w:szCs w:val="18"/>
              </w:rPr>
            </w:pPr>
            <w:r w:rsidRPr="00BD16B4">
              <w:rPr>
                <w:sz w:val="14"/>
                <w:szCs w:val="14"/>
              </w:rPr>
              <w:t>LULUCF</w:t>
            </w:r>
          </w:p>
        </w:tc>
        <w:tc>
          <w:tcPr>
            <w:tcW w:w="567" w:type="dxa"/>
          </w:tcPr>
          <w:p w14:paraId="43E2EBE7" w14:textId="77777777" w:rsidR="00CA1920" w:rsidRPr="00BD16B4" w:rsidRDefault="00CA1920" w:rsidP="002D166E">
            <w:pPr>
              <w:pStyle w:val="TableText"/>
              <w:spacing w:before="30" w:after="30" w:line="240" w:lineRule="auto"/>
              <w:rPr>
                <w:sz w:val="14"/>
                <w:szCs w:val="18"/>
              </w:rPr>
            </w:pPr>
            <w:r w:rsidRPr="00BD16B4">
              <w:rPr>
                <w:sz w:val="14"/>
                <w:szCs w:val="14"/>
              </w:rPr>
              <w:t>CO</w:t>
            </w:r>
            <w:r w:rsidRPr="00BD16B4">
              <w:rPr>
                <w:sz w:val="14"/>
                <w:szCs w:val="14"/>
                <w:vertAlign w:val="subscript"/>
              </w:rPr>
              <w:t>2</w:t>
            </w:r>
          </w:p>
        </w:tc>
        <w:tc>
          <w:tcPr>
            <w:tcW w:w="1701" w:type="dxa"/>
          </w:tcPr>
          <w:p w14:paraId="7380C8D1" w14:textId="77777777" w:rsidR="00CA1920" w:rsidRPr="00BD16B4" w:rsidRDefault="00CA1920" w:rsidP="002D166E">
            <w:pPr>
              <w:pStyle w:val="TableText"/>
              <w:spacing w:before="30" w:after="30" w:line="240" w:lineRule="auto"/>
              <w:rPr>
                <w:sz w:val="14"/>
                <w:szCs w:val="18"/>
                <w:highlight w:val="yellow"/>
              </w:rPr>
            </w:pPr>
            <w:r w:rsidRPr="00BD16B4">
              <w:rPr>
                <w:sz w:val="14"/>
                <w:szCs w:val="18"/>
              </w:rPr>
              <w:t>Increase tree planting across New Zealand. The goal is to double the current planting rate to reach one billion trees planted by 2028.</w:t>
            </w:r>
          </w:p>
        </w:tc>
        <w:tc>
          <w:tcPr>
            <w:tcW w:w="1134" w:type="dxa"/>
          </w:tcPr>
          <w:p w14:paraId="2EA4FA34" w14:textId="77777777" w:rsidR="00CA1920" w:rsidRPr="00BD16B4" w:rsidRDefault="00CA1920" w:rsidP="002D166E">
            <w:pPr>
              <w:pStyle w:val="TableText"/>
              <w:spacing w:before="30" w:after="30" w:line="240" w:lineRule="auto"/>
              <w:rPr>
                <w:sz w:val="14"/>
                <w:szCs w:val="18"/>
              </w:rPr>
            </w:pPr>
            <w:r w:rsidRPr="00BD16B4">
              <w:rPr>
                <w:sz w:val="14"/>
                <w:szCs w:val="14"/>
              </w:rPr>
              <w:t>Fiscal</w:t>
            </w:r>
          </w:p>
        </w:tc>
        <w:tc>
          <w:tcPr>
            <w:tcW w:w="992" w:type="dxa"/>
          </w:tcPr>
          <w:p w14:paraId="73ECB7AC" w14:textId="21AEC18C" w:rsidR="00CA1920" w:rsidRPr="00BD16B4" w:rsidRDefault="00CA1920" w:rsidP="0003224B">
            <w:pPr>
              <w:pStyle w:val="TableText"/>
              <w:spacing w:before="30" w:after="30" w:line="240" w:lineRule="auto"/>
              <w:rPr>
                <w:sz w:val="14"/>
                <w:szCs w:val="18"/>
              </w:rPr>
            </w:pPr>
            <w:r w:rsidRPr="00BD16B4">
              <w:rPr>
                <w:sz w:val="14"/>
                <w:szCs w:val="14"/>
              </w:rPr>
              <w:t xml:space="preserve">Implemented </w:t>
            </w:r>
            <w:r w:rsidR="0003224B" w:rsidRPr="00BD16B4">
              <w:rPr>
                <w:sz w:val="14"/>
                <w:szCs w:val="14"/>
              </w:rPr>
              <w:br/>
            </w:r>
            <w:r w:rsidRPr="00BD16B4">
              <w:rPr>
                <w:sz w:val="14"/>
                <w:szCs w:val="14"/>
              </w:rPr>
              <w:t>(WEM)</w:t>
            </w:r>
          </w:p>
        </w:tc>
        <w:tc>
          <w:tcPr>
            <w:tcW w:w="2410" w:type="dxa"/>
          </w:tcPr>
          <w:p w14:paraId="5B4F3672" w14:textId="77777777" w:rsidR="00CA1920" w:rsidRPr="00BD16B4" w:rsidRDefault="00CA1920" w:rsidP="002D166E">
            <w:pPr>
              <w:pStyle w:val="TableText"/>
              <w:spacing w:before="30" w:after="30" w:line="240" w:lineRule="auto"/>
              <w:ind w:left="-2" w:firstLine="2"/>
              <w:rPr>
                <w:sz w:val="14"/>
                <w:szCs w:val="14"/>
              </w:rPr>
            </w:pPr>
            <w:r w:rsidRPr="00BD16B4">
              <w:rPr>
                <w:sz w:val="14"/>
                <w:szCs w:val="14"/>
              </w:rPr>
              <w:t>This $176.8 million fund ran for three years from August 2018 until its closure on 30 June 2021. Existing funding agreements extend into the future and will receive continued support and relationship management as these projects progress to completion.</w:t>
            </w:r>
          </w:p>
        </w:tc>
        <w:tc>
          <w:tcPr>
            <w:tcW w:w="567" w:type="dxa"/>
          </w:tcPr>
          <w:p w14:paraId="08E8A216" w14:textId="77777777" w:rsidR="00CA1920" w:rsidRPr="00BD16B4" w:rsidRDefault="00CA1920" w:rsidP="002D166E">
            <w:pPr>
              <w:pStyle w:val="TableText"/>
              <w:spacing w:before="30" w:after="30" w:line="240" w:lineRule="auto"/>
              <w:rPr>
                <w:sz w:val="14"/>
                <w:szCs w:val="18"/>
              </w:rPr>
            </w:pPr>
            <w:r w:rsidRPr="00BD16B4">
              <w:rPr>
                <w:sz w:val="14"/>
                <w:szCs w:val="14"/>
              </w:rPr>
              <w:t>2018–21</w:t>
            </w:r>
          </w:p>
        </w:tc>
        <w:tc>
          <w:tcPr>
            <w:tcW w:w="1701" w:type="dxa"/>
          </w:tcPr>
          <w:p w14:paraId="5F9EE455" w14:textId="77777777" w:rsidR="00CA1920" w:rsidRPr="00BD16B4" w:rsidRDefault="00CA1920" w:rsidP="002D166E">
            <w:pPr>
              <w:pStyle w:val="TableText"/>
              <w:spacing w:before="30" w:after="30" w:line="240" w:lineRule="auto"/>
              <w:rPr>
                <w:sz w:val="14"/>
                <w:szCs w:val="18"/>
              </w:rPr>
            </w:pPr>
            <w:r w:rsidRPr="00BD16B4">
              <w:rPr>
                <w:sz w:val="14"/>
                <w:szCs w:val="14"/>
              </w:rPr>
              <w:t>Ministry for Primary Industries</w:t>
            </w:r>
          </w:p>
        </w:tc>
        <w:tc>
          <w:tcPr>
            <w:tcW w:w="851" w:type="dxa"/>
          </w:tcPr>
          <w:p w14:paraId="6DAA6F83" w14:textId="77777777" w:rsidR="00CA1920" w:rsidRPr="00BD16B4" w:rsidRDefault="00CA1920" w:rsidP="005173B2">
            <w:pPr>
              <w:pStyle w:val="TableText"/>
              <w:spacing w:before="30" w:after="30" w:line="240" w:lineRule="auto"/>
              <w:rPr>
                <w:sz w:val="14"/>
                <w:szCs w:val="14"/>
              </w:rPr>
            </w:pPr>
            <w:r w:rsidRPr="00BD16B4">
              <w:rPr>
                <w:sz w:val="14"/>
                <w:szCs w:val="14"/>
              </w:rPr>
              <w:t>932.9</w:t>
            </w:r>
          </w:p>
        </w:tc>
        <w:tc>
          <w:tcPr>
            <w:tcW w:w="850" w:type="dxa"/>
          </w:tcPr>
          <w:p w14:paraId="3E84DE3D" w14:textId="77777777" w:rsidR="00CA1920" w:rsidRPr="00BD16B4" w:rsidRDefault="00CA1920" w:rsidP="002D166E">
            <w:pPr>
              <w:pStyle w:val="TableText"/>
              <w:spacing w:before="30" w:after="30" w:line="240" w:lineRule="auto"/>
              <w:rPr>
                <w:sz w:val="14"/>
                <w:szCs w:val="14"/>
              </w:rPr>
            </w:pPr>
            <w:r w:rsidRPr="00BD16B4">
              <w:rPr>
                <w:sz w:val="14"/>
                <w:szCs w:val="14"/>
              </w:rPr>
              <w:t>1,111.8</w:t>
            </w:r>
          </w:p>
        </w:tc>
        <w:tc>
          <w:tcPr>
            <w:tcW w:w="851" w:type="dxa"/>
          </w:tcPr>
          <w:p w14:paraId="0A4EA880" w14:textId="77777777" w:rsidR="00CA1920" w:rsidRPr="00BD16B4" w:rsidRDefault="00CA1920" w:rsidP="005173B2">
            <w:pPr>
              <w:pStyle w:val="TableText"/>
              <w:spacing w:before="30" w:after="30" w:line="240" w:lineRule="auto"/>
              <w:rPr>
                <w:sz w:val="14"/>
                <w:szCs w:val="14"/>
              </w:rPr>
            </w:pPr>
            <w:r w:rsidRPr="00BD16B4">
              <w:rPr>
                <w:sz w:val="14"/>
                <w:szCs w:val="14"/>
              </w:rPr>
              <w:t>1,283.4</w:t>
            </w:r>
          </w:p>
        </w:tc>
      </w:tr>
      <w:tr w:rsidR="006709EC" w:rsidRPr="00BD16B4" w14:paraId="7D66A43D" w14:textId="77777777" w:rsidTr="006709EC">
        <w:tc>
          <w:tcPr>
            <w:tcW w:w="1632" w:type="dxa"/>
          </w:tcPr>
          <w:p w14:paraId="31282251" w14:textId="77777777" w:rsidR="00CA1920" w:rsidRPr="00BD16B4" w:rsidRDefault="00CA1920" w:rsidP="004C6726">
            <w:pPr>
              <w:pStyle w:val="TableText"/>
              <w:spacing w:before="20" w:after="20" w:line="240" w:lineRule="auto"/>
              <w:rPr>
                <w:sz w:val="14"/>
                <w:szCs w:val="18"/>
              </w:rPr>
            </w:pPr>
            <w:r w:rsidRPr="00BD16B4">
              <w:rPr>
                <w:sz w:val="14"/>
                <w:szCs w:val="14"/>
              </w:rPr>
              <w:t>Sustainable Land Management Hill Country Erosion Programme</w:t>
            </w:r>
          </w:p>
        </w:tc>
        <w:tc>
          <w:tcPr>
            <w:tcW w:w="1316" w:type="dxa"/>
          </w:tcPr>
          <w:p w14:paraId="6BB93BC4" w14:textId="77777777" w:rsidR="00CA1920" w:rsidRPr="00BD16B4" w:rsidRDefault="00CA1920" w:rsidP="004C6726">
            <w:pPr>
              <w:pStyle w:val="TableText"/>
              <w:spacing w:before="20" w:after="20" w:line="240" w:lineRule="auto"/>
              <w:rPr>
                <w:sz w:val="14"/>
                <w:szCs w:val="18"/>
              </w:rPr>
            </w:pPr>
            <w:r w:rsidRPr="00BD16B4">
              <w:rPr>
                <w:sz w:val="14"/>
                <w:szCs w:val="14"/>
              </w:rPr>
              <w:t>LULUCF</w:t>
            </w:r>
          </w:p>
        </w:tc>
        <w:tc>
          <w:tcPr>
            <w:tcW w:w="567" w:type="dxa"/>
          </w:tcPr>
          <w:p w14:paraId="3C36ACD7" w14:textId="77777777" w:rsidR="00CA1920" w:rsidRPr="00BD16B4" w:rsidRDefault="00CA1920" w:rsidP="004C6726">
            <w:pPr>
              <w:pStyle w:val="TableText"/>
              <w:spacing w:before="20" w:after="20" w:line="240" w:lineRule="auto"/>
              <w:rPr>
                <w:sz w:val="14"/>
                <w:szCs w:val="18"/>
              </w:rPr>
            </w:pPr>
            <w:r w:rsidRPr="00BD16B4">
              <w:rPr>
                <w:sz w:val="14"/>
                <w:szCs w:val="14"/>
              </w:rPr>
              <w:t>CO</w:t>
            </w:r>
            <w:r w:rsidRPr="00BD16B4">
              <w:rPr>
                <w:sz w:val="14"/>
                <w:szCs w:val="14"/>
                <w:vertAlign w:val="subscript"/>
              </w:rPr>
              <w:t>2</w:t>
            </w:r>
          </w:p>
        </w:tc>
        <w:tc>
          <w:tcPr>
            <w:tcW w:w="1701" w:type="dxa"/>
          </w:tcPr>
          <w:p w14:paraId="18917778" w14:textId="77777777" w:rsidR="00CA1920" w:rsidRPr="00BD16B4" w:rsidRDefault="00CA1920" w:rsidP="004C6726">
            <w:pPr>
              <w:pStyle w:val="TableText"/>
              <w:spacing w:before="20" w:after="20" w:line="240" w:lineRule="auto"/>
              <w:rPr>
                <w:sz w:val="14"/>
                <w:szCs w:val="18"/>
                <w:highlight w:val="yellow"/>
              </w:rPr>
            </w:pPr>
            <w:r w:rsidRPr="00BD16B4">
              <w:rPr>
                <w:sz w:val="14"/>
                <w:szCs w:val="18"/>
              </w:rPr>
              <w:t>Protect New Zealand’s estimated 1.4 million hectares of pastoral hill country that is classified as erosion-prone.</w:t>
            </w:r>
          </w:p>
        </w:tc>
        <w:tc>
          <w:tcPr>
            <w:tcW w:w="1134" w:type="dxa"/>
          </w:tcPr>
          <w:p w14:paraId="1FA0F563" w14:textId="77777777" w:rsidR="00CA1920" w:rsidRPr="00BD16B4" w:rsidRDefault="00CA1920" w:rsidP="004C6726">
            <w:pPr>
              <w:pStyle w:val="TableText"/>
              <w:spacing w:before="20" w:after="20" w:line="240" w:lineRule="auto"/>
              <w:rPr>
                <w:sz w:val="14"/>
                <w:szCs w:val="18"/>
              </w:rPr>
            </w:pPr>
            <w:r w:rsidRPr="00BD16B4">
              <w:rPr>
                <w:sz w:val="14"/>
                <w:szCs w:val="14"/>
              </w:rPr>
              <w:t>Fiscal</w:t>
            </w:r>
          </w:p>
        </w:tc>
        <w:tc>
          <w:tcPr>
            <w:tcW w:w="992" w:type="dxa"/>
          </w:tcPr>
          <w:p w14:paraId="7CF292AE" w14:textId="77777777" w:rsidR="00CA1920" w:rsidRPr="00BD16B4" w:rsidRDefault="00CA1920" w:rsidP="004C6726">
            <w:pPr>
              <w:pStyle w:val="TableText"/>
              <w:spacing w:before="20" w:after="20" w:line="240" w:lineRule="auto"/>
              <w:rPr>
                <w:sz w:val="14"/>
                <w:szCs w:val="18"/>
              </w:rPr>
            </w:pPr>
            <w:r w:rsidRPr="00BD16B4">
              <w:rPr>
                <w:sz w:val="14"/>
                <w:szCs w:val="14"/>
              </w:rPr>
              <w:t>Implemented (WEM)</w:t>
            </w:r>
          </w:p>
        </w:tc>
        <w:tc>
          <w:tcPr>
            <w:tcW w:w="2410" w:type="dxa"/>
          </w:tcPr>
          <w:p w14:paraId="00F21480" w14:textId="77777777" w:rsidR="00CA1920" w:rsidRPr="00BD16B4" w:rsidRDefault="00CA1920" w:rsidP="004C6726">
            <w:pPr>
              <w:spacing w:before="20" w:after="20" w:line="240" w:lineRule="auto"/>
              <w:jc w:val="left"/>
              <w:rPr>
                <w:sz w:val="14"/>
                <w:szCs w:val="18"/>
              </w:rPr>
            </w:pPr>
            <w:r w:rsidRPr="00BD16B4">
              <w:rPr>
                <w:sz w:val="14"/>
                <w:szCs w:val="18"/>
              </w:rPr>
              <w:t>It provides up to NZ$10 million of targeted funding support annually to regional and unitary councils. The purpose of the Programme is to speed up the rate of treatment of erosion-prone land.</w:t>
            </w:r>
          </w:p>
        </w:tc>
        <w:tc>
          <w:tcPr>
            <w:tcW w:w="567" w:type="dxa"/>
          </w:tcPr>
          <w:p w14:paraId="62092C91" w14:textId="77777777" w:rsidR="00CA1920" w:rsidRPr="00BD16B4" w:rsidRDefault="00CA1920" w:rsidP="004C6726">
            <w:pPr>
              <w:pStyle w:val="TableText"/>
              <w:spacing w:before="20" w:after="20" w:line="240" w:lineRule="auto"/>
              <w:rPr>
                <w:sz w:val="14"/>
                <w:szCs w:val="18"/>
              </w:rPr>
            </w:pPr>
            <w:r w:rsidRPr="00BD16B4">
              <w:rPr>
                <w:sz w:val="14"/>
                <w:szCs w:val="14"/>
              </w:rPr>
              <w:t>2009</w:t>
            </w:r>
          </w:p>
        </w:tc>
        <w:tc>
          <w:tcPr>
            <w:tcW w:w="1701" w:type="dxa"/>
          </w:tcPr>
          <w:p w14:paraId="14FFAE1E" w14:textId="77777777" w:rsidR="00CA1920" w:rsidRPr="00BD16B4" w:rsidRDefault="00CA1920" w:rsidP="004C6726">
            <w:pPr>
              <w:pStyle w:val="TableText"/>
              <w:spacing w:before="20" w:after="20" w:line="240" w:lineRule="auto"/>
              <w:rPr>
                <w:sz w:val="14"/>
                <w:szCs w:val="18"/>
              </w:rPr>
            </w:pPr>
            <w:r w:rsidRPr="00BD16B4">
              <w:rPr>
                <w:sz w:val="14"/>
                <w:szCs w:val="14"/>
              </w:rPr>
              <w:t>Ministry for Primary Industries</w:t>
            </w:r>
          </w:p>
        </w:tc>
        <w:tc>
          <w:tcPr>
            <w:tcW w:w="851" w:type="dxa"/>
          </w:tcPr>
          <w:p w14:paraId="2FC76202" w14:textId="77777777" w:rsidR="00CA1920" w:rsidRPr="00BD16B4" w:rsidRDefault="00CA1920" w:rsidP="005173B2">
            <w:pPr>
              <w:pStyle w:val="TableText"/>
              <w:spacing w:before="20" w:after="20" w:line="240" w:lineRule="auto"/>
              <w:rPr>
                <w:sz w:val="14"/>
                <w:szCs w:val="14"/>
              </w:rPr>
            </w:pPr>
            <w:r w:rsidRPr="00BD16B4">
              <w:rPr>
                <w:sz w:val="14"/>
                <w:szCs w:val="14"/>
              </w:rPr>
              <w:t>485.0</w:t>
            </w:r>
          </w:p>
        </w:tc>
        <w:tc>
          <w:tcPr>
            <w:tcW w:w="850" w:type="dxa"/>
          </w:tcPr>
          <w:p w14:paraId="0F07A78B" w14:textId="77777777" w:rsidR="00CA1920" w:rsidRPr="00BD16B4" w:rsidRDefault="00CA1920" w:rsidP="004C6726">
            <w:pPr>
              <w:pStyle w:val="TableText"/>
              <w:spacing w:before="20" w:after="20" w:line="240" w:lineRule="auto"/>
              <w:rPr>
                <w:sz w:val="14"/>
                <w:szCs w:val="14"/>
              </w:rPr>
            </w:pPr>
            <w:r w:rsidRPr="00BD16B4">
              <w:rPr>
                <w:sz w:val="14"/>
                <w:szCs w:val="14"/>
              </w:rPr>
              <w:t>694.2</w:t>
            </w:r>
          </w:p>
        </w:tc>
        <w:tc>
          <w:tcPr>
            <w:tcW w:w="851" w:type="dxa"/>
          </w:tcPr>
          <w:p w14:paraId="33B3378B" w14:textId="77777777" w:rsidR="00CA1920" w:rsidRPr="00BD16B4" w:rsidRDefault="00CA1920" w:rsidP="005173B2">
            <w:pPr>
              <w:pStyle w:val="TableText"/>
              <w:spacing w:before="20" w:after="20" w:line="240" w:lineRule="auto"/>
              <w:rPr>
                <w:sz w:val="14"/>
                <w:szCs w:val="14"/>
              </w:rPr>
            </w:pPr>
            <w:r w:rsidRPr="00BD16B4">
              <w:rPr>
                <w:sz w:val="14"/>
                <w:szCs w:val="14"/>
              </w:rPr>
              <w:t>724.1</w:t>
            </w:r>
          </w:p>
        </w:tc>
      </w:tr>
      <w:tr w:rsidR="006709EC" w:rsidRPr="00BD16B4" w14:paraId="41FF789F" w14:textId="77777777" w:rsidTr="006709EC">
        <w:tc>
          <w:tcPr>
            <w:tcW w:w="1632" w:type="dxa"/>
          </w:tcPr>
          <w:p w14:paraId="65B7A2B5" w14:textId="77777777" w:rsidR="00CA1920" w:rsidRPr="00BD16B4" w:rsidRDefault="00CA1920" w:rsidP="004C6726">
            <w:pPr>
              <w:pStyle w:val="TableText"/>
              <w:spacing w:before="20" w:after="20" w:line="240" w:lineRule="auto"/>
              <w:rPr>
                <w:sz w:val="14"/>
                <w:szCs w:val="18"/>
              </w:rPr>
            </w:pPr>
            <w:r w:rsidRPr="00BD16B4">
              <w:rPr>
                <w:sz w:val="14"/>
                <w:szCs w:val="14"/>
              </w:rPr>
              <w:t>Erosion Control Funding Programme</w:t>
            </w:r>
          </w:p>
        </w:tc>
        <w:tc>
          <w:tcPr>
            <w:tcW w:w="1316" w:type="dxa"/>
          </w:tcPr>
          <w:p w14:paraId="50E9DEFB" w14:textId="77777777" w:rsidR="00CA1920" w:rsidRPr="00BD16B4" w:rsidRDefault="00CA1920" w:rsidP="004C6726">
            <w:pPr>
              <w:pStyle w:val="TableText"/>
              <w:spacing w:before="20" w:after="20" w:line="240" w:lineRule="auto"/>
              <w:rPr>
                <w:sz w:val="14"/>
                <w:szCs w:val="18"/>
              </w:rPr>
            </w:pPr>
            <w:r w:rsidRPr="00BD16B4">
              <w:rPr>
                <w:sz w:val="14"/>
                <w:szCs w:val="14"/>
              </w:rPr>
              <w:t>LULUCF</w:t>
            </w:r>
          </w:p>
        </w:tc>
        <w:tc>
          <w:tcPr>
            <w:tcW w:w="567" w:type="dxa"/>
          </w:tcPr>
          <w:p w14:paraId="371C2C3C" w14:textId="77777777" w:rsidR="00CA1920" w:rsidRPr="00BD16B4" w:rsidRDefault="00CA1920" w:rsidP="004C6726">
            <w:pPr>
              <w:pStyle w:val="TableText"/>
              <w:spacing w:before="20" w:after="20" w:line="240" w:lineRule="auto"/>
              <w:rPr>
                <w:sz w:val="14"/>
                <w:szCs w:val="18"/>
              </w:rPr>
            </w:pPr>
            <w:r w:rsidRPr="00BD16B4">
              <w:rPr>
                <w:sz w:val="14"/>
                <w:szCs w:val="14"/>
              </w:rPr>
              <w:t>CO</w:t>
            </w:r>
            <w:r w:rsidRPr="00BD16B4">
              <w:rPr>
                <w:sz w:val="14"/>
                <w:szCs w:val="14"/>
                <w:vertAlign w:val="subscript"/>
              </w:rPr>
              <w:t>2</w:t>
            </w:r>
          </w:p>
        </w:tc>
        <w:tc>
          <w:tcPr>
            <w:tcW w:w="1701" w:type="dxa"/>
          </w:tcPr>
          <w:p w14:paraId="4ED9C699" w14:textId="77777777" w:rsidR="00CA1920" w:rsidRPr="00BD16B4" w:rsidRDefault="00CA1920" w:rsidP="004C6726">
            <w:pPr>
              <w:pStyle w:val="TableText"/>
              <w:spacing w:before="20" w:after="20" w:line="240" w:lineRule="auto"/>
              <w:rPr>
                <w:sz w:val="14"/>
                <w:szCs w:val="18"/>
              </w:rPr>
            </w:pPr>
            <w:r w:rsidRPr="00BD16B4">
              <w:rPr>
                <w:sz w:val="14"/>
                <w:szCs w:val="18"/>
              </w:rPr>
              <w:t>Provide funding to land owners to prevent and control erosion.</w:t>
            </w:r>
          </w:p>
        </w:tc>
        <w:tc>
          <w:tcPr>
            <w:tcW w:w="1134" w:type="dxa"/>
          </w:tcPr>
          <w:p w14:paraId="13A4BC64" w14:textId="77777777" w:rsidR="00CA1920" w:rsidRPr="00BD16B4" w:rsidRDefault="00CA1920" w:rsidP="004C6726">
            <w:pPr>
              <w:pStyle w:val="TableText"/>
              <w:spacing w:before="20" w:after="20" w:line="240" w:lineRule="auto"/>
              <w:rPr>
                <w:sz w:val="14"/>
                <w:szCs w:val="18"/>
              </w:rPr>
            </w:pPr>
            <w:r w:rsidRPr="00BD16B4">
              <w:rPr>
                <w:sz w:val="14"/>
                <w:szCs w:val="14"/>
              </w:rPr>
              <w:t>Fiscal</w:t>
            </w:r>
          </w:p>
        </w:tc>
        <w:tc>
          <w:tcPr>
            <w:tcW w:w="992" w:type="dxa"/>
          </w:tcPr>
          <w:p w14:paraId="31DC15E1" w14:textId="77777777" w:rsidR="00CA1920" w:rsidRPr="00BD16B4" w:rsidRDefault="00CA1920" w:rsidP="004C6726">
            <w:pPr>
              <w:pStyle w:val="TableText"/>
              <w:spacing w:before="20" w:after="20" w:line="240" w:lineRule="auto"/>
              <w:rPr>
                <w:sz w:val="14"/>
                <w:szCs w:val="18"/>
              </w:rPr>
            </w:pPr>
            <w:r w:rsidRPr="00BD16B4">
              <w:rPr>
                <w:sz w:val="14"/>
                <w:szCs w:val="14"/>
              </w:rPr>
              <w:t>Implemented (WEM)</w:t>
            </w:r>
          </w:p>
        </w:tc>
        <w:tc>
          <w:tcPr>
            <w:tcW w:w="2410" w:type="dxa"/>
          </w:tcPr>
          <w:p w14:paraId="63403280" w14:textId="77777777" w:rsidR="00CA1920" w:rsidRPr="00BD16B4" w:rsidRDefault="00CA1920" w:rsidP="004C6726">
            <w:pPr>
              <w:spacing w:before="20" w:after="20" w:line="240" w:lineRule="auto"/>
              <w:jc w:val="left"/>
              <w:rPr>
                <w:sz w:val="14"/>
                <w:szCs w:val="18"/>
              </w:rPr>
            </w:pPr>
            <w:r w:rsidRPr="00BD16B4">
              <w:rPr>
                <w:sz w:val="14"/>
                <w:szCs w:val="14"/>
              </w:rPr>
              <w:t xml:space="preserve">The grant can be used to control erosion on the worst eroding or erosion-prone land in the district, by providing effective tree cover through planting or encouraging natural reversion to native bush. </w:t>
            </w:r>
          </w:p>
        </w:tc>
        <w:tc>
          <w:tcPr>
            <w:tcW w:w="567" w:type="dxa"/>
          </w:tcPr>
          <w:p w14:paraId="30DE4991" w14:textId="77777777" w:rsidR="00CA1920" w:rsidRPr="00BD16B4" w:rsidRDefault="00CA1920" w:rsidP="004C6726">
            <w:pPr>
              <w:pStyle w:val="TableText"/>
              <w:spacing w:before="20" w:after="20" w:line="240" w:lineRule="auto"/>
              <w:rPr>
                <w:spacing w:val="-2"/>
                <w:sz w:val="14"/>
                <w:szCs w:val="18"/>
              </w:rPr>
            </w:pPr>
            <w:r w:rsidRPr="00BD16B4">
              <w:rPr>
                <w:spacing w:val="-2"/>
                <w:sz w:val="14"/>
                <w:szCs w:val="14"/>
              </w:rPr>
              <w:t>1993–2018</w:t>
            </w:r>
          </w:p>
        </w:tc>
        <w:tc>
          <w:tcPr>
            <w:tcW w:w="1701" w:type="dxa"/>
          </w:tcPr>
          <w:p w14:paraId="5AB91D2F" w14:textId="77777777" w:rsidR="00CA1920" w:rsidRPr="00BD16B4" w:rsidRDefault="00CA1920" w:rsidP="004C6726">
            <w:pPr>
              <w:pStyle w:val="TableText"/>
              <w:spacing w:before="20" w:after="20" w:line="240" w:lineRule="auto"/>
              <w:rPr>
                <w:sz w:val="14"/>
                <w:szCs w:val="18"/>
              </w:rPr>
            </w:pPr>
            <w:r w:rsidRPr="00BD16B4">
              <w:rPr>
                <w:sz w:val="14"/>
                <w:szCs w:val="14"/>
              </w:rPr>
              <w:t>Ministry for Primary Industries</w:t>
            </w:r>
          </w:p>
        </w:tc>
        <w:tc>
          <w:tcPr>
            <w:tcW w:w="851" w:type="dxa"/>
          </w:tcPr>
          <w:p w14:paraId="0AA1884B" w14:textId="77777777" w:rsidR="00CA1920" w:rsidRPr="00BD16B4" w:rsidRDefault="00CA1920" w:rsidP="005173B2">
            <w:pPr>
              <w:pStyle w:val="TableText"/>
              <w:spacing w:before="20" w:after="20" w:line="240" w:lineRule="auto"/>
              <w:rPr>
                <w:sz w:val="14"/>
                <w:szCs w:val="14"/>
              </w:rPr>
            </w:pPr>
            <w:r w:rsidRPr="00BD16B4">
              <w:rPr>
                <w:rFonts w:cs="Calibri"/>
                <w:sz w:val="14"/>
                <w:szCs w:val="14"/>
              </w:rPr>
              <w:t>246.8</w:t>
            </w:r>
          </w:p>
        </w:tc>
        <w:tc>
          <w:tcPr>
            <w:tcW w:w="850" w:type="dxa"/>
          </w:tcPr>
          <w:p w14:paraId="71F64E27" w14:textId="77777777" w:rsidR="00CA1920" w:rsidRPr="00BD16B4" w:rsidRDefault="00CA1920" w:rsidP="004C6726">
            <w:pPr>
              <w:pStyle w:val="TableText"/>
              <w:spacing w:before="20" w:after="20" w:line="240" w:lineRule="auto"/>
              <w:rPr>
                <w:sz w:val="14"/>
                <w:szCs w:val="14"/>
              </w:rPr>
            </w:pPr>
            <w:r w:rsidRPr="00BD16B4">
              <w:rPr>
                <w:rFonts w:cs="Calibri"/>
                <w:sz w:val="14"/>
                <w:szCs w:val="14"/>
              </w:rPr>
              <w:t>698.8</w:t>
            </w:r>
          </w:p>
        </w:tc>
        <w:tc>
          <w:tcPr>
            <w:tcW w:w="851" w:type="dxa"/>
          </w:tcPr>
          <w:p w14:paraId="1121351E" w14:textId="77777777" w:rsidR="00CA1920" w:rsidRPr="00BD16B4" w:rsidRDefault="00CA1920" w:rsidP="005173B2">
            <w:pPr>
              <w:pStyle w:val="TableText"/>
              <w:spacing w:before="20" w:after="20" w:line="240" w:lineRule="auto"/>
              <w:rPr>
                <w:sz w:val="14"/>
                <w:szCs w:val="14"/>
              </w:rPr>
            </w:pPr>
            <w:r w:rsidRPr="00BD16B4">
              <w:rPr>
                <w:rFonts w:cs="Calibri"/>
                <w:sz w:val="14"/>
                <w:szCs w:val="14"/>
              </w:rPr>
              <w:t>1,273.3</w:t>
            </w:r>
          </w:p>
        </w:tc>
      </w:tr>
      <w:tr w:rsidR="006709EC" w:rsidRPr="00BD16B4" w14:paraId="49504AED" w14:textId="77777777" w:rsidTr="006709EC">
        <w:tc>
          <w:tcPr>
            <w:tcW w:w="1632" w:type="dxa"/>
            <w:tcBorders>
              <w:bottom w:val="single" w:sz="4" w:space="0" w:color="1B556B" w:themeColor="text2"/>
            </w:tcBorders>
          </w:tcPr>
          <w:p w14:paraId="00C33280" w14:textId="77777777" w:rsidR="00CA1920" w:rsidRPr="00BD16B4" w:rsidRDefault="00CA1920" w:rsidP="004C6726">
            <w:pPr>
              <w:pStyle w:val="TableText"/>
              <w:spacing w:before="20" w:after="20" w:line="240" w:lineRule="auto"/>
              <w:rPr>
                <w:sz w:val="14"/>
                <w:szCs w:val="14"/>
              </w:rPr>
            </w:pPr>
            <w:r w:rsidRPr="00BD16B4">
              <w:rPr>
                <w:sz w:val="14"/>
                <w:szCs w:val="14"/>
              </w:rPr>
              <w:t>Permanent Forest Sink Initiative (PFSI)</w:t>
            </w:r>
          </w:p>
        </w:tc>
        <w:tc>
          <w:tcPr>
            <w:tcW w:w="1316" w:type="dxa"/>
            <w:tcBorders>
              <w:bottom w:val="single" w:sz="4" w:space="0" w:color="1B556B" w:themeColor="text2"/>
            </w:tcBorders>
          </w:tcPr>
          <w:p w14:paraId="5B74F798" w14:textId="77777777" w:rsidR="00CA1920" w:rsidRPr="00BD16B4" w:rsidRDefault="00CA1920" w:rsidP="004C6726">
            <w:pPr>
              <w:pStyle w:val="TableText"/>
              <w:spacing w:before="20" w:after="20" w:line="240" w:lineRule="auto"/>
              <w:rPr>
                <w:sz w:val="14"/>
                <w:szCs w:val="14"/>
              </w:rPr>
            </w:pPr>
            <w:r w:rsidRPr="00BD16B4">
              <w:rPr>
                <w:sz w:val="14"/>
                <w:szCs w:val="14"/>
              </w:rPr>
              <w:t>LULUCF</w:t>
            </w:r>
          </w:p>
        </w:tc>
        <w:tc>
          <w:tcPr>
            <w:tcW w:w="567" w:type="dxa"/>
            <w:tcBorders>
              <w:bottom w:val="single" w:sz="4" w:space="0" w:color="1B556B" w:themeColor="text2"/>
            </w:tcBorders>
          </w:tcPr>
          <w:p w14:paraId="314B6AAC" w14:textId="77777777" w:rsidR="00CA1920" w:rsidRPr="00BD16B4" w:rsidRDefault="00CA1920" w:rsidP="004C6726">
            <w:pPr>
              <w:pStyle w:val="TableText"/>
              <w:spacing w:before="20" w:after="20" w:line="240" w:lineRule="auto"/>
              <w:rPr>
                <w:sz w:val="14"/>
                <w:szCs w:val="14"/>
              </w:rPr>
            </w:pPr>
            <w:r w:rsidRPr="00BD16B4">
              <w:rPr>
                <w:sz w:val="14"/>
                <w:szCs w:val="14"/>
              </w:rPr>
              <w:t>CO</w:t>
            </w:r>
            <w:r w:rsidRPr="00BD16B4">
              <w:rPr>
                <w:sz w:val="14"/>
                <w:szCs w:val="14"/>
                <w:vertAlign w:val="subscript"/>
              </w:rPr>
              <w:t>2</w:t>
            </w:r>
          </w:p>
        </w:tc>
        <w:tc>
          <w:tcPr>
            <w:tcW w:w="1701" w:type="dxa"/>
            <w:tcBorders>
              <w:bottom w:val="single" w:sz="4" w:space="0" w:color="1B556B" w:themeColor="text2"/>
            </w:tcBorders>
          </w:tcPr>
          <w:p w14:paraId="35480F5E" w14:textId="77777777" w:rsidR="00CA1920" w:rsidRPr="00BD16B4" w:rsidRDefault="00CA1920" w:rsidP="004C6726">
            <w:pPr>
              <w:pStyle w:val="TableText"/>
              <w:spacing w:before="20" w:after="20" w:line="240" w:lineRule="auto"/>
              <w:rPr>
                <w:sz w:val="14"/>
                <w:szCs w:val="18"/>
                <w:highlight w:val="yellow"/>
              </w:rPr>
            </w:pPr>
            <w:r w:rsidRPr="00BD16B4">
              <w:rPr>
                <w:sz w:val="14"/>
                <w:szCs w:val="18"/>
              </w:rPr>
              <w:t>Enable land owners to receive New Zealand Units for permanent forest sinks.</w:t>
            </w:r>
          </w:p>
        </w:tc>
        <w:tc>
          <w:tcPr>
            <w:tcW w:w="1134" w:type="dxa"/>
            <w:tcBorders>
              <w:bottom w:val="single" w:sz="4" w:space="0" w:color="1B556B" w:themeColor="text2"/>
            </w:tcBorders>
          </w:tcPr>
          <w:p w14:paraId="28825C8C" w14:textId="77777777" w:rsidR="00CA1920" w:rsidRPr="00BD16B4" w:rsidRDefault="00CA1920" w:rsidP="004C6726">
            <w:pPr>
              <w:pStyle w:val="TableText"/>
              <w:spacing w:before="20" w:after="20" w:line="240" w:lineRule="auto"/>
              <w:rPr>
                <w:sz w:val="14"/>
                <w:szCs w:val="14"/>
              </w:rPr>
            </w:pPr>
            <w:r w:rsidRPr="00BD16B4">
              <w:rPr>
                <w:sz w:val="14"/>
                <w:szCs w:val="14"/>
              </w:rPr>
              <w:t>Fiscal</w:t>
            </w:r>
          </w:p>
        </w:tc>
        <w:tc>
          <w:tcPr>
            <w:tcW w:w="992" w:type="dxa"/>
            <w:tcBorders>
              <w:bottom w:val="single" w:sz="4" w:space="0" w:color="1B556B" w:themeColor="text2"/>
            </w:tcBorders>
          </w:tcPr>
          <w:p w14:paraId="2C2520B5" w14:textId="77777777" w:rsidR="00CA1920" w:rsidRPr="00BD16B4" w:rsidRDefault="00CA1920" w:rsidP="004C6726">
            <w:pPr>
              <w:pStyle w:val="TableText"/>
              <w:spacing w:before="20" w:after="20" w:line="240" w:lineRule="auto"/>
              <w:rPr>
                <w:sz w:val="14"/>
                <w:szCs w:val="14"/>
              </w:rPr>
            </w:pPr>
            <w:r w:rsidRPr="00BD16B4">
              <w:rPr>
                <w:sz w:val="14"/>
                <w:szCs w:val="14"/>
              </w:rPr>
              <w:t>Implemented (WEM)</w:t>
            </w:r>
          </w:p>
        </w:tc>
        <w:tc>
          <w:tcPr>
            <w:tcW w:w="2410" w:type="dxa"/>
            <w:tcBorders>
              <w:bottom w:val="single" w:sz="4" w:space="0" w:color="1B556B" w:themeColor="text2"/>
            </w:tcBorders>
          </w:tcPr>
          <w:p w14:paraId="27647BEC" w14:textId="77777777" w:rsidR="00CA1920" w:rsidRPr="00BD16B4" w:rsidRDefault="00CA1920" w:rsidP="004C6726">
            <w:pPr>
              <w:spacing w:before="20" w:after="20" w:line="240" w:lineRule="auto"/>
              <w:jc w:val="left"/>
              <w:rPr>
                <w:sz w:val="14"/>
                <w:szCs w:val="14"/>
              </w:rPr>
            </w:pPr>
            <w:r w:rsidRPr="00BD16B4">
              <w:rPr>
                <w:sz w:val="14"/>
                <w:szCs w:val="14"/>
              </w:rPr>
              <w:t xml:space="preserve">Discontinue the PFSI at the end of 2021 and replace it with a new activity in the NZ ETS that encourages the establishment of permanent post-1989 forests. </w:t>
            </w:r>
          </w:p>
        </w:tc>
        <w:tc>
          <w:tcPr>
            <w:tcW w:w="567" w:type="dxa"/>
            <w:tcBorders>
              <w:bottom w:val="single" w:sz="4" w:space="0" w:color="1B556B" w:themeColor="text2"/>
            </w:tcBorders>
          </w:tcPr>
          <w:p w14:paraId="54F2E11A" w14:textId="77777777" w:rsidR="00CA1920" w:rsidRPr="00BD16B4" w:rsidRDefault="00CA1920" w:rsidP="004C6726">
            <w:pPr>
              <w:pStyle w:val="TableText"/>
              <w:spacing w:before="20" w:after="20" w:line="240" w:lineRule="auto"/>
              <w:rPr>
                <w:sz w:val="14"/>
                <w:szCs w:val="14"/>
              </w:rPr>
            </w:pPr>
            <w:r w:rsidRPr="00BD16B4">
              <w:rPr>
                <w:sz w:val="14"/>
                <w:szCs w:val="14"/>
              </w:rPr>
              <w:t>2008–22</w:t>
            </w:r>
          </w:p>
        </w:tc>
        <w:tc>
          <w:tcPr>
            <w:tcW w:w="1701" w:type="dxa"/>
            <w:tcBorders>
              <w:bottom w:val="single" w:sz="4" w:space="0" w:color="1B556B" w:themeColor="text2"/>
            </w:tcBorders>
          </w:tcPr>
          <w:p w14:paraId="04B29085" w14:textId="77777777" w:rsidR="00CA1920" w:rsidRPr="00BD16B4" w:rsidRDefault="00CA1920" w:rsidP="004C6726">
            <w:pPr>
              <w:pStyle w:val="TableText"/>
              <w:spacing w:before="20" w:after="20" w:line="240" w:lineRule="auto"/>
              <w:rPr>
                <w:sz w:val="14"/>
                <w:szCs w:val="14"/>
              </w:rPr>
            </w:pPr>
            <w:r w:rsidRPr="00BD16B4">
              <w:rPr>
                <w:sz w:val="14"/>
                <w:szCs w:val="14"/>
              </w:rPr>
              <w:t>Ministry for Primary Industries</w:t>
            </w:r>
          </w:p>
        </w:tc>
        <w:tc>
          <w:tcPr>
            <w:tcW w:w="851" w:type="dxa"/>
            <w:tcBorders>
              <w:bottom w:val="single" w:sz="4" w:space="0" w:color="1B556B" w:themeColor="text2"/>
            </w:tcBorders>
          </w:tcPr>
          <w:p w14:paraId="515EEB46" w14:textId="77777777" w:rsidR="00CA1920" w:rsidRPr="00BD16B4" w:rsidRDefault="00CA1920" w:rsidP="005173B2">
            <w:pPr>
              <w:pStyle w:val="TableText"/>
              <w:spacing w:before="20" w:after="20" w:line="240" w:lineRule="auto"/>
              <w:rPr>
                <w:sz w:val="14"/>
                <w:szCs w:val="14"/>
              </w:rPr>
            </w:pPr>
            <w:r w:rsidRPr="00BD16B4">
              <w:rPr>
                <w:rFonts w:cs="Calibri"/>
                <w:sz w:val="14"/>
                <w:szCs w:val="14"/>
              </w:rPr>
              <w:t>214.4</w:t>
            </w:r>
          </w:p>
        </w:tc>
        <w:tc>
          <w:tcPr>
            <w:tcW w:w="850" w:type="dxa"/>
            <w:tcBorders>
              <w:bottom w:val="single" w:sz="4" w:space="0" w:color="1B556B" w:themeColor="text2"/>
            </w:tcBorders>
          </w:tcPr>
          <w:p w14:paraId="4174B5AB" w14:textId="77777777" w:rsidR="00CA1920" w:rsidRPr="00BD16B4" w:rsidRDefault="00CA1920" w:rsidP="004C6726">
            <w:pPr>
              <w:pStyle w:val="TableText"/>
              <w:spacing w:before="20" w:after="20" w:line="240" w:lineRule="auto"/>
              <w:rPr>
                <w:sz w:val="14"/>
                <w:szCs w:val="14"/>
              </w:rPr>
            </w:pPr>
            <w:r w:rsidRPr="00BD16B4">
              <w:rPr>
                <w:rFonts w:cs="Calibri"/>
                <w:sz w:val="14"/>
                <w:szCs w:val="14"/>
              </w:rPr>
              <w:t>178.5</w:t>
            </w:r>
          </w:p>
        </w:tc>
        <w:tc>
          <w:tcPr>
            <w:tcW w:w="851" w:type="dxa"/>
            <w:tcBorders>
              <w:bottom w:val="single" w:sz="4" w:space="0" w:color="1B556B" w:themeColor="text2"/>
            </w:tcBorders>
          </w:tcPr>
          <w:p w14:paraId="356A47C6" w14:textId="77777777" w:rsidR="00CA1920" w:rsidRPr="00BD16B4" w:rsidRDefault="00CA1920" w:rsidP="005173B2">
            <w:pPr>
              <w:pStyle w:val="TableText"/>
              <w:spacing w:before="20" w:after="20" w:line="240" w:lineRule="auto"/>
              <w:rPr>
                <w:sz w:val="14"/>
                <w:szCs w:val="14"/>
              </w:rPr>
            </w:pPr>
            <w:r w:rsidRPr="00BD16B4">
              <w:rPr>
                <w:rFonts w:cs="Calibri"/>
                <w:sz w:val="14"/>
                <w:szCs w:val="14"/>
              </w:rPr>
              <w:t>166.0</w:t>
            </w:r>
          </w:p>
        </w:tc>
      </w:tr>
      <w:tr w:rsidR="00CA1920" w:rsidRPr="00BD16B4" w14:paraId="340C2514" w14:textId="77777777" w:rsidTr="004C6726">
        <w:tc>
          <w:tcPr>
            <w:tcW w:w="14572" w:type="dxa"/>
            <w:gridSpan w:val="12"/>
            <w:shd w:val="clear" w:color="auto" w:fill="D2DDE1" w:themeFill="background2"/>
          </w:tcPr>
          <w:p w14:paraId="28573154" w14:textId="77777777" w:rsidR="00CA1920" w:rsidRPr="00BD16B4" w:rsidRDefault="00CA1920" w:rsidP="005173B2">
            <w:pPr>
              <w:pStyle w:val="TableText"/>
              <w:keepNext/>
              <w:spacing w:before="20" w:after="20" w:line="240" w:lineRule="auto"/>
              <w:rPr>
                <w:sz w:val="14"/>
                <w:szCs w:val="14"/>
              </w:rPr>
            </w:pPr>
            <w:r w:rsidRPr="00BD16B4">
              <w:rPr>
                <w:b/>
                <w:bCs/>
                <w:sz w:val="14"/>
                <w:szCs w:val="18"/>
              </w:rPr>
              <w:lastRenderedPageBreak/>
              <w:t>LULUCF: other measures</w:t>
            </w:r>
          </w:p>
        </w:tc>
      </w:tr>
      <w:tr w:rsidR="006709EC" w:rsidRPr="00BD16B4" w14:paraId="36B81493" w14:textId="77777777" w:rsidTr="006709EC">
        <w:tc>
          <w:tcPr>
            <w:tcW w:w="1632" w:type="dxa"/>
          </w:tcPr>
          <w:p w14:paraId="50F747A2" w14:textId="77777777" w:rsidR="00CA1920" w:rsidRPr="00BD16B4" w:rsidRDefault="00CA1920" w:rsidP="004C6726">
            <w:pPr>
              <w:pStyle w:val="TableText"/>
              <w:spacing w:before="20" w:after="20" w:line="240" w:lineRule="auto"/>
              <w:rPr>
                <w:sz w:val="14"/>
                <w:szCs w:val="14"/>
              </w:rPr>
            </w:pPr>
            <w:r w:rsidRPr="00BD16B4">
              <w:rPr>
                <w:sz w:val="14"/>
                <w:szCs w:val="14"/>
              </w:rPr>
              <w:t>Woody biomass</w:t>
            </w:r>
          </w:p>
        </w:tc>
        <w:tc>
          <w:tcPr>
            <w:tcW w:w="1316" w:type="dxa"/>
          </w:tcPr>
          <w:p w14:paraId="3983E3C0" w14:textId="77777777" w:rsidR="00CA1920" w:rsidRPr="00BD16B4" w:rsidRDefault="00CA1920" w:rsidP="004C6726">
            <w:pPr>
              <w:pStyle w:val="TableText"/>
              <w:spacing w:before="20" w:after="20" w:line="240" w:lineRule="auto"/>
              <w:rPr>
                <w:sz w:val="14"/>
                <w:szCs w:val="14"/>
              </w:rPr>
            </w:pPr>
            <w:r w:rsidRPr="00BD16B4">
              <w:rPr>
                <w:sz w:val="14"/>
                <w:szCs w:val="14"/>
              </w:rPr>
              <w:t>LULUCF</w:t>
            </w:r>
          </w:p>
        </w:tc>
        <w:tc>
          <w:tcPr>
            <w:tcW w:w="567" w:type="dxa"/>
          </w:tcPr>
          <w:p w14:paraId="13C504AF" w14:textId="77777777" w:rsidR="00CA1920" w:rsidRPr="00BD16B4" w:rsidRDefault="00CA1920" w:rsidP="004C6726">
            <w:pPr>
              <w:pStyle w:val="TableText"/>
              <w:spacing w:before="20" w:after="20" w:line="240" w:lineRule="auto"/>
              <w:rPr>
                <w:sz w:val="14"/>
                <w:szCs w:val="14"/>
              </w:rPr>
            </w:pPr>
            <w:r w:rsidRPr="00BD16B4">
              <w:rPr>
                <w:sz w:val="14"/>
                <w:szCs w:val="14"/>
              </w:rPr>
              <w:t>CO</w:t>
            </w:r>
            <w:r w:rsidRPr="00BD16B4">
              <w:rPr>
                <w:sz w:val="14"/>
                <w:szCs w:val="14"/>
                <w:vertAlign w:val="subscript"/>
              </w:rPr>
              <w:t>2</w:t>
            </w:r>
          </w:p>
        </w:tc>
        <w:tc>
          <w:tcPr>
            <w:tcW w:w="1701" w:type="dxa"/>
          </w:tcPr>
          <w:p w14:paraId="08516F71" w14:textId="77777777" w:rsidR="00CA1920" w:rsidRPr="00BD16B4" w:rsidRDefault="00CA1920" w:rsidP="004C6726">
            <w:pPr>
              <w:pStyle w:val="TableText"/>
              <w:spacing w:before="20" w:after="20" w:line="240" w:lineRule="auto"/>
              <w:rPr>
                <w:sz w:val="14"/>
                <w:szCs w:val="14"/>
              </w:rPr>
            </w:pPr>
            <w:r w:rsidRPr="00BD16B4">
              <w:rPr>
                <w:sz w:val="14"/>
                <w:szCs w:val="14"/>
              </w:rPr>
              <w:t>Directly increase biomass supply and stimulate private sector investment to create further supply.</w:t>
            </w:r>
          </w:p>
        </w:tc>
        <w:tc>
          <w:tcPr>
            <w:tcW w:w="1134" w:type="dxa"/>
          </w:tcPr>
          <w:p w14:paraId="372CE891" w14:textId="77777777" w:rsidR="00CA1920" w:rsidRPr="00BD16B4" w:rsidRDefault="00CA1920" w:rsidP="004C6726">
            <w:pPr>
              <w:pStyle w:val="TableText"/>
              <w:spacing w:before="20" w:after="20" w:line="240" w:lineRule="auto"/>
              <w:rPr>
                <w:sz w:val="14"/>
                <w:szCs w:val="14"/>
              </w:rPr>
            </w:pPr>
            <w:r w:rsidRPr="00BD16B4">
              <w:rPr>
                <w:sz w:val="14"/>
                <w:szCs w:val="14"/>
              </w:rPr>
              <w:t>Fiscal</w:t>
            </w:r>
          </w:p>
        </w:tc>
        <w:tc>
          <w:tcPr>
            <w:tcW w:w="992" w:type="dxa"/>
          </w:tcPr>
          <w:p w14:paraId="50E2C416" w14:textId="77777777" w:rsidR="00CA1920" w:rsidRPr="00BD16B4" w:rsidRDefault="00CA1920" w:rsidP="004C6726">
            <w:pPr>
              <w:pStyle w:val="TableText"/>
              <w:spacing w:before="20" w:after="20" w:line="240" w:lineRule="auto"/>
              <w:rPr>
                <w:sz w:val="14"/>
                <w:szCs w:val="14"/>
              </w:rPr>
            </w:pPr>
            <w:r w:rsidRPr="00BD16B4">
              <w:rPr>
                <w:sz w:val="14"/>
                <w:szCs w:val="14"/>
              </w:rPr>
              <w:t>Planned (WAM)</w:t>
            </w:r>
          </w:p>
        </w:tc>
        <w:tc>
          <w:tcPr>
            <w:tcW w:w="2410" w:type="dxa"/>
          </w:tcPr>
          <w:p w14:paraId="26896FC9" w14:textId="77777777" w:rsidR="00CA1920" w:rsidRPr="00BD16B4" w:rsidRDefault="00CA1920" w:rsidP="004C6726">
            <w:pPr>
              <w:pStyle w:val="TableText"/>
              <w:spacing w:before="20" w:after="20" w:line="240" w:lineRule="auto"/>
              <w:rPr>
                <w:sz w:val="14"/>
                <w:szCs w:val="14"/>
              </w:rPr>
            </w:pPr>
            <w:r w:rsidRPr="00BD16B4">
              <w:rPr>
                <w:sz w:val="14"/>
                <w:szCs w:val="14"/>
              </w:rPr>
              <w:t xml:space="preserve">Investment in commercial planting to increase the supply of biomass; and research into alternative biomass crops, and effective forest waste recovery for biomass. </w:t>
            </w:r>
          </w:p>
        </w:tc>
        <w:tc>
          <w:tcPr>
            <w:tcW w:w="567" w:type="dxa"/>
          </w:tcPr>
          <w:p w14:paraId="01924C2A" w14:textId="77777777" w:rsidR="00CA1920" w:rsidRPr="00BD16B4" w:rsidRDefault="00CA1920" w:rsidP="004C6726">
            <w:pPr>
              <w:pStyle w:val="TableText"/>
              <w:spacing w:before="20" w:after="20" w:line="240" w:lineRule="auto"/>
              <w:rPr>
                <w:sz w:val="14"/>
                <w:szCs w:val="14"/>
              </w:rPr>
            </w:pPr>
            <w:r w:rsidRPr="00BD16B4">
              <w:rPr>
                <w:sz w:val="14"/>
                <w:szCs w:val="14"/>
              </w:rPr>
              <w:t>2023</w:t>
            </w:r>
          </w:p>
        </w:tc>
        <w:tc>
          <w:tcPr>
            <w:tcW w:w="1701" w:type="dxa"/>
          </w:tcPr>
          <w:p w14:paraId="64808813" w14:textId="77777777" w:rsidR="00CA1920" w:rsidRPr="00BD16B4" w:rsidRDefault="00CA1920" w:rsidP="004C6726">
            <w:pPr>
              <w:pStyle w:val="TableText"/>
              <w:spacing w:before="20" w:after="20" w:line="240" w:lineRule="auto"/>
              <w:rPr>
                <w:sz w:val="14"/>
                <w:szCs w:val="14"/>
              </w:rPr>
            </w:pPr>
            <w:r w:rsidRPr="00BD16B4">
              <w:rPr>
                <w:sz w:val="14"/>
                <w:szCs w:val="14"/>
              </w:rPr>
              <w:t>Ministry for Primary Industries</w:t>
            </w:r>
          </w:p>
        </w:tc>
        <w:tc>
          <w:tcPr>
            <w:tcW w:w="851" w:type="dxa"/>
          </w:tcPr>
          <w:p w14:paraId="31F1302C" w14:textId="77777777" w:rsidR="00CA1920" w:rsidRPr="00BD16B4" w:rsidRDefault="00CA1920" w:rsidP="005173B2">
            <w:pPr>
              <w:pStyle w:val="TableText"/>
              <w:spacing w:before="20" w:after="20" w:line="240" w:lineRule="auto"/>
              <w:rPr>
                <w:sz w:val="14"/>
                <w:szCs w:val="14"/>
              </w:rPr>
            </w:pPr>
            <w:r w:rsidRPr="00BD16B4">
              <w:rPr>
                <w:rFonts w:cs="Calibri"/>
                <w:sz w:val="14"/>
                <w:szCs w:val="14"/>
              </w:rPr>
              <w:t>–75.4</w:t>
            </w:r>
          </w:p>
        </w:tc>
        <w:tc>
          <w:tcPr>
            <w:tcW w:w="850" w:type="dxa"/>
          </w:tcPr>
          <w:p w14:paraId="0CD1E32D" w14:textId="77777777" w:rsidR="00CA1920" w:rsidRPr="00BD16B4" w:rsidRDefault="00CA1920" w:rsidP="000873E9">
            <w:pPr>
              <w:pStyle w:val="TableText"/>
              <w:spacing w:before="20" w:after="20" w:line="240" w:lineRule="auto"/>
              <w:rPr>
                <w:sz w:val="14"/>
                <w:szCs w:val="14"/>
              </w:rPr>
            </w:pPr>
            <w:r w:rsidRPr="00BD16B4">
              <w:rPr>
                <w:rFonts w:cs="Calibri"/>
                <w:sz w:val="14"/>
                <w:szCs w:val="14"/>
              </w:rPr>
              <w:t>288.6</w:t>
            </w:r>
          </w:p>
        </w:tc>
        <w:tc>
          <w:tcPr>
            <w:tcW w:w="851" w:type="dxa"/>
          </w:tcPr>
          <w:p w14:paraId="6B04EAFE" w14:textId="77777777" w:rsidR="00CA1920" w:rsidRPr="00BD16B4" w:rsidRDefault="00CA1920" w:rsidP="000873E9">
            <w:pPr>
              <w:pStyle w:val="TableText"/>
              <w:spacing w:before="20" w:after="20" w:line="240" w:lineRule="auto"/>
              <w:rPr>
                <w:sz w:val="14"/>
                <w:szCs w:val="14"/>
              </w:rPr>
            </w:pPr>
            <w:r w:rsidRPr="00BD16B4">
              <w:rPr>
                <w:rFonts w:cs="Calibri"/>
                <w:sz w:val="14"/>
                <w:szCs w:val="14"/>
              </w:rPr>
              <w:t>309.8</w:t>
            </w:r>
          </w:p>
        </w:tc>
      </w:tr>
      <w:tr w:rsidR="006709EC" w:rsidRPr="00BD16B4" w14:paraId="42851A5A" w14:textId="77777777" w:rsidTr="006709EC">
        <w:tc>
          <w:tcPr>
            <w:tcW w:w="1632" w:type="dxa"/>
          </w:tcPr>
          <w:p w14:paraId="4EFA2072" w14:textId="77777777" w:rsidR="00CA1920" w:rsidRPr="00BD16B4" w:rsidRDefault="00CA1920" w:rsidP="004C6726">
            <w:pPr>
              <w:pStyle w:val="TableText"/>
              <w:spacing w:before="20" w:after="20" w:line="240" w:lineRule="auto"/>
              <w:rPr>
                <w:sz w:val="14"/>
                <w:szCs w:val="18"/>
              </w:rPr>
            </w:pPr>
            <w:r w:rsidRPr="00BD16B4">
              <w:rPr>
                <w:sz w:val="14"/>
                <w:szCs w:val="14"/>
              </w:rPr>
              <w:t>Native afforestation initiative</w:t>
            </w:r>
          </w:p>
        </w:tc>
        <w:tc>
          <w:tcPr>
            <w:tcW w:w="1316" w:type="dxa"/>
          </w:tcPr>
          <w:p w14:paraId="6CBB9578" w14:textId="77777777" w:rsidR="00CA1920" w:rsidRPr="00BD16B4" w:rsidRDefault="00CA1920" w:rsidP="004C6726">
            <w:pPr>
              <w:pStyle w:val="TableText"/>
              <w:spacing w:before="20" w:after="20" w:line="240" w:lineRule="auto"/>
              <w:rPr>
                <w:sz w:val="14"/>
                <w:szCs w:val="18"/>
              </w:rPr>
            </w:pPr>
            <w:r w:rsidRPr="00BD16B4">
              <w:rPr>
                <w:sz w:val="14"/>
                <w:szCs w:val="14"/>
              </w:rPr>
              <w:t>LULUCF</w:t>
            </w:r>
          </w:p>
        </w:tc>
        <w:tc>
          <w:tcPr>
            <w:tcW w:w="567" w:type="dxa"/>
          </w:tcPr>
          <w:p w14:paraId="7362178C" w14:textId="77777777" w:rsidR="00CA1920" w:rsidRPr="00BD16B4" w:rsidRDefault="00CA1920" w:rsidP="004C6726">
            <w:pPr>
              <w:pStyle w:val="TableText"/>
              <w:spacing w:before="20" w:after="20" w:line="240" w:lineRule="auto"/>
              <w:rPr>
                <w:sz w:val="14"/>
                <w:szCs w:val="18"/>
              </w:rPr>
            </w:pPr>
            <w:r w:rsidRPr="00BD16B4">
              <w:rPr>
                <w:sz w:val="14"/>
                <w:szCs w:val="14"/>
              </w:rPr>
              <w:t>CO</w:t>
            </w:r>
            <w:r w:rsidRPr="00BD16B4">
              <w:rPr>
                <w:sz w:val="14"/>
                <w:szCs w:val="14"/>
                <w:vertAlign w:val="subscript"/>
              </w:rPr>
              <w:t>2</w:t>
            </w:r>
          </w:p>
        </w:tc>
        <w:tc>
          <w:tcPr>
            <w:tcW w:w="1701" w:type="dxa"/>
          </w:tcPr>
          <w:p w14:paraId="152E58E9" w14:textId="77777777" w:rsidR="00CA1920" w:rsidRPr="00BD16B4" w:rsidRDefault="00CA1920" w:rsidP="004C6726">
            <w:pPr>
              <w:pStyle w:val="TableText"/>
              <w:spacing w:before="20" w:after="20" w:line="240" w:lineRule="auto"/>
              <w:rPr>
                <w:sz w:val="14"/>
                <w:szCs w:val="18"/>
              </w:rPr>
            </w:pPr>
            <w:r w:rsidRPr="00BD16B4">
              <w:rPr>
                <w:sz w:val="14"/>
                <w:szCs w:val="14"/>
              </w:rPr>
              <w:t xml:space="preserve">Increase the supply of native seedlings and reducing the barriers and cost for planting. It is the first stage of a multi-phase project to support establishing native forests at scale to develop long-term carbon sinks. </w:t>
            </w:r>
          </w:p>
        </w:tc>
        <w:tc>
          <w:tcPr>
            <w:tcW w:w="1134" w:type="dxa"/>
          </w:tcPr>
          <w:p w14:paraId="2E15B0A5" w14:textId="77777777" w:rsidR="00CA1920" w:rsidRPr="00BD16B4" w:rsidRDefault="00CA1920" w:rsidP="004C6726">
            <w:pPr>
              <w:pStyle w:val="TableText"/>
              <w:spacing w:before="20" w:after="20" w:line="240" w:lineRule="auto"/>
              <w:rPr>
                <w:sz w:val="14"/>
                <w:szCs w:val="18"/>
              </w:rPr>
            </w:pPr>
            <w:r w:rsidRPr="00BD16B4">
              <w:rPr>
                <w:sz w:val="14"/>
                <w:szCs w:val="14"/>
              </w:rPr>
              <w:t>Fiscal</w:t>
            </w:r>
          </w:p>
        </w:tc>
        <w:tc>
          <w:tcPr>
            <w:tcW w:w="992" w:type="dxa"/>
          </w:tcPr>
          <w:p w14:paraId="11268728" w14:textId="77777777" w:rsidR="00CA1920" w:rsidRPr="00BD16B4" w:rsidRDefault="00CA1920" w:rsidP="004C6726">
            <w:pPr>
              <w:pStyle w:val="TableText"/>
              <w:spacing w:before="20" w:after="20" w:line="240" w:lineRule="auto"/>
              <w:rPr>
                <w:sz w:val="14"/>
                <w:szCs w:val="18"/>
              </w:rPr>
            </w:pPr>
            <w:r w:rsidRPr="00BD16B4">
              <w:rPr>
                <w:sz w:val="14"/>
                <w:szCs w:val="14"/>
              </w:rPr>
              <w:t>Planned (WAM)</w:t>
            </w:r>
          </w:p>
        </w:tc>
        <w:tc>
          <w:tcPr>
            <w:tcW w:w="2410" w:type="dxa"/>
          </w:tcPr>
          <w:p w14:paraId="0E1BBB83" w14:textId="77777777" w:rsidR="00CA1920" w:rsidRPr="00BD16B4" w:rsidRDefault="00CA1920" w:rsidP="004C6726">
            <w:pPr>
              <w:spacing w:before="20" w:after="20" w:line="240" w:lineRule="auto"/>
              <w:jc w:val="left"/>
              <w:rPr>
                <w:sz w:val="14"/>
                <w:szCs w:val="18"/>
              </w:rPr>
            </w:pPr>
            <w:r w:rsidRPr="00BD16B4">
              <w:rPr>
                <w:sz w:val="14"/>
                <w:szCs w:val="14"/>
              </w:rPr>
              <w:t xml:space="preserve">Deployment and uptake of technology; development of a long-terms strategy and actions plan with partners and stakeholders; research and innovation; and increased knowledge and advice to support nursery sector growth. </w:t>
            </w:r>
          </w:p>
        </w:tc>
        <w:tc>
          <w:tcPr>
            <w:tcW w:w="567" w:type="dxa"/>
          </w:tcPr>
          <w:p w14:paraId="58F549FC" w14:textId="77777777" w:rsidR="00CA1920" w:rsidRPr="00BD16B4" w:rsidRDefault="00CA1920" w:rsidP="004C6726">
            <w:pPr>
              <w:pStyle w:val="TableText"/>
              <w:spacing w:before="20" w:after="20" w:line="240" w:lineRule="auto"/>
              <w:rPr>
                <w:sz w:val="14"/>
                <w:szCs w:val="18"/>
              </w:rPr>
            </w:pPr>
            <w:r w:rsidRPr="00BD16B4">
              <w:rPr>
                <w:sz w:val="14"/>
                <w:szCs w:val="14"/>
              </w:rPr>
              <w:t>2025</w:t>
            </w:r>
          </w:p>
        </w:tc>
        <w:tc>
          <w:tcPr>
            <w:tcW w:w="1701" w:type="dxa"/>
          </w:tcPr>
          <w:p w14:paraId="552427A1" w14:textId="77777777" w:rsidR="00CA1920" w:rsidRPr="00BD16B4" w:rsidRDefault="00CA1920" w:rsidP="004C6726">
            <w:pPr>
              <w:pStyle w:val="TableText"/>
              <w:spacing w:before="20" w:after="20" w:line="240" w:lineRule="auto"/>
              <w:rPr>
                <w:sz w:val="14"/>
                <w:szCs w:val="18"/>
              </w:rPr>
            </w:pPr>
            <w:r w:rsidRPr="00BD16B4">
              <w:rPr>
                <w:sz w:val="14"/>
                <w:szCs w:val="14"/>
              </w:rPr>
              <w:t>Ministry for Primary Industries</w:t>
            </w:r>
          </w:p>
        </w:tc>
        <w:tc>
          <w:tcPr>
            <w:tcW w:w="851" w:type="dxa"/>
          </w:tcPr>
          <w:p w14:paraId="67113895" w14:textId="77777777" w:rsidR="00CA1920" w:rsidRPr="00BD16B4" w:rsidRDefault="00CA1920" w:rsidP="005173B2">
            <w:pPr>
              <w:pStyle w:val="TableText"/>
              <w:spacing w:before="20" w:after="20" w:line="240" w:lineRule="auto"/>
              <w:rPr>
                <w:sz w:val="14"/>
                <w:szCs w:val="14"/>
              </w:rPr>
            </w:pPr>
            <w:r w:rsidRPr="00BD16B4">
              <w:rPr>
                <w:rFonts w:cs="Calibri"/>
                <w:sz w:val="14"/>
                <w:szCs w:val="14"/>
              </w:rPr>
              <w:t>31.1</w:t>
            </w:r>
          </w:p>
        </w:tc>
        <w:tc>
          <w:tcPr>
            <w:tcW w:w="850" w:type="dxa"/>
          </w:tcPr>
          <w:p w14:paraId="1AB497F4" w14:textId="77777777" w:rsidR="00CA1920" w:rsidRPr="00BD16B4" w:rsidRDefault="00CA1920" w:rsidP="000873E9">
            <w:pPr>
              <w:pStyle w:val="TableText"/>
              <w:spacing w:before="20" w:after="20" w:line="240" w:lineRule="auto"/>
              <w:rPr>
                <w:sz w:val="14"/>
                <w:szCs w:val="14"/>
              </w:rPr>
            </w:pPr>
            <w:r w:rsidRPr="00BD16B4">
              <w:rPr>
                <w:rFonts w:cs="Calibri"/>
                <w:sz w:val="14"/>
                <w:szCs w:val="14"/>
              </w:rPr>
              <w:t>282.3</w:t>
            </w:r>
          </w:p>
        </w:tc>
        <w:tc>
          <w:tcPr>
            <w:tcW w:w="851" w:type="dxa"/>
          </w:tcPr>
          <w:p w14:paraId="1D362DBB" w14:textId="77777777" w:rsidR="00CA1920" w:rsidRPr="00BD16B4" w:rsidRDefault="00CA1920" w:rsidP="000873E9">
            <w:pPr>
              <w:pStyle w:val="TableText"/>
              <w:spacing w:before="20" w:after="20" w:line="240" w:lineRule="auto"/>
              <w:rPr>
                <w:sz w:val="14"/>
                <w:szCs w:val="14"/>
              </w:rPr>
            </w:pPr>
            <w:r w:rsidRPr="00BD16B4">
              <w:rPr>
                <w:rFonts w:cs="Calibri"/>
                <w:sz w:val="14"/>
                <w:szCs w:val="14"/>
              </w:rPr>
              <w:t>740.1</w:t>
            </w:r>
          </w:p>
        </w:tc>
      </w:tr>
      <w:tr w:rsidR="00DA4715" w:rsidRPr="00BD16B4" w14:paraId="4A132706" w14:textId="77777777" w:rsidTr="006709EC">
        <w:tc>
          <w:tcPr>
            <w:tcW w:w="1632" w:type="dxa"/>
          </w:tcPr>
          <w:p w14:paraId="0750CA1D" w14:textId="77777777" w:rsidR="00CA1920" w:rsidRPr="00BD16B4" w:rsidRDefault="00CA1920" w:rsidP="005F3E59">
            <w:pPr>
              <w:pStyle w:val="TableText"/>
              <w:keepNext/>
              <w:spacing w:before="40" w:after="40" w:line="240" w:lineRule="auto"/>
              <w:rPr>
                <w:sz w:val="14"/>
                <w:szCs w:val="14"/>
              </w:rPr>
            </w:pPr>
            <w:r w:rsidRPr="00BD16B4">
              <w:rPr>
                <w:sz w:val="14"/>
                <w:szCs w:val="14"/>
              </w:rPr>
              <w:t xml:space="preserve">Maximising carbon storage </w:t>
            </w:r>
          </w:p>
        </w:tc>
        <w:tc>
          <w:tcPr>
            <w:tcW w:w="1316" w:type="dxa"/>
          </w:tcPr>
          <w:p w14:paraId="41665EBA" w14:textId="77777777" w:rsidR="00CA1920" w:rsidRPr="00BD16B4" w:rsidRDefault="00CA1920" w:rsidP="002D166E">
            <w:pPr>
              <w:pStyle w:val="TableText"/>
              <w:spacing w:before="40" w:after="40" w:line="240" w:lineRule="auto"/>
              <w:rPr>
                <w:sz w:val="14"/>
                <w:szCs w:val="18"/>
              </w:rPr>
            </w:pPr>
            <w:r w:rsidRPr="00BD16B4">
              <w:rPr>
                <w:sz w:val="14"/>
                <w:szCs w:val="14"/>
              </w:rPr>
              <w:t>LULUCF</w:t>
            </w:r>
          </w:p>
        </w:tc>
        <w:tc>
          <w:tcPr>
            <w:tcW w:w="567" w:type="dxa"/>
          </w:tcPr>
          <w:p w14:paraId="0F4CD526" w14:textId="77777777" w:rsidR="00CA1920" w:rsidRPr="00BD16B4" w:rsidRDefault="00CA1920" w:rsidP="002D166E">
            <w:pPr>
              <w:pStyle w:val="TableText"/>
              <w:spacing w:before="40" w:after="40" w:line="240" w:lineRule="auto"/>
              <w:rPr>
                <w:sz w:val="14"/>
                <w:szCs w:val="18"/>
              </w:rPr>
            </w:pPr>
            <w:r w:rsidRPr="00BD16B4">
              <w:rPr>
                <w:sz w:val="14"/>
                <w:szCs w:val="14"/>
              </w:rPr>
              <w:t>CO</w:t>
            </w:r>
            <w:r w:rsidRPr="00BD16B4">
              <w:rPr>
                <w:sz w:val="14"/>
                <w:szCs w:val="14"/>
                <w:vertAlign w:val="subscript"/>
              </w:rPr>
              <w:t>2</w:t>
            </w:r>
          </w:p>
        </w:tc>
        <w:tc>
          <w:tcPr>
            <w:tcW w:w="1701" w:type="dxa"/>
          </w:tcPr>
          <w:p w14:paraId="1199C28A" w14:textId="77777777" w:rsidR="00CA1920" w:rsidRPr="00BD16B4" w:rsidRDefault="00CA1920" w:rsidP="002D166E">
            <w:pPr>
              <w:pStyle w:val="TableText"/>
              <w:spacing w:before="40" w:after="40" w:line="240" w:lineRule="auto"/>
              <w:rPr>
                <w:sz w:val="14"/>
                <w:szCs w:val="18"/>
              </w:rPr>
            </w:pPr>
            <w:r w:rsidRPr="00BD16B4">
              <w:rPr>
                <w:sz w:val="14"/>
                <w:szCs w:val="14"/>
              </w:rPr>
              <w:t xml:space="preserve">Support the increased sequestration of carbon. </w:t>
            </w:r>
          </w:p>
        </w:tc>
        <w:tc>
          <w:tcPr>
            <w:tcW w:w="1134" w:type="dxa"/>
          </w:tcPr>
          <w:p w14:paraId="52C8D04B" w14:textId="77777777" w:rsidR="00CA1920" w:rsidRPr="00BD16B4" w:rsidRDefault="00CA1920" w:rsidP="002D166E">
            <w:pPr>
              <w:pStyle w:val="TableText"/>
              <w:spacing w:before="40" w:after="40" w:line="240" w:lineRule="auto"/>
              <w:rPr>
                <w:sz w:val="14"/>
                <w:szCs w:val="18"/>
              </w:rPr>
            </w:pPr>
            <w:r w:rsidRPr="00BD16B4">
              <w:rPr>
                <w:sz w:val="14"/>
                <w:szCs w:val="14"/>
              </w:rPr>
              <w:t>Fiscal</w:t>
            </w:r>
          </w:p>
        </w:tc>
        <w:tc>
          <w:tcPr>
            <w:tcW w:w="992" w:type="dxa"/>
          </w:tcPr>
          <w:p w14:paraId="7CEBB4DE" w14:textId="77777777" w:rsidR="00CA1920" w:rsidRPr="00BD16B4" w:rsidRDefault="00CA1920" w:rsidP="002D166E">
            <w:pPr>
              <w:pStyle w:val="TableText"/>
              <w:spacing w:before="40" w:after="40" w:line="240" w:lineRule="auto"/>
              <w:rPr>
                <w:sz w:val="14"/>
                <w:szCs w:val="18"/>
              </w:rPr>
            </w:pPr>
            <w:r w:rsidRPr="00BD16B4">
              <w:rPr>
                <w:sz w:val="14"/>
                <w:szCs w:val="14"/>
              </w:rPr>
              <w:t>Planned (WAM)</w:t>
            </w:r>
          </w:p>
        </w:tc>
        <w:tc>
          <w:tcPr>
            <w:tcW w:w="2410" w:type="dxa"/>
          </w:tcPr>
          <w:p w14:paraId="7986B0DD" w14:textId="77777777" w:rsidR="00CA1920" w:rsidRPr="00BD16B4" w:rsidRDefault="00CA1920" w:rsidP="002D166E">
            <w:pPr>
              <w:spacing w:before="40" w:after="40" w:line="240" w:lineRule="auto"/>
              <w:jc w:val="left"/>
              <w:rPr>
                <w:sz w:val="14"/>
                <w:szCs w:val="18"/>
              </w:rPr>
            </w:pPr>
            <w:r w:rsidRPr="00BD16B4">
              <w:rPr>
                <w:sz w:val="14"/>
                <w:szCs w:val="14"/>
              </w:rPr>
              <w:t xml:space="preserve">Stimulate investment in domestic wood processing to increase value from exports and maximise carbon stored in manufactured wood products; fund research and expand look-up tables to more accurately reflect carbon stock changes. </w:t>
            </w:r>
          </w:p>
        </w:tc>
        <w:tc>
          <w:tcPr>
            <w:tcW w:w="567" w:type="dxa"/>
          </w:tcPr>
          <w:p w14:paraId="3F3C172E" w14:textId="77777777" w:rsidR="00CA1920" w:rsidRPr="00BD16B4" w:rsidRDefault="00CA1920" w:rsidP="002D166E">
            <w:pPr>
              <w:pStyle w:val="TableText"/>
              <w:spacing w:before="40" w:after="40" w:line="240" w:lineRule="auto"/>
              <w:rPr>
                <w:sz w:val="14"/>
                <w:szCs w:val="18"/>
              </w:rPr>
            </w:pPr>
            <w:r w:rsidRPr="00BD16B4">
              <w:rPr>
                <w:sz w:val="14"/>
                <w:szCs w:val="14"/>
              </w:rPr>
              <w:t>2024</w:t>
            </w:r>
          </w:p>
        </w:tc>
        <w:tc>
          <w:tcPr>
            <w:tcW w:w="1701" w:type="dxa"/>
          </w:tcPr>
          <w:p w14:paraId="7F521427" w14:textId="77777777" w:rsidR="00CA1920" w:rsidRPr="00BD16B4" w:rsidRDefault="00CA1920" w:rsidP="002D166E">
            <w:pPr>
              <w:pStyle w:val="TableText"/>
              <w:spacing w:before="40" w:after="40" w:line="240" w:lineRule="auto"/>
              <w:rPr>
                <w:sz w:val="14"/>
                <w:szCs w:val="18"/>
              </w:rPr>
            </w:pPr>
            <w:r w:rsidRPr="00BD16B4">
              <w:rPr>
                <w:sz w:val="14"/>
                <w:szCs w:val="14"/>
              </w:rPr>
              <w:t>Ministry for Primary Industries</w:t>
            </w:r>
          </w:p>
        </w:tc>
        <w:tc>
          <w:tcPr>
            <w:tcW w:w="851" w:type="dxa"/>
          </w:tcPr>
          <w:p w14:paraId="0ADC1136" w14:textId="77777777" w:rsidR="00CA1920" w:rsidRPr="00BD16B4" w:rsidRDefault="00CA1920" w:rsidP="005173B2">
            <w:pPr>
              <w:pStyle w:val="TableText"/>
              <w:spacing w:before="40" w:after="40" w:line="240" w:lineRule="auto"/>
              <w:rPr>
                <w:sz w:val="14"/>
                <w:szCs w:val="14"/>
              </w:rPr>
            </w:pPr>
            <w:r w:rsidRPr="00BD16B4">
              <w:rPr>
                <w:rFonts w:cs="Calibri"/>
                <w:sz w:val="14"/>
                <w:szCs w:val="14"/>
              </w:rPr>
              <w:t>149.1</w:t>
            </w:r>
          </w:p>
        </w:tc>
        <w:tc>
          <w:tcPr>
            <w:tcW w:w="850" w:type="dxa"/>
          </w:tcPr>
          <w:p w14:paraId="378CED9B" w14:textId="77777777" w:rsidR="00CA1920" w:rsidRPr="00BD16B4" w:rsidRDefault="00CA1920" w:rsidP="000873E9">
            <w:pPr>
              <w:pStyle w:val="TableText"/>
              <w:spacing w:before="40" w:after="40" w:line="240" w:lineRule="auto"/>
              <w:rPr>
                <w:sz w:val="14"/>
                <w:szCs w:val="14"/>
              </w:rPr>
            </w:pPr>
            <w:r w:rsidRPr="00BD16B4">
              <w:rPr>
                <w:rFonts w:cs="Calibri"/>
                <w:sz w:val="14"/>
                <w:szCs w:val="14"/>
              </w:rPr>
              <w:t>843.0</w:t>
            </w:r>
          </w:p>
        </w:tc>
        <w:tc>
          <w:tcPr>
            <w:tcW w:w="851" w:type="dxa"/>
          </w:tcPr>
          <w:p w14:paraId="3484147F" w14:textId="77777777" w:rsidR="00CA1920" w:rsidRPr="00BD16B4" w:rsidRDefault="00CA1920" w:rsidP="000873E9">
            <w:pPr>
              <w:pStyle w:val="TableText"/>
              <w:spacing w:before="40" w:after="40" w:line="240" w:lineRule="auto"/>
              <w:rPr>
                <w:sz w:val="14"/>
                <w:szCs w:val="14"/>
              </w:rPr>
            </w:pPr>
            <w:r w:rsidRPr="00BD16B4">
              <w:rPr>
                <w:rFonts w:cs="Calibri"/>
                <w:sz w:val="14"/>
                <w:szCs w:val="14"/>
              </w:rPr>
              <w:t>1,507.0</w:t>
            </w:r>
          </w:p>
        </w:tc>
      </w:tr>
      <w:tr w:rsidR="006709EC" w:rsidRPr="00BD16B4" w14:paraId="6A47AACD" w14:textId="77777777" w:rsidTr="006709EC">
        <w:tc>
          <w:tcPr>
            <w:tcW w:w="1632" w:type="dxa"/>
          </w:tcPr>
          <w:p w14:paraId="5BCCF7AE" w14:textId="77777777" w:rsidR="00CA1920" w:rsidRPr="00BD16B4" w:rsidRDefault="00CA1920" w:rsidP="002D166E">
            <w:pPr>
              <w:pStyle w:val="TableText"/>
              <w:spacing w:before="40" w:after="40" w:line="240" w:lineRule="auto"/>
              <w:rPr>
                <w:sz w:val="14"/>
                <w:szCs w:val="14"/>
              </w:rPr>
            </w:pPr>
            <w:r w:rsidRPr="00BD16B4">
              <w:rPr>
                <w:sz w:val="14"/>
                <w:szCs w:val="14"/>
              </w:rPr>
              <w:t>National Environmental Standards</w:t>
            </w:r>
          </w:p>
        </w:tc>
        <w:tc>
          <w:tcPr>
            <w:tcW w:w="1316" w:type="dxa"/>
          </w:tcPr>
          <w:p w14:paraId="6146BAA1" w14:textId="77777777" w:rsidR="00CA1920" w:rsidRPr="00BD16B4" w:rsidRDefault="00CA1920" w:rsidP="002D166E">
            <w:pPr>
              <w:pStyle w:val="TableText"/>
              <w:spacing w:before="40" w:after="40" w:line="240" w:lineRule="auto"/>
              <w:rPr>
                <w:sz w:val="14"/>
                <w:szCs w:val="14"/>
              </w:rPr>
            </w:pPr>
            <w:r w:rsidRPr="00BD16B4">
              <w:rPr>
                <w:sz w:val="14"/>
                <w:szCs w:val="14"/>
              </w:rPr>
              <w:t>LULUCF</w:t>
            </w:r>
          </w:p>
        </w:tc>
        <w:tc>
          <w:tcPr>
            <w:tcW w:w="567" w:type="dxa"/>
          </w:tcPr>
          <w:p w14:paraId="7172AC52" w14:textId="77777777" w:rsidR="00CA1920" w:rsidRPr="00BD16B4" w:rsidRDefault="00CA1920" w:rsidP="002D166E">
            <w:pPr>
              <w:pStyle w:val="TableText"/>
              <w:spacing w:before="40" w:after="40" w:line="240" w:lineRule="auto"/>
              <w:rPr>
                <w:sz w:val="14"/>
                <w:szCs w:val="14"/>
              </w:rPr>
            </w:pPr>
            <w:r w:rsidRPr="00BD16B4">
              <w:rPr>
                <w:sz w:val="14"/>
                <w:szCs w:val="14"/>
              </w:rPr>
              <w:t>CO</w:t>
            </w:r>
            <w:r w:rsidRPr="00BD16B4">
              <w:rPr>
                <w:sz w:val="14"/>
                <w:szCs w:val="14"/>
                <w:vertAlign w:val="subscript"/>
              </w:rPr>
              <w:t>2</w:t>
            </w:r>
          </w:p>
        </w:tc>
        <w:tc>
          <w:tcPr>
            <w:tcW w:w="1701" w:type="dxa"/>
          </w:tcPr>
          <w:p w14:paraId="5749ACF7" w14:textId="77777777" w:rsidR="00CA1920" w:rsidRPr="00BD16B4" w:rsidRDefault="00CA1920" w:rsidP="002D166E">
            <w:pPr>
              <w:pStyle w:val="TableText"/>
              <w:spacing w:before="40" w:after="40" w:line="240" w:lineRule="auto"/>
              <w:rPr>
                <w:sz w:val="14"/>
                <w:szCs w:val="14"/>
              </w:rPr>
            </w:pPr>
            <w:r w:rsidRPr="00BD16B4">
              <w:rPr>
                <w:sz w:val="14"/>
                <w:szCs w:val="14"/>
              </w:rPr>
              <w:t>Ensure the environmental effects of all exotic afforestation are managed; improve wildfire risk management planning; better enable foresters and councils to manage the environmental effects of forestry; and consult on options for extending regulatory controls to control the location of plantation and exotic carbon afforestation.</w:t>
            </w:r>
          </w:p>
        </w:tc>
        <w:tc>
          <w:tcPr>
            <w:tcW w:w="1134" w:type="dxa"/>
          </w:tcPr>
          <w:p w14:paraId="407D5E37" w14:textId="77777777" w:rsidR="00CA1920" w:rsidRPr="00BD16B4" w:rsidRDefault="00CA1920" w:rsidP="002D166E">
            <w:pPr>
              <w:pStyle w:val="TableText"/>
              <w:spacing w:before="40" w:after="40" w:line="240" w:lineRule="auto"/>
              <w:rPr>
                <w:sz w:val="14"/>
                <w:szCs w:val="14"/>
              </w:rPr>
            </w:pPr>
            <w:r w:rsidRPr="00BD16B4">
              <w:rPr>
                <w:sz w:val="14"/>
                <w:szCs w:val="14"/>
              </w:rPr>
              <w:t>Regulatory</w:t>
            </w:r>
          </w:p>
        </w:tc>
        <w:tc>
          <w:tcPr>
            <w:tcW w:w="992" w:type="dxa"/>
          </w:tcPr>
          <w:p w14:paraId="24943FB2" w14:textId="77777777" w:rsidR="00CA1920" w:rsidRPr="00BD16B4" w:rsidRDefault="00CA1920" w:rsidP="002D166E">
            <w:pPr>
              <w:pStyle w:val="TableText"/>
              <w:spacing w:before="40" w:after="40" w:line="240" w:lineRule="auto"/>
              <w:rPr>
                <w:sz w:val="14"/>
                <w:szCs w:val="14"/>
              </w:rPr>
            </w:pPr>
            <w:r w:rsidRPr="00BD16B4">
              <w:rPr>
                <w:sz w:val="14"/>
                <w:szCs w:val="14"/>
              </w:rPr>
              <w:t>Planned</w:t>
            </w:r>
          </w:p>
        </w:tc>
        <w:tc>
          <w:tcPr>
            <w:tcW w:w="2410" w:type="dxa"/>
          </w:tcPr>
          <w:p w14:paraId="665C4FBA" w14:textId="77777777" w:rsidR="00CA1920" w:rsidRPr="00BD16B4" w:rsidRDefault="00CA1920" w:rsidP="002D166E">
            <w:pPr>
              <w:spacing w:before="40" w:after="40" w:line="240" w:lineRule="auto"/>
              <w:jc w:val="left"/>
              <w:rPr>
                <w:sz w:val="14"/>
                <w:szCs w:val="14"/>
              </w:rPr>
            </w:pPr>
            <w:r w:rsidRPr="00BD16B4">
              <w:rPr>
                <w:sz w:val="14"/>
                <w:szCs w:val="14"/>
              </w:rPr>
              <w:t>Proposals and options for managing plantation and exotic carbon forestry under the resource management system. Consultation commenced October 2022.</w:t>
            </w:r>
          </w:p>
        </w:tc>
        <w:tc>
          <w:tcPr>
            <w:tcW w:w="567" w:type="dxa"/>
          </w:tcPr>
          <w:p w14:paraId="7E6B7805" w14:textId="77777777" w:rsidR="00CA1920" w:rsidRPr="00BD16B4" w:rsidRDefault="00CA1920" w:rsidP="002D166E">
            <w:pPr>
              <w:pStyle w:val="TableText"/>
              <w:spacing w:before="40" w:after="40" w:line="240" w:lineRule="auto"/>
              <w:rPr>
                <w:sz w:val="14"/>
                <w:szCs w:val="14"/>
              </w:rPr>
            </w:pPr>
            <w:r w:rsidRPr="00BD16B4">
              <w:rPr>
                <w:sz w:val="14"/>
                <w:szCs w:val="14"/>
              </w:rPr>
              <w:t>TBC</w:t>
            </w:r>
          </w:p>
        </w:tc>
        <w:tc>
          <w:tcPr>
            <w:tcW w:w="1701" w:type="dxa"/>
          </w:tcPr>
          <w:p w14:paraId="7BE855C4" w14:textId="77777777" w:rsidR="00CA1920" w:rsidRPr="00BD16B4" w:rsidRDefault="00CA1920" w:rsidP="002D166E">
            <w:pPr>
              <w:pStyle w:val="TableText"/>
              <w:spacing w:before="40" w:after="40" w:line="240" w:lineRule="auto"/>
              <w:rPr>
                <w:sz w:val="14"/>
                <w:szCs w:val="14"/>
              </w:rPr>
            </w:pPr>
            <w:r w:rsidRPr="00BD16B4">
              <w:rPr>
                <w:sz w:val="14"/>
                <w:szCs w:val="14"/>
              </w:rPr>
              <w:t>Ministry for the Environment, Ministry for Primary Industries</w:t>
            </w:r>
          </w:p>
        </w:tc>
        <w:tc>
          <w:tcPr>
            <w:tcW w:w="851" w:type="dxa"/>
          </w:tcPr>
          <w:p w14:paraId="1B2F4D72" w14:textId="2AACC7C2" w:rsidR="00CA1920" w:rsidRPr="00BD16B4" w:rsidRDefault="00CA1920" w:rsidP="005173B2">
            <w:pPr>
              <w:pStyle w:val="TableText"/>
              <w:spacing w:before="40" w:after="40" w:line="240" w:lineRule="auto"/>
              <w:rPr>
                <w:sz w:val="14"/>
                <w:szCs w:val="14"/>
              </w:rPr>
            </w:pPr>
            <w:r w:rsidRPr="00BD16B4">
              <w:rPr>
                <w:sz w:val="14"/>
                <w:szCs w:val="14"/>
              </w:rPr>
              <w:t>NE</w:t>
            </w:r>
          </w:p>
        </w:tc>
        <w:tc>
          <w:tcPr>
            <w:tcW w:w="850" w:type="dxa"/>
          </w:tcPr>
          <w:p w14:paraId="00BAD108" w14:textId="77777777" w:rsidR="00CA1920" w:rsidRPr="00BD16B4" w:rsidRDefault="00CA1920" w:rsidP="000873E9">
            <w:pPr>
              <w:pStyle w:val="TableText"/>
              <w:spacing w:before="40" w:after="40" w:line="240" w:lineRule="auto"/>
              <w:rPr>
                <w:sz w:val="14"/>
                <w:szCs w:val="14"/>
              </w:rPr>
            </w:pPr>
            <w:r w:rsidRPr="00BD16B4">
              <w:rPr>
                <w:sz w:val="14"/>
                <w:szCs w:val="14"/>
              </w:rPr>
              <w:t>NE</w:t>
            </w:r>
          </w:p>
        </w:tc>
        <w:tc>
          <w:tcPr>
            <w:tcW w:w="851" w:type="dxa"/>
          </w:tcPr>
          <w:p w14:paraId="19F1BF61" w14:textId="4254655D" w:rsidR="00CA1920" w:rsidRPr="00BD16B4" w:rsidRDefault="00CA1920" w:rsidP="000873E9">
            <w:pPr>
              <w:pStyle w:val="TableText"/>
              <w:spacing w:before="40" w:after="40" w:line="240" w:lineRule="auto"/>
              <w:rPr>
                <w:sz w:val="14"/>
                <w:szCs w:val="14"/>
              </w:rPr>
            </w:pPr>
            <w:r w:rsidRPr="00BD16B4">
              <w:rPr>
                <w:sz w:val="14"/>
                <w:szCs w:val="14"/>
              </w:rPr>
              <w:t>NE</w:t>
            </w:r>
          </w:p>
        </w:tc>
      </w:tr>
      <w:tr w:rsidR="006709EC" w:rsidRPr="00BD16B4" w14:paraId="7B7DC4AC" w14:textId="77777777" w:rsidTr="006709EC">
        <w:tc>
          <w:tcPr>
            <w:tcW w:w="1632" w:type="dxa"/>
          </w:tcPr>
          <w:p w14:paraId="5A707983" w14:textId="77777777" w:rsidR="00CA1920" w:rsidRPr="00BD16B4" w:rsidRDefault="00CA1920" w:rsidP="00536082">
            <w:pPr>
              <w:pStyle w:val="TableText"/>
              <w:keepNext/>
              <w:spacing w:before="40" w:after="40" w:line="240" w:lineRule="auto"/>
              <w:rPr>
                <w:sz w:val="14"/>
                <w:szCs w:val="18"/>
              </w:rPr>
            </w:pPr>
            <w:r w:rsidRPr="00BD16B4">
              <w:rPr>
                <w:sz w:val="14"/>
                <w:szCs w:val="14"/>
              </w:rPr>
              <w:lastRenderedPageBreak/>
              <w:t xml:space="preserve">Develop forestry and wood processing industry transformation plan (ITP) </w:t>
            </w:r>
          </w:p>
        </w:tc>
        <w:tc>
          <w:tcPr>
            <w:tcW w:w="1316" w:type="dxa"/>
          </w:tcPr>
          <w:p w14:paraId="27F2827D" w14:textId="77777777" w:rsidR="00CA1920" w:rsidRPr="00BD16B4" w:rsidRDefault="00CA1920" w:rsidP="002D166E">
            <w:pPr>
              <w:pStyle w:val="TableText"/>
              <w:spacing w:before="40" w:after="40" w:line="240" w:lineRule="auto"/>
              <w:rPr>
                <w:sz w:val="14"/>
                <w:szCs w:val="18"/>
              </w:rPr>
            </w:pPr>
            <w:r w:rsidRPr="00BD16B4">
              <w:rPr>
                <w:sz w:val="14"/>
                <w:szCs w:val="14"/>
              </w:rPr>
              <w:t>Forestry</w:t>
            </w:r>
          </w:p>
        </w:tc>
        <w:tc>
          <w:tcPr>
            <w:tcW w:w="567" w:type="dxa"/>
          </w:tcPr>
          <w:p w14:paraId="1D84BE78" w14:textId="77777777" w:rsidR="00CA1920" w:rsidRPr="00BD16B4" w:rsidRDefault="00CA1920" w:rsidP="002D166E">
            <w:pPr>
              <w:pStyle w:val="TableText"/>
              <w:spacing w:before="40" w:after="40" w:line="240" w:lineRule="auto"/>
              <w:rPr>
                <w:sz w:val="14"/>
                <w:szCs w:val="18"/>
              </w:rPr>
            </w:pPr>
            <w:r w:rsidRPr="00BD16B4">
              <w:rPr>
                <w:sz w:val="14"/>
                <w:szCs w:val="14"/>
              </w:rPr>
              <w:t>CO</w:t>
            </w:r>
            <w:r w:rsidRPr="00BD16B4">
              <w:rPr>
                <w:sz w:val="14"/>
                <w:szCs w:val="14"/>
                <w:vertAlign w:val="subscript"/>
              </w:rPr>
              <w:t>2</w:t>
            </w:r>
          </w:p>
        </w:tc>
        <w:tc>
          <w:tcPr>
            <w:tcW w:w="1701" w:type="dxa"/>
          </w:tcPr>
          <w:p w14:paraId="088BB8E5" w14:textId="77777777" w:rsidR="00CA1920" w:rsidRPr="00BD16B4" w:rsidRDefault="00CA1920" w:rsidP="002D166E">
            <w:pPr>
              <w:pStyle w:val="TableText"/>
              <w:spacing w:before="40" w:after="40" w:line="240" w:lineRule="auto"/>
              <w:rPr>
                <w:sz w:val="14"/>
                <w:szCs w:val="18"/>
              </w:rPr>
            </w:pPr>
            <w:r w:rsidRPr="00BD16B4">
              <w:rPr>
                <w:sz w:val="14"/>
                <w:szCs w:val="14"/>
              </w:rPr>
              <w:t>Proposes a vision and actions to transform the forestry and wood processing sector so that the sector generates more value for New Zealand, is a key pillar of our regional communities, and underpins New Zealand’s low-emissions economy.</w:t>
            </w:r>
          </w:p>
        </w:tc>
        <w:tc>
          <w:tcPr>
            <w:tcW w:w="1134" w:type="dxa"/>
          </w:tcPr>
          <w:p w14:paraId="7340DE9D" w14:textId="77777777" w:rsidR="00CA1920" w:rsidRPr="00BD16B4" w:rsidRDefault="00CA1920" w:rsidP="002D166E">
            <w:pPr>
              <w:pStyle w:val="TableText"/>
              <w:spacing w:before="40" w:after="40" w:line="240" w:lineRule="auto"/>
              <w:rPr>
                <w:sz w:val="14"/>
                <w:szCs w:val="18"/>
              </w:rPr>
            </w:pPr>
            <w:r w:rsidRPr="00BD16B4">
              <w:rPr>
                <w:sz w:val="14"/>
                <w:szCs w:val="14"/>
              </w:rPr>
              <w:t>Fiscal</w:t>
            </w:r>
          </w:p>
        </w:tc>
        <w:tc>
          <w:tcPr>
            <w:tcW w:w="992" w:type="dxa"/>
          </w:tcPr>
          <w:p w14:paraId="1AA91A6F" w14:textId="77777777" w:rsidR="00CA1920" w:rsidRPr="00BD16B4" w:rsidRDefault="00CA1920" w:rsidP="002D166E">
            <w:pPr>
              <w:pStyle w:val="TableText"/>
              <w:spacing w:before="40" w:after="40" w:line="240" w:lineRule="auto"/>
              <w:rPr>
                <w:sz w:val="14"/>
                <w:szCs w:val="18"/>
              </w:rPr>
            </w:pPr>
            <w:r w:rsidRPr="00BD16B4">
              <w:rPr>
                <w:sz w:val="14"/>
                <w:szCs w:val="14"/>
              </w:rPr>
              <w:t>Adopted</w:t>
            </w:r>
          </w:p>
        </w:tc>
        <w:tc>
          <w:tcPr>
            <w:tcW w:w="2410" w:type="dxa"/>
          </w:tcPr>
          <w:p w14:paraId="6467CF4A" w14:textId="77777777" w:rsidR="00CA1920" w:rsidRPr="00BD16B4" w:rsidRDefault="00CA1920" w:rsidP="002D166E">
            <w:pPr>
              <w:spacing w:before="40" w:after="40" w:line="240" w:lineRule="auto"/>
              <w:jc w:val="left"/>
              <w:rPr>
                <w:sz w:val="14"/>
                <w:szCs w:val="18"/>
              </w:rPr>
            </w:pPr>
            <w:r w:rsidRPr="00BD16B4">
              <w:rPr>
                <w:sz w:val="14"/>
                <w:szCs w:val="14"/>
              </w:rPr>
              <w:t>The ITP is being developed in partnership with Māori, industry and workers to deliver more value from our existing and future forest estate, stimulate production of new cost-effective low-emissions products and wood-based biofuels and provide sustainable jobs across the regions.</w:t>
            </w:r>
          </w:p>
        </w:tc>
        <w:tc>
          <w:tcPr>
            <w:tcW w:w="567" w:type="dxa"/>
          </w:tcPr>
          <w:p w14:paraId="7D884835" w14:textId="77777777" w:rsidR="00CA1920" w:rsidRPr="00BD16B4" w:rsidRDefault="00CA1920" w:rsidP="002D166E">
            <w:pPr>
              <w:pStyle w:val="TableText"/>
              <w:spacing w:before="40" w:after="40" w:line="240" w:lineRule="auto"/>
              <w:rPr>
                <w:sz w:val="14"/>
                <w:szCs w:val="18"/>
              </w:rPr>
            </w:pPr>
            <w:r w:rsidRPr="00BD16B4">
              <w:rPr>
                <w:sz w:val="14"/>
                <w:szCs w:val="14"/>
              </w:rPr>
              <w:t>TBC</w:t>
            </w:r>
          </w:p>
        </w:tc>
        <w:tc>
          <w:tcPr>
            <w:tcW w:w="1701" w:type="dxa"/>
          </w:tcPr>
          <w:p w14:paraId="704722E5" w14:textId="77777777" w:rsidR="00CA1920" w:rsidRPr="00BD16B4" w:rsidRDefault="00CA1920" w:rsidP="002D166E">
            <w:pPr>
              <w:pStyle w:val="TableText"/>
              <w:spacing w:before="40" w:after="40" w:line="240" w:lineRule="auto"/>
              <w:rPr>
                <w:sz w:val="14"/>
                <w:szCs w:val="18"/>
              </w:rPr>
            </w:pPr>
            <w:r w:rsidRPr="00BD16B4">
              <w:rPr>
                <w:sz w:val="14"/>
                <w:szCs w:val="14"/>
              </w:rPr>
              <w:t>Ministry for Primary Industries</w:t>
            </w:r>
          </w:p>
        </w:tc>
        <w:tc>
          <w:tcPr>
            <w:tcW w:w="851" w:type="dxa"/>
          </w:tcPr>
          <w:p w14:paraId="74129EF4" w14:textId="77777777" w:rsidR="00CA1920" w:rsidRPr="00BD16B4" w:rsidRDefault="00CA1920" w:rsidP="005173B2">
            <w:pPr>
              <w:pStyle w:val="TableText"/>
              <w:spacing w:before="40" w:after="40" w:line="240" w:lineRule="auto"/>
              <w:rPr>
                <w:sz w:val="14"/>
                <w:szCs w:val="18"/>
              </w:rPr>
            </w:pPr>
            <w:r w:rsidRPr="00BD16B4">
              <w:rPr>
                <w:sz w:val="14"/>
                <w:szCs w:val="14"/>
              </w:rPr>
              <w:t>NE</w:t>
            </w:r>
          </w:p>
        </w:tc>
        <w:tc>
          <w:tcPr>
            <w:tcW w:w="850" w:type="dxa"/>
          </w:tcPr>
          <w:p w14:paraId="0968E8E9" w14:textId="77777777" w:rsidR="00CA1920" w:rsidRPr="00BD16B4" w:rsidRDefault="00CA1920" w:rsidP="002D166E">
            <w:pPr>
              <w:pStyle w:val="TableText"/>
              <w:spacing w:before="40" w:after="40" w:line="240" w:lineRule="auto"/>
              <w:rPr>
                <w:sz w:val="14"/>
                <w:szCs w:val="18"/>
              </w:rPr>
            </w:pPr>
            <w:r w:rsidRPr="00BD16B4">
              <w:rPr>
                <w:sz w:val="14"/>
                <w:szCs w:val="14"/>
              </w:rPr>
              <w:t>NE</w:t>
            </w:r>
          </w:p>
        </w:tc>
        <w:tc>
          <w:tcPr>
            <w:tcW w:w="851" w:type="dxa"/>
          </w:tcPr>
          <w:p w14:paraId="18BBE646" w14:textId="77777777" w:rsidR="00CA1920" w:rsidRPr="00BD16B4" w:rsidRDefault="00CA1920" w:rsidP="005173B2">
            <w:pPr>
              <w:pStyle w:val="TableText"/>
              <w:spacing w:before="40" w:after="40" w:line="240" w:lineRule="auto"/>
              <w:rPr>
                <w:sz w:val="14"/>
                <w:szCs w:val="18"/>
              </w:rPr>
            </w:pPr>
            <w:r w:rsidRPr="00BD16B4">
              <w:rPr>
                <w:sz w:val="14"/>
                <w:szCs w:val="14"/>
              </w:rPr>
              <w:t>NE</w:t>
            </w:r>
          </w:p>
        </w:tc>
      </w:tr>
      <w:tr w:rsidR="00CA1920" w:rsidRPr="00BD16B4" w14:paraId="43C692B0" w14:textId="77777777" w:rsidTr="000A136D">
        <w:tc>
          <w:tcPr>
            <w:tcW w:w="14572" w:type="dxa"/>
            <w:gridSpan w:val="12"/>
            <w:shd w:val="clear" w:color="auto" w:fill="D2DDE1" w:themeFill="background2"/>
          </w:tcPr>
          <w:p w14:paraId="22EEF1FF" w14:textId="77777777" w:rsidR="00CA1920" w:rsidRPr="00BD16B4" w:rsidRDefault="00CA1920" w:rsidP="005173B2">
            <w:pPr>
              <w:pStyle w:val="TableText"/>
              <w:spacing w:before="40" w:after="40" w:line="240" w:lineRule="auto"/>
              <w:rPr>
                <w:b/>
                <w:bCs/>
                <w:sz w:val="14"/>
                <w:szCs w:val="18"/>
              </w:rPr>
            </w:pPr>
            <w:r w:rsidRPr="00BD16B4">
              <w:rPr>
                <w:b/>
                <w:bCs/>
                <w:sz w:val="14"/>
                <w:szCs w:val="18"/>
              </w:rPr>
              <w:t>Waste</w:t>
            </w:r>
          </w:p>
        </w:tc>
      </w:tr>
      <w:tr w:rsidR="006709EC" w:rsidRPr="00BD16B4" w14:paraId="3B4E2A26" w14:textId="77777777" w:rsidTr="006709EC">
        <w:tc>
          <w:tcPr>
            <w:tcW w:w="1632" w:type="dxa"/>
            <w:shd w:val="clear" w:color="auto" w:fill="auto"/>
          </w:tcPr>
          <w:p w14:paraId="33F6359E" w14:textId="77777777"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 xml:space="preserve">Emissions reduction plan – </w:t>
            </w:r>
            <w:r w:rsidRPr="00BD16B4">
              <w:rPr>
                <w:rFonts w:asciiTheme="minorHAnsi" w:hAnsiTheme="minorHAnsi" w:cstheme="minorHAnsi"/>
                <w:bCs/>
                <w:sz w:val="14"/>
                <w:szCs w:val="14"/>
              </w:rPr>
              <w:t xml:space="preserve">existing </w:t>
            </w:r>
            <w:r w:rsidRPr="00BD16B4">
              <w:rPr>
                <w:rFonts w:asciiTheme="minorHAnsi" w:hAnsiTheme="minorHAnsi" w:cstheme="minorHAnsi"/>
                <w:sz w:val="14"/>
                <w:szCs w:val="14"/>
              </w:rPr>
              <w:t>waste sector policies</w:t>
            </w:r>
          </w:p>
        </w:tc>
        <w:tc>
          <w:tcPr>
            <w:tcW w:w="1316" w:type="dxa"/>
            <w:shd w:val="clear" w:color="auto" w:fill="auto"/>
          </w:tcPr>
          <w:p w14:paraId="0773B369" w14:textId="77777777"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Waste</w:t>
            </w:r>
          </w:p>
        </w:tc>
        <w:tc>
          <w:tcPr>
            <w:tcW w:w="567" w:type="dxa"/>
            <w:shd w:val="clear" w:color="auto" w:fill="auto"/>
          </w:tcPr>
          <w:p w14:paraId="7CB681C8" w14:textId="77777777"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CH</w:t>
            </w:r>
            <w:r w:rsidRPr="00BD16B4">
              <w:rPr>
                <w:rFonts w:asciiTheme="minorHAnsi" w:hAnsiTheme="minorHAnsi" w:cstheme="minorHAnsi"/>
                <w:sz w:val="14"/>
                <w:szCs w:val="14"/>
                <w:vertAlign w:val="subscript"/>
              </w:rPr>
              <w:t>4</w:t>
            </w:r>
            <w:r w:rsidRPr="00BD16B4">
              <w:rPr>
                <w:rFonts w:asciiTheme="minorHAnsi" w:hAnsiTheme="minorHAnsi" w:cstheme="minorHAnsi"/>
                <w:sz w:val="14"/>
                <w:szCs w:val="14"/>
              </w:rPr>
              <w:t>, N</w:t>
            </w:r>
            <w:r w:rsidRPr="00BD16B4">
              <w:rPr>
                <w:rFonts w:asciiTheme="minorHAnsi" w:hAnsiTheme="minorHAnsi" w:cstheme="minorHAnsi"/>
                <w:sz w:val="14"/>
                <w:szCs w:val="14"/>
                <w:vertAlign w:val="subscript"/>
              </w:rPr>
              <w:t>2</w:t>
            </w:r>
            <w:r w:rsidRPr="00BD16B4">
              <w:rPr>
                <w:rFonts w:asciiTheme="minorHAnsi" w:hAnsiTheme="minorHAnsi" w:cstheme="minorHAnsi"/>
                <w:sz w:val="14"/>
                <w:szCs w:val="14"/>
              </w:rPr>
              <w:t>O</w:t>
            </w:r>
          </w:p>
        </w:tc>
        <w:tc>
          <w:tcPr>
            <w:tcW w:w="1701" w:type="dxa"/>
            <w:shd w:val="clear" w:color="auto" w:fill="auto"/>
          </w:tcPr>
          <w:p w14:paraId="009DD02B" w14:textId="77777777"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This represents the set of policies that are already adopted under the emissions reduction plan for the waste sector, covering various waste reduction programmes.</w:t>
            </w:r>
          </w:p>
        </w:tc>
        <w:tc>
          <w:tcPr>
            <w:tcW w:w="1134" w:type="dxa"/>
            <w:shd w:val="clear" w:color="auto" w:fill="auto"/>
          </w:tcPr>
          <w:p w14:paraId="4147B47F" w14:textId="77777777"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Regulatory, fiscal voluntary agreement, information, education, research</w:t>
            </w:r>
          </w:p>
        </w:tc>
        <w:tc>
          <w:tcPr>
            <w:tcW w:w="992" w:type="dxa"/>
            <w:shd w:val="clear" w:color="auto" w:fill="auto"/>
          </w:tcPr>
          <w:p w14:paraId="76E452C9" w14:textId="117CD108"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Adopted</w:t>
            </w:r>
            <w:r w:rsidR="00130AE8" w:rsidRPr="00BD16B4">
              <w:rPr>
                <w:rFonts w:asciiTheme="minorHAnsi" w:hAnsiTheme="minorHAnsi" w:cstheme="minorHAnsi"/>
                <w:sz w:val="14"/>
                <w:szCs w:val="14"/>
              </w:rPr>
              <w:t xml:space="preserve"> (WEM)</w:t>
            </w:r>
          </w:p>
        </w:tc>
        <w:tc>
          <w:tcPr>
            <w:tcW w:w="2410" w:type="dxa"/>
            <w:shd w:val="clear" w:color="auto" w:fill="auto"/>
          </w:tcPr>
          <w:p w14:paraId="3048EED8" w14:textId="77777777" w:rsidR="00CA1920" w:rsidRPr="00BD16B4" w:rsidRDefault="00CA1920" w:rsidP="002D166E">
            <w:pPr>
              <w:pStyle w:val="TableBullet"/>
              <w:spacing w:after="40" w:line="240" w:lineRule="auto"/>
              <w:ind w:left="170" w:hanging="170"/>
              <w:rPr>
                <w:sz w:val="14"/>
                <w:szCs w:val="14"/>
              </w:rPr>
            </w:pPr>
            <w:r w:rsidRPr="00BD16B4">
              <w:rPr>
                <w:sz w:val="14"/>
                <w:szCs w:val="14"/>
              </w:rPr>
              <w:t>Implement organic waste reduction behaviour change programmes.</w:t>
            </w:r>
          </w:p>
          <w:p w14:paraId="78FF97D3" w14:textId="1A38BB2A" w:rsidR="00CA1920" w:rsidRPr="00BD16B4" w:rsidRDefault="00CA1920" w:rsidP="002D166E">
            <w:pPr>
              <w:pStyle w:val="TableBullet"/>
              <w:spacing w:after="40" w:line="240" w:lineRule="auto"/>
              <w:ind w:left="170" w:hanging="170"/>
              <w:rPr>
                <w:sz w:val="14"/>
                <w:szCs w:val="14"/>
              </w:rPr>
            </w:pPr>
            <w:r w:rsidRPr="00BD16B4">
              <w:rPr>
                <w:sz w:val="14"/>
                <w:szCs w:val="14"/>
              </w:rPr>
              <w:t xml:space="preserve">Standardise residential kerbside collection </w:t>
            </w:r>
            <w:r w:rsidR="00A21A4A" w:rsidRPr="00BD16B4">
              <w:rPr>
                <w:sz w:val="14"/>
                <w:szCs w:val="14"/>
              </w:rPr>
              <w:t>–</w:t>
            </w:r>
            <w:r w:rsidRPr="00BD16B4">
              <w:rPr>
                <w:sz w:val="14"/>
                <w:szCs w:val="14"/>
              </w:rPr>
              <w:t xml:space="preserve"> provision of food scraps collections.</w:t>
            </w:r>
          </w:p>
          <w:p w14:paraId="0070852C" w14:textId="20213F98" w:rsidR="00CA1920" w:rsidRPr="00BD16B4" w:rsidRDefault="00CA1920" w:rsidP="002D166E">
            <w:pPr>
              <w:pStyle w:val="TableBullet"/>
              <w:spacing w:after="40" w:line="240" w:lineRule="auto"/>
              <w:ind w:left="170" w:hanging="170"/>
              <w:rPr>
                <w:sz w:val="14"/>
                <w:szCs w:val="14"/>
              </w:rPr>
            </w:pPr>
            <w:r w:rsidRPr="00BD16B4">
              <w:rPr>
                <w:sz w:val="14"/>
                <w:szCs w:val="14"/>
              </w:rPr>
              <w:t>Require businesses to separate food waste.</w:t>
            </w:r>
          </w:p>
          <w:p w14:paraId="77B1A4D9" w14:textId="77777777" w:rsidR="00CA1920" w:rsidRPr="00BD16B4" w:rsidRDefault="00CA1920" w:rsidP="002D166E">
            <w:pPr>
              <w:pStyle w:val="TableBullet"/>
              <w:spacing w:after="40" w:line="240" w:lineRule="auto"/>
              <w:ind w:left="170" w:hanging="170"/>
              <w:rPr>
                <w:sz w:val="14"/>
                <w:szCs w:val="14"/>
              </w:rPr>
            </w:pPr>
            <w:r w:rsidRPr="00BD16B4">
              <w:rPr>
                <w:sz w:val="14"/>
                <w:szCs w:val="14"/>
              </w:rPr>
              <w:t>Invest in organic waste processing and resource recovery infrastructure to support an increase in food, garden, paper/cardboard and wood waste diversion from landfill.</w:t>
            </w:r>
          </w:p>
          <w:p w14:paraId="750E1E0E" w14:textId="77777777" w:rsidR="00CA1920" w:rsidRPr="00BD16B4" w:rsidRDefault="00CA1920" w:rsidP="002D166E">
            <w:pPr>
              <w:pStyle w:val="TableBullet"/>
              <w:spacing w:after="40" w:line="240" w:lineRule="auto"/>
              <w:ind w:left="170" w:hanging="170"/>
              <w:rPr>
                <w:sz w:val="14"/>
                <w:szCs w:val="14"/>
              </w:rPr>
            </w:pPr>
            <w:r w:rsidRPr="00BD16B4">
              <w:rPr>
                <w:sz w:val="14"/>
                <w:szCs w:val="14"/>
              </w:rPr>
              <w:t xml:space="preserve">Improve landfill gas capture systems. </w:t>
            </w:r>
          </w:p>
          <w:p w14:paraId="39A3E2D1" w14:textId="77777777" w:rsidR="00CA1920" w:rsidRPr="00BD16B4" w:rsidRDefault="00CA1920" w:rsidP="002D166E">
            <w:pPr>
              <w:pStyle w:val="TableBullet"/>
              <w:spacing w:after="40" w:line="240" w:lineRule="auto"/>
              <w:ind w:left="170" w:hanging="170"/>
            </w:pPr>
            <w:r w:rsidRPr="00BD16B4">
              <w:rPr>
                <w:sz w:val="14"/>
                <w:szCs w:val="14"/>
              </w:rPr>
              <w:t>Implementation year varies by policy.</w:t>
            </w:r>
          </w:p>
        </w:tc>
        <w:tc>
          <w:tcPr>
            <w:tcW w:w="567" w:type="dxa"/>
            <w:shd w:val="clear" w:color="auto" w:fill="auto"/>
          </w:tcPr>
          <w:p w14:paraId="5F413CC6" w14:textId="77777777"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 xml:space="preserve">2023 </w:t>
            </w:r>
          </w:p>
        </w:tc>
        <w:tc>
          <w:tcPr>
            <w:tcW w:w="1701" w:type="dxa"/>
            <w:shd w:val="clear" w:color="auto" w:fill="auto"/>
          </w:tcPr>
          <w:p w14:paraId="64C55164" w14:textId="77777777"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Ministry for the Environment, regional and local councils</w:t>
            </w:r>
          </w:p>
        </w:tc>
        <w:tc>
          <w:tcPr>
            <w:tcW w:w="851" w:type="dxa"/>
            <w:shd w:val="clear" w:color="auto" w:fill="auto"/>
          </w:tcPr>
          <w:p w14:paraId="00D064E4" w14:textId="77777777" w:rsidR="00CA1920" w:rsidRPr="00BD16B4" w:rsidRDefault="00CA1920" w:rsidP="005173B2">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27.4</w:t>
            </w:r>
          </w:p>
        </w:tc>
        <w:tc>
          <w:tcPr>
            <w:tcW w:w="850" w:type="dxa"/>
            <w:shd w:val="clear" w:color="auto" w:fill="auto"/>
          </w:tcPr>
          <w:p w14:paraId="55BB2018" w14:textId="77777777"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96.9</w:t>
            </w:r>
          </w:p>
        </w:tc>
        <w:tc>
          <w:tcPr>
            <w:tcW w:w="851" w:type="dxa"/>
            <w:shd w:val="clear" w:color="auto" w:fill="auto"/>
          </w:tcPr>
          <w:p w14:paraId="06CB2B70" w14:textId="77777777" w:rsidR="00CA1920" w:rsidRPr="00BD16B4" w:rsidRDefault="00CA1920" w:rsidP="005173B2">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139.2</w:t>
            </w:r>
          </w:p>
        </w:tc>
      </w:tr>
      <w:tr w:rsidR="006709EC" w:rsidRPr="00BD16B4" w14:paraId="753B5F7E" w14:textId="77777777" w:rsidTr="006709EC">
        <w:tc>
          <w:tcPr>
            <w:tcW w:w="1632" w:type="dxa"/>
            <w:shd w:val="clear" w:color="auto" w:fill="auto"/>
          </w:tcPr>
          <w:p w14:paraId="40B3D211" w14:textId="77777777"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Emissions reduction plan – additional waste sector policies</w:t>
            </w:r>
          </w:p>
        </w:tc>
        <w:tc>
          <w:tcPr>
            <w:tcW w:w="1316" w:type="dxa"/>
            <w:shd w:val="clear" w:color="auto" w:fill="auto"/>
          </w:tcPr>
          <w:p w14:paraId="4D8E9CFC" w14:textId="77777777"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Waste</w:t>
            </w:r>
          </w:p>
        </w:tc>
        <w:tc>
          <w:tcPr>
            <w:tcW w:w="567" w:type="dxa"/>
            <w:shd w:val="clear" w:color="auto" w:fill="auto"/>
          </w:tcPr>
          <w:p w14:paraId="73293BF9" w14:textId="77777777"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CH</w:t>
            </w:r>
            <w:r w:rsidRPr="00BD16B4">
              <w:rPr>
                <w:rFonts w:asciiTheme="minorHAnsi" w:hAnsiTheme="minorHAnsi" w:cstheme="minorHAnsi"/>
                <w:sz w:val="14"/>
                <w:szCs w:val="14"/>
                <w:vertAlign w:val="subscript"/>
              </w:rPr>
              <w:t>4</w:t>
            </w:r>
            <w:r w:rsidRPr="00BD16B4">
              <w:rPr>
                <w:rFonts w:asciiTheme="minorHAnsi" w:hAnsiTheme="minorHAnsi" w:cstheme="minorHAnsi"/>
                <w:sz w:val="14"/>
                <w:szCs w:val="14"/>
              </w:rPr>
              <w:t>, N</w:t>
            </w:r>
            <w:r w:rsidRPr="00BD16B4">
              <w:rPr>
                <w:rFonts w:asciiTheme="minorHAnsi" w:hAnsiTheme="minorHAnsi" w:cstheme="minorHAnsi"/>
                <w:sz w:val="14"/>
                <w:szCs w:val="14"/>
                <w:vertAlign w:val="subscript"/>
              </w:rPr>
              <w:t>2</w:t>
            </w:r>
            <w:r w:rsidRPr="00BD16B4">
              <w:rPr>
                <w:rFonts w:asciiTheme="minorHAnsi" w:hAnsiTheme="minorHAnsi" w:cstheme="minorHAnsi"/>
                <w:sz w:val="14"/>
                <w:szCs w:val="14"/>
              </w:rPr>
              <w:t>O</w:t>
            </w:r>
          </w:p>
        </w:tc>
        <w:tc>
          <w:tcPr>
            <w:tcW w:w="1701" w:type="dxa"/>
            <w:shd w:val="clear" w:color="auto" w:fill="auto"/>
          </w:tcPr>
          <w:p w14:paraId="0FEEA3CA" w14:textId="77777777"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This represents several planned policies under the emissions reduction plan for the waste sector, focusing on landfill gas capture.</w:t>
            </w:r>
          </w:p>
        </w:tc>
        <w:tc>
          <w:tcPr>
            <w:tcW w:w="1134" w:type="dxa"/>
            <w:shd w:val="clear" w:color="auto" w:fill="auto"/>
          </w:tcPr>
          <w:p w14:paraId="510E3840" w14:textId="77777777"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Regulatory</w:t>
            </w:r>
          </w:p>
        </w:tc>
        <w:tc>
          <w:tcPr>
            <w:tcW w:w="992" w:type="dxa"/>
            <w:shd w:val="clear" w:color="auto" w:fill="auto"/>
          </w:tcPr>
          <w:p w14:paraId="2990CE1C" w14:textId="65409722"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Planned</w:t>
            </w:r>
            <w:r w:rsidR="00242D9F" w:rsidRPr="00BD16B4">
              <w:rPr>
                <w:rFonts w:asciiTheme="minorHAnsi" w:hAnsiTheme="minorHAnsi" w:cstheme="minorHAnsi"/>
                <w:sz w:val="14"/>
                <w:szCs w:val="14"/>
              </w:rPr>
              <w:t xml:space="preserve"> (WAM)</w:t>
            </w:r>
          </w:p>
        </w:tc>
        <w:tc>
          <w:tcPr>
            <w:tcW w:w="2410" w:type="dxa"/>
            <w:shd w:val="clear" w:color="auto" w:fill="auto"/>
          </w:tcPr>
          <w:p w14:paraId="333FE05D" w14:textId="77777777" w:rsidR="00CA1920" w:rsidRPr="00BD16B4" w:rsidRDefault="00CA1920" w:rsidP="002D166E">
            <w:pPr>
              <w:pStyle w:val="TableBullet"/>
              <w:spacing w:after="40" w:line="240" w:lineRule="auto"/>
              <w:ind w:left="170" w:hanging="170"/>
              <w:rPr>
                <w:sz w:val="14"/>
                <w:szCs w:val="14"/>
              </w:rPr>
            </w:pPr>
            <w:r w:rsidRPr="00BD16B4">
              <w:rPr>
                <w:sz w:val="14"/>
                <w:szCs w:val="14"/>
              </w:rPr>
              <w:t>Limits and bans organic waste to landfill by 2030.</w:t>
            </w:r>
          </w:p>
          <w:p w14:paraId="348F219C" w14:textId="77777777" w:rsidR="00CA1920" w:rsidRPr="00BD16B4" w:rsidRDefault="00CA1920" w:rsidP="002D166E">
            <w:pPr>
              <w:pStyle w:val="TableBullet"/>
              <w:spacing w:after="40" w:line="240" w:lineRule="auto"/>
              <w:ind w:left="170" w:hanging="170"/>
              <w:rPr>
                <w:sz w:val="14"/>
                <w:szCs w:val="14"/>
              </w:rPr>
            </w:pPr>
            <w:r w:rsidRPr="00BD16B4">
              <w:rPr>
                <w:sz w:val="14"/>
                <w:szCs w:val="14"/>
              </w:rPr>
              <w:t>Expands landfill gas capture systems to more landfills.</w:t>
            </w:r>
          </w:p>
          <w:p w14:paraId="72091EA2" w14:textId="53F589D5"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Implementation year varies by policy</w:t>
            </w:r>
            <w:r w:rsidR="005D66FD" w:rsidRPr="00BD16B4">
              <w:rPr>
                <w:rFonts w:asciiTheme="minorHAnsi" w:hAnsiTheme="minorHAnsi" w:cstheme="minorHAnsi"/>
                <w:sz w:val="14"/>
                <w:szCs w:val="14"/>
              </w:rPr>
              <w:t>.</w:t>
            </w:r>
          </w:p>
        </w:tc>
        <w:tc>
          <w:tcPr>
            <w:tcW w:w="567" w:type="dxa"/>
            <w:shd w:val="clear" w:color="auto" w:fill="auto"/>
          </w:tcPr>
          <w:p w14:paraId="62E91932" w14:textId="77777777"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 xml:space="preserve">2023 </w:t>
            </w:r>
          </w:p>
        </w:tc>
        <w:tc>
          <w:tcPr>
            <w:tcW w:w="1701" w:type="dxa"/>
            <w:shd w:val="clear" w:color="auto" w:fill="auto"/>
          </w:tcPr>
          <w:p w14:paraId="2378862E" w14:textId="77777777"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Ministry for the Environment, regional and local councils</w:t>
            </w:r>
          </w:p>
        </w:tc>
        <w:tc>
          <w:tcPr>
            <w:tcW w:w="851" w:type="dxa"/>
            <w:shd w:val="clear" w:color="auto" w:fill="auto"/>
          </w:tcPr>
          <w:p w14:paraId="61C06594" w14:textId="77777777" w:rsidR="00CA1920" w:rsidRPr="00BD16B4" w:rsidRDefault="00CA1920" w:rsidP="005173B2">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0</w:t>
            </w:r>
          </w:p>
        </w:tc>
        <w:tc>
          <w:tcPr>
            <w:tcW w:w="850" w:type="dxa"/>
            <w:shd w:val="clear" w:color="auto" w:fill="auto"/>
          </w:tcPr>
          <w:p w14:paraId="2D05DAEC" w14:textId="77777777" w:rsidR="00CA1920" w:rsidRPr="00BD16B4" w:rsidRDefault="00CA1920" w:rsidP="002D166E">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176.5</w:t>
            </w:r>
          </w:p>
        </w:tc>
        <w:tc>
          <w:tcPr>
            <w:tcW w:w="851" w:type="dxa"/>
            <w:shd w:val="clear" w:color="auto" w:fill="auto"/>
          </w:tcPr>
          <w:p w14:paraId="54AC68C0" w14:textId="77777777" w:rsidR="00CA1920" w:rsidRPr="00BD16B4" w:rsidRDefault="00CA1920" w:rsidP="005173B2">
            <w:pPr>
              <w:pStyle w:val="TableText"/>
              <w:spacing w:before="40" w:after="40" w:line="240" w:lineRule="auto"/>
              <w:rPr>
                <w:rFonts w:asciiTheme="minorHAnsi" w:hAnsiTheme="minorHAnsi" w:cstheme="minorHAnsi"/>
                <w:sz w:val="14"/>
                <w:szCs w:val="14"/>
              </w:rPr>
            </w:pPr>
            <w:r w:rsidRPr="00BD16B4">
              <w:rPr>
                <w:rFonts w:asciiTheme="minorHAnsi" w:hAnsiTheme="minorHAnsi" w:cstheme="minorHAnsi"/>
                <w:sz w:val="14"/>
                <w:szCs w:val="14"/>
              </w:rPr>
              <w:t>258.2</w:t>
            </w:r>
          </w:p>
        </w:tc>
      </w:tr>
      <w:tr w:rsidR="006709EC" w:rsidRPr="00BD16B4" w14:paraId="717C95EA" w14:textId="77777777" w:rsidTr="006709EC">
        <w:trPr>
          <w:cantSplit/>
          <w:trHeight w:val="281"/>
        </w:trPr>
        <w:tc>
          <w:tcPr>
            <w:tcW w:w="1632" w:type="dxa"/>
          </w:tcPr>
          <w:p w14:paraId="01CB6B80" w14:textId="77777777" w:rsidR="00CA1920" w:rsidRPr="00BD16B4" w:rsidRDefault="00CA1920" w:rsidP="002D166E">
            <w:pPr>
              <w:pStyle w:val="TableText"/>
              <w:spacing w:before="40" w:after="40" w:line="240" w:lineRule="auto"/>
              <w:rPr>
                <w:sz w:val="14"/>
                <w:szCs w:val="18"/>
              </w:rPr>
            </w:pPr>
            <w:r w:rsidRPr="00BD16B4">
              <w:rPr>
                <w:sz w:val="14"/>
                <w:szCs w:val="18"/>
              </w:rPr>
              <w:t>Waste Disposal Levy under the Waste Minimisation Act 2008</w:t>
            </w:r>
          </w:p>
        </w:tc>
        <w:tc>
          <w:tcPr>
            <w:tcW w:w="1316" w:type="dxa"/>
          </w:tcPr>
          <w:p w14:paraId="73E7B163" w14:textId="77777777" w:rsidR="00CA1920" w:rsidRPr="00BD16B4" w:rsidRDefault="00CA1920" w:rsidP="002D166E">
            <w:pPr>
              <w:pStyle w:val="TableText"/>
              <w:spacing w:before="40" w:after="40" w:line="240" w:lineRule="auto"/>
              <w:rPr>
                <w:sz w:val="14"/>
                <w:szCs w:val="18"/>
              </w:rPr>
            </w:pPr>
            <w:r w:rsidRPr="00BD16B4">
              <w:rPr>
                <w:sz w:val="14"/>
                <w:szCs w:val="18"/>
              </w:rPr>
              <w:t>Waste</w:t>
            </w:r>
          </w:p>
        </w:tc>
        <w:tc>
          <w:tcPr>
            <w:tcW w:w="567" w:type="dxa"/>
          </w:tcPr>
          <w:p w14:paraId="1A8D2366" w14:textId="77777777" w:rsidR="00CA1920" w:rsidRPr="00BD16B4" w:rsidRDefault="00CA1920" w:rsidP="002D166E">
            <w:pPr>
              <w:pStyle w:val="TableText"/>
              <w:spacing w:before="40" w:after="40" w:line="240" w:lineRule="auto"/>
              <w:rPr>
                <w:sz w:val="14"/>
                <w:szCs w:val="18"/>
              </w:rPr>
            </w:pPr>
            <w:r w:rsidRPr="00BD16B4">
              <w:rPr>
                <w:sz w:val="14"/>
                <w:szCs w:val="18"/>
              </w:rPr>
              <w:t>CO</w:t>
            </w:r>
            <w:r w:rsidRPr="00BD16B4">
              <w:rPr>
                <w:sz w:val="14"/>
                <w:szCs w:val="18"/>
                <w:vertAlign w:val="subscript"/>
              </w:rPr>
              <w:t>2</w:t>
            </w:r>
            <w:r w:rsidRPr="00BD16B4">
              <w:rPr>
                <w:sz w:val="14"/>
                <w:szCs w:val="18"/>
              </w:rPr>
              <w:t>, CH</w:t>
            </w:r>
            <w:r w:rsidRPr="00BD16B4">
              <w:rPr>
                <w:sz w:val="14"/>
                <w:szCs w:val="18"/>
                <w:vertAlign w:val="subscript"/>
              </w:rPr>
              <w:t>4</w:t>
            </w:r>
            <w:r w:rsidRPr="00BD16B4">
              <w:rPr>
                <w:sz w:val="14"/>
                <w:szCs w:val="18"/>
              </w:rPr>
              <w:t>, N</w:t>
            </w:r>
            <w:r w:rsidRPr="00BD16B4">
              <w:rPr>
                <w:sz w:val="14"/>
                <w:szCs w:val="18"/>
                <w:vertAlign w:val="subscript"/>
              </w:rPr>
              <w:t>2</w:t>
            </w:r>
            <w:r w:rsidRPr="00BD16B4">
              <w:rPr>
                <w:sz w:val="14"/>
                <w:szCs w:val="18"/>
              </w:rPr>
              <w:t>O</w:t>
            </w:r>
          </w:p>
        </w:tc>
        <w:tc>
          <w:tcPr>
            <w:tcW w:w="1701" w:type="dxa"/>
          </w:tcPr>
          <w:p w14:paraId="3393B0FC" w14:textId="77777777" w:rsidR="00CA1920" w:rsidRPr="00BD16B4" w:rsidRDefault="00CA1920" w:rsidP="002D166E">
            <w:pPr>
              <w:pStyle w:val="TableText"/>
              <w:spacing w:before="40" w:after="40" w:line="240" w:lineRule="auto"/>
              <w:rPr>
                <w:sz w:val="14"/>
                <w:szCs w:val="18"/>
              </w:rPr>
            </w:pPr>
            <w:r w:rsidRPr="00BD16B4">
              <w:rPr>
                <w:sz w:val="14"/>
                <w:szCs w:val="18"/>
              </w:rPr>
              <w:t>Encourage waste minimisation and decrease waste disposal to protect the environment from harm and provide environmental, social, economic and cultural benefits.</w:t>
            </w:r>
          </w:p>
        </w:tc>
        <w:tc>
          <w:tcPr>
            <w:tcW w:w="1134" w:type="dxa"/>
          </w:tcPr>
          <w:p w14:paraId="43F97E7A" w14:textId="77777777" w:rsidR="00CA1920" w:rsidRPr="00BD16B4" w:rsidRDefault="00CA1920" w:rsidP="002D166E">
            <w:pPr>
              <w:pStyle w:val="TableText"/>
              <w:spacing w:before="40" w:after="40" w:line="240" w:lineRule="auto"/>
              <w:rPr>
                <w:sz w:val="14"/>
                <w:szCs w:val="18"/>
              </w:rPr>
            </w:pPr>
            <w:r w:rsidRPr="00BD16B4">
              <w:rPr>
                <w:sz w:val="14"/>
                <w:szCs w:val="18"/>
              </w:rPr>
              <w:t>Regulatory</w:t>
            </w:r>
          </w:p>
        </w:tc>
        <w:tc>
          <w:tcPr>
            <w:tcW w:w="992" w:type="dxa"/>
          </w:tcPr>
          <w:p w14:paraId="5575DA5F" w14:textId="77777777" w:rsidR="00CA1920" w:rsidRPr="00BD16B4" w:rsidRDefault="00CA1920" w:rsidP="002D166E">
            <w:pPr>
              <w:pStyle w:val="TableText"/>
              <w:spacing w:before="40" w:after="40" w:line="240" w:lineRule="auto"/>
              <w:rPr>
                <w:sz w:val="14"/>
                <w:szCs w:val="18"/>
              </w:rPr>
            </w:pPr>
            <w:r w:rsidRPr="00BD16B4">
              <w:rPr>
                <w:sz w:val="14"/>
                <w:szCs w:val="18"/>
              </w:rPr>
              <w:t>Implemented (WEM)</w:t>
            </w:r>
          </w:p>
        </w:tc>
        <w:tc>
          <w:tcPr>
            <w:tcW w:w="2410" w:type="dxa"/>
          </w:tcPr>
          <w:p w14:paraId="2547565D" w14:textId="77777777" w:rsidR="00CA1920" w:rsidRPr="00BD16B4" w:rsidRDefault="00CA1920" w:rsidP="002D166E">
            <w:pPr>
              <w:spacing w:before="40" w:after="40" w:line="240" w:lineRule="auto"/>
              <w:jc w:val="left"/>
              <w:rPr>
                <w:sz w:val="14"/>
                <w:szCs w:val="18"/>
              </w:rPr>
            </w:pPr>
            <w:r w:rsidRPr="00BD16B4">
              <w:rPr>
                <w:sz w:val="14"/>
                <w:szCs w:val="18"/>
              </w:rPr>
              <w:t>The Waste Disposal Levy rate for landfills that take household waste is progressively increasing over four years from $10 per tonne, set in 2009, to $60 per tonne as of July 2024.</w:t>
            </w:r>
          </w:p>
        </w:tc>
        <w:tc>
          <w:tcPr>
            <w:tcW w:w="567" w:type="dxa"/>
          </w:tcPr>
          <w:p w14:paraId="3CC8FE2F" w14:textId="77777777" w:rsidR="00CA1920" w:rsidRPr="00BD16B4" w:rsidRDefault="00CA1920" w:rsidP="002D166E">
            <w:pPr>
              <w:pStyle w:val="TableText"/>
              <w:spacing w:before="40" w:after="40" w:line="240" w:lineRule="auto"/>
              <w:rPr>
                <w:sz w:val="14"/>
                <w:szCs w:val="18"/>
              </w:rPr>
            </w:pPr>
            <w:r w:rsidRPr="00BD16B4">
              <w:rPr>
                <w:sz w:val="14"/>
                <w:szCs w:val="18"/>
              </w:rPr>
              <w:t>2010</w:t>
            </w:r>
          </w:p>
        </w:tc>
        <w:tc>
          <w:tcPr>
            <w:tcW w:w="1701" w:type="dxa"/>
          </w:tcPr>
          <w:p w14:paraId="05CC2719" w14:textId="77777777" w:rsidR="00CA1920" w:rsidRPr="00BD16B4" w:rsidRDefault="00CA1920" w:rsidP="002D166E">
            <w:pPr>
              <w:pStyle w:val="TableText"/>
              <w:spacing w:before="40" w:after="40" w:line="240" w:lineRule="auto"/>
              <w:rPr>
                <w:sz w:val="14"/>
                <w:szCs w:val="18"/>
              </w:rPr>
            </w:pPr>
            <w:r w:rsidRPr="00BD16B4">
              <w:rPr>
                <w:sz w:val="14"/>
                <w:szCs w:val="18"/>
              </w:rPr>
              <w:t>Ministry for the Environment</w:t>
            </w:r>
          </w:p>
        </w:tc>
        <w:tc>
          <w:tcPr>
            <w:tcW w:w="851" w:type="dxa"/>
          </w:tcPr>
          <w:p w14:paraId="04048B47" w14:textId="77777777" w:rsidR="00CA1920" w:rsidRPr="00BD16B4" w:rsidRDefault="00CA1920" w:rsidP="005173B2">
            <w:pPr>
              <w:pStyle w:val="TableText"/>
              <w:spacing w:before="40" w:after="40" w:line="240" w:lineRule="auto"/>
              <w:rPr>
                <w:sz w:val="14"/>
                <w:szCs w:val="18"/>
              </w:rPr>
            </w:pPr>
            <w:r w:rsidRPr="00BD16B4">
              <w:rPr>
                <w:sz w:val="14"/>
                <w:szCs w:val="18"/>
              </w:rPr>
              <w:t>32.3</w:t>
            </w:r>
          </w:p>
        </w:tc>
        <w:tc>
          <w:tcPr>
            <w:tcW w:w="850" w:type="dxa"/>
          </w:tcPr>
          <w:p w14:paraId="3D5FE82D" w14:textId="77777777" w:rsidR="00CA1920" w:rsidRPr="00BD16B4" w:rsidRDefault="00CA1920" w:rsidP="002D166E">
            <w:pPr>
              <w:pStyle w:val="TableText"/>
              <w:spacing w:before="40" w:after="40" w:line="240" w:lineRule="auto"/>
              <w:rPr>
                <w:sz w:val="14"/>
                <w:szCs w:val="18"/>
              </w:rPr>
            </w:pPr>
            <w:r w:rsidRPr="00BD16B4">
              <w:rPr>
                <w:sz w:val="14"/>
                <w:szCs w:val="18"/>
              </w:rPr>
              <w:t>64.5</w:t>
            </w:r>
          </w:p>
        </w:tc>
        <w:tc>
          <w:tcPr>
            <w:tcW w:w="851" w:type="dxa"/>
          </w:tcPr>
          <w:p w14:paraId="235AE7D5" w14:textId="77777777" w:rsidR="00CA1920" w:rsidRPr="00BD16B4" w:rsidRDefault="00CA1920" w:rsidP="005173B2">
            <w:pPr>
              <w:pStyle w:val="TableText"/>
              <w:spacing w:before="40" w:after="40" w:line="240" w:lineRule="auto"/>
              <w:rPr>
                <w:sz w:val="14"/>
                <w:szCs w:val="18"/>
              </w:rPr>
            </w:pPr>
            <w:r w:rsidRPr="00BD16B4">
              <w:rPr>
                <w:sz w:val="14"/>
                <w:szCs w:val="18"/>
              </w:rPr>
              <w:t>79.8</w:t>
            </w:r>
          </w:p>
        </w:tc>
      </w:tr>
      <w:tr w:rsidR="006709EC" w:rsidRPr="00BD16B4" w14:paraId="12ED8458" w14:textId="77777777" w:rsidTr="006709EC">
        <w:tc>
          <w:tcPr>
            <w:tcW w:w="1632" w:type="dxa"/>
          </w:tcPr>
          <w:p w14:paraId="53903368" w14:textId="77777777" w:rsidR="00CA1920" w:rsidRPr="00BD16B4" w:rsidRDefault="00CA1920" w:rsidP="004C6726">
            <w:pPr>
              <w:pStyle w:val="TableText"/>
              <w:keepNext/>
              <w:spacing w:before="40" w:after="40" w:line="240" w:lineRule="auto"/>
              <w:rPr>
                <w:sz w:val="14"/>
                <w:szCs w:val="18"/>
              </w:rPr>
            </w:pPr>
            <w:r w:rsidRPr="00BD16B4">
              <w:rPr>
                <w:sz w:val="14"/>
                <w:szCs w:val="18"/>
              </w:rPr>
              <w:lastRenderedPageBreak/>
              <w:t>Waste Minimisation Fund (WMF)</w:t>
            </w:r>
          </w:p>
        </w:tc>
        <w:tc>
          <w:tcPr>
            <w:tcW w:w="1316" w:type="dxa"/>
          </w:tcPr>
          <w:p w14:paraId="5E11114B" w14:textId="77777777" w:rsidR="00CA1920" w:rsidRPr="00BD16B4" w:rsidRDefault="00CA1920" w:rsidP="002D166E">
            <w:pPr>
              <w:pStyle w:val="TableText"/>
              <w:spacing w:before="40" w:after="40" w:line="240" w:lineRule="auto"/>
              <w:rPr>
                <w:sz w:val="14"/>
                <w:szCs w:val="18"/>
              </w:rPr>
            </w:pPr>
            <w:r w:rsidRPr="00BD16B4">
              <w:rPr>
                <w:sz w:val="14"/>
                <w:szCs w:val="18"/>
              </w:rPr>
              <w:t>Waste</w:t>
            </w:r>
          </w:p>
        </w:tc>
        <w:tc>
          <w:tcPr>
            <w:tcW w:w="567" w:type="dxa"/>
          </w:tcPr>
          <w:p w14:paraId="4FD15565" w14:textId="77777777" w:rsidR="00CA1920" w:rsidRPr="00BD16B4" w:rsidRDefault="00CA1920" w:rsidP="002D166E">
            <w:pPr>
              <w:pStyle w:val="TableText"/>
              <w:spacing w:before="40" w:after="40" w:line="240" w:lineRule="auto"/>
              <w:rPr>
                <w:sz w:val="14"/>
                <w:szCs w:val="18"/>
              </w:rPr>
            </w:pPr>
            <w:r w:rsidRPr="00BD16B4">
              <w:rPr>
                <w:sz w:val="14"/>
                <w:szCs w:val="18"/>
              </w:rPr>
              <w:t>CO</w:t>
            </w:r>
            <w:r w:rsidRPr="00BD16B4">
              <w:rPr>
                <w:sz w:val="14"/>
                <w:szCs w:val="18"/>
                <w:vertAlign w:val="subscript"/>
              </w:rPr>
              <w:t>2</w:t>
            </w:r>
            <w:r w:rsidRPr="00BD16B4">
              <w:rPr>
                <w:sz w:val="14"/>
                <w:szCs w:val="18"/>
              </w:rPr>
              <w:t>, CH</w:t>
            </w:r>
            <w:r w:rsidRPr="00BD16B4">
              <w:rPr>
                <w:sz w:val="14"/>
                <w:szCs w:val="18"/>
                <w:vertAlign w:val="subscript"/>
              </w:rPr>
              <w:t>4</w:t>
            </w:r>
            <w:r w:rsidRPr="00BD16B4">
              <w:rPr>
                <w:sz w:val="14"/>
                <w:szCs w:val="18"/>
              </w:rPr>
              <w:t>, N</w:t>
            </w:r>
            <w:r w:rsidRPr="00BD16B4">
              <w:rPr>
                <w:sz w:val="14"/>
                <w:szCs w:val="18"/>
                <w:vertAlign w:val="subscript"/>
              </w:rPr>
              <w:t>2</w:t>
            </w:r>
            <w:r w:rsidRPr="00BD16B4">
              <w:rPr>
                <w:sz w:val="14"/>
                <w:szCs w:val="18"/>
              </w:rPr>
              <w:t>O, HFCs, PFCs, SF</w:t>
            </w:r>
            <w:r w:rsidRPr="00BD16B4">
              <w:rPr>
                <w:sz w:val="14"/>
                <w:szCs w:val="18"/>
                <w:vertAlign w:val="subscript"/>
              </w:rPr>
              <w:t>6</w:t>
            </w:r>
          </w:p>
        </w:tc>
        <w:tc>
          <w:tcPr>
            <w:tcW w:w="1701" w:type="dxa"/>
          </w:tcPr>
          <w:p w14:paraId="2CC5D3CB" w14:textId="77777777" w:rsidR="00CA1920" w:rsidRPr="00BD16B4" w:rsidRDefault="00CA1920" w:rsidP="002D166E">
            <w:pPr>
              <w:pStyle w:val="TableText"/>
              <w:spacing w:before="40" w:after="40" w:line="240" w:lineRule="auto"/>
              <w:rPr>
                <w:sz w:val="14"/>
                <w:szCs w:val="18"/>
              </w:rPr>
            </w:pPr>
            <w:r w:rsidRPr="00BD16B4">
              <w:rPr>
                <w:sz w:val="14"/>
                <w:szCs w:val="18"/>
              </w:rPr>
              <w:t>Increase resource efficiency; increase reuse, recovery and recycling; and decrease waste to landfill.</w:t>
            </w:r>
          </w:p>
        </w:tc>
        <w:tc>
          <w:tcPr>
            <w:tcW w:w="1134" w:type="dxa"/>
          </w:tcPr>
          <w:p w14:paraId="3C5ACCE4" w14:textId="77777777" w:rsidR="00CA1920" w:rsidRPr="00BD16B4" w:rsidRDefault="00CA1920" w:rsidP="002D166E">
            <w:pPr>
              <w:pStyle w:val="TableText"/>
              <w:spacing w:before="40" w:after="40" w:line="240" w:lineRule="auto"/>
              <w:rPr>
                <w:sz w:val="14"/>
                <w:szCs w:val="18"/>
              </w:rPr>
            </w:pPr>
            <w:r w:rsidRPr="00BD16B4">
              <w:rPr>
                <w:sz w:val="14"/>
                <w:szCs w:val="18"/>
              </w:rPr>
              <w:t>Fiscal</w:t>
            </w:r>
          </w:p>
        </w:tc>
        <w:tc>
          <w:tcPr>
            <w:tcW w:w="992" w:type="dxa"/>
          </w:tcPr>
          <w:p w14:paraId="02731EDF" w14:textId="77777777" w:rsidR="00CA1920" w:rsidRPr="00BD16B4" w:rsidRDefault="00CA1920" w:rsidP="002D166E">
            <w:pPr>
              <w:pStyle w:val="TableText"/>
              <w:spacing w:before="40" w:after="40" w:line="240" w:lineRule="auto"/>
              <w:rPr>
                <w:sz w:val="14"/>
                <w:szCs w:val="18"/>
              </w:rPr>
            </w:pPr>
            <w:r w:rsidRPr="00BD16B4">
              <w:rPr>
                <w:sz w:val="14"/>
                <w:szCs w:val="18"/>
              </w:rPr>
              <w:t>Implemented</w:t>
            </w:r>
          </w:p>
        </w:tc>
        <w:tc>
          <w:tcPr>
            <w:tcW w:w="2410" w:type="dxa"/>
          </w:tcPr>
          <w:p w14:paraId="157414E6" w14:textId="661D38D2" w:rsidR="00CA1920" w:rsidRPr="00BD16B4" w:rsidRDefault="00CA1920" w:rsidP="002D166E">
            <w:pPr>
              <w:spacing w:before="40" w:after="40" w:line="240" w:lineRule="auto"/>
              <w:jc w:val="left"/>
              <w:rPr>
                <w:sz w:val="14"/>
                <w:szCs w:val="18"/>
              </w:rPr>
            </w:pPr>
            <w:r w:rsidRPr="00BD16B4">
              <w:rPr>
                <w:sz w:val="14"/>
                <w:szCs w:val="18"/>
              </w:rPr>
              <w:t>A levy is imposed on waste disposed to landfill and generates funds for waste minimisation activities. These funds are distributed to territorial authorities and waste minimisation projects (via the WMF). Additional funding from the Climate Emergency Response Fund is available for infrastructure projects to</w:t>
            </w:r>
            <w:r w:rsidR="005D66FD" w:rsidRPr="00BD16B4">
              <w:rPr>
                <w:sz w:val="14"/>
                <w:szCs w:val="18"/>
              </w:rPr>
              <w:t> </w:t>
            </w:r>
            <w:r w:rsidRPr="00BD16B4">
              <w:rPr>
                <w:sz w:val="14"/>
                <w:szCs w:val="18"/>
              </w:rPr>
              <w:t xml:space="preserve">reduce emissions from waste in </w:t>
            </w:r>
            <w:r w:rsidR="005D66FD" w:rsidRPr="00BD16B4">
              <w:rPr>
                <w:sz w:val="14"/>
                <w:szCs w:val="18"/>
              </w:rPr>
              <w:br/>
            </w:r>
            <w:r w:rsidRPr="00BD16B4">
              <w:rPr>
                <w:sz w:val="14"/>
                <w:szCs w:val="18"/>
              </w:rPr>
              <w:t>2022–24.</w:t>
            </w:r>
          </w:p>
        </w:tc>
        <w:tc>
          <w:tcPr>
            <w:tcW w:w="567" w:type="dxa"/>
          </w:tcPr>
          <w:p w14:paraId="215284C4" w14:textId="77777777" w:rsidR="00CA1920" w:rsidRPr="00BD16B4" w:rsidRDefault="00CA1920" w:rsidP="002D166E">
            <w:pPr>
              <w:pStyle w:val="TableText"/>
              <w:spacing w:before="40" w:after="40" w:line="240" w:lineRule="auto"/>
              <w:rPr>
                <w:sz w:val="14"/>
                <w:szCs w:val="18"/>
              </w:rPr>
            </w:pPr>
            <w:r w:rsidRPr="00BD16B4">
              <w:rPr>
                <w:sz w:val="14"/>
                <w:szCs w:val="18"/>
              </w:rPr>
              <w:t>2010</w:t>
            </w:r>
          </w:p>
        </w:tc>
        <w:tc>
          <w:tcPr>
            <w:tcW w:w="1701" w:type="dxa"/>
          </w:tcPr>
          <w:p w14:paraId="75BC0913" w14:textId="77777777" w:rsidR="00CA1920" w:rsidRPr="00BD16B4" w:rsidRDefault="00CA1920" w:rsidP="002D166E">
            <w:pPr>
              <w:pStyle w:val="TableText"/>
              <w:spacing w:before="40" w:after="40" w:line="240" w:lineRule="auto"/>
              <w:rPr>
                <w:sz w:val="14"/>
                <w:szCs w:val="18"/>
              </w:rPr>
            </w:pPr>
            <w:r w:rsidRPr="00BD16B4">
              <w:rPr>
                <w:sz w:val="14"/>
                <w:szCs w:val="18"/>
              </w:rPr>
              <w:t>Ministry for the Environment</w:t>
            </w:r>
          </w:p>
        </w:tc>
        <w:tc>
          <w:tcPr>
            <w:tcW w:w="851" w:type="dxa"/>
          </w:tcPr>
          <w:p w14:paraId="49B50EBE" w14:textId="77777777" w:rsidR="00CA1920" w:rsidRPr="00BD16B4" w:rsidRDefault="00CA1920" w:rsidP="005173B2">
            <w:pPr>
              <w:pStyle w:val="TableText"/>
              <w:spacing w:before="40" w:after="40" w:line="240" w:lineRule="auto"/>
              <w:rPr>
                <w:sz w:val="14"/>
                <w:szCs w:val="18"/>
              </w:rPr>
            </w:pPr>
            <w:r w:rsidRPr="00BD16B4">
              <w:rPr>
                <w:sz w:val="14"/>
                <w:szCs w:val="18"/>
              </w:rPr>
              <w:t>NE</w:t>
            </w:r>
          </w:p>
        </w:tc>
        <w:tc>
          <w:tcPr>
            <w:tcW w:w="850" w:type="dxa"/>
          </w:tcPr>
          <w:p w14:paraId="42037E24" w14:textId="77777777" w:rsidR="00CA1920" w:rsidRPr="00BD16B4" w:rsidRDefault="00CA1920" w:rsidP="002D166E">
            <w:pPr>
              <w:pStyle w:val="TableText"/>
              <w:spacing w:before="40" w:after="40" w:line="240" w:lineRule="auto"/>
              <w:rPr>
                <w:sz w:val="14"/>
                <w:szCs w:val="18"/>
              </w:rPr>
            </w:pPr>
            <w:r w:rsidRPr="00BD16B4">
              <w:rPr>
                <w:sz w:val="14"/>
                <w:szCs w:val="18"/>
              </w:rPr>
              <w:t>NE</w:t>
            </w:r>
          </w:p>
        </w:tc>
        <w:tc>
          <w:tcPr>
            <w:tcW w:w="851" w:type="dxa"/>
          </w:tcPr>
          <w:p w14:paraId="1B0B133B" w14:textId="77777777" w:rsidR="00CA1920" w:rsidRPr="00BD16B4" w:rsidRDefault="00CA1920" w:rsidP="005173B2">
            <w:pPr>
              <w:pStyle w:val="TableText"/>
              <w:spacing w:before="40" w:after="40" w:line="240" w:lineRule="auto"/>
              <w:rPr>
                <w:sz w:val="14"/>
                <w:szCs w:val="18"/>
              </w:rPr>
            </w:pPr>
            <w:r w:rsidRPr="00BD16B4">
              <w:rPr>
                <w:sz w:val="14"/>
                <w:szCs w:val="18"/>
              </w:rPr>
              <w:t>NE</w:t>
            </w:r>
          </w:p>
        </w:tc>
      </w:tr>
      <w:tr w:rsidR="006709EC" w:rsidRPr="00BD16B4" w14:paraId="38678B58" w14:textId="77777777" w:rsidTr="006709EC">
        <w:tc>
          <w:tcPr>
            <w:tcW w:w="1632" w:type="dxa"/>
          </w:tcPr>
          <w:p w14:paraId="3CFAE981" w14:textId="77777777" w:rsidR="00CA1920" w:rsidRPr="00BD16B4" w:rsidRDefault="00CA1920" w:rsidP="002D166E">
            <w:pPr>
              <w:pStyle w:val="TableText"/>
              <w:spacing w:before="40" w:after="40" w:line="240" w:lineRule="auto"/>
              <w:rPr>
                <w:sz w:val="14"/>
                <w:szCs w:val="18"/>
              </w:rPr>
            </w:pPr>
            <w:r w:rsidRPr="00BD16B4">
              <w:rPr>
                <w:sz w:val="14"/>
                <w:szCs w:val="18"/>
              </w:rPr>
              <w:t xml:space="preserve">Regulated Product Stewardship </w:t>
            </w:r>
          </w:p>
        </w:tc>
        <w:tc>
          <w:tcPr>
            <w:tcW w:w="1316" w:type="dxa"/>
          </w:tcPr>
          <w:p w14:paraId="00DCC2EC" w14:textId="77777777" w:rsidR="00CA1920" w:rsidRPr="00BD16B4" w:rsidRDefault="00CA1920" w:rsidP="002D166E">
            <w:pPr>
              <w:pStyle w:val="TableText"/>
              <w:spacing w:before="40" w:after="40" w:line="240" w:lineRule="auto"/>
              <w:rPr>
                <w:sz w:val="14"/>
                <w:szCs w:val="18"/>
              </w:rPr>
            </w:pPr>
            <w:r w:rsidRPr="00BD16B4">
              <w:rPr>
                <w:sz w:val="14"/>
                <w:szCs w:val="18"/>
              </w:rPr>
              <w:t>Waste, IPPU</w:t>
            </w:r>
          </w:p>
        </w:tc>
        <w:tc>
          <w:tcPr>
            <w:tcW w:w="567" w:type="dxa"/>
          </w:tcPr>
          <w:p w14:paraId="302E8F08" w14:textId="77777777" w:rsidR="00CA1920" w:rsidRPr="00BD16B4" w:rsidRDefault="00CA1920" w:rsidP="002D166E">
            <w:pPr>
              <w:pStyle w:val="TableText"/>
              <w:spacing w:before="40" w:after="40" w:line="240" w:lineRule="auto"/>
              <w:rPr>
                <w:sz w:val="14"/>
                <w:szCs w:val="18"/>
              </w:rPr>
            </w:pPr>
            <w:r w:rsidRPr="00BD16B4">
              <w:rPr>
                <w:sz w:val="14"/>
                <w:szCs w:val="18"/>
              </w:rPr>
              <w:t>CO</w:t>
            </w:r>
            <w:r w:rsidRPr="00BD16B4">
              <w:rPr>
                <w:sz w:val="14"/>
                <w:szCs w:val="18"/>
                <w:vertAlign w:val="subscript"/>
              </w:rPr>
              <w:t>2</w:t>
            </w:r>
            <w:r w:rsidRPr="00BD16B4">
              <w:rPr>
                <w:sz w:val="14"/>
                <w:szCs w:val="18"/>
              </w:rPr>
              <w:t>, CH</w:t>
            </w:r>
            <w:r w:rsidRPr="00BD16B4">
              <w:rPr>
                <w:sz w:val="14"/>
                <w:szCs w:val="18"/>
                <w:vertAlign w:val="subscript"/>
              </w:rPr>
              <w:t>4</w:t>
            </w:r>
            <w:r w:rsidRPr="00BD16B4">
              <w:rPr>
                <w:sz w:val="14"/>
                <w:szCs w:val="18"/>
              </w:rPr>
              <w:t>, HFCs, SF</w:t>
            </w:r>
            <w:r w:rsidRPr="00BD16B4">
              <w:rPr>
                <w:sz w:val="14"/>
                <w:szCs w:val="18"/>
                <w:vertAlign w:val="subscript"/>
              </w:rPr>
              <w:t>6</w:t>
            </w:r>
          </w:p>
        </w:tc>
        <w:tc>
          <w:tcPr>
            <w:tcW w:w="1701" w:type="dxa"/>
          </w:tcPr>
          <w:p w14:paraId="053201B3" w14:textId="77777777" w:rsidR="00CA1920" w:rsidRPr="00BD16B4" w:rsidRDefault="00CA1920" w:rsidP="002D166E">
            <w:pPr>
              <w:pStyle w:val="TableText"/>
              <w:spacing w:before="40" w:after="40" w:line="240" w:lineRule="auto"/>
              <w:rPr>
                <w:sz w:val="14"/>
                <w:szCs w:val="18"/>
              </w:rPr>
            </w:pPr>
            <w:r w:rsidRPr="00BD16B4">
              <w:rPr>
                <w:sz w:val="14"/>
                <w:szCs w:val="18"/>
              </w:rPr>
              <w:t>Implement regulations to increase circular economy and place responsibilities for managing end-of-life products on producers, importers and retailers rather than on communities, councils, neighbours and nature.</w:t>
            </w:r>
          </w:p>
        </w:tc>
        <w:tc>
          <w:tcPr>
            <w:tcW w:w="1134" w:type="dxa"/>
          </w:tcPr>
          <w:p w14:paraId="6A77DC32" w14:textId="77777777" w:rsidR="00CA1920" w:rsidRPr="00BD16B4" w:rsidRDefault="00CA1920" w:rsidP="002D166E">
            <w:pPr>
              <w:pStyle w:val="TableText"/>
              <w:spacing w:before="40" w:after="40" w:line="240" w:lineRule="auto"/>
              <w:rPr>
                <w:sz w:val="14"/>
                <w:szCs w:val="18"/>
              </w:rPr>
            </w:pPr>
            <w:r w:rsidRPr="00BD16B4">
              <w:rPr>
                <w:sz w:val="14"/>
                <w:szCs w:val="18"/>
              </w:rPr>
              <w:t>Regulatory</w:t>
            </w:r>
          </w:p>
        </w:tc>
        <w:tc>
          <w:tcPr>
            <w:tcW w:w="992" w:type="dxa"/>
          </w:tcPr>
          <w:p w14:paraId="13475A26" w14:textId="77777777" w:rsidR="00CA1920" w:rsidRPr="00BD16B4" w:rsidRDefault="00CA1920" w:rsidP="002D166E">
            <w:pPr>
              <w:pStyle w:val="TableText"/>
              <w:spacing w:before="40" w:after="40" w:line="240" w:lineRule="auto"/>
              <w:rPr>
                <w:sz w:val="14"/>
                <w:szCs w:val="18"/>
              </w:rPr>
            </w:pPr>
            <w:r w:rsidRPr="00BD16B4">
              <w:rPr>
                <w:sz w:val="14"/>
                <w:szCs w:val="18"/>
              </w:rPr>
              <w:t>Adopted</w:t>
            </w:r>
          </w:p>
        </w:tc>
        <w:tc>
          <w:tcPr>
            <w:tcW w:w="2410" w:type="dxa"/>
          </w:tcPr>
          <w:p w14:paraId="335A15DC" w14:textId="77777777" w:rsidR="00CA1920" w:rsidRPr="00BD16B4" w:rsidRDefault="00CA1920" w:rsidP="002D166E">
            <w:pPr>
              <w:spacing w:before="40" w:after="40" w:line="240" w:lineRule="auto"/>
              <w:jc w:val="left"/>
              <w:rPr>
                <w:sz w:val="14"/>
                <w:szCs w:val="18"/>
              </w:rPr>
            </w:pPr>
            <w:r w:rsidRPr="00BD16B4">
              <w:rPr>
                <w:sz w:val="14"/>
                <w:szCs w:val="18"/>
              </w:rPr>
              <w:t xml:space="preserve">The Ministry for the Environment is working with stakeholders to co-design product stewardship schemes for six priority products: plastic packing, tyres, electrical and electronic products, agrichemicals and their containers, refrigerants, farm plastics. Co-design of the schemes for tyres and refrigerants is currently under way. Of particular interest from an emissions perspective is product stewardship for refrigerants (found in heating and cooling devices). Product stewardship of electric vehicle batteries is also important to assist with uptake and sustainability of electric vehicles. </w:t>
            </w:r>
          </w:p>
        </w:tc>
        <w:tc>
          <w:tcPr>
            <w:tcW w:w="567" w:type="dxa"/>
          </w:tcPr>
          <w:p w14:paraId="2205594A" w14:textId="77777777" w:rsidR="00CA1920" w:rsidRPr="00BD16B4" w:rsidRDefault="00CA1920" w:rsidP="002D166E">
            <w:pPr>
              <w:pStyle w:val="TableText"/>
              <w:spacing w:before="40" w:after="40" w:line="240" w:lineRule="auto"/>
              <w:rPr>
                <w:sz w:val="14"/>
                <w:szCs w:val="18"/>
              </w:rPr>
            </w:pPr>
            <w:r w:rsidRPr="00BD16B4">
              <w:rPr>
                <w:sz w:val="14"/>
                <w:szCs w:val="18"/>
              </w:rPr>
              <w:t>2020</w:t>
            </w:r>
          </w:p>
        </w:tc>
        <w:tc>
          <w:tcPr>
            <w:tcW w:w="1701" w:type="dxa"/>
          </w:tcPr>
          <w:p w14:paraId="423F207C" w14:textId="77777777" w:rsidR="00CA1920" w:rsidRPr="00BD16B4" w:rsidRDefault="00CA1920" w:rsidP="002D166E">
            <w:pPr>
              <w:pStyle w:val="TableText"/>
              <w:spacing w:before="40" w:after="40" w:line="240" w:lineRule="auto"/>
              <w:rPr>
                <w:sz w:val="14"/>
                <w:szCs w:val="18"/>
              </w:rPr>
            </w:pPr>
            <w:r w:rsidRPr="00BD16B4">
              <w:rPr>
                <w:sz w:val="14"/>
                <w:szCs w:val="18"/>
              </w:rPr>
              <w:t>Ministry for the Environment</w:t>
            </w:r>
          </w:p>
        </w:tc>
        <w:tc>
          <w:tcPr>
            <w:tcW w:w="851" w:type="dxa"/>
          </w:tcPr>
          <w:p w14:paraId="0ACDFC28" w14:textId="77777777" w:rsidR="00CA1920" w:rsidRPr="00BD16B4" w:rsidRDefault="00CA1920" w:rsidP="005173B2">
            <w:pPr>
              <w:pStyle w:val="TableText"/>
              <w:spacing w:before="40" w:after="40" w:line="240" w:lineRule="auto"/>
              <w:rPr>
                <w:sz w:val="14"/>
                <w:szCs w:val="18"/>
              </w:rPr>
            </w:pPr>
            <w:r w:rsidRPr="00BD16B4">
              <w:rPr>
                <w:sz w:val="14"/>
                <w:szCs w:val="18"/>
              </w:rPr>
              <w:t>NE</w:t>
            </w:r>
          </w:p>
        </w:tc>
        <w:tc>
          <w:tcPr>
            <w:tcW w:w="850" w:type="dxa"/>
          </w:tcPr>
          <w:p w14:paraId="1B4F4C79" w14:textId="77777777" w:rsidR="00CA1920" w:rsidRPr="00BD16B4" w:rsidRDefault="00CA1920" w:rsidP="002D166E">
            <w:pPr>
              <w:pStyle w:val="TableText"/>
              <w:spacing w:before="40" w:after="40" w:line="240" w:lineRule="auto"/>
              <w:rPr>
                <w:sz w:val="14"/>
                <w:szCs w:val="18"/>
              </w:rPr>
            </w:pPr>
            <w:r w:rsidRPr="00BD16B4">
              <w:rPr>
                <w:sz w:val="14"/>
                <w:szCs w:val="18"/>
              </w:rPr>
              <w:t>NE</w:t>
            </w:r>
          </w:p>
        </w:tc>
        <w:tc>
          <w:tcPr>
            <w:tcW w:w="851" w:type="dxa"/>
          </w:tcPr>
          <w:p w14:paraId="4C356B70" w14:textId="77777777" w:rsidR="00CA1920" w:rsidRPr="00BD16B4" w:rsidRDefault="00CA1920" w:rsidP="005173B2">
            <w:pPr>
              <w:pStyle w:val="TableText"/>
              <w:spacing w:before="40" w:after="40" w:line="240" w:lineRule="auto"/>
              <w:rPr>
                <w:sz w:val="14"/>
                <w:szCs w:val="18"/>
              </w:rPr>
            </w:pPr>
            <w:r w:rsidRPr="00BD16B4">
              <w:rPr>
                <w:sz w:val="14"/>
                <w:szCs w:val="18"/>
              </w:rPr>
              <w:t>NE</w:t>
            </w:r>
          </w:p>
        </w:tc>
      </w:tr>
      <w:tr w:rsidR="006709EC" w:rsidRPr="00BD16B4" w14:paraId="1062072F" w14:textId="77777777" w:rsidTr="006709EC">
        <w:tc>
          <w:tcPr>
            <w:tcW w:w="1632" w:type="dxa"/>
          </w:tcPr>
          <w:p w14:paraId="775978C5" w14:textId="77777777" w:rsidR="00CA1920" w:rsidRPr="00BD16B4" w:rsidRDefault="00CA1920" w:rsidP="004C6726">
            <w:pPr>
              <w:pStyle w:val="TableText"/>
              <w:keepNext/>
              <w:spacing w:before="40" w:after="40" w:line="240" w:lineRule="auto"/>
              <w:rPr>
                <w:sz w:val="14"/>
                <w:szCs w:val="18"/>
              </w:rPr>
            </w:pPr>
            <w:r w:rsidRPr="00BD16B4">
              <w:rPr>
                <w:sz w:val="14"/>
                <w:szCs w:val="18"/>
              </w:rPr>
              <w:lastRenderedPageBreak/>
              <w:t xml:space="preserve">National Environmental Standard for Air Quality </w:t>
            </w:r>
          </w:p>
        </w:tc>
        <w:tc>
          <w:tcPr>
            <w:tcW w:w="1316" w:type="dxa"/>
          </w:tcPr>
          <w:p w14:paraId="3E7B1A8C" w14:textId="77777777" w:rsidR="00CA1920" w:rsidRPr="00BD16B4" w:rsidRDefault="00CA1920" w:rsidP="002D166E">
            <w:pPr>
              <w:pStyle w:val="TableText"/>
              <w:spacing w:before="40" w:after="40" w:line="240" w:lineRule="auto"/>
              <w:rPr>
                <w:sz w:val="14"/>
                <w:szCs w:val="18"/>
              </w:rPr>
            </w:pPr>
            <w:r w:rsidRPr="00BD16B4">
              <w:rPr>
                <w:sz w:val="14"/>
                <w:szCs w:val="18"/>
              </w:rPr>
              <w:t>Waste</w:t>
            </w:r>
          </w:p>
        </w:tc>
        <w:tc>
          <w:tcPr>
            <w:tcW w:w="567" w:type="dxa"/>
          </w:tcPr>
          <w:p w14:paraId="13B645CD" w14:textId="77777777" w:rsidR="00CA1920" w:rsidRPr="00BD16B4" w:rsidRDefault="00CA1920" w:rsidP="002D166E">
            <w:pPr>
              <w:pStyle w:val="TableText"/>
              <w:spacing w:before="40" w:after="40" w:line="240" w:lineRule="auto"/>
              <w:rPr>
                <w:sz w:val="14"/>
                <w:szCs w:val="18"/>
              </w:rPr>
            </w:pPr>
            <w:r w:rsidRPr="00BD16B4">
              <w:rPr>
                <w:sz w:val="14"/>
                <w:szCs w:val="18"/>
              </w:rPr>
              <w:t>CH</w:t>
            </w:r>
            <w:r w:rsidRPr="00BD16B4">
              <w:rPr>
                <w:sz w:val="14"/>
                <w:szCs w:val="18"/>
                <w:vertAlign w:val="subscript"/>
              </w:rPr>
              <w:t>4</w:t>
            </w:r>
          </w:p>
        </w:tc>
        <w:tc>
          <w:tcPr>
            <w:tcW w:w="1701" w:type="dxa"/>
          </w:tcPr>
          <w:p w14:paraId="52A09440" w14:textId="77777777" w:rsidR="00CA1920" w:rsidRPr="00BD16B4" w:rsidRDefault="00CA1920" w:rsidP="002D166E">
            <w:pPr>
              <w:pStyle w:val="TableText"/>
              <w:spacing w:before="40" w:after="40" w:line="240" w:lineRule="auto"/>
              <w:rPr>
                <w:sz w:val="14"/>
                <w:szCs w:val="18"/>
              </w:rPr>
            </w:pPr>
            <w:r w:rsidRPr="00BD16B4">
              <w:rPr>
                <w:sz w:val="14"/>
                <w:szCs w:val="18"/>
              </w:rPr>
              <w:t>Effectively manage discharges to air of greenhouse gases (mainly CH</w:t>
            </w:r>
            <w:r w:rsidRPr="00BD16B4">
              <w:rPr>
                <w:sz w:val="14"/>
                <w:szCs w:val="18"/>
                <w:vertAlign w:val="subscript"/>
              </w:rPr>
              <w:t>4</w:t>
            </w:r>
            <w:r w:rsidRPr="00BD16B4">
              <w:rPr>
                <w:sz w:val="14"/>
                <w:szCs w:val="18"/>
              </w:rPr>
              <w:t>) generated from large landfills.</w:t>
            </w:r>
          </w:p>
        </w:tc>
        <w:tc>
          <w:tcPr>
            <w:tcW w:w="1134" w:type="dxa"/>
          </w:tcPr>
          <w:p w14:paraId="75643FBA" w14:textId="77777777" w:rsidR="00CA1920" w:rsidRPr="00BD16B4" w:rsidRDefault="00CA1920" w:rsidP="002D166E">
            <w:pPr>
              <w:pStyle w:val="TableText"/>
              <w:spacing w:before="40" w:after="40" w:line="240" w:lineRule="auto"/>
              <w:rPr>
                <w:sz w:val="14"/>
                <w:szCs w:val="18"/>
              </w:rPr>
            </w:pPr>
            <w:r w:rsidRPr="00BD16B4">
              <w:rPr>
                <w:sz w:val="14"/>
                <w:szCs w:val="18"/>
              </w:rPr>
              <w:t>Regulatory</w:t>
            </w:r>
          </w:p>
        </w:tc>
        <w:tc>
          <w:tcPr>
            <w:tcW w:w="992" w:type="dxa"/>
          </w:tcPr>
          <w:p w14:paraId="21EDB2AA" w14:textId="6358436E" w:rsidR="00CA1920" w:rsidRPr="00BD16B4" w:rsidRDefault="00CA1920" w:rsidP="002D166E">
            <w:pPr>
              <w:pStyle w:val="TableText"/>
              <w:spacing w:before="40" w:after="40" w:line="240" w:lineRule="auto"/>
              <w:rPr>
                <w:sz w:val="14"/>
                <w:szCs w:val="18"/>
              </w:rPr>
            </w:pPr>
            <w:r w:rsidRPr="00BD16B4">
              <w:rPr>
                <w:sz w:val="14"/>
                <w:szCs w:val="18"/>
              </w:rPr>
              <w:t>Implemented (W</w:t>
            </w:r>
            <w:r w:rsidR="00984FBF" w:rsidRPr="00BD16B4">
              <w:rPr>
                <w:sz w:val="14"/>
                <w:szCs w:val="18"/>
              </w:rPr>
              <w:t>E</w:t>
            </w:r>
            <w:r w:rsidRPr="00BD16B4">
              <w:rPr>
                <w:sz w:val="14"/>
                <w:szCs w:val="18"/>
              </w:rPr>
              <w:t>M)</w:t>
            </w:r>
          </w:p>
        </w:tc>
        <w:tc>
          <w:tcPr>
            <w:tcW w:w="2410" w:type="dxa"/>
          </w:tcPr>
          <w:p w14:paraId="36EBF368" w14:textId="114C266E" w:rsidR="00CA1920" w:rsidRPr="00BD16B4" w:rsidRDefault="00CA1920" w:rsidP="002D166E">
            <w:pPr>
              <w:spacing w:before="40" w:after="40" w:line="240" w:lineRule="auto"/>
              <w:jc w:val="left"/>
              <w:rPr>
                <w:sz w:val="14"/>
                <w:szCs w:val="14"/>
              </w:rPr>
            </w:pPr>
            <w:r w:rsidRPr="00BD16B4">
              <w:rPr>
                <w:sz w:val="14"/>
                <w:szCs w:val="14"/>
              </w:rPr>
              <w:t>The landfill gas standards currently require landfill sites with a lifetime design capacity of greater than 1 million tonnes of refuse to collect and destroy CH</w:t>
            </w:r>
            <w:r w:rsidRPr="00BD16B4">
              <w:rPr>
                <w:sz w:val="14"/>
                <w:szCs w:val="14"/>
                <w:vertAlign w:val="subscript"/>
              </w:rPr>
              <w:t>4</w:t>
            </w:r>
            <w:r w:rsidRPr="00BD16B4">
              <w:rPr>
                <w:sz w:val="14"/>
                <w:szCs w:val="14"/>
              </w:rPr>
              <w:t xml:space="preserve"> emissions. Amendments proposed under the emissions reduction plan will</w:t>
            </w:r>
            <w:r w:rsidR="00C9350A" w:rsidRPr="00BD16B4">
              <w:rPr>
                <w:sz w:val="14"/>
                <w:szCs w:val="14"/>
              </w:rPr>
              <w:t> </w:t>
            </w:r>
            <w:r w:rsidRPr="00BD16B4">
              <w:rPr>
                <w:sz w:val="14"/>
                <w:szCs w:val="14"/>
              </w:rPr>
              <w:t>require all municipal landfills to capture gas, including sites with less than 1</w:t>
            </w:r>
            <w:r w:rsidR="00C9350A" w:rsidRPr="00BD16B4">
              <w:rPr>
                <w:sz w:val="14"/>
                <w:szCs w:val="14"/>
              </w:rPr>
              <w:t> </w:t>
            </w:r>
            <w:r w:rsidRPr="00BD16B4">
              <w:rPr>
                <w:sz w:val="14"/>
                <w:szCs w:val="14"/>
              </w:rPr>
              <w:t xml:space="preserve">million tonnes capacity. </w:t>
            </w:r>
            <w:r w:rsidRPr="00BD16B4">
              <w:rPr>
                <w:sz w:val="14"/>
                <w:szCs w:val="18"/>
              </w:rPr>
              <w:t>Standard came into effect in 2004, with full compliance required by 2007.</w:t>
            </w:r>
          </w:p>
        </w:tc>
        <w:tc>
          <w:tcPr>
            <w:tcW w:w="567" w:type="dxa"/>
          </w:tcPr>
          <w:p w14:paraId="14E5B9D8" w14:textId="77777777" w:rsidR="00CA1920" w:rsidRPr="00BD16B4" w:rsidRDefault="00CA1920" w:rsidP="002D166E">
            <w:pPr>
              <w:pStyle w:val="TableText"/>
              <w:spacing w:before="40" w:after="40" w:line="240" w:lineRule="auto"/>
              <w:rPr>
                <w:sz w:val="14"/>
                <w:szCs w:val="18"/>
              </w:rPr>
            </w:pPr>
            <w:r w:rsidRPr="00BD16B4">
              <w:rPr>
                <w:sz w:val="14"/>
                <w:szCs w:val="18"/>
              </w:rPr>
              <w:t>2004</w:t>
            </w:r>
          </w:p>
        </w:tc>
        <w:tc>
          <w:tcPr>
            <w:tcW w:w="1701" w:type="dxa"/>
          </w:tcPr>
          <w:p w14:paraId="4C175DDF" w14:textId="77777777" w:rsidR="00CA1920" w:rsidRPr="00BD16B4" w:rsidRDefault="00CA1920" w:rsidP="002D166E">
            <w:pPr>
              <w:pStyle w:val="TableText"/>
              <w:spacing w:before="40" w:after="40" w:line="240" w:lineRule="auto"/>
              <w:rPr>
                <w:sz w:val="14"/>
                <w:szCs w:val="18"/>
              </w:rPr>
            </w:pPr>
            <w:r w:rsidRPr="00BD16B4">
              <w:rPr>
                <w:sz w:val="14"/>
                <w:szCs w:val="18"/>
              </w:rPr>
              <w:t>Ministry for the Environment, regional and local councils</w:t>
            </w:r>
          </w:p>
        </w:tc>
        <w:tc>
          <w:tcPr>
            <w:tcW w:w="851" w:type="dxa"/>
          </w:tcPr>
          <w:p w14:paraId="37791C03" w14:textId="77777777" w:rsidR="00CA1920" w:rsidRPr="00BD16B4" w:rsidRDefault="00CA1920" w:rsidP="005173B2">
            <w:pPr>
              <w:pStyle w:val="TableText"/>
              <w:spacing w:before="40" w:after="40" w:line="240" w:lineRule="auto"/>
              <w:rPr>
                <w:sz w:val="14"/>
                <w:szCs w:val="18"/>
              </w:rPr>
            </w:pPr>
            <w:r w:rsidRPr="00BD16B4">
              <w:rPr>
                <w:sz w:val="14"/>
                <w:szCs w:val="18"/>
              </w:rPr>
              <w:t>605.3</w:t>
            </w:r>
          </w:p>
        </w:tc>
        <w:tc>
          <w:tcPr>
            <w:tcW w:w="850" w:type="dxa"/>
          </w:tcPr>
          <w:p w14:paraId="3C347D6D" w14:textId="77777777" w:rsidR="00CA1920" w:rsidRPr="00BD16B4" w:rsidRDefault="00CA1920" w:rsidP="002D166E">
            <w:pPr>
              <w:pStyle w:val="TableText"/>
              <w:spacing w:before="40" w:after="40" w:line="240" w:lineRule="auto"/>
              <w:rPr>
                <w:sz w:val="14"/>
                <w:szCs w:val="18"/>
              </w:rPr>
            </w:pPr>
            <w:r w:rsidRPr="00BD16B4">
              <w:rPr>
                <w:sz w:val="14"/>
                <w:szCs w:val="18"/>
              </w:rPr>
              <w:t>657.2</w:t>
            </w:r>
          </w:p>
        </w:tc>
        <w:tc>
          <w:tcPr>
            <w:tcW w:w="851" w:type="dxa"/>
          </w:tcPr>
          <w:p w14:paraId="44BC8C60" w14:textId="77777777" w:rsidR="00CA1920" w:rsidRPr="00BD16B4" w:rsidRDefault="00CA1920" w:rsidP="005173B2">
            <w:pPr>
              <w:pStyle w:val="TableText"/>
              <w:spacing w:before="40" w:after="40" w:line="240" w:lineRule="auto"/>
              <w:rPr>
                <w:sz w:val="14"/>
                <w:szCs w:val="18"/>
              </w:rPr>
            </w:pPr>
            <w:r w:rsidRPr="00BD16B4">
              <w:rPr>
                <w:sz w:val="14"/>
                <w:szCs w:val="18"/>
              </w:rPr>
              <w:t>691.6</w:t>
            </w:r>
          </w:p>
        </w:tc>
      </w:tr>
      <w:tr w:rsidR="00CA1920" w:rsidRPr="00BD16B4" w14:paraId="56454524" w14:textId="77777777" w:rsidTr="000A136D">
        <w:trPr>
          <w:cantSplit/>
        </w:trPr>
        <w:tc>
          <w:tcPr>
            <w:tcW w:w="14572" w:type="dxa"/>
            <w:gridSpan w:val="12"/>
            <w:shd w:val="clear" w:color="auto" w:fill="D2DDE1" w:themeFill="background2"/>
          </w:tcPr>
          <w:p w14:paraId="1BBA546B" w14:textId="77777777" w:rsidR="00CA1920" w:rsidRPr="00BD16B4" w:rsidRDefault="00CA1920" w:rsidP="001872A2">
            <w:pPr>
              <w:pStyle w:val="TableText"/>
              <w:keepNext/>
              <w:spacing w:before="40" w:after="40" w:line="240" w:lineRule="auto"/>
              <w:rPr>
                <w:b/>
                <w:bCs/>
                <w:sz w:val="14"/>
                <w:szCs w:val="18"/>
              </w:rPr>
            </w:pPr>
            <w:r w:rsidRPr="00BD16B4">
              <w:rPr>
                <w:b/>
                <w:bCs/>
                <w:sz w:val="14"/>
                <w:szCs w:val="18"/>
              </w:rPr>
              <w:t>Tokelau</w:t>
            </w:r>
          </w:p>
        </w:tc>
      </w:tr>
      <w:tr w:rsidR="006709EC" w:rsidRPr="00BD16B4" w14:paraId="16818D4D" w14:textId="77777777" w:rsidTr="006709EC">
        <w:trPr>
          <w:cantSplit/>
        </w:trPr>
        <w:tc>
          <w:tcPr>
            <w:tcW w:w="1632" w:type="dxa"/>
          </w:tcPr>
          <w:p w14:paraId="3A7A5FBA" w14:textId="77777777" w:rsidR="00CA1920" w:rsidRPr="00BD16B4" w:rsidRDefault="00CA1920" w:rsidP="002D166E">
            <w:pPr>
              <w:pStyle w:val="TableText"/>
              <w:spacing w:before="40" w:after="40" w:line="240" w:lineRule="auto"/>
              <w:rPr>
                <w:sz w:val="14"/>
                <w:szCs w:val="18"/>
              </w:rPr>
            </w:pPr>
            <w:r w:rsidRPr="00BD16B4">
              <w:rPr>
                <w:sz w:val="14"/>
                <w:szCs w:val="18"/>
              </w:rPr>
              <w:t>Tokelau Renewable Energy Project</w:t>
            </w:r>
          </w:p>
        </w:tc>
        <w:tc>
          <w:tcPr>
            <w:tcW w:w="1316" w:type="dxa"/>
          </w:tcPr>
          <w:p w14:paraId="03B740C2" w14:textId="77777777" w:rsidR="00CA1920" w:rsidRPr="00BD16B4" w:rsidRDefault="00CA1920" w:rsidP="002D166E">
            <w:pPr>
              <w:pStyle w:val="TableText"/>
              <w:spacing w:before="40" w:after="40" w:line="240" w:lineRule="auto"/>
              <w:rPr>
                <w:sz w:val="14"/>
                <w:szCs w:val="18"/>
              </w:rPr>
            </w:pPr>
            <w:r w:rsidRPr="00BD16B4">
              <w:rPr>
                <w:sz w:val="14"/>
                <w:szCs w:val="18"/>
              </w:rPr>
              <w:t>Tokelau</w:t>
            </w:r>
          </w:p>
        </w:tc>
        <w:tc>
          <w:tcPr>
            <w:tcW w:w="567" w:type="dxa"/>
          </w:tcPr>
          <w:p w14:paraId="283C1251" w14:textId="77777777" w:rsidR="00CA1920" w:rsidRPr="00BD16B4" w:rsidRDefault="00CA1920" w:rsidP="002D166E">
            <w:pPr>
              <w:pStyle w:val="TableText"/>
              <w:spacing w:before="40" w:after="40" w:line="240" w:lineRule="auto"/>
              <w:rPr>
                <w:sz w:val="14"/>
                <w:szCs w:val="18"/>
              </w:rPr>
            </w:pPr>
            <w:r w:rsidRPr="00BD16B4">
              <w:rPr>
                <w:sz w:val="14"/>
                <w:szCs w:val="18"/>
              </w:rPr>
              <w:t>CO</w:t>
            </w:r>
            <w:r w:rsidRPr="00BD16B4">
              <w:rPr>
                <w:sz w:val="14"/>
                <w:szCs w:val="18"/>
                <w:vertAlign w:val="subscript"/>
              </w:rPr>
              <w:t>2</w:t>
            </w:r>
            <w:r w:rsidRPr="00BD16B4">
              <w:rPr>
                <w:sz w:val="14"/>
                <w:szCs w:val="18"/>
              </w:rPr>
              <w:t>, CH</w:t>
            </w:r>
            <w:r w:rsidRPr="00BD16B4">
              <w:rPr>
                <w:sz w:val="14"/>
                <w:szCs w:val="18"/>
                <w:vertAlign w:val="subscript"/>
              </w:rPr>
              <w:t>4</w:t>
            </w:r>
          </w:p>
        </w:tc>
        <w:tc>
          <w:tcPr>
            <w:tcW w:w="1701" w:type="dxa"/>
          </w:tcPr>
          <w:p w14:paraId="23977DFA" w14:textId="77777777" w:rsidR="00CA1920" w:rsidRPr="00BD16B4" w:rsidRDefault="00CA1920" w:rsidP="002D166E">
            <w:pPr>
              <w:pStyle w:val="TableText"/>
              <w:spacing w:before="40" w:after="40" w:line="240" w:lineRule="auto"/>
              <w:rPr>
                <w:sz w:val="14"/>
                <w:szCs w:val="18"/>
              </w:rPr>
            </w:pPr>
            <w:r w:rsidRPr="00BD16B4">
              <w:rPr>
                <w:sz w:val="14"/>
                <w:szCs w:val="18"/>
              </w:rPr>
              <w:t>Provide reliable, adequate, and efficient energy for the people of Tokelau through the use of solar photovoltaic power.</w:t>
            </w:r>
          </w:p>
        </w:tc>
        <w:tc>
          <w:tcPr>
            <w:tcW w:w="1134" w:type="dxa"/>
          </w:tcPr>
          <w:p w14:paraId="05C89D6A" w14:textId="77777777" w:rsidR="00CA1920" w:rsidRPr="00BD16B4" w:rsidRDefault="00CA1920" w:rsidP="002D166E">
            <w:pPr>
              <w:pStyle w:val="TableText"/>
              <w:spacing w:before="40" w:after="40" w:line="240" w:lineRule="auto"/>
              <w:rPr>
                <w:sz w:val="14"/>
                <w:szCs w:val="18"/>
              </w:rPr>
            </w:pPr>
            <w:r w:rsidRPr="00BD16B4">
              <w:rPr>
                <w:sz w:val="14"/>
                <w:szCs w:val="18"/>
              </w:rPr>
              <w:t>Fiscal</w:t>
            </w:r>
          </w:p>
        </w:tc>
        <w:tc>
          <w:tcPr>
            <w:tcW w:w="992" w:type="dxa"/>
          </w:tcPr>
          <w:p w14:paraId="7C4BAAD2" w14:textId="77777777" w:rsidR="00CA1920" w:rsidRPr="00BD16B4" w:rsidRDefault="00CA1920" w:rsidP="002D166E">
            <w:pPr>
              <w:pStyle w:val="TableText"/>
              <w:spacing w:before="40" w:after="40" w:line="240" w:lineRule="auto"/>
              <w:rPr>
                <w:sz w:val="14"/>
                <w:szCs w:val="18"/>
              </w:rPr>
            </w:pPr>
            <w:r w:rsidRPr="00BD16B4">
              <w:rPr>
                <w:sz w:val="14"/>
                <w:szCs w:val="18"/>
              </w:rPr>
              <w:t>Implemented (WEM)</w:t>
            </w:r>
          </w:p>
        </w:tc>
        <w:tc>
          <w:tcPr>
            <w:tcW w:w="2410" w:type="dxa"/>
          </w:tcPr>
          <w:p w14:paraId="7DE526C8" w14:textId="77777777" w:rsidR="00CA1920" w:rsidRPr="00BD16B4" w:rsidRDefault="00CA1920" w:rsidP="002D166E">
            <w:pPr>
              <w:spacing w:before="40" w:after="40" w:line="240" w:lineRule="auto"/>
              <w:jc w:val="left"/>
              <w:rPr>
                <w:sz w:val="14"/>
                <w:szCs w:val="18"/>
              </w:rPr>
            </w:pPr>
            <w:r w:rsidRPr="00BD16B4">
              <w:rPr>
                <w:sz w:val="14"/>
                <w:szCs w:val="18"/>
              </w:rPr>
              <w:t>In 2012, the installation of about 4,000 solar panels across Tokelau’s three atolls was completed. Each of the three Tokelau atolls now has a significant array of solar panels that cater for almost all local electric power requirements.</w:t>
            </w:r>
          </w:p>
        </w:tc>
        <w:tc>
          <w:tcPr>
            <w:tcW w:w="567" w:type="dxa"/>
          </w:tcPr>
          <w:p w14:paraId="5B0DC775" w14:textId="77777777" w:rsidR="00CA1920" w:rsidRPr="00BD16B4" w:rsidRDefault="00CA1920" w:rsidP="002D166E">
            <w:pPr>
              <w:pStyle w:val="TableText"/>
              <w:spacing w:before="40" w:after="40" w:line="240" w:lineRule="auto"/>
              <w:rPr>
                <w:sz w:val="14"/>
                <w:szCs w:val="18"/>
              </w:rPr>
            </w:pPr>
            <w:r w:rsidRPr="00BD16B4">
              <w:rPr>
                <w:sz w:val="14"/>
                <w:szCs w:val="18"/>
              </w:rPr>
              <w:t>2012</w:t>
            </w:r>
          </w:p>
        </w:tc>
        <w:tc>
          <w:tcPr>
            <w:tcW w:w="1701" w:type="dxa"/>
          </w:tcPr>
          <w:p w14:paraId="3AA9B6A2" w14:textId="77777777" w:rsidR="00CA1920" w:rsidRPr="00BD16B4" w:rsidRDefault="00CA1920" w:rsidP="002D166E">
            <w:pPr>
              <w:pStyle w:val="TableText"/>
              <w:spacing w:before="40" w:after="40" w:line="240" w:lineRule="auto"/>
              <w:rPr>
                <w:sz w:val="14"/>
                <w:szCs w:val="18"/>
              </w:rPr>
            </w:pPr>
            <w:r w:rsidRPr="00BD16B4">
              <w:rPr>
                <w:sz w:val="14"/>
                <w:szCs w:val="18"/>
              </w:rPr>
              <w:t>Ministry of Foreign Affairs and Trade</w:t>
            </w:r>
          </w:p>
        </w:tc>
        <w:tc>
          <w:tcPr>
            <w:tcW w:w="851" w:type="dxa"/>
          </w:tcPr>
          <w:p w14:paraId="1BD04A9B" w14:textId="77777777" w:rsidR="00CA1920" w:rsidRPr="00BD16B4" w:rsidRDefault="00CA1920" w:rsidP="005173B2">
            <w:pPr>
              <w:pStyle w:val="TableText"/>
              <w:spacing w:before="40" w:after="40" w:line="240" w:lineRule="auto"/>
              <w:rPr>
                <w:sz w:val="14"/>
                <w:szCs w:val="18"/>
              </w:rPr>
            </w:pPr>
            <w:r w:rsidRPr="00BD16B4">
              <w:rPr>
                <w:rFonts w:cs="Calibri"/>
                <w:sz w:val="14"/>
                <w:szCs w:val="14"/>
              </w:rPr>
              <w:t>1</w:t>
            </w:r>
          </w:p>
        </w:tc>
        <w:tc>
          <w:tcPr>
            <w:tcW w:w="850" w:type="dxa"/>
          </w:tcPr>
          <w:p w14:paraId="20CAE969" w14:textId="77777777" w:rsidR="00CA1920" w:rsidRPr="00BD16B4" w:rsidRDefault="00CA1920" w:rsidP="002D166E">
            <w:pPr>
              <w:pStyle w:val="TableText"/>
              <w:spacing w:before="40" w:after="40" w:line="240" w:lineRule="auto"/>
              <w:rPr>
                <w:sz w:val="14"/>
                <w:szCs w:val="18"/>
              </w:rPr>
            </w:pPr>
            <w:r w:rsidRPr="00BD16B4">
              <w:rPr>
                <w:rFonts w:cs="Calibri"/>
                <w:sz w:val="14"/>
                <w:szCs w:val="14"/>
              </w:rPr>
              <w:t>1</w:t>
            </w:r>
          </w:p>
        </w:tc>
        <w:tc>
          <w:tcPr>
            <w:tcW w:w="851" w:type="dxa"/>
          </w:tcPr>
          <w:p w14:paraId="23693777" w14:textId="77777777" w:rsidR="00CA1920" w:rsidRPr="00BD16B4" w:rsidRDefault="00CA1920" w:rsidP="005173B2">
            <w:pPr>
              <w:pStyle w:val="TableText"/>
              <w:spacing w:before="40" w:after="40" w:line="240" w:lineRule="auto"/>
              <w:rPr>
                <w:sz w:val="14"/>
                <w:szCs w:val="18"/>
              </w:rPr>
            </w:pPr>
            <w:r w:rsidRPr="00BD16B4">
              <w:rPr>
                <w:rFonts w:cs="Calibri"/>
                <w:sz w:val="14"/>
                <w:szCs w:val="14"/>
              </w:rPr>
              <w:t>1</w:t>
            </w:r>
          </w:p>
        </w:tc>
      </w:tr>
    </w:tbl>
    <w:p w14:paraId="031677E0" w14:textId="77777777" w:rsidR="00CA1920" w:rsidRPr="00BD16B4" w:rsidRDefault="00CA1920" w:rsidP="00CA1920">
      <w:pPr>
        <w:pStyle w:val="BodyText"/>
        <w:spacing w:before="0" w:after="0"/>
        <w:rPr>
          <w:rFonts w:eastAsia="Calibri"/>
        </w:rPr>
      </w:pPr>
    </w:p>
    <w:p w14:paraId="100188FF" w14:textId="77777777" w:rsidR="00CA1920" w:rsidRPr="00BD16B4" w:rsidRDefault="00CA1920" w:rsidP="00CA1920">
      <w:pPr>
        <w:pStyle w:val="BodyText"/>
        <w:spacing w:before="0" w:after="0"/>
        <w:rPr>
          <w:rFonts w:eastAsia="Calibri"/>
        </w:rPr>
        <w:sectPr w:rsidR="00CA1920" w:rsidRPr="00BD16B4" w:rsidSect="00243A8B">
          <w:footerReference w:type="default" r:id="rId86"/>
          <w:pgSz w:w="16840" w:h="11907" w:orient="landscape" w:code="9"/>
          <w:pgMar w:top="1701" w:right="1134" w:bottom="1701" w:left="1134" w:header="567" w:footer="567" w:gutter="0"/>
          <w:cols w:space="720"/>
          <w:docGrid w:linePitch="299"/>
        </w:sectPr>
      </w:pPr>
    </w:p>
    <w:p w14:paraId="25F15018" w14:textId="77777777" w:rsidR="00CA1920" w:rsidRPr="00BD16B4" w:rsidRDefault="00CA1920" w:rsidP="00CA1920">
      <w:pPr>
        <w:pStyle w:val="Heading2"/>
        <w:spacing w:before="0"/>
      </w:pPr>
      <w:bookmarkStart w:id="253" w:name="_Toc121774637"/>
      <w:r w:rsidRPr="00BD16B4">
        <w:lastRenderedPageBreak/>
        <w:t xml:space="preserve">4.4 </w:t>
      </w:r>
      <w:r w:rsidRPr="00BD16B4">
        <w:tab/>
        <w:t xml:space="preserve">Economic and social impacts of </w:t>
      </w:r>
      <w:r w:rsidRPr="00BD16B4">
        <w:rPr>
          <w:rFonts w:eastAsia="Calibri"/>
        </w:rPr>
        <w:t>response</w:t>
      </w:r>
      <w:r w:rsidRPr="00BD16B4">
        <w:t> measures</w:t>
      </w:r>
      <w:bookmarkEnd w:id="253"/>
      <w:r w:rsidRPr="00BD16B4">
        <w:t xml:space="preserve"> </w:t>
      </w:r>
    </w:p>
    <w:p w14:paraId="359A6EB4" w14:textId="77777777" w:rsidR="00CA1920" w:rsidRPr="00BD16B4" w:rsidRDefault="00CA1920" w:rsidP="00CA1920">
      <w:pPr>
        <w:pStyle w:val="BodyText"/>
        <w:rPr>
          <w:rFonts w:eastAsia="Calibri"/>
        </w:rPr>
      </w:pPr>
      <w:r w:rsidRPr="00BD16B4">
        <w:rPr>
          <w:rFonts w:eastAsia="Calibri"/>
        </w:rPr>
        <w:t xml:space="preserve">This section outlines Aotearoa New Zealand’s approach and actions aimed at minimising adverse social, environmental and economic impacts that may result from the implementation of the climate change policies and measures. </w:t>
      </w:r>
    </w:p>
    <w:p w14:paraId="0095BBE6" w14:textId="77777777" w:rsidR="00CA1920" w:rsidRPr="00BD16B4" w:rsidRDefault="00CA1920" w:rsidP="00CA1920">
      <w:pPr>
        <w:pStyle w:val="Heading3"/>
      </w:pPr>
      <w:r w:rsidRPr="00BD16B4">
        <w:t>4.4.1</w:t>
      </w:r>
      <w:r w:rsidRPr="00BD16B4">
        <w:tab/>
        <w:t>Transitioning to a low-emissions and climate resilient economy</w:t>
      </w:r>
    </w:p>
    <w:p w14:paraId="0B560521" w14:textId="77777777" w:rsidR="00CA1920" w:rsidRPr="00BD16B4" w:rsidRDefault="00CA1920" w:rsidP="00CA1920">
      <w:pPr>
        <w:pStyle w:val="BodyText"/>
      </w:pPr>
      <w:r w:rsidRPr="00BD16B4">
        <w:t xml:space="preserve">Transitioning to a low-emissions and climate-resilient future provides an opportunity for New Zealand to transform its economy, work together to improve wellbeing, become more productive, increase resilience and reduce inequality. </w:t>
      </w:r>
    </w:p>
    <w:p w14:paraId="7E0F7AA8" w14:textId="77777777" w:rsidR="00CA1920" w:rsidRPr="00BD16B4" w:rsidRDefault="00CA1920" w:rsidP="00CA1920">
      <w:pPr>
        <w:pStyle w:val="BodyText"/>
      </w:pPr>
      <w:r w:rsidRPr="00BD16B4">
        <w:t>The Climate Change Commission’s modelling indicates that New Zealand would face higher economic costs if it delays necessary aspects of the low-emissions transition. Delaying key actions such as the move to electric vehicles and more efficient farm practices would lead to higher-cost actions in the future. The overall impact to GDP would be higher – potentially reducing GDP by up to 1 per cent in 2035 if these key measures are not successfully rolled out.</w:t>
      </w:r>
    </w:p>
    <w:p w14:paraId="32E1892A" w14:textId="77777777" w:rsidR="00CA1920" w:rsidRPr="00BD16B4" w:rsidRDefault="00CA1920" w:rsidP="00CA1920">
      <w:pPr>
        <w:pStyle w:val="BodyText"/>
      </w:pPr>
      <w:r w:rsidRPr="00BD16B4">
        <w:t>Transitioning to a low-emissions, climate-resilient economy will require a range of changes across the economy. Many businesses will need to adopt new technology and ways of working, and some workers will need new skills. However, some communities, low-income households and other vulnerable groups may face transition impacts and increasing costs. The Government is committed to supporting low-income families, households and other vulnerable groups who may face transition impacts and require access to resources and technologies to help them reduce emissions.</w:t>
      </w:r>
    </w:p>
    <w:p w14:paraId="1157D160" w14:textId="77777777" w:rsidR="00CA1920" w:rsidRPr="00BD16B4" w:rsidRDefault="00CA1920" w:rsidP="00CA1920">
      <w:pPr>
        <w:pStyle w:val="BodyText"/>
      </w:pPr>
      <w:r w:rsidRPr="00BD16B4">
        <w:t>The emissions reduction plan sets out a mix of pricing, regulation and other policies to achieve a low-emissions, equitable transition. Addressing the economic and social impacts of response measures is a core part of the emissions reduction plan. Due to the wide scope of the ERP, it is difficult to forecast the exact economic and fiscal implications of our transition.</w:t>
      </w:r>
    </w:p>
    <w:p w14:paraId="7107FD6E" w14:textId="77777777" w:rsidR="00CA1920" w:rsidRPr="00BD16B4" w:rsidRDefault="00CA1920" w:rsidP="00CA1920">
      <w:pPr>
        <w:pStyle w:val="BodyText"/>
        <w:spacing w:after="240"/>
      </w:pPr>
      <w:r w:rsidRPr="00BD16B4">
        <w:t>Over the longer term, the transition to a low-emissions economy can be expected to reduce waste, increase efficiency and improve productivity as a result of adopting low-emissions technology and business practices.</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A1920" w:rsidRPr="00BD16B4" w14:paraId="39500734" w14:textId="77777777" w:rsidTr="002D166E">
        <w:tc>
          <w:tcPr>
            <w:tcW w:w="0" w:type="auto"/>
            <w:shd w:val="clear" w:color="auto" w:fill="D2DDE2"/>
          </w:tcPr>
          <w:p w14:paraId="5A924F95" w14:textId="77777777" w:rsidR="00CA1920" w:rsidRPr="00BD16B4" w:rsidRDefault="00CA1920" w:rsidP="002D166E">
            <w:pPr>
              <w:pStyle w:val="Boxheading"/>
              <w:keepNext w:val="0"/>
            </w:pPr>
            <w:r w:rsidRPr="00BD16B4">
              <w:t>Key actions in the emissions reduction plan</w:t>
            </w:r>
          </w:p>
          <w:p w14:paraId="3A03F340" w14:textId="77777777" w:rsidR="00CA1920" w:rsidRPr="00BD16B4" w:rsidRDefault="00CA1920" w:rsidP="004A14BD">
            <w:pPr>
              <w:pStyle w:val="Boxtext"/>
              <w:spacing w:after="80"/>
              <w:rPr>
                <w:b/>
              </w:rPr>
            </w:pPr>
            <w:r w:rsidRPr="00BD16B4">
              <w:t>The Government’s approach to supporting New Zealanders through the transition is built around five objectives and the following actions from the emissions reduction plan.</w:t>
            </w:r>
          </w:p>
          <w:p w14:paraId="4497BC36" w14:textId="77777777" w:rsidR="00CA1920" w:rsidRPr="00BD16B4" w:rsidRDefault="00CA1920" w:rsidP="002D166E">
            <w:pPr>
              <w:pStyle w:val="Boxtext"/>
              <w:rPr>
                <w:rFonts w:eastAsia="Calibri"/>
                <w:i/>
                <w:iCs/>
              </w:rPr>
            </w:pPr>
            <w:r w:rsidRPr="00BD16B4">
              <w:rPr>
                <w:rFonts w:eastAsia="Calibri"/>
                <w:i/>
                <w:iCs/>
              </w:rPr>
              <w:t>Seize the opportunities of the transition</w:t>
            </w:r>
          </w:p>
          <w:p w14:paraId="0C1C34EB" w14:textId="77777777" w:rsidR="00CA1920" w:rsidRPr="00BD16B4" w:rsidRDefault="00CA1920" w:rsidP="002D166E">
            <w:pPr>
              <w:pStyle w:val="Boxbullet"/>
              <w:rPr>
                <w:rFonts w:eastAsia="Calibri"/>
                <w:b/>
              </w:rPr>
            </w:pPr>
            <w:r w:rsidRPr="00BD16B4">
              <w:rPr>
                <w:rFonts w:eastAsia="Calibri"/>
              </w:rPr>
              <w:t>Action 3.1.1: Equip all children and young people for the transition.</w:t>
            </w:r>
          </w:p>
          <w:p w14:paraId="3126D1EC" w14:textId="77777777" w:rsidR="00CA1920" w:rsidRPr="00BD16B4" w:rsidRDefault="00CA1920" w:rsidP="002D166E">
            <w:pPr>
              <w:pStyle w:val="Boxbullet"/>
            </w:pPr>
            <w:r w:rsidRPr="00BD16B4">
              <w:rPr>
                <w:rFonts w:eastAsia="Calibri"/>
              </w:rPr>
              <w:t>Action 3.1.2: Create an accessible, responsive and flexible tertiary education and training system.</w:t>
            </w:r>
          </w:p>
        </w:tc>
      </w:tr>
      <w:tr w:rsidR="00CA1920" w:rsidRPr="00BD16B4" w14:paraId="595975EA" w14:textId="77777777" w:rsidTr="002D166E">
        <w:tc>
          <w:tcPr>
            <w:tcW w:w="0" w:type="auto"/>
            <w:shd w:val="clear" w:color="auto" w:fill="D2DDE2"/>
          </w:tcPr>
          <w:p w14:paraId="4E311FC5" w14:textId="77777777" w:rsidR="00CA1920" w:rsidRPr="00BD16B4" w:rsidRDefault="00CA1920" w:rsidP="002D166E">
            <w:pPr>
              <w:pStyle w:val="Boxtext"/>
              <w:keepNext/>
              <w:spacing w:before="180"/>
              <w:rPr>
                <w:rFonts w:eastAsia="Calibri"/>
                <w:i/>
                <w:iCs/>
              </w:rPr>
            </w:pPr>
            <w:r w:rsidRPr="00BD16B4">
              <w:rPr>
                <w:rFonts w:eastAsia="Calibri"/>
                <w:i/>
                <w:iCs/>
              </w:rPr>
              <w:lastRenderedPageBreak/>
              <w:t>Support proactive transition planning</w:t>
            </w:r>
          </w:p>
          <w:p w14:paraId="4D9CA627" w14:textId="77777777" w:rsidR="00CA1920" w:rsidRPr="00BD16B4" w:rsidRDefault="00CA1920" w:rsidP="002D166E">
            <w:pPr>
              <w:pStyle w:val="Boxbullet"/>
              <w:rPr>
                <w:rFonts w:eastAsia="Calibri"/>
                <w:b/>
              </w:rPr>
            </w:pPr>
            <w:r w:rsidRPr="00BD16B4">
              <w:rPr>
                <w:rFonts w:eastAsia="Calibri"/>
              </w:rPr>
              <w:t>Action 3.2.1 Develop an equitable transition strategy.</w:t>
            </w:r>
          </w:p>
          <w:p w14:paraId="0D9EFAFD" w14:textId="77777777" w:rsidR="00CA1920" w:rsidRPr="00BD16B4" w:rsidRDefault="00CA1920" w:rsidP="002D166E">
            <w:pPr>
              <w:pStyle w:val="Boxbullet"/>
              <w:rPr>
                <w:rFonts w:eastAsia="Calibri"/>
                <w:b/>
              </w:rPr>
            </w:pPr>
            <w:r w:rsidRPr="00BD16B4">
              <w:rPr>
                <w:rFonts w:eastAsia="Calibri"/>
              </w:rPr>
              <w:t>Action 3.2.2 Support regions and industries to manage the transition.</w:t>
            </w:r>
          </w:p>
          <w:p w14:paraId="270F8711" w14:textId="77777777" w:rsidR="00CA1920" w:rsidRPr="00BD16B4" w:rsidRDefault="00CA1920" w:rsidP="002D166E">
            <w:pPr>
              <w:pStyle w:val="Boxbullet"/>
              <w:rPr>
                <w:rFonts w:eastAsia="Calibri"/>
                <w:b/>
              </w:rPr>
            </w:pPr>
            <w:r w:rsidRPr="00BD16B4">
              <w:rPr>
                <w:rFonts w:eastAsia="Calibri"/>
              </w:rPr>
              <w:t>Action 3.2.3 Implement the Just Transition Partnerships Programme.</w:t>
            </w:r>
          </w:p>
          <w:p w14:paraId="19BD51C6" w14:textId="77777777" w:rsidR="00CA1920" w:rsidRPr="00BD16B4" w:rsidRDefault="00CA1920" w:rsidP="002D166E">
            <w:pPr>
              <w:pStyle w:val="Boxtext"/>
              <w:rPr>
                <w:rFonts w:eastAsia="Calibri"/>
                <w:i/>
                <w:iCs/>
              </w:rPr>
            </w:pPr>
            <w:r w:rsidRPr="00BD16B4">
              <w:rPr>
                <w:rFonts w:eastAsia="Calibri"/>
                <w:i/>
                <w:iCs/>
              </w:rPr>
              <w:t>Enable an affordable and inclusive transition</w:t>
            </w:r>
          </w:p>
          <w:p w14:paraId="0EF6CE0F" w14:textId="77777777" w:rsidR="00CA1920" w:rsidRPr="00BD16B4" w:rsidRDefault="00CA1920" w:rsidP="002D166E">
            <w:pPr>
              <w:pStyle w:val="Boxbullet"/>
              <w:rPr>
                <w:rFonts w:eastAsia="Calibri"/>
                <w:b/>
              </w:rPr>
            </w:pPr>
            <w:r w:rsidRPr="00BD16B4">
              <w:rPr>
                <w:rFonts w:eastAsia="Calibri"/>
              </w:rPr>
              <w:t>Action 3.3.1 Develop an income insurance scheme.</w:t>
            </w:r>
          </w:p>
          <w:p w14:paraId="2D4BC09C" w14:textId="77777777" w:rsidR="00CA1920" w:rsidRPr="00BD16B4" w:rsidRDefault="00CA1920" w:rsidP="002D166E">
            <w:pPr>
              <w:pStyle w:val="Boxbullet"/>
              <w:rPr>
                <w:rFonts w:eastAsia="Calibri"/>
                <w:b/>
              </w:rPr>
            </w:pPr>
            <w:r w:rsidRPr="00BD16B4">
              <w:rPr>
                <w:rFonts w:eastAsia="Calibri"/>
              </w:rPr>
              <w:t>Action 3.3.2 Improve welfare system income adequacy.</w:t>
            </w:r>
          </w:p>
          <w:p w14:paraId="4E28EC20" w14:textId="77777777" w:rsidR="00CA1920" w:rsidRPr="00BD16B4" w:rsidRDefault="00CA1920" w:rsidP="002D166E">
            <w:pPr>
              <w:pStyle w:val="Boxbullet"/>
              <w:rPr>
                <w:rFonts w:eastAsia="Calibri"/>
              </w:rPr>
            </w:pPr>
            <w:r w:rsidRPr="00BD16B4">
              <w:rPr>
                <w:rFonts w:eastAsia="Calibri"/>
              </w:rPr>
              <w:t>Action 3.3.3 Strengthen employment support services.</w:t>
            </w:r>
          </w:p>
          <w:p w14:paraId="12F75E18" w14:textId="77777777" w:rsidR="00CA1920" w:rsidRPr="00BD16B4" w:rsidRDefault="00CA1920" w:rsidP="002D166E">
            <w:pPr>
              <w:pStyle w:val="Boxtext"/>
              <w:rPr>
                <w:rFonts w:eastAsia="Calibri"/>
                <w:i/>
                <w:iCs/>
              </w:rPr>
            </w:pPr>
            <w:r w:rsidRPr="00BD16B4">
              <w:rPr>
                <w:rFonts w:eastAsia="Calibri"/>
                <w:i/>
                <w:iCs/>
              </w:rPr>
              <w:t>Build the evidence base and tools to monitor and assess impacts</w:t>
            </w:r>
          </w:p>
          <w:p w14:paraId="36E189B9" w14:textId="77777777" w:rsidR="00CA1920" w:rsidRPr="00BD16B4" w:rsidRDefault="00CA1920" w:rsidP="002D166E">
            <w:pPr>
              <w:pStyle w:val="Boxbullet"/>
              <w:rPr>
                <w:rFonts w:eastAsia="Calibri"/>
                <w:b/>
              </w:rPr>
            </w:pPr>
            <w:r w:rsidRPr="00BD16B4">
              <w:rPr>
                <w:rFonts w:eastAsia="Calibri"/>
              </w:rPr>
              <w:t>Action 3.4 Build the evidence base and monitor and assess impacts.</w:t>
            </w:r>
          </w:p>
          <w:p w14:paraId="056D513B" w14:textId="77777777" w:rsidR="00CA1920" w:rsidRPr="00BD16B4" w:rsidRDefault="00CA1920" w:rsidP="002D166E">
            <w:pPr>
              <w:pStyle w:val="Boxtext"/>
              <w:rPr>
                <w:rFonts w:eastAsia="Calibri"/>
                <w:i/>
                <w:iCs/>
              </w:rPr>
            </w:pPr>
            <w:r w:rsidRPr="00BD16B4">
              <w:rPr>
                <w:rFonts w:eastAsia="Calibri"/>
                <w:i/>
                <w:iCs/>
              </w:rPr>
              <w:t>Encourage informed public participation</w:t>
            </w:r>
          </w:p>
          <w:p w14:paraId="4DD201CD" w14:textId="77777777" w:rsidR="00CA1920" w:rsidRPr="00BD16B4" w:rsidRDefault="00CA1920" w:rsidP="002D166E">
            <w:pPr>
              <w:pStyle w:val="Boxbullet"/>
              <w:rPr>
                <w:rFonts w:eastAsia="Calibri"/>
                <w:b/>
              </w:rPr>
            </w:pPr>
            <w:r w:rsidRPr="00BD16B4">
              <w:rPr>
                <w:szCs w:val="22"/>
              </w:rPr>
              <w:tab/>
            </w:r>
            <w:r w:rsidRPr="00BD16B4">
              <w:rPr>
                <w:rFonts w:eastAsia="Calibri"/>
              </w:rPr>
              <w:t>Action 3.5.1 Inform low-emissions choices through a Climate Information Centre.</w:t>
            </w:r>
          </w:p>
          <w:p w14:paraId="0C9BE640" w14:textId="77777777" w:rsidR="00CA1920" w:rsidRPr="00BD16B4" w:rsidRDefault="00CA1920" w:rsidP="002D166E">
            <w:pPr>
              <w:pStyle w:val="Boxbullet"/>
              <w:rPr>
                <w:rFonts w:eastAsia="Calibri"/>
                <w:b/>
              </w:rPr>
            </w:pPr>
            <w:r w:rsidRPr="00BD16B4">
              <w:rPr>
                <w:szCs w:val="22"/>
              </w:rPr>
              <w:tab/>
            </w:r>
            <w:r w:rsidRPr="00BD16B4">
              <w:rPr>
                <w:rFonts w:eastAsia="Calibri"/>
              </w:rPr>
              <w:t>Action 3.5.2 Enable inclusive and participatory climate responses.</w:t>
            </w:r>
          </w:p>
          <w:p w14:paraId="53DCD162" w14:textId="77777777" w:rsidR="00CA1920" w:rsidRPr="00BD16B4" w:rsidRDefault="00CA1920" w:rsidP="002D166E">
            <w:pPr>
              <w:pStyle w:val="Boxbullet"/>
              <w:spacing w:after="180"/>
            </w:pPr>
            <w:r w:rsidRPr="00BD16B4">
              <w:rPr>
                <w:szCs w:val="22"/>
              </w:rPr>
              <w:tab/>
            </w:r>
            <w:r w:rsidRPr="00BD16B4">
              <w:rPr>
                <w:rFonts w:eastAsia="Calibri"/>
              </w:rPr>
              <w:t>Action 3.5.3 Support localised and community-based solutions.</w:t>
            </w:r>
          </w:p>
        </w:tc>
      </w:tr>
    </w:tbl>
    <w:p w14:paraId="580D7FA0" w14:textId="77777777" w:rsidR="00CA1920" w:rsidRPr="00BD16B4" w:rsidRDefault="00CA1920" w:rsidP="00CA1920">
      <w:pPr>
        <w:pStyle w:val="BodyText"/>
        <w:spacing w:before="240"/>
      </w:pPr>
      <w:r w:rsidRPr="00BD16B4">
        <w:t>Alongside these actions, the emissions reduction plan identifies a range of initiatives to support an affordable and inclusive transition for individuals, whānau (families) and households.</w:t>
      </w:r>
    </w:p>
    <w:p w14:paraId="18E6135D" w14:textId="77777777" w:rsidR="00CA1920" w:rsidRPr="00BD16B4" w:rsidRDefault="00CA1920" w:rsidP="00CA1920">
      <w:pPr>
        <w:pStyle w:val="BodyText"/>
        <w:spacing w:after="240"/>
      </w:pPr>
      <w:r w:rsidRPr="00BD16B4">
        <w:t>Transport, energy and waste are key areas where targeted policies will help mitigate the impacts of the transition. These policies include the following:</w:t>
      </w:r>
    </w:p>
    <w:tbl>
      <w:tblPr>
        <w:tblStyle w:val="GridTable4-Accent1"/>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408"/>
        <w:gridCol w:w="6097"/>
      </w:tblGrid>
      <w:tr w:rsidR="00CA1920" w:rsidRPr="00BD16B4" w14:paraId="7F2BC345" w14:textId="77777777" w:rsidTr="002D16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shd w:val="clear" w:color="auto" w:fill="1B556B" w:themeFill="text2"/>
          </w:tcPr>
          <w:p w14:paraId="4D81A263" w14:textId="77777777" w:rsidR="00CA1920" w:rsidRPr="00BD16B4" w:rsidRDefault="00CA1920" w:rsidP="002D166E">
            <w:pPr>
              <w:pStyle w:val="TableTextBold0"/>
              <w:rPr>
                <w:rFonts w:eastAsia="Calibri"/>
                <w:b/>
                <w:bCs w:val="0"/>
              </w:rPr>
            </w:pPr>
            <w:r w:rsidRPr="00BD16B4">
              <w:rPr>
                <w:rFonts w:eastAsia="Calibri"/>
                <w:b/>
                <w:bCs w:val="0"/>
              </w:rPr>
              <w:t xml:space="preserve">Sector </w:t>
            </w:r>
          </w:p>
        </w:tc>
        <w:tc>
          <w:tcPr>
            <w:tcW w:w="6089" w:type="dxa"/>
            <w:tcBorders>
              <w:top w:val="none" w:sz="0" w:space="0" w:color="auto"/>
              <w:left w:val="none" w:sz="0" w:space="0" w:color="auto"/>
              <w:bottom w:val="none" w:sz="0" w:space="0" w:color="auto"/>
              <w:right w:val="none" w:sz="0" w:space="0" w:color="auto"/>
            </w:tcBorders>
            <w:shd w:val="clear" w:color="auto" w:fill="1B556B" w:themeFill="text2"/>
          </w:tcPr>
          <w:p w14:paraId="013F945F" w14:textId="77777777" w:rsidR="00CA1920" w:rsidRPr="00BD16B4" w:rsidRDefault="00CA1920" w:rsidP="002D166E">
            <w:pPr>
              <w:pStyle w:val="TableTextBold0"/>
              <w:cnfStyle w:val="100000000000" w:firstRow="1" w:lastRow="0" w:firstColumn="0" w:lastColumn="0" w:oddVBand="0" w:evenVBand="0" w:oddHBand="0" w:evenHBand="0" w:firstRowFirstColumn="0" w:firstRowLastColumn="0" w:lastRowFirstColumn="0" w:lastRowLastColumn="0"/>
              <w:rPr>
                <w:rFonts w:eastAsia="Calibri"/>
                <w:b/>
                <w:bCs w:val="0"/>
              </w:rPr>
            </w:pPr>
            <w:r w:rsidRPr="00BD16B4">
              <w:rPr>
                <w:rFonts w:eastAsia="Calibri"/>
                <w:b/>
                <w:bCs w:val="0"/>
              </w:rPr>
              <w:t>Targeted policies</w:t>
            </w:r>
          </w:p>
        </w:tc>
      </w:tr>
      <w:tr w:rsidR="00CA1920" w:rsidRPr="00BD16B4" w14:paraId="715AF25D" w14:textId="77777777" w:rsidTr="002D1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D2DDE1" w:themeFill="background2"/>
          </w:tcPr>
          <w:p w14:paraId="4CEF2833" w14:textId="77777777" w:rsidR="00CA1920" w:rsidRPr="00BD16B4" w:rsidRDefault="00CA1920" w:rsidP="002D166E">
            <w:pPr>
              <w:pStyle w:val="TableText"/>
              <w:rPr>
                <w:rFonts w:eastAsia="Calibri"/>
                <w:b w:val="0"/>
                <w:bCs w:val="0"/>
              </w:rPr>
            </w:pPr>
            <w:r w:rsidRPr="00BD16B4">
              <w:rPr>
                <w:rFonts w:eastAsia="Calibri"/>
                <w:b w:val="0"/>
                <w:bCs w:val="0"/>
              </w:rPr>
              <w:t>Transport</w:t>
            </w:r>
          </w:p>
        </w:tc>
        <w:tc>
          <w:tcPr>
            <w:tcW w:w="6089" w:type="dxa"/>
            <w:shd w:val="clear" w:color="auto" w:fill="D2DDE1" w:themeFill="background2"/>
          </w:tcPr>
          <w:p w14:paraId="0DE614C2" w14:textId="77777777" w:rsidR="00CA1920" w:rsidRPr="00BD16B4" w:rsidRDefault="00CA1920" w:rsidP="002D166E">
            <w:pPr>
              <w:pStyle w:val="TableBullet"/>
              <w:spacing w:before="60"/>
              <w:cnfStyle w:val="000000100000" w:firstRow="0" w:lastRow="0" w:firstColumn="0" w:lastColumn="0" w:oddVBand="0" w:evenVBand="0" w:oddHBand="1" w:evenHBand="0" w:firstRowFirstColumn="0" w:firstRowLastColumn="0" w:lastRowFirstColumn="0" w:lastRowLastColumn="0"/>
            </w:pPr>
            <w:r w:rsidRPr="00BD16B4">
              <w:t>working with local government to make public transport more affordable, with a particular focus on low-income users</w:t>
            </w:r>
          </w:p>
          <w:p w14:paraId="4EB6FCFD" w14:textId="77777777" w:rsidR="00CA1920" w:rsidRPr="00BD16B4" w:rsidRDefault="00CA1920" w:rsidP="002D166E">
            <w:pPr>
              <w:pStyle w:val="TableBullet"/>
              <w:cnfStyle w:val="000000100000" w:firstRow="0" w:lastRow="0" w:firstColumn="0" w:lastColumn="0" w:oddVBand="0" w:evenVBand="0" w:oddHBand="1" w:evenHBand="0" w:firstRowFirstColumn="0" w:firstRowLastColumn="0" w:lastRowFirstColumn="0" w:lastRowLastColumn="0"/>
            </w:pPr>
            <w:r w:rsidRPr="00BD16B4">
              <w:t xml:space="preserve">working with local government to deliver public transport, walking and cycling improvements in low socio-economic areas and for transport-disadvantaged groups </w:t>
            </w:r>
          </w:p>
          <w:p w14:paraId="5D145DAF" w14:textId="77777777" w:rsidR="00CA1920" w:rsidRPr="00BD16B4" w:rsidRDefault="00CA1920" w:rsidP="002D166E">
            <w:pPr>
              <w:pStyle w:val="TableBullet"/>
              <w:cnfStyle w:val="000000100000" w:firstRow="0" w:lastRow="0" w:firstColumn="0" w:lastColumn="0" w:oddVBand="0" w:evenVBand="0" w:oddHBand="1" w:evenHBand="0" w:firstRowFirstColumn="0" w:firstRowLastColumn="0" w:lastRowFirstColumn="0" w:lastRowLastColumn="0"/>
            </w:pPr>
            <w:r w:rsidRPr="00BD16B4">
              <w:t xml:space="preserve">increasing access to low- and zero-emissions vehicles for low-income households by supporting social leasing schemes and trialling an equity-oriented vehicle scrap and replace scheme </w:t>
            </w:r>
          </w:p>
        </w:tc>
      </w:tr>
      <w:tr w:rsidR="00CA1920" w:rsidRPr="00BD16B4" w14:paraId="713E532A" w14:textId="77777777" w:rsidTr="002D166E">
        <w:tc>
          <w:tcPr>
            <w:cnfStyle w:val="001000000000" w:firstRow="0" w:lastRow="0" w:firstColumn="1" w:lastColumn="0" w:oddVBand="0" w:evenVBand="0" w:oddHBand="0" w:evenHBand="0" w:firstRowFirstColumn="0" w:firstRowLastColumn="0" w:lastRowFirstColumn="0" w:lastRowLastColumn="0"/>
            <w:tcW w:w="2405" w:type="dxa"/>
          </w:tcPr>
          <w:p w14:paraId="4910DA49" w14:textId="77777777" w:rsidR="00CA1920" w:rsidRPr="00BD16B4" w:rsidRDefault="00CA1920" w:rsidP="002D166E">
            <w:pPr>
              <w:pStyle w:val="TableText"/>
              <w:rPr>
                <w:rFonts w:eastAsia="Calibri"/>
              </w:rPr>
            </w:pPr>
            <w:r w:rsidRPr="00BD16B4">
              <w:rPr>
                <w:rFonts w:eastAsia="Calibri"/>
              </w:rPr>
              <w:t>Energy</w:t>
            </w:r>
          </w:p>
        </w:tc>
        <w:tc>
          <w:tcPr>
            <w:tcW w:w="6089" w:type="dxa"/>
          </w:tcPr>
          <w:p w14:paraId="26931024" w14:textId="77777777" w:rsidR="00CA1920" w:rsidRPr="00BD16B4" w:rsidRDefault="00CA1920" w:rsidP="002D166E">
            <w:pPr>
              <w:pStyle w:val="TableBullet"/>
              <w:spacing w:before="60"/>
              <w:cnfStyle w:val="000000000000" w:firstRow="0" w:lastRow="0" w:firstColumn="0" w:lastColumn="0" w:oddVBand="0" w:evenVBand="0" w:oddHBand="0" w:evenHBand="0" w:firstRowFirstColumn="0" w:firstRowLastColumn="0" w:lastRowFirstColumn="0" w:lastRowLastColumn="0"/>
            </w:pPr>
            <w:r w:rsidRPr="00BD16B4">
              <w:t xml:space="preserve">helping households reduce their energy bills and keep their homes healthy, warm and dry, with funding for heating and insulation upgrades through Warmer Kiwi Homes </w:t>
            </w:r>
          </w:p>
          <w:p w14:paraId="72DF04F3" w14:textId="77777777" w:rsidR="00CA1920" w:rsidRPr="00BD16B4" w:rsidRDefault="00CA1920" w:rsidP="002D166E">
            <w:pPr>
              <w:pStyle w:val="TableBullet"/>
              <w:cnfStyle w:val="000000000000" w:firstRow="0" w:lastRow="0" w:firstColumn="0" w:lastColumn="0" w:oddVBand="0" w:evenVBand="0" w:oddHBand="0" w:evenHBand="0" w:firstRowFirstColumn="0" w:firstRowLastColumn="0" w:lastRowFirstColumn="0" w:lastRowLastColumn="0"/>
            </w:pPr>
            <w:r w:rsidRPr="00BD16B4" w:rsidDel="0081089B">
              <w:t>i</w:t>
            </w:r>
            <w:r w:rsidRPr="00BD16B4">
              <w:t>ntroducing Healthy Homes Standards to raise the quality of rental homes</w:t>
            </w:r>
            <w:r w:rsidRPr="00BD16B4">
              <w:rPr>
                <w:rStyle w:val="FootnoteReference"/>
              </w:rPr>
              <w:footnoteReference w:id="216"/>
            </w:r>
          </w:p>
          <w:p w14:paraId="70CDD03E" w14:textId="77777777" w:rsidR="00CA1920" w:rsidRPr="00BD16B4" w:rsidRDefault="00CA1920" w:rsidP="002D166E">
            <w:pPr>
              <w:pStyle w:val="TableBullet"/>
              <w:cnfStyle w:val="000000000000" w:firstRow="0" w:lastRow="0" w:firstColumn="0" w:lastColumn="0" w:oddVBand="0" w:evenVBand="0" w:oddHBand="0" w:evenHBand="0" w:firstRowFirstColumn="0" w:firstRowLastColumn="0" w:lastRowFirstColumn="0" w:lastRowLastColumn="0"/>
            </w:pPr>
            <w:r w:rsidRPr="00BD16B4">
              <w:t xml:space="preserve">supporting community renewable energy projects for Māori and public housing, such as solar panels and batteries </w:t>
            </w:r>
          </w:p>
          <w:p w14:paraId="22BABF01" w14:textId="77777777" w:rsidR="00CA1920" w:rsidRPr="00BD16B4" w:rsidRDefault="00CA1920" w:rsidP="002D166E">
            <w:pPr>
              <w:pStyle w:val="TableBullet"/>
              <w:cnfStyle w:val="000000000000" w:firstRow="0" w:lastRow="0" w:firstColumn="0" w:lastColumn="0" w:oddVBand="0" w:evenVBand="0" w:oddHBand="0" w:evenHBand="0" w:firstRowFirstColumn="0" w:firstRowLastColumn="0" w:lastRowFirstColumn="0" w:lastRowLastColumn="0"/>
            </w:pPr>
            <w:r w:rsidRPr="00BD16B4">
              <w:t xml:space="preserve">delivering the Support for Energy Education in Communities Programme to provide community-level education to assist people to achieve warmer homes and lower energy bills </w:t>
            </w:r>
          </w:p>
        </w:tc>
      </w:tr>
      <w:tr w:rsidR="00CA1920" w:rsidRPr="00BD16B4" w14:paraId="043C0F0F" w14:textId="77777777" w:rsidTr="002D1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D2DDE1" w:themeFill="background2"/>
          </w:tcPr>
          <w:p w14:paraId="7F096F3C" w14:textId="77777777" w:rsidR="00CA1920" w:rsidRPr="00BD16B4" w:rsidRDefault="00CA1920" w:rsidP="00ED40BD">
            <w:pPr>
              <w:pStyle w:val="TableText"/>
              <w:keepNext/>
              <w:rPr>
                <w:rFonts w:eastAsia="Calibri"/>
                <w:b w:val="0"/>
                <w:bCs w:val="0"/>
              </w:rPr>
            </w:pPr>
            <w:r w:rsidRPr="00BD16B4">
              <w:rPr>
                <w:rFonts w:eastAsia="Calibri"/>
                <w:b w:val="0"/>
                <w:bCs w:val="0"/>
              </w:rPr>
              <w:lastRenderedPageBreak/>
              <w:t>Waste</w:t>
            </w:r>
          </w:p>
        </w:tc>
        <w:tc>
          <w:tcPr>
            <w:tcW w:w="6089" w:type="dxa"/>
            <w:shd w:val="clear" w:color="auto" w:fill="D2DDE1" w:themeFill="background2"/>
          </w:tcPr>
          <w:p w14:paraId="27FD501A" w14:textId="77777777" w:rsidR="00CA1920" w:rsidRPr="00BD16B4" w:rsidRDefault="00CA1920" w:rsidP="002D166E">
            <w:pPr>
              <w:pStyle w:val="TableBullet"/>
              <w:spacing w:before="60"/>
              <w:cnfStyle w:val="000000100000" w:firstRow="0" w:lastRow="0" w:firstColumn="0" w:lastColumn="0" w:oddVBand="0" w:evenVBand="0" w:oddHBand="1" w:evenHBand="0" w:firstRowFirstColumn="0" w:firstRowLastColumn="0" w:lastRowFirstColumn="0" w:lastRowLastColumn="0"/>
            </w:pPr>
            <w:r w:rsidRPr="00BD16B4">
              <w:t xml:space="preserve">supporting waste minimisation initiatives, including waste avoidance programmes for urban and rural households, funded by revenue raised through the waste disposal levy </w:t>
            </w:r>
          </w:p>
          <w:p w14:paraId="3BF6C04D" w14:textId="77777777" w:rsidR="00CA1920" w:rsidRPr="00BD16B4" w:rsidRDefault="00CA1920" w:rsidP="002D166E">
            <w:pPr>
              <w:pStyle w:val="TableBullet"/>
              <w:cnfStyle w:val="000000100000" w:firstRow="0" w:lastRow="0" w:firstColumn="0" w:lastColumn="0" w:oddVBand="0" w:evenVBand="0" w:oddHBand="1" w:evenHBand="0" w:firstRowFirstColumn="0" w:firstRowLastColumn="0" w:lastRowFirstColumn="0" w:lastRowLastColumn="0"/>
            </w:pPr>
            <w:r w:rsidRPr="00BD16B4">
              <w:t>supporting Māori communities to manage waste, such as the Para Kore programme, which operates in marae, kōhanga reo, kura and other Māori community organisations to provide education and training in waste management.</w:t>
            </w:r>
          </w:p>
        </w:tc>
      </w:tr>
    </w:tbl>
    <w:p w14:paraId="0F1A7810" w14:textId="77777777" w:rsidR="00CA1920" w:rsidRPr="00BD16B4" w:rsidRDefault="00CA1920" w:rsidP="009B5BB9">
      <w:pPr>
        <w:pStyle w:val="Heading4"/>
        <w:spacing w:before="360"/>
      </w:pPr>
      <w:r w:rsidRPr="00BD16B4">
        <w:t>Impacts on workers</w:t>
      </w:r>
    </w:p>
    <w:p w14:paraId="057CA77A" w14:textId="77777777" w:rsidR="00CA1920" w:rsidRPr="00BD16B4" w:rsidRDefault="00CA1920" w:rsidP="00CA1920">
      <w:pPr>
        <w:pStyle w:val="BodyText"/>
      </w:pPr>
      <w:r w:rsidRPr="00BD16B4">
        <w:t xml:space="preserve">The Government has released an Employment Strategy and seven supporting Action Plans, which recognise that climate change – among other trends – could drive significant changes in the nature of work, and set out actions to help workers through the transition equitably. These actions include a focus on access to lifelong learning to support career transitions, for example through reforming vocational education. </w:t>
      </w:r>
    </w:p>
    <w:p w14:paraId="1A31A680" w14:textId="77777777" w:rsidR="00CA1920" w:rsidRPr="00BD16B4" w:rsidRDefault="00CA1920" w:rsidP="00CA1920">
      <w:pPr>
        <w:pStyle w:val="BodyText"/>
      </w:pPr>
      <w:r w:rsidRPr="00BD16B4">
        <w:t>The Government is also bringing together key stakeholders to prepare for the future. Regional Skills Leadership Groups were formed in June 2020 to achieve a more coordinated labour market view and plan for current and future workforce needs in their regions. Some of these have a focus on climate, according to the characteristics of their regions. The Government has also established the Tripartite Future of Work forum, bringing together business and union stakeholders to identify opportunities to support businesses and workers to meet the challenges and take the opportunities that change represents.</w:t>
      </w:r>
    </w:p>
    <w:p w14:paraId="7DCD324C" w14:textId="77777777" w:rsidR="00CA1920" w:rsidRPr="00BD16B4" w:rsidRDefault="00CA1920" w:rsidP="004E1B8C">
      <w:pPr>
        <w:pStyle w:val="Heading4"/>
      </w:pPr>
      <w:r w:rsidRPr="00BD16B4">
        <w:t>Risk of emissions leakage</w:t>
      </w:r>
    </w:p>
    <w:p w14:paraId="440F777C" w14:textId="0F87D8F7" w:rsidR="00CA1920" w:rsidRPr="00BD16B4" w:rsidRDefault="00CA1920" w:rsidP="00CA1920">
      <w:pPr>
        <w:pStyle w:val="BodyText"/>
        <w:spacing w:before="100" w:after="100"/>
      </w:pPr>
      <w:r w:rsidRPr="00BD16B4">
        <w:t>A number of firms carrying out eligible emitting activities that are emissions intensive and involve international trade are allocated free emissions units (known as industrial allocation) to</w:t>
      </w:r>
      <w:r w:rsidR="00CC3CE4" w:rsidRPr="00BD16B4">
        <w:t> </w:t>
      </w:r>
      <w:r w:rsidRPr="00BD16B4">
        <w:t>reduce the risk of emissions leakage. This is where climate policy such as emissions pricing results in production, firms or investment moving offshore to jurisdictions with weaker climate policy to reduce compliance costs. This has the potential to increase global emissions</w:t>
      </w:r>
      <w:r w:rsidRPr="00BD16B4">
        <w:rPr>
          <w:rStyle w:val="FootnoteReference"/>
        </w:rPr>
        <w:footnoteReference w:id="217"/>
      </w:r>
      <w:r w:rsidRPr="00BD16B4" w:rsidDel="00EA7BCA">
        <w:t xml:space="preserve"> </w:t>
      </w:r>
      <w:r w:rsidRPr="00BD16B4">
        <w:t xml:space="preserve">and result in economic regrets for no climate benefit. A phase-out of industrial allocation began in 2021, reducing allocations by 1 percentage point per annum, with the rate increasing in later decades. The Government is also working on reforming industrial allocation policy to correct the amount of free allocation that industries receive due to the evidence that some are receiving more than their emissions costs. </w:t>
      </w:r>
    </w:p>
    <w:p w14:paraId="20679CDA" w14:textId="77777777" w:rsidR="00CA1920" w:rsidRPr="00BD16B4" w:rsidRDefault="00CA1920" w:rsidP="004E1B8C">
      <w:pPr>
        <w:pStyle w:val="Heading4"/>
      </w:pPr>
      <w:r w:rsidRPr="00BD16B4">
        <w:t>Impact analysis requirement for regulatory proposals</w:t>
      </w:r>
    </w:p>
    <w:p w14:paraId="41F911A4" w14:textId="77777777" w:rsidR="00CA1920" w:rsidRPr="00BD16B4" w:rsidRDefault="00CA1920" w:rsidP="00CA1920">
      <w:pPr>
        <w:pStyle w:val="BodyText"/>
        <w:spacing w:after="100"/>
      </w:pPr>
      <w:r w:rsidRPr="00BD16B4">
        <w:t xml:space="preserve">Government agencies are required to provide a Regulatory Impact Statement (RIS) on the impact analysis relating to a regulatory proposal, which includes consideration of the economic and social impacts of the proposal. The RIS provides a high-level summary of the problem being addressed, the options and their associated costs and benefits, the consultation undertaken, and the proposed arrangements for implementation and review. </w:t>
      </w:r>
    </w:p>
    <w:p w14:paraId="0B268E22" w14:textId="77777777" w:rsidR="00CA1920" w:rsidRPr="00BD16B4" w:rsidRDefault="00CA1920" w:rsidP="00CA1920">
      <w:pPr>
        <w:pStyle w:val="BodyText"/>
        <w:spacing w:after="100"/>
      </w:pPr>
      <w:r w:rsidRPr="00BD16B4">
        <w:lastRenderedPageBreak/>
        <w:t>To help ensure that the regulatory process is open and transparent, RISs prepared to support the consideration of regulatory proposals are published at the time the relevant Bill is introduced to Parliament or the regulation is gazetted, or at the time of ministerial release.</w:t>
      </w:r>
      <w:r w:rsidRPr="00BD16B4">
        <w:rPr>
          <w:rStyle w:val="FootnoteReference"/>
        </w:rPr>
        <w:footnoteReference w:id="218"/>
      </w:r>
    </w:p>
    <w:p w14:paraId="612761C0" w14:textId="77777777" w:rsidR="00CA1920" w:rsidRPr="00BD16B4" w:rsidRDefault="00CA1920" w:rsidP="00CA1920">
      <w:pPr>
        <w:pStyle w:val="Heading2"/>
        <w:rPr>
          <w:rFonts w:eastAsia="Calibri"/>
        </w:rPr>
      </w:pPr>
      <w:bookmarkStart w:id="254" w:name="_Toc121774638"/>
      <w:bookmarkStart w:id="255" w:name="_Toc246918252"/>
      <w:bookmarkStart w:id="256" w:name="_Toc248736178"/>
      <w:r w:rsidRPr="00BD16B4">
        <w:rPr>
          <w:rFonts w:eastAsia="Calibri"/>
        </w:rPr>
        <w:t>4.5</w:t>
      </w:r>
      <w:r w:rsidRPr="00BD16B4">
        <w:rPr>
          <w:rFonts w:eastAsia="Calibri"/>
        </w:rPr>
        <w:tab/>
        <w:t>Monitoring, evaluation and review</w:t>
      </w:r>
      <w:bookmarkEnd w:id="254"/>
    </w:p>
    <w:p w14:paraId="3EDDF3D1" w14:textId="77777777" w:rsidR="00CA1920" w:rsidRPr="00BD16B4" w:rsidRDefault="00CA1920" w:rsidP="00CA1920">
      <w:r w:rsidRPr="00BD16B4">
        <w:t xml:space="preserve">This section sets out the frameworks in place for how the Government will monitor, evaluate and report on the implementation and success of the climate change policies and measures. </w:t>
      </w:r>
    </w:p>
    <w:p w14:paraId="63DF766F" w14:textId="77777777" w:rsidR="00CA1920" w:rsidRPr="00BD16B4" w:rsidRDefault="00CA1920" w:rsidP="00CA1920">
      <w:pPr>
        <w:pStyle w:val="Heading3"/>
      </w:pPr>
      <w:r w:rsidRPr="00BD16B4">
        <w:t>4.5.1</w:t>
      </w:r>
      <w:r w:rsidRPr="00BD16B4">
        <w:tab/>
        <w:t>Monitoring and reporting will allow Aotearoa New Zealand to stay on track and manage unexpected impacts</w:t>
      </w:r>
    </w:p>
    <w:p w14:paraId="0ECF748B" w14:textId="32FEA3F2" w:rsidR="00CA1920" w:rsidRPr="00BD16B4" w:rsidRDefault="00CA1920" w:rsidP="00CA1920">
      <w:pPr>
        <w:pStyle w:val="BodyText"/>
      </w:pPr>
      <w:r w:rsidRPr="00BD16B4">
        <w:t>The Climate Change Commission and government agencies are responsible for monitoring and regularly reporting on progress towards the sector sub-targets</w:t>
      </w:r>
      <w:r w:rsidRPr="00BD16B4">
        <w:rPr>
          <w:rStyle w:val="FootnoteReference"/>
        </w:rPr>
        <w:footnoteReference w:id="219"/>
      </w:r>
      <w:r w:rsidRPr="00BD16B4">
        <w:t xml:space="preserve"> and emissions budgets, as well as the implementation of emissions reduction plan</w:t>
      </w:r>
      <w:r w:rsidR="00DD1F33" w:rsidRPr="00BD16B4">
        <w:t>s</w:t>
      </w:r>
      <w:r w:rsidRPr="00BD16B4">
        <w:t>. Regular reporting will allow risks and uncertainties to be proactively managed.</w:t>
      </w:r>
    </w:p>
    <w:p w14:paraId="47B6A168" w14:textId="77777777" w:rsidR="00CA1920" w:rsidRPr="00BD16B4" w:rsidRDefault="00CA1920" w:rsidP="004E1B8C">
      <w:pPr>
        <w:pStyle w:val="Heading4"/>
        <w:rPr>
          <w:rFonts w:eastAsia="Calibri"/>
        </w:rPr>
      </w:pPr>
      <w:r w:rsidRPr="00BD16B4">
        <w:rPr>
          <w:rFonts w:eastAsia="Calibri"/>
        </w:rPr>
        <w:t>Climate Change Commission</w:t>
      </w:r>
    </w:p>
    <w:p w14:paraId="445AF35D" w14:textId="3F8BD213" w:rsidR="00CA1920" w:rsidRPr="00BD16B4" w:rsidRDefault="00CA1920" w:rsidP="00CA1920">
      <w:pPr>
        <w:pStyle w:val="BodyText"/>
      </w:pPr>
      <w:r w:rsidRPr="00BD16B4">
        <w:t>The Commission provides an external monitoring role that will supplement the work carried out by government agencies. The Commission and government agencies will be responsible for monitoring and regularly reporting on progress towards the sector sub-targets and emissions budgets, as well as the implementation of emissions reduction plan</w:t>
      </w:r>
      <w:r w:rsidR="00607133" w:rsidRPr="00BD16B4">
        <w:t>s</w:t>
      </w:r>
      <w:r w:rsidRPr="00BD16B4">
        <w:t xml:space="preserve">. </w:t>
      </w:r>
    </w:p>
    <w:p w14:paraId="703715CB" w14:textId="77777777" w:rsidR="00CA1920" w:rsidRPr="00BD16B4" w:rsidRDefault="00CA1920" w:rsidP="00CA1920">
      <w:pPr>
        <w:pStyle w:val="BodyText"/>
      </w:pPr>
      <w:r w:rsidRPr="00BD16B4">
        <w:t>The CCRA requires the Commission to monitor and review the Government’s progress towards its emissions reduction and adaptation goals. Under sections 5ZK and 5ZL of the CCRA, the Commission must report annually on the Government’s progress in implementing the plan and again at the end of each emissions budget period on how emissions budgets were or were not met. The Government is required to publicly respond to these reports</w:t>
      </w:r>
      <w:r w:rsidRPr="00BD16B4">
        <w:rPr>
          <w:rFonts w:ascii="Arial" w:hAnsi="Arial" w:cs="Arial"/>
          <w:color w:val="000000"/>
          <w:bdr w:val="none" w:sz="0" w:space="0" w:color="auto" w:frame="1"/>
        </w:rPr>
        <w:t>.</w:t>
      </w:r>
    </w:p>
    <w:p w14:paraId="0C4BF2E0" w14:textId="77777777" w:rsidR="00CA1920" w:rsidRPr="00BD16B4" w:rsidRDefault="00CA1920" w:rsidP="004E1B8C">
      <w:pPr>
        <w:pStyle w:val="Heading4"/>
        <w:rPr>
          <w:rFonts w:eastAsia="Calibri"/>
        </w:rPr>
      </w:pPr>
      <w:r w:rsidRPr="00BD16B4">
        <w:rPr>
          <w:rFonts w:eastAsia="Calibri"/>
        </w:rPr>
        <w:t>Climate Change Chief Executives Board</w:t>
      </w:r>
    </w:p>
    <w:p w14:paraId="58B14507" w14:textId="77777777" w:rsidR="00CA1920" w:rsidRPr="00BD16B4" w:rsidRDefault="00CA1920" w:rsidP="00CA1920">
      <w:pPr>
        <w:pStyle w:val="BodyText"/>
        <w:rPr>
          <w:rFonts w:eastAsia="Calibri"/>
        </w:rPr>
      </w:pPr>
      <w:r w:rsidRPr="00BD16B4">
        <w:rPr>
          <w:rFonts w:eastAsia="Calibri"/>
        </w:rPr>
        <w:t>A new public sector Climate Change Chief Executives Board (the Board) has been established as an interdepartmental executive board under the Public Service Act 2020. The Board is chaired by the Secretary for the Environment and reports directly to the Prime Minister. By bringing together the chief executives of key government agencies, the Board provides cross-government oversight of the emissions reduction plan. The Board will also oversee the national adaptation plan, with a focus on adaptation set to increase over time.</w:t>
      </w:r>
    </w:p>
    <w:p w14:paraId="23B20C97" w14:textId="77777777" w:rsidR="00CA1920" w:rsidRPr="00BD16B4" w:rsidRDefault="00CA1920" w:rsidP="00CA1920">
      <w:pPr>
        <w:pStyle w:val="BodyText"/>
        <w:rPr>
          <w:rFonts w:eastAsia="Calibri"/>
        </w:rPr>
      </w:pPr>
      <w:r w:rsidRPr="00BD16B4">
        <w:rPr>
          <w:rFonts w:eastAsia="Calibri"/>
        </w:rPr>
        <w:t xml:space="preserve">The Board currently focuses on helping agencies coordinate implementation of the emissions reduction plan, as well as monitoring and reporting on progress against emissions budgets and sector sub-targets. It also functions to identify barriers and opportunities for emissions reduction, and to advise on managing any unexpected impacts, overshoots and under-performance against sub-targets. </w:t>
      </w:r>
    </w:p>
    <w:p w14:paraId="0099B7AE" w14:textId="77777777" w:rsidR="00CA1920" w:rsidRPr="00BD16B4" w:rsidRDefault="00CA1920" w:rsidP="00CA1920">
      <w:pPr>
        <w:pStyle w:val="BodyText"/>
        <w:spacing w:after="100"/>
        <w:rPr>
          <w:rFonts w:eastAsia="Calibri"/>
        </w:rPr>
      </w:pPr>
      <w:r w:rsidRPr="00BD16B4">
        <w:rPr>
          <w:rFonts w:eastAsia="Calibri"/>
        </w:rPr>
        <w:lastRenderedPageBreak/>
        <w:t>With regards to adaptation, the Board will report to the Prime Minister annually on the overall implementation of the national adaptation plan, and every two years on the sufficiency of actions in addressing the risks within the scope of the national adaptation plan. The Board will also maintain key stakeholder relationships as needed to drive forward New Zealand’s climate change work programme.</w:t>
      </w:r>
    </w:p>
    <w:p w14:paraId="242831E1" w14:textId="77777777" w:rsidR="00CA1920" w:rsidRPr="00BD16B4" w:rsidRDefault="00CA1920" w:rsidP="004E1B8C">
      <w:pPr>
        <w:pStyle w:val="Heading4"/>
      </w:pPr>
      <w:r w:rsidRPr="00BD16B4">
        <w:rPr>
          <w:rFonts w:eastAsia="Calibri"/>
        </w:rPr>
        <w:t>The New Zealand Emissions Trading Scheme</w:t>
      </w:r>
    </w:p>
    <w:p w14:paraId="350E49E6" w14:textId="77777777" w:rsidR="00CA1920" w:rsidRPr="00BD16B4" w:rsidRDefault="00CA1920" w:rsidP="00CA1920">
      <w:pPr>
        <w:pStyle w:val="BodyText"/>
        <w:spacing w:before="100" w:after="100"/>
        <w:rPr>
          <w:rFonts w:eastAsia="Calibri"/>
        </w:rPr>
      </w:pPr>
      <w:bookmarkStart w:id="257" w:name="_Toc363540341"/>
      <w:r w:rsidRPr="00BD16B4">
        <w:rPr>
          <w:rFonts w:eastAsia="Calibri"/>
        </w:rPr>
        <w:t>The NZ ETS is New Zealand’s principal policy response to climate change.</w:t>
      </w:r>
      <w:bookmarkEnd w:id="257"/>
      <w:r w:rsidRPr="00BD16B4">
        <w:rPr>
          <w:rFonts w:eastAsia="Calibri"/>
        </w:rPr>
        <w:t xml:space="preserve"> </w:t>
      </w:r>
    </w:p>
    <w:p w14:paraId="0035D4A3" w14:textId="77777777" w:rsidR="00CA1920" w:rsidRPr="00BD16B4" w:rsidRDefault="00CA1920" w:rsidP="00CA1920">
      <w:pPr>
        <w:pStyle w:val="BodyText"/>
        <w:spacing w:before="100" w:after="100"/>
        <w:rPr>
          <w:rFonts w:eastAsia="Calibri"/>
        </w:rPr>
      </w:pPr>
      <w:r w:rsidRPr="00BD16B4">
        <w:rPr>
          <w:rFonts w:eastAsia="Calibri"/>
        </w:rPr>
        <w:t>The CCRA includes a clause enabling the Minister for Climate Change to initiate a review of the operation and effectiveness of the NZ ETS at any time.</w:t>
      </w:r>
    </w:p>
    <w:p w14:paraId="2C2B2567" w14:textId="77777777" w:rsidR="00CA1920" w:rsidRPr="00BD16B4" w:rsidRDefault="00CA1920" w:rsidP="004E1B8C">
      <w:pPr>
        <w:pStyle w:val="Heading4"/>
        <w:rPr>
          <w:rFonts w:eastAsia="Calibri"/>
        </w:rPr>
      </w:pPr>
      <w:r w:rsidRPr="00BD16B4">
        <w:rPr>
          <w:rFonts w:eastAsia="Calibri"/>
        </w:rPr>
        <w:t>Resource management system review</w:t>
      </w:r>
    </w:p>
    <w:p w14:paraId="0E46BAC0" w14:textId="77777777" w:rsidR="00CA1920" w:rsidRPr="00BD16B4" w:rsidRDefault="00CA1920" w:rsidP="00CA1920">
      <w:pPr>
        <w:pStyle w:val="BodyText"/>
        <w:spacing w:after="100"/>
        <w:rPr>
          <w:rFonts w:asciiTheme="minorHAnsi" w:eastAsia="Calibri" w:hAnsiTheme="minorHAnsi"/>
        </w:rPr>
      </w:pPr>
      <w:r w:rsidRPr="00BD16B4">
        <w:rPr>
          <w:rFonts w:eastAsia="Calibri"/>
        </w:rPr>
        <w:t xml:space="preserve">The Resource Management Act 1991, New Zealand’s key piece of legislation for managing natural and physical resources, has undergone an extensive review. The scope of the review was to look at how the RMA interfaces with the Local Government Act 2002, the Land Transport </w:t>
      </w:r>
      <w:r w:rsidRPr="00BD16B4">
        <w:rPr>
          <w:rFonts w:asciiTheme="minorHAnsi" w:eastAsia="Calibri" w:hAnsiTheme="minorHAnsi"/>
        </w:rPr>
        <w:t>Management Act 2003 and the Climate Change Response (Zero Carbon) Amendment Act 2019, to achieve improved integrated management. The review considered how to integrate plans and process across this legislation to address the following environmental problems:</w:t>
      </w:r>
    </w:p>
    <w:p w14:paraId="4A770532" w14:textId="77777777" w:rsidR="00CA1920" w:rsidRPr="00BD16B4" w:rsidRDefault="00CA1920" w:rsidP="00CA1920">
      <w:pPr>
        <w:pStyle w:val="Bullet"/>
        <w:spacing w:after="100"/>
      </w:pPr>
      <w:r w:rsidRPr="00BD16B4">
        <w:t>increasing pressure on New Zealand’s natural environment</w:t>
      </w:r>
    </w:p>
    <w:p w14:paraId="530F1C27" w14:textId="77777777" w:rsidR="00CA1920" w:rsidRPr="00BD16B4" w:rsidRDefault="00CA1920" w:rsidP="00CA1920">
      <w:pPr>
        <w:pStyle w:val="Bullet"/>
        <w:spacing w:after="100"/>
      </w:pPr>
      <w:r w:rsidRPr="00BD16B4">
        <w:t>urban areas struggling to keep pace with population growth</w:t>
      </w:r>
    </w:p>
    <w:p w14:paraId="05B7E32E" w14:textId="77777777" w:rsidR="00CA1920" w:rsidRPr="00BD16B4" w:rsidRDefault="00CA1920" w:rsidP="00CA1920">
      <w:pPr>
        <w:pStyle w:val="Bullet"/>
        <w:spacing w:after="100"/>
      </w:pPr>
      <w:r w:rsidRPr="00BD16B4">
        <w:t>the urgent need to reduce carbon emissions and adapt to climate change</w:t>
      </w:r>
    </w:p>
    <w:p w14:paraId="7A931B79" w14:textId="77777777" w:rsidR="00CA1920" w:rsidRPr="00BD16B4" w:rsidRDefault="00CA1920" w:rsidP="00CA1920">
      <w:pPr>
        <w:pStyle w:val="Bullet"/>
        <w:spacing w:after="100"/>
      </w:pPr>
      <w:r w:rsidRPr="00BD16B4">
        <w:t>the need to ensure that Māori have an effective role in the system, consistent with the principles of Te Tiriti o Waitangi</w:t>
      </w:r>
    </w:p>
    <w:p w14:paraId="7891E0E6" w14:textId="77777777" w:rsidR="00CA1920" w:rsidRPr="00BD16B4" w:rsidRDefault="00CA1920" w:rsidP="00CA1920">
      <w:pPr>
        <w:pStyle w:val="Bullet"/>
        <w:spacing w:after="100"/>
      </w:pPr>
      <w:r w:rsidRPr="00BD16B4">
        <w:t>the need to improve system efficiency and effectiveness.</w:t>
      </w:r>
    </w:p>
    <w:p w14:paraId="0F6DBFC9" w14:textId="77777777" w:rsidR="00CA1920" w:rsidRPr="00BD16B4" w:rsidRDefault="00CA1920" w:rsidP="00CA1920">
      <w:pPr>
        <w:pStyle w:val="BodyText"/>
        <w:spacing w:after="100"/>
        <w:rPr>
          <w:rFonts w:eastAsia="Calibri"/>
        </w:rPr>
      </w:pPr>
      <w:r w:rsidRPr="00BD16B4">
        <w:rPr>
          <w:rFonts w:eastAsia="Calibri"/>
        </w:rPr>
        <w:t>New resource management legislation is due to be introduced to the House in late 2022. This legislation will provide for climate change mitigation as an outcome to be achieved under the Natural and Built Environments Act, for national direction to be developed under the National Planning Framework to direct climate mitigation outlines through the planning system, and for the emissions reduction plan to have legal weight in planning decision-making.</w:t>
      </w:r>
    </w:p>
    <w:p w14:paraId="0063289D" w14:textId="77777777" w:rsidR="00CA1920" w:rsidRPr="00BD16B4" w:rsidRDefault="00CA1920" w:rsidP="004E1B8C">
      <w:pPr>
        <w:pStyle w:val="Heading4"/>
      </w:pPr>
      <w:r w:rsidRPr="00BD16B4">
        <w:rPr>
          <w:rFonts w:eastAsia="Calibri"/>
        </w:rPr>
        <w:t>Review of the effectiveness of the Waste Disposal Levy</w:t>
      </w:r>
    </w:p>
    <w:p w14:paraId="7719B10D" w14:textId="77777777" w:rsidR="00CA1920" w:rsidRPr="00BD16B4" w:rsidRDefault="00CA1920" w:rsidP="00CA1920">
      <w:pPr>
        <w:pStyle w:val="BodyText"/>
        <w:rPr>
          <w:rFonts w:eastAsia="Calibri"/>
        </w:rPr>
      </w:pPr>
      <w:r w:rsidRPr="00BD16B4">
        <w:rPr>
          <w:rFonts w:eastAsia="Calibri"/>
        </w:rPr>
        <w:t xml:space="preserve">The Minister for the Environment must undertake a statutory review of the effectiveness of the waste disposal levy to monitor progress and to ensure the policy tool remains appropriate. The review must be undertaken at intervals of no more than three years after the last review. The next review is due in 2023. When reviewing the levy, the Minister: </w:t>
      </w:r>
    </w:p>
    <w:p w14:paraId="2FAA2B66" w14:textId="77777777" w:rsidR="00CA1920" w:rsidRPr="00BD16B4" w:rsidRDefault="00CA1920" w:rsidP="00CA1920">
      <w:pPr>
        <w:pStyle w:val="Bullet"/>
      </w:pPr>
      <w:r w:rsidRPr="00BD16B4">
        <w:t xml:space="preserve">must consider whether the amount of waste disposed of in New Zealand has decreased </w:t>
      </w:r>
    </w:p>
    <w:p w14:paraId="2E4FAAAB" w14:textId="77777777" w:rsidR="00CA1920" w:rsidRPr="00BD16B4" w:rsidRDefault="00CA1920" w:rsidP="00CA1920">
      <w:pPr>
        <w:pStyle w:val="Bullet"/>
      </w:pPr>
      <w:r w:rsidRPr="00BD16B4">
        <w:t xml:space="preserve">must consider whether the amount of waste reused, recycled or recovered in New Zealand has increased </w:t>
      </w:r>
    </w:p>
    <w:p w14:paraId="415327F4" w14:textId="77777777" w:rsidR="00CA1920" w:rsidRPr="00BD16B4" w:rsidRDefault="00CA1920" w:rsidP="00CA1920">
      <w:pPr>
        <w:pStyle w:val="Bullet"/>
      </w:pPr>
      <w:r w:rsidRPr="00BD16B4">
        <w:t xml:space="preserve">must consider the advice of the Waste Advisory Board </w:t>
      </w:r>
    </w:p>
    <w:p w14:paraId="2E30A092" w14:textId="77777777" w:rsidR="00CA1920" w:rsidRPr="00BD16B4" w:rsidRDefault="00CA1920" w:rsidP="00CA1920">
      <w:pPr>
        <w:pStyle w:val="Bullet"/>
      </w:pPr>
      <w:r w:rsidRPr="00BD16B4">
        <w:t>may consider any other matters that he or she thinks relevant.</w:t>
      </w:r>
    </w:p>
    <w:p w14:paraId="1A8CCE38" w14:textId="77777777" w:rsidR="00CA1920" w:rsidRPr="00BD16B4" w:rsidRDefault="00CA1920" w:rsidP="00CA1920">
      <w:pPr>
        <w:pStyle w:val="BodyText"/>
      </w:pPr>
      <w:r w:rsidRPr="00BD16B4">
        <w:t>Following the last review in 2019/20, a range of measures were put in place to improve the levy’s effectiveness (see section 4.3.8).</w:t>
      </w:r>
    </w:p>
    <w:p w14:paraId="26CFF145" w14:textId="77777777" w:rsidR="00CA1920" w:rsidRPr="00BD16B4" w:rsidRDefault="00CA1920" w:rsidP="004E1B8C">
      <w:pPr>
        <w:pStyle w:val="Heading4"/>
        <w:rPr>
          <w:rFonts w:eastAsia="Calibri"/>
        </w:rPr>
      </w:pPr>
      <w:r w:rsidRPr="00BD16B4" w:rsidDel="007A35BC">
        <w:rPr>
          <w:rFonts w:eastAsia="Calibri"/>
        </w:rPr>
        <w:lastRenderedPageBreak/>
        <w:t>Energy Efficiency and Conservation Act 2000 and Energy Efficiency</w:t>
      </w:r>
      <w:r w:rsidRPr="00BD16B4">
        <w:rPr>
          <w:rFonts w:eastAsia="Calibri"/>
        </w:rPr>
        <w:t> </w:t>
      </w:r>
      <w:r w:rsidRPr="00BD16B4" w:rsidDel="007A35BC">
        <w:rPr>
          <w:rFonts w:eastAsia="Calibri"/>
        </w:rPr>
        <w:t>(Energy Using Products) Regulations 2002</w:t>
      </w:r>
      <w:r w:rsidRPr="00BD16B4">
        <w:rPr>
          <w:rFonts w:eastAsia="Calibri"/>
        </w:rPr>
        <w:t xml:space="preserve"> </w:t>
      </w:r>
      <w:r w:rsidRPr="00BD16B4">
        <w:rPr>
          <w:rFonts w:eastAsia="Calibri"/>
        </w:rPr>
        <w:br/>
        <w:t>– Regulatory Amendment Project</w:t>
      </w:r>
    </w:p>
    <w:p w14:paraId="12679D04" w14:textId="77777777" w:rsidR="00CA1920" w:rsidRPr="00BD16B4" w:rsidRDefault="00CA1920" w:rsidP="00CA1920">
      <w:pPr>
        <w:pStyle w:val="BodyText"/>
      </w:pPr>
      <w:r w:rsidRPr="00BD16B4">
        <w:t>A review of the Energy Efficiency and Conservation Act 2000 and Energy Efficiency (Energy Using Products) Regulations 2002 was carried out in 2019. The review found that despite the achievements of the product regulations to date, enhancements could be made to improve cooperation and effectiveness under the E3 programme. The proposed enhancements are grouped into five sections.</w:t>
      </w:r>
    </w:p>
    <w:p w14:paraId="2BFF57BB" w14:textId="77777777" w:rsidR="00CA1920" w:rsidRPr="00BD16B4" w:rsidRDefault="00CA1920" w:rsidP="00CA1920">
      <w:pPr>
        <w:pStyle w:val="Numberedparagraph"/>
      </w:pPr>
      <w:r w:rsidRPr="00BD16B4">
        <w:rPr>
          <w:b/>
          <w:bCs/>
        </w:rPr>
        <w:t>Future-proofing the System</w:t>
      </w:r>
      <w:r w:rsidRPr="00BD16B4">
        <w:t xml:space="preserve"> aims to expand the requirements to reflect product innovation and streamline the decision-making process for amending and improving regulations to respond to product and market changes. It also expands the role EECA currently plays in managing emissions abatement.</w:t>
      </w:r>
    </w:p>
    <w:p w14:paraId="7DD55A07" w14:textId="77777777" w:rsidR="00CA1920" w:rsidRPr="00BD16B4" w:rsidRDefault="00CA1920" w:rsidP="00CA1920">
      <w:pPr>
        <w:pStyle w:val="Numberedparagraph"/>
      </w:pPr>
      <w:r w:rsidRPr="00BD16B4">
        <w:rPr>
          <w:b/>
          <w:bCs/>
        </w:rPr>
        <w:t>Consistent and Fair Regulation</w:t>
      </w:r>
      <w:r w:rsidRPr="00BD16B4">
        <w:t xml:space="preserve"> aims to expand the regulations to reflect the evolving ways that goods can be bought or sold in the market. It also proposes to regularly review the energy efficiency regime to ensure New Zealand does not fall behind trade partners and has high-performing products.</w:t>
      </w:r>
    </w:p>
    <w:p w14:paraId="7CEBA81D" w14:textId="77777777" w:rsidR="00CA1920" w:rsidRPr="00BD16B4" w:rsidRDefault="00CA1920" w:rsidP="00CA1920">
      <w:pPr>
        <w:pStyle w:val="Numberedparagraph"/>
      </w:pPr>
      <w:r w:rsidRPr="00BD16B4">
        <w:rPr>
          <w:b/>
          <w:bCs/>
        </w:rPr>
        <w:t>Improving System Administration</w:t>
      </w:r>
      <w:r w:rsidRPr="00BD16B4">
        <w:t xml:space="preserve"> aims to make the system easier to administer, as well as rebalancing the costs of administering the system to make it fairer for the regulator and regulated parties.</w:t>
      </w:r>
    </w:p>
    <w:p w14:paraId="779D5E30" w14:textId="77777777" w:rsidR="00CA1920" w:rsidRPr="00BD16B4" w:rsidRDefault="00CA1920" w:rsidP="00CA1920">
      <w:pPr>
        <w:pStyle w:val="Numberedparagraph"/>
      </w:pPr>
      <w:r w:rsidRPr="00BD16B4">
        <w:rPr>
          <w:b/>
          <w:bCs/>
        </w:rPr>
        <w:t>Ensuring Effective Compliance</w:t>
      </w:r>
      <w:r w:rsidRPr="00BD16B4">
        <w:t xml:space="preserve"> looks to expand EECA’s monitoring, inspection and investigation powers and enforcement measures to improve compliance outcomes.</w:t>
      </w:r>
    </w:p>
    <w:p w14:paraId="6B3348CD" w14:textId="77777777" w:rsidR="00CA1920" w:rsidRPr="00BD16B4" w:rsidRDefault="00CA1920" w:rsidP="00CA1920">
      <w:pPr>
        <w:pStyle w:val="Numberedparagraph"/>
      </w:pPr>
      <w:r w:rsidRPr="00BD16B4">
        <w:rPr>
          <w:b/>
          <w:bCs/>
        </w:rPr>
        <w:t>Delivering Good and Fair Process</w:t>
      </w:r>
      <w:r w:rsidRPr="00BD16B4">
        <w:t xml:space="preserve"> clarifies responsibilities for regulated parties and provides greater predictability regarding new or updated requirements, making it easier to comply, and providing a process for those affected by regulatory decisions to be heard.</w:t>
      </w:r>
    </w:p>
    <w:p w14:paraId="297CD9EF" w14:textId="77777777" w:rsidR="00CA1920" w:rsidRPr="00BD16B4" w:rsidRDefault="00CA1920" w:rsidP="00CA1920">
      <w:pPr>
        <w:pStyle w:val="Heading2"/>
        <w:rPr>
          <w:rFonts w:eastAsia="Calibri"/>
        </w:rPr>
      </w:pPr>
      <w:bookmarkStart w:id="258" w:name="_Toc363540342"/>
      <w:bookmarkStart w:id="259" w:name="_Toc372551739"/>
      <w:bookmarkStart w:id="260" w:name="_Toc374520355"/>
      <w:bookmarkStart w:id="261" w:name="_Toc497740280"/>
      <w:bookmarkStart w:id="262" w:name="_Toc498516738"/>
      <w:bookmarkStart w:id="263" w:name="_Toc500796149"/>
      <w:bookmarkStart w:id="264" w:name="_Toc121774639"/>
      <w:r w:rsidRPr="00BD16B4">
        <w:rPr>
          <w:rFonts w:eastAsia="Calibri"/>
        </w:rPr>
        <w:t xml:space="preserve">4.6 </w:t>
      </w:r>
      <w:r w:rsidRPr="00BD16B4">
        <w:rPr>
          <w:rFonts w:eastAsia="Calibri"/>
        </w:rPr>
        <w:tab/>
        <w:t>Policies and measures no longer in place</w:t>
      </w:r>
      <w:bookmarkEnd w:id="255"/>
      <w:bookmarkEnd w:id="256"/>
      <w:bookmarkEnd w:id="258"/>
      <w:bookmarkEnd w:id="259"/>
      <w:bookmarkEnd w:id="260"/>
      <w:bookmarkEnd w:id="261"/>
      <w:bookmarkEnd w:id="262"/>
      <w:bookmarkEnd w:id="263"/>
      <w:bookmarkEnd w:id="264"/>
    </w:p>
    <w:p w14:paraId="35C16A3C" w14:textId="77777777" w:rsidR="00CA1920" w:rsidRPr="00BD16B4" w:rsidRDefault="00CA1920" w:rsidP="00CA1920">
      <w:pPr>
        <w:pStyle w:val="BodyText"/>
        <w:rPr>
          <w:rFonts w:eastAsia="Calibri"/>
        </w:rPr>
      </w:pPr>
      <w:r w:rsidRPr="00BD16B4">
        <w:t xml:space="preserve">The </w:t>
      </w:r>
      <w:r w:rsidRPr="00BD16B4">
        <w:rPr>
          <w:rFonts w:eastAsia="Calibri"/>
        </w:rPr>
        <w:t xml:space="preserve">mix of policy tools will change over time, responding </w:t>
      </w:r>
      <w:r w:rsidRPr="00BD16B4">
        <w:t xml:space="preserve">and adapting </w:t>
      </w:r>
      <w:r w:rsidRPr="00BD16B4">
        <w:rPr>
          <w:rFonts w:eastAsia="Calibri"/>
        </w:rPr>
        <w:t xml:space="preserve">to changing circumstances. </w:t>
      </w:r>
      <w:r w:rsidRPr="00BD16B4">
        <w:t>Different tools are needed as we build the foundations for meaningful change and emphasis shifts over time.</w:t>
      </w:r>
    </w:p>
    <w:p w14:paraId="5815536A" w14:textId="77777777" w:rsidR="00CA1920" w:rsidRPr="00BD16B4" w:rsidRDefault="00CA1920" w:rsidP="00CA1920">
      <w:pPr>
        <w:pStyle w:val="BodyText"/>
        <w:spacing w:after="240"/>
        <w:rPr>
          <w:rFonts w:eastAsia="Calibri"/>
        </w:rPr>
      </w:pPr>
      <w:r w:rsidRPr="00BD16B4">
        <w:rPr>
          <w:rFonts w:eastAsia="Calibri"/>
        </w:rPr>
        <w:t xml:space="preserve">The following policies and measures that were reported on in the </w:t>
      </w:r>
      <w:r w:rsidRPr="00BD16B4">
        <w:rPr>
          <w:rFonts w:eastAsia="Calibri"/>
          <w:i/>
        </w:rPr>
        <w:t xml:space="preserve">Seventh National Communication </w:t>
      </w:r>
      <w:r w:rsidRPr="00BD16B4">
        <w:rPr>
          <w:rFonts w:eastAsia="Calibri"/>
        </w:rPr>
        <w:t>are no longer in place.</w:t>
      </w:r>
    </w:p>
    <w:tbl>
      <w:tblPr>
        <w:tblStyle w:val="GridTable4-Accent1"/>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266"/>
        <w:gridCol w:w="4239"/>
      </w:tblGrid>
      <w:tr w:rsidR="00CA1920" w:rsidRPr="00BD16B4" w14:paraId="303A52F5" w14:textId="77777777" w:rsidTr="002D16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60" w:type="dxa"/>
            <w:tcBorders>
              <w:top w:val="none" w:sz="0" w:space="0" w:color="auto"/>
              <w:left w:val="none" w:sz="0" w:space="0" w:color="auto"/>
              <w:bottom w:val="single" w:sz="4" w:space="0" w:color="1B556B" w:themeColor="text2"/>
              <w:right w:val="none" w:sz="0" w:space="0" w:color="auto"/>
            </w:tcBorders>
            <w:shd w:val="clear" w:color="auto" w:fill="1B556B" w:themeFill="text2"/>
          </w:tcPr>
          <w:p w14:paraId="452DFE9F" w14:textId="77777777" w:rsidR="00CA1920" w:rsidRPr="00BD16B4" w:rsidRDefault="00CA1920" w:rsidP="002D166E">
            <w:pPr>
              <w:pStyle w:val="TableTextBold0"/>
              <w:keepNext/>
              <w:rPr>
                <w:rFonts w:eastAsia="Calibri"/>
                <w:b/>
                <w:bCs w:val="0"/>
              </w:rPr>
            </w:pPr>
            <w:r w:rsidRPr="00BD16B4">
              <w:rPr>
                <w:rFonts w:eastAsia="Calibri"/>
                <w:b/>
                <w:bCs w:val="0"/>
              </w:rPr>
              <w:t>Name of policy or programme</w:t>
            </w:r>
          </w:p>
        </w:tc>
        <w:tc>
          <w:tcPr>
            <w:tcW w:w="4234" w:type="dxa"/>
            <w:tcBorders>
              <w:top w:val="none" w:sz="0" w:space="0" w:color="auto"/>
              <w:left w:val="none" w:sz="0" w:space="0" w:color="auto"/>
              <w:bottom w:val="single" w:sz="4" w:space="0" w:color="1B556B" w:themeColor="text2"/>
              <w:right w:val="none" w:sz="0" w:space="0" w:color="auto"/>
            </w:tcBorders>
            <w:shd w:val="clear" w:color="auto" w:fill="1B556B" w:themeFill="text2"/>
          </w:tcPr>
          <w:p w14:paraId="108DEFEF" w14:textId="77777777" w:rsidR="00CA1920" w:rsidRPr="00BD16B4" w:rsidRDefault="00CA1920" w:rsidP="002D166E">
            <w:pPr>
              <w:pStyle w:val="TableTextBold0"/>
              <w:keepNext/>
              <w:cnfStyle w:val="100000000000" w:firstRow="1" w:lastRow="0" w:firstColumn="0" w:lastColumn="0" w:oddVBand="0" w:evenVBand="0" w:oddHBand="0" w:evenHBand="0" w:firstRowFirstColumn="0" w:firstRowLastColumn="0" w:lastRowFirstColumn="0" w:lastRowLastColumn="0"/>
              <w:rPr>
                <w:rFonts w:eastAsia="Calibri"/>
                <w:b/>
                <w:bCs w:val="0"/>
              </w:rPr>
            </w:pPr>
            <w:r w:rsidRPr="00BD16B4">
              <w:rPr>
                <w:rFonts w:eastAsia="Calibri"/>
                <w:b/>
                <w:bCs w:val="0"/>
              </w:rPr>
              <w:t>Status</w:t>
            </w:r>
          </w:p>
        </w:tc>
      </w:tr>
      <w:tr w:rsidR="00CA1920" w:rsidRPr="00BD16B4" w14:paraId="2CB1EC58" w14:textId="77777777" w:rsidTr="002D1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0" w:type="dxa"/>
            <w:shd w:val="clear" w:color="auto" w:fill="D2DDE1" w:themeFill="background2"/>
          </w:tcPr>
          <w:p w14:paraId="488D3E25" w14:textId="77777777" w:rsidR="00CA1920" w:rsidRPr="00BD16B4" w:rsidRDefault="00CA1920" w:rsidP="002D166E">
            <w:pPr>
              <w:pStyle w:val="TableText"/>
              <w:keepNext/>
              <w:rPr>
                <w:rFonts w:eastAsia="Calibri"/>
                <w:b w:val="0"/>
                <w:bCs w:val="0"/>
              </w:rPr>
            </w:pPr>
            <w:r w:rsidRPr="00BD16B4">
              <w:rPr>
                <w:rFonts w:eastAsia="Calibri"/>
                <w:b w:val="0"/>
                <w:bCs w:val="0"/>
              </w:rPr>
              <w:t>Business Growth Agenda</w:t>
            </w:r>
          </w:p>
        </w:tc>
        <w:tc>
          <w:tcPr>
            <w:tcW w:w="4234" w:type="dxa"/>
            <w:shd w:val="clear" w:color="auto" w:fill="D2DDE1" w:themeFill="background2"/>
          </w:tcPr>
          <w:p w14:paraId="6D95F3AC" w14:textId="77777777" w:rsidR="00CA1920" w:rsidRPr="00BD16B4" w:rsidRDefault="00CA1920" w:rsidP="002D166E">
            <w:pPr>
              <w:pStyle w:val="TableText"/>
              <w:keepNext/>
              <w:cnfStyle w:val="000000100000" w:firstRow="0" w:lastRow="0" w:firstColumn="0" w:lastColumn="0" w:oddVBand="0" w:evenVBand="0" w:oddHBand="1" w:evenHBand="0" w:firstRowFirstColumn="0" w:firstRowLastColumn="0" w:lastRowFirstColumn="0" w:lastRowLastColumn="0"/>
              <w:rPr>
                <w:rFonts w:eastAsia="Calibri"/>
              </w:rPr>
            </w:pPr>
            <w:r w:rsidRPr="00BD16B4">
              <w:rPr>
                <w:rFonts w:eastAsia="Calibri"/>
              </w:rPr>
              <w:t>No longer in place.</w:t>
            </w:r>
          </w:p>
        </w:tc>
      </w:tr>
      <w:tr w:rsidR="00CA1920" w:rsidRPr="00BD16B4" w14:paraId="794E6996" w14:textId="77777777" w:rsidTr="002D166E">
        <w:tc>
          <w:tcPr>
            <w:cnfStyle w:val="001000000000" w:firstRow="0" w:lastRow="0" w:firstColumn="1" w:lastColumn="0" w:oddVBand="0" w:evenVBand="0" w:oddHBand="0" w:evenHBand="0" w:firstRowFirstColumn="0" w:firstRowLastColumn="0" w:lastRowFirstColumn="0" w:lastRowLastColumn="0"/>
            <w:tcW w:w="4260" w:type="dxa"/>
            <w:tcBorders>
              <w:bottom w:val="single" w:sz="4" w:space="0" w:color="1B556B" w:themeColor="text2"/>
            </w:tcBorders>
          </w:tcPr>
          <w:p w14:paraId="40C4C44F" w14:textId="77777777" w:rsidR="00CA1920" w:rsidRPr="00BD16B4" w:rsidRDefault="00CA1920" w:rsidP="002D166E">
            <w:pPr>
              <w:pStyle w:val="TableText"/>
              <w:rPr>
                <w:rFonts w:eastAsia="Calibri"/>
                <w:b w:val="0"/>
                <w:bCs w:val="0"/>
              </w:rPr>
            </w:pPr>
            <w:r w:rsidRPr="00BD16B4">
              <w:rPr>
                <w:rFonts w:eastAsia="Calibri"/>
                <w:b w:val="0"/>
                <w:bCs w:val="0"/>
              </w:rPr>
              <w:t>Low-emissions economy transition hub</w:t>
            </w:r>
          </w:p>
        </w:tc>
        <w:tc>
          <w:tcPr>
            <w:tcW w:w="4234" w:type="dxa"/>
            <w:tcBorders>
              <w:bottom w:val="single" w:sz="4" w:space="0" w:color="1B556B" w:themeColor="text2"/>
            </w:tcBorders>
          </w:tcPr>
          <w:p w14:paraId="57ABEA75" w14:textId="77777777" w:rsidR="00CA1920" w:rsidRPr="00BD16B4" w:rsidRDefault="00CA1920" w:rsidP="002D166E">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D16B4">
              <w:rPr>
                <w:rFonts w:eastAsia="Calibri"/>
              </w:rPr>
              <w:t>No longer in place.</w:t>
            </w:r>
          </w:p>
        </w:tc>
      </w:tr>
      <w:tr w:rsidR="00CA1920" w:rsidRPr="00BD16B4" w14:paraId="2E7FDF84" w14:textId="77777777" w:rsidTr="002D1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0" w:type="dxa"/>
            <w:shd w:val="clear" w:color="auto" w:fill="D2DDE1" w:themeFill="background2"/>
          </w:tcPr>
          <w:p w14:paraId="50358C96" w14:textId="77777777" w:rsidR="00CA1920" w:rsidRPr="00BD16B4" w:rsidRDefault="00CA1920" w:rsidP="002D166E">
            <w:pPr>
              <w:pStyle w:val="TableText"/>
              <w:rPr>
                <w:rFonts w:eastAsia="Calibri"/>
                <w:b w:val="0"/>
                <w:bCs w:val="0"/>
              </w:rPr>
            </w:pPr>
            <w:r w:rsidRPr="00BD16B4">
              <w:rPr>
                <w:rFonts w:eastAsia="Calibri"/>
                <w:b w:val="0"/>
                <w:bCs w:val="0"/>
              </w:rPr>
              <w:t>ENERGYWISE consumer information programme</w:t>
            </w:r>
          </w:p>
        </w:tc>
        <w:tc>
          <w:tcPr>
            <w:tcW w:w="4234" w:type="dxa"/>
            <w:shd w:val="clear" w:color="auto" w:fill="D2DDE1" w:themeFill="background2"/>
          </w:tcPr>
          <w:p w14:paraId="315F4251" w14:textId="77777777" w:rsidR="00CA1920" w:rsidRPr="00BD16B4" w:rsidRDefault="00CA1920" w:rsidP="002D166E">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D16B4">
              <w:rPr>
                <w:rFonts w:eastAsia="Calibri"/>
              </w:rPr>
              <w:t>This has been replaced by the Gen Less programme, which was subsequently launched in October 2019. Refer to ‘Gen Less’ in section 4.3.2.</w:t>
            </w:r>
          </w:p>
        </w:tc>
      </w:tr>
      <w:tr w:rsidR="00CA1920" w:rsidRPr="00BD16B4" w14:paraId="1F66DFA7" w14:textId="77777777" w:rsidTr="002D166E">
        <w:tc>
          <w:tcPr>
            <w:cnfStyle w:val="001000000000" w:firstRow="0" w:lastRow="0" w:firstColumn="1" w:lastColumn="0" w:oddVBand="0" w:evenVBand="0" w:oddHBand="0" w:evenHBand="0" w:firstRowFirstColumn="0" w:firstRowLastColumn="0" w:lastRowFirstColumn="0" w:lastRowLastColumn="0"/>
            <w:tcW w:w="4260" w:type="dxa"/>
            <w:tcBorders>
              <w:bottom w:val="single" w:sz="4" w:space="0" w:color="1B556B" w:themeColor="text2"/>
            </w:tcBorders>
          </w:tcPr>
          <w:p w14:paraId="7AAE865E" w14:textId="77777777" w:rsidR="00CA1920" w:rsidRPr="00BD16B4" w:rsidRDefault="00CA1920" w:rsidP="002D166E">
            <w:pPr>
              <w:pStyle w:val="TableText"/>
              <w:rPr>
                <w:rFonts w:eastAsia="Calibri"/>
                <w:b w:val="0"/>
                <w:bCs w:val="0"/>
              </w:rPr>
            </w:pPr>
            <w:r w:rsidRPr="00BD16B4">
              <w:rPr>
                <w:rFonts w:eastAsia="Calibri"/>
                <w:b w:val="0"/>
                <w:bCs w:val="0"/>
              </w:rPr>
              <w:t>Warm Up New Zealand: Healthy Homes insulation programme</w:t>
            </w:r>
          </w:p>
        </w:tc>
        <w:tc>
          <w:tcPr>
            <w:tcW w:w="4234" w:type="dxa"/>
            <w:tcBorders>
              <w:bottom w:val="single" w:sz="4" w:space="0" w:color="1B556B" w:themeColor="text2"/>
            </w:tcBorders>
          </w:tcPr>
          <w:p w14:paraId="1465C5ED" w14:textId="77777777" w:rsidR="00CA1920" w:rsidRPr="00BD16B4" w:rsidRDefault="00CA1920" w:rsidP="002D166E">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D16B4">
              <w:rPr>
                <w:rFonts w:eastAsia="Calibri"/>
              </w:rPr>
              <w:t>This has been replaced by the Warmer Kiwi Homes programme. Refer to ‘</w:t>
            </w:r>
            <w:r w:rsidRPr="00BD16B4">
              <w:rPr>
                <w:rFonts w:eastAsia="Calibri"/>
                <w:iCs/>
              </w:rPr>
              <w:t xml:space="preserve">Insulation and heating grants programmes’ </w:t>
            </w:r>
            <w:r w:rsidRPr="00BD16B4">
              <w:rPr>
                <w:rFonts w:eastAsia="Calibri"/>
              </w:rPr>
              <w:t xml:space="preserve">in section 4.3.3. </w:t>
            </w:r>
          </w:p>
        </w:tc>
      </w:tr>
      <w:tr w:rsidR="00CA1920" w:rsidRPr="00BD16B4" w14:paraId="3B54515C" w14:textId="77777777" w:rsidTr="002D1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0" w:type="dxa"/>
            <w:shd w:val="clear" w:color="auto" w:fill="D2DDE1" w:themeFill="background2"/>
          </w:tcPr>
          <w:p w14:paraId="489ED93E" w14:textId="77777777" w:rsidR="00CA1920" w:rsidRPr="00BD16B4" w:rsidRDefault="00CA1920" w:rsidP="002D166E">
            <w:pPr>
              <w:pStyle w:val="TableText"/>
              <w:rPr>
                <w:rFonts w:eastAsia="Calibri"/>
                <w:b w:val="0"/>
                <w:bCs w:val="0"/>
              </w:rPr>
            </w:pPr>
            <w:r w:rsidRPr="00BD16B4">
              <w:rPr>
                <w:rFonts w:eastAsia="Calibri"/>
                <w:b w:val="0"/>
                <w:bCs w:val="0"/>
              </w:rPr>
              <w:t>Roads of national significance</w:t>
            </w:r>
          </w:p>
        </w:tc>
        <w:tc>
          <w:tcPr>
            <w:tcW w:w="4234" w:type="dxa"/>
            <w:shd w:val="clear" w:color="auto" w:fill="D2DDE1" w:themeFill="background2"/>
          </w:tcPr>
          <w:p w14:paraId="1100F59F" w14:textId="77777777" w:rsidR="00CA1920" w:rsidRPr="00BD16B4" w:rsidRDefault="00CA1920" w:rsidP="002D166E">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D16B4">
              <w:rPr>
                <w:rFonts w:eastAsia="Calibri"/>
              </w:rPr>
              <w:t xml:space="preserve">This is no longer an active government policy. </w:t>
            </w:r>
          </w:p>
          <w:p w14:paraId="6CDB7CEC" w14:textId="77777777" w:rsidR="00CA1920" w:rsidRPr="00BD16B4" w:rsidRDefault="00CA1920" w:rsidP="002D166E">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D16B4">
              <w:rPr>
                <w:rFonts w:eastAsia="Calibri"/>
              </w:rPr>
              <w:t>Refer to ‘</w:t>
            </w:r>
            <w:r w:rsidRPr="00BD16B4">
              <w:rPr>
                <w:rFonts w:eastAsia="Calibri"/>
                <w:iCs/>
              </w:rPr>
              <w:t>Begin work now to decarbonise heavy transport and freight’</w:t>
            </w:r>
            <w:r w:rsidRPr="00BD16B4">
              <w:rPr>
                <w:rFonts w:eastAsia="Calibri"/>
              </w:rPr>
              <w:t xml:space="preserve"> in section 4.3.4.</w:t>
            </w:r>
          </w:p>
        </w:tc>
      </w:tr>
      <w:tr w:rsidR="00CA1920" w:rsidRPr="00BD16B4" w14:paraId="36E674AC" w14:textId="77777777" w:rsidTr="002D166E">
        <w:tc>
          <w:tcPr>
            <w:cnfStyle w:val="001000000000" w:firstRow="0" w:lastRow="0" w:firstColumn="1" w:lastColumn="0" w:oddVBand="0" w:evenVBand="0" w:oddHBand="0" w:evenHBand="0" w:firstRowFirstColumn="0" w:firstRowLastColumn="0" w:lastRowFirstColumn="0" w:lastRowLastColumn="0"/>
            <w:tcW w:w="4260" w:type="dxa"/>
            <w:tcBorders>
              <w:bottom w:val="single" w:sz="4" w:space="0" w:color="1B556B" w:themeColor="text2"/>
            </w:tcBorders>
          </w:tcPr>
          <w:p w14:paraId="2CC2185B" w14:textId="77777777" w:rsidR="00CA1920" w:rsidRPr="00BD16B4" w:rsidRDefault="00CA1920" w:rsidP="002D166E">
            <w:pPr>
              <w:pStyle w:val="TableText"/>
              <w:rPr>
                <w:rFonts w:eastAsia="Calibri"/>
                <w:b w:val="0"/>
                <w:bCs w:val="0"/>
              </w:rPr>
            </w:pPr>
            <w:r w:rsidRPr="00BD16B4">
              <w:rPr>
                <w:rFonts w:eastAsia="Calibri"/>
                <w:b w:val="0"/>
                <w:bCs w:val="0"/>
              </w:rPr>
              <w:lastRenderedPageBreak/>
              <w:t>Primary Growth Partnership</w:t>
            </w:r>
          </w:p>
        </w:tc>
        <w:tc>
          <w:tcPr>
            <w:tcW w:w="4234" w:type="dxa"/>
            <w:tcBorders>
              <w:bottom w:val="single" w:sz="4" w:space="0" w:color="1B556B" w:themeColor="text2"/>
            </w:tcBorders>
          </w:tcPr>
          <w:p w14:paraId="2D2D1E0C" w14:textId="77777777" w:rsidR="00CA1920" w:rsidRPr="00BD16B4" w:rsidRDefault="00CA1920" w:rsidP="002D166E">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D16B4">
              <w:rPr>
                <w:rFonts w:eastAsia="Calibri"/>
              </w:rPr>
              <w:t>In 2018 the Primary Growth Partnership and the Sustainable Farming Fund were replaced by the Sustainable Food and Fibre Futures fund. Refer to section 4.3.6.</w:t>
            </w:r>
          </w:p>
        </w:tc>
      </w:tr>
      <w:tr w:rsidR="00CA1920" w:rsidRPr="00BD16B4" w14:paraId="6CA470ED" w14:textId="77777777" w:rsidTr="002D1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0" w:type="dxa"/>
            <w:shd w:val="clear" w:color="auto" w:fill="D2DDE1" w:themeFill="background2"/>
          </w:tcPr>
          <w:p w14:paraId="4216BACF" w14:textId="77777777" w:rsidR="00CA1920" w:rsidRPr="00BD16B4" w:rsidRDefault="00CA1920" w:rsidP="002D166E">
            <w:pPr>
              <w:pStyle w:val="TableText"/>
              <w:rPr>
                <w:rFonts w:eastAsia="Calibri"/>
                <w:b w:val="0"/>
                <w:bCs w:val="0"/>
              </w:rPr>
            </w:pPr>
            <w:r w:rsidRPr="00BD16B4">
              <w:rPr>
                <w:rFonts w:eastAsia="Calibri"/>
                <w:b w:val="0"/>
                <w:bCs w:val="0"/>
              </w:rPr>
              <w:t>Sustainable Farming Fund</w:t>
            </w:r>
          </w:p>
        </w:tc>
        <w:tc>
          <w:tcPr>
            <w:tcW w:w="4234" w:type="dxa"/>
            <w:shd w:val="clear" w:color="auto" w:fill="D2DDE1" w:themeFill="background2"/>
          </w:tcPr>
          <w:p w14:paraId="7D09663F" w14:textId="77777777" w:rsidR="00CA1920" w:rsidRPr="00BD16B4" w:rsidRDefault="00CA1920" w:rsidP="002D166E">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D16B4">
              <w:rPr>
                <w:rFonts w:eastAsia="Calibri"/>
              </w:rPr>
              <w:t>In 2018, the Primary Growth Partnership and the Sustainable Farming Fund were replaced by the Sustainable Food and Fibre Futures fund. Refer to section 4.3.6.</w:t>
            </w:r>
          </w:p>
        </w:tc>
      </w:tr>
      <w:tr w:rsidR="00CA1920" w:rsidRPr="00BD16B4" w14:paraId="39DB2C74" w14:textId="77777777" w:rsidTr="002D166E">
        <w:tc>
          <w:tcPr>
            <w:cnfStyle w:val="001000000000" w:firstRow="0" w:lastRow="0" w:firstColumn="1" w:lastColumn="0" w:oddVBand="0" w:evenVBand="0" w:oddHBand="0" w:evenHBand="0" w:firstRowFirstColumn="0" w:firstRowLastColumn="0" w:lastRowFirstColumn="0" w:lastRowLastColumn="0"/>
            <w:tcW w:w="4260" w:type="dxa"/>
            <w:tcBorders>
              <w:bottom w:val="single" w:sz="4" w:space="0" w:color="1B556B" w:themeColor="text2"/>
            </w:tcBorders>
          </w:tcPr>
          <w:p w14:paraId="7B8D1F9E" w14:textId="77777777" w:rsidR="00CA1920" w:rsidRPr="00BD16B4" w:rsidRDefault="00CA1920" w:rsidP="002D166E">
            <w:pPr>
              <w:pStyle w:val="TableText"/>
              <w:rPr>
                <w:rFonts w:eastAsia="Calibri"/>
                <w:b w:val="0"/>
                <w:bCs w:val="0"/>
              </w:rPr>
            </w:pPr>
            <w:r w:rsidRPr="00BD16B4">
              <w:rPr>
                <w:rFonts w:eastAsia="Calibri"/>
                <w:b w:val="0"/>
                <w:bCs w:val="0"/>
              </w:rPr>
              <w:t>Biological Emissions Reference Group</w:t>
            </w:r>
          </w:p>
        </w:tc>
        <w:tc>
          <w:tcPr>
            <w:tcW w:w="4234" w:type="dxa"/>
            <w:tcBorders>
              <w:bottom w:val="single" w:sz="4" w:space="0" w:color="1B556B" w:themeColor="text2"/>
            </w:tcBorders>
          </w:tcPr>
          <w:p w14:paraId="7002E369" w14:textId="77777777" w:rsidR="00CA1920" w:rsidRPr="00BD16B4" w:rsidRDefault="00CA1920" w:rsidP="002D166E">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D16B4">
              <w:rPr>
                <w:rFonts w:eastAsia="Calibri"/>
              </w:rPr>
              <w:t>The Biological Emissions Reference Group was set up in 2016. The Group published its final report in December 2018.</w:t>
            </w:r>
          </w:p>
        </w:tc>
      </w:tr>
      <w:tr w:rsidR="00CA1920" w:rsidRPr="00BD16B4" w14:paraId="74C75B92" w14:textId="77777777" w:rsidTr="002D1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0" w:type="dxa"/>
            <w:shd w:val="clear" w:color="auto" w:fill="D2DDE1" w:themeFill="background2"/>
          </w:tcPr>
          <w:p w14:paraId="28453AFB" w14:textId="77777777" w:rsidR="00CA1920" w:rsidRPr="00BD16B4" w:rsidRDefault="00CA1920" w:rsidP="002D166E">
            <w:pPr>
              <w:pStyle w:val="TableText"/>
              <w:rPr>
                <w:rFonts w:eastAsia="Calibri"/>
                <w:b w:val="0"/>
                <w:bCs w:val="0"/>
              </w:rPr>
            </w:pPr>
            <w:r w:rsidRPr="00BD16B4">
              <w:rPr>
                <w:rFonts w:eastAsia="Calibri"/>
                <w:b w:val="0"/>
                <w:bCs w:val="0"/>
              </w:rPr>
              <w:t>Forestry Reference Group</w:t>
            </w:r>
          </w:p>
        </w:tc>
        <w:tc>
          <w:tcPr>
            <w:tcW w:w="4234" w:type="dxa"/>
            <w:shd w:val="clear" w:color="auto" w:fill="D2DDE1" w:themeFill="background2"/>
          </w:tcPr>
          <w:p w14:paraId="02F464B0" w14:textId="77777777" w:rsidR="00CA1920" w:rsidRPr="00BD16B4" w:rsidRDefault="00CA1920" w:rsidP="002D166E">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D16B4">
              <w:rPr>
                <w:rFonts w:eastAsia="Calibri"/>
              </w:rPr>
              <w:t xml:space="preserve">The Forestry Reference Group ended in 2019. </w:t>
            </w:r>
          </w:p>
        </w:tc>
      </w:tr>
      <w:tr w:rsidR="00CA1920" w:rsidRPr="00BD16B4" w14:paraId="1596E8CE" w14:textId="77777777" w:rsidTr="002D166E">
        <w:tc>
          <w:tcPr>
            <w:cnfStyle w:val="001000000000" w:firstRow="0" w:lastRow="0" w:firstColumn="1" w:lastColumn="0" w:oddVBand="0" w:evenVBand="0" w:oddHBand="0" w:evenHBand="0" w:firstRowFirstColumn="0" w:firstRowLastColumn="0" w:lastRowFirstColumn="0" w:lastRowLastColumn="0"/>
            <w:tcW w:w="4260" w:type="dxa"/>
            <w:tcBorders>
              <w:bottom w:val="single" w:sz="4" w:space="0" w:color="1B556B" w:themeColor="text2"/>
            </w:tcBorders>
          </w:tcPr>
          <w:p w14:paraId="1F10F39E" w14:textId="77777777" w:rsidR="00CA1920" w:rsidRPr="00BD16B4" w:rsidRDefault="00CA1920" w:rsidP="002D166E">
            <w:pPr>
              <w:pStyle w:val="TableText"/>
              <w:rPr>
                <w:rFonts w:eastAsia="Calibri"/>
                <w:b w:val="0"/>
                <w:bCs w:val="0"/>
              </w:rPr>
            </w:pPr>
            <w:r w:rsidRPr="00BD16B4">
              <w:rPr>
                <w:rFonts w:eastAsia="Calibri"/>
                <w:b w:val="0"/>
                <w:bCs w:val="0"/>
              </w:rPr>
              <w:t>Afforestation Grant Scheme</w:t>
            </w:r>
          </w:p>
        </w:tc>
        <w:tc>
          <w:tcPr>
            <w:tcW w:w="4234" w:type="dxa"/>
            <w:tcBorders>
              <w:bottom w:val="single" w:sz="4" w:space="0" w:color="1B556B" w:themeColor="text2"/>
            </w:tcBorders>
          </w:tcPr>
          <w:p w14:paraId="685EBD74" w14:textId="77777777" w:rsidR="00CA1920" w:rsidRPr="00BD16B4" w:rsidRDefault="00CA1920" w:rsidP="002D166E">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D16B4">
              <w:rPr>
                <w:rFonts w:eastAsia="Calibri"/>
              </w:rPr>
              <w:t xml:space="preserve">The Afforestation Grant Scheme was a funding programme that ran between 2015 and 2020. The scheme was replaced by the One Billion Trees Fund in December 2018. </w:t>
            </w:r>
          </w:p>
        </w:tc>
      </w:tr>
      <w:tr w:rsidR="00CA1920" w:rsidRPr="00BD16B4" w14:paraId="4C18C6D8" w14:textId="77777777" w:rsidTr="002D1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0" w:type="dxa"/>
            <w:shd w:val="clear" w:color="auto" w:fill="D2DDE1" w:themeFill="background2"/>
          </w:tcPr>
          <w:p w14:paraId="596DDC42" w14:textId="77777777" w:rsidR="00CA1920" w:rsidRPr="00BD16B4" w:rsidRDefault="00CA1920" w:rsidP="002D166E">
            <w:pPr>
              <w:pStyle w:val="TableText"/>
              <w:rPr>
                <w:rFonts w:eastAsia="Calibri"/>
                <w:b w:val="0"/>
                <w:bCs w:val="0"/>
              </w:rPr>
            </w:pPr>
            <w:r w:rsidRPr="00BD16B4">
              <w:rPr>
                <w:rFonts w:eastAsia="Calibri"/>
                <w:b w:val="0"/>
                <w:bCs w:val="0"/>
              </w:rPr>
              <w:t>One Billion Trees Fund</w:t>
            </w:r>
          </w:p>
        </w:tc>
        <w:tc>
          <w:tcPr>
            <w:tcW w:w="4234" w:type="dxa"/>
            <w:shd w:val="clear" w:color="auto" w:fill="D2DDE1" w:themeFill="background2"/>
          </w:tcPr>
          <w:p w14:paraId="66A7BD5F" w14:textId="77777777" w:rsidR="00CA1920" w:rsidRPr="00BD16B4" w:rsidRDefault="00CA1920" w:rsidP="002D166E">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D16B4">
              <w:rPr>
                <w:rFonts w:eastAsia="Calibri"/>
              </w:rPr>
              <w:t>This NZ$176.8 million fund ran for three years from August 2018 until its closure on 30 June 2021. Existing funding agreements extend into the future and will receive continued support and relationship management as these projects progress to completion.</w:t>
            </w:r>
          </w:p>
        </w:tc>
      </w:tr>
    </w:tbl>
    <w:p w14:paraId="17A7B5C4" w14:textId="77777777" w:rsidR="00B35D32" w:rsidRPr="00BD16B4" w:rsidRDefault="00B35D32" w:rsidP="00B35D32">
      <w:pPr>
        <w:pStyle w:val="BodyText"/>
      </w:pPr>
    </w:p>
    <w:p w14:paraId="48CBD1D2" w14:textId="77777777" w:rsidR="009D7729" w:rsidRPr="00BD16B4" w:rsidRDefault="009D7729" w:rsidP="003F0361">
      <w:pPr>
        <w:pStyle w:val="BodyText"/>
        <w:spacing w:before="0"/>
      </w:pPr>
    </w:p>
    <w:p w14:paraId="58285765" w14:textId="77777777" w:rsidR="006B5324" w:rsidRPr="00BD16B4" w:rsidRDefault="006B5324" w:rsidP="003F0361">
      <w:pPr>
        <w:pStyle w:val="BodyText"/>
        <w:spacing w:before="0"/>
        <w:sectPr w:rsidR="006B5324" w:rsidRPr="00BD16B4" w:rsidSect="008A7498">
          <w:footerReference w:type="default" r:id="rId87"/>
          <w:pgSz w:w="11907" w:h="16840" w:code="9"/>
          <w:pgMar w:top="1134" w:right="1701" w:bottom="1134" w:left="1701" w:header="567" w:footer="567" w:gutter="0"/>
          <w:cols w:space="720"/>
          <w:docGrid w:linePitch="299"/>
        </w:sectPr>
      </w:pPr>
    </w:p>
    <w:p w14:paraId="23938054" w14:textId="730EE82A" w:rsidR="007C259A" w:rsidRPr="00BD16B4" w:rsidRDefault="007C259A" w:rsidP="007C259A">
      <w:pPr>
        <w:pStyle w:val="Heading1"/>
        <w:spacing w:after="480"/>
      </w:pPr>
      <w:bookmarkStart w:id="265" w:name="_Toc491435434"/>
      <w:bookmarkStart w:id="266" w:name="_Toc497392886"/>
      <w:bookmarkStart w:id="267" w:name="_Toc497740294"/>
      <w:bookmarkStart w:id="268" w:name="_Toc498516752"/>
      <w:bookmarkStart w:id="269" w:name="_Toc500796163"/>
      <w:bookmarkStart w:id="270" w:name="_Toc121774640"/>
      <w:r w:rsidRPr="00BD16B4">
        <w:lastRenderedPageBreak/>
        <w:t>5</w:t>
      </w:r>
      <w:r w:rsidRPr="00BD16B4">
        <w:tab/>
      </w:r>
      <w:bookmarkEnd w:id="265"/>
      <w:bookmarkEnd w:id="266"/>
      <w:bookmarkEnd w:id="267"/>
      <w:bookmarkEnd w:id="268"/>
      <w:bookmarkEnd w:id="269"/>
      <w:r w:rsidRPr="00BD16B4">
        <w:t>Projections</w:t>
      </w:r>
      <w:bookmarkEnd w:id="270"/>
    </w:p>
    <w:tbl>
      <w:tblPr>
        <w:tblStyle w:val="TableGrid"/>
        <w:tblW w:w="8505" w:type="dxa"/>
        <w:tblInd w:w="113"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C259A" w:rsidRPr="00BD16B4" w14:paraId="01636078" w14:textId="77777777" w:rsidTr="00B35D32">
        <w:tc>
          <w:tcPr>
            <w:tcW w:w="0" w:type="auto"/>
            <w:shd w:val="clear" w:color="auto" w:fill="D2DDE2"/>
          </w:tcPr>
          <w:p w14:paraId="6CAECF02" w14:textId="77777777" w:rsidR="007C259A" w:rsidRPr="00BD16B4" w:rsidRDefault="007C259A" w:rsidP="00F31129">
            <w:pPr>
              <w:pStyle w:val="Boxheading"/>
              <w:spacing w:after="120"/>
            </w:pPr>
            <w:r w:rsidRPr="00BD16B4">
              <w:t xml:space="preserve">Key points </w:t>
            </w:r>
          </w:p>
          <w:p w14:paraId="09487E49" w14:textId="77777777" w:rsidR="007C259A" w:rsidRPr="00BD16B4" w:rsidRDefault="007C259A" w:rsidP="00F31129">
            <w:pPr>
              <w:pStyle w:val="Boxbullet"/>
            </w:pPr>
            <w:r w:rsidRPr="00BD16B4">
              <w:t xml:space="preserve">The effects of Aotearoa New Zealand’s key quantifiable policies and measures on our greenhouse gas emissions and removals are projected out to 2035. </w:t>
            </w:r>
          </w:p>
          <w:p w14:paraId="3D21620E" w14:textId="77777777" w:rsidR="007C259A" w:rsidRPr="00BD16B4" w:rsidRDefault="007C259A" w:rsidP="00F31129">
            <w:pPr>
              <w:pStyle w:val="Boxbullet"/>
            </w:pPr>
            <w:r w:rsidRPr="00BD16B4">
              <w:t>Three scenarios are modelled, ‘With existing measures’, ‘without measures’ and ‘with additional measures’.</w:t>
            </w:r>
          </w:p>
          <w:p w14:paraId="44BB7B04" w14:textId="77777777" w:rsidR="007C259A" w:rsidRPr="00BD16B4" w:rsidRDefault="007C259A" w:rsidP="00F31129">
            <w:pPr>
              <w:pStyle w:val="Boxbullet"/>
            </w:pPr>
            <w:r w:rsidRPr="00BD16B4">
              <w:rPr>
                <w:rFonts w:cstheme="minorBidi"/>
              </w:rPr>
              <w:t>New Zealand’s gross emissions (excluding emissions and removals from the land use, land-use change and forestry (LULUCF) sector) were reported as 78.8 million tonnes of carbon dioxide equivalent (Mt CO</w:t>
            </w:r>
            <w:r w:rsidRPr="00BD16B4">
              <w:rPr>
                <w:rFonts w:cstheme="minorBidi"/>
                <w:vertAlign w:val="subscript"/>
              </w:rPr>
              <w:t>2</w:t>
            </w:r>
            <w:r w:rsidRPr="00BD16B4">
              <w:rPr>
                <w:rFonts w:cstheme="minorBidi"/>
              </w:rPr>
              <w:t xml:space="preserve">-e) in 2020 (20.8 per cent above 1990 levels). </w:t>
            </w:r>
          </w:p>
          <w:p w14:paraId="676B30AD" w14:textId="77777777" w:rsidR="007C259A" w:rsidRPr="00BD16B4" w:rsidRDefault="007C259A" w:rsidP="00F31129">
            <w:pPr>
              <w:pStyle w:val="Boxbullet"/>
            </w:pPr>
            <w:r w:rsidRPr="00BD16B4">
              <w:t>New Zealand’s net emissions (including emissions and removals from the LULUCF sector) are reported as 55.5 Mt CO</w:t>
            </w:r>
            <w:r w:rsidRPr="00BD16B4">
              <w:rPr>
                <w:vertAlign w:val="subscript"/>
              </w:rPr>
              <w:t>2</w:t>
            </w:r>
            <w:r w:rsidRPr="00BD16B4">
              <w:t xml:space="preserve">-e in 2020 (26.1 per cent above 1990 levels). </w:t>
            </w:r>
          </w:p>
          <w:p w14:paraId="16375017" w14:textId="77777777" w:rsidR="007C259A" w:rsidRPr="00BD16B4" w:rsidRDefault="007C259A" w:rsidP="00F31129">
            <w:pPr>
              <w:pStyle w:val="Boxbullet"/>
              <w:rPr>
                <w:b/>
              </w:rPr>
            </w:pPr>
            <w:r w:rsidRPr="00BD16B4">
              <w:t>Under the ‘with existing measures’ scenario (which does not capture most of the new policies in the emissions reduction plan):</w:t>
            </w:r>
          </w:p>
          <w:p w14:paraId="630843C4" w14:textId="77777777" w:rsidR="007C259A" w:rsidRPr="00BD16B4" w:rsidRDefault="007C259A" w:rsidP="0011037B">
            <w:pPr>
              <w:pStyle w:val="Boxsub-bullet"/>
              <w:rPr>
                <w:b/>
                <w:bCs/>
              </w:rPr>
            </w:pPr>
            <w:r w:rsidRPr="00BD16B4">
              <w:t>New Zealand’s gross emissions (excluding emissions and removals from the LULUCF sector) are projected to be 66.7 Mt CO</w:t>
            </w:r>
            <w:r w:rsidRPr="00BD16B4">
              <w:rPr>
                <w:vertAlign w:val="subscript"/>
              </w:rPr>
              <w:t>2</w:t>
            </w:r>
            <w:r w:rsidRPr="00BD16B4">
              <w:t>-e (2.3 per cent above 1990 levels) in 2035.</w:t>
            </w:r>
          </w:p>
          <w:p w14:paraId="4F1CA5FF" w14:textId="77777777" w:rsidR="007C259A" w:rsidRPr="00BD16B4" w:rsidRDefault="007C259A" w:rsidP="0011037B">
            <w:pPr>
              <w:pStyle w:val="Boxsub-bullet"/>
              <w:rPr>
                <w:rFonts w:cstheme="minorHAnsi"/>
                <w:b/>
              </w:rPr>
            </w:pPr>
            <w:r w:rsidRPr="00BD16B4">
              <w:rPr>
                <w:rFonts w:cstheme="minorHAnsi"/>
              </w:rPr>
              <w:t>New Zealand’s net emissions (including emissions and removals from the LULUCF sector) are projected to be 41.2 Mt CO</w:t>
            </w:r>
            <w:r w:rsidRPr="00BD16B4">
              <w:rPr>
                <w:rFonts w:cstheme="minorHAnsi"/>
                <w:vertAlign w:val="subscript"/>
              </w:rPr>
              <w:t>2</w:t>
            </w:r>
            <w:r w:rsidRPr="00BD16B4">
              <w:rPr>
                <w:rFonts w:cstheme="minorHAnsi"/>
              </w:rPr>
              <w:t xml:space="preserve">-e (6.3 per cent below 1990 levels) in 2035. </w:t>
            </w:r>
          </w:p>
          <w:p w14:paraId="191901C7" w14:textId="77777777" w:rsidR="007C259A" w:rsidRPr="00BD16B4" w:rsidRDefault="007C259A" w:rsidP="0011037B">
            <w:pPr>
              <w:pStyle w:val="Boxsub-bullet"/>
              <w:rPr>
                <w:rFonts w:cstheme="minorHAnsi"/>
              </w:rPr>
            </w:pPr>
            <w:r w:rsidRPr="00BD16B4">
              <w:rPr>
                <w:rFonts w:cstheme="minorHAnsi"/>
              </w:rPr>
              <w:t>New Zealand’s net emissions are projected to be 30.7 Mt CO</w:t>
            </w:r>
            <w:r w:rsidRPr="00BD16B4">
              <w:rPr>
                <w:rFonts w:cstheme="minorHAnsi"/>
                <w:vertAlign w:val="subscript"/>
              </w:rPr>
              <w:t>2</w:t>
            </w:r>
            <w:r w:rsidRPr="00BD16B4">
              <w:rPr>
                <w:rFonts w:cstheme="minorHAnsi"/>
              </w:rPr>
              <w:t xml:space="preserve">-e lower in 2035 than projected in the ‘without measures’ scenario. </w:t>
            </w:r>
          </w:p>
          <w:p w14:paraId="6F65F679" w14:textId="77777777" w:rsidR="007C259A" w:rsidRPr="00BD16B4" w:rsidRDefault="007C259A" w:rsidP="00F31129">
            <w:pPr>
              <w:pStyle w:val="Boxbullet"/>
            </w:pPr>
            <w:r w:rsidRPr="00BD16B4">
              <w:t xml:space="preserve">In comparison to </w:t>
            </w:r>
            <w:r w:rsidRPr="00BD16B4">
              <w:rPr>
                <w:i/>
              </w:rPr>
              <w:t>New Zealand’s Fourth Biennial Report</w:t>
            </w:r>
            <w:r w:rsidRPr="00BD16B4">
              <w:rPr>
                <w:iCs/>
              </w:rPr>
              <w:t xml:space="preserve"> published in 2019:</w:t>
            </w:r>
            <w:r w:rsidRPr="00BD16B4">
              <w:rPr>
                <w:rStyle w:val="FootnoteReference"/>
                <w:rFonts w:asciiTheme="minorHAnsi" w:hAnsiTheme="minorHAnsi" w:cstheme="minorHAnsi"/>
                <w:iCs/>
                <w:color w:val="1C556C" w:themeColor="accent1"/>
                <w:sz w:val="20"/>
              </w:rPr>
              <w:footnoteReference w:id="220"/>
            </w:r>
          </w:p>
          <w:p w14:paraId="35AD6F3A" w14:textId="77777777" w:rsidR="007C259A" w:rsidRPr="00BD16B4" w:rsidRDefault="007C259A" w:rsidP="0011037B">
            <w:pPr>
              <w:pStyle w:val="Boxsub-bullet"/>
              <w:rPr>
                <w:b/>
              </w:rPr>
            </w:pPr>
            <w:r w:rsidRPr="00BD16B4">
              <w:t xml:space="preserve">New Zealand’s gross emissions are projected to be 7.6 per cent lower in 2035 than projected in the </w:t>
            </w:r>
            <w:r w:rsidRPr="00BD16B4">
              <w:rPr>
                <w:i/>
              </w:rPr>
              <w:t>Fourth Biennial Report</w:t>
            </w:r>
            <w:r w:rsidRPr="00BD16B4">
              <w:t>.</w:t>
            </w:r>
          </w:p>
          <w:p w14:paraId="5990D3DE" w14:textId="77777777" w:rsidR="007C259A" w:rsidRPr="00BD16B4" w:rsidRDefault="007C259A" w:rsidP="0011037B">
            <w:pPr>
              <w:pStyle w:val="Boxsub-bullet"/>
              <w:rPr>
                <w:b/>
              </w:rPr>
            </w:pPr>
            <w:r w:rsidRPr="00BD16B4">
              <w:t xml:space="preserve">New Zealand’s net emissions are projected to be 28.8 per cent lower in 2035 than projected in the </w:t>
            </w:r>
            <w:r w:rsidRPr="00BD16B4">
              <w:rPr>
                <w:i/>
              </w:rPr>
              <w:t>Fourth Biennial Report</w:t>
            </w:r>
            <w:r w:rsidRPr="00BD16B4">
              <w:t>.</w:t>
            </w:r>
          </w:p>
          <w:p w14:paraId="241CD6A6" w14:textId="77777777" w:rsidR="007C259A" w:rsidRPr="00BD16B4" w:rsidRDefault="007C259A" w:rsidP="00F31129">
            <w:pPr>
              <w:pStyle w:val="Boxbullet"/>
              <w:spacing w:after="180"/>
            </w:pPr>
            <w:r w:rsidRPr="00BD16B4">
              <w:t>Care needs to be taken when assessing the trends in net emissions as they are strongly influenced by the harvest and growth cycles of New Zealand’s production forests, which can mask policy impacts.</w:t>
            </w:r>
          </w:p>
        </w:tc>
      </w:tr>
    </w:tbl>
    <w:p w14:paraId="5C789DFB" w14:textId="7D3F1640" w:rsidR="007C259A" w:rsidRPr="00BD16B4" w:rsidRDefault="007C259A" w:rsidP="007E5A51">
      <w:pPr>
        <w:pStyle w:val="Heading2"/>
        <w:spacing w:before="400"/>
      </w:pPr>
      <w:bookmarkStart w:id="271" w:name="_Toc121774641"/>
      <w:r w:rsidRPr="00BD16B4">
        <w:t>5.1</w:t>
      </w:r>
      <w:r w:rsidRPr="00BD16B4">
        <w:tab/>
        <w:t>Introduction</w:t>
      </w:r>
      <w:bookmarkEnd w:id="271"/>
    </w:p>
    <w:p w14:paraId="1A517D7B" w14:textId="77777777" w:rsidR="007C259A" w:rsidRPr="00BD16B4" w:rsidRDefault="007C259A" w:rsidP="007C259A">
      <w:pPr>
        <w:pStyle w:val="BodyText"/>
      </w:pPr>
      <w:r w:rsidRPr="00BD16B4">
        <w:t>This chapter presents Aotearoa New Zealand’s projected greenhouse gas emissions and removals under the following three scenarios:</w:t>
      </w:r>
      <w:r w:rsidRPr="00BD16B4">
        <w:rPr>
          <w:rStyle w:val="FootnoteReference"/>
        </w:rPr>
        <w:footnoteReference w:id="221"/>
      </w:r>
    </w:p>
    <w:p w14:paraId="434787B6" w14:textId="77777777" w:rsidR="007C259A" w:rsidRPr="00BD16B4" w:rsidRDefault="007C259A" w:rsidP="007E5A51">
      <w:pPr>
        <w:pStyle w:val="Bullet"/>
        <w:spacing w:after="100"/>
      </w:pPr>
      <w:r w:rsidRPr="00BD16B4">
        <w:t>‘with existing measures’ (WEM) – currently implemented and adopted policies and measures</w:t>
      </w:r>
    </w:p>
    <w:p w14:paraId="2A2E3B84" w14:textId="77777777" w:rsidR="007C259A" w:rsidRPr="00BD16B4" w:rsidRDefault="007C259A" w:rsidP="007E5A51">
      <w:pPr>
        <w:pStyle w:val="Bullet"/>
        <w:spacing w:after="100"/>
      </w:pPr>
      <w:r w:rsidRPr="00BD16B4">
        <w:t>‘without measures’ (WOM) – excludes implemented, adopted and planned policies and measures</w:t>
      </w:r>
    </w:p>
    <w:p w14:paraId="4AAE0E18" w14:textId="77777777" w:rsidR="007C259A" w:rsidRPr="00BD16B4" w:rsidRDefault="007C259A" w:rsidP="0011037B">
      <w:pPr>
        <w:pStyle w:val="Bullet"/>
        <w:spacing w:after="100"/>
      </w:pPr>
      <w:r w:rsidRPr="00BD16B4">
        <w:lastRenderedPageBreak/>
        <w:t>‘with additional measures’ (WAM) scenario</w:t>
      </w:r>
      <w:r w:rsidRPr="00BD16B4">
        <w:rPr>
          <w:rStyle w:val="FootnoteReference"/>
        </w:rPr>
        <w:footnoteReference w:id="222"/>
      </w:r>
      <w:r w:rsidRPr="00BD16B4">
        <w:t xml:space="preserve"> – includes </w:t>
      </w:r>
      <w:r w:rsidRPr="00BD16B4">
        <w:rPr>
          <w:i/>
        </w:rPr>
        <w:t>planned</w:t>
      </w:r>
      <w:r w:rsidRPr="00BD16B4">
        <w:t xml:space="preserve"> policies and measures, in addition to implemented and adopted policies and measures.</w:t>
      </w:r>
    </w:p>
    <w:p w14:paraId="125F9214" w14:textId="77777777" w:rsidR="007C259A" w:rsidRPr="00BD16B4" w:rsidRDefault="007C259A" w:rsidP="007C259A">
      <w:pPr>
        <w:pStyle w:val="BodyText"/>
        <w:spacing w:after="100"/>
      </w:pPr>
      <w:r w:rsidRPr="00BD16B4">
        <w:t xml:space="preserve">Section 5.2 estimates the impacts of the three policy scenarios on New Zealand’s gross and net greenhouse gas emissions (ie, under the WEM, WOM and WAM scenarios) from 1990 to 2035, disaggregated by sector and by gas. </w:t>
      </w:r>
    </w:p>
    <w:p w14:paraId="7773B732" w14:textId="77777777" w:rsidR="007C259A" w:rsidRPr="00BD16B4" w:rsidRDefault="007C259A" w:rsidP="007C259A">
      <w:pPr>
        <w:pStyle w:val="BodyText"/>
        <w:spacing w:after="100"/>
      </w:pPr>
      <w:r w:rsidRPr="00BD16B4">
        <w:t>The projections</w:t>
      </w:r>
      <w:r w:rsidRPr="00BD16B4" w:rsidDel="0028213C">
        <w:t xml:space="preserve"> </w:t>
      </w:r>
      <w:r w:rsidRPr="00BD16B4">
        <w:t xml:space="preserve">are calibrated against estimates reported in </w:t>
      </w:r>
      <w:r w:rsidRPr="00BD16B4">
        <w:rPr>
          <w:i/>
          <w:iCs/>
        </w:rPr>
        <w:t>New Zealand’s Greenhouse Gas Inventory 1990–2020</w:t>
      </w:r>
      <w:r w:rsidRPr="00BD16B4">
        <w:t>,</w:t>
      </w:r>
      <w:r w:rsidRPr="00BD16B4">
        <w:rPr>
          <w:rStyle w:val="FootnoteReference"/>
        </w:rPr>
        <w:footnoteReference w:id="223"/>
      </w:r>
      <w:r w:rsidRPr="00BD16B4">
        <w:t xml:space="preserve"> alongside the historical and projected key assumptions driving the emission scenarios. </w:t>
      </w:r>
    </w:p>
    <w:p w14:paraId="2D47E044" w14:textId="77777777" w:rsidR="007C259A" w:rsidRPr="00BD16B4" w:rsidRDefault="007C259A" w:rsidP="007C259A">
      <w:pPr>
        <w:pStyle w:val="BodyText"/>
        <w:spacing w:after="100"/>
      </w:pPr>
      <w:r w:rsidRPr="00BD16B4">
        <w:t xml:space="preserve">Section 5.3 discusses the combined assessed effect of policies and measures. </w:t>
      </w:r>
    </w:p>
    <w:p w14:paraId="39736825" w14:textId="77777777" w:rsidR="007C259A" w:rsidRPr="00BD16B4" w:rsidRDefault="007C259A" w:rsidP="007C259A">
      <w:pPr>
        <w:pStyle w:val="BodyText"/>
        <w:spacing w:after="100"/>
      </w:pPr>
      <w:r w:rsidRPr="00BD16B4">
        <w:t xml:space="preserve">Changes since New Zealand’s last biennial report submission are presented in section 5.4, including a detailed breakdown by sector. </w:t>
      </w:r>
    </w:p>
    <w:p w14:paraId="1B6F2C4F" w14:textId="77777777" w:rsidR="007C259A" w:rsidRPr="00BD16B4" w:rsidRDefault="007C259A" w:rsidP="007C259A">
      <w:pPr>
        <w:pStyle w:val="BodyText"/>
        <w:spacing w:after="100"/>
      </w:pPr>
      <w:r w:rsidRPr="00BD16B4">
        <w:t xml:space="preserve">Lastly, section 5.5 presents information on the methodologies applied, as well as underlying assumptions specific to each sector and sensitivity analyses. </w:t>
      </w:r>
    </w:p>
    <w:p w14:paraId="13039683" w14:textId="0E820D1F" w:rsidR="007C259A" w:rsidRPr="00BD16B4" w:rsidRDefault="007C259A" w:rsidP="007C259A">
      <w:pPr>
        <w:pStyle w:val="Heading2"/>
      </w:pPr>
      <w:bookmarkStart w:id="272" w:name="_Toc121774642"/>
      <w:r w:rsidRPr="00BD16B4">
        <w:t>5.2</w:t>
      </w:r>
      <w:r w:rsidRPr="00BD16B4">
        <w:tab/>
        <w:t>Projections under the United Nations Framework Convention on Climate Change</w:t>
      </w:r>
      <w:bookmarkEnd w:id="272"/>
    </w:p>
    <w:p w14:paraId="0BB1E1D4" w14:textId="77777777" w:rsidR="007C259A" w:rsidRPr="00BD16B4" w:rsidRDefault="007C259A" w:rsidP="007C259A">
      <w:pPr>
        <w:pStyle w:val="BodyText"/>
        <w:spacing w:before="100" w:after="100"/>
      </w:pPr>
      <w:r w:rsidRPr="00BD16B4">
        <w:t>Aotearoa New Zealand’s reported (historical) and projected gross greenhouse gas emissions</w:t>
      </w:r>
      <w:r w:rsidRPr="00BD16B4">
        <w:rPr>
          <w:rStyle w:val="FootnoteReference"/>
        </w:rPr>
        <w:footnoteReference w:id="224"/>
      </w:r>
      <w:r w:rsidRPr="00BD16B4">
        <w:t xml:space="preserve"> are summarised in figure 5.1. Figure 5.2 summarises New Zealand’s historical and projected net greenhouse gas emissions.</w:t>
      </w:r>
      <w:r w:rsidRPr="00BD16B4">
        <w:rPr>
          <w:rStyle w:val="FootnoteReference"/>
        </w:rPr>
        <w:footnoteReference w:id="225"/>
      </w:r>
      <w:r w:rsidRPr="00BD16B4">
        <w:t xml:space="preserve"> </w:t>
      </w:r>
    </w:p>
    <w:p w14:paraId="42314B5F" w14:textId="77777777" w:rsidR="007C259A" w:rsidRPr="00BD16B4" w:rsidRDefault="007C259A" w:rsidP="007C259A">
      <w:pPr>
        <w:pStyle w:val="BodyText"/>
        <w:spacing w:before="100" w:after="100"/>
      </w:pPr>
      <w:r w:rsidRPr="00BD16B4">
        <w:t xml:space="preserve">The estimates for 1990–2020 are consistent with data reported in </w:t>
      </w:r>
      <w:r w:rsidRPr="00BD16B4">
        <w:rPr>
          <w:i/>
          <w:iCs/>
        </w:rPr>
        <w:t>New Zealand’s Greenhouse Gas Inventory 1990–2020</w:t>
      </w:r>
      <w:r w:rsidRPr="00BD16B4">
        <w:rPr>
          <w:iCs/>
        </w:rPr>
        <w:t>,</w:t>
      </w:r>
      <w:r w:rsidRPr="00BD16B4">
        <w:t xml:space="preserve"> while the estimates for 2021–35 are projections. The timing for when each policy and measure impacts each sector and scenario are provided in table 5.1.</w:t>
      </w:r>
      <w:r w:rsidRPr="00BD16B4">
        <w:rPr>
          <w:highlight w:val="yellow"/>
        </w:rPr>
        <w:t xml:space="preserve"> </w:t>
      </w:r>
    </w:p>
    <w:p w14:paraId="78254EAE" w14:textId="77777777" w:rsidR="007C259A" w:rsidRPr="00BD16B4" w:rsidRDefault="007C259A" w:rsidP="007C259A">
      <w:pPr>
        <w:pStyle w:val="BodyText"/>
        <w:spacing w:before="100" w:after="100"/>
      </w:pPr>
      <w:r w:rsidRPr="00BD16B4">
        <w:t>New Zealand’s gross greenhouse gas emissions were 78.8 million tonnes of carbon dioxide equivalent (Mt CO</w:t>
      </w:r>
      <w:r w:rsidRPr="00BD16B4">
        <w:rPr>
          <w:vertAlign w:val="subscript"/>
        </w:rPr>
        <w:t>2</w:t>
      </w:r>
      <w:r w:rsidRPr="00BD16B4">
        <w:t>-e) in 2020 (20.8 per cent above 1990 gross emissions). Under the WEM scenario, gross emissions are projected to remain steady in the short term, before decreasing to 73.3 Mt CO</w:t>
      </w:r>
      <w:r w:rsidRPr="00BD16B4">
        <w:rPr>
          <w:vertAlign w:val="subscript"/>
        </w:rPr>
        <w:t>2</w:t>
      </w:r>
      <w:r w:rsidRPr="00BD16B4">
        <w:t>-e in 2025 and to 66.7 Mt CO</w:t>
      </w:r>
      <w:r w:rsidRPr="00BD16B4">
        <w:rPr>
          <w:vertAlign w:val="subscript"/>
        </w:rPr>
        <w:t>2</w:t>
      </w:r>
      <w:r w:rsidRPr="00BD16B4">
        <w:t xml:space="preserve">-e in 2035 (2.3 per cent above 1990 gross emissions). </w:t>
      </w:r>
    </w:p>
    <w:p w14:paraId="4A485AE0" w14:textId="77777777" w:rsidR="007C259A" w:rsidRPr="00BD16B4" w:rsidRDefault="007C259A" w:rsidP="007C259A">
      <w:pPr>
        <w:pStyle w:val="BodyText"/>
        <w:spacing w:before="100" w:after="100"/>
      </w:pPr>
      <w:r w:rsidRPr="00BD16B4">
        <w:t>Under the WEM scenario New Zealand’s net greenhouse gas emissions are projected to increase to 63.8 Mt CO</w:t>
      </w:r>
      <w:r w:rsidRPr="00BD16B4">
        <w:rPr>
          <w:vertAlign w:val="subscript"/>
        </w:rPr>
        <w:t>2</w:t>
      </w:r>
      <w:r w:rsidRPr="00BD16B4">
        <w:t xml:space="preserve">-e in 2025 (45.0 per cent above 1990 net emissions) before decreasing </w:t>
      </w:r>
      <w:r w:rsidRPr="00BD16B4">
        <w:rPr>
          <w:spacing w:val="-2"/>
        </w:rPr>
        <w:t>to 41.2 Mt CO</w:t>
      </w:r>
      <w:r w:rsidRPr="00BD16B4">
        <w:rPr>
          <w:spacing w:val="-2"/>
          <w:vertAlign w:val="subscript"/>
        </w:rPr>
        <w:t>2</w:t>
      </w:r>
      <w:r w:rsidRPr="00BD16B4">
        <w:rPr>
          <w:spacing w:val="-2"/>
        </w:rPr>
        <w:t>-e (6.3 per cent below 1990 net emissions) in 2035. The increase in net emissions</w:t>
      </w:r>
      <w:r w:rsidRPr="00BD16B4">
        <w:t xml:space="preserve"> from 2017 to 2025 is due to higher than usual harvest rates occurring in production forests over this period. However, the LULUCF sector is expected to see a reversal in this trend from around 2025 due to the replanting of these harvested forests, and additional sequestration from projected afforestation activities. See section 5.5.5 for more information.</w:t>
      </w:r>
    </w:p>
    <w:p w14:paraId="54D33258" w14:textId="77777777" w:rsidR="007C259A" w:rsidRPr="00BD16B4" w:rsidRDefault="007C259A" w:rsidP="007C259A">
      <w:pPr>
        <w:pStyle w:val="BodyText"/>
      </w:pPr>
      <w:r w:rsidRPr="00BD16B4">
        <w:rPr>
          <w:spacing w:val="-2"/>
        </w:rPr>
        <w:lastRenderedPageBreak/>
        <w:t>The gap between the WOM and WEM estimates shows the impact of the policies and measures</w:t>
      </w:r>
      <w:r w:rsidRPr="00BD16B4">
        <w:t xml:space="preserve"> introduced by the New Zealand Government on emissions.</w:t>
      </w:r>
      <w:r w:rsidRPr="00BD16B4" w:rsidDel="00535D4D">
        <w:t xml:space="preserve"> </w:t>
      </w:r>
      <w:r w:rsidRPr="00BD16B4">
        <w:t>These projections do not capture most of the new policies included in New Zealand’s first emissions reduction plan, published in May 2022.</w:t>
      </w:r>
    </w:p>
    <w:p w14:paraId="453F342F" w14:textId="77777777" w:rsidR="007C259A" w:rsidRPr="00BD16B4" w:rsidRDefault="007C259A" w:rsidP="00EC76A2">
      <w:pPr>
        <w:pStyle w:val="Figureheading"/>
      </w:pPr>
      <w:bookmarkStart w:id="273" w:name="_Toc121494398"/>
      <w:r w:rsidRPr="00BD16B4">
        <w:t xml:space="preserve">Figure 5.1: </w:t>
      </w:r>
      <w:r w:rsidRPr="00BD16B4">
        <w:tab/>
        <w:t>New Zealand’s gross emissions under the WEM, WOM and WAM scenarios,</w:t>
      </w:r>
      <w:r w:rsidRPr="00BD16B4">
        <w:br/>
        <w:t>1990–2035 (excluding emissions and removals from LULUCF)</w:t>
      </w:r>
      <w:bookmarkEnd w:id="273"/>
    </w:p>
    <w:p w14:paraId="24C1BD3A" w14:textId="77777777" w:rsidR="007C259A" w:rsidRPr="00BD16B4" w:rsidRDefault="007C259A" w:rsidP="007C259A">
      <w:pPr>
        <w:pStyle w:val="BodyText"/>
        <w:spacing w:before="0"/>
        <w:jc w:val="center"/>
      </w:pPr>
      <w:r w:rsidRPr="00BD16B4">
        <w:rPr>
          <w:noProof/>
        </w:rPr>
        <w:drawing>
          <wp:inline distT="0" distB="0" distL="0" distR="0" wp14:anchorId="2869D715" wp14:editId="7F6D12BF">
            <wp:extent cx="4990867" cy="2957885"/>
            <wp:effectExtent l="0" t="0" r="635" b="13970"/>
            <wp:docPr id="16" name="Chart 16">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7851EDB" w14:textId="77777777" w:rsidR="007C259A" w:rsidRPr="00BD16B4" w:rsidRDefault="007C259A" w:rsidP="00B35D32">
      <w:pPr>
        <w:pStyle w:val="Note"/>
        <w:spacing w:before="60"/>
      </w:pPr>
      <w:r w:rsidRPr="00BD16B4">
        <w:rPr>
          <w:b/>
          <w:bCs/>
        </w:rPr>
        <w:t>Note:</w:t>
      </w:r>
      <w:r w:rsidRPr="00BD16B4">
        <w:t xml:space="preserve"> LULUCF = land use, land-use change and forestry; Mt CO</w:t>
      </w:r>
      <w:r w:rsidRPr="00BD16B4">
        <w:rPr>
          <w:vertAlign w:val="subscript"/>
        </w:rPr>
        <w:t>2</w:t>
      </w:r>
      <w:r w:rsidRPr="00BD16B4">
        <w:t>-e = million tonnes of carbon dioxide equivalent;</w:t>
      </w:r>
      <w:r w:rsidRPr="00BD16B4">
        <w:rPr>
          <w:vertAlign w:val="subscript"/>
        </w:rPr>
        <w:t xml:space="preserve"> </w:t>
      </w:r>
      <w:r w:rsidRPr="00BD16B4">
        <w:t>WAM = with additional measures; WEM = with existing measures; WOM = without measures. Excludes indirect emissions (such as carbon monoxide, nitrogen oxides, non-methane volatile organic compounds and sulphur oxides) and emissions from international transport.</w:t>
      </w:r>
    </w:p>
    <w:p w14:paraId="08FD87A9" w14:textId="77777777" w:rsidR="007C259A" w:rsidRPr="00BD16B4" w:rsidRDefault="007C259A" w:rsidP="00EC76A2">
      <w:pPr>
        <w:pStyle w:val="Figureheading"/>
      </w:pPr>
      <w:bookmarkStart w:id="274" w:name="_Toc121494399"/>
      <w:r w:rsidRPr="00BD16B4">
        <w:t xml:space="preserve">Figure 5.2: </w:t>
      </w:r>
      <w:r w:rsidRPr="00BD16B4">
        <w:tab/>
        <w:t>New Zealand’s net emissions under the WEM, WOM and WAM scenarios,</w:t>
      </w:r>
      <w:r w:rsidRPr="00BD16B4">
        <w:br/>
        <w:t>1990–2035 (including emissions and removals from LULUCF)</w:t>
      </w:r>
      <w:bookmarkEnd w:id="274"/>
    </w:p>
    <w:p w14:paraId="014A188B" w14:textId="77777777" w:rsidR="007C259A" w:rsidRPr="00BD16B4" w:rsidRDefault="007C259A" w:rsidP="007C259A">
      <w:pPr>
        <w:pStyle w:val="BodyText"/>
        <w:spacing w:before="0"/>
        <w:jc w:val="center"/>
      </w:pPr>
      <w:r w:rsidRPr="00BD16B4">
        <w:rPr>
          <w:noProof/>
        </w:rPr>
        <w:drawing>
          <wp:inline distT="0" distB="0" distL="0" distR="0" wp14:anchorId="16752C97" wp14:editId="283C526E">
            <wp:extent cx="4913906" cy="2912834"/>
            <wp:effectExtent l="0" t="0" r="1270" b="1905"/>
            <wp:docPr id="33" name="Chart 33">
              <a:extLst xmlns:a="http://schemas.openxmlformats.org/drawingml/2006/main">
                <a:ext uri="{FF2B5EF4-FFF2-40B4-BE49-F238E27FC236}">
                  <a16:creationId xmlns:a16="http://schemas.microsoft.com/office/drawing/2014/main" id="{C0FCF35F-E7A1-47CA-B7E4-283DD19B0B7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29C3E2D" w14:textId="77777777" w:rsidR="007C259A" w:rsidRPr="00BD16B4" w:rsidRDefault="007C259A" w:rsidP="00B35D32">
      <w:pPr>
        <w:pStyle w:val="Note"/>
        <w:spacing w:before="60"/>
      </w:pPr>
      <w:r w:rsidRPr="00BD16B4">
        <w:rPr>
          <w:b/>
          <w:bCs/>
        </w:rPr>
        <w:t>Note:</w:t>
      </w:r>
      <w:r w:rsidRPr="00BD16B4">
        <w:t xml:space="preserve"> LULUCF = land use, land-use change and forestry; Mt CO</w:t>
      </w:r>
      <w:r w:rsidRPr="00BD16B4">
        <w:rPr>
          <w:vertAlign w:val="subscript"/>
        </w:rPr>
        <w:t>2</w:t>
      </w:r>
      <w:r w:rsidRPr="00BD16B4">
        <w:t>-e = million tonnes of carbon dioxide equivalent; WAM = with additional measures; WEM = with existing measures; WOM = without measures. Excludes indirect emissions (such as carbon monoxide, nitrogen oxides, non-methane volatile organic compounds and sulphur oxides) and emissions from international transport.</w:t>
      </w:r>
    </w:p>
    <w:p w14:paraId="0F0A083D" w14:textId="77777777" w:rsidR="007C259A" w:rsidRPr="00BD16B4" w:rsidRDefault="007C259A" w:rsidP="007C259A">
      <w:pPr>
        <w:pStyle w:val="Heading3"/>
      </w:pPr>
      <w:r w:rsidRPr="00BD16B4">
        <w:lastRenderedPageBreak/>
        <w:t>5.2.1</w:t>
      </w:r>
      <w:r w:rsidRPr="00BD16B4">
        <w:tab/>
        <w:t>Policies and measures considered under the WEM, WOM and WAM scenarios</w:t>
      </w:r>
    </w:p>
    <w:p w14:paraId="0EEABA82" w14:textId="77777777" w:rsidR="007C259A" w:rsidRPr="00BD16B4" w:rsidRDefault="007C259A" w:rsidP="007C259A">
      <w:pPr>
        <w:pStyle w:val="BodyText"/>
        <w:keepNext/>
      </w:pPr>
      <w:r w:rsidRPr="00BD16B4">
        <w:t xml:space="preserve">Table 5.1 gives an overview of the policies and measures considered under the different scenarios. For details about each policy and measure, see chapter 4. </w:t>
      </w:r>
    </w:p>
    <w:p w14:paraId="5E01BABE" w14:textId="77777777" w:rsidR="007C259A" w:rsidRPr="00BD16B4" w:rsidRDefault="007C259A" w:rsidP="00BB7302">
      <w:pPr>
        <w:pStyle w:val="Tableheading"/>
        <w:rPr>
          <w:rFonts w:eastAsia="Calibri"/>
        </w:rPr>
      </w:pPr>
      <w:bookmarkStart w:id="275" w:name="_Toc121773791"/>
      <w:r w:rsidRPr="00BD16B4">
        <w:t xml:space="preserve">Table 5.1: </w:t>
      </w:r>
      <w:r w:rsidRPr="00BD16B4">
        <w:tab/>
        <w:t>Policies and measures included in the WEM, WOM and WAM scenarios</w:t>
      </w:r>
      <w:bookmarkEnd w:id="275"/>
      <w:r w:rsidRPr="00BD16B4">
        <w:t xml:space="preserve"> </w:t>
      </w:r>
    </w:p>
    <w:tbl>
      <w:tblPr>
        <w:tblStyle w:val="TableGrid1"/>
        <w:tblW w:w="8505" w:type="dxa"/>
        <w:tblInd w:w="113" w:type="dxa"/>
        <w:tblLayout w:type="fixed"/>
        <w:tblCellMar>
          <w:left w:w="57" w:type="dxa"/>
          <w:right w:w="57" w:type="dxa"/>
        </w:tblCellMar>
        <w:tblLook w:val="04A0" w:firstRow="1" w:lastRow="0" w:firstColumn="1" w:lastColumn="0" w:noHBand="0" w:noVBand="1"/>
      </w:tblPr>
      <w:tblGrid>
        <w:gridCol w:w="1758"/>
        <w:gridCol w:w="1129"/>
        <w:gridCol w:w="1335"/>
        <w:gridCol w:w="645"/>
        <w:gridCol w:w="595"/>
        <w:gridCol w:w="595"/>
        <w:gridCol w:w="2448"/>
      </w:tblGrid>
      <w:tr w:rsidR="007C259A" w:rsidRPr="00BD16B4" w14:paraId="05A2B026" w14:textId="77777777" w:rsidTr="003012E1">
        <w:trPr>
          <w:tblHeader/>
        </w:trPr>
        <w:tc>
          <w:tcPr>
            <w:tcW w:w="1871" w:type="dxa"/>
            <w:tcBorders>
              <w:right w:val="nil"/>
            </w:tcBorders>
            <w:shd w:val="clear" w:color="auto" w:fill="1B556B" w:themeFill="text2"/>
            <w:vAlign w:val="bottom"/>
          </w:tcPr>
          <w:p w14:paraId="03660559" w14:textId="77777777" w:rsidR="007C259A" w:rsidRPr="00BD16B4" w:rsidRDefault="007C259A" w:rsidP="00F31129">
            <w:pPr>
              <w:pStyle w:val="TableTextBold0"/>
              <w:rPr>
                <w:b w:val="0"/>
                <w:bCs/>
                <w:color w:val="FFFFFF" w:themeColor="background1"/>
                <w:szCs w:val="18"/>
                <w:lang w:val="en-NZ"/>
              </w:rPr>
            </w:pPr>
            <w:r w:rsidRPr="00BD16B4">
              <w:rPr>
                <w:color w:val="FFFFFF" w:themeColor="background1"/>
                <w:szCs w:val="18"/>
                <w:lang w:val="en-NZ"/>
              </w:rPr>
              <w:t>Policy or measure</w:t>
            </w:r>
          </w:p>
        </w:tc>
        <w:tc>
          <w:tcPr>
            <w:tcW w:w="1198" w:type="dxa"/>
            <w:tcBorders>
              <w:left w:val="nil"/>
              <w:right w:val="nil"/>
            </w:tcBorders>
            <w:shd w:val="clear" w:color="auto" w:fill="1B556B" w:themeFill="text2"/>
            <w:vAlign w:val="bottom"/>
          </w:tcPr>
          <w:p w14:paraId="7BE7DBEE" w14:textId="77777777" w:rsidR="007C259A" w:rsidRPr="00BD16B4" w:rsidRDefault="007C259A" w:rsidP="00F31129">
            <w:pPr>
              <w:pStyle w:val="TableTextBold0"/>
              <w:rPr>
                <w:b w:val="0"/>
                <w:bCs/>
                <w:color w:val="FFFFFF" w:themeColor="background1"/>
                <w:szCs w:val="18"/>
                <w:lang w:val="en-NZ"/>
              </w:rPr>
            </w:pPr>
            <w:r w:rsidRPr="00BD16B4">
              <w:rPr>
                <w:color w:val="FFFFFF" w:themeColor="background1"/>
                <w:szCs w:val="18"/>
                <w:lang w:val="en-NZ"/>
              </w:rPr>
              <w:t>Timeframe implemented</w:t>
            </w:r>
          </w:p>
        </w:tc>
        <w:tc>
          <w:tcPr>
            <w:tcW w:w="1418" w:type="dxa"/>
            <w:tcBorders>
              <w:left w:val="nil"/>
              <w:right w:val="nil"/>
            </w:tcBorders>
            <w:shd w:val="clear" w:color="auto" w:fill="1B556B" w:themeFill="text2"/>
            <w:vAlign w:val="bottom"/>
          </w:tcPr>
          <w:p w14:paraId="08ED26EF" w14:textId="77777777" w:rsidR="007C259A" w:rsidRPr="00BD16B4" w:rsidRDefault="007C259A" w:rsidP="00F31129">
            <w:pPr>
              <w:pStyle w:val="TableTextBold0"/>
              <w:rPr>
                <w:b w:val="0"/>
                <w:bCs/>
                <w:color w:val="FFFFFF" w:themeColor="background1"/>
                <w:szCs w:val="18"/>
                <w:lang w:val="en-NZ"/>
              </w:rPr>
            </w:pPr>
            <w:r w:rsidRPr="00BD16B4">
              <w:rPr>
                <w:color w:val="FFFFFF" w:themeColor="background1"/>
                <w:szCs w:val="18"/>
                <w:lang w:val="en-NZ"/>
              </w:rPr>
              <w:t>Sector</w:t>
            </w:r>
          </w:p>
        </w:tc>
        <w:tc>
          <w:tcPr>
            <w:tcW w:w="680" w:type="dxa"/>
            <w:tcBorders>
              <w:left w:val="nil"/>
              <w:right w:val="nil"/>
            </w:tcBorders>
            <w:shd w:val="clear" w:color="auto" w:fill="1B556B" w:themeFill="text2"/>
            <w:vAlign w:val="bottom"/>
          </w:tcPr>
          <w:p w14:paraId="0CFB60D7" w14:textId="77777777" w:rsidR="007C259A" w:rsidRPr="00BD16B4" w:rsidRDefault="007C259A" w:rsidP="00F31129">
            <w:pPr>
              <w:pStyle w:val="TableTextBold0"/>
              <w:rPr>
                <w:b w:val="0"/>
                <w:bCs/>
                <w:color w:val="FFFFFF" w:themeColor="background1"/>
                <w:szCs w:val="18"/>
                <w:lang w:val="en-NZ"/>
              </w:rPr>
            </w:pPr>
            <w:r w:rsidRPr="00BD16B4">
              <w:rPr>
                <w:color w:val="FFFFFF" w:themeColor="background1"/>
                <w:szCs w:val="18"/>
                <w:lang w:val="en-NZ"/>
              </w:rPr>
              <w:t>WEM</w:t>
            </w:r>
          </w:p>
        </w:tc>
        <w:tc>
          <w:tcPr>
            <w:tcW w:w="627" w:type="dxa"/>
            <w:tcBorders>
              <w:left w:val="nil"/>
              <w:right w:val="nil"/>
            </w:tcBorders>
            <w:shd w:val="clear" w:color="auto" w:fill="1B556B" w:themeFill="text2"/>
            <w:vAlign w:val="bottom"/>
          </w:tcPr>
          <w:p w14:paraId="22BECC8F" w14:textId="77777777" w:rsidR="007C259A" w:rsidRPr="00BD16B4" w:rsidRDefault="007C259A" w:rsidP="00F31129">
            <w:pPr>
              <w:pStyle w:val="TableTextBold0"/>
              <w:rPr>
                <w:b w:val="0"/>
                <w:bCs/>
                <w:color w:val="FFFFFF" w:themeColor="background1"/>
                <w:szCs w:val="18"/>
                <w:lang w:val="en-NZ"/>
              </w:rPr>
            </w:pPr>
            <w:r w:rsidRPr="00BD16B4">
              <w:rPr>
                <w:color w:val="FFFFFF" w:themeColor="background1"/>
                <w:szCs w:val="18"/>
                <w:lang w:val="en-NZ"/>
              </w:rPr>
              <w:t>WOM</w:t>
            </w:r>
          </w:p>
        </w:tc>
        <w:tc>
          <w:tcPr>
            <w:tcW w:w="627" w:type="dxa"/>
            <w:tcBorders>
              <w:left w:val="nil"/>
              <w:right w:val="nil"/>
            </w:tcBorders>
            <w:shd w:val="clear" w:color="auto" w:fill="1B556B" w:themeFill="text2"/>
            <w:vAlign w:val="bottom"/>
          </w:tcPr>
          <w:p w14:paraId="0CBA431F" w14:textId="77777777" w:rsidR="007C259A" w:rsidRPr="00BD16B4" w:rsidRDefault="007C259A" w:rsidP="00F31129">
            <w:pPr>
              <w:pStyle w:val="TableTextBold0"/>
              <w:rPr>
                <w:b w:val="0"/>
                <w:bCs/>
                <w:color w:val="FFFFFF" w:themeColor="background1"/>
                <w:szCs w:val="18"/>
                <w:lang w:val="en-NZ"/>
              </w:rPr>
            </w:pPr>
            <w:r w:rsidRPr="00BD16B4">
              <w:rPr>
                <w:color w:val="FFFFFF" w:themeColor="background1"/>
                <w:szCs w:val="18"/>
                <w:lang w:val="en-NZ"/>
              </w:rPr>
              <w:t>WAM</w:t>
            </w:r>
          </w:p>
        </w:tc>
        <w:tc>
          <w:tcPr>
            <w:tcW w:w="2608" w:type="dxa"/>
            <w:tcBorders>
              <w:left w:val="nil"/>
            </w:tcBorders>
            <w:shd w:val="clear" w:color="auto" w:fill="1B556B" w:themeFill="text2"/>
            <w:vAlign w:val="bottom"/>
          </w:tcPr>
          <w:p w14:paraId="60ADC670" w14:textId="77777777" w:rsidR="007C259A" w:rsidRPr="00BD16B4" w:rsidRDefault="007C259A" w:rsidP="00F31129">
            <w:pPr>
              <w:pStyle w:val="TableTextBold0"/>
              <w:rPr>
                <w:b w:val="0"/>
                <w:bCs/>
                <w:color w:val="FFFFFF" w:themeColor="background1"/>
                <w:szCs w:val="18"/>
                <w:lang w:val="en-NZ"/>
              </w:rPr>
            </w:pPr>
            <w:r w:rsidRPr="00BD16B4">
              <w:rPr>
                <w:color w:val="FFFFFF" w:themeColor="background1"/>
                <w:szCs w:val="18"/>
                <w:lang w:val="en-NZ"/>
              </w:rPr>
              <w:t>Remarks</w:t>
            </w:r>
          </w:p>
        </w:tc>
      </w:tr>
      <w:tr w:rsidR="007C259A" w:rsidRPr="00BD16B4" w14:paraId="644B6002" w14:textId="77777777" w:rsidTr="003012E1">
        <w:tc>
          <w:tcPr>
            <w:tcW w:w="1871" w:type="dxa"/>
            <w:tcBorders>
              <w:bottom w:val="single" w:sz="4" w:space="0" w:color="1B556B" w:themeColor="text2"/>
            </w:tcBorders>
          </w:tcPr>
          <w:p w14:paraId="4D4C6624" w14:textId="77777777" w:rsidR="007C259A" w:rsidRPr="00BD16B4" w:rsidRDefault="007C259A" w:rsidP="00F31129">
            <w:pPr>
              <w:pStyle w:val="TableTextBold0"/>
              <w:rPr>
                <w:b w:val="0"/>
                <w:bCs/>
                <w:szCs w:val="18"/>
                <w:lang w:val="en-NZ"/>
              </w:rPr>
            </w:pPr>
            <w:r w:rsidRPr="00BD16B4">
              <w:rPr>
                <w:b w:val="0"/>
                <w:bCs/>
                <w:szCs w:val="18"/>
                <w:lang w:val="en-NZ"/>
              </w:rPr>
              <w:t xml:space="preserve">New Zealand Emissions Trading Scheme </w:t>
            </w:r>
          </w:p>
        </w:tc>
        <w:tc>
          <w:tcPr>
            <w:tcW w:w="1198" w:type="dxa"/>
            <w:tcBorders>
              <w:bottom w:val="single" w:sz="4" w:space="0" w:color="1B556B" w:themeColor="text2"/>
            </w:tcBorders>
          </w:tcPr>
          <w:p w14:paraId="06F73FBC"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2008–</w:t>
            </w:r>
          </w:p>
        </w:tc>
        <w:tc>
          <w:tcPr>
            <w:tcW w:w="1418" w:type="dxa"/>
            <w:tcBorders>
              <w:bottom w:val="single" w:sz="4" w:space="0" w:color="1B556B" w:themeColor="text2"/>
            </w:tcBorders>
          </w:tcPr>
          <w:p w14:paraId="5654BBCE"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Cross-sectoral</w:t>
            </w:r>
            <w:r w:rsidRPr="00BD16B4">
              <w:rPr>
                <w:rStyle w:val="FootnoteReference"/>
                <w:rFonts w:cs="Calibri"/>
                <w:sz w:val="18"/>
                <w:szCs w:val="18"/>
                <w:lang w:val="en-NZ"/>
              </w:rPr>
              <w:footnoteReference w:id="226"/>
            </w:r>
          </w:p>
        </w:tc>
        <w:tc>
          <w:tcPr>
            <w:tcW w:w="680" w:type="dxa"/>
            <w:tcBorders>
              <w:bottom w:val="single" w:sz="4" w:space="0" w:color="1B556B" w:themeColor="text2"/>
            </w:tcBorders>
          </w:tcPr>
          <w:p w14:paraId="0BB5A3A2"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627" w:type="dxa"/>
            <w:tcBorders>
              <w:bottom w:val="single" w:sz="4" w:space="0" w:color="1B556B" w:themeColor="text2"/>
            </w:tcBorders>
          </w:tcPr>
          <w:p w14:paraId="52533081" w14:textId="77777777" w:rsidR="007C259A" w:rsidRPr="00BD16B4" w:rsidRDefault="007C259A" w:rsidP="00F31129">
            <w:pPr>
              <w:pStyle w:val="TableText"/>
              <w:spacing w:before="50" w:after="50"/>
              <w:jc w:val="center"/>
              <w:rPr>
                <w:rFonts w:cs="Calibri"/>
                <w:szCs w:val="18"/>
                <w:lang w:val="en-NZ"/>
              </w:rPr>
            </w:pPr>
          </w:p>
        </w:tc>
        <w:tc>
          <w:tcPr>
            <w:tcW w:w="627" w:type="dxa"/>
            <w:tcBorders>
              <w:bottom w:val="single" w:sz="4" w:space="0" w:color="1B556B" w:themeColor="text2"/>
            </w:tcBorders>
          </w:tcPr>
          <w:p w14:paraId="5C78969C"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2608" w:type="dxa"/>
            <w:tcBorders>
              <w:bottom w:val="single" w:sz="4" w:space="0" w:color="1B556B" w:themeColor="text2"/>
            </w:tcBorders>
          </w:tcPr>
          <w:p w14:paraId="1936BF08"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 xml:space="preserve">Obligations for: forestry from 2008; stationary energy, industrial processes and transport from 2010; fluorinated gases from 2013; waste from 2013 </w:t>
            </w:r>
          </w:p>
        </w:tc>
      </w:tr>
      <w:tr w:rsidR="007C259A" w:rsidRPr="00BD16B4" w14:paraId="333960BE" w14:textId="77777777" w:rsidTr="003012E1">
        <w:tc>
          <w:tcPr>
            <w:tcW w:w="1871" w:type="dxa"/>
          </w:tcPr>
          <w:p w14:paraId="3AAF1F38" w14:textId="77777777" w:rsidR="007C259A" w:rsidRPr="00BD16B4" w:rsidRDefault="007C259A" w:rsidP="00F31129">
            <w:pPr>
              <w:pStyle w:val="TableTextBold0"/>
              <w:rPr>
                <w:b w:val="0"/>
                <w:bCs/>
                <w:szCs w:val="18"/>
                <w:lang w:val="en-NZ"/>
              </w:rPr>
            </w:pPr>
            <w:r w:rsidRPr="00BD16B4">
              <w:rPr>
                <w:b w:val="0"/>
                <w:bCs/>
                <w:szCs w:val="18"/>
                <w:lang w:val="en-NZ"/>
              </w:rPr>
              <w:t>GIDI</w:t>
            </w:r>
            <w:r w:rsidRPr="00BD16B4">
              <w:rPr>
                <w:rStyle w:val="FootnoteReference"/>
                <w:b w:val="0"/>
                <w:bCs/>
                <w:sz w:val="18"/>
                <w:szCs w:val="18"/>
                <w:lang w:val="en-NZ"/>
              </w:rPr>
              <w:footnoteReference w:id="227"/>
            </w:r>
            <w:r w:rsidRPr="00BD16B4">
              <w:rPr>
                <w:b w:val="0"/>
                <w:bCs/>
                <w:szCs w:val="18"/>
                <w:lang w:val="en-NZ"/>
              </w:rPr>
              <w:t xml:space="preserve"> expansion</w:t>
            </w:r>
          </w:p>
        </w:tc>
        <w:tc>
          <w:tcPr>
            <w:tcW w:w="1198" w:type="dxa"/>
          </w:tcPr>
          <w:p w14:paraId="6B4D6FCC"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2026–</w:t>
            </w:r>
          </w:p>
        </w:tc>
        <w:tc>
          <w:tcPr>
            <w:tcW w:w="1418" w:type="dxa"/>
          </w:tcPr>
          <w:p w14:paraId="14C6D7C1"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Energy</w:t>
            </w:r>
          </w:p>
        </w:tc>
        <w:tc>
          <w:tcPr>
            <w:tcW w:w="680" w:type="dxa"/>
          </w:tcPr>
          <w:p w14:paraId="2B4FB74B" w14:textId="77777777" w:rsidR="007C259A" w:rsidRPr="00BD16B4" w:rsidRDefault="007C259A" w:rsidP="00F31129">
            <w:pPr>
              <w:pStyle w:val="TableText"/>
              <w:spacing w:before="50" w:after="50"/>
              <w:jc w:val="center"/>
              <w:rPr>
                <w:rFonts w:eastAsia="Wingdings" w:cs="Calibri"/>
                <w:szCs w:val="18"/>
                <w:lang w:val="en-NZ"/>
              </w:rPr>
            </w:pPr>
          </w:p>
        </w:tc>
        <w:tc>
          <w:tcPr>
            <w:tcW w:w="627" w:type="dxa"/>
          </w:tcPr>
          <w:p w14:paraId="2C378A38" w14:textId="77777777" w:rsidR="007C259A" w:rsidRPr="00BD16B4" w:rsidRDefault="007C259A" w:rsidP="00F31129">
            <w:pPr>
              <w:pStyle w:val="TableText"/>
              <w:spacing w:before="50" w:after="50"/>
              <w:jc w:val="center"/>
              <w:rPr>
                <w:rFonts w:cs="Calibri"/>
                <w:szCs w:val="18"/>
                <w:lang w:val="en-NZ"/>
              </w:rPr>
            </w:pPr>
          </w:p>
        </w:tc>
        <w:tc>
          <w:tcPr>
            <w:tcW w:w="627" w:type="dxa"/>
          </w:tcPr>
          <w:p w14:paraId="69BE553E" w14:textId="77777777" w:rsidR="007C259A" w:rsidRPr="00BD16B4" w:rsidRDefault="007C259A" w:rsidP="00F31129">
            <w:pPr>
              <w:pStyle w:val="TableText"/>
              <w:spacing w:before="50" w:after="50"/>
              <w:jc w:val="center"/>
              <w:rPr>
                <w:rFonts w:eastAsia="Wingdings" w:cs="Calibri"/>
                <w:szCs w:val="18"/>
                <w:lang w:val="en-NZ"/>
              </w:rPr>
            </w:pPr>
            <w:r w:rsidRPr="00BD16B4">
              <w:rPr>
                <w:rFonts w:eastAsia="Wingdings" w:cs="Calibri"/>
                <w:szCs w:val="18"/>
                <w:lang w:val="en-NZ"/>
              </w:rPr>
              <w:sym w:font="Wingdings" w:char="F0FC"/>
            </w:r>
          </w:p>
        </w:tc>
        <w:tc>
          <w:tcPr>
            <w:tcW w:w="2608" w:type="dxa"/>
          </w:tcPr>
          <w:p w14:paraId="45D90FA1"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GIDI expansion from 2026</w:t>
            </w:r>
          </w:p>
        </w:tc>
      </w:tr>
      <w:tr w:rsidR="007C259A" w:rsidRPr="00BD16B4" w14:paraId="4AA49838" w14:textId="77777777" w:rsidTr="003012E1">
        <w:tc>
          <w:tcPr>
            <w:tcW w:w="1871" w:type="dxa"/>
          </w:tcPr>
          <w:p w14:paraId="3B4116EA" w14:textId="77777777" w:rsidR="007C259A" w:rsidRPr="00BD16B4" w:rsidRDefault="007C259A" w:rsidP="00F31129">
            <w:pPr>
              <w:pStyle w:val="TableTextBold0"/>
              <w:rPr>
                <w:b w:val="0"/>
                <w:bCs/>
                <w:szCs w:val="18"/>
                <w:lang w:val="en-NZ"/>
              </w:rPr>
            </w:pPr>
            <w:r w:rsidRPr="00BD16B4">
              <w:rPr>
                <w:b w:val="0"/>
                <w:bCs/>
                <w:szCs w:val="18"/>
                <w:lang w:val="en-NZ"/>
              </w:rPr>
              <w:t>Regulatory amendment project (Energy Efficiency and Conservation Act)</w:t>
            </w:r>
          </w:p>
        </w:tc>
        <w:tc>
          <w:tcPr>
            <w:tcW w:w="1198" w:type="dxa"/>
          </w:tcPr>
          <w:p w14:paraId="4B18EA32" w14:textId="75006756" w:rsidR="007C259A" w:rsidRPr="00BD16B4" w:rsidRDefault="007C259A" w:rsidP="00F31129">
            <w:pPr>
              <w:pStyle w:val="TableText"/>
              <w:spacing w:before="50" w:after="50"/>
              <w:rPr>
                <w:rFonts w:cs="Calibri"/>
                <w:szCs w:val="18"/>
                <w:lang w:val="en-NZ"/>
              </w:rPr>
            </w:pPr>
            <w:r w:rsidRPr="00BD16B4">
              <w:rPr>
                <w:rFonts w:cs="Calibri"/>
                <w:szCs w:val="18"/>
                <w:lang w:val="en-NZ"/>
              </w:rPr>
              <w:t>202</w:t>
            </w:r>
            <w:r w:rsidR="00C96BF4" w:rsidRPr="00BD16B4">
              <w:rPr>
                <w:rFonts w:cs="Calibri"/>
                <w:szCs w:val="18"/>
                <w:lang w:val="en-NZ"/>
              </w:rPr>
              <w:t>5</w:t>
            </w:r>
            <w:r w:rsidRPr="00BD16B4">
              <w:rPr>
                <w:rFonts w:cs="Calibri"/>
                <w:szCs w:val="18"/>
                <w:lang w:val="en-NZ"/>
              </w:rPr>
              <w:t>–</w:t>
            </w:r>
          </w:p>
        </w:tc>
        <w:tc>
          <w:tcPr>
            <w:tcW w:w="1418" w:type="dxa"/>
          </w:tcPr>
          <w:p w14:paraId="15DD5C2E"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Energy</w:t>
            </w:r>
          </w:p>
        </w:tc>
        <w:tc>
          <w:tcPr>
            <w:tcW w:w="680" w:type="dxa"/>
          </w:tcPr>
          <w:p w14:paraId="68260648" w14:textId="77777777" w:rsidR="007C259A" w:rsidRPr="00BD16B4" w:rsidRDefault="007C259A" w:rsidP="00F31129">
            <w:pPr>
              <w:pStyle w:val="TableText"/>
              <w:spacing w:before="50" w:after="50"/>
              <w:jc w:val="center"/>
              <w:rPr>
                <w:rFonts w:eastAsia="Wingdings" w:cs="Calibri"/>
                <w:szCs w:val="18"/>
                <w:lang w:val="en-NZ"/>
              </w:rPr>
            </w:pPr>
          </w:p>
        </w:tc>
        <w:tc>
          <w:tcPr>
            <w:tcW w:w="627" w:type="dxa"/>
          </w:tcPr>
          <w:p w14:paraId="15CBF37E" w14:textId="77777777" w:rsidR="007C259A" w:rsidRPr="00BD16B4" w:rsidRDefault="007C259A" w:rsidP="00F31129">
            <w:pPr>
              <w:pStyle w:val="TableText"/>
              <w:spacing w:before="50" w:after="50"/>
              <w:jc w:val="center"/>
              <w:rPr>
                <w:rFonts w:cs="Calibri"/>
                <w:szCs w:val="18"/>
                <w:lang w:val="en-NZ"/>
              </w:rPr>
            </w:pPr>
          </w:p>
        </w:tc>
        <w:tc>
          <w:tcPr>
            <w:tcW w:w="627" w:type="dxa"/>
          </w:tcPr>
          <w:p w14:paraId="4C48DB80" w14:textId="77777777" w:rsidR="007C259A" w:rsidRPr="00BD16B4" w:rsidRDefault="007C259A" w:rsidP="00F31129">
            <w:pPr>
              <w:pStyle w:val="TableText"/>
              <w:spacing w:before="50" w:after="50"/>
              <w:jc w:val="center"/>
              <w:rPr>
                <w:rFonts w:eastAsia="Wingdings" w:cs="Calibri"/>
                <w:szCs w:val="18"/>
                <w:lang w:val="en-NZ"/>
              </w:rPr>
            </w:pPr>
            <w:r w:rsidRPr="00BD16B4">
              <w:rPr>
                <w:rFonts w:eastAsia="Wingdings" w:cs="Calibri"/>
                <w:szCs w:val="18"/>
                <w:lang w:val="en-NZ"/>
              </w:rPr>
              <w:sym w:font="Wingdings" w:char="F0FC"/>
            </w:r>
          </w:p>
        </w:tc>
        <w:tc>
          <w:tcPr>
            <w:tcW w:w="2608" w:type="dxa"/>
          </w:tcPr>
          <w:p w14:paraId="22199638" w14:textId="77777777" w:rsidR="007C259A" w:rsidRPr="00BD16B4" w:rsidRDefault="007C259A" w:rsidP="00F31129">
            <w:pPr>
              <w:pStyle w:val="TableText"/>
              <w:spacing w:before="50" w:after="50"/>
              <w:rPr>
                <w:rFonts w:cs="Calibri"/>
                <w:szCs w:val="18"/>
                <w:lang w:val="en-NZ"/>
              </w:rPr>
            </w:pPr>
          </w:p>
        </w:tc>
      </w:tr>
      <w:tr w:rsidR="007C259A" w:rsidRPr="00BD16B4" w14:paraId="2A21BACF" w14:textId="77777777" w:rsidTr="003012E1">
        <w:tc>
          <w:tcPr>
            <w:tcW w:w="1871" w:type="dxa"/>
          </w:tcPr>
          <w:p w14:paraId="277066D3" w14:textId="77777777" w:rsidR="007C259A" w:rsidRPr="00BD16B4" w:rsidRDefault="007C259A" w:rsidP="00F31129">
            <w:pPr>
              <w:pStyle w:val="TableTextBold0"/>
              <w:rPr>
                <w:b w:val="0"/>
                <w:bCs/>
                <w:szCs w:val="18"/>
                <w:lang w:val="en-NZ"/>
              </w:rPr>
            </w:pPr>
            <w:r w:rsidRPr="00BD16B4">
              <w:rPr>
                <w:b w:val="0"/>
                <w:bCs/>
                <w:szCs w:val="18"/>
                <w:lang w:val="en-NZ"/>
              </w:rPr>
              <w:t>Road User Charges exemptions for EVs</w:t>
            </w:r>
          </w:p>
        </w:tc>
        <w:tc>
          <w:tcPr>
            <w:tcW w:w="1198" w:type="dxa"/>
          </w:tcPr>
          <w:p w14:paraId="1E257543"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2012–2024, 2025</w:t>
            </w:r>
          </w:p>
        </w:tc>
        <w:tc>
          <w:tcPr>
            <w:tcW w:w="1418" w:type="dxa"/>
          </w:tcPr>
          <w:p w14:paraId="1E103F31"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Transport</w:t>
            </w:r>
          </w:p>
        </w:tc>
        <w:tc>
          <w:tcPr>
            <w:tcW w:w="680" w:type="dxa"/>
          </w:tcPr>
          <w:p w14:paraId="705508F3"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627" w:type="dxa"/>
          </w:tcPr>
          <w:p w14:paraId="09453D6E" w14:textId="77777777" w:rsidR="007C259A" w:rsidRPr="00BD16B4" w:rsidRDefault="007C259A" w:rsidP="00F31129">
            <w:pPr>
              <w:pStyle w:val="TableText"/>
              <w:spacing w:before="50" w:after="50"/>
              <w:jc w:val="center"/>
              <w:rPr>
                <w:rFonts w:cs="Calibri"/>
                <w:szCs w:val="18"/>
                <w:lang w:val="en-NZ"/>
              </w:rPr>
            </w:pPr>
          </w:p>
        </w:tc>
        <w:tc>
          <w:tcPr>
            <w:tcW w:w="627" w:type="dxa"/>
          </w:tcPr>
          <w:p w14:paraId="40524ED9" w14:textId="1F43A11A" w:rsidR="007C259A" w:rsidRPr="00BD16B4" w:rsidRDefault="002D02DE"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2608" w:type="dxa"/>
          </w:tcPr>
          <w:p w14:paraId="30A7A2EA"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For light EVs until 2024, heavy EVs until 2025</w:t>
            </w:r>
          </w:p>
        </w:tc>
      </w:tr>
      <w:tr w:rsidR="007C259A" w:rsidRPr="00BD16B4" w14:paraId="2995A2E6" w14:textId="77777777" w:rsidTr="003012E1">
        <w:tc>
          <w:tcPr>
            <w:tcW w:w="1871" w:type="dxa"/>
          </w:tcPr>
          <w:p w14:paraId="6B085BD5" w14:textId="77777777" w:rsidR="007C259A" w:rsidRPr="00BD16B4" w:rsidRDefault="007C259A" w:rsidP="00F31129">
            <w:pPr>
              <w:pStyle w:val="TableTextBold0"/>
              <w:rPr>
                <w:b w:val="0"/>
                <w:bCs/>
                <w:szCs w:val="18"/>
                <w:lang w:val="en-NZ"/>
              </w:rPr>
            </w:pPr>
            <w:r w:rsidRPr="00BD16B4">
              <w:rPr>
                <w:b w:val="0"/>
                <w:bCs/>
                <w:szCs w:val="18"/>
                <w:lang w:val="en-NZ"/>
              </w:rPr>
              <w:t>Kigali Amendment to the Montreal Protocol</w:t>
            </w:r>
          </w:p>
        </w:tc>
        <w:tc>
          <w:tcPr>
            <w:tcW w:w="1198" w:type="dxa"/>
          </w:tcPr>
          <w:p w14:paraId="3AB7E2E8"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2020–</w:t>
            </w:r>
          </w:p>
        </w:tc>
        <w:tc>
          <w:tcPr>
            <w:tcW w:w="1418" w:type="dxa"/>
          </w:tcPr>
          <w:p w14:paraId="3B88A0BE"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IPPU</w:t>
            </w:r>
          </w:p>
        </w:tc>
        <w:tc>
          <w:tcPr>
            <w:tcW w:w="680" w:type="dxa"/>
          </w:tcPr>
          <w:p w14:paraId="038B774A"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627" w:type="dxa"/>
          </w:tcPr>
          <w:p w14:paraId="186BF254" w14:textId="77777777" w:rsidR="007C259A" w:rsidRPr="00BD16B4" w:rsidRDefault="007C259A" w:rsidP="00F31129">
            <w:pPr>
              <w:pStyle w:val="TableText"/>
              <w:spacing w:before="50" w:after="50"/>
              <w:jc w:val="center"/>
              <w:rPr>
                <w:rFonts w:cs="Calibri"/>
                <w:szCs w:val="18"/>
                <w:lang w:val="en-NZ"/>
              </w:rPr>
            </w:pPr>
          </w:p>
        </w:tc>
        <w:tc>
          <w:tcPr>
            <w:tcW w:w="627" w:type="dxa"/>
          </w:tcPr>
          <w:p w14:paraId="003C4CF2"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2608" w:type="dxa"/>
          </w:tcPr>
          <w:p w14:paraId="24609DE2" w14:textId="77777777" w:rsidR="007C259A" w:rsidRPr="00BD16B4" w:rsidRDefault="007C259A" w:rsidP="00F31129">
            <w:pPr>
              <w:pStyle w:val="TableText"/>
              <w:spacing w:before="50" w:after="50"/>
              <w:rPr>
                <w:rFonts w:cs="Calibri"/>
                <w:szCs w:val="18"/>
                <w:lang w:val="en-NZ"/>
              </w:rPr>
            </w:pPr>
          </w:p>
        </w:tc>
      </w:tr>
      <w:tr w:rsidR="007C259A" w:rsidRPr="00BD16B4" w14:paraId="1A1D041A" w14:textId="77777777" w:rsidTr="003012E1">
        <w:tc>
          <w:tcPr>
            <w:tcW w:w="1871" w:type="dxa"/>
          </w:tcPr>
          <w:p w14:paraId="6C971177" w14:textId="77777777" w:rsidR="007C259A" w:rsidRPr="00BD16B4" w:rsidRDefault="007C259A" w:rsidP="00F31129">
            <w:pPr>
              <w:pStyle w:val="TableTextBold0"/>
              <w:rPr>
                <w:b w:val="0"/>
                <w:bCs/>
                <w:szCs w:val="18"/>
                <w:lang w:val="en-NZ"/>
              </w:rPr>
            </w:pPr>
            <w:r w:rsidRPr="00BD16B4">
              <w:rPr>
                <w:b w:val="0"/>
                <w:bCs/>
                <w:szCs w:val="18"/>
                <w:lang w:val="en-NZ"/>
              </w:rPr>
              <w:t>Proposals to prohibit imports of pre-charged equipment containing high global warming potential HFCs</w:t>
            </w:r>
          </w:p>
        </w:tc>
        <w:tc>
          <w:tcPr>
            <w:tcW w:w="1198" w:type="dxa"/>
          </w:tcPr>
          <w:p w14:paraId="7A86001B"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 xml:space="preserve">2023– </w:t>
            </w:r>
          </w:p>
        </w:tc>
        <w:tc>
          <w:tcPr>
            <w:tcW w:w="1418" w:type="dxa"/>
          </w:tcPr>
          <w:p w14:paraId="01BF1202"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IPPU</w:t>
            </w:r>
          </w:p>
        </w:tc>
        <w:tc>
          <w:tcPr>
            <w:tcW w:w="680" w:type="dxa"/>
          </w:tcPr>
          <w:p w14:paraId="1A22967E" w14:textId="77777777" w:rsidR="007C259A" w:rsidRPr="00BD16B4" w:rsidRDefault="007C259A" w:rsidP="00F31129">
            <w:pPr>
              <w:pStyle w:val="TableText"/>
              <w:spacing w:before="50" w:after="50"/>
              <w:jc w:val="center"/>
              <w:rPr>
                <w:rFonts w:eastAsia="Wingdings" w:cs="Calibri"/>
                <w:szCs w:val="18"/>
                <w:lang w:val="en-NZ"/>
              </w:rPr>
            </w:pPr>
          </w:p>
        </w:tc>
        <w:tc>
          <w:tcPr>
            <w:tcW w:w="627" w:type="dxa"/>
          </w:tcPr>
          <w:p w14:paraId="3BF4295B" w14:textId="77777777" w:rsidR="007C259A" w:rsidRPr="00BD16B4" w:rsidRDefault="007C259A" w:rsidP="00F31129">
            <w:pPr>
              <w:pStyle w:val="TableText"/>
              <w:spacing w:before="50" w:after="50"/>
              <w:jc w:val="center"/>
              <w:rPr>
                <w:rFonts w:cs="Calibri"/>
                <w:szCs w:val="18"/>
                <w:lang w:val="en-NZ"/>
              </w:rPr>
            </w:pPr>
          </w:p>
        </w:tc>
        <w:tc>
          <w:tcPr>
            <w:tcW w:w="627" w:type="dxa"/>
          </w:tcPr>
          <w:p w14:paraId="20E360C7" w14:textId="77777777" w:rsidR="007C259A" w:rsidRPr="00BD16B4" w:rsidRDefault="007C259A" w:rsidP="00F31129">
            <w:pPr>
              <w:pStyle w:val="TableText"/>
              <w:spacing w:before="50" w:after="50"/>
              <w:jc w:val="center"/>
              <w:rPr>
                <w:rFonts w:eastAsia="Wingdings" w:cs="Calibri"/>
                <w:szCs w:val="18"/>
                <w:lang w:val="en-NZ"/>
              </w:rPr>
            </w:pPr>
            <w:r w:rsidRPr="00BD16B4">
              <w:rPr>
                <w:rFonts w:eastAsia="Wingdings" w:cs="Calibri"/>
                <w:szCs w:val="18"/>
                <w:lang w:val="en-NZ"/>
              </w:rPr>
              <w:sym w:font="Wingdings" w:char="F0FC"/>
            </w:r>
          </w:p>
        </w:tc>
        <w:tc>
          <w:tcPr>
            <w:tcW w:w="2608" w:type="dxa"/>
          </w:tcPr>
          <w:p w14:paraId="4E04682A" w14:textId="77777777" w:rsidR="007C259A" w:rsidRPr="00BD16B4" w:rsidRDefault="007C259A" w:rsidP="00F31129">
            <w:pPr>
              <w:pStyle w:val="TableText"/>
              <w:spacing w:before="50" w:after="50"/>
              <w:rPr>
                <w:rFonts w:cs="Calibri"/>
                <w:szCs w:val="18"/>
                <w:lang w:val="en-NZ"/>
              </w:rPr>
            </w:pPr>
          </w:p>
        </w:tc>
      </w:tr>
      <w:tr w:rsidR="007C259A" w:rsidRPr="00BD16B4" w14:paraId="74FA2D8F" w14:textId="77777777" w:rsidTr="003012E1">
        <w:tc>
          <w:tcPr>
            <w:tcW w:w="1871" w:type="dxa"/>
          </w:tcPr>
          <w:p w14:paraId="6633220C" w14:textId="77777777" w:rsidR="007C259A" w:rsidRPr="00BD16B4" w:rsidRDefault="007C259A" w:rsidP="00F31129">
            <w:pPr>
              <w:pStyle w:val="TableTextBold0"/>
              <w:rPr>
                <w:b w:val="0"/>
                <w:bCs/>
                <w:szCs w:val="18"/>
                <w:lang w:val="en-NZ"/>
              </w:rPr>
            </w:pPr>
            <w:r w:rsidRPr="00BD16B4">
              <w:rPr>
                <w:b w:val="0"/>
                <w:bCs/>
                <w:szCs w:val="18"/>
                <w:lang w:val="en-NZ"/>
              </w:rPr>
              <w:t>Emission pricing on agricultural emissions with 95% free allocation</w:t>
            </w:r>
          </w:p>
        </w:tc>
        <w:tc>
          <w:tcPr>
            <w:tcW w:w="1198" w:type="dxa"/>
          </w:tcPr>
          <w:p w14:paraId="52AE26EF"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2025–</w:t>
            </w:r>
          </w:p>
        </w:tc>
        <w:tc>
          <w:tcPr>
            <w:tcW w:w="1418" w:type="dxa"/>
          </w:tcPr>
          <w:p w14:paraId="7E189356"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Agriculture</w:t>
            </w:r>
          </w:p>
        </w:tc>
        <w:tc>
          <w:tcPr>
            <w:tcW w:w="680" w:type="dxa"/>
          </w:tcPr>
          <w:p w14:paraId="0FD93565"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627" w:type="dxa"/>
          </w:tcPr>
          <w:p w14:paraId="1AE20D94" w14:textId="77777777" w:rsidR="007C259A" w:rsidRPr="00BD16B4" w:rsidRDefault="007C259A" w:rsidP="00F31129">
            <w:pPr>
              <w:pStyle w:val="TableText"/>
              <w:spacing w:before="50" w:after="50"/>
              <w:jc w:val="center"/>
              <w:rPr>
                <w:rFonts w:cs="Calibri"/>
                <w:szCs w:val="18"/>
                <w:lang w:val="en-NZ"/>
              </w:rPr>
            </w:pPr>
          </w:p>
        </w:tc>
        <w:tc>
          <w:tcPr>
            <w:tcW w:w="627" w:type="dxa"/>
          </w:tcPr>
          <w:p w14:paraId="6D2FAED8"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2608" w:type="dxa"/>
          </w:tcPr>
          <w:p w14:paraId="59538AA1"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Planned policy and measure</w:t>
            </w:r>
          </w:p>
        </w:tc>
      </w:tr>
      <w:tr w:rsidR="007C259A" w:rsidRPr="00BD16B4" w14:paraId="6FEACA9F" w14:textId="77777777" w:rsidTr="003012E1">
        <w:tc>
          <w:tcPr>
            <w:tcW w:w="1871" w:type="dxa"/>
          </w:tcPr>
          <w:p w14:paraId="3CB2B671" w14:textId="77777777" w:rsidR="007C259A" w:rsidRPr="00BD16B4" w:rsidRDefault="007C259A" w:rsidP="00F31129">
            <w:pPr>
              <w:pStyle w:val="TableTextBold0"/>
              <w:rPr>
                <w:b w:val="0"/>
                <w:bCs/>
                <w:szCs w:val="18"/>
                <w:lang w:val="en-NZ"/>
              </w:rPr>
            </w:pPr>
            <w:r w:rsidRPr="00BD16B4">
              <w:rPr>
                <w:b w:val="0"/>
                <w:bCs/>
                <w:szCs w:val="18"/>
                <w:lang w:val="en-NZ"/>
              </w:rPr>
              <w:t>Synthetic nitrogen fertiliser cap (N</w:t>
            </w:r>
            <w:r w:rsidRPr="00BD16B4">
              <w:rPr>
                <w:b w:val="0"/>
                <w:bCs/>
                <w:szCs w:val="18"/>
                <w:lang w:val="en-NZ"/>
              </w:rPr>
              <w:noBreakHyphen/>
              <w:t>cap)</w:t>
            </w:r>
          </w:p>
        </w:tc>
        <w:tc>
          <w:tcPr>
            <w:tcW w:w="1198" w:type="dxa"/>
          </w:tcPr>
          <w:p w14:paraId="2F0DF1AE"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2021–</w:t>
            </w:r>
          </w:p>
        </w:tc>
        <w:tc>
          <w:tcPr>
            <w:tcW w:w="1418" w:type="dxa"/>
          </w:tcPr>
          <w:p w14:paraId="44FD77E1"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Agriculture</w:t>
            </w:r>
          </w:p>
        </w:tc>
        <w:tc>
          <w:tcPr>
            <w:tcW w:w="680" w:type="dxa"/>
          </w:tcPr>
          <w:p w14:paraId="4AECBA25"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627" w:type="dxa"/>
          </w:tcPr>
          <w:p w14:paraId="76ADFB40" w14:textId="77777777" w:rsidR="007C259A" w:rsidRPr="00BD16B4" w:rsidRDefault="007C259A" w:rsidP="00F31129">
            <w:pPr>
              <w:pStyle w:val="TableText"/>
              <w:spacing w:before="50" w:after="50"/>
              <w:jc w:val="center"/>
              <w:rPr>
                <w:rFonts w:cs="Calibri"/>
                <w:szCs w:val="18"/>
                <w:lang w:val="en-NZ"/>
              </w:rPr>
            </w:pPr>
          </w:p>
        </w:tc>
        <w:tc>
          <w:tcPr>
            <w:tcW w:w="627" w:type="dxa"/>
          </w:tcPr>
          <w:p w14:paraId="0B8CAFFA" w14:textId="008821C4" w:rsidR="007C259A" w:rsidRPr="00BD16B4" w:rsidRDefault="002D02DE" w:rsidP="00F31129">
            <w:pPr>
              <w:pStyle w:val="TableText"/>
              <w:spacing w:before="50" w:after="50"/>
              <w:jc w:val="center"/>
              <w:rPr>
                <w:rFonts w:eastAsia="Wingdings" w:cs="Calibri"/>
                <w:szCs w:val="18"/>
                <w:lang w:val="en-NZ"/>
              </w:rPr>
            </w:pPr>
            <w:r w:rsidRPr="00BD16B4">
              <w:rPr>
                <w:rFonts w:eastAsia="Wingdings" w:cs="Calibri"/>
                <w:szCs w:val="18"/>
                <w:lang w:val="en-NZ"/>
              </w:rPr>
              <w:sym w:font="Wingdings" w:char="F0FC"/>
            </w:r>
          </w:p>
        </w:tc>
        <w:tc>
          <w:tcPr>
            <w:tcW w:w="2608" w:type="dxa"/>
          </w:tcPr>
          <w:p w14:paraId="2F47C8B0" w14:textId="77777777" w:rsidR="007C259A" w:rsidRPr="00BD16B4" w:rsidRDefault="007C259A" w:rsidP="00F31129">
            <w:pPr>
              <w:pStyle w:val="TableText"/>
              <w:spacing w:before="50" w:after="50"/>
              <w:rPr>
                <w:rFonts w:cs="Calibri"/>
                <w:szCs w:val="18"/>
                <w:lang w:val="en-NZ"/>
              </w:rPr>
            </w:pPr>
          </w:p>
        </w:tc>
      </w:tr>
      <w:tr w:rsidR="007C259A" w:rsidRPr="00BD16B4" w14:paraId="2CB15B68" w14:textId="77777777" w:rsidTr="003012E1">
        <w:tc>
          <w:tcPr>
            <w:tcW w:w="1871" w:type="dxa"/>
          </w:tcPr>
          <w:p w14:paraId="1D6C28EE" w14:textId="77777777" w:rsidR="007C259A" w:rsidRPr="00BD16B4" w:rsidRDefault="007C259A" w:rsidP="00F31129">
            <w:pPr>
              <w:pStyle w:val="TableTextBold0"/>
              <w:rPr>
                <w:b w:val="0"/>
                <w:bCs/>
                <w:szCs w:val="18"/>
                <w:lang w:val="en-NZ"/>
              </w:rPr>
            </w:pPr>
            <w:r w:rsidRPr="00BD16B4">
              <w:rPr>
                <w:b w:val="0"/>
                <w:bCs/>
                <w:szCs w:val="18"/>
                <w:lang w:val="en-NZ"/>
              </w:rPr>
              <w:t>Essential Freshwater package (excluding the impact of the N</w:t>
            </w:r>
            <w:r w:rsidRPr="00BD16B4">
              <w:rPr>
                <w:b w:val="0"/>
                <w:bCs/>
                <w:szCs w:val="18"/>
                <w:lang w:val="en-NZ"/>
              </w:rPr>
              <w:noBreakHyphen/>
              <w:t>cap)</w:t>
            </w:r>
          </w:p>
        </w:tc>
        <w:tc>
          <w:tcPr>
            <w:tcW w:w="1198" w:type="dxa"/>
          </w:tcPr>
          <w:p w14:paraId="596AECFB"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2020–</w:t>
            </w:r>
          </w:p>
        </w:tc>
        <w:tc>
          <w:tcPr>
            <w:tcW w:w="1418" w:type="dxa"/>
          </w:tcPr>
          <w:p w14:paraId="76122DB3"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Agriculture</w:t>
            </w:r>
          </w:p>
        </w:tc>
        <w:tc>
          <w:tcPr>
            <w:tcW w:w="680" w:type="dxa"/>
          </w:tcPr>
          <w:p w14:paraId="32702809" w14:textId="77777777" w:rsidR="007C259A" w:rsidRPr="00BD16B4" w:rsidRDefault="007C259A" w:rsidP="00F31129">
            <w:pPr>
              <w:pStyle w:val="TableText"/>
              <w:spacing w:before="50" w:after="50"/>
              <w:jc w:val="center"/>
              <w:rPr>
                <w:rFonts w:eastAsia="Wingdings" w:cs="Calibri"/>
                <w:szCs w:val="18"/>
                <w:lang w:val="en-NZ"/>
              </w:rPr>
            </w:pPr>
            <w:r w:rsidRPr="00BD16B4">
              <w:rPr>
                <w:rFonts w:eastAsia="Wingdings" w:cs="Calibri"/>
                <w:szCs w:val="18"/>
                <w:lang w:val="en-NZ"/>
              </w:rPr>
              <w:sym w:font="Wingdings" w:char="F0FC"/>
            </w:r>
          </w:p>
        </w:tc>
        <w:tc>
          <w:tcPr>
            <w:tcW w:w="627" w:type="dxa"/>
          </w:tcPr>
          <w:p w14:paraId="13BCAC6D" w14:textId="77777777" w:rsidR="007C259A" w:rsidRPr="00BD16B4" w:rsidRDefault="007C259A" w:rsidP="00F31129">
            <w:pPr>
              <w:pStyle w:val="TableText"/>
              <w:spacing w:before="50" w:after="50"/>
              <w:jc w:val="center"/>
              <w:rPr>
                <w:rFonts w:cs="Calibri"/>
                <w:szCs w:val="18"/>
                <w:lang w:val="en-NZ"/>
              </w:rPr>
            </w:pPr>
          </w:p>
        </w:tc>
        <w:tc>
          <w:tcPr>
            <w:tcW w:w="627" w:type="dxa"/>
          </w:tcPr>
          <w:p w14:paraId="482F8C31" w14:textId="0183FBFA" w:rsidR="007C259A" w:rsidRPr="00BD16B4" w:rsidRDefault="002D02DE" w:rsidP="00F31129">
            <w:pPr>
              <w:pStyle w:val="TableText"/>
              <w:spacing w:before="50" w:after="50"/>
              <w:jc w:val="center"/>
              <w:rPr>
                <w:rFonts w:eastAsia="Wingdings" w:cs="Calibri"/>
                <w:szCs w:val="18"/>
                <w:lang w:val="en-NZ"/>
              </w:rPr>
            </w:pPr>
            <w:r w:rsidRPr="00BD16B4">
              <w:rPr>
                <w:rFonts w:eastAsia="Wingdings" w:cs="Calibri"/>
                <w:szCs w:val="18"/>
                <w:lang w:val="en-NZ"/>
              </w:rPr>
              <w:sym w:font="Wingdings" w:char="F0FC"/>
            </w:r>
          </w:p>
        </w:tc>
        <w:tc>
          <w:tcPr>
            <w:tcW w:w="2608" w:type="dxa"/>
          </w:tcPr>
          <w:p w14:paraId="63220F49" w14:textId="77777777" w:rsidR="007C259A" w:rsidRPr="00BD16B4" w:rsidRDefault="007C259A" w:rsidP="00F31129">
            <w:pPr>
              <w:pStyle w:val="TableText"/>
              <w:spacing w:before="50" w:after="50"/>
              <w:rPr>
                <w:rFonts w:cs="Calibri"/>
                <w:szCs w:val="18"/>
                <w:lang w:val="en-NZ"/>
              </w:rPr>
            </w:pPr>
          </w:p>
        </w:tc>
      </w:tr>
      <w:tr w:rsidR="007C259A" w:rsidRPr="00BD16B4" w14:paraId="37C7F037" w14:textId="77777777" w:rsidTr="003012E1">
        <w:tc>
          <w:tcPr>
            <w:tcW w:w="1871" w:type="dxa"/>
          </w:tcPr>
          <w:p w14:paraId="2B0C703C" w14:textId="77777777" w:rsidR="007C259A" w:rsidRPr="00BD16B4" w:rsidRDefault="007C259A" w:rsidP="00F31129">
            <w:pPr>
              <w:pStyle w:val="TableTextBold0"/>
              <w:rPr>
                <w:b w:val="0"/>
                <w:bCs/>
                <w:szCs w:val="18"/>
                <w:lang w:val="en-NZ"/>
              </w:rPr>
            </w:pPr>
            <w:r w:rsidRPr="00BD16B4">
              <w:rPr>
                <w:b w:val="0"/>
                <w:bCs/>
                <w:szCs w:val="18"/>
                <w:lang w:val="en-NZ"/>
              </w:rPr>
              <w:t>Afforestation Grant Scheme</w:t>
            </w:r>
          </w:p>
        </w:tc>
        <w:tc>
          <w:tcPr>
            <w:tcW w:w="1198" w:type="dxa"/>
          </w:tcPr>
          <w:p w14:paraId="173A8444"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2008–2018</w:t>
            </w:r>
            <w:r w:rsidRPr="00BD16B4">
              <w:rPr>
                <w:rStyle w:val="FootnoteReference"/>
                <w:rFonts w:cs="Calibri"/>
                <w:sz w:val="18"/>
                <w:szCs w:val="18"/>
                <w:lang w:val="en-NZ"/>
              </w:rPr>
              <w:footnoteReference w:id="228"/>
            </w:r>
          </w:p>
        </w:tc>
        <w:tc>
          <w:tcPr>
            <w:tcW w:w="1418" w:type="dxa"/>
          </w:tcPr>
          <w:p w14:paraId="3AF0EFB5"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LULUCF</w:t>
            </w:r>
          </w:p>
        </w:tc>
        <w:tc>
          <w:tcPr>
            <w:tcW w:w="680" w:type="dxa"/>
          </w:tcPr>
          <w:p w14:paraId="4828C5C6"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627" w:type="dxa"/>
          </w:tcPr>
          <w:p w14:paraId="5F3820A8" w14:textId="77777777" w:rsidR="007C259A" w:rsidRPr="00BD16B4" w:rsidRDefault="007C259A" w:rsidP="00F31129">
            <w:pPr>
              <w:pStyle w:val="TableText"/>
              <w:spacing w:before="50" w:after="50"/>
              <w:jc w:val="center"/>
              <w:rPr>
                <w:rFonts w:cs="Calibri"/>
                <w:szCs w:val="18"/>
                <w:lang w:val="en-NZ"/>
              </w:rPr>
            </w:pPr>
          </w:p>
        </w:tc>
        <w:tc>
          <w:tcPr>
            <w:tcW w:w="627" w:type="dxa"/>
          </w:tcPr>
          <w:p w14:paraId="0749C42C"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2608" w:type="dxa"/>
          </w:tcPr>
          <w:p w14:paraId="33F7781E" w14:textId="77777777" w:rsidR="007C259A" w:rsidRPr="00BD16B4" w:rsidRDefault="007C259A" w:rsidP="00F31129">
            <w:pPr>
              <w:pStyle w:val="TableText"/>
              <w:spacing w:before="50" w:after="50"/>
              <w:rPr>
                <w:rFonts w:cs="Calibri"/>
                <w:szCs w:val="18"/>
                <w:lang w:val="en-NZ"/>
              </w:rPr>
            </w:pPr>
          </w:p>
        </w:tc>
      </w:tr>
      <w:tr w:rsidR="007C259A" w:rsidRPr="00BD16B4" w14:paraId="20191A72" w14:textId="77777777" w:rsidTr="003012E1">
        <w:tc>
          <w:tcPr>
            <w:tcW w:w="1871" w:type="dxa"/>
          </w:tcPr>
          <w:p w14:paraId="0C57353E" w14:textId="77777777" w:rsidR="007C259A" w:rsidRPr="00BD16B4" w:rsidRDefault="007C259A" w:rsidP="00456054">
            <w:pPr>
              <w:pStyle w:val="TableTextBold0"/>
              <w:keepNext/>
              <w:rPr>
                <w:b w:val="0"/>
                <w:bCs/>
                <w:szCs w:val="18"/>
                <w:lang w:val="en-NZ"/>
              </w:rPr>
            </w:pPr>
            <w:r w:rsidRPr="00BD16B4">
              <w:rPr>
                <w:b w:val="0"/>
                <w:bCs/>
                <w:szCs w:val="18"/>
                <w:lang w:val="en-NZ"/>
              </w:rPr>
              <w:lastRenderedPageBreak/>
              <w:t xml:space="preserve">Permanent Forest Sink Initiative </w:t>
            </w:r>
          </w:p>
        </w:tc>
        <w:tc>
          <w:tcPr>
            <w:tcW w:w="1198" w:type="dxa"/>
          </w:tcPr>
          <w:p w14:paraId="08A2350A"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2008–2021</w:t>
            </w:r>
            <w:r w:rsidRPr="00BD16B4">
              <w:rPr>
                <w:rStyle w:val="FootnoteReference"/>
                <w:rFonts w:cs="Calibri"/>
                <w:sz w:val="18"/>
                <w:szCs w:val="18"/>
                <w:lang w:val="en-NZ"/>
              </w:rPr>
              <w:footnoteReference w:id="229"/>
            </w:r>
          </w:p>
        </w:tc>
        <w:tc>
          <w:tcPr>
            <w:tcW w:w="1418" w:type="dxa"/>
          </w:tcPr>
          <w:p w14:paraId="51D965DF"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LULUCF</w:t>
            </w:r>
          </w:p>
        </w:tc>
        <w:tc>
          <w:tcPr>
            <w:tcW w:w="680" w:type="dxa"/>
          </w:tcPr>
          <w:p w14:paraId="1C26006B"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627" w:type="dxa"/>
          </w:tcPr>
          <w:p w14:paraId="78EACBA1" w14:textId="77777777" w:rsidR="007C259A" w:rsidRPr="00BD16B4" w:rsidRDefault="007C259A" w:rsidP="00F31129">
            <w:pPr>
              <w:pStyle w:val="TableText"/>
              <w:spacing w:before="50" w:after="50"/>
              <w:jc w:val="center"/>
              <w:rPr>
                <w:rFonts w:cs="Calibri"/>
                <w:szCs w:val="18"/>
                <w:lang w:val="en-NZ"/>
              </w:rPr>
            </w:pPr>
          </w:p>
        </w:tc>
        <w:tc>
          <w:tcPr>
            <w:tcW w:w="627" w:type="dxa"/>
          </w:tcPr>
          <w:p w14:paraId="6292D99F"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2608" w:type="dxa"/>
          </w:tcPr>
          <w:p w14:paraId="36B38599" w14:textId="77777777" w:rsidR="007C259A" w:rsidRPr="00BD16B4" w:rsidRDefault="007C259A" w:rsidP="00F31129">
            <w:pPr>
              <w:pStyle w:val="TableText"/>
              <w:spacing w:before="50" w:after="50"/>
              <w:rPr>
                <w:rFonts w:cs="Calibri"/>
                <w:szCs w:val="18"/>
                <w:lang w:val="en-NZ"/>
              </w:rPr>
            </w:pPr>
          </w:p>
        </w:tc>
      </w:tr>
      <w:tr w:rsidR="007C259A" w:rsidRPr="00BD16B4" w14:paraId="6DC67CF6" w14:textId="77777777" w:rsidTr="003012E1">
        <w:tc>
          <w:tcPr>
            <w:tcW w:w="1871" w:type="dxa"/>
          </w:tcPr>
          <w:p w14:paraId="7E185569" w14:textId="77777777" w:rsidR="007C259A" w:rsidRPr="00BD16B4" w:rsidRDefault="007C259A" w:rsidP="00F31129">
            <w:pPr>
              <w:pStyle w:val="TableTextBold0"/>
              <w:rPr>
                <w:b w:val="0"/>
                <w:bCs/>
                <w:szCs w:val="18"/>
                <w:lang w:val="en-NZ"/>
              </w:rPr>
            </w:pPr>
            <w:r w:rsidRPr="00BD16B4">
              <w:rPr>
                <w:b w:val="0"/>
                <w:bCs/>
                <w:szCs w:val="18"/>
                <w:lang w:val="en-NZ"/>
              </w:rPr>
              <w:t>Sustainable Land Management Hill Country Erosion Programme</w:t>
            </w:r>
          </w:p>
        </w:tc>
        <w:tc>
          <w:tcPr>
            <w:tcW w:w="1198" w:type="dxa"/>
          </w:tcPr>
          <w:p w14:paraId="0691A0B9"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2009–</w:t>
            </w:r>
          </w:p>
        </w:tc>
        <w:tc>
          <w:tcPr>
            <w:tcW w:w="1418" w:type="dxa"/>
          </w:tcPr>
          <w:p w14:paraId="1BCF8B30"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LULUCF</w:t>
            </w:r>
          </w:p>
        </w:tc>
        <w:tc>
          <w:tcPr>
            <w:tcW w:w="680" w:type="dxa"/>
          </w:tcPr>
          <w:p w14:paraId="041B69D6"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627" w:type="dxa"/>
          </w:tcPr>
          <w:p w14:paraId="2AB7EF77" w14:textId="77777777" w:rsidR="007C259A" w:rsidRPr="00BD16B4" w:rsidRDefault="007C259A" w:rsidP="00F31129">
            <w:pPr>
              <w:pStyle w:val="TableText"/>
              <w:spacing w:before="50" w:after="50"/>
              <w:jc w:val="center"/>
              <w:rPr>
                <w:rFonts w:cs="Calibri"/>
                <w:szCs w:val="18"/>
                <w:lang w:val="en-NZ"/>
              </w:rPr>
            </w:pPr>
          </w:p>
        </w:tc>
        <w:tc>
          <w:tcPr>
            <w:tcW w:w="627" w:type="dxa"/>
          </w:tcPr>
          <w:p w14:paraId="6D6A6EF6"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2608" w:type="dxa"/>
          </w:tcPr>
          <w:p w14:paraId="272FBF31" w14:textId="77777777" w:rsidR="007C259A" w:rsidRPr="00BD16B4" w:rsidRDefault="007C259A" w:rsidP="00F31129">
            <w:pPr>
              <w:pStyle w:val="TableText"/>
              <w:spacing w:before="50" w:after="50"/>
              <w:rPr>
                <w:rFonts w:cs="Calibri"/>
                <w:szCs w:val="18"/>
                <w:lang w:val="en-NZ"/>
              </w:rPr>
            </w:pPr>
          </w:p>
        </w:tc>
      </w:tr>
      <w:tr w:rsidR="007C259A" w:rsidRPr="00BD16B4" w14:paraId="3A40BAAB" w14:textId="77777777" w:rsidTr="003012E1">
        <w:tc>
          <w:tcPr>
            <w:tcW w:w="1871" w:type="dxa"/>
          </w:tcPr>
          <w:p w14:paraId="72B4D21D" w14:textId="77777777" w:rsidR="007C259A" w:rsidRPr="00BD16B4" w:rsidRDefault="007C259A" w:rsidP="00F31129">
            <w:pPr>
              <w:pStyle w:val="TableTextBold0"/>
              <w:rPr>
                <w:b w:val="0"/>
                <w:bCs/>
                <w:szCs w:val="18"/>
                <w:lang w:val="en-NZ"/>
              </w:rPr>
            </w:pPr>
            <w:r w:rsidRPr="00BD16B4">
              <w:rPr>
                <w:b w:val="0"/>
                <w:bCs/>
                <w:szCs w:val="18"/>
                <w:lang w:val="en-NZ"/>
              </w:rPr>
              <w:t>Erosion Control Funding Programme</w:t>
            </w:r>
            <w:r w:rsidRPr="00BD16B4">
              <w:rPr>
                <w:rStyle w:val="FootnoteReference"/>
                <w:b w:val="0"/>
                <w:bCs/>
                <w:sz w:val="18"/>
                <w:szCs w:val="18"/>
                <w:lang w:val="en-NZ"/>
              </w:rPr>
              <w:footnoteReference w:id="230"/>
            </w:r>
          </w:p>
        </w:tc>
        <w:tc>
          <w:tcPr>
            <w:tcW w:w="1198" w:type="dxa"/>
          </w:tcPr>
          <w:p w14:paraId="1DEDA058"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1993–2018</w:t>
            </w:r>
            <w:r w:rsidRPr="00BD16B4">
              <w:rPr>
                <w:rStyle w:val="FootnoteReference"/>
                <w:rFonts w:cs="Calibri"/>
                <w:sz w:val="18"/>
                <w:szCs w:val="18"/>
                <w:lang w:val="en-NZ"/>
              </w:rPr>
              <w:footnoteReference w:id="231"/>
            </w:r>
          </w:p>
        </w:tc>
        <w:tc>
          <w:tcPr>
            <w:tcW w:w="1418" w:type="dxa"/>
          </w:tcPr>
          <w:p w14:paraId="402D028C"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LULUCF</w:t>
            </w:r>
          </w:p>
        </w:tc>
        <w:tc>
          <w:tcPr>
            <w:tcW w:w="680" w:type="dxa"/>
          </w:tcPr>
          <w:p w14:paraId="19C77FA4"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627" w:type="dxa"/>
          </w:tcPr>
          <w:p w14:paraId="157874B2" w14:textId="77777777" w:rsidR="007C259A" w:rsidRPr="00BD16B4" w:rsidRDefault="007C259A" w:rsidP="00F31129">
            <w:pPr>
              <w:pStyle w:val="TableText"/>
              <w:spacing w:before="50" w:after="50"/>
              <w:jc w:val="center"/>
              <w:rPr>
                <w:rFonts w:cs="Calibri"/>
                <w:szCs w:val="18"/>
                <w:lang w:val="en-NZ"/>
              </w:rPr>
            </w:pPr>
          </w:p>
        </w:tc>
        <w:tc>
          <w:tcPr>
            <w:tcW w:w="627" w:type="dxa"/>
          </w:tcPr>
          <w:p w14:paraId="49219A65"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2608" w:type="dxa"/>
          </w:tcPr>
          <w:p w14:paraId="292CE458" w14:textId="77777777" w:rsidR="007C259A" w:rsidRPr="00BD16B4" w:rsidRDefault="007C259A" w:rsidP="00F31129">
            <w:pPr>
              <w:pStyle w:val="TableText"/>
              <w:spacing w:before="50" w:after="50"/>
              <w:rPr>
                <w:rFonts w:cs="Calibri"/>
                <w:szCs w:val="18"/>
                <w:lang w:val="en-NZ"/>
              </w:rPr>
            </w:pPr>
          </w:p>
        </w:tc>
      </w:tr>
      <w:tr w:rsidR="007C259A" w:rsidRPr="00BD16B4" w14:paraId="5E63C3CB" w14:textId="77777777" w:rsidTr="003012E1">
        <w:tc>
          <w:tcPr>
            <w:tcW w:w="1871" w:type="dxa"/>
          </w:tcPr>
          <w:p w14:paraId="6045FC86" w14:textId="77777777" w:rsidR="007C259A" w:rsidRPr="00BD16B4" w:rsidRDefault="007C259A" w:rsidP="00F31129">
            <w:pPr>
              <w:pStyle w:val="TableTextBold0"/>
              <w:rPr>
                <w:b w:val="0"/>
                <w:bCs/>
                <w:szCs w:val="18"/>
                <w:lang w:val="en-NZ"/>
              </w:rPr>
            </w:pPr>
            <w:r w:rsidRPr="00BD16B4">
              <w:rPr>
                <w:b w:val="0"/>
                <w:bCs/>
                <w:szCs w:val="18"/>
                <w:lang w:val="en-NZ"/>
              </w:rPr>
              <w:t xml:space="preserve">One Billion Trees Programme </w:t>
            </w:r>
          </w:p>
        </w:tc>
        <w:tc>
          <w:tcPr>
            <w:tcW w:w="1198" w:type="dxa"/>
          </w:tcPr>
          <w:p w14:paraId="77F588AD"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2018–2028</w:t>
            </w:r>
          </w:p>
        </w:tc>
        <w:tc>
          <w:tcPr>
            <w:tcW w:w="1418" w:type="dxa"/>
          </w:tcPr>
          <w:p w14:paraId="2189598C"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LULUCF</w:t>
            </w:r>
          </w:p>
        </w:tc>
        <w:tc>
          <w:tcPr>
            <w:tcW w:w="680" w:type="dxa"/>
          </w:tcPr>
          <w:p w14:paraId="2D3D1DB6"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627" w:type="dxa"/>
          </w:tcPr>
          <w:p w14:paraId="1CA99E65" w14:textId="77777777" w:rsidR="007C259A" w:rsidRPr="00BD16B4" w:rsidRDefault="007C259A" w:rsidP="00F31129">
            <w:pPr>
              <w:pStyle w:val="TableText"/>
              <w:spacing w:before="50" w:after="50"/>
              <w:jc w:val="center"/>
              <w:rPr>
                <w:rFonts w:cs="Calibri"/>
                <w:szCs w:val="18"/>
                <w:lang w:val="en-NZ"/>
              </w:rPr>
            </w:pPr>
          </w:p>
        </w:tc>
        <w:tc>
          <w:tcPr>
            <w:tcW w:w="627" w:type="dxa"/>
          </w:tcPr>
          <w:p w14:paraId="322E42E9"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2608" w:type="dxa"/>
          </w:tcPr>
          <w:p w14:paraId="33C9C3A8" w14:textId="77777777" w:rsidR="007C259A" w:rsidRPr="00BD16B4" w:rsidRDefault="007C259A" w:rsidP="00F31129">
            <w:pPr>
              <w:pStyle w:val="TableText"/>
              <w:spacing w:before="50" w:after="50"/>
              <w:rPr>
                <w:rFonts w:cs="Calibri"/>
                <w:szCs w:val="18"/>
                <w:lang w:val="en-NZ"/>
              </w:rPr>
            </w:pPr>
          </w:p>
        </w:tc>
      </w:tr>
      <w:tr w:rsidR="007C259A" w:rsidRPr="00BD16B4" w14:paraId="6FD8E7CE" w14:textId="77777777" w:rsidTr="003012E1">
        <w:tc>
          <w:tcPr>
            <w:tcW w:w="1871" w:type="dxa"/>
          </w:tcPr>
          <w:p w14:paraId="345B32B1" w14:textId="77777777" w:rsidR="007C259A" w:rsidRPr="00BD16B4" w:rsidRDefault="007C259A" w:rsidP="00F31129">
            <w:pPr>
              <w:pStyle w:val="TableTextBold0"/>
              <w:rPr>
                <w:b w:val="0"/>
                <w:bCs/>
                <w:szCs w:val="18"/>
                <w:lang w:val="en-NZ"/>
              </w:rPr>
            </w:pPr>
            <w:r w:rsidRPr="00BD16B4">
              <w:rPr>
                <w:b w:val="0"/>
                <w:bCs/>
                <w:szCs w:val="18"/>
                <w:lang w:val="en-NZ"/>
              </w:rPr>
              <w:t xml:space="preserve">Maximising carbon storage </w:t>
            </w:r>
          </w:p>
        </w:tc>
        <w:tc>
          <w:tcPr>
            <w:tcW w:w="1198" w:type="dxa"/>
          </w:tcPr>
          <w:p w14:paraId="29B47204"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2024–</w:t>
            </w:r>
          </w:p>
        </w:tc>
        <w:tc>
          <w:tcPr>
            <w:tcW w:w="1418" w:type="dxa"/>
          </w:tcPr>
          <w:p w14:paraId="0A86C265"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LULUCF</w:t>
            </w:r>
          </w:p>
        </w:tc>
        <w:tc>
          <w:tcPr>
            <w:tcW w:w="680" w:type="dxa"/>
          </w:tcPr>
          <w:p w14:paraId="6EDC6658" w14:textId="77777777" w:rsidR="007C259A" w:rsidRPr="00BD16B4" w:rsidRDefault="007C259A" w:rsidP="00F31129">
            <w:pPr>
              <w:pStyle w:val="TableText"/>
              <w:spacing w:before="50" w:after="50"/>
              <w:jc w:val="center"/>
              <w:rPr>
                <w:rFonts w:eastAsia="Wingdings" w:cs="Calibri"/>
                <w:szCs w:val="18"/>
                <w:lang w:val="en-NZ"/>
              </w:rPr>
            </w:pPr>
          </w:p>
        </w:tc>
        <w:tc>
          <w:tcPr>
            <w:tcW w:w="627" w:type="dxa"/>
          </w:tcPr>
          <w:p w14:paraId="184F2D04" w14:textId="77777777" w:rsidR="007C259A" w:rsidRPr="00BD16B4" w:rsidRDefault="007C259A" w:rsidP="00F31129">
            <w:pPr>
              <w:pStyle w:val="TableText"/>
              <w:spacing w:before="50" w:after="50"/>
              <w:jc w:val="center"/>
              <w:rPr>
                <w:rFonts w:cs="Calibri"/>
                <w:szCs w:val="18"/>
                <w:lang w:val="en-NZ"/>
              </w:rPr>
            </w:pPr>
          </w:p>
        </w:tc>
        <w:tc>
          <w:tcPr>
            <w:tcW w:w="627" w:type="dxa"/>
          </w:tcPr>
          <w:p w14:paraId="307EAD6C" w14:textId="77777777" w:rsidR="007C259A" w:rsidRPr="00BD16B4" w:rsidRDefault="007C259A" w:rsidP="00F31129">
            <w:pPr>
              <w:pStyle w:val="TableText"/>
              <w:spacing w:before="50" w:after="50"/>
              <w:jc w:val="center"/>
              <w:rPr>
                <w:rFonts w:eastAsia="Wingdings" w:cs="Calibri"/>
                <w:szCs w:val="18"/>
                <w:lang w:val="en-NZ"/>
              </w:rPr>
            </w:pPr>
            <w:r w:rsidRPr="00BD16B4">
              <w:rPr>
                <w:rFonts w:eastAsia="Wingdings" w:cs="Calibri"/>
                <w:szCs w:val="18"/>
                <w:lang w:val="en-NZ"/>
              </w:rPr>
              <w:sym w:font="Wingdings" w:char="F0FC"/>
            </w:r>
          </w:p>
        </w:tc>
        <w:tc>
          <w:tcPr>
            <w:tcW w:w="2608" w:type="dxa"/>
          </w:tcPr>
          <w:p w14:paraId="06CFE034" w14:textId="77777777" w:rsidR="007C259A" w:rsidRPr="00BD16B4" w:rsidRDefault="007C259A" w:rsidP="00F31129">
            <w:pPr>
              <w:pStyle w:val="TableText"/>
              <w:spacing w:before="50" w:after="50"/>
              <w:rPr>
                <w:rFonts w:cs="Calibri"/>
                <w:szCs w:val="18"/>
                <w:lang w:val="en-NZ"/>
              </w:rPr>
            </w:pPr>
          </w:p>
        </w:tc>
      </w:tr>
      <w:tr w:rsidR="007C259A" w:rsidRPr="00BD16B4" w14:paraId="37DB4AFA" w14:textId="77777777" w:rsidTr="003012E1">
        <w:tc>
          <w:tcPr>
            <w:tcW w:w="1871" w:type="dxa"/>
          </w:tcPr>
          <w:p w14:paraId="6F41BD86" w14:textId="77777777" w:rsidR="007C259A" w:rsidRPr="00BD16B4" w:rsidRDefault="007C259A" w:rsidP="00F31129">
            <w:pPr>
              <w:pStyle w:val="TableTextBold0"/>
              <w:rPr>
                <w:b w:val="0"/>
                <w:bCs/>
                <w:szCs w:val="18"/>
                <w:lang w:val="en-NZ"/>
              </w:rPr>
            </w:pPr>
            <w:r w:rsidRPr="00BD16B4">
              <w:rPr>
                <w:b w:val="0"/>
                <w:bCs/>
                <w:szCs w:val="18"/>
                <w:lang w:val="en-NZ"/>
              </w:rPr>
              <w:t>Native afforestation initiative</w:t>
            </w:r>
          </w:p>
        </w:tc>
        <w:tc>
          <w:tcPr>
            <w:tcW w:w="1198" w:type="dxa"/>
          </w:tcPr>
          <w:p w14:paraId="4810A8E7"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2025–</w:t>
            </w:r>
          </w:p>
        </w:tc>
        <w:tc>
          <w:tcPr>
            <w:tcW w:w="1418" w:type="dxa"/>
          </w:tcPr>
          <w:p w14:paraId="422C7D0F"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LULUCF</w:t>
            </w:r>
          </w:p>
        </w:tc>
        <w:tc>
          <w:tcPr>
            <w:tcW w:w="680" w:type="dxa"/>
          </w:tcPr>
          <w:p w14:paraId="3FC68BCE" w14:textId="77777777" w:rsidR="007C259A" w:rsidRPr="00BD16B4" w:rsidRDefault="007C259A" w:rsidP="00F31129">
            <w:pPr>
              <w:pStyle w:val="TableText"/>
              <w:spacing w:before="50" w:after="50"/>
              <w:jc w:val="center"/>
              <w:rPr>
                <w:rFonts w:eastAsia="Wingdings" w:cs="Calibri"/>
                <w:szCs w:val="18"/>
                <w:lang w:val="en-NZ"/>
              </w:rPr>
            </w:pPr>
          </w:p>
        </w:tc>
        <w:tc>
          <w:tcPr>
            <w:tcW w:w="627" w:type="dxa"/>
          </w:tcPr>
          <w:p w14:paraId="3EEE3221" w14:textId="77777777" w:rsidR="007C259A" w:rsidRPr="00BD16B4" w:rsidRDefault="007C259A" w:rsidP="00F31129">
            <w:pPr>
              <w:pStyle w:val="TableText"/>
              <w:spacing w:before="50" w:after="50"/>
              <w:jc w:val="center"/>
              <w:rPr>
                <w:rFonts w:cs="Calibri"/>
                <w:szCs w:val="18"/>
                <w:lang w:val="en-NZ"/>
              </w:rPr>
            </w:pPr>
          </w:p>
        </w:tc>
        <w:tc>
          <w:tcPr>
            <w:tcW w:w="627" w:type="dxa"/>
          </w:tcPr>
          <w:p w14:paraId="53060317" w14:textId="77777777" w:rsidR="007C259A" w:rsidRPr="00BD16B4" w:rsidRDefault="007C259A" w:rsidP="00F31129">
            <w:pPr>
              <w:pStyle w:val="TableText"/>
              <w:spacing w:before="50" w:after="50"/>
              <w:jc w:val="center"/>
              <w:rPr>
                <w:rFonts w:eastAsia="Wingdings" w:cs="Calibri"/>
                <w:szCs w:val="18"/>
                <w:lang w:val="en-NZ"/>
              </w:rPr>
            </w:pPr>
            <w:r w:rsidRPr="00BD16B4">
              <w:rPr>
                <w:rFonts w:eastAsia="Wingdings" w:cs="Calibri"/>
                <w:szCs w:val="18"/>
                <w:lang w:val="en-NZ"/>
              </w:rPr>
              <w:sym w:font="Wingdings" w:char="F0FC"/>
            </w:r>
          </w:p>
        </w:tc>
        <w:tc>
          <w:tcPr>
            <w:tcW w:w="2608" w:type="dxa"/>
          </w:tcPr>
          <w:p w14:paraId="28B160CC" w14:textId="77777777" w:rsidR="007C259A" w:rsidRPr="00BD16B4" w:rsidRDefault="007C259A" w:rsidP="00F31129">
            <w:pPr>
              <w:pStyle w:val="TableText"/>
              <w:spacing w:before="50" w:after="50"/>
              <w:rPr>
                <w:rFonts w:cs="Calibri"/>
                <w:szCs w:val="18"/>
                <w:lang w:val="en-NZ"/>
              </w:rPr>
            </w:pPr>
          </w:p>
        </w:tc>
      </w:tr>
      <w:tr w:rsidR="007C259A" w:rsidRPr="00BD16B4" w14:paraId="2ECDE4E1" w14:textId="77777777" w:rsidTr="003012E1">
        <w:tc>
          <w:tcPr>
            <w:tcW w:w="1871" w:type="dxa"/>
          </w:tcPr>
          <w:p w14:paraId="72D81CA1" w14:textId="77777777" w:rsidR="007C259A" w:rsidRPr="00BD16B4" w:rsidRDefault="007C259A" w:rsidP="00F31129">
            <w:pPr>
              <w:pStyle w:val="TableTextBold0"/>
              <w:rPr>
                <w:b w:val="0"/>
                <w:bCs/>
                <w:szCs w:val="18"/>
                <w:lang w:val="en-NZ"/>
              </w:rPr>
            </w:pPr>
            <w:r w:rsidRPr="00BD16B4">
              <w:rPr>
                <w:b w:val="0"/>
                <w:bCs/>
                <w:szCs w:val="18"/>
                <w:lang w:val="en-NZ"/>
              </w:rPr>
              <w:t>Woody biomass</w:t>
            </w:r>
          </w:p>
        </w:tc>
        <w:tc>
          <w:tcPr>
            <w:tcW w:w="1198" w:type="dxa"/>
          </w:tcPr>
          <w:p w14:paraId="67CF3516"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2023–</w:t>
            </w:r>
          </w:p>
        </w:tc>
        <w:tc>
          <w:tcPr>
            <w:tcW w:w="1418" w:type="dxa"/>
          </w:tcPr>
          <w:p w14:paraId="13347CB7"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LULUCF</w:t>
            </w:r>
          </w:p>
        </w:tc>
        <w:tc>
          <w:tcPr>
            <w:tcW w:w="680" w:type="dxa"/>
          </w:tcPr>
          <w:p w14:paraId="5FA12549" w14:textId="77777777" w:rsidR="007C259A" w:rsidRPr="00BD16B4" w:rsidRDefault="007C259A" w:rsidP="00F31129">
            <w:pPr>
              <w:pStyle w:val="TableText"/>
              <w:spacing w:before="50" w:after="50"/>
              <w:jc w:val="center"/>
              <w:rPr>
                <w:rFonts w:eastAsia="Wingdings" w:cs="Calibri"/>
                <w:szCs w:val="18"/>
                <w:lang w:val="en-NZ"/>
              </w:rPr>
            </w:pPr>
          </w:p>
        </w:tc>
        <w:tc>
          <w:tcPr>
            <w:tcW w:w="627" w:type="dxa"/>
          </w:tcPr>
          <w:p w14:paraId="44205330" w14:textId="77777777" w:rsidR="007C259A" w:rsidRPr="00BD16B4" w:rsidRDefault="007C259A" w:rsidP="00F31129">
            <w:pPr>
              <w:pStyle w:val="TableText"/>
              <w:spacing w:before="50" w:after="50"/>
              <w:jc w:val="center"/>
              <w:rPr>
                <w:rFonts w:cs="Calibri"/>
                <w:szCs w:val="18"/>
                <w:lang w:val="en-NZ"/>
              </w:rPr>
            </w:pPr>
          </w:p>
        </w:tc>
        <w:tc>
          <w:tcPr>
            <w:tcW w:w="627" w:type="dxa"/>
          </w:tcPr>
          <w:p w14:paraId="272420F8" w14:textId="77777777" w:rsidR="007C259A" w:rsidRPr="00BD16B4" w:rsidRDefault="007C259A" w:rsidP="00F31129">
            <w:pPr>
              <w:pStyle w:val="TableText"/>
              <w:spacing w:before="50" w:after="50"/>
              <w:jc w:val="center"/>
              <w:rPr>
                <w:rFonts w:eastAsia="Wingdings" w:cs="Calibri"/>
                <w:szCs w:val="18"/>
                <w:lang w:val="en-NZ"/>
              </w:rPr>
            </w:pPr>
            <w:r w:rsidRPr="00BD16B4">
              <w:rPr>
                <w:rFonts w:eastAsia="Wingdings" w:cs="Calibri"/>
                <w:szCs w:val="18"/>
                <w:lang w:val="en-NZ"/>
              </w:rPr>
              <w:sym w:font="Wingdings" w:char="F0FC"/>
            </w:r>
          </w:p>
        </w:tc>
        <w:tc>
          <w:tcPr>
            <w:tcW w:w="2608" w:type="dxa"/>
          </w:tcPr>
          <w:p w14:paraId="30119D57" w14:textId="77777777" w:rsidR="007C259A" w:rsidRPr="00BD16B4" w:rsidRDefault="007C259A" w:rsidP="00F31129">
            <w:pPr>
              <w:pStyle w:val="TableText"/>
              <w:spacing w:before="50" w:after="50"/>
              <w:rPr>
                <w:rFonts w:cs="Calibri"/>
                <w:szCs w:val="18"/>
                <w:lang w:val="en-NZ"/>
              </w:rPr>
            </w:pPr>
          </w:p>
        </w:tc>
      </w:tr>
      <w:tr w:rsidR="007C259A" w:rsidRPr="00BD16B4" w14:paraId="0208158C" w14:textId="77777777" w:rsidTr="003012E1">
        <w:tc>
          <w:tcPr>
            <w:tcW w:w="1871" w:type="dxa"/>
          </w:tcPr>
          <w:p w14:paraId="2BD25026" w14:textId="77777777" w:rsidR="007C259A" w:rsidRPr="00BD16B4" w:rsidRDefault="007C259A" w:rsidP="00F31129">
            <w:pPr>
              <w:pStyle w:val="TableTextBold0"/>
              <w:rPr>
                <w:b w:val="0"/>
                <w:bCs/>
                <w:szCs w:val="18"/>
                <w:lang w:val="en-NZ"/>
              </w:rPr>
            </w:pPr>
            <w:r w:rsidRPr="00BD16B4">
              <w:rPr>
                <w:b w:val="0"/>
                <w:bCs/>
                <w:szCs w:val="18"/>
                <w:lang w:val="en-NZ"/>
              </w:rPr>
              <w:t>National Environmental Standard for Air Quality (landfill methane)</w:t>
            </w:r>
          </w:p>
        </w:tc>
        <w:tc>
          <w:tcPr>
            <w:tcW w:w="1198" w:type="dxa"/>
          </w:tcPr>
          <w:p w14:paraId="3E59956D"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2005–</w:t>
            </w:r>
          </w:p>
        </w:tc>
        <w:tc>
          <w:tcPr>
            <w:tcW w:w="1418" w:type="dxa"/>
          </w:tcPr>
          <w:p w14:paraId="0DC6455A"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Waste</w:t>
            </w:r>
          </w:p>
        </w:tc>
        <w:tc>
          <w:tcPr>
            <w:tcW w:w="680" w:type="dxa"/>
          </w:tcPr>
          <w:p w14:paraId="0A5F3D81"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627" w:type="dxa"/>
          </w:tcPr>
          <w:p w14:paraId="02C72CFF" w14:textId="77777777" w:rsidR="007C259A" w:rsidRPr="00BD16B4" w:rsidRDefault="007C259A" w:rsidP="00F31129">
            <w:pPr>
              <w:pStyle w:val="TableText"/>
              <w:spacing w:before="50" w:after="50"/>
              <w:jc w:val="center"/>
              <w:rPr>
                <w:rFonts w:cs="Calibri"/>
                <w:szCs w:val="18"/>
                <w:lang w:val="en-NZ"/>
              </w:rPr>
            </w:pPr>
          </w:p>
        </w:tc>
        <w:tc>
          <w:tcPr>
            <w:tcW w:w="627" w:type="dxa"/>
          </w:tcPr>
          <w:p w14:paraId="2E15EFC8"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2608" w:type="dxa"/>
          </w:tcPr>
          <w:p w14:paraId="1A9C8787" w14:textId="77777777" w:rsidR="007C259A" w:rsidRPr="00BD16B4" w:rsidRDefault="007C259A" w:rsidP="00F31129">
            <w:pPr>
              <w:pStyle w:val="TableText"/>
              <w:spacing w:before="50" w:after="50"/>
              <w:rPr>
                <w:rFonts w:cs="Calibri"/>
                <w:szCs w:val="18"/>
                <w:lang w:val="en-NZ"/>
              </w:rPr>
            </w:pPr>
          </w:p>
        </w:tc>
      </w:tr>
      <w:tr w:rsidR="007C259A" w:rsidRPr="00BD16B4" w14:paraId="2D9E3857" w14:textId="77777777" w:rsidTr="003012E1">
        <w:tc>
          <w:tcPr>
            <w:tcW w:w="1871" w:type="dxa"/>
          </w:tcPr>
          <w:p w14:paraId="0B2F44A0"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Waste Disposal Levy</w:t>
            </w:r>
          </w:p>
        </w:tc>
        <w:tc>
          <w:tcPr>
            <w:tcW w:w="1198" w:type="dxa"/>
          </w:tcPr>
          <w:p w14:paraId="2F685A69"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2010–</w:t>
            </w:r>
          </w:p>
        </w:tc>
        <w:tc>
          <w:tcPr>
            <w:tcW w:w="1418" w:type="dxa"/>
          </w:tcPr>
          <w:p w14:paraId="51614606"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Waste</w:t>
            </w:r>
          </w:p>
        </w:tc>
        <w:tc>
          <w:tcPr>
            <w:tcW w:w="680" w:type="dxa"/>
          </w:tcPr>
          <w:p w14:paraId="1BC8479C"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627" w:type="dxa"/>
          </w:tcPr>
          <w:p w14:paraId="6D6FEB5C" w14:textId="77777777" w:rsidR="007C259A" w:rsidRPr="00BD16B4" w:rsidRDefault="007C259A" w:rsidP="00F31129">
            <w:pPr>
              <w:pStyle w:val="TableText"/>
              <w:spacing w:before="50" w:after="50"/>
              <w:jc w:val="center"/>
              <w:rPr>
                <w:rFonts w:cs="Calibri"/>
                <w:szCs w:val="18"/>
                <w:lang w:val="en-NZ"/>
              </w:rPr>
            </w:pPr>
          </w:p>
        </w:tc>
        <w:tc>
          <w:tcPr>
            <w:tcW w:w="627" w:type="dxa"/>
          </w:tcPr>
          <w:p w14:paraId="79A51165"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2608" w:type="dxa"/>
          </w:tcPr>
          <w:p w14:paraId="4C993BF6" w14:textId="77777777" w:rsidR="007C259A" w:rsidRPr="00BD16B4" w:rsidRDefault="007C259A" w:rsidP="00F31129">
            <w:pPr>
              <w:pStyle w:val="TableText"/>
              <w:spacing w:before="50" w:after="50"/>
              <w:rPr>
                <w:rFonts w:cs="Calibri"/>
                <w:szCs w:val="18"/>
                <w:lang w:val="en-NZ"/>
              </w:rPr>
            </w:pPr>
          </w:p>
        </w:tc>
      </w:tr>
      <w:tr w:rsidR="007C259A" w:rsidRPr="00BD16B4" w14:paraId="49FBBED5" w14:textId="77777777" w:rsidTr="003012E1">
        <w:tc>
          <w:tcPr>
            <w:tcW w:w="1871" w:type="dxa"/>
          </w:tcPr>
          <w:p w14:paraId="29E431A1"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Emissions reduction plan – existing waste sector policies</w:t>
            </w:r>
          </w:p>
        </w:tc>
        <w:tc>
          <w:tcPr>
            <w:tcW w:w="1198" w:type="dxa"/>
          </w:tcPr>
          <w:p w14:paraId="3250C707"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2023–</w:t>
            </w:r>
          </w:p>
        </w:tc>
        <w:tc>
          <w:tcPr>
            <w:tcW w:w="1418" w:type="dxa"/>
          </w:tcPr>
          <w:p w14:paraId="5FF033B4"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Waste</w:t>
            </w:r>
          </w:p>
        </w:tc>
        <w:tc>
          <w:tcPr>
            <w:tcW w:w="680" w:type="dxa"/>
          </w:tcPr>
          <w:p w14:paraId="1CFC6A44"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627" w:type="dxa"/>
          </w:tcPr>
          <w:p w14:paraId="1A857F6F"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627" w:type="dxa"/>
          </w:tcPr>
          <w:p w14:paraId="0E7678CE"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2608" w:type="dxa"/>
          </w:tcPr>
          <w:p w14:paraId="72052224"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The ‘without measures’ scenario does not exclude the impact of these policies</w:t>
            </w:r>
          </w:p>
        </w:tc>
      </w:tr>
      <w:tr w:rsidR="007C259A" w:rsidRPr="00BD16B4" w14:paraId="3DF384BC" w14:textId="77777777" w:rsidTr="003012E1">
        <w:tc>
          <w:tcPr>
            <w:tcW w:w="1871" w:type="dxa"/>
          </w:tcPr>
          <w:p w14:paraId="59D4BFAD" w14:textId="77777777" w:rsidR="007C259A" w:rsidRPr="00BD16B4" w:rsidRDefault="007C259A" w:rsidP="00F31129">
            <w:pPr>
              <w:pStyle w:val="TableText"/>
              <w:rPr>
                <w:rFonts w:cs="Calibri"/>
                <w:szCs w:val="18"/>
                <w:lang w:val="en-NZ"/>
              </w:rPr>
            </w:pPr>
            <w:r w:rsidRPr="00BD16B4">
              <w:rPr>
                <w:rFonts w:cs="Calibri"/>
                <w:szCs w:val="18"/>
                <w:lang w:val="en-NZ"/>
              </w:rPr>
              <w:t>Emissions reduction plan – additional waste sector policies</w:t>
            </w:r>
          </w:p>
        </w:tc>
        <w:tc>
          <w:tcPr>
            <w:tcW w:w="1198" w:type="dxa"/>
          </w:tcPr>
          <w:p w14:paraId="51CA48EE" w14:textId="77777777" w:rsidR="007C259A" w:rsidRPr="00BD16B4" w:rsidRDefault="007C259A" w:rsidP="00F31129">
            <w:pPr>
              <w:pStyle w:val="TableText"/>
              <w:rPr>
                <w:rFonts w:cs="Calibri"/>
                <w:szCs w:val="18"/>
                <w:lang w:val="en-NZ"/>
              </w:rPr>
            </w:pPr>
            <w:r w:rsidRPr="00BD16B4">
              <w:rPr>
                <w:rFonts w:cs="Calibri"/>
                <w:szCs w:val="18"/>
                <w:lang w:val="en-NZ"/>
              </w:rPr>
              <w:t>2023–</w:t>
            </w:r>
          </w:p>
        </w:tc>
        <w:tc>
          <w:tcPr>
            <w:tcW w:w="1418" w:type="dxa"/>
          </w:tcPr>
          <w:p w14:paraId="585CC0AE" w14:textId="77777777" w:rsidR="007C259A" w:rsidRPr="00BD16B4" w:rsidRDefault="007C259A" w:rsidP="00F31129">
            <w:pPr>
              <w:pStyle w:val="TableText"/>
              <w:rPr>
                <w:rFonts w:cs="Calibri"/>
                <w:szCs w:val="18"/>
                <w:lang w:val="en-NZ"/>
              </w:rPr>
            </w:pPr>
            <w:r w:rsidRPr="00BD16B4">
              <w:rPr>
                <w:rFonts w:cs="Calibri"/>
                <w:szCs w:val="18"/>
                <w:lang w:val="en-NZ"/>
              </w:rPr>
              <w:t>Waste</w:t>
            </w:r>
          </w:p>
        </w:tc>
        <w:tc>
          <w:tcPr>
            <w:tcW w:w="680" w:type="dxa"/>
          </w:tcPr>
          <w:p w14:paraId="7958B477" w14:textId="77777777" w:rsidR="007C259A" w:rsidRPr="00BD16B4" w:rsidRDefault="007C259A" w:rsidP="00F31129">
            <w:pPr>
              <w:pStyle w:val="TableText"/>
              <w:jc w:val="center"/>
              <w:rPr>
                <w:rFonts w:cs="Calibri"/>
                <w:szCs w:val="18"/>
                <w:lang w:val="en-NZ"/>
              </w:rPr>
            </w:pPr>
          </w:p>
        </w:tc>
        <w:tc>
          <w:tcPr>
            <w:tcW w:w="627" w:type="dxa"/>
          </w:tcPr>
          <w:p w14:paraId="5B103097" w14:textId="77777777" w:rsidR="007C259A" w:rsidRPr="00BD16B4" w:rsidRDefault="007C259A" w:rsidP="00F31129">
            <w:pPr>
              <w:pStyle w:val="TableText"/>
              <w:jc w:val="center"/>
              <w:rPr>
                <w:rFonts w:cs="Calibri"/>
                <w:szCs w:val="18"/>
                <w:lang w:val="en-NZ"/>
              </w:rPr>
            </w:pPr>
          </w:p>
        </w:tc>
        <w:tc>
          <w:tcPr>
            <w:tcW w:w="627" w:type="dxa"/>
          </w:tcPr>
          <w:p w14:paraId="1724F856" w14:textId="77777777" w:rsidR="007C259A" w:rsidRPr="00BD16B4" w:rsidRDefault="007C259A" w:rsidP="00F31129">
            <w:pPr>
              <w:pStyle w:val="TableText"/>
              <w:jc w:val="center"/>
              <w:rPr>
                <w:rFonts w:cs="Calibri"/>
                <w:szCs w:val="18"/>
                <w:lang w:val="en-NZ"/>
              </w:rPr>
            </w:pPr>
            <w:r w:rsidRPr="00BD16B4">
              <w:rPr>
                <w:rFonts w:eastAsia="Wingdings" w:cs="Calibri"/>
                <w:szCs w:val="18"/>
                <w:lang w:val="en-NZ"/>
              </w:rPr>
              <w:sym w:font="Wingdings" w:char="F0FC"/>
            </w:r>
          </w:p>
        </w:tc>
        <w:tc>
          <w:tcPr>
            <w:tcW w:w="2608" w:type="dxa"/>
          </w:tcPr>
          <w:p w14:paraId="0057A8CE" w14:textId="77777777" w:rsidR="007C259A" w:rsidRPr="00BD16B4" w:rsidRDefault="007C259A" w:rsidP="00F31129">
            <w:pPr>
              <w:pStyle w:val="TableText"/>
              <w:rPr>
                <w:rFonts w:cs="Calibri"/>
                <w:szCs w:val="18"/>
                <w:lang w:val="en-NZ"/>
              </w:rPr>
            </w:pPr>
          </w:p>
        </w:tc>
      </w:tr>
      <w:tr w:rsidR="007C259A" w:rsidRPr="00BD16B4" w14:paraId="2B4FE89F" w14:textId="77777777" w:rsidTr="003012E1">
        <w:tc>
          <w:tcPr>
            <w:tcW w:w="1871" w:type="dxa"/>
          </w:tcPr>
          <w:p w14:paraId="4237E5FB"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Tokelau Renewable Energy Project</w:t>
            </w:r>
          </w:p>
        </w:tc>
        <w:tc>
          <w:tcPr>
            <w:tcW w:w="1198" w:type="dxa"/>
          </w:tcPr>
          <w:p w14:paraId="757EB38F"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2012–</w:t>
            </w:r>
          </w:p>
        </w:tc>
        <w:tc>
          <w:tcPr>
            <w:tcW w:w="1418" w:type="dxa"/>
          </w:tcPr>
          <w:p w14:paraId="18BB6BF0" w14:textId="77777777" w:rsidR="007C259A" w:rsidRPr="00BD16B4" w:rsidRDefault="007C259A" w:rsidP="00F31129">
            <w:pPr>
              <w:pStyle w:val="TableText"/>
              <w:spacing w:before="50" w:after="50"/>
              <w:rPr>
                <w:rFonts w:cs="Calibri"/>
                <w:szCs w:val="18"/>
                <w:lang w:val="en-NZ"/>
              </w:rPr>
            </w:pPr>
            <w:r w:rsidRPr="00BD16B4">
              <w:rPr>
                <w:rFonts w:cs="Calibri"/>
                <w:szCs w:val="18"/>
                <w:lang w:val="en-NZ"/>
              </w:rPr>
              <w:t>Tokelau</w:t>
            </w:r>
          </w:p>
        </w:tc>
        <w:tc>
          <w:tcPr>
            <w:tcW w:w="680" w:type="dxa"/>
          </w:tcPr>
          <w:p w14:paraId="69289ABF"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627" w:type="dxa"/>
          </w:tcPr>
          <w:p w14:paraId="55C572F1" w14:textId="77777777" w:rsidR="007C259A" w:rsidRPr="00BD16B4" w:rsidRDefault="007C259A" w:rsidP="00F31129">
            <w:pPr>
              <w:pStyle w:val="TableText"/>
              <w:spacing w:before="50" w:after="50"/>
              <w:jc w:val="center"/>
              <w:rPr>
                <w:rFonts w:cs="Calibri"/>
                <w:szCs w:val="18"/>
                <w:lang w:val="en-NZ"/>
              </w:rPr>
            </w:pPr>
          </w:p>
        </w:tc>
        <w:tc>
          <w:tcPr>
            <w:tcW w:w="627" w:type="dxa"/>
          </w:tcPr>
          <w:p w14:paraId="12D7746D" w14:textId="77777777" w:rsidR="007C259A" w:rsidRPr="00BD16B4" w:rsidRDefault="007C259A" w:rsidP="00F31129">
            <w:pPr>
              <w:pStyle w:val="TableText"/>
              <w:spacing w:before="50" w:after="50"/>
              <w:jc w:val="center"/>
              <w:rPr>
                <w:rFonts w:cs="Calibri"/>
                <w:szCs w:val="18"/>
                <w:lang w:val="en-NZ"/>
              </w:rPr>
            </w:pPr>
            <w:r w:rsidRPr="00BD16B4">
              <w:rPr>
                <w:rFonts w:eastAsia="Wingdings" w:cs="Calibri"/>
                <w:szCs w:val="18"/>
                <w:lang w:val="en-NZ"/>
              </w:rPr>
              <w:sym w:font="Wingdings" w:char="F0FC"/>
            </w:r>
          </w:p>
        </w:tc>
        <w:tc>
          <w:tcPr>
            <w:tcW w:w="2608" w:type="dxa"/>
          </w:tcPr>
          <w:p w14:paraId="6E9A2A26" w14:textId="77777777" w:rsidR="007C259A" w:rsidRPr="00BD16B4" w:rsidRDefault="007C259A" w:rsidP="00F31129">
            <w:pPr>
              <w:pStyle w:val="TableText"/>
              <w:spacing w:before="50" w:after="50"/>
              <w:rPr>
                <w:rFonts w:cs="Calibri"/>
                <w:szCs w:val="18"/>
                <w:lang w:val="en-NZ"/>
              </w:rPr>
            </w:pPr>
          </w:p>
        </w:tc>
      </w:tr>
    </w:tbl>
    <w:p w14:paraId="339BD622" w14:textId="77777777" w:rsidR="007C259A" w:rsidRPr="00BD16B4" w:rsidRDefault="007C259A" w:rsidP="00120409">
      <w:pPr>
        <w:pStyle w:val="Note"/>
      </w:pPr>
      <w:r w:rsidRPr="00BD16B4">
        <w:rPr>
          <w:b/>
          <w:bCs/>
        </w:rPr>
        <w:t>Note:</w:t>
      </w:r>
      <w:r w:rsidRPr="00BD16B4">
        <w:t xml:space="preserve"> </w:t>
      </w:r>
      <w:r w:rsidRPr="00BD16B4">
        <w:rPr>
          <w:rFonts w:eastAsia="Calibri"/>
        </w:rPr>
        <w:t xml:space="preserve">Under the WAM scenario, some measures are strengthened compared with the WEM scenario (see remarks column). </w:t>
      </w:r>
      <w:r w:rsidRPr="00BD16B4">
        <w:t>EVs = electric vehicles; GIDI = Government Investment in Decarbonising Industry; HFCs = hydrofluorocarbons; IPPU = industrial processes and product use; LULUCF = land use, land-use change and forestry; WAM = with additional measures; WEM = with existing measures; WOM = without measures.</w:t>
      </w:r>
    </w:p>
    <w:p w14:paraId="7C729CEE" w14:textId="77777777" w:rsidR="007C259A" w:rsidRPr="00BD16B4" w:rsidRDefault="007C259A" w:rsidP="007C259A">
      <w:pPr>
        <w:pStyle w:val="Heading3"/>
      </w:pPr>
      <w:r w:rsidRPr="00BD16B4">
        <w:lastRenderedPageBreak/>
        <w:t>5.2.2</w:t>
      </w:r>
      <w:r w:rsidRPr="00BD16B4">
        <w:tab/>
        <w:t>Details on scenarios</w:t>
      </w:r>
    </w:p>
    <w:p w14:paraId="53FB5AB5" w14:textId="77777777" w:rsidR="007C259A" w:rsidRPr="00BD16B4" w:rsidRDefault="007C259A" w:rsidP="0064427F">
      <w:pPr>
        <w:pStyle w:val="BodyText"/>
        <w:keepNext/>
      </w:pPr>
      <w:r w:rsidRPr="00BD16B4">
        <w:t>Table 5.2 provides further details on the scenarios used in the analysis.</w:t>
      </w:r>
    </w:p>
    <w:p w14:paraId="6CD3C285" w14:textId="77777777" w:rsidR="007C259A" w:rsidRPr="00BD16B4" w:rsidRDefault="007C259A" w:rsidP="007C259A">
      <w:pPr>
        <w:pStyle w:val="BodyText"/>
      </w:pPr>
      <w:r w:rsidRPr="00BD16B4">
        <w:t>Not all implemented policies and measures that are likely to have a significant emissions impact were able to be quantified under WEM and WAM due to data constraints, lack of certainty, and model design constraints.</w:t>
      </w:r>
    </w:p>
    <w:p w14:paraId="12DA5052" w14:textId="77777777" w:rsidR="007C259A" w:rsidRPr="00BD16B4" w:rsidRDefault="007C259A" w:rsidP="00BB7302">
      <w:pPr>
        <w:pStyle w:val="Tableheading"/>
      </w:pPr>
      <w:bookmarkStart w:id="276" w:name="_Toc121773792"/>
      <w:r w:rsidRPr="00BD16B4">
        <w:t>Table 5.2:</w:t>
      </w:r>
      <w:r w:rsidRPr="00BD16B4">
        <w:tab/>
        <w:t>Details on scenarios</w:t>
      </w:r>
      <w:bookmarkEnd w:id="276"/>
    </w:p>
    <w:tbl>
      <w:tblPr>
        <w:tblStyle w:val="TableGrid"/>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610"/>
        <w:gridCol w:w="2734"/>
        <w:gridCol w:w="4161"/>
      </w:tblGrid>
      <w:tr w:rsidR="0064427F" w:rsidRPr="00BD16B4" w14:paraId="52E16A18" w14:textId="77777777" w:rsidTr="00AB5497">
        <w:trPr>
          <w:tblHeader/>
        </w:trPr>
        <w:tc>
          <w:tcPr>
            <w:tcW w:w="1588" w:type="dxa"/>
            <w:tcBorders>
              <w:right w:val="nil"/>
            </w:tcBorders>
            <w:shd w:val="clear" w:color="auto" w:fill="1B556B"/>
          </w:tcPr>
          <w:p w14:paraId="5C4811C2" w14:textId="77777777" w:rsidR="007C259A" w:rsidRPr="00BD16B4" w:rsidRDefault="007C259A" w:rsidP="00F31129">
            <w:pPr>
              <w:pStyle w:val="TableTextBold0"/>
              <w:rPr>
                <w:color w:val="FFFFFF" w:themeColor="background1"/>
              </w:rPr>
            </w:pPr>
            <w:r w:rsidRPr="00BD16B4">
              <w:rPr>
                <w:color w:val="FFFFFF" w:themeColor="background1"/>
              </w:rPr>
              <w:t>Scenario</w:t>
            </w:r>
          </w:p>
        </w:tc>
        <w:tc>
          <w:tcPr>
            <w:tcW w:w="2698" w:type="dxa"/>
            <w:tcBorders>
              <w:left w:val="nil"/>
              <w:right w:val="nil"/>
            </w:tcBorders>
            <w:shd w:val="clear" w:color="auto" w:fill="1B556B"/>
          </w:tcPr>
          <w:p w14:paraId="53DE339D" w14:textId="77777777" w:rsidR="007C259A" w:rsidRPr="00BD16B4" w:rsidRDefault="007C259A" w:rsidP="00F31129">
            <w:pPr>
              <w:pStyle w:val="TableTextBold0"/>
              <w:rPr>
                <w:color w:val="FFFFFF" w:themeColor="background1"/>
              </w:rPr>
            </w:pPr>
            <w:r w:rsidRPr="00BD16B4">
              <w:rPr>
                <w:color w:val="FFFFFF" w:themeColor="background1"/>
              </w:rPr>
              <w:t>Description</w:t>
            </w:r>
          </w:p>
        </w:tc>
        <w:tc>
          <w:tcPr>
            <w:tcW w:w="4106" w:type="dxa"/>
            <w:tcBorders>
              <w:left w:val="nil"/>
            </w:tcBorders>
            <w:shd w:val="clear" w:color="auto" w:fill="1B556B"/>
          </w:tcPr>
          <w:p w14:paraId="0E6EFCB5" w14:textId="77777777" w:rsidR="007C259A" w:rsidRPr="00BD16B4" w:rsidRDefault="007C259A" w:rsidP="00F31129">
            <w:pPr>
              <w:pStyle w:val="TableTextBold0"/>
              <w:rPr>
                <w:color w:val="FFFFFF" w:themeColor="background1"/>
              </w:rPr>
            </w:pPr>
            <w:r w:rsidRPr="00BD16B4">
              <w:rPr>
                <w:color w:val="FFFFFF" w:themeColor="background1"/>
              </w:rPr>
              <w:t>Notes</w:t>
            </w:r>
          </w:p>
        </w:tc>
      </w:tr>
      <w:tr w:rsidR="007C259A" w:rsidRPr="00BD16B4" w14:paraId="459DC772" w14:textId="77777777" w:rsidTr="0064427F">
        <w:tc>
          <w:tcPr>
            <w:tcW w:w="1588" w:type="dxa"/>
            <w:shd w:val="clear" w:color="auto" w:fill="auto"/>
          </w:tcPr>
          <w:p w14:paraId="2CAFF95B" w14:textId="77777777" w:rsidR="007C259A" w:rsidRPr="00BD16B4" w:rsidRDefault="007C259A" w:rsidP="00F31129">
            <w:pPr>
              <w:pStyle w:val="TableText"/>
            </w:pPr>
            <w:r w:rsidRPr="00BD16B4">
              <w:t>‘With existing measures’ (WEM) scenario</w:t>
            </w:r>
          </w:p>
        </w:tc>
        <w:tc>
          <w:tcPr>
            <w:tcW w:w="2698" w:type="dxa"/>
            <w:shd w:val="clear" w:color="auto" w:fill="auto"/>
          </w:tcPr>
          <w:p w14:paraId="75FDDB57" w14:textId="77777777" w:rsidR="007C259A" w:rsidRPr="00BD16B4" w:rsidRDefault="007C259A" w:rsidP="00F31129">
            <w:pPr>
              <w:pStyle w:val="TableText"/>
            </w:pPr>
            <w:r w:rsidRPr="00BD16B4">
              <w:t>Currently implemented and adopted policies and measures</w:t>
            </w:r>
          </w:p>
        </w:tc>
        <w:tc>
          <w:tcPr>
            <w:tcW w:w="4106" w:type="dxa"/>
          </w:tcPr>
          <w:p w14:paraId="26D49D28" w14:textId="77777777" w:rsidR="007C259A" w:rsidRPr="00BD16B4" w:rsidRDefault="007C259A" w:rsidP="00F31129">
            <w:pPr>
              <w:pStyle w:val="TableText"/>
            </w:pPr>
            <w:r w:rsidRPr="00BD16B4">
              <w:t>This scenario reflects the current state of legislation, also taking into account the stipulated strengthening of existing policies and measures (ie, any strengthening foreseen under current legislation)</w:t>
            </w:r>
          </w:p>
        </w:tc>
      </w:tr>
      <w:tr w:rsidR="007C259A" w:rsidRPr="00BD16B4" w14:paraId="49E37095" w14:textId="77777777" w:rsidTr="0064427F">
        <w:tc>
          <w:tcPr>
            <w:tcW w:w="1588" w:type="dxa"/>
            <w:shd w:val="clear" w:color="auto" w:fill="auto"/>
          </w:tcPr>
          <w:p w14:paraId="50F937EE" w14:textId="77777777" w:rsidR="007C259A" w:rsidRPr="00BD16B4" w:rsidRDefault="007C259A" w:rsidP="00F31129">
            <w:pPr>
              <w:pStyle w:val="TableText"/>
            </w:pPr>
            <w:r w:rsidRPr="00BD16B4">
              <w:t>‘Without measures’ (WOM) scenario</w:t>
            </w:r>
          </w:p>
        </w:tc>
        <w:tc>
          <w:tcPr>
            <w:tcW w:w="2698" w:type="dxa"/>
            <w:shd w:val="clear" w:color="auto" w:fill="auto"/>
          </w:tcPr>
          <w:p w14:paraId="03E3854C" w14:textId="77777777" w:rsidR="007C259A" w:rsidRPr="00BD16B4" w:rsidRDefault="007C259A" w:rsidP="00F31129">
            <w:pPr>
              <w:pStyle w:val="TableText"/>
            </w:pPr>
            <w:r w:rsidRPr="00BD16B4">
              <w:t>Excludes all implemented, adopted and planned policies and measures to the extent possible</w:t>
            </w:r>
          </w:p>
        </w:tc>
        <w:tc>
          <w:tcPr>
            <w:tcW w:w="4106" w:type="dxa"/>
          </w:tcPr>
          <w:p w14:paraId="4A7D744C" w14:textId="77777777" w:rsidR="007C259A" w:rsidRPr="00BD16B4" w:rsidRDefault="007C259A" w:rsidP="00F31129">
            <w:pPr>
              <w:pStyle w:val="TableText"/>
            </w:pPr>
            <w:r w:rsidRPr="00BD16B4">
              <w:t>This scenario acts as a reference scenario against which WEM and WAM can be compared</w:t>
            </w:r>
          </w:p>
        </w:tc>
      </w:tr>
      <w:tr w:rsidR="007C259A" w:rsidRPr="00BD16B4" w14:paraId="59F6131F" w14:textId="77777777" w:rsidTr="0064427F">
        <w:tc>
          <w:tcPr>
            <w:tcW w:w="1588" w:type="dxa"/>
          </w:tcPr>
          <w:p w14:paraId="3562F054" w14:textId="06C8784C" w:rsidR="007C259A" w:rsidRPr="00BD16B4" w:rsidRDefault="007C259A" w:rsidP="00F31129">
            <w:pPr>
              <w:pStyle w:val="TableText"/>
            </w:pPr>
            <w:r w:rsidRPr="00BD16B4">
              <w:t>‘With additional measures’ (WAM) scenario</w:t>
            </w:r>
          </w:p>
        </w:tc>
        <w:tc>
          <w:tcPr>
            <w:tcW w:w="2698" w:type="dxa"/>
          </w:tcPr>
          <w:p w14:paraId="2FAA8515" w14:textId="77777777" w:rsidR="007C259A" w:rsidRPr="00BD16B4" w:rsidRDefault="007C259A" w:rsidP="00F31129">
            <w:pPr>
              <w:pStyle w:val="TableText"/>
            </w:pPr>
            <w:r w:rsidRPr="00BD16B4">
              <w:t xml:space="preserve">Includes </w:t>
            </w:r>
            <w:r w:rsidRPr="00BD16B4">
              <w:rPr>
                <w:i/>
              </w:rPr>
              <w:t>planned</w:t>
            </w:r>
            <w:r w:rsidRPr="00BD16B4">
              <w:t xml:space="preserve"> policies and measures, in addition to implemented and adopted policies and measures</w:t>
            </w:r>
          </w:p>
        </w:tc>
        <w:tc>
          <w:tcPr>
            <w:tcW w:w="4106" w:type="dxa"/>
          </w:tcPr>
          <w:p w14:paraId="3BC043CE" w14:textId="77777777" w:rsidR="007C259A" w:rsidRPr="00BD16B4" w:rsidRDefault="007C259A" w:rsidP="00F31129">
            <w:pPr>
              <w:pStyle w:val="TableText"/>
            </w:pPr>
            <w:r w:rsidRPr="00BD16B4">
              <w:t>This scenario considers the planned strengthening of existing policies and measures, as well as new policies and measures that have been approved but are not yet implemented into law. Because only a small number of policies are approved but not in law at any one time, this is reflected in the size of the difference between WEM and WAM</w:t>
            </w:r>
          </w:p>
        </w:tc>
      </w:tr>
    </w:tbl>
    <w:p w14:paraId="05539BAE" w14:textId="77777777" w:rsidR="007C259A" w:rsidRPr="00BD16B4" w:rsidRDefault="007C259A" w:rsidP="00753FC4">
      <w:pPr>
        <w:pStyle w:val="Heading3"/>
        <w:spacing w:before="480"/>
      </w:pPr>
      <w:r w:rsidRPr="00BD16B4">
        <w:t>5.2.3</w:t>
      </w:r>
      <w:r w:rsidRPr="00BD16B4">
        <w:tab/>
        <w:t>Key assumptions and variables</w:t>
      </w:r>
    </w:p>
    <w:p w14:paraId="73881B4E" w14:textId="77777777" w:rsidR="007C259A" w:rsidRPr="00BD16B4" w:rsidRDefault="007C259A" w:rsidP="007C259A">
      <w:pPr>
        <w:pStyle w:val="BodyText"/>
      </w:pPr>
      <w:r w:rsidRPr="00BD16B4">
        <w:t xml:space="preserve">An overview of the key assumptions used for modelling of the WEM, WOM and WAM scenarios is presented in table 5.3. For further key variables and assumptions used in the projections analysis (CTF table 5), please see appendix C.1 and sector-specific information in section 5.5. </w:t>
      </w:r>
    </w:p>
    <w:p w14:paraId="478C68E9" w14:textId="77777777" w:rsidR="007C259A" w:rsidRPr="00BD16B4" w:rsidRDefault="007C259A" w:rsidP="007C259A">
      <w:pPr>
        <w:pStyle w:val="BodyText"/>
      </w:pPr>
      <w:r w:rsidRPr="00BD16B4">
        <w:t>Projections and their underlying assumptions are inherently uncertain. New Zealand’s population and gross domestic product (GDP) are assumed to increase over the coming decades. Net migration is anticipated to be at 35,100 people per year in 2025, decreasing to 25,000 by 2035, while the New Zealand dollar (NZ$)–United States dollar (US$) exchange rate is assumed to remain constant at the long-term historical average of 0.65. The effective carbon price in the WEM scenario is assumed to increase from NZ$64 in 2025 to NZ$115 in 2035. This increase is not intended as a forecast of the expected New Zealand Unit (NZU) price, and it does not preclude future decisions that the Government is yet to agree to or adopt that may alter the NZU price.</w:t>
      </w:r>
    </w:p>
    <w:p w14:paraId="70A189EF" w14:textId="77777777" w:rsidR="007C259A" w:rsidRPr="00BD16B4" w:rsidRDefault="007C259A" w:rsidP="007C259A">
      <w:pPr>
        <w:pStyle w:val="BodyText"/>
      </w:pPr>
      <w:r w:rsidRPr="00BD16B4">
        <w:t xml:space="preserve">As well as including assumptions about net migration, the labour force and the NZ$–US$ exchange rate, a variation of the carbon price projections was used in the energy and transport modelling, as presented in table 5.4. </w:t>
      </w:r>
    </w:p>
    <w:p w14:paraId="0035871F" w14:textId="77777777" w:rsidR="007C259A" w:rsidRPr="00BD16B4" w:rsidRDefault="007C259A" w:rsidP="00BB7302">
      <w:pPr>
        <w:pStyle w:val="Tableheading"/>
      </w:pPr>
      <w:bookmarkStart w:id="277" w:name="_Toc121773793"/>
      <w:r w:rsidRPr="00BD16B4">
        <w:lastRenderedPageBreak/>
        <w:t>Table 5.3:</w:t>
      </w:r>
      <w:r w:rsidRPr="00BD16B4">
        <w:tab/>
        <w:t>Summary of key assumptions for modelling New Zealand’s greenhouse gas emission projections, 1990–2035</w:t>
      </w:r>
      <w:bookmarkEnd w:id="277"/>
    </w:p>
    <w:tbl>
      <w:tblPr>
        <w:tblStyle w:val="TableGrid"/>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CellMar>
          <w:left w:w="85" w:type="dxa"/>
          <w:right w:w="85" w:type="dxa"/>
        </w:tblCellMar>
        <w:tblLook w:val="04A0" w:firstRow="1" w:lastRow="0" w:firstColumn="1" w:lastColumn="0" w:noHBand="0" w:noVBand="1"/>
      </w:tblPr>
      <w:tblGrid>
        <w:gridCol w:w="2059"/>
        <w:gridCol w:w="630"/>
        <w:gridCol w:w="643"/>
        <w:gridCol w:w="641"/>
        <w:gridCol w:w="641"/>
        <w:gridCol w:w="641"/>
        <w:gridCol w:w="641"/>
        <w:gridCol w:w="641"/>
        <w:gridCol w:w="641"/>
        <w:gridCol w:w="686"/>
        <w:gridCol w:w="641"/>
      </w:tblGrid>
      <w:tr w:rsidR="007C259A" w:rsidRPr="00BD16B4" w14:paraId="22F11827" w14:textId="77777777" w:rsidTr="00AB5497">
        <w:trPr>
          <w:tblHeader/>
        </w:trPr>
        <w:tc>
          <w:tcPr>
            <w:tcW w:w="2059" w:type="dxa"/>
            <w:vMerge w:val="restart"/>
            <w:tcBorders>
              <w:bottom w:val="nil"/>
              <w:right w:val="nil"/>
            </w:tcBorders>
            <w:shd w:val="clear" w:color="auto" w:fill="1B556B"/>
            <w:vAlign w:val="bottom"/>
          </w:tcPr>
          <w:p w14:paraId="208D55F4" w14:textId="77777777" w:rsidR="007C259A" w:rsidRPr="00BD16B4" w:rsidRDefault="007C259A" w:rsidP="008B657C">
            <w:pPr>
              <w:pStyle w:val="TableText"/>
              <w:keepNext/>
              <w:rPr>
                <w:b/>
                <w:color w:val="FFFFFF" w:themeColor="background1"/>
              </w:rPr>
            </w:pPr>
            <w:r w:rsidRPr="00BD16B4">
              <w:rPr>
                <w:rFonts w:cs="Calibri"/>
                <w:b/>
                <w:color w:val="FFFFFF" w:themeColor="background1"/>
                <w:szCs w:val="18"/>
              </w:rPr>
              <w:t>Key underlying assumptions</w:t>
            </w:r>
          </w:p>
        </w:tc>
        <w:tc>
          <w:tcPr>
            <w:tcW w:w="4478" w:type="dxa"/>
            <w:gridSpan w:val="7"/>
            <w:tcBorders>
              <w:left w:val="nil"/>
              <w:bottom w:val="nil"/>
              <w:right w:val="nil"/>
            </w:tcBorders>
            <w:shd w:val="clear" w:color="auto" w:fill="1B556B"/>
            <w:vAlign w:val="bottom"/>
          </w:tcPr>
          <w:p w14:paraId="69273321" w14:textId="77777777" w:rsidR="007C259A" w:rsidRPr="00BD16B4" w:rsidRDefault="007C259A" w:rsidP="008B657C">
            <w:pPr>
              <w:pStyle w:val="TableText"/>
              <w:keepNext/>
              <w:spacing w:after="0"/>
              <w:jc w:val="center"/>
              <w:rPr>
                <w:b/>
                <w:color w:val="FFFFFF" w:themeColor="background1"/>
              </w:rPr>
            </w:pPr>
            <w:r w:rsidRPr="00BD16B4">
              <w:rPr>
                <w:rFonts w:cs="Calibri"/>
                <w:b/>
                <w:color w:val="FFFFFF" w:themeColor="background1"/>
                <w:szCs w:val="18"/>
              </w:rPr>
              <w:t>Historical</w:t>
            </w:r>
          </w:p>
        </w:tc>
        <w:tc>
          <w:tcPr>
            <w:tcW w:w="1968" w:type="dxa"/>
            <w:gridSpan w:val="3"/>
            <w:tcBorders>
              <w:left w:val="nil"/>
              <w:bottom w:val="nil"/>
            </w:tcBorders>
            <w:shd w:val="clear" w:color="auto" w:fill="1B556B"/>
            <w:vAlign w:val="bottom"/>
          </w:tcPr>
          <w:p w14:paraId="1FE157C6" w14:textId="77777777" w:rsidR="007C259A" w:rsidRPr="00BD16B4" w:rsidRDefault="007C259A" w:rsidP="008B657C">
            <w:pPr>
              <w:pStyle w:val="TableText"/>
              <w:keepNext/>
              <w:spacing w:after="0"/>
              <w:jc w:val="center"/>
              <w:rPr>
                <w:b/>
                <w:color w:val="FFFFFF" w:themeColor="background1"/>
              </w:rPr>
            </w:pPr>
            <w:r w:rsidRPr="00BD16B4">
              <w:rPr>
                <w:b/>
                <w:color w:val="FFFFFF" w:themeColor="background1"/>
              </w:rPr>
              <w:t>Projected</w:t>
            </w:r>
          </w:p>
        </w:tc>
      </w:tr>
      <w:tr w:rsidR="007C259A" w:rsidRPr="00BD16B4" w14:paraId="0342A725" w14:textId="77777777" w:rsidTr="00AB5497">
        <w:trPr>
          <w:tblHeader/>
        </w:trPr>
        <w:tc>
          <w:tcPr>
            <w:tcW w:w="2059" w:type="dxa"/>
            <w:vMerge/>
            <w:tcBorders>
              <w:top w:val="nil"/>
              <w:right w:val="nil"/>
            </w:tcBorders>
            <w:shd w:val="clear" w:color="auto" w:fill="1B556B"/>
            <w:vAlign w:val="bottom"/>
          </w:tcPr>
          <w:p w14:paraId="1638661D" w14:textId="77777777" w:rsidR="007C259A" w:rsidRPr="00BD16B4" w:rsidRDefault="007C259A" w:rsidP="008B657C">
            <w:pPr>
              <w:pStyle w:val="TableText"/>
              <w:keepNext/>
              <w:rPr>
                <w:b/>
                <w:color w:val="FFFFFF" w:themeColor="background1"/>
              </w:rPr>
            </w:pPr>
          </w:p>
        </w:tc>
        <w:tc>
          <w:tcPr>
            <w:tcW w:w="630" w:type="dxa"/>
            <w:tcBorders>
              <w:top w:val="nil"/>
              <w:left w:val="nil"/>
              <w:right w:val="nil"/>
            </w:tcBorders>
            <w:shd w:val="clear" w:color="auto" w:fill="1B556B"/>
            <w:vAlign w:val="bottom"/>
          </w:tcPr>
          <w:p w14:paraId="0CB22720" w14:textId="77777777" w:rsidR="007C259A" w:rsidRPr="00BD16B4" w:rsidRDefault="007C259A" w:rsidP="008B657C">
            <w:pPr>
              <w:pStyle w:val="TableText"/>
              <w:keepNext/>
              <w:jc w:val="center"/>
              <w:rPr>
                <w:b/>
                <w:color w:val="FFFFFF" w:themeColor="background1"/>
              </w:rPr>
            </w:pPr>
            <w:r w:rsidRPr="00BD16B4">
              <w:rPr>
                <w:rFonts w:cs="Calibri"/>
                <w:b/>
                <w:color w:val="FFFFFF" w:themeColor="background1"/>
                <w:szCs w:val="18"/>
              </w:rPr>
              <w:t>1990</w:t>
            </w:r>
          </w:p>
        </w:tc>
        <w:tc>
          <w:tcPr>
            <w:tcW w:w="643" w:type="dxa"/>
            <w:tcBorders>
              <w:top w:val="nil"/>
              <w:left w:val="nil"/>
              <w:right w:val="nil"/>
            </w:tcBorders>
            <w:shd w:val="clear" w:color="auto" w:fill="1B556B"/>
            <w:vAlign w:val="bottom"/>
          </w:tcPr>
          <w:p w14:paraId="2993C022" w14:textId="77777777" w:rsidR="007C259A" w:rsidRPr="00BD16B4" w:rsidRDefault="007C259A" w:rsidP="008B657C">
            <w:pPr>
              <w:pStyle w:val="TableText"/>
              <w:keepNext/>
              <w:jc w:val="center"/>
              <w:rPr>
                <w:b/>
                <w:color w:val="FFFFFF" w:themeColor="background1"/>
              </w:rPr>
            </w:pPr>
            <w:r w:rsidRPr="00BD16B4">
              <w:rPr>
                <w:rFonts w:cs="Calibri"/>
                <w:b/>
                <w:color w:val="FFFFFF" w:themeColor="background1"/>
                <w:szCs w:val="18"/>
              </w:rPr>
              <w:t>1995</w:t>
            </w:r>
          </w:p>
        </w:tc>
        <w:tc>
          <w:tcPr>
            <w:tcW w:w="641" w:type="dxa"/>
            <w:tcBorders>
              <w:top w:val="nil"/>
              <w:left w:val="nil"/>
              <w:right w:val="nil"/>
            </w:tcBorders>
            <w:shd w:val="clear" w:color="auto" w:fill="1B556B"/>
            <w:vAlign w:val="bottom"/>
          </w:tcPr>
          <w:p w14:paraId="243E9319" w14:textId="77777777" w:rsidR="007C259A" w:rsidRPr="00BD16B4" w:rsidRDefault="007C259A" w:rsidP="008B657C">
            <w:pPr>
              <w:pStyle w:val="TableText"/>
              <w:keepNext/>
              <w:jc w:val="center"/>
              <w:rPr>
                <w:b/>
                <w:color w:val="FFFFFF" w:themeColor="background1"/>
              </w:rPr>
            </w:pPr>
            <w:r w:rsidRPr="00BD16B4">
              <w:rPr>
                <w:rFonts w:cs="Calibri"/>
                <w:b/>
                <w:color w:val="FFFFFF" w:themeColor="background1"/>
                <w:szCs w:val="18"/>
              </w:rPr>
              <w:t>2000</w:t>
            </w:r>
          </w:p>
        </w:tc>
        <w:tc>
          <w:tcPr>
            <w:tcW w:w="641" w:type="dxa"/>
            <w:tcBorders>
              <w:top w:val="nil"/>
              <w:left w:val="nil"/>
              <w:right w:val="nil"/>
            </w:tcBorders>
            <w:shd w:val="clear" w:color="auto" w:fill="1B556B"/>
            <w:vAlign w:val="bottom"/>
          </w:tcPr>
          <w:p w14:paraId="0F9DE925" w14:textId="77777777" w:rsidR="007C259A" w:rsidRPr="00BD16B4" w:rsidRDefault="007C259A" w:rsidP="008B657C">
            <w:pPr>
              <w:pStyle w:val="TableText"/>
              <w:keepNext/>
              <w:jc w:val="center"/>
              <w:rPr>
                <w:b/>
                <w:color w:val="FFFFFF" w:themeColor="background1"/>
              </w:rPr>
            </w:pPr>
            <w:r w:rsidRPr="00BD16B4">
              <w:rPr>
                <w:rFonts w:cs="Calibri"/>
                <w:b/>
                <w:color w:val="FFFFFF" w:themeColor="background1"/>
                <w:szCs w:val="18"/>
              </w:rPr>
              <w:t>2005</w:t>
            </w:r>
          </w:p>
        </w:tc>
        <w:tc>
          <w:tcPr>
            <w:tcW w:w="641" w:type="dxa"/>
            <w:tcBorders>
              <w:top w:val="nil"/>
              <w:left w:val="nil"/>
              <w:right w:val="nil"/>
            </w:tcBorders>
            <w:shd w:val="clear" w:color="auto" w:fill="1B556B"/>
            <w:vAlign w:val="bottom"/>
          </w:tcPr>
          <w:p w14:paraId="3805F9B9" w14:textId="77777777" w:rsidR="007C259A" w:rsidRPr="00BD16B4" w:rsidRDefault="007C259A" w:rsidP="008B657C">
            <w:pPr>
              <w:pStyle w:val="TableText"/>
              <w:keepNext/>
              <w:jc w:val="center"/>
              <w:rPr>
                <w:b/>
                <w:color w:val="FFFFFF" w:themeColor="background1"/>
              </w:rPr>
            </w:pPr>
            <w:r w:rsidRPr="00BD16B4">
              <w:rPr>
                <w:rFonts w:cs="Calibri"/>
                <w:b/>
                <w:color w:val="FFFFFF" w:themeColor="background1"/>
                <w:szCs w:val="18"/>
              </w:rPr>
              <w:t>2010</w:t>
            </w:r>
          </w:p>
        </w:tc>
        <w:tc>
          <w:tcPr>
            <w:tcW w:w="641" w:type="dxa"/>
            <w:tcBorders>
              <w:top w:val="nil"/>
              <w:left w:val="nil"/>
              <w:right w:val="nil"/>
            </w:tcBorders>
            <w:shd w:val="clear" w:color="auto" w:fill="1B556B"/>
            <w:vAlign w:val="bottom"/>
          </w:tcPr>
          <w:p w14:paraId="5849FA68" w14:textId="77777777" w:rsidR="007C259A" w:rsidRPr="00BD16B4" w:rsidRDefault="007C259A" w:rsidP="008B657C">
            <w:pPr>
              <w:pStyle w:val="TableText"/>
              <w:keepNext/>
              <w:jc w:val="center"/>
              <w:rPr>
                <w:b/>
                <w:color w:val="FFFFFF" w:themeColor="background1"/>
              </w:rPr>
            </w:pPr>
            <w:r w:rsidRPr="00BD16B4">
              <w:rPr>
                <w:rFonts w:cs="Calibri"/>
                <w:b/>
                <w:color w:val="FFFFFF" w:themeColor="background1"/>
                <w:szCs w:val="18"/>
              </w:rPr>
              <w:t>2015</w:t>
            </w:r>
          </w:p>
        </w:tc>
        <w:tc>
          <w:tcPr>
            <w:tcW w:w="641" w:type="dxa"/>
            <w:tcBorders>
              <w:top w:val="nil"/>
              <w:left w:val="nil"/>
              <w:right w:val="nil"/>
            </w:tcBorders>
            <w:shd w:val="clear" w:color="auto" w:fill="1B556B"/>
            <w:vAlign w:val="bottom"/>
          </w:tcPr>
          <w:p w14:paraId="29185D92" w14:textId="77777777" w:rsidR="007C259A" w:rsidRPr="00BD16B4" w:rsidRDefault="007C259A" w:rsidP="008B657C">
            <w:pPr>
              <w:pStyle w:val="TableText"/>
              <w:keepNext/>
              <w:jc w:val="center"/>
              <w:rPr>
                <w:b/>
                <w:color w:val="FFFFFF" w:themeColor="background1"/>
              </w:rPr>
            </w:pPr>
            <w:r w:rsidRPr="00BD16B4">
              <w:rPr>
                <w:rFonts w:cs="Calibri"/>
                <w:b/>
                <w:color w:val="FFFFFF" w:themeColor="background1"/>
                <w:szCs w:val="18"/>
              </w:rPr>
              <w:t>2020</w:t>
            </w:r>
          </w:p>
        </w:tc>
        <w:tc>
          <w:tcPr>
            <w:tcW w:w="641" w:type="dxa"/>
            <w:tcBorders>
              <w:top w:val="nil"/>
              <w:left w:val="nil"/>
              <w:bottom w:val="single" w:sz="4" w:space="0" w:color="1B556B"/>
              <w:right w:val="nil"/>
            </w:tcBorders>
            <w:shd w:val="clear" w:color="auto" w:fill="1B556B"/>
            <w:vAlign w:val="bottom"/>
          </w:tcPr>
          <w:p w14:paraId="26CA7232" w14:textId="77777777" w:rsidR="007C259A" w:rsidRPr="00BD16B4" w:rsidRDefault="007C259A" w:rsidP="008B657C">
            <w:pPr>
              <w:pStyle w:val="TableText"/>
              <w:keepNext/>
              <w:jc w:val="center"/>
              <w:rPr>
                <w:b/>
                <w:color w:val="FFFFFF" w:themeColor="background1"/>
              </w:rPr>
            </w:pPr>
            <w:r w:rsidRPr="00BD16B4">
              <w:rPr>
                <w:rFonts w:cs="Calibri"/>
                <w:b/>
                <w:color w:val="FFFFFF" w:themeColor="background1"/>
                <w:szCs w:val="18"/>
              </w:rPr>
              <w:t>2025</w:t>
            </w:r>
          </w:p>
        </w:tc>
        <w:tc>
          <w:tcPr>
            <w:tcW w:w="686" w:type="dxa"/>
            <w:tcBorders>
              <w:top w:val="nil"/>
              <w:left w:val="nil"/>
              <w:bottom w:val="single" w:sz="4" w:space="0" w:color="1B556B"/>
              <w:right w:val="nil"/>
            </w:tcBorders>
            <w:shd w:val="clear" w:color="auto" w:fill="1B556B"/>
            <w:vAlign w:val="bottom"/>
          </w:tcPr>
          <w:p w14:paraId="3F8BBEEE" w14:textId="77777777" w:rsidR="007C259A" w:rsidRPr="00BD16B4" w:rsidRDefault="007C259A" w:rsidP="008B657C">
            <w:pPr>
              <w:pStyle w:val="TableText"/>
              <w:keepNext/>
              <w:jc w:val="center"/>
              <w:rPr>
                <w:b/>
                <w:color w:val="FFFFFF" w:themeColor="background1"/>
              </w:rPr>
            </w:pPr>
            <w:r w:rsidRPr="00BD16B4">
              <w:rPr>
                <w:rFonts w:cs="Calibri"/>
                <w:b/>
                <w:color w:val="FFFFFF" w:themeColor="background1"/>
                <w:szCs w:val="18"/>
              </w:rPr>
              <w:t>2030</w:t>
            </w:r>
          </w:p>
        </w:tc>
        <w:tc>
          <w:tcPr>
            <w:tcW w:w="641" w:type="dxa"/>
            <w:tcBorders>
              <w:top w:val="nil"/>
              <w:left w:val="nil"/>
              <w:bottom w:val="single" w:sz="4" w:space="0" w:color="1B556B"/>
            </w:tcBorders>
            <w:shd w:val="clear" w:color="auto" w:fill="1B556B"/>
            <w:vAlign w:val="bottom"/>
          </w:tcPr>
          <w:p w14:paraId="6F289756" w14:textId="77777777" w:rsidR="007C259A" w:rsidRPr="00BD16B4" w:rsidRDefault="007C259A" w:rsidP="008B657C">
            <w:pPr>
              <w:pStyle w:val="TableText"/>
              <w:keepNext/>
              <w:jc w:val="center"/>
              <w:rPr>
                <w:b/>
                <w:color w:val="FFFFFF" w:themeColor="background1"/>
              </w:rPr>
            </w:pPr>
            <w:r w:rsidRPr="00BD16B4">
              <w:rPr>
                <w:rFonts w:cs="Calibri"/>
                <w:b/>
                <w:color w:val="FFFFFF" w:themeColor="background1"/>
                <w:szCs w:val="18"/>
              </w:rPr>
              <w:t>2035</w:t>
            </w:r>
          </w:p>
        </w:tc>
      </w:tr>
      <w:tr w:rsidR="007C259A" w:rsidRPr="00BD16B4" w14:paraId="74CB31B1" w14:textId="77777777" w:rsidTr="00D44779">
        <w:tc>
          <w:tcPr>
            <w:tcW w:w="2059" w:type="dxa"/>
            <w:shd w:val="clear" w:color="auto" w:fill="auto"/>
          </w:tcPr>
          <w:p w14:paraId="2F12F54F" w14:textId="77777777" w:rsidR="007C259A" w:rsidRPr="00BD16B4" w:rsidRDefault="007C259A" w:rsidP="008B657C">
            <w:pPr>
              <w:pStyle w:val="TableText"/>
              <w:keepNext/>
            </w:pPr>
            <w:r w:rsidRPr="00BD16B4">
              <w:rPr>
                <w:rFonts w:cs="Calibri"/>
                <w:szCs w:val="18"/>
              </w:rPr>
              <w:t>Population (30 June, million inhabitants)</w:t>
            </w:r>
          </w:p>
        </w:tc>
        <w:tc>
          <w:tcPr>
            <w:tcW w:w="630" w:type="dxa"/>
            <w:shd w:val="clear" w:color="auto" w:fill="auto"/>
          </w:tcPr>
          <w:p w14:paraId="05599A64" w14:textId="77777777" w:rsidR="007C259A" w:rsidRPr="00BD16B4" w:rsidRDefault="007C259A" w:rsidP="008B657C">
            <w:pPr>
              <w:pStyle w:val="TableText"/>
              <w:keepNext/>
              <w:jc w:val="center"/>
            </w:pPr>
            <w:r w:rsidRPr="00BD16B4">
              <w:t>3.46</w:t>
            </w:r>
          </w:p>
        </w:tc>
        <w:tc>
          <w:tcPr>
            <w:tcW w:w="643" w:type="dxa"/>
          </w:tcPr>
          <w:p w14:paraId="5984ABC5" w14:textId="77777777" w:rsidR="007C259A" w:rsidRPr="00BD16B4" w:rsidRDefault="007C259A" w:rsidP="008B657C">
            <w:pPr>
              <w:pStyle w:val="TableText"/>
              <w:keepNext/>
              <w:jc w:val="center"/>
            </w:pPr>
            <w:r w:rsidRPr="00BD16B4">
              <w:t>3.67</w:t>
            </w:r>
          </w:p>
        </w:tc>
        <w:tc>
          <w:tcPr>
            <w:tcW w:w="641" w:type="dxa"/>
          </w:tcPr>
          <w:p w14:paraId="51BE7C4F" w14:textId="77777777" w:rsidR="007C259A" w:rsidRPr="00BD16B4" w:rsidRDefault="007C259A" w:rsidP="008B657C">
            <w:pPr>
              <w:pStyle w:val="TableText"/>
              <w:keepNext/>
              <w:jc w:val="center"/>
            </w:pPr>
            <w:r w:rsidRPr="00BD16B4">
              <w:t>3.86</w:t>
            </w:r>
          </w:p>
        </w:tc>
        <w:tc>
          <w:tcPr>
            <w:tcW w:w="641" w:type="dxa"/>
          </w:tcPr>
          <w:p w14:paraId="13B3B114" w14:textId="77777777" w:rsidR="007C259A" w:rsidRPr="00BD16B4" w:rsidRDefault="007C259A" w:rsidP="008B657C">
            <w:pPr>
              <w:pStyle w:val="TableText"/>
              <w:keepNext/>
              <w:jc w:val="center"/>
            </w:pPr>
            <w:r w:rsidRPr="00BD16B4">
              <w:t>4.13</w:t>
            </w:r>
          </w:p>
        </w:tc>
        <w:tc>
          <w:tcPr>
            <w:tcW w:w="641" w:type="dxa"/>
          </w:tcPr>
          <w:p w14:paraId="6F9CFF97" w14:textId="77777777" w:rsidR="007C259A" w:rsidRPr="00BD16B4" w:rsidRDefault="007C259A" w:rsidP="008B657C">
            <w:pPr>
              <w:pStyle w:val="TableText"/>
              <w:keepNext/>
              <w:jc w:val="center"/>
            </w:pPr>
            <w:r w:rsidRPr="00BD16B4">
              <w:t>4.35</w:t>
            </w:r>
          </w:p>
        </w:tc>
        <w:tc>
          <w:tcPr>
            <w:tcW w:w="641" w:type="dxa"/>
          </w:tcPr>
          <w:p w14:paraId="75062DF3" w14:textId="77777777" w:rsidR="007C259A" w:rsidRPr="00BD16B4" w:rsidRDefault="007C259A" w:rsidP="008B657C">
            <w:pPr>
              <w:pStyle w:val="TableText"/>
              <w:keepNext/>
              <w:jc w:val="center"/>
            </w:pPr>
            <w:r w:rsidRPr="00BD16B4">
              <w:t>4.59</w:t>
            </w:r>
          </w:p>
        </w:tc>
        <w:tc>
          <w:tcPr>
            <w:tcW w:w="641" w:type="dxa"/>
          </w:tcPr>
          <w:p w14:paraId="091DCB47" w14:textId="77777777" w:rsidR="007C259A" w:rsidRPr="00BD16B4" w:rsidRDefault="007C259A" w:rsidP="008B657C">
            <w:pPr>
              <w:pStyle w:val="TableText"/>
              <w:keepNext/>
              <w:jc w:val="center"/>
            </w:pPr>
            <w:r w:rsidRPr="00BD16B4">
              <w:t>5.09</w:t>
            </w:r>
          </w:p>
        </w:tc>
        <w:tc>
          <w:tcPr>
            <w:tcW w:w="641" w:type="dxa"/>
            <w:shd w:val="clear" w:color="auto" w:fill="D2DDE1" w:themeFill="background2"/>
          </w:tcPr>
          <w:p w14:paraId="570C09FB" w14:textId="77777777" w:rsidR="007C259A" w:rsidRPr="00BD16B4" w:rsidRDefault="007C259A" w:rsidP="008B657C">
            <w:pPr>
              <w:pStyle w:val="TableText"/>
              <w:keepNext/>
              <w:jc w:val="center"/>
            </w:pPr>
            <w:r w:rsidRPr="00BD16B4">
              <w:t>5.32</w:t>
            </w:r>
          </w:p>
        </w:tc>
        <w:tc>
          <w:tcPr>
            <w:tcW w:w="686" w:type="dxa"/>
            <w:shd w:val="clear" w:color="auto" w:fill="D2DDE1" w:themeFill="background2"/>
          </w:tcPr>
          <w:p w14:paraId="03E7BBF4" w14:textId="77777777" w:rsidR="007C259A" w:rsidRPr="00BD16B4" w:rsidRDefault="007C259A" w:rsidP="008B657C">
            <w:pPr>
              <w:pStyle w:val="TableText"/>
              <w:keepNext/>
              <w:jc w:val="center"/>
            </w:pPr>
            <w:r w:rsidRPr="00BD16B4">
              <w:t>5.55</w:t>
            </w:r>
          </w:p>
        </w:tc>
        <w:tc>
          <w:tcPr>
            <w:tcW w:w="641" w:type="dxa"/>
            <w:shd w:val="clear" w:color="auto" w:fill="D2DDE1" w:themeFill="background2"/>
          </w:tcPr>
          <w:p w14:paraId="6C2223FA" w14:textId="77777777" w:rsidR="007C259A" w:rsidRPr="00BD16B4" w:rsidRDefault="007C259A" w:rsidP="008B657C">
            <w:pPr>
              <w:pStyle w:val="TableText"/>
              <w:keepNext/>
              <w:jc w:val="center"/>
            </w:pPr>
            <w:r w:rsidRPr="00BD16B4">
              <w:t>5.76</w:t>
            </w:r>
          </w:p>
        </w:tc>
      </w:tr>
      <w:tr w:rsidR="007C259A" w:rsidRPr="00BD16B4" w14:paraId="1D239CFB" w14:textId="77777777" w:rsidTr="00D44779">
        <w:tc>
          <w:tcPr>
            <w:tcW w:w="2059" w:type="dxa"/>
            <w:shd w:val="clear" w:color="auto" w:fill="auto"/>
          </w:tcPr>
          <w:p w14:paraId="323E4784" w14:textId="77777777" w:rsidR="007C259A" w:rsidRPr="00BD16B4" w:rsidRDefault="007C259A" w:rsidP="00F31129">
            <w:pPr>
              <w:pStyle w:val="TableText"/>
            </w:pPr>
            <w:r w:rsidRPr="00BD16B4">
              <w:rPr>
                <w:rFonts w:cs="Calibri"/>
                <w:szCs w:val="18"/>
              </w:rPr>
              <w:t>Gross domestic product (real 2009/10 NZ$ billion)</w:t>
            </w:r>
          </w:p>
        </w:tc>
        <w:tc>
          <w:tcPr>
            <w:tcW w:w="630" w:type="dxa"/>
            <w:shd w:val="clear" w:color="auto" w:fill="auto"/>
          </w:tcPr>
          <w:p w14:paraId="1A4A624E" w14:textId="77777777" w:rsidR="007C259A" w:rsidRPr="00BD16B4" w:rsidRDefault="007C259A" w:rsidP="00F31129">
            <w:pPr>
              <w:pStyle w:val="TableText"/>
              <w:jc w:val="center"/>
            </w:pPr>
            <w:r w:rsidRPr="00BD16B4">
              <w:t>112.7</w:t>
            </w:r>
          </w:p>
        </w:tc>
        <w:tc>
          <w:tcPr>
            <w:tcW w:w="643" w:type="dxa"/>
          </w:tcPr>
          <w:p w14:paraId="32AA0B86" w14:textId="77777777" w:rsidR="007C259A" w:rsidRPr="00BD16B4" w:rsidRDefault="007C259A" w:rsidP="00F31129">
            <w:pPr>
              <w:pStyle w:val="TableText"/>
              <w:jc w:val="center"/>
            </w:pPr>
            <w:r w:rsidRPr="00BD16B4">
              <w:t>130.5</w:t>
            </w:r>
          </w:p>
        </w:tc>
        <w:tc>
          <w:tcPr>
            <w:tcW w:w="641" w:type="dxa"/>
          </w:tcPr>
          <w:p w14:paraId="4088EE91" w14:textId="77777777" w:rsidR="007C259A" w:rsidRPr="00BD16B4" w:rsidRDefault="007C259A" w:rsidP="00F31129">
            <w:pPr>
              <w:pStyle w:val="TableText"/>
              <w:jc w:val="center"/>
            </w:pPr>
            <w:r w:rsidRPr="00BD16B4">
              <w:t>152.1</w:t>
            </w:r>
          </w:p>
        </w:tc>
        <w:tc>
          <w:tcPr>
            <w:tcW w:w="641" w:type="dxa"/>
          </w:tcPr>
          <w:p w14:paraId="6035172D" w14:textId="77777777" w:rsidR="007C259A" w:rsidRPr="00BD16B4" w:rsidRDefault="007C259A" w:rsidP="00F31129">
            <w:pPr>
              <w:pStyle w:val="TableText"/>
              <w:jc w:val="center"/>
            </w:pPr>
            <w:r w:rsidRPr="00BD16B4">
              <w:t>184.1</w:t>
            </w:r>
          </w:p>
        </w:tc>
        <w:tc>
          <w:tcPr>
            <w:tcW w:w="641" w:type="dxa"/>
          </w:tcPr>
          <w:p w14:paraId="6FC705C4" w14:textId="77777777" w:rsidR="007C259A" w:rsidRPr="00BD16B4" w:rsidRDefault="007C259A" w:rsidP="00F31129">
            <w:pPr>
              <w:pStyle w:val="TableText"/>
              <w:jc w:val="center"/>
            </w:pPr>
            <w:r w:rsidRPr="00BD16B4">
              <w:t>196.7</w:t>
            </w:r>
          </w:p>
        </w:tc>
        <w:tc>
          <w:tcPr>
            <w:tcW w:w="641" w:type="dxa"/>
          </w:tcPr>
          <w:p w14:paraId="41352A09" w14:textId="77777777" w:rsidR="007C259A" w:rsidRPr="00BD16B4" w:rsidRDefault="007C259A" w:rsidP="00F31129">
            <w:pPr>
              <w:pStyle w:val="TableText"/>
              <w:jc w:val="center"/>
            </w:pPr>
            <w:r w:rsidRPr="00BD16B4">
              <w:t>225.3</w:t>
            </w:r>
          </w:p>
        </w:tc>
        <w:tc>
          <w:tcPr>
            <w:tcW w:w="641" w:type="dxa"/>
          </w:tcPr>
          <w:p w14:paraId="2F9A8299" w14:textId="77777777" w:rsidR="007C259A" w:rsidRPr="00BD16B4" w:rsidRDefault="007C259A" w:rsidP="00F31129">
            <w:pPr>
              <w:pStyle w:val="TableText"/>
              <w:jc w:val="center"/>
            </w:pPr>
            <w:r w:rsidRPr="00BD16B4">
              <w:t>261.9</w:t>
            </w:r>
          </w:p>
        </w:tc>
        <w:tc>
          <w:tcPr>
            <w:tcW w:w="641" w:type="dxa"/>
            <w:shd w:val="clear" w:color="auto" w:fill="D2DDE1" w:themeFill="background2"/>
          </w:tcPr>
          <w:p w14:paraId="5590ED90" w14:textId="77777777" w:rsidR="007C259A" w:rsidRPr="00BD16B4" w:rsidRDefault="007C259A" w:rsidP="00F31129">
            <w:pPr>
              <w:pStyle w:val="TableText"/>
              <w:jc w:val="center"/>
            </w:pPr>
            <w:r w:rsidRPr="00BD16B4">
              <w:t>294.2</w:t>
            </w:r>
          </w:p>
        </w:tc>
        <w:tc>
          <w:tcPr>
            <w:tcW w:w="686" w:type="dxa"/>
            <w:shd w:val="clear" w:color="auto" w:fill="D2DDE1" w:themeFill="background2"/>
          </w:tcPr>
          <w:p w14:paraId="33F6A02E" w14:textId="77777777" w:rsidR="007C259A" w:rsidRPr="00BD16B4" w:rsidRDefault="007C259A" w:rsidP="00F31129">
            <w:pPr>
              <w:pStyle w:val="TableText"/>
              <w:jc w:val="center"/>
            </w:pPr>
            <w:r w:rsidRPr="00BD16B4">
              <w:t>323.9</w:t>
            </w:r>
          </w:p>
        </w:tc>
        <w:tc>
          <w:tcPr>
            <w:tcW w:w="641" w:type="dxa"/>
            <w:shd w:val="clear" w:color="auto" w:fill="D2DDE1" w:themeFill="background2"/>
          </w:tcPr>
          <w:p w14:paraId="176BC9A6" w14:textId="77777777" w:rsidR="007C259A" w:rsidRPr="00BD16B4" w:rsidRDefault="007C259A" w:rsidP="00F31129">
            <w:pPr>
              <w:pStyle w:val="TableText"/>
              <w:jc w:val="center"/>
            </w:pPr>
            <w:r w:rsidRPr="00BD16B4">
              <w:t>354.0</w:t>
            </w:r>
          </w:p>
        </w:tc>
      </w:tr>
      <w:tr w:rsidR="007C259A" w:rsidRPr="00BD16B4" w14:paraId="0D49134B" w14:textId="77777777" w:rsidTr="00D44779">
        <w:tc>
          <w:tcPr>
            <w:tcW w:w="2059" w:type="dxa"/>
          </w:tcPr>
          <w:p w14:paraId="7A49FB15" w14:textId="77777777" w:rsidR="007C259A" w:rsidRPr="00BD16B4" w:rsidRDefault="007C259A" w:rsidP="00F31129">
            <w:pPr>
              <w:pStyle w:val="TableText"/>
            </w:pPr>
            <w:r w:rsidRPr="00BD16B4">
              <w:rPr>
                <w:rFonts w:cs="Calibri"/>
                <w:szCs w:val="18"/>
              </w:rPr>
              <w:t>WEM, WAM carbon price (NZ$ tonne CO</w:t>
            </w:r>
            <w:r w:rsidRPr="00BD16B4">
              <w:rPr>
                <w:rFonts w:cs="Calibri"/>
                <w:szCs w:val="18"/>
                <w:vertAlign w:val="subscript"/>
              </w:rPr>
              <w:t>2</w:t>
            </w:r>
            <w:r w:rsidRPr="00BD16B4">
              <w:rPr>
                <w:rFonts w:cs="Calibri"/>
                <w:szCs w:val="18"/>
              </w:rPr>
              <w:t>-e)</w:t>
            </w:r>
          </w:p>
        </w:tc>
        <w:tc>
          <w:tcPr>
            <w:tcW w:w="630" w:type="dxa"/>
          </w:tcPr>
          <w:p w14:paraId="033253C9" w14:textId="77777777" w:rsidR="007C259A" w:rsidRPr="00BD16B4" w:rsidRDefault="007C259A" w:rsidP="00F31129">
            <w:pPr>
              <w:pStyle w:val="TableText"/>
              <w:jc w:val="center"/>
            </w:pPr>
          </w:p>
        </w:tc>
        <w:tc>
          <w:tcPr>
            <w:tcW w:w="643" w:type="dxa"/>
          </w:tcPr>
          <w:p w14:paraId="3CC502F0" w14:textId="77777777" w:rsidR="007C259A" w:rsidRPr="00BD16B4" w:rsidRDefault="007C259A" w:rsidP="00F31129">
            <w:pPr>
              <w:pStyle w:val="TableText"/>
              <w:jc w:val="center"/>
            </w:pPr>
          </w:p>
        </w:tc>
        <w:tc>
          <w:tcPr>
            <w:tcW w:w="641" w:type="dxa"/>
          </w:tcPr>
          <w:p w14:paraId="6D0E7E83" w14:textId="77777777" w:rsidR="007C259A" w:rsidRPr="00BD16B4" w:rsidRDefault="007C259A" w:rsidP="00F31129">
            <w:pPr>
              <w:pStyle w:val="TableText"/>
              <w:jc w:val="center"/>
            </w:pPr>
          </w:p>
        </w:tc>
        <w:tc>
          <w:tcPr>
            <w:tcW w:w="641" w:type="dxa"/>
          </w:tcPr>
          <w:p w14:paraId="601869D0" w14:textId="77777777" w:rsidR="007C259A" w:rsidRPr="00BD16B4" w:rsidRDefault="007C259A" w:rsidP="00F31129">
            <w:pPr>
              <w:pStyle w:val="TableText"/>
              <w:jc w:val="center"/>
            </w:pPr>
          </w:p>
        </w:tc>
        <w:tc>
          <w:tcPr>
            <w:tcW w:w="641" w:type="dxa"/>
          </w:tcPr>
          <w:p w14:paraId="23A04514" w14:textId="77777777" w:rsidR="007C259A" w:rsidRPr="00BD16B4" w:rsidRDefault="007C259A" w:rsidP="00F31129">
            <w:pPr>
              <w:pStyle w:val="TableText"/>
              <w:jc w:val="center"/>
            </w:pPr>
          </w:p>
        </w:tc>
        <w:tc>
          <w:tcPr>
            <w:tcW w:w="641" w:type="dxa"/>
          </w:tcPr>
          <w:p w14:paraId="5686D50C" w14:textId="77777777" w:rsidR="007C259A" w:rsidRPr="00BD16B4" w:rsidRDefault="007C259A" w:rsidP="00F31129">
            <w:pPr>
              <w:pStyle w:val="TableText"/>
              <w:jc w:val="center"/>
            </w:pPr>
          </w:p>
        </w:tc>
        <w:tc>
          <w:tcPr>
            <w:tcW w:w="641" w:type="dxa"/>
          </w:tcPr>
          <w:p w14:paraId="0DA823D3" w14:textId="77777777" w:rsidR="007C259A" w:rsidRPr="00BD16B4" w:rsidRDefault="007C259A" w:rsidP="00F31129">
            <w:pPr>
              <w:pStyle w:val="TableText"/>
              <w:jc w:val="center"/>
            </w:pPr>
            <w:r w:rsidRPr="00BD16B4">
              <w:t>$25</w:t>
            </w:r>
          </w:p>
        </w:tc>
        <w:tc>
          <w:tcPr>
            <w:tcW w:w="641" w:type="dxa"/>
            <w:shd w:val="clear" w:color="auto" w:fill="D2DDE1" w:themeFill="background2"/>
          </w:tcPr>
          <w:p w14:paraId="06730FCD" w14:textId="77777777" w:rsidR="007C259A" w:rsidRPr="00BD16B4" w:rsidRDefault="007C259A" w:rsidP="00F31129">
            <w:pPr>
              <w:pStyle w:val="TableText"/>
              <w:jc w:val="center"/>
            </w:pPr>
            <w:r w:rsidRPr="00BD16B4">
              <w:t>$64</w:t>
            </w:r>
          </w:p>
        </w:tc>
        <w:tc>
          <w:tcPr>
            <w:tcW w:w="686" w:type="dxa"/>
            <w:shd w:val="clear" w:color="auto" w:fill="D2DDE1" w:themeFill="background2"/>
          </w:tcPr>
          <w:p w14:paraId="0731DD27" w14:textId="77777777" w:rsidR="007C259A" w:rsidRPr="00BD16B4" w:rsidRDefault="007C259A" w:rsidP="00F31129">
            <w:pPr>
              <w:pStyle w:val="TableText"/>
              <w:jc w:val="center"/>
            </w:pPr>
            <w:r w:rsidRPr="00BD16B4">
              <w:t>$97</w:t>
            </w:r>
          </w:p>
        </w:tc>
        <w:tc>
          <w:tcPr>
            <w:tcW w:w="641" w:type="dxa"/>
            <w:shd w:val="clear" w:color="auto" w:fill="D2DDE1" w:themeFill="background2"/>
          </w:tcPr>
          <w:p w14:paraId="1EFDE50E" w14:textId="77777777" w:rsidR="007C259A" w:rsidRPr="00BD16B4" w:rsidRDefault="007C259A" w:rsidP="00F31129">
            <w:pPr>
              <w:pStyle w:val="TableText"/>
              <w:jc w:val="center"/>
            </w:pPr>
            <w:r w:rsidRPr="00BD16B4">
              <w:rPr>
                <w:color w:val="000000"/>
              </w:rPr>
              <w:t>$115</w:t>
            </w:r>
          </w:p>
        </w:tc>
      </w:tr>
      <w:tr w:rsidR="007C259A" w:rsidRPr="00BD16B4" w14:paraId="62CBB46E" w14:textId="77777777" w:rsidTr="00D44779">
        <w:tc>
          <w:tcPr>
            <w:tcW w:w="2059" w:type="dxa"/>
          </w:tcPr>
          <w:p w14:paraId="4775E97B" w14:textId="77777777" w:rsidR="007C259A" w:rsidRPr="00BD16B4" w:rsidRDefault="007C259A" w:rsidP="00F31129">
            <w:pPr>
              <w:pStyle w:val="TableText"/>
              <w:rPr>
                <w:rFonts w:cs="Calibri"/>
                <w:szCs w:val="18"/>
              </w:rPr>
            </w:pPr>
            <w:r w:rsidRPr="00BD16B4">
              <w:rPr>
                <w:rFonts w:cs="Calibri"/>
                <w:szCs w:val="18"/>
              </w:rPr>
              <w:t>WOM carbon price (NZ$</w:t>
            </w:r>
            <w:r w:rsidRPr="00BD16B4">
              <w:rPr>
                <w:rFonts w:cs="Calibri"/>
                <w:b/>
                <w:bCs/>
                <w:szCs w:val="18"/>
              </w:rPr>
              <w:t> </w:t>
            </w:r>
            <w:r w:rsidRPr="00BD16B4">
              <w:rPr>
                <w:rFonts w:cs="Calibri"/>
                <w:szCs w:val="18"/>
              </w:rPr>
              <w:t>tonne CO</w:t>
            </w:r>
            <w:r w:rsidRPr="00BD16B4">
              <w:rPr>
                <w:rFonts w:cs="Calibri"/>
                <w:szCs w:val="18"/>
                <w:vertAlign w:val="subscript"/>
              </w:rPr>
              <w:t>2</w:t>
            </w:r>
            <w:r w:rsidRPr="00BD16B4">
              <w:rPr>
                <w:rFonts w:cs="Calibri"/>
                <w:szCs w:val="18"/>
              </w:rPr>
              <w:t>-e)</w:t>
            </w:r>
          </w:p>
        </w:tc>
        <w:tc>
          <w:tcPr>
            <w:tcW w:w="630" w:type="dxa"/>
          </w:tcPr>
          <w:p w14:paraId="118AE73B" w14:textId="77777777" w:rsidR="007C259A" w:rsidRPr="00BD16B4" w:rsidRDefault="007C259A" w:rsidP="00F31129">
            <w:pPr>
              <w:pStyle w:val="TableText"/>
              <w:jc w:val="center"/>
            </w:pPr>
            <w:r w:rsidRPr="00BD16B4">
              <w:rPr>
                <w:color w:val="000000"/>
              </w:rPr>
              <w:t>$0</w:t>
            </w:r>
          </w:p>
        </w:tc>
        <w:tc>
          <w:tcPr>
            <w:tcW w:w="643" w:type="dxa"/>
          </w:tcPr>
          <w:p w14:paraId="18D58A38" w14:textId="77777777" w:rsidR="007C259A" w:rsidRPr="00BD16B4" w:rsidRDefault="007C259A" w:rsidP="00F31129">
            <w:pPr>
              <w:pStyle w:val="TableText"/>
              <w:jc w:val="center"/>
            </w:pPr>
            <w:r w:rsidRPr="00BD16B4">
              <w:rPr>
                <w:color w:val="000000"/>
              </w:rPr>
              <w:t>$0</w:t>
            </w:r>
          </w:p>
        </w:tc>
        <w:tc>
          <w:tcPr>
            <w:tcW w:w="641" w:type="dxa"/>
          </w:tcPr>
          <w:p w14:paraId="53243A45" w14:textId="77777777" w:rsidR="007C259A" w:rsidRPr="00BD16B4" w:rsidRDefault="007C259A" w:rsidP="00F31129">
            <w:pPr>
              <w:pStyle w:val="TableText"/>
              <w:jc w:val="center"/>
            </w:pPr>
            <w:r w:rsidRPr="00BD16B4">
              <w:rPr>
                <w:color w:val="000000"/>
              </w:rPr>
              <w:t>$0</w:t>
            </w:r>
          </w:p>
        </w:tc>
        <w:tc>
          <w:tcPr>
            <w:tcW w:w="641" w:type="dxa"/>
          </w:tcPr>
          <w:p w14:paraId="2FDC3E30" w14:textId="77777777" w:rsidR="007C259A" w:rsidRPr="00BD16B4" w:rsidRDefault="007C259A" w:rsidP="00F31129">
            <w:pPr>
              <w:pStyle w:val="TableText"/>
              <w:jc w:val="center"/>
            </w:pPr>
            <w:r w:rsidRPr="00BD16B4">
              <w:rPr>
                <w:color w:val="000000"/>
              </w:rPr>
              <w:t>$0</w:t>
            </w:r>
          </w:p>
        </w:tc>
        <w:tc>
          <w:tcPr>
            <w:tcW w:w="641" w:type="dxa"/>
          </w:tcPr>
          <w:p w14:paraId="2F4A781A" w14:textId="77777777" w:rsidR="007C259A" w:rsidRPr="00BD16B4" w:rsidRDefault="007C259A" w:rsidP="00F31129">
            <w:pPr>
              <w:pStyle w:val="TableText"/>
              <w:jc w:val="center"/>
            </w:pPr>
            <w:r w:rsidRPr="00BD16B4">
              <w:rPr>
                <w:color w:val="000000"/>
              </w:rPr>
              <w:t>$0</w:t>
            </w:r>
          </w:p>
        </w:tc>
        <w:tc>
          <w:tcPr>
            <w:tcW w:w="641" w:type="dxa"/>
          </w:tcPr>
          <w:p w14:paraId="56EE4DEB" w14:textId="77777777" w:rsidR="007C259A" w:rsidRPr="00BD16B4" w:rsidRDefault="007C259A" w:rsidP="00F31129">
            <w:pPr>
              <w:pStyle w:val="TableText"/>
              <w:jc w:val="center"/>
            </w:pPr>
            <w:r w:rsidRPr="00BD16B4">
              <w:rPr>
                <w:color w:val="000000"/>
              </w:rPr>
              <w:t>$0</w:t>
            </w:r>
          </w:p>
        </w:tc>
        <w:tc>
          <w:tcPr>
            <w:tcW w:w="641" w:type="dxa"/>
          </w:tcPr>
          <w:p w14:paraId="0F300D5C" w14:textId="77777777" w:rsidR="007C259A" w:rsidRPr="00BD16B4" w:rsidRDefault="007C259A" w:rsidP="00F31129">
            <w:pPr>
              <w:pStyle w:val="TableText"/>
              <w:jc w:val="center"/>
            </w:pPr>
            <w:r w:rsidRPr="00BD16B4">
              <w:rPr>
                <w:color w:val="000000"/>
              </w:rPr>
              <w:t>$0</w:t>
            </w:r>
          </w:p>
        </w:tc>
        <w:tc>
          <w:tcPr>
            <w:tcW w:w="641" w:type="dxa"/>
            <w:shd w:val="clear" w:color="auto" w:fill="D2DDE1" w:themeFill="background2"/>
          </w:tcPr>
          <w:p w14:paraId="417D45DC" w14:textId="77777777" w:rsidR="007C259A" w:rsidRPr="00BD16B4" w:rsidRDefault="007C259A" w:rsidP="00F31129">
            <w:pPr>
              <w:pStyle w:val="TableText"/>
              <w:jc w:val="center"/>
            </w:pPr>
            <w:r w:rsidRPr="00BD16B4">
              <w:rPr>
                <w:color w:val="000000"/>
              </w:rPr>
              <w:t>$0</w:t>
            </w:r>
          </w:p>
        </w:tc>
        <w:tc>
          <w:tcPr>
            <w:tcW w:w="686" w:type="dxa"/>
            <w:shd w:val="clear" w:color="auto" w:fill="D2DDE1" w:themeFill="background2"/>
          </w:tcPr>
          <w:p w14:paraId="7DEDCEAD" w14:textId="77777777" w:rsidR="007C259A" w:rsidRPr="00BD16B4" w:rsidRDefault="007C259A" w:rsidP="00F31129">
            <w:pPr>
              <w:pStyle w:val="TableText"/>
              <w:jc w:val="center"/>
            </w:pPr>
            <w:r w:rsidRPr="00BD16B4">
              <w:rPr>
                <w:color w:val="000000"/>
              </w:rPr>
              <w:t>$0</w:t>
            </w:r>
          </w:p>
        </w:tc>
        <w:tc>
          <w:tcPr>
            <w:tcW w:w="641" w:type="dxa"/>
            <w:shd w:val="clear" w:color="auto" w:fill="D2DDE1" w:themeFill="background2"/>
          </w:tcPr>
          <w:p w14:paraId="271EC72C" w14:textId="77777777" w:rsidR="007C259A" w:rsidRPr="00BD16B4" w:rsidRDefault="007C259A" w:rsidP="00F31129">
            <w:pPr>
              <w:pStyle w:val="TableText"/>
              <w:jc w:val="center"/>
              <w:rPr>
                <w:color w:val="000000"/>
              </w:rPr>
            </w:pPr>
            <w:r w:rsidRPr="00BD16B4">
              <w:rPr>
                <w:color w:val="000000"/>
              </w:rPr>
              <w:t>$0</w:t>
            </w:r>
          </w:p>
        </w:tc>
      </w:tr>
    </w:tbl>
    <w:p w14:paraId="3BD5CACF" w14:textId="77777777" w:rsidR="007C259A" w:rsidRPr="00BD16B4" w:rsidRDefault="007C259A" w:rsidP="00120409">
      <w:pPr>
        <w:pStyle w:val="Note"/>
      </w:pPr>
      <w:r w:rsidRPr="00BD16B4">
        <w:rPr>
          <w:b/>
          <w:bCs/>
        </w:rPr>
        <w:t>Note:</w:t>
      </w:r>
      <w:r w:rsidRPr="00BD16B4">
        <w:t xml:space="preserve"> CO</w:t>
      </w:r>
      <w:r w:rsidRPr="00BD16B4">
        <w:rPr>
          <w:vertAlign w:val="subscript"/>
        </w:rPr>
        <w:t>2-</w:t>
      </w:r>
      <w:r w:rsidRPr="00BD16B4">
        <w:t>e = carbon dioxide equivalent; WAM = with additional measures; WEM = with existing measures; WOM = without measures.</w:t>
      </w:r>
    </w:p>
    <w:p w14:paraId="13D241CA" w14:textId="5A11B7DA" w:rsidR="007C259A" w:rsidRPr="00BD16B4" w:rsidRDefault="007C259A" w:rsidP="00BB7302">
      <w:pPr>
        <w:pStyle w:val="Tableheading"/>
      </w:pPr>
      <w:bookmarkStart w:id="278" w:name="_Toc121773794"/>
      <w:r w:rsidRPr="00BD16B4">
        <w:t>Table 5.4:</w:t>
      </w:r>
      <w:r w:rsidRPr="00BD16B4">
        <w:tab/>
        <w:t>Summary of key assumptions for energy and transport for modelling New</w:t>
      </w:r>
      <w:r w:rsidR="00490DF9" w:rsidRPr="00BD16B4">
        <w:t> </w:t>
      </w:r>
      <w:r w:rsidRPr="00BD16B4">
        <w:t>Zealand’s greenhouse gas emission projections, 1990–2035</w:t>
      </w:r>
      <w:bookmarkEnd w:id="278"/>
    </w:p>
    <w:tbl>
      <w:tblPr>
        <w:tblStyle w:val="TableGrid"/>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CellMar>
          <w:left w:w="85" w:type="dxa"/>
          <w:right w:w="85" w:type="dxa"/>
        </w:tblCellMar>
        <w:tblLook w:val="04A0" w:firstRow="1" w:lastRow="0" w:firstColumn="1" w:lastColumn="0" w:noHBand="0" w:noVBand="1"/>
      </w:tblPr>
      <w:tblGrid>
        <w:gridCol w:w="2059"/>
        <w:gridCol w:w="630"/>
        <w:gridCol w:w="643"/>
        <w:gridCol w:w="641"/>
        <w:gridCol w:w="641"/>
        <w:gridCol w:w="641"/>
        <w:gridCol w:w="641"/>
        <w:gridCol w:w="641"/>
        <w:gridCol w:w="641"/>
        <w:gridCol w:w="686"/>
        <w:gridCol w:w="641"/>
      </w:tblGrid>
      <w:tr w:rsidR="007C259A" w:rsidRPr="00BD16B4" w14:paraId="3FAED78D" w14:textId="77777777" w:rsidTr="00AB5497">
        <w:trPr>
          <w:tblHeader/>
        </w:trPr>
        <w:tc>
          <w:tcPr>
            <w:tcW w:w="2059" w:type="dxa"/>
            <w:vMerge w:val="restart"/>
            <w:tcBorders>
              <w:bottom w:val="nil"/>
              <w:right w:val="nil"/>
            </w:tcBorders>
            <w:shd w:val="clear" w:color="auto" w:fill="1B556B"/>
            <w:vAlign w:val="bottom"/>
          </w:tcPr>
          <w:p w14:paraId="0432AD04" w14:textId="77777777" w:rsidR="007C259A" w:rsidRPr="00BD16B4" w:rsidRDefault="007C259A" w:rsidP="00F31129">
            <w:pPr>
              <w:pStyle w:val="TableText"/>
              <w:rPr>
                <w:b/>
                <w:color w:val="FFFFFF" w:themeColor="background1"/>
              </w:rPr>
            </w:pPr>
            <w:r w:rsidRPr="00BD16B4">
              <w:rPr>
                <w:rFonts w:cs="Calibri"/>
                <w:b/>
                <w:color w:val="FFFFFF" w:themeColor="background1"/>
                <w:szCs w:val="18"/>
              </w:rPr>
              <w:t>Key underlying assumptions</w:t>
            </w:r>
          </w:p>
        </w:tc>
        <w:tc>
          <w:tcPr>
            <w:tcW w:w="4478" w:type="dxa"/>
            <w:gridSpan w:val="7"/>
            <w:tcBorders>
              <w:left w:val="nil"/>
              <w:bottom w:val="nil"/>
              <w:right w:val="nil"/>
            </w:tcBorders>
            <w:shd w:val="clear" w:color="auto" w:fill="1B556B"/>
            <w:vAlign w:val="bottom"/>
          </w:tcPr>
          <w:p w14:paraId="272422A2" w14:textId="77777777" w:rsidR="007C259A" w:rsidRPr="00BD16B4" w:rsidRDefault="007C259A" w:rsidP="00EC04DC">
            <w:pPr>
              <w:pStyle w:val="TableText"/>
              <w:spacing w:after="0"/>
              <w:jc w:val="center"/>
              <w:rPr>
                <w:b/>
                <w:color w:val="FFFFFF" w:themeColor="background1"/>
              </w:rPr>
            </w:pPr>
            <w:r w:rsidRPr="00BD16B4">
              <w:rPr>
                <w:rFonts w:cs="Calibri"/>
                <w:b/>
                <w:color w:val="FFFFFF" w:themeColor="background1"/>
                <w:szCs w:val="18"/>
              </w:rPr>
              <w:t>Historical</w:t>
            </w:r>
          </w:p>
        </w:tc>
        <w:tc>
          <w:tcPr>
            <w:tcW w:w="1968" w:type="dxa"/>
            <w:gridSpan w:val="3"/>
            <w:tcBorders>
              <w:left w:val="nil"/>
              <w:bottom w:val="nil"/>
            </w:tcBorders>
            <w:shd w:val="clear" w:color="auto" w:fill="1B556B"/>
            <w:vAlign w:val="bottom"/>
          </w:tcPr>
          <w:p w14:paraId="305172D3" w14:textId="77777777" w:rsidR="007C259A" w:rsidRPr="00BD16B4" w:rsidRDefault="007C259A" w:rsidP="00EC04DC">
            <w:pPr>
              <w:pStyle w:val="TableText"/>
              <w:spacing w:after="0"/>
              <w:jc w:val="center"/>
              <w:rPr>
                <w:b/>
                <w:color w:val="FFFFFF" w:themeColor="background1"/>
              </w:rPr>
            </w:pPr>
            <w:r w:rsidRPr="00BD16B4">
              <w:rPr>
                <w:b/>
                <w:color w:val="FFFFFF" w:themeColor="background1"/>
              </w:rPr>
              <w:t>Projected</w:t>
            </w:r>
          </w:p>
        </w:tc>
      </w:tr>
      <w:tr w:rsidR="007C259A" w:rsidRPr="00BD16B4" w14:paraId="1FA15171" w14:textId="77777777" w:rsidTr="00AB5497">
        <w:trPr>
          <w:tblHeader/>
        </w:trPr>
        <w:tc>
          <w:tcPr>
            <w:tcW w:w="2059" w:type="dxa"/>
            <w:vMerge/>
            <w:tcBorders>
              <w:top w:val="nil"/>
              <w:right w:val="nil"/>
            </w:tcBorders>
            <w:shd w:val="clear" w:color="auto" w:fill="1B556B"/>
            <w:vAlign w:val="bottom"/>
          </w:tcPr>
          <w:p w14:paraId="31902054" w14:textId="77777777" w:rsidR="007C259A" w:rsidRPr="00BD16B4" w:rsidRDefault="007C259A" w:rsidP="00F31129">
            <w:pPr>
              <w:pStyle w:val="TableText"/>
              <w:rPr>
                <w:b/>
                <w:color w:val="FFFFFF" w:themeColor="background1"/>
              </w:rPr>
            </w:pPr>
          </w:p>
        </w:tc>
        <w:tc>
          <w:tcPr>
            <w:tcW w:w="630" w:type="dxa"/>
            <w:tcBorders>
              <w:top w:val="nil"/>
              <w:left w:val="nil"/>
              <w:right w:val="nil"/>
            </w:tcBorders>
            <w:shd w:val="clear" w:color="auto" w:fill="1B556B"/>
            <w:vAlign w:val="bottom"/>
          </w:tcPr>
          <w:p w14:paraId="013503C5" w14:textId="77777777" w:rsidR="007C259A" w:rsidRPr="00BD16B4" w:rsidRDefault="007C259A" w:rsidP="00F31129">
            <w:pPr>
              <w:pStyle w:val="TableText"/>
              <w:jc w:val="center"/>
              <w:rPr>
                <w:b/>
                <w:color w:val="FFFFFF" w:themeColor="background1"/>
              </w:rPr>
            </w:pPr>
            <w:r w:rsidRPr="00BD16B4">
              <w:rPr>
                <w:rFonts w:cs="Calibri"/>
                <w:b/>
                <w:color w:val="FFFFFF" w:themeColor="background1"/>
                <w:szCs w:val="18"/>
              </w:rPr>
              <w:t>1990</w:t>
            </w:r>
          </w:p>
        </w:tc>
        <w:tc>
          <w:tcPr>
            <w:tcW w:w="643" w:type="dxa"/>
            <w:tcBorders>
              <w:top w:val="nil"/>
              <w:left w:val="nil"/>
              <w:right w:val="nil"/>
            </w:tcBorders>
            <w:shd w:val="clear" w:color="auto" w:fill="1B556B"/>
            <w:vAlign w:val="bottom"/>
          </w:tcPr>
          <w:p w14:paraId="69DE5A74" w14:textId="77777777" w:rsidR="007C259A" w:rsidRPr="00BD16B4" w:rsidRDefault="007C259A" w:rsidP="00F31129">
            <w:pPr>
              <w:pStyle w:val="TableText"/>
              <w:jc w:val="center"/>
              <w:rPr>
                <w:b/>
                <w:color w:val="FFFFFF" w:themeColor="background1"/>
              </w:rPr>
            </w:pPr>
            <w:r w:rsidRPr="00BD16B4">
              <w:rPr>
                <w:rFonts w:cs="Calibri"/>
                <w:b/>
                <w:color w:val="FFFFFF" w:themeColor="background1"/>
                <w:szCs w:val="18"/>
              </w:rPr>
              <w:t>1995</w:t>
            </w:r>
          </w:p>
        </w:tc>
        <w:tc>
          <w:tcPr>
            <w:tcW w:w="641" w:type="dxa"/>
            <w:tcBorders>
              <w:top w:val="nil"/>
              <w:left w:val="nil"/>
              <w:right w:val="nil"/>
            </w:tcBorders>
            <w:shd w:val="clear" w:color="auto" w:fill="1B556B"/>
            <w:vAlign w:val="bottom"/>
          </w:tcPr>
          <w:p w14:paraId="124115B2" w14:textId="77777777" w:rsidR="007C259A" w:rsidRPr="00BD16B4" w:rsidRDefault="007C259A" w:rsidP="00F31129">
            <w:pPr>
              <w:pStyle w:val="TableText"/>
              <w:jc w:val="center"/>
              <w:rPr>
                <w:b/>
                <w:color w:val="FFFFFF" w:themeColor="background1"/>
              </w:rPr>
            </w:pPr>
            <w:r w:rsidRPr="00BD16B4">
              <w:rPr>
                <w:rFonts w:cs="Calibri"/>
                <w:b/>
                <w:color w:val="FFFFFF" w:themeColor="background1"/>
                <w:szCs w:val="18"/>
              </w:rPr>
              <w:t>2000</w:t>
            </w:r>
          </w:p>
        </w:tc>
        <w:tc>
          <w:tcPr>
            <w:tcW w:w="641" w:type="dxa"/>
            <w:tcBorders>
              <w:top w:val="nil"/>
              <w:left w:val="nil"/>
              <w:right w:val="nil"/>
            </w:tcBorders>
            <w:shd w:val="clear" w:color="auto" w:fill="1B556B"/>
            <w:vAlign w:val="bottom"/>
          </w:tcPr>
          <w:p w14:paraId="65EA0EC6" w14:textId="77777777" w:rsidR="007C259A" w:rsidRPr="00BD16B4" w:rsidRDefault="007C259A" w:rsidP="00F31129">
            <w:pPr>
              <w:pStyle w:val="TableText"/>
              <w:jc w:val="center"/>
              <w:rPr>
                <w:b/>
                <w:color w:val="FFFFFF" w:themeColor="background1"/>
              </w:rPr>
            </w:pPr>
            <w:r w:rsidRPr="00BD16B4">
              <w:rPr>
                <w:rFonts w:cs="Calibri"/>
                <w:b/>
                <w:color w:val="FFFFFF" w:themeColor="background1"/>
                <w:szCs w:val="18"/>
              </w:rPr>
              <w:t>2005</w:t>
            </w:r>
          </w:p>
        </w:tc>
        <w:tc>
          <w:tcPr>
            <w:tcW w:w="641" w:type="dxa"/>
            <w:tcBorders>
              <w:top w:val="nil"/>
              <w:left w:val="nil"/>
              <w:right w:val="nil"/>
            </w:tcBorders>
            <w:shd w:val="clear" w:color="auto" w:fill="1B556B"/>
            <w:vAlign w:val="bottom"/>
          </w:tcPr>
          <w:p w14:paraId="5F45BC36" w14:textId="77777777" w:rsidR="007C259A" w:rsidRPr="00BD16B4" w:rsidRDefault="007C259A" w:rsidP="00F31129">
            <w:pPr>
              <w:pStyle w:val="TableText"/>
              <w:jc w:val="center"/>
              <w:rPr>
                <w:b/>
                <w:color w:val="FFFFFF" w:themeColor="background1"/>
              </w:rPr>
            </w:pPr>
            <w:r w:rsidRPr="00BD16B4">
              <w:rPr>
                <w:rFonts w:cs="Calibri"/>
                <w:b/>
                <w:color w:val="FFFFFF" w:themeColor="background1"/>
                <w:szCs w:val="18"/>
              </w:rPr>
              <w:t>2010</w:t>
            </w:r>
          </w:p>
        </w:tc>
        <w:tc>
          <w:tcPr>
            <w:tcW w:w="641" w:type="dxa"/>
            <w:tcBorders>
              <w:top w:val="nil"/>
              <w:left w:val="nil"/>
              <w:right w:val="nil"/>
            </w:tcBorders>
            <w:shd w:val="clear" w:color="auto" w:fill="1B556B"/>
            <w:vAlign w:val="bottom"/>
          </w:tcPr>
          <w:p w14:paraId="11524E3E" w14:textId="77777777" w:rsidR="007C259A" w:rsidRPr="00BD16B4" w:rsidRDefault="007C259A" w:rsidP="00F31129">
            <w:pPr>
              <w:pStyle w:val="TableText"/>
              <w:jc w:val="center"/>
              <w:rPr>
                <w:b/>
                <w:color w:val="FFFFFF" w:themeColor="background1"/>
              </w:rPr>
            </w:pPr>
            <w:r w:rsidRPr="00BD16B4">
              <w:rPr>
                <w:rFonts w:cs="Calibri"/>
                <w:b/>
                <w:color w:val="FFFFFF" w:themeColor="background1"/>
                <w:szCs w:val="18"/>
              </w:rPr>
              <w:t>2015</w:t>
            </w:r>
          </w:p>
        </w:tc>
        <w:tc>
          <w:tcPr>
            <w:tcW w:w="641" w:type="dxa"/>
            <w:tcBorders>
              <w:top w:val="nil"/>
              <w:left w:val="nil"/>
              <w:right w:val="nil"/>
            </w:tcBorders>
            <w:shd w:val="clear" w:color="auto" w:fill="1B556B"/>
            <w:vAlign w:val="bottom"/>
          </w:tcPr>
          <w:p w14:paraId="1D906636" w14:textId="77777777" w:rsidR="007C259A" w:rsidRPr="00BD16B4" w:rsidRDefault="007C259A" w:rsidP="00F31129">
            <w:pPr>
              <w:pStyle w:val="TableText"/>
              <w:jc w:val="center"/>
              <w:rPr>
                <w:b/>
                <w:color w:val="FFFFFF" w:themeColor="background1"/>
              </w:rPr>
            </w:pPr>
            <w:r w:rsidRPr="00BD16B4">
              <w:rPr>
                <w:rFonts w:cs="Calibri"/>
                <w:b/>
                <w:color w:val="FFFFFF" w:themeColor="background1"/>
                <w:szCs w:val="18"/>
              </w:rPr>
              <w:t>2020</w:t>
            </w:r>
          </w:p>
        </w:tc>
        <w:tc>
          <w:tcPr>
            <w:tcW w:w="641" w:type="dxa"/>
            <w:tcBorders>
              <w:top w:val="nil"/>
              <w:left w:val="nil"/>
              <w:bottom w:val="single" w:sz="4" w:space="0" w:color="1B556B"/>
              <w:right w:val="nil"/>
            </w:tcBorders>
            <w:shd w:val="clear" w:color="auto" w:fill="1B556B"/>
            <w:vAlign w:val="bottom"/>
          </w:tcPr>
          <w:p w14:paraId="47ADD63F" w14:textId="77777777" w:rsidR="007C259A" w:rsidRPr="00BD16B4" w:rsidRDefault="007C259A" w:rsidP="00F31129">
            <w:pPr>
              <w:pStyle w:val="TableText"/>
              <w:jc w:val="center"/>
              <w:rPr>
                <w:b/>
                <w:color w:val="FFFFFF" w:themeColor="background1"/>
              </w:rPr>
            </w:pPr>
            <w:r w:rsidRPr="00BD16B4">
              <w:rPr>
                <w:rFonts w:cs="Calibri"/>
                <w:b/>
                <w:color w:val="FFFFFF" w:themeColor="background1"/>
                <w:szCs w:val="18"/>
              </w:rPr>
              <w:t>2025</w:t>
            </w:r>
          </w:p>
        </w:tc>
        <w:tc>
          <w:tcPr>
            <w:tcW w:w="686" w:type="dxa"/>
            <w:tcBorders>
              <w:top w:val="nil"/>
              <w:left w:val="nil"/>
              <w:bottom w:val="single" w:sz="4" w:space="0" w:color="1B556B"/>
              <w:right w:val="nil"/>
            </w:tcBorders>
            <w:shd w:val="clear" w:color="auto" w:fill="1B556B"/>
            <w:vAlign w:val="bottom"/>
          </w:tcPr>
          <w:p w14:paraId="7301044D" w14:textId="77777777" w:rsidR="007C259A" w:rsidRPr="00BD16B4" w:rsidRDefault="007C259A" w:rsidP="00F31129">
            <w:pPr>
              <w:pStyle w:val="TableText"/>
              <w:jc w:val="center"/>
              <w:rPr>
                <w:b/>
                <w:color w:val="FFFFFF" w:themeColor="background1"/>
              </w:rPr>
            </w:pPr>
            <w:r w:rsidRPr="00BD16B4">
              <w:rPr>
                <w:rFonts w:cs="Calibri"/>
                <w:b/>
                <w:color w:val="FFFFFF" w:themeColor="background1"/>
                <w:szCs w:val="18"/>
              </w:rPr>
              <w:t>2030</w:t>
            </w:r>
          </w:p>
        </w:tc>
        <w:tc>
          <w:tcPr>
            <w:tcW w:w="641" w:type="dxa"/>
            <w:tcBorders>
              <w:top w:val="nil"/>
              <w:left w:val="nil"/>
              <w:bottom w:val="single" w:sz="4" w:space="0" w:color="1B556B"/>
            </w:tcBorders>
            <w:shd w:val="clear" w:color="auto" w:fill="1B556B"/>
            <w:vAlign w:val="bottom"/>
          </w:tcPr>
          <w:p w14:paraId="090F00E0" w14:textId="77777777" w:rsidR="007C259A" w:rsidRPr="00BD16B4" w:rsidRDefault="007C259A" w:rsidP="00F31129">
            <w:pPr>
              <w:pStyle w:val="TableText"/>
              <w:jc w:val="center"/>
              <w:rPr>
                <w:b/>
                <w:color w:val="FFFFFF" w:themeColor="background1"/>
              </w:rPr>
            </w:pPr>
            <w:r w:rsidRPr="00BD16B4">
              <w:rPr>
                <w:rFonts w:cs="Calibri"/>
                <w:b/>
                <w:color w:val="FFFFFF" w:themeColor="background1"/>
                <w:szCs w:val="18"/>
              </w:rPr>
              <w:t>2035</w:t>
            </w:r>
          </w:p>
        </w:tc>
      </w:tr>
      <w:tr w:rsidR="007C259A" w:rsidRPr="00BD16B4" w14:paraId="1726A30B" w14:textId="77777777" w:rsidTr="003F759B">
        <w:tc>
          <w:tcPr>
            <w:tcW w:w="2059" w:type="dxa"/>
            <w:shd w:val="clear" w:color="auto" w:fill="auto"/>
          </w:tcPr>
          <w:p w14:paraId="0ABE1B25" w14:textId="77777777" w:rsidR="007C259A" w:rsidRPr="00BD16B4" w:rsidRDefault="007C259A" w:rsidP="00F31129">
            <w:pPr>
              <w:pStyle w:val="TableText"/>
            </w:pPr>
            <w:r w:rsidRPr="00BD16B4">
              <w:rPr>
                <w:rFonts w:cs="Calibri"/>
                <w:szCs w:val="18"/>
              </w:rPr>
              <w:t>Population (30 June, million inhabitants)</w:t>
            </w:r>
          </w:p>
        </w:tc>
        <w:tc>
          <w:tcPr>
            <w:tcW w:w="630" w:type="dxa"/>
            <w:shd w:val="clear" w:color="auto" w:fill="auto"/>
          </w:tcPr>
          <w:p w14:paraId="3A240BAC" w14:textId="77777777" w:rsidR="007C259A" w:rsidRPr="00BD16B4" w:rsidRDefault="007C259A" w:rsidP="00F31129">
            <w:pPr>
              <w:pStyle w:val="TableText"/>
              <w:jc w:val="center"/>
            </w:pPr>
            <w:r w:rsidRPr="00BD16B4">
              <w:t>3.46</w:t>
            </w:r>
          </w:p>
        </w:tc>
        <w:tc>
          <w:tcPr>
            <w:tcW w:w="643" w:type="dxa"/>
          </w:tcPr>
          <w:p w14:paraId="13E085ED" w14:textId="77777777" w:rsidR="007C259A" w:rsidRPr="00BD16B4" w:rsidRDefault="007C259A" w:rsidP="00F31129">
            <w:pPr>
              <w:pStyle w:val="TableText"/>
              <w:jc w:val="center"/>
            </w:pPr>
            <w:r w:rsidRPr="00BD16B4">
              <w:t>3.67</w:t>
            </w:r>
          </w:p>
        </w:tc>
        <w:tc>
          <w:tcPr>
            <w:tcW w:w="641" w:type="dxa"/>
          </w:tcPr>
          <w:p w14:paraId="277E90AB" w14:textId="77777777" w:rsidR="007C259A" w:rsidRPr="00BD16B4" w:rsidRDefault="007C259A" w:rsidP="00F31129">
            <w:pPr>
              <w:pStyle w:val="TableText"/>
              <w:jc w:val="center"/>
            </w:pPr>
            <w:r w:rsidRPr="00BD16B4">
              <w:t>3.86</w:t>
            </w:r>
          </w:p>
        </w:tc>
        <w:tc>
          <w:tcPr>
            <w:tcW w:w="641" w:type="dxa"/>
          </w:tcPr>
          <w:p w14:paraId="3D80B31C" w14:textId="77777777" w:rsidR="007C259A" w:rsidRPr="00BD16B4" w:rsidRDefault="007C259A" w:rsidP="00F31129">
            <w:pPr>
              <w:pStyle w:val="TableText"/>
              <w:jc w:val="center"/>
            </w:pPr>
            <w:r w:rsidRPr="00BD16B4">
              <w:t>4.13</w:t>
            </w:r>
          </w:p>
        </w:tc>
        <w:tc>
          <w:tcPr>
            <w:tcW w:w="641" w:type="dxa"/>
          </w:tcPr>
          <w:p w14:paraId="0D63FB7D" w14:textId="77777777" w:rsidR="007C259A" w:rsidRPr="00BD16B4" w:rsidRDefault="007C259A" w:rsidP="00F31129">
            <w:pPr>
              <w:pStyle w:val="TableText"/>
              <w:jc w:val="center"/>
            </w:pPr>
            <w:r w:rsidRPr="00BD16B4">
              <w:t>4.35</w:t>
            </w:r>
          </w:p>
        </w:tc>
        <w:tc>
          <w:tcPr>
            <w:tcW w:w="641" w:type="dxa"/>
          </w:tcPr>
          <w:p w14:paraId="4FB3945F" w14:textId="77777777" w:rsidR="007C259A" w:rsidRPr="00BD16B4" w:rsidRDefault="007C259A" w:rsidP="00F31129">
            <w:pPr>
              <w:pStyle w:val="TableText"/>
              <w:jc w:val="center"/>
            </w:pPr>
            <w:r w:rsidRPr="00BD16B4">
              <w:t>4.59</w:t>
            </w:r>
          </w:p>
        </w:tc>
        <w:tc>
          <w:tcPr>
            <w:tcW w:w="641" w:type="dxa"/>
          </w:tcPr>
          <w:p w14:paraId="374FCF90" w14:textId="77777777" w:rsidR="007C259A" w:rsidRPr="00BD16B4" w:rsidRDefault="007C259A" w:rsidP="00F31129">
            <w:pPr>
              <w:pStyle w:val="TableText"/>
              <w:jc w:val="center"/>
            </w:pPr>
            <w:r w:rsidRPr="00BD16B4">
              <w:t>5.09</w:t>
            </w:r>
          </w:p>
        </w:tc>
        <w:tc>
          <w:tcPr>
            <w:tcW w:w="641" w:type="dxa"/>
            <w:shd w:val="clear" w:color="auto" w:fill="D2DDE1" w:themeFill="background2"/>
          </w:tcPr>
          <w:p w14:paraId="0BDA92FE" w14:textId="77777777" w:rsidR="007C259A" w:rsidRPr="00BD16B4" w:rsidRDefault="007C259A" w:rsidP="00F31129">
            <w:pPr>
              <w:pStyle w:val="TableText"/>
              <w:jc w:val="center"/>
            </w:pPr>
            <w:r w:rsidRPr="00BD16B4">
              <w:t>5.28</w:t>
            </w:r>
          </w:p>
        </w:tc>
        <w:tc>
          <w:tcPr>
            <w:tcW w:w="686" w:type="dxa"/>
            <w:shd w:val="clear" w:color="auto" w:fill="D2DDE1" w:themeFill="background2"/>
          </w:tcPr>
          <w:p w14:paraId="5B45DF48" w14:textId="77777777" w:rsidR="007C259A" w:rsidRPr="00BD16B4" w:rsidRDefault="007C259A" w:rsidP="00F31129">
            <w:pPr>
              <w:pStyle w:val="TableText"/>
              <w:jc w:val="center"/>
            </w:pPr>
            <w:r w:rsidRPr="00BD16B4">
              <w:t>5.58</w:t>
            </w:r>
          </w:p>
        </w:tc>
        <w:tc>
          <w:tcPr>
            <w:tcW w:w="641" w:type="dxa"/>
            <w:shd w:val="clear" w:color="auto" w:fill="D2DDE1" w:themeFill="background2"/>
          </w:tcPr>
          <w:p w14:paraId="2293B229" w14:textId="77777777" w:rsidR="007C259A" w:rsidRPr="00BD16B4" w:rsidRDefault="007C259A" w:rsidP="00F31129">
            <w:pPr>
              <w:pStyle w:val="TableText"/>
              <w:jc w:val="center"/>
            </w:pPr>
            <w:r w:rsidRPr="00BD16B4">
              <w:t>5.80</w:t>
            </w:r>
          </w:p>
        </w:tc>
      </w:tr>
      <w:tr w:rsidR="007C259A" w:rsidRPr="00BD16B4" w14:paraId="0D28E3EF" w14:textId="77777777" w:rsidTr="003F759B">
        <w:tc>
          <w:tcPr>
            <w:tcW w:w="2059" w:type="dxa"/>
            <w:shd w:val="clear" w:color="auto" w:fill="auto"/>
          </w:tcPr>
          <w:p w14:paraId="40498FCC" w14:textId="77777777" w:rsidR="007C259A" w:rsidRPr="00BD16B4" w:rsidRDefault="007C259A" w:rsidP="00F31129">
            <w:pPr>
              <w:pStyle w:val="TableText"/>
              <w:rPr>
                <w:rFonts w:cs="Calibri"/>
                <w:szCs w:val="18"/>
              </w:rPr>
            </w:pPr>
            <w:r w:rsidRPr="00BD16B4">
              <w:rPr>
                <w:rFonts w:cs="Calibri"/>
                <w:szCs w:val="18"/>
              </w:rPr>
              <w:t>Gross domestic product (real 2009/10 NZ$ billion)</w:t>
            </w:r>
          </w:p>
        </w:tc>
        <w:tc>
          <w:tcPr>
            <w:tcW w:w="630" w:type="dxa"/>
            <w:shd w:val="clear" w:color="auto" w:fill="auto"/>
          </w:tcPr>
          <w:p w14:paraId="611E64CB" w14:textId="77777777" w:rsidR="007C259A" w:rsidRPr="00BD16B4" w:rsidRDefault="007C259A" w:rsidP="00F31129">
            <w:pPr>
              <w:pStyle w:val="TableText"/>
              <w:jc w:val="center"/>
            </w:pPr>
            <w:r w:rsidRPr="00BD16B4">
              <w:t>112.7</w:t>
            </w:r>
          </w:p>
        </w:tc>
        <w:tc>
          <w:tcPr>
            <w:tcW w:w="643" w:type="dxa"/>
          </w:tcPr>
          <w:p w14:paraId="660D97DC" w14:textId="77777777" w:rsidR="007C259A" w:rsidRPr="00BD16B4" w:rsidRDefault="007C259A" w:rsidP="00F31129">
            <w:pPr>
              <w:pStyle w:val="TableText"/>
              <w:jc w:val="center"/>
            </w:pPr>
            <w:r w:rsidRPr="00BD16B4">
              <w:t>130.5</w:t>
            </w:r>
          </w:p>
        </w:tc>
        <w:tc>
          <w:tcPr>
            <w:tcW w:w="641" w:type="dxa"/>
          </w:tcPr>
          <w:p w14:paraId="3287C424" w14:textId="77777777" w:rsidR="007C259A" w:rsidRPr="00BD16B4" w:rsidRDefault="007C259A" w:rsidP="00F31129">
            <w:pPr>
              <w:pStyle w:val="TableText"/>
              <w:jc w:val="center"/>
            </w:pPr>
            <w:r w:rsidRPr="00BD16B4">
              <w:t>152.2</w:t>
            </w:r>
          </w:p>
        </w:tc>
        <w:tc>
          <w:tcPr>
            <w:tcW w:w="641" w:type="dxa"/>
          </w:tcPr>
          <w:p w14:paraId="1D7C5E2A" w14:textId="77777777" w:rsidR="007C259A" w:rsidRPr="00BD16B4" w:rsidRDefault="007C259A" w:rsidP="00F31129">
            <w:pPr>
              <w:pStyle w:val="TableText"/>
              <w:jc w:val="center"/>
            </w:pPr>
            <w:r w:rsidRPr="00BD16B4">
              <w:t>184.2</w:t>
            </w:r>
          </w:p>
        </w:tc>
        <w:tc>
          <w:tcPr>
            <w:tcW w:w="641" w:type="dxa"/>
          </w:tcPr>
          <w:p w14:paraId="473536DE" w14:textId="77777777" w:rsidR="007C259A" w:rsidRPr="00BD16B4" w:rsidRDefault="007C259A" w:rsidP="00F31129">
            <w:pPr>
              <w:pStyle w:val="TableText"/>
              <w:jc w:val="center"/>
            </w:pPr>
            <w:r w:rsidRPr="00BD16B4">
              <w:t>196.8</w:t>
            </w:r>
          </w:p>
        </w:tc>
        <w:tc>
          <w:tcPr>
            <w:tcW w:w="641" w:type="dxa"/>
          </w:tcPr>
          <w:p w14:paraId="5F86B2AC" w14:textId="77777777" w:rsidR="007C259A" w:rsidRPr="00BD16B4" w:rsidRDefault="007C259A" w:rsidP="00F31129">
            <w:pPr>
              <w:pStyle w:val="TableText"/>
              <w:jc w:val="center"/>
            </w:pPr>
            <w:r w:rsidRPr="00BD16B4">
              <w:t>225.9</w:t>
            </w:r>
          </w:p>
        </w:tc>
        <w:tc>
          <w:tcPr>
            <w:tcW w:w="641" w:type="dxa"/>
          </w:tcPr>
          <w:p w14:paraId="4D814A06" w14:textId="77777777" w:rsidR="007C259A" w:rsidRPr="00BD16B4" w:rsidRDefault="007C259A" w:rsidP="00F31129">
            <w:pPr>
              <w:pStyle w:val="TableText"/>
              <w:jc w:val="center"/>
            </w:pPr>
            <w:r w:rsidRPr="00BD16B4">
              <w:t>253.3</w:t>
            </w:r>
          </w:p>
        </w:tc>
        <w:tc>
          <w:tcPr>
            <w:tcW w:w="641" w:type="dxa"/>
            <w:shd w:val="clear" w:color="auto" w:fill="D2DDE1" w:themeFill="background2"/>
          </w:tcPr>
          <w:p w14:paraId="7401A457" w14:textId="77777777" w:rsidR="007C259A" w:rsidRPr="00BD16B4" w:rsidRDefault="007C259A" w:rsidP="00F31129">
            <w:pPr>
              <w:pStyle w:val="TableText"/>
              <w:jc w:val="center"/>
            </w:pPr>
            <w:r w:rsidRPr="00BD16B4">
              <w:t>291.4</w:t>
            </w:r>
          </w:p>
        </w:tc>
        <w:tc>
          <w:tcPr>
            <w:tcW w:w="686" w:type="dxa"/>
            <w:shd w:val="clear" w:color="auto" w:fill="D2DDE1" w:themeFill="background2"/>
          </w:tcPr>
          <w:p w14:paraId="7E0A877A" w14:textId="77777777" w:rsidR="007C259A" w:rsidRPr="00BD16B4" w:rsidRDefault="007C259A" w:rsidP="00F31129">
            <w:pPr>
              <w:pStyle w:val="TableText"/>
              <w:jc w:val="center"/>
            </w:pPr>
            <w:r w:rsidRPr="00BD16B4">
              <w:t>325.3</w:t>
            </w:r>
          </w:p>
        </w:tc>
        <w:tc>
          <w:tcPr>
            <w:tcW w:w="641" w:type="dxa"/>
            <w:shd w:val="clear" w:color="auto" w:fill="D2DDE1" w:themeFill="background2"/>
          </w:tcPr>
          <w:p w14:paraId="74FC467B" w14:textId="77777777" w:rsidR="007C259A" w:rsidRPr="00BD16B4" w:rsidRDefault="007C259A" w:rsidP="00F31129">
            <w:pPr>
              <w:pStyle w:val="TableText"/>
              <w:jc w:val="center"/>
            </w:pPr>
            <w:r w:rsidRPr="00BD16B4">
              <w:t>351.7</w:t>
            </w:r>
          </w:p>
        </w:tc>
      </w:tr>
      <w:tr w:rsidR="007C259A" w:rsidRPr="00BD16B4" w14:paraId="1AB15046" w14:textId="77777777" w:rsidTr="003F759B">
        <w:tc>
          <w:tcPr>
            <w:tcW w:w="2059" w:type="dxa"/>
            <w:shd w:val="clear" w:color="auto" w:fill="auto"/>
          </w:tcPr>
          <w:p w14:paraId="74BCF60D" w14:textId="77777777" w:rsidR="007C259A" w:rsidRPr="00BD16B4" w:rsidRDefault="007C259A" w:rsidP="00F31129">
            <w:pPr>
              <w:pStyle w:val="TableText"/>
              <w:rPr>
                <w:rFonts w:cs="Calibri"/>
                <w:szCs w:val="18"/>
              </w:rPr>
            </w:pPr>
            <w:r w:rsidRPr="00BD16B4">
              <w:rPr>
                <w:rFonts w:cs="Calibri"/>
                <w:szCs w:val="18"/>
              </w:rPr>
              <w:t>Net migration (thousand people)</w:t>
            </w:r>
          </w:p>
        </w:tc>
        <w:tc>
          <w:tcPr>
            <w:tcW w:w="630" w:type="dxa"/>
            <w:shd w:val="clear" w:color="auto" w:fill="auto"/>
          </w:tcPr>
          <w:p w14:paraId="103853B3" w14:textId="77777777" w:rsidR="007C259A" w:rsidRPr="00BD16B4" w:rsidRDefault="007C259A" w:rsidP="00F31129">
            <w:pPr>
              <w:pStyle w:val="TableText"/>
              <w:jc w:val="center"/>
            </w:pPr>
          </w:p>
        </w:tc>
        <w:tc>
          <w:tcPr>
            <w:tcW w:w="643" w:type="dxa"/>
          </w:tcPr>
          <w:p w14:paraId="5BEFC0FC" w14:textId="77777777" w:rsidR="007C259A" w:rsidRPr="00BD16B4" w:rsidRDefault="007C259A" w:rsidP="00F31129">
            <w:pPr>
              <w:pStyle w:val="TableText"/>
              <w:jc w:val="center"/>
            </w:pPr>
          </w:p>
        </w:tc>
        <w:tc>
          <w:tcPr>
            <w:tcW w:w="641" w:type="dxa"/>
          </w:tcPr>
          <w:p w14:paraId="17CB5DEA" w14:textId="77777777" w:rsidR="007C259A" w:rsidRPr="00BD16B4" w:rsidRDefault="007C259A" w:rsidP="00F31129">
            <w:pPr>
              <w:pStyle w:val="TableText"/>
              <w:jc w:val="center"/>
            </w:pPr>
          </w:p>
        </w:tc>
        <w:tc>
          <w:tcPr>
            <w:tcW w:w="641" w:type="dxa"/>
          </w:tcPr>
          <w:p w14:paraId="6FDE8FBB" w14:textId="77777777" w:rsidR="007C259A" w:rsidRPr="00BD16B4" w:rsidRDefault="007C259A" w:rsidP="00F31129">
            <w:pPr>
              <w:pStyle w:val="TableText"/>
              <w:jc w:val="center"/>
            </w:pPr>
          </w:p>
        </w:tc>
        <w:tc>
          <w:tcPr>
            <w:tcW w:w="641" w:type="dxa"/>
          </w:tcPr>
          <w:p w14:paraId="483CDBD7" w14:textId="77777777" w:rsidR="007C259A" w:rsidRPr="00BD16B4" w:rsidRDefault="007C259A" w:rsidP="00F31129">
            <w:pPr>
              <w:pStyle w:val="TableText"/>
              <w:jc w:val="center"/>
            </w:pPr>
          </w:p>
        </w:tc>
        <w:tc>
          <w:tcPr>
            <w:tcW w:w="641" w:type="dxa"/>
          </w:tcPr>
          <w:p w14:paraId="61CA97F4" w14:textId="77777777" w:rsidR="007C259A" w:rsidRPr="00BD16B4" w:rsidRDefault="007C259A" w:rsidP="00F31129">
            <w:pPr>
              <w:pStyle w:val="TableText"/>
              <w:jc w:val="center"/>
            </w:pPr>
          </w:p>
        </w:tc>
        <w:tc>
          <w:tcPr>
            <w:tcW w:w="641" w:type="dxa"/>
          </w:tcPr>
          <w:p w14:paraId="3434451B" w14:textId="77777777" w:rsidR="007C259A" w:rsidRPr="00BD16B4" w:rsidRDefault="007C259A" w:rsidP="00F31129">
            <w:pPr>
              <w:pStyle w:val="TableText"/>
              <w:jc w:val="center"/>
            </w:pPr>
          </w:p>
        </w:tc>
        <w:tc>
          <w:tcPr>
            <w:tcW w:w="641" w:type="dxa"/>
            <w:shd w:val="clear" w:color="auto" w:fill="D2DDE1" w:themeFill="background2"/>
          </w:tcPr>
          <w:p w14:paraId="544BF200" w14:textId="77777777" w:rsidR="007C259A" w:rsidRPr="00BD16B4" w:rsidRDefault="007C259A" w:rsidP="00F31129">
            <w:pPr>
              <w:pStyle w:val="TableText"/>
              <w:jc w:val="center"/>
            </w:pPr>
            <w:r w:rsidRPr="00BD16B4">
              <w:t>35.1</w:t>
            </w:r>
          </w:p>
        </w:tc>
        <w:tc>
          <w:tcPr>
            <w:tcW w:w="686" w:type="dxa"/>
            <w:shd w:val="clear" w:color="auto" w:fill="D2DDE1" w:themeFill="background2"/>
          </w:tcPr>
          <w:p w14:paraId="008FD800" w14:textId="77777777" w:rsidR="007C259A" w:rsidRPr="00BD16B4" w:rsidRDefault="007C259A" w:rsidP="00F31129">
            <w:pPr>
              <w:pStyle w:val="TableText"/>
              <w:jc w:val="center"/>
            </w:pPr>
            <w:r w:rsidRPr="00BD16B4">
              <w:t>32.8</w:t>
            </w:r>
          </w:p>
        </w:tc>
        <w:tc>
          <w:tcPr>
            <w:tcW w:w="641" w:type="dxa"/>
            <w:shd w:val="clear" w:color="auto" w:fill="D2DDE1" w:themeFill="background2"/>
          </w:tcPr>
          <w:p w14:paraId="295E1DFE" w14:textId="77777777" w:rsidR="007C259A" w:rsidRPr="00BD16B4" w:rsidRDefault="007C259A" w:rsidP="00F31129">
            <w:pPr>
              <w:pStyle w:val="TableText"/>
              <w:jc w:val="center"/>
            </w:pPr>
            <w:r w:rsidRPr="00BD16B4">
              <w:t>25</w:t>
            </w:r>
          </w:p>
        </w:tc>
      </w:tr>
      <w:tr w:rsidR="007C259A" w:rsidRPr="00BD16B4" w14:paraId="5114655A" w14:textId="77777777" w:rsidTr="003F759B">
        <w:tc>
          <w:tcPr>
            <w:tcW w:w="2059" w:type="dxa"/>
            <w:shd w:val="clear" w:color="auto" w:fill="auto"/>
          </w:tcPr>
          <w:p w14:paraId="1F6158D9" w14:textId="77777777" w:rsidR="007C259A" w:rsidRPr="00BD16B4" w:rsidRDefault="007C259A" w:rsidP="00F31129">
            <w:pPr>
              <w:pStyle w:val="TableText"/>
              <w:rPr>
                <w:rFonts w:cs="Calibri"/>
                <w:szCs w:val="18"/>
              </w:rPr>
            </w:pPr>
            <w:r w:rsidRPr="00BD16B4">
              <w:rPr>
                <w:rFonts w:cs="Calibri"/>
                <w:szCs w:val="18"/>
              </w:rPr>
              <w:t>Exchange rate (NZ$/US$)</w:t>
            </w:r>
          </w:p>
        </w:tc>
        <w:tc>
          <w:tcPr>
            <w:tcW w:w="630" w:type="dxa"/>
            <w:shd w:val="clear" w:color="auto" w:fill="auto"/>
          </w:tcPr>
          <w:p w14:paraId="749A3CA1" w14:textId="77777777" w:rsidR="007C259A" w:rsidRPr="00BD16B4" w:rsidRDefault="007C259A" w:rsidP="00F31129">
            <w:pPr>
              <w:pStyle w:val="TableText"/>
              <w:jc w:val="center"/>
            </w:pPr>
          </w:p>
        </w:tc>
        <w:tc>
          <w:tcPr>
            <w:tcW w:w="643" w:type="dxa"/>
          </w:tcPr>
          <w:p w14:paraId="5C14F318" w14:textId="77777777" w:rsidR="007C259A" w:rsidRPr="00BD16B4" w:rsidRDefault="007C259A" w:rsidP="00F31129">
            <w:pPr>
              <w:pStyle w:val="TableText"/>
              <w:jc w:val="center"/>
            </w:pPr>
          </w:p>
        </w:tc>
        <w:tc>
          <w:tcPr>
            <w:tcW w:w="641" w:type="dxa"/>
          </w:tcPr>
          <w:p w14:paraId="2ABED907" w14:textId="77777777" w:rsidR="007C259A" w:rsidRPr="00BD16B4" w:rsidRDefault="007C259A" w:rsidP="00F31129">
            <w:pPr>
              <w:pStyle w:val="TableText"/>
              <w:jc w:val="center"/>
            </w:pPr>
          </w:p>
        </w:tc>
        <w:tc>
          <w:tcPr>
            <w:tcW w:w="641" w:type="dxa"/>
          </w:tcPr>
          <w:p w14:paraId="7698BE4D" w14:textId="77777777" w:rsidR="007C259A" w:rsidRPr="00BD16B4" w:rsidRDefault="007C259A" w:rsidP="00F31129">
            <w:pPr>
              <w:pStyle w:val="TableText"/>
              <w:jc w:val="center"/>
            </w:pPr>
          </w:p>
        </w:tc>
        <w:tc>
          <w:tcPr>
            <w:tcW w:w="641" w:type="dxa"/>
          </w:tcPr>
          <w:p w14:paraId="5CC98B3A" w14:textId="77777777" w:rsidR="007C259A" w:rsidRPr="00BD16B4" w:rsidRDefault="007C259A" w:rsidP="00F31129">
            <w:pPr>
              <w:pStyle w:val="TableText"/>
              <w:jc w:val="center"/>
            </w:pPr>
          </w:p>
        </w:tc>
        <w:tc>
          <w:tcPr>
            <w:tcW w:w="641" w:type="dxa"/>
          </w:tcPr>
          <w:p w14:paraId="3AEF28A1" w14:textId="77777777" w:rsidR="007C259A" w:rsidRPr="00BD16B4" w:rsidRDefault="007C259A" w:rsidP="00F31129">
            <w:pPr>
              <w:pStyle w:val="TableText"/>
              <w:jc w:val="center"/>
            </w:pPr>
          </w:p>
        </w:tc>
        <w:tc>
          <w:tcPr>
            <w:tcW w:w="641" w:type="dxa"/>
          </w:tcPr>
          <w:p w14:paraId="03F68C4C" w14:textId="0A504E03" w:rsidR="007C259A" w:rsidRPr="00BD16B4" w:rsidRDefault="00FC49D2" w:rsidP="00F31129">
            <w:pPr>
              <w:pStyle w:val="TableText"/>
              <w:jc w:val="center"/>
            </w:pPr>
            <w:r>
              <w:t>0.64</w:t>
            </w:r>
          </w:p>
        </w:tc>
        <w:tc>
          <w:tcPr>
            <w:tcW w:w="641" w:type="dxa"/>
            <w:shd w:val="clear" w:color="auto" w:fill="D2DDE1" w:themeFill="background2"/>
          </w:tcPr>
          <w:p w14:paraId="2470F0FD" w14:textId="77777777" w:rsidR="007C259A" w:rsidRPr="00BD16B4" w:rsidRDefault="007C259A" w:rsidP="00F31129">
            <w:pPr>
              <w:pStyle w:val="TableText"/>
              <w:jc w:val="center"/>
            </w:pPr>
            <w:r w:rsidRPr="00BD16B4">
              <w:t>0.65</w:t>
            </w:r>
          </w:p>
        </w:tc>
        <w:tc>
          <w:tcPr>
            <w:tcW w:w="686" w:type="dxa"/>
            <w:shd w:val="clear" w:color="auto" w:fill="D2DDE1" w:themeFill="background2"/>
          </w:tcPr>
          <w:p w14:paraId="1BD9E84A" w14:textId="77777777" w:rsidR="007C259A" w:rsidRPr="00BD16B4" w:rsidRDefault="007C259A" w:rsidP="00F31129">
            <w:pPr>
              <w:pStyle w:val="TableText"/>
              <w:jc w:val="center"/>
            </w:pPr>
            <w:r w:rsidRPr="00BD16B4">
              <w:t>0.65</w:t>
            </w:r>
          </w:p>
        </w:tc>
        <w:tc>
          <w:tcPr>
            <w:tcW w:w="641" w:type="dxa"/>
            <w:shd w:val="clear" w:color="auto" w:fill="D2DDE1" w:themeFill="background2"/>
          </w:tcPr>
          <w:p w14:paraId="11B11236" w14:textId="77777777" w:rsidR="007C259A" w:rsidRPr="00BD16B4" w:rsidRDefault="007C259A" w:rsidP="00F31129">
            <w:pPr>
              <w:pStyle w:val="TableText"/>
              <w:jc w:val="center"/>
            </w:pPr>
            <w:r w:rsidRPr="00BD16B4">
              <w:t>0.65</w:t>
            </w:r>
          </w:p>
        </w:tc>
      </w:tr>
      <w:tr w:rsidR="007C259A" w:rsidRPr="00BD16B4" w14:paraId="68D973F1" w14:textId="77777777" w:rsidTr="003F759B">
        <w:tc>
          <w:tcPr>
            <w:tcW w:w="2059" w:type="dxa"/>
            <w:shd w:val="clear" w:color="auto" w:fill="auto"/>
          </w:tcPr>
          <w:p w14:paraId="16810F54" w14:textId="77777777" w:rsidR="007C259A" w:rsidRPr="00BD16B4" w:rsidRDefault="007C259A" w:rsidP="00F31129">
            <w:pPr>
              <w:pStyle w:val="TableText"/>
              <w:rPr>
                <w:rFonts w:cs="Calibri"/>
                <w:szCs w:val="18"/>
              </w:rPr>
            </w:pPr>
            <w:r w:rsidRPr="00BD16B4">
              <w:rPr>
                <w:rFonts w:cs="Calibri"/>
                <w:szCs w:val="18"/>
              </w:rPr>
              <w:t>WEM, WAM carbon price (NZ$ tonne CO</w:t>
            </w:r>
            <w:r w:rsidRPr="00BD16B4">
              <w:rPr>
                <w:rFonts w:cs="Calibri"/>
                <w:szCs w:val="18"/>
                <w:vertAlign w:val="subscript"/>
              </w:rPr>
              <w:t>2</w:t>
            </w:r>
            <w:r w:rsidRPr="00BD16B4">
              <w:rPr>
                <w:rFonts w:cs="Calibri"/>
                <w:szCs w:val="18"/>
              </w:rPr>
              <w:t>-e)</w:t>
            </w:r>
          </w:p>
        </w:tc>
        <w:tc>
          <w:tcPr>
            <w:tcW w:w="630" w:type="dxa"/>
            <w:shd w:val="clear" w:color="auto" w:fill="auto"/>
          </w:tcPr>
          <w:p w14:paraId="7035D6FD" w14:textId="77777777" w:rsidR="007C259A" w:rsidRPr="00BD16B4" w:rsidRDefault="007C259A" w:rsidP="00F31129">
            <w:pPr>
              <w:pStyle w:val="TableText"/>
              <w:jc w:val="center"/>
            </w:pPr>
          </w:p>
        </w:tc>
        <w:tc>
          <w:tcPr>
            <w:tcW w:w="643" w:type="dxa"/>
          </w:tcPr>
          <w:p w14:paraId="5C85A111" w14:textId="77777777" w:rsidR="007C259A" w:rsidRPr="00BD16B4" w:rsidRDefault="007C259A" w:rsidP="00F31129">
            <w:pPr>
              <w:pStyle w:val="TableText"/>
              <w:jc w:val="center"/>
            </w:pPr>
          </w:p>
        </w:tc>
        <w:tc>
          <w:tcPr>
            <w:tcW w:w="641" w:type="dxa"/>
          </w:tcPr>
          <w:p w14:paraId="0D80FE71" w14:textId="77777777" w:rsidR="007C259A" w:rsidRPr="00BD16B4" w:rsidRDefault="007C259A" w:rsidP="00F31129">
            <w:pPr>
              <w:pStyle w:val="TableText"/>
              <w:jc w:val="center"/>
            </w:pPr>
          </w:p>
        </w:tc>
        <w:tc>
          <w:tcPr>
            <w:tcW w:w="641" w:type="dxa"/>
          </w:tcPr>
          <w:p w14:paraId="28ADF2CB" w14:textId="77777777" w:rsidR="007C259A" w:rsidRPr="00BD16B4" w:rsidRDefault="007C259A" w:rsidP="00F31129">
            <w:pPr>
              <w:pStyle w:val="TableText"/>
              <w:jc w:val="center"/>
            </w:pPr>
          </w:p>
        </w:tc>
        <w:tc>
          <w:tcPr>
            <w:tcW w:w="641" w:type="dxa"/>
          </w:tcPr>
          <w:p w14:paraId="34482300" w14:textId="77777777" w:rsidR="007C259A" w:rsidRPr="00BD16B4" w:rsidRDefault="007C259A" w:rsidP="00F31129">
            <w:pPr>
              <w:pStyle w:val="TableText"/>
              <w:jc w:val="center"/>
            </w:pPr>
          </w:p>
        </w:tc>
        <w:tc>
          <w:tcPr>
            <w:tcW w:w="641" w:type="dxa"/>
          </w:tcPr>
          <w:p w14:paraId="4E7374E4" w14:textId="77777777" w:rsidR="007C259A" w:rsidRPr="00BD16B4" w:rsidRDefault="007C259A" w:rsidP="00F31129">
            <w:pPr>
              <w:pStyle w:val="TableText"/>
              <w:jc w:val="center"/>
            </w:pPr>
          </w:p>
        </w:tc>
        <w:tc>
          <w:tcPr>
            <w:tcW w:w="641" w:type="dxa"/>
          </w:tcPr>
          <w:p w14:paraId="3E582A04" w14:textId="77777777" w:rsidR="007C259A" w:rsidRPr="00BD16B4" w:rsidRDefault="007C259A" w:rsidP="00F31129">
            <w:pPr>
              <w:pStyle w:val="TableText"/>
              <w:jc w:val="center"/>
            </w:pPr>
          </w:p>
        </w:tc>
        <w:tc>
          <w:tcPr>
            <w:tcW w:w="641" w:type="dxa"/>
            <w:shd w:val="clear" w:color="auto" w:fill="D2DDE1" w:themeFill="background2"/>
          </w:tcPr>
          <w:p w14:paraId="5750B777" w14:textId="77777777" w:rsidR="007C259A" w:rsidRPr="00BD16B4" w:rsidRDefault="007C259A" w:rsidP="00F31129">
            <w:pPr>
              <w:pStyle w:val="TableText"/>
              <w:jc w:val="center"/>
            </w:pPr>
            <w:r w:rsidRPr="00BD16B4">
              <w:rPr>
                <w:color w:val="000000" w:themeColor="text1"/>
              </w:rPr>
              <w:t>$82</w:t>
            </w:r>
          </w:p>
        </w:tc>
        <w:tc>
          <w:tcPr>
            <w:tcW w:w="686" w:type="dxa"/>
            <w:shd w:val="clear" w:color="auto" w:fill="D2DDE1" w:themeFill="background2"/>
          </w:tcPr>
          <w:p w14:paraId="4E9B2C2B" w14:textId="77777777" w:rsidR="007C259A" w:rsidRPr="00BD16B4" w:rsidRDefault="007C259A" w:rsidP="00F31129">
            <w:pPr>
              <w:pStyle w:val="TableText"/>
              <w:jc w:val="center"/>
            </w:pPr>
            <w:r w:rsidRPr="00BD16B4">
              <w:rPr>
                <w:color w:val="000000" w:themeColor="text1"/>
              </w:rPr>
              <w:t>$140</w:t>
            </w:r>
          </w:p>
        </w:tc>
        <w:tc>
          <w:tcPr>
            <w:tcW w:w="641" w:type="dxa"/>
            <w:shd w:val="clear" w:color="auto" w:fill="D2DDE1" w:themeFill="background2"/>
          </w:tcPr>
          <w:p w14:paraId="31FA4297" w14:textId="77777777" w:rsidR="007C259A" w:rsidRPr="00BD16B4" w:rsidRDefault="007C259A" w:rsidP="00F31129">
            <w:pPr>
              <w:pStyle w:val="TableText"/>
              <w:jc w:val="center"/>
            </w:pPr>
            <w:r w:rsidRPr="00BD16B4">
              <w:rPr>
                <w:color w:val="000000" w:themeColor="text1"/>
              </w:rPr>
              <w:t>$167</w:t>
            </w:r>
          </w:p>
        </w:tc>
      </w:tr>
      <w:tr w:rsidR="007C259A" w:rsidRPr="00BD16B4" w14:paraId="0B1E54C3" w14:textId="77777777" w:rsidTr="003F759B">
        <w:tc>
          <w:tcPr>
            <w:tcW w:w="2059" w:type="dxa"/>
            <w:shd w:val="clear" w:color="auto" w:fill="auto"/>
          </w:tcPr>
          <w:p w14:paraId="7941E3A0" w14:textId="77777777" w:rsidR="007C259A" w:rsidRPr="00BD16B4" w:rsidRDefault="007C259A" w:rsidP="00F31129">
            <w:pPr>
              <w:pStyle w:val="TableText"/>
              <w:rPr>
                <w:rFonts w:cs="Calibri"/>
                <w:szCs w:val="18"/>
              </w:rPr>
            </w:pPr>
            <w:r w:rsidRPr="00BD16B4">
              <w:rPr>
                <w:rFonts w:cs="Calibri"/>
                <w:szCs w:val="18"/>
              </w:rPr>
              <w:t>Labour force (million people)</w:t>
            </w:r>
          </w:p>
        </w:tc>
        <w:tc>
          <w:tcPr>
            <w:tcW w:w="630" w:type="dxa"/>
            <w:shd w:val="clear" w:color="auto" w:fill="auto"/>
          </w:tcPr>
          <w:p w14:paraId="6FC673B9" w14:textId="77777777" w:rsidR="007C259A" w:rsidRPr="00BD16B4" w:rsidRDefault="007C259A" w:rsidP="00F31129">
            <w:pPr>
              <w:pStyle w:val="TableText"/>
              <w:jc w:val="center"/>
            </w:pPr>
          </w:p>
        </w:tc>
        <w:tc>
          <w:tcPr>
            <w:tcW w:w="643" w:type="dxa"/>
          </w:tcPr>
          <w:p w14:paraId="2B527120" w14:textId="77777777" w:rsidR="007C259A" w:rsidRPr="00BD16B4" w:rsidRDefault="007C259A" w:rsidP="00F31129">
            <w:pPr>
              <w:pStyle w:val="TableText"/>
              <w:jc w:val="center"/>
            </w:pPr>
          </w:p>
        </w:tc>
        <w:tc>
          <w:tcPr>
            <w:tcW w:w="641" w:type="dxa"/>
          </w:tcPr>
          <w:p w14:paraId="14CAA847" w14:textId="77777777" w:rsidR="007C259A" w:rsidRPr="00BD16B4" w:rsidRDefault="007C259A" w:rsidP="00F31129">
            <w:pPr>
              <w:pStyle w:val="TableText"/>
              <w:jc w:val="center"/>
            </w:pPr>
          </w:p>
        </w:tc>
        <w:tc>
          <w:tcPr>
            <w:tcW w:w="641" w:type="dxa"/>
          </w:tcPr>
          <w:p w14:paraId="3DA6627E" w14:textId="77777777" w:rsidR="007C259A" w:rsidRPr="00BD16B4" w:rsidRDefault="007C259A" w:rsidP="00F31129">
            <w:pPr>
              <w:pStyle w:val="TableText"/>
              <w:jc w:val="center"/>
            </w:pPr>
          </w:p>
        </w:tc>
        <w:tc>
          <w:tcPr>
            <w:tcW w:w="641" w:type="dxa"/>
          </w:tcPr>
          <w:p w14:paraId="331D462E" w14:textId="77777777" w:rsidR="007C259A" w:rsidRPr="00BD16B4" w:rsidRDefault="007C259A" w:rsidP="00F31129">
            <w:pPr>
              <w:pStyle w:val="TableText"/>
              <w:jc w:val="center"/>
            </w:pPr>
          </w:p>
        </w:tc>
        <w:tc>
          <w:tcPr>
            <w:tcW w:w="641" w:type="dxa"/>
          </w:tcPr>
          <w:p w14:paraId="051A145A" w14:textId="77777777" w:rsidR="007C259A" w:rsidRPr="00BD16B4" w:rsidRDefault="007C259A" w:rsidP="00F31129">
            <w:pPr>
              <w:pStyle w:val="TableText"/>
              <w:jc w:val="center"/>
            </w:pPr>
          </w:p>
        </w:tc>
        <w:tc>
          <w:tcPr>
            <w:tcW w:w="641" w:type="dxa"/>
          </w:tcPr>
          <w:p w14:paraId="548B78AA" w14:textId="6FD79553" w:rsidR="007C259A" w:rsidRPr="00BD16B4" w:rsidRDefault="00FC49D2" w:rsidP="00F31129">
            <w:pPr>
              <w:pStyle w:val="TableText"/>
              <w:jc w:val="center"/>
            </w:pPr>
            <w:r>
              <w:t>2.84</w:t>
            </w:r>
          </w:p>
        </w:tc>
        <w:tc>
          <w:tcPr>
            <w:tcW w:w="641" w:type="dxa"/>
            <w:shd w:val="clear" w:color="auto" w:fill="D2DDE1" w:themeFill="background2"/>
          </w:tcPr>
          <w:p w14:paraId="05A105E7" w14:textId="77777777" w:rsidR="007C259A" w:rsidRPr="00BD16B4" w:rsidRDefault="007C259A" w:rsidP="00F31129">
            <w:pPr>
              <w:pStyle w:val="TableText"/>
              <w:jc w:val="center"/>
              <w:rPr>
                <w:color w:val="000000" w:themeColor="text1"/>
              </w:rPr>
            </w:pPr>
            <w:r w:rsidRPr="00BD16B4">
              <w:t>3.02</w:t>
            </w:r>
          </w:p>
        </w:tc>
        <w:tc>
          <w:tcPr>
            <w:tcW w:w="686" w:type="dxa"/>
            <w:shd w:val="clear" w:color="auto" w:fill="D2DDE1" w:themeFill="background2"/>
          </w:tcPr>
          <w:p w14:paraId="0D6C10DD" w14:textId="77777777" w:rsidR="007C259A" w:rsidRPr="00BD16B4" w:rsidRDefault="007C259A" w:rsidP="00F31129">
            <w:pPr>
              <w:pStyle w:val="TableText"/>
              <w:jc w:val="center"/>
              <w:rPr>
                <w:color w:val="000000" w:themeColor="text1"/>
              </w:rPr>
            </w:pPr>
            <w:r w:rsidRPr="00BD16B4">
              <w:t>3.21</w:t>
            </w:r>
          </w:p>
        </w:tc>
        <w:tc>
          <w:tcPr>
            <w:tcW w:w="641" w:type="dxa"/>
            <w:shd w:val="clear" w:color="auto" w:fill="D2DDE1" w:themeFill="background2"/>
          </w:tcPr>
          <w:p w14:paraId="05CFACA1" w14:textId="77777777" w:rsidR="007C259A" w:rsidRPr="00BD16B4" w:rsidRDefault="007C259A" w:rsidP="00F31129">
            <w:pPr>
              <w:pStyle w:val="TableText"/>
              <w:jc w:val="center"/>
              <w:rPr>
                <w:color w:val="000000" w:themeColor="text1"/>
              </w:rPr>
            </w:pPr>
            <w:r w:rsidRPr="00BD16B4">
              <w:t>3.34</w:t>
            </w:r>
          </w:p>
        </w:tc>
      </w:tr>
    </w:tbl>
    <w:p w14:paraId="25A68021" w14:textId="77777777" w:rsidR="007C259A" w:rsidRPr="00BD16B4" w:rsidRDefault="007C259A" w:rsidP="00120409">
      <w:pPr>
        <w:pStyle w:val="Note"/>
      </w:pPr>
      <w:r w:rsidRPr="00BD16B4">
        <w:rPr>
          <w:b/>
          <w:bCs/>
        </w:rPr>
        <w:t>Note:</w:t>
      </w:r>
      <w:r w:rsidRPr="00BD16B4">
        <w:t xml:space="preserve"> CO</w:t>
      </w:r>
      <w:r w:rsidRPr="00BD16B4">
        <w:rPr>
          <w:vertAlign w:val="subscript"/>
        </w:rPr>
        <w:t>2-</w:t>
      </w:r>
      <w:r w:rsidRPr="00BD16B4">
        <w:t>e = carbon dioxide equivalent; WAM = with additional measures; WEM = with existing measures.</w:t>
      </w:r>
    </w:p>
    <w:p w14:paraId="7F8E29CE" w14:textId="77777777" w:rsidR="007C259A" w:rsidRPr="00BD16B4" w:rsidRDefault="007C259A" w:rsidP="007C259A">
      <w:pPr>
        <w:pStyle w:val="Heading3"/>
      </w:pPr>
      <w:r w:rsidRPr="00BD16B4">
        <w:t>5.2.4</w:t>
      </w:r>
      <w:r w:rsidRPr="00BD16B4">
        <w:tab/>
        <w:t>Projected greenhouse gas emissions and removals</w:t>
      </w:r>
    </w:p>
    <w:p w14:paraId="0BE6D068" w14:textId="77777777" w:rsidR="007C259A" w:rsidRPr="00BD16B4" w:rsidRDefault="007C259A" w:rsidP="007C259A">
      <w:pPr>
        <w:pStyle w:val="BodyText"/>
      </w:pPr>
      <w:r w:rsidRPr="00BD16B4">
        <w:t xml:space="preserve">Tables 5.5 and 5.6 detail New Zealand’s greenhouse gas emissions by sector and by gas under the WEM, WOM and WAM scenarios. The information contained in these tables is the same as the information in common tabular format (CTF) tables 6a, 6b and 6c reproduced in appendix C. For New Zealand’s progress against the 2013–20 emissions reduction target, see the </w:t>
      </w:r>
      <w:r w:rsidRPr="00BD16B4">
        <w:rPr>
          <w:i/>
        </w:rPr>
        <w:t>Fifth Biennial Report</w:t>
      </w:r>
      <w:r w:rsidRPr="00BD16B4">
        <w:t>, figure 3.1 in chapter 3. Figures 5.3 and 5.4 present the WEM, WOM and WAM scenarios, disaggregated by sector and gas. Note the WAM scenario estimates what emissions would be if current policies and measures continued as assumed in the WEM scenario, agriculture was included in the New Zealand Emissions Trading Scheme (NZ ETS) with 95 per cent free allocation and the carbon price increased at a faster rate.</w:t>
      </w:r>
    </w:p>
    <w:p w14:paraId="30D5CFF8" w14:textId="77777777" w:rsidR="007C259A" w:rsidRPr="00BD16B4" w:rsidRDefault="007C259A" w:rsidP="00BB7302">
      <w:pPr>
        <w:pStyle w:val="Tableheading"/>
      </w:pPr>
      <w:bookmarkStart w:id="279" w:name="_Toc121773795"/>
      <w:r w:rsidRPr="00BD16B4">
        <w:lastRenderedPageBreak/>
        <w:t xml:space="preserve">Table 5.5: </w:t>
      </w:r>
      <w:r w:rsidRPr="00BD16B4">
        <w:tab/>
        <w:t>New Zealand greenhouse gas emissions by sector, 1990–2035 (Mt CO</w:t>
      </w:r>
      <w:r w:rsidRPr="00BD16B4">
        <w:rPr>
          <w:vertAlign w:val="subscript"/>
        </w:rPr>
        <w:t>2</w:t>
      </w:r>
      <w:r w:rsidRPr="00BD16B4">
        <w:t>-e)</w:t>
      </w:r>
      <w:bookmarkEnd w:id="279"/>
      <w:r w:rsidRPr="00BD16B4">
        <w:t xml:space="preserve"> </w:t>
      </w:r>
    </w:p>
    <w:tbl>
      <w:tblPr>
        <w:tblStyle w:val="TableGrid1"/>
        <w:tblW w:w="8505" w:type="dxa"/>
        <w:tblInd w:w="113" w:type="dxa"/>
        <w:tblLayout w:type="fixed"/>
        <w:tblCellMar>
          <w:left w:w="85" w:type="dxa"/>
          <w:right w:w="57" w:type="dxa"/>
        </w:tblCellMar>
        <w:tblLook w:val="04A0" w:firstRow="1" w:lastRow="0" w:firstColumn="1" w:lastColumn="0" w:noHBand="0" w:noVBand="1"/>
      </w:tblPr>
      <w:tblGrid>
        <w:gridCol w:w="1084"/>
        <w:gridCol w:w="682"/>
        <w:gridCol w:w="713"/>
        <w:gridCol w:w="713"/>
        <w:gridCol w:w="662"/>
        <w:gridCol w:w="662"/>
        <w:gridCol w:w="662"/>
        <w:gridCol w:w="662"/>
        <w:gridCol w:w="607"/>
        <w:gridCol w:w="54"/>
        <w:gridCol w:w="660"/>
        <w:gridCol w:w="662"/>
        <w:gridCol w:w="682"/>
      </w:tblGrid>
      <w:tr w:rsidR="007C259A" w:rsidRPr="00BD16B4" w14:paraId="4CABE9D3" w14:textId="77777777" w:rsidTr="00AB5497">
        <w:trPr>
          <w:tblHeader/>
        </w:trPr>
        <w:tc>
          <w:tcPr>
            <w:tcW w:w="1039" w:type="pct"/>
            <w:gridSpan w:val="2"/>
            <w:tcBorders>
              <w:bottom w:val="nil"/>
              <w:right w:val="nil"/>
            </w:tcBorders>
            <w:shd w:val="clear" w:color="auto" w:fill="1B556B" w:themeFill="text2"/>
          </w:tcPr>
          <w:p w14:paraId="15981AB0" w14:textId="77777777" w:rsidR="007C259A" w:rsidRPr="00BD16B4" w:rsidRDefault="007C259A" w:rsidP="00B103C6">
            <w:pPr>
              <w:pStyle w:val="TableTextBold0"/>
              <w:keepNext/>
              <w:spacing w:after="0"/>
              <w:jc w:val="center"/>
              <w:rPr>
                <w:b w:val="0"/>
                <w:bCs/>
                <w:color w:val="FFFFFF" w:themeColor="background1"/>
                <w:szCs w:val="18"/>
                <w:lang w:val="en-NZ"/>
              </w:rPr>
            </w:pPr>
          </w:p>
        </w:tc>
        <w:tc>
          <w:tcPr>
            <w:tcW w:w="2751" w:type="pct"/>
            <w:gridSpan w:val="7"/>
            <w:tcBorders>
              <w:left w:val="nil"/>
              <w:bottom w:val="nil"/>
              <w:right w:val="nil"/>
            </w:tcBorders>
            <w:shd w:val="clear" w:color="auto" w:fill="1B556B" w:themeFill="text2"/>
          </w:tcPr>
          <w:p w14:paraId="07449141" w14:textId="77777777" w:rsidR="007C259A" w:rsidRPr="00BD16B4" w:rsidRDefault="007C259A" w:rsidP="00B103C6">
            <w:pPr>
              <w:pStyle w:val="TableTextBold0"/>
              <w:keepNext/>
              <w:spacing w:after="0"/>
              <w:jc w:val="center"/>
              <w:rPr>
                <w:b w:val="0"/>
                <w:bCs/>
                <w:color w:val="FFFFFF" w:themeColor="background1"/>
                <w:szCs w:val="18"/>
                <w:lang w:val="en-NZ"/>
              </w:rPr>
            </w:pPr>
            <w:r w:rsidRPr="00BD16B4">
              <w:rPr>
                <w:color w:val="FFFFFF" w:themeColor="background1"/>
                <w:szCs w:val="18"/>
                <w:lang w:val="en-NZ"/>
              </w:rPr>
              <w:t>Historical</w:t>
            </w:r>
          </w:p>
        </w:tc>
        <w:tc>
          <w:tcPr>
            <w:tcW w:w="1210" w:type="pct"/>
            <w:gridSpan w:val="4"/>
            <w:tcBorders>
              <w:left w:val="nil"/>
              <w:bottom w:val="nil"/>
            </w:tcBorders>
            <w:shd w:val="clear" w:color="auto" w:fill="1B556B" w:themeFill="text2"/>
          </w:tcPr>
          <w:p w14:paraId="6C8530BE" w14:textId="77777777" w:rsidR="007C259A" w:rsidRPr="00BD16B4" w:rsidRDefault="007C259A" w:rsidP="00B103C6">
            <w:pPr>
              <w:pStyle w:val="TableTextBold0"/>
              <w:keepNext/>
              <w:spacing w:after="0"/>
              <w:jc w:val="center"/>
              <w:rPr>
                <w:b w:val="0"/>
                <w:bCs/>
                <w:color w:val="FFFFFF" w:themeColor="background1"/>
                <w:szCs w:val="18"/>
                <w:lang w:val="en-NZ"/>
              </w:rPr>
            </w:pPr>
            <w:r w:rsidRPr="00BD16B4">
              <w:rPr>
                <w:color w:val="FFFFFF" w:themeColor="background1"/>
                <w:szCs w:val="18"/>
                <w:lang w:val="en-NZ"/>
              </w:rPr>
              <w:t>Projected</w:t>
            </w:r>
          </w:p>
        </w:tc>
      </w:tr>
      <w:tr w:rsidR="007C259A" w:rsidRPr="00BD16B4" w14:paraId="31F5752E" w14:textId="77777777" w:rsidTr="00AB5497">
        <w:trPr>
          <w:tblHeader/>
        </w:trPr>
        <w:tc>
          <w:tcPr>
            <w:tcW w:w="638" w:type="pct"/>
            <w:tcBorders>
              <w:top w:val="nil"/>
              <w:right w:val="nil"/>
            </w:tcBorders>
            <w:shd w:val="clear" w:color="auto" w:fill="1B556B" w:themeFill="text2"/>
          </w:tcPr>
          <w:p w14:paraId="7A3626C7" w14:textId="77777777" w:rsidR="007C259A" w:rsidRPr="00BD16B4" w:rsidRDefault="007C259A" w:rsidP="00EC04DC">
            <w:pPr>
              <w:pStyle w:val="TableTextBold0"/>
              <w:keepNext/>
              <w:rPr>
                <w:b w:val="0"/>
                <w:bCs/>
                <w:color w:val="FFFFFF" w:themeColor="background1"/>
                <w:szCs w:val="18"/>
                <w:lang w:val="en-NZ"/>
              </w:rPr>
            </w:pPr>
            <w:r w:rsidRPr="00BD16B4">
              <w:rPr>
                <w:color w:val="FFFFFF" w:themeColor="background1"/>
                <w:szCs w:val="18"/>
                <w:lang w:val="en-NZ"/>
              </w:rPr>
              <w:t>Sector</w:t>
            </w:r>
          </w:p>
        </w:tc>
        <w:tc>
          <w:tcPr>
            <w:tcW w:w="400" w:type="pct"/>
            <w:tcBorders>
              <w:top w:val="nil"/>
              <w:left w:val="nil"/>
              <w:right w:val="nil"/>
            </w:tcBorders>
            <w:shd w:val="clear" w:color="auto" w:fill="1B556B" w:themeFill="text2"/>
          </w:tcPr>
          <w:p w14:paraId="0A7AAC6A" w14:textId="77777777" w:rsidR="007C259A" w:rsidRPr="00BD16B4" w:rsidRDefault="007C259A" w:rsidP="00F31129">
            <w:pPr>
              <w:pStyle w:val="TableTextBold0"/>
              <w:jc w:val="center"/>
              <w:rPr>
                <w:b w:val="0"/>
                <w:bCs/>
                <w:color w:val="FFFFFF" w:themeColor="background1"/>
                <w:szCs w:val="18"/>
                <w:lang w:val="en-NZ"/>
              </w:rPr>
            </w:pPr>
          </w:p>
        </w:tc>
        <w:tc>
          <w:tcPr>
            <w:tcW w:w="419" w:type="pct"/>
            <w:tcBorders>
              <w:top w:val="nil"/>
              <w:left w:val="nil"/>
              <w:right w:val="nil"/>
            </w:tcBorders>
            <w:shd w:val="clear" w:color="auto" w:fill="1B556B" w:themeFill="text2"/>
          </w:tcPr>
          <w:p w14:paraId="1F350566" w14:textId="77777777" w:rsidR="007C259A" w:rsidRPr="00BD16B4" w:rsidRDefault="007C259A" w:rsidP="00F31129">
            <w:pPr>
              <w:pStyle w:val="TableTextBold0"/>
              <w:jc w:val="center"/>
              <w:rPr>
                <w:b w:val="0"/>
                <w:bCs/>
                <w:color w:val="FFFFFF" w:themeColor="background1"/>
                <w:szCs w:val="18"/>
                <w:lang w:val="en-NZ"/>
              </w:rPr>
            </w:pPr>
            <w:r w:rsidRPr="00BD16B4">
              <w:rPr>
                <w:color w:val="FFFFFF" w:themeColor="background1"/>
                <w:szCs w:val="18"/>
                <w:lang w:val="en-NZ"/>
              </w:rPr>
              <w:t>1990</w:t>
            </w:r>
          </w:p>
        </w:tc>
        <w:tc>
          <w:tcPr>
            <w:tcW w:w="419" w:type="pct"/>
            <w:tcBorders>
              <w:top w:val="nil"/>
              <w:left w:val="nil"/>
              <w:right w:val="nil"/>
            </w:tcBorders>
            <w:shd w:val="clear" w:color="auto" w:fill="1B556B" w:themeFill="text2"/>
          </w:tcPr>
          <w:p w14:paraId="501CD7F2" w14:textId="77777777" w:rsidR="007C259A" w:rsidRPr="00BD16B4" w:rsidRDefault="007C259A" w:rsidP="00F31129">
            <w:pPr>
              <w:pStyle w:val="TableTextBold0"/>
              <w:jc w:val="center"/>
              <w:rPr>
                <w:b w:val="0"/>
                <w:bCs/>
                <w:color w:val="FFFFFF" w:themeColor="background1"/>
                <w:szCs w:val="18"/>
                <w:lang w:val="en-NZ"/>
              </w:rPr>
            </w:pPr>
            <w:r w:rsidRPr="00BD16B4">
              <w:rPr>
                <w:color w:val="FFFFFF" w:themeColor="background1"/>
                <w:szCs w:val="18"/>
                <w:lang w:val="en-NZ"/>
              </w:rPr>
              <w:t>1995</w:t>
            </w:r>
          </w:p>
        </w:tc>
        <w:tc>
          <w:tcPr>
            <w:tcW w:w="389" w:type="pct"/>
            <w:tcBorders>
              <w:top w:val="nil"/>
              <w:left w:val="nil"/>
              <w:right w:val="nil"/>
            </w:tcBorders>
            <w:shd w:val="clear" w:color="auto" w:fill="1B556B" w:themeFill="text2"/>
          </w:tcPr>
          <w:p w14:paraId="7D953A19" w14:textId="77777777" w:rsidR="007C259A" w:rsidRPr="00BD16B4" w:rsidRDefault="007C259A" w:rsidP="00F31129">
            <w:pPr>
              <w:pStyle w:val="TableTextBold0"/>
              <w:jc w:val="center"/>
              <w:rPr>
                <w:b w:val="0"/>
                <w:bCs/>
                <w:color w:val="FFFFFF" w:themeColor="background1"/>
                <w:szCs w:val="18"/>
                <w:lang w:val="en-NZ"/>
              </w:rPr>
            </w:pPr>
            <w:r w:rsidRPr="00BD16B4">
              <w:rPr>
                <w:color w:val="FFFFFF" w:themeColor="background1"/>
                <w:szCs w:val="18"/>
                <w:lang w:val="en-NZ"/>
              </w:rPr>
              <w:t>2000</w:t>
            </w:r>
          </w:p>
        </w:tc>
        <w:tc>
          <w:tcPr>
            <w:tcW w:w="389" w:type="pct"/>
            <w:tcBorders>
              <w:top w:val="nil"/>
              <w:left w:val="nil"/>
              <w:right w:val="nil"/>
            </w:tcBorders>
            <w:shd w:val="clear" w:color="auto" w:fill="1B556B" w:themeFill="text2"/>
          </w:tcPr>
          <w:p w14:paraId="60E2D375" w14:textId="77777777" w:rsidR="007C259A" w:rsidRPr="00BD16B4" w:rsidRDefault="007C259A" w:rsidP="00F31129">
            <w:pPr>
              <w:pStyle w:val="TableTextBold0"/>
              <w:jc w:val="center"/>
              <w:rPr>
                <w:b w:val="0"/>
                <w:bCs/>
                <w:color w:val="FFFFFF" w:themeColor="background1"/>
                <w:szCs w:val="18"/>
                <w:lang w:val="en-NZ"/>
              </w:rPr>
            </w:pPr>
            <w:r w:rsidRPr="00BD16B4">
              <w:rPr>
                <w:color w:val="FFFFFF" w:themeColor="background1"/>
                <w:szCs w:val="18"/>
                <w:lang w:val="en-NZ"/>
              </w:rPr>
              <w:t>2005</w:t>
            </w:r>
          </w:p>
        </w:tc>
        <w:tc>
          <w:tcPr>
            <w:tcW w:w="389" w:type="pct"/>
            <w:tcBorders>
              <w:top w:val="nil"/>
              <w:left w:val="nil"/>
              <w:right w:val="nil"/>
            </w:tcBorders>
            <w:shd w:val="clear" w:color="auto" w:fill="1B556B" w:themeFill="text2"/>
          </w:tcPr>
          <w:p w14:paraId="78D70B70" w14:textId="77777777" w:rsidR="007C259A" w:rsidRPr="00BD16B4" w:rsidRDefault="007C259A" w:rsidP="00F31129">
            <w:pPr>
              <w:pStyle w:val="TableTextBold0"/>
              <w:jc w:val="center"/>
              <w:rPr>
                <w:b w:val="0"/>
                <w:bCs/>
                <w:color w:val="FFFFFF" w:themeColor="background1"/>
                <w:szCs w:val="18"/>
                <w:lang w:val="en-NZ"/>
              </w:rPr>
            </w:pPr>
            <w:r w:rsidRPr="00BD16B4">
              <w:rPr>
                <w:color w:val="FFFFFF" w:themeColor="background1"/>
                <w:szCs w:val="18"/>
                <w:lang w:val="en-NZ"/>
              </w:rPr>
              <w:t>2010</w:t>
            </w:r>
          </w:p>
        </w:tc>
        <w:tc>
          <w:tcPr>
            <w:tcW w:w="389" w:type="pct"/>
            <w:tcBorders>
              <w:top w:val="nil"/>
              <w:left w:val="nil"/>
              <w:right w:val="nil"/>
            </w:tcBorders>
            <w:shd w:val="clear" w:color="auto" w:fill="1B556B" w:themeFill="text2"/>
          </w:tcPr>
          <w:p w14:paraId="6CDEC304" w14:textId="77777777" w:rsidR="007C259A" w:rsidRPr="00BD16B4" w:rsidRDefault="007C259A" w:rsidP="00F31129">
            <w:pPr>
              <w:pStyle w:val="TableTextBold0"/>
              <w:jc w:val="center"/>
              <w:rPr>
                <w:b w:val="0"/>
                <w:bCs/>
                <w:color w:val="FFFFFF" w:themeColor="background1"/>
                <w:szCs w:val="18"/>
                <w:lang w:val="en-NZ"/>
              </w:rPr>
            </w:pPr>
            <w:r w:rsidRPr="00BD16B4">
              <w:rPr>
                <w:color w:val="FFFFFF" w:themeColor="background1"/>
                <w:szCs w:val="18"/>
                <w:lang w:val="en-NZ"/>
              </w:rPr>
              <w:t>2015</w:t>
            </w:r>
          </w:p>
        </w:tc>
        <w:tc>
          <w:tcPr>
            <w:tcW w:w="389" w:type="pct"/>
            <w:gridSpan w:val="2"/>
            <w:tcBorders>
              <w:top w:val="nil"/>
              <w:left w:val="nil"/>
              <w:right w:val="nil"/>
            </w:tcBorders>
            <w:shd w:val="clear" w:color="auto" w:fill="1B556B" w:themeFill="text2"/>
          </w:tcPr>
          <w:p w14:paraId="38EC700F" w14:textId="77777777" w:rsidR="007C259A" w:rsidRPr="00BD16B4" w:rsidRDefault="007C259A" w:rsidP="00F31129">
            <w:pPr>
              <w:pStyle w:val="TableTextBold0"/>
              <w:jc w:val="center"/>
              <w:rPr>
                <w:b w:val="0"/>
                <w:bCs/>
                <w:color w:val="FFFFFF" w:themeColor="background1"/>
                <w:szCs w:val="18"/>
                <w:lang w:val="en-NZ"/>
              </w:rPr>
            </w:pPr>
            <w:r w:rsidRPr="00BD16B4">
              <w:rPr>
                <w:color w:val="FFFFFF" w:themeColor="background1"/>
                <w:szCs w:val="18"/>
                <w:lang w:val="en-NZ"/>
              </w:rPr>
              <w:t>2020</w:t>
            </w:r>
          </w:p>
        </w:tc>
        <w:tc>
          <w:tcPr>
            <w:tcW w:w="388" w:type="pct"/>
            <w:tcBorders>
              <w:top w:val="nil"/>
              <w:left w:val="nil"/>
              <w:bottom w:val="single" w:sz="4" w:space="0" w:color="1B556B" w:themeColor="text2"/>
              <w:right w:val="nil"/>
            </w:tcBorders>
            <w:shd w:val="clear" w:color="auto" w:fill="1B556B" w:themeFill="text2"/>
          </w:tcPr>
          <w:p w14:paraId="6193AFD0" w14:textId="77777777" w:rsidR="007C259A" w:rsidRPr="00BD16B4" w:rsidRDefault="007C259A" w:rsidP="00F31129">
            <w:pPr>
              <w:pStyle w:val="TableTextBold0"/>
              <w:jc w:val="center"/>
              <w:rPr>
                <w:b w:val="0"/>
                <w:bCs/>
                <w:color w:val="FFFFFF" w:themeColor="background1"/>
                <w:szCs w:val="18"/>
                <w:lang w:val="en-NZ"/>
              </w:rPr>
            </w:pPr>
            <w:r w:rsidRPr="00BD16B4">
              <w:rPr>
                <w:color w:val="FFFFFF" w:themeColor="background1"/>
                <w:szCs w:val="18"/>
                <w:lang w:val="en-NZ"/>
              </w:rPr>
              <w:t>2025</w:t>
            </w:r>
          </w:p>
        </w:tc>
        <w:tc>
          <w:tcPr>
            <w:tcW w:w="389" w:type="pct"/>
            <w:tcBorders>
              <w:top w:val="nil"/>
              <w:left w:val="nil"/>
              <w:bottom w:val="single" w:sz="4" w:space="0" w:color="1B556B" w:themeColor="text2"/>
              <w:right w:val="nil"/>
            </w:tcBorders>
            <w:shd w:val="clear" w:color="auto" w:fill="1B556B" w:themeFill="text2"/>
          </w:tcPr>
          <w:p w14:paraId="79CC9986" w14:textId="77777777" w:rsidR="007C259A" w:rsidRPr="00BD16B4" w:rsidRDefault="007C259A" w:rsidP="00F31129">
            <w:pPr>
              <w:pStyle w:val="TableTextBold0"/>
              <w:jc w:val="center"/>
              <w:rPr>
                <w:b w:val="0"/>
                <w:bCs/>
                <w:color w:val="FFFFFF" w:themeColor="background1"/>
                <w:szCs w:val="18"/>
                <w:lang w:val="en-NZ"/>
              </w:rPr>
            </w:pPr>
            <w:r w:rsidRPr="00BD16B4">
              <w:rPr>
                <w:color w:val="FFFFFF" w:themeColor="background1"/>
                <w:szCs w:val="18"/>
                <w:lang w:val="en-NZ"/>
              </w:rPr>
              <w:t>2030</w:t>
            </w:r>
          </w:p>
        </w:tc>
        <w:tc>
          <w:tcPr>
            <w:tcW w:w="401" w:type="pct"/>
            <w:tcBorders>
              <w:top w:val="nil"/>
              <w:left w:val="nil"/>
              <w:bottom w:val="single" w:sz="4" w:space="0" w:color="1B556B" w:themeColor="text2"/>
            </w:tcBorders>
            <w:shd w:val="clear" w:color="auto" w:fill="1B556B" w:themeFill="text2"/>
          </w:tcPr>
          <w:p w14:paraId="392A9727" w14:textId="77777777" w:rsidR="007C259A" w:rsidRPr="00BD16B4" w:rsidRDefault="007C259A" w:rsidP="00F31129">
            <w:pPr>
              <w:pStyle w:val="TableTextBold0"/>
              <w:jc w:val="center"/>
              <w:rPr>
                <w:b w:val="0"/>
                <w:bCs/>
                <w:color w:val="FFFFFF" w:themeColor="background1"/>
                <w:szCs w:val="18"/>
                <w:lang w:val="en-NZ"/>
              </w:rPr>
            </w:pPr>
            <w:r w:rsidRPr="00BD16B4">
              <w:rPr>
                <w:color w:val="FFFFFF" w:themeColor="background1"/>
                <w:szCs w:val="18"/>
                <w:lang w:val="en-NZ"/>
              </w:rPr>
              <w:t>2035</w:t>
            </w:r>
          </w:p>
        </w:tc>
      </w:tr>
      <w:tr w:rsidR="007C259A" w:rsidRPr="00BD16B4" w14:paraId="2E333FB0" w14:textId="77777777" w:rsidTr="00B103C6">
        <w:tc>
          <w:tcPr>
            <w:tcW w:w="638" w:type="pct"/>
            <w:vMerge w:val="restart"/>
          </w:tcPr>
          <w:p w14:paraId="309D4086" w14:textId="77777777" w:rsidR="007C259A" w:rsidRPr="00BD16B4" w:rsidRDefault="007C259A" w:rsidP="00F31129">
            <w:pPr>
              <w:pStyle w:val="TableText"/>
              <w:rPr>
                <w:rFonts w:cs="Calibri"/>
                <w:szCs w:val="18"/>
                <w:lang w:val="en-NZ"/>
              </w:rPr>
            </w:pPr>
            <w:r w:rsidRPr="00BD16B4">
              <w:rPr>
                <w:rFonts w:cs="Calibri"/>
                <w:szCs w:val="18"/>
                <w:lang w:val="en-NZ"/>
              </w:rPr>
              <w:t>Energy</w:t>
            </w:r>
          </w:p>
        </w:tc>
        <w:tc>
          <w:tcPr>
            <w:tcW w:w="400" w:type="pct"/>
          </w:tcPr>
          <w:p w14:paraId="1BC13437" w14:textId="77777777" w:rsidR="007C259A" w:rsidRPr="00BD16B4" w:rsidRDefault="007C259A" w:rsidP="00F31129">
            <w:pPr>
              <w:pStyle w:val="TableText"/>
              <w:rPr>
                <w:rFonts w:cs="Calibri"/>
                <w:color w:val="000000"/>
                <w:szCs w:val="18"/>
                <w:lang w:val="en-NZ"/>
              </w:rPr>
            </w:pPr>
            <w:r w:rsidRPr="00BD16B4">
              <w:rPr>
                <w:rFonts w:cs="Calibri"/>
                <w:szCs w:val="18"/>
                <w:lang w:val="en-NZ"/>
              </w:rPr>
              <w:t xml:space="preserve">WEM </w:t>
            </w:r>
          </w:p>
        </w:tc>
        <w:tc>
          <w:tcPr>
            <w:tcW w:w="419" w:type="pct"/>
          </w:tcPr>
          <w:p w14:paraId="5DFCEC28"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15.75</w:t>
            </w:r>
          </w:p>
        </w:tc>
        <w:tc>
          <w:tcPr>
            <w:tcW w:w="419" w:type="pct"/>
          </w:tcPr>
          <w:p w14:paraId="4AFCB3FD"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15.62</w:t>
            </w:r>
          </w:p>
        </w:tc>
        <w:tc>
          <w:tcPr>
            <w:tcW w:w="389" w:type="pct"/>
          </w:tcPr>
          <w:p w14:paraId="5B91DB9B"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18.37</w:t>
            </w:r>
          </w:p>
        </w:tc>
        <w:tc>
          <w:tcPr>
            <w:tcW w:w="389" w:type="pct"/>
          </w:tcPr>
          <w:p w14:paraId="05A2BC54"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21.59</w:t>
            </w:r>
          </w:p>
        </w:tc>
        <w:tc>
          <w:tcPr>
            <w:tcW w:w="389" w:type="pct"/>
          </w:tcPr>
          <w:p w14:paraId="4F1F8F06"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18.90</w:t>
            </w:r>
          </w:p>
        </w:tc>
        <w:tc>
          <w:tcPr>
            <w:tcW w:w="389" w:type="pct"/>
          </w:tcPr>
          <w:p w14:paraId="08BEAEFA"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18.60</w:t>
            </w:r>
          </w:p>
        </w:tc>
        <w:tc>
          <w:tcPr>
            <w:tcW w:w="389" w:type="pct"/>
            <w:gridSpan w:val="2"/>
          </w:tcPr>
          <w:p w14:paraId="164B5F7A"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18.29</w:t>
            </w:r>
          </w:p>
        </w:tc>
        <w:tc>
          <w:tcPr>
            <w:tcW w:w="388" w:type="pct"/>
            <w:shd w:val="clear" w:color="auto" w:fill="D2DDE1" w:themeFill="background2"/>
          </w:tcPr>
          <w:p w14:paraId="649A76B4"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13.59</w:t>
            </w:r>
          </w:p>
        </w:tc>
        <w:tc>
          <w:tcPr>
            <w:tcW w:w="389" w:type="pct"/>
            <w:shd w:val="clear" w:color="auto" w:fill="D2DDE1" w:themeFill="background2"/>
          </w:tcPr>
          <w:p w14:paraId="14C8B7C0"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12.05</w:t>
            </w:r>
          </w:p>
        </w:tc>
        <w:tc>
          <w:tcPr>
            <w:tcW w:w="401" w:type="pct"/>
            <w:shd w:val="clear" w:color="auto" w:fill="D2DDE1" w:themeFill="background2"/>
          </w:tcPr>
          <w:p w14:paraId="733E0ADA"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10.99</w:t>
            </w:r>
          </w:p>
        </w:tc>
      </w:tr>
      <w:tr w:rsidR="007C259A" w:rsidRPr="00BD16B4" w14:paraId="62779976" w14:textId="77777777" w:rsidTr="00B103C6">
        <w:tc>
          <w:tcPr>
            <w:tcW w:w="638" w:type="pct"/>
            <w:vMerge/>
          </w:tcPr>
          <w:p w14:paraId="7F1F0B64" w14:textId="77777777" w:rsidR="007C259A" w:rsidRPr="00BD16B4" w:rsidRDefault="007C259A" w:rsidP="00F31129">
            <w:pPr>
              <w:pStyle w:val="TableText"/>
              <w:rPr>
                <w:rFonts w:cs="Calibri"/>
                <w:szCs w:val="18"/>
                <w:lang w:val="en-NZ"/>
              </w:rPr>
            </w:pPr>
          </w:p>
        </w:tc>
        <w:tc>
          <w:tcPr>
            <w:tcW w:w="400" w:type="pct"/>
          </w:tcPr>
          <w:p w14:paraId="6504EDF7" w14:textId="77777777" w:rsidR="007C259A" w:rsidRPr="00BD16B4" w:rsidRDefault="007C259A" w:rsidP="00F31129">
            <w:pPr>
              <w:pStyle w:val="TableText"/>
              <w:rPr>
                <w:rFonts w:cs="Calibri"/>
                <w:color w:val="000000"/>
                <w:szCs w:val="18"/>
                <w:lang w:val="en-NZ"/>
              </w:rPr>
            </w:pPr>
            <w:r w:rsidRPr="00BD16B4">
              <w:rPr>
                <w:rFonts w:cs="Calibri"/>
                <w:szCs w:val="18"/>
                <w:lang w:val="en-NZ"/>
              </w:rPr>
              <w:t>WOM</w:t>
            </w:r>
          </w:p>
        </w:tc>
        <w:tc>
          <w:tcPr>
            <w:tcW w:w="419" w:type="pct"/>
          </w:tcPr>
          <w:p w14:paraId="092A19A4"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15.75</w:t>
            </w:r>
          </w:p>
        </w:tc>
        <w:tc>
          <w:tcPr>
            <w:tcW w:w="419" w:type="pct"/>
          </w:tcPr>
          <w:p w14:paraId="2F265430"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15.62</w:t>
            </w:r>
          </w:p>
        </w:tc>
        <w:tc>
          <w:tcPr>
            <w:tcW w:w="389" w:type="pct"/>
          </w:tcPr>
          <w:p w14:paraId="6C788456"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18.37</w:t>
            </w:r>
          </w:p>
        </w:tc>
        <w:tc>
          <w:tcPr>
            <w:tcW w:w="389" w:type="pct"/>
          </w:tcPr>
          <w:p w14:paraId="6679BB58"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21.59</w:t>
            </w:r>
          </w:p>
        </w:tc>
        <w:tc>
          <w:tcPr>
            <w:tcW w:w="389" w:type="pct"/>
          </w:tcPr>
          <w:p w14:paraId="67151295"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18.90</w:t>
            </w:r>
          </w:p>
        </w:tc>
        <w:tc>
          <w:tcPr>
            <w:tcW w:w="389" w:type="pct"/>
          </w:tcPr>
          <w:p w14:paraId="2E76C262"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18.60</w:t>
            </w:r>
          </w:p>
        </w:tc>
        <w:tc>
          <w:tcPr>
            <w:tcW w:w="389" w:type="pct"/>
            <w:gridSpan w:val="2"/>
          </w:tcPr>
          <w:p w14:paraId="1D0C04CB"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18.29</w:t>
            </w:r>
          </w:p>
        </w:tc>
        <w:tc>
          <w:tcPr>
            <w:tcW w:w="388" w:type="pct"/>
            <w:shd w:val="clear" w:color="auto" w:fill="D2DDE1" w:themeFill="background2"/>
          </w:tcPr>
          <w:p w14:paraId="71209564"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15.91</w:t>
            </w:r>
          </w:p>
        </w:tc>
        <w:tc>
          <w:tcPr>
            <w:tcW w:w="389" w:type="pct"/>
            <w:shd w:val="clear" w:color="auto" w:fill="D2DDE1" w:themeFill="background2"/>
          </w:tcPr>
          <w:p w14:paraId="0A101FA2"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16.05</w:t>
            </w:r>
          </w:p>
        </w:tc>
        <w:tc>
          <w:tcPr>
            <w:tcW w:w="401" w:type="pct"/>
            <w:shd w:val="clear" w:color="auto" w:fill="D2DDE1" w:themeFill="background2"/>
          </w:tcPr>
          <w:p w14:paraId="279A3889"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15.99</w:t>
            </w:r>
          </w:p>
        </w:tc>
      </w:tr>
      <w:tr w:rsidR="007C259A" w:rsidRPr="00BD16B4" w14:paraId="5EEE6680" w14:textId="77777777" w:rsidTr="00B103C6">
        <w:tc>
          <w:tcPr>
            <w:tcW w:w="638" w:type="pct"/>
            <w:vMerge/>
          </w:tcPr>
          <w:p w14:paraId="21473ED4" w14:textId="77777777" w:rsidR="007C259A" w:rsidRPr="00BD16B4" w:rsidRDefault="007C259A" w:rsidP="00F31129">
            <w:pPr>
              <w:pStyle w:val="TableText"/>
              <w:rPr>
                <w:rFonts w:cs="Calibri"/>
                <w:szCs w:val="18"/>
                <w:lang w:val="en-NZ"/>
              </w:rPr>
            </w:pPr>
          </w:p>
        </w:tc>
        <w:tc>
          <w:tcPr>
            <w:tcW w:w="400" w:type="pct"/>
          </w:tcPr>
          <w:p w14:paraId="45420144" w14:textId="77777777" w:rsidR="007C259A" w:rsidRPr="00BD16B4" w:rsidRDefault="007C259A" w:rsidP="00F31129">
            <w:pPr>
              <w:pStyle w:val="TableText"/>
              <w:rPr>
                <w:rFonts w:cs="Calibri"/>
                <w:szCs w:val="18"/>
                <w:lang w:val="en-NZ"/>
              </w:rPr>
            </w:pPr>
            <w:r w:rsidRPr="00BD16B4">
              <w:rPr>
                <w:rFonts w:cs="Calibri"/>
                <w:szCs w:val="18"/>
                <w:lang w:val="en-NZ"/>
              </w:rPr>
              <w:t>WAM</w:t>
            </w:r>
          </w:p>
        </w:tc>
        <w:tc>
          <w:tcPr>
            <w:tcW w:w="419" w:type="pct"/>
          </w:tcPr>
          <w:p w14:paraId="103754AA"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15.75</w:t>
            </w:r>
          </w:p>
        </w:tc>
        <w:tc>
          <w:tcPr>
            <w:tcW w:w="419" w:type="pct"/>
          </w:tcPr>
          <w:p w14:paraId="35B7B1C2"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15.62</w:t>
            </w:r>
          </w:p>
        </w:tc>
        <w:tc>
          <w:tcPr>
            <w:tcW w:w="389" w:type="pct"/>
          </w:tcPr>
          <w:p w14:paraId="632B3B90"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18.37</w:t>
            </w:r>
          </w:p>
        </w:tc>
        <w:tc>
          <w:tcPr>
            <w:tcW w:w="389" w:type="pct"/>
          </w:tcPr>
          <w:p w14:paraId="0C98E639"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21.59</w:t>
            </w:r>
          </w:p>
        </w:tc>
        <w:tc>
          <w:tcPr>
            <w:tcW w:w="389" w:type="pct"/>
          </w:tcPr>
          <w:p w14:paraId="60C4C331"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18.90</w:t>
            </w:r>
          </w:p>
        </w:tc>
        <w:tc>
          <w:tcPr>
            <w:tcW w:w="389" w:type="pct"/>
          </w:tcPr>
          <w:p w14:paraId="77810843"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18.60</w:t>
            </w:r>
          </w:p>
        </w:tc>
        <w:tc>
          <w:tcPr>
            <w:tcW w:w="389" w:type="pct"/>
            <w:gridSpan w:val="2"/>
          </w:tcPr>
          <w:p w14:paraId="2C26EDE6"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18.29</w:t>
            </w:r>
          </w:p>
        </w:tc>
        <w:tc>
          <w:tcPr>
            <w:tcW w:w="388" w:type="pct"/>
            <w:shd w:val="clear" w:color="auto" w:fill="D2DDE1" w:themeFill="background2"/>
          </w:tcPr>
          <w:p w14:paraId="6C815842"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13.59</w:t>
            </w:r>
          </w:p>
        </w:tc>
        <w:tc>
          <w:tcPr>
            <w:tcW w:w="389" w:type="pct"/>
            <w:shd w:val="clear" w:color="auto" w:fill="D2DDE1" w:themeFill="background2"/>
          </w:tcPr>
          <w:p w14:paraId="3923D5A9"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11.34</w:t>
            </w:r>
          </w:p>
        </w:tc>
        <w:tc>
          <w:tcPr>
            <w:tcW w:w="401" w:type="pct"/>
            <w:shd w:val="clear" w:color="auto" w:fill="D2DDE1" w:themeFill="background2"/>
          </w:tcPr>
          <w:p w14:paraId="2EC88DA3"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10.49</w:t>
            </w:r>
          </w:p>
        </w:tc>
      </w:tr>
      <w:tr w:rsidR="007C259A" w:rsidRPr="00BD16B4" w14:paraId="3678D5A6" w14:textId="77777777" w:rsidTr="00B103C6">
        <w:tc>
          <w:tcPr>
            <w:tcW w:w="638" w:type="pct"/>
            <w:vMerge w:val="restart"/>
          </w:tcPr>
          <w:p w14:paraId="7ADF36DB" w14:textId="77777777" w:rsidR="007C259A" w:rsidRPr="00BD16B4" w:rsidRDefault="007C259A" w:rsidP="00F31129">
            <w:pPr>
              <w:pStyle w:val="TableText"/>
              <w:rPr>
                <w:rFonts w:cs="Calibri"/>
                <w:szCs w:val="18"/>
                <w:lang w:val="en-NZ"/>
              </w:rPr>
            </w:pPr>
            <w:r w:rsidRPr="00BD16B4">
              <w:rPr>
                <w:rFonts w:cs="Calibri"/>
                <w:szCs w:val="18"/>
                <w:lang w:val="en-NZ"/>
              </w:rPr>
              <w:t>Transport</w:t>
            </w:r>
          </w:p>
        </w:tc>
        <w:tc>
          <w:tcPr>
            <w:tcW w:w="400" w:type="pct"/>
          </w:tcPr>
          <w:p w14:paraId="60486126" w14:textId="77777777" w:rsidR="007C259A" w:rsidRPr="00BD16B4" w:rsidRDefault="007C259A" w:rsidP="00F31129">
            <w:pPr>
              <w:pStyle w:val="TableText"/>
              <w:rPr>
                <w:rFonts w:cs="Calibri"/>
                <w:szCs w:val="18"/>
                <w:lang w:val="en-NZ"/>
              </w:rPr>
            </w:pPr>
            <w:r w:rsidRPr="00BD16B4">
              <w:rPr>
                <w:rFonts w:cs="Calibri"/>
                <w:szCs w:val="18"/>
                <w:lang w:val="en-NZ"/>
              </w:rPr>
              <w:t xml:space="preserve">WEM </w:t>
            </w:r>
          </w:p>
        </w:tc>
        <w:tc>
          <w:tcPr>
            <w:tcW w:w="419" w:type="pct"/>
          </w:tcPr>
          <w:p w14:paraId="53C3D6BB"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8.13</w:t>
            </w:r>
          </w:p>
        </w:tc>
        <w:tc>
          <w:tcPr>
            <w:tcW w:w="419" w:type="pct"/>
          </w:tcPr>
          <w:p w14:paraId="1B119B4D"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10.25</w:t>
            </w:r>
          </w:p>
        </w:tc>
        <w:tc>
          <w:tcPr>
            <w:tcW w:w="389" w:type="pct"/>
          </w:tcPr>
          <w:p w14:paraId="0D7FAADF"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11.65</w:t>
            </w:r>
          </w:p>
        </w:tc>
        <w:tc>
          <w:tcPr>
            <w:tcW w:w="389" w:type="pct"/>
          </w:tcPr>
          <w:p w14:paraId="75CAF4F1"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13.06</w:t>
            </w:r>
          </w:p>
        </w:tc>
        <w:tc>
          <w:tcPr>
            <w:tcW w:w="389" w:type="pct"/>
          </w:tcPr>
          <w:p w14:paraId="0623A9C8"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13.35</w:t>
            </w:r>
          </w:p>
        </w:tc>
        <w:tc>
          <w:tcPr>
            <w:tcW w:w="389" w:type="pct"/>
          </w:tcPr>
          <w:p w14:paraId="2135043F"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13.81</w:t>
            </w:r>
          </w:p>
        </w:tc>
        <w:tc>
          <w:tcPr>
            <w:tcW w:w="389" w:type="pct"/>
            <w:gridSpan w:val="2"/>
          </w:tcPr>
          <w:p w14:paraId="09F0AD45"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13.18</w:t>
            </w:r>
          </w:p>
        </w:tc>
        <w:tc>
          <w:tcPr>
            <w:tcW w:w="388" w:type="pct"/>
            <w:shd w:val="clear" w:color="auto" w:fill="D2DDE1" w:themeFill="background2"/>
          </w:tcPr>
          <w:p w14:paraId="7133F55F"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15.11</w:t>
            </w:r>
          </w:p>
        </w:tc>
        <w:tc>
          <w:tcPr>
            <w:tcW w:w="389" w:type="pct"/>
            <w:shd w:val="clear" w:color="auto" w:fill="D2DDE1" w:themeFill="background2"/>
          </w:tcPr>
          <w:p w14:paraId="71593E63"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14.80</w:t>
            </w:r>
          </w:p>
        </w:tc>
        <w:tc>
          <w:tcPr>
            <w:tcW w:w="401" w:type="pct"/>
            <w:shd w:val="clear" w:color="auto" w:fill="D2DDE1" w:themeFill="background2"/>
          </w:tcPr>
          <w:p w14:paraId="07BB45FE"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13.75</w:t>
            </w:r>
          </w:p>
        </w:tc>
      </w:tr>
      <w:tr w:rsidR="007C259A" w:rsidRPr="00BD16B4" w14:paraId="2FA5D2A9" w14:textId="77777777" w:rsidTr="00B103C6">
        <w:tc>
          <w:tcPr>
            <w:tcW w:w="638" w:type="pct"/>
            <w:vMerge/>
          </w:tcPr>
          <w:p w14:paraId="54A919DE" w14:textId="77777777" w:rsidR="007C259A" w:rsidRPr="00BD16B4" w:rsidRDefault="007C259A" w:rsidP="00F31129">
            <w:pPr>
              <w:pStyle w:val="TableText"/>
              <w:rPr>
                <w:rFonts w:cs="Calibri"/>
                <w:szCs w:val="18"/>
                <w:lang w:val="en-NZ"/>
              </w:rPr>
            </w:pPr>
          </w:p>
        </w:tc>
        <w:tc>
          <w:tcPr>
            <w:tcW w:w="400" w:type="pct"/>
          </w:tcPr>
          <w:p w14:paraId="76524E4F" w14:textId="77777777" w:rsidR="007C259A" w:rsidRPr="00BD16B4" w:rsidRDefault="007C259A" w:rsidP="00F31129">
            <w:pPr>
              <w:pStyle w:val="TableText"/>
              <w:rPr>
                <w:rFonts w:cs="Calibri"/>
                <w:szCs w:val="18"/>
                <w:lang w:val="en-NZ"/>
              </w:rPr>
            </w:pPr>
            <w:r w:rsidRPr="00BD16B4">
              <w:rPr>
                <w:rFonts w:cs="Calibri"/>
                <w:szCs w:val="18"/>
                <w:lang w:val="en-NZ"/>
              </w:rPr>
              <w:t>WOM</w:t>
            </w:r>
          </w:p>
        </w:tc>
        <w:tc>
          <w:tcPr>
            <w:tcW w:w="419" w:type="pct"/>
          </w:tcPr>
          <w:p w14:paraId="4E9325C8"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8.13</w:t>
            </w:r>
          </w:p>
        </w:tc>
        <w:tc>
          <w:tcPr>
            <w:tcW w:w="419" w:type="pct"/>
          </w:tcPr>
          <w:p w14:paraId="7E1D57DF"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10.25</w:t>
            </w:r>
          </w:p>
        </w:tc>
        <w:tc>
          <w:tcPr>
            <w:tcW w:w="389" w:type="pct"/>
          </w:tcPr>
          <w:p w14:paraId="46C10DA2"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11.65</w:t>
            </w:r>
          </w:p>
        </w:tc>
        <w:tc>
          <w:tcPr>
            <w:tcW w:w="389" w:type="pct"/>
          </w:tcPr>
          <w:p w14:paraId="7734D0FF"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13.06</w:t>
            </w:r>
          </w:p>
        </w:tc>
        <w:tc>
          <w:tcPr>
            <w:tcW w:w="389" w:type="pct"/>
          </w:tcPr>
          <w:p w14:paraId="4042BBFA"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13.35</w:t>
            </w:r>
          </w:p>
        </w:tc>
        <w:tc>
          <w:tcPr>
            <w:tcW w:w="389" w:type="pct"/>
          </w:tcPr>
          <w:p w14:paraId="5B322AAE"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13.81</w:t>
            </w:r>
          </w:p>
        </w:tc>
        <w:tc>
          <w:tcPr>
            <w:tcW w:w="389" w:type="pct"/>
            <w:gridSpan w:val="2"/>
          </w:tcPr>
          <w:p w14:paraId="2E9C2C47"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13.18</w:t>
            </w:r>
          </w:p>
        </w:tc>
        <w:tc>
          <w:tcPr>
            <w:tcW w:w="388" w:type="pct"/>
            <w:shd w:val="clear" w:color="auto" w:fill="D2DDE1" w:themeFill="background2"/>
          </w:tcPr>
          <w:p w14:paraId="385B7C2E"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15.33</w:t>
            </w:r>
          </w:p>
        </w:tc>
        <w:tc>
          <w:tcPr>
            <w:tcW w:w="389" w:type="pct"/>
            <w:shd w:val="clear" w:color="auto" w:fill="D2DDE1" w:themeFill="background2"/>
          </w:tcPr>
          <w:p w14:paraId="28B7C921"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15.23</w:t>
            </w:r>
          </w:p>
        </w:tc>
        <w:tc>
          <w:tcPr>
            <w:tcW w:w="401" w:type="pct"/>
            <w:shd w:val="clear" w:color="auto" w:fill="D2DDE1" w:themeFill="background2"/>
          </w:tcPr>
          <w:p w14:paraId="2DABB75A"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14.41</w:t>
            </w:r>
          </w:p>
        </w:tc>
      </w:tr>
      <w:tr w:rsidR="007C259A" w:rsidRPr="00BD16B4" w14:paraId="6B606C14" w14:textId="77777777" w:rsidTr="00B103C6">
        <w:tc>
          <w:tcPr>
            <w:tcW w:w="638" w:type="pct"/>
            <w:vMerge/>
          </w:tcPr>
          <w:p w14:paraId="078F6481" w14:textId="77777777" w:rsidR="007C259A" w:rsidRPr="00BD16B4" w:rsidRDefault="007C259A" w:rsidP="00F31129">
            <w:pPr>
              <w:pStyle w:val="TableText"/>
              <w:rPr>
                <w:rFonts w:cs="Calibri"/>
                <w:szCs w:val="18"/>
                <w:lang w:val="en-NZ"/>
              </w:rPr>
            </w:pPr>
          </w:p>
        </w:tc>
        <w:tc>
          <w:tcPr>
            <w:tcW w:w="400" w:type="pct"/>
          </w:tcPr>
          <w:p w14:paraId="230F6ACD" w14:textId="77777777" w:rsidR="007C259A" w:rsidRPr="00BD16B4" w:rsidRDefault="007C259A" w:rsidP="00F31129">
            <w:pPr>
              <w:pStyle w:val="TableText"/>
              <w:rPr>
                <w:rFonts w:cs="Calibri"/>
                <w:szCs w:val="18"/>
                <w:lang w:val="en-NZ"/>
              </w:rPr>
            </w:pPr>
            <w:r w:rsidRPr="00BD16B4">
              <w:rPr>
                <w:rFonts w:cs="Calibri"/>
                <w:szCs w:val="18"/>
                <w:lang w:val="en-NZ"/>
              </w:rPr>
              <w:t>WAM</w:t>
            </w:r>
          </w:p>
        </w:tc>
        <w:tc>
          <w:tcPr>
            <w:tcW w:w="419" w:type="pct"/>
          </w:tcPr>
          <w:p w14:paraId="21810E52"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8.13</w:t>
            </w:r>
          </w:p>
        </w:tc>
        <w:tc>
          <w:tcPr>
            <w:tcW w:w="419" w:type="pct"/>
          </w:tcPr>
          <w:p w14:paraId="6F0F1D14"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10.25</w:t>
            </w:r>
          </w:p>
        </w:tc>
        <w:tc>
          <w:tcPr>
            <w:tcW w:w="389" w:type="pct"/>
          </w:tcPr>
          <w:p w14:paraId="31DB786F"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11.65</w:t>
            </w:r>
          </w:p>
        </w:tc>
        <w:tc>
          <w:tcPr>
            <w:tcW w:w="389" w:type="pct"/>
          </w:tcPr>
          <w:p w14:paraId="4BA81104"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13.06</w:t>
            </w:r>
          </w:p>
        </w:tc>
        <w:tc>
          <w:tcPr>
            <w:tcW w:w="389" w:type="pct"/>
          </w:tcPr>
          <w:p w14:paraId="09A1A65D"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13.35</w:t>
            </w:r>
          </w:p>
        </w:tc>
        <w:tc>
          <w:tcPr>
            <w:tcW w:w="389" w:type="pct"/>
          </w:tcPr>
          <w:p w14:paraId="19780472"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13.81</w:t>
            </w:r>
          </w:p>
        </w:tc>
        <w:tc>
          <w:tcPr>
            <w:tcW w:w="389" w:type="pct"/>
            <w:gridSpan w:val="2"/>
          </w:tcPr>
          <w:p w14:paraId="2C4F47E8"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13.18</w:t>
            </w:r>
          </w:p>
        </w:tc>
        <w:tc>
          <w:tcPr>
            <w:tcW w:w="388" w:type="pct"/>
            <w:shd w:val="clear" w:color="auto" w:fill="D2DDE1" w:themeFill="background2"/>
          </w:tcPr>
          <w:p w14:paraId="7886557C"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15.11</w:t>
            </w:r>
          </w:p>
        </w:tc>
        <w:tc>
          <w:tcPr>
            <w:tcW w:w="389" w:type="pct"/>
            <w:shd w:val="clear" w:color="auto" w:fill="D2DDE1" w:themeFill="background2"/>
          </w:tcPr>
          <w:p w14:paraId="548A7DD1"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14.80</w:t>
            </w:r>
          </w:p>
        </w:tc>
        <w:tc>
          <w:tcPr>
            <w:tcW w:w="401" w:type="pct"/>
            <w:shd w:val="clear" w:color="auto" w:fill="D2DDE1" w:themeFill="background2"/>
          </w:tcPr>
          <w:p w14:paraId="600999DC"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13.75</w:t>
            </w:r>
          </w:p>
        </w:tc>
      </w:tr>
      <w:tr w:rsidR="007C259A" w:rsidRPr="00BD16B4" w14:paraId="66C159F9" w14:textId="77777777" w:rsidTr="00B103C6">
        <w:tc>
          <w:tcPr>
            <w:tcW w:w="638" w:type="pct"/>
            <w:vMerge w:val="restart"/>
          </w:tcPr>
          <w:p w14:paraId="6D1F2F54" w14:textId="77777777" w:rsidR="007C259A" w:rsidRPr="00BD16B4" w:rsidRDefault="007C259A" w:rsidP="00F31129">
            <w:pPr>
              <w:pStyle w:val="TableText"/>
              <w:rPr>
                <w:rFonts w:cs="Calibri"/>
                <w:szCs w:val="18"/>
                <w:lang w:val="en-NZ"/>
              </w:rPr>
            </w:pPr>
            <w:r w:rsidRPr="00BD16B4">
              <w:rPr>
                <w:rFonts w:cs="Calibri"/>
                <w:szCs w:val="18"/>
                <w:lang w:val="en-NZ"/>
              </w:rPr>
              <w:t>IPPU</w:t>
            </w:r>
          </w:p>
        </w:tc>
        <w:tc>
          <w:tcPr>
            <w:tcW w:w="400" w:type="pct"/>
          </w:tcPr>
          <w:p w14:paraId="6067914A" w14:textId="77777777" w:rsidR="007C259A" w:rsidRPr="00BD16B4" w:rsidRDefault="007C259A" w:rsidP="00F31129">
            <w:pPr>
              <w:pStyle w:val="TableText"/>
              <w:rPr>
                <w:rFonts w:cs="Calibri"/>
                <w:szCs w:val="18"/>
                <w:lang w:val="en-NZ"/>
              </w:rPr>
            </w:pPr>
            <w:r w:rsidRPr="00BD16B4">
              <w:rPr>
                <w:rFonts w:cs="Calibri"/>
                <w:szCs w:val="18"/>
                <w:lang w:val="en-NZ"/>
              </w:rPr>
              <w:t xml:space="preserve">WEM </w:t>
            </w:r>
          </w:p>
        </w:tc>
        <w:tc>
          <w:tcPr>
            <w:tcW w:w="419" w:type="pct"/>
          </w:tcPr>
          <w:p w14:paraId="003DB3C1"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3.58</w:t>
            </w:r>
          </w:p>
        </w:tc>
        <w:tc>
          <w:tcPr>
            <w:tcW w:w="419" w:type="pct"/>
          </w:tcPr>
          <w:p w14:paraId="5A25ADDB"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3.17</w:t>
            </w:r>
          </w:p>
        </w:tc>
        <w:tc>
          <w:tcPr>
            <w:tcW w:w="389" w:type="pct"/>
          </w:tcPr>
          <w:p w14:paraId="728B93FB"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3.44</w:t>
            </w:r>
          </w:p>
        </w:tc>
        <w:tc>
          <w:tcPr>
            <w:tcW w:w="389" w:type="pct"/>
          </w:tcPr>
          <w:p w14:paraId="6FB90236"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4.06</w:t>
            </w:r>
          </w:p>
        </w:tc>
        <w:tc>
          <w:tcPr>
            <w:tcW w:w="389" w:type="pct"/>
          </w:tcPr>
          <w:p w14:paraId="2796BF8A"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4.59</w:t>
            </w:r>
          </w:p>
        </w:tc>
        <w:tc>
          <w:tcPr>
            <w:tcW w:w="389" w:type="pct"/>
          </w:tcPr>
          <w:p w14:paraId="5D3ED697"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5.14</w:t>
            </w:r>
          </w:p>
        </w:tc>
        <w:tc>
          <w:tcPr>
            <w:tcW w:w="389" w:type="pct"/>
            <w:gridSpan w:val="2"/>
          </w:tcPr>
          <w:p w14:paraId="4EBB474E"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4.62</w:t>
            </w:r>
          </w:p>
        </w:tc>
        <w:tc>
          <w:tcPr>
            <w:tcW w:w="388" w:type="pct"/>
            <w:shd w:val="clear" w:color="auto" w:fill="D2DDE1" w:themeFill="background2"/>
          </w:tcPr>
          <w:p w14:paraId="01AB5D1F"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4.02</w:t>
            </w:r>
          </w:p>
        </w:tc>
        <w:tc>
          <w:tcPr>
            <w:tcW w:w="389" w:type="pct"/>
            <w:shd w:val="clear" w:color="auto" w:fill="D2DDE1" w:themeFill="background2"/>
          </w:tcPr>
          <w:p w14:paraId="26202350"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3.91</w:t>
            </w:r>
          </w:p>
        </w:tc>
        <w:tc>
          <w:tcPr>
            <w:tcW w:w="401" w:type="pct"/>
            <w:shd w:val="clear" w:color="auto" w:fill="D2DDE1" w:themeFill="background2"/>
          </w:tcPr>
          <w:p w14:paraId="39F77E9F"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3.72</w:t>
            </w:r>
          </w:p>
        </w:tc>
      </w:tr>
      <w:tr w:rsidR="007C259A" w:rsidRPr="00BD16B4" w14:paraId="4CDFE589" w14:textId="77777777" w:rsidTr="00B103C6">
        <w:tc>
          <w:tcPr>
            <w:tcW w:w="638" w:type="pct"/>
            <w:vMerge/>
          </w:tcPr>
          <w:p w14:paraId="22A598D9" w14:textId="77777777" w:rsidR="007C259A" w:rsidRPr="00BD16B4" w:rsidRDefault="007C259A" w:rsidP="00F31129">
            <w:pPr>
              <w:pStyle w:val="TableText"/>
              <w:rPr>
                <w:rFonts w:cs="Calibri"/>
                <w:szCs w:val="18"/>
                <w:lang w:val="en-NZ"/>
              </w:rPr>
            </w:pPr>
          </w:p>
        </w:tc>
        <w:tc>
          <w:tcPr>
            <w:tcW w:w="400" w:type="pct"/>
          </w:tcPr>
          <w:p w14:paraId="45E58C2E" w14:textId="77777777" w:rsidR="007C259A" w:rsidRPr="00BD16B4" w:rsidRDefault="007C259A" w:rsidP="00F31129">
            <w:pPr>
              <w:pStyle w:val="TableText"/>
              <w:rPr>
                <w:rFonts w:cs="Calibri"/>
                <w:szCs w:val="18"/>
                <w:lang w:val="en-NZ"/>
              </w:rPr>
            </w:pPr>
            <w:r w:rsidRPr="00BD16B4">
              <w:rPr>
                <w:rFonts w:cs="Calibri"/>
                <w:szCs w:val="18"/>
                <w:lang w:val="en-NZ"/>
              </w:rPr>
              <w:t>WOM</w:t>
            </w:r>
          </w:p>
        </w:tc>
        <w:tc>
          <w:tcPr>
            <w:tcW w:w="419" w:type="pct"/>
          </w:tcPr>
          <w:p w14:paraId="123FA844"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3.58</w:t>
            </w:r>
          </w:p>
        </w:tc>
        <w:tc>
          <w:tcPr>
            <w:tcW w:w="419" w:type="pct"/>
          </w:tcPr>
          <w:p w14:paraId="2F26ED3B"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3.18</w:t>
            </w:r>
          </w:p>
        </w:tc>
        <w:tc>
          <w:tcPr>
            <w:tcW w:w="389" w:type="pct"/>
          </w:tcPr>
          <w:p w14:paraId="0367B094"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3.45</w:t>
            </w:r>
          </w:p>
        </w:tc>
        <w:tc>
          <w:tcPr>
            <w:tcW w:w="389" w:type="pct"/>
          </w:tcPr>
          <w:p w14:paraId="3BEDBD76"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4.04</w:t>
            </w:r>
          </w:p>
        </w:tc>
        <w:tc>
          <w:tcPr>
            <w:tcW w:w="389" w:type="pct"/>
          </w:tcPr>
          <w:p w14:paraId="2A8A2B57"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4.56</w:t>
            </w:r>
          </w:p>
        </w:tc>
        <w:tc>
          <w:tcPr>
            <w:tcW w:w="389" w:type="pct"/>
          </w:tcPr>
          <w:p w14:paraId="11AD696C"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5.13</w:t>
            </w:r>
          </w:p>
        </w:tc>
        <w:tc>
          <w:tcPr>
            <w:tcW w:w="389" w:type="pct"/>
            <w:gridSpan w:val="2"/>
          </w:tcPr>
          <w:p w14:paraId="44B20C48"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4.61</w:t>
            </w:r>
          </w:p>
        </w:tc>
        <w:tc>
          <w:tcPr>
            <w:tcW w:w="388" w:type="pct"/>
            <w:shd w:val="clear" w:color="auto" w:fill="D2DDE1" w:themeFill="background2"/>
          </w:tcPr>
          <w:p w14:paraId="7D8DFAE6"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4.25</w:t>
            </w:r>
          </w:p>
        </w:tc>
        <w:tc>
          <w:tcPr>
            <w:tcW w:w="389" w:type="pct"/>
            <w:shd w:val="clear" w:color="auto" w:fill="D2DDE1" w:themeFill="background2"/>
          </w:tcPr>
          <w:p w14:paraId="4ADF341A"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4.22</w:t>
            </w:r>
          </w:p>
        </w:tc>
        <w:tc>
          <w:tcPr>
            <w:tcW w:w="401" w:type="pct"/>
            <w:shd w:val="clear" w:color="auto" w:fill="D2DDE1" w:themeFill="background2"/>
          </w:tcPr>
          <w:p w14:paraId="6FDEAEAC"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4.10</w:t>
            </w:r>
          </w:p>
        </w:tc>
      </w:tr>
      <w:tr w:rsidR="007C259A" w:rsidRPr="00BD16B4" w14:paraId="38EBE087" w14:textId="77777777" w:rsidTr="00B103C6">
        <w:tc>
          <w:tcPr>
            <w:tcW w:w="638" w:type="pct"/>
            <w:vMerge/>
          </w:tcPr>
          <w:p w14:paraId="447585B9" w14:textId="77777777" w:rsidR="007C259A" w:rsidRPr="00BD16B4" w:rsidRDefault="007C259A" w:rsidP="00F31129">
            <w:pPr>
              <w:pStyle w:val="TableText"/>
              <w:rPr>
                <w:rFonts w:cs="Calibri"/>
                <w:szCs w:val="18"/>
                <w:lang w:val="en-NZ"/>
              </w:rPr>
            </w:pPr>
          </w:p>
        </w:tc>
        <w:tc>
          <w:tcPr>
            <w:tcW w:w="400" w:type="pct"/>
          </w:tcPr>
          <w:p w14:paraId="6B97D296" w14:textId="77777777" w:rsidR="007C259A" w:rsidRPr="00BD16B4" w:rsidRDefault="007C259A" w:rsidP="00F31129">
            <w:pPr>
              <w:pStyle w:val="TableText"/>
              <w:rPr>
                <w:rFonts w:cs="Calibri"/>
                <w:szCs w:val="18"/>
                <w:lang w:val="en-NZ"/>
              </w:rPr>
            </w:pPr>
            <w:r w:rsidRPr="00BD16B4">
              <w:rPr>
                <w:rFonts w:cs="Calibri"/>
                <w:szCs w:val="18"/>
                <w:lang w:val="en-NZ"/>
              </w:rPr>
              <w:t>WAM</w:t>
            </w:r>
          </w:p>
        </w:tc>
        <w:tc>
          <w:tcPr>
            <w:tcW w:w="419" w:type="pct"/>
          </w:tcPr>
          <w:p w14:paraId="3A76B02A"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3.58</w:t>
            </w:r>
          </w:p>
        </w:tc>
        <w:tc>
          <w:tcPr>
            <w:tcW w:w="419" w:type="pct"/>
          </w:tcPr>
          <w:p w14:paraId="765115D8"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3.17</w:t>
            </w:r>
          </w:p>
        </w:tc>
        <w:tc>
          <w:tcPr>
            <w:tcW w:w="389" w:type="pct"/>
          </w:tcPr>
          <w:p w14:paraId="1FBFF077"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3.44</w:t>
            </w:r>
          </w:p>
        </w:tc>
        <w:tc>
          <w:tcPr>
            <w:tcW w:w="389" w:type="pct"/>
          </w:tcPr>
          <w:p w14:paraId="2178B569"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4.06</w:t>
            </w:r>
          </w:p>
        </w:tc>
        <w:tc>
          <w:tcPr>
            <w:tcW w:w="389" w:type="pct"/>
          </w:tcPr>
          <w:p w14:paraId="2ED44F1E"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4.59</w:t>
            </w:r>
          </w:p>
        </w:tc>
        <w:tc>
          <w:tcPr>
            <w:tcW w:w="389" w:type="pct"/>
          </w:tcPr>
          <w:p w14:paraId="21EC00CD"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5.14</w:t>
            </w:r>
          </w:p>
        </w:tc>
        <w:tc>
          <w:tcPr>
            <w:tcW w:w="389" w:type="pct"/>
            <w:gridSpan w:val="2"/>
          </w:tcPr>
          <w:p w14:paraId="75E77636"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4.62</w:t>
            </w:r>
          </w:p>
        </w:tc>
        <w:tc>
          <w:tcPr>
            <w:tcW w:w="388" w:type="pct"/>
            <w:shd w:val="clear" w:color="auto" w:fill="D2DDE1" w:themeFill="background2"/>
          </w:tcPr>
          <w:p w14:paraId="4BAEE93B"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3.94</w:t>
            </w:r>
          </w:p>
        </w:tc>
        <w:tc>
          <w:tcPr>
            <w:tcW w:w="389" w:type="pct"/>
            <w:shd w:val="clear" w:color="auto" w:fill="D2DDE1" w:themeFill="background2"/>
          </w:tcPr>
          <w:p w14:paraId="103660C4"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3.81</w:t>
            </w:r>
          </w:p>
        </w:tc>
        <w:tc>
          <w:tcPr>
            <w:tcW w:w="401" w:type="pct"/>
            <w:shd w:val="clear" w:color="auto" w:fill="D2DDE1" w:themeFill="background2"/>
          </w:tcPr>
          <w:p w14:paraId="112AFB00"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3.48</w:t>
            </w:r>
          </w:p>
        </w:tc>
      </w:tr>
      <w:tr w:rsidR="007C259A" w:rsidRPr="00BD16B4" w14:paraId="0A665D6E" w14:textId="77777777" w:rsidTr="00B103C6">
        <w:tc>
          <w:tcPr>
            <w:tcW w:w="638" w:type="pct"/>
            <w:vMerge w:val="restart"/>
          </w:tcPr>
          <w:p w14:paraId="4C11775B" w14:textId="77777777" w:rsidR="007C259A" w:rsidRPr="00BD16B4" w:rsidRDefault="007C259A" w:rsidP="00F31129">
            <w:pPr>
              <w:pStyle w:val="TableText"/>
              <w:rPr>
                <w:rFonts w:cs="Calibri"/>
                <w:szCs w:val="18"/>
                <w:lang w:val="en-NZ"/>
              </w:rPr>
            </w:pPr>
            <w:r w:rsidRPr="00BD16B4">
              <w:rPr>
                <w:rFonts w:cs="Calibri"/>
                <w:szCs w:val="18"/>
                <w:lang w:val="en-NZ"/>
              </w:rPr>
              <w:t>Agriculture</w:t>
            </w:r>
          </w:p>
        </w:tc>
        <w:tc>
          <w:tcPr>
            <w:tcW w:w="400" w:type="pct"/>
          </w:tcPr>
          <w:p w14:paraId="551CAF81" w14:textId="77777777" w:rsidR="007C259A" w:rsidRPr="00BD16B4" w:rsidRDefault="007C259A" w:rsidP="00F31129">
            <w:pPr>
              <w:pStyle w:val="TableText"/>
              <w:rPr>
                <w:rFonts w:cs="Calibri"/>
                <w:szCs w:val="18"/>
                <w:lang w:val="en-NZ"/>
              </w:rPr>
            </w:pPr>
            <w:r w:rsidRPr="00BD16B4">
              <w:rPr>
                <w:rFonts w:cs="Calibri"/>
                <w:szCs w:val="18"/>
                <w:lang w:val="en-NZ"/>
              </w:rPr>
              <w:t xml:space="preserve">WEM </w:t>
            </w:r>
          </w:p>
        </w:tc>
        <w:tc>
          <w:tcPr>
            <w:tcW w:w="419" w:type="pct"/>
          </w:tcPr>
          <w:p w14:paraId="4885D2B6"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33.79</w:t>
            </w:r>
          </w:p>
        </w:tc>
        <w:tc>
          <w:tcPr>
            <w:tcW w:w="419" w:type="pct"/>
          </w:tcPr>
          <w:p w14:paraId="50F16AB4"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35.73</w:t>
            </w:r>
          </w:p>
        </w:tc>
        <w:tc>
          <w:tcPr>
            <w:tcW w:w="389" w:type="pct"/>
          </w:tcPr>
          <w:p w14:paraId="58976C62"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37.61</w:t>
            </w:r>
          </w:p>
        </w:tc>
        <w:tc>
          <w:tcPr>
            <w:tcW w:w="389" w:type="pct"/>
          </w:tcPr>
          <w:p w14:paraId="4425C225"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39.57</w:t>
            </w:r>
          </w:p>
        </w:tc>
        <w:tc>
          <w:tcPr>
            <w:tcW w:w="389" w:type="pct"/>
          </w:tcPr>
          <w:p w14:paraId="7795D769"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37.71</w:t>
            </w:r>
          </w:p>
        </w:tc>
        <w:tc>
          <w:tcPr>
            <w:tcW w:w="389" w:type="pct"/>
          </w:tcPr>
          <w:p w14:paraId="4A75CC68"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39.42</w:t>
            </w:r>
          </w:p>
        </w:tc>
        <w:tc>
          <w:tcPr>
            <w:tcW w:w="389" w:type="pct"/>
            <w:gridSpan w:val="2"/>
          </w:tcPr>
          <w:p w14:paraId="242F95F6"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39.43</w:t>
            </w:r>
          </w:p>
        </w:tc>
        <w:tc>
          <w:tcPr>
            <w:tcW w:w="388" w:type="pct"/>
            <w:shd w:val="clear" w:color="auto" w:fill="D2DDE1" w:themeFill="background2"/>
          </w:tcPr>
          <w:p w14:paraId="5098D296"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37.43</w:t>
            </w:r>
          </w:p>
        </w:tc>
        <w:tc>
          <w:tcPr>
            <w:tcW w:w="389" w:type="pct"/>
            <w:shd w:val="clear" w:color="auto" w:fill="D2DDE1" w:themeFill="background2"/>
          </w:tcPr>
          <w:p w14:paraId="11D3A4A1"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36.30</w:t>
            </w:r>
          </w:p>
        </w:tc>
        <w:tc>
          <w:tcPr>
            <w:tcW w:w="401" w:type="pct"/>
            <w:shd w:val="clear" w:color="auto" w:fill="D2DDE1" w:themeFill="background2"/>
          </w:tcPr>
          <w:p w14:paraId="7F5F69AF"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35.33</w:t>
            </w:r>
          </w:p>
        </w:tc>
      </w:tr>
      <w:tr w:rsidR="007C259A" w:rsidRPr="00BD16B4" w14:paraId="60F5489D" w14:textId="77777777" w:rsidTr="00B103C6">
        <w:tc>
          <w:tcPr>
            <w:tcW w:w="638" w:type="pct"/>
            <w:vMerge/>
          </w:tcPr>
          <w:p w14:paraId="141B0C5F" w14:textId="77777777" w:rsidR="007C259A" w:rsidRPr="00BD16B4" w:rsidRDefault="007C259A" w:rsidP="00F31129">
            <w:pPr>
              <w:pStyle w:val="TableText"/>
              <w:rPr>
                <w:rFonts w:cs="Calibri"/>
                <w:szCs w:val="18"/>
                <w:lang w:val="en-NZ"/>
              </w:rPr>
            </w:pPr>
          </w:p>
        </w:tc>
        <w:tc>
          <w:tcPr>
            <w:tcW w:w="400" w:type="pct"/>
          </w:tcPr>
          <w:p w14:paraId="6CB64FF5" w14:textId="77777777" w:rsidR="007C259A" w:rsidRPr="00BD16B4" w:rsidRDefault="007C259A" w:rsidP="00F31129">
            <w:pPr>
              <w:pStyle w:val="TableText"/>
              <w:rPr>
                <w:rFonts w:cs="Calibri"/>
                <w:szCs w:val="18"/>
                <w:lang w:val="en-NZ"/>
              </w:rPr>
            </w:pPr>
            <w:r w:rsidRPr="00BD16B4">
              <w:rPr>
                <w:rFonts w:cs="Calibri"/>
                <w:szCs w:val="18"/>
                <w:lang w:val="en-NZ"/>
              </w:rPr>
              <w:t>WOM</w:t>
            </w:r>
          </w:p>
        </w:tc>
        <w:tc>
          <w:tcPr>
            <w:tcW w:w="419" w:type="pct"/>
          </w:tcPr>
          <w:p w14:paraId="292653BB"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33.79</w:t>
            </w:r>
          </w:p>
        </w:tc>
        <w:tc>
          <w:tcPr>
            <w:tcW w:w="419" w:type="pct"/>
          </w:tcPr>
          <w:p w14:paraId="3E66EBCD"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35.73</w:t>
            </w:r>
          </w:p>
        </w:tc>
        <w:tc>
          <w:tcPr>
            <w:tcW w:w="389" w:type="pct"/>
          </w:tcPr>
          <w:p w14:paraId="0D70DA2A"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37.61</w:t>
            </w:r>
          </w:p>
        </w:tc>
        <w:tc>
          <w:tcPr>
            <w:tcW w:w="389" w:type="pct"/>
          </w:tcPr>
          <w:p w14:paraId="3D6E23B2"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39.57</w:t>
            </w:r>
          </w:p>
        </w:tc>
        <w:tc>
          <w:tcPr>
            <w:tcW w:w="389" w:type="pct"/>
          </w:tcPr>
          <w:p w14:paraId="455C4479"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37.71</w:t>
            </w:r>
          </w:p>
        </w:tc>
        <w:tc>
          <w:tcPr>
            <w:tcW w:w="389" w:type="pct"/>
          </w:tcPr>
          <w:p w14:paraId="7FBBA381"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39.56</w:t>
            </w:r>
          </w:p>
        </w:tc>
        <w:tc>
          <w:tcPr>
            <w:tcW w:w="389" w:type="pct"/>
            <w:gridSpan w:val="2"/>
          </w:tcPr>
          <w:p w14:paraId="5C7C8BFD"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39.82</w:t>
            </w:r>
          </w:p>
        </w:tc>
        <w:tc>
          <w:tcPr>
            <w:tcW w:w="388" w:type="pct"/>
            <w:shd w:val="clear" w:color="auto" w:fill="D2DDE1" w:themeFill="background2"/>
          </w:tcPr>
          <w:p w14:paraId="31135A21"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38.23</w:t>
            </w:r>
          </w:p>
        </w:tc>
        <w:tc>
          <w:tcPr>
            <w:tcW w:w="389" w:type="pct"/>
            <w:shd w:val="clear" w:color="auto" w:fill="D2DDE1" w:themeFill="background2"/>
          </w:tcPr>
          <w:p w14:paraId="4E756912"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38.35</w:t>
            </w:r>
          </w:p>
        </w:tc>
        <w:tc>
          <w:tcPr>
            <w:tcW w:w="401" w:type="pct"/>
            <w:shd w:val="clear" w:color="auto" w:fill="D2DDE1" w:themeFill="background2"/>
          </w:tcPr>
          <w:p w14:paraId="094CC384"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38.60</w:t>
            </w:r>
          </w:p>
        </w:tc>
      </w:tr>
      <w:tr w:rsidR="007C259A" w:rsidRPr="00BD16B4" w14:paraId="5061C640" w14:textId="77777777" w:rsidTr="00B103C6">
        <w:tc>
          <w:tcPr>
            <w:tcW w:w="638" w:type="pct"/>
            <w:vMerge/>
          </w:tcPr>
          <w:p w14:paraId="3CEF8893" w14:textId="77777777" w:rsidR="007C259A" w:rsidRPr="00BD16B4" w:rsidRDefault="007C259A" w:rsidP="00F31129">
            <w:pPr>
              <w:pStyle w:val="TableText"/>
              <w:rPr>
                <w:rFonts w:cs="Calibri"/>
                <w:szCs w:val="18"/>
                <w:lang w:val="en-NZ"/>
              </w:rPr>
            </w:pPr>
          </w:p>
        </w:tc>
        <w:tc>
          <w:tcPr>
            <w:tcW w:w="400" w:type="pct"/>
          </w:tcPr>
          <w:p w14:paraId="4C574B90" w14:textId="77777777" w:rsidR="007C259A" w:rsidRPr="00BD16B4" w:rsidRDefault="007C259A" w:rsidP="00F31129">
            <w:pPr>
              <w:pStyle w:val="TableText"/>
              <w:rPr>
                <w:rFonts w:cs="Calibri"/>
                <w:szCs w:val="18"/>
                <w:lang w:val="en-NZ"/>
              </w:rPr>
            </w:pPr>
            <w:r w:rsidRPr="00BD16B4">
              <w:rPr>
                <w:rFonts w:cs="Calibri"/>
                <w:szCs w:val="18"/>
                <w:lang w:val="en-NZ"/>
              </w:rPr>
              <w:t>WAM</w:t>
            </w:r>
          </w:p>
        </w:tc>
        <w:tc>
          <w:tcPr>
            <w:tcW w:w="419" w:type="pct"/>
          </w:tcPr>
          <w:p w14:paraId="4BFABD30"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33.79</w:t>
            </w:r>
          </w:p>
        </w:tc>
        <w:tc>
          <w:tcPr>
            <w:tcW w:w="419" w:type="pct"/>
          </w:tcPr>
          <w:p w14:paraId="6D38A729"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35.73</w:t>
            </w:r>
          </w:p>
        </w:tc>
        <w:tc>
          <w:tcPr>
            <w:tcW w:w="389" w:type="pct"/>
          </w:tcPr>
          <w:p w14:paraId="3171D019"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37.61</w:t>
            </w:r>
          </w:p>
        </w:tc>
        <w:tc>
          <w:tcPr>
            <w:tcW w:w="389" w:type="pct"/>
          </w:tcPr>
          <w:p w14:paraId="764920D3"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39.57</w:t>
            </w:r>
          </w:p>
        </w:tc>
        <w:tc>
          <w:tcPr>
            <w:tcW w:w="389" w:type="pct"/>
          </w:tcPr>
          <w:p w14:paraId="6E7D455F"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37.71</w:t>
            </w:r>
          </w:p>
        </w:tc>
        <w:tc>
          <w:tcPr>
            <w:tcW w:w="389" w:type="pct"/>
          </w:tcPr>
          <w:p w14:paraId="56DB3E21"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39.42</w:t>
            </w:r>
          </w:p>
        </w:tc>
        <w:tc>
          <w:tcPr>
            <w:tcW w:w="389" w:type="pct"/>
            <w:gridSpan w:val="2"/>
          </w:tcPr>
          <w:p w14:paraId="33EB5221"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39.43</w:t>
            </w:r>
          </w:p>
        </w:tc>
        <w:tc>
          <w:tcPr>
            <w:tcW w:w="388" w:type="pct"/>
            <w:shd w:val="clear" w:color="auto" w:fill="D2DDE1" w:themeFill="background2"/>
          </w:tcPr>
          <w:p w14:paraId="65BA832B"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37.39</w:t>
            </w:r>
          </w:p>
        </w:tc>
        <w:tc>
          <w:tcPr>
            <w:tcW w:w="389" w:type="pct"/>
            <w:shd w:val="clear" w:color="auto" w:fill="D2DDE1" w:themeFill="background2"/>
          </w:tcPr>
          <w:p w14:paraId="3F46F7E4"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36.17</w:t>
            </w:r>
          </w:p>
        </w:tc>
        <w:tc>
          <w:tcPr>
            <w:tcW w:w="401" w:type="pct"/>
            <w:shd w:val="clear" w:color="auto" w:fill="D2DDE1" w:themeFill="background2"/>
          </w:tcPr>
          <w:p w14:paraId="20A0B58E"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35.11</w:t>
            </w:r>
          </w:p>
        </w:tc>
      </w:tr>
      <w:tr w:rsidR="007C259A" w:rsidRPr="00BD16B4" w14:paraId="4F88240E" w14:textId="77777777" w:rsidTr="00B103C6">
        <w:tc>
          <w:tcPr>
            <w:tcW w:w="638" w:type="pct"/>
            <w:vMerge w:val="restart"/>
          </w:tcPr>
          <w:p w14:paraId="51FF71E5" w14:textId="77777777" w:rsidR="007C259A" w:rsidRPr="00BD16B4" w:rsidRDefault="007C259A" w:rsidP="00F31129">
            <w:pPr>
              <w:pStyle w:val="TableText"/>
              <w:rPr>
                <w:rFonts w:cs="Calibri"/>
                <w:szCs w:val="18"/>
                <w:lang w:val="en-NZ"/>
              </w:rPr>
            </w:pPr>
            <w:r w:rsidRPr="00BD16B4">
              <w:rPr>
                <w:rFonts w:cs="Calibri"/>
                <w:szCs w:val="18"/>
                <w:lang w:val="en-NZ"/>
              </w:rPr>
              <w:t>Waste</w:t>
            </w:r>
          </w:p>
        </w:tc>
        <w:tc>
          <w:tcPr>
            <w:tcW w:w="400" w:type="pct"/>
          </w:tcPr>
          <w:p w14:paraId="4FC14691" w14:textId="77777777" w:rsidR="007C259A" w:rsidRPr="00BD16B4" w:rsidRDefault="007C259A" w:rsidP="00F31129">
            <w:pPr>
              <w:pStyle w:val="TableText"/>
              <w:rPr>
                <w:rFonts w:cs="Calibri"/>
                <w:szCs w:val="18"/>
                <w:lang w:val="en-NZ"/>
              </w:rPr>
            </w:pPr>
            <w:r w:rsidRPr="00BD16B4">
              <w:rPr>
                <w:rFonts w:cs="Calibri"/>
                <w:szCs w:val="18"/>
                <w:lang w:val="en-NZ"/>
              </w:rPr>
              <w:t xml:space="preserve">WEM </w:t>
            </w:r>
          </w:p>
        </w:tc>
        <w:tc>
          <w:tcPr>
            <w:tcW w:w="419" w:type="pct"/>
          </w:tcPr>
          <w:p w14:paraId="44BD037D" w14:textId="77777777" w:rsidR="007C259A" w:rsidRPr="00BD16B4" w:rsidRDefault="007C259A" w:rsidP="00F31129">
            <w:pPr>
              <w:pStyle w:val="TableText"/>
              <w:jc w:val="center"/>
              <w:rPr>
                <w:rFonts w:cs="Calibri"/>
                <w:szCs w:val="18"/>
                <w:lang w:val="en-NZ"/>
              </w:rPr>
            </w:pPr>
            <w:r w:rsidRPr="00BD16B4">
              <w:rPr>
                <w:rFonts w:cs="Calibri"/>
                <w:szCs w:val="18"/>
                <w:lang w:val="en-NZ"/>
              </w:rPr>
              <w:t>3.94</w:t>
            </w:r>
          </w:p>
        </w:tc>
        <w:tc>
          <w:tcPr>
            <w:tcW w:w="419" w:type="pct"/>
          </w:tcPr>
          <w:p w14:paraId="223BB1F2" w14:textId="77777777" w:rsidR="007C259A" w:rsidRPr="00BD16B4" w:rsidRDefault="007C259A" w:rsidP="00F31129">
            <w:pPr>
              <w:pStyle w:val="TableText"/>
              <w:jc w:val="center"/>
              <w:rPr>
                <w:rFonts w:cs="Calibri"/>
                <w:szCs w:val="18"/>
                <w:lang w:val="en-NZ"/>
              </w:rPr>
            </w:pPr>
            <w:r w:rsidRPr="00BD16B4">
              <w:rPr>
                <w:rFonts w:cs="Calibri"/>
                <w:szCs w:val="18"/>
                <w:lang w:val="en-NZ"/>
              </w:rPr>
              <w:t>4.23</w:t>
            </w:r>
          </w:p>
        </w:tc>
        <w:tc>
          <w:tcPr>
            <w:tcW w:w="389" w:type="pct"/>
          </w:tcPr>
          <w:p w14:paraId="67265B17"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4.43</w:t>
            </w:r>
          </w:p>
        </w:tc>
        <w:tc>
          <w:tcPr>
            <w:tcW w:w="389" w:type="pct"/>
          </w:tcPr>
          <w:p w14:paraId="45817AD0"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4.38</w:t>
            </w:r>
          </w:p>
        </w:tc>
        <w:tc>
          <w:tcPr>
            <w:tcW w:w="389" w:type="pct"/>
          </w:tcPr>
          <w:p w14:paraId="13516843"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3.87</w:t>
            </w:r>
          </w:p>
        </w:tc>
        <w:tc>
          <w:tcPr>
            <w:tcW w:w="389" w:type="pct"/>
          </w:tcPr>
          <w:p w14:paraId="35199EFE"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3.49</w:t>
            </w:r>
          </w:p>
        </w:tc>
        <w:tc>
          <w:tcPr>
            <w:tcW w:w="389" w:type="pct"/>
            <w:gridSpan w:val="2"/>
          </w:tcPr>
          <w:p w14:paraId="32F54925"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3.27</w:t>
            </w:r>
          </w:p>
        </w:tc>
        <w:tc>
          <w:tcPr>
            <w:tcW w:w="388" w:type="pct"/>
            <w:shd w:val="clear" w:color="auto" w:fill="D2DDE1" w:themeFill="background2"/>
          </w:tcPr>
          <w:p w14:paraId="0703E63D"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3.14</w:t>
            </w:r>
          </w:p>
        </w:tc>
        <w:tc>
          <w:tcPr>
            <w:tcW w:w="389" w:type="pct"/>
            <w:shd w:val="clear" w:color="auto" w:fill="D2DDE1" w:themeFill="background2"/>
          </w:tcPr>
          <w:p w14:paraId="3BA464D0"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2.98</w:t>
            </w:r>
          </w:p>
        </w:tc>
        <w:tc>
          <w:tcPr>
            <w:tcW w:w="401" w:type="pct"/>
            <w:shd w:val="clear" w:color="auto" w:fill="D2DDE1" w:themeFill="background2"/>
          </w:tcPr>
          <w:p w14:paraId="2CBC5150"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2.88</w:t>
            </w:r>
          </w:p>
        </w:tc>
      </w:tr>
      <w:tr w:rsidR="007C259A" w:rsidRPr="00BD16B4" w14:paraId="3CF96B42" w14:textId="77777777" w:rsidTr="00B103C6">
        <w:tc>
          <w:tcPr>
            <w:tcW w:w="638" w:type="pct"/>
            <w:vMerge/>
          </w:tcPr>
          <w:p w14:paraId="34DC1D8E" w14:textId="77777777" w:rsidR="007C259A" w:rsidRPr="00BD16B4" w:rsidRDefault="007C259A" w:rsidP="00F31129">
            <w:pPr>
              <w:pStyle w:val="TableText"/>
              <w:rPr>
                <w:rFonts w:cs="Calibri"/>
                <w:szCs w:val="18"/>
                <w:lang w:val="en-NZ"/>
              </w:rPr>
            </w:pPr>
          </w:p>
        </w:tc>
        <w:tc>
          <w:tcPr>
            <w:tcW w:w="400" w:type="pct"/>
          </w:tcPr>
          <w:p w14:paraId="7B669CB6" w14:textId="77777777" w:rsidR="007C259A" w:rsidRPr="00BD16B4" w:rsidRDefault="007C259A" w:rsidP="00F31129">
            <w:pPr>
              <w:pStyle w:val="TableText"/>
              <w:rPr>
                <w:rFonts w:cs="Calibri"/>
                <w:szCs w:val="18"/>
                <w:lang w:val="en-NZ"/>
              </w:rPr>
            </w:pPr>
            <w:r w:rsidRPr="00BD16B4">
              <w:rPr>
                <w:rFonts w:cs="Calibri"/>
                <w:szCs w:val="18"/>
                <w:lang w:val="en-NZ"/>
              </w:rPr>
              <w:t>WOM</w:t>
            </w:r>
          </w:p>
        </w:tc>
        <w:tc>
          <w:tcPr>
            <w:tcW w:w="419" w:type="pct"/>
          </w:tcPr>
          <w:p w14:paraId="2A96E0F0" w14:textId="77777777" w:rsidR="007C259A" w:rsidRPr="00BD16B4" w:rsidRDefault="007C259A" w:rsidP="00F31129">
            <w:pPr>
              <w:pStyle w:val="TableText"/>
              <w:jc w:val="center"/>
              <w:rPr>
                <w:rFonts w:cs="Calibri"/>
                <w:szCs w:val="18"/>
                <w:lang w:val="en-NZ"/>
              </w:rPr>
            </w:pPr>
            <w:r w:rsidRPr="00BD16B4">
              <w:rPr>
                <w:rFonts w:cs="Calibri"/>
                <w:szCs w:val="18"/>
                <w:lang w:val="en-NZ"/>
              </w:rPr>
              <w:t>3.94</w:t>
            </w:r>
          </w:p>
        </w:tc>
        <w:tc>
          <w:tcPr>
            <w:tcW w:w="419" w:type="pct"/>
          </w:tcPr>
          <w:p w14:paraId="79402389" w14:textId="77777777" w:rsidR="007C259A" w:rsidRPr="00BD16B4" w:rsidRDefault="007C259A" w:rsidP="00F31129">
            <w:pPr>
              <w:pStyle w:val="TableText"/>
              <w:jc w:val="center"/>
              <w:rPr>
                <w:rFonts w:cs="Calibri"/>
                <w:szCs w:val="18"/>
                <w:lang w:val="en-NZ"/>
              </w:rPr>
            </w:pPr>
            <w:r w:rsidRPr="00BD16B4">
              <w:rPr>
                <w:rFonts w:cs="Calibri"/>
                <w:szCs w:val="18"/>
                <w:lang w:val="en-NZ"/>
              </w:rPr>
              <w:t>4.23</w:t>
            </w:r>
          </w:p>
        </w:tc>
        <w:tc>
          <w:tcPr>
            <w:tcW w:w="389" w:type="pct"/>
          </w:tcPr>
          <w:p w14:paraId="2CA0427F"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4.43</w:t>
            </w:r>
          </w:p>
        </w:tc>
        <w:tc>
          <w:tcPr>
            <w:tcW w:w="389" w:type="pct"/>
          </w:tcPr>
          <w:p w14:paraId="1B23C234"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4.38</w:t>
            </w:r>
          </w:p>
        </w:tc>
        <w:tc>
          <w:tcPr>
            <w:tcW w:w="389" w:type="pct"/>
          </w:tcPr>
          <w:p w14:paraId="45DE03FB"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4.30</w:t>
            </w:r>
          </w:p>
        </w:tc>
        <w:tc>
          <w:tcPr>
            <w:tcW w:w="389" w:type="pct"/>
          </w:tcPr>
          <w:p w14:paraId="714B8BC6"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4.09</w:t>
            </w:r>
          </w:p>
        </w:tc>
        <w:tc>
          <w:tcPr>
            <w:tcW w:w="389" w:type="pct"/>
            <w:gridSpan w:val="2"/>
          </w:tcPr>
          <w:p w14:paraId="7A3E11BA"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3.85</w:t>
            </w:r>
          </w:p>
        </w:tc>
        <w:tc>
          <w:tcPr>
            <w:tcW w:w="388" w:type="pct"/>
            <w:shd w:val="clear" w:color="auto" w:fill="D2DDE1" w:themeFill="background2"/>
          </w:tcPr>
          <w:p w14:paraId="3A3B14DE"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3.78</w:t>
            </w:r>
          </w:p>
        </w:tc>
        <w:tc>
          <w:tcPr>
            <w:tcW w:w="389" w:type="pct"/>
            <w:shd w:val="clear" w:color="auto" w:fill="D2DDE1" w:themeFill="background2"/>
          </w:tcPr>
          <w:p w14:paraId="079C4BB7"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3.71</w:t>
            </w:r>
          </w:p>
        </w:tc>
        <w:tc>
          <w:tcPr>
            <w:tcW w:w="401" w:type="pct"/>
            <w:shd w:val="clear" w:color="auto" w:fill="D2DDE1" w:themeFill="background2"/>
          </w:tcPr>
          <w:p w14:paraId="12114E66"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3.66</w:t>
            </w:r>
          </w:p>
        </w:tc>
      </w:tr>
      <w:tr w:rsidR="007C259A" w:rsidRPr="00BD16B4" w14:paraId="786490F5" w14:textId="77777777" w:rsidTr="00B103C6">
        <w:tc>
          <w:tcPr>
            <w:tcW w:w="638" w:type="pct"/>
            <w:vMerge/>
          </w:tcPr>
          <w:p w14:paraId="47949267" w14:textId="77777777" w:rsidR="007C259A" w:rsidRPr="00BD16B4" w:rsidRDefault="007C259A" w:rsidP="00F31129">
            <w:pPr>
              <w:pStyle w:val="TableText"/>
              <w:rPr>
                <w:rFonts w:cs="Calibri"/>
                <w:szCs w:val="18"/>
                <w:lang w:val="en-NZ"/>
              </w:rPr>
            </w:pPr>
          </w:p>
        </w:tc>
        <w:tc>
          <w:tcPr>
            <w:tcW w:w="400" w:type="pct"/>
          </w:tcPr>
          <w:p w14:paraId="29C14193" w14:textId="77777777" w:rsidR="007C259A" w:rsidRPr="00BD16B4" w:rsidRDefault="007C259A" w:rsidP="00F31129">
            <w:pPr>
              <w:pStyle w:val="TableText"/>
              <w:rPr>
                <w:rFonts w:cs="Calibri"/>
                <w:szCs w:val="18"/>
                <w:lang w:val="en-NZ"/>
              </w:rPr>
            </w:pPr>
            <w:r w:rsidRPr="00BD16B4">
              <w:rPr>
                <w:rFonts w:cs="Calibri"/>
                <w:szCs w:val="18"/>
                <w:lang w:val="en-NZ"/>
              </w:rPr>
              <w:t>WAM</w:t>
            </w:r>
          </w:p>
        </w:tc>
        <w:tc>
          <w:tcPr>
            <w:tcW w:w="419" w:type="pct"/>
          </w:tcPr>
          <w:p w14:paraId="75FD7B2B" w14:textId="77777777" w:rsidR="007C259A" w:rsidRPr="00BD16B4" w:rsidRDefault="007C259A" w:rsidP="00F31129">
            <w:pPr>
              <w:pStyle w:val="TableText"/>
              <w:jc w:val="center"/>
              <w:rPr>
                <w:rFonts w:cs="Calibri"/>
                <w:szCs w:val="18"/>
                <w:lang w:val="en-NZ"/>
              </w:rPr>
            </w:pPr>
            <w:r w:rsidRPr="00BD16B4">
              <w:rPr>
                <w:rFonts w:cs="Calibri"/>
                <w:szCs w:val="18"/>
                <w:lang w:val="en-NZ"/>
              </w:rPr>
              <w:t>3.94</w:t>
            </w:r>
          </w:p>
        </w:tc>
        <w:tc>
          <w:tcPr>
            <w:tcW w:w="419" w:type="pct"/>
          </w:tcPr>
          <w:p w14:paraId="186B0780" w14:textId="77777777" w:rsidR="007C259A" w:rsidRPr="00BD16B4" w:rsidRDefault="007C259A" w:rsidP="00F31129">
            <w:pPr>
              <w:pStyle w:val="TableText"/>
              <w:jc w:val="center"/>
              <w:rPr>
                <w:rFonts w:cs="Calibri"/>
                <w:szCs w:val="18"/>
                <w:lang w:val="en-NZ"/>
              </w:rPr>
            </w:pPr>
            <w:r w:rsidRPr="00BD16B4">
              <w:rPr>
                <w:rFonts w:cs="Calibri"/>
                <w:szCs w:val="18"/>
                <w:lang w:val="en-NZ"/>
              </w:rPr>
              <w:t>4.23</w:t>
            </w:r>
          </w:p>
        </w:tc>
        <w:tc>
          <w:tcPr>
            <w:tcW w:w="389" w:type="pct"/>
          </w:tcPr>
          <w:p w14:paraId="5D0B7C1C"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4.43</w:t>
            </w:r>
          </w:p>
        </w:tc>
        <w:tc>
          <w:tcPr>
            <w:tcW w:w="389" w:type="pct"/>
          </w:tcPr>
          <w:p w14:paraId="1CA52A5F"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4.38</w:t>
            </w:r>
          </w:p>
        </w:tc>
        <w:tc>
          <w:tcPr>
            <w:tcW w:w="389" w:type="pct"/>
          </w:tcPr>
          <w:p w14:paraId="07573D15"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3.87</w:t>
            </w:r>
          </w:p>
        </w:tc>
        <w:tc>
          <w:tcPr>
            <w:tcW w:w="389" w:type="pct"/>
          </w:tcPr>
          <w:p w14:paraId="38CEF571"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3.49</w:t>
            </w:r>
          </w:p>
        </w:tc>
        <w:tc>
          <w:tcPr>
            <w:tcW w:w="389" w:type="pct"/>
            <w:gridSpan w:val="2"/>
          </w:tcPr>
          <w:p w14:paraId="76AACD55"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3.27</w:t>
            </w:r>
          </w:p>
        </w:tc>
        <w:tc>
          <w:tcPr>
            <w:tcW w:w="388" w:type="pct"/>
            <w:shd w:val="clear" w:color="auto" w:fill="D2DDE1" w:themeFill="background2"/>
          </w:tcPr>
          <w:p w14:paraId="11943B8E"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3.14</w:t>
            </w:r>
          </w:p>
        </w:tc>
        <w:tc>
          <w:tcPr>
            <w:tcW w:w="389" w:type="pct"/>
            <w:shd w:val="clear" w:color="auto" w:fill="D2DDE1" w:themeFill="background2"/>
          </w:tcPr>
          <w:p w14:paraId="7EBD6BDB"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2.84</w:t>
            </w:r>
          </w:p>
        </w:tc>
        <w:tc>
          <w:tcPr>
            <w:tcW w:w="401" w:type="pct"/>
            <w:shd w:val="clear" w:color="auto" w:fill="D2DDE1" w:themeFill="background2"/>
          </w:tcPr>
          <w:p w14:paraId="43DFB661"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2.66</w:t>
            </w:r>
          </w:p>
        </w:tc>
      </w:tr>
      <w:tr w:rsidR="007C259A" w:rsidRPr="00BD16B4" w14:paraId="694A7ED2" w14:textId="77777777" w:rsidTr="00B103C6">
        <w:tc>
          <w:tcPr>
            <w:tcW w:w="638" w:type="pct"/>
            <w:vMerge w:val="restart"/>
          </w:tcPr>
          <w:p w14:paraId="451A1285" w14:textId="77777777" w:rsidR="007C259A" w:rsidRPr="00BD16B4" w:rsidRDefault="007C259A" w:rsidP="00F31129">
            <w:pPr>
              <w:pStyle w:val="TableText"/>
              <w:rPr>
                <w:rFonts w:cs="Calibri"/>
                <w:szCs w:val="18"/>
                <w:lang w:val="en-NZ"/>
              </w:rPr>
            </w:pPr>
            <w:r w:rsidRPr="00BD16B4">
              <w:rPr>
                <w:rFonts w:cs="Calibri"/>
                <w:szCs w:val="18"/>
                <w:lang w:val="en-NZ"/>
              </w:rPr>
              <w:t>Tokelau</w:t>
            </w:r>
          </w:p>
        </w:tc>
        <w:tc>
          <w:tcPr>
            <w:tcW w:w="400" w:type="pct"/>
          </w:tcPr>
          <w:p w14:paraId="14455A8D" w14:textId="77777777" w:rsidR="007C259A" w:rsidRPr="00BD16B4" w:rsidRDefault="007C259A" w:rsidP="00F31129">
            <w:pPr>
              <w:pStyle w:val="TableText"/>
              <w:rPr>
                <w:rFonts w:cs="Calibri"/>
                <w:szCs w:val="18"/>
                <w:lang w:val="en-NZ"/>
              </w:rPr>
            </w:pPr>
            <w:r w:rsidRPr="00BD16B4">
              <w:rPr>
                <w:rFonts w:cs="Calibri"/>
                <w:szCs w:val="18"/>
                <w:lang w:val="en-NZ"/>
              </w:rPr>
              <w:t xml:space="preserve">WEM </w:t>
            </w:r>
          </w:p>
        </w:tc>
        <w:tc>
          <w:tcPr>
            <w:tcW w:w="419" w:type="pct"/>
          </w:tcPr>
          <w:p w14:paraId="43AF8BB8"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0.003</w:t>
            </w:r>
          </w:p>
        </w:tc>
        <w:tc>
          <w:tcPr>
            <w:tcW w:w="419" w:type="pct"/>
          </w:tcPr>
          <w:p w14:paraId="408FEA09"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0.003</w:t>
            </w:r>
          </w:p>
        </w:tc>
        <w:tc>
          <w:tcPr>
            <w:tcW w:w="389" w:type="pct"/>
          </w:tcPr>
          <w:p w14:paraId="6C122D17"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0.003</w:t>
            </w:r>
          </w:p>
        </w:tc>
        <w:tc>
          <w:tcPr>
            <w:tcW w:w="389" w:type="pct"/>
          </w:tcPr>
          <w:p w14:paraId="1058B2AF"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0.004</w:t>
            </w:r>
          </w:p>
        </w:tc>
        <w:tc>
          <w:tcPr>
            <w:tcW w:w="389" w:type="pct"/>
          </w:tcPr>
          <w:p w14:paraId="35CBA9A2"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0.005</w:t>
            </w:r>
          </w:p>
        </w:tc>
        <w:tc>
          <w:tcPr>
            <w:tcW w:w="389" w:type="pct"/>
          </w:tcPr>
          <w:p w14:paraId="61377F52"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0.003</w:t>
            </w:r>
          </w:p>
        </w:tc>
        <w:tc>
          <w:tcPr>
            <w:tcW w:w="389" w:type="pct"/>
            <w:gridSpan w:val="2"/>
          </w:tcPr>
          <w:p w14:paraId="291C53F8"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0.004</w:t>
            </w:r>
          </w:p>
        </w:tc>
        <w:tc>
          <w:tcPr>
            <w:tcW w:w="388" w:type="pct"/>
            <w:shd w:val="clear" w:color="auto" w:fill="D2DDE1" w:themeFill="background2"/>
          </w:tcPr>
          <w:p w14:paraId="3ECE0924"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0.004</w:t>
            </w:r>
          </w:p>
        </w:tc>
        <w:tc>
          <w:tcPr>
            <w:tcW w:w="389" w:type="pct"/>
            <w:shd w:val="clear" w:color="auto" w:fill="D2DDE1" w:themeFill="background2"/>
          </w:tcPr>
          <w:p w14:paraId="01417ED4"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0.004</w:t>
            </w:r>
          </w:p>
        </w:tc>
        <w:tc>
          <w:tcPr>
            <w:tcW w:w="401" w:type="pct"/>
            <w:shd w:val="clear" w:color="auto" w:fill="D2DDE1" w:themeFill="background2"/>
          </w:tcPr>
          <w:p w14:paraId="48AB28D6"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0.003</w:t>
            </w:r>
          </w:p>
        </w:tc>
      </w:tr>
      <w:tr w:rsidR="007C259A" w:rsidRPr="00BD16B4" w14:paraId="72328529" w14:textId="77777777" w:rsidTr="00B103C6">
        <w:tc>
          <w:tcPr>
            <w:tcW w:w="638" w:type="pct"/>
            <w:vMerge/>
          </w:tcPr>
          <w:p w14:paraId="69F024DD" w14:textId="77777777" w:rsidR="007C259A" w:rsidRPr="00BD16B4" w:rsidRDefault="007C259A" w:rsidP="00F31129">
            <w:pPr>
              <w:pStyle w:val="TableText"/>
              <w:rPr>
                <w:rFonts w:cs="Calibri"/>
                <w:szCs w:val="18"/>
                <w:lang w:val="en-NZ"/>
              </w:rPr>
            </w:pPr>
          </w:p>
        </w:tc>
        <w:tc>
          <w:tcPr>
            <w:tcW w:w="400" w:type="pct"/>
          </w:tcPr>
          <w:p w14:paraId="3CC325AD" w14:textId="77777777" w:rsidR="007C259A" w:rsidRPr="00BD16B4" w:rsidRDefault="007C259A" w:rsidP="00F31129">
            <w:pPr>
              <w:pStyle w:val="TableText"/>
              <w:rPr>
                <w:rFonts w:cs="Calibri"/>
                <w:szCs w:val="18"/>
                <w:lang w:val="en-NZ"/>
              </w:rPr>
            </w:pPr>
            <w:r w:rsidRPr="00BD16B4">
              <w:rPr>
                <w:rFonts w:cs="Calibri"/>
                <w:szCs w:val="18"/>
                <w:lang w:val="en-NZ"/>
              </w:rPr>
              <w:t>WOM</w:t>
            </w:r>
          </w:p>
        </w:tc>
        <w:tc>
          <w:tcPr>
            <w:tcW w:w="419" w:type="pct"/>
          </w:tcPr>
          <w:p w14:paraId="25892D33"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0.003</w:t>
            </w:r>
          </w:p>
        </w:tc>
        <w:tc>
          <w:tcPr>
            <w:tcW w:w="419" w:type="pct"/>
          </w:tcPr>
          <w:p w14:paraId="1A97BEB8"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0.003</w:t>
            </w:r>
          </w:p>
        </w:tc>
        <w:tc>
          <w:tcPr>
            <w:tcW w:w="389" w:type="pct"/>
          </w:tcPr>
          <w:p w14:paraId="4A7C4D5E"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0.003</w:t>
            </w:r>
          </w:p>
        </w:tc>
        <w:tc>
          <w:tcPr>
            <w:tcW w:w="389" w:type="pct"/>
          </w:tcPr>
          <w:p w14:paraId="1DB0F5A7"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0.004</w:t>
            </w:r>
          </w:p>
        </w:tc>
        <w:tc>
          <w:tcPr>
            <w:tcW w:w="389" w:type="pct"/>
          </w:tcPr>
          <w:p w14:paraId="28CCCDBA"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0.005</w:t>
            </w:r>
          </w:p>
        </w:tc>
        <w:tc>
          <w:tcPr>
            <w:tcW w:w="389" w:type="pct"/>
          </w:tcPr>
          <w:p w14:paraId="53FD2C0A"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0.003</w:t>
            </w:r>
          </w:p>
        </w:tc>
        <w:tc>
          <w:tcPr>
            <w:tcW w:w="389" w:type="pct"/>
            <w:gridSpan w:val="2"/>
          </w:tcPr>
          <w:p w14:paraId="328F62CF"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0.004</w:t>
            </w:r>
          </w:p>
        </w:tc>
        <w:tc>
          <w:tcPr>
            <w:tcW w:w="388" w:type="pct"/>
            <w:shd w:val="clear" w:color="auto" w:fill="D2DDE1" w:themeFill="background2"/>
          </w:tcPr>
          <w:p w14:paraId="41CE7D9C"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0.004</w:t>
            </w:r>
          </w:p>
        </w:tc>
        <w:tc>
          <w:tcPr>
            <w:tcW w:w="389" w:type="pct"/>
            <w:shd w:val="clear" w:color="auto" w:fill="D2DDE1" w:themeFill="background2"/>
          </w:tcPr>
          <w:p w14:paraId="29B59E6B"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0.004</w:t>
            </w:r>
          </w:p>
        </w:tc>
        <w:tc>
          <w:tcPr>
            <w:tcW w:w="401" w:type="pct"/>
            <w:shd w:val="clear" w:color="auto" w:fill="D2DDE1" w:themeFill="background2"/>
          </w:tcPr>
          <w:p w14:paraId="378B330F"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0.003</w:t>
            </w:r>
          </w:p>
        </w:tc>
      </w:tr>
      <w:tr w:rsidR="007C259A" w:rsidRPr="00BD16B4" w14:paraId="4072ABBE" w14:textId="77777777" w:rsidTr="00B103C6">
        <w:tc>
          <w:tcPr>
            <w:tcW w:w="638" w:type="pct"/>
            <w:vMerge/>
          </w:tcPr>
          <w:p w14:paraId="172B7760" w14:textId="77777777" w:rsidR="007C259A" w:rsidRPr="00BD16B4" w:rsidRDefault="007C259A" w:rsidP="00F31129">
            <w:pPr>
              <w:pStyle w:val="TableText"/>
              <w:rPr>
                <w:rFonts w:cs="Calibri"/>
                <w:szCs w:val="18"/>
                <w:lang w:val="en-NZ"/>
              </w:rPr>
            </w:pPr>
          </w:p>
        </w:tc>
        <w:tc>
          <w:tcPr>
            <w:tcW w:w="400" w:type="pct"/>
          </w:tcPr>
          <w:p w14:paraId="798F4C8D" w14:textId="77777777" w:rsidR="007C259A" w:rsidRPr="00BD16B4" w:rsidRDefault="007C259A" w:rsidP="00F31129">
            <w:pPr>
              <w:pStyle w:val="TableText"/>
              <w:rPr>
                <w:rFonts w:cs="Calibri"/>
                <w:szCs w:val="18"/>
                <w:lang w:val="en-NZ"/>
              </w:rPr>
            </w:pPr>
            <w:r w:rsidRPr="00BD16B4">
              <w:rPr>
                <w:rFonts w:cs="Calibri"/>
                <w:szCs w:val="18"/>
                <w:lang w:val="en-NZ"/>
              </w:rPr>
              <w:t>WAM</w:t>
            </w:r>
          </w:p>
        </w:tc>
        <w:tc>
          <w:tcPr>
            <w:tcW w:w="419" w:type="pct"/>
          </w:tcPr>
          <w:p w14:paraId="0978C3A6"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0.003</w:t>
            </w:r>
          </w:p>
        </w:tc>
        <w:tc>
          <w:tcPr>
            <w:tcW w:w="419" w:type="pct"/>
          </w:tcPr>
          <w:p w14:paraId="78F665AF"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0.003</w:t>
            </w:r>
          </w:p>
        </w:tc>
        <w:tc>
          <w:tcPr>
            <w:tcW w:w="389" w:type="pct"/>
          </w:tcPr>
          <w:p w14:paraId="1FA7D520"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0.003</w:t>
            </w:r>
          </w:p>
        </w:tc>
        <w:tc>
          <w:tcPr>
            <w:tcW w:w="389" w:type="pct"/>
          </w:tcPr>
          <w:p w14:paraId="04A7EB7E"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0.004</w:t>
            </w:r>
          </w:p>
        </w:tc>
        <w:tc>
          <w:tcPr>
            <w:tcW w:w="389" w:type="pct"/>
          </w:tcPr>
          <w:p w14:paraId="39020376"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0.005</w:t>
            </w:r>
          </w:p>
        </w:tc>
        <w:tc>
          <w:tcPr>
            <w:tcW w:w="389" w:type="pct"/>
          </w:tcPr>
          <w:p w14:paraId="1D4B92AC"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0.003</w:t>
            </w:r>
          </w:p>
        </w:tc>
        <w:tc>
          <w:tcPr>
            <w:tcW w:w="389" w:type="pct"/>
            <w:gridSpan w:val="2"/>
          </w:tcPr>
          <w:p w14:paraId="77468AED"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0.004</w:t>
            </w:r>
          </w:p>
        </w:tc>
        <w:tc>
          <w:tcPr>
            <w:tcW w:w="388" w:type="pct"/>
            <w:shd w:val="clear" w:color="auto" w:fill="D2DDE1" w:themeFill="background2"/>
          </w:tcPr>
          <w:p w14:paraId="684C9A02"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0.004</w:t>
            </w:r>
          </w:p>
        </w:tc>
        <w:tc>
          <w:tcPr>
            <w:tcW w:w="389" w:type="pct"/>
            <w:shd w:val="clear" w:color="auto" w:fill="D2DDE1" w:themeFill="background2"/>
          </w:tcPr>
          <w:p w14:paraId="5DBD3EED"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0.004</w:t>
            </w:r>
          </w:p>
        </w:tc>
        <w:tc>
          <w:tcPr>
            <w:tcW w:w="401" w:type="pct"/>
            <w:shd w:val="clear" w:color="auto" w:fill="D2DDE1" w:themeFill="background2"/>
          </w:tcPr>
          <w:p w14:paraId="40240222"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0.003</w:t>
            </w:r>
          </w:p>
        </w:tc>
      </w:tr>
      <w:tr w:rsidR="007C259A" w:rsidRPr="00BD16B4" w14:paraId="25AD272F" w14:textId="77777777" w:rsidTr="00B103C6">
        <w:tc>
          <w:tcPr>
            <w:tcW w:w="638" w:type="pct"/>
            <w:vMerge w:val="restart"/>
          </w:tcPr>
          <w:p w14:paraId="0A336641" w14:textId="77777777" w:rsidR="007C259A" w:rsidRPr="00BD16B4" w:rsidRDefault="007C259A" w:rsidP="00F31129">
            <w:pPr>
              <w:pStyle w:val="TableText"/>
              <w:rPr>
                <w:rFonts w:cs="Calibri"/>
                <w:szCs w:val="18"/>
                <w:lang w:val="en-NZ"/>
              </w:rPr>
            </w:pPr>
            <w:r w:rsidRPr="00BD16B4">
              <w:rPr>
                <w:rFonts w:cs="Calibri"/>
                <w:szCs w:val="18"/>
                <w:lang w:val="en-NZ"/>
              </w:rPr>
              <w:t>Total (excluding LULUCF)</w:t>
            </w:r>
          </w:p>
        </w:tc>
        <w:tc>
          <w:tcPr>
            <w:tcW w:w="400" w:type="pct"/>
          </w:tcPr>
          <w:p w14:paraId="70E67100" w14:textId="77777777" w:rsidR="007C259A" w:rsidRPr="00BD16B4" w:rsidRDefault="007C259A" w:rsidP="00F31129">
            <w:pPr>
              <w:pStyle w:val="TableText"/>
              <w:rPr>
                <w:rFonts w:cs="Calibri"/>
                <w:szCs w:val="18"/>
                <w:lang w:val="en-NZ"/>
              </w:rPr>
            </w:pPr>
            <w:r w:rsidRPr="00BD16B4">
              <w:rPr>
                <w:rFonts w:cs="Calibri"/>
                <w:szCs w:val="18"/>
                <w:lang w:val="en-NZ"/>
              </w:rPr>
              <w:t>WEM</w:t>
            </w:r>
          </w:p>
        </w:tc>
        <w:tc>
          <w:tcPr>
            <w:tcW w:w="419" w:type="pct"/>
          </w:tcPr>
          <w:p w14:paraId="5389FF57"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65.20</w:t>
            </w:r>
          </w:p>
        </w:tc>
        <w:tc>
          <w:tcPr>
            <w:tcW w:w="419" w:type="pct"/>
          </w:tcPr>
          <w:p w14:paraId="70158DA3"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69.01</w:t>
            </w:r>
          </w:p>
        </w:tc>
        <w:tc>
          <w:tcPr>
            <w:tcW w:w="389" w:type="pct"/>
          </w:tcPr>
          <w:p w14:paraId="05E788AD"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75.52</w:t>
            </w:r>
          </w:p>
        </w:tc>
        <w:tc>
          <w:tcPr>
            <w:tcW w:w="389" w:type="pct"/>
          </w:tcPr>
          <w:p w14:paraId="1E72FC0A"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82.67</w:t>
            </w:r>
          </w:p>
        </w:tc>
        <w:tc>
          <w:tcPr>
            <w:tcW w:w="389" w:type="pct"/>
          </w:tcPr>
          <w:p w14:paraId="3C3BBF09"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78.43</w:t>
            </w:r>
          </w:p>
        </w:tc>
        <w:tc>
          <w:tcPr>
            <w:tcW w:w="389" w:type="pct"/>
          </w:tcPr>
          <w:p w14:paraId="5B1C86F9"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80.45</w:t>
            </w:r>
          </w:p>
        </w:tc>
        <w:tc>
          <w:tcPr>
            <w:tcW w:w="389" w:type="pct"/>
            <w:gridSpan w:val="2"/>
          </w:tcPr>
          <w:p w14:paraId="7072DBF7"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78.78</w:t>
            </w:r>
          </w:p>
        </w:tc>
        <w:tc>
          <w:tcPr>
            <w:tcW w:w="388" w:type="pct"/>
            <w:shd w:val="clear" w:color="auto" w:fill="D2DDE1" w:themeFill="background2"/>
          </w:tcPr>
          <w:p w14:paraId="016D86F3"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73.29</w:t>
            </w:r>
          </w:p>
        </w:tc>
        <w:tc>
          <w:tcPr>
            <w:tcW w:w="389" w:type="pct"/>
            <w:shd w:val="clear" w:color="auto" w:fill="D2DDE1" w:themeFill="background2"/>
          </w:tcPr>
          <w:p w14:paraId="61DEC143"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70.04</w:t>
            </w:r>
          </w:p>
        </w:tc>
        <w:tc>
          <w:tcPr>
            <w:tcW w:w="401" w:type="pct"/>
            <w:shd w:val="clear" w:color="auto" w:fill="D2DDE1" w:themeFill="background2"/>
          </w:tcPr>
          <w:p w14:paraId="39A90EE5"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66.68</w:t>
            </w:r>
          </w:p>
        </w:tc>
      </w:tr>
      <w:tr w:rsidR="007C259A" w:rsidRPr="00BD16B4" w14:paraId="2F0B9906" w14:textId="77777777" w:rsidTr="00B103C6">
        <w:tc>
          <w:tcPr>
            <w:tcW w:w="638" w:type="pct"/>
            <w:vMerge/>
          </w:tcPr>
          <w:p w14:paraId="7EC4EE31" w14:textId="77777777" w:rsidR="007C259A" w:rsidRPr="00BD16B4" w:rsidRDefault="007C259A" w:rsidP="00F31129">
            <w:pPr>
              <w:pStyle w:val="TableText"/>
              <w:rPr>
                <w:rFonts w:cs="Calibri"/>
                <w:szCs w:val="18"/>
                <w:lang w:val="en-NZ"/>
              </w:rPr>
            </w:pPr>
          </w:p>
        </w:tc>
        <w:tc>
          <w:tcPr>
            <w:tcW w:w="400" w:type="pct"/>
          </w:tcPr>
          <w:p w14:paraId="63F2CFE0" w14:textId="77777777" w:rsidR="007C259A" w:rsidRPr="00BD16B4" w:rsidRDefault="007C259A" w:rsidP="00F31129">
            <w:pPr>
              <w:pStyle w:val="TableText"/>
              <w:rPr>
                <w:rFonts w:cs="Calibri"/>
                <w:szCs w:val="18"/>
                <w:lang w:val="en-NZ"/>
              </w:rPr>
            </w:pPr>
            <w:r w:rsidRPr="00BD16B4">
              <w:rPr>
                <w:rFonts w:cs="Calibri"/>
                <w:szCs w:val="18"/>
                <w:lang w:val="en-NZ"/>
              </w:rPr>
              <w:t>WOM</w:t>
            </w:r>
          </w:p>
        </w:tc>
        <w:tc>
          <w:tcPr>
            <w:tcW w:w="419" w:type="pct"/>
          </w:tcPr>
          <w:p w14:paraId="751DAACD"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65.20</w:t>
            </w:r>
          </w:p>
        </w:tc>
        <w:tc>
          <w:tcPr>
            <w:tcW w:w="419" w:type="pct"/>
          </w:tcPr>
          <w:p w14:paraId="0E2E5FEE"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69.02</w:t>
            </w:r>
          </w:p>
        </w:tc>
        <w:tc>
          <w:tcPr>
            <w:tcW w:w="389" w:type="pct"/>
          </w:tcPr>
          <w:p w14:paraId="2422DED7"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75.53</w:t>
            </w:r>
          </w:p>
        </w:tc>
        <w:tc>
          <w:tcPr>
            <w:tcW w:w="389" w:type="pct"/>
          </w:tcPr>
          <w:p w14:paraId="68CBAC7A"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82.65</w:t>
            </w:r>
          </w:p>
        </w:tc>
        <w:tc>
          <w:tcPr>
            <w:tcW w:w="389" w:type="pct"/>
          </w:tcPr>
          <w:p w14:paraId="68A4C45F"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78.82</w:t>
            </w:r>
          </w:p>
        </w:tc>
        <w:tc>
          <w:tcPr>
            <w:tcW w:w="389" w:type="pct"/>
          </w:tcPr>
          <w:p w14:paraId="140E5A9D"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81.19</w:t>
            </w:r>
          </w:p>
        </w:tc>
        <w:tc>
          <w:tcPr>
            <w:tcW w:w="389" w:type="pct"/>
            <w:gridSpan w:val="2"/>
          </w:tcPr>
          <w:p w14:paraId="05B6F44F"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79.74</w:t>
            </w:r>
          </w:p>
        </w:tc>
        <w:tc>
          <w:tcPr>
            <w:tcW w:w="388" w:type="pct"/>
            <w:shd w:val="clear" w:color="auto" w:fill="D2DDE1" w:themeFill="background2"/>
          </w:tcPr>
          <w:p w14:paraId="56C721D0"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77.49</w:t>
            </w:r>
          </w:p>
        </w:tc>
        <w:tc>
          <w:tcPr>
            <w:tcW w:w="389" w:type="pct"/>
            <w:shd w:val="clear" w:color="auto" w:fill="D2DDE1" w:themeFill="background2"/>
          </w:tcPr>
          <w:p w14:paraId="3068FB5C"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77.56</w:t>
            </w:r>
          </w:p>
        </w:tc>
        <w:tc>
          <w:tcPr>
            <w:tcW w:w="401" w:type="pct"/>
            <w:shd w:val="clear" w:color="auto" w:fill="D2DDE1" w:themeFill="background2"/>
          </w:tcPr>
          <w:p w14:paraId="467FC73F"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76.76</w:t>
            </w:r>
          </w:p>
        </w:tc>
      </w:tr>
      <w:tr w:rsidR="007C259A" w:rsidRPr="00BD16B4" w14:paraId="3A36422F" w14:textId="77777777" w:rsidTr="00B103C6">
        <w:tc>
          <w:tcPr>
            <w:tcW w:w="638" w:type="pct"/>
            <w:vMerge/>
          </w:tcPr>
          <w:p w14:paraId="6AFA4C8D" w14:textId="77777777" w:rsidR="007C259A" w:rsidRPr="00BD16B4" w:rsidRDefault="007C259A" w:rsidP="00F31129">
            <w:pPr>
              <w:pStyle w:val="TableText"/>
              <w:rPr>
                <w:rFonts w:cs="Calibri"/>
                <w:szCs w:val="18"/>
                <w:lang w:val="en-NZ"/>
              </w:rPr>
            </w:pPr>
          </w:p>
        </w:tc>
        <w:tc>
          <w:tcPr>
            <w:tcW w:w="400" w:type="pct"/>
          </w:tcPr>
          <w:p w14:paraId="1F57A11B" w14:textId="77777777" w:rsidR="007C259A" w:rsidRPr="00BD16B4" w:rsidRDefault="007C259A" w:rsidP="00F31129">
            <w:pPr>
              <w:pStyle w:val="TableText"/>
              <w:rPr>
                <w:rFonts w:cs="Calibri"/>
                <w:szCs w:val="18"/>
                <w:lang w:val="en-NZ"/>
              </w:rPr>
            </w:pPr>
            <w:r w:rsidRPr="00BD16B4">
              <w:rPr>
                <w:rFonts w:cs="Calibri"/>
                <w:szCs w:val="18"/>
                <w:lang w:val="en-NZ"/>
              </w:rPr>
              <w:t>WAM</w:t>
            </w:r>
          </w:p>
        </w:tc>
        <w:tc>
          <w:tcPr>
            <w:tcW w:w="419" w:type="pct"/>
          </w:tcPr>
          <w:p w14:paraId="7FCC413A"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65.20</w:t>
            </w:r>
          </w:p>
        </w:tc>
        <w:tc>
          <w:tcPr>
            <w:tcW w:w="419" w:type="pct"/>
          </w:tcPr>
          <w:p w14:paraId="59EF45A8"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69.01</w:t>
            </w:r>
          </w:p>
        </w:tc>
        <w:tc>
          <w:tcPr>
            <w:tcW w:w="389" w:type="pct"/>
          </w:tcPr>
          <w:p w14:paraId="4B5013F9"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75.52</w:t>
            </w:r>
          </w:p>
        </w:tc>
        <w:tc>
          <w:tcPr>
            <w:tcW w:w="389" w:type="pct"/>
          </w:tcPr>
          <w:p w14:paraId="5A1B1E68"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82.67</w:t>
            </w:r>
          </w:p>
        </w:tc>
        <w:tc>
          <w:tcPr>
            <w:tcW w:w="389" w:type="pct"/>
          </w:tcPr>
          <w:p w14:paraId="5D6A6BA6"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78.43</w:t>
            </w:r>
          </w:p>
        </w:tc>
        <w:tc>
          <w:tcPr>
            <w:tcW w:w="389" w:type="pct"/>
          </w:tcPr>
          <w:p w14:paraId="56B0A069"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80.45</w:t>
            </w:r>
          </w:p>
        </w:tc>
        <w:tc>
          <w:tcPr>
            <w:tcW w:w="389" w:type="pct"/>
            <w:gridSpan w:val="2"/>
          </w:tcPr>
          <w:p w14:paraId="5106C591"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78.78</w:t>
            </w:r>
          </w:p>
        </w:tc>
        <w:tc>
          <w:tcPr>
            <w:tcW w:w="388" w:type="pct"/>
            <w:shd w:val="clear" w:color="auto" w:fill="D2DDE1" w:themeFill="background2"/>
          </w:tcPr>
          <w:p w14:paraId="0BD63B53"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73.17</w:t>
            </w:r>
          </w:p>
        </w:tc>
        <w:tc>
          <w:tcPr>
            <w:tcW w:w="389" w:type="pct"/>
            <w:shd w:val="clear" w:color="auto" w:fill="D2DDE1" w:themeFill="background2"/>
          </w:tcPr>
          <w:p w14:paraId="34AE84FE"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68.96</w:t>
            </w:r>
          </w:p>
        </w:tc>
        <w:tc>
          <w:tcPr>
            <w:tcW w:w="401" w:type="pct"/>
            <w:shd w:val="clear" w:color="auto" w:fill="D2DDE1" w:themeFill="background2"/>
          </w:tcPr>
          <w:p w14:paraId="2630D3B3"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65.49</w:t>
            </w:r>
          </w:p>
        </w:tc>
      </w:tr>
      <w:tr w:rsidR="007C259A" w:rsidRPr="00BD16B4" w14:paraId="09FB4818" w14:textId="77777777" w:rsidTr="00B103C6">
        <w:tc>
          <w:tcPr>
            <w:tcW w:w="638" w:type="pct"/>
            <w:vMerge w:val="restart"/>
          </w:tcPr>
          <w:p w14:paraId="4E95DBD7" w14:textId="77777777" w:rsidR="007C259A" w:rsidRPr="00BD16B4" w:rsidRDefault="007C259A" w:rsidP="00F31129">
            <w:pPr>
              <w:pStyle w:val="TableText"/>
              <w:rPr>
                <w:rFonts w:cs="Calibri"/>
                <w:szCs w:val="18"/>
                <w:lang w:val="en-NZ"/>
              </w:rPr>
            </w:pPr>
            <w:r w:rsidRPr="00BD16B4">
              <w:rPr>
                <w:rFonts w:cs="Calibri"/>
                <w:szCs w:val="18"/>
                <w:lang w:val="en-NZ"/>
              </w:rPr>
              <w:t>LULUCF</w:t>
            </w:r>
          </w:p>
        </w:tc>
        <w:tc>
          <w:tcPr>
            <w:tcW w:w="400" w:type="pct"/>
          </w:tcPr>
          <w:p w14:paraId="661FADFB" w14:textId="77777777" w:rsidR="007C259A" w:rsidRPr="00BD16B4" w:rsidRDefault="007C259A" w:rsidP="00F31129">
            <w:pPr>
              <w:pStyle w:val="TableText"/>
              <w:rPr>
                <w:rFonts w:cs="Calibri"/>
                <w:szCs w:val="18"/>
                <w:lang w:val="en-NZ"/>
              </w:rPr>
            </w:pPr>
            <w:r w:rsidRPr="00BD16B4">
              <w:rPr>
                <w:rFonts w:cs="Calibri"/>
                <w:szCs w:val="18"/>
                <w:lang w:val="en-NZ"/>
              </w:rPr>
              <w:t xml:space="preserve">WEM </w:t>
            </w:r>
          </w:p>
        </w:tc>
        <w:tc>
          <w:tcPr>
            <w:tcW w:w="419" w:type="pct"/>
          </w:tcPr>
          <w:p w14:paraId="68625F15"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–21.23</w:t>
            </w:r>
          </w:p>
        </w:tc>
        <w:tc>
          <w:tcPr>
            <w:tcW w:w="419" w:type="pct"/>
          </w:tcPr>
          <w:p w14:paraId="20E68DDC" w14:textId="77777777" w:rsidR="007C259A" w:rsidRPr="00BD16B4" w:rsidRDefault="007C259A" w:rsidP="00F31129">
            <w:pPr>
              <w:pStyle w:val="TableText"/>
              <w:jc w:val="center"/>
              <w:rPr>
                <w:rFonts w:cs="Calibri"/>
                <w:szCs w:val="18"/>
                <w:lang w:val="en-NZ"/>
              </w:rPr>
            </w:pPr>
            <w:r w:rsidRPr="00BD16B4">
              <w:rPr>
                <w:rFonts w:cs="Calibri"/>
                <w:szCs w:val="18"/>
                <w:lang w:val="en-NZ"/>
              </w:rPr>
              <w:t>–22.45</w:t>
            </w:r>
          </w:p>
        </w:tc>
        <w:tc>
          <w:tcPr>
            <w:tcW w:w="389" w:type="pct"/>
          </w:tcPr>
          <w:p w14:paraId="47DCF39C"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–26.93</w:t>
            </w:r>
          </w:p>
        </w:tc>
        <w:tc>
          <w:tcPr>
            <w:tcW w:w="389" w:type="pct"/>
          </w:tcPr>
          <w:p w14:paraId="027A747A"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–25.42</w:t>
            </w:r>
          </w:p>
        </w:tc>
        <w:tc>
          <w:tcPr>
            <w:tcW w:w="389" w:type="pct"/>
          </w:tcPr>
          <w:p w14:paraId="2ED326C4"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–29.33</w:t>
            </w:r>
          </w:p>
        </w:tc>
        <w:tc>
          <w:tcPr>
            <w:tcW w:w="389" w:type="pct"/>
          </w:tcPr>
          <w:p w14:paraId="7582FAC1"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–26.61</w:t>
            </w:r>
          </w:p>
        </w:tc>
        <w:tc>
          <w:tcPr>
            <w:tcW w:w="389" w:type="pct"/>
            <w:gridSpan w:val="2"/>
          </w:tcPr>
          <w:p w14:paraId="3CDAAEE2"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–23.31</w:t>
            </w:r>
          </w:p>
        </w:tc>
        <w:tc>
          <w:tcPr>
            <w:tcW w:w="388" w:type="pct"/>
            <w:shd w:val="clear" w:color="auto" w:fill="D2DDE1" w:themeFill="background2"/>
          </w:tcPr>
          <w:p w14:paraId="2C73D5D1"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–9.53</w:t>
            </w:r>
          </w:p>
        </w:tc>
        <w:tc>
          <w:tcPr>
            <w:tcW w:w="389" w:type="pct"/>
            <w:shd w:val="clear" w:color="auto" w:fill="D2DDE1" w:themeFill="background2"/>
          </w:tcPr>
          <w:p w14:paraId="72DE71DD"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–12.01</w:t>
            </w:r>
          </w:p>
        </w:tc>
        <w:tc>
          <w:tcPr>
            <w:tcW w:w="401" w:type="pct"/>
            <w:shd w:val="clear" w:color="auto" w:fill="D2DDE1" w:themeFill="background2"/>
          </w:tcPr>
          <w:p w14:paraId="5AC31B4D"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–25.48</w:t>
            </w:r>
          </w:p>
        </w:tc>
      </w:tr>
      <w:tr w:rsidR="007C259A" w:rsidRPr="00BD16B4" w14:paraId="35219513" w14:textId="77777777" w:rsidTr="00B103C6">
        <w:tc>
          <w:tcPr>
            <w:tcW w:w="638" w:type="pct"/>
            <w:vMerge/>
          </w:tcPr>
          <w:p w14:paraId="08098282" w14:textId="77777777" w:rsidR="007C259A" w:rsidRPr="00BD16B4" w:rsidRDefault="007C259A" w:rsidP="00F31129">
            <w:pPr>
              <w:pStyle w:val="TableText"/>
              <w:rPr>
                <w:rFonts w:cs="Calibri"/>
                <w:szCs w:val="18"/>
                <w:lang w:val="en-NZ"/>
              </w:rPr>
            </w:pPr>
          </w:p>
        </w:tc>
        <w:tc>
          <w:tcPr>
            <w:tcW w:w="400" w:type="pct"/>
          </w:tcPr>
          <w:p w14:paraId="6FE07B22" w14:textId="77777777" w:rsidR="007C259A" w:rsidRPr="00BD16B4" w:rsidRDefault="007C259A" w:rsidP="00F31129">
            <w:pPr>
              <w:pStyle w:val="TableText"/>
              <w:rPr>
                <w:rFonts w:cs="Calibri"/>
                <w:szCs w:val="18"/>
                <w:lang w:val="en-NZ"/>
              </w:rPr>
            </w:pPr>
            <w:r w:rsidRPr="00BD16B4">
              <w:rPr>
                <w:rFonts w:cs="Calibri"/>
                <w:szCs w:val="18"/>
                <w:lang w:val="en-NZ"/>
              </w:rPr>
              <w:t>WOM</w:t>
            </w:r>
          </w:p>
        </w:tc>
        <w:tc>
          <w:tcPr>
            <w:tcW w:w="419" w:type="pct"/>
          </w:tcPr>
          <w:p w14:paraId="11E0B340" w14:textId="77777777" w:rsidR="007C259A" w:rsidRPr="00BD16B4" w:rsidRDefault="007C259A" w:rsidP="00F31129">
            <w:pPr>
              <w:pStyle w:val="TableText"/>
              <w:jc w:val="center"/>
              <w:rPr>
                <w:rFonts w:cs="Calibri"/>
                <w:szCs w:val="18"/>
                <w:lang w:val="en-NZ"/>
              </w:rPr>
            </w:pPr>
            <w:r w:rsidRPr="00BD16B4">
              <w:rPr>
                <w:rFonts w:cs="Calibri"/>
                <w:szCs w:val="18"/>
                <w:lang w:val="en-NZ"/>
              </w:rPr>
              <w:t>–21.23</w:t>
            </w:r>
          </w:p>
        </w:tc>
        <w:tc>
          <w:tcPr>
            <w:tcW w:w="419" w:type="pct"/>
          </w:tcPr>
          <w:p w14:paraId="7449674D" w14:textId="77777777" w:rsidR="007C259A" w:rsidRPr="00BD16B4" w:rsidRDefault="007C259A" w:rsidP="00F31129">
            <w:pPr>
              <w:pStyle w:val="TableText"/>
              <w:jc w:val="center"/>
              <w:rPr>
                <w:rFonts w:cs="Calibri"/>
                <w:szCs w:val="18"/>
                <w:lang w:val="en-NZ"/>
              </w:rPr>
            </w:pPr>
            <w:r w:rsidRPr="00BD16B4">
              <w:rPr>
                <w:rFonts w:cs="Calibri"/>
                <w:szCs w:val="18"/>
                <w:lang w:val="en-NZ"/>
              </w:rPr>
              <w:t>–22.47</w:t>
            </w:r>
          </w:p>
        </w:tc>
        <w:tc>
          <w:tcPr>
            <w:tcW w:w="389" w:type="pct"/>
          </w:tcPr>
          <w:p w14:paraId="3F0CF8FF"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–26.65</w:t>
            </w:r>
          </w:p>
        </w:tc>
        <w:tc>
          <w:tcPr>
            <w:tcW w:w="389" w:type="pct"/>
          </w:tcPr>
          <w:p w14:paraId="6FB92A92"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–30.84</w:t>
            </w:r>
          </w:p>
        </w:tc>
        <w:tc>
          <w:tcPr>
            <w:tcW w:w="389" w:type="pct"/>
          </w:tcPr>
          <w:p w14:paraId="2DA31E5F"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–28.21</w:t>
            </w:r>
          </w:p>
        </w:tc>
        <w:tc>
          <w:tcPr>
            <w:tcW w:w="389" w:type="pct"/>
          </w:tcPr>
          <w:p w14:paraId="65D0FBC0"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–24.80</w:t>
            </w:r>
          </w:p>
        </w:tc>
        <w:tc>
          <w:tcPr>
            <w:tcW w:w="389" w:type="pct"/>
            <w:gridSpan w:val="2"/>
          </w:tcPr>
          <w:p w14:paraId="1D56DB67"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–17.04</w:t>
            </w:r>
          </w:p>
        </w:tc>
        <w:tc>
          <w:tcPr>
            <w:tcW w:w="388" w:type="pct"/>
            <w:shd w:val="clear" w:color="auto" w:fill="D2DDE1" w:themeFill="background2"/>
          </w:tcPr>
          <w:p w14:paraId="282BD26A"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–2.37</w:t>
            </w:r>
          </w:p>
        </w:tc>
        <w:tc>
          <w:tcPr>
            <w:tcW w:w="389" w:type="pct"/>
            <w:shd w:val="clear" w:color="auto" w:fill="D2DDE1" w:themeFill="background2"/>
          </w:tcPr>
          <w:p w14:paraId="3433F7BD"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1.48</w:t>
            </w:r>
          </w:p>
        </w:tc>
        <w:tc>
          <w:tcPr>
            <w:tcW w:w="401" w:type="pct"/>
            <w:shd w:val="clear" w:color="auto" w:fill="D2DDE1" w:themeFill="background2"/>
          </w:tcPr>
          <w:p w14:paraId="48B3CF39"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–4.86</w:t>
            </w:r>
          </w:p>
        </w:tc>
      </w:tr>
      <w:tr w:rsidR="007C259A" w:rsidRPr="00BD16B4" w14:paraId="06DEFD82" w14:textId="77777777" w:rsidTr="00B103C6">
        <w:tc>
          <w:tcPr>
            <w:tcW w:w="638" w:type="pct"/>
            <w:vMerge/>
          </w:tcPr>
          <w:p w14:paraId="6460CBCC" w14:textId="77777777" w:rsidR="007C259A" w:rsidRPr="00BD16B4" w:rsidRDefault="007C259A" w:rsidP="00F31129">
            <w:pPr>
              <w:pStyle w:val="TableText"/>
              <w:rPr>
                <w:rFonts w:cs="Calibri"/>
                <w:szCs w:val="18"/>
                <w:lang w:val="en-NZ"/>
              </w:rPr>
            </w:pPr>
          </w:p>
        </w:tc>
        <w:tc>
          <w:tcPr>
            <w:tcW w:w="400" w:type="pct"/>
          </w:tcPr>
          <w:p w14:paraId="70773F67" w14:textId="77777777" w:rsidR="007C259A" w:rsidRPr="00BD16B4" w:rsidRDefault="007C259A" w:rsidP="00F31129">
            <w:pPr>
              <w:pStyle w:val="TableText"/>
              <w:rPr>
                <w:rFonts w:cs="Calibri"/>
                <w:szCs w:val="18"/>
                <w:lang w:val="en-NZ"/>
              </w:rPr>
            </w:pPr>
            <w:r w:rsidRPr="00BD16B4">
              <w:rPr>
                <w:rFonts w:cs="Calibri"/>
                <w:szCs w:val="18"/>
                <w:lang w:val="en-NZ"/>
              </w:rPr>
              <w:t>WAM</w:t>
            </w:r>
          </w:p>
        </w:tc>
        <w:tc>
          <w:tcPr>
            <w:tcW w:w="419" w:type="pct"/>
          </w:tcPr>
          <w:p w14:paraId="29C83AA5" w14:textId="77777777" w:rsidR="007C259A" w:rsidRPr="00BD16B4" w:rsidRDefault="007C259A" w:rsidP="00F31129">
            <w:pPr>
              <w:pStyle w:val="TableText"/>
              <w:jc w:val="center"/>
              <w:rPr>
                <w:rFonts w:cs="Calibri"/>
                <w:szCs w:val="18"/>
                <w:lang w:val="en-NZ"/>
              </w:rPr>
            </w:pPr>
            <w:r w:rsidRPr="00BD16B4">
              <w:rPr>
                <w:rFonts w:cs="Calibri"/>
                <w:szCs w:val="18"/>
                <w:lang w:val="en-NZ"/>
              </w:rPr>
              <w:t>–21.23</w:t>
            </w:r>
          </w:p>
        </w:tc>
        <w:tc>
          <w:tcPr>
            <w:tcW w:w="419" w:type="pct"/>
          </w:tcPr>
          <w:p w14:paraId="017E98E6" w14:textId="77777777" w:rsidR="007C259A" w:rsidRPr="00BD16B4" w:rsidRDefault="007C259A" w:rsidP="00F31129">
            <w:pPr>
              <w:pStyle w:val="TableText"/>
              <w:jc w:val="center"/>
              <w:rPr>
                <w:rFonts w:cs="Calibri"/>
                <w:szCs w:val="18"/>
                <w:lang w:val="en-NZ"/>
              </w:rPr>
            </w:pPr>
            <w:r w:rsidRPr="00BD16B4">
              <w:rPr>
                <w:rFonts w:cs="Calibri"/>
                <w:szCs w:val="18"/>
                <w:lang w:val="en-NZ"/>
              </w:rPr>
              <w:t>–22.45</w:t>
            </w:r>
          </w:p>
        </w:tc>
        <w:tc>
          <w:tcPr>
            <w:tcW w:w="389" w:type="pct"/>
          </w:tcPr>
          <w:p w14:paraId="70BC5192"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–26.93</w:t>
            </w:r>
          </w:p>
        </w:tc>
        <w:tc>
          <w:tcPr>
            <w:tcW w:w="389" w:type="pct"/>
          </w:tcPr>
          <w:p w14:paraId="039239B7"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–25.42</w:t>
            </w:r>
          </w:p>
        </w:tc>
        <w:tc>
          <w:tcPr>
            <w:tcW w:w="389" w:type="pct"/>
          </w:tcPr>
          <w:p w14:paraId="1BBCE13F"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–29.33</w:t>
            </w:r>
          </w:p>
        </w:tc>
        <w:tc>
          <w:tcPr>
            <w:tcW w:w="389" w:type="pct"/>
          </w:tcPr>
          <w:p w14:paraId="3819F778"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–26.61</w:t>
            </w:r>
          </w:p>
        </w:tc>
        <w:tc>
          <w:tcPr>
            <w:tcW w:w="389" w:type="pct"/>
            <w:gridSpan w:val="2"/>
          </w:tcPr>
          <w:p w14:paraId="5737784E"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–23.31</w:t>
            </w:r>
          </w:p>
        </w:tc>
        <w:tc>
          <w:tcPr>
            <w:tcW w:w="388" w:type="pct"/>
            <w:shd w:val="clear" w:color="auto" w:fill="D2DDE1" w:themeFill="background2"/>
          </w:tcPr>
          <w:p w14:paraId="060F2DA5"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–9.64</w:t>
            </w:r>
          </w:p>
        </w:tc>
        <w:tc>
          <w:tcPr>
            <w:tcW w:w="389" w:type="pct"/>
            <w:shd w:val="clear" w:color="auto" w:fill="D2DDE1" w:themeFill="background2"/>
          </w:tcPr>
          <w:p w14:paraId="0F56B63C"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–13.43</w:t>
            </w:r>
          </w:p>
        </w:tc>
        <w:tc>
          <w:tcPr>
            <w:tcW w:w="401" w:type="pct"/>
            <w:shd w:val="clear" w:color="auto" w:fill="D2DDE1" w:themeFill="background2"/>
          </w:tcPr>
          <w:p w14:paraId="0C99E47B" w14:textId="77777777" w:rsidR="007C259A" w:rsidRPr="00BD16B4" w:rsidRDefault="007C259A" w:rsidP="00F31129">
            <w:pPr>
              <w:pStyle w:val="TableText"/>
              <w:jc w:val="center"/>
              <w:rPr>
                <w:rFonts w:eastAsia="Wingdings" w:cs="Calibri"/>
                <w:szCs w:val="18"/>
                <w:lang w:val="en-NZ"/>
              </w:rPr>
            </w:pPr>
            <w:r w:rsidRPr="00BD16B4">
              <w:rPr>
                <w:rFonts w:cs="Calibri"/>
                <w:szCs w:val="18"/>
                <w:lang w:val="en-NZ"/>
              </w:rPr>
              <w:t>–28.03</w:t>
            </w:r>
          </w:p>
        </w:tc>
      </w:tr>
      <w:tr w:rsidR="007C259A" w:rsidRPr="00BD16B4" w14:paraId="2E91F6A8" w14:textId="77777777" w:rsidTr="00B103C6">
        <w:tc>
          <w:tcPr>
            <w:tcW w:w="638" w:type="pct"/>
            <w:vMerge w:val="restart"/>
          </w:tcPr>
          <w:p w14:paraId="33B007E5" w14:textId="77777777" w:rsidR="007C259A" w:rsidRPr="00BD16B4" w:rsidRDefault="007C259A" w:rsidP="00F31129">
            <w:pPr>
              <w:pStyle w:val="TableText"/>
              <w:rPr>
                <w:rFonts w:cs="Calibri"/>
                <w:szCs w:val="18"/>
                <w:lang w:val="en-NZ"/>
              </w:rPr>
            </w:pPr>
            <w:r w:rsidRPr="00BD16B4">
              <w:rPr>
                <w:rFonts w:cs="Calibri"/>
                <w:szCs w:val="18"/>
                <w:lang w:val="en-NZ"/>
              </w:rPr>
              <w:t>Total (including LULUCF)</w:t>
            </w:r>
          </w:p>
        </w:tc>
        <w:tc>
          <w:tcPr>
            <w:tcW w:w="400" w:type="pct"/>
          </w:tcPr>
          <w:p w14:paraId="032BA15B" w14:textId="77777777" w:rsidR="007C259A" w:rsidRPr="00BD16B4" w:rsidRDefault="007C259A" w:rsidP="00F31129">
            <w:pPr>
              <w:pStyle w:val="TableText"/>
              <w:rPr>
                <w:rFonts w:cs="Calibri"/>
                <w:szCs w:val="18"/>
                <w:lang w:val="en-NZ"/>
              </w:rPr>
            </w:pPr>
            <w:r w:rsidRPr="00BD16B4">
              <w:rPr>
                <w:rFonts w:cs="Calibri"/>
                <w:szCs w:val="18"/>
                <w:lang w:val="en-NZ"/>
              </w:rPr>
              <w:t xml:space="preserve">WEM </w:t>
            </w:r>
          </w:p>
        </w:tc>
        <w:tc>
          <w:tcPr>
            <w:tcW w:w="419" w:type="pct"/>
          </w:tcPr>
          <w:p w14:paraId="3BD9C646"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43.97</w:t>
            </w:r>
          </w:p>
        </w:tc>
        <w:tc>
          <w:tcPr>
            <w:tcW w:w="419" w:type="pct"/>
          </w:tcPr>
          <w:p w14:paraId="2C983756"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46.57</w:t>
            </w:r>
          </w:p>
        </w:tc>
        <w:tc>
          <w:tcPr>
            <w:tcW w:w="389" w:type="pct"/>
          </w:tcPr>
          <w:p w14:paraId="668FA8CB"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48.58</w:t>
            </w:r>
          </w:p>
        </w:tc>
        <w:tc>
          <w:tcPr>
            <w:tcW w:w="389" w:type="pct"/>
          </w:tcPr>
          <w:p w14:paraId="304B69AF"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57.24</w:t>
            </w:r>
          </w:p>
        </w:tc>
        <w:tc>
          <w:tcPr>
            <w:tcW w:w="389" w:type="pct"/>
          </w:tcPr>
          <w:p w14:paraId="582234AA"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49.10</w:t>
            </w:r>
          </w:p>
        </w:tc>
        <w:tc>
          <w:tcPr>
            <w:tcW w:w="389" w:type="pct"/>
          </w:tcPr>
          <w:p w14:paraId="334B52A6"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53.84</w:t>
            </w:r>
          </w:p>
        </w:tc>
        <w:tc>
          <w:tcPr>
            <w:tcW w:w="389" w:type="pct"/>
            <w:gridSpan w:val="2"/>
          </w:tcPr>
          <w:p w14:paraId="6BAE6B91"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55.47</w:t>
            </w:r>
          </w:p>
        </w:tc>
        <w:tc>
          <w:tcPr>
            <w:tcW w:w="388" w:type="pct"/>
            <w:shd w:val="clear" w:color="auto" w:fill="D2DDE1" w:themeFill="background2"/>
          </w:tcPr>
          <w:p w14:paraId="1D617B89"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63.76</w:t>
            </w:r>
          </w:p>
        </w:tc>
        <w:tc>
          <w:tcPr>
            <w:tcW w:w="389" w:type="pct"/>
            <w:shd w:val="clear" w:color="auto" w:fill="D2DDE1" w:themeFill="background2"/>
          </w:tcPr>
          <w:p w14:paraId="3FCCF2F0"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58.03</w:t>
            </w:r>
          </w:p>
        </w:tc>
        <w:tc>
          <w:tcPr>
            <w:tcW w:w="401" w:type="pct"/>
            <w:shd w:val="clear" w:color="auto" w:fill="D2DDE1" w:themeFill="background2"/>
          </w:tcPr>
          <w:p w14:paraId="3490B58F" w14:textId="77777777" w:rsidR="007C259A" w:rsidRPr="00BD16B4" w:rsidRDefault="007C259A" w:rsidP="00F31129">
            <w:pPr>
              <w:pStyle w:val="TableText"/>
              <w:jc w:val="center"/>
              <w:rPr>
                <w:rFonts w:eastAsia="Wingdings" w:cs="Calibri"/>
                <w:szCs w:val="18"/>
                <w:lang w:val="en-NZ"/>
              </w:rPr>
            </w:pPr>
            <w:r w:rsidRPr="00BD16B4">
              <w:rPr>
                <w:rFonts w:cs="Calibri"/>
                <w:color w:val="000000"/>
                <w:szCs w:val="18"/>
                <w:lang w:val="en-NZ"/>
              </w:rPr>
              <w:t>41.20</w:t>
            </w:r>
          </w:p>
        </w:tc>
      </w:tr>
      <w:tr w:rsidR="007C259A" w:rsidRPr="00BD16B4" w14:paraId="5B5FCCD7" w14:textId="77777777" w:rsidTr="00B103C6">
        <w:tc>
          <w:tcPr>
            <w:tcW w:w="638" w:type="pct"/>
            <w:vMerge/>
          </w:tcPr>
          <w:p w14:paraId="30B05E5A" w14:textId="77777777" w:rsidR="007C259A" w:rsidRPr="00BD16B4" w:rsidRDefault="007C259A" w:rsidP="00F31129">
            <w:pPr>
              <w:pStyle w:val="TableText"/>
              <w:rPr>
                <w:rFonts w:cs="Calibri"/>
                <w:b/>
                <w:bCs/>
                <w:szCs w:val="18"/>
                <w:lang w:val="en-NZ"/>
              </w:rPr>
            </w:pPr>
          </w:p>
        </w:tc>
        <w:tc>
          <w:tcPr>
            <w:tcW w:w="400" w:type="pct"/>
          </w:tcPr>
          <w:p w14:paraId="79207BEF" w14:textId="77777777" w:rsidR="007C259A" w:rsidRPr="00BD16B4" w:rsidRDefault="007C259A" w:rsidP="00F31129">
            <w:pPr>
              <w:pStyle w:val="TableText"/>
              <w:rPr>
                <w:rFonts w:cs="Calibri"/>
                <w:szCs w:val="18"/>
                <w:lang w:val="en-NZ"/>
              </w:rPr>
            </w:pPr>
            <w:r w:rsidRPr="00BD16B4">
              <w:rPr>
                <w:rFonts w:cs="Calibri"/>
                <w:szCs w:val="18"/>
                <w:lang w:val="en-NZ"/>
              </w:rPr>
              <w:t>WOM</w:t>
            </w:r>
          </w:p>
        </w:tc>
        <w:tc>
          <w:tcPr>
            <w:tcW w:w="419" w:type="pct"/>
          </w:tcPr>
          <w:p w14:paraId="6E3F6679"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43.97</w:t>
            </w:r>
          </w:p>
        </w:tc>
        <w:tc>
          <w:tcPr>
            <w:tcW w:w="419" w:type="pct"/>
          </w:tcPr>
          <w:p w14:paraId="114B2A78"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46.54</w:t>
            </w:r>
          </w:p>
        </w:tc>
        <w:tc>
          <w:tcPr>
            <w:tcW w:w="389" w:type="pct"/>
          </w:tcPr>
          <w:p w14:paraId="0BA8F079"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48.88</w:t>
            </w:r>
          </w:p>
        </w:tc>
        <w:tc>
          <w:tcPr>
            <w:tcW w:w="389" w:type="pct"/>
          </w:tcPr>
          <w:p w14:paraId="6B1E123E"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51.81</w:t>
            </w:r>
          </w:p>
        </w:tc>
        <w:tc>
          <w:tcPr>
            <w:tcW w:w="389" w:type="pct"/>
          </w:tcPr>
          <w:p w14:paraId="7BAECEE1"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50.61</w:t>
            </w:r>
          </w:p>
        </w:tc>
        <w:tc>
          <w:tcPr>
            <w:tcW w:w="389" w:type="pct"/>
          </w:tcPr>
          <w:p w14:paraId="7C437F67"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56.39</w:t>
            </w:r>
          </w:p>
        </w:tc>
        <w:tc>
          <w:tcPr>
            <w:tcW w:w="389" w:type="pct"/>
            <w:gridSpan w:val="2"/>
          </w:tcPr>
          <w:p w14:paraId="447B8163"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62.70</w:t>
            </w:r>
          </w:p>
        </w:tc>
        <w:tc>
          <w:tcPr>
            <w:tcW w:w="388" w:type="pct"/>
            <w:shd w:val="clear" w:color="auto" w:fill="D2DDE1" w:themeFill="background2"/>
          </w:tcPr>
          <w:p w14:paraId="511F8D41"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75.12</w:t>
            </w:r>
          </w:p>
        </w:tc>
        <w:tc>
          <w:tcPr>
            <w:tcW w:w="389" w:type="pct"/>
            <w:shd w:val="clear" w:color="auto" w:fill="D2DDE1" w:themeFill="background2"/>
          </w:tcPr>
          <w:p w14:paraId="427ACBBB"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79.05</w:t>
            </w:r>
          </w:p>
        </w:tc>
        <w:tc>
          <w:tcPr>
            <w:tcW w:w="401" w:type="pct"/>
            <w:shd w:val="clear" w:color="auto" w:fill="D2DDE1" w:themeFill="background2"/>
          </w:tcPr>
          <w:p w14:paraId="7BE6ABF5"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71.90</w:t>
            </w:r>
          </w:p>
        </w:tc>
      </w:tr>
      <w:tr w:rsidR="007C259A" w:rsidRPr="00BD16B4" w14:paraId="180DDAAE" w14:textId="77777777" w:rsidTr="00B103C6">
        <w:tc>
          <w:tcPr>
            <w:tcW w:w="638" w:type="pct"/>
            <w:vMerge/>
          </w:tcPr>
          <w:p w14:paraId="0542313F" w14:textId="77777777" w:rsidR="007C259A" w:rsidRPr="00BD16B4" w:rsidRDefault="007C259A" w:rsidP="00F31129">
            <w:pPr>
              <w:pStyle w:val="TableText"/>
              <w:rPr>
                <w:rFonts w:cs="Calibri"/>
                <w:b/>
                <w:bCs/>
                <w:szCs w:val="18"/>
                <w:lang w:val="en-NZ"/>
              </w:rPr>
            </w:pPr>
          </w:p>
        </w:tc>
        <w:tc>
          <w:tcPr>
            <w:tcW w:w="400" w:type="pct"/>
          </w:tcPr>
          <w:p w14:paraId="5767E8E5" w14:textId="77777777" w:rsidR="007C259A" w:rsidRPr="00BD16B4" w:rsidRDefault="007C259A" w:rsidP="00F31129">
            <w:pPr>
              <w:pStyle w:val="TableText"/>
              <w:rPr>
                <w:rFonts w:cs="Calibri"/>
                <w:szCs w:val="18"/>
                <w:lang w:val="en-NZ"/>
              </w:rPr>
            </w:pPr>
            <w:r w:rsidRPr="00BD16B4">
              <w:rPr>
                <w:rFonts w:cs="Calibri"/>
                <w:szCs w:val="18"/>
                <w:lang w:val="en-NZ"/>
              </w:rPr>
              <w:t>WAM</w:t>
            </w:r>
          </w:p>
        </w:tc>
        <w:tc>
          <w:tcPr>
            <w:tcW w:w="419" w:type="pct"/>
          </w:tcPr>
          <w:p w14:paraId="485E7D12"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43.97</w:t>
            </w:r>
          </w:p>
        </w:tc>
        <w:tc>
          <w:tcPr>
            <w:tcW w:w="419" w:type="pct"/>
          </w:tcPr>
          <w:p w14:paraId="6BF0FA3F"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46.57</w:t>
            </w:r>
          </w:p>
        </w:tc>
        <w:tc>
          <w:tcPr>
            <w:tcW w:w="389" w:type="pct"/>
          </w:tcPr>
          <w:p w14:paraId="16BD3382"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48.58</w:t>
            </w:r>
          </w:p>
        </w:tc>
        <w:tc>
          <w:tcPr>
            <w:tcW w:w="389" w:type="pct"/>
          </w:tcPr>
          <w:p w14:paraId="736DB600"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57.24</w:t>
            </w:r>
          </w:p>
        </w:tc>
        <w:tc>
          <w:tcPr>
            <w:tcW w:w="389" w:type="pct"/>
          </w:tcPr>
          <w:p w14:paraId="52EC0B8B"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49.10</w:t>
            </w:r>
          </w:p>
        </w:tc>
        <w:tc>
          <w:tcPr>
            <w:tcW w:w="389" w:type="pct"/>
          </w:tcPr>
          <w:p w14:paraId="4483C2EA" w14:textId="77777777" w:rsidR="007C259A" w:rsidRPr="00BD16B4" w:rsidRDefault="007C259A" w:rsidP="00F31129">
            <w:pPr>
              <w:pStyle w:val="TableText"/>
              <w:jc w:val="center"/>
              <w:rPr>
                <w:rFonts w:cs="Calibri"/>
                <w:szCs w:val="18"/>
                <w:lang w:val="en-NZ"/>
              </w:rPr>
            </w:pPr>
            <w:r w:rsidRPr="00BD16B4">
              <w:rPr>
                <w:rFonts w:cs="Calibri"/>
                <w:color w:val="000000"/>
                <w:szCs w:val="18"/>
                <w:lang w:val="en-NZ"/>
              </w:rPr>
              <w:t>53.84</w:t>
            </w:r>
          </w:p>
        </w:tc>
        <w:tc>
          <w:tcPr>
            <w:tcW w:w="389" w:type="pct"/>
            <w:gridSpan w:val="2"/>
          </w:tcPr>
          <w:p w14:paraId="0DD968AC"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55.47</w:t>
            </w:r>
          </w:p>
        </w:tc>
        <w:tc>
          <w:tcPr>
            <w:tcW w:w="388" w:type="pct"/>
            <w:shd w:val="clear" w:color="auto" w:fill="D2DDE1" w:themeFill="background2"/>
          </w:tcPr>
          <w:p w14:paraId="689143E8"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63.53</w:t>
            </w:r>
          </w:p>
        </w:tc>
        <w:tc>
          <w:tcPr>
            <w:tcW w:w="389" w:type="pct"/>
            <w:shd w:val="clear" w:color="auto" w:fill="D2DDE1" w:themeFill="background2"/>
          </w:tcPr>
          <w:p w14:paraId="27E708AE"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55.53</w:t>
            </w:r>
          </w:p>
        </w:tc>
        <w:tc>
          <w:tcPr>
            <w:tcW w:w="401" w:type="pct"/>
            <w:shd w:val="clear" w:color="auto" w:fill="D2DDE1" w:themeFill="background2"/>
          </w:tcPr>
          <w:p w14:paraId="6544B62D" w14:textId="77777777" w:rsidR="007C259A" w:rsidRPr="00BD16B4" w:rsidRDefault="007C259A" w:rsidP="00F31129">
            <w:pPr>
              <w:pStyle w:val="TableText"/>
              <w:jc w:val="center"/>
              <w:rPr>
                <w:rFonts w:cs="Calibri"/>
                <w:color w:val="000000"/>
                <w:szCs w:val="18"/>
                <w:lang w:val="en-NZ"/>
              </w:rPr>
            </w:pPr>
            <w:r w:rsidRPr="00BD16B4">
              <w:rPr>
                <w:rFonts w:cs="Calibri"/>
                <w:color w:val="000000"/>
                <w:szCs w:val="18"/>
                <w:lang w:val="en-NZ"/>
              </w:rPr>
              <w:t>37.46</w:t>
            </w:r>
          </w:p>
        </w:tc>
      </w:tr>
    </w:tbl>
    <w:p w14:paraId="668B0220" w14:textId="77777777" w:rsidR="007C259A" w:rsidRPr="00BD16B4" w:rsidRDefault="007C259A" w:rsidP="00120409">
      <w:pPr>
        <w:pStyle w:val="Note"/>
        <w:rPr>
          <w:b/>
          <w:sz w:val="20"/>
        </w:rPr>
      </w:pPr>
      <w:r w:rsidRPr="00BD16B4">
        <w:rPr>
          <w:b/>
          <w:bCs/>
        </w:rPr>
        <w:t>Note:</w:t>
      </w:r>
      <w:r w:rsidRPr="00BD16B4">
        <w:t xml:space="preserve"> IPPU = industrial processes and product use; LULUCF = land use, land-use change and forestry; Mt CO</w:t>
      </w:r>
      <w:r w:rsidRPr="00BD16B4">
        <w:rPr>
          <w:vertAlign w:val="subscript"/>
        </w:rPr>
        <w:t>2</w:t>
      </w:r>
      <w:r w:rsidRPr="00BD16B4">
        <w:t>-e = million tonnes of carbon dioxide equivalent; WAM = with additional measures; WEM = with existing measures; WOM = without measures. Numbers may not add to totals due to rounding to two decimal places.</w:t>
      </w:r>
    </w:p>
    <w:p w14:paraId="7DDD7950" w14:textId="77777777" w:rsidR="007C259A" w:rsidRPr="00BD16B4" w:rsidRDefault="007C259A" w:rsidP="00BB7302">
      <w:pPr>
        <w:pStyle w:val="Tableheading"/>
      </w:pPr>
      <w:bookmarkStart w:id="280" w:name="_Toc121773796"/>
      <w:r w:rsidRPr="00BD16B4">
        <w:lastRenderedPageBreak/>
        <w:t xml:space="preserve">Table 5.6: </w:t>
      </w:r>
      <w:r w:rsidRPr="00BD16B4">
        <w:tab/>
        <w:t>New Zealand greenhouse gas emissions by gas, 1990–2035 (Mt CO</w:t>
      </w:r>
      <w:r w:rsidRPr="00BD16B4">
        <w:rPr>
          <w:vertAlign w:val="subscript"/>
        </w:rPr>
        <w:t>2</w:t>
      </w:r>
      <w:r w:rsidRPr="00BD16B4">
        <w:t>-e)</w:t>
      </w:r>
      <w:bookmarkEnd w:id="280"/>
    </w:p>
    <w:tbl>
      <w:tblPr>
        <w:tblStyle w:val="LightList-Accent11"/>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57" w:type="dxa"/>
        </w:tblCellMar>
        <w:tblLook w:val="04A0" w:firstRow="1" w:lastRow="0" w:firstColumn="1" w:lastColumn="0" w:noHBand="0" w:noVBand="1"/>
      </w:tblPr>
      <w:tblGrid>
        <w:gridCol w:w="893"/>
        <w:gridCol w:w="671"/>
        <w:gridCol w:w="692"/>
        <w:gridCol w:w="692"/>
        <w:gridCol w:w="692"/>
        <w:gridCol w:w="692"/>
        <w:gridCol w:w="692"/>
        <w:gridCol w:w="692"/>
        <w:gridCol w:w="692"/>
        <w:gridCol w:w="692"/>
        <w:gridCol w:w="692"/>
        <w:gridCol w:w="713"/>
      </w:tblGrid>
      <w:tr w:rsidR="007C259A" w:rsidRPr="00BD16B4" w14:paraId="2467352D" w14:textId="77777777" w:rsidTr="00AB54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6" w:type="dxa"/>
            <w:tcBorders>
              <w:bottom w:val="nil"/>
              <w:right w:val="nil"/>
            </w:tcBorders>
            <w:shd w:val="clear" w:color="auto" w:fill="1B556B" w:themeFill="text2"/>
          </w:tcPr>
          <w:p w14:paraId="3483DD49" w14:textId="77777777" w:rsidR="007C259A" w:rsidRPr="00BD16B4" w:rsidRDefault="007C259A" w:rsidP="00F31129">
            <w:pPr>
              <w:pStyle w:val="TableTextBold0"/>
              <w:keepNext/>
              <w:spacing w:before="50" w:after="0"/>
              <w:rPr>
                <w:b/>
                <w:bCs w:val="0"/>
              </w:rPr>
            </w:pPr>
          </w:p>
        </w:tc>
        <w:tc>
          <w:tcPr>
            <w:tcW w:w="680" w:type="dxa"/>
            <w:tcBorders>
              <w:left w:val="nil"/>
              <w:bottom w:val="nil"/>
              <w:right w:val="nil"/>
            </w:tcBorders>
            <w:shd w:val="clear" w:color="auto" w:fill="1B556B" w:themeFill="text2"/>
          </w:tcPr>
          <w:p w14:paraId="41CD10A9" w14:textId="77777777" w:rsidR="007C259A" w:rsidRPr="00BD16B4" w:rsidRDefault="007C259A" w:rsidP="00F31129">
            <w:pPr>
              <w:pStyle w:val="TableTextBold0"/>
              <w:keepNext/>
              <w:spacing w:before="50" w:after="0"/>
              <w:cnfStyle w:val="100000000000" w:firstRow="1" w:lastRow="0" w:firstColumn="0" w:lastColumn="0" w:oddVBand="0" w:evenVBand="0" w:oddHBand="0" w:evenHBand="0" w:firstRowFirstColumn="0" w:firstRowLastColumn="0" w:lastRowFirstColumn="0" w:lastRowLastColumn="0"/>
              <w:rPr>
                <w:b/>
                <w:bCs w:val="0"/>
              </w:rPr>
            </w:pPr>
          </w:p>
        </w:tc>
        <w:tc>
          <w:tcPr>
            <w:tcW w:w="4942" w:type="dxa"/>
            <w:gridSpan w:val="7"/>
            <w:tcBorders>
              <w:left w:val="nil"/>
              <w:bottom w:val="nil"/>
              <w:right w:val="nil"/>
            </w:tcBorders>
            <w:shd w:val="clear" w:color="auto" w:fill="1B556B" w:themeFill="text2"/>
          </w:tcPr>
          <w:p w14:paraId="730506BF" w14:textId="77777777" w:rsidR="007C259A" w:rsidRPr="00BD16B4" w:rsidRDefault="007C259A" w:rsidP="00F31129">
            <w:pPr>
              <w:pStyle w:val="TableTextBold0"/>
              <w:keepNext/>
              <w:spacing w:before="50" w:after="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Historical</w:t>
            </w:r>
          </w:p>
        </w:tc>
        <w:tc>
          <w:tcPr>
            <w:tcW w:w="2141" w:type="dxa"/>
            <w:gridSpan w:val="3"/>
            <w:tcBorders>
              <w:left w:val="nil"/>
              <w:bottom w:val="nil"/>
            </w:tcBorders>
            <w:shd w:val="clear" w:color="auto" w:fill="1B556B" w:themeFill="text2"/>
          </w:tcPr>
          <w:p w14:paraId="22E0C80C" w14:textId="77777777" w:rsidR="007C259A" w:rsidRPr="00BD16B4" w:rsidRDefault="007C259A" w:rsidP="00F31129">
            <w:pPr>
              <w:pStyle w:val="TableTextBold0"/>
              <w:keepNext/>
              <w:spacing w:before="50" w:after="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Projected</w:t>
            </w:r>
          </w:p>
        </w:tc>
      </w:tr>
      <w:tr w:rsidR="007C259A" w:rsidRPr="00BD16B4" w14:paraId="514F186F" w14:textId="77777777" w:rsidTr="00AB54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6" w:type="dxa"/>
            <w:tcBorders>
              <w:top w:val="nil"/>
              <w:right w:val="nil"/>
            </w:tcBorders>
            <w:shd w:val="clear" w:color="auto" w:fill="1B556B" w:themeFill="text2"/>
          </w:tcPr>
          <w:p w14:paraId="266FB765" w14:textId="77777777" w:rsidR="007C259A" w:rsidRPr="00BD16B4" w:rsidRDefault="007C259A" w:rsidP="00F31129">
            <w:pPr>
              <w:pStyle w:val="TableTextBold0"/>
              <w:keepNext/>
              <w:spacing w:before="50" w:after="50"/>
              <w:rPr>
                <w:b/>
                <w:bCs w:val="0"/>
              </w:rPr>
            </w:pPr>
            <w:r w:rsidRPr="00BD16B4">
              <w:rPr>
                <w:b/>
                <w:bCs w:val="0"/>
              </w:rPr>
              <w:t>Gas</w:t>
            </w:r>
          </w:p>
        </w:tc>
        <w:tc>
          <w:tcPr>
            <w:tcW w:w="680" w:type="dxa"/>
            <w:tcBorders>
              <w:top w:val="nil"/>
              <w:left w:val="nil"/>
              <w:right w:val="nil"/>
            </w:tcBorders>
            <w:shd w:val="clear" w:color="auto" w:fill="1B556B" w:themeFill="text2"/>
          </w:tcPr>
          <w:p w14:paraId="26DB7270" w14:textId="77777777" w:rsidR="007C259A" w:rsidRPr="00BD16B4" w:rsidRDefault="007C259A" w:rsidP="00F31129">
            <w:pPr>
              <w:pStyle w:val="TableTextBold0"/>
              <w:keepNext/>
              <w:spacing w:before="50" w:after="50"/>
              <w:cnfStyle w:val="100000000000" w:firstRow="1" w:lastRow="0" w:firstColumn="0" w:lastColumn="0" w:oddVBand="0" w:evenVBand="0" w:oddHBand="0" w:evenHBand="0" w:firstRowFirstColumn="0" w:firstRowLastColumn="0" w:lastRowFirstColumn="0" w:lastRowLastColumn="0"/>
              <w:rPr>
                <w:b/>
                <w:bCs w:val="0"/>
              </w:rPr>
            </w:pPr>
          </w:p>
        </w:tc>
        <w:tc>
          <w:tcPr>
            <w:tcW w:w="706" w:type="dxa"/>
            <w:tcBorders>
              <w:top w:val="nil"/>
              <w:left w:val="nil"/>
              <w:right w:val="nil"/>
            </w:tcBorders>
            <w:shd w:val="clear" w:color="auto" w:fill="1B556B" w:themeFill="text2"/>
          </w:tcPr>
          <w:p w14:paraId="4BC1F6DF" w14:textId="77777777" w:rsidR="007C259A" w:rsidRPr="00BD16B4" w:rsidRDefault="007C259A" w:rsidP="00F31129">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1990</w:t>
            </w:r>
          </w:p>
        </w:tc>
        <w:tc>
          <w:tcPr>
            <w:tcW w:w="706" w:type="dxa"/>
            <w:tcBorders>
              <w:top w:val="nil"/>
              <w:left w:val="nil"/>
              <w:right w:val="nil"/>
            </w:tcBorders>
            <w:shd w:val="clear" w:color="auto" w:fill="1B556B" w:themeFill="text2"/>
          </w:tcPr>
          <w:p w14:paraId="6B28AE16" w14:textId="77777777" w:rsidR="007C259A" w:rsidRPr="00BD16B4" w:rsidRDefault="007C259A" w:rsidP="00F31129">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1995</w:t>
            </w:r>
          </w:p>
        </w:tc>
        <w:tc>
          <w:tcPr>
            <w:tcW w:w="706" w:type="dxa"/>
            <w:tcBorders>
              <w:top w:val="nil"/>
              <w:left w:val="nil"/>
              <w:right w:val="nil"/>
            </w:tcBorders>
            <w:shd w:val="clear" w:color="auto" w:fill="1B556B" w:themeFill="text2"/>
          </w:tcPr>
          <w:p w14:paraId="12AB8379" w14:textId="77777777" w:rsidR="007C259A" w:rsidRPr="00BD16B4" w:rsidRDefault="007C259A" w:rsidP="00F31129">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2000</w:t>
            </w:r>
          </w:p>
        </w:tc>
        <w:tc>
          <w:tcPr>
            <w:tcW w:w="706" w:type="dxa"/>
            <w:tcBorders>
              <w:top w:val="nil"/>
              <w:left w:val="nil"/>
              <w:right w:val="nil"/>
            </w:tcBorders>
            <w:shd w:val="clear" w:color="auto" w:fill="1B556B" w:themeFill="text2"/>
          </w:tcPr>
          <w:p w14:paraId="58DF67A3" w14:textId="77777777" w:rsidR="007C259A" w:rsidRPr="00BD16B4" w:rsidRDefault="007C259A" w:rsidP="00F31129">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2005</w:t>
            </w:r>
          </w:p>
        </w:tc>
        <w:tc>
          <w:tcPr>
            <w:tcW w:w="706" w:type="dxa"/>
            <w:tcBorders>
              <w:top w:val="nil"/>
              <w:left w:val="nil"/>
              <w:right w:val="nil"/>
            </w:tcBorders>
            <w:shd w:val="clear" w:color="auto" w:fill="1B556B" w:themeFill="text2"/>
          </w:tcPr>
          <w:p w14:paraId="0D97B847" w14:textId="77777777" w:rsidR="007C259A" w:rsidRPr="00BD16B4" w:rsidRDefault="007C259A" w:rsidP="00F31129">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2010</w:t>
            </w:r>
          </w:p>
        </w:tc>
        <w:tc>
          <w:tcPr>
            <w:tcW w:w="706" w:type="dxa"/>
            <w:tcBorders>
              <w:top w:val="nil"/>
              <w:left w:val="nil"/>
              <w:right w:val="nil"/>
            </w:tcBorders>
            <w:shd w:val="clear" w:color="auto" w:fill="1B556B" w:themeFill="text2"/>
          </w:tcPr>
          <w:p w14:paraId="10852A07" w14:textId="77777777" w:rsidR="007C259A" w:rsidRPr="00BD16B4" w:rsidRDefault="007C259A" w:rsidP="00F31129">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2015</w:t>
            </w:r>
          </w:p>
        </w:tc>
        <w:tc>
          <w:tcPr>
            <w:tcW w:w="706" w:type="dxa"/>
            <w:tcBorders>
              <w:top w:val="nil"/>
              <w:left w:val="nil"/>
              <w:right w:val="nil"/>
            </w:tcBorders>
            <w:shd w:val="clear" w:color="auto" w:fill="1B556B" w:themeFill="text2"/>
          </w:tcPr>
          <w:p w14:paraId="5FAA04CA" w14:textId="77777777" w:rsidR="007C259A" w:rsidRPr="00BD16B4" w:rsidRDefault="007C259A" w:rsidP="00F31129">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2020</w:t>
            </w:r>
          </w:p>
        </w:tc>
        <w:tc>
          <w:tcPr>
            <w:tcW w:w="706" w:type="dxa"/>
            <w:tcBorders>
              <w:top w:val="nil"/>
              <w:left w:val="nil"/>
              <w:right w:val="nil"/>
            </w:tcBorders>
            <w:shd w:val="clear" w:color="auto" w:fill="1B556B" w:themeFill="text2"/>
          </w:tcPr>
          <w:p w14:paraId="1886A6B5" w14:textId="77777777" w:rsidR="007C259A" w:rsidRPr="00BD16B4" w:rsidRDefault="007C259A" w:rsidP="00F31129">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2025</w:t>
            </w:r>
          </w:p>
        </w:tc>
        <w:tc>
          <w:tcPr>
            <w:tcW w:w="706" w:type="dxa"/>
            <w:tcBorders>
              <w:top w:val="nil"/>
              <w:left w:val="nil"/>
              <w:right w:val="nil"/>
            </w:tcBorders>
            <w:shd w:val="clear" w:color="auto" w:fill="1B556B" w:themeFill="text2"/>
          </w:tcPr>
          <w:p w14:paraId="00B621C2" w14:textId="77777777" w:rsidR="007C259A" w:rsidRPr="00BD16B4" w:rsidRDefault="007C259A" w:rsidP="00F31129">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2030</w:t>
            </w:r>
          </w:p>
        </w:tc>
        <w:tc>
          <w:tcPr>
            <w:tcW w:w="729" w:type="dxa"/>
            <w:tcBorders>
              <w:top w:val="nil"/>
              <w:left w:val="nil"/>
            </w:tcBorders>
            <w:shd w:val="clear" w:color="auto" w:fill="1B556B" w:themeFill="text2"/>
          </w:tcPr>
          <w:p w14:paraId="6639C533" w14:textId="77777777" w:rsidR="007C259A" w:rsidRPr="00BD16B4" w:rsidRDefault="007C259A" w:rsidP="00F31129">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2035</w:t>
            </w:r>
          </w:p>
        </w:tc>
      </w:tr>
      <w:tr w:rsidR="007C259A" w:rsidRPr="00BD16B4" w14:paraId="35727DF0" w14:textId="77777777" w:rsidTr="00B1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one" w:sz="0" w:space="0" w:color="auto"/>
              <w:left w:val="none" w:sz="0" w:space="0" w:color="auto"/>
              <w:bottom w:val="none" w:sz="0" w:space="0" w:color="auto"/>
            </w:tcBorders>
          </w:tcPr>
          <w:p w14:paraId="626936A2" w14:textId="77777777" w:rsidR="007C259A" w:rsidRPr="00BD16B4" w:rsidRDefault="007C259A" w:rsidP="00F31129">
            <w:pPr>
              <w:pStyle w:val="TableText"/>
              <w:keepNext/>
              <w:spacing w:before="50" w:after="50"/>
              <w:rPr>
                <w:b w:val="0"/>
                <w:bCs w:val="0"/>
              </w:rPr>
            </w:pPr>
            <w:r w:rsidRPr="00BD16B4">
              <w:rPr>
                <w:b w:val="0"/>
                <w:bCs w:val="0"/>
              </w:rPr>
              <w:t>CO</w:t>
            </w:r>
            <w:r w:rsidRPr="00BD16B4">
              <w:rPr>
                <w:b w:val="0"/>
                <w:bCs w:val="0"/>
                <w:vertAlign w:val="subscript"/>
              </w:rPr>
              <w:t>2</w:t>
            </w:r>
          </w:p>
        </w:tc>
        <w:tc>
          <w:tcPr>
            <w:tcW w:w="680" w:type="dxa"/>
            <w:tcBorders>
              <w:top w:val="none" w:sz="0" w:space="0" w:color="auto"/>
              <w:bottom w:val="none" w:sz="0" w:space="0" w:color="auto"/>
            </w:tcBorders>
          </w:tcPr>
          <w:p w14:paraId="7961DCA9" w14:textId="77777777" w:rsidR="007C259A" w:rsidRPr="00BD16B4" w:rsidRDefault="007C259A" w:rsidP="00F31129">
            <w:pPr>
              <w:pStyle w:val="TableText"/>
              <w:keepNext/>
              <w:spacing w:before="50" w:after="50"/>
              <w:cnfStyle w:val="000000100000" w:firstRow="0" w:lastRow="0" w:firstColumn="0" w:lastColumn="0" w:oddVBand="0" w:evenVBand="0" w:oddHBand="1" w:evenHBand="0" w:firstRowFirstColumn="0" w:firstRowLastColumn="0" w:lastRowFirstColumn="0" w:lastRowLastColumn="0"/>
              <w:rPr>
                <w:color w:val="000000"/>
              </w:rPr>
            </w:pPr>
            <w:r w:rsidRPr="00BD16B4">
              <w:t xml:space="preserve">WEM </w:t>
            </w:r>
          </w:p>
        </w:tc>
        <w:tc>
          <w:tcPr>
            <w:tcW w:w="706" w:type="dxa"/>
            <w:tcBorders>
              <w:top w:val="none" w:sz="0" w:space="0" w:color="auto"/>
              <w:bottom w:val="none" w:sz="0" w:space="0" w:color="auto"/>
            </w:tcBorders>
            <w:shd w:val="clear" w:color="auto" w:fill="auto"/>
          </w:tcPr>
          <w:p w14:paraId="3A5B2A3E"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D16B4">
              <w:rPr>
                <w:rFonts w:cs="Calibri"/>
                <w:color w:val="000000"/>
              </w:rPr>
              <w:t>25.50</w:t>
            </w:r>
          </w:p>
        </w:tc>
        <w:tc>
          <w:tcPr>
            <w:tcW w:w="706" w:type="dxa"/>
            <w:tcBorders>
              <w:top w:val="none" w:sz="0" w:space="0" w:color="auto"/>
              <w:bottom w:val="none" w:sz="0" w:space="0" w:color="auto"/>
            </w:tcBorders>
            <w:shd w:val="clear" w:color="auto" w:fill="auto"/>
          </w:tcPr>
          <w:p w14:paraId="56706743"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28.00</w:t>
            </w:r>
          </w:p>
        </w:tc>
        <w:tc>
          <w:tcPr>
            <w:tcW w:w="706" w:type="dxa"/>
            <w:tcBorders>
              <w:top w:val="none" w:sz="0" w:space="0" w:color="auto"/>
              <w:bottom w:val="none" w:sz="0" w:space="0" w:color="auto"/>
            </w:tcBorders>
            <w:shd w:val="clear" w:color="auto" w:fill="auto"/>
          </w:tcPr>
          <w:p w14:paraId="31364DE8"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32.25</w:t>
            </w:r>
          </w:p>
        </w:tc>
        <w:tc>
          <w:tcPr>
            <w:tcW w:w="706" w:type="dxa"/>
            <w:tcBorders>
              <w:top w:val="none" w:sz="0" w:space="0" w:color="auto"/>
              <w:bottom w:val="none" w:sz="0" w:space="0" w:color="auto"/>
            </w:tcBorders>
            <w:shd w:val="clear" w:color="auto" w:fill="auto"/>
          </w:tcPr>
          <w:p w14:paraId="0B578B96"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37.42</w:t>
            </w:r>
          </w:p>
        </w:tc>
        <w:tc>
          <w:tcPr>
            <w:tcW w:w="706" w:type="dxa"/>
            <w:tcBorders>
              <w:top w:val="none" w:sz="0" w:space="0" w:color="auto"/>
              <w:bottom w:val="none" w:sz="0" w:space="0" w:color="auto"/>
            </w:tcBorders>
            <w:shd w:val="clear" w:color="auto" w:fill="auto"/>
          </w:tcPr>
          <w:p w14:paraId="3892A5DA"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34.81</w:t>
            </w:r>
          </w:p>
        </w:tc>
        <w:tc>
          <w:tcPr>
            <w:tcW w:w="706" w:type="dxa"/>
            <w:tcBorders>
              <w:top w:val="none" w:sz="0" w:space="0" w:color="auto"/>
              <w:bottom w:val="none" w:sz="0" w:space="0" w:color="auto"/>
            </w:tcBorders>
            <w:shd w:val="clear" w:color="auto" w:fill="auto"/>
          </w:tcPr>
          <w:p w14:paraId="6CF1640D"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35.81</w:t>
            </w:r>
          </w:p>
        </w:tc>
        <w:tc>
          <w:tcPr>
            <w:tcW w:w="706" w:type="dxa"/>
            <w:tcBorders>
              <w:top w:val="none" w:sz="0" w:space="0" w:color="auto"/>
              <w:bottom w:val="none" w:sz="0" w:space="0" w:color="auto"/>
            </w:tcBorders>
            <w:shd w:val="clear" w:color="auto" w:fill="auto"/>
          </w:tcPr>
          <w:p w14:paraId="039827FC"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34.46</w:t>
            </w:r>
          </w:p>
        </w:tc>
        <w:tc>
          <w:tcPr>
            <w:tcW w:w="706" w:type="dxa"/>
            <w:tcBorders>
              <w:top w:val="none" w:sz="0" w:space="0" w:color="auto"/>
              <w:bottom w:val="none" w:sz="0" w:space="0" w:color="auto"/>
            </w:tcBorders>
            <w:shd w:val="clear" w:color="000000" w:fill="D2DDE1" w:themeFill="background2"/>
          </w:tcPr>
          <w:p w14:paraId="7F429954"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31.28</w:t>
            </w:r>
          </w:p>
        </w:tc>
        <w:tc>
          <w:tcPr>
            <w:tcW w:w="706" w:type="dxa"/>
            <w:tcBorders>
              <w:top w:val="none" w:sz="0" w:space="0" w:color="auto"/>
              <w:bottom w:val="none" w:sz="0" w:space="0" w:color="auto"/>
            </w:tcBorders>
            <w:shd w:val="clear" w:color="000000" w:fill="D2DDE1" w:themeFill="background2"/>
          </w:tcPr>
          <w:p w14:paraId="390120DB"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29.42</w:t>
            </w:r>
          </w:p>
        </w:tc>
        <w:tc>
          <w:tcPr>
            <w:tcW w:w="729" w:type="dxa"/>
            <w:tcBorders>
              <w:top w:val="none" w:sz="0" w:space="0" w:color="auto"/>
              <w:bottom w:val="none" w:sz="0" w:space="0" w:color="auto"/>
              <w:right w:val="none" w:sz="0" w:space="0" w:color="auto"/>
            </w:tcBorders>
            <w:shd w:val="clear" w:color="000000" w:fill="D2DDE1" w:themeFill="background2"/>
          </w:tcPr>
          <w:p w14:paraId="7B56366A"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27.29</w:t>
            </w:r>
          </w:p>
        </w:tc>
      </w:tr>
      <w:tr w:rsidR="007C259A" w:rsidRPr="00BD16B4" w14:paraId="18D74C8C" w14:textId="77777777" w:rsidTr="00B103C6">
        <w:tc>
          <w:tcPr>
            <w:cnfStyle w:val="001000000000" w:firstRow="0" w:lastRow="0" w:firstColumn="1" w:lastColumn="0" w:oddVBand="0" w:evenVBand="0" w:oddHBand="0" w:evenHBand="0" w:firstRowFirstColumn="0" w:firstRowLastColumn="0" w:lastRowFirstColumn="0" w:lastRowLastColumn="0"/>
            <w:tcW w:w="706" w:type="dxa"/>
            <w:vMerge/>
          </w:tcPr>
          <w:p w14:paraId="04563CBA" w14:textId="77777777" w:rsidR="007C259A" w:rsidRPr="00BD16B4" w:rsidRDefault="007C259A" w:rsidP="00F31129">
            <w:pPr>
              <w:pStyle w:val="TableText"/>
              <w:keepNext/>
              <w:spacing w:before="50" w:after="50"/>
              <w:rPr>
                <w:b w:val="0"/>
                <w:bCs w:val="0"/>
              </w:rPr>
            </w:pPr>
          </w:p>
        </w:tc>
        <w:tc>
          <w:tcPr>
            <w:tcW w:w="680" w:type="dxa"/>
          </w:tcPr>
          <w:p w14:paraId="7B646B8E" w14:textId="77777777" w:rsidR="007C259A" w:rsidRPr="00BD16B4" w:rsidRDefault="007C259A" w:rsidP="00F31129">
            <w:pPr>
              <w:pStyle w:val="TableText"/>
              <w:keepNext/>
              <w:spacing w:before="50" w:after="50"/>
              <w:cnfStyle w:val="000000000000" w:firstRow="0" w:lastRow="0" w:firstColumn="0" w:lastColumn="0" w:oddVBand="0" w:evenVBand="0" w:oddHBand="0" w:evenHBand="0" w:firstRowFirstColumn="0" w:firstRowLastColumn="0" w:lastRowFirstColumn="0" w:lastRowLastColumn="0"/>
              <w:rPr>
                <w:color w:val="000000"/>
              </w:rPr>
            </w:pPr>
            <w:r w:rsidRPr="00BD16B4">
              <w:t>WOM</w:t>
            </w:r>
          </w:p>
        </w:tc>
        <w:tc>
          <w:tcPr>
            <w:tcW w:w="706" w:type="dxa"/>
            <w:shd w:val="clear" w:color="auto" w:fill="auto"/>
          </w:tcPr>
          <w:p w14:paraId="567F2B6F" w14:textId="77777777" w:rsidR="007C259A" w:rsidRPr="00BD16B4" w:rsidRDefault="007C259A" w:rsidP="00F31129">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D16B4">
              <w:rPr>
                <w:rFonts w:cs="Calibri"/>
                <w:color w:val="000000"/>
              </w:rPr>
              <w:t>25.50</w:t>
            </w:r>
          </w:p>
        </w:tc>
        <w:tc>
          <w:tcPr>
            <w:tcW w:w="706" w:type="dxa"/>
            <w:shd w:val="clear" w:color="auto" w:fill="auto"/>
          </w:tcPr>
          <w:p w14:paraId="67B21D1C" w14:textId="77777777" w:rsidR="007C259A" w:rsidRPr="00BD16B4" w:rsidRDefault="007C259A" w:rsidP="00F31129">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28.00</w:t>
            </w:r>
          </w:p>
        </w:tc>
        <w:tc>
          <w:tcPr>
            <w:tcW w:w="706" w:type="dxa"/>
            <w:shd w:val="clear" w:color="auto" w:fill="auto"/>
          </w:tcPr>
          <w:p w14:paraId="3713A891" w14:textId="77777777" w:rsidR="007C259A" w:rsidRPr="00BD16B4" w:rsidRDefault="007C259A" w:rsidP="00F31129">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32.25</w:t>
            </w:r>
          </w:p>
        </w:tc>
        <w:tc>
          <w:tcPr>
            <w:tcW w:w="706" w:type="dxa"/>
            <w:shd w:val="clear" w:color="auto" w:fill="auto"/>
          </w:tcPr>
          <w:p w14:paraId="0836A403" w14:textId="77777777" w:rsidR="007C259A" w:rsidRPr="00BD16B4" w:rsidRDefault="007C259A" w:rsidP="00F31129">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37.42</w:t>
            </w:r>
          </w:p>
        </w:tc>
        <w:tc>
          <w:tcPr>
            <w:tcW w:w="706" w:type="dxa"/>
            <w:shd w:val="clear" w:color="auto" w:fill="auto"/>
          </w:tcPr>
          <w:p w14:paraId="333EB8B2" w14:textId="77777777" w:rsidR="007C259A" w:rsidRPr="00BD16B4" w:rsidRDefault="007C259A" w:rsidP="00F31129">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34.81</w:t>
            </w:r>
          </w:p>
        </w:tc>
        <w:tc>
          <w:tcPr>
            <w:tcW w:w="706" w:type="dxa"/>
            <w:shd w:val="clear" w:color="auto" w:fill="auto"/>
          </w:tcPr>
          <w:p w14:paraId="08404196" w14:textId="77777777" w:rsidR="007C259A" w:rsidRPr="00BD16B4" w:rsidRDefault="007C259A" w:rsidP="00F31129">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35.81</w:t>
            </w:r>
          </w:p>
        </w:tc>
        <w:tc>
          <w:tcPr>
            <w:tcW w:w="706" w:type="dxa"/>
            <w:shd w:val="clear" w:color="auto" w:fill="auto"/>
          </w:tcPr>
          <w:p w14:paraId="2420BE75" w14:textId="77777777" w:rsidR="007C259A" w:rsidRPr="00BD16B4" w:rsidRDefault="007C259A" w:rsidP="00F31129">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34.46</w:t>
            </w:r>
          </w:p>
        </w:tc>
        <w:tc>
          <w:tcPr>
            <w:tcW w:w="706" w:type="dxa"/>
            <w:shd w:val="clear" w:color="000000" w:fill="D2DDE1" w:themeFill="background2"/>
          </w:tcPr>
          <w:p w14:paraId="1737535E" w14:textId="77777777" w:rsidR="007C259A" w:rsidRPr="00BD16B4" w:rsidRDefault="007C259A" w:rsidP="00F31129">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33.81</w:t>
            </w:r>
          </w:p>
        </w:tc>
        <w:tc>
          <w:tcPr>
            <w:tcW w:w="706" w:type="dxa"/>
            <w:shd w:val="clear" w:color="000000" w:fill="D2DDE1" w:themeFill="background2"/>
          </w:tcPr>
          <w:p w14:paraId="4085EDDA" w14:textId="77777777" w:rsidR="007C259A" w:rsidRPr="00BD16B4" w:rsidRDefault="007C259A" w:rsidP="00F31129">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33.86</w:t>
            </w:r>
          </w:p>
        </w:tc>
        <w:tc>
          <w:tcPr>
            <w:tcW w:w="729" w:type="dxa"/>
            <w:shd w:val="clear" w:color="000000" w:fill="D2DDE1" w:themeFill="background2"/>
          </w:tcPr>
          <w:p w14:paraId="6D02A094" w14:textId="77777777" w:rsidR="007C259A" w:rsidRPr="00BD16B4" w:rsidRDefault="007C259A" w:rsidP="00F31129">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32.99</w:t>
            </w:r>
          </w:p>
        </w:tc>
      </w:tr>
      <w:tr w:rsidR="007C259A" w:rsidRPr="00BD16B4" w14:paraId="4DE7EA58" w14:textId="77777777" w:rsidTr="00B1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16A0573A" w14:textId="77777777" w:rsidR="007C259A" w:rsidRPr="00BD16B4" w:rsidRDefault="007C259A" w:rsidP="00F31129">
            <w:pPr>
              <w:pStyle w:val="TableText"/>
              <w:keepNext/>
              <w:spacing w:before="50" w:after="50"/>
              <w:rPr>
                <w:b w:val="0"/>
                <w:bCs w:val="0"/>
              </w:rPr>
            </w:pPr>
          </w:p>
        </w:tc>
        <w:tc>
          <w:tcPr>
            <w:tcW w:w="680" w:type="dxa"/>
            <w:tcBorders>
              <w:top w:val="none" w:sz="0" w:space="0" w:color="auto"/>
              <w:bottom w:val="none" w:sz="0" w:space="0" w:color="auto"/>
            </w:tcBorders>
          </w:tcPr>
          <w:p w14:paraId="203F00AC" w14:textId="77777777" w:rsidR="007C259A" w:rsidRPr="00BD16B4" w:rsidRDefault="007C259A" w:rsidP="00F31129">
            <w:pPr>
              <w:pStyle w:val="TableText"/>
              <w:keepNext/>
              <w:spacing w:before="50" w:after="50"/>
              <w:cnfStyle w:val="000000100000" w:firstRow="0" w:lastRow="0" w:firstColumn="0" w:lastColumn="0" w:oddVBand="0" w:evenVBand="0" w:oddHBand="1" w:evenHBand="0" w:firstRowFirstColumn="0" w:firstRowLastColumn="0" w:lastRowFirstColumn="0" w:lastRowLastColumn="0"/>
            </w:pPr>
            <w:r w:rsidRPr="00BD16B4">
              <w:t>WAM</w:t>
            </w:r>
          </w:p>
        </w:tc>
        <w:tc>
          <w:tcPr>
            <w:tcW w:w="706" w:type="dxa"/>
            <w:tcBorders>
              <w:top w:val="none" w:sz="0" w:space="0" w:color="auto"/>
              <w:bottom w:val="none" w:sz="0" w:space="0" w:color="auto"/>
            </w:tcBorders>
            <w:shd w:val="clear" w:color="auto" w:fill="auto"/>
          </w:tcPr>
          <w:p w14:paraId="2C098D98"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D16B4">
              <w:rPr>
                <w:rFonts w:cs="Calibri"/>
                <w:color w:val="000000"/>
              </w:rPr>
              <w:t>25.50</w:t>
            </w:r>
          </w:p>
        </w:tc>
        <w:tc>
          <w:tcPr>
            <w:tcW w:w="706" w:type="dxa"/>
            <w:tcBorders>
              <w:top w:val="none" w:sz="0" w:space="0" w:color="auto"/>
              <w:bottom w:val="none" w:sz="0" w:space="0" w:color="auto"/>
            </w:tcBorders>
            <w:shd w:val="clear" w:color="auto" w:fill="auto"/>
          </w:tcPr>
          <w:p w14:paraId="0589C229"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28.00</w:t>
            </w:r>
          </w:p>
        </w:tc>
        <w:tc>
          <w:tcPr>
            <w:tcW w:w="706" w:type="dxa"/>
            <w:tcBorders>
              <w:top w:val="none" w:sz="0" w:space="0" w:color="auto"/>
              <w:bottom w:val="none" w:sz="0" w:space="0" w:color="auto"/>
            </w:tcBorders>
            <w:shd w:val="clear" w:color="auto" w:fill="auto"/>
          </w:tcPr>
          <w:p w14:paraId="10EA4C61"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32.25</w:t>
            </w:r>
          </w:p>
        </w:tc>
        <w:tc>
          <w:tcPr>
            <w:tcW w:w="706" w:type="dxa"/>
            <w:tcBorders>
              <w:top w:val="none" w:sz="0" w:space="0" w:color="auto"/>
              <w:bottom w:val="none" w:sz="0" w:space="0" w:color="auto"/>
            </w:tcBorders>
            <w:shd w:val="clear" w:color="auto" w:fill="auto"/>
          </w:tcPr>
          <w:p w14:paraId="0780E289"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37.42</w:t>
            </w:r>
          </w:p>
        </w:tc>
        <w:tc>
          <w:tcPr>
            <w:tcW w:w="706" w:type="dxa"/>
            <w:tcBorders>
              <w:top w:val="none" w:sz="0" w:space="0" w:color="auto"/>
              <w:bottom w:val="none" w:sz="0" w:space="0" w:color="auto"/>
            </w:tcBorders>
            <w:shd w:val="clear" w:color="auto" w:fill="auto"/>
          </w:tcPr>
          <w:p w14:paraId="767F4535"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34.81</w:t>
            </w:r>
          </w:p>
        </w:tc>
        <w:tc>
          <w:tcPr>
            <w:tcW w:w="706" w:type="dxa"/>
            <w:tcBorders>
              <w:top w:val="none" w:sz="0" w:space="0" w:color="auto"/>
              <w:bottom w:val="none" w:sz="0" w:space="0" w:color="auto"/>
            </w:tcBorders>
            <w:shd w:val="clear" w:color="auto" w:fill="auto"/>
          </w:tcPr>
          <w:p w14:paraId="0B8EFF3D"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35.81</w:t>
            </w:r>
          </w:p>
        </w:tc>
        <w:tc>
          <w:tcPr>
            <w:tcW w:w="706" w:type="dxa"/>
            <w:tcBorders>
              <w:top w:val="none" w:sz="0" w:space="0" w:color="auto"/>
              <w:bottom w:val="none" w:sz="0" w:space="0" w:color="auto"/>
            </w:tcBorders>
            <w:shd w:val="clear" w:color="auto" w:fill="auto"/>
          </w:tcPr>
          <w:p w14:paraId="07E279BE"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34.46</w:t>
            </w:r>
          </w:p>
        </w:tc>
        <w:tc>
          <w:tcPr>
            <w:tcW w:w="706" w:type="dxa"/>
            <w:tcBorders>
              <w:top w:val="none" w:sz="0" w:space="0" w:color="auto"/>
              <w:bottom w:val="none" w:sz="0" w:space="0" w:color="auto"/>
            </w:tcBorders>
            <w:shd w:val="clear" w:color="000000" w:fill="D2DDE1" w:themeFill="background2"/>
          </w:tcPr>
          <w:p w14:paraId="16651271"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31.28</w:t>
            </w:r>
          </w:p>
        </w:tc>
        <w:tc>
          <w:tcPr>
            <w:tcW w:w="706" w:type="dxa"/>
            <w:tcBorders>
              <w:top w:val="none" w:sz="0" w:space="0" w:color="auto"/>
              <w:bottom w:val="none" w:sz="0" w:space="0" w:color="auto"/>
            </w:tcBorders>
            <w:shd w:val="clear" w:color="000000" w:fill="D2DDE1" w:themeFill="background2"/>
          </w:tcPr>
          <w:p w14:paraId="3E81372B"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28.70</w:t>
            </w:r>
          </w:p>
        </w:tc>
        <w:tc>
          <w:tcPr>
            <w:tcW w:w="729" w:type="dxa"/>
            <w:tcBorders>
              <w:top w:val="none" w:sz="0" w:space="0" w:color="auto"/>
              <w:bottom w:val="none" w:sz="0" w:space="0" w:color="auto"/>
              <w:right w:val="none" w:sz="0" w:space="0" w:color="auto"/>
            </w:tcBorders>
            <w:shd w:val="clear" w:color="000000" w:fill="D2DDE1" w:themeFill="background2"/>
          </w:tcPr>
          <w:p w14:paraId="7E2E3659" w14:textId="77777777" w:rsidR="007C259A" w:rsidRPr="00BD16B4" w:rsidRDefault="007C259A" w:rsidP="00F31129">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26.79</w:t>
            </w:r>
          </w:p>
        </w:tc>
      </w:tr>
      <w:tr w:rsidR="007C259A" w:rsidRPr="00BD16B4" w14:paraId="7179505C" w14:textId="77777777" w:rsidTr="00B103C6">
        <w:tc>
          <w:tcPr>
            <w:cnfStyle w:val="001000000000" w:firstRow="0" w:lastRow="0" w:firstColumn="1" w:lastColumn="0" w:oddVBand="0" w:evenVBand="0" w:oddHBand="0" w:evenHBand="0" w:firstRowFirstColumn="0" w:firstRowLastColumn="0" w:lastRowFirstColumn="0" w:lastRowLastColumn="0"/>
            <w:tcW w:w="706" w:type="dxa"/>
            <w:vMerge w:val="restart"/>
          </w:tcPr>
          <w:p w14:paraId="55160F1B" w14:textId="77777777" w:rsidR="007C259A" w:rsidRPr="00BD16B4" w:rsidRDefault="007C259A" w:rsidP="00B74F07">
            <w:pPr>
              <w:pStyle w:val="TableText"/>
              <w:keepNext/>
              <w:spacing w:before="50" w:after="50"/>
              <w:rPr>
                <w:b w:val="0"/>
                <w:bCs w:val="0"/>
              </w:rPr>
            </w:pPr>
            <w:r w:rsidRPr="00BD16B4">
              <w:rPr>
                <w:b w:val="0"/>
                <w:bCs w:val="0"/>
              </w:rPr>
              <w:t>CH</w:t>
            </w:r>
            <w:r w:rsidRPr="00BD16B4">
              <w:rPr>
                <w:b w:val="0"/>
                <w:bCs w:val="0"/>
                <w:vertAlign w:val="subscript"/>
              </w:rPr>
              <w:t>4</w:t>
            </w:r>
          </w:p>
        </w:tc>
        <w:tc>
          <w:tcPr>
            <w:tcW w:w="680" w:type="dxa"/>
          </w:tcPr>
          <w:p w14:paraId="4A4E502E" w14:textId="77777777" w:rsidR="007C259A" w:rsidRPr="00BD16B4" w:rsidRDefault="007C259A" w:rsidP="00F3112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D16B4">
              <w:t xml:space="preserve">WEM </w:t>
            </w:r>
          </w:p>
        </w:tc>
        <w:tc>
          <w:tcPr>
            <w:tcW w:w="706" w:type="dxa"/>
            <w:shd w:val="clear" w:color="auto" w:fill="auto"/>
          </w:tcPr>
          <w:p w14:paraId="3966D89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D16B4">
              <w:rPr>
                <w:rFonts w:cs="Calibri"/>
                <w:color w:val="000000"/>
              </w:rPr>
              <w:t>32.97</w:t>
            </w:r>
          </w:p>
        </w:tc>
        <w:tc>
          <w:tcPr>
            <w:tcW w:w="706" w:type="dxa"/>
            <w:shd w:val="clear" w:color="auto" w:fill="auto"/>
          </w:tcPr>
          <w:p w14:paraId="398FF79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34.24</w:t>
            </w:r>
          </w:p>
        </w:tc>
        <w:tc>
          <w:tcPr>
            <w:tcW w:w="706" w:type="dxa"/>
            <w:shd w:val="clear" w:color="auto" w:fill="auto"/>
          </w:tcPr>
          <w:p w14:paraId="63193FE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35.95</w:t>
            </w:r>
          </w:p>
        </w:tc>
        <w:tc>
          <w:tcPr>
            <w:tcW w:w="706" w:type="dxa"/>
            <w:shd w:val="clear" w:color="auto" w:fill="auto"/>
          </w:tcPr>
          <w:p w14:paraId="5AB6678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36.52</w:t>
            </w:r>
          </w:p>
        </w:tc>
        <w:tc>
          <w:tcPr>
            <w:tcW w:w="706" w:type="dxa"/>
            <w:shd w:val="clear" w:color="auto" w:fill="auto"/>
          </w:tcPr>
          <w:p w14:paraId="22AE664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34.76</w:t>
            </w:r>
          </w:p>
        </w:tc>
        <w:tc>
          <w:tcPr>
            <w:tcW w:w="706" w:type="dxa"/>
            <w:shd w:val="clear" w:color="auto" w:fill="auto"/>
          </w:tcPr>
          <w:p w14:paraId="1795BF0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34.99</w:t>
            </w:r>
          </w:p>
        </w:tc>
        <w:tc>
          <w:tcPr>
            <w:tcW w:w="706" w:type="dxa"/>
            <w:shd w:val="clear" w:color="auto" w:fill="auto"/>
          </w:tcPr>
          <w:p w14:paraId="66CD58B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34.27</w:t>
            </w:r>
          </w:p>
        </w:tc>
        <w:tc>
          <w:tcPr>
            <w:tcW w:w="706" w:type="dxa"/>
            <w:shd w:val="clear" w:color="000000" w:fill="D2DDE1" w:themeFill="background2"/>
          </w:tcPr>
          <w:p w14:paraId="6ED125A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32.57</w:t>
            </w:r>
          </w:p>
        </w:tc>
        <w:tc>
          <w:tcPr>
            <w:tcW w:w="706" w:type="dxa"/>
            <w:shd w:val="clear" w:color="000000" w:fill="D2DDE1" w:themeFill="background2"/>
          </w:tcPr>
          <w:p w14:paraId="689EEC0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31.51</w:t>
            </w:r>
          </w:p>
        </w:tc>
        <w:tc>
          <w:tcPr>
            <w:tcW w:w="729" w:type="dxa"/>
            <w:shd w:val="clear" w:color="000000" w:fill="D2DDE1" w:themeFill="background2"/>
          </w:tcPr>
          <w:p w14:paraId="33D0EF4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30.68</w:t>
            </w:r>
          </w:p>
        </w:tc>
      </w:tr>
      <w:tr w:rsidR="007C259A" w:rsidRPr="00BD16B4" w14:paraId="225C3BE0" w14:textId="77777777" w:rsidTr="00B1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560CCF22" w14:textId="77777777" w:rsidR="007C259A" w:rsidRPr="00BD16B4" w:rsidRDefault="007C259A" w:rsidP="00F31129">
            <w:pPr>
              <w:pStyle w:val="TableText"/>
              <w:spacing w:before="50" w:after="50"/>
              <w:rPr>
                <w:b w:val="0"/>
                <w:bCs w:val="0"/>
              </w:rPr>
            </w:pPr>
          </w:p>
        </w:tc>
        <w:tc>
          <w:tcPr>
            <w:tcW w:w="680" w:type="dxa"/>
            <w:tcBorders>
              <w:top w:val="none" w:sz="0" w:space="0" w:color="auto"/>
              <w:bottom w:val="none" w:sz="0" w:space="0" w:color="auto"/>
            </w:tcBorders>
          </w:tcPr>
          <w:p w14:paraId="447332FA" w14:textId="77777777" w:rsidR="007C259A" w:rsidRPr="00BD16B4" w:rsidRDefault="007C259A" w:rsidP="00F31129">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D16B4">
              <w:t>WOM</w:t>
            </w:r>
          </w:p>
        </w:tc>
        <w:tc>
          <w:tcPr>
            <w:tcW w:w="706" w:type="dxa"/>
            <w:tcBorders>
              <w:top w:val="none" w:sz="0" w:space="0" w:color="auto"/>
              <w:bottom w:val="none" w:sz="0" w:space="0" w:color="auto"/>
            </w:tcBorders>
            <w:shd w:val="clear" w:color="auto" w:fill="auto"/>
          </w:tcPr>
          <w:p w14:paraId="127782AE"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D16B4">
              <w:rPr>
                <w:rFonts w:cs="Calibri"/>
                <w:color w:val="000000"/>
              </w:rPr>
              <w:t>32.97</w:t>
            </w:r>
          </w:p>
        </w:tc>
        <w:tc>
          <w:tcPr>
            <w:tcW w:w="706" w:type="dxa"/>
            <w:tcBorders>
              <w:top w:val="none" w:sz="0" w:space="0" w:color="auto"/>
              <w:bottom w:val="none" w:sz="0" w:space="0" w:color="auto"/>
            </w:tcBorders>
            <w:shd w:val="clear" w:color="auto" w:fill="auto"/>
          </w:tcPr>
          <w:p w14:paraId="0DDD093B"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34.24</w:t>
            </w:r>
          </w:p>
        </w:tc>
        <w:tc>
          <w:tcPr>
            <w:tcW w:w="706" w:type="dxa"/>
            <w:tcBorders>
              <w:top w:val="none" w:sz="0" w:space="0" w:color="auto"/>
              <w:bottom w:val="none" w:sz="0" w:space="0" w:color="auto"/>
            </w:tcBorders>
            <w:shd w:val="clear" w:color="auto" w:fill="auto"/>
          </w:tcPr>
          <w:p w14:paraId="73B7E2DD"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35.95</w:t>
            </w:r>
          </w:p>
        </w:tc>
        <w:tc>
          <w:tcPr>
            <w:tcW w:w="706" w:type="dxa"/>
            <w:tcBorders>
              <w:top w:val="none" w:sz="0" w:space="0" w:color="auto"/>
              <w:bottom w:val="none" w:sz="0" w:space="0" w:color="auto"/>
            </w:tcBorders>
            <w:shd w:val="clear" w:color="auto" w:fill="auto"/>
          </w:tcPr>
          <w:p w14:paraId="70872E98"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36.52</w:t>
            </w:r>
          </w:p>
        </w:tc>
        <w:tc>
          <w:tcPr>
            <w:tcW w:w="706" w:type="dxa"/>
            <w:tcBorders>
              <w:top w:val="none" w:sz="0" w:space="0" w:color="auto"/>
              <w:bottom w:val="none" w:sz="0" w:space="0" w:color="auto"/>
            </w:tcBorders>
            <w:shd w:val="clear" w:color="auto" w:fill="auto"/>
          </w:tcPr>
          <w:p w14:paraId="0D13763B"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35.19</w:t>
            </w:r>
          </w:p>
        </w:tc>
        <w:tc>
          <w:tcPr>
            <w:tcW w:w="706" w:type="dxa"/>
            <w:tcBorders>
              <w:top w:val="none" w:sz="0" w:space="0" w:color="auto"/>
              <w:bottom w:val="none" w:sz="0" w:space="0" w:color="auto"/>
            </w:tcBorders>
            <w:shd w:val="clear" w:color="auto" w:fill="auto"/>
          </w:tcPr>
          <w:p w14:paraId="3EAB766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35.72</w:t>
            </w:r>
          </w:p>
        </w:tc>
        <w:tc>
          <w:tcPr>
            <w:tcW w:w="706" w:type="dxa"/>
            <w:tcBorders>
              <w:top w:val="none" w:sz="0" w:space="0" w:color="auto"/>
              <w:bottom w:val="none" w:sz="0" w:space="0" w:color="auto"/>
            </w:tcBorders>
            <w:shd w:val="clear" w:color="auto" w:fill="auto"/>
          </w:tcPr>
          <w:p w14:paraId="52E9ED09"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35.19</w:t>
            </w:r>
          </w:p>
        </w:tc>
        <w:tc>
          <w:tcPr>
            <w:tcW w:w="706" w:type="dxa"/>
            <w:tcBorders>
              <w:top w:val="none" w:sz="0" w:space="0" w:color="auto"/>
              <w:bottom w:val="none" w:sz="0" w:space="0" w:color="auto"/>
            </w:tcBorders>
            <w:shd w:val="clear" w:color="000000" w:fill="D2DDE1" w:themeFill="background2"/>
          </w:tcPr>
          <w:p w14:paraId="73376522"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33.89</w:t>
            </w:r>
          </w:p>
        </w:tc>
        <w:tc>
          <w:tcPr>
            <w:tcW w:w="706" w:type="dxa"/>
            <w:tcBorders>
              <w:top w:val="none" w:sz="0" w:space="0" w:color="auto"/>
              <w:bottom w:val="none" w:sz="0" w:space="0" w:color="auto"/>
            </w:tcBorders>
            <w:shd w:val="clear" w:color="000000" w:fill="D2DDE1" w:themeFill="background2"/>
          </w:tcPr>
          <w:p w14:paraId="2F2FB4A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33.88</w:t>
            </w:r>
          </w:p>
        </w:tc>
        <w:tc>
          <w:tcPr>
            <w:tcW w:w="729" w:type="dxa"/>
            <w:tcBorders>
              <w:top w:val="none" w:sz="0" w:space="0" w:color="auto"/>
              <w:bottom w:val="none" w:sz="0" w:space="0" w:color="auto"/>
              <w:right w:val="none" w:sz="0" w:space="0" w:color="auto"/>
            </w:tcBorders>
            <w:shd w:val="clear" w:color="000000" w:fill="D2DDE1" w:themeFill="background2"/>
          </w:tcPr>
          <w:p w14:paraId="54322257"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34.03</w:t>
            </w:r>
          </w:p>
        </w:tc>
      </w:tr>
      <w:tr w:rsidR="007C259A" w:rsidRPr="00BD16B4" w14:paraId="2D9E136B" w14:textId="77777777" w:rsidTr="00B103C6">
        <w:tc>
          <w:tcPr>
            <w:cnfStyle w:val="001000000000" w:firstRow="0" w:lastRow="0" w:firstColumn="1" w:lastColumn="0" w:oddVBand="0" w:evenVBand="0" w:oddHBand="0" w:evenHBand="0" w:firstRowFirstColumn="0" w:firstRowLastColumn="0" w:lastRowFirstColumn="0" w:lastRowLastColumn="0"/>
            <w:tcW w:w="706" w:type="dxa"/>
            <w:vMerge/>
          </w:tcPr>
          <w:p w14:paraId="4771B2CD" w14:textId="77777777" w:rsidR="007C259A" w:rsidRPr="00BD16B4" w:rsidRDefault="007C259A" w:rsidP="00F31129">
            <w:pPr>
              <w:pStyle w:val="TableText"/>
              <w:spacing w:before="50" w:after="50"/>
              <w:rPr>
                <w:b w:val="0"/>
                <w:bCs w:val="0"/>
              </w:rPr>
            </w:pPr>
          </w:p>
        </w:tc>
        <w:tc>
          <w:tcPr>
            <w:tcW w:w="680" w:type="dxa"/>
          </w:tcPr>
          <w:p w14:paraId="6FE545AD" w14:textId="77777777" w:rsidR="007C259A" w:rsidRPr="00BD16B4" w:rsidRDefault="007C259A" w:rsidP="00F3112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D16B4">
              <w:t>WAM</w:t>
            </w:r>
          </w:p>
        </w:tc>
        <w:tc>
          <w:tcPr>
            <w:tcW w:w="706" w:type="dxa"/>
            <w:shd w:val="clear" w:color="auto" w:fill="auto"/>
          </w:tcPr>
          <w:p w14:paraId="49AEEA9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D16B4">
              <w:rPr>
                <w:rFonts w:cs="Calibri"/>
                <w:color w:val="000000"/>
              </w:rPr>
              <w:t>32.97</w:t>
            </w:r>
          </w:p>
        </w:tc>
        <w:tc>
          <w:tcPr>
            <w:tcW w:w="706" w:type="dxa"/>
            <w:shd w:val="clear" w:color="auto" w:fill="auto"/>
          </w:tcPr>
          <w:p w14:paraId="5669AC1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34.24</w:t>
            </w:r>
          </w:p>
        </w:tc>
        <w:tc>
          <w:tcPr>
            <w:tcW w:w="706" w:type="dxa"/>
            <w:shd w:val="clear" w:color="auto" w:fill="auto"/>
          </w:tcPr>
          <w:p w14:paraId="2EFBF26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35.95</w:t>
            </w:r>
          </w:p>
        </w:tc>
        <w:tc>
          <w:tcPr>
            <w:tcW w:w="706" w:type="dxa"/>
            <w:shd w:val="clear" w:color="auto" w:fill="auto"/>
          </w:tcPr>
          <w:p w14:paraId="128E4F0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36.52</w:t>
            </w:r>
          </w:p>
        </w:tc>
        <w:tc>
          <w:tcPr>
            <w:tcW w:w="706" w:type="dxa"/>
            <w:shd w:val="clear" w:color="auto" w:fill="auto"/>
          </w:tcPr>
          <w:p w14:paraId="787A869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34.76</w:t>
            </w:r>
          </w:p>
        </w:tc>
        <w:tc>
          <w:tcPr>
            <w:tcW w:w="706" w:type="dxa"/>
            <w:shd w:val="clear" w:color="auto" w:fill="auto"/>
          </w:tcPr>
          <w:p w14:paraId="0F8996BD"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34.99</w:t>
            </w:r>
          </w:p>
        </w:tc>
        <w:tc>
          <w:tcPr>
            <w:tcW w:w="706" w:type="dxa"/>
            <w:shd w:val="clear" w:color="auto" w:fill="auto"/>
          </w:tcPr>
          <w:p w14:paraId="2C68825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34.27</w:t>
            </w:r>
          </w:p>
        </w:tc>
        <w:tc>
          <w:tcPr>
            <w:tcW w:w="706" w:type="dxa"/>
            <w:shd w:val="clear" w:color="000000" w:fill="D2DDE1" w:themeFill="background2"/>
          </w:tcPr>
          <w:p w14:paraId="405D077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32.53</w:t>
            </w:r>
          </w:p>
        </w:tc>
        <w:tc>
          <w:tcPr>
            <w:tcW w:w="706" w:type="dxa"/>
            <w:shd w:val="clear" w:color="000000" w:fill="D2DDE1" w:themeFill="background2"/>
          </w:tcPr>
          <w:p w14:paraId="4BF535F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31.23</w:t>
            </w:r>
          </w:p>
        </w:tc>
        <w:tc>
          <w:tcPr>
            <w:tcW w:w="729" w:type="dxa"/>
            <w:shd w:val="clear" w:color="000000" w:fill="D2DDE1" w:themeFill="background2"/>
          </w:tcPr>
          <w:p w14:paraId="1924A36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30.24</w:t>
            </w:r>
          </w:p>
        </w:tc>
      </w:tr>
      <w:tr w:rsidR="007C259A" w:rsidRPr="00BD16B4" w14:paraId="59DABEEE" w14:textId="77777777" w:rsidTr="00B1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one" w:sz="0" w:space="0" w:color="auto"/>
              <w:left w:val="none" w:sz="0" w:space="0" w:color="auto"/>
              <w:bottom w:val="none" w:sz="0" w:space="0" w:color="auto"/>
            </w:tcBorders>
          </w:tcPr>
          <w:p w14:paraId="245BB7A8" w14:textId="77777777" w:rsidR="007C259A" w:rsidRPr="00BD16B4" w:rsidRDefault="007C259A" w:rsidP="00F31129">
            <w:pPr>
              <w:pStyle w:val="TableText"/>
              <w:spacing w:before="50" w:after="50"/>
              <w:rPr>
                <w:b w:val="0"/>
                <w:bCs w:val="0"/>
              </w:rPr>
            </w:pPr>
            <w:r w:rsidRPr="00BD16B4">
              <w:rPr>
                <w:b w:val="0"/>
                <w:bCs w:val="0"/>
              </w:rPr>
              <w:t>N</w:t>
            </w:r>
            <w:r w:rsidRPr="00BD16B4">
              <w:rPr>
                <w:b w:val="0"/>
                <w:bCs w:val="0"/>
                <w:vertAlign w:val="subscript"/>
              </w:rPr>
              <w:t>2</w:t>
            </w:r>
            <w:r w:rsidRPr="00BD16B4">
              <w:rPr>
                <w:b w:val="0"/>
                <w:bCs w:val="0"/>
              </w:rPr>
              <w:t>O</w:t>
            </w:r>
          </w:p>
        </w:tc>
        <w:tc>
          <w:tcPr>
            <w:tcW w:w="680" w:type="dxa"/>
            <w:tcBorders>
              <w:top w:val="none" w:sz="0" w:space="0" w:color="auto"/>
              <w:bottom w:val="none" w:sz="0" w:space="0" w:color="auto"/>
            </w:tcBorders>
          </w:tcPr>
          <w:p w14:paraId="6DA15BF4" w14:textId="77777777" w:rsidR="007C259A" w:rsidRPr="00BD16B4" w:rsidRDefault="007C259A" w:rsidP="00F31129">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D16B4">
              <w:t xml:space="preserve">WEM </w:t>
            </w:r>
          </w:p>
        </w:tc>
        <w:tc>
          <w:tcPr>
            <w:tcW w:w="706" w:type="dxa"/>
            <w:tcBorders>
              <w:top w:val="none" w:sz="0" w:space="0" w:color="auto"/>
              <w:bottom w:val="none" w:sz="0" w:space="0" w:color="auto"/>
            </w:tcBorders>
            <w:shd w:val="clear" w:color="auto" w:fill="auto"/>
          </w:tcPr>
          <w:p w14:paraId="62519B1F"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D16B4">
              <w:rPr>
                <w:rFonts w:cs="Calibri"/>
                <w:color w:val="000000"/>
              </w:rPr>
              <w:t>5.79</w:t>
            </w:r>
          </w:p>
        </w:tc>
        <w:tc>
          <w:tcPr>
            <w:tcW w:w="706" w:type="dxa"/>
            <w:tcBorders>
              <w:top w:val="none" w:sz="0" w:space="0" w:color="auto"/>
              <w:bottom w:val="none" w:sz="0" w:space="0" w:color="auto"/>
            </w:tcBorders>
            <w:shd w:val="clear" w:color="auto" w:fill="auto"/>
          </w:tcPr>
          <w:p w14:paraId="6FB8DB49"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6.57</w:t>
            </w:r>
          </w:p>
        </w:tc>
        <w:tc>
          <w:tcPr>
            <w:tcW w:w="706" w:type="dxa"/>
            <w:tcBorders>
              <w:top w:val="none" w:sz="0" w:space="0" w:color="auto"/>
              <w:bottom w:val="none" w:sz="0" w:space="0" w:color="auto"/>
            </w:tcBorders>
            <w:shd w:val="clear" w:color="auto" w:fill="auto"/>
          </w:tcPr>
          <w:p w14:paraId="21C1765C"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7.00</w:t>
            </w:r>
          </w:p>
        </w:tc>
        <w:tc>
          <w:tcPr>
            <w:tcW w:w="706" w:type="dxa"/>
            <w:tcBorders>
              <w:top w:val="none" w:sz="0" w:space="0" w:color="auto"/>
              <w:bottom w:val="none" w:sz="0" w:space="0" w:color="auto"/>
            </w:tcBorders>
            <w:shd w:val="clear" w:color="auto" w:fill="auto"/>
          </w:tcPr>
          <w:p w14:paraId="15E65E33"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7.93</w:t>
            </w:r>
          </w:p>
        </w:tc>
        <w:tc>
          <w:tcPr>
            <w:tcW w:w="706" w:type="dxa"/>
            <w:tcBorders>
              <w:top w:val="none" w:sz="0" w:space="0" w:color="auto"/>
              <w:bottom w:val="none" w:sz="0" w:space="0" w:color="auto"/>
            </w:tcBorders>
            <w:shd w:val="clear" w:color="auto" w:fill="auto"/>
          </w:tcPr>
          <w:p w14:paraId="41B87589"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7.68</w:t>
            </w:r>
          </w:p>
        </w:tc>
        <w:tc>
          <w:tcPr>
            <w:tcW w:w="706" w:type="dxa"/>
            <w:tcBorders>
              <w:top w:val="none" w:sz="0" w:space="0" w:color="auto"/>
              <w:bottom w:val="none" w:sz="0" w:space="0" w:color="auto"/>
            </w:tcBorders>
            <w:shd w:val="clear" w:color="auto" w:fill="auto"/>
          </w:tcPr>
          <w:p w14:paraId="5C81ECA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8.19</w:t>
            </w:r>
          </w:p>
        </w:tc>
        <w:tc>
          <w:tcPr>
            <w:tcW w:w="706" w:type="dxa"/>
            <w:tcBorders>
              <w:top w:val="none" w:sz="0" w:space="0" w:color="auto"/>
              <w:bottom w:val="none" w:sz="0" w:space="0" w:color="auto"/>
            </w:tcBorders>
            <w:shd w:val="clear" w:color="auto" w:fill="auto"/>
          </w:tcPr>
          <w:p w14:paraId="7F607B03"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8.46</w:t>
            </w:r>
          </w:p>
        </w:tc>
        <w:tc>
          <w:tcPr>
            <w:tcW w:w="706" w:type="dxa"/>
            <w:tcBorders>
              <w:top w:val="none" w:sz="0" w:space="0" w:color="auto"/>
              <w:bottom w:val="none" w:sz="0" w:space="0" w:color="auto"/>
            </w:tcBorders>
            <w:shd w:val="clear" w:color="000000" w:fill="D2DDE1" w:themeFill="background2"/>
          </w:tcPr>
          <w:p w14:paraId="335C12B5"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8.12</w:t>
            </w:r>
          </w:p>
        </w:tc>
        <w:tc>
          <w:tcPr>
            <w:tcW w:w="706" w:type="dxa"/>
            <w:tcBorders>
              <w:top w:val="none" w:sz="0" w:space="0" w:color="auto"/>
              <w:bottom w:val="none" w:sz="0" w:space="0" w:color="auto"/>
            </w:tcBorders>
            <w:shd w:val="clear" w:color="000000" w:fill="D2DDE1" w:themeFill="background2"/>
          </w:tcPr>
          <w:p w14:paraId="6E4683E4"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7.89</w:t>
            </w:r>
          </w:p>
        </w:tc>
        <w:tc>
          <w:tcPr>
            <w:tcW w:w="729" w:type="dxa"/>
            <w:tcBorders>
              <w:top w:val="none" w:sz="0" w:space="0" w:color="auto"/>
              <w:bottom w:val="none" w:sz="0" w:space="0" w:color="auto"/>
              <w:right w:val="none" w:sz="0" w:space="0" w:color="auto"/>
            </w:tcBorders>
            <w:shd w:val="clear" w:color="000000" w:fill="D2DDE1" w:themeFill="background2"/>
          </w:tcPr>
          <w:p w14:paraId="223EAF60"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7.68</w:t>
            </w:r>
          </w:p>
        </w:tc>
      </w:tr>
      <w:tr w:rsidR="007C259A" w:rsidRPr="00BD16B4" w14:paraId="5436D628" w14:textId="77777777" w:rsidTr="00B103C6">
        <w:tc>
          <w:tcPr>
            <w:cnfStyle w:val="001000000000" w:firstRow="0" w:lastRow="0" w:firstColumn="1" w:lastColumn="0" w:oddVBand="0" w:evenVBand="0" w:oddHBand="0" w:evenHBand="0" w:firstRowFirstColumn="0" w:firstRowLastColumn="0" w:lastRowFirstColumn="0" w:lastRowLastColumn="0"/>
            <w:tcW w:w="706" w:type="dxa"/>
            <w:vMerge/>
          </w:tcPr>
          <w:p w14:paraId="37DB8E1F" w14:textId="77777777" w:rsidR="007C259A" w:rsidRPr="00BD16B4" w:rsidRDefault="007C259A" w:rsidP="00F31129">
            <w:pPr>
              <w:pStyle w:val="TableText"/>
              <w:spacing w:before="50" w:after="50"/>
              <w:rPr>
                <w:b w:val="0"/>
                <w:bCs w:val="0"/>
              </w:rPr>
            </w:pPr>
          </w:p>
        </w:tc>
        <w:tc>
          <w:tcPr>
            <w:tcW w:w="680" w:type="dxa"/>
          </w:tcPr>
          <w:p w14:paraId="7CE8170C" w14:textId="77777777" w:rsidR="007C259A" w:rsidRPr="00BD16B4" w:rsidRDefault="007C259A" w:rsidP="00F3112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D16B4">
              <w:t>WOM</w:t>
            </w:r>
          </w:p>
        </w:tc>
        <w:tc>
          <w:tcPr>
            <w:tcW w:w="706" w:type="dxa"/>
            <w:shd w:val="clear" w:color="auto" w:fill="auto"/>
          </w:tcPr>
          <w:p w14:paraId="6EC914C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D16B4">
              <w:rPr>
                <w:rFonts w:cs="Calibri"/>
                <w:color w:val="000000"/>
              </w:rPr>
              <w:t>5.79</w:t>
            </w:r>
          </w:p>
        </w:tc>
        <w:tc>
          <w:tcPr>
            <w:tcW w:w="706" w:type="dxa"/>
            <w:shd w:val="clear" w:color="auto" w:fill="auto"/>
          </w:tcPr>
          <w:p w14:paraId="332E117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6.57</w:t>
            </w:r>
          </w:p>
        </w:tc>
        <w:tc>
          <w:tcPr>
            <w:tcW w:w="706" w:type="dxa"/>
            <w:shd w:val="clear" w:color="auto" w:fill="auto"/>
          </w:tcPr>
          <w:p w14:paraId="09601A75"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7.00</w:t>
            </w:r>
          </w:p>
        </w:tc>
        <w:tc>
          <w:tcPr>
            <w:tcW w:w="706" w:type="dxa"/>
            <w:shd w:val="clear" w:color="auto" w:fill="auto"/>
          </w:tcPr>
          <w:p w14:paraId="46E3BE6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7.93</w:t>
            </w:r>
          </w:p>
        </w:tc>
        <w:tc>
          <w:tcPr>
            <w:tcW w:w="706" w:type="dxa"/>
            <w:shd w:val="clear" w:color="auto" w:fill="auto"/>
          </w:tcPr>
          <w:p w14:paraId="2A0BCB89"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7.68</w:t>
            </w:r>
          </w:p>
        </w:tc>
        <w:tc>
          <w:tcPr>
            <w:tcW w:w="706" w:type="dxa"/>
            <w:shd w:val="clear" w:color="auto" w:fill="auto"/>
          </w:tcPr>
          <w:p w14:paraId="218C0C0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8.20</w:t>
            </w:r>
          </w:p>
        </w:tc>
        <w:tc>
          <w:tcPr>
            <w:tcW w:w="706" w:type="dxa"/>
            <w:shd w:val="clear" w:color="auto" w:fill="auto"/>
          </w:tcPr>
          <w:p w14:paraId="14B555E9"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8.52</w:t>
            </w:r>
          </w:p>
        </w:tc>
        <w:tc>
          <w:tcPr>
            <w:tcW w:w="706" w:type="dxa"/>
            <w:shd w:val="clear" w:color="000000" w:fill="D2DDE1" w:themeFill="background2"/>
          </w:tcPr>
          <w:p w14:paraId="0BAD936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8.25</w:t>
            </w:r>
          </w:p>
        </w:tc>
        <w:tc>
          <w:tcPr>
            <w:tcW w:w="706" w:type="dxa"/>
            <w:shd w:val="clear" w:color="000000" w:fill="D2DDE1" w:themeFill="background2"/>
          </w:tcPr>
          <w:p w14:paraId="1CFD96E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8.29</w:t>
            </w:r>
          </w:p>
        </w:tc>
        <w:tc>
          <w:tcPr>
            <w:tcW w:w="729" w:type="dxa"/>
            <w:shd w:val="clear" w:color="000000" w:fill="D2DDE1" w:themeFill="background2"/>
          </w:tcPr>
          <w:p w14:paraId="47925795"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8.33</w:t>
            </w:r>
          </w:p>
        </w:tc>
      </w:tr>
      <w:tr w:rsidR="007C259A" w:rsidRPr="00BD16B4" w14:paraId="5A7DE242" w14:textId="77777777" w:rsidTr="00B1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56C28D01" w14:textId="77777777" w:rsidR="007C259A" w:rsidRPr="00BD16B4" w:rsidRDefault="007C259A" w:rsidP="00F31129">
            <w:pPr>
              <w:pStyle w:val="TableText"/>
              <w:spacing w:before="50" w:after="50"/>
              <w:rPr>
                <w:b w:val="0"/>
                <w:bCs w:val="0"/>
              </w:rPr>
            </w:pPr>
          </w:p>
        </w:tc>
        <w:tc>
          <w:tcPr>
            <w:tcW w:w="680" w:type="dxa"/>
            <w:tcBorders>
              <w:top w:val="none" w:sz="0" w:space="0" w:color="auto"/>
              <w:bottom w:val="none" w:sz="0" w:space="0" w:color="auto"/>
            </w:tcBorders>
          </w:tcPr>
          <w:p w14:paraId="00A83C5A" w14:textId="77777777" w:rsidR="007C259A" w:rsidRPr="00BD16B4" w:rsidRDefault="007C259A" w:rsidP="00F31129">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D16B4">
              <w:t>WAM</w:t>
            </w:r>
          </w:p>
        </w:tc>
        <w:tc>
          <w:tcPr>
            <w:tcW w:w="706" w:type="dxa"/>
            <w:tcBorders>
              <w:top w:val="none" w:sz="0" w:space="0" w:color="auto"/>
              <w:bottom w:val="none" w:sz="0" w:space="0" w:color="auto"/>
            </w:tcBorders>
            <w:shd w:val="clear" w:color="auto" w:fill="auto"/>
          </w:tcPr>
          <w:p w14:paraId="51200C21"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D16B4">
              <w:rPr>
                <w:rFonts w:cs="Calibri"/>
                <w:color w:val="000000"/>
              </w:rPr>
              <w:t>5.79</w:t>
            </w:r>
          </w:p>
        </w:tc>
        <w:tc>
          <w:tcPr>
            <w:tcW w:w="706" w:type="dxa"/>
            <w:tcBorders>
              <w:top w:val="none" w:sz="0" w:space="0" w:color="auto"/>
              <w:bottom w:val="none" w:sz="0" w:space="0" w:color="auto"/>
            </w:tcBorders>
            <w:shd w:val="clear" w:color="auto" w:fill="auto"/>
          </w:tcPr>
          <w:p w14:paraId="557E3A1C"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6.57</w:t>
            </w:r>
          </w:p>
        </w:tc>
        <w:tc>
          <w:tcPr>
            <w:tcW w:w="706" w:type="dxa"/>
            <w:tcBorders>
              <w:top w:val="none" w:sz="0" w:space="0" w:color="auto"/>
              <w:bottom w:val="none" w:sz="0" w:space="0" w:color="auto"/>
            </w:tcBorders>
            <w:shd w:val="clear" w:color="auto" w:fill="auto"/>
          </w:tcPr>
          <w:p w14:paraId="66882D98"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7.00</w:t>
            </w:r>
          </w:p>
        </w:tc>
        <w:tc>
          <w:tcPr>
            <w:tcW w:w="706" w:type="dxa"/>
            <w:tcBorders>
              <w:top w:val="none" w:sz="0" w:space="0" w:color="auto"/>
              <w:bottom w:val="none" w:sz="0" w:space="0" w:color="auto"/>
            </w:tcBorders>
            <w:shd w:val="clear" w:color="auto" w:fill="auto"/>
          </w:tcPr>
          <w:p w14:paraId="114A0FDD"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7.93</w:t>
            </w:r>
          </w:p>
        </w:tc>
        <w:tc>
          <w:tcPr>
            <w:tcW w:w="706" w:type="dxa"/>
            <w:tcBorders>
              <w:top w:val="none" w:sz="0" w:space="0" w:color="auto"/>
              <w:bottom w:val="none" w:sz="0" w:space="0" w:color="auto"/>
            </w:tcBorders>
            <w:shd w:val="clear" w:color="auto" w:fill="auto"/>
          </w:tcPr>
          <w:p w14:paraId="614F5D7C"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7.68</w:t>
            </w:r>
          </w:p>
        </w:tc>
        <w:tc>
          <w:tcPr>
            <w:tcW w:w="706" w:type="dxa"/>
            <w:tcBorders>
              <w:top w:val="none" w:sz="0" w:space="0" w:color="auto"/>
              <w:bottom w:val="none" w:sz="0" w:space="0" w:color="auto"/>
            </w:tcBorders>
            <w:shd w:val="clear" w:color="auto" w:fill="auto"/>
          </w:tcPr>
          <w:p w14:paraId="3CC253D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8.19</w:t>
            </w:r>
          </w:p>
        </w:tc>
        <w:tc>
          <w:tcPr>
            <w:tcW w:w="706" w:type="dxa"/>
            <w:tcBorders>
              <w:top w:val="none" w:sz="0" w:space="0" w:color="auto"/>
              <w:bottom w:val="none" w:sz="0" w:space="0" w:color="auto"/>
            </w:tcBorders>
            <w:shd w:val="clear" w:color="auto" w:fill="auto"/>
          </w:tcPr>
          <w:p w14:paraId="061700E7"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8.46</w:t>
            </w:r>
          </w:p>
        </w:tc>
        <w:tc>
          <w:tcPr>
            <w:tcW w:w="706" w:type="dxa"/>
            <w:tcBorders>
              <w:top w:val="none" w:sz="0" w:space="0" w:color="auto"/>
              <w:bottom w:val="none" w:sz="0" w:space="0" w:color="auto"/>
            </w:tcBorders>
            <w:shd w:val="clear" w:color="000000" w:fill="D2DDE1" w:themeFill="background2"/>
          </w:tcPr>
          <w:p w14:paraId="3B8A4E52"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8.11</w:t>
            </w:r>
          </w:p>
        </w:tc>
        <w:tc>
          <w:tcPr>
            <w:tcW w:w="706" w:type="dxa"/>
            <w:tcBorders>
              <w:top w:val="none" w:sz="0" w:space="0" w:color="auto"/>
              <w:bottom w:val="none" w:sz="0" w:space="0" w:color="auto"/>
            </w:tcBorders>
            <w:shd w:val="clear" w:color="000000" w:fill="D2DDE1" w:themeFill="background2"/>
          </w:tcPr>
          <w:p w14:paraId="43EB86AA"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7.89</w:t>
            </w:r>
          </w:p>
        </w:tc>
        <w:tc>
          <w:tcPr>
            <w:tcW w:w="729" w:type="dxa"/>
            <w:tcBorders>
              <w:top w:val="none" w:sz="0" w:space="0" w:color="auto"/>
              <w:bottom w:val="none" w:sz="0" w:space="0" w:color="auto"/>
              <w:right w:val="none" w:sz="0" w:space="0" w:color="auto"/>
            </w:tcBorders>
            <w:shd w:val="clear" w:color="000000" w:fill="D2DDE1" w:themeFill="background2"/>
          </w:tcPr>
          <w:p w14:paraId="3D9A10A8"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7.67</w:t>
            </w:r>
          </w:p>
        </w:tc>
      </w:tr>
      <w:tr w:rsidR="007C259A" w:rsidRPr="00BD16B4" w14:paraId="724910D5" w14:textId="77777777" w:rsidTr="00B103C6">
        <w:tc>
          <w:tcPr>
            <w:cnfStyle w:val="001000000000" w:firstRow="0" w:lastRow="0" w:firstColumn="1" w:lastColumn="0" w:oddVBand="0" w:evenVBand="0" w:oddHBand="0" w:evenHBand="0" w:firstRowFirstColumn="0" w:firstRowLastColumn="0" w:lastRowFirstColumn="0" w:lastRowLastColumn="0"/>
            <w:tcW w:w="706" w:type="dxa"/>
            <w:vMerge w:val="restart"/>
          </w:tcPr>
          <w:p w14:paraId="2A5DE707" w14:textId="77777777" w:rsidR="007C259A" w:rsidRPr="00BD16B4" w:rsidRDefault="007C259A" w:rsidP="00F31129">
            <w:pPr>
              <w:pStyle w:val="TableText"/>
              <w:spacing w:before="50" w:after="50"/>
              <w:rPr>
                <w:b w:val="0"/>
                <w:bCs w:val="0"/>
              </w:rPr>
            </w:pPr>
            <w:r w:rsidRPr="00BD16B4">
              <w:rPr>
                <w:b w:val="0"/>
                <w:bCs w:val="0"/>
              </w:rPr>
              <w:t>HFCs</w:t>
            </w:r>
          </w:p>
        </w:tc>
        <w:tc>
          <w:tcPr>
            <w:tcW w:w="680" w:type="dxa"/>
          </w:tcPr>
          <w:p w14:paraId="6F74C458" w14:textId="77777777" w:rsidR="007C259A" w:rsidRPr="00BD16B4" w:rsidRDefault="007C259A" w:rsidP="00F3112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D16B4">
              <w:t xml:space="preserve">WEM </w:t>
            </w:r>
          </w:p>
        </w:tc>
        <w:tc>
          <w:tcPr>
            <w:tcW w:w="706" w:type="dxa"/>
            <w:shd w:val="clear" w:color="auto" w:fill="auto"/>
          </w:tcPr>
          <w:p w14:paraId="6D9D44C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D16B4">
              <w:rPr>
                <w:rFonts w:cs="Calibri"/>
                <w:color w:val="000000"/>
              </w:rPr>
              <w:t>0.00</w:t>
            </w:r>
          </w:p>
        </w:tc>
        <w:tc>
          <w:tcPr>
            <w:tcW w:w="706" w:type="dxa"/>
            <w:shd w:val="clear" w:color="auto" w:fill="auto"/>
          </w:tcPr>
          <w:p w14:paraId="456453D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0.02</w:t>
            </w:r>
          </w:p>
        </w:tc>
        <w:tc>
          <w:tcPr>
            <w:tcW w:w="706" w:type="dxa"/>
            <w:shd w:val="clear" w:color="auto" w:fill="auto"/>
          </w:tcPr>
          <w:p w14:paraId="34F15F4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0.23</w:t>
            </w:r>
          </w:p>
        </w:tc>
        <w:tc>
          <w:tcPr>
            <w:tcW w:w="706" w:type="dxa"/>
            <w:shd w:val="clear" w:color="auto" w:fill="auto"/>
          </w:tcPr>
          <w:p w14:paraId="2AE22B5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0.69</w:t>
            </w:r>
          </w:p>
        </w:tc>
        <w:tc>
          <w:tcPr>
            <w:tcW w:w="706" w:type="dxa"/>
            <w:shd w:val="clear" w:color="auto" w:fill="auto"/>
          </w:tcPr>
          <w:p w14:paraId="41A6B4E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1.10</w:t>
            </w:r>
          </w:p>
        </w:tc>
        <w:tc>
          <w:tcPr>
            <w:tcW w:w="706" w:type="dxa"/>
            <w:shd w:val="clear" w:color="auto" w:fill="auto"/>
          </w:tcPr>
          <w:p w14:paraId="3376D025"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1.39</w:t>
            </w:r>
          </w:p>
        </w:tc>
        <w:tc>
          <w:tcPr>
            <w:tcW w:w="706" w:type="dxa"/>
            <w:shd w:val="clear" w:color="auto" w:fill="auto"/>
          </w:tcPr>
          <w:p w14:paraId="701BE73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1.48</w:t>
            </w:r>
          </w:p>
        </w:tc>
        <w:tc>
          <w:tcPr>
            <w:tcW w:w="706" w:type="dxa"/>
            <w:shd w:val="clear" w:color="000000" w:fill="D2DDE1" w:themeFill="background2"/>
          </w:tcPr>
          <w:p w14:paraId="7981352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1.30</w:t>
            </w:r>
          </w:p>
        </w:tc>
        <w:tc>
          <w:tcPr>
            <w:tcW w:w="706" w:type="dxa"/>
            <w:shd w:val="clear" w:color="000000" w:fill="D2DDE1" w:themeFill="background2"/>
          </w:tcPr>
          <w:p w14:paraId="6CE0871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1.21</w:t>
            </w:r>
          </w:p>
        </w:tc>
        <w:tc>
          <w:tcPr>
            <w:tcW w:w="729" w:type="dxa"/>
            <w:shd w:val="clear" w:color="000000" w:fill="D2DDE1" w:themeFill="background2"/>
          </w:tcPr>
          <w:p w14:paraId="7CAC1FB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1.01</w:t>
            </w:r>
          </w:p>
        </w:tc>
      </w:tr>
      <w:tr w:rsidR="007C259A" w:rsidRPr="00BD16B4" w14:paraId="1F9A1E7D" w14:textId="77777777" w:rsidTr="00B1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7817B07D" w14:textId="77777777" w:rsidR="007C259A" w:rsidRPr="00BD16B4" w:rsidRDefault="007C259A" w:rsidP="00F31129">
            <w:pPr>
              <w:pStyle w:val="TableText"/>
              <w:spacing w:before="50" w:after="50"/>
              <w:rPr>
                <w:b w:val="0"/>
                <w:bCs w:val="0"/>
              </w:rPr>
            </w:pPr>
          </w:p>
        </w:tc>
        <w:tc>
          <w:tcPr>
            <w:tcW w:w="680" w:type="dxa"/>
            <w:tcBorders>
              <w:top w:val="none" w:sz="0" w:space="0" w:color="auto"/>
              <w:bottom w:val="none" w:sz="0" w:space="0" w:color="auto"/>
            </w:tcBorders>
          </w:tcPr>
          <w:p w14:paraId="3FDAA804" w14:textId="77777777" w:rsidR="007C259A" w:rsidRPr="00BD16B4" w:rsidRDefault="007C259A" w:rsidP="00F31129">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D16B4">
              <w:t>WOM</w:t>
            </w:r>
          </w:p>
        </w:tc>
        <w:tc>
          <w:tcPr>
            <w:tcW w:w="706" w:type="dxa"/>
            <w:tcBorders>
              <w:top w:val="none" w:sz="0" w:space="0" w:color="auto"/>
              <w:bottom w:val="none" w:sz="0" w:space="0" w:color="auto"/>
            </w:tcBorders>
            <w:shd w:val="clear" w:color="auto" w:fill="auto"/>
          </w:tcPr>
          <w:p w14:paraId="426C7DFD"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D16B4">
              <w:rPr>
                <w:rFonts w:cs="Calibri"/>
                <w:color w:val="000000"/>
              </w:rPr>
              <w:t>0.00</w:t>
            </w:r>
          </w:p>
        </w:tc>
        <w:tc>
          <w:tcPr>
            <w:tcW w:w="706" w:type="dxa"/>
            <w:tcBorders>
              <w:top w:val="none" w:sz="0" w:space="0" w:color="auto"/>
              <w:bottom w:val="none" w:sz="0" w:space="0" w:color="auto"/>
            </w:tcBorders>
            <w:shd w:val="clear" w:color="auto" w:fill="auto"/>
          </w:tcPr>
          <w:p w14:paraId="572A3943"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0.03</w:t>
            </w:r>
          </w:p>
        </w:tc>
        <w:tc>
          <w:tcPr>
            <w:tcW w:w="706" w:type="dxa"/>
            <w:tcBorders>
              <w:top w:val="none" w:sz="0" w:space="0" w:color="auto"/>
              <w:bottom w:val="none" w:sz="0" w:space="0" w:color="auto"/>
            </w:tcBorders>
            <w:shd w:val="clear" w:color="auto" w:fill="auto"/>
          </w:tcPr>
          <w:p w14:paraId="09E39DD4"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0.24</w:t>
            </w:r>
          </w:p>
        </w:tc>
        <w:tc>
          <w:tcPr>
            <w:tcW w:w="706" w:type="dxa"/>
            <w:tcBorders>
              <w:top w:val="none" w:sz="0" w:space="0" w:color="auto"/>
              <w:bottom w:val="none" w:sz="0" w:space="0" w:color="auto"/>
            </w:tcBorders>
            <w:shd w:val="clear" w:color="auto" w:fill="auto"/>
          </w:tcPr>
          <w:p w14:paraId="7C2A835C"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0.68</w:t>
            </w:r>
          </w:p>
        </w:tc>
        <w:tc>
          <w:tcPr>
            <w:tcW w:w="706" w:type="dxa"/>
            <w:tcBorders>
              <w:top w:val="none" w:sz="0" w:space="0" w:color="auto"/>
              <w:bottom w:val="none" w:sz="0" w:space="0" w:color="auto"/>
            </w:tcBorders>
            <w:shd w:val="clear" w:color="auto" w:fill="auto"/>
          </w:tcPr>
          <w:p w14:paraId="05FE6D37"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1.07</w:t>
            </w:r>
          </w:p>
        </w:tc>
        <w:tc>
          <w:tcPr>
            <w:tcW w:w="706" w:type="dxa"/>
            <w:tcBorders>
              <w:top w:val="none" w:sz="0" w:space="0" w:color="auto"/>
              <w:bottom w:val="none" w:sz="0" w:space="0" w:color="auto"/>
            </w:tcBorders>
            <w:shd w:val="clear" w:color="auto" w:fill="auto"/>
          </w:tcPr>
          <w:p w14:paraId="0CB0962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1.38</w:t>
            </w:r>
          </w:p>
        </w:tc>
        <w:tc>
          <w:tcPr>
            <w:tcW w:w="706" w:type="dxa"/>
            <w:tcBorders>
              <w:top w:val="none" w:sz="0" w:space="0" w:color="auto"/>
              <w:bottom w:val="none" w:sz="0" w:space="0" w:color="auto"/>
            </w:tcBorders>
            <w:shd w:val="clear" w:color="auto" w:fill="auto"/>
          </w:tcPr>
          <w:p w14:paraId="6D7CE800"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1.47</w:t>
            </w:r>
          </w:p>
        </w:tc>
        <w:tc>
          <w:tcPr>
            <w:tcW w:w="706" w:type="dxa"/>
            <w:tcBorders>
              <w:top w:val="none" w:sz="0" w:space="0" w:color="auto"/>
              <w:bottom w:val="none" w:sz="0" w:space="0" w:color="auto"/>
            </w:tcBorders>
            <w:shd w:val="clear" w:color="000000" w:fill="D2DDE1" w:themeFill="background2"/>
          </w:tcPr>
          <w:p w14:paraId="6BDD2AAE"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1.53</w:t>
            </w:r>
          </w:p>
        </w:tc>
        <w:tc>
          <w:tcPr>
            <w:tcW w:w="706" w:type="dxa"/>
            <w:tcBorders>
              <w:top w:val="none" w:sz="0" w:space="0" w:color="auto"/>
              <w:bottom w:val="none" w:sz="0" w:space="0" w:color="auto"/>
            </w:tcBorders>
            <w:shd w:val="clear" w:color="000000" w:fill="D2DDE1" w:themeFill="background2"/>
          </w:tcPr>
          <w:p w14:paraId="1EBB3798"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1.52</w:t>
            </w:r>
          </w:p>
        </w:tc>
        <w:tc>
          <w:tcPr>
            <w:tcW w:w="729" w:type="dxa"/>
            <w:tcBorders>
              <w:top w:val="none" w:sz="0" w:space="0" w:color="auto"/>
              <w:bottom w:val="none" w:sz="0" w:space="0" w:color="auto"/>
              <w:right w:val="none" w:sz="0" w:space="0" w:color="auto"/>
            </w:tcBorders>
            <w:shd w:val="clear" w:color="000000" w:fill="D2DDE1" w:themeFill="background2"/>
          </w:tcPr>
          <w:p w14:paraId="0F5088BB"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1.39</w:t>
            </w:r>
          </w:p>
        </w:tc>
      </w:tr>
      <w:tr w:rsidR="007C259A" w:rsidRPr="00BD16B4" w14:paraId="23627AFF" w14:textId="77777777" w:rsidTr="00B103C6">
        <w:tc>
          <w:tcPr>
            <w:cnfStyle w:val="001000000000" w:firstRow="0" w:lastRow="0" w:firstColumn="1" w:lastColumn="0" w:oddVBand="0" w:evenVBand="0" w:oddHBand="0" w:evenHBand="0" w:firstRowFirstColumn="0" w:firstRowLastColumn="0" w:lastRowFirstColumn="0" w:lastRowLastColumn="0"/>
            <w:tcW w:w="706" w:type="dxa"/>
            <w:vMerge/>
          </w:tcPr>
          <w:p w14:paraId="76906FDB" w14:textId="77777777" w:rsidR="007C259A" w:rsidRPr="00BD16B4" w:rsidRDefault="007C259A" w:rsidP="00F31129">
            <w:pPr>
              <w:pStyle w:val="TableText"/>
              <w:spacing w:before="50" w:after="50"/>
              <w:rPr>
                <w:b w:val="0"/>
                <w:bCs w:val="0"/>
              </w:rPr>
            </w:pPr>
          </w:p>
        </w:tc>
        <w:tc>
          <w:tcPr>
            <w:tcW w:w="680" w:type="dxa"/>
          </w:tcPr>
          <w:p w14:paraId="1E202B95" w14:textId="77777777" w:rsidR="007C259A" w:rsidRPr="00BD16B4" w:rsidRDefault="007C259A" w:rsidP="00F3112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D16B4">
              <w:t>WAM</w:t>
            </w:r>
          </w:p>
        </w:tc>
        <w:tc>
          <w:tcPr>
            <w:tcW w:w="706" w:type="dxa"/>
            <w:shd w:val="clear" w:color="auto" w:fill="auto"/>
          </w:tcPr>
          <w:p w14:paraId="5334B2E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D16B4">
              <w:rPr>
                <w:rFonts w:cs="Calibri"/>
                <w:color w:val="000000"/>
              </w:rPr>
              <w:t>0.00</w:t>
            </w:r>
          </w:p>
        </w:tc>
        <w:tc>
          <w:tcPr>
            <w:tcW w:w="706" w:type="dxa"/>
            <w:shd w:val="clear" w:color="auto" w:fill="auto"/>
          </w:tcPr>
          <w:p w14:paraId="27BFC4C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0.02</w:t>
            </w:r>
          </w:p>
        </w:tc>
        <w:tc>
          <w:tcPr>
            <w:tcW w:w="706" w:type="dxa"/>
            <w:shd w:val="clear" w:color="auto" w:fill="auto"/>
          </w:tcPr>
          <w:p w14:paraId="02ECA1A5"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0.23</w:t>
            </w:r>
          </w:p>
        </w:tc>
        <w:tc>
          <w:tcPr>
            <w:tcW w:w="706" w:type="dxa"/>
            <w:shd w:val="clear" w:color="auto" w:fill="auto"/>
          </w:tcPr>
          <w:p w14:paraId="4B01F5E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0.69</w:t>
            </w:r>
          </w:p>
        </w:tc>
        <w:tc>
          <w:tcPr>
            <w:tcW w:w="706" w:type="dxa"/>
            <w:shd w:val="clear" w:color="auto" w:fill="auto"/>
          </w:tcPr>
          <w:p w14:paraId="2542A8C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1.10</w:t>
            </w:r>
          </w:p>
        </w:tc>
        <w:tc>
          <w:tcPr>
            <w:tcW w:w="706" w:type="dxa"/>
            <w:shd w:val="clear" w:color="auto" w:fill="auto"/>
          </w:tcPr>
          <w:p w14:paraId="0950FA2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1.39</w:t>
            </w:r>
          </w:p>
        </w:tc>
        <w:tc>
          <w:tcPr>
            <w:tcW w:w="706" w:type="dxa"/>
            <w:shd w:val="clear" w:color="auto" w:fill="auto"/>
          </w:tcPr>
          <w:p w14:paraId="0299CF0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1.48</w:t>
            </w:r>
          </w:p>
        </w:tc>
        <w:tc>
          <w:tcPr>
            <w:tcW w:w="706" w:type="dxa"/>
            <w:shd w:val="clear" w:color="000000" w:fill="D2DDE1" w:themeFill="background2"/>
          </w:tcPr>
          <w:p w14:paraId="61A770F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1.22</w:t>
            </w:r>
          </w:p>
        </w:tc>
        <w:tc>
          <w:tcPr>
            <w:tcW w:w="706" w:type="dxa"/>
            <w:shd w:val="clear" w:color="000000" w:fill="D2DDE1" w:themeFill="background2"/>
          </w:tcPr>
          <w:p w14:paraId="6FA4B8F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1.11</w:t>
            </w:r>
          </w:p>
        </w:tc>
        <w:tc>
          <w:tcPr>
            <w:tcW w:w="729" w:type="dxa"/>
            <w:shd w:val="clear" w:color="000000" w:fill="D2DDE1" w:themeFill="background2"/>
          </w:tcPr>
          <w:p w14:paraId="1D5A119D"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0.76</w:t>
            </w:r>
          </w:p>
        </w:tc>
      </w:tr>
      <w:tr w:rsidR="007C259A" w:rsidRPr="00BD16B4" w14:paraId="7EBDC5E4" w14:textId="77777777" w:rsidTr="00B1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one" w:sz="0" w:space="0" w:color="auto"/>
              <w:left w:val="none" w:sz="0" w:space="0" w:color="auto"/>
              <w:bottom w:val="none" w:sz="0" w:space="0" w:color="auto"/>
            </w:tcBorders>
          </w:tcPr>
          <w:p w14:paraId="14153CA4" w14:textId="77777777" w:rsidR="007C259A" w:rsidRPr="00BD16B4" w:rsidRDefault="007C259A" w:rsidP="00F31129">
            <w:pPr>
              <w:pStyle w:val="TableText"/>
              <w:spacing w:before="50" w:after="50"/>
              <w:rPr>
                <w:b w:val="0"/>
                <w:bCs w:val="0"/>
              </w:rPr>
            </w:pPr>
            <w:r w:rsidRPr="00BD16B4">
              <w:rPr>
                <w:b w:val="0"/>
                <w:bCs w:val="0"/>
              </w:rPr>
              <w:t>PFCs</w:t>
            </w:r>
          </w:p>
        </w:tc>
        <w:tc>
          <w:tcPr>
            <w:tcW w:w="680" w:type="dxa"/>
            <w:tcBorders>
              <w:top w:val="none" w:sz="0" w:space="0" w:color="auto"/>
              <w:bottom w:val="none" w:sz="0" w:space="0" w:color="auto"/>
            </w:tcBorders>
          </w:tcPr>
          <w:p w14:paraId="0DC4154E" w14:textId="77777777" w:rsidR="007C259A" w:rsidRPr="00BD16B4" w:rsidRDefault="007C259A" w:rsidP="00F31129">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D16B4">
              <w:t xml:space="preserve">WEM </w:t>
            </w:r>
          </w:p>
        </w:tc>
        <w:tc>
          <w:tcPr>
            <w:tcW w:w="706" w:type="dxa"/>
            <w:tcBorders>
              <w:top w:val="none" w:sz="0" w:space="0" w:color="auto"/>
              <w:bottom w:val="none" w:sz="0" w:space="0" w:color="auto"/>
            </w:tcBorders>
            <w:shd w:val="clear" w:color="auto" w:fill="auto"/>
          </w:tcPr>
          <w:p w14:paraId="36720DE1"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0.91</w:t>
            </w:r>
          </w:p>
        </w:tc>
        <w:tc>
          <w:tcPr>
            <w:tcW w:w="706" w:type="dxa"/>
            <w:tcBorders>
              <w:top w:val="none" w:sz="0" w:space="0" w:color="auto"/>
              <w:bottom w:val="none" w:sz="0" w:space="0" w:color="auto"/>
            </w:tcBorders>
            <w:shd w:val="clear" w:color="auto" w:fill="auto"/>
          </w:tcPr>
          <w:p w14:paraId="508B419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0.15</w:t>
            </w:r>
          </w:p>
        </w:tc>
        <w:tc>
          <w:tcPr>
            <w:tcW w:w="706" w:type="dxa"/>
            <w:tcBorders>
              <w:top w:val="none" w:sz="0" w:space="0" w:color="auto"/>
              <w:bottom w:val="none" w:sz="0" w:space="0" w:color="auto"/>
            </w:tcBorders>
            <w:shd w:val="clear" w:color="auto" w:fill="auto"/>
          </w:tcPr>
          <w:p w14:paraId="095FF0F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0.07</w:t>
            </w:r>
          </w:p>
        </w:tc>
        <w:tc>
          <w:tcPr>
            <w:tcW w:w="706" w:type="dxa"/>
            <w:tcBorders>
              <w:top w:val="none" w:sz="0" w:space="0" w:color="auto"/>
              <w:bottom w:val="none" w:sz="0" w:space="0" w:color="auto"/>
            </w:tcBorders>
            <w:shd w:val="clear" w:color="auto" w:fill="auto"/>
          </w:tcPr>
          <w:p w14:paraId="40ABBC33"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0.07</w:t>
            </w:r>
          </w:p>
        </w:tc>
        <w:tc>
          <w:tcPr>
            <w:tcW w:w="706" w:type="dxa"/>
            <w:tcBorders>
              <w:top w:val="none" w:sz="0" w:space="0" w:color="auto"/>
              <w:bottom w:val="none" w:sz="0" w:space="0" w:color="auto"/>
            </w:tcBorders>
            <w:shd w:val="clear" w:color="auto" w:fill="auto"/>
          </w:tcPr>
          <w:p w14:paraId="175FB829"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0.05</w:t>
            </w:r>
          </w:p>
        </w:tc>
        <w:tc>
          <w:tcPr>
            <w:tcW w:w="706" w:type="dxa"/>
            <w:tcBorders>
              <w:top w:val="none" w:sz="0" w:space="0" w:color="auto"/>
              <w:bottom w:val="none" w:sz="0" w:space="0" w:color="auto"/>
            </w:tcBorders>
            <w:shd w:val="clear" w:color="auto" w:fill="auto"/>
          </w:tcPr>
          <w:p w14:paraId="4E28C93F"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0.06</w:t>
            </w:r>
          </w:p>
        </w:tc>
        <w:tc>
          <w:tcPr>
            <w:tcW w:w="706" w:type="dxa"/>
            <w:tcBorders>
              <w:top w:val="none" w:sz="0" w:space="0" w:color="auto"/>
              <w:bottom w:val="none" w:sz="0" w:space="0" w:color="auto"/>
            </w:tcBorders>
            <w:shd w:val="clear" w:color="auto" w:fill="auto"/>
          </w:tcPr>
          <w:p w14:paraId="0DBD5340"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0.09</w:t>
            </w:r>
          </w:p>
        </w:tc>
        <w:tc>
          <w:tcPr>
            <w:tcW w:w="706" w:type="dxa"/>
            <w:tcBorders>
              <w:top w:val="none" w:sz="0" w:space="0" w:color="auto"/>
              <w:bottom w:val="none" w:sz="0" w:space="0" w:color="auto"/>
            </w:tcBorders>
            <w:shd w:val="clear" w:color="000000" w:fill="D2DDE1" w:themeFill="background2"/>
          </w:tcPr>
          <w:p w14:paraId="332F7E2A"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0.00</w:t>
            </w:r>
          </w:p>
        </w:tc>
        <w:tc>
          <w:tcPr>
            <w:tcW w:w="706" w:type="dxa"/>
            <w:tcBorders>
              <w:top w:val="none" w:sz="0" w:space="0" w:color="auto"/>
              <w:bottom w:val="none" w:sz="0" w:space="0" w:color="auto"/>
            </w:tcBorders>
            <w:shd w:val="clear" w:color="000000" w:fill="D2DDE1" w:themeFill="background2"/>
          </w:tcPr>
          <w:p w14:paraId="4007E8C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0.00</w:t>
            </w:r>
          </w:p>
        </w:tc>
        <w:tc>
          <w:tcPr>
            <w:tcW w:w="729" w:type="dxa"/>
            <w:tcBorders>
              <w:top w:val="none" w:sz="0" w:space="0" w:color="auto"/>
              <w:bottom w:val="none" w:sz="0" w:space="0" w:color="auto"/>
              <w:right w:val="none" w:sz="0" w:space="0" w:color="auto"/>
            </w:tcBorders>
            <w:shd w:val="clear" w:color="000000" w:fill="D2DDE1" w:themeFill="background2"/>
          </w:tcPr>
          <w:p w14:paraId="0A79D3C4"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0.00</w:t>
            </w:r>
          </w:p>
        </w:tc>
      </w:tr>
      <w:tr w:rsidR="007C259A" w:rsidRPr="00BD16B4" w14:paraId="52444ACE" w14:textId="77777777" w:rsidTr="00B103C6">
        <w:tc>
          <w:tcPr>
            <w:cnfStyle w:val="001000000000" w:firstRow="0" w:lastRow="0" w:firstColumn="1" w:lastColumn="0" w:oddVBand="0" w:evenVBand="0" w:oddHBand="0" w:evenHBand="0" w:firstRowFirstColumn="0" w:firstRowLastColumn="0" w:lastRowFirstColumn="0" w:lastRowLastColumn="0"/>
            <w:tcW w:w="706" w:type="dxa"/>
            <w:vMerge/>
          </w:tcPr>
          <w:p w14:paraId="515DA4CD" w14:textId="77777777" w:rsidR="007C259A" w:rsidRPr="00BD16B4" w:rsidRDefault="007C259A" w:rsidP="00F31129">
            <w:pPr>
              <w:pStyle w:val="TableText"/>
              <w:spacing w:before="50" w:after="50"/>
              <w:rPr>
                <w:b w:val="0"/>
                <w:bCs w:val="0"/>
              </w:rPr>
            </w:pPr>
          </w:p>
        </w:tc>
        <w:tc>
          <w:tcPr>
            <w:tcW w:w="680" w:type="dxa"/>
          </w:tcPr>
          <w:p w14:paraId="108838BF" w14:textId="77777777" w:rsidR="007C259A" w:rsidRPr="00BD16B4" w:rsidRDefault="007C259A" w:rsidP="00F3112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D16B4">
              <w:t>WOM</w:t>
            </w:r>
          </w:p>
        </w:tc>
        <w:tc>
          <w:tcPr>
            <w:tcW w:w="706" w:type="dxa"/>
            <w:shd w:val="clear" w:color="auto" w:fill="auto"/>
          </w:tcPr>
          <w:p w14:paraId="54F5BCEB"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0.91</w:t>
            </w:r>
          </w:p>
        </w:tc>
        <w:tc>
          <w:tcPr>
            <w:tcW w:w="706" w:type="dxa"/>
            <w:shd w:val="clear" w:color="auto" w:fill="auto"/>
          </w:tcPr>
          <w:p w14:paraId="725D72C9"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0.15</w:t>
            </w:r>
          </w:p>
        </w:tc>
        <w:tc>
          <w:tcPr>
            <w:tcW w:w="706" w:type="dxa"/>
            <w:shd w:val="clear" w:color="auto" w:fill="auto"/>
          </w:tcPr>
          <w:p w14:paraId="06098D0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0.07</w:t>
            </w:r>
          </w:p>
        </w:tc>
        <w:tc>
          <w:tcPr>
            <w:tcW w:w="706" w:type="dxa"/>
            <w:shd w:val="clear" w:color="auto" w:fill="auto"/>
          </w:tcPr>
          <w:p w14:paraId="3774BAE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0.07</w:t>
            </w:r>
          </w:p>
        </w:tc>
        <w:tc>
          <w:tcPr>
            <w:tcW w:w="706" w:type="dxa"/>
            <w:shd w:val="clear" w:color="auto" w:fill="auto"/>
          </w:tcPr>
          <w:p w14:paraId="143437C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0.05</w:t>
            </w:r>
          </w:p>
        </w:tc>
        <w:tc>
          <w:tcPr>
            <w:tcW w:w="706" w:type="dxa"/>
            <w:shd w:val="clear" w:color="auto" w:fill="auto"/>
          </w:tcPr>
          <w:p w14:paraId="324D3FD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0.06</w:t>
            </w:r>
          </w:p>
        </w:tc>
        <w:tc>
          <w:tcPr>
            <w:tcW w:w="706" w:type="dxa"/>
            <w:shd w:val="clear" w:color="auto" w:fill="auto"/>
          </w:tcPr>
          <w:p w14:paraId="5896CD75"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0.09</w:t>
            </w:r>
          </w:p>
        </w:tc>
        <w:tc>
          <w:tcPr>
            <w:tcW w:w="706" w:type="dxa"/>
            <w:shd w:val="clear" w:color="000000" w:fill="D2DDE1" w:themeFill="background2"/>
          </w:tcPr>
          <w:p w14:paraId="2C54DDB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0.00</w:t>
            </w:r>
          </w:p>
        </w:tc>
        <w:tc>
          <w:tcPr>
            <w:tcW w:w="706" w:type="dxa"/>
            <w:shd w:val="clear" w:color="000000" w:fill="D2DDE1" w:themeFill="background2"/>
          </w:tcPr>
          <w:p w14:paraId="4ECB8C80"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0.00</w:t>
            </w:r>
          </w:p>
        </w:tc>
        <w:tc>
          <w:tcPr>
            <w:tcW w:w="729" w:type="dxa"/>
            <w:shd w:val="clear" w:color="000000" w:fill="D2DDE1" w:themeFill="background2"/>
          </w:tcPr>
          <w:p w14:paraId="71D9F97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0.00</w:t>
            </w:r>
          </w:p>
        </w:tc>
      </w:tr>
      <w:tr w:rsidR="007C259A" w:rsidRPr="00BD16B4" w14:paraId="40CA5300" w14:textId="77777777" w:rsidTr="00B1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20F6B55A" w14:textId="77777777" w:rsidR="007C259A" w:rsidRPr="00BD16B4" w:rsidRDefault="007C259A" w:rsidP="00F31129">
            <w:pPr>
              <w:pStyle w:val="TableText"/>
              <w:spacing w:before="50" w:after="50"/>
              <w:rPr>
                <w:b w:val="0"/>
                <w:bCs w:val="0"/>
              </w:rPr>
            </w:pPr>
          </w:p>
        </w:tc>
        <w:tc>
          <w:tcPr>
            <w:tcW w:w="680" w:type="dxa"/>
            <w:tcBorders>
              <w:top w:val="none" w:sz="0" w:space="0" w:color="auto"/>
              <w:bottom w:val="none" w:sz="0" w:space="0" w:color="auto"/>
            </w:tcBorders>
          </w:tcPr>
          <w:p w14:paraId="3398027B" w14:textId="77777777" w:rsidR="007C259A" w:rsidRPr="00BD16B4" w:rsidRDefault="007C259A" w:rsidP="00F31129">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D16B4">
              <w:t>WAM</w:t>
            </w:r>
          </w:p>
        </w:tc>
        <w:tc>
          <w:tcPr>
            <w:tcW w:w="706" w:type="dxa"/>
            <w:tcBorders>
              <w:top w:val="none" w:sz="0" w:space="0" w:color="auto"/>
              <w:bottom w:val="none" w:sz="0" w:space="0" w:color="auto"/>
            </w:tcBorders>
            <w:shd w:val="clear" w:color="auto" w:fill="auto"/>
          </w:tcPr>
          <w:p w14:paraId="69A3F8C8"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0.91</w:t>
            </w:r>
          </w:p>
        </w:tc>
        <w:tc>
          <w:tcPr>
            <w:tcW w:w="706" w:type="dxa"/>
            <w:tcBorders>
              <w:top w:val="none" w:sz="0" w:space="0" w:color="auto"/>
              <w:bottom w:val="none" w:sz="0" w:space="0" w:color="auto"/>
            </w:tcBorders>
            <w:shd w:val="clear" w:color="auto" w:fill="auto"/>
          </w:tcPr>
          <w:p w14:paraId="528BF12A"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0.15</w:t>
            </w:r>
          </w:p>
        </w:tc>
        <w:tc>
          <w:tcPr>
            <w:tcW w:w="706" w:type="dxa"/>
            <w:tcBorders>
              <w:top w:val="none" w:sz="0" w:space="0" w:color="auto"/>
              <w:bottom w:val="none" w:sz="0" w:space="0" w:color="auto"/>
            </w:tcBorders>
            <w:shd w:val="clear" w:color="auto" w:fill="auto"/>
          </w:tcPr>
          <w:p w14:paraId="5DAFB04C"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0.07</w:t>
            </w:r>
          </w:p>
        </w:tc>
        <w:tc>
          <w:tcPr>
            <w:tcW w:w="706" w:type="dxa"/>
            <w:tcBorders>
              <w:top w:val="none" w:sz="0" w:space="0" w:color="auto"/>
              <w:bottom w:val="none" w:sz="0" w:space="0" w:color="auto"/>
            </w:tcBorders>
            <w:shd w:val="clear" w:color="auto" w:fill="auto"/>
          </w:tcPr>
          <w:p w14:paraId="380B3DDC"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0.07</w:t>
            </w:r>
          </w:p>
        </w:tc>
        <w:tc>
          <w:tcPr>
            <w:tcW w:w="706" w:type="dxa"/>
            <w:tcBorders>
              <w:top w:val="none" w:sz="0" w:space="0" w:color="auto"/>
              <w:bottom w:val="none" w:sz="0" w:space="0" w:color="auto"/>
            </w:tcBorders>
            <w:shd w:val="clear" w:color="auto" w:fill="auto"/>
          </w:tcPr>
          <w:p w14:paraId="2250EA21"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0.05</w:t>
            </w:r>
          </w:p>
        </w:tc>
        <w:tc>
          <w:tcPr>
            <w:tcW w:w="706" w:type="dxa"/>
            <w:tcBorders>
              <w:top w:val="none" w:sz="0" w:space="0" w:color="auto"/>
              <w:bottom w:val="none" w:sz="0" w:space="0" w:color="auto"/>
            </w:tcBorders>
            <w:shd w:val="clear" w:color="auto" w:fill="auto"/>
          </w:tcPr>
          <w:p w14:paraId="1532B93A"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0.06</w:t>
            </w:r>
          </w:p>
        </w:tc>
        <w:tc>
          <w:tcPr>
            <w:tcW w:w="706" w:type="dxa"/>
            <w:tcBorders>
              <w:top w:val="none" w:sz="0" w:space="0" w:color="auto"/>
              <w:bottom w:val="none" w:sz="0" w:space="0" w:color="auto"/>
            </w:tcBorders>
            <w:shd w:val="clear" w:color="auto" w:fill="auto"/>
          </w:tcPr>
          <w:p w14:paraId="55F89340"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0.09</w:t>
            </w:r>
          </w:p>
        </w:tc>
        <w:tc>
          <w:tcPr>
            <w:tcW w:w="706" w:type="dxa"/>
            <w:tcBorders>
              <w:top w:val="none" w:sz="0" w:space="0" w:color="auto"/>
              <w:bottom w:val="none" w:sz="0" w:space="0" w:color="auto"/>
            </w:tcBorders>
            <w:shd w:val="clear" w:color="000000" w:fill="D2DDE1" w:themeFill="background2"/>
          </w:tcPr>
          <w:p w14:paraId="3C35EC65"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0.00</w:t>
            </w:r>
          </w:p>
        </w:tc>
        <w:tc>
          <w:tcPr>
            <w:tcW w:w="706" w:type="dxa"/>
            <w:tcBorders>
              <w:top w:val="none" w:sz="0" w:space="0" w:color="auto"/>
              <w:bottom w:val="none" w:sz="0" w:space="0" w:color="auto"/>
            </w:tcBorders>
            <w:shd w:val="clear" w:color="000000" w:fill="D2DDE1" w:themeFill="background2"/>
          </w:tcPr>
          <w:p w14:paraId="7BBAB8FA"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0.00</w:t>
            </w:r>
          </w:p>
        </w:tc>
        <w:tc>
          <w:tcPr>
            <w:tcW w:w="729" w:type="dxa"/>
            <w:tcBorders>
              <w:top w:val="none" w:sz="0" w:space="0" w:color="auto"/>
              <w:bottom w:val="none" w:sz="0" w:space="0" w:color="auto"/>
              <w:right w:val="none" w:sz="0" w:space="0" w:color="auto"/>
            </w:tcBorders>
            <w:shd w:val="clear" w:color="000000" w:fill="D2DDE1" w:themeFill="background2"/>
          </w:tcPr>
          <w:p w14:paraId="45574A4D"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0.00</w:t>
            </w:r>
          </w:p>
        </w:tc>
      </w:tr>
      <w:tr w:rsidR="007C259A" w:rsidRPr="00BD16B4" w14:paraId="318CA744" w14:textId="77777777" w:rsidTr="00B103C6">
        <w:tc>
          <w:tcPr>
            <w:cnfStyle w:val="001000000000" w:firstRow="0" w:lastRow="0" w:firstColumn="1" w:lastColumn="0" w:oddVBand="0" w:evenVBand="0" w:oddHBand="0" w:evenHBand="0" w:firstRowFirstColumn="0" w:firstRowLastColumn="0" w:lastRowFirstColumn="0" w:lastRowLastColumn="0"/>
            <w:tcW w:w="706" w:type="dxa"/>
            <w:vMerge w:val="restart"/>
          </w:tcPr>
          <w:p w14:paraId="2CDEF779" w14:textId="77777777" w:rsidR="007C259A" w:rsidRPr="00BD16B4" w:rsidRDefault="007C259A" w:rsidP="00F31129">
            <w:pPr>
              <w:pStyle w:val="TableText"/>
              <w:spacing w:before="50" w:after="50"/>
              <w:rPr>
                <w:b w:val="0"/>
                <w:bCs w:val="0"/>
              </w:rPr>
            </w:pPr>
            <w:r w:rsidRPr="00BD16B4">
              <w:rPr>
                <w:b w:val="0"/>
                <w:bCs w:val="0"/>
              </w:rPr>
              <w:t>SF</w:t>
            </w:r>
            <w:r w:rsidRPr="00BD16B4">
              <w:rPr>
                <w:b w:val="0"/>
                <w:bCs w:val="0"/>
                <w:vertAlign w:val="subscript"/>
              </w:rPr>
              <w:t>6</w:t>
            </w:r>
          </w:p>
        </w:tc>
        <w:tc>
          <w:tcPr>
            <w:tcW w:w="680" w:type="dxa"/>
          </w:tcPr>
          <w:p w14:paraId="00C8B9F2" w14:textId="77777777" w:rsidR="007C259A" w:rsidRPr="00BD16B4" w:rsidRDefault="007C259A" w:rsidP="00F3112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D16B4">
              <w:t xml:space="preserve">WEM </w:t>
            </w:r>
          </w:p>
        </w:tc>
        <w:tc>
          <w:tcPr>
            <w:tcW w:w="706" w:type="dxa"/>
            <w:shd w:val="clear" w:color="auto" w:fill="auto"/>
          </w:tcPr>
          <w:p w14:paraId="2F923C5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D16B4">
              <w:rPr>
                <w:rFonts w:cs="Calibri"/>
                <w:color w:val="000000"/>
              </w:rPr>
              <w:t>0.02</w:t>
            </w:r>
          </w:p>
        </w:tc>
        <w:tc>
          <w:tcPr>
            <w:tcW w:w="706" w:type="dxa"/>
            <w:shd w:val="clear" w:color="auto" w:fill="auto"/>
          </w:tcPr>
          <w:p w14:paraId="18220E75"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0.02</w:t>
            </w:r>
          </w:p>
        </w:tc>
        <w:tc>
          <w:tcPr>
            <w:tcW w:w="706" w:type="dxa"/>
            <w:shd w:val="clear" w:color="auto" w:fill="auto"/>
          </w:tcPr>
          <w:p w14:paraId="6D91619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0.02</w:t>
            </w:r>
          </w:p>
        </w:tc>
        <w:tc>
          <w:tcPr>
            <w:tcW w:w="706" w:type="dxa"/>
            <w:shd w:val="clear" w:color="auto" w:fill="auto"/>
          </w:tcPr>
          <w:p w14:paraId="7D5A30E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0.03</w:t>
            </w:r>
          </w:p>
        </w:tc>
        <w:tc>
          <w:tcPr>
            <w:tcW w:w="706" w:type="dxa"/>
            <w:shd w:val="clear" w:color="auto" w:fill="auto"/>
          </w:tcPr>
          <w:p w14:paraId="0812784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0.02</w:t>
            </w:r>
          </w:p>
        </w:tc>
        <w:tc>
          <w:tcPr>
            <w:tcW w:w="706" w:type="dxa"/>
            <w:shd w:val="clear" w:color="auto" w:fill="auto"/>
          </w:tcPr>
          <w:p w14:paraId="479C8FA9"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0.02</w:t>
            </w:r>
          </w:p>
        </w:tc>
        <w:tc>
          <w:tcPr>
            <w:tcW w:w="706" w:type="dxa"/>
            <w:shd w:val="clear" w:color="auto" w:fill="auto"/>
          </w:tcPr>
          <w:p w14:paraId="5C4020C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0.02</w:t>
            </w:r>
          </w:p>
        </w:tc>
        <w:tc>
          <w:tcPr>
            <w:tcW w:w="706" w:type="dxa"/>
            <w:shd w:val="clear" w:color="000000" w:fill="D2DDE1" w:themeFill="background2"/>
          </w:tcPr>
          <w:p w14:paraId="23358E9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0.02</w:t>
            </w:r>
          </w:p>
        </w:tc>
        <w:tc>
          <w:tcPr>
            <w:tcW w:w="706" w:type="dxa"/>
            <w:shd w:val="clear" w:color="000000" w:fill="D2DDE1" w:themeFill="background2"/>
          </w:tcPr>
          <w:p w14:paraId="58AB0D3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0.02</w:t>
            </w:r>
          </w:p>
        </w:tc>
        <w:tc>
          <w:tcPr>
            <w:tcW w:w="729" w:type="dxa"/>
            <w:shd w:val="clear" w:color="000000" w:fill="D2DDE1" w:themeFill="background2"/>
          </w:tcPr>
          <w:p w14:paraId="3526EE3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0.02</w:t>
            </w:r>
          </w:p>
        </w:tc>
      </w:tr>
      <w:tr w:rsidR="007C259A" w:rsidRPr="00BD16B4" w14:paraId="79CBA1A6" w14:textId="77777777" w:rsidTr="00B1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7BF9B0E5" w14:textId="77777777" w:rsidR="007C259A" w:rsidRPr="00BD16B4" w:rsidRDefault="007C259A" w:rsidP="00F31129">
            <w:pPr>
              <w:pStyle w:val="TableText"/>
              <w:spacing w:before="50" w:after="50"/>
              <w:rPr>
                <w:b w:val="0"/>
                <w:bCs w:val="0"/>
              </w:rPr>
            </w:pPr>
          </w:p>
        </w:tc>
        <w:tc>
          <w:tcPr>
            <w:tcW w:w="680" w:type="dxa"/>
            <w:tcBorders>
              <w:top w:val="none" w:sz="0" w:space="0" w:color="auto"/>
              <w:bottom w:val="none" w:sz="0" w:space="0" w:color="auto"/>
            </w:tcBorders>
          </w:tcPr>
          <w:p w14:paraId="35042F30" w14:textId="77777777" w:rsidR="007C259A" w:rsidRPr="00BD16B4" w:rsidRDefault="007C259A" w:rsidP="00F31129">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D16B4">
              <w:t>WOM</w:t>
            </w:r>
          </w:p>
        </w:tc>
        <w:tc>
          <w:tcPr>
            <w:tcW w:w="706" w:type="dxa"/>
            <w:tcBorders>
              <w:top w:val="none" w:sz="0" w:space="0" w:color="auto"/>
              <w:bottom w:val="none" w:sz="0" w:space="0" w:color="auto"/>
            </w:tcBorders>
            <w:shd w:val="clear" w:color="auto" w:fill="auto"/>
          </w:tcPr>
          <w:p w14:paraId="7C9310C9"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D16B4">
              <w:rPr>
                <w:rFonts w:cs="Calibri"/>
                <w:color w:val="000000"/>
              </w:rPr>
              <w:t>0.02</w:t>
            </w:r>
          </w:p>
        </w:tc>
        <w:tc>
          <w:tcPr>
            <w:tcW w:w="706" w:type="dxa"/>
            <w:tcBorders>
              <w:top w:val="none" w:sz="0" w:space="0" w:color="auto"/>
              <w:bottom w:val="none" w:sz="0" w:space="0" w:color="auto"/>
            </w:tcBorders>
            <w:shd w:val="clear" w:color="auto" w:fill="auto"/>
          </w:tcPr>
          <w:p w14:paraId="30F7F2BF"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0.02</w:t>
            </w:r>
          </w:p>
        </w:tc>
        <w:tc>
          <w:tcPr>
            <w:tcW w:w="706" w:type="dxa"/>
            <w:tcBorders>
              <w:top w:val="none" w:sz="0" w:space="0" w:color="auto"/>
              <w:bottom w:val="none" w:sz="0" w:space="0" w:color="auto"/>
            </w:tcBorders>
            <w:shd w:val="clear" w:color="auto" w:fill="auto"/>
          </w:tcPr>
          <w:p w14:paraId="33284974"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0.02</w:t>
            </w:r>
          </w:p>
        </w:tc>
        <w:tc>
          <w:tcPr>
            <w:tcW w:w="706" w:type="dxa"/>
            <w:tcBorders>
              <w:top w:val="none" w:sz="0" w:space="0" w:color="auto"/>
              <w:bottom w:val="none" w:sz="0" w:space="0" w:color="auto"/>
            </w:tcBorders>
            <w:shd w:val="clear" w:color="auto" w:fill="auto"/>
          </w:tcPr>
          <w:p w14:paraId="2B96A63B"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0.03</w:t>
            </w:r>
          </w:p>
        </w:tc>
        <w:tc>
          <w:tcPr>
            <w:tcW w:w="706" w:type="dxa"/>
            <w:tcBorders>
              <w:top w:val="none" w:sz="0" w:space="0" w:color="auto"/>
              <w:bottom w:val="none" w:sz="0" w:space="0" w:color="auto"/>
            </w:tcBorders>
            <w:shd w:val="clear" w:color="auto" w:fill="auto"/>
          </w:tcPr>
          <w:p w14:paraId="4D73FD0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0.02</w:t>
            </w:r>
          </w:p>
        </w:tc>
        <w:tc>
          <w:tcPr>
            <w:tcW w:w="706" w:type="dxa"/>
            <w:tcBorders>
              <w:top w:val="none" w:sz="0" w:space="0" w:color="auto"/>
              <w:bottom w:val="none" w:sz="0" w:space="0" w:color="auto"/>
            </w:tcBorders>
            <w:shd w:val="clear" w:color="auto" w:fill="auto"/>
          </w:tcPr>
          <w:p w14:paraId="75BEB5FA"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0.02</w:t>
            </w:r>
          </w:p>
        </w:tc>
        <w:tc>
          <w:tcPr>
            <w:tcW w:w="706" w:type="dxa"/>
            <w:tcBorders>
              <w:top w:val="none" w:sz="0" w:space="0" w:color="auto"/>
              <w:bottom w:val="none" w:sz="0" w:space="0" w:color="auto"/>
            </w:tcBorders>
            <w:shd w:val="clear" w:color="auto" w:fill="auto"/>
          </w:tcPr>
          <w:p w14:paraId="3058401E"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0.02</w:t>
            </w:r>
          </w:p>
        </w:tc>
        <w:tc>
          <w:tcPr>
            <w:tcW w:w="706" w:type="dxa"/>
            <w:tcBorders>
              <w:top w:val="none" w:sz="0" w:space="0" w:color="auto"/>
              <w:bottom w:val="none" w:sz="0" w:space="0" w:color="auto"/>
            </w:tcBorders>
            <w:shd w:val="clear" w:color="000000" w:fill="D2DDE1" w:themeFill="background2"/>
          </w:tcPr>
          <w:p w14:paraId="44A081F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0.02</w:t>
            </w:r>
          </w:p>
        </w:tc>
        <w:tc>
          <w:tcPr>
            <w:tcW w:w="706" w:type="dxa"/>
            <w:tcBorders>
              <w:top w:val="none" w:sz="0" w:space="0" w:color="auto"/>
              <w:bottom w:val="none" w:sz="0" w:space="0" w:color="auto"/>
            </w:tcBorders>
            <w:shd w:val="clear" w:color="000000" w:fill="D2DDE1" w:themeFill="background2"/>
          </w:tcPr>
          <w:p w14:paraId="5CA683A5"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0.02</w:t>
            </w:r>
          </w:p>
        </w:tc>
        <w:tc>
          <w:tcPr>
            <w:tcW w:w="729" w:type="dxa"/>
            <w:tcBorders>
              <w:top w:val="none" w:sz="0" w:space="0" w:color="auto"/>
              <w:bottom w:val="none" w:sz="0" w:space="0" w:color="auto"/>
              <w:right w:val="none" w:sz="0" w:space="0" w:color="auto"/>
            </w:tcBorders>
            <w:shd w:val="clear" w:color="000000" w:fill="D2DDE1" w:themeFill="background2"/>
          </w:tcPr>
          <w:p w14:paraId="7B154381"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0.02</w:t>
            </w:r>
          </w:p>
        </w:tc>
      </w:tr>
      <w:tr w:rsidR="007C259A" w:rsidRPr="00BD16B4" w14:paraId="562CF1AC" w14:textId="77777777" w:rsidTr="00B103C6">
        <w:tc>
          <w:tcPr>
            <w:cnfStyle w:val="001000000000" w:firstRow="0" w:lastRow="0" w:firstColumn="1" w:lastColumn="0" w:oddVBand="0" w:evenVBand="0" w:oddHBand="0" w:evenHBand="0" w:firstRowFirstColumn="0" w:firstRowLastColumn="0" w:lastRowFirstColumn="0" w:lastRowLastColumn="0"/>
            <w:tcW w:w="706" w:type="dxa"/>
            <w:vMerge/>
          </w:tcPr>
          <w:p w14:paraId="14054BD4" w14:textId="77777777" w:rsidR="007C259A" w:rsidRPr="00BD16B4" w:rsidRDefault="007C259A" w:rsidP="00F31129">
            <w:pPr>
              <w:pStyle w:val="TableText"/>
              <w:spacing w:before="50" w:after="50"/>
              <w:rPr>
                <w:b w:val="0"/>
                <w:bCs w:val="0"/>
              </w:rPr>
            </w:pPr>
          </w:p>
        </w:tc>
        <w:tc>
          <w:tcPr>
            <w:tcW w:w="680" w:type="dxa"/>
          </w:tcPr>
          <w:p w14:paraId="2A3AB47F" w14:textId="77777777" w:rsidR="007C259A" w:rsidRPr="00BD16B4" w:rsidRDefault="007C259A" w:rsidP="00F3112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D16B4">
              <w:t>WAM</w:t>
            </w:r>
          </w:p>
        </w:tc>
        <w:tc>
          <w:tcPr>
            <w:tcW w:w="706" w:type="dxa"/>
            <w:shd w:val="clear" w:color="auto" w:fill="auto"/>
          </w:tcPr>
          <w:p w14:paraId="292B339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D16B4">
              <w:rPr>
                <w:rFonts w:cs="Calibri"/>
                <w:color w:val="000000"/>
              </w:rPr>
              <w:t>0.02</w:t>
            </w:r>
          </w:p>
        </w:tc>
        <w:tc>
          <w:tcPr>
            <w:tcW w:w="706" w:type="dxa"/>
            <w:shd w:val="clear" w:color="auto" w:fill="auto"/>
          </w:tcPr>
          <w:p w14:paraId="7968192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0.02</w:t>
            </w:r>
          </w:p>
        </w:tc>
        <w:tc>
          <w:tcPr>
            <w:tcW w:w="706" w:type="dxa"/>
            <w:shd w:val="clear" w:color="auto" w:fill="auto"/>
          </w:tcPr>
          <w:p w14:paraId="299AB8F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0.02</w:t>
            </w:r>
          </w:p>
        </w:tc>
        <w:tc>
          <w:tcPr>
            <w:tcW w:w="706" w:type="dxa"/>
            <w:shd w:val="clear" w:color="auto" w:fill="auto"/>
          </w:tcPr>
          <w:p w14:paraId="2FB627C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0.03</w:t>
            </w:r>
          </w:p>
        </w:tc>
        <w:tc>
          <w:tcPr>
            <w:tcW w:w="706" w:type="dxa"/>
            <w:shd w:val="clear" w:color="auto" w:fill="auto"/>
          </w:tcPr>
          <w:p w14:paraId="7A21E86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0.02</w:t>
            </w:r>
          </w:p>
        </w:tc>
        <w:tc>
          <w:tcPr>
            <w:tcW w:w="706" w:type="dxa"/>
            <w:shd w:val="clear" w:color="auto" w:fill="auto"/>
          </w:tcPr>
          <w:p w14:paraId="01DD4D60"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0.02</w:t>
            </w:r>
          </w:p>
        </w:tc>
        <w:tc>
          <w:tcPr>
            <w:tcW w:w="706" w:type="dxa"/>
            <w:shd w:val="clear" w:color="auto" w:fill="auto"/>
          </w:tcPr>
          <w:p w14:paraId="21EE17E5"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0.02</w:t>
            </w:r>
          </w:p>
        </w:tc>
        <w:tc>
          <w:tcPr>
            <w:tcW w:w="706" w:type="dxa"/>
            <w:shd w:val="clear" w:color="000000" w:fill="D2DDE1" w:themeFill="background2"/>
          </w:tcPr>
          <w:p w14:paraId="461772A0"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0.02</w:t>
            </w:r>
          </w:p>
        </w:tc>
        <w:tc>
          <w:tcPr>
            <w:tcW w:w="706" w:type="dxa"/>
            <w:shd w:val="clear" w:color="000000" w:fill="D2DDE1" w:themeFill="background2"/>
          </w:tcPr>
          <w:p w14:paraId="0C954B1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0.02</w:t>
            </w:r>
          </w:p>
        </w:tc>
        <w:tc>
          <w:tcPr>
            <w:tcW w:w="729" w:type="dxa"/>
            <w:shd w:val="clear" w:color="000000" w:fill="D2DDE1" w:themeFill="background2"/>
          </w:tcPr>
          <w:p w14:paraId="566E07C5"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0.02</w:t>
            </w:r>
          </w:p>
        </w:tc>
      </w:tr>
      <w:tr w:rsidR="007C259A" w:rsidRPr="00BD16B4" w14:paraId="56F3B628" w14:textId="77777777" w:rsidTr="00B1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Borders>
              <w:top w:val="none" w:sz="0" w:space="0" w:color="auto"/>
              <w:left w:val="none" w:sz="0" w:space="0" w:color="auto"/>
              <w:bottom w:val="none" w:sz="0" w:space="0" w:color="auto"/>
            </w:tcBorders>
          </w:tcPr>
          <w:p w14:paraId="15403CE9" w14:textId="77777777" w:rsidR="007C259A" w:rsidRPr="00BD16B4" w:rsidRDefault="007C259A" w:rsidP="00F31129">
            <w:pPr>
              <w:pStyle w:val="TableText"/>
              <w:spacing w:before="50" w:after="50"/>
              <w:rPr>
                <w:b w:val="0"/>
                <w:bCs w:val="0"/>
              </w:rPr>
            </w:pPr>
            <w:r w:rsidRPr="00BD16B4">
              <w:rPr>
                <w:b w:val="0"/>
                <w:bCs w:val="0"/>
              </w:rPr>
              <w:t>NF</w:t>
            </w:r>
            <w:r w:rsidRPr="00BD16B4">
              <w:rPr>
                <w:b w:val="0"/>
                <w:bCs w:val="0"/>
                <w:vertAlign w:val="subscript"/>
              </w:rPr>
              <w:t>3</w:t>
            </w:r>
          </w:p>
        </w:tc>
        <w:tc>
          <w:tcPr>
            <w:tcW w:w="680" w:type="dxa"/>
            <w:tcBorders>
              <w:top w:val="none" w:sz="0" w:space="0" w:color="auto"/>
              <w:bottom w:val="none" w:sz="0" w:space="0" w:color="auto"/>
            </w:tcBorders>
          </w:tcPr>
          <w:p w14:paraId="5C6D7FEC" w14:textId="77777777" w:rsidR="007C259A" w:rsidRPr="00BD16B4" w:rsidRDefault="007C259A" w:rsidP="00F31129">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D16B4">
              <w:t> </w:t>
            </w:r>
          </w:p>
        </w:tc>
        <w:tc>
          <w:tcPr>
            <w:tcW w:w="706" w:type="dxa"/>
            <w:tcBorders>
              <w:top w:val="none" w:sz="0" w:space="0" w:color="auto"/>
              <w:bottom w:val="none" w:sz="0" w:space="0" w:color="auto"/>
            </w:tcBorders>
            <w:shd w:val="clear" w:color="auto" w:fill="auto"/>
          </w:tcPr>
          <w:p w14:paraId="6FD1734C"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D16B4">
              <w:rPr>
                <w:rFonts w:cs="Calibri"/>
                <w:color w:val="000000"/>
              </w:rPr>
              <w:t>NO</w:t>
            </w:r>
          </w:p>
        </w:tc>
        <w:tc>
          <w:tcPr>
            <w:tcW w:w="706" w:type="dxa"/>
            <w:tcBorders>
              <w:top w:val="none" w:sz="0" w:space="0" w:color="auto"/>
              <w:bottom w:val="none" w:sz="0" w:space="0" w:color="auto"/>
            </w:tcBorders>
            <w:shd w:val="clear" w:color="auto" w:fill="auto"/>
          </w:tcPr>
          <w:p w14:paraId="51412065"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NO</w:t>
            </w:r>
          </w:p>
        </w:tc>
        <w:tc>
          <w:tcPr>
            <w:tcW w:w="706" w:type="dxa"/>
            <w:tcBorders>
              <w:top w:val="none" w:sz="0" w:space="0" w:color="auto"/>
              <w:bottom w:val="none" w:sz="0" w:space="0" w:color="auto"/>
            </w:tcBorders>
            <w:shd w:val="clear" w:color="auto" w:fill="auto"/>
          </w:tcPr>
          <w:p w14:paraId="4A84B13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NO</w:t>
            </w:r>
          </w:p>
        </w:tc>
        <w:tc>
          <w:tcPr>
            <w:tcW w:w="706" w:type="dxa"/>
            <w:tcBorders>
              <w:top w:val="none" w:sz="0" w:space="0" w:color="auto"/>
              <w:bottom w:val="none" w:sz="0" w:space="0" w:color="auto"/>
            </w:tcBorders>
            <w:shd w:val="clear" w:color="auto" w:fill="auto"/>
          </w:tcPr>
          <w:p w14:paraId="5F8F3B62"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NO</w:t>
            </w:r>
          </w:p>
        </w:tc>
        <w:tc>
          <w:tcPr>
            <w:tcW w:w="706" w:type="dxa"/>
            <w:tcBorders>
              <w:top w:val="none" w:sz="0" w:space="0" w:color="auto"/>
              <w:bottom w:val="none" w:sz="0" w:space="0" w:color="auto"/>
            </w:tcBorders>
            <w:shd w:val="clear" w:color="auto" w:fill="auto"/>
          </w:tcPr>
          <w:p w14:paraId="14E6057B"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NO</w:t>
            </w:r>
          </w:p>
        </w:tc>
        <w:tc>
          <w:tcPr>
            <w:tcW w:w="706" w:type="dxa"/>
            <w:tcBorders>
              <w:top w:val="none" w:sz="0" w:space="0" w:color="auto"/>
              <w:bottom w:val="none" w:sz="0" w:space="0" w:color="auto"/>
            </w:tcBorders>
            <w:shd w:val="clear" w:color="auto" w:fill="auto"/>
          </w:tcPr>
          <w:p w14:paraId="576D0238"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NO</w:t>
            </w:r>
          </w:p>
        </w:tc>
        <w:tc>
          <w:tcPr>
            <w:tcW w:w="706" w:type="dxa"/>
            <w:tcBorders>
              <w:top w:val="none" w:sz="0" w:space="0" w:color="auto"/>
              <w:bottom w:val="none" w:sz="0" w:space="0" w:color="auto"/>
            </w:tcBorders>
            <w:shd w:val="clear" w:color="auto" w:fill="auto"/>
          </w:tcPr>
          <w:p w14:paraId="0BFB0393"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NO</w:t>
            </w:r>
          </w:p>
        </w:tc>
        <w:tc>
          <w:tcPr>
            <w:tcW w:w="706" w:type="dxa"/>
            <w:tcBorders>
              <w:top w:val="none" w:sz="0" w:space="0" w:color="auto"/>
              <w:bottom w:val="none" w:sz="0" w:space="0" w:color="auto"/>
            </w:tcBorders>
            <w:shd w:val="clear" w:color="000000" w:fill="D2DDE1" w:themeFill="background2"/>
          </w:tcPr>
          <w:p w14:paraId="37C4E117"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NO</w:t>
            </w:r>
          </w:p>
        </w:tc>
        <w:tc>
          <w:tcPr>
            <w:tcW w:w="706" w:type="dxa"/>
            <w:tcBorders>
              <w:top w:val="none" w:sz="0" w:space="0" w:color="auto"/>
              <w:bottom w:val="none" w:sz="0" w:space="0" w:color="auto"/>
            </w:tcBorders>
            <w:shd w:val="clear" w:color="000000" w:fill="D2DDE1" w:themeFill="background2"/>
          </w:tcPr>
          <w:p w14:paraId="16FBFC29"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NO</w:t>
            </w:r>
          </w:p>
        </w:tc>
        <w:tc>
          <w:tcPr>
            <w:tcW w:w="729" w:type="dxa"/>
            <w:tcBorders>
              <w:top w:val="none" w:sz="0" w:space="0" w:color="auto"/>
              <w:bottom w:val="none" w:sz="0" w:space="0" w:color="auto"/>
              <w:right w:val="none" w:sz="0" w:space="0" w:color="auto"/>
            </w:tcBorders>
            <w:shd w:val="clear" w:color="000000" w:fill="D2DDE1" w:themeFill="background2"/>
          </w:tcPr>
          <w:p w14:paraId="5C056B5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NO</w:t>
            </w:r>
          </w:p>
        </w:tc>
      </w:tr>
      <w:tr w:rsidR="007C259A" w:rsidRPr="00BD16B4" w14:paraId="1706B377" w14:textId="77777777" w:rsidTr="00B103C6">
        <w:tc>
          <w:tcPr>
            <w:cnfStyle w:val="001000000000" w:firstRow="0" w:lastRow="0" w:firstColumn="1" w:lastColumn="0" w:oddVBand="0" w:evenVBand="0" w:oddHBand="0" w:evenHBand="0" w:firstRowFirstColumn="0" w:firstRowLastColumn="0" w:lastRowFirstColumn="0" w:lastRowLastColumn="0"/>
            <w:tcW w:w="706" w:type="dxa"/>
            <w:vMerge w:val="restart"/>
          </w:tcPr>
          <w:p w14:paraId="5E9FF64B" w14:textId="77777777" w:rsidR="007C259A" w:rsidRPr="00BD16B4" w:rsidRDefault="007C259A" w:rsidP="00F31129">
            <w:pPr>
              <w:pStyle w:val="TableText"/>
              <w:spacing w:before="50" w:after="50"/>
              <w:rPr>
                <w:b w:val="0"/>
                <w:bCs w:val="0"/>
              </w:rPr>
            </w:pPr>
            <w:r w:rsidRPr="00BD16B4">
              <w:rPr>
                <w:b w:val="0"/>
                <w:bCs w:val="0"/>
              </w:rPr>
              <w:t>Total (excluding LULUCF)</w:t>
            </w:r>
          </w:p>
        </w:tc>
        <w:tc>
          <w:tcPr>
            <w:tcW w:w="680" w:type="dxa"/>
          </w:tcPr>
          <w:p w14:paraId="39B88C50" w14:textId="77777777" w:rsidR="007C259A" w:rsidRPr="00BD16B4" w:rsidRDefault="007C259A" w:rsidP="00F3112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D16B4">
              <w:t xml:space="preserve">WEM </w:t>
            </w:r>
          </w:p>
        </w:tc>
        <w:tc>
          <w:tcPr>
            <w:tcW w:w="706" w:type="dxa"/>
            <w:shd w:val="clear" w:color="auto" w:fill="auto"/>
          </w:tcPr>
          <w:p w14:paraId="77EBB69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D16B4">
              <w:rPr>
                <w:rFonts w:cs="Calibri"/>
                <w:color w:val="000000"/>
              </w:rPr>
              <w:t>65.20</w:t>
            </w:r>
          </w:p>
        </w:tc>
        <w:tc>
          <w:tcPr>
            <w:tcW w:w="706" w:type="dxa"/>
            <w:shd w:val="clear" w:color="auto" w:fill="auto"/>
          </w:tcPr>
          <w:p w14:paraId="28C7F34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69.01</w:t>
            </w:r>
          </w:p>
        </w:tc>
        <w:tc>
          <w:tcPr>
            <w:tcW w:w="706" w:type="dxa"/>
            <w:shd w:val="clear" w:color="auto" w:fill="auto"/>
          </w:tcPr>
          <w:p w14:paraId="19CBD3F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75.52</w:t>
            </w:r>
          </w:p>
        </w:tc>
        <w:tc>
          <w:tcPr>
            <w:tcW w:w="706" w:type="dxa"/>
            <w:shd w:val="clear" w:color="auto" w:fill="auto"/>
          </w:tcPr>
          <w:p w14:paraId="3B8F6BEB"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82.67</w:t>
            </w:r>
          </w:p>
        </w:tc>
        <w:tc>
          <w:tcPr>
            <w:tcW w:w="706" w:type="dxa"/>
            <w:shd w:val="clear" w:color="auto" w:fill="auto"/>
          </w:tcPr>
          <w:p w14:paraId="082BF14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78.43</w:t>
            </w:r>
          </w:p>
        </w:tc>
        <w:tc>
          <w:tcPr>
            <w:tcW w:w="706" w:type="dxa"/>
            <w:shd w:val="clear" w:color="auto" w:fill="auto"/>
          </w:tcPr>
          <w:p w14:paraId="18D3577B"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80.45</w:t>
            </w:r>
          </w:p>
        </w:tc>
        <w:tc>
          <w:tcPr>
            <w:tcW w:w="706" w:type="dxa"/>
            <w:shd w:val="clear" w:color="auto" w:fill="auto"/>
          </w:tcPr>
          <w:p w14:paraId="7ECFCFBD"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78.78</w:t>
            </w:r>
          </w:p>
        </w:tc>
        <w:tc>
          <w:tcPr>
            <w:tcW w:w="706" w:type="dxa"/>
            <w:shd w:val="clear" w:color="000000" w:fill="D2DDE1" w:themeFill="background2"/>
          </w:tcPr>
          <w:p w14:paraId="05617F7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73.29</w:t>
            </w:r>
          </w:p>
        </w:tc>
        <w:tc>
          <w:tcPr>
            <w:tcW w:w="706" w:type="dxa"/>
            <w:shd w:val="clear" w:color="000000" w:fill="D2DDE1" w:themeFill="background2"/>
          </w:tcPr>
          <w:p w14:paraId="0864EC1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70.04</w:t>
            </w:r>
          </w:p>
        </w:tc>
        <w:tc>
          <w:tcPr>
            <w:tcW w:w="729" w:type="dxa"/>
            <w:shd w:val="clear" w:color="000000" w:fill="D2DDE1" w:themeFill="background2"/>
          </w:tcPr>
          <w:p w14:paraId="22C2676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66.68</w:t>
            </w:r>
          </w:p>
        </w:tc>
      </w:tr>
      <w:tr w:rsidR="007C259A" w:rsidRPr="00BD16B4" w14:paraId="5A062708" w14:textId="77777777" w:rsidTr="00B1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771FA129" w14:textId="77777777" w:rsidR="007C259A" w:rsidRPr="00BD16B4" w:rsidRDefault="007C259A" w:rsidP="00F31129">
            <w:pPr>
              <w:pStyle w:val="TableText"/>
              <w:spacing w:before="50" w:after="50"/>
              <w:rPr>
                <w:b w:val="0"/>
                <w:bCs w:val="0"/>
              </w:rPr>
            </w:pPr>
          </w:p>
        </w:tc>
        <w:tc>
          <w:tcPr>
            <w:tcW w:w="680" w:type="dxa"/>
            <w:tcBorders>
              <w:top w:val="none" w:sz="0" w:space="0" w:color="auto"/>
              <w:bottom w:val="none" w:sz="0" w:space="0" w:color="auto"/>
            </w:tcBorders>
          </w:tcPr>
          <w:p w14:paraId="1376A64C" w14:textId="77777777" w:rsidR="007C259A" w:rsidRPr="00BD16B4" w:rsidRDefault="007C259A" w:rsidP="00F31129">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D16B4">
              <w:t>WOM</w:t>
            </w:r>
          </w:p>
        </w:tc>
        <w:tc>
          <w:tcPr>
            <w:tcW w:w="706" w:type="dxa"/>
            <w:tcBorders>
              <w:top w:val="none" w:sz="0" w:space="0" w:color="auto"/>
              <w:bottom w:val="none" w:sz="0" w:space="0" w:color="auto"/>
            </w:tcBorders>
            <w:shd w:val="clear" w:color="auto" w:fill="auto"/>
          </w:tcPr>
          <w:p w14:paraId="49D6639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D16B4">
              <w:rPr>
                <w:rFonts w:cs="Calibri"/>
                <w:color w:val="000000"/>
              </w:rPr>
              <w:t>65.20</w:t>
            </w:r>
          </w:p>
        </w:tc>
        <w:tc>
          <w:tcPr>
            <w:tcW w:w="706" w:type="dxa"/>
            <w:tcBorders>
              <w:top w:val="none" w:sz="0" w:space="0" w:color="auto"/>
              <w:bottom w:val="none" w:sz="0" w:space="0" w:color="auto"/>
            </w:tcBorders>
            <w:shd w:val="clear" w:color="auto" w:fill="auto"/>
          </w:tcPr>
          <w:p w14:paraId="40B75140"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69.02</w:t>
            </w:r>
          </w:p>
        </w:tc>
        <w:tc>
          <w:tcPr>
            <w:tcW w:w="706" w:type="dxa"/>
            <w:tcBorders>
              <w:top w:val="none" w:sz="0" w:space="0" w:color="auto"/>
              <w:bottom w:val="none" w:sz="0" w:space="0" w:color="auto"/>
            </w:tcBorders>
            <w:shd w:val="clear" w:color="auto" w:fill="auto"/>
          </w:tcPr>
          <w:p w14:paraId="53B4E355"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75.53</w:t>
            </w:r>
          </w:p>
        </w:tc>
        <w:tc>
          <w:tcPr>
            <w:tcW w:w="706" w:type="dxa"/>
            <w:tcBorders>
              <w:top w:val="none" w:sz="0" w:space="0" w:color="auto"/>
              <w:bottom w:val="none" w:sz="0" w:space="0" w:color="auto"/>
            </w:tcBorders>
            <w:shd w:val="clear" w:color="auto" w:fill="auto"/>
          </w:tcPr>
          <w:p w14:paraId="5D8220F9"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82.65</w:t>
            </w:r>
          </w:p>
        </w:tc>
        <w:tc>
          <w:tcPr>
            <w:tcW w:w="706" w:type="dxa"/>
            <w:tcBorders>
              <w:top w:val="none" w:sz="0" w:space="0" w:color="auto"/>
              <w:bottom w:val="none" w:sz="0" w:space="0" w:color="auto"/>
            </w:tcBorders>
            <w:shd w:val="clear" w:color="auto" w:fill="auto"/>
          </w:tcPr>
          <w:p w14:paraId="6437DC47"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78.82</w:t>
            </w:r>
          </w:p>
        </w:tc>
        <w:tc>
          <w:tcPr>
            <w:tcW w:w="706" w:type="dxa"/>
            <w:tcBorders>
              <w:top w:val="none" w:sz="0" w:space="0" w:color="auto"/>
              <w:bottom w:val="none" w:sz="0" w:space="0" w:color="auto"/>
            </w:tcBorders>
            <w:shd w:val="clear" w:color="auto" w:fill="auto"/>
          </w:tcPr>
          <w:p w14:paraId="4E0A783E"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81.19</w:t>
            </w:r>
          </w:p>
        </w:tc>
        <w:tc>
          <w:tcPr>
            <w:tcW w:w="706" w:type="dxa"/>
            <w:tcBorders>
              <w:top w:val="none" w:sz="0" w:space="0" w:color="auto"/>
              <w:bottom w:val="none" w:sz="0" w:space="0" w:color="auto"/>
            </w:tcBorders>
            <w:shd w:val="clear" w:color="auto" w:fill="auto"/>
          </w:tcPr>
          <w:p w14:paraId="02B3C44F"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79.74</w:t>
            </w:r>
          </w:p>
        </w:tc>
        <w:tc>
          <w:tcPr>
            <w:tcW w:w="706" w:type="dxa"/>
            <w:tcBorders>
              <w:top w:val="none" w:sz="0" w:space="0" w:color="auto"/>
              <w:bottom w:val="none" w:sz="0" w:space="0" w:color="auto"/>
            </w:tcBorders>
            <w:shd w:val="clear" w:color="000000" w:fill="D2DDE1" w:themeFill="background2"/>
          </w:tcPr>
          <w:p w14:paraId="457EBFC0"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77.49</w:t>
            </w:r>
          </w:p>
        </w:tc>
        <w:tc>
          <w:tcPr>
            <w:tcW w:w="706" w:type="dxa"/>
            <w:tcBorders>
              <w:top w:val="none" w:sz="0" w:space="0" w:color="auto"/>
              <w:bottom w:val="none" w:sz="0" w:space="0" w:color="auto"/>
            </w:tcBorders>
            <w:shd w:val="clear" w:color="000000" w:fill="D2DDE1" w:themeFill="background2"/>
          </w:tcPr>
          <w:p w14:paraId="2A8EF34F"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77.56</w:t>
            </w:r>
          </w:p>
        </w:tc>
        <w:tc>
          <w:tcPr>
            <w:tcW w:w="729" w:type="dxa"/>
            <w:tcBorders>
              <w:top w:val="none" w:sz="0" w:space="0" w:color="auto"/>
              <w:bottom w:val="none" w:sz="0" w:space="0" w:color="auto"/>
              <w:right w:val="none" w:sz="0" w:space="0" w:color="auto"/>
            </w:tcBorders>
            <w:shd w:val="clear" w:color="000000" w:fill="D2DDE1" w:themeFill="background2"/>
          </w:tcPr>
          <w:p w14:paraId="4918DDEA"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76.76</w:t>
            </w:r>
          </w:p>
        </w:tc>
      </w:tr>
      <w:tr w:rsidR="007C259A" w:rsidRPr="00BD16B4" w14:paraId="71B906E4" w14:textId="77777777" w:rsidTr="00B103C6">
        <w:tc>
          <w:tcPr>
            <w:cnfStyle w:val="001000000000" w:firstRow="0" w:lastRow="0" w:firstColumn="1" w:lastColumn="0" w:oddVBand="0" w:evenVBand="0" w:oddHBand="0" w:evenHBand="0" w:firstRowFirstColumn="0" w:firstRowLastColumn="0" w:lastRowFirstColumn="0" w:lastRowLastColumn="0"/>
            <w:tcW w:w="706" w:type="dxa"/>
            <w:vMerge/>
          </w:tcPr>
          <w:p w14:paraId="3914539F" w14:textId="77777777" w:rsidR="007C259A" w:rsidRPr="00BD16B4" w:rsidRDefault="007C259A" w:rsidP="00F31129">
            <w:pPr>
              <w:pStyle w:val="TableText"/>
              <w:spacing w:before="50" w:after="50"/>
              <w:rPr>
                <w:b w:val="0"/>
                <w:bCs w:val="0"/>
              </w:rPr>
            </w:pPr>
          </w:p>
        </w:tc>
        <w:tc>
          <w:tcPr>
            <w:tcW w:w="680" w:type="dxa"/>
          </w:tcPr>
          <w:p w14:paraId="5BD8BBF3" w14:textId="77777777" w:rsidR="007C259A" w:rsidRPr="00BD16B4" w:rsidRDefault="007C259A" w:rsidP="00F3112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D16B4">
              <w:t>WAM</w:t>
            </w:r>
          </w:p>
        </w:tc>
        <w:tc>
          <w:tcPr>
            <w:tcW w:w="706" w:type="dxa"/>
            <w:shd w:val="clear" w:color="auto" w:fill="auto"/>
          </w:tcPr>
          <w:p w14:paraId="24AF342B"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65.20</w:t>
            </w:r>
          </w:p>
        </w:tc>
        <w:tc>
          <w:tcPr>
            <w:tcW w:w="706" w:type="dxa"/>
            <w:shd w:val="clear" w:color="auto" w:fill="auto"/>
          </w:tcPr>
          <w:p w14:paraId="707115C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69.01</w:t>
            </w:r>
          </w:p>
        </w:tc>
        <w:tc>
          <w:tcPr>
            <w:tcW w:w="706" w:type="dxa"/>
            <w:shd w:val="clear" w:color="auto" w:fill="auto"/>
          </w:tcPr>
          <w:p w14:paraId="3D5C9FE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75.52</w:t>
            </w:r>
          </w:p>
        </w:tc>
        <w:tc>
          <w:tcPr>
            <w:tcW w:w="706" w:type="dxa"/>
            <w:shd w:val="clear" w:color="auto" w:fill="auto"/>
          </w:tcPr>
          <w:p w14:paraId="256F0E1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82.67</w:t>
            </w:r>
          </w:p>
        </w:tc>
        <w:tc>
          <w:tcPr>
            <w:tcW w:w="706" w:type="dxa"/>
            <w:shd w:val="clear" w:color="auto" w:fill="auto"/>
          </w:tcPr>
          <w:p w14:paraId="307CC33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78.43</w:t>
            </w:r>
          </w:p>
        </w:tc>
        <w:tc>
          <w:tcPr>
            <w:tcW w:w="706" w:type="dxa"/>
            <w:shd w:val="clear" w:color="auto" w:fill="auto"/>
          </w:tcPr>
          <w:p w14:paraId="3D5A625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80.45</w:t>
            </w:r>
          </w:p>
        </w:tc>
        <w:tc>
          <w:tcPr>
            <w:tcW w:w="706" w:type="dxa"/>
            <w:shd w:val="clear" w:color="auto" w:fill="auto"/>
          </w:tcPr>
          <w:p w14:paraId="4F7C388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78.78</w:t>
            </w:r>
          </w:p>
        </w:tc>
        <w:tc>
          <w:tcPr>
            <w:tcW w:w="706" w:type="dxa"/>
            <w:shd w:val="clear" w:color="000000" w:fill="D2DDE1" w:themeFill="background2"/>
          </w:tcPr>
          <w:p w14:paraId="6B91ED2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73.17</w:t>
            </w:r>
          </w:p>
        </w:tc>
        <w:tc>
          <w:tcPr>
            <w:tcW w:w="706" w:type="dxa"/>
            <w:shd w:val="clear" w:color="000000" w:fill="D2DDE1" w:themeFill="background2"/>
          </w:tcPr>
          <w:p w14:paraId="58440E5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68.96</w:t>
            </w:r>
          </w:p>
        </w:tc>
        <w:tc>
          <w:tcPr>
            <w:tcW w:w="729" w:type="dxa"/>
            <w:shd w:val="clear" w:color="000000" w:fill="D2DDE1" w:themeFill="background2"/>
          </w:tcPr>
          <w:p w14:paraId="45E80949"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65.49</w:t>
            </w:r>
          </w:p>
        </w:tc>
      </w:tr>
      <w:tr w:rsidR="007C259A" w:rsidRPr="00BD16B4" w14:paraId="45BAA142" w14:textId="77777777" w:rsidTr="00B1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one" w:sz="0" w:space="0" w:color="auto"/>
              <w:left w:val="none" w:sz="0" w:space="0" w:color="auto"/>
              <w:bottom w:val="none" w:sz="0" w:space="0" w:color="auto"/>
            </w:tcBorders>
          </w:tcPr>
          <w:p w14:paraId="624A3CB5" w14:textId="77777777" w:rsidR="007C259A" w:rsidRPr="00BD16B4" w:rsidRDefault="007C259A" w:rsidP="00F31129">
            <w:pPr>
              <w:pStyle w:val="TableText"/>
              <w:spacing w:before="50" w:after="50"/>
              <w:rPr>
                <w:b w:val="0"/>
                <w:bCs w:val="0"/>
              </w:rPr>
            </w:pPr>
            <w:r w:rsidRPr="00BD16B4">
              <w:rPr>
                <w:b w:val="0"/>
                <w:bCs w:val="0"/>
              </w:rPr>
              <w:t>CO</w:t>
            </w:r>
            <w:r w:rsidRPr="00BD16B4">
              <w:rPr>
                <w:b w:val="0"/>
                <w:bCs w:val="0"/>
                <w:vertAlign w:val="subscript"/>
              </w:rPr>
              <w:t>2</w:t>
            </w:r>
            <w:r w:rsidRPr="00BD16B4">
              <w:rPr>
                <w:b w:val="0"/>
                <w:bCs w:val="0"/>
              </w:rPr>
              <w:t xml:space="preserve"> (including LULUCF)</w:t>
            </w:r>
          </w:p>
        </w:tc>
        <w:tc>
          <w:tcPr>
            <w:tcW w:w="680" w:type="dxa"/>
            <w:tcBorders>
              <w:top w:val="none" w:sz="0" w:space="0" w:color="auto"/>
              <w:bottom w:val="none" w:sz="0" w:space="0" w:color="auto"/>
            </w:tcBorders>
          </w:tcPr>
          <w:p w14:paraId="5507CA8A" w14:textId="77777777" w:rsidR="007C259A" w:rsidRPr="00BD16B4" w:rsidRDefault="007C259A" w:rsidP="00F31129">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D16B4">
              <w:t xml:space="preserve">WEM </w:t>
            </w:r>
          </w:p>
        </w:tc>
        <w:tc>
          <w:tcPr>
            <w:tcW w:w="706" w:type="dxa"/>
            <w:tcBorders>
              <w:top w:val="none" w:sz="0" w:space="0" w:color="auto"/>
              <w:bottom w:val="none" w:sz="0" w:space="0" w:color="auto"/>
            </w:tcBorders>
            <w:shd w:val="clear" w:color="auto" w:fill="auto"/>
          </w:tcPr>
          <w:p w14:paraId="26F1E15B"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3.88</w:t>
            </w:r>
          </w:p>
        </w:tc>
        <w:tc>
          <w:tcPr>
            <w:tcW w:w="706" w:type="dxa"/>
            <w:tcBorders>
              <w:top w:val="none" w:sz="0" w:space="0" w:color="auto"/>
              <w:bottom w:val="none" w:sz="0" w:space="0" w:color="auto"/>
            </w:tcBorders>
            <w:shd w:val="clear" w:color="auto" w:fill="auto"/>
          </w:tcPr>
          <w:p w14:paraId="285F3601"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5.10</w:t>
            </w:r>
          </w:p>
        </w:tc>
        <w:tc>
          <w:tcPr>
            <w:tcW w:w="706" w:type="dxa"/>
            <w:tcBorders>
              <w:top w:val="none" w:sz="0" w:space="0" w:color="auto"/>
              <w:bottom w:val="none" w:sz="0" w:space="0" w:color="auto"/>
            </w:tcBorders>
            <w:shd w:val="clear" w:color="auto" w:fill="auto"/>
          </w:tcPr>
          <w:p w14:paraId="67A784F3"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4.83</w:t>
            </w:r>
          </w:p>
        </w:tc>
        <w:tc>
          <w:tcPr>
            <w:tcW w:w="706" w:type="dxa"/>
            <w:tcBorders>
              <w:top w:val="none" w:sz="0" w:space="0" w:color="auto"/>
              <w:bottom w:val="none" w:sz="0" w:space="0" w:color="auto"/>
            </w:tcBorders>
            <w:shd w:val="clear" w:color="auto" w:fill="auto"/>
          </w:tcPr>
          <w:p w14:paraId="20A44E2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11.49</w:t>
            </w:r>
          </w:p>
        </w:tc>
        <w:tc>
          <w:tcPr>
            <w:tcW w:w="706" w:type="dxa"/>
            <w:tcBorders>
              <w:top w:val="none" w:sz="0" w:space="0" w:color="auto"/>
              <w:bottom w:val="none" w:sz="0" w:space="0" w:color="auto"/>
            </w:tcBorders>
            <w:shd w:val="clear" w:color="auto" w:fill="auto"/>
          </w:tcPr>
          <w:p w14:paraId="5A56C28C"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5.04</w:t>
            </w:r>
          </w:p>
        </w:tc>
        <w:tc>
          <w:tcPr>
            <w:tcW w:w="706" w:type="dxa"/>
            <w:tcBorders>
              <w:top w:val="none" w:sz="0" w:space="0" w:color="auto"/>
              <w:bottom w:val="none" w:sz="0" w:space="0" w:color="auto"/>
            </w:tcBorders>
            <w:shd w:val="clear" w:color="auto" w:fill="auto"/>
          </w:tcPr>
          <w:p w14:paraId="4D725E48"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8.83</w:t>
            </w:r>
          </w:p>
        </w:tc>
        <w:tc>
          <w:tcPr>
            <w:tcW w:w="706" w:type="dxa"/>
            <w:tcBorders>
              <w:top w:val="none" w:sz="0" w:space="0" w:color="auto"/>
              <w:bottom w:val="none" w:sz="0" w:space="0" w:color="auto"/>
            </w:tcBorders>
            <w:shd w:val="clear" w:color="auto" w:fill="auto"/>
          </w:tcPr>
          <w:p w14:paraId="3797DFCD"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10.79</w:t>
            </w:r>
          </w:p>
        </w:tc>
        <w:tc>
          <w:tcPr>
            <w:tcW w:w="706" w:type="dxa"/>
            <w:tcBorders>
              <w:top w:val="none" w:sz="0" w:space="0" w:color="auto"/>
              <w:bottom w:val="none" w:sz="0" w:space="0" w:color="auto"/>
            </w:tcBorders>
            <w:shd w:val="clear" w:color="000000" w:fill="D2DDE1" w:themeFill="background2"/>
          </w:tcPr>
          <w:p w14:paraId="587187AC"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21.40</w:t>
            </w:r>
          </w:p>
        </w:tc>
        <w:tc>
          <w:tcPr>
            <w:tcW w:w="706" w:type="dxa"/>
            <w:tcBorders>
              <w:top w:val="none" w:sz="0" w:space="0" w:color="auto"/>
              <w:bottom w:val="none" w:sz="0" w:space="0" w:color="auto"/>
            </w:tcBorders>
            <w:shd w:val="clear" w:color="000000" w:fill="D2DDE1" w:themeFill="background2"/>
          </w:tcPr>
          <w:p w14:paraId="166EC74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17.05</w:t>
            </w:r>
          </w:p>
        </w:tc>
        <w:tc>
          <w:tcPr>
            <w:tcW w:w="729" w:type="dxa"/>
            <w:tcBorders>
              <w:top w:val="none" w:sz="0" w:space="0" w:color="auto"/>
              <w:bottom w:val="none" w:sz="0" w:space="0" w:color="auto"/>
              <w:right w:val="none" w:sz="0" w:space="0" w:color="auto"/>
            </w:tcBorders>
            <w:shd w:val="clear" w:color="000000" w:fill="D2DDE1" w:themeFill="background2"/>
          </w:tcPr>
          <w:p w14:paraId="32DF909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1.47</w:t>
            </w:r>
          </w:p>
        </w:tc>
      </w:tr>
      <w:tr w:rsidR="007C259A" w:rsidRPr="00BD16B4" w14:paraId="391A3C44" w14:textId="77777777" w:rsidTr="00B103C6">
        <w:tc>
          <w:tcPr>
            <w:cnfStyle w:val="001000000000" w:firstRow="0" w:lastRow="0" w:firstColumn="1" w:lastColumn="0" w:oddVBand="0" w:evenVBand="0" w:oddHBand="0" w:evenHBand="0" w:firstRowFirstColumn="0" w:firstRowLastColumn="0" w:lastRowFirstColumn="0" w:lastRowLastColumn="0"/>
            <w:tcW w:w="706" w:type="dxa"/>
            <w:vMerge/>
          </w:tcPr>
          <w:p w14:paraId="23C947DB" w14:textId="77777777" w:rsidR="007C259A" w:rsidRPr="00BD16B4" w:rsidRDefault="007C259A" w:rsidP="00F31129">
            <w:pPr>
              <w:pStyle w:val="TableText"/>
              <w:spacing w:before="50" w:after="50"/>
              <w:rPr>
                <w:b w:val="0"/>
                <w:bCs w:val="0"/>
              </w:rPr>
            </w:pPr>
          </w:p>
        </w:tc>
        <w:tc>
          <w:tcPr>
            <w:tcW w:w="680" w:type="dxa"/>
          </w:tcPr>
          <w:p w14:paraId="7BD65F17" w14:textId="77777777" w:rsidR="007C259A" w:rsidRPr="00BD16B4" w:rsidRDefault="007C259A" w:rsidP="00F3112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D16B4">
              <w:t>WOM</w:t>
            </w:r>
          </w:p>
        </w:tc>
        <w:tc>
          <w:tcPr>
            <w:tcW w:w="706" w:type="dxa"/>
            <w:shd w:val="clear" w:color="auto" w:fill="auto"/>
          </w:tcPr>
          <w:p w14:paraId="6A0B00F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3.88</w:t>
            </w:r>
          </w:p>
        </w:tc>
        <w:tc>
          <w:tcPr>
            <w:tcW w:w="706" w:type="dxa"/>
            <w:shd w:val="clear" w:color="auto" w:fill="auto"/>
          </w:tcPr>
          <w:p w14:paraId="43302D0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5.07</w:t>
            </w:r>
          </w:p>
        </w:tc>
        <w:tc>
          <w:tcPr>
            <w:tcW w:w="706" w:type="dxa"/>
            <w:shd w:val="clear" w:color="auto" w:fill="auto"/>
          </w:tcPr>
          <w:p w14:paraId="2A3CAC6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5.12</w:t>
            </w:r>
          </w:p>
        </w:tc>
        <w:tc>
          <w:tcPr>
            <w:tcW w:w="706" w:type="dxa"/>
            <w:shd w:val="clear" w:color="auto" w:fill="auto"/>
          </w:tcPr>
          <w:p w14:paraId="74AEC81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6.08</w:t>
            </w:r>
          </w:p>
        </w:tc>
        <w:tc>
          <w:tcPr>
            <w:tcW w:w="706" w:type="dxa"/>
            <w:shd w:val="clear" w:color="auto" w:fill="auto"/>
          </w:tcPr>
          <w:p w14:paraId="703F81BB"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6.16</w:t>
            </w:r>
          </w:p>
        </w:tc>
        <w:tc>
          <w:tcPr>
            <w:tcW w:w="706" w:type="dxa"/>
            <w:shd w:val="clear" w:color="auto" w:fill="auto"/>
          </w:tcPr>
          <w:p w14:paraId="4F60DF8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10.64</w:t>
            </w:r>
          </w:p>
        </w:tc>
        <w:tc>
          <w:tcPr>
            <w:tcW w:w="706" w:type="dxa"/>
            <w:shd w:val="clear" w:color="auto" w:fill="auto"/>
          </w:tcPr>
          <w:p w14:paraId="526C8DAB"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17.06</w:t>
            </w:r>
          </w:p>
        </w:tc>
        <w:tc>
          <w:tcPr>
            <w:tcW w:w="706" w:type="dxa"/>
            <w:shd w:val="clear" w:color="000000" w:fill="D2DDE1" w:themeFill="background2"/>
          </w:tcPr>
          <w:p w14:paraId="2983BF7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31.09</w:t>
            </w:r>
          </w:p>
        </w:tc>
        <w:tc>
          <w:tcPr>
            <w:tcW w:w="706" w:type="dxa"/>
            <w:shd w:val="clear" w:color="000000" w:fill="D2DDE1" w:themeFill="background2"/>
          </w:tcPr>
          <w:p w14:paraId="3E55637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34.99</w:t>
            </w:r>
          </w:p>
        </w:tc>
        <w:tc>
          <w:tcPr>
            <w:tcW w:w="729" w:type="dxa"/>
            <w:shd w:val="clear" w:color="000000" w:fill="D2DDE1" w:themeFill="background2"/>
          </w:tcPr>
          <w:p w14:paraId="6CD4C1C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27.78</w:t>
            </w:r>
          </w:p>
        </w:tc>
      </w:tr>
      <w:tr w:rsidR="007C259A" w:rsidRPr="00BD16B4" w14:paraId="5F8914B2" w14:textId="77777777" w:rsidTr="00B1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3E86E23B" w14:textId="77777777" w:rsidR="007C259A" w:rsidRPr="00BD16B4" w:rsidRDefault="007C259A" w:rsidP="00F31129">
            <w:pPr>
              <w:pStyle w:val="TableText"/>
              <w:spacing w:before="50" w:after="50"/>
              <w:rPr>
                <w:b w:val="0"/>
                <w:bCs w:val="0"/>
              </w:rPr>
            </w:pPr>
          </w:p>
        </w:tc>
        <w:tc>
          <w:tcPr>
            <w:tcW w:w="680" w:type="dxa"/>
            <w:tcBorders>
              <w:top w:val="none" w:sz="0" w:space="0" w:color="auto"/>
              <w:bottom w:val="none" w:sz="0" w:space="0" w:color="auto"/>
            </w:tcBorders>
          </w:tcPr>
          <w:p w14:paraId="57A1CFFE" w14:textId="77777777" w:rsidR="007C259A" w:rsidRPr="00BD16B4" w:rsidRDefault="007C259A" w:rsidP="00F31129">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D16B4">
              <w:t>WAM</w:t>
            </w:r>
          </w:p>
        </w:tc>
        <w:tc>
          <w:tcPr>
            <w:tcW w:w="706" w:type="dxa"/>
            <w:tcBorders>
              <w:top w:val="none" w:sz="0" w:space="0" w:color="auto"/>
              <w:bottom w:val="none" w:sz="0" w:space="0" w:color="auto"/>
            </w:tcBorders>
            <w:shd w:val="clear" w:color="auto" w:fill="auto"/>
          </w:tcPr>
          <w:p w14:paraId="75B525F3"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3.88</w:t>
            </w:r>
          </w:p>
        </w:tc>
        <w:tc>
          <w:tcPr>
            <w:tcW w:w="706" w:type="dxa"/>
            <w:tcBorders>
              <w:top w:val="none" w:sz="0" w:space="0" w:color="auto"/>
              <w:bottom w:val="none" w:sz="0" w:space="0" w:color="auto"/>
            </w:tcBorders>
            <w:shd w:val="clear" w:color="auto" w:fill="auto"/>
          </w:tcPr>
          <w:p w14:paraId="417DE3F2"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5.10</w:t>
            </w:r>
          </w:p>
        </w:tc>
        <w:tc>
          <w:tcPr>
            <w:tcW w:w="706" w:type="dxa"/>
            <w:tcBorders>
              <w:top w:val="none" w:sz="0" w:space="0" w:color="auto"/>
              <w:bottom w:val="none" w:sz="0" w:space="0" w:color="auto"/>
            </w:tcBorders>
            <w:shd w:val="clear" w:color="auto" w:fill="auto"/>
          </w:tcPr>
          <w:p w14:paraId="159EA0BF"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4.83</w:t>
            </w:r>
          </w:p>
        </w:tc>
        <w:tc>
          <w:tcPr>
            <w:tcW w:w="706" w:type="dxa"/>
            <w:tcBorders>
              <w:top w:val="none" w:sz="0" w:space="0" w:color="auto"/>
              <w:bottom w:val="none" w:sz="0" w:space="0" w:color="auto"/>
            </w:tcBorders>
            <w:shd w:val="clear" w:color="auto" w:fill="auto"/>
          </w:tcPr>
          <w:p w14:paraId="01896D19"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11.49</w:t>
            </w:r>
          </w:p>
        </w:tc>
        <w:tc>
          <w:tcPr>
            <w:tcW w:w="706" w:type="dxa"/>
            <w:tcBorders>
              <w:top w:val="none" w:sz="0" w:space="0" w:color="auto"/>
              <w:bottom w:val="none" w:sz="0" w:space="0" w:color="auto"/>
            </w:tcBorders>
            <w:shd w:val="clear" w:color="auto" w:fill="auto"/>
          </w:tcPr>
          <w:p w14:paraId="102B03EB"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5.04</w:t>
            </w:r>
          </w:p>
        </w:tc>
        <w:tc>
          <w:tcPr>
            <w:tcW w:w="706" w:type="dxa"/>
            <w:tcBorders>
              <w:top w:val="none" w:sz="0" w:space="0" w:color="auto"/>
              <w:bottom w:val="none" w:sz="0" w:space="0" w:color="auto"/>
            </w:tcBorders>
            <w:shd w:val="clear" w:color="auto" w:fill="auto"/>
          </w:tcPr>
          <w:p w14:paraId="5D420BD0"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8.83</w:t>
            </w:r>
          </w:p>
        </w:tc>
        <w:tc>
          <w:tcPr>
            <w:tcW w:w="706" w:type="dxa"/>
            <w:tcBorders>
              <w:top w:val="none" w:sz="0" w:space="0" w:color="auto"/>
              <w:bottom w:val="none" w:sz="0" w:space="0" w:color="auto"/>
            </w:tcBorders>
            <w:shd w:val="clear" w:color="auto" w:fill="auto"/>
          </w:tcPr>
          <w:p w14:paraId="49CC0DCE"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10.79</w:t>
            </w:r>
          </w:p>
        </w:tc>
        <w:tc>
          <w:tcPr>
            <w:tcW w:w="706" w:type="dxa"/>
            <w:tcBorders>
              <w:top w:val="none" w:sz="0" w:space="0" w:color="auto"/>
              <w:bottom w:val="none" w:sz="0" w:space="0" w:color="auto"/>
            </w:tcBorders>
            <w:shd w:val="clear" w:color="000000" w:fill="D2DDE1" w:themeFill="background2"/>
          </w:tcPr>
          <w:p w14:paraId="343A74E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21.29</w:t>
            </w:r>
          </w:p>
        </w:tc>
        <w:tc>
          <w:tcPr>
            <w:tcW w:w="706" w:type="dxa"/>
            <w:tcBorders>
              <w:top w:val="none" w:sz="0" w:space="0" w:color="auto"/>
              <w:bottom w:val="none" w:sz="0" w:space="0" w:color="auto"/>
            </w:tcBorders>
            <w:shd w:val="clear" w:color="000000" w:fill="D2DDE1" w:themeFill="background2"/>
          </w:tcPr>
          <w:p w14:paraId="41A365F5"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14.92</w:t>
            </w:r>
          </w:p>
        </w:tc>
        <w:tc>
          <w:tcPr>
            <w:tcW w:w="729" w:type="dxa"/>
            <w:tcBorders>
              <w:top w:val="none" w:sz="0" w:space="0" w:color="auto"/>
              <w:bottom w:val="none" w:sz="0" w:space="0" w:color="auto"/>
              <w:right w:val="none" w:sz="0" w:space="0" w:color="auto"/>
            </w:tcBorders>
            <w:shd w:val="clear" w:color="000000" w:fill="D2DDE1" w:themeFill="background2"/>
          </w:tcPr>
          <w:p w14:paraId="348B5001"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–1.59</w:t>
            </w:r>
          </w:p>
        </w:tc>
      </w:tr>
      <w:tr w:rsidR="007C259A" w:rsidRPr="00BD16B4" w14:paraId="76A5895C" w14:textId="77777777" w:rsidTr="00B103C6">
        <w:tc>
          <w:tcPr>
            <w:cnfStyle w:val="001000000000" w:firstRow="0" w:lastRow="0" w:firstColumn="1" w:lastColumn="0" w:oddVBand="0" w:evenVBand="0" w:oddHBand="0" w:evenHBand="0" w:firstRowFirstColumn="0" w:firstRowLastColumn="0" w:lastRowFirstColumn="0" w:lastRowLastColumn="0"/>
            <w:tcW w:w="706" w:type="dxa"/>
            <w:vMerge w:val="restart"/>
          </w:tcPr>
          <w:p w14:paraId="28EBE4CE" w14:textId="77777777" w:rsidR="007C259A" w:rsidRPr="00BD16B4" w:rsidRDefault="007C259A" w:rsidP="00F31129">
            <w:pPr>
              <w:pStyle w:val="TableText"/>
              <w:spacing w:before="50" w:after="50"/>
              <w:rPr>
                <w:b w:val="0"/>
                <w:bCs w:val="0"/>
              </w:rPr>
            </w:pPr>
            <w:r w:rsidRPr="00BD16B4">
              <w:rPr>
                <w:b w:val="0"/>
                <w:bCs w:val="0"/>
              </w:rPr>
              <w:t>CH</w:t>
            </w:r>
            <w:r w:rsidRPr="00BD16B4">
              <w:rPr>
                <w:b w:val="0"/>
                <w:bCs w:val="0"/>
                <w:vertAlign w:val="subscript"/>
              </w:rPr>
              <w:t>4</w:t>
            </w:r>
            <w:r w:rsidRPr="00BD16B4">
              <w:rPr>
                <w:b w:val="0"/>
                <w:bCs w:val="0"/>
              </w:rPr>
              <w:t xml:space="preserve"> (including LULUCF)</w:t>
            </w:r>
          </w:p>
        </w:tc>
        <w:tc>
          <w:tcPr>
            <w:tcW w:w="680" w:type="dxa"/>
          </w:tcPr>
          <w:p w14:paraId="7CB57B23" w14:textId="77777777" w:rsidR="007C259A" w:rsidRPr="00BD16B4" w:rsidRDefault="007C259A" w:rsidP="00F3112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D16B4">
              <w:t xml:space="preserve">WEM </w:t>
            </w:r>
          </w:p>
        </w:tc>
        <w:tc>
          <w:tcPr>
            <w:tcW w:w="706" w:type="dxa"/>
            <w:shd w:val="clear" w:color="auto" w:fill="auto"/>
          </w:tcPr>
          <w:p w14:paraId="5941F8C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33.04</w:t>
            </w:r>
          </w:p>
        </w:tc>
        <w:tc>
          <w:tcPr>
            <w:tcW w:w="706" w:type="dxa"/>
            <w:shd w:val="clear" w:color="auto" w:fill="auto"/>
          </w:tcPr>
          <w:p w14:paraId="52F1EF4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34.31</w:t>
            </w:r>
          </w:p>
        </w:tc>
        <w:tc>
          <w:tcPr>
            <w:tcW w:w="706" w:type="dxa"/>
            <w:shd w:val="clear" w:color="auto" w:fill="auto"/>
          </w:tcPr>
          <w:p w14:paraId="2675D389"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36.02</w:t>
            </w:r>
          </w:p>
        </w:tc>
        <w:tc>
          <w:tcPr>
            <w:tcW w:w="706" w:type="dxa"/>
            <w:shd w:val="clear" w:color="auto" w:fill="auto"/>
          </w:tcPr>
          <w:p w14:paraId="1140E69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36.63</w:t>
            </w:r>
          </w:p>
        </w:tc>
        <w:tc>
          <w:tcPr>
            <w:tcW w:w="706" w:type="dxa"/>
            <w:shd w:val="clear" w:color="auto" w:fill="auto"/>
          </w:tcPr>
          <w:p w14:paraId="01DB1510"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34.86</w:t>
            </w:r>
          </w:p>
        </w:tc>
        <w:tc>
          <w:tcPr>
            <w:tcW w:w="706" w:type="dxa"/>
            <w:shd w:val="clear" w:color="auto" w:fill="auto"/>
          </w:tcPr>
          <w:p w14:paraId="4CC3B0F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35.07</w:t>
            </w:r>
          </w:p>
        </w:tc>
        <w:tc>
          <w:tcPr>
            <w:tcW w:w="706" w:type="dxa"/>
            <w:shd w:val="clear" w:color="auto" w:fill="auto"/>
          </w:tcPr>
          <w:p w14:paraId="0A6A0A99"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34.35</w:t>
            </w:r>
          </w:p>
        </w:tc>
        <w:tc>
          <w:tcPr>
            <w:tcW w:w="706" w:type="dxa"/>
            <w:shd w:val="clear" w:color="000000" w:fill="D2DDE1" w:themeFill="background2"/>
          </w:tcPr>
          <w:p w14:paraId="21253F8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32.66</w:t>
            </w:r>
          </w:p>
        </w:tc>
        <w:tc>
          <w:tcPr>
            <w:tcW w:w="706" w:type="dxa"/>
            <w:shd w:val="clear" w:color="000000" w:fill="D2DDE1" w:themeFill="background2"/>
          </w:tcPr>
          <w:p w14:paraId="2D034E3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31.59</w:t>
            </w:r>
          </w:p>
        </w:tc>
        <w:tc>
          <w:tcPr>
            <w:tcW w:w="729" w:type="dxa"/>
            <w:shd w:val="clear" w:color="000000" w:fill="D2DDE1" w:themeFill="background2"/>
          </w:tcPr>
          <w:p w14:paraId="72DBD5C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30.76</w:t>
            </w:r>
          </w:p>
        </w:tc>
      </w:tr>
      <w:tr w:rsidR="007C259A" w:rsidRPr="00BD16B4" w14:paraId="00C843F2" w14:textId="77777777" w:rsidTr="00B1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47938CAD" w14:textId="77777777" w:rsidR="007C259A" w:rsidRPr="00BD16B4" w:rsidRDefault="007C259A" w:rsidP="00F31129">
            <w:pPr>
              <w:pStyle w:val="TableText"/>
              <w:spacing w:before="50" w:after="50"/>
              <w:rPr>
                <w:b w:val="0"/>
                <w:bCs w:val="0"/>
              </w:rPr>
            </w:pPr>
          </w:p>
        </w:tc>
        <w:tc>
          <w:tcPr>
            <w:tcW w:w="680" w:type="dxa"/>
            <w:tcBorders>
              <w:top w:val="none" w:sz="0" w:space="0" w:color="auto"/>
              <w:bottom w:val="none" w:sz="0" w:space="0" w:color="auto"/>
            </w:tcBorders>
          </w:tcPr>
          <w:p w14:paraId="0288A53D" w14:textId="77777777" w:rsidR="007C259A" w:rsidRPr="00BD16B4" w:rsidRDefault="007C259A" w:rsidP="00F31129">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D16B4">
              <w:t>WOM</w:t>
            </w:r>
          </w:p>
        </w:tc>
        <w:tc>
          <w:tcPr>
            <w:tcW w:w="706" w:type="dxa"/>
            <w:tcBorders>
              <w:top w:val="none" w:sz="0" w:space="0" w:color="auto"/>
              <w:bottom w:val="none" w:sz="0" w:space="0" w:color="auto"/>
            </w:tcBorders>
            <w:shd w:val="clear" w:color="auto" w:fill="auto"/>
          </w:tcPr>
          <w:p w14:paraId="4F37C73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33.04</w:t>
            </w:r>
          </w:p>
        </w:tc>
        <w:tc>
          <w:tcPr>
            <w:tcW w:w="706" w:type="dxa"/>
            <w:tcBorders>
              <w:top w:val="none" w:sz="0" w:space="0" w:color="auto"/>
              <w:bottom w:val="none" w:sz="0" w:space="0" w:color="auto"/>
            </w:tcBorders>
            <w:shd w:val="clear" w:color="auto" w:fill="auto"/>
          </w:tcPr>
          <w:p w14:paraId="29E24959"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34.31</w:t>
            </w:r>
          </w:p>
        </w:tc>
        <w:tc>
          <w:tcPr>
            <w:tcW w:w="706" w:type="dxa"/>
            <w:tcBorders>
              <w:top w:val="none" w:sz="0" w:space="0" w:color="auto"/>
              <w:bottom w:val="none" w:sz="0" w:space="0" w:color="auto"/>
            </w:tcBorders>
            <w:shd w:val="clear" w:color="auto" w:fill="auto"/>
          </w:tcPr>
          <w:p w14:paraId="6924A6EF"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36.02</w:t>
            </w:r>
          </w:p>
        </w:tc>
        <w:tc>
          <w:tcPr>
            <w:tcW w:w="706" w:type="dxa"/>
            <w:tcBorders>
              <w:top w:val="none" w:sz="0" w:space="0" w:color="auto"/>
              <w:bottom w:val="none" w:sz="0" w:space="0" w:color="auto"/>
            </w:tcBorders>
            <w:shd w:val="clear" w:color="auto" w:fill="auto"/>
          </w:tcPr>
          <w:p w14:paraId="3E25033B"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36.63</w:t>
            </w:r>
          </w:p>
        </w:tc>
        <w:tc>
          <w:tcPr>
            <w:tcW w:w="706" w:type="dxa"/>
            <w:tcBorders>
              <w:top w:val="none" w:sz="0" w:space="0" w:color="auto"/>
              <w:bottom w:val="none" w:sz="0" w:space="0" w:color="auto"/>
            </w:tcBorders>
            <w:shd w:val="clear" w:color="auto" w:fill="auto"/>
          </w:tcPr>
          <w:p w14:paraId="2CF9B132"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35.28</w:t>
            </w:r>
          </w:p>
        </w:tc>
        <w:tc>
          <w:tcPr>
            <w:tcW w:w="706" w:type="dxa"/>
            <w:tcBorders>
              <w:top w:val="none" w:sz="0" w:space="0" w:color="auto"/>
              <w:bottom w:val="none" w:sz="0" w:space="0" w:color="auto"/>
            </w:tcBorders>
            <w:shd w:val="clear" w:color="auto" w:fill="auto"/>
          </w:tcPr>
          <w:p w14:paraId="020F9EF0"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35.80</w:t>
            </w:r>
          </w:p>
        </w:tc>
        <w:tc>
          <w:tcPr>
            <w:tcW w:w="706" w:type="dxa"/>
            <w:tcBorders>
              <w:top w:val="none" w:sz="0" w:space="0" w:color="auto"/>
              <w:bottom w:val="none" w:sz="0" w:space="0" w:color="auto"/>
            </w:tcBorders>
            <w:shd w:val="clear" w:color="auto" w:fill="auto"/>
          </w:tcPr>
          <w:p w14:paraId="2C511383"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35.27</w:t>
            </w:r>
          </w:p>
        </w:tc>
        <w:tc>
          <w:tcPr>
            <w:tcW w:w="706" w:type="dxa"/>
            <w:tcBorders>
              <w:top w:val="none" w:sz="0" w:space="0" w:color="auto"/>
              <w:bottom w:val="none" w:sz="0" w:space="0" w:color="auto"/>
            </w:tcBorders>
            <w:shd w:val="clear" w:color="000000" w:fill="D2DDE1" w:themeFill="background2"/>
          </w:tcPr>
          <w:p w14:paraId="3D665685"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33.97</w:t>
            </w:r>
          </w:p>
        </w:tc>
        <w:tc>
          <w:tcPr>
            <w:tcW w:w="706" w:type="dxa"/>
            <w:tcBorders>
              <w:top w:val="none" w:sz="0" w:space="0" w:color="auto"/>
              <w:bottom w:val="none" w:sz="0" w:space="0" w:color="auto"/>
            </w:tcBorders>
            <w:shd w:val="clear" w:color="000000" w:fill="D2DDE1" w:themeFill="background2"/>
          </w:tcPr>
          <w:p w14:paraId="1A11F334"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33.96</w:t>
            </w:r>
          </w:p>
        </w:tc>
        <w:tc>
          <w:tcPr>
            <w:tcW w:w="729" w:type="dxa"/>
            <w:tcBorders>
              <w:top w:val="none" w:sz="0" w:space="0" w:color="auto"/>
              <w:bottom w:val="none" w:sz="0" w:space="0" w:color="auto"/>
              <w:right w:val="none" w:sz="0" w:space="0" w:color="auto"/>
            </w:tcBorders>
            <w:shd w:val="clear" w:color="000000" w:fill="D2DDE1" w:themeFill="background2"/>
          </w:tcPr>
          <w:p w14:paraId="3DABBEEC"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34.11</w:t>
            </w:r>
          </w:p>
        </w:tc>
      </w:tr>
      <w:tr w:rsidR="007C259A" w:rsidRPr="00BD16B4" w14:paraId="74D64364" w14:textId="77777777" w:rsidTr="00B103C6">
        <w:tc>
          <w:tcPr>
            <w:cnfStyle w:val="001000000000" w:firstRow="0" w:lastRow="0" w:firstColumn="1" w:lastColumn="0" w:oddVBand="0" w:evenVBand="0" w:oddHBand="0" w:evenHBand="0" w:firstRowFirstColumn="0" w:firstRowLastColumn="0" w:lastRowFirstColumn="0" w:lastRowLastColumn="0"/>
            <w:tcW w:w="706" w:type="dxa"/>
            <w:vMerge/>
          </w:tcPr>
          <w:p w14:paraId="1DE35715" w14:textId="77777777" w:rsidR="007C259A" w:rsidRPr="00BD16B4" w:rsidRDefault="007C259A" w:rsidP="00F31129">
            <w:pPr>
              <w:pStyle w:val="TableText"/>
              <w:spacing w:before="50" w:after="50"/>
              <w:rPr>
                <w:b w:val="0"/>
                <w:bCs w:val="0"/>
              </w:rPr>
            </w:pPr>
          </w:p>
        </w:tc>
        <w:tc>
          <w:tcPr>
            <w:tcW w:w="680" w:type="dxa"/>
          </w:tcPr>
          <w:p w14:paraId="35909500" w14:textId="77777777" w:rsidR="007C259A" w:rsidRPr="00BD16B4" w:rsidRDefault="007C259A" w:rsidP="00F3112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D16B4">
              <w:t>WAM</w:t>
            </w:r>
          </w:p>
        </w:tc>
        <w:tc>
          <w:tcPr>
            <w:tcW w:w="706" w:type="dxa"/>
            <w:shd w:val="clear" w:color="auto" w:fill="auto"/>
          </w:tcPr>
          <w:p w14:paraId="06B0F43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33.04</w:t>
            </w:r>
          </w:p>
        </w:tc>
        <w:tc>
          <w:tcPr>
            <w:tcW w:w="706" w:type="dxa"/>
            <w:shd w:val="clear" w:color="auto" w:fill="auto"/>
          </w:tcPr>
          <w:p w14:paraId="4D95774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34.31</w:t>
            </w:r>
          </w:p>
        </w:tc>
        <w:tc>
          <w:tcPr>
            <w:tcW w:w="706" w:type="dxa"/>
            <w:shd w:val="clear" w:color="auto" w:fill="auto"/>
          </w:tcPr>
          <w:p w14:paraId="7A0D0F4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36.02</w:t>
            </w:r>
          </w:p>
        </w:tc>
        <w:tc>
          <w:tcPr>
            <w:tcW w:w="706" w:type="dxa"/>
            <w:shd w:val="clear" w:color="auto" w:fill="auto"/>
          </w:tcPr>
          <w:p w14:paraId="621094C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36.63</w:t>
            </w:r>
          </w:p>
        </w:tc>
        <w:tc>
          <w:tcPr>
            <w:tcW w:w="706" w:type="dxa"/>
            <w:shd w:val="clear" w:color="auto" w:fill="auto"/>
          </w:tcPr>
          <w:p w14:paraId="31294D5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34.86</w:t>
            </w:r>
          </w:p>
        </w:tc>
        <w:tc>
          <w:tcPr>
            <w:tcW w:w="706" w:type="dxa"/>
            <w:shd w:val="clear" w:color="auto" w:fill="auto"/>
          </w:tcPr>
          <w:p w14:paraId="18881C4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35.07</w:t>
            </w:r>
          </w:p>
        </w:tc>
        <w:tc>
          <w:tcPr>
            <w:tcW w:w="706" w:type="dxa"/>
            <w:shd w:val="clear" w:color="auto" w:fill="auto"/>
          </w:tcPr>
          <w:p w14:paraId="38B0BEC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34.35</w:t>
            </w:r>
          </w:p>
        </w:tc>
        <w:tc>
          <w:tcPr>
            <w:tcW w:w="706" w:type="dxa"/>
            <w:shd w:val="clear" w:color="000000" w:fill="D2DDE1" w:themeFill="background2"/>
          </w:tcPr>
          <w:p w14:paraId="6F94D2D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32.62</w:t>
            </w:r>
          </w:p>
        </w:tc>
        <w:tc>
          <w:tcPr>
            <w:tcW w:w="706" w:type="dxa"/>
            <w:shd w:val="clear" w:color="000000" w:fill="D2DDE1" w:themeFill="background2"/>
          </w:tcPr>
          <w:p w14:paraId="3B6901BB"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31.32</w:t>
            </w:r>
          </w:p>
        </w:tc>
        <w:tc>
          <w:tcPr>
            <w:tcW w:w="729" w:type="dxa"/>
            <w:shd w:val="clear" w:color="000000" w:fill="D2DDE1" w:themeFill="background2"/>
          </w:tcPr>
          <w:p w14:paraId="4674405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30.33</w:t>
            </w:r>
          </w:p>
        </w:tc>
      </w:tr>
      <w:tr w:rsidR="007C259A" w:rsidRPr="00BD16B4" w14:paraId="445F5893" w14:textId="77777777" w:rsidTr="00B1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one" w:sz="0" w:space="0" w:color="auto"/>
              <w:left w:val="none" w:sz="0" w:space="0" w:color="auto"/>
              <w:bottom w:val="none" w:sz="0" w:space="0" w:color="auto"/>
            </w:tcBorders>
          </w:tcPr>
          <w:p w14:paraId="5AE44D16" w14:textId="77777777" w:rsidR="007C259A" w:rsidRPr="00BD16B4" w:rsidRDefault="007C259A" w:rsidP="00F31129">
            <w:pPr>
              <w:pStyle w:val="TableText"/>
              <w:spacing w:before="50" w:after="50"/>
              <w:rPr>
                <w:b w:val="0"/>
                <w:bCs w:val="0"/>
              </w:rPr>
            </w:pPr>
            <w:r w:rsidRPr="00BD16B4">
              <w:rPr>
                <w:b w:val="0"/>
                <w:bCs w:val="0"/>
                <w:color w:val="000000"/>
              </w:rPr>
              <w:t>N</w:t>
            </w:r>
            <w:r w:rsidRPr="00BD16B4">
              <w:rPr>
                <w:b w:val="0"/>
                <w:bCs w:val="0"/>
                <w:color w:val="000000"/>
                <w:vertAlign w:val="subscript"/>
              </w:rPr>
              <w:t>2</w:t>
            </w:r>
            <w:r w:rsidRPr="00BD16B4">
              <w:rPr>
                <w:b w:val="0"/>
                <w:bCs w:val="0"/>
                <w:color w:val="000000"/>
              </w:rPr>
              <w:t>O (including LULUCF)</w:t>
            </w:r>
          </w:p>
        </w:tc>
        <w:tc>
          <w:tcPr>
            <w:tcW w:w="680" w:type="dxa"/>
            <w:tcBorders>
              <w:top w:val="none" w:sz="0" w:space="0" w:color="auto"/>
              <w:bottom w:val="none" w:sz="0" w:space="0" w:color="auto"/>
            </w:tcBorders>
          </w:tcPr>
          <w:p w14:paraId="036E2547" w14:textId="77777777" w:rsidR="007C259A" w:rsidRPr="00BD16B4" w:rsidRDefault="007C259A" w:rsidP="00F31129">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D16B4">
              <w:rPr>
                <w:color w:val="000000"/>
              </w:rPr>
              <w:t xml:space="preserve">WEM </w:t>
            </w:r>
          </w:p>
        </w:tc>
        <w:tc>
          <w:tcPr>
            <w:tcW w:w="706" w:type="dxa"/>
            <w:tcBorders>
              <w:top w:val="none" w:sz="0" w:space="0" w:color="auto"/>
              <w:bottom w:val="none" w:sz="0" w:space="0" w:color="auto"/>
            </w:tcBorders>
            <w:shd w:val="clear" w:color="auto" w:fill="auto"/>
          </w:tcPr>
          <w:p w14:paraId="3398D7EE"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6.12</w:t>
            </w:r>
          </w:p>
        </w:tc>
        <w:tc>
          <w:tcPr>
            <w:tcW w:w="706" w:type="dxa"/>
            <w:tcBorders>
              <w:top w:val="none" w:sz="0" w:space="0" w:color="auto"/>
              <w:bottom w:val="none" w:sz="0" w:space="0" w:color="auto"/>
            </w:tcBorders>
            <w:shd w:val="clear" w:color="auto" w:fill="auto"/>
          </w:tcPr>
          <w:p w14:paraId="09A095B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6.95</w:t>
            </w:r>
          </w:p>
        </w:tc>
        <w:tc>
          <w:tcPr>
            <w:tcW w:w="706" w:type="dxa"/>
            <w:tcBorders>
              <w:top w:val="none" w:sz="0" w:space="0" w:color="auto"/>
              <w:bottom w:val="none" w:sz="0" w:space="0" w:color="auto"/>
            </w:tcBorders>
            <w:shd w:val="clear" w:color="auto" w:fill="auto"/>
          </w:tcPr>
          <w:p w14:paraId="709C2F32"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7.41</w:t>
            </w:r>
          </w:p>
        </w:tc>
        <w:tc>
          <w:tcPr>
            <w:tcW w:w="706" w:type="dxa"/>
            <w:tcBorders>
              <w:top w:val="none" w:sz="0" w:space="0" w:color="auto"/>
              <w:bottom w:val="none" w:sz="0" w:space="0" w:color="auto"/>
            </w:tcBorders>
            <w:shd w:val="clear" w:color="auto" w:fill="auto"/>
          </w:tcPr>
          <w:p w14:paraId="32CB8754"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8.33</w:t>
            </w:r>
          </w:p>
        </w:tc>
        <w:tc>
          <w:tcPr>
            <w:tcW w:w="706" w:type="dxa"/>
            <w:tcBorders>
              <w:top w:val="none" w:sz="0" w:space="0" w:color="auto"/>
              <w:bottom w:val="none" w:sz="0" w:space="0" w:color="auto"/>
            </w:tcBorders>
            <w:shd w:val="clear" w:color="auto" w:fill="auto"/>
          </w:tcPr>
          <w:p w14:paraId="4513663A"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8.04</w:t>
            </w:r>
          </w:p>
        </w:tc>
        <w:tc>
          <w:tcPr>
            <w:tcW w:w="706" w:type="dxa"/>
            <w:tcBorders>
              <w:top w:val="none" w:sz="0" w:space="0" w:color="auto"/>
              <w:bottom w:val="none" w:sz="0" w:space="0" w:color="auto"/>
            </w:tcBorders>
            <w:shd w:val="clear" w:color="auto" w:fill="auto"/>
          </w:tcPr>
          <w:p w14:paraId="14458834"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8.49</w:t>
            </w:r>
          </w:p>
        </w:tc>
        <w:tc>
          <w:tcPr>
            <w:tcW w:w="706" w:type="dxa"/>
            <w:tcBorders>
              <w:top w:val="none" w:sz="0" w:space="0" w:color="auto"/>
              <w:bottom w:val="none" w:sz="0" w:space="0" w:color="auto"/>
            </w:tcBorders>
            <w:shd w:val="clear" w:color="auto" w:fill="auto"/>
          </w:tcPr>
          <w:p w14:paraId="4A86F128"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8.74</w:t>
            </w:r>
          </w:p>
        </w:tc>
        <w:tc>
          <w:tcPr>
            <w:tcW w:w="706" w:type="dxa"/>
            <w:tcBorders>
              <w:top w:val="none" w:sz="0" w:space="0" w:color="auto"/>
              <w:bottom w:val="none" w:sz="0" w:space="0" w:color="auto"/>
            </w:tcBorders>
            <w:shd w:val="clear" w:color="000000" w:fill="D2DDE1" w:themeFill="background2"/>
          </w:tcPr>
          <w:p w14:paraId="35DE6333"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8.38</w:t>
            </w:r>
          </w:p>
        </w:tc>
        <w:tc>
          <w:tcPr>
            <w:tcW w:w="706" w:type="dxa"/>
            <w:tcBorders>
              <w:top w:val="none" w:sz="0" w:space="0" w:color="auto"/>
              <w:bottom w:val="none" w:sz="0" w:space="0" w:color="auto"/>
            </w:tcBorders>
            <w:shd w:val="clear" w:color="000000" w:fill="D2DDE1" w:themeFill="background2"/>
          </w:tcPr>
          <w:p w14:paraId="2F9062EF"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8.16</w:t>
            </w:r>
          </w:p>
        </w:tc>
        <w:tc>
          <w:tcPr>
            <w:tcW w:w="729" w:type="dxa"/>
            <w:tcBorders>
              <w:top w:val="none" w:sz="0" w:space="0" w:color="auto"/>
              <w:bottom w:val="none" w:sz="0" w:space="0" w:color="auto"/>
              <w:right w:val="none" w:sz="0" w:space="0" w:color="auto"/>
            </w:tcBorders>
            <w:shd w:val="clear" w:color="000000" w:fill="D2DDE1" w:themeFill="background2"/>
          </w:tcPr>
          <w:p w14:paraId="513048A2"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7.95</w:t>
            </w:r>
          </w:p>
        </w:tc>
      </w:tr>
      <w:tr w:rsidR="007C259A" w:rsidRPr="00BD16B4" w14:paraId="6EB37B9D" w14:textId="77777777" w:rsidTr="00B103C6">
        <w:tc>
          <w:tcPr>
            <w:cnfStyle w:val="001000000000" w:firstRow="0" w:lastRow="0" w:firstColumn="1" w:lastColumn="0" w:oddVBand="0" w:evenVBand="0" w:oddHBand="0" w:evenHBand="0" w:firstRowFirstColumn="0" w:firstRowLastColumn="0" w:lastRowFirstColumn="0" w:lastRowLastColumn="0"/>
            <w:tcW w:w="706" w:type="dxa"/>
            <w:vMerge/>
          </w:tcPr>
          <w:p w14:paraId="18D5E48F" w14:textId="77777777" w:rsidR="007C259A" w:rsidRPr="00BD16B4" w:rsidRDefault="007C259A" w:rsidP="00F31129">
            <w:pPr>
              <w:pStyle w:val="TableText"/>
              <w:spacing w:before="50" w:after="50"/>
              <w:rPr>
                <w:b w:val="0"/>
                <w:bCs w:val="0"/>
              </w:rPr>
            </w:pPr>
          </w:p>
        </w:tc>
        <w:tc>
          <w:tcPr>
            <w:tcW w:w="680" w:type="dxa"/>
          </w:tcPr>
          <w:p w14:paraId="60ADFDAA" w14:textId="77777777" w:rsidR="007C259A" w:rsidRPr="00BD16B4" w:rsidRDefault="007C259A" w:rsidP="00F3112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D16B4">
              <w:rPr>
                <w:color w:val="000000"/>
              </w:rPr>
              <w:t>WOM</w:t>
            </w:r>
          </w:p>
        </w:tc>
        <w:tc>
          <w:tcPr>
            <w:tcW w:w="706" w:type="dxa"/>
            <w:shd w:val="clear" w:color="auto" w:fill="auto"/>
          </w:tcPr>
          <w:p w14:paraId="0DE95A0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6.12</w:t>
            </w:r>
          </w:p>
        </w:tc>
        <w:tc>
          <w:tcPr>
            <w:tcW w:w="706" w:type="dxa"/>
            <w:shd w:val="clear" w:color="auto" w:fill="auto"/>
          </w:tcPr>
          <w:p w14:paraId="4C30386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6.95</w:t>
            </w:r>
          </w:p>
        </w:tc>
        <w:tc>
          <w:tcPr>
            <w:tcW w:w="706" w:type="dxa"/>
            <w:shd w:val="clear" w:color="auto" w:fill="auto"/>
          </w:tcPr>
          <w:p w14:paraId="70F1A50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7.41</w:t>
            </w:r>
          </w:p>
        </w:tc>
        <w:tc>
          <w:tcPr>
            <w:tcW w:w="706" w:type="dxa"/>
            <w:shd w:val="clear" w:color="auto" w:fill="auto"/>
          </w:tcPr>
          <w:p w14:paraId="0155124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8.33</w:t>
            </w:r>
          </w:p>
        </w:tc>
        <w:tc>
          <w:tcPr>
            <w:tcW w:w="706" w:type="dxa"/>
            <w:shd w:val="clear" w:color="auto" w:fill="auto"/>
          </w:tcPr>
          <w:p w14:paraId="37AAF6B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8.04</w:t>
            </w:r>
          </w:p>
        </w:tc>
        <w:tc>
          <w:tcPr>
            <w:tcW w:w="706" w:type="dxa"/>
            <w:shd w:val="clear" w:color="auto" w:fill="auto"/>
          </w:tcPr>
          <w:p w14:paraId="34C700C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8.50</w:t>
            </w:r>
          </w:p>
        </w:tc>
        <w:tc>
          <w:tcPr>
            <w:tcW w:w="706" w:type="dxa"/>
            <w:shd w:val="clear" w:color="auto" w:fill="auto"/>
          </w:tcPr>
          <w:p w14:paraId="5174B53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8.79</w:t>
            </w:r>
          </w:p>
        </w:tc>
        <w:tc>
          <w:tcPr>
            <w:tcW w:w="706" w:type="dxa"/>
            <w:shd w:val="clear" w:color="000000" w:fill="D2DDE1" w:themeFill="background2"/>
          </w:tcPr>
          <w:p w14:paraId="0559F02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8.52</w:t>
            </w:r>
          </w:p>
        </w:tc>
        <w:tc>
          <w:tcPr>
            <w:tcW w:w="706" w:type="dxa"/>
            <w:shd w:val="clear" w:color="000000" w:fill="D2DDE1" w:themeFill="background2"/>
          </w:tcPr>
          <w:p w14:paraId="665EDFD5"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8.55</w:t>
            </w:r>
          </w:p>
        </w:tc>
        <w:tc>
          <w:tcPr>
            <w:tcW w:w="729" w:type="dxa"/>
            <w:shd w:val="clear" w:color="000000" w:fill="D2DDE1" w:themeFill="background2"/>
          </w:tcPr>
          <w:p w14:paraId="60BDDC2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8.60</w:t>
            </w:r>
          </w:p>
        </w:tc>
      </w:tr>
      <w:tr w:rsidR="007C259A" w:rsidRPr="00BD16B4" w14:paraId="136E8133" w14:textId="77777777" w:rsidTr="00B1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769A1FC2" w14:textId="77777777" w:rsidR="007C259A" w:rsidRPr="00BD16B4" w:rsidRDefault="007C259A" w:rsidP="00F31129">
            <w:pPr>
              <w:pStyle w:val="TableText"/>
              <w:spacing w:before="50" w:after="50"/>
              <w:rPr>
                <w:b w:val="0"/>
                <w:bCs w:val="0"/>
              </w:rPr>
            </w:pPr>
          </w:p>
        </w:tc>
        <w:tc>
          <w:tcPr>
            <w:tcW w:w="680" w:type="dxa"/>
            <w:tcBorders>
              <w:top w:val="none" w:sz="0" w:space="0" w:color="auto"/>
              <w:bottom w:val="none" w:sz="0" w:space="0" w:color="auto"/>
            </w:tcBorders>
          </w:tcPr>
          <w:p w14:paraId="11C13AB5" w14:textId="77777777" w:rsidR="007C259A" w:rsidRPr="00BD16B4" w:rsidRDefault="007C259A" w:rsidP="00F31129">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D16B4">
              <w:rPr>
                <w:color w:val="000000"/>
              </w:rPr>
              <w:t>WAM</w:t>
            </w:r>
          </w:p>
        </w:tc>
        <w:tc>
          <w:tcPr>
            <w:tcW w:w="706" w:type="dxa"/>
            <w:tcBorders>
              <w:top w:val="none" w:sz="0" w:space="0" w:color="auto"/>
              <w:bottom w:val="none" w:sz="0" w:space="0" w:color="auto"/>
            </w:tcBorders>
            <w:shd w:val="clear" w:color="auto" w:fill="auto"/>
          </w:tcPr>
          <w:p w14:paraId="3CF5F484"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6.12</w:t>
            </w:r>
          </w:p>
        </w:tc>
        <w:tc>
          <w:tcPr>
            <w:tcW w:w="706" w:type="dxa"/>
            <w:tcBorders>
              <w:top w:val="none" w:sz="0" w:space="0" w:color="auto"/>
              <w:bottom w:val="none" w:sz="0" w:space="0" w:color="auto"/>
            </w:tcBorders>
            <w:shd w:val="clear" w:color="auto" w:fill="auto"/>
          </w:tcPr>
          <w:p w14:paraId="42B23FB9"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6.95</w:t>
            </w:r>
          </w:p>
        </w:tc>
        <w:tc>
          <w:tcPr>
            <w:tcW w:w="706" w:type="dxa"/>
            <w:tcBorders>
              <w:top w:val="none" w:sz="0" w:space="0" w:color="auto"/>
              <w:bottom w:val="none" w:sz="0" w:space="0" w:color="auto"/>
            </w:tcBorders>
            <w:shd w:val="clear" w:color="auto" w:fill="auto"/>
          </w:tcPr>
          <w:p w14:paraId="4B4378E5"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7.41</w:t>
            </w:r>
          </w:p>
        </w:tc>
        <w:tc>
          <w:tcPr>
            <w:tcW w:w="706" w:type="dxa"/>
            <w:tcBorders>
              <w:top w:val="none" w:sz="0" w:space="0" w:color="auto"/>
              <w:bottom w:val="none" w:sz="0" w:space="0" w:color="auto"/>
            </w:tcBorders>
            <w:shd w:val="clear" w:color="auto" w:fill="auto"/>
          </w:tcPr>
          <w:p w14:paraId="7681B71D"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8.33</w:t>
            </w:r>
          </w:p>
        </w:tc>
        <w:tc>
          <w:tcPr>
            <w:tcW w:w="706" w:type="dxa"/>
            <w:tcBorders>
              <w:top w:val="none" w:sz="0" w:space="0" w:color="auto"/>
              <w:bottom w:val="none" w:sz="0" w:space="0" w:color="auto"/>
            </w:tcBorders>
            <w:shd w:val="clear" w:color="auto" w:fill="auto"/>
          </w:tcPr>
          <w:p w14:paraId="695AD024"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8.04</w:t>
            </w:r>
          </w:p>
        </w:tc>
        <w:tc>
          <w:tcPr>
            <w:tcW w:w="706" w:type="dxa"/>
            <w:tcBorders>
              <w:top w:val="none" w:sz="0" w:space="0" w:color="auto"/>
              <w:bottom w:val="none" w:sz="0" w:space="0" w:color="auto"/>
            </w:tcBorders>
            <w:shd w:val="clear" w:color="auto" w:fill="auto"/>
          </w:tcPr>
          <w:p w14:paraId="5BEFD19D"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8.49</w:t>
            </w:r>
          </w:p>
        </w:tc>
        <w:tc>
          <w:tcPr>
            <w:tcW w:w="706" w:type="dxa"/>
            <w:tcBorders>
              <w:top w:val="none" w:sz="0" w:space="0" w:color="auto"/>
              <w:bottom w:val="none" w:sz="0" w:space="0" w:color="auto"/>
            </w:tcBorders>
            <w:shd w:val="clear" w:color="auto" w:fill="auto"/>
          </w:tcPr>
          <w:p w14:paraId="1A495A64"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8.74</w:t>
            </w:r>
          </w:p>
        </w:tc>
        <w:tc>
          <w:tcPr>
            <w:tcW w:w="706" w:type="dxa"/>
            <w:tcBorders>
              <w:top w:val="none" w:sz="0" w:space="0" w:color="auto"/>
              <w:bottom w:val="none" w:sz="0" w:space="0" w:color="auto"/>
            </w:tcBorders>
            <w:shd w:val="clear" w:color="000000" w:fill="D2DDE1" w:themeFill="background2"/>
          </w:tcPr>
          <w:p w14:paraId="0B1D6674"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8.38</w:t>
            </w:r>
          </w:p>
        </w:tc>
        <w:tc>
          <w:tcPr>
            <w:tcW w:w="706" w:type="dxa"/>
            <w:tcBorders>
              <w:top w:val="none" w:sz="0" w:space="0" w:color="auto"/>
              <w:bottom w:val="none" w:sz="0" w:space="0" w:color="auto"/>
            </w:tcBorders>
            <w:shd w:val="clear" w:color="000000" w:fill="D2DDE1" w:themeFill="background2"/>
          </w:tcPr>
          <w:p w14:paraId="01F0257E"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8.15</w:t>
            </w:r>
          </w:p>
        </w:tc>
        <w:tc>
          <w:tcPr>
            <w:tcW w:w="729" w:type="dxa"/>
            <w:tcBorders>
              <w:top w:val="none" w:sz="0" w:space="0" w:color="auto"/>
              <w:bottom w:val="none" w:sz="0" w:space="0" w:color="auto"/>
              <w:right w:val="none" w:sz="0" w:space="0" w:color="auto"/>
            </w:tcBorders>
            <w:shd w:val="clear" w:color="000000" w:fill="D2DDE1" w:themeFill="background2"/>
          </w:tcPr>
          <w:p w14:paraId="74DB12D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D16B4">
              <w:rPr>
                <w:rFonts w:cs="Calibri"/>
                <w:color w:val="000000"/>
              </w:rPr>
              <w:t>7.93</w:t>
            </w:r>
          </w:p>
        </w:tc>
      </w:tr>
      <w:tr w:rsidR="007C259A" w:rsidRPr="00BD16B4" w14:paraId="26F38473" w14:textId="77777777" w:rsidTr="00B103C6">
        <w:tc>
          <w:tcPr>
            <w:cnfStyle w:val="001000000000" w:firstRow="0" w:lastRow="0" w:firstColumn="1" w:lastColumn="0" w:oddVBand="0" w:evenVBand="0" w:oddHBand="0" w:evenHBand="0" w:firstRowFirstColumn="0" w:firstRowLastColumn="0" w:lastRowFirstColumn="0" w:lastRowLastColumn="0"/>
            <w:tcW w:w="706" w:type="dxa"/>
            <w:vMerge w:val="restart"/>
          </w:tcPr>
          <w:p w14:paraId="115F49D6" w14:textId="77777777" w:rsidR="007C259A" w:rsidRPr="00BD16B4" w:rsidRDefault="007C259A" w:rsidP="00F31129">
            <w:pPr>
              <w:pStyle w:val="TableText"/>
              <w:spacing w:before="50" w:after="50"/>
              <w:rPr>
                <w:b w:val="0"/>
                <w:bCs w:val="0"/>
              </w:rPr>
            </w:pPr>
            <w:r w:rsidRPr="00BD16B4">
              <w:rPr>
                <w:b w:val="0"/>
                <w:bCs w:val="0"/>
              </w:rPr>
              <w:t>Total (including LULUCF)</w:t>
            </w:r>
          </w:p>
        </w:tc>
        <w:tc>
          <w:tcPr>
            <w:tcW w:w="680" w:type="dxa"/>
          </w:tcPr>
          <w:p w14:paraId="0FA05516" w14:textId="77777777" w:rsidR="007C259A" w:rsidRPr="00BD16B4" w:rsidRDefault="007C259A" w:rsidP="00F3112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D16B4">
              <w:t xml:space="preserve">WEM </w:t>
            </w:r>
          </w:p>
        </w:tc>
        <w:tc>
          <w:tcPr>
            <w:tcW w:w="706" w:type="dxa"/>
            <w:shd w:val="clear" w:color="auto" w:fill="auto"/>
          </w:tcPr>
          <w:p w14:paraId="14ECE54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D16B4">
              <w:rPr>
                <w:rFonts w:cs="Calibri"/>
                <w:color w:val="000000"/>
              </w:rPr>
              <w:t>43.97</w:t>
            </w:r>
          </w:p>
        </w:tc>
        <w:tc>
          <w:tcPr>
            <w:tcW w:w="706" w:type="dxa"/>
            <w:shd w:val="clear" w:color="auto" w:fill="auto"/>
          </w:tcPr>
          <w:p w14:paraId="5F2424FD"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46.57</w:t>
            </w:r>
          </w:p>
        </w:tc>
        <w:tc>
          <w:tcPr>
            <w:tcW w:w="706" w:type="dxa"/>
            <w:shd w:val="clear" w:color="auto" w:fill="auto"/>
          </w:tcPr>
          <w:p w14:paraId="08ABDC19"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48.58</w:t>
            </w:r>
          </w:p>
        </w:tc>
        <w:tc>
          <w:tcPr>
            <w:tcW w:w="706" w:type="dxa"/>
            <w:shd w:val="clear" w:color="auto" w:fill="auto"/>
          </w:tcPr>
          <w:p w14:paraId="44276AE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57.24</w:t>
            </w:r>
          </w:p>
        </w:tc>
        <w:tc>
          <w:tcPr>
            <w:tcW w:w="706" w:type="dxa"/>
            <w:shd w:val="clear" w:color="auto" w:fill="auto"/>
          </w:tcPr>
          <w:p w14:paraId="373DB04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49.10</w:t>
            </w:r>
          </w:p>
        </w:tc>
        <w:tc>
          <w:tcPr>
            <w:tcW w:w="706" w:type="dxa"/>
            <w:shd w:val="clear" w:color="auto" w:fill="auto"/>
          </w:tcPr>
          <w:p w14:paraId="54A09E1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53.84</w:t>
            </w:r>
          </w:p>
        </w:tc>
        <w:tc>
          <w:tcPr>
            <w:tcW w:w="706" w:type="dxa"/>
            <w:shd w:val="clear" w:color="auto" w:fill="auto"/>
          </w:tcPr>
          <w:p w14:paraId="30DE7DD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55.47</w:t>
            </w:r>
          </w:p>
        </w:tc>
        <w:tc>
          <w:tcPr>
            <w:tcW w:w="706" w:type="dxa"/>
            <w:shd w:val="clear" w:color="000000" w:fill="D2DDE1" w:themeFill="background2"/>
          </w:tcPr>
          <w:p w14:paraId="628EDA5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63.76</w:t>
            </w:r>
          </w:p>
        </w:tc>
        <w:tc>
          <w:tcPr>
            <w:tcW w:w="706" w:type="dxa"/>
            <w:shd w:val="clear" w:color="000000" w:fill="D2DDE1" w:themeFill="background2"/>
          </w:tcPr>
          <w:p w14:paraId="1D5AA2F5"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58.03</w:t>
            </w:r>
          </w:p>
        </w:tc>
        <w:tc>
          <w:tcPr>
            <w:tcW w:w="729" w:type="dxa"/>
            <w:shd w:val="clear" w:color="000000" w:fill="D2DDE1" w:themeFill="background2"/>
          </w:tcPr>
          <w:p w14:paraId="392A4DB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rPr>
                <w:rFonts w:cs="Calibri"/>
                <w:color w:val="000000"/>
              </w:rPr>
              <w:t>41.20</w:t>
            </w:r>
          </w:p>
        </w:tc>
      </w:tr>
      <w:tr w:rsidR="007C259A" w:rsidRPr="00BD16B4" w14:paraId="0183782C" w14:textId="77777777" w:rsidTr="00B10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672D00FF" w14:textId="77777777" w:rsidR="007C259A" w:rsidRPr="00BD16B4" w:rsidRDefault="007C259A" w:rsidP="00F31129">
            <w:pPr>
              <w:pStyle w:val="TableText"/>
              <w:spacing w:before="50" w:after="50"/>
              <w:rPr>
                <w:b w:val="0"/>
                <w:bCs w:val="0"/>
              </w:rPr>
            </w:pPr>
          </w:p>
        </w:tc>
        <w:tc>
          <w:tcPr>
            <w:tcW w:w="680" w:type="dxa"/>
            <w:tcBorders>
              <w:top w:val="none" w:sz="0" w:space="0" w:color="auto"/>
              <w:bottom w:val="none" w:sz="0" w:space="0" w:color="auto"/>
            </w:tcBorders>
          </w:tcPr>
          <w:p w14:paraId="448C32F1" w14:textId="77777777" w:rsidR="007C259A" w:rsidRPr="00BD16B4" w:rsidRDefault="007C259A" w:rsidP="00F31129">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D16B4">
              <w:t>WOM</w:t>
            </w:r>
          </w:p>
        </w:tc>
        <w:tc>
          <w:tcPr>
            <w:tcW w:w="706" w:type="dxa"/>
            <w:tcBorders>
              <w:top w:val="none" w:sz="0" w:space="0" w:color="auto"/>
              <w:bottom w:val="none" w:sz="0" w:space="0" w:color="auto"/>
            </w:tcBorders>
            <w:shd w:val="clear" w:color="auto" w:fill="auto"/>
          </w:tcPr>
          <w:p w14:paraId="518B2E80"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D16B4">
              <w:rPr>
                <w:rFonts w:cs="Calibri"/>
                <w:color w:val="000000"/>
              </w:rPr>
              <w:t>43.97</w:t>
            </w:r>
          </w:p>
        </w:tc>
        <w:tc>
          <w:tcPr>
            <w:tcW w:w="706" w:type="dxa"/>
            <w:tcBorders>
              <w:top w:val="none" w:sz="0" w:space="0" w:color="auto"/>
              <w:bottom w:val="none" w:sz="0" w:space="0" w:color="auto"/>
            </w:tcBorders>
            <w:shd w:val="clear" w:color="auto" w:fill="auto"/>
          </w:tcPr>
          <w:p w14:paraId="6383D45E"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46.54</w:t>
            </w:r>
          </w:p>
        </w:tc>
        <w:tc>
          <w:tcPr>
            <w:tcW w:w="706" w:type="dxa"/>
            <w:tcBorders>
              <w:top w:val="none" w:sz="0" w:space="0" w:color="auto"/>
              <w:bottom w:val="none" w:sz="0" w:space="0" w:color="auto"/>
            </w:tcBorders>
            <w:shd w:val="clear" w:color="auto" w:fill="auto"/>
          </w:tcPr>
          <w:p w14:paraId="5376FB41"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48.88</w:t>
            </w:r>
          </w:p>
        </w:tc>
        <w:tc>
          <w:tcPr>
            <w:tcW w:w="706" w:type="dxa"/>
            <w:tcBorders>
              <w:top w:val="none" w:sz="0" w:space="0" w:color="auto"/>
              <w:bottom w:val="none" w:sz="0" w:space="0" w:color="auto"/>
            </w:tcBorders>
            <w:shd w:val="clear" w:color="auto" w:fill="auto"/>
          </w:tcPr>
          <w:p w14:paraId="1691D60A"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51.81</w:t>
            </w:r>
          </w:p>
        </w:tc>
        <w:tc>
          <w:tcPr>
            <w:tcW w:w="706" w:type="dxa"/>
            <w:tcBorders>
              <w:top w:val="none" w:sz="0" w:space="0" w:color="auto"/>
              <w:bottom w:val="none" w:sz="0" w:space="0" w:color="auto"/>
            </w:tcBorders>
            <w:shd w:val="clear" w:color="auto" w:fill="auto"/>
          </w:tcPr>
          <w:p w14:paraId="73CD06E9"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50.61</w:t>
            </w:r>
          </w:p>
        </w:tc>
        <w:tc>
          <w:tcPr>
            <w:tcW w:w="706" w:type="dxa"/>
            <w:tcBorders>
              <w:top w:val="none" w:sz="0" w:space="0" w:color="auto"/>
              <w:bottom w:val="none" w:sz="0" w:space="0" w:color="auto"/>
            </w:tcBorders>
            <w:shd w:val="clear" w:color="auto" w:fill="auto"/>
          </w:tcPr>
          <w:p w14:paraId="1B8F0B36"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56.39</w:t>
            </w:r>
          </w:p>
        </w:tc>
        <w:tc>
          <w:tcPr>
            <w:tcW w:w="706" w:type="dxa"/>
            <w:tcBorders>
              <w:top w:val="none" w:sz="0" w:space="0" w:color="auto"/>
              <w:bottom w:val="none" w:sz="0" w:space="0" w:color="auto"/>
            </w:tcBorders>
            <w:shd w:val="clear" w:color="auto" w:fill="auto"/>
          </w:tcPr>
          <w:p w14:paraId="59ADE61D"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62.70</w:t>
            </w:r>
          </w:p>
        </w:tc>
        <w:tc>
          <w:tcPr>
            <w:tcW w:w="706" w:type="dxa"/>
            <w:tcBorders>
              <w:top w:val="none" w:sz="0" w:space="0" w:color="auto"/>
              <w:bottom w:val="none" w:sz="0" w:space="0" w:color="auto"/>
            </w:tcBorders>
            <w:shd w:val="clear" w:color="000000" w:fill="D2DDE1" w:themeFill="background2"/>
          </w:tcPr>
          <w:p w14:paraId="7F61DC05"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75.12</w:t>
            </w:r>
          </w:p>
        </w:tc>
        <w:tc>
          <w:tcPr>
            <w:tcW w:w="706" w:type="dxa"/>
            <w:tcBorders>
              <w:top w:val="none" w:sz="0" w:space="0" w:color="auto"/>
              <w:bottom w:val="none" w:sz="0" w:space="0" w:color="auto"/>
            </w:tcBorders>
            <w:shd w:val="clear" w:color="000000" w:fill="D2DDE1" w:themeFill="background2"/>
          </w:tcPr>
          <w:p w14:paraId="6842A4D3"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79.05</w:t>
            </w:r>
          </w:p>
        </w:tc>
        <w:tc>
          <w:tcPr>
            <w:tcW w:w="729" w:type="dxa"/>
            <w:tcBorders>
              <w:top w:val="none" w:sz="0" w:space="0" w:color="auto"/>
              <w:bottom w:val="none" w:sz="0" w:space="0" w:color="auto"/>
              <w:right w:val="none" w:sz="0" w:space="0" w:color="auto"/>
            </w:tcBorders>
            <w:shd w:val="clear" w:color="000000" w:fill="D2DDE1" w:themeFill="background2"/>
          </w:tcPr>
          <w:p w14:paraId="5FBA19FA" w14:textId="77777777" w:rsidR="007C259A" w:rsidRPr="00BD16B4" w:rsidRDefault="007C259A" w:rsidP="00F31129">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D16B4">
              <w:rPr>
                <w:rFonts w:cs="Calibri"/>
                <w:color w:val="000000"/>
              </w:rPr>
              <w:t>71.90</w:t>
            </w:r>
          </w:p>
        </w:tc>
      </w:tr>
      <w:tr w:rsidR="007C259A" w:rsidRPr="00BD16B4" w14:paraId="0FDA13FF" w14:textId="77777777" w:rsidTr="00B103C6">
        <w:tc>
          <w:tcPr>
            <w:cnfStyle w:val="001000000000" w:firstRow="0" w:lastRow="0" w:firstColumn="1" w:lastColumn="0" w:oddVBand="0" w:evenVBand="0" w:oddHBand="0" w:evenHBand="0" w:firstRowFirstColumn="0" w:firstRowLastColumn="0" w:lastRowFirstColumn="0" w:lastRowLastColumn="0"/>
            <w:tcW w:w="706" w:type="dxa"/>
            <w:vMerge/>
          </w:tcPr>
          <w:p w14:paraId="2BA5D620" w14:textId="77777777" w:rsidR="007C259A" w:rsidRPr="00BD16B4" w:rsidRDefault="007C259A" w:rsidP="00F31129">
            <w:pPr>
              <w:pStyle w:val="TableText"/>
              <w:spacing w:before="50" w:after="50"/>
              <w:rPr>
                <w:b w:val="0"/>
                <w:bCs w:val="0"/>
              </w:rPr>
            </w:pPr>
          </w:p>
        </w:tc>
        <w:tc>
          <w:tcPr>
            <w:tcW w:w="680" w:type="dxa"/>
          </w:tcPr>
          <w:p w14:paraId="14144E90" w14:textId="77777777" w:rsidR="007C259A" w:rsidRPr="00BD16B4" w:rsidRDefault="007C259A" w:rsidP="00F3112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D16B4">
              <w:t>WAM</w:t>
            </w:r>
          </w:p>
        </w:tc>
        <w:tc>
          <w:tcPr>
            <w:tcW w:w="706" w:type="dxa"/>
            <w:shd w:val="clear" w:color="auto" w:fill="auto"/>
          </w:tcPr>
          <w:p w14:paraId="6A16AD7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D16B4">
              <w:rPr>
                <w:rFonts w:cs="Calibri"/>
                <w:color w:val="000000"/>
              </w:rPr>
              <w:t>43.97</w:t>
            </w:r>
          </w:p>
        </w:tc>
        <w:tc>
          <w:tcPr>
            <w:tcW w:w="706" w:type="dxa"/>
            <w:shd w:val="clear" w:color="auto" w:fill="auto"/>
          </w:tcPr>
          <w:p w14:paraId="030A54F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46.57</w:t>
            </w:r>
          </w:p>
        </w:tc>
        <w:tc>
          <w:tcPr>
            <w:tcW w:w="706" w:type="dxa"/>
            <w:shd w:val="clear" w:color="auto" w:fill="auto"/>
          </w:tcPr>
          <w:p w14:paraId="3E6A3A8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48.58</w:t>
            </w:r>
          </w:p>
        </w:tc>
        <w:tc>
          <w:tcPr>
            <w:tcW w:w="706" w:type="dxa"/>
            <w:shd w:val="clear" w:color="auto" w:fill="auto"/>
          </w:tcPr>
          <w:p w14:paraId="0C54531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57.24</w:t>
            </w:r>
          </w:p>
        </w:tc>
        <w:tc>
          <w:tcPr>
            <w:tcW w:w="706" w:type="dxa"/>
            <w:shd w:val="clear" w:color="auto" w:fill="auto"/>
          </w:tcPr>
          <w:p w14:paraId="1A04887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49.10</w:t>
            </w:r>
          </w:p>
        </w:tc>
        <w:tc>
          <w:tcPr>
            <w:tcW w:w="706" w:type="dxa"/>
            <w:shd w:val="clear" w:color="auto" w:fill="auto"/>
          </w:tcPr>
          <w:p w14:paraId="3AF4721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cs="Calibri"/>
                <w:color w:val="000000"/>
              </w:rPr>
              <w:t>53.84</w:t>
            </w:r>
          </w:p>
        </w:tc>
        <w:tc>
          <w:tcPr>
            <w:tcW w:w="706" w:type="dxa"/>
            <w:shd w:val="clear" w:color="auto" w:fill="auto"/>
          </w:tcPr>
          <w:p w14:paraId="4ECA621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D16B4">
              <w:rPr>
                <w:rFonts w:cs="Calibri"/>
                <w:color w:val="000000"/>
              </w:rPr>
              <w:t>55.47</w:t>
            </w:r>
          </w:p>
        </w:tc>
        <w:tc>
          <w:tcPr>
            <w:tcW w:w="706" w:type="dxa"/>
            <w:shd w:val="clear" w:color="000000" w:fill="D2DDE1" w:themeFill="background2"/>
          </w:tcPr>
          <w:p w14:paraId="4521852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D16B4">
              <w:rPr>
                <w:rFonts w:cs="Calibri"/>
                <w:color w:val="000000"/>
              </w:rPr>
              <w:t>63.53</w:t>
            </w:r>
          </w:p>
        </w:tc>
        <w:tc>
          <w:tcPr>
            <w:tcW w:w="706" w:type="dxa"/>
            <w:shd w:val="clear" w:color="000000" w:fill="D2DDE1" w:themeFill="background2"/>
          </w:tcPr>
          <w:p w14:paraId="31FE6550"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D16B4">
              <w:rPr>
                <w:rFonts w:cs="Calibri"/>
                <w:color w:val="000000"/>
              </w:rPr>
              <w:t>55.53</w:t>
            </w:r>
          </w:p>
        </w:tc>
        <w:tc>
          <w:tcPr>
            <w:tcW w:w="729" w:type="dxa"/>
            <w:shd w:val="clear" w:color="000000" w:fill="D2DDE1" w:themeFill="background2"/>
          </w:tcPr>
          <w:p w14:paraId="07818BB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D16B4">
              <w:rPr>
                <w:rFonts w:cs="Calibri"/>
                <w:color w:val="000000"/>
              </w:rPr>
              <w:t>37.46</w:t>
            </w:r>
          </w:p>
        </w:tc>
      </w:tr>
    </w:tbl>
    <w:p w14:paraId="3C3DE4AB" w14:textId="77777777" w:rsidR="007C259A" w:rsidRPr="00BD16B4" w:rsidRDefault="007C259A" w:rsidP="00120409">
      <w:pPr>
        <w:pStyle w:val="Note"/>
      </w:pPr>
      <w:r w:rsidRPr="00BD16B4">
        <w:rPr>
          <w:b/>
          <w:bCs/>
        </w:rPr>
        <w:t>Note:</w:t>
      </w:r>
      <w:r w:rsidRPr="00BD16B4">
        <w:t xml:space="preserve"> CH</w:t>
      </w:r>
      <w:r w:rsidRPr="00BD16B4">
        <w:rPr>
          <w:vertAlign w:val="subscript"/>
        </w:rPr>
        <w:t>4</w:t>
      </w:r>
      <w:r w:rsidRPr="00BD16B4">
        <w:t xml:space="preserve"> = methane; CO</w:t>
      </w:r>
      <w:r w:rsidRPr="00BD16B4">
        <w:rPr>
          <w:vertAlign w:val="subscript"/>
        </w:rPr>
        <w:t>2</w:t>
      </w:r>
      <w:r w:rsidRPr="00BD16B4">
        <w:t xml:space="preserve"> = carbon dioxide; HFCs = hydrofluorocarbons; LULUCF = land use, land-use change and forestry; Mt CO</w:t>
      </w:r>
      <w:r w:rsidRPr="00BD16B4">
        <w:rPr>
          <w:vertAlign w:val="subscript"/>
        </w:rPr>
        <w:t>2</w:t>
      </w:r>
      <w:r w:rsidRPr="00BD16B4">
        <w:t>-e = million tonnes of carbon dioxide equivalent; NF</w:t>
      </w:r>
      <w:r w:rsidRPr="00BD16B4">
        <w:rPr>
          <w:vertAlign w:val="subscript"/>
        </w:rPr>
        <w:t>3</w:t>
      </w:r>
      <w:r w:rsidRPr="00BD16B4">
        <w:t xml:space="preserve"> = nitrogen trifluoride; NO = not occurring; N</w:t>
      </w:r>
      <w:r w:rsidRPr="00BD16B4">
        <w:rPr>
          <w:vertAlign w:val="subscript"/>
        </w:rPr>
        <w:t>2</w:t>
      </w:r>
      <w:r w:rsidRPr="00BD16B4">
        <w:t>O = nitrous oxide; PFCs = perfluorocarbons; SF</w:t>
      </w:r>
      <w:r w:rsidRPr="00BD16B4">
        <w:rPr>
          <w:vertAlign w:val="subscript"/>
        </w:rPr>
        <w:t>6</w:t>
      </w:r>
      <w:r w:rsidRPr="00BD16B4">
        <w:t xml:space="preserve"> = sulphur hexafluoride; WAM = with additional measures; WEM = with existing measures; WOM = without measures.</w:t>
      </w:r>
    </w:p>
    <w:p w14:paraId="2D7A5574" w14:textId="77777777" w:rsidR="007C259A" w:rsidRPr="00BD16B4" w:rsidRDefault="007C259A" w:rsidP="00EC76A2">
      <w:pPr>
        <w:pStyle w:val="Figureheading"/>
      </w:pPr>
      <w:bookmarkStart w:id="281" w:name="_Toc121494400"/>
      <w:r w:rsidRPr="00BD16B4">
        <w:lastRenderedPageBreak/>
        <w:t xml:space="preserve">Figure 5.3: </w:t>
      </w:r>
      <w:r w:rsidRPr="00BD16B4">
        <w:tab/>
        <w:t>Greenhouse gas emissions (and removals) for the WEM, WOM and WAM</w:t>
      </w:r>
      <w:r w:rsidRPr="00BD16B4">
        <w:br/>
        <w:t>scenarios by sector, 1990–2035</w:t>
      </w:r>
      <w:bookmarkEnd w:id="281"/>
      <w:r w:rsidRPr="00BD16B4">
        <w:t xml:space="preserve"> </w:t>
      </w:r>
    </w:p>
    <w:p w14:paraId="492D1B1B" w14:textId="77777777" w:rsidR="007C259A" w:rsidRPr="00BD16B4" w:rsidRDefault="007C259A" w:rsidP="007C259A">
      <w:pPr>
        <w:pStyle w:val="BodyText"/>
        <w:spacing w:after="240"/>
        <w:jc w:val="center"/>
        <w:rPr>
          <w:rFonts w:eastAsia="Calibri"/>
        </w:rPr>
      </w:pPr>
      <w:r w:rsidRPr="00BD16B4">
        <w:rPr>
          <w:noProof/>
        </w:rPr>
        <w:drawing>
          <wp:inline distT="0" distB="0" distL="0" distR="0" wp14:anchorId="2D331AEE" wp14:editId="1C9CF58E">
            <wp:extent cx="4610100" cy="2732432"/>
            <wp:effectExtent l="0" t="0" r="0" b="10795"/>
            <wp:docPr id="35" name="Chart 35">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275BE16" w14:textId="77777777" w:rsidR="007C259A" w:rsidRPr="00BD16B4" w:rsidRDefault="007C259A" w:rsidP="007C259A">
      <w:pPr>
        <w:pStyle w:val="BodyText"/>
        <w:spacing w:after="240"/>
        <w:jc w:val="center"/>
      </w:pPr>
      <w:r w:rsidRPr="00BD16B4">
        <w:rPr>
          <w:noProof/>
        </w:rPr>
        <w:drawing>
          <wp:inline distT="0" distB="0" distL="0" distR="0" wp14:anchorId="4C84FAF0" wp14:editId="249BA56D">
            <wp:extent cx="4610100" cy="2732432"/>
            <wp:effectExtent l="0" t="0" r="0" b="10795"/>
            <wp:docPr id="37" name="Chart 37">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A0A45AE" w14:textId="77777777" w:rsidR="007C259A" w:rsidRPr="00BD16B4" w:rsidRDefault="007C259A" w:rsidP="007C259A">
      <w:pPr>
        <w:pStyle w:val="BodyText"/>
        <w:jc w:val="center"/>
        <w:rPr>
          <w:rFonts w:eastAsia="Calibri"/>
        </w:rPr>
      </w:pPr>
      <w:r w:rsidRPr="00BD16B4">
        <w:rPr>
          <w:noProof/>
        </w:rPr>
        <w:drawing>
          <wp:inline distT="0" distB="0" distL="0" distR="0" wp14:anchorId="02261115" wp14:editId="0969F4E0">
            <wp:extent cx="4608000" cy="2731187"/>
            <wp:effectExtent l="0" t="0" r="2540" b="12065"/>
            <wp:docPr id="38" name="Chart 38">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7200F6F" w14:textId="54556207" w:rsidR="007C259A" w:rsidRPr="00BD16B4" w:rsidRDefault="00F81BDB" w:rsidP="007C259A">
      <w:pPr>
        <w:pStyle w:val="BodyText"/>
        <w:jc w:val="center"/>
        <w:rPr>
          <w:rFonts w:eastAsia="Calibri"/>
        </w:rPr>
      </w:pPr>
      <w:r w:rsidRPr="00BD16B4">
        <w:rPr>
          <w:noProof/>
        </w:rPr>
        <w:lastRenderedPageBreak/>
        <w:drawing>
          <wp:inline distT="0" distB="0" distL="0" distR="0" wp14:anchorId="6A9E7D9B" wp14:editId="6B79C2E6">
            <wp:extent cx="4572000" cy="2876190"/>
            <wp:effectExtent l="0" t="0" r="0" b="0"/>
            <wp:docPr id="56" name="Chart 56">
              <a:extLst xmlns:a="http://schemas.openxmlformats.org/drawingml/2006/main">
                <a:ext uri="{FF2B5EF4-FFF2-40B4-BE49-F238E27FC236}">
                  <a16:creationId xmlns:a16="http://schemas.microsoft.com/office/drawing/2014/main" id="{CE09EA74-B7BD-413A-9EA4-55DAB20FB7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3FCEC65" w14:textId="77777777" w:rsidR="007C259A" w:rsidRPr="00BD16B4" w:rsidRDefault="007C259A" w:rsidP="007C259A">
      <w:pPr>
        <w:pStyle w:val="BodyText"/>
        <w:jc w:val="center"/>
        <w:rPr>
          <w:rFonts w:eastAsia="Calibri"/>
        </w:rPr>
      </w:pPr>
      <w:r w:rsidRPr="00BD16B4">
        <w:rPr>
          <w:noProof/>
        </w:rPr>
        <w:drawing>
          <wp:inline distT="0" distB="0" distL="0" distR="0" wp14:anchorId="33277FC7" wp14:editId="0D5DC420">
            <wp:extent cx="4572000" cy="2709672"/>
            <wp:effectExtent l="0" t="0" r="0" b="14605"/>
            <wp:docPr id="17" name="Chart 17">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90594B8" w14:textId="77777777" w:rsidR="007C259A" w:rsidRPr="00BD16B4" w:rsidRDefault="007C259A" w:rsidP="007C259A">
      <w:pPr>
        <w:pStyle w:val="BodyText"/>
        <w:spacing w:after="80"/>
        <w:jc w:val="center"/>
        <w:rPr>
          <w:rFonts w:eastAsia="Calibri"/>
        </w:rPr>
      </w:pPr>
      <w:r w:rsidRPr="00BD16B4">
        <w:rPr>
          <w:noProof/>
        </w:rPr>
        <w:drawing>
          <wp:inline distT="0" distB="0" distL="0" distR="0" wp14:anchorId="6139A709" wp14:editId="7BC9F2EF">
            <wp:extent cx="4572000" cy="2709672"/>
            <wp:effectExtent l="0" t="0" r="0" b="14605"/>
            <wp:docPr id="40" name="Chart 40">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62708E6" w14:textId="77777777" w:rsidR="007C259A" w:rsidRPr="00BD16B4" w:rsidRDefault="007C259A" w:rsidP="00B103C6">
      <w:pPr>
        <w:pStyle w:val="Note"/>
        <w:spacing w:before="60"/>
        <w:rPr>
          <w:rFonts w:eastAsia="Calibri"/>
        </w:rPr>
      </w:pPr>
      <w:r w:rsidRPr="00BD16B4">
        <w:rPr>
          <w:rFonts w:eastAsia="Calibri"/>
          <w:b/>
        </w:rPr>
        <w:t xml:space="preserve">Note: </w:t>
      </w:r>
      <w:r w:rsidRPr="00BD16B4">
        <w:rPr>
          <w:rFonts w:eastAsia="Calibri"/>
        </w:rPr>
        <w:t>The ‘without measures’ scenario does not exclude the impact of existing policies and measures under the emissions reduction plan for waste.</w:t>
      </w:r>
    </w:p>
    <w:p w14:paraId="228D1FEC" w14:textId="77777777" w:rsidR="007C259A" w:rsidRPr="00BD16B4" w:rsidRDefault="007C259A" w:rsidP="007C259A">
      <w:pPr>
        <w:jc w:val="center"/>
        <w:rPr>
          <w:rFonts w:eastAsia="Calibri"/>
        </w:rPr>
      </w:pPr>
      <w:r w:rsidRPr="00BD16B4">
        <w:rPr>
          <w:noProof/>
        </w:rPr>
        <w:lastRenderedPageBreak/>
        <w:drawing>
          <wp:inline distT="0" distB="0" distL="0" distR="0" wp14:anchorId="0D79C5E5" wp14:editId="13A99A77">
            <wp:extent cx="4572000" cy="2700528"/>
            <wp:effectExtent l="0" t="0" r="0" b="5080"/>
            <wp:docPr id="41" name="Chart 41">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B0E5556" w14:textId="77777777" w:rsidR="007C259A" w:rsidRPr="00BD16B4" w:rsidRDefault="007C259A" w:rsidP="00B103C6">
      <w:pPr>
        <w:pStyle w:val="Note"/>
        <w:spacing w:before="60"/>
        <w:rPr>
          <w:rFonts w:eastAsia="Calibri"/>
        </w:rPr>
      </w:pPr>
      <w:r w:rsidRPr="00BD16B4">
        <w:rPr>
          <w:rFonts w:asciiTheme="minorHAnsi" w:eastAsia="Calibri" w:hAnsiTheme="minorHAnsi" w:cstheme="minorHAnsi"/>
          <w:b/>
          <w:bCs/>
          <w:szCs w:val="18"/>
        </w:rPr>
        <w:t xml:space="preserve">Note: </w:t>
      </w:r>
      <w:r w:rsidRPr="00BD16B4">
        <w:rPr>
          <w:rFonts w:asciiTheme="minorHAnsi" w:eastAsia="Calibri" w:hAnsiTheme="minorHAnsi" w:cstheme="minorHAnsi"/>
          <w:szCs w:val="18"/>
        </w:rPr>
        <w:t>y-axis varies in scale between sectors.</w:t>
      </w:r>
      <w:r w:rsidRPr="00BD16B4">
        <w:t xml:space="preserve"> IPPU = industrial processes and product use; LULUCF = land use, land</w:t>
      </w:r>
      <w:r w:rsidRPr="00BD16B4">
        <w:noBreakHyphen/>
        <w:t>use change and forestry; Mt CO</w:t>
      </w:r>
      <w:r w:rsidRPr="00BD16B4">
        <w:rPr>
          <w:vertAlign w:val="subscript"/>
        </w:rPr>
        <w:t>2</w:t>
      </w:r>
      <w:r w:rsidRPr="00BD16B4">
        <w:t>-e = million tonnes of carbon dioxide equivalent; WAM = with additional measures; WEM = with existing measures; WOM = without measures; WAM = with additional measures</w:t>
      </w:r>
      <w:r w:rsidRPr="00BD16B4">
        <w:rPr>
          <w:rFonts w:asciiTheme="minorHAnsi" w:eastAsia="Calibri" w:hAnsiTheme="minorHAnsi" w:cstheme="minorHAnsi"/>
          <w:szCs w:val="18"/>
        </w:rPr>
        <w:t>. Tokelau does not have WOM and WAM scenarios.</w:t>
      </w:r>
    </w:p>
    <w:p w14:paraId="0FEC8B5A" w14:textId="77777777" w:rsidR="007C259A" w:rsidRPr="00BD16B4" w:rsidRDefault="007C259A" w:rsidP="00EC76A2">
      <w:pPr>
        <w:pStyle w:val="Figureheading"/>
        <w:rPr>
          <w:rFonts w:eastAsia="Calibri"/>
        </w:rPr>
      </w:pPr>
      <w:bookmarkStart w:id="282" w:name="_Toc121494401"/>
      <w:r w:rsidRPr="00BD16B4">
        <w:rPr>
          <w:rFonts w:eastAsia="Calibri"/>
        </w:rPr>
        <w:t xml:space="preserve">Figure 5.4: </w:t>
      </w:r>
      <w:r w:rsidRPr="00BD16B4">
        <w:rPr>
          <w:rFonts w:eastAsia="Calibri"/>
        </w:rPr>
        <w:tab/>
        <w:t>Net greenhouse gas emissions for the WEM, WOM and WAM scenarios by gas,</w:t>
      </w:r>
      <w:r w:rsidRPr="00BD16B4">
        <w:rPr>
          <w:rFonts w:eastAsia="Calibri"/>
        </w:rPr>
        <w:br/>
        <w:t>1990–2035</w:t>
      </w:r>
      <w:bookmarkEnd w:id="282"/>
    </w:p>
    <w:p w14:paraId="00AABDA3" w14:textId="77777777" w:rsidR="007C259A" w:rsidRPr="00BD16B4" w:rsidRDefault="007C259A" w:rsidP="007C259A">
      <w:pPr>
        <w:pStyle w:val="BodyText"/>
        <w:spacing w:after="240"/>
        <w:jc w:val="center"/>
        <w:rPr>
          <w:rFonts w:eastAsia="Calibri"/>
        </w:rPr>
      </w:pPr>
      <w:r w:rsidRPr="00BD16B4">
        <w:rPr>
          <w:noProof/>
        </w:rPr>
        <w:drawing>
          <wp:inline distT="0" distB="0" distL="0" distR="0" wp14:anchorId="6C978A84" wp14:editId="0CA9C824">
            <wp:extent cx="4572000" cy="2709672"/>
            <wp:effectExtent l="0" t="0" r="0" b="14605"/>
            <wp:docPr id="42" name="Chart 42">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139C3B3" w14:textId="77777777" w:rsidR="007C259A" w:rsidRPr="00BD16B4" w:rsidRDefault="007C259A" w:rsidP="007C259A">
      <w:pPr>
        <w:pStyle w:val="BodyText"/>
        <w:jc w:val="center"/>
        <w:rPr>
          <w:rFonts w:eastAsia="Calibri"/>
        </w:rPr>
      </w:pPr>
      <w:r w:rsidRPr="00BD16B4">
        <w:rPr>
          <w:noProof/>
        </w:rPr>
        <w:lastRenderedPageBreak/>
        <w:drawing>
          <wp:inline distT="0" distB="0" distL="0" distR="0" wp14:anchorId="686FCCFD" wp14:editId="241803CB">
            <wp:extent cx="4572000" cy="2709672"/>
            <wp:effectExtent l="0" t="0" r="0" b="14605"/>
            <wp:docPr id="43" name="Chart 43">
              <a:extLst xmlns:a="http://schemas.openxmlformats.org/drawingml/2006/main">
                <a:ext uri="{FF2B5EF4-FFF2-40B4-BE49-F238E27FC236}">
                  <a16:creationId xmlns:a16="http://schemas.microsoft.com/office/drawing/2014/main" id="{C8C221B1-F7DD-4C5A-AE2B-2CA1D56BD1F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0156753" w14:textId="77777777" w:rsidR="007C259A" w:rsidRPr="00BD16B4" w:rsidRDefault="007C259A" w:rsidP="007C259A">
      <w:pPr>
        <w:pStyle w:val="BodyText"/>
        <w:spacing w:after="240"/>
        <w:jc w:val="center"/>
        <w:rPr>
          <w:rFonts w:eastAsia="Calibri"/>
        </w:rPr>
      </w:pPr>
      <w:r w:rsidRPr="00BD16B4">
        <w:rPr>
          <w:noProof/>
        </w:rPr>
        <w:drawing>
          <wp:inline distT="0" distB="0" distL="0" distR="0" wp14:anchorId="48563C37" wp14:editId="2F50F009">
            <wp:extent cx="4572000" cy="2709672"/>
            <wp:effectExtent l="0" t="0" r="0" b="14605"/>
            <wp:docPr id="44" name="Chart 44">
              <a:extLst xmlns:a="http://schemas.openxmlformats.org/drawingml/2006/main">
                <a:ext uri="{FF2B5EF4-FFF2-40B4-BE49-F238E27FC236}">
                  <a16:creationId xmlns:a16="http://schemas.microsoft.com/office/drawing/2014/main" id="{5E756DB6-CC0A-46F1-B2D6-F27729BEC73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0298A19" w14:textId="77777777" w:rsidR="007C259A" w:rsidRPr="00BD16B4" w:rsidRDefault="007C259A" w:rsidP="007C259A">
      <w:pPr>
        <w:pStyle w:val="BodyText"/>
        <w:spacing w:after="240"/>
        <w:jc w:val="center"/>
        <w:rPr>
          <w:rFonts w:eastAsia="Calibri"/>
        </w:rPr>
      </w:pPr>
      <w:r w:rsidRPr="00BD16B4">
        <w:rPr>
          <w:noProof/>
        </w:rPr>
        <w:drawing>
          <wp:inline distT="0" distB="0" distL="0" distR="0" wp14:anchorId="4F154BE1" wp14:editId="7F0CE2EE">
            <wp:extent cx="4572000" cy="2709672"/>
            <wp:effectExtent l="0" t="0" r="0" b="14605"/>
            <wp:docPr id="45" name="Chart 45">
              <a:extLst xmlns:a="http://schemas.openxmlformats.org/drawingml/2006/main">
                <a:ext uri="{FF2B5EF4-FFF2-40B4-BE49-F238E27FC236}">
                  <a16:creationId xmlns:a16="http://schemas.microsoft.com/office/drawing/2014/main" id="{8265383E-CDF2-48BE-A1DF-1C0054DF0FC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4A39FFB" w14:textId="77777777" w:rsidR="007C259A" w:rsidRPr="00BD16B4" w:rsidRDefault="007C259A" w:rsidP="007C259A">
      <w:pPr>
        <w:pStyle w:val="BodyText"/>
        <w:jc w:val="center"/>
        <w:rPr>
          <w:rFonts w:eastAsia="Calibri"/>
        </w:rPr>
      </w:pPr>
      <w:r w:rsidRPr="00BD16B4">
        <w:rPr>
          <w:noProof/>
        </w:rPr>
        <w:lastRenderedPageBreak/>
        <w:drawing>
          <wp:inline distT="0" distB="0" distL="0" distR="0" wp14:anchorId="2C6ACFC1" wp14:editId="18B0EC5E">
            <wp:extent cx="4572000" cy="2709672"/>
            <wp:effectExtent l="0" t="0" r="0" b="14605"/>
            <wp:docPr id="46" name="Chart 46">
              <a:extLst xmlns:a="http://schemas.openxmlformats.org/drawingml/2006/main">
                <a:ext uri="{FF2B5EF4-FFF2-40B4-BE49-F238E27FC236}">
                  <a16:creationId xmlns:a16="http://schemas.microsoft.com/office/drawing/2014/main" id="{D8A774A8-3AAD-4ABD-890B-C26A6887EC9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43D5FE6" w14:textId="77777777" w:rsidR="007C259A" w:rsidRPr="00BD16B4" w:rsidRDefault="007C259A" w:rsidP="007C259A">
      <w:pPr>
        <w:pStyle w:val="BodyText"/>
        <w:jc w:val="center"/>
        <w:rPr>
          <w:rFonts w:eastAsia="Calibri"/>
        </w:rPr>
      </w:pPr>
      <w:r w:rsidRPr="00BD16B4">
        <w:rPr>
          <w:noProof/>
        </w:rPr>
        <w:drawing>
          <wp:inline distT="0" distB="0" distL="0" distR="0" wp14:anchorId="5668900A" wp14:editId="046AAAD3">
            <wp:extent cx="4572000" cy="2709672"/>
            <wp:effectExtent l="0" t="0" r="0" b="14605"/>
            <wp:docPr id="34" name="Chart 34">
              <a:extLst xmlns:a="http://schemas.openxmlformats.org/drawingml/2006/main">
                <a:ext uri="{FF2B5EF4-FFF2-40B4-BE49-F238E27FC236}">
                  <a16:creationId xmlns:a16="http://schemas.microsoft.com/office/drawing/2014/main" id="{DCC1AA59-D8F8-4143-843D-4E7CF60BA34F}"/>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194D898" w14:textId="77777777" w:rsidR="007C259A" w:rsidRPr="00BD16B4" w:rsidRDefault="007C259A" w:rsidP="00B103C6">
      <w:pPr>
        <w:pStyle w:val="Note"/>
        <w:spacing w:before="40"/>
        <w:rPr>
          <w:rFonts w:eastAsia="Calibri"/>
          <w:lang w:eastAsia="en-US"/>
        </w:rPr>
      </w:pPr>
      <w:r w:rsidRPr="00BD16B4">
        <w:rPr>
          <w:rFonts w:eastAsia="Calibri"/>
          <w:b/>
          <w:bCs/>
          <w:lang w:eastAsia="en-US"/>
        </w:rPr>
        <w:t>Note:</w:t>
      </w:r>
      <w:r w:rsidRPr="00BD16B4">
        <w:rPr>
          <w:rFonts w:eastAsia="Calibri"/>
          <w:lang w:eastAsia="en-US"/>
        </w:rPr>
        <w:t xml:space="preserve"> y-axis varies in scale between gases. All gases are reported in</w:t>
      </w:r>
      <w:r w:rsidRPr="00BD16B4">
        <w:t xml:space="preserve"> million tonnes of carbon dioxide equivalent</w:t>
      </w:r>
      <w:r w:rsidRPr="00BD16B4">
        <w:rPr>
          <w:rFonts w:eastAsia="Calibri"/>
          <w:lang w:eastAsia="en-US"/>
        </w:rPr>
        <w:t xml:space="preserve"> (Mt CO</w:t>
      </w:r>
      <w:r w:rsidRPr="00BD16B4">
        <w:rPr>
          <w:rFonts w:eastAsia="Calibri"/>
          <w:vertAlign w:val="subscript"/>
          <w:lang w:eastAsia="en-US"/>
        </w:rPr>
        <w:t>2</w:t>
      </w:r>
      <w:r w:rsidRPr="00BD16B4">
        <w:rPr>
          <w:rFonts w:eastAsia="Calibri"/>
          <w:lang w:eastAsia="en-US"/>
        </w:rPr>
        <w:t>-e).</w:t>
      </w:r>
      <w:r w:rsidRPr="00BD16B4">
        <w:t xml:space="preserve"> CH</w:t>
      </w:r>
      <w:r w:rsidRPr="00BD16B4">
        <w:rPr>
          <w:vertAlign w:val="subscript"/>
        </w:rPr>
        <w:t>4</w:t>
      </w:r>
      <w:r w:rsidRPr="00BD16B4">
        <w:t xml:space="preserve"> = methane; CO</w:t>
      </w:r>
      <w:r w:rsidRPr="00BD16B4">
        <w:rPr>
          <w:vertAlign w:val="subscript"/>
        </w:rPr>
        <w:t>2</w:t>
      </w:r>
      <w:r w:rsidRPr="00BD16B4">
        <w:t xml:space="preserve"> = carbon dioxide; HFCs = hydrofluorocarbons; LULUCF = land use, land-use change and forestry; N</w:t>
      </w:r>
      <w:r w:rsidRPr="00BD16B4">
        <w:rPr>
          <w:vertAlign w:val="subscript"/>
        </w:rPr>
        <w:t>2</w:t>
      </w:r>
      <w:r w:rsidRPr="00BD16B4">
        <w:t>O = nitrous oxide; PFCs = perfluorocarbons; SF</w:t>
      </w:r>
      <w:r w:rsidRPr="00BD16B4">
        <w:rPr>
          <w:vertAlign w:val="subscript"/>
        </w:rPr>
        <w:t>6</w:t>
      </w:r>
      <w:r w:rsidRPr="00BD16B4">
        <w:t xml:space="preserve"> = sulphur hexafluoride; WAM = with additional measures; WEM = with existing measures; WOM = without measures.</w:t>
      </w:r>
    </w:p>
    <w:p w14:paraId="4645F11F" w14:textId="6B01A429" w:rsidR="007C259A" w:rsidRPr="00BD16B4" w:rsidRDefault="007C259A" w:rsidP="00B103C6">
      <w:pPr>
        <w:pStyle w:val="Heading2"/>
        <w:spacing w:before="320"/>
      </w:pPr>
      <w:bookmarkStart w:id="283" w:name="_Toc121774643"/>
      <w:r w:rsidRPr="00BD16B4">
        <w:t>5.3</w:t>
      </w:r>
      <w:r w:rsidRPr="00BD16B4">
        <w:tab/>
        <w:t>Assessment of the total effect of policies and measures</w:t>
      </w:r>
      <w:bookmarkEnd w:id="283"/>
    </w:p>
    <w:p w14:paraId="04400B0F" w14:textId="77777777" w:rsidR="007C259A" w:rsidRPr="00BD16B4" w:rsidRDefault="007C259A" w:rsidP="007C259A">
      <w:pPr>
        <w:pStyle w:val="Heading3"/>
        <w:spacing w:before="240"/>
      </w:pPr>
      <w:r w:rsidRPr="00BD16B4">
        <w:t>5.3.1</w:t>
      </w:r>
      <w:r w:rsidRPr="00BD16B4">
        <w:tab/>
        <w:t>Total effect of currently implemented and adopted policies and measures</w:t>
      </w:r>
    </w:p>
    <w:p w14:paraId="27F4E065" w14:textId="77777777" w:rsidR="007C259A" w:rsidRPr="00BD16B4" w:rsidRDefault="007C259A" w:rsidP="00B103C6">
      <w:pPr>
        <w:pStyle w:val="BodyText"/>
        <w:spacing w:before="100"/>
      </w:pPr>
      <w:r w:rsidRPr="00BD16B4">
        <w:t>The quantified effect of currently implemented and adopted policies and measures, calculated based on the difference between WOM and WEM scenarios (emissions and removals), is presented in table 5.7 by sector and table 5.8 by gas. For 2025, the total effect of currently implemented and adopted policies and measures excluding LULUCF is estimated to be a reduction of 4.2 Mt CO</w:t>
      </w:r>
      <w:r w:rsidRPr="00BD16B4">
        <w:rPr>
          <w:vertAlign w:val="subscript"/>
        </w:rPr>
        <w:t>2</w:t>
      </w:r>
      <w:r w:rsidRPr="00BD16B4">
        <w:t>-e (annual reduction, not cumulative). When LULUCF is included, the total effect in 2025 is estimated to be 11.4 Mt CO</w:t>
      </w:r>
      <w:r w:rsidRPr="00BD16B4">
        <w:rPr>
          <w:vertAlign w:val="subscript"/>
        </w:rPr>
        <w:t>2</w:t>
      </w:r>
      <w:r w:rsidRPr="00BD16B4">
        <w:t>-e. In 2035, the total effect of currently implemented and adopted policies and measures is estimated to be 10.1 Mt CO</w:t>
      </w:r>
      <w:r w:rsidRPr="00BD16B4">
        <w:rPr>
          <w:vertAlign w:val="subscript"/>
        </w:rPr>
        <w:t>2</w:t>
      </w:r>
      <w:r w:rsidRPr="00BD16B4">
        <w:t>-e (30.1 Mt CO</w:t>
      </w:r>
      <w:r w:rsidRPr="00BD16B4">
        <w:rPr>
          <w:vertAlign w:val="subscript"/>
        </w:rPr>
        <w:t>2</w:t>
      </w:r>
      <w:r w:rsidRPr="00BD16B4">
        <w:t>-e including LULUCF).</w:t>
      </w:r>
    </w:p>
    <w:p w14:paraId="78514107" w14:textId="77777777" w:rsidR="007C259A" w:rsidRPr="00BD16B4" w:rsidRDefault="007C259A" w:rsidP="00BB7302">
      <w:pPr>
        <w:pStyle w:val="Tableheading"/>
        <w:rPr>
          <w:rFonts w:eastAsia="Calibri"/>
        </w:rPr>
      </w:pPr>
      <w:bookmarkStart w:id="284" w:name="_Toc121773797"/>
      <w:r w:rsidRPr="00BD16B4">
        <w:rPr>
          <w:rFonts w:eastAsia="Calibri"/>
        </w:rPr>
        <w:lastRenderedPageBreak/>
        <w:t>Table 5.7:</w:t>
      </w:r>
      <w:r w:rsidRPr="00BD16B4">
        <w:rPr>
          <w:rFonts w:eastAsia="Calibri"/>
        </w:rPr>
        <w:tab/>
        <w:t>Total effect of current policies and measures by sector,</w:t>
      </w:r>
      <w:r w:rsidRPr="00BD16B4">
        <w:t xml:space="preserve"> 1990–2035</w:t>
      </w:r>
      <w:r w:rsidRPr="00BD16B4">
        <w:rPr>
          <w:rFonts w:eastAsia="Calibri"/>
        </w:rPr>
        <w:t xml:space="preserve"> (kt CO</w:t>
      </w:r>
      <w:r w:rsidRPr="00BD16B4">
        <w:rPr>
          <w:rFonts w:eastAsia="Calibri"/>
          <w:vertAlign w:val="subscript"/>
        </w:rPr>
        <w:t>2</w:t>
      </w:r>
      <w:r w:rsidRPr="00BD16B4">
        <w:rPr>
          <w:rFonts w:eastAsia="Calibri"/>
        </w:rPr>
        <w:noBreakHyphen/>
        <w:t>e)</w:t>
      </w:r>
      <w:bookmarkEnd w:id="284"/>
    </w:p>
    <w:tbl>
      <w:tblPr>
        <w:tblStyle w:val="LightList-Accent11"/>
        <w:tblW w:w="8505" w:type="dxa"/>
        <w:tblInd w:w="113"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shd w:val="clear" w:color="auto" w:fill="FFFFFF" w:themeFill="background1"/>
        <w:tblLayout w:type="fixed"/>
        <w:tblCellMar>
          <w:left w:w="85" w:type="dxa"/>
          <w:right w:w="85" w:type="dxa"/>
        </w:tblCellMar>
        <w:tblLook w:val="06A0" w:firstRow="1" w:lastRow="0" w:firstColumn="1" w:lastColumn="0" w:noHBand="1" w:noVBand="1"/>
      </w:tblPr>
      <w:tblGrid>
        <w:gridCol w:w="1134"/>
        <w:gridCol w:w="709"/>
        <w:gridCol w:w="709"/>
        <w:gridCol w:w="630"/>
        <w:gridCol w:w="752"/>
        <w:gridCol w:w="751"/>
        <w:gridCol w:w="751"/>
        <w:gridCol w:w="752"/>
        <w:gridCol w:w="751"/>
        <w:gridCol w:w="751"/>
        <w:gridCol w:w="815"/>
      </w:tblGrid>
      <w:tr w:rsidR="007C259A" w:rsidRPr="00BD16B4" w14:paraId="19AD3B5A" w14:textId="77777777" w:rsidTr="006A7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bottom w:val="nil"/>
              <w:right w:val="nil"/>
            </w:tcBorders>
            <w:shd w:val="clear" w:color="auto" w:fill="1B556B" w:themeFill="text2"/>
          </w:tcPr>
          <w:p w14:paraId="6038AE8A" w14:textId="77777777" w:rsidR="007C259A" w:rsidRPr="00BD16B4" w:rsidRDefault="007C259A" w:rsidP="00F31129">
            <w:pPr>
              <w:pStyle w:val="TableTextBold0"/>
              <w:spacing w:after="0"/>
              <w:rPr>
                <w:rFonts w:asciiTheme="minorHAnsi" w:hAnsiTheme="minorHAnsi" w:cstheme="minorHAnsi"/>
                <w:b/>
                <w:bCs w:val="0"/>
                <w:szCs w:val="18"/>
              </w:rPr>
            </w:pPr>
          </w:p>
        </w:tc>
        <w:tc>
          <w:tcPr>
            <w:tcW w:w="5054" w:type="dxa"/>
            <w:gridSpan w:val="7"/>
            <w:tcBorders>
              <w:left w:val="nil"/>
              <w:bottom w:val="nil"/>
              <w:right w:val="nil"/>
            </w:tcBorders>
            <w:shd w:val="clear" w:color="auto" w:fill="1B556B" w:themeFill="text2"/>
          </w:tcPr>
          <w:p w14:paraId="798CCDDA" w14:textId="77777777" w:rsidR="007C259A" w:rsidRPr="00BD16B4" w:rsidRDefault="007C259A" w:rsidP="00F31129">
            <w:pPr>
              <w:pStyle w:val="TableTextBold0"/>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BD16B4">
              <w:rPr>
                <w:rFonts w:asciiTheme="minorHAnsi" w:hAnsiTheme="minorHAnsi" w:cstheme="minorHAnsi"/>
                <w:b/>
                <w:bCs w:val="0"/>
                <w:szCs w:val="18"/>
              </w:rPr>
              <w:t>Historical</w:t>
            </w:r>
          </w:p>
        </w:tc>
        <w:tc>
          <w:tcPr>
            <w:tcW w:w="2317" w:type="dxa"/>
            <w:gridSpan w:val="3"/>
            <w:tcBorders>
              <w:left w:val="nil"/>
              <w:bottom w:val="nil"/>
            </w:tcBorders>
            <w:shd w:val="clear" w:color="auto" w:fill="1B556B" w:themeFill="text2"/>
          </w:tcPr>
          <w:p w14:paraId="29C22FB7" w14:textId="77777777" w:rsidR="007C259A" w:rsidRPr="00BD16B4" w:rsidRDefault="007C259A" w:rsidP="00F31129">
            <w:pPr>
              <w:pStyle w:val="TableTextBold0"/>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szCs w:val="18"/>
              </w:rPr>
            </w:pPr>
            <w:r w:rsidRPr="00BD16B4">
              <w:rPr>
                <w:rFonts w:asciiTheme="minorHAnsi" w:hAnsiTheme="minorHAnsi" w:cstheme="minorHAnsi"/>
                <w:b/>
                <w:bCs w:val="0"/>
                <w:szCs w:val="18"/>
              </w:rPr>
              <w:t>Projected</w:t>
            </w:r>
          </w:p>
        </w:tc>
      </w:tr>
      <w:tr w:rsidR="007C259A" w:rsidRPr="00BD16B4" w14:paraId="5EEDE037" w14:textId="77777777" w:rsidTr="006A7AF1">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nil"/>
              <w:right w:val="nil"/>
            </w:tcBorders>
            <w:shd w:val="clear" w:color="auto" w:fill="1B556B" w:themeFill="text2"/>
          </w:tcPr>
          <w:p w14:paraId="25CAA431" w14:textId="77777777" w:rsidR="007C259A" w:rsidRPr="00BD16B4" w:rsidRDefault="007C259A" w:rsidP="00F31129">
            <w:pPr>
              <w:pStyle w:val="TableTextBold0"/>
              <w:spacing w:before="20"/>
              <w:rPr>
                <w:rFonts w:asciiTheme="minorHAnsi" w:hAnsiTheme="minorHAnsi" w:cstheme="minorHAnsi"/>
                <w:b/>
                <w:color w:val="FFFFFF" w:themeColor="background1"/>
                <w:szCs w:val="18"/>
              </w:rPr>
            </w:pPr>
            <w:r w:rsidRPr="00BD16B4">
              <w:rPr>
                <w:rFonts w:asciiTheme="minorHAnsi" w:hAnsiTheme="minorHAnsi" w:cstheme="minorHAnsi"/>
                <w:b/>
                <w:color w:val="FFFFFF" w:themeColor="background1"/>
                <w:szCs w:val="18"/>
              </w:rPr>
              <w:t>Sector</w:t>
            </w:r>
          </w:p>
        </w:tc>
        <w:tc>
          <w:tcPr>
            <w:tcW w:w="709" w:type="dxa"/>
            <w:tcBorders>
              <w:top w:val="nil"/>
              <w:left w:val="nil"/>
              <w:bottom w:val="nil"/>
              <w:right w:val="nil"/>
            </w:tcBorders>
            <w:shd w:val="clear" w:color="auto" w:fill="1B556B" w:themeFill="text2"/>
          </w:tcPr>
          <w:p w14:paraId="6A09C3FD" w14:textId="77777777" w:rsidR="007C259A" w:rsidRPr="00BD16B4" w:rsidRDefault="007C259A" w:rsidP="00F31129">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D16B4">
              <w:rPr>
                <w:rFonts w:asciiTheme="minorHAnsi" w:hAnsiTheme="minorHAnsi" w:cstheme="minorHAnsi"/>
                <w:bCs/>
                <w:color w:val="FFFFFF" w:themeColor="background1"/>
                <w:szCs w:val="18"/>
              </w:rPr>
              <w:t>1990</w:t>
            </w:r>
          </w:p>
        </w:tc>
        <w:tc>
          <w:tcPr>
            <w:tcW w:w="709" w:type="dxa"/>
            <w:tcBorders>
              <w:top w:val="nil"/>
              <w:left w:val="nil"/>
              <w:bottom w:val="nil"/>
              <w:right w:val="nil"/>
            </w:tcBorders>
            <w:shd w:val="clear" w:color="auto" w:fill="1B556B" w:themeFill="text2"/>
          </w:tcPr>
          <w:p w14:paraId="13B0B919" w14:textId="77777777" w:rsidR="007C259A" w:rsidRPr="00BD16B4" w:rsidRDefault="007C259A" w:rsidP="00F31129">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D16B4">
              <w:rPr>
                <w:rFonts w:asciiTheme="minorHAnsi" w:hAnsiTheme="minorHAnsi" w:cstheme="minorHAnsi"/>
                <w:bCs/>
                <w:color w:val="FFFFFF" w:themeColor="background1"/>
                <w:szCs w:val="18"/>
              </w:rPr>
              <w:t>1995</w:t>
            </w:r>
          </w:p>
        </w:tc>
        <w:tc>
          <w:tcPr>
            <w:tcW w:w="630" w:type="dxa"/>
            <w:tcBorders>
              <w:top w:val="nil"/>
              <w:left w:val="nil"/>
              <w:bottom w:val="nil"/>
              <w:right w:val="nil"/>
            </w:tcBorders>
            <w:shd w:val="clear" w:color="auto" w:fill="1B556B" w:themeFill="text2"/>
          </w:tcPr>
          <w:p w14:paraId="7DB9B50B" w14:textId="77777777" w:rsidR="007C259A" w:rsidRPr="00BD16B4" w:rsidRDefault="007C259A" w:rsidP="00F31129">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D16B4">
              <w:rPr>
                <w:rFonts w:asciiTheme="minorHAnsi" w:hAnsiTheme="minorHAnsi" w:cstheme="minorHAnsi"/>
                <w:bCs/>
                <w:color w:val="FFFFFF" w:themeColor="background1"/>
                <w:szCs w:val="18"/>
              </w:rPr>
              <w:t>2000</w:t>
            </w:r>
          </w:p>
        </w:tc>
        <w:tc>
          <w:tcPr>
            <w:tcW w:w="752" w:type="dxa"/>
            <w:tcBorders>
              <w:top w:val="nil"/>
              <w:left w:val="nil"/>
              <w:bottom w:val="nil"/>
              <w:right w:val="nil"/>
            </w:tcBorders>
            <w:shd w:val="clear" w:color="auto" w:fill="1B556B" w:themeFill="text2"/>
          </w:tcPr>
          <w:p w14:paraId="58635357" w14:textId="77777777" w:rsidR="007C259A" w:rsidRPr="00BD16B4" w:rsidRDefault="007C259A" w:rsidP="00F31129">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D16B4">
              <w:rPr>
                <w:rFonts w:asciiTheme="minorHAnsi" w:hAnsiTheme="minorHAnsi" w:cstheme="minorHAnsi"/>
                <w:bCs/>
                <w:color w:val="FFFFFF" w:themeColor="background1"/>
                <w:szCs w:val="18"/>
              </w:rPr>
              <w:t>2005</w:t>
            </w:r>
          </w:p>
        </w:tc>
        <w:tc>
          <w:tcPr>
            <w:tcW w:w="751" w:type="dxa"/>
            <w:tcBorders>
              <w:top w:val="nil"/>
              <w:left w:val="nil"/>
              <w:bottom w:val="nil"/>
              <w:right w:val="nil"/>
            </w:tcBorders>
            <w:shd w:val="clear" w:color="auto" w:fill="1B556B" w:themeFill="text2"/>
          </w:tcPr>
          <w:p w14:paraId="7581239E" w14:textId="77777777" w:rsidR="007C259A" w:rsidRPr="00BD16B4" w:rsidRDefault="007C259A" w:rsidP="00F31129">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D16B4">
              <w:rPr>
                <w:rFonts w:asciiTheme="minorHAnsi" w:hAnsiTheme="minorHAnsi" w:cstheme="minorHAnsi"/>
                <w:bCs/>
                <w:color w:val="FFFFFF" w:themeColor="background1"/>
                <w:szCs w:val="18"/>
              </w:rPr>
              <w:t>2010</w:t>
            </w:r>
          </w:p>
        </w:tc>
        <w:tc>
          <w:tcPr>
            <w:tcW w:w="751" w:type="dxa"/>
            <w:tcBorders>
              <w:top w:val="nil"/>
              <w:left w:val="nil"/>
              <w:bottom w:val="nil"/>
              <w:right w:val="nil"/>
            </w:tcBorders>
            <w:shd w:val="clear" w:color="auto" w:fill="1B556B" w:themeFill="text2"/>
          </w:tcPr>
          <w:p w14:paraId="76405DA1" w14:textId="77777777" w:rsidR="007C259A" w:rsidRPr="00BD16B4" w:rsidRDefault="007C259A" w:rsidP="00F31129">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D16B4">
              <w:rPr>
                <w:rFonts w:asciiTheme="minorHAnsi" w:hAnsiTheme="minorHAnsi" w:cstheme="minorHAnsi"/>
                <w:bCs/>
                <w:color w:val="FFFFFF" w:themeColor="background1"/>
                <w:szCs w:val="18"/>
              </w:rPr>
              <w:t>2015</w:t>
            </w:r>
          </w:p>
        </w:tc>
        <w:tc>
          <w:tcPr>
            <w:tcW w:w="752" w:type="dxa"/>
            <w:tcBorders>
              <w:top w:val="nil"/>
              <w:left w:val="nil"/>
              <w:bottom w:val="nil"/>
              <w:right w:val="nil"/>
            </w:tcBorders>
            <w:shd w:val="clear" w:color="auto" w:fill="1B556B" w:themeFill="text2"/>
          </w:tcPr>
          <w:p w14:paraId="1E54E5CC" w14:textId="77777777" w:rsidR="007C259A" w:rsidRPr="00BD16B4" w:rsidRDefault="007C259A" w:rsidP="00F31129">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D16B4">
              <w:rPr>
                <w:rFonts w:asciiTheme="minorHAnsi" w:hAnsiTheme="minorHAnsi" w:cstheme="minorHAnsi"/>
                <w:bCs/>
                <w:color w:val="FFFFFF" w:themeColor="background1"/>
                <w:szCs w:val="18"/>
              </w:rPr>
              <w:t>2020</w:t>
            </w:r>
          </w:p>
        </w:tc>
        <w:tc>
          <w:tcPr>
            <w:tcW w:w="751" w:type="dxa"/>
            <w:tcBorders>
              <w:top w:val="nil"/>
              <w:left w:val="nil"/>
              <w:bottom w:val="nil"/>
              <w:right w:val="nil"/>
            </w:tcBorders>
            <w:shd w:val="clear" w:color="auto" w:fill="1B556B" w:themeFill="text2"/>
          </w:tcPr>
          <w:p w14:paraId="3A0083C6" w14:textId="77777777" w:rsidR="007C259A" w:rsidRPr="00BD16B4" w:rsidRDefault="007C259A" w:rsidP="00F31129">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D16B4">
              <w:rPr>
                <w:rFonts w:asciiTheme="minorHAnsi" w:hAnsiTheme="minorHAnsi" w:cstheme="minorHAnsi"/>
                <w:bCs/>
                <w:color w:val="FFFFFF" w:themeColor="background1"/>
                <w:szCs w:val="18"/>
              </w:rPr>
              <w:t>2025</w:t>
            </w:r>
          </w:p>
        </w:tc>
        <w:tc>
          <w:tcPr>
            <w:tcW w:w="751" w:type="dxa"/>
            <w:tcBorders>
              <w:top w:val="nil"/>
              <w:left w:val="nil"/>
              <w:bottom w:val="nil"/>
              <w:right w:val="nil"/>
            </w:tcBorders>
            <w:shd w:val="clear" w:color="auto" w:fill="1B556B" w:themeFill="text2"/>
          </w:tcPr>
          <w:p w14:paraId="40CC1367" w14:textId="77777777" w:rsidR="007C259A" w:rsidRPr="00BD16B4" w:rsidRDefault="007C259A" w:rsidP="00F31129">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D16B4">
              <w:rPr>
                <w:rFonts w:asciiTheme="minorHAnsi" w:hAnsiTheme="minorHAnsi" w:cstheme="minorHAnsi"/>
                <w:bCs/>
                <w:color w:val="FFFFFF" w:themeColor="background1"/>
                <w:szCs w:val="18"/>
              </w:rPr>
              <w:t>2030</w:t>
            </w:r>
          </w:p>
        </w:tc>
        <w:tc>
          <w:tcPr>
            <w:tcW w:w="815" w:type="dxa"/>
            <w:tcBorders>
              <w:top w:val="nil"/>
              <w:left w:val="nil"/>
              <w:bottom w:val="nil"/>
              <w:right w:val="nil"/>
            </w:tcBorders>
            <w:shd w:val="clear" w:color="auto" w:fill="1B556B" w:themeFill="text2"/>
          </w:tcPr>
          <w:p w14:paraId="70113367" w14:textId="77777777" w:rsidR="007C259A" w:rsidRPr="00BD16B4" w:rsidRDefault="007C259A" w:rsidP="00F31129">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D16B4">
              <w:rPr>
                <w:rFonts w:asciiTheme="minorHAnsi" w:hAnsiTheme="minorHAnsi" w:cstheme="minorHAnsi"/>
                <w:bCs/>
                <w:color w:val="FFFFFF" w:themeColor="background1"/>
                <w:szCs w:val="18"/>
              </w:rPr>
              <w:t>2035</w:t>
            </w:r>
          </w:p>
        </w:tc>
      </w:tr>
      <w:tr w:rsidR="007C259A" w:rsidRPr="00BD16B4" w14:paraId="15D40BD3" w14:textId="77777777" w:rsidTr="00B103C6">
        <w:tc>
          <w:tcPr>
            <w:cnfStyle w:val="001000000000" w:firstRow="0" w:lastRow="0" w:firstColumn="1" w:lastColumn="0" w:oddVBand="0" w:evenVBand="0" w:oddHBand="0" w:evenHBand="0" w:firstRowFirstColumn="0" w:firstRowLastColumn="0" w:lastRowFirstColumn="0" w:lastRowLastColumn="0"/>
            <w:tcW w:w="1134" w:type="dxa"/>
            <w:tcBorders>
              <w:top w:val="nil"/>
            </w:tcBorders>
            <w:shd w:val="clear" w:color="auto" w:fill="FFFFFF" w:themeFill="background1"/>
          </w:tcPr>
          <w:p w14:paraId="66BF8A1A" w14:textId="77777777" w:rsidR="007C259A" w:rsidRPr="00BD16B4" w:rsidRDefault="007C259A" w:rsidP="00F31129">
            <w:pPr>
              <w:pStyle w:val="TableText"/>
              <w:spacing w:before="50" w:after="50"/>
              <w:rPr>
                <w:b w:val="0"/>
                <w:bCs w:val="0"/>
              </w:rPr>
            </w:pPr>
            <w:r w:rsidRPr="00BD16B4">
              <w:rPr>
                <w:b w:val="0"/>
                <w:bCs w:val="0"/>
              </w:rPr>
              <w:t>Energy</w:t>
            </w:r>
          </w:p>
        </w:tc>
        <w:tc>
          <w:tcPr>
            <w:tcW w:w="709" w:type="dxa"/>
            <w:tcBorders>
              <w:top w:val="nil"/>
            </w:tcBorders>
            <w:shd w:val="clear" w:color="auto" w:fill="FFFFFF" w:themeFill="background1"/>
          </w:tcPr>
          <w:p w14:paraId="5D21E56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709" w:type="dxa"/>
            <w:tcBorders>
              <w:top w:val="nil"/>
            </w:tcBorders>
            <w:shd w:val="clear" w:color="auto" w:fill="FFFFFF" w:themeFill="background1"/>
          </w:tcPr>
          <w:p w14:paraId="786A981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0</w:t>
            </w:r>
          </w:p>
        </w:tc>
        <w:tc>
          <w:tcPr>
            <w:tcW w:w="630" w:type="dxa"/>
            <w:tcBorders>
              <w:top w:val="nil"/>
            </w:tcBorders>
            <w:shd w:val="clear" w:color="auto" w:fill="FFFFFF" w:themeFill="background1"/>
          </w:tcPr>
          <w:p w14:paraId="2C59142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0</w:t>
            </w:r>
          </w:p>
        </w:tc>
        <w:tc>
          <w:tcPr>
            <w:tcW w:w="752" w:type="dxa"/>
            <w:tcBorders>
              <w:top w:val="nil"/>
            </w:tcBorders>
            <w:shd w:val="clear" w:color="auto" w:fill="FFFFFF" w:themeFill="background1"/>
          </w:tcPr>
          <w:p w14:paraId="7067E52D"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0</w:t>
            </w:r>
          </w:p>
        </w:tc>
        <w:tc>
          <w:tcPr>
            <w:tcW w:w="751" w:type="dxa"/>
            <w:tcBorders>
              <w:top w:val="nil"/>
            </w:tcBorders>
            <w:shd w:val="clear" w:color="auto" w:fill="FFFFFF" w:themeFill="background1"/>
          </w:tcPr>
          <w:p w14:paraId="5CCFDF9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0</w:t>
            </w:r>
          </w:p>
        </w:tc>
        <w:tc>
          <w:tcPr>
            <w:tcW w:w="751" w:type="dxa"/>
            <w:tcBorders>
              <w:top w:val="nil"/>
            </w:tcBorders>
            <w:shd w:val="clear" w:color="auto" w:fill="FFFFFF" w:themeFill="background1"/>
          </w:tcPr>
          <w:p w14:paraId="2DC1819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0</w:t>
            </w:r>
          </w:p>
        </w:tc>
        <w:tc>
          <w:tcPr>
            <w:tcW w:w="752" w:type="dxa"/>
            <w:tcBorders>
              <w:top w:val="nil"/>
            </w:tcBorders>
            <w:shd w:val="clear" w:color="auto" w:fill="FFFFFF" w:themeFill="background1"/>
          </w:tcPr>
          <w:p w14:paraId="7395609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0</w:t>
            </w:r>
          </w:p>
        </w:tc>
        <w:tc>
          <w:tcPr>
            <w:tcW w:w="751" w:type="dxa"/>
            <w:tcBorders>
              <w:top w:val="nil"/>
            </w:tcBorders>
            <w:shd w:val="clear" w:color="auto" w:fill="D2DDE1" w:themeFill="background2"/>
          </w:tcPr>
          <w:p w14:paraId="44A829F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2,323</w:t>
            </w:r>
          </w:p>
        </w:tc>
        <w:tc>
          <w:tcPr>
            <w:tcW w:w="751" w:type="dxa"/>
            <w:tcBorders>
              <w:top w:val="nil"/>
            </w:tcBorders>
            <w:shd w:val="clear" w:color="auto" w:fill="D2DDE1" w:themeFill="background2"/>
          </w:tcPr>
          <w:p w14:paraId="025E0AB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4,002</w:t>
            </w:r>
          </w:p>
        </w:tc>
        <w:tc>
          <w:tcPr>
            <w:tcW w:w="815" w:type="dxa"/>
            <w:tcBorders>
              <w:top w:val="nil"/>
            </w:tcBorders>
            <w:shd w:val="clear" w:color="auto" w:fill="D2DDE1" w:themeFill="background2"/>
          </w:tcPr>
          <w:p w14:paraId="6CCD2A1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4,996</w:t>
            </w:r>
          </w:p>
        </w:tc>
      </w:tr>
      <w:tr w:rsidR="007C259A" w:rsidRPr="00BD16B4" w14:paraId="5CE403FD" w14:textId="77777777" w:rsidTr="00B103C6">
        <w:tc>
          <w:tcPr>
            <w:cnfStyle w:val="001000000000" w:firstRow="0" w:lastRow="0" w:firstColumn="1" w:lastColumn="0" w:oddVBand="0" w:evenVBand="0" w:oddHBand="0" w:evenHBand="0" w:firstRowFirstColumn="0" w:firstRowLastColumn="0" w:lastRowFirstColumn="0" w:lastRowLastColumn="0"/>
            <w:tcW w:w="1134" w:type="dxa"/>
            <w:tcBorders>
              <w:left w:val="nil"/>
            </w:tcBorders>
            <w:shd w:val="clear" w:color="auto" w:fill="FFFFFF" w:themeFill="background1"/>
          </w:tcPr>
          <w:p w14:paraId="02D65DDF" w14:textId="77777777" w:rsidR="007C259A" w:rsidRPr="00BD16B4" w:rsidRDefault="007C259A" w:rsidP="00F31129">
            <w:pPr>
              <w:pStyle w:val="TableText"/>
              <w:spacing w:before="50" w:after="50"/>
              <w:rPr>
                <w:b w:val="0"/>
                <w:bCs w:val="0"/>
              </w:rPr>
            </w:pPr>
            <w:r w:rsidRPr="00BD16B4">
              <w:rPr>
                <w:b w:val="0"/>
                <w:bCs w:val="0"/>
              </w:rPr>
              <w:t>Transport</w:t>
            </w:r>
          </w:p>
        </w:tc>
        <w:tc>
          <w:tcPr>
            <w:tcW w:w="709" w:type="dxa"/>
            <w:shd w:val="clear" w:color="auto" w:fill="FFFFFF" w:themeFill="background1"/>
          </w:tcPr>
          <w:p w14:paraId="74DBDAA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709" w:type="dxa"/>
            <w:shd w:val="clear" w:color="auto" w:fill="FFFFFF" w:themeFill="background1"/>
          </w:tcPr>
          <w:p w14:paraId="3160EE3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0</w:t>
            </w:r>
          </w:p>
        </w:tc>
        <w:tc>
          <w:tcPr>
            <w:tcW w:w="630" w:type="dxa"/>
            <w:shd w:val="clear" w:color="auto" w:fill="FFFFFF" w:themeFill="background1"/>
          </w:tcPr>
          <w:p w14:paraId="6E9EF2B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0</w:t>
            </w:r>
          </w:p>
        </w:tc>
        <w:tc>
          <w:tcPr>
            <w:tcW w:w="752" w:type="dxa"/>
            <w:shd w:val="clear" w:color="auto" w:fill="FFFFFF" w:themeFill="background1"/>
          </w:tcPr>
          <w:p w14:paraId="62D24EA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0</w:t>
            </w:r>
          </w:p>
        </w:tc>
        <w:tc>
          <w:tcPr>
            <w:tcW w:w="751" w:type="dxa"/>
            <w:shd w:val="clear" w:color="auto" w:fill="FFFFFF" w:themeFill="background1"/>
          </w:tcPr>
          <w:p w14:paraId="3920B71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0</w:t>
            </w:r>
          </w:p>
        </w:tc>
        <w:tc>
          <w:tcPr>
            <w:tcW w:w="751" w:type="dxa"/>
            <w:shd w:val="clear" w:color="auto" w:fill="FFFFFF" w:themeFill="background1"/>
          </w:tcPr>
          <w:p w14:paraId="371C8CF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0</w:t>
            </w:r>
          </w:p>
        </w:tc>
        <w:tc>
          <w:tcPr>
            <w:tcW w:w="752" w:type="dxa"/>
            <w:shd w:val="clear" w:color="auto" w:fill="FFFFFF" w:themeFill="background1"/>
          </w:tcPr>
          <w:p w14:paraId="5D591F5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0</w:t>
            </w:r>
          </w:p>
        </w:tc>
        <w:tc>
          <w:tcPr>
            <w:tcW w:w="751" w:type="dxa"/>
            <w:shd w:val="clear" w:color="auto" w:fill="D2DDE1" w:themeFill="background2"/>
          </w:tcPr>
          <w:p w14:paraId="3F13781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218</w:t>
            </w:r>
          </w:p>
        </w:tc>
        <w:tc>
          <w:tcPr>
            <w:tcW w:w="751" w:type="dxa"/>
            <w:shd w:val="clear" w:color="auto" w:fill="D2DDE1" w:themeFill="background2"/>
          </w:tcPr>
          <w:p w14:paraId="68F2C20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434</w:t>
            </w:r>
          </w:p>
        </w:tc>
        <w:tc>
          <w:tcPr>
            <w:tcW w:w="815" w:type="dxa"/>
            <w:tcBorders>
              <w:right w:val="nil"/>
            </w:tcBorders>
            <w:shd w:val="clear" w:color="auto" w:fill="D2DDE1" w:themeFill="background2"/>
          </w:tcPr>
          <w:p w14:paraId="440A5EC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657</w:t>
            </w:r>
          </w:p>
        </w:tc>
      </w:tr>
      <w:tr w:rsidR="007C259A" w:rsidRPr="00BD16B4" w14:paraId="2A57A5C3" w14:textId="77777777" w:rsidTr="00B103C6">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14:paraId="3279E41E" w14:textId="77777777" w:rsidR="007C259A" w:rsidRPr="00BD16B4" w:rsidRDefault="007C259A" w:rsidP="00F31129">
            <w:pPr>
              <w:pStyle w:val="TableText"/>
              <w:spacing w:before="50" w:after="50"/>
              <w:rPr>
                <w:b w:val="0"/>
                <w:bCs w:val="0"/>
              </w:rPr>
            </w:pPr>
            <w:r w:rsidRPr="00BD16B4">
              <w:rPr>
                <w:b w:val="0"/>
                <w:bCs w:val="0"/>
              </w:rPr>
              <w:t>IPPU</w:t>
            </w:r>
          </w:p>
        </w:tc>
        <w:tc>
          <w:tcPr>
            <w:tcW w:w="709" w:type="dxa"/>
            <w:shd w:val="clear" w:color="auto" w:fill="FFFFFF" w:themeFill="background1"/>
          </w:tcPr>
          <w:p w14:paraId="0931194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709" w:type="dxa"/>
            <w:shd w:val="clear" w:color="auto" w:fill="FFFFFF" w:themeFill="background1"/>
          </w:tcPr>
          <w:p w14:paraId="3BA2C1F5"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7</w:t>
            </w:r>
          </w:p>
        </w:tc>
        <w:tc>
          <w:tcPr>
            <w:tcW w:w="630" w:type="dxa"/>
            <w:shd w:val="clear" w:color="auto" w:fill="FFFFFF" w:themeFill="background1"/>
          </w:tcPr>
          <w:p w14:paraId="6DF7AAB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10</w:t>
            </w:r>
          </w:p>
        </w:tc>
        <w:tc>
          <w:tcPr>
            <w:tcW w:w="752" w:type="dxa"/>
            <w:shd w:val="clear" w:color="auto" w:fill="FFFFFF" w:themeFill="background1"/>
          </w:tcPr>
          <w:p w14:paraId="515C4E9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–18</w:t>
            </w:r>
          </w:p>
        </w:tc>
        <w:tc>
          <w:tcPr>
            <w:tcW w:w="751" w:type="dxa"/>
            <w:shd w:val="clear" w:color="auto" w:fill="FFFFFF" w:themeFill="background1"/>
          </w:tcPr>
          <w:p w14:paraId="5D3F240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–34</w:t>
            </w:r>
          </w:p>
        </w:tc>
        <w:tc>
          <w:tcPr>
            <w:tcW w:w="751" w:type="dxa"/>
            <w:shd w:val="clear" w:color="auto" w:fill="FFFFFF" w:themeFill="background1"/>
          </w:tcPr>
          <w:p w14:paraId="5A57384D"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–10</w:t>
            </w:r>
          </w:p>
        </w:tc>
        <w:tc>
          <w:tcPr>
            <w:tcW w:w="752" w:type="dxa"/>
            <w:shd w:val="clear" w:color="auto" w:fill="FFFFFF" w:themeFill="background1"/>
          </w:tcPr>
          <w:p w14:paraId="5F17CE8B"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–9</w:t>
            </w:r>
          </w:p>
        </w:tc>
        <w:tc>
          <w:tcPr>
            <w:tcW w:w="751" w:type="dxa"/>
            <w:shd w:val="clear" w:color="auto" w:fill="D2DDE1" w:themeFill="background2"/>
          </w:tcPr>
          <w:p w14:paraId="2F5B8BE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227</w:t>
            </w:r>
          </w:p>
        </w:tc>
        <w:tc>
          <w:tcPr>
            <w:tcW w:w="751" w:type="dxa"/>
            <w:shd w:val="clear" w:color="auto" w:fill="D2DDE1" w:themeFill="background2"/>
          </w:tcPr>
          <w:p w14:paraId="6612FBD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311</w:t>
            </w:r>
          </w:p>
        </w:tc>
        <w:tc>
          <w:tcPr>
            <w:tcW w:w="815" w:type="dxa"/>
            <w:shd w:val="clear" w:color="auto" w:fill="D2DDE1" w:themeFill="background2"/>
          </w:tcPr>
          <w:p w14:paraId="0154B95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383</w:t>
            </w:r>
          </w:p>
        </w:tc>
      </w:tr>
      <w:tr w:rsidR="007C259A" w:rsidRPr="00BD16B4" w14:paraId="4DAA79A1" w14:textId="77777777" w:rsidTr="00B103C6">
        <w:tc>
          <w:tcPr>
            <w:cnfStyle w:val="001000000000" w:firstRow="0" w:lastRow="0" w:firstColumn="1" w:lastColumn="0" w:oddVBand="0" w:evenVBand="0" w:oddHBand="0" w:evenHBand="0" w:firstRowFirstColumn="0" w:firstRowLastColumn="0" w:lastRowFirstColumn="0" w:lastRowLastColumn="0"/>
            <w:tcW w:w="1134" w:type="dxa"/>
            <w:tcBorders>
              <w:left w:val="nil"/>
            </w:tcBorders>
            <w:shd w:val="clear" w:color="auto" w:fill="FFFFFF" w:themeFill="background1"/>
          </w:tcPr>
          <w:p w14:paraId="7F7EEB2D" w14:textId="77777777" w:rsidR="007C259A" w:rsidRPr="00BD16B4" w:rsidRDefault="007C259A" w:rsidP="00F31129">
            <w:pPr>
              <w:pStyle w:val="TableText"/>
              <w:spacing w:before="50" w:after="50"/>
              <w:rPr>
                <w:b w:val="0"/>
                <w:bCs w:val="0"/>
              </w:rPr>
            </w:pPr>
            <w:r w:rsidRPr="00BD16B4">
              <w:rPr>
                <w:b w:val="0"/>
                <w:bCs w:val="0"/>
              </w:rPr>
              <w:t>Agriculture</w:t>
            </w:r>
          </w:p>
        </w:tc>
        <w:tc>
          <w:tcPr>
            <w:tcW w:w="709" w:type="dxa"/>
            <w:shd w:val="clear" w:color="auto" w:fill="FFFFFF" w:themeFill="background1"/>
          </w:tcPr>
          <w:p w14:paraId="431111AD"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709" w:type="dxa"/>
            <w:shd w:val="clear" w:color="auto" w:fill="FFFFFF" w:themeFill="background1"/>
          </w:tcPr>
          <w:p w14:paraId="00DFE08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0</w:t>
            </w:r>
          </w:p>
        </w:tc>
        <w:tc>
          <w:tcPr>
            <w:tcW w:w="630" w:type="dxa"/>
            <w:shd w:val="clear" w:color="auto" w:fill="FFFFFF" w:themeFill="background1"/>
          </w:tcPr>
          <w:p w14:paraId="27B499B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0</w:t>
            </w:r>
          </w:p>
        </w:tc>
        <w:tc>
          <w:tcPr>
            <w:tcW w:w="752" w:type="dxa"/>
            <w:shd w:val="clear" w:color="auto" w:fill="FFFFFF" w:themeFill="background1"/>
          </w:tcPr>
          <w:p w14:paraId="5679EE0D"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0</w:t>
            </w:r>
          </w:p>
        </w:tc>
        <w:tc>
          <w:tcPr>
            <w:tcW w:w="751" w:type="dxa"/>
            <w:shd w:val="clear" w:color="auto" w:fill="FFFFFF" w:themeFill="background1"/>
          </w:tcPr>
          <w:p w14:paraId="1EAE55A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0</w:t>
            </w:r>
          </w:p>
        </w:tc>
        <w:tc>
          <w:tcPr>
            <w:tcW w:w="751" w:type="dxa"/>
            <w:shd w:val="clear" w:color="auto" w:fill="FFFFFF" w:themeFill="background1"/>
          </w:tcPr>
          <w:p w14:paraId="2117EF09"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146</w:t>
            </w:r>
          </w:p>
        </w:tc>
        <w:tc>
          <w:tcPr>
            <w:tcW w:w="752" w:type="dxa"/>
            <w:shd w:val="clear" w:color="auto" w:fill="FFFFFF" w:themeFill="background1"/>
          </w:tcPr>
          <w:p w14:paraId="2E39F52D"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396</w:t>
            </w:r>
          </w:p>
        </w:tc>
        <w:tc>
          <w:tcPr>
            <w:tcW w:w="751" w:type="dxa"/>
            <w:shd w:val="clear" w:color="auto" w:fill="D2DDE1" w:themeFill="background2"/>
          </w:tcPr>
          <w:p w14:paraId="007F8F1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793</w:t>
            </w:r>
          </w:p>
        </w:tc>
        <w:tc>
          <w:tcPr>
            <w:tcW w:w="751" w:type="dxa"/>
            <w:shd w:val="clear" w:color="auto" w:fill="D2DDE1" w:themeFill="background2"/>
          </w:tcPr>
          <w:p w14:paraId="38A0899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2,048</w:t>
            </w:r>
          </w:p>
        </w:tc>
        <w:tc>
          <w:tcPr>
            <w:tcW w:w="815" w:type="dxa"/>
            <w:tcBorders>
              <w:right w:val="nil"/>
            </w:tcBorders>
            <w:shd w:val="clear" w:color="auto" w:fill="D2DDE1" w:themeFill="background2"/>
          </w:tcPr>
          <w:p w14:paraId="01CA6C5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themeColor="text1"/>
              </w:rPr>
              <w:t>3,267</w:t>
            </w:r>
          </w:p>
        </w:tc>
      </w:tr>
      <w:tr w:rsidR="007C259A" w:rsidRPr="00BD16B4" w14:paraId="15C1C67F" w14:textId="77777777" w:rsidTr="00B103C6">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14:paraId="2008E84A" w14:textId="77777777" w:rsidR="007C259A" w:rsidRPr="00BD16B4" w:rsidRDefault="007C259A" w:rsidP="00F31129">
            <w:pPr>
              <w:pStyle w:val="TableText"/>
              <w:spacing w:before="50" w:after="50"/>
              <w:rPr>
                <w:b w:val="0"/>
                <w:bCs w:val="0"/>
              </w:rPr>
            </w:pPr>
            <w:r w:rsidRPr="00BD16B4">
              <w:rPr>
                <w:b w:val="0"/>
                <w:bCs w:val="0"/>
              </w:rPr>
              <w:t>LULUCF</w:t>
            </w:r>
          </w:p>
        </w:tc>
        <w:tc>
          <w:tcPr>
            <w:tcW w:w="709" w:type="dxa"/>
            <w:shd w:val="clear" w:color="auto" w:fill="FFFFFF" w:themeFill="background1"/>
          </w:tcPr>
          <w:p w14:paraId="10C41E5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709" w:type="dxa"/>
            <w:shd w:val="clear" w:color="auto" w:fill="FFFFFF" w:themeFill="background1"/>
          </w:tcPr>
          <w:p w14:paraId="4ECD106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w:t>
            </w:r>
            <w:r w:rsidRPr="00BD16B4">
              <w:t>29</w:t>
            </w:r>
          </w:p>
        </w:tc>
        <w:tc>
          <w:tcPr>
            <w:tcW w:w="630" w:type="dxa"/>
            <w:shd w:val="clear" w:color="auto" w:fill="FFFFFF" w:themeFill="background1"/>
          </w:tcPr>
          <w:p w14:paraId="2BFB119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286</w:t>
            </w:r>
          </w:p>
        </w:tc>
        <w:tc>
          <w:tcPr>
            <w:tcW w:w="752" w:type="dxa"/>
            <w:shd w:val="clear" w:color="auto" w:fill="FFFFFF" w:themeFill="background1"/>
          </w:tcPr>
          <w:p w14:paraId="59DF97D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color w:val="000000"/>
              </w:rPr>
              <w:t>–</w:t>
            </w:r>
            <w:r w:rsidRPr="00BD16B4">
              <w:t>5,415</w:t>
            </w:r>
          </w:p>
        </w:tc>
        <w:tc>
          <w:tcPr>
            <w:tcW w:w="751" w:type="dxa"/>
            <w:shd w:val="clear" w:color="auto" w:fill="FFFFFF" w:themeFill="background1"/>
          </w:tcPr>
          <w:p w14:paraId="71D0EAD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1,120</w:t>
            </w:r>
          </w:p>
        </w:tc>
        <w:tc>
          <w:tcPr>
            <w:tcW w:w="751" w:type="dxa"/>
            <w:shd w:val="clear" w:color="auto" w:fill="FFFFFF" w:themeFill="background1"/>
          </w:tcPr>
          <w:p w14:paraId="76CE553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1,809</w:t>
            </w:r>
          </w:p>
        </w:tc>
        <w:tc>
          <w:tcPr>
            <w:tcW w:w="752" w:type="dxa"/>
            <w:shd w:val="clear" w:color="auto" w:fill="FFFFFF" w:themeFill="background1"/>
          </w:tcPr>
          <w:p w14:paraId="64A7AC1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6,270</w:t>
            </w:r>
          </w:p>
        </w:tc>
        <w:tc>
          <w:tcPr>
            <w:tcW w:w="751" w:type="dxa"/>
            <w:shd w:val="clear" w:color="auto" w:fill="D2DDE1" w:themeFill="background2"/>
          </w:tcPr>
          <w:p w14:paraId="0F81E67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7,162</w:t>
            </w:r>
          </w:p>
        </w:tc>
        <w:tc>
          <w:tcPr>
            <w:tcW w:w="751" w:type="dxa"/>
            <w:shd w:val="clear" w:color="auto" w:fill="D2DDE1" w:themeFill="background2"/>
          </w:tcPr>
          <w:p w14:paraId="0573439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13,496</w:t>
            </w:r>
          </w:p>
        </w:tc>
        <w:tc>
          <w:tcPr>
            <w:tcW w:w="815" w:type="dxa"/>
            <w:shd w:val="clear" w:color="auto" w:fill="D2DDE1" w:themeFill="background2"/>
          </w:tcPr>
          <w:p w14:paraId="31F4C1F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20,616</w:t>
            </w:r>
          </w:p>
        </w:tc>
      </w:tr>
      <w:tr w:rsidR="007C259A" w:rsidRPr="00BD16B4" w14:paraId="51DF88C4" w14:textId="77777777" w:rsidTr="00B103C6">
        <w:tc>
          <w:tcPr>
            <w:cnfStyle w:val="001000000000" w:firstRow="0" w:lastRow="0" w:firstColumn="1" w:lastColumn="0" w:oddVBand="0" w:evenVBand="0" w:oddHBand="0" w:evenHBand="0" w:firstRowFirstColumn="0" w:firstRowLastColumn="0" w:lastRowFirstColumn="0" w:lastRowLastColumn="0"/>
            <w:tcW w:w="1134" w:type="dxa"/>
            <w:tcBorders>
              <w:left w:val="nil"/>
            </w:tcBorders>
            <w:shd w:val="clear" w:color="auto" w:fill="FFFFFF" w:themeFill="background1"/>
          </w:tcPr>
          <w:p w14:paraId="45E8BE98" w14:textId="77777777" w:rsidR="007C259A" w:rsidRPr="00BD16B4" w:rsidRDefault="007C259A" w:rsidP="00F31129">
            <w:pPr>
              <w:pStyle w:val="TableText"/>
              <w:spacing w:before="50" w:after="50"/>
              <w:rPr>
                <w:b w:val="0"/>
                <w:bCs w:val="0"/>
              </w:rPr>
            </w:pPr>
            <w:r w:rsidRPr="00BD16B4">
              <w:rPr>
                <w:b w:val="0"/>
                <w:bCs w:val="0"/>
              </w:rPr>
              <w:t>Waste</w:t>
            </w:r>
          </w:p>
        </w:tc>
        <w:tc>
          <w:tcPr>
            <w:tcW w:w="709" w:type="dxa"/>
            <w:shd w:val="clear" w:color="auto" w:fill="FFFFFF" w:themeFill="background1"/>
          </w:tcPr>
          <w:p w14:paraId="0CE49980"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709" w:type="dxa"/>
            <w:shd w:val="clear" w:color="auto" w:fill="FFFFFF" w:themeFill="background1"/>
          </w:tcPr>
          <w:p w14:paraId="38E1738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630" w:type="dxa"/>
            <w:shd w:val="clear" w:color="auto" w:fill="FFFFFF" w:themeFill="background1"/>
          </w:tcPr>
          <w:p w14:paraId="3C19EC7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752" w:type="dxa"/>
            <w:shd w:val="clear" w:color="auto" w:fill="FFFFFF" w:themeFill="background1"/>
          </w:tcPr>
          <w:p w14:paraId="4990823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0</w:t>
            </w:r>
          </w:p>
        </w:tc>
        <w:tc>
          <w:tcPr>
            <w:tcW w:w="751" w:type="dxa"/>
            <w:shd w:val="clear" w:color="auto" w:fill="FFFFFF" w:themeFill="background1"/>
          </w:tcPr>
          <w:p w14:paraId="47DF752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427</w:t>
            </w:r>
          </w:p>
        </w:tc>
        <w:tc>
          <w:tcPr>
            <w:tcW w:w="751" w:type="dxa"/>
            <w:shd w:val="clear" w:color="auto" w:fill="FFFFFF" w:themeFill="background1"/>
          </w:tcPr>
          <w:p w14:paraId="629E53D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603</w:t>
            </w:r>
          </w:p>
        </w:tc>
        <w:tc>
          <w:tcPr>
            <w:tcW w:w="752" w:type="dxa"/>
            <w:shd w:val="clear" w:color="auto" w:fill="FFFFFF" w:themeFill="background1"/>
          </w:tcPr>
          <w:p w14:paraId="6F02ACC0"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578</w:t>
            </w:r>
          </w:p>
        </w:tc>
        <w:tc>
          <w:tcPr>
            <w:tcW w:w="751" w:type="dxa"/>
            <w:shd w:val="clear" w:color="auto" w:fill="D2DDE1" w:themeFill="background2"/>
          </w:tcPr>
          <w:p w14:paraId="54AA3F8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639</w:t>
            </w:r>
          </w:p>
        </w:tc>
        <w:tc>
          <w:tcPr>
            <w:tcW w:w="751" w:type="dxa"/>
            <w:shd w:val="clear" w:color="auto" w:fill="D2DDE1" w:themeFill="background2"/>
          </w:tcPr>
          <w:p w14:paraId="2255038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725</w:t>
            </w:r>
          </w:p>
        </w:tc>
        <w:tc>
          <w:tcPr>
            <w:tcW w:w="815" w:type="dxa"/>
            <w:tcBorders>
              <w:right w:val="nil"/>
            </w:tcBorders>
            <w:shd w:val="clear" w:color="auto" w:fill="D2DDE1" w:themeFill="background2"/>
          </w:tcPr>
          <w:p w14:paraId="32751CD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776</w:t>
            </w:r>
          </w:p>
        </w:tc>
      </w:tr>
      <w:tr w:rsidR="007C259A" w:rsidRPr="00BD16B4" w14:paraId="5BAED22B" w14:textId="77777777" w:rsidTr="00B103C6">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14:paraId="078EB74D" w14:textId="77777777" w:rsidR="007C259A" w:rsidRPr="00BD16B4" w:rsidRDefault="007C259A" w:rsidP="00F31129">
            <w:pPr>
              <w:pStyle w:val="TableText"/>
              <w:spacing w:before="50" w:after="50"/>
              <w:rPr>
                <w:b w:val="0"/>
                <w:bCs w:val="0"/>
              </w:rPr>
            </w:pPr>
            <w:r w:rsidRPr="00BD16B4">
              <w:rPr>
                <w:b w:val="0"/>
                <w:bCs w:val="0"/>
              </w:rPr>
              <w:t>Tokelau</w:t>
            </w:r>
          </w:p>
        </w:tc>
        <w:tc>
          <w:tcPr>
            <w:tcW w:w="709" w:type="dxa"/>
            <w:shd w:val="clear" w:color="auto" w:fill="FFFFFF" w:themeFill="background1"/>
          </w:tcPr>
          <w:p w14:paraId="091AAE4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709" w:type="dxa"/>
            <w:shd w:val="clear" w:color="auto" w:fill="FFFFFF" w:themeFill="background1"/>
          </w:tcPr>
          <w:p w14:paraId="5F9BF709"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c>
          <w:tcPr>
            <w:tcW w:w="630" w:type="dxa"/>
            <w:shd w:val="clear" w:color="auto" w:fill="FFFFFF" w:themeFill="background1"/>
          </w:tcPr>
          <w:p w14:paraId="7D61050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t>NE</w:t>
            </w:r>
          </w:p>
        </w:tc>
        <w:tc>
          <w:tcPr>
            <w:tcW w:w="752" w:type="dxa"/>
            <w:shd w:val="clear" w:color="auto" w:fill="FFFFFF" w:themeFill="background1"/>
          </w:tcPr>
          <w:p w14:paraId="0E0B124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t>NE</w:t>
            </w:r>
          </w:p>
        </w:tc>
        <w:tc>
          <w:tcPr>
            <w:tcW w:w="751" w:type="dxa"/>
            <w:shd w:val="clear" w:color="auto" w:fill="FFFFFF" w:themeFill="background1"/>
          </w:tcPr>
          <w:p w14:paraId="59C8BF6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t>NE</w:t>
            </w:r>
          </w:p>
        </w:tc>
        <w:tc>
          <w:tcPr>
            <w:tcW w:w="751" w:type="dxa"/>
            <w:shd w:val="clear" w:color="auto" w:fill="FFFFFF" w:themeFill="background1"/>
          </w:tcPr>
          <w:p w14:paraId="0563A03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t>NE</w:t>
            </w:r>
          </w:p>
        </w:tc>
        <w:tc>
          <w:tcPr>
            <w:tcW w:w="752" w:type="dxa"/>
            <w:shd w:val="clear" w:color="auto" w:fill="FFFFFF" w:themeFill="background1"/>
          </w:tcPr>
          <w:p w14:paraId="5A05667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t>NE</w:t>
            </w:r>
          </w:p>
        </w:tc>
        <w:tc>
          <w:tcPr>
            <w:tcW w:w="751" w:type="dxa"/>
            <w:shd w:val="clear" w:color="auto" w:fill="D2DDE1" w:themeFill="background2"/>
          </w:tcPr>
          <w:p w14:paraId="1C38EE4D"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t>NE</w:t>
            </w:r>
          </w:p>
        </w:tc>
        <w:tc>
          <w:tcPr>
            <w:tcW w:w="751" w:type="dxa"/>
            <w:shd w:val="clear" w:color="auto" w:fill="D2DDE1" w:themeFill="background2"/>
          </w:tcPr>
          <w:p w14:paraId="4F1AB83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t>NE</w:t>
            </w:r>
          </w:p>
        </w:tc>
        <w:tc>
          <w:tcPr>
            <w:tcW w:w="815" w:type="dxa"/>
            <w:shd w:val="clear" w:color="auto" w:fill="D2DDE1" w:themeFill="background2"/>
          </w:tcPr>
          <w:p w14:paraId="4F1B0C2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D16B4">
              <w:t>NE</w:t>
            </w:r>
          </w:p>
        </w:tc>
      </w:tr>
      <w:tr w:rsidR="007C259A" w:rsidRPr="00BD16B4" w14:paraId="48B8C615" w14:textId="77777777" w:rsidTr="00B103C6">
        <w:tc>
          <w:tcPr>
            <w:cnfStyle w:val="001000000000" w:firstRow="0" w:lastRow="0" w:firstColumn="1" w:lastColumn="0" w:oddVBand="0" w:evenVBand="0" w:oddHBand="0" w:evenHBand="0" w:firstRowFirstColumn="0" w:firstRowLastColumn="0" w:lastRowFirstColumn="0" w:lastRowLastColumn="0"/>
            <w:tcW w:w="1134" w:type="dxa"/>
            <w:tcBorders>
              <w:left w:val="nil"/>
            </w:tcBorders>
            <w:shd w:val="clear" w:color="auto" w:fill="FFFFFF" w:themeFill="background1"/>
          </w:tcPr>
          <w:p w14:paraId="5CC1A1D2" w14:textId="77777777" w:rsidR="007C259A" w:rsidRPr="00BD16B4" w:rsidRDefault="007C259A" w:rsidP="00F31129">
            <w:pPr>
              <w:pStyle w:val="TableText"/>
              <w:spacing w:before="50" w:after="50"/>
            </w:pPr>
            <w:r w:rsidRPr="00BD16B4">
              <w:t>Total</w:t>
            </w:r>
          </w:p>
        </w:tc>
        <w:tc>
          <w:tcPr>
            <w:tcW w:w="709" w:type="dxa"/>
            <w:shd w:val="clear" w:color="auto" w:fill="FFFFFF" w:themeFill="background1"/>
          </w:tcPr>
          <w:p w14:paraId="0B69EC3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b/>
              </w:rPr>
              <w:t>NA</w:t>
            </w:r>
          </w:p>
        </w:tc>
        <w:tc>
          <w:tcPr>
            <w:tcW w:w="709" w:type="dxa"/>
            <w:shd w:val="clear" w:color="auto" w:fill="FFFFFF" w:themeFill="background1"/>
          </w:tcPr>
          <w:p w14:paraId="7997447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b/>
                <w:bCs/>
                <w:color w:val="000000"/>
              </w:rPr>
              <w:t>–</w:t>
            </w:r>
            <w:r w:rsidRPr="00BD16B4">
              <w:rPr>
                <w:b/>
                <w:color w:val="000000"/>
              </w:rPr>
              <w:t>22</w:t>
            </w:r>
          </w:p>
        </w:tc>
        <w:tc>
          <w:tcPr>
            <w:tcW w:w="630" w:type="dxa"/>
            <w:shd w:val="clear" w:color="auto" w:fill="FFFFFF" w:themeFill="background1"/>
          </w:tcPr>
          <w:p w14:paraId="3B2B085D"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b/>
                <w:color w:val="000000"/>
              </w:rPr>
              <w:t>296</w:t>
            </w:r>
          </w:p>
        </w:tc>
        <w:tc>
          <w:tcPr>
            <w:tcW w:w="752" w:type="dxa"/>
            <w:shd w:val="clear" w:color="auto" w:fill="FFFFFF" w:themeFill="background1"/>
          </w:tcPr>
          <w:p w14:paraId="7CEC9DFD"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rFonts w:eastAsia="Calibri"/>
                <w:b/>
                <w:bCs/>
                <w:color w:val="000000"/>
              </w:rPr>
              <w:t>–</w:t>
            </w:r>
            <w:r w:rsidRPr="00BD16B4">
              <w:rPr>
                <w:b/>
                <w:color w:val="000000"/>
              </w:rPr>
              <w:t>5,433</w:t>
            </w:r>
          </w:p>
        </w:tc>
        <w:tc>
          <w:tcPr>
            <w:tcW w:w="751" w:type="dxa"/>
            <w:shd w:val="clear" w:color="auto" w:fill="FFFFFF" w:themeFill="background1"/>
          </w:tcPr>
          <w:p w14:paraId="1C75FAA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b/>
                <w:color w:val="000000"/>
              </w:rPr>
              <w:t>1,513</w:t>
            </w:r>
          </w:p>
        </w:tc>
        <w:tc>
          <w:tcPr>
            <w:tcW w:w="751" w:type="dxa"/>
            <w:shd w:val="clear" w:color="auto" w:fill="FFFFFF" w:themeFill="background1"/>
          </w:tcPr>
          <w:p w14:paraId="751EC42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b/>
                <w:color w:val="000000"/>
              </w:rPr>
              <w:t>2,549</w:t>
            </w:r>
          </w:p>
        </w:tc>
        <w:tc>
          <w:tcPr>
            <w:tcW w:w="752" w:type="dxa"/>
            <w:shd w:val="clear" w:color="auto" w:fill="FFFFFF" w:themeFill="background1"/>
          </w:tcPr>
          <w:p w14:paraId="38579E9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b/>
                <w:color w:val="000000"/>
              </w:rPr>
              <w:t>7,235</w:t>
            </w:r>
          </w:p>
        </w:tc>
        <w:tc>
          <w:tcPr>
            <w:tcW w:w="751" w:type="dxa"/>
            <w:shd w:val="clear" w:color="auto" w:fill="D2DDE1" w:themeFill="background2"/>
          </w:tcPr>
          <w:p w14:paraId="146C47C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b/>
                <w:color w:val="000000"/>
              </w:rPr>
              <w:t>11,362</w:t>
            </w:r>
          </w:p>
        </w:tc>
        <w:tc>
          <w:tcPr>
            <w:tcW w:w="751" w:type="dxa"/>
            <w:shd w:val="clear" w:color="auto" w:fill="D2DDE1" w:themeFill="background2"/>
          </w:tcPr>
          <w:p w14:paraId="190B2C6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b/>
                <w:color w:val="000000"/>
              </w:rPr>
              <w:t>21,015</w:t>
            </w:r>
          </w:p>
        </w:tc>
        <w:tc>
          <w:tcPr>
            <w:tcW w:w="815" w:type="dxa"/>
            <w:tcBorders>
              <w:right w:val="nil"/>
            </w:tcBorders>
            <w:shd w:val="clear" w:color="auto" w:fill="D2DDE1" w:themeFill="background2"/>
          </w:tcPr>
          <w:p w14:paraId="5CB28C2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b/>
                <w:color w:val="000000"/>
              </w:rPr>
              <w:t>30,694</w:t>
            </w:r>
          </w:p>
        </w:tc>
      </w:tr>
    </w:tbl>
    <w:p w14:paraId="7393F9C1" w14:textId="77777777" w:rsidR="007C259A" w:rsidRPr="00BD16B4" w:rsidRDefault="007C259A" w:rsidP="00120409">
      <w:pPr>
        <w:pStyle w:val="Note"/>
      </w:pPr>
      <w:r w:rsidRPr="00BD16B4">
        <w:rPr>
          <w:b/>
          <w:bCs/>
        </w:rPr>
        <w:t>Note:</w:t>
      </w:r>
      <w:r w:rsidRPr="00BD16B4">
        <w:t xml:space="preserve"> IPPU = industrial processes and product use; kt CO</w:t>
      </w:r>
      <w:r w:rsidRPr="00BD16B4">
        <w:rPr>
          <w:vertAlign w:val="subscript"/>
        </w:rPr>
        <w:t>2</w:t>
      </w:r>
      <w:r w:rsidRPr="00BD16B4">
        <w:t>-e = kilotonnes of carbon dioxide equivalent; LULUCF = land use, land-use change and forestry; NA = not applicable; NE = not estimated. A</w:t>
      </w:r>
      <w:r w:rsidRPr="00BD16B4">
        <w:rPr>
          <w:rFonts w:asciiTheme="minorHAnsi" w:hAnsiTheme="minorHAnsi" w:cstheme="minorHAnsi"/>
        </w:rPr>
        <w:t>n increase in net emissions to the atmosphere is expressed as a negative (–) while a</w:t>
      </w:r>
      <w:r w:rsidRPr="00BD16B4">
        <w:t xml:space="preserve"> reduction in net emi</w:t>
      </w:r>
      <w:r w:rsidRPr="00BD16B4">
        <w:rPr>
          <w:rFonts w:asciiTheme="minorHAnsi" w:hAnsiTheme="minorHAnsi" w:cstheme="minorHAnsi"/>
        </w:rPr>
        <w:t>ssions to the atmosphere is expressed as a positive.</w:t>
      </w:r>
    </w:p>
    <w:p w14:paraId="0EE1510F" w14:textId="77777777" w:rsidR="007C259A" w:rsidRPr="00BD16B4" w:rsidRDefault="007C259A" w:rsidP="00BB7302">
      <w:pPr>
        <w:pStyle w:val="Tableheading"/>
        <w:rPr>
          <w:rFonts w:eastAsia="Calibri"/>
        </w:rPr>
      </w:pPr>
      <w:bookmarkStart w:id="285" w:name="_Toc121773798"/>
      <w:r w:rsidRPr="00BD16B4">
        <w:rPr>
          <w:rFonts w:eastAsia="Calibri"/>
        </w:rPr>
        <w:t xml:space="preserve">Table 5.8: </w:t>
      </w:r>
      <w:r w:rsidRPr="00BD16B4">
        <w:rPr>
          <w:rFonts w:eastAsia="Calibri"/>
        </w:rPr>
        <w:tab/>
        <w:t>Total effect of current policies and measures by gas,</w:t>
      </w:r>
      <w:r w:rsidRPr="00BD16B4">
        <w:t xml:space="preserve"> 1990–2035</w:t>
      </w:r>
      <w:r w:rsidRPr="00BD16B4">
        <w:rPr>
          <w:rFonts w:eastAsia="Calibri"/>
        </w:rPr>
        <w:t xml:space="preserve"> (kt CO</w:t>
      </w:r>
      <w:r w:rsidRPr="00BD16B4">
        <w:rPr>
          <w:rFonts w:eastAsia="Calibri"/>
          <w:vertAlign w:val="subscript"/>
        </w:rPr>
        <w:t>2</w:t>
      </w:r>
      <w:r w:rsidRPr="00BD16B4">
        <w:rPr>
          <w:rFonts w:eastAsia="Calibri"/>
        </w:rPr>
        <w:noBreakHyphen/>
        <w:t>e)</w:t>
      </w:r>
      <w:bookmarkEnd w:id="285"/>
    </w:p>
    <w:tbl>
      <w:tblPr>
        <w:tblStyle w:val="LightList-Accent11"/>
        <w:tblW w:w="8505" w:type="dxa"/>
        <w:tblInd w:w="113" w:type="dxa"/>
        <w:tblBorders>
          <w:top w:val="single" w:sz="4" w:space="0" w:color="1C556C" w:themeColor="accent1"/>
          <w:left w:val="none" w:sz="0" w:space="0" w:color="auto"/>
          <w:bottom w:val="single" w:sz="4" w:space="0" w:color="1C556C" w:themeColor="accent1"/>
          <w:right w:val="none" w:sz="0" w:space="0" w:color="auto"/>
          <w:insideH w:val="single" w:sz="6" w:space="0" w:color="1C556C" w:themeColor="accent1"/>
          <w:insideV w:val="single" w:sz="6" w:space="0" w:color="1C556C" w:themeColor="accent1"/>
        </w:tblBorders>
        <w:tblLayout w:type="fixed"/>
        <w:tblCellMar>
          <w:left w:w="85" w:type="dxa"/>
          <w:right w:w="85" w:type="dxa"/>
        </w:tblCellMar>
        <w:tblLook w:val="06A0" w:firstRow="1" w:lastRow="0" w:firstColumn="1" w:lastColumn="0" w:noHBand="1" w:noVBand="1"/>
      </w:tblPr>
      <w:tblGrid>
        <w:gridCol w:w="928"/>
        <w:gridCol w:w="752"/>
        <w:gridCol w:w="751"/>
        <w:gridCol w:w="751"/>
        <w:gridCol w:w="752"/>
        <w:gridCol w:w="751"/>
        <w:gridCol w:w="751"/>
        <w:gridCol w:w="752"/>
        <w:gridCol w:w="751"/>
        <w:gridCol w:w="751"/>
        <w:gridCol w:w="815"/>
      </w:tblGrid>
      <w:tr w:rsidR="007C259A" w:rsidRPr="00BD16B4" w14:paraId="476429E7" w14:textId="77777777" w:rsidTr="006A7AF1">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1C556C" w:themeColor="accent1"/>
              <w:bottom w:val="nil"/>
              <w:right w:val="nil"/>
            </w:tcBorders>
            <w:shd w:val="clear" w:color="auto" w:fill="1B556B" w:themeFill="text2"/>
          </w:tcPr>
          <w:p w14:paraId="74EF6E4F" w14:textId="77777777" w:rsidR="007C259A" w:rsidRPr="00BD16B4" w:rsidRDefault="007C259A" w:rsidP="00F31129">
            <w:pPr>
              <w:pStyle w:val="TableTextBold0"/>
              <w:spacing w:after="0"/>
              <w:jc w:val="center"/>
              <w:rPr>
                <w:b/>
                <w:bCs w:val="0"/>
              </w:rPr>
            </w:pPr>
          </w:p>
        </w:tc>
        <w:tc>
          <w:tcPr>
            <w:tcW w:w="5602" w:type="dxa"/>
            <w:gridSpan w:val="7"/>
            <w:tcBorders>
              <w:top w:val="single" w:sz="4" w:space="0" w:color="1C556C" w:themeColor="accent1"/>
              <w:left w:val="nil"/>
              <w:bottom w:val="nil"/>
              <w:right w:val="nil"/>
            </w:tcBorders>
            <w:shd w:val="clear" w:color="auto" w:fill="1B556B" w:themeFill="text2"/>
          </w:tcPr>
          <w:p w14:paraId="2067BFF1" w14:textId="77777777" w:rsidR="007C259A" w:rsidRPr="00BD16B4" w:rsidRDefault="007C259A" w:rsidP="00F31129">
            <w:pPr>
              <w:pStyle w:val="TableTextBold0"/>
              <w:spacing w:after="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Historical</w:t>
            </w:r>
          </w:p>
        </w:tc>
        <w:tc>
          <w:tcPr>
            <w:tcW w:w="2469" w:type="dxa"/>
            <w:gridSpan w:val="3"/>
            <w:tcBorders>
              <w:top w:val="single" w:sz="4" w:space="0" w:color="1C556C" w:themeColor="accent1"/>
              <w:left w:val="nil"/>
              <w:bottom w:val="nil"/>
            </w:tcBorders>
            <w:shd w:val="clear" w:color="auto" w:fill="1B556B" w:themeFill="text2"/>
          </w:tcPr>
          <w:p w14:paraId="473B421D" w14:textId="77777777" w:rsidR="007C259A" w:rsidRPr="00BD16B4" w:rsidRDefault="007C259A" w:rsidP="00F31129">
            <w:pPr>
              <w:pStyle w:val="TableTextBold0"/>
              <w:spacing w:after="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Projected</w:t>
            </w:r>
          </w:p>
        </w:tc>
      </w:tr>
      <w:tr w:rsidR="007C259A" w:rsidRPr="00BD16B4" w14:paraId="2E803211" w14:textId="77777777" w:rsidTr="00B103C6">
        <w:trPr>
          <w:trHeight w:val="223"/>
        </w:trPr>
        <w:tc>
          <w:tcPr>
            <w:cnfStyle w:val="001000000000" w:firstRow="0" w:lastRow="0" w:firstColumn="1" w:lastColumn="0" w:oddVBand="0" w:evenVBand="0" w:oddHBand="0" w:evenHBand="0" w:firstRowFirstColumn="0" w:firstRowLastColumn="0" w:lastRowFirstColumn="0" w:lastRowLastColumn="0"/>
            <w:tcW w:w="991" w:type="dxa"/>
            <w:tcBorders>
              <w:top w:val="nil"/>
              <w:left w:val="nil"/>
              <w:bottom w:val="nil"/>
              <w:right w:val="nil"/>
            </w:tcBorders>
            <w:shd w:val="clear" w:color="auto" w:fill="1B556B" w:themeFill="text2"/>
          </w:tcPr>
          <w:p w14:paraId="68A854D0" w14:textId="77777777" w:rsidR="007C259A" w:rsidRPr="00BD16B4" w:rsidRDefault="007C259A" w:rsidP="00F31129">
            <w:pPr>
              <w:pStyle w:val="TableTextBold0"/>
              <w:spacing w:before="0"/>
              <w:rPr>
                <w:b/>
                <w:bCs w:val="0"/>
                <w:color w:val="FFFFFF" w:themeColor="background1"/>
              </w:rPr>
            </w:pPr>
            <w:r w:rsidRPr="00BD16B4">
              <w:rPr>
                <w:b/>
                <w:bCs w:val="0"/>
                <w:color w:val="FFFFFF" w:themeColor="background1"/>
              </w:rPr>
              <w:t>Gas</w:t>
            </w:r>
          </w:p>
        </w:tc>
        <w:tc>
          <w:tcPr>
            <w:tcW w:w="800" w:type="dxa"/>
            <w:tcBorders>
              <w:top w:val="nil"/>
              <w:left w:val="nil"/>
              <w:bottom w:val="nil"/>
              <w:right w:val="nil"/>
            </w:tcBorders>
            <w:shd w:val="clear" w:color="auto" w:fill="1B556B" w:themeFill="text2"/>
          </w:tcPr>
          <w:p w14:paraId="1CCA9DDC" w14:textId="77777777" w:rsidR="007C259A" w:rsidRPr="00BD16B4" w:rsidRDefault="007C259A" w:rsidP="00F31129">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D16B4">
              <w:rPr>
                <w:color w:val="FFFFFF" w:themeColor="background1"/>
              </w:rPr>
              <w:t>1990</w:t>
            </w:r>
          </w:p>
        </w:tc>
        <w:tc>
          <w:tcPr>
            <w:tcW w:w="800" w:type="dxa"/>
            <w:tcBorders>
              <w:top w:val="nil"/>
              <w:left w:val="nil"/>
              <w:bottom w:val="nil"/>
              <w:right w:val="nil"/>
            </w:tcBorders>
            <w:shd w:val="clear" w:color="auto" w:fill="1B556B" w:themeFill="text2"/>
          </w:tcPr>
          <w:p w14:paraId="2416C2C9" w14:textId="77777777" w:rsidR="007C259A" w:rsidRPr="00BD16B4" w:rsidRDefault="007C259A" w:rsidP="00F31129">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D16B4">
              <w:rPr>
                <w:color w:val="FFFFFF" w:themeColor="background1"/>
              </w:rPr>
              <w:t>1995</w:t>
            </w:r>
          </w:p>
        </w:tc>
        <w:tc>
          <w:tcPr>
            <w:tcW w:w="800" w:type="dxa"/>
            <w:tcBorders>
              <w:top w:val="nil"/>
              <w:left w:val="nil"/>
              <w:bottom w:val="nil"/>
              <w:right w:val="nil"/>
            </w:tcBorders>
            <w:shd w:val="clear" w:color="auto" w:fill="1B556B" w:themeFill="text2"/>
          </w:tcPr>
          <w:p w14:paraId="183B65E6" w14:textId="77777777" w:rsidR="007C259A" w:rsidRPr="00BD16B4" w:rsidRDefault="007C259A" w:rsidP="00F31129">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D16B4">
              <w:rPr>
                <w:color w:val="FFFFFF" w:themeColor="background1"/>
              </w:rPr>
              <w:t>2000</w:t>
            </w:r>
          </w:p>
        </w:tc>
        <w:tc>
          <w:tcPr>
            <w:tcW w:w="801" w:type="dxa"/>
            <w:tcBorders>
              <w:top w:val="nil"/>
              <w:left w:val="nil"/>
              <w:bottom w:val="nil"/>
              <w:right w:val="nil"/>
            </w:tcBorders>
            <w:shd w:val="clear" w:color="auto" w:fill="1B556B" w:themeFill="text2"/>
          </w:tcPr>
          <w:p w14:paraId="39C0E9F8" w14:textId="77777777" w:rsidR="007C259A" w:rsidRPr="00BD16B4" w:rsidRDefault="007C259A" w:rsidP="00F31129">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D16B4">
              <w:rPr>
                <w:color w:val="FFFFFF" w:themeColor="background1"/>
              </w:rPr>
              <w:t>2005</w:t>
            </w:r>
          </w:p>
        </w:tc>
        <w:tc>
          <w:tcPr>
            <w:tcW w:w="800" w:type="dxa"/>
            <w:tcBorders>
              <w:top w:val="nil"/>
              <w:left w:val="nil"/>
              <w:bottom w:val="nil"/>
              <w:right w:val="nil"/>
            </w:tcBorders>
            <w:shd w:val="clear" w:color="auto" w:fill="1B556B" w:themeFill="text2"/>
          </w:tcPr>
          <w:p w14:paraId="38DC9886" w14:textId="77777777" w:rsidR="007C259A" w:rsidRPr="00BD16B4" w:rsidRDefault="007C259A" w:rsidP="00F31129">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D16B4">
              <w:rPr>
                <w:color w:val="FFFFFF" w:themeColor="background1"/>
              </w:rPr>
              <w:t>2010</w:t>
            </w:r>
          </w:p>
        </w:tc>
        <w:tc>
          <w:tcPr>
            <w:tcW w:w="800" w:type="dxa"/>
            <w:tcBorders>
              <w:top w:val="nil"/>
              <w:left w:val="nil"/>
              <w:bottom w:val="nil"/>
              <w:right w:val="nil"/>
            </w:tcBorders>
            <w:shd w:val="clear" w:color="auto" w:fill="1B556B" w:themeFill="text2"/>
          </w:tcPr>
          <w:p w14:paraId="01D426D3" w14:textId="77777777" w:rsidR="007C259A" w:rsidRPr="00BD16B4" w:rsidRDefault="007C259A" w:rsidP="00F31129">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D16B4">
              <w:rPr>
                <w:color w:val="FFFFFF" w:themeColor="background1"/>
              </w:rPr>
              <w:t>2015</w:t>
            </w:r>
          </w:p>
        </w:tc>
        <w:tc>
          <w:tcPr>
            <w:tcW w:w="801" w:type="dxa"/>
            <w:tcBorders>
              <w:top w:val="nil"/>
              <w:left w:val="nil"/>
              <w:bottom w:val="nil"/>
              <w:right w:val="nil"/>
            </w:tcBorders>
            <w:shd w:val="clear" w:color="auto" w:fill="1B556B" w:themeFill="text2"/>
          </w:tcPr>
          <w:p w14:paraId="42E20D79" w14:textId="77777777" w:rsidR="007C259A" w:rsidRPr="00BD16B4" w:rsidRDefault="007C259A" w:rsidP="00F31129">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D16B4">
              <w:rPr>
                <w:color w:val="FFFFFF" w:themeColor="background1"/>
              </w:rPr>
              <w:t>2020</w:t>
            </w:r>
          </w:p>
        </w:tc>
        <w:tc>
          <w:tcPr>
            <w:tcW w:w="800" w:type="dxa"/>
            <w:tcBorders>
              <w:top w:val="nil"/>
              <w:left w:val="nil"/>
              <w:bottom w:val="nil"/>
              <w:right w:val="nil"/>
            </w:tcBorders>
            <w:shd w:val="clear" w:color="auto" w:fill="1B556B" w:themeFill="text2"/>
          </w:tcPr>
          <w:p w14:paraId="752BA3DD" w14:textId="77777777" w:rsidR="007C259A" w:rsidRPr="00BD16B4" w:rsidRDefault="007C259A" w:rsidP="00F31129">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D16B4">
              <w:rPr>
                <w:color w:val="FFFFFF" w:themeColor="background1"/>
              </w:rPr>
              <w:t>2025</w:t>
            </w:r>
          </w:p>
        </w:tc>
        <w:tc>
          <w:tcPr>
            <w:tcW w:w="800" w:type="dxa"/>
            <w:tcBorders>
              <w:top w:val="nil"/>
              <w:left w:val="nil"/>
              <w:bottom w:val="nil"/>
              <w:right w:val="nil"/>
            </w:tcBorders>
            <w:shd w:val="clear" w:color="auto" w:fill="1B556B" w:themeFill="text2"/>
          </w:tcPr>
          <w:p w14:paraId="263A3C04" w14:textId="77777777" w:rsidR="007C259A" w:rsidRPr="00BD16B4" w:rsidRDefault="007C259A" w:rsidP="00F31129">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D16B4">
              <w:rPr>
                <w:color w:val="FFFFFF" w:themeColor="background1"/>
              </w:rPr>
              <w:t>2030</w:t>
            </w:r>
          </w:p>
        </w:tc>
        <w:tc>
          <w:tcPr>
            <w:tcW w:w="869" w:type="dxa"/>
            <w:tcBorders>
              <w:top w:val="nil"/>
              <w:left w:val="nil"/>
              <w:bottom w:val="nil"/>
              <w:right w:val="nil"/>
            </w:tcBorders>
            <w:shd w:val="clear" w:color="auto" w:fill="1B556B" w:themeFill="text2"/>
          </w:tcPr>
          <w:p w14:paraId="231D1A21" w14:textId="77777777" w:rsidR="007C259A" w:rsidRPr="00BD16B4" w:rsidRDefault="007C259A" w:rsidP="00F31129">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D16B4">
              <w:rPr>
                <w:color w:val="FFFFFF" w:themeColor="background1"/>
              </w:rPr>
              <w:t>2035</w:t>
            </w:r>
          </w:p>
        </w:tc>
      </w:tr>
      <w:tr w:rsidR="007C259A" w:rsidRPr="00BD16B4" w14:paraId="42D73AA4" w14:textId="77777777" w:rsidTr="00B103C6">
        <w:trPr>
          <w:trHeight w:val="210"/>
        </w:trPr>
        <w:tc>
          <w:tcPr>
            <w:cnfStyle w:val="001000000000" w:firstRow="0" w:lastRow="0" w:firstColumn="1" w:lastColumn="0" w:oddVBand="0" w:evenVBand="0" w:oddHBand="0" w:evenHBand="0" w:firstRowFirstColumn="0" w:firstRowLastColumn="0" w:lastRowFirstColumn="0" w:lastRowLastColumn="0"/>
            <w:tcW w:w="991" w:type="dxa"/>
            <w:tcBorders>
              <w:top w:val="nil"/>
              <w:bottom w:val="single" w:sz="4" w:space="0" w:color="1C556C" w:themeColor="accent1"/>
              <w:right w:val="single" w:sz="4" w:space="0" w:color="1C556C" w:themeColor="accent1"/>
            </w:tcBorders>
          </w:tcPr>
          <w:p w14:paraId="070D73FF" w14:textId="77777777" w:rsidR="007C259A" w:rsidRPr="00BD16B4" w:rsidRDefault="007C259A" w:rsidP="00F31129">
            <w:pPr>
              <w:pStyle w:val="TableText"/>
              <w:spacing w:before="50" w:after="50"/>
              <w:rPr>
                <w:b w:val="0"/>
                <w:bCs w:val="0"/>
              </w:rPr>
            </w:pPr>
            <w:r w:rsidRPr="00BD16B4">
              <w:rPr>
                <w:b w:val="0"/>
                <w:bCs w:val="0"/>
              </w:rPr>
              <w:t>CO</w:t>
            </w:r>
            <w:r w:rsidRPr="00BD16B4">
              <w:rPr>
                <w:b w:val="0"/>
                <w:bCs w:val="0"/>
                <w:vertAlign w:val="subscript"/>
              </w:rPr>
              <w:t>2</w:t>
            </w:r>
          </w:p>
        </w:tc>
        <w:tc>
          <w:tcPr>
            <w:tcW w:w="800" w:type="dxa"/>
            <w:tcBorders>
              <w:top w:val="nil"/>
              <w:left w:val="single" w:sz="4" w:space="0" w:color="1C556C" w:themeColor="accent1"/>
              <w:bottom w:val="single" w:sz="4" w:space="0" w:color="1C556C" w:themeColor="accent1"/>
              <w:right w:val="single" w:sz="4" w:space="0" w:color="1C556C" w:themeColor="accent1"/>
            </w:tcBorders>
            <w:vAlign w:val="center"/>
          </w:tcPr>
          <w:p w14:paraId="2A27AB7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800" w:type="dxa"/>
            <w:tcBorders>
              <w:top w:val="nil"/>
              <w:left w:val="single" w:sz="4" w:space="0" w:color="1C556C" w:themeColor="accent1"/>
              <w:bottom w:val="single" w:sz="4" w:space="0" w:color="1C556C" w:themeColor="accent1"/>
              <w:right w:val="single" w:sz="4" w:space="0" w:color="1C556C" w:themeColor="accent1"/>
            </w:tcBorders>
            <w:vAlign w:val="bottom"/>
          </w:tcPr>
          <w:p w14:paraId="4EEAE0E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–29</w:t>
            </w:r>
          </w:p>
        </w:tc>
        <w:tc>
          <w:tcPr>
            <w:tcW w:w="800" w:type="dxa"/>
            <w:tcBorders>
              <w:top w:val="nil"/>
              <w:left w:val="single" w:sz="4" w:space="0" w:color="1C556C" w:themeColor="accent1"/>
              <w:bottom w:val="single" w:sz="4" w:space="0" w:color="1C556C" w:themeColor="accent1"/>
              <w:right w:val="single" w:sz="4" w:space="0" w:color="1C556C" w:themeColor="accent1"/>
            </w:tcBorders>
            <w:vAlign w:val="bottom"/>
          </w:tcPr>
          <w:p w14:paraId="23C2FFD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286</w:t>
            </w:r>
          </w:p>
        </w:tc>
        <w:tc>
          <w:tcPr>
            <w:tcW w:w="801" w:type="dxa"/>
            <w:tcBorders>
              <w:top w:val="nil"/>
              <w:left w:val="single" w:sz="4" w:space="0" w:color="1C556C" w:themeColor="accent1"/>
              <w:bottom w:val="single" w:sz="4" w:space="0" w:color="1C556C" w:themeColor="accent1"/>
              <w:right w:val="single" w:sz="4" w:space="0" w:color="1C556C" w:themeColor="accent1"/>
            </w:tcBorders>
            <w:vAlign w:val="bottom"/>
          </w:tcPr>
          <w:p w14:paraId="0ADDD9F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–5,415</w:t>
            </w:r>
          </w:p>
        </w:tc>
        <w:tc>
          <w:tcPr>
            <w:tcW w:w="800" w:type="dxa"/>
            <w:tcBorders>
              <w:top w:val="nil"/>
              <w:left w:val="single" w:sz="4" w:space="0" w:color="1C556C" w:themeColor="accent1"/>
              <w:bottom w:val="single" w:sz="4" w:space="0" w:color="1C556C" w:themeColor="accent1"/>
              <w:right w:val="single" w:sz="4" w:space="0" w:color="1C556C" w:themeColor="accent1"/>
            </w:tcBorders>
            <w:vAlign w:val="bottom"/>
          </w:tcPr>
          <w:p w14:paraId="7BFF79B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1,120</w:t>
            </w:r>
          </w:p>
        </w:tc>
        <w:tc>
          <w:tcPr>
            <w:tcW w:w="800" w:type="dxa"/>
            <w:tcBorders>
              <w:top w:val="nil"/>
              <w:left w:val="single" w:sz="4" w:space="0" w:color="1C556C" w:themeColor="accent1"/>
              <w:bottom w:val="single" w:sz="4" w:space="0" w:color="1C556C" w:themeColor="accent1"/>
              <w:right w:val="single" w:sz="4" w:space="0" w:color="1C556C" w:themeColor="accent1"/>
            </w:tcBorders>
            <w:vAlign w:val="bottom"/>
          </w:tcPr>
          <w:p w14:paraId="12EC9ED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1,809</w:t>
            </w:r>
          </w:p>
        </w:tc>
        <w:tc>
          <w:tcPr>
            <w:tcW w:w="801" w:type="dxa"/>
            <w:tcBorders>
              <w:top w:val="nil"/>
              <w:left w:val="single" w:sz="4" w:space="0" w:color="1C556C" w:themeColor="accent1"/>
              <w:bottom w:val="single" w:sz="4" w:space="0" w:color="1C556C" w:themeColor="accent1"/>
              <w:right w:val="single" w:sz="4" w:space="0" w:color="1C556C" w:themeColor="accent1"/>
            </w:tcBorders>
            <w:vAlign w:val="bottom"/>
          </w:tcPr>
          <w:p w14:paraId="1A97989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6,270</w:t>
            </w:r>
          </w:p>
        </w:tc>
        <w:tc>
          <w:tcPr>
            <w:tcW w:w="800" w:type="dxa"/>
            <w:tcBorders>
              <w:top w:val="nil"/>
              <w:left w:val="single" w:sz="4" w:space="0" w:color="1C556C" w:themeColor="accent1"/>
              <w:bottom w:val="single" w:sz="4" w:space="0" w:color="1C556C" w:themeColor="accent1"/>
              <w:right w:val="single" w:sz="4" w:space="0" w:color="1C556C" w:themeColor="accent1"/>
            </w:tcBorders>
            <w:shd w:val="clear" w:color="auto" w:fill="D2DDE1" w:themeFill="background2"/>
            <w:vAlign w:val="bottom"/>
          </w:tcPr>
          <w:p w14:paraId="44C4DE6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9,684</w:t>
            </w:r>
          </w:p>
        </w:tc>
        <w:tc>
          <w:tcPr>
            <w:tcW w:w="800" w:type="dxa"/>
            <w:tcBorders>
              <w:top w:val="nil"/>
              <w:left w:val="single" w:sz="4" w:space="0" w:color="1C556C" w:themeColor="accent1"/>
              <w:bottom w:val="single" w:sz="4" w:space="0" w:color="1C556C" w:themeColor="accent1"/>
              <w:right w:val="single" w:sz="4" w:space="0" w:color="1C556C" w:themeColor="accent1"/>
            </w:tcBorders>
            <w:shd w:val="clear" w:color="auto" w:fill="D2DDE1" w:themeFill="background2"/>
            <w:vAlign w:val="bottom"/>
          </w:tcPr>
          <w:p w14:paraId="4F95B6B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17,941</w:t>
            </w:r>
          </w:p>
        </w:tc>
        <w:tc>
          <w:tcPr>
            <w:tcW w:w="869" w:type="dxa"/>
            <w:tcBorders>
              <w:top w:val="nil"/>
              <w:left w:val="single" w:sz="4" w:space="0" w:color="1C556C" w:themeColor="accent1"/>
              <w:bottom w:val="single" w:sz="4" w:space="0" w:color="1C556C" w:themeColor="accent1"/>
            </w:tcBorders>
            <w:shd w:val="clear" w:color="auto" w:fill="D2DDE1" w:themeFill="background2"/>
            <w:vAlign w:val="bottom"/>
          </w:tcPr>
          <w:p w14:paraId="3D8F706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26,311</w:t>
            </w:r>
          </w:p>
        </w:tc>
      </w:tr>
      <w:tr w:rsidR="007C259A" w:rsidRPr="00BD16B4" w14:paraId="06646002" w14:textId="77777777" w:rsidTr="00B103C6">
        <w:trPr>
          <w:trHeight w:val="210"/>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1C556C" w:themeColor="accent1"/>
              <w:bottom w:val="single" w:sz="4" w:space="0" w:color="1C556C" w:themeColor="accent1"/>
              <w:right w:val="single" w:sz="4" w:space="0" w:color="1C556C" w:themeColor="accent1"/>
            </w:tcBorders>
          </w:tcPr>
          <w:p w14:paraId="55F173A7" w14:textId="77777777" w:rsidR="007C259A" w:rsidRPr="00BD16B4" w:rsidRDefault="007C259A" w:rsidP="00F31129">
            <w:pPr>
              <w:pStyle w:val="TableText"/>
              <w:spacing w:before="50" w:after="50"/>
              <w:rPr>
                <w:b w:val="0"/>
                <w:bCs w:val="0"/>
              </w:rPr>
            </w:pPr>
            <w:r w:rsidRPr="00BD16B4">
              <w:rPr>
                <w:b w:val="0"/>
                <w:bCs w:val="0"/>
              </w:rPr>
              <w:t>CH</w:t>
            </w:r>
            <w:r w:rsidRPr="00BD16B4">
              <w:rPr>
                <w:b w:val="0"/>
                <w:bCs w:val="0"/>
                <w:vertAlign w:val="subscript"/>
              </w:rPr>
              <w:t>4</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2AEEB1D9"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2229A60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0</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32D420DB"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0</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0EFD4D20"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0</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268476C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427</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42CC917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731</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3CF4994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919</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bottom"/>
          </w:tcPr>
          <w:p w14:paraId="0EA8407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1,317</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bottom"/>
          </w:tcPr>
          <w:p w14:paraId="67BDAD4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2,370</w:t>
            </w:r>
          </w:p>
        </w:tc>
        <w:tc>
          <w:tcPr>
            <w:tcW w:w="869"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vAlign w:val="bottom"/>
          </w:tcPr>
          <w:p w14:paraId="72AD88C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3,352</w:t>
            </w:r>
          </w:p>
        </w:tc>
      </w:tr>
      <w:tr w:rsidR="007C259A" w:rsidRPr="00BD16B4" w14:paraId="5164885A" w14:textId="77777777" w:rsidTr="00B103C6">
        <w:trPr>
          <w:trHeight w:val="210"/>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1C556C" w:themeColor="accent1"/>
              <w:bottom w:val="single" w:sz="4" w:space="0" w:color="1C556C" w:themeColor="accent1"/>
              <w:right w:val="single" w:sz="4" w:space="0" w:color="1C556C" w:themeColor="accent1"/>
            </w:tcBorders>
          </w:tcPr>
          <w:p w14:paraId="53C3E4FF" w14:textId="77777777" w:rsidR="007C259A" w:rsidRPr="00BD16B4" w:rsidRDefault="007C259A" w:rsidP="00F31129">
            <w:pPr>
              <w:pStyle w:val="TableText"/>
              <w:spacing w:before="50" w:after="50"/>
              <w:rPr>
                <w:b w:val="0"/>
                <w:bCs w:val="0"/>
              </w:rPr>
            </w:pPr>
            <w:r w:rsidRPr="00BD16B4">
              <w:rPr>
                <w:b w:val="0"/>
                <w:bCs w:val="0"/>
              </w:rPr>
              <w:t>N</w:t>
            </w:r>
            <w:r w:rsidRPr="00BD16B4">
              <w:rPr>
                <w:b w:val="0"/>
                <w:bCs w:val="0"/>
                <w:vertAlign w:val="subscript"/>
              </w:rPr>
              <w:t>2</w:t>
            </w:r>
            <w:r w:rsidRPr="00BD16B4">
              <w:rPr>
                <w:b w:val="0"/>
                <w:bCs w:val="0"/>
              </w:rPr>
              <w:t>O</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1D34F44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138C72B5"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0</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0E194999"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0</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7B291CC3"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0</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73416F2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0</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3052375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18</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5D22989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55</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bottom"/>
          </w:tcPr>
          <w:p w14:paraId="1343CBD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134</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bottom"/>
          </w:tcPr>
          <w:p w14:paraId="2AEFD6C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394</w:t>
            </w:r>
          </w:p>
        </w:tc>
        <w:tc>
          <w:tcPr>
            <w:tcW w:w="869"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vAlign w:val="bottom"/>
          </w:tcPr>
          <w:p w14:paraId="4E0FDB7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648</w:t>
            </w:r>
          </w:p>
        </w:tc>
      </w:tr>
      <w:tr w:rsidR="007C259A" w:rsidRPr="00BD16B4" w14:paraId="1DCF605C" w14:textId="77777777" w:rsidTr="00B103C6">
        <w:trPr>
          <w:trHeight w:val="210"/>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1C556C" w:themeColor="accent1"/>
              <w:bottom w:val="single" w:sz="4" w:space="0" w:color="1C556C" w:themeColor="accent1"/>
              <w:right w:val="single" w:sz="4" w:space="0" w:color="1C556C" w:themeColor="accent1"/>
            </w:tcBorders>
          </w:tcPr>
          <w:p w14:paraId="18CFD025" w14:textId="77777777" w:rsidR="007C259A" w:rsidRPr="00BD16B4" w:rsidRDefault="007C259A" w:rsidP="00F31129">
            <w:pPr>
              <w:pStyle w:val="TableText"/>
              <w:spacing w:before="50" w:after="50"/>
              <w:rPr>
                <w:b w:val="0"/>
                <w:bCs w:val="0"/>
              </w:rPr>
            </w:pPr>
            <w:r w:rsidRPr="00BD16B4">
              <w:rPr>
                <w:b w:val="0"/>
                <w:bCs w:val="0"/>
              </w:rPr>
              <w:t>HFCs</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7770E10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40767FB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7</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1D0F9BE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10</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7ADDAF4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–18</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259960D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–34</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08255800"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–10</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1BADB272"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–9</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bottom"/>
          </w:tcPr>
          <w:p w14:paraId="71A38CF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227</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bottom"/>
          </w:tcPr>
          <w:p w14:paraId="2A63B97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311</w:t>
            </w:r>
          </w:p>
        </w:tc>
        <w:tc>
          <w:tcPr>
            <w:tcW w:w="869"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vAlign w:val="bottom"/>
          </w:tcPr>
          <w:p w14:paraId="4ED007FD"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rPr>
                <w:color w:val="000000"/>
              </w:rPr>
              <w:t>383</w:t>
            </w:r>
          </w:p>
        </w:tc>
      </w:tr>
      <w:tr w:rsidR="007C259A" w:rsidRPr="00BD16B4" w14:paraId="2912089D" w14:textId="77777777" w:rsidTr="00B103C6">
        <w:trPr>
          <w:trHeight w:val="210"/>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1C556C" w:themeColor="accent1"/>
              <w:bottom w:val="single" w:sz="4" w:space="0" w:color="1C556C" w:themeColor="accent1"/>
              <w:right w:val="single" w:sz="4" w:space="0" w:color="1C556C" w:themeColor="accent1"/>
            </w:tcBorders>
          </w:tcPr>
          <w:p w14:paraId="37B06F08" w14:textId="77777777" w:rsidR="007C259A" w:rsidRPr="00BD16B4" w:rsidRDefault="007C259A" w:rsidP="00F31129">
            <w:pPr>
              <w:pStyle w:val="TableText"/>
              <w:spacing w:before="50" w:after="50"/>
              <w:rPr>
                <w:b w:val="0"/>
                <w:bCs w:val="0"/>
              </w:rPr>
            </w:pPr>
            <w:r w:rsidRPr="00BD16B4">
              <w:rPr>
                <w:b w:val="0"/>
                <w:bCs w:val="0"/>
              </w:rPr>
              <w:t>PFCs</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06A055E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500D6500"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2CE88D2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707C47C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6ADA1D4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4CA2A01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15E43DB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center"/>
          </w:tcPr>
          <w:p w14:paraId="70215C0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center"/>
          </w:tcPr>
          <w:p w14:paraId="4AD3F5E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c>
          <w:tcPr>
            <w:tcW w:w="869"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vAlign w:val="center"/>
          </w:tcPr>
          <w:p w14:paraId="408E2AF0"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r>
      <w:tr w:rsidR="007C259A" w:rsidRPr="00BD16B4" w14:paraId="63C850EB" w14:textId="77777777" w:rsidTr="00B103C6">
        <w:trPr>
          <w:trHeight w:val="210"/>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1C556C" w:themeColor="accent1"/>
              <w:bottom w:val="single" w:sz="4" w:space="0" w:color="1C556C" w:themeColor="accent1"/>
              <w:right w:val="single" w:sz="4" w:space="0" w:color="1C556C" w:themeColor="accent1"/>
            </w:tcBorders>
          </w:tcPr>
          <w:p w14:paraId="33E13731" w14:textId="77777777" w:rsidR="007C259A" w:rsidRPr="00BD16B4" w:rsidRDefault="007C259A" w:rsidP="00F31129">
            <w:pPr>
              <w:pStyle w:val="TableText"/>
              <w:spacing w:before="50" w:after="50"/>
              <w:rPr>
                <w:b w:val="0"/>
                <w:bCs w:val="0"/>
              </w:rPr>
            </w:pPr>
            <w:r w:rsidRPr="00BD16B4">
              <w:rPr>
                <w:b w:val="0"/>
                <w:bCs w:val="0"/>
              </w:rPr>
              <w:t>SF</w:t>
            </w:r>
            <w:r w:rsidRPr="00BD16B4">
              <w:rPr>
                <w:b w:val="0"/>
                <w:bCs w:val="0"/>
                <w:vertAlign w:val="subscript"/>
              </w:rPr>
              <w:t>6</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620F299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7ABA868D"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60C8B81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0F4C627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006B3E7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2D4801A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3E74DDE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center"/>
          </w:tcPr>
          <w:p w14:paraId="2472CC84"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center"/>
          </w:tcPr>
          <w:p w14:paraId="631CA60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c>
          <w:tcPr>
            <w:tcW w:w="869"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vAlign w:val="center"/>
          </w:tcPr>
          <w:p w14:paraId="5D1AAF6A"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D16B4">
              <w:t>NE</w:t>
            </w:r>
          </w:p>
        </w:tc>
      </w:tr>
      <w:tr w:rsidR="007C259A" w:rsidRPr="00BD16B4" w14:paraId="21CB17E0" w14:textId="77777777" w:rsidTr="00B103C6">
        <w:trPr>
          <w:trHeight w:val="210"/>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1C556C" w:themeColor="accent1"/>
              <w:bottom w:val="single" w:sz="4" w:space="0" w:color="1C556C" w:themeColor="accent1"/>
            </w:tcBorders>
          </w:tcPr>
          <w:p w14:paraId="16D5384A" w14:textId="77777777" w:rsidR="007C259A" w:rsidRPr="00BD16B4" w:rsidRDefault="007C259A" w:rsidP="00F31129">
            <w:pPr>
              <w:pStyle w:val="TableText"/>
              <w:spacing w:before="50" w:after="50"/>
              <w:rPr>
                <w:b w:val="0"/>
                <w:bCs w:val="0"/>
              </w:rPr>
            </w:pPr>
            <w:r w:rsidRPr="00BD16B4">
              <w:t>Total</w:t>
            </w:r>
          </w:p>
        </w:tc>
        <w:tc>
          <w:tcPr>
            <w:tcW w:w="800" w:type="dxa"/>
            <w:tcBorders>
              <w:top w:val="single" w:sz="4" w:space="0" w:color="1C556C" w:themeColor="accent1"/>
              <w:bottom w:val="single" w:sz="4" w:space="0" w:color="1C556C" w:themeColor="accent1"/>
            </w:tcBorders>
            <w:vAlign w:val="center"/>
          </w:tcPr>
          <w:p w14:paraId="0CDD3E76"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b/>
                <w:bCs/>
              </w:rPr>
            </w:pPr>
            <w:r w:rsidRPr="00BD16B4">
              <w:rPr>
                <w:b/>
                <w:bCs/>
              </w:rPr>
              <w:t>NA</w:t>
            </w:r>
          </w:p>
        </w:tc>
        <w:tc>
          <w:tcPr>
            <w:tcW w:w="800" w:type="dxa"/>
            <w:tcBorders>
              <w:top w:val="single" w:sz="4" w:space="0" w:color="1C556C" w:themeColor="accent1"/>
              <w:bottom w:val="single" w:sz="4" w:space="0" w:color="1C556C" w:themeColor="accent1"/>
            </w:tcBorders>
            <w:vAlign w:val="bottom"/>
          </w:tcPr>
          <w:p w14:paraId="1EB1E499"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b/>
                <w:bCs/>
              </w:rPr>
            </w:pPr>
            <w:r w:rsidRPr="00BD16B4">
              <w:rPr>
                <w:b/>
                <w:bCs/>
                <w:color w:val="000000"/>
              </w:rPr>
              <w:t>–22</w:t>
            </w:r>
          </w:p>
        </w:tc>
        <w:tc>
          <w:tcPr>
            <w:tcW w:w="800" w:type="dxa"/>
            <w:tcBorders>
              <w:top w:val="single" w:sz="4" w:space="0" w:color="1C556C" w:themeColor="accent1"/>
              <w:bottom w:val="single" w:sz="4" w:space="0" w:color="1C556C" w:themeColor="accent1"/>
            </w:tcBorders>
            <w:vAlign w:val="bottom"/>
          </w:tcPr>
          <w:p w14:paraId="299B901C"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b/>
                <w:bCs/>
              </w:rPr>
            </w:pPr>
            <w:r w:rsidRPr="00BD16B4">
              <w:rPr>
                <w:b/>
                <w:bCs/>
                <w:color w:val="000000"/>
              </w:rPr>
              <w:t>296</w:t>
            </w:r>
          </w:p>
        </w:tc>
        <w:tc>
          <w:tcPr>
            <w:tcW w:w="801" w:type="dxa"/>
            <w:tcBorders>
              <w:top w:val="single" w:sz="4" w:space="0" w:color="1C556C" w:themeColor="accent1"/>
              <w:bottom w:val="single" w:sz="4" w:space="0" w:color="1C556C" w:themeColor="accent1"/>
            </w:tcBorders>
            <w:vAlign w:val="bottom"/>
          </w:tcPr>
          <w:p w14:paraId="4FF4436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b/>
                <w:bCs/>
              </w:rPr>
            </w:pPr>
            <w:r w:rsidRPr="00BD16B4">
              <w:rPr>
                <w:b/>
                <w:bCs/>
                <w:color w:val="000000"/>
              </w:rPr>
              <w:t>–5,433</w:t>
            </w:r>
          </w:p>
        </w:tc>
        <w:tc>
          <w:tcPr>
            <w:tcW w:w="800" w:type="dxa"/>
            <w:tcBorders>
              <w:top w:val="single" w:sz="4" w:space="0" w:color="1C556C" w:themeColor="accent1"/>
              <w:bottom w:val="single" w:sz="4" w:space="0" w:color="1C556C" w:themeColor="accent1"/>
            </w:tcBorders>
            <w:vAlign w:val="bottom"/>
          </w:tcPr>
          <w:p w14:paraId="68CBDB2E"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b/>
                <w:bCs/>
              </w:rPr>
            </w:pPr>
            <w:r w:rsidRPr="00BD16B4">
              <w:rPr>
                <w:b/>
                <w:bCs/>
                <w:color w:val="000000"/>
              </w:rPr>
              <w:t>1,513</w:t>
            </w:r>
          </w:p>
        </w:tc>
        <w:tc>
          <w:tcPr>
            <w:tcW w:w="800" w:type="dxa"/>
            <w:tcBorders>
              <w:top w:val="single" w:sz="4" w:space="0" w:color="1C556C" w:themeColor="accent1"/>
              <w:bottom w:val="single" w:sz="4" w:space="0" w:color="1C556C" w:themeColor="accent1"/>
            </w:tcBorders>
            <w:vAlign w:val="bottom"/>
          </w:tcPr>
          <w:p w14:paraId="6FA45617"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b/>
                <w:bCs/>
              </w:rPr>
            </w:pPr>
            <w:r w:rsidRPr="00BD16B4">
              <w:rPr>
                <w:b/>
                <w:bCs/>
                <w:color w:val="000000"/>
              </w:rPr>
              <w:t>2,549</w:t>
            </w:r>
          </w:p>
        </w:tc>
        <w:tc>
          <w:tcPr>
            <w:tcW w:w="801" w:type="dxa"/>
            <w:tcBorders>
              <w:top w:val="single" w:sz="4" w:space="0" w:color="1C556C" w:themeColor="accent1"/>
              <w:bottom w:val="single" w:sz="4" w:space="0" w:color="1C556C" w:themeColor="accent1"/>
            </w:tcBorders>
            <w:vAlign w:val="bottom"/>
          </w:tcPr>
          <w:p w14:paraId="0E879D2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b/>
                <w:bCs/>
              </w:rPr>
            </w:pPr>
            <w:r w:rsidRPr="00BD16B4">
              <w:rPr>
                <w:b/>
                <w:bCs/>
                <w:color w:val="000000"/>
              </w:rPr>
              <w:t>7,235</w:t>
            </w:r>
          </w:p>
        </w:tc>
        <w:tc>
          <w:tcPr>
            <w:tcW w:w="800" w:type="dxa"/>
            <w:tcBorders>
              <w:top w:val="single" w:sz="4" w:space="0" w:color="1C556C" w:themeColor="accent1"/>
              <w:bottom w:val="single" w:sz="4" w:space="0" w:color="1C556C" w:themeColor="accent1"/>
            </w:tcBorders>
            <w:shd w:val="clear" w:color="auto" w:fill="D2DDE1" w:themeFill="background2"/>
            <w:vAlign w:val="bottom"/>
          </w:tcPr>
          <w:p w14:paraId="03A4B11F"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b/>
                <w:bCs/>
              </w:rPr>
            </w:pPr>
            <w:r w:rsidRPr="00BD16B4">
              <w:rPr>
                <w:b/>
                <w:bCs/>
                <w:color w:val="000000"/>
              </w:rPr>
              <w:t>11,362</w:t>
            </w:r>
          </w:p>
        </w:tc>
        <w:tc>
          <w:tcPr>
            <w:tcW w:w="800" w:type="dxa"/>
            <w:tcBorders>
              <w:top w:val="single" w:sz="4" w:space="0" w:color="1C556C" w:themeColor="accent1"/>
              <w:bottom w:val="single" w:sz="4" w:space="0" w:color="1C556C" w:themeColor="accent1"/>
            </w:tcBorders>
            <w:shd w:val="clear" w:color="auto" w:fill="D2DDE1" w:themeFill="background2"/>
            <w:vAlign w:val="bottom"/>
          </w:tcPr>
          <w:p w14:paraId="602B9E78"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b/>
                <w:bCs/>
              </w:rPr>
            </w:pPr>
            <w:r w:rsidRPr="00BD16B4">
              <w:rPr>
                <w:b/>
                <w:bCs/>
                <w:color w:val="000000"/>
              </w:rPr>
              <w:t>21,015</w:t>
            </w:r>
          </w:p>
        </w:tc>
        <w:tc>
          <w:tcPr>
            <w:tcW w:w="869" w:type="dxa"/>
            <w:tcBorders>
              <w:top w:val="single" w:sz="4" w:space="0" w:color="1C556C" w:themeColor="accent1"/>
              <w:bottom w:val="single" w:sz="4" w:space="0" w:color="1C556C" w:themeColor="accent1"/>
            </w:tcBorders>
            <w:shd w:val="clear" w:color="auto" w:fill="D2DDE1" w:themeFill="background2"/>
            <w:vAlign w:val="bottom"/>
          </w:tcPr>
          <w:p w14:paraId="046B41E1" w14:textId="77777777" w:rsidR="007C259A" w:rsidRPr="00BD16B4" w:rsidRDefault="007C259A" w:rsidP="00F31129">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b/>
                <w:bCs/>
              </w:rPr>
            </w:pPr>
            <w:r w:rsidRPr="00BD16B4">
              <w:rPr>
                <w:b/>
                <w:bCs/>
                <w:color w:val="000000"/>
              </w:rPr>
              <w:t>30,694</w:t>
            </w:r>
          </w:p>
        </w:tc>
      </w:tr>
    </w:tbl>
    <w:p w14:paraId="075FBCA1" w14:textId="77777777" w:rsidR="007C259A" w:rsidRPr="00BD16B4" w:rsidRDefault="007C259A" w:rsidP="00120409">
      <w:pPr>
        <w:pStyle w:val="Note"/>
      </w:pPr>
      <w:r w:rsidRPr="00BD16B4">
        <w:rPr>
          <w:b/>
          <w:bCs/>
        </w:rPr>
        <w:t>Note:</w:t>
      </w:r>
      <w:r w:rsidRPr="00BD16B4">
        <w:t xml:space="preserve"> CH</w:t>
      </w:r>
      <w:r w:rsidRPr="00BD16B4">
        <w:rPr>
          <w:vertAlign w:val="subscript"/>
        </w:rPr>
        <w:t>4</w:t>
      </w:r>
      <w:r w:rsidRPr="00BD16B4">
        <w:t xml:space="preserve"> = methane; CO</w:t>
      </w:r>
      <w:r w:rsidRPr="00BD16B4">
        <w:rPr>
          <w:vertAlign w:val="subscript"/>
        </w:rPr>
        <w:t>2</w:t>
      </w:r>
      <w:r w:rsidRPr="00BD16B4">
        <w:t xml:space="preserve"> = carbon dioxide; HFCs = hydrofluorocarbons; kt CO</w:t>
      </w:r>
      <w:r w:rsidRPr="00BD16B4">
        <w:rPr>
          <w:vertAlign w:val="subscript"/>
        </w:rPr>
        <w:t>2</w:t>
      </w:r>
      <w:r w:rsidRPr="00BD16B4">
        <w:t>-e = kilotonnes of carbon dioxide equivalent; NA = not applicable; NE = not estimated; N</w:t>
      </w:r>
      <w:r w:rsidRPr="00BD16B4">
        <w:rPr>
          <w:vertAlign w:val="subscript"/>
        </w:rPr>
        <w:t>2</w:t>
      </w:r>
      <w:r w:rsidRPr="00BD16B4">
        <w:t>O = nitrous oxide; PFCs = perfluorocarbons; SF</w:t>
      </w:r>
      <w:r w:rsidRPr="00BD16B4">
        <w:rPr>
          <w:vertAlign w:val="subscript"/>
        </w:rPr>
        <w:t>6</w:t>
      </w:r>
      <w:r w:rsidRPr="00BD16B4">
        <w:t xml:space="preserve"> = sulphur hexafluoride. A</w:t>
      </w:r>
      <w:r w:rsidRPr="00BD16B4">
        <w:rPr>
          <w:rFonts w:asciiTheme="minorHAnsi" w:hAnsiTheme="minorHAnsi" w:cstheme="minorHAnsi"/>
        </w:rPr>
        <w:t>n increase in net emissions to the atmosphere is expressed as a negative (–), while a</w:t>
      </w:r>
      <w:r w:rsidRPr="00BD16B4">
        <w:t xml:space="preserve"> reduction in net emi</w:t>
      </w:r>
      <w:r w:rsidRPr="00BD16B4">
        <w:rPr>
          <w:rFonts w:asciiTheme="minorHAnsi" w:hAnsiTheme="minorHAnsi" w:cstheme="minorHAnsi"/>
        </w:rPr>
        <w:t>ssions to the atmosphere is expressed as a positive.</w:t>
      </w:r>
    </w:p>
    <w:p w14:paraId="7ED40E34" w14:textId="77777777" w:rsidR="007C259A" w:rsidRPr="00BD16B4" w:rsidRDefault="007C259A" w:rsidP="007C259A">
      <w:pPr>
        <w:pStyle w:val="Heading3"/>
      </w:pPr>
      <w:r w:rsidRPr="00BD16B4">
        <w:t>5.3.2</w:t>
      </w:r>
      <w:r w:rsidRPr="00BD16B4">
        <w:tab/>
        <w:t>Total effect of additional policies and measures</w:t>
      </w:r>
    </w:p>
    <w:p w14:paraId="2831D70E" w14:textId="77777777" w:rsidR="007C259A" w:rsidRPr="00BD16B4" w:rsidRDefault="007C259A" w:rsidP="007C259A">
      <w:pPr>
        <w:pStyle w:val="BodyText"/>
      </w:pPr>
      <w:r w:rsidRPr="00BD16B4">
        <w:t>The quantified effect of additional policies and measures, calculated based on the difference in emissions and removals between WEM and WAM scenarios emissions and removals, is presented in table 5.9 by sector and table 5.10 by gas. For 2025, the total effect of additional policies and measures including LULUCF is estimated to be a reduction of 0.2 Mt CO</w:t>
      </w:r>
      <w:r w:rsidRPr="00BD16B4">
        <w:rPr>
          <w:vertAlign w:val="subscript"/>
        </w:rPr>
        <w:t>2</w:t>
      </w:r>
      <w:r w:rsidRPr="00BD16B4">
        <w:t>-e (annual reduction, not cumulative). In 2035, the total effect of additional policies and measures is estimated to reduce emissions by 3.7 Mt CO</w:t>
      </w:r>
      <w:r w:rsidRPr="00BD16B4">
        <w:rPr>
          <w:vertAlign w:val="subscript"/>
        </w:rPr>
        <w:t>2</w:t>
      </w:r>
      <w:r w:rsidRPr="00BD16B4">
        <w:noBreakHyphen/>
        <w:t>e (1.2 Mt CO</w:t>
      </w:r>
      <w:r w:rsidRPr="00BD16B4">
        <w:rPr>
          <w:vertAlign w:val="subscript"/>
        </w:rPr>
        <w:t>2</w:t>
      </w:r>
      <w:r w:rsidRPr="00BD16B4">
        <w:t>-e excluding LULUCF).</w:t>
      </w:r>
    </w:p>
    <w:p w14:paraId="1B13F8CC" w14:textId="77777777" w:rsidR="007C259A" w:rsidRPr="00BD16B4" w:rsidRDefault="007C259A" w:rsidP="00BB7302">
      <w:pPr>
        <w:pStyle w:val="Tableheading"/>
        <w:rPr>
          <w:rFonts w:eastAsia="Calibri"/>
        </w:rPr>
      </w:pPr>
      <w:bookmarkStart w:id="286" w:name="_Toc121773799"/>
      <w:r w:rsidRPr="00BD16B4">
        <w:rPr>
          <w:rFonts w:eastAsia="Calibri"/>
        </w:rPr>
        <w:lastRenderedPageBreak/>
        <w:t xml:space="preserve">Table 5.9: </w:t>
      </w:r>
      <w:r w:rsidRPr="00BD16B4">
        <w:rPr>
          <w:rFonts w:eastAsia="Calibri"/>
        </w:rPr>
        <w:tab/>
        <w:t>Total effect of additional policies and measures by sector, 1990–2035 (kt CO</w:t>
      </w:r>
      <w:r w:rsidRPr="00BD16B4">
        <w:rPr>
          <w:rFonts w:eastAsia="Calibri"/>
          <w:vertAlign w:val="subscript"/>
        </w:rPr>
        <w:t>2</w:t>
      </w:r>
      <w:r w:rsidRPr="00BD16B4">
        <w:rPr>
          <w:rFonts w:eastAsia="Calibri"/>
        </w:rPr>
        <w:t>-e)</w:t>
      </w:r>
      <w:bookmarkEnd w:id="286"/>
    </w:p>
    <w:tbl>
      <w:tblPr>
        <w:tblStyle w:val="LightList-Accent11"/>
        <w:tblW w:w="8505" w:type="dxa"/>
        <w:tblInd w:w="113" w:type="dxa"/>
        <w:tblBorders>
          <w:top w:val="single" w:sz="4" w:space="0" w:color="1C556C" w:themeColor="accent1"/>
          <w:left w:val="none" w:sz="0" w:space="0" w:color="auto"/>
          <w:bottom w:val="single" w:sz="4" w:space="0" w:color="1C556C" w:themeColor="accent1"/>
          <w:right w:val="none" w:sz="0" w:space="0" w:color="auto"/>
          <w:insideH w:val="single" w:sz="6" w:space="0" w:color="1C556C" w:themeColor="accent1"/>
          <w:insideV w:val="single" w:sz="6" w:space="0" w:color="1C556C" w:themeColor="accent1"/>
        </w:tblBorders>
        <w:tblLook w:val="06A0" w:firstRow="1" w:lastRow="0" w:firstColumn="1" w:lastColumn="0" w:noHBand="1" w:noVBand="1"/>
      </w:tblPr>
      <w:tblGrid>
        <w:gridCol w:w="2173"/>
        <w:gridCol w:w="1226"/>
        <w:gridCol w:w="1226"/>
        <w:gridCol w:w="1226"/>
        <w:gridCol w:w="1327"/>
        <w:gridCol w:w="1327"/>
      </w:tblGrid>
      <w:tr w:rsidR="007C259A" w:rsidRPr="00BD16B4" w14:paraId="73FEE2B2" w14:textId="77777777" w:rsidTr="006A7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pct"/>
            <w:tcBorders>
              <w:top w:val="single" w:sz="4" w:space="0" w:color="1C556C" w:themeColor="accent1"/>
              <w:bottom w:val="single" w:sz="4" w:space="0" w:color="1C556C" w:themeColor="accent1"/>
              <w:right w:val="nil"/>
            </w:tcBorders>
            <w:shd w:val="clear" w:color="auto" w:fill="1B556B" w:themeFill="text2"/>
          </w:tcPr>
          <w:p w14:paraId="683C733D" w14:textId="77777777" w:rsidR="007C259A" w:rsidRPr="00BD16B4" w:rsidRDefault="007C259A" w:rsidP="00A254C4">
            <w:pPr>
              <w:pStyle w:val="TableTextBold0"/>
              <w:keepNext/>
              <w:spacing w:before="40" w:after="50"/>
              <w:rPr>
                <w:b/>
                <w:bCs w:val="0"/>
              </w:rPr>
            </w:pPr>
            <w:r w:rsidRPr="00BD16B4">
              <w:rPr>
                <w:b/>
                <w:bCs w:val="0"/>
              </w:rPr>
              <w:t>Sector</w:t>
            </w:r>
          </w:p>
        </w:tc>
        <w:tc>
          <w:tcPr>
            <w:tcW w:w="721" w:type="pct"/>
            <w:tcBorders>
              <w:top w:val="single" w:sz="4" w:space="0" w:color="1C556C" w:themeColor="accent1"/>
              <w:left w:val="nil"/>
              <w:bottom w:val="single" w:sz="4" w:space="0" w:color="1C556C" w:themeColor="accent1"/>
              <w:right w:val="nil"/>
            </w:tcBorders>
            <w:shd w:val="clear" w:color="auto" w:fill="1B556B" w:themeFill="text2"/>
          </w:tcPr>
          <w:p w14:paraId="721DCFC9" w14:textId="77777777" w:rsidR="007C259A" w:rsidRPr="00BD16B4" w:rsidRDefault="007C259A" w:rsidP="00A254C4">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1990</w:t>
            </w:r>
          </w:p>
        </w:tc>
        <w:tc>
          <w:tcPr>
            <w:tcW w:w="721" w:type="pct"/>
            <w:tcBorders>
              <w:top w:val="single" w:sz="4" w:space="0" w:color="1C556C" w:themeColor="accent1"/>
              <w:left w:val="nil"/>
              <w:bottom w:val="single" w:sz="4" w:space="0" w:color="1C556C" w:themeColor="accent1"/>
              <w:right w:val="nil"/>
            </w:tcBorders>
            <w:shd w:val="clear" w:color="auto" w:fill="1B556B" w:themeFill="text2"/>
          </w:tcPr>
          <w:p w14:paraId="7CB9500C" w14:textId="77777777" w:rsidR="007C259A" w:rsidRPr="00BD16B4" w:rsidRDefault="007C259A" w:rsidP="00A254C4">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2020</w:t>
            </w:r>
          </w:p>
        </w:tc>
        <w:tc>
          <w:tcPr>
            <w:tcW w:w="721" w:type="pct"/>
            <w:tcBorders>
              <w:top w:val="single" w:sz="4" w:space="0" w:color="1C556C" w:themeColor="accent1"/>
              <w:left w:val="nil"/>
              <w:bottom w:val="single" w:sz="4" w:space="0" w:color="1C556C" w:themeColor="accent1"/>
              <w:right w:val="nil"/>
            </w:tcBorders>
            <w:shd w:val="clear" w:color="auto" w:fill="1B556B" w:themeFill="text2"/>
          </w:tcPr>
          <w:p w14:paraId="6C40CA47" w14:textId="77777777" w:rsidR="007C259A" w:rsidRPr="00BD16B4" w:rsidRDefault="007C259A" w:rsidP="00A254C4">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2025</w:t>
            </w:r>
          </w:p>
        </w:tc>
        <w:tc>
          <w:tcPr>
            <w:tcW w:w="780" w:type="pct"/>
            <w:tcBorders>
              <w:top w:val="single" w:sz="4" w:space="0" w:color="1C556C" w:themeColor="accent1"/>
              <w:left w:val="nil"/>
              <w:bottom w:val="single" w:sz="4" w:space="0" w:color="1C556C" w:themeColor="accent1"/>
              <w:right w:val="nil"/>
            </w:tcBorders>
            <w:shd w:val="clear" w:color="auto" w:fill="1B556B" w:themeFill="text2"/>
          </w:tcPr>
          <w:p w14:paraId="0C9CF19E" w14:textId="77777777" w:rsidR="007C259A" w:rsidRPr="00BD16B4" w:rsidRDefault="007C259A" w:rsidP="00A254C4">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2030</w:t>
            </w:r>
          </w:p>
        </w:tc>
        <w:tc>
          <w:tcPr>
            <w:tcW w:w="780" w:type="pct"/>
            <w:tcBorders>
              <w:top w:val="single" w:sz="4" w:space="0" w:color="1C556C" w:themeColor="accent1"/>
              <w:left w:val="nil"/>
              <w:bottom w:val="single" w:sz="4" w:space="0" w:color="1C556C" w:themeColor="accent1"/>
            </w:tcBorders>
            <w:shd w:val="clear" w:color="auto" w:fill="1B556B" w:themeFill="text2"/>
          </w:tcPr>
          <w:p w14:paraId="7BEDFC8F" w14:textId="77777777" w:rsidR="007C259A" w:rsidRPr="00BD16B4" w:rsidRDefault="007C259A" w:rsidP="00A254C4">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2035</w:t>
            </w:r>
          </w:p>
        </w:tc>
      </w:tr>
      <w:tr w:rsidR="007C259A" w:rsidRPr="00BD16B4" w14:paraId="57F211F6" w14:textId="77777777" w:rsidTr="009C1721">
        <w:tc>
          <w:tcPr>
            <w:cnfStyle w:val="001000000000" w:firstRow="0" w:lastRow="0" w:firstColumn="1" w:lastColumn="0" w:oddVBand="0" w:evenVBand="0" w:oddHBand="0" w:evenHBand="0" w:firstRowFirstColumn="0" w:firstRowLastColumn="0" w:lastRowFirstColumn="0" w:lastRowLastColumn="0"/>
            <w:tcW w:w="1277" w:type="pct"/>
            <w:tcBorders>
              <w:top w:val="single" w:sz="4" w:space="0" w:color="1C556C" w:themeColor="accent1"/>
              <w:bottom w:val="single" w:sz="4" w:space="0" w:color="1C556C" w:themeColor="accent1"/>
              <w:right w:val="single" w:sz="4" w:space="0" w:color="1C556C" w:themeColor="accent1"/>
            </w:tcBorders>
          </w:tcPr>
          <w:p w14:paraId="144BC479" w14:textId="77777777" w:rsidR="007C259A" w:rsidRPr="00BD16B4" w:rsidRDefault="007C259A" w:rsidP="00A254C4">
            <w:pPr>
              <w:pStyle w:val="TableText"/>
              <w:keepNext/>
              <w:spacing w:before="40" w:after="50"/>
              <w:rPr>
                <w:b w:val="0"/>
                <w:bCs w:val="0"/>
              </w:rPr>
            </w:pPr>
            <w:r w:rsidRPr="00BD16B4">
              <w:rPr>
                <w:b w:val="0"/>
                <w:bCs w:val="0"/>
              </w:rPr>
              <w:t>Energy</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39BD0889"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D16B4">
              <w:t>0</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23FD3A8D"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D16B4">
              <w:t>0</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44BBF157"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D16B4">
              <w:t>2</w:t>
            </w:r>
          </w:p>
        </w:tc>
        <w:tc>
          <w:tcPr>
            <w:tcW w:w="780"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79266055"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D16B4">
              <w:t>713</w:t>
            </w:r>
          </w:p>
        </w:tc>
        <w:tc>
          <w:tcPr>
            <w:tcW w:w="780" w:type="pct"/>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504A92E4"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D16B4">
              <w:t>503</w:t>
            </w:r>
          </w:p>
        </w:tc>
      </w:tr>
      <w:tr w:rsidR="007C259A" w:rsidRPr="00BD16B4" w14:paraId="6924B66B" w14:textId="77777777" w:rsidTr="009C1721">
        <w:tc>
          <w:tcPr>
            <w:cnfStyle w:val="001000000000" w:firstRow="0" w:lastRow="0" w:firstColumn="1" w:lastColumn="0" w:oddVBand="0" w:evenVBand="0" w:oddHBand="0" w:evenHBand="0" w:firstRowFirstColumn="0" w:firstRowLastColumn="0" w:lastRowFirstColumn="0" w:lastRowLastColumn="0"/>
            <w:tcW w:w="1277" w:type="pct"/>
            <w:tcBorders>
              <w:top w:val="single" w:sz="4" w:space="0" w:color="1C556C" w:themeColor="accent1"/>
              <w:bottom w:val="single" w:sz="4" w:space="0" w:color="1C556C" w:themeColor="accent1"/>
              <w:right w:val="single" w:sz="4" w:space="0" w:color="1C556C" w:themeColor="accent1"/>
            </w:tcBorders>
          </w:tcPr>
          <w:p w14:paraId="7CA80219" w14:textId="77777777" w:rsidR="007C259A" w:rsidRPr="00BD16B4" w:rsidRDefault="007C259A" w:rsidP="00A254C4">
            <w:pPr>
              <w:pStyle w:val="TableText"/>
              <w:keepNext/>
              <w:spacing w:before="40" w:after="50"/>
              <w:rPr>
                <w:b w:val="0"/>
                <w:bCs w:val="0"/>
              </w:rPr>
            </w:pPr>
            <w:r w:rsidRPr="00BD16B4">
              <w:rPr>
                <w:b w:val="0"/>
                <w:bCs w:val="0"/>
              </w:rPr>
              <w:t>Transport</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54658353"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D16B4">
              <w:t>0</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556BE5F0"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D16B4">
              <w:t>0</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2760F969"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D16B4">
              <w:t>0</w:t>
            </w:r>
          </w:p>
        </w:tc>
        <w:tc>
          <w:tcPr>
            <w:tcW w:w="780"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4E4D0716"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D16B4">
              <w:t>0</w:t>
            </w:r>
          </w:p>
        </w:tc>
        <w:tc>
          <w:tcPr>
            <w:tcW w:w="780" w:type="pct"/>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7C15BDF1"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D16B4">
              <w:t>0</w:t>
            </w:r>
          </w:p>
        </w:tc>
      </w:tr>
      <w:tr w:rsidR="007C259A" w:rsidRPr="00BD16B4" w14:paraId="2C886907" w14:textId="77777777" w:rsidTr="009C1721">
        <w:tc>
          <w:tcPr>
            <w:cnfStyle w:val="001000000000" w:firstRow="0" w:lastRow="0" w:firstColumn="1" w:lastColumn="0" w:oddVBand="0" w:evenVBand="0" w:oddHBand="0" w:evenHBand="0" w:firstRowFirstColumn="0" w:firstRowLastColumn="0" w:lastRowFirstColumn="0" w:lastRowLastColumn="0"/>
            <w:tcW w:w="1277" w:type="pct"/>
            <w:tcBorders>
              <w:top w:val="single" w:sz="4" w:space="0" w:color="1C556C" w:themeColor="accent1"/>
              <w:bottom w:val="single" w:sz="4" w:space="0" w:color="1C556C" w:themeColor="accent1"/>
              <w:right w:val="single" w:sz="4" w:space="0" w:color="1C556C" w:themeColor="accent1"/>
            </w:tcBorders>
          </w:tcPr>
          <w:p w14:paraId="4077080E" w14:textId="77777777" w:rsidR="007C259A" w:rsidRPr="00BD16B4" w:rsidRDefault="007C259A" w:rsidP="00A254C4">
            <w:pPr>
              <w:pStyle w:val="TableText"/>
              <w:keepNext/>
              <w:spacing w:before="40" w:after="50"/>
              <w:rPr>
                <w:b w:val="0"/>
                <w:bCs w:val="0"/>
              </w:rPr>
            </w:pPr>
            <w:r w:rsidRPr="00BD16B4">
              <w:rPr>
                <w:b w:val="0"/>
                <w:bCs w:val="0"/>
              </w:rPr>
              <w:t>IPPU</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317CCB1E"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D16B4">
              <w:t>0</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1B89030F"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D16B4">
              <w:t>0</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72472306"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D16B4">
              <w:t>79</w:t>
            </w:r>
          </w:p>
        </w:tc>
        <w:tc>
          <w:tcPr>
            <w:tcW w:w="780"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2E178F72"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D16B4">
              <w:t>100</w:t>
            </w:r>
          </w:p>
        </w:tc>
        <w:tc>
          <w:tcPr>
            <w:tcW w:w="780" w:type="pct"/>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58E6E267"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D16B4">
              <w:t>242</w:t>
            </w:r>
          </w:p>
        </w:tc>
      </w:tr>
      <w:tr w:rsidR="007C259A" w:rsidRPr="00BD16B4" w14:paraId="7DB13113" w14:textId="77777777" w:rsidTr="009C1721">
        <w:tc>
          <w:tcPr>
            <w:cnfStyle w:val="001000000000" w:firstRow="0" w:lastRow="0" w:firstColumn="1" w:lastColumn="0" w:oddVBand="0" w:evenVBand="0" w:oddHBand="0" w:evenHBand="0" w:firstRowFirstColumn="0" w:firstRowLastColumn="0" w:lastRowFirstColumn="0" w:lastRowLastColumn="0"/>
            <w:tcW w:w="1277" w:type="pct"/>
            <w:tcBorders>
              <w:top w:val="single" w:sz="4" w:space="0" w:color="1C556C" w:themeColor="accent1"/>
              <w:bottom w:val="single" w:sz="4" w:space="0" w:color="1C556C" w:themeColor="accent1"/>
              <w:right w:val="single" w:sz="4" w:space="0" w:color="1C556C" w:themeColor="accent1"/>
            </w:tcBorders>
          </w:tcPr>
          <w:p w14:paraId="083202B2" w14:textId="77777777" w:rsidR="007C259A" w:rsidRPr="00BD16B4" w:rsidRDefault="007C259A" w:rsidP="00A254C4">
            <w:pPr>
              <w:pStyle w:val="TableText"/>
              <w:spacing w:before="40" w:after="50"/>
              <w:rPr>
                <w:b w:val="0"/>
                <w:bCs w:val="0"/>
              </w:rPr>
            </w:pPr>
            <w:r w:rsidRPr="00BD16B4">
              <w:rPr>
                <w:b w:val="0"/>
                <w:bCs w:val="0"/>
              </w:rPr>
              <w:t>Agriculture</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019E0F48"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D16B4">
              <w:t>0</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27BCDB81"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D16B4">
              <w:t>0</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133DACFF"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D16B4">
              <w:t>42</w:t>
            </w:r>
          </w:p>
        </w:tc>
        <w:tc>
          <w:tcPr>
            <w:tcW w:w="780"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40227C67"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D16B4">
              <w:t>133</w:t>
            </w:r>
          </w:p>
        </w:tc>
        <w:tc>
          <w:tcPr>
            <w:tcW w:w="780" w:type="pct"/>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060B61BD"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D16B4">
              <w:t>222</w:t>
            </w:r>
          </w:p>
        </w:tc>
      </w:tr>
      <w:tr w:rsidR="007C259A" w:rsidRPr="00BD16B4" w14:paraId="285CB475" w14:textId="77777777" w:rsidTr="009C1721">
        <w:tc>
          <w:tcPr>
            <w:cnfStyle w:val="001000000000" w:firstRow="0" w:lastRow="0" w:firstColumn="1" w:lastColumn="0" w:oddVBand="0" w:evenVBand="0" w:oddHBand="0" w:evenHBand="0" w:firstRowFirstColumn="0" w:firstRowLastColumn="0" w:lastRowFirstColumn="0" w:lastRowLastColumn="0"/>
            <w:tcW w:w="1277" w:type="pct"/>
            <w:tcBorders>
              <w:top w:val="single" w:sz="4" w:space="0" w:color="1C556C" w:themeColor="accent1"/>
              <w:bottom w:val="single" w:sz="4" w:space="0" w:color="1C556C" w:themeColor="accent1"/>
              <w:right w:val="single" w:sz="4" w:space="0" w:color="1C556C" w:themeColor="accent1"/>
            </w:tcBorders>
          </w:tcPr>
          <w:p w14:paraId="11B4A68F" w14:textId="77777777" w:rsidR="007C259A" w:rsidRPr="00BD16B4" w:rsidRDefault="007C259A" w:rsidP="00A254C4">
            <w:pPr>
              <w:pStyle w:val="TableText"/>
              <w:spacing w:before="40" w:after="50"/>
              <w:rPr>
                <w:b w:val="0"/>
                <w:bCs w:val="0"/>
              </w:rPr>
            </w:pPr>
            <w:r w:rsidRPr="00BD16B4">
              <w:rPr>
                <w:b w:val="0"/>
                <w:bCs w:val="0"/>
              </w:rPr>
              <w:t>LULUCF</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5A666AC7"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D16B4">
              <w:t>0</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261B424A"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D16B4">
              <w:t>0</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7ECADD3B"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D16B4">
              <w:t>105</w:t>
            </w:r>
          </w:p>
        </w:tc>
        <w:tc>
          <w:tcPr>
            <w:tcW w:w="780"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47962428"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D16B4">
              <w:t>1,414</w:t>
            </w:r>
          </w:p>
        </w:tc>
        <w:tc>
          <w:tcPr>
            <w:tcW w:w="780" w:type="pct"/>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65F5F8F5"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D16B4">
              <w:t>2,557</w:t>
            </w:r>
          </w:p>
        </w:tc>
      </w:tr>
      <w:tr w:rsidR="007C259A" w:rsidRPr="00BD16B4" w14:paraId="38226235" w14:textId="77777777" w:rsidTr="009C1721">
        <w:tc>
          <w:tcPr>
            <w:cnfStyle w:val="001000000000" w:firstRow="0" w:lastRow="0" w:firstColumn="1" w:lastColumn="0" w:oddVBand="0" w:evenVBand="0" w:oddHBand="0" w:evenHBand="0" w:firstRowFirstColumn="0" w:firstRowLastColumn="0" w:lastRowFirstColumn="0" w:lastRowLastColumn="0"/>
            <w:tcW w:w="1277" w:type="pct"/>
            <w:tcBorders>
              <w:top w:val="single" w:sz="4" w:space="0" w:color="1C556C" w:themeColor="accent1"/>
              <w:bottom w:val="single" w:sz="4" w:space="0" w:color="1C556C" w:themeColor="accent1"/>
              <w:right w:val="single" w:sz="4" w:space="0" w:color="1C556C" w:themeColor="accent1"/>
            </w:tcBorders>
          </w:tcPr>
          <w:p w14:paraId="0783C419" w14:textId="77777777" w:rsidR="007C259A" w:rsidRPr="00BD16B4" w:rsidRDefault="007C259A" w:rsidP="00A254C4">
            <w:pPr>
              <w:pStyle w:val="TableText"/>
              <w:spacing w:before="40" w:after="50"/>
              <w:rPr>
                <w:b w:val="0"/>
                <w:bCs w:val="0"/>
              </w:rPr>
            </w:pPr>
            <w:r w:rsidRPr="00BD16B4">
              <w:rPr>
                <w:b w:val="0"/>
                <w:bCs w:val="0"/>
              </w:rPr>
              <w:t>Waste</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6506B385"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4D21D73F"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721"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264B753D"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D16B4">
              <w:t>0</w:t>
            </w:r>
          </w:p>
        </w:tc>
        <w:tc>
          <w:tcPr>
            <w:tcW w:w="780"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37DD6779"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D16B4">
              <w:t>142</w:t>
            </w:r>
          </w:p>
        </w:tc>
        <w:tc>
          <w:tcPr>
            <w:tcW w:w="780" w:type="pct"/>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43D75D48"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D16B4">
              <w:t>223</w:t>
            </w:r>
          </w:p>
        </w:tc>
      </w:tr>
      <w:tr w:rsidR="007C259A" w:rsidRPr="00BD16B4" w14:paraId="32148A66" w14:textId="77777777" w:rsidTr="009C1721">
        <w:tc>
          <w:tcPr>
            <w:cnfStyle w:val="001000000000" w:firstRow="0" w:lastRow="0" w:firstColumn="1" w:lastColumn="0" w:oddVBand="0" w:evenVBand="0" w:oddHBand="0" w:evenHBand="0" w:firstRowFirstColumn="0" w:firstRowLastColumn="0" w:lastRowFirstColumn="0" w:lastRowLastColumn="0"/>
            <w:tcW w:w="1277" w:type="pct"/>
            <w:tcBorders>
              <w:top w:val="single" w:sz="4" w:space="0" w:color="1C556C" w:themeColor="accent1"/>
              <w:bottom w:val="single" w:sz="4" w:space="0" w:color="1C556C" w:themeColor="accent1"/>
            </w:tcBorders>
          </w:tcPr>
          <w:p w14:paraId="1A1E56EF" w14:textId="77777777" w:rsidR="007C259A" w:rsidRPr="00BD16B4" w:rsidRDefault="007C259A" w:rsidP="00A254C4">
            <w:pPr>
              <w:pStyle w:val="TableText"/>
              <w:spacing w:before="40" w:after="50"/>
            </w:pPr>
            <w:r w:rsidRPr="00BD16B4">
              <w:t>Total</w:t>
            </w:r>
          </w:p>
        </w:tc>
        <w:tc>
          <w:tcPr>
            <w:tcW w:w="721" w:type="pct"/>
            <w:tcBorders>
              <w:top w:val="single" w:sz="4" w:space="0" w:color="1C556C" w:themeColor="accent1"/>
              <w:bottom w:val="single" w:sz="4" w:space="0" w:color="1C556C" w:themeColor="accent1"/>
            </w:tcBorders>
          </w:tcPr>
          <w:p w14:paraId="18F9D3D6"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b/>
                <w:bCs/>
              </w:rPr>
            </w:pPr>
            <w:r w:rsidRPr="00BD16B4">
              <w:rPr>
                <w:b/>
                <w:bCs/>
              </w:rPr>
              <w:t>0</w:t>
            </w:r>
          </w:p>
        </w:tc>
        <w:tc>
          <w:tcPr>
            <w:tcW w:w="721" w:type="pct"/>
            <w:tcBorders>
              <w:top w:val="single" w:sz="4" w:space="0" w:color="1C556C" w:themeColor="accent1"/>
              <w:bottom w:val="single" w:sz="4" w:space="0" w:color="1C556C" w:themeColor="accent1"/>
            </w:tcBorders>
          </w:tcPr>
          <w:p w14:paraId="43407762"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b/>
                <w:bCs/>
              </w:rPr>
            </w:pPr>
            <w:r w:rsidRPr="00BD16B4">
              <w:rPr>
                <w:b/>
                <w:bCs/>
              </w:rPr>
              <w:t>0</w:t>
            </w:r>
          </w:p>
        </w:tc>
        <w:tc>
          <w:tcPr>
            <w:tcW w:w="721" w:type="pct"/>
            <w:tcBorders>
              <w:top w:val="single" w:sz="4" w:space="0" w:color="1C556C" w:themeColor="accent1"/>
              <w:bottom w:val="single" w:sz="4" w:space="0" w:color="1C556C" w:themeColor="accent1"/>
            </w:tcBorders>
            <w:shd w:val="clear" w:color="auto" w:fill="D2DDE1" w:themeFill="background2"/>
          </w:tcPr>
          <w:p w14:paraId="1B30BEC0"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b/>
                <w:bCs/>
              </w:rPr>
            </w:pPr>
            <w:r w:rsidRPr="00BD16B4">
              <w:rPr>
                <w:b/>
                <w:bCs/>
              </w:rPr>
              <w:t>228</w:t>
            </w:r>
          </w:p>
        </w:tc>
        <w:tc>
          <w:tcPr>
            <w:tcW w:w="780" w:type="pct"/>
            <w:tcBorders>
              <w:top w:val="single" w:sz="4" w:space="0" w:color="1C556C" w:themeColor="accent1"/>
              <w:bottom w:val="single" w:sz="4" w:space="0" w:color="1C556C" w:themeColor="accent1"/>
            </w:tcBorders>
            <w:shd w:val="clear" w:color="auto" w:fill="D2DDE1" w:themeFill="background2"/>
          </w:tcPr>
          <w:p w14:paraId="38127E8D"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b/>
                <w:bCs/>
              </w:rPr>
            </w:pPr>
            <w:r w:rsidRPr="00BD16B4">
              <w:rPr>
                <w:b/>
                <w:bCs/>
              </w:rPr>
              <w:t>2,502</w:t>
            </w:r>
          </w:p>
        </w:tc>
        <w:tc>
          <w:tcPr>
            <w:tcW w:w="780" w:type="pct"/>
            <w:tcBorders>
              <w:top w:val="single" w:sz="4" w:space="0" w:color="1C556C" w:themeColor="accent1"/>
              <w:bottom w:val="single" w:sz="4" w:space="0" w:color="1C556C" w:themeColor="accent1"/>
            </w:tcBorders>
            <w:shd w:val="clear" w:color="auto" w:fill="D2DDE1" w:themeFill="background2"/>
          </w:tcPr>
          <w:p w14:paraId="388DC6E8"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b/>
                <w:bCs/>
              </w:rPr>
            </w:pPr>
            <w:r w:rsidRPr="00BD16B4">
              <w:rPr>
                <w:b/>
                <w:bCs/>
              </w:rPr>
              <w:t>3,747</w:t>
            </w:r>
          </w:p>
        </w:tc>
      </w:tr>
    </w:tbl>
    <w:p w14:paraId="590E35E8" w14:textId="77777777" w:rsidR="007C259A" w:rsidRPr="00BD16B4" w:rsidRDefault="007C259A" w:rsidP="00120409">
      <w:pPr>
        <w:pStyle w:val="Note"/>
      </w:pPr>
      <w:r w:rsidRPr="00BD16B4">
        <w:rPr>
          <w:b/>
          <w:bCs/>
        </w:rPr>
        <w:t>Note:</w:t>
      </w:r>
      <w:r w:rsidRPr="00BD16B4">
        <w:t xml:space="preserve"> IPPU = industrial processes and product use; kt CO</w:t>
      </w:r>
      <w:r w:rsidRPr="00BD16B4">
        <w:rPr>
          <w:vertAlign w:val="subscript"/>
        </w:rPr>
        <w:t>2</w:t>
      </w:r>
      <w:r w:rsidRPr="00BD16B4">
        <w:t>-e = kilotonnes of carbon dioxide equivalent; LULUCF = land use, land-use change and forestry; NA = not applicable; NE = not estimated. A</w:t>
      </w:r>
      <w:r w:rsidRPr="00BD16B4">
        <w:rPr>
          <w:rFonts w:asciiTheme="minorHAnsi" w:hAnsiTheme="minorHAnsi" w:cstheme="minorHAnsi"/>
        </w:rPr>
        <w:t>n increase in net emissions to the atmosphere is expressed as a negative (–), while a</w:t>
      </w:r>
      <w:r w:rsidRPr="00BD16B4">
        <w:t xml:space="preserve"> reduction in net emi</w:t>
      </w:r>
      <w:r w:rsidRPr="00BD16B4">
        <w:rPr>
          <w:rFonts w:asciiTheme="minorHAnsi" w:hAnsiTheme="minorHAnsi" w:cstheme="minorHAnsi"/>
        </w:rPr>
        <w:t>ssions to the atmosphere is expressed as a positive.</w:t>
      </w:r>
    </w:p>
    <w:p w14:paraId="1136F0BB" w14:textId="108A4C17" w:rsidR="007C259A" w:rsidRPr="00BD16B4" w:rsidRDefault="007C259A" w:rsidP="00BB7302">
      <w:pPr>
        <w:pStyle w:val="Tableheading"/>
        <w:rPr>
          <w:rFonts w:eastAsia="Calibri"/>
        </w:rPr>
      </w:pPr>
      <w:bookmarkStart w:id="287" w:name="_Toc121773800"/>
      <w:r w:rsidRPr="00BD16B4">
        <w:rPr>
          <w:rFonts w:eastAsia="Calibri"/>
        </w:rPr>
        <w:t xml:space="preserve">Table 5.10: </w:t>
      </w:r>
      <w:r w:rsidRPr="00BD16B4">
        <w:rPr>
          <w:rFonts w:eastAsia="Calibri"/>
        </w:rPr>
        <w:tab/>
        <w:t>Total effect of additional policies and measures by gas, 1990–2035 (kt</w:t>
      </w:r>
      <w:r w:rsidR="00755DA2" w:rsidRPr="00BD16B4">
        <w:rPr>
          <w:rFonts w:eastAsia="Calibri"/>
        </w:rPr>
        <w:t> </w:t>
      </w:r>
      <w:r w:rsidRPr="00BD16B4">
        <w:rPr>
          <w:rFonts w:eastAsia="Calibri"/>
        </w:rPr>
        <w:t>CO</w:t>
      </w:r>
      <w:r w:rsidRPr="00BD16B4">
        <w:rPr>
          <w:rFonts w:eastAsia="Calibri"/>
          <w:vertAlign w:val="subscript"/>
        </w:rPr>
        <w:t>2</w:t>
      </w:r>
      <w:r w:rsidR="00755DA2" w:rsidRPr="00BD16B4">
        <w:rPr>
          <w:rFonts w:eastAsia="Calibri"/>
        </w:rPr>
        <w:noBreakHyphen/>
      </w:r>
      <w:r w:rsidRPr="00BD16B4">
        <w:rPr>
          <w:rFonts w:eastAsia="Calibri"/>
        </w:rPr>
        <w:t>e)</w:t>
      </w:r>
      <w:bookmarkEnd w:id="287"/>
    </w:p>
    <w:tbl>
      <w:tblPr>
        <w:tblStyle w:val="LightList-Accent11"/>
        <w:tblW w:w="8505" w:type="dxa"/>
        <w:tblInd w:w="113" w:type="dxa"/>
        <w:tblBorders>
          <w:top w:val="single" w:sz="4" w:space="0" w:color="1C556C" w:themeColor="accent1"/>
          <w:left w:val="none" w:sz="0" w:space="0" w:color="auto"/>
          <w:bottom w:val="single" w:sz="4" w:space="0" w:color="1C556C" w:themeColor="accent1"/>
          <w:right w:val="none" w:sz="0" w:space="0" w:color="auto"/>
          <w:insideH w:val="single" w:sz="6" w:space="0" w:color="1C556C" w:themeColor="accent1"/>
          <w:insideV w:val="single" w:sz="6" w:space="0" w:color="1C556C" w:themeColor="accent1"/>
        </w:tblBorders>
        <w:tblLook w:val="06A0" w:firstRow="1" w:lastRow="0" w:firstColumn="1" w:lastColumn="0" w:noHBand="1" w:noVBand="1"/>
      </w:tblPr>
      <w:tblGrid>
        <w:gridCol w:w="3052"/>
        <w:gridCol w:w="1123"/>
        <w:gridCol w:w="947"/>
        <w:gridCol w:w="1126"/>
        <w:gridCol w:w="1129"/>
        <w:gridCol w:w="1128"/>
      </w:tblGrid>
      <w:tr w:rsidR="007C259A" w:rsidRPr="00BD16B4" w14:paraId="7CBB9CA8" w14:textId="77777777" w:rsidTr="006A7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pct"/>
            <w:tcBorders>
              <w:top w:val="single" w:sz="4" w:space="0" w:color="1C556C" w:themeColor="accent1"/>
              <w:bottom w:val="single" w:sz="4" w:space="0" w:color="1C556C" w:themeColor="accent1"/>
              <w:right w:val="nil"/>
            </w:tcBorders>
          </w:tcPr>
          <w:p w14:paraId="03BDFB8C" w14:textId="77777777" w:rsidR="007C259A" w:rsidRPr="00BD16B4" w:rsidRDefault="007C259A" w:rsidP="00A254C4">
            <w:pPr>
              <w:pStyle w:val="TableTextBold0"/>
              <w:keepNext/>
              <w:spacing w:before="40" w:after="50"/>
              <w:rPr>
                <w:b/>
                <w:szCs w:val="18"/>
              </w:rPr>
            </w:pPr>
            <w:r w:rsidRPr="00BD16B4">
              <w:rPr>
                <w:b/>
                <w:szCs w:val="18"/>
              </w:rPr>
              <w:t>Gas</w:t>
            </w:r>
          </w:p>
        </w:tc>
        <w:tc>
          <w:tcPr>
            <w:tcW w:w="660" w:type="pct"/>
            <w:tcBorders>
              <w:top w:val="single" w:sz="4" w:space="0" w:color="1C556C" w:themeColor="accent1"/>
              <w:left w:val="nil"/>
              <w:bottom w:val="single" w:sz="4" w:space="0" w:color="1C556C" w:themeColor="accent1"/>
              <w:right w:val="nil"/>
            </w:tcBorders>
          </w:tcPr>
          <w:p w14:paraId="2A67D385" w14:textId="77777777" w:rsidR="007C259A" w:rsidRPr="00BD16B4" w:rsidRDefault="007C259A" w:rsidP="00A254C4">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szCs w:val="18"/>
              </w:rPr>
            </w:pPr>
            <w:r w:rsidRPr="00BD16B4">
              <w:rPr>
                <w:b/>
                <w:szCs w:val="18"/>
              </w:rPr>
              <w:t>1990</w:t>
            </w:r>
          </w:p>
        </w:tc>
        <w:tc>
          <w:tcPr>
            <w:tcW w:w="557" w:type="pct"/>
            <w:tcBorders>
              <w:top w:val="single" w:sz="4" w:space="0" w:color="1C556C" w:themeColor="accent1"/>
              <w:left w:val="nil"/>
              <w:bottom w:val="single" w:sz="4" w:space="0" w:color="1C556C" w:themeColor="accent1"/>
              <w:right w:val="nil"/>
            </w:tcBorders>
          </w:tcPr>
          <w:p w14:paraId="6C2A6EDA" w14:textId="77777777" w:rsidR="007C259A" w:rsidRPr="00BD16B4" w:rsidRDefault="007C259A" w:rsidP="00A254C4">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szCs w:val="18"/>
              </w:rPr>
            </w:pPr>
            <w:r w:rsidRPr="00BD16B4">
              <w:rPr>
                <w:b/>
                <w:szCs w:val="18"/>
              </w:rPr>
              <w:t>2020</w:t>
            </w:r>
          </w:p>
        </w:tc>
        <w:tc>
          <w:tcPr>
            <w:tcW w:w="662" w:type="pct"/>
            <w:tcBorders>
              <w:top w:val="single" w:sz="4" w:space="0" w:color="1C556C" w:themeColor="accent1"/>
              <w:left w:val="nil"/>
              <w:bottom w:val="single" w:sz="4" w:space="0" w:color="1C556C" w:themeColor="accent1"/>
              <w:right w:val="nil"/>
            </w:tcBorders>
          </w:tcPr>
          <w:p w14:paraId="32EBA3B9" w14:textId="77777777" w:rsidR="007C259A" w:rsidRPr="00BD16B4" w:rsidRDefault="007C259A" w:rsidP="00A254C4">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szCs w:val="18"/>
              </w:rPr>
            </w:pPr>
            <w:r w:rsidRPr="00BD16B4">
              <w:rPr>
                <w:b/>
                <w:szCs w:val="18"/>
              </w:rPr>
              <w:t>2025</w:t>
            </w:r>
          </w:p>
        </w:tc>
        <w:tc>
          <w:tcPr>
            <w:tcW w:w="664" w:type="pct"/>
            <w:tcBorders>
              <w:top w:val="single" w:sz="4" w:space="0" w:color="1C556C" w:themeColor="accent1"/>
              <w:left w:val="nil"/>
              <w:bottom w:val="single" w:sz="4" w:space="0" w:color="1C556C" w:themeColor="accent1"/>
              <w:right w:val="nil"/>
            </w:tcBorders>
          </w:tcPr>
          <w:p w14:paraId="14F4B3DF" w14:textId="77777777" w:rsidR="007C259A" w:rsidRPr="00BD16B4" w:rsidRDefault="007C259A" w:rsidP="00A254C4">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szCs w:val="18"/>
              </w:rPr>
            </w:pPr>
            <w:r w:rsidRPr="00BD16B4">
              <w:rPr>
                <w:b/>
                <w:szCs w:val="18"/>
              </w:rPr>
              <w:t>2030</w:t>
            </w:r>
          </w:p>
        </w:tc>
        <w:tc>
          <w:tcPr>
            <w:tcW w:w="664" w:type="pct"/>
            <w:tcBorders>
              <w:top w:val="single" w:sz="4" w:space="0" w:color="1C556C" w:themeColor="accent1"/>
              <w:left w:val="nil"/>
              <w:bottom w:val="single" w:sz="4" w:space="0" w:color="1C556C" w:themeColor="accent1"/>
            </w:tcBorders>
          </w:tcPr>
          <w:p w14:paraId="0AA52651" w14:textId="77777777" w:rsidR="007C259A" w:rsidRPr="00BD16B4" w:rsidRDefault="007C259A" w:rsidP="00A254C4">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szCs w:val="18"/>
              </w:rPr>
            </w:pPr>
            <w:r w:rsidRPr="00BD16B4">
              <w:rPr>
                <w:b/>
                <w:szCs w:val="18"/>
              </w:rPr>
              <w:t>2035</w:t>
            </w:r>
          </w:p>
        </w:tc>
      </w:tr>
      <w:tr w:rsidR="007C259A" w:rsidRPr="00BD16B4" w14:paraId="35945038" w14:textId="77777777" w:rsidTr="00A254C4">
        <w:tc>
          <w:tcPr>
            <w:cnfStyle w:val="001000000000" w:firstRow="0" w:lastRow="0" w:firstColumn="1" w:lastColumn="0" w:oddVBand="0" w:evenVBand="0" w:oddHBand="0" w:evenHBand="0" w:firstRowFirstColumn="0" w:firstRowLastColumn="0" w:lastRowFirstColumn="0" w:lastRowLastColumn="0"/>
            <w:tcW w:w="1794" w:type="pct"/>
            <w:tcBorders>
              <w:top w:val="single" w:sz="4" w:space="0" w:color="1C556C" w:themeColor="accent1"/>
              <w:bottom w:val="single" w:sz="4" w:space="0" w:color="1C556C" w:themeColor="accent1"/>
              <w:right w:val="single" w:sz="4" w:space="0" w:color="1C556C" w:themeColor="accent1"/>
            </w:tcBorders>
          </w:tcPr>
          <w:p w14:paraId="4475D1D1" w14:textId="77777777" w:rsidR="007C259A" w:rsidRPr="00BD16B4" w:rsidRDefault="007C259A" w:rsidP="00A254C4">
            <w:pPr>
              <w:pStyle w:val="TableText"/>
              <w:keepNext/>
              <w:spacing w:before="40" w:after="50"/>
              <w:rPr>
                <w:rFonts w:cs="Calibri"/>
                <w:b w:val="0"/>
                <w:szCs w:val="18"/>
              </w:rPr>
            </w:pPr>
            <w:r w:rsidRPr="00BD16B4">
              <w:rPr>
                <w:rFonts w:cs="Calibri"/>
                <w:b w:val="0"/>
                <w:szCs w:val="18"/>
              </w:rPr>
              <w:t>CO</w:t>
            </w:r>
            <w:r w:rsidRPr="00BD16B4">
              <w:rPr>
                <w:rFonts w:cs="Calibri"/>
                <w:b w:val="0"/>
                <w:szCs w:val="18"/>
                <w:vertAlign w:val="subscript"/>
              </w:rPr>
              <w:t>2</w:t>
            </w:r>
          </w:p>
        </w:tc>
        <w:tc>
          <w:tcPr>
            <w:tcW w:w="660"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76FF1145"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0</w:t>
            </w:r>
          </w:p>
        </w:tc>
        <w:tc>
          <w:tcPr>
            <w:tcW w:w="557"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324675CF"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0</w:t>
            </w:r>
          </w:p>
        </w:tc>
        <w:tc>
          <w:tcPr>
            <w:tcW w:w="662"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542255D9"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107</w:t>
            </w:r>
          </w:p>
        </w:tc>
        <w:tc>
          <w:tcPr>
            <w:tcW w:w="664"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444442E5"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2,127</w:t>
            </w:r>
          </w:p>
        </w:tc>
        <w:tc>
          <w:tcPr>
            <w:tcW w:w="664" w:type="pct"/>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09C71599"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3,060</w:t>
            </w:r>
          </w:p>
        </w:tc>
      </w:tr>
      <w:tr w:rsidR="007C259A" w:rsidRPr="00BD16B4" w14:paraId="588EE41A" w14:textId="77777777" w:rsidTr="00A254C4">
        <w:tc>
          <w:tcPr>
            <w:cnfStyle w:val="001000000000" w:firstRow="0" w:lastRow="0" w:firstColumn="1" w:lastColumn="0" w:oddVBand="0" w:evenVBand="0" w:oddHBand="0" w:evenHBand="0" w:firstRowFirstColumn="0" w:firstRowLastColumn="0" w:lastRowFirstColumn="0" w:lastRowLastColumn="0"/>
            <w:tcW w:w="1794" w:type="pct"/>
            <w:tcBorders>
              <w:top w:val="single" w:sz="4" w:space="0" w:color="1C556C" w:themeColor="accent1"/>
              <w:bottom w:val="single" w:sz="4" w:space="0" w:color="1C556C" w:themeColor="accent1"/>
              <w:right w:val="single" w:sz="4" w:space="0" w:color="1C556C" w:themeColor="accent1"/>
            </w:tcBorders>
          </w:tcPr>
          <w:p w14:paraId="15D652AE" w14:textId="77777777" w:rsidR="007C259A" w:rsidRPr="00BD16B4" w:rsidRDefault="007C259A" w:rsidP="00A254C4">
            <w:pPr>
              <w:pStyle w:val="TableText"/>
              <w:keepNext/>
              <w:spacing w:before="40" w:after="50"/>
              <w:rPr>
                <w:rFonts w:cs="Calibri"/>
                <w:b w:val="0"/>
                <w:szCs w:val="18"/>
              </w:rPr>
            </w:pPr>
            <w:r w:rsidRPr="00BD16B4">
              <w:rPr>
                <w:rFonts w:cs="Calibri"/>
                <w:b w:val="0"/>
                <w:szCs w:val="18"/>
              </w:rPr>
              <w:t>CH</w:t>
            </w:r>
            <w:r w:rsidRPr="00BD16B4">
              <w:rPr>
                <w:rFonts w:cs="Calibri"/>
                <w:b w:val="0"/>
                <w:szCs w:val="18"/>
                <w:vertAlign w:val="subscript"/>
              </w:rPr>
              <w:t>4</w:t>
            </w:r>
          </w:p>
        </w:tc>
        <w:tc>
          <w:tcPr>
            <w:tcW w:w="660"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5A2EAAFC"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0</w:t>
            </w:r>
          </w:p>
        </w:tc>
        <w:tc>
          <w:tcPr>
            <w:tcW w:w="557"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4B627437"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0</w:t>
            </w:r>
          </w:p>
        </w:tc>
        <w:tc>
          <w:tcPr>
            <w:tcW w:w="662"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1B1146B0"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37</w:t>
            </w:r>
          </w:p>
        </w:tc>
        <w:tc>
          <w:tcPr>
            <w:tcW w:w="664"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00D18636"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273</w:t>
            </w:r>
          </w:p>
        </w:tc>
        <w:tc>
          <w:tcPr>
            <w:tcW w:w="664" w:type="pct"/>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011688E8" w14:textId="77777777" w:rsidR="007C259A" w:rsidRPr="00BD16B4" w:rsidRDefault="007C259A" w:rsidP="00A254C4">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432</w:t>
            </w:r>
          </w:p>
        </w:tc>
      </w:tr>
      <w:tr w:rsidR="007C259A" w:rsidRPr="00BD16B4" w14:paraId="47C4B0BF" w14:textId="77777777" w:rsidTr="00A254C4">
        <w:tc>
          <w:tcPr>
            <w:cnfStyle w:val="001000000000" w:firstRow="0" w:lastRow="0" w:firstColumn="1" w:lastColumn="0" w:oddVBand="0" w:evenVBand="0" w:oddHBand="0" w:evenHBand="0" w:firstRowFirstColumn="0" w:firstRowLastColumn="0" w:lastRowFirstColumn="0" w:lastRowLastColumn="0"/>
            <w:tcW w:w="1794" w:type="pct"/>
            <w:tcBorders>
              <w:top w:val="single" w:sz="4" w:space="0" w:color="1C556C" w:themeColor="accent1"/>
              <w:bottom w:val="single" w:sz="4" w:space="0" w:color="1C556C" w:themeColor="accent1"/>
              <w:right w:val="single" w:sz="4" w:space="0" w:color="1C556C" w:themeColor="accent1"/>
            </w:tcBorders>
          </w:tcPr>
          <w:p w14:paraId="7CD1AB25" w14:textId="77777777" w:rsidR="007C259A" w:rsidRPr="00BD16B4" w:rsidRDefault="007C259A" w:rsidP="00A254C4">
            <w:pPr>
              <w:pStyle w:val="TableText"/>
              <w:spacing w:before="40" w:after="50"/>
              <w:rPr>
                <w:rFonts w:cs="Calibri"/>
                <w:b w:val="0"/>
                <w:szCs w:val="18"/>
              </w:rPr>
            </w:pPr>
            <w:r w:rsidRPr="00BD16B4">
              <w:rPr>
                <w:rFonts w:cs="Calibri"/>
                <w:b w:val="0"/>
                <w:szCs w:val="18"/>
              </w:rPr>
              <w:t>N</w:t>
            </w:r>
            <w:r w:rsidRPr="00BD16B4">
              <w:rPr>
                <w:rFonts w:cs="Calibri"/>
                <w:b w:val="0"/>
                <w:szCs w:val="18"/>
                <w:vertAlign w:val="subscript"/>
              </w:rPr>
              <w:t>2</w:t>
            </w:r>
            <w:r w:rsidRPr="00BD16B4">
              <w:rPr>
                <w:rFonts w:cs="Calibri"/>
                <w:b w:val="0"/>
                <w:szCs w:val="18"/>
              </w:rPr>
              <w:t>O</w:t>
            </w:r>
          </w:p>
        </w:tc>
        <w:tc>
          <w:tcPr>
            <w:tcW w:w="660"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129F990A"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0</w:t>
            </w:r>
          </w:p>
        </w:tc>
        <w:tc>
          <w:tcPr>
            <w:tcW w:w="557"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0FBECC02"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0</w:t>
            </w:r>
          </w:p>
        </w:tc>
        <w:tc>
          <w:tcPr>
            <w:tcW w:w="662"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25A5251F"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5</w:t>
            </w:r>
          </w:p>
        </w:tc>
        <w:tc>
          <w:tcPr>
            <w:tcW w:w="664"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4B8DD92C"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3</w:t>
            </w:r>
          </w:p>
        </w:tc>
        <w:tc>
          <w:tcPr>
            <w:tcW w:w="664" w:type="pct"/>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1BD14EB2"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14</w:t>
            </w:r>
          </w:p>
        </w:tc>
      </w:tr>
      <w:tr w:rsidR="007C259A" w:rsidRPr="00BD16B4" w14:paraId="2ADF97E6" w14:textId="77777777" w:rsidTr="00A254C4">
        <w:tc>
          <w:tcPr>
            <w:cnfStyle w:val="001000000000" w:firstRow="0" w:lastRow="0" w:firstColumn="1" w:lastColumn="0" w:oddVBand="0" w:evenVBand="0" w:oddHBand="0" w:evenHBand="0" w:firstRowFirstColumn="0" w:firstRowLastColumn="0" w:lastRowFirstColumn="0" w:lastRowLastColumn="0"/>
            <w:tcW w:w="1794" w:type="pct"/>
            <w:tcBorders>
              <w:top w:val="single" w:sz="4" w:space="0" w:color="1C556C" w:themeColor="accent1"/>
              <w:bottom w:val="single" w:sz="4" w:space="0" w:color="1C556C" w:themeColor="accent1"/>
              <w:right w:val="single" w:sz="4" w:space="0" w:color="1C556C" w:themeColor="accent1"/>
            </w:tcBorders>
          </w:tcPr>
          <w:p w14:paraId="5FBD5E0F" w14:textId="77777777" w:rsidR="007C259A" w:rsidRPr="00BD16B4" w:rsidRDefault="007C259A" w:rsidP="00A254C4">
            <w:pPr>
              <w:pStyle w:val="TableText"/>
              <w:spacing w:before="40" w:after="50"/>
              <w:rPr>
                <w:rFonts w:cs="Calibri"/>
                <w:b w:val="0"/>
                <w:szCs w:val="18"/>
              </w:rPr>
            </w:pPr>
            <w:r w:rsidRPr="00BD16B4">
              <w:rPr>
                <w:rFonts w:cs="Calibri"/>
                <w:b w:val="0"/>
                <w:szCs w:val="18"/>
              </w:rPr>
              <w:t>HFCs</w:t>
            </w:r>
          </w:p>
        </w:tc>
        <w:tc>
          <w:tcPr>
            <w:tcW w:w="660"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7ECE5B02"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0</w:t>
            </w:r>
          </w:p>
        </w:tc>
        <w:tc>
          <w:tcPr>
            <w:tcW w:w="557"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4D865BB4"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0</w:t>
            </w:r>
          </w:p>
        </w:tc>
        <w:tc>
          <w:tcPr>
            <w:tcW w:w="662"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3678EB86"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79</w:t>
            </w:r>
          </w:p>
        </w:tc>
        <w:tc>
          <w:tcPr>
            <w:tcW w:w="664"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57F03311"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100</w:t>
            </w:r>
          </w:p>
        </w:tc>
        <w:tc>
          <w:tcPr>
            <w:tcW w:w="664" w:type="pct"/>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34E406A4"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color w:val="000000"/>
                <w:szCs w:val="18"/>
              </w:rPr>
              <w:t>242</w:t>
            </w:r>
          </w:p>
        </w:tc>
      </w:tr>
      <w:tr w:rsidR="007C259A" w:rsidRPr="00BD16B4" w14:paraId="6FDD32CB" w14:textId="77777777" w:rsidTr="00A254C4">
        <w:tc>
          <w:tcPr>
            <w:cnfStyle w:val="001000000000" w:firstRow="0" w:lastRow="0" w:firstColumn="1" w:lastColumn="0" w:oddVBand="0" w:evenVBand="0" w:oddHBand="0" w:evenHBand="0" w:firstRowFirstColumn="0" w:firstRowLastColumn="0" w:lastRowFirstColumn="0" w:lastRowLastColumn="0"/>
            <w:tcW w:w="1794" w:type="pct"/>
            <w:tcBorders>
              <w:top w:val="single" w:sz="4" w:space="0" w:color="1C556C" w:themeColor="accent1"/>
              <w:bottom w:val="single" w:sz="4" w:space="0" w:color="1C556C" w:themeColor="accent1"/>
              <w:right w:val="single" w:sz="4" w:space="0" w:color="1C556C" w:themeColor="accent1"/>
            </w:tcBorders>
          </w:tcPr>
          <w:p w14:paraId="5ED30F9F" w14:textId="77777777" w:rsidR="007C259A" w:rsidRPr="00BD16B4" w:rsidRDefault="007C259A" w:rsidP="00A254C4">
            <w:pPr>
              <w:pStyle w:val="TableText"/>
              <w:spacing w:before="40" w:after="50"/>
              <w:rPr>
                <w:rFonts w:cs="Calibri"/>
                <w:b w:val="0"/>
                <w:szCs w:val="18"/>
              </w:rPr>
            </w:pPr>
            <w:r w:rsidRPr="00BD16B4">
              <w:rPr>
                <w:rFonts w:cs="Calibri"/>
                <w:b w:val="0"/>
                <w:szCs w:val="18"/>
              </w:rPr>
              <w:t>PFCs</w:t>
            </w:r>
          </w:p>
        </w:tc>
        <w:tc>
          <w:tcPr>
            <w:tcW w:w="660"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620B2206"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0</w:t>
            </w:r>
          </w:p>
        </w:tc>
        <w:tc>
          <w:tcPr>
            <w:tcW w:w="557"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60252329"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NE</w:t>
            </w:r>
          </w:p>
        </w:tc>
        <w:tc>
          <w:tcPr>
            <w:tcW w:w="662"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0BC2B3B7"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NE</w:t>
            </w:r>
          </w:p>
        </w:tc>
        <w:tc>
          <w:tcPr>
            <w:tcW w:w="664"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47752276"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NE</w:t>
            </w:r>
          </w:p>
        </w:tc>
        <w:tc>
          <w:tcPr>
            <w:tcW w:w="664" w:type="pct"/>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73B7DE6F"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NE</w:t>
            </w:r>
          </w:p>
        </w:tc>
      </w:tr>
      <w:tr w:rsidR="007C259A" w:rsidRPr="00BD16B4" w14:paraId="6EB1E8D7" w14:textId="77777777" w:rsidTr="00A254C4">
        <w:tc>
          <w:tcPr>
            <w:cnfStyle w:val="001000000000" w:firstRow="0" w:lastRow="0" w:firstColumn="1" w:lastColumn="0" w:oddVBand="0" w:evenVBand="0" w:oddHBand="0" w:evenHBand="0" w:firstRowFirstColumn="0" w:firstRowLastColumn="0" w:lastRowFirstColumn="0" w:lastRowLastColumn="0"/>
            <w:tcW w:w="1794" w:type="pct"/>
            <w:tcBorders>
              <w:top w:val="single" w:sz="4" w:space="0" w:color="1C556C" w:themeColor="accent1"/>
              <w:bottom w:val="single" w:sz="4" w:space="0" w:color="1C556C" w:themeColor="accent1"/>
              <w:right w:val="single" w:sz="4" w:space="0" w:color="1C556C" w:themeColor="accent1"/>
            </w:tcBorders>
          </w:tcPr>
          <w:p w14:paraId="13F29A4C" w14:textId="77777777" w:rsidR="007C259A" w:rsidRPr="00BD16B4" w:rsidRDefault="007C259A" w:rsidP="00A254C4">
            <w:pPr>
              <w:pStyle w:val="TableText"/>
              <w:spacing w:before="40" w:after="50"/>
              <w:rPr>
                <w:rFonts w:cs="Calibri"/>
                <w:b w:val="0"/>
                <w:szCs w:val="18"/>
              </w:rPr>
            </w:pPr>
            <w:r w:rsidRPr="00BD16B4">
              <w:rPr>
                <w:rFonts w:cs="Calibri"/>
                <w:b w:val="0"/>
                <w:szCs w:val="18"/>
              </w:rPr>
              <w:t>SF</w:t>
            </w:r>
            <w:r w:rsidRPr="00BD16B4">
              <w:rPr>
                <w:rFonts w:cs="Calibri"/>
                <w:b w:val="0"/>
                <w:szCs w:val="18"/>
                <w:vertAlign w:val="subscript"/>
              </w:rPr>
              <w:t>6</w:t>
            </w:r>
          </w:p>
        </w:tc>
        <w:tc>
          <w:tcPr>
            <w:tcW w:w="660"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5D161586"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0</w:t>
            </w:r>
          </w:p>
        </w:tc>
        <w:tc>
          <w:tcPr>
            <w:tcW w:w="557"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33448D32"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NE</w:t>
            </w:r>
          </w:p>
        </w:tc>
        <w:tc>
          <w:tcPr>
            <w:tcW w:w="662"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67E996FF"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NE</w:t>
            </w:r>
          </w:p>
        </w:tc>
        <w:tc>
          <w:tcPr>
            <w:tcW w:w="664"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07529AB1"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NE</w:t>
            </w:r>
          </w:p>
        </w:tc>
        <w:tc>
          <w:tcPr>
            <w:tcW w:w="664" w:type="pct"/>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07053AEA"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NE</w:t>
            </w:r>
          </w:p>
        </w:tc>
      </w:tr>
      <w:tr w:rsidR="007C259A" w:rsidRPr="00BD16B4" w14:paraId="081DD626" w14:textId="77777777" w:rsidTr="00A254C4">
        <w:tc>
          <w:tcPr>
            <w:cnfStyle w:val="001000000000" w:firstRow="0" w:lastRow="0" w:firstColumn="1" w:lastColumn="0" w:oddVBand="0" w:evenVBand="0" w:oddHBand="0" w:evenHBand="0" w:firstRowFirstColumn="0" w:firstRowLastColumn="0" w:lastRowFirstColumn="0" w:lastRowLastColumn="0"/>
            <w:tcW w:w="1794" w:type="pct"/>
            <w:tcBorders>
              <w:top w:val="single" w:sz="4" w:space="0" w:color="1C556C" w:themeColor="accent1"/>
              <w:bottom w:val="single" w:sz="4" w:space="0" w:color="1C556C" w:themeColor="accent1"/>
              <w:right w:val="single" w:sz="4" w:space="0" w:color="1C556C" w:themeColor="accent1"/>
            </w:tcBorders>
          </w:tcPr>
          <w:p w14:paraId="3A3E6509" w14:textId="77777777" w:rsidR="007C259A" w:rsidRPr="00BD16B4" w:rsidRDefault="007C259A" w:rsidP="00A254C4">
            <w:pPr>
              <w:pStyle w:val="TableText"/>
              <w:spacing w:before="40" w:after="50"/>
              <w:rPr>
                <w:rFonts w:cs="Calibri"/>
                <w:szCs w:val="18"/>
              </w:rPr>
            </w:pPr>
            <w:r w:rsidRPr="00BD16B4">
              <w:rPr>
                <w:rFonts w:cs="Calibri"/>
                <w:szCs w:val="18"/>
              </w:rPr>
              <w:t>Total</w:t>
            </w:r>
          </w:p>
        </w:tc>
        <w:tc>
          <w:tcPr>
            <w:tcW w:w="660"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06B6D786"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b/>
                <w:bCs/>
                <w:szCs w:val="18"/>
              </w:rPr>
            </w:pPr>
            <w:r w:rsidRPr="00BD16B4">
              <w:rPr>
                <w:rFonts w:cs="Calibri"/>
                <w:b/>
                <w:bCs/>
                <w:color w:val="000000"/>
                <w:szCs w:val="18"/>
              </w:rPr>
              <w:t>0</w:t>
            </w:r>
          </w:p>
        </w:tc>
        <w:tc>
          <w:tcPr>
            <w:tcW w:w="557"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2F76ED92"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b/>
                <w:bCs/>
                <w:szCs w:val="18"/>
              </w:rPr>
            </w:pPr>
            <w:r w:rsidRPr="00BD16B4">
              <w:rPr>
                <w:rFonts w:cs="Calibri"/>
                <w:b/>
                <w:bCs/>
                <w:color w:val="000000"/>
                <w:szCs w:val="18"/>
              </w:rPr>
              <w:t>0</w:t>
            </w:r>
          </w:p>
        </w:tc>
        <w:tc>
          <w:tcPr>
            <w:tcW w:w="662"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0084D53B"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b/>
                <w:bCs/>
                <w:szCs w:val="18"/>
              </w:rPr>
            </w:pPr>
            <w:r w:rsidRPr="00BD16B4">
              <w:rPr>
                <w:rFonts w:cs="Calibri"/>
                <w:b/>
                <w:bCs/>
                <w:color w:val="000000"/>
                <w:szCs w:val="18"/>
              </w:rPr>
              <w:t>228</w:t>
            </w:r>
          </w:p>
        </w:tc>
        <w:tc>
          <w:tcPr>
            <w:tcW w:w="664"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02F4EE16"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b/>
                <w:bCs/>
                <w:szCs w:val="18"/>
              </w:rPr>
            </w:pPr>
            <w:r w:rsidRPr="00BD16B4">
              <w:rPr>
                <w:rFonts w:cs="Calibri"/>
                <w:b/>
                <w:bCs/>
                <w:color w:val="000000"/>
                <w:szCs w:val="18"/>
              </w:rPr>
              <w:t>2,502</w:t>
            </w:r>
          </w:p>
        </w:tc>
        <w:tc>
          <w:tcPr>
            <w:tcW w:w="664" w:type="pct"/>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095E7792" w14:textId="77777777" w:rsidR="007C259A" w:rsidRPr="00BD16B4" w:rsidRDefault="007C259A" w:rsidP="00A254C4">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b/>
                <w:bCs/>
                <w:szCs w:val="18"/>
              </w:rPr>
            </w:pPr>
            <w:r w:rsidRPr="00BD16B4">
              <w:rPr>
                <w:rFonts w:cs="Calibri"/>
                <w:b/>
                <w:bCs/>
                <w:color w:val="000000"/>
                <w:szCs w:val="18"/>
              </w:rPr>
              <w:t>3,747</w:t>
            </w:r>
          </w:p>
        </w:tc>
      </w:tr>
    </w:tbl>
    <w:p w14:paraId="7BAD1A2F" w14:textId="77777777" w:rsidR="007C259A" w:rsidRPr="00BD16B4" w:rsidRDefault="007C259A" w:rsidP="00120409">
      <w:pPr>
        <w:pStyle w:val="Note"/>
      </w:pPr>
      <w:r w:rsidRPr="00BD16B4">
        <w:rPr>
          <w:b/>
          <w:bCs/>
        </w:rPr>
        <w:t>Note:</w:t>
      </w:r>
      <w:r w:rsidRPr="00BD16B4">
        <w:t xml:space="preserve"> CH</w:t>
      </w:r>
      <w:r w:rsidRPr="00BD16B4">
        <w:rPr>
          <w:vertAlign w:val="subscript"/>
        </w:rPr>
        <w:t>4</w:t>
      </w:r>
      <w:r w:rsidRPr="00BD16B4">
        <w:t xml:space="preserve"> = methane; CO</w:t>
      </w:r>
      <w:r w:rsidRPr="00BD16B4">
        <w:rPr>
          <w:vertAlign w:val="subscript"/>
        </w:rPr>
        <w:t>2</w:t>
      </w:r>
      <w:r w:rsidRPr="00BD16B4">
        <w:t xml:space="preserve"> = carbon dioxide; HFCs = hydrofluorocarbons; kt CO</w:t>
      </w:r>
      <w:r w:rsidRPr="00BD16B4">
        <w:rPr>
          <w:vertAlign w:val="subscript"/>
        </w:rPr>
        <w:t>2</w:t>
      </w:r>
      <w:r w:rsidRPr="00BD16B4">
        <w:t>-e = kilotonnes of carbon dioxide equivalent; N</w:t>
      </w:r>
      <w:r w:rsidRPr="00BD16B4">
        <w:rPr>
          <w:vertAlign w:val="subscript"/>
        </w:rPr>
        <w:t>2</w:t>
      </w:r>
      <w:r w:rsidRPr="00BD16B4">
        <w:t>O = nitrous oxide; NE = not estimated; PFCs = perfluorocarbons; SF</w:t>
      </w:r>
      <w:r w:rsidRPr="00BD16B4">
        <w:rPr>
          <w:vertAlign w:val="subscript"/>
        </w:rPr>
        <w:t>6</w:t>
      </w:r>
      <w:r w:rsidRPr="00BD16B4">
        <w:t xml:space="preserve"> = sulphur hexafluoride.</w:t>
      </w:r>
    </w:p>
    <w:p w14:paraId="3AD26E87" w14:textId="764983EB" w:rsidR="007C259A" w:rsidRPr="00BD16B4" w:rsidRDefault="007C259A" w:rsidP="007C259A">
      <w:pPr>
        <w:pStyle w:val="Heading2"/>
      </w:pPr>
      <w:bookmarkStart w:id="288" w:name="_Toc121774644"/>
      <w:r w:rsidRPr="00BD16B4">
        <w:t>5.4</w:t>
      </w:r>
      <w:r w:rsidRPr="00BD16B4">
        <w:tab/>
        <w:t xml:space="preserve">Differences from the </w:t>
      </w:r>
      <w:r w:rsidRPr="00BD16B4">
        <w:rPr>
          <w:i/>
        </w:rPr>
        <w:t>Fourth Biennial Report</w:t>
      </w:r>
      <w:bookmarkEnd w:id="288"/>
    </w:p>
    <w:p w14:paraId="35E6F3F4" w14:textId="77777777" w:rsidR="007C259A" w:rsidRPr="00BD16B4" w:rsidRDefault="007C259A" w:rsidP="007C259A">
      <w:pPr>
        <w:pStyle w:val="BodyText"/>
      </w:pPr>
      <w:r w:rsidRPr="00BD16B4">
        <w:t xml:space="preserve">Table 5.11 summarises the differences in greenhouse gas emissions projections between this report and </w:t>
      </w:r>
      <w:r w:rsidRPr="00BD16B4">
        <w:rPr>
          <w:i/>
        </w:rPr>
        <w:t>New Zealand’s Fourth Biennial Report under the United Nations Framework Convention on Climate Change</w:t>
      </w:r>
      <w:r w:rsidRPr="00BD16B4">
        <w:rPr>
          <w:rStyle w:val="FootnoteReference"/>
          <w:iCs/>
        </w:rPr>
        <w:footnoteReference w:id="232"/>
      </w:r>
      <w:r w:rsidRPr="00BD16B4">
        <w:rPr>
          <w:iCs/>
        </w:rPr>
        <w:t xml:space="preserve"> (</w:t>
      </w:r>
      <w:r w:rsidRPr="00BD16B4">
        <w:rPr>
          <w:i/>
        </w:rPr>
        <w:t>Fourth Biennial Report</w:t>
      </w:r>
      <w:r w:rsidRPr="00BD16B4">
        <w:t>), which was based on projections produced in 2019. The main differences between the two projections include: additional implemented and adopted policies; re-estimations of the impact of policies; and revised carbon price, population growth and economic growth assumptions.</w:t>
      </w:r>
    </w:p>
    <w:p w14:paraId="7829B958" w14:textId="77777777" w:rsidR="007C259A" w:rsidRPr="00BD16B4" w:rsidRDefault="007C259A" w:rsidP="007C259A">
      <w:pPr>
        <w:pStyle w:val="BodyText"/>
      </w:pPr>
      <w:r w:rsidRPr="00BD16B4">
        <w:t xml:space="preserve">Since the </w:t>
      </w:r>
      <w:r w:rsidRPr="00BD16B4">
        <w:rPr>
          <w:i/>
          <w:iCs/>
        </w:rPr>
        <w:t>Fourth Biennial Report</w:t>
      </w:r>
      <w:r w:rsidRPr="00BD16B4">
        <w:t xml:space="preserve">, the assumed 2025 carbon price has been revised up to NZ$64 (138.1 per cent increase) to reflect current NZ ETS market prices, while the 2030 carbon price is 223.0 per cent higher than assumed in the </w:t>
      </w:r>
      <w:r w:rsidRPr="00BD16B4">
        <w:rPr>
          <w:i/>
          <w:iCs/>
        </w:rPr>
        <w:t>Fourth Biennial Report</w:t>
      </w:r>
      <w:r w:rsidRPr="00BD16B4">
        <w:t xml:space="preserve">. Projections of population have also been revised up, increasing from the </w:t>
      </w:r>
      <w:r w:rsidRPr="00BD16B4">
        <w:rPr>
          <w:i/>
          <w:iCs/>
        </w:rPr>
        <w:t>Fourth Biennial Report</w:t>
      </w:r>
      <w:r w:rsidRPr="00BD16B4">
        <w:t xml:space="preserve"> by 0.4 per cent in 2025 and 0.4 per cent in 2030. Economic growth is assumed to be the same as in the </w:t>
      </w:r>
      <w:r w:rsidRPr="00BD16B4">
        <w:rPr>
          <w:i/>
          <w:iCs/>
        </w:rPr>
        <w:t xml:space="preserve">Fourth Biennial Report </w:t>
      </w:r>
      <w:r w:rsidRPr="00BD16B4">
        <w:t>(see table 5.11).</w:t>
      </w:r>
    </w:p>
    <w:p w14:paraId="73B85FC6" w14:textId="77777777" w:rsidR="007C259A" w:rsidRPr="00BD16B4" w:rsidRDefault="007C259A" w:rsidP="00BB7302">
      <w:pPr>
        <w:pStyle w:val="Tableheading"/>
        <w:rPr>
          <w:i/>
          <w:iCs/>
        </w:rPr>
      </w:pPr>
      <w:bookmarkStart w:id="289" w:name="_Toc121773801"/>
      <w:r w:rsidRPr="00BD16B4">
        <w:lastRenderedPageBreak/>
        <w:t xml:space="preserve">Table 5.11: </w:t>
      </w:r>
      <w:r w:rsidRPr="00BD16B4">
        <w:tab/>
        <w:t xml:space="preserve">Revision of assumptions since </w:t>
      </w:r>
      <w:r w:rsidRPr="00BD16B4">
        <w:rPr>
          <w:i/>
        </w:rPr>
        <w:t xml:space="preserve">New Zealand’s </w:t>
      </w:r>
      <w:r w:rsidRPr="00BD16B4">
        <w:rPr>
          <w:i/>
          <w:iCs/>
        </w:rPr>
        <w:t>Fourth Biennial Report</w:t>
      </w:r>
      <w:bookmarkEnd w:id="289"/>
    </w:p>
    <w:tbl>
      <w:tblPr>
        <w:tblStyle w:val="TableGrid"/>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CellMar>
          <w:left w:w="85" w:type="dxa"/>
          <w:right w:w="85" w:type="dxa"/>
        </w:tblCellMar>
        <w:tblLook w:val="04A0" w:firstRow="1" w:lastRow="0" w:firstColumn="1" w:lastColumn="0" w:noHBand="0" w:noVBand="1"/>
      </w:tblPr>
      <w:tblGrid>
        <w:gridCol w:w="2999"/>
        <w:gridCol w:w="603"/>
        <w:gridCol w:w="603"/>
        <w:gridCol w:w="603"/>
        <w:gridCol w:w="603"/>
        <w:gridCol w:w="603"/>
        <w:gridCol w:w="697"/>
        <w:gridCol w:w="588"/>
        <w:gridCol w:w="603"/>
        <w:gridCol w:w="603"/>
      </w:tblGrid>
      <w:tr w:rsidR="00D31C6A" w:rsidRPr="00BD16B4" w14:paraId="79D766FF" w14:textId="77777777" w:rsidTr="006A7AF1">
        <w:trPr>
          <w:tblHeader/>
        </w:trPr>
        <w:tc>
          <w:tcPr>
            <w:tcW w:w="2999" w:type="dxa"/>
            <w:tcBorders>
              <w:bottom w:val="nil"/>
              <w:right w:val="nil"/>
            </w:tcBorders>
            <w:shd w:val="clear" w:color="auto" w:fill="1B556B"/>
          </w:tcPr>
          <w:p w14:paraId="20F94CB2" w14:textId="77777777" w:rsidR="00D31C6A" w:rsidRPr="00BD16B4" w:rsidRDefault="00D31C6A" w:rsidP="00D31C6A">
            <w:pPr>
              <w:pStyle w:val="TableTextBold0"/>
              <w:spacing w:after="40"/>
              <w:rPr>
                <w:color w:val="FFFFFF" w:themeColor="background1"/>
              </w:rPr>
            </w:pPr>
          </w:p>
        </w:tc>
        <w:tc>
          <w:tcPr>
            <w:tcW w:w="1809" w:type="dxa"/>
            <w:gridSpan w:val="3"/>
            <w:tcBorders>
              <w:left w:val="nil"/>
              <w:bottom w:val="nil"/>
              <w:right w:val="nil"/>
            </w:tcBorders>
            <w:shd w:val="clear" w:color="auto" w:fill="1B556B"/>
          </w:tcPr>
          <w:p w14:paraId="5E3A2BC3" w14:textId="1437E9E9" w:rsidR="00D31C6A" w:rsidRPr="00BD16B4" w:rsidRDefault="00D31C6A" w:rsidP="00D31C6A">
            <w:pPr>
              <w:pStyle w:val="TableTextBold0"/>
              <w:spacing w:after="40"/>
              <w:jc w:val="center"/>
              <w:rPr>
                <w:i/>
                <w:iCs/>
                <w:color w:val="FFFFFF" w:themeColor="background1"/>
              </w:rPr>
            </w:pPr>
            <w:r w:rsidRPr="00BD16B4">
              <w:rPr>
                <w:i/>
                <w:iCs/>
                <w:color w:val="FFFFFF" w:themeColor="background1"/>
              </w:rPr>
              <w:t>Fourth Biennial Report</w:t>
            </w:r>
          </w:p>
        </w:tc>
        <w:tc>
          <w:tcPr>
            <w:tcW w:w="1903" w:type="dxa"/>
            <w:gridSpan w:val="3"/>
            <w:tcBorders>
              <w:left w:val="nil"/>
              <w:bottom w:val="nil"/>
              <w:right w:val="nil"/>
            </w:tcBorders>
            <w:shd w:val="clear" w:color="auto" w:fill="1B556B"/>
          </w:tcPr>
          <w:p w14:paraId="4EAAF678" w14:textId="2C35AC07" w:rsidR="00D31C6A" w:rsidRPr="00BD16B4" w:rsidRDefault="00D31C6A" w:rsidP="00D31C6A">
            <w:pPr>
              <w:pStyle w:val="TableTextBold0"/>
              <w:spacing w:after="40"/>
              <w:jc w:val="center"/>
              <w:rPr>
                <w:color w:val="FFFFFF" w:themeColor="background1"/>
              </w:rPr>
            </w:pPr>
            <w:r w:rsidRPr="00BD16B4">
              <w:rPr>
                <w:i/>
                <w:color w:val="FFFFFF" w:themeColor="background1"/>
                <w:szCs w:val="18"/>
              </w:rPr>
              <w:t xml:space="preserve">Fifth Biennial </w:t>
            </w:r>
            <w:r w:rsidRPr="00BD16B4">
              <w:rPr>
                <w:i/>
                <w:color w:val="FFFFFF" w:themeColor="background1"/>
                <w:szCs w:val="18"/>
              </w:rPr>
              <w:br/>
              <w:t>Report</w:t>
            </w:r>
          </w:p>
        </w:tc>
        <w:tc>
          <w:tcPr>
            <w:tcW w:w="1794" w:type="dxa"/>
            <w:gridSpan w:val="3"/>
            <w:tcBorders>
              <w:left w:val="nil"/>
              <w:bottom w:val="nil"/>
            </w:tcBorders>
            <w:shd w:val="clear" w:color="auto" w:fill="1B556B"/>
          </w:tcPr>
          <w:p w14:paraId="65FB6ED2" w14:textId="421BD182" w:rsidR="00D31C6A" w:rsidRPr="00BD16B4" w:rsidRDefault="00D31C6A" w:rsidP="00D31C6A">
            <w:pPr>
              <w:pStyle w:val="TableTextBold0"/>
              <w:spacing w:after="40"/>
              <w:jc w:val="center"/>
              <w:rPr>
                <w:color w:val="FFFFFF" w:themeColor="background1"/>
              </w:rPr>
            </w:pPr>
            <w:r w:rsidRPr="00BD16B4">
              <w:rPr>
                <w:color w:val="FFFFFF" w:themeColor="background1"/>
                <w:szCs w:val="18"/>
              </w:rPr>
              <w:t>Change (%)</w:t>
            </w:r>
          </w:p>
        </w:tc>
      </w:tr>
      <w:tr w:rsidR="00084FBF" w:rsidRPr="00BD16B4" w14:paraId="32070256" w14:textId="12A2E368" w:rsidTr="006A7AF1">
        <w:trPr>
          <w:tblHeader/>
        </w:trPr>
        <w:tc>
          <w:tcPr>
            <w:tcW w:w="2999" w:type="dxa"/>
            <w:tcBorders>
              <w:top w:val="nil"/>
              <w:right w:val="nil"/>
            </w:tcBorders>
            <w:shd w:val="clear" w:color="auto" w:fill="1B556B"/>
          </w:tcPr>
          <w:p w14:paraId="3E7441C8" w14:textId="2E776C22" w:rsidR="00FB65E5" w:rsidRPr="00BD16B4" w:rsidRDefault="00F64D44" w:rsidP="00D31C6A">
            <w:pPr>
              <w:pStyle w:val="TableTextBold0"/>
              <w:spacing w:before="0"/>
              <w:rPr>
                <w:color w:val="FFFFFF" w:themeColor="background1"/>
              </w:rPr>
            </w:pPr>
            <w:r w:rsidRPr="00BD16B4">
              <w:rPr>
                <w:color w:val="FFFFFF" w:themeColor="background1"/>
              </w:rPr>
              <w:t>Variable</w:t>
            </w:r>
          </w:p>
        </w:tc>
        <w:tc>
          <w:tcPr>
            <w:tcW w:w="603" w:type="dxa"/>
            <w:tcBorders>
              <w:top w:val="nil"/>
              <w:left w:val="nil"/>
              <w:right w:val="nil"/>
            </w:tcBorders>
            <w:shd w:val="clear" w:color="auto" w:fill="1B556B"/>
          </w:tcPr>
          <w:p w14:paraId="0D0C7591" w14:textId="26898A3F" w:rsidR="00FB65E5" w:rsidRPr="00BD16B4" w:rsidRDefault="00F64D44" w:rsidP="00D31C6A">
            <w:pPr>
              <w:pStyle w:val="TableTextBold0"/>
              <w:spacing w:before="0"/>
              <w:jc w:val="center"/>
              <w:rPr>
                <w:color w:val="FFFFFF" w:themeColor="background1"/>
              </w:rPr>
            </w:pPr>
            <w:r w:rsidRPr="00BD16B4">
              <w:rPr>
                <w:color w:val="FFFFFF" w:themeColor="background1"/>
              </w:rPr>
              <w:t>2020</w:t>
            </w:r>
          </w:p>
        </w:tc>
        <w:tc>
          <w:tcPr>
            <w:tcW w:w="603" w:type="dxa"/>
            <w:tcBorders>
              <w:top w:val="nil"/>
              <w:left w:val="nil"/>
              <w:bottom w:val="single" w:sz="4" w:space="0" w:color="1B556B"/>
              <w:right w:val="nil"/>
            </w:tcBorders>
            <w:shd w:val="clear" w:color="auto" w:fill="1B556B"/>
          </w:tcPr>
          <w:p w14:paraId="4B538F6B" w14:textId="722C0D08" w:rsidR="00FB65E5" w:rsidRPr="00BD16B4" w:rsidRDefault="00F64D44" w:rsidP="00D31C6A">
            <w:pPr>
              <w:pStyle w:val="TableTextBold0"/>
              <w:spacing w:before="0"/>
              <w:jc w:val="center"/>
              <w:rPr>
                <w:color w:val="FFFFFF" w:themeColor="background1"/>
              </w:rPr>
            </w:pPr>
            <w:r w:rsidRPr="00BD16B4">
              <w:rPr>
                <w:color w:val="FFFFFF" w:themeColor="background1"/>
              </w:rPr>
              <w:t>2025</w:t>
            </w:r>
          </w:p>
        </w:tc>
        <w:tc>
          <w:tcPr>
            <w:tcW w:w="603" w:type="dxa"/>
            <w:tcBorders>
              <w:top w:val="nil"/>
              <w:left w:val="nil"/>
              <w:bottom w:val="single" w:sz="4" w:space="0" w:color="1B556B"/>
              <w:right w:val="nil"/>
            </w:tcBorders>
            <w:shd w:val="clear" w:color="auto" w:fill="1B556B"/>
          </w:tcPr>
          <w:p w14:paraId="4DAEB08F" w14:textId="2DBCE13C" w:rsidR="00FB65E5" w:rsidRPr="00BD16B4" w:rsidRDefault="00F64D44" w:rsidP="00D31C6A">
            <w:pPr>
              <w:pStyle w:val="TableTextBold0"/>
              <w:spacing w:before="0"/>
              <w:jc w:val="center"/>
              <w:rPr>
                <w:color w:val="FFFFFF" w:themeColor="background1"/>
              </w:rPr>
            </w:pPr>
            <w:r w:rsidRPr="00BD16B4">
              <w:rPr>
                <w:color w:val="FFFFFF" w:themeColor="background1"/>
              </w:rPr>
              <w:t>2030</w:t>
            </w:r>
          </w:p>
        </w:tc>
        <w:tc>
          <w:tcPr>
            <w:tcW w:w="603" w:type="dxa"/>
            <w:tcBorders>
              <w:top w:val="nil"/>
              <w:left w:val="nil"/>
              <w:right w:val="nil"/>
            </w:tcBorders>
            <w:shd w:val="clear" w:color="auto" w:fill="1B556B"/>
          </w:tcPr>
          <w:p w14:paraId="395C65AF" w14:textId="0804A2BD" w:rsidR="00FB65E5" w:rsidRPr="00BD16B4" w:rsidRDefault="00F64D44" w:rsidP="00D31C6A">
            <w:pPr>
              <w:pStyle w:val="TableTextBold0"/>
              <w:spacing w:before="0"/>
              <w:jc w:val="center"/>
              <w:rPr>
                <w:color w:val="FFFFFF" w:themeColor="background1"/>
              </w:rPr>
            </w:pPr>
            <w:r w:rsidRPr="00BD16B4">
              <w:rPr>
                <w:color w:val="FFFFFF" w:themeColor="background1"/>
              </w:rPr>
              <w:t>2020</w:t>
            </w:r>
          </w:p>
        </w:tc>
        <w:tc>
          <w:tcPr>
            <w:tcW w:w="603" w:type="dxa"/>
            <w:tcBorders>
              <w:top w:val="nil"/>
              <w:left w:val="nil"/>
              <w:bottom w:val="single" w:sz="4" w:space="0" w:color="1B556B"/>
              <w:right w:val="nil"/>
            </w:tcBorders>
            <w:shd w:val="clear" w:color="auto" w:fill="1B556B"/>
          </w:tcPr>
          <w:p w14:paraId="76A94B01" w14:textId="3A744FBF" w:rsidR="00FB65E5" w:rsidRPr="00BD16B4" w:rsidRDefault="00F64D44" w:rsidP="00D31C6A">
            <w:pPr>
              <w:pStyle w:val="TableTextBold0"/>
              <w:spacing w:before="0"/>
              <w:jc w:val="center"/>
              <w:rPr>
                <w:color w:val="FFFFFF" w:themeColor="background1"/>
              </w:rPr>
            </w:pPr>
            <w:r w:rsidRPr="00BD16B4">
              <w:rPr>
                <w:color w:val="FFFFFF" w:themeColor="background1"/>
              </w:rPr>
              <w:t>2025</w:t>
            </w:r>
          </w:p>
        </w:tc>
        <w:tc>
          <w:tcPr>
            <w:tcW w:w="697" w:type="dxa"/>
            <w:tcBorders>
              <w:top w:val="nil"/>
              <w:left w:val="nil"/>
              <w:bottom w:val="single" w:sz="4" w:space="0" w:color="1B556B"/>
              <w:right w:val="nil"/>
            </w:tcBorders>
            <w:shd w:val="clear" w:color="auto" w:fill="1B556B"/>
          </w:tcPr>
          <w:p w14:paraId="73F6A752" w14:textId="7F70F313" w:rsidR="00FB65E5" w:rsidRPr="00BD16B4" w:rsidRDefault="00F64D44" w:rsidP="00D31C6A">
            <w:pPr>
              <w:pStyle w:val="TableTextBold0"/>
              <w:spacing w:before="0"/>
              <w:jc w:val="center"/>
              <w:rPr>
                <w:color w:val="FFFFFF" w:themeColor="background1"/>
              </w:rPr>
            </w:pPr>
            <w:r w:rsidRPr="00BD16B4">
              <w:rPr>
                <w:color w:val="FFFFFF" w:themeColor="background1"/>
              </w:rPr>
              <w:t>2030</w:t>
            </w:r>
          </w:p>
        </w:tc>
        <w:tc>
          <w:tcPr>
            <w:tcW w:w="588" w:type="dxa"/>
            <w:tcBorders>
              <w:top w:val="nil"/>
              <w:left w:val="nil"/>
              <w:right w:val="nil"/>
            </w:tcBorders>
            <w:shd w:val="clear" w:color="auto" w:fill="1B556B"/>
          </w:tcPr>
          <w:p w14:paraId="7209AF99" w14:textId="0E15EF33" w:rsidR="00FB65E5" w:rsidRPr="00BD16B4" w:rsidRDefault="00F64D44" w:rsidP="00D31C6A">
            <w:pPr>
              <w:pStyle w:val="TableTextBold0"/>
              <w:spacing w:before="0"/>
              <w:jc w:val="center"/>
              <w:rPr>
                <w:color w:val="FFFFFF" w:themeColor="background1"/>
              </w:rPr>
            </w:pPr>
            <w:r w:rsidRPr="00BD16B4">
              <w:rPr>
                <w:color w:val="FFFFFF" w:themeColor="background1"/>
              </w:rPr>
              <w:t>2020</w:t>
            </w:r>
          </w:p>
        </w:tc>
        <w:tc>
          <w:tcPr>
            <w:tcW w:w="603" w:type="dxa"/>
            <w:tcBorders>
              <w:top w:val="nil"/>
              <w:left w:val="nil"/>
              <w:bottom w:val="single" w:sz="4" w:space="0" w:color="1B556B"/>
              <w:right w:val="nil"/>
            </w:tcBorders>
            <w:shd w:val="clear" w:color="auto" w:fill="1B556B"/>
          </w:tcPr>
          <w:p w14:paraId="2A37FF70" w14:textId="68A66574" w:rsidR="00FB65E5" w:rsidRPr="00BD16B4" w:rsidRDefault="00F64D44" w:rsidP="00D31C6A">
            <w:pPr>
              <w:pStyle w:val="TableTextBold0"/>
              <w:spacing w:before="0"/>
              <w:jc w:val="center"/>
              <w:rPr>
                <w:color w:val="FFFFFF" w:themeColor="background1"/>
              </w:rPr>
            </w:pPr>
            <w:r w:rsidRPr="00BD16B4">
              <w:rPr>
                <w:color w:val="FFFFFF" w:themeColor="background1"/>
              </w:rPr>
              <w:t>2025</w:t>
            </w:r>
          </w:p>
        </w:tc>
        <w:tc>
          <w:tcPr>
            <w:tcW w:w="603" w:type="dxa"/>
            <w:tcBorders>
              <w:top w:val="nil"/>
              <w:left w:val="nil"/>
              <w:bottom w:val="single" w:sz="4" w:space="0" w:color="1B556B"/>
            </w:tcBorders>
            <w:shd w:val="clear" w:color="auto" w:fill="1B556B"/>
          </w:tcPr>
          <w:p w14:paraId="0DFABF36" w14:textId="71BC5999" w:rsidR="00FB65E5" w:rsidRPr="00BD16B4" w:rsidRDefault="00F64D44" w:rsidP="00D31C6A">
            <w:pPr>
              <w:pStyle w:val="TableTextBold0"/>
              <w:spacing w:before="0"/>
              <w:jc w:val="center"/>
              <w:rPr>
                <w:color w:val="FFFFFF" w:themeColor="background1"/>
              </w:rPr>
            </w:pPr>
            <w:r w:rsidRPr="00BD16B4">
              <w:rPr>
                <w:color w:val="FFFFFF" w:themeColor="background1"/>
              </w:rPr>
              <w:t>2030</w:t>
            </w:r>
          </w:p>
        </w:tc>
      </w:tr>
      <w:tr w:rsidR="00B91EFE" w:rsidRPr="00BD16B4" w14:paraId="789B9344" w14:textId="62802A0C" w:rsidTr="007C4AAF">
        <w:tc>
          <w:tcPr>
            <w:tcW w:w="2999" w:type="dxa"/>
            <w:shd w:val="clear" w:color="auto" w:fill="auto"/>
          </w:tcPr>
          <w:p w14:paraId="51F15BBB" w14:textId="6232689F" w:rsidR="00FB65E5" w:rsidRPr="00BD16B4" w:rsidRDefault="00F64D44" w:rsidP="00175625">
            <w:pPr>
              <w:pStyle w:val="TableText"/>
              <w:spacing w:before="40" w:after="40"/>
            </w:pPr>
            <w:r w:rsidRPr="00BD16B4">
              <w:rPr>
                <w:rFonts w:cs="Calibri"/>
                <w:szCs w:val="18"/>
              </w:rPr>
              <w:t>Population (millions)</w:t>
            </w:r>
          </w:p>
        </w:tc>
        <w:tc>
          <w:tcPr>
            <w:tcW w:w="603" w:type="dxa"/>
            <w:shd w:val="clear" w:color="auto" w:fill="auto"/>
          </w:tcPr>
          <w:p w14:paraId="33590181" w14:textId="22083894" w:rsidR="00FB65E5" w:rsidRPr="00BD16B4" w:rsidRDefault="00F64D44" w:rsidP="00175625">
            <w:pPr>
              <w:pStyle w:val="TableText"/>
              <w:spacing w:before="40" w:after="40"/>
              <w:jc w:val="center"/>
            </w:pPr>
            <w:r w:rsidRPr="00BD16B4">
              <w:rPr>
                <w:rFonts w:cs="Calibri"/>
                <w:szCs w:val="18"/>
              </w:rPr>
              <w:t>5.00</w:t>
            </w:r>
          </w:p>
        </w:tc>
        <w:tc>
          <w:tcPr>
            <w:tcW w:w="603" w:type="dxa"/>
            <w:shd w:val="clear" w:color="auto" w:fill="D2DDE1" w:themeFill="background2"/>
          </w:tcPr>
          <w:p w14:paraId="436D5758" w14:textId="30772995" w:rsidR="00FB65E5" w:rsidRPr="00BD16B4" w:rsidRDefault="00F64D44" w:rsidP="00175625">
            <w:pPr>
              <w:pStyle w:val="TableText"/>
              <w:spacing w:before="40" w:after="40"/>
              <w:jc w:val="center"/>
            </w:pPr>
            <w:r w:rsidRPr="00BD16B4">
              <w:rPr>
                <w:rFonts w:cs="Calibri"/>
                <w:szCs w:val="18"/>
              </w:rPr>
              <w:t>5.29</w:t>
            </w:r>
          </w:p>
        </w:tc>
        <w:tc>
          <w:tcPr>
            <w:tcW w:w="603" w:type="dxa"/>
            <w:shd w:val="clear" w:color="auto" w:fill="D2DDE1" w:themeFill="background2"/>
          </w:tcPr>
          <w:p w14:paraId="41DC46FD" w14:textId="0E27590F" w:rsidR="00FB65E5" w:rsidRPr="00BD16B4" w:rsidRDefault="00F64D44" w:rsidP="00175625">
            <w:pPr>
              <w:pStyle w:val="TableText"/>
              <w:spacing w:before="40" w:after="40"/>
              <w:jc w:val="center"/>
            </w:pPr>
            <w:r w:rsidRPr="00BD16B4">
              <w:rPr>
                <w:rFonts w:cs="Calibri"/>
                <w:szCs w:val="18"/>
              </w:rPr>
              <w:t>5.52</w:t>
            </w:r>
          </w:p>
        </w:tc>
        <w:tc>
          <w:tcPr>
            <w:tcW w:w="603" w:type="dxa"/>
          </w:tcPr>
          <w:p w14:paraId="2CE27D2D" w14:textId="64492923" w:rsidR="00FB65E5" w:rsidRPr="00BD16B4" w:rsidRDefault="00F64D44" w:rsidP="00175625">
            <w:pPr>
              <w:pStyle w:val="TableText"/>
              <w:spacing w:before="40" w:after="40"/>
              <w:jc w:val="center"/>
            </w:pPr>
            <w:r w:rsidRPr="00BD16B4">
              <w:rPr>
                <w:rFonts w:cs="Calibri"/>
                <w:color w:val="000000" w:themeColor="text1"/>
                <w:szCs w:val="18"/>
              </w:rPr>
              <w:t>5.09</w:t>
            </w:r>
          </w:p>
        </w:tc>
        <w:tc>
          <w:tcPr>
            <w:tcW w:w="603" w:type="dxa"/>
            <w:shd w:val="clear" w:color="auto" w:fill="D2DDE1" w:themeFill="background2"/>
          </w:tcPr>
          <w:p w14:paraId="23105DC8" w14:textId="0D5B8C3F" w:rsidR="00FB65E5" w:rsidRPr="00BD16B4" w:rsidRDefault="00F64D44" w:rsidP="00175625">
            <w:pPr>
              <w:pStyle w:val="TableText"/>
              <w:spacing w:before="40" w:after="40"/>
              <w:jc w:val="center"/>
            </w:pPr>
            <w:r w:rsidRPr="00BD16B4">
              <w:rPr>
                <w:rFonts w:cs="Calibri"/>
                <w:color w:val="000000" w:themeColor="text1"/>
                <w:szCs w:val="18"/>
              </w:rPr>
              <w:t>5.32</w:t>
            </w:r>
          </w:p>
        </w:tc>
        <w:tc>
          <w:tcPr>
            <w:tcW w:w="697" w:type="dxa"/>
            <w:shd w:val="clear" w:color="auto" w:fill="D2DDE1" w:themeFill="background2"/>
          </w:tcPr>
          <w:p w14:paraId="4382EED3" w14:textId="2958CD83" w:rsidR="00FB65E5" w:rsidRPr="00BD16B4" w:rsidRDefault="00F64D44" w:rsidP="00175625">
            <w:pPr>
              <w:pStyle w:val="TableText"/>
              <w:spacing w:before="40" w:after="40"/>
              <w:jc w:val="center"/>
            </w:pPr>
            <w:r w:rsidRPr="00BD16B4">
              <w:rPr>
                <w:rFonts w:cs="Calibri"/>
                <w:color w:val="000000" w:themeColor="text1"/>
                <w:szCs w:val="18"/>
              </w:rPr>
              <w:t>5.55</w:t>
            </w:r>
          </w:p>
        </w:tc>
        <w:tc>
          <w:tcPr>
            <w:tcW w:w="588" w:type="dxa"/>
          </w:tcPr>
          <w:p w14:paraId="2CAEEA5C" w14:textId="30448862" w:rsidR="00FB65E5" w:rsidRPr="00BD16B4" w:rsidRDefault="00F64D44" w:rsidP="00175625">
            <w:pPr>
              <w:pStyle w:val="TableText"/>
              <w:spacing w:before="40" w:after="40"/>
              <w:jc w:val="center"/>
            </w:pPr>
            <w:r w:rsidRPr="00BD16B4">
              <w:rPr>
                <w:rFonts w:cs="Calibri"/>
                <w:szCs w:val="18"/>
              </w:rPr>
              <w:t>1.8</w:t>
            </w:r>
          </w:p>
        </w:tc>
        <w:tc>
          <w:tcPr>
            <w:tcW w:w="603" w:type="dxa"/>
            <w:shd w:val="clear" w:color="auto" w:fill="D2DDE1" w:themeFill="background2"/>
          </w:tcPr>
          <w:p w14:paraId="441C7A13" w14:textId="3DEDFF2B" w:rsidR="00FB65E5" w:rsidRPr="00BD16B4" w:rsidRDefault="00F64D44" w:rsidP="00175625">
            <w:pPr>
              <w:pStyle w:val="TableText"/>
              <w:spacing w:before="40" w:after="40"/>
              <w:jc w:val="center"/>
            </w:pPr>
            <w:r w:rsidRPr="00BD16B4">
              <w:rPr>
                <w:rFonts w:cs="Calibri"/>
                <w:szCs w:val="18"/>
              </w:rPr>
              <w:t>0.4</w:t>
            </w:r>
          </w:p>
        </w:tc>
        <w:tc>
          <w:tcPr>
            <w:tcW w:w="603" w:type="dxa"/>
            <w:shd w:val="clear" w:color="auto" w:fill="D2DDE1" w:themeFill="background2"/>
          </w:tcPr>
          <w:p w14:paraId="69DA0B6A" w14:textId="6C7F52F5" w:rsidR="00FB65E5" w:rsidRPr="00BD16B4" w:rsidRDefault="00F64D44" w:rsidP="00175625">
            <w:pPr>
              <w:pStyle w:val="TableText"/>
              <w:spacing w:before="40" w:after="40"/>
              <w:jc w:val="center"/>
            </w:pPr>
            <w:r w:rsidRPr="00BD16B4">
              <w:rPr>
                <w:rFonts w:cs="Calibri"/>
                <w:szCs w:val="18"/>
              </w:rPr>
              <w:t>0.4</w:t>
            </w:r>
          </w:p>
        </w:tc>
      </w:tr>
      <w:tr w:rsidR="00B91EFE" w:rsidRPr="00BD16B4" w14:paraId="18D61A78" w14:textId="78FADBF8" w:rsidTr="007C4AAF">
        <w:tc>
          <w:tcPr>
            <w:tcW w:w="2999" w:type="dxa"/>
            <w:shd w:val="clear" w:color="auto" w:fill="auto"/>
          </w:tcPr>
          <w:p w14:paraId="036D9D01" w14:textId="6EB40D2C" w:rsidR="00FB65E5" w:rsidRPr="00BD16B4" w:rsidRDefault="00F64D44" w:rsidP="00175625">
            <w:pPr>
              <w:pStyle w:val="TableText"/>
              <w:spacing w:before="40" w:after="40"/>
            </w:pPr>
            <w:r w:rsidRPr="00BD16B4">
              <w:rPr>
                <w:rFonts w:cs="Calibri"/>
                <w:szCs w:val="18"/>
              </w:rPr>
              <w:t>GDP (real 2009/10 NZ$ billion)</w:t>
            </w:r>
          </w:p>
        </w:tc>
        <w:tc>
          <w:tcPr>
            <w:tcW w:w="603" w:type="dxa"/>
            <w:shd w:val="clear" w:color="auto" w:fill="auto"/>
          </w:tcPr>
          <w:p w14:paraId="1F2CE83C" w14:textId="15BBDAC3" w:rsidR="00FB65E5" w:rsidRPr="00BD16B4" w:rsidRDefault="00F64D44" w:rsidP="00175625">
            <w:pPr>
              <w:pStyle w:val="TableText"/>
              <w:spacing w:before="40" w:after="40"/>
              <w:jc w:val="center"/>
            </w:pPr>
            <w:r w:rsidRPr="00BD16B4">
              <w:rPr>
                <w:rFonts w:cs="Calibri"/>
                <w:szCs w:val="18"/>
              </w:rPr>
              <w:t>261.9</w:t>
            </w:r>
          </w:p>
        </w:tc>
        <w:tc>
          <w:tcPr>
            <w:tcW w:w="603" w:type="dxa"/>
            <w:shd w:val="clear" w:color="auto" w:fill="D2DDE1" w:themeFill="background2"/>
          </w:tcPr>
          <w:p w14:paraId="693B2BA4" w14:textId="551806F2" w:rsidR="00FB65E5" w:rsidRPr="00BD16B4" w:rsidRDefault="00F64D44" w:rsidP="00175625">
            <w:pPr>
              <w:pStyle w:val="TableText"/>
              <w:spacing w:before="40" w:after="40"/>
              <w:jc w:val="center"/>
            </w:pPr>
            <w:r w:rsidRPr="00BD16B4">
              <w:rPr>
                <w:rFonts w:cs="Calibri"/>
                <w:szCs w:val="18"/>
              </w:rPr>
              <w:t>294.2</w:t>
            </w:r>
          </w:p>
        </w:tc>
        <w:tc>
          <w:tcPr>
            <w:tcW w:w="603" w:type="dxa"/>
            <w:shd w:val="clear" w:color="auto" w:fill="D2DDE1" w:themeFill="background2"/>
          </w:tcPr>
          <w:p w14:paraId="2312E690" w14:textId="07E46CDF" w:rsidR="00FB65E5" w:rsidRPr="00BD16B4" w:rsidRDefault="00F64D44" w:rsidP="00175625">
            <w:pPr>
              <w:pStyle w:val="TableText"/>
              <w:spacing w:before="40" w:after="40"/>
              <w:jc w:val="center"/>
            </w:pPr>
            <w:r w:rsidRPr="00BD16B4">
              <w:rPr>
                <w:rFonts w:cs="Calibri"/>
                <w:szCs w:val="18"/>
              </w:rPr>
              <w:t>323.9</w:t>
            </w:r>
          </w:p>
        </w:tc>
        <w:tc>
          <w:tcPr>
            <w:tcW w:w="603" w:type="dxa"/>
          </w:tcPr>
          <w:p w14:paraId="307069F2" w14:textId="3782D7B4" w:rsidR="00FB65E5" w:rsidRPr="00BD16B4" w:rsidRDefault="00F64D44" w:rsidP="00175625">
            <w:pPr>
              <w:pStyle w:val="TableText"/>
              <w:spacing w:before="40" w:after="40"/>
              <w:jc w:val="center"/>
            </w:pPr>
            <w:r w:rsidRPr="00BD16B4">
              <w:rPr>
                <w:rFonts w:cs="Calibri"/>
                <w:color w:val="000000" w:themeColor="text1"/>
                <w:szCs w:val="18"/>
              </w:rPr>
              <w:t>261.9</w:t>
            </w:r>
          </w:p>
        </w:tc>
        <w:tc>
          <w:tcPr>
            <w:tcW w:w="603" w:type="dxa"/>
            <w:shd w:val="clear" w:color="auto" w:fill="D2DDE1" w:themeFill="background2"/>
          </w:tcPr>
          <w:p w14:paraId="05966579" w14:textId="44CFCB16" w:rsidR="00FB65E5" w:rsidRPr="00BD16B4" w:rsidRDefault="00F64D44" w:rsidP="00175625">
            <w:pPr>
              <w:pStyle w:val="TableText"/>
              <w:spacing w:before="40" w:after="40"/>
              <w:jc w:val="center"/>
            </w:pPr>
            <w:r w:rsidRPr="00BD16B4">
              <w:rPr>
                <w:rFonts w:cs="Calibri"/>
                <w:color w:val="000000" w:themeColor="text1"/>
                <w:szCs w:val="18"/>
              </w:rPr>
              <w:t>294.2</w:t>
            </w:r>
          </w:p>
        </w:tc>
        <w:tc>
          <w:tcPr>
            <w:tcW w:w="697" w:type="dxa"/>
            <w:shd w:val="clear" w:color="auto" w:fill="D2DDE1" w:themeFill="background2"/>
          </w:tcPr>
          <w:p w14:paraId="251C20FC" w14:textId="6B88F79C" w:rsidR="00FB65E5" w:rsidRPr="00BD16B4" w:rsidRDefault="00F64D44" w:rsidP="00175625">
            <w:pPr>
              <w:pStyle w:val="TableText"/>
              <w:spacing w:before="40" w:after="40"/>
              <w:jc w:val="center"/>
            </w:pPr>
            <w:r w:rsidRPr="00BD16B4">
              <w:rPr>
                <w:rFonts w:cs="Calibri"/>
                <w:color w:val="000000" w:themeColor="text1"/>
                <w:szCs w:val="18"/>
              </w:rPr>
              <w:t>323.9</w:t>
            </w:r>
          </w:p>
        </w:tc>
        <w:tc>
          <w:tcPr>
            <w:tcW w:w="588" w:type="dxa"/>
          </w:tcPr>
          <w:p w14:paraId="723C16B7" w14:textId="652129DB" w:rsidR="00FB65E5" w:rsidRPr="00BD16B4" w:rsidRDefault="00F64D44" w:rsidP="00175625">
            <w:pPr>
              <w:pStyle w:val="TableText"/>
              <w:spacing w:before="40" w:after="40"/>
              <w:jc w:val="center"/>
            </w:pPr>
            <w:r w:rsidRPr="00BD16B4">
              <w:rPr>
                <w:rFonts w:cs="Calibri"/>
                <w:szCs w:val="18"/>
              </w:rPr>
              <w:t>0.0</w:t>
            </w:r>
          </w:p>
        </w:tc>
        <w:tc>
          <w:tcPr>
            <w:tcW w:w="603" w:type="dxa"/>
            <w:shd w:val="clear" w:color="auto" w:fill="D2DDE1" w:themeFill="background2"/>
          </w:tcPr>
          <w:p w14:paraId="68ADD6C6" w14:textId="1DA9C0AE" w:rsidR="00FB65E5" w:rsidRPr="00BD16B4" w:rsidRDefault="00F64D44" w:rsidP="00175625">
            <w:pPr>
              <w:pStyle w:val="TableText"/>
              <w:spacing w:before="40" w:after="40"/>
              <w:jc w:val="center"/>
            </w:pPr>
            <w:r w:rsidRPr="00BD16B4">
              <w:rPr>
                <w:rFonts w:cs="Calibri"/>
                <w:szCs w:val="18"/>
              </w:rPr>
              <w:t>0.0</w:t>
            </w:r>
          </w:p>
        </w:tc>
        <w:tc>
          <w:tcPr>
            <w:tcW w:w="603" w:type="dxa"/>
            <w:shd w:val="clear" w:color="auto" w:fill="D2DDE1" w:themeFill="background2"/>
          </w:tcPr>
          <w:p w14:paraId="4AD5ACA2" w14:textId="6629BE15" w:rsidR="00FB65E5" w:rsidRPr="00BD16B4" w:rsidRDefault="00F64D44" w:rsidP="00175625">
            <w:pPr>
              <w:pStyle w:val="TableText"/>
              <w:spacing w:before="40" w:after="40"/>
              <w:jc w:val="center"/>
            </w:pPr>
            <w:r w:rsidRPr="00BD16B4">
              <w:rPr>
                <w:rFonts w:cs="Calibri"/>
                <w:szCs w:val="18"/>
              </w:rPr>
              <w:t>0.0</w:t>
            </w:r>
          </w:p>
        </w:tc>
      </w:tr>
      <w:tr w:rsidR="00B91EFE" w:rsidRPr="00BD16B4" w14:paraId="6EDA93CA" w14:textId="3DED1B9A" w:rsidTr="007C4AAF">
        <w:tc>
          <w:tcPr>
            <w:tcW w:w="2999" w:type="dxa"/>
          </w:tcPr>
          <w:p w14:paraId="68C22ACF" w14:textId="5D1B16B7" w:rsidR="00FB65E5" w:rsidRPr="00BD16B4" w:rsidRDefault="003105DE" w:rsidP="00175625">
            <w:pPr>
              <w:pStyle w:val="TableText"/>
              <w:spacing w:before="40" w:after="40"/>
            </w:pPr>
            <w:r w:rsidRPr="00BD16B4">
              <w:rPr>
                <w:rFonts w:cs="Calibri"/>
                <w:szCs w:val="18"/>
              </w:rPr>
              <w:t>Exchange rate (NZ$/US$)</w:t>
            </w:r>
          </w:p>
        </w:tc>
        <w:tc>
          <w:tcPr>
            <w:tcW w:w="603" w:type="dxa"/>
          </w:tcPr>
          <w:p w14:paraId="7BF13065" w14:textId="18082210" w:rsidR="00FB65E5" w:rsidRPr="00BD16B4" w:rsidRDefault="003105DE" w:rsidP="00175625">
            <w:pPr>
              <w:pStyle w:val="TableText"/>
              <w:spacing w:before="40" w:after="40"/>
              <w:jc w:val="center"/>
            </w:pPr>
            <w:r w:rsidRPr="00BD16B4">
              <w:rPr>
                <w:rFonts w:cs="Calibri"/>
                <w:szCs w:val="18"/>
              </w:rPr>
              <w:t>0.65</w:t>
            </w:r>
          </w:p>
        </w:tc>
        <w:tc>
          <w:tcPr>
            <w:tcW w:w="603" w:type="dxa"/>
            <w:shd w:val="clear" w:color="auto" w:fill="D2DDE1" w:themeFill="background2"/>
          </w:tcPr>
          <w:p w14:paraId="12C59377" w14:textId="16B5787A" w:rsidR="00FB65E5" w:rsidRPr="00BD16B4" w:rsidRDefault="003105DE" w:rsidP="00175625">
            <w:pPr>
              <w:pStyle w:val="TableText"/>
              <w:spacing w:before="40" w:after="40"/>
              <w:jc w:val="center"/>
            </w:pPr>
            <w:r w:rsidRPr="00BD16B4">
              <w:rPr>
                <w:rFonts w:cs="Calibri"/>
                <w:szCs w:val="18"/>
              </w:rPr>
              <w:t>0.65</w:t>
            </w:r>
          </w:p>
        </w:tc>
        <w:tc>
          <w:tcPr>
            <w:tcW w:w="603" w:type="dxa"/>
            <w:shd w:val="clear" w:color="auto" w:fill="D2DDE1" w:themeFill="background2"/>
          </w:tcPr>
          <w:p w14:paraId="0BF09363" w14:textId="489BC32F" w:rsidR="00FB65E5" w:rsidRPr="00BD16B4" w:rsidRDefault="003105DE" w:rsidP="00175625">
            <w:pPr>
              <w:pStyle w:val="TableText"/>
              <w:spacing w:before="40" w:after="40"/>
              <w:jc w:val="center"/>
            </w:pPr>
            <w:r w:rsidRPr="00BD16B4">
              <w:rPr>
                <w:rFonts w:cs="Calibri"/>
                <w:szCs w:val="18"/>
              </w:rPr>
              <w:t>0.65</w:t>
            </w:r>
          </w:p>
        </w:tc>
        <w:tc>
          <w:tcPr>
            <w:tcW w:w="603" w:type="dxa"/>
          </w:tcPr>
          <w:p w14:paraId="04F74791" w14:textId="2FFC9A9F" w:rsidR="00FB65E5" w:rsidRPr="00BD16B4" w:rsidRDefault="003105DE" w:rsidP="00175625">
            <w:pPr>
              <w:pStyle w:val="TableText"/>
              <w:spacing w:before="40" w:after="40"/>
              <w:jc w:val="center"/>
            </w:pPr>
            <w:r w:rsidRPr="00BD16B4">
              <w:rPr>
                <w:rFonts w:cs="Calibri"/>
                <w:szCs w:val="18"/>
              </w:rPr>
              <w:t>0.65</w:t>
            </w:r>
          </w:p>
        </w:tc>
        <w:tc>
          <w:tcPr>
            <w:tcW w:w="603" w:type="dxa"/>
            <w:shd w:val="clear" w:color="auto" w:fill="D2DDE1" w:themeFill="background2"/>
          </w:tcPr>
          <w:p w14:paraId="3E63D3FD" w14:textId="4F3AC859" w:rsidR="00FB65E5" w:rsidRPr="00BD16B4" w:rsidRDefault="003105DE" w:rsidP="00175625">
            <w:pPr>
              <w:pStyle w:val="TableText"/>
              <w:spacing w:before="40" w:after="40"/>
              <w:jc w:val="center"/>
            </w:pPr>
            <w:r w:rsidRPr="00BD16B4">
              <w:rPr>
                <w:rFonts w:cs="Calibri"/>
                <w:szCs w:val="18"/>
              </w:rPr>
              <w:t>0.65</w:t>
            </w:r>
          </w:p>
        </w:tc>
        <w:tc>
          <w:tcPr>
            <w:tcW w:w="697" w:type="dxa"/>
            <w:shd w:val="clear" w:color="auto" w:fill="D2DDE1" w:themeFill="background2"/>
          </w:tcPr>
          <w:p w14:paraId="2D54C40C" w14:textId="72A1455F" w:rsidR="00FB65E5" w:rsidRPr="00BD16B4" w:rsidRDefault="003105DE" w:rsidP="00175625">
            <w:pPr>
              <w:pStyle w:val="TableText"/>
              <w:spacing w:before="40" w:after="40"/>
              <w:jc w:val="center"/>
            </w:pPr>
            <w:r w:rsidRPr="00BD16B4">
              <w:rPr>
                <w:rFonts w:cs="Calibri"/>
                <w:szCs w:val="18"/>
              </w:rPr>
              <w:t>0.65</w:t>
            </w:r>
          </w:p>
        </w:tc>
        <w:tc>
          <w:tcPr>
            <w:tcW w:w="588" w:type="dxa"/>
          </w:tcPr>
          <w:p w14:paraId="0B645DDD" w14:textId="6B9C6BB8" w:rsidR="00FB65E5" w:rsidRPr="00BD16B4" w:rsidRDefault="003105DE" w:rsidP="00175625">
            <w:pPr>
              <w:pStyle w:val="TableText"/>
              <w:spacing w:before="40" w:after="40"/>
              <w:jc w:val="center"/>
            </w:pPr>
            <w:r w:rsidRPr="00BD16B4">
              <w:rPr>
                <w:rFonts w:cs="Calibri"/>
                <w:szCs w:val="18"/>
              </w:rPr>
              <w:t>0.0</w:t>
            </w:r>
          </w:p>
        </w:tc>
        <w:tc>
          <w:tcPr>
            <w:tcW w:w="603" w:type="dxa"/>
            <w:shd w:val="clear" w:color="auto" w:fill="D2DDE1" w:themeFill="background2"/>
          </w:tcPr>
          <w:p w14:paraId="2421CB6E" w14:textId="3FDE1A3D" w:rsidR="00FB65E5" w:rsidRPr="00BD16B4" w:rsidRDefault="003105DE" w:rsidP="00175625">
            <w:pPr>
              <w:pStyle w:val="TableText"/>
              <w:spacing w:before="40" w:after="40"/>
              <w:jc w:val="center"/>
            </w:pPr>
            <w:r w:rsidRPr="00BD16B4">
              <w:rPr>
                <w:rFonts w:cs="Calibri"/>
                <w:szCs w:val="18"/>
              </w:rPr>
              <w:t>0.0</w:t>
            </w:r>
          </w:p>
        </w:tc>
        <w:tc>
          <w:tcPr>
            <w:tcW w:w="603" w:type="dxa"/>
            <w:shd w:val="clear" w:color="auto" w:fill="D2DDE1" w:themeFill="background2"/>
          </w:tcPr>
          <w:p w14:paraId="4C48B3CB" w14:textId="500D38E8" w:rsidR="00FB65E5" w:rsidRPr="00BD16B4" w:rsidRDefault="003105DE" w:rsidP="00175625">
            <w:pPr>
              <w:pStyle w:val="TableText"/>
              <w:spacing w:before="40" w:after="40"/>
              <w:jc w:val="center"/>
            </w:pPr>
            <w:r w:rsidRPr="00BD16B4">
              <w:rPr>
                <w:rFonts w:cs="Calibri"/>
                <w:szCs w:val="18"/>
              </w:rPr>
              <w:t>0.0</w:t>
            </w:r>
          </w:p>
        </w:tc>
      </w:tr>
      <w:tr w:rsidR="00084FBF" w:rsidRPr="00BD16B4" w14:paraId="644B4204" w14:textId="77777777" w:rsidTr="007C4AAF">
        <w:tc>
          <w:tcPr>
            <w:tcW w:w="2999" w:type="dxa"/>
          </w:tcPr>
          <w:p w14:paraId="1E76B838" w14:textId="65DC7D91" w:rsidR="003105DE" w:rsidRPr="00BD16B4" w:rsidRDefault="003105DE" w:rsidP="00175625">
            <w:pPr>
              <w:pStyle w:val="TableText"/>
              <w:spacing w:before="40" w:after="40"/>
              <w:rPr>
                <w:rFonts w:cs="Calibri"/>
                <w:szCs w:val="18"/>
              </w:rPr>
            </w:pPr>
            <w:r w:rsidRPr="00BD16B4">
              <w:rPr>
                <w:rFonts w:cs="Calibri"/>
                <w:szCs w:val="18"/>
              </w:rPr>
              <w:t xml:space="preserve">Effective carbon price </w:t>
            </w:r>
            <w:r w:rsidRPr="00BD16B4">
              <w:rPr>
                <w:rFonts w:cs="Calibri"/>
                <w:szCs w:val="18"/>
              </w:rPr>
              <w:br/>
              <w:t>(NZ$ per tonne CO</w:t>
            </w:r>
            <w:r w:rsidRPr="00BD16B4">
              <w:rPr>
                <w:rFonts w:cs="Calibri"/>
                <w:szCs w:val="18"/>
                <w:vertAlign w:val="subscript"/>
              </w:rPr>
              <w:t>2</w:t>
            </w:r>
            <w:r w:rsidRPr="00BD16B4">
              <w:rPr>
                <w:rFonts w:cs="Calibri"/>
                <w:szCs w:val="18"/>
              </w:rPr>
              <w:t>-e)</w:t>
            </w:r>
          </w:p>
        </w:tc>
        <w:tc>
          <w:tcPr>
            <w:tcW w:w="603" w:type="dxa"/>
          </w:tcPr>
          <w:p w14:paraId="4B86052C" w14:textId="3DA196D6" w:rsidR="003105DE" w:rsidRPr="00BD16B4" w:rsidRDefault="003105DE" w:rsidP="00175625">
            <w:pPr>
              <w:pStyle w:val="TableText"/>
              <w:spacing w:before="40" w:after="40"/>
              <w:jc w:val="center"/>
              <w:rPr>
                <w:rFonts w:cs="Calibri"/>
                <w:szCs w:val="18"/>
              </w:rPr>
            </w:pPr>
            <w:r w:rsidRPr="00BD16B4">
              <w:rPr>
                <w:rFonts w:cs="Calibri"/>
                <w:szCs w:val="18"/>
              </w:rPr>
              <w:t>25.00</w:t>
            </w:r>
          </w:p>
        </w:tc>
        <w:tc>
          <w:tcPr>
            <w:tcW w:w="603" w:type="dxa"/>
            <w:shd w:val="clear" w:color="auto" w:fill="D2DDE1" w:themeFill="background2"/>
          </w:tcPr>
          <w:p w14:paraId="6F81581A" w14:textId="389431B1" w:rsidR="003105DE" w:rsidRPr="00BD16B4" w:rsidRDefault="003105DE" w:rsidP="00175625">
            <w:pPr>
              <w:pStyle w:val="TableText"/>
              <w:spacing w:before="40" w:after="40"/>
              <w:jc w:val="center"/>
              <w:rPr>
                <w:rFonts w:cs="Calibri"/>
                <w:szCs w:val="18"/>
              </w:rPr>
            </w:pPr>
            <w:r w:rsidRPr="00BD16B4">
              <w:rPr>
                <w:rFonts w:cs="Calibri"/>
                <w:szCs w:val="18"/>
              </w:rPr>
              <w:t>26.88</w:t>
            </w:r>
          </w:p>
        </w:tc>
        <w:tc>
          <w:tcPr>
            <w:tcW w:w="603" w:type="dxa"/>
            <w:shd w:val="clear" w:color="auto" w:fill="D2DDE1" w:themeFill="background2"/>
          </w:tcPr>
          <w:p w14:paraId="501DC598" w14:textId="2B3D804B" w:rsidR="003105DE" w:rsidRPr="00BD16B4" w:rsidRDefault="003105DE" w:rsidP="00175625">
            <w:pPr>
              <w:pStyle w:val="TableText"/>
              <w:spacing w:before="40" w:after="40"/>
              <w:jc w:val="center"/>
              <w:rPr>
                <w:rFonts w:cs="Calibri"/>
                <w:szCs w:val="18"/>
              </w:rPr>
            </w:pPr>
            <w:r w:rsidRPr="00BD16B4">
              <w:rPr>
                <w:rFonts w:cs="Calibri"/>
                <w:szCs w:val="18"/>
              </w:rPr>
              <w:t>30.00</w:t>
            </w:r>
          </w:p>
        </w:tc>
        <w:tc>
          <w:tcPr>
            <w:tcW w:w="603" w:type="dxa"/>
          </w:tcPr>
          <w:p w14:paraId="213244A4" w14:textId="7BBCA099" w:rsidR="003105DE" w:rsidRPr="00BD16B4" w:rsidRDefault="003105DE" w:rsidP="00175625">
            <w:pPr>
              <w:pStyle w:val="TableText"/>
              <w:spacing w:before="40" w:after="40"/>
              <w:jc w:val="center"/>
              <w:rPr>
                <w:rFonts w:cs="Calibri"/>
                <w:szCs w:val="18"/>
              </w:rPr>
            </w:pPr>
            <w:r w:rsidRPr="00BD16B4">
              <w:rPr>
                <w:rFonts w:cs="Calibri"/>
                <w:color w:val="000000" w:themeColor="text1"/>
                <w:szCs w:val="18"/>
              </w:rPr>
              <w:t>25.00</w:t>
            </w:r>
          </w:p>
        </w:tc>
        <w:tc>
          <w:tcPr>
            <w:tcW w:w="603" w:type="dxa"/>
            <w:shd w:val="clear" w:color="auto" w:fill="D2DDE1" w:themeFill="background2"/>
          </w:tcPr>
          <w:p w14:paraId="20801B0D" w14:textId="5BC9AE8A" w:rsidR="003105DE" w:rsidRPr="00BD16B4" w:rsidRDefault="003105DE" w:rsidP="00175625">
            <w:pPr>
              <w:pStyle w:val="TableText"/>
              <w:spacing w:before="40" w:after="40"/>
              <w:jc w:val="center"/>
              <w:rPr>
                <w:rFonts w:cs="Calibri"/>
                <w:szCs w:val="18"/>
              </w:rPr>
            </w:pPr>
            <w:r w:rsidRPr="00BD16B4">
              <w:rPr>
                <w:rFonts w:cs="Calibri"/>
                <w:color w:val="000000" w:themeColor="text1"/>
                <w:szCs w:val="18"/>
              </w:rPr>
              <w:t>64.00</w:t>
            </w:r>
          </w:p>
        </w:tc>
        <w:tc>
          <w:tcPr>
            <w:tcW w:w="697" w:type="dxa"/>
            <w:shd w:val="clear" w:color="auto" w:fill="D2DDE1" w:themeFill="background2"/>
          </w:tcPr>
          <w:p w14:paraId="6D9A8288" w14:textId="071EAF94" w:rsidR="003105DE" w:rsidRPr="00BD16B4" w:rsidRDefault="003105DE" w:rsidP="00175625">
            <w:pPr>
              <w:pStyle w:val="TableText"/>
              <w:spacing w:before="40" w:after="40"/>
              <w:jc w:val="center"/>
              <w:rPr>
                <w:rFonts w:cs="Calibri"/>
                <w:szCs w:val="18"/>
              </w:rPr>
            </w:pPr>
            <w:r w:rsidRPr="00BD16B4">
              <w:rPr>
                <w:rFonts w:cs="Calibri"/>
                <w:color w:val="000000" w:themeColor="text1"/>
                <w:szCs w:val="18"/>
              </w:rPr>
              <w:t>97.00</w:t>
            </w:r>
          </w:p>
        </w:tc>
        <w:tc>
          <w:tcPr>
            <w:tcW w:w="588" w:type="dxa"/>
          </w:tcPr>
          <w:p w14:paraId="5B8EA02E" w14:textId="4D8BEFE2" w:rsidR="003105DE" w:rsidRPr="00BD16B4" w:rsidRDefault="003105DE" w:rsidP="00175625">
            <w:pPr>
              <w:pStyle w:val="TableText"/>
              <w:spacing w:before="40" w:after="40"/>
              <w:jc w:val="center"/>
              <w:rPr>
                <w:rFonts w:cs="Calibri"/>
                <w:szCs w:val="18"/>
              </w:rPr>
            </w:pPr>
            <w:r w:rsidRPr="00BD16B4">
              <w:rPr>
                <w:rFonts w:cs="Calibri"/>
                <w:szCs w:val="18"/>
              </w:rPr>
              <w:t>0.0</w:t>
            </w:r>
          </w:p>
        </w:tc>
        <w:tc>
          <w:tcPr>
            <w:tcW w:w="603" w:type="dxa"/>
            <w:shd w:val="clear" w:color="auto" w:fill="D2DDE1" w:themeFill="background2"/>
          </w:tcPr>
          <w:p w14:paraId="09A3D975" w14:textId="1953F82C" w:rsidR="003105DE" w:rsidRPr="00BD16B4" w:rsidRDefault="003105DE" w:rsidP="00175625">
            <w:pPr>
              <w:pStyle w:val="TableText"/>
              <w:spacing w:before="40" w:after="40"/>
              <w:jc w:val="center"/>
              <w:rPr>
                <w:rFonts w:cs="Calibri"/>
                <w:szCs w:val="18"/>
              </w:rPr>
            </w:pPr>
            <w:r w:rsidRPr="00BD16B4">
              <w:rPr>
                <w:rFonts w:cs="Calibri"/>
                <w:szCs w:val="18"/>
              </w:rPr>
              <w:t>138.1</w:t>
            </w:r>
          </w:p>
        </w:tc>
        <w:tc>
          <w:tcPr>
            <w:tcW w:w="603" w:type="dxa"/>
            <w:shd w:val="clear" w:color="auto" w:fill="D2DDE1" w:themeFill="background2"/>
          </w:tcPr>
          <w:p w14:paraId="6DDA21B0" w14:textId="0ED63C22" w:rsidR="003105DE" w:rsidRPr="00BD16B4" w:rsidRDefault="003105DE" w:rsidP="00175625">
            <w:pPr>
              <w:pStyle w:val="TableText"/>
              <w:spacing w:before="40" w:after="40"/>
              <w:jc w:val="center"/>
              <w:rPr>
                <w:rFonts w:cs="Calibri"/>
                <w:szCs w:val="18"/>
              </w:rPr>
            </w:pPr>
            <w:r w:rsidRPr="00BD16B4">
              <w:rPr>
                <w:rFonts w:cs="Calibri"/>
                <w:szCs w:val="18"/>
              </w:rPr>
              <w:t>223.3</w:t>
            </w:r>
          </w:p>
        </w:tc>
      </w:tr>
      <w:tr w:rsidR="00084FBF" w:rsidRPr="00BD16B4" w14:paraId="258C7EEB" w14:textId="77777777" w:rsidTr="007C4AAF">
        <w:tc>
          <w:tcPr>
            <w:tcW w:w="2999" w:type="dxa"/>
          </w:tcPr>
          <w:p w14:paraId="0E13F689" w14:textId="362CA0DA" w:rsidR="003105DE" w:rsidRPr="00BD16B4" w:rsidRDefault="003105DE" w:rsidP="00175625">
            <w:pPr>
              <w:pStyle w:val="TableText"/>
              <w:spacing w:before="40" w:after="40"/>
              <w:rPr>
                <w:rFonts w:cs="Calibri"/>
                <w:szCs w:val="18"/>
              </w:rPr>
            </w:pPr>
            <w:r w:rsidRPr="00BD16B4">
              <w:rPr>
                <w:rFonts w:cs="Calibri"/>
                <w:szCs w:val="18"/>
              </w:rPr>
              <w:t>Effective carbon price used for energy</w:t>
            </w:r>
            <w:r w:rsidR="00B91EFE" w:rsidRPr="00BD16B4">
              <w:rPr>
                <w:rFonts w:cs="Calibri"/>
                <w:szCs w:val="18"/>
              </w:rPr>
              <w:t xml:space="preserve"> </w:t>
            </w:r>
            <w:r w:rsidRPr="00BD16B4">
              <w:rPr>
                <w:rFonts w:cs="Calibri"/>
                <w:szCs w:val="18"/>
              </w:rPr>
              <w:t>and transport (NZ$ tonne CO</w:t>
            </w:r>
            <w:r w:rsidRPr="00BD16B4">
              <w:rPr>
                <w:rFonts w:cs="Calibri"/>
                <w:szCs w:val="18"/>
                <w:vertAlign w:val="subscript"/>
              </w:rPr>
              <w:t>2</w:t>
            </w:r>
            <w:r w:rsidRPr="00BD16B4">
              <w:rPr>
                <w:rFonts w:cs="Calibri"/>
                <w:szCs w:val="18"/>
              </w:rPr>
              <w:t>-e)</w:t>
            </w:r>
          </w:p>
        </w:tc>
        <w:tc>
          <w:tcPr>
            <w:tcW w:w="603" w:type="dxa"/>
          </w:tcPr>
          <w:p w14:paraId="2EE595E0" w14:textId="4E606558" w:rsidR="003105DE" w:rsidRPr="00BD16B4" w:rsidRDefault="003105DE" w:rsidP="00175625">
            <w:pPr>
              <w:pStyle w:val="TableText"/>
              <w:spacing w:before="40" w:after="40"/>
              <w:jc w:val="center"/>
              <w:rPr>
                <w:rFonts w:cs="Calibri"/>
                <w:szCs w:val="18"/>
              </w:rPr>
            </w:pPr>
            <w:r w:rsidRPr="00BD16B4">
              <w:rPr>
                <w:rFonts w:cs="Calibri"/>
                <w:szCs w:val="18"/>
              </w:rPr>
              <w:t>25.00</w:t>
            </w:r>
          </w:p>
        </w:tc>
        <w:tc>
          <w:tcPr>
            <w:tcW w:w="603" w:type="dxa"/>
            <w:shd w:val="clear" w:color="auto" w:fill="D2DDE1" w:themeFill="background2"/>
          </w:tcPr>
          <w:p w14:paraId="38B37D61" w14:textId="0E7138BB" w:rsidR="003105DE" w:rsidRPr="00BD16B4" w:rsidRDefault="003105DE" w:rsidP="00175625">
            <w:pPr>
              <w:pStyle w:val="TableText"/>
              <w:spacing w:before="40" w:after="40"/>
              <w:jc w:val="center"/>
              <w:rPr>
                <w:rFonts w:cs="Calibri"/>
                <w:szCs w:val="18"/>
              </w:rPr>
            </w:pPr>
            <w:r w:rsidRPr="00BD16B4">
              <w:rPr>
                <w:rFonts w:cs="Calibri"/>
                <w:szCs w:val="18"/>
              </w:rPr>
              <w:t>26.88</w:t>
            </w:r>
          </w:p>
        </w:tc>
        <w:tc>
          <w:tcPr>
            <w:tcW w:w="603" w:type="dxa"/>
            <w:shd w:val="clear" w:color="auto" w:fill="D2DDE1" w:themeFill="background2"/>
          </w:tcPr>
          <w:p w14:paraId="58DDC542" w14:textId="60E9614D" w:rsidR="003105DE" w:rsidRPr="00BD16B4" w:rsidRDefault="003105DE" w:rsidP="00175625">
            <w:pPr>
              <w:pStyle w:val="TableText"/>
              <w:spacing w:before="40" w:after="40"/>
              <w:jc w:val="center"/>
              <w:rPr>
                <w:rFonts w:cs="Calibri"/>
                <w:szCs w:val="18"/>
              </w:rPr>
            </w:pPr>
            <w:r w:rsidRPr="00BD16B4">
              <w:rPr>
                <w:rFonts w:cs="Calibri"/>
                <w:szCs w:val="18"/>
              </w:rPr>
              <w:t>30.00</w:t>
            </w:r>
          </w:p>
        </w:tc>
        <w:tc>
          <w:tcPr>
            <w:tcW w:w="603" w:type="dxa"/>
          </w:tcPr>
          <w:p w14:paraId="4EE558B5" w14:textId="29CD6EB6" w:rsidR="003105DE" w:rsidRPr="00BD16B4" w:rsidRDefault="003105DE" w:rsidP="00175625">
            <w:pPr>
              <w:pStyle w:val="TableText"/>
              <w:spacing w:before="40" w:after="40"/>
              <w:jc w:val="center"/>
              <w:rPr>
                <w:rFonts w:cs="Calibri"/>
                <w:color w:val="000000" w:themeColor="text1"/>
                <w:szCs w:val="18"/>
              </w:rPr>
            </w:pPr>
            <w:r w:rsidRPr="00BD16B4">
              <w:rPr>
                <w:rFonts w:cs="Calibri"/>
                <w:szCs w:val="18"/>
              </w:rPr>
              <w:t>25.00</w:t>
            </w:r>
          </w:p>
        </w:tc>
        <w:tc>
          <w:tcPr>
            <w:tcW w:w="603" w:type="dxa"/>
            <w:shd w:val="clear" w:color="auto" w:fill="D2DDE1" w:themeFill="background2"/>
          </w:tcPr>
          <w:p w14:paraId="4F88E887" w14:textId="6BD6168B" w:rsidR="003105DE" w:rsidRPr="00BD16B4" w:rsidRDefault="003105DE" w:rsidP="00175625">
            <w:pPr>
              <w:pStyle w:val="TableText"/>
              <w:spacing w:before="40" w:after="40"/>
              <w:jc w:val="center"/>
              <w:rPr>
                <w:rFonts w:cs="Calibri"/>
                <w:color w:val="000000" w:themeColor="text1"/>
                <w:szCs w:val="18"/>
              </w:rPr>
            </w:pPr>
            <w:r w:rsidRPr="00BD16B4">
              <w:rPr>
                <w:rFonts w:cs="Calibri"/>
                <w:color w:val="000000" w:themeColor="text1"/>
                <w:szCs w:val="18"/>
              </w:rPr>
              <w:t>82.00</w:t>
            </w:r>
          </w:p>
        </w:tc>
        <w:tc>
          <w:tcPr>
            <w:tcW w:w="697" w:type="dxa"/>
            <w:shd w:val="clear" w:color="auto" w:fill="D2DDE1" w:themeFill="background2"/>
          </w:tcPr>
          <w:p w14:paraId="524D558A" w14:textId="05C4401A" w:rsidR="003105DE" w:rsidRPr="00BD16B4" w:rsidRDefault="003105DE" w:rsidP="00175625">
            <w:pPr>
              <w:pStyle w:val="TableText"/>
              <w:spacing w:before="40" w:after="40"/>
              <w:jc w:val="center"/>
              <w:rPr>
                <w:rFonts w:cs="Calibri"/>
                <w:color w:val="000000" w:themeColor="text1"/>
                <w:szCs w:val="18"/>
              </w:rPr>
            </w:pPr>
            <w:r w:rsidRPr="00BD16B4">
              <w:rPr>
                <w:rFonts w:cs="Calibri"/>
                <w:color w:val="000000" w:themeColor="text1"/>
                <w:szCs w:val="18"/>
              </w:rPr>
              <w:t>140.00</w:t>
            </w:r>
          </w:p>
        </w:tc>
        <w:tc>
          <w:tcPr>
            <w:tcW w:w="588" w:type="dxa"/>
          </w:tcPr>
          <w:p w14:paraId="7BD76872" w14:textId="3307E4A4" w:rsidR="003105DE" w:rsidRPr="00BD16B4" w:rsidRDefault="003105DE" w:rsidP="00175625">
            <w:pPr>
              <w:pStyle w:val="TableText"/>
              <w:spacing w:before="40" w:after="40"/>
              <w:jc w:val="center"/>
              <w:rPr>
                <w:rFonts w:cs="Calibri"/>
                <w:szCs w:val="18"/>
              </w:rPr>
            </w:pPr>
            <w:r w:rsidRPr="00BD16B4">
              <w:rPr>
                <w:rFonts w:cs="Calibri"/>
                <w:szCs w:val="18"/>
              </w:rPr>
              <w:t>0.0</w:t>
            </w:r>
          </w:p>
        </w:tc>
        <w:tc>
          <w:tcPr>
            <w:tcW w:w="603" w:type="dxa"/>
            <w:shd w:val="clear" w:color="auto" w:fill="D2DDE1" w:themeFill="background2"/>
          </w:tcPr>
          <w:p w14:paraId="11CECB0A" w14:textId="50510C93" w:rsidR="003105DE" w:rsidRPr="00BD16B4" w:rsidRDefault="003105DE" w:rsidP="00175625">
            <w:pPr>
              <w:pStyle w:val="TableText"/>
              <w:spacing w:before="40" w:after="40"/>
              <w:jc w:val="center"/>
              <w:rPr>
                <w:rFonts w:cs="Calibri"/>
                <w:szCs w:val="18"/>
              </w:rPr>
            </w:pPr>
            <w:r w:rsidRPr="00BD16B4">
              <w:rPr>
                <w:rFonts w:cs="Calibri"/>
                <w:szCs w:val="18"/>
              </w:rPr>
              <w:t>205.1</w:t>
            </w:r>
          </w:p>
        </w:tc>
        <w:tc>
          <w:tcPr>
            <w:tcW w:w="603" w:type="dxa"/>
            <w:shd w:val="clear" w:color="auto" w:fill="D2DDE1" w:themeFill="background2"/>
          </w:tcPr>
          <w:p w14:paraId="454FE838" w14:textId="5EEA7CE0" w:rsidR="003105DE" w:rsidRPr="00BD16B4" w:rsidRDefault="003105DE" w:rsidP="00175625">
            <w:pPr>
              <w:pStyle w:val="TableText"/>
              <w:spacing w:before="40" w:after="40"/>
              <w:jc w:val="center"/>
              <w:rPr>
                <w:rFonts w:cs="Calibri"/>
                <w:szCs w:val="18"/>
              </w:rPr>
            </w:pPr>
            <w:r w:rsidRPr="00BD16B4">
              <w:rPr>
                <w:rFonts w:cs="Calibri"/>
                <w:szCs w:val="18"/>
              </w:rPr>
              <w:t>366.7</w:t>
            </w:r>
          </w:p>
        </w:tc>
      </w:tr>
    </w:tbl>
    <w:p w14:paraId="341FE9E0" w14:textId="77777777" w:rsidR="007C259A" w:rsidRPr="00BD16B4" w:rsidRDefault="007C259A" w:rsidP="00120409">
      <w:pPr>
        <w:pStyle w:val="Note"/>
      </w:pPr>
      <w:r w:rsidRPr="00BD16B4">
        <w:rPr>
          <w:b/>
          <w:bCs/>
        </w:rPr>
        <w:t>Note:</w:t>
      </w:r>
      <w:r w:rsidRPr="00BD16B4">
        <w:t xml:space="preserve"> CO</w:t>
      </w:r>
      <w:r w:rsidRPr="00BD16B4">
        <w:rPr>
          <w:vertAlign w:val="subscript"/>
        </w:rPr>
        <w:t>2</w:t>
      </w:r>
      <w:r w:rsidRPr="00BD16B4">
        <w:t>-e = carbon dioxide equivalent; GDP = gross domestic product.</w:t>
      </w:r>
    </w:p>
    <w:p w14:paraId="475BF70A" w14:textId="77777777" w:rsidR="007C259A" w:rsidRPr="00BD16B4" w:rsidRDefault="007C259A" w:rsidP="00A254C4">
      <w:pPr>
        <w:pStyle w:val="BodyText"/>
        <w:spacing w:before="100" w:after="100"/>
      </w:pPr>
      <w:r w:rsidRPr="00BD16B4">
        <w:t>The projections have also been updated to include improvements to the historical inventory and other improvements to methods, emission factors and activity data. The effects of changes to the inventory are summarised in chapter 3.</w:t>
      </w:r>
    </w:p>
    <w:p w14:paraId="2E210B1B" w14:textId="77777777" w:rsidR="007C259A" w:rsidRPr="00BD16B4" w:rsidRDefault="007C259A" w:rsidP="00A254C4">
      <w:pPr>
        <w:pStyle w:val="BodyText"/>
        <w:spacing w:before="100" w:after="100"/>
      </w:pPr>
      <w:r w:rsidRPr="00BD16B4">
        <w:t>The net effect of these changes is to decrease projected 2025 WEM gross emissions by 5.4 Mt CO</w:t>
      </w:r>
      <w:r w:rsidRPr="00BD16B4">
        <w:rPr>
          <w:vertAlign w:val="subscript"/>
        </w:rPr>
        <w:t>2</w:t>
      </w:r>
      <w:r w:rsidRPr="00BD16B4">
        <w:t xml:space="preserve">-e (6.9 per cent) since the </w:t>
      </w:r>
      <w:r w:rsidRPr="00BD16B4">
        <w:rPr>
          <w:i/>
          <w:iCs/>
        </w:rPr>
        <w:t>Fourth Biennial Report</w:t>
      </w:r>
      <w:r w:rsidRPr="00BD16B4">
        <w:t>, as shown in table 5.12. The projected decrease in gross emissions is mainly due to decreased emissions projections for energy (3.0 Mt CO</w:t>
      </w:r>
      <w:r w:rsidRPr="00BD16B4">
        <w:rPr>
          <w:vertAlign w:val="subscript"/>
        </w:rPr>
        <w:t>2</w:t>
      </w:r>
      <w:r w:rsidRPr="00BD16B4">
        <w:t>-e, 18.1 per cent). Net emissions are also projected to be 8.3 Mt CO</w:t>
      </w:r>
      <w:r w:rsidRPr="00BD16B4">
        <w:rPr>
          <w:vertAlign w:val="subscript"/>
        </w:rPr>
        <w:t>2</w:t>
      </w:r>
      <w:r w:rsidRPr="00BD16B4">
        <w:t>-e (11.5 per cent) lower than previously forecast.</w:t>
      </w:r>
    </w:p>
    <w:p w14:paraId="44B3E7CB" w14:textId="77777777" w:rsidR="007C259A" w:rsidRPr="00BD16B4" w:rsidRDefault="007C259A" w:rsidP="00A254C4">
      <w:pPr>
        <w:pStyle w:val="BodyText"/>
        <w:spacing w:before="100" w:after="100"/>
      </w:pPr>
      <w:r w:rsidRPr="00BD16B4">
        <w:t>In 2030, gross emissions are projected to be 5.2 Mt CO</w:t>
      </w:r>
      <w:r w:rsidRPr="00BD16B4">
        <w:rPr>
          <w:vertAlign w:val="subscript"/>
        </w:rPr>
        <w:t>2</w:t>
      </w:r>
      <w:r w:rsidRPr="00BD16B4">
        <w:t xml:space="preserve">-e (6.9 per cent) lower than reported in the </w:t>
      </w:r>
      <w:r w:rsidRPr="00BD16B4">
        <w:rPr>
          <w:i/>
          <w:iCs/>
        </w:rPr>
        <w:t>Fourth Biennial Report</w:t>
      </w:r>
      <w:r w:rsidRPr="00BD16B4">
        <w:t>. This reduction is primarily due to reduced emissions from energy (3.3 Mt CO</w:t>
      </w:r>
      <w:r w:rsidRPr="00BD16B4">
        <w:rPr>
          <w:vertAlign w:val="subscript"/>
        </w:rPr>
        <w:t>2</w:t>
      </w:r>
      <w:r w:rsidRPr="00BD16B4">
        <w:t>-e, 21.4 per cent) and IPPU (1.7 Mt CO</w:t>
      </w:r>
      <w:r w:rsidRPr="00BD16B4">
        <w:rPr>
          <w:vertAlign w:val="subscript"/>
        </w:rPr>
        <w:t>2</w:t>
      </w:r>
      <w:r w:rsidRPr="00BD16B4">
        <w:noBreakHyphen/>
        <w:t>e, 29.8 per cent). Net emissions are projected to be 8.0 Mt CO</w:t>
      </w:r>
      <w:r w:rsidRPr="00BD16B4">
        <w:rPr>
          <w:vertAlign w:val="subscript"/>
        </w:rPr>
        <w:t>2</w:t>
      </w:r>
      <w:r w:rsidRPr="00BD16B4">
        <w:t>-e (12.2 per cent) lower than previously forecast.</w:t>
      </w:r>
    </w:p>
    <w:p w14:paraId="44D0408B" w14:textId="77777777" w:rsidR="007C259A" w:rsidRPr="00BD16B4" w:rsidRDefault="007C259A" w:rsidP="00BB7302">
      <w:pPr>
        <w:pStyle w:val="Tableheading"/>
      </w:pPr>
      <w:bookmarkStart w:id="290" w:name="_Toc121773802"/>
      <w:r w:rsidRPr="00BD16B4">
        <w:t>Table 5.12:</w:t>
      </w:r>
      <w:r w:rsidRPr="00BD16B4">
        <w:tab/>
        <w:t xml:space="preserve">Comparison of WEM projections (including LULUCF) with </w:t>
      </w:r>
      <w:r w:rsidRPr="00BD16B4">
        <w:rPr>
          <w:i/>
          <w:iCs/>
        </w:rPr>
        <w:t>Fourth Biennial Report</w:t>
      </w:r>
      <w:r w:rsidRPr="00BD16B4">
        <w:t xml:space="preserve"> (Mt CO</w:t>
      </w:r>
      <w:r w:rsidRPr="00BD16B4">
        <w:rPr>
          <w:vertAlign w:val="subscript"/>
        </w:rPr>
        <w:t>2</w:t>
      </w:r>
      <w:r w:rsidRPr="00BD16B4">
        <w:t>-e)</w:t>
      </w:r>
      <w:bookmarkEnd w:id="290"/>
    </w:p>
    <w:tbl>
      <w:tblPr>
        <w:tblStyle w:val="TableGrid1"/>
        <w:tblW w:w="8505" w:type="dxa"/>
        <w:tblInd w:w="113" w:type="dxa"/>
        <w:tblCellMar>
          <w:left w:w="85" w:type="dxa"/>
          <w:right w:w="85" w:type="dxa"/>
        </w:tblCellMar>
        <w:tblLook w:val="04A0" w:firstRow="1" w:lastRow="0" w:firstColumn="1" w:lastColumn="0" w:noHBand="0" w:noVBand="1"/>
      </w:tblPr>
      <w:tblGrid>
        <w:gridCol w:w="1843"/>
        <w:gridCol w:w="851"/>
        <w:gridCol w:w="695"/>
        <w:gridCol w:w="864"/>
        <w:gridCol w:w="850"/>
        <w:gridCol w:w="851"/>
        <w:gridCol w:w="828"/>
        <w:gridCol w:w="873"/>
        <w:gridCol w:w="850"/>
      </w:tblGrid>
      <w:tr w:rsidR="007C259A" w:rsidRPr="00BD16B4" w14:paraId="036B84D5" w14:textId="77777777" w:rsidTr="006A7AF1">
        <w:tc>
          <w:tcPr>
            <w:tcW w:w="2694" w:type="dxa"/>
            <w:gridSpan w:val="2"/>
            <w:tcBorders>
              <w:bottom w:val="nil"/>
              <w:right w:val="nil"/>
            </w:tcBorders>
            <w:shd w:val="clear" w:color="auto" w:fill="1B556B" w:themeFill="text2"/>
          </w:tcPr>
          <w:p w14:paraId="0449009F" w14:textId="77777777" w:rsidR="007C259A" w:rsidRPr="00BD16B4" w:rsidRDefault="007C259A" w:rsidP="00F31129">
            <w:pPr>
              <w:pStyle w:val="TableTextBold0"/>
              <w:keepNext/>
              <w:spacing w:after="0"/>
              <w:rPr>
                <w:color w:val="FFFFFF" w:themeColor="background1"/>
                <w:lang w:val="en-NZ"/>
              </w:rPr>
            </w:pPr>
          </w:p>
        </w:tc>
        <w:tc>
          <w:tcPr>
            <w:tcW w:w="3260" w:type="dxa"/>
            <w:gridSpan w:val="4"/>
            <w:tcBorders>
              <w:left w:val="nil"/>
              <w:bottom w:val="nil"/>
              <w:right w:val="nil"/>
            </w:tcBorders>
            <w:shd w:val="clear" w:color="auto" w:fill="1B556B" w:themeFill="text2"/>
          </w:tcPr>
          <w:p w14:paraId="7FA98B5B" w14:textId="77777777" w:rsidR="007C259A" w:rsidRPr="00BD16B4" w:rsidRDefault="007C259A" w:rsidP="00F31129">
            <w:pPr>
              <w:pStyle w:val="TableTextBold0"/>
              <w:keepNext/>
              <w:spacing w:after="0"/>
              <w:jc w:val="center"/>
              <w:rPr>
                <w:b w:val="0"/>
                <w:color w:val="FFFFFF" w:themeColor="background1"/>
                <w:lang w:val="en-NZ"/>
              </w:rPr>
            </w:pPr>
            <w:r w:rsidRPr="00BD16B4">
              <w:rPr>
                <w:color w:val="FFFFFF" w:themeColor="background1"/>
                <w:lang w:val="en-NZ"/>
              </w:rPr>
              <w:t>Projected emissions 2025</w:t>
            </w:r>
          </w:p>
        </w:tc>
        <w:tc>
          <w:tcPr>
            <w:tcW w:w="2551" w:type="dxa"/>
            <w:gridSpan w:val="3"/>
            <w:tcBorders>
              <w:left w:val="nil"/>
              <w:bottom w:val="nil"/>
            </w:tcBorders>
            <w:shd w:val="clear" w:color="auto" w:fill="1B556B" w:themeFill="text2"/>
          </w:tcPr>
          <w:p w14:paraId="265419B9" w14:textId="77777777" w:rsidR="007C259A" w:rsidRPr="00BD16B4" w:rsidRDefault="007C259A" w:rsidP="00F31129">
            <w:pPr>
              <w:pStyle w:val="TableTextBold0"/>
              <w:keepNext/>
              <w:spacing w:after="0"/>
              <w:jc w:val="center"/>
              <w:rPr>
                <w:b w:val="0"/>
                <w:color w:val="FFFFFF" w:themeColor="background1"/>
                <w:lang w:val="en-NZ"/>
              </w:rPr>
            </w:pPr>
            <w:r w:rsidRPr="00BD16B4">
              <w:rPr>
                <w:color w:val="FFFFFF" w:themeColor="background1"/>
                <w:lang w:val="en-NZ"/>
              </w:rPr>
              <w:t>Projected emissions 2030</w:t>
            </w:r>
          </w:p>
        </w:tc>
      </w:tr>
      <w:tr w:rsidR="007C259A" w:rsidRPr="00BD16B4" w14:paraId="5A7B42D1" w14:textId="77777777" w:rsidTr="006A7AF1">
        <w:tc>
          <w:tcPr>
            <w:tcW w:w="1843" w:type="dxa"/>
            <w:tcBorders>
              <w:top w:val="nil"/>
              <w:right w:val="nil"/>
            </w:tcBorders>
            <w:shd w:val="clear" w:color="auto" w:fill="1B556B" w:themeFill="text2"/>
            <w:vAlign w:val="bottom"/>
            <w:hideMark/>
          </w:tcPr>
          <w:p w14:paraId="4ED3A2D0" w14:textId="77777777" w:rsidR="007C259A" w:rsidRPr="00BD16B4" w:rsidRDefault="007C259A" w:rsidP="00F31129">
            <w:pPr>
              <w:pStyle w:val="TableTextBold0"/>
              <w:keepNext/>
              <w:spacing w:before="0" w:after="40"/>
              <w:rPr>
                <w:b w:val="0"/>
                <w:color w:val="FFFFFF" w:themeColor="background1"/>
                <w:lang w:val="en-NZ"/>
              </w:rPr>
            </w:pPr>
            <w:r w:rsidRPr="00BD16B4">
              <w:rPr>
                <w:color w:val="FFFFFF" w:themeColor="background1"/>
                <w:lang w:val="en-NZ"/>
              </w:rPr>
              <w:t>Gas</w:t>
            </w:r>
          </w:p>
        </w:tc>
        <w:tc>
          <w:tcPr>
            <w:tcW w:w="851" w:type="dxa"/>
            <w:tcBorders>
              <w:top w:val="nil"/>
              <w:left w:val="nil"/>
              <w:right w:val="nil"/>
            </w:tcBorders>
            <w:shd w:val="clear" w:color="auto" w:fill="1B556B" w:themeFill="text2"/>
            <w:vAlign w:val="bottom"/>
            <w:hideMark/>
          </w:tcPr>
          <w:p w14:paraId="2819F1B0" w14:textId="77777777" w:rsidR="007C259A" w:rsidRPr="00BD16B4" w:rsidRDefault="007C259A" w:rsidP="00F31129">
            <w:pPr>
              <w:pStyle w:val="TableTextBold0"/>
              <w:keepNext/>
              <w:spacing w:before="0" w:after="40"/>
              <w:jc w:val="center"/>
              <w:rPr>
                <w:color w:val="FFFFFF" w:themeColor="background1"/>
                <w:lang w:val="en-NZ"/>
              </w:rPr>
            </w:pPr>
            <w:r w:rsidRPr="00BD16B4">
              <w:rPr>
                <w:color w:val="FFFFFF" w:themeColor="background1"/>
                <w:lang w:val="en-NZ"/>
              </w:rPr>
              <w:t>BR4</w:t>
            </w:r>
          </w:p>
        </w:tc>
        <w:tc>
          <w:tcPr>
            <w:tcW w:w="695" w:type="dxa"/>
            <w:tcBorders>
              <w:top w:val="nil"/>
              <w:left w:val="nil"/>
              <w:bottom w:val="single" w:sz="4" w:space="0" w:color="1B556B" w:themeColor="text2"/>
              <w:right w:val="nil"/>
            </w:tcBorders>
            <w:shd w:val="clear" w:color="auto" w:fill="1B556B" w:themeFill="text2"/>
            <w:vAlign w:val="bottom"/>
            <w:hideMark/>
          </w:tcPr>
          <w:p w14:paraId="0659A48A" w14:textId="77777777" w:rsidR="007C259A" w:rsidRPr="00BD16B4" w:rsidRDefault="007C259A" w:rsidP="00F31129">
            <w:pPr>
              <w:pStyle w:val="TableTextBold0"/>
              <w:keepNext/>
              <w:spacing w:before="0" w:after="40"/>
              <w:jc w:val="center"/>
              <w:rPr>
                <w:color w:val="FFFFFF" w:themeColor="background1"/>
                <w:lang w:val="en-NZ"/>
              </w:rPr>
            </w:pPr>
            <w:r w:rsidRPr="00BD16B4">
              <w:rPr>
                <w:color w:val="FFFFFF" w:themeColor="background1"/>
                <w:lang w:val="en-NZ"/>
              </w:rPr>
              <w:t>BR5</w:t>
            </w:r>
          </w:p>
        </w:tc>
        <w:tc>
          <w:tcPr>
            <w:tcW w:w="864" w:type="dxa"/>
            <w:tcBorders>
              <w:top w:val="nil"/>
              <w:left w:val="nil"/>
              <w:bottom w:val="single" w:sz="4" w:space="0" w:color="1B556B" w:themeColor="text2"/>
              <w:right w:val="nil"/>
            </w:tcBorders>
            <w:shd w:val="clear" w:color="auto" w:fill="1B556B" w:themeFill="text2"/>
            <w:vAlign w:val="bottom"/>
            <w:hideMark/>
          </w:tcPr>
          <w:p w14:paraId="3809ED11" w14:textId="77777777" w:rsidR="007C259A" w:rsidRPr="00BD16B4" w:rsidRDefault="007C259A" w:rsidP="00F31129">
            <w:pPr>
              <w:pStyle w:val="TableTextBold0"/>
              <w:keepNext/>
              <w:spacing w:before="0" w:after="40"/>
              <w:jc w:val="center"/>
              <w:rPr>
                <w:color w:val="FFFFFF" w:themeColor="background1"/>
                <w:lang w:val="en-NZ"/>
              </w:rPr>
            </w:pPr>
            <w:r w:rsidRPr="00BD16B4">
              <w:rPr>
                <w:color w:val="FFFFFF" w:themeColor="background1"/>
                <w:lang w:val="en-NZ"/>
              </w:rPr>
              <w:t>Absolute change</w:t>
            </w:r>
          </w:p>
        </w:tc>
        <w:tc>
          <w:tcPr>
            <w:tcW w:w="850" w:type="dxa"/>
            <w:tcBorders>
              <w:top w:val="nil"/>
              <w:left w:val="nil"/>
              <w:bottom w:val="single" w:sz="4" w:space="0" w:color="1B556B" w:themeColor="text2"/>
              <w:right w:val="nil"/>
            </w:tcBorders>
            <w:shd w:val="clear" w:color="auto" w:fill="1B556B" w:themeFill="text2"/>
            <w:vAlign w:val="bottom"/>
            <w:hideMark/>
          </w:tcPr>
          <w:p w14:paraId="6FD88216" w14:textId="77777777" w:rsidR="007C259A" w:rsidRPr="00BD16B4" w:rsidRDefault="007C259A" w:rsidP="00F31129">
            <w:pPr>
              <w:pStyle w:val="TableTextBold0"/>
              <w:keepNext/>
              <w:spacing w:before="0" w:after="40"/>
              <w:jc w:val="center"/>
              <w:rPr>
                <w:color w:val="FFFFFF" w:themeColor="background1"/>
                <w:lang w:val="en-NZ"/>
              </w:rPr>
            </w:pPr>
            <w:r w:rsidRPr="00BD16B4">
              <w:rPr>
                <w:color w:val="FFFFFF" w:themeColor="background1"/>
                <w:lang w:val="en-NZ"/>
              </w:rPr>
              <w:t>Change (%)</w:t>
            </w:r>
          </w:p>
        </w:tc>
        <w:tc>
          <w:tcPr>
            <w:tcW w:w="851" w:type="dxa"/>
            <w:tcBorders>
              <w:top w:val="nil"/>
              <w:left w:val="nil"/>
              <w:right w:val="nil"/>
            </w:tcBorders>
            <w:shd w:val="clear" w:color="auto" w:fill="1B556B" w:themeFill="text2"/>
            <w:vAlign w:val="bottom"/>
            <w:hideMark/>
          </w:tcPr>
          <w:p w14:paraId="600368D2" w14:textId="77777777" w:rsidR="007C259A" w:rsidRPr="00BD16B4" w:rsidRDefault="007C259A" w:rsidP="00F31129">
            <w:pPr>
              <w:pStyle w:val="TableTextBold0"/>
              <w:keepNext/>
              <w:spacing w:before="0" w:after="40"/>
              <w:jc w:val="center"/>
              <w:rPr>
                <w:color w:val="FFFFFF" w:themeColor="background1"/>
                <w:lang w:val="en-NZ"/>
              </w:rPr>
            </w:pPr>
            <w:r w:rsidRPr="00BD16B4">
              <w:rPr>
                <w:color w:val="FFFFFF" w:themeColor="background1"/>
                <w:lang w:val="en-NZ"/>
              </w:rPr>
              <w:t>BR4</w:t>
            </w:r>
          </w:p>
        </w:tc>
        <w:tc>
          <w:tcPr>
            <w:tcW w:w="828" w:type="dxa"/>
            <w:tcBorders>
              <w:top w:val="nil"/>
              <w:left w:val="nil"/>
              <w:bottom w:val="single" w:sz="4" w:space="0" w:color="1B556B" w:themeColor="text2"/>
              <w:right w:val="nil"/>
            </w:tcBorders>
            <w:shd w:val="clear" w:color="auto" w:fill="1B556B" w:themeFill="text2"/>
            <w:vAlign w:val="bottom"/>
            <w:hideMark/>
          </w:tcPr>
          <w:p w14:paraId="7DD9309A" w14:textId="77777777" w:rsidR="007C259A" w:rsidRPr="00BD16B4" w:rsidRDefault="007C259A" w:rsidP="00F31129">
            <w:pPr>
              <w:pStyle w:val="TableTextBold0"/>
              <w:keepNext/>
              <w:spacing w:before="0" w:after="40"/>
              <w:jc w:val="center"/>
              <w:rPr>
                <w:color w:val="FFFFFF" w:themeColor="background1"/>
                <w:lang w:val="en-NZ"/>
              </w:rPr>
            </w:pPr>
            <w:r w:rsidRPr="00BD16B4">
              <w:rPr>
                <w:color w:val="FFFFFF" w:themeColor="background1"/>
                <w:lang w:val="en-NZ"/>
              </w:rPr>
              <w:t>BR5</w:t>
            </w:r>
          </w:p>
        </w:tc>
        <w:tc>
          <w:tcPr>
            <w:tcW w:w="873" w:type="dxa"/>
            <w:tcBorders>
              <w:top w:val="nil"/>
              <w:left w:val="nil"/>
              <w:bottom w:val="single" w:sz="4" w:space="0" w:color="1B556B" w:themeColor="text2"/>
              <w:right w:val="nil"/>
            </w:tcBorders>
            <w:shd w:val="clear" w:color="auto" w:fill="1B556B" w:themeFill="text2"/>
            <w:vAlign w:val="bottom"/>
            <w:hideMark/>
          </w:tcPr>
          <w:p w14:paraId="102A8EDE" w14:textId="77777777" w:rsidR="007C259A" w:rsidRPr="00BD16B4" w:rsidRDefault="007C259A" w:rsidP="00F31129">
            <w:pPr>
              <w:pStyle w:val="TableTextBold0"/>
              <w:keepNext/>
              <w:spacing w:before="0" w:after="40"/>
              <w:jc w:val="center"/>
              <w:rPr>
                <w:color w:val="FFFFFF" w:themeColor="background1"/>
                <w:lang w:val="en-NZ"/>
              </w:rPr>
            </w:pPr>
            <w:r w:rsidRPr="00BD16B4">
              <w:rPr>
                <w:color w:val="FFFFFF" w:themeColor="background1"/>
                <w:lang w:val="en-NZ"/>
              </w:rPr>
              <w:t>Absolute change</w:t>
            </w:r>
          </w:p>
        </w:tc>
        <w:tc>
          <w:tcPr>
            <w:tcW w:w="850" w:type="dxa"/>
            <w:tcBorders>
              <w:top w:val="nil"/>
              <w:left w:val="nil"/>
              <w:bottom w:val="single" w:sz="4" w:space="0" w:color="1B556B" w:themeColor="text2"/>
            </w:tcBorders>
            <w:shd w:val="clear" w:color="auto" w:fill="1B556B" w:themeFill="text2"/>
            <w:vAlign w:val="bottom"/>
            <w:hideMark/>
          </w:tcPr>
          <w:p w14:paraId="4BB78522" w14:textId="77777777" w:rsidR="007C259A" w:rsidRPr="00BD16B4" w:rsidRDefault="007C259A" w:rsidP="00F31129">
            <w:pPr>
              <w:pStyle w:val="TableTextBold0"/>
              <w:keepNext/>
              <w:spacing w:before="0" w:after="40"/>
              <w:jc w:val="center"/>
              <w:rPr>
                <w:color w:val="FFFFFF" w:themeColor="background1"/>
                <w:lang w:val="en-NZ"/>
              </w:rPr>
            </w:pPr>
            <w:r w:rsidRPr="00BD16B4">
              <w:rPr>
                <w:color w:val="FFFFFF" w:themeColor="background1"/>
                <w:lang w:val="en-NZ"/>
              </w:rPr>
              <w:t>Change (%)</w:t>
            </w:r>
          </w:p>
        </w:tc>
      </w:tr>
      <w:tr w:rsidR="007C259A" w:rsidRPr="00BD16B4" w14:paraId="22109FE8" w14:textId="77777777" w:rsidTr="00A254C4">
        <w:tc>
          <w:tcPr>
            <w:tcW w:w="1843" w:type="dxa"/>
            <w:hideMark/>
          </w:tcPr>
          <w:p w14:paraId="45BF211F" w14:textId="77777777" w:rsidR="007C259A" w:rsidRPr="00BD16B4" w:rsidRDefault="007C259A" w:rsidP="00F31129">
            <w:pPr>
              <w:pStyle w:val="TableText"/>
              <w:spacing w:before="40" w:after="40"/>
              <w:rPr>
                <w:lang w:val="en-NZ"/>
              </w:rPr>
            </w:pPr>
            <w:r w:rsidRPr="00BD16B4">
              <w:rPr>
                <w:lang w:val="en-NZ"/>
              </w:rPr>
              <w:t>CO</w:t>
            </w:r>
            <w:r w:rsidRPr="00BD16B4">
              <w:rPr>
                <w:vertAlign w:val="subscript"/>
                <w:lang w:val="en-NZ"/>
              </w:rPr>
              <w:t>2</w:t>
            </w:r>
          </w:p>
        </w:tc>
        <w:tc>
          <w:tcPr>
            <w:tcW w:w="851" w:type="dxa"/>
            <w:hideMark/>
          </w:tcPr>
          <w:p w14:paraId="506669E4"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28.7</w:t>
            </w:r>
          </w:p>
        </w:tc>
        <w:tc>
          <w:tcPr>
            <w:tcW w:w="695" w:type="dxa"/>
            <w:shd w:val="clear" w:color="auto" w:fill="D2DDE1" w:themeFill="background2"/>
            <w:hideMark/>
          </w:tcPr>
          <w:p w14:paraId="03F9428C"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21.4</w:t>
            </w:r>
          </w:p>
        </w:tc>
        <w:tc>
          <w:tcPr>
            <w:tcW w:w="864" w:type="dxa"/>
            <w:shd w:val="clear" w:color="auto" w:fill="D2DDE1" w:themeFill="background2"/>
            <w:hideMark/>
          </w:tcPr>
          <w:p w14:paraId="0C7AABDC"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–7.3</w:t>
            </w:r>
          </w:p>
        </w:tc>
        <w:tc>
          <w:tcPr>
            <w:tcW w:w="850" w:type="dxa"/>
            <w:shd w:val="clear" w:color="auto" w:fill="D2DDE1" w:themeFill="background2"/>
            <w:hideMark/>
          </w:tcPr>
          <w:p w14:paraId="591FD6D6"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–25.3</w:t>
            </w:r>
          </w:p>
        </w:tc>
        <w:tc>
          <w:tcPr>
            <w:tcW w:w="851" w:type="dxa"/>
            <w:hideMark/>
          </w:tcPr>
          <w:p w14:paraId="3581A742"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24.1</w:t>
            </w:r>
          </w:p>
        </w:tc>
        <w:tc>
          <w:tcPr>
            <w:tcW w:w="828" w:type="dxa"/>
            <w:shd w:val="clear" w:color="auto" w:fill="D2DDE1" w:themeFill="background2"/>
            <w:hideMark/>
          </w:tcPr>
          <w:p w14:paraId="49FA6ECF"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17.1</w:t>
            </w:r>
          </w:p>
        </w:tc>
        <w:tc>
          <w:tcPr>
            <w:tcW w:w="873" w:type="dxa"/>
            <w:shd w:val="clear" w:color="auto" w:fill="D2DDE1" w:themeFill="background2"/>
            <w:hideMark/>
          </w:tcPr>
          <w:p w14:paraId="2779E141"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–7.1</w:t>
            </w:r>
          </w:p>
        </w:tc>
        <w:tc>
          <w:tcPr>
            <w:tcW w:w="850" w:type="dxa"/>
            <w:shd w:val="clear" w:color="auto" w:fill="D2DDE1" w:themeFill="background2"/>
            <w:hideMark/>
          </w:tcPr>
          <w:p w14:paraId="09C33D3A"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–29.3</w:t>
            </w:r>
          </w:p>
        </w:tc>
      </w:tr>
      <w:tr w:rsidR="007C259A" w:rsidRPr="00BD16B4" w14:paraId="452CC59C" w14:textId="77777777" w:rsidTr="00A254C4">
        <w:tc>
          <w:tcPr>
            <w:tcW w:w="1843" w:type="dxa"/>
            <w:hideMark/>
          </w:tcPr>
          <w:p w14:paraId="72D345D8" w14:textId="77777777" w:rsidR="007C259A" w:rsidRPr="00BD16B4" w:rsidRDefault="007C259A" w:rsidP="00F31129">
            <w:pPr>
              <w:pStyle w:val="TableText"/>
              <w:spacing w:before="40" w:after="40"/>
              <w:rPr>
                <w:lang w:val="en-NZ"/>
              </w:rPr>
            </w:pPr>
            <w:r w:rsidRPr="00BD16B4">
              <w:rPr>
                <w:lang w:val="en-NZ"/>
              </w:rPr>
              <w:t>CH</w:t>
            </w:r>
            <w:r w:rsidRPr="00BD16B4">
              <w:rPr>
                <w:vertAlign w:val="subscript"/>
                <w:lang w:val="en-NZ"/>
              </w:rPr>
              <w:t>4</w:t>
            </w:r>
          </w:p>
        </w:tc>
        <w:tc>
          <w:tcPr>
            <w:tcW w:w="851" w:type="dxa"/>
            <w:hideMark/>
          </w:tcPr>
          <w:p w14:paraId="2E2B6302"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32.5</w:t>
            </w:r>
          </w:p>
        </w:tc>
        <w:tc>
          <w:tcPr>
            <w:tcW w:w="695" w:type="dxa"/>
            <w:shd w:val="clear" w:color="auto" w:fill="D2DDE1" w:themeFill="background2"/>
            <w:hideMark/>
          </w:tcPr>
          <w:p w14:paraId="51822129"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32.7</w:t>
            </w:r>
          </w:p>
        </w:tc>
        <w:tc>
          <w:tcPr>
            <w:tcW w:w="864" w:type="dxa"/>
            <w:shd w:val="clear" w:color="auto" w:fill="D2DDE1" w:themeFill="background2"/>
            <w:hideMark/>
          </w:tcPr>
          <w:p w14:paraId="083F0F25"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0.2</w:t>
            </w:r>
          </w:p>
        </w:tc>
        <w:tc>
          <w:tcPr>
            <w:tcW w:w="850" w:type="dxa"/>
            <w:shd w:val="clear" w:color="auto" w:fill="D2DDE1" w:themeFill="background2"/>
            <w:hideMark/>
          </w:tcPr>
          <w:p w14:paraId="7634AB78"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0.6</w:t>
            </w:r>
          </w:p>
        </w:tc>
        <w:tc>
          <w:tcPr>
            <w:tcW w:w="851" w:type="dxa"/>
            <w:hideMark/>
          </w:tcPr>
          <w:p w14:paraId="5DA3212A"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31.5</w:t>
            </w:r>
          </w:p>
        </w:tc>
        <w:tc>
          <w:tcPr>
            <w:tcW w:w="828" w:type="dxa"/>
            <w:shd w:val="clear" w:color="auto" w:fill="D2DDE1" w:themeFill="background2"/>
            <w:hideMark/>
          </w:tcPr>
          <w:p w14:paraId="563C2ACA"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31.6</w:t>
            </w:r>
          </w:p>
        </w:tc>
        <w:tc>
          <w:tcPr>
            <w:tcW w:w="873" w:type="dxa"/>
            <w:shd w:val="clear" w:color="auto" w:fill="D2DDE1" w:themeFill="background2"/>
            <w:hideMark/>
          </w:tcPr>
          <w:p w14:paraId="5D425BC0"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0.1</w:t>
            </w:r>
          </w:p>
        </w:tc>
        <w:tc>
          <w:tcPr>
            <w:tcW w:w="850" w:type="dxa"/>
            <w:shd w:val="clear" w:color="auto" w:fill="D2DDE1" w:themeFill="background2"/>
            <w:hideMark/>
          </w:tcPr>
          <w:p w14:paraId="55C6C2D2"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0.4</w:t>
            </w:r>
          </w:p>
        </w:tc>
      </w:tr>
      <w:tr w:rsidR="007C259A" w:rsidRPr="00BD16B4" w14:paraId="39EB17D7" w14:textId="77777777" w:rsidTr="00A254C4">
        <w:tc>
          <w:tcPr>
            <w:tcW w:w="1843" w:type="dxa"/>
            <w:hideMark/>
          </w:tcPr>
          <w:p w14:paraId="61A5CAE9" w14:textId="77777777" w:rsidR="007C259A" w:rsidRPr="00BD16B4" w:rsidRDefault="007C259A" w:rsidP="00F31129">
            <w:pPr>
              <w:pStyle w:val="TableText"/>
              <w:spacing w:before="40" w:after="40"/>
              <w:rPr>
                <w:lang w:val="en-NZ"/>
              </w:rPr>
            </w:pPr>
            <w:r w:rsidRPr="00BD16B4">
              <w:rPr>
                <w:lang w:val="en-NZ"/>
              </w:rPr>
              <w:t>N</w:t>
            </w:r>
            <w:r w:rsidRPr="00BD16B4">
              <w:rPr>
                <w:vertAlign w:val="subscript"/>
                <w:lang w:val="en-NZ"/>
              </w:rPr>
              <w:t>2</w:t>
            </w:r>
            <w:r w:rsidRPr="00BD16B4">
              <w:rPr>
                <w:lang w:val="en-NZ"/>
              </w:rPr>
              <w:t>O</w:t>
            </w:r>
          </w:p>
        </w:tc>
        <w:tc>
          <w:tcPr>
            <w:tcW w:w="851" w:type="dxa"/>
            <w:hideMark/>
          </w:tcPr>
          <w:p w14:paraId="3066334C"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8.7</w:t>
            </w:r>
          </w:p>
        </w:tc>
        <w:tc>
          <w:tcPr>
            <w:tcW w:w="695" w:type="dxa"/>
            <w:shd w:val="clear" w:color="auto" w:fill="D2DDE1" w:themeFill="background2"/>
            <w:hideMark/>
          </w:tcPr>
          <w:p w14:paraId="5BCABE9A"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8.4</w:t>
            </w:r>
          </w:p>
        </w:tc>
        <w:tc>
          <w:tcPr>
            <w:tcW w:w="864" w:type="dxa"/>
            <w:shd w:val="clear" w:color="auto" w:fill="D2DDE1" w:themeFill="background2"/>
            <w:hideMark/>
          </w:tcPr>
          <w:p w14:paraId="0BFF0B8A"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–0.3</w:t>
            </w:r>
          </w:p>
        </w:tc>
        <w:tc>
          <w:tcPr>
            <w:tcW w:w="850" w:type="dxa"/>
            <w:shd w:val="clear" w:color="auto" w:fill="D2DDE1" w:themeFill="background2"/>
            <w:hideMark/>
          </w:tcPr>
          <w:p w14:paraId="526A6EB2"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–4.0</w:t>
            </w:r>
          </w:p>
        </w:tc>
        <w:tc>
          <w:tcPr>
            <w:tcW w:w="851" w:type="dxa"/>
            <w:hideMark/>
          </w:tcPr>
          <w:p w14:paraId="58257A08"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8.4</w:t>
            </w:r>
          </w:p>
        </w:tc>
        <w:tc>
          <w:tcPr>
            <w:tcW w:w="828" w:type="dxa"/>
            <w:shd w:val="clear" w:color="auto" w:fill="D2DDE1" w:themeFill="background2"/>
            <w:hideMark/>
          </w:tcPr>
          <w:p w14:paraId="30C756CE"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8.2</w:t>
            </w:r>
          </w:p>
        </w:tc>
        <w:tc>
          <w:tcPr>
            <w:tcW w:w="873" w:type="dxa"/>
            <w:shd w:val="clear" w:color="auto" w:fill="D2DDE1" w:themeFill="background2"/>
            <w:hideMark/>
          </w:tcPr>
          <w:p w14:paraId="6A59E4C4"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–0.3</w:t>
            </w:r>
          </w:p>
        </w:tc>
        <w:tc>
          <w:tcPr>
            <w:tcW w:w="850" w:type="dxa"/>
            <w:shd w:val="clear" w:color="auto" w:fill="D2DDE1" w:themeFill="background2"/>
            <w:hideMark/>
          </w:tcPr>
          <w:p w14:paraId="15AA1B6E"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–3.3</w:t>
            </w:r>
          </w:p>
        </w:tc>
      </w:tr>
      <w:tr w:rsidR="007C259A" w:rsidRPr="00BD16B4" w14:paraId="3908D3DB" w14:textId="77777777" w:rsidTr="00A254C4">
        <w:tc>
          <w:tcPr>
            <w:tcW w:w="1843" w:type="dxa"/>
            <w:hideMark/>
          </w:tcPr>
          <w:p w14:paraId="0AFE5485" w14:textId="77777777" w:rsidR="007C259A" w:rsidRPr="00BD16B4" w:rsidRDefault="007C259A" w:rsidP="00F31129">
            <w:pPr>
              <w:pStyle w:val="TableText"/>
              <w:spacing w:before="40" w:after="40"/>
              <w:rPr>
                <w:lang w:val="en-NZ"/>
              </w:rPr>
            </w:pPr>
            <w:r w:rsidRPr="00BD16B4">
              <w:rPr>
                <w:lang w:val="en-NZ"/>
              </w:rPr>
              <w:t>HFCs</w:t>
            </w:r>
          </w:p>
        </w:tc>
        <w:tc>
          <w:tcPr>
            <w:tcW w:w="851" w:type="dxa"/>
            <w:hideMark/>
          </w:tcPr>
          <w:p w14:paraId="59FD3BBF"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2.1</w:t>
            </w:r>
          </w:p>
        </w:tc>
        <w:tc>
          <w:tcPr>
            <w:tcW w:w="695" w:type="dxa"/>
            <w:shd w:val="clear" w:color="auto" w:fill="D2DDE1" w:themeFill="background2"/>
            <w:hideMark/>
          </w:tcPr>
          <w:p w14:paraId="62E9E886"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1.3</w:t>
            </w:r>
          </w:p>
        </w:tc>
        <w:tc>
          <w:tcPr>
            <w:tcW w:w="864" w:type="dxa"/>
            <w:shd w:val="clear" w:color="auto" w:fill="D2DDE1" w:themeFill="background2"/>
            <w:hideMark/>
          </w:tcPr>
          <w:p w14:paraId="428A4A3A"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–0.8</w:t>
            </w:r>
          </w:p>
        </w:tc>
        <w:tc>
          <w:tcPr>
            <w:tcW w:w="850" w:type="dxa"/>
            <w:shd w:val="clear" w:color="auto" w:fill="D2DDE1" w:themeFill="background2"/>
            <w:hideMark/>
          </w:tcPr>
          <w:p w14:paraId="4E4E5BFA"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–38.3</w:t>
            </w:r>
          </w:p>
        </w:tc>
        <w:tc>
          <w:tcPr>
            <w:tcW w:w="851" w:type="dxa"/>
            <w:hideMark/>
          </w:tcPr>
          <w:p w14:paraId="2F2B558C"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2.0</w:t>
            </w:r>
          </w:p>
        </w:tc>
        <w:tc>
          <w:tcPr>
            <w:tcW w:w="828" w:type="dxa"/>
            <w:shd w:val="clear" w:color="auto" w:fill="D2DDE1" w:themeFill="background2"/>
            <w:hideMark/>
          </w:tcPr>
          <w:p w14:paraId="2C7D9987"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1.2</w:t>
            </w:r>
          </w:p>
        </w:tc>
        <w:tc>
          <w:tcPr>
            <w:tcW w:w="873" w:type="dxa"/>
            <w:shd w:val="clear" w:color="auto" w:fill="D2DDE1" w:themeFill="background2"/>
            <w:hideMark/>
          </w:tcPr>
          <w:p w14:paraId="69779653"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–0.8</w:t>
            </w:r>
          </w:p>
        </w:tc>
        <w:tc>
          <w:tcPr>
            <w:tcW w:w="850" w:type="dxa"/>
            <w:shd w:val="clear" w:color="auto" w:fill="D2DDE1" w:themeFill="background2"/>
            <w:hideMark/>
          </w:tcPr>
          <w:p w14:paraId="2BCED687"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–39.0</w:t>
            </w:r>
          </w:p>
        </w:tc>
      </w:tr>
      <w:tr w:rsidR="007C259A" w:rsidRPr="00BD16B4" w14:paraId="26B4D7AD" w14:textId="77777777" w:rsidTr="00A254C4">
        <w:tc>
          <w:tcPr>
            <w:tcW w:w="1843" w:type="dxa"/>
            <w:hideMark/>
          </w:tcPr>
          <w:p w14:paraId="22B45818" w14:textId="77777777" w:rsidR="007C259A" w:rsidRPr="00BD16B4" w:rsidRDefault="007C259A" w:rsidP="00F31129">
            <w:pPr>
              <w:pStyle w:val="TableText"/>
              <w:spacing w:before="40" w:after="40"/>
              <w:rPr>
                <w:lang w:val="en-NZ"/>
              </w:rPr>
            </w:pPr>
            <w:r w:rsidRPr="00BD16B4">
              <w:rPr>
                <w:lang w:val="en-NZ"/>
              </w:rPr>
              <w:t>PFCs</w:t>
            </w:r>
          </w:p>
        </w:tc>
        <w:tc>
          <w:tcPr>
            <w:tcW w:w="851" w:type="dxa"/>
            <w:hideMark/>
          </w:tcPr>
          <w:p w14:paraId="7BA45AE5"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0.1</w:t>
            </w:r>
          </w:p>
        </w:tc>
        <w:tc>
          <w:tcPr>
            <w:tcW w:w="695" w:type="dxa"/>
            <w:shd w:val="clear" w:color="auto" w:fill="D2DDE1" w:themeFill="background2"/>
            <w:hideMark/>
          </w:tcPr>
          <w:p w14:paraId="6B3FFCA6"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0.0</w:t>
            </w:r>
          </w:p>
        </w:tc>
        <w:tc>
          <w:tcPr>
            <w:tcW w:w="864" w:type="dxa"/>
            <w:shd w:val="clear" w:color="auto" w:fill="D2DDE1" w:themeFill="background2"/>
            <w:hideMark/>
          </w:tcPr>
          <w:p w14:paraId="10CC5715"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–0.1</w:t>
            </w:r>
          </w:p>
        </w:tc>
        <w:tc>
          <w:tcPr>
            <w:tcW w:w="850" w:type="dxa"/>
            <w:shd w:val="clear" w:color="auto" w:fill="D2DDE1" w:themeFill="background2"/>
            <w:hideMark/>
          </w:tcPr>
          <w:p w14:paraId="0A356DF7"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–100.0 </w:t>
            </w:r>
          </w:p>
        </w:tc>
        <w:tc>
          <w:tcPr>
            <w:tcW w:w="851" w:type="dxa"/>
            <w:hideMark/>
          </w:tcPr>
          <w:p w14:paraId="3EC84C16"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0.1</w:t>
            </w:r>
          </w:p>
        </w:tc>
        <w:tc>
          <w:tcPr>
            <w:tcW w:w="828" w:type="dxa"/>
            <w:shd w:val="clear" w:color="auto" w:fill="D2DDE1" w:themeFill="background2"/>
            <w:hideMark/>
          </w:tcPr>
          <w:p w14:paraId="251BBA0A"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0.0</w:t>
            </w:r>
          </w:p>
        </w:tc>
        <w:tc>
          <w:tcPr>
            <w:tcW w:w="873" w:type="dxa"/>
            <w:shd w:val="clear" w:color="auto" w:fill="D2DDE1" w:themeFill="background2"/>
            <w:hideMark/>
          </w:tcPr>
          <w:p w14:paraId="33BCE780"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–0.1 </w:t>
            </w:r>
          </w:p>
        </w:tc>
        <w:tc>
          <w:tcPr>
            <w:tcW w:w="850" w:type="dxa"/>
            <w:shd w:val="clear" w:color="auto" w:fill="D2DDE1" w:themeFill="background2"/>
            <w:hideMark/>
          </w:tcPr>
          <w:p w14:paraId="7109F97B"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 –100.0</w:t>
            </w:r>
          </w:p>
        </w:tc>
      </w:tr>
      <w:tr w:rsidR="007C259A" w:rsidRPr="00BD16B4" w14:paraId="6F230D30" w14:textId="77777777" w:rsidTr="000B3156">
        <w:tc>
          <w:tcPr>
            <w:tcW w:w="1843" w:type="dxa"/>
            <w:tcBorders>
              <w:bottom w:val="single" w:sz="4" w:space="0" w:color="1B556B" w:themeColor="text2"/>
            </w:tcBorders>
            <w:hideMark/>
          </w:tcPr>
          <w:p w14:paraId="02C2C239" w14:textId="77777777" w:rsidR="007C259A" w:rsidRPr="00BD16B4" w:rsidRDefault="007C259A" w:rsidP="00F31129">
            <w:pPr>
              <w:pStyle w:val="TableText"/>
              <w:spacing w:before="40" w:after="40"/>
              <w:rPr>
                <w:lang w:val="en-NZ"/>
              </w:rPr>
            </w:pPr>
            <w:r w:rsidRPr="00BD16B4">
              <w:rPr>
                <w:lang w:val="en-NZ"/>
              </w:rPr>
              <w:t>SF</w:t>
            </w:r>
            <w:r w:rsidRPr="00BD16B4">
              <w:rPr>
                <w:vertAlign w:val="subscript"/>
                <w:lang w:val="en-NZ"/>
              </w:rPr>
              <w:t>6</w:t>
            </w:r>
          </w:p>
        </w:tc>
        <w:tc>
          <w:tcPr>
            <w:tcW w:w="851" w:type="dxa"/>
            <w:tcBorders>
              <w:bottom w:val="single" w:sz="4" w:space="0" w:color="1B556B" w:themeColor="text2"/>
            </w:tcBorders>
            <w:hideMark/>
          </w:tcPr>
          <w:p w14:paraId="04A1A4EE"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0.02</w:t>
            </w:r>
          </w:p>
        </w:tc>
        <w:tc>
          <w:tcPr>
            <w:tcW w:w="695" w:type="dxa"/>
            <w:tcBorders>
              <w:bottom w:val="single" w:sz="4" w:space="0" w:color="1B556B" w:themeColor="text2"/>
            </w:tcBorders>
            <w:shd w:val="clear" w:color="auto" w:fill="D2DDE1" w:themeFill="background2"/>
            <w:hideMark/>
          </w:tcPr>
          <w:p w14:paraId="4840F5FC"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0.02</w:t>
            </w:r>
          </w:p>
        </w:tc>
        <w:tc>
          <w:tcPr>
            <w:tcW w:w="864" w:type="dxa"/>
            <w:tcBorders>
              <w:bottom w:val="single" w:sz="4" w:space="0" w:color="1B556B" w:themeColor="text2"/>
            </w:tcBorders>
            <w:shd w:val="clear" w:color="auto" w:fill="D2DDE1" w:themeFill="background2"/>
            <w:hideMark/>
          </w:tcPr>
          <w:p w14:paraId="7F29A5DE"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0.0 </w:t>
            </w:r>
          </w:p>
        </w:tc>
        <w:tc>
          <w:tcPr>
            <w:tcW w:w="850" w:type="dxa"/>
            <w:tcBorders>
              <w:bottom w:val="single" w:sz="4" w:space="0" w:color="1B556B" w:themeColor="text2"/>
            </w:tcBorders>
            <w:shd w:val="clear" w:color="auto" w:fill="D2DDE1" w:themeFill="background2"/>
            <w:hideMark/>
          </w:tcPr>
          <w:p w14:paraId="7BCD24B0"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12.9 </w:t>
            </w:r>
          </w:p>
        </w:tc>
        <w:tc>
          <w:tcPr>
            <w:tcW w:w="851" w:type="dxa"/>
            <w:tcBorders>
              <w:bottom w:val="single" w:sz="4" w:space="0" w:color="1B556B" w:themeColor="text2"/>
            </w:tcBorders>
            <w:hideMark/>
          </w:tcPr>
          <w:p w14:paraId="08057BA3"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0.02</w:t>
            </w:r>
          </w:p>
        </w:tc>
        <w:tc>
          <w:tcPr>
            <w:tcW w:w="828" w:type="dxa"/>
            <w:tcBorders>
              <w:bottom w:val="single" w:sz="4" w:space="0" w:color="1B556B" w:themeColor="text2"/>
            </w:tcBorders>
            <w:shd w:val="clear" w:color="auto" w:fill="D2DDE1" w:themeFill="background2"/>
            <w:hideMark/>
          </w:tcPr>
          <w:p w14:paraId="5564CDE4"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0.02</w:t>
            </w:r>
          </w:p>
        </w:tc>
        <w:tc>
          <w:tcPr>
            <w:tcW w:w="873" w:type="dxa"/>
            <w:tcBorders>
              <w:bottom w:val="single" w:sz="4" w:space="0" w:color="1B556B" w:themeColor="text2"/>
            </w:tcBorders>
            <w:shd w:val="clear" w:color="auto" w:fill="D2DDE1" w:themeFill="background2"/>
            <w:hideMark/>
          </w:tcPr>
          <w:p w14:paraId="173B8E14"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0.0 </w:t>
            </w:r>
          </w:p>
        </w:tc>
        <w:tc>
          <w:tcPr>
            <w:tcW w:w="850" w:type="dxa"/>
            <w:tcBorders>
              <w:bottom w:val="single" w:sz="4" w:space="0" w:color="1B556B" w:themeColor="text2"/>
            </w:tcBorders>
            <w:shd w:val="clear" w:color="auto" w:fill="D2DDE1" w:themeFill="background2"/>
            <w:hideMark/>
          </w:tcPr>
          <w:p w14:paraId="62C65E78"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28.7 </w:t>
            </w:r>
          </w:p>
        </w:tc>
      </w:tr>
      <w:tr w:rsidR="000B3156" w:rsidRPr="00BD16B4" w14:paraId="2E80F508" w14:textId="77777777" w:rsidTr="000B3156">
        <w:tc>
          <w:tcPr>
            <w:tcW w:w="1843" w:type="dxa"/>
            <w:tcBorders>
              <w:right w:val="nil"/>
            </w:tcBorders>
            <w:shd w:val="clear" w:color="auto" w:fill="1B556B" w:themeFill="text2"/>
            <w:hideMark/>
          </w:tcPr>
          <w:p w14:paraId="2EBDE459" w14:textId="77777777" w:rsidR="007C259A" w:rsidRPr="00BD16B4" w:rsidRDefault="007C259A" w:rsidP="00F31129">
            <w:pPr>
              <w:pStyle w:val="TableText"/>
              <w:spacing w:before="40" w:after="40"/>
              <w:rPr>
                <w:b/>
                <w:bCs/>
                <w:color w:val="FFFFFF" w:themeColor="background1"/>
                <w:lang w:val="en-NZ"/>
              </w:rPr>
            </w:pPr>
            <w:r w:rsidRPr="00BD16B4">
              <w:rPr>
                <w:b/>
                <w:bCs/>
                <w:color w:val="FFFFFF" w:themeColor="background1"/>
                <w:lang w:val="en-NZ"/>
              </w:rPr>
              <w:t>Sector</w:t>
            </w:r>
          </w:p>
        </w:tc>
        <w:tc>
          <w:tcPr>
            <w:tcW w:w="851" w:type="dxa"/>
            <w:tcBorders>
              <w:left w:val="nil"/>
              <w:right w:val="nil"/>
            </w:tcBorders>
            <w:shd w:val="clear" w:color="auto" w:fill="1B556B" w:themeFill="text2"/>
            <w:hideMark/>
          </w:tcPr>
          <w:p w14:paraId="45EDF230" w14:textId="77777777" w:rsidR="007C259A" w:rsidRPr="00BD16B4" w:rsidRDefault="007C259A" w:rsidP="00F31129">
            <w:pPr>
              <w:pStyle w:val="TableText"/>
              <w:spacing w:before="40" w:after="40"/>
              <w:jc w:val="center"/>
              <w:rPr>
                <w:rFonts w:ascii="Times New Roman" w:hAnsi="Times New Roman"/>
                <w:b/>
                <w:bCs/>
                <w:color w:val="FFFFFF" w:themeColor="background1"/>
                <w:szCs w:val="18"/>
                <w:lang w:val="en-NZ"/>
              </w:rPr>
            </w:pPr>
            <w:r w:rsidRPr="00BD16B4">
              <w:rPr>
                <w:b/>
                <w:bCs/>
                <w:color w:val="FFFFFF" w:themeColor="background1"/>
                <w:sz w:val="20"/>
                <w:szCs w:val="20"/>
                <w:lang w:val="en-NZ"/>
              </w:rPr>
              <w:t> </w:t>
            </w:r>
          </w:p>
        </w:tc>
        <w:tc>
          <w:tcPr>
            <w:tcW w:w="695" w:type="dxa"/>
            <w:tcBorders>
              <w:left w:val="nil"/>
              <w:right w:val="nil"/>
            </w:tcBorders>
            <w:shd w:val="clear" w:color="auto" w:fill="1B556B" w:themeFill="text2"/>
            <w:hideMark/>
          </w:tcPr>
          <w:p w14:paraId="5470FCB2" w14:textId="77777777" w:rsidR="007C259A" w:rsidRPr="00BD16B4" w:rsidRDefault="007C259A" w:rsidP="00F31129">
            <w:pPr>
              <w:pStyle w:val="TableText"/>
              <w:spacing w:before="40" w:after="40"/>
              <w:jc w:val="center"/>
              <w:rPr>
                <w:rFonts w:ascii="Times New Roman" w:hAnsi="Times New Roman"/>
                <w:b/>
                <w:bCs/>
                <w:color w:val="FFFFFF" w:themeColor="background1"/>
                <w:szCs w:val="18"/>
                <w:lang w:val="en-NZ"/>
              </w:rPr>
            </w:pPr>
            <w:r w:rsidRPr="00BD16B4">
              <w:rPr>
                <w:b/>
                <w:bCs/>
                <w:color w:val="FFFFFF" w:themeColor="background1"/>
                <w:sz w:val="20"/>
                <w:szCs w:val="20"/>
                <w:lang w:val="en-NZ"/>
              </w:rPr>
              <w:t> </w:t>
            </w:r>
          </w:p>
        </w:tc>
        <w:tc>
          <w:tcPr>
            <w:tcW w:w="864" w:type="dxa"/>
            <w:tcBorders>
              <w:left w:val="nil"/>
              <w:right w:val="nil"/>
            </w:tcBorders>
            <w:shd w:val="clear" w:color="auto" w:fill="1B556B" w:themeFill="text2"/>
            <w:hideMark/>
          </w:tcPr>
          <w:p w14:paraId="0D9B09AA" w14:textId="77777777" w:rsidR="007C259A" w:rsidRPr="00BD16B4" w:rsidRDefault="007C259A" w:rsidP="00F31129">
            <w:pPr>
              <w:pStyle w:val="TableText"/>
              <w:spacing w:before="40" w:after="40"/>
              <w:jc w:val="center"/>
              <w:rPr>
                <w:rFonts w:ascii="Times New Roman" w:hAnsi="Times New Roman"/>
                <w:b/>
                <w:bCs/>
                <w:color w:val="FFFFFF" w:themeColor="background1"/>
                <w:szCs w:val="18"/>
                <w:lang w:val="en-NZ"/>
              </w:rPr>
            </w:pPr>
            <w:r w:rsidRPr="00BD16B4">
              <w:rPr>
                <w:b/>
                <w:bCs/>
                <w:color w:val="FFFFFF" w:themeColor="background1"/>
                <w:sz w:val="20"/>
                <w:szCs w:val="20"/>
                <w:lang w:val="en-NZ"/>
              </w:rPr>
              <w:t> </w:t>
            </w:r>
          </w:p>
        </w:tc>
        <w:tc>
          <w:tcPr>
            <w:tcW w:w="850" w:type="dxa"/>
            <w:tcBorders>
              <w:left w:val="nil"/>
              <w:right w:val="nil"/>
            </w:tcBorders>
            <w:shd w:val="clear" w:color="auto" w:fill="1B556B" w:themeFill="text2"/>
            <w:hideMark/>
          </w:tcPr>
          <w:p w14:paraId="0FCE7FCD" w14:textId="77777777" w:rsidR="007C259A" w:rsidRPr="00BD16B4" w:rsidRDefault="007C259A" w:rsidP="00F31129">
            <w:pPr>
              <w:pStyle w:val="TableText"/>
              <w:spacing w:before="40" w:after="40"/>
              <w:jc w:val="center"/>
              <w:rPr>
                <w:rFonts w:ascii="Times New Roman" w:hAnsi="Times New Roman"/>
                <w:b/>
                <w:bCs/>
                <w:color w:val="FFFFFF" w:themeColor="background1"/>
                <w:szCs w:val="18"/>
                <w:lang w:val="en-NZ"/>
              </w:rPr>
            </w:pPr>
            <w:r w:rsidRPr="00BD16B4">
              <w:rPr>
                <w:b/>
                <w:bCs/>
                <w:color w:val="FFFFFF" w:themeColor="background1"/>
                <w:sz w:val="20"/>
                <w:szCs w:val="20"/>
                <w:lang w:val="en-NZ"/>
              </w:rPr>
              <w:t> </w:t>
            </w:r>
          </w:p>
        </w:tc>
        <w:tc>
          <w:tcPr>
            <w:tcW w:w="851" w:type="dxa"/>
            <w:tcBorders>
              <w:left w:val="nil"/>
              <w:right w:val="nil"/>
            </w:tcBorders>
            <w:shd w:val="clear" w:color="auto" w:fill="1B556B" w:themeFill="text2"/>
            <w:hideMark/>
          </w:tcPr>
          <w:p w14:paraId="00098211" w14:textId="77777777" w:rsidR="007C259A" w:rsidRPr="00BD16B4" w:rsidRDefault="007C259A" w:rsidP="00F31129">
            <w:pPr>
              <w:pStyle w:val="TableText"/>
              <w:spacing w:before="40" w:after="40"/>
              <w:jc w:val="center"/>
              <w:rPr>
                <w:rFonts w:ascii="Times New Roman" w:hAnsi="Times New Roman"/>
                <w:b/>
                <w:bCs/>
                <w:color w:val="FFFFFF" w:themeColor="background1"/>
                <w:szCs w:val="18"/>
                <w:lang w:val="en-NZ"/>
              </w:rPr>
            </w:pPr>
            <w:r w:rsidRPr="00BD16B4">
              <w:rPr>
                <w:b/>
                <w:bCs/>
                <w:color w:val="FFFFFF" w:themeColor="background1"/>
                <w:sz w:val="20"/>
                <w:szCs w:val="20"/>
                <w:lang w:val="en-NZ"/>
              </w:rPr>
              <w:t> </w:t>
            </w:r>
          </w:p>
        </w:tc>
        <w:tc>
          <w:tcPr>
            <w:tcW w:w="828" w:type="dxa"/>
            <w:tcBorders>
              <w:left w:val="nil"/>
              <w:right w:val="nil"/>
            </w:tcBorders>
            <w:shd w:val="clear" w:color="auto" w:fill="1B556B" w:themeFill="text2"/>
            <w:hideMark/>
          </w:tcPr>
          <w:p w14:paraId="07CF6832" w14:textId="77777777" w:rsidR="007C259A" w:rsidRPr="00BD16B4" w:rsidRDefault="007C259A" w:rsidP="00F31129">
            <w:pPr>
              <w:pStyle w:val="TableText"/>
              <w:spacing w:before="40" w:after="40"/>
              <w:jc w:val="center"/>
              <w:rPr>
                <w:rFonts w:ascii="Times New Roman" w:hAnsi="Times New Roman"/>
                <w:b/>
                <w:bCs/>
                <w:color w:val="FFFFFF" w:themeColor="background1"/>
                <w:szCs w:val="18"/>
                <w:lang w:val="en-NZ"/>
              </w:rPr>
            </w:pPr>
            <w:r w:rsidRPr="00BD16B4">
              <w:rPr>
                <w:b/>
                <w:bCs/>
                <w:color w:val="FFFFFF" w:themeColor="background1"/>
                <w:sz w:val="20"/>
                <w:szCs w:val="20"/>
                <w:lang w:val="en-NZ"/>
              </w:rPr>
              <w:t> </w:t>
            </w:r>
          </w:p>
        </w:tc>
        <w:tc>
          <w:tcPr>
            <w:tcW w:w="873" w:type="dxa"/>
            <w:tcBorders>
              <w:left w:val="nil"/>
              <w:right w:val="nil"/>
            </w:tcBorders>
            <w:shd w:val="clear" w:color="auto" w:fill="1B556B" w:themeFill="text2"/>
            <w:hideMark/>
          </w:tcPr>
          <w:p w14:paraId="3ADD0B7A" w14:textId="77777777" w:rsidR="007C259A" w:rsidRPr="00BD16B4" w:rsidRDefault="007C259A" w:rsidP="00F31129">
            <w:pPr>
              <w:pStyle w:val="TableText"/>
              <w:spacing w:before="40" w:after="40"/>
              <w:jc w:val="center"/>
              <w:rPr>
                <w:rFonts w:ascii="Times New Roman" w:hAnsi="Times New Roman"/>
                <w:b/>
                <w:bCs/>
                <w:color w:val="FFFFFF" w:themeColor="background1"/>
                <w:szCs w:val="18"/>
                <w:lang w:val="en-NZ"/>
              </w:rPr>
            </w:pPr>
            <w:r w:rsidRPr="00BD16B4">
              <w:rPr>
                <w:b/>
                <w:bCs/>
                <w:color w:val="FFFFFF" w:themeColor="background1"/>
                <w:sz w:val="20"/>
                <w:szCs w:val="20"/>
                <w:lang w:val="en-NZ"/>
              </w:rPr>
              <w:t> </w:t>
            </w:r>
          </w:p>
        </w:tc>
        <w:tc>
          <w:tcPr>
            <w:tcW w:w="850" w:type="dxa"/>
            <w:tcBorders>
              <w:left w:val="nil"/>
            </w:tcBorders>
            <w:shd w:val="clear" w:color="auto" w:fill="1B556B" w:themeFill="text2"/>
            <w:hideMark/>
          </w:tcPr>
          <w:p w14:paraId="4D0E0920" w14:textId="77777777" w:rsidR="007C259A" w:rsidRPr="00BD16B4" w:rsidRDefault="007C259A" w:rsidP="00F31129">
            <w:pPr>
              <w:pStyle w:val="TableText"/>
              <w:spacing w:before="40" w:after="40"/>
              <w:jc w:val="center"/>
              <w:rPr>
                <w:rFonts w:ascii="Times New Roman" w:hAnsi="Times New Roman"/>
                <w:b/>
                <w:bCs/>
                <w:color w:val="FFFFFF" w:themeColor="background1"/>
                <w:szCs w:val="18"/>
                <w:lang w:val="en-NZ"/>
              </w:rPr>
            </w:pPr>
            <w:r w:rsidRPr="00BD16B4">
              <w:rPr>
                <w:b/>
                <w:bCs/>
                <w:color w:val="FFFFFF" w:themeColor="background1"/>
                <w:sz w:val="20"/>
                <w:szCs w:val="20"/>
                <w:lang w:val="en-NZ"/>
              </w:rPr>
              <w:t> </w:t>
            </w:r>
          </w:p>
        </w:tc>
      </w:tr>
      <w:tr w:rsidR="007C259A" w:rsidRPr="00BD16B4" w14:paraId="2D027083" w14:textId="77777777" w:rsidTr="00A254C4">
        <w:tc>
          <w:tcPr>
            <w:tcW w:w="1843" w:type="dxa"/>
            <w:hideMark/>
          </w:tcPr>
          <w:p w14:paraId="2444F6AB" w14:textId="77777777" w:rsidR="007C259A" w:rsidRPr="00BD16B4" w:rsidRDefault="007C259A" w:rsidP="00F31129">
            <w:pPr>
              <w:pStyle w:val="TableText"/>
              <w:spacing w:before="40" w:after="40"/>
              <w:rPr>
                <w:lang w:val="en-NZ"/>
              </w:rPr>
            </w:pPr>
            <w:r w:rsidRPr="00BD16B4">
              <w:rPr>
                <w:lang w:val="en-NZ"/>
              </w:rPr>
              <w:t>Agriculture</w:t>
            </w:r>
          </w:p>
        </w:tc>
        <w:tc>
          <w:tcPr>
            <w:tcW w:w="851" w:type="dxa"/>
            <w:hideMark/>
          </w:tcPr>
          <w:p w14:paraId="04B7D1E5"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36.7</w:t>
            </w:r>
          </w:p>
        </w:tc>
        <w:tc>
          <w:tcPr>
            <w:tcW w:w="695" w:type="dxa"/>
            <w:shd w:val="clear" w:color="auto" w:fill="D2DDE1" w:themeFill="background2"/>
            <w:hideMark/>
          </w:tcPr>
          <w:p w14:paraId="1AFBF484"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37.4</w:t>
            </w:r>
          </w:p>
        </w:tc>
        <w:tc>
          <w:tcPr>
            <w:tcW w:w="864" w:type="dxa"/>
            <w:shd w:val="clear" w:color="auto" w:fill="D2DDE1" w:themeFill="background2"/>
            <w:hideMark/>
          </w:tcPr>
          <w:p w14:paraId="4EE039E1"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0.8</w:t>
            </w:r>
          </w:p>
        </w:tc>
        <w:tc>
          <w:tcPr>
            <w:tcW w:w="850" w:type="dxa"/>
            <w:shd w:val="clear" w:color="auto" w:fill="D2DDE1" w:themeFill="background2"/>
            <w:hideMark/>
          </w:tcPr>
          <w:p w14:paraId="0B1942FC"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2.1</w:t>
            </w:r>
          </w:p>
        </w:tc>
        <w:tc>
          <w:tcPr>
            <w:tcW w:w="851" w:type="dxa"/>
            <w:hideMark/>
          </w:tcPr>
          <w:p w14:paraId="632B73A5"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35.5</w:t>
            </w:r>
          </w:p>
        </w:tc>
        <w:tc>
          <w:tcPr>
            <w:tcW w:w="828" w:type="dxa"/>
            <w:shd w:val="clear" w:color="auto" w:fill="D2DDE1" w:themeFill="background2"/>
            <w:hideMark/>
          </w:tcPr>
          <w:p w14:paraId="15006054"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36.3</w:t>
            </w:r>
          </w:p>
        </w:tc>
        <w:tc>
          <w:tcPr>
            <w:tcW w:w="873" w:type="dxa"/>
            <w:shd w:val="clear" w:color="auto" w:fill="D2DDE1" w:themeFill="background2"/>
            <w:hideMark/>
          </w:tcPr>
          <w:p w14:paraId="4A7C32C2"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0.8</w:t>
            </w:r>
          </w:p>
        </w:tc>
        <w:tc>
          <w:tcPr>
            <w:tcW w:w="850" w:type="dxa"/>
            <w:shd w:val="clear" w:color="auto" w:fill="D2DDE1" w:themeFill="background2"/>
            <w:hideMark/>
          </w:tcPr>
          <w:p w14:paraId="19B417D1"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2.4</w:t>
            </w:r>
          </w:p>
        </w:tc>
      </w:tr>
      <w:tr w:rsidR="007C259A" w:rsidRPr="00BD16B4" w14:paraId="597B1A8E" w14:textId="77777777" w:rsidTr="00A254C4">
        <w:tc>
          <w:tcPr>
            <w:tcW w:w="1843" w:type="dxa"/>
            <w:hideMark/>
          </w:tcPr>
          <w:p w14:paraId="51A32549" w14:textId="77777777" w:rsidR="007C259A" w:rsidRPr="00BD16B4" w:rsidRDefault="007C259A" w:rsidP="00F31129">
            <w:pPr>
              <w:pStyle w:val="TableText"/>
              <w:spacing w:before="40" w:after="40"/>
              <w:rPr>
                <w:lang w:val="en-NZ"/>
              </w:rPr>
            </w:pPr>
            <w:r w:rsidRPr="00BD16B4">
              <w:rPr>
                <w:lang w:val="en-NZ"/>
              </w:rPr>
              <w:t>Energy</w:t>
            </w:r>
          </w:p>
        </w:tc>
        <w:tc>
          <w:tcPr>
            <w:tcW w:w="851" w:type="dxa"/>
            <w:hideMark/>
          </w:tcPr>
          <w:p w14:paraId="7ADA373C"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16.6</w:t>
            </w:r>
          </w:p>
        </w:tc>
        <w:tc>
          <w:tcPr>
            <w:tcW w:w="695" w:type="dxa"/>
            <w:shd w:val="clear" w:color="auto" w:fill="D2DDE1" w:themeFill="background2"/>
            <w:hideMark/>
          </w:tcPr>
          <w:p w14:paraId="2085F135"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13.6</w:t>
            </w:r>
          </w:p>
        </w:tc>
        <w:tc>
          <w:tcPr>
            <w:tcW w:w="864" w:type="dxa"/>
            <w:shd w:val="clear" w:color="auto" w:fill="D2DDE1" w:themeFill="background2"/>
            <w:hideMark/>
          </w:tcPr>
          <w:p w14:paraId="4D835432"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–3.0</w:t>
            </w:r>
          </w:p>
        </w:tc>
        <w:tc>
          <w:tcPr>
            <w:tcW w:w="850" w:type="dxa"/>
            <w:shd w:val="clear" w:color="auto" w:fill="D2DDE1" w:themeFill="background2"/>
            <w:hideMark/>
          </w:tcPr>
          <w:p w14:paraId="4241E91E"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–18.1</w:t>
            </w:r>
          </w:p>
        </w:tc>
        <w:tc>
          <w:tcPr>
            <w:tcW w:w="851" w:type="dxa"/>
            <w:hideMark/>
          </w:tcPr>
          <w:p w14:paraId="7598ED66"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15.3</w:t>
            </w:r>
          </w:p>
        </w:tc>
        <w:tc>
          <w:tcPr>
            <w:tcW w:w="828" w:type="dxa"/>
            <w:shd w:val="clear" w:color="auto" w:fill="D2DDE1" w:themeFill="background2"/>
            <w:hideMark/>
          </w:tcPr>
          <w:p w14:paraId="06D86987"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12.1</w:t>
            </w:r>
          </w:p>
        </w:tc>
        <w:tc>
          <w:tcPr>
            <w:tcW w:w="873" w:type="dxa"/>
            <w:shd w:val="clear" w:color="auto" w:fill="D2DDE1" w:themeFill="background2"/>
            <w:hideMark/>
          </w:tcPr>
          <w:p w14:paraId="3755231B"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–3.3</w:t>
            </w:r>
          </w:p>
        </w:tc>
        <w:tc>
          <w:tcPr>
            <w:tcW w:w="850" w:type="dxa"/>
            <w:shd w:val="clear" w:color="auto" w:fill="D2DDE1" w:themeFill="background2"/>
            <w:hideMark/>
          </w:tcPr>
          <w:p w14:paraId="58308C16"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–21.4</w:t>
            </w:r>
          </w:p>
        </w:tc>
      </w:tr>
      <w:tr w:rsidR="007C259A" w:rsidRPr="00BD16B4" w14:paraId="7CE33921" w14:textId="77777777" w:rsidTr="00A254C4">
        <w:tc>
          <w:tcPr>
            <w:tcW w:w="1843" w:type="dxa"/>
            <w:hideMark/>
          </w:tcPr>
          <w:p w14:paraId="62B6AF5F" w14:textId="77777777" w:rsidR="007C259A" w:rsidRPr="00BD16B4" w:rsidRDefault="007C259A" w:rsidP="00F31129">
            <w:pPr>
              <w:pStyle w:val="TableText"/>
              <w:spacing w:before="40" w:after="40"/>
              <w:rPr>
                <w:lang w:val="en-NZ"/>
              </w:rPr>
            </w:pPr>
            <w:r w:rsidRPr="00BD16B4">
              <w:rPr>
                <w:lang w:val="en-NZ"/>
              </w:rPr>
              <w:t>IPPU</w:t>
            </w:r>
          </w:p>
        </w:tc>
        <w:tc>
          <w:tcPr>
            <w:tcW w:w="851" w:type="dxa"/>
            <w:hideMark/>
          </w:tcPr>
          <w:p w14:paraId="1572BE09"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5.7</w:t>
            </w:r>
          </w:p>
        </w:tc>
        <w:tc>
          <w:tcPr>
            <w:tcW w:w="695" w:type="dxa"/>
            <w:shd w:val="clear" w:color="auto" w:fill="D2DDE1" w:themeFill="background2"/>
            <w:hideMark/>
          </w:tcPr>
          <w:p w14:paraId="6DF10FAC"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4.0</w:t>
            </w:r>
          </w:p>
        </w:tc>
        <w:tc>
          <w:tcPr>
            <w:tcW w:w="864" w:type="dxa"/>
            <w:shd w:val="clear" w:color="auto" w:fill="D2DDE1" w:themeFill="background2"/>
            <w:hideMark/>
          </w:tcPr>
          <w:p w14:paraId="53F3205C"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–1.7</w:t>
            </w:r>
          </w:p>
        </w:tc>
        <w:tc>
          <w:tcPr>
            <w:tcW w:w="850" w:type="dxa"/>
            <w:shd w:val="clear" w:color="auto" w:fill="D2DDE1" w:themeFill="background2"/>
            <w:hideMark/>
          </w:tcPr>
          <w:p w14:paraId="312D5266"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–29.5</w:t>
            </w:r>
          </w:p>
        </w:tc>
        <w:tc>
          <w:tcPr>
            <w:tcW w:w="851" w:type="dxa"/>
            <w:hideMark/>
          </w:tcPr>
          <w:p w14:paraId="32BED8E4"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5.6</w:t>
            </w:r>
          </w:p>
        </w:tc>
        <w:tc>
          <w:tcPr>
            <w:tcW w:w="828" w:type="dxa"/>
            <w:shd w:val="clear" w:color="auto" w:fill="D2DDE1" w:themeFill="background2"/>
            <w:hideMark/>
          </w:tcPr>
          <w:p w14:paraId="5E936164"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3.9</w:t>
            </w:r>
          </w:p>
        </w:tc>
        <w:tc>
          <w:tcPr>
            <w:tcW w:w="873" w:type="dxa"/>
            <w:shd w:val="clear" w:color="auto" w:fill="D2DDE1" w:themeFill="background2"/>
            <w:hideMark/>
          </w:tcPr>
          <w:p w14:paraId="570C2CDE"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–1.7</w:t>
            </w:r>
          </w:p>
        </w:tc>
        <w:tc>
          <w:tcPr>
            <w:tcW w:w="850" w:type="dxa"/>
            <w:shd w:val="clear" w:color="auto" w:fill="D2DDE1" w:themeFill="background2"/>
            <w:hideMark/>
          </w:tcPr>
          <w:p w14:paraId="09221DF0"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–29.8</w:t>
            </w:r>
          </w:p>
        </w:tc>
      </w:tr>
      <w:tr w:rsidR="007C259A" w:rsidRPr="00BD16B4" w14:paraId="2EFB80FE" w14:textId="77777777" w:rsidTr="00A254C4">
        <w:tc>
          <w:tcPr>
            <w:tcW w:w="1843" w:type="dxa"/>
            <w:hideMark/>
          </w:tcPr>
          <w:p w14:paraId="3413A8FD" w14:textId="77777777" w:rsidR="007C259A" w:rsidRPr="00BD16B4" w:rsidRDefault="007C259A" w:rsidP="00F31129">
            <w:pPr>
              <w:pStyle w:val="TableText"/>
              <w:spacing w:before="40" w:after="40"/>
              <w:rPr>
                <w:lang w:val="en-NZ"/>
              </w:rPr>
            </w:pPr>
            <w:r w:rsidRPr="00BD16B4">
              <w:rPr>
                <w:lang w:val="en-NZ"/>
              </w:rPr>
              <w:t>Transport</w:t>
            </w:r>
          </w:p>
        </w:tc>
        <w:tc>
          <w:tcPr>
            <w:tcW w:w="851" w:type="dxa"/>
            <w:hideMark/>
          </w:tcPr>
          <w:p w14:paraId="7146D171"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15.8</w:t>
            </w:r>
          </w:p>
        </w:tc>
        <w:tc>
          <w:tcPr>
            <w:tcW w:w="695" w:type="dxa"/>
            <w:shd w:val="clear" w:color="auto" w:fill="D2DDE1" w:themeFill="background2"/>
            <w:hideMark/>
          </w:tcPr>
          <w:p w14:paraId="44DDCC98"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15.1</w:t>
            </w:r>
          </w:p>
        </w:tc>
        <w:tc>
          <w:tcPr>
            <w:tcW w:w="864" w:type="dxa"/>
            <w:shd w:val="clear" w:color="auto" w:fill="D2DDE1" w:themeFill="background2"/>
            <w:hideMark/>
          </w:tcPr>
          <w:p w14:paraId="0BFEB678"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–0.7</w:t>
            </w:r>
          </w:p>
        </w:tc>
        <w:tc>
          <w:tcPr>
            <w:tcW w:w="850" w:type="dxa"/>
            <w:shd w:val="clear" w:color="auto" w:fill="D2DDE1" w:themeFill="background2"/>
            <w:hideMark/>
          </w:tcPr>
          <w:p w14:paraId="45AAC580"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–4.1</w:t>
            </w:r>
          </w:p>
        </w:tc>
        <w:tc>
          <w:tcPr>
            <w:tcW w:w="851" w:type="dxa"/>
            <w:hideMark/>
          </w:tcPr>
          <w:p w14:paraId="4367AA46"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14.9</w:t>
            </w:r>
          </w:p>
        </w:tc>
        <w:tc>
          <w:tcPr>
            <w:tcW w:w="828" w:type="dxa"/>
            <w:shd w:val="clear" w:color="auto" w:fill="D2DDE1" w:themeFill="background2"/>
            <w:hideMark/>
          </w:tcPr>
          <w:p w14:paraId="7AFC130C"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14.8</w:t>
            </w:r>
          </w:p>
        </w:tc>
        <w:tc>
          <w:tcPr>
            <w:tcW w:w="873" w:type="dxa"/>
            <w:shd w:val="clear" w:color="auto" w:fill="D2DDE1" w:themeFill="background2"/>
            <w:hideMark/>
          </w:tcPr>
          <w:p w14:paraId="3373A879"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–0.2</w:t>
            </w:r>
          </w:p>
        </w:tc>
        <w:tc>
          <w:tcPr>
            <w:tcW w:w="850" w:type="dxa"/>
            <w:shd w:val="clear" w:color="auto" w:fill="D2DDE1" w:themeFill="background2"/>
            <w:hideMark/>
          </w:tcPr>
          <w:p w14:paraId="77130032"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–1.0</w:t>
            </w:r>
          </w:p>
        </w:tc>
      </w:tr>
      <w:tr w:rsidR="007C259A" w:rsidRPr="00BD16B4" w14:paraId="088BCC75" w14:textId="77777777" w:rsidTr="00A254C4">
        <w:tc>
          <w:tcPr>
            <w:tcW w:w="1843" w:type="dxa"/>
            <w:hideMark/>
          </w:tcPr>
          <w:p w14:paraId="01904973" w14:textId="77777777" w:rsidR="007C259A" w:rsidRPr="00BD16B4" w:rsidRDefault="007C259A" w:rsidP="00F31129">
            <w:pPr>
              <w:pStyle w:val="TableText"/>
              <w:spacing w:before="40" w:after="40"/>
              <w:rPr>
                <w:lang w:val="en-NZ"/>
              </w:rPr>
            </w:pPr>
            <w:r w:rsidRPr="00BD16B4">
              <w:rPr>
                <w:lang w:val="en-NZ"/>
              </w:rPr>
              <w:t>Waste</w:t>
            </w:r>
          </w:p>
        </w:tc>
        <w:tc>
          <w:tcPr>
            <w:tcW w:w="851" w:type="dxa"/>
          </w:tcPr>
          <w:p w14:paraId="175E6499"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4.0</w:t>
            </w:r>
          </w:p>
        </w:tc>
        <w:tc>
          <w:tcPr>
            <w:tcW w:w="695" w:type="dxa"/>
            <w:shd w:val="clear" w:color="auto" w:fill="D2DDE1" w:themeFill="background2"/>
          </w:tcPr>
          <w:p w14:paraId="1B45EE51"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3.1</w:t>
            </w:r>
          </w:p>
        </w:tc>
        <w:tc>
          <w:tcPr>
            <w:tcW w:w="864" w:type="dxa"/>
            <w:shd w:val="clear" w:color="auto" w:fill="D2DDE1" w:themeFill="background2"/>
          </w:tcPr>
          <w:p w14:paraId="64D46943"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–0.9</w:t>
            </w:r>
          </w:p>
        </w:tc>
        <w:tc>
          <w:tcPr>
            <w:tcW w:w="850" w:type="dxa"/>
            <w:shd w:val="clear" w:color="auto" w:fill="D2DDE1" w:themeFill="background2"/>
          </w:tcPr>
          <w:p w14:paraId="43D70AA4"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–21.5</w:t>
            </w:r>
          </w:p>
        </w:tc>
        <w:tc>
          <w:tcPr>
            <w:tcW w:w="851" w:type="dxa"/>
          </w:tcPr>
          <w:p w14:paraId="2BC008E6"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4.0</w:t>
            </w:r>
          </w:p>
        </w:tc>
        <w:tc>
          <w:tcPr>
            <w:tcW w:w="828" w:type="dxa"/>
            <w:shd w:val="clear" w:color="auto" w:fill="D2DDE1" w:themeFill="background2"/>
          </w:tcPr>
          <w:p w14:paraId="012238CC"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3.0</w:t>
            </w:r>
          </w:p>
        </w:tc>
        <w:tc>
          <w:tcPr>
            <w:tcW w:w="873" w:type="dxa"/>
            <w:shd w:val="clear" w:color="auto" w:fill="D2DDE1" w:themeFill="background2"/>
          </w:tcPr>
          <w:p w14:paraId="18E9AA67"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–1.0</w:t>
            </w:r>
          </w:p>
        </w:tc>
        <w:tc>
          <w:tcPr>
            <w:tcW w:w="850" w:type="dxa"/>
            <w:shd w:val="clear" w:color="auto" w:fill="D2DDE1" w:themeFill="background2"/>
          </w:tcPr>
          <w:p w14:paraId="573ADF0D"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–24.6</w:t>
            </w:r>
          </w:p>
        </w:tc>
      </w:tr>
      <w:tr w:rsidR="007C259A" w:rsidRPr="00BD16B4" w14:paraId="5FCFF5D4" w14:textId="77777777" w:rsidTr="00A254C4">
        <w:tc>
          <w:tcPr>
            <w:tcW w:w="1843" w:type="dxa"/>
            <w:hideMark/>
          </w:tcPr>
          <w:p w14:paraId="762F4E50" w14:textId="77777777" w:rsidR="007C259A" w:rsidRPr="00BD16B4" w:rsidRDefault="007C259A" w:rsidP="00F31129">
            <w:pPr>
              <w:pStyle w:val="TableText"/>
              <w:spacing w:before="40" w:after="40"/>
              <w:rPr>
                <w:lang w:val="en-NZ"/>
              </w:rPr>
            </w:pPr>
            <w:r w:rsidRPr="00BD16B4">
              <w:rPr>
                <w:lang w:val="en-NZ"/>
              </w:rPr>
              <w:t>LULUCF</w:t>
            </w:r>
          </w:p>
        </w:tc>
        <w:tc>
          <w:tcPr>
            <w:tcW w:w="851" w:type="dxa"/>
            <w:hideMark/>
          </w:tcPr>
          <w:p w14:paraId="0FDC3A8B"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–6.7</w:t>
            </w:r>
          </w:p>
        </w:tc>
        <w:tc>
          <w:tcPr>
            <w:tcW w:w="695" w:type="dxa"/>
            <w:shd w:val="clear" w:color="auto" w:fill="D2DDE1" w:themeFill="background2"/>
            <w:hideMark/>
          </w:tcPr>
          <w:p w14:paraId="0EBE9421"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–9.5</w:t>
            </w:r>
          </w:p>
        </w:tc>
        <w:tc>
          <w:tcPr>
            <w:tcW w:w="864" w:type="dxa"/>
            <w:shd w:val="clear" w:color="auto" w:fill="D2DDE1" w:themeFill="background2"/>
            <w:hideMark/>
          </w:tcPr>
          <w:p w14:paraId="40458137"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–2.9</w:t>
            </w:r>
          </w:p>
        </w:tc>
        <w:tc>
          <w:tcPr>
            <w:tcW w:w="850" w:type="dxa"/>
            <w:shd w:val="clear" w:color="auto" w:fill="D2DDE1" w:themeFill="background2"/>
            <w:hideMark/>
          </w:tcPr>
          <w:p w14:paraId="457B02E8"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42.7</w:t>
            </w:r>
          </w:p>
        </w:tc>
        <w:tc>
          <w:tcPr>
            <w:tcW w:w="851" w:type="dxa"/>
            <w:hideMark/>
          </w:tcPr>
          <w:p w14:paraId="1B2B55A6"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–9.2</w:t>
            </w:r>
          </w:p>
        </w:tc>
        <w:tc>
          <w:tcPr>
            <w:tcW w:w="828" w:type="dxa"/>
            <w:shd w:val="clear" w:color="auto" w:fill="D2DDE1" w:themeFill="background2"/>
            <w:hideMark/>
          </w:tcPr>
          <w:p w14:paraId="68819333"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–12.0</w:t>
            </w:r>
          </w:p>
        </w:tc>
        <w:tc>
          <w:tcPr>
            <w:tcW w:w="873" w:type="dxa"/>
            <w:shd w:val="clear" w:color="auto" w:fill="D2DDE1" w:themeFill="background2"/>
            <w:hideMark/>
          </w:tcPr>
          <w:p w14:paraId="4DF8F9D2"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–2.8</w:t>
            </w:r>
          </w:p>
        </w:tc>
        <w:tc>
          <w:tcPr>
            <w:tcW w:w="850" w:type="dxa"/>
            <w:shd w:val="clear" w:color="auto" w:fill="D2DDE1" w:themeFill="background2"/>
            <w:hideMark/>
          </w:tcPr>
          <w:p w14:paraId="6394D583" w14:textId="77777777" w:rsidR="007C259A" w:rsidRPr="00BD16B4" w:rsidRDefault="007C259A" w:rsidP="00F31129">
            <w:pPr>
              <w:pStyle w:val="TableText"/>
              <w:spacing w:before="40" w:after="40"/>
              <w:jc w:val="center"/>
              <w:rPr>
                <w:rFonts w:ascii="Times New Roman" w:hAnsi="Times New Roman"/>
                <w:szCs w:val="18"/>
                <w:lang w:val="en-NZ"/>
              </w:rPr>
            </w:pPr>
            <w:r w:rsidRPr="00BD16B4">
              <w:rPr>
                <w:color w:val="000000"/>
                <w:szCs w:val="18"/>
                <w:lang w:val="en-NZ"/>
              </w:rPr>
              <w:t>30.7</w:t>
            </w:r>
          </w:p>
        </w:tc>
      </w:tr>
      <w:tr w:rsidR="007C259A" w:rsidRPr="00BD16B4" w14:paraId="636FFB09" w14:textId="77777777" w:rsidTr="00A254C4">
        <w:tc>
          <w:tcPr>
            <w:tcW w:w="1843" w:type="dxa"/>
            <w:hideMark/>
          </w:tcPr>
          <w:p w14:paraId="4816ADCB" w14:textId="77777777" w:rsidR="007C259A" w:rsidRPr="00BD16B4" w:rsidRDefault="007C259A" w:rsidP="00F31129">
            <w:pPr>
              <w:pStyle w:val="TableTextBold0"/>
              <w:spacing w:before="40" w:after="40"/>
              <w:rPr>
                <w:b w:val="0"/>
                <w:bCs/>
                <w:lang w:val="en-NZ"/>
              </w:rPr>
            </w:pPr>
            <w:r w:rsidRPr="00BD16B4">
              <w:rPr>
                <w:lang w:val="en-NZ"/>
              </w:rPr>
              <w:t xml:space="preserve">Total gross emissions </w:t>
            </w:r>
          </w:p>
        </w:tc>
        <w:tc>
          <w:tcPr>
            <w:tcW w:w="851" w:type="dxa"/>
            <w:hideMark/>
          </w:tcPr>
          <w:p w14:paraId="29160E2D" w14:textId="77777777" w:rsidR="007C259A" w:rsidRPr="00BD16B4" w:rsidRDefault="007C259A" w:rsidP="00F31129">
            <w:pPr>
              <w:pStyle w:val="TableTextBold0"/>
              <w:spacing w:before="40" w:after="40"/>
              <w:jc w:val="center"/>
              <w:rPr>
                <w:rFonts w:ascii="Times New Roman" w:hAnsi="Times New Roman" w:cs="Times New Roman"/>
                <w:szCs w:val="18"/>
                <w:lang w:val="en-NZ"/>
              </w:rPr>
            </w:pPr>
            <w:r w:rsidRPr="00BD16B4">
              <w:rPr>
                <w:color w:val="000000"/>
                <w:szCs w:val="18"/>
                <w:lang w:val="en-NZ"/>
              </w:rPr>
              <w:t>78.7</w:t>
            </w:r>
          </w:p>
        </w:tc>
        <w:tc>
          <w:tcPr>
            <w:tcW w:w="695" w:type="dxa"/>
            <w:shd w:val="clear" w:color="auto" w:fill="D2DDE1" w:themeFill="background2"/>
            <w:hideMark/>
          </w:tcPr>
          <w:p w14:paraId="4E2AAE7C" w14:textId="77777777" w:rsidR="007C259A" w:rsidRPr="00BD16B4" w:rsidRDefault="007C259A" w:rsidP="00F31129">
            <w:pPr>
              <w:pStyle w:val="TableTextBold0"/>
              <w:spacing w:before="40" w:after="40"/>
              <w:jc w:val="center"/>
              <w:rPr>
                <w:rFonts w:ascii="Times New Roman" w:hAnsi="Times New Roman" w:cs="Times New Roman"/>
                <w:szCs w:val="18"/>
                <w:lang w:val="en-NZ"/>
              </w:rPr>
            </w:pPr>
            <w:r w:rsidRPr="00BD16B4">
              <w:rPr>
                <w:color w:val="000000"/>
                <w:szCs w:val="18"/>
                <w:lang w:val="en-NZ"/>
              </w:rPr>
              <w:t>73.3</w:t>
            </w:r>
          </w:p>
        </w:tc>
        <w:tc>
          <w:tcPr>
            <w:tcW w:w="864" w:type="dxa"/>
            <w:shd w:val="clear" w:color="auto" w:fill="D2DDE1" w:themeFill="background2"/>
            <w:hideMark/>
          </w:tcPr>
          <w:p w14:paraId="5674B897" w14:textId="77777777" w:rsidR="007C259A" w:rsidRPr="00BD16B4" w:rsidRDefault="007C259A" w:rsidP="00F31129">
            <w:pPr>
              <w:pStyle w:val="TableTextBold0"/>
              <w:spacing w:before="40" w:after="40"/>
              <w:jc w:val="center"/>
              <w:rPr>
                <w:rFonts w:ascii="Times New Roman" w:hAnsi="Times New Roman" w:cs="Times New Roman"/>
                <w:szCs w:val="18"/>
                <w:lang w:val="en-NZ"/>
              </w:rPr>
            </w:pPr>
            <w:r w:rsidRPr="00BD16B4">
              <w:rPr>
                <w:color w:val="000000"/>
                <w:szCs w:val="18"/>
                <w:lang w:val="en-NZ"/>
              </w:rPr>
              <w:t>–5.4</w:t>
            </w:r>
          </w:p>
        </w:tc>
        <w:tc>
          <w:tcPr>
            <w:tcW w:w="850" w:type="dxa"/>
            <w:shd w:val="clear" w:color="auto" w:fill="D2DDE1" w:themeFill="background2"/>
            <w:hideMark/>
          </w:tcPr>
          <w:p w14:paraId="56DA681F" w14:textId="77777777" w:rsidR="007C259A" w:rsidRPr="00BD16B4" w:rsidRDefault="007C259A" w:rsidP="00F31129">
            <w:pPr>
              <w:pStyle w:val="TableTextBold0"/>
              <w:spacing w:before="40" w:after="40"/>
              <w:jc w:val="center"/>
              <w:rPr>
                <w:rFonts w:ascii="Times New Roman" w:hAnsi="Times New Roman" w:cs="Times New Roman"/>
                <w:szCs w:val="18"/>
                <w:lang w:val="en-NZ"/>
              </w:rPr>
            </w:pPr>
            <w:r w:rsidRPr="00BD16B4">
              <w:rPr>
                <w:color w:val="000000"/>
                <w:szCs w:val="18"/>
                <w:lang w:val="en-NZ"/>
              </w:rPr>
              <w:t>–6.9</w:t>
            </w:r>
          </w:p>
        </w:tc>
        <w:tc>
          <w:tcPr>
            <w:tcW w:w="851" w:type="dxa"/>
            <w:hideMark/>
          </w:tcPr>
          <w:p w14:paraId="13D9635A" w14:textId="77777777" w:rsidR="007C259A" w:rsidRPr="00BD16B4" w:rsidRDefault="007C259A" w:rsidP="00F31129">
            <w:pPr>
              <w:pStyle w:val="TableTextBold0"/>
              <w:spacing w:before="40" w:after="40"/>
              <w:jc w:val="center"/>
              <w:rPr>
                <w:rFonts w:ascii="Times New Roman" w:hAnsi="Times New Roman" w:cs="Times New Roman"/>
                <w:szCs w:val="18"/>
                <w:lang w:val="en-NZ"/>
              </w:rPr>
            </w:pPr>
            <w:r w:rsidRPr="00BD16B4">
              <w:rPr>
                <w:color w:val="000000"/>
                <w:szCs w:val="18"/>
                <w:lang w:val="en-NZ"/>
              </w:rPr>
              <w:t>75.3</w:t>
            </w:r>
          </w:p>
        </w:tc>
        <w:tc>
          <w:tcPr>
            <w:tcW w:w="828" w:type="dxa"/>
            <w:shd w:val="clear" w:color="auto" w:fill="D2DDE1" w:themeFill="background2"/>
            <w:hideMark/>
          </w:tcPr>
          <w:p w14:paraId="15C5315D" w14:textId="77777777" w:rsidR="007C259A" w:rsidRPr="00BD16B4" w:rsidRDefault="007C259A" w:rsidP="00F31129">
            <w:pPr>
              <w:pStyle w:val="TableTextBold0"/>
              <w:spacing w:before="40" w:after="40"/>
              <w:jc w:val="center"/>
              <w:rPr>
                <w:rFonts w:ascii="Times New Roman" w:hAnsi="Times New Roman" w:cs="Times New Roman"/>
                <w:szCs w:val="18"/>
                <w:lang w:val="en-NZ"/>
              </w:rPr>
            </w:pPr>
            <w:r w:rsidRPr="00BD16B4">
              <w:rPr>
                <w:color w:val="000000"/>
                <w:szCs w:val="18"/>
                <w:lang w:val="en-NZ"/>
              </w:rPr>
              <w:t>70.0</w:t>
            </w:r>
          </w:p>
        </w:tc>
        <w:tc>
          <w:tcPr>
            <w:tcW w:w="873" w:type="dxa"/>
            <w:shd w:val="clear" w:color="auto" w:fill="D2DDE1" w:themeFill="background2"/>
            <w:hideMark/>
          </w:tcPr>
          <w:p w14:paraId="49038311" w14:textId="77777777" w:rsidR="007C259A" w:rsidRPr="00BD16B4" w:rsidRDefault="007C259A" w:rsidP="00F31129">
            <w:pPr>
              <w:pStyle w:val="TableTextBold0"/>
              <w:spacing w:before="40" w:after="40"/>
              <w:jc w:val="center"/>
              <w:rPr>
                <w:rFonts w:ascii="Times New Roman" w:hAnsi="Times New Roman" w:cs="Times New Roman"/>
                <w:szCs w:val="18"/>
                <w:lang w:val="en-NZ"/>
              </w:rPr>
            </w:pPr>
            <w:r w:rsidRPr="00BD16B4">
              <w:rPr>
                <w:color w:val="000000"/>
                <w:szCs w:val="18"/>
                <w:lang w:val="en-NZ"/>
              </w:rPr>
              <w:t>–5.2</w:t>
            </w:r>
          </w:p>
        </w:tc>
        <w:tc>
          <w:tcPr>
            <w:tcW w:w="850" w:type="dxa"/>
            <w:shd w:val="clear" w:color="auto" w:fill="D2DDE1" w:themeFill="background2"/>
            <w:hideMark/>
          </w:tcPr>
          <w:p w14:paraId="26C80B8E" w14:textId="77777777" w:rsidR="007C259A" w:rsidRPr="00BD16B4" w:rsidRDefault="007C259A" w:rsidP="00F31129">
            <w:pPr>
              <w:pStyle w:val="TableTextBold0"/>
              <w:spacing w:before="40" w:after="40"/>
              <w:jc w:val="center"/>
              <w:rPr>
                <w:rFonts w:ascii="Times New Roman" w:hAnsi="Times New Roman" w:cs="Times New Roman"/>
                <w:szCs w:val="18"/>
                <w:lang w:val="en-NZ"/>
              </w:rPr>
            </w:pPr>
            <w:r w:rsidRPr="00BD16B4">
              <w:rPr>
                <w:color w:val="000000"/>
                <w:szCs w:val="18"/>
                <w:lang w:val="en-NZ"/>
              </w:rPr>
              <w:t>–6.9</w:t>
            </w:r>
          </w:p>
        </w:tc>
      </w:tr>
      <w:tr w:rsidR="007C259A" w:rsidRPr="00BD16B4" w14:paraId="5DAD47CB" w14:textId="77777777" w:rsidTr="00A254C4">
        <w:tc>
          <w:tcPr>
            <w:tcW w:w="1843" w:type="dxa"/>
            <w:hideMark/>
          </w:tcPr>
          <w:p w14:paraId="59FE67CD" w14:textId="77777777" w:rsidR="007C259A" w:rsidRPr="00BD16B4" w:rsidRDefault="007C259A" w:rsidP="00F31129">
            <w:pPr>
              <w:pStyle w:val="TableTextBold0"/>
              <w:spacing w:before="40" w:after="40"/>
              <w:rPr>
                <w:b w:val="0"/>
                <w:bCs/>
                <w:lang w:val="en-NZ"/>
              </w:rPr>
            </w:pPr>
            <w:r w:rsidRPr="00BD16B4">
              <w:rPr>
                <w:lang w:val="en-NZ"/>
              </w:rPr>
              <w:t>Total net emissions</w:t>
            </w:r>
          </w:p>
        </w:tc>
        <w:tc>
          <w:tcPr>
            <w:tcW w:w="851" w:type="dxa"/>
            <w:hideMark/>
          </w:tcPr>
          <w:p w14:paraId="0FE11405" w14:textId="77777777" w:rsidR="007C259A" w:rsidRPr="00BD16B4" w:rsidRDefault="007C259A" w:rsidP="00F31129">
            <w:pPr>
              <w:pStyle w:val="TableTextBold0"/>
              <w:spacing w:before="40" w:after="40"/>
              <w:jc w:val="center"/>
              <w:rPr>
                <w:rFonts w:ascii="Times New Roman" w:hAnsi="Times New Roman" w:cs="Times New Roman"/>
                <w:szCs w:val="18"/>
                <w:lang w:val="en-NZ"/>
              </w:rPr>
            </w:pPr>
            <w:r w:rsidRPr="00BD16B4">
              <w:rPr>
                <w:color w:val="000000"/>
                <w:szCs w:val="18"/>
                <w:lang w:val="en-NZ"/>
              </w:rPr>
              <w:t>72.0</w:t>
            </w:r>
          </w:p>
        </w:tc>
        <w:tc>
          <w:tcPr>
            <w:tcW w:w="695" w:type="dxa"/>
            <w:shd w:val="clear" w:color="auto" w:fill="D2DDE1" w:themeFill="background2"/>
            <w:hideMark/>
          </w:tcPr>
          <w:p w14:paraId="48C9B08C" w14:textId="77777777" w:rsidR="007C259A" w:rsidRPr="00BD16B4" w:rsidRDefault="007C259A" w:rsidP="00F31129">
            <w:pPr>
              <w:pStyle w:val="TableTextBold0"/>
              <w:spacing w:before="40" w:after="40"/>
              <w:jc w:val="center"/>
              <w:rPr>
                <w:rFonts w:ascii="Times New Roman" w:hAnsi="Times New Roman" w:cs="Times New Roman"/>
                <w:szCs w:val="18"/>
                <w:lang w:val="en-NZ"/>
              </w:rPr>
            </w:pPr>
            <w:r w:rsidRPr="00BD16B4">
              <w:rPr>
                <w:color w:val="000000"/>
                <w:szCs w:val="18"/>
                <w:lang w:val="en-NZ"/>
              </w:rPr>
              <w:t>63.8</w:t>
            </w:r>
          </w:p>
        </w:tc>
        <w:tc>
          <w:tcPr>
            <w:tcW w:w="864" w:type="dxa"/>
            <w:shd w:val="clear" w:color="auto" w:fill="D2DDE1" w:themeFill="background2"/>
            <w:hideMark/>
          </w:tcPr>
          <w:p w14:paraId="7C86D58E" w14:textId="77777777" w:rsidR="007C259A" w:rsidRPr="00BD16B4" w:rsidRDefault="007C259A" w:rsidP="00F31129">
            <w:pPr>
              <w:pStyle w:val="TableTextBold0"/>
              <w:spacing w:before="40" w:after="40"/>
              <w:jc w:val="center"/>
              <w:rPr>
                <w:rFonts w:ascii="Times New Roman" w:hAnsi="Times New Roman" w:cs="Times New Roman"/>
                <w:szCs w:val="18"/>
                <w:lang w:val="en-NZ"/>
              </w:rPr>
            </w:pPr>
            <w:r w:rsidRPr="00BD16B4">
              <w:rPr>
                <w:color w:val="000000"/>
                <w:szCs w:val="18"/>
                <w:lang w:val="en-NZ"/>
              </w:rPr>
              <w:t>–8.3</w:t>
            </w:r>
          </w:p>
        </w:tc>
        <w:tc>
          <w:tcPr>
            <w:tcW w:w="850" w:type="dxa"/>
            <w:shd w:val="clear" w:color="auto" w:fill="D2DDE1" w:themeFill="background2"/>
            <w:hideMark/>
          </w:tcPr>
          <w:p w14:paraId="5BBB9B99" w14:textId="77777777" w:rsidR="007C259A" w:rsidRPr="00BD16B4" w:rsidRDefault="007C259A" w:rsidP="00F31129">
            <w:pPr>
              <w:pStyle w:val="TableTextBold0"/>
              <w:spacing w:before="40" w:after="40"/>
              <w:jc w:val="center"/>
              <w:rPr>
                <w:rFonts w:ascii="Times New Roman" w:hAnsi="Times New Roman" w:cs="Times New Roman"/>
                <w:szCs w:val="18"/>
                <w:lang w:val="en-NZ"/>
              </w:rPr>
            </w:pPr>
            <w:r w:rsidRPr="00BD16B4">
              <w:rPr>
                <w:color w:val="000000"/>
                <w:szCs w:val="18"/>
                <w:lang w:val="en-NZ"/>
              </w:rPr>
              <w:t>–11.5</w:t>
            </w:r>
          </w:p>
        </w:tc>
        <w:tc>
          <w:tcPr>
            <w:tcW w:w="851" w:type="dxa"/>
            <w:hideMark/>
          </w:tcPr>
          <w:p w14:paraId="474D35E4" w14:textId="77777777" w:rsidR="007C259A" w:rsidRPr="00BD16B4" w:rsidRDefault="007C259A" w:rsidP="00F31129">
            <w:pPr>
              <w:pStyle w:val="TableTextBold0"/>
              <w:spacing w:before="40" w:after="40"/>
              <w:jc w:val="center"/>
              <w:rPr>
                <w:rFonts w:ascii="Times New Roman" w:hAnsi="Times New Roman" w:cs="Times New Roman"/>
                <w:szCs w:val="18"/>
                <w:lang w:val="en-NZ"/>
              </w:rPr>
            </w:pPr>
            <w:r w:rsidRPr="00BD16B4">
              <w:rPr>
                <w:color w:val="000000"/>
                <w:szCs w:val="18"/>
                <w:lang w:val="en-NZ"/>
              </w:rPr>
              <w:t>66.1</w:t>
            </w:r>
          </w:p>
        </w:tc>
        <w:tc>
          <w:tcPr>
            <w:tcW w:w="828" w:type="dxa"/>
            <w:shd w:val="clear" w:color="auto" w:fill="D2DDE1" w:themeFill="background2"/>
            <w:hideMark/>
          </w:tcPr>
          <w:p w14:paraId="78194896" w14:textId="77777777" w:rsidR="007C259A" w:rsidRPr="00BD16B4" w:rsidRDefault="007C259A" w:rsidP="00F31129">
            <w:pPr>
              <w:pStyle w:val="TableTextBold0"/>
              <w:spacing w:before="40" w:after="40"/>
              <w:jc w:val="center"/>
              <w:rPr>
                <w:rFonts w:ascii="Times New Roman" w:hAnsi="Times New Roman" w:cs="Times New Roman"/>
                <w:szCs w:val="18"/>
                <w:lang w:val="en-NZ"/>
              </w:rPr>
            </w:pPr>
            <w:r w:rsidRPr="00BD16B4">
              <w:rPr>
                <w:color w:val="000000"/>
                <w:szCs w:val="18"/>
                <w:lang w:val="en-NZ"/>
              </w:rPr>
              <w:t>58.0</w:t>
            </w:r>
          </w:p>
        </w:tc>
        <w:tc>
          <w:tcPr>
            <w:tcW w:w="873" w:type="dxa"/>
            <w:shd w:val="clear" w:color="auto" w:fill="D2DDE1" w:themeFill="background2"/>
            <w:hideMark/>
          </w:tcPr>
          <w:p w14:paraId="7D029DBF" w14:textId="77777777" w:rsidR="007C259A" w:rsidRPr="00BD16B4" w:rsidRDefault="007C259A" w:rsidP="00F31129">
            <w:pPr>
              <w:pStyle w:val="TableTextBold0"/>
              <w:spacing w:before="40" w:after="40"/>
              <w:jc w:val="center"/>
              <w:rPr>
                <w:rFonts w:ascii="Times New Roman" w:hAnsi="Times New Roman" w:cs="Times New Roman"/>
                <w:szCs w:val="18"/>
                <w:lang w:val="en-NZ"/>
              </w:rPr>
            </w:pPr>
            <w:r w:rsidRPr="00BD16B4">
              <w:rPr>
                <w:color w:val="000000"/>
                <w:szCs w:val="18"/>
                <w:lang w:val="en-NZ"/>
              </w:rPr>
              <w:t>–8.0</w:t>
            </w:r>
          </w:p>
        </w:tc>
        <w:tc>
          <w:tcPr>
            <w:tcW w:w="850" w:type="dxa"/>
            <w:shd w:val="clear" w:color="auto" w:fill="D2DDE1" w:themeFill="background2"/>
            <w:hideMark/>
          </w:tcPr>
          <w:p w14:paraId="686AA0F2" w14:textId="77777777" w:rsidR="007C259A" w:rsidRPr="00BD16B4" w:rsidRDefault="007C259A" w:rsidP="00F31129">
            <w:pPr>
              <w:pStyle w:val="TableTextBold0"/>
              <w:spacing w:before="40" w:after="40"/>
              <w:jc w:val="center"/>
              <w:rPr>
                <w:rFonts w:ascii="Times New Roman" w:hAnsi="Times New Roman" w:cs="Times New Roman"/>
                <w:szCs w:val="18"/>
                <w:lang w:val="en-NZ"/>
              </w:rPr>
            </w:pPr>
            <w:r w:rsidRPr="00BD16B4">
              <w:rPr>
                <w:color w:val="000000"/>
                <w:szCs w:val="18"/>
                <w:lang w:val="en-NZ"/>
              </w:rPr>
              <w:t>–12.2</w:t>
            </w:r>
          </w:p>
        </w:tc>
      </w:tr>
    </w:tbl>
    <w:p w14:paraId="5BA81574" w14:textId="77777777" w:rsidR="007C259A" w:rsidRPr="00BD16B4" w:rsidRDefault="007C259A" w:rsidP="00365C24">
      <w:pPr>
        <w:pStyle w:val="BodyText"/>
        <w:spacing w:before="0" w:after="0"/>
      </w:pPr>
    </w:p>
    <w:tbl>
      <w:tblPr>
        <w:tblStyle w:val="TableGrid1"/>
        <w:tblW w:w="8505" w:type="dxa"/>
        <w:tblInd w:w="113" w:type="dxa"/>
        <w:tblLook w:val="06A0" w:firstRow="1" w:lastRow="0" w:firstColumn="1" w:lastColumn="0" w:noHBand="1" w:noVBand="1"/>
      </w:tblPr>
      <w:tblGrid>
        <w:gridCol w:w="1842"/>
        <w:gridCol w:w="1579"/>
        <w:gridCol w:w="1786"/>
        <w:gridCol w:w="1649"/>
        <w:gridCol w:w="1649"/>
      </w:tblGrid>
      <w:tr w:rsidR="007C259A" w:rsidRPr="00BD16B4" w14:paraId="2FCCE225" w14:textId="77777777" w:rsidTr="00921C95">
        <w:trPr>
          <w:tblHeader/>
        </w:trPr>
        <w:tc>
          <w:tcPr>
            <w:tcW w:w="1842" w:type="dxa"/>
            <w:tcBorders>
              <w:bottom w:val="nil"/>
              <w:right w:val="nil"/>
            </w:tcBorders>
            <w:shd w:val="clear" w:color="auto" w:fill="1B556B" w:themeFill="text2"/>
            <w:hideMark/>
          </w:tcPr>
          <w:p w14:paraId="5A4BF3C2" w14:textId="77777777" w:rsidR="007C259A" w:rsidRPr="00BD16B4" w:rsidRDefault="007C259A" w:rsidP="00F31129">
            <w:pPr>
              <w:pStyle w:val="TableTextBold0"/>
              <w:spacing w:after="0"/>
              <w:jc w:val="center"/>
              <w:rPr>
                <w:color w:val="FFFFFF" w:themeColor="background1"/>
                <w:lang w:val="en-NZ"/>
              </w:rPr>
            </w:pPr>
          </w:p>
        </w:tc>
        <w:tc>
          <w:tcPr>
            <w:tcW w:w="1579" w:type="dxa"/>
            <w:tcBorders>
              <w:left w:val="nil"/>
              <w:bottom w:val="nil"/>
              <w:right w:val="single" w:sz="4" w:space="0" w:color="1C556C" w:themeColor="accent1"/>
            </w:tcBorders>
            <w:shd w:val="clear" w:color="auto" w:fill="1B556B" w:themeFill="text2"/>
            <w:hideMark/>
          </w:tcPr>
          <w:p w14:paraId="2ED3338B" w14:textId="77777777" w:rsidR="007C259A" w:rsidRPr="00BD16B4" w:rsidRDefault="007C259A" w:rsidP="00F31129">
            <w:pPr>
              <w:pStyle w:val="TableTextBold0"/>
              <w:spacing w:after="0"/>
              <w:jc w:val="center"/>
              <w:rPr>
                <w:color w:val="FFFFFF" w:themeColor="background1"/>
                <w:lang w:val="en-NZ"/>
              </w:rPr>
            </w:pPr>
          </w:p>
        </w:tc>
        <w:tc>
          <w:tcPr>
            <w:tcW w:w="5084" w:type="dxa"/>
            <w:gridSpan w:val="3"/>
            <w:tcBorders>
              <w:left w:val="single" w:sz="4" w:space="0" w:color="1C556C" w:themeColor="accent1"/>
              <w:bottom w:val="nil"/>
            </w:tcBorders>
            <w:shd w:val="clear" w:color="auto" w:fill="1B556B" w:themeFill="text2"/>
          </w:tcPr>
          <w:p w14:paraId="776D1BB5" w14:textId="77777777" w:rsidR="007C259A" w:rsidRPr="00BD16B4" w:rsidRDefault="007C259A" w:rsidP="00F31129">
            <w:pPr>
              <w:pStyle w:val="TableTextBold0"/>
              <w:spacing w:after="0"/>
              <w:jc w:val="center"/>
              <w:rPr>
                <w:color w:val="FFFFFF" w:themeColor="background1"/>
                <w:lang w:val="en-NZ"/>
              </w:rPr>
            </w:pPr>
            <w:r w:rsidRPr="00BD16B4">
              <w:rPr>
                <w:color w:val="FFFFFF" w:themeColor="background1"/>
                <w:lang w:val="en-NZ"/>
              </w:rPr>
              <w:t>Projected emissions 2035</w:t>
            </w:r>
          </w:p>
        </w:tc>
      </w:tr>
      <w:tr w:rsidR="007C259A" w:rsidRPr="00BD16B4" w14:paraId="036A13D7" w14:textId="77777777" w:rsidTr="00921C95">
        <w:trPr>
          <w:tblHeader/>
        </w:trPr>
        <w:tc>
          <w:tcPr>
            <w:tcW w:w="1842" w:type="dxa"/>
            <w:tcBorders>
              <w:top w:val="nil"/>
              <w:right w:val="nil"/>
            </w:tcBorders>
            <w:shd w:val="clear" w:color="auto" w:fill="1B556B" w:themeFill="text2"/>
            <w:hideMark/>
          </w:tcPr>
          <w:p w14:paraId="620C74CA" w14:textId="77777777" w:rsidR="007C259A" w:rsidRPr="00BD16B4" w:rsidRDefault="007C259A" w:rsidP="00F31129">
            <w:pPr>
              <w:pStyle w:val="TableTextBold0"/>
              <w:spacing w:before="0"/>
              <w:rPr>
                <w:color w:val="FFFFFF" w:themeColor="background1"/>
                <w:lang w:val="en-NZ"/>
              </w:rPr>
            </w:pPr>
            <w:r w:rsidRPr="00BD16B4">
              <w:rPr>
                <w:color w:val="FFFFFF" w:themeColor="background1"/>
                <w:lang w:val="en-NZ"/>
              </w:rPr>
              <w:t>Gas</w:t>
            </w:r>
          </w:p>
        </w:tc>
        <w:tc>
          <w:tcPr>
            <w:tcW w:w="1579" w:type="dxa"/>
            <w:tcBorders>
              <w:top w:val="nil"/>
              <w:left w:val="nil"/>
              <w:right w:val="nil"/>
            </w:tcBorders>
            <w:shd w:val="clear" w:color="auto" w:fill="1B556B" w:themeFill="text2"/>
            <w:hideMark/>
          </w:tcPr>
          <w:p w14:paraId="12E950F0" w14:textId="77777777" w:rsidR="007C259A" w:rsidRPr="00BD16B4" w:rsidRDefault="007C259A" w:rsidP="00F31129">
            <w:pPr>
              <w:pStyle w:val="TableTextBold0"/>
              <w:spacing w:before="0"/>
              <w:jc w:val="center"/>
              <w:rPr>
                <w:color w:val="FFFFFF" w:themeColor="background1"/>
                <w:lang w:val="en-NZ"/>
              </w:rPr>
            </w:pPr>
            <w:r w:rsidRPr="00BD16B4">
              <w:rPr>
                <w:color w:val="FFFFFF" w:themeColor="background1"/>
                <w:lang w:val="en-NZ"/>
              </w:rPr>
              <w:t>BR4</w:t>
            </w:r>
          </w:p>
        </w:tc>
        <w:tc>
          <w:tcPr>
            <w:tcW w:w="1786" w:type="dxa"/>
            <w:tcBorders>
              <w:top w:val="nil"/>
              <w:left w:val="nil"/>
              <w:bottom w:val="single" w:sz="4" w:space="0" w:color="1B556B" w:themeColor="text2"/>
              <w:right w:val="nil"/>
            </w:tcBorders>
            <w:shd w:val="clear" w:color="auto" w:fill="1B556B" w:themeFill="text2"/>
            <w:hideMark/>
          </w:tcPr>
          <w:p w14:paraId="1BD2BBB7" w14:textId="77777777" w:rsidR="007C259A" w:rsidRPr="00BD16B4" w:rsidRDefault="007C259A" w:rsidP="00F31129">
            <w:pPr>
              <w:pStyle w:val="TableTextBold0"/>
              <w:spacing w:before="0"/>
              <w:jc w:val="center"/>
              <w:rPr>
                <w:color w:val="FFFFFF" w:themeColor="background1"/>
                <w:lang w:val="en-NZ"/>
              </w:rPr>
            </w:pPr>
            <w:r w:rsidRPr="00BD16B4">
              <w:rPr>
                <w:color w:val="FFFFFF" w:themeColor="background1"/>
                <w:lang w:val="en-NZ"/>
              </w:rPr>
              <w:t>BR5</w:t>
            </w:r>
          </w:p>
        </w:tc>
        <w:tc>
          <w:tcPr>
            <w:tcW w:w="1649" w:type="dxa"/>
            <w:tcBorders>
              <w:top w:val="nil"/>
              <w:left w:val="nil"/>
              <w:bottom w:val="single" w:sz="4" w:space="0" w:color="1B556B" w:themeColor="text2"/>
              <w:right w:val="nil"/>
            </w:tcBorders>
            <w:shd w:val="clear" w:color="auto" w:fill="1B556B" w:themeFill="text2"/>
            <w:hideMark/>
          </w:tcPr>
          <w:p w14:paraId="7E781B9E" w14:textId="77777777" w:rsidR="007C259A" w:rsidRPr="00BD16B4" w:rsidRDefault="007C259A" w:rsidP="00F31129">
            <w:pPr>
              <w:pStyle w:val="TableTextBold0"/>
              <w:spacing w:before="0"/>
              <w:jc w:val="center"/>
              <w:rPr>
                <w:color w:val="FFFFFF" w:themeColor="background1"/>
                <w:lang w:val="en-NZ"/>
              </w:rPr>
            </w:pPr>
            <w:r w:rsidRPr="00BD16B4">
              <w:rPr>
                <w:color w:val="FFFFFF" w:themeColor="background1"/>
                <w:lang w:val="en-NZ"/>
              </w:rPr>
              <w:t>Absolute change</w:t>
            </w:r>
          </w:p>
        </w:tc>
        <w:tc>
          <w:tcPr>
            <w:tcW w:w="1649" w:type="dxa"/>
            <w:tcBorders>
              <w:top w:val="nil"/>
              <w:left w:val="nil"/>
              <w:bottom w:val="single" w:sz="4" w:space="0" w:color="1B556B" w:themeColor="text2"/>
            </w:tcBorders>
            <w:shd w:val="clear" w:color="auto" w:fill="1B556B" w:themeFill="text2"/>
            <w:hideMark/>
          </w:tcPr>
          <w:p w14:paraId="60C868D1" w14:textId="77777777" w:rsidR="007C259A" w:rsidRPr="00BD16B4" w:rsidRDefault="007C259A" w:rsidP="00F31129">
            <w:pPr>
              <w:pStyle w:val="TableTextBold0"/>
              <w:spacing w:before="0"/>
              <w:jc w:val="center"/>
              <w:rPr>
                <w:color w:val="FFFFFF" w:themeColor="background1"/>
                <w:lang w:val="en-NZ"/>
              </w:rPr>
            </w:pPr>
            <w:r w:rsidRPr="00BD16B4">
              <w:rPr>
                <w:color w:val="FFFFFF" w:themeColor="background1"/>
                <w:lang w:val="en-NZ"/>
              </w:rPr>
              <w:t>Change (%)</w:t>
            </w:r>
          </w:p>
        </w:tc>
      </w:tr>
      <w:tr w:rsidR="007C259A" w:rsidRPr="00BD16B4" w14:paraId="32C0587F" w14:textId="77777777" w:rsidTr="00921C95">
        <w:tc>
          <w:tcPr>
            <w:tcW w:w="1842" w:type="dxa"/>
            <w:hideMark/>
          </w:tcPr>
          <w:p w14:paraId="1787C087" w14:textId="77777777" w:rsidR="007C259A" w:rsidRPr="00BD16B4" w:rsidRDefault="007C259A" w:rsidP="00F31129">
            <w:pPr>
              <w:pStyle w:val="TableText"/>
              <w:spacing w:before="40" w:after="40"/>
              <w:rPr>
                <w:lang w:val="en-NZ"/>
              </w:rPr>
            </w:pPr>
            <w:r w:rsidRPr="00BD16B4">
              <w:rPr>
                <w:lang w:val="en-NZ"/>
              </w:rPr>
              <w:t>CO</w:t>
            </w:r>
            <w:r w:rsidRPr="00BD16B4">
              <w:rPr>
                <w:vertAlign w:val="subscript"/>
                <w:lang w:val="en-NZ"/>
              </w:rPr>
              <w:t>2</w:t>
            </w:r>
          </w:p>
        </w:tc>
        <w:tc>
          <w:tcPr>
            <w:tcW w:w="1579" w:type="dxa"/>
            <w:hideMark/>
          </w:tcPr>
          <w:p w14:paraId="4DF1AEF8" w14:textId="77777777" w:rsidR="007C259A" w:rsidRPr="00BD16B4" w:rsidRDefault="007C259A" w:rsidP="00F31129">
            <w:pPr>
              <w:pStyle w:val="TableText"/>
              <w:spacing w:before="40" w:after="40"/>
              <w:jc w:val="center"/>
              <w:rPr>
                <w:lang w:val="en-NZ"/>
              </w:rPr>
            </w:pPr>
            <w:r w:rsidRPr="00BD16B4">
              <w:rPr>
                <w:lang w:val="en-NZ"/>
              </w:rPr>
              <w:t>17.0</w:t>
            </w:r>
          </w:p>
        </w:tc>
        <w:tc>
          <w:tcPr>
            <w:tcW w:w="1786" w:type="dxa"/>
            <w:shd w:val="clear" w:color="auto" w:fill="D2DDE1" w:themeFill="background2"/>
            <w:hideMark/>
          </w:tcPr>
          <w:p w14:paraId="4BD23536" w14:textId="77777777" w:rsidR="007C259A" w:rsidRPr="00BD16B4" w:rsidRDefault="007C259A" w:rsidP="00F31129">
            <w:pPr>
              <w:pStyle w:val="TableText"/>
              <w:spacing w:before="40" w:after="40"/>
              <w:jc w:val="center"/>
              <w:rPr>
                <w:lang w:val="en-NZ"/>
              </w:rPr>
            </w:pPr>
            <w:r w:rsidRPr="00BD16B4">
              <w:rPr>
                <w:lang w:val="en-NZ"/>
              </w:rPr>
              <w:t>1.5</w:t>
            </w:r>
          </w:p>
        </w:tc>
        <w:tc>
          <w:tcPr>
            <w:tcW w:w="1649" w:type="dxa"/>
            <w:shd w:val="clear" w:color="auto" w:fill="D2DDE1" w:themeFill="background2"/>
            <w:hideMark/>
          </w:tcPr>
          <w:p w14:paraId="5A503FA4" w14:textId="77777777" w:rsidR="007C259A" w:rsidRPr="00BD16B4" w:rsidRDefault="007C259A" w:rsidP="00F31129">
            <w:pPr>
              <w:pStyle w:val="TableText"/>
              <w:spacing w:before="40" w:after="40"/>
              <w:jc w:val="center"/>
              <w:rPr>
                <w:lang w:val="en-NZ"/>
              </w:rPr>
            </w:pPr>
            <w:r w:rsidRPr="00BD16B4">
              <w:rPr>
                <w:lang w:val="en-NZ"/>
              </w:rPr>
              <w:t>–15.5</w:t>
            </w:r>
          </w:p>
        </w:tc>
        <w:tc>
          <w:tcPr>
            <w:tcW w:w="1649" w:type="dxa"/>
            <w:shd w:val="clear" w:color="auto" w:fill="D2DDE1" w:themeFill="background2"/>
            <w:hideMark/>
          </w:tcPr>
          <w:p w14:paraId="53A66D6A" w14:textId="77777777" w:rsidR="007C259A" w:rsidRPr="00BD16B4" w:rsidRDefault="007C259A" w:rsidP="00F31129">
            <w:pPr>
              <w:pStyle w:val="TableText"/>
              <w:spacing w:before="40" w:after="40"/>
              <w:jc w:val="center"/>
              <w:rPr>
                <w:lang w:val="en-NZ"/>
              </w:rPr>
            </w:pPr>
            <w:r w:rsidRPr="00BD16B4">
              <w:rPr>
                <w:lang w:val="en-NZ"/>
              </w:rPr>
              <w:t>–91.4</w:t>
            </w:r>
          </w:p>
        </w:tc>
      </w:tr>
      <w:tr w:rsidR="007C259A" w:rsidRPr="00BD16B4" w14:paraId="5A98346C" w14:textId="77777777" w:rsidTr="00921C95">
        <w:tc>
          <w:tcPr>
            <w:tcW w:w="1842" w:type="dxa"/>
            <w:hideMark/>
          </w:tcPr>
          <w:p w14:paraId="180FC393" w14:textId="77777777" w:rsidR="007C259A" w:rsidRPr="00BD16B4" w:rsidRDefault="007C259A" w:rsidP="00F31129">
            <w:pPr>
              <w:pStyle w:val="TableText"/>
              <w:spacing w:before="40" w:after="40"/>
              <w:rPr>
                <w:lang w:val="en-NZ"/>
              </w:rPr>
            </w:pPr>
            <w:r w:rsidRPr="00BD16B4">
              <w:rPr>
                <w:lang w:val="en-NZ"/>
              </w:rPr>
              <w:t>CH</w:t>
            </w:r>
            <w:r w:rsidRPr="00BD16B4">
              <w:rPr>
                <w:vertAlign w:val="subscript"/>
                <w:lang w:val="en-NZ"/>
              </w:rPr>
              <w:t>4</w:t>
            </w:r>
          </w:p>
        </w:tc>
        <w:tc>
          <w:tcPr>
            <w:tcW w:w="1579" w:type="dxa"/>
            <w:hideMark/>
          </w:tcPr>
          <w:p w14:paraId="2FCEA429" w14:textId="77777777" w:rsidR="007C259A" w:rsidRPr="00BD16B4" w:rsidRDefault="007C259A" w:rsidP="00F31129">
            <w:pPr>
              <w:pStyle w:val="TableText"/>
              <w:spacing w:before="40" w:after="40"/>
              <w:jc w:val="center"/>
              <w:rPr>
                <w:lang w:val="en-NZ"/>
              </w:rPr>
            </w:pPr>
            <w:r w:rsidRPr="00BD16B4">
              <w:rPr>
                <w:lang w:val="en-NZ"/>
              </w:rPr>
              <w:t>31.1</w:t>
            </w:r>
          </w:p>
        </w:tc>
        <w:tc>
          <w:tcPr>
            <w:tcW w:w="1786" w:type="dxa"/>
            <w:shd w:val="clear" w:color="auto" w:fill="D2DDE1" w:themeFill="background2"/>
            <w:hideMark/>
          </w:tcPr>
          <w:p w14:paraId="257C96DB" w14:textId="77777777" w:rsidR="007C259A" w:rsidRPr="00BD16B4" w:rsidRDefault="007C259A" w:rsidP="00F31129">
            <w:pPr>
              <w:pStyle w:val="TableText"/>
              <w:spacing w:before="40" w:after="40"/>
              <w:jc w:val="center"/>
              <w:rPr>
                <w:lang w:val="en-NZ"/>
              </w:rPr>
            </w:pPr>
            <w:r w:rsidRPr="00BD16B4">
              <w:rPr>
                <w:lang w:val="en-NZ"/>
              </w:rPr>
              <w:t>30.8</w:t>
            </w:r>
          </w:p>
        </w:tc>
        <w:tc>
          <w:tcPr>
            <w:tcW w:w="1649" w:type="dxa"/>
            <w:shd w:val="clear" w:color="auto" w:fill="D2DDE1" w:themeFill="background2"/>
            <w:hideMark/>
          </w:tcPr>
          <w:p w14:paraId="37B420DB" w14:textId="77777777" w:rsidR="007C259A" w:rsidRPr="00BD16B4" w:rsidRDefault="007C259A" w:rsidP="00F31129">
            <w:pPr>
              <w:pStyle w:val="TableText"/>
              <w:spacing w:before="40" w:after="40"/>
              <w:jc w:val="center"/>
              <w:rPr>
                <w:lang w:val="en-NZ"/>
              </w:rPr>
            </w:pPr>
            <w:r w:rsidRPr="00BD16B4">
              <w:rPr>
                <w:lang w:val="en-NZ"/>
              </w:rPr>
              <w:t>–0.3</w:t>
            </w:r>
          </w:p>
        </w:tc>
        <w:tc>
          <w:tcPr>
            <w:tcW w:w="1649" w:type="dxa"/>
            <w:shd w:val="clear" w:color="auto" w:fill="D2DDE1" w:themeFill="background2"/>
            <w:hideMark/>
          </w:tcPr>
          <w:p w14:paraId="145D4E79" w14:textId="77777777" w:rsidR="007C259A" w:rsidRPr="00BD16B4" w:rsidRDefault="007C259A" w:rsidP="00F31129">
            <w:pPr>
              <w:pStyle w:val="TableText"/>
              <w:spacing w:before="40" w:after="40"/>
              <w:jc w:val="center"/>
              <w:rPr>
                <w:lang w:val="en-NZ"/>
              </w:rPr>
            </w:pPr>
            <w:r w:rsidRPr="00BD16B4">
              <w:rPr>
                <w:lang w:val="en-NZ"/>
              </w:rPr>
              <w:t>–1.1</w:t>
            </w:r>
          </w:p>
        </w:tc>
      </w:tr>
      <w:tr w:rsidR="007C259A" w:rsidRPr="00BD16B4" w14:paraId="5E5E88C5" w14:textId="77777777" w:rsidTr="00921C95">
        <w:tc>
          <w:tcPr>
            <w:tcW w:w="1842" w:type="dxa"/>
            <w:hideMark/>
          </w:tcPr>
          <w:p w14:paraId="1C20037B" w14:textId="77777777" w:rsidR="007C259A" w:rsidRPr="00BD16B4" w:rsidRDefault="007C259A" w:rsidP="00F31129">
            <w:pPr>
              <w:pStyle w:val="TableText"/>
              <w:spacing w:before="40" w:after="40"/>
              <w:rPr>
                <w:lang w:val="en-NZ"/>
              </w:rPr>
            </w:pPr>
            <w:r w:rsidRPr="00BD16B4">
              <w:rPr>
                <w:lang w:val="en-NZ"/>
              </w:rPr>
              <w:t>N</w:t>
            </w:r>
            <w:r w:rsidRPr="00BD16B4">
              <w:rPr>
                <w:vertAlign w:val="subscript"/>
                <w:lang w:val="en-NZ"/>
              </w:rPr>
              <w:t>2</w:t>
            </w:r>
            <w:r w:rsidRPr="00BD16B4">
              <w:rPr>
                <w:lang w:val="en-NZ"/>
              </w:rPr>
              <w:t>O</w:t>
            </w:r>
          </w:p>
        </w:tc>
        <w:tc>
          <w:tcPr>
            <w:tcW w:w="1579" w:type="dxa"/>
            <w:hideMark/>
          </w:tcPr>
          <w:p w14:paraId="13323CE9" w14:textId="77777777" w:rsidR="007C259A" w:rsidRPr="00BD16B4" w:rsidRDefault="007C259A" w:rsidP="00F31129">
            <w:pPr>
              <w:pStyle w:val="TableText"/>
              <w:spacing w:before="40" w:after="40"/>
              <w:jc w:val="center"/>
              <w:rPr>
                <w:lang w:val="en-NZ"/>
              </w:rPr>
            </w:pPr>
            <w:r w:rsidRPr="00BD16B4">
              <w:rPr>
                <w:lang w:val="en-NZ"/>
              </w:rPr>
              <w:t>8.3</w:t>
            </w:r>
          </w:p>
        </w:tc>
        <w:tc>
          <w:tcPr>
            <w:tcW w:w="1786" w:type="dxa"/>
            <w:shd w:val="clear" w:color="auto" w:fill="D2DDE1" w:themeFill="background2"/>
            <w:hideMark/>
          </w:tcPr>
          <w:p w14:paraId="0957651B" w14:textId="77777777" w:rsidR="007C259A" w:rsidRPr="00BD16B4" w:rsidRDefault="007C259A" w:rsidP="00F31129">
            <w:pPr>
              <w:pStyle w:val="TableText"/>
              <w:spacing w:before="40" w:after="40"/>
              <w:jc w:val="center"/>
              <w:rPr>
                <w:lang w:val="en-NZ"/>
              </w:rPr>
            </w:pPr>
            <w:r w:rsidRPr="00BD16B4">
              <w:rPr>
                <w:lang w:val="en-NZ"/>
              </w:rPr>
              <w:t>7.9</w:t>
            </w:r>
          </w:p>
        </w:tc>
        <w:tc>
          <w:tcPr>
            <w:tcW w:w="1649" w:type="dxa"/>
            <w:shd w:val="clear" w:color="auto" w:fill="D2DDE1" w:themeFill="background2"/>
            <w:hideMark/>
          </w:tcPr>
          <w:p w14:paraId="78CE6198" w14:textId="77777777" w:rsidR="007C259A" w:rsidRPr="00BD16B4" w:rsidRDefault="007C259A" w:rsidP="00F31129">
            <w:pPr>
              <w:pStyle w:val="TableText"/>
              <w:spacing w:before="40" w:after="40"/>
              <w:jc w:val="center"/>
              <w:rPr>
                <w:lang w:val="en-NZ"/>
              </w:rPr>
            </w:pPr>
            <w:r w:rsidRPr="00BD16B4">
              <w:rPr>
                <w:lang w:val="en-NZ"/>
              </w:rPr>
              <w:t>–0.4</w:t>
            </w:r>
          </w:p>
        </w:tc>
        <w:tc>
          <w:tcPr>
            <w:tcW w:w="1649" w:type="dxa"/>
            <w:shd w:val="clear" w:color="auto" w:fill="D2DDE1" w:themeFill="background2"/>
            <w:hideMark/>
          </w:tcPr>
          <w:p w14:paraId="20830B8B" w14:textId="77777777" w:rsidR="007C259A" w:rsidRPr="00BD16B4" w:rsidRDefault="007C259A" w:rsidP="00F31129">
            <w:pPr>
              <w:pStyle w:val="TableText"/>
              <w:spacing w:before="40" w:after="40"/>
              <w:jc w:val="center"/>
              <w:rPr>
                <w:lang w:val="en-NZ"/>
              </w:rPr>
            </w:pPr>
            <w:r w:rsidRPr="00BD16B4">
              <w:rPr>
                <w:lang w:val="en-NZ"/>
              </w:rPr>
              <w:t>–4.6</w:t>
            </w:r>
          </w:p>
        </w:tc>
      </w:tr>
      <w:tr w:rsidR="007C259A" w:rsidRPr="00BD16B4" w14:paraId="4953DA79" w14:textId="77777777" w:rsidTr="00921C95">
        <w:tc>
          <w:tcPr>
            <w:tcW w:w="1842" w:type="dxa"/>
            <w:hideMark/>
          </w:tcPr>
          <w:p w14:paraId="6BB1CD06" w14:textId="77777777" w:rsidR="007C259A" w:rsidRPr="00BD16B4" w:rsidRDefault="007C259A" w:rsidP="00F31129">
            <w:pPr>
              <w:pStyle w:val="TableText"/>
              <w:spacing w:before="40" w:after="40"/>
              <w:rPr>
                <w:lang w:val="en-NZ"/>
              </w:rPr>
            </w:pPr>
            <w:r w:rsidRPr="00BD16B4">
              <w:rPr>
                <w:lang w:val="en-NZ"/>
              </w:rPr>
              <w:t>HFCs</w:t>
            </w:r>
          </w:p>
        </w:tc>
        <w:tc>
          <w:tcPr>
            <w:tcW w:w="1579" w:type="dxa"/>
            <w:hideMark/>
          </w:tcPr>
          <w:p w14:paraId="1F1348C2" w14:textId="77777777" w:rsidR="007C259A" w:rsidRPr="00BD16B4" w:rsidRDefault="007C259A" w:rsidP="00F31129">
            <w:pPr>
              <w:pStyle w:val="TableText"/>
              <w:spacing w:before="40" w:after="40"/>
              <w:jc w:val="center"/>
              <w:rPr>
                <w:lang w:val="en-NZ"/>
              </w:rPr>
            </w:pPr>
            <w:r w:rsidRPr="00BD16B4">
              <w:rPr>
                <w:lang w:val="en-NZ"/>
              </w:rPr>
              <w:t>1.4</w:t>
            </w:r>
          </w:p>
        </w:tc>
        <w:tc>
          <w:tcPr>
            <w:tcW w:w="1786" w:type="dxa"/>
            <w:shd w:val="clear" w:color="auto" w:fill="D2DDE1" w:themeFill="background2"/>
            <w:hideMark/>
          </w:tcPr>
          <w:p w14:paraId="41DAEB68" w14:textId="77777777" w:rsidR="007C259A" w:rsidRPr="00BD16B4" w:rsidRDefault="007C259A" w:rsidP="00F31129">
            <w:pPr>
              <w:pStyle w:val="TableText"/>
              <w:spacing w:before="40" w:after="40"/>
              <w:jc w:val="center"/>
              <w:rPr>
                <w:lang w:val="en-NZ"/>
              </w:rPr>
            </w:pPr>
            <w:r w:rsidRPr="00BD16B4">
              <w:rPr>
                <w:lang w:val="en-NZ"/>
              </w:rPr>
              <w:t>1.0</w:t>
            </w:r>
          </w:p>
        </w:tc>
        <w:tc>
          <w:tcPr>
            <w:tcW w:w="1649" w:type="dxa"/>
            <w:shd w:val="clear" w:color="auto" w:fill="D2DDE1" w:themeFill="background2"/>
            <w:hideMark/>
          </w:tcPr>
          <w:p w14:paraId="0685BFB7" w14:textId="77777777" w:rsidR="007C259A" w:rsidRPr="00BD16B4" w:rsidRDefault="007C259A" w:rsidP="00F31129">
            <w:pPr>
              <w:pStyle w:val="TableText"/>
              <w:spacing w:before="40" w:after="40"/>
              <w:jc w:val="center"/>
              <w:rPr>
                <w:lang w:val="en-NZ"/>
              </w:rPr>
            </w:pPr>
            <w:r w:rsidRPr="00BD16B4">
              <w:rPr>
                <w:lang w:val="en-NZ"/>
              </w:rPr>
              <w:t>–0.4</w:t>
            </w:r>
          </w:p>
        </w:tc>
        <w:tc>
          <w:tcPr>
            <w:tcW w:w="1649" w:type="dxa"/>
            <w:shd w:val="clear" w:color="auto" w:fill="D2DDE1" w:themeFill="background2"/>
            <w:hideMark/>
          </w:tcPr>
          <w:p w14:paraId="5418752B" w14:textId="77777777" w:rsidR="007C259A" w:rsidRPr="00BD16B4" w:rsidRDefault="007C259A" w:rsidP="00F31129">
            <w:pPr>
              <w:pStyle w:val="TableText"/>
              <w:spacing w:before="40" w:after="40"/>
              <w:jc w:val="center"/>
              <w:rPr>
                <w:lang w:val="en-NZ"/>
              </w:rPr>
            </w:pPr>
            <w:r w:rsidRPr="00BD16B4">
              <w:rPr>
                <w:lang w:val="en-NZ"/>
              </w:rPr>
              <w:t>–27.5</w:t>
            </w:r>
          </w:p>
        </w:tc>
      </w:tr>
      <w:tr w:rsidR="007C259A" w:rsidRPr="00BD16B4" w14:paraId="14983CA8" w14:textId="77777777" w:rsidTr="00921C95">
        <w:tc>
          <w:tcPr>
            <w:tcW w:w="1842" w:type="dxa"/>
            <w:tcBorders>
              <w:bottom w:val="single" w:sz="4" w:space="0" w:color="1B556B" w:themeColor="text2"/>
            </w:tcBorders>
            <w:hideMark/>
          </w:tcPr>
          <w:p w14:paraId="30F1245B" w14:textId="77777777" w:rsidR="007C259A" w:rsidRPr="00BD16B4" w:rsidRDefault="007C259A" w:rsidP="00F31129">
            <w:pPr>
              <w:pStyle w:val="TableText"/>
              <w:spacing w:before="40" w:after="40"/>
              <w:rPr>
                <w:lang w:val="en-NZ"/>
              </w:rPr>
            </w:pPr>
            <w:r w:rsidRPr="00BD16B4">
              <w:rPr>
                <w:lang w:val="en-NZ"/>
              </w:rPr>
              <w:t>PFCs</w:t>
            </w:r>
          </w:p>
        </w:tc>
        <w:tc>
          <w:tcPr>
            <w:tcW w:w="1579" w:type="dxa"/>
            <w:tcBorders>
              <w:bottom w:val="single" w:sz="4" w:space="0" w:color="1B556B" w:themeColor="text2"/>
            </w:tcBorders>
            <w:hideMark/>
          </w:tcPr>
          <w:p w14:paraId="2E0C8D14" w14:textId="77777777" w:rsidR="007C259A" w:rsidRPr="00BD16B4" w:rsidRDefault="007C259A" w:rsidP="00F31129">
            <w:pPr>
              <w:pStyle w:val="TableText"/>
              <w:spacing w:before="40" w:after="40"/>
              <w:jc w:val="center"/>
              <w:rPr>
                <w:lang w:val="en-NZ"/>
              </w:rPr>
            </w:pPr>
            <w:r w:rsidRPr="00BD16B4">
              <w:rPr>
                <w:lang w:val="en-NZ"/>
              </w:rPr>
              <w:t>0.1</w:t>
            </w:r>
          </w:p>
        </w:tc>
        <w:tc>
          <w:tcPr>
            <w:tcW w:w="1786" w:type="dxa"/>
            <w:tcBorders>
              <w:bottom w:val="single" w:sz="4" w:space="0" w:color="1B556B" w:themeColor="text2"/>
            </w:tcBorders>
            <w:shd w:val="clear" w:color="auto" w:fill="D2DDE1" w:themeFill="background2"/>
            <w:hideMark/>
          </w:tcPr>
          <w:p w14:paraId="328CFFD3" w14:textId="77777777" w:rsidR="007C259A" w:rsidRPr="00BD16B4" w:rsidRDefault="007C259A" w:rsidP="00F31129">
            <w:pPr>
              <w:pStyle w:val="TableText"/>
              <w:spacing w:before="40" w:after="40"/>
              <w:jc w:val="center"/>
              <w:rPr>
                <w:lang w:val="en-NZ"/>
              </w:rPr>
            </w:pPr>
            <w:r w:rsidRPr="00BD16B4">
              <w:rPr>
                <w:lang w:val="en-NZ"/>
              </w:rPr>
              <w:t>0.0</w:t>
            </w:r>
          </w:p>
        </w:tc>
        <w:tc>
          <w:tcPr>
            <w:tcW w:w="1649" w:type="dxa"/>
            <w:tcBorders>
              <w:bottom w:val="single" w:sz="4" w:space="0" w:color="1B556B" w:themeColor="text2"/>
            </w:tcBorders>
            <w:shd w:val="clear" w:color="auto" w:fill="D2DDE1" w:themeFill="background2"/>
            <w:hideMark/>
          </w:tcPr>
          <w:p w14:paraId="663F0709" w14:textId="77777777" w:rsidR="007C259A" w:rsidRPr="00BD16B4" w:rsidRDefault="007C259A" w:rsidP="00F31129">
            <w:pPr>
              <w:pStyle w:val="TableText"/>
              <w:spacing w:before="40" w:after="40"/>
              <w:jc w:val="center"/>
              <w:rPr>
                <w:lang w:val="en-NZ"/>
              </w:rPr>
            </w:pPr>
            <w:r w:rsidRPr="00BD16B4">
              <w:rPr>
                <w:lang w:val="en-NZ"/>
              </w:rPr>
              <w:t>–0.1</w:t>
            </w:r>
          </w:p>
        </w:tc>
        <w:tc>
          <w:tcPr>
            <w:tcW w:w="1649" w:type="dxa"/>
            <w:tcBorders>
              <w:bottom w:val="single" w:sz="4" w:space="0" w:color="1B556B" w:themeColor="text2"/>
            </w:tcBorders>
            <w:shd w:val="clear" w:color="auto" w:fill="D2DDE1" w:themeFill="background2"/>
            <w:hideMark/>
          </w:tcPr>
          <w:p w14:paraId="1AFDC5C1" w14:textId="77777777" w:rsidR="007C259A" w:rsidRPr="00BD16B4" w:rsidRDefault="007C259A" w:rsidP="00F31129">
            <w:pPr>
              <w:pStyle w:val="TableText"/>
              <w:spacing w:before="40" w:after="40"/>
              <w:jc w:val="center"/>
              <w:rPr>
                <w:lang w:val="en-NZ"/>
              </w:rPr>
            </w:pPr>
            <w:r w:rsidRPr="00BD16B4">
              <w:rPr>
                <w:lang w:val="en-NZ"/>
              </w:rPr>
              <w:t>–100.0</w:t>
            </w:r>
          </w:p>
        </w:tc>
      </w:tr>
      <w:tr w:rsidR="007C259A" w:rsidRPr="00BD16B4" w14:paraId="3EF0B9C0" w14:textId="77777777" w:rsidTr="002C5595">
        <w:tc>
          <w:tcPr>
            <w:tcW w:w="1842" w:type="dxa"/>
            <w:tcBorders>
              <w:bottom w:val="single" w:sz="4" w:space="0" w:color="1B556B" w:themeColor="text2"/>
            </w:tcBorders>
            <w:hideMark/>
          </w:tcPr>
          <w:p w14:paraId="2F5BADB5" w14:textId="77777777" w:rsidR="007C259A" w:rsidRPr="00BD16B4" w:rsidRDefault="007C259A" w:rsidP="00F31129">
            <w:pPr>
              <w:pStyle w:val="TableText"/>
              <w:spacing w:before="40" w:after="40"/>
              <w:rPr>
                <w:lang w:val="en-NZ"/>
              </w:rPr>
            </w:pPr>
            <w:r w:rsidRPr="00BD16B4">
              <w:rPr>
                <w:lang w:val="en-NZ"/>
              </w:rPr>
              <w:t>SF</w:t>
            </w:r>
            <w:r w:rsidRPr="00BD16B4">
              <w:rPr>
                <w:vertAlign w:val="subscript"/>
                <w:lang w:val="en-NZ"/>
              </w:rPr>
              <w:t>6</w:t>
            </w:r>
          </w:p>
        </w:tc>
        <w:tc>
          <w:tcPr>
            <w:tcW w:w="1579" w:type="dxa"/>
            <w:tcBorders>
              <w:bottom w:val="single" w:sz="4" w:space="0" w:color="1B556B" w:themeColor="text2"/>
            </w:tcBorders>
            <w:hideMark/>
          </w:tcPr>
          <w:p w14:paraId="6B23C6D4" w14:textId="77777777" w:rsidR="007C259A" w:rsidRPr="00BD16B4" w:rsidRDefault="007C259A" w:rsidP="00F31129">
            <w:pPr>
              <w:pStyle w:val="TableText"/>
              <w:spacing w:before="40" w:after="40"/>
              <w:jc w:val="center"/>
              <w:rPr>
                <w:lang w:val="en-NZ"/>
              </w:rPr>
            </w:pPr>
            <w:r w:rsidRPr="00BD16B4">
              <w:rPr>
                <w:lang w:val="en-NZ"/>
              </w:rPr>
              <w:t>0.01</w:t>
            </w:r>
          </w:p>
        </w:tc>
        <w:tc>
          <w:tcPr>
            <w:tcW w:w="1786" w:type="dxa"/>
            <w:tcBorders>
              <w:bottom w:val="single" w:sz="4" w:space="0" w:color="1B556B" w:themeColor="text2"/>
            </w:tcBorders>
            <w:shd w:val="clear" w:color="auto" w:fill="D2DDE1" w:themeFill="background2"/>
            <w:hideMark/>
          </w:tcPr>
          <w:p w14:paraId="568F9732" w14:textId="77777777" w:rsidR="007C259A" w:rsidRPr="00BD16B4" w:rsidRDefault="007C259A" w:rsidP="00F31129">
            <w:pPr>
              <w:pStyle w:val="TableText"/>
              <w:spacing w:before="40" w:after="40"/>
              <w:jc w:val="center"/>
              <w:rPr>
                <w:lang w:val="en-NZ"/>
              </w:rPr>
            </w:pPr>
            <w:r w:rsidRPr="00BD16B4">
              <w:rPr>
                <w:lang w:val="en-NZ"/>
              </w:rPr>
              <w:t>0.02</w:t>
            </w:r>
          </w:p>
        </w:tc>
        <w:tc>
          <w:tcPr>
            <w:tcW w:w="1649" w:type="dxa"/>
            <w:tcBorders>
              <w:bottom w:val="single" w:sz="4" w:space="0" w:color="1B556B" w:themeColor="text2"/>
            </w:tcBorders>
            <w:shd w:val="clear" w:color="auto" w:fill="D2DDE1" w:themeFill="background2"/>
            <w:hideMark/>
          </w:tcPr>
          <w:p w14:paraId="5DA82D75" w14:textId="77777777" w:rsidR="007C259A" w:rsidRPr="00BD16B4" w:rsidRDefault="007C259A" w:rsidP="00F31129">
            <w:pPr>
              <w:pStyle w:val="TableText"/>
              <w:spacing w:before="40" w:after="40"/>
              <w:jc w:val="center"/>
              <w:rPr>
                <w:lang w:val="en-NZ"/>
              </w:rPr>
            </w:pPr>
            <w:r w:rsidRPr="00BD16B4">
              <w:rPr>
                <w:lang w:val="en-NZ"/>
              </w:rPr>
              <w:t>0.0</w:t>
            </w:r>
          </w:p>
        </w:tc>
        <w:tc>
          <w:tcPr>
            <w:tcW w:w="1649" w:type="dxa"/>
            <w:tcBorders>
              <w:bottom w:val="single" w:sz="4" w:space="0" w:color="1B556B" w:themeColor="text2"/>
            </w:tcBorders>
            <w:shd w:val="clear" w:color="auto" w:fill="D2DDE1" w:themeFill="background2"/>
            <w:hideMark/>
          </w:tcPr>
          <w:p w14:paraId="17E4C89C" w14:textId="77777777" w:rsidR="007C259A" w:rsidRPr="00BD16B4" w:rsidRDefault="007C259A" w:rsidP="00F31129">
            <w:pPr>
              <w:pStyle w:val="TableText"/>
              <w:spacing w:before="40" w:after="40"/>
              <w:jc w:val="center"/>
              <w:rPr>
                <w:lang w:val="en-NZ"/>
              </w:rPr>
            </w:pPr>
            <w:r w:rsidRPr="00BD16B4">
              <w:rPr>
                <w:lang w:val="en-NZ"/>
              </w:rPr>
              <w:t>42.5</w:t>
            </w:r>
          </w:p>
        </w:tc>
      </w:tr>
      <w:tr w:rsidR="002C5595" w:rsidRPr="00BD16B4" w14:paraId="0F5A4304" w14:textId="77777777" w:rsidTr="002C5595">
        <w:tc>
          <w:tcPr>
            <w:tcW w:w="1842" w:type="dxa"/>
            <w:tcBorders>
              <w:right w:val="nil"/>
            </w:tcBorders>
            <w:shd w:val="clear" w:color="auto" w:fill="1B556B" w:themeFill="text2"/>
            <w:hideMark/>
          </w:tcPr>
          <w:p w14:paraId="3412D39E" w14:textId="77777777" w:rsidR="007C259A" w:rsidRPr="00BD16B4" w:rsidRDefault="007C259A" w:rsidP="00F31129">
            <w:pPr>
              <w:pStyle w:val="TableText"/>
              <w:spacing w:before="40" w:after="40"/>
              <w:rPr>
                <w:b/>
                <w:bCs/>
                <w:color w:val="FFFFFF" w:themeColor="background1"/>
                <w:lang w:val="en-NZ"/>
              </w:rPr>
            </w:pPr>
            <w:r w:rsidRPr="00BD16B4">
              <w:rPr>
                <w:b/>
                <w:bCs/>
                <w:color w:val="FFFFFF" w:themeColor="background1"/>
                <w:lang w:val="en-NZ"/>
              </w:rPr>
              <w:t>Sector</w:t>
            </w:r>
          </w:p>
        </w:tc>
        <w:tc>
          <w:tcPr>
            <w:tcW w:w="1579" w:type="dxa"/>
            <w:tcBorders>
              <w:left w:val="nil"/>
              <w:right w:val="nil"/>
            </w:tcBorders>
            <w:shd w:val="clear" w:color="auto" w:fill="1B556B" w:themeFill="text2"/>
            <w:hideMark/>
          </w:tcPr>
          <w:p w14:paraId="514D1835" w14:textId="77777777" w:rsidR="007C259A" w:rsidRPr="00BD16B4" w:rsidRDefault="007C259A" w:rsidP="00F31129">
            <w:pPr>
              <w:pStyle w:val="TableText"/>
              <w:spacing w:before="40" w:after="40"/>
              <w:jc w:val="center"/>
              <w:rPr>
                <w:color w:val="FFFFFF" w:themeColor="background1"/>
                <w:lang w:val="en-NZ"/>
              </w:rPr>
            </w:pPr>
          </w:p>
        </w:tc>
        <w:tc>
          <w:tcPr>
            <w:tcW w:w="1786" w:type="dxa"/>
            <w:tcBorders>
              <w:left w:val="nil"/>
              <w:right w:val="nil"/>
            </w:tcBorders>
            <w:shd w:val="clear" w:color="auto" w:fill="1B556B" w:themeFill="text2"/>
            <w:hideMark/>
          </w:tcPr>
          <w:p w14:paraId="15A691DB" w14:textId="77777777" w:rsidR="007C259A" w:rsidRPr="00BD16B4" w:rsidRDefault="007C259A" w:rsidP="00F31129">
            <w:pPr>
              <w:pStyle w:val="TableText"/>
              <w:spacing w:before="40" w:after="40"/>
              <w:jc w:val="center"/>
              <w:rPr>
                <w:color w:val="FFFFFF" w:themeColor="background1"/>
                <w:lang w:val="en-NZ"/>
              </w:rPr>
            </w:pPr>
          </w:p>
        </w:tc>
        <w:tc>
          <w:tcPr>
            <w:tcW w:w="1649" w:type="dxa"/>
            <w:tcBorders>
              <w:left w:val="nil"/>
              <w:right w:val="nil"/>
            </w:tcBorders>
            <w:shd w:val="clear" w:color="auto" w:fill="1B556B" w:themeFill="text2"/>
            <w:hideMark/>
          </w:tcPr>
          <w:p w14:paraId="323647EA" w14:textId="77777777" w:rsidR="007C259A" w:rsidRPr="00BD16B4" w:rsidRDefault="007C259A" w:rsidP="00F31129">
            <w:pPr>
              <w:pStyle w:val="TableText"/>
              <w:spacing w:before="40" w:after="40"/>
              <w:jc w:val="center"/>
              <w:rPr>
                <w:color w:val="FFFFFF" w:themeColor="background1"/>
                <w:lang w:val="en-NZ"/>
              </w:rPr>
            </w:pPr>
          </w:p>
        </w:tc>
        <w:tc>
          <w:tcPr>
            <w:tcW w:w="1649" w:type="dxa"/>
            <w:tcBorders>
              <w:left w:val="nil"/>
            </w:tcBorders>
            <w:shd w:val="clear" w:color="auto" w:fill="1B556B" w:themeFill="text2"/>
            <w:hideMark/>
          </w:tcPr>
          <w:p w14:paraId="6771AF2D" w14:textId="77777777" w:rsidR="007C259A" w:rsidRPr="00BD16B4" w:rsidRDefault="007C259A" w:rsidP="00F31129">
            <w:pPr>
              <w:pStyle w:val="TableText"/>
              <w:spacing w:before="40" w:after="40"/>
              <w:jc w:val="center"/>
              <w:rPr>
                <w:color w:val="FFFFFF" w:themeColor="background1"/>
                <w:lang w:val="en-NZ"/>
              </w:rPr>
            </w:pPr>
          </w:p>
        </w:tc>
      </w:tr>
      <w:tr w:rsidR="007C259A" w:rsidRPr="00BD16B4" w14:paraId="026EF10E" w14:textId="77777777" w:rsidTr="00921C95">
        <w:tc>
          <w:tcPr>
            <w:tcW w:w="1842" w:type="dxa"/>
            <w:hideMark/>
          </w:tcPr>
          <w:p w14:paraId="14C9B8FD" w14:textId="77777777" w:rsidR="007C259A" w:rsidRPr="00BD16B4" w:rsidRDefault="007C259A" w:rsidP="00F31129">
            <w:pPr>
              <w:pStyle w:val="TableText"/>
              <w:spacing w:before="40" w:after="40"/>
              <w:rPr>
                <w:lang w:val="en-NZ"/>
              </w:rPr>
            </w:pPr>
            <w:r w:rsidRPr="00BD16B4">
              <w:rPr>
                <w:lang w:val="en-NZ"/>
              </w:rPr>
              <w:t>Agriculture</w:t>
            </w:r>
          </w:p>
        </w:tc>
        <w:tc>
          <w:tcPr>
            <w:tcW w:w="1579" w:type="dxa"/>
            <w:hideMark/>
          </w:tcPr>
          <w:p w14:paraId="19CA6ECB" w14:textId="77777777" w:rsidR="007C259A" w:rsidRPr="00BD16B4" w:rsidRDefault="007C259A" w:rsidP="00F31129">
            <w:pPr>
              <w:pStyle w:val="TableText"/>
              <w:spacing w:before="40" w:after="40"/>
              <w:jc w:val="center"/>
              <w:rPr>
                <w:lang w:val="en-NZ"/>
              </w:rPr>
            </w:pPr>
            <w:r w:rsidRPr="00BD16B4">
              <w:rPr>
                <w:lang w:val="en-NZ"/>
              </w:rPr>
              <w:t>35.0</w:t>
            </w:r>
          </w:p>
        </w:tc>
        <w:tc>
          <w:tcPr>
            <w:tcW w:w="1786" w:type="dxa"/>
            <w:shd w:val="clear" w:color="auto" w:fill="D2DDE1" w:themeFill="background2"/>
            <w:hideMark/>
          </w:tcPr>
          <w:p w14:paraId="06093405" w14:textId="77777777" w:rsidR="007C259A" w:rsidRPr="00BD16B4" w:rsidRDefault="007C259A" w:rsidP="00F31129">
            <w:pPr>
              <w:pStyle w:val="TableText"/>
              <w:spacing w:before="40" w:after="40"/>
              <w:jc w:val="center"/>
              <w:rPr>
                <w:lang w:val="en-NZ"/>
              </w:rPr>
            </w:pPr>
            <w:r w:rsidRPr="00BD16B4">
              <w:rPr>
                <w:lang w:val="en-NZ"/>
              </w:rPr>
              <w:t>35.3</w:t>
            </w:r>
          </w:p>
        </w:tc>
        <w:tc>
          <w:tcPr>
            <w:tcW w:w="1649" w:type="dxa"/>
            <w:shd w:val="clear" w:color="auto" w:fill="D2DDE1" w:themeFill="background2"/>
            <w:hideMark/>
          </w:tcPr>
          <w:p w14:paraId="2A1D683A" w14:textId="77777777" w:rsidR="007C259A" w:rsidRPr="00BD16B4" w:rsidRDefault="007C259A" w:rsidP="00F31129">
            <w:pPr>
              <w:pStyle w:val="TableText"/>
              <w:spacing w:before="40" w:after="40"/>
              <w:jc w:val="center"/>
              <w:rPr>
                <w:lang w:val="en-NZ"/>
              </w:rPr>
            </w:pPr>
            <w:r w:rsidRPr="00BD16B4">
              <w:rPr>
                <w:lang w:val="en-NZ"/>
              </w:rPr>
              <w:t>0.3</w:t>
            </w:r>
          </w:p>
        </w:tc>
        <w:tc>
          <w:tcPr>
            <w:tcW w:w="1649" w:type="dxa"/>
            <w:shd w:val="clear" w:color="auto" w:fill="D2DDE1" w:themeFill="background2"/>
            <w:hideMark/>
          </w:tcPr>
          <w:p w14:paraId="45344CB1" w14:textId="77777777" w:rsidR="007C259A" w:rsidRPr="00BD16B4" w:rsidRDefault="007C259A" w:rsidP="00F31129">
            <w:pPr>
              <w:pStyle w:val="TableText"/>
              <w:spacing w:before="40" w:after="40"/>
              <w:jc w:val="center"/>
              <w:rPr>
                <w:lang w:val="en-NZ"/>
              </w:rPr>
            </w:pPr>
            <w:r w:rsidRPr="00BD16B4">
              <w:rPr>
                <w:lang w:val="en-NZ"/>
              </w:rPr>
              <w:t>0.8</w:t>
            </w:r>
          </w:p>
        </w:tc>
      </w:tr>
      <w:tr w:rsidR="007C259A" w:rsidRPr="00BD16B4" w14:paraId="10BFFF27" w14:textId="77777777" w:rsidTr="00921C95">
        <w:tc>
          <w:tcPr>
            <w:tcW w:w="1842" w:type="dxa"/>
            <w:hideMark/>
          </w:tcPr>
          <w:p w14:paraId="752255E3" w14:textId="77777777" w:rsidR="007C259A" w:rsidRPr="00BD16B4" w:rsidRDefault="007C259A" w:rsidP="00F31129">
            <w:pPr>
              <w:pStyle w:val="TableText"/>
              <w:spacing w:before="40" w:after="40"/>
              <w:rPr>
                <w:lang w:val="en-NZ"/>
              </w:rPr>
            </w:pPr>
            <w:r w:rsidRPr="00BD16B4">
              <w:rPr>
                <w:lang w:val="en-NZ"/>
              </w:rPr>
              <w:t>Energy</w:t>
            </w:r>
          </w:p>
        </w:tc>
        <w:tc>
          <w:tcPr>
            <w:tcW w:w="1579" w:type="dxa"/>
            <w:hideMark/>
          </w:tcPr>
          <w:p w14:paraId="4145E153" w14:textId="77777777" w:rsidR="007C259A" w:rsidRPr="00BD16B4" w:rsidRDefault="007C259A" w:rsidP="00F31129">
            <w:pPr>
              <w:pStyle w:val="TableText"/>
              <w:spacing w:before="40" w:after="40"/>
              <w:jc w:val="center"/>
              <w:rPr>
                <w:lang w:val="en-NZ"/>
              </w:rPr>
            </w:pPr>
            <w:r w:rsidRPr="00BD16B4">
              <w:rPr>
                <w:lang w:val="en-NZ"/>
              </w:rPr>
              <w:t>14.1</w:t>
            </w:r>
          </w:p>
        </w:tc>
        <w:tc>
          <w:tcPr>
            <w:tcW w:w="1786" w:type="dxa"/>
            <w:shd w:val="clear" w:color="auto" w:fill="D2DDE1" w:themeFill="background2"/>
            <w:hideMark/>
          </w:tcPr>
          <w:p w14:paraId="30E2014C" w14:textId="77777777" w:rsidR="007C259A" w:rsidRPr="00BD16B4" w:rsidRDefault="007C259A" w:rsidP="00F31129">
            <w:pPr>
              <w:pStyle w:val="TableText"/>
              <w:spacing w:before="40" w:after="40"/>
              <w:jc w:val="center"/>
              <w:rPr>
                <w:lang w:val="en-NZ"/>
              </w:rPr>
            </w:pPr>
            <w:r w:rsidRPr="00BD16B4">
              <w:rPr>
                <w:lang w:val="en-NZ"/>
              </w:rPr>
              <w:t>11.0</w:t>
            </w:r>
          </w:p>
        </w:tc>
        <w:tc>
          <w:tcPr>
            <w:tcW w:w="1649" w:type="dxa"/>
            <w:shd w:val="clear" w:color="auto" w:fill="D2DDE1" w:themeFill="background2"/>
            <w:hideMark/>
          </w:tcPr>
          <w:p w14:paraId="695899C6" w14:textId="77777777" w:rsidR="007C259A" w:rsidRPr="00BD16B4" w:rsidRDefault="007C259A" w:rsidP="00F31129">
            <w:pPr>
              <w:pStyle w:val="TableText"/>
              <w:spacing w:before="40" w:after="40"/>
              <w:jc w:val="center"/>
              <w:rPr>
                <w:lang w:val="en-NZ"/>
              </w:rPr>
            </w:pPr>
            <w:r w:rsidRPr="00BD16B4">
              <w:rPr>
                <w:lang w:val="en-NZ"/>
              </w:rPr>
              <w:t>–3.1</w:t>
            </w:r>
          </w:p>
        </w:tc>
        <w:tc>
          <w:tcPr>
            <w:tcW w:w="1649" w:type="dxa"/>
            <w:shd w:val="clear" w:color="auto" w:fill="D2DDE1" w:themeFill="background2"/>
            <w:hideMark/>
          </w:tcPr>
          <w:p w14:paraId="0710209E" w14:textId="77777777" w:rsidR="007C259A" w:rsidRPr="00BD16B4" w:rsidRDefault="007C259A" w:rsidP="00F31129">
            <w:pPr>
              <w:pStyle w:val="TableText"/>
              <w:spacing w:before="40" w:after="40"/>
              <w:jc w:val="center"/>
              <w:rPr>
                <w:lang w:val="en-NZ"/>
              </w:rPr>
            </w:pPr>
            <w:r w:rsidRPr="00BD16B4">
              <w:rPr>
                <w:lang w:val="en-NZ"/>
              </w:rPr>
              <w:t>–22.0</w:t>
            </w:r>
          </w:p>
        </w:tc>
      </w:tr>
      <w:tr w:rsidR="007C259A" w:rsidRPr="00BD16B4" w14:paraId="34CBDA92" w14:textId="77777777" w:rsidTr="00921C95">
        <w:tc>
          <w:tcPr>
            <w:tcW w:w="1842" w:type="dxa"/>
            <w:hideMark/>
          </w:tcPr>
          <w:p w14:paraId="30AC4606" w14:textId="77777777" w:rsidR="007C259A" w:rsidRPr="00BD16B4" w:rsidRDefault="007C259A" w:rsidP="00F31129">
            <w:pPr>
              <w:pStyle w:val="TableText"/>
              <w:spacing w:before="40" w:after="40"/>
              <w:rPr>
                <w:lang w:val="en-NZ"/>
              </w:rPr>
            </w:pPr>
            <w:r w:rsidRPr="00BD16B4">
              <w:rPr>
                <w:lang w:val="en-NZ"/>
              </w:rPr>
              <w:t>IPPU</w:t>
            </w:r>
          </w:p>
        </w:tc>
        <w:tc>
          <w:tcPr>
            <w:tcW w:w="1579" w:type="dxa"/>
            <w:hideMark/>
          </w:tcPr>
          <w:p w14:paraId="5C071943" w14:textId="77777777" w:rsidR="007C259A" w:rsidRPr="00BD16B4" w:rsidRDefault="007C259A" w:rsidP="00F31129">
            <w:pPr>
              <w:pStyle w:val="TableText"/>
              <w:spacing w:before="40" w:after="40"/>
              <w:jc w:val="center"/>
              <w:rPr>
                <w:lang w:val="en-NZ"/>
              </w:rPr>
            </w:pPr>
            <w:r w:rsidRPr="00BD16B4">
              <w:rPr>
                <w:lang w:val="en-NZ"/>
              </w:rPr>
              <w:t>5.0</w:t>
            </w:r>
          </w:p>
        </w:tc>
        <w:tc>
          <w:tcPr>
            <w:tcW w:w="1786" w:type="dxa"/>
            <w:shd w:val="clear" w:color="auto" w:fill="D2DDE1" w:themeFill="background2"/>
            <w:hideMark/>
          </w:tcPr>
          <w:p w14:paraId="17610B50" w14:textId="77777777" w:rsidR="007C259A" w:rsidRPr="00BD16B4" w:rsidRDefault="007C259A" w:rsidP="00F31129">
            <w:pPr>
              <w:pStyle w:val="TableText"/>
              <w:spacing w:before="40" w:after="40"/>
              <w:jc w:val="center"/>
              <w:rPr>
                <w:lang w:val="en-NZ"/>
              </w:rPr>
            </w:pPr>
            <w:r w:rsidRPr="00BD16B4">
              <w:rPr>
                <w:lang w:val="en-NZ"/>
              </w:rPr>
              <w:t>3.7</w:t>
            </w:r>
          </w:p>
        </w:tc>
        <w:tc>
          <w:tcPr>
            <w:tcW w:w="1649" w:type="dxa"/>
            <w:shd w:val="clear" w:color="auto" w:fill="D2DDE1" w:themeFill="background2"/>
            <w:hideMark/>
          </w:tcPr>
          <w:p w14:paraId="00FBCC17" w14:textId="77777777" w:rsidR="007C259A" w:rsidRPr="00BD16B4" w:rsidRDefault="007C259A" w:rsidP="00F31129">
            <w:pPr>
              <w:pStyle w:val="TableText"/>
              <w:spacing w:before="40" w:after="40"/>
              <w:jc w:val="center"/>
              <w:rPr>
                <w:lang w:val="en-NZ"/>
              </w:rPr>
            </w:pPr>
            <w:r w:rsidRPr="00BD16B4">
              <w:rPr>
                <w:lang w:val="en-NZ"/>
              </w:rPr>
              <w:t>–1.3</w:t>
            </w:r>
          </w:p>
        </w:tc>
        <w:tc>
          <w:tcPr>
            <w:tcW w:w="1649" w:type="dxa"/>
            <w:shd w:val="clear" w:color="auto" w:fill="D2DDE1" w:themeFill="background2"/>
            <w:hideMark/>
          </w:tcPr>
          <w:p w14:paraId="56D14188" w14:textId="77777777" w:rsidR="007C259A" w:rsidRPr="00BD16B4" w:rsidRDefault="007C259A" w:rsidP="00F31129">
            <w:pPr>
              <w:pStyle w:val="TableText"/>
              <w:spacing w:before="40" w:after="40"/>
              <w:jc w:val="center"/>
              <w:rPr>
                <w:lang w:val="en-NZ"/>
              </w:rPr>
            </w:pPr>
            <w:r w:rsidRPr="00BD16B4">
              <w:rPr>
                <w:lang w:val="en-NZ"/>
              </w:rPr>
              <w:t>–25.4</w:t>
            </w:r>
          </w:p>
        </w:tc>
      </w:tr>
      <w:tr w:rsidR="007C259A" w:rsidRPr="00BD16B4" w14:paraId="2CCA97DF" w14:textId="77777777" w:rsidTr="00921C95">
        <w:tc>
          <w:tcPr>
            <w:tcW w:w="1842" w:type="dxa"/>
            <w:hideMark/>
          </w:tcPr>
          <w:p w14:paraId="0B8CE204" w14:textId="77777777" w:rsidR="007C259A" w:rsidRPr="00BD16B4" w:rsidRDefault="007C259A" w:rsidP="00F31129">
            <w:pPr>
              <w:pStyle w:val="TableText"/>
              <w:spacing w:before="40" w:after="40"/>
              <w:rPr>
                <w:lang w:val="en-NZ"/>
              </w:rPr>
            </w:pPr>
            <w:r w:rsidRPr="00BD16B4">
              <w:rPr>
                <w:lang w:val="en-NZ"/>
              </w:rPr>
              <w:t>Transport</w:t>
            </w:r>
          </w:p>
        </w:tc>
        <w:tc>
          <w:tcPr>
            <w:tcW w:w="1579" w:type="dxa"/>
            <w:hideMark/>
          </w:tcPr>
          <w:p w14:paraId="36C7782A" w14:textId="77777777" w:rsidR="007C259A" w:rsidRPr="00BD16B4" w:rsidRDefault="007C259A" w:rsidP="00F31129">
            <w:pPr>
              <w:pStyle w:val="TableText"/>
              <w:spacing w:before="40" w:after="40"/>
              <w:jc w:val="center"/>
              <w:rPr>
                <w:lang w:val="en-NZ"/>
              </w:rPr>
            </w:pPr>
            <w:r w:rsidRPr="00BD16B4">
              <w:rPr>
                <w:lang w:val="en-NZ"/>
              </w:rPr>
              <w:t>14.1</w:t>
            </w:r>
          </w:p>
        </w:tc>
        <w:tc>
          <w:tcPr>
            <w:tcW w:w="1786" w:type="dxa"/>
            <w:shd w:val="clear" w:color="auto" w:fill="D2DDE1" w:themeFill="background2"/>
            <w:hideMark/>
          </w:tcPr>
          <w:p w14:paraId="1D59AC64" w14:textId="77777777" w:rsidR="007C259A" w:rsidRPr="00BD16B4" w:rsidRDefault="007C259A" w:rsidP="00F31129">
            <w:pPr>
              <w:pStyle w:val="TableText"/>
              <w:spacing w:before="40" w:after="40"/>
              <w:jc w:val="center"/>
              <w:rPr>
                <w:lang w:val="en-NZ"/>
              </w:rPr>
            </w:pPr>
            <w:r w:rsidRPr="00BD16B4">
              <w:rPr>
                <w:lang w:val="en-NZ"/>
              </w:rPr>
              <w:t>13.8</w:t>
            </w:r>
          </w:p>
        </w:tc>
        <w:tc>
          <w:tcPr>
            <w:tcW w:w="1649" w:type="dxa"/>
            <w:shd w:val="clear" w:color="auto" w:fill="D2DDE1" w:themeFill="background2"/>
            <w:hideMark/>
          </w:tcPr>
          <w:p w14:paraId="14373699" w14:textId="77777777" w:rsidR="007C259A" w:rsidRPr="00BD16B4" w:rsidRDefault="007C259A" w:rsidP="00F31129">
            <w:pPr>
              <w:pStyle w:val="TableText"/>
              <w:spacing w:before="40" w:after="40"/>
              <w:jc w:val="center"/>
              <w:rPr>
                <w:lang w:val="en-NZ"/>
              </w:rPr>
            </w:pPr>
            <w:r w:rsidRPr="00BD16B4">
              <w:rPr>
                <w:lang w:val="en-NZ"/>
              </w:rPr>
              <w:t>–0.4</w:t>
            </w:r>
          </w:p>
        </w:tc>
        <w:tc>
          <w:tcPr>
            <w:tcW w:w="1649" w:type="dxa"/>
            <w:shd w:val="clear" w:color="auto" w:fill="D2DDE1" w:themeFill="background2"/>
            <w:hideMark/>
          </w:tcPr>
          <w:p w14:paraId="25363CE3" w14:textId="77777777" w:rsidR="007C259A" w:rsidRPr="00BD16B4" w:rsidRDefault="007C259A" w:rsidP="00F31129">
            <w:pPr>
              <w:pStyle w:val="TableText"/>
              <w:spacing w:before="40" w:after="40"/>
              <w:jc w:val="center"/>
              <w:rPr>
                <w:lang w:val="en-NZ"/>
              </w:rPr>
            </w:pPr>
            <w:r w:rsidRPr="00BD16B4">
              <w:rPr>
                <w:lang w:val="en-NZ"/>
              </w:rPr>
              <w:t>–2.5</w:t>
            </w:r>
          </w:p>
        </w:tc>
      </w:tr>
      <w:tr w:rsidR="007C259A" w:rsidRPr="00BD16B4" w14:paraId="15DEB412" w14:textId="77777777" w:rsidTr="00921C95">
        <w:tc>
          <w:tcPr>
            <w:tcW w:w="1842" w:type="dxa"/>
            <w:hideMark/>
          </w:tcPr>
          <w:p w14:paraId="733123D2" w14:textId="77777777" w:rsidR="007C259A" w:rsidRPr="00BD16B4" w:rsidRDefault="007C259A" w:rsidP="00F31129">
            <w:pPr>
              <w:pStyle w:val="TableText"/>
              <w:spacing w:before="40" w:after="40"/>
              <w:rPr>
                <w:lang w:val="en-NZ"/>
              </w:rPr>
            </w:pPr>
            <w:r w:rsidRPr="00BD16B4">
              <w:rPr>
                <w:lang w:val="en-NZ"/>
              </w:rPr>
              <w:t>Waste</w:t>
            </w:r>
          </w:p>
        </w:tc>
        <w:tc>
          <w:tcPr>
            <w:tcW w:w="1579" w:type="dxa"/>
            <w:hideMark/>
          </w:tcPr>
          <w:p w14:paraId="3F381903" w14:textId="77777777" w:rsidR="007C259A" w:rsidRPr="00BD16B4" w:rsidRDefault="007C259A" w:rsidP="00F31129">
            <w:pPr>
              <w:pStyle w:val="TableText"/>
              <w:spacing w:before="40" w:after="40"/>
              <w:jc w:val="center"/>
              <w:rPr>
                <w:lang w:val="en-NZ"/>
              </w:rPr>
            </w:pPr>
            <w:r w:rsidRPr="00BD16B4">
              <w:rPr>
                <w:lang w:val="en-NZ"/>
              </w:rPr>
              <w:t>3.9</w:t>
            </w:r>
          </w:p>
        </w:tc>
        <w:tc>
          <w:tcPr>
            <w:tcW w:w="1786" w:type="dxa"/>
            <w:shd w:val="clear" w:color="auto" w:fill="D2DDE1" w:themeFill="background2"/>
            <w:hideMark/>
          </w:tcPr>
          <w:p w14:paraId="66246D51" w14:textId="77777777" w:rsidR="007C259A" w:rsidRPr="00BD16B4" w:rsidRDefault="007C259A" w:rsidP="00F31129">
            <w:pPr>
              <w:pStyle w:val="TableText"/>
              <w:spacing w:before="40" w:after="40"/>
              <w:jc w:val="center"/>
              <w:rPr>
                <w:lang w:val="en-NZ"/>
              </w:rPr>
            </w:pPr>
            <w:r w:rsidRPr="00BD16B4">
              <w:rPr>
                <w:lang w:val="en-NZ"/>
              </w:rPr>
              <w:t>2.9</w:t>
            </w:r>
          </w:p>
        </w:tc>
        <w:tc>
          <w:tcPr>
            <w:tcW w:w="1649" w:type="dxa"/>
            <w:shd w:val="clear" w:color="auto" w:fill="D2DDE1" w:themeFill="background2"/>
            <w:hideMark/>
          </w:tcPr>
          <w:p w14:paraId="1E82A57A" w14:textId="77777777" w:rsidR="007C259A" w:rsidRPr="00BD16B4" w:rsidRDefault="007C259A" w:rsidP="00F31129">
            <w:pPr>
              <w:pStyle w:val="TableText"/>
              <w:spacing w:before="40" w:after="40"/>
              <w:jc w:val="center"/>
              <w:rPr>
                <w:lang w:val="en-NZ"/>
              </w:rPr>
            </w:pPr>
            <w:r w:rsidRPr="00BD16B4">
              <w:rPr>
                <w:lang w:val="en-NZ"/>
              </w:rPr>
              <w:t>–1.0</w:t>
            </w:r>
          </w:p>
        </w:tc>
        <w:tc>
          <w:tcPr>
            <w:tcW w:w="1649" w:type="dxa"/>
            <w:shd w:val="clear" w:color="auto" w:fill="D2DDE1" w:themeFill="background2"/>
            <w:hideMark/>
          </w:tcPr>
          <w:p w14:paraId="15130620" w14:textId="77777777" w:rsidR="007C259A" w:rsidRPr="00BD16B4" w:rsidRDefault="007C259A" w:rsidP="00F31129">
            <w:pPr>
              <w:pStyle w:val="TableText"/>
              <w:spacing w:before="40" w:after="40"/>
              <w:jc w:val="center"/>
              <w:rPr>
                <w:lang w:val="en-NZ"/>
              </w:rPr>
            </w:pPr>
            <w:r w:rsidRPr="00BD16B4">
              <w:rPr>
                <w:lang w:val="en-NZ"/>
              </w:rPr>
              <w:t>–26.5</w:t>
            </w:r>
          </w:p>
        </w:tc>
      </w:tr>
      <w:tr w:rsidR="007C259A" w:rsidRPr="00BD16B4" w14:paraId="1842DE27" w14:textId="77777777" w:rsidTr="00921C95">
        <w:tc>
          <w:tcPr>
            <w:tcW w:w="1842" w:type="dxa"/>
            <w:hideMark/>
          </w:tcPr>
          <w:p w14:paraId="1BAEE418" w14:textId="77777777" w:rsidR="007C259A" w:rsidRPr="00BD16B4" w:rsidRDefault="007C259A" w:rsidP="00F31129">
            <w:pPr>
              <w:pStyle w:val="TableText"/>
              <w:spacing w:before="40" w:after="40"/>
              <w:rPr>
                <w:lang w:val="en-NZ"/>
              </w:rPr>
            </w:pPr>
            <w:r w:rsidRPr="00BD16B4">
              <w:rPr>
                <w:lang w:val="en-NZ"/>
              </w:rPr>
              <w:t>LULUCF</w:t>
            </w:r>
          </w:p>
        </w:tc>
        <w:tc>
          <w:tcPr>
            <w:tcW w:w="1579" w:type="dxa"/>
            <w:hideMark/>
          </w:tcPr>
          <w:p w14:paraId="1F71201F" w14:textId="77777777" w:rsidR="007C259A" w:rsidRPr="00BD16B4" w:rsidRDefault="007C259A" w:rsidP="00F31129">
            <w:pPr>
              <w:pStyle w:val="TableText"/>
              <w:spacing w:before="40" w:after="40"/>
              <w:jc w:val="center"/>
              <w:rPr>
                <w:lang w:val="en-NZ"/>
              </w:rPr>
            </w:pPr>
            <w:r w:rsidRPr="00BD16B4">
              <w:rPr>
                <w:lang w:val="en-NZ"/>
              </w:rPr>
              <w:t>–14.3</w:t>
            </w:r>
          </w:p>
        </w:tc>
        <w:tc>
          <w:tcPr>
            <w:tcW w:w="1786" w:type="dxa"/>
            <w:shd w:val="clear" w:color="auto" w:fill="D2DDE1" w:themeFill="background2"/>
            <w:hideMark/>
          </w:tcPr>
          <w:p w14:paraId="51EA0FF7" w14:textId="77777777" w:rsidR="007C259A" w:rsidRPr="00BD16B4" w:rsidRDefault="007C259A" w:rsidP="00F31129">
            <w:pPr>
              <w:pStyle w:val="TableText"/>
              <w:spacing w:before="40" w:after="40"/>
              <w:jc w:val="center"/>
              <w:rPr>
                <w:lang w:val="en-NZ"/>
              </w:rPr>
            </w:pPr>
            <w:r w:rsidRPr="00BD16B4">
              <w:rPr>
                <w:lang w:val="en-NZ"/>
              </w:rPr>
              <w:t>–25.5</w:t>
            </w:r>
          </w:p>
        </w:tc>
        <w:tc>
          <w:tcPr>
            <w:tcW w:w="1649" w:type="dxa"/>
            <w:shd w:val="clear" w:color="auto" w:fill="D2DDE1" w:themeFill="background2"/>
            <w:hideMark/>
          </w:tcPr>
          <w:p w14:paraId="1B73543E" w14:textId="77777777" w:rsidR="007C259A" w:rsidRPr="00BD16B4" w:rsidRDefault="007C259A" w:rsidP="00F31129">
            <w:pPr>
              <w:pStyle w:val="TableText"/>
              <w:spacing w:before="40" w:after="40"/>
              <w:jc w:val="center"/>
              <w:rPr>
                <w:lang w:val="en-NZ"/>
              </w:rPr>
            </w:pPr>
            <w:r w:rsidRPr="00BD16B4">
              <w:rPr>
                <w:lang w:val="en-NZ"/>
              </w:rPr>
              <w:t>–11.2</w:t>
            </w:r>
          </w:p>
        </w:tc>
        <w:tc>
          <w:tcPr>
            <w:tcW w:w="1649" w:type="dxa"/>
            <w:shd w:val="clear" w:color="auto" w:fill="D2DDE1" w:themeFill="background2"/>
            <w:hideMark/>
          </w:tcPr>
          <w:p w14:paraId="32739C60" w14:textId="77777777" w:rsidR="007C259A" w:rsidRPr="00BD16B4" w:rsidRDefault="007C259A" w:rsidP="00F31129">
            <w:pPr>
              <w:pStyle w:val="TableText"/>
              <w:spacing w:before="40" w:after="40"/>
              <w:jc w:val="center"/>
              <w:rPr>
                <w:lang w:val="en-NZ"/>
              </w:rPr>
            </w:pPr>
            <w:r w:rsidRPr="00BD16B4">
              <w:rPr>
                <w:lang w:val="en-NZ"/>
              </w:rPr>
              <w:t>78.4</w:t>
            </w:r>
          </w:p>
        </w:tc>
      </w:tr>
      <w:tr w:rsidR="007C259A" w:rsidRPr="00BD16B4" w14:paraId="58159C56" w14:textId="77777777" w:rsidTr="00921C95">
        <w:tc>
          <w:tcPr>
            <w:tcW w:w="1842" w:type="dxa"/>
            <w:hideMark/>
          </w:tcPr>
          <w:p w14:paraId="58513863" w14:textId="77777777" w:rsidR="007C259A" w:rsidRPr="00BD16B4" w:rsidRDefault="007C259A" w:rsidP="00F31129">
            <w:pPr>
              <w:pStyle w:val="TableText"/>
              <w:spacing w:before="40" w:after="40"/>
              <w:rPr>
                <w:b/>
                <w:bCs/>
                <w:lang w:val="en-NZ"/>
              </w:rPr>
            </w:pPr>
            <w:r w:rsidRPr="00BD16B4">
              <w:rPr>
                <w:b/>
                <w:bCs/>
                <w:lang w:val="en-NZ"/>
              </w:rPr>
              <w:t>Total gross emissions</w:t>
            </w:r>
          </w:p>
        </w:tc>
        <w:tc>
          <w:tcPr>
            <w:tcW w:w="1579" w:type="dxa"/>
            <w:hideMark/>
          </w:tcPr>
          <w:p w14:paraId="3EED0CF9" w14:textId="77777777" w:rsidR="007C259A" w:rsidRPr="00BD16B4" w:rsidRDefault="007C259A" w:rsidP="00F31129">
            <w:pPr>
              <w:pStyle w:val="TableText"/>
              <w:spacing w:before="40" w:after="40"/>
              <w:jc w:val="center"/>
              <w:rPr>
                <w:b/>
                <w:bCs/>
                <w:lang w:val="en-NZ"/>
              </w:rPr>
            </w:pPr>
            <w:r w:rsidRPr="00BD16B4">
              <w:rPr>
                <w:b/>
                <w:bCs/>
                <w:lang w:val="en-NZ"/>
              </w:rPr>
              <w:t>72.2</w:t>
            </w:r>
          </w:p>
        </w:tc>
        <w:tc>
          <w:tcPr>
            <w:tcW w:w="1786" w:type="dxa"/>
            <w:shd w:val="clear" w:color="auto" w:fill="D2DDE1" w:themeFill="background2"/>
            <w:hideMark/>
          </w:tcPr>
          <w:p w14:paraId="27179296" w14:textId="77777777" w:rsidR="007C259A" w:rsidRPr="00BD16B4" w:rsidRDefault="007C259A" w:rsidP="00F31129">
            <w:pPr>
              <w:pStyle w:val="TableText"/>
              <w:spacing w:before="40" w:after="40"/>
              <w:jc w:val="center"/>
              <w:rPr>
                <w:b/>
                <w:bCs/>
                <w:lang w:val="en-NZ"/>
              </w:rPr>
            </w:pPr>
            <w:r w:rsidRPr="00BD16B4">
              <w:rPr>
                <w:b/>
                <w:bCs/>
                <w:lang w:val="en-NZ"/>
              </w:rPr>
              <w:t>66.7</w:t>
            </w:r>
          </w:p>
        </w:tc>
        <w:tc>
          <w:tcPr>
            <w:tcW w:w="1649" w:type="dxa"/>
            <w:shd w:val="clear" w:color="auto" w:fill="D2DDE1" w:themeFill="background2"/>
            <w:hideMark/>
          </w:tcPr>
          <w:p w14:paraId="4E5F4E12" w14:textId="77777777" w:rsidR="007C259A" w:rsidRPr="00BD16B4" w:rsidRDefault="007C259A" w:rsidP="00F31129">
            <w:pPr>
              <w:pStyle w:val="TableText"/>
              <w:spacing w:before="40" w:after="40"/>
              <w:jc w:val="center"/>
              <w:rPr>
                <w:b/>
                <w:bCs/>
                <w:lang w:val="en-NZ"/>
              </w:rPr>
            </w:pPr>
            <w:r w:rsidRPr="00BD16B4">
              <w:rPr>
                <w:b/>
                <w:bCs/>
                <w:lang w:val="en-NZ"/>
              </w:rPr>
              <w:t>–5.5</w:t>
            </w:r>
          </w:p>
        </w:tc>
        <w:tc>
          <w:tcPr>
            <w:tcW w:w="1649" w:type="dxa"/>
            <w:shd w:val="clear" w:color="auto" w:fill="D2DDE1" w:themeFill="background2"/>
            <w:hideMark/>
          </w:tcPr>
          <w:p w14:paraId="3942F09D" w14:textId="77777777" w:rsidR="007C259A" w:rsidRPr="00BD16B4" w:rsidRDefault="007C259A" w:rsidP="00F31129">
            <w:pPr>
              <w:pStyle w:val="TableText"/>
              <w:spacing w:before="40" w:after="40"/>
              <w:jc w:val="center"/>
              <w:rPr>
                <w:b/>
                <w:bCs/>
                <w:lang w:val="en-NZ"/>
              </w:rPr>
            </w:pPr>
            <w:r w:rsidRPr="00BD16B4">
              <w:rPr>
                <w:b/>
                <w:bCs/>
                <w:lang w:val="en-NZ"/>
              </w:rPr>
              <w:t>–7.6</w:t>
            </w:r>
          </w:p>
        </w:tc>
      </w:tr>
      <w:tr w:rsidR="007C259A" w:rsidRPr="00BD16B4" w14:paraId="1F6B05C1" w14:textId="77777777" w:rsidTr="00921C95">
        <w:tc>
          <w:tcPr>
            <w:tcW w:w="1842" w:type="dxa"/>
            <w:hideMark/>
          </w:tcPr>
          <w:p w14:paraId="501B7F42" w14:textId="77777777" w:rsidR="007C259A" w:rsidRPr="00BD16B4" w:rsidRDefault="007C259A" w:rsidP="00F31129">
            <w:pPr>
              <w:pStyle w:val="TableText"/>
              <w:spacing w:before="40" w:after="40"/>
              <w:rPr>
                <w:b/>
                <w:bCs/>
                <w:lang w:val="en-NZ"/>
              </w:rPr>
            </w:pPr>
            <w:r w:rsidRPr="00BD16B4">
              <w:rPr>
                <w:b/>
                <w:bCs/>
                <w:lang w:val="en-NZ"/>
              </w:rPr>
              <w:t>Total net emissions</w:t>
            </w:r>
          </w:p>
        </w:tc>
        <w:tc>
          <w:tcPr>
            <w:tcW w:w="1579" w:type="dxa"/>
            <w:hideMark/>
          </w:tcPr>
          <w:p w14:paraId="49EDF605" w14:textId="77777777" w:rsidR="007C259A" w:rsidRPr="00BD16B4" w:rsidRDefault="007C259A" w:rsidP="00F31129">
            <w:pPr>
              <w:pStyle w:val="TableText"/>
              <w:spacing w:before="40" w:after="40"/>
              <w:jc w:val="center"/>
              <w:rPr>
                <w:b/>
                <w:bCs/>
                <w:lang w:val="en-NZ"/>
              </w:rPr>
            </w:pPr>
            <w:r w:rsidRPr="00BD16B4">
              <w:rPr>
                <w:b/>
                <w:bCs/>
                <w:lang w:val="en-NZ"/>
              </w:rPr>
              <w:t>57.9</w:t>
            </w:r>
          </w:p>
        </w:tc>
        <w:tc>
          <w:tcPr>
            <w:tcW w:w="1786" w:type="dxa"/>
            <w:shd w:val="clear" w:color="auto" w:fill="D2DDE1" w:themeFill="background2"/>
            <w:hideMark/>
          </w:tcPr>
          <w:p w14:paraId="4903FF00" w14:textId="77777777" w:rsidR="007C259A" w:rsidRPr="00BD16B4" w:rsidRDefault="007C259A" w:rsidP="00F31129">
            <w:pPr>
              <w:pStyle w:val="TableText"/>
              <w:spacing w:before="40" w:after="40"/>
              <w:jc w:val="center"/>
              <w:rPr>
                <w:b/>
                <w:bCs/>
                <w:lang w:val="en-NZ"/>
              </w:rPr>
            </w:pPr>
            <w:r w:rsidRPr="00BD16B4">
              <w:rPr>
                <w:b/>
                <w:bCs/>
                <w:lang w:val="en-NZ"/>
              </w:rPr>
              <w:t>41.2</w:t>
            </w:r>
          </w:p>
        </w:tc>
        <w:tc>
          <w:tcPr>
            <w:tcW w:w="1649" w:type="dxa"/>
            <w:shd w:val="clear" w:color="auto" w:fill="D2DDE1" w:themeFill="background2"/>
            <w:hideMark/>
          </w:tcPr>
          <w:p w14:paraId="395A6D08" w14:textId="77777777" w:rsidR="007C259A" w:rsidRPr="00BD16B4" w:rsidRDefault="007C259A" w:rsidP="00F31129">
            <w:pPr>
              <w:pStyle w:val="TableText"/>
              <w:spacing w:before="40" w:after="40"/>
              <w:jc w:val="center"/>
              <w:rPr>
                <w:b/>
                <w:bCs/>
                <w:lang w:val="en-NZ"/>
              </w:rPr>
            </w:pPr>
            <w:r w:rsidRPr="00BD16B4">
              <w:rPr>
                <w:b/>
                <w:bCs/>
                <w:lang w:val="en-NZ"/>
              </w:rPr>
              <w:t>–16.7</w:t>
            </w:r>
          </w:p>
        </w:tc>
        <w:tc>
          <w:tcPr>
            <w:tcW w:w="1649" w:type="dxa"/>
            <w:shd w:val="clear" w:color="auto" w:fill="D2DDE1" w:themeFill="background2"/>
            <w:hideMark/>
          </w:tcPr>
          <w:p w14:paraId="5D159110" w14:textId="77777777" w:rsidR="007C259A" w:rsidRPr="00BD16B4" w:rsidRDefault="007C259A" w:rsidP="00F31129">
            <w:pPr>
              <w:pStyle w:val="TableText"/>
              <w:spacing w:before="40" w:after="40"/>
              <w:jc w:val="center"/>
              <w:rPr>
                <w:b/>
                <w:bCs/>
                <w:lang w:val="en-NZ"/>
              </w:rPr>
            </w:pPr>
            <w:r w:rsidRPr="00BD16B4">
              <w:rPr>
                <w:b/>
                <w:bCs/>
                <w:lang w:val="en-NZ"/>
              </w:rPr>
              <w:t>–28.8</w:t>
            </w:r>
          </w:p>
        </w:tc>
      </w:tr>
    </w:tbl>
    <w:p w14:paraId="67C88903" w14:textId="77777777" w:rsidR="007C259A" w:rsidRPr="00BD16B4" w:rsidRDefault="007C259A" w:rsidP="00BE01FD">
      <w:pPr>
        <w:pStyle w:val="Note"/>
        <w:rPr>
          <w:rFonts w:cs="Calibri"/>
        </w:rPr>
      </w:pPr>
      <w:r w:rsidRPr="00BD16B4">
        <w:rPr>
          <w:rFonts w:cs="Calibri"/>
          <w:b/>
          <w:bCs/>
        </w:rPr>
        <w:t>Note:</w:t>
      </w:r>
      <w:r w:rsidRPr="00BD16B4">
        <w:rPr>
          <w:rFonts w:cs="Calibri"/>
        </w:rPr>
        <w:t xml:space="preserve"> BR4 = </w:t>
      </w:r>
      <w:r w:rsidRPr="00BD16B4">
        <w:rPr>
          <w:rFonts w:cs="Calibri"/>
          <w:i/>
          <w:iCs/>
        </w:rPr>
        <w:t>Fourth Biennial Report</w:t>
      </w:r>
      <w:r w:rsidRPr="00BD16B4">
        <w:rPr>
          <w:rFonts w:cs="Calibri"/>
        </w:rPr>
        <w:t xml:space="preserve">; BR5 = </w:t>
      </w:r>
      <w:r w:rsidRPr="00BD16B4">
        <w:rPr>
          <w:rFonts w:cs="Calibri"/>
          <w:i/>
          <w:iCs/>
        </w:rPr>
        <w:t>Fifth Biennial Report</w:t>
      </w:r>
      <w:r w:rsidRPr="00BD16B4">
        <w:rPr>
          <w:rFonts w:cs="Calibri"/>
        </w:rPr>
        <w:t>; CH</w:t>
      </w:r>
      <w:r w:rsidRPr="00BD16B4">
        <w:rPr>
          <w:rFonts w:cs="Calibri"/>
          <w:vertAlign w:val="subscript"/>
        </w:rPr>
        <w:t>4</w:t>
      </w:r>
      <w:r w:rsidRPr="00BD16B4">
        <w:rPr>
          <w:rFonts w:cs="Calibri"/>
        </w:rPr>
        <w:t xml:space="preserve"> = methane; CO</w:t>
      </w:r>
      <w:r w:rsidRPr="00BD16B4">
        <w:rPr>
          <w:rFonts w:cs="Calibri"/>
          <w:vertAlign w:val="subscript"/>
        </w:rPr>
        <w:t>2</w:t>
      </w:r>
      <w:r w:rsidRPr="00BD16B4">
        <w:rPr>
          <w:rFonts w:cs="Calibri"/>
        </w:rPr>
        <w:t xml:space="preserve"> = carbon dioxide; HFCs = hydrofluorocarbons; IPPU = industrial processes and product use; LULUCF = land use, land-use change and forestry; Mt CO</w:t>
      </w:r>
      <w:r w:rsidRPr="00BD16B4">
        <w:rPr>
          <w:rFonts w:cs="Calibri"/>
          <w:vertAlign w:val="subscript"/>
        </w:rPr>
        <w:t>2</w:t>
      </w:r>
      <w:r w:rsidRPr="00BD16B4">
        <w:rPr>
          <w:rFonts w:cs="Calibri"/>
        </w:rPr>
        <w:t>-e = million tonnes of carbon dioxide equivalent; N</w:t>
      </w:r>
      <w:r w:rsidRPr="00BD16B4">
        <w:rPr>
          <w:rFonts w:cs="Calibri"/>
          <w:vertAlign w:val="subscript"/>
        </w:rPr>
        <w:t>2</w:t>
      </w:r>
      <w:r w:rsidRPr="00BD16B4">
        <w:rPr>
          <w:rFonts w:cs="Calibri"/>
        </w:rPr>
        <w:t>O = nitrous oxide; PFCs = perfluorocarbons; SF</w:t>
      </w:r>
      <w:r w:rsidRPr="00BD16B4">
        <w:rPr>
          <w:rFonts w:cs="Calibri"/>
          <w:vertAlign w:val="subscript"/>
        </w:rPr>
        <w:t>6</w:t>
      </w:r>
      <w:r w:rsidRPr="00BD16B4">
        <w:rPr>
          <w:rFonts w:cs="Calibri"/>
        </w:rPr>
        <w:t xml:space="preserve"> = sulphur hexafluoride. A decrease from BR4 to BR5 in net emissions to the atmosphere is expressed as a negative (–) in the absolute change and percentage, while an increase in net emissions to the atmosphere is expressed as a positive. Numbers may not add to totals due to rounding to one decimal place.</w:t>
      </w:r>
    </w:p>
    <w:p w14:paraId="133D385F" w14:textId="77777777" w:rsidR="007C259A" w:rsidRPr="00BD16B4" w:rsidRDefault="007C259A" w:rsidP="007C259A">
      <w:pPr>
        <w:pStyle w:val="BodyText"/>
      </w:pPr>
      <w:r w:rsidRPr="00BD16B4">
        <w:t xml:space="preserve">Sector-specific differences from the </w:t>
      </w:r>
      <w:r w:rsidRPr="00BD16B4">
        <w:rPr>
          <w:i/>
        </w:rPr>
        <w:t xml:space="preserve">Fourth Biennial Report </w:t>
      </w:r>
      <w:r w:rsidRPr="00BD16B4">
        <w:t>are described under their respective headings below.</w:t>
      </w:r>
    </w:p>
    <w:p w14:paraId="2EA846CA" w14:textId="2E3EF7B3" w:rsidR="007C259A" w:rsidRPr="00BD16B4" w:rsidRDefault="007C259A" w:rsidP="007C259A">
      <w:pPr>
        <w:pStyle w:val="Heading2"/>
      </w:pPr>
      <w:bookmarkStart w:id="291" w:name="_Toc121774645"/>
      <w:r w:rsidRPr="00BD16B4">
        <w:t>5.5</w:t>
      </w:r>
      <w:r w:rsidRPr="00BD16B4">
        <w:tab/>
        <w:t>Overview of methods by sector</w:t>
      </w:r>
      <w:bookmarkEnd w:id="291"/>
    </w:p>
    <w:p w14:paraId="08B088A8" w14:textId="77777777" w:rsidR="007C259A" w:rsidRPr="00BD16B4" w:rsidRDefault="007C259A" w:rsidP="007C259A">
      <w:pPr>
        <w:pStyle w:val="BodyText"/>
      </w:pPr>
      <w:r w:rsidRPr="00BD16B4">
        <w:t xml:space="preserve">The methodologies applied to calculate Aotearoa New Zealand’s greenhouse gas emission </w:t>
      </w:r>
      <w:r w:rsidRPr="00BD16B4">
        <w:rPr>
          <w:spacing w:val="-2"/>
        </w:rPr>
        <w:t>scenarios are tailored to the particular characteristics of each sector, while using key underlying</w:t>
      </w:r>
      <w:r w:rsidRPr="00BD16B4">
        <w:t xml:space="preserve"> assumptions that are consistent across sectors. To provide a basic understanding of the models and approaches used, details relevant for each sector are summarised in table 5.13 and discussed in the following sections.</w:t>
      </w:r>
    </w:p>
    <w:p w14:paraId="77773D44" w14:textId="77777777" w:rsidR="007C259A" w:rsidRPr="00BD16B4" w:rsidRDefault="007C259A" w:rsidP="00BB7302">
      <w:pPr>
        <w:pStyle w:val="Tableheading"/>
      </w:pPr>
      <w:bookmarkStart w:id="292" w:name="_Toc121773803"/>
      <w:r w:rsidRPr="00BD16B4">
        <w:t xml:space="preserve">Table 5.13: </w:t>
      </w:r>
      <w:r w:rsidRPr="00BD16B4">
        <w:tab/>
        <w:t>Overview of models and approaches used to project New Zealand’s greenhouse gas emissions from different sectors</w:t>
      </w:r>
      <w:bookmarkEnd w:id="292"/>
    </w:p>
    <w:tbl>
      <w:tblPr>
        <w:tblStyle w:val="TableGrid1"/>
        <w:tblW w:w="8505" w:type="dxa"/>
        <w:tblInd w:w="113" w:type="dxa"/>
        <w:tblBorders>
          <w:insideH w:val="single" w:sz="6" w:space="0" w:color="1B556B" w:themeColor="text2"/>
          <w:insideV w:val="single" w:sz="6" w:space="0" w:color="1B556B" w:themeColor="text2"/>
        </w:tblBorders>
        <w:tblCellMar>
          <w:left w:w="57" w:type="dxa"/>
          <w:right w:w="57" w:type="dxa"/>
        </w:tblCellMar>
        <w:tblLook w:val="04A0" w:firstRow="1" w:lastRow="0" w:firstColumn="1" w:lastColumn="0" w:noHBand="0" w:noVBand="1"/>
      </w:tblPr>
      <w:tblGrid>
        <w:gridCol w:w="1324"/>
        <w:gridCol w:w="912"/>
        <w:gridCol w:w="1637"/>
        <w:gridCol w:w="1472"/>
        <w:gridCol w:w="1688"/>
        <w:gridCol w:w="1472"/>
      </w:tblGrid>
      <w:tr w:rsidR="007C259A" w:rsidRPr="00BD16B4" w14:paraId="0DE9EBAF" w14:textId="77777777" w:rsidTr="00311E27">
        <w:trPr>
          <w:tblHeader/>
        </w:trPr>
        <w:tc>
          <w:tcPr>
            <w:tcW w:w="1361" w:type="dxa"/>
            <w:tcBorders>
              <w:top w:val="single" w:sz="4" w:space="0" w:color="1B556B" w:themeColor="text2"/>
              <w:bottom w:val="nil"/>
              <w:right w:val="nil"/>
            </w:tcBorders>
            <w:shd w:val="clear" w:color="auto" w:fill="1B556B" w:themeFill="text2"/>
            <w:vAlign w:val="bottom"/>
          </w:tcPr>
          <w:p w14:paraId="3476484C" w14:textId="77777777" w:rsidR="007C259A" w:rsidRPr="00BD16B4" w:rsidRDefault="007C259A" w:rsidP="00BE01FD">
            <w:pPr>
              <w:pStyle w:val="TableTextBold0"/>
              <w:spacing w:before="30" w:after="40"/>
              <w:rPr>
                <w:b w:val="0"/>
                <w:bCs/>
                <w:color w:val="FFFFFF" w:themeColor="background1"/>
                <w:lang w:val="en-NZ"/>
              </w:rPr>
            </w:pPr>
            <w:r w:rsidRPr="00BD16B4">
              <w:rPr>
                <w:color w:val="FFFFFF" w:themeColor="background1"/>
                <w:lang w:val="en-NZ"/>
              </w:rPr>
              <w:t>Sector(s)</w:t>
            </w:r>
          </w:p>
        </w:tc>
        <w:tc>
          <w:tcPr>
            <w:tcW w:w="964" w:type="dxa"/>
            <w:tcBorders>
              <w:top w:val="single" w:sz="4" w:space="0" w:color="1B556B" w:themeColor="text2"/>
              <w:left w:val="nil"/>
              <w:bottom w:val="nil"/>
              <w:right w:val="nil"/>
            </w:tcBorders>
            <w:shd w:val="clear" w:color="auto" w:fill="1B556B" w:themeFill="text2"/>
            <w:vAlign w:val="bottom"/>
          </w:tcPr>
          <w:p w14:paraId="38C06958" w14:textId="77777777" w:rsidR="007C259A" w:rsidRPr="00BD16B4" w:rsidRDefault="007C259A" w:rsidP="00BE01FD">
            <w:pPr>
              <w:pStyle w:val="TableTextBold0"/>
              <w:spacing w:before="30" w:after="40"/>
              <w:rPr>
                <w:b w:val="0"/>
                <w:bCs/>
                <w:color w:val="FFFFFF" w:themeColor="background1"/>
                <w:lang w:val="en-NZ"/>
              </w:rPr>
            </w:pPr>
            <w:r w:rsidRPr="00BD16B4">
              <w:rPr>
                <w:color w:val="FFFFFF" w:themeColor="background1"/>
                <w:lang w:val="en-NZ"/>
              </w:rPr>
              <w:t>Gases</w:t>
            </w:r>
          </w:p>
        </w:tc>
        <w:tc>
          <w:tcPr>
            <w:tcW w:w="1701" w:type="dxa"/>
            <w:tcBorders>
              <w:top w:val="single" w:sz="4" w:space="0" w:color="1B556B" w:themeColor="text2"/>
              <w:left w:val="nil"/>
              <w:bottom w:val="nil"/>
              <w:right w:val="nil"/>
            </w:tcBorders>
            <w:shd w:val="clear" w:color="auto" w:fill="1B556B" w:themeFill="text2"/>
            <w:vAlign w:val="bottom"/>
          </w:tcPr>
          <w:p w14:paraId="489637B9" w14:textId="77777777" w:rsidR="007C259A" w:rsidRPr="00BD16B4" w:rsidRDefault="007C259A" w:rsidP="00BE01FD">
            <w:pPr>
              <w:pStyle w:val="TableTextBold0"/>
              <w:spacing w:before="30" w:after="40"/>
              <w:rPr>
                <w:b w:val="0"/>
                <w:bCs/>
                <w:color w:val="FFFFFF" w:themeColor="background1"/>
                <w:lang w:val="en-NZ"/>
              </w:rPr>
            </w:pPr>
            <w:r w:rsidRPr="00BD16B4">
              <w:rPr>
                <w:color w:val="FFFFFF" w:themeColor="background1"/>
                <w:lang w:val="en-NZ"/>
              </w:rPr>
              <w:t>Type and characteristics of approach or model</w:t>
            </w:r>
          </w:p>
        </w:tc>
        <w:tc>
          <w:tcPr>
            <w:tcW w:w="1531" w:type="dxa"/>
            <w:tcBorders>
              <w:top w:val="single" w:sz="4" w:space="0" w:color="1B556B" w:themeColor="text2"/>
              <w:left w:val="nil"/>
              <w:bottom w:val="nil"/>
              <w:right w:val="nil"/>
            </w:tcBorders>
            <w:shd w:val="clear" w:color="auto" w:fill="1B556B" w:themeFill="text2"/>
            <w:vAlign w:val="bottom"/>
          </w:tcPr>
          <w:p w14:paraId="45E49D7B" w14:textId="77777777" w:rsidR="007C259A" w:rsidRPr="00BD16B4" w:rsidRDefault="007C259A" w:rsidP="00BE01FD">
            <w:pPr>
              <w:pStyle w:val="TableTextBold0"/>
              <w:spacing w:before="30" w:after="40"/>
              <w:rPr>
                <w:b w:val="0"/>
                <w:bCs/>
                <w:color w:val="FFFFFF" w:themeColor="background1"/>
                <w:lang w:val="en-NZ"/>
              </w:rPr>
            </w:pPr>
            <w:r w:rsidRPr="00BD16B4">
              <w:rPr>
                <w:color w:val="FFFFFF" w:themeColor="background1"/>
                <w:lang w:val="en-NZ"/>
              </w:rPr>
              <w:t>Original purpose of approach or model</w:t>
            </w:r>
          </w:p>
        </w:tc>
        <w:tc>
          <w:tcPr>
            <w:tcW w:w="1758" w:type="dxa"/>
            <w:tcBorders>
              <w:top w:val="single" w:sz="4" w:space="0" w:color="1B556B" w:themeColor="text2"/>
              <w:left w:val="nil"/>
              <w:bottom w:val="nil"/>
              <w:right w:val="nil"/>
            </w:tcBorders>
            <w:shd w:val="clear" w:color="auto" w:fill="1B556B" w:themeFill="text2"/>
            <w:vAlign w:val="bottom"/>
          </w:tcPr>
          <w:p w14:paraId="6E7A5963" w14:textId="77777777" w:rsidR="007C259A" w:rsidRPr="00BD16B4" w:rsidRDefault="007C259A" w:rsidP="00BE01FD">
            <w:pPr>
              <w:pStyle w:val="TableTextBold0"/>
              <w:spacing w:before="30" w:after="40"/>
              <w:rPr>
                <w:b w:val="0"/>
                <w:bCs/>
                <w:color w:val="FFFFFF" w:themeColor="background1"/>
                <w:lang w:val="en-NZ"/>
              </w:rPr>
            </w:pPr>
            <w:r w:rsidRPr="00BD16B4">
              <w:rPr>
                <w:color w:val="FFFFFF" w:themeColor="background1"/>
                <w:lang w:val="en-NZ"/>
              </w:rPr>
              <w:t>Strengths and weaknesses</w:t>
            </w:r>
          </w:p>
        </w:tc>
        <w:tc>
          <w:tcPr>
            <w:tcW w:w="1531" w:type="dxa"/>
            <w:tcBorders>
              <w:top w:val="single" w:sz="4" w:space="0" w:color="1B556B" w:themeColor="text2"/>
              <w:left w:val="nil"/>
              <w:bottom w:val="nil"/>
            </w:tcBorders>
            <w:shd w:val="clear" w:color="auto" w:fill="1B556B" w:themeFill="text2"/>
            <w:vAlign w:val="bottom"/>
          </w:tcPr>
          <w:p w14:paraId="66C425C5" w14:textId="77777777" w:rsidR="007C259A" w:rsidRPr="00BD16B4" w:rsidRDefault="007C259A" w:rsidP="00BE01FD">
            <w:pPr>
              <w:pStyle w:val="TableTextBold0"/>
              <w:spacing w:before="30" w:after="40"/>
              <w:rPr>
                <w:b w:val="0"/>
                <w:bCs/>
                <w:color w:val="FFFFFF" w:themeColor="background1"/>
                <w:lang w:val="en-NZ"/>
              </w:rPr>
            </w:pPr>
            <w:r w:rsidRPr="00BD16B4">
              <w:rPr>
                <w:color w:val="FFFFFF" w:themeColor="background1"/>
                <w:lang w:val="en-NZ"/>
              </w:rPr>
              <w:t>Accounting of overlaps and synergies</w:t>
            </w:r>
          </w:p>
        </w:tc>
      </w:tr>
      <w:tr w:rsidR="007C259A" w:rsidRPr="00BD16B4" w14:paraId="65AD0AAB" w14:textId="77777777" w:rsidTr="00921C95">
        <w:tc>
          <w:tcPr>
            <w:tcW w:w="1361" w:type="dxa"/>
            <w:tcBorders>
              <w:top w:val="nil"/>
              <w:bottom w:val="single" w:sz="4" w:space="0" w:color="1B556B" w:themeColor="text2"/>
            </w:tcBorders>
          </w:tcPr>
          <w:p w14:paraId="62034860" w14:textId="77777777" w:rsidR="007C259A" w:rsidRPr="00BD16B4" w:rsidRDefault="007C259A" w:rsidP="00BE01FD">
            <w:pPr>
              <w:pStyle w:val="TableText"/>
              <w:spacing w:before="30" w:after="40"/>
              <w:rPr>
                <w:rFonts w:cs="Calibri"/>
                <w:lang w:val="en-NZ"/>
              </w:rPr>
            </w:pPr>
            <w:r w:rsidRPr="00BD16B4">
              <w:rPr>
                <w:rFonts w:cs="Calibri"/>
                <w:lang w:val="en-NZ"/>
              </w:rPr>
              <w:t>Energy and transport</w:t>
            </w:r>
          </w:p>
        </w:tc>
        <w:tc>
          <w:tcPr>
            <w:tcW w:w="964" w:type="dxa"/>
            <w:tcBorders>
              <w:top w:val="nil"/>
              <w:bottom w:val="single" w:sz="4" w:space="0" w:color="1B556B" w:themeColor="text2"/>
            </w:tcBorders>
          </w:tcPr>
          <w:p w14:paraId="32FC86BC" w14:textId="77777777" w:rsidR="007C259A" w:rsidRPr="00BD16B4" w:rsidRDefault="007C259A" w:rsidP="00BE01FD">
            <w:pPr>
              <w:pStyle w:val="TableText"/>
              <w:spacing w:before="30" w:after="40"/>
              <w:rPr>
                <w:rFonts w:cs="Calibri"/>
                <w:lang w:val="en-NZ"/>
              </w:rPr>
            </w:pPr>
            <w:r w:rsidRPr="00BD16B4">
              <w:rPr>
                <w:rFonts w:cs="Calibri"/>
                <w:lang w:val="en-NZ"/>
              </w:rPr>
              <w:t>CO</w:t>
            </w:r>
            <w:r w:rsidRPr="00BD16B4">
              <w:rPr>
                <w:rFonts w:cs="Calibri"/>
                <w:vertAlign w:val="subscript"/>
                <w:lang w:val="en-NZ"/>
              </w:rPr>
              <w:t>2</w:t>
            </w:r>
            <w:r w:rsidRPr="00BD16B4">
              <w:rPr>
                <w:rFonts w:cs="Calibri"/>
                <w:lang w:val="en-NZ"/>
              </w:rPr>
              <w:t>, CH</w:t>
            </w:r>
            <w:r w:rsidRPr="00BD16B4">
              <w:rPr>
                <w:rFonts w:cs="Calibri"/>
                <w:vertAlign w:val="subscript"/>
                <w:lang w:val="en-NZ"/>
              </w:rPr>
              <w:t>4</w:t>
            </w:r>
            <w:r w:rsidRPr="00BD16B4">
              <w:rPr>
                <w:rFonts w:cs="Calibri"/>
                <w:lang w:val="en-NZ"/>
              </w:rPr>
              <w:t>, N</w:t>
            </w:r>
            <w:r w:rsidRPr="00BD16B4">
              <w:rPr>
                <w:rFonts w:cs="Calibri"/>
                <w:vertAlign w:val="subscript"/>
                <w:lang w:val="en-NZ"/>
              </w:rPr>
              <w:t>2</w:t>
            </w:r>
            <w:r w:rsidRPr="00BD16B4">
              <w:rPr>
                <w:rFonts w:cs="Calibri"/>
                <w:lang w:val="en-NZ"/>
              </w:rPr>
              <w:t>O</w:t>
            </w:r>
          </w:p>
        </w:tc>
        <w:tc>
          <w:tcPr>
            <w:tcW w:w="1701" w:type="dxa"/>
            <w:tcBorders>
              <w:top w:val="nil"/>
              <w:bottom w:val="single" w:sz="4" w:space="0" w:color="1B556B" w:themeColor="text2"/>
            </w:tcBorders>
          </w:tcPr>
          <w:p w14:paraId="1CC99771" w14:textId="77777777" w:rsidR="007C259A" w:rsidRPr="00BD16B4" w:rsidRDefault="007C259A" w:rsidP="00BE01FD">
            <w:pPr>
              <w:pStyle w:val="TableText"/>
              <w:spacing w:before="30" w:after="40"/>
              <w:rPr>
                <w:rFonts w:cs="Calibri"/>
                <w:lang w:val="en-NZ"/>
              </w:rPr>
            </w:pPr>
            <w:r w:rsidRPr="00BD16B4">
              <w:rPr>
                <w:rFonts w:cs="Calibri"/>
                <w:lang w:val="en-NZ"/>
              </w:rPr>
              <w:t>Bottom-up estimates based on economic data, energy sector data and inventory models</w:t>
            </w:r>
          </w:p>
        </w:tc>
        <w:tc>
          <w:tcPr>
            <w:tcW w:w="1531" w:type="dxa"/>
            <w:tcBorders>
              <w:top w:val="nil"/>
              <w:bottom w:val="single" w:sz="4" w:space="0" w:color="1B556B" w:themeColor="text2"/>
            </w:tcBorders>
          </w:tcPr>
          <w:p w14:paraId="7CC385EA" w14:textId="77777777" w:rsidR="007C259A" w:rsidRPr="00BD16B4" w:rsidRDefault="007C259A" w:rsidP="00BE01FD">
            <w:pPr>
              <w:pStyle w:val="TableText"/>
              <w:spacing w:before="30" w:after="40"/>
              <w:rPr>
                <w:rFonts w:cs="Calibri"/>
                <w:lang w:val="en-NZ"/>
              </w:rPr>
            </w:pPr>
            <w:r w:rsidRPr="00BD16B4">
              <w:rPr>
                <w:rFonts w:cs="Calibri"/>
                <w:lang w:val="en-NZ"/>
              </w:rPr>
              <w:t>Assessment of electricity demand and generation scenarios in New Zealand</w:t>
            </w:r>
          </w:p>
        </w:tc>
        <w:tc>
          <w:tcPr>
            <w:tcW w:w="1758" w:type="dxa"/>
            <w:tcBorders>
              <w:top w:val="nil"/>
              <w:bottom w:val="single" w:sz="4" w:space="0" w:color="1B556B" w:themeColor="text2"/>
            </w:tcBorders>
          </w:tcPr>
          <w:p w14:paraId="73F5673A" w14:textId="77777777" w:rsidR="007C259A" w:rsidRPr="00BD16B4" w:rsidRDefault="007C259A" w:rsidP="00BE01FD">
            <w:pPr>
              <w:pStyle w:val="TableText"/>
              <w:spacing w:before="30" w:after="40"/>
              <w:rPr>
                <w:rFonts w:cs="Calibri"/>
                <w:lang w:val="en-NZ"/>
              </w:rPr>
            </w:pPr>
            <w:r w:rsidRPr="00BD16B4">
              <w:rPr>
                <w:rFonts w:cs="Calibri"/>
                <w:lang w:val="en-NZ"/>
              </w:rPr>
              <w:t>Use of economic modelling, industry forecasts and expert opinion to generate activity data inputs and assumptions</w:t>
            </w:r>
          </w:p>
          <w:p w14:paraId="28861AC7" w14:textId="77777777" w:rsidR="007C259A" w:rsidRPr="00BD16B4" w:rsidRDefault="007C259A" w:rsidP="00BE01FD">
            <w:pPr>
              <w:pStyle w:val="TableText"/>
              <w:spacing w:before="30" w:after="40"/>
              <w:rPr>
                <w:rFonts w:cs="Calibri"/>
                <w:lang w:val="en-NZ"/>
              </w:rPr>
            </w:pPr>
            <w:r w:rsidRPr="00BD16B4">
              <w:rPr>
                <w:rFonts w:cs="Calibri"/>
                <w:lang w:val="en-NZ"/>
              </w:rPr>
              <w:t xml:space="preserve">Difficulty in modelling the </w:t>
            </w:r>
            <w:r w:rsidRPr="00BD16B4">
              <w:rPr>
                <w:rFonts w:cs="Calibri"/>
                <w:lang w:val="en-NZ"/>
              </w:rPr>
              <w:lastRenderedPageBreak/>
              <w:t>expected effect of carbon prices and other policies and measures outside of the electricity sector</w:t>
            </w:r>
          </w:p>
          <w:p w14:paraId="3BBDFDC3" w14:textId="77777777" w:rsidR="007C259A" w:rsidRPr="00BD16B4" w:rsidRDefault="007C259A" w:rsidP="00BE01FD">
            <w:pPr>
              <w:pStyle w:val="TableText"/>
              <w:spacing w:before="30" w:after="40"/>
              <w:rPr>
                <w:rFonts w:cs="Calibri"/>
                <w:lang w:val="en-NZ"/>
              </w:rPr>
            </w:pPr>
            <w:r w:rsidRPr="00BD16B4">
              <w:rPr>
                <w:rFonts w:cs="Calibri"/>
                <w:lang w:val="en-NZ"/>
              </w:rPr>
              <w:t>Limited representation of potential mitigation technologies</w:t>
            </w:r>
          </w:p>
        </w:tc>
        <w:tc>
          <w:tcPr>
            <w:tcW w:w="1531" w:type="dxa"/>
            <w:tcBorders>
              <w:top w:val="nil"/>
              <w:bottom w:val="single" w:sz="4" w:space="0" w:color="1B556B" w:themeColor="text2"/>
            </w:tcBorders>
          </w:tcPr>
          <w:p w14:paraId="02BD07E5" w14:textId="77777777" w:rsidR="007C259A" w:rsidRPr="00BD16B4" w:rsidRDefault="007C259A" w:rsidP="00BE01FD">
            <w:pPr>
              <w:pStyle w:val="TableText"/>
              <w:spacing w:before="30" w:after="40"/>
              <w:rPr>
                <w:rFonts w:cs="Calibri"/>
                <w:lang w:val="en-NZ"/>
              </w:rPr>
            </w:pPr>
            <w:r w:rsidRPr="00BD16B4">
              <w:rPr>
                <w:rFonts w:cs="Calibri"/>
                <w:lang w:val="en-NZ"/>
              </w:rPr>
              <w:lastRenderedPageBreak/>
              <w:t>Accounts for anticipated changes in production levels across industries</w:t>
            </w:r>
          </w:p>
          <w:p w14:paraId="28E49ECE" w14:textId="77777777" w:rsidR="007C259A" w:rsidRPr="00BD16B4" w:rsidRDefault="007C259A" w:rsidP="00BE01FD">
            <w:pPr>
              <w:pStyle w:val="TableText"/>
              <w:spacing w:before="30" w:after="40"/>
              <w:rPr>
                <w:rFonts w:cs="Calibri"/>
                <w:lang w:val="en-NZ"/>
              </w:rPr>
            </w:pPr>
            <w:r w:rsidRPr="00BD16B4">
              <w:rPr>
                <w:rFonts w:cs="Calibri"/>
                <w:lang w:val="en-NZ"/>
              </w:rPr>
              <w:t xml:space="preserve">Does not account for changes in energy demand </w:t>
            </w:r>
            <w:r w:rsidRPr="00BD16B4">
              <w:rPr>
                <w:rFonts w:cs="Calibri"/>
                <w:lang w:val="en-NZ"/>
              </w:rPr>
              <w:lastRenderedPageBreak/>
              <w:t>for land use activities</w:t>
            </w:r>
          </w:p>
        </w:tc>
      </w:tr>
      <w:tr w:rsidR="007C259A" w:rsidRPr="00BD16B4" w14:paraId="79A4298B" w14:textId="77777777" w:rsidTr="00921C95">
        <w:tc>
          <w:tcPr>
            <w:tcW w:w="1361" w:type="dxa"/>
            <w:tcBorders>
              <w:top w:val="single" w:sz="4" w:space="0" w:color="1B556B" w:themeColor="text2"/>
              <w:bottom w:val="single" w:sz="4" w:space="0" w:color="1B556B" w:themeColor="text2"/>
              <w:right w:val="single" w:sz="4" w:space="0" w:color="1B556B" w:themeColor="text2"/>
            </w:tcBorders>
          </w:tcPr>
          <w:p w14:paraId="3A7F3E0E" w14:textId="77777777" w:rsidR="007C259A" w:rsidRPr="00BD16B4" w:rsidRDefault="007C259A" w:rsidP="00BE01FD">
            <w:pPr>
              <w:pStyle w:val="TableText"/>
              <w:keepNext/>
              <w:spacing w:before="30" w:after="40"/>
              <w:rPr>
                <w:rFonts w:cs="Calibri"/>
                <w:lang w:val="en-NZ"/>
              </w:rPr>
            </w:pPr>
            <w:r w:rsidRPr="00BD16B4">
              <w:rPr>
                <w:rFonts w:cs="Calibri"/>
                <w:lang w:val="en-NZ"/>
              </w:rPr>
              <w:lastRenderedPageBreak/>
              <w:t>Industrial processes and product use (IPPU)</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3E7C6332" w14:textId="77777777" w:rsidR="007C259A" w:rsidRPr="00BD16B4" w:rsidRDefault="007C259A" w:rsidP="00BE01FD">
            <w:pPr>
              <w:pStyle w:val="TableText"/>
              <w:spacing w:before="30" w:after="40"/>
              <w:rPr>
                <w:rFonts w:cs="Calibri"/>
                <w:lang w:val="en-NZ"/>
              </w:rPr>
            </w:pPr>
            <w:r w:rsidRPr="00BD16B4">
              <w:rPr>
                <w:rFonts w:cs="Calibri"/>
                <w:lang w:val="en-NZ"/>
              </w:rPr>
              <w:t>CO</w:t>
            </w:r>
            <w:r w:rsidRPr="00BD16B4">
              <w:rPr>
                <w:rFonts w:cs="Calibri"/>
                <w:vertAlign w:val="subscript"/>
                <w:lang w:val="en-NZ"/>
              </w:rPr>
              <w:t>2</w:t>
            </w:r>
            <w:r w:rsidRPr="00BD16B4">
              <w:rPr>
                <w:rFonts w:cs="Calibri"/>
                <w:lang w:val="en-NZ"/>
              </w:rPr>
              <w:t>, CH</w:t>
            </w:r>
            <w:r w:rsidRPr="00BD16B4">
              <w:rPr>
                <w:rFonts w:cs="Calibri"/>
                <w:vertAlign w:val="subscript"/>
                <w:lang w:val="en-NZ"/>
              </w:rPr>
              <w:t>4</w:t>
            </w:r>
            <w:r w:rsidRPr="00BD16B4">
              <w:rPr>
                <w:rFonts w:cs="Calibri"/>
                <w:lang w:val="en-NZ"/>
              </w:rPr>
              <w:t>, N</w:t>
            </w:r>
            <w:r w:rsidRPr="00BD16B4">
              <w:rPr>
                <w:rFonts w:cs="Calibri"/>
                <w:vertAlign w:val="subscript"/>
                <w:lang w:val="en-NZ"/>
              </w:rPr>
              <w:t>2</w:t>
            </w:r>
            <w:r w:rsidRPr="00BD16B4">
              <w:rPr>
                <w:rFonts w:cs="Calibri"/>
                <w:lang w:val="en-NZ"/>
              </w:rPr>
              <w:t>O, HFCs, PFCs, SF</w:t>
            </w:r>
            <w:r w:rsidRPr="00BD16B4">
              <w:rPr>
                <w:rFonts w:cs="Calibri"/>
                <w:vertAlign w:val="subscript"/>
                <w:lang w:val="en-NZ"/>
              </w:rPr>
              <w:t>6</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44F65346" w14:textId="77777777" w:rsidR="007C259A" w:rsidRPr="00BD16B4" w:rsidRDefault="007C259A" w:rsidP="00BE01FD">
            <w:pPr>
              <w:pStyle w:val="TableText"/>
              <w:spacing w:before="30" w:after="40"/>
              <w:rPr>
                <w:rFonts w:cs="Calibri"/>
                <w:lang w:val="en-NZ"/>
              </w:rPr>
            </w:pPr>
            <w:r w:rsidRPr="00BD16B4">
              <w:rPr>
                <w:rFonts w:cs="Calibri"/>
                <w:lang w:val="en-NZ"/>
              </w:rPr>
              <w:t>Top-down estimates based on historical emissions, industry forecasts and regulation of imports of F-gases</w:t>
            </w:r>
          </w:p>
        </w:tc>
        <w:tc>
          <w:tcPr>
            <w:tcW w:w="1531"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38E583AA" w14:textId="77777777" w:rsidR="007C259A" w:rsidRPr="00BD16B4" w:rsidRDefault="007C259A" w:rsidP="00BE01FD">
            <w:pPr>
              <w:pStyle w:val="TableText"/>
              <w:spacing w:before="30" w:after="40"/>
              <w:rPr>
                <w:rFonts w:cs="Calibri"/>
                <w:lang w:val="en-NZ"/>
              </w:rPr>
            </w:pPr>
            <w:r w:rsidRPr="00BD16B4">
              <w:rPr>
                <w:rFonts w:cs="Calibri"/>
                <w:lang w:val="en-NZ"/>
              </w:rPr>
              <w:t>Projection of IPPU greenhouse gases</w:t>
            </w:r>
          </w:p>
        </w:tc>
        <w:tc>
          <w:tcPr>
            <w:tcW w:w="1758"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57F8E56D" w14:textId="77777777" w:rsidR="007C259A" w:rsidRPr="00BD16B4" w:rsidRDefault="007C259A" w:rsidP="00BE01FD">
            <w:pPr>
              <w:pStyle w:val="TableText"/>
              <w:spacing w:before="30" w:after="40"/>
              <w:rPr>
                <w:rFonts w:cs="Calibri"/>
                <w:lang w:val="en-NZ"/>
              </w:rPr>
            </w:pPr>
            <w:r w:rsidRPr="00BD16B4">
              <w:rPr>
                <w:rFonts w:cs="Calibri"/>
                <w:lang w:val="en-NZ"/>
              </w:rPr>
              <w:t>Calculations at the level of single gases and by inventory category level</w:t>
            </w:r>
          </w:p>
        </w:tc>
        <w:tc>
          <w:tcPr>
            <w:tcW w:w="1531" w:type="dxa"/>
            <w:tcBorders>
              <w:top w:val="single" w:sz="4" w:space="0" w:color="1B556B" w:themeColor="text2"/>
              <w:left w:val="single" w:sz="4" w:space="0" w:color="1B556B" w:themeColor="text2"/>
              <w:bottom w:val="single" w:sz="4" w:space="0" w:color="1B556B" w:themeColor="text2"/>
            </w:tcBorders>
          </w:tcPr>
          <w:p w14:paraId="02866A2E" w14:textId="77777777" w:rsidR="007C259A" w:rsidRPr="00BD16B4" w:rsidRDefault="007C259A" w:rsidP="00BE01FD">
            <w:pPr>
              <w:pStyle w:val="TableText"/>
              <w:spacing w:before="30" w:after="40"/>
              <w:rPr>
                <w:rFonts w:cs="Calibri"/>
                <w:lang w:val="en-NZ"/>
              </w:rPr>
            </w:pPr>
          </w:p>
        </w:tc>
      </w:tr>
      <w:tr w:rsidR="007C259A" w:rsidRPr="00BD16B4" w14:paraId="6B4E3095" w14:textId="77777777" w:rsidTr="00921C95">
        <w:tc>
          <w:tcPr>
            <w:tcW w:w="1361" w:type="dxa"/>
            <w:tcBorders>
              <w:top w:val="single" w:sz="4" w:space="0" w:color="1B556B" w:themeColor="text2"/>
              <w:bottom w:val="single" w:sz="4" w:space="0" w:color="1B556B" w:themeColor="text2"/>
              <w:right w:val="single" w:sz="4" w:space="0" w:color="1B556B" w:themeColor="text2"/>
            </w:tcBorders>
          </w:tcPr>
          <w:p w14:paraId="29DABA9A" w14:textId="77777777" w:rsidR="007C259A" w:rsidRPr="00BD16B4" w:rsidRDefault="007C259A" w:rsidP="00BE01FD">
            <w:pPr>
              <w:pStyle w:val="TableText"/>
              <w:spacing w:before="30" w:after="40"/>
              <w:rPr>
                <w:rFonts w:cs="Calibri"/>
                <w:lang w:val="en-NZ"/>
              </w:rPr>
            </w:pPr>
            <w:r w:rsidRPr="00BD16B4">
              <w:rPr>
                <w:rFonts w:cs="Calibri"/>
                <w:lang w:val="en-NZ"/>
              </w:rPr>
              <w:t>Agriculture</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47356F26" w14:textId="77777777" w:rsidR="007C259A" w:rsidRPr="00BD16B4" w:rsidRDefault="007C259A" w:rsidP="00BE01FD">
            <w:pPr>
              <w:pStyle w:val="TableText"/>
              <w:spacing w:before="30" w:after="40"/>
              <w:rPr>
                <w:rFonts w:cs="Calibri"/>
                <w:lang w:val="en-NZ"/>
              </w:rPr>
            </w:pPr>
            <w:r w:rsidRPr="00BD16B4">
              <w:rPr>
                <w:rFonts w:cs="Calibri"/>
                <w:lang w:val="en-NZ"/>
              </w:rPr>
              <w:t>CO</w:t>
            </w:r>
            <w:r w:rsidRPr="00BD16B4">
              <w:rPr>
                <w:rFonts w:cs="Calibri"/>
                <w:vertAlign w:val="subscript"/>
                <w:lang w:val="en-NZ"/>
              </w:rPr>
              <w:t>2</w:t>
            </w:r>
            <w:r w:rsidRPr="00BD16B4">
              <w:rPr>
                <w:rFonts w:cs="Calibri"/>
                <w:lang w:val="en-NZ"/>
              </w:rPr>
              <w:t>, CH</w:t>
            </w:r>
            <w:r w:rsidRPr="00BD16B4">
              <w:rPr>
                <w:rFonts w:cs="Calibri"/>
                <w:vertAlign w:val="subscript"/>
                <w:lang w:val="en-NZ"/>
              </w:rPr>
              <w:t>4</w:t>
            </w:r>
            <w:r w:rsidRPr="00BD16B4">
              <w:rPr>
                <w:rFonts w:cs="Calibri"/>
                <w:lang w:val="en-NZ"/>
              </w:rPr>
              <w:t>, N</w:t>
            </w:r>
            <w:r w:rsidRPr="00BD16B4">
              <w:rPr>
                <w:rFonts w:cs="Calibri"/>
                <w:vertAlign w:val="subscript"/>
                <w:lang w:val="en-NZ"/>
              </w:rPr>
              <w:t>2</w:t>
            </w:r>
            <w:r w:rsidRPr="00BD16B4">
              <w:rPr>
                <w:rFonts w:cs="Calibri"/>
                <w:lang w:val="en-NZ"/>
              </w:rPr>
              <w:t>O</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67F5F066" w14:textId="77777777" w:rsidR="007C259A" w:rsidRPr="00BD16B4" w:rsidRDefault="007C259A" w:rsidP="00BE01FD">
            <w:pPr>
              <w:pStyle w:val="TableText"/>
              <w:spacing w:before="30" w:after="40"/>
              <w:rPr>
                <w:rFonts w:cs="Calibri"/>
                <w:lang w:val="en-NZ"/>
              </w:rPr>
            </w:pPr>
            <w:r w:rsidRPr="00BD16B4">
              <w:rPr>
                <w:rFonts w:cs="Calibri"/>
                <w:lang w:val="en-NZ"/>
              </w:rPr>
              <w:t>Bottom-up estimates based on economic data, agricultural data and inventory models</w:t>
            </w:r>
          </w:p>
        </w:tc>
        <w:tc>
          <w:tcPr>
            <w:tcW w:w="1531"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611472F6" w14:textId="77777777" w:rsidR="007C259A" w:rsidRPr="00BD16B4" w:rsidRDefault="007C259A" w:rsidP="00BE01FD">
            <w:pPr>
              <w:pStyle w:val="TableText"/>
              <w:spacing w:before="30" w:after="40"/>
              <w:rPr>
                <w:rFonts w:cs="Calibri"/>
                <w:lang w:val="en-NZ"/>
              </w:rPr>
            </w:pPr>
            <w:r w:rsidRPr="00BD16B4">
              <w:rPr>
                <w:rFonts w:cs="Calibri"/>
                <w:lang w:val="en-NZ"/>
              </w:rPr>
              <w:t>Projection of agricultural production</w:t>
            </w:r>
          </w:p>
        </w:tc>
        <w:tc>
          <w:tcPr>
            <w:tcW w:w="1758"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688B3582" w14:textId="77777777" w:rsidR="007C259A" w:rsidRPr="00BD16B4" w:rsidRDefault="007C259A" w:rsidP="00BE01FD">
            <w:pPr>
              <w:pStyle w:val="TableText"/>
              <w:spacing w:before="30" w:after="40"/>
              <w:rPr>
                <w:rFonts w:cs="Calibri"/>
                <w:lang w:val="en-NZ"/>
              </w:rPr>
            </w:pPr>
            <w:r w:rsidRPr="00BD16B4">
              <w:rPr>
                <w:rFonts w:cs="Calibri"/>
                <w:lang w:val="en-NZ"/>
              </w:rPr>
              <w:t>Use of economic modelling and expert opinion to generate activity data inputs</w:t>
            </w:r>
          </w:p>
          <w:p w14:paraId="3F90BCE1" w14:textId="77777777" w:rsidR="007C259A" w:rsidRPr="00BD16B4" w:rsidRDefault="007C259A" w:rsidP="00BE01FD">
            <w:pPr>
              <w:pStyle w:val="TableText"/>
              <w:spacing w:before="30" w:after="40"/>
              <w:rPr>
                <w:rFonts w:cs="Calibri"/>
                <w:lang w:val="en-NZ"/>
              </w:rPr>
            </w:pPr>
            <w:r w:rsidRPr="00BD16B4">
              <w:rPr>
                <w:rFonts w:cs="Calibri"/>
                <w:lang w:val="en-NZ"/>
              </w:rPr>
              <w:t>Difficulty in modelling the expected effect of carbon prices</w:t>
            </w:r>
          </w:p>
        </w:tc>
        <w:tc>
          <w:tcPr>
            <w:tcW w:w="1531" w:type="dxa"/>
            <w:tcBorders>
              <w:top w:val="single" w:sz="4" w:space="0" w:color="1B556B" w:themeColor="text2"/>
              <w:left w:val="single" w:sz="4" w:space="0" w:color="1B556B" w:themeColor="text2"/>
              <w:bottom w:val="single" w:sz="4" w:space="0" w:color="1B556B" w:themeColor="text2"/>
            </w:tcBorders>
          </w:tcPr>
          <w:p w14:paraId="2EAAD8DC" w14:textId="77777777" w:rsidR="007C259A" w:rsidRPr="00BD16B4" w:rsidRDefault="007C259A" w:rsidP="00BE01FD">
            <w:pPr>
              <w:pStyle w:val="TableText"/>
              <w:spacing w:before="30" w:after="40"/>
              <w:rPr>
                <w:rFonts w:cs="Calibri"/>
                <w:lang w:val="en-NZ"/>
              </w:rPr>
            </w:pPr>
            <w:r w:rsidRPr="00BD16B4">
              <w:rPr>
                <w:rFonts w:cs="Calibri"/>
                <w:lang w:val="en-NZ"/>
              </w:rPr>
              <w:t>Accounts for interactions between the effects of different policies and measures</w:t>
            </w:r>
          </w:p>
        </w:tc>
      </w:tr>
      <w:tr w:rsidR="007C259A" w:rsidRPr="00BD16B4" w14:paraId="7F719774" w14:textId="77777777" w:rsidTr="00921C95">
        <w:tc>
          <w:tcPr>
            <w:tcW w:w="1361" w:type="dxa"/>
            <w:tcBorders>
              <w:top w:val="single" w:sz="4" w:space="0" w:color="1B556B" w:themeColor="text2"/>
              <w:bottom w:val="single" w:sz="4" w:space="0" w:color="1B556B" w:themeColor="text2"/>
              <w:right w:val="single" w:sz="4" w:space="0" w:color="1B556B" w:themeColor="text2"/>
            </w:tcBorders>
          </w:tcPr>
          <w:p w14:paraId="31AABAF7" w14:textId="77777777" w:rsidR="007C259A" w:rsidRPr="00BD16B4" w:rsidRDefault="007C259A" w:rsidP="00BE01FD">
            <w:pPr>
              <w:pStyle w:val="TableText"/>
              <w:spacing w:before="30" w:after="40"/>
              <w:rPr>
                <w:rFonts w:cs="Calibri"/>
                <w:lang w:val="en-NZ"/>
              </w:rPr>
            </w:pPr>
            <w:r w:rsidRPr="00BD16B4">
              <w:rPr>
                <w:rFonts w:cs="Calibri"/>
                <w:lang w:val="en-NZ"/>
              </w:rPr>
              <w:t>Land use, land-use change and forestry (LULUCF)</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7DD372DD" w14:textId="77777777" w:rsidR="007C259A" w:rsidRPr="00BD16B4" w:rsidRDefault="007C259A" w:rsidP="00BE01FD">
            <w:pPr>
              <w:pStyle w:val="TableText"/>
              <w:spacing w:before="30" w:after="40"/>
              <w:rPr>
                <w:rFonts w:cs="Calibri"/>
                <w:lang w:val="en-NZ"/>
              </w:rPr>
            </w:pPr>
            <w:r w:rsidRPr="00BD16B4">
              <w:rPr>
                <w:rFonts w:cs="Calibri"/>
                <w:lang w:val="en-NZ"/>
              </w:rPr>
              <w:t>CO</w:t>
            </w:r>
            <w:r w:rsidRPr="00BD16B4">
              <w:rPr>
                <w:rFonts w:cs="Calibri"/>
                <w:vertAlign w:val="subscript"/>
                <w:lang w:val="en-NZ"/>
              </w:rPr>
              <w:t>2</w:t>
            </w:r>
            <w:r w:rsidRPr="00BD16B4">
              <w:rPr>
                <w:rFonts w:cs="Calibri"/>
                <w:lang w:val="en-NZ"/>
              </w:rPr>
              <w:t>, CH</w:t>
            </w:r>
            <w:r w:rsidRPr="00BD16B4">
              <w:rPr>
                <w:rFonts w:cs="Calibri"/>
                <w:vertAlign w:val="subscript"/>
                <w:lang w:val="en-NZ"/>
              </w:rPr>
              <w:t>4</w:t>
            </w:r>
            <w:r w:rsidRPr="00BD16B4">
              <w:rPr>
                <w:rFonts w:cs="Calibri"/>
                <w:lang w:val="en-NZ"/>
              </w:rPr>
              <w:t>, N</w:t>
            </w:r>
            <w:r w:rsidRPr="00BD16B4">
              <w:rPr>
                <w:rFonts w:cs="Calibri"/>
                <w:vertAlign w:val="subscript"/>
                <w:lang w:val="en-NZ"/>
              </w:rPr>
              <w:t>2</w:t>
            </w:r>
            <w:r w:rsidRPr="00BD16B4">
              <w:rPr>
                <w:rFonts w:cs="Calibri"/>
                <w:lang w:val="en-NZ"/>
              </w:rPr>
              <w:t>O</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33EA8006" w14:textId="77777777" w:rsidR="007C259A" w:rsidRPr="00BD16B4" w:rsidRDefault="007C259A" w:rsidP="00BE01FD">
            <w:pPr>
              <w:pStyle w:val="TableText"/>
              <w:spacing w:before="30" w:after="40"/>
              <w:rPr>
                <w:rFonts w:cs="Calibri"/>
                <w:lang w:val="en-NZ"/>
              </w:rPr>
            </w:pPr>
            <w:r w:rsidRPr="00BD16B4">
              <w:rPr>
                <w:rFonts w:cs="Calibri"/>
                <w:lang w:val="en-NZ"/>
              </w:rPr>
              <w:t>Bottom-up modelling approach, based on historical and projected activity data to determine the impact of policies and measures</w:t>
            </w:r>
          </w:p>
        </w:tc>
        <w:tc>
          <w:tcPr>
            <w:tcW w:w="1531"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463E23D8" w14:textId="77777777" w:rsidR="007C259A" w:rsidRPr="00BD16B4" w:rsidRDefault="007C259A" w:rsidP="00BE01FD">
            <w:pPr>
              <w:pStyle w:val="TableText"/>
              <w:spacing w:before="30" w:after="40"/>
              <w:rPr>
                <w:rFonts w:cs="Calibri"/>
                <w:lang w:val="en-NZ"/>
              </w:rPr>
            </w:pPr>
            <w:r w:rsidRPr="00BD16B4">
              <w:rPr>
                <w:rFonts w:cs="Calibri"/>
                <w:lang w:val="en-NZ"/>
              </w:rPr>
              <w:t>Projection of LULUCF greenhouse gas emissions and removals</w:t>
            </w:r>
          </w:p>
        </w:tc>
        <w:tc>
          <w:tcPr>
            <w:tcW w:w="1758"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58F2021D" w14:textId="77777777" w:rsidR="007C259A" w:rsidRPr="00BD16B4" w:rsidRDefault="007C259A" w:rsidP="00BE01FD">
            <w:pPr>
              <w:pStyle w:val="TableText"/>
              <w:spacing w:before="30" w:after="40"/>
              <w:rPr>
                <w:rFonts w:cs="Calibri"/>
                <w:lang w:val="en-NZ"/>
              </w:rPr>
            </w:pPr>
            <w:r w:rsidRPr="00BD16B4">
              <w:rPr>
                <w:rFonts w:cs="Calibri"/>
                <w:lang w:val="en-NZ"/>
              </w:rPr>
              <w:t xml:space="preserve">Model allows for scenario building. Activity data and emission factors either based on either </w:t>
            </w:r>
            <w:r w:rsidRPr="00BD16B4">
              <w:rPr>
                <w:rFonts w:cs="Calibri"/>
                <w:i/>
                <w:iCs/>
                <w:lang w:val="en-NZ"/>
              </w:rPr>
              <w:t xml:space="preserve">New Zealand’s Greenhouse Gas </w:t>
            </w:r>
            <w:r w:rsidRPr="00BD16B4">
              <w:rPr>
                <w:rFonts w:cs="Calibri"/>
                <w:i/>
                <w:iCs/>
                <w:szCs w:val="18"/>
                <w:lang w:val="en-NZ"/>
              </w:rPr>
              <w:t>Inventory 1990–2020</w:t>
            </w:r>
            <w:r w:rsidRPr="00BD16B4">
              <w:rPr>
                <w:rFonts w:cs="Calibri"/>
                <w:szCs w:val="18"/>
                <w:lang w:val="en-NZ"/>
              </w:rPr>
              <w:t xml:space="preserve"> or expert external research</w:t>
            </w:r>
            <w:r w:rsidRPr="00BD16B4">
              <w:rPr>
                <w:rFonts w:cs="Calibri"/>
                <w:lang w:val="en-NZ"/>
              </w:rPr>
              <w:t xml:space="preserve"> and analysis </w:t>
            </w:r>
          </w:p>
        </w:tc>
        <w:tc>
          <w:tcPr>
            <w:tcW w:w="1531" w:type="dxa"/>
            <w:tcBorders>
              <w:top w:val="single" w:sz="4" w:space="0" w:color="1B556B" w:themeColor="text2"/>
              <w:left w:val="single" w:sz="4" w:space="0" w:color="1B556B" w:themeColor="text2"/>
              <w:bottom w:val="single" w:sz="4" w:space="0" w:color="1B556B" w:themeColor="text2"/>
            </w:tcBorders>
          </w:tcPr>
          <w:p w14:paraId="5747FAE9" w14:textId="77777777" w:rsidR="007C259A" w:rsidRPr="00BD16B4" w:rsidRDefault="007C259A" w:rsidP="00BE01FD">
            <w:pPr>
              <w:pStyle w:val="TableText"/>
              <w:spacing w:before="30" w:after="40"/>
              <w:rPr>
                <w:rFonts w:cs="Calibri"/>
                <w:lang w:val="en-NZ"/>
              </w:rPr>
            </w:pPr>
            <w:r w:rsidRPr="00BD16B4">
              <w:rPr>
                <w:rFonts w:cs="Calibri"/>
                <w:lang w:val="en-NZ"/>
              </w:rPr>
              <w:t>Accounts for interactions between the effects of different policies and measures</w:t>
            </w:r>
          </w:p>
        </w:tc>
      </w:tr>
      <w:tr w:rsidR="007C259A" w:rsidRPr="00BD16B4" w14:paraId="0DE3D47D" w14:textId="77777777" w:rsidTr="00921C95">
        <w:tc>
          <w:tcPr>
            <w:tcW w:w="1361" w:type="dxa"/>
            <w:tcBorders>
              <w:top w:val="single" w:sz="4" w:space="0" w:color="1B556B" w:themeColor="text2"/>
              <w:bottom w:val="single" w:sz="4" w:space="0" w:color="1B556B" w:themeColor="text2"/>
            </w:tcBorders>
          </w:tcPr>
          <w:p w14:paraId="43CC430A" w14:textId="77777777" w:rsidR="007C259A" w:rsidRPr="00BD16B4" w:rsidRDefault="007C259A" w:rsidP="00BE01FD">
            <w:pPr>
              <w:pStyle w:val="TableTextBold0"/>
              <w:spacing w:before="30" w:after="40"/>
              <w:rPr>
                <w:b w:val="0"/>
                <w:bCs/>
                <w:lang w:val="en-NZ"/>
              </w:rPr>
            </w:pPr>
            <w:r w:rsidRPr="00BD16B4">
              <w:rPr>
                <w:b w:val="0"/>
                <w:bCs/>
                <w:lang w:val="en-NZ"/>
              </w:rPr>
              <w:t>Waste</w:t>
            </w:r>
          </w:p>
        </w:tc>
        <w:tc>
          <w:tcPr>
            <w:tcW w:w="964" w:type="dxa"/>
            <w:tcBorders>
              <w:top w:val="single" w:sz="4" w:space="0" w:color="1B556B" w:themeColor="text2"/>
              <w:bottom w:val="single" w:sz="4" w:space="0" w:color="1B556B" w:themeColor="text2"/>
            </w:tcBorders>
          </w:tcPr>
          <w:p w14:paraId="0E34A0E4" w14:textId="77777777" w:rsidR="007C259A" w:rsidRPr="00BD16B4" w:rsidRDefault="007C259A" w:rsidP="00BE01FD">
            <w:pPr>
              <w:pStyle w:val="TableText"/>
              <w:keepNext/>
              <w:spacing w:before="30" w:after="40"/>
              <w:rPr>
                <w:rFonts w:cs="Calibri"/>
                <w:lang w:val="en-NZ"/>
              </w:rPr>
            </w:pPr>
            <w:r w:rsidRPr="00BD16B4">
              <w:rPr>
                <w:rFonts w:cs="Calibri"/>
                <w:lang w:val="en-NZ"/>
              </w:rPr>
              <w:t>CO</w:t>
            </w:r>
            <w:r w:rsidRPr="00BD16B4">
              <w:rPr>
                <w:rFonts w:cs="Calibri"/>
                <w:vertAlign w:val="subscript"/>
                <w:lang w:val="en-NZ"/>
              </w:rPr>
              <w:t>2</w:t>
            </w:r>
            <w:r w:rsidRPr="00BD16B4">
              <w:rPr>
                <w:rFonts w:cs="Calibri"/>
                <w:lang w:val="en-NZ"/>
              </w:rPr>
              <w:t>, CH</w:t>
            </w:r>
            <w:r w:rsidRPr="00BD16B4">
              <w:rPr>
                <w:rFonts w:cs="Calibri"/>
                <w:vertAlign w:val="subscript"/>
                <w:lang w:val="en-NZ"/>
              </w:rPr>
              <w:t>4</w:t>
            </w:r>
            <w:r w:rsidRPr="00BD16B4">
              <w:rPr>
                <w:rFonts w:cs="Calibri"/>
                <w:lang w:val="en-NZ"/>
              </w:rPr>
              <w:t>, N</w:t>
            </w:r>
            <w:r w:rsidRPr="00BD16B4">
              <w:rPr>
                <w:rFonts w:cs="Calibri"/>
                <w:vertAlign w:val="subscript"/>
                <w:lang w:val="en-NZ"/>
              </w:rPr>
              <w:t>2</w:t>
            </w:r>
            <w:r w:rsidRPr="00BD16B4">
              <w:rPr>
                <w:rFonts w:cs="Calibri"/>
                <w:lang w:val="en-NZ"/>
              </w:rPr>
              <w:t>O</w:t>
            </w:r>
          </w:p>
        </w:tc>
        <w:tc>
          <w:tcPr>
            <w:tcW w:w="1701" w:type="dxa"/>
            <w:tcBorders>
              <w:top w:val="single" w:sz="4" w:space="0" w:color="1B556B" w:themeColor="text2"/>
              <w:bottom w:val="single" w:sz="4" w:space="0" w:color="1B556B" w:themeColor="text2"/>
            </w:tcBorders>
          </w:tcPr>
          <w:p w14:paraId="140CFE88" w14:textId="77777777" w:rsidR="007C259A" w:rsidRPr="00BD16B4" w:rsidRDefault="007C259A" w:rsidP="00BE01FD">
            <w:pPr>
              <w:pStyle w:val="TableText"/>
              <w:keepNext/>
              <w:spacing w:before="30" w:after="40"/>
              <w:rPr>
                <w:rFonts w:cs="Calibri"/>
                <w:lang w:val="en-NZ"/>
              </w:rPr>
            </w:pPr>
            <w:r w:rsidRPr="00BD16B4">
              <w:rPr>
                <w:rFonts w:cs="Calibri"/>
                <w:lang w:val="en-NZ"/>
              </w:rPr>
              <w:t>Bottom-up estimates using inventory models in line with 2006 IPCC guidelines for national greenhouse gas inventories</w:t>
            </w:r>
          </w:p>
        </w:tc>
        <w:tc>
          <w:tcPr>
            <w:tcW w:w="1531" w:type="dxa"/>
            <w:tcBorders>
              <w:top w:val="single" w:sz="4" w:space="0" w:color="1B556B" w:themeColor="text2"/>
              <w:bottom w:val="single" w:sz="4" w:space="0" w:color="1B556B" w:themeColor="text2"/>
            </w:tcBorders>
          </w:tcPr>
          <w:p w14:paraId="518D679E" w14:textId="77777777" w:rsidR="007C259A" w:rsidRPr="00BD16B4" w:rsidRDefault="007C259A" w:rsidP="00BE01FD">
            <w:pPr>
              <w:pStyle w:val="TableText"/>
              <w:keepNext/>
              <w:spacing w:before="30" w:after="40"/>
              <w:rPr>
                <w:rFonts w:cs="Calibri"/>
                <w:lang w:val="en-NZ"/>
              </w:rPr>
            </w:pPr>
            <w:r w:rsidRPr="00BD16B4">
              <w:rPr>
                <w:rFonts w:cs="Calibri"/>
                <w:lang w:val="en-NZ"/>
              </w:rPr>
              <w:t>Greenhouse gas inventory</w:t>
            </w:r>
          </w:p>
        </w:tc>
        <w:tc>
          <w:tcPr>
            <w:tcW w:w="1758" w:type="dxa"/>
            <w:tcBorders>
              <w:top w:val="single" w:sz="4" w:space="0" w:color="1B556B" w:themeColor="text2"/>
              <w:bottom w:val="single" w:sz="4" w:space="0" w:color="1B556B" w:themeColor="text2"/>
            </w:tcBorders>
          </w:tcPr>
          <w:p w14:paraId="38CD0BCA" w14:textId="77777777" w:rsidR="007C259A" w:rsidRPr="00BD16B4" w:rsidRDefault="007C259A" w:rsidP="00BE01FD">
            <w:pPr>
              <w:pStyle w:val="TableText"/>
              <w:keepNext/>
              <w:spacing w:before="30" w:after="40"/>
              <w:rPr>
                <w:rFonts w:cs="Calibri"/>
                <w:lang w:val="en-NZ"/>
              </w:rPr>
            </w:pPr>
            <w:r w:rsidRPr="00BD16B4">
              <w:rPr>
                <w:rFonts w:cs="Calibri"/>
                <w:lang w:val="en-NZ"/>
              </w:rPr>
              <w:t>Calculations are consistent with the inventory at category level, requiring a full set of projections of activity data and emission factors</w:t>
            </w:r>
          </w:p>
        </w:tc>
        <w:tc>
          <w:tcPr>
            <w:tcW w:w="1531" w:type="dxa"/>
            <w:tcBorders>
              <w:top w:val="single" w:sz="4" w:space="0" w:color="1B556B" w:themeColor="text2"/>
              <w:bottom w:val="single" w:sz="4" w:space="0" w:color="1B556B" w:themeColor="text2"/>
            </w:tcBorders>
          </w:tcPr>
          <w:p w14:paraId="2D4A13BC" w14:textId="77777777" w:rsidR="007C259A" w:rsidRPr="00BD16B4" w:rsidRDefault="007C259A" w:rsidP="00BE01FD">
            <w:pPr>
              <w:pStyle w:val="TableText"/>
              <w:keepNext/>
              <w:spacing w:before="30" w:after="40"/>
              <w:rPr>
                <w:rFonts w:cs="Calibri"/>
                <w:lang w:val="en-NZ"/>
              </w:rPr>
            </w:pPr>
            <w:r w:rsidRPr="00BD16B4">
              <w:rPr>
                <w:rFonts w:cs="Calibri"/>
                <w:lang w:val="en-NZ"/>
              </w:rPr>
              <w:t>Policies and measures are assumed to target distinct sources of greenhouse gases</w:t>
            </w:r>
          </w:p>
        </w:tc>
      </w:tr>
      <w:tr w:rsidR="007C259A" w:rsidRPr="00BD16B4" w14:paraId="092B3294" w14:textId="77777777" w:rsidTr="00921C95">
        <w:tc>
          <w:tcPr>
            <w:tcW w:w="1361" w:type="dxa"/>
            <w:tcBorders>
              <w:top w:val="single" w:sz="4" w:space="0" w:color="1B556B" w:themeColor="text2"/>
              <w:bottom w:val="single" w:sz="4" w:space="0" w:color="1B556B" w:themeColor="text2"/>
              <w:right w:val="single" w:sz="4" w:space="0" w:color="1B556B" w:themeColor="text2"/>
            </w:tcBorders>
          </w:tcPr>
          <w:p w14:paraId="785B73EF" w14:textId="77777777" w:rsidR="007C259A" w:rsidRPr="00BD16B4" w:rsidRDefault="007C259A" w:rsidP="00BE01FD">
            <w:pPr>
              <w:pStyle w:val="TableText"/>
              <w:spacing w:before="30" w:after="40"/>
              <w:rPr>
                <w:rFonts w:cs="Calibri"/>
                <w:lang w:val="en-NZ"/>
              </w:rPr>
            </w:pPr>
            <w:r w:rsidRPr="00BD16B4">
              <w:rPr>
                <w:rFonts w:cs="Calibri"/>
                <w:lang w:val="en-NZ"/>
              </w:rPr>
              <w:t>Tokelau</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677B7E53" w14:textId="77777777" w:rsidR="007C259A" w:rsidRPr="00BD16B4" w:rsidRDefault="007C259A" w:rsidP="00BE01FD">
            <w:pPr>
              <w:pStyle w:val="TableText"/>
              <w:spacing w:before="30" w:after="40"/>
              <w:rPr>
                <w:rFonts w:cs="Calibri"/>
                <w:lang w:val="en-NZ"/>
              </w:rPr>
            </w:pPr>
            <w:r w:rsidRPr="00BD16B4">
              <w:rPr>
                <w:rFonts w:cs="Calibri"/>
                <w:lang w:val="en-NZ"/>
              </w:rPr>
              <w:t>CO</w:t>
            </w:r>
            <w:r w:rsidRPr="00BD16B4">
              <w:rPr>
                <w:rFonts w:cs="Calibri"/>
                <w:vertAlign w:val="subscript"/>
                <w:lang w:val="en-NZ"/>
              </w:rPr>
              <w:t>2</w:t>
            </w:r>
            <w:r w:rsidRPr="00BD16B4">
              <w:rPr>
                <w:rFonts w:cs="Calibri"/>
                <w:lang w:val="en-NZ"/>
              </w:rPr>
              <w:t>, CH</w:t>
            </w:r>
            <w:r w:rsidRPr="00BD16B4">
              <w:rPr>
                <w:rFonts w:cs="Calibri"/>
                <w:vertAlign w:val="subscript"/>
                <w:lang w:val="en-NZ"/>
              </w:rPr>
              <w:t>4</w:t>
            </w:r>
            <w:r w:rsidRPr="00BD16B4">
              <w:rPr>
                <w:rFonts w:cs="Calibri"/>
                <w:lang w:val="en-NZ"/>
              </w:rPr>
              <w:t>, N</w:t>
            </w:r>
            <w:r w:rsidRPr="00BD16B4">
              <w:rPr>
                <w:rFonts w:cs="Calibri"/>
                <w:vertAlign w:val="subscript"/>
                <w:lang w:val="en-NZ"/>
              </w:rPr>
              <w:t>2</w:t>
            </w:r>
            <w:r w:rsidRPr="00BD16B4">
              <w:rPr>
                <w:rFonts w:cs="Calibri"/>
                <w:lang w:val="en-NZ"/>
              </w:rPr>
              <w:t>O, HFCs</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07AA2294" w14:textId="77777777" w:rsidR="007C259A" w:rsidRPr="00BD16B4" w:rsidRDefault="007C259A" w:rsidP="00BE01FD">
            <w:pPr>
              <w:pStyle w:val="TableText"/>
              <w:spacing w:before="30" w:after="40"/>
              <w:rPr>
                <w:rFonts w:cs="Calibri"/>
                <w:lang w:val="en-NZ"/>
              </w:rPr>
            </w:pPr>
            <w:r w:rsidRPr="00BD16B4">
              <w:rPr>
                <w:rFonts w:cs="Calibri"/>
                <w:lang w:val="en-NZ"/>
              </w:rPr>
              <w:t>A hybrid top-down, bottom-up approach, based on historical emissions</w:t>
            </w:r>
          </w:p>
        </w:tc>
        <w:tc>
          <w:tcPr>
            <w:tcW w:w="1531"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24FD34E0" w14:textId="77777777" w:rsidR="007C259A" w:rsidRPr="00BD16B4" w:rsidRDefault="007C259A" w:rsidP="00BE01FD">
            <w:pPr>
              <w:pStyle w:val="TableText"/>
              <w:spacing w:before="30" w:after="40"/>
              <w:rPr>
                <w:rFonts w:cs="Calibri"/>
                <w:lang w:val="en-NZ"/>
              </w:rPr>
            </w:pPr>
            <w:r w:rsidRPr="00BD16B4">
              <w:rPr>
                <w:rFonts w:cs="Calibri"/>
                <w:lang w:val="en-NZ"/>
              </w:rPr>
              <w:t>Projection of Tokelau’s emissions</w:t>
            </w:r>
          </w:p>
        </w:tc>
        <w:tc>
          <w:tcPr>
            <w:tcW w:w="1758"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20E23631" w14:textId="77777777" w:rsidR="007C259A" w:rsidRPr="00BD16B4" w:rsidRDefault="007C259A" w:rsidP="00BE01FD">
            <w:pPr>
              <w:pStyle w:val="TableText"/>
              <w:spacing w:before="30" w:after="40"/>
              <w:rPr>
                <w:rFonts w:cs="Calibri"/>
                <w:lang w:val="en-NZ"/>
              </w:rPr>
            </w:pPr>
            <w:r w:rsidRPr="00BD16B4">
              <w:rPr>
                <w:rFonts w:cs="Calibri"/>
                <w:lang w:val="en-NZ"/>
              </w:rPr>
              <w:t>Based on historical trends and prepared at the level of single gases</w:t>
            </w:r>
          </w:p>
        </w:tc>
        <w:tc>
          <w:tcPr>
            <w:tcW w:w="1531" w:type="dxa"/>
            <w:tcBorders>
              <w:top w:val="single" w:sz="4" w:space="0" w:color="1B556B" w:themeColor="text2"/>
              <w:left w:val="single" w:sz="4" w:space="0" w:color="1B556B" w:themeColor="text2"/>
              <w:bottom w:val="single" w:sz="4" w:space="0" w:color="1B556B" w:themeColor="text2"/>
            </w:tcBorders>
          </w:tcPr>
          <w:p w14:paraId="2145ADD9" w14:textId="77777777" w:rsidR="007C259A" w:rsidRPr="00BD16B4" w:rsidRDefault="007C259A" w:rsidP="00BE01FD">
            <w:pPr>
              <w:pStyle w:val="TableText"/>
              <w:spacing w:before="30" w:after="40"/>
              <w:rPr>
                <w:rFonts w:cs="Calibri"/>
                <w:lang w:val="en-NZ"/>
              </w:rPr>
            </w:pPr>
            <w:r w:rsidRPr="00BD16B4">
              <w:rPr>
                <w:rFonts w:cs="Calibri"/>
                <w:lang w:val="en-NZ"/>
              </w:rPr>
              <w:t>Policies and measures adopted by New Zealand (including the NZ ETS) do not extend to Tokelau</w:t>
            </w:r>
          </w:p>
        </w:tc>
      </w:tr>
      <w:tr w:rsidR="007C259A" w:rsidRPr="00BD16B4" w14:paraId="627FE3BE" w14:textId="77777777" w:rsidTr="00921C95">
        <w:tc>
          <w:tcPr>
            <w:tcW w:w="1361" w:type="dxa"/>
            <w:tcBorders>
              <w:top w:val="single" w:sz="4" w:space="0" w:color="1B556B" w:themeColor="text2"/>
              <w:bottom w:val="single" w:sz="4" w:space="0" w:color="1B556B" w:themeColor="text2"/>
            </w:tcBorders>
          </w:tcPr>
          <w:p w14:paraId="59401BF3" w14:textId="77777777" w:rsidR="007C259A" w:rsidRPr="00BD16B4" w:rsidRDefault="007C259A" w:rsidP="00BE01FD">
            <w:pPr>
              <w:pStyle w:val="TableText"/>
              <w:spacing w:before="30" w:after="40"/>
              <w:rPr>
                <w:rFonts w:cs="Calibri"/>
                <w:lang w:val="en-NZ"/>
              </w:rPr>
            </w:pPr>
            <w:r w:rsidRPr="00BD16B4">
              <w:rPr>
                <w:rFonts w:cs="Calibri"/>
                <w:lang w:val="en-NZ"/>
              </w:rPr>
              <w:t>International transport</w:t>
            </w:r>
          </w:p>
        </w:tc>
        <w:tc>
          <w:tcPr>
            <w:tcW w:w="964" w:type="dxa"/>
            <w:tcBorders>
              <w:top w:val="single" w:sz="4" w:space="0" w:color="1B556B" w:themeColor="text2"/>
              <w:bottom w:val="single" w:sz="4" w:space="0" w:color="1B556B" w:themeColor="text2"/>
            </w:tcBorders>
          </w:tcPr>
          <w:p w14:paraId="0B7D1E5C" w14:textId="77777777" w:rsidR="007C259A" w:rsidRPr="00BD16B4" w:rsidRDefault="007C259A" w:rsidP="00BE01FD">
            <w:pPr>
              <w:pStyle w:val="TableText"/>
              <w:spacing w:before="30" w:after="40"/>
              <w:rPr>
                <w:rFonts w:cs="Calibri"/>
                <w:lang w:val="en-NZ"/>
              </w:rPr>
            </w:pPr>
            <w:r w:rsidRPr="00BD16B4">
              <w:rPr>
                <w:rFonts w:cs="Calibri"/>
                <w:lang w:val="en-NZ"/>
              </w:rPr>
              <w:t>CO</w:t>
            </w:r>
            <w:r w:rsidRPr="00BD16B4">
              <w:rPr>
                <w:rFonts w:cs="Calibri"/>
                <w:vertAlign w:val="subscript"/>
                <w:lang w:val="en-NZ"/>
              </w:rPr>
              <w:t>2</w:t>
            </w:r>
            <w:r w:rsidRPr="00BD16B4">
              <w:rPr>
                <w:rFonts w:cs="Calibri"/>
                <w:lang w:val="en-NZ"/>
              </w:rPr>
              <w:t>, CH</w:t>
            </w:r>
            <w:r w:rsidRPr="00BD16B4">
              <w:rPr>
                <w:rFonts w:cs="Calibri"/>
                <w:vertAlign w:val="subscript"/>
                <w:lang w:val="en-NZ"/>
              </w:rPr>
              <w:t>4</w:t>
            </w:r>
            <w:r w:rsidRPr="00BD16B4">
              <w:rPr>
                <w:rFonts w:cs="Calibri"/>
                <w:lang w:val="en-NZ"/>
              </w:rPr>
              <w:t>, N</w:t>
            </w:r>
            <w:r w:rsidRPr="00BD16B4">
              <w:rPr>
                <w:rFonts w:cs="Calibri"/>
                <w:vertAlign w:val="subscript"/>
                <w:lang w:val="en-NZ"/>
              </w:rPr>
              <w:t>2</w:t>
            </w:r>
            <w:r w:rsidRPr="00BD16B4">
              <w:rPr>
                <w:rFonts w:cs="Calibri"/>
                <w:lang w:val="en-NZ"/>
              </w:rPr>
              <w:t>O</w:t>
            </w:r>
          </w:p>
        </w:tc>
        <w:tc>
          <w:tcPr>
            <w:tcW w:w="1701" w:type="dxa"/>
            <w:tcBorders>
              <w:top w:val="single" w:sz="4" w:space="0" w:color="1B556B" w:themeColor="text2"/>
              <w:bottom w:val="single" w:sz="4" w:space="0" w:color="1B556B" w:themeColor="text2"/>
            </w:tcBorders>
          </w:tcPr>
          <w:p w14:paraId="5A02642C" w14:textId="77777777" w:rsidR="007C259A" w:rsidRPr="00BD16B4" w:rsidRDefault="007C259A" w:rsidP="00BE01FD">
            <w:pPr>
              <w:pStyle w:val="TableText"/>
              <w:spacing w:before="30" w:after="40"/>
              <w:rPr>
                <w:rFonts w:cs="Calibri"/>
                <w:lang w:val="en-NZ"/>
              </w:rPr>
            </w:pPr>
            <w:r w:rsidRPr="00BD16B4">
              <w:rPr>
                <w:rFonts w:cs="Calibri"/>
                <w:lang w:val="en-NZ"/>
              </w:rPr>
              <w:t>Top-down estimates, based on historical emissions</w:t>
            </w:r>
          </w:p>
        </w:tc>
        <w:tc>
          <w:tcPr>
            <w:tcW w:w="1531" w:type="dxa"/>
            <w:tcBorders>
              <w:top w:val="single" w:sz="4" w:space="0" w:color="1B556B" w:themeColor="text2"/>
              <w:bottom w:val="single" w:sz="4" w:space="0" w:color="1B556B" w:themeColor="text2"/>
            </w:tcBorders>
          </w:tcPr>
          <w:p w14:paraId="28C9C108" w14:textId="77777777" w:rsidR="007C259A" w:rsidRPr="00BD16B4" w:rsidRDefault="007C259A" w:rsidP="00BE01FD">
            <w:pPr>
              <w:pStyle w:val="TableText"/>
              <w:spacing w:before="30" w:after="40"/>
              <w:rPr>
                <w:rFonts w:cs="Calibri"/>
                <w:lang w:val="en-NZ"/>
              </w:rPr>
            </w:pPr>
            <w:r w:rsidRPr="00BD16B4">
              <w:rPr>
                <w:rFonts w:cs="Calibri"/>
                <w:lang w:val="en-NZ"/>
              </w:rPr>
              <w:t>Projection of international transport greenhouse gases</w:t>
            </w:r>
          </w:p>
        </w:tc>
        <w:tc>
          <w:tcPr>
            <w:tcW w:w="1758" w:type="dxa"/>
            <w:tcBorders>
              <w:top w:val="single" w:sz="4" w:space="0" w:color="1B556B" w:themeColor="text2"/>
              <w:bottom w:val="single" w:sz="4" w:space="0" w:color="1B556B" w:themeColor="text2"/>
            </w:tcBorders>
          </w:tcPr>
          <w:p w14:paraId="5EFF0999" w14:textId="77777777" w:rsidR="007C259A" w:rsidRPr="00BD16B4" w:rsidRDefault="007C259A" w:rsidP="00BE01FD">
            <w:pPr>
              <w:pStyle w:val="TableText"/>
              <w:spacing w:before="30" w:after="40"/>
              <w:rPr>
                <w:rFonts w:cs="Calibri"/>
                <w:lang w:val="en-NZ"/>
              </w:rPr>
            </w:pPr>
            <w:r w:rsidRPr="00BD16B4">
              <w:rPr>
                <w:rFonts w:cs="Calibri"/>
                <w:lang w:val="en-NZ"/>
              </w:rPr>
              <w:t>Based on historical trends and prepared at the level of single gases</w:t>
            </w:r>
          </w:p>
        </w:tc>
        <w:tc>
          <w:tcPr>
            <w:tcW w:w="1531" w:type="dxa"/>
            <w:tcBorders>
              <w:top w:val="single" w:sz="4" w:space="0" w:color="1B556B" w:themeColor="text2"/>
              <w:bottom w:val="single" w:sz="4" w:space="0" w:color="1B556B" w:themeColor="text2"/>
            </w:tcBorders>
          </w:tcPr>
          <w:p w14:paraId="79202D89" w14:textId="77777777" w:rsidR="007C259A" w:rsidRPr="00BD16B4" w:rsidRDefault="007C259A" w:rsidP="00BE01FD">
            <w:pPr>
              <w:pStyle w:val="TableText"/>
              <w:spacing w:before="30" w:after="40"/>
              <w:rPr>
                <w:rFonts w:cs="Calibri"/>
                <w:lang w:val="en-NZ"/>
              </w:rPr>
            </w:pPr>
            <w:r w:rsidRPr="00BD16B4">
              <w:rPr>
                <w:rFonts w:cs="Calibri"/>
                <w:lang w:val="en-NZ"/>
              </w:rPr>
              <w:t>NA</w:t>
            </w:r>
          </w:p>
        </w:tc>
      </w:tr>
    </w:tbl>
    <w:p w14:paraId="5F50DD58" w14:textId="77777777" w:rsidR="007C259A" w:rsidRPr="00BD16B4" w:rsidRDefault="007C259A" w:rsidP="00120409">
      <w:pPr>
        <w:pStyle w:val="Note"/>
      </w:pPr>
      <w:r w:rsidRPr="00BD16B4">
        <w:rPr>
          <w:b/>
          <w:bCs/>
        </w:rPr>
        <w:t>Note:</w:t>
      </w:r>
      <w:r w:rsidRPr="00BD16B4">
        <w:t xml:space="preserve"> CH</w:t>
      </w:r>
      <w:r w:rsidRPr="00BD16B4">
        <w:rPr>
          <w:vertAlign w:val="subscript"/>
        </w:rPr>
        <w:t>4</w:t>
      </w:r>
      <w:r w:rsidRPr="00BD16B4">
        <w:t xml:space="preserve"> = methane; CO</w:t>
      </w:r>
      <w:r w:rsidRPr="00BD16B4">
        <w:rPr>
          <w:vertAlign w:val="subscript"/>
        </w:rPr>
        <w:t>2</w:t>
      </w:r>
      <w:r w:rsidRPr="00BD16B4">
        <w:t xml:space="preserve"> = carbon dioxide; F-gases = fluorinated gases; HFCs = hydrofluorocarbons; IPCC = Intergovernmental Panel on Climate Change; N</w:t>
      </w:r>
      <w:r w:rsidRPr="00BD16B4">
        <w:rPr>
          <w:vertAlign w:val="subscript"/>
        </w:rPr>
        <w:t>2</w:t>
      </w:r>
      <w:r w:rsidRPr="00BD16B4">
        <w:t>O = nitrous oxide; NA = not applicable; NZ ETS = New Zealand Emissions Trading Scheme; PFCs = perfluorocarbons; SF</w:t>
      </w:r>
      <w:r w:rsidRPr="00BD16B4">
        <w:rPr>
          <w:vertAlign w:val="subscript"/>
        </w:rPr>
        <w:t>6</w:t>
      </w:r>
      <w:r w:rsidRPr="00BD16B4">
        <w:t xml:space="preserve"> = sulphur hexafluoride.</w:t>
      </w:r>
    </w:p>
    <w:p w14:paraId="3C485355" w14:textId="77777777" w:rsidR="007C259A" w:rsidRPr="00BD16B4" w:rsidRDefault="007C259A" w:rsidP="007C259A">
      <w:pPr>
        <w:pStyle w:val="Heading3"/>
      </w:pPr>
      <w:r w:rsidRPr="00BD16B4">
        <w:lastRenderedPageBreak/>
        <w:t>5.5.1</w:t>
      </w:r>
      <w:r w:rsidRPr="00BD16B4">
        <w:tab/>
        <w:t>Energy</w:t>
      </w:r>
    </w:p>
    <w:p w14:paraId="3DB1BFF7" w14:textId="77777777" w:rsidR="007C259A" w:rsidRPr="00BD16B4" w:rsidRDefault="007C259A" w:rsidP="007C259A">
      <w:pPr>
        <w:pStyle w:val="BodyText"/>
        <w:spacing w:after="100"/>
      </w:pPr>
      <w:r w:rsidRPr="00BD16B4">
        <w:t>Emissions from the energy sector are anticipated to slowly decline over the medium term. Emissions are projected to decrease from 18.3 Mt CO</w:t>
      </w:r>
      <w:r w:rsidRPr="00BD16B4">
        <w:rPr>
          <w:vertAlign w:val="subscript"/>
        </w:rPr>
        <w:t>2</w:t>
      </w:r>
      <w:r w:rsidRPr="00BD16B4">
        <w:t>-e in 2020 to 11.0 Mt CO</w:t>
      </w:r>
      <w:r w:rsidRPr="00BD16B4">
        <w:rPr>
          <w:vertAlign w:val="subscript"/>
        </w:rPr>
        <w:t>2</w:t>
      </w:r>
      <w:r w:rsidRPr="00BD16B4">
        <w:t xml:space="preserve">-e in 2035 (table 5.14). </w:t>
      </w:r>
    </w:p>
    <w:p w14:paraId="671E49A2" w14:textId="77777777" w:rsidR="007C259A" w:rsidRPr="00BD16B4" w:rsidRDefault="007C259A" w:rsidP="007C259A">
      <w:pPr>
        <w:pStyle w:val="BodyText"/>
        <w:spacing w:after="100"/>
      </w:pPr>
      <w:r w:rsidRPr="00BD16B4">
        <w:t xml:space="preserve">In the longer term, the main driver for greenhouse gas emissions from stationary energy is economic activity. Total energy demand is expected to continue to grow throughout the modelled period, but at the same time the emission intensity of energy (emissions per unit of energy delivered) is expected to decline. </w:t>
      </w:r>
    </w:p>
    <w:p w14:paraId="0FFBC311" w14:textId="77777777" w:rsidR="007C259A" w:rsidRPr="00BD16B4" w:rsidRDefault="007C259A" w:rsidP="007C259A">
      <w:pPr>
        <w:pStyle w:val="BodyText"/>
        <w:spacing w:after="100"/>
      </w:pPr>
      <w:r w:rsidRPr="00BD16B4">
        <w:t xml:space="preserve">Thermal baseload electricity generation is expected to be replaced mainly by a combination of wind, geothermal and gas-fired peaking plants, resulting in lower emissions. The following decommissioning schedule is currently anticipated: </w:t>
      </w:r>
    </w:p>
    <w:p w14:paraId="48771647" w14:textId="77777777" w:rsidR="007C259A" w:rsidRPr="00BD16B4" w:rsidRDefault="007C259A" w:rsidP="0011037B">
      <w:pPr>
        <w:pStyle w:val="Bullet"/>
        <w:spacing w:after="100"/>
      </w:pPr>
      <w:r w:rsidRPr="00BD16B4">
        <w:t>Stratford Combined Cycle Gas Turbine (380 megawatts) in 2023</w:t>
      </w:r>
    </w:p>
    <w:p w14:paraId="1B9E76FD" w14:textId="77777777" w:rsidR="007C259A" w:rsidRPr="00BD16B4" w:rsidRDefault="007C259A" w:rsidP="0011037B">
      <w:pPr>
        <w:pStyle w:val="Bullet"/>
        <w:tabs>
          <w:tab w:val="num" w:pos="397"/>
        </w:tabs>
        <w:spacing w:after="100" w:line="280" w:lineRule="exact"/>
      </w:pPr>
      <w:r w:rsidRPr="00BD16B4">
        <w:t xml:space="preserve">Whirinaki Diesel Peaker (155 megawatts) in 2024 </w:t>
      </w:r>
    </w:p>
    <w:p w14:paraId="29478F8B" w14:textId="77777777" w:rsidR="007C259A" w:rsidRPr="00BD16B4" w:rsidRDefault="007C259A" w:rsidP="0011037B">
      <w:pPr>
        <w:pStyle w:val="Bullet"/>
        <w:tabs>
          <w:tab w:val="num" w:pos="397"/>
        </w:tabs>
        <w:spacing w:after="100" w:line="280" w:lineRule="exact"/>
      </w:pPr>
      <w:r w:rsidRPr="00BD16B4">
        <w:t>Huntly Coal Power station (400 megawatts) in 2030/31.</w:t>
      </w:r>
    </w:p>
    <w:p w14:paraId="395A93D9" w14:textId="77777777" w:rsidR="007C259A" w:rsidRPr="00BD16B4" w:rsidRDefault="007C259A" w:rsidP="007C259A">
      <w:pPr>
        <w:pStyle w:val="BodyText"/>
        <w:spacing w:after="100"/>
      </w:pPr>
      <w:r w:rsidRPr="00BD16B4">
        <w:t>Manufacturing and construction is projected to remain the largest contributor to energy sector emissions, with smaller amounts coming from the primary, commercial and residential subsectors.</w:t>
      </w:r>
    </w:p>
    <w:p w14:paraId="62E6C931" w14:textId="77777777" w:rsidR="007C259A" w:rsidRPr="00BD16B4" w:rsidRDefault="007C259A" w:rsidP="00BB7302">
      <w:pPr>
        <w:pStyle w:val="Tableheading"/>
      </w:pPr>
      <w:bookmarkStart w:id="293" w:name="_Toc121773804"/>
      <w:r w:rsidRPr="00BD16B4">
        <w:t xml:space="preserve">Table 5.14: </w:t>
      </w:r>
      <w:r w:rsidRPr="00BD16B4">
        <w:tab/>
        <w:t>Historical and projected energy sector emissions by gas and subsector under the ‘with existing measures’ scenario, 1990–2035 (Mt CO</w:t>
      </w:r>
      <w:r w:rsidRPr="00BD16B4">
        <w:rPr>
          <w:vertAlign w:val="subscript"/>
        </w:rPr>
        <w:t>2</w:t>
      </w:r>
      <w:r w:rsidRPr="00BD16B4">
        <w:t>-e)</w:t>
      </w:r>
      <w:bookmarkEnd w:id="293"/>
    </w:p>
    <w:tbl>
      <w:tblPr>
        <w:tblW w:w="8505" w:type="dxa"/>
        <w:tblInd w:w="113"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1421"/>
        <w:gridCol w:w="666"/>
        <w:gridCol w:w="666"/>
        <w:gridCol w:w="665"/>
        <w:gridCol w:w="665"/>
        <w:gridCol w:w="738"/>
        <w:gridCol w:w="709"/>
        <w:gridCol w:w="709"/>
        <w:gridCol w:w="709"/>
        <w:gridCol w:w="851"/>
        <w:gridCol w:w="706"/>
      </w:tblGrid>
      <w:tr w:rsidR="00D42389" w:rsidRPr="00BD16B4" w14:paraId="1B4B6E8A" w14:textId="77777777" w:rsidTr="00311E27">
        <w:tc>
          <w:tcPr>
            <w:tcW w:w="835" w:type="pct"/>
            <w:tcBorders>
              <w:bottom w:val="nil"/>
              <w:right w:val="nil"/>
            </w:tcBorders>
            <w:shd w:val="clear" w:color="auto" w:fill="1B556B" w:themeFill="text2"/>
          </w:tcPr>
          <w:p w14:paraId="4AC14314" w14:textId="77777777" w:rsidR="007C259A" w:rsidRPr="00BD16B4" w:rsidRDefault="007C259A" w:rsidP="00F31129">
            <w:pPr>
              <w:pStyle w:val="TableTextBold0"/>
              <w:spacing w:before="50" w:after="0"/>
              <w:rPr>
                <w:b w:val="0"/>
                <w:color w:val="FFFFFF" w:themeColor="background1"/>
                <w:szCs w:val="18"/>
              </w:rPr>
            </w:pPr>
          </w:p>
        </w:tc>
        <w:tc>
          <w:tcPr>
            <w:tcW w:w="2832" w:type="pct"/>
            <w:gridSpan w:val="7"/>
            <w:tcBorders>
              <w:left w:val="nil"/>
              <w:bottom w:val="nil"/>
              <w:right w:val="nil"/>
            </w:tcBorders>
            <w:shd w:val="clear" w:color="auto" w:fill="1B556B" w:themeFill="text2"/>
          </w:tcPr>
          <w:p w14:paraId="73372DC7" w14:textId="77777777" w:rsidR="007C259A" w:rsidRPr="00BD16B4" w:rsidRDefault="007C259A" w:rsidP="00F31129">
            <w:pPr>
              <w:pStyle w:val="TableTextBold0"/>
              <w:spacing w:before="50" w:after="0"/>
              <w:jc w:val="center"/>
              <w:rPr>
                <w:b w:val="0"/>
                <w:color w:val="FFFFFF" w:themeColor="background1"/>
                <w:szCs w:val="18"/>
              </w:rPr>
            </w:pPr>
            <w:r w:rsidRPr="00BD16B4">
              <w:rPr>
                <w:color w:val="FFFFFF" w:themeColor="background1"/>
                <w:szCs w:val="18"/>
              </w:rPr>
              <w:t>Historical</w:t>
            </w:r>
          </w:p>
        </w:tc>
        <w:tc>
          <w:tcPr>
            <w:tcW w:w="1332" w:type="pct"/>
            <w:gridSpan w:val="3"/>
            <w:tcBorders>
              <w:left w:val="nil"/>
              <w:bottom w:val="nil"/>
            </w:tcBorders>
            <w:shd w:val="clear" w:color="auto" w:fill="1B556B" w:themeFill="text2"/>
          </w:tcPr>
          <w:p w14:paraId="26E4317E" w14:textId="77777777" w:rsidR="007C259A" w:rsidRPr="00BD16B4" w:rsidRDefault="007C259A" w:rsidP="00F31129">
            <w:pPr>
              <w:pStyle w:val="TableTextBold0"/>
              <w:spacing w:before="50" w:after="0"/>
              <w:jc w:val="center"/>
              <w:rPr>
                <w:b w:val="0"/>
                <w:color w:val="FFFFFF" w:themeColor="background1"/>
                <w:szCs w:val="18"/>
              </w:rPr>
            </w:pPr>
            <w:r w:rsidRPr="00BD16B4">
              <w:rPr>
                <w:color w:val="FFFFFF" w:themeColor="background1"/>
                <w:szCs w:val="18"/>
              </w:rPr>
              <w:t>Projected</w:t>
            </w:r>
          </w:p>
        </w:tc>
      </w:tr>
      <w:tr w:rsidR="00D42389" w:rsidRPr="00BD16B4" w14:paraId="3D24C57E" w14:textId="77777777" w:rsidTr="00311E27">
        <w:tc>
          <w:tcPr>
            <w:tcW w:w="835" w:type="pct"/>
            <w:tcBorders>
              <w:top w:val="nil"/>
              <w:right w:val="nil"/>
            </w:tcBorders>
            <w:shd w:val="clear" w:color="auto" w:fill="1B556B" w:themeFill="text2"/>
          </w:tcPr>
          <w:p w14:paraId="37DC6DB7" w14:textId="77777777" w:rsidR="007C259A" w:rsidRPr="00BD16B4" w:rsidRDefault="007C259A" w:rsidP="00F31129">
            <w:pPr>
              <w:pStyle w:val="TableTextBold0"/>
              <w:spacing w:before="0" w:after="50"/>
              <w:rPr>
                <w:b w:val="0"/>
                <w:color w:val="FFFFFF" w:themeColor="background1"/>
                <w:szCs w:val="18"/>
              </w:rPr>
            </w:pPr>
            <w:r w:rsidRPr="00BD16B4">
              <w:rPr>
                <w:color w:val="FFFFFF" w:themeColor="background1"/>
                <w:szCs w:val="18"/>
              </w:rPr>
              <w:t>Gas</w:t>
            </w:r>
          </w:p>
        </w:tc>
        <w:tc>
          <w:tcPr>
            <w:tcW w:w="391" w:type="pct"/>
            <w:tcBorders>
              <w:top w:val="nil"/>
              <w:left w:val="nil"/>
              <w:right w:val="nil"/>
            </w:tcBorders>
            <w:shd w:val="clear" w:color="auto" w:fill="1B556B" w:themeFill="text2"/>
          </w:tcPr>
          <w:p w14:paraId="1E69C732" w14:textId="77777777" w:rsidR="007C259A" w:rsidRPr="00BD16B4" w:rsidRDefault="007C259A" w:rsidP="00F31129">
            <w:pPr>
              <w:pStyle w:val="TableTextBold0"/>
              <w:spacing w:before="0" w:after="50"/>
              <w:jc w:val="center"/>
              <w:rPr>
                <w:color w:val="FFFFFF" w:themeColor="background1"/>
                <w:szCs w:val="18"/>
              </w:rPr>
            </w:pPr>
            <w:r w:rsidRPr="00BD16B4">
              <w:rPr>
                <w:color w:val="FFFFFF" w:themeColor="background1"/>
                <w:szCs w:val="18"/>
              </w:rPr>
              <w:t>1990</w:t>
            </w:r>
          </w:p>
        </w:tc>
        <w:tc>
          <w:tcPr>
            <w:tcW w:w="391" w:type="pct"/>
            <w:tcBorders>
              <w:top w:val="nil"/>
              <w:left w:val="nil"/>
              <w:right w:val="nil"/>
            </w:tcBorders>
            <w:shd w:val="clear" w:color="auto" w:fill="1B556B" w:themeFill="text2"/>
          </w:tcPr>
          <w:p w14:paraId="5B0B881A" w14:textId="77777777" w:rsidR="007C259A" w:rsidRPr="00BD16B4" w:rsidRDefault="007C259A" w:rsidP="00F31129">
            <w:pPr>
              <w:pStyle w:val="TableTextBold0"/>
              <w:spacing w:before="0" w:after="50"/>
              <w:jc w:val="center"/>
              <w:rPr>
                <w:color w:val="FFFFFF" w:themeColor="background1"/>
                <w:szCs w:val="18"/>
              </w:rPr>
            </w:pPr>
            <w:r w:rsidRPr="00BD16B4">
              <w:rPr>
                <w:color w:val="FFFFFF" w:themeColor="background1"/>
                <w:szCs w:val="18"/>
              </w:rPr>
              <w:t>1995</w:t>
            </w:r>
          </w:p>
        </w:tc>
        <w:tc>
          <w:tcPr>
            <w:tcW w:w="391" w:type="pct"/>
            <w:tcBorders>
              <w:top w:val="nil"/>
              <w:left w:val="nil"/>
              <w:right w:val="nil"/>
            </w:tcBorders>
            <w:shd w:val="clear" w:color="auto" w:fill="1B556B" w:themeFill="text2"/>
          </w:tcPr>
          <w:p w14:paraId="64713D76" w14:textId="77777777" w:rsidR="007C259A" w:rsidRPr="00BD16B4" w:rsidRDefault="007C259A" w:rsidP="00F31129">
            <w:pPr>
              <w:pStyle w:val="TableTextBold0"/>
              <w:spacing w:before="0" w:after="50"/>
              <w:jc w:val="center"/>
              <w:rPr>
                <w:color w:val="FFFFFF" w:themeColor="background1"/>
                <w:szCs w:val="18"/>
              </w:rPr>
            </w:pPr>
            <w:r w:rsidRPr="00BD16B4">
              <w:rPr>
                <w:color w:val="FFFFFF" w:themeColor="background1"/>
                <w:szCs w:val="18"/>
              </w:rPr>
              <w:t>2000</w:t>
            </w:r>
          </w:p>
        </w:tc>
        <w:tc>
          <w:tcPr>
            <w:tcW w:w="391" w:type="pct"/>
            <w:tcBorders>
              <w:top w:val="nil"/>
              <w:left w:val="nil"/>
              <w:right w:val="nil"/>
            </w:tcBorders>
            <w:shd w:val="clear" w:color="auto" w:fill="1B556B" w:themeFill="text2"/>
          </w:tcPr>
          <w:p w14:paraId="674FC6E9" w14:textId="77777777" w:rsidR="007C259A" w:rsidRPr="00BD16B4" w:rsidRDefault="007C259A" w:rsidP="00F31129">
            <w:pPr>
              <w:pStyle w:val="TableTextBold0"/>
              <w:spacing w:before="0" w:after="50"/>
              <w:jc w:val="center"/>
              <w:rPr>
                <w:color w:val="FFFFFF" w:themeColor="background1"/>
                <w:szCs w:val="18"/>
              </w:rPr>
            </w:pPr>
            <w:r w:rsidRPr="00BD16B4">
              <w:rPr>
                <w:color w:val="FFFFFF" w:themeColor="background1"/>
                <w:szCs w:val="18"/>
              </w:rPr>
              <w:t>2005</w:t>
            </w:r>
          </w:p>
        </w:tc>
        <w:tc>
          <w:tcPr>
            <w:tcW w:w="434" w:type="pct"/>
            <w:tcBorders>
              <w:top w:val="nil"/>
              <w:left w:val="nil"/>
              <w:right w:val="nil"/>
            </w:tcBorders>
            <w:shd w:val="clear" w:color="auto" w:fill="1B556B" w:themeFill="text2"/>
          </w:tcPr>
          <w:p w14:paraId="7A8EB9D3" w14:textId="77777777" w:rsidR="007C259A" w:rsidRPr="00BD16B4" w:rsidRDefault="007C259A" w:rsidP="00F31129">
            <w:pPr>
              <w:pStyle w:val="TableTextBold0"/>
              <w:spacing w:before="0" w:after="50"/>
              <w:jc w:val="center"/>
              <w:rPr>
                <w:color w:val="FFFFFF" w:themeColor="background1"/>
                <w:szCs w:val="18"/>
              </w:rPr>
            </w:pPr>
            <w:r w:rsidRPr="00BD16B4">
              <w:rPr>
                <w:color w:val="FFFFFF" w:themeColor="background1"/>
                <w:szCs w:val="18"/>
              </w:rPr>
              <w:t>2010</w:t>
            </w:r>
          </w:p>
        </w:tc>
        <w:tc>
          <w:tcPr>
            <w:tcW w:w="417" w:type="pct"/>
            <w:tcBorders>
              <w:top w:val="nil"/>
              <w:left w:val="nil"/>
              <w:right w:val="nil"/>
            </w:tcBorders>
            <w:shd w:val="clear" w:color="auto" w:fill="1B556B" w:themeFill="text2"/>
          </w:tcPr>
          <w:p w14:paraId="507BC40B" w14:textId="77777777" w:rsidR="007C259A" w:rsidRPr="00BD16B4" w:rsidRDefault="007C259A" w:rsidP="00F31129">
            <w:pPr>
              <w:pStyle w:val="TableTextBold0"/>
              <w:spacing w:before="0" w:after="50"/>
              <w:jc w:val="center"/>
              <w:rPr>
                <w:color w:val="FFFFFF" w:themeColor="background1"/>
                <w:szCs w:val="18"/>
              </w:rPr>
            </w:pPr>
            <w:r w:rsidRPr="00BD16B4">
              <w:rPr>
                <w:color w:val="FFFFFF" w:themeColor="background1"/>
                <w:szCs w:val="18"/>
              </w:rPr>
              <w:t>2015</w:t>
            </w:r>
          </w:p>
        </w:tc>
        <w:tc>
          <w:tcPr>
            <w:tcW w:w="417" w:type="pct"/>
            <w:tcBorders>
              <w:top w:val="nil"/>
              <w:left w:val="nil"/>
              <w:right w:val="nil"/>
            </w:tcBorders>
            <w:shd w:val="clear" w:color="auto" w:fill="1B556B" w:themeFill="text2"/>
          </w:tcPr>
          <w:p w14:paraId="371CC585" w14:textId="77777777" w:rsidR="007C259A" w:rsidRPr="00BD16B4" w:rsidRDefault="007C259A" w:rsidP="00F31129">
            <w:pPr>
              <w:pStyle w:val="TableTextBold0"/>
              <w:spacing w:before="0" w:after="50"/>
              <w:jc w:val="center"/>
              <w:rPr>
                <w:color w:val="FFFFFF" w:themeColor="background1"/>
                <w:szCs w:val="18"/>
              </w:rPr>
            </w:pPr>
            <w:r w:rsidRPr="00BD16B4">
              <w:rPr>
                <w:color w:val="FFFFFF" w:themeColor="background1"/>
                <w:szCs w:val="18"/>
              </w:rPr>
              <w:t>2020</w:t>
            </w:r>
          </w:p>
        </w:tc>
        <w:tc>
          <w:tcPr>
            <w:tcW w:w="417" w:type="pct"/>
            <w:tcBorders>
              <w:top w:val="nil"/>
              <w:left w:val="nil"/>
              <w:bottom w:val="single" w:sz="4" w:space="0" w:color="1B556B" w:themeColor="text2"/>
              <w:right w:val="nil"/>
            </w:tcBorders>
            <w:shd w:val="clear" w:color="auto" w:fill="1B556B" w:themeFill="text2"/>
          </w:tcPr>
          <w:p w14:paraId="65D24BE4" w14:textId="77777777" w:rsidR="007C259A" w:rsidRPr="00BD16B4" w:rsidRDefault="007C259A" w:rsidP="00F31129">
            <w:pPr>
              <w:pStyle w:val="TableTextBold0"/>
              <w:spacing w:before="0" w:after="50"/>
              <w:jc w:val="center"/>
              <w:rPr>
                <w:color w:val="FFFFFF" w:themeColor="background1"/>
                <w:szCs w:val="18"/>
              </w:rPr>
            </w:pPr>
            <w:r w:rsidRPr="00BD16B4">
              <w:rPr>
                <w:color w:val="FFFFFF" w:themeColor="background1"/>
                <w:szCs w:val="18"/>
              </w:rPr>
              <w:t>2025</w:t>
            </w:r>
          </w:p>
        </w:tc>
        <w:tc>
          <w:tcPr>
            <w:tcW w:w="500" w:type="pct"/>
            <w:tcBorders>
              <w:top w:val="nil"/>
              <w:left w:val="nil"/>
              <w:bottom w:val="single" w:sz="4" w:space="0" w:color="1B556B" w:themeColor="text2"/>
              <w:right w:val="nil"/>
            </w:tcBorders>
            <w:shd w:val="clear" w:color="auto" w:fill="1B556B" w:themeFill="text2"/>
          </w:tcPr>
          <w:p w14:paraId="4FB65C18" w14:textId="77777777" w:rsidR="007C259A" w:rsidRPr="00BD16B4" w:rsidRDefault="007C259A" w:rsidP="00F31129">
            <w:pPr>
              <w:pStyle w:val="TableTextBold0"/>
              <w:spacing w:before="0" w:after="50"/>
              <w:jc w:val="center"/>
              <w:rPr>
                <w:color w:val="FFFFFF" w:themeColor="background1"/>
                <w:szCs w:val="18"/>
              </w:rPr>
            </w:pPr>
            <w:r w:rsidRPr="00BD16B4">
              <w:rPr>
                <w:color w:val="FFFFFF" w:themeColor="background1"/>
                <w:szCs w:val="18"/>
              </w:rPr>
              <w:t>2030</w:t>
            </w:r>
          </w:p>
        </w:tc>
        <w:tc>
          <w:tcPr>
            <w:tcW w:w="415" w:type="pct"/>
            <w:tcBorders>
              <w:top w:val="nil"/>
              <w:left w:val="nil"/>
              <w:bottom w:val="single" w:sz="4" w:space="0" w:color="1B556B" w:themeColor="text2"/>
            </w:tcBorders>
            <w:shd w:val="clear" w:color="auto" w:fill="1B556B" w:themeFill="text2"/>
          </w:tcPr>
          <w:p w14:paraId="21F7DEA3" w14:textId="77777777" w:rsidR="007C259A" w:rsidRPr="00BD16B4" w:rsidRDefault="007C259A" w:rsidP="00F31129">
            <w:pPr>
              <w:pStyle w:val="TableTextBold0"/>
              <w:spacing w:before="0" w:after="50"/>
              <w:jc w:val="center"/>
              <w:rPr>
                <w:color w:val="FFFFFF" w:themeColor="background1"/>
                <w:szCs w:val="18"/>
              </w:rPr>
            </w:pPr>
            <w:r w:rsidRPr="00BD16B4">
              <w:rPr>
                <w:color w:val="FFFFFF" w:themeColor="background1"/>
                <w:szCs w:val="18"/>
              </w:rPr>
              <w:t>2035</w:t>
            </w:r>
          </w:p>
        </w:tc>
      </w:tr>
      <w:tr w:rsidR="007C259A" w:rsidRPr="00BD16B4" w14:paraId="5EED5F98" w14:textId="77777777" w:rsidTr="00D42389">
        <w:tc>
          <w:tcPr>
            <w:tcW w:w="835" w:type="pct"/>
          </w:tcPr>
          <w:p w14:paraId="46B9480B" w14:textId="77777777" w:rsidR="007C259A" w:rsidRPr="00BD16B4" w:rsidRDefault="007C259A" w:rsidP="00F31129">
            <w:pPr>
              <w:pStyle w:val="TableText"/>
              <w:spacing w:before="40" w:after="40"/>
              <w:rPr>
                <w:rFonts w:cs="Calibri"/>
                <w:b/>
                <w:bCs/>
                <w:szCs w:val="18"/>
              </w:rPr>
            </w:pPr>
            <w:r w:rsidRPr="00BD16B4">
              <w:rPr>
                <w:rFonts w:cs="Calibri"/>
                <w:szCs w:val="18"/>
              </w:rPr>
              <w:t>CO</w:t>
            </w:r>
            <w:r w:rsidRPr="00BD16B4">
              <w:rPr>
                <w:rFonts w:cs="Calibri"/>
                <w:szCs w:val="18"/>
                <w:vertAlign w:val="subscript"/>
              </w:rPr>
              <w:t>2</w:t>
            </w:r>
          </w:p>
        </w:tc>
        <w:tc>
          <w:tcPr>
            <w:tcW w:w="391" w:type="pct"/>
          </w:tcPr>
          <w:p w14:paraId="4D0D9C98" w14:textId="77777777" w:rsidR="007C259A" w:rsidRPr="00BD16B4" w:rsidRDefault="007C259A" w:rsidP="00F31129">
            <w:pPr>
              <w:pStyle w:val="TableText"/>
              <w:spacing w:before="40" w:after="40"/>
              <w:jc w:val="center"/>
              <w:rPr>
                <w:rFonts w:cs="Calibri"/>
                <w:color w:val="000000"/>
                <w:szCs w:val="18"/>
              </w:rPr>
            </w:pPr>
            <w:r w:rsidRPr="00BD16B4">
              <w:rPr>
                <w:rFonts w:cs="Calibri"/>
                <w:color w:val="000000"/>
                <w:szCs w:val="18"/>
              </w:rPr>
              <w:t>14.6</w:t>
            </w:r>
          </w:p>
        </w:tc>
        <w:tc>
          <w:tcPr>
            <w:tcW w:w="391" w:type="pct"/>
          </w:tcPr>
          <w:p w14:paraId="1E3D61D1" w14:textId="77777777" w:rsidR="007C259A" w:rsidRPr="00BD16B4" w:rsidRDefault="007C259A" w:rsidP="00F31129">
            <w:pPr>
              <w:pStyle w:val="TableText"/>
              <w:spacing w:before="40" w:after="40"/>
              <w:jc w:val="center"/>
              <w:rPr>
                <w:rFonts w:cs="Calibri"/>
                <w:color w:val="000000"/>
                <w:szCs w:val="18"/>
              </w:rPr>
            </w:pPr>
            <w:r w:rsidRPr="00BD16B4">
              <w:rPr>
                <w:rFonts w:cs="Calibri"/>
                <w:color w:val="000000"/>
                <w:szCs w:val="18"/>
              </w:rPr>
              <w:t>14.4</w:t>
            </w:r>
          </w:p>
        </w:tc>
        <w:tc>
          <w:tcPr>
            <w:tcW w:w="391" w:type="pct"/>
          </w:tcPr>
          <w:p w14:paraId="33DE464D" w14:textId="77777777" w:rsidR="007C259A" w:rsidRPr="00BD16B4" w:rsidRDefault="007C259A" w:rsidP="00F31129">
            <w:pPr>
              <w:pStyle w:val="TableText"/>
              <w:spacing w:before="40" w:after="40"/>
              <w:jc w:val="center"/>
              <w:rPr>
                <w:rFonts w:cs="Calibri"/>
                <w:color w:val="000000"/>
                <w:szCs w:val="18"/>
              </w:rPr>
            </w:pPr>
            <w:r w:rsidRPr="00BD16B4">
              <w:rPr>
                <w:rFonts w:cs="Calibri"/>
                <w:color w:val="000000"/>
                <w:szCs w:val="18"/>
              </w:rPr>
              <w:t>17.0</w:t>
            </w:r>
          </w:p>
        </w:tc>
        <w:tc>
          <w:tcPr>
            <w:tcW w:w="391" w:type="pct"/>
          </w:tcPr>
          <w:p w14:paraId="713BB45D" w14:textId="77777777" w:rsidR="007C259A" w:rsidRPr="00BD16B4" w:rsidRDefault="007C259A" w:rsidP="00F31129">
            <w:pPr>
              <w:pStyle w:val="TableText"/>
              <w:spacing w:before="40" w:after="40"/>
              <w:jc w:val="center"/>
              <w:rPr>
                <w:rFonts w:cs="Calibri"/>
                <w:color w:val="000000"/>
                <w:szCs w:val="18"/>
              </w:rPr>
            </w:pPr>
            <w:r w:rsidRPr="00BD16B4">
              <w:rPr>
                <w:rFonts w:cs="Calibri"/>
                <w:color w:val="000000"/>
                <w:szCs w:val="18"/>
              </w:rPr>
              <w:t>20.2</w:t>
            </w:r>
          </w:p>
        </w:tc>
        <w:tc>
          <w:tcPr>
            <w:tcW w:w="434" w:type="pct"/>
          </w:tcPr>
          <w:p w14:paraId="1A833D10" w14:textId="77777777" w:rsidR="007C259A" w:rsidRPr="00BD16B4" w:rsidRDefault="007C259A" w:rsidP="00F31129">
            <w:pPr>
              <w:pStyle w:val="TableText"/>
              <w:spacing w:before="40" w:after="40"/>
              <w:jc w:val="center"/>
              <w:rPr>
                <w:rFonts w:cs="Calibri"/>
                <w:color w:val="000000"/>
                <w:szCs w:val="18"/>
              </w:rPr>
            </w:pPr>
            <w:r w:rsidRPr="00BD16B4">
              <w:rPr>
                <w:rFonts w:cs="Calibri"/>
                <w:color w:val="000000"/>
                <w:szCs w:val="18"/>
              </w:rPr>
              <w:t>17.3</w:t>
            </w:r>
          </w:p>
        </w:tc>
        <w:tc>
          <w:tcPr>
            <w:tcW w:w="417" w:type="pct"/>
          </w:tcPr>
          <w:p w14:paraId="37CA4A3B" w14:textId="77777777" w:rsidR="007C259A" w:rsidRPr="00BD16B4" w:rsidRDefault="007C259A" w:rsidP="00F31129">
            <w:pPr>
              <w:pStyle w:val="TableText"/>
              <w:spacing w:before="40" w:after="40"/>
              <w:jc w:val="center"/>
              <w:rPr>
                <w:rFonts w:cs="Calibri"/>
                <w:color w:val="000000"/>
                <w:szCs w:val="18"/>
              </w:rPr>
            </w:pPr>
            <w:r w:rsidRPr="00BD16B4">
              <w:rPr>
                <w:rFonts w:cs="Calibri"/>
                <w:color w:val="000000"/>
                <w:szCs w:val="18"/>
              </w:rPr>
              <w:t>17.5</w:t>
            </w:r>
          </w:p>
        </w:tc>
        <w:tc>
          <w:tcPr>
            <w:tcW w:w="417" w:type="pct"/>
          </w:tcPr>
          <w:p w14:paraId="668E94D8" w14:textId="77777777" w:rsidR="007C259A" w:rsidRPr="00BD16B4" w:rsidRDefault="007C259A" w:rsidP="00F31129">
            <w:pPr>
              <w:pStyle w:val="TableText"/>
              <w:spacing w:before="40" w:after="40"/>
              <w:jc w:val="center"/>
              <w:rPr>
                <w:rFonts w:cs="Calibri"/>
                <w:szCs w:val="18"/>
              </w:rPr>
            </w:pPr>
            <w:r w:rsidRPr="00BD16B4">
              <w:rPr>
                <w:rFonts w:cs="Calibri"/>
                <w:szCs w:val="18"/>
              </w:rPr>
              <w:t>17.5</w:t>
            </w:r>
          </w:p>
        </w:tc>
        <w:tc>
          <w:tcPr>
            <w:tcW w:w="417" w:type="pct"/>
            <w:shd w:val="clear" w:color="auto" w:fill="D2DDE1" w:themeFill="background2"/>
          </w:tcPr>
          <w:p w14:paraId="06F11364" w14:textId="77777777" w:rsidR="007C259A" w:rsidRPr="00BD16B4" w:rsidRDefault="007C259A" w:rsidP="00F31129">
            <w:pPr>
              <w:pStyle w:val="TableText"/>
              <w:spacing w:before="40" w:after="40"/>
              <w:jc w:val="center"/>
              <w:rPr>
                <w:rFonts w:cs="Calibri"/>
                <w:szCs w:val="18"/>
              </w:rPr>
            </w:pPr>
            <w:r w:rsidRPr="00BD16B4">
              <w:rPr>
                <w:rFonts w:cs="Calibri"/>
                <w:szCs w:val="18"/>
              </w:rPr>
              <w:t>12.7</w:t>
            </w:r>
          </w:p>
        </w:tc>
        <w:tc>
          <w:tcPr>
            <w:tcW w:w="500" w:type="pct"/>
            <w:shd w:val="clear" w:color="auto" w:fill="D2DDE1" w:themeFill="background2"/>
          </w:tcPr>
          <w:p w14:paraId="69818C89" w14:textId="77777777" w:rsidR="007C259A" w:rsidRPr="00BD16B4" w:rsidRDefault="007C259A" w:rsidP="00F31129">
            <w:pPr>
              <w:pStyle w:val="TableText"/>
              <w:spacing w:before="40" w:after="40"/>
              <w:jc w:val="center"/>
              <w:rPr>
                <w:rFonts w:cs="Calibri"/>
                <w:szCs w:val="18"/>
              </w:rPr>
            </w:pPr>
            <w:r w:rsidRPr="00BD16B4">
              <w:rPr>
                <w:rFonts w:cs="Calibri"/>
                <w:szCs w:val="18"/>
              </w:rPr>
              <w:t>11.2</w:t>
            </w:r>
          </w:p>
        </w:tc>
        <w:tc>
          <w:tcPr>
            <w:tcW w:w="415" w:type="pct"/>
            <w:shd w:val="clear" w:color="auto" w:fill="D2DDE1" w:themeFill="background2"/>
          </w:tcPr>
          <w:p w14:paraId="29F9603A" w14:textId="77777777" w:rsidR="007C259A" w:rsidRPr="00BD16B4" w:rsidRDefault="007C259A" w:rsidP="00F31129">
            <w:pPr>
              <w:pStyle w:val="TableText"/>
              <w:spacing w:before="40" w:after="40"/>
              <w:jc w:val="center"/>
              <w:rPr>
                <w:rFonts w:cs="Calibri"/>
                <w:szCs w:val="18"/>
              </w:rPr>
            </w:pPr>
            <w:r w:rsidRPr="00BD16B4">
              <w:rPr>
                <w:rFonts w:cs="Calibri"/>
                <w:szCs w:val="18"/>
              </w:rPr>
              <w:t>10.1</w:t>
            </w:r>
          </w:p>
        </w:tc>
      </w:tr>
      <w:tr w:rsidR="007C259A" w:rsidRPr="00BD16B4" w14:paraId="5F748EB1" w14:textId="77777777" w:rsidTr="00D42389">
        <w:tc>
          <w:tcPr>
            <w:tcW w:w="835" w:type="pct"/>
          </w:tcPr>
          <w:p w14:paraId="537931D8" w14:textId="77777777" w:rsidR="007C259A" w:rsidRPr="00BD16B4" w:rsidRDefault="007C259A" w:rsidP="00F31129">
            <w:pPr>
              <w:pStyle w:val="TableText"/>
              <w:spacing w:before="40" w:after="40"/>
              <w:rPr>
                <w:rFonts w:cs="Calibri"/>
                <w:b/>
                <w:bCs/>
                <w:szCs w:val="18"/>
              </w:rPr>
            </w:pPr>
            <w:r w:rsidRPr="00BD16B4">
              <w:rPr>
                <w:rFonts w:cs="Calibri"/>
                <w:szCs w:val="18"/>
              </w:rPr>
              <w:t>CH</w:t>
            </w:r>
            <w:r w:rsidRPr="00BD16B4">
              <w:rPr>
                <w:rFonts w:cs="Calibri"/>
                <w:szCs w:val="18"/>
                <w:vertAlign w:val="subscript"/>
              </w:rPr>
              <w:t>4</w:t>
            </w:r>
          </w:p>
        </w:tc>
        <w:tc>
          <w:tcPr>
            <w:tcW w:w="391" w:type="pct"/>
          </w:tcPr>
          <w:p w14:paraId="6B7A0D53" w14:textId="77777777" w:rsidR="007C259A" w:rsidRPr="00BD16B4" w:rsidRDefault="007C259A" w:rsidP="00F31129">
            <w:pPr>
              <w:pStyle w:val="TableText"/>
              <w:spacing w:before="40" w:after="40"/>
              <w:jc w:val="center"/>
              <w:rPr>
                <w:rFonts w:cs="Calibri"/>
                <w:szCs w:val="18"/>
              </w:rPr>
            </w:pPr>
            <w:r w:rsidRPr="00BD16B4">
              <w:rPr>
                <w:rFonts w:cs="Calibri"/>
                <w:szCs w:val="18"/>
              </w:rPr>
              <w:t>1.1</w:t>
            </w:r>
          </w:p>
        </w:tc>
        <w:tc>
          <w:tcPr>
            <w:tcW w:w="391" w:type="pct"/>
          </w:tcPr>
          <w:p w14:paraId="445E0B89" w14:textId="77777777" w:rsidR="007C259A" w:rsidRPr="00BD16B4" w:rsidRDefault="007C259A" w:rsidP="00F31129">
            <w:pPr>
              <w:pStyle w:val="TableText"/>
              <w:spacing w:before="40" w:after="40"/>
              <w:jc w:val="center"/>
              <w:rPr>
                <w:rFonts w:cs="Calibri"/>
                <w:szCs w:val="18"/>
              </w:rPr>
            </w:pPr>
            <w:r w:rsidRPr="00BD16B4">
              <w:rPr>
                <w:rFonts w:cs="Calibri"/>
                <w:szCs w:val="18"/>
              </w:rPr>
              <w:t>1.1</w:t>
            </w:r>
          </w:p>
        </w:tc>
        <w:tc>
          <w:tcPr>
            <w:tcW w:w="391" w:type="pct"/>
          </w:tcPr>
          <w:p w14:paraId="66ED4D46" w14:textId="77777777" w:rsidR="007C259A" w:rsidRPr="00BD16B4" w:rsidRDefault="007C259A" w:rsidP="00F31129">
            <w:pPr>
              <w:pStyle w:val="TableText"/>
              <w:spacing w:before="40" w:after="40"/>
              <w:jc w:val="center"/>
              <w:rPr>
                <w:rFonts w:cs="Calibri"/>
                <w:szCs w:val="18"/>
              </w:rPr>
            </w:pPr>
            <w:r w:rsidRPr="00BD16B4">
              <w:rPr>
                <w:rFonts w:cs="Calibri"/>
                <w:szCs w:val="18"/>
              </w:rPr>
              <w:t>1.3</w:t>
            </w:r>
          </w:p>
        </w:tc>
        <w:tc>
          <w:tcPr>
            <w:tcW w:w="391" w:type="pct"/>
          </w:tcPr>
          <w:p w14:paraId="38BA73B6" w14:textId="77777777" w:rsidR="007C259A" w:rsidRPr="00BD16B4" w:rsidRDefault="007C259A" w:rsidP="00F31129">
            <w:pPr>
              <w:pStyle w:val="TableText"/>
              <w:spacing w:before="40" w:after="40"/>
              <w:jc w:val="center"/>
              <w:rPr>
                <w:rFonts w:cs="Calibri"/>
                <w:szCs w:val="18"/>
              </w:rPr>
            </w:pPr>
            <w:r w:rsidRPr="00BD16B4">
              <w:rPr>
                <w:rFonts w:cs="Calibri"/>
                <w:szCs w:val="18"/>
              </w:rPr>
              <w:t>1.2</w:t>
            </w:r>
          </w:p>
        </w:tc>
        <w:tc>
          <w:tcPr>
            <w:tcW w:w="434" w:type="pct"/>
          </w:tcPr>
          <w:p w14:paraId="63F5DB91" w14:textId="77777777" w:rsidR="007C259A" w:rsidRPr="00BD16B4" w:rsidRDefault="007C259A" w:rsidP="00F31129">
            <w:pPr>
              <w:pStyle w:val="TableText"/>
              <w:spacing w:before="40" w:after="40"/>
              <w:jc w:val="center"/>
              <w:rPr>
                <w:rFonts w:cs="Calibri"/>
                <w:szCs w:val="18"/>
              </w:rPr>
            </w:pPr>
            <w:r w:rsidRPr="00BD16B4">
              <w:rPr>
                <w:rFonts w:cs="Calibri"/>
                <w:szCs w:val="18"/>
              </w:rPr>
              <w:t>1.5</w:t>
            </w:r>
          </w:p>
        </w:tc>
        <w:tc>
          <w:tcPr>
            <w:tcW w:w="417" w:type="pct"/>
          </w:tcPr>
          <w:p w14:paraId="69F52A55" w14:textId="77777777" w:rsidR="007C259A" w:rsidRPr="00BD16B4" w:rsidRDefault="007C259A" w:rsidP="00F31129">
            <w:pPr>
              <w:pStyle w:val="TableText"/>
              <w:spacing w:before="40" w:after="40"/>
              <w:jc w:val="center"/>
              <w:rPr>
                <w:rFonts w:cs="Calibri"/>
                <w:szCs w:val="18"/>
              </w:rPr>
            </w:pPr>
            <w:r w:rsidRPr="00BD16B4">
              <w:rPr>
                <w:rFonts w:cs="Calibri"/>
                <w:szCs w:val="18"/>
              </w:rPr>
              <w:t>0.9</w:t>
            </w:r>
          </w:p>
        </w:tc>
        <w:tc>
          <w:tcPr>
            <w:tcW w:w="417" w:type="pct"/>
          </w:tcPr>
          <w:p w14:paraId="7D65E4DA" w14:textId="77777777" w:rsidR="007C259A" w:rsidRPr="00BD16B4" w:rsidRDefault="007C259A" w:rsidP="00F31129">
            <w:pPr>
              <w:pStyle w:val="TableText"/>
              <w:spacing w:before="40" w:after="40"/>
              <w:jc w:val="center"/>
              <w:rPr>
                <w:rFonts w:cs="Calibri"/>
                <w:szCs w:val="18"/>
              </w:rPr>
            </w:pPr>
            <w:r w:rsidRPr="00BD16B4">
              <w:rPr>
                <w:rFonts w:cs="Calibri"/>
                <w:szCs w:val="18"/>
              </w:rPr>
              <w:t>0.7</w:t>
            </w:r>
          </w:p>
        </w:tc>
        <w:tc>
          <w:tcPr>
            <w:tcW w:w="417" w:type="pct"/>
            <w:shd w:val="clear" w:color="auto" w:fill="D2DDE1" w:themeFill="background2"/>
          </w:tcPr>
          <w:p w14:paraId="49098791" w14:textId="77777777" w:rsidR="007C259A" w:rsidRPr="00BD16B4" w:rsidRDefault="007C259A" w:rsidP="00F31129">
            <w:pPr>
              <w:pStyle w:val="TableText"/>
              <w:spacing w:before="40" w:after="40"/>
              <w:jc w:val="center"/>
              <w:rPr>
                <w:rFonts w:cs="Calibri"/>
                <w:szCs w:val="18"/>
              </w:rPr>
            </w:pPr>
            <w:r w:rsidRPr="00BD16B4">
              <w:rPr>
                <w:rFonts w:cs="Calibri"/>
                <w:szCs w:val="18"/>
              </w:rPr>
              <w:t>0.8</w:t>
            </w:r>
          </w:p>
        </w:tc>
        <w:tc>
          <w:tcPr>
            <w:tcW w:w="500" w:type="pct"/>
            <w:shd w:val="clear" w:color="auto" w:fill="D2DDE1" w:themeFill="background2"/>
          </w:tcPr>
          <w:p w14:paraId="0DA28FA2" w14:textId="77777777" w:rsidR="007C259A" w:rsidRPr="00BD16B4" w:rsidRDefault="007C259A" w:rsidP="00F31129">
            <w:pPr>
              <w:pStyle w:val="TableText"/>
              <w:spacing w:before="40" w:after="40"/>
              <w:jc w:val="center"/>
              <w:rPr>
                <w:rFonts w:cs="Calibri"/>
                <w:szCs w:val="18"/>
              </w:rPr>
            </w:pPr>
            <w:r w:rsidRPr="00BD16B4">
              <w:rPr>
                <w:rFonts w:cs="Calibri"/>
                <w:szCs w:val="18"/>
              </w:rPr>
              <w:t>0.8</w:t>
            </w:r>
          </w:p>
        </w:tc>
        <w:tc>
          <w:tcPr>
            <w:tcW w:w="415" w:type="pct"/>
            <w:shd w:val="clear" w:color="auto" w:fill="D2DDE1" w:themeFill="background2"/>
          </w:tcPr>
          <w:p w14:paraId="306CF80B" w14:textId="77777777" w:rsidR="007C259A" w:rsidRPr="00BD16B4" w:rsidRDefault="007C259A" w:rsidP="00F31129">
            <w:pPr>
              <w:pStyle w:val="TableText"/>
              <w:spacing w:before="40" w:after="40"/>
              <w:jc w:val="center"/>
              <w:rPr>
                <w:rFonts w:cs="Calibri"/>
                <w:szCs w:val="18"/>
              </w:rPr>
            </w:pPr>
            <w:r w:rsidRPr="00BD16B4">
              <w:rPr>
                <w:rFonts w:cs="Calibri"/>
                <w:szCs w:val="18"/>
              </w:rPr>
              <w:t>0.8</w:t>
            </w:r>
          </w:p>
        </w:tc>
      </w:tr>
      <w:tr w:rsidR="007C259A" w:rsidRPr="00BD16B4" w14:paraId="2F476BDD" w14:textId="77777777" w:rsidTr="00D42389">
        <w:tc>
          <w:tcPr>
            <w:tcW w:w="835" w:type="pct"/>
          </w:tcPr>
          <w:p w14:paraId="15930E32" w14:textId="77777777" w:rsidR="007C259A" w:rsidRPr="00BD16B4" w:rsidRDefault="007C259A" w:rsidP="00F31129">
            <w:pPr>
              <w:pStyle w:val="TableText"/>
              <w:spacing w:before="40" w:after="40"/>
              <w:rPr>
                <w:rFonts w:cs="Calibri"/>
                <w:b/>
                <w:bCs/>
                <w:szCs w:val="18"/>
              </w:rPr>
            </w:pPr>
            <w:r w:rsidRPr="00BD16B4">
              <w:rPr>
                <w:rFonts w:cs="Calibri"/>
                <w:szCs w:val="18"/>
              </w:rPr>
              <w:t>N</w:t>
            </w:r>
            <w:r w:rsidRPr="00BD16B4">
              <w:rPr>
                <w:rFonts w:cs="Calibri"/>
                <w:szCs w:val="18"/>
                <w:vertAlign w:val="subscript"/>
              </w:rPr>
              <w:t>2</w:t>
            </w:r>
            <w:r w:rsidRPr="00BD16B4">
              <w:rPr>
                <w:rFonts w:cs="Calibri"/>
                <w:szCs w:val="18"/>
              </w:rPr>
              <w:t>O</w:t>
            </w:r>
          </w:p>
        </w:tc>
        <w:tc>
          <w:tcPr>
            <w:tcW w:w="391" w:type="pct"/>
          </w:tcPr>
          <w:p w14:paraId="45944B3D" w14:textId="77777777" w:rsidR="007C259A" w:rsidRPr="00BD16B4" w:rsidRDefault="007C259A" w:rsidP="00F31129">
            <w:pPr>
              <w:pStyle w:val="TableText"/>
              <w:spacing w:before="40" w:after="40"/>
              <w:jc w:val="center"/>
              <w:rPr>
                <w:rFonts w:cs="Calibri"/>
                <w:szCs w:val="18"/>
              </w:rPr>
            </w:pPr>
            <w:r w:rsidRPr="00BD16B4">
              <w:rPr>
                <w:rFonts w:cs="Calibri"/>
                <w:szCs w:val="18"/>
              </w:rPr>
              <w:t>0.1</w:t>
            </w:r>
          </w:p>
        </w:tc>
        <w:tc>
          <w:tcPr>
            <w:tcW w:w="391" w:type="pct"/>
          </w:tcPr>
          <w:p w14:paraId="65172A0A" w14:textId="77777777" w:rsidR="007C259A" w:rsidRPr="00BD16B4" w:rsidRDefault="007C259A" w:rsidP="00F31129">
            <w:pPr>
              <w:pStyle w:val="TableText"/>
              <w:spacing w:before="40" w:after="40"/>
              <w:jc w:val="center"/>
              <w:rPr>
                <w:rFonts w:cs="Calibri"/>
                <w:szCs w:val="18"/>
              </w:rPr>
            </w:pPr>
            <w:r w:rsidRPr="00BD16B4">
              <w:rPr>
                <w:rFonts w:cs="Calibri"/>
                <w:szCs w:val="18"/>
              </w:rPr>
              <w:t>0.1</w:t>
            </w:r>
          </w:p>
        </w:tc>
        <w:tc>
          <w:tcPr>
            <w:tcW w:w="391" w:type="pct"/>
          </w:tcPr>
          <w:p w14:paraId="44B4BB64" w14:textId="77777777" w:rsidR="007C259A" w:rsidRPr="00BD16B4" w:rsidRDefault="007C259A" w:rsidP="00F31129">
            <w:pPr>
              <w:pStyle w:val="TableText"/>
              <w:spacing w:before="40" w:after="40"/>
              <w:jc w:val="center"/>
              <w:rPr>
                <w:rFonts w:cs="Calibri"/>
                <w:szCs w:val="18"/>
              </w:rPr>
            </w:pPr>
            <w:r w:rsidRPr="00BD16B4">
              <w:rPr>
                <w:rFonts w:cs="Calibri"/>
                <w:szCs w:val="18"/>
              </w:rPr>
              <w:t>0.1</w:t>
            </w:r>
          </w:p>
        </w:tc>
        <w:tc>
          <w:tcPr>
            <w:tcW w:w="391" w:type="pct"/>
          </w:tcPr>
          <w:p w14:paraId="6485CB89" w14:textId="77777777" w:rsidR="007C259A" w:rsidRPr="00BD16B4" w:rsidRDefault="007C259A" w:rsidP="00F31129">
            <w:pPr>
              <w:pStyle w:val="TableText"/>
              <w:spacing w:before="40" w:after="40"/>
              <w:jc w:val="center"/>
              <w:rPr>
                <w:rFonts w:cs="Calibri"/>
                <w:szCs w:val="18"/>
              </w:rPr>
            </w:pPr>
            <w:r w:rsidRPr="00BD16B4">
              <w:rPr>
                <w:rFonts w:cs="Calibri"/>
                <w:szCs w:val="18"/>
              </w:rPr>
              <w:t>0.2</w:t>
            </w:r>
          </w:p>
        </w:tc>
        <w:tc>
          <w:tcPr>
            <w:tcW w:w="434" w:type="pct"/>
          </w:tcPr>
          <w:p w14:paraId="7BDE294C" w14:textId="77777777" w:rsidR="007C259A" w:rsidRPr="00BD16B4" w:rsidRDefault="007C259A" w:rsidP="00F31129">
            <w:pPr>
              <w:pStyle w:val="TableText"/>
              <w:spacing w:before="40" w:after="40"/>
              <w:jc w:val="center"/>
              <w:rPr>
                <w:rFonts w:cs="Calibri"/>
                <w:szCs w:val="18"/>
              </w:rPr>
            </w:pPr>
            <w:r w:rsidRPr="00BD16B4">
              <w:rPr>
                <w:rFonts w:cs="Calibri"/>
                <w:szCs w:val="18"/>
              </w:rPr>
              <w:t>0.1</w:t>
            </w:r>
          </w:p>
        </w:tc>
        <w:tc>
          <w:tcPr>
            <w:tcW w:w="417" w:type="pct"/>
          </w:tcPr>
          <w:p w14:paraId="14E34358" w14:textId="77777777" w:rsidR="007C259A" w:rsidRPr="00BD16B4" w:rsidRDefault="007C259A" w:rsidP="00F31129">
            <w:pPr>
              <w:pStyle w:val="TableText"/>
              <w:spacing w:before="40" w:after="40"/>
              <w:jc w:val="center"/>
              <w:rPr>
                <w:rFonts w:cs="Calibri"/>
                <w:szCs w:val="18"/>
              </w:rPr>
            </w:pPr>
            <w:r w:rsidRPr="00BD16B4">
              <w:rPr>
                <w:rFonts w:cs="Calibri"/>
                <w:szCs w:val="18"/>
              </w:rPr>
              <w:t>0.1</w:t>
            </w:r>
          </w:p>
        </w:tc>
        <w:tc>
          <w:tcPr>
            <w:tcW w:w="417" w:type="pct"/>
          </w:tcPr>
          <w:p w14:paraId="6D9B4ED3" w14:textId="77777777" w:rsidR="007C259A" w:rsidRPr="00BD16B4" w:rsidRDefault="007C259A" w:rsidP="00F31129">
            <w:pPr>
              <w:pStyle w:val="TableText"/>
              <w:spacing w:before="40" w:after="40"/>
              <w:jc w:val="center"/>
              <w:rPr>
                <w:rFonts w:cs="Calibri"/>
                <w:color w:val="000000"/>
                <w:szCs w:val="18"/>
              </w:rPr>
            </w:pPr>
            <w:r w:rsidRPr="00BD16B4">
              <w:rPr>
                <w:rFonts w:cs="Calibri"/>
                <w:color w:val="000000"/>
                <w:szCs w:val="18"/>
              </w:rPr>
              <w:t>0.1</w:t>
            </w:r>
          </w:p>
        </w:tc>
        <w:tc>
          <w:tcPr>
            <w:tcW w:w="417" w:type="pct"/>
            <w:shd w:val="clear" w:color="auto" w:fill="D2DDE1" w:themeFill="background2"/>
          </w:tcPr>
          <w:p w14:paraId="7A2BD5E8" w14:textId="77777777" w:rsidR="007C259A" w:rsidRPr="00BD16B4" w:rsidRDefault="007C259A" w:rsidP="00F31129">
            <w:pPr>
              <w:pStyle w:val="TableText"/>
              <w:spacing w:before="40" w:after="40"/>
              <w:jc w:val="center"/>
              <w:rPr>
                <w:rFonts w:cs="Calibri"/>
                <w:color w:val="000000"/>
                <w:szCs w:val="18"/>
              </w:rPr>
            </w:pPr>
            <w:r w:rsidRPr="00BD16B4">
              <w:rPr>
                <w:rFonts w:cs="Calibri"/>
                <w:color w:val="000000" w:themeColor="text1"/>
                <w:szCs w:val="18"/>
              </w:rPr>
              <w:t>0.1</w:t>
            </w:r>
          </w:p>
        </w:tc>
        <w:tc>
          <w:tcPr>
            <w:tcW w:w="500" w:type="pct"/>
            <w:shd w:val="clear" w:color="auto" w:fill="D2DDE1" w:themeFill="background2"/>
          </w:tcPr>
          <w:p w14:paraId="7EBA1CCA" w14:textId="77777777" w:rsidR="007C259A" w:rsidRPr="00BD16B4" w:rsidRDefault="007C259A" w:rsidP="00F31129">
            <w:pPr>
              <w:pStyle w:val="TableText"/>
              <w:spacing w:before="40" w:after="40"/>
              <w:jc w:val="center"/>
              <w:rPr>
                <w:rFonts w:cs="Calibri"/>
                <w:color w:val="000000"/>
                <w:szCs w:val="18"/>
              </w:rPr>
            </w:pPr>
            <w:r w:rsidRPr="00BD16B4">
              <w:rPr>
                <w:rFonts w:cs="Calibri"/>
                <w:color w:val="000000" w:themeColor="text1"/>
                <w:szCs w:val="18"/>
              </w:rPr>
              <w:t>0.1</w:t>
            </w:r>
          </w:p>
        </w:tc>
        <w:tc>
          <w:tcPr>
            <w:tcW w:w="415" w:type="pct"/>
            <w:shd w:val="clear" w:color="auto" w:fill="D2DDE1" w:themeFill="background2"/>
          </w:tcPr>
          <w:p w14:paraId="44EF66CC" w14:textId="77777777" w:rsidR="007C259A" w:rsidRPr="00BD16B4" w:rsidRDefault="007C259A" w:rsidP="00F31129">
            <w:pPr>
              <w:pStyle w:val="TableText"/>
              <w:spacing w:before="40" w:after="40"/>
              <w:jc w:val="center"/>
              <w:rPr>
                <w:rFonts w:cs="Calibri"/>
                <w:color w:val="000000"/>
                <w:szCs w:val="18"/>
              </w:rPr>
            </w:pPr>
            <w:r w:rsidRPr="00BD16B4">
              <w:rPr>
                <w:rFonts w:cs="Calibri"/>
                <w:color w:val="000000" w:themeColor="text1"/>
                <w:szCs w:val="18"/>
              </w:rPr>
              <w:t>0.1</w:t>
            </w:r>
          </w:p>
        </w:tc>
      </w:tr>
      <w:tr w:rsidR="007C259A" w:rsidRPr="00BD16B4" w14:paraId="67664747" w14:textId="77777777" w:rsidTr="00D42389">
        <w:tc>
          <w:tcPr>
            <w:tcW w:w="835" w:type="pct"/>
          </w:tcPr>
          <w:p w14:paraId="6201C943" w14:textId="77777777" w:rsidR="007C259A" w:rsidRPr="00BD16B4" w:rsidRDefault="007C259A" w:rsidP="00F31129">
            <w:pPr>
              <w:pStyle w:val="TableTextBold0"/>
              <w:spacing w:before="40" w:after="40"/>
              <w:rPr>
                <w:b w:val="0"/>
                <w:bCs/>
                <w:szCs w:val="18"/>
              </w:rPr>
            </w:pPr>
            <w:r w:rsidRPr="00BD16B4">
              <w:rPr>
                <w:szCs w:val="18"/>
              </w:rPr>
              <w:t>Total</w:t>
            </w:r>
          </w:p>
        </w:tc>
        <w:tc>
          <w:tcPr>
            <w:tcW w:w="391" w:type="pct"/>
          </w:tcPr>
          <w:p w14:paraId="7992F038" w14:textId="77777777" w:rsidR="007C259A" w:rsidRPr="00BD16B4" w:rsidRDefault="007C259A" w:rsidP="00F31129">
            <w:pPr>
              <w:pStyle w:val="TableTextBold0"/>
              <w:spacing w:before="40" w:after="40"/>
              <w:jc w:val="center"/>
              <w:rPr>
                <w:color w:val="000000"/>
                <w:szCs w:val="18"/>
              </w:rPr>
            </w:pPr>
            <w:r w:rsidRPr="00BD16B4">
              <w:rPr>
                <w:color w:val="000000"/>
                <w:szCs w:val="18"/>
              </w:rPr>
              <w:t>15.8</w:t>
            </w:r>
          </w:p>
        </w:tc>
        <w:tc>
          <w:tcPr>
            <w:tcW w:w="391" w:type="pct"/>
          </w:tcPr>
          <w:p w14:paraId="15168F3B" w14:textId="77777777" w:rsidR="007C259A" w:rsidRPr="00BD16B4" w:rsidRDefault="007C259A" w:rsidP="00F31129">
            <w:pPr>
              <w:pStyle w:val="TableTextBold0"/>
              <w:spacing w:before="40" w:after="40"/>
              <w:jc w:val="center"/>
              <w:rPr>
                <w:color w:val="000000"/>
                <w:szCs w:val="18"/>
              </w:rPr>
            </w:pPr>
            <w:r w:rsidRPr="00BD16B4">
              <w:rPr>
                <w:color w:val="000000"/>
                <w:szCs w:val="18"/>
              </w:rPr>
              <w:t>15.6</w:t>
            </w:r>
          </w:p>
        </w:tc>
        <w:tc>
          <w:tcPr>
            <w:tcW w:w="391" w:type="pct"/>
          </w:tcPr>
          <w:p w14:paraId="1D8179B7" w14:textId="77777777" w:rsidR="007C259A" w:rsidRPr="00BD16B4" w:rsidRDefault="007C259A" w:rsidP="00F31129">
            <w:pPr>
              <w:pStyle w:val="TableTextBold0"/>
              <w:spacing w:before="40" w:after="40"/>
              <w:jc w:val="center"/>
              <w:rPr>
                <w:color w:val="000000"/>
                <w:szCs w:val="18"/>
              </w:rPr>
            </w:pPr>
            <w:r w:rsidRPr="00BD16B4">
              <w:rPr>
                <w:color w:val="000000"/>
                <w:szCs w:val="18"/>
              </w:rPr>
              <w:t>18.4</w:t>
            </w:r>
          </w:p>
        </w:tc>
        <w:tc>
          <w:tcPr>
            <w:tcW w:w="391" w:type="pct"/>
          </w:tcPr>
          <w:p w14:paraId="0B272C90" w14:textId="77777777" w:rsidR="007C259A" w:rsidRPr="00BD16B4" w:rsidRDefault="007C259A" w:rsidP="00F31129">
            <w:pPr>
              <w:pStyle w:val="TableTextBold0"/>
              <w:spacing w:before="40" w:after="40"/>
              <w:jc w:val="center"/>
              <w:rPr>
                <w:color w:val="000000"/>
                <w:szCs w:val="18"/>
              </w:rPr>
            </w:pPr>
            <w:r w:rsidRPr="00BD16B4">
              <w:rPr>
                <w:color w:val="000000"/>
                <w:szCs w:val="18"/>
              </w:rPr>
              <w:t>21.6</w:t>
            </w:r>
          </w:p>
        </w:tc>
        <w:tc>
          <w:tcPr>
            <w:tcW w:w="434" w:type="pct"/>
          </w:tcPr>
          <w:p w14:paraId="78E543EF" w14:textId="77777777" w:rsidR="007C259A" w:rsidRPr="00BD16B4" w:rsidRDefault="007C259A" w:rsidP="00F31129">
            <w:pPr>
              <w:pStyle w:val="TableTextBold0"/>
              <w:spacing w:before="40" w:after="40"/>
              <w:jc w:val="center"/>
              <w:rPr>
                <w:color w:val="000000"/>
                <w:szCs w:val="18"/>
              </w:rPr>
            </w:pPr>
            <w:r w:rsidRPr="00BD16B4">
              <w:rPr>
                <w:color w:val="000000"/>
                <w:szCs w:val="18"/>
              </w:rPr>
              <w:t>18.9</w:t>
            </w:r>
          </w:p>
        </w:tc>
        <w:tc>
          <w:tcPr>
            <w:tcW w:w="417" w:type="pct"/>
          </w:tcPr>
          <w:p w14:paraId="0E6C2DCD" w14:textId="77777777" w:rsidR="007C259A" w:rsidRPr="00BD16B4" w:rsidRDefault="007C259A" w:rsidP="00F31129">
            <w:pPr>
              <w:pStyle w:val="TableTextBold0"/>
              <w:spacing w:before="40" w:after="40"/>
              <w:jc w:val="center"/>
              <w:rPr>
                <w:color w:val="000000"/>
                <w:szCs w:val="18"/>
              </w:rPr>
            </w:pPr>
            <w:r w:rsidRPr="00BD16B4">
              <w:rPr>
                <w:color w:val="000000"/>
                <w:szCs w:val="18"/>
              </w:rPr>
              <w:t>18.6</w:t>
            </w:r>
          </w:p>
        </w:tc>
        <w:tc>
          <w:tcPr>
            <w:tcW w:w="417" w:type="pct"/>
          </w:tcPr>
          <w:p w14:paraId="6725BC41" w14:textId="77777777" w:rsidR="007C259A" w:rsidRPr="00BD16B4" w:rsidRDefault="007C259A" w:rsidP="00F31129">
            <w:pPr>
              <w:pStyle w:val="TableTextBold0"/>
              <w:spacing w:before="40" w:after="40"/>
              <w:jc w:val="center"/>
              <w:rPr>
                <w:szCs w:val="18"/>
              </w:rPr>
            </w:pPr>
            <w:r w:rsidRPr="00BD16B4">
              <w:rPr>
                <w:szCs w:val="18"/>
              </w:rPr>
              <w:t>18.3</w:t>
            </w:r>
          </w:p>
        </w:tc>
        <w:tc>
          <w:tcPr>
            <w:tcW w:w="417" w:type="pct"/>
            <w:shd w:val="clear" w:color="auto" w:fill="D2DDE1" w:themeFill="background2"/>
          </w:tcPr>
          <w:p w14:paraId="2DB3FEF4" w14:textId="77777777" w:rsidR="007C259A" w:rsidRPr="00BD16B4" w:rsidRDefault="007C259A" w:rsidP="00F31129">
            <w:pPr>
              <w:pStyle w:val="TableTextBold0"/>
              <w:spacing w:before="40" w:after="40"/>
              <w:jc w:val="center"/>
              <w:rPr>
                <w:szCs w:val="18"/>
              </w:rPr>
            </w:pPr>
            <w:r w:rsidRPr="00BD16B4">
              <w:rPr>
                <w:szCs w:val="18"/>
              </w:rPr>
              <w:t>13.6</w:t>
            </w:r>
          </w:p>
        </w:tc>
        <w:tc>
          <w:tcPr>
            <w:tcW w:w="500" w:type="pct"/>
            <w:shd w:val="clear" w:color="auto" w:fill="D2DDE1" w:themeFill="background2"/>
          </w:tcPr>
          <w:p w14:paraId="6D489B59" w14:textId="77777777" w:rsidR="007C259A" w:rsidRPr="00BD16B4" w:rsidRDefault="007C259A" w:rsidP="00F31129">
            <w:pPr>
              <w:pStyle w:val="TableTextBold0"/>
              <w:spacing w:before="40" w:after="40"/>
              <w:jc w:val="center"/>
              <w:rPr>
                <w:szCs w:val="18"/>
              </w:rPr>
            </w:pPr>
            <w:r w:rsidRPr="00BD16B4">
              <w:rPr>
                <w:szCs w:val="18"/>
              </w:rPr>
              <w:t>12.1</w:t>
            </w:r>
          </w:p>
        </w:tc>
        <w:tc>
          <w:tcPr>
            <w:tcW w:w="415" w:type="pct"/>
            <w:shd w:val="clear" w:color="auto" w:fill="D2DDE1" w:themeFill="background2"/>
          </w:tcPr>
          <w:p w14:paraId="157C94D4" w14:textId="77777777" w:rsidR="007C259A" w:rsidRPr="00BD16B4" w:rsidRDefault="007C259A" w:rsidP="00F31129">
            <w:pPr>
              <w:pStyle w:val="TableTextBold0"/>
              <w:spacing w:before="40" w:after="40"/>
              <w:jc w:val="center"/>
              <w:rPr>
                <w:szCs w:val="18"/>
              </w:rPr>
            </w:pPr>
            <w:r w:rsidRPr="00BD16B4">
              <w:rPr>
                <w:szCs w:val="18"/>
              </w:rPr>
              <w:t>11.0</w:t>
            </w:r>
          </w:p>
        </w:tc>
      </w:tr>
    </w:tbl>
    <w:p w14:paraId="59C96CD2" w14:textId="77777777" w:rsidR="007C259A" w:rsidRPr="00BD16B4" w:rsidRDefault="007C259A" w:rsidP="005476C7">
      <w:pPr>
        <w:pStyle w:val="Note"/>
        <w:spacing w:after="0"/>
      </w:pPr>
      <w:r w:rsidRPr="00BD16B4">
        <w:rPr>
          <w:b/>
          <w:bCs/>
        </w:rPr>
        <w:t>Note:</w:t>
      </w:r>
      <w:r w:rsidRPr="00BD16B4">
        <w:t xml:space="preserve"> CH</w:t>
      </w:r>
      <w:r w:rsidRPr="00BD16B4">
        <w:rPr>
          <w:vertAlign w:val="subscript"/>
        </w:rPr>
        <w:t>4</w:t>
      </w:r>
      <w:r w:rsidRPr="00BD16B4">
        <w:t xml:space="preserve"> = methane; CO</w:t>
      </w:r>
      <w:r w:rsidRPr="00BD16B4">
        <w:rPr>
          <w:vertAlign w:val="subscript"/>
        </w:rPr>
        <w:t>2</w:t>
      </w:r>
      <w:r w:rsidRPr="00BD16B4">
        <w:t xml:space="preserve"> = carbon dioxide; Mt CO</w:t>
      </w:r>
      <w:r w:rsidRPr="00BD16B4">
        <w:rPr>
          <w:vertAlign w:val="subscript"/>
        </w:rPr>
        <w:t>2</w:t>
      </w:r>
      <w:r w:rsidRPr="00BD16B4">
        <w:t>-e = million tonnes of carbon dioxide equivalent; N</w:t>
      </w:r>
      <w:r w:rsidRPr="00BD16B4">
        <w:rPr>
          <w:vertAlign w:val="subscript"/>
        </w:rPr>
        <w:t>2</w:t>
      </w:r>
      <w:r w:rsidRPr="00BD16B4">
        <w:t>O = nitrous oxide.</w:t>
      </w:r>
    </w:p>
    <w:p w14:paraId="1F60A210" w14:textId="77777777" w:rsidR="007C259A" w:rsidRPr="00BD16B4" w:rsidRDefault="007C259A" w:rsidP="004E1B8C">
      <w:pPr>
        <w:pStyle w:val="Heading4"/>
      </w:pPr>
      <w:r w:rsidRPr="00BD16B4">
        <w:t>Methodology</w:t>
      </w:r>
    </w:p>
    <w:p w14:paraId="5935F742" w14:textId="77777777" w:rsidR="007C259A" w:rsidRPr="00BD16B4" w:rsidRDefault="007C259A" w:rsidP="007C259A">
      <w:pPr>
        <w:pStyle w:val="BodyText"/>
        <w:spacing w:before="100"/>
      </w:pPr>
      <w:r w:rsidRPr="00BD16B4">
        <w:t xml:space="preserve">The energy sector modelling system is composed of two main models: the Supply and Demand Energy Model (SADEM) and the Generation Expansion Model (GEM). SADEM performs three key functions. First, it projects energy demand for all sectors of the economy based on exogenous projections of population and economic growth, and incorporating econometric relationships based on historical relationships and observed trends of energy efficiency growth. Second, it provides a central hub to incorporate electricity supply information from GEM. Finally, it calculates projections of energy sector greenhouse gas emissions by applying emission factors. </w:t>
      </w:r>
    </w:p>
    <w:p w14:paraId="065B88B4" w14:textId="77777777" w:rsidR="007C259A" w:rsidRPr="00BD16B4" w:rsidRDefault="007C259A" w:rsidP="007C259A">
      <w:pPr>
        <w:pStyle w:val="BodyText"/>
        <w:spacing w:before="100"/>
      </w:pPr>
      <w:r w:rsidRPr="00BD16B4">
        <w:t>GEM is used to project the timing and type of new-generation plant built. GEM is a long-term planning model used to study capacity expansion specifically in the New Zealand electricity sector. While it is most often used to conduct research on generation capacity expansion given a fixed transmission network, it can also be configured to simultaneously optimise generation and transmission capacity investment decisions. However, GEM only considers large-scale generation that is connected to the grid. GEM requires fuel prices and electricity demand projections from SADEM as inputs.</w:t>
      </w:r>
    </w:p>
    <w:p w14:paraId="0098202F" w14:textId="77777777" w:rsidR="007C259A" w:rsidRPr="00BD16B4" w:rsidRDefault="007C259A" w:rsidP="007C259A">
      <w:pPr>
        <w:pStyle w:val="BodyText"/>
        <w:spacing w:before="100"/>
      </w:pPr>
      <w:r w:rsidRPr="00BD16B4">
        <w:lastRenderedPageBreak/>
        <w:t xml:space="preserve">Electricity intensity in the residential sector is a measure of electricity used per capita. We have continued to apply our methodology and judgement on the projected trend of electricity intensity of the residential sector. In this </w:t>
      </w:r>
      <w:r w:rsidRPr="00BD16B4">
        <w:rPr>
          <w:i/>
          <w:iCs/>
        </w:rPr>
        <w:t>Fifth Biennial Report</w:t>
      </w:r>
      <w:r w:rsidRPr="00BD16B4">
        <w:t>, we assume a negative historical trend will continue, with a rate of decline in electricity intensity of around 0.8 per cent per year until 2030.</w:t>
      </w:r>
    </w:p>
    <w:p w14:paraId="671766CA" w14:textId="77777777" w:rsidR="007C259A" w:rsidRPr="00BD16B4" w:rsidRDefault="007C259A" w:rsidP="007C259A">
      <w:pPr>
        <w:pStyle w:val="BodyText"/>
      </w:pPr>
      <w:r w:rsidRPr="00BD16B4">
        <w:t xml:space="preserve">Electrification is the process of powering by electricity, changing away from end uses that have historically been met by the combustion of fossil fuels. In this </w:t>
      </w:r>
      <w:r w:rsidRPr="00BD16B4">
        <w:rPr>
          <w:i/>
          <w:iCs/>
        </w:rPr>
        <w:t>Fifth Biennial Report</w:t>
      </w:r>
      <w:r w:rsidRPr="00BD16B4">
        <w:t>, we continue to assume that some low-grade heat will be electrified. Much of this electrification can be accomplished using heat pumps that have a relatively high coefficient of performance. As a result of the electrification of process heat, about 0.7 terawatt hours of energy is switched from the combustion of fossil fuels to electricity in 2035.</w:t>
      </w:r>
    </w:p>
    <w:p w14:paraId="07CF4AAC" w14:textId="77777777" w:rsidR="007C259A" w:rsidRPr="00BD16B4" w:rsidRDefault="007C259A" w:rsidP="004E1B8C">
      <w:pPr>
        <w:pStyle w:val="Heading4"/>
      </w:pPr>
      <w:r w:rsidRPr="00BD16B4">
        <w:t xml:space="preserve">Differences from the </w:t>
      </w:r>
      <w:r w:rsidRPr="00BD16B4">
        <w:rPr>
          <w:i/>
          <w:iCs/>
        </w:rPr>
        <w:t>Fourth Biennial Report</w:t>
      </w:r>
    </w:p>
    <w:p w14:paraId="36706E05" w14:textId="77777777" w:rsidR="007C259A" w:rsidRPr="00BD16B4" w:rsidRDefault="007C259A" w:rsidP="007C259A">
      <w:pPr>
        <w:pStyle w:val="BodyText"/>
      </w:pPr>
      <w:r w:rsidRPr="00BD16B4">
        <w:t xml:space="preserve">Some minor adjustments were made to sub-modules of the model. </w:t>
      </w:r>
    </w:p>
    <w:p w14:paraId="12397EE0" w14:textId="77777777" w:rsidR="007C259A" w:rsidRPr="00BD16B4" w:rsidRDefault="007C259A" w:rsidP="004E1B8C">
      <w:pPr>
        <w:pStyle w:val="Heading4"/>
      </w:pPr>
      <w:r w:rsidRPr="00BD16B4">
        <w:t>Strengths and weaknesses of models or approach</w:t>
      </w:r>
    </w:p>
    <w:p w14:paraId="42C50EAC" w14:textId="77777777" w:rsidR="007C259A" w:rsidRPr="00BD16B4" w:rsidRDefault="007C259A" w:rsidP="007C259A">
      <w:pPr>
        <w:pStyle w:val="BodyText"/>
      </w:pPr>
      <w:r w:rsidRPr="00BD16B4">
        <w:t>The GEM is technically a comprehensive model of the New Zealand electricity system. However, the model does not account for departures from assumptions underlying a perfect competition framework. GEM is formulated as a mixed integer programming (MIP) problem with a cost-minimisation objective function. Selecting from a large list of potential new generation facilities, the model determines which plant to construct and in which year each new plant is to be commissioned, all the while satisfying a number of technical, physical and economic constraints. Each potential new plant is characterised by parameters describing attributes such as location, technology, fuel type, capacity, capital cost and operating costs. The model is typically run for a series of scenarios describing possible future outcomes for factors such as demand for electricity (energy and peak), hydro and thermal fuel availability, fuel prices, plant costs, and policies such as carbon pricing, renewables targets or transmission pricing. Under each scenario, a build plan and a supporting set of prices are generated. The time horizon over which the model is operated is typically 20–40 years.</w:t>
      </w:r>
    </w:p>
    <w:p w14:paraId="1CD0B846" w14:textId="77777777" w:rsidR="007C259A" w:rsidRPr="00BD16B4" w:rsidRDefault="007C259A" w:rsidP="007C259A">
      <w:pPr>
        <w:pStyle w:val="BodyText"/>
      </w:pPr>
      <w:r w:rsidRPr="00BD16B4">
        <w:t>GEM is written and solved using the GAMS modelling software. Input data are supplied to the model in the form of GDX files. Model output is produced as a collection of GDX and CSV files.</w:t>
      </w:r>
    </w:p>
    <w:p w14:paraId="0E3A1C77" w14:textId="77777777" w:rsidR="007C259A" w:rsidRPr="00BD16B4" w:rsidRDefault="007C259A" w:rsidP="007C259A">
      <w:pPr>
        <w:pStyle w:val="BodyText"/>
      </w:pPr>
      <w:r w:rsidRPr="00BD16B4">
        <w:t>SADEM projects energy demand for all sectors in the economy. However, the modelling is of the energy sector only, not of the entire economy. SADEM also has limited representation of potential mitigation technologies and their uptake in response to a carbon price. The main drivers in this modelling are exogenous (eg, GDP, oil and carbon prices), meaning that secondary effects are not modelled (eg, the potential link between oil and carbon prices and GDP is not included). Because SADEM has been developed in house, it offers the flexibility to be further modified and improved.</w:t>
      </w:r>
    </w:p>
    <w:p w14:paraId="6662BC32" w14:textId="77777777" w:rsidR="007C259A" w:rsidRPr="00BD16B4" w:rsidRDefault="007C259A" w:rsidP="007C259A">
      <w:pPr>
        <w:pStyle w:val="BodyText"/>
      </w:pPr>
      <w:r w:rsidRPr="00BD16B4">
        <w:t>Historical emission factors are used to estimate future emissions. However, there is inherent uncertainty around the impact of new energy developments, particularly (for instance) the location and nature of future geothermal fields and the technologies used to extract and generate electricity from geothermal fluids.</w:t>
      </w:r>
    </w:p>
    <w:p w14:paraId="74DAC87E" w14:textId="77777777" w:rsidR="007C259A" w:rsidRPr="00BD16B4" w:rsidRDefault="007C259A" w:rsidP="004E1B8C">
      <w:pPr>
        <w:pStyle w:val="Heading4"/>
      </w:pPr>
      <w:r w:rsidRPr="00BD16B4">
        <w:lastRenderedPageBreak/>
        <w:t>Sensitivity analysis for energy emissions</w:t>
      </w:r>
    </w:p>
    <w:p w14:paraId="084A6D0F" w14:textId="77777777" w:rsidR="007C259A" w:rsidRPr="00BD16B4" w:rsidRDefault="007C259A" w:rsidP="007C259A">
      <w:pPr>
        <w:pStyle w:val="BodyText"/>
      </w:pPr>
      <w:r w:rsidRPr="00BD16B4">
        <w:t>To understand the potential uncertainty range of projected emissions from energy, a set of high- and low-emissions scenarios (relative to the WEM scenario) is estimated. The results from these scenarios are displayed in table 5.15 and figure 5.5.</w:t>
      </w:r>
    </w:p>
    <w:p w14:paraId="2A467F7D" w14:textId="77777777" w:rsidR="007C259A" w:rsidRPr="00BD16B4" w:rsidRDefault="007C259A" w:rsidP="007C259A">
      <w:pPr>
        <w:pStyle w:val="BodyText"/>
      </w:pPr>
      <w:r w:rsidRPr="00BD16B4">
        <w:t>Under a low-emissions scenario, emissions are 3.6 per cent lower than 2035 emissions in the WEM scenario. Under the high-emissions scenario, emissions are 4.0 per cent higher.</w:t>
      </w:r>
    </w:p>
    <w:p w14:paraId="6D95AA3C" w14:textId="77777777" w:rsidR="007C259A" w:rsidRPr="00BD16B4" w:rsidRDefault="007C259A" w:rsidP="00EC76A2">
      <w:pPr>
        <w:pStyle w:val="Figureheading"/>
      </w:pPr>
      <w:bookmarkStart w:id="294" w:name="_Toc121494402"/>
      <w:r w:rsidRPr="00BD16B4">
        <w:t xml:space="preserve">Figure 5.5: </w:t>
      </w:r>
      <w:r w:rsidRPr="00BD16B4">
        <w:tab/>
        <w:t>Projected energy emissions under ‘with existing measures’, high- and low</w:t>
      </w:r>
      <w:r w:rsidRPr="00BD16B4">
        <w:noBreakHyphen/>
        <w:t>emissions scenarios (Mt CO</w:t>
      </w:r>
      <w:r w:rsidRPr="00BD16B4">
        <w:rPr>
          <w:vertAlign w:val="subscript"/>
        </w:rPr>
        <w:t>2</w:t>
      </w:r>
      <w:r w:rsidRPr="00BD16B4">
        <w:t>-e)</w:t>
      </w:r>
      <w:bookmarkEnd w:id="294"/>
    </w:p>
    <w:p w14:paraId="21B0B91C" w14:textId="77777777" w:rsidR="007C259A" w:rsidRPr="00BD16B4" w:rsidRDefault="007C259A" w:rsidP="007C259A">
      <w:pPr>
        <w:pStyle w:val="BodyText"/>
      </w:pPr>
      <w:r w:rsidRPr="00BD16B4">
        <w:rPr>
          <w:noProof/>
        </w:rPr>
        <w:drawing>
          <wp:inline distT="0" distB="0" distL="0" distR="0" wp14:anchorId="0B28164E" wp14:editId="1BEC63EA">
            <wp:extent cx="5364000" cy="3179329"/>
            <wp:effectExtent l="0" t="0" r="8255" b="2540"/>
            <wp:docPr id="47" name="Chart 47">
              <a:extLst xmlns:a="http://schemas.openxmlformats.org/drawingml/2006/main">
                <a:ext uri="{FF2B5EF4-FFF2-40B4-BE49-F238E27FC236}">
                  <a16:creationId xmlns:a16="http://schemas.microsoft.com/office/drawing/2014/main" id="{B9D3A072-F892-4358-A63C-CCF849ECBA8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13BA1DA6" w14:textId="77777777" w:rsidR="007C259A" w:rsidRPr="00BD16B4" w:rsidRDefault="007C259A" w:rsidP="00120409">
      <w:pPr>
        <w:pStyle w:val="Note"/>
      </w:pPr>
      <w:r w:rsidRPr="00BD16B4">
        <w:rPr>
          <w:b/>
          <w:bCs/>
        </w:rPr>
        <w:t>Note:</w:t>
      </w:r>
      <w:r w:rsidRPr="00BD16B4">
        <w:t xml:space="preserve"> Mt CO</w:t>
      </w:r>
      <w:r w:rsidRPr="00BD16B4">
        <w:rPr>
          <w:vertAlign w:val="subscript"/>
        </w:rPr>
        <w:t>2</w:t>
      </w:r>
      <w:r w:rsidRPr="00BD16B4">
        <w:t>-e = million tonnes of carbon dioxide equivalent.</w:t>
      </w:r>
    </w:p>
    <w:p w14:paraId="66101ECD" w14:textId="77777777" w:rsidR="007C259A" w:rsidRPr="00BD16B4" w:rsidRDefault="007C259A" w:rsidP="00BB7302">
      <w:pPr>
        <w:pStyle w:val="Tableheading"/>
      </w:pPr>
      <w:bookmarkStart w:id="295" w:name="_Toc121773805"/>
      <w:r w:rsidRPr="00BD16B4">
        <w:t xml:space="preserve">Table 5.15: </w:t>
      </w:r>
      <w:r w:rsidRPr="00BD16B4">
        <w:tab/>
        <w:t>Projected energy emissions under ‘with existing measures’, high- and low-emissions scenarios, 1990–2035 (Mt CO</w:t>
      </w:r>
      <w:r w:rsidRPr="00BD16B4">
        <w:rPr>
          <w:vertAlign w:val="subscript"/>
        </w:rPr>
        <w:t>2</w:t>
      </w:r>
      <w:r w:rsidRPr="00BD16B4">
        <w:t>-e)</w:t>
      </w:r>
      <w:bookmarkEnd w:id="295"/>
    </w:p>
    <w:tbl>
      <w:tblPr>
        <w:tblStyle w:val="Table-Grid"/>
        <w:tblW w:w="8505" w:type="dxa"/>
        <w:tblInd w:w="113" w:type="dxa"/>
        <w:tblCellMar>
          <w:top w:w="0" w:type="dxa"/>
          <w:bottom w:w="0" w:type="dxa"/>
          <w:right w:w="85" w:type="dxa"/>
        </w:tblCellMar>
        <w:tblLook w:val="06A0" w:firstRow="1" w:lastRow="0" w:firstColumn="1" w:lastColumn="0" w:noHBand="1" w:noVBand="1"/>
      </w:tblPr>
      <w:tblGrid>
        <w:gridCol w:w="1620"/>
        <w:gridCol w:w="1011"/>
        <w:gridCol w:w="1010"/>
        <w:gridCol w:w="1000"/>
        <w:gridCol w:w="1000"/>
        <w:gridCol w:w="1093"/>
        <w:gridCol w:w="1771"/>
      </w:tblGrid>
      <w:tr w:rsidR="007C259A" w:rsidRPr="00BD16B4" w14:paraId="01C9DAC0" w14:textId="77777777" w:rsidTr="00311E27">
        <w:tc>
          <w:tcPr>
            <w:tcW w:w="1403" w:type="dxa"/>
            <w:tcBorders>
              <w:right w:val="nil"/>
            </w:tcBorders>
            <w:shd w:val="clear" w:color="auto" w:fill="1B556B" w:themeFill="text2"/>
            <w:vAlign w:val="bottom"/>
          </w:tcPr>
          <w:p w14:paraId="137A92D7" w14:textId="77777777" w:rsidR="007C259A" w:rsidRPr="00BD16B4" w:rsidRDefault="007C259A" w:rsidP="00F31129">
            <w:pPr>
              <w:pStyle w:val="TableTextBold0"/>
              <w:spacing w:before="40" w:after="40"/>
              <w:rPr>
                <w:b w:val="0"/>
                <w:color w:val="FFFFFF" w:themeColor="background1"/>
              </w:rPr>
            </w:pPr>
            <w:r w:rsidRPr="00BD16B4">
              <w:rPr>
                <w:color w:val="FFFFFF" w:themeColor="background1"/>
              </w:rPr>
              <w:t>Scenario</w:t>
            </w:r>
          </w:p>
        </w:tc>
        <w:tc>
          <w:tcPr>
            <w:tcW w:w="876" w:type="dxa"/>
            <w:tcBorders>
              <w:left w:val="nil"/>
              <w:right w:val="nil"/>
            </w:tcBorders>
            <w:shd w:val="clear" w:color="auto" w:fill="1B556B" w:themeFill="text2"/>
            <w:vAlign w:val="bottom"/>
          </w:tcPr>
          <w:p w14:paraId="605FF8F4" w14:textId="77777777" w:rsidR="007C259A" w:rsidRPr="00BD16B4" w:rsidRDefault="007C259A" w:rsidP="00F31129">
            <w:pPr>
              <w:pStyle w:val="TableTextBold0"/>
              <w:spacing w:before="40" w:after="40"/>
              <w:jc w:val="center"/>
              <w:rPr>
                <w:b w:val="0"/>
                <w:color w:val="FFFFFF" w:themeColor="background1"/>
              </w:rPr>
            </w:pPr>
            <w:r w:rsidRPr="00BD16B4">
              <w:rPr>
                <w:color w:val="FFFFFF" w:themeColor="background1"/>
              </w:rPr>
              <w:t>1990</w:t>
            </w:r>
          </w:p>
        </w:tc>
        <w:tc>
          <w:tcPr>
            <w:tcW w:w="875" w:type="dxa"/>
            <w:tcBorders>
              <w:left w:val="nil"/>
              <w:right w:val="nil"/>
            </w:tcBorders>
            <w:shd w:val="clear" w:color="auto" w:fill="1B556B" w:themeFill="text2"/>
            <w:vAlign w:val="bottom"/>
          </w:tcPr>
          <w:p w14:paraId="5CDE80FB" w14:textId="77777777" w:rsidR="007C259A" w:rsidRPr="00BD16B4" w:rsidRDefault="007C259A" w:rsidP="00F31129">
            <w:pPr>
              <w:pStyle w:val="TableTextBold0"/>
              <w:spacing w:before="40" w:after="40"/>
              <w:jc w:val="center"/>
              <w:rPr>
                <w:b w:val="0"/>
                <w:color w:val="FFFFFF" w:themeColor="background1"/>
              </w:rPr>
            </w:pPr>
            <w:r w:rsidRPr="00BD16B4">
              <w:rPr>
                <w:color w:val="FFFFFF" w:themeColor="background1"/>
              </w:rPr>
              <w:t>2020</w:t>
            </w:r>
          </w:p>
        </w:tc>
        <w:tc>
          <w:tcPr>
            <w:tcW w:w="866" w:type="dxa"/>
            <w:tcBorders>
              <w:left w:val="nil"/>
              <w:bottom w:val="single" w:sz="4" w:space="0" w:color="1B556B" w:themeColor="text2"/>
              <w:right w:val="nil"/>
            </w:tcBorders>
            <w:shd w:val="clear" w:color="auto" w:fill="1B556B" w:themeFill="text2"/>
            <w:vAlign w:val="bottom"/>
          </w:tcPr>
          <w:p w14:paraId="5F06FCF1" w14:textId="77777777" w:rsidR="007C259A" w:rsidRPr="00BD16B4" w:rsidRDefault="007C259A" w:rsidP="00F31129">
            <w:pPr>
              <w:pStyle w:val="TableTextBold0"/>
              <w:spacing w:before="40" w:after="40"/>
              <w:jc w:val="center"/>
              <w:rPr>
                <w:b w:val="0"/>
                <w:color w:val="FFFFFF" w:themeColor="background1"/>
              </w:rPr>
            </w:pPr>
            <w:r w:rsidRPr="00BD16B4">
              <w:rPr>
                <w:color w:val="FFFFFF" w:themeColor="background1"/>
              </w:rPr>
              <w:t>2025</w:t>
            </w:r>
          </w:p>
        </w:tc>
        <w:tc>
          <w:tcPr>
            <w:tcW w:w="866" w:type="dxa"/>
            <w:tcBorders>
              <w:left w:val="nil"/>
              <w:bottom w:val="single" w:sz="4" w:space="0" w:color="1B556B" w:themeColor="text2"/>
              <w:right w:val="nil"/>
            </w:tcBorders>
            <w:shd w:val="clear" w:color="auto" w:fill="1B556B" w:themeFill="text2"/>
            <w:vAlign w:val="bottom"/>
          </w:tcPr>
          <w:p w14:paraId="2A2288A3" w14:textId="77777777" w:rsidR="007C259A" w:rsidRPr="00BD16B4" w:rsidRDefault="007C259A" w:rsidP="00F31129">
            <w:pPr>
              <w:pStyle w:val="TableTextBold0"/>
              <w:spacing w:before="40" w:after="40"/>
              <w:jc w:val="center"/>
              <w:rPr>
                <w:b w:val="0"/>
                <w:color w:val="FFFFFF" w:themeColor="background1"/>
              </w:rPr>
            </w:pPr>
            <w:r w:rsidRPr="00BD16B4">
              <w:rPr>
                <w:color w:val="FFFFFF" w:themeColor="background1"/>
              </w:rPr>
              <w:t>2030</w:t>
            </w:r>
          </w:p>
        </w:tc>
        <w:tc>
          <w:tcPr>
            <w:tcW w:w="947" w:type="dxa"/>
            <w:tcBorders>
              <w:left w:val="nil"/>
              <w:bottom w:val="single" w:sz="4" w:space="0" w:color="1B556B" w:themeColor="text2"/>
              <w:right w:val="nil"/>
            </w:tcBorders>
            <w:shd w:val="clear" w:color="auto" w:fill="1B556B" w:themeFill="text2"/>
            <w:vAlign w:val="bottom"/>
          </w:tcPr>
          <w:p w14:paraId="09E09BF3" w14:textId="77777777" w:rsidR="007C259A" w:rsidRPr="00BD16B4" w:rsidRDefault="007C259A" w:rsidP="00F31129">
            <w:pPr>
              <w:pStyle w:val="TableTextBold0"/>
              <w:spacing w:before="40" w:after="40"/>
              <w:jc w:val="center"/>
              <w:rPr>
                <w:b w:val="0"/>
                <w:color w:val="FFFFFF" w:themeColor="background1"/>
              </w:rPr>
            </w:pPr>
            <w:r w:rsidRPr="00BD16B4">
              <w:rPr>
                <w:color w:val="FFFFFF" w:themeColor="background1"/>
              </w:rPr>
              <w:t>2035</w:t>
            </w:r>
          </w:p>
        </w:tc>
        <w:tc>
          <w:tcPr>
            <w:tcW w:w="1534" w:type="dxa"/>
            <w:tcBorders>
              <w:left w:val="nil"/>
              <w:bottom w:val="single" w:sz="4" w:space="0" w:color="1B556B" w:themeColor="text2"/>
            </w:tcBorders>
            <w:shd w:val="clear" w:color="auto" w:fill="1B556B" w:themeFill="text2"/>
            <w:vAlign w:val="bottom"/>
          </w:tcPr>
          <w:p w14:paraId="08CB7EBD" w14:textId="77777777" w:rsidR="007C259A" w:rsidRPr="00BD16B4" w:rsidRDefault="007C259A" w:rsidP="00F31129">
            <w:pPr>
              <w:pStyle w:val="TableTextBold0"/>
              <w:spacing w:before="40" w:after="40"/>
              <w:jc w:val="center"/>
              <w:rPr>
                <w:b w:val="0"/>
                <w:color w:val="FFFFFF" w:themeColor="background1"/>
              </w:rPr>
            </w:pPr>
            <w:r w:rsidRPr="00BD16B4">
              <w:rPr>
                <w:color w:val="FFFFFF" w:themeColor="background1"/>
              </w:rPr>
              <w:t>Change from WEM in 2035 (%)</w:t>
            </w:r>
          </w:p>
        </w:tc>
      </w:tr>
      <w:tr w:rsidR="007C259A" w:rsidRPr="00BD16B4" w14:paraId="6C0E4591" w14:textId="77777777" w:rsidTr="004B79F7">
        <w:tc>
          <w:tcPr>
            <w:tcW w:w="1403" w:type="dxa"/>
            <w:tcBorders>
              <w:bottom w:val="single" w:sz="4" w:space="0" w:color="1B556B" w:themeColor="text2"/>
            </w:tcBorders>
          </w:tcPr>
          <w:p w14:paraId="37D9B32B" w14:textId="77777777" w:rsidR="007C259A" w:rsidRPr="00BD16B4" w:rsidRDefault="007C259A" w:rsidP="00F31129">
            <w:pPr>
              <w:pStyle w:val="TableText"/>
              <w:spacing w:before="40" w:after="40"/>
            </w:pPr>
            <w:r w:rsidRPr="00BD16B4">
              <w:t>High emissions</w:t>
            </w:r>
          </w:p>
        </w:tc>
        <w:tc>
          <w:tcPr>
            <w:tcW w:w="876" w:type="dxa"/>
            <w:tcBorders>
              <w:bottom w:val="single" w:sz="4" w:space="0" w:color="1B556B" w:themeColor="text2"/>
            </w:tcBorders>
          </w:tcPr>
          <w:p w14:paraId="35BB5409" w14:textId="77777777" w:rsidR="007C259A" w:rsidRPr="00BD16B4" w:rsidRDefault="007C259A" w:rsidP="00F31129">
            <w:pPr>
              <w:pStyle w:val="TableText"/>
              <w:spacing w:before="40" w:after="40"/>
              <w:jc w:val="center"/>
            </w:pPr>
            <w:r w:rsidRPr="00BD16B4">
              <w:t>15.8</w:t>
            </w:r>
          </w:p>
        </w:tc>
        <w:tc>
          <w:tcPr>
            <w:tcW w:w="875" w:type="dxa"/>
            <w:tcBorders>
              <w:bottom w:val="single" w:sz="4" w:space="0" w:color="1B556B" w:themeColor="text2"/>
            </w:tcBorders>
          </w:tcPr>
          <w:p w14:paraId="6E93BED3" w14:textId="77777777" w:rsidR="007C259A" w:rsidRPr="00BD16B4" w:rsidRDefault="007C259A" w:rsidP="00F31129">
            <w:pPr>
              <w:pStyle w:val="TableText"/>
              <w:spacing w:before="40" w:after="40"/>
              <w:jc w:val="center"/>
            </w:pPr>
            <w:r w:rsidRPr="00BD16B4">
              <w:t>18.1</w:t>
            </w:r>
          </w:p>
        </w:tc>
        <w:tc>
          <w:tcPr>
            <w:tcW w:w="866" w:type="dxa"/>
            <w:tcBorders>
              <w:bottom w:val="single" w:sz="4" w:space="0" w:color="1B556B" w:themeColor="text2"/>
            </w:tcBorders>
            <w:shd w:val="clear" w:color="auto" w:fill="D2DDE1" w:themeFill="background2"/>
          </w:tcPr>
          <w:p w14:paraId="350C9186" w14:textId="77777777" w:rsidR="007C259A" w:rsidRPr="00BD16B4" w:rsidRDefault="007C259A" w:rsidP="00F31129">
            <w:pPr>
              <w:pStyle w:val="TableText"/>
              <w:spacing w:before="40" w:after="40"/>
              <w:jc w:val="center"/>
            </w:pPr>
            <w:r w:rsidRPr="00BD16B4">
              <w:t>13.6</w:t>
            </w:r>
          </w:p>
        </w:tc>
        <w:tc>
          <w:tcPr>
            <w:tcW w:w="866" w:type="dxa"/>
            <w:tcBorders>
              <w:bottom w:val="single" w:sz="4" w:space="0" w:color="1B556B" w:themeColor="text2"/>
            </w:tcBorders>
            <w:shd w:val="clear" w:color="auto" w:fill="D2DDE1" w:themeFill="background2"/>
          </w:tcPr>
          <w:p w14:paraId="3E3798AC" w14:textId="77777777" w:rsidR="007C259A" w:rsidRPr="00BD16B4" w:rsidRDefault="007C259A" w:rsidP="00F31129">
            <w:pPr>
              <w:pStyle w:val="TableText"/>
              <w:spacing w:before="40" w:after="40"/>
              <w:jc w:val="center"/>
            </w:pPr>
            <w:r w:rsidRPr="00BD16B4">
              <w:t>12.3</w:t>
            </w:r>
          </w:p>
        </w:tc>
        <w:tc>
          <w:tcPr>
            <w:tcW w:w="947" w:type="dxa"/>
            <w:tcBorders>
              <w:bottom w:val="single" w:sz="4" w:space="0" w:color="1B556B" w:themeColor="text2"/>
            </w:tcBorders>
            <w:shd w:val="clear" w:color="auto" w:fill="D2DDE1" w:themeFill="background2"/>
          </w:tcPr>
          <w:p w14:paraId="75E8D3E6" w14:textId="77777777" w:rsidR="007C259A" w:rsidRPr="00BD16B4" w:rsidRDefault="007C259A" w:rsidP="00F31129">
            <w:pPr>
              <w:pStyle w:val="TableText"/>
              <w:spacing w:before="40" w:after="40"/>
              <w:jc w:val="center"/>
            </w:pPr>
            <w:r w:rsidRPr="00BD16B4">
              <w:t>11.5</w:t>
            </w:r>
          </w:p>
        </w:tc>
        <w:tc>
          <w:tcPr>
            <w:tcW w:w="1534" w:type="dxa"/>
            <w:tcBorders>
              <w:bottom w:val="single" w:sz="4" w:space="0" w:color="1B556B" w:themeColor="text2"/>
            </w:tcBorders>
            <w:shd w:val="clear" w:color="auto" w:fill="D2DDE1" w:themeFill="background2"/>
          </w:tcPr>
          <w:p w14:paraId="00162175" w14:textId="77777777" w:rsidR="007C259A" w:rsidRPr="00BD16B4" w:rsidRDefault="007C259A" w:rsidP="00F31129">
            <w:pPr>
              <w:pStyle w:val="TableText"/>
              <w:spacing w:before="40" w:after="40"/>
              <w:jc w:val="center"/>
            </w:pPr>
            <w:r w:rsidRPr="00BD16B4">
              <w:t>4.5</w:t>
            </w:r>
          </w:p>
        </w:tc>
      </w:tr>
      <w:tr w:rsidR="007C259A" w:rsidRPr="00BD16B4" w14:paraId="5D87B736" w14:textId="77777777" w:rsidTr="004B79F7">
        <w:tc>
          <w:tcPr>
            <w:tcW w:w="1403" w:type="dxa"/>
          </w:tcPr>
          <w:p w14:paraId="7A8FB120" w14:textId="77777777" w:rsidR="007C259A" w:rsidRPr="00BD16B4" w:rsidRDefault="007C259A" w:rsidP="00F31129">
            <w:pPr>
              <w:pStyle w:val="TableText"/>
              <w:spacing w:before="40" w:after="40"/>
            </w:pPr>
            <w:r w:rsidRPr="00BD16B4">
              <w:t>WEM</w:t>
            </w:r>
          </w:p>
        </w:tc>
        <w:tc>
          <w:tcPr>
            <w:tcW w:w="876" w:type="dxa"/>
          </w:tcPr>
          <w:p w14:paraId="758B245D" w14:textId="77777777" w:rsidR="007C259A" w:rsidRPr="00BD16B4" w:rsidRDefault="007C259A" w:rsidP="00F31129">
            <w:pPr>
              <w:pStyle w:val="TableText"/>
              <w:spacing w:before="40" w:after="40"/>
              <w:jc w:val="center"/>
            </w:pPr>
            <w:r w:rsidRPr="00BD16B4">
              <w:t>15.8</w:t>
            </w:r>
          </w:p>
        </w:tc>
        <w:tc>
          <w:tcPr>
            <w:tcW w:w="875" w:type="dxa"/>
          </w:tcPr>
          <w:p w14:paraId="75FEFAD8" w14:textId="77777777" w:rsidR="007C259A" w:rsidRPr="00BD16B4" w:rsidRDefault="007C259A" w:rsidP="00F31129">
            <w:pPr>
              <w:pStyle w:val="TableText"/>
              <w:spacing w:before="40" w:after="40"/>
              <w:jc w:val="center"/>
            </w:pPr>
            <w:r w:rsidRPr="00BD16B4">
              <w:t>18.3</w:t>
            </w:r>
          </w:p>
        </w:tc>
        <w:tc>
          <w:tcPr>
            <w:tcW w:w="866" w:type="dxa"/>
            <w:shd w:val="clear" w:color="auto" w:fill="D2DDE1" w:themeFill="background2"/>
          </w:tcPr>
          <w:p w14:paraId="51EA226F" w14:textId="77777777" w:rsidR="007C259A" w:rsidRPr="00BD16B4" w:rsidRDefault="007C259A" w:rsidP="00F31129">
            <w:pPr>
              <w:pStyle w:val="TableText"/>
              <w:spacing w:before="40" w:after="40"/>
              <w:jc w:val="center"/>
            </w:pPr>
            <w:r w:rsidRPr="00BD16B4">
              <w:t>13.6</w:t>
            </w:r>
          </w:p>
        </w:tc>
        <w:tc>
          <w:tcPr>
            <w:tcW w:w="866" w:type="dxa"/>
            <w:shd w:val="clear" w:color="auto" w:fill="D2DDE1" w:themeFill="background2"/>
          </w:tcPr>
          <w:p w14:paraId="1E37E0CE" w14:textId="77777777" w:rsidR="007C259A" w:rsidRPr="00BD16B4" w:rsidRDefault="007C259A" w:rsidP="00F31129">
            <w:pPr>
              <w:pStyle w:val="TableText"/>
              <w:spacing w:before="40" w:after="40"/>
              <w:jc w:val="center"/>
            </w:pPr>
            <w:r w:rsidRPr="00BD16B4">
              <w:t>12.1</w:t>
            </w:r>
          </w:p>
        </w:tc>
        <w:tc>
          <w:tcPr>
            <w:tcW w:w="947" w:type="dxa"/>
            <w:shd w:val="clear" w:color="auto" w:fill="D2DDE1" w:themeFill="background2"/>
          </w:tcPr>
          <w:p w14:paraId="60B80890" w14:textId="77777777" w:rsidR="007C259A" w:rsidRPr="00BD16B4" w:rsidRDefault="007C259A" w:rsidP="00F31129">
            <w:pPr>
              <w:pStyle w:val="TableText"/>
              <w:spacing w:before="40" w:after="40"/>
              <w:jc w:val="center"/>
            </w:pPr>
            <w:r w:rsidRPr="00BD16B4">
              <w:t>11.0</w:t>
            </w:r>
          </w:p>
        </w:tc>
        <w:tc>
          <w:tcPr>
            <w:tcW w:w="1534" w:type="dxa"/>
            <w:shd w:val="clear" w:color="auto" w:fill="D2DDE1" w:themeFill="background2"/>
          </w:tcPr>
          <w:p w14:paraId="0F2D7254" w14:textId="77777777" w:rsidR="007C259A" w:rsidRPr="00BD16B4" w:rsidRDefault="007C259A" w:rsidP="00F31129">
            <w:pPr>
              <w:pStyle w:val="TableText"/>
              <w:spacing w:before="40" w:after="40"/>
              <w:jc w:val="center"/>
            </w:pPr>
            <w:r w:rsidRPr="00BD16B4">
              <w:t>0</w:t>
            </w:r>
          </w:p>
        </w:tc>
      </w:tr>
      <w:tr w:rsidR="007C259A" w:rsidRPr="00BD16B4" w14:paraId="357BBD07" w14:textId="77777777" w:rsidTr="004B79F7">
        <w:tc>
          <w:tcPr>
            <w:tcW w:w="1403" w:type="dxa"/>
          </w:tcPr>
          <w:p w14:paraId="3A8C8363" w14:textId="77777777" w:rsidR="007C259A" w:rsidRPr="00BD16B4" w:rsidRDefault="007C259A" w:rsidP="00F31129">
            <w:pPr>
              <w:pStyle w:val="TableText"/>
              <w:spacing w:before="40" w:after="40"/>
            </w:pPr>
            <w:r w:rsidRPr="00BD16B4">
              <w:t>Low emissions</w:t>
            </w:r>
          </w:p>
        </w:tc>
        <w:tc>
          <w:tcPr>
            <w:tcW w:w="876" w:type="dxa"/>
          </w:tcPr>
          <w:p w14:paraId="3B992E9A" w14:textId="77777777" w:rsidR="007C259A" w:rsidRPr="00BD16B4" w:rsidRDefault="007C259A" w:rsidP="00F31129">
            <w:pPr>
              <w:pStyle w:val="TableText"/>
              <w:spacing w:before="40" w:after="40"/>
              <w:jc w:val="center"/>
            </w:pPr>
            <w:r w:rsidRPr="00BD16B4">
              <w:t>15.8</w:t>
            </w:r>
          </w:p>
        </w:tc>
        <w:tc>
          <w:tcPr>
            <w:tcW w:w="875" w:type="dxa"/>
          </w:tcPr>
          <w:p w14:paraId="7E9DA847" w14:textId="77777777" w:rsidR="007C259A" w:rsidRPr="00BD16B4" w:rsidRDefault="007C259A" w:rsidP="00F31129">
            <w:pPr>
              <w:pStyle w:val="TableText"/>
              <w:spacing w:before="40" w:after="40"/>
              <w:jc w:val="center"/>
            </w:pPr>
            <w:r w:rsidRPr="00BD16B4">
              <w:t>18.3</w:t>
            </w:r>
          </w:p>
        </w:tc>
        <w:tc>
          <w:tcPr>
            <w:tcW w:w="866" w:type="dxa"/>
            <w:shd w:val="clear" w:color="auto" w:fill="D2DDE1" w:themeFill="background2"/>
          </w:tcPr>
          <w:p w14:paraId="014D9FF0" w14:textId="77777777" w:rsidR="007C259A" w:rsidRPr="00BD16B4" w:rsidRDefault="007C259A" w:rsidP="00F31129">
            <w:pPr>
              <w:pStyle w:val="TableText"/>
              <w:spacing w:before="40" w:after="40"/>
              <w:jc w:val="center"/>
            </w:pPr>
            <w:r w:rsidRPr="00BD16B4">
              <w:t>13.5</w:t>
            </w:r>
          </w:p>
        </w:tc>
        <w:tc>
          <w:tcPr>
            <w:tcW w:w="866" w:type="dxa"/>
            <w:shd w:val="clear" w:color="auto" w:fill="D2DDE1" w:themeFill="background2"/>
          </w:tcPr>
          <w:p w14:paraId="19FD5C48" w14:textId="77777777" w:rsidR="007C259A" w:rsidRPr="00BD16B4" w:rsidRDefault="007C259A" w:rsidP="00F31129">
            <w:pPr>
              <w:pStyle w:val="TableText"/>
              <w:spacing w:before="40" w:after="40"/>
              <w:jc w:val="center"/>
            </w:pPr>
            <w:r w:rsidRPr="00BD16B4">
              <w:t>11.8</w:t>
            </w:r>
          </w:p>
        </w:tc>
        <w:tc>
          <w:tcPr>
            <w:tcW w:w="947" w:type="dxa"/>
            <w:shd w:val="clear" w:color="auto" w:fill="D2DDE1" w:themeFill="background2"/>
          </w:tcPr>
          <w:p w14:paraId="27CA0270" w14:textId="77777777" w:rsidR="007C259A" w:rsidRPr="00BD16B4" w:rsidRDefault="007C259A" w:rsidP="00F31129">
            <w:pPr>
              <w:pStyle w:val="TableText"/>
              <w:spacing w:before="40" w:after="40"/>
              <w:jc w:val="center"/>
            </w:pPr>
            <w:r w:rsidRPr="00BD16B4">
              <w:t>10.6</w:t>
            </w:r>
          </w:p>
        </w:tc>
        <w:tc>
          <w:tcPr>
            <w:tcW w:w="1534" w:type="dxa"/>
            <w:shd w:val="clear" w:color="auto" w:fill="D2DDE1" w:themeFill="background2"/>
          </w:tcPr>
          <w:p w14:paraId="0BCC3E39" w14:textId="77777777" w:rsidR="007C259A" w:rsidRPr="00BD16B4" w:rsidRDefault="007C259A" w:rsidP="00F31129">
            <w:pPr>
              <w:pStyle w:val="TableText"/>
              <w:spacing w:before="40" w:after="40"/>
              <w:jc w:val="center"/>
            </w:pPr>
            <w:r w:rsidRPr="00BD16B4">
              <w:t>–3.6</w:t>
            </w:r>
          </w:p>
        </w:tc>
      </w:tr>
    </w:tbl>
    <w:p w14:paraId="670F8D18" w14:textId="77777777" w:rsidR="007C259A" w:rsidRPr="00BD16B4" w:rsidRDefault="007C259A" w:rsidP="00120409">
      <w:pPr>
        <w:pStyle w:val="Note"/>
      </w:pPr>
      <w:r w:rsidRPr="00BD16B4">
        <w:rPr>
          <w:b/>
          <w:bCs/>
        </w:rPr>
        <w:t>Note:</w:t>
      </w:r>
      <w:r w:rsidRPr="00BD16B4">
        <w:t xml:space="preserve"> Mt CO</w:t>
      </w:r>
      <w:r w:rsidRPr="00BD16B4">
        <w:rPr>
          <w:vertAlign w:val="subscript"/>
        </w:rPr>
        <w:t>2</w:t>
      </w:r>
      <w:r w:rsidRPr="00BD16B4">
        <w:t>-e = million tonnes of carbon dioxide equivalent; WEM = with existing measures.</w:t>
      </w:r>
    </w:p>
    <w:p w14:paraId="5AA4C841" w14:textId="77777777" w:rsidR="007C259A" w:rsidRPr="00BD16B4" w:rsidRDefault="007C259A" w:rsidP="007C259A">
      <w:pPr>
        <w:pStyle w:val="Heading3"/>
        <w:spacing w:before="240"/>
      </w:pPr>
      <w:r w:rsidRPr="00BD16B4">
        <w:t>5.5.2</w:t>
      </w:r>
      <w:r w:rsidRPr="00BD16B4">
        <w:tab/>
        <w:t>Transport</w:t>
      </w:r>
    </w:p>
    <w:p w14:paraId="7EA34D16" w14:textId="77777777" w:rsidR="007C259A" w:rsidRPr="00BD16B4" w:rsidRDefault="007C259A" w:rsidP="007C259A">
      <w:pPr>
        <w:pStyle w:val="BodyText"/>
        <w:spacing w:before="100" w:after="100"/>
      </w:pPr>
      <w:r w:rsidRPr="00BD16B4">
        <w:t>Emissions from transport activities are expected to rise in the short term due to growth in travel demand. They are then anticipated to plateau at 15.1 Mt CO</w:t>
      </w:r>
      <w:r w:rsidRPr="00BD16B4">
        <w:rPr>
          <w:vertAlign w:val="subscript"/>
        </w:rPr>
        <w:t>2</w:t>
      </w:r>
      <w:r w:rsidRPr="00BD16B4">
        <w:t>-e in 2023, before declining due to the uptake of electric vehicles (EVs) (which predominantly use renewable electricity) and continued improvements in fuel efficiency for new vehicles without the implementation of any specific policy or measure. In 2035 emissions from transport are projected to be 13.8 Mt CO</w:t>
      </w:r>
      <w:r w:rsidRPr="00BD16B4">
        <w:rPr>
          <w:vertAlign w:val="subscript"/>
        </w:rPr>
        <w:t>2</w:t>
      </w:r>
      <w:r w:rsidRPr="00BD16B4">
        <w:t>-e (table 5.16).</w:t>
      </w:r>
    </w:p>
    <w:p w14:paraId="59D13F46" w14:textId="77777777" w:rsidR="007C259A" w:rsidRPr="00BD16B4" w:rsidRDefault="007C259A" w:rsidP="007C259A">
      <w:pPr>
        <w:pStyle w:val="BodyText"/>
        <w:spacing w:before="100" w:after="100"/>
      </w:pPr>
      <w:r w:rsidRPr="00BD16B4">
        <w:lastRenderedPageBreak/>
        <w:t>The New Zealand vehicle fleet is near saturation on a per capita basis. Because New Zealand has a slow rate of vehicle replacement, the vehicle fleet is older than in many other countries; consequently, fuel efficiency improvements or the uptake of EVs will take longer to have an effect in New Zealand relative to other developed countries.</w:t>
      </w:r>
    </w:p>
    <w:p w14:paraId="4B754B0D" w14:textId="77777777" w:rsidR="007C259A" w:rsidRPr="00BD16B4" w:rsidRDefault="007C259A" w:rsidP="00BB7302">
      <w:pPr>
        <w:pStyle w:val="Tableheading"/>
      </w:pPr>
      <w:bookmarkStart w:id="296" w:name="_Toc121773806"/>
      <w:r w:rsidRPr="00BD16B4">
        <w:t xml:space="preserve">Table 5.16: </w:t>
      </w:r>
      <w:r w:rsidRPr="00BD16B4">
        <w:tab/>
        <w:t>Historical and projected transport sector emissions by gas and subsector under the ‘with existing measures’ scenario, 1990–2035 (Mt CO</w:t>
      </w:r>
      <w:r w:rsidRPr="00BD16B4">
        <w:rPr>
          <w:vertAlign w:val="subscript"/>
        </w:rPr>
        <w:t>2</w:t>
      </w:r>
      <w:r w:rsidRPr="00BD16B4">
        <w:t>-e)</w:t>
      </w:r>
      <w:bookmarkEnd w:id="296"/>
    </w:p>
    <w:tbl>
      <w:tblPr>
        <w:tblStyle w:val="TableGrid1"/>
        <w:tblW w:w="8505" w:type="dxa"/>
        <w:tblInd w:w="113" w:type="dxa"/>
        <w:tblLook w:val="04A0" w:firstRow="1" w:lastRow="0" w:firstColumn="1" w:lastColumn="0" w:noHBand="0" w:noVBand="1"/>
      </w:tblPr>
      <w:tblGrid>
        <w:gridCol w:w="1276"/>
        <w:gridCol w:w="795"/>
        <w:gridCol w:w="687"/>
        <w:gridCol w:w="688"/>
        <w:gridCol w:w="688"/>
        <w:gridCol w:w="688"/>
        <w:gridCol w:w="688"/>
        <w:gridCol w:w="688"/>
        <w:gridCol w:w="688"/>
        <w:gridCol w:w="769"/>
        <w:gridCol w:w="850"/>
      </w:tblGrid>
      <w:tr w:rsidR="007C259A" w:rsidRPr="00BD16B4" w14:paraId="1559F6A2" w14:textId="77777777" w:rsidTr="00311E27">
        <w:tc>
          <w:tcPr>
            <w:tcW w:w="1276" w:type="dxa"/>
            <w:tcBorders>
              <w:bottom w:val="nil"/>
              <w:right w:val="nil"/>
            </w:tcBorders>
            <w:shd w:val="clear" w:color="auto" w:fill="1B556B" w:themeFill="text2"/>
          </w:tcPr>
          <w:p w14:paraId="6DCD1DC4" w14:textId="77777777" w:rsidR="007C259A" w:rsidRPr="00BD16B4" w:rsidRDefault="007C259A" w:rsidP="00F31129">
            <w:pPr>
              <w:pStyle w:val="TableTextBold0"/>
              <w:keepNext/>
              <w:spacing w:before="40" w:after="0"/>
              <w:jc w:val="center"/>
              <w:rPr>
                <w:b w:val="0"/>
                <w:bCs/>
                <w:color w:val="FFFFFF" w:themeColor="background1"/>
                <w:szCs w:val="18"/>
                <w:lang w:val="en-NZ"/>
              </w:rPr>
            </w:pPr>
          </w:p>
        </w:tc>
        <w:tc>
          <w:tcPr>
            <w:tcW w:w="4922" w:type="dxa"/>
            <w:gridSpan w:val="7"/>
            <w:tcBorders>
              <w:left w:val="nil"/>
              <w:bottom w:val="nil"/>
              <w:right w:val="nil"/>
            </w:tcBorders>
            <w:shd w:val="clear" w:color="auto" w:fill="1B556B" w:themeFill="text2"/>
          </w:tcPr>
          <w:p w14:paraId="70FBE58E" w14:textId="77777777" w:rsidR="007C259A" w:rsidRPr="00BD16B4" w:rsidRDefault="007C259A" w:rsidP="00F31129">
            <w:pPr>
              <w:pStyle w:val="TableTextBold0"/>
              <w:keepNext/>
              <w:spacing w:before="40" w:after="0"/>
              <w:jc w:val="center"/>
              <w:rPr>
                <w:b w:val="0"/>
                <w:bCs/>
                <w:color w:val="FFFFFF" w:themeColor="background1"/>
                <w:szCs w:val="18"/>
                <w:lang w:val="en-NZ"/>
              </w:rPr>
            </w:pPr>
            <w:r w:rsidRPr="00BD16B4">
              <w:rPr>
                <w:color w:val="FFFFFF" w:themeColor="background1"/>
                <w:szCs w:val="18"/>
                <w:lang w:val="en-NZ"/>
              </w:rPr>
              <w:t>Historical</w:t>
            </w:r>
          </w:p>
        </w:tc>
        <w:tc>
          <w:tcPr>
            <w:tcW w:w="2307" w:type="dxa"/>
            <w:gridSpan w:val="3"/>
            <w:tcBorders>
              <w:left w:val="nil"/>
              <w:bottom w:val="nil"/>
            </w:tcBorders>
            <w:shd w:val="clear" w:color="auto" w:fill="1B556B" w:themeFill="text2"/>
          </w:tcPr>
          <w:p w14:paraId="0AA27472" w14:textId="77777777" w:rsidR="007C259A" w:rsidRPr="00BD16B4" w:rsidRDefault="007C259A" w:rsidP="00F31129">
            <w:pPr>
              <w:pStyle w:val="TableTextBold0"/>
              <w:keepNext/>
              <w:spacing w:before="40" w:after="0"/>
              <w:jc w:val="center"/>
              <w:rPr>
                <w:b w:val="0"/>
                <w:color w:val="FFFFFF" w:themeColor="background1"/>
                <w:szCs w:val="18"/>
                <w:lang w:val="en-NZ"/>
              </w:rPr>
            </w:pPr>
            <w:r w:rsidRPr="00BD16B4">
              <w:rPr>
                <w:color w:val="FFFFFF" w:themeColor="background1"/>
                <w:szCs w:val="18"/>
                <w:lang w:val="en-NZ"/>
              </w:rPr>
              <w:t>Projected</w:t>
            </w:r>
          </w:p>
        </w:tc>
      </w:tr>
      <w:tr w:rsidR="007C259A" w:rsidRPr="00BD16B4" w14:paraId="484541BC" w14:textId="77777777" w:rsidTr="00311E27">
        <w:tc>
          <w:tcPr>
            <w:tcW w:w="1276" w:type="dxa"/>
            <w:tcBorders>
              <w:top w:val="nil"/>
              <w:right w:val="nil"/>
            </w:tcBorders>
            <w:shd w:val="clear" w:color="auto" w:fill="1B556B" w:themeFill="text2"/>
          </w:tcPr>
          <w:p w14:paraId="375767B0" w14:textId="77777777" w:rsidR="007C259A" w:rsidRPr="00BD16B4" w:rsidRDefault="007C259A" w:rsidP="00F31129">
            <w:pPr>
              <w:pStyle w:val="TableTextBold0"/>
              <w:keepNext/>
              <w:spacing w:before="40" w:after="40"/>
              <w:rPr>
                <w:b w:val="0"/>
                <w:color w:val="FFFFFF" w:themeColor="background1"/>
                <w:szCs w:val="18"/>
                <w:lang w:val="en-NZ"/>
              </w:rPr>
            </w:pPr>
            <w:r w:rsidRPr="00BD16B4">
              <w:rPr>
                <w:color w:val="FFFFFF" w:themeColor="background1"/>
                <w:szCs w:val="18"/>
                <w:lang w:val="en-NZ"/>
              </w:rPr>
              <w:t>Gas</w:t>
            </w:r>
          </w:p>
        </w:tc>
        <w:tc>
          <w:tcPr>
            <w:tcW w:w="795" w:type="dxa"/>
            <w:tcBorders>
              <w:top w:val="nil"/>
              <w:left w:val="nil"/>
              <w:right w:val="nil"/>
            </w:tcBorders>
            <w:shd w:val="clear" w:color="auto" w:fill="1B556B" w:themeFill="text2"/>
          </w:tcPr>
          <w:p w14:paraId="2F31A5AD"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1990</w:t>
            </w:r>
          </w:p>
        </w:tc>
        <w:tc>
          <w:tcPr>
            <w:tcW w:w="687" w:type="dxa"/>
            <w:tcBorders>
              <w:top w:val="nil"/>
              <w:left w:val="nil"/>
              <w:right w:val="nil"/>
            </w:tcBorders>
            <w:shd w:val="clear" w:color="auto" w:fill="1B556B" w:themeFill="text2"/>
          </w:tcPr>
          <w:p w14:paraId="1EADB66A"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1995</w:t>
            </w:r>
          </w:p>
        </w:tc>
        <w:tc>
          <w:tcPr>
            <w:tcW w:w="688" w:type="dxa"/>
            <w:tcBorders>
              <w:top w:val="nil"/>
              <w:left w:val="nil"/>
              <w:right w:val="nil"/>
            </w:tcBorders>
            <w:shd w:val="clear" w:color="auto" w:fill="1B556B" w:themeFill="text2"/>
          </w:tcPr>
          <w:p w14:paraId="093BCED0"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2000</w:t>
            </w:r>
          </w:p>
        </w:tc>
        <w:tc>
          <w:tcPr>
            <w:tcW w:w="688" w:type="dxa"/>
            <w:tcBorders>
              <w:top w:val="nil"/>
              <w:left w:val="nil"/>
              <w:right w:val="nil"/>
            </w:tcBorders>
            <w:shd w:val="clear" w:color="auto" w:fill="1B556B" w:themeFill="text2"/>
          </w:tcPr>
          <w:p w14:paraId="5679ADEB"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2005</w:t>
            </w:r>
          </w:p>
        </w:tc>
        <w:tc>
          <w:tcPr>
            <w:tcW w:w="688" w:type="dxa"/>
            <w:tcBorders>
              <w:top w:val="nil"/>
              <w:left w:val="nil"/>
              <w:right w:val="nil"/>
            </w:tcBorders>
            <w:shd w:val="clear" w:color="auto" w:fill="1B556B" w:themeFill="text2"/>
          </w:tcPr>
          <w:p w14:paraId="1511FE98"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2010</w:t>
            </w:r>
          </w:p>
        </w:tc>
        <w:tc>
          <w:tcPr>
            <w:tcW w:w="688" w:type="dxa"/>
            <w:tcBorders>
              <w:top w:val="nil"/>
              <w:left w:val="nil"/>
              <w:right w:val="nil"/>
            </w:tcBorders>
            <w:shd w:val="clear" w:color="auto" w:fill="1B556B" w:themeFill="text2"/>
          </w:tcPr>
          <w:p w14:paraId="6E60C81C"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2015</w:t>
            </w:r>
          </w:p>
        </w:tc>
        <w:tc>
          <w:tcPr>
            <w:tcW w:w="688" w:type="dxa"/>
            <w:tcBorders>
              <w:top w:val="nil"/>
              <w:left w:val="nil"/>
              <w:right w:val="nil"/>
            </w:tcBorders>
            <w:shd w:val="clear" w:color="auto" w:fill="1B556B" w:themeFill="text2"/>
          </w:tcPr>
          <w:p w14:paraId="11E9D189"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2020</w:t>
            </w:r>
          </w:p>
        </w:tc>
        <w:tc>
          <w:tcPr>
            <w:tcW w:w="688" w:type="dxa"/>
            <w:tcBorders>
              <w:top w:val="nil"/>
              <w:left w:val="nil"/>
              <w:bottom w:val="single" w:sz="4" w:space="0" w:color="1B556B" w:themeColor="text2"/>
              <w:right w:val="nil"/>
            </w:tcBorders>
            <w:shd w:val="clear" w:color="auto" w:fill="1B556B" w:themeFill="text2"/>
          </w:tcPr>
          <w:p w14:paraId="521835E2"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2025</w:t>
            </w:r>
          </w:p>
        </w:tc>
        <w:tc>
          <w:tcPr>
            <w:tcW w:w="769" w:type="dxa"/>
            <w:tcBorders>
              <w:top w:val="nil"/>
              <w:left w:val="nil"/>
              <w:bottom w:val="single" w:sz="4" w:space="0" w:color="1B556B" w:themeColor="text2"/>
              <w:right w:val="nil"/>
            </w:tcBorders>
            <w:shd w:val="clear" w:color="auto" w:fill="1B556B" w:themeFill="text2"/>
          </w:tcPr>
          <w:p w14:paraId="05D7F306"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2030</w:t>
            </w:r>
          </w:p>
        </w:tc>
        <w:tc>
          <w:tcPr>
            <w:tcW w:w="850" w:type="dxa"/>
            <w:tcBorders>
              <w:top w:val="nil"/>
              <w:left w:val="nil"/>
              <w:bottom w:val="single" w:sz="4" w:space="0" w:color="1B556B" w:themeColor="text2"/>
            </w:tcBorders>
            <w:shd w:val="clear" w:color="auto" w:fill="1B556B" w:themeFill="text2"/>
          </w:tcPr>
          <w:p w14:paraId="4892F170"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2035</w:t>
            </w:r>
          </w:p>
        </w:tc>
      </w:tr>
      <w:tr w:rsidR="007C259A" w:rsidRPr="00BD16B4" w14:paraId="1AAEA872" w14:textId="77777777" w:rsidTr="004B79F7">
        <w:tc>
          <w:tcPr>
            <w:tcW w:w="1276" w:type="dxa"/>
          </w:tcPr>
          <w:p w14:paraId="23F7A04A" w14:textId="77777777" w:rsidR="007C259A" w:rsidRPr="00BD16B4" w:rsidRDefault="007C259A" w:rsidP="00F31129">
            <w:pPr>
              <w:pStyle w:val="TableText"/>
              <w:keepNext/>
              <w:spacing w:before="40" w:after="40"/>
              <w:rPr>
                <w:rFonts w:cs="Calibri"/>
                <w:b/>
                <w:bCs/>
                <w:szCs w:val="18"/>
                <w:lang w:val="en-NZ"/>
              </w:rPr>
            </w:pPr>
            <w:r w:rsidRPr="00BD16B4">
              <w:rPr>
                <w:rFonts w:cs="Calibri"/>
                <w:szCs w:val="18"/>
                <w:lang w:val="en-NZ"/>
              </w:rPr>
              <w:t>CO</w:t>
            </w:r>
            <w:r w:rsidRPr="00BD16B4">
              <w:rPr>
                <w:rFonts w:cs="Calibri"/>
                <w:szCs w:val="18"/>
                <w:vertAlign w:val="subscript"/>
                <w:lang w:val="en-NZ"/>
              </w:rPr>
              <w:t>2</w:t>
            </w:r>
          </w:p>
        </w:tc>
        <w:tc>
          <w:tcPr>
            <w:tcW w:w="795" w:type="dxa"/>
          </w:tcPr>
          <w:p w14:paraId="6DCD0C4C" w14:textId="77777777" w:rsidR="007C259A" w:rsidRPr="00BD16B4" w:rsidRDefault="007C259A" w:rsidP="00F31129">
            <w:pPr>
              <w:pStyle w:val="TableText"/>
              <w:keepNext/>
              <w:spacing w:before="40" w:after="40"/>
              <w:jc w:val="center"/>
              <w:rPr>
                <w:rFonts w:cs="Calibri"/>
                <w:color w:val="000000"/>
                <w:szCs w:val="18"/>
                <w:lang w:val="en-NZ"/>
              </w:rPr>
            </w:pPr>
            <w:r w:rsidRPr="00BD16B4">
              <w:rPr>
                <w:rFonts w:cs="Calibri"/>
                <w:color w:val="000000"/>
                <w:szCs w:val="18"/>
                <w:lang w:val="en-NZ"/>
              </w:rPr>
              <w:t>7.9</w:t>
            </w:r>
          </w:p>
        </w:tc>
        <w:tc>
          <w:tcPr>
            <w:tcW w:w="687" w:type="dxa"/>
          </w:tcPr>
          <w:p w14:paraId="6E5DC282" w14:textId="77777777" w:rsidR="007C259A" w:rsidRPr="00BD16B4" w:rsidRDefault="007C259A" w:rsidP="00F31129">
            <w:pPr>
              <w:pStyle w:val="TableText"/>
              <w:keepNext/>
              <w:spacing w:before="40" w:after="40"/>
              <w:jc w:val="center"/>
              <w:rPr>
                <w:rFonts w:cs="Calibri"/>
                <w:color w:val="000000"/>
                <w:szCs w:val="18"/>
                <w:lang w:val="en-NZ"/>
              </w:rPr>
            </w:pPr>
            <w:r w:rsidRPr="00BD16B4">
              <w:rPr>
                <w:rFonts w:cs="Calibri"/>
                <w:color w:val="000000"/>
                <w:szCs w:val="18"/>
                <w:lang w:val="en-NZ"/>
              </w:rPr>
              <w:t>10.0</w:t>
            </w:r>
          </w:p>
        </w:tc>
        <w:tc>
          <w:tcPr>
            <w:tcW w:w="688" w:type="dxa"/>
          </w:tcPr>
          <w:p w14:paraId="1DFBDBA8" w14:textId="77777777" w:rsidR="007C259A" w:rsidRPr="00BD16B4" w:rsidRDefault="007C259A" w:rsidP="00F31129">
            <w:pPr>
              <w:pStyle w:val="TableText"/>
              <w:keepNext/>
              <w:spacing w:before="40" w:after="40"/>
              <w:jc w:val="center"/>
              <w:rPr>
                <w:rFonts w:cs="Calibri"/>
                <w:color w:val="000000"/>
                <w:szCs w:val="18"/>
                <w:lang w:val="en-NZ"/>
              </w:rPr>
            </w:pPr>
            <w:r w:rsidRPr="00BD16B4">
              <w:rPr>
                <w:rFonts w:cs="Calibri"/>
                <w:color w:val="000000"/>
                <w:szCs w:val="18"/>
                <w:lang w:val="en-NZ"/>
              </w:rPr>
              <w:t>11.4</w:t>
            </w:r>
          </w:p>
        </w:tc>
        <w:tc>
          <w:tcPr>
            <w:tcW w:w="688" w:type="dxa"/>
          </w:tcPr>
          <w:p w14:paraId="62267B32" w14:textId="77777777" w:rsidR="007C259A" w:rsidRPr="00BD16B4" w:rsidRDefault="007C259A" w:rsidP="00F31129">
            <w:pPr>
              <w:pStyle w:val="TableText"/>
              <w:keepNext/>
              <w:spacing w:before="40" w:after="40"/>
              <w:jc w:val="center"/>
              <w:rPr>
                <w:rFonts w:cs="Calibri"/>
                <w:color w:val="000000"/>
                <w:szCs w:val="18"/>
                <w:lang w:val="en-NZ"/>
              </w:rPr>
            </w:pPr>
            <w:r w:rsidRPr="00BD16B4">
              <w:rPr>
                <w:rFonts w:cs="Calibri"/>
                <w:color w:val="000000"/>
                <w:szCs w:val="18"/>
                <w:lang w:val="en-NZ"/>
              </w:rPr>
              <w:t>12.8</w:t>
            </w:r>
          </w:p>
        </w:tc>
        <w:tc>
          <w:tcPr>
            <w:tcW w:w="688" w:type="dxa"/>
          </w:tcPr>
          <w:p w14:paraId="79510BB8" w14:textId="77777777" w:rsidR="007C259A" w:rsidRPr="00BD16B4" w:rsidRDefault="007C259A" w:rsidP="00F31129">
            <w:pPr>
              <w:pStyle w:val="TableText"/>
              <w:keepNext/>
              <w:spacing w:before="40" w:after="40"/>
              <w:jc w:val="center"/>
              <w:rPr>
                <w:rFonts w:cs="Calibri"/>
                <w:color w:val="000000"/>
                <w:szCs w:val="18"/>
                <w:lang w:val="en-NZ"/>
              </w:rPr>
            </w:pPr>
            <w:r w:rsidRPr="00BD16B4">
              <w:rPr>
                <w:rFonts w:cs="Calibri"/>
                <w:color w:val="000000"/>
                <w:szCs w:val="18"/>
                <w:lang w:val="en-NZ"/>
              </w:rPr>
              <w:t>13.1</w:t>
            </w:r>
          </w:p>
        </w:tc>
        <w:tc>
          <w:tcPr>
            <w:tcW w:w="688" w:type="dxa"/>
          </w:tcPr>
          <w:p w14:paraId="353B9AE3" w14:textId="77777777" w:rsidR="007C259A" w:rsidRPr="00BD16B4" w:rsidRDefault="007C259A" w:rsidP="00F31129">
            <w:pPr>
              <w:pStyle w:val="TableText"/>
              <w:keepNext/>
              <w:spacing w:before="40" w:after="40"/>
              <w:jc w:val="center"/>
              <w:rPr>
                <w:rFonts w:cs="Calibri"/>
                <w:color w:val="000000"/>
                <w:szCs w:val="18"/>
                <w:lang w:val="en-NZ"/>
              </w:rPr>
            </w:pPr>
            <w:r w:rsidRPr="00BD16B4">
              <w:rPr>
                <w:rFonts w:cs="Calibri"/>
                <w:color w:val="000000"/>
                <w:szCs w:val="18"/>
                <w:lang w:val="en-NZ"/>
              </w:rPr>
              <w:t>13.6</w:t>
            </w:r>
          </w:p>
        </w:tc>
        <w:tc>
          <w:tcPr>
            <w:tcW w:w="688" w:type="dxa"/>
          </w:tcPr>
          <w:p w14:paraId="4AB1D8D8"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13.1</w:t>
            </w:r>
          </w:p>
        </w:tc>
        <w:tc>
          <w:tcPr>
            <w:tcW w:w="688" w:type="dxa"/>
            <w:shd w:val="clear" w:color="auto" w:fill="D2DDE1" w:themeFill="background2"/>
          </w:tcPr>
          <w:p w14:paraId="23D8C344"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15.0</w:t>
            </w:r>
          </w:p>
        </w:tc>
        <w:tc>
          <w:tcPr>
            <w:tcW w:w="769" w:type="dxa"/>
            <w:shd w:val="clear" w:color="auto" w:fill="D2DDE1" w:themeFill="background2"/>
          </w:tcPr>
          <w:p w14:paraId="4DC7D7A7"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14.7</w:t>
            </w:r>
          </w:p>
        </w:tc>
        <w:tc>
          <w:tcPr>
            <w:tcW w:w="850" w:type="dxa"/>
            <w:shd w:val="clear" w:color="auto" w:fill="D2DDE1" w:themeFill="background2"/>
          </w:tcPr>
          <w:p w14:paraId="06A8F43E"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13.6</w:t>
            </w:r>
          </w:p>
        </w:tc>
      </w:tr>
      <w:tr w:rsidR="007C259A" w:rsidRPr="00BD16B4" w14:paraId="0407008A" w14:textId="77777777" w:rsidTr="004B79F7">
        <w:tc>
          <w:tcPr>
            <w:tcW w:w="1276" w:type="dxa"/>
          </w:tcPr>
          <w:p w14:paraId="3980E08D" w14:textId="77777777" w:rsidR="007C259A" w:rsidRPr="00BD16B4" w:rsidRDefault="007C259A" w:rsidP="00F31129">
            <w:pPr>
              <w:pStyle w:val="TableText"/>
              <w:keepNext/>
              <w:spacing w:before="40" w:after="40"/>
              <w:rPr>
                <w:rFonts w:cs="Calibri"/>
                <w:b/>
                <w:bCs/>
                <w:szCs w:val="18"/>
                <w:lang w:val="en-NZ"/>
              </w:rPr>
            </w:pPr>
            <w:r w:rsidRPr="00BD16B4">
              <w:rPr>
                <w:rFonts w:cs="Calibri"/>
                <w:szCs w:val="18"/>
                <w:lang w:val="en-NZ"/>
              </w:rPr>
              <w:t>CH</w:t>
            </w:r>
            <w:r w:rsidRPr="00BD16B4">
              <w:rPr>
                <w:rFonts w:cs="Calibri"/>
                <w:szCs w:val="18"/>
                <w:vertAlign w:val="subscript"/>
                <w:lang w:val="en-NZ"/>
              </w:rPr>
              <w:t>4</w:t>
            </w:r>
          </w:p>
        </w:tc>
        <w:tc>
          <w:tcPr>
            <w:tcW w:w="795" w:type="dxa"/>
          </w:tcPr>
          <w:p w14:paraId="20335179"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0.1</w:t>
            </w:r>
          </w:p>
        </w:tc>
        <w:tc>
          <w:tcPr>
            <w:tcW w:w="687" w:type="dxa"/>
          </w:tcPr>
          <w:p w14:paraId="6BC95709"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0.1</w:t>
            </w:r>
          </w:p>
        </w:tc>
        <w:tc>
          <w:tcPr>
            <w:tcW w:w="688" w:type="dxa"/>
          </w:tcPr>
          <w:p w14:paraId="261CEA6F"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0.1</w:t>
            </w:r>
          </w:p>
        </w:tc>
        <w:tc>
          <w:tcPr>
            <w:tcW w:w="688" w:type="dxa"/>
          </w:tcPr>
          <w:p w14:paraId="3E5A6909"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0.0</w:t>
            </w:r>
          </w:p>
        </w:tc>
        <w:tc>
          <w:tcPr>
            <w:tcW w:w="688" w:type="dxa"/>
          </w:tcPr>
          <w:p w14:paraId="2D7C4767"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0.0</w:t>
            </w:r>
          </w:p>
        </w:tc>
        <w:tc>
          <w:tcPr>
            <w:tcW w:w="688" w:type="dxa"/>
          </w:tcPr>
          <w:p w14:paraId="13CBF8B0"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0.0</w:t>
            </w:r>
          </w:p>
        </w:tc>
        <w:tc>
          <w:tcPr>
            <w:tcW w:w="688" w:type="dxa"/>
          </w:tcPr>
          <w:p w14:paraId="1310293E"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0.0</w:t>
            </w:r>
          </w:p>
        </w:tc>
        <w:tc>
          <w:tcPr>
            <w:tcW w:w="688" w:type="dxa"/>
            <w:shd w:val="clear" w:color="auto" w:fill="D2DDE1" w:themeFill="background2"/>
          </w:tcPr>
          <w:p w14:paraId="6E0AF6ED"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0.0</w:t>
            </w:r>
          </w:p>
        </w:tc>
        <w:tc>
          <w:tcPr>
            <w:tcW w:w="769" w:type="dxa"/>
            <w:shd w:val="clear" w:color="auto" w:fill="D2DDE1" w:themeFill="background2"/>
          </w:tcPr>
          <w:p w14:paraId="35AFE646"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0.0</w:t>
            </w:r>
          </w:p>
        </w:tc>
        <w:tc>
          <w:tcPr>
            <w:tcW w:w="850" w:type="dxa"/>
            <w:shd w:val="clear" w:color="auto" w:fill="D2DDE1" w:themeFill="background2"/>
          </w:tcPr>
          <w:p w14:paraId="3821CECB"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0.0</w:t>
            </w:r>
          </w:p>
        </w:tc>
      </w:tr>
      <w:tr w:rsidR="007C259A" w:rsidRPr="00BD16B4" w14:paraId="723633CB" w14:textId="77777777" w:rsidTr="004B79F7">
        <w:tc>
          <w:tcPr>
            <w:tcW w:w="1276" w:type="dxa"/>
          </w:tcPr>
          <w:p w14:paraId="1BAC69DA" w14:textId="77777777" w:rsidR="007C259A" w:rsidRPr="00BD16B4" w:rsidRDefault="007C259A" w:rsidP="00F31129">
            <w:pPr>
              <w:pStyle w:val="TableText"/>
              <w:spacing w:before="40" w:after="40"/>
              <w:rPr>
                <w:rFonts w:cs="Calibri"/>
                <w:b/>
                <w:bCs/>
                <w:szCs w:val="18"/>
                <w:lang w:val="en-NZ"/>
              </w:rPr>
            </w:pPr>
            <w:r w:rsidRPr="00BD16B4">
              <w:rPr>
                <w:rFonts w:cs="Calibri"/>
                <w:szCs w:val="18"/>
                <w:lang w:val="en-NZ"/>
              </w:rPr>
              <w:t>N</w:t>
            </w:r>
            <w:r w:rsidRPr="00BD16B4">
              <w:rPr>
                <w:rFonts w:cs="Calibri"/>
                <w:szCs w:val="18"/>
                <w:vertAlign w:val="subscript"/>
                <w:lang w:val="en-NZ"/>
              </w:rPr>
              <w:t>2</w:t>
            </w:r>
            <w:r w:rsidRPr="00BD16B4">
              <w:rPr>
                <w:rFonts w:cs="Calibri"/>
                <w:szCs w:val="18"/>
                <w:lang w:val="en-NZ"/>
              </w:rPr>
              <w:t>O</w:t>
            </w:r>
          </w:p>
        </w:tc>
        <w:tc>
          <w:tcPr>
            <w:tcW w:w="795" w:type="dxa"/>
          </w:tcPr>
          <w:p w14:paraId="4065A11E" w14:textId="77777777" w:rsidR="007C259A" w:rsidRPr="00BD16B4" w:rsidRDefault="007C259A" w:rsidP="00F31129">
            <w:pPr>
              <w:pStyle w:val="TableText"/>
              <w:spacing w:before="40" w:after="40"/>
              <w:jc w:val="center"/>
              <w:rPr>
                <w:rFonts w:cs="Calibri"/>
                <w:szCs w:val="18"/>
                <w:lang w:val="en-NZ"/>
              </w:rPr>
            </w:pPr>
            <w:r w:rsidRPr="00BD16B4">
              <w:rPr>
                <w:rFonts w:cs="Calibri"/>
                <w:szCs w:val="18"/>
                <w:lang w:val="en-NZ"/>
              </w:rPr>
              <w:t>0.1</w:t>
            </w:r>
          </w:p>
        </w:tc>
        <w:tc>
          <w:tcPr>
            <w:tcW w:w="687" w:type="dxa"/>
          </w:tcPr>
          <w:p w14:paraId="15E2DC56" w14:textId="77777777" w:rsidR="007C259A" w:rsidRPr="00BD16B4" w:rsidRDefault="007C259A" w:rsidP="00F31129">
            <w:pPr>
              <w:pStyle w:val="TableText"/>
              <w:spacing w:before="40" w:after="40"/>
              <w:jc w:val="center"/>
              <w:rPr>
                <w:rFonts w:cs="Calibri"/>
                <w:szCs w:val="18"/>
                <w:lang w:val="en-NZ"/>
              </w:rPr>
            </w:pPr>
            <w:r w:rsidRPr="00BD16B4">
              <w:rPr>
                <w:rFonts w:cs="Calibri"/>
                <w:szCs w:val="18"/>
                <w:lang w:val="en-NZ"/>
              </w:rPr>
              <w:t>0.1</w:t>
            </w:r>
          </w:p>
        </w:tc>
        <w:tc>
          <w:tcPr>
            <w:tcW w:w="688" w:type="dxa"/>
          </w:tcPr>
          <w:p w14:paraId="3B2B79F4" w14:textId="77777777" w:rsidR="007C259A" w:rsidRPr="00BD16B4" w:rsidRDefault="007C259A" w:rsidP="00F31129">
            <w:pPr>
              <w:pStyle w:val="TableText"/>
              <w:spacing w:before="40" w:after="40"/>
              <w:jc w:val="center"/>
              <w:rPr>
                <w:rFonts w:cs="Calibri"/>
                <w:szCs w:val="18"/>
                <w:lang w:val="en-NZ"/>
              </w:rPr>
            </w:pPr>
            <w:r w:rsidRPr="00BD16B4">
              <w:rPr>
                <w:rFonts w:cs="Calibri"/>
                <w:szCs w:val="18"/>
                <w:lang w:val="en-NZ"/>
              </w:rPr>
              <w:t>0.2</w:t>
            </w:r>
          </w:p>
        </w:tc>
        <w:tc>
          <w:tcPr>
            <w:tcW w:w="688" w:type="dxa"/>
          </w:tcPr>
          <w:p w14:paraId="0DF24DA6" w14:textId="77777777" w:rsidR="007C259A" w:rsidRPr="00BD16B4" w:rsidRDefault="007C259A" w:rsidP="00F31129">
            <w:pPr>
              <w:pStyle w:val="TableText"/>
              <w:spacing w:before="40" w:after="40"/>
              <w:jc w:val="center"/>
              <w:rPr>
                <w:rFonts w:cs="Calibri"/>
                <w:szCs w:val="18"/>
                <w:lang w:val="en-NZ"/>
              </w:rPr>
            </w:pPr>
            <w:r w:rsidRPr="00BD16B4">
              <w:rPr>
                <w:rFonts w:cs="Calibri"/>
                <w:szCs w:val="18"/>
                <w:lang w:val="en-NZ"/>
              </w:rPr>
              <w:t>0.2</w:t>
            </w:r>
          </w:p>
        </w:tc>
        <w:tc>
          <w:tcPr>
            <w:tcW w:w="688" w:type="dxa"/>
          </w:tcPr>
          <w:p w14:paraId="2399A223" w14:textId="77777777" w:rsidR="007C259A" w:rsidRPr="00BD16B4" w:rsidRDefault="007C259A" w:rsidP="00F31129">
            <w:pPr>
              <w:pStyle w:val="TableText"/>
              <w:spacing w:before="40" w:after="40"/>
              <w:jc w:val="center"/>
              <w:rPr>
                <w:rFonts w:cs="Calibri"/>
                <w:szCs w:val="18"/>
                <w:lang w:val="en-NZ"/>
              </w:rPr>
            </w:pPr>
            <w:r w:rsidRPr="00BD16B4">
              <w:rPr>
                <w:rFonts w:cs="Calibri"/>
                <w:szCs w:val="18"/>
                <w:lang w:val="en-NZ"/>
              </w:rPr>
              <w:t>0.2</w:t>
            </w:r>
          </w:p>
        </w:tc>
        <w:tc>
          <w:tcPr>
            <w:tcW w:w="688" w:type="dxa"/>
          </w:tcPr>
          <w:p w14:paraId="57EDE178" w14:textId="77777777" w:rsidR="007C259A" w:rsidRPr="00BD16B4" w:rsidRDefault="007C259A" w:rsidP="00F31129">
            <w:pPr>
              <w:pStyle w:val="TableText"/>
              <w:spacing w:before="40" w:after="40"/>
              <w:jc w:val="center"/>
              <w:rPr>
                <w:rFonts w:cs="Calibri"/>
                <w:szCs w:val="18"/>
                <w:lang w:val="en-NZ"/>
              </w:rPr>
            </w:pPr>
            <w:r w:rsidRPr="00BD16B4">
              <w:rPr>
                <w:rFonts w:cs="Calibri"/>
                <w:szCs w:val="18"/>
                <w:lang w:val="en-NZ"/>
              </w:rPr>
              <w:t>0.1</w:t>
            </w:r>
          </w:p>
        </w:tc>
        <w:tc>
          <w:tcPr>
            <w:tcW w:w="688" w:type="dxa"/>
          </w:tcPr>
          <w:p w14:paraId="5BEFA0BE" w14:textId="77777777" w:rsidR="007C259A" w:rsidRPr="00BD16B4" w:rsidRDefault="007C259A" w:rsidP="00F31129">
            <w:pPr>
              <w:pStyle w:val="TableText"/>
              <w:spacing w:before="40" w:after="40"/>
              <w:jc w:val="center"/>
              <w:rPr>
                <w:rFonts w:cs="Calibri"/>
                <w:color w:val="000000"/>
                <w:szCs w:val="18"/>
                <w:lang w:val="en-NZ"/>
              </w:rPr>
            </w:pPr>
            <w:r w:rsidRPr="00BD16B4">
              <w:rPr>
                <w:rFonts w:cs="Calibri"/>
                <w:color w:val="000000"/>
                <w:szCs w:val="18"/>
                <w:lang w:val="en-NZ"/>
              </w:rPr>
              <w:t>0.1</w:t>
            </w:r>
          </w:p>
        </w:tc>
        <w:tc>
          <w:tcPr>
            <w:tcW w:w="688" w:type="dxa"/>
            <w:shd w:val="clear" w:color="auto" w:fill="D2DDE1" w:themeFill="background2"/>
          </w:tcPr>
          <w:p w14:paraId="12F6854C" w14:textId="77777777" w:rsidR="007C259A" w:rsidRPr="00BD16B4" w:rsidRDefault="007C259A" w:rsidP="00F31129">
            <w:pPr>
              <w:pStyle w:val="TableText"/>
              <w:spacing w:before="40" w:after="40"/>
              <w:jc w:val="center"/>
              <w:rPr>
                <w:rFonts w:cs="Calibri"/>
                <w:color w:val="000000"/>
                <w:szCs w:val="18"/>
                <w:lang w:val="en-NZ"/>
              </w:rPr>
            </w:pPr>
            <w:r w:rsidRPr="00BD16B4">
              <w:rPr>
                <w:rFonts w:cs="Calibri"/>
                <w:color w:val="000000" w:themeColor="text1"/>
                <w:szCs w:val="18"/>
                <w:lang w:val="en-NZ"/>
              </w:rPr>
              <w:t>0.1</w:t>
            </w:r>
          </w:p>
        </w:tc>
        <w:tc>
          <w:tcPr>
            <w:tcW w:w="769" w:type="dxa"/>
            <w:shd w:val="clear" w:color="auto" w:fill="D2DDE1" w:themeFill="background2"/>
          </w:tcPr>
          <w:p w14:paraId="16647A25" w14:textId="77777777" w:rsidR="007C259A" w:rsidRPr="00BD16B4" w:rsidRDefault="007C259A" w:rsidP="00F31129">
            <w:pPr>
              <w:pStyle w:val="TableText"/>
              <w:spacing w:before="40" w:after="40"/>
              <w:jc w:val="center"/>
              <w:rPr>
                <w:rFonts w:cs="Calibri"/>
                <w:color w:val="000000"/>
                <w:szCs w:val="18"/>
                <w:lang w:val="en-NZ"/>
              </w:rPr>
            </w:pPr>
            <w:r w:rsidRPr="00BD16B4">
              <w:rPr>
                <w:rFonts w:cs="Calibri"/>
                <w:color w:val="000000" w:themeColor="text1"/>
                <w:szCs w:val="18"/>
                <w:lang w:val="en-NZ"/>
              </w:rPr>
              <w:t>0.1</w:t>
            </w:r>
          </w:p>
        </w:tc>
        <w:tc>
          <w:tcPr>
            <w:tcW w:w="850" w:type="dxa"/>
            <w:shd w:val="clear" w:color="auto" w:fill="D2DDE1" w:themeFill="background2"/>
          </w:tcPr>
          <w:p w14:paraId="27AEA680" w14:textId="77777777" w:rsidR="007C259A" w:rsidRPr="00BD16B4" w:rsidRDefault="007C259A" w:rsidP="00F31129">
            <w:pPr>
              <w:pStyle w:val="TableText"/>
              <w:spacing w:before="40" w:after="40"/>
              <w:jc w:val="center"/>
              <w:rPr>
                <w:rFonts w:cs="Calibri"/>
                <w:color w:val="000000"/>
                <w:szCs w:val="18"/>
                <w:lang w:val="en-NZ"/>
              </w:rPr>
            </w:pPr>
            <w:r w:rsidRPr="00BD16B4">
              <w:rPr>
                <w:rFonts w:cs="Calibri"/>
                <w:color w:val="000000" w:themeColor="text1"/>
                <w:szCs w:val="18"/>
                <w:lang w:val="en-NZ"/>
              </w:rPr>
              <w:t>0.1</w:t>
            </w:r>
          </w:p>
        </w:tc>
      </w:tr>
      <w:tr w:rsidR="007C259A" w:rsidRPr="00BD16B4" w14:paraId="61E1E4BA" w14:textId="77777777" w:rsidTr="004B79F7">
        <w:tc>
          <w:tcPr>
            <w:tcW w:w="1276" w:type="dxa"/>
          </w:tcPr>
          <w:p w14:paraId="246DF4E6" w14:textId="77777777" w:rsidR="007C259A" w:rsidRPr="00BD16B4" w:rsidRDefault="007C259A" w:rsidP="00F31129">
            <w:pPr>
              <w:pStyle w:val="TableTextBold0"/>
              <w:spacing w:before="40" w:after="40"/>
              <w:rPr>
                <w:b w:val="0"/>
                <w:bCs/>
                <w:szCs w:val="18"/>
                <w:lang w:val="en-NZ"/>
              </w:rPr>
            </w:pPr>
            <w:r w:rsidRPr="00BD16B4">
              <w:rPr>
                <w:szCs w:val="18"/>
                <w:lang w:val="en-NZ"/>
              </w:rPr>
              <w:t>Total</w:t>
            </w:r>
          </w:p>
        </w:tc>
        <w:tc>
          <w:tcPr>
            <w:tcW w:w="795" w:type="dxa"/>
          </w:tcPr>
          <w:p w14:paraId="2958E2AA" w14:textId="77777777" w:rsidR="007C259A" w:rsidRPr="00BD16B4" w:rsidRDefault="007C259A" w:rsidP="00F31129">
            <w:pPr>
              <w:pStyle w:val="TableTextBold0"/>
              <w:spacing w:before="40" w:after="40"/>
              <w:jc w:val="center"/>
              <w:rPr>
                <w:color w:val="000000"/>
                <w:szCs w:val="18"/>
                <w:lang w:val="en-NZ"/>
              </w:rPr>
            </w:pPr>
            <w:r w:rsidRPr="00BD16B4">
              <w:rPr>
                <w:color w:val="000000"/>
                <w:szCs w:val="18"/>
                <w:lang w:val="en-NZ"/>
              </w:rPr>
              <w:t>8.1</w:t>
            </w:r>
          </w:p>
        </w:tc>
        <w:tc>
          <w:tcPr>
            <w:tcW w:w="687" w:type="dxa"/>
          </w:tcPr>
          <w:p w14:paraId="51FC55B2" w14:textId="77777777" w:rsidR="007C259A" w:rsidRPr="00BD16B4" w:rsidRDefault="007C259A" w:rsidP="00F31129">
            <w:pPr>
              <w:pStyle w:val="TableTextBold0"/>
              <w:spacing w:before="40" w:after="40"/>
              <w:jc w:val="center"/>
              <w:rPr>
                <w:color w:val="000000"/>
                <w:szCs w:val="18"/>
                <w:lang w:val="en-NZ"/>
              </w:rPr>
            </w:pPr>
            <w:r w:rsidRPr="00BD16B4">
              <w:rPr>
                <w:color w:val="000000"/>
                <w:szCs w:val="18"/>
                <w:lang w:val="en-NZ"/>
              </w:rPr>
              <w:t>10.2</w:t>
            </w:r>
          </w:p>
        </w:tc>
        <w:tc>
          <w:tcPr>
            <w:tcW w:w="688" w:type="dxa"/>
          </w:tcPr>
          <w:p w14:paraId="58706182" w14:textId="77777777" w:rsidR="007C259A" w:rsidRPr="00BD16B4" w:rsidRDefault="007C259A" w:rsidP="00F31129">
            <w:pPr>
              <w:pStyle w:val="TableTextBold0"/>
              <w:spacing w:before="40" w:after="40"/>
              <w:jc w:val="center"/>
              <w:rPr>
                <w:color w:val="000000"/>
                <w:szCs w:val="18"/>
                <w:lang w:val="en-NZ"/>
              </w:rPr>
            </w:pPr>
            <w:r w:rsidRPr="00BD16B4">
              <w:rPr>
                <w:color w:val="000000"/>
                <w:szCs w:val="18"/>
                <w:lang w:val="en-NZ"/>
              </w:rPr>
              <w:t>11.6</w:t>
            </w:r>
          </w:p>
        </w:tc>
        <w:tc>
          <w:tcPr>
            <w:tcW w:w="688" w:type="dxa"/>
          </w:tcPr>
          <w:p w14:paraId="6A599BE1" w14:textId="77777777" w:rsidR="007C259A" w:rsidRPr="00BD16B4" w:rsidRDefault="007C259A" w:rsidP="00F31129">
            <w:pPr>
              <w:pStyle w:val="TableTextBold0"/>
              <w:spacing w:before="40" w:after="40"/>
              <w:jc w:val="center"/>
              <w:rPr>
                <w:color w:val="000000"/>
                <w:szCs w:val="18"/>
                <w:lang w:val="en-NZ"/>
              </w:rPr>
            </w:pPr>
            <w:r w:rsidRPr="00BD16B4">
              <w:rPr>
                <w:color w:val="000000"/>
                <w:szCs w:val="18"/>
                <w:lang w:val="en-NZ"/>
              </w:rPr>
              <w:t>13.1</w:t>
            </w:r>
          </w:p>
        </w:tc>
        <w:tc>
          <w:tcPr>
            <w:tcW w:w="688" w:type="dxa"/>
          </w:tcPr>
          <w:p w14:paraId="0ABDF6E9" w14:textId="77777777" w:rsidR="007C259A" w:rsidRPr="00BD16B4" w:rsidRDefault="007C259A" w:rsidP="00F31129">
            <w:pPr>
              <w:pStyle w:val="TableTextBold0"/>
              <w:spacing w:before="40" w:after="40"/>
              <w:jc w:val="center"/>
              <w:rPr>
                <w:color w:val="000000"/>
                <w:szCs w:val="18"/>
                <w:lang w:val="en-NZ"/>
              </w:rPr>
            </w:pPr>
            <w:r w:rsidRPr="00BD16B4">
              <w:rPr>
                <w:color w:val="000000"/>
                <w:szCs w:val="18"/>
                <w:lang w:val="en-NZ"/>
              </w:rPr>
              <w:t>13.3</w:t>
            </w:r>
          </w:p>
        </w:tc>
        <w:tc>
          <w:tcPr>
            <w:tcW w:w="688" w:type="dxa"/>
          </w:tcPr>
          <w:p w14:paraId="34B5F8E6" w14:textId="77777777" w:rsidR="007C259A" w:rsidRPr="00BD16B4" w:rsidRDefault="007C259A" w:rsidP="00F31129">
            <w:pPr>
              <w:pStyle w:val="TableTextBold0"/>
              <w:spacing w:before="40" w:after="40"/>
              <w:jc w:val="center"/>
              <w:rPr>
                <w:color w:val="000000"/>
                <w:szCs w:val="18"/>
                <w:lang w:val="en-NZ"/>
              </w:rPr>
            </w:pPr>
            <w:r w:rsidRPr="00BD16B4">
              <w:rPr>
                <w:color w:val="000000"/>
                <w:szCs w:val="18"/>
                <w:lang w:val="en-NZ"/>
              </w:rPr>
              <w:t>13.8</w:t>
            </w:r>
          </w:p>
        </w:tc>
        <w:tc>
          <w:tcPr>
            <w:tcW w:w="688" w:type="dxa"/>
          </w:tcPr>
          <w:p w14:paraId="441A687F" w14:textId="77777777" w:rsidR="007C259A" w:rsidRPr="00BD16B4" w:rsidRDefault="007C259A" w:rsidP="00F31129">
            <w:pPr>
              <w:pStyle w:val="TableTextBold0"/>
              <w:spacing w:before="40" w:after="40"/>
              <w:jc w:val="center"/>
              <w:rPr>
                <w:szCs w:val="18"/>
                <w:lang w:val="en-NZ"/>
              </w:rPr>
            </w:pPr>
            <w:r w:rsidRPr="00BD16B4">
              <w:rPr>
                <w:szCs w:val="18"/>
                <w:lang w:val="en-NZ"/>
              </w:rPr>
              <w:t>13.2</w:t>
            </w:r>
          </w:p>
        </w:tc>
        <w:tc>
          <w:tcPr>
            <w:tcW w:w="688" w:type="dxa"/>
            <w:shd w:val="clear" w:color="auto" w:fill="D2DDE1" w:themeFill="background2"/>
          </w:tcPr>
          <w:p w14:paraId="44279AEA" w14:textId="77777777" w:rsidR="007C259A" w:rsidRPr="00BD16B4" w:rsidRDefault="007C259A" w:rsidP="00F31129">
            <w:pPr>
              <w:pStyle w:val="TableTextBold0"/>
              <w:spacing w:before="40" w:after="40"/>
              <w:jc w:val="center"/>
              <w:rPr>
                <w:szCs w:val="18"/>
                <w:lang w:val="en-NZ"/>
              </w:rPr>
            </w:pPr>
            <w:r w:rsidRPr="00BD16B4">
              <w:rPr>
                <w:szCs w:val="18"/>
                <w:lang w:val="en-NZ"/>
              </w:rPr>
              <w:t>15.1</w:t>
            </w:r>
          </w:p>
        </w:tc>
        <w:tc>
          <w:tcPr>
            <w:tcW w:w="769" w:type="dxa"/>
            <w:shd w:val="clear" w:color="auto" w:fill="D2DDE1" w:themeFill="background2"/>
          </w:tcPr>
          <w:p w14:paraId="3E6EE77D" w14:textId="77777777" w:rsidR="007C259A" w:rsidRPr="00BD16B4" w:rsidRDefault="007C259A" w:rsidP="00F31129">
            <w:pPr>
              <w:pStyle w:val="TableTextBold0"/>
              <w:spacing w:before="40" w:after="40"/>
              <w:jc w:val="center"/>
              <w:rPr>
                <w:szCs w:val="18"/>
                <w:lang w:val="en-NZ"/>
              </w:rPr>
            </w:pPr>
            <w:r w:rsidRPr="00BD16B4">
              <w:rPr>
                <w:szCs w:val="18"/>
                <w:lang w:val="en-NZ"/>
              </w:rPr>
              <w:t>14.8</w:t>
            </w:r>
          </w:p>
        </w:tc>
        <w:tc>
          <w:tcPr>
            <w:tcW w:w="850" w:type="dxa"/>
            <w:shd w:val="clear" w:color="auto" w:fill="D2DDE1" w:themeFill="background2"/>
          </w:tcPr>
          <w:p w14:paraId="3FB37024" w14:textId="77777777" w:rsidR="007C259A" w:rsidRPr="00BD16B4" w:rsidRDefault="007C259A" w:rsidP="00F31129">
            <w:pPr>
              <w:pStyle w:val="TableTextBold0"/>
              <w:spacing w:before="40" w:after="40"/>
              <w:jc w:val="center"/>
              <w:rPr>
                <w:szCs w:val="18"/>
                <w:lang w:val="en-NZ"/>
              </w:rPr>
            </w:pPr>
            <w:r w:rsidRPr="00BD16B4">
              <w:rPr>
                <w:szCs w:val="18"/>
                <w:lang w:val="en-NZ"/>
              </w:rPr>
              <w:t>13.8</w:t>
            </w:r>
          </w:p>
        </w:tc>
      </w:tr>
    </w:tbl>
    <w:p w14:paraId="321090A2" w14:textId="77777777" w:rsidR="007C259A" w:rsidRPr="00BD16B4" w:rsidRDefault="007C259A" w:rsidP="004B79F7">
      <w:pPr>
        <w:pStyle w:val="Note"/>
        <w:spacing w:after="0"/>
      </w:pPr>
      <w:r w:rsidRPr="00BD16B4">
        <w:rPr>
          <w:b/>
          <w:bCs/>
        </w:rPr>
        <w:t>Note:</w:t>
      </w:r>
      <w:r w:rsidRPr="00BD16B4">
        <w:t xml:space="preserve"> CH</w:t>
      </w:r>
      <w:r w:rsidRPr="00BD16B4">
        <w:rPr>
          <w:vertAlign w:val="subscript"/>
        </w:rPr>
        <w:t>4</w:t>
      </w:r>
      <w:r w:rsidRPr="00BD16B4">
        <w:t xml:space="preserve"> = methane; CO</w:t>
      </w:r>
      <w:r w:rsidRPr="00BD16B4">
        <w:rPr>
          <w:vertAlign w:val="subscript"/>
        </w:rPr>
        <w:t>2</w:t>
      </w:r>
      <w:r w:rsidRPr="00BD16B4">
        <w:t xml:space="preserve"> = carbon dioxide; Mt CO</w:t>
      </w:r>
      <w:r w:rsidRPr="00BD16B4">
        <w:rPr>
          <w:vertAlign w:val="subscript"/>
        </w:rPr>
        <w:t>2</w:t>
      </w:r>
      <w:r w:rsidRPr="00BD16B4">
        <w:t>-e = million tonnes of carbon dioxide equivalent; N</w:t>
      </w:r>
      <w:r w:rsidRPr="00BD16B4">
        <w:rPr>
          <w:vertAlign w:val="subscript"/>
        </w:rPr>
        <w:t>2</w:t>
      </w:r>
      <w:r w:rsidRPr="00BD16B4">
        <w:t>O = nitrous oxide.</w:t>
      </w:r>
    </w:p>
    <w:p w14:paraId="40896141" w14:textId="77777777" w:rsidR="007C259A" w:rsidRPr="00BD16B4" w:rsidRDefault="007C259A" w:rsidP="004E1B8C">
      <w:pPr>
        <w:pStyle w:val="Heading4"/>
      </w:pPr>
      <w:r w:rsidRPr="00BD16B4">
        <w:t>Methodology</w:t>
      </w:r>
    </w:p>
    <w:p w14:paraId="7164E29C" w14:textId="4D55E21C" w:rsidR="007C259A" w:rsidRPr="00BD16B4" w:rsidRDefault="007C259A" w:rsidP="007C259A">
      <w:pPr>
        <w:pStyle w:val="BodyText"/>
        <w:spacing w:before="100" w:after="100"/>
      </w:pPr>
      <w:r w:rsidRPr="00BD16B4">
        <w:t>The transport sector also incorporates the improvements that were made to the energy projections outlined above. Road transport projections were modelled using the Ministry of Transport’s Vehicle Fleet Emissions Model (VFEM)</w:t>
      </w:r>
      <w:r w:rsidRPr="00BD16B4">
        <w:rPr>
          <w:rStyle w:val="FootnoteReference"/>
        </w:rPr>
        <w:footnoteReference w:id="233"/>
      </w:r>
      <w:r w:rsidRPr="00BD16B4">
        <w:t xml:space="preserve"> and were informed by the latest road transport statistics and vehicle efficiency trends. VFEM uses a detailed bottom-up approach for developing the projections by considering individual road vehicle type, power type, vehicle size and age. VFEM is SAS-based and needs exogenous input data from several sources such as vehicle kilometres travelled and scrappage patterns, from which it can then project future energy use and emissions.</w:t>
      </w:r>
    </w:p>
    <w:p w14:paraId="46567F5F" w14:textId="77777777" w:rsidR="007C259A" w:rsidRPr="00BD16B4" w:rsidRDefault="007C259A" w:rsidP="007C259A">
      <w:pPr>
        <w:pStyle w:val="BodyText"/>
        <w:spacing w:before="100" w:after="100"/>
      </w:pPr>
      <w:r w:rsidRPr="00BD16B4">
        <w:t xml:space="preserve">EVs continue to increase in popularity as car manufacturers bring new and improved models to the market or have announced plans for future models. This trend has already been incorporated into our projections, so our EV assumptions for the </w:t>
      </w:r>
      <w:r w:rsidRPr="00BD16B4">
        <w:rPr>
          <w:i/>
          <w:iCs/>
        </w:rPr>
        <w:t>Fifth Biennial Report</w:t>
      </w:r>
      <w:r w:rsidRPr="00BD16B4" w:rsidDel="004B7106">
        <w:t xml:space="preserve"> </w:t>
      </w:r>
      <w:r w:rsidRPr="00BD16B4">
        <w:t xml:space="preserve">remain </w:t>
      </w:r>
      <w:r w:rsidRPr="00BD16B4">
        <w:rPr>
          <w:spacing w:val="-2"/>
        </w:rPr>
        <w:t xml:space="preserve">largely unchanged compared from the </w:t>
      </w:r>
      <w:r w:rsidRPr="00BD16B4">
        <w:rPr>
          <w:i/>
          <w:iCs/>
          <w:spacing w:val="-2"/>
        </w:rPr>
        <w:t>Fourth Biennial Report</w:t>
      </w:r>
      <w:r w:rsidRPr="00BD16B4">
        <w:rPr>
          <w:spacing w:val="-2"/>
        </w:rPr>
        <w:t>. We project that EVs will comprise</w:t>
      </w:r>
      <w:r w:rsidRPr="00BD16B4">
        <w:t xml:space="preserve"> 13.3 per cent of the light vehicle fleet and 4.0 per cent of the heavy vehicle fleet by 2035.</w:t>
      </w:r>
    </w:p>
    <w:p w14:paraId="7F612D5C" w14:textId="77777777" w:rsidR="007C259A" w:rsidRPr="00BD16B4" w:rsidRDefault="007C259A" w:rsidP="007C259A">
      <w:pPr>
        <w:pStyle w:val="BodyText"/>
        <w:spacing w:before="100" w:after="100"/>
      </w:pPr>
      <w:r w:rsidRPr="00BD16B4">
        <w:t xml:space="preserve">For more information, see appendix B.1, CTF table 5 and </w:t>
      </w:r>
      <w:r w:rsidRPr="00BD16B4">
        <w:rPr>
          <w:i/>
          <w:iCs/>
        </w:rPr>
        <w:t>Electricity Demand and Generation Scenarios: Scenario and results summary</w:t>
      </w:r>
      <w:r w:rsidRPr="00BD16B4">
        <w:t>.</w:t>
      </w:r>
      <w:r w:rsidRPr="00BD16B4">
        <w:rPr>
          <w:rStyle w:val="FootnoteReference"/>
        </w:rPr>
        <w:footnoteReference w:id="234"/>
      </w:r>
    </w:p>
    <w:p w14:paraId="4E16180F" w14:textId="77777777" w:rsidR="007C259A" w:rsidRPr="00BD16B4" w:rsidRDefault="007C259A" w:rsidP="004E1B8C">
      <w:pPr>
        <w:pStyle w:val="Heading4"/>
      </w:pPr>
      <w:r w:rsidRPr="00BD16B4">
        <w:t xml:space="preserve">Strengths and weaknesses of the models or approach </w:t>
      </w:r>
    </w:p>
    <w:p w14:paraId="40A5D82F" w14:textId="77777777" w:rsidR="007C259A" w:rsidRPr="00BD16B4" w:rsidRDefault="007C259A" w:rsidP="00873523">
      <w:pPr>
        <w:pStyle w:val="Heading5"/>
        <w:spacing w:after="80"/>
      </w:pPr>
      <w:r w:rsidRPr="00BD16B4">
        <w:t>Strengths of VFEM</w:t>
      </w:r>
    </w:p>
    <w:p w14:paraId="356349A8" w14:textId="77777777" w:rsidR="007C259A" w:rsidRPr="00BD16B4" w:rsidRDefault="007C259A" w:rsidP="0011037B">
      <w:pPr>
        <w:pStyle w:val="Bullet"/>
        <w:spacing w:after="100"/>
        <w:rPr>
          <w:rFonts w:eastAsia="Calibri"/>
          <w:color w:val="000000" w:themeColor="text1"/>
        </w:rPr>
      </w:pPr>
      <w:r w:rsidRPr="00BD16B4">
        <w:rPr>
          <w:rFonts w:eastAsia="Calibri"/>
        </w:rPr>
        <w:t>VFEM uses a bottom-up approach – that is, emissions are estimated and projected at very detailed levels.</w:t>
      </w:r>
    </w:p>
    <w:p w14:paraId="3D0D8FEB" w14:textId="77777777" w:rsidR="007C259A" w:rsidRPr="00BD16B4" w:rsidRDefault="007C259A" w:rsidP="0011037B">
      <w:pPr>
        <w:pStyle w:val="Bullet"/>
        <w:spacing w:after="100"/>
        <w:rPr>
          <w:rFonts w:eastAsia="Calibri"/>
        </w:rPr>
      </w:pPr>
      <w:r w:rsidRPr="00BD16B4">
        <w:rPr>
          <w:rFonts w:eastAsia="Calibri"/>
        </w:rPr>
        <w:t>Where possible, New Zealand–specific data are used, including on vehicle fleet mix and travel.</w:t>
      </w:r>
    </w:p>
    <w:p w14:paraId="4C56F4B3" w14:textId="77777777" w:rsidR="007C259A" w:rsidRPr="00BD16B4" w:rsidRDefault="007C259A" w:rsidP="0011037B">
      <w:pPr>
        <w:pStyle w:val="Bullet"/>
        <w:rPr>
          <w:rFonts w:eastAsia="Calibri"/>
        </w:rPr>
      </w:pPr>
      <w:r w:rsidRPr="00BD16B4">
        <w:rPr>
          <w:rFonts w:eastAsia="Calibri"/>
        </w:rPr>
        <w:lastRenderedPageBreak/>
        <w:t>In particular, real-world fuel use data in New Zealand are used.</w:t>
      </w:r>
    </w:p>
    <w:p w14:paraId="3EF6580F" w14:textId="77777777" w:rsidR="007C259A" w:rsidRPr="00BD16B4" w:rsidRDefault="007C259A" w:rsidP="0011037B">
      <w:pPr>
        <w:pStyle w:val="Bullet"/>
        <w:rPr>
          <w:rFonts w:eastAsia="Calibri"/>
          <w:color w:val="000000" w:themeColor="text1"/>
        </w:rPr>
      </w:pPr>
      <w:r w:rsidRPr="00BD16B4">
        <w:rPr>
          <w:rFonts w:eastAsia="Calibri"/>
        </w:rPr>
        <w:t>The model incorporates a high degree of expert judgement where possible.</w:t>
      </w:r>
    </w:p>
    <w:p w14:paraId="0B9D19E9" w14:textId="77777777" w:rsidR="007C259A" w:rsidRPr="00BD16B4" w:rsidRDefault="007C259A" w:rsidP="00BB33B9">
      <w:pPr>
        <w:pStyle w:val="Heading5"/>
      </w:pPr>
      <w:r w:rsidRPr="00BD16B4">
        <w:t>Weaknesses of VFEM</w:t>
      </w:r>
    </w:p>
    <w:p w14:paraId="24F7A6AF" w14:textId="77777777" w:rsidR="007C259A" w:rsidRPr="00BD16B4" w:rsidRDefault="007C259A" w:rsidP="0011037B">
      <w:pPr>
        <w:pStyle w:val="Bullet"/>
        <w:rPr>
          <w:rFonts w:eastAsia="Calibri"/>
        </w:rPr>
      </w:pPr>
      <w:r w:rsidRPr="00BD16B4">
        <w:rPr>
          <w:rFonts w:eastAsia="Calibri"/>
        </w:rPr>
        <w:t>Due to the long time horizon, large uncertainty might be associated with its long-term projections.</w:t>
      </w:r>
    </w:p>
    <w:p w14:paraId="4BC25367" w14:textId="77777777" w:rsidR="007C259A" w:rsidRPr="00BD16B4" w:rsidRDefault="007C259A" w:rsidP="0011037B">
      <w:pPr>
        <w:pStyle w:val="Bullet"/>
        <w:rPr>
          <w:rFonts w:eastAsia="Calibri"/>
        </w:rPr>
      </w:pPr>
      <w:r w:rsidRPr="00BD16B4">
        <w:rPr>
          <w:rFonts w:eastAsia="Calibri"/>
        </w:rPr>
        <w:t>This is particularly true for projections for uptake of EV heavy vehicles resulting from limited data and information available.</w:t>
      </w:r>
    </w:p>
    <w:p w14:paraId="7906695C" w14:textId="77777777" w:rsidR="007C259A" w:rsidRPr="00BD16B4" w:rsidRDefault="007C259A" w:rsidP="0011037B">
      <w:pPr>
        <w:pStyle w:val="Bullet"/>
        <w:rPr>
          <w:rFonts w:eastAsia="Calibri"/>
          <w:color w:val="000000" w:themeColor="text1"/>
        </w:rPr>
      </w:pPr>
      <w:r w:rsidRPr="00BD16B4">
        <w:rPr>
          <w:rFonts w:eastAsia="Calibri"/>
        </w:rPr>
        <w:t>Given the complex structure of the model, it may not be easy to project the impacts of some interventions.</w:t>
      </w:r>
    </w:p>
    <w:p w14:paraId="0604F18D" w14:textId="20359983" w:rsidR="007C259A" w:rsidRPr="00BD16B4" w:rsidRDefault="007C259A" w:rsidP="007C259A">
      <w:pPr>
        <w:pStyle w:val="BodyText"/>
      </w:pPr>
      <w:r w:rsidRPr="00BD16B4">
        <w:rPr>
          <w:rFonts w:eastAsia="Calibri"/>
        </w:rPr>
        <w:t xml:space="preserve">Due to time and capacity constraints, some existing interventions could not be included in this </w:t>
      </w:r>
      <w:r w:rsidRPr="00BD16B4">
        <w:rPr>
          <w:rFonts w:eastAsia="Calibri"/>
          <w:i/>
          <w:iCs/>
        </w:rPr>
        <w:t>Fifth Biennial Report</w:t>
      </w:r>
      <w:r w:rsidRPr="00BD16B4">
        <w:rPr>
          <w:rFonts w:eastAsia="Calibri"/>
        </w:rPr>
        <w:t>, for example clean car policies. The Ministry of Transport plans to include more measures in the modelling work for future reporting.</w:t>
      </w:r>
    </w:p>
    <w:p w14:paraId="06B35CE8" w14:textId="77777777" w:rsidR="007C259A" w:rsidRPr="00BD16B4" w:rsidRDefault="007C259A" w:rsidP="007C259A">
      <w:pPr>
        <w:pStyle w:val="Heading3"/>
      </w:pPr>
      <w:r w:rsidRPr="00BD16B4">
        <w:t>5.5.3</w:t>
      </w:r>
      <w:r w:rsidRPr="00BD16B4">
        <w:tab/>
        <w:t>Industrial processes and product use</w:t>
      </w:r>
    </w:p>
    <w:p w14:paraId="29FFE9FA" w14:textId="77777777" w:rsidR="007C259A" w:rsidRPr="00BD16B4" w:rsidRDefault="007C259A" w:rsidP="007C259A">
      <w:pPr>
        <w:pStyle w:val="BodyText"/>
      </w:pPr>
      <w:r w:rsidRPr="00BD16B4">
        <w:t>In New Zealand, carbon dioxide (CO</w:t>
      </w:r>
      <w:r w:rsidRPr="00BD16B4">
        <w:rPr>
          <w:vertAlign w:val="subscript"/>
        </w:rPr>
        <w:t>2</w:t>
      </w:r>
      <w:r w:rsidRPr="00BD16B4">
        <w:t>) emissions from IPPU result from the manufacture of iron, steel, aluminium, urea, cement, lime and hydrogen, as well as from the production of methanol. Large</w:t>
      </w:r>
      <w:r w:rsidRPr="00BD16B4">
        <w:noBreakHyphen/>
        <w:t xml:space="preserve">scale manufacturing in New Zealand is dominated by a small number of firms. </w:t>
      </w:r>
      <w:r w:rsidRPr="00BD16B4">
        <w:rPr>
          <w:spacing w:val="-2"/>
        </w:rPr>
        <w:t>As a result, projections from these sources are subject to an unusually high degree of variability</w:t>
      </w:r>
      <w:r w:rsidRPr="00BD16B4">
        <w:t xml:space="preserve"> because small changes in one firm (or a closure) will significantly affect the total emissions. Many of these industries are assumed to be at or near production capacity, so their emissions are projected to remain constant unless a closure date for a particular site is assumed. </w:t>
      </w:r>
    </w:p>
    <w:p w14:paraId="59BFF06A" w14:textId="3F867474" w:rsidR="007C259A" w:rsidRPr="00BD16B4" w:rsidRDefault="007C259A" w:rsidP="007C259A">
      <w:pPr>
        <w:pStyle w:val="BodyText"/>
      </w:pPr>
      <w:r w:rsidRPr="00BD16B4">
        <w:t>Emissions from the IPPU sector are projected to generally steadily decrease from 4.6 Mt CO</w:t>
      </w:r>
      <w:r w:rsidRPr="00BD16B4">
        <w:rPr>
          <w:vertAlign w:val="subscript"/>
        </w:rPr>
        <w:t>2</w:t>
      </w:r>
      <w:r w:rsidRPr="00BD16B4">
        <w:noBreakHyphen/>
        <w:t>e in 2020 to 3.7 Mt CO</w:t>
      </w:r>
      <w:r w:rsidRPr="00BD16B4">
        <w:rPr>
          <w:vertAlign w:val="subscript"/>
        </w:rPr>
        <w:t>2</w:t>
      </w:r>
      <w:r w:rsidRPr="00BD16B4">
        <w:noBreakHyphen/>
        <w:t xml:space="preserve">e in 2035 (table 5.17). However, a significant step change is expected with the closure of New Zealand’s sole aluminium smelter at Tiwai Point, </w:t>
      </w:r>
      <w:r w:rsidR="00C21F3E" w:rsidRPr="00BD16B4">
        <w:t>which would reduce emissions by 0.6 Mt CO</w:t>
      </w:r>
      <w:r w:rsidR="00C21F3E" w:rsidRPr="00BD16B4">
        <w:rPr>
          <w:vertAlign w:val="subscript"/>
        </w:rPr>
        <w:t>2</w:t>
      </w:r>
      <w:r w:rsidR="00C21F3E" w:rsidRPr="00BD16B4">
        <w:t>-e (a 0.5 Mt reduction in CO</w:t>
      </w:r>
      <w:r w:rsidR="00C21F3E" w:rsidRPr="00BD16B4">
        <w:rPr>
          <w:vertAlign w:val="subscript"/>
        </w:rPr>
        <w:t>2</w:t>
      </w:r>
      <w:r w:rsidR="00C21F3E" w:rsidRPr="00BD16B4">
        <w:t xml:space="preserve"> emissions and a 0.1 Mt CO</w:t>
      </w:r>
      <w:r w:rsidR="00C21F3E" w:rsidRPr="00BD16B4">
        <w:rPr>
          <w:vertAlign w:val="subscript"/>
        </w:rPr>
        <w:t>2</w:t>
      </w:r>
      <w:r w:rsidR="00C21F3E" w:rsidRPr="00BD16B4">
        <w:t>-e reduction in PFC emissions)</w:t>
      </w:r>
      <w:r w:rsidRPr="00BD16B4">
        <w:t>. It has been assumed this closure will occur in 2024, as publicly announced by the smelter’s owner in 2021. There is still a reasonable level of uncertainty around whether the smelter will close or continue to operate because in 2022 the smelter’s owner issued a statement that it now saw a viable future for the smelter to continue operating beyond 2024. Emissions of perfluorocarbons (PFCs) are also expected to stop occurring in New Zealand with the closure of the aluminium smelter.</w:t>
      </w:r>
    </w:p>
    <w:p w14:paraId="3376EF1F" w14:textId="77777777" w:rsidR="007C259A" w:rsidRPr="00BD16B4" w:rsidRDefault="007C259A" w:rsidP="007C259A">
      <w:pPr>
        <w:pStyle w:val="BodyText"/>
      </w:pPr>
      <w:r w:rsidRPr="00BD16B4">
        <w:t>Aside from the reductions anticipated through the closure of the aluminium smelter, CO</w:t>
      </w:r>
      <w:r w:rsidRPr="00BD16B4">
        <w:rPr>
          <w:vertAlign w:val="subscript"/>
        </w:rPr>
        <w:t>2</w:t>
      </w:r>
      <w:r w:rsidRPr="00BD16B4">
        <w:t xml:space="preserve"> emissions are expected to remain relatively constant from the IPPU sector. </w:t>
      </w:r>
    </w:p>
    <w:p w14:paraId="74C03F37" w14:textId="598713DA" w:rsidR="007C259A" w:rsidRPr="00BD16B4" w:rsidRDefault="007C259A" w:rsidP="007C259A">
      <w:pPr>
        <w:pStyle w:val="BodyText"/>
      </w:pPr>
      <w:r w:rsidRPr="00BD16B4">
        <w:t>The non-CO</w:t>
      </w:r>
      <w:r w:rsidRPr="00BD16B4">
        <w:rPr>
          <w:vertAlign w:val="subscript"/>
        </w:rPr>
        <w:t>2</w:t>
      </w:r>
      <w:r w:rsidRPr="00BD16B4">
        <w:t>-based components of IPPU include emissions of hydrofluorocarbons (HFCs), PFCs, sulphur hexafluoride (SF</w:t>
      </w:r>
      <w:r w:rsidRPr="00BD16B4">
        <w:rPr>
          <w:vertAlign w:val="subscript"/>
        </w:rPr>
        <w:t>6</w:t>
      </w:r>
      <w:r w:rsidRPr="00BD16B4">
        <w:t>) used in electricity transmission and distribution, and methane (CH</w:t>
      </w:r>
      <w:r w:rsidRPr="00BD16B4">
        <w:rPr>
          <w:vertAlign w:val="subscript"/>
        </w:rPr>
        <w:t>4</w:t>
      </w:r>
      <w:r w:rsidRPr="00BD16B4">
        <w:t>) from the production of methanol, as well as nitrous oxide (N</w:t>
      </w:r>
      <w:r w:rsidRPr="00BD16B4">
        <w:rPr>
          <w:vertAlign w:val="subscript"/>
        </w:rPr>
        <w:t>2</w:t>
      </w:r>
      <w:r w:rsidRPr="00BD16B4">
        <w:t>O) emissions from the application and use of medical products. Emissions of nitrogen trifluoride (NF</w:t>
      </w:r>
      <w:r w:rsidRPr="00BD16B4">
        <w:rPr>
          <w:vertAlign w:val="subscript"/>
        </w:rPr>
        <w:t>3</w:t>
      </w:r>
      <w:r w:rsidRPr="00BD16B4">
        <w:t>) do not occur in New Zealand, because the industries that could be potential sources of the gas do not exist in the country and no nitrogen trifluoride is imported.</w:t>
      </w:r>
    </w:p>
    <w:p w14:paraId="0E4621B6" w14:textId="77777777" w:rsidR="007C259A" w:rsidRPr="00BD16B4" w:rsidRDefault="007C259A" w:rsidP="007C259A">
      <w:pPr>
        <w:pStyle w:val="BodyText"/>
      </w:pPr>
      <w:r w:rsidRPr="00BD16B4">
        <w:t>The emissions from methanol production are expected to step down to zero by 2040 as all methanol production facilities are anticipated to be closed by 2040. The emissions from SF</w:t>
      </w:r>
      <w:r w:rsidRPr="00BD16B4">
        <w:rPr>
          <w:vertAlign w:val="subscript"/>
        </w:rPr>
        <w:t xml:space="preserve">6 </w:t>
      </w:r>
      <w:r w:rsidRPr="00BD16B4">
        <w:t>and N</w:t>
      </w:r>
      <w:r w:rsidRPr="00BD16B4">
        <w:rPr>
          <w:vertAlign w:val="subscript"/>
        </w:rPr>
        <w:t>2</w:t>
      </w:r>
      <w:r w:rsidRPr="00BD16B4">
        <w:t>O are expected to slowly increase out to 2050 but remain at relatively low levels.</w:t>
      </w:r>
    </w:p>
    <w:p w14:paraId="3387F8FE" w14:textId="77777777" w:rsidR="007C259A" w:rsidRPr="00BD16B4" w:rsidRDefault="007C259A" w:rsidP="007C259A">
      <w:pPr>
        <w:pStyle w:val="BodyText"/>
      </w:pPr>
      <w:r w:rsidRPr="00BD16B4">
        <w:lastRenderedPageBreak/>
        <w:t xml:space="preserve">Emissions of PFCs declined during the 1990s as a result of the Tiwai Point aluminium smelter making changes to its processing and control methods. The smelter also closed one of its four potlines in 2012 and then re-opened it in 2018, which is likely to have caused variation in perfluorocarbon emissions from aluminium processing. </w:t>
      </w:r>
    </w:p>
    <w:p w14:paraId="0267F2C2" w14:textId="77777777" w:rsidR="007C259A" w:rsidRPr="00BD16B4" w:rsidRDefault="007C259A" w:rsidP="007C259A">
      <w:pPr>
        <w:pStyle w:val="BodyText"/>
      </w:pPr>
      <w:r w:rsidRPr="00BD16B4">
        <w:rPr>
          <w:spacing w:val="-2"/>
        </w:rPr>
        <w:t>Hydrofluorocarbon emissions are expected to have reached a peak level at around 1.5 Mt CO</w:t>
      </w:r>
      <w:r w:rsidRPr="00BD16B4">
        <w:rPr>
          <w:spacing w:val="-2"/>
          <w:vertAlign w:val="subscript"/>
        </w:rPr>
        <w:t>2</w:t>
      </w:r>
      <w:r w:rsidRPr="00BD16B4">
        <w:rPr>
          <w:spacing w:val="-2"/>
        </w:rPr>
        <w:t>-e</w:t>
      </w:r>
      <w:r w:rsidRPr="00BD16B4">
        <w:t xml:space="preserve"> from 2017 to 2020. Starting in 2021, HFC emissions are then expected to steadily decline, reaching 1.0 CO</w:t>
      </w:r>
      <w:r w:rsidRPr="00BD16B4">
        <w:rPr>
          <w:vertAlign w:val="subscript"/>
        </w:rPr>
        <w:t>2</w:t>
      </w:r>
      <w:r w:rsidRPr="00BD16B4">
        <w:t>-e Mt in 2035 and 0.6 CO</w:t>
      </w:r>
      <w:r w:rsidRPr="00BD16B4">
        <w:rPr>
          <w:vertAlign w:val="subscript"/>
        </w:rPr>
        <w:t>2</w:t>
      </w:r>
      <w:r w:rsidRPr="00BD16B4">
        <w:t xml:space="preserve">-e Mt in 2050. The use of HFCs has grown rapidly since the early 1990s when they replaced chlorofluorocarbons, which are being phased out under the Montreal Protocol. The phase-down of HFC consumption in New Zealand is </w:t>
      </w:r>
      <w:r w:rsidRPr="00BD16B4">
        <w:rPr>
          <w:spacing w:val="-2"/>
        </w:rPr>
        <w:t>expected</w:t>
      </w:r>
      <w:r w:rsidRPr="00BD16B4">
        <w:t xml:space="preserve"> to reduce HFC emissions in line with the Kigali Amendment to the Montreal Protocol.</w:t>
      </w:r>
      <w:r w:rsidRPr="00BD16B4">
        <w:rPr>
          <w:rStyle w:val="FootnoteReference"/>
        </w:rPr>
        <w:footnoteReference w:id="235"/>
      </w:r>
      <w:r w:rsidRPr="00BD16B4">
        <w:t xml:space="preserve"> The HFC phase-down, likely along with the recently increased NZ ETS price, has already started to have an impact on HFC consumption, which in turn is expected to impact emissions. Note that New Zealand’s ratification of the Kigali Amendment does not extend to Tokelau.</w:t>
      </w:r>
      <w:r w:rsidRPr="00BD16B4">
        <w:rPr>
          <w:rStyle w:val="FootnoteReference"/>
        </w:rPr>
        <w:footnoteReference w:id="236"/>
      </w:r>
    </w:p>
    <w:p w14:paraId="68D89EB7" w14:textId="77777777" w:rsidR="007C259A" w:rsidRPr="00BD16B4" w:rsidRDefault="007C259A" w:rsidP="007C259A">
      <w:pPr>
        <w:jc w:val="left"/>
      </w:pPr>
      <w:r w:rsidRPr="00BD16B4">
        <w:t xml:space="preserve">As the NZ ETS price has recently increased substantially, it has become evident that NZ ETS pricing has had a major impact on a few sectors that use HFCs while having no significant impact on most other sectors. The combination of NZ ETS pricing, Kigali Amendment phase-down and particularly international shifts in equipment design to use lower global warming potential alternatives are expected to have a significant impact on driving reductions in emissions from HFCs in all sectors. The expected level of impact is highly uncertain in each user sector, and it is not possible to separately attribute the impacts of NZ ETS pricing, Kigali Amendment phase-down and international technology shifts. </w:t>
      </w:r>
    </w:p>
    <w:p w14:paraId="594DD30F" w14:textId="77777777" w:rsidR="007C259A" w:rsidRPr="00BD16B4" w:rsidRDefault="007C259A" w:rsidP="00BB7302">
      <w:pPr>
        <w:pStyle w:val="Tableheading"/>
      </w:pPr>
      <w:bookmarkStart w:id="297" w:name="_Toc121773807"/>
      <w:r w:rsidRPr="00BD16B4">
        <w:t xml:space="preserve">Table 5.17: </w:t>
      </w:r>
      <w:r w:rsidRPr="00BD16B4">
        <w:tab/>
        <w:t>Historical and projected IPPU emissions by gas under the ‘with existing measures’ scenario, 1990–2035 (kt CO</w:t>
      </w:r>
      <w:r w:rsidRPr="00BD16B4">
        <w:rPr>
          <w:vertAlign w:val="subscript"/>
        </w:rPr>
        <w:t>2</w:t>
      </w:r>
      <w:r w:rsidRPr="00BD16B4">
        <w:t>-e)</w:t>
      </w:r>
      <w:bookmarkEnd w:id="297"/>
    </w:p>
    <w:tbl>
      <w:tblPr>
        <w:tblStyle w:val="LightList-Accent11"/>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6A0" w:firstRow="1" w:lastRow="0" w:firstColumn="1" w:lastColumn="0" w:noHBand="1" w:noVBand="1"/>
      </w:tblPr>
      <w:tblGrid>
        <w:gridCol w:w="839"/>
        <w:gridCol w:w="708"/>
        <w:gridCol w:w="849"/>
        <w:gridCol w:w="851"/>
        <w:gridCol w:w="849"/>
        <w:gridCol w:w="851"/>
        <w:gridCol w:w="708"/>
        <w:gridCol w:w="781"/>
        <w:gridCol w:w="774"/>
        <w:gridCol w:w="650"/>
        <w:gridCol w:w="645"/>
      </w:tblGrid>
      <w:tr w:rsidR="007C259A" w:rsidRPr="00BD16B4" w14:paraId="03AA1BAB" w14:textId="77777777" w:rsidTr="00A63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 w:type="pct"/>
            <w:tcBorders>
              <w:bottom w:val="nil"/>
              <w:right w:val="nil"/>
            </w:tcBorders>
            <w:shd w:val="clear" w:color="auto" w:fill="1B556B" w:themeFill="text2"/>
          </w:tcPr>
          <w:p w14:paraId="19A6CB9B" w14:textId="77777777" w:rsidR="007C259A" w:rsidRPr="00BD16B4" w:rsidRDefault="007C259A" w:rsidP="00F31129">
            <w:pPr>
              <w:pStyle w:val="TableTextBold0"/>
              <w:spacing w:before="40" w:after="0"/>
              <w:jc w:val="center"/>
              <w:rPr>
                <w:b/>
                <w:szCs w:val="18"/>
                <w:shd w:val="clear" w:color="auto" w:fill="1C556C" w:themeFill="accent1"/>
              </w:rPr>
            </w:pPr>
          </w:p>
        </w:tc>
        <w:tc>
          <w:tcPr>
            <w:tcW w:w="3290" w:type="pct"/>
            <w:gridSpan w:val="7"/>
            <w:tcBorders>
              <w:left w:val="nil"/>
              <w:bottom w:val="nil"/>
              <w:right w:val="nil"/>
            </w:tcBorders>
            <w:shd w:val="clear" w:color="auto" w:fill="1B556B" w:themeFill="text2"/>
          </w:tcPr>
          <w:p w14:paraId="2EDDB507" w14:textId="77777777" w:rsidR="007C259A" w:rsidRPr="00BD16B4" w:rsidRDefault="007C259A" w:rsidP="00F31129">
            <w:pPr>
              <w:pStyle w:val="TableTextBold0"/>
              <w:spacing w:before="40" w:after="0"/>
              <w:jc w:val="center"/>
              <w:cnfStyle w:val="100000000000" w:firstRow="1" w:lastRow="0" w:firstColumn="0" w:lastColumn="0" w:oddVBand="0" w:evenVBand="0" w:oddHBand="0" w:evenHBand="0" w:firstRowFirstColumn="0" w:firstRowLastColumn="0" w:lastRowFirstColumn="0" w:lastRowLastColumn="0"/>
              <w:rPr>
                <w:szCs w:val="18"/>
                <w:shd w:val="clear" w:color="auto" w:fill="1C556C" w:themeFill="accent1"/>
              </w:rPr>
            </w:pPr>
            <w:r w:rsidRPr="00BD16B4">
              <w:rPr>
                <w:b/>
                <w:szCs w:val="18"/>
                <w:shd w:val="clear" w:color="auto" w:fill="1C556C" w:themeFill="accent1"/>
              </w:rPr>
              <w:t>Historical</w:t>
            </w:r>
          </w:p>
        </w:tc>
        <w:tc>
          <w:tcPr>
            <w:tcW w:w="1216" w:type="pct"/>
            <w:gridSpan w:val="3"/>
            <w:tcBorders>
              <w:left w:val="nil"/>
              <w:bottom w:val="nil"/>
            </w:tcBorders>
            <w:shd w:val="clear" w:color="auto" w:fill="1B556B" w:themeFill="text2"/>
          </w:tcPr>
          <w:p w14:paraId="0A769E78" w14:textId="77777777" w:rsidR="007C259A" w:rsidRPr="00BD16B4" w:rsidRDefault="007C259A" w:rsidP="00F31129">
            <w:pPr>
              <w:pStyle w:val="TableTextBold0"/>
              <w:spacing w:before="40" w:after="0"/>
              <w:jc w:val="center"/>
              <w:cnfStyle w:val="100000000000" w:firstRow="1" w:lastRow="0" w:firstColumn="0" w:lastColumn="0" w:oddVBand="0" w:evenVBand="0" w:oddHBand="0" w:evenHBand="0" w:firstRowFirstColumn="0" w:firstRowLastColumn="0" w:lastRowFirstColumn="0" w:lastRowLastColumn="0"/>
              <w:rPr>
                <w:szCs w:val="18"/>
                <w:shd w:val="clear" w:color="auto" w:fill="1C556C" w:themeFill="accent1"/>
              </w:rPr>
            </w:pPr>
            <w:r w:rsidRPr="00BD16B4">
              <w:rPr>
                <w:b/>
                <w:szCs w:val="18"/>
                <w:shd w:val="clear" w:color="auto" w:fill="1C556C" w:themeFill="accent1"/>
              </w:rPr>
              <w:t>Projections</w:t>
            </w:r>
          </w:p>
        </w:tc>
      </w:tr>
      <w:tr w:rsidR="007C259A" w:rsidRPr="00BD16B4" w14:paraId="25B636FE" w14:textId="77777777" w:rsidTr="00A63228">
        <w:tc>
          <w:tcPr>
            <w:cnfStyle w:val="001000000000" w:firstRow="0" w:lastRow="0" w:firstColumn="1" w:lastColumn="0" w:oddVBand="0" w:evenVBand="0" w:oddHBand="0" w:evenHBand="0" w:firstRowFirstColumn="0" w:firstRowLastColumn="0" w:lastRowFirstColumn="0" w:lastRowLastColumn="0"/>
            <w:tcW w:w="494" w:type="pct"/>
            <w:tcBorders>
              <w:top w:val="nil"/>
              <w:left w:val="nil"/>
              <w:bottom w:val="single" w:sz="4" w:space="0" w:color="1C556C" w:themeColor="accent1"/>
              <w:right w:val="nil"/>
            </w:tcBorders>
            <w:shd w:val="clear" w:color="auto" w:fill="1B556B" w:themeFill="text2"/>
          </w:tcPr>
          <w:p w14:paraId="2FF419D5" w14:textId="77777777" w:rsidR="007C259A" w:rsidRPr="00BD16B4" w:rsidRDefault="007C259A" w:rsidP="00F31129">
            <w:pPr>
              <w:pStyle w:val="TableTextBold0"/>
              <w:spacing w:before="0" w:after="40"/>
              <w:jc w:val="center"/>
              <w:rPr>
                <w:b/>
                <w:color w:val="FFFFFF" w:themeColor="background1"/>
                <w:szCs w:val="18"/>
                <w:shd w:val="clear" w:color="auto" w:fill="1C556C" w:themeFill="accent1"/>
              </w:rPr>
            </w:pPr>
            <w:r w:rsidRPr="00BD16B4">
              <w:rPr>
                <w:b/>
                <w:color w:val="FFFFFF" w:themeColor="background1"/>
                <w:szCs w:val="18"/>
                <w:shd w:val="clear" w:color="auto" w:fill="1C556C" w:themeFill="accent1"/>
              </w:rPr>
              <w:t>Gas</w:t>
            </w:r>
          </w:p>
        </w:tc>
        <w:tc>
          <w:tcPr>
            <w:tcW w:w="417" w:type="pct"/>
            <w:tcBorders>
              <w:top w:val="nil"/>
              <w:left w:val="nil"/>
              <w:bottom w:val="single" w:sz="4" w:space="0" w:color="1C556C" w:themeColor="accent1"/>
              <w:right w:val="nil"/>
            </w:tcBorders>
            <w:shd w:val="clear" w:color="auto" w:fill="1B556B" w:themeFill="text2"/>
          </w:tcPr>
          <w:p w14:paraId="428FC863" w14:textId="77777777" w:rsidR="007C259A" w:rsidRPr="00BD16B4" w:rsidRDefault="007C259A" w:rsidP="00F31129">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D16B4">
              <w:rPr>
                <w:color w:val="FFFFFF" w:themeColor="background1"/>
                <w:szCs w:val="18"/>
                <w:shd w:val="clear" w:color="auto" w:fill="1C556C" w:themeFill="accent1"/>
              </w:rPr>
              <w:t>1990</w:t>
            </w:r>
          </w:p>
        </w:tc>
        <w:tc>
          <w:tcPr>
            <w:tcW w:w="499" w:type="pct"/>
            <w:tcBorders>
              <w:top w:val="nil"/>
              <w:left w:val="nil"/>
              <w:bottom w:val="single" w:sz="4" w:space="0" w:color="1C556C" w:themeColor="accent1"/>
              <w:right w:val="nil"/>
            </w:tcBorders>
            <w:shd w:val="clear" w:color="auto" w:fill="1B556B" w:themeFill="text2"/>
          </w:tcPr>
          <w:p w14:paraId="210746CC" w14:textId="77777777" w:rsidR="007C259A" w:rsidRPr="00BD16B4" w:rsidRDefault="007C259A" w:rsidP="00F31129">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D16B4">
              <w:rPr>
                <w:color w:val="FFFFFF" w:themeColor="background1"/>
                <w:szCs w:val="18"/>
                <w:shd w:val="clear" w:color="auto" w:fill="1C556C" w:themeFill="accent1"/>
              </w:rPr>
              <w:t>1995</w:t>
            </w:r>
          </w:p>
        </w:tc>
        <w:tc>
          <w:tcPr>
            <w:tcW w:w="500" w:type="pct"/>
            <w:tcBorders>
              <w:top w:val="nil"/>
              <w:left w:val="nil"/>
              <w:bottom w:val="single" w:sz="4" w:space="0" w:color="1C556C" w:themeColor="accent1"/>
              <w:right w:val="nil"/>
            </w:tcBorders>
            <w:shd w:val="clear" w:color="auto" w:fill="1B556B" w:themeFill="text2"/>
          </w:tcPr>
          <w:p w14:paraId="2F33C8DE" w14:textId="77777777" w:rsidR="007C259A" w:rsidRPr="00BD16B4" w:rsidRDefault="007C259A" w:rsidP="00F31129">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D16B4">
              <w:rPr>
                <w:color w:val="FFFFFF" w:themeColor="background1"/>
                <w:szCs w:val="18"/>
                <w:shd w:val="clear" w:color="auto" w:fill="1C556C" w:themeFill="accent1"/>
              </w:rPr>
              <w:t>2000</w:t>
            </w:r>
          </w:p>
        </w:tc>
        <w:tc>
          <w:tcPr>
            <w:tcW w:w="499" w:type="pct"/>
            <w:tcBorders>
              <w:top w:val="nil"/>
              <w:left w:val="nil"/>
              <w:bottom w:val="single" w:sz="4" w:space="0" w:color="1C556C" w:themeColor="accent1"/>
              <w:right w:val="nil"/>
            </w:tcBorders>
            <w:shd w:val="clear" w:color="auto" w:fill="1B556B" w:themeFill="text2"/>
          </w:tcPr>
          <w:p w14:paraId="70ADAE6F" w14:textId="77777777" w:rsidR="007C259A" w:rsidRPr="00BD16B4" w:rsidRDefault="007C259A" w:rsidP="00F31129">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D16B4">
              <w:rPr>
                <w:color w:val="FFFFFF" w:themeColor="background1"/>
                <w:szCs w:val="18"/>
                <w:shd w:val="clear" w:color="auto" w:fill="1C556C" w:themeFill="accent1"/>
              </w:rPr>
              <w:t>2005</w:t>
            </w:r>
          </w:p>
        </w:tc>
        <w:tc>
          <w:tcPr>
            <w:tcW w:w="500" w:type="pct"/>
            <w:tcBorders>
              <w:top w:val="nil"/>
              <w:left w:val="nil"/>
              <w:bottom w:val="single" w:sz="4" w:space="0" w:color="1C556C" w:themeColor="accent1"/>
              <w:right w:val="nil"/>
            </w:tcBorders>
            <w:shd w:val="clear" w:color="auto" w:fill="1B556B" w:themeFill="text2"/>
          </w:tcPr>
          <w:p w14:paraId="5209C498" w14:textId="77777777" w:rsidR="007C259A" w:rsidRPr="00BD16B4" w:rsidRDefault="007C259A" w:rsidP="00F31129">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D16B4">
              <w:rPr>
                <w:color w:val="FFFFFF" w:themeColor="background1"/>
                <w:szCs w:val="18"/>
                <w:shd w:val="clear" w:color="auto" w:fill="1C556C" w:themeFill="accent1"/>
              </w:rPr>
              <w:t>2010</w:t>
            </w:r>
          </w:p>
        </w:tc>
        <w:tc>
          <w:tcPr>
            <w:tcW w:w="416" w:type="pct"/>
            <w:tcBorders>
              <w:top w:val="nil"/>
              <w:left w:val="nil"/>
              <w:bottom w:val="single" w:sz="4" w:space="0" w:color="1C556C" w:themeColor="accent1"/>
              <w:right w:val="nil"/>
            </w:tcBorders>
            <w:shd w:val="clear" w:color="auto" w:fill="1B556B" w:themeFill="text2"/>
          </w:tcPr>
          <w:p w14:paraId="5BC7E730" w14:textId="77777777" w:rsidR="007C259A" w:rsidRPr="00BD16B4" w:rsidRDefault="007C259A" w:rsidP="00F31129">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D16B4">
              <w:rPr>
                <w:color w:val="FFFFFF" w:themeColor="background1"/>
                <w:szCs w:val="18"/>
                <w:shd w:val="clear" w:color="auto" w:fill="1C556C" w:themeFill="accent1"/>
              </w:rPr>
              <w:t>2015</w:t>
            </w:r>
          </w:p>
        </w:tc>
        <w:tc>
          <w:tcPr>
            <w:tcW w:w="458" w:type="pct"/>
            <w:tcBorders>
              <w:top w:val="nil"/>
              <w:left w:val="nil"/>
              <w:bottom w:val="single" w:sz="4" w:space="0" w:color="1C556C" w:themeColor="accent1"/>
              <w:right w:val="nil"/>
            </w:tcBorders>
            <w:shd w:val="clear" w:color="auto" w:fill="1B556B" w:themeFill="text2"/>
          </w:tcPr>
          <w:p w14:paraId="1EFD12D4" w14:textId="77777777" w:rsidR="007C259A" w:rsidRPr="00BD16B4" w:rsidRDefault="007C259A" w:rsidP="00F31129">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D16B4">
              <w:rPr>
                <w:color w:val="FFFFFF" w:themeColor="background1"/>
                <w:szCs w:val="18"/>
                <w:shd w:val="clear" w:color="auto" w:fill="1C556C" w:themeFill="accent1"/>
              </w:rPr>
              <w:t>2020</w:t>
            </w:r>
          </w:p>
        </w:tc>
        <w:tc>
          <w:tcPr>
            <w:tcW w:w="455" w:type="pct"/>
            <w:tcBorders>
              <w:top w:val="nil"/>
              <w:left w:val="nil"/>
              <w:bottom w:val="single" w:sz="4" w:space="0" w:color="1C556C" w:themeColor="accent1"/>
              <w:right w:val="nil"/>
            </w:tcBorders>
            <w:shd w:val="clear" w:color="auto" w:fill="1B556B" w:themeFill="text2"/>
          </w:tcPr>
          <w:p w14:paraId="6DC80230" w14:textId="77777777" w:rsidR="007C259A" w:rsidRPr="00BD16B4" w:rsidRDefault="007C259A" w:rsidP="00F31129">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D16B4">
              <w:rPr>
                <w:color w:val="FFFFFF" w:themeColor="background1"/>
                <w:szCs w:val="18"/>
                <w:shd w:val="clear" w:color="auto" w:fill="1C556C" w:themeFill="accent1"/>
              </w:rPr>
              <w:t>2025</w:t>
            </w:r>
          </w:p>
        </w:tc>
        <w:tc>
          <w:tcPr>
            <w:tcW w:w="382" w:type="pct"/>
            <w:tcBorders>
              <w:top w:val="nil"/>
              <w:left w:val="nil"/>
              <w:bottom w:val="single" w:sz="4" w:space="0" w:color="1C556C" w:themeColor="accent1"/>
              <w:right w:val="nil"/>
            </w:tcBorders>
            <w:shd w:val="clear" w:color="auto" w:fill="1B556B" w:themeFill="text2"/>
          </w:tcPr>
          <w:p w14:paraId="2D08EDF7" w14:textId="77777777" w:rsidR="007C259A" w:rsidRPr="00BD16B4" w:rsidRDefault="007C259A" w:rsidP="00F31129">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D16B4">
              <w:rPr>
                <w:color w:val="FFFFFF" w:themeColor="background1"/>
                <w:szCs w:val="18"/>
                <w:shd w:val="clear" w:color="auto" w:fill="1C556C" w:themeFill="accent1"/>
              </w:rPr>
              <w:t>2030</w:t>
            </w:r>
          </w:p>
        </w:tc>
        <w:tc>
          <w:tcPr>
            <w:tcW w:w="379" w:type="pct"/>
            <w:tcBorders>
              <w:top w:val="nil"/>
              <w:left w:val="nil"/>
              <w:bottom w:val="single" w:sz="4" w:space="0" w:color="1C556C" w:themeColor="accent1"/>
              <w:right w:val="nil"/>
            </w:tcBorders>
            <w:shd w:val="clear" w:color="auto" w:fill="1B556B" w:themeFill="text2"/>
          </w:tcPr>
          <w:p w14:paraId="4A9DE064" w14:textId="77777777" w:rsidR="007C259A" w:rsidRPr="00BD16B4" w:rsidRDefault="007C259A" w:rsidP="00F31129">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D16B4">
              <w:rPr>
                <w:color w:val="FFFFFF" w:themeColor="background1"/>
                <w:szCs w:val="18"/>
                <w:shd w:val="clear" w:color="auto" w:fill="1C556C" w:themeFill="accent1"/>
              </w:rPr>
              <w:t>2035</w:t>
            </w:r>
          </w:p>
        </w:tc>
      </w:tr>
      <w:tr w:rsidR="007C259A" w:rsidRPr="00BD16B4" w14:paraId="642DF83C" w14:textId="77777777" w:rsidTr="004B79F7">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1C556C" w:themeColor="accent1"/>
            </w:tcBorders>
          </w:tcPr>
          <w:p w14:paraId="5A687FDE" w14:textId="77777777" w:rsidR="007C259A" w:rsidRPr="00BD16B4" w:rsidRDefault="007C259A" w:rsidP="00F31129">
            <w:pPr>
              <w:pStyle w:val="TableText"/>
              <w:spacing w:before="40" w:after="40"/>
              <w:rPr>
                <w:rFonts w:cs="Calibri"/>
                <w:b w:val="0"/>
                <w:szCs w:val="18"/>
              </w:rPr>
            </w:pPr>
            <w:r w:rsidRPr="00BD16B4">
              <w:rPr>
                <w:rFonts w:cs="Calibri"/>
                <w:b w:val="0"/>
                <w:szCs w:val="18"/>
              </w:rPr>
              <w:t>CO</w:t>
            </w:r>
            <w:r w:rsidRPr="00BD16B4">
              <w:rPr>
                <w:rFonts w:cs="Calibri"/>
                <w:b w:val="0"/>
                <w:szCs w:val="18"/>
                <w:vertAlign w:val="subscript"/>
              </w:rPr>
              <w:t>2</w:t>
            </w:r>
          </w:p>
        </w:tc>
        <w:tc>
          <w:tcPr>
            <w:tcW w:w="417" w:type="pct"/>
            <w:tcBorders>
              <w:top w:val="single" w:sz="4" w:space="0" w:color="1C556C" w:themeColor="accent1"/>
            </w:tcBorders>
          </w:tcPr>
          <w:p w14:paraId="75FE606E"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2,520</w:t>
            </w:r>
          </w:p>
        </w:tc>
        <w:tc>
          <w:tcPr>
            <w:tcW w:w="499" w:type="pct"/>
            <w:tcBorders>
              <w:top w:val="single" w:sz="4" w:space="0" w:color="1C556C" w:themeColor="accent1"/>
            </w:tcBorders>
          </w:tcPr>
          <w:p w14:paraId="3AC654AC"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2,814</w:t>
            </w:r>
          </w:p>
        </w:tc>
        <w:tc>
          <w:tcPr>
            <w:tcW w:w="500" w:type="pct"/>
            <w:tcBorders>
              <w:top w:val="single" w:sz="4" w:space="0" w:color="1C556C" w:themeColor="accent1"/>
            </w:tcBorders>
          </w:tcPr>
          <w:p w14:paraId="65AB15EF"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2,922</w:t>
            </w:r>
          </w:p>
        </w:tc>
        <w:tc>
          <w:tcPr>
            <w:tcW w:w="499" w:type="pct"/>
            <w:tcBorders>
              <w:top w:val="single" w:sz="4" w:space="0" w:color="1C556C" w:themeColor="accent1"/>
            </w:tcBorders>
          </w:tcPr>
          <w:p w14:paraId="6F756EA7"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3,209</w:t>
            </w:r>
          </w:p>
        </w:tc>
        <w:tc>
          <w:tcPr>
            <w:tcW w:w="500" w:type="pct"/>
            <w:tcBorders>
              <w:top w:val="single" w:sz="4" w:space="0" w:color="1C556C" w:themeColor="accent1"/>
            </w:tcBorders>
          </w:tcPr>
          <w:p w14:paraId="0722EE0A"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3,319</w:t>
            </w:r>
          </w:p>
        </w:tc>
        <w:tc>
          <w:tcPr>
            <w:tcW w:w="416" w:type="pct"/>
            <w:tcBorders>
              <w:top w:val="single" w:sz="4" w:space="0" w:color="1C556C" w:themeColor="accent1"/>
            </w:tcBorders>
          </w:tcPr>
          <w:p w14:paraId="6212A25D"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3,510</w:t>
            </w:r>
          </w:p>
        </w:tc>
        <w:tc>
          <w:tcPr>
            <w:tcW w:w="458" w:type="pct"/>
            <w:tcBorders>
              <w:top w:val="single" w:sz="4" w:space="0" w:color="1C556C" w:themeColor="accent1"/>
            </w:tcBorders>
          </w:tcPr>
          <w:p w14:paraId="7FEBB47B"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2,864</w:t>
            </w:r>
          </w:p>
        </w:tc>
        <w:tc>
          <w:tcPr>
            <w:tcW w:w="455" w:type="pct"/>
            <w:tcBorders>
              <w:top w:val="single" w:sz="4" w:space="0" w:color="1C556C" w:themeColor="accent1"/>
            </w:tcBorders>
            <w:shd w:val="clear" w:color="auto" w:fill="D2DDE1" w:themeFill="background2"/>
          </w:tcPr>
          <w:p w14:paraId="1077C5B4"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2,547</w:t>
            </w:r>
          </w:p>
        </w:tc>
        <w:tc>
          <w:tcPr>
            <w:tcW w:w="382" w:type="pct"/>
            <w:tcBorders>
              <w:top w:val="single" w:sz="4" w:space="0" w:color="1C556C" w:themeColor="accent1"/>
            </w:tcBorders>
            <w:shd w:val="clear" w:color="auto" w:fill="D2DDE1" w:themeFill="background2"/>
          </w:tcPr>
          <w:p w14:paraId="5DE836F9"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2,551</w:t>
            </w:r>
          </w:p>
        </w:tc>
        <w:tc>
          <w:tcPr>
            <w:tcW w:w="379" w:type="pct"/>
            <w:tcBorders>
              <w:top w:val="single" w:sz="4" w:space="0" w:color="1C556C" w:themeColor="accent1"/>
            </w:tcBorders>
            <w:shd w:val="clear" w:color="auto" w:fill="D2DDE1" w:themeFill="background2"/>
          </w:tcPr>
          <w:p w14:paraId="3091CB38"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2,554</w:t>
            </w:r>
          </w:p>
        </w:tc>
      </w:tr>
      <w:tr w:rsidR="007C259A" w:rsidRPr="00BD16B4" w14:paraId="29B789D3" w14:textId="77777777" w:rsidTr="004B79F7">
        <w:tc>
          <w:tcPr>
            <w:cnfStyle w:val="001000000000" w:firstRow="0" w:lastRow="0" w:firstColumn="1" w:lastColumn="0" w:oddVBand="0" w:evenVBand="0" w:oddHBand="0" w:evenHBand="0" w:firstRowFirstColumn="0" w:firstRowLastColumn="0" w:lastRowFirstColumn="0" w:lastRowLastColumn="0"/>
            <w:tcW w:w="494" w:type="pct"/>
            <w:tcBorders>
              <w:left w:val="nil"/>
            </w:tcBorders>
          </w:tcPr>
          <w:p w14:paraId="52990E48" w14:textId="77777777" w:rsidR="007C259A" w:rsidRPr="00BD16B4" w:rsidRDefault="007C259A" w:rsidP="00F31129">
            <w:pPr>
              <w:pStyle w:val="TableText"/>
              <w:spacing w:before="40" w:after="40"/>
              <w:rPr>
                <w:rFonts w:cs="Calibri"/>
                <w:b w:val="0"/>
                <w:szCs w:val="18"/>
              </w:rPr>
            </w:pPr>
            <w:r w:rsidRPr="00BD16B4">
              <w:rPr>
                <w:rFonts w:cs="Calibri"/>
                <w:b w:val="0"/>
                <w:szCs w:val="18"/>
              </w:rPr>
              <w:t>CH</w:t>
            </w:r>
            <w:r w:rsidRPr="00BD16B4">
              <w:rPr>
                <w:rFonts w:cs="Calibri"/>
                <w:b w:val="0"/>
                <w:szCs w:val="18"/>
                <w:vertAlign w:val="subscript"/>
              </w:rPr>
              <w:t>4</w:t>
            </w:r>
          </w:p>
        </w:tc>
        <w:tc>
          <w:tcPr>
            <w:tcW w:w="417" w:type="pct"/>
          </w:tcPr>
          <w:p w14:paraId="54C5BCFE"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28</w:t>
            </w:r>
          </w:p>
        </w:tc>
        <w:tc>
          <w:tcPr>
            <w:tcW w:w="499" w:type="pct"/>
          </w:tcPr>
          <w:p w14:paraId="40F03823"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79</w:t>
            </w:r>
          </w:p>
        </w:tc>
        <w:tc>
          <w:tcPr>
            <w:tcW w:w="500" w:type="pct"/>
          </w:tcPr>
          <w:p w14:paraId="5AA664B7"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139</w:t>
            </w:r>
          </w:p>
        </w:tc>
        <w:tc>
          <w:tcPr>
            <w:tcW w:w="499" w:type="pct"/>
          </w:tcPr>
          <w:p w14:paraId="3C729DB1"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20</w:t>
            </w:r>
          </w:p>
        </w:tc>
        <w:tc>
          <w:tcPr>
            <w:tcW w:w="500" w:type="pct"/>
          </w:tcPr>
          <w:p w14:paraId="141867A5"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48</w:t>
            </w:r>
          </w:p>
        </w:tc>
        <w:tc>
          <w:tcPr>
            <w:tcW w:w="416" w:type="pct"/>
          </w:tcPr>
          <w:p w14:paraId="074CDE57"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107</w:t>
            </w:r>
          </w:p>
        </w:tc>
        <w:tc>
          <w:tcPr>
            <w:tcW w:w="458" w:type="pct"/>
          </w:tcPr>
          <w:p w14:paraId="2AFA6854"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96</w:t>
            </w:r>
          </w:p>
        </w:tc>
        <w:tc>
          <w:tcPr>
            <w:tcW w:w="455" w:type="pct"/>
            <w:shd w:val="clear" w:color="auto" w:fill="D2DDE1" w:themeFill="background2"/>
          </w:tcPr>
          <w:p w14:paraId="6381253F"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58</w:t>
            </w:r>
          </w:p>
        </w:tc>
        <w:tc>
          <w:tcPr>
            <w:tcW w:w="382" w:type="pct"/>
            <w:shd w:val="clear" w:color="auto" w:fill="D2DDE1" w:themeFill="background2"/>
          </w:tcPr>
          <w:p w14:paraId="6C7ECDB5"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29</w:t>
            </w:r>
          </w:p>
        </w:tc>
        <w:tc>
          <w:tcPr>
            <w:tcW w:w="379" w:type="pct"/>
            <w:tcBorders>
              <w:right w:val="nil"/>
            </w:tcBorders>
            <w:shd w:val="clear" w:color="auto" w:fill="D2DDE1" w:themeFill="background2"/>
          </w:tcPr>
          <w:p w14:paraId="57A68134"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29</w:t>
            </w:r>
          </w:p>
        </w:tc>
      </w:tr>
      <w:tr w:rsidR="007C259A" w:rsidRPr="00BD16B4" w14:paraId="2C4D7BBF" w14:textId="77777777" w:rsidTr="004B79F7">
        <w:tc>
          <w:tcPr>
            <w:cnfStyle w:val="001000000000" w:firstRow="0" w:lastRow="0" w:firstColumn="1" w:lastColumn="0" w:oddVBand="0" w:evenVBand="0" w:oddHBand="0" w:evenHBand="0" w:firstRowFirstColumn="0" w:firstRowLastColumn="0" w:lastRowFirstColumn="0" w:lastRowLastColumn="0"/>
            <w:tcW w:w="494" w:type="pct"/>
          </w:tcPr>
          <w:p w14:paraId="012F26A4" w14:textId="77777777" w:rsidR="007C259A" w:rsidRPr="00BD16B4" w:rsidRDefault="007C259A" w:rsidP="00F31129">
            <w:pPr>
              <w:pStyle w:val="TableText"/>
              <w:spacing w:before="40" w:after="40"/>
              <w:rPr>
                <w:rFonts w:cs="Calibri"/>
                <w:b w:val="0"/>
                <w:szCs w:val="18"/>
              </w:rPr>
            </w:pPr>
            <w:r w:rsidRPr="00BD16B4">
              <w:rPr>
                <w:rFonts w:cs="Calibri"/>
                <w:b w:val="0"/>
                <w:szCs w:val="18"/>
              </w:rPr>
              <w:t>N</w:t>
            </w:r>
            <w:r w:rsidRPr="00BD16B4">
              <w:rPr>
                <w:rFonts w:cs="Calibri"/>
                <w:b w:val="0"/>
                <w:szCs w:val="18"/>
                <w:vertAlign w:val="subscript"/>
              </w:rPr>
              <w:t>2</w:t>
            </w:r>
            <w:r w:rsidRPr="00BD16B4">
              <w:rPr>
                <w:rFonts w:cs="Calibri"/>
                <w:b w:val="0"/>
                <w:szCs w:val="18"/>
              </w:rPr>
              <w:t>O</w:t>
            </w:r>
          </w:p>
        </w:tc>
        <w:tc>
          <w:tcPr>
            <w:tcW w:w="417" w:type="pct"/>
          </w:tcPr>
          <w:p w14:paraId="08EA23E5"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102</w:t>
            </w:r>
          </w:p>
        </w:tc>
        <w:tc>
          <w:tcPr>
            <w:tcW w:w="499" w:type="pct"/>
          </w:tcPr>
          <w:p w14:paraId="196FB228"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79</w:t>
            </w:r>
          </w:p>
        </w:tc>
        <w:tc>
          <w:tcPr>
            <w:tcW w:w="500" w:type="pct"/>
          </w:tcPr>
          <w:p w14:paraId="6D125CB7"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61</w:t>
            </w:r>
          </w:p>
        </w:tc>
        <w:tc>
          <w:tcPr>
            <w:tcW w:w="499" w:type="pct"/>
          </w:tcPr>
          <w:p w14:paraId="747BD92B"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45</w:t>
            </w:r>
          </w:p>
        </w:tc>
        <w:tc>
          <w:tcPr>
            <w:tcW w:w="500" w:type="pct"/>
          </w:tcPr>
          <w:p w14:paraId="4E473271"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53</w:t>
            </w:r>
          </w:p>
        </w:tc>
        <w:tc>
          <w:tcPr>
            <w:tcW w:w="416" w:type="pct"/>
          </w:tcPr>
          <w:p w14:paraId="1C670194"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60</w:t>
            </w:r>
          </w:p>
        </w:tc>
        <w:tc>
          <w:tcPr>
            <w:tcW w:w="458" w:type="pct"/>
          </w:tcPr>
          <w:p w14:paraId="36B44D27"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74</w:t>
            </w:r>
          </w:p>
        </w:tc>
        <w:tc>
          <w:tcPr>
            <w:tcW w:w="455" w:type="pct"/>
            <w:shd w:val="clear" w:color="auto" w:fill="D2DDE1" w:themeFill="background2"/>
          </w:tcPr>
          <w:p w14:paraId="3E00A876"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94</w:t>
            </w:r>
          </w:p>
        </w:tc>
        <w:tc>
          <w:tcPr>
            <w:tcW w:w="382" w:type="pct"/>
            <w:shd w:val="clear" w:color="auto" w:fill="D2DDE1" w:themeFill="background2"/>
          </w:tcPr>
          <w:p w14:paraId="3A4B81CC"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101</w:t>
            </w:r>
          </w:p>
        </w:tc>
        <w:tc>
          <w:tcPr>
            <w:tcW w:w="379" w:type="pct"/>
            <w:shd w:val="clear" w:color="auto" w:fill="D2DDE1" w:themeFill="background2"/>
          </w:tcPr>
          <w:p w14:paraId="7DBF3B28"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107</w:t>
            </w:r>
          </w:p>
        </w:tc>
      </w:tr>
      <w:tr w:rsidR="007C259A" w:rsidRPr="00BD16B4" w14:paraId="3F02DE19" w14:textId="77777777" w:rsidTr="004B79F7">
        <w:tc>
          <w:tcPr>
            <w:cnfStyle w:val="001000000000" w:firstRow="0" w:lastRow="0" w:firstColumn="1" w:lastColumn="0" w:oddVBand="0" w:evenVBand="0" w:oddHBand="0" w:evenHBand="0" w:firstRowFirstColumn="0" w:firstRowLastColumn="0" w:lastRowFirstColumn="0" w:lastRowLastColumn="0"/>
            <w:tcW w:w="494" w:type="pct"/>
            <w:tcBorders>
              <w:left w:val="nil"/>
            </w:tcBorders>
          </w:tcPr>
          <w:p w14:paraId="33911EF0" w14:textId="77777777" w:rsidR="007C259A" w:rsidRPr="00BD16B4" w:rsidRDefault="007C259A" w:rsidP="00F31129">
            <w:pPr>
              <w:pStyle w:val="TableText"/>
              <w:spacing w:before="40" w:after="40"/>
              <w:rPr>
                <w:rFonts w:cs="Calibri"/>
                <w:b w:val="0"/>
                <w:szCs w:val="18"/>
              </w:rPr>
            </w:pPr>
            <w:r w:rsidRPr="00BD16B4">
              <w:rPr>
                <w:rFonts w:cs="Calibri"/>
                <w:b w:val="0"/>
                <w:szCs w:val="18"/>
              </w:rPr>
              <w:t>HFCs</w:t>
            </w:r>
          </w:p>
        </w:tc>
        <w:tc>
          <w:tcPr>
            <w:tcW w:w="417" w:type="pct"/>
          </w:tcPr>
          <w:p w14:paraId="615C9AC7"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0</w:t>
            </w:r>
          </w:p>
        </w:tc>
        <w:tc>
          <w:tcPr>
            <w:tcW w:w="499" w:type="pct"/>
          </w:tcPr>
          <w:p w14:paraId="38AAA9F9"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25</w:t>
            </w:r>
          </w:p>
        </w:tc>
        <w:tc>
          <w:tcPr>
            <w:tcW w:w="500" w:type="pct"/>
          </w:tcPr>
          <w:p w14:paraId="06477B98"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234</w:t>
            </w:r>
          </w:p>
        </w:tc>
        <w:tc>
          <w:tcPr>
            <w:tcW w:w="499" w:type="pct"/>
          </w:tcPr>
          <w:p w14:paraId="7F5D2A4A"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694</w:t>
            </w:r>
          </w:p>
        </w:tc>
        <w:tc>
          <w:tcPr>
            <w:tcW w:w="500" w:type="pct"/>
          </w:tcPr>
          <w:p w14:paraId="342C624D"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1,101</w:t>
            </w:r>
          </w:p>
        </w:tc>
        <w:tc>
          <w:tcPr>
            <w:tcW w:w="416" w:type="pct"/>
          </w:tcPr>
          <w:p w14:paraId="25C402E9"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1,386</w:t>
            </w:r>
          </w:p>
        </w:tc>
        <w:tc>
          <w:tcPr>
            <w:tcW w:w="458" w:type="pct"/>
          </w:tcPr>
          <w:p w14:paraId="6BB05D70"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1,480</w:t>
            </w:r>
          </w:p>
        </w:tc>
        <w:tc>
          <w:tcPr>
            <w:tcW w:w="455" w:type="pct"/>
            <w:shd w:val="clear" w:color="auto" w:fill="D2DDE1" w:themeFill="background2"/>
          </w:tcPr>
          <w:p w14:paraId="67FD85C0"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1,303</w:t>
            </w:r>
          </w:p>
        </w:tc>
        <w:tc>
          <w:tcPr>
            <w:tcW w:w="382" w:type="pct"/>
            <w:shd w:val="clear" w:color="auto" w:fill="D2DDE1" w:themeFill="background2"/>
          </w:tcPr>
          <w:p w14:paraId="0400FE88"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1,209</w:t>
            </w:r>
          </w:p>
        </w:tc>
        <w:tc>
          <w:tcPr>
            <w:tcW w:w="379" w:type="pct"/>
            <w:tcBorders>
              <w:right w:val="nil"/>
            </w:tcBorders>
            <w:shd w:val="clear" w:color="auto" w:fill="D2DDE1" w:themeFill="background2"/>
          </w:tcPr>
          <w:p w14:paraId="35314A79"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1,006</w:t>
            </w:r>
          </w:p>
        </w:tc>
      </w:tr>
      <w:tr w:rsidR="007C259A" w:rsidRPr="00BD16B4" w14:paraId="52266DB2" w14:textId="77777777" w:rsidTr="004B79F7">
        <w:tc>
          <w:tcPr>
            <w:cnfStyle w:val="001000000000" w:firstRow="0" w:lastRow="0" w:firstColumn="1" w:lastColumn="0" w:oddVBand="0" w:evenVBand="0" w:oddHBand="0" w:evenHBand="0" w:firstRowFirstColumn="0" w:firstRowLastColumn="0" w:lastRowFirstColumn="0" w:lastRowLastColumn="0"/>
            <w:tcW w:w="494" w:type="pct"/>
          </w:tcPr>
          <w:p w14:paraId="6C0F2C43" w14:textId="77777777" w:rsidR="007C259A" w:rsidRPr="00BD16B4" w:rsidRDefault="007C259A" w:rsidP="00F31129">
            <w:pPr>
              <w:pStyle w:val="TableText"/>
              <w:spacing w:before="40" w:after="40"/>
              <w:rPr>
                <w:rFonts w:cs="Calibri"/>
                <w:b w:val="0"/>
                <w:szCs w:val="18"/>
              </w:rPr>
            </w:pPr>
            <w:r w:rsidRPr="00BD16B4">
              <w:rPr>
                <w:rFonts w:cs="Calibri"/>
                <w:b w:val="0"/>
                <w:szCs w:val="18"/>
              </w:rPr>
              <w:t>PFCs</w:t>
            </w:r>
          </w:p>
        </w:tc>
        <w:tc>
          <w:tcPr>
            <w:tcW w:w="417" w:type="pct"/>
          </w:tcPr>
          <w:p w14:paraId="1D21F59C"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910</w:t>
            </w:r>
          </w:p>
        </w:tc>
        <w:tc>
          <w:tcPr>
            <w:tcW w:w="499" w:type="pct"/>
          </w:tcPr>
          <w:p w14:paraId="3AD83179"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153</w:t>
            </w:r>
          </w:p>
        </w:tc>
        <w:tc>
          <w:tcPr>
            <w:tcW w:w="500" w:type="pct"/>
          </w:tcPr>
          <w:p w14:paraId="12EEB398"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68</w:t>
            </w:r>
          </w:p>
        </w:tc>
        <w:tc>
          <w:tcPr>
            <w:tcW w:w="499" w:type="pct"/>
          </w:tcPr>
          <w:p w14:paraId="6A6C9061"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69</w:t>
            </w:r>
          </w:p>
        </w:tc>
        <w:tc>
          <w:tcPr>
            <w:tcW w:w="500" w:type="pct"/>
          </w:tcPr>
          <w:p w14:paraId="61EBC1FC"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48</w:t>
            </w:r>
          </w:p>
        </w:tc>
        <w:tc>
          <w:tcPr>
            <w:tcW w:w="416" w:type="pct"/>
          </w:tcPr>
          <w:p w14:paraId="2C7DDE34"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59</w:t>
            </w:r>
          </w:p>
        </w:tc>
        <w:tc>
          <w:tcPr>
            <w:tcW w:w="458" w:type="pct"/>
          </w:tcPr>
          <w:p w14:paraId="73C23BD1"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88</w:t>
            </w:r>
          </w:p>
        </w:tc>
        <w:tc>
          <w:tcPr>
            <w:tcW w:w="455" w:type="pct"/>
            <w:shd w:val="clear" w:color="auto" w:fill="D2DDE1" w:themeFill="background2"/>
          </w:tcPr>
          <w:p w14:paraId="7D7DB356"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0</w:t>
            </w:r>
          </w:p>
        </w:tc>
        <w:tc>
          <w:tcPr>
            <w:tcW w:w="382" w:type="pct"/>
            <w:shd w:val="clear" w:color="auto" w:fill="D2DDE1" w:themeFill="background2"/>
          </w:tcPr>
          <w:p w14:paraId="5A55F888"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0</w:t>
            </w:r>
          </w:p>
        </w:tc>
        <w:tc>
          <w:tcPr>
            <w:tcW w:w="379" w:type="pct"/>
            <w:shd w:val="clear" w:color="auto" w:fill="D2DDE1" w:themeFill="background2"/>
          </w:tcPr>
          <w:p w14:paraId="2F2C50D9"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0</w:t>
            </w:r>
          </w:p>
        </w:tc>
      </w:tr>
      <w:tr w:rsidR="007C259A" w:rsidRPr="00BD16B4" w14:paraId="7114A328" w14:textId="77777777" w:rsidTr="004B79F7">
        <w:tc>
          <w:tcPr>
            <w:cnfStyle w:val="001000000000" w:firstRow="0" w:lastRow="0" w:firstColumn="1" w:lastColumn="0" w:oddVBand="0" w:evenVBand="0" w:oddHBand="0" w:evenHBand="0" w:firstRowFirstColumn="0" w:firstRowLastColumn="0" w:lastRowFirstColumn="0" w:lastRowLastColumn="0"/>
            <w:tcW w:w="494" w:type="pct"/>
            <w:tcBorders>
              <w:left w:val="nil"/>
            </w:tcBorders>
          </w:tcPr>
          <w:p w14:paraId="274B2FD7" w14:textId="77777777" w:rsidR="007C259A" w:rsidRPr="00BD16B4" w:rsidRDefault="007C259A" w:rsidP="00F31129">
            <w:pPr>
              <w:pStyle w:val="TableText"/>
              <w:spacing w:before="40" w:after="40"/>
              <w:rPr>
                <w:rFonts w:cs="Calibri"/>
                <w:b w:val="0"/>
                <w:szCs w:val="18"/>
              </w:rPr>
            </w:pPr>
            <w:r w:rsidRPr="00BD16B4">
              <w:rPr>
                <w:rFonts w:cs="Calibri"/>
                <w:b w:val="0"/>
                <w:szCs w:val="18"/>
              </w:rPr>
              <w:t>SF</w:t>
            </w:r>
            <w:r w:rsidRPr="00BD16B4">
              <w:rPr>
                <w:rFonts w:cs="Calibri"/>
                <w:b w:val="0"/>
                <w:szCs w:val="18"/>
                <w:vertAlign w:val="subscript"/>
              </w:rPr>
              <w:t>6</w:t>
            </w:r>
          </w:p>
        </w:tc>
        <w:tc>
          <w:tcPr>
            <w:tcW w:w="417" w:type="pct"/>
          </w:tcPr>
          <w:p w14:paraId="0A770D58"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20</w:t>
            </w:r>
          </w:p>
        </w:tc>
        <w:tc>
          <w:tcPr>
            <w:tcW w:w="499" w:type="pct"/>
          </w:tcPr>
          <w:p w14:paraId="1447B254"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24</w:t>
            </w:r>
          </w:p>
        </w:tc>
        <w:tc>
          <w:tcPr>
            <w:tcW w:w="500" w:type="pct"/>
          </w:tcPr>
          <w:p w14:paraId="1D90ED53"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20</w:t>
            </w:r>
          </w:p>
        </w:tc>
        <w:tc>
          <w:tcPr>
            <w:tcW w:w="499" w:type="pct"/>
          </w:tcPr>
          <w:p w14:paraId="5BED5474"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25</w:t>
            </w:r>
          </w:p>
        </w:tc>
        <w:tc>
          <w:tcPr>
            <w:tcW w:w="500" w:type="pct"/>
          </w:tcPr>
          <w:p w14:paraId="3ACDD509"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23</w:t>
            </w:r>
          </w:p>
        </w:tc>
        <w:tc>
          <w:tcPr>
            <w:tcW w:w="416" w:type="pct"/>
          </w:tcPr>
          <w:p w14:paraId="05728D85"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16</w:t>
            </w:r>
          </w:p>
        </w:tc>
        <w:tc>
          <w:tcPr>
            <w:tcW w:w="458" w:type="pct"/>
          </w:tcPr>
          <w:p w14:paraId="16ABD33A"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17</w:t>
            </w:r>
          </w:p>
        </w:tc>
        <w:tc>
          <w:tcPr>
            <w:tcW w:w="455" w:type="pct"/>
            <w:shd w:val="clear" w:color="auto" w:fill="D2DDE1" w:themeFill="background2"/>
          </w:tcPr>
          <w:p w14:paraId="58D31C7B"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18</w:t>
            </w:r>
          </w:p>
        </w:tc>
        <w:tc>
          <w:tcPr>
            <w:tcW w:w="382" w:type="pct"/>
            <w:shd w:val="clear" w:color="auto" w:fill="D2DDE1" w:themeFill="background2"/>
          </w:tcPr>
          <w:p w14:paraId="35F86E4E"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20</w:t>
            </w:r>
          </w:p>
        </w:tc>
        <w:tc>
          <w:tcPr>
            <w:tcW w:w="379" w:type="pct"/>
            <w:tcBorders>
              <w:right w:val="nil"/>
            </w:tcBorders>
            <w:shd w:val="clear" w:color="auto" w:fill="D2DDE1" w:themeFill="background2"/>
          </w:tcPr>
          <w:p w14:paraId="16AC7517"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szCs w:val="18"/>
              </w:rPr>
              <w:t>21</w:t>
            </w:r>
          </w:p>
        </w:tc>
      </w:tr>
      <w:tr w:rsidR="007C259A" w:rsidRPr="00BD16B4" w14:paraId="687C8854" w14:textId="77777777" w:rsidTr="004B79F7">
        <w:tc>
          <w:tcPr>
            <w:cnfStyle w:val="001000000000" w:firstRow="0" w:lastRow="0" w:firstColumn="1" w:lastColumn="0" w:oddVBand="0" w:evenVBand="0" w:oddHBand="0" w:evenHBand="0" w:firstRowFirstColumn="0" w:firstRowLastColumn="0" w:lastRowFirstColumn="0" w:lastRowLastColumn="0"/>
            <w:tcW w:w="494" w:type="pct"/>
          </w:tcPr>
          <w:p w14:paraId="3FC43163" w14:textId="77777777" w:rsidR="007C259A" w:rsidRPr="00BD16B4" w:rsidRDefault="007C259A" w:rsidP="00F31129">
            <w:pPr>
              <w:pStyle w:val="TableText"/>
              <w:spacing w:before="40" w:after="40"/>
              <w:rPr>
                <w:rFonts w:cs="Calibri"/>
                <w:b w:val="0"/>
                <w:szCs w:val="18"/>
              </w:rPr>
            </w:pPr>
            <w:r w:rsidRPr="00BD16B4">
              <w:rPr>
                <w:rFonts w:cs="Calibri"/>
                <w:b w:val="0"/>
                <w:szCs w:val="18"/>
              </w:rPr>
              <w:t>NF</w:t>
            </w:r>
            <w:r w:rsidRPr="00BD16B4">
              <w:rPr>
                <w:rFonts w:cs="Calibri"/>
                <w:b w:val="0"/>
                <w:szCs w:val="18"/>
                <w:vertAlign w:val="subscript"/>
              </w:rPr>
              <w:t>3</w:t>
            </w:r>
          </w:p>
        </w:tc>
        <w:tc>
          <w:tcPr>
            <w:tcW w:w="417" w:type="pct"/>
          </w:tcPr>
          <w:p w14:paraId="64A7868B"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NO</w:t>
            </w:r>
          </w:p>
        </w:tc>
        <w:tc>
          <w:tcPr>
            <w:tcW w:w="499" w:type="pct"/>
          </w:tcPr>
          <w:p w14:paraId="09E16BB3"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NO</w:t>
            </w:r>
          </w:p>
        </w:tc>
        <w:tc>
          <w:tcPr>
            <w:tcW w:w="500" w:type="pct"/>
          </w:tcPr>
          <w:p w14:paraId="27ED6667"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NO</w:t>
            </w:r>
          </w:p>
        </w:tc>
        <w:tc>
          <w:tcPr>
            <w:tcW w:w="499" w:type="pct"/>
          </w:tcPr>
          <w:p w14:paraId="597E55FB"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NO</w:t>
            </w:r>
          </w:p>
        </w:tc>
        <w:tc>
          <w:tcPr>
            <w:tcW w:w="500" w:type="pct"/>
          </w:tcPr>
          <w:p w14:paraId="5EB572D8"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NO</w:t>
            </w:r>
          </w:p>
        </w:tc>
        <w:tc>
          <w:tcPr>
            <w:tcW w:w="416" w:type="pct"/>
          </w:tcPr>
          <w:p w14:paraId="7203C18D"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NO</w:t>
            </w:r>
          </w:p>
        </w:tc>
        <w:tc>
          <w:tcPr>
            <w:tcW w:w="458" w:type="pct"/>
          </w:tcPr>
          <w:p w14:paraId="15252C72"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color w:val="000000"/>
                <w:szCs w:val="18"/>
              </w:rPr>
              <w:t>NO</w:t>
            </w:r>
          </w:p>
        </w:tc>
        <w:tc>
          <w:tcPr>
            <w:tcW w:w="455" w:type="pct"/>
            <w:shd w:val="clear" w:color="auto" w:fill="D2DDE1" w:themeFill="background2"/>
          </w:tcPr>
          <w:p w14:paraId="4E26CC62"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color w:val="000000"/>
                <w:szCs w:val="18"/>
              </w:rPr>
              <w:t>NO</w:t>
            </w:r>
          </w:p>
        </w:tc>
        <w:tc>
          <w:tcPr>
            <w:tcW w:w="382" w:type="pct"/>
            <w:shd w:val="clear" w:color="auto" w:fill="D2DDE1" w:themeFill="background2"/>
          </w:tcPr>
          <w:p w14:paraId="417BA391"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color w:val="000000"/>
                <w:szCs w:val="18"/>
              </w:rPr>
              <w:t>NO</w:t>
            </w:r>
          </w:p>
        </w:tc>
        <w:tc>
          <w:tcPr>
            <w:tcW w:w="379" w:type="pct"/>
            <w:shd w:val="clear" w:color="auto" w:fill="D2DDE1" w:themeFill="background2"/>
          </w:tcPr>
          <w:p w14:paraId="3F3ED4F5"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D16B4">
              <w:rPr>
                <w:rFonts w:cs="Calibri"/>
                <w:color w:val="000000"/>
                <w:szCs w:val="18"/>
              </w:rPr>
              <w:t>NO</w:t>
            </w:r>
          </w:p>
        </w:tc>
      </w:tr>
      <w:tr w:rsidR="007C259A" w:rsidRPr="00BD16B4" w14:paraId="13816798" w14:textId="77777777" w:rsidTr="004B79F7">
        <w:tc>
          <w:tcPr>
            <w:cnfStyle w:val="001000000000" w:firstRow="0" w:lastRow="0" w:firstColumn="1" w:lastColumn="0" w:oddVBand="0" w:evenVBand="0" w:oddHBand="0" w:evenHBand="0" w:firstRowFirstColumn="0" w:firstRowLastColumn="0" w:lastRowFirstColumn="0" w:lastRowLastColumn="0"/>
            <w:tcW w:w="494" w:type="pct"/>
            <w:tcBorders>
              <w:left w:val="nil"/>
            </w:tcBorders>
          </w:tcPr>
          <w:p w14:paraId="0C86E9BE" w14:textId="77777777" w:rsidR="007C259A" w:rsidRPr="00BD16B4" w:rsidRDefault="007C259A" w:rsidP="00F31129">
            <w:pPr>
              <w:pStyle w:val="TableTextBold0"/>
              <w:spacing w:before="40" w:after="40"/>
              <w:rPr>
                <w:b/>
                <w:szCs w:val="18"/>
              </w:rPr>
            </w:pPr>
            <w:r w:rsidRPr="00BD16B4">
              <w:rPr>
                <w:b/>
                <w:szCs w:val="18"/>
              </w:rPr>
              <w:t>Total</w:t>
            </w:r>
          </w:p>
        </w:tc>
        <w:tc>
          <w:tcPr>
            <w:tcW w:w="417" w:type="pct"/>
          </w:tcPr>
          <w:p w14:paraId="2EC1CEBA" w14:textId="77777777" w:rsidR="007C259A" w:rsidRPr="00BD16B4" w:rsidRDefault="007C259A" w:rsidP="00F31129">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18"/>
              </w:rPr>
            </w:pPr>
            <w:r w:rsidRPr="00BD16B4">
              <w:rPr>
                <w:szCs w:val="18"/>
              </w:rPr>
              <w:t>3,580</w:t>
            </w:r>
          </w:p>
        </w:tc>
        <w:tc>
          <w:tcPr>
            <w:tcW w:w="499" w:type="pct"/>
          </w:tcPr>
          <w:p w14:paraId="5C2491F5" w14:textId="77777777" w:rsidR="007C259A" w:rsidRPr="00BD16B4" w:rsidRDefault="007C259A" w:rsidP="00F31129">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18"/>
              </w:rPr>
            </w:pPr>
            <w:r w:rsidRPr="00BD16B4">
              <w:rPr>
                <w:szCs w:val="18"/>
              </w:rPr>
              <w:t>3,174</w:t>
            </w:r>
          </w:p>
        </w:tc>
        <w:tc>
          <w:tcPr>
            <w:tcW w:w="500" w:type="pct"/>
          </w:tcPr>
          <w:p w14:paraId="02003C6C" w14:textId="77777777" w:rsidR="007C259A" w:rsidRPr="00BD16B4" w:rsidRDefault="007C259A" w:rsidP="00F31129">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18"/>
              </w:rPr>
            </w:pPr>
            <w:r w:rsidRPr="00BD16B4">
              <w:rPr>
                <w:szCs w:val="18"/>
              </w:rPr>
              <w:t>3,443</w:t>
            </w:r>
          </w:p>
        </w:tc>
        <w:tc>
          <w:tcPr>
            <w:tcW w:w="499" w:type="pct"/>
          </w:tcPr>
          <w:p w14:paraId="5E1ABB99" w14:textId="77777777" w:rsidR="007C259A" w:rsidRPr="00BD16B4" w:rsidRDefault="007C259A" w:rsidP="00F31129">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18"/>
              </w:rPr>
            </w:pPr>
            <w:r w:rsidRPr="00BD16B4">
              <w:rPr>
                <w:szCs w:val="18"/>
              </w:rPr>
              <w:t>4,062</w:t>
            </w:r>
          </w:p>
        </w:tc>
        <w:tc>
          <w:tcPr>
            <w:tcW w:w="500" w:type="pct"/>
          </w:tcPr>
          <w:p w14:paraId="429BB78C" w14:textId="77777777" w:rsidR="007C259A" w:rsidRPr="00BD16B4" w:rsidRDefault="007C259A" w:rsidP="00F31129">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18"/>
              </w:rPr>
            </w:pPr>
            <w:r w:rsidRPr="00BD16B4">
              <w:rPr>
                <w:szCs w:val="18"/>
              </w:rPr>
              <w:t>4,591</w:t>
            </w:r>
          </w:p>
        </w:tc>
        <w:tc>
          <w:tcPr>
            <w:tcW w:w="416" w:type="pct"/>
          </w:tcPr>
          <w:p w14:paraId="6ADD53F8" w14:textId="77777777" w:rsidR="007C259A" w:rsidRPr="00BD16B4" w:rsidRDefault="007C259A" w:rsidP="00F31129">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18"/>
              </w:rPr>
            </w:pPr>
            <w:r w:rsidRPr="00BD16B4">
              <w:rPr>
                <w:szCs w:val="18"/>
              </w:rPr>
              <w:t>5,137</w:t>
            </w:r>
          </w:p>
        </w:tc>
        <w:tc>
          <w:tcPr>
            <w:tcW w:w="458" w:type="pct"/>
          </w:tcPr>
          <w:p w14:paraId="47EB3054" w14:textId="77777777" w:rsidR="007C259A" w:rsidRPr="00BD16B4" w:rsidRDefault="007C259A" w:rsidP="00F31129">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szCs w:val="18"/>
              </w:rPr>
            </w:pPr>
            <w:r w:rsidRPr="00BD16B4">
              <w:rPr>
                <w:szCs w:val="18"/>
              </w:rPr>
              <w:t>4,618</w:t>
            </w:r>
          </w:p>
        </w:tc>
        <w:tc>
          <w:tcPr>
            <w:tcW w:w="455" w:type="pct"/>
            <w:shd w:val="clear" w:color="auto" w:fill="D2DDE1" w:themeFill="background2"/>
          </w:tcPr>
          <w:p w14:paraId="24A9DB43" w14:textId="77777777" w:rsidR="007C259A" w:rsidRPr="00BD16B4" w:rsidRDefault="007C259A" w:rsidP="00F31129">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szCs w:val="18"/>
              </w:rPr>
            </w:pPr>
            <w:r w:rsidRPr="00BD16B4">
              <w:rPr>
                <w:szCs w:val="18"/>
              </w:rPr>
              <w:t>4,020</w:t>
            </w:r>
          </w:p>
        </w:tc>
        <w:tc>
          <w:tcPr>
            <w:tcW w:w="382" w:type="pct"/>
            <w:shd w:val="clear" w:color="auto" w:fill="D2DDE1" w:themeFill="background2"/>
          </w:tcPr>
          <w:p w14:paraId="234D5D87" w14:textId="77777777" w:rsidR="007C259A" w:rsidRPr="00BD16B4" w:rsidRDefault="007C259A" w:rsidP="00F31129">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szCs w:val="18"/>
              </w:rPr>
            </w:pPr>
            <w:r w:rsidRPr="00BD16B4">
              <w:rPr>
                <w:szCs w:val="18"/>
              </w:rPr>
              <w:t>3,910</w:t>
            </w:r>
          </w:p>
        </w:tc>
        <w:tc>
          <w:tcPr>
            <w:tcW w:w="379" w:type="pct"/>
            <w:tcBorders>
              <w:right w:val="nil"/>
            </w:tcBorders>
            <w:shd w:val="clear" w:color="auto" w:fill="D2DDE1" w:themeFill="background2"/>
          </w:tcPr>
          <w:p w14:paraId="6A09C2C1" w14:textId="77777777" w:rsidR="007C259A" w:rsidRPr="00BD16B4" w:rsidRDefault="007C259A" w:rsidP="00F31129">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szCs w:val="18"/>
              </w:rPr>
            </w:pPr>
            <w:r w:rsidRPr="00BD16B4">
              <w:rPr>
                <w:szCs w:val="18"/>
              </w:rPr>
              <w:t>3,718</w:t>
            </w:r>
          </w:p>
        </w:tc>
      </w:tr>
    </w:tbl>
    <w:p w14:paraId="666FE0E6" w14:textId="77777777" w:rsidR="007C259A" w:rsidRPr="00BD16B4" w:rsidRDefault="007C259A" w:rsidP="00120409">
      <w:pPr>
        <w:pStyle w:val="Note"/>
      </w:pPr>
      <w:r w:rsidRPr="00BD16B4">
        <w:rPr>
          <w:b/>
          <w:bCs/>
        </w:rPr>
        <w:t>Note:</w:t>
      </w:r>
      <w:r w:rsidRPr="00BD16B4">
        <w:t xml:space="preserve"> CH</w:t>
      </w:r>
      <w:r w:rsidRPr="00BD16B4">
        <w:rPr>
          <w:vertAlign w:val="subscript"/>
        </w:rPr>
        <w:t>4</w:t>
      </w:r>
      <w:r w:rsidRPr="00BD16B4">
        <w:t xml:space="preserve"> = methane; CO</w:t>
      </w:r>
      <w:r w:rsidRPr="00BD16B4">
        <w:rPr>
          <w:vertAlign w:val="subscript"/>
        </w:rPr>
        <w:t>2</w:t>
      </w:r>
      <w:r w:rsidRPr="00BD16B4">
        <w:t xml:space="preserve"> = carbon dioxide; HFCs = hydrofluorocarbons; IPPU = industrial processes and product use; kt CO</w:t>
      </w:r>
      <w:r w:rsidRPr="00BD16B4">
        <w:rPr>
          <w:vertAlign w:val="subscript"/>
        </w:rPr>
        <w:t>2</w:t>
      </w:r>
      <w:r w:rsidRPr="00BD16B4">
        <w:t>-e = kilotonnes of carbon dioxide equivalent; N</w:t>
      </w:r>
      <w:r w:rsidRPr="00BD16B4">
        <w:rPr>
          <w:vertAlign w:val="subscript"/>
        </w:rPr>
        <w:t>2</w:t>
      </w:r>
      <w:r w:rsidRPr="00BD16B4">
        <w:t>O = nitrous oxide; NF</w:t>
      </w:r>
      <w:r w:rsidRPr="00BD16B4">
        <w:rPr>
          <w:vertAlign w:val="subscript"/>
        </w:rPr>
        <w:t>3</w:t>
      </w:r>
      <w:r w:rsidRPr="00BD16B4">
        <w:t xml:space="preserve"> = nitrogen trifluoride; NO = not occurring; PFCs = perfluorocarbons; SF</w:t>
      </w:r>
      <w:r w:rsidRPr="00BD16B4">
        <w:rPr>
          <w:vertAlign w:val="subscript"/>
        </w:rPr>
        <w:t>6</w:t>
      </w:r>
      <w:r w:rsidRPr="00BD16B4">
        <w:t xml:space="preserve"> = sulphur hexafluoride.</w:t>
      </w:r>
    </w:p>
    <w:p w14:paraId="6D13B79C" w14:textId="77777777" w:rsidR="007C259A" w:rsidRPr="00BD16B4" w:rsidRDefault="007C259A" w:rsidP="004E1B8C">
      <w:pPr>
        <w:pStyle w:val="Heading4"/>
      </w:pPr>
      <w:r w:rsidRPr="00BD16B4">
        <w:lastRenderedPageBreak/>
        <w:t>Methodology</w:t>
      </w:r>
    </w:p>
    <w:p w14:paraId="2877D6A2" w14:textId="77777777" w:rsidR="007C259A" w:rsidRPr="00BD16B4" w:rsidRDefault="007C259A" w:rsidP="00825306">
      <w:pPr>
        <w:pStyle w:val="BodyText"/>
        <w:spacing w:before="100" w:after="100"/>
      </w:pPr>
      <w:r w:rsidRPr="00BD16B4">
        <w:t>The CO</w:t>
      </w:r>
      <w:r w:rsidRPr="00BD16B4">
        <w:rPr>
          <w:vertAlign w:val="subscript"/>
        </w:rPr>
        <w:t>2</w:t>
      </w:r>
      <w:r w:rsidRPr="00BD16B4">
        <w:t>, CH</w:t>
      </w:r>
      <w:r w:rsidRPr="00BD16B4">
        <w:rPr>
          <w:vertAlign w:val="subscript"/>
        </w:rPr>
        <w:t>4</w:t>
      </w:r>
      <w:r w:rsidRPr="00BD16B4">
        <w:t xml:space="preserve"> and PFC emissions projections are estimated largely by holding emissions constant where facilities are assumed to be at production capacity and reducing emissions when site closures are expected to occur. The methanol production facilities Motunui 1 and Motunui 2 plants are assumed to close in 2030 and 2040 respectively, while the Waitara Valley Plant (idled in 2021) is assumed to stay closed.</w:t>
      </w:r>
    </w:p>
    <w:p w14:paraId="1871BB2D" w14:textId="77777777" w:rsidR="007C259A" w:rsidRPr="00BD16B4" w:rsidRDefault="007C259A" w:rsidP="00825306">
      <w:pPr>
        <w:spacing w:before="100" w:after="100"/>
      </w:pPr>
      <w:r w:rsidRPr="00BD16B4">
        <w:t>Projected emissions of SF</w:t>
      </w:r>
      <w:r w:rsidRPr="00BD16B4">
        <w:rPr>
          <w:vertAlign w:val="subscript"/>
        </w:rPr>
        <w:t>6</w:t>
      </w:r>
      <w:r w:rsidRPr="00BD16B4">
        <w:t xml:space="preserve"> and N</w:t>
      </w:r>
      <w:r w:rsidRPr="00BD16B4">
        <w:rPr>
          <w:vertAlign w:val="subscript"/>
        </w:rPr>
        <w:t>2</w:t>
      </w:r>
      <w:r w:rsidRPr="00BD16B4">
        <w:t>O were modelled from forecast activity informed by historical trends and relationships to population and economic growth.</w:t>
      </w:r>
    </w:p>
    <w:p w14:paraId="5E267B46" w14:textId="77777777" w:rsidR="007C259A" w:rsidRPr="00BD16B4" w:rsidRDefault="007C259A" w:rsidP="00825306">
      <w:pPr>
        <w:pStyle w:val="BodyText"/>
        <w:spacing w:before="100" w:after="100"/>
      </w:pPr>
      <w:r w:rsidRPr="00BD16B4">
        <w:t>Projections of HFC emissions were prepared through an assessment of the volume and composition of the stockpile of HFC gases in New Zealand and estimates on New Zealand’s projected drawdown, reuse, destruction and emissions of those gases. This assessment considered historical trends and analysis on the impact of the Kigali Amendment phase-down, international equipment changes resulting from European Union fluorinated gas regulations, emissions pricing, stakeholder transition plans and likely new technology shifts.</w:t>
      </w:r>
    </w:p>
    <w:p w14:paraId="055402AD" w14:textId="77777777" w:rsidR="007C259A" w:rsidRPr="00BD16B4" w:rsidRDefault="007C259A" w:rsidP="00825306">
      <w:pPr>
        <w:pStyle w:val="BodyText"/>
        <w:spacing w:before="100" w:after="100"/>
      </w:pPr>
      <w:r w:rsidRPr="00BD16B4">
        <w:t xml:space="preserve">For HFC emissions, the WOM scenario does not include any impact from the Kigali Amendment phase-down and assumes no NZ ETS price, as well as negligible recycled imports, and only includes internationally driven technology shifts. The WAM scenario includes additional estimated impacts of proposals to prohibit imports of pre-charged equipment containing high global warming potential HFCs and increased recovery rates resulting from competition to be included in regulations for the refrigerant recovery sector. </w:t>
      </w:r>
    </w:p>
    <w:p w14:paraId="02F75CF3" w14:textId="77777777" w:rsidR="007C259A" w:rsidRPr="00BD16B4" w:rsidRDefault="007C259A" w:rsidP="007C259A">
      <w:pPr>
        <w:pStyle w:val="BodyText"/>
        <w:spacing w:before="100" w:after="100"/>
      </w:pPr>
      <w:r w:rsidRPr="00BD16B4">
        <w:t xml:space="preserve">The key assumptions for each HFC emissions scenario are outlined in table 5.18. </w:t>
      </w:r>
    </w:p>
    <w:p w14:paraId="66B58F4C" w14:textId="77777777" w:rsidR="007C259A" w:rsidRPr="00BD16B4" w:rsidRDefault="007C259A" w:rsidP="00BB7302">
      <w:pPr>
        <w:pStyle w:val="Tableheading"/>
      </w:pPr>
      <w:bookmarkStart w:id="298" w:name="_Toc121773808"/>
      <w:r w:rsidRPr="00BD16B4">
        <w:t xml:space="preserve">Table 5.18: </w:t>
      </w:r>
      <w:r w:rsidRPr="00BD16B4">
        <w:tab/>
        <w:t>Summary of IPPU key assumptions applied to the scenarios</w:t>
      </w:r>
      <w:bookmarkEnd w:id="298"/>
    </w:p>
    <w:tbl>
      <w:tblPr>
        <w:tblStyle w:val="LightList-Accent11"/>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6A0" w:firstRow="1" w:lastRow="0" w:firstColumn="1" w:lastColumn="0" w:noHBand="1" w:noVBand="1"/>
      </w:tblPr>
      <w:tblGrid>
        <w:gridCol w:w="2414"/>
        <w:gridCol w:w="2399"/>
        <w:gridCol w:w="1436"/>
        <w:gridCol w:w="752"/>
        <w:gridCol w:w="752"/>
        <w:gridCol w:w="752"/>
      </w:tblGrid>
      <w:tr w:rsidR="00F84FC1" w:rsidRPr="00BD16B4" w14:paraId="1E4D9208" w14:textId="77777777" w:rsidTr="00EF4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tcBorders>
              <w:right w:val="nil"/>
            </w:tcBorders>
            <w:shd w:val="clear" w:color="auto" w:fill="1B556B" w:themeFill="text2"/>
          </w:tcPr>
          <w:p w14:paraId="5E473937" w14:textId="77777777" w:rsidR="007C259A" w:rsidRPr="00BD16B4" w:rsidRDefault="007C259A" w:rsidP="008B2E5E">
            <w:pPr>
              <w:pStyle w:val="TableTextBold0"/>
              <w:spacing w:before="30" w:after="40"/>
              <w:rPr>
                <w:b/>
                <w:bCs w:val="0"/>
              </w:rPr>
            </w:pPr>
            <w:r w:rsidRPr="00BD16B4">
              <w:rPr>
                <w:b/>
                <w:bCs w:val="0"/>
              </w:rPr>
              <w:t>Key underlying assumptions</w:t>
            </w:r>
          </w:p>
        </w:tc>
        <w:tc>
          <w:tcPr>
            <w:tcW w:w="2351" w:type="dxa"/>
            <w:tcBorders>
              <w:left w:val="nil"/>
              <w:right w:val="nil"/>
            </w:tcBorders>
            <w:shd w:val="clear" w:color="auto" w:fill="1B556B" w:themeFill="text2"/>
          </w:tcPr>
          <w:p w14:paraId="6D6AE552" w14:textId="77777777" w:rsidR="007C259A" w:rsidRPr="00BD16B4" w:rsidRDefault="007C259A" w:rsidP="008B2E5E">
            <w:pPr>
              <w:pStyle w:val="TableTextBold0"/>
              <w:spacing w:before="30" w:after="40"/>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Unit</w:t>
            </w:r>
          </w:p>
        </w:tc>
        <w:tc>
          <w:tcPr>
            <w:tcW w:w="1407" w:type="dxa"/>
            <w:tcBorders>
              <w:left w:val="nil"/>
              <w:right w:val="nil"/>
            </w:tcBorders>
            <w:shd w:val="clear" w:color="auto" w:fill="1B556B" w:themeFill="text2"/>
          </w:tcPr>
          <w:p w14:paraId="38EC5BAC" w14:textId="77777777" w:rsidR="007C259A" w:rsidRPr="00BD16B4" w:rsidRDefault="007C259A" w:rsidP="008B2E5E">
            <w:pPr>
              <w:pStyle w:val="TableTextBold0"/>
              <w:spacing w:before="30" w:after="40"/>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Scenarios</w:t>
            </w:r>
          </w:p>
        </w:tc>
        <w:tc>
          <w:tcPr>
            <w:tcW w:w="737" w:type="dxa"/>
            <w:tcBorders>
              <w:left w:val="nil"/>
              <w:right w:val="nil"/>
            </w:tcBorders>
            <w:shd w:val="clear" w:color="auto" w:fill="1B556B" w:themeFill="text2"/>
          </w:tcPr>
          <w:p w14:paraId="5E85AA14" w14:textId="77777777" w:rsidR="007C259A" w:rsidRPr="00BD16B4" w:rsidRDefault="007C259A" w:rsidP="008B2E5E">
            <w:pPr>
              <w:pStyle w:val="TableTextBold0"/>
              <w:spacing w:before="30" w:after="4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2025</w:t>
            </w:r>
          </w:p>
        </w:tc>
        <w:tc>
          <w:tcPr>
            <w:tcW w:w="737" w:type="dxa"/>
            <w:tcBorders>
              <w:left w:val="nil"/>
              <w:right w:val="nil"/>
            </w:tcBorders>
            <w:shd w:val="clear" w:color="auto" w:fill="1B556B" w:themeFill="text2"/>
          </w:tcPr>
          <w:p w14:paraId="48DA9DE0" w14:textId="77777777" w:rsidR="007C259A" w:rsidRPr="00BD16B4" w:rsidRDefault="007C259A" w:rsidP="008B2E5E">
            <w:pPr>
              <w:pStyle w:val="TableTextBold0"/>
              <w:spacing w:before="30" w:after="4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2030</w:t>
            </w:r>
          </w:p>
        </w:tc>
        <w:tc>
          <w:tcPr>
            <w:tcW w:w="737" w:type="dxa"/>
            <w:tcBorders>
              <w:left w:val="nil"/>
            </w:tcBorders>
            <w:shd w:val="clear" w:color="auto" w:fill="1B556B" w:themeFill="text2"/>
          </w:tcPr>
          <w:p w14:paraId="05E787B3" w14:textId="77777777" w:rsidR="007C259A" w:rsidRPr="00BD16B4" w:rsidRDefault="007C259A" w:rsidP="008B2E5E">
            <w:pPr>
              <w:pStyle w:val="TableTextBold0"/>
              <w:spacing w:before="30" w:after="40"/>
              <w:jc w:val="center"/>
              <w:cnfStyle w:val="100000000000" w:firstRow="1" w:lastRow="0" w:firstColumn="0" w:lastColumn="0" w:oddVBand="0" w:evenVBand="0" w:oddHBand="0" w:evenHBand="0" w:firstRowFirstColumn="0" w:firstRowLastColumn="0" w:lastRowFirstColumn="0" w:lastRowLastColumn="0"/>
              <w:rPr>
                <w:b/>
                <w:bCs w:val="0"/>
              </w:rPr>
            </w:pPr>
            <w:r w:rsidRPr="00BD16B4">
              <w:rPr>
                <w:b/>
                <w:bCs w:val="0"/>
              </w:rPr>
              <w:t>2035</w:t>
            </w:r>
          </w:p>
        </w:tc>
      </w:tr>
      <w:tr w:rsidR="00F84FC1" w:rsidRPr="00BD16B4" w14:paraId="406DF6A7" w14:textId="77777777" w:rsidTr="00F84FC1">
        <w:tc>
          <w:tcPr>
            <w:cnfStyle w:val="001000000000" w:firstRow="0" w:lastRow="0" w:firstColumn="1" w:lastColumn="0" w:oddVBand="0" w:evenVBand="0" w:oddHBand="0" w:evenHBand="0" w:firstRowFirstColumn="0" w:firstRowLastColumn="0" w:lastRowFirstColumn="0" w:lastRowLastColumn="0"/>
            <w:tcW w:w="2367" w:type="dxa"/>
          </w:tcPr>
          <w:p w14:paraId="20E7F2A2" w14:textId="77777777" w:rsidR="007C259A" w:rsidRPr="00BD16B4" w:rsidRDefault="007C259A" w:rsidP="008B2E5E">
            <w:pPr>
              <w:pStyle w:val="TableText"/>
              <w:spacing w:before="30" w:after="40"/>
              <w:rPr>
                <w:b w:val="0"/>
                <w:bCs w:val="0"/>
              </w:rPr>
            </w:pPr>
            <w:r w:rsidRPr="00BD16B4">
              <w:rPr>
                <w:b w:val="0"/>
                <w:bCs w:val="0"/>
              </w:rPr>
              <w:t>Upper limit in importation of new HFCs</w:t>
            </w:r>
          </w:p>
        </w:tc>
        <w:tc>
          <w:tcPr>
            <w:tcW w:w="2351" w:type="dxa"/>
          </w:tcPr>
          <w:p w14:paraId="7D53ED64" w14:textId="77777777" w:rsidR="007C259A" w:rsidRPr="00BD16B4" w:rsidRDefault="007C259A" w:rsidP="008B2E5E">
            <w:pPr>
              <w:pStyle w:val="TableText"/>
              <w:spacing w:before="30" w:after="40"/>
              <w:cnfStyle w:val="000000000000" w:firstRow="0" w:lastRow="0" w:firstColumn="0" w:lastColumn="0" w:oddVBand="0" w:evenVBand="0" w:oddHBand="0" w:evenHBand="0" w:firstRowFirstColumn="0" w:firstRowLastColumn="0" w:lastRowFirstColumn="0" w:lastRowLastColumn="0"/>
            </w:pPr>
            <w:r w:rsidRPr="00BD16B4">
              <w:t>Percentage of 1,796 kt CO</w:t>
            </w:r>
            <w:r w:rsidRPr="00BD16B4">
              <w:rPr>
                <w:vertAlign w:val="subscript"/>
              </w:rPr>
              <w:t>2</w:t>
            </w:r>
            <w:r w:rsidRPr="00BD16B4">
              <w:t>-e baseline*</w:t>
            </w:r>
          </w:p>
        </w:tc>
        <w:tc>
          <w:tcPr>
            <w:tcW w:w="1407" w:type="dxa"/>
          </w:tcPr>
          <w:p w14:paraId="17C70C8B" w14:textId="77777777" w:rsidR="007C259A" w:rsidRPr="00BD16B4" w:rsidRDefault="007C259A" w:rsidP="008B2E5E">
            <w:pPr>
              <w:pStyle w:val="TableText"/>
              <w:spacing w:before="30" w:after="40"/>
              <w:cnfStyle w:val="000000000000" w:firstRow="0" w:lastRow="0" w:firstColumn="0" w:lastColumn="0" w:oddVBand="0" w:evenVBand="0" w:oddHBand="0" w:evenHBand="0" w:firstRowFirstColumn="0" w:firstRowLastColumn="0" w:lastRowFirstColumn="0" w:lastRowLastColumn="0"/>
            </w:pPr>
            <w:r w:rsidRPr="00BD16B4">
              <w:t>WEM/WAM/ High/Low</w:t>
            </w:r>
          </w:p>
        </w:tc>
        <w:tc>
          <w:tcPr>
            <w:tcW w:w="737" w:type="dxa"/>
            <w:shd w:val="clear" w:color="auto" w:fill="D2DDE1" w:themeFill="background2"/>
          </w:tcPr>
          <w:p w14:paraId="4A38E3AC"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47.7%</w:t>
            </w:r>
          </w:p>
        </w:tc>
        <w:tc>
          <w:tcPr>
            <w:tcW w:w="737" w:type="dxa"/>
            <w:shd w:val="clear" w:color="auto" w:fill="D2DDE1" w:themeFill="background2"/>
          </w:tcPr>
          <w:p w14:paraId="038319A6"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29.8%</w:t>
            </w:r>
          </w:p>
        </w:tc>
        <w:tc>
          <w:tcPr>
            <w:tcW w:w="737" w:type="dxa"/>
            <w:shd w:val="clear" w:color="auto" w:fill="D2DDE1" w:themeFill="background2"/>
          </w:tcPr>
          <w:p w14:paraId="577BB8D0"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19.4%</w:t>
            </w:r>
          </w:p>
        </w:tc>
      </w:tr>
      <w:tr w:rsidR="00F84FC1" w:rsidRPr="00BD16B4" w14:paraId="0C68C2F2" w14:textId="77777777" w:rsidTr="00F84FC1">
        <w:tc>
          <w:tcPr>
            <w:cnfStyle w:val="001000000000" w:firstRow="0" w:lastRow="0" w:firstColumn="1" w:lastColumn="0" w:oddVBand="0" w:evenVBand="0" w:oddHBand="0" w:evenHBand="0" w:firstRowFirstColumn="0" w:firstRowLastColumn="0" w:lastRowFirstColumn="0" w:lastRowLastColumn="0"/>
            <w:tcW w:w="2367" w:type="dxa"/>
          </w:tcPr>
          <w:p w14:paraId="559C3E82" w14:textId="77777777" w:rsidR="007C259A" w:rsidRPr="00BD16B4" w:rsidRDefault="007C259A" w:rsidP="008B2E5E">
            <w:pPr>
              <w:pStyle w:val="TableText"/>
              <w:spacing w:before="30" w:after="40"/>
              <w:rPr>
                <w:b w:val="0"/>
                <w:bCs w:val="0"/>
              </w:rPr>
            </w:pPr>
            <w:r w:rsidRPr="00BD16B4">
              <w:rPr>
                <w:b w:val="0"/>
                <w:bCs w:val="0"/>
              </w:rPr>
              <w:t>GWP limits on new pre-charged equipment</w:t>
            </w:r>
          </w:p>
        </w:tc>
        <w:tc>
          <w:tcPr>
            <w:tcW w:w="2351" w:type="dxa"/>
          </w:tcPr>
          <w:p w14:paraId="6616D2E5" w14:textId="77777777" w:rsidR="007C259A" w:rsidRPr="00BD16B4" w:rsidRDefault="007C259A" w:rsidP="008B2E5E">
            <w:pPr>
              <w:pStyle w:val="TableText"/>
              <w:spacing w:before="30" w:after="40"/>
              <w:cnfStyle w:val="000000000000" w:firstRow="0" w:lastRow="0" w:firstColumn="0" w:lastColumn="0" w:oddVBand="0" w:evenVBand="0" w:oddHBand="0" w:evenHBand="0" w:firstRowFirstColumn="0" w:firstRowLastColumn="0" w:lastRowFirstColumn="0" w:lastRowLastColumn="0"/>
            </w:pPr>
          </w:p>
        </w:tc>
        <w:tc>
          <w:tcPr>
            <w:tcW w:w="1407" w:type="dxa"/>
          </w:tcPr>
          <w:p w14:paraId="14A59AF2" w14:textId="77777777" w:rsidR="007C259A" w:rsidRPr="00BD16B4" w:rsidRDefault="007C259A" w:rsidP="008B2E5E">
            <w:pPr>
              <w:pStyle w:val="TableText"/>
              <w:spacing w:before="30" w:after="40"/>
              <w:cnfStyle w:val="000000000000" w:firstRow="0" w:lastRow="0" w:firstColumn="0" w:lastColumn="0" w:oddVBand="0" w:evenVBand="0" w:oddHBand="0" w:evenHBand="0" w:firstRowFirstColumn="0" w:firstRowLastColumn="0" w:lastRowFirstColumn="0" w:lastRowLastColumn="0"/>
            </w:pPr>
            <w:r w:rsidRPr="00BD16B4">
              <w:t>WEM/High/Low</w:t>
            </w:r>
          </w:p>
        </w:tc>
        <w:tc>
          <w:tcPr>
            <w:tcW w:w="737" w:type="dxa"/>
            <w:shd w:val="clear" w:color="auto" w:fill="D2DDE1" w:themeFill="background2"/>
          </w:tcPr>
          <w:p w14:paraId="30360424"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737" w:type="dxa"/>
            <w:shd w:val="clear" w:color="auto" w:fill="D2DDE1" w:themeFill="background2"/>
          </w:tcPr>
          <w:p w14:paraId="2349A4D5"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NA</w:t>
            </w:r>
          </w:p>
        </w:tc>
        <w:tc>
          <w:tcPr>
            <w:tcW w:w="737" w:type="dxa"/>
            <w:shd w:val="clear" w:color="auto" w:fill="D2DDE1" w:themeFill="background2"/>
          </w:tcPr>
          <w:p w14:paraId="5B454B5B"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NA</w:t>
            </w:r>
          </w:p>
        </w:tc>
      </w:tr>
      <w:tr w:rsidR="00F84FC1" w:rsidRPr="00BD16B4" w14:paraId="09451020" w14:textId="77777777" w:rsidTr="00F84FC1">
        <w:tc>
          <w:tcPr>
            <w:cnfStyle w:val="001000000000" w:firstRow="0" w:lastRow="0" w:firstColumn="1" w:lastColumn="0" w:oddVBand="0" w:evenVBand="0" w:oddHBand="0" w:evenHBand="0" w:firstRowFirstColumn="0" w:firstRowLastColumn="0" w:lastRowFirstColumn="0" w:lastRowLastColumn="0"/>
            <w:tcW w:w="2367" w:type="dxa"/>
          </w:tcPr>
          <w:p w14:paraId="2A0B6C12" w14:textId="77777777" w:rsidR="007C259A" w:rsidRPr="00BD16B4" w:rsidRDefault="007C259A" w:rsidP="008B2E5E">
            <w:pPr>
              <w:pStyle w:val="TableText"/>
              <w:spacing w:before="30" w:after="40"/>
              <w:rPr>
                <w:b w:val="0"/>
                <w:bCs w:val="0"/>
              </w:rPr>
            </w:pPr>
          </w:p>
        </w:tc>
        <w:tc>
          <w:tcPr>
            <w:tcW w:w="2351" w:type="dxa"/>
          </w:tcPr>
          <w:p w14:paraId="133DC42F" w14:textId="77777777" w:rsidR="007C259A" w:rsidRPr="00BD16B4" w:rsidRDefault="007C259A" w:rsidP="008B2E5E">
            <w:pPr>
              <w:pStyle w:val="TableText"/>
              <w:spacing w:before="30" w:after="40"/>
              <w:cnfStyle w:val="000000000000" w:firstRow="0" w:lastRow="0" w:firstColumn="0" w:lastColumn="0" w:oddVBand="0" w:evenVBand="0" w:oddHBand="0" w:evenHBand="0" w:firstRowFirstColumn="0" w:firstRowLastColumn="0" w:lastRowFirstColumn="0" w:lastRowLastColumn="0"/>
            </w:pPr>
          </w:p>
        </w:tc>
        <w:tc>
          <w:tcPr>
            <w:tcW w:w="1407" w:type="dxa"/>
          </w:tcPr>
          <w:p w14:paraId="439C0A27" w14:textId="77777777" w:rsidR="007C259A" w:rsidRPr="00BD16B4" w:rsidRDefault="007C259A" w:rsidP="008B2E5E">
            <w:pPr>
              <w:pStyle w:val="TableText"/>
              <w:spacing w:before="30" w:after="40"/>
              <w:cnfStyle w:val="000000000000" w:firstRow="0" w:lastRow="0" w:firstColumn="0" w:lastColumn="0" w:oddVBand="0" w:evenVBand="0" w:oddHBand="0" w:evenHBand="0" w:firstRowFirstColumn="0" w:firstRowLastColumn="0" w:lastRowFirstColumn="0" w:lastRowLastColumn="0"/>
            </w:pPr>
            <w:r w:rsidRPr="00BD16B4">
              <w:t>WAM</w:t>
            </w:r>
          </w:p>
        </w:tc>
        <w:tc>
          <w:tcPr>
            <w:tcW w:w="737" w:type="dxa"/>
            <w:shd w:val="clear" w:color="auto" w:fill="D2DDE1" w:themeFill="background2"/>
          </w:tcPr>
          <w:p w14:paraId="543E5428"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Yes</w:t>
            </w:r>
          </w:p>
        </w:tc>
        <w:tc>
          <w:tcPr>
            <w:tcW w:w="737" w:type="dxa"/>
            <w:shd w:val="clear" w:color="auto" w:fill="D2DDE1" w:themeFill="background2"/>
          </w:tcPr>
          <w:p w14:paraId="762F6223"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Yes</w:t>
            </w:r>
          </w:p>
        </w:tc>
        <w:tc>
          <w:tcPr>
            <w:tcW w:w="737" w:type="dxa"/>
            <w:shd w:val="clear" w:color="auto" w:fill="D2DDE1" w:themeFill="background2"/>
          </w:tcPr>
          <w:p w14:paraId="12D4D03B"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Yes</w:t>
            </w:r>
          </w:p>
        </w:tc>
      </w:tr>
      <w:tr w:rsidR="00F84FC1" w:rsidRPr="00BD16B4" w14:paraId="7C9DC468" w14:textId="77777777" w:rsidTr="00F84FC1">
        <w:tc>
          <w:tcPr>
            <w:cnfStyle w:val="001000000000" w:firstRow="0" w:lastRow="0" w:firstColumn="1" w:lastColumn="0" w:oddVBand="0" w:evenVBand="0" w:oddHBand="0" w:evenHBand="0" w:firstRowFirstColumn="0" w:firstRowLastColumn="0" w:lastRowFirstColumn="0" w:lastRowLastColumn="0"/>
            <w:tcW w:w="2367" w:type="dxa"/>
          </w:tcPr>
          <w:p w14:paraId="398840F1" w14:textId="77777777" w:rsidR="007C259A" w:rsidRPr="00BD16B4" w:rsidRDefault="007C259A" w:rsidP="008B2E5E">
            <w:pPr>
              <w:pStyle w:val="TableText"/>
              <w:spacing w:before="30" w:after="40"/>
              <w:rPr>
                <w:b w:val="0"/>
                <w:bCs w:val="0"/>
              </w:rPr>
            </w:pPr>
            <w:r w:rsidRPr="00BD16B4">
              <w:rPr>
                <w:b w:val="0"/>
                <w:bCs w:val="0"/>
              </w:rPr>
              <w:t>Refrigerants recovery rate</w:t>
            </w:r>
          </w:p>
        </w:tc>
        <w:tc>
          <w:tcPr>
            <w:tcW w:w="2351" w:type="dxa"/>
          </w:tcPr>
          <w:p w14:paraId="3B30228F" w14:textId="77777777" w:rsidR="007C259A" w:rsidRPr="00BD16B4" w:rsidRDefault="007C259A" w:rsidP="008B2E5E">
            <w:pPr>
              <w:pStyle w:val="TableText"/>
              <w:spacing w:before="30" w:after="40"/>
              <w:cnfStyle w:val="000000000000" w:firstRow="0" w:lastRow="0" w:firstColumn="0" w:lastColumn="0" w:oddVBand="0" w:evenVBand="0" w:oddHBand="0" w:evenHBand="0" w:firstRowFirstColumn="0" w:firstRowLastColumn="0" w:lastRowFirstColumn="0" w:lastRowLastColumn="0"/>
            </w:pPr>
            <w:r w:rsidRPr="00BD16B4">
              <w:t>Percentage of retired volumes</w:t>
            </w:r>
          </w:p>
        </w:tc>
        <w:tc>
          <w:tcPr>
            <w:tcW w:w="1407" w:type="dxa"/>
          </w:tcPr>
          <w:p w14:paraId="40AAACF4" w14:textId="77777777" w:rsidR="007C259A" w:rsidRPr="00BD16B4" w:rsidRDefault="007C259A" w:rsidP="008B2E5E">
            <w:pPr>
              <w:pStyle w:val="TableText"/>
              <w:spacing w:before="30" w:after="40"/>
              <w:cnfStyle w:val="000000000000" w:firstRow="0" w:lastRow="0" w:firstColumn="0" w:lastColumn="0" w:oddVBand="0" w:evenVBand="0" w:oddHBand="0" w:evenHBand="0" w:firstRowFirstColumn="0" w:firstRowLastColumn="0" w:lastRowFirstColumn="0" w:lastRowLastColumn="0"/>
            </w:pPr>
            <w:r w:rsidRPr="00BD16B4">
              <w:t>WEM</w:t>
            </w:r>
          </w:p>
        </w:tc>
        <w:tc>
          <w:tcPr>
            <w:tcW w:w="737" w:type="dxa"/>
            <w:shd w:val="clear" w:color="auto" w:fill="D2DDE1" w:themeFill="background2"/>
          </w:tcPr>
          <w:p w14:paraId="6EB9E0C8"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9%</w:t>
            </w:r>
          </w:p>
        </w:tc>
        <w:tc>
          <w:tcPr>
            <w:tcW w:w="737" w:type="dxa"/>
            <w:shd w:val="clear" w:color="auto" w:fill="D2DDE1" w:themeFill="background2"/>
          </w:tcPr>
          <w:p w14:paraId="6BF1582F"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10%</w:t>
            </w:r>
          </w:p>
        </w:tc>
        <w:tc>
          <w:tcPr>
            <w:tcW w:w="737" w:type="dxa"/>
            <w:shd w:val="clear" w:color="auto" w:fill="D2DDE1" w:themeFill="background2"/>
          </w:tcPr>
          <w:p w14:paraId="24D0E2E9"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12%</w:t>
            </w:r>
          </w:p>
        </w:tc>
      </w:tr>
      <w:tr w:rsidR="00F84FC1" w:rsidRPr="00BD16B4" w14:paraId="6C092639" w14:textId="77777777" w:rsidTr="00F84FC1">
        <w:tc>
          <w:tcPr>
            <w:cnfStyle w:val="001000000000" w:firstRow="0" w:lastRow="0" w:firstColumn="1" w:lastColumn="0" w:oddVBand="0" w:evenVBand="0" w:oddHBand="0" w:evenHBand="0" w:firstRowFirstColumn="0" w:firstRowLastColumn="0" w:lastRowFirstColumn="0" w:lastRowLastColumn="0"/>
            <w:tcW w:w="2367" w:type="dxa"/>
          </w:tcPr>
          <w:p w14:paraId="4B84B9B9" w14:textId="77777777" w:rsidR="007C259A" w:rsidRPr="00BD16B4" w:rsidRDefault="007C259A" w:rsidP="008B2E5E">
            <w:pPr>
              <w:pStyle w:val="TableText"/>
              <w:spacing w:before="30" w:after="40"/>
              <w:rPr>
                <w:b w:val="0"/>
                <w:bCs w:val="0"/>
              </w:rPr>
            </w:pPr>
          </w:p>
        </w:tc>
        <w:tc>
          <w:tcPr>
            <w:tcW w:w="2351" w:type="dxa"/>
          </w:tcPr>
          <w:p w14:paraId="3DD5D66F" w14:textId="77777777" w:rsidR="007C259A" w:rsidRPr="00BD16B4" w:rsidRDefault="007C259A" w:rsidP="008B2E5E">
            <w:pPr>
              <w:pStyle w:val="TableText"/>
              <w:spacing w:before="30" w:after="40"/>
              <w:cnfStyle w:val="000000000000" w:firstRow="0" w:lastRow="0" w:firstColumn="0" w:lastColumn="0" w:oddVBand="0" w:evenVBand="0" w:oddHBand="0" w:evenHBand="0" w:firstRowFirstColumn="0" w:firstRowLastColumn="0" w:lastRowFirstColumn="0" w:lastRowLastColumn="0"/>
            </w:pPr>
          </w:p>
        </w:tc>
        <w:tc>
          <w:tcPr>
            <w:tcW w:w="1407" w:type="dxa"/>
          </w:tcPr>
          <w:p w14:paraId="4F902D33" w14:textId="77777777" w:rsidR="007C259A" w:rsidRPr="00BD16B4" w:rsidRDefault="007C259A" w:rsidP="008B2E5E">
            <w:pPr>
              <w:pStyle w:val="TableText"/>
              <w:spacing w:before="30" w:after="40"/>
              <w:cnfStyle w:val="000000000000" w:firstRow="0" w:lastRow="0" w:firstColumn="0" w:lastColumn="0" w:oddVBand="0" w:evenVBand="0" w:oddHBand="0" w:evenHBand="0" w:firstRowFirstColumn="0" w:firstRowLastColumn="0" w:lastRowFirstColumn="0" w:lastRowLastColumn="0"/>
            </w:pPr>
            <w:r w:rsidRPr="00BD16B4">
              <w:t>High</w:t>
            </w:r>
          </w:p>
        </w:tc>
        <w:tc>
          <w:tcPr>
            <w:tcW w:w="737" w:type="dxa"/>
            <w:shd w:val="clear" w:color="auto" w:fill="D2DDE1" w:themeFill="background2"/>
          </w:tcPr>
          <w:p w14:paraId="6922E54D"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9%</w:t>
            </w:r>
          </w:p>
        </w:tc>
        <w:tc>
          <w:tcPr>
            <w:tcW w:w="737" w:type="dxa"/>
            <w:shd w:val="clear" w:color="auto" w:fill="D2DDE1" w:themeFill="background2"/>
          </w:tcPr>
          <w:p w14:paraId="7AC3AAC3"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12%</w:t>
            </w:r>
          </w:p>
        </w:tc>
        <w:tc>
          <w:tcPr>
            <w:tcW w:w="737" w:type="dxa"/>
            <w:shd w:val="clear" w:color="auto" w:fill="D2DDE1" w:themeFill="background2"/>
          </w:tcPr>
          <w:p w14:paraId="3F7AFB58"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14%</w:t>
            </w:r>
          </w:p>
        </w:tc>
      </w:tr>
      <w:tr w:rsidR="00F84FC1" w:rsidRPr="00BD16B4" w14:paraId="659D2229" w14:textId="77777777" w:rsidTr="00F84FC1">
        <w:tc>
          <w:tcPr>
            <w:cnfStyle w:val="001000000000" w:firstRow="0" w:lastRow="0" w:firstColumn="1" w:lastColumn="0" w:oddVBand="0" w:evenVBand="0" w:oddHBand="0" w:evenHBand="0" w:firstRowFirstColumn="0" w:firstRowLastColumn="0" w:lastRowFirstColumn="0" w:lastRowLastColumn="0"/>
            <w:tcW w:w="2367" w:type="dxa"/>
          </w:tcPr>
          <w:p w14:paraId="360C4EF2" w14:textId="77777777" w:rsidR="007C259A" w:rsidRPr="00BD16B4" w:rsidRDefault="007C259A" w:rsidP="008B2E5E">
            <w:pPr>
              <w:pStyle w:val="TableText"/>
              <w:spacing w:before="30" w:after="40"/>
              <w:rPr>
                <w:b w:val="0"/>
                <w:bCs w:val="0"/>
              </w:rPr>
            </w:pPr>
          </w:p>
        </w:tc>
        <w:tc>
          <w:tcPr>
            <w:tcW w:w="2351" w:type="dxa"/>
          </w:tcPr>
          <w:p w14:paraId="113D65AB" w14:textId="77777777" w:rsidR="007C259A" w:rsidRPr="00BD16B4" w:rsidRDefault="007C259A" w:rsidP="008B2E5E">
            <w:pPr>
              <w:pStyle w:val="TableText"/>
              <w:spacing w:before="30" w:after="40"/>
              <w:cnfStyle w:val="000000000000" w:firstRow="0" w:lastRow="0" w:firstColumn="0" w:lastColumn="0" w:oddVBand="0" w:evenVBand="0" w:oddHBand="0" w:evenHBand="0" w:firstRowFirstColumn="0" w:firstRowLastColumn="0" w:lastRowFirstColumn="0" w:lastRowLastColumn="0"/>
            </w:pPr>
          </w:p>
        </w:tc>
        <w:tc>
          <w:tcPr>
            <w:tcW w:w="1407" w:type="dxa"/>
          </w:tcPr>
          <w:p w14:paraId="7B721D18" w14:textId="77777777" w:rsidR="007C259A" w:rsidRPr="00BD16B4" w:rsidRDefault="007C259A" w:rsidP="008B2E5E">
            <w:pPr>
              <w:pStyle w:val="TableText"/>
              <w:spacing w:before="30" w:after="40"/>
              <w:cnfStyle w:val="000000000000" w:firstRow="0" w:lastRow="0" w:firstColumn="0" w:lastColumn="0" w:oddVBand="0" w:evenVBand="0" w:oddHBand="0" w:evenHBand="0" w:firstRowFirstColumn="0" w:firstRowLastColumn="0" w:lastRowFirstColumn="0" w:lastRowLastColumn="0"/>
            </w:pPr>
            <w:r w:rsidRPr="00BD16B4">
              <w:t>Low</w:t>
            </w:r>
          </w:p>
        </w:tc>
        <w:tc>
          <w:tcPr>
            <w:tcW w:w="737" w:type="dxa"/>
            <w:shd w:val="clear" w:color="auto" w:fill="D2DDE1" w:themeFill="background2"/>
          </w:tcPr>
          <w:p w14:paraId="63D328F6"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9%</w:t>
            </w:r>
          </w:p>
        </w:tc>
        <w:tc>
          <w:tcPr>
            <w:tcW w:w="737" w:type="dxa"/>
            <w:shd w:val="clear" w:color="auto" w:fill="D2DDE1" w:themeFill="background2"/>
          </w:tcPr>
          <w:p w14:paraId="36D76053"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10%</w:t>
            </w:r>
          </w:p>
        </w:tc>
        <w:tc>
          <w:tcPr>
            <w:tcW w:w="737" w:type="dxa"/>
            <w:shd w:val="clear" w:color="auto" w:fill="D2DDE1" w:themeFill="background2"/>
          </w:tcPr>
          <w:p w14:paraId="7F972CC3"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11%</w:t>
            </w:r>
          </w:p>
        </w:tc>
      </w:tr>
      <w:tr w:rsidR="00F84FC1" w:rsidRPr="00BD16B4" w14:paraId="16A6DB0D" w14:textId="77777777" w:rsidTr="00F84FC1">
        <w:tc>
          <w:tcPr>
            <w:cnfStyle w:val="001000000000" w:firstRow="0" w:lastRow="0" w:firstColumn="1" w:lastColumn="0" w:oddVBand="0" w:evenVBand="0" w:oddHBand="0" w:evenHBand="0" w:firstRowFirstColumn="0" w:firstRowLastColumn="0" w:lastRowFirstColumn="0" w:lastRowLastColumn="0"/>
            <w:tcW w:w="2367" w:type="dxa"/>
          </w:tcPr>
          <w:p w14:paraId="58345955" w14:textId="77777777" w:rsidR="007C259A" w:rsidRPr="00BD16B4" w:rsidRDefault="007C259A" w:rsidP="008B2E5E">
            <w:pPr>
              <w:pStyle w:val="TableText"/>
              <w:spacing w:before="30" w:after="40"/>
              <w:rPr>
                <w:b w:val="0"/>
                <w:bCs w:val="0"/>
              </w:rPr>
            </w:pPr>
          </w:p>
        </w:tc>
        <w:tc>
          <w:tcPr>
            <w:tcW w:w="2351" w:type="dxa"/>
          </w:tcPr>
          <w:p w14:paraId="6B53F4EF" w14:textId="77777777" w:rsidR="007C259A" w:rsidRPr="00BD16B4" w:rsidRDefault="007C259A" w:rsidP="008B2E5E">
            <w:pPr>
              <w:pStyle w:val="TableText"/>
              <w:spacing w:before="30" w:after="40"/>
              <w:cnfStyle w:val="000000000000" w:firstRow="0" w:lastRow="0" w:firstColumn="0" w:lastColumn="0" w:oddVBand="0" w:evenVBand="0" w:oddHBand="0" w:evenHBand="0" w:firstRowFirstColumn="0" w:firstRowLastColumn="0" w:lastRowFirstColumn="0" w:lastRowLastColumn="0"/>
            </w:pPr>
          </w:p>
        </w:tc>
        <w:tc>
          <w:tcPr>
            <w:tcW w:w="1407" w:type="dxa"/>
          </w:tcPr>
          <w:p w14:paraId="0EE8539D" w14:textId="77777777" w:rsidR="007C259A" w:rsidRPr="00BD16B4" w:rsidRDefault="007C259A" w:rsidP="008B2E5E">
            <w:pPr>
              <w:pStyle w:val="TableText"/>
              <w:spacing w:before="30" w:after="40"/>
              <w:cnfStyle w:val="000000000000" w:firstRow="0" w:lastRow="0" w:firstColumn="0" w:lastColumn="0" w:oddVBand="0" w:evenVBand="0" w:oddHBand="0" w:evenHBand="0" w:firstRowFirstColumn="0" w:firstRowLastColumn="0" w:lastRowFirstColumn="0" w:lastRowLastColumn="0"/>
            </w:pPr>
            <w:r w:rsidRPr="00BD16B4">
              <w:t>WAM</w:t>
            </w:r>
          </w:p>
        </w:tc>
        <w:tc>
          <w:tcPr>
            <w:tcW w:w="737" w:type="dxa"/>
            <w:shd w:val="clear" w:color="auto" w:fill="D2DDE1" w:themeFill="background2"/>
          </w:tcPr>
          <w:p w14:paraId="01DC58F9"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12%</w:t>
            </w:r>
          </w:p>
        </w:tc>
        <w:tc>
          <w:tcPr>
            <w:tcW w:w="737" w:type="dxa"/>
            <w:shd w:val="clear" w:color="auto" w:fill="D2DDE1" w:themeFill="background2"/>
          </w:tcPr>
          <w:p w14:paraId="7D4DFF00"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12%</w:t>
            </w:r>
          </w:p>
        </w:tc>
        <w:tc>
          <w:tcPr>
            <w:tcW w:w="737" w:type="dxa"/>
            <w:shd w:val="clear" w:color="auto" w:fill="D2DDE1" w:themeFill="background2"/>
          </w:tcPr>
          <w:p w14:paraId="343CAC32" w14:textId="77777777" w:rsidR="007C259A" w:rsidRPr="00BD16B4" w:rsidRDefault="007C259A" w:rsidP="008B2E5E">
            <w:pPr>
              <w:pStyle w:val="TableText"/>
              <w:spacing w:before="30" w:after="40"/>
              <w:jc w:val="center"/>
              <w:cnfStyle w:val="000000000000" w:firstRow="0" w:lastRow="0" w:firstColumn="0" w:lastColumn="0" w:oddVBand="0" w:evenVBand="0" w:oddHBand="0" w:evenHBand="0" w:firstRowFirstColumn="0" w:firstRowLastColumn="0" w:lastRowFirstColumn="0" w:lastRowLastColumn="0"/>
            </w:pPr>
            <w:r w:rsidRPr="00BD16B4">
              <w:t>18%</w:t>
            </w:r>
          </w:p>
        </w:tc>
      </w:tr>
    </w:tbl>
    <w:p w14:paraId="1A2E2FE2" w14:textId="77777777" w:rsidR="007C259A" w:rsidRPr="00BD16B4" w:rsidRDefault="007C259A" w:rsidP="008B2E5E">
      <w:pPr>
        <w:pStyle w:val="Note"/>
        <w:spacing w:after="0"/>
        <w:rPr>
          <w:rStyle w:val="NoteChar"/>
        </w:rPr>
      </w:pPr>
      <w:r w:rsidRPr="00BD16B4">
        <w:rPr>
          <w:b/>
          <w:bCs/>
        </w:rPr>
        <w:t xml:space="preserve">Note: </w:t>
      </w:r>
      <w:r w:rsidRPr="00BD16B4">
        <w:t>*Ozone Layer Protection Act 1996 regulations as at 10 December 2018, Schedules 6+1AA, relating to a High Court amendment. GWP = global warming potential; HFCs = hydrofluorocarbons; IPPU = industrial processes and product use; kt CO</w:t>
      </w:r>
      <w:r w:rsidRPr="00BD16B4">
        <w:rPr>
          <w:vertAlign w:val="subscript"/>
        </w:rPr>
        <w:t>2</w:t>
      </w:r>
      <w:r w:rsidRPr="00BD16B4">
        <w:t>-e = kilotonnes of carbon dioxide equivalent; WAM = with additional measures; WEM = with existing measures.</w:t>
      </w:r>
    </w:p>
    <w:p w14:paraId="78EFA061" w14:textId="77777777" w:rsidR="007C259A" w:rsidRPr="00BD16B4" w:rsidRDefault="007C259A" w:rsidP="00BB33B9">
      <w:pPr>
        <w:pStyle w:val="Heading5"/>
      </w:pPr>
      <w:r w:rsidRPr="00BD16B4">
        <w:t xml:space="preserve">Estimated impact of ‘additional measures’ on HFC emissions </w:t>
      </w:r>
    </w:p>
    <w:p w14:paraId="1BE89AAF" w14:textId="77777777" w:rsidR="007C259A" w:rsidRPr="00BD16B4" w:rsidRDefault="007C259A" w:rsidP="007C259A">
      <w:pPr>
        <w:pStyle w:val="BodyText"/>
        <w:spacing w:before="100" w:after="100"/>
      </w:pPr>
      <w:r w:rsidRPr="00BD16B4">
        <w:t xml:space="preserve">Two significant policy changes are planned to reduce HFC emissions as part of New Zealand’s first emissions reduction plan, although the details and timing have yet to be confirmed. The WAM scenario shows a major impact in the timing of stocks and emissions because of the sharp global warming potential deadlines for new equipment as currently proposed and also a smaller impact from competition in the refrigerant recovery sector. The combined impact of these WAM policies would reduce 2035 HFC emissions in the WEM scenario by 24.0 per cent, but more significantly they would reduce 2050 HFC emissions by 83.0 per cent. </w:t>
      </w:r>
    </w:p>
    <w:p w14:paraId="4582DF5A" w14:textId="77777777" w:rsidR="007C259A" w:rsidRPr="00BD16B4" w:rsidRDefault="007C259A" w:rsidP="004E1B8C">
      <w:pPr>
        <w:pStyle w:val="Heading4"/>
      </w:pPr>
      <w:r w:rsidRPr="00BD16B4">
        <w:lastRenderedPageBreak/>
        <w:t>Strengths and weaknesses of models or approach</w:t>
      </w:r>
    </w:p>
    <w:p w14:paraId="48BF46E1" w14:textId="77777777" w:rsidR="007C259A" w:rsidRPr="00BD16B4" w:rsidRDefault="007C259A" w:rsidP="007C259A">
      <w:pPr>
        <w:pStyle w:val="BodyText"/>
      </w:pPr>
      <w:r w:rsidRPr="00BD16B4">
        <w:t>The compilation of HFC emissions includes a highly detailed assessment process for different sectors and uses of HFCs. The approach used is a considerable revision and improvement from previously prepared projections. However, there is still a high level of uncertainty as there are many interacting factors, limited domestic and international evidence, and a significant ongoing policy programme to address HFC emissions.</w:t>
      </w:r>
    </w:p>
    <w:p w14:paraId="6D0EEEA4" w14:textId="77777777" w:rsidR="007C259A" w:rsidRPr="00BD16B4" w:rsidRDefault="007C259A" w:rsidP="007C259A">
      <w:pPr>
        <w:pStyle w:val="BodyText"/>
      </w:pPr>
      <w:r w:rsidRPr="00BD16B4">
        <w:t xml:space="preserve">The mitigation impact of emissions pricing under the NZ ETS is not quantified for non-HFC IPPU emissions beyond the extent that a rising NZ ETS price may be a contributing factor to anticipated specific site closures. This includes the estimated mitigation impact of the phase-down of free allocation of units to large trade-exposed industrial emitters within the NZ ETS. </w:t>
      </w:r>
    </w:p>
    <w:p w14:paraId="70E5FFAA" w14:textId="77777777" w:rsidR="007C259A" w:rsidRPr="00BD16B4" w:rsidRDefault="007C259A" w:rsidP="007C259A">
      <w:pPr>
        <w:pStyle w:val="BodyText"/>
      </w:pPr>
      <w:r w:rsidRPr="00BD16B4">
        <w:t>The assumption around the anticipated closure of New Zealand’s sole aluminium smelter is consistent with the assumptions made in the preparation of the energy sector projections.</w:t>
      </w:r>
    </w:p>
    <w:p w14:paraId="428E00CA" w14:textId="77777777" w:rsidR="007C259A" w:rsidRPr="00BD16B4" w:rsidRDefault="007C259A" w:rsidP="007C259A">
      <w:pPr>
        <w:pStyle w:val="BodyText"/>
      </w:pPr>
      <w:r w:rsidRPr="00BD16B4">
        <w:t>Historically, imports and exports of bulk HFCs and equipment containing HFCs have fluctuated significantly year to year. For example, stockpiling of bulk imported F-gases is suspected to have occurred from 2010 to 2012, before the January 2013 introduction of F-gases into the NZ ETS, and around 2016 to 2017 in response to increasing NZ ETS prices and the prospect of a Kigali Amendment phase-down permit system. These types of fluctuations distort year</w:t>
      </w:r>
      <w:r w:rsidRPr="00BD16B4">
        <w:noBreakHyphen/>
        <w:t>to</w:t>
      </w:r>
      <w:r w:rsidRPr="00BD16B4">
        <w:noBreakHyphen/>
        <w:t>year importation and consumption data that are used to inform historical and projected IPPU emissions.</w:t>
      </w:r>
    </w:p>
    <w:p w14:paraId="5CC10BBD" w14:textId="77777777" w:rsidR="007C259A" w:rsidRPr="00BD16B4" w:rsidRDefault="007C259A" w:rsidP="007C259A">
      <w:pPr>
        <w:pStyle w:val="BodyText"/>
      </w:pPr>
      <w:r w:rsidRPr="00BD16B4">
        <w:t>The impact of a rising NZ ETS price for the WEM and WAM scenarios has been assessed for different refrigeration sectors for HFCs. However, these impacts are highly uncertain as there is a limited evidence base for the elasticity of refrigerant usage with respect to an emissions price.</w:t>
      </w:r>
    </w:p>
    <w:p w14:paraId="74EC4100" w14:textId="77777777" w:rsidR="007C259A" w:rsidRPr="00BD16B4" w:rsidRDefault="007C259A" w:rsidP="007C259A">
      <w:pPr>
        <w:pStyle w:val="BodyText"/>
      </w:pPr>
      <w:r w:rsidRPr="00BD16B4">
        <w:t>Projected PFC, SF</w:t>
      </w:r>
      <w:r w:rsidRPr="00BD16B4">
        <w:rPr>
          <w:vertAlign w:val="subscript"/>
        </w:rPr>
        <w:t>6</w:t>
      </w:r>
      <w:r w:rsidRPr="00BD16B4">
        <w:t>, CH</w:t>
      </w:r>
      <w:r w:rsidRPr="00BD16B4">
        <w:rPr>
          <w:vertAlign w:val="subscript"/>
        </w:rPr>
        <w:t>4</w:t>
      </w:r>
      <w:r w:rsidRPr="00BD16B4">
        <w:t>, N</w:t>
      </w:r>
      <w:r w:rsidRPr="00BD16B4">
        <w:rPr>
          <w:vertAlign w:val="subscript"/>
        </w:rPr>
        <w:t>2</w:t>
      </w:r>
      <w:r w:rsidRPr="00BD16B4">
        <w:t>O and CO</w:t>
      </w:r>
      <w:r w:rsidRPr="00BD16B4">
        <w:rPr>
          <w:vertAlign w:val="subscript"/>
        </w:rPr>
        <w:t>2</w:t>
      </w:r>
      <w:r w:rsidRPr="00BD16B4">
        <w:t xml:space="preserve"> greenhouse gas emissions are unchanged in the WOM and WAM scenarios relative to the WEM scenario. This is due to insufficient information about the historical and future impact of carbon price on the emissions of these gases.</w:t>
      </w:r>
    </w:p>
    <w:p w14:paraId="26869A0F" w14:textId="77777777" w:rsidR="007C259A" w:rsidRPr="00BD16B4" w:rsidRDefault="007C259A" w:rsidP="004E1B8C">
      <w:pPr>
        <w:pStyle w:val="Heading4"/>
      </w:pPr>
      <w:r w:rsidRPr="00BD16B4">
        <w:t xml:space="preserve">Differences from the </w:t>
      </w:r>
      <w:r w:rsidRPr="00BD16B4">
        <w:rPr>
          <w:i/>
          <w:iCs/>
        </w:rPr>
        <w:t>Fourth Biennial Report</w:t>
      </w:r>
    </w:p>
    <w:p w14:paraId="14D0EB12" w14:textId="77777777" w:rsidR="007C259A" w:rsidRPr="00BD16B4" w:rsidRDefault="007C259A" w:rsidP="007C259A">
      <w:pPr>
        <w:pStyle w:val="BodyText"/>
        <w:spacing w:before="100" w:after="100"/>
      </w:pPr>
      <w:r w:rsidRPr="00BD16B4">
        <w:t xml:space="preserve">Several improvements and updated assumptions have been made to the model for HFC emissions, including updated NZ ETS price pathway assumptions and quantification of the impact that NZ ETS pricing has on HFC emissions. Other improvements include changes to reflect the latest activity data and revised projections of activity data such as adjustments to the level of refrigerant reuse in some sectors, which has been observed to be increasing. This better understanding has resulted in a 39 per cent drop in emissions in the HFC projection for 2030 compared with the </w:t>
      </w:r>
      <w:r w:rsidRPr="00BD16B4">
        <w:rPr>
          <w:i/>
          <w:iCs/>
        </w:rPr>
        <w:t>Fourth Biennial Report</w:t>
      </w:r>
      <w:r w:rsidRPr="00BD16B4">
        <w:t>.</w:t>
      </w:r>
    </w:p>
    <w:p w14:paraId="2DD6DF2B" w14:textId="77777777" w:rsidR="007C259A" w:rsidRPr="00BD16B4" w:rsidRDefault="007C259A" w:rsidP="007C259A">
      <w:pPr>
        <w:pStyle w:val="BodyText"/>
        <w:spacing w:before="100" w:after="100"/>
      </w:pPr>
      <w:r w:rsidRPr="00BD16B4">
        <w:t>Updated assumptions of anticipated specific industrial site closures have been included in these IPPU projections. This improved understanding has significantly impacted projected emissions from aluminium production (largely CO</w:t>
      </w:r>
      <w:r w:rsidRPr="00BD16B4">
        <w:rPr>
          <w:vertAlign w:val="subscript"/>
        </w:rPr>
        <w:t>2</w:t>
      </w:r>
      <w:r w:rsidRPr="00BD16B4">
        <w:t xml:space="preserve"> and PFCs) and impacted the projected pathway for methanol production emissions (largely CH</w:t>
      </w:r>
      <w:r w:rsidRPr="00BD16B4">
        <w:rPr>
          <w:vertAlign w:val="subscript"/>
        </w:rPr>
        <w:t>4</w:t>
      </w:r>
      <w:r w:rsidRPr="00BD16B4">
        <w:t>).</w:t>
      </w:r>
    </w:p>
    <w:p w14:paraId="273C2EFE" w14:textId="77777777" w:rsidR="007C259A" w:rsidRPr="00BD16B4" w:rsidRDefault="007C259A" w:rsidP="004E1B8C">
      <w:pPr>
        <w:pStyle w:val="Heading4"/>
      </w:pPr>
      <w:r w:rsidRPr="00BD16B4">
        <w:t>Sensitivity analysis for IPPU emissions</w:t>
      </w:r>
    </w:p>
    <w:p w14:paraId="4AE38CDB" w14:textId="77777777" w:rsidR="007C259A" w:rsidRPr="00BD16B4" w:rsidRDefault="007C259A" w:rsidP="007C259A">
      <w:pPr>
        <w:pStyle w:val="BodyText"/>
      </w:pPr>
      <w:r w:rsidRPr="00BD16B4">
        <w:rPr>
          <w:spacing w:val="-2"/>
        </w:rPr>
        <w:t>To understand the potential uncertainty range of projected emissions from hydrofluorocarbons</w:t>
      </w:r>
      <w:r w:rsidRPr="00BD16B4">
        <w:t xml:space="preserve">, a set of high and low emissions scenarios (relative to the WEM scenario) is estimated for HFC emissions. The low- and high-emissions scenarios estimate the impacts of respectively high </w:t>
      </w:r>
      <w:r w:rsidRPr="00BD16B4">
        <w:lastRenderedPageBreak/>
        <w:t xml:space="preserve">and low NZ ETS price pathways on technology shifts and maintenance (leakage rates) for each sector compared with the WEM scenario. In contrast to the scenarios developed for the </w:t>
      </w:r>
      <w:r w:rsidRPr="00BD16B4">
        <w:rPr>
          <w:i/>
        </w:rPr>
        <w:t>Fourth Biennial Report,</w:t>
      </w:r>
      <w:r w:rsidRPr="00BD16B4">
        <w:t xml:space="preserve"> these scenarios do not include impacts from low and high GDP growth. No additional scenarios have been projected for emissions from other IPPU gases.</w:t>
      </w:r>
    </w:p>
    <w:p w14:paraId="169F8B72" w14:textId="77777777" w:rsidR="007C259A" w:rsidRPr="00BD16B4" w:rsidRDefault="007C259A" w:rsidP="007C259A">
      <w:pPr>
        <w:pStyle w:val="BodyText"/>
      </w:pPr>
      <w:r w:rsidRPr="00BD16B4">
        <w:t xml:space="preserve">Under a low-emissions scenario, HFC emissions are 5.4 per cent lower than 2035 emissions in </w:t>
      </w:r>
      <w:r w:rsidRPr="00BD16B4">
        <w:rPr>
          <w:spacing w:val="-2"/>
        </w:rPr>
        <w:t>the WEM scenario. Under the high-emissions scenario, emissions are 4.9 per cent higher. For the</w:t>
      </w:r>
      <w:r w:rsidRPr="00BD16B4">
        <w:t xml:space="preserve"> total IPPU sector, these estimates are respectively 1.5 per cent lower and 1.3 per cent higher. </w:t>
      </w:r>
    </w:p>
    <w:p w14:paraId="01B55EBF" w14:textId="77777777" w:rsidR="007C259A" w:rsidRPr="00BD16B4" w:rsidRDefault="007C259A" w:rsidP="007C259A">
      <w:pPr>
        <w:pStyle w:val="BodyText"/>
      </w:pPr>
      <w:r w:rsidRPr="00BD16B4">
        <w:t xml:space="preserve">Sensitivity analysis has been carried out to highlight the importance of the average 15-year residence time of HFCs in most refrigeration and air-conditioning equipment. A 10-year </w:t>
      </w:r>
      <w:r w:rsidRPr="00BD16B4">
        <w:rPr>
          <w:spacing w:val="-2"/>
        </w:rPr>
        <w:t>residence time, representing a faster transition to lower global warming potential technologies</w:t>
      </w:r>
      <w:r w:rsidRPr="00BD16B4">
        <w:t>, would reduce 2035 HFC emissions in the WEM scenario by 26.1 per cent. A 20-year residence time, perhaps representing a slower transition where equipment operators extend the useful lifetime because of the high capital cost of shifting to lower global warming potential technologies, would increase 2035 HFC emissions in the WEM scenario by 11.7 per cent.</w:t>
      </w:r>
    </w:p>
    <w:p w14:paraId="2600800F" w14:textId="77777777" w:rsidR="007C259A" w:rsidRPr="00BD16B4" w:rsidRDefault="007C259A" w:rsidP="007C259A">
      <w:pPr>
        <w:pStyle w:val="Heading3"/>
      </w:pPr>
      <w:r w:rsidRPr="00BD16B4">
        <w:t>5.5.4</w:t>
      </w:r>
      <w:r w:rsidRPr="00BD16B4">
        <w:tab/>
        <w:t>Agriculture</w:t>
      </w:r>
    </w:p>
    <w:p w14:paraId="7C3D7B8A" w14:textId="77777777" w:rsidR="007C259A" w:rsidRPr="00BD16B4" w:rsidRDefault="007C259A" w:rsidP="007C259A">
      <w:pPr>
        <w:pStyle w:val="BodyText"/>
      </w:pPr>
      <w:r w:rsidRPr="00BD16B4">
        <w:t>In 2035, greenhouse gas emissions from agriculture are projected to be 35.3 Mt CO</w:t>
      </w:r>
      <w:r w:rsidRPr="00BD16B4">
        <w:rPr>
          <w:vertAlign w:val="subscript"/>
        </w:rPr>
        <w:t>2</w:t>
      </w:r>
      <w:r w:rsidRPr="00BD16B4">
        <w:t>-e (4.3 per cent above 1990 levels, 10.7 per cent below 2005 levels and 10.4 per cent below 2020 levels). Table 5.19 presents historical and projected emissions for the agriculture sector.</w:t>
      </w:r>
    </w:p>
    <w:p w14:paraId="5DB967E6" w14:textId="77777777" w:rsidR="007C259A" w:rsidRPr="00BD16B4" w:rsidRDefault="007C259A" w:rsidP="007C259A">
      <w:pPr>
        <w:pStyle w:val="BodyText"/>
      </w:pPr>
      <w:r w:rsidRPr="00BD16B4">
        <w:t>Agricultural emissions in New Zealand are projected to fall between 2020 and 2035 due to:</w:t>
      </w:r>
    </w:p>
    <w:p w14:paraId="2CD3CBAE" w14:textId="77777777" w:rsidR="007C259A" w:rsidRPr="00BD16B4" w:rsidRDefault="007C259A" w:rsidP="0011037B">
      <w:pPr>
        <w:pStyle w:val="Bullet"/>
      </w:pPr>
      <w:r w:rsidRPr="00BD16B4">
        <w:t>a continued decline in the amount of land used for agriculture, including a decrease in the dairy cow population and a continued decline in the sheep and beef populations</w:t>
      </w:r>
    </w:p>
    <w:p w14:paraId="5439A5FB" w14:textId="77777777" w:rsidR="007C259A" w:rsidRPr="00BD16B4" w:rsidRDefault="007C259A" w:rsidP="0011037B">
      <w:pPr>
        <w:pStyle w:val="Bullet"/>
      </w:pPr>
      <w:r w:rsidRPr="00BD16B4">
        <w:t xml:space="preserve">an increased focus on afforestation and reduced incentive to deforest, as a result of government schemes and policies such as the NZ ETS </w:t>
      </w:r>
    </w:p>
    <w:p w14:paraId="42A16ADF" w14:textId="77777777" w:rsidR="007C259A" w:rsidRPr="00BD16B4" w:rsidRDefault="007C259A" w:rsidP="0011037B">
      <w:pPr>
        <w:pStyle w:val="Bullet"/>
      </w:pPr>
      <w:r w:rsidRPr="00BD16B4">
        <w:t>changes in farm management practices due to improving environmental outcomes and the implementation of the Essential Freshwater package,</w:t>
      </w:r>
      <w:r w:rsidRPr="00BD16B4">
        <w:rPr>
          <w:rStyle w:val="FootnoteReference"/>
        </w:rPr>
        <w:footnoteReference w:id="237"/>
      </w:r>
      <w:r w:rsidRPr="00BD16B4">
        <w:t xml:space="preserve"> a cap on synthetic nitrogen fertiliser use</w:t>
      </w:r>
      <w:r w:rsidRPr="00BD16B4">
        <w:rPr>
          <w:rStyle w:val="FootnoteReference"/>
        </w:rPr>
        <w:footnoteReference w:id="238"/>
      </w:r>
      <w:r w:rsidRPr="00BD16B4">
        <w:t xml:space="preserve"> and the introduction of pricing on agricultural emissions through He Waka Eke Noa – Primary Sector Climate Action Partnership</w:t>
      </w:r>
      <w:r w:rsidRPr="00BD16B4">
        <w:rPr>
          <w:rStyle w:val="FootnoteReference"/>
        </w:rPr>
        <w:footnoteReference w:id="239"/>
      </w:r>
    </w:p>
    <w:p w14:paraId="458DBAF0" w14:textId="77777777" w:rsidR="007C259A" w:rsidRPr="00BD16B4" w:rsidRDefault="007C259A" w:rsidP="0011037B">
      <w:pPr>
        <w:pStyle w:val="Bullet"/>
      </w:pPr>
      <w:r w:rsidRPr="00BD16B4">
        <w:t>continued reductions in emissions intensity (emissions per unit of product) as a result of ongoing improvements in animal productivity and on-farm efficiency. (Based on past performance trends, it is projected that per-dairy cow milk production will increase by 10.3 per cent and per-lamb carcass weights will increase by 8.4 per cent.)</w:t>
      </w:r>
    </w:p>
    <w:p w14:paraId="69495F6E" w14:textId="77777777" w:rsidR="007C259A" w:rsidRPr="00BD16B4" w:rsidRDefault="007C259A" w:rsidP="00BB7302">
      <w:pPr>
        <w:pStyle w:val="Tableheading"/>
      </w:pPr>
      <w:bookmarkStart w:id="299" w:name="_Toc121773809"/>
      <w:r w:rsidRPr="00BD16B4">
        <w:lastRenderedPageBreak/>
        <w:t xml:space="preserve">Table 5.19: </w:t>
      </w:r>
      <w:r w:rsidRPr="00BD16B4">
        <w:tab/>
        <w:t>Historical and projected agriculture sector emissions by gas under the ‘with existing measures’ scenario, 1990–2035 (Mt CO</w:t>
      </w:r>
      <w:r w:rsidRPr="00BD16B4">
        <w:rPr>
          <w:vertAlign w:val="subscript"/>
        </w:rPr>
        <w:t>2</w:t>
      </w:r>
      <w:r w:rsidRPr="00BD16B4">
        <w:t>-e)</w:t>
      </w:r>
      <w:bookmarkEnd w:id="299"/>
    </w:p>
    <w:tbl>
      <w:tblPr>
        <w:tblStyle w:val="TableGrid1"/>
        <w:tblW w:w="8505" w:type="dxa"/>
        <w:tblInd w:w="113" w:type="dxa"/>
        <w:tblLook w:val="04A0" w:firstRow="1" w:lastRow="0" w:firstColumn="1" w:lastColumn="0" w:noHBand="0" w:noVBand="1"/>
      </w:tblPr>
      <w:tblGrid>
        <w:gridCol w:w="739"/>
        <w:gridCol w:w="732"/>
        <w:gridCol w:w="762"/>
        <w:gridCol w:w="762"/>
        <w:gridCol w:w="762"/>
        <w:gridCol w:w="762"/>
        <w:gridCol w:w="762"/>
        <w:gridCol w:w="765"/>
        <w:gridCol w:w="799"/>
        <w:gridCol w:w="905"/>
        <w:gridCol w:w="755"/>
      </w:tblGrid>
      <w:tr w:rsidR="007C259A" w:rsidRPr="00BD16B4" w14:paraId="6A4D96B3" w14:textId="77777777" w:rsidTr="00BB7302">
        <w:tc>
          <w:tcPr>
            <w:tcW w:w="434" w:type="pct"/>
            <w:tcBorders>
              <w:bottom w:val="nil"/>
            </w:tcBorders>
            <w:shd w:val="clear" w:color="auto" w:fill="1B556B" w:themeFill="text2"/>
          </w:tcPr>
          <w:p w14:paraId="3EDEDB6C" w14:textId="77777777" w:rsidR="007C259A" w:rsidRPr="00BD16B4" w:rsidRDefault="007C259A" w:rsidP="00F31129">
            <w:pPr>
              <w:pStyle w:val="TableTextBold0"/>
              <w:keepNext/>
              <w:spacing w:before="40" w:after="0"/>
              <w:jc w:val="center"/>
              <w:rPr>
                <w:b w:val="0"/>
                <w:bCs/>
                <w:color w:val="FFFFFF" w:themeColor="background1"/>
                <w:szCs w:val="18"/>
                <w:lang w:val="en-NZ"/>
              </w:rPr>
            </w:pPr>
          </w:p>
        </w:tc>
        <w:tc>
          <w:tcPr>
            <w:tcW w:w="3119" w:type="pct"/>
            <w:gridSpan w:val="7"/>
            <w:tcBorders>
              <w:bottom w:val="nil"/>
            </w:tcBorders>
            <w:shd w:val="clear" w:color="auto" w:fill="1B556B" w:themeFill="text2"/>
          </w:tcPr>
          <w:p w14:paraId="06949D9F" w14:textId="77777777" w:rsidR="007C259A" w:rsidRPr="00BD16B4" w:rsidRDefault="007C259A" w:rsidP="00F31129">
            <w:pPr>
              <w:pStyle w:val="TableTextBold0"/>
              <w:keepNext/>
              <w:spacing w:before="40" w:after="0"/>
              <w:jc w:val="center"/>
              <w:rPr>
                <w:b w:val="0"/>
                <w:bCs/>
                <w:color w:val="FFFFFF" w:themeColor="background1"/>
                <w:szCs w:val="18"/>
                <w:lang w:val="en-NZ"/>
              </w:rPr>
            </w:pPr>
            <w:r w:rsidRPr="00BD16B4">
              <w:rPr>
                <w:color w:val="FFFFFF" w:themeColor="background1"/>
                <w:szCs w:val="18"/>
                <w:lang w:val="en-NZ"/>
              </w:rPr>
              <w:t>Historical</w:t>
            </w:r>
          </w:p>
        </w:tc>
        <w:tc>
          <w:tcPr>
            <w:tcW w:w="1447" w:type="pct"/>
            <w:gridSpan w:val="3"/>
            <w:tcBorders>
              <w:bottom w:val="nil"/>
            </w:tcBorders>
            <w:shd w:val="clear" w:color="auto" w:fill="1B556B" w:themeFill="text2"/>
          </w:tcPr>
          <w:p w14:paraId="0E6F9902" w14:textId="77777777" w:rsidR="007C259A" w:rsidRPr="00BD16B4" w:rsidRDefault="007C259A" w:rsidP="00F31129">
            <w:pPr>
              <w:pStyle w:val="TableTextBold0"/>
              <w:keepNext/>
              <w:spacing w:before="40" w:after="0"/>
              <w:jc w:val="center"/>
              <w:rPr>
                <w:b w:val="0"/>
                <w:bCs/>
                <w:color w:val="FFFFFF" w:themeColor="background1"/>
                <w:szCs w:val="18"/>
                <w:lang w:val="en-NZ"/>
              </w:rPr>
            </w:pPr>
            <w:r w:rsidRPr="00BD16B4">
              <w:rPr>
                <w:color w:val="FFFFFF" w:themeColor="background1"/>
                <w:szCs w:val="18"/>
                <w:lang w:val="en-NZ"/>
              </w:rPr>
              <w:t>Projected</w:t>
            </w:r>
          </w:p>
        </w:tc>
      </w:tr>
      <w:tr w:rsidR="007C259A" w:rsidRPr="00BD16B4" w14:paraId="78D9AAA5" w14:textId="77777777" w:rsidTr="00BB7302">
        <w:tc>
          <w:tcPr>
            <w:tcW w:w="434" w:type="pct"/>
            <w:tcBorders>
              <w:top w:val="nil"/>
              <w:right w:val="nil"/>
            </w:tcBorders>
            <w:shd w:val="clear" w:color="auto" w:fill="1B556B" w:themeFill="text2"/>
          </w:tcPr>
          <w:p w14:paraId="3D9B3AFA" w14:textId="77777777" w:rsidR="007C259A" w:rsidRPr="00BD16B4" w:rsidRDefault="007C259A" w:rsidP="00F31129">
            <w:pPr>
              <w:pStyle w:val="TableTextBold0"/>
              <w:keepNext/>
              <w:spacing w:before="40" w:after="40"/>
              <w:rPr>
                <w:b w:val="0"/>
                <w:bCs/>
                <w:color w:val="FFFFFF" w:themeColor="background1"/>
                <w:szCs w:val="18"/>
                <w:lang w:val="en-NZ"/>
              </w:rPr>
            </w:pPr>
            <w:r w:rsidRPr="00BD16B4">
              <w:rPr>
                <w:color w:val="FFFFFF" w:themeColor="background1"/>
                <w:szCs w:val="18"/>
                <w:lang w:val="en-NZ"/>
              </w:rPr>
              <w:t>Gas</w:t>
            </w:r>
          </w:p>
        </w:tc>
        <w:tc>
          <w:tcPr>
            <w:tcW w:w="430" w:type="pct"/>
            <w:tcBorders>
              <w:top w:val="nil"/>
              <w:left w:val="nil"/>
              <w:right w:val="nil"/>
            </w:tcBorders>
            <w:shd w:val="clear" w:color="auto" w:fill="1B556B" w:themeFill="text2"/>
          </w:tcPr>
          <w:p w14:paraId="07325C85"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1990</w:t>
            </w:r>
          </w:p>
        </w:tc>
        <w:tc>
          <w:tcPr>
            <w:tcW w:w="448" w:type="pct"/>
            <w:tcBorders>
              <w:top w:val="nil"/>
              <w:left w:val="nil"/>
              <w:right w:val="nil"/>
            </w:tcBorders>
            <w:shd w:val="clear" w:color="auto" w:fill="1B556B" w:themeFill="text2"/>
          </w:tcPr>
          <w:p w14:paraId="321409AC"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1995</w:t>
            </w:r>
          </w:p>
        </w:tc>
        <w:tc>
          <w:tcPr>
            <w:tcW w:w="448" w:type="pct"/>
            <w:tcBorders>
              <w:top w:val="nil"/>
              <w:left w:val="nil"/>
              <w:right w:val="nil"/>
            </w:tcBorders>
            <w:shd w:val="clear" w:color="auto" w:fill="1B556B" w:themeFill="text2"/>
          </w:tcPr>
          <w:p w14:paraId="45C3DD88"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2000</w:t>
            </w:r>
          </w:p>
        </w:tc>
        <w:tc>
          <w:tcPr>
            <w:tcW w:w="448" w:type="pct"/>
            <w:tcBorders>
              <w:top w:val="nil"/>
              <w:left w:val="nil"/>
              <w:right w:val="nil"/>
            </w:tcBorders>
            <w:shd w:val="clear" w:color="auto" w:fill="1B556B" w:themeFill="text2"/>
          </w:tcPr>
          <w:p w14:paraId="06168047"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2005</w:t>
            </w:r>
          </w:p>
        </w:tc>
        <w:tc>
          <w:tcPr>
            <w:tcW w:w="448" w:type="pct"/>
            <w:tcBorders>
              <w:top w:val="nil"/>
              <w:left w:val="nil"/>
              <w:right w:val="nil"/>
            </w:tcBorders>
            <w:shd w:val="clear" w:color="auto" w:fill="1B556B" w:themeFill="text2"/>
          </w:tcPr>
          <w:p w14:paraId="2843DD6A"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2010</w:t>
            </w:r>
          </w:p>
        </w:tc>
        <w:tc>
          <w:tcPr>
            <w:tcW w:w="448" w:type="pct"/>
            <w:tcBorders>
              <w:top w:val="nil"/>
              <w:left w:val="nil"/>
              <w:right w:val="nil"/>
            </w:tcBorders>
            <w:shd w:val="clear" w:color="auto" w:fill="1B556B" w:themeFill="text2"/>
          </w:tcPr>
          <w:p w14:paraId="4E91F922"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2015</w:t>
            </w:r>
          </w:p>
        </w:tc>
        <w:tc>
          <w:tcPr>
            <w:tcW w:w="450" w:type="pct"/>
            <w:tcBorders>
              <w:top w:val="nil"/>
              <w:left w:val="nil"/>
              <w:right w:val="nil"/>
            </w:tcBorders>
            <w:shd w:val="clear" w:color="auto" w:fill="1B556B" w:themeFill="text2"/>
          </w:tcPr>
          <w:p w14:paraId="510F6E15"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2020</w:t>
            </w:r>
          </w:p>
        </w:tc>
        <w:tc>
          <w:tcPr>
            <w:tcW w:w="470" w:type="pct"/>
            <w:tcBorders>
              <w:top w:val="nil"/>
              <w:left w:val="nil"/>
              <w:bottom w:val="single" w:sz="4" w:space="0" w:color="1B556B" w:themeColor="text2"/>
              <w:right w:val="nil"/>
            </w:tcBorders>
            <w:shd w:val="clear" w:color="auto" w:fill="1B556B" w:themeFill="text2"/>
          </w:tcPr>
          <w:p w14:paraId="57FF0893"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2025</w:t>
            </w:r>
          </w:p>
        </w:tc>
        <w:tc>
          <w:tcPr>
            <w:tcW w:w="532" w:type="pct"/>
            <w:tcBorders>
              <w:top w:val="nil"/>
              <w:left w:val="nil"/>
              <w:bottom w:val="single" w:sz="4" w:space="0" w:color="1B556B" w:themeColor="text2"/>
              <w:right w:val="nil"/>
            </w:tcBorders>
            <w:shd w:val="clear" w:color="auto" w:fill="1B556B" w:themeFill="text2"/>
          </w:tcPr>
          <w:p w14:paraId="6DF8CD49"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2030</w:t>
            </w:r>
          </w:p>
        </w:tc>
        <w:tc>
          <w:tcPr>
            <w:tcW w:w="445" w:type="pct"/>
            <w:tcBorders>
              <w:top w:val="nil"/>
              <w:left w:val="nil"/>
              <w:bottom w:val="single" w:sz="4" w:space="0" w:color="1B556B" w:themeColor="text2"/>
            </w:tcBorders>
            <w:shd w:val="clear" w:color="auto" w:fill="1B556B" w:themeFill="text2"/>
          </w:tcPr>
          <w:p w14:paraId="7CE85A35" w14:textId="77777777" w:rsidR="007C259A" w:rsidRPr="00BD16B4" w:rsidRDefault="007C259A" w:rsidP="00F31129">
            <w:pPr>
              <w:pStyle w:val="TableTextBold0"/>
              <w:keepNext/>
              <w:spacing w:before="40" w:after="40"/>
              <w:jc w:val="center"/>
              <w:rPr>
                <w:color w:val="FFFFFF" w:themeColor="background1"/>
                <w:szCs w:val="18"/>
                <w:lang w:val="en-NZ"/>
              </w:rPr>
            </w:pPr>
            <w:r w:rsidRPr="00BD16B4">
              <w:rPr>
                <w:color w:val="FFFFFF" w:themeColor="background1"/>
                <w:szCs w:val="18"/>
                <w:lang w:val="en-NZ"/>
              </w:rPr>
              <w:t>2035</w:t>
            </w:r>
          </w:p>
        </w:tc>
      </w:tr>
      <w:tr w:rsidR="007C259A" w:rsidRPr="00BD16B4" w14:paraId="1ED510FA" w14:textId="77777777" w:rsidTr="00BB7302">
        <w:tc>
          <w:tcPr>
            <w:tcW w:w="434" w:type="pct"/>
          </w:tcPr>
          <w:p w14:paraId="517484D6" w14:textId="77777777" w:rsidR="007C259A" w:rsidRPr="00BD16B4" w:rsidRDefault="007C259A" w:rsidP="00F31129">
            <w:pPr>
              <w:pStyle w:val="TableText"/>
              <w:keepNext/>
              <w:spacing w:before="40" w:after="40"/>
              <w:rPr>
                <w:rFonts w:cs="Calibri"/>
                <w:b/>
                <w:szCs w:val="18"/>
                <w:lang w:val="en-NZ"/>
              </w:rPr>
            </w:pPr>
            <w:r w:rsidRPr="00BD16B4">
              <w:rPr>
                <w:rFonts w:cs="Calibri"/>
                <w:szCs w:val="18"/>
                <w:lang w:val="en-NZ"/>
              </w:rPr>
              <w:t>CO</w:t>
            </w:r>
            <w:r w:rsidRPr="00BD16B4">
              <w:rPr>
                <w:rFonts w:cs="Calibri"/>
                <w:szCs w:val="18"/>
                <w:vertAlign w:val="subscript"/>
                <w:lang w:val="en-NZ"/>
              </w:rPr>
              <w:t>2</w:t>
            </w:r>
          </w:p>
        </w:tc>
        <w:tc>
          <w:tcPr>
            <w:tcW w:w="430" w:type="pct"/>
          </w:tcPr>
          <w:p w14:paraId="7E18DA2F" w14:textId="77777777" w:rsidR="007C259A" w:rsidRPr="00BD16B4" w:rsidRDefault="007C259A" w:rsidP="00F31129">
            <w:pPr>
              <w:pStyle w:val="TableText"/>
              <w:keepNext/>
              <w:spacing w:before="40" w:after="40"/>
              <w:jc w:val="center"/>
              <w:rPr>
                <w:rFonts w:cs="Calibri"/>
                <w:color w:val="000000"/>
                <w:szCs w:val="18"/>
                <w:lang w:val="en-NZ"/>
              </w:rPr>
            </w:pPr>
            <w:r w:rsidRPr="00BD16B4">
              <w:rPr>
                <w:rFonts w:cs="Calibri"/>
                <w:color w:val="000000"/>
                <w:szCs w:val="18"/>
                <w:lang w:val="en-NZ"/>
              </w:rPr>
              <w:t>0.34</w:t>
            </w:r>
          </w:p>
        </w:tc>
        <w:tc>
          <w:tcPr>
            <w:tcW w:w="448" w:type="pct"/>
          </w:tcPr>
          <w:p w14:paraId="1A77321D" w14:textId="77777777" w:rsidR="007C259A" w:rsidRPr="00BD16B4" w:rsidRDefault="007C259A" w:rsidP="00F31129">
            <w:pPr>
              <w:pStyle w:val="TableText"/>
              <w:keepNext/>
              <w:spacing w:before="40" w:after="40"/>
              <w:jc w:val="center"/>
              <w:rPr>
                <w:rFonts w:cs="Calibri"/>
                <w:color w:val="000000"/>
                <w:szCs w:val="18"/>
                <w:lang w:val="en-NZ"/>
              </w:rPr>
            </w:pPr>
            <w:r w:rsidRPr="00BD16B4">
              <w:rPr>
                <w:rFonts w:cs="Calibri"/>
                <w:color w:val="000000"/>
                <w:szCs w:val="18"/>
                <w:lang w:val="en-NZ"/>
              </w:rPr>
              <w:t>0.58</w:t>
            </w:r>
          </w:p>
        </w:tc>
        <w:tc>
          <w:tcPr>
            <w:tcW w:w="448" w:type="pct"/>
          </w:tcPr>
          <w:p w14:paraId="69CA51E2" w14:textId="77777777" w:rsidR="007C259A" w:rsidRPr="00BD16B4" w:rsidRDefault="007C259A" w:rsidP="00F31129">
            <w:pPr>
              <w:pStyle w:val="TableText"/>
              <w:keepNext/>
              <w:spacing w:before="40" w:after="40"/>
              <w:jc w:val="center"/>
              <w:rPr>
                <w:rFonts w:cs="Calibri"/>
                <w:color w:val="000000"/>
                <w:szCs w:val="18"/>
                <w:lang w:val="en-NZ"/>
              </w:rPr>
            </w:pPr>
            <w:r w:rsidRPr="00BD16B4">
              <w:rPr>
                <w:rFonts w:cs="Calibri"/>
                <w:color w:val="000000"/>
                <w:szCs w:val="18"/>
                <w:lang w:val="en-NZ"/>
              </w:rPr>
              <w:t>0.79</w:t>
            </w:r>
          </w:p>
        </w:tc>
        <w:tc>
          <w:tcPr>
            <w:tcW w:w="448" w:type="pct"/>
          </w:tcPr>
          <w:p w14:paraId="11B432A8" w14:textId="77777777" w:rsidR="007C259A" w:rsidRPr="00BD16B4" w:rsidRDefault="007C259A" w:rsidP="00F31129">
            <w:pPr>
              <w:pStyle w:val="TableText"/>
              <w:keepNext/>
              <w:spacing w:before="40" w:after="40"/>
              <w:jc w:val="center"/>
              <w:rPr>
                <w:rFonts w:cs="Calibri"/>
                <w:color w:val="000000"/>
                <w:szCs w:val="18"/>
                <w:lang w:val="en-NZ"/>
              </w:rPr>
            </w:pPr>
            <w:r w:rsidRPr="00BD16B4">
              <w:rPr>
                <w:rFonts w:cs="Calibri"/>
                <w:color w:val="000000"/>
                <w:szCs w:val="18"/>
                <w:lang w:val="en-NZ"/>
              </w:rPr>
              <w:t>1.06</w:t>
            </w:r>
          </w:p>
        </w:tc>
        <w:tc>
          <w:tcPr>
            <w:tcW w:w="448" w:type="pct"/>
          </w:tcPr>
          <w:p w14:paraId="49080B8E" w14:textId="77777777" w:rsidR="007C259A" w:rsidRPr="00BD16B4" w:rsidRDefault="007C259A" w:rsidP="00F31129">
            <w:pPr>
              <w:pStyle w:val="TableText"/>
              <w:keepNext/>
              <w:spacing w:before="40" w:after="40"/>
              <w:jc w:val="center"/>
              <w:rPr>
                <w:rFonts w:cs="Calibri"/>
                <w:color w:val="000000"/>
                <w:szCs w:val="18"/>
                <w:lang w:val="en-NZ"/>
              </w:rPr>
            </w:pPr>
            <w:r w:rsidRPr="00BD16B4">
              <w:rPr>
                <w:rFonts w:cs="Calibri"/>
                <w:color w:val="000000"/>
                <w:szCs w:val="18"/>
                <w:lang w:val="en-NZ"/>
              </w:rPr>
              <w:t>0.96</w:t>
            </w:r>
          </w:p>
        </w:tc>
        <w:tc>
          <w:tcPr>
            <w:tcW w:w="448" w:type="pct"/>
          </w:tcPr>
          <w:p w14:paraId="54B02D16" w14:textId="77777777" w:rsidR="007C259A" w:rsidRPr="00BD16B4" w:rsidRDefault="007C259A" w:rsidP="00F31129">
            <w:pPr>
              <w:pStyle w:val="TableText"/>
              <w:keepNext/>
              <w:spacing w:before="40" w:after="40"/>
              <w:jc w:val="center"/>
              <w:rPr>
                <w:rFonts w:cs="Calibri"/>
                <w:color w:val="000000"/>
                <w:szCs w:val="18"/>
                <w:lang w:val="en-NZ"/>
              </w:rPr>
            </w:pPr>
            <w:r w:rsidRPr="00BD16B4">
              <w:rPr>
                <w:rFonts w:cs="Calibri"/>
                <w:color w:val="000000"/>
                <w:szCs w:val="18"/>
                <w:lang w:val="en-NZ"/>
              </w:rPr>
              <w:t>1.05</w:t>
            </w:r>
          </w:p>
        </w:tc>
        <w:tc>
          <w:tcPr>
            <w:tcW w:w="450" w:type="pct"/>
          </w:tcPr>
          <w:p w14:paraId="05BE916B"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0.95</w:t>
            </w:r>
          </w:p>
        </w:tc>
        <w:tc>
          <w:tcPr>
            <w:tcW w:w="470" w:type="pct"/>
            <w:shd w:val="clear" w:color="auto" w:fill="D2DDE1" w:themeFill="background2"/>
          </w:tcPr>
          <w:p w14:paraId="7ADD62FA"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0.97</w:t>
            </w:r>
          </w:p>
        </w:tc>
        <w:tc>
          <w:tcPr>
            <w:tcW w:w="532" w:type="pct"/>
            <w:shd w:val="clear" w:color="auto" w:fill="D2DDE1" w:themeFill="background2"/>
          </w:tcPr>
          <w:p w14:paraId="1A2AF800"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0.94</w:t>
            </w:r>
          </w:p>
        </w:tc>
        <w:tc>
          <w:tcPr>
            <w:tcW w:w="445" w:type="pct"/>
            <w:shd w:val="clear" w:color="auto" w:fill="D2DDE1" w:themeFill="background2"/>
          </w:tcPr>
          <w:p w14:paraId="7D78D01E"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0.91</w:t>
            </w:r>
          </w:p>
        </w:tc>
      </w:tr>
      <w:tr w:rsidR="007C259A" w:rsidRPr="00BD16B4" w14:paraId="6CA62459" w14:textId="77777777" w:rsidTr="00BB7302">
        <w:tc>
          <w:tcPr>
            <w:tcW w:w="434" w:type="pct"/>
            <w:tcBorders>
              <w:bottom w:val="single" w:sz="4" w:space="0" w:color="1B556B" w:themeColor="text2"/>
            </w:tcBorders>
          </w:tcPr>
          <w:p w14:paraId="6EF906E2" w14:textId="77777777" w:rsidR="007C259A" w:rsidRPr="00BD16B4" w:rsidRDefault="007C259A" w:rsidP="00F31129">
            <w:pPr>
              <w:pStyle w:val="TableText"/>
              <w:keepNext/>
              <w:spacing w:before="40" w:after="40"/>
              <w:rPr>
                <w:rFonts w:cs="Calibri"/>
                <w:b/>
                <w:szCs w:val="18"/>
                <w:lang w:val="en-NZ"/>
              </w:rPr>
            </w:pPr>
            <w:r w:rsidRPr="00BD16B4">
              <w:rPr>
                <w:rFonts w:cs="Calibri"/>
                <w:szCs w:val="18"/>
                <w:lang w:val="en-NZ"/>
              </w:rPr>
              <w:t>CH</w:t>
            </w:r>
            <w:r w:rsidRPr="00BD16B4">
              <w:rPr>
                <w:rFonts w:cs="Calibri"/>
                <w:szCs w:val="18"/>
                <w:vertAlign w:val="subscript"/>
                <w:lang w:val="en-NZ"/>
              </w:rPr>
              <w:t>4</w:t>
            </w:r>
          </w:p>
        </w:tc>
        <w:tc>
          <w:tcPr>
            <w:tcW w:w="430" w:type="pct"/>
            <w:tcBorders>
              <w:bottom w:val="single" w:sz="4" w:space="0" w:color="1B556B" w:themeColor="text2"/>
            </w:tcBorders>
          </w:tcPr>
          <w:p w14:paraId="6289F18D"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28.10</w:t>
            </w:r>
          </w:p>
        </w:tc>
        <w:tc>
          <w:tcPr>
            <w:tcW w:w="448" w:type="pct"/>
            <w:tcBorders>
              <w:bottom w:val="single" w:sz="4" w:space="0" w:color="1B556B" w:themeColor="text2"/>
            </w:tcBorders>
          </w:tcPr>
          <w:p w14:paraId="6104AC53"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29.04</w:t>
            </w:r>
          </w:p>
        </w:tc>
        <w:tc>
          <w:tcPr>
            <w:tcW w:w="448" w:type="pct"/>
            <w:tcBorders>
              <w:bottom w:val="single" w:sz="4" w:space="0" w:color="1B556B" w:themeColor="text2"/>
            </w:tcBorders>
          </w:tcPr>
          <w:p w14:paraId="0B53E0E5"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30.32</w:t>
            </w:r>
          </w:p>
        </w:tc>
        <w:tc>
          <w:tcPr>
            <w:tcW w:w="448" w:type="pct"/>
            <w:tcBorders>
              <w:bottom w:val="single" w:sz="4" w:space="0" w:color="1B556B" w:themeColor="text2"/>
            </w:tcBorders>
          </w:tcPr>
          <w:p w14:paraId="2BE76485"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31.10</w:t>
            </w:r>
          </w:p>
        </w:tc>
        <w:tc>
          <w:tcPr>
            <w:tcW w:w="448" w:type="pct"/>
            <w:tcBorders>
              <w:bottom w:val="single" w:sz="4" w:space="0" w:color="1B556B" w:themeColor="text2"/>
            </w:tcBorders>
          </w:tcPr>
          <w:p w14:paraId="6708060D"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29.55</w:t>
            </w:r>
          </w:p>
        </w:tc>
        <w:tc>
          <w:tcPr>
            <w:tcW w:w="448" w:type="pct"/>
            <w:tcBorders>
              <w:bottom w:val="single" w:sz="4" w:space="0" w:color="1B556B" w:themeColor="text2"/>
            </w:tcBorders>
          </w:tcPr>
          <w:p w14:paraId="39DD025B"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30.66</w:t>
            </w:r>
          </w:p>
        </w:tc>
        <w:tc>
          <w:tcPr>
            <w:tcW w:w="450" w:type="pct"/>
            <w:tcBorders>
              <w:bottom w:val="single" w:sz="4" w:space="0" w:color="1B556B" w:themeColor="text2"/>
            </w:tcBorders>
          </w:tcPr>
          <w:p w14:paraId="6EB02A88"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30.47</w:t>
            </w:r>
          </w:p>
        </w:tc>
        <w:tc>
          <w:tcPr>
            <w:tcW w:w="470" w:type="pct"/>
            <w:tcBorders>
              <w:bottom w:val="single" w:sz="4" w:space="0" w:color="1B556B" w:themeColor="text2"/>
            </w:tcBorders>
            <w:shd w:val="clear" w:color="auto" w:fill="D2DDE1" w:themeFill="background2"/>
          </w:tcPr>
          <w:p w14:paraId="775C9C90"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28.86</w:t>
            </w:r>
          </w:p>
        </w:tc>
        <w:tc>
          <w:tcPr>
            <w:tcW w:w="532" w:type="pct"/>
            <w:tcBorders>
              <w:bottom w:val="single" w:sz="4" w:space="0" w:color="1B556B" w:themeColor="text2"/>
            </w:tcBorders>
            <w:shd w:val="clear" w:color="auto" w:fill="D2DDE1" w:themeFill="background2"/>
          </w:tcPr>
          <w:p w14:paraId="36EF3593"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28.00</w:t>
            </w:r>
          </w:p>
        </w:tc>
        <w:tc>
          <w:tcPr>
            <w:tcW w:w="445" w:type="pct"/>
            <w:tcBorders>
              <w:bottom w:val="single" w:sz="4" w:space="0" w:color="1B556B" w:themeColor="text2"/>
            </w:tcBorders>
            <w:shd w:val="clear" w:color="auto" w:fill="D2DDE1" w:themeFill="background2"/>
          </w:tcPr>
          <w:p w14:paraId="11E72C96" w14:textId="77777777" w:rsidR="007C259A" w:rsidRPr="00BD16B4" w:rsidRDefault="007C259A" w:rsidP="00F31129">
            <w:pPr>
              <w:pStyle w:val="TableText"/>
              <w:keepNext/>
              <w:spacing w:before="40" w:after="40"/>
              <w:jc w:val="center"/>
              <w:rPr>
                <w:rFonts w:cs="Calibri"/>
                <w:szCs w:val="18"/>
                <w:lang w:val="en-NZ"/>
              </w:rPr>
            </w:pPr>
            <w:r w:rsidRPr="00BD16B4">
              <w:rPr>
                <w:rFonts w:cs="Calibri"/>
                <w:szCs w:val="18"/>
                <w:lang w:val="en-NZ"/>
              </w:rPr>
              <w:t>27.28</w:t>
            </w:r>
          </w:p>
        </w:tc>
      </w:tr>
      <w:tr w:rsidR="007C259A" w:rsidRPr="00BD16B4" w14:paraId="3F713984" w14:textId="77777777" w:rsidTr="00BB7302">
        <w:tc>
          <w:tcPr>
            <w:tcW w:w="434" w:type="pct"/>
          </w:tcPr>
          <w:p w14:paraId="3CCD4A77" w14:textId="77777777" w:rsidR="007C259A" w:rsidRPr="00BD16B4" w:rsidRDefault="007C259A" w:rsidP="00F31129">
            <w:pPr>
              <w:pStyle w:val="TableText"/>
              <w:spacing w:before="40" w:after="40"/>
              <w:rPr>
                <w:rFonts w:cs="Calibri"/>
                <w:b/>
                <w:szCs w:val="18"/>
                <w:lang w:val="en-NZ"/>
              </w:rPr>
            </w:pPr>
            <w:r w:rsidRPr="00BD16B4">
              <w:rPr>
                <w:rFonts w:cs="Calibri"/>
                <w:szCs w:val="18"/>
                <w:lang w:val="en-NZ"/>
              </w:rPr>
              <w:t>N</w:t>
            </w:r>
            <w:r w:rsidRPr="00BD16B4">
              <w:rPr>
                <w:rFonts w:cs="Calibri"/>
                <w:szCs w:val="18"/>
                <w:vertAlign w:val="subscript"/>
                <w:lang w:val="en-NZ"/>
              </w:rPr>
              <w:t>2</w:t>
            </w:r>
            <w:r w:rsidRPr="00BD16B4">
              <w:rPr>
                <w:rFonts w:cs="Calibri"/>
                <w:szCs w:val="18"/>
                <w:lang w:val="en-NZ"/>
              </w:rPr>
              <w:t>O</w:t>
            </w:r>
          </w:p>
        </w:tc>
        <w:tc>
          <w:tcPr>
            <w:tcW w:w="430" w:type="pct"/>
          </w:tcPr>
          <w:p w14:paraId="2AAE92DF" w14:textId="77777777" w:rsidR="007C259A" w:rsidRPr="00BD16B4" w:rsidRDefault="007C259A" w:rsidP="00F31129">
            <w:pPr>
              <w:pStyle w:val="TableText"/>
              <w:spacing w:before="40" w:after="40"/>
              <w:jc w:val="center"/>
              <w:rPr>
                <w:rFonts w:cs="Calibri"/>
                <w:szCs w:val="18"/>
                <w:lang w:val="en-NZ"/>
              </w:rPr>
            </w:pPr>
            <w:r w:rsidRPr="00BD16B4">
              <w:rPr>
                <w:rFonts w:cs="Calibri"/>
                <w:szCs w:val="18"/>
                <w:lang w:val="en-NZ"/>
              </w:rPr>
              <w:t>5.36</w:t>
            </w:r>
          </w:p>
        </w:tc>
        <w:tc>
          <w:tcPr>
            <w:tcW w:w="448" w:type="pct"/>
          </w:tcPr>
          <w:p w14:paraId="06452E1C" w14:textId="77777777" w:rsidR="007C259A" w:rsidRPr="00BD16B4" w:rsidRDefault="007C259A" w:rsidP="00F31129">
            <w:pPr>
              <w:pStyle w:val="TableText"/>
              <w:spacing w:before="40" w:after="40"/>
              <w:jc w:val="center"/>
              <w:rPr>
                <w:rFonts w:cs="Calibri"/>
                <w:szCs w:val="18"/>
                <w:lang w:val="en-NZ"/>
              </w:rPr>
            </w:pPr>
            <w:r w:rsidRPr="00BD16B4">
              <w:rPr>
                <w:rFonts w:cs="Calibri"/>
                <w:szCs w:val="18"/>
                <w:lang w:val="en-NZ"/>
              </w:rPr>
              <w:t>6.11</w:t>
            </w:r>
          </w:p>
        </w:tc>
        <w:tc>
          <w:tcPr>
            <w:tcW w:w="448" w:type="pct"/>
          </w:tcPr>
          <w:p w14:paraId="2706AB62" w14:textId="77777777" w:rsidR="007C259A" w:rsidRPr="00BD16B4" w:rsidRDefault="007C259A" w:rsidP="00F31129">
            <w:pPr>
              <w:pStyle w:val="TableText"/>
              <w:spacing w:before="40" w:after="40"/>
              <w:jc w:val="center"/>
              <w:rPr>
                <w:rFonts w:cs="Calibri"/>
                <w:szCs w:val="18"/>
                <w:lang w:val="en-NZ"/>
              </w:rPr>
            </w:pPr>
            <w:r w:rsidRPr="00BD16B4">
              <w:rPr>
                <w:rFonts w:cs="Calibri"/>
                <w:szCs w:val="18"/>
                <w:lang w:val="en-NZ"/>
              </w:rPr>
              <w:t>6.51</w:t>
            </w:r>
          </w:p>
        </w:tc>
        <w:tc>
          <w:tcPr>
            <w:tcW w:w="448" w:type="pct"/>
          </w:tcPr>
          <w:p w14:paraId="45E9A5D1" w14:textId="77777777" w:rsidR="007C259A" w:rsidRPr="00BD16B4" w:rsidRDefault="007C259A" w:rsidP="00F31129">
            <w:pPr>
              <w:pStyle w:val="TableText"/>
              <w:spacing w:before="40" w:after="40"/>
              <w:jc w:val="center"/>
              <w:rPr>
                <w:rFonts w:cs="Calibri"/>
                <w:szCs w:val="18"/>
                <w:lang w:val="en-NZ"/>
              </w:rPr>
            </w:pPr>
            <w:r w:rsidRPr="00BD16B4">
              <w:rPr>
                <w:rFonts w:cs="Calibri"/>
                <w:szCs w:val="18"/>
                <w:lang w:val="en-NZ"/>
              </w:rPr>
              <w:t>7.41</w:t>
            </w:r>
          </w:p>
        </w:tc>
        <w:tc>
          <w:tcPr>
            <w:tcW w:w="448" w:type="pct"/>
          </w:tcPr>
          <w:p w14:paraId="2F8B2D40" w14:textId="77777777" w:rsidR="007C259A" w:rsidRPr="00BD16B4" w:rsidRDefault="007C259A" w:rsidP="00F31129">
            <w:pPr>
              <w:pStyle w:val="TableText"/>
              <w:spacing w:before="40" w:after="40"/>
              <w:jc w:val="center"/>
              <w:rPr>
                <w:rFonts w:cs="Calibri"/>
                <w:szCs w:val="18"/>
                <w:lang w:val="en-NZ"/>
              </w:rPr>
            </w:pPr>
            <w:r w:rsidRPr="00BD16B4">
              <w:rPr>
                <w:rFonts w:cs="Calibri"/>
                <w:szCs w:val="18"/>
                <w:lang w:val="en-NZ"/>
              </w:rPr>
              <w:t>7.20</w:t>
            </w:r>
          </w:p>
        </w:tc>
        <w:tc>
          <w:tcPr>
            <w:tcW w:w="448" w:type="pct"/>
          </w:tcPr>
          <w:p w14:paraId="0953C06D" w14:textId="77777777" w:rsidR="007C259A" w:rsidRPr="00BD16B4" w:rsidRDefault="007C259A" w:rsidP="00F31129">
            <w:pPr>
              <w:pStyle w:val="TableText"/>
              <w:spacing w:before="40" w:after="40"/>
              <w:jc w:val="center"/>
              <w:rPr>
                <w:rFonts w:cs="Calibri"/>
                <w:szCs w:val="18"/>
                <w:lang w:val="en-NZ"/>
              </w:rPr>
            </w:pPr>
            <w:r w:rsidRPr="00BD16B4">
              <w:rPr>
                <w:rFonts w:cs="Calibri"/>
                <w:szCs w:val="18"/>
                <w:lang w:val="en-NZ"/>
              </w:rPr>
              <w:t>7.70</w:t>
            </w:r>
          </w:p>
        </w:tc>
        <w:tc>
          <w:tcPr>
            <w:tcW w:w="450" w:type="pct"/>
          </w:tcPr>
          <w:p w14:paraId="6D09D6B5" w14:textId="77777777" w:rsidR="007C259A" w:rsidRPr="00BD16B4" w:rsidRDefault="007C259A" w:rsidP="00F31129">
            <w:pPr>
              <w:pStyle w:val="TableText"/>
              <w:spacing w:before="40" w:after="40"/>
              <w:jc w:val="center"/>
              <w:rPr>
                <w:rFonts w:cs="Calibri"/>
                <w:color w:val="000000"/>
                <w:szCs w:val="18"/>
                <w:lang w:val="en-NZ"/>
              </w:rPr>
            </w:pPr>
            <w:r w:rsidRPr="00BD16B4">
              <w:rPr>
                <w:rFonts w:cs="Calibri"/>
                <w:szCs w:val="18"/>
                <w:lang w:val="en-NZ"/>
              </w:rPr>
              <w:t>8.00</w:t>
            </w:r>
          </w:p>
        </w:tc>
        <w:tc>
          <w:tcPr>
            <w:tcW w:w="470" w:type="pct"/>
            <w:shd w:val="clear" w:color="auto" w:fill="D2DDE1" w:themeFill="background2"/>
          </w:tcPr>
          <w:p w14:paraId="2D7ED80A" w14:textId="77777777" w:rsidR="007C259A" w:rsidRPr="00BD16B4" w:rsidRDefault="007C259A" w:rsidP="00F31129">
            <w:pPr>
              <w:pStyle w:val="TableText"/>
              <w:spacing w:before="40" w:after="40"/>
              <w:jc w:val="center"/>
              <w:rPr>
                <w:rFonts w:cs="Calibri"/>
                <w:color w:val="000000"/>
                <w:szCs w:val="18"/>
                <w:lang w:val="en-NZ"/>
              </w:rPr>
            </w:pPr>
            <w:r w:rsidRPr="00BD16B4">
              <w:rPr>
                <w:rFonts w:cs="Calibri"/>
                <w:color w:val="000000" w:themeColor="text1"/>
                <w:szCs w:val="18"/>
                <w:lang w:val="en-NZ"/>
              </w:rPr>
              <w:t>7.59</w:t>
            </w:r>
          </w:p>
        </w:tc>
        <w:tc>
          <w:tcPr>
            <w:tcW w:w="532" w:type="pct"/>
            <w:shd w:val="clear" w:color="auto" w:fill="D2DDE1" w:themeFill="background2"/>
          </w:tcPr>
          <w:p w14:paraId="7632BBE4" w14:textId="77777777" w:rsidR="007C259A" w:rsidRPr="00BD16B4" w:rsidRDefault="007C259A" w:rsidP="00F31129">
            <w:pPr>
              <w:pStyle w:val="TableText"/>
              <w:spacing w:before="40" w:after="40"/>
              <w:jc w:val="center"/>
              <w:rPr>
                <w:rFonts w:cs="Calibri"/>
                <w:color w:val="000000"/>
                <w:szCs w:val="18"/>
                <w:lang w:val="en-NZ"/>
              </w:rPr>
            </w:pPr>
            <w:r w:rsidRPr="00BD16B4">
              <w:rPr>
                <w:rFonts w:cs="Calibri"/>
                <w:color w:val="000000" w:themeColor="text1"/>
                <w:szCs w:val="18"/>
                <w:lang w:val="en-NZ"/>
              </w:rPr>
              <w:t>7.35</w:t>
            </w:r>
          </w:p>
        </w:tc>
        <w:tc>
          <w:tcPr>
            <w:tcW w:w="445" w:type="pct"/>
            <w:shd w:val="clear" w:color="auto" w:fill="D2DDE1" w:themeFill="background2"/>
          </w:tcPr>
          <w:p w14:paraId="135F05E1" w14:textId="77777777" w:rsidR="007C259A" w:rsidRPr="00BD16B4" w:rsidRDefault="007C259A" w:rsidP="00F31129">
            <w:pPr>
              <w:pStyle w:val="TableText"/>
              <w:spacing w:before="40" w:after="40"/>
              <w:jc w:val="center"/>
              <w:rPr>
                <w:rFonts w:cs="Calibri"/>
                <w:color w:val="000000"/>
                <w:szCs w:val="18"/>
                <w:lang w:val="en-NZ"/>
              </w:rPr>
            </w:pPr>
            <w:r w:rsidRPr="00BD16B4">
              <w:rPr>
                <w:rFonts w:cs="Calibri"/>
                <w:color w:val="000000" w:themeColor="text1"/>
                <w:szCs w:val="18"/>
                <w:lang w:val="en-NZ"/>
              </w:rPr>
              <w:t>7.14</w:t>
            </w:r>
          </w:p>
        </w:tc>
      </w:tr>
      <w:tr w:rsidR="007C259A" w:rsidRPr="00BD16B4" w14:paraId="1D10A376" w14:textId="77777777" w:rsidTr="00BB7302">
        <w:tc>
          <w:tcPr>
            <w:tcW w:w="434" w:type="pct"/>
          </w:tcPr>
          <w:p w14:paraId="75B8604E" w14:textId="77777777" w:rsidR="007C259A" w:rsidRPr="00BD16B4" w:rsidRDefault="007C259A" w:rsidP="00F31129">
            <w:pPr>
              <w:pStyle w:val="TableTextBold0"/>
              <w:spacing w:before="40" w:after="40"/>
              <w:rPr>
                <w:b w:val="0"/>
                <w:szCs w:val="18"/>
                <w:lang w:val="en-NZ"/>
              </w:rPr>
            </w:pPr>
            <w:r w:rsidRPr="00BD16B4">
              <w:rPr>
                <w:szCs w:val="18"/>
                <w:lang w:val="en-NZ"/>
              </w:rPr>
              <w:t>Total</w:t>
            </w:r>
          </w:p>
        </w:tc>
        <w:tc>
          <w:tcPr>
            <w:tcW w:w="430" w:type="pct"/>
          </w:tcPr>
          <w:p w14:paraId="3D538AFE" w14:textId="77777777" w:rsidR="007C259A" w:rsidRPr="00BD16B4" w:rsidRDefault="007C259A" w:rsidP="00F31129">
            <w:pPr>
              <w:pStyle w:val="TableTextBold0"/>
              <w:spacing w:before="40" w:after="40"/>
              <w:jc w:val="center"/>
              <w:rPr>
                <w:color w:val="000000"/>
                <w:szCs w:val="18"/>
                <w:lang w:val="en-NZ"/>
              </w:rPr>
            </w:pPr>
            <w:r w:rsidRPr="00BD16B4">
              <w:rPr>
                <w:color w:val="000000"/>
                <w:szCs w:val="18"/>
                <w:lang w:val="en-NZ"/>
              </w:rPr>
              <w:t>33.79</w:t>
            </w:r>
          </w:p>
        </w:tc>
        <w:tc>
          <w:tcPr>
            <w:tcW w:w="448" w:type="pct"/>
          </w:tcPr>
          <w:p w14:paraId="49081973" w14:textId="77777777" w:rsidR="007C259A" w:rsidRPr="00BD16B4" w:rsidRDefault="007C259A" w:rsidP="00F31129">
            <w:pPr>
              <w:pStyle w:val="TableTextBold0"/>
              <w:spacing w:before="40" w:after="40"/>
              <w:jc w:val="center"/>
              <w:rPr>
                <w:color w:val="000000"/>
                <w:szCs w:val="18"/>
                <w:lang w:val="en-NZ"/>
              </w:rPr>
            </w:pPr>
            <w:r w:rsidRPr="00BD16B4">
              <w:rPr>
                <w:color w:val="000000"/>
                <w:szCs w:val="18"/>
                <w:lang w:val="en-NZ"/>
              </w:rPr>
              <w:t>35.73</w:t>
            </w:r>
          </w:p>
        </w:tc>
        <w:tc>
          <w:tcPr>
            <w:tcW w:w="448" w:type="pct"/>
          </w:tcPr>
          <w:p w14:paraId="56C52F30" w14:textId="77777777" w:rsidR="007C259A" w:rsidRPr="00BD16B4" w:rsidRDefault="007C259A" w:rsidP="00F31129">
            <w:pPr>
              <w:pStyle w:val="TableTextBold0"/>
              <w:spacing w:before="40" w:after="40"/>
              <w:jc w:val="center"/>
              <w:rPr>
                <w:color w:val="000000"/>
                <w:szCs w:val="18"/>
                <w:lang w:val="en-NZ"/>
              </w:rPr>
            </w:pPr>
            <w:r w:rsidRPr="00BD16B4">
              <w:rPr>
                <w:color w:val="000000"/>
                <w:szCs w:val="18"/>
                <w:lang w:val="en-NZ"/>
              </w:rPr>
              <w:t>37.61</w:t>
            </w:r>
          </w:p>
        </w:tc>
        <w:tc>
          <w:tcPr>
            <w:tcW w:w="448" w:type="pct"/>
          </w:tcPr>
          <w:p w14:paraId="65B0192E" w14:textId="77777777" w:rsidR="007C259A" w:rsidRPr="00BD16B4" w:rsidRDefault="007C259A" w:rsidP="00F31129">
            <w:pPr>
              <w:pStyle w:val="TableTextBold0"/>
              <w:spacing w:before="40" w:after="40"/>
              <w:jc w:val="center"/>
              <w:rPr>
                <w:color w:val="000000"/>
                <w:szCs w:val="18"/>
                <w:lang w:val="en-NZ"/>
              </w:rPr>
            </w:pPr>
            <w:r w:rsidRPr="00BD16B4">
              <w:rPr>
                <w:color w:val="000000"/>
                <w:szCs w:val="18"/>
                <w:lang w:val="en-NZ"/>
              </w:rPr>
              <w:t>39.57</w:t>
            </w:r>
          </w:p>
        </w:tc>
        <w:tc>
          <w:tcPr>
            <w:tcW w:w="448" w:type="pct"/>
          </w:tcPr>
          <w:p w14:paraId="2FC2E443" w14:textId="77777777" w:rsidR="007C259A" w:rsidRPr="00BD16B4" w:rsidRDefault="007C259A" w:rsidP="00F31129">
            <w:pPr>
              <w:pStyle w:val="TableTextBold0"/>
              <w:spacing w:before="40" w:after="40"/>
              <w:jc w:val="center"/>
              <w:rPr>
                <w:color w:val="000000"/>
                <w:szCs w:val="18"/>
                <w:lang w:val="en-NZ"/>
              </w:rPr>
            </w:pPr>
            <w:r w:rsidRPr="00BD16B4">
              <w:rPr>
                <w:color w:val="000000"/>
                <w:szCs w:val="18"/>
                <w:lang w:val="en-NZ"/>
              </w:rPr>
              <w:t>37.71</w:t>
            </w:r>
          </w:p>
        </w:tc>
        <w:tc>
          <w:tcPr>
            <w:tcW w:w="448" w:type="pct"/>
          </w:tcPr>
          <w:p w14:paraId="62BB9D0E" w14:textId="77777777" w:rsidR="007C259A" w:rsidRPr="00BD16B4" w:rsidRDefault="007C259A" w:rsidP="00F31129">
            <w:pPr>
              <w:pStyle w:val="TableTextBold0"/>
              <w:spacing w:before="40" w:after="40"/>
              <w:jc w:val="center"/>
              <w:rPr>
                <w:color w:val="000000"/>
                <w:szCs w:val="18"/>
                <w:lang w:val="en-NZ"/>
              </w:rPr>
            </w:pPr>
            <w:r w:rsidRPr="00BD16B4">
              <w:rPr>
                <w:color w:val="000000"/>
                <w:szCs w:val="18"/>
                <w:lang w:val="en-NZ"/>
              </w:rPr>
              <w:t>39.42</w:t>
            </w:r>
          </w:p>
        </w:tc>
        <w:tc>
          <w:tcPr>
            <w:tcW w:w="450" w:type="pct"/>
          </w:tcPr>
          <w:p w14:paraId="5284FD33" w14:textId="77777777" w:rsidR="007C259A" w:rsidRPr="00BD16B4" w:rsidRDefault="007C259A" w:rsidP="00F31129">
            <w:pPr>
              <w:pStyle w:val="TableTextBold0"/>
              <w:spacing w:before="40" w:after="40"/>
              <w:jc w:val="center"/>
              <w:rPr>
                <w:szCs w:val="18"/>
                <w:lang w:val="en-NZ"/>
              </w:rPr>
            </w:pPr>
            <w:r w:rsidRPr="00BD16B4">
              <w:rPr>
                <w:bCs/>
                <w:szCs w:val="18"/>
                <w:lang w:val="en-NZ"/>
              </w:rPr>
              <w:t>39.43</w:t>
            </w:r>
          </w:p>
        </w:tc>
        <w:tc>
          <w:tcPr>
            <w:tcW w:w="470" w:type="pct"/>
            <w:shd w:val="clear" w:color="auto" w:fill="D2DDE1" w:themeFill="background2"/>
          </w:tcPr>
          <w:p w14:paraId="52F26292" w14:textId="77777777" w:rsidR="007C259A" w:rsidRPr="00BD16B4" w:rsidRDefault="007C259A" w:rsidP="00F31129">
            <w:pPr>
              <w:pStyle w:val="TableTextBold0"/>
              <w:spacing w:before="40" w:after="40"/>
              <w:jc w:val="center"/>
              <w:rPr>
                <w:szCs w:val="18"/>
                <w:lang w:val="en-NZ"/>
              </w:rPr>
            </w:pPr>
            <w:r w:rsidRPr="00BD16B4">
              <w:rPr>
                <w:szCs w:val="18"/>
                <w:lang w:val="en-NZ"/>
              </w:rPr>
              <w:t>37.43</w:t>
            </w:r>
          </w:p>
        </w:tc>
        <w:tc>
          <w:tcPr>
            <w:tcW w:w="532" w:type="pct"/>
            <w:shd w:val="clear" w:color="auto" w:fill="D2DDE1" w:themeFill="background2"/>
          </w:tcPr>
          <w:p w14:paraId="37BC5B19" w14:textId="77777777" w:rsidR="007C259A" w:rsidRPr="00BD16B4" w:rsidRDefault="007C259A" w:rsidP="00F31129">
            <w:pPr>
              <w:pStyle w:val="TableTextBold0"/>
              <w:spacing w:before="40" w:after="40"/>
              <w:jc w:val="center"/>
              <w:rPr>
                <w:szCs w:val="18"/>
                <w:lang w:val="en-NZ"/>
              </w:rPr>
            </w:pPr>
            <w:r w:rsidRPr="00BD16B4">
              <w:rPr>
                <w:szCs w:val="18"/>
                <w:lang w:val="en-NZ"/>
              </w:rPr>
              <w:t>36.30</w:t>
            </w:r>
          </w:p>
        </w:tc>
        <w:tc>
          <w:tcPr>
            <w:tcW w:w="445" w:type="pct"/>
            <w:shd w:val="clear" w:color="auto" w:fill="D2DDE1" w:themeFill="background2"/>
          </w:tcPr>
          <w:p w14:paraId="4FFFA2AD" w14:textId="77777777" w:rsidR="007C259A" w:rsidRPr="00BD16B4" w:rsidRDefault="007C259A" w:rsidP="00F31129">
            <w:pPr>
              <w:pStyle w:val="TableTextBold0"/>
              <w:spacing w:before="40" w:after="40"/>
              <w:jc w:val="center"/>
              <w:rPr>
                <w:szCs w:val="18"/>
                <w:lang w:val="en-NZ"/>
              </w:rPr>
            </w:pPr>
            <w:r w:rsidRPr="00BD16B4">
              <w:rPr>
                <w:szCs w:val="18"/>
                <w:lang w:val="en-NZ"/>
              </w:rPr>
              <w:t>35.33</w:t>
            </w:r>
          </w:p>
        </w:tc>
      </w:tr>
    </w:tbl>
    <w:p w14:paraId="225BACD4" w14:textId="77777777" w:rsidR="007C259A" w:rsidRPr="00BD16B4" w:rsidRDefault="007C259A" w:rsidP="00BB7302">
      <w:pPr>
        <w:pStyle w:val="Note"/>
        <w:spacing w:after="80"/>
      </w:pPr>
      <w:r w:rsidRPr="00BD16B4">
        <w:rPr>
          <w:b/>
          <w:bCs/>
        </w:rPr>
        <w:t>Note:</w:t>
      </w:r>
      <w:r w:rsidRPr="00BD16B4">
        <w:t xml:space="preserve"> CH</w:t>
      </w:r>
      <w:r w:rsidRPr="00BD16B4">
        <w:rPr>
          <w:vertAlign w:val="subscript"/>
        </w:rPr>
        <w:t>4</w:t>
      </w:r>
      <w:r w:rsidRPr="00BD16B4">
        <w:t xml:space="preserve"> = methane; CO</w:t>
      </w:r>
      <w:r w:rsidRPr="00BD16B4">
        <w:rPr>
          <w:vertAlign w:val="subscript"/>
        </w:rPr>
        <w:t>2</w:t>
      </w:r>
      <w:r w:rsidRPr="00BD16B4">
        <w:t xml:space="preserve"> = carbon dioxide; Mt CO</w:t>
      </w:r>
      <w:r w:rsidRPr="00BD16B4">
        <w:rPr>
          <w:vertAlign w:val="subscript"/>
        </w:rPr>
        <w:t>2</w:t>
      </w:r>
      <w:r w:rsidRPr="00BD16B4">
        <w:t>-e = million tonnes of carbon dioxide equivalent; N</w:t>
      </w:r>
      <w:r w:rsidRPr="00BD16B4">
        <w:rPr>
          <w:vertAlign w:val="subscript"/>
        </w:rPr>
        <w:t>2</w:t>
      </w:r>
      <w:r w:rsidRPr="00BD16B4">
        <w:t>O = nitrous oxide.</w:t>
      </w:r>
    </w:p>
    <w:p w14:paraId="3201F504" w14:textId="77777777" w:rsidR="007C259A" w:rsidRPr="00BD16B4" w:rsidRDefault="007C259A" w:rsidP="004E1B8C">
      <w:pPr>
        <w:pStyle w:val="Heading4"/>
      </w:pPr>
      <w:r w:rsidRPr="00BD16B4">
        <w:t>Methodology</w:t>
      </w:r>
    </w:p>
    <w:p w14:paraId="1021768B" w14:textId="77777777" w:rsidR="007C259A" w:rsidRPr="00BD16B4" w:rsidRDefault="007C259A" w:rsidP="007C259A">
      <w:pPr>
        <w:pStyle w:val="BodyText"/>
        <w:spacing w:before="100" w:after="100" w:line="270" w:lineRule="atLeast"/>
        <w:rPr>
          <w:iCs/>
        </w:rPr>
      </w:pPr>
      <w:r w:rsidRPr="00BD16B4">
        <w:t xml:space="preserve">Forecasts of future agricultural activity were estimated using a number of modelling tools and assumptions, then inserted into the agricultural greenhouse gas inventory model to obtain emissions projections out to 2035. Emission projections use the same methodology and country-specific emission factors used in the compilation of </w:t>
      </w:r>
      <w:r w:rsidRPr="00BD16B4">
        <w:rPr>
          <w:i/>
          <w:iCs/>
        </w:rPr>
        <w:t>New Zealand’s Greenhouse Gas Inventory 1990–2020</w:t>
      </w:r>
      <w:r w:rsidRPr="00BD16B4">
        <w:rPr>
          <w:iCs/>
        </w:rPr>
        <w:t>,</w:t>
      </w:r>
      <w:r w:rsidRPr="00BD16B4">
        <w:rPr>
          <w:rStyle w:val="FootnoteReference"/>
        </w:rPr>
        <w:footnoteReference w:id="240"/>
      </w:r>
      <w:r w:rsidRPr="00BD16B4">
        <w:t xml:space="preserve"> sometimes referred to as New Zealand’s National Inventory Report.</w:t>
      </w:r>
    </w:p>
    <w:p w14:paraId="6ECD6F09" w14:textId="77777777" w:rsidR="007C259A" w:rsidRPr="00BD16B4" w:rsidRDefault="007C259A" w:rsidP="007C259A">
      <w:pPr>
        <w:pStyle w:val="BodyText"/>
        <w:spacing w:before="100" w:after="100" w:line="270" w:lineRule="atLeast"/>
      </w:pPr>
      <w:r w:rsidRPr="00BD16B4">
        <w:t>Assumptions for productivity, animal population, land use and crop production for the WEM scenario have been informed through consultation with literature, experts and representatives from the major industry bodies.</w:t>
      </w:r>
    </w:p>
    <w:p w14:paraId="5A29A37B" w14:textId="77777777" w:rsidR="007C259A" w:rsidRPr="00BD16B4" w:rsidRDefault="007C259A" w:rsidP="007C259A">
      <w:pPr>
        <w:pStyle w:val="BodyText"/>
        <w:spacing w:before="100" w:after="100" w:line="270" w:lineRule="atLeast"/>
      </w:pPr>
      <w:r w:rsidRPr="00BD16B4">
        <w:t xml:space="preserve">Productivity inputs for the four major livestock categories (dairy, sheep, beef and deer) are modelled by an internal projections model, the Pastoral Supply Response Model (PSRM), which is also used for the </w:t>
      </w:r>
      <w:r w:rsidRPr="00BD16B4">
        <w:rPr>
          <w:i/>
          <w:iCs/>
        </w:rPr>
        <w:t>Situation and Outlook for Primary Industries</w:t>
      </w:r>
      <w:r w:rsidRPr="00BD16B4">
        <w:t xml:space="preserve"> quarterly reports. For more information, see appendix B.2.</w:t>
      </w:r>
    </w:p>
    <w:p w14:paraId="0A717F3A" w14:textId="77777777" w:rsidR="007C259A" w:rsidRPr="00BD16B4" w:rsidRDefault="007C259A" w:rsidP="007C259A">
      <w:pPr>
        <w:pStyle w:val="BodyText"/>
        <w:spacing w:before="100" w:after="100" w:line="270" w:lineRule="atLeast"/>
      </w:pPr>
      <w:r w:rsidRPr="00BD16B4">
        <w:t xml:space="preserve">Table 5.20 summarises the changes in emissions, animal numbers, and production that are projected between 2020 and 2035. In the dairy sector, emissions are projected to decrease by 6.0 per cent, while total milk production is projected to decrease by 4.7 per cent. Sheep emissions are projected to fall by 15.1 per cent by 2035, while total sheep </w:t>
      </w:r>
      <w:r w:rsidRPr="00BD16B4">
        <w:rPr>
          <w:i/>
        </w:rPr>
        <w:t>meat</w:t>
      </w:r>
      <w:r w:rsidRPr="00BD16B4">
        <w:t xml:space="preserve"> production is expected to fall by 14.4 per cent over the same period. </w:t>
      </w:r>
    </w:p>
    <w:p w14:paraId="3F2A89DF" w14:textId="77777777" w:rsidR="007C259A" w:rsidRPr="00BD16B4" w:rsidRDefault="007C259A" w:rsidP="00BB7302">
      <w:pPr>
        <w:pStyle w:val="Tableheading"/>
      </w:pPr>
      <w:bookmarkStart w:id="300" w:name="_Toc121773810"/>
      <w:r w:rsidRPr="00BD16B4">
        <w:lastRenderedPageBreak/>
        <w:t xml:space="preserve">Table 5.20: </w:t>
      </w:r>
      <w:r w:rsidRPr="00BD16B4">
        <w:tab/>
        <w:t>Projected change in emissions, production and animal numbers between 2020 and 2035 under a ‘with existing measures’ scenario for dairy, sheep and beef sectors</w:t>
      </w:r>
      <w:bookmarkEnd w:id="300"/>
    </w:p>
    <w:tbl>
      <w:tblPr>
        <w:tblStyle w:val="TableGrid1"/>
        <w:tblW w:w="8505" w:type="dxa"/>
        <w:tblInd w:w="113" w:type="dxa"/>
        <w:tblLook w:val="04A0" w:firstRow="1" w:lastRow="0" w:firstColumn="1" w:lastColumn="0" w:noHBand="0" w:noVBand="1"/>
      </w:tblPr>
      <w:tblGrid>
        <w:gridCol w:w="1843"/>
        <w:gridCol w:w="2268"/>
        <w:gridCol w:w="2268"/>
        <w:gridCol w:w="2126"/>
      </w:tblGrid>
      <w:tr w:rsidR="007C259A" w:rsidRPr="00BD16B4" w14:paraId="0C462869" w14:textId="77777777" w:rsidTr="00BB7302">
        <w:tc>
          <w:tcPr>
            <w:tcW w:w="8505" w:type="dxa"/>
            <w:gridSpan w:val="4"/>
            <w:shd w:val="clear" w:color="auto" w:fill="1B556B" w:themeFill="text2"/>
            <w:noWrap/>
            <w:hideMark/>
          </w:tcPr>
          <w:p w14:paraId="5DF7F385" w14:textId="77777777" w:rsidR="007C259A" w:rsidRPr="00BD16B4" w:rsidRDefault="007C259A" w:rsidP="000417E8">
            <w:pPr>
              <w:pStyle w:val="TableTextBold0"/>
              <w:keepNext/>
              <w:spacing w:line="220" w:lineRule="atLeast"/>
              <w:rPr>
                <w:b w:val="0"/>
                <w:color w:val="FFFFFF" w:themeColor="background1"/>
                <w:lang w:val="en-NZ"/>
              </w:rPr>
            </w:pPr>
            <w:r w:rsidRPr="00BD16B4">
              <w:rPr>
                <w:color w:val="FFFFFF" w:themeColor="background1"/>
                <w:lang w:val="en-NZ"/>
              </w:rPr>
              <w:t>Projected change in emissions by activity (kt CO</w:t>
            </w:r>
            <w:r w:rsidRPr="00BD16B4">
              <w:rPr>
                <w:color w:val="FFFFFF" w:themeColor="background1"/>
                <w:vertAlign w:val="subscript"/>
                <w:lang w:val="en-NZ"/>
              </w:rPr>
              <w:t>2</w:t>
            </w:r>
            <w:r w:rsidRPr="00BD16B4">
              <w:rPr>
                <w:color w:val="FFFFFF" w:themeColor="background1"/>
                <w:lang w:val="en-NZ"/>
              </w:rPr>
              <w:t>-e)</w:t>
            </w:r>
          </w:p>
        </w:tc>
      </w:tr>
      <w:tr w:rsidR="007C259A" w:rsidRPr="00BD16B4" w14:paraId="4DB72428" w14:textId="77777777" w:rsidTr="00BB7302">
        <w:tc>
          <w:tcPr>
            <w:tcW w:w="1843" w:type="dxa"/>
            <w:noWrap/>
            <w:hideMark/>
          </w:tcPr>
          <w:p w14:paraId="7A88F79E" w14:textId="77777777" w:rsidR="007C259A" w:rsidRPr="00BD16B4" w:rsidRDefault="007C259A" w:rsidP="000417E8">
            <w:pPr>
              <w:pStyle w:val="TableTextBold0"/>
              <w:keepNext/>
              <w:spacing w:line="220" w:lineRule="atLeast"/>
              <w:rPr>
                <w:lang w:val="en-NZ"/>
              </w:rPr>
            </w:pPr>
          </w:p>
        </w:tc>
        <w:tc>
          <w:tcPr>
            <w:tcW w:w="2268" w:type="dxa"/>
            <w:noWrap/>
            <w:hideMark/>
          </w:tcPr>
          <w:p w14:paraId="7390606E" w14:textId="77777777" w:rsidR="007C259A" w:rsidRPr="00BD16B4" w:rsidRDefault="007C259A" w:rsidP="000417E8">
            <w:pPr>
              <w:pStyle w:val="TableTextBold0"/>
              <w:keepNext/>
              <w:spacing w:line="220" w:lineRule="atLeast"/>
              <w:jc w:val="center"/>
              <w:rPr>
                <w:lang w:val="en-NZ"/>
              </w:rPr>
            </w:pPr>
            <w:r w:rsidRPr="00BD16B4">
              <w:rPr>
                <w:lang w:val="en-NZ"/>
              </w:rPr>
              <w:t>Dairy</w:t>
            </w:r>
          </w:p>
        </w:tc>
        <w:tc>
          <w:tcPr>
            <w:tcW w:w="2268" w:type="dxa"/>
            <w:noWrap/>
            <w:hideMark/>
          </w:tcPr>
          <w:p w14:paraId="04D05BDE" w14:textId="77777777" w:rsidR="007C259A" w:rsidRPr="00BD16B4" w:rsidRDefault="007C259A" w:rsidP="000417E8">
            <w:pPr>
              <w:pStyle w:val="TableTextBold0"/>
              <w:keepNext/>
              <w:spacing w:line="220" w:lineRule="atLeast"/>
              <w:jc w:val="center"/>
              <w:rPr>
                <w:lang w:val="en-NZ"/>
              </w:rPr>
            </w:pPr>
            <w:r w:rsidRPr="00BD16B4">
              <w:rPr>
                <w:lang w:val="en-NZ"/>
              </w:rPr>
              <w:t>Beef</w:t>
            </w:r>
          </w:p>
        </w:tc>
        <w:tc>
          <w:tcPr>
            <w:tcW w:w="2126" w:type="dxa"/>
            <w:noWrap/>
            <w:hideMark/>
          </w:tcPr>
          <w:p w14:paraId="48610986" w14:textId="77777777" w:rsidR="007C259A" w:rsidRPr="00BD16B4" w:rsidRDefault="007C259A" w:rsidP="000417E8">
            <w:pPr>
              <w:pStyle w:val="TableTextBold0"/>
              <w:keepNext/>
              <w:spacing w:line="220" w:lineRule="atLeast"/>
              <w:jc w:val="center"/>
              <w:rPr>
                <w:lang w:val="en-NZ"/>
              </w:rPr>
            </w:pPr>
            <w:r w:rsidRPr="00BD16B4">
              <w:rPr>
                <w:lang w:val="en-NZ"/>
              </w:rPr>
              <w:t>Sheep</w:t>
            </w:r>
          </w:p>
        </w:tc>
      </w:tr>
      <w:tr w:rsidR="007C259A" w:rsidRPr="00BD16B4" w14:paraId="294EBF51" w14:textId="77777777" w:rsidTr="00BB7302">
        <w:tc>
          <w:tcPr>
            <w:tcW w:w="1843" w:type="dxa"/>
            <w:noWrap/>
          </w:tcPr>
          <w:p w14:paraId="05F30181" w14:textId="77777777" w:rsidR="007C259A" w:rsidRPr="00BD16B4" w:rsidRDefault="007C259A" w:rsidP="000417E8">
            <w:pPr>
              <w:pStyle w:val="TableText"/>
              <w:keepNext/>
              <w:spacing w:line="220" w:lineRule="atLeast"/>
              <w:rPr>
                <w:lang w:val="en-NZ"/>
              </w:rPr>
            </w:pPr>
            <w:r w:rsidRPr="00BD16B4">
              <w:rPr>
                <w:lang w:val="en-NZ"/>
              </w:rPr>
              <w:t>2020</w:t>
            </w:r>
          </w:p>
        </w:tc>
        <w:tc>
          <w:tcPr>
            <w:tcW w:w="2268" w:type="dxa"/>
            <w:noWrap/>
          </w:tcPr>
          <w:p w14:paraId="568D65B6" w14:textId="77777777" w:rsidR="007C259A" w:rsidRPr="00BD16B4" w:rsidRDefault="007C259A" w:rsidP="000417E8">
            <w:pPr>
              <w:pStyle w:val="TableText"/>
              <w:keepNext/>
              <w:spacing w:line="220" w:lineRule="atLeast"/>
              <w:jc w:val="center"/>
              <w:rPr>
                <w:lang w:val="en-NZ"/>
              </w:rPr>
            </w:pPr>
            <w:r w:rsidRPr="00BD16B4">
              <w:rPr>
                <w:lang w:val="en-NZ"/>
              </w:rPr>
              <w:t>18,481.78</w:t>
            </w:r>
          </w:p>
        </w:tc>
        <w:tc>
          <w:tcPr>
            <w:tcW w:w="2268" w:type="dxa"/>
            <w:noWrap/>
          </w:tcPr>
          <w:p w14:paraId="0983EBA2" w14:textId="77777777" w:rsidR="007C259A" w:rsidRPr="00BD16B4" w:rsidRDefault="007C259A" w:rsidP="000417E8">
            <w:pPr>
              <w:pStyle w:val="TableText"/>
              <w:keepNext/>
              <w:spacing w:line="220" w:lineRule="atLeast"/>
              <w:jc w:val="center"/>
              <w:rPr>
                <w:lang w:val="en-NZ"/>
              </w:rPr>
            </w:pPr>
            <w:r w:rsidRPr="00BD16B4">
              <w:rPr>
                <w:lang w:val="en-NZ"/>
              </w:rPr>
              <w:t>7,101.98</w:t>
            </w:r>
          </w:p>
        </w:tc>
        <w:tc>
          <w:tcPr>
            <w:tcW w:w="2126" w:type="dxa"/>
            <w:noWrap/>
          </w:tcPr>
          <w:p w14:paraId="24F36AA3" w14:textId="77777777" w:rsidR="007C259A" w:rsidRPr="00BD16B4" w:rsidRDefault="007C259A" w:rsidP="000417E8">
            <w:pPr>
              <w:pStyle w:val="TableText"/>
              <w:keepNext/>
              <w:spacing w:line="220" w:lineRule="atLeast"/>
              <w:jc w:val="center"/>
              <w:rPr>
                <w:lang w:val="en-NZ"/>
              </w:rPr>
            </w:pPr>
            <w:r w:rsidRPr="00BD16B4">
              <w:rPr>
                <w:lang w:val="en-NZ"/>
              </w:rPr>
              <w:t>9,308.17</w:t>
            </w:r>
          </w:p>
        </w:tc>
      </w:tr>
      <w:tr w:rsidR="007C259A" w:rsidRPr="00BD16B4" w14:paraId="68886520" w14:textId="77777777" w:rsidTr="00BB7302">
        <w:tc>
          <w:tcPr>
            <w:tcW w:w="1843" w:type="dxa"/>
            <w:noWrap/>
          </w:tcPr>
          <w:p w14:paraId="4D0E4092" w14:textId="77777777" w:rsidR="007C259A" w:rsidRPr="00BD16B4" w:rsidRDefault="007C259A" w:rsidP="000417E8">
            <w:pPr>
              <w:pStyle w:val="TableText"/>
              <w:keepNext/>
              <w:spacing w:line="220" w:lineRule="atLeast"/>
              <w:rPr>
                <w:lang w:val="en-NZ"/>
              </w:rPr>
            </w:pPr>
            <w:r w:rsidRPr="00BD16B4">
              <w:rPr>
                <w:lang w:val="en-NZ"/>
              </w:rPr>
              <w:t>2035</w:t>
            </w:r>
          </w:p>
        </w:tc>
        <w:tc>
          <w:tcPr>
            <w:tcW w:w="2268" w:type="dxa"/>
            <w:noWrap/>
          </w:tcPr>
          <w:p w14:paraId="36CFF915" w14:textId="77777777" w:rsidR="007C259A" w:rsidRPr="00BD16B4" w:rsidRDefault="007C259A" w:rsidP="000417E8">
            <w:pPr>
              <w:pStyle w:val="TableText"/>
              <w:keepNext/>
              <w:spacing w:line="220" w:lineRule="atLeast"/>
              <w:jc w:val="center"/>
              <w:rPr>
                <w:lang w:val="en-NZ"/>
              </w:rPr>
            </w:pPr>
            <w:r w:rsidRPr="00BD16B4">
              <w:rPr>
                <w:lang w:val="en-NZ"/>
              </w:rPr>
              <w:t>17,371.52</w:t>
            </w:r>
          </w:p>
        </w:tc>
        <w:tc>
          <w:tcPr>
            <w:tcW w:w="2268" w:type="dxa"/>
            <w:noWrap/>
          </w:tcPr>
          <w:p w14:paraId="63935E83" w14:textId="77777777" w:rsidR="007C259A" w:rsidRPr="00BD16B4" w:rsidRDefault="007C259A" w:rsidP="000417E8">
            <w:pPr>
              <w:pStyle w:val="TableText"/>
              <w:keepNext/>
              <w:spacing w:line="220" w:lineRule="atLeast"/>
              <w:jc w:val="center"/>
              <w:rPr>
                <w:lang w:val="en-NZ"/>
              </w:rPr>
            </w:pPr>
            <w:r w:rsidRPr="00BD16B4">
              <w:rPr>
                <w:lang w:val="en-NZ"/>
              </w:rPr>
              <w:t>6,055.07</w:t>
            </w:r>
          </w:p>
        </w:tc>
        <w:tc>
          <w:tcPr>
            <w:tcW w:w="2126" w:type="dxa"/>
            <w:noWrap/>
          </w:tcPr>
          <w:p w14:paraId="279DB729" w14:textId="77777777" w:rsidR="007C259A" w:rsidRPr="00BD16B4" w:rsidRDefault="007C259A" w:rsidP="000417E8">
            <w:pPr>
              <w:pStyle w:val="TableText"/>
              <w:keepNext/>
              <w:spacing w:line="220" w:lineRule="atLeast"/>
              <w:jc w:val="center"/>
              <w:rPr>
                <w:lang w:val="en-NZ"/>
              </w:rPr>
            </w:pPr>
            <w:r w:rsidRPr="00BD16B4">
              <w:rPr>
                <w:lang w:val="en-NZ"/>
              </w:rPr>
              <w:t>7,906.29</w:t>
            </w:r>
          </w:p>
        </w:tc>
      </w:tr>
      <w:tr w:rsidR="007C259A" w:rsidRPr="00BD16B4" w14:paraId="1108D8C9" w14:textId="77777777" w:rsidTr="00BB7302">
        <w:tc>
          <w:tcPr>
            <w:tcW w:w="1843" w:type="dxa"/>
            <w:tcBorders>
              <w:bottom w:val="single" w:sz="4" w:space="0" w:color="1B556B" w:themeColor="text2"/>
            </w:tcBorders>
            <w:noWrap/>
            <w:hideMark/>
          </w:tcPr>
          <w:p w14:paraId="539C7688" w14:textId="77777777" w:rsidR="007C259A" w:rsidRPr="00BD16B4" w:rsidRDefault="007C259A" w:rsidP="000417E8">
            <w:pPr>
              <w:pStyle w:val="TableText"/>
              <w:keepNext/>
              <w:spacing w:line="220" w:lineRule="atLeast"/>
              <w:rPr>
                <w:lang w:val="en-NZ"/>
              </w:rPr>
            </w:pPr>
            <w:r w:rsidRPr="00BD16B4">
              <w:rPr>
                <w:lang w:val="en-NZ"/>
              </w:rPr>
              <w:t>Change 2020–35 (%)</w:t>
            </w:r>
          </w:p>
        </w:tc>
        <w:tc>
          <w:tcPr>
            <w:tcW w:w="2268" w:type="dxa"/>
            <w:tcBorders>
              <w:bottom w:val="single" w:sz="4" w:space="0" w:color="1B556B" w:themeColor="text2"/>
            </w:tcBorders>
            <w:noWrap/>
          </w:tcPr>
          <w:p w14:paraId="347C2D8D" w14:textId="77777777" w:rsidR="007C259A" w:rsidRPr="00BD16B4" w:rsidRDefault="007C259A" w:rsidP="000417E8">
            <w:pPr>
              <w:pStyle w:val="TableText"/>
              <w:keepNext/>
              <w:spacing w:line="220" w:lineRule="atLeast"/>
              <w:jc w:val="center"/>
              <w:rPr>
                <w:lang w:val="en-NZ"/>
              </w:rPr>
            </w:pPr>
            <w:r w:rsidRPr="00BD16B4">
              <w:rPr>
                <w:lang w:val="en-NZ"/>
              </w:rPr>
              <w:t>–6.0 %</w:t>
            </w:r>
          </w:p>
        </w:tc>
        <w:tc>
          <w:tcPr>
            <w:tcW w:w="2268" w:type="dxa"/>
            <w:tcBorders>
              <w:bottom w:val="single" w:sz="4" w:space="0" w:color="1B556B" w:themeColor="text2"/>
            </w:tcBorders>
            <w:noWrap/>
          </w:tcPr>
          <w:p w14:paraId="1AEC5484" w14:textId="77777777" w:rsidR="007C259A" w:rsidRPr="00BD16B4" w:rsidRDefault="007C259A" w:rsidP="000417E8">
            <w:pPr>
              <w:pStyle w:val="TableText"/>
              <w:keepNext/>
              <w:spacing w:line="220" w:lineRule="atLeast"/>
              <w:jc w:val="center"/>
              <w:rPr>
                <w:lang w:val="en-NZ"/>
              </w:rPr>
            </w:pPr>
            <w:r w:rsidRPr="00BD16B4">
              <w:rPr>
                <w:lang w:val="en-NZ"/>
              </w:rPr>
              <w:t>–14.7 %</w:t>
            </w:r>
          </w:p>
        </w:tc>
        <w:tc>
          <w:tcPr>
            <w:tcW w:w="2126" w:type="dxa"/>
            <w:tcBorders>
              <w:bottom w:val="single" w:sz="4" w:space="0" w:color="1B556B" w:themeColor="text2"/>
            </w:tcBorders>
            <w:noWrap/>
          </w:tcPr>
          <w:p w14:paraId="7772FAB5" w14:textId="77777777" w:rsidR="007C259A" w:rsidRPr="00BD16B4" w:rsidRDefault="007C259A" w:rsidP="000417E8">
            <w:pPr>
              <w:pStyle w:val="TableText"/>
              <w:keepNext/>
              <w:spacing w:line="220" w:lineRule="atLeast"/>
              <w:jc w:val="center"/>
              <w:rPr>
                <w:lang w:val="en-NZ"/>
              </w:rPr>
            </w:pPr>
            <w:r w:rsidRPr="00BD16B4">
              <w:rPr>
                <w:lang w:val="en-NZ"/>
              </w:rPr>
              <w:t>–15.1 %</w:t>
            </w:r>
          </w:p>
        </w:tc>
      </w:tr>
      <w:tr w:rsidR="007C259A" w:rsidRPr="00BD16B4" w14:paraId="62DF4BD8" w14:textId="77777777" w:rsidTr="00BB7302">
        <w:tc>
          <w:tcPr>
            <w:tcW w:w="8505" w:type="dxa"/>
            <w:gridSpan w:val="4"/>
            <w:shd w:val="clear" w:color="auto" w:fill="1B556B" w:themeFill="text2"/>
            <w:noWrap/>
            <w:hideMark/>
          </w:tcPr>
          <w:p w14:paraId="1B714135" w14:textId="77777777" w:rsidR="007C259A" w:rsidRPr="00BD16B4" w:rsidRDefault="007C259A" w:rsidP="000417E8">
            <w:pPr>
              <w:pStyle w:val="TableTextBold0"/>
              <w:keepNext/>
              <w:spacing w:line="220" w:lineRule="atLeast"/>
              <w:rPr>
                <w:b w:val="0"/>
                <w:color w:val="FFFFFF" w:themeColor="background1"/>
                <w:lang w:val="en-NZ"/>
              </w:rPr>
            </w:pPr>
            <w:r w:rsidRPr="00BD16B4">
              <w:rPr>
                <w:color w:val="FFFFFF" w:themeColor="background1"/>
                <w:lang w:val="en-NZ"/>
              </w:rPr>
              <w:t>Projected change in total production</w:t>
            </w:r>
          </w:p>
        </w:tc>
      </w:tr>
      <w:tr w:rsidR="007C259A" w:rsidRPr="00BD16B4" w14:paraId="30586B7F" w14:textId="77777777" w:rsidTr="00BB7302">
        <w:tc>
          <w:tcPr>
            <w:tcW w:w="1843" w:type="dxa"/>
            <w:noWrap/>
            <w:hideMark/>
          </w:tcPr>
          <w:p w14:paraId="2B6D8326" w14:textId="77777777" w:rsidR="007C259A" w:rsidRPr="00BD16B4" w:rsidRDefault="007C259A" w:rsidP="000417E8">
            <w:pPr>
              <w:pStyle w:val="TableTextBold0"/>
              <w:keepNext/>
              <w:spacing w:line="220" w:lineRule="atLeast"/>
              <w:rPr>
                <w:lang w:val="en-NZ"/>
              </w:rPr>
            </w:pPr>
          </w:p>
        </w:tc>
        <w:tc>
          <w:tcPr>
            <w:tcW w:w="2268" w:type="dxa"/>
            <w:hideMark/>
          </w:tcPr>
          <w:p w14:paraId="234D0EF1" w14:textId="77777777" w:rsidR="007C259A" w:rsidRPr="00BD16B4" w:rsidRDefault="007C259A" w:rsidP="000417E8">
            <w:pPr>
              <w:pStyle w:val="TableTextBold0"/>
              <w:keepNext/>
              <w:spacing w:line="220" w:lineRule="atLeast"/>
              <w:jc w:val="center"/>
              <w:rPr>
                <w:lang w:val="en-NZ"/>
              </w:rPr>
            </w:pPr>
            <w:r w:rsidRPr="00BD16B4">
              <w:rPr>
                <w:lang w:val="en-NZ"/>
              </w:rPr>
              <w:t>Total dairy milk production (million litres)</w:t>
            </w:r>
          </w:p>
        </w:tc>
        <w:tc>
          <w:tcPr>
            <w:tcW w:w="2268" w:type="dxa"/>
            <w:hideMark/>
          </w:tcPr>
          <w:p w14:paraId="5E42E7A0" w14:textId="77777777" w:rsidR="007C259A" w:rsidRPr="00BD16B4" w:rsidRDefault="007C259A" w:rsidP="000417E8">
            <w:pPr>
              <w:pStyle w:val="TableTextBold0"/>
              <w:keepNext/>
              <w:spacing w:line="220" w:lineRule="atLeast"/>
              <w:jc w:val="center"/>
              <w:rPr>
                <w:lang w:val="en-NZ"/>
              </w:rPr>
            </w:pPr>
            <w:r w:rsidRPr="00BD16B4">
              <w:rPr>
                <w:lang w:val="en-NZ"/>
              </w:rPr>
              <w:t>Total beef meat production (million kg)</w:t>
            </w:r>
            <w:r w:rsidRPr="00BD16B4">
              <w:rPr>
                <w:vertAlign w:val="superscript"/>
                <w:lang w:val="en-NZ"/>
              </w:rPr>
              <w:t>*</w:t>
            </w:r>
          </w:p>
        </w:tc>
        <w:tc>
          <w:tcPr>
            <w:tcW w:w="2126" w:type="dxa"/>
            <w:hideMark/>
          </w:tcPr>
          <w:p w14:paraId="47BCC82E" w14:textId="77777777" w:rsidR="007C259A" w:rsidRPr="00BD16B4" w:rsidRDefault="007C259A" w:rsidP="000417E8">
            <w:pPr>
              <w:pStyle w:val="TableTextBold0"/>
              <w:keepNext/>
              <w:spacing w:line="220" w:lineRule="atLeast"/>
              <w:jc w:val="center"/>
              <w:rPr>
                <w:lang w:val="en-NZ"/>
              </w:rPr>
            </w:pPr>
            <w:r w:rsidRPr="00BD16B4">
              <w:rPr>
                <w:lang w:val="en-NZ"/>
              </w:rPr>
              <w:t>Total sheep meat production (million kg)</w:t>
            </w:r>
            <w:r w:rsidRPr="00BD16B4">
              <w:rPr>
                <w:vertAlign w:val="superscript"/>
                <w:lang w:val="en-NZ"/>
              </w:rPr>
              <w:t>**</w:t>
            </w:r>
          </w:p>
        </w:tc>
      </w:tr>
      <w:tr w:rsidR="007C259A" w:rsidRPr="00BD16B4" w14:paraId="35B5B15E" w14:textId="77777777" w:rsidTr="00BB7302">
        <w:tc>
          <w:tcPr>
            <w:tcW w:w="1843" w:type="dxa"/>
            <w:tcBorders>
              <w:bottom w:val="single" w:sz="4" w:space="0" w:color="1B556B" w:themeColor="text2"/>
            </w:tcBorders>
            <w:noWrap/>
          </w:tcPr>
          <w:p w14:paraId="4B20B85C" w14:textId="77777777" w:rsidR="007C259A" w:rsidRPr="00BD16B4" w:rsidRDefault="007C259A" w:rsidP="000417E8">
            <w:pPr>
              <w:pStyle w:val="TableText"/>
              <w:keepNext/>
              <w:spacing w:line="220" w:lineRule="atLeast"/>
              <w:rPr>
                <w:lang w:val="en-NZ"/>
              </w:rPr>
            </w:pPr>
            <w:r w:rsidRPr="00BD16B4">
              <w:rPr>
                <w:lang w:val="en-NZ"/>
              </w:rPr>
              <w:t>2020</w:t>
            </w:r>
          </w:p>
        </w:tc>
        <w:tc>
          <w:tcPr>
            <w:tcW w:w="2268" w:type="dxa"/>
            <w:tcBorders>
              <w:bottom w:val="single" w:sz="4" w:space="0" w:color="1B556B" w:themeColor="text2"/>
            </w:tcBorders>
            <w:noWrap/>
          </w:tcPr>
          <w:p w14:paraId="414D775D" w14:textId="77777777" w:rsidR="007C259A" w:rsidRPr="00BD16B4" w:rsidRDefault="007C259A" w:rsidP="000417E8">
            <w:pPr>
              <w:pStyle w:val="TableText"/>
              <w:keepNext/>
              <w:spacing w:line="220" w:lineRule="atLeast"/>
              <w:jc w:val="center"/>
              <w:rPr>
                <w:lang w:val="en-NZ"/>
              </w:rPr>
            </w:pPr>
            <w:r w:rsidRPr="00BD16B4">
              <w:rPr>
                <w:lang w:val="en-NZ"/>
              </w:rPr>
              <w:t>21,148.49</w:t>
            </w:r>
          </w:p>
        </w:tc>
        <w:tc>
          <w:tcPr>
            <w:tcW w:w="2268" w:type="dxa"/>
            <w:tcBorders>
              <w:bottom w:val="single" w:sz="4" w:space="0" w:color="1B556B" w:themeColor="text2"/>
            </w:tcBorders>
            <w:noWrap/>
          </w:tcPr>
          <w:p w14:paraId="53E911BC" w14:textId="77777777" w:rsidR="007C259A" w:rsidRPr="00BD16B4" w:rsidRDefault="007C259A" w:rsidP="000417E8">
            <w:pPr>
              <w:pStyle w:val="TableText"/>
              <w:keepNext/>
              <w:spacing w:line="220" w:lineRule="atLeast"/>
              <w:jc w:val="center"/>
              <w:rPr>
                <w:lang w:val="en-NZ"/>
              </w:rPr>
            </w:pPr>
            <w:r w:rsidRPr="00BD16B4">
              <w:rPr>
                <w:lang w:val="en-NZ"/>
              </w:rPr>
              <w:t>207.12</w:t>
            </w:r>
          </w:p>
        </w:tc>
        <w:tc>
          <w:tcPr>
            <w:tcW w:w="2126" w:type="dxa"/>
            <w:tcBorders>
              <w:bottom w:val="single" w:sz="4" w:space="0" w:color="1B556B" w:themeColor="text2"/>
            </w:tcBorders>
            <w:noWrap/>
          </w:tcPr>
          <w:p w14:paraId="2F5A492B" w14:textId="77777777" w:rsidR="007C259A" w:rsidRPr="00BD16B4" w:rsidRDefault="007C259A" w:rsidP="000417E8">
            <w:pPr>
              <w:pStyle w:val="TableText"/>
              <w:keepNext/>
              <w:spacing w:line="220" w:lineRule="atLeast"/>
              <w:jc w:val="center"/>
              <w:rPr>
                <w:lang w:val="en-NZ"/>
              </w:rPr>
            </w:pPr>
            <w:r w:rsidRPr="00BD16B4">
              <w:rPr>
                <w:lang w:val="en-NZ"/>
              </w:rPr>
              <w:t>92.83</w:t>
            </w:r>
          </w:p>
        </w:tc>
      </w:tr>
      <w:tr w:rsidR="007C259A" w:rsidRPr="00BD16B4" w14:paraId="64322412" w14:textId="77777777" w:rsidTr="00BB7302">
        <w:tc>
          <w:tcPr>
            <w:tcW w:w="1843" w:type="dxa"/>
            <w:noWrap/>
          </w:tcPr>
          <w:p w14:paraId="16622636" w14:textId="77777777" w:rsidR="007C259A" w:rsidRPr="00BD16B4" w:rsidRDefault="007C259A" w:rsidP="000417E8">
            <w:pPr>
              <w:pStyle w:val="TableText"/>
              <w:keepNext/>
              <w:spacing w:line="220" w:lineRule="atLeast"/>
              <w:rPr>
                <w:lang w:val="en-NZ"/>
              </w:rPr>
            </w:pPr>
            <w:r w:rsidRPr="00BD16B4">
              <w:rPr>
                <w:lang w:val="en-NZ"/>
              </w:rPr>
              <w:t>2035</w:t>
            </w:r>
          </w:p>
        </w:tc>
        <w:tc>
          <w:tcPr>
            <w:tcW w:w="2268" w:type="dxa"/>
            <w:noWrap/>
          </w:tcPr>
          <w:p w14:paraId="4E60AEE6" w14:textId="77777777" w:rsidR="007C259A" w:rsidRPr="00BD16B4" w:rsidRDefault="007C259A" w:rsidP="000417E8">
            <w:pPr>
              <w:pStyle w:val="TableText"/>
              <w:keepNext/>
              <w:spacing w:line="220" w:lineRule="atLeast"/>
              <w:jc w:val="center"/>
              <w:rPr>
                <w:lang w:val="en-NZ"/>
              </w:rPr>
            </w:pPr>
            <w:r w:rsidRPr="00BD16B4">
              <w:rPr>
                <w:lang w:val="en-NZ"/>
              </w:rPr>
              <w:t>20,149.28</w:t>
            </w:r>
          </w:p>
        </w:tc>
        <w:tc>
          <w:tcPr>
            <w:tcW w:w="2268" w:type="dxa"/>
            <w:noWrap/>
          </w:tcPr>
          <w:p w14:paraId="6E2279C1" w14:textId="77777777" w:rsidR="007C259A" w:rsidRPr="00BD16B4" w:rsidRDefault="007C259A" w:rsidP="000417E8">
            <w:pPr>
              <w:pStyle w:val="TableText"/>
              <w:keepNext/>
              <w:spacing w:line="220" w:lineRule="atLeast"/>
              <w:jc w:val="center"/>
              <w:rPr>
                <w:lang w:val="en-NZ"/>
              </w:rPr>
            </w:pPr>
            <w:r w:rsidRPr="00BD16B4">
              <w:rPr>
                <w:lang w:val="en-NZ"/>
              </w:rPr>
              <w:t>188.00</w:t>
            </w:r>
          </w:p>
        </w:tc>
        <w:tc>
          <w:tcPr>
            <w:tcW w:w="2126" w:type="dxa"/>
            <w:noWrap/>
          </w:tcPr>
          <w:p w14:paraId="3BA5D6E7" w14:textId="77777777" w:rsidR="007C259A" w:rsidRPr="00BD16B4" w:rsidRDefault="007C259A" w:rsidP="000417E8">
            <w:pPr>
              <w:pStyle w:val="TableText"/>
              <w:keepNext/>
              <w:spacing w:line="220" w:lineRule="atLeast"/>
              <w:jc w:val="center"/>
              <w:rPr>
                <w:lang w:val="en-NZ"/>
              </w:rPr>
            </w:pPr>
            <w:r w:rsidRPr="00BD16B4">
              <w:rPr>
                <w:lang w:val="en-NZ"/>
              </w:rPr>
              <w:t>75.68</w:t>
            </w:r>
          </w:p>
        </w:tc>
      </w:tr>
      <w:tr w:rsidR="007C259A" w:rsidRPr="00BD16B4" w14:paraId="7B2EED93" w14:textId="77777777" w:rsidTr="00BB7302">
        <w:tc>
          <w:tcPr>
            <w:tcW w:w="1843" w:type="dxa"/>
            <w:tcBorders>
              <w:bottom w:val="single" w:sz="4" w:space="0" w:color="1B556B" w:themeColor="text2"/>
            </w:tcBorders>
            <w:noWrap/>
            <w:hideMark/>
          </w:tcPr>
          <w:p w14:paraId="729EC3AB" w14:textId="77777777" w:rsidR="007C259A" w:rsidRPr="00BD16B4" w:rsidRDefault="007C259A" w:rsidP="000417E8">
            <w:pPr>
              <w:pStyle w:val="TableText"/>
              <w:spacing w:line="220" w:lineRule="atLeast"/>
              <w:rPr>
                <w:lang w:val="en-NZ"/>
              </w:rPr>
            </w:pPr>
            <w:r w:rsidRPr="00BD16B4">
              <w:rPr>
                <w:lang w:val="en-NZ"/>
              </w:rPr>
              <w:t>Change 2020–35 (%)</w:t>
            </w:r>
          </w:p>
        </w:tc>
        <w:tc>
          <w:tcPr>
            <w:tcW w:w="2268" w:type="dxa"/>
            <w:tcBorders>
              <w:bottom w:val="single" w:sz="4" w:space="0" w:color="1B556B" w:themeColor="text2"/>
            </w:tcBorders>
            <w:noWrap/>
          </w:tcPr>
          <w:p w14:paraId="4FC55DFF" w14:textId="77777777" w:rsidR="007C259A" w:rsidRPr="00BD16B4" w:rsidRDefault="007C259A" w:rsidP="000417E8">
            <w:pPr>
              <w:pStyle w:val="TableText"/>
              <w:spacing w:line="220" w:lineRule="atLeast"/>
              <w:jc w:val="center"/>
              <w:rPr>
                <w:lang w:val="en-NZ"/>
              </w:rPr>
            </w:pPr>
            <w:r w:rsidRPr="00BD16B4">
              <w:rPr>
                <w:lang w:val="en-NZ"/>
              </w:rPr>
              <w:t>–4.7 %</w:t>
            </w:r>
          </w:p>
        </w:tc>
        <w:tc>
          <w:tcPr>
            <w:tcW w:w="2268" w:type="dxa"/>
            <w:tcBorders>
              <w:bottom w:val="single" w:sz="4" w:space="0" w:color="1B556B" w:themeColor="text2"/>
            </w:tcBorders>
            <w:noWrap/>
          </w:tcPr>
          <w:p w14:paraId="61B3E89C" w14:textId="77777777" w:rsidR="007C259A" w:rsidRPr="00BD16B4" w:rsidRDefault="007C259A" w:rsidP="000417E8">
            <w:pPr>
              <w:pStyle w:val="TableText"/>
              <w:spacing w:line="220" w:lineRule="atLeast"/>
              <w:jc w:val="center"/>
              <w:rPr>
                <w:lang w:val="en-NZ"/>
              </w:rPr>
            </w:pPr>
            <w:r w:rsidRPr="00BD16B4">
              <w:rPr>
                <w:lang w:val="en-NZ"/>
              </w:rPr>
              <w:t>–9.2 %</w:t>
            </w:r>
          </w:p>
        </w:tc>
        <w:tc>
          <w:tcPr>
            <w:tcW w:w="2126" w:type="dxa"/>
            <w:tcBorders>
              <w:bottom w:val="single" w:sz="4" w:space="0" w:color="1B556B" w:themeColor="text2"/>
            </w:tcBorders>
            <w:noWrap/>
          </w:tcPr>
          <w:p w14:paraId="4DEF94DE" w14:textId="77777777" w:rsidR="007C259A" w:rsidRPr="00BD16B4" w:rsidRDefault="007C259A" w:rsidP="000417E8">
            <w:pPr>
              <w:pStyle w:val="TableText"/>
              <w:spacing w:line="220" w:lineRule="atLeast"/>
              <w:jc w:val="center"/>
              <w:rPr>
                <w:lang w:val="en-NZ"/>
              </w:rPr>
            </w:pPr>
            <w:r w:rsidRPr="00BD16B4">
              <w:rPr>
                <w:lang w:val="en-NZ"/>
              </w:rPr>
              <w:t>–18.5 %</w:t>
            </w:r>
          </w:p>
        </w:tc>
      </w:tr>
      <w:tr w:rsidR="007C259A" w:rsidRPr="00BD16B4" w14:paraId="57D2E1FC" w14:textId="77777777" w:rsidTr="00BB7302">
        <w:tc>
          <w:tcPr>
            <w:tcW w:w="8505" w:type="dxa"/>
            <w:gridSpan w:val="4"/>
            <w:shd w:val="clear" w:color="auto" w:fill="1B556B" w:themeFill="text2"/>
            <w:noWrap/>
            <w:hideMark/>
          </w:tcPr>
          <w:p w14:paraId="525D13F1" w14:textId="77777777" w:rsidR="007C259A" w:rsidRPr="00BD16B4" w:rsidRDefault="007C259A" w:rsidP="000417E8">
            <w:pPr>
              <w:pStyle w:val="TableTextBold0"/>
              <w:spacing w:line="220" w:lineRule="atLeast"/>
              <w:rPr>
                <w:b w:val="0"/>
                <w:color w:val="FFFFFF" w:themeColor="background1"/>
                <w:lang w:val="en-NZ"/>
              </w:rPr>
            </w:pPr>
            <w:r w:rsidRPr="00BD16B4">
              <w:rPr>
                <w:color w:val="FFFFFF" w:themeColor="background1"/>
                <w:lang w:val="en-NZ"/>
              </w:rPr>
              <w:t>Projected change in animal numbers (thousands)</w:t>
            </w:r>
          </w:p>
        </w:tc>
      </w:tr>
      <w:tr w:rsidR="007C259A" w:rsidRPr="00BD16B4" w14:paraId="2609D318" w14:textId="77777777" w:rsidTr="00BB7302">
        <w:tc>
          <w:tcPr>
            <w:tcW w:w="1843" w:type="dxa"/>
            <w:noWrap/>
          </w:tcPr>
          <w:p w14:paraId="50346DCB" w14:textId="77777777" w:rsidR="007C259A" w:rsidRPr="00BD16B4" w:rsidRDefault="007C259A" w:rsidP="000417E8">
            <w:pPr>
              <w:pStyle w:val="TableTextBold0"/>
              <w:spacing w:line="220" w:lineRule="atLeast"/>
              <w:rPr>
                <w:lang w:val="en-NZ"/>
              </w:rPr>
            </w:pPr>
          </w:p>
        </w:tc>
        <w:tc>
          <w:tcPr>
            <w:tcW w:w="2268" w:type="dxa"/>
            <w:noWrap/>
          </w:tcPr>
          <w:p w14:paraId="0664D825" w14:textId="77777777" w:rsidR="007C259A" w:rsidRPr="00BD16B4" w:rsidRDefault="007C259A" w:rsidP="000417E8">
            <w:pPr>
              <w:pStyle w:val="TableTextBold0"/>
              <w:spacing w:line="220" w:lineRule="atLeast"/>
              <w:jc w:val="center"/>
              <w:rPr>
                <w:lang w:val="en-NZ"/>
              </w:rPr>
            </w:pPr>
            <w:r w:rsidRPr="00BD16B4">
              <w:rPr>
                <w:lang w:val="en-NZ"/>
              </w:rPr>
              <w:t>Dairy cattle</w:t>
            </w:r>
          </w:p>
        </w:tc>
        <w:tc>
          <w:tcPr>
            <w:tcW w:w="2268" w:type="dxa"/>
            <w:noWrap/>
          </w:tcPr>
          <w:p w14:paraId="65C4BD49" w14:textId="77777777" w:rsidR="007C259A" w:rsidRPr="00BD16B4" w:rsidRDefault="007C259A" w:rsidP="000417E8">
            <w:pPr>
              <w:pStyle w:val="TableTextBold0"/>
              <w:spacing w:line="220" w:lineRule="atLeast"/>
              <w:jc w:val="center"/>
              <w:rPr>
                <w:lang w:val="en-NZ"/>
              </w:rPr>
            </w:pPr>
            <w:r w:rsidRPr="00BD16B4">
              <w:rPr>
                <w:lang w:val="en-NZ"/>
              </w:rPr>
              <w:t>Beef cattle</w:t>
            </w:r>
          </w:p>
        </w:tc>
        <w:tc>
          <w:tcPr>
            <w:tcW w:w="2126" w:type="dxa"/>
            <w:noWrap/>
          </w:tcPr>
          <w:p w14:paraId="479E7C0D" w14:textId="77777777" w:rsidR="007C259A" w:rsidRPr="00BD16B4" w:rsidRDefault="007C259A" w:rsidP="000417E8">
            <w:pPr>
              <w:pStyle w:val="TableTextBold0"/>
              <w:spacing w:line="220" w:lineRule="atLeast"/>
              <w:jc w:val="center"/>
              <w:rPr>
                <w:lang w:val="en-NZ"/>
              </w:rPr>
            </w:pPr>
            <w:r w:rsidRPr="00BD16B4">
              <w:rPr>
                <w:lang w:val="en-NZ"/>
              </w:rPr>
              <w:t>Sheep</w:t>
            </w:r>
          </w:p>
        </w:tc>
      </w:tr>
      <w:tr w:rsidR="007C259A" w:rsidRPr="00BD16B4" w14:paraId="6C3A1E25" w14:textId="77777777" w:rsidTr="00BB7302">
        <w:tc>
          <w:tcPr>
            <w:tcW w:w="1843" w:type="dxa"/>
            <w:noWrap/>
          </w:tcPr>
          <w:p w14:paraId="61F4076C" w14:textId="77777777" w:rsidR="007C259A" w:rsidRPr="00BD16B4" w:rsidRDefault="007C259A" w:rsidP="000417E8">
            <w:pPr>
              <w:pStyle w:val="TableText"/>
              <w:spacing w:line="220" w:lineRule="atLeast"/>
              <w:rPr>
                <w:lang w:val="en-NZ"/>
              </w:rPr>
            </w:pPr>
            <w:r w:rsidRPr="00BD16B4">
              <w:rPr>
                <w:lang w:val="en-NZ"/>
              </w:rPr>
              <w:t>2020</w:t>
            </w:r>
          </w:p>
        </w:tc>
        <w:tc>
          <w:tcPr>
            <w:tcW w:w="2268" w:type="dxa"/>
            <w:noWrap/>
          </w:tcPr>
          <w:p w14:paraId="69CDB3EA" w14:textId="77777777" w:rsidR="007C259A" w:rsidRPr="00BD16B4" w:rsidRDefault="007C259A" w:rsidP="000417E8">
            <w:pPr>
              <w:pStyle w:val="TableText"/>
              <w:spacing w:line="220" w:lineRule="atLeast"/>
              <w:jc w:val="center"/>
              <w:rPr>
                <w:lang w:val="en-NZ"/>
              </w:rPr>
            </w:pPr>
            <w:r w:rsidRPr="00BD16B4">
              <w:rPr>
                <w:lang w:val="en-NZ"/>
              </w:rPr>
              <w:t>6,361.40</w:t>
            </w:r>
          </w:p>
        </w:tc>
        <w:tc>
          <w:tcPr>
            <w:tcW w:w="2268" w:type="dxa"/>
            <w:noWrap/>
          </w:tcPr>
          <w:p w14:paraId="137C179D" w14:textId="77777777" w:rsidR="007C259A" w:rsidRPr="00BD16B4" w:rsidRDefault="007C259A" w:rsidP="000417E8">
            <w:pPr>
              <w:pStyle w:val="TableText"/>
              <w:spacing w:line="220" w:lineRule="atLeast"/>
              <w:jc w:val="center"/>
              <w:rPr>
                <w:lang w:val="en-NZ"/>
              </w:rPr>
            </w:pPr>
            <w:r w:rsidRPr="00BD16B4">
              <w:rPr>
                <w:lang w:val="en-NZ"/>
              </w:rPr>
              <w:t>3,889.99</w:t>
            </w:r>
          </w:p>
        </w:tc>
        <w:tc>
          <w:tcPr>
            <w:tcW w:w="2126" w:type="dxa"/>
            <w:noWrap/>
          </w:tcPr>
          <w:p w14:paraId="1AA2A254" w14:textId="77777777" w:rsidR="007C259A" w:rsidRPr="00BD16B4" w:rsidRDefault="007C259A" w:rsidP="000417E8">
            <w:pPr>
              <w:pStyle w:val="TableText"/>
              <w:spacing w:line="220" w:lineRule="atLeast"/>
              <w:jc w:val="center"/>
              <w:rPr>
                <w:lang w:val="en-NZ"/>
              </w:rPr>
            </w:pPr>
            <w:r w:rsidRPr="00BD16B4">
              <w:rPr>
                <w:lang w:val="en-NZ"/>
              </w:rPr>
              <w:t>26,821.85</w:t>
            </w:r>
          </w:p>
        </w:tc>
      </w:tr>
      <w:tr w:rsidR="007C259A" w:rsidRPr="00BD16B4" w14:paraId="271F2C45" w14:textId="77777777" w:rsidTr="00BB7302">
        <w:tc>
          <w:tcPr>
            <w:tcW w:w="1843" w:type="dxa"/>
            <w:noWrap/>
          </w:tcPr>
          <w:p w14:paraId="0CA36309" w14:textId="77777777" w:rsidR="007C259A" w:rsidRPr="00BD16B4" w:rsidRDefault="007C259A" w:rsidP="000417E8">
            <w:pPr>
              <w:pStyle w:val="TableText"/>
              <w:spacing w:line="220" w:lineRule="atLeast"/>
              <w:rPr>
                <w:lang w:val="en-NZ"/>
              </w:rPr>
            </w:pPr>
            <w:r w:rsidRPr="00BD16B4">
              <w:rPr>
                <w:lang w:val="en-NZ"/>
              </w:rPr>
              <w:t>2035</w:t>
            </w:r>
          </w:p>
        </w:tc>
        <w:tc>
          <w:tcPr>
            <w:tcW w:w="2268" w:type="dxa"/>
            <w:noWrap/>
          </w:tcPr>
          <w:p w14:paraId="731B11D4" w14:textId="77777777" w:rsidR="007C259A" w:rsidRPr="00BD16B4" w:rsidRDefault="007C259A" w:rsidP="000417E8">
            <w:pPr>
              <w:pStyle w:val="TableText"/>
              <w:spacing w:line="220" w:lineRule="atLeast"/>
              <w:jc w:val="center"/>
              <w:rPr>
                <w:lang w:val="en-NZ"/>
              </w:rPr>
            </w:pPr>
            <w:r w:rsidRPr="00BD16B4">
              <w:rPr>
                <w:lang w:val="en-NZ"/>
              </w:rPr>
              <w:t>5,708.64</w:t>
            </w:r>
          </w:p>
        </w:tc>
        <w:tc>
          <w:tcPr>
            <w:tcW w:w="2268" w:type="dxa"/>
            <w:noWrap/>
          </w:tcPr>
          <w:p w14:paraId="7087EFBE" w14:textId="77777777" w:rsidR="007C259A" w:rsidRPr="00BD16B4" w:rsidRDefault="007C259A" w:rsidP="000417E8">
            <w:pPr>
              <w:pStyle w:val="TableText"/>
              <w:spacing w:line="220" w:lineRule="atLeast"/>
              <w:jc w:val="center"/>
              <w:rPr>
                <w:lang w:val="en-NZ"/>
              </w:rPr>
            </w:pPr>
            <w:r w:rsidRPr="00BD16B4">
              <w:rPr>
                <w:lang w:val="en-NZ"/>
              </w:rPr>
              <w:t>3,272.62</w:t>
            </w:r>
          </w:p>
        </w:tc>
        <w:tc>
          <w:tcPr>
            <w:tcW w:w="2126" w:type="dxa"/>
            <w:noWrap/>
          </w:tcPr>
          <w:p w14:paraId="2A05446F" w14:textId="77777777" w:rsidR="007C259A" w:rsidRPr="00BD16B4" w:rsidRDefault="007C259A" w:rsidP="000417E8">
            <w:pPr>
              <w:pStyle w:val="TableText"/>
              <w:spacing w:line="220" w:lineRule="atLeast"/>
              <w:jc w:val="center"/>
              <w:rPr>
                <w:lang w:val="en-NZ"/>
              </w:rPr>
            </w:pPr>
            <w:r w:rsidRPr="00BD16B4">
              <w:rPr>
                <w:lang w:val="en-NZ"/>
              </w:rPr>
              <w:t>21,074.85</w:t>
            </w:r>
          </w:p>
        </w:tc>
      </w:tr>
      <w:tr w:rsidR="007C259A" w:rsidRPr="00BD16B4" w14:paraId="1CAA1697" w14:textId="77777777" w:rsidTr="00BB7302">
        <w:tc>
          <w:tcPr>
            <w:tcW w:w="1843" w:type="dxa"/>
            <w:noWrap/>
            <w:hideMark/>
          </w:tcPr>
          <w:p w14:paraId="71F213A7" w14:textId="77777777" w:rsidR="007C259A" w:rsidRPr="00BD16B4" w:rsidRDefault="007C259A" w:rsidP="000417E8">
            <w:pPr>
              <w:pStyle w:val="TableText"/>
              <w:spacing w:line="220" w:lineRule="atLeast"/>
              <w:rPr>
                <w:lang w:val="en-NZ"/>
              </w:rPr>
            </w:pPr>
            <w:r w:rsidRPr="00BD16B4">
              <w:rPr>
                <w:lang w:val="en-NZ"/>
              </w:rPr>
              <w:t>Change 2020–35 (%)</w:t>
            </w:r>
          </w:p>
        </w:tc>
        <w:tc>
          <w:tcPr>
            <w:tcW w:w="2268" w:type="dxa"/>
            <w:noWrap/>
          </w:tcPr>
          <w:p w14:paraId="6EE8DD89" w14:textId="77777777" w:rsidR="007C259A" w:rsidRPr="00BD16B4" w:rsidRDefault="007C259A" w:rsidP="000417E8">
            <w:pPr>
              <w:pStyle w:val="TableText"/>
              <w:spacing w:line="220" w:lineRule="atLeast"/>
              <w:jc w:val="center"/>
              <w:rPr>
                <w:lang w:val="en-NZ"/>
              </w:rPr>
            </w:pPr>
            <w:r w:rsidRPr="00BD16B4">
              <w:rPr>
                <w:lang w:val="en-NZ"/>
              </w:rPr>
              <w:t>–10.3 %</w:t>
            </w:r>
          </w:p>
        </w:tc>
        <w:tc>
          <w:tcPr>
            <w:tcW w:w="2268" w:type="dxa"/>
            <w:noWrap/>
          </w:tcPr>
          <w:p w14:paraId="7687B1F3" w14:textId="77777777" w:rsidR="007C259A" w:rsidRPr="00BD16B4" w:rsidRDefault="007C259A" w:rsidP="000417E8">
            <w:pPr>
              <w:pStyle w:val="TableText"/>
              <w:spacing w:line="220" w:lineRule="atLeast"/>
              <w:jc w:val="center"/>
              <w:rPr>
                <w:lang w:val="en-NZ"/>
              </w:rPr>
            </w:pPr>
            <w:r w:rsidRPr="00BD16B4">
              <w:rPr>
                <w:lang w:val="en-NZ"/>
              </w:rPr>
              <w:t>–15.9 %</w:t>
            </w:r>
          </w:p>
        </w:tc>
        <w:tc>
          <w:tcPr>
            <w:tcW w:w="2126" w:type="dxa"/>
            <w:noWrap/>
          </w:tcPr>
          <w:p w14:paraId="4EC2A7BE" w14:textId="77777777" w:rsidR="007C259A" w:rsidRPr="00BD16B4" w:rsidRDefault="007C259A" w:rsidP="000417E8">
            <w:pPr>
              <w:pStyle w:val="TableText"/>
              <w:spacing w:line="220" w:lineRule="atLeast"/>
              <w:jc w:val="center"/>
              <w:rPr>
                <w:lang w:val="en-NZ"/>
              </w:rPr>
            </w:pPr>
            <w:r w:rsidRPr="00BD16B4">
              <w:rPr>
                <w:lang w:val="en-NZ"/>
              </w:rPr>
              <w:t>–21.4 %</w:t>
            </w:r>
          </w:p>
        </w:tc>
      </w:tr>
    </w:tbl>
    <w:p w14:paraId="44316E48" w14:textId="77777777" w:rsidR="007C259A" w:rsidRPr="00BD16B4" w:rsidRDefault="007C259A" w:rsidP="00120409">
      <w:pPr>
        <w:pStyle w:val="Note"/>
      </w:pPr>
      <w:r w:rsidRPr="00BD16B4">
        <w:rPr>
          <w:b/>
          <w:bCs/>
        </w:rPr>
        <w:t>Note:</w:t>
      </w:r>
      <w:r w:rsidRPr="00BD16B4">
        <w:t xml:space="preserve"> * Includes meat from adult beef cattle, heifers, steers and bulls. ** Includes mutton and lamb. kg = kilogram; kt CO</w:t>
      </w:r>
      <w:r w:rsidRPr="00BD16B4">
        <w:rPr>
          <w:vertAlign w:val="subscript"/>
        </w:rPr>
        <w:t>2</w:t>
      </w:r>
      <w:r w:rsidRPr="00BD16B4">
        <w:t>-e = kilotonnes of carbon dioxide equivalent.</w:t>
      </w:r>
    </w:p>
    <w:p w14:paraId="37608850" w14:textId="77777777" w:rsidR="007C259A" w:rsidRPr="00BD16B4" w:rsidRDefault="007C259A" w:rsidP="004E1B8C">
      <w:pPr>
        <w:pStyle w:val="Heading4"/>
      </w:pPr>
      <w:r w:rsidRPr="00BD16B4">
        <w:t xml:space="preserve">Differences from the </w:t>
      </w:r>
      <w:r w:rsidRPr="00BD16B4">
        <w:rPr>
          <w:i/>
          <w:iCs/>
        </w:rPr>
        <w:t>Fourth Biennial Report</w:t>
      </w:r>
    </w:p>
    <w:p w14:paraId="0D5A3BD5" w14:textId="77777777" w:rsidR="007C259A" w:rsidRPr="00BD16B4" w:rsidRDefault="007C259A" w:rsidP="007C259A">
      <w:pPr>
        <w:pStyle w:val="BodyText"/>
      </w:pPr>
      <w:r w:rsidRPr="00BD16B4">
        <w:t xml:space="preserve">The differences between the projected emissions and removals in the </w:t>
      </w:r>
      <w:r w:rsidRPr="00BD16B4">
        <w:rPr>
          <w:i/>
          <w:iCs/>
        </w:rPr>
        <w:t>Fourth Biennial Report</w:t>
      </w:r>
      <w:r w:rsidRPr="00BD16B4">
        <w:rPr>
          <w:rStyle w:val="FootnoteReference"/>
        </w:rPr>
        <w:footnoteReference w:id="241"/>
      </w:r>
      <w:r w:rsidRPr="00BD16B4">
        <w:rPr>
          <w:iCs/>
        </w:rPr>
        <w:t> </w:t>
      </w:r>
      <w:r w:rsidRPr="00BD16B4">
        <w:t xml:space="preserve">and the </w:t>
      </w:r>
      <w:r w:rsidRPr="00BD16B4">
        <w:rPr>
          <w:i/>
          <w:iCs/>
        </w:rPr>
        <w:t xml:space="preserve">Fifth Biennial Report </w:t>
      </w:r>
      <w:r w:rsidRPr="00BD16B4">
        <w:t xml:space="preserve">for the agriculture sector are due to improvements in methodologies, emission factors and projections of future agricultural activity. </w:t>
      </w:r>
    </w:p>
    <w:p w14:paraId="59B61AE4" w14:textId="77777777" w:rsidR="007C259A" w:rsidRPr="00BD16B4" w:rsidRDefault="007C259A" w:rsidP="007C259A">
      <w:pPr>
        <w:pStyle w:val="BodyText"/>
      </w:pPr>
      <w:r w:rsidRPr="00BD16B4">
        <w:t>The new WEM projections have altered the expected effects of implementing the National Policy Statement for Freshwater Management (NPS-FM)</w:t>
      </w:r>
      <w:r w:rsidRPr="00BD16B4">
        <w:rPr>
          <w:rStyle w:val="FootnoteReference"/>
        </w:rPr>
        <w:footnoteReference w:id="242"/>
      </w:r>
      <w:r w:rsidRPr="00BD16B4">
        <w:t xml:space="preserve"> and the effects of forestry policies and schemes on agricultural land use. Some of the more significant changes are summarised below. More detailed explanations on methodological and emission factor changes are contained in New Zealand’s greenhouse gas inventories from 2020 to 2022.</w:t>
      </w:r>
      <w:r w:rsidRPr="00BD16B4">
        <w:rPr>
          <w:rStyle w:val="FootnoteReference"/>
        </w:rPr>
        <w:footnoteReference w:id="243"/>
      </w:r>
    </w:p>
    <w:p w14:paraId="3A3285BA" w14:textId="77777777" w:rsidR="007C259A" w:rsidRPr="00BD16B4" w:rsidRDefault="007C259A" w:rsidP="00BB33B9">
      <w:pPr>
        <w:pStyle w:val="Heading5"/>
      </w:pPr>
      <w:r w:rsidRPr="00BD16B4">
        <w:lastRenderedPageBreak/>
        <w:t>Changes in methodologies and emission factors</w:t>
      </w:r>
    </w:p>
    <w:p w14:paraId="3F4115CC" w14:textId="77777777" w:rsidR="007C259A" w:rsidRPr="00BD16B4" w:rsidRDefault="007C259A" w:rsidP="001F4E1B">
      <w:pPr>
        <w:pStyle w:val="BodyText"/>
        <w:spacing w:after="100"/>
        <w:rPr>
          <w:rFonts w:asciiTheme="minorHAnsi" w:hAnsiTheme="minorHAnsi" w:cstheme="minorHAnsi"/>
        </w:rPr>
      </w:pPr>
      <w:r w:rsidRPr="00BD16B4">
        <w:t xml:space="preserve">The following changes to New Zealand’s agriculture inventory were implemented after the publication of the </w:t>
      </w:r>
      <w:r w:rsidRPr="00BD16B4">
        <w:rPr>
          <w:i/>
          <w:iCs/>
        </w:rPr>
        <w:t xml:space="preserve">Fourth </w:t>
      </w:r>
      <w:r w:rsidRPr="00BD16B4">
        <w:rPr>
          <w:rFonts w:asciiTheme="minorHAnsi" w:hAnsiTheme="minorHAnsi"/>
          <w:i/>
          <w:iCs/>
        </w:rPr>
        <w:t>Biennial Report</w:t>
      </w:r>
      <w:r w:rsidRPr="00BD16B4">
        <w:rPr>
          <w:rFonts w:asciiTheme="minorHAnsi" w:hAnsiTheme="minorHAnsi"/>
        </w:rPr>
        <w:t>:</w:t>
      </w:r>
      <w:r w:rsidRPr="00BD16B4">
        <w:rPr>
          <w:rStyle w:val="FootnoteReference"/>
          <w:rFonts w:asciiTheme="minorHAnsi" w:hAnsiTheme="minorHAnsi" w:cstheme="minorHAnsi"/>
          <w:iCs/>
        </w:rPr>
        <w:footnoteReference w:id="244"/>
      </w:r>
    </w:p>
    <w:p w14:paraId="3EEE1C29" w14:textId="77777777" w:rsidR="007C259A" w:rsidRPr="00BD16B4" w:rsidRDefault="007C259A" w:rsidP="001F4E1B">
      <w:pPr>
        <w:pStyle w:val="Bullet"/>
        <w:spacing w:after="100"/>
      </w:pPr>
      <w:r w:rsidRPr="00BD16B4">
        <w:t>use of revised activity data for the proportion of dairy goats in the overall farmed goat population</w:t>
      </w:r>
    </w:p>
    <w:p w14:paraId="4FBB1DB2" w14:textId="77777777" w:rsidR="007C259A" w:rsidRPr="00BD16B4" w:rsidRDefault="007C259A" w:rsidP="001F4E1B">
      <w:pPr>
        <w:pStyle w:val="Bullet"/>
        <w:spacing w:after="100"/>
      </w:pPr>
      <w:r w:rsidRPr="00BD16B4">
        <w:t>improvements to the equations used to estimate energy efficiency for maintenance for cattle, sheep and deer</w:t>
      </w:r>
    </w:p>
    <w:p w14:paraId="586F1678" w14:textId="4E426866" w:rsidR="007C259A" w:rsidRPr="00BD16B4" w:rsidRDefault="007C259A" w:rsidP="001F4E1B">
      <w:pPr>
        <w:pStyle w:val="Bullet"/>
        <w:spacing w:after="100"/>
      </w:pPr>
      <w:r w:rsidRPr="00BD16B4">
        <w:t>revised N</w:t>
      </w:r>
      <w:r w:rsidRPr="00BD16B4">
        <w:rPr>
          <w:vertAlign w:val="subscript"/>
        </w:rPr>
        <w:t>2</w:t>
      </w:r>
      <w:r w:rsidRPr="00BD16B4">
        <w:t>O emission factors for livestock excreta, as well as an updated methodology for</w:t>
      </w:r>
      <w:r w:rsidR="004D0650" w:rsidRPr="00BD16B4">
        <w:t> </w:t>
      </w:r>
      <w:r w:rsidRPr="00BD16B4">
        <w:t>allocating excreta to different hill slopes</w:t>
      </w:r>
    </w:p>
    <w:p w14:paraId="38BDED82" w14:textId="77777777" w:rsidR="007C259A" w:rsidRPr="00BD16B4" w:rsidRDefault="007C259A" w:rsidP="001F4E1B">
      <w:pPr>
        <w:pStyle w:val="Bullet"/>
        <w:spacing w:after="100"/>
      </w:pPr>
      <w:r w:rsidRPr="00BD16B4">
        <w:t>a minor correction to the sheep nitrogen excretion calculations</w:t>
      </w:r>
    </w:p>
    <w:p w14:paraId="694D6DFD" w14:textId="77777777" w:rsidR="007C259A" w:rsidRPr="00BD16B4" w:rsidRDefault="007C259A" w:rsidP="001F4E1B">
      <w:pPr>
        <w:pStyle w:val="Bullet"/>
        <w:spacing w:after="100"/>
      </w:pPr>
      <w:r w:rsidRPr="00BD16B4">
        <w:t>updated values for pasture quality for Tier 2 livestock categories</w:t>
      </w:r>
    </w:p>
    <w:p w14:paraId="5A8173FA" w14:textId="77777777" w:rsidR="007C259A" w:rsidRPr="00BD16B4" w:rsidRDefault="007C259A" w:rsidP="001F4E1B">
      <w:pPr>
        <w:pStyle w:val="Bullet"/>
        <w:spacing w:after="100"/>
      </w:pPr>
      <w:r w:rsidRPr="00BD16B4">
        <w:t>updating the activity data for organic soils</w:t>
      </w:r>
    </w:p>
    <w:p w14:paraId="334B1B55" w14:textId="77777777" w:rsidR="007C259A" w:rsidRPr="00BD16B4" w:rsidRDefault="007C259A" w:rsidP="001F4E1B">
      <w:pPr>
        <w:pStyle w:val="Bullet"/>
        <w:spacing w:after="100"/>
      </w:pPr>
      <w:r w:rsidRPr="00BD16B4">
        <w:t>refining estimates of nitrogen leaching for cropping systems</w:t>
      </w:r>
    </w:p>
    <w:p w14:paraId="636459BA" w14:textId="77777777" w:rsidR="007C259A" w:rsidRPr="00BD16B4" w:rsidRDefault="007C259A" w:rsidP="0011037B">
      <w:pPr>
        <w:pStyle w:val="Bullet"/>
      </w:pPr>
      <w:r w:rsidRPr="00BD16B4">
        <w:t>updating the assumptions regarding the purity of agricultural lime.</w:t>
      </w:r>
    </w:p>
    <w:p w14:paraId="1BD32A36" w14:textId="77777777" w:rsidR="007C259A" w:rsidRPr="00BD16B4" w:rsidRDefault="007C259A" w:rsidP="00BB33B9">
      <w:pPr>
        <w:pStyle w:val="Heading5"/>
      </w:pPr>
      <w:r w:rsidRPr="00BD16B4">
        <w:t xml:space="preserve">Projections of future agricultural activity </w:t>
      </w:r>
    </w:p>
    <w:p w14:paraId="0F0713D7" w14:textId="77777777" w:rsidR="007C259A" w:rsidRPr="00BD16B4" w:rsidRDefault="007C259A" w:rsidP="007C259A">
      <w:pPr>
        <w:pStyle w:val="BodyText"/>
        <w:keepLines/>
        <w:spacing w:before="100" w:after="100"/>
      </w:pPr>
      <w:r w:rsidRPr="00BD16B4">
        <w:t>Differences in emissions projections are also due to recent improvements in the PSRM (eg, new data, equations and assumptions), which is used to provide projections of agricultural activity data. This also includes more recent afforestation data, which are assumed to displace agricultural livestock. Recent projections from this model now have a small decrease for future dairy production, compared with projections used in previous national communications and biennial reports.</w:t>
      </w:r>
    </w:p>
    <w:p w14:paraId="1D90D7C1" w14:textId="77777777" w:rsidR="007C259A" w:rsidRPr="00BD16B4" w:rsidRDefault="007C259A" w:rsidP="007C259A">
      <w:pPr>
        <w:pStyle w:val="BodyText"/>
      </w:pPr>
      <w:r w:rsidRPr="00BD16B4">
        <w:t>By combining PSRM projections with assumptions on the effect of the NPS-FM, agricultural pricing and the cap on synthetic nitrogen fertilisers, it is projected that dairy cattle populations will decline due to constraints on land availability and the introduction of water quality objectives. Sheep and beef populations will also continue to decline.</w:t>
      </w:r>
    </w:p>
    <w:p w14:paraId="58B1C6E0" w14:textId="77777777" w:rsidR="007C259A" w:rsidRPr="00BD16B4" w:rsidRDefault="007C259A" w:rsidP="00BB33B9">
      <w:pPr>
        <w:pStyle w:val="Heading5"/>
      </w:pPr>
      <w:r w:rsidRPr="00BD16B4">
        <w:t>Effect of policy measures</w:t>
      </w:r>
    </w:p>
    <w:p w14:paraId="37276F52" w14:textId="77777777" w:rsidR="007C259A" w:rsidRPr="00BD16B4" w:rsidRDefault="007C259A" w:rsidP="007C259A">
      <w:pPr>
        <w:pStyle w:val="BodyText"/>
      </w:pPr>
      <w:r w:rsidRPr="00BD16B4">
        <w:t>The new WEM projection in this report has updated the expected effects of the NPS</w:t>
      </w:r>
      <w:r w:rsidRPr="00BD16B4">
        <w:noBreakHyphen/>
        <w:t>FM based on discussions with subject matter experts. It also included an analysis on the expected impact of the cap on synthetic nitrogen fertiliser, based on farm-level data across New Zealand. It is expected that</w:t>
      </w:r>
      <w:r w:rsidRPr="00BD16B4" w:rsidDel="00C57953">
        <w:t xml:space="preserve"> </w:t>
      </w:r>
      <w:r w:rsidRPr="00BD16B4">
        <w:t>the combinations of these measures will act to reduce animal numbers and subsequently reduce production.</w:t>
      </w:r>
    </w:p>
    <w:p w14:paraId="7EE65E7F" w14:textId="77777777" w:rsidR="007C259A" w:rsidRPr="00BD16B4" w:rsidRDefault="007C259A" w:rsidP="007C259A">
      <w:pPr>
        <w:pStyle w:val="BodyText"/>
      </w:pPr>
      <w:r w:rsidRPr="00BD16B4">
        <w:t>The new projections also account for the expected indirect effects of government schemes and policies that encourage afforestation. The WEM projections also assume that agricultural emissions will be priced via the NZ ETS backstop option at a discount rate of 95 per cent. This is based on previous modelling carried out by Manaaki Whenua Landcare Research</w:t>
      </w:r>
      <w:r w:rsidRPr="00BD16B4">
        <w:rPr>
          <w:rStyle w:val="FootnoteReference"/>
        </w:rPr>
        <w:footnoteReference w:id="245"/>
      </w:r>
      <w:r w:rsidRPr="00BD16B4">
        <w:t xml:space="preserve"> and has been extrapolated to take into consideration the carbon price pathway.</w:t>
      </w:r>
    </w:p>
    <w:p w14:paraId="66C439CD" w14:textId="77777777" w:rsidR="007C259A" w:rsidRPr="00BD16B4" w:rsidRDefault="007C259A" w:rsidP="004E1B8C">
      <w:pPr>
        <w:pStyle w:val="Heading4"/>
      </w:pPr>
      <w:r w:rsidRPr="00BD16B4">
        <w:lastRenderedPageBreak/>
        <w:t>Strengths and weaknesses of models or approach</w:t>
      </w:r>
    </w:p>
    <w:p w14:paraId="10EA5D7E" w14:textId="77777777" w:rsidR="007C259A" w:rsidRPr="00BD16B4" w:rsidRDefault="007C259A" w:rsidP="007C259A">
      <w:pPr>
        <w:pStyle w:val="BodyText"/>
      </w:pPr>
      <w:r w:rsidRPr="00BD16B4">
        <w:t xml:space="preserve">The main strength of this modelling approach for agriculture emissions projections is the use of both economic modelling and expert opinion to generate activity data inputs. Outputs from the PSRM have been sense-checked and combined with insights and opinions from subject matter experts to estimate the expected effect of the NPS-FM. Another strength is the use of projection data from the LULUCF sector to help inform assumptions on agricultural land use. This ensures that the emissions projections for agriculture and LULUCF are based on consistent assumptions. </w:t>
      </w:r>
    </w:p>
    <w:p w14:paraId="0A117375" w14:textId="77777777" w:rsidR="007C259A" w:rsidRPr="00BD16B4" w:rsidRDefault="007C259A" w:rsidP="007C259A">
      <w:pPr>
        <w:pStyle w:val="BodyText"/>
      </w:pPr>
      <w:r w:rsidRPr="00BD16B4">
        <w:t>Conversely, the weaknesses of the modelling approach mostly arise due to the timeframe of the projections. The PSRM was originally designed to estimate animal numbers and production five years into the future, while agriculture projections described in this section partially use the PSRM to estimate emissions up to 15 years into the future. Over this period, there are a number of long</w:t>
      </w:r>
      <w:r w:rsidRPr="00BD16B4">
        <w:noBreakHyphen/>
        <w:t xml:space="preserve">term economic trends (such as commodity prices) that are extremely difficult to model. Further, there are uncertainties over long-term climate variables and how these will affect agricultural production and emissions. </w:t>
      </w:r>
    </w:p>
    <w:p w14:paraId="5A870A52" w14:textId="2F6B0270" w:rsidR="007C259A" w:rsidRPr="00BD16B4" w:rsidRDefault="007C259A" w:rsidP="005B10B3">
      <w:pPr>
        <w:pStyle w:val="BodyText"/>
      </w:pPr>
      <w:r w:rsidRPr="00BD16B4">
        <w:t>Another weakness results from the difficulty in modelling the expected effect of carbon prices</w:t>
      </w:r>
      <w:r w:rsidR="00EC76A2" w:rsidRPr="00BD16B4">
        <w:t xml:space="preserve"> </w:t>
      </w:r>
      <w:r w:rsidRPr="00BD16B4">
        <w:t>on agricultural land use (versus forestry) and resulting emissions. The carbon price in the NZ</w:t>
      </w:r>
      <w:r w:rsidR="00EC76A2" w:rsidRPr="00BD16B4">
        <w:t> </w:t>
      </w:r>
      <w:r w:rsidRPr="00BD16B4">
        <w:t>ETS has risen rapidly in recent years as demand for NZUs has increased. Historically, the carbon prices being seen today (NZ$72.55 spot price as at 26 July 2022) have never been experienced before, so the effect of the price continuing to rise has to be based on modelling rather than empirical data.</w:t>
      </w:r>
    </w:p>
    <w:p w14:paraId="09A3DC2F" w14:textId="77777777" w:rsidR="007C259A" w:rsidRPr="00BD16B4" w:rsidRDefault="007C259A" w:rsidP="005B10B3">
      <w:pPr>
        <w:pStyle w:val="BodyText"/>
      </w:pPr>
      <w:r w:rsidRPr="00BD16B4">
        <w:t>There are also uncertainties over the expected effects of the NPS-FM, cap on synthetic nitrogen fertiliser and agricultural emissions pricing and the extent to which these policies will affect animal numbers and fertiliser use.</w:t>
      </w:r>
    </w:p>
    <w:p w14:paraId="6E42BC3B" w14:textId="77777777" w:rsidR="007C259A" w:rsidRPr="00BD16B4" w:rsidRDefault="007C259A" w:rsidP="004E1B8C">
      <w:pPr>
        <w:pStyle w:val="Heading4"/>
      </w:pPr>
      <w:r w:rsidRPr="00BD16B4">
        <w:t>Sensitivity analysis for agriculture emissions</w:t>
      </w:r>
    </w:p>
    <w:p w14:paraId="113C1660" w14:textId="77777777" w:rsidR="007C259A" w:rsidRPr="00BD16B4" w:rsidRDefault="007C259A" w:rsidP="005B10B3">
      <w:pPr>
        <w:pStyle w:val="BodyText"/>
      </w:pPr>
      <w:r w:rsidRPr="00BD16B4">
        <w:t>To understand the potential uncertainty range of projected emissions from agriculture,</w:t>
      </w:r>
      <w:r w:rsidRPr="00BD16B4" w:rsidDel="006A71F2">
        <w:t xml:space="preserve"> </w:t>
      </w:r>
      <w:r w:rsidRPr="00BD16B4">
        <w:t xml:space="preserve">emissions from the 2022 </w:t>
      </w:r>
      <w:r w:rsidRPr="00BD16B4">
        <w:rPr>
          <w:i/>
        </w:rPr>
        <w:t>Greenhouse Gas Inventory</w:t>
      </w:r>
      <w:r w:rsidRPr="00BD16B4">
        <w:t xml:space="preserve"> were compared with past projections. The uncertainty in this year’s projection model has been designed to reflect the previous performance of the model. The</w:t>
      </w:r>
      <w:r w:rsidRPr="00BD16B4" w:rsidDel="007E6927">
        <w:t xml:space="preserve"> </w:t>
      </w:r>
      <w:r w:rsidRPr="00BD16B4">
        <w:t>results are displayed in table 5.21 and figure 5.6.</w:t>
      </w:r>
    </w:p>
    <w:p w14:paraId="49332CED" w14:textId="77777777" w:rsidR="007C259A" w:rsidRPr="00BD16B4" w:rsidRDefault="007C259A" w:rsidP="00EC76A2">
      <w:pPr>
        <w:pStyle w:val="Figureheading"/>
      </w:pPr>
      <w:bookmarkStart w:id="301" w:name="_Toc121494403"/>
      <w:r w:rsidRPr="00BD16B4">
        <w:lastRenderedPageBreak/>
        <w:t xml:space="preserve">Figure 5.6: </w:t>
      </w:r>
      <w:r w:rsidRPr="00BD16B4">
        <w:tab/>
        <w:t>Projected emissions from agriculture, under ‘with existing measures’, with uncertainty envelope, 1990–2035 (Mt CO</w:t>
      </w:r>
      <w:r w:rsidRPr="00BD16B4">
        <w:rPr>
          <w:vertAlign w:val="subscript"/>
        </w:rPr>
        <w:t>2</w:t>
      </w:r>
      <w:r w:rsidRPr="00BD16B4">
        <w:t>-e)</w:t>
      </w:r>
      <w:bookmarkEnd w:id="301"/>
    </w:p>
    <w:p w14:paraId="4B4F67F3" w14:textId="77777777" w:rsidR="007C259A" w:rsidRPr="00BD16B4" w:rsidRDefault="007C259A" w:rsidP="00C834EF">
      <w:pPr>
        <w:pStyle w:val="BodyText"/>
        <w:jc w:val="center"/>
      </w:pPr>
      <w:r w:rsidRPr="00BD16B4">
        <w:rPr>
          <w:noProof/>
        </w:rPr>
        <w:drawing>
          <wp:inline distT="0" distB="0" distL="0" distR="0" wp14:anchorId="56C1B69D" wp14:editId="4964FB86">
            <wp:extent cx="5324475" cy="3155870"/>
            <wp:effectExtent l="0" t="0" r="0" b="0"/>
            <wp:docPr id="36" name="Chart 36">
              <a:extLst xmlns:a="http://schemas.openxmlformats.org/drawingml/2006/main">
                <a:ext uri="{FF2B5EF4-FFF2-40B4-BE49-F238E27FC236}">
                  <a16:creationId xmlns:a16="http://schemas.microsoft.com/office/drawing/2014/main" id="{B9D3A072-F892-4358-A63C-CCF849ECBA8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053A5AD" w14:textId="77777777" w:rsidR="007C259A" w:rsidRPr="00BD16B4" w:rsidRDefault="007C259A" w:rsidP="00120409">
      <w:pPr>
        <w:pStyle w:val="Note"/>
      </w:pPr>
      <w:r w:rsidRPr="00BD16B4">
        <w:rPr>
          <w:b/>
          <w:bCs/>
        </w:rPr>
        <w:t>Note:</w:t>
      </w:r>
      <w:r w:rsidRPr="00BD16B4">
        <w:t xml:space="preserve"> Mt CO</w:t>
      </w:r>
      <w:r w:rsidRPr="00BD16B4">
        <w:rPr>
          <w:vertAlign w:val="subscript"/>
        </w:rPr>
        <w:t>2</w:t>
      </w:r>
      <w:r w:rsidRPr="00BD16B4">
        <w:t>-e = million tonnes of carbon dioxide equivalent.</w:t>
      </w:r>
    </w:p>
    <w:p w14:paraId="6407B3DD" w14:textId="77777777" w:rsidR="007C259A" w:rsidRPr="00BD16B4" w:rsidRDefault="007C259A" w:rsidP="00BB7302">
      <w:pPr>
        <w:pStyle w:val="Tableheading"/>
      </w:pPr>
      <w:bookmarkStart w:id="302" w:name="_Toc121773811"/>
      <w:r w:rsidRPr="00BD16B4">
        <w:t xml:space="preserve">Table 5.21: </w:t>
      </w:r>
      <w:r w:rsidRPr="00BD16B4">
        <w:tab/>
        <w:t>Projected emissions from agriculture, under ‘with existing measures’, high</w:t>
      </w:r>
      <w:r w:rsidRPr="00BD16B4">
        <w:noBreakHyphen/>
        <w:t xml:space="preserve"> and low</w:t>
      </w:r>
      <w:r w:rsidRPr="00BD16B4">
        <w:noBreakHyphen/>
        <w:t>emissions scenarios, 1990–2035 (Mt CO</w:t>
      </w:r>
      <w:r w:rsidRPr="00BD16B4">
        <w:rPr>
          <w:vertAlign w:val="subscript"/>
        </w:rPr>
        <w:t>2</w:t>
      </w:r>
      <w:r w:rsidRPr="00BD16B4">
        <w:t>-e)</w:t>
      </w:r>
      <w:bookmarkEnd w:id="302"/>
    </w:p>
    <w:tbl>
      <w:tblPr>
        <w:tblStyle w:val="LightList-Accent11"/>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4A0" w:firstRow="1" w:lastRow="0" w:firstColumn="1" w:lastColumn="0" w:noHBand="0" w:noVBand="1"/>
      </w:tblPr>
      <w:tblGrid>
        <w:gridCol w:w="1568"/>
        <w:gridCol w:w="1053"/>
        <w:gridCol w:w="1053"/>
        <w:gridCol w:w="1053"/>
        <w:gridCol w:w="1053"/>
        <w:gridCol w:w="1053"/>
        <w:gridCol w:w="1672"/>
      </w:tblGrid>
      <w:tr w:rsidR="007C259A" w:rsidRPr="00BD16B4" w14:paraId="2B90026D" w14:textId="77777777" w:rsidTr="005B1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1B556B" w:themeFill="text2"/>
            <w:vAlign w:val="bottom"/>
            <w:hideMark/>
          </w:tcPr>
          <w:p w14:paraId="168C1335" w14:textId="77777777" w:rsidR="007C259A" w:rsidRPr="00BD16B4" w:rsidRDefault="007C259A" w:rsidP="000417E8">
            <w:pPr>
              <w:pStyle w:val="TableTextBold0"/>
              <w:rPr>
                <w:b/>
              </w:rPr>
            </w:pPr>
            <w:r w:rsidRPr="00BD16B4">
              <w:rPr>
                <w:b/>
              </w:rPr>
              <w:t>Scenario</w:t>
            </w:r>
          </w:p>
        </w:tc>
        <w:tc>
          <w:tcPr>
            <w:tcW w:w="1134" w:type="dxa"/>
            <w:shd w:val="clear" w:color="auto" w:fill="1B556B" w:themeFill="text2"/>
            <w:vAlign w:val="bottom"/>
            <w:hideMark/>
          </w:tcPr>
          <w:p w14:paraId="16C99DA4" w14:textId="77777777" w:rsidR="007C259A" w:rsidRPr="00BD16B4" w:rsidRDefault="007C259A" w:rsidP="000417E8">
            <w:pPr>
              <w:pStyle w:val="TableTextBold0"/>
              <w:jc w:val="center"/>
              <w:cnfStyle w:val="100000000000" w:firstRow="1" w:lastRow="0" w:firstColumn="0" w:lastColumn="0" w:oddVBand="0" w:evenVBand="0" w:oddHBand="0" w:evenHBand="0" w:firstRowFirstColumn="0" w:firstRowLastColumn="0" w:lastRowFirstColumn="0" w:lastRowLastColumn="0"/>
              <w:rPr>
                <w:b/>
              </w:rPr>
            </w:pPr>
            <w:r w:rsidRPr="00BD16B4">
              <w:rPr>
                <w:b/>
              </w:rPr>
              <w:t>1990</w:t>
            </w:r>
          </w:p>
        </w:tc>
        <w:tc>
          <w:tcPr>
            <w:tcW w:w="1134" w:type="dxa"/>
            <w:shd w:val="clear" w:color="auto" w:fill="1B556B" w:themeFill="text2"/>
            <w:vAlign w:val="bottom"/>
            <w:hideMark/>
          </w:tcPr>
          <w:p w14:paraId="4FB157B2" w14:textId="77777777" w:rsidR="007C259A" w:rsidRPr="00BD16B4" w:rsidRDefault="007C259A" w:rsidP="000417E8">
            <w:pPr>
              <w:pStyle w:val="TableTextBold0"/>
              <w:jc w:val="center"/>
              <w:cnfStyle w:val="100000000000" w:firstRow="1" w:lastRow="0" w:firstColumn="0" w:lastColumn="0" w:oddVBand="0" w:evenVBand="0" w:oddHBand="0" w:evenHBand="0" w:firstRowFirstColumn="0" w:firstRowLastColumn="0" w:lastRowFirstColumn="0" w:lastRowLastColumn="0"/>
              <w:rPr>
                <w:b/>
              </w:rPr>
            </w:pPr>
            <w:r w:rsidRPr="00BD16B4">
              <w:rPr>
                <w:b/>
              </w:rPr>
              <w:t>2020</w:t>
            </w:r>
          </w:p>
        </w:tc>
        <w:tc>
          <w:tcPr>
            <w:tcW w:w="1134" w:type="dxa"/>
            <w:shd w:val="clear" w:color="auto" w:fill="1B556B" w:themeFill="text2"/>
            <w:vAlign w:val="bottom"/>
            <w:hideMark/>
          </w:tcPr>
          <w:p w14:paraId="617E2D91" w14:textId="77777777" w:rsidR="007C259A" w:rsidRPr="00BD16B4" w:rsidRDefault="007C259A" w:rsidP="000417E8">
            <w:pPr>
              <w:pStyle w:val="TableTextBold0"/>
              <w:jc w:val="center"/>
              <w:cnfStyle w:val="100000000000" w:firstRow="1" w:lastRow="0" w:firstColumn="0" w:lastColumn="0" w:oddVBand="0" w:evenVBand="0" w:oddHBand="0" w:evenHBand="0" w:firstRowFirstColumn="0" w:firstRowLastColumn="0" w:lastRowFirstColumn="0" w:lastRowLastColumn="0"/>
              <w:rPr>
                <w:b/>
              </w:rPr>
            </w:pPr>
            <w:r w:rsidRPr="00BD16B4">
              <w:rPr>
                <w:b/>
              </w:rPr>
              <w:t>2025</w:t>
            </w:r>
          </w:p>
        </w:tc>
        <w:tc>
          <w:tcPr>
            <w:tcW w:w="1134" w:type="dxa"/>
            <w:shd w:val="clear" w:color="auto" w:fill="1B556B" w:themeFill="text2"/>
            <w:vAlign w:val="bottom"/>
            <w:hideMark/>
          </w:tcPr>
          <w:p w14:paraId="40A6EEB7" w14:textId="77777777" w:rsidR="007C259A" w:rsidRPr="00BD16B4" w:rsidRDefault="007C259A" w:rsidP="000417E8">
            <w:pPr>
              <w:pStyle w:val="TableTextBold0"/>
              <w:jc w:val="center"/>
              <w:cnfStyle w:val="100000000000" w:firstRow="1" w:lastRow="0" w:firstColumn="0" w:lastColumn="0" w:oddVBand="0" w:evenVBand="0" w:oddHBand="0" w:evenHBand="0" w:firstRowFirstColumn="0" w:firstRowLastColumn="0" w:lastRowFirstColumn="0" w:lastRowLastColumn="0"/>
              <w:rPr>
                <w:b/>
              </w:rPr>
            </w:pPr>
            <w:r w:rsidRPr="00BD16B4">
              <w:rPr>
                <w:b/>
              </w:rPr>
              <w:t>2030</w:t>
            </w:r>
          </w:p>
        </w:tc>
        <w:tc>
          <w:tcPr>
            <w:tcW w:w="1134" w:type="dxa"/>
            <w:shd w:val="clear" w:color="auto" w:fill="1B556B" w:themeFill="text2"/>
            <w:vAlign w:val="bottom"/>
          </w:tcPr>
          <w:p w14:paraId="5F20B08E" w14:textId="77777777" w:rsidR="007C259A" w:rsidRPr="00BD16B4" w:rsidRDefault="007C259A" w:rsidP="000417E8">
            <w:pPr>
              <w:pStyle w:val="TableTextBold0"/>
              <w:jc w:val="center"/>
              <w:cnfStyle w:val="100000000000" w:firstRow="1" w:lastRow="0" w:firstColumn="0" w:lastColumn="0" w:oddVBand="0" w:evenVBand="0" w:oddHBand="0" w:evenHBand="0" w:firstRowFirstColumn="0" w:firstRowLastColumn="0" w:lastRowFirstColumn="0" w:lastRowLastColumn="0"/>
              <w:rPr>
                <w:b/>
              </w:rPr>
            </w:pPr>
            <w:r w:rsidRPr="00BD16B4">
              <w:rPr>
                <w:b/>
              </w:rPr>
              <w:t>2035</w:t>
            </w:r>
          </w:p>
        </w:tc>
        <w:tc>
          <w:tcPr>
            <w:tcW w:w="1814" w:type="dxa"/>
            <w:shd w:val="clear" w:color="auto" w:fill="1B556B" w:themeFill="text2"/>
            <w:vAlign w:val="bottom"/>
          </w:tcPr>
          <w:p w14:paraId="04221BC5" w14:textId="6301F1BD" w:rsidR="007C259A" w:rsidRPr="00BD16B4" w:rsidRDefault="007C259A" w:rsidP="000417E8">
            <w:pPr>
              <w:pStyle w:val="TableTextBold0"/>
              <w:jc w:val="center"/>
              <w:cnfStyle w:val="100000000000" w:firstRow="1" w:lastRow="0" w:firstColumn="0" w:lastColumn="0" w:oddVBand="0" w:evenVBand="0" w:oddHBand="0" w:evenHBand="0" w:firstRowFirstColumn="0" w:firstRowLastColumn="0" w:lastRowFirstColumn="0" w:lastRowLastColumn="0"/>
              <w:rPr>
                <w:b/>
              </w:rPr>
            </w:pPr>
            <w:r w:rsidRPr="00BD16B4">
              <w:rPr>
                <w:b/>
              </w:rPr>
              <w:t xml:space="preserve">Change from WEM </w:t>
            </w:r>
            <w:r w:rsidR="005B10B3" w:rsidRPr="00BD16B4">
              <w:rPr>
                <w:b/>
              </w:rPr>
              <w:br/>
            </w:r>
            <w:r w:rsidRPr="00BD16B4">
              <w:rPr>
                <w:b/>
              </w:rPr>
              <w:t>in 2035 (%)</w:t>
            </w:r>
          </w:p>
        </w:tc>
      </w:tr>
      <w:tr w:rsidR="007C259A" w:rsidRPr="00BD16B4" w14:paraId="5804C881" w14:textId="77777777" w:rsidTr="005B10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hideMark/>
          </w:tcPr>
          <w:p w14:paraId="4EB9C95E" w14:textId="77777777" w:rsidR="007C259A" w:rsidRPr="00BD16B4" w:rsidRDefault="007C259A" w:rsidP="000417E8">
            <w:pPr>
              <w:pStyle w:val="TableText"/>
              <w:rPr>
                <w:rFonts w:cs="Calibri"/>
                <w:b w:val="0"/>
                <w:bCs w:val="0"/>
              </w:rPr>
            </w:pPr>
            <w:r w:rsidRPr="00BD16B4">
              <w:rPr>
                <w:rFonts w:cs="Calibri"/>
                <w:b w:val="0"/>
                <w:bCs w:val="0"/>
              </w:rPr>
              <w:t>Low emissions</w:t>
            </w:r>
          </w:p>
        </w:tc>
        <w:tc>
          <w:tcPr>
            <w:tcW w:w="1134" w:type="dxa"/>
            <w:tcBorders>
              <w:top w:val="none" w:sz="0" w:space="0" w:color="auto"/>
              <w:bottom w:val="none" w:sz="0" w:space="0" w:color="auto"/>
            </w:tcBorders>
          </w:tcPr>
          <w:p w14:paraId="486EF6B6" w14:textId="77777777" w:rsidR="007C259A" w:rsidRPr="00BD16B4" w:rsidRDefault="007C259A" w:rsidP="000417E8">
            <w:pPr>
              <w:pStyle w:val="TableText"/>
              <w:jc w:val="center"/>
              <w:cnfStyle w:val="000000100000" w:firstRow="0" w:lastRow="0" w:firstColumn="0" w:lastColumn="0" w:oddVBand="0" w:evenVBand="0" w:oddHBand="1" w:evenHBand="0" w:firstRowFirstColumn="0" w:firstRowLastColumn="0" w:lastRowFirstColumn="0" w:lastRowLastColumn="0"/>
              <w:rPr>
                <w:rFonts w:cs="Calibri"/>
              </w:rPr>
            </w:pPr>
            <w:r w:rsidRPr="00BD16B4">
              <w:rPr>
                <w:rFonts w:cs="Calibri"/>
              </w:rPr>
              <w:t>33.79</w:t>
            </w:r>
          </w:p>
        </w:tc>
        <w:tc>
          <w:tcPr>
            <w:tcW w:w="1134" w:type="dxa"/>
            <w:tcBorders>
              <w:top w:val="none" w:sz="0" w:space="0" w:color="auto"/>
              <w:bottom w:val="none" w:sz="0" w:space="0" w:color="auto"/>
            </w:tcBorders>
          </w:tcPr>
          <w:p w14:paraId="63FB7C9B" w14:textId="77777777" w:rsidR="007C259A" w:rsidRPr="00BD16B4" w:rsidRDefault="007C259A" w:rsidP="000417E8">
            <w:pPr>
              <w:pStyle w:val="TableText"/>
              <w:jc w:val="center"/>
              <w:cnfStyle w:val="000000100000" w:firstRow="0" w:lastRow="0" w:firstColumn="0" w:lastColumn="0" w:oddVBand="0" w:evenVBand="0" w:oddHBand="1" w:evenHBand="0" w:firstRowFirstColumn="0" w:firstRowLastColumn="0" w:lastRowFirstColumn="0" w:lastRowLastColumn="0"/>
              <w:rPr>
                <w:rFonts w:cs="Calibri"/>
              </w:rPr>
            </w:pPr>
            <w:r w:rsidRPr="00BD16B4">
              <w:rPr>
                <w:rFonts w:cs="Calibri"/>
              </w:rPr>
              <w:t>39.42</w:t>
            </w:r>
          </w:p>
        </w:tc>
        <w:tc>
          <w:tcPr>
            <w:tcW w:w="1134" w:type="dxa"/>
            <w:tcBorders>
              <w:top w:val="none" w:sz="0" w:space="0" w:color="auto"/>
              <w:bottom w:val="none" w:sz="0" w:space="0" w:color="auto"/>
            </w:tcBorders>
            <w:shd w:val="clear" w:color="auto" w:fill="D2DDE1" w:themeFill="background2"/>
          </w:tcPr>
          <w:p w14:paraId="41E83401" w14:textId="77777777" w:rsidR="007C259A" w:rsidRPr="00BD16B4" w:rsidRDefault="007C259A" w:rsidP="000417E8">
            <w:pPr>
              <w:pStyle w:val="TableText"/>
              <w:jc w:val="center"/>
              <w:cnfStyle w:val="000000100000" w:firstRow="0" w:lastRow="0" w:firstColumn="0" w:lastColumn="0" w:oddVBand="0" w:evenVBand="0" w:oddHBand="1" w:evenHBand="0" w:firstRowFirstColumn="0" w:firstRowLastColumn="0" w:lastRowFirstColumn="0" w:lastRowLastColumn="0"/>
              <w:rPr>
                <w:rFonts w:cs="Calibri"/>
              </w:rPr>
            </w:pPr>
            <w:r w:rsidRPr="00BD16B4">
              <w:rPr>
                <w:rFonts w:cs="Calibri"/>
              </w:rPr>
              <w:t>36.46</w:t>
            </w:r>
          </w:p>
        </w:tc>
        <w:tc>
          <w:tcPr>
            <w:tcW w:w="1134" w:type="dxa"/>
            <w:tcBorders>
              <w:top w:val="none" w:sz="0" w:space="0" w:color="auto"/>
              <w:bottom w:val="none" w:sz="0" w:space="0" w:color="auto"/>
            </w:tcBorders>
            <w:shd w:val="clear" w:color="auto" w:fill="D2DDE1" w:themeFill="background2"/>
          </w:tcPr>
          <w:p w14:paraId="041FE136" w14:textId="77777777" w:rsidR="007C259A" w:rsidRPr="00BD16B4" w:rsidRDefault="007C259A" w:rsidP="000417E8">
            <w:pPr>
              <w:pStyle w:val="TableText"/>
              <w:jc w:val="center"/>
              <w:cnfStyle w:val="000000100000" w:firstRow="0" w:lastRow="0" w:firstColumn="0" w:lastColumn="0" w:oddVBand="0" w:evenVBand="0" w:oddHBand="1" w:evenHBand="0" w:firstRowFirstColumn="0" w:firstRowLastColumn="0" w:lastRowFirstColumn="0" w:lastRowLastColumn="0"/>
              <w:rPr>
                <w:rFonts w:cs="Calibri"/>
              </w:rPr>
            </w:pPr>
            <w:r w:rsidRPr="00BD16B4">
              <w:rPr>
                <w:rFonts w:cs="Calibri"/>
              </w:rPr>
              <w:t>34.12</w:t>
            </w:r>
          </w:p>
        </w:tc>
        <w:tc>
          <w:tcPr>
            <w:tcW w:w="1134" w:type="dxa"/>
            <w:tcBorders>
              <w:top w:val="none" w:sz="0" w:space="0" w:color="auto"/>
              <w:bottom w:val="none" w:sz="0" w:space="0" w:color="auto"/>
            </w:tcBorders>
            <w:shd w:val="clear" w:color="auto" w:fill="D2DDE1" w:themeFill="background2"/>
          </w:tcPr>
          <w:p w14:paraId="560F75BC" w14:textId="77777777" w:rsidR="007C259A" w:rsidRPr="00BD16B4" w:rsidRDefault="007C259A" w:rsidP="000417E8">
            <w:pPr>
              <w:pStyle w:val="TableText"/>
              <w:jc w:val="center"/>
              <w:cnfStyle w:val="000000100000" w:firstRow="0" w:lastRow="0" w:firstColumn="0" w:lastColumn="0" w:oddVBand="0" w:evenVBand="0" w:oddHBand="1" w:evenHBand="0" w:firstRowFirstColumn="0" w:firstRowLastColumn="0" w:lastRowFirstColumn="0" w:lastRowLastColumn="0"/>
              <w:rPr>
                <w:rFonts w:cs="Calibri"/>
              </w:rPr>
            </w:pPr>
            <w:r w:rsidRPr="00BD16B4">
              <w:rPr>
                <w:rFonts w:cs="Calibri"/>
              </w:rPr>
              <w:t>32.86</w:t>
            </w:r>
          </w:p>
        </w:tc>
        <w:tc>
          <w:tcPr>
            <w:tcW w:w="1814" w:type="dxa"/>
            <w:tcBorders>
              <w:top w:val="none" w:sz="0" w:space="0" w:color="auto"/>
              <w:bottom w:val="none" w:sz="0" w:space="0" w:color="auto"/>
              <w:right w:val="none" w:sz="0" w:space="0" w:color="auto"/>
            </w:tcBorders>
            <w:shd w:val="clear" w:color="auto" w:fill="D2DDE1" w:themeFill="background2"/>
          </w:tcPr>
          <w:p w14:paraId="2A249214" w14:textId="77777777" w:rsidR="007C259A" w:rsidRPr="00BD16B4" w:rsidRDefault="007C259A" w:rsidP="000417E8">
            <w:pPr>
              <w:pStyle w:val="TableText"/>
              <w:jc w:val="center"/>
              <w:cnfStyle w:val="000000100000" w:firstRow="0" w:lastRow="0" w:firstColumn="0" w:lastColumn="0" w:oddVBand="0" w:evenVBand="0" w:oddHBand="1" w:evenHBand="0" w:firstRowFirstColumn="0" w:firstRowLastColumn="0" w:lastRowFirstColumn="0" w:lastRowLastColumn="0"/>
              <w:rPr>
                <w:rFonts w:cs="Calibri"/>
              </w:rPr>
            </w:pPr>
            <w:r w:rsidRPr="00BD16B4">
              <w:rPr>
                <w:rFonts w:cs="Calibri"/>
              </w:rPr>
              <w:t>–7.0 %</w:t>
            </w:r>
          </w:p>
        </w:tc>
      </w:tr>
      <w:tr w:rsidR="007C259A" w:rsidRPr="00BD16B4" w14:paraId="594CB62D" w14:textId="77777777" w:rsidTr="005B10B3">
        <w:tc>
          <w:tcPr>
            <w:cnfStyle w:val="001000000000" w:firstRow="0" w:lastRow="0" w:firstColumn="1" w:lastColumn="0" w:oddVBand="0" w:evenVBand="0" w:oddHBand="0" w:evenHBand="0" w:firstRowFirstColumn="0" w:firstRowLastColumn="0" w:lastRowFirstColumn="0" w:lastRowLastColumn="0"/>
            <w:tcW w:w="1701" w:type="dxa"/>
            <w:hideMark/>
          </w:tcPr>
          <w:p w14:paraId="4A8CE264" w14:textId="77777777" w:rsidR="007C259A" w:rsidRPr="00BD16B4" w:rsidRDefault="007C259A" w:rsidP="000417E8">
            <w:pPr>
              <w:pStyle w:val="TableText"/>
              <w:rPr>
                <w:rFonts w:cs="Calibri"/>
                <w:b w:val="0"/>
                <w:bCs w:val="0"/>
              </w:rPr>
            </w:pPr>
            <w:r w:rsidRPr="00BD16B4">
              <w:rPr>
                <w:rFonts w:cs="Calibri"/>
                <w:b w:val="0"/>
                <w:bCs w:val="0"/>
              </w:rPr>
              <w:t>WEM</w:t>
            </w:r>
          </w:p>
        </w:tc>
        <w:tc>
          <w:tcPr>
            <w:tcW w:w="1134" w:type="dxa"/>
          </w:tcPr>
          <w:p w14:paraId="19D5F4E4" w14:textId="77777777" w:rsidR="007C259A" w:rsidRPr="00BD16B4" w:rsidRDefault="007C259A" w:rsidP="000417E8">
            <w:pPr>
              <w:pStyle w:val="TableText"/>
              <w:jc w:val="center"/>
              <w:cnfStyle w:val="000000000000" w:firstRow="0" w:lastRow="0" w:firstColumn="0" w:lastColumn="0" w:oddVBand="0" w:evenVBand="0" w:oddHBand="0" w:evenHBand="0" w:firstRowFirstColumn="0" w:firstRowLastColumn="0" w:lastRowFirstColumn="0" w:lastRowLastColumn="0"/>
              <w:rPr>
                <w:rFonts w:cs="Calibri"/>
              </w:rPr>
            </w:pPr>
            <w:r w:rsidRPr="00BD16B4">
              <w:rPr>
                <w:rFonts w:cs="Calibri"/>
              </w:rPr>
              <w:t>33.79</w:t>
            </w:r>
          </w:p>
        </w:tc>
        <w:tc>
          <w:tcPr>
            <w:tcW w:w="1134" w:type="dxa"/>
          </w:tcPr>
          <w:p w14:paraId="40208B25" w14:textId="77777777" w:rsidR="007C259A" w:rsidRPr="00BD16B4" w:rsidRDefault="007C259A" w:rsidP="000417E8">
            <w:pPr>
              <w:pStyle w:val="TableText"/>
              <w:jc w:val="center"/>
              <w:cnfStyle w:val="000000000000" w:firstRow="0" w:lastRow="0" w:firstColumn="0" w:lastColumn="0" w:oddVBand="0" w:evenVBand="0" w:oddHBand="0" w:evenHBand="0" w:firstRowFirstColumn="0" w:firstRowLastColumn="0" w:lastRowFirstColumn="0" w:lastRowLastColumn="0"/>
              <w:rPr>
                <w:rFonts w:cs="Calibri"/>
              </w:rPr>
            </w:pPr>
            <w:r w:rsidRPr="00BD16B4">
              <w:rPr>
                <w:rFonts w:cs="Calibri"/>
              </w:rPr>
              <w:t>39.42</w:t>
            </w:r>
          </w:p>
        </w:tc>
        <w:tc>
          <w:tcPr>
            <w:tcW w:w="1134" w:type="dxa"/>
            <w:shd w:val="clear" w:color="auto" w:fill="D2DDE1" w:themeFill="background2"/>
          </w:tcPr>
          <w:p w14:paraId="3B86ECBF" w14:textId="77777777" w:rsidR="007C259A" w:rsidRPr="00BD16B4" w:rsidRDefault="007C259A" w:rsidP="000417E8">
            <w:pPr>
              <w:pStyle w:val="TableText"/>
              <w:jc w:val="center"/>
              <w:cnfStyle w:val="000000000000" w:firstRow="0" w:lastRow="0" w:firstColumn="0" w:lastColumn="0" w:oddVBand="0" w:evenVBand="0" w:oddHBand="0" w:evenHBand="0" w:firstRowFirstColumn="0" w:firstRowLastColumn="0" w:lastRowFirstColumn="0" w:lastRowLastColumn="0"/>
              <w:rPr>
                <w:rFonts w:cs="Calibri"/>
              </w:rPr>
            </w:pPr>
            <w:r w:rsidRPr="00BD16B4">
              <w:rPr>
                <w:rFonts w:cs="Calibri"/>
              </w:rPr>
              <w:t>37.43</w:t>
            </w:r>
          </w:p>
        </w:tc>
        <w:tc>
          <w:tcPr>
            <w:tcW w:w="1134" w:type="dxa"/>
            <w:shd w:val="clear" w:color="auto" w:fill="D2DDE1" w:themeFill="background2"/>
          </w:tcPr>
          <w:p w14:paraId="42354137" w14:textId="77777777" w:rsidR="007C259A" w:rsidRPr="00BD16B4" w:rsidRDefault="007C259A" w:rsidP="000417E8">
            <w:pPr>
              <w:pStyle w:val="TableText"/>
              <w:jc w:val="center"/>
              <w:cnfStyle w:val="000000000000" w:firstRow="0" w:lastRow="0" w:firstColumn="0" w:lastColumn="0" w:oddVBand="0" w:evenVBand="0" w:oddHBand="0" w:evenHBand="0" w:firstRowFirstColumn="0" w:firstRowLastColumn="0" w:lastRowFirstColumn="0" w:lastRowLastColumn="0"/>
              <w:rPr>
                <w:rFonts w:cs="Calibri"/>
              </w:rPr>
            </w:pPr>
            <w:r w:rsidRPr="00BD16B4">
              <w:rPr>
                <w:rFonts w:cs="Calibri"/>
              </w:rPr>
              <w:t>36.30</w:t>
            </w:r>
          </w:p>
        </w:tc>
        <w:tc>
          <w:tcPr>
            <w:tcW w:w="1134" w:type="dxa"/>
            <w:shd w:val="clear" w:color="auto" w:fill="D2DDE1" w:themeFill="background2"/>
          </w:tcPr>
          <w:p w14:paraId="1013AF0E" w14:textId="77777777" w:rsidR="007C259A" w:rsidRPr="00BD16B4" w:rsidRDefault="007C259A" w:rsidP="000417E8">
            <w:pPr>
              <w:pStyle w:val="TableText"/>
              <w:jc w:val="center"/>
              <w:cnfStyle w:val="000000000000" w:firstRow="0" w:lastRow="0" w:firstColumn="0" w:lastColumn="0" w:oddVBand="0" w:evenVBand="0" w:oddHBand="0" w:evenHBand="0" w:firstRowFirstColumn="0" w:firstRowLastColumn="0" w:lastRowFirstColumn="0" w:lastRowLastColumn="0"/>
              <w:rPr>
                <w:rFonts w:cs="Calibri"/>
              </w:rPr>
            </w:pPr>
            <w:r w:rsidRPr="00BD16B4">
              <w:rPr>
                <w:rFonts w:cs="Calibri"/>
              </w:rPr>
              <w:t>35.33</w:t>
            </w:r>
          </w:p>
        </w:tc>
        <w:tc>
          <w:tcPr>
            <w:tcW w:w="1814" w:type="dxa"/>
            <w:shd w:val="clear" w:color="auto" w:fill="D2DDE1" w:themeFill="background2"/>
          </w:tcPr>
          <w:p w14:paraId="5E2F57EB" w14:textId="77777777" w:rsidR="007C259A" w:rsidRPr="00BD16B4" w:rsidRDefault="007C259A" w:rsidP="000417E8">
            <w:pPr>
              <w:pStyle w:val="TableText"/>
              <w:jc w:val="center"/>
              <w:cnfStyle w:val="000000000000" w:firstRow="0" w:lastRow="0" w:firstColumn="0" w:lastColumn="0" w:oddVBand="0" w:evenVBand="0" w:oddHBand="0" w:evenHBand="0" w:firstRowFirstColumn="0" w:firstRowLastColumn="0" w:lastRowFirstColumn="0" w:lastRowLastColumn="0"/>
              <w:rPr>
                <w:rFonts w:cs="Calibri"/>
              </w:rPr>
            </w:pPr>
            <w:r w:rsidRPr="00BD16B4">
              <w:rPr>
                <w:rFonts w:cs="Calibri"/>
              </w:rPr>
              <w:t>0 %</w:t>
            </w:r>
          </w:p>
        </w:tc>
      </w:tr>
      <w:tr w:rsidR="007C259A" w:rsidRPr="00BD16B4" w14:paraId="6A668B4F" w14:textId="77777777" w:rsidTr="005B10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hideMark/>
          </w:tcPr>
          <w:p w14:paraId="6EF5B416" w14:textId="77777777" w:rsidR="007C259A" w:rsidRPr="00BD16B4" w:rsidRDefault="007C259A" w:rsidP="000417E8">
            <w:pPr>
              <w:pStyle w:val="TableText"/>
              <w:rPr>
                <w:rFonts w:cs="Calibri"/>
                <w:b w:val="0"/>
                <w:bCs w:val="0"/>
              </w:rPr>
            </w:pPr>
            <w:r w:rsidRPr="00BD16B4">
              <w:rPr>
                <w:rFonts w:cs="Calibri"/>
                <w:b w:val="0"/>
                <w:bCs w:val="0"/>
              </w:rPr>
              <w:t>High emissions</w:t>
            </w:r>
          </w:p>
        </w:tc>
        <w:tc>
          <w:tcPr>
            <w:tcW w:w="1134" w:type="dxa"/>
            <w:tcBorders>
              <w:top w:val="none" w:sz="0" w:space="0" w:color="auto"/>
              <w:bottom w:val="none" w:sz="0" w:space="0" w:color="auto"/>
            </w:tcBorders>
          </w:tcPr>
          <w:p w14:paraId="630AA4BB" w14:textId="77777777" w:rsidR="007C259A" w:rsidRPr="00BD16B4" w:rsidRDefault="007C259A" w:rsidP="000417E8">
            <w:pPr>
              <w:pStyle w:val="TableText"/>
              <w:jc w:val="center"/>
              <w:cnfStyle w:val="000000100000" w:firstRow="0" w:lastRow="0" w:firstColumn="0" w:lastColumn="0" w:oddVBand="0" w:evenVBand="0" w:oddHBand="1" w:evenHBand="0" w:firstRowFirstColumn="0" w:firstRowLastColumn="0" w:lastRowFirstColumn="0" w:lastRowLastColumn="0"/>
              <w:rPr>
                <w:rFonts w:cs="Calibri"/>
              </w:rPr>
            </w:pPr>
            <w:r w:rsidRPr="00BD16B4">
              <w:rPr>
                <w:rFonts w:cs="Calibri"/>
              </w:rPr>
              <w:t>33.79</w:t>
            </w:r>
          </w:p>
        </w:tc>
        <w:tc>
          <w:tcPr>
            <w:tcW w:w="1134" w:type="dxa"/>
            <w:tcBorders>
              <w:top w:val="none" w:sz="0" w:space="0" w:color="auto"/>
              <w:bottom w:val="none" w:sz="0" w:space="0" w:color="auto"/>
            </w:tcBorders>
          </w:tcPr>
          <w:p w14:paraId="2A5E73C6" w14:textId="77777777" w:rsidR="007C259A" w:rsidRPr="00BD16B4" w:rsidRDefault="007C259A" w:rsidP="000417E8">
            <w:pPr>
              <w:pStyle w:val="TableText"/>
              <w:jc w:val="center"/>
              <w:cnfStyle w:val="000000100000" w:firstRow="0" w:lastRow="0" w:firstColumn="0" w:lastColumn="0" w:oddVBand="0" w:evenVBand="0" w:oddHBand="1" w:evenHBand="0" w:firstRowFirstColumn="0" w:firstRowLastColumn="0" w:lastRowFirstColumn="0" w:lastRowLastColumn="0"/>
              <w:rPr>
                <w:rFonts w:cs="Calibri"/>
              </w:rPr>
            </w:pPr>
            <w:r w:rsidRPr="00BD16B4">
              <w:rPr>
                <w:rFonts w:cs="Calibri"/>
              </w:rPr>
              <w:t>39.42</w:t>
            </w:r>
          </w:p>
        </w:tc>
        <w:tc>
          <w:tcPr>
            <w:tcW w:w="1134" w:type="dxa"/>
            <w:tcBorders>
              <w:top w:val="none" w:sz="0" w:space="0" w:color="auto"/>
              <w:bottom w:val="none" w:sz="0" w:space="0" w:color="auto"/>
            </w:tcBorders>
            <w:shd w:val="clear" w:color="auto" w:fill="D2DDE1" w:themeFill="background2"/>
          </w:tcPr>
          <w:p w14:paraId="048C449B" w14:textId="77777777" w:rsidR="007C259A" w:rsidRPr="00BD16B4" w:rsidRDefault="007C259A" w:rsidP="000417E8">
            <w:pPr>
              <w:pStyle w:val="TableText"/>
              <w:jc w:val="center"/>
              <w:cnfStyle w:val="000000100000" w:firstRow="0" w:lastRow="0" w:firstColumn="0" w:lastColumn="0" w:oddVBand="0" w:evenVBand="0" w:oddHBand="1" w:evenHBand="0" w:firstRowFirstColumn="0" w:firstRowLastColumn="0" w:lastRowFirstColumn="0" w:lastRowLastColumn="0"/>
              <w:rPr>
                <w:rFonts w:cs="Calibri"/>
              </w:rPr>
            </w:pPr>
            <w:r w:rsidRPr="00BD16B4">
              <w:rPr>
                <w:rFonts w:cs="Calibri"/>
              </w:rPr>
              <w:t>38.41</w:t>
            </w:r>
          </w:p>
        </w:tc>
        <w:tc>
          <w:tcPr>
            <w:tcW w:w="1134" w:type="dxa"/>
            <w:tcBorders>
              <w:top w:val="none" w:sz="0" w:space="0" w:color="auto"/>
              <w:bottom w:val="none" w:sz="0" w:space="0" w:color="auto"/>
            </w:tcBorders>
            <w:shd w:val="clear" w:color="auto" w:fill="D2DDE1" w:themeFill="background2"/>
          </w:tcPr>
          <w:p w14:paraId="1430A156" w14:textId="77777777" w:rsidR="007C259A" w:rsidRPr="00BD16B4" w:rsidRDefault="007C259A" w:rsidP="000417E8">
            <w:pPr>
              <w:pStyle w:val="TableText"/>
              <w:jc w:val="center"/>
              <w:cnfStyle w:val="000000100000" w:firstRow="0" w:lastRow="0" w:firstColumn="0" w:lastColumn="0" w:oddVBand="0" w:evenVBand="0" w:oddHBand="1" w:evenHBand="0" w:firstRowFirstColumn="0" w:firstRowLastColumn="0" w:lastRowFirstColumn="0" w:lastRowLastColumn="0"/>
              <w:rPr>
                <w:rFonts w:cs="Calibri"/>
              </w:rPr>
            </w:pPr>
            <w:r w:rsidRPr="00BD16B4">
              <w:rPr>
                <w:rFonts w:cs="Calibri"/>
              </w:rPr>
              <w:t>38.48</w:t>
            </w:r>
          </w:p>
        </w:tc>
        <w:tc>
          <w:tcPr>
            <w:tcW w:w="1134" w:type="dxa"/>
            <w:tcBorders>
              <w:top w:val="none" w:sz="0" w:space="0" w:color="auto"/>
              <w:bottom w:val="none" w:sz="0" w:space="0" w:color="auto"/>
            </w:tcBorders>
            <w:shd w:val="clear" w:color="auto" w:fill="D2DDE1" w:themeFill="background2"/>
          </w:tcPr>
          <w:p w14:paraId="28AA2E78" w14:textId="77777777" w:rsidR="007C259A" w:rsidRPr="00BD16B4" w:rsidRDefault="007C259A" w:rsidP="000417E8">
            <w:pPr>
              <w:pStyle w:val="TableText"/>
              <w:jc w:val="center"/>
              <w:cnfStyle w:val="000000100000" w:firstRow="0" w:lastRow="0" w:firstColumn="0" w:lastColumn="0" w:oddVBand="0" w:evenVBand="0" w:oddHBand="1" w:evenHBand="0" w:firstRowFirstColumn="0" w:firstRowLastColumn="0" w:lastRowFirstColumn="0" w:lastRowLastColumn="0"/>
              <w:rPr>
                <w:rFonts w:cs="Calibri"/>
              </w:rPr>
            </w:pPr>
            <w:r w:rsidRPr="00BD16B4">
              <w:rPr>
                <w:rFonts w:cs="Calibri"/>
              </w:rPr>
              <w:t>37.80</w:t>
            </w:r>
          </w:p>
        </w:tc>
        <w:tc>
          <w:tcPr>
            <w:tcW w:w="1814" w:type="dxa"/>
            <w:tcBorders>
              <w:top w:val="none" w:sz="0" w:space="0" w:color="auto"/>
              <w:bottom w:val="none" w:sz="0" w:space="0" w:color="auto"/>
              <w:right w:val="none" w:sz="0" w:space="0" w:color="auto"/>
            </w:tcBorders>
            <w:shd w:val="clear" w:color="auto" w:fill="D2DDE1" w:themeFill="background2"/>
          </w:tcPr>
          <w:p w14:paraId="23C57D59" w14:textId="77777777" w:rsidR="007C259A" w:rsidRPr="00BD16B4" w:rsidRDefault="007C259A" w:rsidP="000417E8">
            <w:pPr>
              <w:pStyle w:val="TableText"/>
              <w:jc w:val="center"/>
              <w:cnfStyle w:val="000000100000" w:firstRow="0" w:lastRow="0" w:firstColumn="0" w:lastColumn="0" w:oddVBand="0" w:evenVBand="0" w:oddHBand="1" w:evenHBand="0" w:firstRowFirstColumn="0" w:firstRowLastColumn="0" w:lastRowFirstColumn="0" w:lastRowLastColumn="0"/>
              <w:rPr>
                <w:rFonts w:cs="Calibri"/>
              </w:rPr>
            </w:pPr>
            <w:r w:rsidRPr="00BD16B4">
              <w:rPr>
                <w:rFonts w:cs="Calibri"/>
              </w:rPr>
              <w:t>7.0 %</w:t>
            </w:r>
          </w:p>
        </w:tc>
      </w:tr>
    </w:tbl>
    <w:p w14:paraId="7AFB3694" w14:textId="77777777" w:rsidR="007C259A" w:rsidRPr="00BD16B4" w:rsidRDefault="007C259A" w:rsidP="00120409">
      <w:pPr>
        <w:pStyle w:val="Note"/>
      </w:pPr>
      <w:r w:rsidRPr="00BD16B4">
        <w:rPr>
          <w:b/>
          <w:bCs/>
        </w:rPr>
        <w:t>Note:</w:t>
      </w:r>
      <w:r w:rsidRPr="00BD16B4">
        <w:t xml:space="preserve"> Mt CO</w:t>
      </w:r>
      <w:r w:rsidRPr="00BD16B4">
        <w:rPr>
          <w:vertAlign w:val="subscript"/>
        </w:rPr>
        <w:t>2</w:t>
      </w:r>
      <w:r w:rsidRPr="00BD16B4">
        <w:t>-e = million tonnes of carbon dioxide equivalent; WEM = with existing measures.</w:t>
      </w:r>
    </w:p>
    <w:p w14:paraId="1269C6A7" w14:textId="77777777" w:rsidR="007C259A" w:rsidRPr="00BD16B4" w:rsidRDefault="007C259A" w:rsidP="000417E8">
      <w:pPr>
        <w:pStyle w:val="BodyText"/>
        <w:spacing w:before="100" w:after="100"/>
      </w:pPr>
      <w:r w:rsidRPr="00BD16B4">
        <w:t>By 2035, emissions under the high-emissions scenario are 7.0 per cent higher than 2035 emissions in the WEM scenario, and emissions under the low-emissions scenario are 7.0 per cent lower.</w:t>
      </w:r>
    </w:p>
    <w:p w14:paraId="7EF6A3F2" w14:textId="77777777" w:rsidR="007C259A" w:rsidRPr="00BD16B4" w:rsidRDefault="007C259A" w:rsidP="007C259A">
      <w:pPr>
        <w:pStyle w:val="BodyText"/>
        <w:spacing w:before="100" w:after="100"/>
      </w:pPr>
      <w:r w:rsidRPr="00BD16B4">
        <w:t>More details on the estimated uncertainty are provided in appendix B.2.</w:t>
      </w:r>
    </w:p>
    <w:p w14:paraId="56FC6C5B" w14:textId="77777777" w:rsidR="007C259A" w:rsidRPr="00BD16B4" w:rsidRDefault="007C259A" w:rsidP="007C259A">
      <w:pPr>
        <w:pStyle w:val="Heading3"/>
        <w:spacing w:before="320"/>
        <w:rPr>
          <w:highlight w:val="yellow"/>
        </w:rPr>
      </w:pPr>
      <w:r w:rsidRPr="00BD16B4">
        <w:lastRenderedPageBreak/>
        <w:t>5.5.5</w:t>
      </w:r>
      <w:r w:rsidRPr="00BD16B4">
        <w:tab/>
        <w:t>Land use, land-use change and forestry</w:t>
      </w:r>
    </w:p>
    <w:p w14:paraId="2CD5B933" w14:textId="3263A7F8" w:rsidR="007C259A" w:rsidRPr="00BD16B4" w:rsidRDefault="007C259A" w:rsidP="001E144F">
      <w:pPr>
        <w:pStyle w:val="BodyText"/>
        <w:keepNext/>
        <w:keepLines/>
        <w:spacing w:before="100" w:after="100" w:line="270" w:lineRule="atLeast"/>
      </w:pPr>
      <w:r w:rsidRPr="00BD16B4">
        <w:t>In 2020, New Zealand’s LULUCF</w:t>
      </w:r>
      <w:r w:rsidRPr="00BD16B4">
        <w:rPr>
          <w:vertAlign w:val="superscript"/>
        </w:rPr>
        <w:footnoteReference w:id="246"/>
      </w:r>
      <w:r w:rsidR="00397414" w:rsidRPr="00BD16B4">
        <w:t xml:space="preserve"> </w:t>
      </w:r>
      <w:r w:rsidRPr="00BD16B4">
        <w:t>sector comprised around 7.845 million hectares of natural forest and just over 2.1 million hectares of planted forest.</w:t>
      </w:r>
      <w:r w:rsidRPr="00BD16B4">
        <w:rPr>
          <w:vertAlign w:val="superscript"/>
        </w:rPr>
        <w:footnoteReference w:id="247"/>
      </w:r>
      <w:r w:rsidRPr="00BD16B4">
        <w:t xml:space="preserve"> Projected LULUCF emissions and removals are significantly influenced by New Zealand’s planted forest age-class profile and harvesting rates. New Zealand has undergone three periods of significant afforestation and reforestation; the subsequent growth, harvest and replanting cycles of these plantation forests will continue to affect New Zealand’s emissions and removals well into the future. </w:t>
      </w:r>
    </w:p>
    <w:p w14:paraId="1E2EA0B6" w14:textId="77777777" w:rsidR="007C259A" w:rsidRPr="00BD16B4" w:rsidRDefault="007C259A" w:rsidP="001E144F">
      <w:pPr>
        <w:pStyle w:val="BodyText"/>
        <w:spacing w:before="100" w:after="100" w:line="270" w:lineRule="atLeast"/>
      </w:pPr>
      <w:r w:rsidRPr="00BD16B4">
        <w:t>New Zealand’s LULUCF sector is currently a net sink of carbon dioxide. In 1990, the LULUCF sector contributed –21.2 Mt CO</w:t>
      </w:r>
      <w:r w:rsidRPr="00BD16B4">
        <w:rPr>
          <w:vertAlign w:val="subscript"/>
        </w:rPr>
        <w:t>2</w:t>
      </w:r>
      <w:r w:rsidRPr="00BD16B4">
        <w:t>-e net emissions (table 5.22), compared with –23.3 Mt CO</w:t>
      </w:r>
      <w:r w:rsidRPr="00BD16B4">
        <w:rPr>
          <w:vertAlign w:val="subscript"/>
        </w:rPr>
        <w:t>2</w:t>
      </w:r>
      <w:r w:rsidRPr="00BD16B4">
        <w:t xml:space="preserve">-e in 2020. The main reason for the decline in removals from 2010 is an increase in forest harvesting of New Zealand’s sustainable plantation forests. See </w:t>
      </w:r>
      <w:r w:rsidRPr="00BD16B4">
        <w:rPr>
          <w:i/>
          <w:iCs/>
        </w:rPr>
        <w:t>New Zealand’s Greenhouse Gas Inventory 1990–2020</w:t>
      </w:r>
      <w:r w:rsidRPr="00BD16B4">
        <w:t xml:space="preserve"> for a more detailed explanation of the change.</w:t>
      </w:r>
      <w:r w:rsidRPr="00BD16B4">
        <w:rPr>
          <w:rStyle w:val="FootnoteReference"/>
        </w:rPr>
        <w:footnoteReference w:id="248"/>
      </w:r>
    </w:p>
    <w:p w14:paraId="7DD82F05" w14:textId="77777777" w:rsidR="007C259A" w:rsidRPr="00BD16B4" w:rsidRDefault="007C259A" w:rsidP="001E144F">
      <w:pPr>
        <w:pStyle w:val="BodyText"/>
        <w:spacing w:before="100" w:after="100" w:line="270" w:lineRule="atLeast"/>
      </w:pPr>
      <w:r w:rsidRPr="00BD16B4">
        <w:t>Net emissions in New Zealand’s LULUCF sector are projected to continue to decline in the 2020s as plantation forests established in the late 1980s and early 1990s are harvested for timber. However, the LULUCF sector is expected to see an increase in net removals in the late 2020s due to the growth from the replanted forests following harvest and the additional sequestration from projected afforestation activities.</w:t>
      </w:r>
    </w:p>
    <w:p w14:paraId="6990C8E7" w14:textId="77777777" w:rsidR="007C259A" w:rsidRPr="00BD16B4" w:rsidRDefault="007C259A" w:rsidP="00BB7302">
      <w:pPr>
        <w:pStyle w:val="Tableheading"/>
      </w:pPr>
      <w:bookmarkStart w:id="303" w:name="_Toc121773812"/>
      <w:r w:rsidRPr="00BD16B4">
        <w:t xml:space="preserve">Table 5.22: </w:t>
      </w:r>
      <w:r w:rsidRPr="00BD16B4">
        <w:tab/>
        <w:t>Historical and projected LULUCF emissions and removals by gas under the ‘with existing measures’ scenario, 1990–2035 (Mt CO</w:t>
      </w:r>
      <w:r w:rsidRPr="00BD16B4">
        <w:rPr>
          <w:vertAlign w:val="subscript"/>
        </w:rPr>
        <w:t>2</w:t>
      </w:r>
      <w:r w:rsidRPr="00BD16B4">
        <w:t>-e)</w:t>
      </w:r>
      <w:bookmarkEnd w:id="303"/>
    </w:p>
    <w:tbl>
      <w:tblPr>
        <w:tblStyle w:val="TableGrid"/>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904"/>
        <w:gridCol w:w="760"/>
        <w:gridCol w:w="760"/>
        <w:gridCol w:w="760"/>
        <w:gridCol w:w="761"/>
        <w:gridCol w:w="760"/>
        <w:gridCol w:w="760"/>
        <w:gridCol w:w="760"/>
        <w:gridCol w:w="760"/>
        <w:gridCol w:w="760"/>
        <w:gridCol w:w="760"/>
      </w:tblGrid>
      <w:tr w:rsidR="007C259A" w:rsidRPr="00BD16B4" w14:paraId="70CBC5B4" w14:textId="77777777" w:rsidTr="007A1520">
        <w:trPr>
          <w:tblHeader/>
        </w:trPr>
        <w:tc>
          <w:tcPr>
            <w:tcW w:w="904" w:type="dxa"/>
            <w:vMerge w:val="restart"/>
            <w:tcBorders>
              <w:bottom w:val="nil"/>
            </w:tcBorders>
            <w:shd w:val="clear" w:color="auto" w:fill="1B556B"/>
            <w:vAlign w:val="bottom"/>
          </w:tcPr>
          <w:p w14:paraId="727829F2" w14:textId="77777777" w:rsidR="007C259A" w:rsidRPr="00BD16B4" w:rsidRDefault="007C259A" w:rsidP="007A1520">
            <w:pPr>
              <w:pStyle w:val="TableTextBold0"/>
              <w:keepNext/>
              <w:spacing w:before="0"/>
              <w:rPr>
                <w:color w:val="FFFFFF" w:themeColor="background1"/>
              </w:rPr>
            </w:pPr>
            <w:r w:rsidRPr="00BD16B4">
              <w:rPr>
                <w:color w:val="FFFFFF" w:themeColor="background1"/>
              </w:rPr>
              <w:t>Gas</w:t>
            </w:r>
          </w:p>
        </w:tc>
        <w:tc>
          <w:tcPr>
            <w:tcW w:w="5321" w:type="dxa"/>
            <w:gridSpan w:val="7"/>
            <w:tcBorders>
              <w:bottom w:val="nil"/>
            </w:tcBorders>
            <w:shd w:val="clear" w:color="auto" w:fill="1B556B"/>
            <w:vAlign w:val="bottom"/>
          </w:tcPr>
          <w:p w14:paraId="06EE1590" w14:textId="77777777" w:rsidR="007C259A" w:rsidRPr="00BD16B4" w:rsidRDefault="007C259A" w:rsidP="007A1520">
            <w:pPr>
              <w:pStyle w:val="TableTextBold0"/>
              <w:keepNext/>
              <w:spacing w:after="0"/>
              <w:jc w:val="center"/>
              <w:rPr>
                <w:color w:val="FFFFFF" w:themeColor="background1"/>
              </w:rPr>
            </w:pPr>
            <w:r w:rsidRPr="00BD16B4">
              <w:rPr>
                <w:color w:val="FFFFFF" w:themeColor="background1"/>
              </w:rPr>
              <w:t>Historical</w:t>
            </w:r>
          </w:p>
        </w:tc>
        <w:tc>
          <w:tcPr>
            <w:tcW w:w="2280" w:type="dxa"/>
            <w:gridSpan w:val="3"/>
            <w:tcBorders>
              <w:bottom w:val="nil"/>
            </w:tcBorders>
            <w:shd w:val="clear" w:color="auto" w:fill="1B556B"/>
            <w:vAlign w:val="bottom"/>
          </w:tcPr>
          <w:p w14:paraId="76BDF779" w14:textId="77777777" w:rsidR="007C259A" w:rsidRPr="00BD16B4" w:rsidRDefault="007C259A" w:rsidP="007A1520">
            <w:pPr>
              <w:pStyle w:val="TableTextBold0"/>
              <w:keepNext/>
              <w:spacing w:after="0"/>
              <w:jc w:val="center"/>
              <w:rPr>
                <w:color w:val="FFFFFF" w:themeColor="background1"/>
              </w:rPr>
            </w:pPr>
            <w:r w:rsidRPr="00BD16B4">
              <w:rPr>
                <w:color w:val="FFFFFF" w:themeColor="background1"/>
              </w:rPr>
              <w:t>Projected</w:t>
            </w:r>
          </w:p>
        </w:tc>
      </w:tr>
      <w:tr w:rsidR="007C259A" w:rsidRPr="00BD16B4" w14:paraId="2FB1D188" w14:textId="77777777" w:rsidTr="007A1520">
        <w:trPr>
          <w:tblHeader/>
        </w:trPr>
        <w:tc>
          <w:tcPr>
            <w:tcW w:w="904" w:type="dxa"/>
            <w:vMerge/>
            <w:tcBorders>
              <w:top w:val="nil"/>
            </w:tcBorders>
            <w:shd w:val="clear" w:color="auto" w:fill="1B556B"/>
            <w:vAlign w:val="bottom"/>
          </w:tcPr>
          <w:p w14:paraId="546C8832" w14:textId="77777777" w:rsidR="007C259A" w:rsidRPr="00BD16B4" w:rsidRDefault="007C259A" w:rsidP="00F31129">
            <w:pPr>
              <w:pStyle w:val="TableText"/>
              <w:rPr>
                <w:rFonts w:cs="Calibri"/>
                <w:color w:val="FFFFFF" w:themeColor="background1"/>
                <w:szCs w:val="18"/>
              </w:rPr>
            </w:pPr>
          </w:p>
        </w:tc>
        <w:tc>
          <w:tcPr>
            <w:tcW w:w="760" w:type="dxa"/>
            <w:tcBorders>
              <w:top w:val="nil"/>
            </w:tcBorders>
            <w:shd w:val="clear" w:color="auto" w:fill="1B556B"/>
            <w:vAlign w:val="bottom"/>
          </w:tcPr>
          <w:p w14:paraId="62B1BF1A" w14:textId="77777777" w:rsidR="007C259A" w:rsidRPr="00BD16B4" w:rsidRDefault="007C259A" w:rsidP="00F31129">
            <w:pPr>
              <w:pStyle w:val="TableTextBold0"/>
              <w:spacing w:before="20"/>
              <w:jc w:val="center"/>
              <w:rPr>
                <w:color w:val="FFFFFF" w:themeColor="background1"/>
              </w:rPr>
            </w:pPr>
            <w:r w:rsidRPr="00BD16B4">
              <w:rPr>
                <w:color w:val="FFFFFF" w:themeColor="background1"/>
              </w:rPr>
              <w:t>1990</w:t>
            </w:r>
          </w:p>
        </w:tc>
        <w:tc>
          <w:tcPr>
            <w:tcW w:w="760" w:type="dxa"/>
            <w:tcBorders>
              <w:top w:val="nil"/>
            </w:tcBorders>
            <w:shd w:val="clear" w:color="auto" w:fill="1B556B"/>
            <w:vAlign w:val="bottom"/>
          </w:tcPr>
          <w:p w14:paraId="57FD3996" w14:textId="77777777" w:rsidR="007C259A" w:rsidRPr="00BD16B4" w:rsidRDefault="007C259A" w:rsidP="00F31129">
            <w:pPr>
              <w:pStyle w:val="TableTextBold0"/>
              <w:spacing w:before="20"/>
              <w:jc w:val="center"/>
              <w:rPr>
                <w:color w:val="FFFFFF" w:themeColor="background1"/>
              </w:rPr>
            </w:pPr>
            <w:r w:rsidRPr="00BD16B4">
              <w:rPr>
                <w:color w:val="FFFFFF" w:themeColor="background1"/>
              </w:rPr>
              <w:t>1995</w:t>
            </w:r>
          </w:p>
        </w:tc>
        <w:tc>
          <w:tcPr>
            <w:tcW w:w="760" w:type="dxa"/>
            <w:tcBorders>
              <w:top w:val="nil"/>
            </w:tcBorders>
            <w:shd w:val="clear" w:color="auto" w:fill="1B556B"/>
            <w:vAlign w:val="bottom"/>
          </w:tcPr>
          <w:p w14:paraId="289713F9" w14:textId="77777777" w:rsidR="007C259A" w:rsidRPr="00BD16B4" w:rsidRDefault="007C259A" w:rsidP="00F31129">
            <w:pPr>
              <w:pStyle w:val="TableTextBold0"/>
              <w:spacing w:before="20"/>
              <w:jc w:val="center"/>
              <w:rPr>
                <w:color w:val="FFFFFF" w:themeColor="background1"/>
              </w:rPr>
            </w:pPr>
            <w:r w:rsidRPr="00BD16B4">
              <w:rPr>
                <w:color w:val="FFFFFF" w:themeColor="background1"/>
              </w:rPr>
              <w:t>2000</w:t>
            </w:r>
          </w:p>
        </w:tc>
        <w:tc>
          <w:tcPr>
            <w:tcW w:w="761" w:type="dxa"/>
            <w:tcBorders>
              <w:top w:val="nil"/>
            </w:tcBorders>
            <w:shd w:val="clear" w:color="auto" w:fill="1B556B"/>
            <w:vAlign w:val="bottom"/>
          </w:tcPr>
          <w:p w14:paraId="46E60130" w14:textId="77777777" w:rsidR="007C259A" w:rsidRPr="00BD16B4" w:rsidRDefault="007C259A" w:rsidP="00F31129">
            <w:pPr>
              <w:pStyle w:val="TableTextBold0"/>
              <w:spacing w:before="20"/>
              <w:jc w:val="center"/>
              <w:rPr>
                <w:color w:val="FFFFFF" w:themeColor="background1"/>
              </w:rPr>
            </w:pPr>
            <w:r w:rsidRPr="00BD16B4">
              <w:rPr>
                <w:color w:val="FFFFFF" w:themeColor="background1"/>
              </w:rPr>
              <w:t>2005</w:t>
            </w:r>
          </w:p>
        </w:tc>
        <w:tc>
          <w:tcPr>
            <w:tcW w:w="760" w:type="dxa"/>
            <w:tcBorders>
              <w:top w:val="nil"/>
            </w:tcBorders>
            <w:shd w:val="clear" w:color="auto" w:fill="1B556B"/>
            <w:vAlign w:val="bottom"/>
          </w:tcPr>
          <w:p w14:paraId="00C85E17" w14:textId="77777777" w:rsidR="007C259A" w:rsidRPr="00BD16B4" w:rsidRDefault="007C259A" w:rsidP="00F31129">
            <w:pPr>
              <w:pStyle w:val="TableTextBold0"/>
              <w:spacing w:before="20"/>
              <w:jc w:val="center"/>
              <w:rPr>
                <w:color w:val="FFFFFF" w:themeColor="background1"/>
              </w:rPr>
            </w:pPr>
            <w:r w:rsidRPr="00BD16B4">
              <w:rPr>
                <w:color w:val="FFFFFF" w:themeColor="background1"/>
              </w:rPr>
              <w:t>2010</w:t>
            </w:r>
          </w:p>
        </w:tc>
        <w:tc>
          <w:tcPr>
            <w:tcW w:w="760" w:type="dxa"/>
            <w:tcBorders>
              <w:top w:val="nil"/>
            </w:tcBorders>
            <w:shd w:val="clear" w:color="auto" w:fill="1B556B"/>
            <w:vAlign w:val="bottom"/>
          </w:tcPr>
          <w:p w14:paraId="21CE4F0E" w14:textId="77777777" w:rsidR="007C259A" w:rsidRPr="00BD16B4" w:rsidRDefault="007C259A" w:rsidP="00F31129">
            <w:pPr>
              <w:pStyle w:val="TableTextBold0"/>
              <w:spacing w:before="20"/>
              <w:jc w:val="center"/>
              <w:rPr>
                <w:color w:val="FFFFFF" w:themeColor="background1"/>
              </w:rPr>
            </w:pPr>
            <w:r w:rsidRPr="00BD16B4">
              <w:rPr>
                <w:color w:val="FFFFFF" w:themeColor="background1"/>
              </w:rPr>
              <w:t>2015</w:t>
            </w:r>
          </w:p>
        </w:tc>
        <w:tc>
          <w:tcPr>
            <w:tcW w:w="760" w:type="dxa"/>
            <w:tcBorders>
              <w:top w:val="nil"/>
            </w:tcBorders>
            <w:shd w:val="clear" w:color="auto" w:fill="1B556B"/>
            <w:vAlign w:val="bottom"/>
          </w:tcPr>
          <w:p w14:paraId="02BB967F" w14:textId="77777777" w:rsidR="007C259A" w:rsidRPr="00BD16B4" w:rsidRDefault="007C259A" w:rsidP="00F31129">
            <w:pPr>
              <w:pStyle w:val="TableTextBold0"/>
              <w:spacing w:before="20"/>
              <w:jc w:val="center"/>
              <w:rPr>
                <w:color w:val="FFFFFF" w:themeColor="background1"/>
              </w:rPr>
            </w:pPr>
            <w:r w:rsidRPr="00BD16B4">
              <w:rPr>
                <w:color w:val="FFFFFF" w:themeColor="background1"/>
              </w:rPr>
              <w:t>2020</w:t>
            </w:r>
          </w:p>
        </w:tc>
        <w:tc>
          <w:tcPr>
            <w:tcW w:w="760" w:type="dxa"/>
            <w:tcBorders>
              <w:top w:val="nil"/>
              <w:bottom w:val="single" w:sz="4" w:space="0" w:color="1B556B"/>
            </w:tcBorders>
            <w:shd w:val="clear" w:color="auto" w:fill="1B556B"/>
            <w:vAlign w:val="bottom"/>
          </w:tcPr>
          <w:p w14:paraId="71892CE9" w14:textId="77777777" w:rsidR="007C259A" w:rsidRPr="00BD16B4" w:rsidRDefault="007C259A" w:rsidP="00F31129">
            <w:pPr>
              <w:pStyle w:val="TableTextBold0"/>
              <w:spacing w:before="20"/>
              <w:jc w:val="center"/>
              <w:rPr>
                <w:color w:val="FFFFFF" w:themeColor="background1"/>
              </w:rPr>
            </w:pPr>
            <w:r w:rsidRPr="00BD16B4">
              <w:rPr>
                <w:color w:val="FFFFFF" w:themeColor="background1"/>
              </w:rPr>
              <w:t>2025</w:t>
            </w:r>
          </w:p>
        </w:tc>
        <w:tc>
          <w:tcPr>
            <w:tcW w:w="760" w:type="dxa"/>
            <w:tcBorders>
              <w:top w:val="nil"/>
              <w:bottom w:val="single" w:sz="4" w:space="0" w:color="1B556B"/>
            </w:tcBorders>
            <w:shd w:val="clear" w:color="auto" w:fill="1B556B"/>
            <w:vAlign w:val="bottom"/>
          </w:tcPr>
          <w:p w14:paraId="368CD3A2" w14:textId="77777777" w:rsidR="007C259A" w:rsidRPr="00BD16B4" w:rsidRDefault="007C259A" w:rsidP="00F31129">
            <w:pPr>
              <w:pStyle w:val="TableTextBold0"/>
              <w:spacing w:before="20"/>
              <w:jc w:val="center"/>
              <w:rPr>
                <w:color w:val="FFFFFF" w:themeColor="background1"/>
              </w:rPr>
            </w:pPr>
            <w:r w:rsidRPr="00BD16B4">
              <w:rPr>
                <w:color w:val="FFFFFF" w:themeColor="background1"/>
              </w:rPr>
              <w:t>2030</w:t>
            </w:r>
          </w:p>
        </w:tc>
        <w:tc>
          <w:tcPr>
            <w:tcW w:w="760" w:type="dxa"/>
            <w:tcBorders>
              <w:top w:val="nil"/>
              <w:bottom w:val="single" w:sz="4" w:space="0" w:color="1B556B"/>
            </w:tcBorders>
            <w:shd w:val="clear" w:color="auto" w:fill="1B556B"/>
            <w:vAlign w:val="bottom"/>
          </w:tcPr>
          <w:p w14:paraId="539FACB7" w14:textId="77777777" w:rsidR="007C259A" w:rsidRPr="00BD16B4" w:rsidRDefault="007C259A" w:rsidP="00F31129">
            <w:pPr>
              <w:pStyle w:val="TableTextBold0"/>
              <w:spacing w:before="20"/>
              <w:jc w:val="center"/>
              <w:rPr>
                <w:color w:val="FFFFFF" w:themeColor="background1"/>
              </w:rPr>
            </w:pPr>
            <w:r w:rsidRPr="00BD16B4">
              <w:rPr>
                <w:color w:val="FFFFFF" w:themeColor="background1"/>
              </w:rPr>
              <w:t>2035</w:t>
            </w:r>
          </w:p>
        </w:tc>
      </w:tr>
      <w:tr w:rsidR="007C259A" w:rsidRPr="00BD16B4" w14:paraId="504FAC9C" w14:textId="77777777" w:rsidTr="007A1520">
        <w:tc>
          <w:tcPr>
            <w:tcW w:w="904" w:type="dxa"/>
            <w:shd w:val="clear" w:color="auto" w:fill="auto"/>
          </w:tcPr>
          <w:p w14:paraId="53C01B35" w14:textId="77777777" w:rsidR="007C259A" w:rsidRPr="00BD16B4" w:rsidRDefault="007C259A" w:rsidP="001E144F">
            <w:pPr>
              <w:pStyle w:val="TableText"/>
              <w:spacing w:before="30" w:after="30"/>
              <w:rPr>
                <w:rFonts w:cs="Calibri"/>
                <w:szCs w:val="18"/>
              </w:rPr>
            </w:pPr>
            <w:r w:rsidRPr="00BD16B4">
              <w:rPr>
                <w:rFonts w:cs="Calibri"/>
                <w:szCs w:val="18"/>
              </w:rPr>
              <w:t>CO</w:t>
            </w:r>
            <w:r w:rsidRPr="00BD16B4">
              <w:rPr>
                <w:rFonts w:cs="Calibri"/>
                <w:szCs w:val="18"/>
                <w:vertAlign w:val="subscript"/>
              </w:rPr>
              <w:t>2</w:t>
            </w:r>
          </w:p>
        </w:tc>
        <w:tc>
          <w:tcPr>
            <w:tcW w:w="760" w:type="dxa"/>
            <w:shd w:val="clear" w:color="auto" w:fill="auto"/>
          </w:tcPr>
          <w:p w14:paraId="0BE0A111" w14:textId="77777777" w:rsidR="007C259A" w:rsidRPr="00BD16B4" w:rsidRDefault="007C259A" w:rsidP="001E144F">
            <w:pPr>
              <w:pStyle w:val="TableText"/>
              <w:spacing w:before="30" w:after="30"/>
              <w:jc w:val="center"/>
              <w:rPr>
                <w:rFonts w:cs="Calibri"/>
                <w:szCs w:val="18"/>
              </w:rPr>
            </w:pPr>
            <w:r w:rsidRPr="00BD16B4">
              <w:rPr>
                <w:rFonts w:cs="Calibri"/>
                <w:szCs w:val="18"/>
              </w:rPr>
              <w:t>–21.6</w:t>
            </w:r>
          </w:p>
        </w:tc>
        <w:tc>
          <w:tcPr>
            <w:tcW w:w="760" w:type="dxa"/>
          </w:tcPr>
          <w:p w14:paraId="438FB05D" w14:textId="77777777" w:rsidR="007C259A" w:rsidRPr="00BD16B4" w:rsidRDefault="007C259A" w:rsidP="001E144F">
            <w:pPr>
              <w:pStyle w:val="TableText"/>
              <w:spacing w:before="30" w:after="30"/>
              <w:jc w:val="center"/>
              <w:rPr>
                <w:rFonts w:cs="Calibri"/>
                <w:szCs w:val="18"/>
              </w:rPr>
            </w:pPr>
            <w:r w:rsidRPr="00BD16B4">
              <w:rPr>
                <w:rFonts w:cs="Calibri"/>
                <w:szCs w:val="18"/>
              </w:rPr>
              <w:t>–22.9</w:t>
            </w:r>
          </w:p>
        </w:tc>
        <w:tc>
          <w:tcPr>
            <w:tcW w:w="760" w:type="dxa"/>
          </w:tcPr>
          <w:p w14:paraId="7A6DB98C" w14:textId="77777777" w:rsidR="007C259A" w:rsidRPr="00BD16B4" w:rsidRDefault="007C259A" w:rsidP="001E144F">
            <w:pPr>
              <w:pStyle w:val="TableText"/>
              <w:spacing w:before="30" w:after="30"/>
              <w:jc w:val="center"/>
              <w:rPr>
                <w:rFonts w:cs="Calibri"/>
                <w:szCs w:val="18"/>
              </w:rPr>
            </w:pPr>
            <w:r w:rsidRPr="00BD16B4">
              <w:rPr>
                <w:rFonts w:cs="Calibri"/>
                <w:szCs w:val="18"/>
              </w:rPr>
              <w:t>–27.4</w:t>
            </w:r>
          </w:p>
        </w:tc>
        <w:tc>
          <w:tcPr>
            <w:tcW w:w="761" w:type="dxa"/>
          </w:tcPr>
          <w:p w14:paraId="5E7420ED" w14:textId="77777777" w:rsidR="007C259A" w:rsidRPr="00BD16B4" w:rsidRDefault="007C259A" w:rsidP="001E144F">
            <w:pPr>
              <w:pStyle w:val="TableText"/>
              <w:spacing w:before="30" w:after="30"/>
              <w:jc w:val="center"/>
              <w:rPr>
                <w:rFonts w:cs="Calibri"/>
                <w:szCs w:val="18"/>
              </w:rPr>
            </w:pPr>
            <w:r w:rsidRPr="00BD16B4">
              <w:rPr>
                <w:rFonts w:cs="Calibri"/>
                <w:szCs w:val="18"/>
              </w:rPr>
              <w:t>–25.9</w:t>
            </w:r>
          </w:p>
        </w:tc>
        <w:tc>
          <w:tcPr>
            <w:tcW w:w="760" w:type="dxa"/>
          </w:tcPr>
          <w:p w14:paraId="282001AF" w14:textId="77777777" w:rsidR="007C259A" w:rsidRPr="00BD16B4" w:rsidRDefault="007C259A" w:rsidP="001E144F">
            <w:pPr>
              <w:pStyle w:val="TableText"/>
              <w:spacing w:before="30" w:after="30"/>
              <w:jc w:val="center"/>
              <w:rPr>
                <w:rFonts w:cs="Calibri"/>
                <w:szCs w:val="18"/>
              </w:rPr>
            </w:pPr>
            <w:r w:rsidRPr="00BD16B4">
              <w:rPr>
                <w:rFonts w:cs="Calibri"/>
                <w:szCs w:val="18"/>
              </w:rPr>
              <w:t>–29.8</w:t>
            </w:r>
          </w:p>
        </w:tc>
        <w:tc>
          <w:tcPr>
            <w:tcW w:w="760" w:type="dxa"/>
          </w:tcPr>
          <w:p w14:paraId="6EED6B64" w14:textId="77777777" w:rsidR="007C259A" w:rsidRPr="00BD16B4" w:rsidRDefault="007C259A" w:rsidP="001E144F">
            <w:pPr>
              <w:pStyle w:val="TableText"/>
              <w:spacing w:before="30" w:after="30"/>
              <w:jc w:val="center"/>
              <w:rPr>
                <w:rFonts w:cs="Calibri"/>
                <w:szCs w:val="18"/>
              </w:rPr>
            </w:pPr>
            <w:r w:rsidRPr="00BD16B4">
              <w:rPr>
                <w:rFonts w:cs="Calibri"/>
                <w:szCs w:val="18"/>
              </w:rPr>
              <w:t>–27.0</w:t>
            </w:r>
          </w:p>
        </w:tc>
        <w:tc>
          <w:tcPr>
            <w:tcW w:w="760" w:type="dxa"/>
          </w:tcPr>
          <w:p w14:paraId="253DCCD9" w14:textId="77777777" w:rsidR="007C259A" w:rsidRPr="00BD16B4" w:rsidRDefault="007C259A" w:rsidP="001E144F">
            <w:pPr>
              <w:pStyle w:val="TableText"/>
              <w:spacing w:before="30" w:after="30"/>
              <w:jc w:val="center"/>
              <w:rPr>
                <w:rFonts w:cs="Calibri"/>
                <w:szCs w:val="18"/>
              </w:rPr>
            </w:pPr>
            <w:r w:rsidRPr="00BD16B4">
              <w:rPr>
                <w:rFonts w:cs="Calibri"/>
                <w:szCs w:val="18"/>
              </w:rPr>
              <w:t>–23.7</w:t>
            </w:r>
          </w:p>
        </w:tc>
        <w:tc>
          <w:tcPr>
            <w:tcW w:w="760" w:type="dxa"/>
            <w:shd w:val="clear" w:color="auto" w:fill="D2DDE1" w:themeFill="background2"/>
          </w:tcPr>
          <w:p w14:paraId="4EE85B80" w14:textId="77777777" w:rsidR="007C259A" w:rsidRPr="00BD16B4" w:rsidRDefault="007C259A" w:rsidP="001E144F">
            <w:pPr>
              <w:pStyle w:val="TableText"/>
              <w:spacing w:before="30" w:after="30"/>
              <w:jc w:val="center"/>
              <w:rPr>
                <w:rFonts w:cs="Calibri"/>
                <w:szCs w:val="18"/>
              </w:rPr>
            </w:pPr>
            <w:r w:rsidRPr="00BD16B4">
              <w:rPr>
                <w:rFonts w:cs="Calibri"/>
                <w:szCs w:val="18"/>
              </w:rPr>
              <w:t>–9.9</w:t>
            </w:r>
          </w:p>
        </w:tc>
        <w:tc>
          <w:tcPr>
            <w:tcW w:w="760" w:type="dxa"/>
            <w:shd w:val="clear" w:color="auto" w:fill="D2DDE1" w:themeFill="background2"/>
          </w:tcPr>
          <w:p w14:paraId="430B1FF5" w14:textId="77777777" w:rsidR="007C259A" w:rsidRPr="00BD16B4" w:rsidRDefault="007C259A" w:rsidP="001E144F">
            <w:pPr>
              <w:pStyle w:val="TableText"/>
              <w:spacing w:before="30" w:after="30"/>
              <w:jc w:val="center"/>
              <w:rPr>
                <w:rFonts w:cs="Calibri"/>
                <w:szCs w:val="18"/>
              </w:rPr>
            </w:pPr>
            <w:r w:rsidRPr="00BD16B4">
              <w:rPr>
                <w:rFonts w:cs="Calibri"/>
                <w:szCs w:val="18"/>
              </w:rPr>
              <w:t>–12.4</w:t>
            </w:r>
          </w:p>
        </w:tc>
        <w:tc>
          <w:tcPr>
            <w:tcW w:w="760" w:type="dxa"/>
            <w:shd w:val="clear" w:color="auto" w:fill="D2DDE1" w:themeFill="background2"/>
          </w:tcPr>
          <w:p w14:paraId="1CD5C768" w14:textId="77777777" w:rsidR="007C259A" w:rsidRPr="00BD16B4" w:rsidRDefault="007C259A" w:rsidP="001E144F">
            <w:pPr>
              <w:pStyle w:val="TableText"/>
              <w:spacing w:before="30" w:after="30"/>
              <w:jc w:val="center"/>
              <w:rPr>
                <w:rFonts w:cs="Calibri"/>
                <w:szCs w:val="18"/>
              </w:rPr>
            </w:pPr>
            <w:r w:rsidRPr="00BD16B4">
              <w:rPr>
                <w:rFonts w:cs="Calibri"/>
                <w:szCs w:val="18"/>
              </w:rPr>
              <w:t>–25.8</w:t>
            </w:r>
          </w:p>
        </w:tc>
      </w:tr>
      <w:tr w:rsidR="007C259A" w:rsidRPr="00BD16B4" w14:paraId="7C89DE36" w14:textId="77777777" w:rsidTr="007A1520">
        <w:tc>
          <w:tcPr>
            <w:tcW w:w="904" w:type="dxa"/>
            <w:shd w:val="clear" w:color="auto" w:fill="auto"/>
          </w:tcPr>
          <w:p w14:paraId="1B9DAF9F" w14:textId="77777777" w:rsidR="007C259A" w:rsidRPr="00BD16B4" w:rsidRDefault="007C259A" w:rsidP="001E144F">
            <w:pPr>
              <w:pStyle w:val="TableText"/>
              <w:spacing w:before="30" w:after="30"/>
              <w:rPr>
                <w:rFonts w:cs="Calibri"/>
                <w:szCs w:val="18"/>
              </w:rPr>
            </w:pPr>
            <w:r w:rsidRPr="00BD16B4">
              <w:rPr>
                <w:rFonts w:cs="Calibri"/>
                <w:szCs w:val="18"/>
              </w:rPr>
              <w:t>CH</w:t>
            </w:r>
            <w:r w:rsidRPr="00BD16B4">
              <w:rPr>
                <w:rFonts w:cs="Calibri"/>
                <w:szCs w:val="18"/>
                <w:vertAlign w:val="subscript"/>
              </w:rPr>
              <w:t>4</w:t>
            </w:r>
          </w:p>
        </w:tc>
        <w:tc>
          <w:tcPr>
            <w:tcW w:w="760" w:type="dxa"/>
            <w:shd w:val="clear" w:color="auto" w:fill="auto"/>
          </w:tcPr>
          <w:p w14:paraId="0B671D2A" w14:textId="77777777" w:rsidR="007C259A" w:rsidRPr="00BD16B4" w:rsidRDefault="007C259A" w:rsidP="001E144F">
            <w:pPr>
              <w:pStyle w:val="TableText"/>
              <w:spacing w:before="30" w:after="30"/>
              <w:jc w:val="center"/>
              <w:rPr>
                <w:rFonts w:cs="Calibri"/>
                <w:szCs w:val="18"/>
              </w:rPr>
            </w:pPr>
            <w:r w:rsidRPr="00BD16B4">
              <w:rPr>
                <w:rFonts w:cs="Calibri"/>
                <w:szCs w:val="18"/>
              </w:rPr>
              <w:t>0.1</w:t>
            </w:r>
          </w:p>
        </w:tc>
        <w:tc>
          <w:tcPr>
            <w:tcW w:w="760" w:type="dxa"/>
          </w:tcPr>
          <w:p w14:paraId="0DD682CB" w14:textId="77777777" w:rsidR="007C259A" w:rsidRPr="00BD16B4" w:rsidRDefault="007C259A" w:rsidP="001E144F">
            <w:pPr>
              <w:pStyle w:val="TableText"/>
              <w:spacing w:before="30" w:after="30"/>
              <w:jc w:val="center"/>
              <w:rPr>
                <w:rFonts w:cs="Calibri"/>
                <w:szCs w:val="18"/>
              </w:rPr>
            </w:pPr>
            <w:r w:rsidRPr="00BD16B4">
              <w:rPr>
                <w:rFonts w:cs="Calibri"/>
                <w:szCs w:val="18"/>
              </w:rPr>
              <w:t>0.1</w:t>
            </w:r>
          </w:p>
        </w:tc>
        <w:tc>
          <w:tcPr>
            <w:tcW w:w="760" w:type="dxa"/>
          </w:tcPr>
          <w:p w14:paraId="79645180" w14:textId="77777777" w:rsidR="007C259A" w:rsidRPr="00BD16B4" w:rsidRDefault="007C259A" w:rsidP="001E144F">
            <w:pPr>
              <w:pStyle w:val="TableText"/>
              <w:spacing w:before="30" w:after="30"/>
              <w:jc w:val="center"/>
              <w:rPr>
                <w:rFonts w:cs="Calibri"/>
                <w:szCs w:val="18"/>
              </w:rPr>
            </w:pPr>
            <w:r w:rsidRPr="00BD16B4">
              <w:rPr>
                <w:rFonts w:cs="Calibri"/>
                <w:szCs w:val="18"/>
              </w:rPr>
              <w:t>0.1</w:t>
            </w:r>
          </w:p>
        </w:tc>
        <w:tc>
          <w:tcPr>
            <w:tcW w:w="761" w:type="dxa"/>
          </w:tcPr>
          <w:p w14:paraId="18979EB4" w14:textId="77777777" w:rsidR="007C259A" w:rsidRPr="00BD16B4" w:rsidRDefault="007C259A" w:rsidP="001E144F">
            <w:pPr>
              <w:pStyle w:val="TableText"/>
              <w:spacing w:before="30" w:after="30"/>
              <w:jc w:val="center"/>
              <w:rPr>
                <w:rFonts w:cs="Calibri"/>
                <w:szCs w:val="18"/>
              </w:rPr>
            </w:pPr>
            <w:r w:rsidRPr="00BD16B4">
              <w:rPr>
                <w:rFonts w:cs="Calibri"/>
                <w:szCs w:val="18"/>
              </w:rPr>
              <w:t>0.1</w:t>
            </w:r>
          </w:p>
        </w:tc>
        <w:tc>
          <w:tcPr>
            <w:tcW w:w="760" w:type="dxa"/>
          </w:tcPr>
          <w:p w14:paraId="0BB014F8" w14:textId="77777777" w:rsidR="007C259A" w:rsidRPr="00BD16B4" w:rsidRDefault="007C259A" w:rsidP="001E144F">
            <w:pPr>
              <w:pStyle w:val="TableText"/>
              <w:spacing w:before="30" w:after="30"/>
              <w:jc w:val="center"/>
              <w:rPr>
                <w:rFonts w:cs="Calibri"/>
                <w:szCs w:val="18"/>
              </w:rPr>
            </w:pPr>
            <w:r w:rsidRPr="00BD16B4">
              <w:rPr>
                <w:rFonts w:cs="Calibri"/>
                <w:szCs w:val="18"/>
              </w:rPr>
              <w:t>0.1</w:t>
            </w:r>
          </w:p>
        </w:tc>
        <w:tc>
          <w:tcPr>
            <w:tcW w:w="760" w:type="dxa"/>
          </w:tcPr>
          <w:p w14:paraId="7D211CB2" w14:textId="77777777" w:rsidR="007C259A" w:rsidRPr="00BD16B4" w:rsidRDefault="007C259A" w:rsidP="001E144F">
            <w:pPr>
              <w:pStyle w:val="TableText"/>
              <w:spacing w:before="30" w:after="30"/>
              <w:jc w:val="center"/>
              <w:rPr>
                <w:rFonts w:cs="Calibri"/>
                <w:szCs w:val="18"/>
              </w:rPr>
            </w:pPr>
            <w:r w:rsidRPr="00BD16B4">
              <w:rPr>
                <w:rFonts w:cs="Calibri"/>
                <w:szCs w:val="18"/>
              </w:rPr>
              <w:t>0.1</w:t>
            </w:r>
          </w:p>
        </w:tc>
        <w:tc>
          <w:tcPr>
            <w:tcW w:w="760" w:type="dxa"/>
          </w:tcPr>
          <w:p w14:paraId="7A56D81D" w14:textId="77777777" w:rsidR="007C259A" w:rsidRPr="00BD16B4" w:rsidRDefault="007C259A" w:rsidP="001E144F">
            <w:pPr>
              <w:pStyle w:val="TableText"/>
              <w:spacing w:before="30" w:after="30"/>
              <w:jc w:val="center"/>
              <w:rPr>
                <w:rFonts w:cs="Calibri"/>
                <w:szCs w:val="18"/>
              </w:rPr>
            </w:pPr>
            <w:r w:rsidRPr="00BD16B4">
              <w:rPr>
                <w:rFonts w:cs="Calibri"/>
                <w:szCs w:val="18"/>
              </w:rPr>
              <w:t>0.1</w:t>
            </w:r>
          </w:p>
        </w:tc>
        <w:tc>
          <w:tcPr>
            <w:tcW w:w="760" w:type="dxa"/>
            <w:shd w:val="clear" w:color="auto" w:fill="D2DDE1" w:themeFill="background2"/>
          </w:tcPr>
          <w:p w14:paraId="70ADCFB0" w14:textId="77777777" w:rsidR="007C259A" w:rsidRPr="00BD16B4" w:rsidRDefault="007C259A" w:rsidP="001E144F">
            <w:pPr>
              <w:pStyle w:val="TableText"/>
              <w:spacing w:before="30" w:after="30"/>
              <w:jc w:val="center"/>
              <w:rPr>
                <w:rFonts w:cs="Calibri"/>
                <w:szCs w:val="18"/>
              </w:rPr>
            </w:pPr>
            <w:r w:rsidRPr="00BD16B4">
              <w:rPr>
                <w:rFonts w:cs="Calibri"/>
                <w:szCs w:val="18"/>
              </w:rPr>
              <w:t>0.1</w:t>
            </w:r>
          </w:p>
        </w:tc>
        <w:tc>
          <w:tcPr>
            <w:tcW w:w="760" w:type="dxa"/>
            <w:shd w:val="clear" w:color="auto" w:fill="D2DDE1" w:themeFill="background2"/>
          </w:tcPr>
          <w:p w14:paraId="57057637" w14:textId="77777777" w:rsidR="007C259A" w:rsidRPr="00BD16B4" w:rsidRDefault="007C259A" w:rsidP="001E144F">
            <w:pPr>
              <w:pStyle w:val="TableText"/>
              <w:spacing w:before="30" w:after="30"/>
              <w:jc w:val="center"/>
              <w:rPr>
                <w:rFonts w:cs="Calibri"/>
                <w:szCs w:val="18"/>
              </w:rPr>
            </w:pPr>
            <w:r w:rsidRPr="00BD16B4">
              <w:rPr>
                <w:rFonts w:cs="Calibri"/>
                <w:szCs w:val="18"/>
              </w:rPr>
              <w:t>0.1</w:t>
            </w:r>
          </w:p>
        </w:tc>
        <w:tc>
          <w:tcPr>
            <w:tcW w:w="760" w:type="dxa"/>
            <w:shd w:val="clear" w:color="auto" w:fill="D2DDE1" w:themeFill="background2"/>
          </w:tcPr>
          <w:p w14:paraId="07950FC0" w14:textId="77777777" w:rsidR="007C259A" w:rsidRPr="00BD16B4" w:rsidRDefault="007C259A" w:rsidP="001E144F">
            <w:pPr>
              <w:pStyle w:val="TableText"/>
              <w:spacing w:before="30" w:after="30"/>
              <w:jc w:val="center"/>
              <w:rPr>
                <w:rFonts w:cs="Calibri"/>
                <w:szCs w:val="18"/>
              </w:rPr>
            </w:pPr>
            <w:r w:rsidRPr="00BD16B4">
              <w:rPr>
                <w:rFonts w:cs="Calibri"/>
                <w:szCs w:val="18"/>
              </w:rPr>
              <w:t>0.1</w:t>
            </w:r>
          </w:p>
        </w:tc>
      </w:tr>
      <w:tr w:rsidR="007C259A" w:rsidRPr="00BD16B4" w14:paraId="5E914159" w14:textId="77777777" w:rsidTr="007A1520">
        <w:tc>
          <w:tcPr>
            <w:tcW w:w="904" w:type="dxa"/>
            <w:shd w:val="clear" w:color="auto" w:fill="auto"/>
          </w:tcPr>
          <w:p w14:paraId="501EB6ED" w14:textId="77777777" w:rsidR="007C259A" w:rsidRPr="00BD16B4" w:rsidRDefault="007C259A" w:rsidP="001E144F">
            <w:pPr>
              <w:pStyle w:val="TableText"/>
              <w:spacing w:before="30" w:after="30"/>
              <w:rPr>
                <w:rFonts w:cs="Calibri"/>
                <w:szCs w:val="18"/>
              </w:rPr>
            </w:pPr>
            <w:r w:rsidRPr="00BD16B4">
              <w:rPr>
                <w:rFonts w:cs="Calibri"/>
                <w:szCs w:val="18"/>
              </w:rPr>
              <w:t>N</w:t>
            </w:r>
            <w:r w:rsidRPr="00BD16B4">
              <w:rPr>
                <w:rFonts w:cs="Calibri"/>
                <w:szCs w:val="18"/>
                <w:vertAlign w:val="subscript"/>
              </w:rPr>
              <w:t>2</w:t>
            </w:r>
            <w:r w:rsidRPr="00BD16B4">
              <w:rPr>
                <w:rFonts w:cs="Calibri"/>
                <w:szCs w:val="18"/>
              </w:rPr>
              <w:t>O</w:t>
            </w:r>
          </w:p>
        </w:tc>
        <w:tc>
          <w:tcPr>
            <w:tcW w:w="760" w:type="dxa"/>
            <w:shd w:val="clear" w:color="auto" w:fill="auto"/>
          </w:tcPr>
          <w:p w14:paraId="455C7EEF" w14:textId="77777777" w:rsidR="007C259A" w:rsidRPr="00BD16B4" w:rsidRDefault="007C259A" w:rsidP="001E144F">
            <w:pPr>
              <w:pStyle w:val="TableText"/>
              <w:spacing w:before="30" w:after="30"/>
              <w:jc w:val="center"/>
              <w:rPr>
                <w:rFonts w:cs="Calibri"/>
                <w:szCs w:val="18"/>
              </w:rPr>
            </w:pPr>
            <w:r w:rsidRPr="00BD16B4">
              <w:rPr>
                <w:rFonts w:cs="Calibri"/>
                <w:szCs w:val="18"/>
              </w:rPr>
              <w:t>0.3</w:t>
            </w:r>
          </w:p>
        </w:tc>
        <w:tc>
          <w:tcPr>
            <w:tcW w:w="760" w:type="dxa"/>
          </w:tcPr>
          <w:p w14:paraId="087E72B1" w14:textId="77777777" w:rsidR="007C259A" w:rsidRPr="00BD16B4" w:rsidRDefault="007C259A" w:rsidP="001E144F">
            <w:pPr>
              <w:pStyle w:val="TableText"/>
              <w:spacing w:before="30" w:after="30"/>
              <w:jc w:val="center"/>
              <w:rPr>
                <w:rFonts w:cs="Calibri"/>
                <w:szCs w:val="18"/>
              </w:rPr>
            </w:pPr>
            <w:r w:rsidRPr="00BD16B4">
              <w:rPr>
                <w:rFonts w:cs="Calibri"/>
                <w:szCs w:val="18"/>
              </w:rPr>
              <w:t>0.4</w:t>
            </w:r>
          </w:p>
        </w:tc>
        <w:tc>
          <w:tcPr>
            <w:tcW w:w="760" w:type="dxa"/>
          </w:tcPr>
          <w:p w14:paraId="760297EF" w14:textId="77777777" w:rsidR="007C259A" w:rsidRPr="00BD16B4" w:rsidRDefault="007C259A" w:rsidP="001E144F">
            <w:pPr>
              <w:pStyle w:val="TableText"/>
              <w:spacing w:before="30" w:after="30"/>
              <w:jc w:val="center"/>
              <w:rPr>
                <w:rFonts w:cs="Calibri"/>
                <w:szCs w:val="18"/>
              </w:rPr>
            </w:pPr>
            <w:r w:rsidRPr="00BD16B4">
              <w:rPr>
                <w:rFonts w:cs="Calibri"/>
                <w:szCs w:val="18"/>
              </w:rPr>
              <w:t>0.4</w:t>
            </w:r>
          </w:p>
        </w:tc>
        <w:tc>
          <w:tcPr>
            <w:tcW w:w="761" w:type="dxa"/>
          </w:tcPr>
          <w:p w14:paraId="5C8BAF66" w14:textId="77777777" w:rsidR="007C259A" w:rsidRPr="00BD16B4" w:rsidRDefault="007C259A" w:rsidP="001E144F">
            <w:pPr>
              <w:pStyle w:val="TableText"/>
              <w:spacing w:before="30" w:after="30"/>
              <w:jc w:val="center"/>
              <w:rPr>
                <w:rFonts w:cs="Calibri"/>
                <w:szCs w:val="18"/>
              </w:rPr>
            </w:pPr>
            <w:r w:rsidRPr="00BD16B4">
              <w:rPr>
                <w:rFonts w:cs="Calibri"/>
                <w:szCs w:val="18"/>
              </w:rPr>
              <w:t>0.4</w:t>
            </w:r>
          </w:p>
        </w:tc>
        <w:tc>
          <w:tcPr>
            <w:tcW w:w="760" w:type="dxa"/>
          </w:tcPr>
          <w:p w14:paraId="75D4B464" w14:textId="77777777" w:rsidR="007C259A" w:rsidRPr="00BD16B4" w:rsidRDefault="007C259A" w:rsidP="001E144F">
            <w:pPr>
              <w:pStyle w:val="TableText"/>
              <w:spacing w:before="30" w:after="30"/>
              <w:jc w:val="center"/>
              <w:rPr>
                <w:rFonts w:cs="Calibri"/>
                <w:szCs w:val="18"/>
              </w:rPr>
            </w:pPr>
            <w:r w:rsidRPr="00BD16B4">
              <w:rPr>
                <w:rFonts w:cs="Calibri"/>
                <w:szCs w:val="18"/>
              </w:rPr>
              <w:t>0.4</w:t>
            </w:r>
          </w:p>
        </w:tc>
        <w:tc>
          <w:tcPr>
            <w:tcW w:w="760" w:type="dxa"/>
          </w:tcPr>
          <w:p w14:paraId="7C196672" w14:textId="77777777" w:rsidR="007C259A" w:rsidRPr="00BD16B4" w:rsidRDefault="007C259A" w:rsidP="001E144F">
            <w:pPr>
              <w:pStyle w:val="TableText"/>
              <w:spacing w:before="30" w:after="30"/>
              <w:jc w:val="center"/>
              <w:rPr>
                <w:rFonts w:cs="Calibri"/>
                <w:szCs w:val="18"/>
              </w:rPr>
            </w:pPr>
            <w:r w:rsidRPr="00BD16B4">
              <w:rPr>
                <w:rFonts w:cs="Calibri"/>
                <w:szCs w:val="18"/>
              </w:rPr>
              <w:t>0.3</w:t>
            </w:r>
          </w:p>
        </w:tc>
        <w:tc>
          <w:tcPr>
            <w:tcW w:w="760" w:type="dxa"/>
          </w:tcPr>
          <w:p w14:paraId="757C2902" w14:textId="77777777" w:rsidR="007C259A" w:rsidRPr="00BD16B4" w:rsidRDefault="007C259A" w:rsidP="001E144F">
            <w:pPr>
              <w:pStyle w:val="TableText"/>
              <w:spacing w:before="30" w:after="30"/>
              <w:jc w:val="center"/>
              <w:rPr>
                <w:rFonts w:cs="Calibri"/>
                <w:szCs w:val="18"/>
              </w:rPr>
            </w:pPr>
            <w:r w:rsidRPr="00BD16B4">
              <w:rPr>
                <w:rFonts w:cs="Calibri"/>
                <w:szCs w:val="18"/>
              </w:rPr>
              <w:t>0.3</w:t>
            </w:r>
          </w:p>
        </w:tc>
        <w:tc>
          <w:tcPr>
            <w:tcW w:w="760" w:type="dxa"/>
            <w:shd w:val="clear" w:color="auto" w:fill="D2DDE1" w:themeFill="background2"/>
          </w:tcPr>
          <w:p w14:paraId="373E2CD6" w14:textId="77777777" w:rsidR="007C259A" w:rsidRPr="00BD16B4" w:rsidRDefault="007C259A" w:rsidP="001E144F">
            <w:pPr>
              <w:pStyle w:val="TableText"/>
              <w:spacing w:before="30" w:after="30"/>
              <w:jc w:val="center"/>
              <w:rPr>
                <w:rFonts w:cs="Calibri"/>
                <w:szCs w:val="18"/>
              </w:rPr>
            </w:pPr>
            <w:r w:rsidRPr="00BD16B4">
              <w:rPr>
                <w:rFonts w:cs="Calibri"/>
                <w:szCs w:val="18"/>
              </w:rPr>
              <w:t>0.3</w:t>
            </w:r>
          </w:p>
        </w:tc>
        <w:tc>
          <w:tcPr>
            <w:tcW w:w="760" w:type="dxa"/>
            <w:shd w:val="clear" w:color="auto" w:fill="D2DDE1" w:themeFill="background2"/>
          </w:tcPr>
          <w:p w14:paraId="674AD200" w14:textId="77777777" w:rsidR="007C259A" w:rsidRPr="00BD16B4" w:rsidRDefault="007C259A" w:rsidP="001E144F">
            <w:pPr>
              <w:pStyle w:val="TableText"/>
              <w:spacing w:before="30" w:after="30"/>
              <w:jc w:val="center"/>
              <w:rPr>
                <w:rFonts w:cs="Calibri"/>
                <w:szCs w:val="18"/>
              </w:rPr>
            </w:pPr>
            <w:r w:rsidRPr="00BD16B4">
              <w:rPr>
                <w:rFonts w:cs="Calibri"/>
                <w:szCs w:val="18"/>
              </w:rPr>
              <w:t>0.3</w:t>
            </w:r>
          </w:p>
        </w:tc>
        <w:tc>
          <w:tcPr>
            <w:tcW w:w="760" w:type="dxa"/>
            <w:shd w:val="clear" w:color="auto" w:fill="D2DDE1" w:themeFill="background2"/>
          </w:tcPr>
          <w:p w14:paraId="3C67360C" w14:textId="77777777" w:rsidR="007C259A" w:rsidRPr="00BD16B4" w:rsidRDefault="007C259A" w:rsidP="001E144F">
            <w:pPr>
              <w:pStyle w:val="TableText"/>
              <w:spacing w:before="30" w:after="30"/>
              <w:jc w:val="center"/>
              <w:rPr>
                <w:rFonts w:cs="Calibri"/>
                <w:szCs w:val="18"/>
              </w:rPr>
            </w:pPr>
            <w:r w:rsidRPr="00BD16B4">
              <w:rPr>
                <w:rFonts w:cs="Calibri"/>
                <w:szCs w:val="18"/>
              </w:rPr>
              <w:t>0.3</w:t>
            </w:r>
          </w:p>
        </w:tc>
      </w:tr>
      <w:tr w:rsidR="007C259A" w:rsidRPr="00BD16B4" w14:paraId="5EBE236E" w14:textId="77777777" w:rsidTr="007A1520">
        <w:tc>
          <w:tcPr>
            <w:tcW w:w="904" w:type="dxa"/>
            <w:shd w:val="clear" w:color="auto" w:fill="auto"/>
          </w:tcPr>
          <w:p w14:paraId="0584EF1E" w14:textId="77777777" w:rsidR="007C259A" w:rsidRPr="00BD16B4" w:rsidRDefault="007C259A" w:rsidP="001E144F">
            <w:pPr>
              <w:pStyle w:val="TableText"/>
              <w:spacing w:before="30" w:after="30"/>
              <w:rPr>
                <w:rFonts w:cs="Calibri"/>
                <w:b/>
                <w:szCs w:val="18"/>
              </w:rPr>
            </w:pPr>
            <w:r w:rsidRPr="00BD16B4">
              <w:rPr>
                <w:rFonts w:cs="Calibri"/>
                <w:b/>
                <w:szCs w:val="18"/>
              </w:rPr>
              <w:t>Total</w:t>
            </w:r>
          </w:p>
        </w:tc>
        <w:tc>
          <w:tcPr>
            <w:tcW w:w="760" w:type="dxa"/>
            <w:shd w:val="clear" w:color="auto" w:fill="auto"/>
          </w:tcPr>
          <w:p w14:paraId="57D60812" w14:textId="77777777" w:rsidR="007C259A" w:rsidRPr="00BD16B4" w:rsidRDefault="007C259A" w:rsidP="001E144F">
            <w:pPr>
              <w:pStyle w:val="TableText"/>
              <w:spacing w:before="30" w:after="30"/>
              <w:jc w:val="center"/>
              <w:rPr>
                <w:rFonts w:cs="Calibri"/>
                <w:b/>
                <w:szCs w:val="18"/>
              </w:rPr>
            </w:pPr>
            <w:r w:rsidRPr="00BD16B4">
              <w:rPr>
                <w:rFonts w:cs="Calibri"/>
                <w:b/>
                <w:szCs w:val="18"/>
              </w:rPr>
              <w:t>–21.2</w:t>
            </w:r>
          </w:p>
        </w:tc>
        <w:tc>
          <w:tcPr>
            <w:tcW w:w="760" w:type="dxa"/>
          </w:tcPr>
          <w:p w14:paraId="490080E4" w14:textId="77777777" w:rsidR="007C259A" w:rsidRPr="00BD16B4" w:rsidRDefault="007C259A" w:rsidP="001E144F">
            <w:pPr>
              <w:pStyle w:val="TableText"/>
              <w:spacing w:before="30" w:after="30"/>
              <w:jc w:val="center"/>
              <w:rPr>
                <w:rFonts w:cs="Calibri"/>
                <w:b/>
                <w:szCs w:val="18"/>
              </w:rPr>
            </w:pPr>
            <w:r w:rsidRPr="00BD16B4">
              <w:rPr>
                <w:rFonts w:cs="Calibri"/>
                <w:b/>
                <w:szCs w:val="18"/>
              </w:rPr>
              <w:t>–22.4</w:t>
            </w:r>
          </w:p>
        </w:tc>
        <w:tc>
          <w:tcPr>
            <w:tcW w:w="760" w:type="dxa"/>
          </w:tcPr>
          <w:p w14:paraId="335D8950" w14:textId="77777777" w:rsidR="007C259A" w:rsidRPr="00BD16B4" w:rsidRDefault="007C259A" w:rsidP="001E144F">
            <w:pPr>
              <w:pStyle w:val="TableText"/>
              <w:spacing w:before="30" w:after="30"/>
              <w:jc w:val="center"/>
              <w:rPr>
                <w:rFonts w:cs="Calibri"/>
                <w:b/>
                <w:szCs w:val="18"/>
              </w:rPr>
            </w:pPr>
            <w:r w:rsidRPr="00BD16B4">
              <w:rPr>
                <w:rFonts w:cs="Calibri"/>
                <w:b/>
                <w:szCs w:val="18"/>
              </w:rPr>
              <w:t>–26.9</w:t>
            </w:r>
          </w:p>
        </w:tc>
        <w:tc>
          <w:tcPr>
            <w:tcW w:w="761" w:type="dxa"/>
          </w:tcPr>
          <w:p w14:paraId="26699DC7" w14:textId="77777777" w:rsidR="007C259A" w:rsidRPr="00BD16B4" w:rsidRDefault="007C259A" w:rsidP="001E144F">
            <w:pPr>
              <w:pStyle w:val="TableText"/>
              <w:spacing w:before="30" w:after="30"/>
              <w:jc w:val="center"/>
              <w:rPr>
                <w:rFonts w:cs="Calibri"/>
                <w:b/>
                <w:szCs w:val="18"/>
              </w:rPr>
            </w:pPr>
            <w:r w:rsidRPr="00BD16B4">
              <w:rPr>
                <w:rFonts w:cs="Calibri"/>
                <w:b/>
                <w:szCs w:val="18"/>
              </w:rPr>
              <w:t>–25.4</w:t>
            </w:r>
          </w:p>
        </w:tc>
        <w:tc>
          <w:tcPr>
            <w:tcW w:w="760" w:type="dxa"/>
          </w:tcPr>
          <w:p w14:paraId="3CD69B5B" w14:textId="77777777" w:rsidR="007C259A" w:rsidRPr="00BD16B4" w:rsidRDefault="007C259A" w:rsidP="001E144F">
            <w:pPr>
              <w:pStyle w:val="TableText"/>
              <w:spacing w:before="30" w:after="30"/>
              <w:jc w:val="center"/>
              <w:rPr>
                <w:rFonts w:cs="Calibri"/>
                <w:b/>
                <w:szCs w:val="18"/>
              </w:rPr>
            </w:pPr>
            <w:r w:rsidRPr="00BD16B4">
              <w:rPr>
                <w:rFonts w:cs="Calibri"/>
                <w:b/>
                <w:szCs w:val="18"/>
              </w:rPr>
              <w:t>–29.3</w:t>
            </w:r>
          </w:p>
        </w:tc>
        <w:tc>
          <w:tcPr>
            <w:tcW w:w="760" w:type="dxa"/>
          </w:tcPr>
          <w:p w14:paraId="1012D784" w14:textId="77777777" w:rsidR="007C259A" w:rsidRPr="00BD16B4" w:rsidRDefault="007C259A" w:rsidP="001E144F">
            <w:pPr>
              <w:pStyle w:val="TableText"/>
              <w:spacing w:before="30" w:after="30"/>
              <w:jc w:val="center"/>
              <w:rPr>
                <w:rFonts w:cs="Calibri"/>
                <w:b/>
                <w:szCs w:val="18"/>
              </w:rPr>
            </w:pPr>
            <w:r w:rsidRPr="00BD16B4">
              <w:rPr>
                <w:rFonts w:cs="Calibri"/>
                <w:b/>
                <w:szCs w:val="18"/>
              </w:rPr>
              <w:t>–26.6</w:t>
            </w:r>
          </w:p>
        </w:tc>
        <w:tc>
          <w:tcPr>
            <w:tcW w:w="760" w:type="dxa"/>
          </w:tcPr>
          <w:p w14:paraId="3DE2942E" w14:textId="77777777" w:rsidR="007C259A" w:rsidRPr="00BD16B4" w:rsidRDefault="007C259A" w:rsidP="001E144F">
            <w:pPr>
              <w:pStyle w:val="TableText"/>
              <w:spacing w:before="30" w:after="30"/>
              <w:jc w:val="center"/>
              <w:rPr>
                <w:rFonts w:cs="Calibri"/>
                <w:b/>
                <w:szCs w:val="18"/>
              </w:rPr>
            </w:pPr>
            <w:r w:rsidRPr="00BD16B4">
              <w:rPr>
                <w:rFonts w:cs="Calibri"/>
                <w:b/>
                <w:szCs w:val="18"/>
              </w:rPr>
              <w:t>–23.3</w:t>
            </w:r>
          </w:p>
        </w:tc>
        <w:tc>
          <w:tcPr>
            <w:tcW w:w="760" w:type="dxa"/>
            <w:shd w:val="clear" w:color="auto" w:fill="D2DDE1" w:themeFill="background2"/>
          </w:tcPr>
          <w:p w14:paraId="385B8F83" w14:textId="77777777" w:rsidR="007C259A" w:rsidRPr="00BD16B4" w:rsidRDefault="007C259A" w:rsidP="001E144F">
            <w:pPr>
              <w:pStyle w:val="TableText"/>
              <w:spacing w:before="30" w:after="30"/>
              <w:jc w:val="center"/>
              <w:rPr>
                <w:rFonts w:cs="Calibri"/>
                <w:b/>
                <w:szCs w:val="18"/>
              </w:rPr>
            </w:pPr>
            <w:r w:rsidRPr="00BD16B4">
              <w:rPr>
                <w:rFonts w:cs="Calibri"/>
                <w:b/>
                <w:szCs w:val="18"/>
              </w:rPr>
              <w:t>–9.5</w:t>
            </w:r>
          </w:p>
        </w:tc>
        <w:tc>
          <w:tcPr>
            <w:tcW w:w="760" w:type="dxa"/>
            <w:shd w:val="clear" w:color="auto" w:fill="D2DDE1" w:themeFill="background2"/>
          </w:tcPr>
          <w:p w14:paraId="2B9D7686" w14:textId="77777777" w:rsidR="007C259A" w:rsidRPr="00BD16B4" w:rsidRDefault="007C259A" w:rsidP="001E144F">
            <w:pPr>
              <w:pStyle w:val="TableText"/>
              <w:spacing w:before="30" w:after="30"/>
              <w:jc w:val="center"/>
              <w:rPr>
                <w:rFonts w:cs="Calibri"/>
                <w:b/>
                <w:szCs w:val="18"/>
              </w:rPr>
            </w:pPr>
            <w:r w:rsidRPr="00BD16B4">
              <w:rPr>
                <w:rFonts w:cs="Calibri"/>
                <w:b/>
                <w:szCs w:val="18"/>
              </w:rPr>
              <w:t>–12.0</w:t>
            </w:r>
          </w:p>
        </w:tc>
        <w:tc>
          <w:tcPr>
            <w:tcW w:w="760" w:type="dxa"/>
            <w:shd w:val="clear" w:color="auto" w:fill="D2DDE1" w:themeFill="background2"/>
          </w:tcPr>
          <w:p w14:paraId="52D8B5AA" w14:textId="77777777" w:rsidR="007C259A" w:rsidRPr="00BD16B4" w:rsidRDefault="007C259A" w:rsidP="001E144F">
            <w:pPr>
              <w:pStyle w:val="TableText"/>
              <w:spacing w:before="30" w:after="30"/>
              <w:jc w:val="center"/>
              <w:rPr>
                <w:rFonts w:cs="Calibri"/>
                <w:b/>
                <w:szCs w:val="18"/>
              </w:rPr>
            </w:pPr>
            <w:r w:rsidRPr="00BD16B4">
              <w:rPr>
                <w:rFonts w:cs="Calibri"/>
                <w:b/>
                <w:szCs w:val="18"/>
              </w:rPr>
              <w:t>–25.5</w:t>
            </w:r>
          </w:p>
        </w:tc>
      </w:tr>
    </w:tbl>
    <w:p w14:paraId="3F6229A6" w14:textId="77777777" w:rsidR="007C259A" w:rsidRPr="00BD16B4" w:rsidRDefault="007C259A" w:rsidP="00120409">
      <w:pPr>
        <w:pStyle w:val="Note"/>
      </w:pPr>
      <w:r w:rsidRPr="00BD16B4">
        <w:rPr>
          <w:b/>
          <w:bCs/>
        </w:rPr>
        <w:t>Note:</w:t>
      </w:r>
      <w:r w:rsidRPr="00BD16B4">
        <w:t xml:space="preserve"> Removals are expressed as negatives (–) and represent net carbon dioxide (CO</w:t>
      </w:r>
      <w:r w:rsidRPr="00BD16B4">
        <w:rPr>
          <w:vertAlign w:val="subscript"/>
        </w:rPr>
        <w:t>2</w:t>
      </w:r>
      <w:r w:rsidRPr="00BD16B4">
        <w:t>-e) removed from the atmosphere, while emissions are expressed as positives (+) and represent net CO</w:t>
      </w:r>
      <w:r w:rsidRPr="00BD16B4">
        <w:rPr>
          <w:vertAlign w:val="subscript"/>
        </w:rPr>
        <w:t>2</w:t>
      </w:r>
      <w:r w:rsidRPr="00BD16B4">
        <w:t>-e emissions to the atmosphere. CH</w:t>
      </w:r>
      <w:r w:rsidRPr="00BD16B4">
        <w:rPr>
          <w:vertAlign w:val="subscript"/>
        </w:rPr>
        <w:t>4</w:t>
      </w:r>
      <w:r w:rsidRPr="00BD16B4">
        <w:t xml:space="preserve"> = methane; LULUCF = land use, land-use change and forestry; Mt CO</w:t>
      </w:r>
      <w:r w:rsidRPr="00BD16B4">
        <w:rPr>
          <w:vertAlign w:val="subscript"/>
        </w:rPr>
        <w:t>2</w:t>
      </w:r>
      <w:r w:rsidRPr="00BD16B4">
        <w:t>-e = million tonnes of carbon dioxide equivalent; N</w:t>
      </w:r>
      <w:r w:rsidRPr="00BD16B4">
        <w:rPr>
          <w:vertAlign w:val="subscript"/>
        </w:rPr>
        <w:t>2</w:t>
      </w:r>
      <w:r w:rsidRPr="00BD16B4">
        <w:t>O = nitrous oxide.</w:t>
      </w:r>
    </w:p>
    <w:p w14:paraId="33E4945B" w14:textId="77777777" w:rsidR="007C259A" w:rsidRPr="00BD16B4" w:rsidRDefault="007C259A" w:rsidP="004E1B8C">
      <w:pPr>
        <w:pStyle w:val="Heading4"/>
      </w:pPr>
      <w:r w:rsidRPr="00BD16B4">
        <w:lastRenderedPageBreak/>
        <w:t>Methodology</w:t>
      </w:r>
    </w:p>
    <w:p w14:paraId="631C32BC" w14:textId="77777777" w:rsidR="007C259A" w:rsidRPr="00BD16B4" w:rsidRDefault="007C259A" w:rsidP="007C259A">
      <w:pPr>
        <w:pStyle w:val="BodyText"/>
      </w:pPr>
      <w:r w:rsidRPr="00BD16B4">
        <w:t xml:space="preserve">Projected emissions and removals from the LULUCF sector are calculated using methodologies consistent with those used within </w:t>
      </w:r>
      <w:r w:rsidRPr="00BD16B4">
        <w:rPr>
          <w:i/>
          <w:iCs/>
        </w:rPr>
        <w:t>New Zealand’s Greenhouse Gas Inventory 1990–2020</w:t>
      </w:r>
      <w:r w:rsidRPr="00BD16B4">
        <w:rPr>
          <w:rStyle w:val="FootnoteReference"/>
        </w:rPr>
        <w:footnoteReference w:id="249"/>
      </w:r>
      <w:r w:rsidRPr="00BD16B4">
        <w:rPr>
          <w:i/>
          <w:iCs/>
        </w:rPr>
        <w:t xml:space="preserve"> </w:t>
      </w:r>
      <w:r w:rsidRPr="00BD16B4">
        <w:t xml:space="preserve">(the Inventory). Activity data and emission factors used in the Inventory comprise the historical time series (1990–2020) used in this report. The modelling takes a bottom-up approach to projecting the WEM projections. Each LULUCF policy and measure is calculated on an individual basis using a bottom-up approach, with the total for each policy and measure subtracted from the WEM scenario to provide an accurate estimate of the WOM scenario. </w:t>
      </w:r>
    </w:p>
    <w:p w14:paraId="4BD341AB" w14:textId="77777777" w:rsidR="007C259A" w:rsidRPr="00BD16B4" w:rsidRDefault="007C259A" w:rsidP="007C259A">
      <w:pPr>
        <w:pStyle w:val="BodyText"/>
      </w:pPr>
      <w:r w:rsidRPr="00BD16B4">
        <w:rPr>
          <w:spacing w:val="-2"/>
        </w:rPr>
        <w:t>As with projections of emissions for any sector, the LULUCF sector is sensitive to the underlying</w:t>
      </w:r>
      <w:r w:rsidRPr="00BD16B4">
        <w:t xml:space="preserve"> assumptions used. It is challenging to arrive at absolute values of future rates of afforestation, </w:t>
      </w:r>
      <w:r w:rsidRPr="00BD16B4">
        <w:rPr>
          <w:spacing w:val="-2"/>
        </w:rPr>
        <w:t>deforestation, harvesting, pre-1990 natural forest sequestration and harvested wood products</w:t>
      </w:r>
      <w:r w:rsidRPr="00BD16B4">
        <w:t xml:space="preserve">. Projections of activity data and emission factors are based on external research and analysis, with a range of upper and lower removals to reflect the variability in predictions. </w:t>
      </w:r>
    </w:p>
    <w:p w14:paraId="028B2221" w14:textId="77777777" w:rsidR="007C259A" w:rsidRPr="00BD16B4" w:rsidRDefault="007C259A" w:rsidP="004E1B8C">
      <w:pPr>
        <w:pStyle w:val="Heading4"/>
      </w:pPr>
      <w:r w:rsidRPr="00BD16B4">
        <w:t>Main assumptions</w:t>
      </w:r>
    </w:p>
    <w:p w14:paraId="2EA8F9C5" w14:textId="77777777" w:rsidR="007C259A" w:rsidRPr="00BD16B4" w:rsidRDefault="007C259A" w:rsidP="007C259A">
      <w:pPr>
        <w:pStyle w:val="BodyText"/>
      </w:pPr>
      <w:r w:rsidRPr="00BD16B4">
        <w:t>The main drivers and assumptions used in the LULUCF projections are detailed below.</w:t>
      </w:r>
    </w:p>
    <w:p w14:paraId="2382D3BC" w14:textId="77777777" w:rsidR="007C259A" w:rsidRPr="00BD16B4" w:rsidRDefault="007C259A" w:rsidP="00BB33B9">
      <w:pPr>
        <w:pStyle w:val="Heading5"/>
      </w:pPr>
      <w:r w:rsidRPr="00BD16B4">
        <w:t>Pre-1990 natural forests</w:t>
      </w:r>
    </w:p>
    <w:p w14:paraId="6D01A39E" w14:textId="77777777" w:rsidR="007C259A" w:rsidRPr="00BD16B4" w:rsidRDefault="007C259A" w:rsidP="007C259A">
      <w:pPr>
        <w:pStyle w:val="BodyText"/>
      </w:pPr>
      <w:r w:rsidRPr="00BD16B4">
        <w:t>New Zealand’s pre-1990 natural forest is separated into two sub-categories: pre-1990 regenerating forest and pre-1990 tall forest. Carbon stock changes of these forest categories are reported in the Inventory. In 2020 the pre-1990 natural forest estate was a net sink, sequestering around –1.4 Mt CO</w:t>
      </w:r>
      <w:r w:rsidRPr="00BD16B4">
        <w:rPr>
          <w:vertAlign w:val="subscript"/>
        </w:rPr>
        <w:t xml:space="preserve">2. </w:t>
      </w:r>
      <w:r w:rsidRPr="00BD16B4">
        <w:t xml:space="preserve">The regenerating component of the pre-1990 forest estate was a net sink whereas the tall forest component was a net source of emissions. </w:t>
      </w:r>
    </w:p>
    <w:p w14:paraId="72EED9CF" w14:textId="77777777" w:rsidR="007C259A" w:rsidRPr="00BD16B4" w:rsidRDefault="007C259A" w:rsidP="007C259A">
      <w:pPr>
        <w:pStyle w:val="BodyText"/>
        <w:keepNext/>
        <w:keepLines/>
      </w:pPr>
      <w:r w:rsidRPr="00BD16B4">
        <w:t>Activity data and emission factors for New Zealand’s pre-1990 natural forest from the Inventory are used for the historical time series 1990–2020. Pre-1990 natural forest projections from 2021 to 2035 assume the continued rate of change for pre-1990 tall and regenerating natural forests.</w:t>
      </w:r>
      <w:r w:rsidRPr="00BD16B4">
        <w:rPr>
          <w:rStyle w:val="FootnoteReference"/>
        </w:rPr>
        <w:footnoteReference w:id="250"/>
      </w:r>
    </w:p>
    <w:p w14:paraId="5026CC50" w14:textId="77777777" w:rsidR="007C259A" w:rsidRPr="00BD16B4" w:rsidRDefault="007C259A" w:rsidP="00BA5ABA">
      <w:pPr>
        <w:spacing w:after="100"/>
        <w:jc w:val="left"/>
      </w:pPr>
      <w:r w:rsidRPr="00BD16B4">
        <w:t>The rate of carbon stock change in pre-1990 tall forest is –0.01 ± 0.19 t C ha</w:t>
      </w:r>
      <w:r w:rsidRPr="00BD16B4">
        <w:rPr>
          <w:vertAlign w:val="superscript"/>
        </w:rPr>
        <w:t>–1</w:t>
      </w:r>
      <w:r w:rsidRPr="00BD16B4">
        <w:t>yr</w:t>
      </w:r>
      <w:r w:rsidRPr="00BD16B4">
        <w:rPr>
          <w:vertAlign w:val="superscript"/>
        </w:rPr>
        <w:t>–1</w:t>
      </w:r>
      <w:r w:rsidRPr="00BD16B4">
        <w:t>, while for pre-1990 regenerating forest the rate of change is 0.43 ± 0.51 t C ha</w:t>
      </w:r>
      <w:r w:rsidRPr="00BD16B4">
        <w:rPr>
          <w:vertAlign w:val="superscript"/>
        </w:rPr>
        <w:t>–1</w:t>
      </w:r>
      <w:r w:rsidRPr="00BD16B4">
        <w:t>yr</w:t>
      </w:r>
      <w:r w:rsidRPr="00BD16B4">
        <w:rPr>
          <w:vertAlign w:val="superscript"/>
        </w:rPr>
        <w:t>–1</w:t>
      </w:r>
      <w:r w:rsidRPr="00BD16B4">
        <w:t>. The uncertainty in the report’s estimate has been applied to the lower and upper removal scenarios to represent sensitivity in measurement, sampling and model uncertainty.</w:t>
      </w:r>
    </w:p>
    <w:p w14:paraId="7B790B7A" w14:textId="77777777" w:rsidR="007C259A" w:rsidRPr="00BD16B4" w:rsidRDefault="007C259A" w:rsidP="00BB33B9">
      <w:pPr>
        <w:pStyle w:val="Heading5"/>
      </w:pPr>
      <w:r w:rsidRPr="00BD16B4">
        <w:lastRenderedPageBreak/>
        <w:t>Pre-1990 planted forest and sustainable forest harvesting</w:t>
      </w:r>
    </w:p>
    <w:p w14:paraId="6DBA2F2B" w14:textId="77777777" w:rsidR="007C259A" w:rsidRPr="00BD16B4" w:rsidRDefault="007C259A" w:rsidP="00E0662A">
      <w:pPr>
        <w:pStyle w:val="BodyText"/>
        <w:spacing w:before="80" w:after="100"/>
      </w:pPr>
      <w:r w:rsidRPr="00BD16B4">
        <w:t>In 1990, pre-1990 planted forests were a net sink, sequestering around –19.1 Mt CO</w:t>
      </w:r>
      <w:r w:rsidRPr="00BD16B4">
        <w:rPr>
          <w:vertAlign w:val="subscript"/>
        </w:rPr>
        <w:t>2</w:t>
      </w:r>
      <w:r w:rsidRPr="00BD16B4">
        <w:t>. This has decreased to around –7.7 Mt CO</w:t>
      </w:r>
      <w:r w:rsidRPr="00BD16B4">
        <w:rPr>
          <w:vertAlign w:val="subscript"/>
        </w:rPr>
        <w:t xml:space="preserve">2 </w:t>
      </w:r>
      <w:r w:rsidRPr="00BD16B4">
        <w:t xml:space="preserve">in 2020, due to an increase in rates of harvesting. The activity data and emission factors from </w:t>
      </w:r>
      <w:r w:rsidRPr="00BD16B4">
        <w:rPr>
          <w:i/>
          <w:iCs/>
        </w:rPr>
        <w:t>New Zealand’s Greenhouse Gas Inventory 1990–2020</w:t>
      </w:r>
      <w:r w:rsidRPr="00BD16B4">
        <w:t>,</w:t>
      </w:r>
      <w:r w:rsidRPr="00BD16B4" w:rsidDel="00DD372C">
        <w:rPr>
          <w:rStyle w:val="FootnoteReference"/>
        </w:rPr>
        <w:footnoteReference w:id="251"/>
      </w:r>
      <w:r w:rsidRPr="00BD16B4">
        <w:rPr>
          <w:i/>
        </w:rPr>
        <w:t xml:space="preserve"> </w:t>
      </w:r>
      <w:r w:rsidRPr="00BD16B4">
        <w:t xml:space="preserve">combined with projections of harvesting and replanting, are used to determine pre-1990 planted forest emissions and removals from 2021 to 2035. </w:t>
      </w:r>
    </w:p>
    <w:p w14:paraId="1AB07B89" w14:textId="77777777" w:rsidR="007C259A" w:rsidRPr="00BD16B4" w:rsidRDefault="007C259A" w:rsidP="00E77A38">
      <w:pPr>
        <w:pStyle w:val="BodyText"/>
        <w:spacing w:before="100" w:after="100"/>
        <w:rPr>
          <w:rFonts w:cs="Arial"/>
        </w:rPr>
      </w:pPr>
      <w:r w:rsidRPr="00BD16B4">
        <w:t xml:space="preserve">Projections of pre-1990 planted forest harvest are sourced from the </w:t>
      </w:r>
      <w:r w:rsidRPr="00BD16B4">
        <w:rPr>
          <w:i/>
          <w:iCs/>
        </w:rPr>
        <w:t>Wood Availability Forecast – New Zealand 2021 to 2060</w:t>
      </w:r>
      <w:r w:rsidRPr="00BD16B4">
        <w:t xml:space="preserve"> (the Wood Availability Forecast).</w:t>
      </w:r>
      <w:r w:rsidRPr="00BD16B4">
        <w:rPr>
          <w:rStyle w:val="FootnoteReference"/>
          <w:color w:val="000000" w:themeColor="text1"/>
        </w:rPr>
        <w:footnoteReference w:id="252"/>
      </w:r>
      <w:r w:rsidRPr="00BD16B4">
        <w:t xml:space="preserve"> Almost all forest harvesting in New Zealand (99.9 per cent) occurs in planted production forests.</w:t>
      </w:r>
      <w:r w:rsidRPr="00BD16B4">
        <w:rPr>
          <w:rStyle w:val="FootnoteReference"/>
        </w:rPr>
        <w:footnoteReference w:id="253"/>
      </w:r>
      <w:r w:rsidRPr="00BD16B4">
        <w:t xml:space="preserve"> Planted forest harvesting area, age and net emissions from 1990 to 2020 are sourced from the Inventory. Projections are modelled from </w:t>
      </w:r>
      <w:r w:rsidRPr="00BD16B4">
        <w:rPr>
          <w:rFonts w:cs="Arial"/>
        </w:rPr>
        <w:t>historical forest plantings and assume a target rotation length of 28</w:t>
      </w:r>
      <w:r w:rsidRPr="00BD16B4">
        <w:t>–</w:t>
      </w:r>
      <w:r w:rsidRPr="00BD16B4">
        <w:rPr>
          <w:rFonts w:cs="Arial"/>
        </w:rPr>
        <w:t>30 years.</w:t>
      </w:r>
    </w:p>
    <w:p w14:paraId="7F7FF46F" w14:textId="77777777" w:rsidR="007C259A" w:rsidRPr="00BD16B4" w:rsidRDefault="007C259A" w:rsidP="00BB33B9">
      <w:pPr>
        <w:pStyle w:val="Heading5"/>
        <w:rPr>
          <w:rFonts w:cs="Arial"/>
        </w:rPr>
      </w:pPr>
      <w:r w:rsidRPr="00BD16B4">
        <w:t>Afforestation and sustainable forest harvesting</w:t>
      </w:r>
    </w:p>
    <w:p w14:paraId="6AD132F8" w14:textId="77777777" w:rsidR="007C259A" w:rsidRPr="00BD16B4" w:rsidRDefault="007C259A" w:rsidP="00E0662A">
      <w:pPr>
        <w:pStyle w:val="BodyText"/>
        <w:spacing w:before="80" w:after="100"/>
      </w:pPr>
      <w:r w:rsidRPr="00BD16B4">
        <w:t>Historical post-1989 forest activity data and emission factors are sourced from the Inventory</w:t>
      </w:r>
      <w:r w:rsidRPr="00BD16B4">
        <w:rPr>
          <w:i/>
          <w:iCs/>
        </w:rPr>
        <w:t>.</w:t>
      </w:r>
      <w:r w:rsidRPr="00BD16B4">
        <w:t xml:space="preserve"> Estimated post-1989 planted forest age-class data from the Inventory are combined with projected afforestation scenarios from 2021, and the 2021 Wood Availability Forecast</w:t>
      </w:r>
      <w:r w:rsidRPr="00BD16B4">
        <w:rPr>
          <w:i/>
          <w:iCs/>
        </w:rPr>
        <w:t xml:space="preserve"> </w:t>
      </w:r>
      <w:r w:rsidRPr="00BD16B4">
        <w:t>to estimate emissions and removals out to 2035. The 2021 Wood Availability Forecast indicates that harvest levels will increase over the 2020s, which is reflected in the LULUCF projections with lower net removals over this period.</w:t>
      </w:r>
    </w:p>
    <w:p w14:paraId="769D3C9E" w14:textId="77777777" w:rsidR="007C259A" w:rsidRPr="00BD16B4" w:rsidRDefault="007C259A" w:rsidP="00E77A38">
      <w:pPr>
        <w:pStyle w:val="BodyText"/>
        <w:spacing w:before="100" w:after="100"/>
      </w:pPr>
      <w:r w:rsidRPr="00BD16B4">
        <w:t xml:space="preserve">Projected afforestation scenarios from 2021 onwards are based on the University of </w:t>
      </w:r>
      <w:r w:rsidRPr="00BD16B4">
        <w:rPr>
          <w:spacing w:val="-2"/>
        </w:rPr>
        <w:t xml:space="preserve">Canterbury’s School of Forestry report, </w:t>
      </w:r>
      <w:r w:rsidRPr="00BD16B4">
        <w:rPr>
          <w:i/>
          <w:iCs/>
          <w:spacing w:val="-2"/>
        </w:rPr>
        <w:t>Afforestation and Deforestation Intentions Survey 2021.</w:t>
      </w:r>
      <w:r w:rsidRPr="00BD16B4">
        <w:rPr>
          <w:vertAlign w:val="superscript"/>
        </w:rPr>
        <w:footnoteReference w:id="254"/>
      </w:r>
      <w:r w:rsidRPr="00BD16B4">
        <w:t xml:space="preserve"> The report shows exotic afforestation intentions estimated at 41,500 hectares in 2021 and intentions to establish 63,300 hectares in 2022 (47,900 hectares was confirmed at the time of the survey), with exotic afforestation intentions ranging between 31,355 and 46,500 hectares per year from 2023 to 2030. The survey also reported native forest afforestation estimated at 7,000 hectares in 2021, and intentions of 5,300 hectares in 2022 which then decreased to around 2,000 hectares per year by 2030.</w:t>
      </w:r>
    </w:p>
    <w:p w14:paraId="092B623A" w14:textId="77777777" w:rsidR="007C259A" w:rsidRPr="00BD16B4" w:rsidRDefault="007C259A" w:rsidP="00BB33B9">
      <w:pPr>
        <w:pStyle w:val="Heading5"/>
      </w:pPr>
      <w:r w:rsidRPr="00BD16B4">
        <w:t xml:space="preserve">Harvested wood products </w:t>
      </w:r>
    </w:p>
    <w:p w14:paraId="6064030A" w14:textId="77777777" w:rsidR="007C259A" w:rsidRPr="00BD16B4" w:rsidRDefault="007C259A" w:rsidP="00E0662A">
      <w:pPr>
        <w:pStyle w:val="BodyText"/>
        <w:spacing w:before="80" w:after="100"/>
      </w:pPr>
      <w:r w:rsidRPr="00BD16B4">
        <w:t>New Zealand’s planted forests are dominated by radiata pine. Its wood is used in a wide range of applications including timber-frame construction, packaging, plywood, medium-density fibreboard, posts and poles, and mechanical and chemical pulping. The methodology used to estimate net removals from harvested wood products over the projected period can be found in the Inventory.</w:t>
      </w:r>
    </w:p>
    <w:p w14:paraId="77D58AC5" w14:textId="77777777" w:rsidR="007C259A" w:rsidRPr="00BD16B4" w:rsidRDefault="007C259A" w:rsidP="00BB33B9">
      <w:pPr>
        <w:pStyle w:val="Heading5"/>
      </w:pPr>
      <w:r w:rsidRPr="00BD16B4">
        <w:lastRenderedPageBreak/>
        <w:t>Deforestation</w:t>
      </w:r>
    </w:p>
    <w:p w14:paraId="5639963C" w14:textId="77777777" w:rsidR="007C259A" w:rsidRPr="00BD16B4" w:rsidRDefault="007C259A" w:rsidP="007C259A">
      <w:pPr>
        <w:pStyle w:val="BodyText"/>
        <w:spacing w:before="100" w:after="100"/>
        <w:rPr>
          <w:color w:val="000000" w:themeColor="text1"/>
        </w:rPr>
      </w:pPr>
      <w:r w:rsidRPr="00BD16B4">
        <w:t xml:space="preserve">Historical planted and natural forest deforestation activity data and emission factors are sourced from the Inventory. Projections of planted production forest deforestation are sourced from the </w:t>
      </w:r>
      <w:r w:rsidRPr="00BD16B4">
        <w:rPr>
          <w:i/>
          <w:iCs/>
        </w:rPr>
        <w:t>Afforestation and Deforestation Intentions Survey 2021</w:t>
      </w:r>
      <w:r w:rsidRPr="00BD16B4">
        <w:rPr>
          <w:color w:val="000000" w:themeColor="text1"/>
        </w:rPr>
        <w:t>.</w:t>
      </w:r>
      <w:r w:rsidRPr="00BD16B4">
        <w:rPr>
          <w:rStyle w:val="FootnoteReference"/>
          <w:color w:val="000000" w:themeColor="text1"/>
        </w:rPr>
        <w:footnoteReference w:id="255"/>
      </w:r>
      <w:r w:rsidRPr="00BD16B4">
        <w:t xml:space="preserve"> With most of New Zealand’s planted forestry estate privately owned, the three deforestation scenarios reflect the impact of land-use economics, carbon emissions unit price, and central and local government policies. Projections of pre-1990 natural forest deforestation are based on historical trends.</w:t>
      </w:r>
      <w:r w:rsidRPr="00BD16B4">
        <w:rPr>
          <w:rStyle w:val="FootnoteReference"/>
        </w:rPr>
        <w:footnoteReference w:id="256"/>
      </w:r>
    </w:p>
    <w:p w14:paraId="7A456092" w14:textId="77777777" w:rsidR="007C259A" w:rsidRPr="00BD16B4" w:rsidRDefault="007C259A" w:rsidP="00BB33B9">
      <w:pPr>
        <w:pStyle w:val="Heading5"/>
      </w:pPr>
      <w:r w:rsidRPr="00BD16B4">
        <w:t>Non-CO</w:t>
      </w:r>
      <w:r w:rsidRPr="00BD16B4">
        <w:rPr>
          <w:vertAlign w:val="subscript"/>
        </w:rPr>
        <w:t>2</w:t>
      </w:r>
      <w:r w:rsidRPr="00BD16B4">
        <w:t xml:space="preserve"> emissions</w:t>
      </w:r>
    </w:p>
    <w:p w14:paraId="5296CD01" w14:textId="77777777" w:rsidR="007C259A" w:rsidRPr="00BD16B4" w:rsidRDefault="007C259A" w:rsidP="007C259A">
      <w:pPr>
        <w:pStyle w:val="BodyText"/>
        <w:spacing w:before="100" w:after="100"/>
      </w:pPr>
      <w:r w:rsidRPr="00BD16B4">
        <w:t>Historical non-CO</w:t>
      </w:r>
      <w:r w:rsidRPr="00BD16B4">
        <w:rPr>
          <w:vertAlign w:val="subscript"/>
        </w:rPr>
        <w:t>2</w:t>
      </w:r>
      <w:r w:rsidRPr="00BD16B4">
        <w:t xml:space="preserve"> emissions are sourced from the Inventory</w:t>
      </w:r>
      <w:r w:rsidRPr="00BD16B4">
        <w:rPr>
          <w:i/>
          <w:iCs/>
        </w:rPr>
        <w:t xml:space="preserve">. </w:t>
      </w:r>
      <w:r w:rsidRPr="00BD16B4">
        <w:t>Non-CO</w:t>
      </w:r>
      <w:r w:rsidRPr="00BD16B4">
        <w:rPr>
          <w:vertAlign w:val="subscript"/>
        </w:rPr>
        <w:t>2</w:t>
      </w:r>
      <w:r w:rsidRPr="00BD16B4">
        <w:t xml:space="preserve"> emissions are not a significant source of emissions for New Zealand’s LULUCF sector, with projections based on historical trends.</w:t>
      </w:r>
    </w:p>
    <w:p w14:paraId="7E4384E3" w14:textId="77777777" w:rsidR="007C259A" w:rsidRPr="00BD16B4" w:rsidRDefault="007C259A" w:rsidP="006B5AEF">
      <w:pPr>
        <w:pStyle w:val="Heading4"/>
        <w:spacing w:before="280"/>
      </w:pPr>
      <w:r w:rsidRPr="00BD16B4">
        <w:t>Effect of policies and measures in the LULUCF sector</w:t>
      </w:r>
    </w:p>
    <w:p w14:paraId="7F4DFD62" w14:textId="77777777" w:rsidR="007C259A" w:rsidRPr="00BD16B4" w:rsidRDefault="007C259A" w:rsidP="007C259A">
      <w:pPr>
        <w:pStyle w:val="BodyText"/>
        <w:spacing w:before="100" w:after="100"/>
      </w:pPr>
      <w:r w:rsidRPr="00BD16B4">
        <w:t>The WOM projection excludes the estimated historical and projected effects of the NZ ETS and government forestry initiatives on net LULUCF removals (see table 5.23 and figure 5.7). The methods in determining the carbon impact of each policy are briefly described below.</w:t>
      </w:r>
    </w:p>
    <w:p w14:paraId="6DFEA1CB" w14:textId="77777777" w:rsidR="007C259A" w:rsidRPr="00BD16B4" w:rsidRDefault="007C259A" w:rsidP="00BB33B9">
      <w:pPr>
        <w:pStyle w:val="Heading5"/>
      </w:pPr>
      <w:r w:rsidRPr="00BD16B4">
        <w:t>New Zealand Emissions Trading Scheme</w:t>
      </w:r>
    </w:p>
    <w:p w14:paraId="5C91D910" w14:textId="77777777" w:rsidR="007C259A" w:rsidRPr="00BD16B4" w:rsidRDefault="007C259A" w:rsidP="006B5AEF">
      <w:pPr>
        <w:pStyle w:val="BodyText"/>
      </w:pPr>
      <w:r w:rsidRPr="00BD16B4">
        <w:t xml:space="preserve">The NZ ETS estimates in CTF table 3 (see chapter 4, section 4.3.9, table 4.3) are a combination of ‘additional’ afforestation and ‘avoided’ deforestation that could be attributed to the NZ ETS. The impact the NZ ETS has had on afforestation and deforestation varied between 2008 and 2020 depending on the carbon price at the time. The WOM scenario excludes the estimated impact of the NZ ETS on levels of afforestation and on pre-1990 planted forest deforestation. </w:t>
      </w:r>
    </w:p>
    <w:p w14:paraId="62411F70" w14:textId="77777777" w:rsidR="007C259A" w:rsidRPr="00BD16B4" w:rsidRDefault="007C259A" w:rsidP="007C259A">
      <w:pPr>
        <w:pStyle w:val="BodyText"/>
      </w:pPr>
      <w:r w:rsidRPr="00BD16B4">
        <w:t>The assessment of the historical and projected impact is primarily based on annual evaluation surveys, research and modelling conducted by the University of Canterbury’s School of Forestry.</w:t>
      </w:r>
      <w:r w:rsidRPr="00BD16B4">
        <w:rPr>
          <w:rStyle w:val="FootnoteReference"/>
        </w:rPr>
        <w:footnoteReference w:id="257"/>
      </w:r>
      <w:r w:rsidRPr="00BD16B4">
        <w:t xml:space="preserve"> Surveys conducted by the university are used to estimate the amount of deforestation that would occur ‘with’ and then ‘without’ the existence of the NZ ETS. The deforestation estimates ‘without the NZ ETS’ were correlated with historical and projected deforestation rates to determine the impact of the NZ ETS at that time. </w:t>
      </w:r>
    </w:p>
    <w:p w14:paraId="776009B7" w14:textId="77777777" w:rsidR="007C259A" w:rsidRPr="00BD16B4" w:rsidRDefault="007C259A" w:rsidP="007C259A">
      <w:pPr>
        <w:pStyle w:val="BodyText"/>
      </w:pPr>
      <w:r w:rsidRPr="00BD16B4">
        <w:t xml:space="preserve">In calculating the impact of the NZ ETS on afforestation, only afforestation since the establishment of the NZ ETS in 2008 is considered as being attributable. This creates a distinction between forests that were established before and after the NZ ETS came into effect, and ensures only forests established as a direct result of that initiative are included. Research and analysis conducted by the University of Canterbury are used to estimate the </w:t>
      </w:r>
      <w:r w:rsidRPr="00BD16B4">
        <w:lastRenderedPageBreak/>
        <w:t>impact of the NZ ETS carbon price on afforestation rates in New Zealand.</w:t>
      </w:r>
      <w:r w:rsidRPr="00BD16B4">
        <w:rPr>
          <w:rStyle w:val="FootnoteReference"/>
        </w:rPr>
        <w:footnoteReference w:id="258"/>
      </w:r>
      <w:r w:rsidRPr="00BD16B4">
        <w:t xml:space="preserve"> The research findings provide estimated afforestation ‘with’ and ‘without’ carbon </w:t>
      </w:r>
      <w:r w:rsidRPr="00BD16B4" w:rsidDel="00DC198A">
        <w:t>prices</w:t>
      </w:r>
      <w:r w:rsidRPr="00BD16B4">
        <w:t xml:space="preserve"> and are used as a </w:t>
      </w:r>
      <w:r w:rsidRPr="00BD16B4">
        <w:rPr>
          <w:spacing w:val="-2"/>
        </w:rPr>
        <w:t>measure of the ‘additional’ afforestation since 2008 that can be attributed to the establishment</w:t>
      </w:r>
      <w:r w:rsidRPr="00BD16B4">
        <w:t xml:space="preserve"> of the NZ ETS. The results of this research were then correlated with afforestation rates and carbon prices from 2008 to 2020, and ‘with existing measures’ projections from 2021 to 2035, to determine the impact that carbon price has had on afforestation.</w:t>
      </w:r>
    </w:p>
    <w:p w14:paraId="3A619F40" w14:textId="77777777" w:rsidR="007C259A" w:rsidRPr="00BD16B4" w:rsidRDefault="007C259A" w:rsidP="00BB33B9">
      <w:pPr>
        <w:pStyle w:val="Heading5"/>
      </w:pPr>
      <w:r w:rsidRPr="00BD16B4">
        <w:t>Government-funded forestry initiatives</w:t>
      </w:r>
    </w:p>
    <w:p w14:paraId="4E273822" w14:textId="77777777" w:rsidR="007C259A" w:rsidRPr="00BD16B4" w:rsidRDefault="007C259A" w:rsidP="007C259A">
      <w:pPr>
        <w:pStyle w:val="BodyText"/>
        <w:spacing w:after="100"/>
      </w:pPr>
      <w:r w:rsidRPr="00BD16B4">
        <w:t xml:space="preserve">The WOM scenario also assumes the exclusion of afforestation as a direct result of government forestry initiatives, such as the Afforestation Grant Scheme, Permanent Forest Sink Initiative, Sustainable Land Management Hill Country Erosion Programme, Erosion Control Funding Programme and the One Billion Trees Programme. See chapter 4 for further details of these government-funded forestry initiatives. The estimated impact of the various </w:t>
      </w:r>
      <w:r w:rsidRPr="00BD16B4">
        <w:rPr>
          <w:spacing w:val="-2"/>
        </w:rPr>
        <w:t>government forestry initiatives is provided in CTF table 3 (see chapter 4, section 4.3.9, table 4.3)</w:t>
      </w:r>
      <w:r w:rsidRPr="00BD16B4">
        <w:t>. Net removal estimates are based on methodologies in the Inventory, and simulate forest growth using activity data on forest area, age and species.</w:t>
      </w:r>
    </w:p>
    <w:p w14:paraId="51A1610B" w14:textId="77777777" w:rsidR="007C259A" w:rsidRPr="00BD16B4" w:rsidRDefault="007C259A" w:rsidP="004E1B8C">
      <w:pPr>
        <w:pStyle w:val="Heading4"/>
      </w:pPr>
      <w:r w:rsidRPr="00BD16B4">
        <w:t>Effect of additional measures</w:t>
      </w:r>
    </w:p>
    <w:p w14:paraId="3714C407" w14:textId="53CE2FBD" w:rsidR="007C259A" w:rsidRPr="00BD16B4" w:rsidRDefault="007C259A" w:rsidP="007C259A">
      <w:pPr>
        <w:pStyle w:val="BodyText"/>
        <w:keepLines/>
        <w:spacing w:before="100" w:after="100"/>
      </w:pPr>
      <w:r w:rsidRPr="00BD16B4">
        <w:t>The WAM scenario includes measures already implemented (WEM) and those planned, but currently not implemented (see table 5.23 and figure 5.7). The WAM scenario includes three initiatives that have been funded through the newly established Climate Emergency Response Fund.</w:t>
      </w:r>
      <w:r w:rsidRPr="00BD16B4">
        <w:rPr>
          <w:vertAlign w:val="superscript"/>
        </w:rPr>
        <w:footnoteReference w:id="259"/>
      </w:r>
      <w:r w:rsidRPr="00BD16B4">
        <w:t xml:space="preserve"> The three additional forestry initiatives are:</w:t>
      </w:r>
    </w:p>
    <w:p w14:paraId="32B12300" w14:textId="77777777" w:rsidR="007C259A" w:rsidRPr="00BD16B4" w:rsidRDefault="007C259A" w:rsidP="007C259A">
      <w:pPr>
        <w:pStyle w:val="BodyText"/>
        <w:spacing w:before="0" w:after="100"/>
        <w:ind w:left="397" w:hanging="397"/>
      </w:pPr>
      <w:r w:rsidRPr="00BD16B4">
        <w:t>a)</w:t>
      </w:r>
      <w:r w:rsidRPr="00BD16B4">
        <w:tab/>
        <w:t>Establishing Native Forests at Scale to Develop Long-term Carbon Sinks and Improve Biodiversity</w:t>
      </w:r>
    </w:p>
    <w:p w14:paraId="50988466" w14:textId="77777777" w:rsidR="007C259A" w:rsidRPr="00BD16B4" w:rsidRDefault="007C259A" w:rsidP="007C259A">
      <w:pPr>
        <w:pStyle w:val="BodyText"/>
        <w:spacing w:before="0" w:after="100"/>
        <w:ind w:left="397" w:hanging="397"/>
      </w:pPr>
      <w:r w:rsidRPr="00BD16B4">
        <w:t>b)</w:t>
      </w:r>
      <w:r w:rsidRPr="00BD16B4">
        <w:tab/>
        <w:t xml:space="preserve">Increasing Woody Biomass Supply to Replace Coal and other Carbon Intensive Fuels and Materials </w:t>
      </w:r>
    </w:p>
    <w:p w14:paraId="061C2F40" w14:textId="77777777" w:rsidR="007C259A" w:rsidRPr="00BD16B4" w:rsidRDefault="007C259A" w:rsidP="007C259A">
      <w:pPr>
        <w:pStyle w:val="BodyText"/>
        <w:spacing w:before="0" w:after="100"/>
        <w:ind w:left="397" w:hanging="397"/>
      </w:pPr>
      <w:r w:rsidRPr="00BD16B4">
        <w:t>c)</w:t>
      </w:r>
      <w:r w:rsidRPr="00BD16B4">
        <w:tab/>
        <w:t>Maximising Carbon Storage: Increasing Natural Sequestration to Achieve New Zealand’s Future Carbon Goals.</w:t>
      </w:r>
    </w:p>
    <w:p w14:paraId="024D56D6" w14:textId="77777777" w:rsidR="007C259A" w:rsidRPr="00BD16B4" w:rsidRDefault="007C259A" w:rsidP="007C259A">
      <w:pPr>
        <w:pStyle w:val="BodyText"/>
        <w:spacing w:after="100"/>
      </w:pPr>
      <w:r w:rsidRPr="00BD16B4">
        <w:t xml:space="preserve">For more information on the WAM initiatives refer to </w:t>
      </w:r>
      <w:r w:rsidRPr="00BD16B4">
        <w:rPr>
          <w:i/>
          <w:iCs/>
        </w:rPr>
        <w:t>Aotearoa New Zealand's first emissions reduction plan: Technical information annex</w:t>
      </w:r>
      <w:r w:rsidRPr="00BD16B4">
        <w:t>.</w:t>
      </w:r>
      <w:r w:rsidRPr="00BD16B4">
        <w:rPr>
          <w:rStyle w:val="FootnoteReference"/>
        </w:rPr>
        <w:footnoteReference w:id="260"/>
      </w:r>
      <w:r w:rsidRPr="00BD16B4">
        <w:t xml:space="preserve"> Compared with the WEM scenario, these three WAM initiatives are estimated to sequester around –2.6 Mt CO</w:t>
      </w:r>
      <w:r w:rsidRPr="00BD16B4">
        <w:rPr>
          <w:vertAlign w:val="subscript"/>
        </w:rPr>
        <w:t>2</w:t>
      </w:r>
      <w:r w:rsidRPr="00BD16B4">
        <w:t>-e</w:t>
      </w:r>
      <w:r w:rsidRPr="00BD16B4">
        <w:rPr>
          <w:rStyle w:val="FootnoteReference"/>
        </w:rPr>
        <w:footnoteReference w:id="261"/>
      </w:r>
      <w:r w:rsidRPr="00BD16B4">
        <w:t xml:space="preserve"> of additional LULUCF removals in the year 2035.</w:t>
      </w:r>
    </w:p>
    <w:p w14:paraId="6C090623" w14:textId="2A48386E" w:rsidR="007C259A" w:rsidRPr="00BD16B4" w:rsidRDefault="007C259A" w:rsidP="00BB7302">
      <w:pPr>
        <w:pStyle w:val="Tableheading"/>
      </w:pPr>
      <w:bookmarkStart w:id="304" w:name="_Toc121773813"/>
      <w:r w:rsidRPr="00BD16B4">
        <w:lastRenderedPageBreak/>
        <w:t>Table 5.23:</w:t>
      </w:r>
      <w:r w:rsidRPr="00BD16B4">
        <w:tab/>
        <w:t>Net LULUCF removals under ‘with existing measures’ and ‘without measures’ scenario, and with ‘additional measures’ 1990–2035 (Mt CO</w:t>
      </w:r>
      <w:r w:rsidRPr="00BD16B4">
        <w:rPr>
          <w:vertAlign w:val="subscript"/>
        </w:rPr>
        <w:t>2</w:t>
      </w:r>
      <w:r w:rsidRPr="00BD16B4">
        <w:t>-e)</w:t>
      </w:r>
      <w:bookmarkEnd w:id="304"/>
    </w:p>
    <w:tbl>
      <w:tblPr>
        <w:tblStyle w:val="TableGrid"/>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003"/>
        <w:gridCol w:w="1102"/>
        <w:gridCol w:w="1100"/>
        <w:gridCol w:w="1100"/>
        <w:gridCol w:w="1100"/>
        <w:gridCol w:w="1100"/>
      </w:tblGrid>
      <w:tr w:rsidR="00AA6FA6" w:rsidRPr="00BD16B4" w14:paraId="79099B33" w14:textId="072F5009" w:rsidTr="00BA5ABA">
        <w:trPr>
          <w:tblHeader/>
        </w:trPr>
        <w:tc>
          <w:tcPr>
            <w:tcW w:w="3047" w:type="dxa"/>
            <w:shd w:val="clear" w:color="auto" w:fill="1B556B"/>
          </w:tcPr>
          <w:p w14:paraId="4E266B1A" w14:textId="517B9194" w:rsidR="00AA6FA6" w:rsidRPr="00BD16B4" w:rsidRDefault="00AA6FA6" w:rsidP="006B5AEF">
            <w:pPr>
              <w:pStyle w:val="TableTextBold0"/>
              <w:keepNext/>
              <w:rPr>
                <w:color w:val="FFFFFF" w:themeColor="background1"/>
              </w:rPr>
            </w:pPr>
            <w:r w:rsidRPr="00BD16B4">
              <w:rPr>
                <w:color w:val="FFFFFF" w:themeColor="background1"/>
              </w:rPr>
              <w:t>LULUCF scenario</w:t>
            </w:r>
          </w:p>
        </w:tc>
        <w:tc>
          <w:tcPr>
            <w:tcW w:w="1113" w:type="dxa"/>
            <w:shd w:val="clear" w:color="auto" w:fill="1B556B"/>
          </w:tcPr>
          <w:p w14:paraId="32E79345" w14:textId="117F435B" w:rsidR="00AA6FA6" w:rsidRPr="00BD16B4" w:rsidRDefault="00AA6FA6" w:rsidP="00AA6FA6">
            <w:pPr>
              <w:pStyle w:val="TableTextBold0"/>
              <w:jc w:val="center"/>
              <w:rPr>
                <w:color w:val="FFFFFF" w:themeColor="background1"/>
              </w:rPr>
            </w:pPr>
            <w:r w:rsidRPr="00BD16B4">
              <w:rPr>
                <w:color w:val="FFFFFF" w:themeColor="background1"/>
              </w:rPr>
              <w:t>1990</w:t>
            </w:r>
          </w:p>
        </w:tc>
        <w:tc>
          <w:tcPr>
            <w:tcW w:w="1112" w:type="dxa"/>
            <w:shd w:val="clear" w:color="auto" w:fill="1B556B"/>
          </w:tcPr>
          <w:p w14:paraId="073E63A1" w14:textId="6CBFB3F1" w:rsidR="00AA6FA6" w:rsidRPr="00BD16B4" w:rsidRDefault="00AA6FA6" w:rsidP="00AA6FA6">
            <w:pPr>
              <w:pStyle w:val="TableTextBold0"/>
              <w:jc w:val="center"/>
              <w:rPr>
                <w:color w:val="FFFFFF" w:themeColor="background1"/>
              </w:rPr>
            </w:pPr>
            <w:r w:rsidRPr="00BD16B4">
              <w:rPr>
                <w:color w:val="FFFFFF" w:themeColor="background1"/>
              </w:rPr>
              <w:t>2020</w:t>
            </w:r>
          </w:p>
        </w:tc>
        <w:tc>
          <w:tcPr>
            <w:tcW w:w="1112" w:type="dxa"/>
            <w:tcBorders>
              <w:bottom w:val="single" w:sz="4" w:space="0" w:color="1B556B"/>
            </w:tcBorders>
            <w:shd w:val="clear" w:color="auto" w:fill="1B556B"/>
          </w:tcPr>
          <w:p w14:paraId="0230B427" w14:textId="7E5F52F1" w:rsidR="00AA6FA6" w:rsidRPr="00BD16B4" w:rsidRDefault="00AA6FA6" w:rsidP="00AA6FA6">
            <w:pPr>
              <w:pStyle w:val="TableTextBold0"/>
              <w:jc w:val="center"/>
              <w:rPr>
                <w:color w:val="FFFFFF" w:themeColor="background1"/>
              </w:rPr>
            </w:pPr>
            <w:r w:rsidRPr="00BD16B4">
              <w:rPr>
                <w:color w:val="FFFFFF" w:themeColor="background1"/>
              </w:rPr>
              <w:t>2025</w:t>
            </w:r>
          </w:p>
        </w:tc>
        <w:tc>
          <w:tcPr>
            <w:tcW w:w="1112" w:type="dxa"/>
            <w:tcBorders>
              <w:bottom w:val="single" w:sz="4" w:space="0" w:color="1B556B"/>
            </w:tcBorders>
            <w:shd w:val="clear" w:color="auto" w:fill="1B556B"/>
          </w:tcPr>
          <w:p w14:paraId="10DA4FA0" w14:textId="79DC436E" w:rsidR="00AA6FA6" w:rsidRPr="00BD16B4" w:rsidRDefault="00AA6FA6" w:rsidP="00AA6FA6">
            <w:pPr>
              <w:pStyle w:val="TableTextBold0"/>
              <w:jc w:val="center"/>
              <w:rPr>
                <w:color w:val="FFFFFF" w:themeColor="background1"/>
              </w:rPr>
            </w:pPr>
            <w:r w:rsidRPr="00BD16B4">
              <w:rPr>
                <w:color w:val="FFFFFF" w:themeColor="background1"/>
              </w:rPr>
              <w:t>2030</w:t>
            </w:r>
          </w:p>
        </w:tc>
        <w:tc>
          <w:tcPr>
            <w:tcW w:w="1112" w:type="dxa"/>
            <w:tcBorders>
              <w:bottom w:val="single" w:sz="4" w:space="0" w:color="1B556B"/>
            </w:tcBorders>
            <w:shd w:val="clear" w:color="auto" w:fill="1B556B"/>
          </w:tcPr>
          <w:p w14:paraId="3D1E12DB" w14:textId="69A5092B" w:rsidR="00AA6FA6" w:rsidRPr="00BD16B4" w:rsidRDefault="00AA6FA6" w:rsidP="00AA6FA6">
            <w:pPr>
              <w:pStyle w:val="TableTextBold0"/>
              <w:jc w:val="center"/>
              <w:rPr>
                <w:color w:val="FFFFFF" w:themeColor="background1"/>
              </w:rPr>
            </w:pPr>
            <w:r w:rsidRPr="00BD16B4">
              <w:rPr>
                <w:color w:val="FFFFFF" w:themeColor="background1"/>
              </w:rPr>
              <w:t>2035</w:t>
            </w:r>
          </w:p>
        </w:tc>
      </w:tr>
      <w:tr w:rsidR="00AA6FA6" w:rsidRPr="00BD16B4" w14:paraId="5765FBCB" w14:textId="004CA892" w:rsidTr="00BA5ABA">
        <w:tc>
          <w:tcPr>
            <w:tcW w:w="3047" w:type="dxa"/>
            <w:shd w:val="clear" w:color="auto" w:fill="auto"/>
          </w:tcPr>
          <w:p w14:paraId="0093EB44" w14:textId="7AED5CFB" w:rsidR="00AA6FA6" w:rsidRPr="00BD16B4" w:rsidRDefault="00AA6FA6" w:rsidP="005D25A3">
            <w:pPr>
              <w:pStyle w:val="TableText"/>
            </w:pPr>
            <w:r w:rsidRPr="00BD16B4">
              <w:rPr>
                <w:rFonts w:cs="Calibri"/>
              </w:rPr>
              <w:t>With existing measures (WEM)</w:t>
            </w:r>
          </w:p>
        </w:tc>
        <w:tc>
          <w:tcPr>
            <w:tcW w:w="1113" w:type="dxa"/>
            <w:shd w:val="clear" w:color="auto" w:fill="auto"/>
          </w:tcPr>
          <w:p w14:paraId="45B54D5E" w14:textId="7373EFF7" w:rsidR="00AA6FA6" w:rsidRPr="00BD16B4" w:rsidRDefault="00AA6FA6" w:rsidP="00AA6FA6">
            <w:pPr>
              <w:pStyle w:val="TableText"/>
              <w:jc w:val="center"/>
            </w:pPr>
            <w:r w:rsidRPr="00BD16B4">
              <w:rPr>
                <w:rFonts w:cs="Calibri"/>
                <w:szCs w:val="18"/>
              </w:rPr>
              <w:t>–21.2</w:t>
            </w:r>
          </w:p>
        </w:tc>
        <w:tc>
          <w:tcPr>
            <w:tcW w:w="1112" w:type="dxa"/>
          </w:tcPr>
          <w:p w14:paraId="69B1332C" w14:textId="45D9C5B3" w:rsidR="00AA6FA6" w:rsidRPr="00BD16B4" w:rsidRDefault="00AA6FA6" w:rsidP="00AA6FA6">
            <w:pPr>
              <w:pStyle w:val="TableText"/>
              <w:jc w:val="center"/>
            </w:pPr>
            <w:r w:rsidRPr="00BD16B4">
              <w:rPr>
                <w:rFonts w:cs="Calibri"/>
                <w:szCs w:val="18"/>
              </w:rPr>
              <w:t>–23.3</w:t>
            </w:r>
          </w:p>
        </w:tc>
        <w:tc>
          <w:tcPr>
            <w:tcW w:w="1112" w:type="dxa"/>
            <w:shd w:val="clear" w:color="auto" w:fill="D2DDE1" w:themeFill="background2"/>
          </w:tcPr>
          <w:p w14:paraId="7332F0F0" w14:textId="1796A7DE" w:rsidR="00AA6FA6" w:rsidRPr="00BD16B4" w:rsidRDefault="00AA6FA6" w:rsidP="00AA6FA6">
            <w:pPr>
              <w:pStyle w:val="TableText"/>
              <w:jc w:val="center"/>
            </w:pPr>
            <w:r w:rsidRPr="00BD16B4">
              <w:rPr>
                <w:rFonts w:cs="Calibri"/>
                <w:szCs w:val="18"/>
              </w:rPr>
              <w:t>–9.5</w:t>
            </w:r>
          </w:p>
        </w:tc>
        <w:tc>
          <w:tcPr>
            <w:tcW w:w="1112" w:type="dxa"/>
            <w:shd w:val="clear" w:color="auto" w:fill="D2DDE1" w:themeFill="background2"/>
          </w:tcPr>
          <w:p w14:paraId="4231B5E8" w14:textId="013DA342" w:rsidR="00AA6FA6" w:rsidRPr="00BD16B4" w:rsidRDefault="00AA6FA6" w:rsidP="00AA6FA6">
            <w:pPr>
              <w:pStyle w:val="TableText"/>
              <w:jc w:val="center"/>
            </w:pPr>
            <w:r w:rsidRPr="00BD16B4">
              <w:rPr>
                <w:rFonts w:cs="Calibri"/>
                <w:szCs w:val="18"/>
              </w:rPr>
              <w:t>–12.0</w:t>
            </w:r>
          </w:p>
        </w:tc>
        <w:tc>
          <w:tcPr>
            <w:tcW w:w="1112" w:type="dxa"/>
            <w:shd w:val="clear" w:color="auto" w:fill="D2DDE1" w:themeFill="background2"/>
          </w:tcPr>
          <w:p w14:paraId="17EB92ED" w14:textId="7902780A" w:rsidR="00AA6FA6" w:rsidRPr="00BD16B4" w:rsidRDefault="00AA6FA6" w:rsidP="00AA6FA6">
            <w:pPr>
              <w:pStyle w:val="TableText"/>
              <w:jc w:val="center"/>
            </w:pPr>
            <w:r w:rsidRPr="00BD16B4">
              <w:rPr>
                <w:rFonts w:cs="Calibri"/>
                <w:szCs w:val="18"/>
              </w:rPr>
              <w:t>–25.5</w:t>
            </w:r>
          </w:p>
        </w:tc>
      </w:tr>
      <w:tr w:rsidR="00AA6FA6" w:rsidRPr="00BD16B4" w14:paraId="319F5CC9" w14:textId="6CD97F71" w:rsidTr="00BA5ABA">
        <w:tc>
          <w:tcPr>
            <w:tcW w:w="3047" w:type="dxa"/>
            <w:shd w:val="clear" w:color="auto" w:fill="auto"/>
          </w:tcPr>
          <w:p w14:paraId="7E798E95" w14:textId="3CCF12DA" w:rsidR="00AA6FA6" w:rsidRPr="00BD16B4" w:rsidRDefault="00AA6FA6" w:rsidP="009B05BA">
            <w:pPr>
              <w:pStyle w:val="TableText"/>
            </w:pPr>
            <w:r w:rsidRPr="00BD16B4">
              <w:rPr>
                <w:rFonts w:cs="Calibri"/>
              </w:rPr>
              <w:t>Without measures (WOM)</w:t>
            </w:r>
          </w:p>
        </w:tc>
        <w:tc>
          <w:tcPr>
            <w:tcW w:w="1113" w:type="dxa"/>
            <w:shd w:val="clear" w:color="auto" w:fill="auto"/>
          </w:tcPr>
          <w:p w14:paraId="185FE34A" w14:textId="4C47553F" w:rsidR="00AA6FA6" w:rsidRPr="00BD16B4" w:rsidRDefault="00AA6FA6" w:rsidP="00AA6FA6">
            <w:pPr>
              <w:pStyle w:val="TableText"/>
              <w:jc w:val="center"/>
            </w:pPr>
            <w:r w:rsidRPr="00BD16B4">
              <w:rPr>
                <w:rFonts w:cs="Calibri"/>
                <w:szCs w:val="18"/>
              </w:rPr>
              <w:t>–21.2</w:t>
            </w:r>
          </w:p>
        </w:tc>
        <w:tc>
          <w:tcPr>
            <w:tcW w:w="1112" w:type="dxa"/>
          </w:tcPr>
          <w:p w14:paraId="02380B57" w14:textId="2E681DA9" w:rsidR="00AA6FA6" w:rsidRPr="00BD16B4" w:rsidRDefault="00AA6FA6" w:rsidP="00AA6FA6">
            <w:pPr>
              <w:pStyle w:val="TableText"/>
              <w:jc w:val="center"/>
            </w:pPr>
            <w:r w:rsidRPr="00BD16B4">
              <w:rPr>
                <w:rFonts w:cs="Calibri"/>
                <w:szCs w:val="18"/>
              </w:rPr>
              <w:t>–17.0</w:t>
            </w:r>
          </w:p>
        </w:tc>
        <w:tc>
          <w:tcPr>
            <w:tcW w:w="1112" w:type="dxa"/>
            <w:shd w:val="clear" w:color="auto" w:fill="D2DDE1" w:themeFill="background2"/>
          </w:tcPr>
          <w:p w14:paraId="3AEC80E7" w14:textId="01B502A3" w:rsidR="00AA6FA6" w:rsidRPr="00BD16B4" w:rsidRDefault="00AA6FA6" w:rsidP="00AA6FA6">
            <w:pPr>
              <w:pStyle w:val="TableText"/>
              <w:jc w:val="center"/>
            </w:pPr>
            <w:r w:rsidRPr="00BD16B4">
              <w:rPr>
                <w:rFonts w:cs="Calibri"/>
                <w:szCs w:val="18"/>
              </w:rPr>
              <w:t>–2.4</w:t>
            </w:r>
          </w:p>
        </w:tc>
        <w:tc>
          <w:tcPr>
            <w:tcW w:w="1112" w:type="dxa"/>
            <w:shd w:val="clear" w:color="auto" w:fill="D2DDE1" w:themeFill="background2"/>
          </w:tcPr>
          <w:p w14:paraId="2DACF146" w14:textId="7CC0C0B5" w:rsidR="00AA6FA6" w:rsidRPr="00BD16B4" w:rsidRDefault="00AA6FA6" w:rsidP="00AA6FA6">
            <w:pPr>
              <w:pStyle w:val="TableText"/>
              <w:jc w:val="center"/>
            </w:pPr>
            <w:r w:rsidRPr="00BD16B4">
              <w:rPr>
                <w:rFonts w:cs="Calibri"/>
                <w:szCs w:val="18"/>
              </w:rPr>
              <w:t>1.5</w:t>
            </w:r>
          </w:p>
        </w:tc>
        <w:tc>
          <w:tcPr>
            <w:tcW w:w="1112" w:type="dxa"/>
            <w:shd w:val="clear" w:color="auto" w:fill="D2DDE1" w:themeFill="background2"/>
          </w:tcPr>
          <w:p w14:paraId="6EFB0BBB" w14:textId="19EEAFB6" w:rsidR="00AA6FA6" w:rsidRPr="00BD16B4" w:rsidRDefault="00AA6FA6" w:rsidP="00AA6FA6">
            <w:pPr>
              <w:pStyle w:val="TableText"/>
              <w:jc w:val="center"/>
            </w:pPr>
            <w:r w:rsidRPr="00BD16B4">
              <w:rPr>
                <w:rFonts w:cs="Calibri"/>
                <w:szCs w:val="18"/>
              </w:rPr>
              <w:t>–4.9</w:t>
            </w:r>
          </w:p>
        </w:tc>
      </w:tr>
      <w:tr w:rsidR="00AA6FA6" w:rsidRPr="00BD16B4" w14:paraId="1F480C9D" w14:textId="1FFDFD1A" w:rsidTr="00BA5ABA">
        <w:tc>
          <w:tcPr>
            <w:tcW w:w="3047" w:type="dxa"/>
          </w:tcPr>
          <w:p w14:paraId="49B748C3" w14:textId="579D036A" w:rsidR="00AA6FA6" w:rsidRPr="00BD16B4" w:rsidRDefault="00AA6FA6" w:rsidP="009B05BA">
            <w:pPr>
              <w:pStyle w:val="TableText"/>
            </w:pPr>
            <w:r w:rsidRPr="00BD16B4">
              <w:rPr>
                <w:rFonts w:cs="Calibri"/>
              </w:rPr>
              <w:t>With additional measures (WAM)</w:t>
            </w:r>
          </w:p>
        </w:tc>
        <w:tc>
          <w:tcPr>
            <w:tcW w:w="1113" w:type="dxa"/>
          </w:tcPr>
          <w:p w14:paraId="176F2E18" w14:textId="3BA92DFC" w:rsidR="00AA6FA6" w:rsidRPr="00BD16B4" w:rsidRDefault="00AA6FA6" w:rsidP="00AA6FA6">
            <w:pPr>
              <w:pStyle w:val="TableText"/>
              <w:jc w:val="center"/>
            </w:pPr>
            <w:r w:rsidRPr="00BD16B4">
              <w:rPr>
                <w:rFonts w:cs="Calibri"/>
                <w:szCs w:val="18"/>
              </w:rPr>
              <w:t>–21.2</w:t>
            </w:r>
          </w:p>
        </w:tc>
        <w:tc>
          <w:tcPr>
            <w:tcW w:w="1112" w:type="dxa"/>
          </w:tcPr>
          <w:p w14:paraId="3514C368" w14:textId="06E10FDB" w:rsidR="00AA6FA6" w:rsidRPr="00BD16B4" w:rsidRDefault="00AA6FA6" w:rsidP="00AA6FA6">
            <w:pPr>
              <w:pStyle w:val="TableText"/>
              <w:jc w:val="center"/>
            </w:pPr>
            <w:r w:rsidRPr="00BD16B4">
              <w:rPr>
                <w:rFonts w:cs="Calibri"/>
                <w:szCs w:val="18"/>
              </w:rPr>
              <w:t>–23.3</w:t>
            </w:r>
          </w:p>
        </w:tc>
        <w:tc>
          <w:tcPr>
            <w:tcW w:w="1112" w:type="dxa"/>
            <w:shd w:val="clear" w:color="auto" w:fill="D2DDE1" w:themeFill="background2"/>
          </w:tcPr>
          <w:p w14:paraId="60BDD7E1" w14:textId="63213706" w:rsidR="00AA6FA6" w:rsidRPr="00BD16B4" w:rsidRDefault="00AA6FA6" w:rsidP="00AA6FA6">
            <w:pPr>
              <w:pStyle w:val="TableText"/>
              <w:jc w:val="center"/>
            </w:pPr>
            <w:r w:rsidRPr="00BD16B4">
              <w:rPr>
                <w:rFonts w:cs="Calibri"/>
                <w:szCs w:val="18"/>
              </w:rPr>
              <w:t>–9.6</w:t>
            </w:r>
          </w:p>
        </w:tc>
        <w:tc>
          <w:tcPr>
            <w:tcW w:w="1112" w:type="dxa"/>
            <w:shd w:val="clear" w:color="auto" w:fill="D2DDE1" w:themeFill="background2"/>
          </w:tcPr>
          <w:p w14:paraId="0E680709" w14:textId="2633D3FD" w:rsidR="00AA6FA6" w:rsidRPr="00BD16B4" w:rsidRDefault="00AA6FA6" w:rsidP="00AA6FA6">
            <w:pPr>
              <w:pStyle w:val="TableText"/>
              <w:jc w:val="center"/>
            </w:pPr>
            <w:r w:rsidRPr="00BD16B4">
              <w:rPr>
                <w:rFonts w:cs="Calibri"/>
                <w:szCs w:val="18"/>
              </w:rPr>
              <w:t>–13.4</w:t>
            </w:r>
          </w:p>
        </w:tc>
        <w:tc>
          <w:tcPr>
            <w:tcW w:w="1112" w:type="dxa"/>
            <w:shd w:val="clear" w:color="auto" w:fill="D2DDE1" w:themeFill="background2"/>
          </w:tcPr>
          <w:p w14:paraId="6DE3958D" w14:textId="0F2D7E92" w:rsidR="00AA6FA6" w:rsidRPr="00BD16B4" w:rsidRDefault="00AA6FA6" w:rsidP="00AA6FA6">
            <w:pPr>
              <w:pStyle w:val="TableText"/>
              <w:jc w:val="center"/>
            </w:pPr>
            <w:r w:rsidRPr="00BD16B4">
              <w:rPr>
                <w:rFonts w:cs="Calibri"/>
                <w:szCs w:val="18"/>
              </w:rPr>
              <w:t>–28.0</w:t>
            </w:r>
          </w:p>
        </w:tc>
      </w:tr>
    </w:tbl>
    <w:p w14:paraId="2AEF442A" w14:textId="77777777" w:rsidR="007C259A" w:rsidRPr="00BD16B4" w:rsidRDefault="007C259A" w:rsidP="00120409">
      <w:pPr>
        <w:pStyle w:val="Note"/>
      </w:pPr>
      <w:r w:rsidRPr="00BD16B4">
        <w:rPr>
          <w:b/>
          <w:bCs/>
        </w:rPr>
        <w:t>Note:</w:t>
      </w:r>
      <w:r w:rsidRPr="00BD16B4">
        <w:rPr>
          <w:b/>
          <w:bCs/>
        </w:rPr>
        <w:tab/>
      </w:r>
      <w:r w:rsidRPr="00BD16B4">
        <w:t>LULUCF = land use, land-use change and forestry; Mt CO</w:t>
      </w:r>
      <w:r w:rsidRPr="00BD16B4">
        <w:rPr>
          <w:vertAlign w:val="subscript"/>
        </w:rPr>
        <w:t>2</w:t>
      </w:r>
      <w:r w:rsidRPr="00BD16B4">
        <w:t>-e = million tonnes of carbon dioxide equivalent.</w:t>
      </w:r>
    </w:p>
    <w:p w14:paraId="3816D20E" w14:textId="77777777" w:rsidR="007C259A" w:rsidRPr="00BD16B4" w:rsidRDefault="007C259A" w:rsidP="006B5AEF">
      <w:pPr>
        <w:pStyle w:val="Figureheading"/>
        <w:spacing w:before="180"/>
      </w:pPr>
      <w:bookmarkStart w:id="305" w:name="_Toc121494404"/>
      <w:r w:rsidRPr="00BD16B4">
        <w:t>Figure 5.7:</w:t>
      </w:r>
      <w:r w:rsidRPr="00BD16B4">
        <w:tab/>
        <w:t>Net LULUCF removals under ‘with existing measures’ and ‘without measures’ scenarios, and with ‘additional measures’ 1990–2035 (Mt CO</w:t>
      </w:r>
      <w:r w:rsidRPr="00BD16B4">
        <w:rPr>
          <w:vertAlign w:val="subscript"/>
        </w:rPr>
        <w:t>2</w:t>
      </w:r>
      <w:r w:rsidRPr="00BD16B4">
        <w:t>-e)</w:t>
      </w:r>
      <w:bookmarkEnd w:id="305"/>
    </w:p>
    <w:p w14:paraId="5E8531E9" w14:textId="77777777" w:rsidR="007C259A" w:rsidRPr="00BD16B4" w:rsidRDefault="007C259A" w:rsidP="007C259A">
      <w:pPr>
        <w:pStyle w:val="BodyText"/>
        <w:jc w:val="center"/>
      </w:pPr>
      <w:r w:rsidRPr="00BD16B4">
        <w:rPr>
          <w:noProof/>
        </w:rPr>
        <w:drawing>
          <wp:inline distT="0" distB="0" distL="0" distR="0" wp14:anchorId="48FE6A57" wp14:editId="634267D7">
            <wp:extent cx="5287618" cy="3134140"/>
            <wp:effectExtent l="0" t="0" r="17145" b="635"/>
            <wp:docPr id="48" name="Chart 48">
              <a:extLst xmlns:a="http://schemas.openxmlformats.org/drawingml/2006/main">
                <a:ext uri="{FF2B5EF4-FFF2-40B4-BE49-F238E27FC236}">
                  <a16:creationId xmlns:a16="http://schemas.microsoft.com/office/drawing/2014/main" id="{653D7CC2-E8CB-485F-AACA-2D7BDD5BD51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6D894C8" w14:textId="77777777" w:rsidR="007C259A" w:rsidRPr="00BD16B4" w:rsidRDefault="007C259A" w:rsidP="00BA5ABA">
      <w:pPr>
        <w:pStyle w:val="Note"/>
        <w:spacing w:before="80"/>
      </w:pPr>
      <w:r w:rsidRPr="00BD16B4">
        <w:rPr>
          <w:b/>
          <w:bCs/>
        </w:rPr>
        <w:t>Note:</w:t>
      </w:r>
      <w:r w:rsidRPr="00BD16B4">
        <w:t xml:space="preserve"> GHG = greenhouse gas; LULUCF = land use, land-use change and forestry; Mt CO</w:t>
      </w:r>
      <w:r w:rsidRPr="00BD16B4">
        <w:rPr>
          <w:vertAlign w:val="subscript"/>
        </w:rPr>
        <w:t>2</w:t>
      </w:r>
      <w:r w:rsidRPr="00BD16B4">
        <w:t>-e = million tonnes of carbon dioxide equivalent.</w:t>
      </w:r>
    </w:p>
    <w:p w14:paraId="2DD08E08" w14:textId="77777777" w:rsidR="007C259A" w:rsidRPr="00BD16B4" w:rsidRDefault="007C259A" w:rsidP="004E1B8C">
      <w:pPr>
        <w:pStyle w:val="Heading4"/>
      </w:pPr>
      <w:r w:rsidRPr="00BD16B4">
        <w:t xml:space="preserve">Differences from the </w:t>
      </w:r>
      <w:r w:rsidRPr="00BD16B4">
        <w:rPr>
          <w:i/>
          <w:iCs/>
        </w:rPr>
        <w:t>Fourth Biennial Report</w:t>
      </w:r>
      <w:r w:rsidRPr="00BD16B4">
        <w:t xml:space="preserve"> and </w:t>
      </w:r>
      <w:r w:rsidRPr="00BD16B4">
        <w:rPr>
          <w:i/>
          <w:iCs/>
        </w:rPr>
        <w:t>Seventh National Communication</w:t>
      </w:r>
    </w:p>
    <w:p w14:paraId="34E5866C" w14:textId="77777777" w:rsidR="007C259A" w:rsidRPr="00BD16B4" w:rsidRDefault="007C259A" w:rsidP="007C259A">
      <w:pPr>
        <w:pStyle w:val="BodyText"/>
      </w:pPr>
      <w:r w:rsidRPr="00BD16B4">
        <w:t xml:space="preserve">The differences between LULUCF projections in this report and those in the </w:t>
      </w:r>
      <w:r w:rsidRPr="00BD16B4">
        <w:rPr>
          <w:i/>
          <w:iCs/>
        </w:rPr>
        <w:t>Fourth Biennial Report</w:t>
      </w:r>
      <w:r w:rsidRPr="00BD16B4">
        <w:t xml:space="preserve"> and </w:t>
      </w:r>
      <w:r w:rsidRPr="00BD16B4">
        <w:rPr>
          <w:rFonts w:asciiTheme="minorHAnsi" w:hAnsiTheme="minorHAnsi"/>
          <w:i/>
          <w:iCs/>
        </w:rPr>
        <w:t>Seventh National Communication</w:t>
      </w:r>
      <w:r w:rsidRPr="00BD16B4">
        <w:rPr>
          <w:rStyle w:val="FootnoteReference"/>
        </w:rPr>
        <w:footnoteReference w:id="262"/>
      </w:r>
      <w:r w:rsidRPr="00BD16B4">
        <w:t xml:space="preserve"> are mainly due to general improvements to </w:t>
      </w:r>
      <w:r w:rsidRPr="00BD16B4">
        <w:rPr>
          <w:i/>
        </w:rPr>
        <w:t>New Zealand’s Greenhouse Gas Inventory</w:t>
      </w:r>
      <w:r w:rsidRPr="00BD16B4">
        <w:t xml:space="preserve"> activity data and emission factors, revised afforestation projections due to the inclusion of the </w:t>
      </w:r>
      <w:r w:rsidRPr="00BD16B4">
        <w:rPr>
          <w:i/>
          <w:iCs/>
        </w:rPr>
        <w:t>Afforestation and Deforestation Intentions Survey 2021</w:t>
      </w:r>
      <w:r w:rsidRPr="00BD16B4">
        <w:t xml:space="preserve">, updated harvesting data sourced from the </w:t>
      </w:r>
      <w:r w:rsidRPr="00BD16B4">
        <w:rPr>
          <w:i/>
          <w:iCs/>
        </w:rPr>
        <w:t>Wood Availability Forecast</w:t>
      </w:r>
      <w:r w:rsidRPr="00BD16B4">
        <w:t xml:space="preserve"> and revised estimates of pre-1990 natural forest sequestration. The main contributing factors are summarised below.</w:t>
      </w:r>
    </w:p>
    <w:p w14:paraId="6462BBF1" w14:textId="77777777" w:rsidR="007C259A" w:rsidRPr="00BD16B4" w:rsidRDefault="007C259A" w:rsidP="007C259A">
      <w:pPr>
        <w:pStyle w:val="BodyText"/>
      </w:pPr>
      <w:r w:rsidRPr="00BD16B4">
        <w:lastRenderedPageBreak/>
        <w:t>LULUCF inventory emission factors have improved continuously for the forest land category, with activity data improvements across all land use categories. As an example, the continuous improvement between the 2015 and 2020 LULUCF inventories has resulted in a 12 per cent increase in removals for 2015 and a 30 per cent decrease in removals in 1990.</w:t>
      </w:r>
    </w:p>
    <w:p w14:paraId="3AD0FD2B" w14:textId="77777777" w:rsidR="007C259A" w:rsidRPr="00BD16B4" w:rsidRDefault="007C259A" w:rsidP="007C259A">
      <w:pPr>
        <w:pStyle w:val="BodyText"/>
        <w:rPr>
          <w:highlight w:val="yellow"/>
        </w:rPr>
      </w:pPr>
      <w:r w:rsidRPr="00BD16B4">
        <w:t xml:space="preserve">The findings from the </w:t>
      </w:r>
      <w:r w:rsidRPr="00BD16B4">
        <w:rPr>
          <w:i/>
          <w:iCs/>
        </w:rPr>
        <w:t>2021 Afforestation and Deforestation intentions Survey 2021</w:t>
      </w:r>
      <w:r w:rsidRPr="00BD16B4">
        <w:rPr>
          <w:rStyle w:val="FootnoteReference"/>
        </w:rPr>
        <w:footnoteReference w:id="263"/>
      </w:r>
      <w:r w:rsidRPr="00BD16B4">
        <w:t xml:space="preserve"> show an increase in intended exotic afforestation over the projection period, with exotic afforestation around 36,000 hectares in 2030, compared with around 15,000 hectares per year projected in the </w:t>
      </w:r>
      <w:r w:rsidRPr="00BD16B4">
        <w:rPr>
          <w:i/>
          <w:iCs/>
        </w:rPr>
        <w:t>Seventh National Communication</w:t>
      </w:r>
      <w:r w:rsidRPr="00BD16B4">
        <w:t xml:space="preserve"> and 26,000 hectares per year projected in the </w:t>
      </w:r>
      <w:r w:rsidRPr="00BD16B4">
        <w:rPr>
          <w:i/>
        </w:rPr>
        <w:t xml:space="preserve">Fourth Biennial </w:t>
      </w:r>
      <w:r w:rsidRPr="00BD16B4">
        <w:rPr>
          <w:i/>
          <w:iCs/>
        </w:rPr>
        <w:t>R</w:t>
      </w:r>
      <w:r w:rsidRPr="00BD16B4">
        <w:rPr>
          <w:i/>
        </w:rPr>
        <w:t>eport</w:t>
      </w:r>
      <w:r w:rsidRPr="00BD16B4">
        <w:t>. The increase in projected afforestation can be largely attributed to a significant rise in the New Zealand unit carbon price that post-1989 forest owners receive within the NZ ETS.</w:t>
      </w:r>
      <w:r w:rsidRPr="00BD16B4">
        <w:rPr>
          <w:rStyle w:val="FootnoteReference"/>
        </w:rPr>
        <w:footnoteReference w:id="264"/>
      </w:r>
    </w:p>
    <w:p w14:paraId="7E8D34AE" w14:textId="77777777" w:rsidR="007C259A" w:rsidRPr="00BD16B4" w:rsidRDefault="007C259A" w:rsidP="007C259A">
      <w:pPr>
        <w:pStyle w:val="BodyText"/>
        <w:rPr>
          <w:highlight w:val="yellow"/>
        </w:rPr>
      </w:pPr>
      <w:r w:rsidRPr="00BD16B4">
        <w:t xml:space="preserve">The </w:t>
      </w:r>
      <w:r w:rsidRPr="00BD16B4">
        <w:rPr>
          <w:i/>
          <w:iCs/>
        </w:rPr>
        <w:t>Fourth Biennial Report</w:t>
      </w:r>
      <w:r w:rsidRPr="00BD16B4">
        <w:t xml:space="preserve"> and </w:t>
      </w:r>
      <w:r w:rsidRPr="00BD16B4">
        <w:rPr>
          <w:i/>
          <w:iCs/>
        </w:rPr>
        <w:t>Seventh National Communication</w:t>
      </w:r>
      <w:r w:rsidRPr="00BD16B4">
        <w:t xml:space="preserve"> projected production planted forest harvesting from research and analysis completed by </w:t>
      </w:r>
      <w:r w:rsidRPr="00BD16B4">
        <w:rPr>
          <w:i/>
          <w:iCs/>
        </w:rPr>
        <w:t>Scion</w:t>
      </w:r>
      <w:r w:rsidRPr="00BD16B4">
        <w:t xml:space="preserve"> in 2015.</w:t>
      </w:r>
      <w:r w:rsidRPr="00BD16B4">
        <w:rPr>
          <w:rStyle w:val="FootnoteReference"/>
          <w:color w:val="000000" w:themeColor="text1"/>
        </w:rPr>
        <w:footnoteReference w:id="265"/>
      </w:r>
      <w:r w:rsidRPr="00BD16B4">
        <w:t xml:space="preserve"> Harvesting projections have been updated based on the most recent research and analysis completed in 2021. The </w:t>
      </w:r>
      <w:r w:rsidRPr="00BD16B4">
        <w:rPr>
          <w:i/>
          <w:iCs/>
        </w:rPr>
        <w:t>Wood Availability Forecast</w:t>
      </w:r>
      <w:r w:rsidRPr="00BD16B4">
        <w:t xml:space="preserve"> shows slightly higher harvest levels over the 2020s than previously assumed. For example, total forest harvesting in the </w:t>
      </w:r>
      <w:r w:rsidRPr="00BD16B4">
        <w:rPr>
          <w:i/>
          <w:iCs/>
        </w:rPr>
        <w:t>Fourth Biennial Report</w:t>
      </w:r>
      <w:r w:rsidRPr="00BD16B4">
        <w:t xml:space="preserve"> was projected to be around 591,000 hectares over 2021–2030, compared with around 668,000 hectares harvested over the same period in the </w:t>
      </w:r>
      <w:r w:rsidRPr="00BD16B4">
        <w:rPr>
          <w:i/>
          <w:iCs/>
        </w:rPr>
        <w:t>Wood Availability Forecast</w:t>
      </w:r>
      <w:r w:rsidRPr="00BD16B4">
        <w:t>.</w:t>
      </w:r>
    </w:p>
    <w:p w14:paraId="0A2B0428" w14:textId="77777777" w:rsidR="007C259A" w:rsidRPr="00BD16B4" w:rsidRDefault="007C259A" w:rsidP="007C259A">
      <w:pPr>
        <w:pStyle w:val="BodyText"/>
        <w:keepLines/>
      </w:pPr>
      <w:r w:rsidRPr="00BD16B4">
        <w:t>Revised pre-1990 natural forest emission factors have resulted in lower removals over inventory reporting and projection periods. In this report, projected removals from pre-1990 natural forests are around –1.4 Mt CO</w:t>
      </w:r>
      <w:r w:rsidRPr="00BD16B4">
        <w:rPr>
          <w:vertAlign w:val="subscript"/>
        </w:rPr>
        <w:t>2</w:t>
      </w:r>
      <w:r w:rsidRPr="00BD16B4">
        <w:t>-e per year compared with around –6.1 Mt CO</w:t>
      </w:r>
      <w:r w:rsidRPr="00BD16B4">
        <w:rPr>
          <w:vertAlign w:val="subscript"/>
        </w:rPr>
        <w:t>2</w:t>
      </w:r>
      <w:r w:rsidRPr="00BD16B4">
        <w:t xml:space="preserve">-e per year as reported in the </w:t>
      </w:r>
      <w:r w:rsidRPr="00BD16B4">
        <w:rPr>
          <w:i/>
          <w:iCs/>
        </w:rPr>
        <w:t>Seventh National Communication</w:t>
      </w:r>
      <w:r w:rsidRPr="00BD16B4">
        <w:rPr>
          <w:vertAlign w:val="superscript"/>
        </w:rPr>
        <w:footnoteReference w:id="266"/>
      </w:r>
      <w:r w:rsidRPr="00BD16B4">
        <w:t xml:space="preserve"> and 2.7 Mt CO</w:t>
      </w:r>
      <w:r w:rsidRPr="00BD16B4">
        <w:rPr>
          <w:vertAlign w:val="subscript"/>
        </w:rPr>
        <w:t>2</w:t>
      </w:r>
      <w:r w:rsidRPr="00BD16B4">
        <w:t xml:space="preserve">-e per year as reported in the </w:t>
      </w:r>
      <w:r w:rsidRPr="00BD16B4">
        <w:rPr>
          <w:i/>
          <w:iCs/>
        </w:rPr>
        <w:t>Fourth Biennial Report</w:t>
      </w:r>
      <w:r w:rsidRPr="00BD16B4">
        <w:t>.</w:t>
      </w:r>
    </w:p>
    <w:p w14:paraId="2F4B1945" w14:textId="77777777" w:rsidR="007C259A" w:rsidRPr="00BD16B4" w:rsidRDefault="007C259A" w:rsidP="007C259A">
      <w:pPr>
        <w:pStyle w:val="BodyText"/>
      </w:pPr>
      <w:r w:rsidRPr="00BD16B4">
        <w:t>Table 5.24 and figure 5.8 provides net removals from the inventory for 1990 and 2020, and projected net removals ‘with existing measures’ upper removals (low-emissions), base (WEM) and lower removals (high-emissions) scenarios. The upper and lower removals scenarios reflect the variability in future rates of afforestation, deforestation, harvesting, pre-1990 forests and harvested wood products.</w:t>
      </w:r>
    </w:p>
    <w:p w14:paraId="6F154262" w14:textId="77777777" w:rsidR="007C259A" w:rsidRPr="00BD16B4" w:rsidRDefault="007C259A" w:rsidP="00BB7302">
      <w:pPr>
        <w:pStyle w:val="Tableheading"/>
      </w:pPr>
      <w:bookmarkStart w:id="306" w:name="_Toc121773814"/>
      <w:r w:rsidRPr="00BD16B4">
        <w:lastRenderedPageBreak/>
        <w:t xml:space="preserve">Table 5.24: </w:t>
      </w:r>
      <w:r w:rsidRPr="00BD16B4">
        <w:tab/>
        <w:t>Projected net LULUCF removals under ‘with existing measures’, lower removals and upper removals scenarios, 1990–2035 (Mt CO</w:t>
      </w:r>
      <w:r w:rsidRPr="00BD16B4">
        <w:rPr>
          <w:vertAlign w:val="subscript"/>
        </w:rPr>
        <w:t>2</w:t>
      </w:r>
      <w:r w:rsidRPr="00BD16B4">
        <w:t>-e)</w:t>
      </w:r>
      <w:bookmarkEnd w:id="306"/>
    </w:p>
    <w:tbl>
      <w:tblPr>
        <w:tblStyle w:val="LightList-Accent11"/>
        <w:tblW w:w="8505" w:type="dxa"/>
        <w:tblInd w:w="113" w:type="dxa"/>
        <w:tblBorders>
          <w:top w:val="single" w:sz="4" w:space="0" w:color="1B556B" w:themeColor="text2"/>
          <w:left w:val="none" w:sz="0" w:space="0" w:color="auto"/>
          <w:right w:val="none" w:sz="0" w:space="0" w:color="auto"/>
          <w:insideH w:val="single" w:sz="8" w:space="0" w:color="1C556C" w:themeColor="accent1"/>
          <w:insideV w:val="single" w:sz="6" w:space="0" w:color="1B556B" w:themeColor="text2"/>
        </w:tblBorders>
        <w:tblLook w:val="04A0" w:firstRow="1" w:lastRow="0" w:firstColumn="1" w:lastColumn="0" w:noHBand="0" w:noVBand="1"/>
      </w:tblPr>
      <w:tblGrid>
        <w:gridCol w:w="3835"/>
        <w:gridCol w:w="934"/>
        <w:gridCol w:w="934"/>
        <w:gridCol w:w="934"/>
        <w:gridCol w:w="934"/>
        <w:gridCol w:w="934"/>
      </w:tblGrid>
      <w:tr w:rsidR="007C259A" w:rsidRPr="00BD16B4" w14:paraId="23C70509" w14:textId="77777777" w:rsidTr="009A0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shd w:val="clear" w:color="auto" w:fill="1B556B" w:themeFill="text2"/>
            <w:hideMark/>
          </w:tcPr>
          <w:p w14:paraId="1DA08D09" w14:textId="77777777" w:rsidR="007C259A" w:rsidRPr="00BD16B4" w:rsidRDefault="007C259A" w:rsidP="002B28D9">
            <w:pPr>
              <w:pStyle w:val="TableTextBold0"/>
              <w:keepNext/>
              <w:spacing w:before="40" w:after="40"/>
              <w:rPr>
                <w:b/>
              </w:rPr>
            </w:pPr>
            <w:r w:rsidRPr="00BD16B4">
              <w:rPr>
                <w:b/>
              </w:rPr>
              <w:t>Scenario</w:t>
            </w:r>
          </w:p>
        </w:tc>
        <w:tc>
          <w:tcPr>
            <w:tcW w:w="964" w:type="dxa"/>
            <w:shd w:val="clear" w:color="auto" w:fill="1B556B" w:themeFill="text2"/>
            <w:hideMark/>
          </w:tcPr>
          <w:p w14:paraId="334F473F" w14:textId="77777777" w:rsidR="007C259A" w:rsidRPr="00BD16B4" w:rsidRDefault="007C259A" w:rsidP="00F31129">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rPr>
            </w:pPr>
            <w:r w:rsidRPr="00BD16B4">
              <w:rPr>
                <w:b/>
              </w:rPr>
              <w:t>1990</w:t>
            </w:r>
          </w:p>
        </w:tc>
        <w:tc>
          <w:tcPr>
            <w:tcW w:w="964" w:type="dxa"/>
            <w:shd w:val="clear" w:color="auto" w:fill="1B556B" w:themeFill="text2"/>
            <w:hideMark/>
          </w:tcPr>
          <w:p w14:paraId="036CFF7A" w14:textId="77777777" w:rsidR="007C259A" w:rsidRPr="00BD16B4" w:rsidRDefault="007C259A" w:rsidP="00F31129">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rPr>
            </w:pPr>
            <w:r w:rsidRPr="00BD16B4">
              <w:rPr>
                <w:b/>
              </w:rPr>
              <w:t>2020</w:t>
            </w:r>
          </w:p>
        </w:tc>
        <w:tc>
          <w:tcPr>
            <w:tcW w:w="964" w:type="dxa"/>
            <w:shd w:val="clear" w:color="auto" w:fill="1B556B" w:themeFill="text2"/>
            <w:hideMark/>
          </w:tcPr>
          <w:p w14:paraId="079198A8" w14:textId="77777777" w:rsidR="007C259A" w:rsidRPr="00BD16B4" w:rsidRDefault="007C259A" w:rsidP="00F31129">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rPr>
            </w:pPr>
            <w:r w:rsidRPr="00BD16B4">
              <w:rPr>
                <w:b/>
              </w:rPr>
              <w:t>2025</w:t>
            </w:r>
          </w:p>
        </w:tc>
        <w:tc>
          <w:tcPr>
            <w:tcW w:w="964" w:type="dxa"/>
            <w:shd w:val="clear" w:color="auto" w:fill="1B556B" w:themeFill="text2"/>
            <w:hideMark/>
          </w:tcPr>
          <w:p w14:paraId="779A1462" w14:textId="77777777" w:rsidR="007C259A" w:rsidRPr="00BD16B4" w:rsidRDefault="007C259A" w:rsidP="00F31129">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rPr>
            </w:pPr>
            <w:r w:rsidRPr="00BD16B4">
              <w:rPr>
                <w:b/>
              </w:rPr>
              <w:t>2030</w:t>
            </w:r>
          </w:p>
        </w:tc>
        <w:tc>
          <w:tcPr>
            <w:tcW w:w="964" w:type="dxa"/>
            <w:shd w:val="clear" w:color="auto" w:fill="1B556B" w:themeFill="text2"/>
          </w:tcPr>
          <w:p w14:paraId="6D0CEC02" w14:textId="77777777" w:rsidR="007C259A" w:rsidRPr="00BD16B4" w:rsidRDefault="007C259A" w:rsidP="00F31129">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rPr>
            </w:pPr>
            <w:r w:rsidRPr="00BD16B4">
              <w:rPr>
                <w:b/>
              </w:rPr>
              <w:t>2035</w:t>
            </w:r>
          </w:p>
        </w:tc>
      </w:tr>
      <w:tr w:rsidR="007C259A" w:rsidRPr="00BD16B4" w14:paraId="05EDDB08" w14:textId="77777777" w:rsidTr="009A0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Borders>
              <w:top w:val="none" w:sz="0" w:space="0" w:color="auto"/>
              <w:left w:val="none" w:sz="0" w:space="0" w:color="auto"/>
              <w:bottom w:val="none" w:sz="0" w:space="0" w:color="auto"/>
            </w:tcBorders>
          </w:tcPr>
          <w:p w14:paraId="2518EAEF" w14:textId="77777777" w:rsidR="007C259A" w:rsidRPr="00BD16B4" w:rsidRDefault="007C259A" w:rsidP="002B28D9">
            <w:pPr>
              <w:pStyle w:val="TableText"/>
              <w:keepNext/>
              <w:spacing w:before="40" w:after="40"/>
              <w:rPr>
                <w:rFonts w:cs="Calibri"/>
                <w:b w:val="0"/>
              </w:rPr>
            </w:pPr>
            <w:r w:rsidRPr="00BD16B4">
              <w:rPr>
                <w:rFonts w:cs="Calibri"/>
                <w:b w:val="0"/>
              </w:rPr>
              <w:t>Lower removals (high-emissions scenario)</w:t>
            </w:r>
          </w:p>
        </w:tc>
        <w:tc>
          <w:tcPr>
            <w:tcW w:w="964" w:type="dxa"/>
            <w:tcBorders>
              <w:top w:val="none" w:sz="0" w:space="0" w:color="auto"/>
              <w:bottom w:val="none" w:sz="0" w:space="0" w:color="auto"/>
            </w:tcBorders>
          </w:tcPr>
          <w:p w14:paraId="47F9A34C" w14:textId="77777777" w:rsidR="007C259A" w:rsidRPr="00BD16B4" w:rsidRDefault="007C259A" w:rsidP="00F31129">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D16B4">
              <w:rPr>
                <w:rFonts w:cs="Calibri"/>
                <w:szCs w:val="18"/>
              </w:rPr>
              <w:t>–21.2</w:t>
            </w:r>
          </w:p>
        </w:tc>
        <w:tc>
          <w:tcPr>
            <w:tcW w:w="964" w:type="dxa"/>
            <w:tcBorders>
              <w:top w:val="none" w:sz="0" w:space="0" w:color="auto"/>
              <w:bottom w:val="none" w:sz="0" w:space="0" w:color="auto"/>
            </w:tcBorders>
          </w:tcPr>
          <w:p w14:paraId="4EFA7798" w14:textId="77777777" w:rsidR="007C259A" w:rsidRPr="00BD16B4" w:rsidRDefault="007C259A" w:rsidP="00F31129">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D16B4">
              <w:rPr>
                <w:rFonts w:cs="Calibri"/>
                <w:szCs w:val="18"/>
              </w:rPr>
              <w:t>–23.3</w:t>
            </w:r>
          </w:p>
        </w:tc>
        <w:tc>
          <w:tcPr>
            <w:tcW w:w="964" w:type="dxa"/>
            <w:tcBorders>
              <w:top w:val="none" w:sz="0" w:space="0" w:color="auto"/>
              <w:bottom w:val="none" w:sz="0" w:space="0" w:color="auto"/>
            </w:tcBorders>
            <w:shd w:val="clear" w:color="auto" w:fill="D2DDE1" w:themeFill="background2"/>
          </w:tcPr>
          <w:p w14:paraId="79CAEC04" w14:textId="77777777" w:rsidR="007C259A" w:rsidRPr="00BD16B4" w:rsidRDefault="007C259A" w:rsidP="00F31129">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D16B4">
              <w:rPr>
                <w:rFonts w:cs="Calibri"/>
                <w:szCs w:val="18"/>
              </w:rPr>
              <w:t>–2.7</w:t>
            </w:r>
          </w:p>
        </w:tc>
        <w:tc>
          <w:tcPr>
            <w:tcW w:w="964" w:type="dxa"/>
            <w:tcBorders>
              <w:top w:val="none" w:sz="0" w:space="0" w:color="auto"/>
              <w:bottom w:val="none" w:sz="0" w:space="0" w:color="auto"/>
            </w:tcBorders>
            <w:shd w:val="clear" w:color="auto" w:fill="D2DDE1" w:themeFill="background2"/>
          </w:tcPr>
          <w:p w14:paraId="78CD4192" w14:textId="77777777" w:rsidR="007C259A" w:rsidRPr="00BD16B4" w:rsidRDefault="007C259A" w:rsidP="00F31129">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D16B4">
              <w:rPr>
                <w:rFonts w:cs="Calibri"/>
                <w:szCs w:val="18"/>
              </w:rPr>
              <w:t>–4.6</w:t>
            </w:r>
          </w:p>
        </w:tc>
        <w:tc>
          <w:tcPr>
            <w:tcW w:w="964" w:type="dxa"/>
            <w:tcBorders>
              <w:top w:val="none" w:sz="0" w:space="0" w:color="auto"/>
              <w:bottom w:val="none" w:sz="0" w:space="0" w:color="auto"/>
              <w:right w:val="none" w:sz="0" w:space="0" w:color="auto"/>
            </w:tcBorders>
            <w:shd w:val="clear" w:color="auto" w:fill="D2DDE1" w:themeFill="background2"/>
          </w:tcPr>
          <w:p w14:paraId="7559826F" w14:textId="77777777" w:rsidR="007C259A" w:rsidRPr="00BD16B4" w:rsidRDefault="007C259A" w:rsidP="00F31129">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D16B4">
              <w:rPr>
                <w:rFonts w:cs="Calibri"/>
                <w:szCs w:val="18"/>
              </w:rPr>
              <w:t>–16.7</w:t>
            </w:r>
          </w:p>
        </w:tc>
      </w:tr>
      <w:tr w:rsidR="007C259A" w:rsidRPr="00BD16B4" w14:paraId="3DDC2B2C" w14:textId="77777777" w:rsidTr="009A0F54">
        <w:tc>
          <w:tcPr>
            <w:cnfStyle w:val="001000000000" w:firstRow="0" w:lastRow="0" w:firstColumn="1" w:lastColumn="0" w:oddVBand="0" w:evenVBand="0" w:oddHBand="0" w:evenHBand="0" w:firstRowFirstColumn="0" w:firstRowLastColumn="0" w:lastRowFirstColumn="0" w:lastRowLastColumn="0"/>
            <w:tcW w:w="4082" w:type="dxa"/>
          </w:tcPr>
          <w:p w14:paraId="10F87B61" w14:textId="77777777" w:rsidR="007C259A" w:rsidRPr="00BD16B4" w:rsidRDefault="007C259A" w:rsidP="002B28D9">
            <w:pPr>
              <w:pStyle w:val="TableText"/>
              <w:keepNext/>
              <w:spacing w:before="40" w:after="40"/>
              <w:rPr>
                <w:rFonts w:cs="Calibri"/>
                <w:b w:val="0"/>
              </w:rPr>
            </w:pPr>
            <w:r w:rsidRPr="00BD16B4">
              <w:rPr>
                <w:rFonts w:cs="Calibri"/>
                <w:b w:val="0"/>
              </w:rPr>
              <w:t>With existing measures</w:t>
            </w:r>
          </w:p>
        </w:tc>
        <w:tc>
          <w:tcPr>
            <w:tcW w:w="964" w:type="dxa"/>
          </w:tcPr>
          <w:p w14:paraId="27A1F7EE"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–21.2</w:t>
            </w:r>
          </w:p>
        </w:tc>
        <w:tc>
          <w:tcPr>
            <w:tcW w:w="964" w:type="dxa"/>
          </w:tcPr>
          <w:p w14:paraId="0BB12813"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–23.3</w:t>
            </w:r>
          </w:p>
        </w:tc>
        <w:tc>
          <w:tcPr>
            <w:tcW w:w="964" w:type="dxa"/>
            <w:shd w:val="clear" w:color="auto" w:fill="D2DDE1" w:themeFill="background2"/>
          </w:tcPr>
          <w:p w14:paraId="265B26BD"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–9.5</w:t>
            </w:r>
          </w:p>
        </w:tc>
        <w:tc>
          <w:tcPr>
            <w:tcW w:w="964" w:type="dxa"/>
            <w:shd w:val="clear" w:color="auto" w:fill="D2DDE1" w:themeFill="background2"/>
          </w:tcPr>
          <w:p w14:paraId="11E9DF3A"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–12.0</w:t>
            </w:r>
          </w:p>
        </w:tc>
        <w:tc>
          <w:tcPr>
            <w:tcW w:w="964" w:type="dxa"/>
            <w:shd w:val="clear" w:color="auto" w:fill="D2DDE1" w:themeFill="background2"/>
          </w:tcPr>
          <w:p w14:paraId="5425813F" w14:textId="77777777" w:rsidR="007C259A" w:rsidRPr="00BD16B4" w:rsidRDefault="007C259A" w:rsidP="00F31129">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–25.5</w:t>
            </w:r>
          </w:p>
        </w:tc>
      </w:tr>
      <w:tr w:rsidR="007C259A" w:rsidRPr="00BD16B4" w14:paraId="0112E821" w14:textId="77777777" w:rsidTr="009A0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Borders>
              <w:top w:val="none" w:sz="0" w:space="0" w:color="auto"/>
              <w:left w:val="none" w:sz="0" w:space="0" w:color="auto"/>
              <w:bottom w:val="none" w:sz="0" w:space="0" w:color="auto"/>
            </w:tcBorders>
            <w:hideMark/>
          </w:tcPr>
          <w:p w14:paraId="4271164B" w14:textId="77777777" w:rsidR="007C259A" w:rsidRPr="00BD16B4" w:rsidRDefault="007C259A" w:rsidP="002B28D9">
            <w:pPr>
              <w:pStyle w:val="TableText"/>
              <w:keepNext/>
              <w:spacing w:before="40" w:after="40"/>
              <w:rPr>
                <w:rFonts w:cs="Calibri"/>
                <w:b w:val="0"/>
              </w:rPr>
            </w:pPr>
            <w:r w:rsidRPr="00BD16B4">
              <w:rPr>
                <w:rFonts w:cs="Calibri"/>
                <w:b w:val="0"/>
              </w:rPr>
              <w:t>Upper removals (low-emissions scenario)</w:t>
            </w:r>
          </w:p>
        </w:tc>
        <w:tc>
          <w:tcPr>
            <w:tcW w:w="964" w:type="dxa"/>
            <w:tcBorders>
              <w:top w:val="none" w:sz="0" w:space="0" w:color="auto"/>
              <w:bottom w:val="none" w:sz="0" w:space="0" w:color="auto"/>
            </w:tcBorders>
          </w:tcPr>
          <w:p w14:paraId="077116E3" w14:textId="77777777" w:rsidR="007C259A" w:rsidRPr="00BD16B4" w:rsidRDefault="007C259A" w:rsidP="00F31129">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D16B4">
              <w:rPr>
                <w:rFonts w:cs="Calibri"/>
                <w:szCs w:val="18"/>
              </w:rPr>
              <w:t>–21.2</w:t>
            </w:r>
          </w:p>
        </w:tc>
        <w:tc>
          <w:tcPr>
            <w:tcW w:w="964" w:type="dxa"/>
            <w:tcBorders>
              <w:top w:val="none" w:sz="0" w:space="0" w:color="auto"/>
              <w:bottom w:val="none" w:sz="0" w:space="0" w:color="auto"/>
            </w:tcBorders>
          </w:tcPr>
          <w:p w14:paraId="1887BB90" w14:textId="77777777" w:rsidR="007C259A" w:rsidRPr="00BD16B4" w:rsidRDefault="007C259A" w:rsidP="00F31129">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D16B4">
              <w:rPr>
                <w:rFonts w:cs="Calibri"/>
                <w:szCs w:val="18"/>
              </w:rPr>
              <w:t>–23.3</w:t>
            </w:r>
          </w:p>
        </w:tc>
        <w:tc>
          <w:tcPr>
            <w:tcW w:w="964" w:type="dxa"/>
            <w:tcBorders>
              <w:top w:val="none" w:sz="0" w:space="0" w:color="auto"/>
              <w:bottom w:val="none" w:sz="0" w:space="0" w:color="auto"/>
            </w:tcBorders>
            <w:shd w:val="clear" w:color="auto" w:fill="D2DDE1" w:themeFill="background2"/>
          </w:tcPr>
          <w:p w14:paraId="2A334686" w14:textId="77777777" w:rsidR="007C259A" w:rsidRPr="00BD16B4" w:rsidRDefault="007C259A" w:rsidP="00F31129">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D16B4">
              <w:rPr>
                <w:rFonts w:cs="Calibri"/>
                <w:szCs w:val="18"/>
              </w:rPr>
              <w:t>–15.9</w:t>
            </w:r>
          </w:p>
        </w:tc>
        <w:tc>
          <w:tcPr>
            <w:tcW w:w="964" w:type="dxa"/>
            <w:tcBorders>
              <w:top w:val="none" w:sz="0" w:space="0" w:color="auto"/>
              <w:bottom w:val="none" w:sz="0" w:space="0" w:color="auto"/>
            </w:tcBorders>
            <w:shd w:val="clear" w:color="auto" w:fill="D2DDE1" w:themeFill="background2"/>
          </w:tcPr>
          <w:p w14:paraId="0C2559E6" w14:textId="77777777" w:rsidR="007C259A" w:rsidRPr="00BD16B4" w:rsidRDefault="007C259A" w:rsidP="00F31129">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D16B4">
              <w:rPr>
                <w:rFonts w:cs="Calibri"/>
                <w:szCs w:val="18"/>
              </w:rPr>
              <w:t>–18.9</w:t>
            </w:r>
          </w:p>
        </w:tc>
        <w:tc>
          <w:tcPr>
            <w:tcW w:w="964" w:type="dxa"/>
            <w:tcBorders>
              <w:top w:val="none" w:sz="0" w:space="0" w:color="auto"/>
              <w:bottom w:val="none" w:sz="0" w:space="0" w:color="auto"/>
              <w:right w:val="none" w:sz="0" w:space="0" w:color="auto"/>
            </w:tcBorders>
            <w:shd w:val="clear" w:color="auto" w:fill="D2DDE1" w:themeFill="background2"/>
          </w:tcPr>
          <w:p w14:paraId="0FF69085" w14:textId="77777777" w:rsidR="007C259A" w:rsidRPr="00BD16B4" w:rsidRDefault="007C259A" w:rsidP="00F31129">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D16B4">
              <w:rPr>
                <w:rFonts w:cs="Calibri"/>
                <w:szCs w:val="18"/>
              </w:rPr>
              <w:t>–33.8</w:t>
            </w:r>
          </w:p>
        </w:tc>
      </w:tr>
    </w:tbl>
    <w:p w14:paraId="4D5FFB1A" w14:textId="77777777" w:rsidR="007C259A" w:rsidRPr="00BD16B4" w:rsidRDefault="007C259A" w:rsidP="00120409">
      <w:pPr>
        <w:pStyle w:val="Note"/>
      </w:pPr>
      <w:r w:rsidRPr="00BD16B4">
        <w:rPr>
          <w:b/>
          <w:bCs/>
        </w:rPr>
        <w:t>Note:</w:t>
      </w:r>
      <w:r w:rsidRPr="00BD16B4">
        <w:t xml:space="preserve"> Removals are expressed as negatives (–) and represent net carbon dioxide (CO</w:t>
      </w:r>
      <w:r w:rsidRPr="00BD16B4">
        <w:rPr>
          <w:vertAlign w:val="subscript"/>
        </w:rPr>
        <w:t>2</w:t>
      </w:r>
      <w:r w:rsidRPr="00BD16B4">
        <w:t>) removed from the atmosphere, while emissions are expressed as positives (+) and represent net CO</w:t>
      </w:r>
      <w:r w:rsidRPr="00BD16B4">
        <w:rPr>
          <w:vertAlign w:val="subscript"/>
        </w:rPr>
        <w:t>2</w:t>
      </w:r>
      <w:r w:rsidRPr="00BD16B4">
        <w:t xml:space="preserve"> emissions to the atmosphere. LULUCF = land use, land-use change and forestry; Mt CO</w:t>
      </w:r>
      <w:r w:rsidRPr="00BD16B4">
        <w:rPr>
          <w:vertAlign w:val="subscript"/>
        </w:rPr>
        <w:t>2</w:t>
      </w:r>
      <w:r w:rsidRPr="00BD16B4">
        <w:t>-e = million tonnes of carbon dioxide equivalent.</w:t>
      </w:r>
    </w:p>
    <w:p w14:paraId="7630E85D" w14:textId="77777777" w:rsidR="007C259A" w:rsidRPr="00BD16B4" w:rsidRDefault="007C259A" w:rsidP="00EC76A2">
      <w:pPr>
        <w:pStyle w:val="Figureheading"/>
      </w:pPr>
      <w:bookmarkStart w:id="307" w:name="_Toc121494405"/>
      <w:r w:rsidRPr="00BD16B4">
        <w:t>Figure 5.8:</w:t>
      </w:r>
      <w:r w:rsidRPr="00BD16B4">
        <w:tab/>
        <w:t>Projected net LULUCF removals under ‘with existing measures’, lower removals and upper removals scenarios, 1990–2035 (Mt CO</w:t>
      </w:r>
      <w:r w:rsidRPr="00BD16B4">
        <w:rPr>
          <w:vertAlign w:val="subscript"/>
        </w:rPr>
        <w:t>2</w:t>
      </w:r>
      <w:r w:rsidRPr="00BD16B4">
        <w:t>-e)</w:t>
      </w:r>
      <w:bookmarkEnd w:id="307"/>
    </w:p>
    <w:p w14:paraId="4D4F2DDF" w14:textId="77777777" w:rsidR="007C259A" w:rsidRPr="00BD16B4" w:rsidRDefault="007C259A" w:rsidP="007C259A">
      <w:pPr>
        <w:pStyle w:val="BodyText"/>
        <w:spacing w:before="0" w:after="60"/>
        <w:rPr>
          <w:b/>
          <w:bCs/>
        </w:rPr>
      </w:pPr>
      <w:r w:rsidRPr="00BD16B4">
        <w:rPr>
          <w:noProof/>
        </w:rPr>
        <w:drawing>
          <wp:inline distT="0" distB="0" distL="0" distR="0" wp14:anchorId="059693F4" wp14:editId="7CB699E1">
            <wp:extent cx="5400000" cy="3200400"/>
            <wp:effectExtent l="0" t="0" r="10795" b="0"/>
            <wp:docPr id="49" name="Chart 49">
              <a:extLst xmlns:a="http://schemas.openxmlformats.org/drawingml/2006/main">
                <a:ext uri="{FF2B5EF4-FFF2-40B4-BE49-F238E27FC236}">
                  <a16:creationId xmlns:a16="http://schemas.microsoft.com/office/drawing/2014/main" id="{86AA38B4-0968-442E-9BAE-68721EBF847A}"/>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19FA80A" w14:textId="77777777" w:rsidR="007C259A" w:rsidRPr="00BD16B4" w:rsidRDefault="007C259A" w:rsidP="009A0F54">
      <w:pPr>
        <w:pStyle w:val="Note"/>
        <w:spacing w:before="80"/>
      </w:pPr>
      <w:r w:rsidRPr="00BD16B4">
        <w:rPr>
          <w:b/>
          <w:bCs/>
        </w:rPr>
        <w:t>Note:</w:t>
      </w:r>
      <w:r w:rsidRPr="00BD16B4">
        <w:t xml:space="preserve"> Removals are expressed as negatives (–) and represent net CO</w:t>
      </w:r>
      <w:r w:rsidRPr="00BD16B4">
        <w:rPr>
          <w:vertAlign w:val="subscript"/>
        </w:rPr>
        <w:t>2</w:t>
      </w:r>
      <w:r w:rsidRPr="00BD16B4">
        <w:t xml:space="preserve"> removed from the atmosphere, while emissions are expressed as positives (+) and represent net CO</w:t>
      </w:r>
      <w:r w:rsidRPr="00BD16B4">
        <w:rPr>
          <w:vertAlign w:val="subscript"/>
        </w:rPr>
        <w:t>2</w:t>
      </w:r>
      <w:r w:rsidRPr="00BD16B4">
        <w:t xml:space="preserve"> emissions to the atmosphere. GHG = greenhouse gas; LULUCF = land use, land-use change and forestry; Mt CO</w:t>
      </w:r>
      <w:r w:rsidRPr="00BD16B4">
        <w:rPr>
          <w:vertAlign w:val="subscript"/>
        </w:rPr>
        <w:t>2</w:t>
      </w:r>
      <w:r w:rsidRPr="00BD16B4">
        <w:t>-e = million tonnes of carbon dioxide equivalent; WEM = with existing measures.</w:t>
      </w:r>
    </w:p>
    <w:p w14:paraId="14FE7448" w14:textId="77777777" w:rsidR="007C259A" w:rsidRPr="00BD16B4" w:rsidRDefault="007C259A" w:rsidP="007C259A">
      <w:pPr>
        <w:pStyle w:val="Heading3"/>
      </w:pPr>
      <w:r w:rsidRPr="00BD16B4">
        <w:t>5.5.6</w:t>
      </w:r>
      <w:r w:rsidRPr="00BD16B4">
        <w:tab/>
        <w:t>Waste</w:t>
      </w:r>
    </w:p>
    <w:p w14:paraId="00BFB052" w14:textId="77777777" w:rsidR="007C259A" w:rsidRPr="00BD16B4" w:rsidRDefault="007C259A" w:rsidP="007C259A">
      <w:pPr>
        <w:pStyle w:val="BodyText"/>
      </w:pPr>
      <w:r w:rsidRPr="00BD16B4">
        <w:t>From 2020, emissions from waste are projected to decrease to 2982 kt CO</w:t>
      </w:r>
      <w:r w:rsidRPr="00BD16B4">
        <w:rPr>
          <w:vertAlign w:val="subscript"/>
        </w:rPr>
        <w:t>2</w:t>
      </w:r>
      <w:r w:rsidRPr="00BD16B4">
        <w:t>-e by 2030 (24.4 per cent below 1990 levels, or 8.8 per cent below 2020 levels) and to 2884 kt CO</w:t>
      </w:r>
      <w:r w:rsidRPr="00BD16B4">
        <w:rPr>
          <w:vertAlign w:val="subscript"/>
        </w:rPr>
        <w:t>2</w:t>
      </w:r>
      <w:r w:rsidRPr="00BD16B4">
        <w:t>-e by 2035 (26.9 per cent below 1990 levels, or 11.8 per cent below 2020 levels). Table 5.25 presents historical greenhouse gas emissions from 1990 to 2020, and projected greenhouse gas emissions from 2021 to 2035 for the waste sector.</w:t>
      </w:r>
    </w:p>
    <w:p w14:paraId="54DBFC2D" w14:textId="0625D0BF" w:rsidR="007C259A" w:rsidRPr="00BD16B4" w:rsidRDefault="007C259A" w:rsidP="007C259A">
      <w:pPr>
        <w:pStyle w:val="BodyText"/>
      </w:pPr>
      <w:r w:rsidRPr="00BD16B4">
        <w:t>Around 82.2 per cent of waste emissions are CH</w:t>
      </w:r>
      <w:r w:rsidRPr="00BD16B4">
        <w:rPr>
          <w:vertAlign w:val="subscript"/>
        </w:rPr>
        <w:t>4</w:t>
      </w:r>
      <w:r w:rsidRPr="00BD16B4">
        <w:t xml:space="preserve"> emissions resulting from disposal</w:t>
      </w:r>
      <w:r w:rsidR="00F505CB" w:rsidRPr="00BD16B4">
        <w:t xml:space="preserve"> </w:t>
      </w:r>
      <w:r w:rsidRPr="00BD16B4">
        <w:t>of solid</w:t>
      </w:r>
      <w:r w:rsidR="00F505CB" w:rsidRPr="00BD16B4">
        <w:t xml:space="preserve"> </w:t>
      </w:r>
      <w:r w:rsidRPr="00BD16B4">
        <w:t>waste to land during 1990–2035. Due to the increasing use of landfill gas capture, particularly since this became mandatory for certain landfills under the National Environmental Standard for Air Quality, net emissions from landfills and the waste sector as a whole peaked around 2002. Changing composition of waste, notably a reduction in the proportion of food and paper waste to landfill offsets projected increases in waste volumes, which results in a slightly decreasing trend to 2035.</w:t>
      </w:r>
    </w:p>
    <w:p w14:paraId="166621A5" w14:textId="77777777" w:rsidR="007C259A" w:rsidRPr="00BD16B4" w:rsidRDefault="007C259A" w:rsidP="007C259A">
      <w:pPr>
        <w:pStyle w:val="BodyText"/>
      </w:pPr>
      <w:r w:rsidRPr="00BD16B4">
        <w:lastRenderedPageBreak/>
        <w:t>The remaining 17.8 per cent of emissions in the waste sector are composed of several gases from the following sources in decreasing order of size: domestic wastewater, open burning, industrial wastewater, composting, incineration and anaerobic digestion. Carbon dioxide emissions mainly from open burning remain at steady levels from 2021 to 2035, whereas CH</w:t>
      </w:r>
      <w:r w:rsidRPr="00BD16B4">
        <w:rPr>
          <w:vertAlign w:val="subscript"/>
        </w:rPr>
        <w:t>4</w:t>
      </w:r>
      <w:r w:rsidRPr="00BD16B4">
        <w:t xml:space="preserve"> emissions are expected to decrease during this period. Nitrous oxide emissions increase during the same timeframe, largely due to the increased wastewater emissions from an increasing population and also a contribution from increased composting. </w:t>
      </w:r>
    </w:p>
    <w:p w14:paraId="672566F8" w14:textId="77777777" w:rsidR="007C259A" w:rsidRPr="00BD16B4" w:rsidRDefault="007C259A" w:rsidP="00BB7302">
      <w:pPr>
        <w:pStyle w:val="Tableheading"/>
        <w:rPr>
          <w:rFonts w:eastAsia="Calibri"/>
        </w:rPr>
      </w:pPr>
      <w:bookmarkStart w:id="308" w:name="_Toc121773815"/>
      <w:r w:rsidRPr="00BD16B4">
        <w:rPr>
          <w:rFonts w:eastAsia="Calibri"/>
        </w:rPr>
        <w:t xml:space="preserve">Table 5.25: </w:t>
      </w:r>
      <w:r w:rsidRPr="00BD16B4">
        <w:rPr>
          <w:rFonts w:eastAsia="Calibri"/>
        </w:rPr>
        <w:tab/>
        <w:t>Historical and projected greenhouse gas emissions from waste by gas, under a ‘with existing measures’ scenario, 1990–2035 (kt CO</w:t>
      </w:r>
      <w:r w:rsidRPr="00BD16B4">
        <w:rPr>
          <w:rFonts w:eastAsia="Calibri"/>
          <w:vertAlign w:val="subscript"/>
        </w:rPr>
        <w:t>2</w:t>
      </w:r>
      <w:r w:rsidRPr="00BD16B4">
        <w:rPr>
          <w:rFonts w:eastAsia="Calibri"/>
        </w:rPr>
        <w:t>-e)</w:t>
      </w:r>
      <w:bookmarkEnd w:id="308"/>
    </w:p>
    <w:tbl>
      <w:tblPr>
        <w:tblW w:w="8505" w:type="dxa"/>
        <w:tblInd w:w="113"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982"/>
        <w:gridCol w:w="742"/>
        <w:gridCol w:w="756"/>
        <w:gridCol w:w="758"/>
        <w:gridCol w:w="757"/>
        <w:gridCol w:w="758"/>
        <w:gridCol w:w="757"/>
        <w:gridCol w:w="758"/>
        <w:gridCol w:w="757"/>
        <w:gridCol w:w="758"/>
        <w:gridCol w:w="722"/>
      </w:tblGrid>
      <w:tr w:rsidR="007C259A" w:rsidRPr="00BD16B4" w14:paraId="3DAA8A14" w14:textId="77777777" w:rsidTr="00F505CB">
        <w:tc>
          <w:tcPr>
            <w:tcW w:w="902" w:type="dxa"/>
            <w:vMerge w:val="restart"/>
            <w:tcBorders>
              <w:bottom w:val="nil"/>
              <w:right w:val="nil"/>
            </w:tcBorders>
            <w:shd w:val="clear" w:color="auto" w:fill="1B556B" w:themeFill="text2"/>
            <w:vAlign w:val="bottom"/>
          </w:tcPr>
          <w:p w14:paraId="20EC227F" w14:textId="77777777" w:rsidR="007C259A" w:rsidRPr="00BD16B4" w:rsidRDefault="007C259A" w:rsidP="00F31129">
            <w:pPr>
              <w:pStyle w:val="TableTextBold0"/>
              <w:rPr>
                <w:color w:val="FFFFFF" w:themeColor="background1"/>
                <w:szCs w:val="18"/>
              </w:rPr>
            </w:pPr>
            <w:r w:rsidRPr="00BD16B4">
              <w:rPr>
                <w:color w:val="FFFFFF" w:themeColor="background1"/>
                <w:szCs w:val="18"/>
              </w:rPr>
              <w:t>Gas</w:t>
            </w:r>
          </w:p>
        </w:tc>
        <w:tc>
          <w:tcPr>
            <w:tcW w:w="4849" w:type="dxa"/>
            <w:gridSpan w:val="7"/>
            <w:tcBorders>
              <w:left w:val="nil"/>
              <w:bottom w:val="nil"/>
              <w:right w:val="nil"/>
            </w:tcBorders>
            <w:shd w:val="clear" w:color="auto" w:fill="1B556B" w:themeFill="text2"/>
            <w:vAlign w:val="bottom"/>
          </w:tcPr>
          <w:p w14:paraId="1DF412EB" w14:textId="77777777" w:rsidR="007C259A" w:rsidRPr="00BD16B4" w:rsidRDefault="007C259A" w:rsidP="00F31129">
            <w:pPr>
              <w:pStyle w:val="TableTextBold0"/>
              <w:spacing w:after="0"/>
              <w:jc w:val="center"/>
              <w:rPr>
                <w:color w:val="FFFFFF" w:themeColor="background1"/>
                <w:szCs w:val="18"/>
              </w:rPr>
            </w:pPr>
            <w:r w:rsidRPr="00BD16B4">
              <w:rPr>
                <w:color w:val="FFFFFF" w:themeColor="background1"/>
                <w:szCs w:val="18"/>
              </w:rPr>
              <w:t>Historical</w:t>
            </w:r>
          </w:p>
        </w:tc>
        <w:tc>
          <w:tcPr>
            <w:tcW w:w="2051" w:type="dxa"/>
            <w:gridSpan w:val="3"/>
            <w:tcBorders>
              <w:left w:val="nil"/>
              <w:bottom w:val="nil"/>
            </w:tcBorders>
            <w:shd w:val="clear" w:color="auto" w:fill="1B556B" w:themeFill="text2"/>
          </w:tcPr>
          <w:p w14:paraId="37867E5D" w14:textId="77777777" w:rsidR="007C259A" w:rsidRPr="00BD16B4" w:rsidRDefault="007C259A" w:rsidP="00F31129">
            <w:pPr>
              <w:pStyle w:val="TableTextBold0"/>
              <w:spacing w:after="0"/>
              <w:jc w:val="center"/>
              <w:rPr>
                <w:color w:val="FFFFFF" w:themeColor="background1"/>
                <w:szCs w:val="18"/>
              </w:rPr>
            </w:pPr>
            <w:r w:rsidRPr="00BD16B4">
              <w:rPr>
                <w:color w:val="FFFFFF" w:themeColor="background1"/>
                <w:szCs w:val="18"/>
              </w:rPr>
              <w:t>Projected</w:t>
            </w:r>
          </w:p>
        </w:tc>
      </w:tr>
      <w:tr w:rsidR="007C259A" w:rsidRPr="00BD16B4" w14:paraId="7BE2E868" w14:textId="77777777" w:rsidTr="00F505CB">
        <w:tc>
          <w:tcPr>
            <w:tcW w:w="902" w:type="dxa"/>
            <w:vMerge/>
            <w:tcBorders>
              <w:top w:val="nil"/>
              <w:bottom w:val="single" w:sz="4" w:space="0" w:color="1B556B" w:themeColor="text2"/>
              <w:right w:val="nil"/>
            </w:tcBorders>
            <w:shd w:val="clear" w:color="auto" w:fill="1B556B" w:themeFill="text2"/>
            <w:vAlign w:val="bottom"/>
            <w:hideMark/>
          </w:tcPr>
          <w:p w14:paraId="5280085E" w14:textId="77777777" w:rsidR="007C259A" w:rsidRPr="00BD16B4" w:rsidRDefault="007C259A" w:rsidP="00F31129">
            <w:pPr>
              <w:pStyle w:val="TableTextBold0"/>
              <w:jc w:val="center"/>
              <w:rPr>
                <w:color w:val="FFFFFF" w:themeColor="background1"/>
                <w:szCs w:val="18"/>
              </w:rPr>
            </w:pPr>
          </w:p>
        </w:tc>
        <w:tc>
          <w:tcPr>
            <w:tcW w:w="682" w:type="dxa"/>
            <w:tcBorders>
              <w:top w:val="nil"/>
              <w:left w:val="nil"/>
              <w:bottom w:val="single" w:sz="4" w:space="0" w:color="1B556B" w:themeColor="text2"/>
              <w:right w:val="nil"/>
            </w:tcBorders>
            <w:shd w:val="clear" w:color="auto" w:fill="1B556B" w:themeFill="text2"/>
            <w:vAlign w:val="bottom"/>
            <w:hideMark/>
          </w:tcPr>
          <w:p w14:paraId="14CDD598" w14:textId="77777777" w:rsidR="007C259A" w:rsidRPr="00BD16B4" w:rsidRDefault="007C259A" w:rsidP="00F31129">
            <w:pPr>
              <w:pStyle w:val="TableTextBold0"/>
              <w:spacing w:before="0"/>
              <w:jc w:val="center"/>
              <w:rPr>
                <w:color w:val="FFFFFF" w:themeColor="background1"/>
                <w:szCs w:val="18"/>
              </w:rPr>
            </w:pPr>
            <w:r w:rsidRPr="00BD16B4">
              <w:rPr>
                <w:color w:val="FFFFFF" w:themeColor="background1"/>
                <w:szCs w:val="18"/>
              </w:rPr>
              <w:t>1990</w:t>
            </w:r>
          </w:p>
        </w:tc>
        <w:tc>
          <w:tcPr>
            <w:tcW w:w="694" w:type="dxa"/>
            <w:tcBorders>
              <w:top w:val="nil"/>
              <w:left w:val="nil"/>
              <w:bottom w:val="single" w:sz="4" w:space="0" w:color="1B556B" w:themeColor="text2"/>
              <w:right w:val="nil"/>
            </w:tcBorders>
            <w:shd w:val="clear" w:color="auto" w:fill="1B556B" w:themeFill="text2"/>
            <w:vAlign w:val="bottom"/>
            <w:hideMark/>
          </w:tcPr>
          <w:p w14:paraId="3787DAB9" w14:textId="77777777" w:rsidR="007C259A" w:rsidRPr="00BD16B4" w:rsidRDefault="007C259A" w:rsidP="00F31129">
            <w:pPr>
              <w:pStyle w:val="TableTextBold0"/>
              <w:spacing w:before="0"/>
              <w:jc w:val="center"/>
              <w:rPr>
                <w:color w:val="FFFFFF" w:themeColor="background1"/>
                <w:szCs w:val="18"/>
              </w:rPr>
            </w:pPr>
            <w:r w:rsidRPr="00BD16B4">
              <w:rPr>
                <w:color w:val="FFFFFF" w:themeColor="background1"/>
                <w:szCs w:val="18"/>
              </w:rPr>
              <w:t>1995</w:t>
            </w:r>
          </w:p>
        </w:tc>
        <w:tc>
          <w:tcPr>
            <w:tcW w:w="695" w:type="dxa"/>
            <w:tcBorders>
              <w:top w:val="nil"/>
              <w:left w:val="nil"/>
              <w:bottom w:val="single" w:sz="4" w:space="0" w:color="1B556B" w:themeColor="text2"/>
              <w:right w:val="nil"/>
            </w:tcBorders>
            <w:shd w:val="clear" w:color="auto" w:fill="1B556B" w:themeFill="text2"/>
            <w:vAlign w:val="bottom"/>
            <w:hideMark/>
          </w:tcPr>
          <w:p w14:paraId="71DEAF04" w14:textId="77777777" w:rsidR="007C259A" w:rsidRPr="00BD16B4" w:rsidRDefault="007C259A" w:rsidP="00F31129">
            <w:pPr>
              <w:pStyle w:val="TableTextBold0"/>
              <w:spacing w:before="0"/>
              <w:jc w:val="center"/>
              <w:rPr>
                <w:color w:val="FFFFFF" w:themeColor="background1"/>
                <w:szCs w:val="18"/>
              </w:rPr>
            </w:pPr>
            <w:r w:rsidRPr="00BD16B4">
              <w:rPr>
                <w:color w:val="FFFFFF" w:themeColor="background1"/>
                <w:szCs w:val="18"/>
              </w:rPr>
              <w:t>2000</w:t>
            </w:r>
          </w:p>
        </w:tc>
        <w:tc>
          <w:tcPr>
            <w:tcW w:w="694" w:type="dxa"/>
            <w:tcBorders>
              <w:top w:val="nil"/>
              <w:left w:val="nil"/>
              <w:bottom w:val="single" w:sz="4" w:space="0" w:color="1B556B" w:themeColor="text2"/>
              <w:right w:val="nil"/>
            </w:tcBorders>
            <w:shd w:val="clear" w:color="auto" w:fill="1B556B" w:themeFill="text2"/>
            <w:vAlign w:val="bottom"/>
            <w:hideMark/>
          </w:tcPr>
          <w:p w14:paraId="06ED150F" w14:textId="77777777" w:rsidR="007C259A" w:rsidRPr="00BD16B4" w:rsidRDefault="007C259A" w:rsidP="00F31129">
            <w:pPr>
              <w:pStyle w:val="TableTextBold0"/>
              <w:spacing w:before="0"/>
              <w:jc w:val="center"/>
              <w:rPr>
                <w:color w:val="FFFFFF" w:themeColor="background1"/>
                <w:szCs w:val="18"/>
              </w:rPr>
            </w:pPr>
            <w:r w:rsidRPr="00BD16B4">
              <w:rPr>
                <w:color w:val="FFFFFF" w:themeColor="background1"/>
                <w:szCs w:val="18"/>
              </w:rPr>
              <w:t>2005</w:t>
            </w:r>
          </w:p>
        </w:tc>
        <w:tc>
          <w:tcPr>
            <w:tcW w:w="695" w:type="dxa"/>
            <w:tcBorders>
              <w:top w:val="nil"/>
              <w:left w:val="nil"/>
              <w:bottom w:val="single" w:sz="4" w:space="0" w:color="1B556B" w:themeColor="text2"/>
              <w:right w:val="nil"/>
            </w:tcBorders>
            <w:shd w:val="clear" w:color="auto" w:fill="1B556B" w:themeFill="text2"/>
            <w:vAlign w:val="bottom"/>
            <w:hideMark/>
          </w:tcPr>
          <w:p w14:paraId="504D8371" w14:textId="77777777" w:rsidR="007C259A" w:rsidRPr="00BD16B4" w:rsidRDefault="007C259A" w:rsidP="00F31129">
            <w:pPr>
              <w:pStyle w:val="TableTextBold0"/>
              <w:spacing w:before="0"/>
              <w:jc w:val="center"/>
              <w:rPr>
                <w:color w:val="FFFFFF" w:themeColor="background1"/>
                <w:szCs w:val="18"/>
              </w:rPr>
            </w:pPr>
            <w:r w:rsidRPr="00BD16B4">
              <w:rPr>
                <w:color w:val="FFFFFF" w:themeColor="background1"/>
                <w:szCs w:val="18"/>
              </w:rPr>
              <w:t>2010</w:t>
            </w:r>
          </w:p>
        </w:tc>
        <w:tc>
          <w:tcPr>
            <w:tcW w:w="694" w:type="dxa"/>
            <w:tcBorders>
              <w:top w:val="nil"/>
              <w:left w:val="nil"/>
              <w:bottom w:val="single" w:sz="4" w:space="0" w:color="1B556B" w:themeColor="text2"/>
              <w:right w:val="nil"/>
            </w:tcBorders>
            <w:shd w:val="clear" w:color="auto" w:fill="1B556B" w:themeFill="text2"/>
            <w:vAlign w:val="bottom"/>
            <w:hideMark/>
          </w:tcPr>
          <w:p w14:paraId="48B85939" w14:textId="77777777" w:rsidR="007C259A" w:rsidRPr="00BD16B4" w:rsidRDefault="007C259A" w:rsidP="00F31129">
            <w:pPr>
              <w:pStyle w:val="TableTextBold0"/>
              <w:spacing w:before="0"/>
              <w:jc w:val="center"/>
              <w:rPr>
                <w:color w:val="FFFFFF" w:themeColor="background1"/>
                <w:szCs w:val="18"/>
              </w:rPr>
            </w:pPr>
            <w:r w:rsidRPr="00BD16B4">
              <w:rPr>
                <w:color w:val="FFFFFF" w:themeColor="background1"/>
                <w:szCs w:val="18"/>
              </w:rPr>
              <w:t>2015</w:t>
            </w:r>
          </w:p>
        </w:tc>
        <w:tc>
          <w:tcPr>
            <w:tcW w:w="695" w:type="dxa"/>
            <w:tcBorders>
              <w:top w:val="nil"/>
              <w:left w:val="nil"/>
              <w:bottom w:val="single" w:sz="4" w:space="0" w:color="1B556B" w:themeColor="text2"/>
              <w:right w:val="nil"/>
            </w:tcBorders>
            <w:shd w:val="clear" w:color="auto" w:fill="1B556B" w:themeFill="text2"/>
            <w:vAlign w:val="bottom"/>
          </w:tcPr>
          <w:p w14:paraId="6343AB02" w14:textId="77777777" w:rsidR="007C259A" w:rsidRPr="00BD16B4" w:rsidRDefault="007C259A" w:rsidP="00F31129">
            <w:pPr>
              <w:pStyle w:val="TableTextBold0"/>
              <w:spacing w:before="0"/>
              <w:jc w:val="center"/>
              <w:rPr>
                <w:color w:val="FFFFFF" w:themeColor="background1"/>
                <w:szCs w:val="18"/>
              </w:rPr>
            </w:pPr>
            <w:r w:rsidRPr="00BD16B4">
              <w:rPr>
                <w:color w:val="FFFFFF" w:themeColor="background1"/>
                <w:szCs w:val="18"/>
              </w:rPr>
              <w:t>2020</w:t>
            </w:r>
          </w:p>
        </w:tc>
        <w:tc>
          <w:tcPr>
            <w:tcW w:w="694" w:type="dxa"/>
            <w:tcBorders>
              <w:top w:val="nil"/>
              <w:left w:val="nil"/>
              <w:bottom w:val="single" w:sz="4" w:space="0" w:color="1B556B" w:themeColor="text2"/>
              <w:right w:val="nil"/>
            </w:tcBorders>
            <w:shd w:val="clear" w:color="auto" w:fill="1B556B" w:themeFill="text2"/>
            <w:vAlign w:val="bottom"/>
          </w:tcPr>
          <w:p w14:paraId="36045A9F" w14:textId="77777777" w:rsidR="007C259A" w:rsidRPr="00BD16B4" w:rsidRDefault="007C259A" w:rsidP="00F31129">
            <w:pPr>
              <w:pStyle w:val="TableTextBold0"/>
              <w:spacing w:before="0"/>
              <w:jc w:val="center"/>
              <w:rPr>
                <w:color w:val="FFFFFF" w:themeColor="background1"/>
                <w:szCs w:val="18"/>
              </w:rPr>
            </w:pPr>
            <w:r w:rsidRPr="00BD16B4">
              <w:rPr>
                <w:color w:val="FFFFFF" w:themeColor="background1"/>
                <w:szCs w:val="18"/>
              </w:rPr>
              <w:t>2025</w:t>
            </w:r>
          </w:p>
        </w:tc>
        <w:tc>
          <w:tcPr>
            <w:tcW w:w="695" w:type="dxa"/>
            <w:tcBorders>
              <w:top w:val="nil"/>
              <w:left w:val="nil"/>
              <w:bottom w:val="single" w:sz="4" w:space="0" w:color="1B556B" w:themeColor="text2"/>
              <w:right w:val="nil"/>
            </w:tcBorders>
            <w:shd w:val="clear" w:color="auto" w:fill="1B556B" w:themeFill="text2"/>
            <w:vAlign w:val="bottom"/>
          </w:tcPr>
          <w:p w14:paraId="60155901" w14:textId="77777777" w:rsidR="007C259A" w:rsidRPr="00BD16B4" w:rsidRDefault="007C259A" w:rsidP="00F31129">
            <w:pPr>
              <w:pStyle w:val="TableTextBold0"/>
              <w:spacing w:before="0"/>
              <w:jc w:val="center"/>
              <w:rPr>
                <w:color w:val="FFFFFF" w:themeColor="background1"/>
                <w:szCs w:val="18"/>
              </w:rPr>
            </w:pPr>
            <w:r w:rsidRPr="00BD16B4">
              <w:rPr>
                <w:color w:val="FFFFFF" w:themeColor="background1"/>
                <w:szCs w:val="18"/>
              </w:rPr>
              <w:t>2030</w:t>
            </w:r>
          </w:p>
        </w:tc>
        <w:tc>
          <w:tcPr>
            <w:tcW w:w="662" w:type="dxa"/>
            <w:tcBorders>
              <w:top w:val="nil"/>
              <w:left w:val="nil"/>
              <w:bottom w:val="single" w:sz="4" w:space="0" w:color="1B556B" w:themeColor="text2"/>
            </w:tcBorders>
            <w:shd w:val="clear" w:color="auto" w:fill="1B556B" w:themeFill="text2"/>
            <w:vAlign w:val="bottom"/>
          </w:tcPr>
          <w:p w14:paraId="2E047400" w14:textId="77777777" w:rsidR="007C259A" w:rsidRPr="00BD16B4" w:rsidRDefault="007C259A" w:rsidP="00F31129">
            <w:pPr>
              <w:pStyle w:val="TableTextBold0"/>
              <w:spacing w:before="0"/>
              <w:jc w:val="center"/>
              <w:rPr>
                <w:color w:val="FFFFFF" w:themeColor="background1"/>
                <w:szCs w:val="18"/>
              </w:rPr>
            </w:pPr>
            <w:r w:rsidRPr="00BD16B4">
              <w:rPr>
                <w:color w:val="FFFFFF" w:themeColor="background1"/>
                <w:szCs w:val="18"/>
              </w:rPr>
              <w:t>2035</w:t>
            </w:r>
          </w:p>
        </w:tc>
      </w:tr>
      <w:tr w:rsidR="007C259A" w:rsidRPr="00BD16B4" w14:paraId="22684C1C" w14:textId="77777777" w:rsidTr="00F505CB">
        <w:tc>
          <w:tcPr>
            <w:tcW w:w="902" w:type="dxa"/>
            <w:tcBorders>
              <w:top w:val="single" w:sz="4" w:space="0" w:color="1B556B" w:themeColor="text2"/>
            </w:tcBorders>
            <w:shd w:val="clear" w:color="auto" w:fill="auto"/>
            <w:hideMark/>
          </w:tcPr>
          <w:p w14:paraId="4AFAD7C4" w14:textId="77777777" w:rsidR="007C259A" w:rsidRPr="00BD16B4" w:rsidRDefault="007C259A" w:rsidP="00F505CB">
            <w:pPr>
              <w:pStyle w:val="TableText"/>
              <w:spacing w:before="40" w:after="40"/>
              <w:rPr>
                <w:rFonts w:cs="Calibri"/>
                <w:szCs w:val="18"/>
              </w:rPr>
            </w:pPr>
            <w:r w:rsidRPr="00BD16B4">
              <w:rPr>
                <w:rFonts w:cs="Calibri"/>
                <w:szCs w:val="18"/>
              </w:rPr>
              <w:t>CO</w:t>
            </w:r>
            <w:r w:rsidRPr="00BD16B4">
              <w:rPr>
                <w:rFonts w:cs="Calibri"/>
                <w:szCs w:val="18"/>
                <w:vertAlign w:val="subscript"/>
              </w:rPr>
              <w:t>2</w:t>
            </w:r>
            <w:r w:rsidRPr="00BD16B4">
              <w:rPr>
                <w:rFonts w:cs="Calibri"/>
                <w:szCs w:val="18"/>
              </w:rPr>
              <w:t xml:space="preserve"> </w:t>
            </w:r>
          </w:p>
        </w:tc>
        <w:tc>
          <w:tcPr>
            <w:tcW w:w="682" w:type="dxa"/>
            <w:tcBorders>
              <w:top w:val="single" w:sz="4" w:space="0" w:color="1B556B" w:themeColor="text2"/>
            </w:tcBorders>
            <w:shd w:val="clear" w:color="auto" w:fill="auto"/>
          </w:tcPr>
          <w:p w14:paraId="143448F5"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159</w:t>
            </w:r>
          </w:p>
        </w:tc>
        <w:tc>
          <w:tcPr>
            <w:tcW w:w="694" w:type="dxa"/>
            <w:tcBorders>
              <w:top w:val="single" w:sz="4" w:space="0" w:color="1B556B" w:themeColor="text2"/>
            </w:tcBorders>
            <w:shd w:val="clear" w:color="auto" w:fill="auto"/>
          </w:tcPr>
          <w:p w14:paraId="34DF8ECF"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136</w:t>
            </w:r>
          </w:p>
        </w:tc>
        <w:tc>
          <w:tcPr>
            <w:tcW w:w="695" w:type="dxa"/>
            <w:tcBorders>
              <w:top w:val="single" w:sz="4" w:space="0" w:color="1B556B" w:themeColor="text2"/>
            </w:tcBorders>
            <w:shd w:val="clear" w:color="auto" w:fill="auto"/>
          </w:tcPr>
          <w:p w14:paraId="7F7670B0"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150</w:t>
            </w:r>
          </w:p>
        </w:tc>
        <w:tc>
          <w:tcPr>
            <w:tcW w:w="694" w:type="dxa"/>
            <w:tcBorders>
              <w:top w:val="single" w:sz="4" w:space="0" w:color="1B556B" w:themeColor="text2"/>
            </w:tcBorders>
            <w:shd w:val="clear" w:color="auto" w:fill="auto"/>
          </w:tcPr>
          <w:p w14:paraId="7DCE19CD"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119</w:t>
            </w:r>
          </w:p>
        </w:tc>
        <w:tc>
          <w:tcPr>
            <w:tcW w:w="695" w:type="dxa"/>
            <w:tcBorders>
              <w:top w:val="single" w:sz="4" w:space="0" w:color="1B556B" w:themeColor="text2"/>
            </w:tcBorders>
            <w:shd w:val="clear" w:color="auto" w:fill="auto"/>
          </w:tcPr>
          <w:p w14:paraId="66C0D611"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109</w:t>
            </w:r>
          </w:p>
        </w:tc>
        <w:tc>
          <w:tcPr>
            <w:tcW w:w="694" w:type="dxa"/>
            <w:tcBorders>
              <w:top w:val="single" w:sz="4" w:space="0" w:color="1B556B" w:themeColor="text2"/>
            </w:tcBorders>
            <w:shd w:val="clear" w:color="auto" w:fill="auto"/>
          </w:tcPr>
          <w:p w14:paraId="0EE1291D"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100</w:t>
            </w:r>
          </w:p>
        </w:tc>
        <w:tc>
          <w:tcPr>
            <w:tcW w:w="695" w:type="dxa"/>
            <w:tcBorders>
              <w:top w:val="single" w:sz="4" w:space="0" w:color="1B556B" w:themeColor="text2"/>
            </w:tcBorders>
            <w:shd w:val="clear" w:color="auto" w:fill="auto"/>
          </w:tcPr>
          <w:p w14:paraId="6EF2F654"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90</w:t>
            </w:r>
          </w:p>
        </w:tc>
        <w:tc>
          <w:tcPr>
            <w:tcW w:w="694" w:type="dxa"/>
            <w:tcBorders>
              <w:top w:val="single" w:sz="4" w:space="0" w:color="1B556B" w:themeColor="text2"/>
            </w:tcBorders>
            <w:shd w:val="clear" w:color="auto" w:fill="D2DDE1" w:themeFill="background2"/>
          </w:tcPr>
          <w:p w14:paraId="79E0E894"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96</w:t>
            </w:r>
          </w:p>
        </w:tc>
        <w:tc>
          <w:tcPr>
            <w:tcW w:w="695" w:type="dxa"/>
            <w:tcBorders>
              <w:top w:val="single" w:sz="4" w:space="0" w:color="1B556B" w:themeColor="text2"/>
            </w:tcBorders>
            <w:shd w:val="clear" w:color="auto" w:fill="D2DDE1" w:themeFill="background2"/>
          </w:tcPr>
          <w:p w14:paraId="44475D8B"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94</w:t>
            </w:r>
          </w:p>
        </w:tc>
        <w:tc>
          <w:tcPr>
            <w:tcW w:w="662" w:type="dxa"/>
            <w:tcBorders>
              <w:top w:val="single" w:sz="4" w:space="0" w:color="1B556B" w:themeColor="text2"/>
            </w:tcBorders>
            <w:shd w:val="clear" w:color="auto" w:fill="D2DDE1" w:themeFill="background2"/>
          </w:tcPr>
          <w:p w14:paraId="00DC6701"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92</w:t>
            </w:r>
          </w:p>
        </w:tc>
      </w:tr>
      <w:tr w:rsidR="007C259A" w:rsidRPr="00BD16B4" w14:paraId="631C72E1" w14:textId="77777777" w:rsidTr="009A0F54">
        <w:tc>
          <w:tcPr>
            <w:tcW w:w="902" w:type="dxa"/>
            <w:shd w:val="clear" w:color="auto" w:fill="auto"/>
            <w:hideMark/>
          </w:tcPr>
          <w:p w14:paraId="163C913D" w14:textId="77777777" w:rsidR="007C259A" w:rsidRPr="00BD16B4" w:rsidRDefault="007C259A" w:rsidP="00F505CB">
            <w:pPr>
              <w:pStyle w:val="TableText"/>
              <w:spacing w:before="40" w:after="40"/>
              <w:rPr>
                <w:rFonts w:cs="Calibri"/>
                <w:szCs w:val="18"/>
              </w:rPr>
            </w:pPr>
            <w:r w:rsidRPr="00BD16B4">
              <w:rPr>
                <w:rFonts w:cs="Calibri"/>
                <w:szCs w:val="18"/>
              </w:rPr>
              <w:t>CH</w:t>
            </w:r>
            <w:r w:rsidRPr="00BD16B4">
              <w:rPr>
                <w:rFonts w:cs="Calibri"/>
                <w:szCs w:val="18"/>
                <w:vertAlign w:val="subscript"/>
              </w:rPr>
              <w:t>4</w:t>
            </w:r>
          </w:p>
        </w:tc>
        <w:tc>
          <w:tcPr>
            <w:tcW w:w="682" w:type="dxa"/>
            <w:shd w:val="clear" w:color="auto" w:fill="auto"/>
          </w:tcPr>
          <w:p w14:paraId="2C9C7F94"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3,671</w:t>
            </w:r>
          </w:p>
        </w:tc>
        <w:tc>
          <w:tcPr>
            <w:tcW w:w="694" w:type="dxa"/>
            <w:shd w:val="clear" w:color="auto" w:fill="auto"/>
          </w:tcPr>
          <w:p w14:paraId="0AD72B9F"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3,981</w:t>
            </w:r>
          </w:p>
        </w:tc>
        <w:tc>
          <w:tcPr>
            <w:tcW w:w="695" w:type="dxa"/>
            <w:shd w:val="clear" w:color="auto" w:fill="auto"/>
          </w:tcPr>
          <w:p w14:paraId="7BB11C3B"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4,156</w:t>
            </w:r>
          </w:p>
        </w:tc>
        <w:tc>
          <w:tcPr>
            <w:tcW w:w="694" w:type="dxa"/>
            <w:shd w:val="clear" w:color="auto" w:fill="auto"/>
          </w:tcPr>
          <w:p w14:paraId="54950519"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4,133</w:t>
            </w:r>
          </w:p>
        </w:tc>
        <w:tc>
          <w:tcPr>
            <w:tcW w:w="695" w:type="dxa"/>
            <w:shd w:val="clear" w:color="auto" w:fill="auto"/>
          </w:tcPr>
          <w:p w14:paraId="73F16379"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3,632</w:t>
            </w:r>
          </w:p>
        </w:tc>
        <w:tc>
          <w:tcPr>
            <w:tcW w:w="694" w:type="dxa"/>
            <w:shd w:val="clear" w:color="auto" w:fill="auto"/>
          </w:tcPr>
          <w:p w14:paraId="0E821F88"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3,240</w:t>
            </w:r>
          </w:p>
        </w:tc>
        <w:tc>
          <w:tcPr>
            <w:tcW w:w="695" w:type="dxa"/>
            <w:shd w:val="clear" w:color="auto" w:fill="auto"/>
          </w:tcPr>
          <w:p w14:paraId="31006093"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3,012</w:t>
            </w:r>
          </w:p>
        </w:tc>
        <w:tc>
          <w:tcPr>
            <w:tcW w:w="694" w:type="dxa"/>
            <w:shd w:val="clear" w:color="auto" w:fill="D2DDE1" w:themeFill="background2"/>
          </w:tcPr>
          <w:p w14:paraId="7685BBC5"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2,862</w:t>
            </w:r>
          </w:p>
        </w:tc>
        <w:tc>
          <w:tcPr>
            <w:tcW w:w="695" w:type="dxa"/>
            <w:shd w:val="clear" w:color="auto" w:fill="D2DDE1" w:themeFill="background2"/>
          </w:tcPr>
          <w:p w14:paraId="038162A4"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2,698</w:t>
            </w:r>
          </w:p>
        </w:tc>
        <w:tc>
          <w:tcPr>
            <w:tcW w:w="662" w:type="dxa"/>
            <w:shd w:val="clear" w:color="auto" w:fill="D2DDE1" w:themeFill="background2"/>
          </w:tcPr>
          <w:p w14:paraId="15B1DA9D"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2,596</w:t>
            </w:r>
          </w:p>
        </w:tc>
      </w:tr>
      <w:tr w:rsidR="007C259A" w:rsidRPr="00BD16B4" w14:paraId="10312E70" w14:textId="77777777" w:rsidTr="009A0F54">
        <w:tc>
          <w:tcPr>
            <w:tcW w:w="902" w:type="dxa"/>
            <w:shd w:val="clear" w:color="auto" w:fill="auto"/>
            <w:hideMark/>
          </w:tcPr>
          <w:p w14:paraId="55700445" w14:textId="77777777" w:rsidR="007C259A" w:rsidRPr="00BD16B4" w:rsidRDefault="007C259A" w:rsidP="00F505CB">
            <w:pPr>
              <w:pStyle w:val="TableText"/>
              <w:spacing w:before="40" w:after="40"/>
              <w:rPr>
                <w:rFonts w:cs="Calibri"/>
                <w:szCs w:val="18"/>
                <w:vertAlign w:val="superscript"/>
              </w:rPr>
            </w:pPr>
            <w:r w:rsidRPr="00BD16B4">
              <w:rPr>
                <w:rFonts w:cs="Calibri"/>
                <w:szCs w:val="18"/>
              </w:rPr>
              <w:t>N</w:t>
            </w:r>
            <w:r w:rsidRPr="00BD16B4">
              <w:rPr>
                <w:rFonts w:cs="Calibri"/>
                <w:szCs w:val="18"/>
                <w:vertAlign w:val="subscript"/>
              </w:rPr>
              <w:t>2</w:t>
            </w:r>
            <w:r w:rsidRPr="00BD16B4">
              <w:rPr>
                <w:rFonts w:cs="Calibri"/>
                <w:szCs w:val="18"/>
              </w:rPr>
              <w:t>O</w:t>
            </w:r>
          </w:p>
        </w:tc>
        <w:tc>
          <w:tcPr>
            <w:tcW w:w="682" w:type="dxa"/>
            <w:shd w:val="clear" w:color="auto" w:fill="auto"/>
          </w:tcPr>
          <w:p w14:paraId="45609F70"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113</w:t>
            </w:r>
          </w:p>
        </w:tc>
        <w:tc>
          <w:tcPr>
            <w:tcW w:w="694" w:type="dxa"/>
            <w:shd w:val="clear" w:color="auto" w:fill="auto"/>
          </w:tcPr>
          <w:p w14:paraId="26D15365"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117</w:t>
            </w:r>
          </w:p>
        </w:tc>
        <w:tc>
          <w:tcPr>
            <w:tcW w:w="695" w:type="dxa"/>
            <w:shd w:val="clear" w:color="auto" w:fill="auto"/>
          </w:tcPr>
          <w:p w14:paraId="47791D03"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129</w:t>
            </w:r>
          </w:p>
        </w:tc>
        <w:tc>
          <w:tcPr>
            <w:tcW w:w="694" w:type="dxa"/>
            <w:shd w:val="clear" w:color="auto" w:fill="auto"/>
          </w:tcPr>
          <w:p w14:paraId="0C5AD555"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126</w:t>
            </w:r>
          </w:p>
        </w:tc>
        <w:tc>
          <w:tcPr>
            <w:tcW w:w="695" w:type="dxa"/>
            <w:shd w:val="clear" w:color="auto" w:fill="auto"/>
          </w:tcPr>
          <w:p w14:paraId="13B6DE2C"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131</w:t>
            </w:r>
          </w:p>
        </w:tc>
        <w:tc>
          <w:tcPr>
            <w:tcW w:w="694" w:type="dxa"/>
            <w:shd w:val="clear" w:color="auto" w:fill="auto"/>
          </w:tcPr>
          <w:p w14:paraId="6975EB9D"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147</w:t>
            </w:r>
          </w:p>
        </w:tc>
        <w:tc>
          <w:tcPr>
            <w:tcW w:w="695" w:type="dxa"/>
            <w:shd w:val="clear" w:color="auto" w:fill="auto"/>
          </w:tcPr>
          <w:p w14:paraId="6BDCD7A0"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167</w:t>
            </w:r>
          </w:p>
        </w:tc>
        <w:tc>
          <w:tcPr>
            <w:tcW w:w="694" w:type="dxa"/>
            <w:shd w:val="clear" w:color="auto" w:fill="D2DDE1" w:themeFill="background2"/>
          </w:tcPr>
          <w:p w14:paraId="1248FD0E"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180</w:t>
            </w:r>
          </w:p>
        </w:tc>
        <w:tc>
          <w:tcPr>
            <w:tcW w:w="695" w:type="dxa"/>
            <w:shd w:val="clear" w:color="auto" w:fill="D2DDE1" w:themeFill="background2"/>
          </w:tcPr>
          <w:p w14:paraId="1520B32B"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191</w:t>
            </w:r>
          </w:p>
        </w:tc>
        <w:tc>
          <w:tcPr>
            <w:tcW w:w="662" w:type="dxa"/>
            <w:shd w:val="clear" w:color="auto" w:fill="D2DDE1" w:themeFill="background2"/>
          </w:tcPr>
          <w:p w14:paraId="22862B20" w14:textId="77777777" w:rsidR="007C259A" w:rsidRPr="00BD16B4" w:rsidRDefault="007C259A" w:rsidP="00F505CB">
            <w:pPr>
              <w:pStyle w:val="TableText"/>
              <w:spacing w:before="40" w:after="40"/>
              <w:jc w:val="center"/>
              <w:rPr>
                <w:rFonts w:eastAsia="Calibri" w:cs="Calibri"/>
                <w:szCs w:val="18"/>
              </w:rPr>
            </w:pPr>
            <w:r w:rsidRPr="00BD16B4">
              <w:rPr>
                <w:rFonts w:cs="Calibri"/>
                <w:szCs w:val="18"/>
              </w:rPr>
              <w:t>196</w:t>
            </w:r>
          </w:p>
        </w:tc>
      </w:tr>
      <w:tr w:rsidR="007C259A" w:rsidRPr="00BD16B4" w14:paraId="7FFF816A" w14:textId="77777777" w:rsidTr="009A0F54">
        <w:tc>
          <w:tcPr>
            <w:tcW w:w="902" w:type="dxa"/>
            <w:shd w:val="clear" w:color="auto" w:fill="auto"/>
          </w:tcPr>
          <w:p w14:paraId="49CF40ED" w14:textId="77777777" w:rsidR="007C259A" w:rsidRPr="00BD16B4" w:rsidRDefault="007C259A" w:rsidP="00F505CB">
            <w:pPr>
              <w:pStyle w:val="TableText"/>
              <w:spacing w:before="40" w:after="40"/>
              <w:rPr>
                <w:rFonts w:cs="Calibri"/>
                <w:b/>
                <w:szCs w:val="18"/>
              </w:rPr>
            </w:pPr>
            <w:r w:rsidRPr="00BD16B4">
              <w:rPr>
                <w:rFonts w:cs="Calibri"/>
                <w:b/>
                <w:szCs w:val="18"/>
              </w:rPr>
              <w:t xml:space="preserve">Total </w:t>
            </w:r>
          </w:p>
        </w:tc>
        <w:tc>
          <w:tcPr>
            <w:tcW w:w="682" w:type="dxa"/>
            <w:shd w:val="clear" w:color="auto" w:fill="auto"/>
          </w:tcPr>
          <w:p w14:paraId="2EFA8D74" w14:textId="77777777" w:rsidR="007C259A" w:rsidRPr="00BD16B4" w:rsidRDefault="007C259A" w:rsidP="00F505CB">
            <w:pPr>
              <w:pStyle w:val="TableText"/>
              <w:spacing w:before="40" w:after="40"/>
              <w:jc w:val="center"/>
              <w:rPr>
                <w:rFonts w:eastAsia="Calibri" w:cs="Calibri"/>
                <w:b/>
                <w:szCs w:val="18"/>
              </w:rPr>
            </w:pPr>
            <w:r w:rsidRPr="00BD16B4">
              <w:rPr>
                <w:rFonts w:cs="Calibri"/>
                <w:b/>
                <w:szCs w:val="18"/>
              </w:rPr>
              <w:t>3,943</w:t>
            </w:r>
          </w:p>
        </w:tc>
        <w:tc>
          <w:tcPr>
            <w:tcW w:w="694" w:type="dxa"/>
            <w:shd w:val="clear" w:color="auto" w:fill="auto"/>
          </w:tcPr>
          <w:p w14:paraId="5D116E4F" w14:textId="77777777" w:rsidR="007C259A" w:rsidRPr="00BD16B4" w:rsidRDefault="007C259A" w:rsidP="00F505CB">
            <w:pPr>
              <w:pStyle w:val="TableText"/>
              <w:spacing w:before="40" w:after="40"/>
              <w:jc w:val="center"/>
              <w:rPr>
                <w:rFonts w:eastAsia="Calibri" w:cs="Calibri"/>
                <w:b/>
                <w:szCs w:val="18"/>
              </w:rPr>
            </w:pPr>
            <w:r w:rsidRPr="00BD16B4">
              <w:rPr>
                <w:rFonts w:cs="Calibri"/>
                <w:b/>
                <w:szCs w:val="18"/>
              </w:rPr>
              <w:t>4,235</w:t>
            </w:r>
          </w:p>
        </w:tc>
        <w:tc>
          <w:tcPr>
            <w:tcW w:w="695" w:type="dxa"/>
            <w:shd w:val="clear" w:color="auto" w:fill="auto"/>
          </w:tcPr>
          <w:p w14:paraId="00C1BE5F" w14:textId="77777777" w:rsidR="007C259A" w:rsidRPr="00BD16B4" w:rsidRDefault="007C259A" w:rsidP="00F505CB">
            <w:pPr>
              <w:pStyle w:val="TableText"/>
              <w:spacing w:before="40" w:after="40"/>
              <w:jc w:val="center"/>
              <w:rPr>
                <w:rFonts w:eastAsia="Calibri" w:cs="Calibri"/>
                <w:b/>
                <w:szCs w:val="18"/>
              </w:rPr>
            </w:pPr>
            <w:r w:rsidRPr="00BD16B4">
              <w:rPr>
                <w:rFonts w:cs="Calibri"/>
                <w:b/>
                <w:szCs w:val="18"/>
              </w:rPr>
              <w:t>4,435</w:t>
            </w:r>
          </w:p>
        </w:tc>
        <w:tc>
          <w:tcPr>
            <w:tcW w:w="694" w:type="dxa"/>
            <w:shd w:val="clear" w:color="auto" w:fill="auto"/>
          </w:tcPr>
          <w:p w14:paraId="23B0E4AE" w14:textId="77777777" w:rsidR="007C259A" w:rsidRPr="00BD16B4" w:rsidRDefault="007C259A" w:rsidP="00F505CB">
            <w:pPr>
              <w:pStyle w:val="TableText"/>
              <w:spacing w:before="40" w:after="40"/>
              <w:jc w:val="center"/>
              <w:rPr>
                <w:rFonts w:eastAsia="Calibri" w:cs="Calibri"/>
                <w:b/>
                <w:szCs w:val="18"/>
              </w:rPr>
            </w:pPr>
            <w:r w:rsidRPr="00BD16B4">
              <w:rPr>
                <w:rFonts w:cs="Calibri"/>
                <w:b/>
                <w:szCs w:val="18"/>
              </w:rPr>
              <w:t>4,378</w:t>
            </w:r>
          </w:p>
        </w:tc>
        <w:tc>
          <w:tcPr>
            <w:tcW w:w="695" w:type="dxa"/>
            <w:shd w:val="clear" w:color="auto" w:fill="auto"/>
          </w:tcPr>
          <w:p w14:paraId="5441BA75" w14:textId="77777777" w:rsidR="007C259A" w:rsidRPr="00BD16B4" w:rsidRDefault="007C259A" w:rsidP="00F505CB">
            <w:pPr>
              <w:pStyle w:val="TableText"/>
              <w:spacing w:before="40" w:after="40"/>
              <w:jc w:val="center"/>
              <w:rPr>
                <w:rFonts w:eastAsia="Calibri" w:cs="Calibri"/>
                <w:b/>
                <w:szCs w:val="18"/>
              </w:rPr>
            </w:pPr>
            <w:r w:rsidRPr="00BD16B4">
              <w:rPr>
                <w:rFonts w:cs="Calibri"/>
                <w:b/>
                <w:szCs w:val="18"/>
              </w:rPr>
              <w:t>3,872</w:t>
            </w:r>
          </w:p>
        </w:tc>
        <w:tc>
          <w:tcPr>
            <w:tcW w:w="694" w:type="dxa"/>
            <w:shd w:val="clear" w:color="auto" w:fill="auto"/>
          </w:tcPr>
          <w:p w14:paraId="789AF846" w14:textId="77777777" w:rsidR="007C259A" w:rsidRPr="00BD16B4" w:rsidRDefault="007C259A" w:rsidP="00F505CB">
            <w:pPr>
              <w:pStyle w:val="TableText"/>
              <w:spacing w:before="40" w:after="40"/>
              <w:jc w:val="center"/>
              <w:rPr>
                <w:rFonts w:eastAsia="Calibri" w:cs="Calibri"/>
                <w:b/>
                <w:szCs w:val="18"/>
              </w:rPr>
            </w:pPr>
            <w:r w:rsidRPr="00BD16B4">
              <w:rPr>
                <w:rFonts w:cs="Calibri"/>
                <w:b/>
                <w:szCs w:val="18"/>
              </w:rPr>
              <w:t>3,488</w:t>
            </w:r>
          </w:p>
        </w:tc>
        <w:tc>
          <w:tcPr>
            <w:tcW w:w="695" w:type="dxa"/>
            <w:shd w:val="clear" w:color="auto" w:fill="auto"/>
          </w:tcPr>
          <w:p w14:paraId="6C338ED0" w14:textId="77777777" w:rsidR="007C259A" w:rsidRPr="00BD16B4" w:rsidRDefault="007C259A" w:rsidP="00F505CB">
            <w:pPr>
              <w:pStyle w:val="TableText"/>
              <w:spacing w:before="40" w:after="40"/>
              <w:jc w:val="center"/>
              <w:rPr>
                <w:rFonts w:eastAsia="Calibri" w:cs="Calibri"/>
                <w:b/>
                <w:szCs w:val="18"/>
              </w:rPr>
            </w:pPr>
            <w:r w:rsidRPr="00BD16B4">
              <w:rPr>
                <w:rFonts w:cs="Calibri"/>
                <w:b/>
                <w:szCs w:val="18"/>
              </w:rPr>
              <w:t>3,269</w:t>
            </w:r>
          </w:p>
        </w:tc>
        <w:tc>
          <w:tcPr>
            <w:tcW w:w="694" w:type="dxa"/>
            <w:shd w:val="clear" w:color="auto" w:fill="D2DDE1" w:themeFill="background2"/>
          </w:tcPr>
          <w:p w14:paraId="10FAA54C" w14:textId="77777777" w:rsidR="007C259A" w:rsidRPr="00BD16B4" w:rsidRDefault="007C259A" w:rsidP="00F505CB">
            <w:pPr>
              <w:pStyle w:val="TableText"/>
              <w:spacing w:before="40" w:after="40"/>
              <w:jc w:val="center"/>
              <w:rPr>
                <w:rFonts w:eastAsia="Calibri" w:cs="Calibri"/>
                <w:b/>
                <w:szCs w:val="18"/>
              </w:rPr>
            </w:pPr>
            <w:r w:rsidRPr="00BD16B4">
              <w:rPr>
                <w:rFonts w:cs="Calibri"/>
                <w:b/>
                <w:szCs w:val="18"/>
              </w:rPr>
              <w:t>3,138</w:t>
            </w:r>
          </w:p>
        </w:tc>
        <w:tc>
          <w:tcPr>
            <w:tcW w:w="695" w:type="dxa"/>
            <w:shd w:val="clear" w:color="auto" w:fill="D2DDE1" w:themeFill="background2"/>
          </w:tcPr>
          <w:p w14:paraId="7AA3FF17" w14:textId="77777777" w:rsidR="007C259A" w:rsidRPr="00BD16B4" w:rsidRDefault="007C259A" w:rsidP="00F505CB">
            <w:pPr>
              <w:pStyle w:val="TableText"/>
              <w:spacing w:before="40" w:after="40"/>
              <w:jc w:val="center"/>
              <w:rPr>
                <w:rFonts w:eastAsia="Calibri" w:cs="Calibri"/>
                <w:b/>
                <w:szCs w:val="18"/>
              </w:rPr>
            </w:pPr>
            <w:r w:rsidRPr="00BD16B4">
              <w:rPr>
                <w:rFonts w:cs="Calibri"/>
                <w:b/>
                <w:szCs w:val="18"/>
              </w:rPr>
              <w:t>2,982</w:t>
            </w:r>
          </w:p>
        </w:tc>
        <w:tc>
          <w:tcPr>
            <w:tcW w:w="662" w:type="dxa"/>
            <w:shd w:val="clear" w:color="auto" w:fill="D2DDE1" w:themeFill="background2"/>
          </w:tcPr>
          <w:p w14:paraId="007E1530" w14:textId="77777777" w:rsidR="007C259A" w:rsidRPr="00BD16B4" w:rsidRDefault="007C259A" w:rsidP="00F505CB">
            <w:pPr>
              <w:pStyle w:val="TableText"/>
              <w:spacing w:before="40" w:after="40"/>
              <w:jc w:val="center"/>
              <w:rPr>
                <w:rFonts w:eastAsia="Calibri" w:cs="Calibri"/>
                <w:b/>
                <w:szCs w:val="18"/>
              </w:rPr>
            </w:pPr>
            <w:r w:rsidRPr="00BD16B4">
              <w:rPr>
                <w:rFonts w:cs="Calibri"/>
                <w:b/>
                <w:szCs w:val="18"/>
              </w:rPr>
              <w:t>2,884</w:t>
            </w:r>
          </w:p>
        </w:tc>
      </w:tr>
    </w:tbl>
    <w:p w14:paraId="0814BB72" w14:textId="77777777" w:rsidR="007C259A" w:rsidRPr="00BD16B4" w:rsidRDefault="007C259A" w:rsidP="00120409">
      <w:pPr>
        <w:pStyle w:val="Note"/>
        <w:rPr>
          <w:rFonts w:eastAsia="Calibri"/>
        </w:rPr>
      </w:pPr>
      <w:r w:rsidRPr="00BD16B4">
        <w:rPr>
          <w:rFonts w:eastAsia="Calibri"/>
          <w:b/>
        </w:rPr>
        <w:t>Note:</w:t>
      </w:r>
      <w:r w:rsidRPr="00BD16B4">
        <w:rPr>
          <w:rFonts w:eastAsia="Calibri"/>
        </w:rPr>
        <w:t xml:space="preserve"> CH</w:t>
      </w:r>
      <w:r w:rsidRPr="00BD16B4">
        <w:rPr>
          <w:rFonts w:eastAsia="Calibri"/>
          <w:vertAlign w:val="subscript"/>
        </w:rPr>
        <w:t>4</w:t>
      </w:r>
      <w:r w:rsidRPr="00BD16B4">
        <w:rPr>
          <w:rFonts w:eastAsia="Calibri"/>
        </w:rPr>
        <w:t xml:space="preserve"> = methane; CO</w:t>
      </w:r>
      <w:r w:rsidRPr="00BD16B4">
        <w:rPr>
          <w:rFonts w:eastAsia="Calibri"/>
          <w:vertAlign w:val="subscript"/>
        </w:rPr>
        <w:t>2</w:t>
      </w:r>
      <w:r w:rsidRPr="00BD16B4">
        <w:rPr>
          <w:rFonts w:eastAsia="Calibri"/>
          <w:sz w:val="16"/>
          <w:szCs w:val="20"/>
        </w:rPr>
        <w:t xml:space="preserve"> </w:t>
      </w:r>
      <w:r w:rsidRPr="00BD16B4">
        <w:rPr>
          <w:rFonts w:eastAsia="Calibri"/>
        </w:rPr>
        <w:t xml:space="preserve">= carbon dioxide; </w:t>
      </w:r>
      <w:r w:rsidRPr="00BD16B4">
        <w:t>kt CO</w:t>
      </w:r>
      <w:r w:rsidRPr="00BD16B4">
        <w:rPr>
          <w:vertAlign w:val="subscript"/>
        </w:rPr>
        <w:t>2</w:t>
      </w:r>
      <w:r w:rsidRPr="00BD16B4">
        <w:t>-e = kilotonnes of carbon dioxide equivalent;</w:t>
      </w:r>
      <w:r w:rsidRPr="00BD16B4">
        <w:rPr>
          <w:rFonts w:eastAsia="Calibri"/>
        </w:rPr>
        <w:t xml:space="preserve"> N</w:t>
      </w:r>
      <w:r w:rsidRPr="00BD16B4">
        <w:rPr>
          <w:rFonts w:eastAsia="Calibri"/>
          <w:vertAlign w:val="subscript"/>
        </w:rPr>
        <w:t>2</w:t>
      </w:r>
      <w:r w:rsidRPr="00BD16B4">
        <w:rPr>
          <w:rFonts w:eastAsia="Calibri"/>
        </w:rPr>
        <w:t>O = nitrous oxide.</w:t>
      </w:r>
    </w:p>
    <w:p w14:paraId="1E67ADB4" w14:textId="77777777" w:rsidR="007C259A" w:rsidRPr="00BD16B4" w:rsidRDefault="007C259A" w:rsidP="004E1B8C">
      <w:pPr>
        <w:pStyle w:val="Heading4"/>
      </w:pPr>
      <w:r w:rsidRPr="00BD16B4">
        <w:t>Methodology</w:t>
      </w:r>
    </w:p>
    <w:p w14:paraId="0A7F8918" w14:textId="77777777" w:rsidR="007C259A" w:rsidRPr="00BD16B4" w:rsidRDefault="007C259A" w:rsidP="007C259A">
      <w:pPr>
        <w:pStyle w:val="BodyText"/>
      </w:pPr>
      <w:r w:rsidRPr="00BD16B4">
        <w:t xml:space="preserve">All categories in the waste sector use a bottom-up approach, estimating emissions at the category level as reported in the Inventory. This is done by projecting activity data and applying the national greenhouse gas inventory models to estimate emissions. </w:t>
      </w:r>
    </w:p>
    <w:p w14:paraId="59BB01C2" w14:textId="77777777" w:rsidR="007C259A" w:rsidRPr="00BD16B4" w:rsidRDefault="007C259A" w:rsidP="007C259A">
      <w:pPr>
        <w:pStyle w:val="BodyText"/>
      </w:pPr>
      <w:r w:rsidRPr="00BD16B4">
        <w:t xml:space="preserve">Some methods for projecting activity data have been revised for the </w:t>
      </w:r>
      <w:r w:rsidRPr="00BD16B4">
        <w:rPr>
          <w:i/>
          <w:iCs/>
        </w:rPr>
        <w:t>Fifth Biennial Report</w:t>
      </w:r>
      <w:r w:rsidRPr="00BD16B4">
        <w:t>. Several policies and measures have been quantified in the waste sector and use a variant of the model used for existing measures that incorporates the alternative activity data and/or emission factors. Table 5.26 provides details on the methods used for projecting each category in the waste sector.</w:t>
      </w:r>
    </w:p>
    <w:p w14:paraId="763F5779" w14:textId="77777777" w:rsidR="007C259A" w:rsidRPr="00BD16B4" w:rsidRDefault="007C259A" w:rsidP="00BB7302">
      <w:pPr>
        <w:pStyle w:val="Tableheading"/>
        <w:rPr>
          <w:rFonts w:eastAsia="Calibri"/>
        </w:rPr>
      </w:pPr>
      <w:bookmarkStart w:id="309" w:name="_Toc121773816"/>
      <w:r w:rsidRPr="00BD16B4">
        <w:rPr>
          <w:rFonts w:eastAsia="Calibri"/>
        </w:rPr>
        <w:t xml:space="preserve">Table 5.26: </w:t>
      </w:r>
      <w:r w:rsidRPr="00BD16B4">
        <w:rPr>
          <w:rFonts w:eastAsia="Calibri"/>
        </w:rPr>
        <w:tab/>
        <w:t>Methods for projecting activity data and or emissions in the waste sector, 2021–35</w:t>
      </w:r>
      <w:bookmarkEnd w:id="309"/>
    </w:p>
    <w:tbl>
      <w:tblPr>
        <w:tblStyle w:val="TableGrid1"/>
        <w:tblW w:w="8505" w:type="dxa"/>
        <w:tblInd w:w="113" w:type="dxa"/>
        <w:tblCellMar>
          <w:left w:w="57" w:type="dxa"/>
          <w:right w:w="57" w:type="dxa"/>
        </w:tblCellMar>
        <w:tblLook w:val="04A0" w:firstRow="1" w:lastRow="0" w:firstColumn="1" w:lastColumn="0" w:noHBand="0" w:noVBand="1"/>
      </w:tblPr>
      <w:tblGrid>
        <w:gridCol w:w="1424"/>
        <w:gridCol w:w="838"/>
        <w:gridCol w:w="2610"/>
        <w:gridCol w:w="1925"/>
        <w:gridCol w:w="1708"/>
      </w:tblGrid>
      <w:tr w:rsidR="007C259A" w:rsidRPr="00BD16B4" w14:paraId="2EE705EC" w14:textId="77777777" w:rsidTr="00056D70">
        <w:trPr>
          <w:tblHeader/>
        </w:trPr>
        <w:tc>
          <w:tcPr>
            <w:tcW w:w="1442" w:type="dxa"/>
            <w:tcBorders>
              <w:bottom w:val="nil"/>
            </w:tcBorders>
            <w:shd w:val="clear" w:color="auto" w:fill="1B556B" w:themeFill="text2"/>
            <w:vAlign w:val="bottom"/>
          </w:tcPr>
          <w:p w14:paraId="770BC1A7" w14:textId="77777777" w:rsidR="007C259A" w:rsidRPr="00BD16B4" w:rsidRDefault="007C259A" w:rsidP="00F31129">
            <w:pPr>
              <w:pStyle w:val="TableTextBold0"/>
              <w:keepNext/>
              <w:spacing w:before="40" w:after="40"/>
              <w:rPr>
                <w:b w:val="0"/>
                <w:color w:val="FFFFFF" w:themeColor="background1"/>
                <w:szCs w:val="18"/>
                <w:lang w:val="en-NZ"/>
              </w:rPr>
            </w:pPr>
            <w:r w:rsidRPr="00BD16B4">
              <w:rPr>
                <w:color w:val="FFFFFF" w:themeColor="background1"/>
                <w:szCs w:val="18"/>
                <w:lang w:val="en-NZ"/>
              </w:rPr>
              <w:t>Category in the waste sector</w:t>
            </w:r>
          </w:p>
        </w:tc>
        <w:tc>
          <w:tcPr>
            <w:tcW w:w="851" w:type="dxa"/>
            <w:tcBorders>
              <w:bottom w:val="nil"/>
            </w:tcBorders>
            <w:shd w:val="clear" w:color="auto" w:fill="1B556B" w:themeFill="text2"/>
            <w:vAlign w:val="bottom"/>
          </w:tcPr>
          <w:p w14:paraId="191117E2" w14:textId="77777777" w:rsidR="007C259A" w:rsidRPr="00BD16B4" w:rsidRDefault="007C259A" w:rsidP="00F31129">
            <w:pPr>
              <w:pStyle w:val="TableTextBold0"/>
              <w:keepNext/>
              <w:spacing w:before="40" w:after="40"/>
              <w:rPr>
                <w:b w:val="0"/>
                <w:color w:val="FFFFFF" w:themeColor="background1"/>
                <w:szCs w:val="18"/>
                <w:lang w:val="en-NZ"/>
              </w:rPr>
            </w:pPr>
            <w:r w:rsidRPr="00BD16B4">
              <w:rPr>
                <w:color w:val="FFFFFF" w:themeColor="background1"/>
                <w:szCs w:val="18"/>
                <w:lang w:val="en-NZ"/>
              </w:rPr>
              <w:t>Gas(es)</w:t>
            </w:r>
          </w:p>
        </w:tc>
        <w:tc>
          <w:tcPr>
            <w:tcW w:w="2722" w:type="dxa"/>
            <w:tcBorders>
              <w:bottom w:val="nil"/>
            </w:tcBorders>
            <w:shd w:val="clear" w:color="auto" w:fill="1B556B" w:themeFill="text2"/>
            <w:vAlign w:val="bottom"/>
          </w:tcPr>
          <w:p w14:paraId="3FCE0873" w14:textId="77777777" w:rsidR="007C259A" w:rsidRPr="00BD16B4" w:rsidRDefault="007C259A" w:rsidP="00F31129">
            <w:pPr>
              <w:pStyle w:val="TableTextBold0"/>
              <w:keepNext/>
              <w:spacing w:before="40" w:after="40"/>
              <w:rPr>
                <w:b w:val="0"/>
                <w:color w:val="FFFFFF" w:themeColor="background1"/>
                <w:szCs w:val="18"/>
                <w:lang w:val="en-NZ"/>
              </w:rPr>
            </w:pPr>
            <w:r w:rsidRPr="00BD16B4">
              <w:rPr>
                <w:color w:val="FFFFFF" w:themeColor="background1"/>
                <w:szCs w:val="18"/>
                <w:lang w:val="en-NZ"/>
              </w:rPr>
              <w:t>Method for projecting activity data or emissions</w:t>
            </w:r>
          </w:p>
        </w:tc>
        <w:tc>
          <w:tcPr>
            <w:tcW w:w="1985" w:type="dxa"/>
            <w:tcBorders>
              <w:bottom w:val="nil"/>
            </w:tcBorders>
            <w:shd w:val="clear" w:color="auto" w:fill="1B556B" w:themeFill="text2"/>
            <w:vAlign w:val="bottom"/>
          </w:tcPr>
          <w:p w14:paraId="5E270B54" w14:textId="77777777" w:rsidR="007C259A" w:rsidRPr="00BD16B4" w:rsidRDefault="007C259A" w:rsidP="00F31129">
            <w:pPr>
              <w:pStyle w:val="TableTextBold0"/>
              <w:keepNext/>
              <w:spacing w:before="40" w:after="40"/>
              <w:rPr>
                <w:b w:val="0"/>
                <w:color w:val="FFFFFF" w:themeColor="background1"/>
                <w:szCs w:val="18"/>
                <w:lang w:val="en-NZ"/>
              </w:rPr>
            </w:pPr>
            <w:r w:rsidRPr="00BD16B4">
              <w:rPr>
                <w:color w:val="FFFFFF" w:themeColor="background1"/>
                <w:szCs w:val="18"/>
                <w:lang w:val="en-NZ"/>
              </w:rPr>
              <w:t>Strengths</w:t>
            </w:r>
          </w:p>
        </w:tc>
        <w:tc>
          <w:tcPr>
            <w:tcW w:w="1758" w:type="dxa"/>
            <w:tcBorders>
              <w:bottom w:val="nil"/>
            </w:tcBorders>
            <w:shd w:val="clear" w:color="auto" w:fill="1B556B" w:themeFill="text2"/>
            <w:vAlign w:val="bottom"/>
          </w:tcPr>
          <w:p w14:paraId="1AEA7068" w14:textId="77777777" w:rsidR="007C259A" w:rsidRPr="00BD16B4" w:rsidRDefault="007C259A" w:rsidP="00F31129">
            <w:pPr>
              <w:pStyle w:val="TableTextBold0"/>
              <w:keepNext/>
              <w:spacing w:before="40" w:after="40"/>
              <w:rPr>
                <w:b w:val="0"/>
                <w:color w:val="FFFFFF" w:themeColor="background1"/>
                <w:szCs w:val="18"/>
                <w:lang w:val="en-NZ"/>
              </w:rPr>
            </w:pPr>
            <w:r w:rsidRPr="00BD16B4">
              <w:rPr>
                <w:color w:val="FFFFFF" w:themeColor="background1"/>
                <w:szCs w:val="18"/>
                <w:lang w:val="en-NZ"/>
              </w:rPr>
              <w:t>Weaknesses</w:t>
            </w:r>
          </w:p>
        </w:tc>
      </w:tr>
      <w:tr w:rsidR="007C259A" w:rsidRPr="00BD16B4" w14:paraId="4768D490" w14:textId="77777777" w:rsidTr="00056D70">
        <w:tc>
          <w:tcPr>
            <w:tcW w:w="1442" w:type="dxa"/>
            <w:tcBorders>
              <w:top w:val="nil"/>
            </w:tcBorders>
          </w:tcPr>
          <w:p w14:paraId="6FDAF4CA"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Managed landfills</w:t>
            </w:r>
          </w:p>
        </w:tc>
        <w:tc>
          <w:tcPr>
            <w:tcW w:w="851" w:type="dxa"/>
            <w:tcBorders>
              <w:top w:val="nil"/>
            </w:tcBorders>
          </w:tcPr>
          <w:p w14:paraId="3DEDE337"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CH</w:t>
            </w:r>
            <w:r w:rsidRPr="00BD16B4">
              <w:rPr>
                <w:rFonts w:cs="Calibri"/>
                <w:szCs w:val="18"/>
                <w:vertAlign w:val="subscript"/>
                <w:lang w:val="en-NZ"/>
              </w:rPr>
              <w:t>4</w:t>
            </w:r>
          </w:p>
        </w:tc>
        <w:tc>
          <w:tcPr>
            <w:tcW w:w="2722" w:type="dxa"/>
            <w:tcBorders>
              <w:top w:val="nil"/>
            </w:tcBorders>
          </w:tcPr>
          <w:p w14:paraId="6A329C4E"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Waste tonnage is projected by correlating historical GDP with total waste disposed and extending the correlation into the future. Other parameters are held constant</w:t>
            </w:r>
          </w:p>
          <w:p w14:paraId="32A348AF"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Variants of this model using modified activity data and/or parameters are used to estimate the effects of some existing and additional measures</w:t>
            </w:r>
          </w:p>
        </w:tc>
        <w:tc>
          <w:tcPr>
            <w:tcW w:w="1985" w:type="dxa"/>
            <w:tcBorders>
              <w:top w:val="nil"/>
            </w:tcBorders>
          </w:tcPr>
          <w:p w14:paraId="3D282E14"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Models projected waste amounts using a robust mathematical model drawing mainly on recent historical trends, the impact of an increasing waste levy and current policy direction</w:t>
            </w:r>
          </w:p>
        </w:tc>
        <w:tc>
          <w:tcPr>
            <w:tcW w:w="1758" w:type="dxa"/>
            <w:tcBorders>
              <w:top w:val="nil"/>
            </w:tcBorders>
          </w:tcPr>
          <w:p w14:paraId="497C7A33"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Projection of activity data is sensitive to the latest historical waste tonnages which have been impacted by COVID-19 and could distort the longer-term projection</w:t>
            </w:r>
          </w:p>
        </w:tc>
      </w:tr>
      <w:tr w:rsidR="007C259A" w:rsidRPr="00BD16B4" w14:paraId="63BEA9F2" w14:textId="77777777" w:rsidTr="00056D70">
        <w:tc>
          <w:tcPr>
            <w:tcW w:w="1442" w:type="dxa"/>
          </w:tcPr>
          <w:p w14:paraId="1BAF7095"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Unmanaged farm fills</w:t>
            </w:r>
          </w:p>
        </w:tc>
        <w:tc>
          <w:tcPr>
            <w:tcW w:w="851" w:type="dxa"/>
          </w:tcPr>
          <w:p w14:paraId="347EB68F"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CH</w:t>
            </w:r>
            <w:r w:rsidRPr="00BD16B4">
              <w:rPr>
                <w:rFonts w:cs="Calibri"/>
                <w:szCs w:val="18"/>
                <w:vertAlign w:val="subscript"/>
                <w:lang w:val="en-NZ"/>
              </w:rPr>
              <w:t>4</w:t>
            </w:r>
          </w:p>
        </w:tc>
        <w:tc>
          <w:tcPr>
            <w:tcW w:w="2722" w:type="dxa"/>
          </w:tcPr>
          <w:p w14:paraId="7C2E48CA"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Logarithmic extrapolation of farm counts from 2002 to 2017, which in turn drives overall waste tonnages on farms as per the greenhouse gas inventory</w:t>
            </w:r>
          </w:p>
        </w:tc>
        <w:tc>
          <w:tcPr>
            <w:tcW w:w="1985" w:type="dxa"/>
          </w:tcPr>
          <w:p w14:paraId="16AB5A1B"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Based on plausible long-term trend in farm counts</w:t>
            </w:r>
          </w:p>
        </w:tc>
        <w:tc>
          <w:tcPr>
            <w:tcW w:w="1758" w:type="dxa"/>
          </w:tcPr>
          <w:p w14:paraId="46AC86DD"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Assumes that waste volume per farm is constant</w:t>
            </w:r>
          </w:p>
        </w:tc>
      </w:tr>
      <w:tr w:rsidR="007C259A" w:rsidRPr="00BD16B4" w14:paraId="1273F324" w14:textId="77777777" w:rsidTr="00056D70">
        <w:tc>
          <w:tcPr>
            <w:tcW w:w="1442" w:type="dxa"/>
          </w:tcPr>
          <w:p w14:paraId="248A84B4" w14:textId="77777777" w:rsidR="007C259A" w:rsidRPr="00BD16B4" w:rsidRDefault="007C259A" w:rsidP="002072C2">
            <w:pPr>
              <w:pStyle w:val="TableText"/>
              <w:keepNext/>
              <w:spacing w:before="40" w:after="40"/>
              <w:rPr>
                <w:rFonts w:cs="Calibri"/>
                <w:szCs w:val="18"/>
                <w:lang w:val="en-NZ"/>
              </w:rPr>
            </w:pPr>
            <w:r w:rsidRPr="00BD16B4">
              <w:rPr>
                <w:rFonts w:cs="Calibri"/>
                <w:szCs w:val="18"/>
                <w:lang w:val="en-NZ"/>
              </w:rPr>
              <w:lastRenderedPageBreak/>
              <w:t>Unmanaged non-municipal fills</w:t>
            </w:r>
          </w:p>
        </w:tc>
        <w:tc>
          <w:tcPr>
            <w:tcW w:w="851" w:type="dxa"/>
          </w:tcPr>
          <w:p w14:paraId="7111B46C"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CH</w:t>
            </w:r>
            <w:r w:rsidRPr="00BD16B4">
              <w:rPr>
                <w:rFonts w:cs="Calibri"/>
                <w:szCs w:val="18"/>
                <w:vertAlign w:val="subscript"/>
                <w:lang w:val="en-NZ"/>
              </w:rPr>
              <w:t>4</w:t>
            </w:r>
          </w:p>
        </w:tc>
        <w:tc>
          <w:tcPr>
            <w:tcW w:w="2722" w:type="dxa"/>
          </w:tcPr>
          <w:p w14:paraId="4F437491"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 xml:space="preserve">Waste tonnages are held constant into the future at 2015 levels, which is based on the available historical data </w:t>
            </w:r>
          </w:p>
        </w:tc>
        <w:tc>
          <w:tcPr>
            <w:tcW w:w="1985" w:type="dxa"/>
          </w:tcPr>
          <w:p w14:paraId="69DBB6B7"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Plausible projection based on limited available data</w:t>
            </w:r>
          </w:p>
        </w:tc>
        <w:tc>
          <w:tcPr>
            <w:tcW w:w="1758" w:type="dxa"/>
          </w:tcPr>
          <w:p w14:paraId="2CFD74BB"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Does not account for potential changes in industry activity into the future</w:t>
            </w:r>
          </w:p>
        </w:tc>
      </w:tr>
      <w:tr w:rsidR="007C259A" w:rsidRPr="00BD16B4" w14:paraId="3E17A44B" w14:textId="77777777" w:rsidTr="00056D70">
        <w:tc>
          <w:tcPr>
            <w:tcW w:w="1442" w:type="dxa"/>
          </w:tcPr>
          <w:p w14:paraId="05437151"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Uncategorised landfills</w:t>
            </w:r>
          </w:p>
        </w:tc>
        <w:tc>
          <w:tcPr>
            <w:tcW w:w="851" w:type="dxa"/>
          </w:tcPr>
          <w:p w14:paraId="075EDD9D"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CH</w:t>
            </w:r>
            <w:r w:rsidRPr="00BD16B4">
              <w:rPr>
                <w:rFonts w:cs="Calibri"/>
                <w:szCs w:val="18"/>
                <w:vertAlign w:val="subscript"/>
                <w:lang w:val="en-NZ"/>
              </w:rPr>
              <w:t>4</w:t>
            </w:r>
          </w:p>
        </w:tc>
        <w:tc>
          <w:tcPr>
            <w:tcW w:w="2722" w:type="dxa"/>
          </w:tcPr>
          <w:p w14:paraId="5D687174"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Activity data ended in 2010, however, emissions continue to occur and are projected using the first order decay model in the greenhouse gas inventory</w:t>
            </w:r>
          </w:p>
        </w:tc>
        <w:tc>
          <w:tcPr>
            <w:tcW w:w="1985" w:type="dxa"/>
          </w:tcPr>
          <w:p w14:paraId="0AD5496F"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Uses first order decay model from the inventory</w:t>
            </w:r>
          </w:p>
        </w:tc>
        <w:tc>
          <w:tcPr>
            <w:tcW w:w="1758" w:type="dxa"/>
          </w:tcPr>
          <w:p w14:paraId="336ED615"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Relies on historical activity data being accurate</w:t>
            </w:r>
          </w:p>
        </w:tc>
      </w:tr>
      <w:tr w:rsidR="007C259A" w:rsidRPr="00BD16B4" w14:paraId="34C7CA17" w14:textId="77777777" w:rsidTr="00056D70">
        <w:tc>
          <w:tcPr>
            <w:tcW w:w="1442" w:type="dxa"/>
          </w:tcPr>
          <w:p w14:paraId="2C06A1B8" w14:textId="77777777" w:rsidR="007C259A" w:rsidRPr="00BD16B4" w:rsidRDefault="007C259A" w:rsidP="00056D70">
            <w:pPr>
              <w:pStyle w:val="TableText"/>
              <w:keepNext/>
              <w:spacing w:before="40" w:after="40"/>
              <w:rPr>
                <w:rFonts w:cs="Calibri"/>
                <w:szCs w:val="18"/>
                <w:lang w:val="en-NZ"/>
              </w:rPr>
            </w:pPr>
            <w:r w:rsidRPr="00BD16B4">
              <w:rPr>
                <w:rFonts w:cs="Calibri"/>
                <w:szCs w:val="18"/>
                <w:lang w:val="en-NZ"/>
              </w:rPr>
              <w:t>Composting</w:t>
            </w:r>
          </w:p>
        </w:tc>
        <w:tc>
          <w:tcPr>
            <w:tcW w:w="851" w:type="dxa"/>
          </w:tcPr>
          <w:p w14:paraId="1576ECD5"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CH</w:t>
            </w:r>
            <w:r w:rsidRPr="00BD16B4">
              <w:rPr>
                <w:rFonts w:cs="Calibri"/>
                <w:szCs w:val="18"/>
                <w:vertAlign w:val="subscript"/>
                <w:lang w:val="en-NZ"/>
              </w:rPr>
              <w:t>4</w:t>
            </w:r>
            <w:r w:rsidRPr="00BD16B4">
              <w:rPr>
                <w:rFonts w:cs="Calibri"/>
                <w:szCs w:val="18"/>
                <w:lang w:val="en-NZ"/>
              </w:rPr>
              <w:t>, N</w:t>
            </w:r>
            <w:r w:rsidRPr="00BD16B4">
              <w:rPr>
                <w:rFonts w:cs="Calibri"/>
                <w:szCs w:val="18"/>
                <w:vertAlign w:val="subscript"/>
                <w:lang w:val="en-NZ"/>
              </w:rPr>
              <w:t>2</w:t>
            </w:r>
            <w:r w:rsidRPr="00BD16B4">
              <w:rPr>
                <w:rFonts w:cs="Calibri"/>
                <w:szCs w:val="18"/>
                <w:lang w:val="en-NZ"/>
              </w:rPr>
              <w:t>O</w:t>
            </w:r>
          </w:p>
        </w:tc>
        <w:tc>
          <w:tcPr>
            <w:tcW w:w="2722" w:type="dxa"/>
          </w:tcPr>
          <w:p w14:paraId="0E686AD1"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The activity data are modelled from 1990 based on an assumed growth curve, consistent with limited actual data where available and assumed changes into the future</w:t>
            </w:r>
          </w:p>
          <w:p w14:paraId="56D699AF"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Variants of this model using modified activity data and or parameters are used to estimate the effects of some existing and additional measures</w:t>
            </w:r>
          </w:p>
        </w:tc>
        <w:tc>
          <w:tcPr>
            <w:tcW w:w="1985" w:type="dxa"/>
          </w:tcPr>
          <w:p w14:paraId="01D2AC8A"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Assumptions are tied to actual data</w:t>
            </w:r>
          </w:p>
        </w:tc>
        <w:tc>
          <w:tcPr>
            <w:tcW w:w="1758" w:type="dxa"/>
          </w:tcPr>
          <w:p w14:paraId="0A31D512"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Limited actual data results in heavy reliance on assumed growth curve</w:t>
            </w:r>
          </w:p>
        </w:tc>
      </w:tr>
      <w:tr w:rsidR="007C259A" w:rsidRPr="00BD16B4" w14:paraId="5F32C35F" w14:textId="77777777" w:rsidTr="00056D70">
        <w:tc>
          <w:tcPr>
            <w:tcW w:w="1442" w:type="dxa"/>
          </w:tcPr>
          <w:p w14:paraId="6FA0A7D0"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Anaerobic digestion</w:t>
            </w:r>
          </w:p>
        </w:tc>
        <w:tc>
          <w:tcPr>
            <w:tcW w:w="851" w:type="dxa"/>
          </w:tcPr>
          <w:p w14:paraId="0152D4DC"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CH</w:t>
            </w:r>
            <w:r w:rsidRPr="00BD16B4">
              <w:rPr>
                <w:rFonts w:cs="Calibri"/>
                <w:szCs w:val="18"/>
                <w:vertAlign w:val="subscript"/>
                <w:lang w:val="en-NZ"/>
              </w:rPr>
              <w:t>4</w:t>
            </w:r>
          </w:p>
        </w:tc>
        <w:tc>
          <w:tcPr>
            <w:tcW w:w="2722" w:type="dxa"/>
          </w:tcPr>
          <w:p w14:paraId="61BCA235"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 xml:space="preserve">A model based on inventory tier 1 methods is used to estimate projected emissions for anaerobic digestion based on assumed waste tonnages </w:t>
            </w:r>
          </w:p>
          <w:p w14:paraId="1CA7C47E"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A variant of this model using modified activity data is used to estimate the effects of additional measures</w:t>
            </w:r>
          </w:p>
        </w:tc>
        <w:tc>
          <w:tcPr>
            <w:tcW w:w="1985" w:type="dxa"/>
          </w:tcPr>
          <w:p w14:paraId="6B29D0AA"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Applies inventory methods</w:t>
            </w:r>
          </w:p>
        </w:tc>
        <w:tc>
          <w:tcPr>
            <w:tcW w:w="1758" w:type="dxa"/>
          </w:tcPr>
          <w:p w14:paraId="3E37011E"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No activity data are available as this is solely a future activity as at the time of reporting</w:t>
            </w:r>
          </w:p>
        </w:tc>
      </w:tr>
      <w:tr w:rsidR="007C259A" w:rsidRPr="00BD16B4" w14:paraId="3361F3D1" w14:textId="77777777" w:rsidTr="00056D70">
        <w:tc>
          <w:tcPr>
            <w:tcW w:w="1442" w:type="dxa"/>
          </w:tcPr>
          <w:p w14:paraId="397E0DCC"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Incineration</w:t>
            </w:r>
          </w:p>
        </w:tc>
        <w:tc>
          <w:tcPr>
            <w:tcW w:w="851" w:type="dxa"/>
          </w:tcPr>
          <w:p w14:paraId="33E40F5F"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CO</w:t>
            </w:r>
            <w:r w:rsidRPr="00BD16B4">
              <w:rPr>
                <w:rFonts w:cs="Calibri"/>
                <w:szCs w:val="18"/>
                <w:vertAlign w:val="subscript"/>
                <w:lang w:val="en-NZ"/>
              </w:rPr>
              <w:t>2</w:t>
            </w:r>
            <w:r w:rsidRPr="00BD16B4">
              <w:rPr>
                <w:rFonts w:cs="Calibri"/>
                <w:szCs w:val="18"/>
                <w:lang w:val="en-NZ"/>
              </w:rPr>
              <w:t>, CH</w:t>
            </w:r>
            <w:r w:rsidRPr="00BD16B4">
              <w:rPr>
                <w:rFonts w:cs="Calibri"/>
                <w:szCs w:val="18"/>
                <w:vertAlign w:val="subscript"/>
                <w:lang w:val="en-NZ"/>
              </w:rPr>
              <w:t>4</w:t>
            </w:r>
            <w:r w:rsidRPr="00BD16B4">
              <w:rPr>
                <w:rFonts w:cs="Calibri"/>
                <w:szCs w:val="18"/>
                <w:lang w:val="en-NZ"/>
              </w:rPr>
              <w:t>, N</w:t>
            </w:r>
            <w:r w:rsidRPr="00BD16B4">
              <w:rPr>
                <w:rFonts w:cs="Calibri"/>
                <w:szCs w:val="18"/>
                <w:vertAlign w:val="subscript"/>
                <w:lang w:val="en-NZ"/>
              </w:rPr>
              <w:t>2</w:t>
            </w:r>
            <w:r w:rsidRPr="00BD16B4">
              <w:rPr>
                <w:rFonts w:cs="Calibri"/>
                <w:szCs w:val="18"/>
                <w:lang w:val="en-NZ"/>
              </w:rPr>
              <w:t>O</w:t>
            </w:r>
          </w:p>
        </w:tc>
        <w:tc>
          <w:tcPr>
            <w:tcW w:w="2722" w:type="dxa"/>
          </w:tcPr>
          <w:p w14:paraId="4F2E7532"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Constant activity assumed since 2007</w:t>
            </w:r>
          </w:p>
        </w:tc>
        <w:tc>
          <w:tcPr>
            <w:tcW w:w="1985" w:type="dxa"/>
          </w:tcPr>
          <w:p w14:paraId="4452D628"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Simple, consistent with the inventory</w:t>
            </w:r>
          </w:p>
        </w:tc>
        <w:tc>
          <w:tcPr>
            <w:tcW w:w="1758" w:type="dxa"/>
          </w:tcPr>
          <w:p w14:paraId="38EE91F3"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Assumes the incineration rate is constant</w:t>
            </w:r>
          </w:p>
        </w:tc>
      </w:tr>
      <w:tr w:rsidR="007C259A" w:rsidRPr="00BD16B4" w14:paraId="3FCFD9AF" w14:textId="77777777" w:rsidTr="00056D70">
        <w:tc>
          <w:tcPr>
            <w:tcW w:w="1442" w:type="dxa"/>
          </w:tcPr>
          <w:p w14:paraId="4FD358EA" w14:textId="77777777" w:rsidR="007C259A" w:rsidRPr="00BD16B4" w:rsidRDefault="007C259A" w:rsidP="00F31129">
            <w:pPr>
              <w:pStyle w:val="TableText"/>
              <w:rPr>
                <w:lang w:val="en-NZ"/>
              </w:rPr>
            </w:pPr>
            <w:r w:rsidRPr="00BD16B4">
              <w:rPr>
                <w:lang w:val="en-NZ"/>
              </w:rPr>
              <w:t>Open burning</w:t>
            </w:r>
          </w:p>
        </w:tc>
        <w:tc>
          <w:tcPr>
            <w:tcW w:w="851" w:type="dxa"/>
          </w:tcPr>
          <w:p w14:paraId="7A06E77D"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CO</w:t>
            </w:r>
            <w:r w:rsidRPr="00BD16B4">
              <w:rPr>
                <w:rFonts w:cs="Calibri"/>
                <w:szCs w:val="18"/>
                <w:vertAlign w:val="subscript"/>
                <w:lang w:val="en-NZ"/>
              </w:rPr>
              <w:t>2</w:t>
            </w:r>
            <w:r w:rsidRPr="00BD16B4">
              <w:rPr>
                <w:rFonts w:cs="Calibri"/>
                <w:szCs w:val="18"/>
                <w:lang w:val="en-NZ"/>
              </w:rPr>
              <w:t>, CH</w:t>
            </w:r>
            <w:r w:rsidRPr="00BD16B4">
              <w:rPr>
                <w:rFonts w:cs="Calibri"/>
                <w:szCs w:val="18"/>
                <w:vertAlign w:val="subscript"/>
                <w:lang w:val="en-NZ"/>
              </w:rPr>
              <w:t>4</w:t>
            </w:r>
            <w:r w:rsidRPr="00BD16B4">
              <w:rPr>
                <w:rFonts w:cs="Calibri"/>
                <w:szCs w:val="18"/>
                <w:lang w:val="en-NZ"/>
              </w:rPr>
              <w:t>, N</w:t>
            </w:r>
            <w:r w:rsidRPr="00BD16B4">
              <w:rPr>
                <w:rFonts w:cs="Calibri"/>
                <w:szCs w:val="18"/>
                <w:vertAlign w:val="subscript"/>
                <w:lang w:val="en-NZ"/>
              </w:rPr>
              <w:t>2</w:t>
            </w:r>
            <w:r w:rsidRPr="00BD16B4">
              <w:rPr>
                <w:rFonts w:cs="Calibri"/>
                <w:szCs w:val="18"/>
                <w:lang w:val="en-NZ"/>
              </w:rPr>
              <w:t>O</w:t>
            </w:r>
          </w:p>
        </w:tc>
        <w:tc>
          <w:tcPr>
            <w:tcW w:w="2722" w:type="dxa"/>
          </w:tcPr>
          <w:p w14:paraId="75EBA87C"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Uses activity data modelled for farm fills, noting that half of the activity data are landfilled and half are burned</w:t>
            </w:r>
          </w:p>
        </w:tc>
        <w:tc>
          <w:tcPr>
            <w:tcW w:w="1985" w:type="dxa"/>
          </w:tcPr>
          <w:p w14:paraId="6CAB8379"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Simple, consistent with the inventory</w:t>
            </w:r>
          </w:p>
        </w:tc>
        <w:tc>
          <w:tcPr>
            <w:tcW w:w="1758" w:type="dxa"/>
          </w:tcPr>
          <w:p w14:paraId="0ADF9E7D"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Assumes the same amounts of waste are burned and buried</w:t>
            </w:r>
          </w:p>
        </w:tc>
      </w:tr>
      <w:tr w:rsidR="007C259A" w:rsidRPr="00BD16B4" w14:paraId="07364C4D" w14:textId="77777777" w:rsidTr="00056D70">
        <w:tc>
          <w:tcPr>
            <w:tcW w:w="1442" w:type="dxa"/>
          </w:tcPr>
          <w:p w14:paraId="23DED1DD"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Domestic wastewater</w:t>
            </w:r>
          </w:p>
        </w:tc>
        <w:tc>
          <w:tcPr>
            <w:tcW w:w="851" w:type="dxa"/>
          </w:tcPr>
          <w:p w14:paraId="3625C31C"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CH</w:t>
            </w:r>
            <w:r w:rsidRPr="00BD16B4">
              <w:rPr>
                <w:rFonts w:cs="Calibri"/>
                <w:szCs w:val="18"/>
                <w:vertAlign w:val="subscript"/>
                <w:lang w:val="en-NZ"/>
              </w:rPr>
              <w:t>4</w:t>
            </w:r>
            <w:r w:rsidRPr="00BD16B4">
              <w:rPr>
                <w:rFonts w:cs="Calibri"/>
                <w:szCs w:val="18"/>
                <w:lang w:val="en-NZ"/>
              </w:rPr>
              <w:t>, N</w:t>
            </w:r>
            <w:r w:rsidRPr="00BD16B4">
              <w:rPr>
                <w:rFonts w:cs="Calibri"/>
                <w:szCs w:val="18"/>
                <w:vertAlign w:val="subscript"/>
                <w:lang w:val="en-NZ"/>
              </w:rPr>
              <w:t>2</w:t>
            </w:r>
            <w:r w:rsidRPr="00BD16B4">
              <w:rPr>
                <w:rFonts w:cs="Calibri"/>
                <w:szCs w:val="18"/>
                <w:lang w:val="en-NZ"/>
              </w:rPr>
              <w:t>O</w:t>
            </w:r>
          </w:p>
        </w:tc>
        <w:tc>
          <w:tcPr>
            <w:tcW w:w="2722" w:type="dxa"/>
          </w:tcPr>
          <w:p w14:paraId="61BAC902"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The quantity of domestic wastewater is dependent on the national population, using the latest emission factor as calculated in the greenhouse gas inventory, which is held constant for projections</w:t>
            </w:r>
          </w:p>
        </w:tc>
        <w:tc>
          <w:tcPr>
            <w:tcW w:w="1985" w:type="dxa"/>
          </w:tcPr>
          <w:p w14:paraId="55BE48A3"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Uses inventory methods and reflects projected population changes</w:t>
            </w:r>
          </w:p>
        </w:tc>
        <w:tc>
          <w:tcPr>
            <w:tcW w:w="1758" w:type="dxa"/>
          </w:tcPr>
          <w:p w14:paraId="7FF5792A"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Assumes no changes in wastewater treatment processes</w:t>
            </w:r>
          </w:p>
        </w:tc>
      </w:tr>
      <w:tr w:rsidR="007C259A" w:rsidRPr="00BD16B4" w14:paraId="3C77673F" w14:textId="77777777" w:rsidTr="00056D70">
        <w:tc>
          <w:tcPr>
            <w:tcW w:w="1442" w:type="dxa"/>
          </w:tcPr>
          <w:p w14:paraId="4919EC2E" w14:textId="77777777" w:rsidR="007C259A" w:rsidRPr="00BD16B4" w:rsidRDefault="007C259A" w:rsidP="00F31129">
            <w:pPr>
              <w:pStyle w:val="TableText"/>
              <w:spacing w:before="40" w:after="40"/>
              <w:rPr>
                <w:lang w:val="en-NZ"/>
              </w:rPr>
            </w:pPr>
            <w:r w:rsidRPr="00BD16B4">
              <w:rPr>
                <w:lang w:val="en-NZ"/>
              </w:rPr>
              <w:t>Industrial wastewater</w:t>
            </w:r>
          </w:p>
        </w:tc>
        <w:tc>
          <w:tcPr>
            <w:tcW w:w="851" w:type="dxa"/>
          </w:tcPr>
          <w:p w14:paraId="0286821F"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CH</w:t>
            </w:r>
            <w:r w:rsidRPr="00BD16B4">
              <w:rPr>
                <w:rFonts w:cs="Calibri"/>
                <w:szCs w:val="18"/>
                <w:vertAlign w:val="subscript"/>
                <w:lang w:val="en-NZ"/>
              </w:rPr>
              <w:t>4</w:t>
            </w:r>
            <w:r w:rsidRPr="00BD16B4">
              <w:rPr>
                <w:rFonts w:cs="Calibri"/>
                <w:szCs w:val="18"/>
                <w:lang w:val="en-NZ"/>
              </w:rPr>
              <w:t>, N</w:t>
            </w:r>
            <w:r w:rsidRPr="00BD16B4">
              <w:rPr>
                <w:rFonts w:cs="Calibri"/>
                <w:szCs w:val="18"/>
                <w:vertAlign w:val="subscript"/>
                <w:lang w:val="en-NZ"/>
              </w:rPr>
              <w:t>2</w:t>
            </w:r>
            <w:r w:rsidRPr="00BD16B4">
              <w:rPr>
                <w:rFonts w:cs="Calibri"/>
                <w:szCs w:val="18"/>
                <w:lang w:val="en-NZ"/>
              </w:rPr>
              <w:t>O</w:t>
            </w:r>
          </w:p>
        </w:tc>
        <w:tc>
          <w:tcPr>
            <w:tcW w:w="2722" w:type="dxa"/>
          </w:tcPr>
          <w:p w14:paraId="7D3A97D4"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The quantity of industrial wastewater is dependent on industrial production. Projected production for meat and dairy industries is based on projected industry data. The remaining industries are held constant at 2020 levels</w:t>
            </w:r>
          </w:p>
        </w:tc>
        <w:tc>
          <w:tcPr>
            <w:tcW w:w="1985" w:type="dxa"/>
          </w:tcPr>
          <w:p w14:paraId="4BDFA58A"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Tracks known changes in activity in accordance with the inventory</w:t>
            </w:r>
          </w:p>
        </w:tc>
        <w:tc>
          <w:tcPr>
            <w:tcW w:w="1758" w:type="dxa"/>
          </w:tcPr>
          <w:p w14:paraId="5DDE83E9"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Assumes emission factors and some activity data are constant</w:t>
            </w:r>
          </w:p>
        </w:tc>
      </w:tr>
    </w:tbl>
    <w:p w14:paraId="4BC0C16A" w14:textId="77777777" w:rsidR="007C259A" w:rsidRPr="00BD16B4" w:rsidRDefault="007C259A" w:rsidP="00120409">
      <w:pPr>
        <w:pStyle w:val="Note"/>
      </w:pPr>
      <w:r w:rsidRPr="00BD16B4">
        <w:rPr>
          <w:b/>
        </w:rPr>
        <w:t xml:space="preserve">Note: </w:t>
      </w:r>
      <w:r w:rsidRPr="00BD16B4">
        <w:t>CH</w:t>
      </w:r>
      <w:r w:rsidRPr="00BD16B4">
        <w:rPr>
          <w:vertAlign w:val="subscript"/>
        </w:rPr>
        <w:t>4</w:t>
      </w:r>
      <w:r w:rsidRPr="00BD16B4">
        <w:t xml:space="preserve"> = methane; CO</w:t>
      </w:r>
      <w:r w:rsidRPr="00BD16B4">
        <w:rPr>
          <w:vertAlign w:val="subscript"/>
        </w:rPr>
        <w:t xml:space="preserve">2 </w:t>
      </w:r>
      <w:r w:rsidRPr="00BD16B4">
        <w:t>= carbon dioxide; GDP = gross domestic product; N</w:t>
      </w:r>
      <w:r w:rsidRPr="00BD16B4">
        <w:rPr>
          <w:vertAlign w:val="subscript"/>
        </w:rPr>
        <w:t>2</w:t>
      </w:r>
      <w:r w:rsidRPr="00BD16B4">
        <w:t>O = nitrous oxide; NZ ETS = New Zealand Emissions Trading Scheme.</w:t>
      </w:r>
    </w:p>
    <w:p w14:paraId="3CC8DE11" w14:textId="77777777" w:rsidR="007C259A" w:rsidRPr="00BD16B4" w:rsidRDefault="007C259A" w:rsidP="004E1B8C">
      <w:pPr>
        <w:pStyle w:val="Heading4"/>
      </w:pPr>
      <w:r w:rsidRPr="00BD16B4">
        <w:lastRenderedPageBreak/>
        <w:t>Sensitivity analysis for waste emissions</w:t>
      </w:r>
    </w:p>
    <w:p w14:paraId="00FC14DC" w14:textId="77777777" w:rsidR="007C259A" w:rsidRPr="00BD16B4" w:rsidRDefault="007C259A" w:rsidP="007C259A">
      <w:pPr>
        <w:pStyle w:val="BodyText"/>
      </w:pPr>
      <w:r w:rsidRPr="00BD16B4">
        <w:t xml:space="preserve">The projected emissions in the waste sector are predominantly driven by volumes of managed and unmanaged solid waste. Table 5.27 describes the key drivers and sensitivities for the main categories in the waste sector. No quantitative sensitivities were produced for the waste sector for the </w:t>
      </w:r>
      <w:r w:rsidRPr="00BD16B4">
        <w:rPr>
          <w:i/>
          <w:iCs/>
        </w:rPr>
        <w:t xml:space="preserve">Eighth National Communication </w:t>
      </w:r>
      <w:r w:rsidRPr="00BD16B4">
        <w:t>or</w:t>
      </w:r>
      <w:r w:rsidRPr="00BD16B4">
        <w:rPr>
          <w:i/>
          <w:iCs/>
        </w:rPr>
        <w:t xml:space="preserve"> Fifth Biennial Report</w:t>
      </w:r>
      <w:r w:rsidRPr="00BD16B4">
        <w:t>.</w:t>
      </w:r>
    </w:p>
    <w:p w14:paraId="61B8F7DD" w14:textId="77777777" w:rsidR="007C259A" w:rsidRPr="00BD16B4" w:rsidRDefault="007C259A" w:rsidP="00BB7302">
      <w:pPr>
        <w:pStyle w:val="Tableheading"/>
        <w:rPr>
          <w:rFonts w:eastAsia="Calibri"/>
        </w:rPr>
      </w:pPr>
      <w:bookmarkStart w:id="310" w:name="_Toc121773817"/>
      <w:r w:rsidRPr="00BD16B4">
        <w:rPr>
          <w:rFonts w:eastAsia="Calibri"/>
        </w:rPr>
        <w:t xml:space="preserve">Table 5.27: </w:t>
      </w:r>
      <w:r w:rsidRPr="00BD16B4">
        <w:rPr>
          <w:rFonts w:eastAsia="Calibri"/>
        </w:rPr>
        <w:tab/>
        <w:t>Qualitative analysis of key drivers of projected emissions in the waste sector</w:t>
      </w:r>
      <w:bookmarkEnd w:id="310"/>
    </w:p>
    <w:tbl>
      <w:tblPr>
        <w:tblStyle w:val="TableGrid1"/>
        <w:tblW w:w="8505" w:type="dxa"/>
        <w:tblInd w:w="113" w:type="dxa"/>
        <w:tblLook w:val="04A0" w:firstRow="1" w:lastRow="0" w:firstColumn="1" w:lastColumn="0" w:noHBand="0" w:noVBand="1"/>
      </w:tblPr>
      <w:tblGrid>
        <w:gridCol w:w="2977"/>
        <w:gridCol w:w="5528"/>
      </w:tblGrid>
      <w:tr w:rsidR="007C259A" w:rsidRPr="00BD16B4" w14:paraId="494ACBB8" w14:textId="77777777" w:rsidTr="00056D70">
        <w:tc>
          <w:tcPr>
            <w:tcW w:w="2977" w:type="dxa"/>
            <w:shd w:val="clear" w:color="auto" w:fill="1B556B" w:themeFill="text2"/>
          </w:tcPr>
          <w:p w14:paraId="1009BF1E" w14:textId="77777777" w:rsidR="007C259A" w:rsidRPr="00BD16B4" w:rsidRDefault="007C259A" w:rsidP="00F31129">
            <w:pPr>
              <w:pStyle w:val="TableTextBold0"/>
              <w:spacing w:before="40"/>
              <w:rPr>
                <w:b w:val="0"/>
                <w:color w:val="FFFFFF" w:themeColor="background1"/>
                <w:szCs w:val="18"/>
                <w:lang w:val="en-NZ"/>
              </w:rPr>
            </w:pPr>
            <w:r w:rsidRPr="00BD16B4">
              <w:rPr>
                <w:color w:val="FFFFFF" w:themeColor="background1"/>
                <w:szCs w:val="18"/>
                <w:lang w:val="en-NZ"/>
              </w:rPr>
              <w:t>Major category in the waste sector</w:t>
            </w:r>
          </w:p>
        </w:tc>
        <w:tc>
          <w:tcPr>
            <w:tcW w:w="5528" w:type="dxa"/>
            <w:shd w:val="clear" w:color="auto" w:fill="1B556B" w:themeFill="text2"/>
          </w:tcPr>
          <w:p w14:paraId="60F59B11" w14:textId="77777777" w:rsidR="007C259A" w:rsidRPr="00BD16B4" w:rsidRDefault="007C259A" w:rsidP="00F31129">
            <w:pPr>
              <w:pStyle w:val="TableTextBold0"/>
              <w:spacing w:before="40"/>
              <w:rPr>
                <w:b w:val="0"/>
                <w:color w:val="FFFFFF" w:themeColor="background1"/>
                <w:szCs w:val="18"/>
                <w:lang w:val="en-NZ"/>
              </w:rPr>
            </w:pPr>
            <w:r w:rsidRPr="00BD16B4">
              <w:rPr>
                <w:color w:val="FFFFFF" w:themeColor="background1"/>
                <w:szCs w:val="18"/>
                <w:lang w:val="en-NZ"/>
              </w:rPr>
              <w:t>Key drivers of emissions and sensitivities</w:t>
            </w:r>
          </w:p>
        </w:tc>
      </w:tr>
      <w:tr w:rsidR="007C259A" w:rsidRPr="00BD16B4" w14:paraId="60059BC4" w14:textId="77777777" w:rsidTr="00056D70">
        <w:tc>
          <w:tcPr>
            <w:tcW w:w="2977" w:type="dxa"/>
          </w:tcPr>
          <w:p w14:paraId="557624F0" w14:textId="77777777" w:rsidR="007C259A" w:rsidRPr="00BD16B4" w:rsidRDefault="007C259A" w:rsidP="00F31129">
            <w:pPr>
              <w:pStyle w:val="TableText"/>
              <w:spacing w:before="40"/>
              <w:rPr>
                <w:rFonts w:cs="Calibri"/>
                <w:szCs w:val="18"/>
                <w:lang w:val="en-NZ"/>
              </w:rPr>
            </w:pPr>
            <w:r w:rsidRPr="00BD16B4">
              <w:rPr>
                <w:rFonts w:cs="Calibri"/>
                <w:szCs w:val="18"/>
                <w:lang w:val="en-NZ"/>
              </w:rPr>
              <w:t>Managed landfills</w:t>
            </w:r>
          </w:p>
        </w:tc>
        <w:tc>
          <w:tcPr>
            <w:tcW w:w="5528" w:type="dxa"/>
          </w:tcPr>
          <w:p w14:paraId="3073F5E3" w14:textId="77777777" w:rsidR="007C259A" w:rsidRPr="00BD16B4" w:rsidRDefault="007C259A" w:rsidP="00F31129">
            <w:pPr>
              <w:pStyle w:val="TableText"/>
              <w:spacing w:before="40" w:after="0"/>
              <w:rPr>
                <w:rFonts w:cs="Calibri"/>
                <w:szCs w:val="18"/>
                <w:lang w:val="en-NZ"/>
              </w:rPr>
            </w:pPr>
            <w:r w:rsidRPr="00BD16B4">
              <w:rPr>
                <w:rFonts w:cs="Calibri"/>
                <w:szCs w:val="18"/>
                <w:lang w:val="en-NZ"/>
              </w:rPr>
              <w:t>Key driver: projected waste volumes</w:t>
            </w:r>
          </w:p>
          <w:p w14:paraId="6BACD21D"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Emissions are most sensitive to landfill gas capture rates and historical activity data</w:t>
            </w:r>
          </w:p>
        </w:tc>
      </w:tr>
      <w:tr w:rsidR="007C259A" w:rsidRPr="00BD16B4" w14:paraId="55B29929" w14:textId="77777777" w:rsidTr="00056D70">
        <w:tc>
          <w:tcPr>
            <w:tcW w:w="2977" w:type="dxa"/>
          </w:tcPr>
          <w:p w14:paraId="5235AA82" w14:textId="77777777" w:rsidR="007C259A" w:rsidRPr="00BD16B4" w:rsidRDefault="007C259A" w:rsidP="00F31129">
            <w:pPr>
              <w:pStyle w:val="TableText"/>
              <w:spacing w:before="40"/>
              <w:rPr>
                <w:rFonts w:cs="Calibri"/>
                <w:szCs w:val="18"/>
                <w:lang w:val="en-NZ"/>
              </w:rPr>
            </w:pPr>
            <w:r w:rsidRPr="00BD16B4">
              <w:rPr>
                <w:rFonts w:cs="Calibri"/>
                <w:szCs w:val="18"/>
                <w:lang w:val="en-NZ"/>
              </w:rPr>
              <w:t>Farm waste (both open burning and unmanaged landfills)</w:t>
            </w:r>
          </w:p>
        </w:tc>
        <w:tc>
          <w:tcPr>
            <w:tcW w:w="5528" w:type="dxa"/>
          </w:tcPr>
          <w:p w14:paraId="6FDB242D" w14:textId="77777777" w:rsidR="007C259A" w:rsidRPr="00BD16B4" w:rsidRDefault="007C259A" w:rsidP="00F31129">
            <w:pPr>
              <w:pStyle w:val="TableText"/>
              <w:spacing w:before="40" w:after="0"/>
              <w:rPr>
                <w:rFonts w:cs="Calibri"/>
                <w:szCs w:val="18"/>
                <w:lang w:val="en-NZ"/>
              </w:rPr>
            </w:pPr>
            <w:r w:rsidRPr="00BD16B4">
              <w:rPr>
                <w:rFonts w:cs="Calibri"/>
                <w:szCs w:val="18"/>
                <w:lang w:val="en-NZ"/>
              </w:rPr>
              <w:t>Key driver: projected farm counts</w:t>
            </w:r>
          </w:p>
          <w:p w14:paraId="4507C237"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Emissions are most sensitive to composition and quantity of waste per farm, as well as the degree of aerobic versus anaerobic decomposition</w:t>
            </w:r>
          </w:p>
        </w:tc>
      </w:tr>
      <w:tr w:rsidR="007C259A" w:rsidRPr="00BD16B4" w14:paraId="4C9B4B4E" w14:textId="77777777" w:rsidTr="00056D70">
        <w:tc>
          <w:tcPr>
            <w:tcW w:w="2977" w:type="dxa"/>
          </w:tcPr>
          <w:p w14:paraId="3FAAAA4A" w14:textId="77777777" w:rsidR="007C259A" w:rsidRPr="00BD16B4" w:rsidRDefault="007C259A" w:rsidP="00F31129">
            <w:pPr>
              <w:pStyle w:val="TableText"/>
              <w:spacing w:before="40"/>
              <w:rPr>
                <w:rFonts w:cs="Calibri"/>
                <w:szCs w:val="18"/>
                <w:lang w:val="en-NZ"/>
              </w:rPr>
            </w:pPr>
            <w:r w:rsidRPr="00BD16B4">
              <w:rPr>
                <w:rFonts w:cs="Calibri"/>
                <w:szCs w:val="18"/>
                <w:lang w:val="en-NZ"/>
              </w:rPr>
              <w:t>Unmanaged non-municipal fills</w:t>
            </w:r>
          </w:p>
        </w:tc>
        <w:tc>
          <w:tcPr>
            <w:tcW w:w="5528" w:type="dxa"/>
          </w:tcPr>
          <w:p w14:paraId="11539E0B" w14:textId="77777777" w:rsidR="007C259A" w:rsidRPr="00BD16B4" w:rsidRDefault="007C259A" w:rsidP="00F31129">
            <w:pPr>
              <w:pStyle w:val="TableText"/>
              <w:spacing w:before="40" w:after="0"/>
              <w:rPr>
                <w:rFonts w:cs="Calibri"/>
                <w:szCs w:val="18"/>
                <w:lang w:val="en-NZ"/>
              </w:rPr>
            </w:pPr>
            <w:r w:rsidRPr="00BD16B4">
              <w:rPr>
                <w:rFonts w:cs="Calibri"/>
                <w:szCs w:val="18"/>
                <w:lang w:val="en-NZ"/>
              </w:rPr>
              <w:t>Key driver: assumption that waste tonnages remain constant since 2015</w:t>
            </w:r>
          </w:p>
          <w:p w14:paraId="4FE2D892"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Emissions are most sensitive to historical waste tonnages and assumed composition of waste, as well as the degree of aerobic versus anaerobic decomposition</w:t>
            </w:r>
          </w:p>
        </w:tc>
      </w:tr>
      <w:tr w:rsidR="007C259A" w:rsidRPr="00BD16B4" w14:paraId="71F6818D" w14:textId="77777777" w:rsidTr="00056D70">
        <w:tc>
          <w:tcPr>
            <w:tcW w:w="2977" w:type="dxa"/>
          </w:tcPr>
          <w:p w14:paraId="7CA4C93F" w14:textId="77777777" w:rsidR="007C259A" w:rsidRPr="00BD16B4" w:rsidRDefault="007C259A" w:rsidP="00F31129">
            <w:pPr>
              <w:pStyle w:val="TableText"/>
              <w:spacing w:before="40"/>
              <w:rPr>
                <w:rFonts w:cs="Calibri"/>
                <w:szCs w:val="18"/>
                <w:lang w:val="en-NZ"/>
              </w:rPr>
            </w:pPr>
            <w:r w:rsidRPr="00BD16B4">
              <w:rPr>
                <w:rFonts w:cs="Calibri"/>
                <w:szCs w:val="18"/>
                <w:lang w:val="en-NZ"/>
              </w:rPr>
              <w:t>Domestic wastewater</w:t>
            </w:r>
          </w:p>
        </w:tc>
        <w:tc>
          <w:tcPr>
            <w:tcW w:w="5528" w:type="dxa"/>
          </w:tcPr>
          <w:p w14:paraId="58C974E4" w14:textId="77777777" w:rsidR="007C259A" w:rsidRPr="00BD16B4" w:rsidRDefault="007C259A" w:rsidP="00F31129">
            <w:pPr>
              <w:pStyle w:val="TableText"/>
              <w:spacing w:before="40" w:after="0"/>
              <w:rPr>
                <w:rFonts w:cs="Calibri"/>
                <w:szCs w:val="18"/>
                <w:lang w:val="en-NZ"/>
              </w:rPr>
            </w:pPr>
            <w:r w:rsidRPr="00BD16B4">
              <w:rPr>
                <w:rFonts w:cs="Calibri"/>
                <w:szCs w:val="18"/>
                <w:lang w:val="en-NZ"/>
              </w:rPr>
              <w:t>Key driver: population</w:t>
            </w:r>
          </w:p>
          <w:p w14:paraId="4396242C"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Emissions are most sensitive to emission factors</w:t>
            </w:r>
          </w:p>
        </w:tc>
      </w:tr>
      <w:tr w:rsidR="007C259A" w:rsidRPr="00BD16B4" w14:paraId="3AC5EAD1" w14:textId="77777777" w:rsidTr="00056D70">
        <w:tc>
          <w:tcPr>
            <w:tcW w:w="2977" w:type="dxa"/>
          </w:tcPr>
          <w:p w14:paraId="18D4E8B3" w14:textId="77777777" w:rsidR="007C259A" w:rsidRPr="00BD16B4" w:rsidRDefault="007C259A" w:rsidP="00F31129">
            <w:pPr>
              <w:pStyle w:val="TableText"/>
              <w:spacing w:before="40"/>
              <w:rPr>
                <w:rFonts w:cs="Calibri"/>
                <w:szCs w:val="18"/>
                <w:lang w:val="en-NZ"/>
              </w:rPr>
            </w:pPr>
            <w:r w:rsidRPr="00BD16B4">
              <w:rPr>
                <w:rFonts w:cs="Calibri"/>
                <w:szCs w:val="18"/>
                <w:lang w:val="en-NZ"/>
              </w:rPr>
              <w:t>Industrial wastewater</w:t>
            </w:r>
          </w:p>
        </w:tc>
        <w:tc>
          <w:tcPr>
            <w:tcW w:w="5528" w:type="dxa"/>
          </w:tcPr>
          <w:p w14:paraId="3AEFD2D9" w14:textId="77777777" w:rsidR="007C259A" w:rsidRPr="00BD16B4" w:rsidRDefault="007C259A" w:rsidP="00F31129">
            <w:pPr>
              <w:pStyle w:val="TableText"/>
              <w:spacing w:before="40" w:after="0"/>
              <w:rPr>
                <w:rFonts w:cs="Calibri"/>
                <w:szCs w:val="18"/>
                <w:lang w:val="en-NZ"/>
              </w:rPr>
            </w:pPr>
            <w:r w:rsidRPr="00BD16B4">
              <w:rPr>
                <w:rFonts w:cs="Calibri"/>
                <w:szCs w:val="18"/>
                <w:lang w:val="en-NZ"/>
              </w:rPr>
              <w:t>Key driver: industry production</w:t>
            </w:r>
          </w:p>
          <w:p w14:paraId="1D78B509" w14:textId="77777777" w:rsidR="007C259A" w:rsidRPr="00BD16B4" w:rsidRDefault="007C259A" w:rsidP="00F31129">
            <w:pPr>
              <w:pStyle w:val="TableText"/>
              <w:spacing w:before="40" w:after="40"/>
              <w:rPr>
                <w:rFonts w:cs="Calibri"/>
                <w:szCs w:val="18"/>
                <w:lang w:val="en-NZ"/>
              </w:rPr>
            </w:pPr>
            <w:r w:rsidRPr="00BD16B4">
              <w:rPr>
                <w:rFonts w:cs="Calibri"/>
                <w:szCs w:val="18"/>
                <w:lang w:val="en-NZ"/>
              </w:rPr>
              <w:t>Emissions are most sensitive to emission factors</w:t>
            </w:r>
          </w:p>
        </w:tc>
      </w:tr>
    </w:tbl>
    <w:p w14:paraId="55CE37E1" w14:textId="77777777" w:rsidR="007C259A" w:rsidRPr="00BD16B4" w:rsidRDefault="007C259A" w:rsidP="004E1B8C">
      <w:pPr>
        <w:pStyle w:val="Heading4"/>
      </w:pPr>
      <w:r w:rsidRPr="00BD16B4">
        <w:t xml:space="preserve">Differences from the </w:t>
      </w:r>
      <w:r w:rsidRPr="00BD16B4">
        <w:rPr>
          <w:i/>
          <w:iCs/>
        </w:rPr>
        <w:t>Fourth Biennial Report</w:t>
      </w:r>
    </w:p>
    <w:p w14:paraId="6342986A" w14:textId="77777777" w:rsidR="007C259A" w:rsidRPr="00BD16B4" w:rsidRDefault="007C259A" w:rsidP="007C259A">
      <w:pPr>
        <w:pStyle w:val="BodyText"/>
        <w:spacing w:before="100" w:after="100"/>
      </w:pPr>
      <w:r w:rsidRPr="00BD16B4">
        <w:t xml:space="preserve">The most significant changes to the methodologies for calculating emissions from the waste </w:t>
      </w:r>
      <w:r w:rsidRPr="00BD16B4">
        <w:rPr>
          <w:spacing w:val="-2"/>
        </w:rPr>
        <w:t xml:space="preserve">sector since the </w:t>
      </w:r>
      <w:r w:rsidRPr="00BD16B4">
        <w:rPr>
          <w:i/>
          <w:iCs/>
          <w:spacing w:val="-2"/>
        </w:rPr>
        <w:t>Fourth Biennial Report</w:t>
      </w:r>
      <w:r w:rsidRPr="00BD16B4">
        <w:rPr>
          <w:rStyle w:val="FootnoteReference"/>
          <w:iCs/>
          <w:spacing w:val="-2"/>
        </w:rPr>
        <w:footnoteReference w:id="267"/>
      </w:r>
      <w:r w:rsidRPr="00BD16B4">
        <w:rPr>
          <w:iCs/>
          <w:spacing w:val="-2"/>
        </w:rPr>
        <w:t xml:space="preserve"> </w:t>
      </w:r>
      <w:r w:rsidRPr="00BD16B4">
        <w:rPr>
          <w:spacing w:val="-2"/>
        </w:rPr>
        <w:t>are in the methods for projecting solid waste volumes</w:t>
      </w:r>
      <w:r w:rsidRPr="00BD16B4">
        <w:t xml:space="preserve">. Managed solid waste projections are revised using the latest historical data, resulting in a decrease for that category due to the slowing in growth of waste disposal. Farm waste is now divided in half between open burning and landfilling, whereas previous projections assumed the overwhelming majority was buried. Further, non-municipal landfills (a type of unmanaged landfill) are now estimated from projected activity data rather than extrapolated emissions. </w:t>
      </w:r>
    </w:p>
    <w:p w14:paraId="6361ACF7" w14:textId="77777777" w:rsidR="003B7D3A" w:rsidRPr="00BD16B4" w:rsidRDefault="007C259A" w:rsidP="007C259A">
      <w:pPr>
        <w:pStyle w:val="BodyText"/>
        <w:spacing w:before="100" w:after="100"/>
      </w:pPr>
      <w:r w:rsidRPr="00BD16B4">
        <w:t xml:space="preserve">Because the waste sector projections use the same models as </w:t>
      </w:r>
      <w:r w:rsidRPr="00BD16B4">
        <w:rPr>
          <w:i/>
        </w:rPr>
        <w:t>New Zealand’s Greenhouse Gas Inventory 1990–2020</w:t>
      </w:r>
      <w:r w:rsidRPr="00BD16B4">
        <w:rPr>
          <w:iCs/>
        </w:rPr>
        <w:t>,</w:t>
      </w:r>
      <w:r w:rsidRPr="00BD16B4">
        <w:rPr>
          <w:rStyle w:val="FootnoteReference"/>
        </w:rPr>
        <w:footnoteReference w:id="268"/>
      </w:r>
      <w:r w:rsidRPr="00BD16B4">
        <w:t xml:space="preserve"> other improvements that have occurred in the </w:t>
      </w:r>
      <w:r w:rsidRPr="00BD16B4">
        <w:rPr>
          <w:iCs/>
        </w:rPr>
        <w:t>Inventory</w:t>
      </w:r>
      <w:r w:rsidRPr="00BD16B4">
        <w:t xml:space="preserve"> since the </w:t>
      </w:r>
      <w:r w:rsidRPr="00BD16B4">
        <w:rPr>
          <w:i/>
          <w:iCs/>
        </w:rPr>
        <w:t>Fourth Biennial Report</w:t>
      </w:r>
      <w:r w:rsidRPr="00BD16B4">
        <w:t xml:space="preserve"> are included in the models used for projections in the </w:t>
      </w:r>
      <w:r w:rsidRPr="00BD16B4">
        <w:rPr>
          <w:i/>
          <w:iCs/>
        </w:rPr>
        <w:t>Eighth National Communication</w:t>
      </w:r>
      <w:r w:rsidRPr="00BD16B4">
        <w:t xml:space="preserve"> and</w:t>
      </w:r>
      <w:r w:rsidRPr="00BD16B4">
        <w:rPr>
          <w:i/>
          <w:iCs/>
        </w:rPr>
        <w:t xml:space="preserve"> Fifth Biennial Report</w:t>
      </w:r>
      <w:r w:rsidRPr="00BD16B4">
        <w:t xml:space="preserve">. The most significant of these improvements are the changes to farm waste disposal (mentioned above) and also the revisions to composting activity data based on evidence. </w:t>
      </w:r>
    </w:p>
    <w:p w14:paraId="0CDE0702" w14:textId="57008B88" w:rsidR="007C259A" w:rsidRPr="00BD16B4" w:rsidRDefault="007C259A" w:rsidP="007C259A">
      <w:pPr>
        <w:pStyle w:val="BodyText"/>
        <w:spacing w:before="100" w:after="100"/>
      </w:pPr>
      <w:r w:rsidRPr="00BD16B4">
        <w:lastRenderedPageBreak/>
        <w:t xml:space="preserve">More details on these improvements can be found in chapter 10 of the following three versions of </w:t>
      </w:r>
      <w:r w:rsidRPr="00BD16B4">
        <w:rPr>
          <w:i/>
        </w:rPr>
        <w:t xml:space="preserve">New Zealand’s Greenhouse Gas Inventory </w:t>
      </w:r>
      <w:r w:rsidRPr="00BD16B4">
        <w:rPr>
          <w:iCs/>
        </w:rPr>
        <w:t>for</w:t>
      </w:r>
      <w:r w:rsidRPr="00BD16B4">
        <w:rPr>
          <w:i/>
        </w:rPr>
        <w:t xml:space="preserve"> </w:t>
      </w:r>
      <w:r w:rsidRPr="00BD16B4">
        <w:t>1990–2018,</w:t>
      </w:r>
      <w:r w:rsidRPr="00BD16B4">
        <w:rPr>
          <w:rStyle w:val="FootnoteReference"/>
        </w:rPr>
        <w:footnoteReference w:id="269"/>
      </w:r>
      <w:r w:rsidRPr="00BD16B4">
        <w:t xml:space="preserve"> 1990–2019</w:t>
      </w:r>
      <w:r w:rsidRPr="00BD16B4">
        <w:rPr>
          <w:rStyle w:val="FootnoteReference"/>
        </w:rPr>
        <w:footnoteReference w:id="270"/>
      </w:r>
      <w:r w:rsidRPr="00BD16B4">
        <w:rPr>
          <w:iCs/>
        </w:rPr>
        <w:t xml:space="preserve"> </w:t>
      </w:r>
      <w:r w:rsidRPr="00BD16B4">
        <w:t>and</w:t>
      </w:r>
      <w:r w:rsidR="003714F2" w:rsidRPr="00BD16B4">
        <w:t> </w:t>
      </w:r>
      <w:r w:rsidRPr="00BD16B4">
        <w:t>1990–2020</w:t>
      </w:r>
      <w:r w:rsidRPr="00BD16B4">
        <w:rPr>
          <w:iCs/>
        </w:rPr>
        <w:t>.</w:t>
      </w:r>
      <w:r w:rsidRPr="00BD16B4">
        <w:rPr>
          <w:rStyle w:val="FootnoteReference"/>
        </w:rPr>
        <w:footnoteReference w:id="271"/>
      </w:r>
    </w:p>
    <w:p w14:paraId="3CBF8BCD" w14:textId="77777777" w:rsidR="007C259A" w:rsidRPr="00BD16B4" w:rsidRDefault="007C259A" w:rsidP="007C259A">
      <w:pPr>
        <w:pStyle w:val="Heading3"/>
        <w:spacing w:before="320"/>
      </w:pPr>
      <w:r w:rsidRPr="00BD16B4">
        <w:t>5.5.7</w:t>
      </w:r>
      <w:r w:rsidRPr="00BD16B4">
        <w:tab/>
        <w:t>Tokelau</w:t>
      </w:r>
    </w:p>
    <w:p w14:paraId="1B631A88" w14:textId="77777777" w:rsidR="007C259A" w:rsidRPr="00BD16B4" w:rsidRDefault="007C259A" w:rsidP="007C259A">
      <w:pPr>
        <w:pStyle w:val="BodyText"/>
        <w:spacing w:before="100" w:after="100"/>
      </w:pPr>
      <w:r w:rsidRPr="00BD16B4">
        <w:t xml:space="preserve">This is the second biennial report to include emission projections for Tokelau. On 13 November 2017 New Zealand extended its ratification of the UNFCCC and the Paris Agreement to include Tokelau. Emissions estimates for Tokelau have been included in </w:t>
      </w:r>
      <w:r w:rsidRPr="00BD16B4">
        <w:rPr>
          <w:i/>
        </w:rPr>
        <w:t>New Zealand’s Greenhouse Gas Inventory</w:t>
      </w:r>
      <w:r w:rsidRPr="00BD16B4">
        <w:t xml:space="preserve"> since 2019. </w:t>
      </w:r>
    </w:p>
    <w:p w14:paraId="43FD8BD4" w14:textId="77777777" w:rsidR="007C259A" w:rsidRPr="00BD16B4" w:rsidRDefault="007C259A" w:rsidP="007C259A">
      <w:pPr>
        <w:pStyle w:val="BodyText"/>
        <w:spacing w:before="100" w:after="100"/>
      </w:pPr>
      <w:r w:rsidRPr="00BD16B4">
        <w:t>Including and refining Tokelau’s emissions calculations for New Zealand’s biennial reporting is a gradual process. As with inventory reporting, this requires building expert capacity in the various small government departments and organisations in Tokelau that participate in decision-making, data collection and processing.</w:t>
      </w:r>
    </w:p>
    <w:p w14:paraId="70EA153C" w14:textId="77777777" w:rsidR="007C259A" w:rsidRPr="00BD16B4" w:rsidRDefault="007C259A" w:rsidP="007C259A">
      <w:pPr>
        <w:pStyle w:val="BodyText"/>
        <w:spacing w:before="100" w:after="100"/>
      </w:pPr>
      <w:r w:rsidRPr="00BD16B4">
        <w:t>Between 1990 and 2020, Tokelau’s total emissions increased by 31.9 per cent, from 3.17 kt CO</w:t>
      </w:r>
      <w:r w:rsidRPr="00BD16B4">
        <w:rPr>
          <w:vertAlign w:val="subscript"/>
        </w:rPr>
        <w:t>2</w:t>
      </w:r>
      <w:r w:rsidRPr="00BD16B4">
        <w:t>-e to 4.18 kt CO</w:t>
      </w:r>
      <w:r w:rsidRPr="00BD16B4">
        <w:rPr>
          <w:vertAlign w:val="subscript"/>
        </w:rPr>
        <w:t>2</w:t>
      </w:r>
      <w:r w:rsidRPr="00BD16B4">
        <w:t xml:space="preserve">-e. The main contributors to this increase were domestic navigation and electricity generation. The changes in domestic navigation are a result of Tokelau gaining ownership and use of the ferry </w:t>
      </w:r>
      <w:r w:rsidRPr="00BD16B4">
        <w:rPr>
          <w:i/>
        </w:rPr>
        <w:t>Mataliki</w:t>
      </w:r>
      <w:r w:rsidRPr="00BD16B4">
        <w:t xml:space="preserve"> in 2016, cargo vessel </w:t>
      </w:r>
      <w:r w:rsidRPr="00BD16B4">
        <w:rPr>
          <w:i/>
        </w:rPr>
        <w:t>Kalopaga</w:t>
      </w:r>
      <w:r w:rsidRPr="00BD16B4">
        <w:t xml:space="preserve"> in 2018 and </w:t>
      </w:r>
      <w:r w:rsidRPr="00BD16B4">
        <w:rPr>
          <w:i/>
        </w:rPr>
        <w:t>Fetu o te Moana</w:t>
      </w:r>
      <w:r w:rsidRPr="00BD16B4">
        <w:t xml:space="preserve"> in 2019, leading to an increasing number of sea voyages between the atolls, which increased transport emissions.</w:t>
      </w:r>
    </w:p>
    <w:p w14:paraId="5F3D9B1A" w14:textId="77777777" w:rsidR="007C259A" w:rsidRPr="00BD16B4" w:rsidRDefault="007C259A" w:rsidP="007C259A">
      <w:pPr>
        <w:pStyle w:val="BodyText"/>
      </w:pPr>
      <w:r w:rsidRPr="00BD16B4">
        <w:t xml:space="preserve">Further changes in Tokelau’s energy sector emissions are a significant rise and then drop (by nearly 400 per cent and 82.5 per cent respectively) in consumption of imported petroleum products used for electricity production in Tokelau. The main driver underpinning this reported change was switching to a 100 per cent solar photovoltaics energy system by the end of 2012; a significant drop (nearly 82 per cent) in consumption of imported petroleum products for electricity production resulted. </w:t>
      </w:r>
    </w:p>
    <w:p w14:paraId="59741B78" w14:textId="77777777" w:rsidR="007C259A" w:rsidRPr="00BD16B4" w:rsidRDefault="007C259A" w:rsidP="007C259A">
      <w:pPr>
        <w:pStyle w:val="BodyText"/>
      </w:pPr>
      <w:r w:rsidRPr="00BD16B4">
        <w:t>Emissions of perfluorocarbons, sulphur hexafluoride</w:t>
      </w:r>
      <w:r w:rsidRPr="00BD16B4" w:rsidDel="002D38B5">
        <w:t xml:space="preserve"> </w:t>
      </w:r>
      <w:r w:rsidRPr="00BD16B4">
        <w:t>and nitrogen trifluoride</w:t>
      </w:r>
      <w:r w:rsidRPr="00BD16B4" w:rsidDel="002D38B5">
        <w:t xml:space="preserve"> </w:t>
      </w:r>
      <w:r w:rsidRPr="00BD16B4">
        <w:t>are not occurring in Tokelau.</w:t>
      </w:r>
    </w:p>
    <w:p w14:paraId="564EC16E" w14:textId="78448606" w:rsidR="007C259A" w:rsidRPr="00BD16B4" w:rsidRDefault="007C259A" w:rsidP="003714F2">
      <w:pPr>
        <w:pStyle w:val="BodyText"/>
      </w:pPr>
      <w:r w:rsidRPr="00BD16B4">
        <w:t>In 2030 total emissions from Tokelau are projected to be 3.51 kt CO</w:t>
      </w:r>
      <w:r w:rsidRPr="00BD16B4">
        <w:rPr>
          <w:vertAlign w:val="subscript"/>
        </w:rPr>
        <w:t>2</w:t>
      </w:r>
      <w:r w:rsidRPr="00BD16B4">
        <w:t>-e, and in 2035, 3.46</w:t>
      </w:r>
      <w:r w:rsidR="003714F2" w:rsidRPr="00BD16B4">
        <w:t> </w:t>
      </w:r>
      <w:r w:rsidRPr="00BD16B4">
        <w:t>kt</w:t>
      </w:r>
      <w:r w:rsidR="008E0DE7" w:rsidRPr="00BD16B4">
        <w:t xml:space="preserve"> </w:t>
      </w:r>
      <w:r w:rsidRPr="00BD16B4">
        <w:t>CO</w:t>
      </w:r>
      <w:r w:rsidRPr="00BD16B4">
        <w:rPr>
          <w:vertAlign w:val="subscript"/>
        </w:rPr>
        <w:t>2</w:t>
      </w:r>
      <w:r w:rsidRPr="00BD16B4">
        <w:noBreakHyphen/>
        <w:t xml:space="preserve">e. Table 5.28 and figure 5.9 present historical and projected emissions for Tokelau. </w:t>
      </w:r>
    </w:p>
    <w:p w14:paraId="265F75F3" w14:textId="77777777" w:rsidR="007C259A" w:rsidRPr="00BD16B4" w:rsidRDefault="007C259A" w:rsidP="00662412">
      <w:pPr>
        <w:pStyle w:val="Figureheading"/>
        <w:spacing w:after="0"/>
      </w:pPr>
      <w:bookmarkStart w:id="311" w:name="_Toc121494406"/>
      <w:r w:rsidRPr="00BD16B4">
        <w:rPr>
          <w:szCs w:val="20"/>
        </w:rPr>
        <w:lastRenderedPageBreak/>
        <w:t xml:space="preserve">Figure 5.9: </w:t>
      </w:r>
      <w:r w:rsidRPr="00BD16B4">
        <w:rPr>
          <w:szCs w:val="20"/>
        </w:rPr>
        <w:tab/>
        <w:t>Tokelau’s g</w:t>
      </w:r>
      <w:r w:rsidRPr="00BD16B4">
        <w:t>reenhouse gas emissions for the ‘with existing measures’ scenario,</w:t>
      </w:r>
      <w:r w:rsidRPr="00BD16B4">
        <w:br/>
        <w:t>1990–2035</w:t>
      </w:r>
      <w:bookmarkEnd w:id="311"/>
    </w:p>
    <w:p w14:paraId="373CAEB7" w14:textId="77777777" w:rsidR="007C259A" w:rsidRPr="00BD16B4" w:rsidRDefault="007C259A" w:rsidP="00120409">
      <w:pPr>
        <w:pStyle w:val="Note"/>
      </w:pPr>
      <w:r w:rsidRPr="00BD16B4">
        <w:rPr>
          <w:noProof/>
        </w:rPr>
        <w:drawing>
          <wp:inline distT="0" distB="0" distL="0" distR="0" wp14:anchorId="043A4D52" wp14:editId="5F8AA358">
            <wp:extent cx="5158596" cy="2892472"/>
            <wp:effectExtent l="0" t="0" r="0" b="0"/>
            <wp:docPr id="50" name="Chart 50">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BD16B4" w:rsidDel="0080493A">
        <w:t xml:space="preserve"> </w:t>
      </w:r>
    </w:p>
    <w:p w14:paraId="2E07683D" w14:textId="77777777" w:rsidR="007C259A" w:rsidRPr="00BD16B4" w:rsidRDefault="007C259A" w:rsidP="005B0A5C">
      <w:pPr>
        <w:pStyle w:val="Note"/>
        <w:spacing w:before="80"/>
      </w:pPr>
      <w:r w:rsidRPr="00BD16B4">
        <w:rPr>
          <w:b/>
          <w:bCs/>
        </w:rPr>
        <w:t>Note:</w:t>
      </w:r>
      <w:r w:rsidRPr="00BD16B4">
        <w:t xml:space="preserve"> Mt CO</w:t>
      </w:r>
      <w:r w:rsidRPr="00BD16B4">
        <w:rPr>
          <w:vertAlign w:val="subscript"/>
        </w:rPr>
        <w:t>2</w:t>
      </w:r>
      <w:r w:rsidRPr="00BD16B4">
        <w:t>-e = megatonnes of carbon dioxide equivalent. Tokelau does not have WOM and WAM scenarios.</w:t>
      </w:r>
    </w:p>
    <w:p w14:paraId="6D36CA1E" w14:textId="77777777" w:rsidR="007C259A" w:rsidRPr="00BD16B4" w:rsidRDefault="007C259A" w:rsidP="00BB7302">
      <w:pPr>
        <w:pStyle w:val="Tableheading"/>
      </w:pPr>
      <w:bookmarkStart w:id="312" w:name="_Toc121773818"/>
      <w:r w:rsidRPr="00BD16B4">
        <w:rPr>
          <w:szCs w:val="20"/>
        </w:rPr>
        <w:t xml:space="preserve">Table 5.28: </w:t>
      </w:r>
      <w:r w:rsidRPr="00BD16B4">
        <w:rPr>
          <w:szCs w:val="20"/>
        </w:rPr>
        <w:tab/>
      </w:r>
      <w:r w:rsidRPr="00BD16B4">
        <w:t>Tokelau’s gross greenhouse gas emissions by gas, 1990–2035 (kt CO</w:t>
      </w:r>
      <w:r w:rsidRPr="00BD16B4">
        <w:rPr>
          <w:vertAlign w:val="subscript"/>
        </w:rPr>
        <w:t>2</w:t>
      </w:r>
      <w:r w:rsidRPr="00BD16B4">
        <w:t>-e)</w:t>
      </w:r>
      <w:bookmarkEnd w:id="312"/>
    </w:p>
    <w:tbl>
      <w:tblPr>
        <w:tblStyle w:val="TableGrid1"/>
        <w:tblW w:w="8505" w:type="dxa"/>
        <w:tblInd w:w="113" w:type="dxa"/>
        <w:tblLayout w:type="fixed"/>
        <w:tblLook w:val="04A0" w:firstRow="1" w:lastRow="0" w:firstColumn="1" w:lastColumn="0" w:noHBand="0" w:noVBand="1"/>
      </w:tblPr>
      <w:tblGrid>
        <w:gridCol w:w="1278"/>
        <w:gridCol w:w="722"/>
        <w:gridCol w:w="812"/>
        <w:gridCol w:w="668"/>
        <w:gridCol w:w="668"/>
        <w:gridCol w:w="668"/>
        <w:gridCol w:w="668"/>
        <w:gridCol w:w="754"/>
        <w:gridCol w:w="726"/>
        <w:gridCol w:w="709"/>
        <w:gridCol w:w="832"/>
      </w:tblGrid>
      <w:tr w:rsidR="007C259A" w:rsidRPr="00BD16B4" w14:paraId="6E8AA3E1" w14:textId="77777777" w:rsidTr="005B0A5C">
        <w:tc>
          <w:tcPr>
            <w:tcW w:w="751" w:type="pct"/>
            <w:shd w:val="clear" w:color="auto" w:fill="1B556B" w:themeFill="text2"/>
            <w:hideMark/>
          </w:tcPr>
          <w:p w14:paraId="69F4D88F" w14:textId="77777777" w:rsidR="007C259A" w:rsidRPr="00BD16B4" w:rsidRDefault="007C259A" w:rsidP="004C6BD6">
            <w:pPr>
              <w:pStyle w:val="TableTextBold0"/>
              <w:spacing w:before="40" w:after="0"/>
              <w:jc w:val="center"/>
              <w:rPr>
                <w:b w:val="0"/>
                <w:bCs/>
                <w:color w:val="FFFFFF" w:themeColor="background1"/>
                <w:szCs w:val="18"/>
                <w:lang w:val="en-NZ"/>
              </w:rPr>
            </w:pPr>
          </w:p>
        </w:tc>
        <w:tc>
          <w:tcPr>
            <w:tcW w:w="2915" w:type="pct"/>
            <w:gridSpan w:val="7"/>
            <w:shd w:val="clear" w:color="auto" w:fill="1B556B" w:themeFill="text2"/>
          </w:tcPr>
          <w:p w14:paraId="7124C2EF" w14:textId="77777777" w:rsidR="007C259A" w:rsidRPr="00BD16B4" w:rsidRDefault="007C259A" w:rsidP="004C6BD6">
            <w:pPr>
              <w:pStyle w:val="TableTextBold0"/>
              <w:spacing w:before="40" w:after="0"/>
              <w:jc w:val="center"/>
              <w:rPr>
                <w:b w:val="0"/>
                <w:bCs/>
                <w:color w:val="FFFFFF" w:themeColor="background1"/>
                <w:szCs w:val="18"/>
                <w:lang w:val="en-NZ"/>
              </w:rPr>
            </w:pPr>
            <w:r w:rsidRPr="00BD16B4">
              <w:rPr>
                <w:color w:val="FFFFFF" w:themeColor="background1"/>
                <w:szCs w:val="18"/>
                <w:lang w:val="en-NZ"/>
              </w:rPr>
              <w:t>Historical</w:t>
            </w:r>
          </w:p>
        </w:tc>
        <w:tc>
          <w:tcPr>
            <w:tcW w:w="1333" w:type="pct"/>
            <w:gridSpan w:val="3"/>
            <w:shd w:val="clear" w:color="auto" w:fill="1B556B" w:themeFill="text2"/>
          </w:tcPr>
          <w:p w14:paraId="2A5734A0" w14:textId="77777777" w:rsidR="007C259A" w:rsidRPr="00BD16B4" w:rsidRDefault="007C259A" w:rsidP="004C6BD6">
            <w:pPr>
              <w:pStyle w:val="TableTextBold0"/>
              <w:spacing w:before="40" w:after="0"/>
              <w:jc w:val="center"/>
              <w:rPr>
                <w:b w:val="0"/>
                <w:color w:val="FFFFFF" w:themeColor="background1"/>
                <w:szCs w:val="18"/>
                <w:lang w:val="en-NZ"/>
              </w:rPr>
            </w:pPr>
            <w:r w:rsidRPr="00BD16B4">
              <w:rPr>
                <w:color w:val="FFFFFF" w:themeColor="background1"/>
                <w:szCs w:val="18"/>
                <w:lang w:val="en-NZ"/>
              </w:rPr>
              <w:t>Projected</w:t>
            </w:r>
          </w:p>
        </w:tc>
      </w:tr>
      <w:tr w:rsidR="007C259A" w:rsidRPr="00BD16B4" w14:paraId="5350F984" w14:textId="77777777" w:rsidTr="005B0A5C">
        <w:tc>
          <w:tcPr>
            <w:tcW w:w="751" w:type="pct"/>
            <w:shd w:val="clear" w:color="auto" w:fill="1B556B" w:themeFill="text2"/>
            <w:hideMark/>
          </w:tcPr>
          <w:p w14:paraId="57BDF30F" w14:textId="77777777" w:rsidR="007C259A" w:rsidRPr="00BD16B4" w:rsidRDefault="007C259A" w:rsidP="004C6BD6">
            <w:pPr>
              <w:pStyle w:val="TableTextBold0"/>
              <w:spacing w:before="0" w:after="40"/>
              <w:rPr>
                <w:b w:val="0"/>
                <w:color w:val="FFFFFF" w:themeColor="background1"/>
                <w:szCs w:val="18"/>
                <w:lang w:val="en-NZ"/>
              </w:rPr>
            </w:pPr>
            <w:r w:rsidRPr="00BD16B4">
              <w:rPr>
                <w:color w:val="FFFFFF" w:themeColor="background1"/>
                <w:szCs w:val="18"/>
                <w:lang w:val="en-NZ"/>
              </w:rPr>
              <w:t>Gas</w:t>
            </w:r>
          </w:p>
        </w:tc>
        <w:tc>
          <w:tcPr>
            <w:tcW w:w="424" w:type="pct"/>
            <w:shd w:val="clear" w:color="auto" w:fill="1B556B" w:themeFill="text2"/>
            <w:hideMark/>
          </w:tcPr>
          <w:p w14:paraId="2D227E43" w14:textId="77777777" w:rsidR="007C259A" w:rsidRPr="00BD16B4" w:rsidRDefault="007C259A" w:rsidP="004C6BD6">
            <w:pPr>
              <w:pStyle w:val="TableTextBold0"/>
              <w:spacing w:before="0" w:after="40"/>
              <w:jc w:val="center"/>
              <w:rPr>
                <w:color w:val="FFFFFF" w:themeColor="background1"/>
                <w:szCs w:val="18"/>
                <w:lang w:val="en-NZ"/>
              </w:rPr>
            </w:pPr>
            <w:r w:rsidRPr="00BD16B4">
              <w:rPr>
                <w:color w:val="FFFFFF" w:themeColor="background1"/>
                <w:szCs w:val="18"/>
                <w:lang w:val="en-NZ"/>
              </w:rPr>
              <w:t>1990</w:t>
            </w:r>
          </w:p>
        </w:tc>
        <w:tc>
          <w:tcPr>
            <w:tcW w:w="477" w:type="pct"/>
            <w:shd w:val="clear" w:color="auto" w:fill="1B556B" w:themeFill="text2"/>
            <w:hideMark/>
          </w:tcPr>
          <w:p w14:paraId="1F5294D4" w14:textId="77777777" w:rsidR="007C259A" w:rsidRPr="00BD16B4" w:rsidRDefault="007C259A" w:rsidP="004C6BD6">
            <w:pPr>
              <w:pStyle w:val="TableTextBold0"/>
              <w:spacing w:before="0" w:after="40"/>
              <w:jc w:val="center"/>
              <w:rPr>
                <w:color w:val="FFFFFF" w:themeColor="background1"/>
                <w:szCs w:val="18"/>
                <w:lang w:val="en-NZ"/>
              </w:rPr>
            </w:pPr>
            <w:r w:rsidRPr="00BD16B4">
              <w:rPr>
                <w:color w:val="FFFFFF" w:themeColor="background1"/>
                <w:szCs w:val="18"/>
                <w:lang w:val="en-NZ"/>
              </w:rPr>
              <w:t>1995</w:t>
            </w:r>
          </w:p>
        </w:tc>
        <w:tc>
          <w:tcPr>
            <w:tcW w:w="393" w:type="pct"/>
            <w:shd w:val="clear" w:color="auto" w:fill="1B556B" w:themeFill="text2"/>
            <w:hideMark/>
          </w:tcPr>
          <w:p w14:paraId="3E243D3E" w14:textId="77777777" w:rsidR="007C259A" w:rsidRPr="00BD16B4" w:rsidRDefault="007C259A" w:rsidP="004C6BD6">
            <w:pPr>
              <w:pStyle w:val="TableTextBold0"/>
              <w:spacing w:before="0" w:after="40"/>
              <w:jc w:val="center"/>
              <w:rPr>
                <w:color w:val="FFFFFF" w:themeColor="background1"/>
                <w:szCs w:val="18"/>
                <w:lang w:val="en-NZ"/>
              </w:rPr>
            </w:pPr>
            <w:r w:rsidRPr="00BD16B4">
              <w:rPr>
                <w:color w:val="FFFFFF" w:themeColor="background1"/>
                <w:szCs w:val="18"/>
                <w:lang w:val="en-NZ"/>
              </w:rPr>
              <w:t>2000</w:t>
            </w:r>
          </w:p>
        </w:tc>
        <w:tc>
          <w:tcPr>
            <w:tcW w:w="393" w:type="pct"/>
            <w:shd w:val="clear" w:color="auto" w:fill="1B556B" w:themeFill="text2"/>
            <w:hideMark/>
          </w:tcPr>
          <w:p w14:paraId="0F4E3E28" w14:textId="77777777" w:rsidR="007C259A" w:rsidRPr="00BD16B4" w:rsidRDefault="007C259A" w:rsidP="004C6BD6">
            <w:pPr>
              <w:pStyle w:val="TableTextBold0"/>
              <w:spacing w:before="0" w:after="40"/>
              <w:jc w:val="center"/>
              <w:rPr>
                <w:color w:val="FFFFFF" w:themeColor="background1"/>
                <w:szCs w:val="18"/>
                <w:lang w:val="en-NZ"/>
              </w:rPr>
            </w:pPr>
            <w:r w:rsidRPr="00BD16B4">
              <w:rPr>
                <w:color w:val="FFFFFF" w:themeColor="background1"/>
                <w:szCs w:val="18"/>
                <w:lang w:val="en-NZ"/>
              </w:rPr>
              <w:t>2005</w:t>
            </w:r>
          </w:p>
        </w:tc>
        <w:tc>
          <w:tcPr>
            <w:tcW w:w="393" w:type="pct"/>
            <w:shd w:val="clear" w:color="auto" w:fill="1B556B" w:themeFill="text2"/>
            <w:hideMark/>
          </w:tcPr>
          <w:p w14:paraId="47B334B6" w14:textId="77777777" w:rsidR="007C259A" w:rsidRPr="00BD16B4" w:rsidRDefault="007C259A" w:rsidP="004C6BD6">
            <w:pPr>
              <w:pStyle w:val="TableTextBold0"/>
              <w:spacing w:before="0" w:after="40"/>
              <w:jc w:val="center"/>
              <w:rPr>
                <w:color w:val="FFFFFF" w:themeColor="background1"/>
                <w:szCs w:val="18"/>
                <w:lang w:val="en-NZ"/>
              </w:rPr>
            </w:pPr>
            <w:r w:rsidRPr="00BD16B4">
              <w:rPr>
                <w:color w:val="FFFFFF" w:themeColor="background1"/>
                <w:szCs w:val="18"/>
                <w:lang w:val="en-NZ"/>
              </w:rPr>
              <w:t>2010</w:t>
            </w:r>
          </w:p>
        </w:tc>
        <w:tc>
          <w:tcPr>
            <w:tcW w:w="393" w:type="pct"/>
            <w:shd w:val="clear" w:color="auto" w:fill="1B556B" w:themeFill="text2"/>
            <w:hideMark/>
          </w:tcPr>
          <w:p w14:paraId="40F9FC17" w14:textId="77777777" w:rsidR="007C259A" w:rsidRPr="00BD16B4" w:rsidRDefault="007C259A" w:rsidP="004C6BD6">
            <w:pPr>
              <w:pStyle w:val="TableTextBold0"/>
              <w:spacing w:before="0" w:after="40"/>
              <w:jc w:val="center"/>
              <w:rPr>
                <w:color w:val="FFFFFF" w:themeColor="background1"/>
                <w:szCs w:val="18"/>
                <w:lang w:val="en-NZ"/>
              </w:rPr>
            </w:pPr>
            <w:r w:rsidRPr="00BD16B4">
              <w:rPr>
                <w:color w:val="FFFFFF" w:themeColor="background1"/>
                <w:szCs w:val="18"/>
                <w:lang w:val="en-NZ"/>
              </w:rPr>
              <w:t>2015</w:t>
            </w:r>
          </w:p>
        </w:tc>
        <w:tc>
          <w:tcPr>
            <w:tcW w:w="443" w:type="pct"/>
            <w:shd w:val="clear" w:color="auto" w:fill="1B556B" w:themeFill="text2"/>
            <w:hideMark/>
          </w:tcPr>
          <w:p w14:paraId="5148CD41" w14:textId="77777777" w:rsidR="007C259A" w:rsidRPr="00BD16B4" w:rsidRDefault="007C259A" w:rsidP="004C6BD6">
            <w:pPr>
              <w:pStyle w:val="TableTextBold0"/>
              <w:spacing w:before="0" w:after="40"/>
              <w:jc w:val="center"/>
              <w:rPr>
                <w:color w:val="FFFFFF" w:themeColor="background1"/>
                <w:szCs w:val="18"/>
                <w:lang w:val="en-NZ"/>
              </w:rPr>
            </w:pPr>
            <w:r w:rsidRPr="00BD16B4">
              <w:rPr>
                <w:color w:val="FFFFFF" w:themeColor="background1"/>
                <w:szCs w:val="18"/>
                <w:lang w:val="en-NZ"/>
              </w:rPr>
              <w:t>2020</w:t>
            </w:r>
          </w:p>
        </w:tc>
        <w:tc>
          <w:tcPr>
            <w:tcW w:w="427" w:type="pct"/>
            <w:tcBorders>
              <w:bottom w:val="single" w:sz="4" w:space="0" w:color="1B556B" w:themeColor="text2"/>
            </w:tcBorders>
            <w:shd w:val="clear" w:color="auto" w:fill="1B556B" w:themeFill="text2"/>
            <w:hideMark/>
          </w:tcPr>
          <w:p w14:paraId="70F71AB7" w14:textId="77777777" w:rsidR="007C259A" w:rsidRPr="00BD16B4" w:rsidRDefault="007C259A" w:rsidP="004C6BD6">
            <w:pPr>
              <w:pStyle w:val="TableTextBold0"/>
              <w:spacing w:before="0" w:after="40"/>
              <w:jc w:val="center"/>
              <w:rPr>
                <w:color w:val="FFFFFF" w:themeColor="background1"/>
                <w:szCs w:val="18"/>
                <w:lang w:val="en-NZ"/>
              </w:rPr>
            </w:pPr>
            <w:r w:rsidRPr="00BD16B4">
              <w:rPr>
                <w:color w:val="FFFFFF" w:themeColor="background1"/>
                <w:szCs w:val="18"/>
                <w:lang w:val="en-NZ"/>
              </w:rPr>
              <w:t>2025</w:t>
            </w:r>
          </w:p>
        </w:tc>
        <w:tc>
          <w:tcPr>
            <w:tcW w:w="417" w:type="pct"/>
            <w:tcBorders>
              <w:bottom w:val="single" w:sz="4" w:space="0" w:color="1B556B" w:themeColor="text2"/>
            </w:tcBorders>
            <w:shd w:val="clear" w:color="auto" w:fill="1B556B" w:themeFill="text2"/>
            <w:hideMark/>
          </w:tcPr>
          <w:p w14:paraId="52C8D218" w14:textId="77777777" w:rsidR="007C259A" w:rsidRPr="00BD16B4" w:rsidRDefault="007C259A" w:rsidP="004C6BD6">
            <w:pPr>
              <w:pStyle w:val="TableTextBold0"/>
              <w:spacing w:before="0" w:after="40"/>
              <w:jc w:val="center"/>
              <w:rPr>
                <w:color w:val="FFFFFF" w:themeColor="background1"/>
                <w:szCs w:val="18"/>
                <w:lang w:val="en-NZ"/>
              </w:rPr>
            </w:pPr>
            <w:r w:rsidRPr="00BD16B4">
              <w:rPr>
                <w:color w:val="FFFFFF" w:themeColor="background1"/>
                <w:szCs w:val="18"/>
                <w:lang w:val="en-NZ"/>
              </w:rPr>
              <w:t>2030</w:t>
            </w:r>
          </w:p>
        </w:tc>
        <w:tc>
          <w:tcPr>
            <w:tcW w:w="489" w:type="pct"/>
            <w:tcBorders>
              <w:bottom w:val="single" w:sz="4" w:space="0" w:color="1B556B" w:themeColor="text2"/>
            </w:tcBorders>
            <w:shd w:val="clear" w:color="auto" w:fill="1B556B" w:themeFill="text2"/>
            <w:hideMark/>
          </w:tcPr>
          <w:p w14:paraId="7D30C70B" w14:textId="77777777" w:rsidR="007C259A" w:rsidRPr="00BD16B4" w:rsidRDefault="007C259A" w:rsidP="004C6BD6">
            <w:pPr>
              <w:pStyle w:val="TableTextBold0"/>
              <w:spacing w:before="0" w:after="40"/>
              <w:jc w:val="center"/>
              <w:rPr>
                <w:color w:val="FFFFFF" w:themeColor="background1"/>
                <w:szCs w:val="18"/>
                <w:lang w:val="en-NZ"/>
              </w:rPr>
            </w:pPr>
            <w:r w:rsidRPr="00BD16B4">
              <w:rPr>
                <w:color w:val="FFFFFF" w:themeColor="background1"/>
                <w:szCs w:val="18"/>
                <w:lang w:val="en-NZ"/>
              </w:rPr>
              <w:t>2035</w:t>
            </w:r>
          </w:p>
        </w:tc>
      </w:tr>
      <w:tr w:rsidR="007C259A" w:rsidRPr="00BD16B4" w14:paraId="19B507A7" w14:textId="77777777" w:rsidTr="005B0A5C">
        <w:tc>
          <w:tcPr>
            <w:tcW w:w="751" w:type="pct"/>
          </w:tcPr>
          <w:p w14:paraId="648114FE" w14:textId="77777777" w:rsidR="007C259A" w:rsidRPr="00BD16B4" w:rsidRDefault="007C259A" w:rsidP="004C6BD6">
            <w:pPr>
              <w:pStyle w:val="TableText"/>
              <w:spacing w:before="30" w:after="30"/>
              <w:rPr>
                <w:rFonts w:cs="Calibri"/>
                <w:szCs w:val="18"/>
                <w:lang w:val="en-NZ"/>
              </w:rPr>
            </w:pPr>
            <w:r w:rsidRPr="00BD16B4">
              <w:rPr>
                <w:rFonts w:cs="Calibri"/>
                <w:szCs w:val="18"/>
                <w:lang w:val="en-NZ"/>
              </w:rPr>
              <w:t>CO</w:t>
            </w:r>
            <w:r w:rsidRPr="00BD16B4">
              <w:rPr>
                <w:rFonts w:cs="Calibri"/>
                <w:szCs w:val="18"/>
                <w:vertAlign w:val="subscript"/>
                <w:lang w:val="en-NZ"/>
              </w:rPr>
              <w:t>2</w:t>
            </w:r>
          </w:p>
        </w:tc>
        <w:tc>
          <w:tcPr>
            <w:tcW w:w="424" w:type="pct"/>
          </w:tcPr>
          <w:p w14:paraId="470F3E86"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1.30</w:t>
            </w:r>
          </w:p>
        </w:tc>
        <w:tc>
          <w:tcPr>
            <w:tcW w:w="477" w:type="pct"/>
          </w:tcPr>
          <w:p w14:paraId="2EDE63E3"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1.38</w:t>
            </w:r>
          </w:p>
        </w:tc>
        <w:tc>
          <w:tcPr>
            <w:tcW w:w="393" w:type="pct"/>
          </w:tcPr>
          <w:p w14:paraId="24AAC0B3"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1.45</w:t>
            </w:r>
          </w:p>
        </w:tc>
        <w:tc>
          <w:tcPr>
            <w:tcW w:w="393" w:type="pct"/>
          </w:tcPr>
          <w:p w14:paraId="45AF6693"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2.45</w:t>
            </w:r>
          </w:p>
        </w:tc>
        <w:tc>
          <w:tcPr>
            <w:tcW w:w="393" w:type="pct"/>
          </w:tcPr>
          <w:p w14:paraId="74FEDD2E"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2.52</w:t>
            </w:r>
          </w:p>
        </w:tc>
        <w:tc>
          <w:tcPr>
            <w:tcW w:w="393" w:type="pct"/>
          </w:tcPr>
          <w:p w14:paraId="70782E5C"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1.63</w:t>
            </w:r>
          </w:p>
        </w:tc>
        <w:tc>
          <w:tcPr>
            <w:tcW w:w="443" w:type="pct"/>
          </w:tcPr>
          <w:p w14:paraId="4D977AFA"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2.42</w:t>
            </w:r>
          </w:p>
        </w:tc>
        <w:tc>
          <w:tcPr>
            <w:tcW w:w="427" w:type="pct"/>
            <w:shd w:val="clear" w:color="auto" w:fill="D2DDE1" w:themeFill="background2"/>
          </w:tcPr>
          <w:p w14:paraId="4755B6E4"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2.42</w:t>
            </w:r>
          </w:p>
        </w:tc>
        <w:tc>
          <w:tcPr>
            <w:tcW w:w="417" w:type="pct"/>
            <w:shd w:val="clear" w:color="auto" w:fill="D2DDE1" w:themeFill="background2"/>
          </w:tcPr>
          <w:p w14:paraId="3E561C26"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2.00</w:t>
            </w:r>
          </w:p>
        </w:tc>
        <w:tc>
          <w:tcPr>
            <w:tcW w:w="489" w:type="pct"/>
            <w:shd w:val="clear" w:color="auto" w:fill="D2DDE1" w:themeFill="background2"/>
          </w:tcPr>
          <w:p w14:paraId="0882B70C"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2.17</w:t>
            </w:r>
          </w:p>
        </w:tc>
      </w:tr>
      <w:tr w:rsidR="007C259A" w:rsidRPr="00BD16B4" w14:paraId="12AAF9F4" w14:textId="77777777" w:rsidTr="005B0A5C">
        <w:tc>
          <w:tcPr>
            <w:tcW w:w="751" w:type="pct"/>
          </w:tcPr>
          <w:p w14:paraId="50F33F4C" w14:textId="77777777" w:rsidR="007C259A" w:rsidRPr="00BD16B4" w:rsidRDefault="007C259A" w:rsidP="004C6BD6">
            <w:pPr>
              <w:pStyle w:val="TableText"/>
              <w:spacing w:before="30" w:after="30"/>
              <w:rPr>
                <w:rFonts w:cs="Calibri"/>
                <w:szCs w:val="18"/>
                <w:lang w:val="en-NZ"/>
              </w:rPr>
            </w:pPr>
            <w:r w:rsidRPr="00BD16B4">
              <w:rPr>
                <w:rFonts w:cs="Calibri"/>
                <w:szCs w:val="18"/>
                <w:lang w:val="en-NZ"/>
              </w:rPr>
              <w:t>CH</w:t>
            </w:r>
            <w:r w:rsidRPr="00BD16B4">
              <w:rPr>
                <w:rFonts w:cs="Calibri"/>
                <w:szCs w:val="18"/>
                <w:vertAlign w:val="subscript"/>
                <w:lang w:val="en-NZ"/>
              </w:rPr>
              <w:t>4</w:t>
            </w:r>
          </w:p>
        </w:tc>
        <w:tc>
          <w:tcPr>
            <w:tcW w:w="424" w:type="pct"/>
          </w:tcPr>
          <w:p w14:paraId="1ED03834"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1.78</w:t>
            </w:r>
          </w:p>
        </w:tc>
        <w:tc>
          <w:tcPr>
            <w:tcW w:w="477" w:type="pct"/>
          </w:tcPr>
          <w:p w14:paraId="3508E474"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1.69</w:t>
            </w:r>
          </w:p>
        </w:tc>
        <w:tc>
          <w:tcPr>
            <w:tcW w:w="393" w:type="pct"/>
          </w:tcPr>
          <w:p w14:paraId="31310D82"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1.95</w:t>
            </w:r>
          </w:p>
        </w:tc>
        <w:tc>
          <w:tcPr>
            <w:tcW w:w="393" w:type="pct"/>
          </w:tcPr>
          <w:p w14:paraId="41E00620"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1.93</w:t>
            </w:r>
          </w:p>
        </w:tc>
        <w:tc>
          <w:tcPr>
            <w:tcW w:w="393" w:type="pct"/>
          </w:tcPr>
          <w:p w14:paraId="4A57C18E"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1.81</w:t>
            </w:r>
          </w:p>
        </w:tc>
        <w:tc>
          <w:tcPr>
            <w:tcW w:w="393" w:type="pct"/>
          </w:tcPr>
          <w:p w14:paraId="23A94CD0"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1.53</w:t>
            </w:r>
          </w:p>
        </w:tc>
        <w:tc>
          <w:tcPr>
            <w:tcW w:w="443" w:type="pct"/>
          </w:tcPr>
          <w:p w14:paraId="30F49471"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1.48</w:t>
            </w:r>
          </w:p>
        </w:tc>
        <w:tc>
          <w:tcPr>
            <w:tcW w:w="427" w:type="pct"/>
            <w:shd w:val="clear" w:color="auto" w:fill="D2DDE1" w:themeFill="background2"/>
          </w:tcPr>
          <w:p w14:paraId="31EF7477"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1.28</w:t>
            </w:r>
          </w:p>
        </w:tc>
        <w:tc>
          <w:tcPr>
            <w:tcW w:w="417" w:type="pct"/>
            <w:shd w:val="clear" w:color="auto" w:fill="D2DDE1" w:themeFill="background2"/>
          </w:tcPr>
          <w:p w14:paraId="4A53C2A9"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1.15</w:t>
            </w:r>
          </w:p>
        </w:tc>
        <w:tc>
          <w:tcPr>
            <w:tcW w:w="489" w:type="pct"/>
            <w:shd w:val="clear" w:color="auto" w:fill="D2DDE1" w:themeFill="background2"/>
          </w:tcPr>
          <w:p w14:paraId="0A5FA789"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1.01</w:t>
            </w:r>
          </w:p>
        </w:tc>
      </w:tr>
      <w:tr w:rsidR="007C259A" w:rsidRPr="00BD16B4" w14:paraId="2E833D2B" w14:textId="77777777" w:rsidTr="005B0A5C">
        <w:tc>
          <w:tcPr>
            <w:tcW w:w="751" w:type="pct"/>
          </w:tcPr>
          <w:p w14:paraId="4443CE8C" w14:textId="77777777" w:rsidR="007C259A" w:rsidRPr="00BD16B4" w:rsidRDefault="007C259A" w:rsidP="004C6BD6">
            <w:pPr>
              <w:pStyle w:val="TableText"/>
              <w:spacing w:before="30" w:after="30"/>
              <w:rPr>
                <w:rFonts w:cs="Calibri"/>
                <w:szCs w:val="18"/>
                <w:lang w:val="en-NZ"/>
              </w:rPr>
            </w:pPr>
            <w:r w:rsidRPr="00BD16B4">
              <w:rPr>
                <w:rFonts w:cs="Calibri"/>
                <w:szCs w:val="18"/>
                <w:lang w:val="en-NZ"/>
              </w:rPr>
              <w:t>N</w:t>
            </w:r>
            <w:r w:rsidRPr="00BD16B4">
              <w:rPr>
                <w:rFonts w:cs="Calibri"/>
                <w:szCs w:val="18"/>
                <w:vertAlign w:val="subscript"/>
                <w:lang w:val="en-NZ"/>
              </w:rPr>
              <w:t>2</w:t>
            </w:r>
            <w:r w:rsidRPr="00BD16B4">
              <w:rPr>
                <w:rFonts w:cs="Calibri"/>
                <w:szCs w:val="18"/>
                <w:lang w:val="en-NZ"/>
              </w:rPr>
              <w:t>O</w:t>
            </w:r>
          </w:p>
        </w:tc>
        <w:tc>
          <w:tcPr>
            <w:tcW w:w="424" w:type="pct"/>
          </w:tcPr>
          <w:p w14:paraId="7857A094"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0.09</w:t>
            </w:r>
          </w:p>
        </w:tc>
        <w:tc>
          <w:tcPr>
            <w:tcW w:w="477" w:type="pct"/>
          </w:tcPr>
          <w:p w14:paraId="54B85828"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0.07</w:t>
            </w:r>
          </w:p>
        </w:tc>
        <w:tc>
          <w:tcPr>
            <w:tcW w:w="393" w:type="pct"/>
          </w:tcPr>
          <w:p w14:paraId="3F1AE341"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0.05</w:t>
            </w:r>
          </w:p>
        </w:tc>
        <w:tc>
          <w:tcPr>
            <w:tcW w:w="393" w:type="pct"/>
          </w:tcPr>
          <w:p w14:paraId="058CFD99"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0.04</w:t>
            </w:r>
          </w:p>
        </w:tc>
        <w:tc>
          <w:tcPr>
            <w:tcW w:w="393" w:type="pct"/>
          </w:tcPr>
          <w:p w14:paraId="0CE986EA"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0.04</w:t>
            </w:r>
          </w:p>
        </w:tc>
        <w:tc>
          <w:tcPr>
            <w:tcW w:w="393" w:type="pct"/>
          </w:tcPr>
          <w:p w14:paraId="75E9788D"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0.04</w:t>
            </w:r>
          </w:p>
        </w:tc>
        <w:tc>
          <w:tcPr>
            <w:tcW w:w="443" w:type="pct"/>
          </w:tcPr>
          <w:p w14:paraId="18C2A63F"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0.05</w:t>
            </w:r>
          </w:p>
        </w:tc>
        <w:tc>
          <w:tcPr>
            <w:tcW w:w="427" w:type="pct"/>
            <w:shd w:val="clear" w:color="auto" w:fill="D2DDE1" w:themeFill="background2"/>
          </w:tcPr>
          <w:p w14:paraId="7E707D73"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0.04</w:t>
            </w:r>
          </w:p>
        </w:tc>
        <w:tc>
          <w:tcPr>
            <w:tcW w:w="417" w:type="pct"/>
            <w:shd w:val="clear" w:color="auto" w:fill="D2DDE1" w:themeFill="background2"/>
          </w:tcPr>
          <w:p w14:paraId="3C899851"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0.04</w:t>
            </w:r>
          </w:p>
        </w:tc>
        <w:tc>
          <w:tcPr>
            <w:tcW w:w="489" w:type="pct"/>
            <w:shd w:val="clear" w:color="auto" w:fill="D2DDE1" w:themeFill="background2"/>
          </w:tcPr>
          <w:p w14:paraId="05A538DE"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0,04</w:t>
            </w:r>
          </w:p>
        </w:tc>
      </w:tr>
      <w:tr w:rsidR="007C259A" w:rsidRPr="00BD16B4" w14:paraId="1660F947" w14:textId="77777777" w:rsidTr="005B0A5C">
        <w:tc>
          <w:tcPr>
            <w:tcW w:w="751" w:type="pct"/>
          </w:tcPr>
          <w:p w14:paraId="7BCE6E03" w14:textId="77777777" w:rsidR="007C259A" w:rsidRPr="00BD16B4" w:rsidRDefault="007C259A" w:rsidP="004C6BD6">
            <w:pPr>
              <w:pStyle w:val="TableText"/>
              <w:spacing w:before="30" w:after="30"/>
              <w:rPr>
                <w:rFonts w:cs="Calibri"/>
                <w:szCs w:val="18"/>
                <w:lang w:val="en-NZ"/>
              </w:rPr>
            </w:pPr>
            <w:r w:rsidRPr="00BD16B4">
              <w:rPr>
                <w:rFonts w:cs="Calibri"/>
                <w:szCs w:val="18"/>
                <w:lang w:val="en-NZ"/>
              </w:rPr>
              <w:t>HFCs</w:t>
            </w:r>
          </w:p>
        </w:tc>
        <w:tc>
          <w:tcPr>
            <w:tcW w:w="424" w:type="pct"/>
          </w:tcPr>
          <w:p w14:paraId="395F6FA9"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0.00</w:t>
            </w:r>
          </w:p>
        </w:tc>
        <w:tc>
          <w:tcPr>
            <w:tcW w:w="477" w:type="pct"/>
          </w:tcPr>
          <w:p w14:paraId="1D4B88ED"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0.01</w:t>
            </w:r>
          </w:p>
        </w:tc>
        <w:tc>
          <w:tcPr>
            <w:tcW w:w="393" w:type="pct"/>
          </w:tcPr>
          <w:p w14:paraId="75D0C077"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0.03</w:t>
            </w:r>
          </w:p>
        </w:tc>
        <w:tc>
          <w:tcPr>
            <w:tcW w:w="393" w:type="pct"/>
          </w:tcPr>
          <w:p w14:paraId="6474834C"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0.08</w:t>
            </w:r>
          </w:p>
        </w:tc>
        <w:tc>
          <w:tcPr>
            <w:tcW w:w="393" w:type="pct"/>
          </w:tcPr>
          <w:p w14:paraId="64DDF45E"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0.15</w:t>
            </w:r>
          </w:p>
        </w:tc>
        <w:tc>
          <w:tcPr>
            <w:tcW w:w="393" w:type="pct"/>
          </w:tcPr>
          <w:p w14:paraId="31F49A5C"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0.22</w:t>
            </w:r>
          </w:p>
        </w:tc>
        <w:tc>
          <w:tcPr>
            <w:tcW w:w="443" w:type="pct"/>
          </w:tcPr>
          <w:p w14:paraId="0FD27798"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0.23</w:t>
            </w:r>
          </w:p>
        </w:tc>
        <w:tc>
          <w:tcPr>
            <w:tcW w:w="427" w:type="pct"/>
            <w:shd w:val="clear" w:color="auto" w:fill="D2DDE1" w:themeFill="background2"/>
          </w:tcPr>
          <w:p w14:paraId="1842B03A"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0.23</w:t>
            </w:r>
          </w:p>
        </w:tc>
        <w:tc>
          <w:tcPr>
            <w:tcW w:w="417" w:type="pct"/>
            <w:shd w:val="clear" w:color="auto" w:fill="D2DDE1" w:themeFill="background2"/>
          </w:tcPr>
          <w:p w14:paraId="516F68C7"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0.23</w:t>
            </w:r>
          </w:p>
        </w:tc>
        <w:tc>
          <w:tcPr>
            <w:tcW w:w="489" w:type="pct"/>
            <w:shd w:val="clear" w:color="auto" w:fill="D2DDE1" w:themeFill="background2"/>
          </w:tcPr>
          <w:p w14:paraId="3A136D9D"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0.23</w:t>
            </w:r>
          </w:p>
        </w:tc>
      </w:tr>
      <w:tr w:rsidR="007C259A" w:rsidRPr="00BD16B4" w14:paraId="343A3994" w14:textId="77777777" w:rsidTr="005B0A5C">
        <w:tc>
          <w:tcPr>
            <w:tcW w:w="751" w:type="pct"/>
          </w:tcPr>
          <w:p w14:paraId="2147D915" w14:textId="77777777" w:rsidR="007C259A" w:rsidRPr="00BD16B4" w:rsidRDefault="007C259A" w:rsidP="004C6BD6">
            <w:pPr>
              <w:pStyle w:val="TableText"/>
              <w:spacing w:before="30" w:after="30"/>
              <w:rPr>
                <w:rFonts w:cs="Calibri"/>
                <w:szCs w:val="18"/>
                <w:lang w:val="en-NZ"/>
              </w:rPr>
            </w:pPr>
            <w:r w:rsidRPr="00BD16B4">
              <w:rPr>
                <w:rFonts w:cs="Calibri"/>
                <w:szCs w:val="18"/>
                <w:lang w:val="en-NZ"/>
              </w:rPr>
              <w:t>PFCs</w:t>
            </w:r>
          </w:p>
        </w:tc>
        <w:tc>
          <w:tcPr>
            <w:tcW w:w="424" w:type="pct"/>
          </w:tcPr>
          <w:p w14:paraId="5C5FCE9F"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477" w:type="pct"/>
          </w:tcPr>
          <w:p w14:paraId="62869B5A"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393" w:type="pct"/>
          </w:tcPr>
          <w:p w14:paraId="6102B39F"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393" w:type="pct"/>
          </w:tcPr>
          <w:p w14:paraId="3FB1B221"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393" w:type="pct"/>
          </w:tcPr>
          <w:p w14:paraId="1F0B6DE3"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393" w:type="pct"/>
          </w:tcPr>
          <w:p w14:paraId="14836566"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443" w:type="pct"/>
          </w:tcPr>
          <w:p w14:paraId="0FD5BBEC"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427" w:type="pct"/>
            <w:shd w:val="clear" w:color="auto" w:fill="D2DDE1" w:themeFill="background2"/>
          </w:tcPr>
          <w:p w14:paraId="1596F340"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417" w:type="pct"/>
            <w:shd w:val="clear" w:color="auto" w:fill="D2DDE1" w:themeFill="background2"/>
          </w:tcPr>
          <w:p w14:paraId="5AFE9FA9"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489" w:type="pct"/>
            <w:shd w:val="clear" w:color="auto" w:fill="D2DDE1" w:themeFill="background2"/>
          </w:tcPr>
          <w:p w14:paraId="7540062F"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r>
      <w:tr w:rsidR="007C259A" w:rsidRPr="00BD16B4" w14:paraId="61882012" w14:textId="77777777" w:rsidTr="005B0A5C">
        <w:tc>
          <w:tcPr>
            <w:tcW w:w="751" w:type="pct"/>
          </w:tcPr>
          <w:p w14:paraId="38BFAA06" w14:textId="77777777" w:rsidR="007C259A" w:rsidRPr="00BD16B4" w:rsidRDefault="007C259A" w:rsidP="004C6BD6">
            <w:pPr>
              <w:pStyle w:val="TableText"/>
              <w:spacing w:before="30" w:after="30"/>
              <w:rPr>
                <w:rFonts w:cs="Calibri"/>
                <w:szCs w:val="18"/>
                <w:lang w:val="en-NZ"/>
              </w:rPr>
            </w:pPr>
            <w:r w:rsidRPr="00BD16B4">
              <w:rPr>
                <w:rFonts w:cs="Calibri"/>
                <w:szCs w:val="18"/>
                <w:lang w:val="en-NZ"/>
              </w:rPr>
              <w:t>SF</w:t>
            </w:r>
            <w:r w:rsidRPr="00BD16B4">
              <w:rPr>
                <w:rFonts w:cs="Calibri"/>
                <w:szCs w:val="18"/>
                <w:vertAlign w:val="subscript"/>
                <w:lang w:val="en-NZ"/>
              </w:rPr>
              <w:t>6</w:t>
            </w:r>
          </w:p>
        </w:tc>
        <w:tc>
          <w:tcPr>
            <w:tcW w:w="424" w:type="pct"/>
          </w:tcPr>
          <w:p w14:paraId="2BEA780E"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477" w:type="pct"/>
          </w:tcPr>
          <w:p w14:paraId="5D0C7CB0"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393" w:type="pct"/>
          </w:tcPr>
          <w:p w14:paraId="43185057"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393" w:type="pct"/>
          </w:tcPr>
          <w:p w14:paraId="16CF02BC"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393" w:type="pct"/>
          </w:tcPr>
          <w:p w14:paraId="1EA893B5"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393" w:type="pct"/>
          </w:tcPr>
          <w:p w14:paraId="44373D14"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443" w:type="pct"/>
          </w:tcPr>
          <w:p w14:paraId="162EF632"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427" w:type="pct"/>
            <w:shd w:val="clear" w:color="auto" w:fill="D2DDE1" w:themeFill="background2"/>
          </w:tcPr>
          <w:p w14:paraId="22A78C0C"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417" w:type="pct"/>
            <w:shd w:val="clear" w:color="auto" w:fill="D2DDE1" w:themeFill="background2"/>
          </w:tcPr>
          <w:p w14:paraId="10B45E76"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c>
          <w:tcPr>
            <w:tcW w:w="489" w:type="pct"/>
            <w:shd w:val="clear" w:color="auto" w:fill="D2DDE1" w:themeFill="background2"/>
          </w:tcPr>
          <w:p w14:paraId="72988DE3" w14:textId="77777777" w:rsidR="007C259A" w:rsidRPr="00BD16B4" w:rsidRDefault="007C259A" w:rsidP="004C6BD6">
            <w:pPr>
              <w:pStyle w:val="TableText"/>
              <w:spacing w:before="30" w:after="30"/>
              <w:jc w:val="center"/>
              <w:rPr>
                <w:rFonts w:cs="Calibri"/>
                <w:szCs w:val="18"/>
                <w:lang w:val="en-NZ"/>
              </w:rPr>
            </w:pPr>
            <w:r w:rsidRPr="00BD16B4">
              <w:rPr>
                <w:rFonts w:cs="Calibri"/>
                <w:szCs w:val="18"/>
                <w:lang w:val="en-NZ"/>
              </w:rPr>
              <w:t>NO</w:t>
            </w:r>
          </w:p>
        </w:tc>
      </w:tr>
      <w:tr w:rsidR="007C259A" w:rsidRPr="00BD16B4" w14:paraId="0B76BAB8" w14:textId="77777777" w:rsidTr="005B0A5C">
        <w:tc>
          <w:tcPr>
            <w:tcW w:w="751" w:type="pct"/>
          </w:tcPr>
          <w:p w14:paraId="3E432DE1" w14:textId="77777777" w:rsidR="007C259A" w:rsidRPr="00BD16B4" w:rsidRDefault="007C259A" w:rsidP="004C6BD6">
            <w:pPr>
              <w:pStyle w:val="TableTextBold0"/>
              <w:spacing w:before="30" w:after="30"/>
              <w:rPr>
                <w:rFonts w:asciiTheme="minorHAnsi" w:hAnsiTheme="minorHAnsi" w:cstheme="minorHAnsi"/>
                <w:b w:val="0"/>
                <w:szCs w:val="18"/>
                <w:lang w:val="en-NZ"/>
              </w:rPr>
            </w:pPr>
            <w:r w:rsidRPr="00BD16B4">
              <w:rPr>
                <w:rFonts w:asciiTheme="minorHAnsi" w:hAnsiTheme="minorHAnsi" w:cstheme="minorHAnsi"/>
                <w:szCs w:val="18"/>
                <w:lang w:val="en-NZ"/>
              </w:rPr>
              <w:t>Total</w:t>
            </w:r>
          </w:p>
        </w:tc>
        <w:tc>
          <w:tcPr>
            <w:tcW w:w="424" w:type="pct"/>
          </w:tcPr>
          <w:p w14:paraId="3243D453" w14:textId="77777777" w:rsidR="007C259A" w:rsidRPr="00BD16B4" w:rsidRDefault="007C259A" w:rsidP="004C6BD6">
            <w:pPr>
              <w:pStyle w:val="TableTextBold0"/>
              <w:spacing w:before="30" w:after="30"/>
              <w:jc w:val="center"/>
              <w:rPr>
                <w:rFonts w:asciiTheme="minorHAnsi" w:hAnsiTheme="minorHAnsi" w:cstheme="minorHAnsi"/>
                <w:szCs w:val="18"/>
                <w:lang w:val="en-NZ"/>
              </w:rPr>
            </w:pPr>
            <w:r w:rsidRPr="00BD16B4">
              <w:rPr>
                <w:rFonts w:asciiTheme="minorHAnsi" w:hAnsiTheme="minorHAnsi" w:cstheme="minorHAnsi"/>
                <w:szCs w:val="18"/>
                <w:lang w:val="en-NZ"/>
              </w:rPr>
              <w:t>3.17</w:t>
            </w:r>
          </w:p>
        </w:tc>
        <w:tc>
          <w:tcPr>
            <w:tcW w:w="477" w:type="pct"/>
          </w:tcPr>
          <w:p w14:paraId="6F3547D8" w14:textId="77777777" w:rsidR="007C259A" w:rsidRPr="00BD16B4" w:rsidRDefault="007C259A" w:rsidP="004C6BD6">
            <w:pPr>
              <w:pStyle w:val="TableTextBold0"/>
              <w:spacing w:before="30" w:after="30"/>
              <w:jc w:val="center"/>
              <w:rPr>
                <w:rFonts w:asciiTheme="minorHAnsi" w:hAnsiTheme="minorHAnsi" w:cstheme="minorHAnsi"/>
                <w:szCs w:val="18"/>
                <w:lang w:val="en-NZ"/>
              </w:rPr>
            </w:pPr>
            <w:r w:rsidRPr="00BD16B4">
              <w:rPr>
                <w:rFonts w:asciiTheme="minorHAnsi" w:hAnsiTheme="minorHAnsi" w:cstheme="minorHAnsi"/>
                <w:szCs w:val="18"/>
                <w:lang w:val="en-NZ"/>
              </w:rPr>
              <w:t>3.14</w:t>
            </w:r>
          </w:p>
        </w:tc>
        <w:tc>
          <w:tcPr>
            <w:tcW w:w="393" w:type="pct"/>
          </w:tcPr>
          <w:p w14:paraId="6A12258C" w14:textId="77777777" w:rsidR="007C259A" w:rsidRPr="00BD16B4" w:rsidRDefault="007C259A" w:rsidP="004C6BD6">
            <w:pPr>
              <w:pStyle w:val="TableTextBold0"/>
              <w:spacing w:before="30" w:after="30"/>
              <w:jc w:val="center"/>
              <w:rPr>
                <w:rFonts w:asciiTheme="minorHAnsi" w:hAnsiTheme="minorHAnsi" w:cstheme="minorHAnsi"/>
                <w:szCs w:val="18"/>
                <w:lang w:val="en-NZ"/>
              </w:rPr>
            </w:pPr>
            <w:r w:rsidRPr="00BD16B4">
              <w:rPr>
                <w:rFonts w:asciiTheme="minorHAnsi" w:hAnsiTheme="minorHAnsi" w:cstheme="minorHAnsi"/>
                <w:szCs w:val="18"/>
                <w:lang w:val="en-NZ"/>
              </w:rPr>
              <w:t>3.49</w:t>
            </w:r>
          </w:p>
        </w:tc>
        <w:tc>
          <w:tcPr>
            <w:tcW w:w="393" w:type="pct"/>
          </w:tcPr>
          <w:p w14:paraId="55376445" w14:textId="77777777" w:rsidR="007C259A" w:rsidRPr="00BD16B4" w:rsidRDefault="007C259A" w:rsidP="004C6BD6">
            <w:pPr>
              <w:pStyle w:val="TableTextBold0"/>
              <w:spacing w:before="30" w:after="30"/>
              <w:jc w:val="center"/>
              <w:rPr>
                <w:rFonts w:asciiTheme="minorHAnsi" w:hAnsiTheme="minorHAnsi" w:cstheme="minorHAnsi"/>
                <w:szCs w:val="18"/>
                <w:lang w:val="en-NZ"/>
              </w:rPr>
            </w:pPr>
            <w:r w:rsidRPr="00BD16B4">
              <w:rPr>
                <w:rFonts w:asciiTheme="minorHAnsi" w:hAnsiTheme="minorHAnsi" w:cstheme="minorHAnsi"/>
                <w:szCs w:val="18"/>
                <w:lang w:val="en-NZ"/>
              </w:rPr>
              <w:t>4.49</w:t>
            </w:r>
          </w:p>
        </w:tc>
        <w:tc>
          <w:tcPr>
            <w:tcW w:w="393" w:type="pct"/>
          </w:tcPr>
          <w:p w14:paraId="490E80EF" w14:textId="77777777" w:rsidR="007C259A" w:rsidRPr="00BD16B4" w:rsidRDefault="007C259A" w:rsidP="004C6BD6">
            <w:pPr>
              <w:pStyle w:val="TableTextBold0"/>
              <w:spacing w:before="30" w:after="30"/>
              <w:jc w:val="center"/>
              <w:rPr>
                <w:rFonts w:asciiTheme="minorHAnsi" w:hAnsiTheme="minorHAnsi" w:cstheme="minorHAnsi"/>
                <w:szCs w:val="18"/>
                <w:lang w:val="en-NZ"/>
              </w:rPr>
            </w:pPr>
            <w:r w:rsidRPr="00BD16B4">
              <w:rPr>
                <w:rFonts w:asciiTheme="minorHAnsi" w:hAnsiTheme="minorHAnsi" w:cstheme="minorHAnsi"/>
                <w:szCs w:val="18"/>
                <w:lang w:val="en-NZ"/>
              </w:rPr>
              <w:t>4.52</w:t>
            </w:r>
          </w:p>
        </w:tc>
        <w:tc>
          <w:tcPr>
            <w:tcW w:w="393" w:type="pct"/>
          </w:tcPr>
          <w:p w14:paraId="4C7530CF" w14:textId="77777777" w:rsidR="007C259A" w:rsidRPr="00BD16B4" w:rsidRDefault="007C259A" w:rsidP="004C6BD6">
            <w:pPr>
              <w:pStyle w:val="TableTextBold0"/>
              <w:spacing w:before="30" w:after="30"/>
              <w:jc w:val="center"/>
              <w:rPr>
                <w:rFonts w:asciiTheme="minorHAnsi" w:hAnsiTheme="minorHAnsi" w:cstheme="minorHAnsi"/>
                <w:szCs w:val="18"/>
                <w:lang w:val="en-NZ"/>
              </w:rPr>
            </w:pPr>
            <w:r w:rsidRPr="00BD16B4">
              <w:rPr>
                <w:rFonts w:asciiTheme="minorHAnsi" w:hAnsiTheme="minorHAnsi" w:cstheme="minorHAnsi"/>
                <w:szCs w:val="18"/>
                <w:lang w:val="en-NZ"/>
              </w:rPr>
              <w:t>3.42</w:t>
            </w:r>
          </w:p>
        </w:tc>
        <w:tc>
          <w:tcPr>
            <w:tcW w:w="443" w:type="pct"/>
          </w:tcPr>
          <w:p w14:paraId="46DE42D3" w14:textId="77777777" w:rsidR="007C259A" w:rsidRPr="00BD16B4" w:rsidRDefault="007C259A" w:rsidP="004C6BD6">
            <w:pPr>
              <w:pStyle w:val="TableTextBold0"/>
              <w:spacing w:before="30" w:after="30"/>
              <w:jc w:val="center"/>
              <w:rPr>
                <w:rFonts w:asciiTheme="minorHAnsi" w:hAnsiTheme="minorHAnsi" w:cstheme="minorHAnsi"/>
                <w:szCs w:val="18"/>
                <w:lang w:val="en-NZ"/>
              </w:rPr>
            </w:pPr>
            <w:r w:rsidRPr="00BD16B4">
              <w:rPr>
                <w:rFonts w:asciiTheme="minorHAnsi" w:hAnsiTheme="minorHAnsi" w:cstheme="minorHAnsi"/>
                <w:szCs w:val="18"/>
                <w:lang w:val="en-NZ"/>
              </w:rPr>
              <w:t>4.18</w:t>
            </w:r>
          </w:p>
        </w:tc>
        <w:tc>
          <w:tcPr>
            <w:tcW w:w="427" w:type="pct"/>
            <w:shd w:val="clear" w:color="auto" w:fill="D2DDE1" w:themeFill="background2"/>
          </w:tcPr>
          <w:p w14:paraId="57B67962" w14:textId="77777777" w:rsidR="007C259A" w:rsidRPr="00BD16B4" w:rsidRDefault="007C259A" w:rsidP="004C6BD6">
            <w:pPr>
              <w:pStyle w:val="TableTextBold0"/>
              <w:spacing w:before="30" w:after="30"/>
              <w:jc w:val="center"/>
              <w:rPr>
                <w:rFonts w:asciiTheme="minorHAnsi" w:hAnsiTheme="minorHAnsi" w:cstheme="minorHAnsi"/>
                <w:szCs w:val="18"/>
                <w:lang w:val="en-NZ"/>
              </w:rPr>
            </w:pPr>
            <w:r w:rsidRPr="00BD16B4">
              <w:rPr>
                <w:rFonts w:asciiTheme="minorHAnsi" w:hAnsiTheme="minorHAnsi" w:cstheme="minorHAnsi"/>
                <w:szCs w:val="18"/>
                <w:lang w:val="en-NZ"/>
              </w:rPr>
              <w:t>3.56</w:t>
            </w:r>
          </w:p>
        </w:tc>
        <w:tc>
          <w:tcPr>
            <w:tcW w:w="417" w:type="pct"/>
            <w:shd w:val="clear" w:color="auto" w:fill="D2DDE1" w:themeFill="background2"/>
          </w:tcPr>
          <w:p w14:paraId="0E5B918D" w14:textId="77777777" w:rsidR="007C259A" w:rsidRPr="00BD16B4" w:rsidRDefault="007C259A" w:rsidP="004C6BD6">
            <w:pPr>
              <w:pStyle w:val="TableTextBold0"/>
              <w:spacing w:before="30" w:after="30"/>
              <w:jc w:val="center"/>
              <w:rPr>
                <w:rFonts w:asciiTheme="minorHAnsi" w:hAnsiTheme="minorHAnsi" w:cstheme="minorHAnsi"/>
                <w:szCs w:val="18"/>
                <w:lang w:val="en-NZ"/>
              </w:rPr>
            </w:pPr>
            <w:r w:rsidRPr="00BD16B4">
              <w:rPr>
                <w:rFonts w:asciiTheme="minorHAnsi" w:hAnsiTheme="minorHAnsi" w:cstheme="minorHAnsi"/>
                <w:szCs w:val="18"/>
                <w:lang w:val="en-NZ"/>
              </w:rPr>
              <w:t>3.51</w:t>
            </w:r>
          </w:p>
        </w:tc>
        <w:tc>
          <w:tcPr>
            <w:tcW w:w="489" w:type="pct"/>
            <w:shd w:val="clear" w:color="auto" w:fill="D2DDE1" w:themeFill="background2"/>
          </w:tcPr>
          <w:p w14:paraId="69EB85BE" w14:textId="77777777" w:rsidR="007C259A" w:rsidRPr="00BD16B4" w:rsidRDefault="007C259A" w:rsidP="004C6BD6">
            <w:pPr>
              <w:pStyle w:val="TableTextBold0"/>
              <w:spacing w:before="30" w:after="30"/>
              <w:jc w:val="center"/>
              <w:rPr>
                <w:rFonts w:asciiTheme="minorHAnsi" w:hAnsiTheme="minorHAnsi" w:cstheme="minorHAnsi"/>
                <w:szCs w:val="18"/>
                <w:lang w:val="en-NZ"/>
              </w:rPr>
            </w:pPr>
            <w:r w:rsidRPr="00BD16B4">
              <w:rPr>
                <w:rFonts w:asciiTheme="minorHAnsi" w:hAnsiTheme="minorHAnsi" w:cstheme="minorHAnsi"/>
                <w:szCs w:val="18"/>
                <w:lang w:val="en-NZ"/>
              </w:rPr>
              <w:t>3.46</w:t>
            </w:r>
          </w:p>
        </w:tc>
      </w:tr>
    </w:tbl>
    <w:p w14:paraId="64E5DF83" w14:textId="77777777" w:rsidR="007C259A" w:rsidRPr="00BD16B4" w:rsidRDefault="007C259A" w:rsidP="00662412">
      <w:pPr>
        <w:pStyle w:val="Note"/>
        <w:spacing w:after="0"/>
      </w:pPr>
      <w:r w:rsidRPr="00BD16B4">
        <w:rPr>
          <w:b/>
          <w:bCs/>
        </w:rPr>
        <w:t>Note:</w:t>
      </w:r>
      <w:r w:rsidRPr="00BD16B4">
        <w:t xml:space="preserve"> CH</w:t>
      </w:r>
      <w:r w:rsidRPr="00BD16B4">
        <w:rPr>
          <w:vertAlign w:val="subscript"/>
        </w:rPr>
        <w:t>4</w:t>
      </w:r>
      <w:r w:rsidRPr="00BD16B4">
        <w:t xml:space="preserve"> = methane; CO</w:t>
      </w:r>
      <w:r w:rsidRPr="00BD16B4">
        <w:rPr>
          <w:vertAlign w:val="subscript"/>
        </w:rPr>
        <w:t>2</w:t>
      </w:r>
      <w:r w:rsidRPr="00BD16B4">
        <w:t xml:space="preserve"> = carbon dioxide; HFCs = hydrofluorocarbons; kt CO</w:t>
      </w:r>
      <w:r w:rsidRPr="00BD16B4">
        <w:rPr>
          <w:vertAlign w:val="subscript"/>
        </w:rPr>
        <w:t>2</w:t>
      </w:r>
      <w:r w:rsidRPr="00BD16B4">
        <w:t>-e = kilotonnes of carbon dioxide equivalent; N</w:t>
      </w:r>
      <w:r w:rsidRPr="00BD16B4">
        <w:rPr>
          <w:vertAlign w:val="subscript"/>
        </w:rPr>
        <w:t>2</w:t>
      </w:r>
      <w:r w:rsidRPr="00BD16B4">
        <w:t>O = nitrous oxide; NO = not occurring; PFCs = perfluorocarbons; SF</w:t>
      </w:r>
      <w:r w:rsidRPr="00BD16B4">
        <w:rPr>
          <w:vertAlign w:val="subscript"/>
        </w:rPr>
        <w:t>6</w:t>
      </w:r>
      <w:r w:rsidRPr="00BD16B4">
        <w:t xml:space="preserve"> = sulphur hexafluoride. Gross emissions exclude net removals from the land use, land-use change and forestry sector, which, however, are minimal in Tokelau.</w:t>
      </w:r>
    </w:p>
    <w:p w14:paraId="61BC870B" w14:textId="77777777" w:rsidR="007C259A" w:rsidRPr="00BD16B4" w:rsidRDefault="007C259A" w:rsidP="004E1B8C">
      <w:pPr>
        <w:pStyle w:val="Heading4"/>
      </w:pPr>
      <w:r w:rsidRPr="00BD16B4">
        <w:t>Methodology</w:t>
      </w:r>
    </w:p>
    <w:p w14:paraId="1895A4C3" w14:textId="77777777" w:rsidR="007C259A" w:rsidRPr="00BD16B4" w:rsidRDefault="007C259A" w:rsidP="007C259A">
      <w:pPr>
        <w:pStyle w:val="BodyText"/>
      </w:pPr>
      <w:r w:rsidRPr="00BD16B4">
        <w:t xml:space="preserve">Tokelau’s emissions were projected using a hybrid of a top-down and bottom-up approach. The emissions estimates for Tokelau are as prepared for the October 2020 projections round. This includes no change to the assumptions used since October 2020, and the projections are based off the 2020 Inventory (data 1990–2018). There has been an update to reflect the 2022 Inventory (data 1990–2020); however, the update only changes years 2019 and 2020. </w:t>
      </w:r>
    </w:p>
    <w:p w14:paraId="3FDE98AB" w14:textId="77777777" w:rsidR="007C259A" w:rsidRPr="00BD16B4" w:rsidRDefault="007C259A" w:rsidP="004E1B8C">
      <w:pPr>
        <w:pStyle w:val="Heading4"/>
      </w:pPr>
      <w:r w:rsidRPr="00BD16B4">
        <w:t xml:space="preserve">Differences from the </w:t>
      </w:r>
      <w:r w:rsidRPr="00BD16B4">
        <w:rPr>
          <w:i/>
          <w:iCs/>
        </w:rPr>
        <w:t>Fourth Biennial Report</w:t>
      </w:r>
    </w:p>
    <w:p w14:paraId="111687F1" w14:textId="24DBABC1" w:rsidR="007C259A" w:rsidRPr="00BD16B4" w:rsidRDefault="007C259A" w:rsidP="007C259A">
      <w:pPr>
        <w:pStyle w:val="BodyText"/>
      </w:pPr>
      <w:r w:rsidRPr="00BD16B4">
        <w:t xml:space="preserve">The most significant change to the projections methodologies for calculating emissions from Tokelau since the </w:t>
      </w:r>
      <w:r w:rsidRPr="00BD16B4">
        <w:rPr>
          <w:i/>
          <w:iCs/>
        </w:rPr>
        <w:t>Fourth Biennial Report</w:t>
      </w:r>
      <w:r w:rsidRPr="00BD16B4">
        <w:t xml:space="preserve"> has been the shift from a purely top-down approach to a hybrid of a top-down and bottom-up approach. The projections methodology now includes the use of time series activity data and sector-specific assumptions, rather than the previous solely linear interpolation based on Tokelau’s historical greenhouse gas emissions.</w:t>
      </w:r>
      <w:r w:rsidR="004C6BD6" w:rsidRPr="00BD16B4">
        <w:t xml:space="preserve"> </w:t>
      </w:r>
    </w:p>
    <w:p w14:paraId="2BC16379" w14:textId="77777777" w:rsidR="00E053E4" w:rsidRPr="00BD16B4" w:rsidRDefault="00E053E4" w:rsidP="003F0361">
      <w:pPr>
        <w:pStyle w:val="BodyText"/>
        <w:spacing w:before="0"/>
        <w:sectPr w:rsidR="00E053E4" w:rsidRPr="00BD16B4" w:rsidSect="00EC04DC">
          <w:footerReference w:type="even" r:id="rId108"/>
          <w:footerReference w:type="default" r:id="rId109"/>
          <w:pgSz w:w="11907" w:h="16840" w:code="9"/>
          <w:pgMar w:top="1134" w:right="1701" w:bottom="1134" w:left="1701" w:header="567" w:footer="567" w:gutter="0"/>
          <w:cols w:space="720"/>
          <w:docGrid w:linePitch="299"/>
        </w:sectPr>
      </w:pPr>
    </w:p>
    <w:p w14:paraId="41615713" w14:textId="606BE9C3" w:rsidR="00851323" w:rsidRPr="00BD16B4" w:rsidRDefault="00851323" w:rsidP="00851323">
      <w:pPr>
        <w:pStyle w:val="Heading1"/>
        <w:spacing w:after="400"/>
      </w:pPr>
      <w:bookmarkStart w:id="313" w:name="_Toc121774646"/>
      <w:r w:rsidRPr="00BD16B4">
        <w:lastRenderedPageBreak/>
        <w:t>6</w:t>
      </w:r>
      <w:r w:rsidRPr="00BD16B4">
        <w:tab/>
        <w:t>Vulnerability assessment, climate change impacts and adaptation measures</w:t>
      </w:r>
      <w:bookmarkEnd w:id="313"/>
    </w:p>
    <w:tbl>
      <w:tblPr>
        <w:tblStyle w:val="TableGrid"/>
        <w:tblW w:w="8505" w:type="dxa"/>
        <w:tblInd w:w="113"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851323" w:rsidRPr="00BD16B4" w14:paraId="2AE839EB" w14:textId="77777777" w:rsidTr="009D23C2">
        <w:trPr>
          <w:trHeight w:val="6159"/>
        </w:trPr>
        <w:tc>
          <w:tcPr>
            <w:tcW w:w="8505" w:type="dxa"/>
            <w:shd w:val="clear" w:color="auto" w:fill="D2DDE1" w:themeFill="background2"/>
          </w:tcPr>
          <w:p w14:paraId="4E5653BC" w14:textId="77777777" w:rsidR="00851323" w:rsidRPr="00BD16B4" w:rsidRDefault="00851323" w:rsidP="00F31129">
            <w:pPr>
              <w:pStyle w:val="Boxheading"/>
              <w:spacing w:after="120"/>
            </w:pPr>
            <w:r w:rsidRPr="00BD16B4">
              <w:t xml:space="preserve">Key developments since the </w:t>
            </w:r>
            <w:r w:rsidRPr="00BD16B4">
              <w:rPr>
                <w:i/>
                <w:iCs/>
              </w:rPr>
              <w:t>Seventh National Communication</w:t>
            </w:r>
          </w:p>
          <w:p w14:paraId="60D73959" w14:textId="77777777" w:rsidR="00851323" w:rsidRPr="00BD16B4" w:rsidRDefault="00851323" w:rsidP="00F31129">
            <w:pPr>
              <w:pStyle w:val="Boxbullet"/>
              <w:spacing w:after="100"/>
            </w:pPr>
            <w:r w:rsidRPr="00BD16B4">
              <w:t xml:space="preserve">The Climate Change Adaptation Technical Working Group completed a stocktake on adaptation action and provided recommendations for adapting to climate change in New Zealand. </w:t>
            </w:r>
          </w:p>
          <w:p w14:paraId="3BBFF44F" w14:textId="77777777" w:rsidR="00851323" w:rsidRPr="00BD16B4" w:rsidRDefault="00851323" w:rsidP="00F31129">
            <w:pPr>
              <w:pStyle w:val="Boxbullet"/>
              <w:spacing w:after="100"/>
            </w:pPr>
            <w:r w:rsidRPr="00BD16B4">
              <w:t>The Government amended New Zealand’s primary climate change legislation by adding adaptation to the purpose of the Climate Change Response Act 2002. The 2019 Amendment also set out in the legislation the process for assessing climate risk, developing action plans, and monitoring the implementation and effectiveness of those plans.</w:t>
            </w:r>
          </w:p>
          <w:p w14:paraId="4E0C4088" w14:textId="77777777" w:rsidR="00851323" w:rsidRPr="00BD16B4" w:rsidRDefault="00851323" w:rsidP="00F31129">
            <w:pPr>
              <w:pStyle w:val="Boxbullet"/>
              <w:spacing w:after="100"/>
            </w:pPr>
            <w:r w:rsidRPr="00BD16B4">
              <w:t xml:space="preserve">The Government committed to reforming the Resource Management Act 1991, which includes an objective to better prepare for adapting to climate change and risks from natural hazards. </w:t>
            </w:r>
          </w:p>
          <w:p w14:paraId="47148656" w14:textId="77777777" w:rsidR="00851323" w:rsidRPr="00BD16B4" w:rsidRDefault="00851323" w:rsidP="00F31129">
            <w:pPr>
              <w:pStyle w:val="Boxbullet"/>
              <w:spacing w:after="100"/>
            </w:pPr>
            <w:r w:rsidRPr="00BD16B4">
              <w:t xml:space="preserve">New Zealand published the first National Climate Change Risk Assessment in 2020. This identifies the most urgent risks New Zealand faces from climate change to 2026. </w:t>
            </w:r>
          </w:p>
          <w:p w14:paraId="79725E6A" w14:textId="77777777" w:rsidR="00851323" w:rsidRPr="00BD16B4" w:rsidRDefault="00851323" w:rsidP="00F31129">
            <w:pPr>
              <w:pStyle w:val="Boxbullet"/>
              <w:spacing w:after="100"/>
            </w:pPr>
            <w:r w:rsidRPr="00BD16B4">
              <w:t xml:space="preserve">New Zealand’s first national adaptation plan was published in 2022. This sets out New Zealand’s long-term adaptation strategy and the actions that will be taken up to 2028 to address climate risks. </w:t>
            </w:r>
          </w:p>
          <w:p w14:paraId="339D0C28" w14:textId="77777777" w:rsidR="00851323" w:rsidRPr="00BD16B4" w:rsidRDefault="00851323" w:rsidP="00F31129">
            <w:pPr>
              <w:pStyle w:val="Boxbullet"/>
              <w:spacing w:after="180"/>
            </w:pPr>
            <w:r w:rsidRPr="00BD16B4">
              <w:t>This chapter also serves as New Zealand’s second Adaptation Communication under the Paris Agreement. The chapter has been prepared using the national communication guidelines, drawing on section IV of the biennial transparency report guidelines, where appropriate.</w:t>
            </w:r>
          </w:p>
        </w:tc>
      </w:tr>
    </w:tbl>
    <w:p w14:paraId="2A02A89D" w14:textId="454351C6" w:rsidR="00851323" w:rsidRPr="00BD16B4" w:rsidRDefault="00851323" w:rsidP="00851323">
      <w:pPr>
        <w:pStyle w:val="Heading2"/>
        <w:spacing w:before="400"/>
      </w:pPr>
      <w:bookmarkStart w:id="314" w:name="_Toc121774647"/>
      <w:r w:rsidRPr="00BD16B4">
        <w:t>6.1</w:t>
      </w:r>
      <w:r w:rsidRPr="00BD16B4">
        <w:tab/>
        <w:t>Introduction</w:t>
      </w:r>
      <w:bookmarkEnd w:id="314"/>
    </w:p>
    <w:p w14:paraId="430B6A5F" w14:textId="77777777" w:rsidR="00851323" w:rsidRPr="00BD16B4" w:rsidRDefault="00851323" w:rsidP="00851323">
      <w:pPr>
        <w:pStyle w:val="BodyText"/>
        <w:spacing w:after="100"/>
      </w:pPr>
      <w:r w:rsidRPr="00BD16B4">
        <w:t xml:space="preserve">A low population density, long coastline, varied landscape and an economy reliant on the natural environment make Aotearoa New Zealand vulnerable to risks associated with extreme weather, sea-level rise and shifts in climatic conditions. </w:t>
      </w:r>
    </w:p>
    <w:p w14:paraId="27FCA876" w14:textId="77777777" w:rsidR="00851323" w:rsidRPr="00BD16B4" w:rsidRDefault="00851323" w:rsidP="00851323">
      <w:pPr>
        <w:pStyle w:val="BodyText"/>
        <w:spacing w:after="100"/>
      </w:pPr>
      <w:r w:rsidRPr="00BD16B4">
        <w:t xml:space="preserve">Climate change will increase the severity and frequency of hazards such as flooding, heatwaves, drought and wildfire. The country will also face new risks because of slow-onset, gradual changes such as sea-level rise, ocean warming, more hot days, and more rainfall in some parts of the country and less in others. </w:t>
      </w:r>
    </w:p>
    <w:p w14:paraId="22D78A90" w14:textId="77777777" w:rsidR="00851323" w:rsidRPr="00BD16B4" w:rsidRDefault="00851323" w:rsidP="00851323">
      <w:pPr>
        <w:pStyle w:val="BodyText"/>
        <w:spacing w:after="100"/>
      </w:pPr>
      <w:r w:rsidRPr="00BD16B4">
        <w:t xml:space="preserve">This chapter outlines the expected impacts of climate change on New Zealand and the extent of adaptation action being taken. It provides updated information on the impacts of climate change and the resulting risks New Zealand faces. It also discusses adaptation plans, policies and strategies that address the most urgent climate risks. </w:t>
      </w:r>
    </w:p>
    <w:p w14:paraId="41EB8C08" w14:textId="77777777" w:rsidR="00851323" w:rsidRPr="00BD16B4" w:rsidRDefault="00851323" w:rsidP="00851323">
      <w:pPr>
        <w:pStyle w:val="BodyText"/>
        <w:spacing w:after="100"/>
      </w:pPr>
      <w:r w:rsidRPr="00BD16B4">
        <w:t xml:space="preserve">Since the </w:t>
      </w:r>
      <w:r w:rsidRPr="00BD16B4">
        <w:rPr>
          <w:i/>
          <w:iCs/>
        </w:rPr>
        <w:t>Seventh National Communication</w:t>
      </w:r>
      <w:r w:rsidRPr="00BD16B4">
        <w:t xml:space="preserve"> was published in 2017, New Zealand has taken significant steps to build climate resilience. This has been the result of including the need to prepare for, and adapt to, the effects of climate change in primary legislation, the Climate Change Response (Zero Carbon) Amendment Act 2019. </w:t>
      </w:r>
    </w:p>
    <w:p w14:paraId="0467E0F5" w14:textId="6470DFB5" w:rsidR="00851323" w:rsidRPr="00BD16B4" w:rsidRDefault="00851323" w:rsidP="00851323">
      <w:pPr>
        <w:pStyle w:val="Heading2"/>
      </w:pPr>
      <w:bookmarkStart w:id="315" w:name="_Toc121774648"/>
      <w:r w:rsidRPr="00BD16B4">
        <w:lastRenderedPageBreak/>
        <w:t>6.2</w:t>
      </w:r>
      <w:r w:rsidRPr="00BD16B4">
        <w:tab/>
        <w:t>National circumstances, institutional arrangements and legal frameworks</w:t>
      </w:r>
      <w:bookmarkEnd w:id="315"/>
    </w:p>
    <w:p w14:paraId="202DC683" w14:textId="77777777" w:rsidR="00851323" w:rsidRPr="00BD16B4" w:rsidRDefault="00851323" w:rsidP="00851323">
      <w:pPr>
        <w:pStyle w:val="BodyText"/>
      </w:pPr>
      <w:r w:rsidRPr="00BD16B4">
        <w:t>Chapter 1 of this report outlines the national circumstances that may affect the adaptive capacity of Aotearoa New Zealand’s natural and human systems. Essential points are repeated here.</w:t>
      </w:r>
    </w:p>
    <w:p w14:paraId="17254936" w14:textId="01168176" w:rsidR="00851323" w:rsidRPr="00BD16B4" w:rsidRDefault="00851323" w:rsidP="0011037B">
      <w:pPr>
        <w:pStyle w:val="Bullet"/>
      </w:pPr>
      <w:r w:rsidRPr="00BD16B4">
        <w:t xml:space="preserve">New Zealand is a long, narrow and mountainous country, consisting of two large islands and several smaller islands. It has nearly 15,000 kilometres of coastline, and its Exclusive Economic Zone is the fourth largest in the world. </w:t>
      </w:r>
    </w:p>
    <w:p w14:paraId="0C766A3F" w14:textId="77777777" w:rsidR="00851323" w:rsidRPr="00BD16B4" w:rsidRDefault="00851323" w:rsidP="0011037B">
      <w:pPr>
        <w:pStyle w:val="Bullet"/>
      </w:pPr>
      <w:r w:rsidRPr="00BD16B4">
        <w:t xml:space="preserve">New Zealand’s population was 5.1 million at 30 June 2021, and 76.6 per cent of people live in the North Island. New Zealand’s population density is relatively low, with an average of 19 people per square kilometre. </w:t>
      </w:r>
    </w:p>
    <w:p w14:paraId="35D6AD42" w14:textId="5A355171" w:rsidR="00851323" w:rsidRPr="00BD16B4" w:rsidRDefault="00851323" w:rsidP="0011037B">
      <w:pPr>
        <w:pStyle w:val="Bullet"/>
      </w:pPr>
      <w:r w:rsidRPr="00BD16B4">
        <w:t>New Zealand has a varied climate, with zones ranging from subtropical to subantarctic. The climate is influenced by New Zealand’s location in a latitudinal zone with prevailing westerly winds and the surrounding ocean. New Zealand is already experiencing changes in climate due to climate change, with an increase in average annual temperature of 1.1</w:t>
      </w:r>
      <w:r w:rsidR="00550600" w:rsidRPr="00BD16B4">
        <w:t>°C</w:t>
      </w:r>
      <w:r w:rsidRPr="00BD16B4">
        <w:t xml:space="preserve"> over the past 100 years. </w:t>
      </w:r>
    </w:p>
    <w:p w14:paraId="07C18390" w14:textId="77777777" w:rsidR="00851323" w:rsidRPr="00BD16B4" w:rsidRDefault="00851323" w:rsidP="0011037B">
      <w:pPr>
        <w:pStyle w:val="Bullet"/>
      </w:pPr>
      <w:r w:rsidRPr="00BD16B4">
        <w:t xml:space="preserve">New Zealand is founded on a partnership between the Crown and indigenous New Zealanders, Māori, through Te Tiriti o Waitangi (the Treaty of Waitangi) signed in 1840. Certain Māori groups will be disproportionately affected by climate change as will Māori interests, values, practices and wellbeing. Many Māori communities are located in rural and remote locations, and are particularly vulnerable to the effects of climate change. </w:t>
      </w:r>
    </w:p>
    <w:p w14:paraId="25E0E2D6" w14:textId="77777777" w:rsidR="00851323" w:rsidRPr="00BD16B4" w:rsidRDefault="00851323" w:rsidP="0011037B">
      <w:pPr>
        <w:pStyle w:val="Bullet"/>
      </w:pPr>
      <w:r w:rsidRPr="00BD16B4">
        <w:t xml:space="preserve">New Zealand has an export-dependent economy operating on free market principles. The primary sector (agricultural, horticultural, forestry, mining and fishing industries) plays a fundamental role in the export sector and in employment. In the year ending March 2022, dairy products were the largest export earner, accounting for 23 per cent of exports at NZ$18.3 billion. </w:t>
      </w:r>
    </w:p>
    <w:p w14:paraId="3F6AF612" w14:textId="226A36AB" w:rsidR="00851323" w:rsidRPr="00BD16B4" w:rsidRDefault="00851323" w:rsidP="0011037B">
      <w:pPr>
        <w:pStyle w:val="Bullet"/>
      </w:pPr>
      <w:r w:rsidRPr="00BD16B4">
        <w:t xml:space="preserve">Before 2021, international tourism was a significant export earner for New Zealand, compared with other traditional primary sector exports. In 2019, international tourism expenditure was NZ$17.2 billion. Due to border restrictions put in place in response to the COVID-19 pandemic, this number has dropped significantly. In 2021, the provisional international tourism expenditure was NZ$1.5 billion. </w:t>
      </w:r>
    </w:p>
    <w:p w14:paraId="056EF193" w14:textId="0E9CB1A7" w:rsidR="00851323" w:rsidRPr="00BD16B4" w:rsidRDefault="00851323" w:rsidP="0011037B">
      <w:pPr>
        <w:pStyle w:val="Bullet"/>
      </w:pPr>
      <w:r w:rsidRPr="00BD16B4">
        <w:t>Most of New Zealand’s electricity generation comes from renewable sources. In 2021, hydro generation provided 55.5 per cent of New Zealand’s electricity. A further 18.4 per cent came from geothermal, 6.0 per cent from wind, 1.1 per cent from wood, 0.6 per cent from biogas and 0.</w:t>
      </w:r>
      <w:r w:rsidR="001A2E97" w:rsidRPr="00BD16B4">
        <w:t>5</w:t>
      </w:r>
      <w:r w:rsidRPr="00BD16B4">
        <w:t xml:space="preserve"> per cent from solar. The remaining 1</w:t>
      </w:r>
      <w:r w:rsidR="001A2E97" w:rsidRPr="00BD16B4">
        <w:t>7</w:t>
      </w:r>
      <w:r w:rsidRPr="00BD16B4">
        <w:t>.9 per cent was provided by fossil fuel thermal generation plants using gas, coal and oil.</w:t>
      </w:r>
    </w:p>
    <w:p w14:paraId="0C365080" w14:textId="77777777" w:rsidR="00851323" w:rsidRPr="00BD16B4" w:rsidRDefault="00851323" w:rsidP="0011037B">
      <w:pPr>
        <w:pStyle w:val="Bullet"/>
      </w:pPr>
      <w:r w:rsidRPr="00BD16B4">
        <w:t xml:space="preserve">International aviation and shipping are critical, due to New Zealand’s isolated location in the Pacific Ocean and the importance of primary industry exports and tourism to the economy. Domestically, road transport is the central element of New Zealand’s transport system, reflecting the country’s small but widely distributed population and long, narrow geography. </w:t>
      </w:r>
    </w:p>
    <w:p w14:paraId="1ABAE58A" w14:textId="77777777" w:rsidR="00851323" w:rsidRPr="00BD16B4" w:rsidRDefault="00851323" w:rsidP="00851323">
      <w:pPr>
        <w:pStyle w:val="Heading3"/>
      </w:pPr>
      <w:r w:rsidRPr="00BD16B4">
        <w:lastRenderedPageBreak/>
        <w:t>6.2.1</w:t>
      </w:r>
      <w:r w:rsidRPr="00BD16B4">
        <w:tab/>
        <w:t>Main legal and policy frameworks for adaptation</w:t>
      </w:r>
    </w:p>
    <w:p w14:paraId="0F04AAF7" w14:textId="77777777" w:rsidR="00851323" w:rsidRPr="00BD16B4" w:rsidRDefault="00851323" w:rsidP="004E1B8C">
      <w:pPr>
        <w:pStyle w:val="Heading4"/>
      </w:pPr>
      <w:r w:rsidRPr="00BD16B4">
        <w:t>Climate adaptation legislation</w:t>
      </w:r>
    </w:p>
    <w:p w14:paraId="411F7250" w14:textId="77777777" w:rsidR="00851323" w:rsidRPr="00BD16B4" w:rsidRDefault="00851323" w:rsidP="00851323">
      <w:pPr>
        <w:pStyle w:val="BodyText"/>
      </w:pPr>
      <w:r w:rsidRPr="00BD16B4">
        <w:t xml:space="preserve">The most adaptation-relevant domestic legislation in Aotearoa New Zealand is the Climate Change Response Act 2002. The 2019 Climate Change Response (Zero Carbon) Amendment Act includes the need to prepare for, and adapt to, the effects of climate change in its purpose. </w:t>
      </w:r>
    </w:p>
    <w:p w14:paraId="6E7143D2" w14:textId="77777777" w:rsidR="00851323" w:rsidRPr="00BD16B4" w:rsidRDefault="00851323" w:rsidP="00851323">
      <w:pPr>
        <w:pStyle w:val="BodyText"/>
      </w:pPr>
      <w:r w:rsidRPr="00BD16B4">
        <w:t xml:space="preserve">New provisions in the Climate Change Response Act outline the process for regularly assessing the risks from climate change, taking action to manage those risks, assessing implementation and evaluating the effectiveness of the actions in reducing risk. This included provision for a climate change commission (the Commission) to: </w:t>
      </w:r>
    </w:p>
    <w:p w14:paraId="0A43CA8D" w14:textId="77777777" w:rsidR="00851323" w:rsidRPr="00BD16B4" w:rsidRDefault="00851323" w:rsidP="0011037B">
      <w:pPr>
        <w:pStyle w:val="Bullet"/>
      </w:pPr>
      <w:r w:rsidRPr="00BD16B4">
        <w:t>provide independent, expert advice to the Government on reducing emissions and adapting to the impacts of climate change</w:t>
      </w:r>
    </w:p>
    <w:p w14:paraId="65BE2F0E" w14:textId="77777777" w:rsidR="00851323" w:rsidRPr="00BD16B4" w:rsidRDefault="00851323" w:rsidP="0011037B">
      <w:pPr>
        <w:pStyle w:val="Bullet"/>
      </w:pPr>
      <w:r w:rsidRPr="00BD16B4">
        <w:t>monitor and review the Government’s progress towards its emissions reduction and adaptation goals.</w:t>
      </w:r>
    </w:p>
    <w:p w14:paraId="4C200FE4" w14:textId="77777777" w:rsidR="00851323" w:rsidRPr="00BD16B4" w:rsidRDefault="00851323" w:rsidP="00851323">
      <w:pPr>
        <w:pStyle w:val="BodyText"/>
      </w:pPr>
      <w:r w:rsidRPr="00BD16B4">
        <w:t>The Commission was established in 2019.</w:t>
      </w:r>
    </w:p>
    <w:p w14:paraId="050E7593" w14:textId="77777777" w:rsidR="00851323" w:rsidRPr="00BD16B4" w:rsidRDefault="00851323" w:rsidP="004E1B8C">
      <w:pPr>
        <w:pStyle w:val="Heading4"/>
      </w:pPr>
      <w:r w:rsidRPr="00BD16B4">
        <w:t>National climate change risk assessments</w:t>
      </w:r>
    </w:p>
    <w:p w14:paraId="16C1306B" w14:textId="77777777" w:rsidR="00851323" w:rsidRPr="00BD16B4" w:rsidRDefault="00851323" w:rsidP="00851323">
      <w:pPr>
        <w:pStyle w:val="BodyText"/>
      </w:pPr>
      <w:r w:rsidRPr="00BD16B4">
        <w:t>The Climate Change Response Act 2002 requires the preparation of national climate change risk assessments (the risk assessment) every six years. Each risk assessment must:</w:t>
      </w:r>
    </w:p>
    <w:p w14:paraId="0C6B2C33" w14:textId="77777777" w:rsidR="00851323" w:rsidRPr="00BD16B4" w:rsidRDefault="00851323" w:rsidP="0011037B">
      <w:pPr>
        <w:pStyle w:val="Bullet"/>
      </w:pPr>
      <w:r w:rsidRPr="00BD16B4">
        <w:t>assess climate risks to the economy and financial system, society, and the natural and built environments</w:t>
      </w:r>
    </w:p>
    <w:p w14:paraId="068B6444" w14:textId="77777777" w:rsidR="00851323" w:rsidRPr="00BD16B4" w:rsidRDefault="00851323" w:rsidP="0011037B">
      <w:pPr>
        <w:pStyle w:val="Bullet"/>
      </w:pPr>
      <w:r w:rsidRPr="00BD16B4">
        <w:t xml:space="preserve">identify the most significant risks to New Zealand, based on their nature, severity and the need for a coordinated response. </w:t>
      </w:r>
    </w:p>
    <w:p w14:paraId="2C923FF9" w14:textId="77777777" w:rsidR="00851323" w:rsidRPr="00BD16B4" w:rsidRDefault="00851323" w:rsidP="00851323">
      <w:pPr>
        <w:pStyle w:val="BodyText"/>
      </w:pPr>
      <w:r w:rsidRPr="00BD16B4">
        <w:t>The first risk assessment was published in 2020 and was produced by the Government because the Commission was yet to be formally established. Subsequent risk assessments will be produced by the Commission. The next is due by August 2026.</w:t>
      </w:r>
    </w:p>
    <w:p w14:paraId="01AD00F0" w14:textId="77777777" w:rsidR="00851323" w:rsidRPr="00BD16B4" w:rsidRDefault="00851323" w:rsidP="004E1B8C">
      <w:pPr>
        <w:pStyle w:val="Heading4"/>
      </w:pPr>
      <w:r w:rsidRPr="00BD16B4">
        <w:t>National adaptation plan</w:t>
      </w:r>
    </w:p>
    <w:p w14:paraId="6509A39E" w14:textId="77777777" w:rsidR="00851323" w:rsidRPr="00BD16B4" w:rsidRDefault="00851323" w:rsidP="00851323">
      <w:pPr>
        <w:pStyle w:val="BodyText"/>
      </w:pPr>
      <w:r w:rsidRPr="00BD16B4">
        <w:t>A national adaptation plan must be prepared in response to the latest risk assessment. The plan must set out:</w:t>
      </w:r>
    </w:p>
    <w:p w14:paraId="3DD6D997" w14:textId="77777777" w:rsidR="00851323" w:rsidRPr="00BD16B4" w:rsidRDefault="00851323" w:rsidP="0011037B">
      <w:pPr>
        <w:pStyle w:val="Bullet"/>
      </w:pPr>
      <w:r w:rsidRPr="00BD16B4">
        <w:t>the Government’s objectives for adapting to the effects of climate change</w:t>
      </w:r>
    </w:p>
    <w:p w14:paraId="766643A1" w14:textId="77777777" w:rsidR="00851323" w:rsidRPr="00BD16B4" w:rsidRDefault="00851323" w:rsidP="0011037B">
      <w:pPr>
        <w:pStyle w:val="Bullet"/>
      </w:pPr>
      <w:r w:rsidRPr="00BD16B4">
        <w:t>the strategies, policies and proposals for meeting those objectives and timeframes for implementing them</w:t>
      </w:r>
    </w:p>
    <w:p w14:paraId="4C3D6628" w14:textId="77777777" w:rsidR="00851323" w:rsidRPr="00BD16B4" w:rsidRDefault="00851323" w:rsidP="0011037B">
      <w:pPr>
        <w:pStyle w:val="Bullet"/>
      </w:pPr>
      <w:r w:rsidRPr="00BD16B4">
        <w:t>how the objectives, strategies, policies and proposals will address the most significant risks</w:t>
      </w:r>
    </w:p>
    <w:p w14:paraId="6A84F14F" w14:textId="77777777" w:rsidR="00851323" w:rsidRPr="00BD16B4" w:rsidRDefault="00851323" w:rsidP="0011037B">
      <w:pPr>
        <w:pStyle w:val="Bullet"/>
      </w:pPr>
      <w:r w:rsidRPr="00BD16B4">
        <w:t xml:space="preserve">measures and indicators to enable regular monitoring on implementation. </w:t>
      </w:r>
    </w:p>
    <w:p w14:paraId="092A494E" w14:textId="77777777" w:rsidR="00851323" w:rsidRPr="00BD16B4" w:rsidRDefault="00851323" w:rsidP="00851323">
      <w:pPr>
        <w:pStyle w:val="BodyText"/>
      </w:pPr>
      <w:r w:rsidRPr="00BD16B4">
        <w:t>The first national adaptation plan was published in August 2022, and the second is due by August 2028.</w:t>
      </w:r>
    </w:p>
    <w:p w14:paraId="364AF480" w14:textId="77777777" w:rsidR="00851323" w:rsidRPr="00BD16B4" w:rsidRDefault="00851323" w:rsidP="004E1B8C">
      <w:pPr>
        <w:pStyle w:val="Heading4"/>
      </w:pPr>
      <w:r w:rsidRPr="00BD16B4">
        <w:lastRenderedPageBreak/>
        <w:t>Progress reports</w:t>
      </w:r>
    </w:p>
    <w:p w14:paraId="7492B10E" w14:textId="77777777" w:rsidR="00851323" w:rsidRPr="00BD16B4" w:rsidRDefault="00851323" w:rsidP="00851323">
      <w:pPr>
        <w:pStyle w:val="BodyText"/>
      </w:pPr>
      <w:r w:rsidRPr="00BD16B4">
        <w:t xml:space="preserve">For each national adaptation plan, the Commission must report every two years on its implementation and effectiveness in reducing the risks. The first report is due August 2024. The Government must respond to the Commission’s report within six months of receiving it. </w:t>
      </w:r>
    </w:p>
    <w:p w14:paraId="3A9F6F21" w14:textId="77777777" w:rsidR="00851323" w:rsidRPr="00BD16B4" w:rsidRDefault="00851323" w:rsidP="004E1B8C">
      <w:pPr>
        <w:pStyle w:val="Heading4"/>
      </w:pPr>
      <w:r w:rsidRPr="00BD16B4">
        <w:t>Power to request information on adaptation preparedness</w:t>
      </w:r>
    </w:p>
    <w:p w14:paraId="1177275F" w14:textId="7409B07E" w:rsidR="00851323" w:rsidRPr="00BD16B4" w:rsidRDefault="00851323" w:rsidP="00851323">
      <w:pPr>
        <w:pStyle w:val="BodyText"/>
      </w:pPr>
      <w:r w:rsidRPr="00BD16B4">
        <w:t>The Climate Change Response Act 2002 also allows the Government and the Commission to request information on how prepared policy and service delivery organisations are for the impacts of climate change. Results from the first request, sent in 2020, established a baseline against which future results may give an indication of the effectiveness of the national adaptation plan in supporting organisations to reduce risks from climate change.</w:t>
      </w:r>
    </w:p>
    <w:p w14:paraId="232E2DF2" w14:textId="77777777" w:rsidR="00851323" w:rsidRPr="00BD16B4" w:rsidRDefault="00851323" w:rsidP="004E1B8C">
      <w:pPr>
        <w:pStyle w:val="Heading4"/>
      </w:pPr>
      <w:r w:rsidRPr="00BD16B4">
        <w:t>Other legislation and instruments</w:t>
      </w:r>
    </w:p>
    <w:p w14:paraId="3DA56CDD" w14:textId="77777777" w:rsidR="00851323" w:rsidRPr="00BD16B4" w:rsidRDefault="00851323" w:rsidP="00851323">
      <w:pPr>
        <w:pStyle w:val="BodyText"/>
      </w:pPr>
      <w:r w:rsidRPr="00BD16B4">
        <w:t xml:space="preserve">Local government, comprising of local and regional councils, has statutory responsibilities to avoid or mitigate natural hazards and to have regard to the effects of climate change when making certain decisions. It is also responsible for civil defence and emergency management and improving community resilience through public education and local planning. Local government functions and duties relating to natural hazards include: </w:t>
      </w:r>
    </w:p>
    <w:p w14:paraId="0E4E2CDC" w14:textId="06CA45FA" w:rsidR="00851323" w:rsidRPr="00BD16B4" w:rsidRDefault="00851323" w:rsidP="0011037B">
      <w:pPr>
        <w:pStyle w:val="Bullet"/>
      </w:pPr>
      <w:r w:rsidRPr="00BD16B4">
        <w:t>land</w:t>
      </w:r>
      <w:r w:rsidR="00C17C8A" w:rsidRPr="00BD16B4">
        <w:t>-</w:t>
      </w:r>
      <w:r w:rsidRPr="00BD16B4">
        <w:t xml:space="preserve">use planning under the Resource Management Act 1991, including national direction </w:t>
      </w:r>
    </w:p>
    <w:p w14:paraId="681BADD7" w14:textId="77777777" w:rsidR="00851323" w:rsidRPr="00BD16B4" w:rsidRDefault="00851323" w:rsidP="0011037B">
      <w:pPr>
        <w:pStyle w:val="Bullet"/>
      </w:pPr>
      <w:r w:rsidRPr="00BD16B4">
        <w:t xml:space="preserve">civil defence, as outlined in the Civil Defence Emergency Management Act 2002 and civil defence emergency management group plans </w:t>
      </w:r>
    </w:p>
    <w:p w14:paraId="08E8FA9C" w14:textId="77777777" w:rsidR="00851323" w:rsidRPr="00BD16B4" w:rsidRDefault="00851323" w:rsidP="0011037B">
      <w:pPr>
        <w:pStyle w:val="Bullet"/>
      </w:pPr>
      <w:r w:rsidRPr="00BD16B4">
        <w:t xml:space="preserve">asset management based on the Soil Conservation and Rivers Control Act 1941 and councils’ long-term plans and infrastructure strategies developed under the Local Government Act 2002 </w:t>
      </w:r>
    </w:p>
    <w:p w14:paraId="6CE2DC8E" w14:textId="77777777" w:rsidR="00851323" w:rsidRPr="00BD16B4" w:rsidRDefault="00851323" w:rsidP="0011037B">
      <w:pPr>
        <w:pStyle w:val="Bullet"/>
      </w:pPr>
      <w:r w:rsidRPr="00BD16B4">
        <w:t xml:space="preserve">building regulation based on the Building Act 2004 </w:t>
      </w:r>
    </w:p>
    <w:p w14:paraId="56342207" w14:textId="77777777" w:rsidR="00851323" w:rsidRPr="00BD16B4" w:rsidRDefault="00851323" w:rsidP="0011037B">
      <w:pPr>
        <w:pStyle w:val="Bullet"/>
      </w:pPr>
      <w:r w:rsidRPr="00BD16B4">
        <w:t>disclosure of hazard information, as required by the Local Government Official Information and Meetings Act 1987.</w:t>
      </w:r>
    </w:p>
    <w:p w14:paraId="290A5CDB" w14:textId="77777777" w:rsidR="00851323" w:rsidRPr="00BD16B4" w:rsidRDefault="00851323" w:rsidP="004E1B8C">
      <w:pPr>
        <w:pStyle w:val="Heading4"/>
      </w:pPr>
      <w:r w:rsidRPr="00BD16B4">
        <w:t>Examples of institutional arrangements for adaptation</w:t>
      </w:r>
    </w:p>
    <w:p w14:paraId="0D991022" w14:textId="77777777" w:rsidR="00851323" w:rsidRPr="00BD16B4" w:rsidRDefault="00851323" w:rsidP="00851323">
      <w:pPr>
        <w:pStyle w:val="BodyText"/>
      </w:pPr>
      <w:r w:rsidRPr="00BD16B4">
        <w:t>All New Zealanders have a role to play in adapting to the impacts of climate change:</w:t>
      </w:r>
    </w:p>
    <w:p w14:paraId="440CA245" w14:textId="77777777" w:rsidR="00851323" w:rsidRPr="00BD16B4" w:rsidRDefault="00851323" w:rsidP="0011037B">
      <w:pPr>
        <w:pStyle w:val="Bullet"/>
      </w:pPr>
      <w:r w:rsidRPr="00BD16B4">
        <w:t xml:space="preserve">Central government establishes regulatory and institutional settings that support effective adaptation. They also facilitate the availability of information and data for good risk-informed decision-making. </w:t>
      </w:r>
    </w:p>
    <w:p w14:paraId="33BA1A91" w14:textId="77777777" w:rsidR="00851323" w:rsidRPr="00BD16B4" w:rsidRDefault="00851323" w:rsidP="0011037B">
      <w:pPr>
        <w:pStyle w:val="Bullet"/>
      </w:pPr>
      <w:r w:rsidRPr="00BD16B4">
        <w:t xml:space="preserve">Local government is at the centre of risk management planning and response because most hazard events occur at the local or regional scale. Māori play a unique role in adaptation as Tiriti partners, tangata whenua (people of the land) and kaitiaki (guardians). </w:t>
      </w:r>
    </w:p>
    <w:p w14:paraId="0599FCEE" w14:textId="77777777" w:rsidR="00851323" w:rsidRPr="00BD16B4" w:rsidRDefault="00851323" w:rsidP="0011037B">
      <w:pPr>
        <w:pStyle w:val="Bullet"/>
        <w:rPr>
          <w:spacing w:val="-2"/>
        </w:rPr>
      </w:pPr>
      <w:r w:rsidRPr="00BD16B4">
        <w:rPr>
          <w:spacing w:val="-2"/>
        </w:rPr>
        <w:t xml:space="preserve">Businesses need to strengthen their resilience to climate risks, including risks to their assets. </w:t>
      </w:r>
    </w:p>
    <w:p w14:paraId="7F88D82D" w14:textId="77777777" w:rsidR="00851323" w:rsidRPr="00BD16B4" w:rsidRDefault="00851323" w:rsidP="0011037B">
      <w:pPr>
        <w:pStyle w:val="Bullet"/>
      </w:pPr>
      <w:r w:rsidRPr="00BD16B4">
        <w:t xml:space="preserve">The research and scientific community can also contribute to adaptation because adaptation decisions must be based on the best available science. </w:t>
      </w:r>
    </w:p>
    <w:p w14:paraId="3FDA2C83" w14:textId="77777777" w:rsidR="00851323" w:rsidRPr="00BD16B4" w:rsidRDefault="00851323" w:rsidP="00851323">
      <w:pPr>
        <w:pStyle w:val="BodyText"/>
      </w:pPr>
      <w:r w:rsidRPr="00BD16B4">
        <w:t>Table 6.1 outlines key examples of institutional arrangements in Aotearoa New Zealand that support adaptation.</w:t>
      </w:r>
    </w:p>
    <w:p w14:paraId="2FEA624D" w14:textId="77777777" w:rsidR="00851323" w:rsidRPr="00BD16B4" w:rsidRDefault="00851323" w:rsidP="00BB7302">
      <w:pPr>
        <w:pStyle w:val="Tableheading"/>
      </w:pPr>
      <w:bookmarkStart w:id="316" w:name="_Toc121773819"/>
      <w:r w:rsidRPr="00BD16B4">
        <w:lastRenderedPageBreak/>
        <w:t xml:space="preserve">Table 6.1: </w:t>
      </w:r>
      <w:r w:rsidRPr="00BD16B4">
        <w:tab/>
        <w:t>Key institutional arrangements for adaptation in Aotearoa New Zealand</w:t>
      </w:r>
      <w:bookmarkEnd w:id="316"/>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122"/>
        <w:gridCol w:w="6383"/>
      </w:tblGrid>
      <w:tr w:rsidR="00851323" w:rsidRPr="00BD16B4" w14:paraId="68A92791" w14:textId="77777777" w:rsidTr="00F31129">
        <w:tc>
          <w:tcPr>
            <w:tcW w:w="2122" w:type="dxa"/>
            <w:shd w:val="clear" w:color="auto" w:fill="1B556B" w:themeFill="text2"/>
          </w:tcPr>
          <w:p w14:paraId="4DC9ED1A" w14:textId="77777777" w:rsidR="00851323" w:rsidRPr="00BD16B4" w:rsidRDefault="00851323" w:rsidP="00F31129">
            <w:pPr>
              <w:pStyle w:val="TableText"/>
              <w:rPr>
                <w:rFonts w:eastAsia="Times New Roman"/>
                <w:b/>
                <w:bCs/>
                <w:color w:val="FFFFFF" w:themeColor="background1"/>
              </w:rPr>
            </w:pPr>
            <w:r w:rsidRPr="00BD16B4">
              <w:rPr>
                <w:rFonts w:eastAsia="Times New Roman"/>
                <w:b/>
                <w:bCs/>
                <w:color w:val="FFFFFF" w:themeColor="background1"/>
              </w:rPr>
              <w:t>Role</w:t>
            </w:r>
          </w:p>
        </w:tc>
        <w:tc>
          <w:tcPr>
            <w:tcW w:w="6383" w:type="dxa"/>
            <w:shd w:val="clear" w:color="auto" w:fill="1B556B" w:themeFill="text2"/>
          </w:tcPr>
          <w:p w14:paraId="5699E313" w14:textId="77777777" w:rsidR="00851323" w:rsidRPr="00BD16B4" w:rsidRDefault="00851323" w:rsidP="00F31129">
            <w:pPr>
              <w:pStyle w:val="TableText"/>
              <w:rPr>
                <w:rFonts w:eastAsia="Times New Roman"/>
                <w:b/>
                <w:bCs/>
                <w:color w:val="FFFFFF" w:themeColor="background1"/>
              </w:rPr>
            </w:pPr>
            <w:r w:rsidRPr="00BD16B4">
              <w:rPr>
                <w:rFonts w:eastAsia="Times New Roman"/>
                <w:b/>
                <w:bCs/>
                <w:color w:val="FFFFFF" w:themeColor="background1"/>
              </w:rPr>
              <w:t>Institutional arrangement</w:t>
            </w:r>
          </w:p>
        </w:tc>
      </w:tr>
      <w:tr w:rsidR="00851323" w:rsidRPr="00BD16B4" w14:paraId="7A0C666D" w14:textId="77777777" w:rsidTr="00F31129">
        <w:tc>
          <w:tcPr>
            <w:tcW w:w="2122" w:type="dxa"/>
            <w:shd w:val="clear" w:color="auto" w:fill="auto"/>
          </w:tcPr>
          <w:p w14:paraId="3C5FD372" w14:textId="77777777" w:rsidR="00851323" w:rsidRPr="00BD16B4" w:rsidRDefault="00851323" w:rsidP="00F31129">
            <w:pPr>
              <w:pStyle w:val="TableText"/>
              <w:rPr>
                <w:b/>
                <w:bCs/>
              </w:rPr>
            </w:pPr>
            <w:r w:rsidRPr="00BD16B4">
              <w:rPr>
                <w:bCs/>
              </w:rPr>
              <w:t>Assessing climate impacts</w:t>
            </w:r>
          </w:p>
        </w:tc>
        <w:tc>
          <w:tcPr>
            <w:tcW w:w="6383" w:type="dxa"/>
            <w:shd w:val="clear" w:color="auto" w:fill="auto"/>
          </w:tcPr>
          <w:p w14:paraId="433F9A39" w14:textId="77777777" w:rsidR="00851323" w:rsidRPr="00BD16B4" w:rsidRDefault="00851323" w:rsidP="00F31129">
            <w:pPr>
              <w:pStyle w:val="TableText"/>
            </w:pPr>
            <w:r w:rsidRPr="00BD16B4">
              <w:t xml:space="preserve">National Institute of Water and Atmospheric Research (NIWA) monitors water and weather patterns. It provides climate services, resources for understanding climate and climate change, and conducts research on a range of climate variables. </w:t>
            </w:r>
          </w:p>
        </w:tc>
      </w:tr>
      <w:tr w:rsidR="00851323" w:rsidRPr="00BD16B4" w14:paraId="7CA4770F" w14:textId="77777777" w:rsidTr="00F31129">
        <w:tc>
          <w:tcPr>
            <w:tcW w:w="2122" w:type="dxa"/>
            <w:shd w:val="clear" w:color="auto" w:fill="auto"/>
          </w:tcPr>
          <w:p w14:paraId="48C26F1D" w14:textId="77777777" w:rsidR="00851323" w:rsidRPr="00BD16B4" w:rsidRDefault="00851323" w:rsidP="00F31129">
            <w:pPr>
              <w:pStyle w:val="TableText"/>
              <w:rPr>
                <w:b/>
                <w:bCs/>
              </w:rPr>
            </w:pPr>
            <w:r w:rsidRPr="00BD16B4">
              <w:rPr>
                <w:bCs/>
              </w:rPr>
              <w:t>Climate change at sector level</w:t>
            </w:r>
          </w:p>
        </w:tc>
        <w:tc>
          <w:tcPr>
            <w:tcW w:w="6383" w:type="dxa"/>
            <w:shd w:val="clear" w:color="auto" w:fill="auto"/>
          </w:tcPr>
          <w:p w14:paraId="662D8DC4" w14:textId="77777777" w:rsidR="00851323" w:rsidRPr="00BD16B4" w:rsidRDefault="00851323" w:rsidP="00F31129">
            <w:pPr>
              <w:pStyle w:val="TableText"/>
            </w:pPr>
            <w:r w:rsidRPr="00BD16B4">
              <w:t>One of the four priorities of the legislatively mandated national adaptation plan is to embed climate resilience in all government strategies and policies. Chapters 6–10 of the plan set out actions and future work programmes across five sectors, to support climate resilience across the natural environment (chapter 6), the built environment (chapters 7 and 8), the economy and primary industries (chapter 10) and health and communities (chapter 9).</w:t>
            </w:r>
          </w:p>
        </w:tc>
      </w:tr>
      <w:tr w:rsidR="00851323" w:rsidRPr="00BD16B4" w14:paraId="1E88EB46" w14:textId="77777777" w:rsidTr="00F31129">
        <w:tc>
          <w:tcPr>
            <w:tcW w:w="2122" w:type="dxa"/>
            <w:shd w:val="clear" w:color="auto" w:fill="auto"/>
          </w:tcPr>
          <w:p w14:paraId="4C787901" w14:textId="77777777" w:rsidR="00851323" w:rsidRPr="00BD16B4" w:rsidRDefault="00851323" w:rsidP="00F31129">
            <w:pPr>
              <w:pStyle w:val="TableText"/>
              <w:rPr>
                <w:b/>
                <w:bCs/>
              </w:rPr>
            </w:pPr>
            <w:r w:rsidRPr="00BD16B4">
              <w:rPr>
                <w:bCs/>
              </w:rPr>
              <w:t>Decision-making</w:t>
            </w:r>
          </w:p>
        </w:tc>
        <w:tc>
          <w:tcPr>
            <w:tcW w:w="6383" w:type="dxa"/>
            <w:shd w:val="clear" w:color="auto" w:fill="auto"/>
          </w:tcPr>
          <w:p w14:paraId="44C6ED43" w14:textId="77777777" w:rsidR="00851323" w:rsidRPr="00BD16B4" w:rsidRDefault="00851323" w:rsidP="00F31129">
            <w:pPr>
              <w:pStyle w:val="TableText"/>
            </w:pPr>
            <w:r w:rsidRPr="00BD16B4">
              <w:t xml:space="preserve">Aotearoa New Zealand has a Minister of Climate Change. The Minister’s responsibilities include overall climate change policy direction and New Zealand’s climate change adaptation response. The Ministry for the Environment provides the administrative support for this portfolio. </w:t>
            </w:r>
          </w:p>
        </w:tc>
      </w:tr>
      <w:tr w:rsidR="00851323" w:rsidRPr="00BD16B4" w14:paraId="089F7211" w14:textId="77777777" w:rsidTr="00F31129">
        <w:tc>
          <w:tcPr>
            <w:tcW w:w="2122" w:type="dxa"/>
            <w:shd w:val="clear" w:color="auto" w:fill="auto"/>
          </w:tcPr>
          <w:p w14:paraId="05B69E4C" w14:textId="77777777" w:rsidR="00851323" w:rsidRPr="00BD16B4" w:rsidRDefault="00851323" w:rsidP="00F31129">
            <w:pPr>
              <w:pStyle w:val="TableText"/>
              <w:rPr>
                <w:b/>
                <w:bCs/>
              </w:rPr>
            </w:pPr>
            <w:r w:rsidRPr="00BD16B4">
              <w:rPr>
                <w:bCs/>
              </w:rPr>
              <w:t>Coordination, addressing cross-cutting issues, adjusting priorities and activities</w:t>
            </w:r>
          </w:p>
        </w:tc>
        <w:tc>
          <w:tcPr>
            <w:tcW w:w="6383" w:type="dxa"/>
            <w:shd w:val="clear" w:color="auto" w:fill="auto"/>
          </w:tcPr>
          <w:p w14:paraId="49E3701F" w14:textId="4DD0CB23" w:rsidR="00851323" w:rsidRPr="00BD16B4" w:rsidRDefault="00851323" w:rsidP="00F31129">
            <w:pPr>
              <w:pStyle w:val="TableText"/>
            </w:pPr>
            <w:r w:rsidRPr="00BD16B4">
              <w:t>Climate change is a cross-cutting issue of relevance to almost all government agencies. This is reflected in the recent set up of the Climate Change Chief Executives Board (the Board) that oversees both the emissions reduction plan and national adaptation plan. The Climate Response Minister</w:t>
            </w:r>
            <w:r w:rsidR="002D0850" w:rsidRPr="00BD16B4">
              <w:t>ial</w:t>
            </w:r>
            <w:r w:rsidRPr="00BD16B4">
              <w:t xml:space="preserve"> Group oversees the national adaptation plan and its progress.</w:t>
            </w:r>
          </w:p>
          <w:p w14:paraId="35513D0A" w14:textId="77777777" w:rsidR="00851323" w:rsidRPr="00BD16B4" w:rsidRDefault="00851323" w:rsidP="00F31129">
            <w:pPr>
              <w:pStyle w:val="TableText"/>
            </w:pPr>
            <w:r w:rsidRPr="00BD16B4">
              <w:t xml:space="preserve">The Board is responsible for overseeing overall implementation of the national adaptation plan, periodically assessing its sufficiency, and advising where course corrections are needed. This includes adjustment of priorities and activities. </w:t>
            </w:r>
          </w:p>
        </w:tc>
      </w:tr>
      <w:tr w:rsidR="00851323" w:rsidRPr="00BD16B4" w14:paraId="02ABB390" w14:textId="77777777" w:rsidTr="00F31129">
        <w:tc>
          <w:tcPr>
            <w:tcW w:w="2122" w:type="dxa"/>
            <w:shd w:val="clear" w:color="auto" w:fill="auto"/>
          </w:tcPr>
          <w:p w14:paraId="67E7A9F3" w14:textId="77777777" w:rsidR="00851323" w:rsidRPr="00BD16B4" w:rsidRDefault="00851323" w:rsidP="00F31129">
            <w:pPr>
              <w:pStyle w:val="TableText"/>
              <w:rPr>
                <w:b/>
                <w:bCs/>
              </w:rPr>
            </w:pPr>
            <w:r w:rsidRPr="00BD16B4">
              <w:rPr>
                <w:bCs/>
              </w:rPr>
              <w:t>Planning and coordination</w:t>
            </w:r>
          </w:p>
        </w:tc>
        <w:tc>
          <w:tcPr>
            <w:tcW w:w="6383" w:type="dxa"/>
            <w:shd w:val="clear" w:color="auto" w:fill="auto"/>
          </w:tcPr>
          <w:p w14:paraId="3D6FBCD3" w14:textId="77777777" w:rsidR="00851323" w:rsidRPr="00BD16B4" w:rsidRDefault="00851323" w:rsidP="00F31129">
            <w:pPr>
              <w:pStyle w:val="TableText"/>
            </w:pPr>
            <w:r w:rsidRPr="00BD16B4">
              <w:t xml:space="preserve">The New Zealand Government directs adaptation work at the local and regional level through the Resource Management Act 1991 and Local Government Act </w:t>
            </w:r>
            <w:r w:rsidRPr="00BD16B4">
              <w:rPr>
                <w:rFonts w:cstheme="minorHAnsi"/>
              </w:rPr>
              <w:t>2002. As of November 2022, councils will be required to have regard to the national adaptation plan when making or changing policy statements or plans.</w:t>
            </w:r>
          </w:p>
        </w:tc>
      </w:tr>
      <w:tr w:rsidR="00851323" w:rsidRPr="00BD16B4" w14:paraId="0785CB3E" w14:textId="77777777" w:rsidTr="00F31129">
        <w:tc>
          <w:tcPr>
            <w:tcW w:w="2122" w:type="dxa"/>
            <w:shd w:val="clear" w:color="auto" w:fill="auto"/>
          </w:tcPr>
          <w:p w14:paraId="101444AD" w14:textId="77777777" w:rsidR="00851323" w:rsidRPr="00BD16B4" w:rsidRDefault="00851323" w:rsidP="00F31129">
            <w:pPr>
              <w:pStyle w:val="TableText"/>
              <w:rPr>
                <w:b/>
                <w:bCs/>
              </w:rPr>
            </w:pPr>
            <w:r w:rsidRPr="00BD16B4">
              <w:rPr>
                <w:bCs/>
              </w:rPr>
              <w:t>Data governance</w:t>
            </w:r>
          </w:p>
        </w:tc>
        <w:tc>
          <w:tcPr>
            <w:tcW w:w="6383" w:type="dxa"/>
            <w:shd w:val="clear" w:color="auto" w:fill="auto"/>
          </w:tcPr>
          <w:p w14:paraId="749B5E83" w14:textId="77777777" w:rsidR="00851323" w:rsidRPr="00BD16B4" w:rsidRDefault="00851323" w:rsidP="00F31129">
            <w:pPr>
              <w:pStyle w:val="TableText"/>
            </w:pPr>
            <w:r w:rsidRPr="00BD16B4">
              <w:t>Statistics about Aotearoa New Zealand’s atmosphere and climate come from the Environmental Reporting Series, which is produced by Stats NZ and the Ministry for the Environment. Twenty atmosphere and climate indicators support the reports with technical information and interactive maps and graphs.</w:t>
            </w:r>
            <w:r w:rsidRPr="00BD16B4">
              <w:rPr>
                <w:rStyle w:val="FootnoteReference"/>
                <w:rFonts w:asciiTheme="minorHAnsi" w:hAnsiTheme="minorHAnsi" w:cstheme="minorHAnsi"/>
                <w:sz w:val="18"/>
                <w:szCs w:val="18"/>
              </w:rPr>
              <w:footnoteReference w:id="272"/>
            </w:r>
          </w:p>
        </w:tc>
      </w:tr>
    </w:tbl>
    <w:p w14:paraId="32D2C28C" w14:textId="768209E3" w:rsidR="00851323" w:rsidRPr="00BD16B4" w:rsidRDefault="00851323" w:rsidP="008E0DE7">
      <w:pPr>
        <w:pStyle w:val="Heading2"/>
        <w:spacing w:before="440"/>
      </w:pPr>
      <w:bookmarkStart w:id="317" w:name="_Toc121774649"/>
      <w:r w:rsidRPr="00BD16B4">
        <w:t xml:space="preserve">6.3 </w:t>
      </w:r>
      <w:r w:rsidRPr="00BD16B4">
        <w:tab/>
        <w:t>Climate modelling, projections and scenarios</w:t>
      </w:r>
      <w:bookmarkEnd w:id="317"/>
    </w:p>
    <w:p w14:paraId="5A7E311A" w14:textId="77777777" w:rsidR="00851323" w:rsidRPr="00BD16B4" w:rsidRDefault="00851323" w:rsidP="00851323">
      <w:pPr>
        <w:pStyle w:val="Heading3"/>
        <w:spacing w:before="240"/>
      </w:pPr>
      <w:r w:rsidRPr="00BD16B4">
        <w:t>6.3.1</w:t>
      </w:r>
      <w:r w:rsidRPr="00BD16B4">
        <w:tab/>
        <w:t>Current climate</w:t>
      </w:r>
    </w:p>
    <w:p w14:paraId="362E8DC9" w14:textId="1790F9BF" w:rsidR="00851323" w:rsidRPr="00BD16B4" w:rsidRDefault="00851323" w:rsidP="00851323">
      <w:pPr>
        <w:pStyle w:val="BodyText"/>
        <w:rPr>
          <w:rFonts w:eastAsia="Calibri"/>
        </w:rPr>
      </w:pPr>
      <w:r w:rsidRPr="00BD16B4">
        <w:rPr>
          <w:rFonts w:eastAsia="Calibri"/>
        </w:rPr>
        <w:t>In the past 100 years, Aotearoa New Zealand’s climate has warmed by 1.1</w:t>
      </w:r>
      <w:r w:rsidR="00550600" w:rsidRPr="00BD16B4">
        <w:t>°C</w:t>
      </w:r>
      <w:r w:rsidRPr="00BD16B4">
        <w:rPr>
          <w:rFonts w:eastAsia="Calibri"/>
        </w:rPr>
        <w:t>. New Zealand is experiencing more hot days and fewer cold days: 2021 was the warmest year on record, surpassing the previous record set in 2016.</w:t>
      </w:r>
      <w:r w:rsidRPr="00BD16B4">
        <w:rPr>
          <w:rStyle w:val="FootnoteReference"/>
          <w:rFonts w:eastAsia="Calibri" w:cs="Calibri"/>
        </w:rPr>
        <w:footnoteReference w:id="273"/>
      </w:r>
      <w:r w:rsidRPr="00BD16B4">
        <w:rPr>
          <w:rFonts w:eastAsia="Calibri"/>
        </w:rPr>
        <w:t xml:space="preserve"> Higher temperatures change the physical environment and weather patterns, presenting new and greater risks to the wellbeing of people and communities and their ways of life, buildings and infrastructure, the natural environment and economy. Globally, sea-level rise is accelerating, with an average rise rate </w:t>
      </w:r>
      <w:r w:rsidRPr="00BD16B4">
        <w:rPr>
          <w:rFonts w:eastAsia="Calibri"/>
        </w:rPr>
        <w:lastRenderedPageBreak/>
        <w:t>of</w:t>
      </w:r>
      <w:r w:rsidR="004E64C0" w:rsidRPr="00BD16B4">
        <w:rPr>
          <w:rFonts w:eastAsia="Calibri"/>
        </w:rPr>
        <w:t> </w:t>
      </w:r>
      <w:r w:rsidRPr="00BD16B4">
        <w:rPr>
          <w:rFonts w:eastAsia="Calibri"/>
        </w:rPr>
        <w:t>3.7 millimetres per year between 2006 and 2018.</w:t>
      </w:r>
      <w:r w:rsidRPr="00BD16B4">
        <w:rPr>
          <w:rStyle w:val="FootnoteReference"/>
          <w:rFonts w:eastAsia="Calibri" w:cs="Calibri"/>
        </w:rPr>
        <w:footnoteReference w:id="274"/>
      </w:r>
      <w:r w:rsidRPr="00BD16B4">
        <w:rPr>
          <w:rFonts w:eastAsia="Calibri"/>
        </w:rPr>
        <w:t xml:space="preserve"> By 2100, median sea level in New Zealand is projected to increase by a further 0.44 metres on average under a low-emissions scenario and 0.83 metres on average under a high-emissions scenario. Under the highest emission scenario, sea level in New Zealand is projected to increase by 1.09 metres on average.</w:t>
      </w:r>
      <w:r w:rsidRPr="00BD16B4">
        <w:rPr>
          <w:rStyle w:val="FootnoteReference"/>
          <w:rFonts w:eastAsia="Calibri" w:cs="Calibri"/>
        </w:rPr>
        <w:footnoteReference w:id="275"/>
      </w:r>
      <w:r w:rsidRPr="00BD16B4">
        <w:rPr>
          <w:rFonts w:eastAsia="Calibri"/>
        </w:rPr>
        <w:t xml:space="preserve"> Since 1960, rainfall has mostly increased in the south and decreased in the north, while changes in extreme rainfall are mixed.</w:t>
      </w:r>
      <w:r w:rsidRPr="00BD16B4">
        <w:rPr>
          <w:rStyle w:val="FootnoteReference"/>
          <w:rFonts w:eastAsia="Calibri" w:cs="Calibri"/>
        </w:rPr>
        <w:footnoteReference w:id="276"/>
      </w:r>
      <w:r w:rsidRPr="00BD16B4">
        <w:rPr>
          <w:rFonts w:eastAsia="Calibri"/>
        </w:rPr>
        <w:t xml:space="preserve"> </w:t>
      </w:r>
    </w:p>
    <w:p w14:paraId="33021B9B" w14:textId="77777777" w:rsidR="00851323" w:rsidRPr="00BD16B4" w:rsidRDefault="00851323" w:rsidP="00851323">
      <w:pPr>
        <w:pStyle w:val="BodyText"/>
      </w:pPr>
      <w:r w:rsidRPr="00BD16B4">
        <w:t xml:space="preserve">Other major climate impacts are already occurring throughout New Zealand. These were detailed in the </w:t>
      </w:r>
      <w:r w:rsidRPr="00BD16B4">
        <w:rPr>
          <w:rFonts w:eastAsia="Calibri" w:cs="Calibri"/>
        </w:rPr>
        <w:t>Intergovernmental Panel on Climate Change</w:t>
      </w:r>
      <w:r w:rsidRPr="00BD16B4">
        <w:t xml:space="preserve"> (IPCC) report </w:t>
      </w:r>
      <w:r w:rsidRPr="00BD16B4">
        <w:rPr>
          <w:i/>
          <w:iCs/>
        </w:rPr>
        <w:t>Climate Change 2022: Impacts, Adaptation and Vulnerability</w:t>
      </w:r>
      <w:r w:rsidRPr="00BD16B4">
        <w:t>:</w:t>
      </w:r>
      <w:r w:rsidRPr="00BD16B4">
        <w:rPr>
          <w:rStyle w:val="FootnoteReference"/>
        </w:rPr>
        <w:footnoteReference w:id="277"/>
      </w:r>
      <w:r w:rsidRPr="00BD16B4">
        <w:t xml:space="preserve"> </w:t>
      </w:r>
    </w:p>
    <w:p w14:paraId="72E9DD00" w14:textId="77777777" w:rsidR="00851323" w:rsidRPr="00BD16B4" w:rsidRDefault="00851323" w:rsidP="0011037B">
      <w:pPr>
        <w:pStyle w:val="Bullet"/>
        <w:rPr>
          <w:rFonts w:eastAsia="Calibri"/>
        </w:rPr>
      </w:pPr>
      <w:r w:rsidRPr="00BD16B4">
        <w:rPr>
          <w:rFonts w:eastAsia="Calibri"/>
        </w:rPr>
        <w:t>the frequency, severity and duration of extreme wildfire weather conditions is mixed but has increased in the north-east. An increase has occurred in fire impacts, including lost, damaged, threatened and evacuated homes between 1988–2018</w:t>
      </w:r>
    </w:p>
    <w:p w14:paraId="10D04516" w14:textId="782AA69E" w:rsidR="00851323" w:rsidRPr="00BD16B4" w:rsidRDefault="00851323" w:rsidP="0011037B">
      <w:pPr>
        <w:pStyle w:val="Bullet"/>
        <w:rPr>
          <w:rFonts w:asciiTheme="minorHAnsi" w:eastAsiaTheme="minorEastAsia" w:hAnsiTheme="minorHAnsi"/>
        </w:rPr>
      </w:pPr>
      <w:r w:rsidRPr="00BD16B4">
        <w:rPr>
          <w:rFonts w:asciiTheme="minorHAnsi" w:eastAsiaTheme="minorEastAsia" w:hAnsiTheme="minorHAnsi"/>
        </w:rPr>
        <w:t>sea surface temperatures</w:t>
      </w:r>
      <w:r w:rsidRPr="00BD16B4" w:rsidDel="00612B04">
        <w:rPr>
          <w:rFonts w:asciiTheme="minorHAnsi" w:eastAsiaTheme="minorEastAsia" w:hAnsiTheme="minorHAnsi"/>
        </w:rPr>
        <w:t xml:space="preserve"> </w:t>
      </w:r>
      <w:r w:rsidRPr="00BD16B4">
        <w:rPr>
          <w:rFonts w:asciiTheme="minorHAnsi" w:eastAsiaTheme="minorEastAsia" w:hAnsiTheme="minorHAnsi"/>
        </w:rPr>
        <w:t>increased by 0.2</w:t>
      </w:r>
      <w:r w:rsidR="00550600" w:rsidRPr="00BD16B4">
        <w:t>°C</w:t>
      </w:r>
      <w:r w:rsidRPr="00BD16B4">
        <w:rPr>
          <w:rFonts w:asciiTheme="minorHAnsi" w:eastAsiaTheme="minorEastAsia" w:hAnsiTheme="minorHAnsi"/>
        </w:rPr>
        <w:t xml:space="preserve"> per decade from 1981–2018, with Tasman sea surface temperatures the warmest on record during the summer of 2017/18</w:t>
      </w:r>
    </w:p>
    <w:p w14:paraId="20F708AD" w14:textId="77777777" w:rsidR="00851323" w:rsidRPr="00BD16B4" w:rsidRDefault="00851323" w:rsidP="0011037B">
      <w:pPr>
        <w:pStyle w:val="Bullet"/>
        <w:rPr>
          <w:rFonts w:eastAsia="Calibri"/>
        </w:rPr>
      </w:pPr>
      <w:r w:rsidRPr="00BD16B4">
        <w:rPr>
          <w:rFonts w:asciiTheme="minorHAnsi" w:eastAsiaTheme="minorEastAsia" w:hAnsiTheme="minorHAnsi"/>
        </w:rPr>
        <w:t xml:space="preserve">the number of frost days decreased at 12 of 30 sites monitored across New Zealand, while the </w:t>
      </w:r>
      <w:r w:rsidRPr="00BD16B4">
        <w:rPr>
          <w:rFonts w:eastAsia="Calibri"/>
        </w:rPr>
        <w:t xml:space="preserve">number of warm days increased at 19 of the 30 sites between 1972–2019, while the number of heatwave days increased at 18 of the 30 sites </w:t>
      </w:r>
    </w:p>
    <w:p w14:paraId="4014AAB7" w14:textId="77777777" w:rsidR="00851323" w:rsidRPr="00BD16B4" w:rsidRDefault="00851323" w:rsidP="0011037B">
      <w:pPr>
        <w:pStyle w:val="Bullet"/>
        <w:rPr>
          <w:rFonts w:eastAsia="Calibri"/>
        </w:rPr>
      </w:pPr>
      <w:r w:rsidRPr="00BD16B4">
        <w:rPr>
          <w:rFonts w:eastAsia="Calibri"/>
        </w:rPr>
        <w:t xml:space="preserve">glacier volume has decreased 33 per cent since 1977. In the Southern Alps, from </w:t>
      </w:r>
      <w:r w:rsidRPr="00BD16B4">
        <w:rPr>
          <w:rFonts w:eastAsia="Calibri"/>
        </w:rPr>
        <w:br/>
        <w:t>1978–2016, the area of 14 glaciers declined 21 per cent, and extreme glacier mass loss was at least six times more likely in 2011, and ten times more likely in 2018, due to climate change. The end-of-summer snowline elevation for 50 glaciers rose 300 metres from 1949–2019</w:t>
      </w:r>
    </w:p>
    <w:p w14:paraId="73E60E76" w14:textId="77777777" w:rsidR="00851323" w:rsidRPr="00BD16B4" w:rsidRDefault="00851323" w:rsidP="0011037B">
      <w:pPr>
        <w:pStyle w:val="Bullet"/>
        <w:rPr>
          <w:rFonts w:asciiTheme="minorHAnsi" w:eastAsiaTheme="minorEastAsia" w:hAnsiTheme="minorHAnsi"/>
        </w:rPr>
      </w:pPr>
      <w:r w:rsidRPr="00BD16B4">
        <w:rPr>
          <w:rFonts w:eastAsia="Calibri"/>
        </w:rPr>
        <w:t>marine species abundance and distributions have shifted poleward, and extensive coral bleaching events and loss of</w:t>
      </w:r>
      <w:r w:rsidRPr="00BD16B4">
        <w:rPr>
          <w:rFonts w:asciiTheme="minorHAnsi" w:eastAsiaTheme="minorEastAsia" w:hAnsiTheme="minorHAnsi"/>
        </w:rPr>
        <w:t xml:space="preserve"> temperate kelp forests have occurred, due to ocean warming and marine heatwaves across the region</w:t>
      </w:r>
    </w:p>
    <w:p w14:paraId="5BC5B8DB" w14:textId="77777777" w:rsidR="00851323" w:rsidRPr="00BD16B4" w:rsidRDefault="00851323" w:rsidP="0011037B">
      <w:pPr>
        <w:pStyle w:val="Bullet"/>
        <w:rPr>
          <w:rFonts w:asciiTheme="minorHAnsi" w:eastAsiaTheme="minorEastAsia" w:hAnsiTheme="minorHAnsi"/>
        </w:rPr>
      </w:pPr>
      <w:r w:rsidRPr="00BD16B4">
        <w:rPr>
          <w:rFonts w:asciiTheme="minorHAnsi" w:eastAsiaTheme="minorEastAsia" w:hAnsiTheme="minorHAnsi"/>
        </w:rPr>
        <w:t>while</w:t>
      </w:r>
      <w:r w:rsidRPr="00BD16B4" w:rsidDel="004405AF">
        <w:rPr>
          <w:rFonts w:asciiTheme="minorHAnsi" w:eastAsiaTheme="minorEastAsia" w:hAnsiTheme="minorHAnsi"/>
        </w:rPr>
        <w:t xml:space="preserve"> </w:t>
      </w:r>
      <w:r w:rsidRPr="00BD16B4">
        <w:rPr>
          <w:rFonts w:asciiTheme="minorHAnsi" w:eastAsiaTheme="minorEastAsia" w:hAnsiTheme="minorHAnsi"/>
        </w:rPr>
        <w:t>no clear change is evident in storminess, an overall decrease has occurred in wind speed. Between 1980–2019, the annual maximum wind speed gusts decreased at 11 of the 14 sites that had enough data to calculate a trend and increased at 2 of the sites.</w:t>
      </w:r>
    </w:p>
    <w:p w14:paraId="4B518A4A" w14:textId="77777777" w:rsidR="00851323" w:rsidRPr="00BD16B4" w:rsidRDefault="00851323" w:rsidP="00851323">
      <w:pPr>
        <w:pStyle w:val="BodyText"/>
      </w:pPr>
      <w:r w:rsidRPr="00BD16B4">
        <w:rPr>
          <w:rFonts w:eastAsia="Calibri"/>
        </w:rPr>
        <w:t>This poses a complex adaptation challenge. People must adapt to both slow-onset changes (such as rising sea levels that threaten coastal ecosystems and infrastructure) and increased frequency and magnitude of extreme events. This includes coastal inundation and flooding that can damage homes, roads and other infrastructure, and affect access to coastal areas.</w:t>
      </w:r>
    </w:p>
    <w:p w14:paraId="123325D5" w14:textId="77777777" w:rsidR="00851323" w:rsidRPr="00BD16B4" w:rsidRDefault="00851323" w:rsidP="00851323">
      <w:pPr>
        <w:pStyle w:val="Heading3"/>
        <w:tabs>
          <w:tab w:val="clear" w:pos="851"/>
          <w:tab w:val="left" w:pos="993"/>
        </w:tabs>
      </w:pPr>
      <w:r w:rsidRPr="00BD16B4">
        <w:lastRenderedPageBreak/>
        <w:t xml:space="preserve">6.3.2 </w:t>
      </w:r>
      <w:r w:rsidRPr="00BD16B4">
        <w:tab/>
        <w:t xml:space="preserve">Future climate change </w:t>
      </w:r>
    </w:p>
    <w:p w14:paraId="4F3F13E6" w14:textId="688BC1A7" w:rsidR="00851323" w:rsidRPr="00BD16B4" w:rsidRDefault="00851323" w:rsidP="00851323">
      <w:pPr>
        <w:pStyle w:val="BodyText"/>
        <w:rPr>
          <w:rFonts w:eastAsia="Lato" w:cs="Lato"/>
        </w:rPr>
      </w:pPr>
      <w:r w:rsidRPr="00BD16B4">
        <w:rPr>
          <w:rFonts w:eastAsia="Calibri"/>
        </w:rPr>
        <w:t xml:space="preserve">Information on future climate change scenarios for Aotearoa New Zealand is contained in the Ministry for the Environment’s 2018 report </w:t>
      </w:r>
      <w:r w:rsidRPr="00BD16B4">
        <w:rPr>
          <w:rFonts w:eastAsia="Calibri"/>
          <w:i/>
          <w:iCs/>
        </w:rPr>
        <w:t>Climate Change Projections for New Zealand</w:t>
      </w:r>
      <w:r w:rsidRPr="00BD16B4">
        <w:rPr>
          <w:rFonts w:eastAsia="Calibri"/>
        </w:rPr>
        <w:t>.</w:t>
      </w:r>
      <w:r w:rsidRPr="00BD16B4">
        <w:rPr>
          <w:rStyle w:val="FootnoteReference"/>
          <w:rFonts w:eastAsia="Calibri" w:cs="Calibri"/>
          <w:color w:val="000000" w:themeColor="text1"/>
        </w:rPr>
        <w:footnoteReference w:id="278"/>
      </w:r>
      <w:r w:rsidRPr="00BD16B4">
        <w:rPr>
          <w:rFonts w:eastAsia="Calibri"/>
        </w:rPr>
        <w:t xml:space="preserve"> These </w:t>
      </w:r>
      <w:r w:rsidRPr="00BD16B4">
        <w:t>projections</w:t>
      </w:r>
      <w:r w:rsidRPr="00BD16B4">
        <w:rPr>
          <w:rFonts w:eastAsia="Calibri"/>
        </w:rPr>
        <w:t xml:space="preserve"> are based on the IPCC’s </w:t>
      </w:r>
      <w:r w:rsidRPr="00BD16B4">
        <w:rPr>
          <w:rFonts w:eastAsia="Calibri"/>
          <w:i/>
        </w:rPr>
        <w:t>Fifth Assessment Report</w:t>
      </w:r>
      <w:r w:rsidRPr="00BD16B4">
        <w:rPr>
          <w:rFonts w:eastAsia="Calibri"/>
          <w:i/>
          <w:iCs/>
        </w:rPr>
        <w:t xml:space="preserve"> </w:t>
      </w:r>
      <w:r w:rsidRPr="00BD16B4">
        <w:rPr>
          <w:rFonts w:eastAsia="Calibri"/>
        </w:rPr>
        <w:t xml:space="preserve">(AR5). A further interim report provides information on how the IPCC’s </w:t>
      </w:r>
      <w:r w:rsidRPr="00BD16B4">
        <w:rPr>
          <w:rFonts w:eastAsia="Calibri"/>
          <w:i/>
        </w:rPr>
        <w:t xml:space="preserve">Sixth Assessment Report </w:t>
      </w:r>
      <w:r w:rsidRPr="00BD16B4">
        <w:rPr>
          <w:rFonts w:eastAsia="Calibri"/>
          <w:iCs/>
        </w:rPr>
        <w:t xml:space="preserve">(AR6) </w:t>
      </w:r>
      <w:r w:rsidRPr="00BD16B4">
        <w:rPr>
          <w:rFonts w:eastAsia="Calibri"/>
        </w:rPr>
        <w:t xml:space="preserve">affects regional projections for New Zealand, however, </w:t>
      </w:r>
      <w:r w:rsidRPr="00BD16B4" w:rsidDel="003F5BCA">
        <w:rPr>
          <w:rFonts w:eastAsia="Calibri"/>
        </w:rPr>
        <w:t xml:space="preserve">there is </w:t>
      </w:r>
      <w:r w:rsidRPr="00BD16B4" w:rsidDel="003F5BCA">
        <w:rPr>
          <w:rFonts w:eastAsia="Calibri"/>
          <w:i/>
          <w:iCs/>
        </w:rPr>
        <w:t xml:space="preserve">very high </w:t>
      </w:r>
      <w:r w:rsidRPr="00BD16B4">
        <w:rPr>
          <w:rFonts w:eastAsia="Calibri"/>
          <w:i/>
          <w:iCs/>
        </w:rPr>
        <w:t xml:space="preserve">confidence </w:t>
      </w:r>
      <w:r w:rsidRPr="00BD16B4">
        <w:rPr>
          <w:rFonts w:eastAsia="Calibri"/>
        </w:rPr>
        <w:t>that projected climate changes for the region have not altered substantially since AR5.</w:t>
      </w:r>
      <w:r w:rsidRPr="00BD16B4">
        <w:rPr>
          <w:rStyle w:val="FootnoteReference"/>
          <w:rFonts w:eastAsia="Calibri" w:cs="Calibri"/>
        </w:rPr>
        <w:footnoteReference w:id="279"/>
      </w:r>
      <w:r w:rsidRPr="00BD16B4">
        <w:rPr>
          <w:rFonts w:eastAsia="Calibri"/>
        </w:rPr>
        <w:t xml:space="preserve"> Work is</w:t>
      </w:r>
      <w:r w:rsidRPr="00BD16B4" w:rsidDel="008217CD">
        <w:rPr>
          <w:rFonts w:eastAsia="Calibri"/>
        </w:rPr>
        <w:t xml:space="preserve"> </w:t>
      </w:r>
      <w:r w:rsidRPr="00BD16B4">
        <w:rPr>
          <w:rFonts w:eastAsia="Calibri"/>
        </w:rPr>
        <w:t xml:space="preserve">under way to </w:t>
      </w:r>
      <w:r w:rsidRPr="00BD16B4">
        <w:rPr>
          <w:rFonts w:asciiTheme="minorHAnsi" w:hAnsiTheme="minorHAnsi"/>
        </w:rPr>
        <w:t xml:space="preserve">update NIWA’s downscaled climate projections for New Zealand, based on the IPCC’s </w:t>
      </w:r>
      <w:r w:rsidRPr="00BD16B4">
        <w:rPr>
          <w:rFonts w:asciiTheme="minorHAnsi" w:hAnsiTheme="minorHAnsi"/>
          <w:i/>
          <w:iCs/>
        </w:rPr>
        <w:t>Sixth Assessment Report</w:t>
      </w:r>
      <w:r w:rsidRPr="00BD16B4">
        <w:rPr>
          <w:rFonts w:asciiTheme="minorHAnsi" w:hAnsiTheme="minorHAnsi"/>
        </w:rPr>
        <w:t>.</w:t>
      </w:r>
      <w:r w:rsidRPr="00BD16B4">
        <w:rPr>
          <w:rFonts w:eastAsia="Calibri"/>
        </w:rPr>
        <w:t xml:space="preserve"> Specific guidance on how to adapt to coastal hazards is contained in the Ministry for the Environment’s 2017 report </w:t>
      </w:r>
      <w:r w:rsidRPr="00BD16B4">
        <w:rPr>
          <w:rFonts w:eastAsia="Calibri"/>
          <w:i/>
          <w:iCs/>
        </w:rPr>
        <w:t>Coastal Hazards and Climate Change</w:t>
      </w:r>
      <w:r w:rsidRPr="00BD16B4">
        <w:rPr>
          <w:rFonts w:eastAsia="Calibri"/>
        </w:rPr>
        <w:t>,</w:t>
      </w:r>
      <w:r w:rsidRPr="00BD16B4">
        <w:rPr>
          <w:rStyle w:val="FootnoteReference"/>
          <w:rFonts w:eastAsia="Calibri" w:cs="Calibri"/>
          <w:color w:val="000000" w:themeColor="text1"/>
        </w:rPr>
        <w:footnoteReference w:id="280"/>
      </w:r>
      <w:r w:rsidRPr="00BD16B4">
        <w:rPr>
          <w:rFonts w:eastAsia="Calibri"/>
          <w:i/>
        </w:rPr>
        <w:t xml:space="preserve"> </w:t>
      </w:r>
      <w:r w:rsidRPr="00BD16B4">
        <w:rPr>
          <w:rFonts w:eastAsia="Calibri"/>
        </w:rPr>
        <w:t xml:space="preserve">with updates to this guidance outlined in the 2022 </w:t>
      </w:r>
      <w:r w:rsidRPr="00BD16B4">
        <w:rPr>
          <w:rFonts w:eastAsia="Calibri"/>
          <w:i/>
          <w:iCs/>
        </w:rPr>
        <w:t>Interim guidance on the use of new sea-level rise</w:t>
      </w:r>
      <w:r w:rsidR="00B43A1D" w:rsidRPr="00BD16B4">
        <w:rPr>
          <w:rFonts w:eastAsia="Calibri"/>
          <w:i/>
          <w:iCs/>
        </w:rPr>
        <w:t> </w:t>
      </w:r>
      <w:r w:rsidRPr="00BD16B4">
        <w:rPr>
          <w:rFonts w:eastAsia="Calibri"/>
          <w:i/>
          <w:iCs/>
        </w:rPr>
        <w:t>projections</w:t>
      </w:r>
      <w:r w:rsidRPr="00BD16B4">
        <w:rPr>
          <w:rFonts w:eastAsia="Calibri"/>
        </w:rPr>
        <w:t>.</w:t>
      </w:r>
      <w:r w:rsidRPr="00BD16B4">
        <w:rPr>
          <w:rStyle w:val="FootnoteReference"/>
          <w:rFonts w:eastAsia="Calibri" w:cs="Calibri"/>
          <w:color w:val="000000" w:themeColor="text1"/>
        </w:rPr>
        <w:footnoteReference w:id="281"/>
      </w:r>
      <w:r w:rsidRPr="00BD16B4">
        <w:rPr>
          <w:rFonts w:eastAsia="Calibri"/>
        </w:rPr>
        <w:t xml:space="preserve"> </w:t>
      </w:r>
    </w:p>
    <w:p w14:paraId="41EB4F3F" w14:textId="77777777" w:rsidR="00851323" w:rsidRPr="00BD16B4" w:rsidRDefault="00851323" w:rsidP="00851323">
      <w:pPr>
        <w:pStyle w:val="BodyText"/>
        <w:rPr>
          <w:rFonts w:eastAsia="Calibri" w:cs="Calibri"/>
        </w:rPr>
      </w:pPr>
      <w:r w:rsidRPr="00BD16B4">
        <w:t>Three main sources of uncertainty exist for projected climate change: emission scenarios, regional climate responses, and random climate variability, highlighting the importance of future adaptation.</w:t>
      </w:r>
      <w:r w:rsidRPr="00BD16B4">
        <w:rPr>
          <w:rFonts w:eastAsia="Calibri" w:cs="Calibri"/>
          <w:color w:val="000000" w:themeColor="text1"/>
        </w:rPr>
        <w:t xml:space="preserve"> Several observed impacts in New Zealand have already been directly attributed to climate change, with further climate change and the associated impacts inevitable.</w:t>
      </w:r>
      <w:r w:rsidRPr="00BD16B4">
        <w:rPr>
          <w:rStyle w:val="FootnoteReference"/>
          <w:rFonts w:eastAsia="Calibri" w:cs="Calibri"/>
          <w:color w:val="000000" w:themeColor="text1"/>
        </w:rPr>
        <w:footnoteReference w:id="282"/>
      </w:r>
      <w:r w:rsidRPr="00BD16B4">
        <w:rPr>
          <w:rFonts w:eastAsia="Calibri" w:cs="Calibri"/>
          <w:color w:val="000000" w:themeColor="text1"/>
        </w:rPr>
        <w:t xml:space="preserve"> Preliminary projections based on CMIP6 models are described in the IPCC Working Group I (WGI) contribution to AR6. For New Zealand, the CMIP6 projections are broadly similar to CMIP5, as reported in AR5. In general, the CMIP6 models indicate greater warming, a smaller increase in summer precipitation, and a larger increase in winter precipitation. Other significant differences are reported in </w:t>
      </w:r>
      <w:r w:rsidRPr="00BD16B4">
        <w:t>the Aotearoa New Zealand climate change projections guidance</w:t>
      </w:r>
      <w:r w:rsidRPr="00BD16B4">
        <w:rPr>
          <w:rFonts w:eastAsia="Calibri" w:cs="Calibri"/>
        </w:rPr>
        <w:t>.</w:t>
      </w:r>
      <w:r w:rsidRPr="00BD16B4">
        <w:rPr>
          <w:rStyle w:val="FootnoteReference"/>
          <w:rFonts w:eastAsia="Calibri" w:cs="Calibri"/>
        </w:rPr>
        <w:footnoteReference w:id="283"/>
      </w:r>
    </w:p>
    <w:p w14:paraId="7B4C04EA" w14:textId="77777777" w:rsidR="00851323" w:rsidRPr="00BD16B4" w:rsidRDefault="00851323" w:rsidP="00851323">
      <w:pPr>
        <w:pStyle w:val="BodyText"/>
        <w:rPr>
          <w:rFonts w:eastAsia="Lato" w:cs="Lato"/>
        </w:rPr>
      </w:pPr>
      <w:r w:rsidRPr="00BD16B4">
        <w:rPr>
          <w:rFonts w:eastAsia="Calibri"/>
        </w:rPr>
        <w:t>For more information about projected changes in climate, see chapter 2, section 2.3.2. Figure 6.1 summarises the projected impacts of climate change in New Zealand. Essential points are:</w:t>
      </w:r>
    </w:p>
    <w:p w14:paraId="2E658DD4" w14:textId="0175D308" w:rsidR="00851323" w:rsidRPr="00BD16B4" w:rsidRDefault="00851323" w:rsidP="0011037B">
      <w:pPr>
        <w:pStyle w:val="Bullet"/>
        <w:rPr>
          <w:rFonts w:eastAsiaTheme="minorEastAsia"/>
        </w:rPr>
      </w:pPr>
      <w:r w:rsidRPr="00BD16B4">
        <w:rPr>
          <w:rFonts w:eastAsiaTheme="minorEastAsia"/>
        </w:rPr>
        <w:t>By 2040, projected warming in New Zealand is 0.2</w:t>
      </w:r>
      <w:r w:rsidR="00550600" w:rsidRPr="00BD16B4">
        <w:t>°C</w:t>
      </w:r>
      <w:r w:rsidRPr="00BD16B4">
        <w:rPr>
          <w:rFonts w:eastAsiaTheme="minorEastAsia"/>
        </w:rPr>
        <w:t xml:space="preserve"> to 1.3</w:t>
      </w:r>
      <w:r w:rsidR="00550600" w:rsidRPr="00BD16B4">
        <w:t>°C</w:t>
      </w:r>
      <w:r w:rsidRPr="00BD16B4">
        <w:rPr>
          <w:rFonts w:eastAsiaTheme="minorEastAsia"/>
        </w:rPr>
        <w:t xml:space="preserve"> (low</w:t>
      </w:r>
      <w:r w:rsidR="00833FAF" w:rsidRPr="00BD16B4">
        <w:rPr>
          <w:rFonts w:eastAsiaTheme="minorEastAsia"/>
        </w:rPr>
        <w:t xml:space="preserve"> </w:t>
      </w:r>
      <w:r w:rsidRPr="00BD16B4">
        <w:rPr>
          <w:rFonts w:eastAsiaTheme="minorEastAsia"/>
        </w:rPr>
        <w:t>emissions: Representative Concentration Pathway (RCP)2.6) to 0.5</w:t>
      </w:r>
      <w:r w:rsidR="00550600" w:rsidRPr="00BD16B4">
        <w:t>°C</w:t>
      </w:r>
      <w:r w:rsidRPr="00BD16B4">
        <w:rPr>
          <w:rFonts w:eastAsiaTheme="minorEastAsia"/>
        </w:rPr>
        <w:t xml:space="preserve"> to 1.7</w:t>
      </w:r>
      <w:r w:rsidR="00550600" w:rsidRPr="00BD16B4">
        <w:t>°C</w:t>
      </w:r>
      <w:r w:rsidRPr="00BD16B4">
        <w:rPr>
          <w:rFonts w:eastAsiaTheme="minorEastAsia"/>
        </w:rPr>
        <w:t xml:space="preserve"> (high emissions: RCP8.5) in relation to the 1995 baseline, with more extremely high temperatures and fewer extremely low temperatures. </w:t>
      </w:r>
    </w:p>
    <w:p w14:paraId="08FECB92" w14:textId="77777777" w:rsidR="00851323" w:rsidRPr="00BD16B4" w:rsidRDefault="00851323" w:rsidP="0011037B">
      <w:pPr>
        <w:pStyle w:val="Bullet"/>
        <w:rPr>
          <w:rFonts w:eastAsiaTheme="minorEastAsia"/>
        </w:rPr>
      </w:pPr>
      <w:r w:rsidRPr="00BD16B4">
        <w:rPr>
          <w:rFonts w:eastAsiaTheme="minorEastAsia"/>
        </w:rPr>
        <w:lastRenderedPageBreak/>
        <w:t xml:space="preserve">Spring and winter rainfall is projected to increase in the west of the North Island and South Island and decrease in the east and north. Summer rainfall is projected to increase in the east of the North Island and South Island and decrease in the west and central North Island. </w:t>
      </w:r>
    </w:p>
    <w:p w14:paraId="31D45371" w14:textId="77777777" w:rsidR="00851323" w:rsidRPr="00BD16B4" w:rsidRDefault="00851323" w:rsidP="0011037B">
      <w:pPr>
        <w:pStyle w:val="Bullet"/>
        <w:rPr>
          <w:rFonts w:eastAsiaTheme="minorEastAsia"/>
        </w:rPr>
      </w:pPr>
      <w:r w:rsidRPr="00BD16B4">
        <w:rPr>
          <w:rFonts w:eastAsiaTheme="minorEastAsia"/>
        </w:rPr>
        <w:t xml:space="preserve">Overall, more droughts and extreme fire weather are projected over most of New Zealand. </w:t>
      </w:r>
    </w:p>
    <w:p w14:paraId="3991E0C1" w14:textId="4FD4B407" w:rsidR="00851323" w:rsidRPr="00BD16B4" w:rsidRDefault="00851323" w:rsidP="0011037B">
      <w:pPr>
        <w:pStyle w:val="Bullet"/>
        <w:rPr>
          <w:rFonts w:eastAsiaTheme="minorEastAsia"/>
        </w:rPr>
      </w:pPr>
      <w:r w:rsidRPr="00BD16B4">
        <w:rPr>
          <w:rFonts w:eastAsiaTheme="minorEastAsia"/>
        </w:rPr>
        <w:t>By 2090, a decrease in cold nights (minimum temperature of 0</w:t>
      </w:r>
      <w:r w:rsidR="00833FAF" w:rsidRPr="00BD16B4">
        <w:t>°C</w:t>
      </w:r>
      <w:r w:rsidRPr="00BD16B4">
        <w:rPr>
          <w:rFonts w:eastAsiaTheme="minorEastAsia"/>
        </w:rPr>
        <w:t xml:space="preserve"> or lower) of 30</w:t>
      </w:r>
      <w:r w:rsidRPr="00BD16B4">
        <w:t> </w:t>
      </w:r>
      <w:r w:rsidRPr="00BD16B4">
        <w:rPr>
          <w:rFonts w:eastAsiaTheme="minorEastAsia"/>
        </w:rPr>
        <w:t>per cent (RCP2.6) to 90 per cent (RCP8.5) is projected for New Zealand. In contrast, the number of hot days (maximum temperature of 25</w:t>
      </w:r>
      <w:r w:rsidR="00833FAF" w:rsidRPr="00BD16B4">
        <w:t>°C</w:t>
      </w:r>
      <w:r w:rsidRPr="00BD16B4" w:rsidDel="00CD7382">
        <w:rPr>
          <w:rFonts w:eastAsiaTheme="minorEastAsia"/>
        </w:rPr>
        <w:t xml:space="preserve"> </w:t>
      </w:r>
      <w:r w:rsidRPr="00BD16B4">
        <w:rPr>
          <w:rFonts w:eastAsiaTheme="minorEastAsia"/>
        </w:rPr>
        <w:t>or higher) is projected to increase by 40 per cent (RCP2.6) to 300 per cent (RCP8.5).</w:t>
      </w:r>
      <w:r w:rsidRPr="00BD16B4">
        <w:rPr>
          <w:rStyle w:val="FootnoteReference"/>
          <w:rFonts w:asciiTheme="minorHAnsi" w:eastAsiaTheme="minorEastAsia" w:hAnsiTheme="minorHAnsi"/>
          <w:szCs w:val="22"/>
        </w:rPr>
        <w:footnoteReference w:id="284"/>
      </w:r>
    </w:p>
    <w:p w14:paraId="2C6829A0" w14:textId="77777777" w:rsidR="00851323" w:rsidRPr="00BD16B4" w:rsidRDefault="00851323" w:rsidP="0011037B">
      <w:pPr>
        <w:pStyle w:val="Bullet"/>
        <w:rPr>
          <w:rFonts w:eastAsiaTheme="minorEastAsia"/>
        </w:rPr>
      </w:pPr>
      <w:r w:rsidRPr="00BD16B4">
        <w:rPr>
          <w:rFonts w:eastAsiaTheme="minorEastAsia"/>
        </w:rPr>
        <w:t xml:space="preserve">The number of snow days </w:t>
      </w:r>
      <w:r w:rsidRPr="00BD16B4">
        <w:t>is</w:t>
      </w:r>
      <w:r w:rsidRPr="00BD16B4">
        <w:rPr>
          <w:rFonts w:eastAsiaTheme="minorEastAsia"/>
        </w:rPr>
        <w:t xml:space="preserve"> projected to decrease. Under RCP8.5, snow days per year are projected to decrease by 30 days or more by 2090.</w:t>
      </w:r>
      <w:r w:rsidRPr="00BD16B4">
        <w:rPr>
          <w:rStyle w:val="FootnoteReference"/>
          <w:rFonts w:asciiTheme="minorHAnsi" w:eastAsiaTheme="minorEastAsia" w:hAnsiTheme="minorHAnsi"/>
          <w:szCs w:val="22"/>
        </w:rPr>
        <w:footnoteReference w:id="285"/>
      </w:r>
    </w:p>
    <w:p w14:paraId="3311ACFA" w14:textId="77777777" w:rsidR="00851323" w:rsidRPr="00BD16B4" w:rsidRDefault="00851323" w:rsidP="0011037B">
      <w:pPr>
        <w:pStyle w:val="Bullet"/>
        <w:rPr>
          <w:rFonts w:eastAsiaTheme="minorEastAsia"/>
        </w:rPr>
      </w:pPr>
      <w:r w:rsidRPr="00BD16B4">
        <w:rPr>
          <w:rFonts w:eastAsiaTheme="minorEastAsia"/>
        </w:rPr>
        <w:t>Relative to 2015, New Zealand glaciers are projected to lose 36 per cent, 53 per cent and 77</w:t>
      </w:r>
      <w:r w:rsidRPr="00BD16B4">
        <w:t> </w:t>
      </w:r>
      <w:r w:rsidRPr="00BD16B4">
        <w:rPr>
          <w:rFonts w:eastAsiaTheme="minorEastAsia"/>
        </w:rPr>
        <w:t xml:space="preserve">per cent of their mass by 2100 under RCP2.6, RCP4.5 and RCP8.5, respectively. </w:t>
      </w:r>
    </w:p>
    <w:p w14:paraId="4825C218" w14:textId="77777777" w:rsidR="00851323" w:rsidRPr="00BD16B4" w:rsidRDefault="00851323" w:rsidP="0011037B">
      <w:pPr>
        <w:pStyle w:val="Bullet"/>
        <w:rPr>
          <w:rFonts w:eastAsia="Calibri"/>
        </w:rPr>
      </w:pPr>
      <w:r w:rsidRPr="00BD16B4">
        <w:rPr>
          <w:rFonts w:eastAsiaTheme="minorEastAsia"/>
        </w:rPr>
        <w:t xml:space="preserve">On average, sea level in New Zealand is projected to rise between 23 centimetres (2050, </w:t>
      </w:r>
      <w:r w:rsidRPr="00BD16B4">
        <w:rPr>
          <w:rFonts w:eastAsiaTheme="minorEastAsia"/>
          <w:szCs w:val="22"/>
        </w:rPr>
        <w:t>RCP2.6) to 67 centimetres (RCP8.5).</w:t>
      </w:r>
      <w:r w:rsidRPr="00BD16B4">
        <w:rPr>
          <w:rStyle w:val="FootnoteReference"/>
          <w:rFonts w:asciiTheme="minorHAnsi" w:eastAsiaTheme="minorEastAsia" w:hAnsiTheme="minorHAnsi"/>
          <w:szCs w:val="22"/>
        </w:rPr>
        <w:footnoteReference w:id="286"/>
      </w:r>
      <w:r w:rsidRPr="00BD16B4">
        <w:rPr>
          <w:rFonts w:eastAsiaTheme="minorEastAsia"/>
          <w:szCs w:val="22"/>
        </w:rPr>
        <w:t xml:space="preserve"> </w:t>
      </w:r>
      <w:r w:rsidRPr="00BD16B4">
        <w:rPr>
          <w:rFonts w:eastAsia="Calibri"/>
          <w:szCs w:val="22"/>
        </w:rPr>
        <w:t>In many parts of New Zealand (eg, Auckland, Hawke’s</w:t>
      </w:r>
      <w:r w:rsidRPr="00BD16B4">
        <w:rPr>
          <w:rFonts w:eastAsia="Calibri"/>
        </w:rPr>
        <w:t xml:space="preserve"> Bay, Wairarapa, Wellington, Nelson and Marlborough) rates of subsidence are between 2 millimetres to 6 millimetres per year, which is up to two times the global rate of sea-level rise, increasing the impacts of local sea-level rise.</w:t>
      </w:r>
    </w:p>
    <w:p w14:paraId="6B93F34D" w14:textId="77777777" w:rsidR="00851323" w:rsidRPr="00BD16B4" w:rsidRDefault="00851323" w:rsidP="00851323">
      <w:pPr>
        <w:pStyle w:val="BodyText"/>
      </w:pPr>
      <w:r w:rsidRPr="00BD16B4">
        <w:t xml:space="preserve">The IPCC report </w:t>
      </w:r>
      <w:r w:rsidRPr="00BD16B4">
        <w:rPr>
          <w:i/>
          <w:iCs/>
        </w:rPr>
        <w:t xml:space="preserve">Climate Change 2022: Impacts, Adaptation and Vulnerability </w:t>
      </w:r>
      <w:r w:rsidRPr="00BD16B4">
        <w:t xml:space="preserve">identified key climate risks that have the potential to be severe, such as: </w:t>
      </w:r>
    </w:p>
    <w:p w14:paraId="25E9AFFC" w14:textId="77777777" w:rsidR="00851323" w:rsidRPr="00BD16B4" w:rsidRDefault="00851323" w:rsidP="0011037B">
      <w:pPr>
        <w:pStyle w:val="Bullet"/>
        <w:rPr>
          <w:rFonts w:eastAsiaTheme="minorEastAsia"/>
        </w:rPr>
      </w:pPr>
      <w:r w:rsidRPr="00BD16B4">
        <w:rPr>
          <w:rFonts w:eastAsiaTheme="minorEastAsia"/>
        </w:rPr>
        <w:t>Loss of natural ecosystems and species due to invasive species. A reduction of indigenous species’ dominance in ecosystems, increase in vulnerable species from predation, competition and mortality could lead to endangerment and extinction. See</w:t>
      </w:r>
      <w:r w:rsidRPr="00BD16B4" w:rsidDel="00376FB4">
        <w:rPr>
          <w:rFonts w:eastAsiaTheme="minorEastAsia"/>
        </w:rPr>
        <w:t xml:space="preserve"> </w:t>
      </w:r>
      <w:r w:rsidRPr="00BD16B4">
        <w:rPr>
          <w:rFonts w:eastAsiaTheme="minorEastAsia"/>
        </w:rPr>
        <w:t>table 11.5 in chapter 11, section 11.3.1.</w:t>
      </w:r>
    </w:p>
    <w:p w14:paraId="11111650" w14:textId="77777777" w:rsidR="00851323" w:rsidRPr="00BD16B4" w:rsidRDefault="00851323" w:rsidP="0011037B">
      <w:pPr>
        <w:pStyle w:val="Bullet"/>
        <w:rPr>
          <w:rFonts w:eastAsiaTheme="minorEastAsia"/>
        </w:rPr>
      </w:pPr>
      <w:r w:rsidRPr="00BD16B4">
        <w:rPr>
          <w:rFonts w:eastAsiaTheme="minorEastAsia"/>
        </w:rPr>
        <w:t>Coastal flooding, affecting built and natural environments, is projected to become more frequent before mid-century with only modest rises in sea level. This will especially affect Māori communities, where many Māori-owned lands and cultural assets are located on coastal lowlands vulnerable to the impacts of sea-level rise. See box 11.4 and box 11.5 in chapter 11, section 11.3.5.</w:t>
      </w:r>
    </w:p>
    <w:p w14:paraId="5791C4A4" w14:textId="01B74446" w:rsidR="00851323" w:rsidRPr="00BD16B4" w:rsidRDefault="00851323" w:rsidP="0011037B">
      <w:pPr>
        <w:pStyle w:val="Bullet"/>
        <w:rPr>
          <w:rFonts w:eastAsiaTheme="minorEastAsia"/>
        </w:rPr>
      </w:pPr>
      <w:r w:rsidRPr="00BD16B4">
        <w:rPr>
          <w:rFonts w:eastAsiaTheme="minorEastAsia"/>
        </w:rPr>
        <w:t>Estimates suggest 3</w:t>
      </w:r>
      <w:r w:rsidR="00833FAF" w:rsidRPr="00BD16B4">
        <w:t>°C</w:t>
      </w:r>
      <w:r w:rsidRPr="00BD16B4">
        <w:rPr>
          <w:rFonts w:eastAsiaTheme="minorEastAsia"/>
        </w:rPr>
        <w:t xml:space="preserve"> global warming could reduce gross domestic product by 0.8 per cent per year in New Zealand. </w:t>
      </w:r>
    </w:p>
    <w:p w14:paraId="0E31AFA8" w14:textId="77777777" w:rsidR="00851323" w:rsidRPr="00BD16B4" w:rsidRDefault="00851323" w:rsidP="0011037B">
      <w:pPr>
        <w:pStyle w:val="Bullet"/>
        <w:rPr>
          <w:rFonts w:eastAsiaTheme="minorEastAsia"/>
        </w:rPr>
      </w:pPr>
      <w:r w:rsidRPr="00BD16B4">
        <w:rPr>
          <w:rFonts w:eastAsiaTheme="minorEastAsia"/>
        </w:rPr>
        <w:t>Reduced snow storage over the winter period will influence the seasonality of snow melt and river flow.</w:t>
      </w:r>
      <w:r w:rsidRPr="00BD16B4">
        <w:rPr>
          <w:vertAlign w:val="superscript"/>
        </w:rPr>
        <w:footnoteReference w:id="287"/>
      </w:r>
    </w:p>
    <w:p w14:paraId="232C7EF9" w14:textId="77777777" w:rsidR="00851323" w:rsidRPr="00BD16B4" w:rsidRDefault="00851323" w:rsidP="00B43A1D">
      <w:pPr>
        <w:pStyle w:val="Figureheading"/>
        <w:spacing w:after="80"/>
        <w:rPr>
          <w:rFonts w:eastAsia="Calibri"/>
        </w:rPr>
      </w:pPr>
      <w:bookmarkStart w:id="318" w:name="_Toc121494407"/>
      <w:r w:rsidRPr="00BD16B4">
        <w:rPr>
          <w:rFonts w:eastAsia="Calibri"/>
        </w:rPr>
        <w:lastRenderedPageBreak/>
        <w:t xml:space="preserve">Figure 6.1: </w:t>
      </w:r>
      <w:r w:rsidRPr="00BD16B4">
        <w:rPr>
          <w:rFonts w:eastAsia="Calibri"/>
        </w:rPr>
        <w:tab/>
        <w:t>Summary of projected impacts of climate change on Aotearoa New Zealand</w:t>
      </w:r>
      <w:r w:rsidRPr="00BD16B4">
        <w:rPr>
          <w:rStyle w:val="FootnoteReference"/>
          <w:rFonts w:eastAsia="Calibri" w:cs="Calibri"/>
          <w:bCs/>
          <w:color w:val="000000" w:themeColor="text1"/>
          <w:sz w:val="20"/>
          <w:szCs w:val="20"/>
        </w:rPr>
        <w:footnoteReference w:id="288"/>
      </w:r>
      <w:bookmarkEnd w:id="318"/>
    </w:p>
    <w:p w14:paraId="7D0FE01C" w14:textId="77777777" w:rsidR="00851323" w:rsidRPr="00BD16B4" w:rsidRDefault="00851323" w:rsidP="00B43A1D">
      <w:pPr>
        <w:pStyle w:val="BodyText"/>
      </w:pPr>
      <w:r w:rsidRPr="00BD16B4">
        <w:rPr>
          <w:noProof/>
          <w:shd w:val="clear" w:color="auto" w:fill="E6E6E6"/>
        </w:rPr>
        <w:drawing>
          <wp:inline distT="0" distB="0" distL="0" distR="0" wp14:anchorId="1203CAD1" wp14:editId="1FB92C26">
            <wp:extent cx="5327129" cy="3518611"/>
            <wp:effectExtent l="0" t="0" r="0" b="0"/>
            <wp:docPr id="971881763" name="Picture 97188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extLst>
                        <a:ext uri="{28A0092B-C50C-407E-A947-70E740481C1C}">
                          <a14:useLocalDpi xmlns:a14="http://schemas.microsoft.com/office/drawing/2010/main" val="0"/>
                        </a:ext>
                      </a:extLst>
                    </a:blip>
                    <a:srcRect l="2458" t="1410" r="2180" b="2303"/>
                    <a:stretch/>
                  </pic:blipFill>
                  <pic:spPr bwMode="auto">
                    <a:xfrm>
                      <a:off x="0" y="0"/>
                      <a:ext cx="5356336" cy="3537902"/>
                    </a:xfrm>
                    <a:prstGeom prst="rect">
                      <a:avLst/>
                    </a:prstGeom>
                    <a:ln>
                      <a:noFill/>
                    </a:ln>
                    <a:extLst>
                      <a:ext uri="{53640926-AAD7-44D8-BBD7-CCE9431645EC}">
                        <a14:shadowObscured xmlns:a14="http://schemas.microsoft.com/office/drawing/2010/main"/>
                      </a:ext>
                    </a:extLst>
                  </pic:spPr>
                </pic:pic>
              </a:graphicData>
            </a:graphic>
          </wp:inline>
        </w:drawing>
      </w:r>
    </w:p>
    <w:p w14:paraId="65158137" w14:textId="77777777" w:rsidR="00851323" w:rsidRPr="00BD16B4" w:rsidRDefault="00851323" w:rsidP="00851323">
      <w:pPr>
        <w:pStyle w:val="BodyText"/>
        <w:spacing w:before="240"/>
        <w:rPr>
          <w:rFonts w:eastAsia="Calibri" w:cs="Calibri"/>
        </w:rPr>
      </w:pPr>
      <w:r w:rsidRPr="00BD16B4">
        <w:t>NZ SeaRise released updated downscaled projections for sea-level rise in New Zealand at 2</w:t>
      </w:r>
      <w:r w:rsidRPr="00BD16B4">
        <w:noBreakHyphen/>
        <w:t>kilometre resolution.</w:t>
      </w:r>
      <w:r w:rsidRPr="00BD16B4">
        <w:rPr>
          <w:rStyle w:val="FootnoteReference"/>
          <w:rFonts w:asciiTheme="minorHAnsi" w:hAnsiTheme="minorHAnsi"/>
        </w:rPr>
        <w:footnoteReference w:id="289"/>
      </w:r>
      <w:r w:rsidRPr="00BD16B4">
        <w:t xml:space="preserve"> These projections take into account vertical land movement, which has a direct impact on local sea level variability on New Zealand’s coastlines. New Zealand lies on a dynamic plate boundary, and so it is vital to provide projections that combine subsidence and uplift rates at the coast with the climatic drivers of sea-level rise, to either amplify or reduce its rate and magnitude. </w:t>
      </w:r>
    </w:p>
    <w:p w14:paraId="050AFC51" w14:textId="7AA599BE" w:rsidR="00851323" w:rsidRPr="00BD16B4" w:rsidRDefault="00851323" w:rsidP="00851323">
      <w:pPr>
        <w:pStyle w:val="Heading2"/>
      </w:pPr>
      <w:bookmarkStart w:id="319" w:name="_Toc121774650"/>
      <w:r w:rsidRPr="00BD16B4">
        <w:t>6.4</w:t>
      </w:r>
      <w:r w:rsidRPr="00BD16B4">
        <w:tab/>
        <w:t>Climate change impacts</w:t>
      </w:r>
      <w:bookmarkEnd w:id="319"/>
    </w:p>
    <w:p w14:paraId="117E6108" w14:textId="77777777" w:rsidR="00851323" w:rsidRPr="00BD16B4" w:rsidRDefault="00851323" w:rsidP="00851323">
      <w:pPr>
        <w:pStyle w:val="BodyText"/>
      </w:pPr>
      <w:r w:rsidRPr="00BD16B4">
        <w:t xml:space="preserve">This section summarises the observed and potential future impacts of climate change in Aotearoa New Zealand (see figure 6.1). The information is sourced from the document </w:t>
      </w:r>
      <w:r w:rsidRPr="00BD16B4">
        <w:rPr>
          <w:i/>
        </w:rPr>
        <w:t xml:space="preserve">Climate Change 2022: Impacts, Adaptation, and Vulnerability. Contribution of Working Group II to the Sixth Assessment Report of the Intergovernmental Panel on Climate Change </w:t>
      </w:r>
      <w:r w:rsidRPr="00BD16B4">
        <w:t>(WGII) and references therein, unless otherwise stated.</w:t>
      </w:r>
      <w:r w:rsidRPr="00BD16B4">
        <w:rPr>
          <w:rStyle w:val="FootnoteReference"/>
          <w:rFonts w:eastAsia="Calibri" w:cs="Calibri"/>
          <w:color w:val="000000" w:themeColor="text1"/>
        </w:rPr>
        <w:footnoteReference w:id="290"/>
      </w:r>
    </w:p>
    <w:p w14:paraId="385D2CD3" w14:textId="77777777" w:rsidR="00851323" w:rsidRPr="00BD16B4" w:rsidRDefault="00851323" w:rsidP="00851323">
      <w:pPr>
        <w:pStyle w:val="Heading3"/>
      </w:pPr>
      <w:r w:rsidRPr="00BD16B4">
        <w:lastRenderedPageBreak/>
        <w:t>6.4.1</w:t>
      </w:r>
      <w:r w:rsidRPr="00BD16B4">
        <w:tab/>
        <w:t>Natural environment</w:t>
      </w:r>
    </w:p>
    <w:p w14:paraId="698D67FA" w14:textId="77777777" w:rsidR="00851323" w:rsidRPr="00BD16B4" w:rsidRDefault="00851323" w:rsidP="004E1B8C">
      <w:pPr>
        <w:pStyle w:val="Heading4"/>
      </w:pPr>
      <w:r w:rsidRPr="00BD16B4">
        <w:t>Observed impacts</w:t>
      </w:r>
    </w:p>
    <w:p w14:paraId="70DACD0A" w14:textId="77777777" w:rsidR="00851323" w:rsidRPr="00BD16B4" w:rsidRDefault="00851323" w:rsidP="00851323">
      <w:pPr>
        <w:pStyle w:val="BodyText"/>
        <w:spacing w:after="100"/>
      </w:pPr>
      <w:r w:rsidRPr="00BD16B4">
        <w:t>Changes to the structure, composition and services of terrestrial ecosystems have been observed. Introduced mammalian predators have experienced population irruptions due to increased food availability, related to increasing temperatures. Invasive predators are placing increasing pressure on native forest species and habitat reduction is occurring due to erosion from rising sea levels and storms.</w:t>
      </w:r>
    </w:p>
    <w:p w14:paraId="14F8F611" w14:textId="77777777" w:rsidR="00851323" w:rsidRPr="00BD16B4" w:rsidRDefault="00851323" w:rsidP="00851323">
      <w:pPr>
        <w:pStyle w:val="BodyText"/>
        <w:spacing w:after="100"/>
      </w:pPr>
      <w:r w:rsidRPr="00BD16B4">
        <w:t>The distribution of various coastal species has changed due to warming, and alterations in life history characteristics have been observed in some fish species. Subantarctic ocean acidity has increased 8.6 per cent over the past 20 years.</w:t>
      </w:r>
      <w:r w:rsidRPr="00BD16B4">
        <w:rPr>
          <w:rStyle w:val="FootnoteReference"/>
          <w:rFonts w:asciiTheme="minorHAnsi" w:hAnsiTheme="minorHAnsi"/>
        </w:rPr>
        <w:footnoteReference w:id="291"/>
      </w:r>
    </w:p>
    <w:p w14:paraId="2E04A05A" w14:textId="77777777" w:rsidR="00851323" w:rsidRPr="00BD16B4" w:rsidRDefault="00851323" w:rsidP="00851323">
      <w:pPr>
        <w:pStyle w:val="BodyText"/>
        <w:spacing w:after="100"/>
      </w:pPr>
      <w:r w:rsidRPr="00BD16B4">
        <w:t>Rainfall patterns have changed across temporal and spatial scales, with a general decrease in the northern part of Aotearoa New Zealand but an increase in the southwest. The intensity of extreme rainfall events has increased. Southern glaciers have reduced in size by one-third since 1977.</w:t>
      </w:r>
    </w:p>
    <w:p w14:paraId="02885CB0" w14:textId="77777777" w:rsidR="00851323" w:rsidRPr="00BD16B4" w:rsidRDefault="00851323" w:rsidP="004E1B8C">
      <w:pPr>
        <w:pStyle w:val="Heading4"/>
      </w:pPr>
      <w:r w:rsidRPr="00BD16B4">
        <w:t>Projected impacts</w:t>
      </w:r>
    </w:p>
    <w:p w14:paraId="4458840F" w14:textId="77777777" w:rsidR="00851323" w:rsidRPr="00BD16B4" w:rsidRDefault="00851323" w:rsidP="00B43A1D">
      <w:pPr>
        <w:pStyle w:val="BodyText"/>
        <w:spacing w:after="100"/>
      </w:pPr>
      <w:r w:rsidRPr="00BD16B4">
        <w:t>Due to warming, terrestrial invasive species are expected to increase in numbers, expand their geographic range, and increase predation on native species. C</w:t>
      </w:r>
      <w:r w:rsidRPr="00BD16B4">
        <w:rPr>
          <w:rFonts w:eastAsia="Times New Roman"/>
        </w:rPr>
        <w:t xml:space="preserve">hanges will occur to carbon storage in </w:t>
      </w:r>
      <w:r w:rsidRPr="00BD16B4">
        <w:t xml:space="preserve">native forests, improving short term but decreasing in the medium term due to drought. Wildfires are predicted to result in introduced fire-resistant plants replacing non-fire resistant native species. </w:t>
      </w:r>
    </w:p>
    <w:p w14:paraId="12CF0F2B" w14:textId="77777777" w:rsidR="00851323" w:rsidRPr="00BD16B4" w:rsidRDefault="00851323" w:rsidP="00B43A1D">
      <w:pPr>
        <w:pStyle w:val="BodyText"/>
        <w:spacing w:after="100"/>
      </w:pPr>
      <w:r w:rsidRPr="00BD16B4">
        <w:t>Increased rainfall, drought and temperatures will likely negatively affect freshwater wetlands and species, and saltwater may intrude into coastal wetlands. River flows are projected to be reduced in the north and east of the North Island, but to increase in the west and south of the South Island. E</w:t>
      </w:r>
      <w:r w:rsidRPr="00BD16B4" w:rsidDel="00DD6B3E">
        <w:t xml:space="preserve">xtreme floods </w:t>
      </w:r>
      <w:r w:rsidRPr="00BD16B4">
        <w:t xml:space="preserve">may </w:t>
      </w:r>
      <w:r w:rsidRPr="00BD16B4" w:rsidDel="00DD6B3E">
        <w:t>enabl</w:t>
      </w:r>
      <w:r w:rsidRPr="00BD16B4">
        <w:t>e</w:t>
      </w:r>
      <w:r w:rsidRPr="00BD16B4" w:rsidDel="00DD6B3E">
        <w:t xml:space="preserve"> increased movement of invasive species, sediments and nutrients, and toxic chemicals</w:t>
      </w:r>
      <w:r w:rsidRPr="00BD16B4">
        <w:t xml:space="preserve"> in rivers</w:t>
      </w:r>
      <w:r w:rsidRPr="00BD16B4" w:rsidDel="00DD6B3E">
        <w:t>.</w:t>
      </w:r>
    </w:p>
    <w:p w14:paraId="2C859553" w14:textId="77777777" w:rsidR="00851323" w:rsidRPr="00BD16B4" w:rsidRDefault="00851323" w:rsidP="00B43A1D">
      <w:pPr>
        <w:pStyle w:val="BodyText"/>
        <w:spacing w:after="100"/>
      </w:pPr>
      <w:r w:rsidRPr="00BD16B4">
        <w:t>Rising sea levels, continued warming and extreme weather events are expected to further change marine species’ distribution, abundance and ecosystem services. Intertidal zones will shrink due to sea-level rise. The future productivity and sustainability of fisheries is dependent on how marine ecosystems are affected. Net primary productivity in New Zealand waters is predicted to decline, with subantarctic waters most affected.</w:t>
      </w:r>
    </w:p>
    <w:p w14:paraId="1BBE6D8B" w14:textId="77777777" w:rsidR="00851323" w:rsidRPr="00BD16B4" w:rsidRDefault="00851323" w:rsidP="00851323">
      <w:pPr>
        <w:pStyle w:val="Heading3"/>
      </w:pPr>
      <w:r w:rsidRPr="00BD16B4">
        <w:t>6.4.2</w:t>
      </w:r>
      <w:r w:rsidRPr="00BD16B4">
        <w:tab/>
        <w:t>Primary industries</w:t>
      </w:r>
    </w:p>
    <w:p w14:paraId="737D1F8C" w14:textId="77777777" w:rsidR="00851323" w:rsidRPr="00BD16B4" w:rsidRDefault="00851323" w:rsidP="004E1B8C">
      <w:pPr>
        <w:pStyle w:val="Heading4"/>
      </w:pPr>
      <w:r w:rsidRPr="00BD16B4">
        <w:t>Observed impacts</w:t>
      </w:r>
    </w:p>
    <w:p w14:paraId="22302497" w14:textId="77777777" w:rsidR="00851323" w:rsidRPr="00BD16B4" w:rsidRDefault="00851323" w:rsidP="00851323">
      <w:pPr>
        <w:pStyle w:val="BodyText"/>
      </w:pPr>
      <w:r w:rsidRPr="00BD16B4">
        <w:t xml:space="preserve">Droughts have had negative impacts across agricultural sectors. For example, extreme heat is detrimental to livestock welfare, and can reduce growth and reproduction rates, as well as causing death. Pasture production is changing in response to climate-related factors. </w:t>
      </w:r>
    </w:p>
    <w:p w14:paraId="2BF86988" w14:textId="77777777" w:rsidR="00851323" w:rsidRPr="00BD16B4" w:rsidRDefault="00851323" w:rsidP="00851323">
      <w:pPr>
        <w:pStyle w:val="BodyText"/>
      </w:pPr>
      <w:r w:rsidRPr="00BD16B4">
        <w:t xml:space="preserve">Evidence of climate change impacts on crops and forest growth patterns is still limited. For example, a decreased winter chill has contributed to both an early harvest for the kiwifruit industry and elevated energy (refrigeration) demands. </w:t>
      </w:r>
    </w:p>
    <w:p w14:paraId="73F5547B" w14:textId="77777777" w:rsidR="00851323" w:rsidRPr="00BD16B4" w:rsidRDefault="00851323" w:rsidP="00851323">
      <w:pPr>
        <w:pStyle w:val="BodyText"/>
      </w:pPr>
      <w:r w:rsidRPr="00BD16B4">
        <w:lastRenderedPageBreak/>
        <w:t>Climate change has resulted in habitat loss and distribution shifts for fisheries species. Aquaculture (eg, farmed salmon) experienced significant losses during a heatwave.</w:t>
      </w:r>
    </w:p>
    <w:p w14:paraId="25B6D6DD" w14:textId="77777777" w:rsidR="00851323" w:rsidRPr="00BD16B4" w:rsidRDefault="00851323" w:rsidP="004E1B8C">
      <w:pPr>
        <w:pStyle w:val="Heading4"/>
      </w:pPr>
      <w:r w:rsidRPr="00BD16B4">
        <w:t>Projected impacts</w:t>
      </w:r>
    </w:p>
    <w:p w14:paraId="725DB094" w14:textId="77777777" w:rsidR="00851323" w:rsidRPr="00BD16B4" w:rsidRDefault="00851323" w:rsidP="00851323">
      <w:pPr>
        <w:pStyle w:val="BodyText"/>
      </w:pPr>
      <w:r w:rsidRPr="00BD16B4">
        <w:t xml:space="preserve">Warmer temperatures and extreme weather events will have negative impacts on livestock productivity and welfare. Pasture growth rates may be affected more in terms of seasonality than yield. Land may suffer increased erosion due to heavy precipitation events. </w:t>
      </w:r>
    </w:p>
    <w:p w14:paraId="0F4C04DF" w14:textId="77777777" w:rsidR="00851323" w:rsidRPr="00BD16B4" w:rsidRDefault="00851323" w:rsidP="00851323">
      <w:pPr>
        <w:pStyle w:val="BodyText"/>
      </w:pPr>
      <w:r w:rsidRPr="00BD16B4">
        <w:t>Changing temperature and rainfall patterns may increase winter yields of some crops but reduce the yield of others reliant on winter chill. An overall decline in crop yield and quality is expected with rising temperatures. Higher carbon dioxide</w:t>
      </w:r>
      <w:r w:rsidRPr="00BD16B4">
        <w:rPr>
          <w:vertAlign w:val="subscript"/>
        </w:rPr>
        <w:t xml:space="preserve"> </w:t>
      </w:r>
      <w:r w:rsidRPr="00BD16B4">
        <w:t>is anticipated to contribute to increased productivity of pine (</w:t>
      </w:r>
      <w:r w:rsidRPr="00BD16B4">
        <w:rPr>
          <w:i/>
        </w:rPr>
        <w:t>Pinus radiata</w:t>
      </w:r>
      <w:r w:rsidRPr="00BD16B4">
        <w:t>) plantations, though with accompanying increased wind damage. Risks to New Zealand’s carbon offsetting and removal strategies are posed by drought, fire, heavy rainfall, soil erosion and pests. Changes will occur to distributions and new incursions of invasive pests and diseases. Beneficial insects may be negatively affected by climate change.</w:t>
      </w:r>
    </w:p>
    <w:p w14:paraId="72639016" w14:textId="77777777" w:rsidR="00851323" w:rsidRPr="00BD16B4" w:rsidRDefault="00851323" w:rsidP="00851323">
      <w:pPr>
        <w:pStyle w:val="BodyText"/>
      </w:pPr>
      <w:r w:rsidRPr="00BD16B4">
        <w:t>Shellfish are expected to be the fishery most vulnerable to climate change stressors because they are sessile and shell formation is vulnerable to ocean acidification. For other species, those living in temperate and demersal zones are likely to be more affected by climate change, compared with those living in pelagic systems. The aquaculture industry will likely be able to reduce exposure to changing climatic conditions more easily than wild fisheries.</w:t>
      </w:r>
    </w:p>
    <w:p w14:paraId="709B9B38" w14:textId="77777777" w:rsidR="00851323" w:rsidRPr="00BD16B4" w:rsidRDefault="00851323" w:rsidP="00851323">
      <w:pPr>
        <w:pStyle w:val="Heading3"/>
      </w:pPr>
      <w:r w:rsidRPr="00BD16B4">
        <w:t>6.4.3</w:t>
      </w:r>
      <w:r w:rsidRPr="00BD16B4">
        <w:tab/>
        <w:t>Built environment</w:t>
      </w:r>
    </w:p>
    <w:p w14:paraId="1C9E9DAB" w14:textId="77777777" w:rsidR="00851323" w:rsidRPr="00BD16B4" w:rsidRDefault="00851323" w:rsidP="004E1B8C">
      <w:pPr>
        <w:pStyle w:val="Heading4"/>
      </w:pPr>
      <w:r w:rsidRPr="00BD16B4">
        <w:t>Observed impacts</w:t>
      </w:r>
    </w:p>
    <w:p w14:paraId="0C13795F" w14:textId="77777777" w:rsidR="00851323" w:rsidRPr="00BD16B4" w:rsidRDefault="00851323" w:rsidP="00851323">
      <w:pPr>
        <w:pStyle w:val="BodyText"/>
      </w:pPr>
      <w:r w:rsidRPr="00BD16B4">
        <w:t xml:space="preserve">Gradual changes to the climate and extreme weather events are having increasing effects on human settlements and critical infrastructure. For example, sea-level rise poses a risk to many urban services, such as roads, railways, seaports, airports and water infrastructure. </w:t>
      </w:r>
    </w:p>
    <w:p w14:paraId="6223F997" w14:textId="77777777" w:rsidR="00851323" w:rsidRPr="00BD16B4" w:rsidRDefault="00851323" w:rsidP="00851323">
      <w:pPr>
        <w:pStyle w:val="BodyText"/>
      </w:pPr>
      <w:r w:rsidRPr="00BD16B4">
        <w:t>Existing vulnerabilities to disruption and disaster (eg, poor infrastructure quality, social disadvantage, poor health and social support) are intensified by the impacts of climate change. Climate change-related flood damage was almost 30 per cent (NZ$140.48 million) of the total insured losses in the 12 costliest floods in the decade to 2017.</w:t>
      </w:r>
    </w:p>
    <w:p w14:paraId="192B0C05" w14:textId="77777777" w:rsidR="00851323" w:rsidRPr="00BD16B4" w:rsidRDefault="00851323" w:rsidP="00851323">
      <w:pPr>
        <w:pStyle w:val="BodyText"/>
      </w:pPr>
      <w:r w:rsidRPr="00BD16B4">
        <w:t>Energy assets are exposed to sea-level rise and extreme weather events (eg, storms, floods, droughts, fire), and outages can result. Hydro-electricity generation is vulnerable to low rainfall; and high temperatures place other strains on these systems.</w:t>
      </w:r>
    </w:p>
    <w:p w14:paraId="2378E074" w14:textId="77777777" w:rsidR="00851323" w:rsidRPr="00BD16B4" w:rsidRDefault="00851323" w:rsidP="004E1B8C">
      <w:pPr>
        <w:pStyle w:val="Heading4"/>
      </w:pPr>
      <w:r w:rsidRPr="00BD16B4">
        <w:t>Projected impacts</w:t>
      </w:r>
    </w:p>
    <w:p w14:paraId="6F47844D" w14:textId="77777777" w:rsidR="00851323" w:rsidRPr="00BD16B4" w:rsidRDefault="00851323" w:rsidP="00851323">
      <w:pPr>
        <w:pStyle w:val="BodyText"/>
      </w:pPr>
      <w:r w:rsidRPr="00BD16B4">
        <w:t>Cities, other settlements, and infrastructure are expected to experience increasing detrimental effects due to climate change, including events such as heavy rainfall, storms, heat waves, fires and droughts. An estimated NZ</w:t>
      </w:r>
      <w:r w:rsidRPr="00BD16B4" w:rsidDel="006C34DC">
        <w:t>$</w:t>
      </w:r>
      <w:r w:rsidRPr="00BD16B4">
        <w:t xml:space="preserve">25.5 billion of assets will be exposed to a 1 metre sea-level rise. By 2050, infrastructure (eg, transport, water, electricity, landfills) close to the coast or rivers will be at increased risk. Flow-on effects to community wellbeing may then emerge, with the impacts not experienced equitably across groups of people. </w:t>
      </w:r>
    </w:p>
    <w:p w14:paraId="25AB66B9" w14:textId="691AB190" w:rsidR="00851323" w:rsidRPr="00BD16B4" w:rsidRDefault="00851323" w:rsidP="00851323">
      <w:pPr>
        <w:pStyle w:val="BodyText"/>
        <w:keepLines/>
      </w:pPr>
      <w:r w:rsidRPr="00BD16B4">
        <w:lastRenderedPageBreak/>
        <w:t>Electricity heating demands are predicted to decrease slightly, due to higher temperatures and improved energy efficiency. Hydro-electricity vulnerability may decrease due to increased hydro lake inflows but this will be countered by more supply disruptions as reliance on electricity grows. Inequity exists in household vulnerability to energy sector risks. This is attributed to differing health needs and housing quality.</w:t>
      </w:r>
    </w:p>
    <w:p w14:paraId="3B909EA6" w14:textId="77777777" w:rsidR="00851323" w:rsidRPr="00BD16B4" w:rsidRDefault="00851323" w:rsidP="00851323">
      <w:pPr>
        <w:pStyle w:val="Heading3"/>
      </w:pPr>
      <w:r w:rsidRPr="00BD16B4">
        <w:t>6.4.4</w:t>
      </w:r>
      <w:r w:rsidRPr="00BD16B4">
        <w:tab/>
        <w:t>Economic sectors</w:t>
      </w:r>
    </w:p>
    <w:p w14:paraId="36231F2C" w14:textId="77777777" w:rsidR="00851323" w:rsidRPr="00BD16B4" w:rsidRDefault="00851323" w:rsidP="004E1B8C">
      <w:pPr>
        <w:pStyle w:val="Heading4"/>
      </w:pPr>
      <w:r w:rsidRPr="00BD16B4">
        <w:t>Observed impacts</w:t>
      </w:r>
    </w:p>
    <w:p w14:paraId="7C6F9ECB" w14:textId="77777777" w:rsidR="00851323" w:rsidRPr="00BD16B4" w:rsidRDefault="00851323" w:rsidP="00851323">
      <w:pPr>
        <w:pStyle w:val="BodyText"/>
        <w:spacing w:after="100"/>
      </w:pPr>
      <w:r w:rsidRPr="00BD16B4">
        <w:t>The reliance of the tourism sector on natural attractions and outdoor activities means climate change is already affecting tourism. For example, the Fox Glacier and Franz Josef Glacier have retreated (around 700 metres since 2008), and heavy rainfall caused damage to the Great Walks closing some.</w:t>
      </w:r>
      <w:r w:rsidRPr="00BD16B4">
        <w:rPr>
          <w:rStyle w:val="FootnoteReference"/>
        </w:rPr>
        <w:footnoteReference w:id="292"/>
      </w:r>
      <w:r w:rsidRPr="00BD16B4">
        <w:t xml:space="preserve"> Further, travellers are likely to be increasingly reluctant to undertake long-haul flights due to ‘flygskam’ or ‘flight shame’.</w:t>
      </w:r>
    </w:p>
    <w:p w14:paraId="612BBA58" w14:textId="77777777" w:rsidR="00851323" w:rsidRPr="00BD16B4" w:rsidRDefault="00851323" w:rsidP="00851323">
      <w:pPr>
        <w:pStyle w:val="BodyText"/>
        <w:spacing w:after="100"/>
      </w:pPr>
      <w:r w:rsidRPr="00BD16B4">
        <w:t xml:space="preserve">Climate change poses significant risks to the financial sector, for example, insured losses due to extreme weather events (almost NZ$1 billion between 2013 and 2020, 0.4 per cent of gross domestic product). </w:t>
      </w:r>
    </w:p>
    <w:p w14:paraId="6598B1AF" w14:textId="77777777" w:rsidR="00851323" w:rsidRPr="00BD16B4" w:rsidRDefault="00851323" w:rsidP="004E1B8C">
      <w:pPr>
        <w:pStyle w:val="Heading4"/>
      </w:pPr>
      <w:r w:rsidRPr="00BD16B4">
        <w:t>Projected impacts</w:t>
      </w:r>
    </w:p>
    <w:p w14:paraId="2DE5801C" w14:textId="77777777" w:rsidR="00851323" w:rsidRPr="00BD16B4" w:rsidRDefault="00851323" w:rsidP="00851323">
      <w:pPr>
        <w:pStyle w:val="BodyText"/>
        <w:spacing w:after="100"/>
      </w:pPr>
      <w:r w:rsidRPr="00BD16B4">
        <w:t>Climate change is likely to have widespread negative effects on tourism. For example, a further decrease is anticipated in the volume of the South Island glaciers, and snow skiing will be negatively affected.</w:t>
      </w:r>
    </w:p>
    <w:p w14:paraId="58707D79" w14:textId="77777777" w:rsidR="00851323" w:rsidRPr="00BD16B4" w:rsidRDefault="00851323" w:rsidP="00851323">
      <w:pPr>
        <w:pStyle w:val="BodyText"/>
        <w:spacing w:after="100"/>
      </w:pPr>
      <w:r w:rsidRPr="00BD16B4">
        <w:t xml:space="preserve">The finance sector will also be exposed to increased risks. Factors such as flooding, fire and soil damage will contribute to decreases in property values, increases in insurance costs and challenges in servicing loans. The value of buildings exposed to coastal inundation could increase by NZ$2.55 billion for every 0.1 metre increment in sea level. Greater understanding is required of distributional impacts, the rate of change of costs over time, and the economic implications of delayed action. </w:t>
      </w:r>
    </w:p>
    <w:p w14:paraId="6E8A79D9" w14:textId="77777777" w:rsidR="00851323" w:rsidRPr="00BD16B4" w:rsidRDefault="00851323" w:rsidP="00851323">
      <w:pPr>
        <w:pStyle w:val="Heading3"/>
      </w:pPr>
      <w:r w:rsidRPr="00BD16B4">
        <w:t>6.4.5</w:t>
      </w:r>
      <w:r w:rsidRPr="00BD16B4">
        <w:tab/>
        <w:t>Health and communities</w:t>
      </w:r>
    </w:p>
    <w:p w14:paraId="51717371" w14:textId="77777777" w:rsidR="00851323" w:rsidRPr="00BD16B4" w:rsidRDefault="00851323" w:rsidP="004E1B8C">
      <w:pPr>
        <w:pStyle w:val="Heading4"/>
      </w:pPr>
      <w:r w:rsidRPr="00BD16B4">
        <w:t>Observed impacts</w:t>
      </w:r>
    </w:p>
    <w:p w14:paraId="08668867" w14:textId="77777777" w:rsidR="00851323" w:rsidRPr="00BD16B4" w:rsidRDefault="00851323" w:rsidP="00851323">
      <w:pPr>
        <w:pStyle w:val="BodyText"/>
        <w:spacing w:after="100"/>
      </w:pPr>
      <w:r w:rsidRPr="00BD16B4">
        <w:t>Severe weather events are linked to negative health impacts. For example, reduced mental health is associated with high temperatures. An increase in the incidence of diseases, such as dengue fever, arriving in Aotearoa New Zealand has been observed (although without local transmission).</w:t>
      </w:r>
    </w:p>
    <w:p w14:paraId="608B7C6E" w14:textId="77777777" w:rsidR="00851323" w:rsidRPr="00BD16B4" w:rsidRDefault="00851323" w:rsidP="00851323">
      <w:pPr>
        <w:pStyle w:val="BodyText"/>
        <w:spacing w:after="100"/>
      </w:pPr>
      <w:r w:rsidRPr="00BD16B4">
        <w:t>Rural communities, including many Māori communities located in rural and remote locations, are particularly vulnerable to the impacts of climate change due to road closures and power cuts. Sites of cultural significance, including marae</w:t>
      </w:r>
      <w:r w:rsidRPr="00BD16B4">
        <w:rPr>
          <w:rStyle w:val="FootnoteReference"/>
        </w:rPr>
        <w:footnoteReference w:id="293"/>
      </w:r>
      <w:r w:rsidRPr="00BD16B4">
        <w:t xml:space="preserve"> and urupā (burial grounds), are also vulnerable. These communities may experience cumulative impacts of climate change, </w:t>
      </w:r>
      <w:r w:rsidRPr="00BD16B4">
        <w:lastRenderedPageBreak/>
        <w:t>particularly those relying on one sector, for example, tourism or agriculture, as the primary economic generator. The mental health of members of farming and rural communities can be affected by the disruptions to livelihoods and loss of social cohesion.</w:t>
      </w:r>
    </w:p>
    <w:p w14:paraId="62317DD2" w14:textId="77777777" w:rsidR="00851323" w:rsidRPr="00BD16B4" w:rsidRDefault="00851323" w:rsidP="00851323">
      <w:pPr>
        <w:pStyle w:val="BodyText"/>
        <w:spacing w:after="100"/>
      </w:pPr>
      <w:r w:rsidRPr="00BD16B4">
        <w:t>Droughts, flooding events and extreme wind conditions can cause animal welfare, financial and emotional stress for rural communities and households. The increasing occurrence of adverse weather events affects the financial and social resilience of primary producers and the welfare and wellbeing of their families and broader communities, which depend on a strong and robust primary sector.</w:t>
      </w:r>
    </w:p>
    <w:p w14:paraId="1FB4D6C7" w14:textId="77777777" w:rsidR="00851323" w:rsidRPr="00BD16B4" w:rsidRDefault="00851323" w:rsidP="00851323">
      <w:pPr>
        <w:pStyle w:val="BodyText"/>
        <w:spacing w:after="100"/>
      </w:pPr>
      <w:r w:rsidRPr="00BD16B4">
        <w:t>Health inequities are already present in the Māori population. Māori are invested in many sectors vulnerable to climate change, such as fishing, forestry, agriculture, renewable energy and tourism. A large amount of Māori-owned land suffers from erosion.</w:t>
      </w:r>
    </w:p>
    <w:p w14:paraId="77A062F0" w14:textId="77777777" w:rsidR="00851323" w:rsidRPr="00BD16B4" w:rsidRDefault="00851323" w:rsidP="004E1B8C">
      <w:pPr>
        <w:pStyle w:val="Heading4"/>
      </w:pPr>
      <w:r w:rsidRPr="00BD16B4">
        <w:t>Projected impacts</w:t>
      </w:r>
    </w:p>
    <w:p w14:paraId="5F007870" w14:textId="77777777" w:rsidR="00851323" w:rsidRPr="00BD16B4" w:rsidRDefault="00851323" w:rsidP="00851323">
      <w:pPr>
        <w:pStyle w:val="BodyText"/>
        <w:spacing w:after="100"/>
      </w:pPr>
      <w:r w:rsidRPr="00BD16B4">
        <w:t>Negative effects on human health are expected to result from altered rainfall, floods, heat stress, air pollution and diseases. For example, increases may occur in allergies, drinking water contamination and toxic freshwater blooms. Socio-economic status will influence the vulnerability of people to these effects.</w:t>
      </w:r>
    </w:p>
    <w:p w14:paraId="30194637" w14:textId="77777777" w:rsidR="00851323" w:rsidRPr="00BD16B4" w:rsidRDefault="00851323" w:rsidP="00851323">
      <w:pPr>
        <w:pStyle w:val="BodyText"/>
        <w:spacing w:after="100"/>
      </w:pPr>
      <w:r w:rsidRPr="00BD16B4">
        <w:t>Health inequities are projected to increase due to climate change. Further risks to Māori wellbeing and cultural identity are posed by negative impacts to culturally significant fauna and flora. Sea-level rise will affect coastal and low-lying Māori land, posing risks to marae and urupā. Climate change may jeopardise the ability of governments to uphold Māori interests under Te Tiriti o Waitangi.</w:t>
      </w:r>
    </w:p>
    <w:p w14:paraId="54A78A8A" w14:textId="6AA882F5" w:rsidR="00851323" w:rsidRPr="00BD16B4" w:rsidRDefault="00851323" w:rsidP="00851323">
      <w:pPr>
        <w:pStyle w:val="Heading2"/>
      </w:pPr>
      <w:bookmarkStart w:id="320" w:name="_Toc121774651"/>
      <w:r w:rsidRPr="00BD16B4">
        <w:t>6.5</w:t>
      </w:r>
      <w:r w:rsidRPr="00BD16B4">
        <w:tab/>
        <w:t>Assessment of risks and vulnerability to climate change</w:t>
      </w:r>
      <w:bookmarkEnd w:id="320"/>
    </w:p>
    <w:p w14:paraId="3A7AB2D0" w14:textId="77777777" w:rsidR="00851323" w:rsidRPr="00BD16B4" w:rsidRDefault="00851323" w:rsidP="00851323">
      <w:pPr>
        <w:pStyle w:val="BodyText"/>
        <w:spacing w:after="100"/>
      </w:pPr>
      <w:r w:rsidRPr="00BD16B4">
        <w:rPr>
          <w:rFonts w:eastAsiaTheme="minorHAnsi"/>
        </w:rPr>
        <w:t xml:space="preserve">This section provides </w:t>
      </w:r>
      <w:r w:rsidRPr="00BD16B4">
        <w:t>updated information on and methods to identify significant economic, social and/or environmental vulnerabilities or risks related to current and expected climate change impacts.</w:t>
      </w:r>
    </w:p>
    <w:p w14:paraId="102AB7DF" w14:textId="77777777" w:rsidR="00851323" w:rsidRPr="00BD16B4" w:rsidRDefault="00851323" w:rsidP="00851323">
      <w:pPr>
        <w:pStyle w:val="Heading3"/>
        <w:spacing w:before="320" w:line="380" w:lineRule="exact"/>
      </w:pPr>
      <w:r w:rsidRPr="00BD16B4">
        <w:t>6.5.1</w:t>
      </w:r>
      <w:r w:rsidRPr="00BD16B4">
        <w:tab/>
        <w:t>Arotakenga Huringa Āhuarangi: A Framework for the National Climate Change Risk Assessment for Aotearoa New Zealand</w:t>
      </w:r>
    </w:p>
    <w:p w14:paraId="51DCA57A" w14:textId="77777777" w:rsidR="00851323" w:rsidRPr="00BD16B4" w:rsidRDefault="00851323" w:rsidP="00851323">
      <w:pPr>
        <w:pStyle w:val="BodyText"/>
        <w:spacing w:after="100"/>
      </w:pPr>
      <w:r w:rsidRPr="00BD16B4">
        <w:t>In 2019, the Government published a framework to support a consistent approach to defining and assessing risks from climate change at local, regional and national levels.</w:t>
      </w:r>
      <w:r w:rsidRPr="00BD16B4">
        <w:rPr>
          <w:rStyle w:val="FootnoteReference"/>
        </w:rPr>
        <w:footnoteReference w:id="294"/>
      </w:r>
      <w:r w:rsidRPr="00BD16B4">
        <w:t xml:space="preserve"> </w:t>
      </w:r>
    </w:p>
    <w:p w14:paraId="18C50D64" w14:textId="77777777" w:rsidR="00851323" w:rsidRPr="00BD16B4" w:rsidRDefault="00851323" w:rsidP="00851323">
      <w:pPr>
        <w:pStyle w:val="BodyText"/>
        <w:spacing w:after="100"/>
      </w:pPr>
      <w:r w:rsidRPr="00BD16B4">
        <w:t>The framework provides the means to evaluate risks and opportunities from climate change in terms of their nature, severity and urgency using a variety of information sources. It includes:</w:t>
      </w:r>
    </w:p>
    <w:p w14:paraId="5A9F8786" w14:textId="77777777" w:rsidR="00851323" w:rsidRPr="00BD16B4" w:rsidRDefault="00851323" w:rsidP="0011037B">
      <w:pPr>
        <w:pStyle w:val="Bullet"/>
        <w:spacing w:after="100"/>
      </w:pPr>
      <w:r w:rsidRPr="00BD16B4">
        <w:t>a three-stage approach to assessing and comparing risks</w:t>
      </w:r>
    </w:p>
    <w:p w14:paraId="351F037C" w14:textId="77777777" w:rsidR="00851323" w:rsidRPr="00BD16B4" w:rsidRDefault="00851323" w:rsidP="0011037B">
      <w:pPr>
        <w:pStyle w:val="Bullet"/>
      </w:pPr>
      <w:r w:rsidRPr="00BD16B4">
        <w:t>templates to be used in completing the various steps of the assessment</w:t>
      </w:r>
    </w:p>
    <w:p w14:paraId="01D583CB" w14:textId="77777777" w:rsidR="00851323" w:rsidRPr="00BD16B4" w:rsidRDefault="00851323" w:rsidP="0011037B">
      <w:pPr>
        <w:pStyle w:val="Bullet"/>
      </w:pPr>
      <w:r w:rsidRPr="00BD16B4">
        <w:t>guidance materials to help users in following the methodology.</w:t>
      </w:r>
    </w:p>
    <w:p w14:paraId="772DAAC1" w14:textId="77777777" w:rsidR="00851323" w:rsidRPr="00BD16B4" w:rsidRDefault="00851323" w:rsidP="00851323">
      <w:pPr>
        <w:pStyle w:val="BodyText"/>
      </w:pPr>
      <w:r w:rsidRPr="00BD16B4">
        <w:lastRenderedPageBreak/>
        <w:t>The framework is consistent with internationally applied risk assessment elements. It also places greater emphasis on engagement (including co-produced elicitation processes, eg, ‘risk workshops’) and the framework’s principles. Processes for engagement and evaluation are considered at every step.</w:t>
      </w:r>
    </w:p>
    <w:p w14:paraId="2DFCAE2B" w14:textId="77777777" w:rsidR="00851323" w:rsidRPr="00BD16B4" w:rsidRDefault="00851323" w:rsidP="00851323">
      <w:pPr>
        <w:pStyle w:val="Heading3"/>
      </w:pPr>
      <w:r w:rsidRPr="00BD16B4">
        <w:t>6.5.2</w:t>
      </w:r>
      <w:r w:rsidRPr="00BD16B4">
        <w:tab/>
        <w:t xml:space="preserve">National Climate Change Risk Assessment </w:t>
      </w:r>
    </w:p>
    <w:p w14:paraId="51B2825C" w14:textId="77777777" w:rsidR="00851323" w:rsidRPr="00BD16B4" w:rsidRDefault="00851323" w:rsidP="00851323">
      <w:pPr>
        <w:pStyle w:val="BodyText"/>
      </w:pPr>
      <w:r w:rsidRPr="00BD16B4">
        <w:t>The National Climate Change Risk Assessment 2020 (NCCRA) provides a national overview of how Aotearoa New Zealand may be affected by climate-related hazards.</w:t>
      </w:r>
      <w:r w:rsidRPr="00BD16B4">
        <w:rPr>
          <w:rStyle w:val="FootnoteReference"/>
        </w:rPr>
        <w:footnoteReference w:id="295"/>
      </w:r>
      <w:r w:rsidRPr="00BD16B4">
        <w:t xml:space="preserve"> The risk assessment:</w:t>
      </w:r>
    </w:p>
    <w:p w14:paraId="483FDBFD" w14:textId="77777777" w:rsidR="00851323" w:rsidRPr="00BD16B4" w:rsidRDefault="00851323" w:rsidP="0011037B">
      <w:pPr>
        <w:pStyle w:val="Bullet"/>
        <w:rPr>
          <w:spacing w:val="-2"/>
        </w:rPr>
      </w:pPr>
      <w:r w:rsidRPr="00BD16B4">
        <w:rPr>
          <w:spacing w:val="-2"/>
        </w:rPr>
        <w:t>identifies main climate risks and opportunities that New Zealand can expect to face to 2026</w:t>
      </w:r>
    </w:p>
    <w:p w14:paraId="54E74736" w14:textId="77777777" w:rsidR="00851323" w:rsidRPr="00BD16B4" w:rsidRDefault="00851323" w:rsidP="0011037B">
      <w:pPr>
        <w:pStyle w:val="Bullet"/>
      </w:pPr>
      <w:r w:rsidRPr="00BD16B4">
        <w:t>highlights information gaps</w:t>
      </w:r>
    </w:p>
    <w:p w14:paraId="47A3B556" w14:textId="77777777" w:rsidR="00851323" w:rsidRPr="00BD16B4" w:rsidRDefault="00851323" w:rsidP="0011037B">
      <w:pPr>
        <w:pStyle w:val="Bullet"/>
      </w:pPr>
      <w:r w:rsidRPr="00BD16B4">
        <w:t>helps identify where the Government needs to focus its action.</w:t>
      </w:r>
    </w:p>
    <w:p w14:paraId="6E709276" w14:textId="77777777" w:rsidR="00851323" w:rsidRPr="00BD16B4" w:rsidRDefault="00851323" w:rsidP="00851323">
      <w:pPr>
        <w:pStyle w:val="BodyText"/>
      </w:pPr>
      <w:r w:rsidRPr="00BD16B4">
        <w:t>The risk assessment was undertaken over three stages and is summarised in table 6.2.</w:t>
      </w:r>
    </w:p>
    <w:p w14:paraId="6FAF9A1F" w14:textId="77777777" w:rsidR="00851323" w:rsidRPr="00BD16B4" w:rsidRDefault="00851323" w:rsidP="00BB7302">
      <w:pPr>
        <w:pStyle w:val="Tableheading"/>
      </w:pPr>
      <w:bookmarkStart w:id="321" w:name="_Toc121773820"/>
      <w:r w:rsidRPr="00BD16B4">
        <w:t xml:space="preserve">Table 6.2: </w:t>
      </w:r>
      <w:r w:rsidRPr="00BD16B4">
        <w:tab/>
        <w:t>Three stages of the National Climate Change Risk Assessment 2020</w:t>
      </w:r>
      <w:bookmarkEnd w:id="321"/>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766"/>
        <w:gridCol w:w="3202"/>
        <w:gridCol w:w="3537"/>
      </w:tblGrid>
      <w:tr w:rsidR="00851323" w:rsidRPr="00BD16B4" w14:paraId="20E43B4C" w14:textId="77777777" w:rsidTr="00F31129">
        <w:tc>
          <w:tcPr>
            <w:tcW w:w="1838" w:type="dxa"/>
            <w:shd w:val="clear" w:color="auto" w:fill="1B556B" w:themeFill="text2"/>
          </w:tcPr>
          <w:p w14:paraId="3EB88EC6" w14:textId="77777777" w:rsidR="00851323" w:rsidRPr="00BD16B4" w:rsidRDefault="00851323" w:rsidP="00505D36">
            <w:pPr>
              <w:pStyle w:val="TableText"/>
              <w:spacing w:before="40" w:after="40"/>
              <w:rPr>
                <w:b/>
                <w:bCs/>
                <w:color w:val="FFFFFF" w:themeColor="background1"/>
              </w:rPr>
            </w:pPr>
            <w:r w:rsidRPr="00BD16B4">
              <w:rPr>
                <w:b/>
                <w:bCs/>
                <w:color w:val="FFFFFF" w:themeColor="background1"/>
              </w:rPr>
              <w:t>Stage</w:t>
            </w:r>
          </w:p>
        </w:tc>
        <w:tc>
          <w:tcPr>
            <w:tcW w:w="3402" w:type="dxa"/>
            <w:shd w:val="clear" w:color="auto" w:fill="1B556B" w:themeFill="text2"/>
          </w:tcPr>
          <w:p w14:paraId="494A10FB" w14:textId="77777777" w:rsidR="00851323" w:rsidRPr="00BD16B4" w:rsidRDefault="00851323" w:rsidP="00505D36">
            <w:pPr>
              <w:pStyle w:val="TableText"/>
              <w:spacing w:before="40" w:after="40"/>
              <w:rPr>
                <w:b/>
                <w:bCs/>
                <w:color w:val="FFFFFF" w:themeColor="background1"/>
              </w:rPr>
            </w:pPr>
            <w:r w:rsidRPr="00BD16B4">
              <w:rPr>
                <w:b/>
                <w:bCs/>
                <w:color w:val="FFFFFF" w:themeColor="background1"/>
              </w:rPr>
              <w:t>Objectives</w:t>
            </w:r>
          </w:p>
        </w:tc>
        <w:tc>
          <w:tcPr>
            <w:tcW w:w="3776" w:type="dxa"/>
            <w:shd w:val="clear" w:color="auto" w:fill="1B556B" w:themeFill="text2"/>
          </w:tcPr>
          <w:p w14:paraId="397A38DD" w14:textId="77777777" w:rsidR="00851323" w:rsidRPr="00BD16B4" w:rsidRDefault="00851323" w:rsidP="00505D36">
            <w:pPr>
              <w:pStyle w:val="TableText"/>
              <w:spacing w:before="40" w:after="40"/>
              <w:rPr>
                <w:b/>
                <w:bCs/>
                <w:color w:val="FFFFFF" w:themeColor="background1"/>
              </w:rPr>
            </w:pPr>
            <w:r w:rsidRPr="00BD16B4">
              <w:rPr>
                <w:b/>
                <w:bCs/>
                <w:color w:val="FFFFFF" w:themeColor="background1"/>
              </w:rPr>
              <w:t xml:space="preserve">Output </w:t>
            </w:r>
          </w:p>
        </w:tc>
      </w:tr>
      <w:tr w:rsidR="00851323" w:rsidRPr="00BD16B4" w14:paraId="608B6487" w14:textId="77777777" w:rsidTr="00F31129">
        <w:tc>
          <w:tcPr>
            <w:tcW w:w="1838" w:type="dxa"/>
          </w:tcPr>
          <w:p w14:paraId="6EC3913F" w14:textId="77777777" w:rsidR="00851323" w:rsidRPr="00BD16B4" w:rsidRDefault="00851323" w:rsidP="00F31129">
            <w:pPr>
              <w:pStyle w:val="TableText"/>
            </w:pPr>
            <w:r w:rsidRPr="00BD16B4">
              <w:t>Stage 1: First-pass risk screen</w:t>
            </w:r>
          </w:p>
        </w:tc>
        <w:tc>
          <w:tcPr>
            <w:tcW w:w="3402" w:type="dxa"/>
          </w:tcPr>
          <w:p w14:paraId="5FA81865" w14:textId="77777777" w:rsidR="00851323" w:rsidRPr="00BD16B4" w:rsidRDefault="00851323" w:rsidP="00F31129">
            <w:pPr>
              <w:pStyle w:val="TableText"/>
            </w:pPr>
            <w:r w:rsidRPr="00BD16B4">
              <w:t xml:space="preserve">High-level consideration of climate change risks to Aotearoa New Zealand. </w:t>
            </w:r>
          </w:p>
          <w:p w14:paraId="4EBCB3EE" w14:textId="77777777" w:rsidR="00851323" w:rsidRPr="00BD16B4" w:rsidRDefault="00851323" w:rsidP="00F31129">
            <w:pPr>
              <w:pStyle w:val="TableText"/>
            </w:pPr>
            <w:r w:rsidRPr="00BD16B4">
              <w:t>Determine national risks to consider in Stage 2.</w:t>
            </w:r>
          </w:p>
        </w:tc>
        <w:tc>
          <w:tcPr>
            <w:tcW w:w="3776" w:type="dxa"/>
          </w:tcPr>
          <w:p w14:paraId="384F981D" w14:textId="77777777" w:rsidR="00851323" w:rsidRPr="00BD16B4" w:rsidRDefault="00851323" w:rsidP="00F31129">
            <w:pPr>
              <w:pStyle w:val="TableText"/>
            </w:pPr>
            <w:r w:rsidRPr="00BD16B4">
              <w:t>A set of priority national climate change risks (rated extreme and major in the Stage 1 risk screen) for detailed assessment in Stage 2. Documented in an interim report.</w:t>
            </w:r>
          </w:p>
        </w:tc>
      </w:tr>
      <w:tr w:rsidR="00851323" w:rsidRPr="00BD16B4" w14:paraId="3EA38D2D" w14:textId="77777777" w:rsidTr="00F31129">
        <w:tc>
          <w:tcPr>
            <w:tcW w:w="1838" w:type="dxa"/>
          </w:tcPr>
          <w:p w14:paraId="5E9C80A2" w14:textId="77777777" w:rsidR="00851323" w:rsidRPr="00BD16B4" w:rsidRDefault="00851323" w:rsidP="00F31129">
            <w:pPr>
              <w:pStyle w:val="TableText"/>
            </w:pPr>
            <w:r w:rsidRPr="00BD16B4">
              <w:t>Stage 2: Detailed risk assessment</w:t>
            </w:r>
          </w:p>
        </w:tc>
        <w:tc>
          <w:tcPr>
            <w:tcW w:w="3402" w:type="dxa"/>
          </w:tcPr>
          <w:p w14:paraId="34FFAEC7" w14:textId="77777777" w:rsidR="00851323" w:rsidRPr="00BD16B4" w:rsidRDefault="00851323" w:rsidP="00F31129">
            <w:pPr>
              <w:pStyle w:val="TableText"/>
            </w:pPr>
            <w:r w:rsidRPr="00BD16B4">
              <w:t xml:space="preserve">Examine risks rated extreme and major. </w:t>
            </w:r>
          </w:p>
          <w:p w14:paraId="4FE0DFA9" w14:textId="77777777" w:rsidR="00851323" w:rsidRPr="00BD16B4" w:rsidRDefault="00851323" w:rsidP="00F31129">
            <w:pPr>
              <w:pStyle w:val="TableText"/>
            </w:pPr>
            <w:r w:rsidRPr="00BD16B4">
              <w:t>Prioritise risks to consider in a national adaptation plan (NAP).</w:t>
            </w:r>
          </w:p>
        </w:tc>
        <w:tc>
          <w:tcPr>
            <w:tcW w:w="3776" w:type="dxa"/>
          </w:tcPr>
          <w:p w14:paraId="00F1284C" w14:textId="77777777" w:rsidR="00851323" w:rsidRPr="00BD16B4" w:rsidRDefault="00851323" w:rsidP="00F31129">
            <w:pPr>
              <w:pStyle w:val="TableText"/>
            </w:pPr>
            <w:r w:rsidRPr="00BD16B4">
              <w:t>More detailed assessment of risks to inform the NAP. Identify the 10 most urgent risks, documented in this main report.</w:t>
            </w:r>
          </w:p>
        </w:tc>
      </w:tr>
      <w:tr w:rsidR="00851323" w:rsidRPr="00BD16B4" w14:paraId="4E9741E4" w14:textId="77777777" w:rsidTr="00F31129">
        <w:tc>
          <w:tcPr>
            <w:tcW w:w="1838" w:type="dxa"/>
          </w:tcPr>
          <w:p w14:paraId="236BDF93" w14:textId="77777777" w:rsidR="00851323" w:rsidRPr="00BD16B4" w:rsidRDefault="00851323" w:rsidP="00F31129">
            <w:pPr>
              <w:pStyle w:val="TableText"/>
            </w:pPr>
            <w:r w:rsidRPr="00BD16B4">
              <w:t>Stage 3: Adaptation and decision urgency</w:t>
            </w:r>
          </w:p>
        </w:tc>
        <w:tc>
          <w:tcPr>
            <w:tcW w:w="3402" w:type="dxa"/>
          </w:tcPr>
          <w:p w14:paraId="7C6CE2BD" w14:textId="77777777" w:rsidR="00851323" w:rsidRPr="00BD16B4" w:rsidRDefault="00851323" w:rsidP="00F31129">
            <w:pPr>
              <w:pStyle w:val="TableText"/>
            </w:pPr>
            <w:r w:rsidRPr="00BD16B4">
              <w:t>Assess current and planned adaptation to identify risks needing the most urgent action.</w:t>
            </w:r>
          </w:p>
        </w:tc>
        <w:tc>
          <w:tcPr>
            <w:tcW w:w="3776" w:type="dxa"/>
          </w:tcPr>
          <w:p w14:paraId="784372C7" w14:textId="77777777" w:rsidR="00851323" w:rsidRPr="00BD16B4" w:rsidRDefault="00851323" w:rsidP="00F31129">
            <w:pPr>
              <w:pStyle w:val="TableText"/>
            </w:pPr>
            <w:r w:rsidRPr="00BD16B4">
              <w:t>Contribute to prioritising the 10 most urgent risks to consider in the NAP. Documented in this main report.</w:t>
            </w:r>
          </w:p>
        </w:tc>
      </w:tr>
    </w:tbl>
    <w:p w14:paraId="1BC79C93" w14:textId="77777777" w:rsidR="00851323" w:rsidRPr="00BD16B4" w:rsidRDefault="00851323" w:rsidP="00061B7E">
      <w:pPr>
        <w:pStyle w:val="Heading4"/>
        <w:spacing w:before="360"/>
      </w:pPr>
      <w:r w:rsidRPr="00BD16B4">
        <w:t xml:space="preserve">Forty-three priority risks across five domains </w:t>
      </w:r>
    </w:p>
    <w:p w14:paraId="53CE7796" w14:textId="77777777" w:rsidR="00851323" w:rsidRPr="00BD16B4" w:rsidRDefault="00851323" w:rsidP="00851323">
      <w:pPr>
        <w:pStyle w:val="BodyText"/>
      </w:pPr>
      <w:r w:rsidRPr="00BD16B4">
        <w:t>Based on stage 1 (first-pass risk screen), the risk assessment identified 43 priority risks New Zealand will face from climate change to 2026. For each risk, the consequence, urgency ratings and research priorities were defined. The urgency ratings were determined based on exposure to climate impacts, the capacity to adapt and sensitivity to climate change.</w:t>
      </w:r>
    </w:p>
    <w:p w14:paraId="32CE9A92" w14:textId="77777777" w:rsidR="00851323" w:rsidRPr="00BD16B4" w:rsidRDefault="00851323" w:rsidP="00851323">
      <w:pPr>
        <w:pStyle w:val="BodyText"/>
      </w:pPr>
      <w:r w:rsidRPr="00BD16B4">
        <w:t xml:space="preserve">The 43 risks were grouped according to five value domains: human, natural environment, economy, built environment and governance. The two most urgent risks in each domain are defined as the 10 most significant risks (see figure 6.2). </w:t>
      </w:r>
    </w:p>
    <w:p w14:paraId="3B0CAE27" w14:textId="77777777" w:rsidR="00851323" w:rsidRPr="00BD16B4" w:rsidRDefault="00851323" w:rsidP="004575D1">
      <w:pPr>
        <w:pStyle w:val="BodyText"/>
        <w:keepLines/>
      </w:pPr>
      <w:r w:rsidRPr="00BD16B4">
        <w:lastRenderedPageBreak/>
        <w:t>Stage 2 (detailed risk assessment) and stage 3 (adaptation and decision urgency assessment) of the risk assessment involved a qualitative analysis of exposure and vulnerability, to inform the urgency scores for risks. Descriptions of exposure, vulnerability, consequence, adaptation and strength of evidence for each risk are provided in a supplementary technical report, which provides the evidence base for the assessment findings.</w:t>
      </w:r>
      <w:r w:rsidRPr="00BD16B4">
        <w:rPr>
          <w:rStyle w:val="FootnoteReference"/>
        </w:rPr>
        <w:footnoteReference w:id="296"/>
      </w:r>
      <w:r w:rsidRPr="00BD16B4">
        <w:t xml:space="preserve"> </w:t>
      </w:r>
    </w:p>
    <w:p w14:paraId="7081E335" w14:textId="77777777" w:rsidR="00851323" w:rsidRPr="00BD16B4" w:rsidRDefault="00851323" w:rsidP="004E1B8C">
      <w:pPr>
        <w:pStyle w:val="Heading4"/>
      </w:pPr>
      <w:r w:rsidRPr="00BD16B4">
        <w:t xml:space="preserve">Risk to Māori </w:t>
      </w:r>
    </w:p>
    <w:p w14:paraId="41F66EAD" w14:textId="77777777" w:rsidR="00851323" w:rsidRPr="00BD16B4" w:rsidRDefault="00851323" w:rsidP="00851323">
      <w:pPr>
        <w:pStyle w:val="BodyText"/>
      </w:pPr>
      <w:r w:rsidRPr="00BD16B4">
        <w:t>The 43 risks disproportionately affect certain Māori groups and interests, values, practices and wellbeing. Mātauranga Māori</w:t>
      </w:r>
      <w:r w:rsidRPr="00BD16B4">
        <w:rPr>
          <w:rStyle w:val="FootnoteReference"/>
        </w:rPr>
        <w:footnoteReference w:id="297"/>
      </w:r>
      <w:r w:rsidRPr="00BD16B4">
        <w:t xml:space="preserve"> will be critical for a greater understanding of the risks and for future planning. </w:t>
      </w:r>
    </w:p>
    <w:p w14:paraId="2600B798" w14:textId="77777777" w:rsidR="00851323" w:rsidRPr="00BD16B4" w:rsidRDefault="00851323" w:rsidP="00851323">
      <w:pPr>
        <w:pStyle w:val="BodyText"/>
      </w:pPr>
      <w:r w:rsidRPr="00BD16B4">
        <w:t>Of particular significance to Māori are risks to social, cultural, spiritual and economic wellbeing from loss and degradation of lands and waters, and from loss of species and biodiversity. Other risks include those to social cohesion and community wellbeing from displacement of individuals, families and communities and risks of exacerbating and creating inequities due to the unequal impacts of climate change.</w:t>
      </w:r>
    </w:p>
    <w:p w14:paraId="04900668" w14:textId="77777777" w:rsidR="00851323" w:rsidRPr="00BD16B4" w:rsidRDefault="00851323" w:rsidP="00851323">
      <w:pPr>
        <w:pStyle w:val="BodyText"/>
      </w:pPr>
      <w:r w:rsidRPr="00BD16B4">
        <w:t>Māori consulted as part of the risk assessment emphasised that recognising interdependencies is fundamental to exploring climate risks from a Māori point of view. Adaptation actions developed in response to the risks will need to recognise the interconnections and be coordinated across risks.</w:t>
      </w:r>
    </w:p>
    <w:p w14:paraId="24528280" w14:textId="09177D2A" w:rsidR="00851323" w:rsidRPr="00BD16B4" w:rsidRDefault="00851323" w:rsidP="00EC76A2">
      <w:pPr>
        <w:pStyle w:val="Figureheading"/>
      </w:pPr>
      <w:bookmarkStart w:id="322" w:name="_Toc121494408"/>
      <w:r w:rsidRPr="00BD16B4">
        <w:lastRenderedPageBreak/>
        <w:t xml:space="preserve">Figure 6.2: </w:t>
      </w:r>
      <w:r w:rsidRPr="00BD16B4">
        <w:tab/>
        <w:t>Ten most significant risks Aotearoa New Zealand will face from climate change,</w:t>
      </w:r>
      <w:r w:rsidRPr="00BD16B4">
        <w:br/>
        <w:t>2020–26, by domain</w:t>
      </w:r>
      <w:r w:rsidRPr="00BD16B4">
        <w:rPr>
          <w:rStyle w:val="FootnoteReference"/>
          <w:rFonts w:asciiTheme="minorHAnsi" w:hAnsiTheme="minorHAnsi"/>
          <w:bCs/>
          <w:sz w:val="20"/>
          <w:szCs w:val="20"/>
        </w:rPr>
        <w:footnoteReference w:id="298"/>
      </w:r>
      <w:bookmarkEnd w:id="322"/>
    </w:p>
    <w:p w14:paraId="0C651D41" w14:textId="77777777" w:rsidR="00851323" w:rsidRPr="00BD16B4" w:rsidRDefault="00851323" w:rsidP="004575D1">
      <w:pPr>
        <w:jc w:val="center"/>
      </w:pPr>
      <w:r w:rsidRPr="00BD16B4">
        <w:rPr>
          <w:noProof/>
        </w:rPr>
        <w:drawing>
          <wp:inline distT="0" distB="0" distL="0" distR="0" wp14:anchorId="2AA5E413" wp14:editId="392B6CF7">
            <wp:extent cx="3728387" cy="495844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b="14076"/>
                    <a:stretch/>
                  </pic:blipFill>
                  <pic:spPr bwMode="auto">
                    <a:xfrm>
                      <a:off x="0" y="0"/>
                      <a:ext cx="3749382" cy="4986364"/>
                    </a:xfrm>
                    <a:prstGeom prst="rect">
                      <a:avLst/>
                    </a:prstGeom>
                    <a:noFill/>
                    <a:ln>
                      <a:noFill/>
                    </a:ln>
                    <a:extLst>
                      <a:ext uri="{53640926-AAD7-44D8-BBD7-CCE9431645EC}">
                        <a14:shadowObscured xmlns:a14="http://schemas.microsoft.com/office/drawing/2010/main"/>
                      </a:ext>
                    </a:extLst>
                  </pic:spPr>
                </pic:pic>
              </a:graphicData>
            </a:graphic>
          </wp:inline>
        </w:drawing>
      </w:r>
    </w:p>
    <w:p w14:paraId="1E1FF54C" w14:textId="77777777" w:rsidR="00851323" w:rsidRPr="00BD16B4" w:rsidRDefault="00851323" w:rsidP="00851323">
      <w:pPr>
        <w:pStyle w:val="Heading3"/>
      </w:pPr>
      <w:r w:rsidRPr="00BD16B4">
        <w:t>6.5.3</w:t>
      </w:r>
      <w:r w:rsidRPr="00BD16B4">
        <w:tab/>
        <w:t>Local government risk assessments</w:t>
      </w:r>
    </w:p>
    <w:p w14:paraId="4B121E4E" w14:textId="77777777" w:rsidR="00851323" w:rsidRPr="00BD16B4" w:rsidRDefault="00851323" w:rsidP="00851323">
      <w:pPr>
        <w:pStyle w:val="BodyText"/>
        <w:rPr>
          <w:rFonts w:eastAsia="Times New Roman"/>
        </w:rPr>
      </w:pPr>
      <w:r w:rsidRPr="00BD16B4">
        <w:t>Alongside the risk assessment, the Government produced guidance for local government organisations to follow when conducting their own local climate risk assessments.</w:t>
      </w:r>
      <w:r w:rsidRPr="00BD16B4">
        <w:rPr>
          <w:rStyle w:val="FootnoteReference"/>
        </w:rPr>
        <w:footnoteReference w:id="299"/>
      </w:r>
      <w:r w:rsidRPr="00BD16B4">
        <w:t xml:space="preserve"> The guidance is broadly consistent with the risk assessment. It sets out a step-by-step process to carry out local risk </w:t>
      </w:r>
      <w:r w:rsidRPr="00BD16B4">
        <w:rPr>
          <w:rFonts w:eastAsia="Times New Roman"/>
        </w:rPr>
        <w:t>assessments and</w:t>
      </w:r>
      <w:r w:rsidRPr="00BD16B4">
        <w:t xml:space="preserve"> provides resources </w:t>
      </w:r>
      <w:r w:rsidRPr="00BD16B4">
        <w:rPr>
          <w:rFonts w:eastAsia="Times New Roman"/>
        </w:rPr>
        <w:t>and sample</w:t>
      </w:r>
      <w:r w:rsidRPr="00BD16B4">
        <w:t xml:space="preserve"> templates for practical use.</w:t>
      </w:r>
    </w:p>
    <w:p w14:paraId="11216AEF" w14:textId="77777777" w:rsidR="00851323" w:rsidRPr="00BD16B4" w:rsidRDefault="00851323" w:rsidP="00851323">
      <w:pPr>
        <w:pStyle w:val="BodyText"/>
        <w:rPr>
          <w:rFonts w:eastAsia="Times New Roman"/>
        </w:rPr>
      </w:pPr>
      <w:r w:rsidRPr="00BD16B4">
        <w:t>This guidance complements additional guidance for local government on managing coastal hazards and climate change.</w:t>
      </w:r>
      <w:r w:rsidRPr="00BD16B4">
        <w:rPr>
          <w:rStyle w:val="FootnoteReference"/>
        </w:rPr>
        <w:footnoteReference w:id="300"/>
      </w:r>
      <w:r w:rsidRPr="00BD16B4">
        <w:t xml:space="preserve"> To reflect the latest science, this coastal hazard guidance was updated in 2022.</w:t>
      </w:r>
      <w:r w:rsidRPr="00BD16B4">
        <w:rPr>
          <w:rStyle w:val="FootnoteReference"/>
        </w:rPr>
        <w:footnoteReference w:id="301"/>
      </w:r>
      <w:r w:rsidRPr="00BD16B4">
        <w:t xml:space="preserve"> The </w:t>
      </w:r>
      <w:hyperlink r:id="rId112">
        <w:r w:rsidRPr="00BD16B4">
          <w:rPr>
            <w:rFonts w:eastAsia="Times New Roman" w:cs="Calibri"/>
          </w:rPr>
          <w:t>update</w:t>
        </w:r>
      </w:hyperlink>
      <w:r w:rsidRPr="00BD16B4">
        <w:rPr>
          <w:rFonts w:cs="Calibri"/>
        </w:rPr>
        <w:t xml:space="preserve"> </w:t>
      </w:r>
      <w:r w:rsidRPr="00BD16B4">
        <w:t>includes</w:t>
      </w:r>
      <w:r w:rsidRPr="00BD16B4">
        <w:rPr>
          <w:rFonts w:eastAsia="Times New Roman"/>
        </w:rPr>
        <w:t xml:space="preserve"> the IPCC’s latest sea-level rise scenarios and accounts for localised vertical land movement from tectonic uplift.</w:t>
      </w:r>
    </w:p>
    <w:p w14:paraId="4A100912" w14:textId="77777777" w:rsidR="00851323" w:rsidRPr="00BD16B4" w:rsidRDefault="00851323" w:rsidP="00851323">
      <w:pPr>
        <w:pStyle w:val="Heading3"/>
      </w:pPr>
      <w:r w:rsidRPr="00BD16B4">
        <w:lastRenderedPageBreak/>
        <w:t>6.5.4</w:t>
      </w:r>
      <w:r w:rsidRPr="00BD16B4">
        <w:tab/>
        <w:t>Sector-level risk assessments</w:t>
      </w:r>
    </w:p>
    <w:p w14:paraId="6438E4DC" w14:textId="77777777" w:rsidR="00851323" w:rsidRPr="00BD16B4" w:rsidRDefault="00851323" w:rsidP="00851323">
      <w:pPr>
        <w:pStyle w:val="BodyText"/>
      </w:pPr>
      <w:r w:rsidRPr="00BD16B4">
        <w:rPr>
          <w:rFonts w:eastAsia="Times New Roman"/>
        </w:rPr>
        <w:t xml:space="preserve">An information request made under the </w:t>
      </w:r>
      <w:r w:rsidRPr="00BD16B4">
        <w:t xml:space="preserve">Climate Change Response </w:t>
      </w:r>
      <w:r w:rsidRPr="00BD16B4">
        <w:rPr>
          <w:rFonts w:eastAsia="Times New Roman"/>
        </w:rPr>
        <w:t xml:space="preserve">Act 2002 identified that 58 per cent of organisations with policy or service </w:t>
      </w:r>
      <w:r w:rsidRPr="00BD16B4">
        <w:t>delivery functions have carried out some form of climate vulnerability assessment. Of these organisations, 14 per cent consider that vulnerability is well understood and integrated into decision-making processes.</w:t>
      </w:r>
      <w:r w:rsidRPr="00BD16B4">
        <w:rPr>
          <w:rStyle w:val="FootnoteReference"/>
        </w:rPr>
        <w:footnoteReference w:id="302"/>
      </w:r>
      <w:r w:rsidRPr="00BD16B4">
        <w:t xml:space="preserve"> </w:t>
      </w:r>
    </w:p>
    <w:p w14:paraId="75B0A648" w14:textId="77777777" w:rsidR="00851323" w:rsidRPr="00BD16B4" w:rsidRDefault="00851323" w:rsidP="00851323">
      <w:pPr>
        <w:pStyle w:val="BodyText"/>
      </w:pPr>
      <w:r w:rsidRPr="00BD16B4">
        <w:t>Climate vulnerability assessments are more frequent amongst lifeline utilities than other types of reporting organisations. Eighty-two per cent of lifeline</w:t>
      </w:r>
      <w:r w:rsidRPr="00BD16B4">
        <w:rPr>
          <w:rFonts w:eastAsia="Times New Roman" w:cstheme="minorHAnsi"/>
        </w:rPr>
        <w:t xml:space="preserve"> utilities have carried out some form of vulnerability assessment. State services assess their climate vulnerability the least. Fifty-nine per cent of state services indicated limited or no assessment or understanding of vulnerability. Five per cent of these entities indicated they understand climate vulnerability well.</w:t>
      </w:r>
    </w:p>
    <w:p w14:paraId="14E81A9C" w14:textId="77777777" w:rsidR="00851323" w:rsidRPr="00BD16B4" w:rsidRDefault="00851323" w:rsidP="00851323">
      <w:pPr>
        <w:pStyle w:val="Heading3"/>
      </w:pPr>
      <w:r w:rsidRPr="00BD16B4">
        <w:t>6.5.5</w:t>
      </w:r>
      <w:r w:rsidRPr="00BD16B4">
        <w:tab/>
        <w:t>Climate-related disclosures</w:t>
      </w:r>
    </w:p>
    <w:p w14:paraId="27518F4A" w14:textId="77777777" w:rsidR="00851323" w:rsidRPr="00BD16B4" w:rsidRDefault="00851323" w:rsidP="004575D1">
      <w:pPr>
        <w:pStyle w:val="BodyText"/>
        <w:spacing w:after="240"/>
      </w:pPr>
      <w:r w:rsidRPr="00BD16B4">
        <w:t>The Government has passed legislation making climate-related disclosures mandatory for some organisations. From 1 January 2023, around 200 financial institutions in Aotearoa New Zealand will be legally required to annually analyse and publicly disclose their climate-related risks and opportunities. The requirement will apply to large publicly listed companies, insurers, banks, credit unions, building societies, and investment managers. New Zealand is the first in the world to implement such legislation, and by improving transparency and revealing climate-related information within financial markets, the country’s financial system will become more resilient.</w:t>
      </w:r>
    </w:p>
    <w:tbl>
      <w:tblPr>
        <w:tblStyle w:val="TableGrid"/>
        <w:tblW w:w="8505" w:type="dxa"/>
        <w:tblInd w:w="113"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851323" w:rsidRPr="00BD16B4" w14:paraId="6735CF58" w14:textId="77777777" w:rsidTr="00F31129">
        <w:tc>
          <w:tcPr>
            <w:tcW w:w="9016" w:type="dxa"/>
            <w:shd w:val="clear" w:color="auto" w:fill="D2DDE1" w:themeFill="background2"/>
          </w:tcPr>
          <w:p w14:paraId="7EF2E1B2" w14:textId="77777777" w:rsidR="00851323" w:rsidRPr="00BD16B4" w:rsidRDefault="00851323" w:rsidP="004575D1">
            <w:pPr>
              <w:pStyle w:val="Boxheading"/>
              <w:keepNext w:val="0"/>
            </w:pPr>
            <w:r w:rsidRPr="00BD16B4">
              <w:t>Gaps in knowledge needed to manage climate change risks and opportunities</w:t>
            </w:r>
          </w:p>
          <w:p w14:paraId="46C9655F" w14:textId="77777777" w:rsidR="00851323" w:rsidRPr="00BD16B4" w:rsidRDefault="00851323" w:rsidP="00F31129">
            <w:pPr>
              <w:pStyle w:val="Boxtext"/>
            </w:pPr>
            <w:r w:rsidRPr="00BD16B4">
              <w:t xml:space="preserve">The risk assessment identified gaps in understanding of climate risks, which reduce Aotearoa New Zealand’s ability to assess and manage climate change. They include: </w:t>
            </w:r>
          </w:p>
          <w:p w14:paraId="3742C328" w14:textId="77777777" w:rsidR="00851323" w:rsidRPr="00BD16B4" w:rsidRDefault="00851323" w:rsidP="00F31129">
            <w:pPr>
              <w:pStyle w:val="Boxbullet"/>
            </w:pPr>
            <w:r w:rsidRPr="00BD16B4">
              <w:t xml:space="preserve">a lack of coordinated and readily accessible biological inventories and data sets describing the distribution and status of ecosystems and species </w:t>
            </w:r>
          </w:p>
          <w:p w14:paraId="1745A09D" w14:textId="77777777" w:rsidR="00851323" w:rsidRPr="00BD16B4" w:rsidRDefault="00851323" w:rsidP="00F31129">
            <w:pPr>
              <w:pStyle w:val="Boxbullet"/>
            </w:pPr>
            <w:r w:rsidRPr="00BD16B4">
              <w:t xml:space="preserve">the relationship between social vulnerabilities, cultural heritage and climate change, along with impacts on Māori social, cultural, spiritual and economic wellbeing </w:t>
            </w:r>
          </w:p>
          <w:p w14:paraId="652F5AA9" w14:textId="77777777" w:rsidR="00851323" w:rsidRPr="00BD16B4" w:rsidRDefault="00851323" w:rsidP="00F31129">
            <w:pPr>
              <w:pStyle w:val="Boxbullet"/>
            </w:pPr>
            <w:r w:rsidRPr="00BD16B4">
              <w:t xml:space="preserve">how climate change will affect the banking and insurance sectors, and the flow-on effects on the financial system </w:t>
            </w:r>
          </w:p>
          <w:p w14:paraId="64B5E500" w14:textId="77777777" w:rsidR="00851323" w:rsidRPr="00BD16B4" w:rsidRDefault="00851323" w:rsidP="00F31129">
            <w:pPr>
              <w:pStyle w:val="Boxbullet"/>
            </w:pPr>
            <w:r w:rsidRPr="00BD16B4">
              <w:t xml:space="preserve">consistent hazard information for assessing the exposure of the built environment at a national scale </w:t>
            </w:r>
          </w:p>
          <w:p w14:paraId="311F2883" w14:textId="77777777" w:rsidR="00851323" w:rsidRPr="00BD16B4" w:rsidRDefault="00851323" w:rsidP="00F31129">
            <w:pPr>
              <w:pStyle w:val="Boxbullet"/>
            </w:pPr>
            <w:r w:rsidRPr="00BD16B4">
              <w:t xml:space="preserve">the interdependencies and shared risks between infrastructure sectors </w:t>
            </w:r>
          </w:p>
          <w:p w14:paraId="1361F891" w14:textId="77777777" w:rsidR="00851323" w:rsidRPr="00BD16B4" w:rsidRDefault="00851323" w:rsidP="00F31129">
            <w:pPr>
              <w:pStyle w:val="Boxbullet"/>
            </w:pPr>
            <w:r w:rsidRPr="00BD16B4">
              <w:t>a coordinated, comprehensive research platform, to ensure research is available to inform effective adaptation</w:t>
            </w:r>
          </w:p>
          <w:p w14:paraId="30899763" w14:textId="77777777" w:rsidR="00851323" w:rsidRPr="00BD16B4" w:rsidRDefault="00851323" w:rsidP="00F31129">
            <w:pPr>
              <w:pStyle w:val="Boxbullet"/>
            </w:pPr>
            <w:r w:rsidRPr="00BD16B4">
              <w:t xml:space="preserve">the current and future barriers to adaptation </w:t>
            </w:r>
          </w:p>
          <w:p w14:paraId="29817A19" w14:textId="77777777" w:rsidR="00851323" w:rsidRPr="00BD16B4" w:rsidRDefault="00851323" w:rsidP="00F31129">
            <w:pPr>
              <w:pStyle w:val="Boxbullet"/>
              <w:spacing w:after="180"/>
            </w:pPr>
            <w:r w:rsidRPr="00BD16B4">
              <w:t>the full range of opportunities and better understanding of those already identified.</w:t>
            </w:r>
          </w:p>
        </w:tc>
      </w:tr>
    </w:tbl>
    <w:p w14:paraId="16606100" w14:textId="6F4E174D" w:rsidR="00851323" w:rsidRPr="00BD16B4" w:rsidRDefault="00851323" w:rsidP="00851323">
      <w:pPr>
        <w:pStyle w:val="Heading2"/>
        <w:spacing w:before="400"/>
      </w:pPr>
      <w:bookmarkStart w:id="323" w:name="_Toc121774652"/>
      <w:r w:rsidRPr="00BD16B4">
        <w:lastRenderedPageBreak/>
        <w:t>6.6</w:t>
      </w:r>
      <w:r w:rsidRPr="00BD16B4">
        <w:tab/>
        <w:t>Aotearoa New Zealand’s adaptation strategy, policies and proposals</w:t>
      </w:r>
      <w:bookmarkEnd w:id="323"/>
    </w:p>
    <w:p w14:paraId="0A760469" w14:textId="77777777" w:rsidR="00851323" w:rsidRPr="00BD16B4" w:rsidRDefault="00851323" w:rsidP="00851323">
      <w:pPr>
        <w:pStyle w:val="Heading3"/>
        <w:spacing w:before="240"/>
      </w:pPr>
      <w:r w:rsidRPr="00BD16B4">
        <w:t>6.6.1</w:t>
      </w:r>
      <w:r w:rsidRPr="00BD16B4">
        <w:tab/>
        <w:t>Long-term adaptation strategy</w:t>
      </w:r>
    </w:p>
    <w:p w14:paraId="6C93E797" w14:textId="77777777" w:rsidR="00851323" w:rsidRPr="00BD16B4" w:rsidRDefault="00851323" w:rsidP="00851323">
      <w:pPr>
        <w:pStyle w:val="BodyText"/>
      </w:pPr>
      <w:r w:rsidRPr="00BD16B4">
        <w:t xml:space="preserve">Aotearoa New Zealand’s adaptation strategy encourages all New Zealanders to work together now to understand climate risks and take action to manage them. It also acknowledges adaptation will bring new opportunities that must be seized. Its vision is that our people, places and systems are resilient and able to adapt to the effects of unavoidable climate change in a fair, low-cost and ordered manner. Central government, local government, the private sector, iwi, hapū, whānau, communities and individuals all have different but complementary roles to play to build a climate-resilient New Zealand. </w:t>
      </w:r>
    </w:p>
    <w:p w14:paraId="01287595" w14:textId="77777777" w:rsidR="00851323" w:rsidRPr="00BD16B4" w:rsidRDefault="00851323" w:rsidP="00851323">
      <w:pPr>
        <w:pStyle w:val="BodyText"/>
      </w:pPr>
      <w:r w:rsidRPr="00BD16B4">
        <w:t>The strategy recognises adaptation as a continuous planning process to assess risks, implement the plan, monitor and evaluate how effective the plan is, and adjust it as necessary (see figure 6.3).</w:t>
      </w:r>
    </w:p>
    <w:p w14:paraId="083393FF" w14:textId="2A81A41A" w:rsidR="00851323" w:rsidRPr="00BD16B4" w:rsidRDefault="00851323" w:rsidP="00EC76A2">
      <w:pPr>
        <w:pStyle w:val="Figureheading"/>
      </w:pPr>
      <w:bookmarkStart w:id="324" w:name="_Toc121494409"/>
      <w:r w:rsidRPr="00BD16B4">
        <w:t xml:space="preserve">Figure 6.3: </w:t>
      </w:r>
      <w:r w:rsidR="00E97EE5" w:rsidRPr="00BD16B4">
        <w:tab/>
      </w:r>
      <w:r w:rsidRPr="00BD16B4">
        <w:t>Aotearoa New Zealand’s legislated adaptation process</w:t>
      </w:r>
      <w:r w:rsidRPr="00BD16B4">
        <w:rPr>
          <w:rStyle w:val="FootnoteReference"/>
          <w:sz w:val="20"/>
          <w:szCs w:val="20"/>
        </w:rPr>
        <w:footnoteReference w:id="303"/>
      </w:r>
      <w:bookmarkEnd w:id="324"/>
      <w:r w:rsidRPr="00BD16B4">
        <w:t xml:space="preserve"> </w:t>
      </w:r>
    </w:p>
    <w:p w14:paraId="3DC16053" w14:textId="77777777" w:rsidR="00851323" w:rsidRPr="00BD16B4" w:rsidRDefault="00851323" w:rsidP="00851323">
      <w:pPr>
        <w:pStyle w:val="BodyText"/>
        <w:spacing w:after="240"/>
        <w:jc w:val="center"/>
      </w:pPr>
      <w:r w:rsidRPr="00BD16B4">
        <w:rPr>
          <w:noProof/>
        </w:rPr>
        <w:drawing>
          <wp:inline distT="0" distB="0" distL="0" distR="0" wp14:anchorId="5200252F" wp14:editId="6A9F53AA">
            <wp:extent cx="3586843" cy="3586843"/>
            <wp:effectExtent l="0" t="0" r="0" b="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598153" cy="3598153"/>
                    </a:xfrm>
                    <a:prstGeom prst="rect">
                      <a:avLst/>
                    </a:prstGeom>
                    <a:noFill/>
                    <a:ln>
                      <a:noFill/>
                    </a:ln>
                  </pic:spPr>
                </pic:pic>
              </a:graphicData>
            </a:graphic>
          </wp:inline>
        </w:drawing>
      </w:r>
    </w:p>
    <w:p w14:paraId="3E992875" w14:textId="77777777" w:rsidR="00851323" w:rsidRPr="00BD16B4" w:rsidRDefault="00851323" w:rsidP="00851323">
      <w:pPr>
        <w:pStyle w:val="BodyText"/>
      </w:pPr>
      <w:r w:rsidRPr="00BD16B4">
        <w:t xml:space="preserve">Upholding the principles of Te Tiriti o Waitangi is a central aspect of the strategy. This means developing adaptation responses in partnership with Māori, elevating te ao Māori (the Māori world) and mātauranga Māori in the adaptation process and empowering Māori in adaptation planning for Māori, by Māori. </w:t>
      </w:r>
    </w:p>
    <w:p w14:paraId="14B1D9A3" w14:textId="77777777" w:rsidR="00851323" w:rsidRPr="00BD16B4" w:rsidRDefault="00851323" w:rsidP="00851323">
      <w:pPr>
        <w:pStyle w:val="BodyText"/>
      </w:pPr>
      <w:r w:rsidRPr="00BD16B4">
        <w:t xml:space="preserve">No two communities will experience climate change in the same way. Inequality arises through multiple domains, including income, housing, employment and accessibility. Climate change can also increase existing inequities. Some groups may be more susceptible to harm due to where they live. Others may be disproportionately affected by financial impacts or lack the </w:t>
      </w:r>
      <w:r w:rsidRPr="00BD16B4">
        <w:lastRenderedPageBreak/>
        <w:t>resources to adapt and have specific adaptation needs. An equitable transition is core to the strategy and national adaptation plans must support New Zealanders in ways that recognise their unique needs, values and circumstances.</w:t>
      </w:r>
    </w:p>
    <w:p w14:paraId="05F7007C" w14:textId="77777777" w:rsidR="00851323" w:rsidRPr="00BD16B4" w:rsidRDefault="00851323" w:rsidP="00851323">
      <w:pPr>
        <w:pStyle w:val="BodyText"/>
      </w:pPr>
      <w:r w:rsidRPr="00BD16B4">
        <w:t xml:space="preserve">Three goals and 10 principles underpin the long-term adaptation strategy. The principles are shown in figure 6.4. The goals are consistent with the global goal on adaptation under the Paris Agreement and should be implemented in an interlinked and systematic way. </w:t>
      </w:r>
    </w:p>
    <w:p w14:paraId="6FDA4659" w14:textId="77777777" w:rsidR="00851323" w:rsidRPr="00BD16B4" w:rsidRDefault="00851323" w:rsidP="0011037B">
      <w:pPr>
        <w:pStyle w:val="Bullet"/>
      </w:pPr>
      <w:r w:rsidRPr="00BD16B4">
        <w:rPr>
          <w:i/>
          <w:iCs/>
        </w:rPr>
        <w:t>Goal 1: Reduce vulnerability to the impacts of climate change</w:t>
      </w:r>
      <w:r w:rsidRPr="00BD16B4">
        <w:t xml:space="preserve"> – this means reducing the sensitivity and susceptibility of people and systems to climate impacts. </w:t>
      </w:r>
    </w:p>
    <w:p w14:paraId="23C9B21B" w14:textId="77777777" w:rsidR="00851323" w:rsidRPr="00BD16B4" w:rsidRDefault="00851323" w:rsidP="0011037B">
      <w:pPr>
        <w:pStyle w:val="Bullet"/>
      </w:pPr>
      <w:r w:rsidRPr="00BD16B4">
        <w:rPr>
          <w:i/>
          <w:iCs/>
        </w:rPr>
        <w:t>Goal 2: Enhance adaptive capacity and consider climate change in decisions at all levels</w:t>
      </w:r>
      <w:r w:rsidRPr="00BD16B4">
        <w:t xml:space="preserve"> </w:t>
      </w:r>
      <w:r w:rsidRPr="00BD16B4">
        <w:br/>
        <w:t xml:space="preserve">– this means helping people, institutions and systems to adjust to climate change by building their capacity to respond, and embedding climate resilience across and through all levels of government. </w:t>
      </w:r>
    </w:p>
    <w:p w14:paraId="0BC26D55" w14:textId="77777777" w:rsidR="00851323" w:rsidRPr="00BD16B4" w:rsidRDefault="00851323" w:rsidP="0011037B">
      <w:pPr>
        <w:pStyle w:val="Bullet"/>
      </w:pPr>
      <w:r w:rsidRPr="00BD16B4">
        <w:rPr>
          <w:i/>
        </w:rPr>
        <w:t>Goal 3: Strengthen resilience</w:t>
      </w:r>
      <w:r w:rsidRPr="00BD16B4">
        <w:t xml:space="preserve"> – this means taking action that strengthens the way people and systems cope with immediate climate impacts, along with building capacity for learning and transformational adaptation. </w:t>
      </w:r>
    </w:p>
    <w:p w14:paraId="3CE92035" w14:textId="77777777" w:rsidR="00851323" w:rsidRPr="00BD16B4" w:rsidRDefault="00851323" w:rsidP="00EC76A2">
      <w:pPr>
        <w:pStyle w:val="Figureheading"/>
      </w:pPr>
      <w:bookmarkStart w:id="325" w:name="_Toc121494410"/>
      <w:r w:rsidRPr="00BD16B4">
        <w:t xml:space="preserve">Figure 6.4: </w:t>
      </w:r>
      <w:r w:rsidRPr="00BD16B4">
        <w:tab/>
        <w:t>Principles guiding Aotearoa New Zealand’s adaptation strategy</w:t>
      </w:r>
      <w:r w:rsidRPr="00BD16B4">
        <w:rPr>
          <w:rStyle w:val="FootnoteReference"/>
          <w:sz w:val="20"/>
          <w:szCs w:val="20"/>
        </w:rPr>
        <w:footnoteReference w:id="304"/>
      </w:r>
      <w:bookmarkEnd w:id="325"/>
    </w:p>
    <w:p w14:paraId="56857249" w14:textId="77777777" w:rsidR="00851323" w:rsidRPr="00BD16B4" w:rsidRDefault="00851323" w:rsidP="00E34624">
      <w:pPr>
        <w:pStyle w:val="BodyText"/>
        <w:spacing w:after="360"/>
        <w:jc w:val="center"/>
      </w:pPr>
      <w:r w:rsidRPr="00BD16B4">
        <w:rPr>
          <w:noProof/>
        </w:rPr>
        <w:drawing>
          <wp:inline distT="0" distB="0" distL="0" distR="0" wp14:anchorId="7D59878E" wp14:editId="6EB25AE1">
            <wp:extent cx="3164276" cy="5121729"/>
            <wp:effectExtent l="0" t="0" r="0" b="0"/>
            <wp:docPr id="53" name="Picture 53"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timeline&#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175988" cy="5140686"/>
                    </a:xfrm>
                    <a:prstGeom prst="rect">
                      <a:avLst/>
                    </a:prstGeom>
                    <a:noFill/>
                    <a:ln>
                      <a:noFill/>
                    </a:ln>
                  </pic:spPr>
                </pic:pic>
              </a:graphicData>
            </a:graphic>
          </wp:inline>
        </w:drawing>
      </w:r>
    </w:p>
    <w:tbl>
      <w:tblPr>
        <w:tblStyle w:val="TableGrid"/>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none" w:sz="0" w:space="0" w:color="auto"/>
          <w:insideV w:val="none" w:sz="0" w:space="0" w:color="auto"/>
        </w:tblBorders>
        <w:shd w:val="clear" w:color="auto" w:fill="D5EBE8" w:themeFill="accent3"/>
        <w:tblLook w:val="04A0" w:firstRow="1" w:lastRow="0" w:firstColumn="1" w:lastColumn="0" w:noHBand="0" w:noVBand="1"/>
      </w:tblPr>
      <w:tblGrid>
        <w:gridCol w:w="8505"/>
      </w:tblGrid>
      <w:tr w:rsidR="00851323" w:rsidRPr="00BD16B4" w14:paraId="7A2ED13D" w14:textId="77777777" w:rsidTr="00E34624">
        <w:tc>
          <w:tcPr>
            <w:tcW w:w="8505" w:type="dxa"/>
            <w:shd w:val="clear" w:color="auto" w:fill="D5EBE8" w:themeFill="accent3"/>
          </w:tcPr>
          <w:p w14:paraId="7DF61038" w14:textId="77777777" w:rsidR="00851323" w:rsidRPr="00BD16B4" w:rsidRDefault="00851323" w:rsidP="00F31129">
            <w:pPr>
              <w:pStyle w:val="Boxheading"/>
              <w:keepNext w:val="0"/>
            </w:pPr>
            <w:r w:rsidRPr="00BD16B4">
              <w:lastRenderedPageBreak/>
              <w:t>Adapting in partnership with Māori</w:t>
            </w:r>
          </w:p>
          <w:p w14:paraId="63D92688" w14:textId="77777777" w:rsidR="00851323" w:rsidRPr="00BD16B4" w:rsidRDefault="00851323" w:rsidP="00F31129">
            <w:pPr>
              <w:pStyle w:val="Boxtext"/>
              <w:spacing w:after="80"/>
            </w:pPr>
            <w:r w:rsidRPr="00BD16B4">
              <w:t>It is crucial to reach an equitable transition for Māori, led by Māori, to uphold Māori rights and interests under Te Tiriti o Waitangi (the Treaty of Waitangi). Achieving an equitable transition means building Māori–Crown relationships and capability, so climate response work can progress in partnership.</w:t>
            </w:r>
          </w:p>
          <w:p w14:paraId="1CA828B8" w14:textId="77777777" w:rsidR="00851323" w:rsidRPr="00BD16B4" w:rsidRDefault="00851323" w:rsidP="00F31129">
            <w:pPr>
              <w:pStyle w:val="Boxtext"/>
            </w:pPr>
            <w:r w:rsidRPr="00BD16B4">
              <w:rPr>
                <w:rFonts w:eastAsia="Times New Roman"/>
              </w:rPr>
              <w:t xml:space="preserve">The Government recognises that Māori have a worldview that sits outside Western interpretations. The Rauora framework is a Māori-led climate-change initiative that brings together Māori values and principles into an indigenous worldview of climate change. The framework was published alongside the national adaptation plan. Reflecting the principle of interconnectedness, which is at the heart of the Rauora framework, both the national adaptation plan and the emissions reduction plan establish a pathway for Māori and government to work together to: </w:t>
            </w:r>
          </w:p>
        </w:tc>
      </w:tr>
      <w:tr w:rsidR="00851323" w:rsidRPr="00BD16B4" w14:paraId="4997D6CC" w14:textId="77777777" w:rsidTr="00E34624">
        <w:tc>
          <w:tcPr>
            <w:tcW w:w="8505" w:type="dxa"/>
            <w:shd w:val="clear" w:color="auto" w:fill="D5EBE8" w:themeFill="accent3"/>
          </w:tcPr>
          <w:p w14:paraId="711E0C6A" w14:textId="77777777" w:rsidR="00851323" w:rsidRPr="00BD16B4" w:rsidRDefault="00851323" w:rsidP="00F31129">
            <w:pPr>
              <w:pStyle w:val="Boxbullet"/>
              <w:keepNext/>
              <w:spacing w:before="120"/>
            </w:pPr>
            <w:r w:rsidRPr="00BD16B4">
              <w:t>develop a new platform for Māori climate action that will enable tangata whenua</w:t>
            </w:r>
            <w:r w:rsidRPr="00BD16B4">
              <w:rPr>
                <w:rStyle w:val="FootnoteReference"/>
                <w:color w:val="1B556B"/>
                <w:sz w:val="20"/>
              </w:rPr>
              <w:footnoteReference w:id="305"/>
            </w:r>
            <w:r w:rsidRPr="00BD16B4">
              <w:t xml:space="preserve"> to actively participate in the climate response </w:t>
            </w:r>
          </w:p>
          <w:p w14:paraId="28CF3712" w14:textId="77777777" w:rsidR="00851323" w:rsidRPr="00BD16B4" w:rsidRDefault="00851323" w:rsidP="00F31129">
            <w:pPr>
              <w:pStyle w:val="Boxbullet"/>
            </w:pPr>
            <w:r w:rsidRPr="00BD16B4">
              <w:t>develop a Māori climate strategy and action plan that will elevate te ao Māori and mātauranga Māori</w:t>
            </w:r>
            <w:r w:rsidRPr="00BD16B4">
              <w:rPr>
                <w:rStyle w:val="FootnoteReference"/>
                <w:color w:val="1B556B"/>
                <w:sz w:val="20"/>
              </w:rPr>
              <w:footnoteReference w:id="306"/>
            </w:r>
            <w:r w:rsidRPr="00BD16B4">
              <w:t xml:space="preserve"> within the overall climate response </w:t>
            </w:r>
          </w:p>
          <w:p w14:paraId="30806B0E" w14:textId="77777777" w:rsidR="00851323" w:rsidRPr="00BD16B4" w:rsidRDefault="00851323" w:rsidP="00F31129">
            <w:pPr>
              <w:pStyle w:val="Boxbullet"/>
              <w:spacing w:after="180"/>
            </w:pPr>
            <w:r w:rsidRPr="00BD16B4">
              <w:t>ensure the right funding and resourcing for community action, kaupapa Māori,</w:t>
            </w:r>
            <w:r w:rsidRPr="00BD16B4">
              <w:rPr>
                <w:rStyle w:val="FootnoteReference"/>
                <w:color w:val="1B556B"/>
                <w:sz w:val="20"/>
              </w:rPr>
              <w:footnoteReference w:id="307"/>
            </w:r>
            <w:r w:rsidRPr="00BD16B4">
              <w:t xml:space="preserve"> and tangata Māori</w:t>
            </w:r>
            <w:r w:rsidRPr="00BD16B4">
              <w:rPr>
                <w:rStyle w:val="FootnoteReference"/>
                <w:color w:val="1B556B"/>
                <w:sz w:val="20"/>
              </w:rPr>
              <w:footnoteReference w:id="308"/>
            </w:r>
            <w:r w:rsidRPr="00BD16B4">
              <w:t xml:space="preserve"> actions and solutions.</w:t>
            </w:r>
          </w:p>
        </w:tc>
      </w:tr>
    </w:tbl>
    <w:p w14:paraId="61181A5D" w14:textId="5173EFDF" w:rsidR="00851323" w:rsidRPr="00BD16B4" w:rsidRDefault="00851323" w:rsidP="00851323">
      <w:pPr>
        <w:pStyle w:val="Heading3"/>
        <w:spacing w:before="400"/>
      </w:pPr>
      <w:r w:rsidRPr="00BD16B4">
        <w:t>6.6.2</w:t>
      </w:r>
      <w:r w:rsidRPr="00BD16B4">
        <w:tab/>
        <w:t xml:space="preserve">National </w:t>
      </w:r>
      <w:r w:rsidR="0015780B" w:rsidRPr="00BD16B4">
        <w:t>a</w:t>
      </w:r>
      <w:r w:rsidRPr="00BD16B4">
        <w:t xml:space="preserve">daptation </w:t>
      </w:r>
      <w:r w:rsidR="0015780B" w:rsidRPr="00BD16B4">
        <w:t>p</w:t>
      </w:r>
      <w:r w:rsidRPr="00BD16B4">
        <w:t>lan</w:t>
      </w:r>
    </w:p>
    <w:p w14:paraId="74B83BD9" w14:textId="77777777" w:rsidR="00851323" w:rsidRPr="00BD16B4" w:rsidRDefault="00851323" w:rsidP="00851323">
      <w:pPr>
        <w:pStyle w:val="BodyText"/>
      </w:pPr>
      <w:r w:rsidRPr="00BD16B4">
        <w:t xml:space="preserve">Aotearoa New Zealand’s first national adaptation plan was published in 2022. This plan is the first step towards meeting the Government’s long-term vision and goals for a climate-resilient New Zealand. </w:t>
      </w:r>
    </w:p>
    <w:p w14:paraId="5ADCDA68" w14:textId="77777777" w:rsidR="00851323" w:rsidRPr="00BD16B4" w:rsidRDefault="00851323" w:rsidP="00851323">
      <w:pPr>
        <w:pStyle w:val="BodyText"/>
        <w:rPr>
          <w:rFonts w:cs="Calibri"/>
        </w:rPr>
      </w:pPr>
      <w:r w:rsidRPr="00BD16B4">
        <w:t xml:space="preserve">The national adaptation plan responds to the risks identified in the risk assessment. The plan was built on recommendations of the Climate Change Adaptation Technical Working </w:t>
      </w:r>
      <w:r w:rsidRPr="00BD16B4">
        <w:rPr>
          <w:rFonts w:cs="Calibri"/>
        </w:rPr>
        <w:t>Group recommendations report</w:t>
      </w:r>
      <w:r w:rsidRPr="00BD16B4">
        <w:rPr>
          <w:rStyle w:val="FootnoteReference"/>
        </w:rPr>
        <w:footnoteReference w:id="309"/>
      </w:r>
      <w:r w:rsidRPr="00BD16B4">
        <w:rPr>
          <w:rFonts w:cs="Calibri"/>
        </w:rPr>
        <w:t xml:space="preserve"> from 2018 and drew on the latest science from the IPCC (AR6 WGI and WGII reports).</w:t>
      </w:r>
    </w:p>
    <w:p w14:paraId="65B3BB3E" w14:textId="77777777" w:rsidR="00851323" w:rsidRPr="00BD16B4" w:rsidRDefault="00851323" w:rsidP="00851323">
      <w:pPr>
        <w:pStyle w:val="BodyText"/>
      </w:pPr>
      <w:r w:rsidRPr="00BD16B4">
        <w:t xml:space="preserve">Actions in the plan are identified as either critical, supporting or proposed. Critical actions are prioritised. Supporting actions are either less urgent or dependent on the critical actions. Proposed actions are future work programmes that reflect current thinking about what will be needed in the future. These proposed actions may change, because this is a six-year plan. </w:t>
      </w:r>
    </w:p>
    <w:p w14:paraId="3B233634" w14:textId="77777777" w:rsidR="00851323" w:rsidRPr="00BD16B4" w:rsidRDefault="00851323" w:rsidP="00851323">
      <w:pPr>
        <w:pStyle w:val="BodyText"/>
      </w:pPr>
      <w:r w:rsidRPr="00BD16B4">
        <w:t>Four priority areas underpin the plan.</w:t>
      </w:r>
    </w:p>
    <w:p w14:paraId="50E34C52" w14:textId="77777777" w:rsidR="00851323" w:rsidRPr="00BD16B4" w:rsidRDefault="00851323" w:rsidP="004E1B8C">
      <w:pPr>
        <w:pStyle w:val="Heading4"/>
      </w:pPr>
      <w:r w:rsidRPr="00BD16B4">
        <w:lastRenderedPageBreak/>
        <w:t>Priority 1: Enabling better risk-informed decisions</w:t>
      </w:r>
    </w:p>
    <w:p w14:paraId="3AF3C10D" w14:textId="77777777" w:rsidR="00851323" w:rsidRPr="00BD16B4" w:rsidRDefault="00851323" w:rsidP="00851323">
      <w:pPr>
        <w:pStyle w:val="BodyText"/>
      </w:pPr>
      <w:r w:rsidRPr="00BD16B4">
        <w:t xml:space="preserve">Information, guidance, tools and methodologies are needed to enable good decisions. All New Zealanders need to be making decisions that take into account climate change across all aspects of our lives. This priority area is focused on actions to provide information, scenarios and guidance to help New Zealanders assess the exposure and vulnerability of their homes, businesses and communities to current and future climate hazards. Some actions apply to all New Zealanders while others are targeted at specific sectors and groups. </w:t>
      </w:r>
    </w:p>
    <w:p w14:paraId="3441F2B4" w14:textId="77777777" w:rsidR="00851323" w:rsidRPr="00BD16B4" w:rsidRDefault="00851323" w:rsidP="00851323">
      <w:pPr>
        <w:pStyle w:val="BodyText"/>
      </w:pPr>
      <w:r w:rsidRPr="00BD16B4">
        <w:t xml:space="preserve">Actions to enable better risk-informed decisions will address all risks in the risk assessment, in particular: </w:t>
      </w:r>
    </w:p>
    <w:p w14:paraId="6108BB34" w14:textId="77777777" w:rsidR="00851323" w:rsidRPr="00BD16B4" w:rsidRDefault="00851323" w:rsidP="0011037B">
      <w:pPr>
        <w:pStyle w:val="Bullet"/>
      </w:pPr>
      <w:r w:rsidRPr="00BD16B4">
        <w:t>risk of maladaptation across all domains due to the application of practices, processes and tools that do not account for uncertainty and change over long timeframes.</w:t>
      </w:r>
    </w:p>
    <w:p w14:paraId="2702B599" w14:textId="77777777" w:rsidR="00851323" w:rsidRPr="00BD16B4" w:rsidRDefault="00851323" w:rsidP="00851323">
      <w:pPr>
        <w:pStyle w:val="BodyText"/>
        <w:keepNext/>
        <w:rPr>
          <w:b/>
        </w:rPr>
      </w:pPr>
      <w:r w:rsidRPr="00BD16B4">
        <w:t>Six objectives enable better risk-informed decisions:</w:t>
      </w:r>
    </w:p>
    <w:p w14:paraId="2DFD8427" w14:textId="77777777" w:rsidR="00851323" w:rsidRPr="00BD16B4" w:rsidRDefault="00851323" w:rsidP="0011037B">
      <w:pPr>
        <w:pStyle w:val="Bullet"/>
      </w:pPr>
      <w:r w:rsidRPr="00BD16B4">
        <w:t xml:space="preserve">legislation and institutional arrangements are fit for purpose and provide clear roles and responsibilities </w:t>
      </w:r>
    </w:p>
    <w:p w14:paraId="71C39046" w14:textId="77777777" w:rsidR="00851323" w:rsidRPr="00BD16B4" w:rsidRDefault="00851323" w:rsidP="0011037B">
      <w:pPr>
        <w:pStyle w:val="Bullet"/>
      </w:pPr>
      <w:r w:rsidRPr="00BD16B4">
        <w:t>robust information about climate risks and adaptation solutions are accessible to all</w:t>
      </w:r>
    </w:p>
    <w:p w14:paraId="7682D1E6" w14:textId="77777777" w:rsidR="00851323" w:rsidRPr="00BD16B4" w:rsidRDefault="00851323" w:rsidP="0011037B">
      <w:pPr>
        <w:pStyle w:val="Bullet"/>
      </w:pPr>
      <w:r w:rsidRPr="00BD16B4">
        <w:t>tools, guidance and methodologies enhance our ability to adapt</w:t>
      </w:r>
    </w:p>
    <w:p w14:paraId="13BB6A28" w14:textId="77777777" w:rsidR="00851323" w:rsidRPr="00BD16B4" w:rsidRDefault="00851323" w:rsidP="0011037B">
      <w:pPr>
        <w:pStyle w:val="Bullet"/>
      </w:pPr>
      <w:r w:rsidRPr="00BD16B4">
        <w:t>enable communities to adapt</w:t>
      </w:r>
    </w:p>
    <w:p w14:paraId="17E42EEA" w14:textId="77777777" w:rsidR="00851323" w:rsidRPr="00BD16B4" w:rsidRDefault="00851323" w:rsidP="0011037B">
      <w:pPr>
        <w:pStyle w:val="Bullet"/>
      </w:pPr>
      <w:r w:rsidRPr="00BD16B4">
        <w:t>reduce the vulnerability of assets exposed to climate change</w:t>
      </w:r>
    </w:p>
    <w:p w14:paraId="27E88B32" w14:textId="77777777" w:rsidR="00851323" w:rsidRPr="00BD16B4" w:rsidRDefault="00851323" w:rsidP="0011037B">
      <w:pPr>
        <w:pStyle w:val="Bullet"/>
        <w:spacing w:after="240"/>
      </w:pPr>
      <w:r w:rsidRPr="00BD16B4">
        <w:t>a resilient financial system underpins economic stability and growth. Participants can identify, disclose and manage climate risks.</w:t>
      </w:r>
    </w:p>
    <w:tbl>
      <w:tblPr>
        <w:tblStyle w:val="TableGrid"/>
        <w:tblW w:w="8505" w:type="dxa"/>
        <w:tblInd w:w="113"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51323" w:rsidRPr="00BD16B4" w14:paraId="6A9BC410" w14:textId="77777777" w:rsidTr="00F31129">
        <w:tc>
          <w:tcPr>
            <w:tcW w:w="8505" w:type="dxa"/>
            <w:shd w:val="clear" w:color="auto" w:fill="D2DDE2"/>
          </w:tcPr>
          <w:p w14:paraId="1F30BBE2" w14:textId="77777777" w:rsidR="00851323" w:rsidRPr="00BD16B4" w:rsidRDefault="00851323" w:rsidP="00F31129">
            <w:pPr>
              <w:pStyle w:val="Boxheading"/>
              <w:spacing w:after="120"/>
              <w:rPr>
                <w:rFonts w:eastAsia="Times New Roman"/>
              </w:rPr>
            </w:pPr>
            <w:r w:rsidRPr="00BD16B4">
              <w:rPr>
                <w:rFonts w:eastAsia="Times New Roman"/>
              </w:rPr>
              <w:t>Critical actions being taken to enable better risk-informed decisions are:</w:t>
            </w:r>
          </w:p>
          <w:p w14:paraId="2BA481DA" w14:textId="77777777" w:rsidR="00851323" w:rsidRPr="00BD16B4" w:rsidRDefault="00851323" w:rsidP="00F31129">
            <w:pPr>
              <w:pStyle w:val="Boxbullet"/>
              <w:rPr>
                <w:rFonts w:eastAsia="Times New Roman"/>
              </w:rPr>
            </w:pPr>
            <w:r w:rsidRPr="00BD16B4">
              <w:rPr>
                <w:rFonts w:eastAsia="Times New Roman"/>
              </w:rPr>
              <w:t xml:space="preserve">Establish a platform for Māori climate action. </w:t>
            </w:r>
          </w:p>
          <w:p w14:paraId="61165D3D" w14:textId="77777777" w:rsidR="00851323" w:rsidRPr="00BD16B4" w:rsidRDefault="00851323" w:rsidP="00F31129">
            <w:pPr>
              <w:pStyle w:val="Boxbullet"/>
              <w:rPr>
                <w:rFonts w:eastAsia="Times New Roman"/>
              </w:rPr>
            </w:pPr>
            <w:r w:rsidRPr="00BD16B4">
              <w:rPr>
                <w:rFonts w:eastAsia="Times New Roman"/>
              </w:rPr>
              <w:t xml:space="preserve">Provide access to the latest climate projections data. </w:t>
            </w:r>
          </w:p>
          <w:p w14:paraId="3203CD38" w14:textId="77777777" w:rsidR="00851323" w:rsidRPr="00BD16B4" w:rsidRDefault="00851323" w:rsidP="00F31129">
            <w:pPr>
              <w:pStyle w:val="Boxbullet"/>
              <w:rPr>
                <w:rFonts w:eastAsia="Times New Roman"/>
              </w:rPr>
            </w:pPr>
            <w:r w:rsidRPr="00BD16B4">
              <w:rPr>
                <w:rFonts w:eastAsia="Times New Roman"/>
              </w:rPr>
              <w:t>Design and develop risk and resilience and climate adaptation information portals.</w:t>
            </w:r>
          </w:p>
          <w:p w14:paraId="56E4B1F0" w14:textId="77777777" w:rsidR="00851323" w:rsidRPr="00BD16B4" w:rsidRDefault="00851323" w:rsidP="00F31129">
            <w:pPr>
              <w:pStyle w:val="Boxbullet"/>
              <w:rPr>
                <w:rFonts w:eastAsia="Times New Roman"/>
              </w:rPr>
            </w:pPr>
            <w:r w:rsidRPr="00BD16B4">
              <w:rPr>
                <w:rFonts w:eastAsia="Times New Roman"/>
              </w:rPr>
              <w:t>Deliver a rolling programme of targeted adaptation guidance.</w:t>
            </w:r>
          </w:p>
          <w:p w14:paraId="1E8B20CD" w14:textId="77777777" w:rsidR="00851323" w:rsidRPr="00BD16B4" w:rsidRDefault="00851323" w:rsidP="00F31129">
            <w:pPr>
              <w:pStyle w:val="Boxbullet"/>
              <w:rPr>
                <w:rFonts w:eastAsia="Times New Roman"/>
              </w:rPr>
            </w:pPr>
            <w:r w:rsidRPr="00BD16B4">
              <w:rPr>
                <w:rFonts w:eastAsia="Times New Roman"/>
              </w:rPr>
              <w:t>Develop guidance for assessing risk and impact on physical assets and the services they provide.</w:t>
            </w:r>
          </w:p>
          <w:p w14:paraId="5A761F6E" w14:textId="77777777" w:rsidR="00851323" w:rsidRPr="00BD16B4" w:rsidRDefault="00851323" w:rsidP="00F31129">
            <w:pPr>
              <w:pStyle w:val="Boxbullet"/>
              <w:rPr>
                <w:rFonts w:eastAsia="Times New Roman"/>
              </w:rPr>
            </w:pPr>
            <w:r w:rsidRPr="00BD16B4">
              <w:rPr>
                <w:rFonts w:eastAsia="Times New Roman"/>
              </w:rPr>
              <w:t>Raise awareness of climate hazards and how to prepare.</w:t>
            </w:r>
          </w:p>
          <w:p w14:paraId="00A09954" w14:textId="77777777" w:rsidR="00851323" w:rsidRPr="00BD16B4" w:rsidRDefault="00851323" w:rsidP="00F31129">
            <w:pPr>
              <w:pStyle w:val="Boxbullet"/>
            </w:pPr>
            <w:r w:rsidRPr="00BD16B4">
              <w:t xml:space="preserve">Support high-quality implementation of climate-related disclosures and explore expansion. </w:t>
            </w:r>
          </w:p>
          <w:p w14:paraId="2C26E13E" w14:textId="77777777" w:rsidR="00851323" w:rsidRPr="00BD16B4" w:rsidRDefault="00851323" w:rsidP="00F31129">
            <w:pPr>
              <w:pStyle w:val="Boxbullet"/>
              <w:spacing w:after="180"/>
            </w:pPr>
            <w:r w:rsidRPr="00BD16B4">
              <w:rPr>
                <w:rFonts w:eastAsia="Times New Roman"/>
              </w:rPr>
              <w:t>Improve natural hazard information on Land Information Memoranda.</w:t>
            </w:r>
          </w:p>
        </w:tc>
      </w:tr>
    </w:tbl>
    <w:p w14:paraId="74BD9C86" w14:textId="77777777" w:rsidR="00851323" w:rsidRPr="00BD16B4" w:rsidRDefault="00851323" w:rsidP="003F439F">
      <w:pPr>
        <w:pStyle w:val="Heading4"/>
        <w:spacing w:before="360"/>
      </w:pPr>
      <w:r w:rsidRPr="00BD16B4">
        <w:t>Priority 2: Driving climate-resilient development in the right locations</w:t>
      </w:r>
    </w:p>
    <w:p w14:paraId="292AA8D5" w14:textId="77777777" w:rsidR="00851323" w:rsidRPr="00BD16B4" w:rsidRDefault="00851323" w:rsidP="00851323">
      <w:pPr>
        <w:pStyle w:val="BodyText"/>
      </w:pPr>
      <w:r w:rsidRPr="00BD16B4">
        <w:t xml:space="preserve">Actions in this priority area are focused on ensuring decision-making frameworks for planning and infrastructure investment guide climate-resilient development in the right locations and account for changing risks. </w:t>
      </w:r>
    </w:p>
    <w:p w14:paraId="649BB96F" w14:textId="77777777" w:rsidR="00851323" w:rsidRPr="00BD16B4" w:rsidRDefault="00851323" w:rsidP="00851323">
      <w:pPr>
        <w:pStyle w:val="BodyText"/>
      </w:pPr>
      <w:r w:rsidRPr="00BD16B4">
        <w:lastRenderedPageBreak/>
        <w:t xml:space="preserve">During the transition to these new systems local government need to avoid locking in appropriate land use or closing off adaptation pathways before the new resource management system takes full effect. </w:t>
      </w:r>
    </w:p>
    <w:p w14:paraId="4525D128" w14:textId="77777777" w:rsidR="00851323" w:rsidRPr="00BD16B4" w:rsidRDefault="00851323" w:rsidP="00851323">
      <w:pPr>
        <w:pStyle w:val="BodyText"/>
      </w:pPr>
      <w:r w:rsidRPr="00BD16B4">
        <w:t>Councils have existing functions and powers that can be used to avoid, mitigate or manage the impacts of natural hazards. These functions can support climate-resilient development in the right locations. Statutory and non-statutory guidance provide direction for this, including the</w:t>
      </w:r>
      <w:r w:rsidRPr="00BD16B4">
        <w:rPr>
          <w:sz w:val="20"/>
          <w:szCs w:val="20"/>
        </w:rPr>
        <w:t> </w:t>
      </w:r>
      <w:r w:rsidRPr="00BD16B4">
        <w:t>use of recommended climate change scenarios.</w:t>
      </w:r>
      <w:r w:rsidRPr="00BD16B4">
        <w:rPr>
          <w:rStyle w:val="FootnoteReference"/>
        </w:rPr>
        <w:footnoteReference w:id="310"/>
      </w:r>
    </w:p>
    <w:p w14:paraId="56D5D2B5" w14:textId="77777777" w:rsidR="00851323" w:rsidRPr="00BD16B4" w:rsidRDefault="00851323" w:rsidP="00851323">
      <w:pPr>
        <w:pStyle w:val="BodyText"/>
      </w:pPr>
      <w:r w:rsidRPr="00BD16B4">
        <w:t>Actions to drive climate-resilient development in the right locations will address:</w:t>
      </w:r>
    </w:p>
    <w:p w14:paraId="64014829" w14:textId="77777777" w:rsidR="00851323" w:rsidRPr="00BD16B4" w:rsidRDefault="00851323" w:rsidP="0011037B">
      <w:pPr>
        <w:pStyle w:val="Bullet"/>
      </w:pPr>
      <w:r w:rsidRPr="00BD16B4">
        <w:t xml:space="preserve">risk to potable water supplies (availability and quality) </w:t>
      </w:r>
    </w:p>
    <w:p w14:paraId="203A4801" w14:textId="77777777" w:rsidR="00851323" w:rsidRPr="00BD16B4" w:rsidRDefault="00851323" w:rsidP="0011037B">
      <w:pPr>
        <w:pStyle w:val="Bullet"/>
      </w:pPr>
      <w:r w:rsidRPr="00BD16B4">
        <w:t xml:space="preserve">risks to buildings </w:t>
      </w:r>
    </w:p>
    <w:p w14:paraId="76E9128C" w14:textId="77777777" w:rsidR="00851323" w:rsidRPr="00BD16B4" w:rsidRDefault="00851323" w:rsidP="0011037B">
      <w:pPr>
        <w:pStyle w:val="Bullet"/>
      </w:pPr>
      <w:r w:rsidRPr="00BD16B4">
        <w:t xml:space="preserve">risk of maladaptation across all domains due to the application of practices, processes and tools that do not account for uncertainty and change over long timeframes </w:t>
      </w:r>
    </w:p>
    <w:p w14:paraId="667969F0" w14:textId="77777777" w:rsidR="00851323" w:rsidRPr="00BD16B4" w:rsidRDefault="00851323" w:rsidP="0011037B">
      <w:pPr>
        <w:pStyle w:val="Bullet"/>
      </w:pPr>
      <w:r w:rsidRPr="00BD16B4">
        <w:t xml:space="preserve">risk that climate change impacts across all domains will be exacerbated because current institutional arrangements are not fit for climate change adaptation. </w:t>
      </w:r>
    </w:p>
    <w:p w14:paraId="5AE1F760" w14:textId="77777777" w:rsidR="00851323" w:rsidRPr="00BD16B4" w:rsidRDefault="00851323" w:rsidP="00851323">
      <w:pPr>
        <w:pStyle w:val="BodyText"/>
      </w:pPr>
      <w:r w:rsidRPr="00BD16B4">
        <w:rPr>
          <w:bCs/>
        </w:rPr>
        <w:t xml:space="preserve">Six objectives </w:t>
      </w:r>
      <w:r w:rsidRPr="00BD16B4">
        <w:t>to drive climate-resilient development in the right locations are:</w:t>
      </w:r>
    </w:p>
    <w:p w14:paraId="29DBF9E3" w14:textId="77777777" w:rsidR="00851323" w:rsidRPr="00BD16B4" w:rsidRDefault="00851323" w:rsidP="0011037B">
      <w:pPr>
        <w:pStyle w:val="Bullet"/>
      </w:pPr>
      <w:r w:rsidRPr="00BD16B4">
        <w:t xml:space="preserve">legislation and institutional arrangements are fit for purpose and provide clear roles and responsibilities </w:t>
      </w:r>
    </w:p>
    <w:p w14:paraId="770E5566" w14:textId="77777777" w:rsidR="00851323" w:rsidRPr="00BD16B4" w:rsidRDefault="00851323" w:rsidP="0011037B">
      <w:pPr>
        <w:pStyle w:val="Bullet"/>
      </w:pPr>
      <w:r w:rsidRPr="00BD16B4">
        <w:t xml:space="preserve">ecosystems that are healthy and connected, and where biodiversity is thriving </w:t>
      </w:r>
    </w:p>
    <w:p w14:paraId="7BEF2562" w14:textId="77777777" w:rsidR="00851323" w:rsidRPr="00BD16B4" w:rsidRDefault="00851323" w:rsidP="0011037B">
      <w:pPr>
        <w:pStyle w:val="Bullet"/>
      </w:pPr>
      <w:r w:rsidRPr="00BD16B4">
        <w:t xml:space="preserve">homes and buildings are climate resilient, and meet social and cultural needs </w:t>
      </w:r>
    </w:p>
    <w:p w14:paraId="207A2035" w14:textId="77777777" w:rsidR="00851323" w:rsidRPr="00BD16B4" w:rsidRDefault="00851323" w:rsidP="0011037B">
      <w:pPr>
        <w:pStyle w:val="Bullet"/>
      </w:pPr>
      <w:r w:rsidRPr="00BD16B4">
        <w:t xml:space="preserve">new and existing places are planned and managed to minimise risks to communities from climate change </w:t>
      </w:r>
    </w:p>
    <w:p w14:paraId="0832519F" w14:textId="77777777" w:rsidR="00851323" w:rsidRPr="00BD16B4" w:rsidRDefault="00851323" w:rsidP="0011037B">
      <w:pPr>
        <w:pStyle w:val="Bullet"/>
      </w:pPr>
      <w:r w:rsidRPr="00BD16B4">
        <w:t xml:space="preserve">ensure all new infrastructure is fit for a changing climate </w:t>
      </w:r>
    </w:p>
    <w:p w14:paraId="0D71F55D" w14:textId="77777777" w:rsidR="00851323" w:rsidRPr="00BD16B4" w:rsidRDefault="00851323" w:rsidP="0011037B">
      <w:pPr>
        <w:pStyle w:val="Bullet"/>
        <w:spacing w:after="240"/>
      </w:pPr>
      <w:r w:rsidRPr="00BD16B4">
        <w:t>use renewal programmes to improve adaptive capacity.</w:t>
      </w:r>
    </w:p>
    <w:tbl>
      <w:tblPr>
        <w:tblStyle w:val="TableGrid"/>
        <w:tblW w:w="5055" w:type="pct"/>
        <w:tblInd w:w="113"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817"/>
      </w:tblGrid>
      <w:tr w:rsidR="00851323" w:rsidRPr="00BD16B4" w14:paraId="50487854" w14:textId="77777777" w:rsidTr="00F31129">
        <w:trPr>
          <w:trHeight w:val="3640"/>
        </w:trPr>
        <w:tc>
          <w:tcPr>
            <w:tcW w:w="8817" w:type="dxa"/>
            <w:shd w:val="clear" w:color="auto" w:fill="D2DDE2"/>
          </w:tcPr>
          <w:p w14:paraId="67DEB7E4" w14:textId="77777777" w:rsidR="00851323" w:rsidRPr="00BD16B4" w:rsidRDefault="00851323" w:rsidP="00F31129">
            <w:pPr>
              <w:pStyle w:val="Boxheading"/>
              <w:keepNext w:val="0"/>
              <w:spacing w:after="120"/>
            </w:pPr>
            <w:r w:rsidRPr="00BD16B4">
              <w:t>Critical actions being taken to drive climate-resilient development in the right locations are:</w:t>
            </w:r>
          </w:p>
          <w:p w14:paraId="66418E20" w14:textId="77777777" w:rsidR="00851323" w:rsidRPr="00BD16B4" w:rsidRDefault="00851323" w:rsidP="00F31129">
            <w:pPr>
              <w:pStyle w:val="Boxbullet"/>
            </w:pPr>
            <w:r w:rsidRPr="00BD16B4">
              <w:t>Reform the resource management system.</w:t>
            </w:r>
            <w:r w:rsidRPr="00BD16B4" w:rsidDel="0081150E">
              <w:t xml:space="preserve"> </w:t>
            </w:r>
          </w:p>
          <w:p w14:paraId="7BF65BD4" w14:textId="77777777" w:rsidR="00851323" w:rsidRPr="00BD16B4" w:rsidRDefault="00851323" w:rsidP="00F31129">
            <w:pPr>
              <w:pStyle w:val="Boxbullet"/>
            </w:pPr>
            <w:r w:rsidRPr="00BD16B4">
              <w:t>Reform institutional arrangements for water services.</w:t>
            </w:r>
            <w:r w:rsidRPr="00BD16B4" w:rsidDel="0081150E">
              <w:t xml:space="preserve"> </w:t>
            </w:r>
          </w:p>
          <w:p w14:paraId="352DDE09" w14:textId="4DF38AA8" w:rsidR="00851323" w:rsidRPr="00BD16B4" w:rsidRDefault="00851323" w:rsidP="00F31129">
            <w:pPr>
              <w:pStyle w:val="Boxbullet"/>
            </w:pPr>
            <w:r w:rsidRPr="00BD16B4">
              <w:t>Integrate adaptation into Waka Kotahi NZ Transport Agency decision</w:t>
            </w:r>
            <w:r w:rsidR="00DC4171" w:rsidRPr="00BD16B4">
              <w:t>-</w:t>
            </w:r>
            <w:r w:rsidRPr="00BD16B4">
              <w:t>making.</w:t>
            </w:r>
            <w:r w:rsidRPr="00BD16B4" w:rsidDel="0081150E">
              <w:t xml:space="preserve"> </w:t>
            </w:r>
          </w:p>
          <w:p w14:paraId="3BABC939" w14:textId="77777777" w:rsidR="00851323" w:rsidRPr="00BD16B4" w:rsidRDefault="00851323" w:rsidP="00F31129">
            <w:pPr>
              <w:pStyle w:val="Boxbullet"/>
            </w:pPr>
            <w:r w:rsidRPr="00BD16B4">
              <w:t>Integrate adaptation into Treasury decisions on infrastructure.</w:t>
            </w:r>
            <w:r w:rsidRPr="00BD16B4" w:rsidDel="0081150E">
              <w:t xml:space="preserve"> </w:t>
            </w:r>
          </w:p>
          <w:p w14:paraId="48537443" w14:textId="77777777" w:rsidR="00851323" w:rsidRPr="00BD16B4" w:rsidRDefault="00851323" w:rsidP="00F31129">
            <w:pPr>
              <w:pStyle w:val="Boxbullet"/>
            </w:pPr>
            <w:r w:rsidRPr="00BD16B4">
              <w:t>Embed adaptation in funding models for housing and urban development, including Māori housing.</w:t>
            </w:r>
          </w:p>
          <w:p w14:paraId="449FFF0A" w14:textId="77777777" w:rsidR="00851323" w:rsidRPr="00BD16B4" w:rsidRDefault="00851323" w:rsidP="00F31129">
            <w:pPr>
              <w:pStyle w:val="Boxbullet"/>
            </w:pPr>
            <w:r w:rsidRPr="00BD16B4">
              <w:t>Set national direction on natural hazard risk management and climate adaptation through the National Planning Framework.</w:t>
            </w:r>
            <w:r w:rsidRPr="00BD16B4" w:rsidDel="0081150E">
              <w:t xml:space="preserve"> </w:t>
            </w:r>
          </w:p>
          <w:p w14:paraId="4907EE29" w14:textId="77777777" w:rsidR="00851323" w:rsidRPr="00BD16B4" w:rsidRDefault="00851323" w:rsidP="00F31129">
            <w:pPr>
              <w:pStyle w:val="Boxbullet"/>
              <w:spacing w:after="180"/>
            </w:pPr>
            <w:r w:rsidRPr="00BD16B4">
              <w:t>Establish an initiative for resilient public housing.</w:t>
            </w:r>
            <w:r w:rsidRPr="00BD16B4" w:rsidDel="0081150E">
              <w:t xml:space="preserve"> </w:t>
            </w:r>
          </w:p>
        </w:tc>
      </w:tr>
    </w:tbl>
    <w:p w14:paraId="073D1BC4" w14:textId="77777777" w:rsidR="00851323" w:rsidRPr="00BD16B4" w:rsidRDefault="00851323" w:rsidP="004E1B8C">
      <w:pPr>
        <w:pStyle w:val="Heading4"/>
      </w:pPr>
      <w:r w:rsidRPr="00BD16B4">
        <w:lastRenderedPageBreak/>
        <w:t>Priority 3: Adaptation options including managed retreat</w:t>
      </w:r>
    </w:p>
    <w:p w14:paraId="4E5EDB3C" w14:textId="77777777" w:rsidR="00851323" w:rsidRPr="00BD16B4" w:rsidRDefault="00851323" w:rsidP="00851323">
      <w:pPr>
        <w:pStyle w:val="BodyText"/>
      </w:pPr>
      <w:r w:rsidRPr="00BD16B4">
        <w:t xml:space="preserve">Many communities are already under threat from natural hazard events in New Zealand, and this will increase over time due to climate change. Ideally, councils and communities can work together to reduce risk through social networks, nature-based and hard-engineering solutions, through upgrades to existing buildings and infrastructure to withstand more extreme climatic conditions, and by being better prepared. </w:t>
      </w:r>
    </w:p>
    <w:p w14:paraId="280D6D02" w14:textId="77777777" w:rsidR="00851323" w:rsidRPr="00BD16B4" w:rsidRDefault="00851323" w:rsidP="00851323">
      <w:pPr>
        <w:pStyle w:val="BodyText"/>
      </w:pPr>
      <w:r w:rsidRPr="00BD16B4">
        <w:t>Actions focused on adaptation options including managed retreat will address:</w:t>
      </w:r>
    </w:p>
    <w:p w14:paraId="261BA1E5" w14:textId="77777777" w:rsidR="00851323" w:rsidRPr="00BD16B4" w:rsidRDefault="00851323" w:rsidP="0011037B">
      <w:pPr>
        <w:pStyle w:val="Bullet"/>
      </w:pPr>
      <w:r w:rsidRPr="00BD16B4">
        <w:t>risks to social cohesion and community wellbeing from displacement of individuals, families and communities due to climate change impacts</w:t>
      </w:r>
    </w:p>
    <w:p w14:paraId="0D1EA290" w14:textId="77777777" w:rsidR="00851323" w:rsidRPr="00BD16B4" w:rsidRDefault="00851323" w:rsidP="0011037B">
      <w:pPr>
        <w:pStyle w:val="Bullet"/>
      </w:pPr>
      <w:r w:rsidRPr="00BD16B4">
        <w:t>risk to potable water supplies (availability and quality) due to changes in rainfall, temperature, drought, extreme weather events and ongoing sea-level rise</w:t>
      </w:r>
    </w:p>
    <w:p w14:paraId="6B4F3604" w14:textId="77777777" w:rsidR="00851323" w:rsidRPr="00BD16B4" w:rsidRDefault="00851323" w:rsidP="0011037B">
      <w:pPr>
        <w:pStyle w:val="Bullet"/>
      </w:pPr>
      <w:r w:rsidRPr="00BD16B4">
        <w:t>risks to buildings due to extreme weather events, drought, increased fire weather and ongoing sea-level rise in the governance domain</w:t>
      </w:r>
    </w:p>
    <w:p w14:paraId="58D83123" w14:textId="77777777" w:rsidR="00851323" w:rsidRPr="00BD16B4" w:rsidRDefault="00851323" w:rsidP="0011037B">
      <w:pPr>
        <w:pStyle w:val="Bullet"/>
      </w:pPr>
      <w:r w:rsidRPr="00BD16B4">
        <w:t>risk of maladaptation across all domains due to the application of practices, processes and tools that do not account for uncertainty and change over long timeframes</w:t>
      </w:r>
    </w:p>
    <w:p w14:paraId="78E1E4F4" w14:textId="77777777" w:rsidR="00851323" w:rsidRPr="00BD16B4" w:rsidRDefault="00851323" w:rsidP="0011037B">
      <w:pPr>
        <w:pStyle w:val="Bullet"/>
      </w:pPr>
      <w:r w:rsidRPr="00BD16B4">
        <w:t>risks that climate change impacts across all domains will be exacerbated because current institutional arrangements are not fit for climate change adaptation.</w:t>
      </w:r>
    </w:p>
    <w:p w14:paraId="0D194B4C" w14:textId="77777777" w:rsidR="00851323" w:rsidRPr="00BD16B4" w:rsidRDefault="00851323" w:rsidP="00851323">
      <w:pPr>
        <w:pStyle w:val="BodyText"/>
      </w:pPr>
      <w:r w:rsidRPr="00BD16B4">
        <w:t xml:space="preserve">Ten objectives enable adaptation options, including managed retreat: </w:t>
      </w:r>
    </w:p>
    <w:p w14:paraId="1E6A5065" w14:textId="77777777" w:rsidR="00851323" w:rsidRPr="00BD16B4" w:rsidRDefault="00851323" w:rsidP="0011037B">
      <w:pPr>
        <w:pStyle w:val="Bullet"/>
      </w:pPr>
      <w:r w:rsidRPr="00BD16B4">
        <w:t>legislation and institutional arrangements are fit for purpose and provide clear roles and responsibilities</w:t>
      </w:r>
    </w:p>
    <w:p w14:paraId="6F9AE57D" w14:textId="77777777" w:rsidR="00851323" w:rsidRPr="00BD16B4" w:rsidRDefault="00851323" w:rsidP="0011037B">
      <w:pPr>
        <w:pStyle w:val="Bullet"/>
      </w:pPr>
      <w:r w:rsidRPr="00BD16B4">
        <w:t>robust information about climate risks and adaptation solutions is accessible to all</w:t>
      </w:r>
    </w:p>
    <w:p w14:paraId="2462F275" w14:textId="77777777" w:rsidR="00851323" w:rsidRPr="00BD16B4" w:rsidRDefault="00851323" w:rsidP="0011037B">
      <w:pPr>
        <w:pStyle w:val="Bullet"/>
      </w:pPr>
      <w:r w:rsidRPr="00BD16B4">
        <w:t>unlocking investment in climate resilience</w:t>
      </w:r>
    </w:p>
    <w:p w14:paraId="02FC4AB3" w14:textId="77777777" w:rsidR="00851323" w:rsidRPr="00BD16B4" w:rsidRDefault="00851323" w:rsidP="0011037B">
      <w:pPr>
        <w:pStyle w:val="Bullet"/>
      </w:pPr>
      <w:r w:rsidRPr="00BD16B4">
        <w:t>homes and buildings are climate resilient and meet social and cultural needs</w:t>
      </w:r>
    </w:p>
    <w:p w14:paraId="23CA607D" w14:textId="77777777" w:rsidR="00851323" w:rsidRPr="00BD16B4" w:rsidRDefault="00851323" w:rsidP="0011037B">
      <w:pPr>
        <w:pStyle w:val="Bullet"/>
      </w:pPr>
      <w:r w:rsidRPr="00BD16B4">
        <w:t>Māori connections to whenua and places of cultural value are strengthened through partnerships</w:t>
      </w:r>
    </w:p>
    <w:p w14:paraId="25E45C61" w14:textId="77777777" w:rsidR="00851323" w:rsidRPr="00BD16B4" w:rsidRDefault="00851323" w:rsidP="0011037B">
      <w:pPr>
        <w:pStyle w:val="Bullet"/>
      </w:pPr>
      <w:r w:rsidRPr="00BD16B4">
        <w:t>support working with nature to build resilience</w:t>
      </w:r>
    </w:p>
    <w:p w14:paraId="44B8ABDC" w14:textId="77777777" w:rsidR="00851323" w:rsidRPr="00BD16B4" w:rsidRDefault="00851323" w:rsidP="0011037B">
      <w:pPr>
        <w:pStyle w:val="Bullet"/>
      </w:pPr>
      <w:r w:rsidRPr="00BD16B4">
        <w:t xml:space="preserve">threats to cultural heritage arising from climate change are understood and impacts minimised </w:t>
      </w:r>
    </w:p>
    <w:p w14:paraId="7BA600B8" w14:textId="77777777" w:rsidR="00851323" w:rsidRPr="00BD16B4" w:rsidRDefault="00851323" w:rsidP="0011037B">
      <w:pPr>
        <w:pStyle w:val="Bullet"/>
      </w:pPr>
      <w:r w:rsidRPr="00BD16B4">
        <w:t>reduce the vulnerability of assets exposed to climate change</w:t>
      </w:r>
    </w:p>
    <w:p w14:paraId="2A767EF8" w14:textId="77777777" w:rsidR="00851323" w:rsidRPr="00BD16B4" w:rsidRDefault="00851323" w:rsidP="0011037B">
      <w:pPr>
        <w:pStyle w:val="Bullet"/>
      </w:pPr>
      <w:r w:rsidRPr="00BD16B4">
        <w:t>use renewal programmes to improve adaptive capacity</w:t>
      </w:r>
    </w:p>
    <w:p w14:paraId="1EF1A7C5" w14:textId="77777777" w:rsidR="00851323" w:rsidRPr="00BD16B4" w:rsidRDefault="00851323" w:rsidP="0011037B">
      <w:pPr>
        <w:pStyle w:val="Bullet"/>
        <w:spacing w:after="240"/>
      </w:pPr>
      <w:r w:rsidRPr="00BD16B4">
        <w:t>a resilient financial system underpins economic stability and growth. Participants can identify, disclose and manage climate risks.</w:t>
      </w:r>
    </w:p>
    <w:tbl>
      <w:tblPr>
        <w:tblStyle w:val="TableGrid"/>
        <w:tblW w:w="8505" w:type="dxa"/>
        <w:tblInd w:w="113"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851323" w:rsidRPr="00BD16B4" w14:paraId="09301ECF" w14:textId="77777777" w:rsidTr="00F31129">
        <w:tc>
          <w:tcPr>
            <w:tcW w:w="8505" w:type="dxa"/>
            <w:shd w:val="clear" w:color="auto" w:fill="D2DDE1" w:themeFill="background2"/>
          </w:tcPr>
          <w:p w14:paraId="37BDE278" w14:textId="77777777" w:rsidR="00851323" w:rsidRPr="00BD16B4" w:rsidRDefault="00851323" w:rsidP="00F31129">
            <w:pPr>
              <w:pStyle w:val="Boxheading"/>
              <w:spacing w:after="120"/>
            </w:pPr>
            <w:r w:rsidRPr="00BD16B4">
              <w:lastRenderedPageBreak/>
              <w:t>Critical actions being taken to enable adaptation including managed retreat are:</w:t>
            </w:r>
            <w:r w:rsidRPr="00BD16B4" w:rsidDel="009467CC">
              <w:t xml:space="preserve"> </w:t>
            </w:r>
          </w:p>
          <w:p w14:paraId="0AA5EE63" w14:textId="77777777" w:rsidR="00851323" w:rsidRPr="00BD16B4" w:rsidRDefault="00851323" w:rsidP="00F31129">
            <w:pPr>
              <w:pStyle w:val="Boxbullet"/>
            </w:pPr>
            <w:r w:rsidRPr="00BD16B4">
              <w:t xml:space="preserve">Pass legislation to support managed retreat. </w:t>
            </w:r>
          </w:p>
          <w:p w14:paraId="1AB708CF" w14:textId="77777777" w:rsidR="00851323" w:rsidRPr="00BD16B4" w:rsidRDefault="00851323" w:rsidP="00F31129">
            <w:pPr>
              <w:pStyle w:val="Boxbullet"/>
            </w:pPr>
            <w:r w:rsidRPr="00BD16B4">
              <w:t xml:space="preserve">Complete case study to explore co-investment for flood resilience. </w:t>
            </w:r>
          </w:p>
          <w:p w14:paraId="7AD9B38E" w14:textId="77777777" w:rsidR="00851323" w:rsidRPr="00BD16B4" w:rsidRDefault="00851323" w:rsidP="00F31129">
            <w:pPr>
              <w:pStyle w:val="Boxbullet"/>
            </w:pPr>
            <w:r w:rsidRPr="00BD16B4">
              <w:t>Publish the programme of work on how Aotearoa New Zealand meets the costs of climate change and invests in resilience.</w:t>
            </w:r>
            <w:r w:rsidRPr="00BD16B4" w:rsidDel="003D3660">
              <w:t xml:space="preserve"> </w:t>
            </w:r>
          </w:p>
          <w:p w14:paraId="0CCA3DEF" w14:textId="77777777" w:rsidR="00851323" w:rsidRPr="00BD16B4" w:rsidRDefault="00851323" w:rsidP="00F31129">
            <w:pPr>
              <w:pStyle w:val="Boxbullet"/>
            </w:pPr>
            <w:r w:rsidRPr="00BD16B4">
              <w:t>Prioritise nature-based solutions.</w:t>
            </w:r>
          </w:p>
          <w:p w14:paraId="45B6AA4E" w14:textId="77777777" w:rsidR="00851323" w:rsidRPr="00BD16B4" w:rsidRDefault="00851323" w:rsidP="00F31129">
            <w:pPr>
              <w:pStyle w:val="Boxbullet"/>
            </w:pPr>
            <w:r w:rsidRPr="00BD16B4">
              <w:t>Reduce and manage the impacts of climate hazards on homes and buildings.</w:t>
            </w:r>
            <w:r w:rsidRPr="00BD16B4" w:rsidDel="003D3660">
              <w:t xml:space="preserve"> </w:t>
            </w:r>
          </w:p>
          <w:p w14:paraId="0BB039D2" w14:textId="77777777" w:rsidR="00851323" w:rsidRPr="00BD16B4" w:rsidRDefault="00851323" w:rsidP="00F31129">
            <w:pPr>
              <w:pStyle w:val="Boxbullet"/>
            </w:pPr>
            <w:r w:rsidRPr="00BD16B4">
              <w:t>Develop options for home flood insurance.</w:t>
            </w:r>
            <w:r w:rsidRPr="00BD16B4" w:rsidDel="003D3660">
              <w:t xml:space="preserve"> </w:t>
            </w:r>
          </w:p>
          <w:p w14:paraId="02A6EBB5" w14:textId="77777777" w:rsidR="00851323" w:rsidRPr="00BD16B4" w:rsidRDefault="00851323" w:rsidP="00F31129">
            <w:pPr>
              <w:pStyle w:val="Boxbullet"/>
            </w:pPr>
            <w:r w:rsidRPr="00BD16B4">
              <w:t>Scope a resilience standard or code for infrastructure.</w:t>
            </w:r>
            <w:r w:rsidRPr="00BD16B4" w:rsidDel="003D3660">
              <w:t xml:space="preserve"> </w:t>
            </w:r>
          </w:p>
          <w:p w14:paraId="58AD3DFE" w14:textId="77777777" w:rsidR="00851323" w:rsidRPr="00BD16B4" w:rsidRDefault="00851323" w:rsidP="00F31129">
            <w:pPr>
              <w:pStyle w:val="Boxbullet"/>
              <w:spacing w:after="180"/>
            </w:pPr>
            <w:r w:rsidRPr="00BD16B4">
              <w:t>Support kaitiaki communities to adapt and conserve taonga and cultural assets.</w:t>
            </w:r>
            <w:r w:rsidRPr="00BD16B4">
              <w:rPr>
                <w:vertAlign w:val="superscript"/>
              </w:rPr>
              <w:footnoteReference w:id="311"/>
            </w:r>
          </w:p>
        </w:tc>
      </w:tr>
    </w:tbl>
    <w:p w14:paraId="161A940A" w14:textId="77777777" w:rsidR="00851323" w:rsidRPr="00BD16B4" w:rsidRDefault="00851323" w:rsidP="00051D1D">
      <w:pPr>
        <w:pStyle w:val="BodyText"/>
        <w:spacing w:after="0"/>
      </w:pPr>
    </w:p>
    <w:tbl>
      <w:tblPr>
        <w:tblStyle w:val="TableGrid"/>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none" w:sz="0" w:space="0" w:color="auto"/>
          <w:insideV w:val="none" w:sz="0" w:space="0" w:color="auto"/>
        </w:tblBorders>
        <w:shd w:val="clear" w:color="auto" w:fill="D5EBE8" w:themeFill="accent3"/>
        <w:tblLook w:val="04A0" w:firstRow="1" w:lastRow="0" w:firstColumn="1" w:lastColumn="0" w:noHBand="0" w:noVBand="1"/>
      </w:tblPr>
      <w:tblGrid>
        <w:gridCol w:w="8505"/>
      </w:tblGrid>
      <w:tr w:rsidR="00851323" w:rsidRPr="00BD16B4" w14:paraId="18CFFEB1" w14:textId="77777777" w:rsidTr="00F31129">
        <w:tc>
          <w:tcPr>
            <w:tcW w:w="9016" w:type="dxa"/>
            <w:shd w:val="clear" w:color="auto" w:fill="D5EBE8" w:themeFill="accent3"/>
          </w:tcPr>
          <w:p w14:paraId="14ADF6E3" w14:textId="77777777" w:rsidR="00851323" w:rsidRPr="00BD16B4" w:rsidRDefault="00851323" w:rsidP="00F31129">
            <w:pPr>
              <w:pStyle w:val="Boxheading"/>
            </w:pPr>
            <w:r w:rsidRPr="00BD16B4">
              <w:t>Managed retreat legislation</w:t>
            </w:r>
          </w:p>
          <w:p w14:paraId="70E51F3B" w14:textId="77777777" w:rsidR="00851323" w:rsidRPr="00BD16B4" w:rsidRDefault="00851323" w:rsidP="00140DB5">
            <w:pPr>
              <w:pStyle w:val="Boxtext"/>
              <w:spacing w:before="100" w:after="80"/>
            </w:pPr>
            <w:r w:rsidRPr="00BD16B4">
              <w:t>An action to pass legislation to support managed retreat will help to implement decisions to retreat once these have been made. This legislation will be developed in collaboration with a range of stakeholders who will use it, and in partnership with hapū, iwi and Māori, who have particular considerations in relation to whenua Māori and Te Tiriti o Waitangi.</w:t>
            </w:r>
            <w:r w:rsidRPr="00BD16B4">
              <w:rPr>
                <w:vertAlign w:val="superscript"/>
              </w:rPr>
              <w:footnoteReference w:id="312"/>
            </w:r>
          </w:p>
          <w:p w14:paraId="20EC0030" w14:textId="77777777" w:rsidR="00851323" w:rsidRPr="00BD16B4" w:rsidRDefault="00851323" w:rsidP="00140DB5">
            <w:pPr>
              <w:pStyle w:val="Boxtext"/>
              <w:spacing w:before="100" w:after="180"/>
              <w:rPr>
                <w:sz w:val="22"/>
              </w:rPr>
            </w:pPr>
            <w:r w:rsidRPr="00BD16B4">
              <w:t>Legislation for managed retreat will need to consider how to minimise risks to social cohesion, which can be worsened when communities need to relocate. It must consider unique challenges for low-income groups and mobility-compromised and disabled people when faced with having to shift. One way of doing this is to provide certainty about the process and opportunities for people and communities to engage.</w:t>
            </w:r>
          </w:p>
        </w:tc>
      </w:tr>
    </w:tbl>
    <w:p w14:paraId="7E6A8A30" w14:textId="77777777" w:rsidR="00851323" w:rsidRPr="00BD16B4" w:rsidRDefault="00851323" w:rsidP="00002E81">
      <w:pPr>
        <w:pStyle w:val="Heading4"/>
        <w:spacing w:before="360"/>
      </w:pPr>
      <w:r w:rsidRPr="00BD16B4">
        <w:t>Priority 4: Embedding climate resilience across government</w:t>
      </w:r>
    </w:p>
    <w:p w14:paraId="584454FD" w14:textId="77777777" w:rsidR="00851323" w:rsidRPr="00BD16B4" w:rsidRDefault="00851323" w:rsidP="00851323">
      <w:pPr>
        <w:pStyle w:val="BodyText"/>
        <w:spacing w:after="100"/>
      </w:pPr>
      <w:r w:rsidRPr="00BD16B4">
        <w:t>To embed climate resilience in all government strategies, actions are focused on five outcome areas. These areas are broadly consistent with those identified in the risk assessment and are described in the following sections.</w:t>
      </w:r>
    </w:p>
    <w:p w14:paraId="507D49FF" w14:textId="77777777" w:rsidR="00851323" w:rsidRPr="00BD16B4" w:rsidRDefault="00851323" w:rsidP="00BB33B9">
      <w:pPr>
        <w:pStyle w:val="Heading5"/>
      </w:pPr>
      <w:r w:rsidRPr="00BD16B4">
        <w:t>Natural environment</w:t>
      </w:r>
    </w:p>
    <w:p w14:paraId="718C9E8A" w14:textId="77777777" w:rsidR="00851323" w:rsidRPr="00BD16B4" w:rsidRDefault="00851323" w:rsidP="00851323">
      <w:pPr>
        <w:pStyle w:val="BodyText"/>
        <w:spacing w:before="100" w:after="100"/>
      </w:pPr>
      <w:r w:rsidRPr="00BD16B4">
        <w:t xml:space="preserve">When ecosystems are healthy and diverse, they can adjust more effectively to climate threats. </w:t>
      </w:r>
    </w:p>
    <w:p w14:paraId="3AAB0B58" w14:textId="77777777" w:rsidR="00851323" w:rsidRPr="00BD16B4" w:rsidRDefault="00851323" w:rsidP="00851323">
      <w:pPr>
        <w:pStyle w:val="BodyText"/>
        <w:spacing w:before="100" w:after="100"/>
        <w:rPr>
          <w:rFonts w:cs="Lato"/>
          <w:sz w:val="19"/>
          <w:szCs w:val="19"/>
        </w:rPr>
      </w:pPr>
      <w:r w:rsidRPr="00BD16B4">
        <w:t>Actions focused on the natural environment will address:</w:t>
      </w:r>
    </w:p>
    <w:p w14:paraId="4EDF0882" w14:textId="77777777" w:rsidR="00851323" w:rsidRPr="00BD16B4" w:rsidRDefault="00851323" w:rsidP="0011037B">
      <w:pPr>
        <w:pStyle w:val="Bullet"/>
        <w:spacing w:after="100"/>
      </w:pPr>
      <w:r w:rsidRPr="00BD16B4">
        <w:t>risks to coastal ecosystems, including the intertidal zone, estuaries, dunes, coastal lakes and wetlands, due to ongoing sea-level rise and extreme weather events</w:t>
      </w:r>
    </w:p>
    <w:p w14:paraId="5D563F63" w14:textId="77777777" w:rsidR="00851323" w:rsidRPr="00BD16B4" w:rsidRDefault="00851323" w:rsidP="0011037B">
      <w:pPr>
        <w:pStyle w:val="Bullet"/>
      </w:pPr>
      <w:r w:rsidRPr="00BD16B4">
        <w:t>risks to indigenous ecosystems and species from the enhanced spread, survival and establishment of invasive species due to climate change.</w:t>
      </w:r>
    </w:p>
    <w:p w14:paraId="50CAA2D6" w14:textId="77777777" w:rsidR="00851323" w:rsidRPr="00BD16B4" w:rsidRDefault="00851323" w:rsidP="004E632F">
      <w:pPr>
        <w:pStyle w:val="BodyText"/>
        <w:spacing w:after="100"/>
      </w:pPr>
      <w:r w:rsidRPr="00BD16B4">
        <w:lastRenderedPageBreak/>
        <w:t>New Zealand’s objectives are:</w:t>
      </w:r>
    </w:p>
    <w:p w14:paraId="08D5DED6" w14:textId="77777777" w:rsidR="00851323" w:rsidRPr="00BD16B4" w:rsidRDefault="00851323" w:rsidP="004E632F">
      <w:pPr>
        <w:pStyle w:val="Bullet"/>
        <w:spacing w:after="100"/>
      </w:pPr>
      <w:r w:rsidRPr="00BD16B4">
        <w:t>Ecosystems that are healthy and connected, and where biodiversity is thriving.</w:t>
      </w:r>
    </w:p>
    <w:p w14:paraId="0FD26B39" w14:textId="77777777" w:rsidR="00851323" w:rsidRPr="00BD16B4" w:rsidRDefault="00851323" w:rsidP="004E632F">
      <w:pPr>
        <w:pStyle w:val="Bullet"/>
        <w:spacing w:after="100"/>
      </w:pPr>
      <w:r w:rsidRPr="00BD16B4">
        <w:t>Robust biosecurity reduces the risk of new pests and diseases spreading.</w:t>
      </w:r>
    </w:p>
    <w:p w14:paraId="16681505" w14:textId="77777777" w:rsidR="00851323" w:rsidRPr="00BD16B4" w:rsidRDefault="00851323" w:rsidP="0011037B">
      <w:pPr>
        <w:pStyle w:val="Bullet"/>
        <w:spacing w:after="240"/>
      </w:pPr>
      <w:r w:rsidRPr="00BD16B4">
        <w:t>Support working with nature to build resilience.</w:t>
      </w:r>
    </w:p>
    <w:tbl>
      <w:tblPr>
        <w:tblStyle w:val="TableGrid"/>
        <w:tblW w:w="8505" w:type="dxa"/>
        <w:tblInd w:w="113"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851323" w:rsidRPr="00BD16B4" w14:paraId="6C537CB0" w14:textId="77777777" w:rsidTr="00F31129">
        <w:tc>
          <w:tcPr>
            <w:tcW w:w="8505" w:type="dxa"/>
            <w:shd w:val="clear" w:color="auto" w:fill="D2DDE1" w:themeFill="background2"/>
          </w:tcPr>
          <w:p w14:paraId="31FB13D8" w14:textId="77777777" w:rsidR="00851323" w:rsidRPr="00BD16B4" w:rsidRDefault="00851323" w:rsidP="004E632F">
            <w:pPr>
              <w:pStyle w:val="Boxheading"/>
              <w:keepNext w:val="0"/>
              <w:spacing w:before="180" w:after="120"/>
            </w:pPr>
            <w:r w:rsidRPr="00BD16B4">
              <w:t>The critical actions being taken to meet these objectives are:</w:t>
            </w:r>
            <w:r w:rsidRPr="00BD16B4" w:rsidDel="009467CC">
              <w:t xml:space="preserve"> </w:t>
            </w:r>
          </w:p>
          <w:p w14:paraId="083513B3" w14:textId="77777777" w:rsidR="00851323" w:rsidRPr="00BD16B4" w:rsidRDefault="00851323" w:rsidP="004E632F">
            <w:pPr>
              <w:pStyle w:val="Boxbullet"/>
              <w:spacing w:after="100"/>
            </w:pPr>
            <w:r w:rsidRPr="00BD16B4">
              <w:t xml:space="preserve">Implement the </w:t>
            </w:r>
            <w:r w:rsidRPr="00BD16B4">
              <w:rPr>
                <w:i/>
                <w:iCs/>
              </w:rPr>
              <w:t>Department of Conservation Climate Adaptation Action Plan</w:t>
            </w:r>
            <w:r w:rsidRPr="00BD16B4">
              <w:t>.</w:t>
            </w:r>
            <w:r w:rsidRPr="00BD16B4" w:rsidDel="00BB2F8C">
              <w:rPr>
                <w:color w:val="000000"/>
              </w:rPr>
              <w:t xml:space="preserve"> </w:t>
            </w:r>
          </w:p>
          <w:p w14:paraId="77415F6A" w14:textId="77777777" w:rsidR="00851323" w:rsidRPr="00BD16B4" w:rsidRDefault="00851323" w:rsidP="004E632F">
            <w:pPr>
              <w:pStyle w:val="Boxbullet"/>
              <w:spacing w:after="100"/>
            </w:pPr>
            <w:r w:rsidRPr="00BD16B4">
              <w:t xml:space="preserve">Implement </w:t>
            </w:r>
            <w:r w:rsidRPr="00BD16B4">
              <w:rPr>
                <w:i/>
                <w:iCs/>
              </w:rPr>
              <w:t>Te Mana o te Taiao – Aotearoa New Zealand Biodiversity Strategy</w:t>
            </w:r>
            <w:r w:rsidRPr="00BD16B4">
              <w:t>.</w:t>
            </w:r>
            <w:r w:rsidRPr="00BD16B4" w:rsidDel="00BB2F8C">
              <w:t xml:space="preserve"> </w:t>
            </w:r>
          </w:p>
          <w:p w14:paraId="21F657DA" w14:textId="77777777" w:rsidR="00851323" w:rsidRPr="00BD16B4" w:rsidRDefault="00851323" w:rsidP="004E632F">
            <w:pPr>
              <w:pStyle w:val="Boxbullet"/>
              <w:spacing w:after="100"/>
            </w:pPr>
            <w:r w:rsidRPr="00BD16B4">
              <w:t>Implement essential freshwater management programmes.</w:t>
            </w:r>
            <w:r w:rsidRPr="00BD16B4" w:rsidDel="00BB2F8C">
              <w:rPr>
                <w:color w:val="000000"/>
              </w:rPr>
              <w:t xml:space="preserve"> </w:t>
            </w:r>
          </w:p>
          <w:p w14:paraId="029500DE" w14:textId="77777777" w:rsidR="00851323" w:rsidRPr="00BD16B4" w:rsidRDefault="00851323" w:rsidP="004E632F">
            <w:pPr>
              <w:pStyle w:val="Boxbullet"/>
              <w:spacing w:after="100"/>
            </w:pPr>
            <w:r w:rsidRPr="00BD16B4">
              <w:t xml:space="preserve">Engage with councils to implement the </w:t>
            </w:r>
            <w:r w:rsidRPr="00BD16B4">
              <w:rPr>
                <w:i/>
                <w:iCs/>
              </w:rPr>
              <w:t>New Zealand Coastal Policy Statement</w:t>
            </w:r>
            <w:r w:rsidRPr="00BD16B4">
              <w:t>.</w:t>
            </w:r>
            <w:r w:rsidRPr="00BD16B4" w:rsidDel="00BB2F8C">
              <w:t xml:space="preserve"> </w:t>
            </w:r>
          </w:p>
          <w:p w14:paraId="294F00BE" w14:textId="77777777" w:rsidR="00851323" w:rsidRPr="00BD16B4" w:rsidRDefault="00851323" w:rsidP="004E632F">
            <w:pPr>
              <w:pStyle w:val="Boxbullet"/>
              <w:spacing w:after="100"/>
            </w:pPr>
            <w:r w:rsidRPr="00BD16B4">
              <w:t>Deliver climate, biodiversity and wider environmental outcomes.</w:t>
            </w:r>
            <w:r w:rsidRPr="00BD16B4" w:rsidDel="00BB2F8C">
              <w:rPr>
                <w:color w:val="000000"/>
              </w:rPr>
              <w:t xml:space="preserve"> </w:t>
            </w:r>
          </w:p>
          <w:p w14:paraId="56DC466D" w14:textId="77777777" w:rsidR="00851323" w:rsidRPr="00BD16B4" w:rsidRDefault="00851323" w:rsidP="004E632F">
            <w:pPr>
              <w:pStyle w:val="Boxbullet"/>
              <w:spacing w:after="100"/>
            </w:pPr>
            <w:r w:rsidRPr="00BD16B4">
              <w:t>Deliver biosecurity actions to protect Aotearoa New Zealand’s indigenous ecosystems and economy from invasive species.</w:t>
            </w:r>
            <w:r w:rsidRPr="00BD16B4" w:rsidDel="00BB2F8C">
              <w:rPr>
                <w:color w:val="000000"/>
              </w:rPr>
              <w:t xml:space="preserve"> </w:t>
            </w:r>
          </w:p>
          <w:p w14:paraId="5B86A66D" w14:textId="77777777" w:rsidR="00851323" w:rsidRPr="00BD16B4" w:rsidRDefault="00851323" w:rsidP="004E632F">
            <w:pPr>
              <w:pStyle w:val="Boxbullet"/>
              <w:spacing w:after="100"/>
            </w:pPr>
            <w:r w:rsidRPr="00BD16B4">
              <w:t>Implement the National Policy Statement on Freshwater Management 2020.</w:t>
            </w:r>
          </w:p>
          <w:p w14:paraId="57AB93D7" w14:textId="77777777" w:rsidR="00851323" w:rsidRPr="00BD16B4" w:rsidRDefault="00851323" w:rsidP="00261F09">
            <w:pPr>
              <w:pStyle w:val="Boxbullet"/>
              <w:spacing w:after="180"/>
            </w:pPr>
            <w:r w:rsidRPr="00BD16B4">
              <w:t>Implement the proposed National Policy Statement on Indigenous Biodiversity.</w:t>
            </w:r>
          </w:p>
        </w:tc>
      </w:tr>
    </w:tbl>
    <w:p w14:paraId="59E3671E" w14:textId="77777777" w:rsidR="00851323" w:rsidRPr="00BD16B4" w:rsidRDefault="00851323" w:rsidP="004E632F">
      <w:pPr>
        <w:pStyle w:val="BodyText"/>
        <w:spacing w:after="0"/>
      </w:pP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851323" w:rsidRPr="00BD16B4" w14:paraId="632B8D69" w14:textId="77777777" w:rsidTr="00F31129">
        <w:tc>
          <w:tcPr>
            <w:tcW w:w="8505" w:type="dxa"/>
            <w:shd w:val="clear" w:color="auto" w:fill="D5EBE8" w:themeFill="accent3"/>
          </w:tcPr>
          <w:p w14:paraId="03F7DB6B" w14:textId="77777777" w:rsidR="00851323" w:rsidRPr="00BD16B4" w:rsidRDefault="00851323" w:rsidP="004E632F">
            <w:pPr>
              <w:pStyle w:val="Boxheading"/>
              <w:spacing w:before="180"/>
            </w:pPr>
            <w:r w:rsidRPr="00BD16B4">
              <w:t>Working with nature to adapt to climate change</w:t>
            </w:r>
          </w:p>
          <w:p w14:paraId="56A95277" w14:textId="77777777" w:rsidR="00851323" w:rsidRPr="00BD16B4" w:rsidRDefault="00851323" w:rsidP="004E632F">
            <w:pPr>
              <w:pStyle w:val="Boxtext"/>
              <w:spacing w:after="60"/>
            </w:pPr>
            <w:r w:rsidRPr="00BD16B4">
              <w:t>Safeguarding biodiversity and ecosystems is fundamental to an effective climate response. Valuable native ecosystems can buffer human and natural systems from the impacts of climate change, store carbon, support biodiversity and improve community wellbeing.</w:t>
            </w:r>
          </w:p>
          <w:p w14:paraId="38CD7AB8" w14:textId="77777777" w:rsidR="00851323" w:rsidRPr="00BD16B4" w:rsidRDefault="00851323" w:rsidP="004E632F">
            <w:pPr>
              <w:pStyle w:val="Boxtext"/>
              <w:spacing w:after="100"/>
            </w:pPr>
            <w:r w:rsidRPr="00BD16B4">
              <w:t xml:space="preserve">To address the climate and biodiversity crises together, the Government is: </w:t>
            </w:r>
          </w:p>
          <w:p w14:paraId="3DE9B65E" w14:textId="77777777" w:rsidR="00851323" w:rsidRPr="00BD16B4" w:rsidRDefault="00851323" w:rsidP="004E632F">
            <w:pPr>
              <w:pStyle w:val="Boxbullet"/>
              <w:spacing w:after="100"/>
            </w:pPr>
            <w:r w:rsidRPr="00BD16B4">
              <w:t>prioritising nature-based solutions to adapt to climate change and deliver other socio-economic and environmental benefits, embedding nature-based solutions in transport policies and identifying options to increase their integration into urban form</w:t>
            </w:r>
          </w:p>
          <w:p w14:paraId="4A05FF9A" w14:textId="77777777" w:rsidR="00851323" w:rsidRPr="00BD16B4" w:rsidRDefault="00851323" w:rsidP="00F31129">
            <w:pPr>
              <w:pStyle w:val="Boxbullet"/>
              <w:spacing w:after="180"/>
            </w:pPr>
            <w:r w:rsidRPr="00BD16B4">
              <w:t>establishing an integrated work programme to deliver climate, biodiversity and wider environmental outcomes.</w:t>
            </w:r>
          </w:p>
        </w:tc>
      </w:tr>
    </w:tbl>
    <w:p w14:paraId="18DCE684" w14:textId="77777777" w:rsidR="00851323" w:rsidRPr="00BD16B4" w:rsidRDefault="00851323" w:rsidP="00A11C82">
      <w:pPr>
        <w:pStyle w:val="Heading5"/>
        <w:spacing w:before="400"/>
      </w:pPr>
      <w:r w:rsidRPr="00BD16B4">
        <w:t>Homes, buildings and places</w:t>
      </w:r>
    </w:p>
    <w:p w14:paraId="6D84029C" w14:textId="77777777" w:rsidR="00851323" w:rsidRPr="00BD16B4" w:rsidRDefault="00851323" w:rsidP="004E632F">
      <w:pPr>
        <w:pStyle w:val="BodyText"/>
        <w:spacing w:before="0" w:after="100"/>
      </w:pPr>
      <w:r w:rsidRPr="00BD16B4">
        <w:t xml:space="preserve">Homes, buildings and places play a vital role in the health, wellbeing and quality of life of all New Zealanders. Many homes and buildings are in areas at risk of flooding and/or sea-level rise, and the impacts of climate change can reduce their durability. </w:t>
      </w:r>
    </w:p>
    <w:p w14:paraId="7C64FE66" w14:textId="77777777" w:rsidR="00851323" w:rsidRPr="00BD16B4" w:rsidRDefault="00851323" w:rsidP="004E632F">
      <w:pPr>
        <w:pStyle w:val="BodyText"/>
        <w:spacing w:before="0" w:after="100"/>
      </w:pPr>
      <w:r w:rsidRPr="00BD16B4">
        <w:t>The homes, buildings and places actions address the significant risk to buildings due to extreme weather events, drought, increased fire weather and ongoing sea</w:t>
      </w:r>
      <w:r w:rsidRPr="00BD16B4">
        <w:noBreakHyphen/>
        <w:t xml:space="preserve">level rise. </w:t>
      </w:r>
    </w:p>
    <w:p w14:paraId="49808644" w14:textId="77777777" w:rsidR="00851323" w:rsidRPr="00BD16B4" w:rsidRDefault="00851323" w:rsidP="004E632F">
      <w:pPr>
        <w:pStyle w:val="BodyText"/>
        <w:spacing w:before="0" w:after="100"/>
        <w:rPr>
          <w:sz w:val="18"/>
          <w:szCs w:val="18"/>
        </w:rPr>
      </w:pPr>
      <w:r w:rsidRPr="00BD16B4">
        <w:t>New Zealand’s objectives</w:t>
      </w:r>
      <w:r w:rsidRPr="00BD16B4">
        <w:rPr>
          <w:rFonts w:cstheme="minorHAnsi"/>
        </w:rPr>
        <w:t xml:space="preserve"> are:</w:t>
      </w:r>
      <w:r w:rsidRPr="00BD16B4">
        <w:rPr>
          <w:sz w:val="18"/>
          <w:szCs w:val="18"/>
        </w:rPr>
        <w:t xml:space="preserve"> </w:t>
      </w:r>
    </w:p>
    <w:p w14:paraId="62ABB83E" w14:textId="77777777" w:rsidR="00851323" w:rsidRPr="00BD16B4" w:rsidRDefault="00851323" w:rsidP="00261F09">
      <w:pPr>
        <w:pStyle w:val="Bullet"/>
      </w:pPr>
      <w:r w:rsidRPr="00BD16B4">
        <w:t xml:space="preserve">Homes and buildings are climate resilient and meet social and cultural needs. </w:t>
      </w:r>
    </w:p>
    <w:p w14:paraId="70C7FEAF" w14:textId="77777777" w:rsidR="00851323" w:rsidRPr="00BD16B4" w:rsidRDefault="00851323" w:rsidP="00261F09">
      <w:pPr>
        <w:pStyle w:val="Bullet"/>
      </w:pPr>
      <w:r w:rsidRPr="00BD16B4">
        <w:t>New and existing places are planned and managed to minimise risks to communities from climate change.</w:t>
      </w:r>
    </w:p>
    <w:p w14:paraId="43826973" w14:textId="77777777" w:rsidR="00851323" w:rsidRPr="00BD16B4" w:rsidRDefault="00851323" w:rsidP="00261F09">
      <w:pPr>
        <w:pStyle w:val="Bullet"/>
        <w:rPr>
          <w:rFonts w:cstheme="minorHAnsi"/>
        </w:rPr>
      </w:pPr>
      <w:r w:rsidRPr="00BD16B4">
        <w:t>Māori connections</w:t>
      </w:r>
      <w:r w:rsidRPr="00BD16B4">
        <w:rPr>
          <w:rFonts w:cstheme="minorHAnsi"/>
        </w:rPr>
        <w:t xml:space="preserve"> to whenua (country, land, nation, state) and places of cultural value are strengthened through partnerships.</w:t>
      </w:r>
    </w:p>
    <w:p w14:paraId="7D142D93" w14:textId="77777777" w:rsidR="00851323" w:rsidRPr="00BD16B4" w:rsidRDefault="00851323" w:rsidP="0011037B">
      <w:pPr>
        <w:pStyle w:val="Bullet"/>
        <w:spacing w:after="240"/>
        <w:rPr>
          <w:rFonts w:cstheme="minorHAnsi"/>
        </w:rPr>
      </w:pPr>
      <w:r w:rsidRPr="00BD16B4">
        <w:rPr>
          <w:rFonts w:cstheme="minorHAnsi"/>
        </w:rPr>
        <w:t>Threats to cultural heritage arising from climate change are understood and impacts minimised.</w:t>
      </w:r>
    </w:p>
    <w:tbl>
      <w:tblPr>
        <w:tblStyle w:val="TableGrid"/>
        <w:tblW w:w="8505" w:type="dxa"/>
        <w:tblInd w:w="113"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851323" w:rsidRPr="00BD16B4" w14:paraId="066886CE" w14:textId="77777777" w:rsidTr="00F31129">
        <w:tc>
          <w:tcPr>
            <w:tcW w:w="8505" w:type="dxa"/>
            <w:shd w:val="clear" w:color="auto" w:fill="D2DDE1" w:themeFill="background2"/>
          </w:tcPr>
          <w:p w14:paraId="0A256794" w14:textId="77777777" w:rsidR="00851323" w:rsidRPr="00BD16B4" w:rsidRDefault="00851323" w:rsidP="00F31129">
            <w:pPr>
              <w:pStyle w:val="Boxheading"/>
              <w:spacing w:after="120"/>
            </w:pPr>
            <w:r w:rsidRPr="00BD16B4">
              <w:lastRenderedPageBreak/>
              <w:t>The critical actions being taken to meet these objectives are:</w:t>
            </w:r>
          </w:p>
          <w:p w14:paraId="58033FF4" w14:textId="77777777" w:rsidR="00851323" w:rsidRPr="00BD16B4" w:rsidRDefault="00851323" w:rsidP="00051D1D">
            <w:pPr>
              <w:pStyle w:val="Boxbullet"/>
              <w:spacing w:after="80"/>
            </w:pPr>
            <w:r w:rsidRPr="00BD16B4">
              <w:t>Reduce and manage the impacts of climate hazards on homes and buildings.</w:t>
            </w:r>
            <w:r w:rsidRPr="00BD16B4" w:rsidDel="00F176A8">
              <w:t xml:space="preserve"> </w:t>
            </w:r>
          </w:p>
          <w:p w14:paraId="0FB94D68" w14:textId="77777777" w:rsidR="00851323" w:rsidRPr="00BD16B4" w:rsidRDefault="00851323" w:rsidP="00051D1D">
            <w:pPr>
              <w:pStyle w:val="Boxbullet"/>
              <w:spacing w:after="80"/>
            </w:pPr>
            <w:r w:rsidRPr="00BD16B4">
              <w:t>Support kaitiaki communities to adapt and conserve taonga and cultural assets.</w:t>
            </w:r>
            <w:r w:rsidRPr="00BD16B4">
              <w:rPr>
                <w:vertAlign w:val="superscript"/>
              </w:rPr>
              <w:footnoteReference w:id="313"/>
            </w:r>
            <w:r w:rsidRPr="00BD16B4" w:rsidDel="00F176A8">
              <w:t xml:space="preserve"> </w:t>
            </w:r>
          </w:p>
          <w:p w14:paraId="52DB597C" w14:textId="77777777" w:rsidR="00851323" w:rsidRPr="00BD16B4" w:rsidRDefault="00851323" w:rsidP="00051D1D">
            <w:pPr>
              <w:pStyle w:val="Boxbullet"/>
              <w:spacing w:after="80"/>
            </w:pPr>
            <w:r w:rsidRPr="00BD16B4">
              <w:t>Reduce the exposure of public housing tenants to climate hazards.</w:t>
            </w:r>
            <w:r w:rsidRPr="00BD16B4" w:rsidDel="00F176A8">
              <w:t xml:space="preserve"> </w:t>
            </w:r>
          </w:p>
          <w:p w14:paraId="4404C78F" w14:textId="77777777" w:rsidR="00851323" w:rsidRPr="00BD16B4" w:rsidRDefault="00851323" w:rsidP="00F31129">
            <w:pPr>
              <w:pStyle w:val="Boxbullet"/>
              <w:spacing w:after="180"/>
              <w:rPr>
                <w:sz w:val="22"/>
              </w:rPr>
            </w:pPr>
            <w:r w:rsidRPr="00BD16B4">
              <w:t>Embed adaptation in funding models for housing and urban development, including Māori housing.</w:t>
            </w:r>
            <w:r w:rsidRPr="00BD16B4" w:rsidDel="00F176A8">
              <w:t xml:space="preserve"> </w:t>
            </w:r>
          </w:p>
        </w:tc>
      </w:tr>
    </w:tbl>
    <w:p w14:paraId="730835BE" w14:textId="77777777" w:rsidR="00851323" w:rsidRPr="00BD16B4" w:rsidRDefault="00851323" w:rsidP="004E632F">
      <w:pPr>
        <w:pStyle w:val="BodyText"/>
        <w:spacing w:after="0"/>
      </w:pPr>
    </w:p>
    <w:tbl>
      <w:tblPr>
        <w:tblStyle w:val="TableGrid"/>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none" w:sz="0" w:space="0" w:color="auto"/>
          <w:insideV w:val="none" w:sz="0" w:space="0" w:color="auto"/>
        </w:tblBorders>
        <w:shd w:val="clear" w:color="auto" w:fill="D5EBE8" w:themeFill="accent3"/>
        <w:tblLook w:val="04A0" w:firstRow="1" w:lastRow="0" w:firstColumn="1" w:lastColumn="0" w:noHBand="0" w:noVBand="1"/>
      </w:tblPr>
      <w:tblGrid>
        <w:gridCol w:w="8505"/>
      </w:tblGrid>
      <w:tr w:rsidR="00851323" w:rsidRPr="00BD16B4" w14:paraId="787FB071" w14:textId="77777777" w:rsidTr="00F31129">
        <w:tc>
          <w:tcPr>
            <w:tcW w:w="9016" w:type="dxa"/>
            <w:shd w:val="clear" w:color="auto" w:fill="D5EBE8" w:themeFill="accent3"/>
          </w:tcPr>
          <w:p w14:paraId="1D02C0F9" w14:textId="77777777" w:rsidR="00851323" w:rsidRPr="00BD16B4" w:rsidRDefault="00851323" w:rsidP="00F31129">
            <w:pPr>
              <w:pStyle w:val="Boxheading"/>
            </w:pPr>
            <w:r w:rsidRPr="00BD16B4">
              <w:t>Climate resilience in the building sector</w:t>
            </w:r>
          </w:p>
          <w:p w14:paraId="0DB1C92E" w14:textId="77777777" w:rsidR="00851323" w:rsidRPr="00BD16B4" w:rsidRDefault="00851323" w:rsidP="00F31129">
            <w:pPr>
              <w:pStyle w:val="Boxtext"/>
              <w:spacing w:after="180"/>
            </w:pPr>
            <w:r w:rsidRPr="00BD16B4">
              <w:t xml:space="preserve">Work is in progress to initiate and support adaptation for the building and construction sector. For example, the </w:t>
            </w:r>
            <w:r w:rsidRPr="00BD16B4">
              <w:rPr>
                <w:i/>
                <w:iCs/>
              </w:rPr>
              <w:t>Building for Climate Change work programme</w:t>
            </w:r>
            <w:r w:rsidRPr="00BD16B4">
              <w:t xml:space="preserve"> will support actions in the national adaptation plan to increase adaptation and resilience. It is also connected to the work on emissions reduction and seismic resilience.</w:t>
            </w:r>
          </w:p>
        </w:tc>
      </w:tr>
    </w:tbl>
    <w:p w14:paraId="55A0CADF" w14:textId="77777777" w:rsidR="00851323" w:rsidRPr="00BD16B4" w:rsidRDefault="00851323" w:rsidP="00A11C82">
      <w:pPr>
        <w:pStyle w:val="Heading5"/>
        <w:spacing w:before="400"/>
      </w:pPr>
      <w:r w:rsidRPr="00BD16B4">
        <w:t>Infrastructure</w:t>
      </w:r>
    </w:p>
    <w:p w14:paraId="1493B58A" w14:textId="77777777" w:rsidR="00851323" w:rsidRPr="00BD16B4" w:rsidRDefault="00851323" w:rsidP="00851323">
      <w:pPr>
        <w:pStyle w:val="BodyText"/>
        <w:spacing w:after="100"/>
        <w:rPr>
          <w:color w:val="000000"/>
        </w:rPr>
      </w:pPr>
      <w:r w:rsidRPr="00BD16B4">
        <w:rPr>
          <w:color w:val="000000"/>
        </w:rPr>
        <w:t xml:space="preserve">Infrastructure provides the services New Zealanders depend on to live, work, learn and play. </w:t>
      </w:r>
      <w:r w:rsidRPr="00BD16B4">
        <w:t>Resilient infrastructure supports adaptation in communities and businesses and protects the wellbeing of future generations.</w:t>
      </w:r>
    </w:p>
    <w:p w14:paraId="01A83186" w14:textId="77777777" w:rsidR="00851323" w:rsidRPr="00BD16B4" w:rsidRDefault="00851323" w:rsidP="00851323">
      <w:pPr>
        <w:pStyle w:val="BodyText"/>
        <w:spacing w:after="100"/>
      </w:pPr>
      <w:r w:rsidRPr="00BD16B4">
        <w:t>The infrastructure actions address the significant risk to potable water supplies (availability and quality) due to changes in rainfall, temperature, drought, extreme weather events and ongoing sea-level rise).</w:t>
      </w:r>
    </w:p>
    <w:p w14:paraId="2C80929C" w14:textId="77777777" w:rsidR="00851323" w:rsidRPr="00BD16B4" w:rsidRDefault="00851323" w:rsidP="00851323">
      <w:pPr>
        <w:pStyle w:val="BodyText"/>
        <w:spacing w:after="100"/>
      </w:pPr>
      <w:r w:rsidRPr="00BD16B4">
        <w:t>New Zealand’s objectives are:</w:t>
      </w:r>
    </w:p>
    <w:p w14:paraId="5B85359A" w14:textId="77777777" w:rsidR="00851323" w:rsidRPr="00BD16B4" w:rsidRDefault="00851323" w:rsidP="0011037B">
      <w:pPr>
        <w:pStyle w:val="Bullet"/>
      </w:pPr>
      <w:r w:rsidRPr="00BD16B4">
        <w:t>Reduce the vulnerability of assets exposed to climate change.</w:t>
      </w:r>
    </w:p>
    <w:p w14:paraId="20662C80" w14:textId="77777777" w:rsidR="00851323" w:rsidRPr="00BD16B4" w:rsidRDefault="00851323" w:rsidP="0011037B">
      <w:pPr>
        <w:pStyle w:val="Bullet"/>
      </w:pPr>
      <w:r w:rsidRPr="00BD16B4">
        <w:t>Ensure all new infrastructure is fit for a changing climate.</w:t>
      </w:r>
    </w:p>
    <w:p w14:paraId="0AC5FAAD" w14:textId="77777777" w:rsidR="00851323" w:rsidRPr="00BD16B4" w:rsidRDefault="00851323" w:rsidP="0011037B">
      <w:pPr>
        <w:pStyle w:val="Bullet"/>
        <w:spacing w:after="240"/>
      </w:pPr>
      <w:r w:rsidRPr="00BD16B4">
        <w:t>Use renewal programmes to improve adaptive capacity.</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51323" w:rsidRPr="00BD16B4" w14:paraId="2C6E50D1" w14:textId="77777777" w:rsidTr="00F31129">
        <w:tc>
          <w:tcPr>
            <w:tcW w:w="0" w:type="auto"/>
            <w:shd w:val="clear" w:color="auto" w:fill="D2DDE2"/>
          </w:tcPr>
          <w:p w14:paraId="682E7FF5" w14:textId="77777777" w:rsidR="00851323" w:rsidRPr="00BD16B4" w:rsidRDefault="00851323" w:rsidP="00F31129">
            <w:pPr>
              <w:pStyle w:val="Boxheading"/>
              <w:spacing w:after="120"/>
            </w:pPr>
            <w:r w:rsidRPr="00BD16B4">
              <w:t xml:space="preserve">The critical actions being taken to meet these objectives are: </w:t>
            </w:r>
          </w:p>
          <w:p w14:paraId="5AEFD449" w14:textId="77777777" w:rsidR="00851323" w:rsidRPr="00BD16B4" w:rsidRDefault="00851323" w:rsidP="00051D1D">
            <w:pPr>
              <w:pStyle w:val="Boxbullet"/>
              <w:spacing w:after="80"/>
            </w:pPr>
            <w:r w:rsidRPr="00BD16B4">
              <w:t xml:space="preserve">Develop guidance to support asset owners to evaluate, understand and manage the impacts and risks of climate change on their physical assets. </w:t>
            </w:r>
          </w:p>
          <w:p w14:paraId="3DAFDF25" w14:textId="77777777" w:rsidR="00851323" w:rsidRPr="00BD16B4" w:rsidRDefault="00851323" w:rsidP="00051D1D">
            <w:pPr>
              <w:pStyle w:val="Boxbullet"/>
              <w:spacing w:after="80"/>
            </w:pPr>
            <w:r w:rsidRPr="00BD16B4">
              <w:t xml:space="preserve">Develop and implement the Waka Kotahi NZ Transport Agency Climate Adaptation Plan. </w:t>
            </w:r>
          </w:p>
          <w:p w14:paraId="1F105421" w14:textId="77777777" w:rsidR="00851323" w:rsidRPr="00BD16B4" w:rsidRDefault="00851323" w:rsidP="00051D1D">
            <w:pPr>
              <w:pStyle w:val="Boxbullet"/>
              <w:spacing w:after="80"/>
            </w:pPr>
            <w:r w:rsidRPr="00BD16B4">
              <w:t xml:space="preserve">Scope a resilience standard or code for infrastructure. </w:t>
            </w:r>
          </w:p>
          <w:p w14:paraId="5078269E" w14:textId="77777777" w:rsidR="00851323" w:rsidRPr="00BD16B4" w:rsidRDefault="00851323" w:rsidP="00F31129">
            <w:pPr>
              <w:pStyle w:val="Boxbullet"/>
              <w:spacing w:after="180"/>
            </w:pPr>
            <w:r w:rsidRPr="00BD16B4">
              <w:t>Integrate adaptation into Treasury decisions on infrastructure.</w:t>
            </w:r>
          </w:p>
        </w:tc>
      </w:tr>
    </w:tbl>
    <w:p w14:paraId="1F1F3E77" w14:textId="77777777" w:rsidR="00851323" w:rsidRPr="00BD16B4" w:rsidRDefault="00851323" w:rsidP="00851323">
      <w:pPr>
        <w:pStyle w:val="BodyText"/>
        <w:spacing w:after="0"/>
      </w:pP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851323" w:rsidRPr="00BD16B4" w14:paraId="42FE3EFF" w14:textId="77777777" w:rsidTr="00F31129">
        <w:tc>
          <w:tcPr>
            <w:tcW w:w="8505" w:type="dxa"/>
            <w:shd w:val="clear" w:color="auto" w:fill="D5EBE8" w:themeFill="accent3"/>
          </w:tcPr>
          <w:p w14:paraId="0CAC1B39" w14:textId="77777777" w:rsidR="00851323" w:rsidRPr="00BD16B4" w:rsidRDefault="00851323" w:rsidP="004E632F">
            <w:pPr>
              <w:pStyle w:val="Boxheading"/>
            </w:pPr>
            <w:r w:rsidRPr="00BD16B4">
              <w:lastRenderedPageBreak/>
              <w:t>Building climate resilience into the land transport system</w:t>
            </w:r>
          </w:p>
          <w:p w14:paraId="419D11D4" w14:textId="77777777" w:rsidR="00851323" w:rsidRPr="00BD16B4" w:rsidRDefault="00851323" w:rsidP="00F31129">
            <w:pPr>
              <w:pStyle w:val="Boxtext"/>
              <w:spacing w:after="80"/>
            </w:pPr>
            <w:r w:rsidRPr="00BD16B4">
              <w:t xml:space="preserve">In 2022, Waka Kotahi NZ Transport Agency will publish and begin applying an adaptation plan. This will outline how it will adapt to climate change through the design, delivery, operation and use of the land transport system. The plan will address exposed existing assets and new investment in infrastructure. It will also explore adaptation in maintenance programmes of the roading network, including renewals. </w:t>
            </w:r>
          </w:p>
          <w:p w14:paraId="41C1CDBA" w14:textId="77777777" w:rsidR="00851323" w:rsidRPr="00BD16B4" w:rsidRDefault="00851323" w:rsidP="00F31129">
            <w:pPr>
              <w:pStyle w:val="Boxtext"/>
              <w:spacing w:after="180"/>
            </w:pPr>
            <w:r w:rsidRPr="00BD16B4">
              <w:t>Waka Kotahi will consider multiple risks to the land transport system from climate hazards, including sea-level rise, flooding and landslides. It will lead, collaborate on and support land transport adaptation to enable climate-resilient transport networks and journeys, connecting people, products and services for a thriving Aotearoa New Zealand.</w:t>
            </w:r>
          </w:p>
        </w:tc>
      </w:tr>
    </w:tbl>
    <w:p w14:paraId="2EC3A217" w14:textId="77777777" w:rsidR="00851323" w:rsidRPr="00BD16B4" w:rsidRDefault="00851323" w:rsidP="00A11C82">
      <w:pPr>
        <w:pStyle w:val="Heading5"/>
        <w:spacing w:before="400"/>
      </w:pPr>
      <w:r w:rsidRPr="00BD16B4">
        <w:t>Communities</w:t>
      </w:r>
    </w:p>
    <w:p w14:paraId="222E23F3" w14:textId="77777777" w:rsidR="00851323" w:rsidRPr="00BD16B4" w:rsidRDefault="00851323" w:rsidP="00851323">
      <w:pPr>
        <w:pStyle w:val="BodyText"/>
      </w:pPr>
      <w:r w:rsidRPr="00BD16B4">
        <w:t xml:space="preserve">Communities are diverse and experience the impacts of climate change in various ways. Building and maintaining strong communities will equip New Zealanders with the right tools to adapt. </w:t>
      </w:r>
    </w:p>
    <w:p w14:paraId="5F25E1B7" w14:textId="77777777" w:rsidR="00851323" w:rsidRPr="00BD16B4" w:rsidRDefault="00851323" w:rsidP="00851323">
      <w:pPr>
        <w:pStyle w:val="BodyText"/>
      </w:pPr>
      <w:r w:rsidRPr="00BD16B4">
        <w:t>The relevant actions address the significant risks to social cohesion and community wellbeing from the displacement of individuals, families and communities due to climate change impacts and risks of exacerbating existing inequities and creating new and additional inequities due to differential distribution of climate change impacts.</w:t>
      </w:r>
    </w:p>
    <w:p w14:paraId="4B510B69" w14:textId="77777777" w:rsidR="00851323" w:rsidRPr="00BD16B4" w:rsidRDefault="00851323" w:rsidP="00851323">
      <w:pPr>
        <w:pStyle w:val="BodyText"/>
      </w:pPr>
      <w:r w:rsidRPr="00BD16B4">
        <w:t>New Zealand’s objectives are:</w:t>
      </w:r>
    </w:p>
    <w:p w14:paraId="7F2FA47D" w14:textId="77777777" w:rsidR="00851323" w:rsidRPr="00BD16B4" w:rsidRDefault="00851323" w:rsidP="0011037B">
      <w:pPr>
        <w:pStyle w:val="Bullet"/>
        <w:rPr>
          <w:szCs w:val="22"/>
        </w:rPr>
      </w:pPr>
      <w:r w:rsidRPr="00BD16B4">
        <w:t>Legislation and institutions are fit for purpose and provide clear roles and responsibilities.</w:t>
      </w:r>
    </w:p>
    <w:p w14:paraId="61C65E72" w14:textId="77777777" w:rsidR="00851323" w:rsidRPr="00BD16B4" w:rsidRDefault="00851323" w:rsidP="0011037B">
      <w:pPr>
        <w:pStyle w:val="Bullet"/>
      </w:pPr>
      <w:r w:rsidRPr="00BD16B4">
        <w:t>Enable communities to adapt.</w:t>
      </w:r>
    </w:p>
    <w:p w14:paraId="1222322E" w14:textId="77777777" w:rsidR="00851323" w:rsidRPr="00BD16B4" w:rsidRDefault="00851323" w:rsidP="0011037B">
      <w:pPr>
        <w:pStyle w:val="Bullet"/>
      </w:pPr>
      <w:r w:rsidRPr="00BD16B4">
        <w:t>Support vulnerable people and communities.</w:t>
      </w:r>
    </w:p>
    <w:p w14:paraId="44EBBE5E" w14:textId="77777777" w:rsidR="00851323" w:rsidRPr="00BD16B4" w:rsidRDefault="00851323" w:rsidP="0011037B">
      <w:pPr>
        <w:pStyle w:val="Bullet"/>
      </w:pPr>
      <w:r w:rsidRPr="00BD16B4">
        <w:t>Support communities when they are disrupted or displaced.</w:t>
      </w:r>
    </w:p>
    <w:p w14:paraId="22F2E3B5" w14:textId="77777777" w:rsidR="00851323" w:rsidRPr="00BD16B4" w:rsidRDefault="00851323" w:rsidP="0011037B">
      <w:pPr>
        <w:pStyle w:val="Bullet"/>
        <w:spacing w:after="240"/>
        <w:rPr>
          <w:szCs w:val="22"/>
        </w:rPr>
      </w:pPr>
      <w:r w:rsidRPr="00BD16B4">
        <w:t>The health sector is prepared and can support vulnerable communities affected by climate change.</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51323" w:rsidRPr="00BD16B4" w14:paraId="126DB70F" w14:textId="77777777" w:rsidTr="00F31129">
        <w:tc>
          <w:tcPr>
            <w:tcW w:w="0" w:type="auto"/>
            <w:shd w:val="clear" w:color="auto" w:fill="D2DDE2"/>
          </w:tcPr>
          <w:p w14:paraId="5B165C23" w14:textId="77777777" w:rsidR="00851323" w:rsidRPr="00BD16B4" w:rsidRDefault="00851323" w:rsidP="00F31129">
            <w:pPr>
              <w:pStyle w:val="Boxheading"/>
              <w:keepNext w:val="0"/>
              <w:spacing w:after="120"/>
            </w:pPr>
            <w:r w:rsidRPr="00BD16B4">
              <w:t xml:space="preserve">Critical actions being taken to meet these objectives are: </w:t>
            </w:r>
          </w:p>
          <w:p w14:paraId="03D98C33" w14:textId="77777777" w:rsidR="00851323" w:rsidRPr="00BD16B4" w:rsidRDefault="00851323" w:rsidP="00051D1D">
            <w:pPr>
              <w:pStyle w:val="Boxbullet"/>
              <w:spacing w:after="80"/>
            </w:pPr>
            <w:r w:rsidRPr="00BD16B4">
              <w:t xml:space="preserve">Raise awareness of climate-related hazards and how to prepare. </w:t>
            </w:r>
          </w:p>
          <w:p w14:paraId="4BE44011" w14:textId="77777777" w:rsidR="00851323" w:rsidRPr="00BD16B4" w:rsidRDefault="00851323" w:rsidP="00051D1D">
            <w:pPr>
              <w:pStyle w:val="Boxbullet"/>
              <w:spacing w:after="80"/>
            </w:pPr>
            <w:r w:rsidRPr="00BD16B4">
              <w:t xml:space="preserve">Develop the Health National Adaptation Plan. </w:t>
            </w:r>
          </w:p>
          <w:p w14:paraId="0E7AA738" w14:textId="77777777" w:rsidR="00851323" w:rsidRPr="00BD16B4" w:rsidRDefault="00851323" w:rsidP="00F31129">
            <w:pPr>
              <w:pStyle w:val="Boxbullet"/>
              <w:spacing w:after="180"/>
            </w:pPr>
            <w:r w:rsidRPr="00BD16B4">
              <w:t>Modernise the emergency management system.</w:t>
            </w:r>
          </w:p>
        </w:tc>
      </w:tr>
    </w:tbl>
    <w:p w14:paraId="16147845" w14:textId="77777777" w:rsidR="00851323" w:rsidRPr="00BD16B4" w:rsidRDefault="00851323" w:rsidP="00851323">
      <w:pPr>
        <w:pStyle w:val="BodyText"/>
        <w:spacing w:after="0"/>
      </w:pP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851323" w:rsidRPr="00BD16B4" w14:paraId="37EEC536" w14:textId="77777777" w:rsidTr="00F31129">
        <w:tc>
          <w:tcPr>
            <w:tcW w:w="8505" w:type="dxa"/>
            <w:shd w:val="clear" w:color="auto" w:fill="D5EBE8" w:themeFill="accent3"/>
          </w:tcPr>
          <w:p w14:paraId="2A569CED" w14:textId="77777777" w:rsidR="00851323" w:rsidRPr="00BD16B4" w:rsidRDefault="00851323" w:rsidP="004E632F">
            <w:pPr>
              <w:pStyle w:val="Boxheading"/>
              <w:keepNext w:val="0"/>
            </w:pPr>
            <w:r w:rsidRPr="00BD16B4">
              <w:t>Updating the emergency management system</w:t>
            </w:r>
          </w:p>
          <w:p w14:paraId="57CEE9DE" w14:textId="77777777" w:rsidR="00851323" w:rsidRPr="00BD16B4" w:rsidRDefault="00851323" w:rsidP="00F31129">
            <w:pPr>
              <w:pStyle w:val="Boxtext"/>
              <w:spacing w:after="180"/>
            </w:pPr>
            <w:r w:rsidRPr="00BD16B4">
              <w:t>The National Emergency Management Agency ‘plans to modernise emergency management’, including through legislative reforms, working with communities and organisations, clearer roles and responsibilities, and a strengthened partnership with Māori. This work seeks to improve the regulatory framework that underpins emergency management in Aotearoa New Zealand. It will also sharpen the focus on disproportionately affected groups by strengthening community resilience.</w:t>
            </w:r>
          </w:p>
        </w:tc>
      </w:tr>
    </w:tbl>
    <w:p w14:paraId="5E10811B" w14:textId="77777777" w:rsidR="00851323" w:rsidRPr="00BD16B4" w:rsidRDefault="00851323" w:rsidP="00A11C82">
      <w:pPr>
        <w:pStyle w:val="Heading5"/>
        <w:spacing w:before="400"/>
      </w:pPr>
      <w:r w:rsidRPr="00BD16B4">
        <w:lastRenderedPageBreak/>
        <w:t xml:space="preserve">Economy and finance </w:t>
      </w:r>
    </w:p>
    <w:p w14:paraId="3A35D681" w14:textId="77777777" w:rsidR="00851323" w:rsidRPr="00BD16B4" w:rsidRDefault="00851323" w:rsidP="00851323">
      <w:pPr>
        <w:pStyle w:val="BodyText"/>
        <w:spacing w:after="100"/>
        <w:rPr>
          <w:color w:val="000000"/>
        </w:rPr>
      </w:pPr>
      <w:r w:rsidRPr="00BD16B4">
        <w:t>Climate change impacts, such as increased floods, droughts and sea-level rise, are already affecting the Aotearoa New Zealand economy. The contribution of climate change to flood and drought from 2007 to 2017 cost $840 million in insured damages and economic losses.</w:t>
      </w:r>
      <w:r w:rsidRPr="00BD16B4">
        <w:rPr>
          <w:rStyle w:val="FootnoteReference"/>
        </w:rPr>
        <w:footnoteReference w:id="314"/>
      </w:r>
    </w:p>
    <w:p w14:paraId="3E72E9B5" w14:textId="77777777" w:rsidR="00851323" w:rsidRPr="00BD16B4" w:rsidRDefault="00851323" w:rsidP="00851323">
      <w:pPr>
        <w:pStyle w:val="BodyText"/>
        <w:spacing w:after="100"/>
        <w:rPr>
          <w:rFonts w:cstheme="minorHAnsi"/>
        </w:rPr>
      </w:pPr>
      <w:r w:rsidRPr="00BD16B4">
        <w:rPr>
          <w:rFonts w:cstheme="minorHAnsi"/>
        </w:rPr>
        <w:t>The economy and finance actions address risks to government from economic costs associated with lost productivity, disaster relief expenditure and unfunded contingent liabilities and risks to the financial system from instability.</w:t>
      </w:r>
    </w:p>
    <w:p w14:paraId="597C8C3C" w14:textId="77777777" w:rsidR="00851323" w:rsidRPr="00BD16B4" w:rsidRDefault="00851323" w:rsidP="00851323">
      <w:pPr>
        <w:pStyle w:val="BodyText"/>
        <w:spacing w:after="100"/>
        <w:rPr>
          <w:rFonts w:cstheme="minorHAnsi"/>
        </w:rPr>
      </w:pPr>
      <w:r w:rsidRPr="00BD16B4">
        <w:rPr>
          <w:rFonts w:cstheme="minorHAnsi"/>
        </w:rPr>
        <w:t xml:space="preserve">New Zealand’s objectives are: </w:t>
      </w:r>
    </w:p>
    <w:p w14:paraId="1A1CBE94" w14:textId="77777777" w:rsidR="00851323" w:rsidRPr="00BD16B4" w:rsidRDefault="00851323" w:rsidP="0011037B">
      <w:pPr>
        <w:pStyle w:val="Bullet"/>
        <w:spacing w:after="100"/>
      </w:pPr>
      <w:r w:rsidRPr="00BD16B4">
        <w:t>Sectors, businesses and regional economies can adapt. Participants can identify risks and take action.</w:t>
      </w:r>
    </w:p>
    <w:p w14:paraId="5BC7F301" w14:textId="77777777" w:rsidR="00851323" w:rsidRPr="00BD16B4" w:rsidRDefault="00851323" w:rsidP="0011037B">
      <w:pPr>
        <w:pStyle w:val="Bullet"/>
        <w:spacing w:after="240"/>
      </w:pPr>
      <w:r w:rsidRPr="00BD16B4">
        <w:t>A resilient financial system underpins economic stability and growth. Participants can identify, disclose and manage climate risks.</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851323" w:rsidRPr="00BD16B4" w14:paraId="274F5492" w14:textId="77777777" w:rsidTr="00F31129">
        <w:tc>
          <w:tcPr>
            <w:tcW w:w="8505" w:type="dxa"/>
            <w:shd w:val="clear" w:color="auto" w:fill="D5EBE8" w:themeFill="accent3"/>
          </w:tcPr>
          <w:p w14:paraId="20C252E5" w14:textId="77777777" w:rsidR="00851323" w:rsidRPr="00BD16B4" w:rsidRDefault="00851323" w:rsidP="00F31129">
            <w:pPr>
              <w:pStyle w:val="Boxheading"/>
              <w:keepNext w:val="0"/>
              <w:spacing w:after="120"/>
            </w:pPr>
            <w:r w:rsidRPr="00BD16B4">
              <w:t>Critical actions being taken to meet these objectives are:</w:t>
            </w:r>
          </w:p>
          <w:p w14:paraId="59F2D363" w14:textId="77777777" w:rsidR="00851323" w:rsidRPr="00BD16B4" w:rsidRDefault="00851323" w:rsidP="00051D1D">
            <w:pPr>
              <w:pStyle w:val="Boxbullet"/>
              <w:spacing w:after="80"/>
            </w:pPr>
            <w:r w:rsidRPr="00BD16B4">
              <w:t xml:space="preserve">Deliver the </w:t>
            </w:r>
            <w:r w:rsidRPr="00BD16B4">
              <w:rPr>
                <w:i/>
                <w:iCs/>
              </w:rPr>
              <w:t>New Zealand Freight and Supply Chain Strategy</w:t>
            </w:r>
            <w:r w:rsidRPr="00BD16B4">
              <w:t xml:space="preserve">. </w:t>
            </w:r>
          </w:p>
          <w:p w14:paraId="53A45FA5" w14:textId="77777777" w:rsidR="00851323" w:rsidRPr="00BD16B4" w:rsidRDefault="00851323" w:rsidP="00051D1D">
            <w:pPr>
              <w:pStyle w:val="Boxbullet"/>
              <w:spacing w:after="80"/>
            </w:pPr>
            <w:r w:rsidRPr="00BD16B4">
              <w:t xml:space="preserve">Develop options for home flood insurance. </w:t>
            </w:r>
          </w:p>
          <w:p w14:paraId="63F61F3F" w14:textId="77777777" w:rsidR="00851323" w:rsidRPr="00BD16B4" w:rsidRDefault="00851323" w:rsidP="00051D1D">
            <w:pPr>
              <w:pStyle w:val="Boxbullet"/>
              <w:spacing w:after="80"/>
            </w:pPr>
            <w:r w:rsidRPr="00BD16B4">
              <w:t>Help financial entities to better identify and manage their climate risks and support financial stability.</w:t>
            </w:r>
          </w:p>
          <w:p w14:paraId="741999B6" w14:textId="77777777" w:rsidR="00851323" w:rsidRPr="00BD16B4" w:rsidRDefault="00851323" w:rsidP="00051D1D">
            <w:pPr>
              <w:pStyle w:val="Boxbullet"/>
              <w:spacing w:after="80"/>
            </w:pPr>
            <w:r w:rsidRPr="00BD16B4">
              <w:t>Support high-quality implementation of climate-related disclosures and explore expansion.</w:t>
            </w:r>
          </w:p>
          <w:p w14:paraId="152AD58E" w14:textId="77777777" w:rsidR="00851323" w:rsidRPr="00BD16B4" w:rsidRDefault="00851323" w:rsidP="00F31129">
            <w:pPr>
              <w:pStyle w:val="Boxbullet"/>
              <w:spacing w:after="180"/>
            </w:pPr>
            <w:r w:rsidRPr="00BD16B4">
              <w:t>Strengthen the fisheries management system and support the aquaculture sector to sustainably grow.</w:t>
            </w:r>
          </w:p>
        </w:tc>
      </w:tr>
    </w:tbl>
    <w:p w14:paraId="296C306B" w14:textId="77777777" w:rsidR="00851323" w:rsidRPr="00BD16B4" w:rsidRDefault="00851323" w:rsidP="00A11C82">
      <w:pPr>
        <w:pStyle w:val="Heading3"/>
        <w:spacing w:before="440"/>
        <w:rPr>
          <w:rFonts w:asciiTheme="minorHAnsi" w:hAnsiTheme="minorHAnsi"/>
          <w:color w:val="000000" w:themeColor="text1"/>
          <w:sz w:val="20"/>
          <w:szCs w:val="20"/>
        </w:rPr>
      </w:pPr>
      <w:r w:rsidRPr="00BD16B4">
        <w:t>6.6.3</w:t>
      </w:r>
      <w:r w:rsidRPr="00BD16B4">
        <w:tab/>
        <w:t>Regional and local plans, policies and strategies</w:t>
      </w:r>
    </w:p>
    <w:p w14:paraId="368A485F" w14:textId="77777777" w:rsidR="00851323" w:rsidRPr="00BD16B4" w:rsidRDefault="00851323" w:rsidP="004E1B8C">
      <w:pPr>
        <w:pStyle w:val="Heading4"/>
      </w:pPr>
      <w:r w:rsidRPr="00BD16B4">
        <w:t>Regional and local adaptation policy frameworks</w:t>
      </w:r>
    </w:p>
    <w:p w14:paraId="720733A2" w14:textId="77777777" w:rsidR="00851323" w:rsidRPr="00BD16B4" w:rsidRDefault="00851323" w:rsidP="00851323">
      <w:pPr>
        <w:pStyle w:val="BodyText"/>
      </w:pPr>
      <w:r w:rsidRPr="00BD16B4">
        <w:t>As of October 2022, 17 councils across Aotearoa New Zealand have declared climate emergencies, covering 75.3 per cent of the New Zealand population. The 2021 Ministry for the Environment adaptation preparedness report shows that 18 per cent of councils (11 of 61 surveyed) have some sort of plan or strategy to increase resilience to climate impacts.</w:t>
      </w:r>
      <w:r w:rsidRPr="00BD16B4">
        <w:rPr>
          <w:rStyle w:val="FootnoteReference"/>
        </w:rPr>
        <w:footnoteReference w:id="315"/>
      </w:r>
      <w:r w:rsidRPr="00BD16B4">
        <w:t xml:space="preserve"> Out of New Zealand’s 15 regional and unitary councils, two have climate adaptation strategies in place.</w:t>
      </w:r>
      <w:r w:rsidRPr="00BD16B4">
        <w:rPr>
          <w:rFonts w:eastAsia="Times New Roman"/>
        </w:rPr>
        <w:t xml:space="preserve"> </w:t>
      </w:r>
    </w:p>
    <w:p w14:paraId="1954C6DD" w14:textId="72654D8E" w:rsidR="00851323" w:rsidRPr="00BD16B4" w:rsidRDefault="00851323" w:rsidP="00851323">
      <w:pPr>
        <w:pStyle w:val="Heading2"/>
      </w:pPr>
      <w:bookmarkStart w:id="326" w:name="_Toc121774653"/>
      <w:r w:rsidRPr="00BD16B4">
        <w:lastRenderedPageBreak/>
        <w:t>6.7</w:t>
      </w:r>
      <w:r w:rsidRPr="00BD16B4">
        <w:tab/>
        <w:t xml:space="preserve">Use of </w:t>
      </w:r>
      <w:r w:rsidRPr="00BD16B4">
        <w:rPr>
          <w:rStyle w:val="Heading3Char"/>
          <w:b/>
          <w:bCs/>
          <w:sz w:val="36"/>
        </w:rPr>
        <w:t>science, mātauranga Māori and local knowledge in adaptation</w:t>
      </w:r>
      <w:bookmarkEnd w:id="326"/>
    </w:p>
    <w:p w14:paraId="645DCD3F" w14:textId="77777777" w:rsidR="00851323" w:rsidRPr="00BD16B4" w:rsidRDefault="00851323" w:rsidP="004E1B8C">
      <w:pPr>
        <w:pStyle w:val="Heading4"/>
      </w:pPr>
      <w:r w:rsidRPr="00BD16B4">
        <w:t>Use of best available knowledge and science is integrated into adaptation</w:t>
      </w:r>
    </w:p>
    <w:p w14:paraId="7D97D63B" w14:textId="77777777" w:rsidR="00851323" w:rsidRPr="00BD16B4" w:rsidRDefault="00851323" w:rsidP="004879FA">
      <w:pPr>
        <w:pStyle w:val="BodyText"/>
        <w:spacing w:after="100"/>
      </w:pPr>
      <w:r w:rsidRPr="00BD16B4">
        <w:t xml:space="preserve">To date, much effort has been made to base adaptation policy on best available knowledge and science. Both the </w:t>
      </w:r>
      <w:r w:rsidRPr="00BD16B4" w:rsidDel="00933DF3">
        <w:t>risk assessment</w:t>
      </w:r>
      <w:r w:rsidRPr="00BD16B4">
        <w:t xml:space="preserve"> and Climate Change Adaptation Technical Working Group reports were written by leading experts in the adaptation field. Guidance relevant to adaptation produced by the Government is based on the latest findings from the IPCC’s AR6 WGI (Physical Science Basis) and WGII (Impacts, Adaptation and Vulnerability) reports. </w:t>
      </w:r>
    </w:p>
    <w:p w14:paraId="4502884C" w14:textId="40ACA8FC" w:rsidR="00851323" w:rsidRPr="00BD16B4" w:rsidRDefault="00851323" w:rsidP="004879FA">
      <w:pPr>
        <w:pStyle w:val="BodyText"/>
        <w:spacing w:after="100"/>
      </w:pPr>
      <w:r w:rsidRPr="00BD16B4">
        <w:t>Further adaptation progress will be supported by science and mātauranga Māori because the</w:t>
      </w:r>
      <w:r w:rsidR="004E632F" w:rsidRPr="00BD16B4">
        <w:rPr>
          <w:rFonts w:cstheme="minorHAnsi"/>
        </w:rPr>
        <w:t> </w:t>
      </w:r>
      <w:r w:rsidRPr="00BD16B4">
        <w:rPr>
          <w:rFonts w:cstheme="minorHAnsi"/>
        </w:rPr>
        <w:t xml:space="preserve">national adaptation </w:t>
      </w:r>
      <w:r w:rsidRPr="00BD16B4">
        <w:t xml:space="preserve">plan enables the development and use of science and knowledge for adaptation through many different actions, which are described below. </w:t>
      </w:r>
    </w:p>
    <w:p w14:paraId="0D33B6FC" w14:textId="77777777" w:rsidR="00851323" w:rsidRPr="00BD16B4" w:rsidRDefault="00851323" w:rsidP="00BB33B9">
      <w:pPr>
        <w:pStyle w:val="Heading5"/>
      </w:pPr>
      <w:r w:rsidRPr="00BD16B4">
        <w:t>Mātauranga Māori</w:t>
      </w:r>
    </w:p>
    <w:p w14:paraId="13FFA031" w14:textId="77777777" w:rsidR="00851323" w:rsidRPr="00BD16B4" w:rsidRDefault="00851323" w:rsidP="004879FA">
      <w:pPr>
        <w:pStyle w:val="BodyText"/>
        <w:spacing w:after="100"/>
      </w:pPr>
      <w:r w:rsidRPr="00BD16B4">
        <w:t xml:space="preserve">Mātauranga Māori is the modern term for traditional Māori knowledge. It provides a valuable lens for identifying current and future climate impacts on natural and human systems, as well as for planning and developing solutions. </w:t>
      </w:r>
      <w:r w:rsidRPr="00BD16B4">
        <w:rPr>
          <w:rFonts w:cstheme="minorHAnsi"/>
        </w:rPr>
        <w:t>Several proposed actions will progress the development of iwi/Māori climate data and information. These include actions that focus on mātauranga Māori environmental indicators, iwi/Māori socio</w:t>
      </w:r>
      <w:r w:rsidRPr="00BD16B4">
        <w:rPr>
          <w:rFonts w:cstheme="minorHAnsi"/>
        </w:rPr>
        <w:noBreakHyphen/>
        <w:t>economic risk and vulnerability assessment, mapping of taonga, and the extension of mapping the cultural footprint against high-impact weather</w:t>
      </w:r>
      <w:r w:rsidRPr="00BD16B4">
        <w:t>.</w:t>
      </w:r>
    </w:p>
    <w:p w14:paraId="50B12595" w14:textId="77777777" w:rsidR="00851323" w:rsidRPr="00BD16B4" w:rsidRDefault="00851323" w:rsidP="00BB33B9">
      <w:pPr>
        <w:pStyle w:val="Heading5"/>
        <w:rPr>
          <w:rFonts w:eastAsia="Calibri Light"/>
        </w:rPr>
      </w:pPr>
      <w:r w:rsidRPr="00BD16B4">
        <w:rPr>
          <w:rFonts w:eastAsia="Calibri Light"/>
        </w:rPr>
        <w:t>Science and local knowledge</w:t>
      </w:r>
    </w:p>
    <w:p w14:paraId="36FB9E4B" w14:textId="77777777" w:rsidR="00851323" w:rsidRPr="00BD16B4" w:rsidRDefault="00851323" w:rsidP="004879FA">
      <w:pPr>
        <w:pStyle w:val="BodyText"/>
        <w:spacing w:after="100"/>
      </w:pPr>
      <w:r w:rsidRPr="00BD16B4">
        <w:t xml:space="preserve">The national adaptation plan incorporates the use of science through actions that deliver scientific information to people, along with actions that use and develop science and knowledge to deliver adaptation. For example, the plan details the research needed to close the adaptation knowledge gaps noted in the </w:t>
      </w:r>
      <w:r w:rsidRPr="00BD16B4" w:rsidDel="00933DF3">
        <w:t>risk assessment</w:t>
      </w:r>
      <w:r w:rsidRPr="00BD16B4">
        <w:t>, over the short and long term. Up to 2025, research priorities are:</w:t>
      </w:r>
    </w:p>
    <w:p w14:paraId="6DF482ED" w14:textId="77777777" w:rsidR="00851323" w:rsidRPr="00BD16B4" w:rsidRDefault="00851323" w:rsidP="004879FA">
      <w:pPr>
        <w:pStyle w:val="Bullet"/>
        <w:spacing w:after="100"/>
      </w:pPr>
      <w:r w:rsidRPr="00BD16B4">
        <w:t xml:space="preserve">consolidate existing data and make them open access </w:t>
      </w:r>
    </w:p>
    <w:p w14:paraId="584FBC93" w14:textId="77777777" w:rsidR="00851323" w:rsidRPr="00BD16B4" w:rsidRDefault="00851323" w:rsidP="004879FA">
      <w:pPr>
        <w:pStyle w:val="Bullet"/>
        <w:spacing w:after="100"/>
      </w:pPr>
      <w:r w:rsidRPr="00BD16B4">
        <w:t xml:space="preserve">complete priority datasets </w:t>
      </w:r>
    </w:p>
    <w:p w14:paraId="0602449F" w14:textId="77777777" w:rsidR="00851323" w:rsidRPr="00BD16B4" w:rsidRDefault="00851323" w:rsidP="004879FA">
      <w:pPr>
        <w:pStyle w:val="Bullet"/>
        <w:spacing w:after="100"/>
      </w:pPr>
      <w:r w:rsidRPr="00BD16B4">
        <w:t xml:space="preserve">start national networks of long-term monitoring of natural environments </w:t>
      </w:r>
    </w:p>
    <w:p w14:paraId="200F4CD9" w14:textId="77777777" w:rsidR="00851323" w:rsidRPr="00BD16B4" w:rsidRDefault="00851323" w:rsidP="0011037B">
      <w:pPr>
        <w:pStyle w:val="Bullet"/>
      </w:pPr>
      <w:r w:rsidRPr="00BD16B4">
        <w:t xml:space="preserve">start and complete vulnerability studies. </w:t>
      </w:r>
    </w:p>
    <w:p w14:paraId="0603E672" w14:textId="77777777" w:rsidR="00851323" w:rsidRPr="00BD16B4" w:rsidRDefault="00851323" w:rsidP="00851323">
      <w:pPr>
        <w:pStyle w:val="BodyText"/>
        <w:rPr>
          <w:rFonts w:eastAsia="Lato" w:cs="Lato"/>
        </w:rPr>
      </w:pPr>
      <w:r w:rsidRPr="00BD16B4">
        <w:t>To deliver scientific information to all New Zealanders, the national adaptation plan will provide</w:t>
      </w:r>
      <w:r w:rsidRPr="00BD16B4">
        <w:rPr>
          <w:rFonts w:eastAsia="Lato" w:cs="Lato"/>
        </w:rPr>
        <w:t xml:space="preserve"> </w:t>
      </w:r>
      <w:r w:rsidRPr="00BD16B4">
        <w:rPr>
          <w:rFonts w:eastAsia="Lato"/>
        </w:rPr>
        <w:t xml:space="preserve">access to the latest global climate projections data from the IPCC AR6 report, which will have been scaled down to the Aotearoa New Zealand region, and guidance based on the earlier AR5 report. Information on natural hazards will be provided through land reports procured when people purchase property. </w:t>
      </w:r>
    </w:p>
    <w:p w14:paraId="5EAC4D13" w14:textId="77777777" w:rsidR="00851323" w:rsidRPr="00BD16B4" w:rsidRDefault="00851323" w:rsidP="00851323">
      <w:pPr>
        <w:pStyle w:val="BodyText"/>
      </w:pPr>
      <w:r w:rsidRPr="00BD16B4">
        <w:t xml:space="preserve">An example of science and local knowledge being used together is a programme called Jobs for Nature, which provides capacity to local communities to restore indigenous ecosystems. </w:t>
      </w:r>
    </w:p>
    <w:p w14:paraId="1315AB72" w14:textId="77777777" w:rsidR="00851323" w:rsidRPr="00BD16B4" w:rsidRDefault="00851323" w:rsidP="00F06A7D">
      <w:pPr>
        <w:pStyle w:val="BodyText"/>
        <w:spacing w:before="100"/>
      </w:pPr>
      <w:r w:rsidRPr="00BD16B4">
        <w:rPr>
          <w:rFonts w:eastAsia="Lato"/>
        </w:rPr>
        <w:t xml:space="preserve">Adaptation in New Zealand is also prioritised through actions in the national adaptation plan that develop and fund science and knowledge through programmes </w:t>
      </w:r>
      <w:r w:rsidRPr="00BD16B4">
        <w:t>that support innovative adaptation.</w:t>
      </w:r>
      <w:r w:rsidRPr="00BD16B4">
        <w:rPr>
          <w:rFonts w:eastAsia="Lato"/>
        </w:rPr>
        <w:t xml:space="preserve"> The work programme Te Ara Paerangi – Future Pathways for the research, science </w:t>
      </w:r>
      <w:r w:rsidRPr="00BD16B4">
        <w:rPr>
          <w:rFonts w:eastAsia="Lato"/>
        </w:rPr>
        <w:lastRenderedPageBreak/>
        <w:t>and innovation system is a considerable shift in how New Zealand funds science.</w:t>
      </w:r>
      <w:r w:rsidRPr="00BD16B4">
        <w:rPr>
          <w:rStyle w:val="FootnoteReference"/>
        </w:rPr>
        <w:footnoteReference w:id="316"/>
      </w:r>
      <w:r w:rsidRPr="00BD16B4">
        <w:rPr>
          <w:rFonts w:eastAsia="Lato"/>
        </w:rPr>
        <w:t xml:space="preserve"> It</w:t>
      </w:r>
      <w:r w:rsidRPr="00BD16B4">
        <w:t xml:space="preserve"> includes focusing resources on national goals, such as climate change, and addressing other issues facing the research</w:t>
      </w:r>
      <w:r w:rsidRPr="00BD16B4">
        <w:rPr>
          <w:rFonts w:eastAsia="Lato"/>
        </w:rPr>
        <w:t>, science and innovation</w:t>
      </w:r>
      <w:r w:rsidRPr="00BD16B4">
        <w:t xml:space="preserve"> system, such as how best to honour Tiriti obligations, system funding and incentives, workforce and institutional design.</w:t>
      </w:r>
    </w:p>
    <w:p w14:paraId="415EEA36" w14:textId="77777777" w:rsidR="00851323" w:rsidRPr="00BD16B4" w:rsidRDefault="00851323" w:rsidP="00F06A7D">
      <w:pPr>
        <w:pStyle w:val="BodyText"/>
        <w:spacing w:before="100" w:after="240"/>
        <w:rPr>
          <w:rFonts w:eastAsia="Lato"/>
        </w:rPr>
      </w:pPr>
      <w:r w:rsidRPr="00BD16B4">
        <w:rPr>
          <w:rFonts w:eastAsia="Lato"/>
          <w:spacing w:val="-2"/>
        </w:rPr>
        <w:t>Innovative work is also funded through programmes such as the Sustainable Land Management</w:t>
      </w:r>
      <w:r w:rsidRPr="00BD16B4">
        <w:rPr>
          <w:rFonts w:eastAsia="Lato"/>
        </w:rPr>
        <w:t xml:space="preserve"> and Climate Change and the Greenhouse Gas Inventory research programmes.</w:t>
      </w:r>
      <w:r w:rsidRPr="00BD16B4">
        <w:rPr>
          <w:rStyle w:val="FootnoteReference"/>
        </w:rPr>
        <w:footnoteReference w:id="317"/>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851323" w:rsidRPr="00BD16B4" w14:paraId="795B9956" w14:textId="77777777" w:rsidTr="00F31129">
        <w:tc>
          <w:tcPr>
            <w:tcW w:w="8505" w:type="dxa"/>
            <w:shd w:val="clear" w:color="auto" w:fill="D5EBE8" w:themeFill="accent3"/>
          </w:tcPr>
          <w:p w14:paraId="714C037D" w14:textId="77777777" w:rsidR="00851323" w:rsidRPr="00BD16B4" w:rsidRDefault="00851323" w:rsidP="00F06A7D">
            <w:pPr>
              <w:pStyle w:val="Boxheading"/>
              <w:keepNext w:val="0"/>
              <w:spacing w:before="180"/>
            </w:pPr>
            <w:r w:rsidRPr="00BD16B4">
              <w:t xml:space="preserve">National Science Challenges </w:t>
            </w:r>
          </w:p>
          <w:p w14:paraId="0C2EC581" w14:textId="77777777" w:rsidR="00851323" w:rsidRPr="00BD16B4" w:rsidRDefault="00851323" w:rsidP="00F06A7D">
            <w:pPr>
              <w:pStyle w:val="Boxtext"/>
              <w:spacing w:before="80" w:after="180"/>
            </w:pPr>
            <w:r w:rsidRPr="00BD16B4">
              <w:t>The National Science Challenges conclude in 2024. The projects with climate adaptation research are the: Deep South Challenge, Resilience to Nature’s Challenges, Our Land and Water, New Zealand’s Biological Heritage, Sustainable Seas, and Building Better Homes, Towns and Cities. The results will likely be ready in time to inform the second national climate change risk assessment and ongoing national adaptation plan work.</w:t>
            </w:r>
          </w:p>
        </w:tc>
      </w:tr>
    </w:tbl>
    <w:p w14:paraId="4A167047" w14:textId="77777777" w:rsidR="00851323" w:rsidRPr="00BD16B4" w:rsidRDefault="00851323" w:rsidP="00104995">
      <w:pPr>
        <w:pStyle w:val="Heading4"/>
        <w:spacing w:before="360"/>
      </w:pPr>
      <w:r w:rsidRPr="00BD16B4">
        <w:t>Working together to adapt</w:t>
      </w:r>
    </w:p>
    <w:p w14:paraId="59DE2D55" w14:textId="77777777" w:rsidR="00851323" w:rsidRPr="00BD16B4" w:rsidRDefault="00851323" w:rsidP="00F06A7D">
      <w:pPr>
        <w:pStyle w:val="BodyText"/>
        <w:spacing w:before="100" w:after="100"/>
      </w:pPr>
      <w:r w:rsidRPr="00BD16B4">
        <w:t xml:space="preserve">New Zealand’s long-term adaptation strategy outlines the roles different stakeholders play in </w:t>
      </w:r>
      <w:r w:rsidRPr="00BD16B4">
        <w:rPr>
          <w:spacing w:val="-2"/>
        </w:rPr>
        <w:t>adaptation. Central and local government, Māori, the private sector, the research and scientific</w:t>
      </w:r>
      <w:r w:rsidRPr="00BD16B4">
        <w:t xml:space="preserve"> community and communities and individuals all have roles and responsibilities for managing risk and taking action (for examples, see table 6.3).</w:t>
      </w:r>
    </w:p>
    <w:p w14:paraId="3B7DF20B" w14:textId="77777777" w:rsidR="00851323" w:rsidRPr="00BD16B4" w:rsidRDefault="00851323" w:rsidP="00F06A7D">
      <w:pPr>
        <w:pStyle w:val="BodyText"/>
        <w:spacing w:before="100" w:after="100"/>
        <w:rPr>
          <w:rFonts w:cstheme="minorHAnsi"/>
        </w:rPr>
      </w:pPr>
      <w:r w:rsidRPr="00BD16B4">
        <w:rPr>
          <w:rFonts w:cstheme="minorHAnsi"/>
        </w:rPr>
        <w:t xml:space="preserve">Engaging in adaptation action with local government will be essential because local government organisations are on the front line in managing climate impacts. Inclusive engagement, particularly with those disproportionately affected by climate change, will help to ensure adaptation actions lead to the intended outcomes. </w:t>
      </w:r>
    </w:p>
    <w:p w14:paraId="69BB5381" w14:textId="77777777" w:rsidR="00851323" w:rsidRPr="00BD16B4" w:rsidRDefault="00851323" w:rsidP="00BB7302">
      <w:pPr>
        <w:pStyle w:val="Tableheading"/>
      </w:pPr>
      <w:bookmarkStart w:id="327" w:name="_Toc121773821"/>
      <w:r w:rsidRPr="00BD16B4">
        <w:t xml:space="preserve">Table 6.3: </w:t>
      </w:r>
      <w:r w:rsidRPr="00BD16B4">
        <w:tab/>
        <w:t>Stakeholder roles and examples for adaptation in Aotearoa New Zealand</w:t>
      </w:r>
      <w:bookmarkEnd w:id="327"/>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1673"/>
        <w:gridCol w:w="3261"/>
        <w:gridCol w:w="3571"/>
      </w:tblGrid>
      <w:tr w:rsidR="00A11C82" w:rsidRPr="00BD16B4" w14:paraId="58701C99" w14:textId="77777777" w:rsidTr="00F31129">
        <w:trPr>
          <w:tblHeader/>
        </w:trPr>
        <w:tc>
          <w:tcPr>
            <w:tcW w:w="1673" w:type="dxa"/>
            <w:shd w:val="clear" w:color="auto" w:fill="1B556B" w:themeFill="text2"/>
            <w:vAlign w:val="bottom"/>
          </w:tcPr>
          <w:p w14:paraId="527F6EF4" w14:textId="77777777" w:rsidR="00851323" w:rsidRPr="00BD16B4" w:rsidRDefault="00851323" w:rsidP="00A11C82">
            <w:pPr>
              <w:pStyle w:val="TableTextBold0"/>
              <w:spacing w:before="40" w:after="40"/>
              <w:rPr>
                <w:color w:val="FFFFFF" w:themeColor="background1"/>
              </w:rPr>
            </w:pPr>
            <w:r w:rsidRPr="00BD16B4">
              <w:rPr>
                <w:color w:val="FFFFFF" w:themeColor="background1"/>
              </w:rPr>
              <w:t>Adaptation stakeholder</w:t>
            </w:r>
          </w:p>
        </w:tc>
        <w:tc>
          <w:tcPr>
            <w:tcW w:w="3261" w:type="dxa"/>
            <w:shd w:val="clear" w:color="auto" w:fill="1B556B" w:themeFill="text2"/>
            <w:vAlign w:val="bottom"/>
          </w:tcPr>
          <w:p w14:paraId="7DD0607A" w14:textId="77777777" w:rsidR="00851323" w:rsidRPr="00BD16B4" w:rsidRDefault="00851323" w:rsidP="00A11C82">
            <w:pPr>
              <w:pStyle w:val="TableTextBold0"/>
              <w:spacing w:before="40" w:after="40"/>
              <w:rPr>
                <w:color w:val="FFFFFF" w:themeColor="background1"/>
              </w:rPr>
            </w:pPr>
            <w:r w:rsidRPr="00BD16B4">
              <w:rPr>
                <w:color w:val="FFFFFF" w:themeColor="background1"/>
              </w:rPr>
              <w:t>Role</w:t>
            </w:r>
          </w:p>
        </w:tc>
        <w:tc>
          <w:tcPr>
            <w:tcW w:w="3571" w:type="dxa"/>
            <w:shd w:val="clear" w:color="auto" w:fill="1B556B" w:themeFill="text2"/>
            <w:vAlign w:val="bottom"/>
          </w:tcPr>
          <w:p w14:paraId="3E12205B" w14:textId="77777777" w:rsidR="00851323" w:rsidRPr="00BD16B4" w:rsidRDefault="00851323" w:rsidP="00A11C82">
            <w:pPr>
              <w:pStyle w:val="TableTextBold0"/>
              <w:spacing w:before="40" w:after="40"/>
              <w:rPr>
                <w:color w:val="FFFFFF" w:themeColor="background1"/>
              </w:rPr>
            </w:pPr>
            <w:r w:rsidRPr="00BD16B4">
              <w:rPr>
                <w:color w:val="FFFFFF" w:themeColor="background1"/>
              </w:rPr>
              <w:t xml:space="preserve">Example </w:t>
            </w:r>
          </w:p>
        </w:tc>
      </w:tr>
      <w:tr w:rsidR="00851323" w:rsidRPr="00BD16B4" w14:paraId="74B912FE" w14:textId="77777777" w:rsidTr="00F31129">
        <w:tc>
          <w:tcPr>
            <w:tcW w:w="1673" w:type="dxa"/>
          </w:tcPr>
          <w:p w14:paraId="6005F5BE" w14:textId="77777777" w:rsidR="00851323" w:rsidRPr="00BD16B4" w:rsidRDefault="00851323" w:rsidP="00F06A7D">
            <w:pPr>
              <w:pStyle w:val="TableText"/>
              <w:spacing w:before="40" w:after="40"/>
            </w:pPr>
            <w:r w:rsidRPr="00BD16B4">
              <w:t xml:space="preserve">Central government </w:t>
            </w:r>
          </w:p>
        </w:tc>
        <w:tc>
          <w:tcPr>
            <w:tcW w:w="3261" w:type="dxa"/>
          </w:tcPr>
          <w:p w14:paraId="5FB163E5" w14:textId="77777777" w:rsidR="00851323" w:rsidRPr="00BD16B4" w:rsidRDefault="00851323" w:rsidP="00F06A7D">
            <w:pPr>
              <w:pStyle w:val="TableText"/>
              <w:spacing w:before="40" w:after="40"/>
            </w:pPr>
            <w:r w:rsidRPr="00BD16B4">
              <w:t>Plays a leadership role and establishes policy and institutional settings that support effective adaptation.</w:t>
            </w:r>
          </w:p>
        </w:tc>
        <w:tc>
          <w:tcPr>
            <w:tcW w:w="3571" w:type="dxa"/>
          </w:tcPr>
          <w:p w14:paraId="33523B48" w14:textId="77777777" w:rsidR="00851323" w:rsidRPr="00BD16B4" w:rsidRDefault="00851323" w:rsidP="00F06A7D">
            <w:pPr>
              <w:pStyle w:val="TableText"/>
              <w:spacing w:before="40" w:after="40"/>
            </w:pPr>
            <w:r w:rsidRPr="00BD16B4">
              <w:t xml:space="preserve">Recently published a national adaptation plan: </w:t>
            </w:r>
            <w:r w:rsidRPr="00BD16B4">
              <w:rPr>
                <w:i/>
                <w:iCs/>
              </w:rPr>
              <w:t>Urutau, ka taurikura: Kia tū pakari a Aotearoa I ngā huringa āhuarangi/Adapt and thrive: building a climate-resilient New Zealand</w:t>
            </w:r>
            <w:r w:rsidRPr="00BD16B4">
              <w:rPr>
                <w:szCs w:val="18"/>
              </w:rPr>
              <w:t>.</w:t>
            </w:r>
            <w:r w:rsidRPr="00BD16B4">
              <w:rPr>
                <w:rStyle w:val="FootnoteReference"/>
                <w:rFonts w:asciiTheme="minorHAnsi" w:hAnsiTheme="minorHAnsi"/>
                <w:sz w:val="18"/>
                <w:szCs w:val="18"/>
              </w:rPr>
              <w:footnoteReference w:id="318"/>
            </w:r>
            <w:r w:rsidRPr="00BD16B4">
              <w:t xml:space="preserve"> </w:t>
            </w:r>
          </w:p>
        </w:tc>
      </w:tr>
      <w:tr w:rsidR="00851323" w:rsidRPr="00BD16B4" w14:paraId="73D6D95F" w14:textId="77777777" w:rsidTr="00F31129">
        <w:tc>
          <w:tcPr>
            <w:tcW w:w="1673" w:type="dxa"/>
          </w:tcPr>
          <w:p w14:paraId="7B1A924E" w14:textId="77777777" w:rsidR="00851323" w:rsidRPr="00BD16B4" w:rsidRDefault="00851323" w:rsidP="00F06A7D">
            <w:pPr>
              <w:pStyle w:val="TableText"/>
              <w:spacing w:before="40" w:after="40"/>
              <w:rPr>
                <w:szCs w:val="18"/>
              </w:rPr>
            </w:pPr>
            <w:r w:rsidRPr="00BD16B4">
              <w:rPr>
                <w:szCs w:val="18"/>
              </w:rPr>
              <w:t>Local government</w:t>
            </w:r>
          </w:p>
        </w:tc>
        <w:tc>
          <w:tcPr>
            <w:tcW w:w="3261" w:type="dxa"/>
          </w:tcPr>
          <w:p w14:paraId="456BBA3D" w14:textId="77777777" w:rsidR="00851323" w:rsidRPr="00BD16B4" w:rsidRDefault="00851323" w:rsidP="00F06A7D">
            <w:pPr>
              <w:pStyle w:val="TableText"/>
              <w:spacing w:before="40" w:after="40"/>
              <w:rPr>
                <w:szCs w:val="18"/>
              </w:rPr>
            </w:pPr>
            <w:r w:rsidRPr="00BD16B4">
              <w:rPr>
                <w:szCs w:val="18"/>
              </w:rPr>
              <w:t>On the front line in managing climate impacts and risks. Councils have functions and duties in relation to natural hazards, civil defence and emergency management, and improving community resilience.</w:t>
            </w:r>
          </w:p>
        </w:tc>
        <w:tc>
          <w:tcPr>
            <w:tcW w:w="3571" w:type="dxa"/>
          </w:tcPr>
          <w:p w14:paraId="50D49265" w14:textId="7CFF17B8" w:rsidR="00851323" w:rsidRPr="00BD16B4" w:rsidRDefault="00851323" w:rsidP="00F06A7D">
            <w:pPr>
              <w:pStyle w:val="TableText"/>
              <w:spacing w:before="40" w:after="40"/>
            </w:pPr>
            <w:r w:rsidRPr="00BD16B4">
              <w:t xml:space="preserve">Develops adaptation options for a vulnerable suburb of Dunedin through a joint initiative between councils called the </w:t>
            </w:r>
            <w:r w:rsidRPr="00BD16B4">
              <w:rPr>
                <w:rFonts w:asciiTheme="minorHAnsi" w:hAnsiTheme="minorHAnsi"/>
                <w:szCs w:val="18"/>
              </w:rPr>
              <w:t>South Dunedin Future Programme</w:t>
            </w:r>
            <w:r w:rsidRPr="00BD16B4">
              <w:rPr>
                <w:rStyle w:val="Hyperlink"/>
                <w:rFonts w:asciiTheme="minorHAnsi" w:hAnsiTheme="minorHAnsi"/>
                <w:szCs w:val="18"/>
              </w:rPr>
              <w:t>.</w:t>
            </w:r>
            <w:r w:rsidRPr="00BD16B4">
              <w:rPr>
                <w:rStyle w:val="FootnoteReference"/>
                <w:sz w:val="18"/>
                <w:szCs w:val="16"/>
              </w:rPr>
              <w:footnoteReference w:id="319"/>
            </w:r>
            <w:r w:rsidRPr="00BD16B4">
              <w:rPr>
                <w:rStyle w:val="Hyperlink"/>
                <w:rFonts w:asciiTheme="minorHAnsi" w:hAnsiTheme="minorHAnsi"/>
                <w:szCs w:val="18"/>
              </w:rPr>
              <w:t xml:space="preserve"> </w:t>
            </w:r>
          </w:p>
          <w:p w14:paraId="06011D8A" w14:textId="77777777" w:rsidR="00851323" w:rsidRPr="00BD16B4" w:rsidRDefault="00851323" w:rsidP="00F06A7D">
            <w:pPr>
              <w:pStyle w:val="TableText"/>
              <w:spacing w:before="40" w:after="40"/>
              <w:rPr>
                <w:szCs w:val="18"/>
              </w:rPr>
            </w:pPr>
            <w:r w:rsidRPr="00BD16B4">
              <w:rPr>
                <w:rStyle w:val="Hyperlink"/>
                <w:rFonts w:asciiTheme="minorHAnsi" w:hAnsiTheme="minorHAnsi"/>
                <w:color w:val="auto"/>
                <w:szCs w:val="18"/>
              </w:rPr>
              <w:t>Also, an example of how councils are responding to coastal erosion is</w:t>
            </w:r>
            <w:r w:rsidRPr="00BD16B4">
              <w:rPr>
                <w:rStyle w:val="Hyperlink"/>
                <w:rFonts w:asciiTheme="minorHAnsi" w:hAnsiTheme="minorHAnsi"/>
                <w:szCs w:val="18"/>
              </w:rPr>
              <w:t xml:space="preserve"> </w:t>
            </w:r>
            <w:r w:rsidRPr="00BD16B4">
              <w:rPr>
                <w:szCs w:val="18"/>
              </w:rPr>
              <w:t>Clifton to Tangoio Coastal Hazards Strategy 2120</w:t>
            </w:r>
            <w:r w:rsidRPr="00BD16B4">
              <w:rPr>
                <w:rStyle w:val="Hyperlink"/>
                <w:rFonts w:asciiTheme="minorHAnsi" w:hAnsiTheme="minorHAnsi"/>
                <w:szCs w:val="18"/>
              </w:rPr>
              <w:t>.</w:t>
            </w:r>
            <w:r w:rsidRPr="00BD16B4">
              <w:rPr>
                <w:rStyle w:val="FootnoteReference"/>
                <w:sz w:val="18"/>
                <w:szCs w:val="16"/>
              </w:rPr>
              <w:footnoteReference w:id="320"/>
            </w:r>
          </w:p>
        </w:tc>
      </w:tr>
      <w:tr w:rsidR="00851323" w:rsidRPr="00BD16B4" w14:paraId="782D1D56" w14:textId="77777777" w:rsidTr="00F31129">
        <w:tc>
          <w:tcPr>
            <w:tcW w:w="1673" w:type="dxa"/>
          </w:tcPr>
          <w:p w14:paraId="145E1217" w14:textId="77777777" w:rsidR="00851323" w:rsidRPr="00BD16B4" w:rsidRDefault="00851323" w:rsidP="00D04CF7">
            <w:pPr>
              <w:pStyle w:val="TableText"/>
              <w:spacing w:after="40"/>
              <w:rPr>
                <w:szCs w:val="18"/>
              </w:rPr>
            </w:pPr>
            <w:r w:rsidRPr="00BD16B4">
              <w:rPr>
                <w:szCs w:val="18"/>
              </w:rPr>
              <w:lastRenderedPageBreak/>
              <w:t>Māori</w:t>
            </w:r>
          </w:p>
        </w:tc>
        <w:tc>
          <w:tcPr>
            <w:tcW w:w="3261" w:type="dxa"/>
          </w:tcPr>
          <w:p w14:paraId="77E8CA81" w14:textId="77777777" w:rsidR="00851323" w:rsidRPr="00BD16B4" w:rsidRDefault="00851323" w:rsidP="00D04CF7">
            <w:pPr>
              <w:pStyle w:val="TableText"/>
              <w:spacing w:after="40"/>
              <w:rPr>
                <w:szCs w:val="18"/>
              </w:rPr>
            </w:pPr>
            <w:r w:rsidRPr="00BD16B4">
              <w:rPr>
                <w:szCs w:val="18"/>
              </w:rPr>
              <w:t>Have a unique role to play as Tiriti o Waitangi (Treaty of Waitangi) partners, tangata whenua (people of the land, local indigenous people) and kaitiaki (guardians, caretakers, managers, trustees) of their ancestral and cultural landscape. The long-term adaptation strategy sets out how the Government will adapt in partnership with Māori, including elevating te ao Māori (the Māori world) and mātauranga Māori (Māori knowledge systems and worldviews, including traditional concepts) in the adaptation process and empower Māori in planning for Māori, by Māori.</w:t>
            </w:r>
          </w:p>
        </w:tc>
        <w:tc>
          <w:tcPr>
            <w:tcW w:w="3571" w:type="dxa"/>
          </w:tcPr>
          <w:p w14:paraId="38ADA203" w14:textId="77777777" w:rsidR="00851323" w:rsidRPr="00BD16B4" w:rsidRDefault="00851323" w:rsidP="00D04CF7">
            <w:pPr>
              <w:pStyle w:val="TableText"/>
              <w:spacing w:after="40"/>
              <w:rPr>
                <w:szCs w:val="18"/>
              </w:rPr>
            </w:pPr>
            <w:r w:rsidRPr="00BD16B4">
              <w:rPr>
                <w:szCs w:val="18"/>
              </w:rPr>
              <w:t>Climate action for Ngaa Rauru Kiitahi, a small iwi in south Taranaki, is encapsulated in their recent climate change strategy.</w:t>
            </w:r>
            <w:r w:rsidRPr="00BD16B4">
              <w:rPr>
                <w:rStyle w:val="FootnoteReference"/>
                <w:rFonts w:asciiTheme="minorHAnsi" w:hAnsiTheme="minorHAnsi"/>
                <w:sz w:val="18"/>
                <w:szCs w:val="18"/>
              </w:rPr>
              <w:footnoteReference w:id="321"/>
            </w:r>
            <w:r w:rsidRPr="00BD16B4">
              <w:rPr>
                <w:szCs w:val="18"/>
              </w:rPr>
              <w:t xml:space="preserve"> The strategy challenges the iwi to reharness their own tikanga (custom), kawa (protocol) and mātauranga-a-iwi (knowledge with an iwi-specific base) to advance climate action. </w:t>
            </w:r>
          </w:p>
        </w:tc>
      </w:tr>
      <w:tr w:rsidR="00851323" w:rsidRPr="00BD16B4" w14:paraId="7FB120A8" w14:textId="77777777" w:rsidTr="00F31129">
        <w:tc>
          <w:tcPr>
            <w:tcW w:w="1673" w:type="dxa"/>
          </w:tcPr>
          <w:p w14:paraId="75CB5AAF" w14:textId="77777777" w:rsidR="00851323" w:rsidRPr="00BD16B4" w:rsidRDefault="00851323" w:rsidP="00D04CF7">
            <w:pPr>
              <w:pStyle w:val="TableText"/>
              <w:spacing w:before="40" w:after="40"/>
            </w:pPr>
            <w:r w:rsidRPr="00BD16B4">
              <w:t>Communities and individuals</w:t>
            </w:r>
          </w:p>
        </w:tc>
        <w:tc>
          <w:tcPr>
            <w:tcW w:w="3261" w:type="dxa"/>
          </w:tcPr>
          <w:p w14:paraId="1562E1E4" w14:textId="77777777" w:rsidR="00851323" w:rsidRPr="00BD16B4" w:rsidRDefault="00851323" w:rsidP="00D04CF7">
            <w:pPr>
              <w:pStyle w:val="TableText"/>
              <w:spacing w:before="40" w:after="40"/>
            </w:pPr>
            <w:r w:rsidRPr="00BD16B4">
              <w:t>Prepares for and manages the impacts of climate change on daily life, primary sector land management and farming systems, and the risks to public and private assets.</w:t>
            </w:r>
          </w:p>
        </w:tc>
        <w:tc>
          <w:tcPr>
            <w:tcW w:w="3571" w:type="dxa"/>
          </w:tcPr>
          <w:p w14:paraId="0D80941D" w14:textId="77777777" w:rsidR="00851323" w:rsidRPr="00BD16B4" w:rsidRDefault="00851323" w:rsidP="00D04CF7">
            <w:pPr>
              <w:pStyle w:val="TableText"/>
              <w:spacing w:before="40" w:after="40"/>
            </w:pPr>
            <w:r w:rsidRPr="00BD16B4">
              <w:t xml:space="preserve">Examples of non-governmental organisation group Forest and Bird member-led projects include: </w:t>
            </w:r>
          </w:p>
          <w:p w14:paraId="18BEDD6D" w14:textId="77777777" w:rsidR="00851323" w:rsidRPr="00BD16B4" w:rsidRDefault="00851323" w:rsidP="00D04CF7">
            <w:pPr>
              <w:pStyle w:val="TableBullet"/>
              <w:spacing w:after="40"/>
            </w:pPr>
            <w:r w:rsidRPr="00BD16B4">
              <w:t xml:space="preserve">the Lower Hutt Branch building resilience through building an ecological corridor linking the forests of the eastern and western hills of the Hutt Valley and by propagating native plants in a nursery </w:t>
            </w:r>
          </w:p>
          <w:p w14:paraId="6D415D9C" w14:textId="77777777" w:rsidR="00851323" w:rsidRPr="00BD16B4" w:rsidRDefault="00851323" w:rsidP="00D04CF7">
            <w:pPr>
              <w:pStyle w:val="TableBullet"/>
              <w:spacing w:after="40"/>
            </w:pPr>
            <w:r w:rsidRPr="00BD16B4">
              <w:t xml:space="preserve">the Hastings–Havelock and Napier branches increasing carbon sequestration, improving water quality, and increasing resilience of native species to climate change by restoring wetlands and estuaries. </w:t>
            </w:r>
          </w:p>
        </w:tc>
      </w:tr>
      <w:tr w:rsidR="00851323" w:rsidRPr="00BD16B4" w14:paraId="12CF8E15" w14:textId="77777777" w:rsidTr="00F31129">
        <w:tc>
          <w:tcPr>
            <w:tcW w:w="1673" w:type="dxa"/>
          </w:tcPr>
          <w:p w14:paraId="493EB7F4" w14:textId="77777777" w:rsidR="00851323" w:rsidRPr="00BD16B4" w:rsidRDefault="00851323" w:rsidP="00D04CF7">
            <w:pPr>
              <w:pStyle w:val="TableText"/>
              <w:spacing w:before="40" w:after="40"/>
            </w:pPr>
            <w:r w:rsidRPr="00BD16B4">
              <w:t>Private sector</w:t>
            </w:r>
          </w:p>
        </w:tc>
        <w:tc>
          <w:tcPr>
            <w:tcW w:w="3261" w:type="dxa"/>
          </w:tcPr>
          <w:p w14:paraId="0623ED47" w14:textId="77777777" w:rsidR="00851323" w:rsidRPr="00BD16B4" w:rsidRDefault="00851323" w:rsidP="00D04CF7">
            <w:pPr>
              <w:pStyle w:val="TableText"/>
              <w:spacing w:before="40" w:after="40"/>
            </w:pPr>
            <w:r w:rsidRPr="00BD16B4">
              <w:t>Invests in reducing risks to businesses and assets. Businesses can take advantage of new economic opportunities such as access to new technologies and markets.</w:t>
            </w:r>
          </w:p>
        </w:tc>
        <w:tc>
          <w:tcPr>
            <w:tcW w:w="3571" w:type="dxa"/>
          </w:tcPr>
          <w:p w14:paraId="2B5263E8" w14:textId="77777777" w:rsidR="00851323" w:rsidRPr="00BD16B4" w:rsidRDefault="00851323" w:rsidP="00D04CF7">
            <w:pPr>
              <w:pStyle w:val="TableText"/>
              <w:spacing w:before="40" w:after="40"/>
            </w:pPr>
            <w:r w:rsidRPr="00BD16B4">
              <w:t>In many areas, the private sector is already taking action to manage risks from climate change. For example, the Climate Leaders Coalition brings together more than 100 chief executives from various industries. The coalition’s mission is to respond through collective, transparent and meaningful action, and one of its focus areas is adaptation. This means understanding the risks businesses will face and planning for these to help build resilience.</w:t>
            </w:r>
          </w:p>
        </w:tc>
      </w:tr>
    </w:tbl>
    <w:p w14:paraId="3F8A6417" w14:textId="28020AFA" w:rsidR="00851323" w:rsidRPr="00BD16B4" w:rsidRDefault="00851323" w:rsidP="000640D6">
      <w:pPr>
        <w:pStyle w:val="Heading2"/>
        <w:spacing w:before="440"/>
        <w:rPr>
          <w:rFonts w:eastAsia="Calibri Light"/>
        </w:rPr>
      </w:pPr>
      <w:bookmarkStart w:id="328" w:name="_Toc121774654"/>
      <w:r w:rsidRPr="00BD16B4">
        <w:rPr>
          <w:rFonts w:eastAsia="Calibri Light"/>
        </w:rPr>
        <w:t>6.8</w:t>
      </w:r>
      <w:r w:rsidRPr="00BD16B4">
        <w:rPr>
          <w:rFonts w:eastAsia="Calibri Light"/>
        </w:rPr>
        <w:tab/>
        <w:t>Cooperation</w:t>
      </w:r>
      <w:bookmarkEnd w:id="328"/>
    </w:p>
    <w:p w14:paraId="3B2EA37E" w14:textId="77777777" w:rsidR="00851323" w:rsidRPr="00BD16B4" w:rsidRDefault="00851323" w:rsidP="00851323">
      <w:pPr>
        <w:pStyle w:val="BodyText"/>
        <w:spacing w:before="100" w:after="100"/>
      </w:pPr>
      <w:r w:rsidRPr="00BD16B4">
        <w:t>The national adaptation plan encourages groups affected by climate change to work together to reach effective adaptation outcomes. For example, in response to climate risks to homes and buildings, the Government will work with community</w:t>
      </w:r>
      <w:r w:rsidRPr="00BD16B4">
        <w:rPr>
          <w:rFonts w:eastAsia="Lato"/>
        </w:rPr>
        <w:t xml:space="preserve"> housing providers to develop an effective adaptation response. An action will also work to build community resilience through improving</w:t>
      </w:r>
      <w:r w:rsidRPr="00BD16B4">
        <w:t xml:space="preserve"> inclusion and participation in society. It will build community resilience, to lessen instability and isolation caused by climate change. The aim is to support the understanding of </w:t>
      </w:r>
      <w:r w:rsidRPr="00BD16B4">
        <w:lastRenderedPageBreak/>
        <w:t>diversity within and across communities to allow everyone to feel safe and belong, and to access opportunities.</w:t>
      </w:r>
    </w:p>
    <w:p w14:paraId="0742EA26" w14:textId="77777777" w:rsidR="00851323" w:rsidRPr="00BD16B4" w:rsidRDefault="00851323" w:rsidP="00851323">
      <w:pPr>
        <w:pStyle w:val="BodyText"/>
        <w:spacing w:before="100" w:after="100"/>
        <w:rPr>
          <w:rFonts w:eastAsia="Lato"/>
        </w:rPr>
      </w:pPr>
      <w:r w:rsidRPr="00BD16B4">
        <w:rPr>
          <w:rFonts w:eastAsia="Lato"/>
        </w:rPr>
        <w:t>The Government has plans to partner with Māori landowners to increase the resilience of Māori-owned land, homes and cultural sites, as well as partnering with Māori to support Māori-led approaches to adaptation planning. The Government will also act to pool knowledge and resources to develop sector responses to climate change through industry partnerships.</w:t>
      </w:r>
    </w:p>
    <w:p w14:paraId="2D1D7153" w14:textId="77777777" w:rsidR="00851323" w:rsidRPr="00BD16B4" w:rsidRDefault="00851323" w:rsidP="00851323">
      <w:pPr>
        <w:pStyle w:val="BodyText"/>
        <w:spacing w:before="100" w:after="100"/>
      </w:pPr>
      <w:r w:rsidRPr="00BD16B4">
        <w:rPr>
          <w:rFonts w:eastAsia="Lato"/>
        </w:rPr>
        <w:t xml:space="preserve">The private sector recognises the need for cooperative processes to develop adaptation responses. The Aotearoa Circle </w:t>
      </w:r>
      <w:r w:rsidRPr="00BD16B4">
        <w:rPr>
          <w:rFonts w:eastAsia="Lato"/>
          <w:i/>
          <w:iCs/>
        </w:rPr>
        <w:t>Seafood Sector Adaptation Strategy</w:t>
      </w:r>
      <w:r w:rsidRPr="00BD16B4">
        <w:rPr>
          <w:rFonts w:eastAsia="Lato"/>
        </w:rPr>
        <w:t xml:space="preserve"> is a </w:t>
      </w:r>
      <w:r w:rsidRPr="00BD16B4">
        <w:t xml:space="preserve">collaboration between </w:t>
      </w:r>
      <w:r w:rsidRPr="00BD16B4">
        <w:rPr>
          <w:spacing w:val="-2"/>
        </w:rPr>
        <w:t>the major seafood sector leaders, Government, environmental non-governmental organisations</w:t>
      </w:r>
      <w:r w:rsidRPr="00BD16B4">
        <w:t>, iwi representatives and the research community.</w:t>
      </w:r>
      <w:r w:rsidRPr="00BD16B4">
        <w:rPr>
          <w:rStyle w:val="FootnoteReference"/>
        </w:rPr>
        <w:footnoteReference w:id="322"/>
      </w:r>
      <w:r w:rsidRPr="00BD16B4">
        <w:t xml:space="preserve"> This diversity is reflected in the strategy’s actions to ensure adaptation information is more integrated and accessible, and to promote ecologically and economically efficient fishing and aquaculture. Te ao Māori is incorporated throughout the strategy, and specific implementation actions reflect this (eg, piloting and monitoring a te ao Māori approach to coastal management).</w:t>
      </w:r>
    </w:p>
    <w:p w14:paraId="5D91357F" w14:textId="77777777" w:rsidR="00851323" w:rsidRPr="00BD16B4" w:rsidRDefault="00851323" w:rsidP="00851323">
      <w:pPr>
        <w:pStyle w:val="BodyText"/>
      </w:pPr>
      <w:r w:rsidRPr="00BD16B4">
        <w:t>The infrastructure sector also recognises the importance of collaboration and sharing. An action in the national adaptation plan is to convene regular events with government and private sector asset owners to share information on the implementation of actions in the plan. This will support alignment across the sector and knowledge sharing for asset owners.</w:t>
      </w:r>
    </w:p>
    <w:p w14:paraId="26BE39C1" w14:textId="4DF5C1BF" w:rsidR="00851323" w:rsidRPr="00BD16B4" w:rsidRDefault="00851323" w:rsidP="00851323">
      <w:pPr>
        <w:pStyle w:val="Heading2"/>
      </w:pPr>
      <w:bookmarkStart w:id="329" w:name="_Toc121774655"/>
      <w:r w:rsidRPr="00BD16B4">
        <w:rPr>
          <w:rFonts w:eastAsia="Calibri Light"/>
        </w:rPr>
        <w:t>6.9</w:t>
      </w:r>
      <w:r w:rsidRPr="00BD16B4">
        <w:rPr>
          <w:rFonts w:eastAsia="Calibri Light"/>
        </w:rPr>
        <w:tab/>
        <w:t>Finance</w:t>
      </w:r>
      <w:bookmarkEnd w:id="329"/>
    </w:p>
    <w:p w14:paraId="6ABA7B2D" w14:textId="77777777" w:rsidR="00851323" w:rsidRPr="00BD16B4" w:rsidRDefault="00851323" w:rsidP="00851323">
      <w:pPr>
        <w:pStyle w:val="BodyText"/>
        <w:rPr>
          <w:rFonts w:eastAsia="Lato"/>
        </w:rPr>
      </w:pPr>
      <w:r w:rsidRPr="00BD16B4">
        <w:t>The national adaptation plan sets out several actions that support and encourage funding and investment in programmes for adaptation. P</w:t>
      </w:r>
      <w:r w:rsidRPr="00BD16B4">
        <w:rPr>
          <w:rFonts w:eastAsia="Lato"/>
        </w:rPr>
        <w:t xml:space="preserve">ublic investment will be made in climate change initiatives, innovation grants established, and work done to unlock greater investment in climate-resilient projects. </w:t>
      </w:r>
    </w:p>
    <w:p w14:paraId="0F1453EE" w14:textId="77777777" w:rsidR="00851323" w:rsidRPr="00BD16B4" w:rsidRDefault="00851323" w:rsidP="00851323">
      <w:pPr>
        <w:pStyle w:val="BodyText"/>
        <w:spacing w:after="240"/>
        <w:rPr>
          <w:rFonts w:eastAsia="Lato"/>
        </w:rPr>
      </w:pPr>
      <w:r w:rsidRPr="00BD16B4">
        <w:t>Sector-specific investment is also visible. A</w:t>
      </w:r>
      <w:r w:rsidRPr="00BD16B4">
        <w:rPr>
          <w:rFonts w:eastAsia="Lato"/>
        </w:rPr>
        <w:t xml:space="preserve">daptation will be embedded in funding models for housing and urban development, including Māori housing. </w:t>
      </w:r>
      <w:r w:rsidRPr="00BD16B4">
        <w:t>I</w:t>
      </w:r>
      <w:r w:rsidRPr="00BD16B4">
        <w:rPr>
          <w:rFonts w:eastAsia="Lato"/>
        </w:rPr>
        <w:t>nvestment is planned in strengthening border biosecurity</w:t>
      </w:r>
      <w:r w:rsidRPr="00BD16B4">
        <w:t xml:space="preserve"> and </w:t>
      </w:r>
      <w:r w:rsidRPr="00BD16B4">
        <w:rPr>
          <w:rFonts w:eastAsia="Lato"/>
        </w:rPr>
        <w:t xml:space="preserve">in public transport and active transport. </w:t>
      </w:r>
      <w:r w:rsidRPr="00BD16B4">
        <w:t xml:space="preserve">For the primary sector, the </w:t>
      </w:r>
      <w:r w:rsidRPr="00BD16B4">
        <w:rPr>
          <w:rFonts w:eastAsia="Lato"/>
        </w:rPr>
        <w:t>Sustainable Food and Fibre Futures Fund will be continued to be delivered.</w:t>
      </w:r>
    </w:p>
    <w:tbl>
      <w:tblPr>
        <w:tblStyle w:val="TableGrid"/>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851323" w:rsidRPr="00BD16B4" w14:paraId="1FBA45F8" w14:textId="77777777" w:rsidTr="00F31129">
        <w:tc>
          <w:tcPr>
            <w:tcW w:w="9016" w:type="dxa"/>
            <w:shd w:val="clear" w:color="auto" w:fill="D5EBE8" w:themeFill="accent3"/>
          </w:tcPr>
          <w:p w14:paraId="19E47820" w14:textId="77777777" w:rsidR="00851323" w:rsidRPr="00BD16B4" w:rsidRDefault="00851323" w:rsidP="00D04CF7">
            <w:pPr>
              <w:pStyle w:val="Boxheading"/>
              <w:keepNext w:val="0"/>
              <w:rPr>
                <w:sz w:val="16"/>
                <w:szCs w:val="16"/>
              </w:rPr>
            </w:pPr>
            <w:r w:rsidRPr="00BD16B4">
              <w:t>Climate change and the agricultural sector</w:t>
            </w:r>
          </w:p>
          <w:p w14:paraId="6CE132F9" w14:textId="77777777" w:rsidR="00851323" w:rsidRPr="00BD16B4" w:rsidRDefault="00851323" w:rsidP="00D04CF7">
            <w:pPr>
              <w:pStyle w:val="Boxtext"/>
              <w:spacing w:after="60"/>
            </w:pPr>
            <w:r w:rsidRPr="00BD16B4">
              <w:t xml:space="preserve">Climate change is increasing the frequency and severity of drought in Aotearoa New Zealand. From 2007 to 2017, drought cost the country around NZ$720 million. The primary sector is particularly vulnerable and can expect conditions to get drier. </w:t>
            </w:r>
          </w:p>
          <w:p w14:paraId="166D6203" w14:textId="77777777" w:rsidR="00851323" w:rsidRPr="00BD16B4" w:rsidRDefault="00851323" w:rsidP="00D04CF7">
            <w:pPr>
              <w:pStyle w:val="Boxtext"/>
              <w:spacing w:after="60"/>
            </w:pPr>
            <w:r w:rsidRPr="00BD16B4">
              <w:t xml:space="preserve">To reduce the economic risks of drought and build climate resilience for farmers and growers, a national long-term adaptation strategy was developed. Online webinars and a one-day symposium were held with stakeholders in 2021. The resulting findings were captured in the </w:t>
            </w:r>
            <w:r w:rsidRPr="00BD16B4">
              <w:rPr>
                <w:i/>
                <w:iCs/>
              </w:rPr>
              <w:t>Growing Kai Under Increasing Dry</w:t>
            </w:r>
            <w:r w:rsidRPr="00BD16B4">
              <w:t xml:space="preserve"> report.</w:t>
            </w:r>
            <w:r w:rsidRPr="00BD16B4">
              <w:rPr>
                <w:vertAlign w:val="superscript"/>
              </w:rPr>
              <w:footnoteReference w:id="323"/>
            </w:r>
          </w:p>
          <w:p w14:paraId="2D0B25EA" w14:textId="7D4803BF" w:rsidR="00851323" w:rsidRPr="00BD16B4" w:rsidRDefault="00851323" w:rsidP="00D04CF7">
            <w:pPr>
              <w:pStyle w:val="Boxtext"/>
            </w:pPr>
            <w:r w:rsidRPr="00BD16B4">
              <w:t xml:space="preserve">The report emphasises it is vital for the primary sector to adapt and protect its viability, and to collaborate widely. Solutions include: </w:t>
            </w:r>
          </w:p>
        </w:tc>
      </w:tr>
      <w:tr w:rsidR="0001717A" w:rsidRPr="00BD16B4" w14:paraId="513BBC68" w14:textId="77777777" w:rsidTr="00F31129">
        <w:tc>
          <w:tcPr>
            <w:tcW w:w="9016" w:type="dxa"/>
            <w:shd w:val="clear" w:color="auto" w:fill="D5EBE8" w:themeFill="accent3"/>
          </w:tcPr>
          <w:p w14:paraId="2EE469AA" w14:textId="77777777" w:rsidR="0001717A" w:rsidRPr="00BD16B4" w:rsidRDefault="0001717A" w:rsidP="00D04CF7">
            <w:pPr>
              <w:pStyle w:val="Boxbullet"/>
              <w:keepNext/>
              <w:spacing w:before="120"/>
            </w:pPr>
            <w:r w:rsidRPr="00BD16B4">
              <w:lastRenderedPageBreak/>
              <w:t>connecting policy, research and on-farm practice</w:t>
            </w:r>
          </w:p>
          <w:p w14:paraId="0BB67321" w14:textId="77777777" w:rsidR="0001717A" w:rsidRPr="00BD16B4" w:rsidRDefault="0001717A" w:rsidP="00D04CF7">
            <w:pPr>
              <w:pStyle w:val="Boxbullet"/>
            </w:pPr>
            <w:r w:rsidRPr="00BD16B4">
              <w:t xml:space="preserve">introducing long-term rather than short-term planning to respond to events </w:t>
            </w:r>
          </w:p>
          <w:p w14:paraId="716B80B1" w14:textId="77777777" w:rsidR="0001717A" w:rsidRPr="00BD16B4" w:rsidRDefault="0001717A" w:rsidP="00D04CF7">
            <w:pPr>
              <w:pStyle w:val="Boxbullet"/>
              <w:spacing w:after="0"/>
            </w:pPr>
            <w:r w:rsidRPr="00BD16B4">
              <w:t xml:space="preserve">enabling behaviour change and diversifying farming activities. </w:t>
            </w:r>
          </w:p>
          <w:p w14:paraId="6264D491" w14:textId="4434FFFC" w:rsidR="0001717A" w:rsidRPr="00BD16B4" w:rsidRDefault="0001717A" w:rsidP="00535B33">
            <w:pPr>
              <w:pStyle w:val="Boxtext"/>
              <w:spacing w:after="180"/>
            </w:pPr>
            <w:r w:rsidRPr="00BD16B4">
              <w:t>The report notes that, although incremental adaptation has been happening for a decade, transformational change is now required. In contrast to incremental adaptation, which involves actions such as changing seed-sowing dates, transformational adaptation involves identifying novel land use opportunities. The report sets out important roles: farmers and growers are the land use decision-makers, industry bodies work as knowledge brokers for adaptation, researchers contribute new possibilities for adaptation and co-develop solutions, and the Government has a significant role in enabling innovation, investment and flexibility.</w:t>
            </w:r>
          </w:p>
        </w:tc>
      </w:tr>
    </w:tbl>
    <w:p w14:paraId="481B0B44" w14:textId="77777777" w:rsidR="00851323" w:rsidRPr="00BD16B4" w:rsidRDefault="00851323" w:rsidP="00851323">
      <w:pPr>
        <w:pStyle w:val="Heading3"/>
        <w:spacing w:before="400"/>
      </w:pPr>
      <w:r w:rsidRPr="00BD16B4">
        <w:t>6.9.1</w:t>
      </w:r>
      <w:r w:rsidRPr="00BD16B4">
        <w:tab/>
        <w:t xml:space="preserve">Monitoring, reporting and evaluation </w:t>
      </w:r>
    </w:p>
    <w:p w14:paraId="508C172E" w14:textId="77777777" w:rsidR="00851323" w:rsidRPr="00BD16B4" w:rsidRDefault="00851323" w:rsidP="00D04CF7">
      <w:pPr>
        <w:pStyle w:val="Heading4"/>
        <w:spacing w:before="120"/>
      </w:pPr>
      <w:r w:rsidRPr="00BD16B4">
        <w:t>Reporting on the national adaptation plan</w:t>
      </w:r>
    </w:p>
    <w:p w14:paraId="296213A2" w14:textId="77777777" w:rsidR="00851323" w:rsidRPr="00BD16B4" w:rsidRDefault="00851323" w:rsidP="00851323">
      <w:pPr>
        <w:pStyle w:val="BodyText"/>
      </w:pPr>
      <w:r w:rsidRPr="00BD16B4">
        <w:t xml:space="preserve">The Climate Change Response Act 2002 sets out how the implementation and effectiveness of </w:t>
      </w:r>
      <w:r w:rsidRPr="00BD16B4">
        <w:rPr>
          <w:spacing w:val="-2"/>
        </w:rPr>
        <w:t>the national adaptation plan will be monitored and evaluated. He Pou a Rangi – Climate Change Commission</w:t>
      </w:r>
      <w:r w:rsidRPr="00BD16B4">
        <w:t xml:space="preserve"> is required to report every two years to the Minister of Climate Change on the implementation </w:t>
      </w:r>
      <w:r w:rsidRPr="00BD16B4">
        <w:rPr>
          <w:spacing w:val="-2"/>
        </w:rPr>
        <w:t>of the plan and its effectiveness in reducing the priority risks in the most recent risk assessment</w:t>
      </w:r>
      <w:r w:rsidRPr="00BD16B4">
        <w:t xml:space="preserve">. The Minister of Climate Change must respond to the Commission’s reports within six months of receiving them. </w:t>
      </w:r>
    </w:p>
    <w:p w14:paraId="3297F21D" w14:textId="77777777" w:rsidR="00851323" w:rsidRPr="00BD16B4" w:rsidRDefault="00851323" w:rsidP="00851323">
      <w:pPr>
        <w:pStyle w:val="BodyText"/>
      </w:pPr>
      <w:r w:rsidRPr="00BD16B4">
        <w:t xml:space="preserve">Monitoring the progress of the national adaptation plan and reporting on its effectiveness will enable the Government to identify whether it is appropriate to adjust the actions in the plan. </w:t>
      </w:r>
    </w:p>
    <w:p w14:paraId="0A300839" w14:textId="77777777" w:rsidR="00851323" w:rsidRPr="00BD16B4" w:rsidRDefault="00851323" w:rsidP="004E1B8C">
      <w:pPr>
        <w:pStyle w:val="Heading4"/>
      </w:pPr>
      <w:r w:rsidRPr="00BD16B4">
        <w:t xml:space="preserve">Governance and oversight </w:t>
      </w:r>
    </w:p>
    <w:p w14:paraId="6FB82355" w14:textId="327B1151" w:rsidR="00851323" w:rsidRPr="00BD16B4" w:rsidRDefault="00851323" w:rsidP="00851323">
      <w:pPr>
        <w:pStyle w:val="BodyText"/>
      </w:pPr>
      <w:r w:rsidRPr="00BD16B4">
        <w:t>Successfully implementing the national adaptation plan will require action across government. Strong governance and accountability mechanisms are needed to make continuous progress. The Climate Change Chief Executives Board (the Board) has been established to oversee both the national adaptation plan and the emissions reduction plan. The Board will monitor and report on progress each year (annual Board report). The Climate Response Minister</w:t>
      </w:r>
      <w:r w:rsidR="002734AA" w:rsidRPr="00BD16B4">
        <w:t>ial</w:t>
      </w:r>
      <w:r w:rsidRPr="00BD16B4">
        <w:t xml:space="preserve"> Group will oversee the plan and drive progress. </w:t>
      </w:r>
    </w:p>
    <w:p w14:paraId="0B3882EF" w14:textId="34E80558" w:rsidR="00851323" w:rsidRPr="00BD16B4" w:rsidRDefault="00851323" w:rsidP="00851323">
      <w:pPr>
        <w:pStyle w:val="BodyText"/>
      </w:pPr>
      <w:r w:rsidRPr="00BD16B4">
        <w:t>Regulatory stewardship (monitoring the Government’s regulatory systems) is a further opportunity to consider climate change and improve how the national adaptation plan is implemented.</w:t>
      </w:r>
    </w:p>
    <w:p w14:paraId="79F567AB" w14:textId="77777777" w:rsidR="006C0248" w:rsidRPr="00BD16B4" w:rsidRDefault="006C0248" w:rsidP="003F0361">
      <w:pPr>
        <w:pStyle w:val="BodyText"/>
        <w:spacing w:before="0"/>
        <w:sectPr w:rsidR="006C0248" w:rsidRPr="00BD16B4" w:rsidSect="008A7498">
          <w:footerReference w:type="even" r:id="rId115"/>
          <w:footerReference w:type="default" r:id="rId116"/>
          <w:pgSz w:w="11907" w:h="16840" w:code="9"/>
          <w:pgMar w:top="1134" w:right="1701" w:bottom="1134" w:left="1701" w:header="567" w:footer="567" w:gutter="0"/>
          <w:cols w:space="720"/>
          <w:docGrid w:linePitch="299"/>
        </w:sectPr>
      </w:pPr>
    </w:p>
    <w:p w14:paraId="4A175C6B" w14:textId="3B704D4B" w:rsidR="00B71B4E" w:rsidRPr="00BD16B4" w:rsidRDefault="00B71B4E" w:rsidP="00B71B4E">
      <w:pPr>
        <w:pStyle w:val="Heading1"/>
        <w:spacing w:after="400"/>
      </w:pPr>
      <w:bookmarkStart w:id="330" w:name="_Toc121774656"/>
      <w:r w:rsidRPr="00BD16B4">
        <w:lastRenderedPageBreak/>
        <w:t>7</w:t>
      </w:r>
      <w:r w:rsidRPr="00BD16B4">
        <w:tab/>
        <w:t>Financial, technological and capacity-building support</w:t>
      </w:r>
      <w:bookmarkEnd w:id="330"/>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B71B4E" w:rsidRPr="00BD16B4" w14:paraId="6CE97769" w14:textId="77777777" w:rsidTr="00856525">
        <w:tc>
          <w:tcPr>
            <w:tcW w:w="0" w:type="auto"/>
            <w:shd w:val="clear" w:color="auto" w:fill="D2DDE1" w:themeFill="background2"/>
          </w:tcPr>
          <w:p w14:paraId="7D41518E" w14:textId="77777777" w:rsidR="00B71B4E" w:rsidRPr="00BD16B4" w:rsidRDefault="00B71B4E" w:rsidP="00F31129">
            <w:pPr>
              <w:pStyle w:val="Boxheading"/>
              <w:spacing w:after="120"/>
            </w:pPr>
            <w:r w:rsidRPr="00BD16B4">
              <w:t xml:space="preserve">Key developments since the </w:t>
            </w:r>
            <w:r w:rsidRPr="00BD16B4">
              <w:rPr>
                <w:i/>
                <w:iCs/>
              </w:rPr>
              <w:t>Seventh National Communication</w:t>
            </w:r>
          </w:p>
          <w:p w14:paraId="4DE2A8E0" w14:textId="77777777" w:rsidR="00B71B4E" w:rsidRPr="00BD16B4" w:rsidRDefault="00B71B4E" w:rsidP="00F31129">
            <w:pPr>
              <w:pStyle w:val="Boxbullet"/>
            </w:pPr>
            <w:r w:rsidRPr="00BD16B4">
              <w:t>Aotearoa New Zealand has contributed approximately NZ$285.78 million in climate-specific support for developing countries during 2019 and 2020.</w:t>
            </w:r>
          </w:p>
          <w:p w14:paraId="0B756F9F" w14:textId="4E0E41D3" w:rsidR="00B71B4E" w:rsidRPr="00BD16B4" w:rsidRDefault="00B71B4E" w:rsidP="00F31129">
            <w:pPr>
              <w:pStyle w:val="Boxbullet"/>
            </w:pPr>
            <w:r w:rsidRPr="00BD16B4">
              <w:t xml:space="preserve">In 2018 New Zealand increased its climate finance for the period 2019–22 to NZ$300 million. It met this commitment early, in July 2021. Of this commitment, </w:t>
            </w:r>
            <w:r w:rsidR="00734CB3" w:rsidRPr="00BD16B4">
              <w:t>two</w:t>
            </w:r>
            <w:r w:rsidR="00090FF7" w:rsidRPr="00BD16B4">
              <w:noBreakHyphen/>
            </w:r>
            <w:r w:rsidR="00734CB3" w:rsidRPr="001A7E8E">
              <w:t>thirds was for</w:t>
            </w:r>
            <w:r w:rsidRPr="001A7E8E">
              <w:t xml:space="preserve"> the Pacific and </w:t>
            </w:r>
            <w:r w:rsidR="00B1485C" w:rsidRPr="001A7E8E">
              <w:t xml:space="preserve">half </w:t>
            </w:r>
            <w:r w:rsidRPr="001A7E8E">
              <w:t>to adaptation</w:t>
            </w:r>
            <w:r w:rsidRPr="00BD16B4">
              <w:t xml:space="preserve"> (although these </w:t>
            </w:r>
            <w:r w:rsidR="00B1485C" w:rsidRPr="00BD16B4">
              <w:t>we</w:t>
            </w:r>
            <w:r w:rsidRPr="00BD16B4">
              <w:t>re not mutually exclusive targets). New Zealand continues to increase its provision of international climate finance to developing countries.</w:t>
            </w:r>
          </w:p>
          <w:p w14:paraId="3347DCDC" w14:textId="77B21101" w:rsidR="00B71B4E" w:rsidRPr="00BD16B4" w:rsidRDefault="00B71B4E" w:rsidP="00F31129">
            <w:pPr>
              <w:pStyle w:val="Boxbullet"/>
            </w:pPr>
            <w:r w:rsidRPr="00BD16B4">
              <w:t xml:space="preserve">New Zealand delivers its international climate finance </w:t>
            </w:r>
            <w:r w:rsidR="00AF6CF4" w:rsidRPr="00BD16B4">
              <w:t xml:space="preserve">primarily </w:t>
            </w:r>
            <w:r w:rsidRPr="00BD16B4">
              <w:t xml:space="preserve">through activities in its International Development Cooperation programme, focusing on agriculture, </w:t>
            </w:r>
            <w:r w:rsidR="00AF6CF4" w:rsidRPr="00BD16B4">
              <w:t xml:space="preserve">food security, </w:t>
            </w:r>
            <w:r w:rsidRPr="00BD16B4">
              <w:t>disaster</w:t>
            </w:r>
            <w:r w:rsidR="00710F52" w:rsidRPr="00BD16B4">
              <w:t> </w:t>
            </w:r>
            <w:r w:rsidRPr="00BD16B4">
              <w:t>prevention and preparedness, ecosystem strengthening, renewable energy</w:t>
            </w:r>
            <w:r w:rsidR="00AF6CF4" w:rsidRPr="00BD16B4">
              <w:t xml:space="preserve">, </w:t>
            </w:r>
            <w:r w:rsidR="007A4C7F" w:rsidRPr="00BD16B4">
              <w:t xml:space="preserve">infrastructure </w:t>
            </w:r>
            <w:r w:rsidRPr="00BD16B4">
              <w:t>and</w:t>
            </w:r>
            <w:r w:rsidR="00710F52" w:rsidRPr="00BD16B4">
              <w:t> </w:t>
            </w:r>
            <w:r w:rsidRPr="00BD16B4">
              <w:t>water</w:t>
            </w:r>
            <w:r w:rsidR="00710F52" w:rsidRPr="00BD16B4">
              <w:t> </w:t>
            </w:r>
            <w:r w:rsidRPr="00BD16B4">
              <w:t xml:space="preserve">security. </w:t>
            </w:r>
          </w:p>
          <w:p w14:paraId="66F0C34E" w14:textId="0A4E46D1" w:rsidR="00B71B4E" w:rsidRPr="00BD16B4" w:rsidRDefault="00B71B4E" w:rsidP="00F31129">
            <w:pPr>
              <w:pStyle w:val="Boxbullet"/>
            </w:pPr>
            <w:r w:rsidRPr="00BD16B4">
              <w:t>New Zealand has continued to support multilateral climate funds, providing NZ$22.16 million in total. This included an NZ$15 million contribution to the first replenishment of the Green Climate Fund and an NZ$3 million contribution to</w:t>
            </w:r>
            <w:r w:rsidR="007A4C7F" w:rsidRPr="00BD16B4">
              <w:t> </w:t>
            </w:r>
            <w:r w:rsidRPr="00BD16B4">
              <w:t>the</w:t>
            </w:r>
            <w:r w:rsidR="00710F52" w:rsidRPr="00BD16B4">
              <w:t> </w:t>
            </w:r>
            <w:r w:rsidRPr="00BD16B4">
              <w:t>Adaptation Fund.</w:t>
            </w:r>
          </w:p>
          <w:p w14:paraId="3D8169F1" w14:textId="2B872DA0" w:rsidR="00B71B4E" w:rsidRPr="00BD16B4" w:rsidRDefault="00B71B4E" w:rsidP="00F31129">
            <w:pPr>
              <w:pStyle w:val="Boxbullet"/>
            </w:pPr>
            <w:r w:rsidRPr="00BD16B4">
              <w:t>New Zealand has also undertaken dedicated capacity-building and technology-transfer activities</w:t>
            </w:r>
            <w:r w:rsidR="00FE7D28" w:rsidRPr="00BD16B4">
              <w:t>.</w:t>
            </w:r>
            <w:r w:rsidRPr="00BD16B4">
              <w:t xml:space="preserve"> </w:t>
            </w:r>
            <w:r w:rsidR="00FE7D28" w:rsidRPr="00BD16B4">
              <w:t xml:space="preserve">This is </w:t>
            </w:r>
            <w:r w:rsidRPr="00BD16B4">
              <w:t xml:space="preserve">aimed at strengthening the capability and capacity of Pacific Island countries to respond to the impacts of climate change. </w:t>
            </w:r>
          </w:p>
          <w:p w14:paraId="28CA1DE4" w14:textId="77777777" w:rsidR="00B71B4E" w:rsidRPr="00BD16B4" w:rsidRDefault="00B71B4E" w:rsidP="00F31129">
            <w:pPr>
              <w:pStyle w:val="Boxbullet"/>
              <w:spacing w:after="180"/>
            </w:pPr>
            <w:r w:rsidRPr="00BD16B4">
              <w:t>This reporting period includes the first year of the COVID-19 pandemic. The impacts of the pandemic on New Zealand’s financial, technology transfer and capacity-building support will be more evident in the next report.</w:t>
            </w:r>
          </w:p>
        </w:tc>
      </w:tr>
    </w:tbl>
    <w:p w14:paraId="5396F134" w14:textId="2D2C3DDE" w:rsidR="00B71B4E" w:rsidRPr="00BD16B4" w:rsidRDefault="00B71B4E" w:rsidP="00B71B4E">
      <w:pPr>
        <w:pStyle w:val="Heading2"/>
        <w:spacing w:before="440"/>
      </w:pPr>
      <w:bookmarkStart w:id="331" w:name="_Toc497740295"/>
      <w:bookmarkStart w:id="332" w:name="_Toc497740397"/>
      <w:bookmarkStart w:id="333" w:name="_Toc500796164"/>
      <w:bookmarkStart w:id="334" w:name="_Toc121774657"/>
      <w:r w:rsidRPr="00BD16B4">
        <w:t>7.1</w:t>
      </w:r>
      <w:r w:rsidRPr="00BD16B4">
        <w:tab/>
        <w:t>Introduction</w:t>
      </w:r>
      <w:bookmarkEnd w:id="331"/>
      <w:bookmarkEnd w:id="332"/>
      <w:bookmarkEnd w:id="333"/>
      <w:bookmarkEnd w:id="334"/>
    </w:p>
    <w:p w14:paraId="60B02DAF" w14:textId="7BEE1535" w:rsidR="00B71B4E" w:rsidRPr="00BD16B4" w:rsidRDefault="00B71B4E" w:rsidP="00B71B4E">
      <w:pPr>
        <w:pStyle w:val="BodyText"/>
      </w:pPr>
      <w:r w:rsidRPr="00BD16B4">
        <w:t>Aotearoa New Zealand is committed to delivering its international obligations, and to providing information about how we will do this, including for our climate finance obligations. New Zealand’s policy is to share indicative finance flows with partner countries at least two years ahead of time, in an effort to enhance transparency and predictability.</w:t>
      </w:r>
    </w:p>
    <w:p w14:paraId="61D56B96" w14:textId="0986BA10" w:rsidR="00B71B4E" w:rsidRPr="00BD16B4" w:rsidRDefault="00B71B4E" w:rsidP="00B71B4E">
      <w:pPr>
        <w:pStyle w:val="BodyText"/>
      </w:pPr>
      <w:r w:rsidRPr="00BD16B4">
        <w:t>In line with the revised United Nations Framework Convention on Climate Change (UNFCCC) guidelines on reporting national communications for Parties included in Annex I to the convention (FCCC/CP/2019/13/Add.1), this chapter reports on the financial</w:t>
      </w:r>
      <w:r w:rsidR="00BE5A84" w:rsidRPr="00BD16B4">
        <w:t>, capacity building</w:t>
      </w:r>
      <w:r w:rsidRPr="00BD16B4">
        <w:t xml:space="preserve"> and technological support New Zealand has provided to developing countries for climate change action for the previous two calendar years, 2019 and 2020. It covers support provided through multilateral, regional and bilateral channels, as well as specific resources provided for mitigation, adaptation, technology transfer and capacity building.</w:t>
      </w:r>
      <w:r w:rsidRPr="00BD16B4">
        <w:rPr>
          <w:rStyle w:val="FootnoteReference"/>
        </w:rPr>
        <w:footnoteReference w:id="324"/>
      </w:r>
    </w:p>
    <w:p w14:paraId="6F80614D" w14:textId="35B23012" w:rsidR="00B71B4E" w:rsidRPr="00BD16B4" w:rsidRDefault="00B71B4E" w:rsidP="00B71B4E">
      <w:pPr>
        <w:pStyle w:val="BodyText"/>
        <w:rPr>
          <w:highlight w:val="yellow"/>
        </w:rPr>
      </w:pPr>
      <w:r w:rsidRPr="00BD16B4">
        <w:t xml:space="preserve">In 2018, New Zealand made a new high-level, multi-year climate finance commitment of NZ$300 million for the period 2019–22. This commitment demonstrated the importance </w:t>
      </w:r>
      <w:r w:rsidR="006E4835" w:rsidRPr="00BD16B4">
        <w:lastRenderedPageBreak/>
        <w:t>New</w:t>
      </w:r>
      <w:r w:rsidR="00062384" w:rsidRPr="00BD16B4">
        <w:t> </w:t>
      </w:r>
      <w:r w:rsidR="006E4835" w:rsidRPr="00BD16B4">
        <w:t>Zealand placed on</w:t>
      </w:r>
      <w:r w:rsidRPr="00BD16B4">
        <w:t xml:space="preserve"> supporting developing countries to reduce emissions and adapt to the</w:t>
      </w:r>
      <w:r w:rsidR="00062384" w:rsidRPr="00BD16B4">
        <w:t> </w:t>
      </w:r>
      <w:r w:rsidRPr="00BD16B4">
        <w:t xml:space="preserve">impacts of climate change. This commitment included a dedicated NZ$150 million for </w:t>
      </w:r>
      <w:r w:rsidR="00062384" w:rsidRPr="00BD16B4">
        <w:t>a</w:t>
      </w:r>
      <w:r w:rsidRPr="00BD16B4">
        <w:t xml:space="preserve"> Pacific- and adaptation-focused Climate Change Programme. </w:t>
      </w:r>
    </w:p>
    <w:p w14:paraId="2B21B771" w14:textId="3B665E22" w:rsidR="00B71B4E" w:rsidRPr="00BD16B4" w:rsidRDefault="00B71B4E" w:rsidP="00B71B4E">
      <w:pPr>
        <w:pStyle w:val="BodyText"/>
        <w:spacing w:before="100" w:after="100"/>
        <w:rPr>
          <w:highlight w:val="yellow"/>
        </w:rPr>
      </w:pPr>
      <w:r w:rsidRPr="00BD16B4">
        <w:t xml:space="preserve">Over 2019–20, New Zealand’s climate-related support focused on: </w:t>
      </w:r>
    </w:p>
    <w:p w14:paraId="47873641" w14:textId="77777777" w:rsidR="00B71B4E" w:rsidRPr="00BD16B4" w:rsidRDefault="00B71B4E" w:rsidP="0011037B">
      <w:pPr>
        <w:pStyle w:val="Bullet"/>
        <w:spacing w:after="100"/>
      </w:pPr>
      <w:r w:rsidRPr="00BD16B4">
        <w:t>strengthening capacity for effective low-emissions, climate-resilient planning</w:t>
      </w:r>
    </w:p>
    <w:p w14:paraId="29392B0A" w14:textId="77777777" w:rsidR="00B71B4E" w:rsidRPr="00BD16B4" w:rsidRDefault="00B71B4E" w:rsidP="0011037B">
      <w:pPr>
        <w:pStyle w:val="Bullet"/>
        <w:spacing w:after="100"/>
      </w:pPr>
      <w:r w:rsidRPr="00BD16B4">
        <w:t>supporting low-carbon economic growth, including through a significant contribution to improving access to renewable energy</w:t>
      </w:r>
    </w:p>
    <w:p w14:paraId="1134E6CB" w14:textId="77777777" w:rsidR="00B71B4E" w:rsidRPr="00BD16B4" w:rsidRDefault="00B71B4E" w:rsidP="0011037B">
      <w:pPr>
        <w:pStyle w:val="Bullet"/>
        <w:spacing w:after="100"/>
      </w:pPr>
      <w:r w:rsidRPr="00BD16B4">
        <w:t>supporting Pacific countries to access the climate-related support they need from regional and multilateral agencies</w:t>
      </w:r>
    </w:p>
    <w:p w14:paraId="3586AA27" w14:textId="77777777" w:rsidR="00B71B4E" w:rsidRPr="00BD16B4" w:rsidRDefault="00B71B4E" w:rsidP="0011037B">
      <w:pPr>
        <w:pStyle w:val="Bullet"/>
        <w:spacing w:after="100"/>
      </w:pPr>
      <w:r w:rsidRPr="00BD16B4">
        <w:t>ensuring decision-makers have access to the science and information they need and use it to make informed decisions</w:t>
      </w:r>
    </w:p>
    <w:p w14:paraId="0A3A5AAF" w14:textId="77777777" w:rsidR="00B71B4E" w:rsidRPr="00BD16B4" w:rsidRDefault="00B71B4E" w:rsidP="0011037B">
      <w:pPr>
        <w:pStyle w:val="Bullet"/>
        <w:spacing w:after="100"/>
      </w:pPr>
      <w:r w:rsidRPr="00BD16B4">
        <w:t>supporting greater global action to reduce greenhouse gas emissions</w:t>
      </w:r>
    </w:p>
    <w:p w14:paraId="7BB5AE1B" w14:textId="5513937E" w:rsidR="00B71B4E" w:rsidRPr="00BD16B4" w:rsidRDefault="00B71B4E" w:rsidP="0011037B">
      <w:pPr>
        <w:pStyle w:val="Bullet"/>
        <w:spacing w:after="100"/>
      </w:pPr>
      <w:r w:rsidRPr="00BD16B4">
        <w:t xml:space="preserve">strengthening disaster </w:t>
      </w:r>
      <w:r w:rsidR="00D87842" w:rsidRPr="00BD16B4">
        <w:t xml:space="preserve">prevention and </w:t>
      </w:r>
      <w:r w:rsidRPr="00BD16B4">
        <w:t xml:space="preserve">preparedness </w:t>
      </w:r>
    </w:p>
    <w:p w14:paraId="03E54D67" w14:textId="40A553F9" w:rsidR="00B71B4E" w:rsidRPr="00BD16B4" w:rsidRDefault="00B71B4E" w:rsidP="00282D78">
      <w:pPr>
        <w:pStyle w:val="Bullet"/>
      </w:pPr>
      <w:r w:rsidRPr="00BD16B4">
        <w:t>improving Pacific resilience through on-the-ground adaptation activities</w:t>
      </w:r>
      <w:r w:rsidR="005540A9" w:rsidRPr="00BD16B4">
        <w:t>, including in areas</w:t>
      </w:r>
      <w:r w:rsidR="0016541E">
        <w:t xml:space="preserve"> </w:t>
      </w:r>
      <w:r w:rsidR="005540A9" w:rsidRPr="00BD16B4">
        <w:t>such as agriculture, ecosystem strengthening, infrastructure and water security</w:t>
      </w:r>
      <w:r w:rsidRPr="00BD16B4">
        <w:t>.</w:t>
      </w:r>
    </w:p>
    <w:p w14:paraId="0ED72B2F" w14:textId="77777777" w:rsidR="00B71B4E" w:rsidRPr="00BD16B4" w:rsidRDefault="00B71B4E" w:rsidP="00B71B4E">
      <w:pPr>
        <w:pStyle w:val="BodyText"/>
        <w:spacing w:before="100" w:after="100"/>
      </w:pPr>
      <w:r w:rsidRPr="00BD16B4">
        <w:t xml:space="preserve">New Zealand also supported low-emissions agricultural development, primarily through support for, and participation in, the </w:t>
      </w:r>
      <w:bookmarkStart w:id="335" w:name="_Hlk115435433"/>
      <w:r w:rsidRPr="00BD16B4">
        <w:t>Global Research Alliance on Agricultural Greenhouse Gases (GRA</w:t>
      </w:r>
      <w:bookmarkEnd w:id="335"/>
      <w:r w:rsidRPr="00BD16B4">
        <w:t>), which was founded in late 2009.</w:t>
      </w:r>
    </w:p>
    <w:p w14:paraId="6FA0577A" w14:textId="39482AB5" w:rsidR="00B71B4E" w:rsidRPr="00BD16B4" w:rsidRDefault="00B71B4E" w:rsidP="00B71B4E">
      <w:pPr>
        <w:pStyle w:val="BodyText"/>
        <w:spacing w:before="100" w:after="100"/>
      </w:pPr>
      <w:r w:rsidRPr="00BD16B4">
        <w:t>During the reporting period, New Zealand contributed approximately NZ$285.</w:t>
      </w:r>
      <w:r w:rsidR="005540A9" w:rsidRPr="00BD16B4">
        <w:t>78</w:t>
      </w:r>
      <w:r w:rsidRPr="00BD16B4">
        <w:t xml:space="preserve"> million in total financial assistance (NZ$217.1</w:t>
      </w:r>
      <w:r w:rsidR="005540A9" w:rsidRPr="00BD16B4">
        <w:t>2</w:t>
      </w:r>
      <w:r w:rsidRPr="00BD16B4">
        <w:t xml:space="preserve"> million in climate-specific support</w:t>
      </w:r>
      <w:r w:rsidRPr="00BD16B4">
        <w:rPr>
          <w:rStyle w:val="FootnoteReference"/>
          <w:rFonts w:cstheme="minorHAnsi"/>
        </w:rPr>
        <w:footnoteReference w:id="325"/>
      </w:r>
      <w:r w:rsidRPr="00BD16B4">
        <w:t xml:space="preserve">) for climate change outcomes across: </w:t>
      </w:r>
    </w:p>
    <w:p w14:paraId="7548E65E" w14:textId="5C19BDD5" w:rsidR="00B71B4E" w:rsidRPr="00BD16B4" w:rsidRDefault="00B71B4E" w:rsidP="0011037B">
      <w:pPr>
        <w:pStyle w:val="Bullet"/>
        <w:tabs>
          <w:tab w:val="num" w:pos="397"/>
        </w:tabs>
        <w:spacing w:after="100" w:line="280" w:lineRule="exact"/>
      </w:pPr>
      <w:r w:rsidRPr="00BD16B4">
        <w:t xml:space="preserve">multilateral climate change funds, such as the </w:t>
      </w:r>
      <w:bookmarkStart w:id="336" w:name="_Hlk115435715"/>
      <w:r w:rsidRPr="00BD16B4">
        <w:t>Global Environment Facility</w:t>
      </w:r>
      <w:bookmarkEnd w:id="336"/>
      <w:r w:rsidRPr="00BD16B4">
        <w:t>,</w:t>
      </w:r>
      <w:r w:rsidRPr="00BD16B4">
        <w:rPr>
          <w:rStyle w:val="FootnoteReference"/>
        </w:rPr>
        <w:footnoteReference w:id="326"/>
      </w:r>
      <w:r w:rsidRPr="00BD16B4">
        <w:t xml:space="preserve"> the </w:t>
      </w:r>
      <w:bookmarkStart w:id="337" w:name="_Hlk115435733"/>
      <w:r w:rsidRPr="00BD16B4">
        <w:t>Green Climate Fund</w:t>
      </w:r>
      <w:bookmarkEnd w:id="337"/>
      <w:r w:rsidRPr="00BD16B4">
        <w:t xml:space="preserve"> and the Adaptation Fund – total funding of NZ$22.16 million (climate-specific NZ$21.48 million)</w:t>
      </w:r>
      <w:r w:rsidR="005540A9" w:rsidRPr="00BD16B4">
        <w:t xml:space="preserve"> (table 7.4)</w:t>
      </w:r>
    </w:p>
    <w:p w14:paraId="08BA9884" w14:textId="77777777" w:rsidR="00B71B4E" w:rsidRPr="00BD16B4" w:rsidRDefault="00B71B4E" w:rsidP="0011037B">
      <w:pPr>
        <w:pStyle w:val="Bullet"/>
        <w:tabs>
          <w:tab w:val="num" w:pos="397"/>
        </w:tabs>
        <w:spacing w:after="100" w:line="280" w:lineRule="exact"/>
      </w:pPr>
      <w:r w:rsidRPr="00BD16B4">
        <w:t>a range of specialised United Nations bodies – total funding of NZ$40.94 million (climate-specific NZ$13.84 million) (table 7.4)</w:t>
      </w:r>
    </w:p>
    <w:p w14:paraId="7979B6DF" w14:textId="7EF696D4" w:rsidR="00B71B4E" w:rsidRPr="00BD16B4" w:rsidRDefault="00B71B4E" w:rsidP="0011037B">
      <w:pPr>
        <w:pStyle w:val="Bullet"/>
        <w:tabs>
          <w:tab w:val="num" w:pos="397"/>
        </w:tabs>
        <w:spacing w:after="100" w:line="280" w:lineRule="exact"/>
      </w:pPr>
      <w:r w:rsidRPr="00BD16B4">
        <w:t>a range of multilateral financial institutions including regional development banks – total funding NZ$6</w:t>
      </w:r>
      <w:r w:rsidR="00F54A8A" w:rsidRPr="00BD16B4">
        <w:t>8.46</w:t>
      </w:r>
      <w:r w:rsidRPr="00BD16B4">
        <w:t xml:space="preserve"> million (climate-specific NZ$27.58 million)</w:t>
      </w:r>
      <w:r w:rsidR="00F54A8A" w:rsidRPr="00BD16B4">
        <w:t xml:space="preserve"> (table 7.4)</w:t>
      </w:r>
    </w:p>
    <w:p w14:paraId="4D698EAF" w14:textId="4652543B" w:rsidR="00B71B4E" w:rsidRPr="00BD16B4" w:rsidRDefault="00B71B4E" w:rsidP="0011037B">
      <w:pPr>
        <w:pStyle w:val="Bullet"/>
        <w:tabs>
          <w:tab w:val="num" w:pos="397"/>
        </w:tabs>
        <w:spacing w:line="280" w:lineRule="exact"/>
      </w:pPr>
      <w:r w:rsidRPr="00BD16B4">
        <w:t>bilateral, regional and other channels – total funding of NZ$154.2</w:t>
      </w:r>
      <w:r w:rsidR="00F54A8A" w:rsidRPr="00BD16B4">
        <w:t>2</w:t>
      </w:r>
      <w:r w:rsidRPr="00BD16B4">
        <w:t xml:space="preserve"> million (table 7.5). </w:t>
      </w:r>
    </w:p>
    <w:p w14:paraId="6593AB36" w14:textId="77777777" w:rsidR="00B71B4E" w:rsidRPr="00BD16B4" w:rsidRDefault="00B71B4E" w:rsidP="004E1B8C">
      <w:pPr>
        <w:pStyle w:val="Heading4"/>
      </w:pPr>
      <w:r w:rsidRPr="00BD16B4">
        <w:t>Looking ahead</w:t>
      </w:r>
    </w:p>
    <w:p w14:paraId="6D1C1613" w14:textId="30EAE333" w:rsidR="00B71B4E" w:rsidRPr="00BD16B4" w:rsidRDefault="00B71B4E" w:rsidP="00B71B4E">
      <w:pPr>
        <w:pStyle w:val="BodyText"/>
      </w:pPr>
      <w:r w:rsidRPr="00BD16B4">
        <w:t xml:space="preserve">New Zealand remains committed to the global goal of jointly mobilising US$100 billion per year from a variety of sources through to 2025. This is in the context of developing countries taking meaningful mitigation actions and providing transparency on implementation. </w:t>
      </w:r>
    </w:p>
    <w:p w14:paraId="6987C079" w14:textId="48556D1E" w:rsidR="00B71B4E" w:rsidRPr="00BD16B4" w:rsidRDefault="00B71B4E" w:rsidP="0016541E">
      <w:pPr>
        <w:pStyle w:val="BodyText"/>
        <w:keepLines/>
      </w:pPr>
      <w:r w:rsidRPr="00BD16B4">
        <w:lastRenderedPageBreak/>
        <w:t xml:space="preserve">In October 2021, New Zealand committed to spend NZ$1.3 billion in grant-based climate finance between 2022 and 2025. The allocation of this funding will be guided by the </w:t>
      </w:r>
      <w:hyperlink r:id="rId117" w:history="1">
        <w:r w:rsidRPr="00BD16B4">
          <w:rPr>
            <w:rStyle w:val="Hyperlink"/>
            <w:rFonts w:asciiTheme="minorHAnsi" w:hAnsiTheme="minorHAnsi" w:cs="Arial"/>
            <w:i/>
          </w:rPr>
          <w:t>Aotearoa New Zealand International Climate Finance Strategy – Tuia te Waka a Kiwa</w:t>
        </w:r>
      </w:hyperlink>
      <w:r w:rsidRPr="00BD16B4">
        <w:t>.</w:t>
      </w:r>
      <w:r w:rsidRPr="00BD16B4">
        <w:rPr>
          <w:rStyle w:val="FootnoteReference"/>
          <w:rFonts w:cs="Arial"/>
        </w:rPr>
        <w:footnoteReference w:id="327"/>
      </w:r>
      <w:r w:rsidRPr="00BD16B4">
        <w:t xml:space="preserve"> The strategy will ensure that New Zealand’s climate finance supports developing countries and communities to build resilience in a world on a pathway to keeping global warming within 1.5</w:t>
      </w:r>
      <w:r w:rsidR="00833FAF" w:rsidRPr="00BD16B4">
        <w:t>°C</w:t>
      </w:r>
      <w:r w:rsidRPr="00BD16B4">
        <w:t xml:space="preserve">. To do this, the strategy will work towards four key goals: </w:t>
      </w:r>
    </w:p>
    <w:p w14:paraId="17EFDF9D" w14:textId="77777777" w:rsidR="00B71B4E" w:rsidRPr="00BD16B4" w:rsidRDefault="00B71B4E" w:rsidP="00833FAF">
      <w:pPr>
        <w:pStyle w:val="Numberedparagraph"/>
        <w:numPr>
          <w:ilvl w:val="0"/>
          <w:numId w:val="27"/>
        </w:numPr>
      </w:pPr>
      <w:r w:rsidRPr="00BD16B4">
        <w:t>enhance resilience and adaptation</w:t>
      </w:r>
    </w:p>
    <w:p w14:paraId="686254F6" w14:textId="77777777" w:rsidR="00B71B4E" w:rsidRPr="00BD16B4" w:rsidRDefault="00B71B4E" w:rsidP="0011037B">
      <w:pPr>
        <w:pStyle w:val="Numberedparagraph"/>
      </w:pPr>
      <w:r w:rsidRPr="00BD16B4">
        <w:t>promote quicker action on mitigation</w:t>
      </w:r>
    </w:p>
    <w:p w14:paraId="1F6253C9" w14:textId="77777777" w:rsidR="00B71B4E" w:rsidRPr="00BD16B4" w:rsidRDefault="00B71B4E" w:rsidP="0011037B">
      <w:pPr>
        <w:pStyle w:val="Numberedparagraph"/>
      </w:pPr>
      <w:r w:rsidRPr="00BD16B4">
        <w:t xml:space="preserve">improve information to allow evidence-based decisions </w:t>
      </w:r>
    </w:p>
    <w:p w14:paraId="1A350782" w14:textId="77777777" w:rsidR="00B71B4E" w:rsidRPr="00BD16B4" w:rsidRDefault="00B71B4E" w:rsidP="0011037B">
      <w:pPr>
        <w:pStyle w:val="Numberedparagraph"/>
      </w:pPr>
      <w:r w:rsidRPr="00BD16B4">
        <w:t xml:space="preserve">leverage our investments to make greater impact. </w:t>
      </w:r>
    </w:p>
    <w:p w14:paraId="7F6DD69F" w14:textId="77777777" w:rsidR="00B71B4E" w:rsidRPr="00BD16B4" w:rsidRDefault="00B71B4E" w:rsidP="00B71B4E">
      <w:pPr>
        <w:pStyle w:val="Heading3"/>
      </w:pPr>
      <w:r w:rsidRPr="00BD16B4">
        <w:t>7.1.1</w:t>
      </w:r>
      <w:r w:rsidRPr="00BD16B4">
        <w:tab/>
        <w:t>New and additional support</w:t>
      </w:r>
    </w:p>
    <w:p w14:paraId="33CF8E25" w14:textId="77777777" w:rsidR="00B71B4E" w:rsidRPr="00BD16B4" w:rsidRDefault="00B71B4E" w:rsidP="00B71B4E">
      <w:pPr>
        <w:pStyle w:val="BodyText"/>
      </w:pPr>
      <w:r w:rsidRPr="00BD16B4">
        <w:t xml:space="preserve">New Zealand’s approach to determining new and additional financial resources, for the period 2019–20, has been to report all climate-related assistance provided during the reporting period. This is the most transparent and appropriate way of communicating new resources provided. </w:t>
      </w:r>
    </w:p>
    <w:p w14:paraId="3C8CE900" w14:textId="77777777" w:rsidR="00B71B4E" w:rsidRPr="00BD16B4" w:rsidRDefault="00B71B4E" w:rsidP="00B71B4E">
      <w:pPr>
        <w:pStyle w:val="BodyText"/>
        <w:rPr>
          <w:highlight w:val="yellow"/>
        </w:rPr>
      </w:pPr>
      <w:r w:rsidRPr="00BD16B4">
        <w:t xml:space="preserve">This report includes any climate-related support provided over the reporting period that meets agreed </w:t>
      </w:r>
      <w:bookmarkStart w:id="338" w:name="_Hlk115437181"/>
      <w:r w:rsidRPr="00BD16B4">
        <w:t xml:space="preserve">Official Development Assistance </w:t>
      </w:r>
      <w:bookmarkEnd w:id="338"/>
      <w:r w:rsidRPr="00BD16B4">
        <w:t>(ODA) definitions (ie, with a strong concessional element and with economic development and the welfare of developing countries as its main objective). Because climate change is a cross-cutting development issue, this support frequently has co-benefits across a range of development outcomes. This is reflected in the integrated approach to climate change and development in the Pacific region.</w:t>
      </w:r>
      <w:r w:rsidRPr="00BD16B4">
        <w:rPr>
          <w:rStyle w:val="FootnoteReference"/>
        </w:rPr>
        <w:footnoteReference w:id="328"/>
      </w:r>
      <w:r w:rsidRPr="00BD16B4">
        <w:t xml:space="preserve"> For the 2019–20 reporting period, it is estimated that approximately 20 per cent of New Zealand’s IDC Programme had a climate-related component.</w:t>
      </w:r>
    </w:p>
    <w:p w14:paraId="3DA51315" w14:textId="77777777" w:rsidR="00B71B4E" w:rsidRPr="00BD16B4" w:rsidRDefault="00B71B4E" w:rsidP="00B71B4E">
      <w:pPr>
        <w:pStyle w:val="BodyText"/>
      </w:pPr>
      <w:r w:rsidRPr="00BD16B4">
        <w:t xml:space="preserve">Overall, New Zealand is committed to increasing its climate-related support. Future growth will be bolstered by: </w:t>
      </w:r>
    </w:p>
    <w:p w14:paraId="00D9F289" w14:textId="77777777" w:rsidR="00B71B4E" w:rsidRPr="00BD16B4" w:rsidRDefault="00B71B4E" w:rsidP="0011037B">
      <w:pPr>
        <w:pStyle w:val="Bullet"/>
      </w:pPr>
      <w:r w:rsidRPr="00BD16B4">
        <w:t>the increased IDC Programme budgets for 2021–23</w:t>
      </w:r>
    </w:p>
    <w:p w14:paraId="443A2672" w14:textId="77777777" w:rsidR="00B71B4E" w:rsidRPr="00BD16B4" w:rsidRDefault="00B71B4E" w:rsidP="0011037B">
      <w:pPr>
        <w:pStyle w:val="Bullet"/>
        <w:tabs>
          <w:tab w:val="num" w:pos="397"/>
        </w:tabs>
        <w:spacing w:line="280" w:lineRule="exact"/>
      </w:pPr>
      <w:r w:rsidRPr="00BD16B4">
        <w:t>New Zealand’s increased climate finance commitment of NZ$1.3 billion for 2022–25</w:t>
      </w:r>
    </w:p>
    <w:p w14:paraId="05E1B17F" w14:textId="77777777" w:rsidR="00B71B4E" w:rsidRPr="00BD16B4" w:rsidRDefault="00B71B4E" w:rsidP="0011037B">
      <w:pPr>
        <w:pStyle w:val="Bullet"/>
        <w:tabs>
          <w:tab w:val="num" w:pos="397"/>
        </w:tabs>
        <w:spacing w:line="280" w:lineRule="exact"/>
      </w:pPr>
      <w:r w:rsidRPr="00BD16B4">
        <w:t>increased efforts to mobilise private finance</w:t>
      </w:r>
    </w:p>
    <w:p w14:paraId="3E62F80E" w14:textId="77777777" w:rsidR="00B71B4E" w:rsidRPr="00BD16B4" w:rsidRDefault="00B71B4E" w:rsidP="0011037B">
      <w:pPr>
        <w:pStyle w:val="Bullet"/>
        <w:tabs>
          <w:tab w:val="num" w:pos="397"/>
        </w:tabs>
        <w:spacing w:line="280" w:lineRule="exact"/>
      </w:pPr>
      <w:r w:rsidRPr="00BD16B4">
        <w:t xml:space="preserve">continued efforts to mainstream climate change across New Zealand’s IDC Programme. </w:t>
      </w:r>
    </w:p>
    <w:p w14:paraId="75D2FD49" w14:textId="77777777" w:rsidR="00B71B4E" w:rsidRPr="00BD16B4" w:rsidRDefault="00B71B4E" w:rsidP="00B71B4E">
      <w:pPr>
        <w:pStyle w:val="Heading3"/>
      </w:pPr>
      <w:bookmarkStart w:id="339" w:name="_7.1.2_Approach_to"/>
      <w:bookmarkEnd w:id="339"/>
      <w:r w:rsidRPr="00BD16B4">
        <w:t>7.1.2</w:t>
      </w:r>
      <w:r w:rsidRPr="00BD16B4">
        <w:tab/>
        <w:t>Approach to tracking and reporting provision of support</w:t>
      </w:r>
    </w:p>
    <w:p w14:paraId="3A4BCF4F" w14:textId="77777777" w:rsidR="00B71B4E" w:rsidRPr="00BD16B4" w:rsidRDefault="00B71B4E" w:rsidP="00B71B4E">
      <w:pPr>
        <w:pStyle w:val="BodyText"/>
      </w:pPr>
      <w:r w:rsidRPr="00BD16B4">
        <w:t xml:space="preserve">New Zealand is committed to regular and transparent reporting of its climate-related support, and to improving the tracking of its climate-related financial flows. Tracking and monitoring climate finance enables both donor and recipient countries to direct support to areas or sectors that offer the greatest mitigation and adaptation potential, achieving the most effective outcomes and facilitating further climate finance and investment flows. </w:t>
      </w:r>
    </w:p>
    <w:p w14:paraId="095CD1DC" w14:textId="29DE0780" w:rsidR="00B71B4E" w:rsidRPr="00BD16B4" w:rsidRDefault="00B71B4E" w:rsidP="00B71B4E">
      <w:pPr>
        <w:pStyle w:val="BodyText"/>
        <w:rPr>
          <w:highlight w:val="yellow"/>
        </w:rPr>
      </w:pPr>
      <w:r w:rsidRPr="00BD16B4">
        <w:lastRenderedPageBreak/>
        <w:t>The IDC Programme uses the Rio markers of the Organisation for Economic Co-operation and</w:t>
      </w:r>
      <w:r w:rsidR="00352527" w:rsidRPr="00BD16B4">
        <w:t> </w:t>
      </w:r>
      <w:r w:rsidRPr="00BD16B4">
        <w:t>Development’s (OECD’s) Development Assistance Committee for tracking development assistance with climate change adaptation and mitigation outcomes. While the Development Assistance Committee’s</w:t>
      </w:r>
      <w:r w:rsidRPr="00BD16B4" w:rsidDel="00CA7890">
        <w:t xml:space="preserve"> </w:t>
      </w:r>
      <w:r w:rsidRPr="00BD16B4">
        <w:t xml:space="preserve">Rio markers capture the thematic objectives of each activity, they do </w:t>
      </w:r>
      <w:r w:rsidRPr="00BD16B4">
        <w:rPr>
          <w:spacing w:val="-2"/>
        </w:rPr>
        <w:t>not quantify expenditure towards these objectives. New Zealand has built on the Rio markers</w:t>
      </w:r>
      <w:r w:rsidRPr="00BD16B4">
        <w:t> to create a system to quantify the climate-related support provided by the IDC Programme.</w:t>
      </w:r>
    </w:p>
    <w:p w14:paraId="48EB9553" w14:textId="77777777" w:rsidR="00B71B4E" w:rsidRPr="00BD16B4" w:rsidRDefault="00B71B4E" w:rsidP="00B71B4E">
      <w:pPr>
        <w:pStyle w:val="BodyText"/>
      </w:pPr>
      <w:r w:rsidRPr="00BD16B4">
        <w:t>In 2018, New Zealand added a marker for capacity building. This marker is a binary indication of whether or not projects support climate change capacity building. New Zealand does not track financial resources towards this marker.</w:t>
      </w:r>
    </w:p>
    <w:p w14:paraId="10CC7808" w14:textId="77777777" w:rsidR="00B71B4E" w:rsidRPr="00BD16B4" w:rsidRDefault="00B71B4E" w:rsidP="00B71B4E">
      <w:pPr>
        <w:pStyle w:val="BodyText"/>
      </w:pPr>
      <w:r w:rsidRPr="00BD16B4">
        <w:t xml:space="preserve">The IDC tracking system allows climate-related expenditure to be quantified and recorded in the IDC Programme’s climate change inventory, according to specific classifications and moderation weightings, as table 7.1 shows. </w:t>
      </w:r>
    </w:p>
    <w:p w14:paraId="0F258D72" w14:textId="77777777" w:rsidR="00B71B4E" w:rsidRPr="00BD16B4" w:rsidRDefault="00B71B4E" w:rsidP="00BB7302">
      <w:pPr>
        <w:pStyle w:val="Tableheading"/>
      </w:pPr>
      <w:bookmarkStart w:id="340" w:name="_Toc497299755"/>
      <w:bookmarkStart w:id="341" w:name="_Toc500243266"/>
      <w:bookmarkStart w:id="342" w:name="_Toc25761203"/>
      <w:bookmarkStart w:id="343" w:name="_Toc27125838"/>
      <w:bookmarkStart w:id="344" w:name="_Toc121773822"/>
      <w:r w:rsidRPr="00BD16B4">
        <w:t>Table 7.1:</w:t>
      </w:r>
      <w:r w:rsidRPr="00BD16B4">
        <w:tab/>
        <w:t>Classifications and moderation weightings for quantifying and recording</w:t>
      </w:r>
      <w:r w:rsidRPr="00BD16B4">
        <w:br/>
        <w:t>climate-related expenditure</w:t>
      </w:r>
      <w:bookmarkEnd w:id="340"/>
      <w:bookmarkEnd w:id="341"/>
      <w:bookmarkEnd w:id="342"/>
      <w:bookmarkEnd w:id="343"/>
      <w:bookmarkEnd w:id="344"/>
    </w:p>
    <w:tbl>
      <w:tblPr>
        <w:tblW w:w="8505" w:type="dxa"/>
        <w:tblInd w:w="113"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1271"/>
        <w:gridCol w:w="4111"/>
        <w:gridCol w:w="3123"/>
      </w:tblGrid>
      <w:tr w:rsidR="00B71B4E" w:rsidRPr="00BD16B4" w14:paraId="755303DF" w14:textId="77777777" w:rsidTr="00F31129">
        <w:trPr>
          <w:tblHeader/>
        </w:trPr>
        <w:tc>
          <w:tcPr>
            <w:tcW w:w="1271" w:type="dxa"/>
            <w:tcBorders>
              <w:right w:val="single" w:sz="4" w:space="0" w:color="1C556C"/>
            </w:tcBorders>
            <w:shd w:val="clear" w:color="auto" w:fill="1C556C"/>
            <w:vAlign w:val="bottom"/>
          </w:tcPr>
          <w:p w14:paraId="2EB00D48" w14:textId="77777777" w:rsidR="00B71B4E" w:rsidRPr="00BD16B4" w:rsidRDefault="00B71B4E" w:rsidP="00F31129">
            <w:pPr>
              <w:pStyle w:val="TableTextBold0"/>
              <w:rPr>
                <w:color w:val="FFFFFF" w:themeColor="background1"/>
              </w:rPr>
            </w:pPr>
            <w:r w:rsidRPr="00BD16B4">
              <w:rPr>
                <w:color w:val="FFFFFF" w:themeColor="background1"/>
              </w:rPr>
              <w:t>Classification</w:t>
            </w:r>
          </w:p>
        </w:tc>
        <w:tc>
          <w:tcPr>
            <w:tcW w:w="4111" w:type="dxa"/>
            <w:tcBorders>
              <w:left w:val="single" w:sz="4" w:space="0" w:color="1C556C"/>
              <w:right w:val="single" w:sz="4" w:space="0" w:color="1C556C"/>
            </w:tcBorders>
            <w:shd w:val="clear" w:color="auto" w:fill="1C556C"/>
            <w:vAlign w:val="bottom"/>
          </w:tcPr>
          <w:p w14:paraId="32FA45D8" w14:textId="77777777" w:rsidR="00B71B4E" w:rsidRPr="00BD16B4" w:rsidRDefault="00B71B4E" w:rsidP="00F31129">
            <w:pPr>
              <w:pStyle w:val="TableTextBold0"/>
              <w:rPr>
                <w:color w:val="FFFFFF" w:themeColor="background1"/>
              </w:rPr>
            </w:pPr>
            <w:r w:rsidRPr="00BD16B4">
              <w:rPr>
                <w:color w:val="FFFFFF" w:themeColor="background1"/>
              </w:rPr>
              <w:t>Where addressing climate change is…</w:t>
            </w:r>
          </w:p>
        </w:tc>
        <w:tc>
          <w:tcPr>
            <w:tcW w:w="3123" w:type="dxa"/>
            <w:tcBorders>
              <w:left w:val="single" w:sz="4" w:space="0" w:color="1C556C"/>
            </w:tcBorders>
            <w:shd w:val="clear" w:color="auto" w:fill="1C556C"/>
            <w:vAlign w:val="bottom"/>
          </w:tcPr>
          <w:p w14:paraId="46563C45" w14:textId="77777777" w:rsidR="00B71B4E" w:rsidRPr="00BD16B4" w:rsidRDefault="00B71B4E" w:rsidP="00F31129">
            <w:pPr>
              <w:pStyle w:val="TableTextBold0"/>
              <w:rPr>
                <w:color w:val="FFFFFF" w:themeColor="background1"/>
              </w:rPr>
            </w:pPr>
            <w:r w:rsidRPr="00BD16B4">
              <w:rPr>
                <w:color w:val="FFFFFF" w:themeColor="background1"/>
              </w:rPr>
              <w:t>Financial information recorded in the climate change inventory</w:t>
            </w:r>
          </w:p>
        </w:tc>
      </w:tr>
      <w:tr w:rsidR="00B71B4E" w:rsidRPr="00BD16B4" w14:paraId="0B0D21E8" w14:textId="77777777" w:rsidTr="00F31129">
        <w:tc>
          <w:tcPr>
            <w:tcW w:w="1271" w:type="dxa"/>
          </w:tcPr>
          <w:p w14:paraId="0CC875EE" w14:textId="77777777" w:rsidR="00B71B4E" w:rsidRPr="00BD16B4" w:rsidRDefault="00B71B4E" w:rsidP="00F31129">
            <w:pPr>
              <w:pStyle w:val="TableText"/>
            </w:pPr>
            <w:r w:rsidRPr="00BD16B4">
              <w:t>Principal</w:t>
            </w:r>
          </w:p>
        </w:tc>
        <w:tc>
          <w:tcPr>
            <w:tcW w:w="4111" w:type="dxa"/>
          </w:tcPr>
          <w:p w14:paraId="0160DEF1" w14:textId="77777777" w:rsidR="00B71B4E" w:rsidRPr="00BD16B4" w:rsidRDefault="00B71B4E" w:rsidP="00F31129">
            <w:pPr>
              <w:pStyle w:val="TableText"/>
            </w:pPr>
            <w:r w:rsidRPr="00BD16B4">
              <w:t>…one of the main outcomes of the activity</w:t>
            </w:r>
          </w:p>
          <w:p w14:paraId="7C556EDB" w14:textId="77777777" w:rsidR="00B71B4E" w:rsidRPr="00BD16B4" w:rsidRDefault="00B71B4E" w:rsidP="00F31129">
            <w:pPr>
              <w:pStyle w:val="TableText"/>
              <w:spacing w:before="40"/>
            </w:pPr>
            <w:r w:rsidRPr="00BD16B4">
              <w:t>Addressing climate change risks or opportunities is fundamental to the design of the activity. The activity includes climate change as an important outcome. Climate change is explicitly addressed through specific outputs</w:t>
            </w:r>
          </w:p>
        </w:tc>
        <w:tc>
          <w:tcPr>
            <w:tcW w:w="3123" w:type="dxa"/>
          </w:tcPr>
          <w:p w14:paraId="748AC74F" w14:textId="77777777" w:rsidR="00B71B4E" w:rsidRPr="00BD16B4" w:rsidRDefault="00B71B4E" w:rsidP="00F31129">
            <w:pPr>
              <w:pStyle w:val="TableText"/>
            </w:pPr>
            <w:r w:rsidRPr="00BD16B4">
              <w:t>100% of the activity value for the financial year</w:t>
            </w:r>
          </w:p>
        </w:tc>
      </w:tr>
      <w:tr w:rsidR="00B71B4E" w:rsidRPr="00BD16B4" w14:paraId="3D0EFEA9" w14:textId="77777777" w:rsidTr="00F31129">
        <w:tc>
          <w:tcPr>
            <w:tcW w:w="1271" w:type="dxa"/>
          </w:tcPr>
          <w:p w14:paraId="11DA6CAB" w14:textId="77777777" w:rsidR="00B71B4E" w:rsidRPr="00BD16B4" w:rsidRDefault="00B71B4E" w:rsidP="00F31129">
            <w:pPr>
              <w:pStyle w:val="TableText"/>
            </w:pPr>
            <w:r w:rsidRPr="00BD16B4">
              <w:t>Significant</w:t>
            </w:r>
          </w:p>
        </w:tc>
        <w:tc>
          <w:tcPr>
            <w:tcW w:w="4111" w:type="dxa"/>
          </w:tcPr>
          <w:p w14:paraId="0387961F" w14:textId="77777777" w:rsidR="00B71B4E" w:rsidRPr="00BD16B4" w:rsidRDefault="00B71B4E" w:rsidP="00F31129">
            <w:pPr>
              <w:pStyle w:val="TableText"/>
            </w:pPr>
            <w:r w:rsidRPr="00BD16B4">
              <w:t>…one of the outcomes of the activity</w:t>
            </w:r>
          </w:p>
          <w:p w14:paraId="0396C702" w14:textId="77777777" w:rsidR="00B71B4E" w:rsidRPr="00BD16B4" w:rsidRDefault="00B71B4E" w:rsidP="00F31129">
            <w:pPr>
              <w:pStyle w:val="TableText"/>
              <w:spacing w:before="40"/>
            </w:pPr>
            <w:r w:rsidRPr="00BD16B4">
              <w:t>Addressing climate change risks or opportunities is an important but not the principal reason for undertaking the activity. Climate change is explicitly addressed as part of outputs in the activity design – these do more than simply avoid a potential negative impact</w:t>
            </w:r>
          </w:p>
        </w:tc>
        <w:tc>
          <w:tcPr>
            <w:tcW w:w="3123" w:type="dxa"/>
          </w:tcPr>
          <w:p w14:paraId="4A5D3D7D" w14:textId="77777777" w:rsidR="00B71B4E" w:rsidRPr="00BD16B4" w:rsidRDefault="00B71B4E" w:rsidP="00F31129">
            <w:pPr>
              <w:pStyle w:val="TableText"/>
            </w:pPr>
            <w:r w:rsidRPr="00BD16B4">
              <w:t>30% of the activity value for the financial year unless either:</w:t>
            </w:r>
          </w:p>
          <w:p w14:paraId="760CD33A" w14:textId="77777777" w:rsidR="00B71B4E" w:rsidRPr="00BD16B4" w:rsidRDefault="00B71B4E" w:rsidP="0011037B">
            <w:pPr>
              <w:pStyle w:val="TableBullet"/>
              <w:numPr>
                <w:ilvl w:val="0"/>
                <w:numId w:val="19"/>
              </w:numPr>
              <w:tabs>
                <w:tab w:val="num" w:pos="284"/>
              </w:tabs>
              <w:ind w:left="284" w:hanging="284"/>
            </w:pPr>
            <w:r w:rsidRPr="00BD16B4">
              <w:t>a more accurate figure is known or</w:t>
            </w:r>
          </w:p>
          <w:p w14:paraId="65104AB5" w14:textId="77777777" w:rsidR="00B71B4E" w:rsidRPr="00BD16B4" w:rsidRDefault="00B71B4E" w:rsidP="0011037B">
            <w:pPr>
              <w:pStyle w:val="TableBullet"/>
              <w:numPr>
                <w:ilvl w:val="0"/>
                <w:numId w:val="19"/>
              </w:numPr>
              <w:tabs>
                <w:tab w:val="num" w:pos="284"/>
              </w:tabs>
              <w:ind w:left="284" w:hanging="284"/>
            </w:pPr>
            <w:r w:rsidRPr="00BD16B4">
              <w:t>a different default figure is specified for the particular activity type</w:t>
            </w:r>
          </w:p>
        </w:tc>
      </w:tr>
      <w:tr w:rsidR="00B71B4E" w:rsidRPr="00BD16B4" w14:paraId="0515A93D" w14:textId="77777777" w:rsidTr="00F31129">
        <w:tc>
          <w:tcPr>
            <w:tcW w:w="1271" w:type="dxa"/>
          </w:tcPr>
          <w:p w14:paraId="034C6B5F" w14:textId="77777777" w:rsidR="00B71B4E" w:rsidRPr="00BD16B4" w:rsidRDefault="00B71B4E" w:rsidP="00F31129">
            <w:pPr>
              <w:pStyle w:val="TableText"/>
            </w:pPr>
            <w:r w:rsidRPr="00BD16B4">
              <w:t>Not targeted</w:t>
            </w:r>
          </w:p>
        </w:tc>
        <w:tc>
          <w:tcPr>
            <w:tcW w:w="4111" w:type="dxa"/>
          </w:tcPr>
          <w:p w14:paraId="25BFC40D" w14:textId="77777777" w:rsidR="00B71B4E" w:rsidRPr="00BD16B4" w:rsidRDefault="00B71B4E" w:rsidP="00F31129">
            <w:pPr>
              <w:pStyle w:val="TableText"/>
            </w:pPr>
            <w:r w:rsidRPr="00BD16B4">
              <w:t>…not an outcome of the activity</w:t>
            </w:r>
          </w:p>
          <w:p w14:paraId="48D0E477" w14:textId="77777777" w:rsidR="00B71B4E" w:rsidRPr="00BD16B4" w:rsidRDefault="00B71B4E" w:rsidP="00F31129">
            <w:pPr>
              <w:pStyle w:val="TableText"/>
              <w:spacing w:before="40"/>
            </w:pPr>
            <w:r w:rsidRPr="00BD16B4">
              <w:t>Climate change opportunities and risks have been assessed but will not be significantly addressed through any of the outputs in the Results Framework</w:t>
            </w:r>
          </w:p>
        </w:tc>
        <w:tc>
          <w:tcPr>
            <w:tcW w:w="3123" w:type="dxa"/>
          </w:tcPr>
          <w:p w14:paraId="10D98D7D" w14:textId="77777777" w:rsidR="00B71B4E" w:rsidRPr="00BD16B4" w:rsidRDefault="00B71B4E" w:rsidP="00F31129">
            <w:pPr>
              <w:pStyle w:val="TableText"/>
            </w:pPr>
            <w:r w:rsidRPr="00BD16B4">
              <w:t>0% of the activity value for the financial year</w:t>
            </w:r>
          </w:p>
        </w:tc>
      </w:tr>
    </w:tbl>
    <w:p w14:paraId="2B0A3ECF" w14:textId="77777777" w:rsidR="00B71B4E" w:rsidRPr="00BD16B4" w:rsidRDefault="00B71B4E" w:rsidP="00B71B4E">
      <w:pPr>
        <w:pStyle w:val="BodyText"/>
        <w:spacing w:before="240"/>
        <w:rPr>
          <w:caps/>
        </w:rPr>
      </w:pPr>
      <w:r w:rsidRPr="00BD16B4">
        <w:t>In addition to the criteria in table 7.1, some specific types of activities supported by the IDC Programme have specific weightings. Table 7.2 provides further guidance on the application of the climate change markers for those activities.</w:t>
      </w:r>
    </w:p>
    <w:p w14:paraId="43186723" w14:textId="77777777" w:rsidR="00B71B4E" w:rsidRPr="00BD16B4" w:rsidRDefault="00B71B4E" w:rsidP="00BB7302">
      <w:pPr>
        <w:pStyle w:val="Tableheading"/>
      </w:pPr>
      <w:bookmarkStart w:id="345" w:name="_Toc497299756"/>
      <w:bookmarkStart w:id="346" w:name="_Toc500243267"/>
      <w:bookmarkStart w:id="347" w:name="_Toc25761204"/>
      <w:bookmarkStart w:id="348" w:name="_Toc27125839"/>
      <w:bookmarkStart w:id="349" w:name="_Toc121773823"/>
      <w:r w:rsidRPr="00BD16B4">
        <w:t>Table 7.2:</w:t>
      </w:r>
      <w:r w:rsidRPr="00BD16B4">
        <w:tab/>
        <w:t>Guidance on the application of the climate change markers</w:t>
      </w:r>
      <w:bookmarkEnd w:id="345"/>
      <w:bookmarkEnd w:id="346"/>
      <w:bookmarkEnd w:id="347"/>
      <w:bookmarkEnd w:id="348"/>
      <w:bookmarkEnd w:id="349"/>
      <w:r w:rsidRPr="00BD16B4">
        <w:t xml:space="preserve"> </w:t>
      </w:r>
    </w:p>
    <w:tbl>
      <w:tblPr>
        <w:tblW w:w="8505" w:type="dxa"/>
        <w:tblInd w:w="113"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974"/>
        <w:gridCol w:w="3091"/>
        <w:gridCol w:w="2113"/>
        <w:gridCol w:w="1327"/>
      </w:tblGrid>
      <w:tr w:rsidR="00B71B4E" w:rsidRPr="00BD16B4" w14:paraId="072028A6" w14:textId="77777777" w:rsidTr="007C41C8">
        <w:trPr>
          <w:tblHeader/>
        </w:trPr>
        <w:tc>
          <w:tcPr>
            <w:tcW w:w="1985" w:type="dxa"/>
            <w:tcBorders>
              <w:right w:val="single" w:sz="4" w:space="0" w:color="1C556C"/>
            </w:tcBorders>
            <w:shd w:val="clear" w:color="auto" w:fill="1C556C"/>
          </w:tcPr>
          <w:p w14:paraId="1A397EB0" w14:textId="77777777" w:rsidR="00B71B4E" w:rsidRPr="00BD16B4" w:rsidRDefault="00B71B4E" w:rsidP="00F31129">
            <w:pPr>
              <w:pStyle w:val="TableText"/>
              <w:rPr>
                <w:b/>
                <w:color w:val="FFFFFF" w:themeColor="background1"/>
              </w:rPr>
            </w:pPr>
            <w:r w:rsidRPr="00BD16B4">
              <w:rPr>
                <w:b/>
                <w:color w:val="FFFFFF" w:themeColor="background1"/>
              </w:rPr>
              <w:t xml:space="preserve">Activity </w:t>
            </w:r>
          </w:p>
        </w:tc>
        <w:tc>
          <w:tcPr>
            <w:tcW w:w="3118" w:type="dxa"/>
            <w:tcBorders>
              <w:left w:val="single" w:sz="4" w:space="0" w:color="1C556C"/>
              <w:right w:val="single" w:sz="4" w:space="0" w:color="1C556C"/>
            </w:tcBorders>
            <w:shd w:val="clear" w:color="auto" w:fill="1C556C"/>
          </w:tcPr>
          <w:p w14:paraId="2ABDD8AA" w14:textId="77777777" w:rsidR="00B71B4E" w:rsidRPr="00BD16B4" w:rsidRDefault="00B71B4E" w:rsidP="00F31129">
            <w:pPr>
              <w:pStyle w:val="TableText"/>
              <w:rPr>
                <w:b/>
                <w:color w:val="FFFFFF" w:themeColor="background1"/>
              </w:rPr>
            </w:pPr>
            <w:r w:rsidRPr="00BD16B4">
              <w:rPr>
                <w:b/>
                <w:color w:val="FFFFFF" w:themeColor="background1"/>
              </w:rPr>
              <w:t>Description</w:t>
            </w:r>
          </w:p>
        </w:tc>
        <w:tc>
          <w:tcPr>
            <w:tcW w:w="2127" w:type="dxa"/>
            <w:tcBorders>
              <w:left w:val="single" w:sz="4" w:space="0" w:color="1C556C"/>
              <w:right w:val="single" w:sz="4" w:space="0" w:color="1C556C"/>
            </w:tcBorders>
            <w:shd w:val="clear" w:color="auto" w:fill="1C556C"/>
          </w:tcPr>
          <w:p w14:paraId="502DCA79" w14:textId="77777777" w:rsidR="00B71B4E" w:rsidRPr="00BD16B4" w:rsidRDefault="00B71B4E" w:rsidP="00F31129">
            <w:pPr>
              <w:pStyle w:val="TableText"/>
              <w:rPr>
                <w:b/>
                <w:color w:val="FFFFFF" w:themeColor="background1"/>
              </w:rPr>
            </w:pPr>
            <w:r w:rsidRPr="00BD16B4">
              <w:rPr>
                <w:b/>
                <w:color w:val="FFFFFF" w:themeColor="background1"/>
              </w:rPr>
              <w:t>Marker and classification</w:t>
            </w:r>
          </w:p>
        </w:tc>
        <w:tc>
          <w:tcPr>
            <w:tcW w:w="1332" w:type="dxa"/>
            <w:tcBorders>
              <w:left w:val="single" w:sz="4" w:space="0" w:color="1C556C"/>
            </w:tcBorders>
            <w:shd w:val="clear" w:color="auto" w:fill="1C556C"/>
          </w:tcPr>
          <w:p w14:paraId="07BD6033" w14:textId="77777777" w:rsidR="00B71B4E" w:rsidRPr="00BD16B4" w:rsidRDefault="00B71B4E" w:rsidP="00F31129">
            <w:pPr>
              <w:pStyle w:val="TableText"/>
              <w:rPr>
                <w:b/>
                <w:color w:val="FFFFFF" w:themeColor="background1"/>
              </w:rPr>
            </w:pPr>
            <w:r w:rsidRPr="00BD16B4">
              <w:rPr>
                <w:b/>
                <w:color w:val="FFFFFF" w:themeColor="background1"/>
              </w:rPr>
              <w:t>Weighting</w:t>
            </w:r>
          </w:p>
        </w:tc>
      </w:tr>
      <w:tr w:rsidR="00B71B4E" w:rsidRPr="00BD16B4" w14:paraId="771AF61B" w14:textId="77777777" w:rsidTr="00F31129">
        <w:tc>
          <w:tcPr>
            <w:tcW w:w="1985" w:type="dxa"/>
            <w:vMerge w:val="restart"/>
          </w:tcPr>
          <w:p w14:paraId="77C40A8B" w14:textId="77777777" w:rsidR="00B71B4E" w:rsidRPr="00BD16B4" w:rsidRDefault="00B71B4E" w:rsidP="00F31129">
            <w:pPr>
              <w:pStyle w:val="TableText"/>
            </w:pPr>
            <w:r w:rsidRPr="00BD16B4">
              <w:t>Disaster risk reduction and management</w:t>
            </w:r>
          </w:p>
        </w:tc>
        <w:tc>
          <w:tcPr>
            <w:tcW w:w="3118" w:type="dxa"/>
          </w:tcPr>
          <w:p w14:paraId="36D57713" w14:textId="77777777" w:rsidR="00B71B4E" w:rsidRPr="00BD16B4" w:rsidRDefault="00B71B4E" w:rsidP="00F31129">
            <w:pPr>
              <w:pStyle w:val="TableText"/>
            </w:pPr>
            <w:r w:rsidRPr="00BD16B4">
              <w:t>The activity is driven by a prime concern for extreme weather events</w:t>
            </w:r>
          </w:p>
        </w:tc>
        <w:tc>
          <w:tcPr>
            <w:tcW w:w="2127" w:type="dxa"/>
          </w:tcPr>
          <w:p w14:paraId="3645E20E" w14:textId="77777777" w:rsidR="00B71B4E" w:rsidRPr="00BD16B4" w:rsidRDefault="00B71B4E" w:rsidP="00F31129">
            <w:pPr>
              <w:pStyle w:val="TableText"/>
            </w:pPr>
            <w:r w:rsidRPr="00BD16B4">
              <w:t>Adaptation: Principal</w:t>
            </w:r>
          </w:p>
        </w:tc>
        <w:tc>
          <w:tcPr>
            <w:tcW w:w="1332" w:type="dxa"/>
          </w:tcPr>
          <w:p w14:paraId="31FDF7DF" w14:textId="77777777" w:rsidR="00B71B4E" w:rsidRPr="00BD16B4" w:rsidRDefault="00B71B4E" w:rsidP="00F31129">
            <w:pPr>
              <w:pStyle w:val="TableText"/>
            </w:pPr>
            <w:r w:rsidRPr="00BD16B4">
              <w:t>100%</w:t>
            </w:r>
          </w:p>
        </w:tc>
      </w:tr>
      <w:tr w:rsidR="00B71B4E" w:rsidRPr="00BD16B4" w14:paraId="7182AFBA" w14:textId="77777777" w:rsidTr="00F31129">
        <w:tc>
          <w:tcPr>
            <w:tcW w:w="1985" w:type="dxa"/>
            <w:vMerge/>
          </w:tcPr>
          <w:p w14:paraId="606070AE" w14:textId="77777777" w:rsidR="00B71B4E" w:rsidRPr="00BD16B4" w:rsidRDefault="00B71B4E" w:rsidP="00F31129">
            <w:pPr>
              <w:pStyle w:val="TableText"/>
            </w:pPr>
          </w:p>
        </w:tc>
        <w:tc>
          <w:tcPr>
            <w:tcW w:w="3118" w:type="dxa"/>
          </w:tcPr>
          <w:p w14:paraId="6ECF9B40" w14:textId="77777777" w:rsidR="00B71B4E" w:rsidRPr="00BD16B4" w:rsidRDefault="00B71B4E" w:rsidP="00F31129">
            <w:pPr>
              <w:pStyle w:val="TableText"/>
            </w:pPr>
            <w:r w:rsidRPr="00BD16B4">
              <w:t>The activity is driven by a prime concern for seismic events (earthquakes, tsunamis) but where extreme weather events occur</w:t>
            </w:r>
          </w:p>
        </w:tc>
        <w:tc>
          <w:tcPr>
            <w:tcW w:w="2127" w:type="dxa"/>
          </w:tcPr>
          <w:p w14:paraId="2D83D080" w14:textId="77777777" w:rsidR="00B71B4E" w:rsidRPr="00BD16B4" w:rsidRDefault="00B71B4E" w:rsidP="00F31129">
            <w:pPr>
              <w:pStyle w:val="TableText"/>
            </w:pPr>
            <w:r w:rsidRPr="00BD16B4">
              <w:t>Adaptation: Significant</w:t>
            </w:r>
          </w:p>
        </w:tc>
        <w:tc>
          <w:tcPr>
            <w:tcW w:w="1332" w:type="dxa"/>
          </w:tcPr>
          <w:p w14:paraId="34E287DB" w14:textId="77777777" w:rsidR="00B71B4E" w:rsidRPr="00BD16B4" w:rsidRDefault="00B71B4E" w:rsidP="00F31129">
            <w:pPr>
              <w:pStyle w:val="TableText"/>
            </w:pPr>
            <w:r w:rsidRPr="00BD16B4">
              <w:t>50%</w:t>
            </w:r>
          </w:p>
        </w:tc>
      </w:tr>
      <w:tr w:rsidR="00B71B4E" w:rsidRPr="00BD16B4" w14:paraId="2864C6F7" w14:textId="77777777" w:rsidTr="00F31129">
        <w:tc>
          <w:tcPr>
            <w:tcW w:w="1985" w:type="dxa"/>
          </w:tcPr>
          <w:p w14:paraId="3D9C643D" w14:textId="77777777" w:rsidR="00B71B4E" w:rsidRPr="00BD16B4" w:rsidRDefault="00B71B4E" w:rsidP="007C41C8">
            <w:pPr>
              <w:pStyle w:val="TableText"/>
              <w:keepNext/>
            </w:pPr>
            <w:r w:rsidRPr="00BD16B4">
              <w:lastRenderedPageBreak/>
              <w:t>Renewable energy and energy efficiency</w:t>
            </w:r>
          </w:p>
        </w:tc>
        <w:tc>
          <w:tcPr>
            <w:tcW w:w="3118" w:type="dxa"/>
          </w:tcPr>
          <w:p w14:paraId="33BE40C4" w14:textId="77777777" w:rsidR="00B71B4E" w:rsidRPr="00BD16B4" w:rsidRDefault="00B71B4E" w:rsidP="00F31129">
            <w:pPr>
              <w:pStyle w:val="TableText"/>
            </w:pPr>
            <w:r w:rsidRPr="00BD16B4">
              <w:t>Any activity dealing with renewable energy and/or energy efficiency, whether the prime concern is energy security, economic growth, climate change or any combination of these</w:t>
            </w:r>
          </w:p>
        </w:tc>
        <w:tc>
          <w:tcPr>
            <w:tcW w:w="2127" w:type="dxa"/>
          </w:tcPr>
          <w:p w14:paraId="24C7796B" w14:textId="77777777" w:rsidR="00B71B4E" w:rsidRPr="00BD16B4" w:rsidRDefault="00B71B4E" w:rsidP="00F31129">
            <w:pPr>
              <w:pStyle w:val="TableText"/>
            </w:pPr>
            <w:r w:rsidRPr="00BD16B4">
              <w:t>Mitigation: Principal</w:t>
            </w:r>
          </w:p>
        </w:tc>
        <w:tc>
          <w:tcPr>
            <w:tcW w:w="1332" w:type="dxa"/>
          </w:tcPr>
          <w:p w14:paraId="1389CC06" w14:textId="77777777" w:rsidR="00B71B4E" w:rsidRPr="00BD16B4" w:rsidRDefault="00B71B4E" w:rsidP="00F31129">
            <w:pPr>
              <w:pStyle w:val="TableText"/>
            </w:pPr>
            <w:r w:rsidRPr="00BD16B4">
              <w:t>100%</w:t>
            </w:r>
          </w:p>
        </w:tc>
      </w:tr>
      <w:tr w:rsidR="00B71B4E" w:rsidRPr="00BD16B4" w14:paraId="2C75E0ED" w14:textId="77777777" w:rsidTr="00F31129">
        <w:tc>
          <w:tcPr>
            <w:tcW w:w="1985" w:type="dxa"/>
          </w:tcPr>
          <w:p w14:paraId="3D31C1D4" w14:textId="77777777" w:rsidR="00B71B4E" w:rsidRPr="00BD16B4" w:rsidRDefault="00B71B4E" w:rsidP="00F31129">
            <w:pPr>
              <w:pStyle w:val="TableText"/>
            </w:pPr>
            <w:r w:rsidRPr="00BD16B4">
              <w:t>Energy upgrading</w:t>
            </w:r>
          </w:p>
        </w:tc>
        <w:tc>
          <w:tcPr>
            <w:tcW w:w="3118" w:type="dxa"/>
          </w:tcPr>
          <w:p w14:paraId="38E5C286" w14:textId="77777777" w:rsidR="00B71B4E" w:rsidRPr="00BD16B4" w:rsidRDefault="00B71B4E" w:rsidP="00F31129">
            <w:pPr>
              <w:pStyle w:val="TableText"/>
            </w:pPr>
            <w:r w:rsidRPr="00BD16B4">
              <w:t>Energy upgrading activities, where the outcome of the activity is safer access to energy supplies during extreme weather events, can potentially be marked significant</w:t>
            </w:r>
          </w:p>
        </w:tc>
        <w:tc>
          <w:tcPr>
            <w:tcW w:w="2127" w:type="dxa"/>
          </w:tcPr>
          <w:p w14:paraId="616466B8" w14:textId="77777777" w:rsidR="00B71B4E" w:rsidRPr="00BD16B4" w:rsidRDefault="00B71B4E" w:rsidP="00F31129">
            <w:pPr>
              <w:pStyle w:val="TableText"/>
            </w:pPr>
            <w:r w:rsidRPr="00BD16B4">
              <w:t>Adaptation: Significant</w:t>
            </w:r>
          </w:p>
        </w:tc>
        <w:tc>
          <w:tcPr>
            <w:tcW w:w="1332" w:type="dxa"/>
          </w:tcPr>
          <w:p w14:paraId="63C58B17" w14:textId="77777777" w:rsidR="00B71B4E" w:rsidRPr="00BD16B4" w:rsidRDefault="00B71B4E" w:rsidP="00F31129">
            <w:pPr>
              <w:pStyle w:val="TableText"/>
            </w:pPr>
            <w:r w:rsidRPr="00BD16B4">
              <w:t>30%</w:t>
            </w:r>
          </w:p>
        </w:tc>
      </w:tr>
    </w:tbl>
    <w:p w14:paraId="4142A955" w14:textId="77777777" w:rsidR="00B71B4E" w:rsidRPr="00BD16B4" w:rsidRDefault="00B71B4E" w:rsidP="00B71B4E">
      <w:pPr>
        <w:pStyle w:val="BodyText"/>
        <w:spacing w:before="240"/>
      </w:pPr>
      <w:r w:rsidRPr="00BD16B4">
        <w:t xml:space="preserve">In this </w:t>
      </w:r>
      <w:r w:rsidRPr="00BD16B4">
        <w:rPr>
          <w:i/>
          <w:iCs/>
        </w:rPr>
        <w:t>Eighth National Communication</w:t>
      </w:r>
      <w:r w:rsidRPr="00BD16B4">
        <w:t>, New Zealand provides information on:</w:t>
      </w:r>
    </w:p>
    <w:p w14:paraId="3566F56D" w14:textId="77777777" w:rsidR="00B71B4E" w:rsidRPr="00BD16B4" w:rsidRDefault="00B71B4E" w:rsidP="0011037B">
      <w:pPr>
        <w:pStyle w:val="Bullet"/>
      </w:pPr>
      <w:r w:rsidRPr="00BD16B4">
        <w:t>bilateral financial contributions, including funding from the IDC Programme for activities where addressing climate change is assessed as being the ‘principal’ or ‘significant’ outcome of the activity</w:t>
      </w:r>
    </w:p>
    <w:p w14:paraId="49E21E61" w14:textId="77777777" w:rsidR="00B71B4E" w:rsidRPr="00BD16B4" w:rsidRDefault="00B71B4E" w:rsidP="0011037B">
      <w:pPr>
        <w:pStyle w:val="Bullet"/>
        <w:tabs>
          <w:tab w:val="num" w:pos="397"/>
        </w:tabs>
        <w:spacing w:line="280" w:lineRule="exact"/>
      </w:pPr>
      <w:r w:rsidRPr="00BD16B4">
        <w:t>financial contributions to regional organisations with a strategic focus on climate change</w:t>
      </w:r>
    </w:p>
    <w:p w14:paraId="02B44988" w14:textId="77777777" w:rsidR="00B71B4E" w:rsidRPr="00BD16B4" w:rsidRDefault="00B71B4E" w:rsidP="0011037B">
      <w:pPr>
        <w:pStyle w:val="Bullet"/>
        <w:tabs>
          <w:tab w:val="num" w:pos="397"/>
        </w:tabs>
        <w:spacing w:line="280" w:lineRule="exact"/>
      </w:pPr>
      <w:r w:rsidRPr="00BD16B4">
        <w:t>financial contributions to multilateral agencies that have climate change as an integral part of their strategic plans and approaches.</w:t>
      </w:r>
    </w:p>
    <w:p w14:paraId="59759529" w14:textId="77777777" w:rsidR="00B71B4E" w:rsidRPr="00BD16B4" w:rsidRDefault="00B71B4E" w:rsidP="00B71B4E">
      <w:pPr>
        <w:pStyle w:val="BodyText"/>
      </w:pPr>
      <w:r w:rsidRPr="00BD16B4">
        <w:t xml:space="preserve">Except for funding to support </w:t>
      </w:r>
      <w:r w:rsidRPr="00BD16B4">
        <w:rPr>
          <w:rFonts w:asciiTheme="minorHAnsi" w:hAnsiTheme="minorHAnsi" w:cstheme="minorHAnsi"/>
        </w:rPr>
        <w:t>GRA</w:t>
      </w:r>
      <w:r w:rsidRPr="00BD16B4">
        <w:t xml:space="preserve"> activities, New Zealand does not monitor its core funding to regional and multilateral organisations to the level of specific climate change allocations and actions. Some of the figures provided in table 7.4 and table 7.5 represent total contributions to multilateral and regional organisations that New Zealand “cannot specify as being climate-specific”. This approach is in keeping with the UNFCCC Biennial Reporting Guidelines for developed country Parties.</w:t>
      </w:r>
      <w:r w:rsidRPr="00BD16B4">
        <w:rPr>
          <w:rStyle w:val="FootnoteReference"/>
        </w:rPr>
        <w:footnoteReference w:id="329"/>
      </w:r>
      <w:r w:rsidRPr="00BD16B4">
        <w:t xml:space="preserve"> </w:t>
      </w:r>
    </w:p>
    <w:p w14:paraId="0EE82CED" w14:textId="77777777" w:rsidR="00B71B4E" w:rsidRPr="00BD16B4" w:rsidRDefault="00B71B4E" w:rsidP="00B71B4E">
      <w:pPr>
        <w:pStyle w:val="Heading3"/>
      </w:pPr>
      <w:r w:rsidRPr="00BD16B4">
        <w:t>7.1.3</w:t>
      </w:r>
      <w:r w:rsidRPr="00BD16B4">
        <w:tab/>
        <w:t>New Zealand’s IDC Programme principles</w:t>
      </w:r>
    </w:p>
    <w:p w14:paraId="7C104135" w14:textId="70D6CE79" w:rsidR="00B71B4E" w:rsidRPr="00BD16B4" w:rsidRDefault="00B71B4E" w:rsidP="00B71B4E">
      <w:pPr>
        <w:pStyle w:val="BodyText"/>
        <w:spacing w:after="100"/>
      </w:pPr>
      <w:r w:rsidRPr="00BD16B4">
        <w:t xml:space="preserve">New Zealand’s IDC Programme pursues impactful development outcomes through four principles when providing climate-related support, as outlined in </w:t>
      </w:r>
      <w:r w:rsidRPr="00BD16B4">
        <w:rPr>
          <w:i/>
        </w:rPr>
        <w:t>New Zealand’s International Cooperation for Effective Sustainable Development (ICESD)</w:t>
      </w:r>
      <w:r w:rsidRPr="00BD16B4">
        <w:t>.</w:t>
      </w:r>
      <w:r w:rsidRPr="00BD16B4">
        <w:rPr>
          <w:rStyle w:val="FootnoteReference"/>
        </w:rPr>
        <w:footnoteReference w:id="330"/>
      </w:r>
      <w:r w:rsidRPr="00BD16B4">
        <w:t xml:space="preserve"> These principles are that:</w:t>
      </w:r>
    </w:p>
    <w:p w14:paraId="16A2888A" w14:textId="77777777" w:rsidR="00B71B4E" w:rsidRPr="00BD16B4" w:rsidRDefault="00B71B4E" w:rsidP="0011037B">
      <w:pPr>
        <w:pStyle w:val="Bullet"/>
        <w:tabs>
          <w:tab w:val="num" w:pos="397"/>
        </w:tabs>
        <w:spacing w:line="280" w:lineRule="exact"/>
      </w:pPr>
      <w:r w:rsidRPr="00BD16B4">
        <w:rPr>
          <w:b/>
        </w:rPr>
        <w:t>effective development</w:t>
      </w:r>
      <w:r w:rsidRPr="00BD16B4">
        <w:t xml:space="preserve"> is values driven, partnership focused, adaptive, outcomes focused and evidence based</w:t>
      </w:r>
    </w:p>
    <w:p w14:paraId="745CDA64" w14:textId="77777777" w:rsidR="00B71B4E" w:rsidRPr="00BD16B4" w:rsidRDefault="00B71B4E" w:rsidP="0011037B">
      <w:pPr>
        <w:pStyle w:val="Bullet"/>
        <w:tabs>
          <w:tab w:val="num" w:pos="397"/>
        </w:tabs>
        <w:spacing w:line="280" w:lineRule="exact"/>
      </w:pPr>
      <w:r w:rsidRPr="00BD16B4">
        <w:rPr>
          <w:b/>
        </w:rPr>
        <w:t xml:space="preserve">inclusive development </w:t>
      </w:r>
      <w:r w:rsidRPr="00BD16B4">
        <w:t>addresses exclusions and inequality created across all dimensions of social identity, while promoting human rights and equitable participation in the benefits of development</w:t>
      </w:r>
    </w:p>
    <w:p w14:paraId="29331A60" w14:textId="77777777" w:rsidR="00B71B4E" w:rsidRPr="00BD16B4" w:rsidRDefault="00B71B4E" w:rsidP="0011037B">
      <w:pPr>
        <w:pStyle w:val="Bullet"/>
      </w:pPr>
      <w:r w:rsidRPr="00BD16B4">
        <w:rPr>
          <w:b/>
        </w:rPr>
        <w:t xml:space="preserve">resilient development </w:t>
      </w:r>
      <w:r w:rsidRPr="00BD16B4">
        <w:t>strengthens the environment, economy and societies to withstand shocks and manage crises while protecting future wellbeing</w:t>
      </w:r>
    </w:p>
    <w:p w14:paraId="2887AC05" w14:textId="77777777" w:rsidR="00B71B4E" w:rsidRPr="00BD16B4" w:rsidRDefault="00B71B4E" w:rsidP="0011037B">
      <w:pPr>
        <w:pStyle w:val="Bullet"/>
        <w:tabs>
          <w:tab w:val="num" w:pos="397"/>
        </w:tabs>
        <w:spacing w:line="280" w:lineRule="exact"/>
      </w:pPr>
      <w:r w:rsidRPr="00BD16B4">
        <w:rPr>
          <w:b/>
        </w:rPr>
        <w:t xml:space="preserve">sustained development </w:t>
      </w:r>
      <w:r w:rsidRPr="00BD16B4">
        <w:t>enables lasting progress and is locally owned to uphold results in the long term.</w:t>
      </w:r>
    </w:p>
    <w:p w14:paraId="77DEF8CE" w14:textId="77777777" w:rsidR="00B71B4E" w:rsidRPr="00BD16B4" w:rsidRDefault="00B71B4E" w:rsidP="00B71B4E">
      <w:pPr>
        <w:pStyle w:val="BodyText"/>
        <w:spacing w:before="100" w:after="100"/>
      </w:pPr>
      <w:r w:rsidRPr="00BD16B4">
        <w:lastRenderedPageBreak/>
        <w:t>New Zealand aims to, where appropriate, integrate environment and climate change objectives as cross</w:t>
      </w:r>
      <w:r w:rsidRPr="00BD16B4">
        <w:noBreakHyphen/>
        <w:t>cutting issues in all activities managed by</w:t>
      </w:r>
      <w:r w:rsidRPr="00BD16B4" w:rsidDel="00934890">
        <w:t xml:space="preserve"> </w:t>
      </w:r>
      <w:r w:rsidRPr="00BD16B4">
        <w:t xml:space="preserve">its IDC Programme. This is in </w:t>
      </w:r>
      <w:r w:rsidRPr="00BD16B4">
        <w:rPr>
          <w:spacing w:val="-2"/>
        </w:rPr>
        <w:t>keeping with international best practice and reduces the reporting burden for partner countries</w:t>
      </w:r>
      <w:r w:rsidRPr="00BD16B4">
        <w:t>. Designing development assistance with environment and climate change co</w:t>
      </w:r>
      <w:r w:rsidRPr="00BD16B4">
        <w:noBreakHyphen/>
        <w:t xml:space="preserve">benefits in mind ensures the development initiatives funded by the IDC Programme support sustainable management of natural assets and address climate change. </w:t>
      </w:r>
    </w:p>
    <w:p w14:paraId="3FFBF17E" w14:textId="189AC426" w:rsidR="00B71B4E" w:rsidRPr="00BD16B4" w:rsidRDefault="00B71B4E" w:rsidP="00B71B4E">
      <w:pPr>
        <w:pStyle w:val="Heading2"/>
      </w:pPr>
      <w:bookmarkStart w:id="350" w:name="_Toc497740296"/>
      <w:bookmarkStart w:id="351" w:name="_Toc497740398"/>
      <w:bookmarkStart w:id="352" w:name="_Toc500796165"/>
      <w:bookmarkStart w:id="353" w:name="_Toc121774658"/>
      <w:r w:rsidRPr="00BD16B4">
        <w:t xml:space="preserve">7.2 </w:t>
      </w:r>
      <w:r w:rsidRPr="00BD16B4">
        <w:tab/>
        <w:t>Financial resources</w:t>
      </w:r>
      <w:bookmarkEnd w:id="350"/>
      <w:bookmarkEnd w:id="351"/>
      <w:bookmarkEnd w:id="352"/>
      <w:bookmarkEnd w:id="353"/>
    </w:p>
    <w:p w14:paraId="3F6C55F3" w14:textId="77777777" w:rsidR="00B71B4E" w:rsidRPr="00BD16B4" w:rsidRDefault="00B71B4E" w:rsidP="005B5C5C">
      <w:pPr>
        <w:pStyle w:val="BodyText"/>
        <w:spacing w:after="100"/>
      </w:pPr>
      <w:r w:rsidRPr="00BD16B4">
        <w:t xml:space="preserve">This </w:t>
      </w:r>
      <w:r w:rsidRPr="00BD16B4">
        <w:rPr>
          <w:i/>
        </w:rPr>
        <w:t xml:space="preserve">Eighth National Communication </w:t>
      </w:r>
      <w:r w:rsidRPr="00BD16B4">
        <w:t>reports on all climate-related financial support New Zealand provided during 2019–20, for the purpose of assisting developing countries’ climate change mitigation and adaptation efforts.</w:t>
      </w:r>
      <w:r w:rsidRPr="00BD16B4">
        <w:rPr>
          <w:rStyle w:val="FootnoteReference"/>
        </w:rPr>
        <w:footnoteReference w:id="331"/>
      </w:r>
      <w:r w:rsidRPr="00BD16B4">
        <w:t xml:space="preserve"> This report also highlights some of the key initiatives Aotearoa New Zealand has supported.</w:t>
      </w:r>
    </w:p>
    <w:p w14:paraId="3A2A29B0" w14:textId="77777777" w:rsidR="00B71B4E" w:rsidRPr="00BD16B4" w:rsidRDefault="00B71B4E" w:rsidP="005B5C5C">
      <w:pPr>
        <w:pStyle w:val="BodyText"/>
        <w:spacing w:after="100"/>
      </w:pPr>
      <w:r w:rsidRPr="00BD16B4">
        <w:t>New Zealand’s reporting period includes two calendar years, 2019 and 2020. Funds are reported in New Zealand dollars (NZ$). The methodology used for calculating currency exchange is the annual average exchange rates, as used by the OECD. The rates used are:</w:t>
      </w:r>
    </w:p>
    <w:p w14:paraId="7E8E19AE" w14:textId="77777777" w:rsidR="00B71B4E" w:rsidRPr="00BD16B4" w:rsidRDefault="00B71B4E" w:rsidP="005B5C5C">
      <w:pPr>
        <w:pStyle w:val="Bullet"/>
        <w:tabs>
          <w:tab w:val="num" w:pos="397"/>
        </w:tabs>
        <w:spacing w:after="100" w:line="280" w:lineRule="exact"/>
      </w:pPr>
      <w:r w:rsidRPr="00BD16B4">
        <w:t>2019: US$ 1 = NZ$ 1.518</w:t>
      </w:r>
    </w:p>
    <w:p w14:paraId="2C7C12C3" w14:textId="77777777" w:rsidR="00B71B4E" w:rsidRPr="00BD16B4" w:rsidRDefault="00B71B4E" w:rsidP="0011037B">
      <w:pPr>
        <w:pStyle w:val="Bullet"/>
        <w:tabs>
          <w:tab w:val="num" w:pos="397"/>
        </w:tabs>
        <w:spacing w:line="280" w:lineRule="exact"/>
      </w:pPr>
      <w:r w:rsidRPr="00BD16B4">
        <w:t>2020: US$ 1 = NZ$ 1.542.</w:t>
      </w:r>
    </w:p>
    <w:p w14:paraId="2EE881B5" w14:textId="77777777" w:rsidR="00B71B4E" w:rsidRPr="00BD16B4" w:rsidRDefault="00B71B4E" w:rsidP="00B71B4E">
      <w:pPr>
        <w:pStyle w:val="BodyText"/>
      </w:pPr>
      <w:r w:rsidRPr="00BD16B4">
        <w:t>This report has adopted the UNFCCC</w:t>
      </w:r>
      <w:r w:rsidRPr="00BD16B4">
        <w:noBreakHyphen/>
        <w:t>agreed common tabular format from the revised UNFCCC guidelines on reporting national communications for Parties included in Annex I to the convention (FCCC/CP/2019/13/Add.1). This is to ensure transparency in reporting financial data and to promote consistency across all financial contributors.</w:t>
      </w:r>
    </w:p>
    <w:p w14:paraId="28C4BF71" w14:textId="77777777" w:rsidR="00B71B4E" w:rsidRPr="00BD16B4" w:rsidRDefault="00B71B4E" w:rsidP="00B71B4E">
      <w:pPr>
        <w:pStyle w:val="BodyText"/>
      </w:pPr>
      <w:r w:rsidRPr="00BD16B4">
        <w:t xml:space="preserve">For the purposes of this report, ‘provided’ means funds that have been transferred from the New Zealand Government to a recipient, including any multilateral or regional organisation. </w:t>
      </w:r>
    </w:p>
    <w:p w14:paraId="1EF11EDB" w14:textId="77777777" w:rsidR="00B71B4E" w:rsidRPr="00BD16B4" w:rsidRDefault="00B71B4E" w:rsidP="00B71B4E">
      <w:pPr>
        <w:pStyle w:val="BodyText"/>
      </w:pPr>
      <w:r w:rsidRPr="00BD16B4">
        <w:t>Table 7.3 summarises the public financial support New Zealand has provided in 2019–20. The tables that follow provide more detail on how it provided that support through multilateral channels (table 7.4) and bilateral, regional and other channels (table 7.5) in each of the reporting years.</w:t>
      </w:r>
    </w:p>
    <w:p w14:paraId="23397201" w14:textId="77777777" w:rsidR="00B71B4E" w:rsidRPr="00BD16B4" w:rsidRDefault="00B71B4E" w:rsidP="00B71B4E">
      <w:pPr>
        <w:pStyle w:val="Heading3"/>
        <w:spacing w:before="280"/>
      </w:pPr>
      <w:r w:rsidRPr="00BD16B4">
        <w:t>7.2.1</w:t>
      </w:r>
      <w:r w:rsidRPr="00BD16B4">
        <w:tab/>
        <w:t>Multilateral support</w:t>
      </w:r>
    </w:p>
    <w:p w14:paraId="6DD75DE9" w14:textId="77777777" w:rsidR="00B71B4E" w:rsidRPr="00BD16B4" w:rsidRDefault="00B71B4E" w:rsidP="005B5C5C">
      <w:pPr>
        <w:pStyle w:val="BodyText"/>
        <w:spacing w:before="100"/>
      </w:pPr>
      <w:r w:rsidRPr="00BD16B4">
        <w:t xml:space="preserve">New Zealand provides support to multilateral funds with a strategic focus on climate change, including the </w:t>
      </w:r>
      <w:bookmarkStart w:id="354" w:name="_Hlk115442445"/>
      <w:r w:rsidRPr="00BD16B4">
        <w:t>Adaptation Fund</w:t>
      </w:r>
      <w:bookmarkEnd w:id="354"/>
      <w:r w:rsidRPr="00BD16B4">
        <w:t>, the Global Environment Facility (GEF) and the Green Climate Fund (GCF).</w:t>
      </w:r>
    </w:p>
    <w:p w14:paraId="7A3AB3C5" w14:textId="77777777" w:rsidR="00B71B4E" w:rsidRPr="00BD16B4" w:rsidRDefault="00B71B4E" w:rsidP="004E1B8C">
      <w:pPr>
        <w:pStyle w:val="Heading4"/>
      </w:pPr>
      <w:r w:rsidRPr="00BD16B4">
        <w:t>Adaptation Fund</w:t>
      </w:r>
    </w:p>
    <w:p w14:paraId="390F7DC9" w14:textId="77777777" w:rsidR="00B71B4E" w:rsidRPr="00BD16B4" w:rsidRDefault="00B71B4E" w:rsidP="005B5C5C">
      <w:pPr>
        <w:pStyle w:val="BodyText"/>
        <w:spacing w:before="100"/>
      </w:pPr>
      <w:r w:rsidRPr="00BD16B4">
        <w:t>The Adaptation Fund</w:t>
      </w:r>
      <w:r w:rsidRPr="00BD16B4" w:rsidDel="00CC44E5">
        <w:t xml:space="preserve"> </w:t>
      </w:r>
      <w:r w:rsidRPr="00BD16B4">
        <w:t>was established in 2001 to finance concrete adaptation projects and programmes in developing country Parties to the Kyoto Protocol that are particularly vulnerable to the adverse effects of climate change.</w:t>
      </w:r>
    </w:p>
    <w:p w14:paraId="22594D2E" w14:textId="5F6ECF0E" w:rsidR="00B71B4E" w:rsidRPr="00BD16B4" w:rsidRDefault="00B71B4E" w:rsidP="00B71B4E">
      <w:pPr>
        <w:pStyle w:val="BodyText"/>
      </w:pPr>
      <w:r w:rsidRPr="00BD16B4">
        <w:t>In 2019, New Zealand contributed NZ$3 million to the Adaptation Fund. This contribution responds to the calls from Pacific countries for a greater focus on finance for climate change</w:t>
      </w:r>
      <w:r w:rsidR="00E000F1" w:rsidRPr="00BD16B4">
        <w:t> </w:t>
      </w:r>
      <w:r w:rsidRPr="00BD16B4">
        <w:t>adaptation.</w:t>
      </w:r>
    </w:p>
    <w:p w14:paraId="56F2AA49" w14:textId="77777777" w:rsidR="00B71B4E" w:rsidRPr="00BD16B4" w:rsidRDefault="00B71B4E" w:rsidP="004E1B8C">
      <w:pPr>
        <w:pStyle w:val="Heading4"/>
      </w:pPr>
      <w:r w:rsidRPr="00BD16B4">
        <w:lastRenderedPageBreak/>
        <w:t>Global Environment Facility</w:t>
      </w:r>
    </w:p>
    <w:p w14:paraId="367BA4C9" w14:textId="77777777" w:rsidR="00B71B4E" w:rsidRPr="00BD16B4" w:rsidRDefault="00B71B4E" w:rsidP="00B71B4E">
      <w:pPr>
        <w:pStyle w:val="BodyText"/>
        <w:rPr>
          <w:highlight w:val="yellow"/>
        </w:rPr>
      </w:pPr>
      <w:r w:rsidRPr="00BD16B4">
        <w:t>The GEF is an operating entity of the UNFCCC’s Financial Mechanism. It distributes financial assistance associated with the major multilateral agreements on climate change, biodiversity, persistent organic pollutants, ozone-depleting substances and desertification. It also supports activities relating to land degradation and international waters.</w:t>
      </w:r>
      <w:r w:rsidRPr="00BD16B4">
        <w:rPr>
          <w:highlight w:val="yellow"/>
        </w:rPr>
        <w:t xml:space="preserve"> </w:t>
      </w:r>
    </w:p>
    <w:p w14:paraId="406D8CEF" w14:textId="77777777" w:rsidR="00B71B4E" w:rsidRPr="00BD16B4" w:rsidRDefault="00B71B4E" w:rsidP="00B71B4E">
      <w:pPr>
        <w:pStyle w:val="BodyText"/>
        <w:spacing w:before="100" w:after="100"/>
        <w:rPr>
          <w:rFonts w:cs="Arial"/>
        </w:rPr>
      </w:pPr>
      <w:r w:rsidRPr="00BD16B4">
        <w:t>The reporting period falls within the seventh (2018–22) replenishment period of the GEF Trust Fund. Table 7.4 provides details of New Zealand’s total contributions to the GEF Trust Fund for the 2019–20 reporting period, which amounted to NZ$4.15 million.</w:t>
      </w:r>
      <w:r w:rsidRPr="00BD16B4">
        <w:rPr>
          <w:rStyle w:val="FootnoteReference"/>
          <w:rFonts w:asciiTheme="minorHAnsi" w:hAnsiTheme="minorHAnsi"/>
        </w:rPr>
        <w:footnoteReference w:id="332"/>
      </w:r>
      <w:r w:rsidRPr="00BD16B4">
        <w:t xml:space="preserve"> </w:t>
      </w:r>
    </w:p>
    <w:p w14:paraId="45C48577" w14:textId="77777777" w:rsidR="00B71B4E" w:rsidRPr="00BD16B4" w:rsidRDefault="00B71B4E" w:rsidP="00B71B4E">
      <w:pPr>
        <w:pStyle w:val="BodyText"/>
        <w:spacing w:before="100" w:after="100"/>
        <w:rPr>
          <w:rFonts w:cstheme="minorHAnsi"/>
        </w:rPr>
      </w:pPr>
      <w:r w:rsidRPr="00BD16B4">
        <w:t xml:space="preserve">New Zealand’s contribution recognises the GEF’s considerable efforts to increase the support it provides to least developed countries and </w:t>
      </w:r>
      <w:bookmarkStart w:id="355" w:name="_Hlk115443714"/>
      <w:r w:rsidRPr="00BD16B4">
        <w:t>small island developing states</w:t>
      </w:r>
      <w:bookmarkEnd w:id="355"/>
      <w:r w:rsidRPr="00BD16B4">
        <w:t xml:space="preserve">, as well as the GEF Trust Fund’s responsiveness to the 2030 Agenda for Sustainable Development. </w:t>
      </w:r>
    </w:p>
    <w:p w14:paraId="1F40FB80" w14:textId="77777777" w:rsidR="00B71B4E" w:rsidRPr="00BD16B4" w:rsidRDefault="00B71B4E" w:rsidP="004E1B8C">
      <w:pPr>
        <w:pStyle w:val="Heading4"/>
      </w:pPr>
      <w:r w:rsidRPr="00BD16B4">
        <w:t>Green Climate Fund</w:t>
      </w:r>
    </w:p>
    <w:p w14:paraId="1AFD2C1A" w14:textId="77777777" w:rsidR="00B71B4E" w:rsidRPr="00BD16B4" w:rsidRDefault="00B71B4E" w:rsidP="00B71B4E">
      <w:pPr>
        <w:pStyle w:val="BodyText"/>
      </w:pPr>
      <w:r w:rsidRPr="00BD16B4">
        <w:t xml:space="preserve">The GCF is an operating entity of the UNFCCC’s Financial Mechanism. The GCF was established in 2010 and became fully operational in 2015. It aims to support a paradigm shift in the global response to climate change, by mobilising funding at scale (including via its Private Sector Facility) to invest in low-emissions and climate-resilient development. The GCF has committed to achieving a 50:50 balance between mitigation and adaptation investments, with at least 50 per cent of adaptation funding to go to the most vulnerable countries, including least developed countries, small island developing states and African states. </w:t>
      </w:r>
    </w:p>
    <w:p w14:paraId="7D91A9AC" w14:textId="648D35C4" w:rsidR="00B71B4E" w:rsidRPr="00BD16B4" w:rsidRDefault="00B71B4E" w:rsidP="00B71B4E">
      <w:pPr>
        <w:pStyle w:val="BodyText"/>
        <w:rPr>
          <w:b/>
        </w:rPr>
      </w:pPr>
      <w:r w:rsidRPr="00BD16B4">
        <w:t xml:space="preserve">In 2019, New Zealand contributed NZ$15 million to the first replenishment of the GCF. This contribution complements </w:t>
      </w:r>
      <w:r w:rsidR="002B2A4B" w:rsidRPr="00BD16B4">
        <w:t>New Zealand</w:t>
      </w:r>
      <w:r w:rsidRPr="00BD16B4">
        <w:t xml:space="preserve">’s existing support for climate action and supports climate action in areas where it does not have the expertise or scale to make a difference. </w:t>
      </w:r>
    </w:p>
    <w:p w14:paraId="58272F95" w14:textId="77777777" w:rsidR="00B71B4E" w:rsidRPr="00BD16B4" w:rsidRDefault="00B71B4E" w:rsidP="004E1B8C">
      <w:pPr>
        <w:pStyle w:val="Heading4"/>
      </w:pPr>
      <w:r w:rsidRPr="00BD16B4">
        <w:t>Other multilateral support</w:t>
      </w:r>
    </w:p>
    <w:p w14:paraId="725949F5" w14:textId="77777777" w:rsidR="00B71B4E" w:rsidRPr="00BD16B4" w:rsidRDefault="00B71B4E" w:rsidP="00FF669F">
      <w:pPr>
        <w:pStyle w:val="BodyText"/>
        <w:keepLines/>
      </w:pPr>
      <w:r w:rsidRPr="00BD16B4">
        <w:t xml:space="preserve">New Zealand supports a range of multilateral organisations and programmes with a strategic focus on climate change, including those with specific programmes related to the implementation of the UNFCCC (table 7.4). This includes, for instance, the World Bank, the Asian Development Bank and the United Nations Development Programme. </w:t>
      </w:r>
    </w:p>
    <w:p w14:paraId="66772C3F" w14:textId="77777777" w:rsidR="00B71B4E" w:rsidRPr="00BD16B4" w:rsidRDefault="00B71B4E" w:rsidP="00BB33B9">
      <w:pPr>
        <w:pStyle w:val="Heading5"/>
      </w:pPr>
      <w:r w:rsidRPr="00BD16B4">
        <w:t>Montreal Protocol implementation</w:t>
      </w:r>
    </w:p>
    <w:p w14:paraId="04E94AA0" w14:textId="12A64AB2" w:rsidR="00B71B4E" w:rsidRPr="00BD16B4" w:rsidRDefault="00B71B4E" w:rsidP="00FF669F">
      <w:pPr>
        <w:pStyle w:val="BodyText"/>
      </w:pPr>
      <w:r w:rsidRPr="00BD16B4">
        <w:t>The Montreal Protocol play</w:t>
      </w:r>
      <w:r w:rsidR="00CB660B" w:rsidRPr="00BD16B4">
        <w:t>s</w:t>
      </w:r>
      <w:r w:rsidRPr="00BD16B4">
        <w:t xml:space="preserve"> an important role in tackling climate change, in particular through the Kigali Amendment, which New Zealand ratified in October 2019. For the 2019–20 reporting period, New Zealand’s total contributions to the Montreal Protocol amounted to NZ$1.92 million.</w:t>
      </w:r>
    </w:p>
    <w:p w14:paraId="04E09885" w14:textId="77777777" w:rsidR="00B71B4E" w:rsidRPr="00BD16B4" w:rsidRDefault="00B71B4E" w:rsidP="007D42B9">
      <w:pPr>
        <w:pStyle w:val="Heading3"/>
        <w:spacing w:before="240"/>
      </w:pPr>
      <w:r w:rsidRPr="00BD16B4">
        <w:t>7.2.2</w:t>
      </w:r>
      <w:r w:rsidRPr="00BD16B4">
        <w:tab/>
        <w:t xml:space="preserve">Regional support </w:t>
      </w:r>
    </w:p>
    <w:p w14:paraId="3747E93A" w14:textId="77777777" w:rsidR="00B71B4E" w:rsidRPr="00BD16B4" w:rsidRDefault="00B71B4E" w:rsidP="00967612">
      <w:pPr>
        <w:pStyle w:val="BodyText"/>
        <w:spacing w:after="100"/>
        <w:rPr>
          <w:highlight w:val="yellow"/>
        </w:rPr>
      </w:pPr>
      <w:r w:rsidRPr="00BD16B4">
        <w:t>New Zealand is a major funder of the Pacific regional organisations that have a strategic focus on climate change, as detailed in table 7.5. These organisations include:</w:t>
      </w:r>
    </w:p>
    <w:p w14:paraId="5CCB37C6" w14:textId="6CBDF8DE" w:rsidR="00B71B4E" w:rsidRPr="00BD16B4" w:rsidRDefault="00B71B4E" w:rsidP="004C7814">
      <w:pPr>
        <w:pStyle w:val="Bullet"/>
        <w:keepLines/>
        <w:spacing w:after="100"/>
      </w:pPr>
      <w:r w:rsidRPr="00BD16B4">
        <w:lastRenderedPageBreak/>
        <w:t>the Secretariat of the Pacific Regional Environment Programme (SPREP),</w:t>
      </w:r>
      <w:r w:rsidR="00D43615" w:rsidRPr="00BD16B4">
        <w:rPr>
          <w:rStyle w:val="FootnoteReference"/>
        </w:rPr>
        <w:footnoteReference w:id="333"/>
      </w:r>
      <w:r w:rsidRPr="00BD16B4">
        <w:t xml:space="preserve"> which coordinates the region’s response to climate change; it provides policy and technical support to its Pacific Island members to meet their commitments under the UNFCCC and to support climate change adaptation actions</w:t>
      </w:r>
    </w:p>
    <w:p w14:paraId="7B27A1BC" w14:textId="7DE7C9A6" w:rsidR="00B71B4E" w:rsidRPr="00BD16B4" w:rsidRDefault="00B71B4E" w:rsidP="00967612">
      <w:pPr>
        <w:pStyle w:val="Bullet"/>
        <w:spacing w:after="100"/>
      </w:pPr>
      <w:r w:rsidRPr="00BD16B4">
        <w:t>the Pacific Islands Forum Fisheries Agency (FFA),</w:t>
      </w:r>
      <w:r w:rsidR="001C0393" w:rsidRPr="00BD16B4">
        <w:rPr>
          <w:rStyle w:val="FootnoteReference"/>
        </w:rPr>
        <w:footnoteReference w:id="334"/>
      </w:r>
      <w:r w:rsidRPr="00BD16B4">
        <w:t xml:space="preserve"> which provides expertise, technical assistance and other support to its members to assist them with decisions on tuna and other fisheries management, including managing for the impacts of climate change on fisheries</w:t>
      </w:r>
    </w:p>
    <w:p w14:paraId="3A749E56" w14:textId="4F686ED5" w:rsidR="00B71B4E" w:rsidRPr="00BD16B4" w:rsidRDefault="00B71B4E" w:rsidP="00967612">
      <w:pPr>
        <w:pStyle w:val="Bullet"/>
        <w:spacing w:after="100"/>
      </w:pPr>
      <w:r w:rsidRPr="00BD16B4">
        <w:t>the Pacific Community (SPC),</w:t>
      </w:r>
      <w:r w:rsidR="008B49D5" w:rsidRPr="00BD16B4">
        <w:rPr>
          <w:rStyle w:val="FootnoteReference"/>
        </w:rPr>
        <w:footnoteReference w:id="335"/>
      </w:r>
      <w:r w:rsidRPr="00BD16B4">
        <w:t xml:space="preserve"> which assists members in a number of climate</w:t>
      </w:r>
      <w:r w:rsidRPr="00BD16B4">
        <w:noBreakHyphen/>
        <w:t>affected sectors, such as health, geoscience, agriculture, forestry, water resources, disaster management and energy</w:t>
      </w:r>
    </w:p>
    <w:p w14:paraId="26EB1898" w14:textId="4DC3ABC6" w:rsidR="00B71B4E" w:rsidRPr="00BD16B4" w:rsidRDefault="00B71B4E" w:rsidP="00FF669F">
      <w:pPr>
        <w:pStyle w:val="Bullet"/>
      </w:pPr>
      <w:r w:rsidRPr="00BD16B4">
        <w:t>the Pacific Islands Forum Secretariat (PIFS),</w:t>
      </w:r>
      <w:r w:rsidR="004A3791" w:rsidRPr="00BD16B4">
        <w:rPr>
          <w:rStyle w:val="FootnoteReference"/>
        </w:rPr>
        <w:footnoteReference w:id="336"/>
      </w:r>
      <w:r w:rsidRPr="00BD16B4">
        <w:t xml:space="preserve"> which, under the guidance of Forum leaders, ministers and officials, conducts high-level advocacy and develops policy guidance on climate change and access to climate finance. </w:t>
      </w:r>
    </w:p>
    <w:p w14:paraId="241B4069" w14:textId="68B8CDFC" w:rsidR="00B71B4E" w:rsidRPr="00BD16B4" w:rsidRDefault="00B71B4E" w:rsidP="00967612">
      <w:pPr>
        <w:pStyle w:val="BodyText"/>
        <w:spacing w:after="100"/>
      </w:pPr>
      <w:r w:rsidRPr="00BD16B4">
        <w:t xml:space="preserve">New Zealand’s </w:t>
      </w:r>
      <w:r w:rsidR="00CB660B" w:rsidRPr="00BD16B4">
        <w:t xml:space="preserve">core </w:t>
      </w:r>
      <w:r w:rsidRPr="00BD16B4">
        <w:t>funding to Pacific regional organisations contributes to programmes and</w:t>
      </w:r>
      <w:r w:rsidR="007259F6" w:rsidRPr="00BD16B4">
        <w:t> </w:t>
      </w:r>
      <w:r w:rsidRPr="00BD16B4">
        <w:t xml:space="preserve">projects identified in their strategic plans. However, </w:t>
      </w:r>
      <w:r w:rsidR="007259F6" w:rsidRPr="00BD16B4">
        <w:t>as</w:t>
      </w:r>
      <w:r w:rsidRPr="00BD16B4">
        <w:t xml:space="preserve"> core, untagged funding </w:t>
      </w:r>
      <w:r w:rsidR="007259F6" w:rsidRPr="00BD16B4">
        <w:t>it</w:t>
      </w:r>
      <w:r w:rsidRPr="00BD16B4">
        <w:t xml:space="preserve"> is not monitored at a level that tracks specific climate change activities. Therefore, the figures for</w:t>
      </w:r>
      <w:r w:rsidR="007259F6" w:rsidRPr="00BD16B4">
        <w:t> </w:t>
      </w:r>
      <w:r w:rsidRPr="00BD16B4">
        <w:t>regional agencies provided in table 7.5 are moderated based on the policies outlined in</w:t>
      </w:r>
      <w:r w:rsidR="007259F6" w:rsidRPr="00BD16B4">
        <w:t> </w:t>
      </w:r>
      <w:r w:rsidRPr="00BD16B4">
        <w:t>table 7.1.</w:t>
      </w:r>
    </w:p>
    <w:p w14:paraId="4482B0AB" w14:textId="5051C433" w:rsidR="00B71B4E" w:rsidRPr="00BD16B4" w:rsidRDefault="00B71B4E" w:rsidP="00967612">
      <w:pPr>
        <w:pStyle w:val="BodyText"/>
        <w:spacing w:after="100"/>
      </w:pPr>
      <w:r w:rsidRPr="00BD16B4">
        <w:t>The IDC Programme also supports climate change efforts in the Pacific through several regional initiatives. The following are examples of these initiatives.</w:t>
      </w:r>
    </w:p>
    <w:p w14:paraId="64C0769F" w14:textId="77777777" w:rsidR="00B71B4E" w:rsidRPr="00BD16B4" w:rsidRDefault="00B71B4E" w:rsidP="00967612">
      <w:pPr>
        <w:pStyle w:val="Bullet"/>
        <w:spacing w:after="100"/>
      </w:pPr>
      <w:r w:rsidRPr="00BD16B4">
        <w:t>An SPC-led activity to reduce the risk of water scarcity through improved sustainable water resources will provide at-risk Pacific communities with improvements to their water infrastructure and infrastructure maintenance. It will also provide training and tools to enable these communities to adapt to the impacts of climate change through effectively managing water resources, managing water demand and supply, and mitigating risks.</w:t>
      </w:r>
    </w:p>
    <w:p w14:paraId="46939E2F" w14:textId="29521496" w:rsidR="00B71B4E" w:rsidRPr="00BD16B4" w:rsidRDefault="00B71B4E" w:rsidP="00967612">
      <w:pPr>
        <w:pStyle w:val="Bullet"/>
        <w:tabs>
          <w:tab w:val="num" w:pos="397"/>
        </w:tabs>
        <w:spacing w:after="100" w:line="280" w:lineRule="exact"/>
      </w:pPr>
      <w:r w:rsidRPr="00BD16B4">
        <w:t>An activity started in 2019 to support management of invasive species for climate change adaptation involved SPREP, along with New Zealand’s Department of Conservation and Manaaki Whenua Landcare Research in its delivery. This will support the Pacific to adapt to the increasing impact of invasive species with climate change and to increase its resilience by supporting healthy ecosystems, improving information and management of</w:t>
      </w:r>
      <w:r w:rsidR="00DF25B1" w:rsidRPr="00BD16B4">
        <w:t> </w:t>
      </w:r>
      <w:r w:rsidRPr="00BD16B4">
        <w:t>invasive species, improving food security and reducing disaster risk.</w:t>
      </w:r>
    </w:p>
    <w:p w14:paraId="2828448C" w14:textId="77777777" w:rsidR="00B71B4E" w:rsidRPr="00BD16B4" w:rsidRDefault="00B71B4E" w:rsidP="0011037B">
      <w:pPr>
        <w:pStyle w:val="Bullet"/>
        <w:tabs>
          <w:tab w:val="num" w:pos="397"/>
        </w:tabs>
        <w:spacing w:line="280" w:lineRule="exact"/>
      </w:pPr>
      <w:r w:rsidRPr="00BD16B4">
        <w:t xml:space="preserve">At the 2019 United Nations Climate Change Conference (COP25), in partnership with the Climate Change Resilience team at SPREP, New Zealand co-hosted the Moana Blue Pacific </w:t>
      </w:r>
      <w:r w:rsidRPr="00BD16B4">
        <w:rPr>
          <w:spacing w:val="-2"/>
        </w:rPr>
        <w:t>Pavilion with Fiji, as well as a full programme of side events. The Moana Blue Pacific Pavilion</w:t>
      </w:r>
      <w:r w:rsidRPr="00BD16B4">
        <w:t xml:space="preserve"> was a place for discussion, debate and knowledge transfer on issues related to the ocean and climate change that are important to the Pacific. New Zealand also supported regional delegates to attend COP25 through this partnership.</w:t>
      </w:r>
    </w:p>
    <w:p w14:paraId="2BDA6FAD" w14:textId="56DD20A1" w:rsidR="00B71B4E" w:rsidRPr="00BD16B4" w:rsidRDefault="00B71B4E" w:rsidP="00B71B4E">
      <w:pPr>
        <w:pStyle w:val="BodyText"/>
        <w:spacing w:before="100" w:after="100"/>
      </w:pPr>
      <w:r w:rsidRPr="00BD16B4">
        <w:t>New Zealand continues to partner with other development partners, such as the Asian Development Bank and World Bank Group, to mobilise finance at scale for renewable energy</w:t>
      </w:r>
      <w:r w:rsidR="00915DDC" w:rsidRPr="00BD16B4">
        <w:t> </w:t>
      </w:r>
      <w:r w:rsidRPr="00BD16B4">
        <w:t xml:space="preserve">across the Pacific region. (See section 7.2.3 under ‘Mitigation’ for more details.) </w:t>
      </w:r>
    </w:p>
    <w:p w14:paraId="75FAF7E4" w14:textId="77777777" w:rsidR="00B71B4E" w:rsidRPr="00BD16B4" w:rsidRDefault="00B71B4E" w:rsidP="00B71B4E">
      <w:pPr>
        <w:pStyle w:val="Heading3"/>
      </w:pPr>
      <w:r w:rsidRPr="00BD16B4">
        <w:lastRenderedPageBreak/>
        <w:t>7.2.3</w:t>
      </w:r>
      <w:r w:rsidRPr="00BD16B4">
        <w:tab/>
        <w:t>Bilateral support</w:t>
      </w:r>
    </w:p>
    <w:p w14:paraId="3804E0F0" w14:textId="77777777" w:rsidR="00B71B4E" w:rsidRPr="00BD16B4" w:rsidRDefault="00B71B4E" w:rsidP="00B71B4E">
      <w:pPr>
        <w:pStyle w:val="BodyText"/>
        <w:spacing w:after="100"/>
        <w:rPr>
          <w:highlight w:val="yellow"/>
        </w:rPr>
      </w:pPr>
      <w:r w:rsidRPr="00BD16B4">
        <w:t xml:space="preserve">A large proportion of New Zealand’s climate-related support is delivered bilaterally through its IDC Programme as grant funding. New Zealand contributed approximately NZ$138.79 million in climate-related bilateral and multi-country assistance during 2019–20. </w:t>
      </w:r>
    </w:p>
    <w:p w14:paraId="2E361B73" w14:textId="77777777" w:rsidR="00B71B4E" w:rsidRPr="00BD16B4" w:rsidRDefault="00B71B4E" w:rsidP="00B71B4E">
      <w:pPr>
        <w:pStyle w:val="BodyText"/>
        <w:spacing w:after="100"/>
      </w:pPr>
      <w:r w:rsidRPr="00BD16B4">
        <w:t xml:space="preserve">Country partnerships are at the heart of New Zealand’s approach to bilateral assistance and climate-related support. Bilateral Statements of Partnership and four-year plans are based on partner countries’ national plans and self-identified needs and priorities. </w:t>
      </w:r>
    </w:p>
    <w:p w14:paraId="6CC7D075" w14:textId="77777777" w:rsidR="00B71B4E" w:rsidRPr="00BD16B4" w:rsidRDefault="00B71B4E" w:rsidP="00B71B4E">
      <w:pPr>
        <w:pStyle w:val="BodyText"/>
        <w:spacing w:after="100"/>
      </w:pPr>
      <w:r w:rsidRPr="00BD16B4">
        <w:t>New Zealand primarily delivered its climate-related support as part of activities designed to achieve sustainable, inclusive and resilient development outcomes that meet the aspirations and needs that partner countries identified, consistent with international best practice.</w:t>
      </w:r>
    </w:p>
    <w:p w14:paraId="489515DC" w14:textId="1294C38B" w:rsidR="00B71B4E" w:rsidRPr="00BD16B4" w:rsidRDefault="00B71B4E" w:rsidP="00B71B4E">
      <w:pPr>
        <w:pStyle w:val="BodyText"/>
        <w:spacing w:after="100"/>
        <w:rPr>
          <w:rFonts w:asciiTheme="minorHAnsi" w:hAnsiTheme="minorHAnsi" w:cs="Arial"/>
          <w:szCs w:val="18"/>
          <w:highlight w:val="yellow"/>
        </w:rPr>
      </w:pPr>
      <w:r w:rsidRPr="00BD16B4">
        <w:t xml:space="preserve">New Zealand’s climate-related support builds stronger and more resilient infrastructure, strengthens disaster preparedness and supports low-emissions economic growth, including through its significant contribution to improving access to affordable, reliable and clean energy. </w:t>
      </w:r>
      <w:r w:rsidR="00915DDC" w:rsidRPr="00BD16B4">
        <w:t>E</w:t>
      </w:r>
      <w:r w:rsidRPr="00BD16B4">
        <w:t>xamples</w:t>
      </w:r>
      <w:r w:rsidR="00915DDC" w:rsidRPr="00BD16B4">
        <w:t xml:space="preserve"> include:</w:t>
      </w:r>
    </w:p>
    <w:p w14:paraId="1A746E6B" w14:textId="77777777" w:rsidR="00B71B4E" w:rsidRPr="00BD16B4" w:rsidRDefault="00B71B4E" w:rsidP="0011037B">
      <w:pPr>
        <w:pStyle w:val="Bullet"/>
        <w:tabs>
          <w:tab w:val="num" w:pos="397"/>
        </w:tabs>
        <w:spacing w:line="280" w:lineRule="exact"/>
      </w:pPr>
      <w:r w:rsidRPr="00BD16B4">
        <w:t>New Zealand provided NZ$1.43 million, over 2019–20, towards the Niue Renewable Energy activity. This activity helped to resolve issues with the current electricity network in Niue, increasing the country’s renewable energy supply and reduce its dependence on imported fuels.</w:t>
      </w:r>
    </w:p>
    <w:p w14:paraId="7FBCBC02" w14:textId="204F10FC" w:rsidR="00B71B4E" w:rsidRPr="00BD16B4" w:rsidRDefault="00B71B4E" w:rsidP="0011037B">
      <w:pPr>
        <w:pStyle w:val="Bullet"/>
        <w:tabs>
          <w:tab w:val="num" w:pos="397"/>
        </w:tabs>
        <w:spacing w:line="280" w:lineRule="exact"/>
      </w:pPr>
      <w:r w:rsidRPr="00BD16B4">
        <w:t xml:space="preserve">From 2019, New Zealand has been involved in </w:t>
      </w:r>
      <w:r w:rsidR="00671EE6" w:rsidRPr="00BD16B4">
        <w:t>r</w:t>
      </w:r>
      <w:r w:rsidRPr="00BD16B4">
        <w:t xml:space="preserve">evitalising </w:t>
      </w:r>
      <w:r w:rsidR="00671EE6" w:rsidRPr="00BD16B4">
        <w:t>i</w:t>
      </w:r>
      <w:r w:rsidRPr="00BD16B4">
        <w:t xml:space="preserve">nformal </w:t>
      </w:r>
      <w:r w:rsidR="00671EE6" w:rsidRPr="00BD16B4">
        <w:t>s</w:t>
      </w:r>
      <w:r w:rsidRPr="00BD16B4">
        <w:t xml:space="preserve">ettlements and their </w:t>
      </w:r>
      <w:r w:rsidR="00671EE6" w:rsidRPr="00BD16B4">
        <w:t>e</w:t>
      </w:r>
      <w:r w:rsidRPr="00BD16B4">
        <w:t>nvironments in Fiji. This activity aims to integrate ecologically and environmentally sustainable water infrastructure into the housing and landscapes of 12 informal settlements in the greater Suva area. The programme combines community engagement with the instalment and monitoring of decentralised water infrastructure to achieve health outcomes and improve climate change and nature disaster resilience.</w:t>
      </w:r>
    </w:p>
    <w:p w14:paraId="0685A153" w14:textId="281B7567" w:rsidR="00B71B4E" w:rsidRPr="00BD16B4" w:rsidRDefault="00B71B4E" w:rsidP="0011037B">
      <w:pPr>
        <w:pStyle w:val="Bullet"/>
        <w:tabs>
          <w:tab w:val="num" w:pos="397"/>
        </w:tabs>
        <w:spacing w:line="280" w:lineRule="exact"/>
      </w:pPr>
      <w:r w:rsidRPr="00BD16B4">
        <w:t>In 2019, New Zealand began implementing the Cambodia Climate-smart Commercial Horticulture activity. Building on the successful Commercial Development and Strengthening of Horticulture in Cambodia activity, this new activity introduce</w:t>
      </w:r>
      <w:r w:rsidR="00671EE6" w:rsidRPr="00BD16B4">
        <w:t>d</w:t>
      </w:r>
      <w:r w:rsidRPr="00BD16B4">
        <w:t xml:space="preserve"> </w:t>
      </w:r>
      <w:r w:rsidRPr="00BD16B4">
        <w:rPr>
          <w:szCs w:val="22"/>
        </w:rPr>
        <w:t>climate</w:t>
      </w:r>
      <w:r w:rsidR="00F53BD0" w:rsidRPr="00BD16B4">
        <w:rPr>
          <w:szCs w:val="22"/>
        </w:rPr>
        <w:noBreakHyphen/>
      </w:r>
      <w:r w:rsidRPr="00BD16B4">
        <w:rPr>
          <w:szCs w:val="22"/>
        </w:rPr>
        <w:t>smart agricultural techniques and technologies. It will also sustainably increase climate-change resilience, farm and food safety, profitability and market system support for small</w:t>
      </w:r>
      <w:r w:rsidRPr="00BD16B4">
        <w:rPr>
          <w:szCs w:val="22"/>
        </w:rPr>
        <w:noBreakHyphen/>
        <w:t>scale commercial and semi-commercial horticulture farmers.</w:t>
      </w:r>
    </w:p>
    <w:p w14:paraId="4F8AA5B9" w14:textId="565A6FEB" w:rsidR="00B71B4E" w:rsidRPr="00BD16B4" w:rsidRDefault="00B71B4E" w:rsidP="00B71B4E">
      <w:pPr>
        <w:pStyle w:val="BodyText"/>
        <w:spacing w:before="100" w:after="100"/>
      </w:pPr>
      <w:r w:rsidRPr="00BD16B4">
        <w:t>The Pacific region has a great need for climate-related assistance. New Zealand has the relationships and experience to make a practical difference, and will strive to be a partner of preference for the Pacific on climate issues.</w:t>
      </w:r>
      <w:r w:rsidRPr="00BD16B4" w:rsidDel="00966DEF">
        <w:t xml:space="preserve"> </w:t>
      </w:r>
    </w:p>
    <w:p w14:paraId="1504895E" w14:textId="77777777" w:rsidR="00B71B4E" w:rsidRPr="00BD16B4" w:rsidRDefault="00B71B4E" w:rsidP="00B71B4E">
      <w:pPr>
        <w:pStyle w:val="BodyText"/>
        <w:spacing w:before="100" w:after="100"/>
      </w:pPr>
      <w:r w:rsidRPr="00BD16B4">
        <w:t xml:space="preserve">Climate-related support is also provided bilaterally to partner countries in Africa, Latin America </w:t>
      </w:r>
      <w:r w:rsidRPr="00BD16B4">
        <w:rPr>
          <w:spacing w:val="-2"/>
        </w:rPr>
        <w:t>and the Caribbean, and to members of the Association of Southeast Asian Nations (ASEAN) with</w:t>
      </w:r>
      <w:r w:rsidRPr="00BD16B4">
        <w:t xml:space="preserve"> a particular focus on disaster risk reduction, renewable energy and sustainable agriculture.</w:t>
      </w:r>
    </w:p>
    <w:p w14:paraId="6A16A8D9" w14:textId="77777777" w:rsidR="00B71B4E" w:rsidRPr="00BD16B4" w:rsidRDefault="00B71B4E" w:rsidP="00B71B4E">
      <w:pPr>
        <w:pStyle w:val="BodyText"/>
        <w:spacing w:before="100" w:after="100"/>
      </w:pPr>
      <w:r w:rsidRPr="00BD16B4">
        <w:t xml:space="preserve">The following sections give further details of how New Zealand is supporting mitigation, adaptation, technology transfer and capacity-building actions. Table 7.5 details the country’s financial contributions in 2019 and 2020 to these areas. </w:t>
      </w:r>
    </w:p>
    <w:p w14:paraId="02587489" w14:textId="77777777" w:rsidR="00B71B4E" w:rsidRPr="00BD16B4" w:rsidRDefault="00B71B4E" w:rsidP="004E1B8C">
      <w:pPr>
        <w:pStyle w:val="Heading4"/>
      </w:pPr>
      <w:bookmarkStart w:id="356" w:name="_Adaptation"/>
      <w:bookmarkStart w:id="357" w:name="_Ref21787462"/>
      <w:bookmarkStart w:id="358" w:name="_Toc497749150"/>
      <w:bookmarkStart w:id="359" w:name="_Toc500767045"/>
      <w:bookmarkEnd w:id="356"/>
      <w:r w:rsidRPr="00BD16B4">
        <w:t>Adaptation</w:t>
      </w:r>
      <w:bookmarkEnd w:id="357"/>
    </w:p>
    <w:p w14:paraId="167B6E3C" w14:textId="77777777" w:rsidR="00B71B4E" w:rsidRPr="00BD16B4" w:rsidRDefault="00B71B4E" w:rsidP="00B71B4E">
      <w:pPr>
        <w:pStyle w:val="BodyText"/>
      </w:pPr>
      <w:r w:rsidRPr="00BD16B4">
        <w:t xml:space="preserve">New Zealand’s support for climate change adaptation efforts is primarily designed to reduce the vulnerability of human or natural systems to the impacts of climate change, by increasing community resilience and adaptive capacity. It delivers this support to other countries through </w:t>
      </w:r>
      <w:r w:rsidRPr="00BD16B4">
        <w:lastRenderedPageBreak/>
        <w:t>a range of approaches to bilateral, regional and multilateral assistance. Regional, national and community-level resilience and adaptation actions are implemented within the context of national and regional plans, strategies and frameworks. New Zealand works with partner countries, regional agencies and multilateral funds to help shape and deliver these actions in response to the priorities of individual countries.</w:t>
      </w:r>
    </w:p>
    <w:p w14:paraId="1840ABB3" w14:textId="01F5F03D" w:rsidR="00B71B4E" w:rsidRPr="00BD16B4" w:rsidRDefault="00B71B4E" w:rsidP="00B71B4E">
      <w:pPr>
        <w:pStyle w:val="BodyText"/>
        <w:rPr>
          <w:highlight w:val="yellow"/>
        </w:rPr>
      </w:pPr>
      <w:r w:rsidRPr="00BD16B4">
        <w:t>As</w:t>
      </w:r>
      <w:r w:rsidR="00B32531">
        <w:t xml:space="preserve"> already</w:t>
      </w:r>
      <w:r w:rsidRPr="00BD16B4">
        <w:t xml:space="preserve"> noted, at least 50 per cent of New Zealand’s future climate finance will go towards adaptation to the impacts of climate change and building resilience to climate change-related loss and damage (see ‘Loss and damage’ below). </w:t>
      </w:r>
      <w:r w:rsidR="00AC7EF6" w:rsidRPr="00BD16B4">
        <w:t>O</w:t>
      </w:r>
      <w:r w:rsidRPr="00BD16B4">
        <w:t>ver 2019–20</w:t>
      </w:r>
      <w:r w:rsidR="00AB1930" w:rsidRPr="00BD16B4">
        <w:t>,</w:t>
      </w:r>
      <w:r w:rsidRPr="00BD16B4">
        <w:t xml:space="preserve"> 47 per cent of its support for bilateral, regional and other channels </w:t>
      </w:r>
      <w:r w:rsidR="00AB1930" w:rsidRPr="00BD16B4">
        <w:t xml:space="preserve">was for </w:t>
      </w:r>
      <w:r w:rsidRPr="00BD16B4">
        <w:t xml:space="preserve">supporting adaptation actions and 14 per cent </w:t>
      </w:r>
      <w:r w:rsidR="00B7719B" w:rsidRPr="00BD16B4">
        <w:t>was for</w:t>
      </w:r>
      <w:r w:rsidRPr="00BD16B4">
        <w:t xml:space="preserve"> mitigation. The other 39 per cent is directed to both adaptation and mitigation actions (all percentages are approximate).</w:t>
      </w:r>
    </w:p>
    <w:p w14:paraId="34FD70AF" w14:textId="77777777" w:rsidR="00B71B4E" w:rsidRPr="00BD16B4" w:rsidRDefault="00B71B4E" w:rsidP="00B71B4E">
      <w:pPr>
        <w:pStyle w:val="BodyText"/>
      </w:pPr>
      <w:r w:rsidRPr="00BD16B4">
        <w:t>As table 7.5 sets out, the IDC Programme supports key initiatives for climate change adaptation, disaster risk management and resilience building such as the following.</w:t>
      </w:r>
    </w:p>
    <w:p w14:paraId="79D8A85C" w14:textId="77777777" w:rsidR="00B71B4E" w:rsidRPr="00BD16B4" w:rsidRDefault="00B71B4E" w:rsidP="0011037B">
      <w:pPr>
        <w:pStyle w:val="Bullet"/>
        <w:tabs>
          <w:tab w:val="num" w:pos="397"/>
        </w:tabs>
        <w:spacing w:line="280" w:lineRule="exact"/>
      </w:pPr>
      <w:r w:rsidRPr="00BD16B4">
        <w:t>Reduce the risk of water scarcity in atoll countries by enabling water-scarce communities to actively manage resources to improve resilience.</w:t>
      </w:r>
    </w:p>
    <w:p w14:paraId="07BFD9DF" w14:textId="77777777" w:rsidR="00B71B4E" w:rsidRPr="00BD16B4" w:rsidRDefault="00B71B4E" w:rsidP="0011037B">
      <w:pPr>
        <w:pStyle w:val="Bullet"/>
        <w:tabs>
          <w:tab w:val="num" w:pos="397"/>
        </w:tabs>
        <w:spacing w:line="280" w:lineRule="exact"/>
      </w:pPr>
      <w:r w:rsidRPr="00BD16B4">
        <w:t xml:space="preserve">Mainstream risk-based analysis into government planning by incorporating climate change into governance systems for planning, budgeting and programme management purposes. Interventions are targeted at national and subnational levels in several Pacific Island countries. </w:t>
      </w:r>
    </w:p>
    <w:p w14:paraId="6615EAA5" w14:textId="77777777" w:rsidR="00B71B4E" w:rsidRPr="00BD16B4" w:rsidRDefault="00B71B4E" w:rsidP="0011037B">
      <w:pPr>
        <w:pStyle w:val="Bullet"/>
        <w:tabs>
          <w:tab w:val="num" w:pos="397"/>
        </w:tabs>
        <w:spacing w:line="280" w:lineRule="exact"/>
      </w:pPr>
      <w:r w:rsidRPr="00BD16B4">
        <w:t>Improve ecosystem resilience, through contributions to the Pacific regional ‘Kiwa Initiative: Nature-based Solutions for Climate Resilience’. This initiative aims to strengthen Pacific Island ecosystems, economies and communities to become more resilient to the impacts of climate change. Funding is provided for nature-based solutions to local and national authorities, regional and civil society organisations.</w:t>
      </w:r>
    </w:p>
    <w:p w14:paraId="71D7A357" w14:textId="77777777" w:rsidR="00B71B4E" w:rsidRPr="00BD16B4" w:rsidRDefault="00B71B4E" w:rsidP="00B71B4E">
      <w:pPr>
        <w:pStyle w:val="BodyText"/>
      </w:pPr>
      <w:r w:rsidRPr="00BD16B4">
        <w:t xml:space="preserve">Adaptation and disaster risk reduction are closely related processes in that both aim to reduce vulnerability to short-term acute hazards and longer-term chronic hazards. New Zealand supports the Pacific’s approach, as stated in the </w:t>
      </w:r>
      <w:r w:rsidRPr="00BD16B4">
        <w:rPr>
          <w:i/>
        </w:rPr>
        <w:t>Framework for Resilient Development in the Pacific</w:t>
      </w:r>
      <w:r w:rsidRPr="00BD16B4">
        <w:t xml:space="preserve"> (FRDP), of integrating disaster risk reduction and climate adaptation. New Zealand participates in the annual United Nations Office for Disaster Risk Reduction Global Platform on Disaster Risk Reduction, and is an active supporter of the FRDP as a member on the Pacific Resilience Partnership Taskforce, which facilitates the implementation of the FRDP’s goals. </w:t>
      </w:r>
    </w:p>
    <w:p w14:paraId="78A233EB" w14:textId="77777777" w:rsidR="00B71B4E" w:rsidRPr="00BD16B4" w:rsidRDefault="00B71B4E" w:rsidP="004E1B8C">
      <w:pPr>
        <w:pStyle w:val="Heading4"/>
      </w:pPr>
      <w:r w:rsidRPr="00BD16B4">
        <w:t>Agriculture</w:t>
      </w:r>
    </w:p>
    <w:p w14:paraId="01AEAD32" w14:textId="554DE4F7" w:rsidR="00B71B4E" w:rsidRPr="00BD16B4" w:rsidRDefault="00B71B4E" w:rsidP="00B71B4E">
      <w:pPr>
        <w:pStyle w:val="BodyText"/>
      </w:pPr>
      <w:r w:rsidRPr="00BD16B4">
        <w:t>The dominance of agriculture in New Zealand’s emissions profile and its vulnerability to the impacts of climate change have motivated New Zealand to use its expertise to help address the</w:t>
      </w:r>
      <w:r w:rsidR="008B4173" w:rsidRPr="00BD16B4">
        <w:t> </w:t>
      </w:r>
      <w:r w:rsidRPr="00BD16B4">
        <w:t xml:space="preserve">10–12 per cent of global emissions that come from the agriculture sector worldwide. </w:t>
      </w:r>
      <w:r w:rsidR="00397D79" w:rsidRPr="00BD16B4">
        <w:t>New Zealand</w:t>
      </w:r>
      <w:r w:rsidRPr="00BD16B4">
        <w:t xml:space="preserve"> has invested approximately NZ$14.95 million in climate-related agriculture initiatives over the 2019–20 reporting period.</w:t>
      </w:r>
      <w:r w:rsidRPr="00BD16B4">
        <w:rPr>
          <w:rStyle w:val="FootnoteReference"/>
        </w:rPr>
        <w:footnoteReference w:id="337"/>
      </w:r>
      <w:r w:rsidRPr="00BD16B4">
        <w:t xml:space="preserve"> These initiatives have included a focus on supporting communities to increase their resilience to natural disasters and climate-related weather events, including by introducing new drought-tolerant irrigation technologies. In addition, New Zealand is a leading member of the </w:t>
      </w:r>
      <w:r w:rsidRPr="00BD16B4">
        <w:rPr>
          <w:rFonts w:asciiTheme="minorHAnsi" w:hAnsiTheme="minorHAnsi" w:cstheme="minorHAnsi"/>
        </w:rPr>
        <w:t>GRA</w:t>
      </w:r>
      <w:r w:rsidRPr="00BD16B4">
        <w:t>, which brings countries together to find ways to grow more food without increasing greenhouse gas emissions, and supports these efforts in a range of ways, as outlined elsewhere in this chapter and report.</w:t>
      </w:r>
    </w:p>
    <w:p w14:paraId="2536FD28" w14:textId="77777777" w:rsidR="00B71B4E" w:rsidRPr="00BD16B4" w:rsidRDefault="00B71B4E" w:rsidP="004E1B8C">
      <w:pPr>
        <w:pStyle w:val="Heading4"/>
      </w:pPr>
      <w:r w:rsidRPr="00BD16B4">
        <w:lastRenderedPageBreak/>
        <w:t>Climate mobility</w:t>
      </w:r>
    </w:p>
    <w:p w14:paraId="499A9E88" w14:textId="77777777" w:rsidR="00B71B4E" w:rsidRPr="00BD16B4" w:rsidRDefault="00B71B4E" w:rsidP="00256147">
      <w:pPr>
        <w:pStyle w:val="BodyText"/>
        <w:spacing w:after="100"/>
      </w:pPr>
      <w:r w:rsidRPr="00BD16B4">
        <w:t xml:space="preserve">Displacement related to climate change is a real and pressing concern in the Pacific. In 2018, New Zealand developed a plan to take early and collaborative action on climate mobility. This plan recognises the importance of the perspectives of Pacific peoples, including their desire to live in their own country, where possible. </w:t>
      </w:r>
    </w:p>
    <w:p w14:paraId="4BC09E53" w14:textId="77777777" w:rsidR="00B71B4E" w:rsidRPr="00BD16B4" w:rsidRDefault="00B71B4E" w:rsidP="00256147">
      <w:pPr>
        <w:pStyle w:val="BodyText"/>
        <w:spacing w:after="100"/>
      </w:pPr>
      <w:r w:rsidRPr="00BD16B4">
        <w:t>As part of that plan, New Zealand is supporting activities to avert and delay climate-related displacement, and preparing people for climate migration where that may be necessary. Its initiatives include:</w:t>
      </w:r>
    </w:p>
    <w:p w14:paraId="3786A49A" w14:textId="77777777" w:rsidR="00B71B4E" w:rsidRPr="00BD16B4" w:rsidRDefault="00B71B4E" w:rsidP="00256147">
      <w:pPr>
        <w:pStyle w:val="Bullet"/>
        <w:spacing w:after="100"/>
      </w:pPr>
      <w:r w:rsidRPr="00BD16B4">
        <w:t>conducting a comprehensive scoping study in 2020 to inform the procurement of research to better understand future climate migration trends and the social and economic impacts on New Zealand and Pacific Island countries. Lack of reliable data impedes the ability of New Zealand and Pacific Island countries to adequately prepare for and respond to climate mobility</w:t>
      </w:r>
    </w:p>
    <w:p w14:paraId="4365889A" w14:textId="77777777" w:rsidR="00B71B4E" w:rsidRPr="00BD16B4" w:rsidRDefault="00B71B4E" w:rsidP="00256147">
      <w:pPr>
        <w:pStyle w:val="Bullet"/>
        <w:tabs>
          <w:tab w:val="num" w:pos="397"/>
        </w:tabs>
        <w:spacing w:after="100" w:line="280" w:lineRule="exact"/>
      </w:pPr>
      <w:r w:rsidRPr="00BD16B4">
        <w:t>supporting a peace-building non-government organisation to help communities in Fiji to prevent and manage conflicts that may result from displacement and relocations related to climate change</w:t>
      </w:r>
    </w:p>
    <w:p w14:paraId="293661ED" w14:textId="77777777" w:rsidR="00B71B4E" w:rsidRPr="00BD16B4" w:rsidRDefault="00B71B4E" w:rsidP="00256147">
      <w:pPr>
        <w:pStyle w:val="Bullet"/>
        <w:tabs>
          <w:tab w:val="num" w:pos="397"/>
        </w:tabs>
        <w:spacing w:after="100" w:line="280" w:lineRule="exact"/>
      </w:pPr>
      <w:r w:rsidRPr="00BD16B4">
        <w:t>supporting the Government of Fiji to establish the Fiji Relocation Trust Fund to provide internal relocation assistance to Fijian communities</w:t>
      </w:r>
    </w:p>
    <w:p w14:paraId="26577CBE" w14:textId="77777777" w:rsidR="00B71B4E" w:rsidRPr="00BD16B4" w:rsidRDefault="00B71B4E" w:rsidP="00256147">
      <w:pPr>
        <w:pStyle w:val="Bullet"/>
        <w:tabs>
          <w:tab w:val="num" w:pos="397"/>
        </w:tabs>
        <w:spacing w:after="100" w:line="280" w:lineRule="exact"/>
      </w:pPr>
      <w:r w:rsidRPr="00BD16B4">
        <w:t>funding a consortium of United Nations and international organisations, led by the International Organization for Migration, to strengthen the capacity and coordination of Pacific governments and non-government actors in their approach to climate mobility.</w:t>
      </w:r>
    </w:p>
    <w:p w14:paraId="05594EFB" w14:textId="77777777" w:rsidR="00B71B4E" w:rsidRPr="00BD16B4" w:rsidRDefault="00B71B4E" w:rsidP="004E1B8C">
      <w:pPr>
        <w:pStyle w:val="Heading4"/>
      </w:pPr>
      <w:r w:rsidRPr="00BD16B4">
        <w:t>COVID-19</w:t>
      </w:r>
    </w:p>
    <w:p w14:paraId="4E37B160" w14:textId="77777777" w:rsidR="00B71B4E" w:rsidRPr="00BD16B4" w:rsidRDefault="00B71B4E" w:rsidP="00B71B4E">
      <w:pPr>
        <w:pStyle w:val="BodyText"/>
        <w:spacing w:before="100" w:after="100"/>
      </w:pPr>
      <w:r w:rsidRPr="00BD16B4">
        <w:rPr>
          <w:spacing w:val="-2"/>
        </w:rPr>
        <w:t>As countries set out their economic recovery strategies from COVID-19, there are opportunities</w:t>
      </w:r>
      <w:r w:rsidRPr="00BD16B4">
        <w:t xml:space="preserve"> to accelerate climate action. New Zealand is aware of the need to guard against the risk of recovery spending that locks in high-emissions pathways.</w:t>
      </w:r>
    </w:p>
    <w:p w14:paraId="499C8093" w14:textId="61E305C9" w:rsidR="00B71B4E" w:rsidRPr="00BD16B4" w:rsidRDefault="00B71B4E" w:rsidP="008B4173">
      <w:pPr>
        <w:pStyle w:val="BodyText"/>
        <w:spacing w:before="100" w:after="100"/>
      </w:pPr>
      <w:r w:rsidRPr="00BD16B4">
        <w:t xml:space="preserve">COVID-19 has affected most activities that provide financial, technological and capacity-building support to developing countries. The true impact of COVID-19 </w:t>
      </w:r>
      <w:r w:rsidR="008B4173" w:rsidRPr="00BD16B4">
        <w:t xml:space="preserve">on the delivery of climate change initiatives </w:t>
      </w:r>
      <w:r w:rsidRPr="00BD16B4">
        <w:t>will only be realised in future reporting periods.</w:t>
      </w:r>
    </w:p>
    <w:p w14:paraId="13FD52EF" w14:textId="77777777" w:rsidR="00B71B4E" w:rsidRPr="00BD16B4" w:rsidRDefault="00B71B4E" w:rsidP="004E1B8C">
      <w:pPr>
        <w:pStyle w:val="Heading4"/>
      </w:pPr>
      <w:r w:rsidRPr="00BD16B4">
        <w:t>Long-term low-emissions development strategies</w:t>
      </w:r>
    </w:p>
    <w:p w14:paraId="4A750D05" w14:textId="77777777" w:rsidR="00075786" w:rsidRPr="00BD16B4" w:rsidRDefault="001906C6" w:rsidP="00256147">
      <w:pPr>
        <w:pStyle w:val="BodyText"/>
        <w:spacing w:after="100"/>
      </w:pPr>
      <w:r w:rsidRPr="00BD16B4">
        <w:t>A low-emissions, climate-resilient development approach represents an important</w:t>
      </w:r>
      <w:r w:rsidR="00700134" w:rsidRPr="00BD16B4">
        <w:t xml:space="preserve"> </w:t>
      </w:r>
      <w:r w:rsidRPr="00BD16B4">
        <w:t>opportunity for Pacific Island countries to anticipate, plan for and counter some of the</w:t>
      </w:r>
      <w:r w:rsidR="00700134" w:rsidRPr="00BD16B4">
        <w:t xml:space="preserve"> </w:t>
      </w:r>
      <w:r w:rsidRPr="00BD16B4">
        <w:t>impacts of climate change and to transition their economies to a low-carbon future. This is</w:t>
      </w:r>
      <w:r w:rsidR="00700134" w:rsidRPr="00BD16B4">
        <w:t xml:space="preserve"> </w:t>
      </w:r>
      <w:r w:rsidRPr="00BD16B4">
        <w:t>also an opportunity for sustainable development.</w:t>
      </w:r>
      <w:r w:rsidR="00700134" w:rsidRPr="00BD16B4">
        <w:t xml:space="preserve"> </w:t>
      </w:r>
    </w:p>
    <w:p w14:paraId="2FE8ACF5" w14:textId="02D1ECC6" w:rsidR="001906C6" w:rsidRPr="00BD16B4" w:rsidRDefault="001906C6" w:rsidP="00256147">
      <w:pPr>
        <w:pStyle w:val="BodyText"/>
        <w:spacing w:after="100"/>
        <w:rPr>
          <w:highlight w:val="yellow"/>
        </w:rPr>
      </w:pPr>
      <w:r w:rsidRPr="00BD16B4">
        <w:t>Pacific Island countries rely on imported fossil fuels for energy generation and transport, and</w:t>
      </w:r>
      <w:r w:rsidR="00700134" w:rsidRPr="00BD16B4">
        <w:t xml:space="preserve"> </w:t>
      </w:r>
      <w:r w:rsidRPr="00BD16B4">
        <w:t>a small number of climate-sensitive industries that underpin their economies (mainly tourism,</w:t>
      </w:r>
      <w:r w:rsidR="00700134" w:rsidRPr="00BD16B4">
        <w:t xml:space="preserve"> </w:t>
      </w:r>
      <w:r w:rsidRPr="00BD16B4">
        <w:t>fisheries and agriculture). New Zealand is supporting them to develop low-emissions, climate</w:t>
      </w:r>
      <w:r w:rsidR="00700134" w:rsidRPr="00BD16B4">
        <w:t xml:space="preserve"> </w:t>
      </w:r>
      <w:r w:rsidRPr="00BD16B4">
        <w:t>resilient</w:t>
      </w:r>
      <w:r w:rsidR="00700134" w:rsidRPr="00BD16B4">
        <w:t xml:space="preserve"> </w:t>
      </w:r>
      <w:r w:rsidRPr="00BD16B4">
        <w:t>development strategies, sector roadmaps, and associated policies and legislation to</w:t>
      </w:r>
      <w:r w:rsidR="00700134" w:rsidRPr="00BD16B4">
        <w:t xml:space="preserve"> </w:t>
      </w:r>
      <w:r w:rsidRPr="00BD16B4">
        <w:t>reduce emissions and increase their resilience to the impacts of climate change.</w:t>
      </w:r>
      <w:r w:rsidR="00961A28" w:rsidRPr="00BD16B4">
        <w:t xml:space="preserve"> </w:t>
      </w:r>
    </w:p>
    <w:p w14:paraId="786351E5" w14:textId="7A65FC15" w:rsidR="00B71B4E" w:rsidRPr="00BD16B4" w:rsidRDefault="00B71B4E" w:rsidP="00256147">
      <w:pPr>
        <w:pStyle w:val="BodyText"/>
        <w:spacing w:before="100" w:after="100"/>
      </w:pPr>
      <w:r w:rsidRPr="00BD16B4">
        <w:t>New Zealand supported an NZ$590,000 project led by the Department of Climate Change in Tonga’s Ministry of Meteorology, Energy, Information, Disaster Management, Environment, Climate Change and Communications. The resulting long</w:t>
      </w:r>
      <w:r w:rsidRPr="00BD16B4">
        <w:noBreakHyphen/>
        <w:t>term, low-emissions development strategy</w:t>
      </w:r>
      <w:r w:rsidRPr="00BD16B4" w:rsidDel="00D37C50">
        <w:t xml:space="preserve"> </w:t>
      </w:r>
      <w:r w:rsidRPr="00BD16B4">
        <w:t>articulates a long-term vision and direction for the future of Tonga across all sectors in a low-carbon world and in a changing climate.</w:t>
      </w:r>
    </w:p>
    <w:p w14:paraId="1549AB71" w14:textId="77777777" w:rsidR="00B71B4E" w:rsidRPr="00BD16B4" w:rsidRDefault="00B71B4E" w:rsidP="00B71B4E">
      <w:pPr>
        <w:pStyle w:val="BodyText"/>
        <w:spacing w:before="100" w:after="100"/>
      </w:pPr>
      <w:r w:rsidRPr="00BD16B4">
        <w:lastRenderedPageBreak/>
        <w:t>In 2020, New Zealand committed NZ$150,000 to support the Fiji Government to review and update its 2014 Draft National Energy Policy with a view to developing a new policy for 2020–30.</w:t>
      </w:r>
    </w:p>
    <w:p w14:paraId="4642BB3C" w14:textId="3491FFFC" w:rsidR="00B71B4E" w:rsidRPr="00BD16B4" w:rsidRDefault="00B71B4E" w:rsidP="00B71B4E">
      <w:pPr>
        <w:pStyle w:val="BodyText"/>
        <w:spacing w:before="100" w:after="100"/>
      </w:pPr>
      <w:r w:rsidRPr="00BD16B4">
        <w:t xml:space="preserve">New Zealand is also partnering with the Global Green Growth Institute to deliver a multi-country programme of work. </w:t>
      </w:r>
      <w:r w:rsidR="00256147">
        <w:t xml:space="preserve">The programme will </w:t>
      </w:r>
      <w:r w:rsidRPr="00256147">
        <w:t>support Pacific Island countries to develop the policy, legislation, regulations, strategies and roadmaps they need to transition to low-emissions, climate-resilient economies and societies.</w:t>
      </w:r>
    </w:p>
    <w:p w14:paraId="54D9724D" w14:textId="1D95717C" w:rsidR="008746D3" w:rsidRPr="00BD16B4" w:rsidRDefault="008746D3" w:rsidP="008746D3">
      <w:pPr>
        <w:pStyle w:val="BodyText"/>
        <w:spacing w:before="100" w:after="100"/>
      </w:pPr>
      <w:r w:rsidRPr="00BD16B4">
        <w:t>Mainstreaming low-carbon, climate-resilient development decision-making into governance is critical for sustainable development and for adapting to climate change.</w:t>
      </w:r>
    </w:p>
    <w:p w14:paraId="0915B495" w14:textId="77777777" w:rsidR="00B71B4E" w:rsidRPr="00BD16B4" w:rsidRDefault="00B71B4E" w:rsidP="004E1B8C">
      <w:pPr>
        <w:pStyle w:val="Heading4"/>
      </w:pPr>
      <w:bookmarkStart w:id="360" w:name="_Loss_and_Damage"/>
      <w:bookmarkEnd w:id="360"/>
      <w:r w:rsidRPr="00BD16B4">
        <w:t>Loss and damage</w:t>
      </w:r>
    </w:p>
    <w:p w14:paraId="20BD6C0E" w14:textId="77777777" w:rsidR="00B71B4E" w:rsidRPr="00BD16B4" w:rsidRDefault="00B71B4E" w:rsidP="00B71B4E">
      <w:pPr>
        <w:pStyle w:val="BodyText"/>
        <w:spacing w:after="100"/>
      </w:pPr>
      <w:r w:rsidRPr="00BD16B4">
        <w:t>New Zealand recognises Pacific Island countries are some of the most exposed in the world to the impacts of climate change. There are indications that some locations have exceeded their adaptation limits already. Economic and non-economic costs are becoming increasingly apparent. New Zealand is currently scoping potential activities that could avert, minimise and address loss and damage.</w:t>
      </w:r>
    </w:p>
    <w:p w14:paraId="1DE72A35" w14:textId="77777777" w:rsidR="00B71B4E" w:rsidRPr="00BD16B4" w:rsidRDefault="00B71B4E" w:rsidP="00B71B4E">
      <w:pPr>
        <w:pStyle w:val="BodyText"/>
        <w:spacing w:after="100"/>
      </w:pPr>
      <w:r w:rsidRPr="00BD16B4">
        <w:t>Most of New Zealand’s adaptation work in the Pacific region supports the resilience of communities, livelihoods and ecosystems and helps to minimise the loss and damage associated with climate change (see ‘Adaptation’ below). It also supports work on early warning systems to prepare for hazards, and financial preparedness and resilience, as the following examples illustrate.</w:t>
      </w:r>
    </w:p>
    <w:p w14:paraId="484AF3EB" w14:textId="77777777" w:rsidR="00B71B4E" w:rsidRPr="00BD16B4" w:rsidRDefault="00B71B4E" w:rsidP="0011037B">
      <w:pPr>
        <w:pStyle w:val="Bullet"/>
        <w:tabs>
          <w:tab w:val="num" w:pos="397"/>
        </w:tabs>
        <w:spacing w:after="100" w:line="280" w:lineRule="exact"/>
      </w:pPr>
      <w:r w:rsidRPr="00BD16B4">
        <w:t>The Averting Water-related Emergencies activity will create effective early warning systems by supporting Pacific Island countries to anticipate and prepare for water-related emergencies through understanding their vulnerability.</w:t>
      </w:r>
    </w:p>
    <w:p w14:paraId="7E7C4ED7" w14:textId="77777777" w:rsidR="00B71B4E" w:rsidRPr="00BD16B4" w:rsidRDefault="00B71B4E" w:rsidP="0011037B">
      <w:pPr>
        <w:pStyle w:val="Bullet"/>
        <w:tabs>
          <w:tab w:val="num" w:pos="397"/>
        </w:tabs>
        <w:spacing w:after="100" w:line="280" w:lineRule="exact"/>
        <w:rPr>
          <w:szCs w:val="22"/>
        </w:rPr>
      </w:pPr>
      <w:r w:rsidRPr="00BD16B4">
        <w:t xml:space="preserve">In 2020, New Zealand provided funding to SPC to establish the Pacific Community Centre for Ocean Science. The centre brings together scientific data and expertise and makes </w:t>
      </w:r>
      <w:r w:rsidRPr="00BD16B4">
        <w:rPr>
          <w:spacing w:val="-2"/>
        </w:rPr>
        <w:t>them more readily available to decision-makers in the region. It also provides a platform to</w:t>
      </w:r>
      <w:r w:rsidRPr="00BD16B4">
        <w:t xml:space="preserve"> coordinate and integrate ocean science activities with international and regional partners.</w:t>
      </w:r>
      <w:r w:rsidRPr="00BD16B4">
        <w:rPr>
          <w:highlight w:val="yellow"/>
        </w:rPr>
        <w:t xml:space="preserve"> </w:t>
      </w:r>
    </w:p>
    <w:p w14:paraId="01E99175" w14:textId="77777777" w:rsidR="00B71B4E" w:rsidRPr="00BD16B4" w:rsidRDefault="00B71B4E" w:rsidP="0011037B">
      <w:pPr>
        <w:pStyle w:val="Bullet"/>
        <w:tabs>
          <w:tab w:val="num" w:pos="397"/>
        </w:tabs>
        <w:spacing w:line="280" w:lineRule="exact"/>
      </w:pPr>
      <w:r w:rsidRPr="00BD16B4">
        <w:t>New Zealand supports the Pacific Insurance and Climate Adaptation Programme, which will improve the financial preparedness and resilience of Pacific peoples in the face of climate change and natural hazards.</w:t>
      </w:r>
    </w:p>
    <w:p w14:paraId="03E7EFE9" w14:textId="77777777" w:rsidR="00B71B4E" w:rsidRPr="00BD16B4" w:rsidRDefault="00B71B4E" w:rsidP="004E1B8C">
      <w:pPr>
        <w:pStyle w:val="Heading4"/>
      </w:pPr>
      <w:bookmarkStart w:id="361" w:name="_Ref21776924"/>
      <w:r w:rsidRPr="00BD16B4">
        <w:t>Mitigation</w:t>
      </w:r>
      <w:bookmarkEnd w:id="361"/>
    </w:p>
    <w:p w14:paraId="73EB65CE" w14:textId="77777777" w:rsidR="00B71B4E" w:rsidRPr="00BD16B4" w:rsidRDefault="00B71B4E" w:rsidP="00B71B4E">
      <w:pPr>
        <w:pStyle w:val="BodyText"/>
        <w:spacing w:before="100" w:after="100"/>
      </w:pPr>
      <w:r w:rsidRPr="00BD16B4">
        <w:t>New Zealand’s main areas of engagement for mitigation support have been in the energy and agriculture sectors. A priority has been to support renewable energy initiatives through the IDC Programme.</w:t>
      </w:r>
    </w:p>
    <w:p w14:paraId="28AD7777" w14:textId="77777777" w:rsidR="00B71B4E" w:rsidRPr="00BD16B4" w:rsidRDefault="00B71B4E" w:rsidP="00B71B4E">
      <w:pPr>
        <w:pStyle w:val="BodyText"/>
        <w:spacing w:before="100" w:after="100"/>
      </w:pPr>
      <w:r w:rsidRPr="00BD16B4">
        <w:t xml:space="preserve">Through its support for affordable, reliable and clean energy sources, New Zealand continues to help partner countries reduce their carbon emissions, improve energy efficiency and pursue low-carbon development pathways. These measures have co-benefits such as increasing energy security, reducing reliance on costly diesel imports and encouraging emerging green industries to grow. </w:t>
      </w:r>
    </w:p>
    <w:p w14:paraId="21CCCBCD" w14:textId="77777777" w:rsidR="00B71B4E" w:rsidRPr="00BD16B4" w:rsidRDefault="00B71B4E" w:rsidP="00B71B4E">
      <w:pPr>
        <w:pStyle w:val="BodyText"/>
        <w:spacing w:before="100" w:after="100"/>
      </w:pPr>
      <w:r w:rsidRPr="00BD16B4">
        <w:t xml:space="preserve">As the cost of renewable energy generation has decreased, New Zealand has worked with </w:t>
      </w:r>
      <w:r w:rsidRPr="00BD16B4">
        <w:rPr>
          <w:spacing w:val="-2"/>
        </w:rPr>
        <w:t>other development partners to encourage the private sector to fund and develop commercially</w:t>
      </w:r>
      <w:r w:rsidRPr="00BD16B4">
        <w:t xml:space="preserve"> viable renewable energy generation projects, particularly in the Pacific region (see ‘Private sector’ below for more details).</w:t>
      </w:r>
    </w:p>
    <w:p w14:paraId="48B33A75" w14:textId="02CDF73B" w:rsidR="00B71B4E" w:rsidRPr="00BD16B4" w:rsidRDefault="00B71B4E" w:rsidP="00174404">
      <w:pPr>
        <w:pStyle w:val="BodyText"/>
        <w:spacing w:before="100" w:after="100"/>
      </w:pPr>
      <w:bookmarkStart w:id="362" w:name="_Private_sector"/>
      <w:bookmarkEnd w:id="362"/>
      <w:r w:rsidRPr="00BD16B4">
        <w:lastRenderedPageBreak/>
        <w:t>New Zealand continues to champion a coordinated approach among development partners, particularly in the Pacific region</w:t>
      </w:r>
      <w:r w:rsidR="000115FE" w:rsidRPr="00BD16B4">
        <w:t>. I</w:t>
      </w:r>
      <w:r w:rsidRPr="00BD16B4">
        <w:t xml:space="preserve">t is a </w:t>
      </w:r>
      <w:r w:rsidRPr="00BD16B4">
        <w:rPr>
          <w:spacing w:val="-2"/>
        </w:rPr>
        <w:t>key funder and member of the Pacific Regional Infrastructure Facility (PRIF),</w:t>
      </w:r>
      <w:r w:rsidR="00F53BD0" w:rsidRPr="00BD16B4">
        <w:rPr>
          <w:rStyle w:val="FootnoteReference"/>
          <w:spacing w:val="-2"/>
        </w:rPr>
        <w:footnoteReference w:id="338"/>
      </w:r>
      <w:r w:rsidRPr="00BD16B4">
        <w:rPr>
          <w:spacing w:val="-2"/>
        </w:rPr>
        <w:t xml:space="preserve"> which coordinates</w:t>
      </w:r>
      <w:r w:rsidRPr="00BD16B4">
        <w:t xml:space="preserve"> the Pacific efforts of eight large development partners. The PRIF has an active and effective Energy Sector Working Group, in which development partners coordinate their work and share opportunities for working together in the energy sector. By taking a coordinated, regional approach to renewable energy and energy efficiency projects, PRIF partners will accelerate progress towards achieving Pacific Island countries’ renewable energy targets, which form an</w:t>
      </w:r>
      <w:r w:rsidR="001A2BED" w:rsidRPr="00BD16B4">
        <w:t> </w:t>
      </w:r>
      <w:r w:rsidRPr="00BD16B4">
        <w:t>important part of their Nationally Determined Contributions (NDCs) submitted under the Paris Agreement.</w:t>
      </w:r>
    </w:p>
    <w:p w14:paraId="1ED6832E" w14:textId="77777777" w:rsidR="00B71B4E" w:rsidRPr="00BD16B4" w:rsidRDefault="00B71B4E" w:rsidP="004E1B8C">
      <w:pPr>
        <w:pStyle w:val="Heading4"/>
      </w:pPr>
      <w:r w:rsidRPr="00BD16B4">
        <w:t>Private sector</w:t>
      </w:r>
    </w:p>
    <w:p w14:paraId="26734C09" w14:textId="77777777" w:rsidR="00B71B4E" w:rsidRPr="00BD16B4" w:rsidRDefault="00B71B4E" w:rsidP="00174404">
      <w:pPr>
        <w:pStyle w:val="BodyText"/>
        <w:spacing w:before="100"/>
      </w:pPr>
      <w:r w:rsidRPr="00BD16B4">
        <w:t>New Zealand continues to value private sector expertise and actively seek to crowd in private sector climate finance. The private sector plays an important role in contributing to positive climate change outcomes through knowledge and innovation, investment and responsible business conduct.</w:t>
      </w:r>
    </w:p>
    <w:p w14:paraId="3038C452" w14:textId="77777777" w:rsidR="00B71B4E" w:rsidRPr="00BD16B4" w:rsidRDefault="00B71B4E" w:rsidP="00174404">
      <w:pPr>
        <w:pStyle w:val="BodyText"/>
        <w:spacing w:before="100"/>
      </w:pPr>
      <w:r w:rsidRPr="00BD16B4">
        <w:t xml:space="preserve">New Zealand’s IDC Programme supports the private sector to transition to a green economy by strengthening the enabling policy environment, catalysing investment and providing technical assistance across industry sectors. </w:t>
      </w:r>
    </w:p>
    <w:p w14:paraId="0CD04978" w14:textId="6D68F2A1" w:rsidR="00B71B4E" w:rsidRPr="00BD16B4" w:rsidRDefault="00B71B4E" w:rsidP="00174404">
      <w:pPr>
        <w:pStyle w:val="BodyText"/>
        <w:spacing w:before="100"/>
      </w:pPr>
      <w:r w:rsidRPr="00BD16B4">
        <w:t>New Zealand</w:t>
      </w:r>
      <w:r w:rsidR="001574FE" w:rsidRPr="00BD16B4">
        <w:t>’s</w:t>
      </w:r>
      <w:r w:rsidRPr="00BD16B4">
        <w:t xml:space="preserve"> support for the Asian Development Bank’s Pacific Private Sector Development Initiative has enabled the development of policy recommendations for sustainable tourism in the Pacific as part of a post-COVID recovery strategy.</w:t>
      </w:r>
      <w:r w:rsidRPr="00BD16B4">
        <w:rPr>
          <w:color w:val="1F497D"/>
        </w:rPr>
        <w:t xml:space="preserve"> </w:t>
      </w:r>
      <w:r w:rsidRPr="00BD16B4">
        <w:t>New Zealand and the Private Sector Development Initiative also cooperate closely on sustainable tourism programme delivery through the lead regional tourism body, the Pacific Tourism Organisation.</w:t>
      </w:r>
    </w:p>
    <w:p w14:paraId="2D9F459B" w14:textId="77777777" w:rsidR="00B71B4E" w:rsidRPr="00BD16B4" w:rsidRDefault="00B71B4E" w:rsidP="00174404">
      <w:pPr>
        <w:pStyle w:val="BodyText"/>
        <w:spacing w:before="100"/>
      </w:pPr>
      <w:r w:rsidRPr="00BD16B4">
        <w:t>Investment in initiatives to catalyse greater private investment in the green economy is important. In 2020, New Zealand completed the design for InvestPacific, an NZ$50 million impact investment fund based in New Zealand that will mobilise private investment in the Pacific for inclusive and climate-resilient development. The fund is expected to launch in 2023.</w:t>
      </w:r>
    </w:p>
    <w:p w14:paraId="523E09F3" w14:textId="7B0D203C" w:rsidR="00B71B4E" w:rsidRPr="00BD16B4" w:rsidRDefault="00B71B4E" w:rsidP="00174404">
      <w:pPr>
        <w:pStyle w:val="BodyText"/>
        <w:spacing w:before="100"/>
      </w:pPr>
      <w:r w:rsidRPr="00BD16B4">
        <w:t>In 2019, New Zealand committed NZ$4 million to the Pacific Infrastructure Technical Assistance Fund, which provides technical assistance grants to support Pacific Island countries</w:t>
      </w:r>
      <w:r w:rsidR="003B2E96" w:rsidRPr="00BD16B4">
        <w:t> </w:t>
      </w:r>
      <w:r w:rsidRPr="00BD16B4">
        <w:t>to attract high-quality infrastructure finance. The fund has helped to progress a</w:t>
      </w:r>
      <w:r w:rsidR="003B2E96" w:rsidRPr="00BD16B4">
        <w:t> </w:t>
      </w:r>
      <w:r w:rsidRPr="00BD16B4">
        <w:t>number of renewable energy and resilient infrastructure projects across the region.</w:t>
      </w:r>
    </w:p>
    <w:p w14:paraId="3110836C" w14:textId="77777777" w:rsidR="00B71B4E" w:rsidRPr="00BD16B4" w:rsidRDefault="00B71B4E" w:rsidP="00174404">
      <w:pPr>
        <w:pStyle w:val="BodyText"/>
        <w:spacing w:before="100" w:after="100"/>
      </w:pPr>
      <w:r w:rsidRPr="00BD16B4">
        <w:t>New Zealand supports the Pacific private sector to build more sustainable, climate-resilient businesses through access to business advisory services and concessional finance. In 2020, it committed NZ$6.94 million to the Pacific Small and Medium Enterprise Finance Facility pilot to enable Pacific small and medium enterprises to adapt to the economic impacts of COVID-19 and build back better by investing in climate mitigation and adaptation, education and green technology.</w:t>
      </w:r>
    </w:p>
    <w:p w14:paraId="618E9F66" w14:textId="77777777" w:rsidR="00B71B4E" w:rsidRPr="00BD16B4" w:rsidRDefault="00B71B4E" w:rsidP="004E1B8C">
      <w:pPr>
        <w:pStyle w:val="Heading4"/>
        <w:rPr>
          <w:highlight w:val="yellow"/>
        </w:rPr>
      </w:pPr>
      <w:r w:rsidRPr="00BD16B4">
        <w:t>Special initiatives</w:t>
      </w:r>
    </w:p>
    <w:p w14:paraId="3785EBBD" w14:textId="77777777" w:rsidR="00B71B4E" w:rsidRPr="00BD16B4" w:rsidRDefault="00B71B4E" w:rsidP="00174404">
      <w:pPr>
        <w:pStyle w:val="BodyText"/>
        <w:spacing w:before="100" w:after="100"/>
      </w:pPr>
      <w:r w:rsidRPr="00BD16B4">
        <w:t>New Zealand’s Climate Change Development Fund provides NZ$300,000 each year to help developing countries to deal with climate change challenges. In 2019–20, the fund:</w:t>
      </w:r>
    </w:p>
    <w:p w14:paraId="27B189C7" w14:textId="77777777" w:rsidR="00B71B4E" w:rsidRPr="00BD16B4" w:rsidRDefault="00B71B4E" w:rsidP="0011037B">
      <w:pPr>
        <w:pStyle w:val="Bullet"/>
        <w:tabs>
          <w:tab w:val="num" w:pos="397"/>
        </w:tabs>
        <w:spacing w:line="280" w:lineRule="exact"/>
      </w:pPr>
      <w:r w:rsidRPr="00BD16B4">
        <w:t>helped developing country experts to participate in informal workshops relevant to the international negotiations agenda, including on international carbon markets</w:t>
      </w:r>
    </w:p>
    <w:p w14:paraId="60FF6225" w14:textId="77777777" w:rsidR="00B71B4E" w:rsidRPr="00BD16B4" w:rsidRDefault="00B71B4E" w:rsidP="0011037B">
      <w:pPr>
        <w:pStyle w:val="Bullet"/>
        <w:tabs>
          <w:tab w:val="num" w:pos="397"/>
        </w:tabs>
        <w:spacing w:line="280" w:lineRule="exact"/>
      </w:pPr>
      <w:r w:rsidRPr="00BD16B4">
        <w:lastRenderedPageBreak/>
        <w:t>provided supplementary funding to some UNFCCC work programmes, including the Warsaw International Mechanism on Loss and Damage, and for enhancing the capacity of developing countries to participate in the transparency arrangements under the Paris Agreement and the UNFCCC.</w:t>
      </w:r>
    </w:p>
    <w:p w14:paraId="5D248B11" w14:textId="51609503" w:rsidR="00F13B64" w:rsidRPr="00BD16B4" w:rsidRDefault="00F13B64" w:rsidP="00F13B64">
      <w:pPr>
        <w:pStyle w:val="Heading5"/>
      </w:pPr>
      <w:r w:rsidRPr="00BD16B4">
        <w:t>Global Research Alliance on Agricultural Greenhouse Gases</w:t>
      </w:r>
    </w:p>
    <w:p w14:paraId="406510E4" w14:textId="234D077A" w:rsidR="00B71B4E" w:rsidRPr="00BD16B4" w:rsidRDefault="00B71B4E" w:rsidP="00174404">
      <w:pPr>
        <w:pStyle w:val="BodyText"/>
        <w:spacing w:before="100"/>
      </w:pPr>
      <w:r w:rsidRPr="00BD16B4">
        <w:t xml:space="preserve">New Zealand has provided NZ$73.5 million to support the </w:t>
      </w:r>
      <w:r w:rsidRPr="00BD16B4">
        <w:rPr>
          <w:rFonts w:cstheme="minorHAnsi"/>
        </w:rPr>
        <w:t>GRA’s work</w:t>
      </w:r>
      <w:r w:rsidRPr="00BD16B4">
        <w:t xml:space="preserve"> since it began in 2009. New funding has been agreed to support further international collaboration, build developing countries’ capacity through training and awards, and continue New Zealand’s leadership in the GRA. The GRA is a major initiative involving the collaboration of 66 developed and developing country members, working with 27 partner organisations to reduce agricultural greenhouse gas (GHG) emissions, enhance soil organic carbon and improve food security. </w:t>
      </w:r>
    </w:p>
    <w:p w14:paraId="0045C071" w14:textId="77777777" w:rsidR="00B71B4E" w:rsidRPr="00BD16B4" w:rsidRDefault="00B71B4E" w:rsidP="00B71B4E">
      <w:pPr>
        <w:pStyle w:val="BodyText"/>
      </w:pPr>
      <w:r w:rsidRPr="00BD16B4">
        <w:t>The following are some of the GRA’s projects that have benefited developing countries.</w:t>
      </w:r>
    </w:p>
    <w:p w14:paraId="0EF458B7" w14:textId="77777777" w:rsidR="00B71B4E" w:rsidRPr="00BD16B4" w:rsidRDefault="00B71B4E" w:rsidP="0011037B">
      <w:pPr>
        <w:pStyle w:val="Bullet"/>
        <w:tabs>
          <w:tab w:val="num" w:pos="397"/>
        </w:tabs>
        <w:spacing w:line="280" w:lineRule="exact"/>
      </w:pPr>
      <w:bookmarkStart w:id="363" w:name="_Hlk115584438"/>
      <w:r w:rsidRPr="00BD16B4">
        <w:rPr>
          <w:b/>
        </w:rPr>
        <w:t>Climate, Food and Farming Research Network – Global Research Alliance Development Scholarship (CLIFF-GRADS).</w:t>
      </w:r>
      <w:r w:rsidRPr="00BD16B4">
        <w:t xml:space="preserve"> CLIFF-GRADS is a joint initiative of the GRA and the Consultative Group for International Agricultural Research (CGIAR</w:t>
      </w:r>
      <w:bookmarkEnd w:id="363"/>
      <w:r w:rsidRPr="00BD16B4">
        <w:t xml:space="preserve">). It aims to build the capability of early-career agriculture students from developing countries to conduct </w:t>
      </w:r>
      <w:r w:rsidRPr="00BD16B4">
        <w:rPr>
          <w:spacing w:val="-2"/>
        </w:rPr>
        <w:t>applied research on climate change mitigation in agriculture. The New Zealand Government</w:t>
      </w:r>
      <w:r w:rsidRPr="00BD16B4">
        <w:t>, the United States Agency for International Development and CGIAR fund CLIFF-GRADS. Since it began in 2017, CLIFF-GRADS has offered more than 120 scholarships to PhD students from developing countries.</w:t>
      </w:r>
    </w:p>
    <w:p w14:paraId="4EFC17A8" w14:textId="77777777" w:rsidR="00B71B4E" w:rsidRPr="00BD16B4" w:rsidRDefault="00B71B4E" w:rsidP="0011037B">
      <w:pPr>
        <w:pStyle w:val="Bullet"/>
        <w:tabs>
          <w:tab w:val="num" w:pos="397"/>
        </w:tabs>
        <w:spacing w:line="280" w:lineRule="exact"/>
      </w:pPr>
      <w:r w:rsidRPr="00BD16B4">
        <w:rPr>
          <w:b/>
        </w:rPr>
        <w:t xml:space="preserve">Agricultural GHG inventory development. </w:t>
      </w:r>
      <w:r w:rsidRPr="00BD16B4">
        <w:t>In support of the GRA, New Zealand has delivered capability-building activities to improve livestock GHG measurement and reporting by developing countries. Effective measurement and reporting in this area are prerequisites for enhanced action on mitigation in the livestock sector in NDCs and enable robust domestic policy action. Regional inventory improvement programmes are under way in Latin America, South East Asia and East Africa, building local networks of experts who employ similar systems and can learn from each other. Participants have built their capacity and understanding of improving inventories for livestock systems and the steps needed for developing them in line with national circumstances and priorities.</w:t>
      </w:r>
    </w:p>
    <w:p w14:paraId="694BC4E5" w14:textId="18A3ED65" w:rsidR="00B71B4E" w:rsidRPr="00BD16B4" w:rsidRDefault="00B71B4E" w:rsidP="00E34497">
      <w:pPr>
        <w:pStyle w:val="Bullet"/>
      </w:pPr>
      <w:r w:rsidRPr="00BD16B4">
        <w:rPr>
          <w:b/>
        </w:rPr>
        <w:t>Supporting developing country participation in research</w:t>
      </w:r>
      <w:r w:rsidRPr="00BD16B4">
        <w:t>. This work includes participation in European Union funding calls and region-specific projects such as the sustainable intensification of legume-based livestock systems. New Zealand is supporting a Latin American regional project to establish a regional platform of cooperation to strengthen livestock systems based on the use of forage legumes. This work benefits more than 2,500 farmers, technicians, researchers and students in eight countries. It will reduce fertiliser requirements, lead to more resilient and climate-friendly beef production, and develop human resources in a regionally supportive manner.</w:t>
      </w:r>
      <w:r w:rsidR="00070F27" w:rsidRPr="00BD16B4">
        <w:rPr>
          <w:b/>
        </w:rPr>
        <w:t xml:space="preserve"> </w:t>
      </w:r>
    </w:p>
    <w:p w14:paraId="1ACD6314" w14:textId="77777777" w:rsidR="00B71B4E" w:rsidRPr="00BD16B4" w:rsidRDefault="00B71B4E" w:rsidP="00B71B4E">
      <w:pPr>
        <w:pStyle w:val="BodyText"/>
        <w:rPr>
          <w:highlight w:val="yellow"/>
        </w:rPr>
        <w:sectPr w:rsidR="00B71B4E" w:rsidRPr="00BD16B4" w:rsidSect="00B550D3">
          <w:footerReference w:type="even" r:id="rId118"/>
          <w:footerReference w:type="default" r:id="rId119"/>
          <w:pgSz w:w="11907" w:h="16840" w:code="9"/>
          <w:pgMar w:top="1134" w:right="1701" w:bottom="1134" w:left="1701" w:header="567" w:footer="567" w:gutter="0"/>
          <w:cols w:space="720"/>
          <w:docGrid w:linePitch="299"/>
        </w:sectPr>
      </w:pPr>
    </w:p>
    <w:p w14:paraId="545EC098" w14:textId="35A26895" w:rsidR="00B71B4E" w:rsidRPr="00BD16B4" w:rsidRDefault="00B71B4E" w:rsidP="00FF669F">
      <w:pPr>
        <w:pStyle w:val="Tableheading"/>
        <w:spacing w:before="0"/>
      </w:pPr>
      <w:bookmarkStart w:id="364" w:name="_Toc121773824"/>
      <w:r w:rsidRPr="00BD16B4">
        <w:lastRenderedPageBreak/>
        <w:t>Table 7.</w:t>
      </w:r>
      <w:r w:rsidR="00F44F5C" w:rsidRPr="00BD16B4">
        <w:t>3</w:t>
      </w:r>
      <w:r w:rsidRPr="00BD16B4">
        <w:t>:</w:t>
      </w:r>
      <w:r w:rsidRPr="00BD16B4">
        <w:tab/>
        <w:t>Provision of public financial support – summary information, 201</w:t>
      </w:r>
      <w:bookmarkEnd w:id="358"/>
      <w:bookmarkEnd w:id="359"/>
      <w:r w:rsidRPr="00BD16B4">
        <w:t>9 and 2020 (CTF Table 7)</w:t>
      </w:r>
      <w:bookmarkEnd w:id="364"/>
    </w:p>
    <w:p w14:paraId="520F6840" w14:textId="77777777" w:rsidR="00B71B4E" w:rsidRPr="00BD16B4" w:rsidRDefault="00B71B4E" w:rsidP="00FF669F">
      <w:pPr>
        <w:pStyle w:val="CTFTableheading"/>
      </w:pPr>
      <w:r w:rsidRPr="00BD16B4">
        <w:t xml:space="preserve">Table 7.3a: </w:t>
      </w:r>
      <w:r w:rsidRPr="00BD16B4">
        <w:tab/>
        <w:t>Provision of public financial support – summary information, 2019</w:t>
      </w:r>
    </w:p>
    <w:tbl>
      <w:tblPr>
        <w:tblW w:w="14515" w:type="dxa"/>
        <w:tblInd w:w="103"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3005"/>
        <w:gridCol w:w="823"/>
        <w:gridCol w:w="1059"/>
        <w:gridCol w:w="1122"/>
        <w:gridCol w:w="783"/>
        <w:gridCol w:w="691"/>
        <w:gridCol w:w="764"/>
        <w:gridCol w:w="972"/>
        <w:gridCol w:w="1134"/>
        <w:gridCol w:w="1111"/>
        <w:gridCol w:w="1157"/>
        <w:gridCol w:w="877"/>
        <w:gridCol w:w="1017"/>
      </w:tblGrid>
      <w:tr w:rsidR="00B83EF6" w:rsidRPr="00BD16B4" w14:paraId="5CA0585E" w14:textId="77777777" w:rsidTr="004C7814">
        <w:tc>
          <w:tcPr>
            <w:tcW w:w="3005" w:type="dxa"/>
            <w:vMerge w:val="restart"/>
            <w:tcBorders>
              <w:bottom w:val="nil"/>
              <w:right w:val="nil"/>
            </w:tcBorders>
            <w:shd w:val="clear" w:color="auto" w:fill="1B556B" w:themeFill="text2"/>
            <w:vAlign w:val="bottom"/>
            <w:hideMark/>
          </w:tcPr>
          <w:p w14:paraId="341F41B5" w14:textId="77777777" w:rsidR="00B83EF6" w:rsidRPr="00BD16B4" w:rsidRDefault="00B83EF6" w:rsidP="00B83EF6">
            <w:pPr>
              <w:pStyle w:val="TableTextBold0"/>
              <w:spacing w:before="0" w:after="0"/>
              <w:jc w:val="center"/>
              <w:rPr>
                <w:color w:val="FFFFFF" w:themeColor="background1"/>
              </w:rPr>
            </w:pPr>
          </w:p>
        </w:tc>
        <w:tc>
          <w:tcPr>
            <w:tcW w:w="5242" w:type="dxa"/>
            <w:gridSpan w:val="6"/>
            <w:tcBorders>
              <w:left w:val="nil"/>
              <w:bottom w:val="nil"/>
              <w:right w:val="nil"/>
            </w:tcBorders>
            <w:shd w:val="clear" w:color="auto" w:fill="1B556B" w:themeFill="text2"/>
            <w:vAlign w:val="bottom"/>
            <w:hideMark/>
          </w:tcPr>
          <w:p w14:paraId="2E288A28" w14:textId="77777777" w:rsidR="00B83EF6" w:rsidRPr="00BD16B4" w:rsidRDefault="00B83EF6" w:rsidP="00F31129">
            <w:pPr>
              <w:pStyle w:val="TableTextBold0"/>
              <w:spacing w:before="50" w:after="0"/>
              <w:jc w:val="center"/>
              <w:rPr>
                <w:color w:val="FFFFFF" w:themeColor="background1"/>
              </w:rPr>
            </w:pPr>
            <w:r w:rsidRPr="00BD16B4">
              <w:rPr>
                <w:color w:val="FFFFFF" w:themeColor="background1"/>
              </w:rPr>
              <w:t>New Zealand dollars (millions)</w:t>
            </w:r>
          </w:p>
        </w:tc>
        <w:tc>
          <w:tcPr>
            <w:tcW w:w="6268" w:type="dxa"/>
            <w:gridSpan w:val="6"/>
            <w:tcBorders>
              <w:left w:val="nil"/>
              <w:bottom w:val="nil"/>
            </w:tcBorders>
            <w:shd w:val="clear" w:color="auto" w:fill="1B556B" w:themeFill="text2"/>
            <w:vAlign w:val="bottom"/>
            <w:hideMark/>
          </w:tcPr>
          <w:p w14:paraId="6448EC5B" w14:textId="77777777" w:rsidR="00B83EF6" w:rsidRPr="00BD16B4" w:rsidRDefault="00B83EF6" w:rsidP="00F31129">
            <w:pPr>
              <w:pStyle w:val="TableTextBold0"/>
              <w:spacing w:before="50" w:after="0"/>
              <w:jc w:val="center"/>
              <w:rPr>
                <w:color w:val="FFFFFF" w:themeColor="background1"/>
              </w:rPr>
            </w:pPr>
            <w:r w:rsidRPr="00BD16B4">
              <w:rPr>
                <w:color w:val="FFFFFF" w:themeColor="background1"/>
              </w:rPr>
              <w:t>US dollars (millions)</w:t>
            </w:r>
          </w:p>
        </w:tc>
      </w:tr>
      <w:tr w:rsidR="00B83EF6" w:rsidRPr="00BD16B4" w14:paraId="792FA028" w14:textId="77777777" w:rsidTr="004C7814">
        <w:tc>
          <w:tcPr>
            <w:tcW w:w="3005" w:type="dxa"/>
            <w:vMerge/>
            <w:tcBorders>
              <w:top w:val="nil"/>
              <w:bottom w:val="nil"/>
              <w:right w:val="nil"/>
            </w:tcBorders>
            <w:shd w:val="clear" w:color="auto" w:fill="1B556B" w:themeFill="text2"/>
            <w:vAlign w:val="bottom"/>
            <w:hideMark/>
          </w:tcPr>
          <w:p w14:paraId="0E6AEAEA" w14:textId="77777777" w:rsidR="00B83EF6" w:rsidRPr="00BD16B4" w:rsidRDefault="00B83EF6" w:rsidP="00F31129">
            <w:pPr>
              <w:pStyle w:val="TableTextBold0"/>
              <w:spacing w:before="0" w:after="50"/>
              <w:jc w:val="center"/>
              <w:rPr>
                <w:color w:val="FFFFFF" w:themeColor="background1"/>
              </w:rPr>
            </w:pPr>
          </w:p>
        </w:tc>
        <w:tc>
          <w:tcPr>
            <w:tcW w:w="823" w:type="dxa"/>
            <w:vMerge w:val="restart"/>
            <w:tcBorders>
              <w:top w:val="nil"/>
              <w:left w:val="nil"/>
              <w:bottom w:val="nil"/>
              <w:right w:val="nil"/>
            </w:tcBorders>
            <w:shd w:val="clear" w:color="auto" w:fill="1B556B" w:themeFill="text2"/>
            <w:vAlign w:val="bottom"/>
            <w:hideMark/>
          </w:tcPr>
          <w:p w14:paraId="36C2C18A" w14:textId="77777777" w:rsidR="00B83EF6" w:rsidRPr="00BD16B4" w:rsidRDefault="00B83EF6" w:rsidP="00F31129">
            <w:pPr>
              <w:pStyle w:val="TableTextBold0"/>
              <w:spacing w:before="0" w:after="50"/>
              <w:jc w:val="center"/>
              <w:rPr>
                <w:color w:val="FFFFFF" w:themeColor="background1"/>
              </w:rPr>
            </w:pPr>
            <w:r w:rsidRPr="00BD16B4">
              <w:rPr>
                <w:color w:val="FFFFFF" w:themeColor="background1"/>
              </w:rPr>
              <w:t>Core/ general</w:t>
            </w:r>
          </w:p>
        </w:tc>
        <w:tc>
          <w:tcPr>
            <w:tcW w:w="3655" w:type="dxa"/>
            <w:gridSpan w:val="4"/>
            <w:tcBorders>
              <w:top w:val="nil"/>
              <w:left w:val="nil"/>
              <w:bottom w:val="nil"/>
              <w:right w:val="nil"/>
            </w:tcBorders>
            <w:shd w:val="clear" w:color="auto" w:fill="1B556B" w:themeFill="text2"/>
            <w:vAlign w:val="bottom"/>
            <w:hideMark/>
          </w:tcPr>
          <w:p w14:paraId="68879D41" w14:textId="77777777" w:rsidR="00B83EF6" w:rsidRPr="00BD16B4" w:rsidRDefault="00B83EF6" w:rsidP="00F31129">
            <w:pPr>
              <w:pStyle w:val="TableTextBold0"/>
              <w:spacing w:before="0" w:after="50"/>
              <w:jc w:val="center"/>
              <w:rPr>
                <w:color w:val="FFFFFF" w:themeColor="background1"/>
              </w:rPr>
            </w:pPr>
            <w:r w:rsidRPr="00BD16B4">
              <w:rPr>
                <w:color w:val="FFFFFF" w:themeColor="background1"/>
              </w:rPr>
              <w:t>Climate-specific</w:t>
            </w:r>
          </w:p>
        </w:tc>
        <w:tc>
          <w:tcPr>
            <w:tcW w:w="764" w:type="dxa"/>
            <w:tcBorders>
              <w:top w:val="nil"/>
              <w:left w:val="nil"/>
              <w:bottom w:val="nil"/>
              <w:right w:val="nil"/>
            </w:tcBorders>
            <w:shd w:val="clear" w:color="auto" w:fill="1B556B" w:themeFill="text2"/>
            <w:vAlign w:val="bottom"/>
            <w:hideMark/>
          </w:tcPr>
          <w:p w14:paraId="35A8A373" w14:textId="77777777" w:rsidR="00B83EF6" w:rsidRPr="00BD16B4" w:rsidRDefault="00B83EF6" w:rsidP="00F31129">
            <w:pPr>
              <w:pStyle w:val="TableTextBold0"/>
              <w:spacing w:before="0" w:after="50"/>
              <w:jc w:val="center"/>
              <w:rPr>
                <w:color w:val="FFFFFF" w:themeColor="background1"/>
              </w:rPr>
            </w:pPr>
          </w:p>
        </w:tc>
        <w:tc>
          <w:tcPr>
            <w:tcW w:w="972" w:type="dxa"/>
            <w:vMerge w:val="restart"/>
            <w:tcBorders>
              <w:top w:val="nil"/>
              <w:left w:val="nil"/>
              <w:bottom w:val="nil"/>
              <w:right w:val="nil"/>
            </w:tcBorders>
            <w:shd w:val="clear" w:color="auto" w:fill="1B556B" w:themeFill="text2"/>
            <w:vAlign w:val="bottom"/>
            <w:hideMark/>
          </w:tcPr>
          <w:p w14:paraId="21934EA4" w14:textId="77777777" w:rsidR="00B83EF6" w:rsidRPr="00BD16B4" w:rsidRDefault="00B83EF6" w:rsidP="00F31129">
            <w:pPr>
              <w:pStyle w:val="TableTextBold0"/>
              <w:spacing w:before="0" w:after="50"/>
              <w:jc w:val="center"/>
              <w:rPr>
                <w:color w:val="FFFFFF" w:themeColor="background1"/>
              </w:rPr>
            </w:pPr>
            <w:r w:rsidRPr="00BD16B4">
              <w:rPr>
                <w:color w:val="FFFFFF" w:themeColor="background1"/>
              </w:rPr>
              <w:t>Core/ general</w:t>
            </w:r>
          </w:p>
        </w:tc>
        <w:tc>
          <w:tcPr>
            <w:tcW w:w="4279" w:type="dxa"/>
            <w:gridSpan w:val="4"/>
            <w:tcBorders>
              <w:top w:val="nil"/>
              <w:left w:val="nil"/>
              <w:bottom w:val="nil"/>
              <w:right w:val="nil"/>
            </w:tcBorders>
            <w:shd w:val="clear" w:color="auto" w:fill="1B556B" w:themeFill="text2"/>
            <w:vAlign w:val="bottom"/>
            <w:hideMark/>
          </w:tcPr>
          <w:p w14:paraId="2B3CB794" w14:textId="77777777" w:rsidR="00B83EF6" w:rsidRPr="00BD16B4" w:rsidRDefault="00B83EF6" w:rsidP="00F31129">
            <w:pPr>
              <w:pStyle w:val="TableTextBold0"/>
              <w:spacing w:before="0" w:after="50"/>
              <w:jc w:val="center"/>
              <w:rPr>
                <w:color w:val="FFFFFF" w:themeColor="background1"/>
              </w:rPr>
            </w:pPr>
            <w:r w:rsidRPr="00BD16B4">
              <w:rPr>
                <w:color w:val="FFFFFF" w:themeColor="background1"/>
              </w:rPr>
              <w:t>Climate-specific</w:t>
            </w:r>
          </w:p>
        </w:tc>
        <w:tc>
          <w:tcPr>
            <w:tcW w:w="1017" w:type="dxa"/>
            <w:tcBorders>
              <w:top w:val="nil"/>
              <w:left w:val="nil"/>
              <w:bottom w:val="nil"/>
            </w:tcBorders>
            <w:shd w:val="clear" w:color="auto" w:fill="1B556B" w:themeFill="text2"/>
            <w:vAlign w:val="bottom"/>
            <w:hideMark/>
          </w:tcPr>
          <w:p w14:paraId="535B85FA" w14:textId="77777777" w:rsidR="00B83EF6" w:rsidRPr="00BD16B4" w:rsidRDefault="00B83EF6" w:rsidP="00F31129">
            <w:pPr>
              <w:pStyle w:val="TableTextBold0"/>
              <w:spacing w:before="0" w:after="50"/>
              <w:rPr>
                <w:color w:val="FFFFFF" w:themeColor="background1"/>
              </w:rPr>
            </w:pPr>
            <w:r w:rsidRPr="00BD16B4">
              <w:rPr>
                <w:color w:val="FFFFFF" w:themeColor="background1"/>
              </w:rPr>
              <w:t> </w:t>
            </w:r>
          </w:p>
        </w:tc>
      </w:tr>
      <w:tr w:rsidR="00B71B4E" w:rsidRPr="00BD16B4" w14:paraId="1D9783FB" w14:textId="77777777" w:rsidTr="004C7814">
        <w:tc>
          <w:tcPr>
            <w:tcW w:w="3005" w:type="dxa"/>
            <w:tcBorders>
              <w:top w:val="nil"/>
              <w:right w:val="nil"/>
            </w:tcBorders>
            <w:shd w:val="clear" w:color="auto" w:fill="1B556B" w:themeFill="text2"/>
            <w:vAlign w:val="bottom"/>
            <w:hideMark/>
          </w:tcPr>
          <w:p w14:paraId="332024A7" w14:textId="77777777" w:rsidR="00B71B4E" w:rsidRPr="00BD16B4" w:rsidRDefault="00B71B4E" w:rsidP="00F31129">
            <w:pPr>
              <w:pStyle w:val="TableTextBold0"/>
              <w:spacing w:before="50" w:after="50"/>
              <w:rPr>
                <w:color w:val="FFFFFF" w:themeColor="background1"/>
              </w:rPr>
            </w:pPr>
            <w:r w:rsidRPr="00BD16B4">
              <w:rPr>
                <w:color w:val="FFFFFF" w:themeColor="background1"/>
              </w:rPr>
              <w:t>Allocation channel</w:t>
            </w:r>
          </w:p>
        </w:tc>
        <w:tc>
          <w:tcPr>
            <w:tcW w:w="823" w:type="dxa"/>
            <w:vMerge/>
            <w:tcBorders>
              <w:top w:val="nil"/>
              <w:left w:val="nil"/>
              <w:right w:val="nil"/>
            </w:tcBorders>
            <w:shd w:val="clear" w:color="auto" w:fill="1B556B" w:themeFill="text2"/>
            <w:vAlign w:val="bottom"/>
            <w:hideMark/>
          </w:tcPr>
          <w:p w14:paraId="732AF9E6" w14:textId="77777777" w:rsidR="00B71B4E" w:rsidRPr="00BD16B4" w:rsidRDefault="00B71B4E" w:rsidP="00F31129">
            <w:pPr>
              <w:pStyle w:val="TableTextBold0"/>
              <w:spacing w:before="50" w:after="50"/>
              <w:rPr>
                <w:color w:val="FFFFFF" w:themeColor="background1"/>
              </w:rPr>
            </w:pPr>
          </w:p>
        </w:tc>
        <w:tc>
          <w:tcPr>
            <w:tcW w:w="1059" w:type="dxa"/>
            <w:tcBorders>
              <w:top w:val="nil"/>
              <w:left w:val="nil"/>
              <w:right w:val="nil"/>
            </w:tcBorders>
            <w:shd w:val="clear" w:color="auto" w:fill="1B556B" w:themeFill="text2"/>
            <w:vAlign w:val="bottom"/>
            <w:hideMark/>
          </w:tcPr>
          <w:p w14:paraId="52C1E796" w14:textId="77777777" w:rsidR="00B71B4E" w:rsidRPr="00BD16B4" w:rsidRDefault="00B71B4E" w:rsidP="00F31129">
            <w:pPr>
              <w:pStyle w:val="TableTextBold0"/>
              <w:spacing w:before="50" w:after="50"/>
              <w:jc w:val="center"/>
              <w:rPr>
                <w:color w:val="FFFFFF" w:themeColor="background1"/>
              </w:rPr>
            </w:pPr>
            <w:r w:rsidRPr="00BD16B4">
              <w:rPr>
                <w:color w:val="FFFFFF" w:themeColor="background1"/>
              </w:rPr>
              <w:t>Mitigation</w:t>
            </w:r>
          </w:p>
        </w:tc>
        <w:tc>
          <w:tcPr>
            <w:tcW w:w="1122" w:type="dxa"/>
            <w:tcBorders>
              <w:top w:val="nil"/>
              <w:left w:val="nil"/>
              <w:right w:val="nil"/>
            </w:tcBorders>
            <w:shd w:val="clear" w:color="auto" w:fill="1B556B" w:themeFill="text2"/>
            <w:vAlign w:val="bottom"/>
            <w:hideMark/>
          </w:tcPr>
          <w:p w14:paraId="73DE4938" w14:textId="77777777" w:rsidR="00B71B4E" w:rsidRPr="00BD16B4" w:rsidRDefault="00B71B4E" w:rsidP="00F31129">
            <w:pPr>
              <w:pStyle w:val="TableTextBold0"/>
              <w:spacing w:before="50" w:after="50"/>
              <w:jc w:val="center"/>
              <w:rPr>
                <w:color w:val="FFFFFF" w:themeColor="background1"/>
              </w:rPr>
            </w:pPr>
            <w:r w:rsidRPr="00BD16B4">
              <w:rPr>
                <w:color w:val="FFFFFF" w:themeColor="background1"/>
              </w:rPr>
              <w:t>Adaptation</w:t>
            </w:r>
          </w:p>
        </w:tc>
        <w:tc>
          <w:tcPr>
            <w:tcW w:w="783" w:type="dxa"/>
            <w:tcBorders>
              <w:top w:val="nil"/>
              <w:left w:val="nil"/>
              <w:right w:val="nil"/>
            </w:tcBorders>
            <w:shd w:val="clear" w:color="auto" w:fill="1B556B" w:themeFill="text2"/>
            <w:vAlign w:val="bottom"/>
            <w:hideMark/>
          </w:tcPr>
          <w:p w14:paraId="31ABE07B" w14:textId="77777777" w:rsidR="00B71B4E" w:rsidRPr="00BD16B4" w:rsidRDefault="00B71B4E" w:rsidP="00F31129">
            <w:pPr>
              <w:pStyle w:val="TableTextBold0"/>
              <w:spacing w:before="50" w:after="50"/>
              <w:jc w:val="center"/>
              <w:rPr>
                <w:color w:val="FFFFFF" w:themeColor="background1"/>
              </w:rPr>
            </w:pPr>
            <w:r w:rsidRPr="00BD16B4">
              <w:rPr>
                <w:color w:val="FFFFFF" w:themeColor="background1"/>
              </w:rPr>
              <w:t>Cross-cutting</w:t>
            </w:r>
          </w:p>
        </w:tc>
        <w:tc>
          <w:tcPr>
            <w:tcW w:w="691" w:type="dxa"/>
            <w:tcBorders>
              <w:top w:val="nil"/>
              <w:left w:val="nil"/>
              <w:right w:val="nil"/>
            </w:tcBorders>
            <w:shd w:val="clear" w:color="auto" w:fill="1B556B" w:themeFill="text2"/>
            <w:vAlign w:val="bottom"/>
            <w:hideMark/>
          </w:tcPr>
          <w:p w14:paraId="29CFA155" w14:textId="77777777" w:rsidR="00B71B4E" w:rsidRPr="00BD16B4" w:rsidRDefault="00B71B4E" w:rsidP="00F31129">
            <w:pPr>
              <w:pStyle w:val="TableTextBold0"/>
              <w:spacing w:before="50" w:after="50"/>
              <w:jc w:val="center"/>
              <w:rPr>
                <w:color w:val="FFFFFF" w:themeColor="background1"/>
              </w:rPr>
            </w:pPr>
            <w:r w:rsidRPr="00BD16B4">
              <w:rPr>
                <w:color w:val="FFFFFF" w:themeColor="background1"/>
              </w:rPr>
              <w:t>Other</w:t>
            </w:r>
          </w:p>
        </w:tc>
        <w:tc>
          <w:tcPr>
            <w:tcW w:w="764" w:type="dxa"/>
            <w:tcBorders>
              <w:top w:val="nil"/>
              <w:left w:val="nil"/>
              <w:bottom w:val="single" w:sz="4" w:space="0" w:color="1B556B" w:themeColor="text2"/>
              <w:right w:val="nil"/>
            </w:tcBorders>
            <w:shd w:val="clear" w:color="auto" w:fill="1B556B" w:themeFill="text2"/>
            <w:vAlign w:val="bottom"/>
            <w:hideMark/>
          </w:tcPr>
          <w:p w14:paraId="1D6CFAC5" w14:textId="77777777" w:rsidR="00B71B4E" w:rsidRPr="00BD16B4" w:rsidRDefault="00B71B4E" w:rsidP="00F31129">
            <w:pPr>
              <w:pStyle w:val="TableTextBold0"/>
              <w:spacing w:before="50" w:after="50"/>
              <w:jc w:val="center"/>
              <w:rPr>
                <w:color w:val="FFFFFF" w:themeColor="background1"/>
              </w:rPr>
            </w:pPr>
            <w:r w:rsidRPr="00BD16B4">
              <w:rPr>
                <w:color w:val="FFFFFF" w:themeColor="background1"/>
              </w:rPr>
              <w:t>Total</w:t>
            </w:r>
          </w:p>
        </w:tc>
        <w:tc>
          <w:tcPr>
            <w:tcW w:w="972" w:type="dxa"/>
            <w:vMerge/>
            <w:tcBorders>
              <w:top w:val="nil"/>
              <w:left w:val="nil"/>
              <w:right w:val="nil"/>
            </w:tcBorders>
            <w:shd w:val="clear" w:color="auto" w:fill="1B556B" w:themeFill="text2"/>
            <w:vAlign w:val="bottom"/>
            <w:hideMark/>
          </w:tcPr>
          <w:p w14:paraId="78DD1694" w14:textId="77777777" w:rsidR="00B71B4E" w:rsidRPr="00BD16B4" w:rsidRDefault="00B71B4E" w:rsidP="00F31129">
            <w:pPr>
              <w:pStyle w:val="TableTextBold0"/>
              <w:spacing w:before="50" w:after="50"/>
              <w:jc w:val="center"/>
              <w:rPr>
                <w:color w:val="FFFFFF" w:themeColor="background1"/>
              </w:rPr>
            </w:pPr>
          </w:p>
        </w:tc>
        <w:tc>
          <w:tcPr>
            <w:tcW w:w="1134" w:type="dxa"/>
            <w:tcBorders>
              <w:top w:val="nil"/>
              <w:left w:val="nil"/>
              <w:right w:val="nil"/>
            </w:tcBorders>
            <w:shd w:val="clear" w:color="auto" w:fill="1B556B" w:themeFill="text2"/>
            <w:vAlign w:val="bottom"/>
            <w:hideMark/>
          </w:tcPr>
          <w:p w14:paraId="54B822C0" w14:textId="77777777" w:rsidR="00B71B4E" w:rsidRPr="00BD16B4" w:rsidRDefault="00B71B4E" w:rsidP="00F31129">
            <w:pPr>
              <w:pStyle w:val="TableTextBold0"/>
              <w:spacing w:before="50" w:after="50"/>
              <w:jc w:val="center"/>
              <w:rPr>
                <w:color w:val="FFFFFF" w:themeColor="background1"/>
              </w:rPr>
            </w:pPr>
            <w:r w:rsidRPr="00BD16B4">
              <w:rPr>
                <w:color w:val="FFFFFF" w:themeColor="background1"/>
              </w:rPr>
              <w:t>Mitigation</w:t>
            </w:r>
          </w:p>
        </w:tc>
        <w:tc>
          <w:tcPr>
            <w:tcW w:w="1111" w:type="dxa"/>
            <w:tcBorders>
              <w:top w:val="nil"/>
              <w:left w:val="nil"/>
              <w:right w:val="nil"/>
            </w:tcBorders>
            <w:shd w:val="clear" w:color="auto" w:fill="1B556B" w:themeFill="text2"/>
            <w:vAlign w:val="bottom"/>
            <w:hideMark/>
          </w:tcPr>
          <w:p w14:paraId="371A0AAC" w14:textId="77777777" w:rsidR="00B71B4E" w:rsidRPr="00BD16B4" w:rsidRDefault="00B71B4E" w:rsidP="00F31129">
            <w:pPr>
              <w:pStyle w:val="TableTextBold0"/>
              <w:spacing w:before="50" w:after="50"/>
              <w:jc w:val="center"/>
              <w:rPr>
                <w:color w:val="FFFFFF" w:themeColor="background1"/>
              </w:rPr>
            </w:pPr>
            <w:r w:rsidRPr="00BD16B4">
              <w:rPr>
                <w:color w:val="FFFFFF" w:themeColor="background1"/>
              </w:rPr>
              <w:t>Adaptation</w:t>
            </w:r>
          </w:p>
        </w:tc>
        <w:tc>
          <w:tcPr>
            <w:tcW w:w="1157" w:type="dxa"/>
            <w:tcBorders>
              <w:top w:val="nil"/>
              <w:left w:val="nil"/>
              <w:right w:val="nil"/>
            </w:tcBorders>
            <w:shd w:val="clear" w:color="auto" w:fill="1B556B" w:themeFill="text2"/>
            <w:vAlign w:val="bottom"/>
            <w:hideMark/>
          </w:tcPr>
          <w:p w14:paraId="7D184A0A" w14:textId="77777777" w:rsidR="00B71B4E" w:rsidRPr="00BD16B4" w:rsidRDefault="00B71B4E" w:rsidP="00F31129">
            <w:pPr>
              <w:pStyle w:val="TableTextBold0"/>
              <w:spacing w:before="50" w:after="50"/>
              <w:jc w:val="center"/>
              <w:rPr>
                <w:color w:val="FFFFFF" w:themeColor="background1"/>
              </w:rPr>
            </w:pPr>
            <w:r w:rsidRPr="00BD16B4">
              <w:rPr>
                <w:color w:val="FFFFFF" w:themeColor="background1"/>
              </w:rPr>
              <w:t>Cross-cutting</w:t>
            </w:r>
          </w:p>
        </w:tc>
        <w:tc>
          <w:tcPr>
            <w:tcW w:w="877" w:type="dxa"/>
            <w:tcBorders>
              <w:top w:val="nil"/>
              <w:left w:val="nil"/>
              <w:right w:val="nil"/>
            </w:tcBorders>
            <w:shd w:val="clear" w:color="auto" w:fill="1B556B" w:themeFill="text2"/>
            <w:vAlign w:val="bottom"/>
            <w:hideMark/>
          </w:tcPr>
          <w:p w14:paraId="27DD4E81" w14:textId="77777777" w:rsidR="00B71B4E" w:rsidRPr="00BD16B4" w:rsidRDefault="00B71B4E" w:rsidP="00F31129">
            <w:pPr>
              <w:pStyle w:val="TableTextBold0"/>
              <w:spacing w:before="50" w:after="50"/>
              <w:jc w:val="center"/>
              <w:rPr>
                <w:color w:val="FFFFFF" w:themeColor="background1"/>
              </w:rPr>
            </w:pPr>
            <w:r w:rsidRPr="00BD16B4">
              <w:rPr>
                <w:color w:val="FFFFFF" w:themeColor="background1"/>
              </w:rPr>
              <w:t>Other</w:t>
            </w:r>
          </w:p>
        </w:tc>
        <w:tc>
          <w:tcPr>
            <w:tcW w:w="1017" w:type="dxa"/>
            <w:tcBorders>
              <w:top w:val="nil"/>
              <w:left w:val="nil"/>
              <w:bottom w:val="single" w:sz="4" w:space="0" w:color="1B556B" w:themeColor="text2"/>
            </w:tcBorders>
            <w:shd w:val="clear" w:color="auto" w:fill="1B556B" w:themeFill="text2"/>
            <w:vAlign w:val="bottom"/>
            <w:hideMark/>
          </w:tcPr>
          <w:p w14:paraId="701981DA" w14:textId="77777777" w:rsidR="00B71B4E" w:rsidRPr="00BD16B4" w:rsidRDefault="00B71B4E" w:rsidP="00F31129">
            <w:pPr>
              <w:pStyle w:val="TableTextBold0"/>
              <w:spacing w:before="50" w:after="50"/>
              <w:jc w:val="center"/>
              <w:rPr>
                <w:color w:val="FFFFFF" w:themeColor="background1"/>
              </w:rPr>
            </w:pPr>
            <w:r w:rsidRPr="00BD16B4">
              <w:rPr>
                <w:color w:val="FFFFFF" w:themeColor="background1"/>
              </w:rPr>
              <w:t>Total</w:t>
            </w:r>
          </w:p>
        </w:tc>
      </w:tr>
      <w:tr w:rsidR="00B71B4E" w:rsidRPr="00BD16B4" w14:paraId="14781B99" w14:textId="77777777" w:rsidTr="00B83EF6">
        <w:tc>
          <w:tcPr>
            <w:tcW w:w="3005" w:type="dxa"/>
            <w:shd w:val="clear" w:color="auto" w:fill="auto"/>
            <w:hideMark/>
          </w:tcPr>
          <w:p w14:paraId="58AEEA5B" w14:textId="77777777" w:rsidR="00B71B4E" w:rsidRPr="00BD16B4" w:rsidRDefault="00B71B4E" w:rsidP="00F31129">
            <w:pPr>
              <w:pStyle w:val="TableTextBold0"/>
              <w:spacing w:before="50" w:after="50"/>
            </w:pPr>
            <w:r w:rsidRPr="00BD16B4">
              <w:t xml:space="preserve">Total contributions through multilateral channels </w:t>
            </w:r>
          </w:p>
        </w:tc>
        <w:tc>
          <w:tcPr>
            <w:tcW w:w="823" w:type="dxa"/>
            <w:shd w:val="clear" w:color="auto" w:fill="auto"/>
            <w:vAlign w:val="bottom"/>
            <w:hideMark/>
          </w:tcPr>
          <w:p w14:paraId="49618B69" w14:textId="77777777" w:rsidR="00B71B4E" w:rsidRPr="00BD16B4" w:rsidRDefault="00B71B4E" w:rsidP="00F31129">
            <w:pPr>
              <w:pStyle w:val="TableTextBold0"/>
              <w:spacing w:before="50" w:after="50"/>
              <w:jc w:val="right"/>
            </w:pPr>
            <w:r w:rsidRPr="00BD16B4">
              <w:t>30.65</w:t>
            </w:r>
          </w:p>
        </w:tc>
        <w:tc>
          <w:tcPr>
            <w:tcW w:w="1059" w:type="dxa"/>
            <w:shd w:val="clear" w:color="auto" w:fill="auto"/>
            <w:vAlign w:val="bottom"/>
            <w:hideMark/>
          </w:tcPr>
          <w:p w14:paraId="3E2E19A1" w14:textId="77777777" w:rsidR="00B71B4E" w:rsidRPr="00BD16B4" w:rsidRDefault="00B71B4E" w:rsidP="00F31129">
            <w:pPr>
              <w:pStyle w:val="TableTextBold0"/>
              <w:spacing w:before="50" w:after="50"/>
              <w:jc w:val="right"/>
            </w:pPr>
            <w:r w:rsidRPr="00BD16B4">
              <w:t> 0.94</w:t>
            </w:r>
          </w:p>
        </w:tc>
        <w:tc>
          <w:tcPr>
            <w:tcW w:w="1122" w:type="dxa"/>
            <w:shd w:val="clear" w:color="auto" w:fill="auto"/>
            <w:vAlign w:val="bottom"/>
            <w:hideMark/>
          </w:tcPr>
          <w:p w14:paraId="099A1134" w14:textId="77777777" w:rsidR="00B71B4E" w:rsidRPr="00BD16B4" w:rsidRDefault="00B71B4E" w:rsidP="00F31129">
            <w:pPr>
              <w:pStyle w:val="TableTextBold0"/>
              <w:spacing w:before="50" w:after="50"/>
              <w:jc w:val="right"/>
            </w:pPr>
            <w:r w:rsidRPr="00BD16B4">
              <w:t>3.75</w:t>
            </w:r>
          </w:p>
        </w:tc>
        <w:tc>
          <w:tcPr>
            <w:tcW w:w="783" w:type="dxa"/>
            <w:shd w:val="clear" w:color="auto" w:fill="auto"/>
            <w:vAlign w:val="bottom"/>
            <w:hideMark/>
          </w:tcPr>
          <w:p w14:paraId="7692B7F4" w14:textId="77777777" w:rsidR="00B71B4E" w:rsidRPr="00BD16B4" w:rsidRDefault="00B71B4E" w:rsidP="00F31129">
            <w:pPr>
              <w:pStyle w:val="TableTextBold0"/>
              <w:spacing w:before="50" w:after="50"/>
              <w:jc w:val="right"/>
            </w:pPr>
            <w:r w:rsidRPr="00BD16B4">
              <w:t>34.35</w:t>
            </w:r>
          </w:p>
        </w:tc>
        <w:tc>
          <w:tcPr>
            <w:tcW w:w="691" w:type="dxa"/>
            <w:shd w:val="clear" w:color="auto" w:fill="auto"/>
            <w:vAlign w:val="bottom"/>
            <w:hideMark/>
          </w:tcPr>
          <w:p w14:paraId="75A7F117" w14:textId="77777777" w:rsidR="00B71B4E" w:rsidRPr="00BD16B4" w:rsidRDefault="00B71B4E" w:rsidP="00F31129">
            <w:pPr>
              <w:pStyle w:val="TableTextBold0"/>
              <w:spacing w:before="50" w:after="50"/>
              <w:jc w:val="right"/>
            </w:pPr>
            <w:r w:rsidRPr="00BD16B4">
              <w:t> </w:t>
            </w:r>
          </w:p>
        </w:tc>
        <w:tc>
          <w:tcPr>
            <w:tcW w:w="764" w:type="dxa"/>
            <w:shd w:val="clear" w:color="000000" w:fill="D2DDE1" w:themeFill="background2"/>
            <w:vAlign w:val="bottom"/>
            <w:hideMark/>
          </w:tcPr>
          <w:p w14:paraId="46D8FD76" w14:textId="77777777" w:rsidR="00B71B4E" w:rsidRPr="00BD16B4" w:rsidRDefault="00B71B4E" w:rsidP="00F31129">
            <w:pPr>
              <w:pStyle w:val="TableTextBold0"/>
              <w:spacing w:before="50" w:after="50"/>
              <w:jc w:val="right"/>
            </w:pPr>
            <w:r w:rsidRPr="00BD16B4">
              <w:t>69.69</w:t>
            </w:r>
          </w:p>
        </w:tc>
        <w:tc>
          <w:tcPr>
            <w:tcW w:w="972" w:type="dxa"/>
            <w:shd w:val="clear" w:color="auto" w:fill="auto"/>
            <w:vAlign w:val="bottom"/>
            <w:hideMark/>
          </w:tcPr>
          <w:p w14:paraId="0D806652" w14:textId="77777777" w:rsidR="00B71B4E" w:rsidRPr="00BD16B4" w:rsidRDefault="00B71B4E" w:rsidP="00F31129">
            <w:pPr>
              <w:pStyle w:val="TableTextBold0"/>
              <w:spacing w:before="50" w:after="50"/>
              <w:jc w:val="right"/>
            </w:pPr>
            <w:r w:rsidRPr="00BD16B4">
              <w:t>20.19</w:t>
            </w:r>
          </w:p>
        </w:tc>
        <w:tc>
          <w:tcPr>
            <w:tcW w:w="1134" w:type="dxa"/>
            <w:shd w:val="clear" w:color="auto" w:fill="auto"/>
            <w:vAlign w:val="bottom"/>
            <w:hideMark/>
          </w:tcPr>
          <w:p w14:paraId="11E21216" w14:textId="77777777" w:rsidR="00B71B4E" w:rsidRPr="00BD16B4" w:rsidRDefault="00B71B4E" w:rsidP="00F31129">
            <w:pPr>
              <w:pStyle w:val="TableTextBold0"/>
              <w:spacing w:before="50" w:after="50"/>
              <w:jc w:val="right"/>
            </w:pPr>
            <w:r w:rsidRPr="00BD16B4">
              <w:t> 0.62</w:t>
            </w:r>
          </w:p>
        </w:tc>
        <w:tc>
          <w:tcPr>
            <w:tcW w:w="1111" w:type="dxa"/>
            <w:shd w:val="clear" w:color="auto" w:fill="auto"/>
            <w:vAlign w:val="bottom"/>
            <w:hideMark/>
          </w:tcPr>
          <w:p w14:paraId="28DC959C" w14:textId="77777777" w:rsidR="00B71B4E" w:rsidRPr="00BD16B4" w:rsidRDefault="00B71B4E" w:rsidP="00F31129">
            <w:pPr>
              <w:pStyle w:val="TableTextBold0"/>
              <w:spacing w:before="50" w:after="50"/>
              <w:jc w:val="right"/>
            </w:pPr>
            <w:r w:rsidRPr="00BD16B4">
              <w:t>2.47</w:t>
            </w:r>
          </w:p>
        </w:tc>
        <w:tc>
          <w:tcPr>
            <w:tcW w:w="1157" w:type="dxa"/>
            <w:shd w:val="clear" w:color="auto" w:fill="auto"/>
            <w:vAlign w:val="bottom"/>
            <w:hideMark/>
          </w:tcPr>
          <w:p w14:paraId="31643D51" w14:textId="77777777" w:rsidR="00B71B4E" w:rsidRPr="00BD16B4" w:rsidRDefault="00B71B4E" w:rsidP="00F31129">
            <w:pPr>
              <w:pStyle w:val="TableTextBold0"/>
              <w:spacing w:before="50" w:after="50"/>
              <w:jc w:val="right"/>
            </w:pPr>
            <w:r w:rsidRPr="00BD16B4">
              <w:t>22.64</w:t>
            </w:r>
          </w:p>
        </w:tc>
        <w:tc>
          <w:tcPr>
            <w:tcW w:w="877" w:type="dxa"/>
            <w:shd w:val="clear" w:color="auto" w:fill="auto"/>
            <w:noWrap/>
            <w:vAlign w:val="bottom"/>
            <w:hideMark/>
          </w:tcPr>
          <w:p w14:paraId="6D911661" w14:textId="77777777" w:rsidR="00B71B4E" w:rsidRPr="00BD16B4" w:rsidRDefault="00B71B4E" w:rsidP="00F31129">
            <w:pPr>
              <w:pStyle w:val="TableTextBold0"/>
              <w:spacing w:before="50" w:after="50"/>
              <w:jc w:val="right"/>
              <w:rPr>
                <w:rFonts w:ascii="Arial" w:hAnsi="Arial" w:cs="Arial"/>
              </w:rPr>
            </w:pPr>
            <w:r w:rsidRPr="00BD16B4">
              <w:rPr>
                <w:rFonts w:ascii="Arial" w:hAnsi="Arial" w:cs="Arial"/>
              </w:rPr>
              <w:t> </w:t>
            </w:r>
          </w:p>
        </w:tc>
        <w:tc>
          <w:tcPr>
            <w:tcW w:w="1017" w:type="dxa"/>
            <w:shd w:val="clear" w:color="000000" w:fill="D2DDE1" w:themeFill="background2"/>
            <w:vAlign w:val="bottom"/>
            <w:hideMark/>
          </w:tcPr>
          <w:p w14:paraId="72146BCA" w14:textId="77777777" w:rsidR="00B71B4E" w:rsidRPr="00BD16B4" w:rsidRDefault="00B71B4E" w:rsidP="00F31129">
            <w:pPr>
              <w:pStyle w:val="TableTextBold0"/>
              <w:spacing w:before="50" w:after="50"/>
              <w:jc w:val="right"/>
            </w:pPr>
            <w:r w:rsidRPr="00BD16B4">
              <w:t>45.92</w:t>
            </w:r>
          </w:p>
        </w:tc>
      </w:tr>
      <w:tr w:rsidR="00B71B4E" w:rsidRPr="00BD16B4" w14:paraId="42AD357E" w14:textId="77777777" w:rsidTr="00B83EF6">
        <w:tc>
          <w:tcPr>
            <w:tcW w:w="3005" w:type="dxa"/>
            <w:shd w:val="clear" w:color="auto" w:fill="auto"/>
            <w:hideMark/>
          </w:tcPr>
          <w:p w14:paraId="5EC76FC2" w14:textId="77777777" w:rsidR="00B71B4E" w:rsidRPr="00BD16B4" w:rsidRDefault="00B71B4E" w:rsidP="00F31129">
            <w:pPr>
              <w:pStyle w:val="TableText"/>
              <w:spacing w:before="50" w:after="50"/>
            </w:pPr>
            <w:r w:rsidRPr="00BD16B4">
              <w:t>Multilateral climate change funds</w:t>
            </w:r>
          </w:p>
        </w:tc>
        <w:tc>
          <w:tcPr>
            <w:tcW w:w="823" w:type="dxa"/>
            <w:shd w:val="clear" w:color="auto" w:fill="auto"/>
            <w:vAlign w:val="bottom"/>
            <w:hideMark/>
          </w:tcPr>
          <w:p w14:paraId="241741A4" w14:textId="77777777" w:rsidR="00B71B4E" w:rsidRPr="00BD16B4" w:rsidRDefault="00B71B4E" w:rsidP="00F31129">
            <w:pPr>
              <w:pStyle w:val="TableText"/>
              <w:spacing w:before="50" w:after="50"/>
              <w:jc w:val="right"/>
            </w:pPr>
            <w:r w:rsidRPr="00BD16B4">
              <w:t>0.28</w:t>
            </w:r>
          </w:p>
        </w:tc>
        <w:tc>
          <w:tcPr>
            <w:tcW w:w="1059" w:type="dxa"/>
            <w:shd w:val="clear" w:color="auto" w:fill="auto"/>
            <w:noWrap/>
            <w:vAlign w:val="bottom"/>
            <w:hideMark/>
          </w:tcPr>
          <w:p w14:paraId="2B3DF417" w14:textId="77777777" w:rsidR="00B71B4E" w:rsidRPr="00BD16B4" w:rsidRDefault="00B71B4E" w:rsidP="00F31129">
            <w:pPr>
              <w:pStyle w:val="TableText"/>
              <w:spacing w:before="50" w:after="50"/>
              <w:jc w:val="right"/>
            </w:pPr>
            <w:r w:rsidRPr="00BD16B4">
              <w:t> </w:t>
            </w:r>
          </w:p>
        </w:tc>
        <w:tc>
          <w:tcPr>
            <w:tcW w:w="1122" w:type="dxa"/>
            <w:shd w:val="clear" w:color="auto" w:fill="auto"/>
            <w:noWrap/>
            <w:vAlign w:val="bottom"/>
            <w:hideMark/>
          </w:tcPr>
          <w:p w14:paraId="02C9E316" w14:textId="77777777" w:rsidR="00B71B4E" w:rsidRPr="00BD16B4" w:rsidRDefault="00B71B4E" w:rsidP="00F31129">
            <w:pPr>
              <w:pStyle w:val="TableText"/>
              <w:spacing w:before="50" w:after="50"/>
              <w:jc w:val="right"/>
            </w:pPr>
            <w:r w:rsidRPr="00BD16B4">
              <w:t>3.00</w:t>
            </w:r>
          </w:p>
        </w:tc>
        <w:tc>
          <w:tcPr>
            <w:tcW w:w="783" w:type="dxa"/>
            <w:shd w:val="clear" w:color="auto" w:fill="auto"/>
            <w:vAlign w:val="bottom"/>
            <w:hideMark/>
          </w:tcPr>
          <w:p w14:paraId="16197679" w14:textId="77777777" w:rsidR="00B71B4E" w:rsidRPr="00BD16B4" w:rsidRDefault="00B71B4E" w:rsidP="00F31129">
            <w:pPr>
              <w:pStyle w:val="TableText"/>
              <w:spacing w:before="50" w:after="50"/>
              <w:jc w:val="right"/>
            </w:pPr>
            <w:r w:rsidRPr="00BD16B4">
              <w:t>16.38</w:t>
            </w:r>
          </w:p>
        </w:tc>
        <w:tc>
          <w:tcPr>
            <w:tcW w:w="691" w:type="dxa"/>
            <w:shd w:val="clear" w:color="auto" w:fill="auto"/>
            <w:noWrap/>
            <w:vAlign w:val="bottom"/>
            <w:hideMark/>
          </w:tcPr>
          <w:p w14:paraId="69E2AB44" w14:textId="77777777" w:rsidR="00B71B4E" w:rsidRPr="00BD16B4" w:rsidRDefault="00B71B4E" w:rsidP="00F31129">
            <w:pPr>
              <w:pStyle w:val="TableText"/>
              <w:spacing w:before="50" w:after="50"/>
              <w:jc w:val="right"/>
              <w:rPr>
                <w:rFonts w:ascii="Arial" w:hAnsi="Arial" w:cs="Arial"/>
                <w:szCs w:val="20"/>
              </w:rPr>
            </w:pPr>
            <w:r w:rsidRPr="00BD16B4">
              <w:rPr>
                <w:rFonts w:ascii="Arial" w:hAnsi="Arial" w:cs="Arial"/>
                <w:szCs w:val="20"/>
              </w:rPr>
              <w:t> </w:t>
            </w:r>
          </w:p>
        </w:tc>
        <w:tc>
          <w:tcPr>
            <w:tcW w:w="764" w:type="dxa"/>
            <w:shd w:val="clear" w:color="000000" w:fill="D2DDE1" w:themeFill="background2"/>
            <w:vAlign w:val="bottom"/>
            <w:hideMark/>
          </w:tcPr>
          <w:p w14:paraId="37D14019" w14:textId="77777777" w:rsidR="00B71B4E" w:rsidRPr="00BD16B4" w:rsidRDefault="00B71B4E" w:rsidP="00F31129">
            <w:pPr>
              <w:pStyle w:val="TableText"/>
              <w:spacing w:before="50" w:after="50"/>
              <w:jc w:val="right"/>
            </w:pPr>
            <w:r w:rsidRPr="00BD16B4">
              <w:t>19.66</w:t>
            </w:r>
          </w:p>
        </w:tc>
        <w:tc>
          <w:tcPr>
            <w:tcW w:w="972" w:type="dxa"/>
            <w:shd w:val="clear" w:color="auto" w:fill="auto"/>
            <w:vAlign w:val="bottom"/>
            <w:hideMark/>
          </w:tcPr>
          <w:p w14:paraId="7194C43D" w14:textId="77777777" w:rsidR="00B71B4E" w:rsidRPr="00BD16B4" w:rsidRDefault="00B71B4E" w:rsidP="00F31129">
            <w:pPr>
              <w:pStyle w:val="TableText"/>
              <w:spacing w:before="50" w:after="50"/>
              <w:jc w:val="right"/>
            </w:pPr>
            <w:r w:rsidRPr="00BD16B4">
              <w:t>0.19</w:t>
            </w:r>
          </w:p>
        </w:tc>
        <w:tc>
          <w:tcPr>
            <w:tcW w:w="1134" w:type="dxa"/>
            <w:shd w:val="clear" w:color="auto" w:fill="auto"/>
            <w:vAlign w:val="bottom"/>
            <w:hideMark/>
          </w:tcPr>
          <w:p w14:paraId="73394B19" w14:textId="77777777" w:rsidR="00B71B4E" w:rsidRPr="00BD16B4" w:rsidRDefault="00B71B4E" w:rsidP="00F31129">
            <w:pPr>
              <w:pStyle w:val="TableText"/>
              <w:spacing w:before="50" w:after="50"/>
              <w:jc w:val="right"/>
            </w:pPr>
            <w:r w:rsidRPr="00BD16B4">
              <w:t> </w:t>
            </w:r>
          </w:p>
        </w:tc>
        <w:tc>
          <w:tcPr>
            <w:tcW w:w="1111" w:type="dxa"/>
            <w:shd w:val="clear" w:color="auto" w:fill="auto"/>
            <w:vAlign w:val="bottom"/>
            <w:hideMark/>
          </w:tcPr>
          <w:p w14:paraId="7802F07F" w14:textId="77777777" w:rsidR="00B71B4E" w:rsidRPr="00BD16B4" w:rsidRDefault="00B71B4E" w:rsidP="00F31129">
            <w:pPr>
              <w:pStyle w:val="TableText"/>
              <w:spacing w:before="50" w:after="50"/>
              <w:jc w:val="right"/>
            </w:pPr>
            <w:r w:rsidRPr="00BD16B4">
              <w:t> 1.98</w:t>
            </w:r>
          </w:p>
        </w:tc>
        <w:tc>
          <w:tcPr>
            <w:tcW w:w="1157" w:type="dxa"/>
            <w:shd w:val="clear" w:color="auto" w:fill="auto"/>
            <w:vAlign w:val="bottom"/>
            <w:hideMark/>
          </w:tcPr>
          <w:p w14:paraId="23D12010" w14:textId="77777777" w:rsidR="00B71B4E" w:rsidRPr="00BD16B4" w:rsidRDefault="00B71B4E" w:rsidP="00F31129">
            <w:pPr>
              <w:pStyle w:val="TableText"/>
              <w:spacing w:before="50" w:after="50"/>
              <w:jc w:val="right"/>
            </w:pPr>
            <w:r w:rsidRPr="00BD16B4">
              <w:t>10.79</w:t>
            </w:r>
          </w:p>
        </w:tc>
        <w:tc>
          <w:tcPr>
            <w:tcW w:w="877" w:type="dxa"/>
            <w:shd w:val="clear" w:color="auto" w:fill="auto"/>
            <w:noWrap/>
            <w:vAlign w:val="bottom"/>
            <w:hideMark/>
          </w:tcPr>
          <w:p w14:paraId="28C7DD41" w14:textId="77777777" w:rsidR="00B71B4E" w:rsidRPr="00BD16B4" w:rsidRDefault="00B71B4E" w:rsidP="00F31129">
            <w:pPr>
              <w:pStyle w:val="TableText"/>
              <w:spacing w:before="50" w:after="50"/>
              <w:jc w:val="right"/>
              <w:rPr>
                <w:rFonts w:ascii="Arial" w:hAnsi="Arial" w:cs="Arial"/>
                <w:szCs w:val="20"/>
              </w:rPr>
            </w:pPr>
            <w:r w:rsidRPr="00BD16B4">
              <w:rPr>
                <w:rFonts w:ascii="Arial" w:hAnsi="Arial" w:cs="Arial"/>
                <w:szCs w:val="20"/>
              </w:rPr>
              <w:t> </w:t>
            </w:r>
          </w:p>
        </w:tc>
        <w:tc>
          <w:tcPr>
            <w:tcW w:w="1017" w:type="dxa"/>
            <w:shd w:val="clear" w:color="000000" w:fill="D2DDE1" w:themeFill="background2"/>
            <w:vAlign w:val="bottom"/>
            <w:hideMark/>
          </w:tcPr>
          <w:p w14:paraId="167FDF7B" w14:textId="77777777" w:rsidR="00B71B4E" w:rsidRPr="00BD16B4" w:rsidRDefault="00B71B4E" w:rsidP="00F31129">
            <w:pPr>
              <w:pStyle w:val="TableText"/>
              <w:spacing w:before="50" w:after="50"/>
              <w:jc w:val="right"/>
            </w:pPr>
            <w:r w:rsidRPr="00BD16B4">
              <w:t>12.96</w:t>
            </w:r>
          </w:p>
        </w:tc>
      </w:tr>
      <w:tr w:rsidR="00B71B4E" w:rsidRPr="00BD16B4" w14:paraId="66D237D6" w14:textId="77777777" w:rsidTr="00B83EF6">
        <w:tc>
          <w:tcPr>
            <w:tcW w:w="3005" w:type="dxa"/>
            <w:shd w:val="clear" w:color="auto" w:fill="auto"/>
            <w:hideMark/>
          </w:tcPr>
          <w:p w14:paraId="09EA0B61" w14:textId="77777777" w:rsidR="00B71B4E" w:rsidRPr="00BD16B4" w:rsidRDefault="00B71B4E" w:rsidP="00F31129">
            <w:pPr>
              <w:pStyle w:val="TableText"/>
              <w:spacing w:before="50" w:after="50"/>
            </w:pPr>
            <w:r w:rsidRPr="00BD16B4">
              <w:t>Multilateral financial institutions, including regional development banks</w:t>
            </w:r>
          </w:p>
        </w:tc>
        <w:tc>
          <w:tcPr>
            <w:tcW w:w="823" w:type="dxa"/>
            <w:shd w:val="clear" w:color="auto" w:fill="auto"/>
            <w:vAlign w:val="bottom"/>
            <w:hideMark/>
          </w:tcPr>
          <w:p w14:paraId="72C32B3A" w14:textId="77777777" w:rsidR="00B71B4E" w:rsidRPr="00BD16B4" w:rsidRDefault="00B71B4E" w:rsidP="00F31129">
            <w:pPr>
              <w:pStyle w:val="TableText"/>
              <w:spacing w:before="50" w:after="50"/>
              <w:jc w:val="right"/>
            </w:pPr>
            <w:r w:rsidRPr="00BD16B4">
              <w:t>17.87</w:t>
            </w:r>
          </w:p>
        </w:tc>
        <w:tc>
          <w:tcPr>
            <w:tcW w:w="1059" w:type="dxa"/>
            <w:shd w:val="clear" w:color="auto" w:fill="auto"/>
            <w:noWrap/>
            <w:vAlign w:val="bottom"/>
            <w:hideMark/>
          </w:tcPr>
          <w:p w14:paraId="445E499B" w14:textId="77777777" w:rsidR="00B71B4E" w:rsidRPr="00BD16B4" w:rsidRDefault="00B71B4E" w:rsidP="00F31129">
            <w:pPr>
              <w:pStyle w:val="TableText"/>
              <w:spacing w:before="50" w:after="50"/>
              <w:jc w:val="right"/>
              <w:rPr>
                <w:rFonts w:ascii="Arial" w:hAnsi="Arial" w:cs="Arial"/>
                <w:szCs w:val="20"/>
              </w:rPr>
            </w:pPr>
            <w:r w:rsidRPr="00BD16B4">
              <w:rPr>
                <w:rFonts w:ascii="Arial" w:hAnsi="Arial" w:cs="Arial"/>
                <w:szCs w:val="20"/>
              </w:rPr>
              <w:t> </w:t>
            </w:r>
          </w:p>
        </w:tc>
        <w:tc>
          <w:tcPr>
            <w:tcW w:w="1122" w:type="dxa"/>
            <w:shd w:val="clear" w:color="auto" w:fill="auto"/>
            <w:noWrap/>
            <w:vAlign w:val="bottom"/>
            <w:hideMark/>
          </w:tcPr>
          <w:p w14:paraId="703A8AC2" w14:textId="77777777" w:rsidR="00B71B4E" w:rsidRPr="00BD16B4" w:rsidRDefault="00B71B4E" w:rsidP="00F31129">
            <w:pPr>
              <w:pStyle w:val="TableText"/>
              <w:spacing w:before="50" w:after="50"/>
              <w:jc w:val="right"/>
              <w:rPr>
                <w:rFonts w:ascii="Arial" w:hAnsi="Arial" w:cs="Arial"/>
                <w:szCs w:val="20"/>
              </w:rPr>
            </w:pPr>
            <w:r w:rsidRPr="00BD16B4">
              <w:rPr>
                <w:rFonts w:ascii="Arial" w:hAnsi="Arial" w:cs="Arial"/>
                <w:szCs w:val="20"/>
              </w:rPr>
              <w:t> </w:t>
            </w:r>
          </w:p>
        </w:tc>
        <w:tc>
          <w:tcPr>
            <w:tcW w:w="783" w:type="dxa"/>
            <w:shd w:val="clear" w:color="auto" w:fill="auto"/>
            <w:vAlign w:val="bottom"/>
            <w:hideMark/>
          </w:tcPr>
          <w:p w14:paraId="10EA314F" w14:textId="77777777" w:rsidR="00B71B4E" w:rsidRPr="00BD16B4" w:rsidRDefault="00B71B4E" w:rsidP="00F31129">
            <w:pPr>
              <w:pStyle w:val="TableText"/>
              <w:spacing w:before="50" w:after="50"/>
              <w:jc w:val="right"/>
            </w:pPr>
            <w:r w:rsidRPr="00BD16B4">
              <w:t>13.21</w:t>
            </w:r>
          </w:p>
        </w:tc>
        <w:tc>
          <w:tcPr>
            <w:tcW w:w="691" w:type="dxa"/>
            <w:shd w:val="clear" w:color="auto" w:fill="auto"/>
            <w:noWrap/>
            <w:vAlign w:val="bottom"/>
            <w:hideMark/>
          </w:tcPr>
          <w:p w14:paraId="03726EDB" w14:textId="77777777" w:rsidR="00B71B4E" w:rsidRPr="00BD16B4" w:rsidRDefault="00B71B4E" w:rsidP="00F31129">
            <w:pPr>
              <w:pStyle w:val="TableText"/>
              <w:spacing w:before="50" w:after="50"/>
              <w:jc w:val="right"/>
              <w:rPr>
                <w:rFonts w:ascii="Arial" w:hAnsi="Arial" w:cs="Arial"/>
                <w:szCs w:val="20"/>
              </w:rPr>
            </w:pPr>
            <w:r w:rsidRPr="00BD16B4">
              <w:rPr>
                <w:rFonts w:ascii="Arial" w:hAnsi="Arial" w:cs="Arial"/>
                <w:szCs w:val="20"/>
              </w:rPr>
              <w:t> </w:t>
            </w:r>
          </w:p>
        </w:tc>
        <w:tc>
          <w:tcPr>
            <w:tcW w:w="764" w:type="dxa"/>
            <w:shd w:val="clear" w:color="000000" w:fill="D2DDE1" w:themeFill="background2"/>
            <w:vAlign w:val="bottom"/>
            <w:hideMark/>
          </w:tcPr>
          <w:p w14:paraId="58138227" w14:textId="77777777" w:rsidR="00B71B4E" w:rsidRPr="00BD16B4" w:rsidRDefault="00B71B4E" w:rsidP="00F31129">
            <w:pPr>
              <w:pStyle w:val="TableText"/>
              <w:spacing w:before="50" w:after="50"/>
              <w:jc w:val="right"/>
            </w:pPr>
            <w:r w:rsidRPr="00BD16B4">
              <w:t>31.08</w:t>
            </w:r>
          </w:p>
        </w:tc>
        <w:tc>
          <w:tcPr>
            <w:tcW w:w="972" w:type="dxa"/>
            <w:shd w:val="clear" w:color="auto" w:fill="auto"/>
            <w:vAlign w:val="bottom"/>
            <w:hideMark/>
          </w:tcPr>
          <w:p w14:paraId="7F74EDA7" w14:textId="77777777" w:rsidR="00B71B4E" w:rsidRPr="00BD16B4" w:rsidRDefault="00B71B4E" w:rsidP="00F31129">
            <w:pPr>
              <w:pStyle w:val="TableText"/>
              <w:spacing w:before="50" w:after="50"/>
              <w:jc w:val="right"/>
            </w:pPr>
            <w:r w:rsidRPr="00BD16B4">
              <w:t>11.77</w:t>
            </w:r>
          </w:p>
        </w:tc>
        <w:tc>
          <w:tcPr>
            <w:tcW w:w="1134" w:type="dxa"/>
            <w:shd w:val="clear" w:color="auto" w:fill="auto"/>
            <w:vAlign w:val="bottom"/>
            <w:hideMark/>
          </w:tcPr>
          <w:p w14:paraId="43CE178E" w14:textId="77777777" w:rsidR="00B71B4E" w:rsidRPr="00BD16B4" w:rsidRDefault="00B71B4E" w:rsidP="00F31129">
            <w:pPr>
              <w:pStyle w:val="TableText"/>
              <w:spacing w:before="50" w:after="50"/>
              <w:jc w:val="right"/>
            </w:pPr>
            <w:r w:rsidRPr="00BD16B4">
              <w:t> </w:t>
            </w:r>
          </w:p>
        </w:tc>
        <w:tc>
          <w:tcPr>
            <w:tcW w:w="1111" w:type="dxa"/>
            <w:shd w:val="clear" w:color="auto" w:fill="auto"/>
            <w:vAlign w:val="bottom"/>
            <w:hideMark/>
          </w:tcPr>
          <w:p w14:paraId="546A6E0A" w14:textId="77777777" w:rsidR="00B71B4E" w:rsidRPr="00BD16B4" w:rsidRDefault="00B71B4E" w:rsidP="00F31129">
            <w:pPr>
              <w:pStyle w:val="TableText"/>
              <w:spacing w:before="50" w:after="50"/>
              <w:jc w:val="right"/>
            </w:pPr>
            <w:r w:rsidRPr="00BD16B4">
              <w:t> </w:t>
            </w:r>
          </w:p>
        </w:tc>
        <w:tc>
          <w:tcPr>
            <w:tcW w:w="1157" w:type="dxa"/>
            <w:shd w:val="clear" w:color="auto" w:fill="auto"/>
            <w:vAlign w:val="bottom"/>
            <w:hideMark/>
          </w:tcPr>
          <w:p w14:paraId="120C4C1A" w14:textId="77777777" w:rsidR="00B71B4E" w:rsidRPr="00BD16B4" w:rsidRDefault="00B71B4E" w:rsidP="00F31129">
            <w:pPr>
              <w:pStyle w:val="TableText"/>
              <w:spacing w:before="50" w:after="50"/>
              <w:jc w:val="right"/>
            </w:pPr>
            <w:r w:rsidRPr="00BD16B4">
              <w:t>8.71</w:t>
            </w:r>
          </w:p>
        </w:tc>
        <w:tc>
          <w:tcPr>
            <w:tcW w:w="877" w:type="dxa"/>
            <w:shd w:val="clear" w:color="auto" w:fill="auto"/>
            <w:noWrap/>
            <w:vAlign w:val="bottom"/>
            <w:hideMark/>
          </w:tcPr>
          <w:p w14:paraId="7CD04C72" w14:textId="77777777" w:rsidR="00B71B4E" w:rsidRPr="00BD16B4" w:rsidRDefault="00B71B4E" w:rsidP="00F31129">
            <w:pPr>
              <w:pStyle w:val="TableText"/>
              <w:spacing w:before="50" w:after="50"/>
              <w:jc w:val="right"/>
              <w:rPr>
                <w:rFonts w:ascii="Arial" w:hAnsi="Arial" w:cs="Arial"/>
                <w:szCs w:val="20"/>
              </w:rPr>
            </w:pPr>
            <w:r w:rsidRPr="00BD16B4">
              <w:rPr>
                <w:rFonts w:ascii="Arial" w:hAnsi="Arial" w:cs="Arial"/>
                <w:szCs w:val="20"/>
              </w:rPr>
              <w:t> </w:t>
            </w:r>
          </w:p>
        </w:tc>
        <w:tc>
          <w:tcPr>
            <w:tcW w:w="1017" w:type="dxa"/>
            <w:shd w:val="clear" w:color="000000" w:fill="D2DDE1" w:themeFill="background2"/>
            <w:vAlign w:val="bottom"/>
            <w:hideMark/>
          </w:tcPr>
          <w:p w14:paraId="5E11AACC" w14:textId="77777777" w:rsidR="00B71B4E" w:rsidRPr="00BD16B4" w:rsidRDefault="00B71B4E" w:rsidP="00F31129">
            <w:pPr>
              <w:pStyle w:val="TableText"/>
              <w:spacing w:before="50" w:after="50"/>
              <w:jc w:val="right"/>
            </w:pPr>
            <w:r w:rsidRPr="00BD16B4">
              <w:t>20.48</w:t>
            </w:r>
          </w:p>
        </w:tc>
      </w:tr>
      <w:tr w:rsidR="00B71B4E" w:rsidRPr="00BD16B4" w14:paraId="65244B96" w14:textId="77777777" w:rsidTr="00B83EF6">
        <w:tc>
          <w:tcPr>
            <w:tcW w:w="3005" w:type="dxa"/>
            <w:shd w:val="clear" w:color="auto" w:fill="auto"/>
            <w:hideMark/>
          </w:tcPr>
          <w:p w14:paraId="29B503E1" w14:textId="77777777" w:rsidR="00B71B4E" w:rsidRPr="00BD16B4" w:rsidRDefault="00B71B4E" w:rsidP="00F31129">
            <w:pPr>
              <w:pStyle w:val="TableText"/>
              <w:spacing w:before="50" w:after="50"/>
            </w:pPr>
            <w:r w:rsidRPr="00BD16B4">
              <w:t>Specialised United Nations bodies</w:t>
            </w:r>
          </w:p>
        </w:tc>
        <w:tc>
          <w:tcPr>
            <w:tcW w:w="823" w:type="dxa"/>
            <w:shd w:val="clear" w:color="auto" w:fill="auto"/>
            <w:vAlign w:val="bottom"/>
            <w:hideMark/>
          </w:tcPr>
          <w:p w14:paraId="2062A13D" w14:textId="77777777" w:rsidR="00B71B4E" w:rsidRPr="00BD16B4" w:rsidRDefault="00B71B4E" w:rsidP="00F31129">
            <w:pPr>
              <w:pStyle w:val="TableText"/>
              <w:spacing w:before="50" w:after="50"/>
              <w:jc w:val="right"/>
            </w:pPr>
            <w:r w:rsidRPr="00BD16B4">
              <w:t>12.50</w:t>
            </w:r>
          </w:p>
        </w:tc>
        <w:tc>
          <w:tcPr>
            <w:tcW w:w="1059" w:type="dxa"/>
            <w:shd w:val="clear" w:color="auto" w:fill="auto"/>
            <w:noWrap/>
            <w:vAlign w:val="bottom"/>
            <w:hideMark/>
          </w:tcPr>
          <w:p w14:paraId="02D0541E" w14:textId="77777777" w:rsidR="00B71B4E" w:rsidRPr="00BD16B4" w:rsidRDefault="00B71B4E" w:rsidP="00F31129">
            <w:pPr>
              <w:pStyle w:val="TableText"/>
              <w:spacing w:before="50" w:after="50"/>
              <w:jc w:val="right"/>
              <w:rPr>
                <w:rFonts w:ascii="Arial" w:hAnsi="Arial" w:cs="Arial"/>
                <w:szCs w:val="20"/>
              </w:rPr>
            </w:pPr>
            <w:r w:rsidRPr="00BD16B4">
              <w:t> 0.94</w:t>
            </w:r>
          </w:p>
        </w:tc>
        <w:tc>
          <w:tcPr>
            <w:tcW w:w="1122" w:type="dxa"/>
            <w:shd w:val="clear" w:color="auto" w:fill="auto"/>
            <w:vAlign w:val="bottom"/>
            <w:hideMark/>
          </w:tcPr>
          <w:p w14:paraId="0D37A3CC" w14:textId="77777777" w:rsidR="00B71B4E" w:rsidRPr="00BD16B4" w:rsidRDefault="00B71B4E" w:rsidP="00F31129">
            <w:pPr>
              <w:pStyle w:val="TableText"/>
              <w:spacing w:before="50" w:after="50"/>
              <w:jc w:val="right"/>
            </w:pPr>
            <w:r w:rsidRPr="00BD16B4">
              <w:t>0.75</w:t>
            </w:r>
          </w:p>
        </w:tc>
        <w:tc>
          <w:tcPr>
            <w:tcW w:w="783" w:type="dxa"/>
            <w:shd w:val="clear" w:color="auto" w:fill="auto"/>
            <w:vAlign w:val="bottom"/>
            <w:hideMark/>
          </w:tcPr>
          <w:p w14:paraId="2A9372A0" w14:textId="77777777" w:rsidR="00B71B4E" w:rsidRPr="00BD16B4" w:rsidRDefault="00B71B4E" w:rsidP="00F31129">
            <w:pPr>
              <w:pStyle w:val="TableText"/>
              <w:spacing w:before="50" w:after="50"/>
              <w:jc w:val="right"/>
            </w:pPr>
            <w:r w:rsidRPr="00BD16B4">
              <w:t>4.76</w:t>
            </w:r>
          </w:p>
        </w:tc>
        <w:tc>
          <w:tcPr>
            <w:tcW w:w="691" w:type="dxa"/>
            <w:shd w:val="clear" w:color="auto" w:fill="auto"/>
            <w:noWrap/>
            <w:vAlign w:val="bottom"/>
            <w:hideMark/>
          </w:tcPr>
          <w:p w14:paraId="75A1205B" w14:textId="77777777" w:rsidR="00B71B4E" w:rsidRPr="00BD16B4" w:rsidRDefault="00B71B4E" w:rsidP="00F31129">
            <w:pPr>
              <w:pStyle w:val="TableText"/>
              <w:spacing w:before="50" w:after="50"/>
              <w:jc w:val="right"/>
              <w:rPr>
                <w:rFonts w:ascii="Arial" w:hAnsi="Arial" w:cs="Arial"/>
                <w:szCs w:val="20"/>
              </w:rPr>
            </w:pPr>
            <w:r w:rsidRPr="00BD16B4">
              <w:rPr>
                <w:rFonts w:ascii="Arial" w:hAnsi="Arial" w:cs="Arial"/>
                <w:szCs w:val="20"/>
              </w:rPr>
              <w:t> </w:t>
            </w:r>
          </w:p>
        </w:tc>
        <w:tc>
          <w:tcPr>
            <w:tcW w:w="764" w:type="dxa"/>
            <w:shd w:val="clear" w:color="000000" w:fill="D2DDE1" w:themeFill="background2"/>
            <w:vAlign w:val="bottom"/>
            <w:hideMark/>
          </w:tcPr>
          <w:p w14:paraId="41633583" w14:textId="77777777" w:rsidR="00B71B4E" w:rsidRPr="00BD16B4" w:rsidRDefault="00B71B4E" w:rsidP="00F31129">
            <w:pPr>
              <w:pStyle w:val="TableText"/>
              <w:spacing w:before="50" w:after="50"/>
              <w:jc w:val="right"/>
            </w:pPr>
            <w:r w:rsidRPr="00BD16B4">
              <w:t>18.95</w:t>
            </w:r>
          </w:p>
        </w:tc>
        <w:tc>
          <w:tcPr>
            <w:tcW w:w="972" w:type="dxa"/>
            <w:shd w:val="clear" w:color="auto" w:fill="auto"/>
            <w:vAlign w:val="bottom"/>
            <w:hideMark/>
          </w:tcPr>
          <w:p w14:paraId="1608BAC9" w14:textId="77777777" w:rsidR="00B71B4E" w:rsidRPr="00BD16B4" w:rsidRDefault="00B71B4E" w:rsidP="00F31129">
            <w:pPr>
              <w:pStyle w:val="TableText"/>
              <w:spacing w:before="50" w:after="50"/>
              <w:jc w:val="right"/>
            </w:pPr>
            <w:r w:rsidRPr="00BD16B4">
              <w:t>8.23</w:t>
            </w:r>
          </w:p>
        </w:tc>
        <w:tc>
          <w:tcPr>
            <w:tcW w:w="1134" w:type="dxa"/>
            <w:shd w:val="clear" w:color="auto" w:fill="auto"/>
            <w:vAlign w:val="bottom"/>
            <w:hideMark/>
          </w:tcPr>
          <w:p w14:paraId="67F25C7A" w14:textId="77777777" w:rsidR="00B71B4E" w:rsidRPr="00BD16B4" w:rsidRDefault="00B71B4E" w:rsidP="00F31129">
            <w:pPr>
              <w:pStyle w:val="TableText"/>
              <w:spacing w:before="50" w:after="50"/>
              <w:jc w:val="right"/>
            </w:pPr>
            <w:r w:rsidRPr="00BD16B4">
              <w:t> 0.62</w:t>
            </w:r>
          </w:p>
        </w:tc>
        <w:tc>
          <w:tcPr>
            <w:tcW w:w="1111" w:type="dxa"/>
            <w:shd w:val="clear" w:color="auto" w:fill="auto"/>
            <w:vAlign w:val="bottom"/>
            <w:hideMark/>
          </w:tcPr>
          <w:p w14:paraId="57D29BA5" w14:textId="77777777" w:rsidR="00B71B4E" w:rsidRPr="00BD16B4" w:rsidRDefault="00B71B4E" w:rsidP="00F31129">
            <w:pPr>
              <w:pStyle w:val="TableText"/>
              <w:spacing w:before="50" w:after="50"/>
              <w:jc w:val="right"/>
            </w:pPr>
            <w:r w:rsidRPr="00BD16B4">
              <w:t>0.49</w:t>
            </w:r>
          </w:p>
        </w:tc>
        <w:tc>
          <w:tcPr>
            <w:tcW w:w="1157" w:type="dxa"/>
            <w:shd w:val="clear" w:color="auto" w:fill="auto"/>
            <w:vAlign w:val="bottom"/>
            <w:hideMark/>
          </w:tcPr>
          <w:p w14:paraId="45A9F54A" w14:textId="77777777" w:rsidR="00B71B4E" w:rsidRPr="00BD16B4" w:rsidRDefault="00B71B4E" w:rsidP="00F31129">
            <w:pPr>
              <w:pStyle w:val="TableText"/>
              <w:spacing w:before="50" w:after="50"/>
              <w:jc w:val="right"/>
            </w:pPr>
            <w:r w:rsidRPr="00BD16B4">
              <w:t>3.14</w:t>
            </w:r>
          </w:p>
        </w:tc>
        <w:tc>
          <w:tcPr>
            <w:tcW w:w="877" w:type="dxa"/>
            <w:shd w:val="clear" w:color="auto" w:fill="auto"/>
            <w:noWrap/>
            <w:vAlign w:val="bottom"/>
            <w:hideMark/>
          </w:tcPr>
          <w:p w14:paraId="2433E463" w14:textId="77777777" w:rsidR="00B71B4E" w:rsidRPr="00BD16B4" w:rsidRDefault="00B71B4E" w:rsidP="00F31129">
            <w:pPr>
              <w:pStyle w:val="TableText"/>
              <w:spacing w:before="50" w:after="50"/>
              <w:jc w:val="right"/>
              <w:rPr>
                <w:rFonts w:ascii="Arial" w:hAnsi="Arial" w:cs="Arial"/>
                <w:szCs w:val="20"/>
              </w:rPr>
            </w:pPr>
            <w:r w:rsidRPr="00BD16B4">
              <w:rPr>
                <w:rFonts w:ascii="Arial" w:hAnsi="Arial" w:cs="Arial"/>
                <w:szCs w:val="20"/>
              </w:rPr>
              <w:t> </w:t>
            </w:r>
          </w:p>
        </w:tc>
        <w:tc>
          <w:tcPr>
            <w:tcW w:w="1017" w:type="dxa"/>
            <w:shd w:val="clear" w:color="000000" w:fill="D2DDE1" w:themeFill="background2"/>
            <w:vAlign w:val="bottom"/>
            <w:hideMark/>
          </w:tcPr>
          <w:p w14:paraId="75CD6EE5" w14:textId="77777777" w:rsidR="00B71B4E" w:rsidRPr="00BD16B4" w:rsidRDefault="00B71B4E" w:rsidP="00F31129">
            <w:pPr>
              <w:pStyle w:val="TableText"/>
              <w:spacing w:before="50" w:after="50"/>
              <w:jc w:val="right"/>
            </w:pPr>
            <w:r w:rsidRPr="00BD16B4">
              <w:t>12.48</w:t>
            </w:r>
          </w:p>
        </w:tc>
      </w:tr>
      <w:tr w:rsidR="00B71B4E" w:rsidRPr="00BD16B4" w14:paraId="3821B5CE" w14:textId="77777777" w:rsidTr="00B83EF6">
        <w:tc>
          <w:tcPr>
            <w:tcW w:w="3005" w:type="dxa"/>
            <w:tcBorders>
              <w:bottom w:val="single" w:sz="4" w:space="0" w:color="1B556B" w:themeColor="text2"/>
            </w:tcBorders>
            <w:shd w:val="clear" w:color="auto" w:fill="auto"/>
            <w:vAlign w:val="bottom"/>
            <w:hideMark/>
          </w:tcPr>
          <w:p w14:paraId="3C74B832" w14:textId="77777777" w:rsidR="00B71B4E" w:rsidRPr="00BD16B4" w:rsidRDefault="00B71B4E" w:rsidP="00F31129">
            <w:pPr>
              <w:pStyle w:val="TableTextBold0"/>
              <w:spacing w:before="50" w:after="50"/>
            </w:pPr>
            <w:r w:rsidRPr="00BD16B4">
              <w:t xml:space="preserve">Total contributions through bilateral, regional and other channels </w:t>
            </w:r>
          </w:p>
        </w:tc>
        <w:tc>
          <w:tcPr>
            <w:tcW w:w="823" w:type="dxa"/>
            <w:tcBorders>
              <w:bottom w:val="single" w:sz="4" w:space="0" w:color="1B556B" w:themeColor="text2"/>
            </w:tcBorders>
            <w:shd w:val="clear" w:color="auto" w:fill="auto"/>
            <w:noWrap/>
            <w:vAlign w:val="bottom"/>
            <w:hideMark/>
          </w:tcPr>
          <w:p w14:paraId="64CB35EC" w14:textId="77777777" w:rsidR="00B71B4E" w:rsidRPr="00BD16B4" w:rsidRDefault="00B71B4E" w:rsidP="00F31129">
            <w:pPr>
              <w:pStyle w:val="TableTextBold0"/>
              <w:spacing w:before="50" w:after="50"/>
              <w:jc w:val="right"/>
            </w:pPr>
            <w:r w:rsidRPr="00BD16B4">
              <w:t> </w:t>
            </w:r>
          </w:p>
        </w:tc>
        <w:tc>
          <w:tcPr>
            <w:tcW w:w="1059" w:type="dxa"/>
            <w:tcBorders>
              <w:bottom w:val="single" w:sz="4" w:space="0" w:color="1B556B" w:themeColor="text2"/>
            </w:tcBorders>
            <w:shd w:val="clear" w:color="auto" w:fill="auto"/>
            <w:vAlign w:val="bottom"/>
            <w:hideMark/>
          </w:tcPr>
          <w:p w14:paraId="62E07DD1" w14:textId="77777777" w:rsidR="00B71B4E" w:rsidRPr="00BD16B4" w:rsidRDefault="00B71B4E" w:rsidP="00F31129">
            <w:pPr>
              <w:pStyle w:val="TableTextBold0"/>
              <w:spacing w:before="50" w:after="50"/>
              <w:jc w:val="right"/>
              <w:rPr>
                <w:bCs/>
                <w:sz w:val="16"/>
                <w:szCs w:val="16"/>
              </w:rPr>
            </w:pPr>
            <w:r w:rsidRPr="00BD16B4">
              <w:rPr>
                <w:bCs/>
                <w:sz w:val="16"/>
                <w:szCs w:val="16"/>
              </w:rPr>
              <w:t>11.58</w:t>
            </w:r>
          </w:p>
        </w:tc>
        <w:tc>
          <w:tcPr>
            <w:tcW w:w="1122" w:type="dxa"/>
            <w:tcBorders>
              <w:bottom w:val="single" w:sz="4" w:space="0" w:color="1B556B" w:themeColor="text2"/>
            </w:tcBorders>
            <w:shd w:val="clear" w:color="auto" w:fill="auto"/>
            <w:vAlign w:val="bottom"/>
            <w:hideMark/>
          </w:tcPr>
          <w:p w14:paraId="5947A805" w14:textId="77777777" w:rsidR="00B71B4E" w:rsidRPr="00BD16B4" w:rsidRDefault="00B71B4E" w:rsidP="00F31129">
            <w:pPr>
              <w:pStyle w:val="TableTextBold0"/>
              <w:spacing w:before="50" w:after="50"/>
              <w:jc w:val="right"/>
              <w:rPr>
                <w:bCs/>
                <w:sz w:val="16"/>
                <w:szCs w:val="16"/>
              </w:rPr>
            </w:pPr>
            <w:r w:rsidRPr="00BD16B4">
              <w:rPr>
                <w:bCs/>
                <w:sz w:val="16"/>
                <w:szCs w:val="16"/>
              </w:rPr>
              <w:t>32.39</w:t>
            </w:r>
          </w:p>
        </w:tc>
        <w:tc>
          <w:tcPr>
            <w:tcW w:w="783" w:type="dxa"/>
            <w:tcBorders>
              <w:bottom w:val="single" w:sz="4" w:space="0" w:color="1B556B" w:themeColor="text2"/>
            </w:tcBorders>
            <w:shd w:val="clear" w:color="auto" w:fill="auto"/>
            <w:vAlign w:val="bottom"/>
            <w:hideMark/>
          </w:tcPr>
          <w:p w14:paraId="2D05B3A4" w14:textId="77777777" w:rsidR="00B71B4E" w:rsidRPr="00BD16B4" w:rsidRDefault="00B71B4E" w:rsidP="00F31129">
            <w:pPr>
              <w:pStyle w:val="TableTextBold0"/>
              <w:spacing w:before="50" w:after="50"/>
              <w:jc w:val="right"/>
              <w:rPr>
                <w:bCs/>
                <w:sz w:val="16"/>
                <w:szCs w:val="16"/>
              </w:rPr>
            </w:pPr>
            <w:r w:rsidRPr="00BD16B4">
              <w:rPr>
                <w:bCs/>
                <w:sz w:val="16"/>
                <w:szCs w:val="16"/>
              </w:rPr>
              <w:t>32.84</w:t>
            </w:r>
          </w:p>
        </w:tc>
        <w:tc>
          <w:tcPr>
            <w:tcW w:w="691" w:type="dxa"/>
            <w:tcBorders>
              <w:bottom w:val="single" w:sz="4" w:space="0" w:color="1B556B" w:themeColor="text2"/>
            </w:tcBorders>
            <w:shd w:val="clear" w:color="auto" w:fill="auto"/>
            <w:vAlign w:val="bottom"/>
            <w:hideMark/>
          </w:tcPr>
          <w:p w14:paraId="4EC95CAA" w14:textId="77777777" w:rsidR="00B71B4E" w:rsidRPr="00BD16B4" w:rsidRDefault="00B71B4E" w:rsidP="00F31129">
            <w:pPr>
              <w:pStyle w:val="TableTextBold0"/>
              <w:spacing w:before="50" w:after="50"/>
              <w:jc w:val="right"/>
              <w:rPr>
                <w:bCs/>
                <w:sz w:val="16"/>
                <w:szCs w:val="16"/>
              </w:rPr>
            </w:pPr>
            <w:r w:rsidRPr="00BD16B4">
              <w:rPr>
                <w:bCs/>
                <w:sz w:val="16"/>
                <w:szCs w:val="16"/>
              </w:rPr>
              <w:t> </w:t>
            </w:r>
          </w:p>
        </w:tc>
        <w:tc>
          <w:tcPr>
            <w:tcW w:w="764" w:type="dxa"/>
            <w:tcBorders>
              <w:bottom w:val="single" w:sz="4" w:space="0" w:color="1B556B" w:themeColor="text2"/>
            </w:tcBorders>
            <w:shd w:val="clear" w:color="000000" w:fill="D2DDE1" w:themeFill="background2"/>
            <w:vAlign w:val="bottom"/>
            <w:hideMark/>
          </w:tcPr>
          <w:p w14:paraId="1DF4C78B" w14:textId="77777777" w:rsidR="00B71B4E" w:rsidRPr="00BD16B4" w:rsidRDefault="00B71B4E" w:rsidP="00F31129">
            <w:pPr>
              <w:pStyle w:val="TableTextBold0"/>
              <w:spacing w:before="50" w:after="50"/>
              <w:jc w:val="right"/>
              <w:rPr>
                <w:bCs/>
                <w:sz w:val="16"/>
                <w:szCs w:val="16"/>
              </w:rPr>
            </w:pPr>
            <w:r w:rsidRPr="00BD16B4">
              <w:rPr>
                <w:bCs/>
                <w:sz w:val="16"/>
                <w:szCs w:val="16"/>
              </w:rPr>
              <w:t>76.81</w:t>
            </w:r>
          </w:p>
        </w:tc>
        <w:tc>
          <w:tcPr>
            <w:tcW w:w="972" w:type="dxa"/>
            <w:tcBorders>
              <w:bottom w:val="single" w:sz="4" w:space="0" w:color="1B556B" w:themeColor="text2"/>
            </w:tcBorders>
            <w:shd w:val="clear" w:color="auto" w:fill="auto"/>
            <w:vAlign w:val="bottom"/>
            <w:hideMark/>
          </w:tcPr>
          <w:p w14:paraId="5297D48B" w14:textId="77777777" w:rsidR="00B71B4E" w:rsidRPr="00BD16B4" w:rsidRDefault="00B71B4E" w:rsidP="00F31129">
            <w:pPr>
              <w:pStyle w:val="TableTextBold0"/>
              <w:spacing w:before="50" w:after="50"/>
              <w:jc w:val="right"/>
              <w:rPr>
                <w:bCs/>
                <w:sz w:val="16"/>
                <w:szCs w:val="16"/>
              </w:rPr>
            </w:pPr>
            <w:r w:rsidRPr="00BD16B4">
              <w:rPr>
                <w:bCs/>
                <w:sz w:val="16"/>
                <w:szCs w:val="16"/>
              </w:rPr>
              <w:t> </w:t>
            </w:r>
          </w:p>
        </w:tc>
        <w:tc>
          <w:tcPr>
            <w:tcW w:w="1134" w:type="dxa"/>
            <w:tcBorders>
              <w:bottom w:val="single" w:sz="4" w:space="0" w:color="1B556B" w:themeColor="text2"/>
            </w:tcBorders>
            <w:shd w:val="clear" w:color="auto" w:fill="auto"/>
            <w:vAlign w:val="bottom"/>
            <w:hideMark/>
          </w:tcPr>
          <w:p w14:paraId="25C1C96A" w14:textId="77777777" w:rsidR="00B71B4E" w:rsidRPr="00BD16B4" w:rsidRDefault="00B71B4E" w:rsidP="00F31129">
            <w:pPr>
              <w:pStyle w:val="TableTextBold0"/>
              <w:spacing w:before="50" w:after="50"/>
              <w:jc w:val="right"/>
              <w:rPr>
                <w:bCs/>
                <w:sz w:val="16"/>
                <w:szCs w:val="16"/>
              </w:rPr>
            </w:pPr>
            <w:r w:rsidRPr="00BD16B4">
              <w:rPr>
                <w:bCs/>
                <w:sz w:val="16"/>
                <w:szCs w:val="16"/>
              </w:rPr>
              <w:t>7.63</w:t>
            </w:r>
          </w:p>
        </w:tc>
        <w:tc>
          <w:tcPr>
            <w:tcW w:w="1111" w:type="dxa"/>
            <w:tcBorders>
              <w:bottom w:val="single" w:sz="4" w:space="0" w:color="1B556B" w:themeColor="text2"/>
            </w:tcBorders>
            <w:shd w:val="clear" w:color="auto" w:fill="auto"/>
            <w:vAlign w:val="bottom"/>
            <w:hideMark/>
          </w:tcPr>
          <w:p w14:paraId="1658B716" w14:textId="77777777" w:rsidR="00B71B4E" w:rsidRPr="00BD16B4" w:rsidRDefault="00B71B4E" w:rsidP="00F31129">
            <w:pPr>
              <w:pStyle w:val="TableTextBold0"/>
              <w:spacing w:before="50" w:after="50"/>
              <w:jc w:val="right"/>
              <w:rPr>
                <w:bCs/>
                <w:sz w:val="16"/>
                <w:szCs w:val="16"/>
              </w:rPr>
            </w:pPr>
            <w:r w:rsidRPr="00BD16B4">
              <w:rPr>
                <w:bCs/>
                <w:sz w:val="16"/>
                <w:szCs w:val="16"/>
              </w:rPr>
              <w:t>21.37</w:t>
            </w:r>
          </w:p>
        </w:tc>
        <w:tc>
          <w:tcPr>
            <w:tcW w:w="1157" w:type="dxa"/>
            <w:tcBorders>
              <w:bottom w:val="single" w:sz="4" w:space="0" w:color="1B556B" w:themeColor="text2"/>
            </w:tcBorders>
            <w:shd w:val="clear" w:color="auto" w:fill="auto"/>
            <w:vAlign w:val="bottom"/>
            <w:hideMark/>
          </w:tcPr>
          <w:p w14:paraId="647476B8" w14:textId="77777777" w:rsidR="00B71B4E" w:rsidRPr="00BD16B4" w:rsidRDefault="00B71B4E" w:rsidP="00F31129">
            <w:pPr>
              <w:pStyle w:val="TableTextBold0"/>
              <w:spacing w:before="50" w:after="50"/>
              <w:jc w:val="right"/>
              <w:rPr>
                <w:bCs/>
                <w:sz w:val="16"/>
                <w:szCs w:val="16"/>
              </w:rPr>
            </w:pPr>
            <w:r w:rsidRPr="00BD16B4">
              <w:rPr>
                <w:bCs/>
                <w:sz w:val="16"/>
                <w:szCs w:val="16"/>
              </w:rPr>
              <w:t>21.65</w:t>
            </w:r>
          </w:p>
        </w:tc>
        <w:tc>
          <w:tcPr>
            <w:tcW w:w="877" w:type="dxa"/>
            <w:tcBorders>
              <w:bottom w:val="single" w:sz="4" w:space="0" w:color="1B556B" w:themeColor="text2"/>
            </w:tcBorders>
            <w:shd w:val="clear" w:color="auto" w:fill="auto"/>
            <w:vAlign w:val="bottom"/>
            <w:hideMark/>
          </w:tcPr>
          <w:p w14:paraId="62FB65BB" w14:textId="77777777" w:rsidR="00B71B4E" w:rsidRPr="00BD16B4" w:rsidRDefault="00B71B4E" w:rsidP="00F31129">
            <w:pPr>
              <w:pStyle w:val="TableTextBold0"/>
              <w:spacing w:before="50" w:after="50"/>
              <w:jc w:val="right"/>
              <w:rPr>
                <w:bCs/>
                <w:sz w:val="16"/>
                <w:szCs w:val="16"/>
              </w:rPr>
            </w:pPr>
            <w:r w:rsidRPr="00BD16B4">
              <w:rPr>
                <w:bCs/>
                <w:sz w:val="16"/>
                <w:szCs w:val="16"/>
              </w:rPr>
              <w:t> </w:t>
            </w:r>
          </w:p>
        </w:tc>
        <w:tc>
          <w:tcPr>
            <w:tcW w:w="1017" w:type="dxa"/>
            <w:tcBorders>
              <w:bottom w:val="single" w:sz="4" w:space="0" w:color="1B556B" w:themeColor="text2"/>
            </w:tcBorders>
            <w:shd w:val="clear" w:color="000000" w:fill="D2DDE1" w:themeFill="background2"/>
            <w:vAlign w:val="bottom"/>
            <w:hideMark/>
          </w:tcPr>
          <w:p w14:paraId="617A9E8F" w14:textId="77777777" w:rsidR="00B71B4E" w:rsidRPr="00BD16B4" w:rsidRDefault="00B71B4E" w:rsidP="00F31129">
            <w:pPr>
              <w:pStyle w:val="TableTextBold0"/>
              <w:spacing w:before="50" w:after="50"/>
              <w:jc w:val="right"/>
              <w:rPr>
                <w:bCs/>
                <w:sz w:val="16"/>
                <w:szCs w:val="16"/>
              </w:rPr>
            </w:pPr>
            <w:r w:rsidRPr="00BD16B4">
              <w:rPr>
                <w:bCs/>
                <w:sz w:val="16"/>
                <w:szCs w:val="16"/>
              </w:rPr>
              <w:t>50.65</w:t>
            </w:r>
          </w:p>
        </w:tc>
      </w:tr>
      <w:tr w:rsidR="00B71B4E" w:rsidRPr="00BD16B4" w14:paraId="63704DE1" w14:textId="77777777" w:rsidTr="00B83EF6">
        <w:tc>
          <w:tcPr>
            <w:tcW w:w="3005" w:type="dxa"/>
            <w:shd w:val="clear" w:color="auto" w:fill="D2DDE1" w:themeFill="background2"/>
            <w:hideMark/>
          </w:tcPr>
          <w:p w14:paraId="00488239" w14:textId="77777777" w:rsidR="00B71B4E" w:rsidRPr="00BD16B4" w:rsidRDefault="00B71B4E" w:rsidP="00F31129">
            <w:pPr>
              <w:pStyle w:val="TableTextBold0"/>
              <w:spacing w:before="50" w:after="50"/>
            </w:pPr>
            <w:r w:rsidRPr="00BD16B4">
              <w:t>TOTAL</w:t>
            </w:r>
          </w:p>
        </w:tc>
        <w:tc>
          <w:tcPr>
            <w:tcW w:w="823" w:type="dxa"/>
            <w:shd w:val="clear" w:color="auto" w:fill="D2DDE1" w:themeFill="background2"/>
            <w:vAlign w:val="bottom"/>
            <w:hideMark/>
          </w:tcPr>
          <w:p w14:paraId="78B864C6" w14:textId="77777777" w:rsidR="00B71B4E" w:rsidRPr="00BD16B4" w:rsidRDefault="00B71B4E" w:rsidP="00F31129">
            <w:pPr>
              <w:pStyle w:val="TableTextBold0"/>
              <w:spacing w:before="50" w:after="50"/>
              <w:jc w:val="right"/>
            </w:pPr>
            <w:r w:rsidRPr="00BD16B4">
              <w:t>30.65</w:t>
            </w:r>
          </w:p>
        </w:tc>
        <w:tc>
          <w:tcPr>
            <w:tcW w:w="1059" w:type="dxa"/>
            <w:shd w:val="clear" w:color="auto" w:fill="D2DDE1" w:themeFill="background2"/>
            <w:vAlign w:val="bottom"/>
            <w:hideMark/>
          </w:tcPr>
          <w:p w14:paraId="54FEF63E" w14:textId="77777777" w:rsidR="00B71B4E" w:rsidRPr="00BD16B4" w:rsidRDefault="00B71B4E" w:rsidP="00F31129">
            <w:pPr>
              <w:pStyle w:val="TableTextBold0"/>
              <w:spacing w:before="50" w:after="50"/>
              <w:jc w:val="right"/>
            </w:pPr>
            <w:r w:rsidRPr="00BD16B4">
              <w:t>12.52</w:t>
            </w:r>
          </w:p>
        </w:tc>
        <w:tc>
          <w:tcPr>
            <w:tcW w:w="1122" w:type="dxa"/>
            <w:shd w:val="clear" w:color="auto" w:fill="D2DDE1" w:themeFill="background2"/>
            <w:vAlign w:val="bottom"/>
            <w:hideMark/>
          </w:tcPr>
          <w:p w14:paraId="5439898E" w14:textId="77777777" w:rsidR="00B71B4E" w:rsidRPr="00BD16B4" w:rsidRDefault="00B71B4E" w:rsidP="00F31129">
            <w:pPr>
              <w:pStyle w:val="TableTextBold0"/>
              <w:spacing w:before="50" w:after="50"/>
              <w:jc w:val="right"/>
            </w:pPr>
            <w:r w:rsidRPr="00BD16B4">
              <w:t>36.14</w:t>
            </w:r>
          </w:p>
        </w:tc>
        <w:tc>
          <w:tcPr>
            <w:tcW w:w="783" w:type="dxa"/>
            <w:shd w:val="clear" w:color="auto" w:fill="D2DDE1" w:themeFill="background2"/>
            <w:vAlign w:val="bottom"/>
            <w:hideMark/>
          </w:tcPr>
          <w:p w14:paraId="3E5EEF0B" w14:textId="77777777" w:rsidR="00B71B4E" w:rsidRPr="00BD16B4" w:rsidRDefault="00B71B4E" w:rsidP="00F31129">
            <w:pPr>
              <w:pStyle w:val="TableTextBold0"/>
              <w:spacing w:before="50" w:after="50"/>
              <w:jc w:val="right"/>
            </w:pPr>
            <w:r w:rsidRPr="00BD16B4">
              <w:t>67.19</w:t>
            </w:r>
          </w:p>
        </w:tc>
        <w:tc>
          <w:tcPr>
            <w:tcW w:w="691" w:type="dxa"/>
            <w:shd w:val="clear" w:color="auto" w:fill="D2DDE1" w:themeFill="background2"/>
            <w:vAlign w:val="bottom"/>
            <w:hideMark/>
          </w:tcPr>
          <w:p w14:paraId="5B054665" w14:textId="77777777" w:rsidR="00B71B4E" w:rsidRPr="00BD16B4" w:rsidRDefault="00B71B4E" w:rsidP="00F31129">
            <w:pPr>
              <w:pStyle w:val="TableTextBold0"/>
              <w:spacing w:before="50" w:after="50"/>
              <w:jc w:val="right"/>
            </w:pPr>
            <w:r w:rsidRPr="00BD16B4">
              <w:t> </w:t>
            </w:r>
          </w:p>
        </w:tc>
        <w:tc>
          <w:tcPr>
            <w:tcW w:w="764" w:type="dxa"/>
            <w:shd w:val="clear" w:color="auto" w:fill="D2DDE1" w:themeFill="background2"/>
            <w:vAlign w:val="bottom"/>
            <w:hideMark/>
          </w:tcPr>
          <w:p w14:paraId="746A82E1" w14:textId="77777777" w:rsidR="00B71B4E" w:rsidRPr="00BD16B4" w:rsidRDefault="00B71B4E" w:rsidP="00F31129">
            <w:pPr>
              <w:pStyle w:val="TableTextBold0"/>
              <w:spacing w:before="50" w:after="50"/>
              <w:jc w:val="right"/>
            </w:pPr>
            <w:r w:rsidRPr="00BD16B4">
              <w:t>146.50</w:t>
            </w:r>
          </w:p>
        </w:tc>
        <w:tc>
          <w:tcPr>
            <w:tcW w:w="972" w:type="dxa"/>
            <w:shd w:val="clear" w:color="auto" w:fill="D2DDE1" w:themeFill="background2"/>
            <w:vAlign w:val="bottom"/>
            <w:hideMark/>
          </w:tcPr>
          <w:p w14:paraId="352BEB0C" w14:textId="77777777" w:rsidR="00B71B4E" w:rsidRPr="00BD16B4" w:rsidRDefault="00B71B4E" w:rsidP="00F31129">
            <w:pPr>
              <w:pStyle w:val="TableTextBold0"/>
              <w:spacing w:before="50" w:after="50"/>
              <w:jc w:val="right"/>
            </w:pPr>
            <w:r w:rsidRPr="00BD16B4">
              <w:t>20.19</w:t>
            </w:r>
          </w:p>
        </w:tc>
        <w:tc>
          <w:tcPr>
            <w:tcW w:w="1134" w:type="dxa"/>
            <w:shd w:val="clear" w:color="auto" w:fill="D2DDE1" w:themeFill="background2"/>
            <w:vAlign w:val="bottom"/>
            <w:hideMark/>
          </w:tcPr>
          <w:p w14:paraId="70E50831" w14:textId="77777777" w:rsidR="00B71B4E" w:rsidRPr="00BD16B4" w:rsidRDefault="00B71B4E" w:rsidP="00F31129">
            <w:pPr>
              <w:pStyle w:val="TableTextBold0"/>
              <w:spacing w:before="50" w:after="50"/>
              <w:jc w:val="right"/>
            </w:pPr>
            <w:r w:rsidRPr="00BD16B4">
              <w:t>8.25</w:t>
            </w:r>
          </w:p>
        </w:tc>
        <w:tc>
          <w:tcPr>
            <w:tcW w:w="1111" w:type="dxa"/>
            <w:shd w:val="clear" w:color="auto" w:fill="D2DDE1" w:themeFill="background2"/>
            <w:vAlign w:val="bottom"/>
            <w:hideMark/>
          </w:tcPr>
          <w:p w14:paraId="1D784207" w14:textId="77777777" w:rsidR="00B71B4E" w:rsidRPr="00BD16B4" w:rsidRDefault="00B71B4E" w:rsidP="00F31129">
            <w:pPr>
              <w:pStyle w:val="TableTextBold0"/>
              <w:spacing w:before="50" w:after="50"/>
              <w:jc w:val="right"/>
            </w:pPr>
            <w:r w:rsidRPr="00BD16B4">
              <w:t>23.84</w:t>
            </w:r>
          </w:p>
        </w:tc>
        <w:tc>
          <w:tcPr>
            <w:tcW w:w="1157" w:type="dxa"/>
            <w:shd w:val="clear" w:color="auto" w:fill="D2DDE1" w:themeFill="background2"/>
            <w:vAlign w:val="bottom"/>
            <w:hideMark/>
          </w:tcPr>
          <w:p w14:paraId="2989D4B2" w14:textId="77777777" w:rsidR="00B71B4E" w:rsidRPr="00BD16B4" w:rsidRDefault="00B71B4E" w:rsidP="00F31129">
            <w:pPr>
              <w:pStyle w:val="TableTextBold0"/>
              <w:spacing w:before="50" w:after="50"/>
              <w:jc w:val="right"/>
            </w:pPr>
            <w:r w:rsidRPr="00BD16B4">
              <w:t>44.29</w:t>
            </w:r>
          </w:p>
        </w:tc>
        <w:tc>
          <w:tcPr>
            <w:tcW w:w="877" w:type="dxa"/>
            <w:shd w:val="clear" w:color="auto" w:fill="D2DDE1" w:themeFill="background2"/>
            <w:vAlign w:val="bottom"/>
            <w:hideMark/>
          </w:tcPr>
          <w:p w14:paraId="27B17573" w14:textId="77777777" w:rsidR="00B71B4E" w:rsidRPr="00BD16B4" w:rsidRDefault="00B71B4E" w:rsidP="00F31129">
            <w:pPr>
              <w:pStyle w:val="TableTextBold0"/>
              <w:spacing w:before="50" w:after="50"/>
              <w:jc w:val="right"/>
            </w:pPr>
            <w:r w:rsidRPr="00BD16B4">
              <w:t> </w:t>
            </w:r>
          </w:p>
        </w:tc>
        <w:tc>
          <w:tcPr>
            <w:tcW w:w="1017" w:type="dxa"/>
            <w:shd w:val="clear" w:color="auto" w:fill="D2DDE1" w:themeFill="background2"/>
            <w:vAlign w:val="bottom"/>
            <w:hideMark/>
          </w:tcPr>
          <w:p w14:paraId="5DF38CE0" w14:textId="77777777" w:rsidR="00B71B4E" w:rsidRPr="00BD16B4" w:rsidRDefault="00B71B4E" w:rsidP="00F31129">
            <w:pPr>
              <w:pStyle w:val="TableTextBold0"/>
              <w:spacing w:before="50" w:after="50"/>
              <w:jc w:val="right"/>
            </w:pPr>
            <w:r w:rsidRPr="00BD16B4">
              <w:t>96.57</w:t>
            </w:r>
          </w:p>
        </w:tc>
      </w:tr>
    </w:tbl>
    <w:p w14:paraId="5913E253" w14:textId="13991200" w:rsidR="00B71B4E" w:rsidRPr="00BD16B4" w:rsidRDefault="00B71B4E" w:rsidP="00B71B4E">
      <w:pPr>
        <w:pStyle w:val="BodyText"/>
      </w:pPr>
    </w:p>
    <w:p w14:paraId="76CDC941" w14:textId="77777777" w:rsidR="006E0CA4" w:rsidRPr="00BD16B4" w:rsidRDefault="006E0CA4" w:rsidP="00B83EF6">
      <w:pPr>
        <w:pStyle w:val="BodyText"/>
      </w:pPr>
      <w:r w:rsidRPr="00BD16B4">
        <w:br w:type="page"/>
      </w:r>
    </w:p>
    <w:p w14:paraId="6ADE79B8" w14:textId="0FE59D3C" w:rsidR="00B71B4E" w:rsidRPr="00BD16B4" w:rsidRDefault="00B71B4E" w:rsidP="00BB7302">
      <w:pPr>
        <w:pStyle w:val="CTFTableheading"/>
      </w:pPr>
      <w:r w:rsidRPr="00BD16B4">
        <w:lastRenderedPageBreak/>
        <w:t xml:space="preserve">Table 7.3b: </w:t>
      </w:r>
      <w:r w:rsidRPr="00BD16B4">
        <w:tab/>
        <w:t>Provision of public financial support – summary information, 2020</w:t>
      </w:r>
    </w:p>
    <w:tbl>
      <w:tblPr>
        <w:tblW w:w="14515" w:type="dxa"/>
        <w:tblInd w:w="108"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889"/>
        <w:gridCol w:w="820"/>
        <w:gridCol w:w="1055"/>
        <w:gridCol w:w="1118"/>
        <w:gridCol w:w="780"/>
        <w:gridCol w:w="841"/>
        <w:gridCol w:w="761"/>
        <w:gridCol w:w="820"/>
        <w:gridCol w:w="1055"/>
        <w:gridCol w:w="1331"/>
        <w:gridCol w:w="1015"/>
        <w:gridCol w:w="1015"/>
        <w:gridCol w:w="1015"/>
      </w:tblGrid>
      <w:tr w:rsidR="00B71B4E" w:rsidRPr="00BD16B4" w14:paraId="2B15FBF2" w14:textId="77777777" w:rsidTr="004C7814">
        <w:tc>
          <w:tcPr>
            <w:tcW w:w="2736" w:type="dxa"/>
            <w:tcBorders>
              <w:bottom w:val="nil"/>
              <w:right w:val="nil"/>
            </w:tcBorders>
            <w:shd w:val="clear" w:color="auto" w:fill="1B556B" w:themeFill="text2"/>
            <w:vAlign w:val="bottom"/>
            <w:hideMark/>
          </w:tcPr>
          <w:p w14:paraId="73F07370" w14:textId="77777777" w:rsidR="00B71B4E" w:rsidRPr="00BD16B4" w:rsidRDefault="00B71B4E" w:rsidP="003415F8">
            <w:pPr>
              <w:pStyle w:val="TableTextBold0"/>
              <w:spacing w:before="50" w:after="0"/>
              <w:jc w:val="center"/>
              <w:rPr>
                <w:color w:val="FFFFFF" w:themeColor="background1"/>
              </w:rPr>
            </w:pPr>
          </w:p>
        </w:tc>
        <w:tc>
          <w:tcPr>
            <w:tcW w:w="4739" w:type="dxa"/>
            <w:gridSpan w:val="6"/>
            <w:tcBorders>
              <w:left w:val="nil"/>
              <w:bottom w:val="nil"/>
              <w:right w:val="nil"/>
            </w:tcBorders>
            <w:shd w:val="clear" w:color="auto" w:fill="1B556B" w:themeFill="text2"/>
            <w:vAlign w:val="bottom"/>
            <w:hideMark/>
          </w:tcPr>
          <w:p w14:paraId="6A898998" w14:textId="77777777" w:rsidR="00B71B4E" w:rsidRPr="00BD16B4" w:rsidRDefault="00B71B4E" w:rsidP="003415F8">
            <w:pPr>
              <w:pStyle w:val="TableTextBold0"/>
              <w:spacing w:before="50" w:after="0"/>
              <w:jc w:val="center"/>
              <w:rPr>
                <w:color w:val="FFFFFF" w:themeColor="background1"/>
              </w:rPr>
            </w:pPr>
            <w:r w:rsidRPr="00BD16B4">
              <w:rPr>
                <w:color w:val="FFFFFF" w:themeColor="background1"/>
              </w:rPr>
              <w:t>New Zealand dollars (millions)</w:t>
            </w:r>
          </w:p>
        </w:tc>
        <w:tc>
          <w:tcPr>
            <w:tcW w:w="5771" w:type="dxa"/>
            <w:gridSpan w:val="6"/>
            <w:tcBorders>
              <w:left w:val="nil"/>
              <w:bottom w:val="nil"/>
            </w:tcBorders>
            <w:shd w:val="clear" w:color="auto" w:fill="1B556B" w:themeFill="text2"/>
            <w:vAlign w:val="bottom"/>
            <w:hideMark/>
          </w:tcPr>
          <w:p w14:paraId="39707A70" w14:textId="77777777" w:rsidR="00B71B4E" w:rsidRPr="00BD16B4" w:rsidRDefault="00B71B4E" w:rsidP="003415F8">
            <w:pPr>
              <w:pStyle w:val="TableTextBold0"/>
              <w:spacing w:before="50" w:after="0"/>
              <w:jc w:val="center"/>
              <w:rPr>
                <w:color w:val="FFFFFF" w:themeColor="background1"/>
              </w:rPr>
            </w:pPr>
            <w:r w:rsidRPr="00BD16B4">
              <w:rPr>
                <w:color w:val="FFFFFF" w:themeColor="background1"/>
              </w:rPr>
              <w:t>US dollars (millions)</w:t>
            </w:r>
          </w:p>
        </w:tc>
      </w:tr>
      <w:tr w:rsidR="00B71B4E" w:rsidRPr="00BD16B4" w14:paraId="5B9FF3CA" w14:textId="77777777" w:rsidTr="004C7814">
        <w:tc>
          <w:tcPr>
            <w:tcW w:w="2736" w:type="dxa"/>
            <w:tcBorders>
              <w:top w:val="nil"/>
              <w:bottom w:val="nil"/>
              <w:right w:val="nil"/>
            </w:tcBorders>
            <w:shd w:val="clear" w:color="auto" w:fill="1B556B" w:themeFill="text2"/>
            <w:vAlign w:val="bottom"/>
            <w:hideMark/>
          </w:tcPr>
          <w:p w14:paraId="056F43EA" w14:textId="77777777" w:rsidR="00B71B4E" w:rsidRPr="00BD16B4" w:rsidRDefault="00B71B4E" w:rsidP="003415F8">
            <w:pPr>
              <w:pStyle w:val="TableTextBold0"/>
              <w:spacing w:before="0" w:after="40"/>
              <w:jc w:val="center"/>
              <w:rPr>
                <w:color w:val="FFFFFF" w:themeColor="background1"/>
              </w:rPr>
            </w:pPr>
          </w:p>
        </w:tc>
        <w:tc>
          <w:tcPr>
            <w:tcW w:w="714" w:type="dxa"/>
            <w:vMerge w:val="restart"/>
            <w:tcBorders>
              <w:top w:val="nil"/>
              <w:left w:val="nil"/>
              <w:bottom w:val="nil"/>
              <w:right w:val="nil"/>
            </w:tcBorders>
            <w:shd w:val="clear" w:color="auto" w:fill="1B556B" w:themeFill="text2"/>
            <w:vAlign w:val="bottom"/>
            <w:hideMark/>
          </w:tcPr>
          <w:p w14:paraId="188D290C" w14:textId="77777777" w:rsidR="00B71B4E" w:rsidRPr="00BD16B4" w:rsidRDefault="00B71B4E" w:rsidP="003415F8">
            <w:pPr>
              <w:pStyle w:val="TableTextBold0"/>
              <w:spacing w:before="0" w:after="40"/>
              <w:jc w:val="center"/>
              <w:rPr>
                <w:color w:val="FFFFFF" w:themeColor="background1"/>
              </w:rPr>
            </w:pPr>
            <w:r w:rsidRPr="00BD16B4">
              <w:rPr>
                <w:color w:val="FFFFFF" w:themeColor="background1"/>
              </w:rPr>
              <w:t>Core/ general</w:t>
            </w:r>
          </w:p>
        </w:tc>
        <w:tc>
          <w:tcPr>
            <w:tcW w:w="3357" w:type="dxa"/>
            <w:gridSpan w:val="4"/>
            <w:tcBorders>
              <w:top w:val="nil"/>
              <w:left w:val="nil"/>
              <w:bottom w:val="nil"/>
              <w:right w:val="nil"/>
            </w:tcBorders>
            <w:shd w:val="clear" w:color="auto" w:fill="1B556B" w:themeFill="text2"/>
            <w:vAlign w:val="bottom"/>
            <w:hideMark/>
          </w:tcPr>
          <w:p w14:paraId="7A6C7E4F" w14:textId="77777777" w:rsidR="00B71B4E" w:rsidRPr="00BD16B4" w:rsidRDefault="00B71B4E" w:rsidP="003415F8">
            <w:pPr>
              <w:pStyle w:val="TableTextBold0"/>
              <w:spacing w:before="0" w:after="40"/>
              <w:jc w:val="center"/>
              <w:rPr>
                <w:color w:val="FFFFFF" w:themeColor="background1"/>
              </w:rPr>
            </w:pPr>
            <w:r w:rsidRPr="00BD16B4">
              <w:rPr>
                <w:color w:val="FFFFFF" w:themeColor="background1"/>
              </w:rPr>
              <w:t>Climate-specific</w:t>
            </w:r>
          </w:p>
        </w:tc>
        <w:tc>
          <w:tcPr>
            <w:tcW w:w="668" w:type="dxa"/>
            <w:tcBorders>
              <w:top w:val="nil"/>
              <w:left w:val="nil"/>
              <w:bottom w:val="nil"/>
              <w:right w:val="nil"/>
            </w:tcBorders>
            <w:shd w:val="clear" w:color="auto" w:fill="1B556B" w:themeFill="text2"/>
            <w:vAlign w:val="bottom"/>
            <w:hideMark/>
          </w:tcPr>
          <w:p w14:paraId="2F368B72" w14:textId="77777777" w:rsidR="00B71B4E" w:rsidRPr="00BD16B4" w:rsidRDefault="00B71B4E" w:rsidP="003415F8">
            <w:pPr>
              <w:pStyle w:val="TableTextBold0"/>
              <w:spacing w:before="0" w:after="40"/>
              <w:jc w:val="center"/>
              <w:rPr>
                <w:color w:val="FFFFFF" w:themeColor="background1"/>
              </w:rPr>
            </w:pPr>
          </w:p>
        </w:tc>
        <w:tc>
          <w:tcPr>
            <w:tcW w:w="714" w:type="dxa"/>
            <w:vMerge w:val="restart"/>
            <w:tcBorders>
              <w:top w:val="nil"/>
              <w:left w:val="nil"/>
              <w:bottom w:val="nil"/>
              <w:right w:val="nil"/>
            </w:tcBorders>
            <w:shd w:val="clear" w:color="auto" w:fill="1B556B" w:themeFill="text2"/>
            <w:vAlign w:val="bottom"/>
            <w:hideMark/>
          </w:tcPr>
          <w:p w14:paraId="5A9059DF" w14:textId="77777777" w:rsidR="00B71B4E" w:rsidRPr="00BD16B4" w:rsidRDefault="00B71B4E" w:rsidP="003415F8">
            <w:pPr>
              <w:pStyle w:val="TableTextBold0"/>
              <w:spacing w:before="0" w:after="40"/>
              <w:jc w:val="center"/>
              <w:rPr>
                <w:color w:val="FFFFFF" w:themeColor="background1"/>
              </w:rPr>
            </w:pPr>
            <w:r w:rsidRPr="00BD16B4">
              <w:rPr>
                <w:color w:val="FFFFFF" w:themeColor="background1"/>
              </w:rPr>
              <w:t>Core/ general</w:t>
            </w:r>
          </w:p>
        </w:tc>
        <w:tc>
          <w:tcPr>
            <w:tcW w:w="4096" w:type="dxa"/>
            <w:gridSpan w:val="4"/>
            <w:tcBorders>
              <w:top w:val="nil"/>
              <w:left w:val="nil"/>
              <w:bottom w:val="nil"/>
              <w:right w:val="nil"/>
            </w:tcBorders>
            <w:shd w:val="clear" w:color="auto" w:fill="1B556B" w:themeFill="text2"/>
            <w:vAlign w:val="bottom"/>
            <w:hideMark/>
          </w:tcPr>
          <w:p w14:paraId="6ED4A876" w14:textId="77777777" w:rsidR="00B71B4E" w:rsidRPr="00BD16B4" w:rsidRDefault="00B71B4E" w:rsidP="003415F8">
            <w:pPr>
              <w:pStyle w:val="TableTextBold0"/>
              <w:spacing w:before="0" w:after="40"/>
              <w:jc w:val="center"/>
              <w:rPr>
                <w:color w:val="FFFFFF" w:themeColor="background1"/>
              </w:rPr>
            </w:pPr>
            <w:r w:rsidRPr="00BD16B4">
              <w:rPr>
                <w:color w:val="FFFFFF" w:themeColor="background1"/>
              </w:rPr>
              <w:t>Climate-specific</w:t>
            </w:r>
          </w:p>
        </w:tc>
        <w:tc>
          <w:tcPr>
            <w:tcW w:w="961" w:type="dxa"/>
            <w:tcBorders>
              <w:top w:val="nil"/>
              <w:left w:val="nil"/>
              <w:bottom w:val="nil"/>
            </w:tcBorders>
            <w:shd w:val="clear" w:color="auto" w:fill="1B556B" w:themeFill="text2"/>
            <w:vAlign w:val="bottom"/>
            <w:hideMark/>
          </w:tcPr>
          <w:p w14:paraId="6F4F98A5" w14:textId="77777777" w:rsidR="00B71B4E" w:rsidRPr="00BD16B4" w:rsidRDefault="00B71B4E" w:rsidP="003415F8">
            <w:pPr>
              <w:pStyle w:val="TableTextBold0"/>
              <w:spacing w:before="0" w:after="40"/>
              <w:jc w:val="center"/>
              <w:rPr>
                <w:color w:val="FFFFFF" w:themeColor="background1"/>
              </w:rPr>
            </w:pPr>
          </w:p>
        </w:tc>
      </w:tr>
      <w:tr w:rsidR="00B71B4E" w:rsidRPr="00BD16B4" w14:paraId="238484BB" w14:textId="77777777" w:rsidTr="004C7814">
        <w:tc>
          <w:tcPr>
            <w:tcW w:w="2736" w:type="dxa"/>
            <w:tcBorders>
              <w:top w:val="nil"/>
              <w:right w:val="nil"/>
            </w:tcBorders>
            <w:shd w:val="clear" w:color="auto" w:fill="1B556B" w:themeFill="text2"/>
            <w:vAlign w:val="bottom"/>
            <w:hideMark/>
          </w:tcPr>
          <w:p w14:paraId="22588458" w14:textId="77777777" w:rsidR="00B71B4E" w:rsidRPr="00BD16B4" w:rsidRDefault="00B71B4E" w:rsidP="00F31129">
            <w:pPr>
              <w:pStyle w:val="TableTextBold0"/>
              <w:rPr>
                <w:color w:val="FFFFFF" w:themeColor="background1"/>
              </w:rPr>
            </w:pPr>
            <w:r w:rsidRPr="00BD16B4">
              <w:rPr>
                <w:color w:val="FFFFFF" w:themeColor="background1"/>
              </w:rPr>
              <w:t>Allocation channel</w:t>
            </w:r>
          </w:p>
        </w:tc>
        <w:tc>
          <w:tcPr>
            <w:tcW w:w="714" w:type="dxa"/>
            <w:vMerge/>
            <w:tcBorders>
              <w:top w:val="nil"/>
              <w:left w:val="nil"/>
              <w:right w:val="nil"/>
            </w:tcBorders>
            <w:shd w:val="clear" w:color="auto" w:fill="1B556B" w:themeFill="text2"/>
            <w:vAlign w:val="bottom"/>
            <w:hideMark/>
          </w:tcPr>
          <w:p w14:paraId="38D9F664" w14:textId="77777777" w:rsidR="00B71B4E" w:rsidRPr="00BD16B4" w:rsidRDefault="00B71B4E" w:rsidP="00F31129">
            <w:pPr>
              <w:pStyle w:val="TableTextBold0"/>
              <w:jc w:val="center"/>
              <w:rPr>
                <w:color w:val="FFFFFF" w:themeColor="background1"/>
              </w:rPr>
            </w:pPr>
          </w:p>
        </w:tc>
        <w:tc>
          <w:tcPr>
            <w:tcW w:w="913" w:type="dxa"/>
            <w:tcBorders>
              <w:top w:val="nil"/>
              <w:left w:val="nil"/>
              <w:right w:val="nil"/>
            </w:tcBorders>
            <w:shd w:val="clear" w:color="auto" w:fill="1B556B" w:themeFill="text2"/>
            <w:vAlign w:val="bottom"/>
            <w:hideMark/>
          </w:tcPr>
          <w:p w14:paraId="1CCE2CAD" w14:textId="77777777" w:rsidR="00B71B4E" w:rsidRPr="00BD16B4" w:rsidRDefault="00B71B4E" w:rsidP="00F31129">
            <w:pPr>
              <w:pStyle w:val="TableTextBold0"/>
              <w:jc w:val="center"/>
              <w:rPr>
                <w:color w:val="FFFFFF" w:themeColor="background1"/>
              </w:rPr>
            </w:pPr>
            <w:r w:rsidRPr="00BD16B4">
              <w:rPr>
                <w:color w:val="FFFFFF" w:themeColor="background1"/>
              </w:rPr>
              <w:t>Mitigation</w:t>
            </w:r>
          </w:p>
        </w:tc>
        <w:tc>
          <w:tcPr>
            <w:tcW w:w="966" w:type="dxa"/>
            <w:tcBorders>
              <w:top w:val="nil"/>
              <w:left w:val="nil"/>
              <w:right w:val="nil"/>
            </w:tcBorders>
            <w:shd w:val="clear" w:color="auto" w:fill="1B556B" w:themeFill="text2"/>
            <w:vAlign w:val="bottom"/>
            <w:hideMark/>
          </w:tcPr>
          <w:p w14:paraId="2C94B43A" w14:textId="77777777" w:rsidR="00B71B4E" w:rsidRPr="00BD16B4" w:rsidRDefault="00B71B4E" w:rsidP="00F31129">
            <w:pPr>
              <w:pStyle w:val="TableTextBold0"/>
              <w:jc w:val="center"/>
              <w:rPr>
                <w:color w:val="FFFFFF" w:themeColor="background1"/>
              </w:rPr>
            </w:pPr>
            <w:r w:rsidRPr="00BD16B4">
              <w:rPr>
                <w:color w:val="FFFFFF" w:themeColor="background1"/>
              </w:rPr>
              <w:t>Adaptation</w:t>
            </w:r>
          </w:p>
        </w:tc>
        <w:tc>
          <w:tcPr>
            <w:tcW w:w="681" w:type="dxa"/>
            <w:tcBorders>
              <w:top w:val="nil"/>
              <w:left w:val="nil"/>
              <w:right w:val="nil"/>
            </w:tcBorders>
            <w:shd w:val="clear" w:color="auto" w:fill="1B556B" w:themeFill="text2"/>
            <w:vAlign w:val="bottom"/>
            <w:hideMark/>
          </w:tcPr>
          <w:p w14:paraId="5FD2E491" w14:textId="77777777" w:rsidR="00B71B4E" w:rsidRPr="00BD16B4" w:rsidRDefault="00B71B4E" w:rsidP="00F31129">
            <w:pPr>
              <w:pStyle w:val="TableTextBold0"/>
              <w:jc w:val="center"/>
              <w:rPr>
                <w:color w:val="FFFFFF" w:themeColor="background1"/>
              </w:rPr>
            </w:pPr>
            <w:r w:rsidRPr="00BD16B4">
              <w:rPr>
                <w:color w:val="FFFFFF" w:themeColor="background1"/>
              </w:rPr>
              <w:t>Cross-cutting</w:t>
            </w:r>
          </w:p>
        </w:tc>
        <w:tc>
          <w:tcPr>
            <w:tcW w:w="797" w:type="dxa"/>
            <w:tcBorders>
              <w:top w:val="nil"/>
              <w:left w:val="nil"/>
              <w:right w:val="nil"/>
            </w:tcBorders>
            <w:shd w:val="clear" w:color="auto" w:fill="1B556B" w:themeFill="text2"/>
            <w:vAlign w:val="bottom"/>
            <w:hideMark/>
          </w:tcPr>
          <w:p w14:paraId="3897842A" w14:textId="77777777" w:rsidR="00B71B4E" w:rsidRPr="00BD16B4" w:rsidRDefault="00B71B4E" w:rsidP="00F31129">
            <w:pPr>
              <w:pStyle w:val="TableTextBold0"/>
              <w:jc w:val="center"/>
              <w:rPr>
                <w:color w:val="FFFFFF" w:themeColor="background1"/>
              </w:rPr>
            </w:pPr>
            <w:r w:rsidRPr="00BD16B4">
              <w:rPr>
                <w:color w:val="FFFFFF" w:themeColor="background1"/>
              </w:rPr>
              <w:t>Other</w:t>
            </w:r>
          </w:p>
        </w:tc>
        <w:tc>
          <w:tcPr>
            <w:tcW w:w="668" w:type="dxa"/>
            <w:tcBorders>
              <w:top w:val="nil"/>
              <w:left w:val="nil"/>
              <w:right w:val="nil"/>
            </w:tcBorders>
            <w:shd w:val="clear" w:color="auto" w:fill="1B556B" w:themeFill="text2"/>
            <w:vAlign w:val="bottom"/>
            <w:hideMark/>
          </w:tcPr>
          <w:p w14:paraId="27B611E8" w14:textId="77777777" w:rsidR="00B71B4E" w:rsidRPr="00BD16B4" w:rsidRDefault="00B71B4E" w:rsidP="00F31129">
            <w:pPr>
              <w:pStyle w:val="TableTextBold0"/>
              <w:jc w:val="center"/>
              <w:rPr>
                <w:color w:val="FFFFFF" w:themeColor="background1"/>
              </w:rPr>
            </w:pPr>
            <w:r w:rsidRPr="00BD16B4">
              <w:rPr>
                <w:color w:val="FFFFFF" w:themeColor="background1"/>
              </w:rPr>
              <w:t>Total</w:t>
            </w:r>
          </w:p>
        </w:tc>
        <w:tc>
          <w:tcPr>
            <w:tcW w:w="714" w:type="dxa"/>
            <w:vMerge/>
            <w:tcBorders>
              <w:top w:val="nil"/>
              <w:left w:val="nil"/>
              <w:right w:val="nil"/>
            </w:tcBorders>
            <w:shd w:val="clear" w:color="auto" w:fill="1B556B" w:themeFill="text2"/>
            <w:vAlign w:val="bottom"/>
            <w:hideMark/>
          </w:tcPr>
          <w:p w14:paraId="0ED9B22C" w14:textId="77777777" w:rsidR="00B71B4E" w:rsidRPr="00BD16B4" w:rsidRDefault="00B71B4E" w:rsidP="00F31129">
            <w:pPr>
              <w:pStyle w:val="TableTextBold0"/>
              <w:jc w:val="center"/>
              <w:rPr>
                <w:color w:val="FFFFFF" w:themeColor="background1"/>
              </w:rPr>
            </w:pPr>
          </w:p>
        </w:tc>
        <w:tc>
          <w:tcPr>
            <w:tcW w:w="913" w:type="dxa"/>
            <w:tcBorders>
              <w:top w:val="nil"/>
              <w:left w:val="nil"/>
              <w:right w:val="nil"/>
            </w:tcBorders>
            <w:shd w:val="clear" w:color="auto" w:fill="1B556B" w:themeFill="text2"/>
            <w:vAlign w:val="bottom"/>
            <w:hideMark/>
          </w:tcPr>
          <w:p w14:paraId="50950100" w14:textId="77777777" w:rsidR="00B71B4E" w:rsidRPr="00BD16B4" w:rsidRDefault="00B71B4E" w:rsidP="00F31129">
            <w:pPr>
              <w:pStyle w:val="TableTextBold0"/>
              <w:jc w:val="center"/>
              <w:rPr>
                <w:color w:val="FFFFFF" w:themeColor="background1"/>
              </w:rPr>
            </w:pPr>
            <w:r w:rsidRPr="00BD16B4">
              <w:rPr>
                <w:color w:val="FFFFFF" w:themeColor="background1"/>
              </w:rPr>
              <w:t>Mitigation</w:t>
            </w:r>
          </w:p>
        </w:tc>
        <w:tc>
          <w:tcPr>
            <w:tcW w:w="1261" w:type="dxa"/>
            <w:tcBorders>
              <w:top w:val="nil"/>
              <w:left w:val="nil"/>
              <w:right w:val="nil"/>
            </w:tcBorders>
            <w:shd w:val="clear" w:color="auto" w:fill="1B556B" w:themeFill="text2"/>
            <w:vAlign w:val="bottom"/>
            <w:hideMark/>
          </w:tcPr>
          <w:p w14:paraId="7F542D9F" w14:textId="77777777" w:rsidR="00B71B4E" w:rsidRPr="00BD16B4" w:rsidRDefault="00B71B4E" w:rsidP="00F31129">
            <w:pPr>
              <w:pStyle w:val="TableTextBold0"/>
              <w:jc w:val="center"/>
              <w:rPr>
                <w:color w:val="FFFFFF" w:themeColor="background1"/>
              </w:rPr>
            </w:pPr>
            <w:r w:rsidRPr="00BD16B4">
              <w:rPr>
                <w:color w:val="FFFFFF" w:themeColor="background1"/>
              </w:rPr>
              <w:t>Adaptation</w:t>
            </w:r>
          </w:p>
        </w:tc>
        <w:tc>
          <w:tcPr>
            <w:tcW w:w="961" w:type="dxa"/>
            <w:tcBorders>
              <w:top w:val="nil"/>
              <w:left w:val="nil"/>
              <w:right w:val="nil"/>
            </w:tcBorders>
            <w:shd w:val="clear" w:color="auto" w:fill="1B556B" w:themeFill="text2"/>
            <w:vAlign w:val="bottom"/>
            <w:hideMark/>
          </w:tcPr>
          <w:p w14:paraId="5B6717AF" w14:textId="77777777" w:rsidR="00B71B4E" w:rsidRPr="00BD16B4" w:rsidRDefault="00B71B4E" w:rsidP="00F31129">
            <w:pPr>
              <w:pStyle w:val="TableTextBold0"/>
              <w:jc w:val="center"/>
              <w:rPr>
                <w:color w:val="FFFFFF" w:themeColor="background1"/>
              </w:rPr>
            </w:pPr>
            <w:r w:rsidRPr="00BD16B4">
              <w:rPr>
                <w:color w:val="FFFFFF" w:themeColor="background1"/>
              </w:rPr>
              <w:t>Cross-cutting</w:t>
            </w:r>
          </w:p>
        </w:tc>
        <w:tc>
          <w:tcPr>
            <w:tcW w:w="961" w:type="dxa"/>
            <w:tcBorders>
              <w:top w:val="nil"/>
              <w:left w:val="nil"/>
              <w:right w:val="nil"/>
            </w:tcBorders>
            <w:shd w:val="clear" w:color="auto" w:fill="1B556B" w:themeFill="text2"/>
            <w:vAlign w:val="bottom"/>
            <w:hideMark/>
          </w:tcPr>
          <w:p w14:paraId="1D047635" w14:textId="77777777" w:rsidR="00B71B4E" w:rsidRPr="00BD16B4" w:rsidRDefault="00B71B4E" w:rsidP="00F31129">
            <w:pPr>
              <w:pStyle w:val="TableTextBold0"/>
              <w:jc w:val="center"/>
              <w:rPr>
                <w:color w:val="FFFFFF" w:themeColor="background1"/>
              </w:rPr>
            </w:pPr>
            <w:r w:rsidRPr="00BD16B4">
              <w:rPr>
                <w:color w:val="FFFFFF" w:themeColor="background1"/>
              </w:rPr>
              <w:t>Other</w:t>
            </w:r>
          </w:p>
        </w:tc>
        <w:tc>
          <w:tcPr>
            <w:tcW w:w="961" w:type="dxa"/>
            <w:tcBorders>
              <w:top w:val="nil"/>
              <w:left w:val="nil"/>
            </w:tcBorders>
            <w:shd w:val="clear" w:color="auto" w:fill="1B556B" w:themeFill="text2"/>
            <w:vAlign w:val="bottom"/>
            <w:hideMark/>
          </w:tcPr>
          <w:p w14:paraId="4F379CBB" w14:textId="77777777" w:rsidR="00B71B4E" w:rsidRPr="00BD16B4" w:rsidRDefault="00B71B4E" w:rsidP="00F31129">
            <w:pPr>
              <w:pStyle w:val="TableTextBold0"/>
              <w:jc w:val="center"/>
              <w:rPr>
                <w:color w:val="FFFFFF" w:themeColor="background1"/>
              </w:rPr>
            </w:pPr>
            <w:r w:rsidRPr="00BD16B4">
              <w:rPr>
                <w:color w:val="FFFFFF" w:themeColor="background1"/>
              </w:rPr>
              <w:t>Total</w:t>
            </w:r>
          </w:p>
        </w:tc>
      </w:tr>
      <w:tr w:rsidR="00B71B4E" w:rsidRPr="00BD16B4" w14:paraId="7C854613" w14:textId="77777777" w:rsidTr="00F31129">
        <w:tc>
          <w:tcPr>
            <w:tcW w:w="2736" w:type="dxa"/>
            <w:shd w:val="clear" w:color="auto" w:fill="auto"/>
            <w:hideMark/>
          </w:tcPr>
          <w:p w14:paraId="2DE4C8C2" w14:textId="77777777" w:rsidR="00B71B4E" w:rsidRPr="00BD16B4" w:rsidRDefault="00B71B4E" w:rsidP="00F31129">
            <w:pPr>
              <w:pStyle w:val="TableTextBold0"/>
              <w:spacing w:before="50" w:after="40"/>
            </w:pPr>
            <w:r w:rsidRPr="00BD16B4">
              <w:t xml:space="preserve">Total contributions through multilateral channels </w:t>
            </w:r>
          </w:p>
        </w:tc>
        <w:tc>
          <w:tcPr>
            <w:tcW w:w="714" w:type="dxa"/>
            <w:shd w:val="clear" w:color="auto" w:fill="auto"/>
            <w:hideMark/>
          </w:tcPr>
          <w:p w14:paraId="3CF6979D" w14:textId="77777777" w:rsidR="00B71B4E" w:rsidRPr="00BD16B4" w:rsidRDefault="00B71B4E" w:rsidP="00F31129">
            <w:pPr>
              <w:pStyle w:val="TableTextBold0"/>
              <w:spacing w:before="50" w:after="40"/>
              <w:jc w:val="right"/>
            </w:pPr>
            <w:r w:rsidRPr="00BD16B4">
              <w:t>38.01</w:t>
            </w:r>
          </w:p>
        </w:tc>
        <w:tc>
          <w:tcPr>
            <w:tcW w:w="913" w:type="dxa"/>
            <w:shd w:val="clear" w:color="auto" w:fill="auto"/>
            <w:hideMark/>
          </w:tcPr>
          <w:p w14:paraId="5B233368" w14:textId="77777777" w:rsidR="00B71B4E" w:rsidRPr="00BD16B4" w:rsidRDefault="00B71B4E" w:rsidP="00F31129">
            <w:pPr>
              <w:pStyle w:val="TableTextBold0"/>
              <w:spacing w:before="50" w:after="40"/>
              <w:jc w:val="right"/>
            </w:pPr>
            <w:r w:rsidRPr="00BD16B4">
              <w:t> 0.98</w:t>
            </w:r>
          </w:p>
        </w:tc>
        <w:tc>
          <w:tcPr>
            <w:tcW w:w="966" w:type="dxa"/>
            <w:shd w:val="clear" w:color="auto" w:fill="auto"/>
            <w:hideMark/>
          </w:tcPr>
          <w:p w14:paraId="707800A8" w14:textId="77777777" w:rsidR="00B71B4E" w:rsidRPr="00BD16B4" w:rsidRDefault="00B71B4E" w:rsidP="00F31129">
            <w:pPr>
              <w:pStyle w:val="TableTextBold0"/>
              <w:spacing w:before="50" w:after="40"/>
              <w:jc w:val="right"/>
            </w:pPr>
            <w:r w:rsidRPr="00BD16B4">
              <w:t>1.65</w:t>
            </w:r>
          </w:p>
        </w:tc>
        <w:tc>
          <w:tcPr>
            <w:tcW w:w="681" w:type="dxa"/>
            <w:shd w:val="clear" w:color="auto" w:fill="auto"/>
            <w:hideMark/>
          </w:tcPr>
          <w:p w14:paraId="46BE321B" w14:textId="77777777" w:rsidR="00B71B4E" w:rsidRPr="00BD16B4" w:rsidRDefault="00B71B4E" w:rsidP="00F31129">
            <w:pPr>
              <w:pStyle w:val="TableTextBold0"/>
              <w:spacing w:before="50" w:after="40"/>
              <w:jc w:val="right"/>
            </w:pPr>
            <w:r w:rsidRPr="00BD16B4">
              <w:t>21.23</w:t>
            </w:r>
          </w:p>
        </w:tc>
        <w:tc>
          <w:tcPr>
            <w:tcW w:w="797" w:type="dxa"/>
            <w:shd w:val="clear" w:color="auto" w:fill="auto"/>
            <w:hideMark/>
          </w:tcPr>
          <w:p w14:paraId="09950011" w14:textId="77777777" w:rsidR="00B71B4E" w:rsidRPr="00BD16B4" w:rsidRDefault="00B71B4E" w:rsidP="00F31129">
            <w:pPr>
              <w:pStyle w:val="TableTextBold0"/>
              <w:spacing w:before="50" w:after="40"/>
              <w:jc w:val="right"/>
            </w:pPr>
          </w:p>
        </w:tc>
        <w:tc>
          <w:tcPr>
            <w:tcW w:w="668" w:type="dxa"/>
            <w:shd w:val="clear" w:color="000000" w:fill="D2DDE1" w:themeFill="background2"/>
            <w:hideMark/>
          </w:tcPr>
          <w:p w14:paraId="34303FE1" w14:textId="77777777" w:rsidR="00B71B4E" w:rsidRPr="00BD16B4" w:rsidRDefault="00B71B4E" w:rsidP="00F31129">
            <w:pPr>
              <w:pStyle w:val="TableTextBold0"/>
              <w:spacing w:before="50" w:after="40"/>
              <w:jc w:val="right"/>
            </w:pPr>
            <w:r w:rsidRPr="00BD16B4" w:rsidDel="0014619D">
              <w:t xml:space="preserve"> </w:t>
            </w:r>
            <w:r w:rsidRPr="00BD16B4">
              <w:t>61.87</w:t>
            </w:r>
          </w:p>
        </w:tc>
        <w:tc>
          <w:tcPr>
            <w:tcW w:w="714" w:type="dxa"/>
            <w:shd w:val="clear" w:color="auto" w:fill="auto"/>
            <w:hideMark/>
          </w:tcPr>
          <w:p w14:paraId="3A0F5AF4" w14:textId="77777777" w:rsidR="00B71B4E" w:rsidRPr="00BD16B4" w:rsidRDefault="00B71B4E" w:rsidP="00F31129">
            <w:pPr>
              <w:pStyle w:val="TableTextBold0"/>
              <w:spacing w:before="50" w:after="40"/>
              <w:jc w:val="right"/>
            </w:pPr>
            <w:r w:rsidRPr="00BD16B4">
              <w:t>24.66</w:t>
            </w:r>
          </w:p>
        </w:tc>
        <w:tc>
          <w:tcPr>
            <w:tcW w:w="913" w:type="dxa"/>
            <w:shd w:val="clear" w:color="auto" w:fill="auto"/>
            <w:hideMark/>
          </w:tcPr>
          <w:p w14:paraId="7A210FAA" w14:textId="77777777" w:rsidR="00B71B4E" w:rsidRPr="00BD16B4" w:rsidRDefault="00B71B4E" w:rsidP="00F31129">
            <w:pPr>
              <w:pStyle w:val="TableTextBold0"/>
              <w:spacing w:before="50" w:after="40"/>
              <w:jc w:val="right"/>
            </w:pPr>
            <w:r w:rsidRPr="00BD16B4">
              <w:t>0.64</w:t>
            </w:r>
          </w:p>
        </w:tc>
        <w:tc>
          <w:tcPr>
            <w:tcW w:w="1261" w:type="dxa"/>
            <w:shd w:val="clear" w:color="auto" w:fill="auto"/>
            <w:hideMark/>
          </w:tcPr>
          <w:p w14:paraId="6162E278" w14:textId="77777777" w:rsidR="00B71B4E" w:rsidRPr="00BD16B4" w:rsidRDefault="00B71B4E" w:rsidP="00F31129">
            <w:pPr>
              <w:pStyle w:val="TableTextBold0"/>
              <w:spacing w:before="50" w:after="40"/>
              <w:jc w:val="right"/>
            </w:pPr>
            <w:r w:rsidRPr="00BD16B4">
              <w:t>1.07</w:t>
            </w:r>
          </w:p>
        </w:tc>
        <w:tc>
          <w:tcPr>
            <w:tcW w:w="961" w:type="dxa"/>
            <w:shd w:val="clear" w:color="auto" w:fill="auto"/>
            <w:hideMark/>
          </w:tcPr>
          <w:p w14:paraId="2996FD39" w14:textId="77777777" w:rsidR="00B71B4E" w:rsidRPr="00BD16B4" w:rsidRDefault="00B71B4E" w:rsidP="00F31129">
            <w:pPr>
              <w:pStyle w:val="TableTextBold0"/>
              <w:spacing w:before="50" w:after="40"/>
              <w:jc w:val="right"/>
            </w:pPr>
            <w:r w:rsidRPr="00BD16B4">
              <w:t>13.77</w:t>
            </w:r>
          </w:p>
        </w:tc>
        <w:tc>
          <w:tcPr>
            <w:tcW w:w="961" w:type="dxa"/>
            <w:shd w:val="clear" w:color="auto" w:fill="auto"/>
            <w:hideMark/>
          </w:tcPr>
          <w:p w14:paraId="207D2F34" w14:textId="77777777" w:rsidR="00B71B4E" w:rsidRPr="00BD16B4" w:rsidRDefault="00B71B4E" w:rsidP="00F31129">
            <w:pPr>
              <w:pStyle w:val="TableTextBold0"/>
              <w:spacing w:before="50" w:after="40"/>
              <w:jc w:val="right"/>
            </w:pPr>
          </w:p>
        </w:tc>
        <w:tc>
          <w:tcPr>
            <w:tcW w:w="961" w:type="dxa"/>
            <w:shd w:val="clear" w:color="000000" w:fill="D2DDE1" w:themeFill="background2"/>
            <w:hideMark/>
          </w:tcPr>
          <w:p w14:paraId="7D8899E8" w14:textId="77777777" w:rsidR="00B71B4E" w:rsidRPr="00BD16B4" w:rsidRDefault="00B71B4E" w:rsidP="00F31129">
            <w:pPr>
              <w:pStyle w:val="TableTextBold0"/>
              <w:spacing w:before="50" w:after="40"/>
              <w:jc w:val="right"/>
            </w:pPr>
            <w:r w:rsidRPr="00BD16B4">
              <w:t>40.14</w:t>
            </w:r>
          </w:p>
        </w:tc>
      </w:tr>
      <w:tr w:rsidR="00B71B4E" w:rsidRPr="00BD16B4" w14:paraId="3CB7A027" w14:textId="77777777" w:rsidTr="00F31129">
        <w:tc>
          <w:tcPr>
            <w:tcW w:w="2736" w:type="dxa"/>
            <w:shd w:val="clear" w:color="auto" w:fill="auto"/>
            <w:hideMark/>
          </w:tcPr>
          <w:p w14:paraId="1FDE3D37" w14:textId="77777777" w:rsidR="00B71B4E" w:rsidRPr="00BD16B4" w:rsidRDefault="00B71B4E" w:rsidP="00F31129">
            <w:pPr>
              <w:pStyle w:val="TableText"/>
              <w:spacing w:before="50" w:after="40"/>
            </w:pPr>
            <w:r w:rsidRPr="00BD16B4">
              <w:t>Multilateral climate change funds</w:t>
            </w:r>
          </w:p>
        </w:tc>
        <w:tc>
          <w:tcPr>
            <w:tcW w:w="714" w:type="dxa"/>
            <w:shd w:val="clear" w:color="auto" w:fill="auto"/>
            <w:hideMark/>
          </w:tcPr>
          <w:p w14:paraId="2BDF39A1" w14:textId="77777777" w:rsidR="00B71B4E" w:rsidRPr="00BD16B4" w:rsidRDefault="00B71B4E" w:rsidP="00F31129">
            <w:pPr>
              <w:pStyle w:val="TableText"/>
              <w:spacing w:before="50" w:after="40"/>
              <w:jc w:val="right"/>
            </w:pPr>
            <w:r w:rsidRPr="00BD16B4">
              <w:t>0.40</w:t>
            </w:r>
          </w:p>
        </w:tc>
        <w:tc>
          <w:tcPr>
            <w:tcW w:w="913" w:type="dxa"/>
            <w:shd w:val="clear" w:color="auto" w:fill="auto"/>
            <w:noWrap/>
            <w:vAlign w:val="bottom"/>
            <w:hideMark/>
          </w:tcPr>
          <w:p w14:paraId="2DB29661" w14:textId="77777777" w:rsidR="00B71B4E" w:rsidRPr="00BD16B4" w:rsidRDefault="00B71B4E" w:rsidP="00F31129">
            <w:pPr>
              <w:pStyle w:val="TableText"/>
              <w:spacing w:before="50" w:after="40"/>
              <w:jc w:val="right"/>
              <w:rPr>
                <w:rFonts w:ascii="Arial" w:hAnsi="Arial" w:cs="Arial"/>
                <w:szCs w:val="20"/>
              </w:rPr>
            </w:pPr>
            <w:r w:rsidRPr="00BD16B4">
              <w:rPr>
                <w:rFonts w:ascii="Arial" w:hAnsi="Arial" w:cs="Arial"/>
                <w:szCs w:val="20"/>
              </w:rPr>
              <w:t> </w:t>
            </w:r>
          </w:p>
        </w:tc>
        <w:tc>
          <w:tcPr>
            <w:tcW w:w="966" w:type="dxa"/>
            <w:shd w:val="clear" w:color="auto" w:fill="auto"/>
            <w:noWrap/>
            <w:vAlign w:val="bottom"/>
            <w:hideMark/>
          </w:tcPr>
          <w:p w14:paraId="373FC641" w14:textId="77777777" w:rsidR="00B71B4E" w:rsidRPr="00BD16B4" w:rsidRDefault="00B71B4E" w:rsidP="00F31129">
            <w:pPr>
              <w:pStyle w:val="TableText"/>
              <w:spacing w:before="50" w:after="40"/>
              <w:jc w:val="right"/>
              <w:rPr>
                <w:rFonts w:ascii="Arial" w:hAnsi="Arial" w:cs="Arial"/>
                <w:szCs w:val="20"/>
              </w:rPr>
            </w:pPr>
            <w:r w:rsidRPr="00BD16B4">
              <w:rPr>
                <w:rFonts w:ascii="Arial" w:hAnsi="Arial" w:cs="Arial"/>
                <w:szCs w:val="20"/>
              </w:rPr>
              <w:t> </w:t>
            </w:r>
          </w:p>
        </w:tc>
        <w:tc>
          <w:tcPr>
            <w:tcW w:w="681" w:type="dxa"/>
            <w:shd w:val="clear" w:color="auto" w:fill="auto"/>
            <w:hideMark/>
          </w:tcPr>
          <w:p w14:paraId="24A57C3D" w14:textId="77777777" w:rsidR="00B71B4E" w:rsidRPr="00BD16B4" w:rsidRDefault="00B71B4E" w:rsidP="00F31129">
            <w:pPr>
              <w:pStyle w:val="TableText"/>
              <w:spacing w:before="50" w:after="40"/>
              <w:jc w:val="right"/>
            </w:pPr>
            <w:r w:rsidRPr="00BD16B4">
              <w:t>2.10</w:t>
            </w:r>
          </w:p>
        </w:tc>
        <w:tc>
          <w:tcPr>
            <w:tcW w:w="797" w:type="dxa"/>
            <w:shd w:val="clear" w:color="auto" w:fill="auto"/>
            <w:noWrap/>
            <w:vAlign w:val="bottom"/>
            <w:hideMark/>
          </w:tcPr>
          <w:p w14:paraId="7B9BF4B7" w14:textId="77777777" w:rsidR="00B71B4E" w:rsidRPr="00BD16B4" w:rsidRDefault="00B71B4E" w:rsidP="00F31129">
            <w:pPr>
              <w:pStyle w:val="TableText"/>
              <w:spacing w:before="50" w:after="40"/>
              <w:jc w:val="right"/>
              <w:rPr>
                <w:rFonts w:ascii="Arial" w:hAnsi="Arial" w:cs="Arial"/>
                <w:szCs w:val="20"/>
              </w:rPr>
            </w:pPr>
            <w:r w:rsidRPr="00BD16B4">
              <w:rPr>
                <w:rFonts w:ascii="Arial" w:hAnsi="Arial" w:cs="Arial"/>
                <w:szCs w:val="20"/>
              </w:rPr>
              <w:t> </w:t>
            </w:r>
          </w:p>
        </w:tc>
        <w:tc>
          <w:tcPr>
            <w:tcW w:w="668" w:type="dxa"/>
            <w:shd w:val="clear" w:color="000000" w:fill="D2DDE1" w:themeFill="background2"/>
            <w:hideMark/>
          </w:tcPr>
          <w:p w14:paraId="29081867" w14:textId="77777777" w:rsidR="00B71B4E" w:rsidRPr="00BD16B4" w:rsidRDefault="00B71B4E" w:rsidP="00F31129">
            <w:pPr>
              <w:pStyle w:val="TableText"/>
              <w:spacing w:before="50" w:after="40"/>
              <w:jc w:val="right"/>
            </w:pPr>
            <w:r w:rsidRPr="00BD16B4">
              <w:t>2.50</w:t>
            </w:r>
          </w:p>
        </w:tc>
        <w:tc>
          <w:tcPr>
            <w:tcW w:w="714" w:type="dxa"/>
            <w:shd w:val="clear" w:color="auto" w:fill="auto"/>
            <w:hideMark/>
          </w:tcPr>
          <w:p w14:paraId="369CEE14" w14:textId="77777777" w:rsidR="00B71B4E" w:rsidRPr="00BD16B4" w:rsidRDefault="00B71B4E" w:rsidP="00F31129">
            <w:pPr>
              <w:pStyle w:val="TableText"/>
              <w:spacing w:before="50" w:after="40"/>
              <w:jc w:val="right"/>
            </w:pPr>
            <w:r w:rsidRPr="00BD16B4">
              <w:t>0.26</w:t>
            </w:r>
          </w:p>
        </w:tc>
        <w:tc>
          <w:tcPr>
            <w:tcW w:w="913" w:type="dxa"/>
            <w:shd w:val="clear" w:color="auto" w:fill="auto"/>
            <w:hideMark/>
          </w:tcPr>
          <w:p w14:paraId="3D6633C2" w14:textId="77777777" w:rsidR="00B71B4E" w:rsidRPr="00BD16B4" w:rsidRDefault="00B71B4E" w:rsidP="00F31129">
            <w:pPr>
              <w:pStyle w:val="TableText"/>
              <w:spacing w:before="50" w:after="40"/>
              <w:jc w:val="right"/>
            </w:pPr>
            <w:r w:rsidRPr="00BD16B4">
              <w:t> </w:t>
            </w:r>
          </w:p>
        </w:tc>
        <w:tc>
          <w:tcPr>
            <w:tcW w:w="1261" w:type="dxa"/>
            <w:shd w:val="clear" w:color="auto" w:fill="auto"/>
            <w:hideMark/>
          </w:tcPr>
          <w:p w14:paraId="14DC5FB0" w14:textId="77777777" w:rsidR="00B71B4E" w:rsidRPr="00BD16B4" w:rsidRDefault="00B71B4E" w:rsidP="00F31129">
            <w:pPr>
              <w:pStyle w:val="TableText"/>
              <w:spacing w:before="50" w:after="40"/>
              <w:jc w:val="right"/>
            </w:pPr>
            <w:r w:rsidRPr="00BD16B4">
              <w:t> </w:t>
            </w:r>
          </w:p>
        </w:tc>
        <w:tc>
          <w:tcPr>
            <w:tcW w:w="961" w:type="dxa"/>
            <w:shd w:val="clear" w:color="auto" w:fill="auto"/>
            <w:hideMark/>
          </w:tcPr>
          <w:p w14:paraId="654F9DFB" w14:textId="77777777" w:rsidR="00B71B4E" w:rsidRPr="00BD16B4" w:rsidRDefault="00B71B4E" w:rsidP="00F31129">
            <w:pPr>
              <w:pStyle w:val="TableText"/>
              <w:spacing w:before="50" w:after="40"/>
              <w:jc w:val="right"/>
            </w:pPr>
            <w:r w:rsidRPr="00BD16B4">
              <w:t>1.36</w:t>
            </w:r>
          </w:p>
        </w:tc>
        <w:tc>
          <w:tcPr>
            <w:tcW w:w="961" w:type="dxa"/>
            <w:shd w:val="clear" w:color="auto" w:fill="auto"/>
            <w:hideMark/>
          </w:tcPr>
          <w:p w14:paraId="3A6C851E" w14:textId="77777777" w:rsidR="00B71B4E" w:rsidRPr="00BD16B4" w:rsidRDefault="00B71B4E" w:rsidP="00F31129">
            <w:pPr>
              <w:pStyle w:val="TableText"/>
              <w:spacing w:before="50" w:after="40"/>
              <w:jc w:val="right"/>
            </w:pPr>
            <w:r w:rsidRPr="00BD16B4">
              <w:t> </w:t>
            </w:r>
          </w:p>
        </w:tc>
        <w:tc>
          <w:tcPr>
            <w:tcW w:w="961" w:type="dxa"/>
            <w:shd w:val="clear" w:color="000000" w:fill="D2DDE1" w:themeFill="background2"/>
            <w:hideMark/>
          </w:tcPr>
          <w:p w14:paraId="703BAF0E" w14:textId="77777777" w:rsidR="00B71B4E" w:rsidRPr="00BD16B4" w:rsidRDefault="00B71B4E" w:rsidP="00F31129">
            <w:pPr>
              <w:pStyle w:val="TableText"/>
              <w:spacing w:before="50" w:after="40"/>
              <w:jc w:val="right"/>
              <w:rPr>
                <w:b/>
                <w:bCs/>
              </w:rPr>
            </w:pPr>
            <w:r w:rsidRPr="00BD16B4">
              <w:rPr>
                <w:b/>
                <w:bCs/>
              </w:rPr>
              <w:t>1.62</w:t>
            </w:r>
          </w:p>
        </w:tc>
      </w:tr>
      <w:tr w:rsidR="00B71B4E" w:rsidRPr="00BD16B4" w14:paraId="38FC8EA1" w14:textId="77777777" w:rsidTr="00F31129">
        <w:tc>
          <w:tcPr>
            <w:tcW w:w="2736" w:type="dxa"/>
            <w:shd w:val="clear" w:color="auto" w:fill="auto"/>
            <w:hideMark/>
          </w:tcPr>
          <w:p w14:paraId="6B87B994" w14:textId="77777777" w:rsidR="00B71B4E" w:rsidRPr="00BD16B4" w:rsidRDefault="00B71B4E" w:rsidP="00F31129">
            <w:pPr>
              <w:pStyle w:val="TableText"/>
              <w:spacing w:before="50" w:after="40"/>
            </w:pPr>
            <w:r w:rsidRPr="00BD16B4">
              <w:t>Multilateral financial institutions, including regional development banks</w:t>
            </w:r>
          </w:p>
        </w:tc>
        <w:tc>
          <w:tcPr>
            <w:tcW w:w="714" w:type="dxa"/>
            <w:shd w:val="clear" w:color="auto" w:fill="auto"/>
            <w:hideMark/>
          </w:tcPr>
          <w:p w14:paraId="50E7528F" w14:textId="77777777" w:rsidR="00B71B4E" w:rsidRPr="00BD16B4" w:rsidRDefault="00B71B4E" w:rsidP="00F31129">
            <w:pPr>
              <w:pStyle w:val="TableText"/>
              <w:spacing w:before="50" w:after="40"/>
              <w:jc w:val="right"/>
            </w:pPr>
            <w:r w:rsidRPr="00BD16B4">
              <w:t>23.01</w:t>
            </w:r>
          </w:p>
        </w:tc>
        <w:tc>
          <w:tcPr>
            <w:tcW w:w="913" w:type="dxa"/>
            <w:shd w:val="clear" w:color="auto" w:fill="auto"/>
            <w:noWrap/>
            <w:vAlign w:val="bottom"/>
            <w:hideMark/>
          </w:tcPr>
          <w:p w14:paraId="55571216" w14:textId="77777777" w:rsidR="00B71B4E" w:rsidRPr="00BD16B4" w:rsidRDefault="00B71B4E" w:rsidP="00F31129">
            <w:pPr>
              <w:pStyle w:val="TableText"/>
              <w:spacing w:before="50" w:after="40"/>
              <w:jc w:val="right"/>
              <w:rPr>
                <w:rFonts w:ascii="Arial" w:hAnsi="Arial" w:cs="Arial"/>
                <w:szCs w:val="20"/>
              </w:rPr>
            </w:pPr>
            <w:r w:rsidRPr="00BD16B4">
              <w:rPr>
                <w:rFonts w:ascii="Arial" w:hAnsi="Arial" w:cs="Arial"/>
                <w:szCs w:val="20"/>
              </w:rPr>
              <w:t> </w:t>
            </w:r>
          </w:p>
        </w:tc>
        <w:tc>
          <w:tcPr>
            <w:tcW w:w="966" w:type="dxa"/>
            <w:shd w:val="clear" w:color="auto" w:fill="auto"/>
            <w:noWrap/>
            <w:vAlign w:val="bottom"/>
            <w:hideMark/>
          </w:tcPr>
          <w:p w14:paraId="085DC38B" w14:textId="77777777" w:rsidR="00B71B4E" w:rsidRPr="00BD16B4" w:rsidRDefault="00B71B4E" w:rsidP="00F31129">
            <w:pPr>
              <w:pStyle w:val="TableText"/>
              <w:spacing w:before="50" w:after="40"/>
              <w:jc w:val="right"/>
              <w:rPr>
                <w:rFonts w:ascii="Arial" w:hAnsi="Arial" w:cs="Arial"/>
                <w:szCs w:val="20"/>
              </w:rPr>
            </w:pPr>
            <w:r w:rsidRPr="00BD16B4">
              <w:rPr>
                <w:rFonts w:ascii="Arial" w:hAnsi="Arial" w:cs="Arial"/>
                <w:szCs w:val="20"/>
              </w:rPr>
              <w:t> </w:t>
            </w:r>
          </w:p>
        </w:tc>
        <w:tc>
          <w:tcPr>
            <w:tcW w:w="681" w:type="dxa"/>
            <w:shd w:val="clear" w:color="auto" w:fill="auto"/>
            <w:hideMark/>
          </w:tcPr>
          <w:p w14:paraId="10234E0B" w14:textId="77777777" w:rsidR="00B71B4E" w:rsidRPr="00BD16B4" w:rsidRDefault="00B71B4E" w:rsidP="00F31129">
            <w:pPr>
              <w:pStyle w:val="TableText"/>
              <w:spacing w:before="50" w:after="40"/>
              <w:jc w:val="right"/>
            </w:pPr>
            <w:r w:rsidRPr="00BD16B4">
              <w:t xml:space="preserve"> 14.37</w:t>
            </w:r>
          </w:p>
        </w:tc>
        <w:tc>
          <w:tcPr>
            <w:tcW w:w="797" w:type="dxa"/>
            <w:shd w:val="clear" w:color="auto" w:fill="auto"/>
            <w:noWrap/>
            <w:hideMark/>
          </w:tcPr>
          <w:p w14:paraId="3575A55C" w14:textId="77777777" w:rsidR="00B71B4E" w:rsidRPr="00BD16B4" w:rsidRDefault="00B71B4E" w:rsidP="00F31129">
            <w:pPr>
              <w:pStyle w:val="TableText"/>
              <w:spacing w:before="50" w:after="40"/>
              <w:jc w:val="right"/>
              <w:rPr>
                <w:rFonts w:ascii="Arial" w:hAnsi="Arial" w:cs="Arial"/>
                <w:szCs w:val="20"/>
              </w:rPr>
            </w:pPr>
          </w:p>
        </w:tc>
        <w:tc>
          <w:tcPr>
            <w:tcW w:w="668" w:type="dxa"/>
            <w:shd w:val="clear" w:color="000000" w:fill="D2DDE1" w:themeFill="background2"/>
            <w:hideMark/>
          </w:tcPr>
          <w:p w14:paraId="7D557816" w14:textId="77777777" w:rsidR="00B71B4E" w:rsidRPr="00BD16B4" w:rsidRDefault="00B71B4E" w:rsidP="00F31129">
            <w:pPr>
              <w:pStyle w:val="TableText"/>
              <w:spacing w:before="50" w:after="40"/>
              <w:jc w:val="right"/>
            </w:pPr>
            <w:r w:rsidRPr="00BD16B4">
              <w:t>37.38</w:t>
            </w:r>
          </w:p>
        </w:tc>
        <w:tc>
          <w:tcPr>
            <w:tcW w:w="714" w:type="dxa"/>
            <w:shd w:val="clear" w:color="auto" w:fill="auto"/>
            <w:hideMark/>
          </w:tcPr>
          <w:p w14:paraId="52ECD0A3" w14:textId="77777777" w:rsidR="00B71B4E" w:rsidRPr="00BD16B4" w:rsidRDefault="00B71B4E" w:rsidP="00F31129">
            <w:pPr>
              <w:pStyle w:val="TableText"/>
              <w:spacing w:before="50" w:after="40"/>
              <w:jc w:val="right"/>
            </w:pPr>
            <w:r w:rsidRPr="00BD16B4">
              <w:t>14.93</w:t>
            </w:r>
          </w:p>
        </w:tc>
        <w:tc>
          <w:tcPr>
            <w:tcW w:w="913" w:type="dxa"/>
            <w:shd w:val="clear" w:color="auto" w:fill="auto"/>
            <w:hideMark/>
          </w:tcPr>
          <w:p w14:paraId="620CE5BD" w14:textId="77777777" w:rsidR="00B71B4E" w:rsidRPr="00BD16B4" w:rsidRDefault="00B71B4E" w:rsidP="00F31129">
            <w:pPr>
              <w:pStyle w:val="TableText"/>
              <w:spacing w:before="50" w:after="40"/>
              <w:jc w:val="right"/>
            </w:pPr>
            <w:r w:rsidRPr="00BD16B4">
              <w:t> </w:t>
            </w:r>
          </w:p>
        </w:tc>
        <w:tc>
          <w:tcPr>
            <w:tcW w:w="1261" w:type="dxa"/>
            <w:shd w:val="clear" w:color="auto" w:fill="auto"/>
            <w:hideMark/>
          </w:tcPr>
          <w:p w14:paraId="23D66C69" w14:textId="77777777" w:rsidR="00B71B4E" w:rsidRPr="00BD16B4" w:rsidRDefault="00B71B4E" w:rsidP="00F31129">
            <w:pPr>
              <w:pStyle w:val="TableText"/>
              <w:spacing w:before="50" w:after="40"/>
              <w:jc w:val="right"/>
            </w:pPr>
            <w:r w:rsidRPr="00BD16B4">
              <w:t> </w:t>
            </w:r>
          </w:p>
        </w:tc>
        <w:tc>
          <w:tcPr>
            <w:tcW w:w="961" w:type="dxa"/>
            <w:shd w:val="clear" w:color="auto" w:fill="auto"/>
            <w:hideMark/>
          </w:tcPr>
          <w:p w14:paraId="7409CF6F" w14:textId="77777777" w:rsidR="00B71B4E" w:rsidRPr="00BD16B4" w:rsidRDefault="00B71B4E" w:rsidP="00F31129">
            <w:pPr>
              <w:pStyle w:val="TableText"/>
              <w:spacing w:before="50" w:after="40"/>
              <w:jc w:val="right"/>
            </w:pPr>
            <w:r w:rsidRPr="00BD16B4">
              <w:t>9.32</w:t>
            </w:r>
          </w:p>
        </w:tc>
        <w:tc>
          <w:tcPr>
            <w:tcW w:w="961" w:type="dxa"/>
            <w:shd w:val="clear" w:color="auto" w:fill="auto"/>
            <w:hideMark/>
          </w:tcPr>
          <w:p w14:paraId="3767C69E" w14:textId="77777777" w:rsidR="00B71B4E" w:rsidRPr="00BD16B4" w:rsidRDefault="00B71B4E" w:rsidP="00F31129">
            <w:pPr>
              <w:pStyle w:val="TableText"/>
              <w:spacing w:before="50" w:after="40"/>
              <w:jc w:val="right"/>
            </w:pPr>
          </w:p>
        </w:tc>
        <w:tc>
          <w:tcPr>
            <w:tcW w:w="961" w:type="dxa"/>
            <w:shd w:val="clear" w:color="000000" w:fill="D2DDE1" w:themeFill="background2"/>
            <w:hideMark/>
          </w:tcPr>
          <w:p w14:paraId="233B6774" w14:textId="77777777" w:rsidR="00B71B4E" w:rsidRPr="00BD16B4" w:rsidRDefault="00B71B4E" w:rsidP="00F31129">
            <w:pPr>
              <w:pStyle w:val="TableText"/>
              <w:spacing w:before="50" w:after="40"/>
              <w:jc w:val="right"/>
              <w:rPr>
                <w:b/>
                <w:bCs/>
              </w:rPr>
            </w:pPr>
            <w:r w:rsidRPr="00BD16B4">
              <w:rPr>
                <w:b/>
                <w:bCs/>
              </w:rPr>
              <w:t>24.25</w:t>
            </w:r>
          </w:p>
        </w:tc>
      </w:tr>
      <w:tr w:rsidR="00B71B4E" w:rsidRPr="00BD16B4" w14:paraId="1511E145" w14:textId="77777777" w:rsidTr="00F31129">
        <w:tc>
          <w:tcPr>
            <w:tcW w:w="2736" w:type="dxa"/>
            <w:shd w:val="clear" w:color="auto" w:fill="auto"/>
            <w:hideMark/>
          </w:tcPr>
          <w:p w14:paraId="4BF886E3" w14:textId="77777777" w:rsidR="00B71B4E" w:rsidRPr="00BD16B4" w:rsidRDefault="00B71B4E" w:rsidP="00F31129">
            <w:pPr>
              <w:pStyle w:val="TableText"/>
              <w:spacing w:before="50" w:after="40"/>
            </w:pPr>
            <w:r w:rsidRPr="00BD16B4">
              <w:t>Specialised United Nations bodies</w:t>
            </w:r>
          </w:p>
        </w:tc>
        <w:tc>
          <w:tcPr>
            <w:tcW w:w="714" w:type="dxa"/>
            <w:shd w:val="clear" w:color="auto" w:fill="auto"/>
            <w:hideMark/>
          </w:tcPr>
          <w:p w14:paraId="185B887C" w14:textId="77777777" w:rsidR="00B71B4E" w:rsidRPr="00BD16B4" w:rsidRDefault="00B71B4E" w:rsidP="00F31129">
            <w:pPr>
              <w:pStyle w:val="TableText"/>
              <w:spacing w:before="50" w:after="40"/>
              <w:jc w:val="right"/>
            </w:pPr>
            <w:r w:rsidRPr="00BD16B4">
              <w:t>14.60</w:t>
            </w:r>
          </w:p>
        </w:tc>
        <w:tc>
          <w:tcPr>
            <w:tcW w:w="913" w:type="dxa"/>
            <w:shd w:val="clear" w:color="auto" w:fill="auto"/>
            <w:hideMark/>
          </w:tcPr>
          <w:p w14:paraId="0A8FC49B" w14:textId="77777777" w:rsidR="00B71B4E" w:rsidRPr="00BD16B4" w:rsidRDefault="00B71B4E" w:rsidP="00F31129">
            <w:pPr>
              <w:pStyle w:val="TableText"/>
              <w:spacing w:before="50" w:after="40"/>
              <w:jc w:val="right"/>
            </w:pPr>
            <w:r w:rsidRPr="00BD16B4">
              <w:t> 0.98</w:t>
            </w:r>
          </w:p>
        </w:tc>
        <w:tc>
          <w:tcPr>
            <w:tcW w:w="966" w:type="dxa"/>
            <w:shd w:val="clear" w:color="auto" w:fill="auto"/>
            <w:hideMark/>
          </w:tcPr>
          <w:p w14:paraId="487633B1" w14:textId="77777777" w:rsidR="00B71B4E" w:rsidRPr="00BD16B4" w:rsidRDefault="00B71B4E" w:rsidP="00F31129">
            <w:pPr>
              <w:pStyle w:val="TableText"/>
              <w:spacing w:before="50" w:after="40"/>
              <w:jc w:val="right"/>
            </w:pPr>
            <w:r w:rsidRPr="00BD16B4">
              <w:t>1.65</w:t>
            </w:r>
          </w:p>
        </w:tc>
        <w:tc>
          <w:tcPr>
            <w:tcW w:w="681" w:type="dxa"/>
            <w:shd w:val="clear" w:color="auto" w:fill="auto"/>
            <w:hideMark/>
          </w:tcPr>
          <w:p w14:paraId="79A9EEC7" w14:textId="77777777" w:rsidR="00B71B4E" w:rsidRPr="00BD16B4" w:rsidRDefault="00B71B4E" w:rsidP="00F31129">
            <w:pPr>
              <w:pStyle w:val="TableText"/>
              <w:spacing w:before="50" w:after="40"/>
              <w:jc w:val="right"/>
            </w:pPr>
            <w:r w:rsidRPr="00BD16B4">
              <w:t>4.76</w:t>
            </w:r>
          </w:p>
        </w:tc>
        <w:tc>
          <w:tcPr>
            <w:tcW w:w="797" w:type="dxa"/>
            <w:shd w:val="clear" w:color="auto" w:fill="auto"/>
            <w:hideMark/>
          </w:tcPr>
          <w:p w14:paraId="073A5490" w14:textId="77777777" w:rsidR="00B71B4E" w:rsidRPr="00BD16B4" w:rsidRDefault="00B71B4E" w:rsidP="00F31129">
            <w:pPr>
              <w:pStyle w:val="TableText"/>
              <w:spacing w:before="50" w:after="40"/>
              <w:jc w:val="right"/>
            </w:pPr>
            <w:r w:rsidRPr="00BD16B4">
              <w:t> </w:t>
            </w:r>
          </w:p>
        </w:tc>
        <w:tc>
          <w:tcPr>
            <w:tcW w:w="668" w:type="dxa"/>
            <w:shd w:val="clear" w:color="000000" w:fill="D2DDE1" w:themeFill="background2"/>
            <w:hideMark/>
          </w:tcPr>
          <w:p w14:paraId="63CACCFC" w14:textId="77777777" w:rsidR="00B71B4E" w:rsidRPr="00BD16B4" w:rsidRDefault="00B71B4E" w:rsidP="00F31129">
            <w:pPr>
              <w:pStyle w:val="TableText"/>
              <w:spacing w:before="50" w:after="40"/>
              <w:jc w:val="right"/>
            </w:pPr>
            <w:r w:rsidRPr="00BD16B4">
              <w:t>21.99</w:t>
            </w:r>
          </w:p>
        </w:tc>
        <w:tc>
          <w:tcPr>
            <w:tcW w:w="714" w:type="dxa"/>
            <w:shd w:val="clear" w:color="auto" w:fill="auto"/>
            <w:hideMark/>
          </w:tcPr>
          <w:p w14:paraId="7626D3FC" w14:textId="77777777" w:rsidR="00B71B4E" w:rsidRPr="00BD16B4" w:rsidRDefault="00B71B4E" w:rsidP="00F31129">
            <w:pPr>
              <w:pStyle w:val="TableText"/>
              <w:spacing w:before="50" w:after="40"/>
              <w:jc w:val="right"/>
            </w:pPr>
            <w:r w:rsidRPr="00BD16B4">
              <w:t>9.47</w:t>
            </w:r>
          </w:p>
        </w:tc>
        <w:tc>
          <w:tcPr>
            <w:tcW w:w="913" w:type="dxa"/>
            <w:shd w:val="clear" w:color="auto" w:fill="auto"/>
            <w:hideMark/>
          </w:tcPr>
          <w:p w14:paraId="4A9F4EBA" w14:textId="77777777" w:rsidR="00B71B4E" w:rsidRPr="00BD16B4" w:rsidRDefault="00B71B4E" w:rsidP="00F31129">
            <w:pPr>
              <w:pStyle w:val="TableText"/>
              <w:spacing w:before="50" w:after="40"/>
              <w:jc w:val="right"/>
            </w:pPr>
            <w:r w:rsidRPr="00BD16B4">
              <w:t> 0.64</w:t>
            </w:r>
          </w:p>
        </w:tc>
        <w:tc>
          <w:tcPr>
            <w:tcW w:w="1261" w:type="dxa"/>
            <w:shd w:val="clear" w:color="auto" w:fill="auto"/>
            <w:hideMark/>
          </w:tcPr>
          <w:p w14:paraId="5C9C09DD" w14:textId="77777777" w:rsidR="00B71B4E" w:rsidRPr="00BD16B4" w:rsidRDefault="00B71B4E" w:rsidP="00F31129">
            <w:pPr>
              <w:pStyle w:val="TableText"/>
              <w:spacing w:before="50" w:after="40"/>
              <w:jc w:val="right"/>
            </w:pPr>
            <w:r w:rsidRPr="00BD16B4">
              <w:t>1.07</w:t>
            </w:r>
          </w:p>
        </w:tc>
        <w:tc>
          <w:tcPr>
            <w:tcW w:w="961" w:type="dxa"/>
            <w:shd w:val="clear" w:color="auto" w:fill="auto"/>
            <w:hideMark/>
          </w:tcPr>
          <w:p w14:paraId="69334A62" w14:textId="77777777" w:rsidR="00B71B4E" w:rsidRPr="00BD16B4" w:rsidRDefault="00B71B4E" w:rsidP="00F31129">
            <w:pPr>
              <w:pStyle w:val="TableText"/>
              <w:spacing w:before="50" w:after="40"/>
              <w:jc w:val="right"/>
            </w:pPr>
            <w:r w:rsidRPr="00BD16B4">
              <w:t>3.09</w:t>
            </w:r>
          </w:p>
        </w:tc>
        <w:tc>
          <w:tcPr>
            <w:tcW w:w="961" w:type="dxa"/>
            <w:shd w:val="clear" w:color="auto" w:fill="auto"/>
            <w:hideMark/>
          </w:tcPr>
          <w:p w14:paraId="6FB98F67" w14:textId="77777777" w:rsidR="00B71B4E" w:rsidRPr="00BD16B4" w:rsidRDefault="00B71B4E" w:rsidP="00F31129">
            <w:pPr>
              <w:pStyle w:val="TableText"/>
              <w:spacing w:before="50" w:after="40"/>
              <w:jc w:val="right"/>
            </w:pPr>
            <w:r w:rsidRPr="00BD16B4">
              <w:t> </w:t>
            </w:r>
          </w:p>
        </w:tc>
        <w:tc>
          <w:tcPr>
            <w:tcW w:w="961" w:type="dxa"/>
            <w:shd w:val="clear" w:color="000000" w:fill="D2DDE1" w:themeFill="background2"/>
            <w:hideMark/>
          </w:tcPr>
          <w:p w14:paraId="3CBF61A6" w14:textId="77777777" w:rsidR="00B71B4E" w:rsidRPr="00BD16B4" w:rsidRDefault="00B71B4E" w:rsidP="00F31129">
            <w:pPr>
              <w:pStyle w:val="TableText"/>
              <w:spacing w:before="50" w:after="40"/>
              <w:jc w:val="right"/>
              <w:rPr>
                <w:b/>
                <w:bCs/>
              </w:rPr>
            </w:pPr>
            <w:r w:rsidRPr="00BD16B4">
              <w:rPr>
                <w:b/>
                <w:bCs/>
              </w:rPr>
              <w:t>14.27</w:t>
            </w:r>
          </w:p>
        </w:tc>
      </w:tr>
      <w:tr w:rsidR="00B71B4E" w:rsidRPr="00BD16B4" w14:paraId="75BFD6C4" w14:textId="77777777" w:rsidTr="00F31129">
        <w:tc>
          <w:tcPr>
            <w:tcW w:w="2736" w:type="dxa"/>
            <w:shd w:val="clear" w:color="auto" w:fill="auto"/>
            <w:hideMark/>
          </w:tcPr>
          <w:p w14:paraId="69FBBDE0" w14:textId="77777777" w:rsidR="00B71B4E" w:rsidRPr="00BD16B4" w:rsidRDefault="00B71B4E" w:rsidP="00F31129">
            <w:pPr>
              <w:pStyle w:val="TableTextBold0"/>
              <w:spacing w:before="50" w:after="40"/>
            </w:pPr>
            <w:r w:rsidRPr="00BD16B4">
              <w:t xml:space="preserve">Total contributions through bilateral, regional and other channels </w:t>
            </w:r>
          </w:p>
        </w:tc>
        <w:tc>
          <w:tcPr>
            <w:tcW w:w="714" w:type="dxa"/>
            <w:shd w:val="clear" w:color="auto" w:fill="auto"/>
            <w:hideMark/>
          </w:tcPr>
          <w:p w14:paraId="79B021D9" w14:textId="77777777" w:rsidR="00B71B4E" w:rsidRPr="00BD16B4" w:rsidRDefault="00B71B4E" w:rsidP="00F31129">
            <w:pPr>
              <w:pStyle w:val="TableTextBold0"/>
              <w:spacing w:before="50" w:after="40"/>
              <w:jc w:val="right"/>
            </w:pPr>
            <w:r w:rsidRPr="00BD16B4">
              <w:t> </w:t>
            </w:r>
          </w:p>
        </w:tc>
        <w:tc>
          <w:tcPr>
            <w:tcW w:w="913" w:type="dxa"/>
            <w:shd w:val="clear" w:color="auto" w:fill="auto"/>
            <w:hideMark/>
          </w:tcPr>
          <w:p w14:paraId="750F7C1D" w14:textId="77777777" w:rsidR="00B71B4E" w:rsidRPr="00BD16B4" w:rsidRDefault="00B71B4E" w:rsidP="00F31129">
            <w:pPr>
              <w:pStyle w:val="TableTextBold0"/>
              <w:spacing w:before="50" w:after="40"/>
              <w:jc w:val="right"/>
            </w:pPr>
            <w:r w:rsidRPr="00BD16B4">
              <w:t>9.09</w:t>
            </w:r>
          </w:p>
        </w:tc>
        <w:tc>
          <w:tcPr>
            <w:tcW w:w="966" w:type="dxa"/>
            <w:shd w:val="clear" w:color="auto" w:fill="auto"/>
            <w:hideMark/>
          </w:tcPr>
          <w:p w14:paraId="6E194F28" w14:textId="77777777" w:rsidR="00B71B4E" w:rsidRPr="00BD16B4" w:rsidRDefault="00B71B4E" w:rsidP="00F31129">
            <w:pPr>
              <w:pStyle w:val="TableTextBold0"/>
              <w:spacing w:before="50" w:after="40"/>
              <w:jc w:val="right"/>
            </w:pPr>
            <w:r w:rsidRPr="00BD16B4">
              <w:t>41.36</w:t>
            </w:r>
          </w:p>
        </w:tc>
        <w:tc>
          <w:tcPr>
            <w:tcW w:w="681" w:type="dxa"/>
            <w:shd w:val="clear" w:color="auto" w:fill="auto"/>
            <w:hideMark/>
          </w:tcPr>
          <w:p w14:paraId="5BFE9DA7" w14:textId="77777777" w:rsidR="00B71B4E" w:rsidRPr="00BD16B4" w:rsidRDefault="00B71B4E" w:rsidP="00F31129">
            <w:pPr>
              <w:pStyle w:val="TableTextBold0"/>
              <w:spacing w:before="50" w:after="40"/>
              <w:jc w:val="right"/>
            </w:pPr>
            <w:r w:rsidRPr="00BD16B4">
              <w:t>26.96</w:t>
            </w:r>
          </w:p>
        </w:tc>
        <w:tc>
          <w:tcPr>
            <w:tcW w:w="797" w:type="dxa"/>
            <w:shd w:val="clear" w:color="auto" w:fill="auto"/>
            <w:hideMark/>
          </w:tcPr>
          <w:p w14:paraId="51F2EDB4" w14:textId="77777777" w:rsidR="00B71B4E" w:rsidRPr="00BD16B4" w:rsidRDefault="00B71B4E" w:rsidP="00F31129">
            <w:pPr>
              <w:pStyle w:val="TableTextBold0"/>
              <w:spacing w:before="50" w:after="40"/>
              <w:jc w:val="right"/>
            </w:pPr>
            <w:r w:rsidRPr="00BD16B4">
              <w:t> </w:t>
            </w:r>
          </w:p>
        </w:tc>
        <w:tc>
          <w:tcPr>
            <w:tcW w:w="668" w:type="dxa"/>
            <w:shd w:val="clear" w:color="000000" w:fill="D2DDE1" w:themeFill="background2"/>
            <w:hideMark/>
          </w:tcPr>
          <w:p w14:paraId="6F95EAA7" w14:textId="77777777" w:rsidR="00B71B4E" w:rsidRPr="00BD16B4" w:rsidRDefault="00B71B4E" w:rsidP="00F31129">
            <w:pPr>
              <w:pStyle w:val="TableTextBold0"/>
              <w:spacing w:before="50" w:after="40"/>
              <w:jc w:val="right"/>
            </w:pPr>
            <w:r w:rsidRPr="00BD16B4">
              <w:t>77.41</w:t>
            </w:r>
          </w:p>
        </w:tc>
        <w:tc>
          <w:tcPr>
            <w:tcW w:w="714" w:type="dxa"/>
            <w:shd w:val="clear" w:color="auto" w:fill="auto"/>
            <w:hideMark/>
          </w:tcPr>
          <w:p w14:paraId="655807D2" w14:textId="77777777" w:rsidR="00B71B4E" w:rsidRPr="00BD16B4" w:rsidRDefault="00B71B4E" w:rsidP="00F31129">
            <w:pPr>
              <w:pStyle w:val="TableTextBold0"/>
              <w:spacing w:before="50" w:after="40"/>
              <w:jc w:val="right"/>
            </w:pPr>
            <w:r w:rsidRPr="00BD16B4">
              <w:t> </w:t>
            </w:r>
          </w:p>
        </w:tc>
        <w:tc>
          <w:tcPr>
            <w:tcW w:w="913" w:type="dxa"/>
            <w:shd w:val="clear" w:color="auto" w:fill="auto"/>
            <w:hideMark/>
          </w:tcPr>
          <w:p w14:paraId="7D30E691" w14:textId="77777777" w:rsidR="00B71B4E" w:rsidRPr="00BD16B4" w:rsidRDefault="00B71B4E" w:rsidP="00F31129">
            <w:pPr>
              <w:pStyle w:val="TableTextBold0"/>
              <w:spacing w:before="50" w:after="40"/>
              <w:jc w:val="right"/>
            </w:pPr>
            <w:r w:rsidRPr="00BD16B4">
              <w:t>5.90</w:t>
            </w:r>
          </w:p>
        </w:tc>
        <w:tc>
          <w:tcPr>
            <w:tcW w:w="1261" w:type="dxa"/>
            <w:shd w:val="clear" w:color="auto" w:fill="auto"/>
            <w:hideMark/>
          </w:tcPr>
          <w:p w14:paraId="580A3C5D" w14:textId="77777777" w:rsidR="00B71B4E" w:rsidRPr="00BD16B4" w:rsidRDefault="00B71B4E" w:rsidP="00F31129">
            <w:pPr>
              <w:pStyle w:val="TableTextBold0"/>
              <w:spacing w:before="50" w:after="40"/>
              <w:jc w:val="right"/>
            </w:pPr>
            <w:r w:rsidRPr="00BD16B4">
              <w:t>26.87</w:t>
            </w:r>
          </w:p>
        </w:tc>
        <w:tc>
          <w:tcPr>
            <w:tcW w:w="961" w:type="dxa"/>
            <w:shd w:val="clear" w:color="auto" w:fill="auto"/>
            <w:hideMark/>
          </w:tcPr>
          <w:p w14:paraId="1BBAA703" w14:textId="77777777" w:rsidR="00B71B4E" w:rsidRPr="00BD16B4" w:rsidRDefault="00B71B4E" w:rsidP="00F31129">
            <w:pPr>
              <w:pStyle w:val="TableTextBold0"/>
              <w:spacing w:before="50" w:after="40"/>
              <w:jc w:val="right"/>
            </w:pPr>
            <w:r w:rsidRPr="00BD16B4">
              <w:t>17.48</w:t>
            </w:r>
          </w:p>
        </w:tc>
        <w:tc>
          <w:tcPr>
            <w:tcW w:w="961" w:type="dxa"/>
            <w:shd w:val="clear" w:color="auto" w:fill="auto"/>
            <w:hideMark/>
          </w:tcPr>
          <w:p w14:paraId="62A5CECB" w14:textId="77777777" w:rsidR="00B71B4E" w:rsidRPr="00BD16B4" w:rsidRDefault="00B71B4E" w:rsidP="00F31129">
            <w:pPr>
              <w:pStyle w:val="TableTextBold0"/>
              <w:spacing w:before="50" w:after="40"/>
              <w:jc w:val="right"/>
            </w:pPr>
            <w:r w:rsidRPr="00BD16B4">
              <w:t> </w:t>
            </w:r>
          </w:p>
        </w:tc>
        <w:tc>
          <w:tcPr>
            <w:tcW w:w="961" w:type="dxa"/>
            <w:shd w:val="clear" w:color="000000" w:fill="D2DDE1" w:themeFill="background2"/>
            <w:hideMark/>
          </w:tcPr>
          <w:p w14:paraId="0DFB1E23" w14:textId="77777777" w:rsidR="00B71B4E" w:rsidRPr="00BD16B4" w:rsidRDefault="00B71B4E" w:rsidP="00F31129">
            <w:pPr>
              <w:pStyle w:val="TableTextBold0"/>
              <w:spacing w:before="50" w:after="40"/>
              <w:jc w:val="right"/>
            </w:pPr>
            <w:r w:rsidRPr="00BD16B4">
              <w:t>50.25</w:t>
            </w:r>
          </w:p>
        </w:tc>
      </w:tr>
      <w:tr w:rsidR="00B71B4E" w:rsidRPr="00BD16B4" w14:paraId="0E3D5C13" w14:textId="77777777" w:rsidTr="00F31129">
        <w:tc>
          <w:tcPr>
            <w:tcW w:w="2736" w:type="dxa"/>
            <w:shd w:val="clear" w:color="auto" w:fill="D2DDE1" w:themeFill="background2"/>
            <w:hideMark/>
          </w:tcPr>
          <w:p w14:paraId="5B9F03EE" w14:textId="77777777" w:rsidR="00B71B4E" w:rsidRPr="00BD16B4" w:rsidRDefault="00B71B4E" w:rsidP="00F31129">
            <w:pPr>
              <w:pStyle w:val="TableTextBold0"/>
              <w:spacing w:before="50" w:after="40"/>
            </w:pPr>
            <w:r w:rsidRPr="00BD16B4">
              <w:t>TOTAL</w:t>
            </w:r>
          </w:p>
        </w:tc>
        <w:tc>
          <w:tcPr>
            <w:tcW w:w="714" w:type="dxa"/>
            <w:shd w:val="clear" w:color="auto" w:fill="D2DDE1" w:themeFill="background2"/>
            <w:hideMark/>
          </w:tcPr>
          <w:p w14:paraId="7E669C7F" w14:textId="77777777" w:rsidR="00B71B4E" w:rsidRPr="00BD16B4" w:rsidRDefault="00B71B4E" w:rsidP="00F31129">
            <w:pPr>
              <w:pStyle w:val="TableTextBold0"/>
              <w:spacing w:before="50" w:after="40"/>
              <w:jc w:val="right"/>
            </w:pPr>
            <w:r w:rsidRPr="00BD16B4">
              <w:t>38.01</w:t>
            </w:r>
          </w:p>
        </w:tc>
        <w:tc>
          <w:tcPr>
            <w:tcW w:w="913" w:type="dxa"/>
            <w:shd w:val="clear" w:color="auto" w:fill="D2DDE1" w:themeFill="background2"/>
            <w:hideMark/>
          </w:tcPr>
          <w:p w14:paraId="418EA893" w14:textId="77777777" w:rsidR="00B71B4E" w:rsidRPr="00BD16B4" w:rsidRDefault="00B71B4E" w:rsidP="00F31129">
            <w:pPr>
              <w:pStyle w:val="TableTextBold0"/>
              <w:spacing w:before="50" w:after="40"/>
              <w:jc w:val="right"/>
            </w:pPr>
            <w:r w:rsidRPr="00BD16B4">
              <w:t>10.07</w:t>
            </w:r>
          </w:p>
        </w:tc>
        <w:tc>
          <w:tcPr>
            <w:tcW w:w="966" w:type="dxa"/>
            <w:shd w:val="clear" w:color="auto" w:fill="D2DDE1" w:themeFill="background2"/>
            <w:hideMark/>
          </w:tcPr>
          <w:p w14:paraId="18E5F3BC" w14:textId="77777777" w:rsidR="00B71B4E" w:rsidRPr="00BD16B4" w:rsidRDefault="00B71B4E" w:rsidP="00F31129">
            <w:pPr>
              <w:pStyle w:val="TableTextBold0"/>
              <w:spacing w:before="50" w:after="40"/>
              <w:jc w:val="right"/>
            </w:pPr>
            <w:r w:rsidRPr="00BD16B4">
              <w:t>43.01</w:t>
            </w:r>
          </w:p>
        </w:tc>
        <w:tc>
          <w:tcPr>
            <w:tcW w:w="681" w:type="dxa"/>
            <w:shd w:val="clear" w:color="auto" w:fill="D2DDE1" w:themeFill="background2"/>
            <w:hideMark/>
          </w:tcPr>
          <w:p w14:paraId="48C42F17" w14:textId="77777777" w:rsidR="00B71B4E" w:rsidRPr="00BD16B4" w:rsidRDefault="00B71B4E" w:rsidP="00F31129">
            <w:pPr>
              <w:pStyle w:val="TableTextBold0"/>
              <w:spacing w:before="50" w:after="40"/>
              <w:jc w:val="right"/>
            </w:pPr>
            <w:r w:rsidRPr="00BD16B4">
              <w:t>48.19</w:t>
            </w:r>
          </w:p>
        </w:tc>
        <w:tc>
          <w:tcPr>
            <w:tcW w:w="797" w:type="dxa"/>
            <w:shd w:val="clear" w:color="auto" w:fill="D2DDE1" w:themeFill="background2"/>
            <w:hideMark/>
          </w:tcPr>
          <w:p w14:paraId="294F5D40" w14:textId="77777777" w:rsidR="00B71B4E" w:rsidRPr="00BD16B4" w:rsidRDefault="00B71B4E" w:rsidP="00F31129">
            <w:pPr>
              <w:pStyle w:val="TableTextBold0"/>
              <w:spacing w:before="50" w:after="40"/>
              <w:jc w:val="right"/>
            </w:pPr>
            <w:r w:rsidRPr="00BD16B4">
              <w:t> </w:t>
            </w:r>
          </w:p>
        </w:tc>
        <w:tc>
          <w:tcPr>
            <w:tcW w:w="668" w:type="dxa"/>
            <w:shd w:val="clear" w:color="auto" w:fill="D2DDE1" w:themeFill="background2"/>
            <w:hideMark/>
          </w:tcPr>
          <w:p w14:paraId="64B91632" w14:textId="77777777" w:rsidR="00B71B4E" w:rsidRPr="00BD16B4" w:rsidRDefault="00B71B4E" w:rsidP="00F31129">
            <w:pPr>
              <w:pStyle w:val="TableTextBold0"/>
              <w:spacing w:before="50" w:after="40"/>
              <w:jc w:val="right"/>
            </w:pPr>
            <w:r w:rsidRPr="00BD16B4">
              <w:t>139.28</w:t>
            </w:r>
          </w:p>
        </w:tc>
        <w:tc>
          <w:tcPr>
            <w:tcW w:w="714" w:type="dxa"/>
            <w:shd w:val="clear" w:color="auto" w:fill="D2DDE1" w:themeFill="background2"/>
            <w:hideMark/>
          </w:tcPr>
          <w:p w14:paraId="2B9573FA" w14:textId="77777777" w:rsidR="00B71B4E" w:rsidRPr="00BD16B4" w:rsidRDefault="00B71B4E" w:rsidP="00F31129">
            <w:pPr>
              <w:pStyle w:val="TableTextBold0"/>
              <w:spacing w:before="50" w:after="40"/>
              <w:jc w:val="right"/>
            </w:pPr>
            <w:r w:rsidRPr="00BD16B4">
              <w:t>24.66</w:t>
            </w:r>
          </w:p>
        </w:tc>
        <w:tc>
          <w:tcPr>
            <w:tcW w:w="913" w:type="dxa"/>
            <w:shd w:val="clear" w:color="auto" w:fill="D2DDE1" w:themeFill="background2"/>
            <w:hideMark/>
          </w:tcPr>
          <w:p w14:paraId="1F8F024F" w14:textId="77777777" w:rsidR="00B71B4E" w:rsidRPr="00BD16B4" w:rsidRDefault="00B71B4E" w:rsidP="00F31129">
            <w:pPr>
              <w:pStyle w:val="TableTextBold0"/>
              <w:spacing w:before="50" w:after="40"/>
              <w:jc w:val="right"/>
            </w:pPr>
            <w:r w:rsidRPr="00BD16B4">
              <w:t>6.54</w:t>
            </w:r>
          </w:p>
        </w:tc>
        <w:tc>
          <w:tcPr>
            <w:tcW w:w="1261" w:type="dxa"/>
            <w:shd w:val="clear" w:color="auto" w:fill="D2DDE1" w:themeFill="background2"/>
            <w:hideMark/>
          </w:tcPr>
          <w:p w14:paraId="4C5844EC" w14:textId="77777777" w:rsidR="00B71B4E" w:rsidRPr="00BD16B4" w:rsidRDefault="00B71B4E" w:rsidP="00F31129">
            <w:pPr>
              <w:pStyle w:val="TableTextBold0"/>
              <w:spacing w:before="50" w:after="40"/>
              <w:jc w:val="right"/>
            </w:pPr>
            <w:r w:rsidRPr="00BD16B4">
              <w:t>27.94</w:t>
            </w:r>
          </w:p>
        </w:tc>
        <w:tc>
          <w:tcPr>
            <w:tcW w:w="961" w:type="dxa"/>
            <w:shd w:val="clear" w:color="auto" w:fill="D2DDE1" w:themeFill="background2"/>
            <w:hideMark/>
          </w:tcPr>
          <w:p w14:paraId="715902B9" w14:textId="77777777" w:rsidR="00B71B4E" w:rsidRPr="00BD16B4" w:rsidRDefault="00B71B4E" w:rsidP="00F31129">
            <w:pPr>
              <w:pStyle w:val="TableTextBold0"/>
              <w:spacing w:before="50" w:after="40"/>
              <w:jc w:val="right"/>
            </w:pPr>
            <w:r w:rsidRPr="00BD16B4">
              <w:t>31.25</w:t>
            </w:r>
          </w:p>
        </w:tc>
        <w:tc>
          <w:tcPr>
            <w:tcW w:w="961" w:type="dxa"/>
            <w:shd w:val="clear" w:color="auto" w:fill="D2DDE1" w:themeFill="background2"/>
            <w:hideMark/>
          </w:tcPr>
          <w:p w14:paraId="7ECA701C" w14:textId="77777777" w:rsidR="00B71B4E" w:rsidRPr="00BD16B4" w:rsidRDefault="00B71B4E" w:rsidP="00F31129">
            <w:pPr>
              <w:pStyle w:val="TableTextBold0"/>
              <w:spacing w:before="50" w:after="40"/>
              <w:jc w:val="right"/>
            </w:pPr>
            <w:r w:rsidRPr="00BD16B4">
              <w:t> </w:t>
            </w:r>
          </w:p>
        </w:tc>
        <w:tc>
          <w:tcPr>
            <w:tcW w:w="961" w:type="dxa"/>
            <w:shd w:val="clear" w:color="auto" w:fill="D2DDE1" w:themeFill="background2"/>
            <w:hideMark/>
          </w:tcPr>
          <w:p w14:paraId="373BDA95" w14:textId="77777777" w:rsidR="00B71B4E" w:rsidRPr="00BD16B4" w:rsidRDefault="00B71B4E" w:rsidP="00F31129">
            <w:pPr>
              <w:pStyle w:val="TableTextBold0"/>
              <w:spacing w:before="50" w:after="40"/>
              <w:jc w:val="right"/>
            </w:pPr>
            <w:r w:rsidRPr="00BD16B4">
              <w:t>90.39</w:t>
            </w:r>
          </w:p>
        </w:tc>
      </w:tr>
    </w:tbl>
    <w:p w14:paraId="6302057D" w14:textId="77777777" w:rsidR="00B71B4E" w:rsidRPr="00BD16B4" w:rsidRDefault="00B71B4E" w:rsidP="00B71B4E">
      <w:pPr>
        <w:pStyle w:val="BodyText"/>
        <w:rPr>
          <w:highlight w:val="yellow"/>
        </w:rPr>
      </w:pPr>
      <w:r w:rsidRPr="00BD16B4">
        <w:rPr>
          <w:highlight w:val="yellow"/>
        </w:rPr>
        <w:br w:type="page"/>
      </w:r>
    </w:p>
    <w:p w14:paraId="5F997C47" w14:textId="1CB603FF" w:rsidR="00B71B4E" w:rsidRPr="00BD16B4" w:rsidRDefault="00B71B4E" w:rsidP="00BB7302">
      <w:pPr>
        <w:pStyle w:val="Tableheading"/>
      </w:pPr>
      <w:bookmarkStart w:id="365" w:name="_Toc497749151"/>
      <w:bookmarkStart w:id="366" w:name="_Toc500767046"/>
      <w:bookmarkStart w:id="367" w:name="_Toc121773825"/>
      <w:r w:rsidRPr="00BD16B4">
        <w:lastRenderedPageBreak/>
        <w:t>Table 7.</w:t>
      </w:r>
      <w:r w:rsidR="00B02CC9" w:rsidRPr="00BD16B4">
        <w:t>4</w:t>
      </w:r>
      <w:r w:rsidRPr="00BD16B4">
        <w:t>:</w:t>
      </w:r>
      <w:r w:rsidRPr="00BD16B4">
        <w:tab/>
        <w:t>Provision of public financial support – contributions through multilateral channels, 2019</w:t>
      </w:r>
      <w:bookmarkEnd w:id="365"/>
      <w:bookmarkEnd w:id="366"/>
      <w:r w:rsidRPr="00BD16B4">
        <w:t xml:space="preserve"> and 2020 (CTF Table 7a)</w:t>
      </w:r>
      <w:bookmarkEnd w:id="367"/>
    </w:p>
    <w:p w14:paraId="1E4190E7" w14:textId="77777777" w:rsidR="00B71B4E" w:rsidRPr="00BD16B4" w:rsidRDefault="00B71B4E" w:rsidP="00BB7302">
      <w:pPr>
        <w:pStyle w:val="CTFTableheading"/>
      </w:pPr>
      <w:r w:rsidRPr="00BD16B4">
        <w:t xml:space="preserve">Table 7.4a: </w:t>
      </w:r>
      <w:r w:rsidRPr="00BD16B4">
        <w:tab/>
        <w:t>Provision of public financial support – contributions through multilateral channels, 2019</w:t>
      </w:r>
    </w:p>
    <w:tbl>
      <w:tblPr>
        <w:tblW w:w="14515" w:type="dxa"/>
        <w:tblInd w:w="108"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3915"/>
        <w:gridCol w:w="903"/>
        <w:gridCol w:w="904"/>
        <w:gridCol w:w="903"/>
        <w:gridCol w:w="756"/>
        <w:gridCol w:w="1020"/>
        <w:gridCol w:w="955"/>
        <w:gridCol w:w="1478"/>
        <w:gridCol w:w="1217"/>
        <w:gridCol w:w="2464"/>
      </w:tblGrid>
      <w:tr w:rsidR="00B71B4E" w:rsidRPr="00BD16B4" w14:paraId="299532E5" w14:textId="77777777" w:rsidTr="00F31129">
        <w:trPr>
          <w:tblHeader/>
        </w:trPr>
        <w:tc>
          <w:tcPr>
            <w:tcW w:w="3915" w:type="dxa"/>
            <w:shd w:val="clear" w:color="000000" w:fill="1B556B" w:themeFill="text2"/>
            <w:vAlign w:val="bottom"/>
            <w:hideMark/>
          </w:tcPr>
          <w:p w14:paraId="5460B0FA" w14:textId="77777777" w:rsidR="00B71B4E" w:rsidRPr="00BD16B4" w:rsidRDefault="00B71B4E" w:rsidP="00F31129">
            <w:pPr>
              <w:pStyle w:val="TableTextBold0"/>
              <w:spacing w:before="40" w:after="0"/>
              <w:rPr>
                <w:color w:val="FFFFFF" w:themeColor="background1"/>
              </w:rPr>
            </w:pPr>
            <w:r w:rsidRPr="00BD16B4">
              <w:rPr>
                <w:color w:val="FFFFFF" w:themeColor="background1"/>
              </w:rPr>
              <w:t> </w:t>
            </w:r>
          </w:p>
        </w:tc>
        <w:tc>
          <w:tcPr>
            <w:tcW w:w="1807" w:type="dxa"/>
            <w:gridSpan w:val="2"/>
            <w:shd w:val="clear" w:color="000000" w:fill="1B556B" w:themeFill="text2"/>
            <w:vAlign w:val="bottom"/>
            <w:hideMark/>
          </w:tcPr>
          <w:p w14:paraId="1C725677" w14:textId="77777777" w:rsidR="00B71B4E" w:rsidRPr="00BD16B4" w:rsidRDefault="00B71B4E" w:rsidP="00F31129">
            <w:pPr>
              <w:pStyle w:val="TableTextBold0"/>
              <w:spacing w:before="40" w:after="0"/>
              <w:jc w:val="center"/>
              <w:rPr>
                <w:color w:val="FFFFFF" w:themeColor="background1"/>
              </w:rPr>
            </w:pPr>
            <w:r w:rsidRPr="00BD16B4">
              <w:rPr>
                <w:color w:val="FFFFFF" w:themeColor="background1"/>
              </w:rPr>
              <w:t>Core/general</w:t>
            </w:r>
          </w:p>
        </w:tc>
        <w:tc>
          <w:tcPr>
            <w:tcW w:w="1659" w:type="dxa"/>
            <w:gridSpan w:val="2"/>
            <w:shd w:val="clear" w:color="000000" w:fill="1B556B" w:themeFill="text2"/>
            <w:vAlign w:val="bottom"/>
            <w:hideMark/>
          </w:tcPr>
          <w:p w14:paraId="696BDF6E" w14:textId="77777777" w:rsidR="00B71B4E" w:rsidRPr="00BD16B4" w:rsidRDefault="00B71B4E" w:rsidP="00F31129">
            <w:pPr>
              <w:pStyle w:val="TableTextBold0"/>
              <w:spacing w:before="40" w:after="0"/>
              <w:jc w:val="center"/>
              <w:rPr>
                <w:color w:val="FFFFFF" w:themeColor="background1"/>
              </w:rPr>
            </w:pPr>
            <w:r w:rsidRPr="00BD16B4">
              <w:rPr>
                <w:color w:val="FFFFFF" w:themeColor="background1"/>
              </w:rPr>
              <w:t>Climate-specific*</w:t>
            </w:r>
          </w:p>
        </w:tc>
        <w:tc>
          <w:tcPr>
            <w:tcW w:w="1020" w:type="dxa"/>
            <w:shd w:val="clear" w:color="000000" w:fill="1B556B" w:themeFill="text2"/>
            <w:vAlign w:val="bottom"/>
            <w:hideMark/>
          </w:tcPr>
          <w:p w14:paraId="6A6774BF" w14:textId="77777777" w:rsidR="00B71B4E" w:rsidRPr="00BD16B4" w:rsidRDefault="00B71B4E" w:rsidP="00F31129">
            <w:pPr>
              <w:pStyle w:val="TableTextBold0"/>
              <w:spacing w:before="40" w:after="0"/>
              <w:jc w:val="center"/>
              <w:rPr>
                <w:color w:val="FFFFFF" w:themeColor="background1"/>
              </w:rPr>
            </w:pPr>
          </w:p>
        </w:tc>
        <w:tc>
          <w:tcPr>
            <w:tcW w:w="955" w:type="dxa"/>
            <w:shd w:val="clear" w:color="000000" w:fill="1B556B" w:themeFill="text2"/>
            <w:vAlign w:val="bottom"/>
            <w:hideMark/>
          </w:tcPr>
          <w:p w14:paraId="1DF6B1E9" w14:textId="77777777" w:rsidR="00B71B4E" w:rsidRPr="00BD16B4" w:rsidRDefault="00B71B4E" w:rsidP="00F31129">
            <w:pPr>
              <w:pStyle w:val="TableTextBold0"/>
              <w:spacing w:before="40" w:after="0"/>
              <w:jc w:val="center"/>
              <w:rPr>
                <w:color w:val="FFFFFF" w:themeColor="background1"/>
              </w:rPr>
            </w:pPr>
          </w:p>
        </w:tc>
        <w:tc>
          <w:tcPr>
            <w:tcW w:w="1478" w:type="dxa"/>
            <w:shd w:val="clear" w:color="000000" w:fill="1B556B" w:themeFill="text2"/>
            <w:vAlign w:val="bottom"/>
            <w:hideMark/>
          </w:tcPr>
          <w:p w14:paraId="1C13E80D" w14:textId="77777777" w:rsidR="00B71B4E" w:rsidRPr="00BD16B4" w:rsidRDefault="00B71B4E" w:rsidP="00F31129">
            <w:pPr>
              <w:pStyle w:val="TableTextBold0"/>
              <w:spacing w:before="40" w:after="0"/>
              <w:jc w:val="center"/>
              <w:rPr>
                <w:color w:val="FFFFFF" w:themeColor="background1"/>
              </w:rPr>
            </w:pPr>
          </w:p>
        </w:tc>
        <w:tc>
          <w:tcPr>
            <w:tcW w:w="1217" w:type="dxa"/>
            <w:shd w:val="clear" w:color="000000" w:fill="1B556B" w:themeFill="text2"/>
            <w:vAlign w:val="bottom"/>
            <w:hideMark/>
          </w:tcPr>
          <w:p w14:paraId="42B9FB3C" w14:textId="77777777" w:rsidR="00B71B4E" w:rsidRPr="00BD16B4" w:rsidRDefault="00B71B4E" w:rsidP="00F31129">
            <w:pPr>
              <w:pStyle w:val="TableTextBold0"/>
              <w:spacing w:before="40" w:after="0"/>
              <w:jc w:val="center"/>
              <w:rPr>
                <w:color w:val="FFFFFF" w:themeColor="background1"/>
              </w:rPr>
            </w:pPr>
          </w:p>
        </w:tc>
        <w:tc>
          <w:tcPr>
            <w:tcW w:w="2464" w:type="dxa"/>
            <w:shd w:val="clear" w:color="000000" w:fill="1B556B" w:themeFill="text2"/>
            <w:vAlign w:val="bottom"/>
            <w:hideMark/>
          </w:tcPr>
          <w:p w14:paraId="73E815B2" w14:textId="77777777" w:rsidR="00B71B4E" w:rsidRPr="00BD16B4" w:rsidRDefault="00B71B4E" w:rsidP="00F31129">
            <w:pPr>
              <w:pStyle w:val="TableTextBold0"/>
              <w:spacing w:before="40" w:after="0"/>
              <w:jc w:val="center"/>
              <w:rPr>
                <w:color w:val="FFFFFF" w:themeColor="background1"/>
              </w:rPr>
            </w:pPr>
          </w:p>
        </w:tc>
      </w:tr>
      <w:tr w:rsidR="00B71B4E" w:rsidRPr="00BD16B4" w14:paraId="69F3AD60" w14:textId="77777777" w:rsidTr="00F31129">
        <w:trPr>
          <w:tblHeader/>
        </w:trPr>
        <w:tc>
          <w:tcPr>
            <w:tcW w:w="3915" w:type="dxa"/>
            <w:tcBorders>
              <w:bottom w:val="single" w:sz="4" w:space="0" w:color="1B556B" w:themeColor="text2"/>
            </w:tcBorders>
            <w:shd w:val="clear" w:color="000000" w:fill="1B556B" w:themeFill="text2"/>
            <w:vAlign w:val="bottom"/>
            <w:hideMark/>
          </w:tcPr>
          <w:p w14:paraId="5BCE3DF3" w14:textId="77777777" w:rsidR="00B71B4E" w:rsidRPr="00BD16B4" w:rsidRDefault="00B71B4E" w:rsidP="00F31129">
            <w:pPr>
              <w:pStyle w:val="TableTextBold0"/>
              <w:spacing w:before="40" w:after="40"/>
              <w:rPr>
                <w:color w:val="FFFFFF" w:themeColor="background1"/>
              </w:rPr>
            </w:pPr>
            <w:r w:rsidRPr="00BD16B4">
              <w:rPr>
                <w:color w:val="FFFFFF" w:themeColor="background1"/>
              </w:rPr>
              <w:t xml:space="preserve">Donor funding </w:t>
            </w:r>
          </w:p>
        </w:tc>
        <w:tc>
          <w:tcPr>
            <w:tcW w:w="903" w:type="dxa"/>
            <w:tcBorders>
              <w:bottom w:val="single" w:sz="4" w:space="0" w:color="1B556B" w:themeColor="text2"/>
            </w:tcBorders>
            <w:shd w:val="clear" w:color="000000" w:fill="1B556B" w:themeFill="text2"/>
            <w:vAlign w:val="bottom"/>
            <w:hideMark/>
          </w:tcPr>
          <w:p w14:paraId="122B8D6A" w14:textId="77777777" w:rsidR="00B71B4E" w:rsidRPr="00BD16B4" w:rsidRDefault="00B71B4E" w:rsidP="00F31129">
            <w:pPr>
              <w:pStyle w:val="TableTextBold0"/>
              <w:spacing w:before="40" w:after="40"/>
              <w:jc w:val="center"/>
              <w:rPr>
                <w:color w:val="FFFFFF" w:themeColor="background1"/>
              </w:rPr>
            </w:pPr>
            <w:r w:rsidRPr="00BD16B4">
              <w:rPr>
                <w:color w:val="FFFFFF" w:themeColor="background1"/>
              </w:rPr>
              <w:t>NZ$ million</w:t>
            </w:r>
          </w:p>
        </w:tc>
        <w:tc>
          <w:tcPr>
            <w:tcW w:w="904" w:type="dxa"/>
            <w:tcBorders>
              <w:bottom w:val="single" w:sz="4" w:space="0" w:color="1B556B" w:themeColor="text2"/>
            </w:tcBorders>
            <w:shd w:val="clear" w:color="000000" w:fill="1B556B" w:themeFill="text2"/>
            <w:vAlign w:val="bottom"/>
            <w:hideMark/>
          </w:tcPr>
          <w:p w14:paraId="2BDCD1D5" w14:textId="77777777" w:rsidR="00B71B4E" w:rsidRPr="00BD16B4" w:rsidRDefault="00B71B4E" w:rsidP="00F31129">
            <w:pPr>
              <w:pStyle w:val="TableTextBold0"/>
              <w:spacing w:before="40" w:after="40"/>
              <w:jc w:val="center"/>
              <w:rPr>
                <w:color w:val="FFFFFF" w:themeColor="background1"/>
              </w:rPr>
            </w:pPr>
            <w:r w:rsidRPr="00BD16B4">
              <w:rPr>
                <w:color w:val="FFFFFF" w:themeColor="background1"/>
              </w:rPr>
              <w:t>US$ million</w:t>
            </w:r>
          </w:p>
        </w:tc>
        <w:tc>
          <w:tcPr>
            <w:tcW w:w="903" w:type="dxa"/>
            <w:tcBorders>
              <w:bottom w:val="single" w:sz="4" w:space="0" w:color="1B556B" w:themeColor="text2"/>
            </w:tcBorders>
            <w:shd w:val="clear" w:color="000000" w:fill="1B556B" w:themeFill="text2"/>
            <w:vAlign w:val="bottom"/>
            <w:hideMark/>
          </w:tcPr>
          <w:p w14:paraId="516AA64E" w14:textId="77777777" w:rsidR="00B71B4E" w:rsidRPr="00BD16B4" w:rsidRDefault="00B71B4E" w:rsidP="00F31129">
            <w:pPr>
              <w:pStyle w:val="TableTextBold0"/>
              <w:spacing w:before="40" w:after="40"/>
              <w:jc w:val="center"/>
              <w:rPr>
                <w:color w:val="FFFFFF" w:themeColor="background1"/>
              </w:rPr>
            </w:pPr>
            <w:r w:rsidRPr="00BD16B4">
              <w:rPr>
                <w:color w:val="FFFFFF" w:themeColor="background1"/>
              </w:rPr>
              <w:t>NZ$ million</w:t>
            </w:r>
          </w:p>
        </w:tc>
        <w:tc>
          <w:tcPr>
            <w:tcW w:w="756" w:type="dxa"/>
            <w:tcBorders>
              <w:bottom w:val="single" w:sz="4" w:space="0" w:color="1B556B" w:themeColor="text2"/>
            </w:tcBorders>
            <w:shd w:val="clear" w:color="000000" w:fill="1B556B" w:themeFill="text2"/>
            <w:vAlign w:val="bottom"/>
            <w:hideMark/>
          </w:tcPr>
          <w:p w14:paraId="037AD495" w14:textId="77777777" w:rsidR="00B71B4E" w:rsidRPr="00BD16B4" w:rsidRDefault="00B71B4E" w:rsidP="00F31129">
            <w:pPr>
              <w:pStyle w:val="TableTextBold0"/>
              <w:spacing w:before="40" w:after="40"/>
              <w:jc w:val="center"/>
              <w:rPr>
                <w:color w:val="FFFFFF" w:themeColor="background1"/>
              </w:rPr>
            </w:pPr>
            <w:r w:rsidRPr="00BD16B4">
              <w:rPr>
                <w:color w:val="FFFFFF" w:themeColor="background1"/>
              </w:rPr>
              <w:t>US$ million</w:t>
            </w:r>
          </w:p>
        </w:tc>
        <w:tc>
          <w:tcPr>
            <w:tcW w:w="1020" w:type="dxa"/>
            <w:tcBorders>
              <w:bottom w:val="single" w:sz="4" w:space="0" w:color="1B556B" w:themeColor="text2"/>
            </w:tcBorders>
            <w:shd w:val="clear" w:color="000000" w:fill="1B556B" w:themeFill="text2"/>
            <w:vAlign w:val="bottom"/>
            <w:hideMark/>
          </w:tcPr>
          <w:p w14:paraId="1A3A0E3B" w14:textId="77777777" w:rsidR="00B71B4E" w:rsidRPr="00BD16B4" w:rsidRDefault="00B71B4E" w:rsidP="00F31129">
            <w:pPr>
              <w:pStyle w:val="TableTextBold0"/>
              <w:spacing w:before="40" w:after="40"/>
              <w:jc w:val="center"/>
              <w:rPr>
                <w:color w:val="FFFFFF" w:themeColor="background1"/>
              </w:rPr>
            </w:pPr>
            <w:r w:rsidRPr="00BD16B4">
              <w:rPr>
                <w:color w:val="FFFFFF" w:themeColor="background1"/>
              </w:rPr>
              <w:t>Status</w:t>
            </w:r>
          </w:p>
        </w:tc>
        <w:tc>
          <w:tcPr>
            <w:tcW w:w="955" w:type="dxa"/>
            <w:tcBorders>
              <w:bottom w:val="single" w:sz="4" w:space="0" w:color="1B556B" w:themeColor="text2"/>
            </w:tcBorders>
            <w:shd w:val="clear" w:color="000000" w:fill="1B556B" w:themeFill="text2"/>
            <w:vAlign w:val="bottom"/>
            <w:hideMark/>
          </w:tcPr>
          <w:p w14:paraId="4040A674" w14:textId="77777777" w:rsidR="00B71B4E" w:rsidRPr="00BD16B4" w:rsidRDefault="00B71B4E" w:rsidP="00F31129">
            <w:pPr>
              <w:pStyle w:val="TableTextBold0"/>
              <w:spacing w:before="40" w:after="40"/>
              <w:jc w:val="center"/>
              <w:rPr>
                <w:color w:val="FFFFFF" w:themeColor="background1"/>
              </w:rPr>
            </w:pPr>
            <w:r w:rsidRPr="00BD16B4">
              <w:rPr>
                <w:color w:val="FFFFFF" w:themeColor="background1"/>
              </w:rPr>
              <w:t>Funding source</w:t>
            </w:r>
          </w:p>
        </w:tc>
        <w:tc>
          <w:tcPr>
            <w:tcW w:w="1478" w:type="dxa"/>
            <w:tcBorders>
              <w:bottom w:val="single" w:sz="4" w:space="0" w:color="1B556B" w:themeColor="text2"/>
            </w:tcBorders>
            <w:shd w:val="clear" w:color="000000" w:fill="1B556B" w:themeFill="text2"/>
            <w:vAlign w:val="bottom"/>
            <w:hideMark/>
          </w:tcPr>
          <w:p w14:paraId="0B3E92C0" w14:textId="77777777" w:rsidR="00B71B4E" w:rsidRPr="00BD16B4" w:rsidRDefault="00B71B4E" w:rsidP="00F31129">
            <w:pPr>
              <w:pStyle w:val="TableTextBold0"/>
              <w:spacing w:before="40" w:after="40"/>
              <w:jc w:val="center"/>
              <w:rPr>
                <w:color w:val="FFFFFF" w:themeColor="background1"/>
              </w:rPr>
            </w:pPr>
            <w:r w:rsidRPr="00BD16B4">
              <w:rPr>
                <w:color w:val="FFFFFF" w:themeColor="background1"/>
              </w:rPr>
              <w:t>Financial instrument</w:t>
            </w:r>
          </w:p>
        </w:tc>
        <w:tc>
          <w:tcPr>
            <w:tcW w:w="1217" w:type="dxa"/>
            <w:tcBorders>
              <w:bottom w:val="single" w:sz="4" w:space="0" w:color="1B556B" w:themeColor="text2"/>
            </w:tcBorders>
            <w:shd w:val="clear" w:color="000000" w:fill="1B556B" w:themeFill="text2"/>
            <w:vAlign w:val="bottom"/>
            <w:hideMark/>
          </w:tcPr>
          <w:p w14:paraId="7A9084B9" w14:textId="77777777" w:rsidR="00B71B4E" w:rsidRPr="00BD16B4" w:rsidRDefault="00B71B4E" w:rsidP="00F31129">
            <w:pPr>
              <w:pStyle w:val="TableTextBold0"/>
              <w:spacing w:before="40" w:after="40"/>
              <w:jc w:val="center"/>
              <w:rPr>
                <w:color w:val="FFFFFF" w:themeColor="background1"/>
              </w:rPr>
            </w:pPr>
            <w:r w:rsidRPr="00BD16B4">
              <w:rPr>
                <w:color w:val="FFFFFF" w:themeColor="background1"/>
              </w:rPr>
              <w:t>Type of support</w:t>
            </w:r>
          </w:p>
        </w:tc>
        <w:tc>
          <w:tcPr>
            <w:tcW w:w="2464" w:type="dxa"/>
            <w:tcBorders>
              <w:bottom w:val="single" w:sz="4" w:space="0" w:color="1B556B" w:themeColor="text2"/>
            </w:tcBorders>
            <w:shd w:val="clear" w:color="000000" w:fill="1B556B" w:themeFill="text2"/>
            <w:vAlign w:val="bottom"/>
            <w:hideMark/>
          </w:tcPr>
          <w:p w14:paraId="15409729" w14:textId="77777777" w:rsidR="00B71B4E" w:rsidRPr="00BD16B4" w:rsidRDefault="00B71B4E" w:rsidP="00F31129">
            <w:pPr>
              <w:pStyle w:val="TableTextBold0"/>
              <w:spacing w:before="40" w:after="40"/>
              <w:jc w:val="center"/>
              <w:rPr>
                <w:color w:val="FFFFFF" w:themeColor="background1"/>
              </w:rPr>
            </w:pPr>
            <w:r w:rsidRPr="00BD16B4">
              <w:rPr>
                <w:color w:val="FFFFFF" w:themeColor="background1"/>
              </w:rPr>
              <w:t>Sector</w:t>
            </w:r>
          </w:p>
        </w:tc>
      </w:tr>
      <w:tr w:rsidR="00B71B4E" w:rsidRPr="00BD16B4" w14:paraId="37A43371" w14:textId="77777777" w:rsidTr="00F31129">
        <w:tc>
          <w:tcPr>
            <w:tcW w:w="3915" w:type="dxa"/>
            <w:shd w:val="clear" w:color="000000" w:fill="D2DDE1" w:themeFill="background2"/>
            <w:hideMark/>
          </w:tcPr>
          <w:p w14:paraId="444F1F88" w14:textId="77777777" w:rsidR="00B71B4E" w:rsidRPr="00BD16B4" w:rsidRDefault="00B71B4E" w:rsidP="00F31129">
            <w:pPr>
              <w:pStyle w:val="TableTextBold0"/>
              <w:spacing w:before="40" w:after="40"/>
            </w:pPr>
            <w:r w:rsidRPr="00BD16B4">
              <w:t>Multilateral climate change funds</w:t>
            </w:r>
          </w:p>
        </w:tc>
        <w:tc>
          <w:tcPr>
            <w:tcW w:w="903" w:type="dxa"/>
            <w:shd w:val="clear" w:color="000000" w:fill="D2DDE1" w:themeFill="background2"/>
            <w:hideMark/>
          </w:tcPr>
          <w:p w14:paraId="2A796E36" w14:textId="77777777" w:rsidR="00B71B4E" w:rsidRPr="00BD16B4" w:rsidRDefault="00B71B4E" w:rsidP="00F31129">
            <w:pPr>
              <w:pStyle w:val="TableText"/>
              <w:spacing w:before="40" w:after="40"/>
            </w:pPr>
            <w:r w:rsidRPr="00BD16B4">
              <w:t> </w:t>
            </w:r>
          </w:p>
        </w:tc>
        <w:tc>
          <w:tcPr>
            <w:tcW w:w="904" w:type="dxa"/>
            <w:shd w:val="clear" w:color="000000" w:fill="D2DDE1" w:themeFill="background2"/>
            <w:hideMark/>
          </w:tcPr>
          <w:p w14:paraId="0F85E43D" w14:textId="77777777" w:rsidR="00B71B4E" w:rsidRPr="00BD16B4" w:rsidRDefault="00B71B4E" w:rsidP="00F31129">
            <w:pPr>
              <w:pStyle w:val="TableText"/>
              <w:spacing w:before="40" w:after="40"/>
            </w:pPr>
            <w:r w:rsidRPr="00BD16B4">
              <w:t> </w:t>
            </w:r>
          </w:p>
        </w:tc>
        <w:tc>
          <w:tcPr>
            <w:tcW w:w="903" w:type="dxa"/>
            <w:shd w:val="clear" w:color="000000" w:fill="D2DDE1" w:themeFill="background2"/>
            <w:hideMark/>
          </w:tcPr>
          <w:p w14:paraId="1E91AABD" w14:textId="77777777" w:rsidR="00B71B4E" w:rsidRPr="00BD16B4" w:rsidRDefault="00B71B4E" w:rsidP="00F31129">
            <w:pPr>
              <w:pStyle w:val="TableText"/>
              <w:spacing w:before="40" w:after="40"/>
            </w:pPr>
            <w:r w:rsidRPr="00BD16B4">
              <w:t> </w:t>
            </w:r>
          </w:p>
        </w:tc>
        <w:tc>
          <w:tcPr>
            <w:tcW w:w="756" w:type="dxa"/>
            <w:shd w:val="clear" w:color="000000" w:fill="D2DDE1" w:themeFill="background2"/>
            <w:hideMark/>
          </w:tcPr>
          <w:p w14:paraId="554FDF70" w14:textId="77777777" w:rsidR="00B71B4E" w:rsidRPr="00BD16B4" w:rsidRDefault="00B71B4E" w:rsidP="00F31129">
            <w:pPr>
              <w:pStyle w:val="TableText"/>
              <w:spacing w:before="40" w:after="40"/>
            </w:pPr>
            <w:r w:rsidRPr="00BD16B4">
              <w:t> </w:t>
            </w:r>
          </w:p>
        </w:tc>
        <w:tc>
          <w:tcPr>
            <w:tcW w:w="1020" w:type="dxa"/>
            <w:shd w:val="clear" w:color="000000" w:fill="D2DDE1" w:themeFill="background2"/>
            <w:hideMark/>
          </w:tcPr>
          <w:p w14:paraId="743BB02A" w14:textId="77777777" w:rsidR="00B71B4E" w:rsidRPr="00BD16B4" w:rsidRDefault="00B71B4E" w:rsidP="00F31129">
            <w:pPr>
              <w:pStyle w:val="TableText"/>
              <w:spacing w:before="40" w:after="40"/>
            </w:pPr>
            <w:r w:rsidRPr="00BD16B4">
              <w:t> </w:t>
            </w:r>
          </w:p>
        </w:tc>
        <w:tc>
          <w:tcPr>
            <w:tcW w:w="955" w:type="dxa"/>
            <w:shd w:val="clear" w:color="000000" w:fill="D2DDE1" w:themeFill="background2"/>
            <w:hideMark/>
          </w:tcPr>
          <w:p w14:paraId="30E22B5A" w14:textId="77777777" w:rsidR="00B71B4E" w:rsidRPr="00BD16B4" w:rsidRDefault="00B71B4E" w:rsidP="00F31129">
            <w:pPr>
              <w:pStyle w:val="TableText"/>
              <w:spacing w:before="40" w:after="40"/>
            </w:pPr>
            <w:r w:rsidRPr="00BD16B4">
              <w:t> </w:t>
            </w:r>
          </w:p>
        </w:tc>
        <w:tc>
          <w:tcPr>
            <w:tcW w:w="1478" w:type="dxa"/>
            <w:shd w:val="clear" w:color="000000" w:fill="D2DDE1" w:themeFill="background2"/>
            <w:hideMark/>
          </w:tcPr>
          <w:p w14:paraId="6FA5EB57" w14:textId="77777777" w:rsidR="00B71B4E" w:rsidRPr="00BD16B4" w:rsidRDefault="00B71B4E" w:rsidP="00F31129">
            <w:pPr>
              <w:pStyle w:val="TableText"/>
              <w:spacing w:before="40" w:after="40"/>
            </w:pPr>
            <w:r w:rsidRPr="00BD16B4">
              <w:t> </w:t>
            </w:r>
          </w:p>
        </w:tc>
        <w:tc>
          <w:tcPr>
            <w:tcW w:w="1217" w:type="dxa"/>
            <w:shd w:val="clear" w:color="000000" w:fill="D2DDE1" w:themeFill="background2"/>
            <w:hideMark/>
          </w:tcPr>
          <w:p w14:paraId="4B426C08" w14:textId="77777777" w:rsidR="00B71B4E" w:rsidRPr="00BD16B4" w:rsidRDefault="00B71B4E" w:rsidP="00F31129">
            <w:pPr>
              <w:pStyle w:val="TableText"/>
              <w:spacing w:before="40" w:after="40"/>
            </w:pPr>
            <w:r w:rsidRPr="00BD16B4">
              <w:t> </w:t>
            </w:r>
          </w:p>
        </w:tc>
        <w:tc>
          <w:tcPr>
            <w:tcW w:w="2464" w:type="dxa"/>
            <w:shd w:val="clear" w:color="000000" w:fill="D2DDE1" w:themeFill="background2"/>
            <w:hideMark/>
          </w:tcPr>
          <w:p w14:paraId="4E373976" w14:textId="77777777" w:rsidR="00B71B4E" w:rsidRPr="00BD16B4" w:rsidRDefault="00B71B4E" w:rsidP="00F31129">
            <w:pPr>
              <w:pStyle w:val="TableText"/>
              <w:spacing w:before="40" w:after="40"/>
            </w:pPr>
            <w:r w:rsidRPr="00BD16B4">
              <w:t> </w:t>
            </w:r>
          </w:p>
        </w:tc>
      </w:tr>
      <w:tr w:rsidR="00B71B4E" w:rsidRPr="00BD16B4" w14:paraId="4D84693F" w14:textId="77777777" w:rsidTr="00F31129">
        <w:tc>
          <w:tcPr>
            <w:tcW w:w="3915" w:type="dxa"/>
            <w:shd w:val="clear" w:color="auto" w:fill="auto"/>
          </w:tcPr>
          <w:p w14:paraId="31564C25" w14:textId="77777777" w:rsidR="00B71B4E" w:rsidRPr="00BD16B4" w:rsidRDefault="00B71B4E" w:rsidP="00F31129">
            <w:pPr>
              <w:pStyle w:val="TableText"/>
              <w:spacing w:before="40" w:after="40"/>
            </w:pPr>
            <w:r w:rsidRPr="00BD16B4">
              <w:t>Global Environment Facility</w:t>
            </w:r>
          </w:p>
        </w:tc>
        <w:tc>
          <w:tcPr>
            <w:tcW w:w="903" w:type="dxa"/>
            <w:shd w:val="clear" w:color="auto" w:fill="auto"/>
          </w:tcPr>
          <w:p w14:paraId="56B3F5F7" w14:textId="77777777" w:rsidR="00B71B4E" w:rsidRPr="00BD16B4" w:rsidRDefault="00B71B4E" w:rsidP="00F31129">
            <w:pPr>
              <w:pStyle w:val="TableText"/>
              <w:spacing w:before="40" w:after="40"/>
              <w:jc w:val="center"/>
            </w:pPr>
            <w:r w:rsidRPr="00BD16B4">
              <w:t>0.28</w:t>
            </w:r>
          </w:p>
        </w:tc>
        <w:tc>
          <w:tcPr>
            <w:tcW w:w="904" w:type="dxa"/>
            <w:shd w:val="clear" w:color="auto" w:fill="auto"/>
          </w:tcPr>
          <w:p w14:paraId="50EFEC5B" w14:textId="77777777" w:rsidR="00B71B4E" w:rsidRPr="00BD16B4" w:rsidRDefault="00B71B4E" w:rsidP="00F31129">
            <w:pPr>
              <w:pStyle w:val="TableText"/>
              <w:spacing w:before="40" w:after="40"/>
              <w:jc w:val="center"/>
            </w:pPr>
            <w:r w:rsidRPr="00BD16B4">
              <w:t>0.19</w:t>
            </w:r>
          </w:p>
        </w:tc>
        <w:tc>
          <w:tcPr>
            <w:tcW w:w="903" w:type="dxa"/>
            <w:shd w:val="clear" w:color="auto" w:fill="auto"/>
          </w:tcPr>
          <w:p w14:paraId="1F4B40EB" w14:textId="77777777" w:rsidR="00B71B4E" w:rsidRPr="00BD16B4" w:rsidRDefault="00B71B4E" w:rsidP="00F31129">
            <w:pPr>
              <w:pStyle w:val="TableText"/>
              <w:spacing w:before="40" w:after="40"/>
              <w:jc w:val="center"/>
            </w:pPr>
            <w:r w:rsidRPr="00BD16B4">
              <w:t>1.38</w:t>
            </w:r>
          </w:p>
        </w:tc>
        <w:tc>
          <w:tcPr>
            <w:tcW w:w="756" w:type="dxa"/>
            <w:shd w:val="clear" w:color="auto" w:fill="auto"/>
            <w:noWrap/>
          </w:tcPr>
          <w:p w14:paraId="25063364" w14:textId="77777777" w:rsidR="00B71B4E" w:rsidRPr="00BD16B4" w:rsidRDefault="00B71B4E" w:rsidP="00F31129">
            <w:pPr>
              <w:pStyle w:val="TableText"/>
              <w:spacing w:before="40" w:after="40"/>
              <w:jc w:val="center"/>
            </w:pPr>
            <w:r w:rsidRPr="00BD16B4">
              <w:t>0.91</w:t>
            </w:r>
          </w:p>
        </w:tc>
        <w:tc>
          <w:tcPr>
            <w:tcW w:w="1020" w:type="dxa"/>
            <w:shd w:val="clear" w:color="auto" w:fill="auto"/>
            <w:noWrap/>
          </w:tcPr>
          <w:p w14:paraId="79EE49C2" w14:textId="77777777" w:rsidR="00B71B4E" w:rsidRPr="00BD16B4" w:rsidRDefault="00B71B4E" w:rsidP="00F31129">
            <w:pPr>
              <w:pStyle w:val="TableText"/>
              <w:spacing w:before="40" w:after="40"/>
            </w:pPr>
            <w:r w:rsidRPr="00BD16B4">
              <w:t>Disbursed</w:t>
            </w:r>
          </w:p>
        </w:tc>
        <w:tc>
          <w:tcPr>
            <w:tcW w:w="955" w:type="dxa"/>
            <w:shd w:val="clear" w:color="auto" w:fill="auto"/>
            <w:noWrap/>
          </w:tcPr>
          <w:p w14:paraId="45908DCA" w14:textId="77777777" w:rsidR="00B71B4E" w:rsidRPr="00BD16B4" w:rsidRDefault="00B71B4E" w:rsidP="00F31129">
            <w:pPr>
              <w:pStyle w:val="TableText"/>
              <w:spacing w:before="40" w:after="40"/>
            </w:pPr>
            <w:r w:rsidRPr="00BD16B4">
              <w:t>ODA</w:t>
            </w:r>
          </w:p>
        </w:tc>
        <w:tc>
          <w:tcPr>
            <w:tcW w:w="1478" w:type="dxa"/>
            <w:shd w:val="clear" w:color="auto" w:fill="auto"/>
            <w:noWrap/>
          </w:tcPr>
          <w:p w14:paraId="559C5107" w14:textId="77777777" w:rsidR="00B71B4E" w:rsidRPr="00BD16B4" w:rsidRDefault="00B71B4E" w:rsidP="00F31129">
            <w:pPr>
              <w:pStyle w:val="TableText"/>
              <w:spacing w:before="40" w:after="40"/>
            </w:pPr>
            <w:r w:rsidRPr="00BD16B4">
              <w:t>Grant</w:t>
            </w:r>
          </w:p>
        </w:tc>
        <w:tc>
          <w:tcPr>
            <w:tcW w:w="1217" w:type="dxa"/>
            <w:shd w:val="clear" w:color="auto" w:fill="auto"/>
            <w:noWrap/>
          </w:tcPr>
          <w:p w14:paraId="68DD60CB" w14:textId="77777777" w:rsidR="00B71B4E" w:rsidRPr="00BD16B4" w:rsidRDefault="00B71B4E" w:rsidP="00F31129">
            <w:pPr>
              <w:pStyle w:val="TableText"/>
              <w:spacing w:before="40" w:after="40"/>
            </w:pPr>
            <w:r w:rsidRPr="00BD16B4">
              <w:t>Cross-cutting</w:t>
            </w:r>
          </w:p>
        </w:tc>
        <w:tc>
          <w:tcPr>
            <w:tcW w:w="2464" w:type="dxa"/>
            <w:shd w:val="clear" w:color="auto" w:fill="auto"/>
            <w:noWrap/>
          </w:tcPr>
          <w:p w14:paraId="0FD73121" w14:textId="77777777" w:rsidR="00B71B4E" w:rsidRPr="00BD16B4" w:rsidRDefault="00B71B4E" w:rsidP="00F31129">
            <w:pPr>
              <w:pStyle w:val="TableText"/>
              <w:spacing w:before="40" w:after="40"/>
            </w:pPr>
            <w:r w:rsidRPr="00BD16B4">
              <w:t>Multi-sector</w:t>
            </w:r>
          </w:p>
        </w:tc>
      </w:tr>
      <w:tr w:rsidR="00B71B4E" w:rsidRPr="00BD16B4" w14:paraId="53FC9CFE" w14:textId="77777777" w:rsidTr="00F31129">
        <w:tc>
          <w:tcPr>
            <w:tcW w:w="3915" w:type="dxa"/>
            <w:shd w:val="clear" w:color="auto" w:fill="auto"/>
          </w:tcPr>
          <w:p w14:paraId="6BC680CF" w14:textId="77777777" w:rsidR="00B71B4E" w:rsidRPr="00BD16B4" w:rsidRDefault="00B71B4E" w:rsidP="00F31129">
            <w:pPr>
              <w:pStyle w:val="TableText"/>
              <w:spacing w:before="40" w:after="40"/>
            </w:pPr>
            <w:r w:rsidRPr="00BD16B4">
              <w:t>Adaptation Fund</w:t>
            </w:r>
          </w:p>
        </w:tc>
        <w:tc>
          <w:tcPr>
            <w:tcW w:w="903" w:type="dxa"/>
            <w:shd w:val="clear" w:color="auto" w:fill="auto"/>
          </w:tcPr>
          <w:p w14:paraId="394866C2" w14:textId="77777777" w:rsidR="00B71B4E" w:rsidRPr="00BD16B4" w:rsidRDefault="00B71B4E" w:rsidP="00F31129">
            <w:pPr>
              <w:pStyle w:val="TableText"/>
              <w:spacing w:before="40" w:after="40"/>
              <w:jc w:val="center"/>
            </w:pPr>
            <w:r w:rsidRPr="00BD16B4">
              <w:t>0.00</w:t>
            </w:r>
          </w:p>
        </w:tc>
        <w:tc>
          <w:tcPr>
            <w:tcW w:w="904" w:type="dxa"/>
            <w:shd w:val="clear" w:color="auto" w:fill="auto"/>
          </w:tcPr>
          <w:p w14:paraId="299AE723" w14:textId="77777777" w:rsidR="00B71B4E" w:rsidRPr="00BD16B4" w:rsidRDefault="00B71B4E" w:rsidP="00F31129">
            <w:pPr>
              <w:pStyle w:val="TableText"/>
              <w:spacing w:before="40" w:after="40"/>
              <w:jc w:val="center"/>
            </w:pPr>
            <w:r w:rsidRPr="00BD16B4">
              <w:t>0.00</w:t>
            </w:r>
          </w:p>
        </w:tc>
        <w:tc>
          <w:tcPr>
            <w:tcW w:w="903" w:type="dxa"/>
            <w:shd w:val="clear" w:color="auto" w:fill="auto"/>
          </w:tcPr>
          <w:p w14:paraId="36A1E835" w14:textId="77777777" w:rsidR="00B71B4E" w:rsidRPr="00BD16B4" w:rsidRDefault="00B71B4E" w:rsidP="00F31129">
            <w:pPr>
              <w:pStyle w:val="TableText"/>
              <w:spacing w:before="40" w:after="40"/>
              <w:jc w:val="center"/>
            </w:pPr>
            <w:r w:rsidRPr="00BD16B4">
              <w:t>3.00</w:t>
            </w:r>
          </w:p>
        </w:tc>
        <w:tc>
          <w:tcPr>
            <w:tcW w:w="756" w:type="dxa"/>
            <w:shd w:val="clear" w:color="auto" w:fill="auto"/>
            <w:noWrap/>
          </w:tcPr>
          <w:p w14:paraId="7C55FF75" w14:textId="77777777" w:rsidR="00B71B4E" w:rsidRPr="00BD16B4" w:rsidRDefault="00B71B4E" w:rsidP="00F31129">
            <w:pPr>
              <w:pStyle w:val="TableText"/>
              <w:spacing w:before="40" w:after="40"/>
              <w:jc w:val="center"/>
            </w:pPr>
            <w:r w:rsidRPr="00BD16B4">
              <w:t>1.98</w:t>
            </w:r>
          </w:p>
        </w:tc>
        <w:tc>
          <w:tcPr>
            <w:tcW w:w="1020" w:type="dxa"/>
            <w:shd w:val="clear" w:color="auto" w:fill="auto"/>
            <w:noWrap/>
          </w:tcPr>
          <w:p w14:paraId="0A363347" w14:textId="77777777" w:rsidR="00B71B4E" w:rsidRPr="00BD16B4" w:rsidRDefault="00B71B4E" w:rsidP="00F31129">
            <w:pPr>
              <w:pStyle w:val="TableText"/>
              <w:spacing w:before="40" w:after="40"/>
            </w:pPr>
            <w:r w:rsidRPr="00BD16B4">
              <w:t>Disbursed</w:t>
            </w:r>
          </w:p>
        </w:tc>
        <w:tc>
          <w:tcPr>
            <w:tcW w:w="955" w:type="dxa"/>
            <w:shd w:val="clear" w:color="auto" w:fill="auto"/>
            <w:noWrap/>
          </w:tcPr>
          <w:p w14:paraId="5C59E35D" w14:textId="77777777" w:rsidR="00B71B4E" w:rsidRPr="00BD16B4" w:rsidRDefault="00B71B4E" w:rsidP="00F31129">
            <w:pPr>
              <w:pStyle w:val="TableText"/>
              <w:spacing w:before="40" w:after="40"/>
            </w:pPr>
            <w:r w:rsidRPr="00BD16B4">
              <w:t>ODA</w:t>
            </w:r>
          </w:p>
        </w:tc>
        <w:tc>
          <w:tcPr>
            <w:tcW w:w="1478" w:type="dxa"/>
            <w:shd w:val="clear" w:color="auto" w:fill="auto"/>
            <w:noWrap/>
          </w:tcPr>
          <w:p w14:paraId="7F7445F1" w14:textId="77777777" w:rsidR="00B71B4E" w:rsidRPr="00BD16B4" w:rsidRDefault="00B71B4E" w:rsidP="00F31129">
            <w:pPr>
              <w:pStyle w:val="TableText"/>
              <w:spacing w:before="40" w:after="40"/>
            </w:pPr>
            <w:r w:rsidRPr="00BD16B4">
              <w:t>Grant</w:t>
            </w:r>
          </w:p>
        </w:tc>
        <w:tc>
          <w:tcPr>
            <w:tcW w:w="1217" w:type="dxa"/>
            <w:shd w:val="clear" w:color="auto" w:fill="auto"/>
            <w:noWrap/>
          </w:tcPr>
          <w:p w14:paraId="2AAC229E" w14:textId="77777777" w:rsidR="00B71B4E" w:rsidRPr="00BD16B4" w:rsidRDefault="00B71B4E" w:rsidP="00F31129">
            <w:pPr>
              <w:pStyle w:val="TableText"/>
              <w:spacing w:before="40" w:after="40"/>
            </w:pPr>
            <w:r w:rsidRPr="00BD16B4">
              <w:t>Adaptation</w:t>
            </w:r>
          </w:p>
        </w:tc>
        <w:tc>
          <w:tcPr>
            <w:tcW w:w="2464" w:type="dxa"/>
            <w:shd w:val="clear" w:color="auto" w:fill="auto"/>
            <w:noWrap/>
          </w:tcPr>
          <w:p w14:paraId="28B8C8D0" w14:textId="77777777" w:rsidR="00B71B4E" w:rsidRPr="00BD16B4" w:rsidRDefault="00B71B4E" w:rsidP="00F31129">
            <w:pPr>
              <w:pStyle w:val="TableText"/>
              <w:spacing w:before="40" w:after="40"/>
            </w:pPr>
            <w:r w:rsidRPr="00BD16B4">
              <w:t>Multi-sector</w:t>
            </w:r>
          </w:p>
        </w:tc>
      </w:tr>
      <w:tr w:rsidR="00B71B4E" w:rsidRPr="00BD16B4" w14:paraId="431AC7E8" w14:textId="77777777" w:rsidTr="00F31129">
        <w:tc>
          <w:tcPr>
            <w:tcW w:w="3915" w:type="dxa"/>
            <w:shd w:val="clear" w:color="auto" w:fill="auto"/>
          </w:tcPr>
          <w:p w14:paraId="1D1F966A" w14:textId="77777777" w:rsidR="00B71B4E" w:rsidRPr="00BD16B4" w:rsidRDefault="00B71B4E" w:rsidP="00F31129">
            <w:pPr>
              <w:pStyle w:val="TableText"/>
              <w:spacing w:before="40" w:after="40"/>
            </w:pPr>
            <w:r w:rsidRPr="00BD16B4">
              <w:t>Green Climate Fund</w:t>
            </w:r>
          </w:p>
        </w:tc>
        <w:tc>
          <w:tcPr>
            <w:tcW w:w="903" w:type="dxa"/>
            <w:shd w:val="clear" w:color="auto" w:fill="auto"/>
          </w:tcPr>
          <w:p w14:paraId="5FDA27B0" w14:textId="77777777" w:rsidR="00B71B4E" w:rsidRPr="00BD16B4" w:rsidRDefault="00B71B4E" w:rsidP="00F31129">
            <w:pPr>
              <w:pStyle w:val="TableText"/>
              <w:spacing w:before="40" w:after="40"/>
              <w:jc w:val="center"/>
            </w:pPr>
            <w:r w:rsidRPr="00BD16B4">
              <w:t>0.00</w:t>
            </w:r>
          </w:p>
        </w:tc>
        <w:tc>
          <w:tcPr>
            <w:tcW w:w="904" w:type="dxa"/>
            <w:shd w:val="clear" w:color="auto" w:fill="auto"/>
          </w:tcPr>
          <w:p w14:paraId="4F317A35" w14:textId="77777777" w:rsidR="00B71B4E" w:rsidRPr="00BD16B4" w:rsidRDefault="00B71B4E" w:rsidP="00F31129">
            <w:pPr>
              <w:pStyle w:val="TableText"/>
              <w:spacing w:before="40" w:after="40"/>
              <w:jc w:val="center"/>
            </w:pPr>
            <w:r w:rsidRPr="00BD16B4">
              <w:t>0.00</w:t>
            </w:r>
          </w:p>
        </w:tc>
        <w:tc>
          <w:tcPr>
            <w:tcW w:w="903" w:type="dxa"/>
            <w:shd w:val="clear" w:color="auto" w:fill="auto"/>
          </w:tcPr>
          <w:p w14:paraId="382A12FA" w14:textId="77777777" w:rsidR="00B71B4E" w:rsidRPr="00BD16B4" w:rsidRDefault="00B71B4E" w:rsidP="00F31129">
            <w:pPr>
              <w:pStyle w:val="TableText"/>
              <w:spacing w:before="40" w:after="40"/>
              <w:jc w:val="center"/>
            </w:pPr>
            <w:r w:rsidRPr="00BD16B4">
              <w:t>15.00</w:t>
            </w:r>
          </w:p>
        </w:tc>
        <w:tc>
          <w:tcPr>
            <w:tcW w:w="756" w:type="dxa"/>
            <w:shd w:val="clear" w:color="auto" w:fill="auto"/>
            <w:noWrap/>
          </w:tcPr>
          <w:p w14:paraId="4126E4DA" w14:textId="77777777" w:rsidR="00B71B4E" w:rsidRPr="00BD16B4" w:rsidRDefault="00B71B4E" w:rsidP="00F31129">
            <w:pPr>
              <w:pStyle w:val="TableText"/>
              <w:spacing w:before="40" w:after="40"/>
              <w:jc w:val="center"/>
            </w:pPr>
            <w:r w:rsidRPr="00BD16B4">
              <w:t>9.88</w:t>
            </w:r>
          </w:p>
        </w:tc>
        <w:tc>
          <w:tcPr>
            <w:tcW w:w="1020" w:type="dxa"/>
            <w:shd w:val="clear" w:color="auto" w:fill="auto"/>
            <w:noWrap/>
          </w:tcPr>
          <w:p w14:paraId="0C26457B" w14:textId="77777777" w:rsidR="00B71B4E" w:rsidRPr="00BD16B4" w:rsidRDefault="00B71B4E" w:rsidP="00F31129">
            <w:pPr>
              <w:pStyle w:val="TableText"/>
              <w:spacing w:before="40" w:after="40"/>
            </w:pPr>
            <w:r w:rsidRPr="00BD16B4">
              <w:t>Disbursed</w:t>
            </w:r>
          </w:p>
        </w:tc>
        <w:tc>
          <w:tcPr>
            <w:tcW w:w="955" w:type="dxa"/>
            <w:shd w:val="clear" w:color="auto" w:fill="auto"/>
            <w:noWrap/>
          </w:tcPr>
          <w:p w14:paraId="334441B2" w14:textId="77777777" w:rsidR="00B71B4E" w:rsidRPr="00BD16B4" w:rsidRDefault="00B71B4E" w:rsidP="00F31129">
            <w:pPr>
              <w:pStyle w:val="TableText"/>
              <w:spacing w:before="40" w:after="40"/>
            </w:pPr>
            <w:r w:rsidRPr="00BD16B4">
              <w:t>ODA</w:t>
            </w:r>
          </w:p>
        </w:tc>
        <w:tc>
          <w:tcPr>
            <w:tcW w:w="1478" w:type="dxa"/>
            <w:shd w:val="clear" w:color="auto" w:fill="auto"/>
            <w:noWrap/>
          </w:tcPr>
          <w:p w14:paraId="5C99247A" w14:textId="77777777" w:rsidR="00B71B4E" w:rsidRPr="00BD16B4" w:rsidRDefault="00B71B4E" w:rsidP="00F31129">
            <w:pPr>
              <w:pStyle w:val="TableText"/>
              <w:spacing w:before="40" w:after="40"/>
            </w:pPr>
            <w:r w:rsidRPr="00BD16B4">
              <w:t>Grant</w:t>
            </w:r>
          </w:p>
        </w:tc>
        <w:tc>
          <w:tcPr>
            <w:tcW w:w="1217" w:type="dxa"/>
            <w:shd w:val="clear" w:color="auto" w:fill="auto"/>
            <w:noWrap/>
          </w:tcPr>
          <w:p w14:paraId="7A193BDA" w14:textId="77777777" w:rsidR="00B71B4E" w:rsidRPr="00BD16B4" w:rsidRDefault="00B71B4E" w:rsidP="00F31129">
            <w:pPr>
              <w:pStyle w:val="TableText"/>
              <w:spacing w:before="40" w:after="40"/>
            </w:pPr>
            <w:r w:rsidRPr="00BD16B4">
              <w:t>Cross-cutting</w:t>
            </w:r>
          </w:p>
        </w:tc>
        <w:tc>
          <w:tcPr>
            <w:tcW w:w="2464" w:type="dxa"/>
            <w:shd w:val="clear" w:color="auto" w:fill="auto"/>
            <w:noWrap/>
          </w:tcPr>
          <w:p w14:paraId="351A0ABD" w14:textId="77777777" w:rsidR="00B71B4E" w:rsidRPr="00BD16B4" w:rsidRDefault="00B71B4E" w:rsidP="00F31129">
            <w:pPr>
              <w:pStyle w:val="TableText"/>
              <w:spacing w:before="40" w:after="40"/>
            </w:pPr>
            <w:r w:rsidRPr="00BD16B4">
              <w:t>Multi-sector</w:t>
            </w:r>
          </w:p>
        </w:tc>
      </w:tr>
      <w:tr w:rsidR="00B71B4E" w:rsidRPr="00BD16B4" w14:paraId="15A72ACD" w14:textId="77777777" w:rsidTr="00F31129">
        <w:tc>
          <w:tcPr>
            <w:tcW w:w="3915" w:type="dxa"/>
            <w:tcBorders>
              <w:bottom w:val="single" w:sz="4" w:space="0" w:color="1B556B" w:themeColor="text2"/>
            </w:tcBorders>
            <w:shd w:val="clear" w:color="auto" w:fill="auto"/>
            <w:hideMark/>
          </w:tcPr>
          <w:p w14:paraId="7573E18D" w14:textId="77777777" w:rsidR="00B71B4E" w:rsidRPr="00BD16B4" w:rsidRDefault="00B71B4E" w:rsidP="00F31129">
            <w:pPr>
              <w:pStyle w:val="TableTextBold0"/>
              <w:spacing w:before="40" w:after="40"/>
            </w:pPr>
            <w:r w:rsidRPr="00BD16B4">
              <w:t xml:space="preserve">Subtotal </w:t>
            </w:r>
          </w:p>
        </w:tc>
        <w:tc>
          <w:tcPr>
            <w:tcW w:w="903" w:type="dxa"/>
            <w:tcBorders>
              <w:bottom w:val="single" w:sz="4" w:space="0" w:color="1B556B" w:themeColor="text2"/>
            </w:tcBorders>
            <w:shd w:val="clear" w:color="auto" w:fill="auto"/>
            <w:hideMark/>
          </w:tcPr>
          <w:p w14:paraId="79A0C8FE" w14:textId="77777777" w:rsidR="00B71B4E" w:rsidRPr="00BD16B4" w:rsidRDefault="00B71B4E" w:rsidP="00F31129">
            <w:pPr>
              <w:pStyle w:val="TableTextBold0"/>
              <w:spacing w:before="40" w:after="40"/>
              <w:jc w:val="center"/>
            </w:pPr>
            <w:r w:rsidRPr="00BD16B4">
              <w:t>0.28</w:t>
            </w:r>
          </w:p>
        </w:tc>
        <w:tc>
          <w:tcPr>
            <w:tcW w:w="904" w:type="dxa"/>
            <w:tcBorders>
              <w:bottom w:val="single" w:sz="4" w:space="0" w:color="1B556B" w:themeColor="text2"/>
            </w:tcBorders>
            <w:shd w:val="clear" w:color="auto" w:fill="auto"/>
            <w:hideMark/>
          </w:tcPr>
          <w:p w14:paraId="284BB255" w14:textId="77777777" w:rsidR="00B71B4E" w:rsidRPr="00BD16B4" w:rsidRDefault="00B71B4E" w:rsidP="00F31129">
            <w:pPr>
              <w:pStyle w:val="TableTextBold0"/>
              <w:spacing w:before="40" w:after="40"/>
              <w:jc w:val="center"/>
            </w:pPr>
            <w:r w:rsidRPr="00BD16B4">
              <w:t>0.19</w:t>
            </w:r>
          </w:p>
        </w:tc>
        <w:tc>
          <w:tcPr>
            <w:tcW w:w="903" w:type="dxa"/>
            <w:tcBorders>
              <w:bottom w:val="single" w:sz="4" w:space="0" w:color="1B556B" w:themeColor="text2"/>
            </w:tcBorders>
            <w:shd w:val="clear" w:color="auto" w:fill="auto"/>
            <w:hideMark/>
          </w:tcPr>
          <w:p w14:paraId="7B053CAB" w14:textId="77777777" w:rsidR="00B71B4E" w:rsidRPr="00BD16B4" w:rsidRDefault="00B71B4E" w:rsidP="00F31129">
            <w:pPr>
              <w:pStyle w:val="TableTextBold0"/>
              <w:spacing w:before="40" w:after="40"/>
              <w:jc w:val="center"/>
            </w:pPr>
            <w:r w:rsidRPr="00BD16B4">
              <w:t>19.38</w:t>
            </w:r>
          </w:p>
        </w:tc>
        <w:tc>
          <w:tcPr>
            <w:tcW w:w="756" w:type="dxa"/>
            <w:tcBorders>
              <w:bottom w:val="single" w:sz="4" w:space="0" w:color="1B556B" w:themeColor="text2"/>
            </w:tcBorders>
            <w:shd w:val="clear" w:color="auto" w:fill="auto"/>
            <w:noWrap/>
            <w:hideMark/>
          </w:tcPr>
          <w:p w14:paraId="12F56B81" w14:textId="77777777" w:rsidR="00B71B4E" w:rsidRPr="00BD16B4" w:rsidRDefault="00B71B4E" w:rsidP="00F31129">
            <w:pPr>
              <w:pStyle w:val="TableTextBold0"/>
              <w:spacing w:before="40" w:after="40"/>
              <w:jc w:val="center"/>
            </w:pPr>
            <w:r w:rsidRPr="00BD16B4">
              <w:t>12.77</w:t>
            </w:r>
          </w:p>
        </w:tc>
        <w:tc>
          <w:tcPr>
            <w:tcW w:w="1020" w:type="dxa"/>
            <w:tcBorders>
              <w:bottom w:val="single" w:sz="4" w:space="0" w:color="1B556B" w:themeColor="text2"/>
            </w:tcBorders>
            <w:shd w:val="clear" w:color="auto" w:fill="auto"/>
            <w:noWrap/>
            <w:hideMark/>
          </w:tcPr>
          <w:p w14:paraId="6C29DF3F" w14:textId="77777777" w:rsidR="00B71B4E" w:rsidRPr="00BD16B4" w:rsidRDefault="00B71B4E" w:rsidP="00F31129">
            <w:pPr>
              <w:pStyle w:val="TableTextBold0"/>
              <w:spacing w:before="40" w:after="40"/>
            </w:pPr>
            <w:r w:rsidRPr="00BD16B4">
              <w:t> </w:t>
            </w:r>
          </w:p>
        </w:tc>
        <w:tc>
          <w:tcPr>
            <w:tcW w:w="955" w:type="dxa"/>
            <w:tcBorders>
              <w:bottom w:val="single" w:sz="4" w:space="0" w:color="1B556B" w:themeColor="text2"/>
            </w:tcBorders>
            <w:shd w:val="clear" w:color="auto" w:fill="auto"/>
            <w:noWrap/>
            <w:hideMark/>
          </w:tcPr>
          <w:p w14:paraId="1D66543F" w14:textId="77777777" w:rsidR="00B71B4E" w:rsidRPr="00BD16B4" w:rsidRDefault="00B71B4E" w:rsidP="00F31129">
            <w:pPr>
              <w:pStyle w:val="TableTextBold0"/>
              <w:spacing w:before="40" w:after="40"/>
            </w:pPr>
            <w:r w:rsidRPr="00BD16B4">
              <w:t> </w:t>
            </w:r>
          </w:p>
        </w:tc>
        <w:tc>
          <w:tcPr>
            <w:tcW w:w="1478" w:type="dxa"/>
            <w:tcBorders>
              <w:bottom w:val="single" w:sz="4" w:space="0" w:color="1B556B" w:themeColor="text2"/>
            </w:tcBorders>
            <w:shd w:val="clear" w:color="auto" w:fill="auto"/>
            <w:noWrap/>
            <w:hideMark/>
          </w:tcPr>
          <w:p w14:paraId="79BABF23" w14:textId="77777777" w:rsidR="00B71B4E" w:rsidRPr="00BD16B4" w:rsidRDefault="00B71B4E" w:rsidP="00F31129">
            <w:pPr>
              <w:pStyle w:val="TableTextBold0"/>
              <w:spacing w:before="40" w:after="40"/>
            </w:pPr>
            <w:r w:rsidRPr="00BD16B4">
              <w:t> </w:t>
            </w:r>
          </w:p>
        </w:tc>
        <w:tc>
          <w:tcPr>
            <w:tcW w:w="1217" w:type="dxa"/>
            <w:tcBorders>
              <w:bottom w:val="single" w:sz="4" w:space="0" w:color="1B556B" w:themeColor="text2"/>
            </w:tcBorders>
            <w:shd w:val="clear" w:color="auto" w:fill="auto"/>
            <w:noWrap/>
            <w:hideMark/>
          </w:tcPr>
          <w:p w14:paraId="0C43A225" w14:textId="77777777" w:rsidR="00B71B4E" w:rsidRPr="00BD16B4" w:rsidRDefault="00B71B4E" w:rsidP="00F31129">
            <w:pPr>
              <w:pStyle w:val="TableTextBold0"/>
              <w:spacing w:before="40" w:after="40"/>
            </w:pPr>
            <w:r w:rsidRPr="00BD16B4">
              <w:t> </w:t>
            </w:r>
          </w:p>
        </w:tc>
        <w:tc>
          <w:tcPr>
            <w:tcW w:w="2464" w:type="dxa"/>
            <w:tcBorders>
              <w:bottom w:val="single" w:sz="4" w:space="0" w:color="1B556B" w:themeColor="text2"/>
            </w:tcBorders>
            <w:shd w:val="clear" w:color="auto" w:fill="auto"/>
            <w:noWrap/>
            <w:hideMark/>
          </w:tcPr>
          <w:p w14:paraId="19B025CF" w14:textId="77777777" w:rsidR="00B71B4E" w:rsidRPr="00BD16B4" w:rsidRDefault="00B71B4E" w:rsidP="00F31129">
            <w:pPr>
              <w:pStyle w:val="TableTextBold0"/>
              <w:spacing w:before="40" w:after="40"/>
            </w:pPr>
            <w:r w:rsidRPr="00BD16B4">
              <w:t> </w:t>
            </w:r>
          </w:p>
        </w:tc>
      </w:tr>
      <w:tr w:rsidR="00B71B4E" w:rsidRPr="00BD16B4" w14:paraId="4208A064" w14:textId="77777777" w:rsidTr="00F31129">
        <w:tc>
          <w:tcPr>
            <w:tcW w:w="3915" w:type="dxa"/>
            <w:shd w:val="clear" w:color="000000" w:fill="D2DDE1" w:themeFill="background2"/>
            <w:hideMark/>
          </w:tcPr>
          <w:p w14:paraId="4921C194" w14:textId="77777777" w:rsidR="00B71B4E" w:rsidRPr="00BD16B4" w:rsidRDefault="00B71B4E" w:rsidP="00F31129">
            <w:pPr>
              <w:pStyle w:val="TableTextBold0"/>
              <w:spacing w:before="40" w:after="40"/>
            </w:pPr>
            <w:r w:rsidRPr="00BD16B4">
              <w:t>Multilateral financial institutions, including regional development banks</w:t>
            </w:r>
          </w:p>
        </w:tc>
        <w:tc>
          <w:tcPr>
            <w:tcW w:w="903" w:type="dxa"/>
            <w:shd w:val="clear" w:color="000000" w:fill="D2DDE1" w:themeFill="background2"/>
            <w:noWrap/>
            <w:hideMark/>
          </w:tcPr>
          <w:p w14:paraId="2F0C3311" w14:textId="77777777" w:rsidR="00B71B4E" w:rsidRPr="00BD16B4" w:rsidRDefault="00B71B4E" w:rsidP="00F31129">
            <w:pPr>
              <w:pStyle w:val="TableTextBold0"/>
              <w:spacing w:before="40" w:after="40"/>
              <w:jc w:val="center"/>
              <w:rPr>
                <w:rFonts w:ascii="Arial" w:hAnsi="Arial" w:cs="Arial"/>
              </w:rPr>
            </w:pPr>
          </w:p>
        </w:tc>
        <w:tc>
          <w:tcPr>
            <w:tcW w:w="904" w:type="dxa"/>
            <w:shd w:val="clear" w:color="000000" w:fill="D2DDE1" w:themeFill="background2"/>
            <w:noWrap/>
            <w:hideMark/>
          </w:tcPr>
          <w:p w14:paraId="020FE706" w14:textId="77777777" w:rsidR="00B71B4E" w:rsidRPr="00BD16B4" w:rsidRDefault="00B71B4E" w:rsidP="00F31129">
            <w:pPr>
              <w:pStyle w:val="TableTextBold0"/>
              <w:spacing w:before="40" w:after="40"/>
              <w:jc w:val="center"/>
              <w:rPr>
                <w:rFonts w:ascii="Arial" w:hAnsi="Arial" w:cs="Arial"/>
              </w:rPr>
            </w:pPr>
          </w:p>
        </w:tc>
        <w:tc>
          <w:tcPr>
            <w:tcW w:w="903" w:type="dxa"/>
            <w:shd w:val="clear" w:color="000000" w:fill="D2DDE1" w:themeFill="background2"/>
            <w:hideMark/>
          </w:tcPr>
          <w:p w14:paraId="371E8E79" w14:textId="77777777" w:rsidR="00B71B4E" w:rsidRPr="00BD16B4" w:rsidRDefault="00B71B4E" w:rsidP="00F31129">
            <w:pPr>
              <w:pStyle w:val="TableTextBold0"/>
              <w:spacing w:before="40" w:after="40"/>
              <w:jc w:val="center"/>
            </w:pPr>
          </w:p>
        </w:tc>
        <w:tc>
          <w:tcPr>
            <w:tcW w:w="756" w:type="dxa"/>
            <w:shd w:val="clear" w:color="000000" w:fill="D2DDE1" w:themeFill="background2"/>
            <w:hideMark/>
          </w:tcPr>
          <w:p w14:paraId="2A4C81C4" w14:textId="77777777" w:rsidR="00B71B4E" w:rsidRPr="00BD16B4" w:rsidRDefault="00B71B4E" w:rsidP="00F31129">
            <w:pPr>
              <w:pStyle w:val="TableTextBold0"/>
              <w:spacing w:before="40" w:after="40"/>
              <w:jc w:val="center"/>
            </w:pPr>
          </w:p>
        </w:tc>
        <w:tc>
          <w:tcPr>
            <w:tcW w:w="1020" w:type="dxa"/>
            <w:shd w:val="clear" w:color="000000" w:fill="D2DDE1" w:themeFill="background2"/>
            <w:noWrap/>
            <w:hideMark/>
          </w:tcPr>
          <w:p w14:paraId="541B0376" w14:textId="77777777" w:rsidR="00B71B4E" w:rsidRPr="00BD16B4" w:rsidRDefault="00B71B4E" w:rsidP="00F31129">
            <w:pPr>
              <w:pStyle w:val="TableTextBold0"/>
              <w:spacing w:before="40" w:after="40"/>
            </w:pPr>
            <w:r w:rsidRPr="00BD16B4">
              <w:t> </w:t>
            </w:r>
          </w:p>
        </w:tc>
        <w:tc>
          <w:tcPr>
            <w:tcW w:w="955" w:type="dxa"/>
            <w:shd w:val="clear" w:color="000000" w:fill="D2DDE1" w:themeFill="background2"/>
            <w:noWrap/>
            <w:hideMark/>
          </w:tcPr>
          <w:p w14:paraId="2B6095BE" w14:textId="77777777" w:rsidR="00B71B4E" w:rsidRPr="00BD16B4" w:rsidRDefault="00B71B4E" w:rsidP="00F31129">
            <w:pPr>
              <w:pStyle w:val="TableTextBold0"/>
              <w:spacing w:before="40" w:after="40"/>
            </w:pPr>
            <w:r w:rsidRPr="00BD16B4">
              <w:t> </w:t>
            </w:r>
          </w:p>
        </w:tc>
        <w:tc>
          <w:tcPr>
            <w:tcW w:w="1478" w:type="dxa"/>
            <w:shd w:val="clear" w:color="000000" w:fill="D2DDE1" w:themeFill="background2"/>
            <w:noWrap/>
            <w:hideMark/>
          </w:tcPr>
          <w:p w14:paraId="335D65A1" w14:textId="77777777" w:rsidR="00B71B4E" w:rsidRPr="00BD16B4" w:rsidRDefault="00B71B4E" w:rsidP="00F31129">
            <w:pPr>
              <w:pStyle w:val="TableTextBold0"/>
              <w:spacing w:before="40" w:after="40"/>
            </w:pPr>
            <w:r w:rsidRPr="00BD16B4">
              <w:t> </w:t>
            </w:r>
          </w:p>
        </w:tc>
        <w:tc>
          <w:tcPr>
            <w:tcW w:w="1217" w:type="dxa"/>
            <w:shd w:val="clear" w:color="000000" w:fill="D2DDE1" w:themeFill="background2"/>
            <w:noWrap/>
            <w:hideMark/>
          </w:tcPr>
          <w:p w14:paraId="21108F88" w14:textId="77777777" w:rsidR="00B71B4E" w:rsidRPr="00BD16B4" w:rsidRDefault="00B71B4E" w:rsidP="00F31129">
            <w:pPr>
              <w:pStyle w:val="TableTextBold0"/>
              <w:spacing w:before="40" w:after="40"/>
            </w:pPr>
            <w:r w:rsidRPr="00BD16B4">
              <w:t> </w:t>
            </w:r>
          </w:p>
        </w:tc>
        <w:tc>
          <w:tcPr>
            <w:tcW w:w="2464" w:type="dxa"/>
            <w:shd w:val="clear" w:color="000000" w:fill="D2DDE1" w:themeFill="background2"/>
            <w:noWrap/>
            <w:hideMark/>
          </w:tcPr>
          <w:p w14:paraId="135F172C" w14:textId="77777777" w:rsidR="00B71B4E" w:rsidRPr="00BD16B4" w:rsidRDefault="00B71B4E" w:rsidP="00F31129">
            <w:pPr>
              <w:pStyle w:val="TableTextBold0"/>
              <w:spacing w:before="40" w:after="40"/>
            </w:pPr>
            <w:r w:rsidRPr="00BD16B4">
              <w:t> </w:t>
            </w:r>
          </w:p>
        </w:tc>
      </w:tr>
      <w:tr w:rsidR="00B71B4E" w:rsidRPr="00BD16B4" w14:paraId="049F49B6" w14:textId="77777777" w:rsidTr="00F31129">
        <w:tc>
          <w:tcPr>
            <w:tcW w:w="3915" w:type="dxa"/>
            <w:shd w:val="clear" w:color="auto" w:fill="auto"/>
            <w:hideMark/>
          </w:tcPr>
          <w:p w14:paraId="5FFDF903" w14:textId="77777777" w:rsidR="00B71B4E" w:rsidRPr="00BD16B4" w:rsidRDefault="00B71B4E" w:rsidP="00F31129">
            <w:pPr>
              <w:pStyle w:val="TableText"/>
              <w:spacing w:before="40" w:after="40"/>
            </w:pPr>
            <w:r w:rsidRPr="00BD16B4">
              <w:t>World Bank – IDA 18</w:t>
            </w:r>
          </w:p>
        </w:tc>
        <w:tc>
          <w:tcPr>
            <w:tcW w:w="903" w:type="dxa"/>
            <w:shd w:val="clear" w:color="auto" w:fill="auto"/>
            <w:hideMark/>
          </w:tcPr>
          <w:p w14:paraId="2D46DC61" w14:textId="77777777" w:rsidR="00B71B4E" w:rsidRPr="00BD16B4" w:rsidRDefault="00B71B4E" w:rsidP="00F31129">
            <w:pPr>
              <w:pStyle w:val="TableText"/>
              <w:spacing w:before="40" w:after="40"/>
              <w:jc w:val="center"/>
            </w:pPr>
            <w:r w:rsidRPr="00BD16B4">
              <w:t>11.93</w:t>
            </w:r>
          </w:p>
        </w:tc>
        <w:tc>
          <w:tcPr>
            <w:tcW w:w="904" w:type="dxa"/>
            <w:shd w:val="clear" w:color="auto" w:fill="auto"/>
            <w:hideMark/>
          </w:tcPr>
          <w:p w14:paraId="12814B7C" w14:textId="77777777" w:rsidR="00B71B4E" w:rsidRPr="00BD16B4" w:rsidRDefault="00B71B4E" w:rsidP="00F31129">
            <w:pPr>
              <w:pStyle w:val="TableText"/>
              <w:spacing w:before="40" w:after="40"/>
              <w:jc w:val="center"/>
            </w:pPr>
            <w:r w:rsidRPr="00BD16B4">
              <w:t>7.86</w:t>
            </w:r>
          </w:p>
        </w:tc>
        <w:tc>
          <w:tcPr>
            <w:tcW w:w="903" w:type="dxa"/>
            <w:shd w:val="clear" w:color="auto" w:fill="auto"/>
            <w:hideMark/>
          </w:tcPr>
          <w:p w14:paraId="05398A26" w14:textId="77777777" w:rsidR="00B71B4E" w:rsidRPr="00BD16B4" w:rsidRDefault="00B71B4E" w:rsidP="00F31129">
            <w:pPr>
              <w:pStyle w:val="TableText"/>
              <w:spacing w:before="40" w:after="40"/>
              <w:jc w:val="center"/>
            </w:pPr>
            <w:r w:rsidRPr="00BD16B4">
              <w:t>5.36</w:t>
            </w:r>
          </w:p>
        </w:tc>
        <w:tc>
          <w:tcPr>
            <w:tcW w:w="756" w:type="dxa"/>
            <w:shd w:val="clear" w:color="auto" w:fill="auto"/>
            <w:noWrap/>
            <w:hideMark/>
          </w:tcPr>
          <w:p w14:paraId="0B758CD4" w14:textId="77777777" w:rsidR="00B71B4E" w:rsidRPr="00BD16B4" w:rsidRDefault="00B71B4E" w:rsidP="00F31129">
            <w:pPr>
              <w:pStyle w:val="TableText"/>
              <w:spacing w:before="40" w:after="40"/>
              <w:jc w:val="center"/>
            </w:pPr>
            <w:r w:rsidRPr="00BD16B4">
              <w:t>3.53</w:t>
            </w:r>
          </w:p>
        </w:tc>
        <w:tc>
          <w:tcPr>
            <w:tcW w:w="1020" w:type="dxa"/>
            <w:shd w:val="clear" w:color="auto" w:fill="auto"/>
            <w:noWrap/>
            <w:hideMark/>
          </w:tcPr>
          <w:p w14:paraId="37A85D42" w14:textId="77777777" w:rsidR="00B71B4E" w:rsidRPr="00BD16B4" w:rsidRDefault="00B71B4E" w:rsidP="00F31129">
            <w:pPr>
              <w:pStyle w:val="TableText"/>
              <w:spacing w:before="40" w:after="40"/>
            </w:pPr>
            <w:r w:rsidRPr="00BD16B4">
              <w:t>Disbursed</w:t>
            </w:r>
          </w:p>
        </w:tc>
        <w:tc>
          <w:tcPr>
            <w:tcW w:w="955" w:type="dxa"/>
            <w:shd w:val="clear" w:color="auto" w:fill="auto"/>
            <w:noWrap/>
            <w:hideMark/>
          </w:tcPr>
          <w:p w14:paraId="510E8850" w14:textId="77777777" w:rsidR="00B71B4E" w:rsidRPr="00BD16B4" w:rsidRDefault="00B71B4E" w:rsidP="00F31129">
            <w:pPr>
              <w:pStyle w:val="TableText"/>
              <w:spacing w:before="40" w:after="40"/>
            </w:pPr>
            <w:r w:rsidRPr="00BD16B4">
              <w:t>ODA</w:t>
            </w:r>
          </w:p>
        </w:tc>
        <w:tc>
          <w:tcPr>
            <w:tcW w:w="1478" w:type="dxa"/>
            <w:shd w:val="clear" w:color="auto" w:fill="auto"/>
            <w:noWrap/>
            <w:hideMark/>
          </w:tcPr>
          <w:p w14:paraId="35904F03" w14:textId="77777777" w:rsidR="00B71B4E" w:rsidRPr="00BD16B4" w:rsidRDefault="00B71B4E" w:rsidP="00F31129">
            <w:pPr>
              <w:pStyle w:val="TableText"/>
              <w:spacing w:before="40" w:after="40"/>
            </w:pPr>
            <w:r w:rsidRPr="00BD16B4">
              <w:t>Grant</w:t>
            </w:r>
          </w:p>
        </w:tc>
        <w:tc>
          <w:tcPr>
            <w:tcW w:w="1217" w:type="dxa"/>
            <w:shd w:val="clear" w:color="auto" w:fill="auto"/>
            <w:noWrap/>
            <w:hideMark/>
          </w:tcPr>
          <w:p w14:paraId="7C33F9C8" w14:textId="77777777" w:rsidR="00B71B4E" w:rsidRPr="00BD16B4" w:rsidRDefault="00B71B4E" w:rsidP="00F31129">
            <w:pPr>
              <w:pStyle w:val="TableText"/>
              <w:spacing w:before="40" w:after="40"/>
            </w:pPr>
            <w:r w:rsidRPr="00BD16B4">
              <w:t>Cross-cutting</w:t>
            </w:r>
          </w:p>
        </w:tc>
        <w:tc>
          <w:tcPr>
            <w:tcW w:w="2464" w:type="dxa"/>
            <w:shd w:val="clear" w:color="auto" w:fill="auto"/>
            <w:noWrap/>
            <w:hideMark/>
          </w:tcPr>
          <w:p w14:paraId="710269BC" w14:textId="77777777" w:rsidR="00B71B4E" w:rsidRPr="00BD16B4" w:rsidRDefault="00B71B4E" w:rsidP="00F31129">
            <w:pPr>
              <w:pStyle w:val="TableText"/>
              <w:spacing w:before="40" w:after="40"/>
            </w:pPr>
            <w:r w:rsidRPr="00BD16B4">
              <w:t>Multi-sector</w:t>
            </w:r>
          </w:p>
        </w:tc>
      </w:tr>
      <w:tr w:rsidR="00B71B4E" w:rsidRPr="00BD16B4" w14:paraId="51603675" w14:textId="77777777" w:rsidTr="00F31129">
        <w:tc>
          <w:tcPr>
            <w:tcW w:w="3915" w:type="dxa"/>
            <w:shd w:val="clear" w:color="auto" w:fill="auto"/>
            <w:hideMark/>
          </w:tcPr>
          <w:p w14:paraId="6DDB7AB2" w14:textId="77777777" w:rsidR="00B71B4E" w:rsidRPr="00BD16B4" w:rsidRDefault="00B71B4E" w:rsidP="00F31129">
            <w:pPr>
              <w:pStyle w:val="TableText"/>
              <w:spacing w:before="40" w:after="40"/>
            </w:pPr>
            <w:r w:rsidRPr="00BD16B4">
              <w:t>Asian Development Bank – ADF 12</w:t>
            </w:r>
          </w:p>
        </w:tc>
        <w:tc>
          <w:tcPr>
            <w:tcW w:w="903" w:type="dxa"/>
            <w:shd w:val="clear" w:color="auto" w:fill="auto"/>
            <w:hideMark/>
          </w:tcPr>
          <w:p w14:paraId="17FEE59E" w14:textId="77777777" w:rsidR="00B71B4E" w:rsidRPr="00BD16B4" w:rsidRDefault="00B71B4E" w:rsidP="00F31129">
            <w:pPr>
              <w:pStyle w:val="TableText"/>
              <w:spacing w:before="40" w:after="40"/>
              <w:jc w:val="center"/>
            </w:pPr>
            <w:r w:rsidRPr="00BD16B4">
              <w:t>4.79</w:t>
            </w:r>
          </w:p>
        </w:tc>
        <w:tc>
          <w:tcPr>
            <w:tcW w:w="904" w:type="dxa"/>
            <w:shd w:val="clear" w:color="auto" w:fill="auto"/>
            <w:hideMark/>
          </w:tcPr>
          <w:p w14:paraId="28BBA80E" w14:textId="77777777" w:rsidR="00B71B4E" w:rsidRPr="00BD16B4" w:rsidRDefault="00B71B4E" w:rsidP="00F31129">
            <w:pPr>
              <w:pStyle w:val="TableText"/>
              <w:spacing w:before="40" w:after="40"/>
              <w:jc w:val="center"/>
            </w:pPr>
            <w:r w:rsidRPr="00BD16B4">
              <w:t>3.15</w:t>
            </w:r>
          </w:p>
        </w:tc>
        <w:tc>
          <w:tcPr>
            <w:tcW w:w="903" w:type="dxa"/>
            <w:shd w:val="clear" w:color="auto" w:fill="auto"/>
            <w:hideMark/>
          </w:tcPr>
          <w:p w14:paraId="422AE9C4" w14:textId="77777777" w:rsidR="00B71B4E" w:rsidRPr="00BD16B4" w:rsidRDefault="00B71B4E" w:rsidP="00F31129">
            <w:pPr>
              <w:pStyle w:val="TableText"/>
              <w:spacing w:before="40" w:after="40"/>
              <w:jc w:val="center"/>
            </w:pPr>
            <w:r w:rsidRPr="00BD16B4">
              <w:t>1.86</w:t>
            </w:r>
          </w:p>
        </w:tc>
        <w:tc>
          <w:tcPr>
            <w:tcW w:w="756" w:type="dxa"/>
            <w:shd w:val="clear" w:color="auto" w:fill="auto"/>
            <w:noWrap/>
            <w:hideMark/>
          </w:tcPr>
          <w:p w14:paraId="0356E564" w14:textId="77777777" w:rsidR="00B71B4E" w:rsidRPr="00BD16B4" w:rsidRDefault="00B71B4E" w:rsidP="00F31129">
            <w:pPr>
              <w:pStyle w:val="TableText"/>
              <w:spacing w:before="40" w:after="40"/>
              <w:jc w:val="center"/>
            </w:pPr>
            <w:r w:rsidRPr="00BD16B4">
              <w:t>1.23</w:t>
            </w:r>
          </w:p>
        </w:tc>
        <w:tc>
          <w:tcPr>
            <w:tcW w:w="1020" w:type="dxa"/>
            <w:shd w:val="clear" w:color="auto" w:fill="auto"/>
            <w:noWrap/>
            <w:hideMark/>
          </w:tcPr>
          <w:p w14:paraId="37AAD0FF" w14:textId="77777777" w:rsidR="00B71B4E" w:rsidRPr="00BD16B4" w:rsidRDefault="00B71B4E" w:rsidP="00F31129">
            <w:pPr>
              <w:pStyle w:val="TableText"/>
              <w:spacing w:before="40" w:after="40"/>
            </w:pPr>
            <w:r w:rsidRPr="00BD16B4">
              <w:t>Disbursed</w:t>
            </w:r>
          </w:p>
        </w:tc>
        <w:tc>
          <w:tcPr>
            <w:tcW w:w="955" w:type="dxa"/>
            <w:shd w:val="clear" w:color="auto" w:fill="auto"/>
            <w:noWrap/>
            <w:hideMark/>
          </w:tcPr>
          <w:p w14:paraId="2F208BCC" w14:textId="77777777" w:rsidR="00B71B4E" w:rsidRPr="00BD16B4" w:rsidRDefault="00B71B4E" w:rsidP="00F31129">
            <w:pPr>
              <w:pStyle w:val="TableText"/>
              <w:spacing w:before="40" w:after="40"/>
            </w:pPr>
            <w:r w:rsidRPr="00BD16B4">
              <w:t>ODA</w:t>
            </w:r>
          </w:p>
        </w:tc>
        <w:tc>
          <w:tcPr>
            <w:tcW w:w="1478" w:type="dxa"/>
            <w:shd w:val="clear" w:color="auto" w:fill="auto"/>
            <w:noWrap/>
            <w:hideMark/>
          </w:tcPr>
          <w:p w14:paraId="0E9FDDB0" w14:textId="77777777" w:rsidR="00B71B4E" w:rsidRPr="00BD16B4" w:rsidRDefault="00B71B4E" w:rsidP="00F31129">
            <w:pPr>
              <w:pStyle w:val="TableText"/>
              <w:spacing w:before="40" w:after="40"/>
            </w:pPr>
            <w:r w:rsidRPr="00BD16B4">
              <w:t>Grant</w:t>
            </w:r>
          </w:p>
        </w:tc>
        <w:tc>
          <w:tcPr>
            <w:tcW w:w="1217" w:type="dxa"/>
            <w:shd w:val="clear" w:color="auto" w:fill="auto"/>
            <w:noWrap/>
            <w:hideMark/>
          </w:tcPr>
          <w:p w14:paraId="260874D7" w14:textId="77777777" w:rsidR="00B71B4E" w:rsidRPr="00BD16B4" w:rsidRDefault="00B71B4E" w:rsidP="00F31129">
            <w:pPr>
              <w:pStyle w:val="TableText"/>
              <w:spacing w:before="40" w:after="40"/>
            </w:pPr>
            <w:r w:rsidRPr="00BD16B4">
              <w:t>Cross-cutting</w:t>
            </w:r>
          </w:p>
        </w:tc>
        <w:tc>
          <w:tcPr>
            <w:tcW w:w="2464" w:type="dxa"/>
            <w:shd w:val="clear" w:color="auto" w:fill="auto"/>
            <w:noWrap/>
            <w:hideMark/>
          </w:tcPr>
          <w:p w14:paraId="2D773605" w14:textId="77777777" w:rsidR="00B71B4E" w:rsidRPr="00BD16B4" w:rsidRDefault="00B71B4E" w:rsidP="00F31129">
            <w:pPr>
              <w:pStyle w:val="TableText"/>
              <w:spacing w:before="40" w:after="40"/>
            </w:pPr>
            <w:r w:rsidRPr="00BD16B4">
              <w:t>Multi-sector</w:t>
            </w:r>
          </w:p>
        </w:tc>
      </w:tr>
      <w:tr w:rsidR="00B71B4E" w:rsidRPr="00BD16B4" w14:paraId="505DA75A" w14:textId="77777777" w:rsidTr="00F31129">
        <w:tc>
          <w:tcPr>
            <w:tcW w:w="3915" w:type="dxa"/>
            <w:tcBorders>
              <w:bottom w:val="single" w:sz="4" w:space="0" w:color="1B556B" w:themeColor="text2"/>
            </w:tcBorders>
            <w:shd w:val="clear" w:color="auto" w:fill="auto"/>
            <w:hideMark/>
          </w:tcPr>
          <w:p w14:paraId="7315FBC5" w14:textId="77777777" w:rsidR="00B71B4E" w:rsidRPr="00BD16B4" w:rsidRDefault="00B71B4E" w:rsidP="00F31129">
            <w:pPr>
              <w:pStyle w:val="TableTextBold0"/>
              <w:spacing w:before="40" w:after="40"/>
            </w:pPr>
            <w:r w:rsidRPr="00BD16B4">
              <w:t xml:space="preserve">Subtotal </w:t>
            </w:r>
          </w:p>
        </w:tc>
        <w:tc>
          <w:tcPr>
            <w:tcW w:w="903" w:type="dxa"/>
            <w:tcBorders>
              <w:bottom w:val="single" w:sz="4" w:space="0" w:color="1B556B" w:themeColor="text2"/>
            </w:tcBorders>
            <w:shd w:val="clear" w:color="auto" w:fill="auto"/>
            <w:hideMark/>
          </w:tcPr>
          <w:p w14:paraId="2D68A988" w14:textId="77777777" w:rsidR="00B71B4E" w:rsidRPr="00BD16B4" w:rsidRDefault="00B71B4E" w:rsidP="00F31129">
            <w:pPr>
              <w:pStyle w:val="TableTextBold0"/>
              <w:spacing w:before="40" w:after="40"/>
              <w:jc w:val="center"/>
            </w:pPr>
            <w:r w:rsidRPr="00BD16B4">
              <w:t>16.72</w:t>
            </w:r>
          </w:p>
        </w:tc>
        <w:tc>
          <w:tcPr>
            <w:tcW w:w="904" w:type="dxa"/>
            <w:tcBorders>
              <w:bottom w:val="single" w:sz="4" w:space="0" w:color="1B556B" w:themeColor="text2"/>
            </w:tcBorders>
            <w:shd w:val="clear" w:color="auto" w:fill="auto"/>
            <w:hideMark/>
          </w:tcPr>
          <w:p w14:paraId="233C8EB7" w14:textId="77777777" w:rsidR="00B71B4E" w:rsidRPr="00BD16B4" w:rsidRDefault="00B71B4E" w:rsidP="00F31129">
            <w:pPr>
              <w:pStyle w:val="TableTextBold0"/>
              <w:spacing w:before="40" w:after="40"/>
              <w:jc w:val="center"/>
            </w:pPr>
            <w:r w:rsidRPr="00BD16B4">
              <w:t>11.01</w:t>
            </w:r>
          </w:p>
        </w:tc>
        <w:tc>
          <w:tcPr>
            <w:tcW w:w="903" w:type="dxa"/>
            <w:tcBorders>
              <w:bottom w:val="single" w:sz="4" w:space="0" w:color="1B556B" w:themeColor="text2"/>
            </w:tcBorders>
            <w:shd w:val="clear" w:color="auto" w:fill="auto"/>
            <w:hideMark/>
          </w:tcPr>
          <w:p w14:paraId="653BC0D2" w14:textId="77777777" w:rsidR="00B71B4E" w:rsidRPr="00BD16B4" w:rsidRDefault="00B71B4E" w:rsidP="00F31129">
            <w:pPr>
              <w:pStyle w:val="TableTextBold0"/>
              <w:spacing w:before="40" w:after="40"/>
              <w:jc w:val="center"/>
            </w:pPr>
            <w:r w:rsidRPr="00BD16B4">
              <w:t>7.22</w:t>
            </w:r>
          </w:p>
        </w:tc>
        <w:tc>
          <w:tcPr>
            <w:tcW w:w="756" w:type="dxa"/>
            <w:tcBorders>
              <w:bottom w:val="single" w:sz="4" w:space="0" w:color="1B556B" w:themeColor="text2"/>
            </w:tcBorders>
            <w:shd w:val="clear" w:color="auto" w:fill="auto"/>
            <w:noWrap/>
            <w:hideMark/>
          </w:tcPr>
          <w:p w14:paraId="406116EC" w14:textId="77777777" w:rsidR="00B71B4E" w:rsidRPr="00BD16B4" w:rsidRDefault="00B71B4E" w:rsidP="00F31129">
            <w:pPr>
              <w:pStyle w:val="TableTextBold0"/>
              <w:spacing w:before="40" w:after="40"/>
              <w:jc w:val="center"/>
            </w:pPr>
            <w:r w:rsidRPr="00BD16B4">
              <w:t>4.76</w:t>
            </w:r>
          </w:p>
        </w:tc>
        <w:tc>
          <w:tcPr>
            <w:tcW w:w="1020" w:type="dxa"/>
            <w:tcBorders>
              <w:bottom w:val="single" w:sz="4" w:space="0" w:color="1B556B" w:themeColor="text2"/>
            </w:tcBorders>
            <w:shd w:val="clear" w:color="auto" w:fill="auto"/>
            <w:noWrap/>
            <w:hideMark/>
          </w:tcPr>
          <w:p w14:paraId="67B94562" w14:textId="77777777" w:rsidR="00B71B4E" w:rsidRPr="00BD16B4" w:rsidRDefault="00B71B4E" w:rsidP="00F31129">
            <w:pPr>
              <w:pStyle w:val="TableTextBold0"/>
              <w:spacing w:before="40" w:after="40"/>
            </w:pPr>
            <w:r w:rsidRPr="00BD16B4">
              <w:t> </w:t>
            </w:r>
          </w:p>
        </w:tc>
        <w:tc>
          <w:tcPr>
            <w:tcW w:w="955" w:type="dxa"/>
            <w:tcBorders>
              <w:bottom w:val="single" w:sz="4" w:space="0" w:color="1B556B" w:themeColor="text2"/>
            </w:tcBorders>
            <w:shd w:val="clear" w:color="auto" w:fill="auto"/>
            <w:noWrap/>
            <w:hideMark/>
          </w:tcPr>
          <w:p w14:paraId="49A79EC9" w14:textId="77777777" w:rsidR="00B71B4E" w:rsidRPr="00BD16B4" w:rsidRDefault="00B71B4E" w:rsidP="00F31129">
            <w:pPr>
              <w:pStyle w:val="TableTextBold0"/>
              <w:spacing w:before="40" w:after="40"/>
            </w:pPr>
            <w:r w:rsidRPr="00BD16B4">
              <w:t> </w:t>
            </w:r>
          </w:p>
        </w:tc>
        <w:tc>
          <w:tcPr>
            <w:tcW w:w="1478" w:type="dxa"/>
            <w:tcBorders>
              <w:bottom w:val="single" w:sz="4" w:space="0" w:color="1B556B" w:themeColor="text2"/>
            </w:tcBorders>
            <w:shd w:val="clear" w:color="auto" w:fill="auto"/>
            <w:noWrap/>
            <w:hideMark/>
          </w:tcPr>
          <w:p w14:paraId="3E836B39" w14:textId="77777777" w:rsidR="00B71B4E" w:rsidRPr="00BD16B4" w:rsidRDefault="00B71B4E" w:rsidP="00F31129">
            <w:pPr>
              <w:pStyle w:val="TableTextBold0"/>
              <w:spacing w:before="40" w:after="40"/>
            </w:pPr>
            <w:r w:rsidRPr="00BD16B4">
              <w:t> </w:t>
            </w:r>
          </w:p>
        </w:tc>
        <w:tc>
          <w:tcPr>
            <w:tcW w:w="1217" w:type="dxa"/>
            <w:tcBorders>
              <w:bottom w:val="single" w:sz="4" w:space="0" w:color="1B556B" w:themeColor="text2"/>
            </w:tcBorders>
            <w:shd w:val="clear" w:color="auto" w:fill="auto"/>
            <w:noWrap/>
            <w:hideMark/>
          </w:tcPr>
          <w:p w14:paraId="52B53A41" w14:textId="77777777" w:rsidR="00B71B4E" w:rsidRPr="00BD16B4" w:rsidRDefault="00B71B4E" w:rsidP="00F31129">
            <w:pPr>
              <w:pStyle w:val="TableTextBold0"/>
              <w:spacing w:before="40" w:after="40"/>
            </w:pPr>
            <w:r w:rsidRPr="00BD16B4">
              <w:t> </w:t>
            </w:r>
          </w:p>
        </w:tc>
        <w:tc>
          <w:tcPr>
            <w:tcW w:w="2464" w:type="dxa"/>
            <w:tcBorders>
              <w:bottom w:val="single" w:sz="4" w:space="0" w:color="1B556B" w:themeColor="text2"/>
            </w:tcBorders>
            <w:shd w:val="clear" w:color="auto" w:fill="auto"/>
            <w:noWrap/>
            <w:hideMark/>
          </w:tcPr>
          <w:p w14:paraId="0D88B392" w14:textId="77777777" w:rsidR="00B71B4E" w:rsidRPr="00BD16B4" w:rsidRDefault="00B71B4E" w:rsidP="00F31129">
            <w:pPr>
              <w:pStyle w:val="TableTextBold0"/>
              <w:spacing w:before="40" w:after="40"/>
            </w:pPr>
            <w:r w:rsidRPr="00BD16B4">
              <w:t> </w:t>
            </w:r>
          </w:p>
        </w:tc>
      </w:tr>
      <w:tr w:rsidR="00B71B4E" w:rsidRPr="00BD16B4" w14:paraId="17FE1D7F" w14:textId="77777777" w:rsidTr="00F31129">
        <w:tc>
          <w:tcPr>
            <w:tcW w:w="3915" w:type="dxa"/>
            <w:shd w:val="clear" w:color="000000" w:fill="D2DDE1" w:themeFill="background2"/>
            <w:hideMark/>
          </w:tcPr>
          <w:p w14:paraId="33EA1431" w14:textId="77777777" w:rsidR="00B71B4E" w:rsidRPr="00BD16B4" w:rsidRDefault="00B71B4E" w:rsidP="00F31129">
            <w:pPr>
              <w:pStyle w:val="TableTextBold0"/>
              <w:spacing w:before="40" w:after="40"/>
            </w:pPr>
            <w:r w:rsidRPr="00BD16B4">
              <w:t>Specialised United Nations bodies</w:t>
            </w:r>
          </w:p>
        </w:tc>
        <w:tc>
          <w:tcPr>
            <w:tcW w:w="903" w:type="dxa"/>
            <w:shd w:val="clear" w:color="000000" w:fill="D2DDE1" w:themeFill="background2"/>
            <w:noWrap/>
            <w:hideMark/>
          </w:tcPr>
          <w:p w14:paraId="3615763D" w14:textId="77777777" w:rsidR="00B71B4E" w:rsidRPr="00BD16B4" w:rsidRDefault="00B71B4E" w:rsidP="00F31129">
            <w:pPr>
              <w:pStyle w:val="TableTextBold0"/>
              <w:spacing w:before="40" w:after="40"/>
              <w:jc w:val="center"/>
              <w:rPr>
                <w:rFonts w:ascii="Arial" w:hAnsi="Arial" w:cs="Arial"/>
              </w:rPr>
            </w:pPr>
          </w:p>
        </w:tc>
        <w:tc>
          <w:tcPr>
            <w:tcW w:w="904" w:type="dxa"/>
            <w:shd w:val="clear" w:color="000000" w:fill="D2DDE1" w:themeFill="background2"/>
            <w:noWrap/>
            <w:hideMark/>
          </w:tcPr>
          <w:p w14:paraId="7065E536" w14:textId="77777777" w:rsidR="00B71B4E" w:rsidRPr="00BD16B4" w:rsidRDefault="00B71B4E" w:rsidP="00F31129">
            <w:pPr>
              <w:pStyle w:val="TableTextBold0"/>
              <w:spacing w:before="40" w:after="40"/>
              <w:jc w:val="center"/>
              <w:rPr>
                <w:rFonts w:ascii="Arial" w:hAnsi="Arial" w:cs="Arial"/>
              </w:rPr>
            </w:pPr>
          </w:p>
        </w:tc>
        <w:tc>
          <w:tcPr>
            <w:tcW w:w="903" w:type="dxa"/>
            <w:shd w:val="clear" w:color="000000" w:fill="D2DDE1" w:themeFill="background2"/>
            <w:noWrap/>
            <w:hideMark/>
          </w:tcPr>
          <w:p w14:paraId="10174DC5" w14:textId="77777777" w:rsidR="00B71B4E" w:rsidRPr="00BD16B4" w:rsidRDefault="00B71B4E" w:rsidP="00F31129">
            <w:pPr>
              <w:pStyle w:val="TableTextBold0"/>
              <w:spacing w:before="40" w:after="40"/>
              <w:jc w:val="center"/>
              <w:rPr>
                <w:rFonts w:ascii="Arial" w:hAnsi="Arial" w:cs="Arial"/>
              </w:rPr>
            </w:pPr>
          </w:p>
        </w:tc>
        <w:tc>
          <w:tcPr>
            <w:tcW w:w="756" w:type="dxa"/>
            <w:shd w:val="clear" w:color="000000" w:fill="D2DDE1" w:themeFill="background2"/>
            <w:noWrap/>
            <w:hideMark/>
          </w:tcPr>
          <w:p w14:paraId="690F2980" w14:textId="77777777" w:rsidR="00B71B4E" w:rsidRPr="00BD16B4" w:rsidRDefault="00B71B4E" w:rsidP="00F31129">
            <w:pPr>
              <w:pStyle w:val="TableTextBold0"/>
              <w:spacing w:before="40" w:after="40"/>
              <w:jc w:val="center"/>
              <w:rPr>
                <w:rFonts w:ascii="Arial" w:hAnsi="Arial" w:cs="Arial"/>
              </w:rPr>
            </w:pPr>
          </w:p>
        </w:tc>
        <w:tc>
          <w:tcPr>
            <w:tcW w:w="1020" w:type="dxa"/>
            <w:shd w:val="clear" w:color="000000" w:fill="D2DDE1" w:themeFill="background2"/>
            <w:noWrap/>
            <w:hideMark/>
          </w:tcPr>
          <w:p w14:paraId="05B7F06A"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955" w:type="dxa"/>
            <w:shd w:val="clear" w:color="000000" w:fill="D2DDE1" w:themeFill="background2"/>
            <w:noWrap/>
            <w:hideMark/>
          </w:tcPr>
          <w:p w14:paraId="7C8ECEF9"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1478" w:type="dxa"/>
            <w:shd w:val="clear" w:color="000000" w:fill="D2DDE1" w:themeFill="background2"/>
            <w:noWrap/>
            <w:hideMark/>
          </w:tcPr>
          <w:p w14:paraId="0DA716B4"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1217" w:type="dxa"/>
            <w:shd w:val="clear" w:color="000000" w:fill="D2DDE1" w:themeFill="background2"/>
            <w:noWrap/>
            <w:hideMark/>
          </w:tcPr>
          <w:p w14:paraId="5E1EAEC3"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2464" w:type="dxa"/>
            <w:shd w:val="clear" w:color="000000" w:fill="D2DDE1" w:themeFill="background2"/>
            <w:noWrap/>
            <w:hideMark/>
          </w:tcPr>
          <w:p w14:paraId="5A235198"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r>
      <w:tr w:rsidR="00B71B4E" w:rsidRPr="00BD16B4" w14:paraId="6C15F7E0" w14:textId="77777777" w:rsidTr="00F31129">
        <w:tc>
          <w:tcPr>
            <w:tcW w:w="3915" w:type="dxa"/>
            <w:shd w:val="clear" w:color="auto" w:fill="auto"/>
          </w:tcPr>
          <w:p w14:paraId="0ABE4C7C" w14:textId="77777777" w:rsidR="00B71B4E" w:rsidRPr="00BD16B4" w:rsidRDefault="00B71B4E" w:rsidP="00F31129">
            <w:pPr>
              <w:pStyle w:val="TableText"/>
              <w:spacing w:before="40" w:after="40"/>
            </w:pPr>
            <w:r w:rsidRPr="00BD16B4">
              <w:t>United Nations Development Programme</w:t>
            </w:r>
          </w:p>
        </w:tc>
        <w:tc>
          <w:tcPr>
            <w:tcW w:w="903" w:type="dxa"/>
            <w:shd w:val="clear" w:color="auto" w:fill="auto"/>
          </w:tcPr>
          <w:p w14:paraId="4188DF21" w14:textId="77777777" w:rsidR="00B71B4E" w:rsidRPr="00BD16B4" w:rsidRDefault="00B71B4E" w:rsidP="00F31129">
            <w:pPr>
              <w:pStyle w:val="TableText"/>
              <w:spacing w:before="40" w:after="40"/>
              <w:jc w:val="center"/>
            </w:pPr>
            <w:r w:rsidRPr="00BD16B4">
              <w:t>5.60</w:t>
            </w:r>
          </w:p>
        </w:tc>
        <w:tc>
          <w:tcPr>
            <w:tcW w:w="904" w:type="dxa"/>
            <w:shd w:val="clear" w:color="auto" w:fill="auto"/>
          </w:tcPr>
          <w:p w14:paraId="3AE4C3AA" w14:textId="77777777" w:rsidR="00B71B4E" w:rsidRPr="00BD16B4" w:rsidRDefault="00B71B4E" w:rsidP="00F31129">
            <w:pPr>
              <w:pStyle w:val="TableText"/>
              <w:spacing w:before="40" w:after="40"/>
              <w:jc w:val="center"/>
            </w:pPr>
            <w:r w:rsidRPr="00BD16B4">
              <w:t>3.69</w:t>
            </w:r>
          </w:p>
        </w:tc>
        <w:tc>
          <w:tcPr>
            <w:tcW w:w="903" w:type="dxa"/>
            <w:shd w:val="clear" w:color="auto" w:fill="auto"/>
          </w:tcPr>
          <w:p w14:paraId="75331FF4" w14:textId="77777777" w:rsidR="00B71B4E" w:rsidRPr="00BD16B4" w:rsidRDefault="00B71B4E" w:rsidP="00F31129">
            <w:pPr>
              <w:pStyle w:val="TableText"/>
              <w:spacing w:before="40" w:after="40"/>
              <w:jc w:val="center"/>
            </w:pPr>
            <w:r w:rsidRPr="00BD16B4">
              <w:t>2.40</w:t>
            </w:r>
          </w:p>
        </w:tc>
        <w:tc>
          <w:tcPr>
            <w:tcW w:w="756" w:type="dxa"/>
            <w:shd w:val="clear" w:color="auto" w:fill="auto"/>
            <w:noWrap/>
          </w:tcPr>
          <w:p w14:paraId="455DD39E" w14:textId="77777777" w:rsidR="00B71B4E" w:rsidRPr="00BD16B4" w:rsidRDefault="00B71B4E" w:rsidP="00F31129">
            <w:pPr>
              <w:pStyle w:val="TableText"/>
              <w:spacing w:before="40" w:after="40"/>
              <w:jc w:val="center"/>
            </w:pPr>
            <w:r w:rsidRPr="00BD16B4">
              <w:t>1.58</w:t>
            </w:r>
          </w:p>
        </w:tc>
        <w:tc>
          <w:tcPr>
            <w:tcW w:w="1020" w:type="dxa"/>
            <w:shd w:val="clear" w:color="auto" w:fill="auto"/>
            <w:noWrap/>
          </w:tcPr>
          <w:p w14:paraId="3B8C3787" w14:textId="77777777" w:rsidR="00B71B4E" w:rsidRPr="00BD16B4" w:rsidRDefault="00B71B4E" w:rsidP="00F31129">
            <w:pPr>
              <w:pStyle w:val="TableText"/>
              <w:spacing w:before="40" w:after="40"/>
            </w:pPr>
            <w:r w:rsidRPr="00BD16B4">
              <w:t>Disbursed</w:t>
            </w:r>
          </w:p>
        </w:tc>
        <w:tc>
          <w:tcPr>
            <w:tcW w:w="955" w:type="dxa"/>
            <w:shd w:val="clear" w:color="auto" w:fill="auto"/>
            <w:noWrap/>
          </w:tcPr>
          <w:p w14:paraId="0D3B1BCD" w14:textId="77777777" w:rsidR="00B71B4E" w:rsidRPr="00BD16B4" w:rsidRDefault="00B71B4E" w:rsidP="00F31129">
            <w:pPr>
              <w:pStyle w:val="TableText"/>
              <w:spacing w:before="40" w:after="40"/>
            </w:pPr>
            <w:r w:rsidRPr="00BD16B4">
              <w:t>ODA</w:t>
            </w:r>
          </w:p>
        </w:tc>
        <w:tc>
          <w:tcPr>
            <w:tcW w:w="1478" w:type="dxa"/>
            <w:shd w:val="clear" w:color="auto" w:fill="auto"/>
            <w:noWrap/>
          </w:tcPr>
          <w:p w14:paraId="2FA62E36" w14:textId="77777777" w:rsidR="00B71B4E" w:rsidRPr="00BD16B4" w:rsidRDefault="00B71B4E" w:rsidP="00F31129">
            <w:pPr>
              <w:pStyle w:val="TableText"/>
              <w:spacing w:before="40" w:after="40"/>
            </w:pPr>
            <w:r w:rsidRPr="00BD16B4">
              <w:t>Grant</w:t>
            </w:r>
          </w:p>
        </w:tc>
        <w:tc>
          <w:tcPr>
            <w:tcW w:w="1217" w:type="dxa"/>
            <w:shd w:val="clear" w:color="auto" w:fill="auto"/>
            <w:noWrap/>
          </w:tcPr>
          <w:p w14:paraId="1547A3F0" w14:textId="77777777" w:rsidR="00B71B4E" w:rsidRPr="00BD16B4" w:rsidRDefault="00B71B4E" w:rsidP="00F31129">
            <w:pPr>
              <w:pStyle w:val="TableText"/>
              <w:spacing w:before="40" w:after="40"/>
            </w:pPr>
            <w:r w:rsidRPr="00BD16B4">
              <w:t>Cross-cutting</w:t>
            </w:r>
          </w:p>
        </w:tc>
        <w:tc>
          <w:tcPr>
            <w:tcW w:w="2464" w:type="dxa"/>
            <w:shd w:val="clear" w:color="auto" w:fill="auto"/>
            <w:noWrap/>
          </w:tcPr>
          <w:p w14:paraId="7868EB40" w14:textId="77777777" w:rsidR="00B71B4E" w:rsidRPr="00BD16B4" w:rsidRDefault="00B71B4E" w:rsidP="00F31129">
            <w:pPr>
              <w:pStyle w:val="TableText"/>
              <w:spacing w:before="40" w:after="40"/>
            </w:pPr>
            <w:r w:rsidRPr="00BD16B4">
              <w:t>Multi-sector</w:t>
            </w:r>
          </w:p>
        </w:tc>
      </w:tr>
      <w:tr w:rsidR="00B71B4E" w:rsidRPr="00BD16B4" w14:paraId="5287ED00" w14:textId="77777777" w:rsidTr="00F31129">
        <w:tc>
          <w:tcPr>
            <w:tcW w:w="3915" w:type="dxa"/>
            <w:shd w:val="clear" w:color="auto" w:fill="auto"/>
          </w:tcPr>
          <w:p w14:paraId="21D32F82" w14:textId="77777777" w:rsidR="00B71B4E" w:rsidRPr="00BD16B4" w:rsidRDefault="00B71B4E" w:rsidP="00F31129">
            <w:pPr>
              <w:pStyle w:val="TableText"/>
              <w:spacing w:before="40" w:after="40"/>
            </w:pPr>
            <w:r w:rsidRPr="00BD16B4">
              <w:t>United Nations Environment Programme Montreal Protocol</w:t>
            </w:r>
          </w:p>
        </w:tc>
        <w:tc>
          <w:tcPr>
            <w:tcW w:w="903" w:type="dxa"/>
            <w:shd w:val="clear" w:color="auto" w:fill="auto"/>
          </w:tcPr>
          <w:p w14:paraId="3DD24DB1" w14:textId="77777777" w:rsidR="00B71B4E" w:rsidRPr="00BD16B4" w:rsidRDefault="00B71B4E" w:rsidP="00F31129">
            <w:pPr>
              <w:pStyle w:val="TableText"/>
              <w:spacing w:before="40" w:after="40"/>
              <w:jc w:val="center"/>
            </w:pPr>
            <w:r w:rsidRPr="00BD16B4">
              <w:t>0.00</w:t>
            </w:r>
          </w:p>
        </w:tc>
        <w:tc>
          <w:tcPr>
            <w:tcW w:w="904" w:type="dxa"/>
            <w:shd w:val="clear" w:color="auto" w:fill="auto"/>
          </w:tcPr>
          <w:p w14:paraId="47FB535F" w14:textId="77777777" w:rsidR="00B71B4E" w:rsidRPr="00BD16B4" w:rsidRDefault="00B71B4E" w:rsidP="00F31129">
            <w:pPr>
              <w:pStyle w:val="TableText"/>
              <w:spacing w:before="40" w:after="40"/>
              <w:jc w:val="center"/>
            </w:pPr>
            <w:r w:rsidRPr="00BD16B4">
              <w:t>0.00</w:t>
            </w:r>
          </w:p>
        </w:tc>
        <w:tc>
          <w:tcPr>
            <w:tcW w:w="903" w:type="dxa"/>
            <w:shd w:val="clear" w:color="auto" w:fill="auto"/>
          </w:tcPr>
          <w:p w14:paraId="0FBA35B6" w14:textId="77777777" w:rsidR="00B71B4E" w:rsidRPr="00BD16B4" w:rsidRDefault="00B71B4E" w:rsidP="00F31129">
            <w:pPr>
              <w:pStyle w:val="TableText"/>
              <w:spacing w:before="40" w:after="40"/>
              <w:jc w:val="center"/>
            </w:pPr>
            <w:r w:rsidRPr="00BD16B4">
              <w:t>0.94</w:t>
            </w:r>
          </w:p>
        </w:tc>
        <w:tc>
          <w:tcPr>
            <w:tcW w:w="756" w:type="dxa"/>
            <w:shd w:val="clear" w:color="auto" w:fill="auto"/>
            <w:noWrap/>
          </w:tcPr>
          <w:p w14:paraId="75AB448E" w14:textId="77777777" w:rsidR="00B71B4E" w:rsidRPr="00BD16B4" w:rsidRDefault="00B71B4E" w:rsidP="00F31129">
            <w:pPr>
              <w:pStyle w:val="TableText"/>
              <w:spacing w:before="40" w:after="40"/>
              <w:jc w:val="center"/>
            </w:pPr>
            <w:r w:rsidRPr="00BD16B4">
              <w:t>0.62</w:t>
            </w:r>
          </w:p>
        </w:tc>
        <w:tc>
          <w:tcPr>
            <w:tcW w:w="1020" w:type="dxa"/>
            <w:shd w:val="clear" w:color="auto" w:fill="auto"/>
            <w:noWrap/>
          </w:tcPr>
          <w:p w14:paraId="4671F9B1" w14:textId="77777777" w:rsidR="00B71B4E" w:rsidRPr="00BD16B4" w:rsidRDefault="00B71B4E" w:rsidP="00F31129">
            <w:pPr>
              <w:pStyle w:val="TableText"/>
              <w:spacing w:before="40" w:after="40"/>
            </w:pPr>
            <w:r w:rsidRPr="00BD16B4">
              <w:t>Disbursed</w:t>
            </w:r>
          </w:p>
        </w:tc>
        <w:tc>
          <w:tcPr>
            <w:tcW w:w="955" w:type="dxa"/>
            <w:shd w:val="clear" w:color="auto" w:fill="auto"/>
            <w:noWrap/>
          </w:tcPr>
          <w:p w14:paraId="1D84C9C1" w14:textId="77777777" w:rsidR="00B71B4E" w:rsidRPr="00BD16B4" w:rsidRDefault="00B71B4E" w:rsidP="00F31129">
            <w:pPr>
              <w:pStyle w:val="TableText"/>
              <w:spacing w:before="40" w:after="40"/>
            </w:pPr>
            <w:r w:rsidRPr="00BD16B4">
              <w:t>ODA</w:t>
            </w:r>
          </w:p>
        </w:tc>
        <w:tc>
          <w:tcPr>
            <w:tcW w:w="1478" w:type="dxa"/>
            <w:shd w:val="clear" w:color="auto" w:fill="auto"/>
            <w:noWrap/>
          </w:tcPr>
          <w:p w14:paraId="0A3CAB69" w14:textId="77777777" w:rsidR="00B71B4E" w:rsidRPr="00BD16B4" w:rsidRDefault="00B71B4E" w:rsidP="00F31129">
            <w:pPr>
              <w:pStyle w:val="TableText"/>
              <w:spacing w:before="40" w:after="40"/>
            </w:pPr>
            <w:r w:rsidRPr="00BD16B4">
              <w:t>Grant</w:t>
            </w:r>
          </w:p>
        </w:tc>
        <w:tc>
          <w:tcPr>
            <w:tcW w:w="1217" w:type="dxa"/>
            <w:shd w:val="clear" w:color="auto" w:fill="auto"/>
            <w:noWrap/>
          </w:tcPr>
          <w:p w14:paraId="54889AC2" w14:textId="77777777" w:rsidR="00B71B4E" w:rsidRPr="00BD16B4" w:rsidRDefault="00B71B4E" w:rsidP="00F31129">
            <w:pPr>
              <w:pStyle w:val="TableText"/>
              <w:spacing w:before="40" w:after="40"/>
            </w:pPr>
            <w:r w:rsidRPr="00BD16B4">
              <w:t>Mitigation</w:t>
            </w:r>
          </w:p>
        </w:tc>
        <w:tc>
          <w:tcPr>
            <w:tcW w:w="2464" w:type="dxa"/>
            <w:shd w:val="clear" w:color="auto" w:fill="auto"/>
            <w:noWrap/>
          </w:tcPr>
          <w:p w14:paraId="17A5E67C" w14:textId="77777777" w:rsidR="00B71B4E" w:rsidRPr="00BD16B4" w:rsidRDefault="00B71B4E" w:rsidP="00F31129">
            <w:pPr>
              <w:pStyle w:val="TableText"/>
              <w:spacing w:before="40" w:after="40"/>
            </w:pPr>
            <w:r w:rsidRPr="00BD16B4">
              <w:t>Multi-sector</w:t>
            </w:r>
          </w:p>
        </w:tc>
      </w:tr>
      <w:tr w:rsidR="00B71B4E" w:rsidRPr="00BD16B4" w14:paraId="6572B1E5" w14:textId="77777777" w:rsidTr="00F31129">
        <w:tc>
          <w:tcPr>
            <w:tcW w:w="3915" w:type="dxa"/>
            <w:shd w:val="clear" w:color="auto" w:fill="auto"/>
          </w:tcPr>
          <w:p w14:paraId="439BFD8E" w14:textId="77777777" w:rsidR="00B71B4E" w:rsidRPr="00BD16B4" w:rsidRDefault="00B71B4E" w:rsidP="00F31129">
            <w:pPr>
              <w:pStyle w:val="TableText"/>
              <w:spacing w:before="40" w:after="40"/>
            </w:pPr>
            <w:r w:rsidRPr="00BD16B4">
              <w:t>United Nations Women</w:t>
            </w:r>
          </w:p>
        </w:tc>
        <w:tc>
          <w:tcPr>
            <w:tcW w:w="903" w:type="dxa"/>
            <w:shd w:val="clear" w:color="auto" w:fill="auto"/>
          </w:tcPr>
          <w:p w14:paraId="525B0148" w14:textId="77777777" w:rsidR="00B71B4E" w:rsidRPr="00BD16B4" w:rsidRDefault="00B71B4E" w:rsidP="00F31129">
            <w:pPr>
              <w:pStyle w:val="TableText"/>
              <w:spacing w:before="40" w:after="40"/>
              <w:jc w:val="center"/>
            </w:pPr>
            <w:r w:rsidRPr="00BD16B4">
              <w:t>1.75</w:t>
            </w:r>
          </w:p>
        </w:tc>
        <w:tc>
          <w:tcPr>
            <w:tcW w:w="904" w:type="dxa"/>
            <w:shd w:val="clear" w:color="auto" w:fill="auto"/>
          </w:tcPr>
          <w:p w14:paraId="084D190D" w14:textId="77777777" w:rsidR="00B71B4E" w:rsidRPr="00BD16B4" w:rsidRDefault="00B71B4E" w:rsidP="00F31129">
            <w:pPr>
              <w:pStyle w:val="TableText"/>
              <w:spacing w:before="40" w:after="40"/>
              <w:jc w:val="center"/>
            </w:pPr>
            <w:r w:rsidRPr="00BD16B4">
              <w:t>1.15</w:t>
            </w:r>
          </w:p>
        </w:tc>
        <w:tc>
          <w:tcPr>
            <w:tcW w:w="903" w:type="dxa"/>
            <w:shd w:val="clear" w:color="auto" w:fill="auto"/>
          </w:tcPr>
          <w:p w14:paraId="10C6BECC" w14:textId="77777777" w:rsidR="00B71B4E" w:rsidRPr="00BD16B4" w:rsidRDefault="00B71B4E" w:rsidP="00F31129">
            <w:pPr>
              <w:pStyle w:val="TableText"/>
              <w:spacing w:before="40" w:after="40"/>
              <w:jc w:val="center"/>
            </w:pPr>
            <w:r w:rsidRPr="00BD16B4">
              <w:t>0.75</w:t>
            </w:r>
          </w:p>
        </w:tc>
        <w:tc>
          <w:tcPr>
            <w:tcW w:w="756" w:type="dxa"/>
            <w:shd w:val="clear" w:color="auto" w:fill="auto"/>
            <w:noWrap/>
          </w:tcPr>
          <w:p w14:paraId="33925EFE" w14:textId="77777777" w:rsidR="00B71B4E" w:rsidRPr="00BD16B4" w:rsidRDefault="00B71B4E" w:rsidP="00F31129">
            <w:pPr>
              <w:pStyle w:val="TableText"/>
              <w:spacing w:before="40" w:after="40"/>
              <w:jc w:val="center"/>
            </w:pPr>
            <w:r w:rsidRPr="00BD16B4">
              <w:t>0.49</w:t>
            </w:r>
          </w:p>
        </w:tc>
        <w:tc>
          <w:tcPr>
            <w:tcW w:w="1020" w:type="dxa"/>
            <w:shd w:val="clear" w:color="auto" w:fill="auto"/>
            <w:noWrap/>
          </w:tcPr>
          <w:p w14:paraId="115309AC" w14:textId="77777777" w:rsidR="00B71B4E" w:rsidRPr="00BD16B4" w:rsidRDefault="00B71B4E" w:rsidP="00F31129">
            <w:pPr>
              <w:pStyle w:val="TableText"/>
              <w:spacing w:before="40" w:after="40"/>
            </w:pPr>
            <w:r w:rsidRPr="00BD16B4">
              <w:t>Disbursed</w:t>
            </w:r>
          </w:p>
        </w:tc>
        <w:tc>
          <w:tcPr>
            <w:tcW w:w="955" w:type="dxa"/>
            <w:shd w:val="clear" w:color="auto" w:fill="auto"/>
            <w:noWrap/>
          </w:tcPr>
          <w:p w14:paraId="39A6C554" w14:textId="77777777" w:rsidR="00B71B4E" w:rsidRPr="00BD16B4" w:rsidRDefault="00B71B4E" w:rsidP="00F31129">
            <w:pPr>
              <w:pStyle w:val="TableText"/>
              <w:spacing w:before="40" w:after="40"/>
            </w:pPr>
            <w:r w:rsidRPr="00BD16B4">
              <w:t>ODA</w:t>
            </w:r>
          </w:p>
        </w:tc>
        <w:tc>
          <w:tcPr>
            <w:tcW w:w="1478" w:type="dxa"/>
            <w:shd w:val="clear" w:color="auto" w:fill="auto"/>
            <w:noWrap/>
          </w:tcPr>
          <w:p w14:paraId="4DED0A0C" w14:textId="77777777" w:rsidR="00B71B4E" w:rsidRPr="00BD16B4" w:rsidRDefault="00B71B4E" w:rsidP="00F31129">
            <w:pPr>
              <w:pStyle w:val="TableText"/>
              <w:spacing w:before="40" w:after="40"/>
            </w:pPr>
            <w:r w:rsidRPr="00BD16B4">
              <w:t>Grant</w:t>
            </w:r>
          </w:p>
        </w:tc>
        <w:tc>
          <w:tcPr>
            <w:tcW w:w="1217" w:type="dxa"/>
            <w:shd w:val="clear" w:color="auto" w:fill="auto"/>
            <w:noWrap/>
          </w:tcPr>
          <w:p w14:paraId="19A742BB" w14:textId="77777777" w:rsidR="00B71B4E" w:rsidRPr="00BD16B4" w:rsidRDefault="00B71B4E" w:rsidP="00F31129">
            <w:pPr>
              <w:pStyle w:val="TableText"/>
              <w:spacing w:before="40" w:after="40"/>
            </w:pPr>
            <w:r w:rsidRPr="00BD16B4">
              <w:t>Adaptation</w:t>
            </w:r>
          </w:p>
        </w:tc>
        <w:tc>
          <w:tcPr>
            <w:tcW w:w="2464" w:type="dxa"/>
            <w:shd w:val="clear" w:color="auto" w:fill="auto"/>
            <w:noWrap/>
          </w:tcPr>
          <w:p w14:paraId="40B7C7A4" w14:textId="77777777" w:rsidR="00B71B4E" w:rsidRPr="00BD16B4" w:rsidRDefault="00B71B4E" w:rsidP="00F31129">
            <w:pPr>
              <w:pStyle w:val="TableText"/>
              <w:spacing w:before="40" w:after="40"/>
            </w:pPr>
            <w:r w:rsidRPr="00BD16B4">
              <w:t>Government and civil society</w:t>
            </w:r>
          </w:p>
        </w:tc>
      </w:tr>
      <w:tr w:rsidR="00B71B4E" w:rsidRPr="00BD16B4" w14:paraId="5B98F897" w14:textId="77777777" w:rsidTr="00F31129">
        <w:tc>
          <w:tcPr>
            <w:tcW w:w="3915" w:type="dxa"/>
            <w:shd w:val="clear" w:color="auto" w:fill="auto"/>
            <w:hideMark/>
          </w:tcPr>
          <w:p w14:paraId="7C1F9DCA" w14:textId="77777777" w:rsidR="00B71B4E" w:rsidRPr="00BD16B4" w:rsidRDefault="00B71B4E" w:rsidP="00F31129">
            <w:pPr>
              <w:pStyle w:val="TableText"/>
              <w:spacing w:before="40" w:after="40"/>
            </w:pPr>
            <w:r w:rsidRPr="00BD16B4">
              <w:t>World Food Programme</w:t>
            </w:r>
          </w:p>
        </w:tc>
        <w:tc>
          <w:tcPr>
            <w:tcW w:w="903" w:type="dxa"/>
            <w:shd w:val="clear" w:color="auto" w:fill="auto"/>
            <w:hideMark/>
          </w:tcPr>
          <w:p w14:paraId="63F55B65" w14:textId="77777777" w:rsidR="00B71B4E" w:rsidRPr="00BD16B4" w:rsidRDefault="00B71B4E" w:rsidP="00F31129">
            <w:pPr>
              <w:pStyle w:val="TableText"/>
              <w:spacing w:before="40" w:after="40"/>
              <w:jc w:val="center"/>
            </w:pPr>
            <w:r w:rsidRPr="00BD16B4">
              <w:t>4.20</w:t>
            </w:r>
          </w:p>
        </w:tc>
        <w:tc>
          <w:tcPr>
            <w:tcW w:w="904" w:type="dxa"/>
            <w:shd w:val="clear" w:color="auto" w:fill="auto"/>
            <w:hideMark/>
          </w:tcPr>
          <w:p w14:paraId="56C02C33" w14:textId="77777777" w:rsidR="00B71B4E" w:rsidRPr="00BD16B4" w:rsidRDefault="00B71B4E" w:rsidP="00F31129">
            <w:pPr>
              <w:pStyle w:val="TableText"/>
              <w:spacing w:before="40" w:after="40"/>
              <w:jc w:val="center"/>
            </w:pPr>
            <w:r w:rsidRPr="00BD16B4">
              <w:t>2.77</w:t>
            </w:r>
          </w:p>
        </w:tc>
        <w:tc>
          <w:tcPr>
            <w:tcW w:w="903" w:type="dxa"/>
            <w:shd w:val="clear" w:color="auto" w:fill="auto"/>
            <w:hideMark/>
          </w:tcPr>
          <w:p w14:paraId="256C79B2" w14:textId="77777777" w:rsidR="00B71B4E" w:rsidRPr="00BD16B4" w:rsidRDefault="00B71B4E" w:rsidP="00F31129">
            <w:pPr>
              <w:pStyle w:val="TableText"/>
              <w:spacing w:before="40" w:after="40"/>
              <w:jc w:val="center"/>
            </w:pPr>
            <w:r w:rsidRPr="00BD16B4">
              <w:t>1.80</w:t>
            </w:r>
          </w:p>
        </w:tc>
        <w:tc>
          <w:tcPr>
            <w:tcW w:w="756" w:type="dxa"/>
            <w:shd w:val="clear" w:color="auto" w:fill="auto"/>
            <w:noWrap/>
            <w:hideMark/>
          </w:tcPr>
          <w:p w14:paraId="4D855AFC" w14:textId="77777777" w:rsidR="00B71B4E" w:rsidRPr="00BD16B4" w:rsidRDefault="00B71B4E" w:rsidP="00F31129">
            <w:pPr>
              <w:pStyle w:val="TableText"/>
              <w:spacing w:before="40" w:after="40"/>
              <w:jc w:val="center"/>
            </w:pPr>
            <w:r w:rsidRPr="00BD16B4">
              <w:t>1.19</w:t>
            </w:r>
          </w:p>
        </w:tc>
        <w:tc>
          <w:tcPr>
            <w:tcW w:w="1020" w:type="dxa"/>
            <w:shd w:val="clear" w:color="auto" w:fill="auto"/>
            <w:noWrap/>
            <w:hideMark/>
          </w:tcPr>
          <w:p w14:paraId="10004DAA" w14:textId="77777777" w:rsidR="00B71B4E" w:rsidRPr="00BD16B4" w:rsidRDefault="00B71B4E" w:rsidP="00F31129">
            <w:pPr>
              <w:pStyle w:val="TableText"/>
              <w:spacing w:before="40" w:after="40"/>
            </w:pPr>
            <w:r w:rsidRPr="00BD16B4">
              <w:t>Disbursed</w:t>
            </w:r>
          </w:p>
        </w:tc>
        <w:tc>
          <w:tcPr>
            <w:tcW w:w="955" w:type="dxa"/>
            <w:shd w:val="clear" w:color="auto" w:fill="auto"/>
            <w:noWrap/>
            <w:hideMark/>
          </w:tcPr>
          <w:p w14:paraId="76B03D9C" w14:textId="77777777" w:rsidR="00B71B4E" w:rsidRPr="00BD16B4" w:rsidRDefault="00B71B4E" w:rsidP="00F31129">
            <w:pPr>
              <w:pStyle w:val="TableText"/>
              <w:spacing w:before="40" w:after="40"/>
            </w:pPr>
            <w:r w:rsidRPr="00BD16B4">
              <w:t>ODA</w:t>
            </w:r>
          </w:p>
        </w:tc>
        <w:tc>
          <w:tcPr>
            <w:tcW w:w="1478" w:type="dxa"/>
            <w:shd w:val="clear" w:color="auto" w:fill="auto"/>
            <w:noWrap/>
            <w:hideMark/>
          </w:tcPr>
          <w:p w14:paraId="6238751E" w14:textId="77777777" w:rsidR="00B71B4E" w:rsidRPr="00BD16B4" w:rsidRDefault="00B71B4E" w:rsidP="00F31129">
            <w:pPr>
              <w:pStyle w:val="TableText"/>
              <w:spacing w:before="40" w:after="40"/>
            </w:pPr>
            <w:r w:rsidRPr="00BD16B4">
              <w:t>Grant</w:t>
            </w:r>
          </w:p>
        </w:tc>
        <w:tc>
          <w:tcPr>
            <w:tcW w:w="1217" w:type="dxa"/>
            <w:shd w:val="clear" w:color="auto" w:fill="auto"/>
            <w:noWrap/>
            <w:hideMark/>
          </w:tcPr>
          <w:p w14:paraId="2AF1EC06" w14:textId="77777777" w:rsidR="00B71B4E" w:rsidRPr="00BD16B4" w:rsidRDefault="00B71B4E" w:rsidP="00F31129">
            <w:pPr>
              <w:pStyle w:val="TableText"/>
              <w:spacing w:before="40" w:after="40"/>
            </w:pPr>
            <w:r w:rsidRPr="00BD16B4">
              <w:t>Cross-cutting</w:t>
            </w:r>
          </w:p>
        </w:tc>
        <w:tc>
          <w:tcPr>
            <w:tcW w:w="2464" w:type="dxa"/>
            <w:shd w:val="clear" w:color="auto" w:fill="auto"/>
            <w:noWrap/>
            <w:hideMark/>
          </w:tcPr>
          <w:p w14:paraId="1DF859C7" w14:textId="77777777" w:rsidR="00B71B4E" w:rsidRPr="00BD16B4" w:rsidRDefault="00B71B4E" w:rsidP="00F31129">
            <w:pPr>
              <w:pStyle w:val="TableText"/>
              <w:spacing w:before="40" w:after="40"/>
            </w:pPr>
            <w:r w:rsidRPr="00BD16B4">
              <w:t>Humanitarian</w:t>
            </w:r>
          </w:p>
        </w:tc>
      </w:tr>
      <w:tr w:rsidR="00B71B4E" w:rsidRPr="00BD16B4" w14:paraId="0294AD1A" w14:textId="77777777" w:rsidTr="00F31129">
        <w:tc>
          <w:tcPr>
            <w:tcW w:w="3915" w:type="dxa"/>
            <w:shd w:val="clear" w:color="auto" w:fill="auto"/>
          </w:tcPr>
          <w:p w14:paraId="168595C5" w14:textId="77777777" w:rsidR="00B71B4E" w:rsidRPr="00BD16B4" w:rsidRDefault="00B71B4E" w:rsidP="00F31129">
            <w:pPr>
              <w:pStyle w:val="TableText"/>
              <w:spacing w:before="40" w:after="40"/>
            </w:pPr>
            <w:r w:rsidRPr="00BD16B4">
              <w:t>International Fund for Agricultural Development</w:t>
            </w:r>
          </w:p>
        </w:tc>
        <w:tc>
          <w:tcPr>
            <w:tcW w:w="903" w:type="dxa"/>
            <w:shd w:val="clear" w:color="auto" w:fill="auto"/>
          </w:tcPr>
          <w:p w14:paraId="1DCF6309" w14:textId="77777777" w:rsidR="00B71B4E" w:rsidRPr="00BD16B4" w:rsidRDefault="00B71B4E" w:rsidP="00F31129">
            <w:pPr>
              <w:pStyle w:val="TableText"/>
              <w:spacing w:before="40" w:after="40"/>
              <w:jc w:val="center"/>
            </w:pPr>
            <w:r w:rsidRPr="00BD16B4">
              <w:t>0.95</w:t>
            </w:r>
          </w:p>
        </w:tc>
        <w:tc>
          <w:tcPr>
            <w:tcW w:w="904" w:type="dxa"/>
            <w:shd w:val="clear" w:color="auto" w:fill="auto"/>
          </w:tcPr>
          <w:p w14:paraId="38171A26" w14:textId="77777777" w:rsidR="00B71B4E" w:rsidRPr="00BD16B4" w:rsidRDefault="00B71B4E" w:rsidP="00F31129">
            <w:pPr>
              <w:pStyle w:val="TableText"/>
              <w:spacing w:before="40" w:after="40"/>
              <w:jc w:val="center"/>
            </w:pPr>
            <w:r w:rsidRPr="00BD16B4">
              <w:t>0.62</w:t>
            </w:r>
          </w:p>
        </w:tc>
        <w:tc>
          <w:tcPr>
            <w:tcW w:w="903" w:type="dxa"/>
            <w:shd w:val="clear" w:color="auto" w:fill="auto"/>
          </w:tcPr>
          <w:p w14:paraId="69530163" w14:textId="77777777" w:rsidR="00B71B4E" w:rsidRPr="00BD16B4" w:rsidRDefault="00B71B4E" w:rsidP="00F31129">
            <w:pPr>
              <w:pStyle w:val="TableText"/>
              <w:spacing w:before="40" w:after="40"/>
              <w:jc w:val="center"/>
            </w:pPr>
            <w:r w:rsidRPr="00BD16B4">
              <w:t>0.56</w:t>
            </w:r>
          </w:p>
        </w:tc>
        <w:tc>
          <w:tcPr>
            <w:tcW w:w="756" w:type="dxa"/>
            <w:shd w:val="clear" w:color="auto" w:fill="auto"/>
            <w:noWrap/>
          </w:tcPr>
          <w:p w14:paraId="30692E26" w14:textId="77777777" w:rsidR="00B71B4E" w:rsidRPr="00BD16B4" w:rsidRDefault="00B71B4E" w:rsidP="00F31129">
            <w:pPr>
              <w:pStyle w:val="TableText"/>
              <w:spacing w:before="40" w:after="40"/>
              <w:jc w:val="center"/>
            </w:pPr>
            <w:r w:rsidRPr="00BD16B4">
              <w:t>0.37</w:t>
            </w:r>
          </w:p>
        </w:tc>
        <w:tc>
          <w:tcPr>
            <w:tcW w:w="1020" w:type="dxa"/>
            <w:shd w:val="clear" w:color="auto" w:fill="auto"/>
            <w:noWrap/>
          </w:tcPr>
          <w:p w14:paraId="4E1C32F5" w14:textId="77777777" w:rsidR="00B71B4E" w:rsidRPr="00BD16B4" w:rsidRDefault="00B71B4E" w:rsidP="00F31129">
            <w:pPr>
              <w:pStyle w:val="TableText"/>
              <w:spacing w:before="40" w:after="40"/>
            </w:pPr>
            <w:r w:rsidRPr="00BD16B4">
              <w:t>Disbursed</w:t>
            </w:r>
          </w:p>
        </w:tc>
        <w:tc>
          <w:tcPr>
            <w:tcW w:w="955" w:type="dxa"/>
            <w:shd w:val="clear" w:color="auto" w:fill="auto"/>
            <w:noWrap/>
          </w:tcPr>
          <w:p w14:paraId="2ADBC1F6" w14:textId="77777777" w:rsidR="00B71B4E" w:rsidRPr="00BD16B4" w:rsidRDefault="00B71B4E" w:rsidP="00F31129">
            <w:pPr>
              <w:pStyle w:val="TableText"/>
              <w:spacing w:before="40" w:after="40"/>
            </w:pPr>
            <w:r w:rsidRPr="00BD16B4">
              <w:t>ODA</w:t>
            </w:r>
          </w:p>
        </w:tc>
        <w:tc>
          <w:tcPr>
            <w:tcW w:w="1478" w:type="dxa"/>
            <w:shd w:val="clear" w:color="auto" w:fill="auto"/>
            <w:noWrap/>
          </w:tcPr>
          <w:p w14:paraId="4BACD5DB" w14:textId="77777777" w:rsidR="00B71B4E" w:rsidRPr="00BD16B4" w:rsidRDefault="00B71B4E" w:rsidP="00F31129">
            <w:pPr>
              <w:pStyle w:val="TableText"/>
              <w:spacing w:before="40" w:after="40"/>
            </w:pPr>
            <w:r w:rsidRPr="00BD16B4">
              <w:t>Grant</w:t>
            </w:r>
          </w:p>
        </w:tc>
        <w:tc>
          <w:tcPr>
            <w:tcW w:w="1217" w:type="dxa"/>
            <w:shd w:val="clear" w:color="auto" w:fill="auto"/>
            <w:noWrap/>
          </w:tcPr>
          <w:p w14:paraId="40950415" w14:textId="77777777" w:rsidR="00B71B4E" w:rsidRPr="00BD16B4" w:rsidRDefault="00B71B4E" w:rsidP="00F31129">
            <w:pPr>
              <w:pStyle w:val="TableText"/>
              <w:spacing w:before="40" w:after="40"/>
            </w:pPr>
            <w:r w:rsidRPr="00BD16B4">
              <w:t>Cross-cutting</w:t>
            </w:r>
          </w:p>
        </w:tc>
        <w:tc>
          <w:tcPr>
            <w:tcW w:w="2464" w:type="dxa"/>
            <w:shd w:val="clear" w:color="auto" w:fill="auto"/>
            <w:noWrap/>
          </w:tcPr>
          <w:p w14:paraId="2FCA6515" w14:textId="77777777" w:rsidR="00B71B4E" w:rsidRPr="00BD16B4" w:rsidRDefault="00B71B4E" w:rsidP="00F31129">
            <w:pPr>
              <w:pStyle w:val="TableText"/>
              <w:spacing w:before="40" w:after="40"/>
            </w:pPr>
            <w:r w:rsidRPr="00BD16B4">
              <w:t>Agriculture</w:t>
            </w:r>
          </w:p>
        </w:tc>
      </w:tr>
      <w:tr w:rsidR="00B71B4E" w:rsidRPr="00BD16B4" w14:paraId="04EEC55B" w14:textId="77777777" w:rsidTr="00F31129">
        <w:tc>
          <w:tcPr>
            <w:tcW w:w="3915" w:type="dxa"/>
            <w:tcBorders>
              <w:bottom w:val="single" w:sz="4" w:space="0" w:color="1B556B" w:themeColor="text2"/>
            </w:tcBorders>
            <w:shd w:val="clear" w:color="auto" w:fill="auto"/>
            <w:hideMark/>
          </w:tcPr>
          <w:p w14:paraId="1CC16316" w14:textId="77777777" w:rsidR="00B71B4E" w:rsidRPr="00BD16B4" w:rsidRDefault="00B71B4E" w:rsidP="00F31129">
            <w:pPr>
              <w:pStyle w:val="TableTextBold0"/>
              <w:spacing w:before="40" w:after="40"/>
            </w:pPr>
            <w:r w:rsidRPr="00BD16B4">
              <w:t xml:space="preserve">Subtotal </w:t>
            </w:r>
          </w:p>
        </w:tc>
        <w:tc>
          <w:tcPr>
            <w:tcW w:w="903" w:type="dxa"/>
            <w:tcBorders>
              <w:bottom w:val="single" w:sz="4" w:space="0" w:color="1B556B" w:themeColor="text2"/>
            </w:tcBorders>
            <w:shd w:val="clear" w:color="auto" w:fill="auto"/>
            <w:hideMark/>
          </w:tcPr>
          <w:p w14:paraId="42031604" w14:textId="77777777" w:rsidR="00B71B4E" w:rsidRPr="00BD16B4" w:rsidRDefault="00B71B4E" w:rsidP="00F31129">
            <w:pPr>
              <w:pStyle w:val="TableTextBold0"/>
              <w:spacing w:before="40" w:after="40"/>
              <w:jc w:val="center"/>
            </w:pPr>
            <w:r w:rsidRPr="00BD16B4">
              <w:t>12.50</w:t>
            </w:r>
          </w:p>
        </w:tc>
        <w:tc>
          <w:tcPr>
            <w:tcW w:w="904" w:type="dxa"/>
            <w:tcBorders>
              <w:bottom w:val="single" w:sz="4" w:space="0" w:color="1B556B" w:themeColor="text2"/>
            </w:tcBorders>
            <w:shd w:val="clear" w:color="auto" w:fill="auto"/>
            <w:hideMark/>
          </w:tcPr>
          <w:p w14:paraId="0B706BD3" w14:textId="77777777" w:rsidR="00B71B4E" w:rsidRPr="00BD16B4" w:rsidRDefault="00B71B4E" w:rsidP="00F31129">
            <w:pPr>
              <w:pStyle w:val="TableTextBold0"/>
              <w:spacing w:before="40" w:after="40"/>
              <w:jc w:val="center"/>
            </w:pPr>
            <w:r w:rsidRPr="00BD16B4">
              <w:t>8.23</w:t>
            </w:r>
          </w:p>
        </w:tc>
        <w:tc>
          <w:tcPr>
            <w:tcW w:w="903" w:type="dxa"/>
            <w:tcBorders>
              <w:bottom w:val="single" w:sz="4" w:space="0" w:color="1B556B" w:themeColor="text2"/>
            </w:tcBorders>
            <w:shd w:val="clear" w:color="auto" w:fill="auto"/>
            <w:hideMark/>
          </w:tcPr>
          <w:p w14:paraId="72E5455B" w14:textId="77777777" w:rsidR="00B71B4E" w:rsidRPr="00BD16B4" w:rsidRDefault="00B71B4E" w:rsidP="00F31129">
            <w:pPr>
              <w:pStyle w:val="TableTextBold0"/>
              <w:spacing w:before="40" w:after="40"/>
              <w:jc w:val="center"/>
            </w:pPr>
            <w:r w:rsidRPr="00BD16B4">
              <w:t>6.45</w:t>
            </w:r>
          </w:p>
        </w:tc>
        <w:tc>
          <w:tcPr>
            <w:tcW w:w="756" w:type="dxa"/>
            <w:tcBorders>
              <w:bottom w:val="single" w:sz="4" w:space="0" w:color="1B556B" w:themeColor="text2"/>
            </w:tcBorders>
            <w:shd w:val="clear" w:color="auto" w:fill="auto"/>
            <w:noWrap/>
            <w:hideMark/>
          </w:tcPr>
          <w:p w14:paraId="60A2ADBE" w14:textId="77777777" w:rsidR="00B71B4E" w:rsidRPr="00BD16B4" w:rsidRDefault="00B71B4E" w:rsidP="00F31129">
            <w:pPr>
              <w:pStyle w:val="TableTextBold0"/>
              <w:spacing w:before="40" w:after="40"/>
              <w:jc w:val="center"/>
            </w:pPr>
            <w:r w:rsidRPr="00BD16B4">
              <w:t>4.25</w:t>
            </w:r>
          </w:p>
        </w:tc>
        <w:tc>
          <w:tcPr>
            <w:tcW w:w="1020" w:type="dxa"/>
            <w:tcBorders>
              <w:bottom w:val="single" w:sz="4" w:space="0" w:color="1B556B" w:themeColor="text2"/>
            </w:tcBorders>
            <w:shd w:val="clear" w:color="auto" w:fill="auto"/>
            <w:noWrap/>
            <w:hideMark/>
          </w:tcPr>
          <w:p w14:paraId="5BF02B43" w14:textId="77777777" w:rsidR="00B71B4E" w:rsidRPr="00BD16B4" w:rsidRDefault="00B71B4E" w:rsidP="00F31129">
            <w:pPr>
              <w:pStyle w:val="TableTextBold0"/>
              <w:spacing w:before="40" w:after="40"/>
            </w:pPr>
            <w:r w:rsidRPr="00BD16B4">
              <w:t> </w:t>
            </w:r>
          </w:p>
        </w:tc>
        <w:tc>
          <w:tcPr>
            <w:tcW w:w="955" w:type="dxa"/>
            <w:tcBorders>
              <w:bottom w:val="single" w:sz="4" w:space="0" w:color="1B556B" w:themeColor="text2"/>
            </w:tcBorders>
            <w:shd w:val="clear" w:color="auto" w:fill="auto"/>
            <w:noWrap/>
            <w:hideMark/>
          </w:tcPr>
          <w:p w14:paraId="27B88FFE" w14:textId="77777777" w:rsidR="00B71B4E" w:rsidRPr="00BD16B4" w:rsidRDefault="00B71B4E" w:rsidP="00F31129">
            <w:pPr>
              <w:pStyle w:val="TableTextBold0"/>
              <w:spacing w:before="40" w:after="40"/>
            </w:pPr>
            <w:r w:rsidRPr="00BD16B4">
              <w:t> </w:t>
            </w:r>
          </w:p>
        </w:tc>
        <w:tc>
          <w:tcPr>
            <w:tcW w:w="1478" w:type="dxa"/>
            <w:tcBorders>
              <w:bottom w:val="single" w:sz="4" w:space="0" w:color="1B556B" w:themeColor="text2"/>
            </w:tcBorders>
            <w:shd w:val="clear" w:color="auto" w:fill="auto"/>
            <w:noWrap/>
            <w:hideMark/>
          </w:tcPr>
          <w:p w14:paraId="6E78D744" w14:textId="77777777" w:rsidR="00B71B4E" w:rsidRPr="00BD16B4" w:rsidRDefault="00B71B4E" w:rsidP="00F31129">
            <w:pPr>
              <w:pStyle w:val="TableTextBold0"/>
              <w:spacing w:before="40" w:after="40"/>
            </w:pPr>
            <w:r w:rsidRPr="00BD16B4">
              <w:t> </w:t>
            </w:r>
          </w:p>
        </w:tc>
        <w:tc>
          <w:tcPr>
            <w:tcW w:w="1217" w:type="dxa"/>
            <w:tcBorders>
              <w:bottom w:val="single" w:sz="4" w:space="0" w:color="1B556B" w:themeColor="text2"/>
            </w:tcBorders>
            <w:shd w:val="clear" w:color="auto" w:fill="auto"/>
            <w:noWrap/>
            <w:hideMark/>
          </w:tcPr>
          <w:p w14:paraId="2CE73D4C" w14:textId="77777777" w:rsidR="00B71B4E" w:rsidRPr="00BD16B4" w:rsidRDefault="00B71B4E" w:rsidP="00F31129">
            <w:pPr>
              <w:pStyle w:val="TableTextBold0"/>
              <w:spacing w:before="40" w:after="40"/>
            </w:pPr>
            <w:r w:rsidRPr="00BD16B4">
              <w:t> </w:t>
            </w:r>
          </w:p>
        </w:tc>
        <w:tc>
          <w:tcPr>
            <w:tcW w:w="2464" w:type="dxa"/>
            <w:tcBorders>
              <w:bottom w:val="single" w:sz="4" w:space="0" w:color="1B556B" w:themeColor="text2"/>
            </w:tcBorders>
            <w:shd w:val="clear" w:color="auto" w:fill="auto"/>
            <w:noWrap/>
            <w:hideMark/>
          </w:tcPr>
          <w:p w14:paraId="3E274E2C" w14:textId="77777777" w:rsidR="00B71B4E" w:rsidRPr="00BD16B4" w:rsidRDefault="00B71B4E" w:rsidP="00F31129">
            <w:pPr>
              <w:pStyle w:val="TableTextBold0"/>
              <w:spacing w:before="40" w:after="40"/>
            </w:pPr>
            <w:r w:rsidRPr="00BD16B4">
              <w:t> </w:t>
            </w:r>
          </w:p>
        </w:tc>
      </w:tr>
      <w:tr w:rsidR="00B71B4E" w:rsidRPr="00BD16B4" w14:paraId="45D18957" w14:textId="77777777" w:rsidTr="00F31129">
        <w:tc>
          <w:tcPr>
            <w:tcW w:w="3915" w:type="dxa"/>
            <w:shd w:val="clear" w:color="000000" w:fill="D2DDE1" w:themeFill="background2"/>
            <w:hideMark/>
          </w:tcPr>
          <w:p w14:paraId="5715DF97" w14:textId="77777777" w:rsidR="00B71B4E" w:rsidRPr="00BD16B4" w:rsidRDefault="00B71B4E" w:rsidP="00F31129">
            <w:pPr>
              <w:pStyle w:val="TableTextBold0"/>
              <w:spacing w:before="40" w:after="40"/>
            </w:pPr>
            <w:r w:rsidRPr="00BD16B4">
              <w:t>Other multilateral</w:t>
            </w:r>
          </w:p>
        </w:tc>
        <w:tc>
          <w:tcPr>
            <w:tcW w:w="903" w:type="dxa"/>
            <w:shd w:val="clear" w:color="000000" w:fill="D2DDE1" w:themeFill="background2"/>
            <w:noWrap/>
            <w:hideMark/>
          </w:tcPr>
          <w:p w14:paraId="7D2F9226"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904" w:type="dxa"/>
            <w:shd w:val="clear" w:color="000000" w:fill="D2DDE1" w:themeFill="background2"/>
            <w:noWrap/>
            <w:hideMark/>
          </w:tcPr>
          <w:p w14:paraId="2506A408"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903" w:type="dxa"/>
            <w:shd w:val="clear" w:color="000000" w:fill="D2DDE1" w:themeFill="background2"/>
            <w:noWrap/>
            <w:hideMark/>
          </w:tcPr>
          <w:p w14:paraId="0ACF93DC"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756" w:type="dxa"/>
            <w:shd w:val="clear" w:color="000000" w:fill="D2DDE1" w:themeFill="background2"/>
            <w:noWrap/>
            <w:hideMark/>
          </w:tcPr>
          <w:p w14:paraId="5868274D"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1020" w:type="dxa"/>
            <w:shd w:val="clear" w:color="000000" w:fill="D2DDE1" w:themeFill="background2"/>
            <w:noWrap/>
            <w:hideMark/>
          </w:tcPr>
          <w:p w14:paraId="2EB8A0A5"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955" w:type="dxa"/>
            <w:shd w:val="clear" w:color="000000" w:fill="D2DDE1" w:themeFill="background2"/>
            <w:noWrap/>
            <w:hideMark/>
          </w:tcPr>
          <w:p w14:paraId="7BF7B474"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1478" w:type="dxa"/>
            <w:shd w:val="clear" w:color="000000" w:fill="D2DDE1" w:themeFill="background2"/>
            <w:noWrap/>
            <w:hideMark/>
          </w:tcPr>
          <w:p w14:paraId="68D2B029"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1217" w:type="dxa"/>
            <w:shd w:val="clear" w:color="000000" w:fill="D2DDE1" w:themeFill="background2"/>
            <w:noWrap/>
            <w:hideMark/>
          </w:tcPr>
          <w:p w14:paraId="75BD15FE"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2464" w:type="dxa"/>
            <w:shd w:val="clear" w:color="000000" w:fill="D2DDE1" w:themeFill="background2"/>
            <w:noWrap/>
            <w:hideMark/>
          </w:tcPr>
          <w:p w14:paraId="7201B033"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r>
      <w:tr w:rsidR="00B71B4E" w:rsidRPr="00BD16B4" w14:paraId="7B2E9428" w14:textId="77777777" w:rsidTr="00F31129">
        <w:tc>
          <w:tcPr>
            <w:tcW w:w="3915" w:type="dxa"/>
            <w:shd w:val="clear" w:color="auto" w:fill="auto"/>
            <w:hideMark/>
          </w:tcPr>
          <w:p w14:paraId="128EAF57" w14:textId="77777777" w:rsidR="00B71B4E" w:rsidRPr="00BD16B4" w:rsidRDefault="00B71B4E" w:rsidP="00F31129">
            <w:pPr>
              <w:pStyle w:val="TableText"/>
              <w:spacing w:before="40" w:after="40"/>
            </w:pPr>
            <w:r w:rsidRPr="00BD16B4">
              <w:t>CGIAR – Climate Change, Agriculture and Food Security Programme</w:t>
            </w:r>
          </w:p>
        </w:tc>
        <w:tc>
          <w:tcPr>
            <w:tcW w:w="903" w:type="dxa"/>
            <w:shd w:val="clear" w:color="auto" w:fill="auto"/>
            <w:hideMark/>
          </w:tcPr>
          <w:p w14:paraId="06E96331" w14:textId="77777777" w:rsidR="00B71B4E" w:rsidRPr="00BD16B4" w:rsidRDefault="00B71B4E" w:rsidP="00F31129">
            <w:pPr>
              <w:pStyle w:val="TableText"/>
              <w:spacing w:before="40" w:after="40"/>
            </w:pPr>
            <w:r w:rsidRPr="00BD16B4">
              <w:t>0.00</w:t>
            </w:r>
          </w:p>
        </w:tc>
        <w:tc>
          <w:tcPr>
            <w:tcW w:w="904" w:type="dxa"/>
            <w:shd w:val="clear" w:color="auto" w:fill="auto"/>
            <w:hideMark/>
          </w:tcPr>
          <w:p w14:paraId="428F0653" w14:textId="77777777" w:rsidR="00B71B4E" w:rsidRPr="00BD16B4" w:rsidRDefault="00B71B4E" w:rsidP="00F31129">
            <w:pPr>
              <w:pStyle w:val="TableText"/>
              <w:spacing w:before="40" w:after="40"/>
            </w:pPr>
            <w:r w:rsidRPr="00BD16B4">
              <w:t>0.00</w:t>
            </w:r>
          </w:p>
        </w:tc>
        <w:tc>
          <w:tcPr>
            <w:tcW w:w="903" w:type="dxa"/>
            <w:shd w:val="clear" w:color="auto" w:fill="auto"/>
            <w:hideMark/>
          </w:tcPr>
          <w:p w14:paraId="03F2687C" w14:textId="77777777" w:rsidR="00B71B4E" w:rsidRPr="00BD16B4" w:rsidRDefault="00B71B4E" w:rsidP="00F31129">
            <w:pPr>
              <w:pStyle w:val="TableText"/>
              <w:spacing w:before="40" w:after="40"/>
            </w:pPr>
            <w:r w:rsidRPr="00BD16B4">
              <w:t>5.50</w:t>
            </w:r>
          </w:p>
        </w:tc>
        <w:tc>
          <w:tcPr>
            <w:tcW w:w="756" w:type="dxa"/>
            <w:shd w:val="clear" w:color="auto" w:fill="auto"/>
            <w:noWrap/>
            <w:hideMark/>
          </w:tcPr>
          <w:p w14:paraId="059F17B8" w14:textId="77777777" w:rsidR="00B71B4E" w:rsidRPr="00BD16B4" w:rsidRDefault="00B71B4E" w:rsidP="00F31129">
            <w:pPr>
              <w:pStyle w:val="TableText"/>
              <w:spacing w:before="40" w:after="40"/>
            </w:pPr>
            <w:r w:rsidRPr="00BD16B4">
              <w:t>3.62</w:t>
            </w:r>
          </w:p>
        </w:tc>
        <w:tc>
          <w:tcPr>
            <w:tcW w:w="1020" w:type="dxa"/>
            <w:shd w:val="clear" w:color="auto" w:fill="auto"/>
            <w:noWrap/>
            <w:hideMark/>
          </w:tcPr>
          <w:p w14:paraId="435DA9F0" w14:textId="77777777" w:rsidR="00B71B4E" w:rsidRPr="00BD16B4" w:rsidRDefault="00B71B4E" w:rsidP="00F31129">
            <w:pPr>
              <w:pStyle w:val="TableText"/>
              <w:spacing w:before="40" w:after="40"/>
            </w:pPr>
            <w:r w:rsidRPr="00BD16B4">
              <w:t>Disbursed</w:t>
            </w:r>
          </w:p>
        </w:tc>
        <w:tc>
          <w:tcPr>
            <w:tcW w:w="955" w:type="dxa"/>
            <w:shd w:val="clear" w:color="auto" w:fill="auto"/>
            <w:noWrap/>
            <w:hideMark/>
          </w:tcPr>
          <w:p w14:paraId="7B4D2996" w14:textId="77777777" w:rsidR="00B71B4E" w:rsidRPr="00BD16B4" w:rsidRDefault="00B71B4E" w:rsidP="00F31129">
            <w:pPr>
              <w:pStyle w:val="TableText"/>
              <w:spacing w:before="40" w:after="40"/>
            </w:pPr>
            <w:r w:rsidRPr="00BD16B4">
              <w:t>ODA</w:t>
            </w:r>
          </w:p>
        </w:tc>
        <w:tc>
          <w:tcPr>
            <w:tcW w:w="1478" w:type="dxa"/>
            <w:shd w:val="clear" w:color="auto" w:fill="auto"/>
            <w:noWrap/>
            <w:hideMark/>
          </w:tcPr>
          <w:p w14:paraId="5A4151AE" w14:textId="77777777" w:rsidR="00B71B4E" w:rsidRPr="00BD16B4" w:rsidRDefault="00B71B4E" w:rsidP="00F31129">
            <w:pPr>
              <w:pStyle w:val="TableText"/>
              <w:spacing w:before="40" w:after="40"/>
            </w:pPr>
            <w:r w:rsidRPr="00BD16B4">
              <w:t>Grant</w:t>
            </w:r>
          </w:p>
        </w:tc>
        <w:tc>
          <w:tcPr>
            <w:tcW w:w="1217" w:type="dxa"/>
            <w:shd w:val="clear" w:color="auto" w:fill="auto"/>
            <w:noWrap/>
            <w:hideMark/>
          </w:tcPr>
          <w:p w14:paraId="16E77986" w14:textId="77777777" w:rsidR="00B71B4E" w:rsidRPr="00BD16B4" w:rsidRDefault="00B71B4E" w:rsidP="00F31129">
            <w:pPr>
              <w:pStyle w:val="TableText"/>
              <w:spacing w:before="40" w:after="40"/>
            </w:pPr>
            <w:r w:rsidRPr="00BD16B4">
              <w:t>Cross-cutting</w:t>
            </w:r>
          </w:p>
        </w:tc>
        <w:tc>
          <w:tcPr>
            <w:tcW w:w="2464" w:type="dxa"/>
            <w:shd w:val="clear" w:color="auto" w:fill="auto"/>
            <w:noWrap/>
            <w:hideMark/>
          </w:tcPr>
          <w:p w14:paraId="492DC014" w14:textId="77777777" w:rsidR="00B71B4E" w:rsidRPr="00BD16B4" w:rsidRDefault="00B71B4E" w:rsidP="00F31129">
            <w:pPr>
              <w:pStyle w:val="TableText"/>
              <w:spacing w:before="40" w:after="40"/>
            </w:pPr>
            <w:r w:rsidRPr="00BD16B4">
              <w:t>Agriculture</w:t>
            </w:r>
          </w:p>
        </w:tc>
      </w:tr>
      <w:tr w:rsidR="00B71B4E" w:rsidRPr="00BD16B4" w14:paraId="1EA8CE51" w14:textId="77777777" w:rsidTr="00F31129">
        <w:tc>
          <w:tcPr>
            <w:tcW w:w="3915" w:type="dxa"/>
            <w:shd w:val="clear" w:color="auto" w:fill="auto"/>
            <w:hideMark/>
          </w:tcPr>
          <w:p w14:paraId="44F6BB04" w14:textId="77777777" w:rsidR="00B71B4E" w:rsidRPr="00BD16B4" w:rsidRDefault="00B71B4E" w:rsidP="00F31129">
            <w:pPr>
              <w:pStyle w:val="TableText"/>
              <w:spacing w:before="40" w:after="40"/>
            </w:pPr>
            <w:r w:rsidRPr="00BD16B4">
              <w:lastRenderedPageBreak/>
              <w:t xml:space="preserve">Association of Small Island States </w:t>
            </w:r>
          </w:p>
        </w:tc>
        <w:tc>
          <w:tcPr>
            <w:tcW w:w="903" w:type="dxa"/>
            <w:shd w:val="clear" w:color="auto" w:fill="auto"/>
            <w:hideMark/>
          </w:tcPr>
          <w:p w14:paraId="4871654A" w14:textId="77777777" w:rsidR="00B71B4E" w:rsidRPr="00BD16B4" w:rsidRDefault="00B71B4E" w:rsidP="00F31129">
            <w:pPr>
              <w:pStyle w:val="TableText"/>
              <w:spacing w:before="40" w:after="40"/>
            </w:pPr>
            <w:r w:rsidRPr="00BD16B4">
              <w:t>0.10</w:t>
            </w:r>
          </w:p>
        </w:tc>
        <w:tc>
          <w:tcPr>
            <w:tcW w:w="904" w:type="dxa"/>
            <w:shd w:val="clear" w:color="auto" w:fill="auto"/>
            <w:hideMark/>
          </w:tcPr>
          <w:p w14:paraId="4147A3BF" w14:textId="77777777" w:rsidR="00B71B4E" w:rsidRPr="00BD16B4" w:rsidRDefault="00B71B4E" w:rsidP="00F31129">
            <w:pPr>
              <w:pStyle w:val="TableText"/>
              <w:spacing w:before="40" w:after="40"/>
            </w:pPr>
            <w:r w:rsidRPr="00BD16B4">
              <w:t>0.07</w:t>
            </w:r>
          </w:p>
        </w:tc>
        <w:tc>
          <w:tcPr>
            <w:tcW w:w="903" w:type="dxa"/>
            <w:shd w:val="clear" w:color="auto" w:fill="auto"/>
            <w:hideMark/>
          </w:tcPr>
          <w:p w14:paraId="7461A462" w14:textId="77777777" w:rsidR="00B71B4E" w:rsidRPr="00BD16B4" w:rsidRDefault="00B71B4E" w:rsidP="00F31129">
            <w:pPr>
              <w:pStyle w:val="TableText"/>
              <w:spacing w:before="40" w:after="40"/>
            </w:pPr>
            <w:r w:rsidRPr="00BD16B4">
              <w:t>0.04</w:t>
            </w:r>
          </w:p>
        </w:tc>
        <w:tc>
          <w:tcPr>
            <w:tcW w:w="756" w:type="dxa"/>
            <w:shd w:val="clear" w:color="auto" w:fill="auto"/>
            <w:noWrap/>
            <w:hideMark/>
          </w:tcPr>
          <w:p w14:paraId="60EC472D" w14:textId="77777777" w:rsidR="00B71B4E" w:rsidRPr="00BD16B4" w:rsidRDefault="00B71B4E" w:rsidP="00F31129">
            <w:pPr>
              <w:pStyle w:val="TableText"/>
              <w:spacing w:before="40" w:after="40"/>
            </w:pPr>
            <w:r w:rsidRPr="00BD16B4">
              <w:t>0.03</w:t>
            </w:r>
          </w:p>
        </w:tc>
        <w:tc>
          <w:tcPr>
            <w:tcW w:w="1020" w:type="dxa"/>
            <w:shd w:val="clear" w:color="auto" w:fill="auto"/>
            <w:noWrap/>
            <w:hideMark/>
          </w:tcPr>
          <w:p w14:paraId="637361B0" w14:textId="77777777" w:rsidR="00B71B4E" w:rsidRPr="00BD16B4" w:rsidRDefault="00B71B4E" w:rsidP="00F31129">
            <w:pPr>
              <w:pStyle w:val="TableText"/>
              <w:spacing w:before="40" w:after="40"/>
            </w:pPr>
            <w:r w:rsidRPr="00BD16B4">
              <w:t>Disbursed</w:t>
            </w:r>
          </w:p>
        </w:tc>
        <w:tc>
          <w:tcPr>
            <w:tcW w:w="955" w:type="dxa"/>
            <w:shd w:val="clear" w:color="auto" w:fill="auto"/>
            <w:noWrap/>
            <w:hideMark/>
          </w:tcPr>
          <w:p w14:paraId="5C777CB2" w14:textId="77777777" w:rsidR="00B71B4E" w:rsidRPr="00BD16B4" w:rsidRDefault="00B71B4E" w:rsidP="00F31129">
            <w:pPr>
              <w:pStyle w:val="TableText"/>
              <w:spacing w:before="40" w:after="40"/>
            </w:pPr>
            <w:r w:rsidRPr="00BD16B4">
              <w:t>ODA</w:t>
            </w:r>
          </w:p>
        </w:tc>
        <w:tc>
          <w:tcPr>
            <w:tcW w:w="1478" w:type="dxa"/>
            <w:shd w:val="clear" w:color="auto" w:fill="auto"/>
            <w:noWrap/>
            <w:hideMark/>
          </w:tcPr>
          <w:p w14:paraId="6EF797BF" w14:textId="77777777" w:rsidR="00B71B4E" w:rsidRPr="00BD16B4" w:rsidRDefault="00B71B4E" w:rsidP="00F31129">
            <w:pPr>
              <w:pStyle w:val="TableText"/>
              <w:spacing w:before="40" w:after="40"/>
            </w:pPr>
            <w:r w:rsidRPr="00BD16B4">
              <w:t>Grant</w:t>
            </w:r>
          </w:p>
        </w:tc>
        <w:tc>
          <w:tcPr>
            <w:tcW w:w="1217" w:type="dxa"/>
            <w:shd w:val="clear" w:color="auto" w:fill="auto"/>
            <w:noWrap/>
            <w:hideMark/>
          </w:tcPr>
          <w:p w14:paraId="2B85677C" w14:textId="77777777" w:rsidR="00B71B4E" w:rsidRPr="00BD16B4" w:rsidRDefault="00B71B4E" w:rsidP="00F31129">
            <w:pPr>
              <w:pStyle w:val="TableText"/>
              <w:spacing w:before="40" w:after="40"/>
            </w:pPr>
            <w:r w:rsidRPr="00BD16B4">
              <w:t>Cross-cutting</w:t>
            </w:r>
          </w:p>
        </w:tc>
        <w:tc>
          <w:tcPr>
            <w:tcW w:w="2464" w:type="dxa"/>
            <w:shd w:val="clear" w:color="auto" w:fill="auto"/>
            <w:noWrap/>
            <w:hideMark/>
          </w:tcPr>
          <w:p w14:paraId="37DFC582" w14:textId="77777777" w:rsidR="00B71B4E" w:rsidRPr="00BD16B4" w:rsidRDefault="00B71B4E" w:rsidP="00F31129">
            <w:pPr>
              <w:pStyle w:val="TableText"/>
              <w:spacing w:before="40" w:after="40"/>
            </w:pPr>
            <w:r w:rsidRPr="00BD16B4">
              <w:t>Multi-sector</w:t>
            </w:r>
          </w:p>
        </w:tc>
      </w:tr>
      <w:tr w:rsidR="00B71B4E" w:rsidRPr="00BD16B4" w14:paraId="280B553C" w14:textId="77777777" w:rsidTr="00F31129">
        <w:tc>
          <w:tcPr>
            <w:tcW w:w="3915" w:type="dxa"/>
            <w:shd w:val="clear" w:color="auto" w:fill="auto"/>
            <w:hideMark/>
          </w:tcPr>
          <w:p w14:paraId="4CFFB4D8" w14:textId="77777777" w:rsidR="00B71B4E" w:rsidRPr="00BD16B4" w:rsidRDefault="00B71B4E" w:rsidP="00F31129">
            <w:pPr>
              <w:pStyle w:val="TableText"/>
              <w:spacing w:before="40" w:after="40"/>
            </w:pPr>
            <w:r w:rsidRPr="00BD16B4">
              <w:t>Commonwealth Small States Office</w:t>
            </w:r>
          </w:p>
        </w:tc>
        <w:tc>
          <w:tcPr>
            <w:tcW w:w="903" w:type="dxa"/>
            <w:shd w:val="clear" w:color="auto" w:fill="auto"/>
            <w:hideMark/>
          </w:tcPr>
          <w:p w14:paraId="08C99DE3" w14:textId="77777777" w:rsidR="00B71B4E" w:rsidRPr="00BD16B4" w:rsidRDefault="00B71B4E" w:rsidP="00F31129">
            <w:pPr>
              <w:pStyle w:val="TableText"/>
              <w:spacing w:before="40" w:after="40"/>
            </w:pPr>
            <w:r w:rsidRPr="00BD16B4">
              <w:t>1.05</w:t>
            </w:r>
          </w:p>
        </w:tc>
        <w:tc>
          <w:tcPr>
            <w:tcW w:w="904" w:type="dxa"/>
            <w:shd w:val="clear" w:color="auto" w:fill="auto"/>
            <w:hideMark/>
          </w:tcPr>
          <w:p w14:paraId="39BAB1A8" w14:textId="77777777" w:rsidR="00B71B4E" w:rsidRPr="00BD16B4" w:rsidRDefault="00B71B4E" w:rsidP="00F31129">
            <w:pPr>
              <w:pStyle w:val="TableText"/>
              <w:spacing w:before="40" w:after="40"/>
            </w:pPr>
            <w:r w:rsidRPr="00BD16B4">
              <w:t>0.69</w:t>
            </w:r>
          </w:p>
        </w:tc>
        <w:tc>
          <w:tcPr>
            <w:tcW w:w="903" w:type="dxa"/>
            <w:shd w:val="clear" w:color="auto" w:fill="auto"/>
            <w:hideMark/>
          </w:tcPr>
          <w:p w14:paraId="4A3E499B" w14:textId="77777777" w:rsidR="00B71B4E" w:rsidRPr="00BD16B4" w:rsidRDefault="00B71B4E" w:rsidP="00F31129">
            <w:pPr>
              <w:pStyle w:val="TableText"/>
              <w:spacing w:before="40" w:after="40"/>
            </w:pPr>
            <w:r w:rsidRPr="00BD16B4">
              <w:t>0.45</w:t>
            </w:r>
          </w:p>
        </w:tc>
        <w:tc>
          <w:tcPr>
            <w:tcW w:w="756" w:type="dxa"/>
            <w:shd w:val="clear" w:color="auto" w:fill="auto"/>
            <w:noWrap/>
            <w:hideMark/>
          </w:tcPr>
          <w:p w14:paraId="529A9567" w14:textId="77777777" w:rsidR="00B71B4E" w:rsidRPr="00BD16B4" w:rsidRDefault="00B71B4E" w:rsidP="00F31129">
            <w:pPr>
              <w:pStyle w:val="TableText"/>
              <w:spacing w:before="40" w:after="40"/>
            </w:pPr>
            <w:r w:rsidRPr="00BD16B4">
              <w:t>0.30</w:t>
            </w:r>
          </w:p>
        </w:tc>
        <w:tc>
          <w:tcPr>
            <w:tcW w:w="1020" w:type="dxa"/>
            <w:shd w:val="clear" w:color="auto" w:fill="auto"/>
            <w:noWrap/>
            <w:hideMark/>
          </w:tcPr>
          <w:p w14:paraId="0F625EF2" w14:textId="77777777" w:rsidR="00B71B4E" w:rsidRPr="00BD16B4" w:rsidRDefault="00B71B4E" w:rsidP="00F31129">
            <w:pPr>
              <w:pStyle w:val="TableText"/>
              <w:spacing w:before="40" w:after="40"/>
            </w:pPr>
            <w:r w:rsidRPr="00BD16B4">
              <w:t>Disbursed</w:t>
            </w:r>
          </w:p>
        </w:tc>
        <w:tc>
          <w:tcPr>
            <w:tcW w:w="955" w:type="dxa"/>
            <w:shd w:val="clear" w:color="auto" w:fill="auto"/>
            <w:noWrap/>
            <w:hideMark/>
          </w:tcPr>
          <w:p w14:paraId="4BE12B2D" w14:textId="77777777" w:rsidR="00B71B4E" w:rsidRPr="00BD16B4" w:rsidRDefault="00B71B4E" w:rsidP="00F31129">
            <w:pPr>
              <w:pStyle w:val="TableText"/>
              <w:spacing w:before="40" w:after="40"/>
            </w:pPr>
            <w:r w:rsidRPr="00BD16B4">
              <w:t>ODA</w:t>
            </w:r>
          </w:p>
        </w:tc>
        <w:tc>
          <w:tcPr>
            <w:tcW w:w="1478" w:type="dxa"/>
            <w:shd w:val="clear" w:color="auto" w:fill="auto"/>
            <w:noWrap/>
            <w:hideMark/>
          </w:tcPr>
          <w:p w14:paraId="18423F35" w14:textId="77777777" w:rsidR="00B71B4E" w:rsidRPr="00BD16B4" w:rsidRDefault="00B71B4E" w:rsidP="00F31129">
            <w:pPr>
              <w:pStyle w:val="TableText"/>
              <w:spacing w:before="40" w:after="40"/>
            </w:pPr>
            <w:r w:rsidRPr="00BD16B4">
              <w:t>Grant</w:t>
            </w:r>
          </w:p>
        </w:tc>
        <w:tc>
          <w:tcPr>
            <w:tcW w:w="1217" w:type="dxa"/>
            <w:shd w:val="clear" w:color="auto" w:fill="auto"/>
            <w:noWrap/>
            <w:hideMark/>
          </w:tcPr>
          <w:p w14:paraId="407F9046" w14:textId="77777777" w:rsidR="00B71B4E" w:rsidRPr="00BD16B4" w:rsidRDefault="00B71B4E" w:rsidP="00F31129">
            <w:pPr>
              <w:pStyle w:val="TableText"/>
              <w:spacing w:before="40" w:after="40"/>
            </w:pPr>
            <w:r w:rsidRPr="00BD16B4">
              <w:t>Cross-cutting</w:t>
            </w:r>
          </w:p>
        </w:tc>
        <w:tc>
          <w:tcPr>
            <w:tcW w:w="2464" w:type="dxa"/>
            <w:shd w:val="clear" w:color="auto" w:fill="auto"/>
            <w:noWrap/>
            <w:hideMark/>
          </w:tcPr>
          <w:p w14:paraId="78CE93DC" w14:textId="77777777" w:rsidR="00B71B4E" w:rsidRPr="00BD16B4" w:rsidRDefault="00B71B4E" w:rsidP="00F31129">
            <w:pPr>
              <w:pStyle w:val="TableText"/>
              <w:spacing w:before="40" w:after="40"/>
            </w:pPr>
            <w:r w:rsidRPr="00BD16B4">
              <w:t>Multi-sector</w:t>
            </w:r>
          </w:p>
        </w:tc>
      </w:tr>
      <w:tr w:rsidR="00B71B4E" w:rsidRPr="00BD16B4" w14:paraId="5CD7A102" w14:textId="77777777" w:rsidTr="00F31129">
        <w:tc>
          <w:tcPr>
            <w:tcW w:w="3915" w:type="dxa"/>
            <w:tcBorders>
              <w:bottom w:val="single" w:sz="4" w:space="0" w:color="1B556B" w:themeColor="text2"/>
            </w:tcBorders>
            <w:shd w:val="clear" w:color="auto" w:fill="auto"/>
            <w:hideMark/>
          </w:tcPr>
          <w:p w14:paraId="55D1B171" w14:textId="77777777" w:rsidR="00B71B4E" w:rsidRPr="00BD16B4" w:rsidRDefault="00B71B4E" w:rsidP="00F31129">
            <w:pPr>
              <w:pStyle w:val="TableTextBold0"/>
              <w:spacing w:before="40" w:after="40"/>
            </w:pPr>
            <w:r w:rsidRPr="00BD16B4">
              <w:t xml:space="preserve">Subtotal </w:t>
            </w:r>
          </w:p>
        </w:tc>
        <w:tc>
          <w:tcPr>
            <w:tcW w:w="903" w:type="dxa"/>
            <w:tcBorders>
              <w:bottom w:val="single" w:sz="4" w:space="0" w:color="1B556B" w:themeColor="text2"/>
            </w:tcBorders>
            <w:shd w:val="clear" w:color="auto" w:fill="auto"/>
            <w:hideMark/>
          </w:tcPr>
          <w:p w14:paraId="6891234D" w14:textId="77777777" w:rsidR="00B71B4E" w:rsidRPr="00BD16B4" w:rsidRDefault="00B71B4E" w:rsidP="00F31129">
            <w:pPr>
              <w:pStyle w:val="TableTextBold0"/>
              <w:spacing w:before="40" w:after="40"/>
            </w:pPr>
            <w:r w:rsidRPr="00BD16B4">
              <w:t>1.15</w:t>
            </w:r>
          </w:p>
        </w:tc>
        <w:tc>
          <w:tcPr>
            <w:tcW w:w="904" w:type="dxa"/>
            <w:tcBorders>
              <w:bottom w:val="single" w:sz="4" w:space="0" w:color="1B556B" w:themeColor="text2"/>
            </w:tcBorders>
            <w:shd w:val="clear" w:color="auto" w:fill="auto"/>
            <w:hideMark/>
          </w:tcPr>
          <w:p w14:paraId="2304265A" w14:textId="77777777" w:rsidR="00B71B4E" w:rsidRPr="00BD16B4" w:rsidRDefault="00B71B4E" w:rsidP="00F31129">
            <w:pPr>
              <w:pStyle w:val="TableTextBold0"/>
              <w:spacing w:before="40" w:after="40"/>
            </w:pPr>
            <w:r w:rsidRPr="00BD16B4">
              <w:t>0.76</w:t>
            </w:r>
          </w:p>
        </w:tc>
        <w:tc>
          <w:tcPr>
            <w:tcW w:w="903" w:type="dxa"/>
            <w:tcBorders>
              <w:bottom w:val="single" w:sz="4" w:space="0" w:color="1B556B" w:themeColor="text2"/>
            </w:tcBorders>
            <w:shd w:val="clear" w:color="auto" w:fill="auto"/>
            <w:hideMark/>
          </w:tcPr>
          <w:p w14:paraId="71401B51" w14:textId="77777777" w:rsidR="00B71B4E" w:rsidRPr="00BD16B4" w:rsidRDefault="00B71B4E" w:rsidP="00F31129">
            <w:pPr>
              <w:pStyle w:val="TableTextBold0"/>
              <w:spacing w:before="40" w:after="40"/>
            </w:pPr>
            <w:r w:rsidRPr="00BD16B4">
              <w:t>5.99</w:t>
            </w:r>
          </w:p>
        </w:tc>
        <w:tc>
          <w:tcPr>
            <w:tcW w:w="756" w:type="dxa"/>
            <w:tcBorders>
              <w:bottom w:val="single" w:sz="4" w:space="0" w:color="1B556B" w:themeColor="text2"/>
            </w:tcBorders>
            <w:shd w:val="clear" w:color="auto" w:fill="auto"/>
            <w:noWrap/>
            <w:hideMark/>
          </w:tcPr>
          <w:p w14:paraId="4364DD59" w14:textId="77777777" w:rsidR="00B71B4E" w:rsidRPr="00BD16B4" w:rsidRDefault="00B71B4E" w:rsidP="00F31129">
            <w:pPr>
              <w:pStyle w:val="TableTextBold0"/>
              <w:spacing w:before="40" w:after="40"/>
            </w:pPr>
            <w:r w:rsidRPr="00BD16B4">
              <w:t>3.95</w:t>
            </w:r>
          </w:p>
        </w:tc>
        <w:tc>
          <w:tcPr>
            <w:tcW w:w="1020" w:type="dxa"/>
            <w:shd w:val="clear" w:color="auto" w:fill="auto"/>
            <w:noWrap/>
            <w:hideMark/>
          </w:tcPr>
          <w:p w14:paraId="0F8C80F8" w14:textId="77777777" w:rsidR="00B71B4E" w:rsidRPr="00BD16B4" w:rsidRDefault="00B71B4E" w:rsidP="00F31129">
            <w:pPr>
              <w:pStyle w:val="TableTextBold0"/>
              <w:spacing w:before="40" w:after="40"/>
            </w:pPr>
          </w:p>
        </w:tc>
        <w:tc>
          <w:tcPr>
            <w:tcW w:w="955" w:type="dxa"/>
            <w:shd w:val="clear" w:color="auto" w:fill="auto"/>
            <w:noWrap/>
            <w:hideMark/>
          </w:tcPr>
          <w:p w14:paraId="1C3C5135" w14:textId="77777777" w:rsidR="00B71B4E" w:rsidRPr="00BD16B4" w:rsidRDefault="00B71B4E" w:rsidP="00F31129">
            <w:pPr>
              <w:pStyle w:val="TableTextBold0"/>
              <w:spacing w:before="40" w:after="40"/>
              <w:rPr>
                <w:rFonts w:ascii="Times New Roman" w:hAnsi="Times New Roman"/>
              </w:rPr>
            </w:pPr>
          </w:p>
        </w:tc>
        <w:tc>
          <w:tcPr>
            <w:tcW w:w="1478" w:type="dxa"/>
            <w:shd w:val="clear" w:color="auto" w:fill="auto"/>
            <w:noWrap/>
            <w:hideMark/>
          </w:tcPr>
          <w:p w14:paraId="5104310D" w14:textId="77777777" w:rsidR="00B71B4E" w:rsidRPr="00BD16B4" w:rsidRDefault="00B71B4E" w:rsidP="00F31129">
            <w:pPr>
              <w:pStyle w:val="TableTextBold0"/>
              <w:spacing w:before="40" w:after="40"/>
              <w:rPr>
                <w:rFonts w:ascii="Times New Roman" w:hAnsi="Times New Roman"/>
              </w:rPr>
            </w:pPr>
          </w:p>
        </w:tc>
        <w:tc>
          <w:tcPr>
            <w:tcW w:w="1217" w:type="dxa"/>
            <w:shd w:val="clear" w:color="auto" w:fill="auto"/>
            <w:noWrap/>
            <w:hideMark/>
          </w:tcPr>
          <w:p w14:paraId="28DA8E8D" w14:textId="77777777" w:rsidR="00B71B4E" w:rsidRPr="00BD16B4" w:rsidRDefault="00B71B4E" w:rsidP="00F31129">
            <w:pPr>
              <w:pStyle w:val="TableTextBold0"/>
              <w:spacing w:before="40" w:after="40"/>
              <w:rPr>
                <w:rFonts w:ascii="Times New Roman" w:hAnsi="Times New Roman"/>
              </w:rPr>
            </w:pPr>
          </w:p>
        </w:tc>
        <w:tc>
          <w:tcPr>
            <w:tcW w:w="2464" w:type="dxa"/>
            <w:shd w:val="clear" w:color="auto" w:fill="auto"/>
            <w:noWrap/>
            <w:hideMark/>
          </w:tcPr>
          <w:p w14:paraId="639B6DFE" w14:textId="77777777" w:rsidR="00B71B4E" w:rsidRPr="00BD16B4" w:rsidRDefault="00B71B4E" w:rsidP="00F31129">
            <w:pPr>
              <w:pStyle w:val="TableTextBold0"/>
              <w:spacing w:before="40" w:after="40"/>
              <w:rPr>
                <w:rFonts w:ascii="Times New Roman" w:hAnsi="Times New Roman"/>
              </w:rPr>
            </w:pPr>
          </w:p>
        </w:tc>
      </w:tr>
      <w:tr w:rsidR="00B71B4E" w:rsidRPr="00BD16B4" w14:paraId="66A99B21" w14:textId="77777777" w:rsidTr="00F31129">
        <w:tc>
          <w:tcPr>
            <w:tcW w:w="3915" w:type="dxa"/>
            <w:shd w:val="clear" w:color="000000" w:fill="D2DDE1" w:themeFill="background2"/>
            <w:hideMark/>
          </w:tcPr>
          <w:p w14:paraId="5748AD9B" w14:textId="77777777" w:rsidR="00B71B4E" w:rsidRPr="00BD16B4" w:rsidRDefault="00B71B4E" w:rsidP="00F31129">
            <w:pPr>
              <w:pStyle w:val="TableTextBold0"/>
              <w:spacing w:before="40" w:after="40"/>
            </w:pPr>
            <w:r w:rsidRPr="00BD16B4">
              <w:t>TOTAL</w:t>
            </w:r>
          </w:p>
        </w:tc>
        <w:tc>
          <w:tcPr>
            <w:tcW w:w="903" w:type="dxa"/>
            <w:shd w:val="clear" w:color="000000" w:fill="D2DDE1" w:themeFill="background2"/>
            <w:hideMark/>
          </w:tcPr>
          <w:p w14:paraId="1A38F205" w14:textId="77777777" w:rsidR="00B71B4E" w:rsidRPr="00BD16B4" w:rsidRDefault="00B71B4E" w:rsidP="00F31129">
            <w:pPr>
              <w:pStyle w:val="TableTextBold0"/>
              <w:spacing w:before="40" w:after="40"/>
            </w:pPr>
            <w:r w:rsidRPr="00BD16B4">
              <w:t>30.65</w:t>
            </w:r>
          </w:p>
        </w:tc>
        <w:tc>
          <w:tcPr>
            <w:tcW w:w="904" w:type="dxa"/>
            <w:shd w:val="clear" w:color="000000" w:fill="D2DDE1" w:themeFill="background2"/>
            <w:hideMark/>
          </w:tcPr>
          <w:p w14:paraId="15A97413" w14:textId="77777777" w:rsidR="00B71B4E" w:rsidRPr="00BD16B4" w:rsidRDefault="00B71B4E" w:rsidP="00F31129">
            <w:pPr>
              <w:pStyle w:val="TableTextBold0"/>
              <w:spacing w:before="40" w:after="40"/>
            </w:pPr>
            <w:r w:rsidRPr="00BD16B4">
              <w:t>20.19</w:t>
            </w:r>
          </w:p>
        </w:tc>
        <w:tc>
          <w:tcPr>
            <w:tcW w:w="903" w:type="dxa"/>
            <w:shd w:val="clear" w:color="000000" w:fill="D2DDE1" w:themeFill="background2"/>
            <w:hideMark/>
          </w:tcPr>
          <w:p w14:paraId="20D6B09B" w14:textId="77777777" w:rsidR="00B71B4E" w:rsidRPr="00BD16B4" w:rsidRDefault="00B71B4E" w:rsidP="00F31129">
            <w:pPr>
              <w:pStyle w:val="TableTextBold0"/>
              <w:spacing w:before="40" w:after="40"/>
            </w:pPr>
            <w:r w:rsidRPr="00BD16B4">
              <w:t>39.04</w:t>
            </w:r>
          </w:p>
        </w:tc>
        <w:tc>
          <w:tcPr>
            <w:tcW w:w="756" w:type="dxa"/>
            <w:shd w:val="clear" w:color="000000" w:fill="D2DDE1" w:themeFill="background2"/>
            <w:hideMark/>
          </w:tcPr>
          <w:p w14:paraId="6741EA85" w14:textId="77777777" w:rsidR="00B71B4E" w:rsidRPr="00BD16B4" w:rsidRDefault="00B71B4E" w:rsidP="00F31129">
            <w:pPr>
              <w:pStyle w:val="TableTextBold0"/>
              <w:spacing w:before="40" w:after="40"/>
            </w:pPr>
            <w:r w:rsidRPr="00BD16B4">
              <w:t>25.73</w:t>
            </w:r>
          </w:p>
        </w:tc>
        <w:tc>
          <w:tcPr>
            <w:tcW w:w="1020" w:type="dxa"/>
            <w:shd w:val="clear" w:color="auto" w:fill="auto"/>
            <w:noWrap/>
            <w:hideMark/>
          </w:tcPr>
          <w:p w14:paraId="66CEE3B4" w14:textId="77777777" w:rsidR="00B71B4E" w:rsidRPr="00BD16B4" w:rsidRDefault="00B71B4E" w:rsidP="00F31129">
            <w:pPr>
              <w:pStyle w:val="TableTextBold0"/>
              <w:spacing w:before="40" w:after="40"/>
            </w:pPr>
          </w:p>
        </w:tc>
        <w:tc>
          <w:tcPr>
            <w:tcW w:w="955" w:type="dxa"/>
            <w:shd w:val="clear" w:color="auto" w:fill="auto"/>
            <w:noWrap/>
            <w:hideMark/>
          </w:tcPr>
          <w:p w14:paraId="2A02661B" w14:textId="77777777" w:rsidR="00B71B4E" w:rsidRPr="00BD16B4" w:rsidRDefault="00B71B4E" w:rsidP="00F31129">
            <w:pPr>
              <w:pStyle w:val="TableTextBold0"/>
              <w:spacing w:before="40" w:after="40"/>
              <w:rPr>
                <w:rFonts w:ascii="Times New Roman" w:hAnsi="Times New Roman"/>
              </w:rPr>
            </w:pPr>
          </w:p>
        </w:tc>
        <w:tc>
          <w:tcPr>
            <w:tcW w:w="1478" w:type="dxa"/>
            <w:shd w:val="clear" w:color="auto" w:fill="auto"/>
            <w:noWrap/>
            <w:hideMark/>
          </w:tcPr>
          <w:p w14:paraId="3913DAFF" w14:textId="77777777" w:rsidR="00B71B4E" w:rsidRPr="00BD16B4" w:rsidRDefault="00B71B4E" w:rsidP="00F31129">
            <w:pPr>
              <w:pStyle w:val="TableTextBold0"/>
              <w:spacing w:before="40" w:after="40"/>
              <w:rPr>
                <w:rFonts w:ascii="Times New Roman" w:hAnsi="Times New Roman"/>
              </w:rPr>
            </w:pPr>
          </w:p>
        </w:tc>
        <w:tc>
          <w:tcPr>
            <w:tcW w:w="1217" w:type="dxa"/>
            <w:shd w:val="clear" w:color="auto" w:fill="auto"/>
            <w:noWrap/>
            <w:hideMark/>
          </w:tcPr>
          <w:p w14:paraId="49C54386" w14:textId="77777777" w:rsidR="00B71B4E" w:rsidRPr="00BD16B4" w:rsidRDefault="00B71B4E" w:rsidP="00F31129">
            <w:pPr>
              <w:pStyle w:val="TableTextBold0"/>
              <w:spacing w:before="40" w:after="40"/>
              <w:rPr>
                <w:rFonts w:ascii="Times New Roman" w:hAnsi="Times New Roman"/>
              </w:rPr>
            </w:pPr>
          </w:p>
        </w:tc>
        <w:tc>
          <w:tcPr>
            <w:tcW w:w="2464" w:type="dxa"/>
            <w:shd w:val="clear" w:color="auto" w:fill="auto"/>
            <w:noWrap/>
            <w:hideMark/>
          </w:tcPr>
          <w:p w14:paraId="2FBC522F" w14:textId="77777777" w:rsidR="00B71B4E" w:rsidRPr="00BD16B4" w:rsidRDefault="00B71B4E" w:rsidP="00F31129">
            <w:pPr>
              <w:pStyle w:val="TableTextBold0"/>
              <w:spacing w:before="40" w:after="40"/>
              <w:rPr>
                <w:rFonts w:ascii="Times New Roman" w:hAnsi="Times New Roman"/>
              </w:rPr>
            </w:pPr>
          </w:p>
        </w:tc>
      </w:tr>
    </w:tbl>
    <w:p w14:paraId="13B13AD3" w14:textId="2CBCD704" w:rsidR="00B71B4E" w:rsidRPr="00BD16B4" w:rsidRDefault="00B71B4E" w:rsidP="00120409">
      <w:pPr>
        <w:pStyle w:val="Note"/>
      </w:pPr>
      <w:r w:rsidRPr="00BD16B4">
        <w:rPr>
          <w:b/>
          <w:bCs/>
        </w:rPr>
        <w:t xml:space="preserve">Note: </w:t>
      </w:r>
      <w:r w:rsidRPr="00BD16B4">
        <w:t>* OECD’s imputed shares for 2019 have been applied for those organisations on the OECD list (Asian Development Bank, Green Climate Fund, Global Environment Facility, International Fund for</w:t>
      </w:r>
      <w:r w:rsidR="00B83EF6" w:rsidRPr="00BD16B4">
        <w:t> </w:t>
      </w:r>
      <w:r w:rsidRPr="00BD16B4">
        <w:t>Agricultural Development and World Bank). For those multilateral organisations not on the OECD list or where imputed shares are not available, New Zealand has applied its standard weighting of</w:t>
      </w:r>
      <w:r w:rsidR="00B83EF6" w:rsidRPr="00BD16B4">
        <w:t> </w:t>
      </w:r>
      <w:r w:rsidRPr="00BD16B4">
        <w:t>30% (Rio Marker 1) and 100% (Rio Marker 2). CGIAR = Consultative Group for International Agricultural Research;</w:t>
      </w:r>
      <w:r w:rsidRPr="00BD16B4">
        <w:rPr>
          <w:sz w:val="10"/>
          <w:szCs w:val="10"/>
        </w:rPr>
        <w:t xml:space="preserve"> </w:t>
      </w:r>
      <w:r w:rsidRPr="00BD16B4">
        <w:t>ODA = Official Development Assistance.</w:t>
      </w:r>
    </w:p>
    <w:p w14:paraId="244FC0A4" w14:textId="77777777" w:rsidR="00B71B4E" w:rsidRPr="00BD16B4" w:rsidRDefault="00B71B4E" w:rsidP="00BB7302">
      <w:pPr>
        <w:pStyle w:val="CTFTableheading"/>
      </w:pPr>
      <w:r w:rsidRPr="00BD16B4">
        <w:t xml:space="preserve">Table 7.4b: </w:t>
      </w:r>
      <w:r w:rsidRPr="00BD16B4">
        <w:tab/>
        <w:t>Provision of public financial support – contributions through multilateral channels, 2020</w:t>
      </w:r>
    </w:p>
    <w:tbl>
      <w:tblPr>
        <w:tblW w:w="14515" w:type="dxa"/>
        <w:tblInd w:w="108"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3366"/>
        <w:gridCol w:w="983"/>
        <w:gridCol w:w="1067"/>
        <w:gridCol w:w="1067"/>
        <w:gridCol w:w="855"/>
        <w:gridCol w:w="958"/>
        <w:gridCol w:w="21"/>
        <w:gridCol w:w="1017"/>
        <w:gridCol w:w="1298"/>
        <w:gridCol w:w="1417"/>
        <w:gridCol w:w="2466"/>
      </w:tblGrid>
      <w:tr w:rsidR="00B71B4E" w:rsidRPr="00BD16B4" w14:paraId="705D9276" w14:textId="77777777" w:rsidTr="00F31129">
        <w:trPr>
          <w:tblHeader/>
        </w:trPr>
        <w:tc>
          <w:tcPr>
            <w:tcW w:w="3366" w:type="dxa"/>
            <w:shd w:val="clear" w:color="000000" w:fill="1B556B" w:themeFill="text2"/>
            <w:vAlign w:val="bottom"/>
            <w:hideMark/>
          </w:tcPr>
          <w:p w14:paraId="229E2853" w14:textId="77777777" w:rsidR="00B71B4E" w:rsidRPr="00BD16B4" w:rsidRDefault="00B71B4E" w:rsidP="00F31129">
            <w:pPr>
              <w:pStyle w:val="TableTextBold0"/>
              <w:spacing w:before="40" w:after="40"/>
              <w:rPr>
                <w:color w:val="FFFFFF" w:themeColor="background1"/>
              </w:rPr>
            </w:pPr>
            <w:r w:rsidRPr="00BD16B4">
              <w:rPr>
                <w:color w:val="FFFFFF" w:themeColor="background1"/>
              </w:rPr>
              <w:t> </w:t>
            </w:r>
          </w:p>
        </w:tc>
        <w:tc>
          <w:tcPr>
            <w:tcW w:w="2050" w:type="dxa"/>
            <w:gridSpan w:val="2"/>
            <w:shd w:val="clear" w:color="000000" w:fill="1B556B" w:themeFill="text2"/>
            <w:vAlign w:val="bottom"/>
            <w:hideMark/>
          </w:tcPr>
          <w:p w14:paraId="287DBC57" w14:textId="77777777" w:rsidR="00B71B4E" w:rsidRPr="00BD16B4" w:rsidRDefault="00B71B4E" w:rsidP="00B83EF6">
            <w:pPr>
              <w:pStyle w:val="TableTextBold0"/>
              <w:spacing w:before="40" w:after="0"/>
              <w:jc w:val="center"/>
              <w:rPr>
                <w:color w:val="FFFFFF" w:themeColor="background1"/>
              </w:rPr>
            </w:pPr>
            <w:r w:rsidRPr="00BD16B4">
              <w:rPr>
                <w:color w:val="FFFFFF" w:themeColor="background1"/>
              </w:rPr>
              <w:t>Core/general</w:t>
            </w:r>
          </w:p>
        </w:tc>
        <w:tc>
          <w:tcPr>
            <w:tcW w:w="1922" w:type="dxa"/>
            <w:gridSpan w:val="2"/>
            <w:shd w:val="clear" w:color="000000" w:fill="1B556B" w:themeFill="text2"/>
            <w:vAlign w:val="bottom"/>
            <w:hideMark/>
          </w:tcPr>
          <w:p w14:paraId="7AAF1451" w14:textId="77777777" w:rsidR="00B71B4E" w:rsidRPr="00BD16B4" w:rsidRDefault="00B71B4E" w:rsidP="00B83EF6">
            <w:pPr>
              <w:pStyle w:val="TableTextBold0"/>
              <w:spacing w:before="40" w:after="0"/>
              <w:jc w:val="center"/>
              <w:rPr>
                <w:color w:val="FFFFFF" w:themeColor="background1"/>
              </w:rPr>
            </w:pPr>
            <w:r w:rsidRPr="00BD16B4">
              <w:rPr>
                <w:color w:val="FFFFFF" w:themeColor="background1"/>
              </w:rPr>
              <w:t>Climate-specific*</w:t>
            </w:r>
          </w:p>
        </w:tc>
        <w:tc>
          <w:tcPr>
            <w:tcW w:w="958" w:type="dxa"/>
            <w:shd w:val="clear" w:color="000000" w:fill="1B556B" w:themeFill="text2"/>
            <w:vAlign w:val="bottom"/>
            <w:hideMark/>
          </w:tcPr>
          <w:p w14:paraId="29AB68E7" w14:textId="77777777" w:rsidR="00B71B4E" w:rsidRPr="00BD16B4" w:rsidRDefault="00B71B4E" w:rsidP="00F31129">
            <w:pPr>
              <w:pStyle w:val="TableTextBold0"/>
              <w:spacing w:before="40" w:after="40"/>
              <w:jc w:val="center"/>
              <w:rPr>
                <w:color w:val="FFFFFF" w:themeColor="background1"/>
              </w:rPr>
            </w:pPr>
          </w:p>
        </w:tc>
        <w:tc>
          <w:tcPr>
            <w:tcW w:w="1038" w:type="dxa"/>
            <w:gridSpan w:val="2"/>
            <w:shd w:val="clear" w:color="000000" w:fill="1B556B" w:themeFill="text2"/>
            <w:vAlign w:val="bottom"/>
            <w:hideMark/>
          </w:tcPr>
          <w:p w14:paraId="2FE43AF6" w14:textId="77777777" w:rsidR="00B71B4E" w:rsidRPr="00BD16B4" w:rsidRDefault="00B71B4E" w:rsidP="00F31129">
            <w:pPr>
              <w:pStyle w:val="TableTextBold0"/>
              <w:spacing w:before="40" w:after="40"/>
              <w:jc w:val="center"/>
              <w:rPr>
                <w:color w:val="FFFFFF" w:themeColor="background1"/>
              </w:rPr>
            </w:pPr>
          </w:p>
        </w:tc>
        <w:tc>
          <w:tcPr>
            <w:tcW w:w="1298" w:type="dxa"/>
            <w:shd w:val="clear" w:color="000000" w:fill="1B556B" w:themeFill="text2"/>
            <w:vAlign w:val="bottom"/>
            <w:hideMark/>
          </w:tcPr>
          <w:p w14:paraId="61B6CF6C" w14:textId="77777777" w:rsidR="00B71B4E" w:rsidRPr="00BD16B4" w:rsidRDefault="00B71B4E" w:rsidP="00F31129">
            <w:pPr>
              <w:pStyle w:val="TableTextBold0"/>
              <w:spacing w:before="40" w:after="40"/>
              <w:jc w:val="center"/>
              <w:rPr>
                <w:color w:val="FFFFFF" w:themeColor="background1"/>
              </w:rPr>
            </w:pPr>
          </w:p>
        </w:tc>
        <w:tc>
          <w:tcPr>
            <w:tcW w:w="1417" w:type="dxa"/>
            <w:shd w:val="clear" w:color="000000" w:fill="1B556B" w:themeFill="text2"/>
            <w:vAlign w:val="bottom"/>
            <w:hideMark/>
          </w:tcPr>
          <w:p w14:paraId="3D405D31" w14:textId="77777777" w:rsidR="00B71B4E" w:rsidRPr="00BD16B4" w:rsidRDefault="00B71B4E" w:rsidP="00F31129">
            <w:pPr>
              <w:pStyle w:val="TableTextBold0"/>
              <w:spacing w:before="40" w:after="40"/>
              <w:jc w:val="center"/>
              <w:rPr>
                <w:color w:val="FFFFFF" w:themeColor="background1"/>
              </w:rPr>
            </w:pPr>
          </w:p>
        </w:tc>
        <w:tc>
          <w:tcPr>
            <w:tcW w:w="2466" w:type="dxa"/>
            <w:shd w:val="clear" w:color="000000" w:fill="1B556B" w:themeFill="text2"/>
            <w:vAlign w:val="bottom"/>
            <w:hideMark/>
          </w:tcPr>
          <w:p w14:paraId="6943FD69" w14:textId="77777777" w:rsidR="00B71B4E" w:rsidRPr="00BD16B4" w:rsidRDefault="00B71B4E" w:rsidP="00F31129">
            <w:pPr>
              <w:pStyle w:val="TableTextBold0"/>
              <w:spacing w:before="40" w:after="40"/>
              <w:rPr>
                <w:color w:val="FFFFFF" w:themeColor="background1"/>
              </w:rPr>
            </w:pPr>
            <w:r w:rsidRPr="00BD16B4">
              <w:rPr>
                <w:color w:val="FFFFFF" w:themeColor="background1"/>
              </w:rPr>
              <w:t> </w:t>
            </w:r>
          </w:p>
        </w:tc>
      </w:tr>
      <w:tr w:rsidR="00B71B4E" w:rsidRPr="00BD16B4" w14:paraId="280AF19F" w14:textId="77777777" w:rsidTr="00F31129">
        <w:trPr>
          <w:tblHeader/>
        </w:trPr>
        <w:tc>
          <w:tcPr>
            <w:tcW w:w="3366" w:type="dxa"/>
            <w:tcBorders>
              <w:bottom w:val="single" w:sz="4" w:space="0" w:color="1B556B" w:themeColor="text2"/>
            </w:tcBorders>
            <w:shd w:val="clear" w:color="000000" w:fill="1B556B" w:themeFill="text2"/>
            <w:vAlign w:val="bottom"/>
            <w:hideMark/>
          </w:tcPr>
          <w:p w14:paraId="50C8B998" w14:textId="77777777" w:rsidR="00B71B4E" w:rsidRPr="00BD16B4" w:rsidRDefault="00B71B4E" w:rsidP="00F31129">
            <w:pPr>
              <w:pStyle w:val="TableTextBold0"/>
              <w:spacing w:before="40" w:after="40"/>
              <w:rPr>
                <w:color w:val="FFFFFF" w:themeColor="background1"/>
              </w:rPr>
            </w:pPr>
            <w:r w:rsidRPr="00BD16B4">
              <w:rPr>
                <w:color w:val="FFFFFF" w:themeColor="background1"/>
              </w:rPr>
              <w:t xml:space="preserve">Donor funding </w:t>
            </w:r>
          </w:p>
        </w:tc>
        <w:tc>
          <w:tcPr>
            <w:tcW w:w="983" w:type="dxa"/>
            <w:tcBorders>
              <w:bottom w:val="single" w:sz="4" w:space="0" w:color="1B556B" w:themeColor="text2"/>
            </w:tcBorders>
            <w:shd w:val="clear" w:color="000000" w:fill="1B556B" w:themeFill="text2"/>
            <w:vAlign w:val="bottom"/>
            <w:hideMark/>
          </w:tcPr>
          <w:p w14:paraId="3F84D875" w14:textId="77777777" w:rsidR="00B71B4E" w:rsidRPr="00BD16B4" w:rsidRDefault="00B71B4E" w:rsidP="00F31129">
            <w:pPr>
              <w:pStyle w:val="TableTextBold0"/>
              <w:spacing w:before="40" w:after="40"/>
              <w:jc w:val="center"/>
              <w:rPr>
                <w:color w:val="FFFFFF" w:themeColor="background1"/>
              </w:rPr>
            </w:pPr>
            <w:r w:rsidRPr="00BD16B4">
              <w:rPr>
                <w:color w:val="FFFFFF" w:themeColor="background1"/>
              </w:rPr>
              <w:t>NZ$ million</w:t>
            </w:r>
          </w:p>
        </w:tc>
        <w:tc>
          <w:tcPr>
            <w:tcW w:w="1067" w:type="dxa"/>
            <w:tcBorders>
              <w:bottom w:val="single" w:sz="4" w:space="0" w:color="1B556B" w:themeColor="text2"/>
            </w:tcBorders>
            <w:shd w:val="clear" w:color="000000" w:fill="1B556B" w:themeFill="text2"/>
            <w:vAlign w:val="bottom"/>
            <w:hideMark/>
          </w:tcPr>
          <w:p w14:paraId="6670CAFB" w14:textId="77777777" w:rsidR="00B71B4E" w:rsidRPr="00BD16B4" w:rsidRDefault="00B71B4E" w:rsidP="00F31129">
            <w:pPr>
              <w:pStyle w:val="TableTextBold0"/>
              <w:spacing w:before="40" w:after="40"/>
              <w:jc w:val="center"/>
              <w:rPr>
                <w:color w:val="FFFFFF" w:themeColor="background1"/>
              </w:rPr>
            </w:pPr>
            <w:r w:rsidRPr="00BD16B4">
              <w:rPr>
                <w:color w:val="FFFFFF" w:themeColor="background1"/>
              </w:rPr>
              <w:t>US$ million</w:t>
            </w:r>
          </w:p>
        </w:tc>
        <w:tc>
          <w:tcPr>
            <w:tcW w:w="1067" w:type="dxa"/>
            <w:tcBorders>
              <w:bottom w:val="single" w:sz="4" w:space="0" w:color="1B556B" w:themeColor="text2"/>
            </w:tcBorders>
            <w:shd w:val="clear" w:color="000000" w:fill="1B556B" w:themeFill="text2"/>
            <w:vAlign w:val="bottom"/>
            <w:hideMark/>
          </w:tcPr>
          <w:p w14:paraId="1027EE28" w14:textId="77777777" w:rsidR="00B71B4E" w:rsidRPr="00BD16B4" w:rsidRDefault="00B71B4E" w:rsidP="00F31129">
            <w:pPr>
              <w:pStyle w:val="TableTextBold0"/>
              <w:spacing w:before="40" w:after="40"/>
              <w:jc w:val="center"/>
              <w:rPr>
                <w:color w:val="FFFFFF" w:themeColor="background1"/>
              </w:rPr>
            </w:pPr>
            <w:r w:rsidRPr="00BD16B4">
              <w:rPr>
                <w:color w:val="FFFFFF" w:themeColor="background1"/>
              </w:rPr>
              <w:t>NZ$ million</w:t>
            </w:r>
          </w:p>
        </w:tc>
        <w:tc>
          <w:tcPr>
            <w:tcW w:w="855" w:type="dxa"/>
            <w:tcBorders>
              <w:bottom w:val="single" w:sz="4" w:space="0" w:color="1B556B" w:themeColor="text2"/>
            </w:tcBorders>
            <w:shd w:val="clear" w:color="000000" w:fill="1B556B" w:themeFill="text2"/>
            <w:vAlign w:val="bottom"/>
            <w:hideMark/>
          </w:tcPr>
          <w:p w14:paraId="66E82861" w14:textId="77777777" w:rsidR="00B71B4E" w:rsidRPr="00BD16B4" w:rsidRDefault="00B71B4E" w:rsidP="00F31129">
            <w:pPr>
              <w:pStyle w:val="TableTextBold0"/>
              <w:spacing w:before="40" w:after="40"/>
              <w:jc w:val="center"/>
              <w:rPr>
                <w:color w:val="FFFFFF" w:themeColor="background1"/>
              </w:rPr>
            </w:pPr>
            <w:r w:rsidRPr="00BD16B4">
              <w:rPr>
                <w:color w:val="FFFFFF" w:themeColor="background1"/>
              </w:rPr>
              <w:t>US$ million</w:t>
            </w:r>
          </w:p>
        </w:tc>
        <w:tc>
          <w:tcPr>
            <w:tcW w:w="979" w:type="dxa"/>
            <w:gridSpan w:val="2"/>
            <w:tcBorders>
              <w:bottom w:val="single" w:sz="4" w:space="0" w:color="1B556B" w:themeColor="text2"/>
            </w:tcBorders>
            <w:shd w:val="clear" w:color="000000" w:fill="1B556B" w:themeFill="text2"/>
            <w:vAlign w:val="bottom"/>
            <w:hideMark/>
          </w:tcPr>
          <w:p w14:paraId="736205C0" w14:textId="77777777" w:rsidR="00B71B4E" w:rsidRPr="00BD16B4" w:rsidRDefault="00B71B4E" w:rsidP="00F31129">
            <w:pPr>
              <w:pStyle w:val="TableTextBold0"/>
              <w:spacing w:before="40" w:after="40"/>
              <w:jc w:val="center"/>
              <w:rPr>
                <w:color w:val="FFFFFF" w:themeColor="background1"/>
              </w:rPr>
            </w:pPr>
            <w:r w:rsidRPr="00BD16B4">
              <w:rPr>
                <w:color w:val="FFFFFF" w:themeColor="background1"/>
              </w:rPr>
              <w:t>Status</w:t>
            </w:r>
          </w:p>
        </w:tc>
        <w:tc>
          <w:tcPr>
            <w:tcW w:w="1017" w:type="dxa"/>
            <w:tcBorders>
              <w:bottom w:val="single" w:sz="4" w:space="0" w:color="1B556B" w:themeColor="text2"/>
            </w:tcBorders>
            <w:shd w:val="clear" w:color="000000" w:fill="1B556B" w:themeFill="text2"/>
            <w:vAlign w:val="bottom"/>
            <w:hideMark/>
          </w:tcPr>
          <w:p w14:paraId="128381E7" w14:textId="77777777" w:rsidR="00B71B4E" w:rsidRPr="00BD16B4" w:rsidRDefault="00B71B4E" w:rsidP="00F31129">
            <w:pPr>
              <w:pStyle w:val="TableTextBold0"/>
              <w:spacing w:before="40" w:after="40"/>
              <w:jc w:val="center"/>
              <w:rPr>
                <w:color w:val="FFFFFF" w:themeColor="background1"/>
              </w:rPr>
            </w:pPr>
            <w:r w:rsidRPr="00BD16B4">
              <w:rPr>
                <w:color w:val="FFFFFF" w:themeColor="background1"/>
              </w:rPr>
              <w:t>Funding source</w:t>
            </w:r>
          </w:p>
        </w:tc>
        <w:tc>
          <w:tcPr>
            <w:tcW w:w="1298" w:type="dxa"/>
            <w:tcBorders>
              <w:bottom w:val="single" w:sz="4" w:space="0" w:color="1B556B" w:themeColor="text2"/>
            </w:tcBorders>
            <w:shd w:val="clear" w:color="000000" w:fill="1B556B" w:themeFill="text2"/>
            <w:vAlign w:val="bottom"/>
            <w:hideMark/>
          </w:tcPr>
          <w:p w14:paraId="5A1B24CD" w14:textId="77777777" w:rsidR="00B71B4E" w:rsidRPr="00BD16B4" w:rsidRDefault="00B71B4E" w:rsidP="00F31129">
            <w:pPr>
              <w:pStyle w:val="TableTextBold0"/>
              <w:spacing w:before="40" w:after="40"/>
              <w:jc w:val="center"/>
              <w:rPr>
                <w:color w:val="FFFFFF" w:themeColor="background1"/>
              </w:rPr>
            </w:pPr>
            <w:r w:rsidRPr="00BD16B4">
              <w:rPr>
                <w:color w:val="FFFFFF" w:themeColor="background1"/>
              </w:rPr>
              <w:t>Financial instrument</w:t>
            </w:r>
          </w:p>
        </w:tc>
        <w:tc>
          <w:tcPr>
            <w:tcW w:w="1417" w:type="dxa"/>
            <w:tcBorders>
              <w:bottom w:val="single" w:sz="4" w:space="0" w:color="1B556B" w:themeColor="text2"/>
            </w:tcBorders>
            <w:shd w:val="clear" w:color="000000" w:fill="1B556B" w:themeFill="text2"/>
            <w:vAlign w:val="bottom"/>
            <w:hideMark/>
          </w:tcPr>
          <w:p w14:paraId="5E5FBAEA" w14:textId="77777777" w:rsidR="00B71B4E" w:rsidRPr="00BD16B4" w:rsidRDefault="00B71B4E" w:rsidP="00F31129">
            <w:pPr>
              <w:pStyle w:val="TableTextBold0"/>
              <w:spacing w:before="40" w:after="40"/>
              <w:jc w:val="center"/>
              <w:rPr>
                <w:color w:val="FFFFFF" w:themeColor="background1"/>
              </w:rPr>
            </w:pPr>
            <w:r w:rsidRPr="00BD16B4">
              <w:rPr>
                <w:color w:val="FFFFFF" w:themeColor="background1"/>
              </w:rPr>
              <w:t>Type of support</w:t>
            </w:r>
          </w:p>
        </w:tc>
        <w:tc>
          <w:tcPr>
            <w:tcW w:w="2466" w:type="dxa"/>
            <w:tcBorders>
              <w:bottom w:val="single" w:sz="4" w:space="0" w:color="1B556B" w:themeColor="text2"/>
            </w:tcBorders>
            <w:shd w:val="clear" w:color="000000" w:fill="1B556B" w:themeFill="text2"/>
            <w:vAlign w:val="bottom"/>
            <w:hideMark/>
          </w:tcPr>
          <w:p w14:paraId="1992992C" w14:textId="77777777" w:rsidR="00B71B4E" w:rsidRPr="00BD16B4" w:rsidRDefault="00B71B4E" w:rsidP="00F31129">
            <w:pPr>
              <w:pStyle w:val="TableTextBold0"/>
              <w:spacing w:before="40" w:after="40"/>
              <w:rPr>
                <w:color w:val="FFFFFF" w:themeColor="background1"/>
              </w:rPr>
            </w:pPr>
            <w:r w:rsidRPr="00BD16B4">
              <w:rPr>
                <w:color w:val="FFFFFF" w:themeColor="background1"/>
              </w:rPr>
              <w:t>Sector</w:t>
            </w:r>
          </w:p>
        </w:tc>
      </w:tr>
      <w:tr w:rsidR="00B71B4E" w:rsidRPr="00BD16B4" w14:paraId="5A53E6F7" w14:textId="77777777" w:rsidTr="00F31129">
        <w:tc>
          <w:tcPr>
            <w:tcW w:w="3366" w:type="dxa"/>
            <w:shd w:val="clear" w:color="000000" w:fill="D2DDE1" w:themeFill="background2"/>
            <w:hideMark/>
          </w:tcPr>
          <w:p w14:paraId="46E422EC" w14:textId="77777777" w:rsidR="00B71B4E" w:rsidRPr="00BD16B4" w:rsidRDefault="00B71B4E" w:rsidP="0009111A">
            <w:pPr>
              <w:pStyle w:val="TableTextBold0"/>
              <w:spacing w:before="40" w:after="40"/>
            </w:pPr>
            <w:r w:rsidRPr="00BD16B4">
              <w:t>Multilateral climate change funds</w:t>
            </w:r>
          </w:p>
        </w:tc>
        <w:tc>
          <w:tcPr>
            <w:tcW w:w="983" w:type="dxa"/>
            <w:shd w:val="clear" w:color="000000" w:fill="D2DDE1" w:themeFill="background2"/>
            <w:hideMark/>
          </w:tcPr>
          <w:p w14:paraId="391CA07C" w14:textId="77777777" w:rsidR="00B71B4E" w:rsidRPr="00BD16B4" w:rsidRDefault="00B71B4E" w:rsidP="0009111A">
            <w:pPr>
              <w:pStyle w:val="TableTextBold0"/>
              <w:spacing w:before="40" w:after="40"/>
            </w:pPr>
            <w:r w:rsidRPr="00BD16B4">
              <w:t> </w:t>
            </w:r>
          </w:p>
        </w:tc>
        <w:tc>
          <w:tcPr>
            <w:tcW w:w="1067" w:type="dxa"/>
            <w:shd w:val="clear" w:color="000000" w:fill="D2DDE1" w:themeFill="background2"/>
            <w:hideMark/>
          </w:tcPr>
          <w:p w14:paraId="1A458C57" w14:textId="77777777" w:rsidR="00B71B4E" w:rsidRPr="00BD16B4" w:rsidRDefault="00B71B4E" w:rsidP="0009111A">
            <w:pPr>
              <w:pStyle w:val="TableTextBold0"/>
              <w:spacing w:before="40" w:after="40"/>
            </w:pPr>
            <w:r w:rsidRPr="00BD16B4">
              <w:t> </w:t>
            </w:r>
          </w:p>
        </w:tc>
        <w:tc>
          <w:tcPr>
            <w:tcW w:w="1067" w:type="dxa"/>
            <w:shd w:val="clear" w:color="000000" w:fill="D2DDE1" w:themeFill="background2"/>
            <w:hideMark/>
          </w:tcPr>
          <w:p w14:paraId="7925B088" w14:textId="77777777" w:rsidR="00B71B4E" w:rsidRPr="00BD16B4" w:rsidRDefault="00B71B4E" w:rsidP="0009111A">
            <w:pPr>
              <w:pStyle w:val="TableTextBold0"/>
              <w:spacing w:before="40" w:after="40"/>
            </w:pPr>
            <w:r w:rsidRPr="00BD16B4">
              <w:t> </w:t>
            </w:r>
          </w:p>
        </w:tc>
        <w:tc>
          <w:tcPr>
            <w:tcW w:w="855" w:type="dxa"/>
            <w:shd w:val="clear" w:color="000000" w:fill="D2DDE1" w:themeFill="background2"/>
            <w:hideMark/>
          </w:tcPr>
          <w:p w14:paraId="35F243D3" w14:textId="77777777" w:rsidR="00B71B4E" w:rsidRPr="00BD16B4" w:rsidRDefault="00B71B4E" w:rsidP="0009111A">
            <w:pPr>
              <w:pStyle w:val="TableTextBold0"/>
              <w:spacing w:before="40" w:after="40"/>
            </w:pPr>
            <w:r w:rsidRPr="00BD16B4">
              <w:t> </w:t>
            </w:r>
          </w:p>
        </w:tc>
        <w:tc>
          <w:tcPr>
            <w:tcW w:w="979" w:type="dxa"/>
            <w:gridSpan w:val="2"/>
            <w:shd w:val="clear" w:color="000000" w:fill="D2DDE1" w:themeFill="background2"/>
            <w:hideMark/>
          </w:tcPr>
          <w:p w14:paraId="2A20B737" w14:textId="77777777" w:rsidR="00B71B4E" w:rsidRPr="00BD16B4" w:rsidRDefault="00B71B4E" w:rsidP="0009111A">
            <w:pPr>
              <w:pStyle w:val="TableTextBold0"/>
              <w:spacing w:before="40" w:after="40"/>
            </w:pPr>
            <w:r w:rsidRPr="00BD16B4">
              <w:t> </w:t>
            </w:r>
          </w:p>
        </w:tc>
        <w:tc>
          <w:tcPr>
            <w:tcW w:w="1017" w:type="dxa"/>
            <w:shd w:val="clear" w:color="000000" w:fill="D2DDE1" w:themeFill="background2"/>
            <w:hideMark/>
          </w:tcPr>
          <w:p w14:paraId="44219059" w14:textId="77777777" w:rsidR="00B71B4E" w:rsidRPr="00BD16B4" w:rsidRDefault="00B71B4E" w:rsidP="0009111A">
            <w:pPr>
              <w:pStyle w:val="TableTextBold0"/>
              <w:spacing w:before="40" w:after="40"/>
            </w:pPr>
            <w:r w:rsidRPr="00BD16B4">
              <w:t> </w:t>
            </w:r>
          </w:p>
        </w:tc>
        <w:tc>
          <w:tcPr>
            <w:tcW w:w="1298" w:type="dxa"/>
            <w:shd w:val="clear" w:color="000000" w:fill="D2DDE1" w:themeFill="background2"/>
            <w:hideMark/>
          </w:tcPr>
          <w:p w14:paraId="56AB783A" w14:textId="77777777" w:rsidR="00B71B4E" w:rsidRPr="00BD16B4" w:rsidRDefault="00B71B4E" w:rsidP="0009111A">
            <w:pPr>
              <w:pStyle w:val="TableTextBold0"/>
              <w:spacing w:before="40" w:after="40"/>
            </w:pPr>
            <w:r w:rsidRPr="00BD16B4">
              <w:t> </w:t>
            </w:r>
          </w:p>
        </w:tc>
        <w:tc>
          <w:tcPr>
            <w:tcW w:w="1417" w:type="dxa"/>
            <w:shd w:val="clear" w:color="000000" w:fill="D2DDE1" w:themeFill="background2"/>
            <w:hideMark/>
          </w:tcPr>
          <w:p w14:paraId="0B30375E" w14:textId="77777777" w:rsidR="00B71B4E" w:rsidRPr="00BD16B4" w:rsidRDefault="00B71B4E" w:rsidP="0009111A">
            <w:pPr>
              <w:pStyle w:val="TableTextBold0"/>
              <w:spacing w:before="40" w:after="40"/>
            </w:pPr>
            <w:r w:rsidRPr="00BD16B4">
              <w:t> </w:t>
            </w:r>
          </w:p>
        </w:tc>
        <w:tc>
          <w:tcPr>
            <w:tcW w:w="2466" w:type="dxa"/>
            <w:shd w:val="clear" w:color="000000" w:fill="D2DDE1" w:themeFill="background2"/>
            <w:hideMark/>
          </w:tcPr>
          <w:p w14:paraId="53C8D302" w14:textId="77777777" w:rsidR="00B71B4E" w:rsidRPr="00BD16B4" w:rsidRDefault="00B71B4E" w:rsidP="0009111A">
            <w:pPr>
              <w:pStyle w:val="TableTextBold0"/>
              <w:spacing w:before="40" w:after="40"/>
            </w:pPr>
            <w:r w:rsidRPr="00BD16B4">
              <w:t> </w:t>
            </w:r>
          </w:p>
        </w:tc>
      </w:tr>
      <w:tr w:rsidR="00B71B4E" w:rsidRPr="00BD16B4" w14:paraId="0640C524" w14:textId="77777777" w:rsidTr="00F31129">
        <w:tc>
          <w:tcPr>
            <w:tcW w:w="3366" w:type="dxa"/>
            <w:shd w:val="clear" w:color="auto" w:fill="auto"/>
            <w:hideMark/>
          </w:tcPr>
          <w:p w14:paraId="5FD07981" w14:textId="77777777" w:rsidR="00B71B4E" w:rsidRPr="00BD16B4" w:rsidRDefault="00B71B4E" w:rsidP="00F31129">
            <w:pPr>
              <w:pStyle w:val="TableText"/>
              <w:spacing w:before="40" w:after="40"/>
            </w:pPr>
            <w:r w:rsidRPr="00BD16B4">
              <w:t>Global Environment Facility</w:t>
            </w:r>
          </w:p>
        </w:tc>
        <w:tc>
          <w:tcPr>
            <w:tcW w:w="983" w:type="dxa"/>
            <w:shd w:val="clear" w:color="auto" w:fill="auto"/>
            <w:hideMark/>
          </w:tcPr>
          <w:p w14:paraId="5BD239A8" w14:textId="77777777" w:rsidR="00B71B4E" w:rsidRPr="00BD16B4" w:rsidRDefault="00B71B4E" w:rsidP="00F31129">
            <w:pPr>
              <w:pStyle w:val="TableText"/>
              <w:spacing w:before="40" w:after="40"/>
              <w:jc w:val="center"/>
            </w:pPr>
            <w:r w:rsidRPr="00BD16B4">
              <w:t>0.40</w:t>
            </w:r>
          </w:p>
        </w:tc>
        <w:tc>
          <w:tcPr>
            <w:tcW w:w="1067" w:type="dxa"/>
            <w:shd w:val="clear" w:color="auto" w:fill="auto"/>
            <w:hideMark/>
          </w:tcPr>
          <w:p w14:paraId="2AFABC2C" w14:textId="77777777" w:rsidR="00B71B4E" w:rsidRPr="00BD16B4" w:rsidRDefault="00B71B4E" w:rsidP="00F31129">
            <w:pPr>
              <w:pStyle w:val="TableText"/>
              <w:spacing w:before="40" w:after="40"/>
              <w:jc w:val="center"/>
            </w:pPr>
            <w:r w:rsidRPr="00BD16B4">
              <w:t>0.26</w:t>
            </w:r>
          </w:p>
        </w:tc>
        <w:tc>
          <w:tcPr>
            <w:tcW w:w="1067" w:type="dxa"/>
            <w:shd w:val="clear" w:color="auto" w:fill="auto"/>
            <w:hideMark/>
          </w:tcPr>
          <w:p w14:paraId="7011AB2A" w14:textId="77777777" w:rsidR="00B71B4E" w:rsidRPr="00BD16B4" w:rsidRDefault="00B71B4E" w:rsidP="00F31129">
            <w:pPr>
              <w:pStyle w:val="TableText"/>
              <w:spacing w:before="40" w:after="40"/>
              <w:jc w:val="center"/>
            </w:pPr>
            <w:r w:rsidRPr="00BD16B4">
              <w:t>2.10</w:t>
            </w:r>
          </w:p>
        </w:tc>
        <w:tc>
          <w:tcPr>
            <w:tcW w:w="855" w:type="dxa"/>
            <w:shd w:val="clear" w:color="auto" w:fill="auto"/>
            <w:noWrap/>
            <w:hideMark/>
          </w:tcPr>
          <w:p w14:paraId="70E05986" w14:textId="77777777" w:rsidR="00B71B4E" w:rsidRPr="00BD16B4" w:rsidRDefault="00B71B4E" w:rsidP="00F31129">
            <w:pPr>
              <w:pStyle w:val="TableText"/>
              <w:spacing w:before="40" w:after="40"/>
              <w:jc w:val="center"/>
            </w:pPr>
            <w:r w:rsidRPr="00BD16B4">
              <w:t>1.36</w:t>
            </w:r>
          </w:p>
        </w:tc>
        <w:tc>
          <w:tcPr>
            <w:tcW w:w="979" w:type="dxa"/>
            <w:gridSpan w:val="2"/>
            <w:shd w:val="clear" w:color="auto" w:fill="auto"/>
            <w:noWrap/>
            <w:hideMark/>
          </w:tcPr>
          <w:p w14:paraId="69D75FD7" w14:textId="77777777" w:rsidR="00B71B4E" w:rsidRPr="00BD16B4" w:rsidRDefault="00B71B4E" w:rsidP="00F31129">
            <w:pPr>
              <w:pStyle w:val="TableText"/>
              <w:spacing w:before="40" w:after="40"/>
            </w:pPr>
            <w:r w:rsidRPr="00BD16B4">
              <w:t>Disbursed</w:t>
            </w:r>
          </w:p>
        </w:tc>
        <w:tc>
          <w:tcPr>
            <w:tcW w:w="1017" w:type="dxa"/>
            <w:shd w:val="clear" w:color="auto" w:fill="auto"/>
            <w:noWrap/>
            <w:hideMark/>
          </w:tcPr>
          <w:p w14:paraId="0684A62F" w14:textId="77777777" w:rsidR="00B71B4E" w:rsidRPr="00BD16B4" w:rsidRDefault="00B71B4E" w:rsidP="00F31129">
            <w:pPr>
              <w:pStyle w:val="TableText"/>
              <w:spacing w:before="40" w:after="40"/>
            </w:pPr>
            <w:r w:rsidRPr="00BD16B4">
              <w:t>ODA</w:t>
            </w:r>
          </w:p>
        </w:tc>
        <w:tc>
          <w:tcPr>
            <w:tcW w:w="1298" w:type="dxa"/>
            <w:shd w:val="clear" w:color="auto" w:fill="auto"/>
            <w:noWrap/>
            <w:hideMark/>
          </w:tcPr>
          <w:p w14:paraId="29E7FBD8" w14:textId="77777777" w:rsidR="00B71B4E" w:rsidRPr="00BD16B4" w:rsidRDefault="00B71B4E" w:rsidP="00F31129">
            <w:pPr>
              <w:pStyle w:val="TableText"/>
              <w:spacing w:before="40" w:after="40"/>
            </w:pPr>
            <w:r w:rsidRPr="00BD16B4">
              <w:t>Grant</w:t>
            </w:r>
          </w:p>
        </w:tc>
        <w:tc>
          <w:tcPr>
            <w:tcW w:w="1417" w:type="dxa"/>
            <w:shd w:val="clear" w:color="auto" w:fill="auto"/>
            <w:noWrap/>
            <w:hideMark/>
          </w:tcPr>
          <w:p w14:paraId="43B54BBC" w14:textId="77777777" w:rsidR="00B71B4E" w:rsidRPr="00BD16B4" w:rsidRDefault="00B71B4E" w:rsidP="00F31129">
            <w:pPr>
              <w:pStyle w:val="TableText"/>
              <w:spacing w:before="40" w:after="40"/>
            </w:pPr>
            <w:r w:rsidRPr="00BD16B4">
              <w:t>Cross-cutting</w:t>
            </w:r>
          </w:p>
        </w:tc>
        <w:tc>
          <w:tcPr>
            <w:tcW w:w="2466" w:type="dxa"/>
            <w:shd w:val="clear" w:color="auto" w:fill="auto"/>
            <w:noWrap/>
            <w:hideMark/>
          </w:tcPr>
          <w:p w14:paraId="1D2742F7" w14:textId="77777777" w:rsidR="00B71B4E" w:rsidRPr="00BD16B4" w:rsidRDefault="00B71B4E" w:rsidP="00F31129">
            <w:pPr>
              <w:pStyle w:val="TableText"/>
              <w:spacing w:before="40" w:after="40"/>
            </w:pPr>
            <w:r w:rsidRPr="00BD16B4">
              <w:t> </w:t>
            </w:r>
          </w:p>
        </w:tc>
      </w:tr>
      <w:tr w:rsidR="00B71B4E" w:rsidRPr="00BD16B4" w14:paraId="0A817384" w14:textId="77777777" w:rsidTr="00F31129">
        <w:tc>
          <w:tcPr>
            <w:tcW w:w="3366" w:type="dxa"/>
            <w:tcBorders>
              <w:bottom w:val="single" w:sz="4" w:space="0" w:color="1B556B" w:themeColor="text2"/>
            </w:tcBorders>
            <w:shd w:val="clear" w:color="auto" w:fill="auto"/>
            <w:hideMark/>
          </w:tcPr>
          <w:p w14:paraId="7DD7AD86" w14:textId="77777777" w:rsidR="00B71B4E" w:rsidRPr="00BD16B4" w:rsidRDefault="00B71B4E" w:rsidP="00F31129">
            <w:pPr>
              <w:pStyle w:val="TableTextBold0"/>
              <w:spacing w:before="40" w:after="40"/>
            </w:pPr>
            <w:r w:rsidRPr="00BD16B4">
              <w:t xml:space="preserve">Subtotal </w:t>
            </w:r>
          </w:p>
        </w:tc>
        <w:tc>
          <w:tcPr>
            <w:tcW w:w="983" w:type="dxa"/>
            <w:tcBorders>
              <w:bottom w:val="single" w:sz="4" w:space="0" w:color="1B556B" w:themeColor="text2"/>
            </w:tcBorders>
            <w:shd w:val="clear" w:color="auto" w:fill="auto"/>
            <w:hideMark/>
          </w:tcPr>
          <w:p w14:paraId="5628D767" w14:textId="77777777" w:rsidR="00B71B4E" w:rsidRPr="00BD16B4" w:rsidRDefault="00B71B4E" w:rsidP="00F31129">
            <w:pPr>
              <w:pStyle w:val="TableTextBold0"/>
              <w:spacing w:before="40" w:after="40"/>
              <w:jc w:val="center"/>
            </w:pPr>
            <w:r w:rsidRPr="00BD16B4">
              <w:t>0.40</w:t>
            </w:r>
          </w:p>
        </w:tc>
        <w:tc>
          <w:tcPr>
            <w:tcW w:w="1067" w:type="dxa"/>
            <w:tcBorders>
              <w:bottom w:val="single" w:sz="4" w:space="0" w:color="1B556B" w:themeColor="text2"/>
            </w:tcBorders>
            <w:shd w:val="clear" w:color="auto" w:fill="auto"/>
            <w:hideMark/>
          </w:tcPr>
          <w:p w14:paraId="77DC6FA5" w14:textId="77777777" w:rsidR="00B71B4E" w:rsidRPr="00BD16B4" w:rsidRDefault="00B71B4E" w:rsidP="00F31129">
            <w:pPr>
              <w:pStyle w:val="TableTextBold0"/>
              <w:spacing w:before="40" w:after="40"/>
              <w:jc w:val="center"/>
            </w:pPr>
            <w:r w:rsidRPr="00BD16B4">
              <w:t>0.26</w:t>
            </w:r>
          </w:p>
        </w:tc>
        <w:tc>
          <w:tcPr>
            <w:tcW w:w="1067" w:type="dxa"/>
            <w:tcBorders>
              <w:bottom w:val="single" w:sz="4" w:space="0" w:color="1B556B" w:themeColor="text2"/>
            </w:tcBorders>
            <w:shd w:val="clear" w:color="auto" w:fill="auto"/>
            <w:hideMark/>
          </w:tcPr>
          <w:p w14:paraId="5EB3F5FD" w14:textId="77777777" w:rsidR="00B71B4E" w:rsidRPr="00BD16B4" w:rsidRDefault="00B71B4E" w:rsidP="00F31129">
            <w:pPr>
              <w:pStyle w:val="TableTextBold0"/>
              <w:spacing w:before="40" w:after="40"/>
              <w:jc w:val="center"/>
            </w:pPr>
            <w:r w:rsidRPr="00BD16B4">
              <w:t>2.10</w:t>
            </w:r>
          </w:p>
        </w:tc>
        <w:tc>
          <w:tcPr>
            <w:tcW w:w="855" w:type="dxa"/>
            <w:tcBorders>
              <w:bottom w:val="single" w:sz="4" w:space="0" w:color="1B556B" w:themeColor="text2"/>
            </w:tcBorders>
            <w:shd w:val="clear" w:color="auto" w:fill="auto"/>
            <w:hideMark/>
          </w:tcPr>
          <w:p w14:paraId="38F0DE3A" w14:textId="77777777" w:rsidR="00B71B4E" w:rsidRPr="00BD16B4" w:rsidRDefault="00B71B4E" w:rsidP="00F31129">
            <w:pPr>
              <w:pStyle w:val="TableTextBold0"/>
              <w:spacing w:before="40" w:after="40"/>
              <w:jc w:val="center"/>
            </w:pPr>
            <w:r w:rsidRPr="00BD16B4">
              <w:t>1.36</w:t>
            </w:r>
          </w:p>
        </w:tc>
        <w:tc>
          <w:tcPr>
            <w:tcW w:w="979" w:type="dxa"/>
            <w:gridSpan w:val="2"/>
            <w:tcBorders>
              <w:bottom w:val="single" w:sz="4" w:space="0" w:color="1B556B" w:themeColor="text2"/>
            </w:tcBorders>
            <w:shd w:val="clear" w:color="auto" w:fill="auto"/>
            <w:noWrap/>
            <w:hideMark/>
          </w:tcPr>
          <w:p w14:paraId="0B8A1F74" w14:textId="77777777" w:rsidR="00B71B4E" w:rsidRPr="00BD16B4" w:rsidRDefault="00B71B4E" w:rsidP="00F31129">
            <w:pPr>
              <w:pStyle w:val="TableTextBold0"/>
              <w:spacing w:before="40" w:after="40"/>
            </w:pPr>
            <w:r w:rsidRPr="00BD16B4">
              <w:t> </w:t>
            </w:r>
          </w:p>
        </w:tc>
        <w:tc>
          <w:tcPr>
            <w:tcW w:w="1017" w:type="dxa"/>
            <w:tcBorders>
              <w:bottom w:val="single" w:sz="4" w:space="0" w:color="1B556B" w:themeColor="text2"/>
            </w:tcBorders>
            <w:shd w:val="clear" w:color="auto" w:fill="auto"/>
            <w:noWrap/>
            <w:hideMark/>
          </w:tcPr>
          <w:p w14:paraId="4CE56A73" w14:textId="77777777" w:rsidR="00B71B4E" w:rsidRPr="00BD16B4" w:rsidRDefault="00B71B4E" w:rsidP="00F31129">
            <w:pPr>
              <w:pStyle w:val="TableTextBold0"/>
              <w:spacing w:before="40" w:after="40"/>
            </w:pPr>
            <w:r w:rsidRPr="00BD16B4">
              <w:t> </w:t>
            </w:r>
          </w:p>
        </w:tc>
        <w:tc>
          <w:tcPr>
            <w:tcW w:w="1298" w:type="dxa"/>
            <w:tcBorders>
              <w:bottom w:val="single" w:sz="4" w:space="0" w:color="1B556B" w:themeColor="text2"/>
            </w:tcBorders>
            <w:shd w:val="clear" w:color="auto" w:fill="auto"/>
            <w:noWrap/>
            <w:hideMark/>
          </w:tcPr>
          <w:p w14:paraId="1831984B" w14:textId="77777777" w:rsidR="00B71B4E" w:rsidRPr="00BD16B4" w:rsidRDefault="00B71B4E" w:rsidP="00F31129">
            <w:pPr>
              <w:pStyle w:val="TableTextBold0"/>
              <w:spacing w:before="40" w:after="40"/>
            </w:pPr>
            <w:r w:rsidRPr="00BD16B4">
              <w:t> </w:t>
            </w:r>
          </w:p>
        </w:tc>
        <w:tc>
          <w:tcPr>
            <w:tcW w:w="1417" w:type="dxa"/>
            <w:tcBorders>
              <w:bottom w:val="single" w:sz="4" w:space="0" w:color="1B556B" w:themeColor="text2"/>
            </w:tcBorders>
            <w:shd w:val="clear" w:color="auto" w:fill="auto"/>
            <w:noWrap/>
            <w:hideMark/>
          </w:tcPr>
          <w:p w14:paraId="41AC38E8" w14:textId="77777777" w:rsidR="00B71B4E" w:rsidRPr="00BD16B4" w:rsidRDefault="00B71B4E" w:rsidP="00F31129">
            <w:pPr>
              <w:pStyle w:val="TableTextBold0"/>
              <w:spacing w:before="40" w:after="40"/>
            </w:pPr>
            <w:r w:rsidRPr="00BD16B4">
              <w:t> </w:t>
            </w:r>
          </w:p>
        </w:tc>
        <w:tc>
          <w:tcPr>
            <w:tcW w:w="2466" w:type="dxa"/>
            <w:tcBorders>
              <w:bottom w:val="single" w:sz="4" w:space="0" w:color="1B556B" w:themeColor="text2"/>
            </w:tcBorders>
            <w:shd w:val="clear" w:color="auto" w:fill="auto"/>
            <w:noWrap/>
            <w:hideMark/>
          </w:tcPr>
          <w:p w14:paraId="070FF6F3" w14:textId="77777777" w:rsidR="00B71B4E" w:rsidRPr="00BD16B4" w:rsidRDefault="00B71B4E" w:rsidP="00F31129">
            <w:pPr>
              <w:pStyle w:val="TableTextBold0"/>
              <w:spacing w:before="40" w:after="40"/>
            </w:pPr>
            <w:r w:rsidRPr="00BD16B4">
              <w:t> </w:t>
            </w:r>
          </w:p>
        </w:tc>
      </w:tr>
      <w:tr w:rsidR="00B71B4E" w:rsidRPr="00BD16B4" w14:paraId="13A28859" w14:textId="77777777" w:rsidTr="00F31129">
        <w:tc>
          <w:tcPr>
            <w:tcW w:w="3366" w:type="dxa"/>
            <w:shd w:val="clear" w:color="000000" w:fill="D2DDE1" w:themeFill="background2"/>
            <w:hideMark/>
          </w:tcPr>
          <w:p w14:paraId="23393B03" w14:textId="77777777" w:rsidR="00B71B4E" w:rsidRPr="00BD16B4" w:rsidRDefault="00B71B4E" w:rsidP="00F31129">
            <w:pPr>
              <w:pStyle w:val="TableTextBold0"/>
              <w:spacing w:before="40" w:after="40"/>
            </w:pPr>
            <w:r w:rsidRPr="00BD16B4">
              <w:t>Multilateral financial institutions, including regional development banks</w:t>
            </w:r>
          </w:p>
        </w:tc>
        <w:tc>
          <w:tcPr>
            <w:tcW w:w="983" w:type="dxa"/>
            <w:shd w:val="clear" w:color="000000" w:fill="D2DDE1" w:themeFill="background2"/>
            <w:hideMark/>
          </w:tcPr>
          <w:p w14:paraId="6599B46F" w14:textId="77777777" w:rsidR="00B71B4E" w:rsidRPr="00BD16B4" w:rsidRDefault="00B71B4E" w:rsidP="00AF6452">
            <w:pPr>
              <w:pStyle w:val="TableTextBold0"/>
            </w:pPr>
          </w:p>
        </w:tc>
        <w:tc>
          <w:tcPr>
            <w:tcW w:w="1067" w:type="dxa"/>
            <w:shd w:val="clear" w:color="000000" w:fill="D2DDE1" w:themeFill="background2"/>
            <w:hideMark/>
          </w:tcPr>
          <w:p w14:paraId="54ABF810" w14:textId="77777777" w:rsidR="00B71B4E" w:rsidRPr="00BD16B4" w:rsidRDefault="00B71B4E" w:rsidP="00AF6452">
            <w:pPr>
              <w:pStyle w:val="TableTextBold0"/>
            </w:pPr>
          </w:p>
        </w:tc>
        <w:tc>
          <w:tcPr>
            <w:tcW w:w="1067" w:type="dxa"/>
            <w:shd w:val="clear" w:color="000000" w:fill="D2DDE1" w:themeFill="background2"/>
            <w:hideMark/>
          </w:tcPr>
          <w:p w14:paraId="645873AC" w14:textId="77777777" w:rsidR="00B71B4E" w:rsidRPr="00BD16B4" w:rsidRDefault="00B71B4E" w:rsidP="00AF6452">
            <w:pPr>
              <w:pStyle w:val="TableTextBold0"/>
            </w:pPr>
          </w:p>
        </w:tc>
        <w:tc>
          <w:tcPr>
            <w:tcW w:w="855" w:type="dxa"/>
            <w:shd w:val="clear" w:color="000000" w:fill="D2DDE1" w:themeFill="background2"/>
            <w:hideMark/>
          </w:tcPr>
          <w:p w14:paraId="305A82F9" w14:textId="77777777" w:rsidR="00B71B4E" w:rsidRPr="00BD16B4" w:rsidRDefault="00B71B4E" w:rsidP="00AF6452">
            <w:pPr>
              <w:pStyle w:val="TableTextBold0"/>
            </w:pPr>
          </w:p>
        </w:tc>
        <w:tc>
          <w:tcPr>
            <w:tcW w:w="979" w:type="dxa"/>
            <w:gridSpan w:val="2"/>
            <w:shd w:val="clear" w:color="000000" w:fill="D2DDE1" w:themeFill="background2"/>
            <w:noWrap/>
            <w:hideMark/>
          </w:tcPr>
          <w:p w14:paraId="1B5F5D1B" w14:textId="77777777" w:rsidR="00B71B4E" w:rsidRPr="00BD16B4" w:rsidRDefault="00B71B4E" w:rsidP="00F31129">
            <w:pPr>
              <w:pStyle w:val="TableTextBold0"/>
              <w:spacing w:before="40" w:after="40"/>
            </w:pPr>
            <w:r w:rsidRPr="00BD16B4">
              <w:t> </w:t>
            </w:r>
          </w:p>
        </w:tc>
        <w:tc>
          <w:tcPr>
            <w:tcW w:w="1017" w:type="dxa"/>
            <w:shd w:val="clear" w:color="000000" w:fill="D2DDE1" w:themeFill="background2"/>
            <w:noWrap/>
            <w:hideMark/>
          </w:tcPr>
          <w:p w14:paraId="348395B3" w14:textId="77777777" w:rsidR="00B71B4E" w:rsidRPr="00BD16B4" w:rsidRDefault="00B71B4E" w:rsidP="00F31129">
            <w:pPr>
              <w:pStyle w:val="TableTextBold0"/>
              <w:spacing w:before="40" w:after="40"/>
            </w:pPr>
            <w:r w:rsidRPr="00BD16B4">
              <w:t> </w:t>
            </w:r>
          </w:p>
        </w:tc>
        <w:tc>
          <w:tcPr>
            <w:tcW w:w="1298" w:type="dxa"/>
            <w:shd w:val="clear" w:color="000000" w:fill="D2DDE1" w:themeFill="background2"/>
            <w:noWrap/>
            <w:hideMark/>
          </w:tcPr>
          <w:p w14:paraId="3712B30B" w14:textId="77777777" w:rsidR="00B71B4E" w:rsidRPr="00BD16B4" w:rsidRDefault="00B71B4E" w:rsidP="00F31129">
            <w:pPr>
              <w:pStyle w:val="TableTextBold0"/>
              <w:spacing w:before="40" w:after="40"/>
            </w:pPr>
            <w:r w:rsidRPr="00BD16B4">
              <w:t> </w:t>
            </w:r>
          </w:p>
        </w:tc>
        <w:tc>
          <w:tcPr>
            <w:tcW w:w="1417" w:type="dxa"/>
            <w:shd w:val="clear" w:color="000000" w:fill="D2DDE1" w:themeFill="background2"/>
            <w:noWrap/>
            <w:hideMark/>
          </w:tcPr>
          <w:p w14:paraId="636B7D9E" w14:textId="77777777" w:rsidR="00B71B4E" w:rsidRPr="00BD16B4" w:rsidRDefault="00B71B4E" w:rsidP="00F31129">
            <w:pPr>
              <w:pStyle w:val="TableTextBold0"/>
              <w:spacing w:before="40" w:after="40"/>
            </w:pPr>
            <w:r w:rsidRPr="00BD16B4">
              <w:t> </w:t>
            </w:r>
          </w:p>
        </w:tc>
        <w:tc>
          <w:tcPr>
            <w:tcW w:w="2466" w:type="dxa"/>
            <w:shd w:val="clear" w:color="000000" w:fill="D2DDE1" w:themeFill="background2"/>
            <w:noWrap/>
            <w:hideMark/>
          </w:tcPr>
          <w:p w14:paraId="2DBF0153" w14:textId="77777777" w:rsidR="00B71B4E" w:rsidRPr="00BD16B4" w:rsidRDefault="00B71B4E" w:rsidP="00F31129">
            <w:pPr>
              <w:pStyle w:val="TableTextBold0"/>
              <w:spacing w:before="40" w:after="40"/>
            </w:pPr>
            <w:r w:rsidRPr="00BD16B4">
              <w:t> </w:t>
            </w:r>
          </w:p>
        </w:tc>
      </w:tr>
      <w:tr w:rsidR="00B71B4E" w:rsidRPr="00BD16B4" w14:paraId="3090C54D" w14:textId="77777777" w:rsidTr="00F31129">
        <w:tc>
          <w:tcPr>
            <w:tcW w:w="3366" w:type="dxa"/>
            <w:shd w:val="clear" w:color="auto" w:fill="auto"/>
            <w:hideMark/>
          </w:tcPr>
          <w:p w14:paraId="5D5584D7" w14:textId="77777777" w:rsidR="00B71B4E" w:rsidRPr="00BD16B4" w:rsidRDefault="00B71B4E" w:rsidP="00F31129">
            <w:pPr>
              <w:pStyle w:val="TableText"/>
              <w:spacing w:before="40" w:after="40"/>
            </w:pPr>
            <w:r w:rsidRPr="00BD16B4">
              <w:t xml:space="preserve">World Bank – IDA 18 </w:t>
            </w:r>
          </w:p>
        </w:tc>
        <w:tc>
          <w:tcPr>
            <w:tcW w:w="983" w:type="dxa"/>
            <w:shd w:val="clear" w:color="auto" w:fill="auto"/>
            <w:hideMark/>
          </w:tcPr>
          <w:p w14:paraId="34D60306" w14:textId="77777777" w:rsidR="00B71B4E" w:rsidRPr="00BD16B4" w:rsidRDefault="00B71B4E" w:rsidP="00F31129">
            <w:pPr>
              <w:pStyle w:val="TableText"/>
              <w:spacing w:before="40" w:after="40"/>
              <w:jc w:val="center"/>
            </w:pPr>
            <w:r w:rsidRPr="00BD16B4">
              <w:t>5.88</w:t>
            </w:r>
          </w:p>
        </w:tc>
        <w:tc>
          <w:tcPr>
            <w:tcW w:w="1067" w:type="dxa"/>
            <w:shd w:val="clear" w:color="auto" w:fill="auto"/>
            <w:hideMark/>
          </w:tcPr>
          <w:p w14:paraId="113ECBA2" w14:textId="77777777" w:rsidR="00B71B4E" w:rsidRPr="00BD16B4" w:rsidRDefault="00B71B4E" w:rsidP="00F31129">
            <w:pPr>
              <w:pStyle w:val="TableText"/>
              <w:spacing w:before="40" w:after="40"/>
              <w:jc w:val="center"/>
            </w:pPr>
            <w:r w:rsidRPr="00BD16B4">
              <w:t>3.82</w:t>
            </w:r>
          </w:p>
        </w:tc>
        <w:tc>
          <w:tcPr>
            <w:tcW w:w="1067" w:type="dxa"/>
            <w:shd w:val="clear" w:color="auto" w:fill="auto"/>
            <w:hideMark/>
          </w:tcPr>
          <w:p w14:paraId="3116C026" w14:textId="77777777" w:rsidR="00B71B4E" w:rsidRPr="00BD16B4" w:rsidRDefault="00B71B4E" w:rsidP="00F31129">
            <w:pPr>
              <w:pStyle w:val="TableText"/>
              <w:spacing w:before="40" w:after="40"/>
              <w:jc w:val="center"/>
            </w:pPr>
            <w:r w:rsidRPr="00BD16B4">
              <w:t>2.77</w:t>
            </w:r>
          </w:p>
        </w:tc>
        <w:tc>
          <w:tcPr>
            <w:tcW w:w="855" w:type="dxa"/>
            <w:shd w:val="clear" w:color="auto" w:fill="auto"/>
            <w:noWrap/>
            <w:hideMark/>
          </w:tcPr>
          <w:p w14:paraId="50D6316B" w14:textId="77777777" w:rsidR="00B71B4E" w:rsidRPr="00BD16B4" w:rsidRDefault="00B71B4E" w:rsidP="00F31129">
            <w:pPr>
              <w:pStyle w:val="TableText"/>
              <w:spacing w:before="40" w:after="40"/>
              <w:jc w:val="center"/>
            </w:pPr>
            <w:r w:rsidRPr="00BD16B4">
              <w:t>1.80</w:t>
            </w:r>
          </w:p>
        </w:tc>
        <w:tc>
          <w:tcPr>
            <w:tcW w:w="979" w:type="dxa"/>
            <w:gridSpan w:val="2"/>
            <w:shd w:val="clear" w:color="auto" w:fill="auto"/>
            <w:noWrap/>
            <w:hideMark/>
          </w:tcPr>
          <w:p w14:paraId="4432B7E1" w14:textId="77777777" w:rsidR="00B71B4E" w:rsidRPr="00BD16B4" w:rsidRDefault="00B71B4E" w:rsidP="00F31129">
            <w:pPr>
              <w:pStyle w:val="TableText"/>
              <w:spacing w:before="40" w:after="40"/>
            </w:pPr>
            <w:r w:rsidRPr="00BD16B4">
              <w:t>Disbursed</w:t>
            </w:r>
          </w:p>
        </w:tc>
        <w:tc>
          <w:tcPr>
            <w:tcW w:w="1017" w:type="dxa"/>
            <w:shd w:val="clear" w:color="auto" w:fill="auto"/>
            <w:noWrap/>
            <w:hideMark/>
          </w:tcPr>
          <w:p w14:paraId="68C4FCB1" w14:textId="77777777" w:rsidR="00B71B4E" w:rsidRPr="00BD16B4" w:rsidRDefault="00B71B4E" w:rsidP="00F31129">
            <w:pPr>
              <w:pStyle w:val="TableText"/>
              <w:spacing w:before="40" w:after="40"/>
            </w:pPr>
            <w:r w:rsidRPr="00BD16B4">
              <w:t>ODA</w:t>
            </w:r>
          </w:p>
        </w:tc>
        <w:tc>
          <w:tcPr>
            <w:tcW w:w="1298" w:type="dxa"/>
            <w:shd w:val="clear" w:color="auto" w:fill="auto"/>
            <w:noWrap/>
            <w:hideMark/>
          </w:tcPr>
          <w:p w14:paraId="681EF6DA" w14:textId="77777777" w:rsidR="00B71B4E" w:rsidRPr="00BD16B4" w:rsidRDefault="00B71B4E" w:rsidP="00F31129">
            <w:pPr>
              <w:pStyle w:val="TableText"/>
              <w:spacing w:before="40" w:after="40"/>
            </w:pPr>
            <w:r w:rsidRPr="00BD16B4">
              <w:t>Grant</w:t>
            </w:r>
          </w:p>
        </w:tc>
        <w:tc>
          <w:tcPr>
            <w:tcW w:w="1417" w:type="dxa"/>
            <w:shd w:val="clear" w:color="auto" w:fill="auto"/>
            <w:noWrap/>
            <w:hideMark/>
          </w:tcPr>
          <w:p w14:paraId="06F10043" w14:textId="77777777" w:rsidR="00B71B4E" w:rsidRPr="00BD16B4" w:rsidRDefault="00B71B4E" w:rsidP="00F31129">
            <w:pPr>
              <w:pStyle w:val="TableText"/>
              <w:spacing w:before="40" w:after="40"/>
            </w:pPr>
            <w:r w:rsidRPr="00BD16B4">
              <w:t>Cross-cutting</w:t>
            </w:r>
          </w:p>
        </w:tc>
        <w:tc>
          <w:tcPr>
            <w:tcW w:w="2466" w:type="dxa"/>
            <w:shd w:val="clear" w:color="auto" w:fill="auto"/>
            <w:noWrap/>
            <w:hideMark/>
          </w:tcPr>
          <w:p w14:paraId="66A3AF81" w14:textId="77777777" w:rsidR="00B71B4E" w:rsidRPr="00BD16B4" w:rsidRDefault="00B71B4E" w:rsidP="00F31129">
            <w:pPr>
              <w:pStyle w:val="TableText"/>
              <w:spacing w:before="40" w:after="40"/>
            </w:pPr>
            <w:r w:rsidRPr="00BD16B4">
              <w:t>Multi-sector</w:t>
            </w:r>
          </w:p>
        </w:tc>
      </w:tr>
      <w:tr w:rsidR="00B71B4E" w:rsidRPr="00BD16B4" w14:paraId="075F2D99" w14:textId="77777777" w:rsidTr="00F31129">
        <w:tc>
          <w:tcPr>
            <w:tcW w:w="3366" w:type="dxa"/>
            <w:shd w:val="clear" w:color="auto" w:fill="auto"/>
            <w:hideMark/>
          </w:tcPr>
          <w:p w14:paraId="3CEDE1DB" w14:textId="77777777" w:rsidR="00B71B4E" w:rsidRPr="00BD16B4" w:rsidRDefault="00B71B4E" w:rsidP="00F31129">
            <w:pPr>
              <w:pStyle w:val="TableText"/>
              <w:spacing w:before="40" w:after="40"/>
            </w:pPr>
            <w:r w:rsidRPr="00BD16B4">
              <w:t>World Bank – IDA 19</w:t>
            </w:r>
          </w:p>
        </w:tc>
        <w:tc>
          <w:tcPr>
            <w:tcW w:w="983" w:type="dxa"/>
            <w:shd w:val="clear" w:color="auto" w:fill="auto"/>
            <w:hideMark/>
          </w:tcPr>
          <w:p w14:paraId="0CFE61F5" w14:textId="77777777" w:rsidR="00B71B4E" w:rsidRPr="00BD16B4" w:rsidRDefault="00B71B4E" w:rsidP="00F31129">
            <w:pPr>
              <w:pStyle w:val="TableText"/>
              <w:spacing w:before="40" w:after="40"/>
              <w:jc w:val="center"/>
            </w:pPr>
            <w:r w:rsidRPr="00BD16B4">
              <w:t>11.76</w:t>
            </w:r>
          </w:p>
        </w:tc>
        <w:tc>
          <w:tcPr>
            <w:tcW w:w="1067" w:type="dxa"/>
            <w:shd w:val="clear" w:color="auto" w:fill="auto"/>
            <w:hideMark/>
          </w:tcPr>
          <w:p w14:paraId="1600ADDA" w14:textId="77777777" w:rsidR="00B71B4E" w:rsidRPr="00BD16B4" w:rsidRDefault="00B71B4E" w:rsidP="00F31129">
            <w:pPr>
              <w:pStyle w:val="TableText"/>
              <w:spacing w:before="40" w:after="40"/>
              <w:jc w:val="center"/>
            </w:pPr>
            <w:r w:rsidRPr="00BD16B4">
              <w:t>7.63</w:t>
            </w:r>
          </w:p>
        </w:tc>
        <w:tc>
          <w:tcPr>
            <w:tcW w:w="1067" w:type="dxa"/>
            <w:shd w:val="clear" w:color="auto" w:fill="auto"/>
            <w:hideMark/>
          </w:tcPr>
          <w:p w14:paraId="331A405D" w14:textId="77777777" w:rsidR="00B71B4E" w:rsidRPr="00BD16B4" w:rsidRDefault="00B71B4E" w:rsidP="00F31129">
            <w:pPr>
              <w:pStyle w:val="TableText"/>
              <w:spacing w:before="40" w:after="40"/>
              <w:jc w:val="center"/>
            </w:pPr>
            <w:r w:rsidRPr="00BD16B4">
              <w:t>5.53</w:t>
            </w:r>
          </w:p>
        </w:tc>
        <w:tc>
          <w:tcPr>
            <w:tcW w:w="855" w:type="dxa"/>
            <w:shd w:val="clear" w:color="auto" w:fill="auto"/>
            <w:noWrap/>
            <w:hideMark/>
          </w:tcPr>
          <w:p w14:paraId="11240428" w14:textId="77777777" w:rsidR="00B71B4E" w:rsidRPr="00BD16B4" w:rsidRDefault="00B71B4E" w:rsidP="00F31129">
            <w:pPr>
              <w:pStyle w:val="TableText"/>
              <w:spacing w:before="40" w:after="40"/>
              <w:jc w:val="center"/>
            </w:pPr>
            <w:r w:rsidRPr="00BD16B4">
              <w:t>3.59</w:t>
            </w:r>
          </w:p>
        </w:tc>
        <w:tc>
          <w:tcPr>
            <w:tcW w:w="979" w:type="dxa"/>
            <w:gridSpan w:val="2"/>
            <w:shd w:val="clear" w:color="auto" w:fill="auto"/>
            <w:noWrap/>
            <w:hideMark/>
          </w:tcPr>
          <w:p w14:paraId="2DC03A3D" w14:textId="77777777" w:rsidR="00B71B4E" w:rsidRPr="00BD16B4" w:rsidRDefault="00B71B4E" w:rsidP="00F31129">
            <w:pPr>
              <w:pStyle w:val="TableText"/>
              <w:spacing w:before="40" w:after="40"/>
            </w:pPr>
            <w:r w:rsidRPr="00BD16B4">
              <w:t>Disbursed</w:t>
            </w:r>
          </w:p>
        </w:tc>
        <w:tc>
          <w:tcPr>
            <w:tcW w:w="1017" w:type="dxa"/>
            <w:shd w:val="clear" w:color="auto" w:fill="auto"/>
            <w:noWrap/>
            <w:hideMark/>
          </w:tcPr>
          <w:p w14:paraId="4287097B" w14:textId="77777777" w:rsidR="00B71B4E" w:rsidRPr="00BD16B4" w:rsidRDefault="00B71B4E" w:rsidP="00F31129">
            <w:pPr>
              <w:pStyle w:val="TableText"/>
              <w:spacing w:before="40" w:after="40"/>
            </w:pPr>
            <w:r w:rsidRPr="00BD16B4">
              <w:t>ODA</w:t>
            </w:r>
          </w:p>
        </w:tc>
        <w:tc>
          <w:tcPr>
            <w:tcW w:w="1298" w:type="dxa"/>
            <w:shd w:val="clear" w:color="auto" w:fill="auto"/>
            <w:noWrap/>
            <w:hideMark/>
          </w:tcPr>
          <w:p w14:paraId="51838CEC" w14:textId="77777777" w:rsidR="00B71B4E" w:rsidRPr="00BD16B4" w:rsidRDefault="00B71B4E" w:rsidP="00F31129">
            <w:pPr>
              <w:pStyle w:val="TableText"/>
              <w:spacing w:before="40" w:after="40"/>
            </w:pPr>
            <w:r w:rsidRPr="00BD16B4">
              <w:t>Grant</w:t>
            </w:r>
          </w:p>
        </w:tc>
        <w:tc>
          <w:tcPr>
            <w:tcW w:w="1417" w:type="dxa"/>
            <w:shd w:val="clear" w:color="auto" w:fill="auto"/>
            <w:noWrap/>
            <w:hideMark/>
          </w:tcPr>
          <w:p w14:paraId="3EC22063" w14:textId="77777777" w:rsidR="00B71B4E" w:rsidRPr="00BD16B4" w:rsidRDefault="00B71B4E" w:rsidP="00F31129">
            <w:pPr>
              <w:pStyle w:val="TableText"/>
              <w:spacing w:before="40" w:after="40"/>
            </w:pPr>
            <w:r w:rsidRPr="00BD16B4">
              <w:t>Cross-cutting</w:t>
            </w:r>
          </w:p>
        </w:tc>
        <w:tc>
          <w:tcPr>
            <w:tcW w:w="2466" w:type="dxa"/>
            <w:shd w:val="clear" w:color="auto" w:fill="auto"/>
            <w:noWrap/>
            <w:hideMark/>
          </w:tcPr>
          <w:p w14:paraId="386149F6" w14:textId="77777777" w:rsidR="00B71B4E" w:rsidRPr="00BD16B4" w:rsidRDefault="00B71B4E" w:rsidP="00F31129">
            <w:pPr>
              <w:pStyle w:val="TableText"/>
              <w:spacing w:before="40" w:after="40"/>
            </w:pPr>
            <w:r w:rsidRPr="00BD16B4">
              <w:t>Multi-sector</w:t>
            </w:r>
          </w:p>
        </w:tc>
      </w:tr>
      <w:tr w:rsidR="00B71B4E" w:rsidRPr="00BD16B4" w14:paraId="5EE9BB6C" w14:textId="77777777" w:rsidTr="00F31129">
        <w:tc>
          <w:tcPr>
            <w:tcW w:w="3366" w:type="dxa"/>
            <w:shd w:val="clear" w:color="auto" w:fill="auto"/>
            <w:hideMark/>
          </w:tcPr>
          <w:p w14:paraId="69650824" w14:textId="77777777" w:rsidR="00B71B4E" w:rsidRPr="00BD16B4" w:rsidRDefault="00B71B4E" w:rsidP="00F31129">
            <w:pPr>
              <w:pStyle w:val="TableText"/>
              <w:spacing w:before="40" w:after="40"/>
            </w:pPr>
            <w:r w:rsidRPr="00BD16B4">
              <w:t>Asian Development Bank – ADF12</w:t>
            </w:r>
          </w:p>
        </w:tc>
        <w:tc>
          <w:tcPr>
            <w:tcW w:w="983" w:type="dxa"/>
            <w:shd w:val="clear" w:color="auto" w:fill="auto"/>
            <w:hideMark/>
          </w:tcPr>
          <w:p w14:paraId="63F64ACE" w14:textId="77777777" w:rsidR="00B71B4E" w:rsidRPr="00BD16B4" w:rsidRDefault="00B71B4E" w:rsidP="00F31129">
            <w:pPr>
              <w:pStyle w:val="TableText"/>
              <w:spacing w:before="40" w:after="40"/>
              <w:jc w:val="center"/>
            </w:pPr>
            <w:r w:rsidRPr="00BD16B4">
              <w:t>2.63</w:t>
            </w:r>
          </w:p>
        </w:tc>
        <w:tc>
          <w:tcPr>
            <w:tcW w:w="1067" w:type="dxa"/>
            <w:shd w:val="clear" w:color="auto" w:fill="auto"/>
            <w:hideMark/>
          </w:tcPr>
          <w:p w14:paraId="7AA0B918" w14:textId="77777777" w:rsidR="00B71B4E" w:rsidRPr="00BD16B4" w:rsidRDefault="00B71B4E" w:rsidP="00F31129">
            <w:pPr>
              <w:pStyle w:val="TableText"/>
              <w:spacing w:before="40" w:after="40"/>
              <w:jc w:val="center"/>
            </w:pPr>
            <w:r w:rsidRPr="00BD16B4">
              <w:t>1.71</w:t>
            </w:r>
          </w:p>
        </w:tc>
        <w:tc>
          <w:tcPr>
            <w:tcW w:w="1067" w:type="dxa"/>
            <w:shd w:val="clear" w:color="auto" w:fill="auto"/>
            <w:hideMark/>
          </w:tcPr>
          <w:p w14:paraId="02E9BC04" w14:textId="77777777" w:rsidR="00B71B4E" w:rsidRPr="00BD16B4" w:rsidRDefault="00B71B4E" w:rsidP="00F31129">
            <w:pPr>
              <w:pStyle w:val="TableText"/>
              <w:spacing w:before="40" w:after="40"/>
              <w:jc w:val="center"/>
            </w:pPr>
            <w:r w:rsidRPr="00BD16B4">
              <w:t>0.39</w:t>
            </w:r>
          </w:p>
        </w:tc>
        <w:tc>
          <w:tcPr>
            <w:tcW w:w="855" w:type="dxa"/>
            <w:shd w:val="clear" w:color="auto" w:fill="auto"/>
            <w:noWrap/>
            <w:hideMark/>
          </w:tcPr>
          <w:p w14:paraId="5BDEA750" w14:textId="77777777" w:rsidR="00B71B4E" w:rsidRPr="00BD16B4" w:rsidRDefault="00B71B4E" w:rsidP="00F31129">
            <w:pPr>
              <w:pStyle w:val="TableText"/>
              <w:spacing w:before="40" w:after="40"/>
              <w:jc w:val="center"/>
            </w:pPr>
            <w:r w:rsidRPr="00BD16B4">
              <w:t>0.25</w:t>
            </w:r>
          </w:p>
        </w:tc>
        <w:tc>
          <w:tcPr>
            <w:tcW w:w="979" w:type="dxa"/>
            <w:gridSpan w:val="2"/>
            <w:shd w:val="clear" w:color="auto" w:fill="auto"/>
            <w:noWrap/>
            <w:hideMark/>
          </w:tcPr>
          <w:p w14:paraId="07C59B4F" w14:textId="77777777" w:rsidR="00B71B4E" w:rsidRPr="00BD16B4" w:rsidRDefault="00B71B4E" w:rsidP="00F31129">
            <w:pPr>
              <w:pStyle w:val="TableText"/>
              <w:spacing w:before="40" w:after="40"/>
            </w:pPr>
            <w:r w:rsidRPr="00BD16B4">
              <w:t>Disbursed</w:t>
            </w:r>
          </w:p>
        </w:tc>
        <w:tc>
          <w:tcPr>
            <w:tcW w:w="1017" w:type="dxa"/>
            <w:shd w:val="clear" w:color="auto" w:fill="auto"/>
            <w:noWrap/>
            <w:hideMark/>
          </w:tcPr>
          <w:p w14:paraId="42E3D7C0" w14:textId="77777777" w:rsidR="00B71B4E" w:rsidRPr="00BD16B4" w:rsidRDefault="00B71B4E" w:rsidP="00F31129">
            <w:pPr>
              <w:pStyle w:val="TableText"/>
              <w:spacing w:before="40" w:after="40"/>
            </w:pPr>
            <w:r w:rsidRPr="00BD16B4">
              <w:t>ODA</w:t>
            </w:r>
          </w:p>
        </w:tc>
        <w:tc>
          <w:tcPr>
            <w:tcW w:w="1298" w:type="dxa"/>
            <w:shd w:val="clear" w:color="auto" w:fill="auto"/>
            <w:noWrap/>
            <w:hideMark/>
          </w:tcPr>
          <w:p w14:paraId="39D8C77A" w14:textId="77777777" w:rsidR="00B71B4E" w:rsidRPr="00BD16B4" w:rsidRDefault="00B71B4E" w:rsidP="00F31129">
            <w:pPr>
              <w:pStyle w:val="TableText"/>
              <w:spacing w:before="40" w:after="40"/>
            </w:pPr>
            <w:r w:rsidRPr="00BD16B4">
              <w:t>Grant</w:t>
            </w:r>
          </w:p>
        </w:tc>
        <w:tc>
          <w:tcPr>
            <w:tcW w:w="1417" w:type="dxa"/>
            <w:shd w:val="clear" w:color="auto" w:fill="auto"/>
            <w:noWrap/>
            <w:hideMark/>
          </w:tcPr>
          <w:p w14:paraId="4C696E48" w14:textId="77777777" w:rsidR="00B71B4E" w:rsidRPr="00BD16B4" w:rsidRDefault="00B71B4E" w:rsidP="00F31129">
            <w:pPr>
              <w:pStyle w:val="TableText"/>
              <w:spacing w:before="40" w:after="40"/>
            </w:pPr>
            <w:r w:rsidRPr="00BD16B4">
              <w:t>Cross-cutting</w:t>
            </w:r>
          </w:p>
        </w:tc>
        <w:tc>
          <w:tcPr>
            <w:tcW w:w="2466" w:type="dxa"/>
            <w:shd w:val="clear" w:color="auto" w:fill="auto"/>
            <w:noWrap/>
            <w:hideMark/>
          </w:tcPr>
          <w:p w14:paraId="03B8ADA1" w14:textId="77777777" w:rsidR="00B71B4E" w:rsidRPr="00BD16B4" w:rsidRDefault="00B71B4E" w:rsidP="00F31129">
            <w:pPr>
              <w:pStyle w:val="TableText"/>
              <w:spacing w:before="40" w:after="40"/>
            </w:pPr>
            <w:r w:rsidRPr="00BD16B4">
              <w:t>Multi-sector</w:t>
            </w:r>
          </w:p>
        </w:tc>
      </w:tr>
      <w:tr w:rsidR="00B71B4E" w:rsidRPr="00BD16B4" w14:paraId="2510466F" w14:textId="77777777" w:rsidTr="00F31129">
        <w:tc>
          <w:tcPr>
            <w:tcW w:w="3366" w:type="dxa"/>
            <w:tcBorders>
              <w:bottom w:val="single" w:sz="4" w:space="0" w:color="1B556B" w:themeColor="text2"/>
            </w:tcBorders>
            <w:shd w:val="clear" w:color="auto" w:fill="auto"/>
            <w:hideMark/>
          </w:tcPr>
          <w:p w14:paraId="47C81871" w14:textId="77777777" w:rsidR="00B71B4E" w:rsidRPr="00BD16B4" w:rsidRDefault="00B71B4E" w:rsidP="00F31129">
            <w:pPr>
              <w:pStyle w:val="TableTextBold0"/>
              <w:spacing w:before="40" w:after="40"/>
            </w:pPr>
            <w:r w:rsidRPr="00BD16B4">
              <w:t xml:space="preserve">Subtotal </w:t>
            </w:r>
          </w:p>
        </w:tc>
        <w:tc>
          <w:tcPr>
            <w:tcW w:w="983" w:type="dxa"/>
            <w:tcBorders>
              <w:bottom w:val="single" w:sz="4" w:space="0" w:color="1B556B" w:themeColor="text2"/>
            </w:tcBorders>
            <w:shd w:val="clear" w:color="auto" w:fill="auto"/>
            <w:hideMark/>
          </w:tcPr>
          <w:p w14:paraId="625E8AB4" w14:textId="77777777" w:rsidR="00B71B4E" w:rsidRPr="00BD16B4" w:rsidRDefault="00B71B4E" w:rsidP="00F31129">
            <w:pPr>
              <w:pStyle w:val="TableTextBold0"/>
              <w:spacing w:before="40" w:after="40"/>
              <w:jc w:val="center"/>
            </w:pPr>
            <w:r w:rsidRPr="00BD16B4">
              <w:t>20.27</w:t>
            </w:r>
          </w:p>
        </w:tc>
        <w:tc>
          <w:tcPr>
            <w:tcW w:w="1067" w:type="dxa"/>
            <w:tcBorders>
              <w:bottom w:val="single" w:sz="4" w:space="0" w:color="1B556B" w:themeColor="text2"/>
            </w:tcBorders>
            <w:shd w:val="clear" w:color="auto" w:fill="auto"/>
            <w:hideMark/>
          </w:tcPr>
          <w:p w14:paraId="5FFC0B8F" w14:textId="77777777" w:rsidR="00B71B4E" w:rsidRPr="00BD16B4" w:rsidRDefault="00B71B4E" w:rsidP="00F31129">
            <w:pPr>
              <w:pStyle w:val="TableTextBold0"/>
              <w:spacing w:before="40" w:after="40"/>
              <w:jc w:val="center"/>
            </w:pPr>
            <w:r w:rsidRPr="00BD16B4">
              <w:t>13.15</w:t>
            </w:r>
          </w:p>
        </w:tc>
        <w:tc>
          <w:tcPr>
            <w:tcW w:w="1067" w:type="dxa"/>
            <w:tcBorders>
              <w:bottom w:val="single" w:sz="4" w:space="0" w:color="1B556B" w:themeColor="text2"/>
            </w:tcBorders>
            <w:shd w:val="clear" w:color="auto" w:fill="auto"/>
            <w:hideMark/>
          </w:tcPr>
          <w:p w14:paraId="63544391" w14:textId="6864678B" w:rsidR="00B71B4E" w:rsidRPr="00BD16B4" w:rsidRDefault="00B71B4E" w:rsidP="00F31129">
            <w:pPr>
              <w:pStyle w:val="TableTextBold0"/>
              <w:spacing w:before="40" w:after="40"/>
              <w:jc w:val="center"/>
            </w:pPr>
            <w:r w:rsidRPr="00BD16B4">
              <w:t>8.</w:t>
            </w:r>
            <w:r w:rsidR="00B02CC9" w:rsidRPr="00BD16B4">
              <w:t>69</w:t>
            </w:r>
          </w:p>
        </w:tc>
        <w:tc>
          <w:tcPr>
            <w:tcW w:w="855" w:type="dxa"/>
            <w:tcBorders>
              <w:bottom w:val="single" w:sz="4" w:space="0" w:color="1B556B" w:themeColor="text2"/>
            </w:tcBorders>
            <w:shd w:val="clear" w:color="auto" w:fill="auto"/>
            <w:hideMark/>
          </w:tcPr>
          <w:p w14:paraId="32B0EA9E" w14:textId="77777777" w:rsidR="00B71B4E" w:rsidRPr="00BD16B4" w:rsidRDefault="00B71B4E" w:rsidP="00F31129">
            <w:pPr>
              <w:pStyle w:val="TableTextBold0"/>
              <w:spacing w:before="40" w:after="40"/>
              <w:jc w:val="center"/>
            </w:pPr>
            <w:r w:rsidRPr="00BD16B4">
              <w:t>5.64</w:t>
            </w:r>
          </w:p>
        </w:tc>
        <w:tc>
          <w:tcPr>
            <w:tcW w:w="979" w:type="dxa"/>
            <w:gridSpan w:val="2"/>
            <w:tcBorders>
              <w:bottom w:val="single" w:sz="4" w:space="0" w:color="1B556B" w:themeColor="text2"/>
            </w:tcBorders>
            <w:shd w:val="clear" w:color="auto" w:fill="auto"/>
            <w:noWrap/>
            <w:hideMark/>
          </w:tcPr>
          <w:p w14:paraId="48257A2D" w14:textId="77777777" w:rsidR="00B71B4E" w:rsidRPr="00BD16B4" w:rsidRDefault="00B71B4E" w:rsidP="00F31129">
            <w:pPr>
              <w:pStyle w:val="TableTextBold0"/>
              <w:spacing w:before="40" w:after="40"/>
            </w:pPr>
            <w:r w:rsidRPr="00BD16B4">
              <w:t> </w:t>
            </w:r>
          </w:p>
        </w:tc>
        <w:tc>
          <w:tcPr>
            <w:tcW w:w="1017" w:type="dxa"/>
            <w:tcBorders>
              <w:bottom w:val="single" w:sz="4" w:space="0" w:color="1B556B" w:themeColor="text2"/>
            </w:tcBorders>
            <w:shd w:val="clear" w:color="auto" w:fill="auto"/>
            <w:noWrap/>
            <w:hideMark/>
          </w:tcPr>
          <w:p w14:paraId="60CCF4D3" w14:textId="77777777" w:rsidR="00B71B4E" w:rsidRPr="00BD16B4" w:rsidRDefault="00B71B4E" w:rsidP="00F31129">
            <w:pPr>
              <w:pStyle w:val="TableTextBold0"/>
              <w:spacing w:before="40" w:after="40"/>
            </w:pPr>
            <w:r w:rsidRPr="00BD16B4">
              <w:t> </w:t>
            </w:r>
          </w:p>
        </w:tc>
        <w:tc>
          <w:tcPr>
            <w:tcW w:w="1298" w:type="dxa"/>
            <w:tcBorders>
              <w:bottom w:val="single" w:sz="4" w:space="0" w:color="1B556B" w:themeColor="text2"/>
            </w:tcBorders>
            <w:shd w:val="clear" w:color="auto" w:fill="auto"/>
            <w:noWrap/>
            <w:hideMark/>
          </w:tcPr>
          <w:p w14:paraId="31D932BF" w14:textId="77777777" w:rsidR="00B71B4E" w:rsidRPr="00BD16B4" w:rsidRDefault="00B71B4E" w:rsidP="00F31129">
            <w:pPr>
              <w:pStyle w:val="TableTextBold0"/>
              <w:spacing w:before="40" w:after="40"/>
            </w:pPr>
            <w:r w:rsidRPr="00BD16B4">
              <w:t> </w:t>
            </w:r>
          </w:p>
        </w:tc>
        <w:tc>
          <w:tcPr>
            <w:tcW w:w="1417" w:type="dxa"/>
            <w:tcBorders>
              <w:bottom w:val="single" w:sz="4" w:space="0" w:color="1B556B" w:themeColor="text2"/>
            </w:tcBorders>
            <w:shd w:val="clear" w:color="auto" w:fill="auto"/>
            <w:noWrap/>
            <w:hideMark/>
          </w:tcPr>
          <w:p w14:paraId="747C9908" w14:textId="77777777" w:rsidR="00B71B4E" w:rsidRPr="00BD16B4" w:rsidRDefault="00B71B4E" w:rsidP="00F31129">
            <w:pPr>
              <w:pStyle w:val="TableTextBold0"/>
              <w:spacing w:before="40" w:after="40"/>
            </w:pPr>
            <w:r w:rsidRPr="00BD16B4">
              <w:t> </w:t>
            </w:r>
          </w:p>
        </w:tc>
        <w:tc>
          <w:tcPr>
            <w:tcW w:w="2466" w:type="dxa"/>
            <w:tcBorders>
              <w:bottom w:val="single" w:sz="4" w:space="0" w:color="1B556B" w:themeColor="text2"/>
            </w:tcBorders>
            <w:shd w:val="clear" w:color="auto" w:fill="auto"/>
            <w:noWrap/>
            <w:hideMark/>
          </w:tcPr>
          <w:p w14:paraId="6B07CB54" w14:textId="77777777" w:rsidR="00B71B4E" w:rsidRPr="00BD16B4" w:rsidRDefault="00B71B4E" w:rsidP="00F31129">
            <w:pPr>
              <w:pStyle w:val="TableTextBold0"/>
              <w:spacing w:before="40" w:after="40"/>
            </w:pPr>
            <w:r w:rsidRPr="00BD16B4">
              <w:t> </w:t>
            </w:r>
          </w:p>
        </w:tc>
      </w:tr>
      <w:tr w:rsidR="00B71B4E" w:rsidRPr="00BD16B4" w14:paraId="34E70767" w14:textId="77777777" w:rsidTr="00F31129">
        <w:tc>
          <w:tcPr>
            <w:tcW w:w="3366" w:type="dxa"/>
            <w:shd w:val="clear" w:color="000000" w:fill="D2DDE1" w:themeFill="background2"/>
            <w:hideMark/>
          </w:tcPr>
          <w:p w14:paraId="7C6ADFF8" w14:textId="77777777" w:rsidR="00B71B4E" w:rsidRPr="00BD16B4" w:rsidRDefault="00B71B4E" w:rsidP="00F31129">
            <w:pPr>
              <w:pStyle w:val="TableTextBold0"/>
              <w:spacing w:before="40" w:after="40"/>
            </w:pPr>
            <w:r w:rsidRPr="00BD16B4">
              <w:t>Specialised United Nations bodies</w:t>
            </w:r>
          </w:p>
        </w:tc>
        <w:tc>
          <w:tcPr>
            <w:tcW w:w="983" w:type="dxa"/>
            <w:shd w:val="clear" w:color="000000" w:fill="D2DDE1" w:themeFill="background2"/>
            <w:noWrap/>
            <w:hideMark/>
          </w:tcPr>
          <w:p w14:paraId="2B1F3085" w14:textId="77777777" w:rsidR="00B71B4E" w:rsidRPr="00BD16B4" w:rsidRDefault="00B71B4E" w:rsidP="00F31129">
            <w:pPr>
              <w:pStyle w:val="TableTextBold0"/>
              <w:spacing w:before="40" w:after="40"/>
              <w:jc w:val="center"/>
              <w:rPr>
                <w:rFonts w:ascii="Arial" w:hAnsi="Arial" w:cs="Arial"/>
              </w:rPr>
            </w:pPr>
          </w:p>
        </w:tc>
        <w:tc>
          <w:tcPr>
            <w:tcW w:w="1067" w:type="dxa"/>
            <w:shd w:val="clear" w:color="000000" w:fill="D2DDE1" w:themeFill="background2"/>
            <w:noWrap/>
            <w:hideMark/>
          </w:tcPr>
          <w:p w14:paraId="669528DE" w14:textId="77777777" w:rsidR="00B71B4E" w:rsidRPr="00BD16B4" w:rsidRDefault="00B71B4E" w:rsidP="00F31129">
            <w:pPr>
              <w:pStyle w:val="TableTextBold0"/>
              <w:spacing w:before="40" w:after="40"/>
              <w:jc w:val="center"/>
              <w:rPr>
                <w:rFonts w:ascii="Arial" w:hAnsi="Arial" w:cs="Arial"/>
              </w:rPr>
            </w:pPr>
          </w:p>
        </w:tc>
        <w:tc>
          <w:tcPr>
            <w:tcW w:w="1067" w:type="dxa"/>
            <w:shd w:val="clear" w:color="000000" w:fill="D2DDE1" w:themeFill="background2"/>
            <w:noWrap/>
            <w:hideMark/>
          </w:tcPr>
          <w:p w14:paraId="034DC297" w14:textId="77777777" w:rsidR="00B71B4E" w:rsidRPr="00BD16B4" w:rsidRDefault="00B71B4E" w:rsidP="00F31129">
            <w:pPr>
              <w:pStyle w:val="TableTextBold0"/>
              <w:spacing w:before="40" w:after="40"/>
              <w:jc w:val="center"/>
              <w:rPr>
                <w:rFonts w:ascii="Arial" w:hAnsi="Arial" w:cs="Arial"/>
              </w:rPr>
            </w:pPr>
          </w:p>
        </w:tc>
        <w:tc>
          <w:tcPr>
            <w:tcW w:w="855" w:type="dxa"/>
            <w:shd w:val="clear" w:color="000000" w:fill="D2DDE1" w:themeFill="background2"/>
            <w:noWrap/>
            <w:hideMark/>
          </w:tcPr>
          <w:p w14:paraId="592ECA95" w14:textId="77777777" w:rsidR="00B71B4E" w:rsidRPr="00BD16B4" w:rsidRDefault="00B71B4E" w:rsidP="00F31129">
            <w:pPr>
              <w:pStyle w:val="TableTextBold0"/>
              <w:spacing w:before="40" w:after="40"/>
              <w:jc w:val="center"/>
              <w:rPr>
                <w:rFonts w:ascii="Arial" w:hAnsi="Arial" w:cs="Arial"/>
              </w:rPr>
            </w:pPr>
          </w:p>
        </w:tc>
        <w:tc>
          <w:tcPr>
            <w:tcW w:w="979" w:type="dxa"/>
            <w:gridSpan w:val="2"/>
            <w:shd w:val="clear" w:color="000000" w:fill="D2DDE1" w:themeFill="background2"/>
            <w:noWrap/>
            <w:hideMark/>
          </w:tcPr>
          <w:p w14:paraId="731EAB04"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1017" w:type="dxa"/>
            <w:shd w:val="clear" w:color="000000" w:fill="D2DDE1" w:themeFill="background2"/>
            <w:noWrap/>
            <w:hideMark/>
          </w:tcPr>
          <w:p w14:paraId="7A93B714"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1298" w:type="dxa"/>
            <w:shd w:val="clear" w:color="000000" w:fill="D2DDE1" w:themeFill="background2"/>
            <w:noWrap/>
            <w:hideMark/>
          </w:tcPr>
          <w:p w14:paraId="0FE37992"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1417" w:type="dxa"/>
            <w:shd w:val="clear" w:color="000000" w:fill="D2DDE1" w:themeFill="background2"/>
            <w:noWrap/>
            <w:hideMark/>
          </w:tcPr>
          <w:p w14:paraId="24BBA0E5"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2466" w:type="dxa"/>
            <w:shd w:val="clear" w:color="000000" w:fill="D2DDE1" w:themeFill="background2"/>
            <w:noWrap/>
            <w:hideMark/>
          </w:tcPr>
          <w:p w14:paraId="4D183646"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r>
      <w:tr w:rsidR="00B71B4E" w:rsidRPr="00BD16B4" w14:paraId="4148CE06" w14:textId="77777777" w:rsidTr="00F31129">
        <w:tc>
          <w:tcPr>
            <w:tcW w:w="3366" w:type="dxa"/>
            <w:shd w:val="clear" w:color="auto" w:fill="auto"/>
          </w:tcPr>
          <w:p w14:paraId="1E13CA72" w14:textId="77777777" w:rsidR="00B71B4E" w:rsidRPr="00BD16B4" w:rsidRDefault="00B71B4E" w:rsidP="00F31129">
            <w:pPr>
              <w:pStyle w:val="TableText"/>
              <w:spacing w:before="40" w:after="40"/>
            </w:pPr>
            <w:r w:rsidRPr="00BD16B4">
              <w:t>United Nations Development Programme</w:t>
            </w:r>
          </w:p>
        </w:tc>
        <w:tc>
          <w:tcPr>
            <w:tcW w:w="983" w:type="dxa"/>
            <w:shd w:val="clear" w:color="auto" w:fill="auto"/>
          </w:tcPr>
          <w:p w14:paraId="784A2A96" w14:textId="77777777" w:rsidR="00B71B4E" w:rsidRPr="00BD16B4" w:rsidRDefault="00B71B4E" w:rsidP="00F31129">
            <w:pPr>
              <w:pStyle w:val="TableText"/>
              <w:spacing w:before="40" w:after="40"/>
              <w:jc w:val="center"/>
            </w:pPr>
            <w:r w:rsidRPr="00BD16B4">
              <w:t>5.60</w:t>
            </w:r>
          </w:p>
        </w:tc>
        <w:tc>
          <w:tcPr>
            <w:tcW w:w="1067" w:type="dxa"/>
            <w:shd w:val="clear" w:color="auto" w:fill="auto"/>
          </w:tcPr>
          <w:p w14:paraId="5050BF04" w14:textId="77777777" w:rsidR="00B71B4E" w:rsidRPr="00BD16B4" w:rsidRDefault="00B71B4E" w:rsidP="00F31129">
            <w:pPr>
              <w:pStyle w:val="TableText"/>
              <w:spacing w:before="40" w:after="40"/>
              <w:jc w:val="center"/>
            </w:pPr>
            <w:r w:rsidRPr="00BD16B4">
              <w:t>3.63</w:t>
            </w:r>
          </w:p>
        </w:tc>
        <w:tc>
          <w:tcPr>
            <w:tcW w:w="1067" w:type="dxa"/>
            <w:shd w:val="clear" w:color="auto" w:fill="auto"/>
          </w:tcPr>
          <w:p w14:paraId="44BCE67A" w14:textId="77777777" w:rsidR="00B71B4E" w:rsidRPr="00BD16B4" w:rsidRDefault="00B71B4E" w:rsidP="00F31129">
            <w:pPr>
              <w:pStyle w:val="TableText"/>
              <w:spacing w:before="40" w:after="40"/>
              <w:jc w:val="center"/>
            </w:pPr>
            <w:r w:rsidRPr="00BD16B4">
              <w:t>2.40</w:t>
            </w:r>
          </w:p>
        </w:tc>
        <w:tc>
          <w:tcPr>
            <w:tcW w:w="855" w:type="dxa"/>
            <w:shd w:val="clear" w:color="auto" w:fill="auto"/>
            <w:noWrap/>
          </w:tcPr>
          <w:p w14:paraId="1DE2B0FC" w14:textId="77777777" w:rsidR="00B71B4E" w:rsidRPr="00BD16B4" w:rsidRDefault="00B71B4E" w:rsidP="00F31129">
            <w:pPr>
              <w:pStyle w:val="TableText"/>
              <w:spacing w:before="40" w:after="40"/>
              <w:jc w:val="center"/>
            </w:pPr>
            <w:r w:rsidRPr="00BD16B4">
              <w:t>1.56</w:t>
            </w:r>
          </w:p>
        </w:tc>
        <w:tc>
          <w:tcPr>
            <w:tcW w:w="979" w:type="dxa"/>
            <w:gridSpan w:val="2"/>
            <w:shd w:val="clear" w:color="auto" w:fill="auto"/>
            <w:noWrap/>
          </w:tcPr>
          <w:p w14:paraId="1CAC8525" w14:textId="77777777" w:rsidR="00B71B4E" w:rsidRPr="00BD16B4" w:rsidRDefault="00B71B4E" w:rsidP="00F31129">
            <w:pPr>
              <w:pStyle w:val="TableText"/>
              <w:spacing w:before="40" w:after="40"/>
            </w:pPr>
            <w:r w:rsidRPr="00BD16B4">
              <w:t>Disbursed</w:t>
            </w:r>
          </w:p>
        </w:tc>
        <w:tc>
          <w:tcPr>
            <w:tcW w:w="1017" w:type="dxa"/>
            <w:shd w:val="clear" w:color="auto" w:fill="auto"/>
            <w:noWrap/>
          </w:tcPr>
          <w:p w14:paraId="217CAEDD" w14:textId="77777777" w:rsidR="00B71B4E" w:rsidRPr="00BD16B4" w:rsidRDefault="00B71B4E" w:rsidP="00F31129">
            <w:pPr>
              <w:pStyle w:val="TableText"/>
              <w:spacing w:before="40" w:after="40"/>
            </w:pPr>
            <w:r w:rsidRPr="00BD16B4">
              <w:t>ODA</w:t>
            </w:r>
          </w:p>
        </w:tc>
        <w:tc>
          <w:tcPr>
            <w:tcW w:w="1298" w:type="dxa"/>
            <w:shd w:val="clear" w:color="auto" w:fill="auto"/>
            <w:noWrap/>
          </w:tcPr>
          <w:p w14:paraId="474D26A2" w14:textId="77777777" w:rsidR="00B71B4E" w:rsidRPr="00BD16B4" w:rsidRDefault="00B71B4E" w:rsidP="00F31129">
            <w:pPr>
              <w:pStyle w:val="TableText"/>
              <w:spacing w:before="40" w:after="40"/>
            </w:pPr>
            <w:r w:rsidRPr="00BD16B4">
              <w:t>Grant</w:t>
            </w:r>
          </w:p>
        </w:tc>
        <w:tc>
          <w:tcPr>
            <w:tcW w:w="1417" w:type="dxa"/>
            <w:shd w:val="clear" w:color="auto" w:fill="auto"/>
            <w:noWrap/>
          </w:tcPr>
          <w:p w14:paraId="75CFE03A" w14:textId="77777777" w:rsidR="00B71B4E" w:rsidRPr="00BD16B4" w:rsidRDefault="00B71B4E" w:rsidP="00F31129">
            <w:pPr>
              <w:pStyle w:val="TableText"/>
              <w:spacing w:before="40" w:after="40"/>
            </w:pPr>
            <w:r w:rsidRPr="00BD16B4">
              <w:t>Cross-cutting</w:t>
            </w:r>
          </w:p>
        </w:tc>
        <w:tc>
          <w:tcPr>
            <w:tcW w:w="2466" w:type="dxa"/>
            <w:shd w:val="clear" w:color="auto" w:fill="auto"/>
            <w:noWrap/>
          </w:tcPr>
          <w:p w14:paraId="42DA06EF" w14:textId="77777777" w:rsidR="00B71B4E" w:rsidRPr="00BD16B4" w:rsidRDefault="00B71B4E" w:rsidP="00F31129">
            <w:pPr>
              <w:pStyle w:val="TableText"/>
              <w:spacing w:before="40" w:after="40"/>
            </w:pPr>
            <w:r w:rsidRPr="00BD16B4">
              <w:t>Multi-sector</w:t>
            </w:r>
          </w:p>
        </w:tc>
      </w:tr>
      <w:tr w:rsidR="00B71B4E" w:rsidRPr="00BD16B4" w14:paraId="2F722747" w14:textId="77777777" w:rsidTr="00F31129">
        <w:tc>
          <w:tcPr>
            <w:tcW w:w="3366" w:type="dxa"/>
            <w:shd w:val="clear" w:color="auto" w:fill="auto"/>
          </w:tcPr>
          <w:p w14:paraId="211495CC" w14:textId="77777777" w:rsidR="00B71B4E" w:rsidRPr="00BD16B4" w:rsidRDefault="00B71B4E" w:rsidP="00F31129">
            <w:pPr>
              <w:pStyle w:val="TableText"/>
              <w:spacing w:before="40" w:after="40"/>
            </w:pPr>
            <w:r w:rsidRPr="00BD16B4">
              <w:t xml:space="preserve">United Nations Environment Programme </w:t>
            </w:r>
            <w:r w:rsidRPr="00BD16B4">
              <w:lastRenderedPageBreak/>
              <w:t>Montreal Protocol</w:t>
            </w:r>
          </w:p>
        </w:tc>
        <w:tc>
          <w:tcPr>
            <w:tcW w:w="983" w:type="dxa"/>
            <w:shd w:val="clear" w:color="auto" w:fill="auto"/>
          </w:tcPr>
          <w:p w14:paraId="2DC36FE1" w14:textId="77777777" w:rsidR="00B71B4E" w:rsidRPr="00BD16B4" w:rsidRDefault="00B71B4E" w:rsidP="00F31129">
            <w:pPr>
              <w:pStyle w:val="TableText"/>
              <w:spacing w:before="40" w:after="40"/>
              <w:jc w:val="center"/>
            </w:pPr>
            <w:r w:rsidRPr="00BD16B4">
              <w:lastRenderedPageBreak/>
              <w:t>0.00</w:t>
            </w:r>
          </w:p>
        </w:tc>
        <w:tc>
          <w:tcPr>
            <w:tcW w:w="1067" w:type="dxa"/>
            <w:shd w:val="clear" w:color="auto" w:fill="auto"/>
          </w:tcPr>
          <w:p w14:paraId="3DA7CA21" w14:textId="77777777" w:rsidR="00B71B4E" w:rsidRPr="00BD16B4" w:rsidRDefault="00B71B4E" w:rsidP="00F31129">
            <w:pPr>
              <w:pStyle w:val="TableText"/>
              <w:spacing w:before="40" w:after="40"/>
              <w:jc w:val="center"/>
            </w:pPr>
            <w:r w:rsidRPr="00BD16B4">
              <w:t>0.00</w:t>
            </w:r>
          </w:p>
        </w:tc>
        <w:tc>
          <w:tcPr>
            <w:tcW w:w="1067" w:type="dxa"/>
            <w:shd w:val="clear" w:color="auto" w:fill="auto"/>
          </w:tcPr>
          <w:p w14:paraId="69022116" w14:textId="77777777" w:rsidR="00B71B4E" w:rsidRPr="00BD16B4" w:rsidRDefault="00B71B4E" w:rsidP="00F31129">
            <w:pPr>
              <w:pStyle w:val="TableText"/>
              <w:spacing w:before="40" w:after="40"/>
              <w:jc w:val="center"/>
            </w:pPr>
            <w:r w:rsidRPr="00BD16B4">
              <w:t>0.98</w:t>
            </w:r>
          </w:p>
        </w:tc>
        <w:tc>
          <w:tcPr>
            <w:tcW w:w="855" w:type="dxa"/>
            <w:shd w:val="clear" w:color="auto" w:fill="auto"/>
            <w:noWrap/>
          </w:tcPr>
          <w:p w14:paraId="11BC45AD" w14:textId="77777777" w:rsidR="00B71B4E" w:rsidRPr="00BD16B4" w:rsidRDefault="00B71B4E" w:rsidP="00F31129">
            <w:pPr>
              <w:pStyle w:val="TableText"/>
              <w:spacing w:before="40" w:after="40"/>
              <w:jc w:val="center"/>
            </w:pPr>
            <w:r w:rsidRPr="00BD16B4">
              <w:t>0.64</w:t>
            </w:r>
          </w:p>
        </w:tc>
        <w:tc>
          <w:tcPr>
            <w:tcW w:w="979" w:type="dxa"/>
            <w:gridSpan w:val="2"/>
            <w:shd w:val="clear" w:color="auto" w:fill="auto"/>
            <w:noWrap/>
          </w:tcPr>
          <w:p w14:paraId="7EC9BAE9" w14:textId="77777777" w:rsidR="00B71B4E" w:rsidRPr="00BD16B4" w:rsidRDefault="00B71B4E" w:rsidP="00F31129">
            <w:pPr>
              <w:pStyle w:val="TableText"/>
              <w:spacing w:before="40" w:after="40"/>
            </w:pPr>
            <w:r w:rsidRPr="00BD16B4">
              <w:t>Disbursed</w:t>
            </w:r>
          </w:p>
        </w:tc>
        <w:tc>
          <w:tcPr>
            <w:tcW w:w="1017" w:type="dxa"/>
            <w:shd w:val="clear" w:color="auto" w:fill="auto"/>
            <w:noWrap/>
          </w:tcPr>
          <w:p w14:paraId="1C147E46" w14:textId="77777777" w:rsidR="00B71B4E" w:rsidRPr="00BD16B4" w:rsidRDefault="00B71B4E" w:rsidP="00F31129">
            <w:pPr>
              <w:pStyle w:val="TableText"/>
              <w:spacing w:before="40" w:after="40"/>
            </w:pPr>
            <w:r w:rsidRPr="00BD16B4">
              <w:t>ODA</w:t>
            </w:r>
          </w:p>
        </w:tc>
        <w:tc>
          <w:tcPr>
            <w:tcW w:w="1298" w:type="dxa"/>
            <w:shd w:val="clear" w:color="auto" w:fill="auto"/>
            <w:noWrap/>
          </w:tcPr>
          <w:p w14:paraId="593D0032" w14:textId="77777777" w:rsidR="00B71B4E" w:rsidRPr="00BD16B4" w:rsidRDefault="00B71B4E" w:rsidP="00F31129">
            <w:pPr>
              <w:pStyle w:val="TableText"/>
              <w:spacing w:before="40" w:after="40"/>
            </w:pPr>
            <w:r w:rsidRPr="00BD16B4">
              <w:t>Grant</w:t>
            </w:r>
          </w:p>
        </w:tc>
        <w:tc>
          <w:tcPr>
            <w:tcW w:w="1417" w:type="dxa"/>
            <w:shd w:val="clear" w:color="auto" w:fill="auto"/>
            <w:noWrap/>
          </w:tcPr>
          <w:p w14:paraId="143D63EB" w14:textId="77777777" w:rsidR="00B71B4E" w:rsidRPr="00BD16B4" w:rsidRDefault="00B71B4E" w:rsidP="00F31129">
            <w:pPr>
              <w:pStyle w:val="TableText"/>
              <w:spacing w:before="40" w:after="40"/>
            </w:pPr>
            <w:r w:rsidRPr="00BD16B4">
              <w:t>Mitigation</w:t>
            </w:r>
          </w:p>
        </w:tc>
        <w:tc>
          <w:tcPr>
            <w:tcW w:w="2466" w:type="dxa"/>
            <w:shd w:val="clear" w:color="auto" w:fill="auto"/>
            <w:noWrap/>
          </w:tcPr>
          <w:p w14:paraId="122EFB7A" w14:textId="77777777" w:rsidR="00B71B4E" w:rsidRPr="00BD16B4" w:rsidRDefault="00B71B4E" w:rsidP="00F31129">
            <w:pPr>
              <w:pStyle w:val="TableText"/>
              <w:spacing w:before="40" w:after="40"/>
            </w:pPr>
            <w:r w:rsidRPr="00BD16B4">
              <w:t>Multi-sector</w:t>
            </w:r>
          </w:p>
        </w:tc>
      </w:tr>
      <w:tr w:rsidR="00B71B4E" w:rsidRPr="00BD16B4" w14:paraId="770BFBE7" w14:textId="77777777" w:rsidTr="00F31129">
        <w:tc>
          <w:tcPr>
            <w:tcW w:w="3366" w:type="dxa"/>
            <w:shd w:val="clear" w:color="auto" w:fill="auto"/>
          </w:tcPr>
          <w:p w14:paraId="49598BDC" w14:textId="77777777" w:rsidR="00B71B4E" w:rsidRPr="00BD16B4" w:rsidRDefault="00B71B4E" w:rsidP="00F31129">
            <w:pPr>
              <w:pStyle w:val="TableText"/>
              <w:spacing w:before="40" w:after="40"/>
            </w:pPr>
            <w:r w:rsidRPr="00BD16B4">
              <w:t>United Nations Women</w:t>
            </w:r>
          </w:p>
        </w:tc>
        <w:tc>
          <w:tcPr>
            <w:tcW w:w="983" w:type="dxa"/>
            <w:shd w:val="clear" w:color="auto" w:fill="auto"/>
          </w:tcPr>
          <w:p w14:paraId="0B575230" w14:textId="77777777" w:rsidR="00B71B4E" w:rsidRPr="00BD16B4" w:rsidRDefault="00B71B4E" w:rsidP="00F31129">
            <w:pPr>
              <w:pStyle w:val="TableText"/>
              <w:spacing w:before="40" w:after="40"/>
              <w:jc w:val="center"/>
            </w:pPr>
            <w:r w:rsidRPr="00BD16B4">
              <w:t>1.75</w:t>
            </w:r>
          </w:p>
        </w:tc>
        <w:tc>
          <w:tcPr>
            <w:tcW w:w="1067" w:type="dxa"/>
            <w:shd w:val="clear" w:color="auto" w:fill="auto"/>
          </w:tcPr>
          <w:p w14:paraId="2FF8B80E" w14:textId="77777777" w:rsidR="00B71B4E" w:rsidRPr="00BD16B4" w:rsidRDefault="00B71B4E" w:rsidP="00F31129">
            <w:pPr>
              <w:pStyle w:val="TableText"/>
              <w:spacing w:before="40" w:after="40"/>
              <w:jc w:val="center"/>
            </w:pPr>
            <w:r w:rsidRPr="00BD16B4">
              <w:t>1.14</w:t>
            </w:r>
          </w:p>
        </w:tc>
        <w:tc>
          <w:tcPr>
            <w:tcW w:w="1067" w:type="dxa"/>
            <w:shd w:val="clear" w:color="auto" w:fill="auto"/>
          </w:tcPr>
          <w:p w14:paraId="73B9C8E6" w14:textId="77777777" w:rsidR="00B71B4E" w:rsidRPr="00BD16B4" w:rsidRDefault="00B71B4E" w:rsidP="00F31129">
            <w:pPr>
              <w:pStyle w:val="TableText"/>
              <w:spacing w:before="40" w:after="40"/>
              <w:jc w:val="center"/>
            </w:pPr>
            <w:r w:rsidRPr="00BD16B4">
              <w:t>0.75</w:t>
            </w:r>
          </w:p>
        </w:tc>
        <w:tc>
          <w:tcPr>
            <w:tcW w:w="855" w:type="dxa"/>
            <w:shd w:val="clear" w:color="auto" w:fill="auto"/>
            <w:noWrap/>
          </w:tcPr>
          <w:p w14:paraId="395D1B43" w14:textId="77777777" w:rsidR="00B71B4E" w:rsidRPr="00BD16B4" w:rsidRDefault="00B71B4E" w:rsidP="00F31129">
            <w:pPr>
              <w:pStyle w:val="TableText"/>
              <w:spacing w:before="40" w:after="40"/>
              <w:jc w:val="center"/>
            </w:pPr>
            <w:r w:rsidRPr="00BD16B4">
              <w:t>0.49</w:t>
            </w:r>
          </w:p>
        </w:tc>
        <w:tc>
          <w:tcPr>
            <w:tcW w:w="979" w:type="dxa"/>
            <w:gridSpan w:val="2"/>
            <w:shd w:val="clear" w:color="auto" w:fill="auto"/>
            <w:noWrap/>
          </w:tcPr>
          <w:p w14:paraId="43EBAEFC" w14:textId="77777777" w:rsidR="00B71B4E" w:rsidRPr="00BD16B4" w:rsidRDefault="00B71B4E" w:rsidP="00F31129">
            <w:pPr>
              <w:pStyle w:val="TableText"/>
              <w:spacing w:before="40" w:after="40"/>
            </w:pPr>
            <w:r w:rsidRPr="00BD16B4">
              <w:t>Disbursed</w:t>
            </w:r>
          </w:p>
        </w:tc>
        <w:tc>
          <w:tcPr>
            <w:tcW w:w="1017" w:type="dxa"/>
            <w:shd w:val="clear" w:color="auto" w:fill="auto"/>
            <w:noWrap/>
          </w:tcPr>
          <w:p w14:paraId="43A4C4A0" w14:textId="77777777" w:rsidR="00B71B4E" w:rsidRPr="00BD16B4" w:rsidRDefault="00B71B4E" w:rsidP="00F31129">
            <w:pPr>
              <w:pStyle w:val="TableText"/>
              <w:spacing w:before="40" w:after="40"/>
            </w:pPr>
            <w:r w:rsidRPr="00BD16B4">
              <w:t>ODA</w:t>
            </w:r>
          </w:p>
        </w:tc>
        <w:tc>
          <w:tcPr>
            <w:tcW w:w="1298" w:type="dxa"/>
            <w:shd w:val="clear" w:color="auto" w:fill="auto"/>
            <w:noWrap/>
          </w:tcPr>
          <w:p w14:paraId="2318081E" w14:textId="77777777" w:rsidR="00B71B4E" w:rsidRPr="00BD16B4" w:rsidRDefault="00B71B4E" w:rsidP="00F31129">
            <w:pPr>
              <w:pStyle w:val="TableText"/>
              <w:spacing w:before="40" w:after="40"/>
            </w:pPr>
            <w:r w:rsidRPr="00BD16B4">
              <w:t>Grant</w:t>
            </w:r>
          </w:p>
        </w:tc>
        <w:tc>
          <w:tcPr>
            <w:tcW w:w="1417" w:type="dxa"/>
            <w:shd w:val="clear" w:color="auto" w:fill="auto"/>
            <w:noWrap/>
          </w:tcPr>
          <w:p w14:paraId="6BFC2024" w14:textId="77777777" w:rsidR="00B71B4E" w:rsidRPr="00BD16B4" w:rsidRDefault="00B71B4E" w:rsidP="00F31129">
            <w:pPr>
              <w:pStyle w:val="TableText"/>
              <w:spacing w:before="40" w:after="40"/>
            </w:pPr>
            <w:r w:rsidRPr="00BD16B4">
              <w:t>Adaptation</w:t>
            </w:r>
          </w:p>
        </w:tc>
        <w:tc>
          <w:tcPr>
            <w:tcW w:w="2466" w:type="dxa"/>
            <w:shd w:val="clear" w:color="auto" w:fill="auto"/>
            <w:noWrap/>
          </w:tcPr>
          <w:p w14:paraId="4269FC97" w14:textId="77777777" w:rsidR="00B71B4E" w:rsidRPr="00BD16B4" w:rsidRDefault="00B71B4E" w:rsidP="00F31129">
            <w:pPr>
              <w:pStyle w:val="TableText"/>
              <w:spacing w:before="40" w:after="40"/>
            </w:pPr>
            <w:r w:rsidRPr="00BD16B4">
              <w:t>Governance and civil society</w:t>
            </w:r>
          </w:p>
        </w:tc>
      </w:tr>
      <w:tr w:rsidR="00B71B4E" w:rsidRPr="00BD16B4" w14:paraId="7DC693B5" w14:textId="77777777" w:rsidTr="00F31129">
        <w:tc>
          <w:tcPr>
            <w:tcW w:w="3366" w:type="dxa"/>
            <w:shd w:val="clear" w:color="auto" w:fill="auto"/>
          </w:tcPr>
          <w:p w14:paraId="21CBBEF6" w14:textId="77777777" w:rsidR="00B71B4E" w:rsidRPr="00BD16B4" w:rsidRDefault="00B71B4E" w:rsidP="00F31129">
            <w:pPr>
              <w:pStyle w:val="TableText"/>
              <w:spacing w:before="40" w:after="40"/>
            </w:pPr>
            <w:r w:rsidRPr="00BD16B4">
              <w:t>World Food Programme</w:t>
            </w:r>
          </w:p>
        </w:tc>
        <w:tc>
          <w:tcPr>
            <w:tcW w:w="983" w:type="dxa"/>
            <w:shd w:val="clear" w:color="auto" w:fill="auto"/>
          </w:tcPr>
          <w:p w14:paraId="2069A887" w14:textId="77777777" w:rsidR="00B71B4E" w:rsidRPr="00BD16B4" w:rsidRDefault="00B71B4E" w:rsidP="00F31129">
            <w:pPr>
              <w:pStyle w:val="TableText"/>
              <w:spacing w:before="40" w:after="40"/>
              <w:jc w:val="center"/>
            </w:pPr>
            <w:r w:rsidRPr="00BD16B4">
              <w:t>4.20</w:t>
            </w:r>
          </w:p>
        </w:tc>
        <w:tc>
          <w:tcPr>
            <w:tcW w:w="1067" w:type="dxa"/>
            <w:shd w:val="clear" w:color="auto" w:fill="auto"/>
          </w:tcPr>
          <w:p w14:paraId="10730F9F" w14:textId="77777777" w:rsidR="00B71B4E" w:rsidRPr="00BD16B4" w:rsidRDefault="00B71B4E" w:rsidP="00F31129">
            <w:pPr>
              <w:pStyle w:val="TableText"/>
              <w:spacing w:before="40" w:after="40"/>
              <w:jc w:val="center"/>
            </w:pPr>
            <w:r w:rsidRPr="00BD16B4">
              <w:t>2.73</w:t>
            </w:r>
          </w:p>
        </w:tc>
        <w:tc>
          <w:tcPr>
            <w:tcW w:w="1067" w:type="dxa"/>
            <w:shd w:val="clear" w:color="auto" w:fill="auto"/>
          </w:tcPr>
          <w:p w14:paraId="292B12AA" w14:textId="77777777" w:rsidR="00B71B4E" w:rsidRPr="00BD16B4" w:rsidRDefault="00B71B4E" w:rsidP="00F31129">
            <w:pPr>
              <w:pStyle w:val="TableText"/>
              <w:spacing w:before="40" w:after="40"/>
              <w:jc w:val="center"/>
            </w:pPr>
            <w:r w:rsidRPr="00BD16B4">
              <w:t>1.80</w:t>
            </w:r>
          </w:p>
        </w:tc>
        <w:tc>
          <w:tcPr>
            <w:tcW w:w="855" w:type="dxa"/>
            <w:shd w:val="clear" w:color="auto" w:fill="auto"/>
            <w:noWrap/>
          </w:tcPr>
          <w:p w14:paraId="7477DDAB" w14:textId="77777777" w:rsidR="00B71B4E" w:rsidRPr="00BD16B4" w:rsidRDefault="00B71B4E" w:rsidP="00F31129">
            <w:pPr>
              <w:pStyle w:val="TableText"/>
              <w:spacing w:before="40" w:after="40"/>
              <w:jc w:val="center"/>
            </w:pPr>
            <w:r w:rsidRPr="00BD16B4">
              <w:t>1.17</w:t>
            </w:r>
          </w:p>
        </w:tc>
        <w:tc>
          <w:tcPr>
            <w:tcW w:w="979" w:type="dxa"/>
            <w:gridSpan w:val="2"/>
            <w:shd w:val="clear" w:color="auto" w:fill="auto"/>
            <w:noWrap/>
          </w:tcPr>
          <w:p w14:paraId="357FE820" w14:textId="77777777" w:rsidR="00B71B4E" w:rsidRPr="00BD16B4" w:rsidRDefault="00B71B4E" w:rsidP="00F31129">
            <w:pPr>
              <w:pStyle w:val="TableText"/>
              <w:spacing w:before="40" w:after="40"/>
            </w:pPr>
            <w:r w:rsidRPr="00BD16B4">
              <w:t>Disbursed</w:t>
            </w:r>
          </w:p>
        </w:tc>
        <w:tc>
          <w:tcPr>
            <w:tcW w:w="1017" w:type="dxa"/>
            <w:shd w:val="clear" w:color="auto" w:fill="auto"/>
            <w:noWrap/>
          </w:tcPr>
          <w:p w14:paraId="06F8E8F9" w14:textId="77777777" w:rsidR="00B71B4E" w:rsidRPr="00BD16B4" w:rsidRDefault="00B71B4E" w:rsidP="00F31129">
            <w:pPr>
              <w:pStyle w:val="TableText"/>
              <w:spacing w:before="40" w:after="40"/>
            </w:pPr>
            <w:r w:rsidRPr="00BD16B4">
              <w:t>ODA</w:t>
            </w:r>
          </w:p>
        </w:tc>
        <w:tc>
          <w:tcPr>
            <w:tcW w:w="1298" w:type="dxa"/>
            <w:shd w:val="clear" w:color="auto" w:fill="auto"/>
            <w:noWrap/>
          </w:tcPr>
          <w:p w14:paraId="160E47AA" w14:textId="77777777" w:rsidR="00B71B4E" w:rsidRPr="00BD16B4" w:rsidRDefault="00B71B4E" w:rsidP="00F31129">
            <w:pPr>
              <w:pStyle w:val="TableText"/>
              <w:spacing w:before="40" w:after="40"/>
            </w:pPr>
            <w:r w:rsidRPr="00BD16B4">
              <w:t>Grant</w:t>
            </w:r>
          </w:p>
        </w:tc>
        <w:tc>
          <w:tcPr>
            <w:tcW w:w="1417" w:type="dxa"/>
            <w:shd w:val="clear" w:color="auto" w:fill="auto"/>
            <w:noWrap/>
          </w:tcPr>
          <w:p w14:paraId="3CE008DE" w14:textId="77777777" w:rsidR="00B71B4E" w:rsidRPr="00BD16B4" w:rsidRDefault="00B71B4E" w:rsidP="00F31129">
            <w:pPr>
              <w:pStyle w:val="TableText"/>
              <w:spacing w:before="40" w:after="40"/>
            </w:pPr>
            <w:r w:rsidRPr="00BD16B4">
              <w:t>Cross-cutting</w:t>
            </w:r>
          </w:p>
        </w:tc>
        <w:tc>
          <w:tcPr>
            <w:tcW w:w="2466" w:type="dxa"/>
            <w:shd w:val="clear" w:color="auto" w:fill="auto"/>
            <w:noWrap/>
          </w:tcPr>
          <w:p w14:paraId="79C10AC1" w14:textId="77777777" w:rsidR="00B71B4E" w:rsidRPr="00BD16B4" w:rsidRDefault="00B71B4E" w:rsidP="00F31129">
            <w:pPr>
              <w:pStyle w:val="TableText"/>
              <w:spacing w:before="40" w:after="40"/>
            </w:pPr>
            <w:r w:rsidRPr="00BD16B4">
              <w:t xml:space="preserve">Humanitarian </w:t>
            </w:r>
          </w:p>
        </w:tc>
      </w:tr>
      <w:tr w:rsidR="00B71B4E" w:rsidRPr="00BD16B4" w14:paraId="28F0201F" w14:textId="77777777" w:rsidTr="00F31129">
        <w:tc>
          <w:tcPr>
            <w:tcW w:w="3366" w:type="dxa"/>
            <w:shd w:val="clear" w:color="auto" w:fill="auto"/>
          </w:tcPr>
          <w:p w14:paraId="461D81DC" w14:textId="77777777" w:rsidR="00B71B4E" w:rsidRPr="00BD16B4" w:rsidRDefault="00B71B4E" w:rsidP="00F31129">
            <w:pPr>
              <w:pStyle w:val="TableText"/>
              <w:spacing w:before="40" w:after="40"/>
            </w:pPr>
            <w:r w:rsidRPr="00BD16B4">
              <w:t>International Fund for Agricultural Development</w:t>
            </w:r>
          </w:p>
        </w:tc>
        <w:tc>
          <w:tcPr>
            <w:tcW w:w="983" w:type="dxa"/>
            <w:shd w:val="clear" w:color="auto" w:fill="auto"/>
          </w:tcPr>
          <w:p w14:paraId="750BBF8B" w14:textId="77777777" w:rsidR="00B71B4E" w:rsidRPr="00BD16B4" w:rsidRDefault="00B71B4E" w:rsidP="00F31129">
            <w:pPr>
              <w:pStyle w:val="TableText"/>
              <w:spacing w:before="40" w:after="40"/>
              <w:jc w:val="center"/>
            </w:pPr>
            <w:r w:rsidRPr="00BD16B4">
              <w:t>0.95</w:t>
            </w:r>
          </w:p>
        </w:tc>
        <w:tc>
          <w:tcPr>
            <w:tcW w:w="1067" w:type="dxa"/>
            <w:shd w:val="clear" w:color="auto" w:fill="auto"/>
          </w:tcPr>
          <w:p w14:paraId="5EC0238B" w14:textId="77777777" w:rsidR="00B71B4E" w:rsidRPr="00BD16B4" w:rsidRDefault="00B71B4E" w:rsidP="00F31129">
            <w:pPr>
              <w:pStyle w:val="TableText"/>
              <w:spacing w:before="40" w:after="40"/>
              <w:jc w:val="center"/>
            </w:pPr>
            <w:r w:rsidRPr="00BD16B4">
              <w:t>0.61</w:t>
            </w:r>
          </w:p>
        </w:tc>
        <w:tc>
          <w:tcPr>
            <w:tcW w:w="1067" w:type="dxa"/>
            <w:shd w:val="clear" w:color="auto" w:fill="auto"/>
          </w:tcPr>
          <w:p w14:paraId="0C2062A4" w14:textId="77777777" w:rsidR="00B71B4E" w:rsidRPr="00BD16B4" w:rsidRDefault="00B71B4E" w:rsidP="00F31129">
            <w:pPr>
              <w:pStyle w:val="TableText"/>
              <w:spacing w:before="40" w:after="40"/>
              <w:jc w:val="center"/>
            </w:pPr>
            <w:r w:rsidRPr="00BD16B4">
              <w:t>0.56</w:t>
            </w:r>
          </w:p>
        </w:tc>
        <w:tc>
          <w:tcPr>
            <w:tcW w:w="855" w:type="dxa"/>
            <w:shd w:val="clear" w:color="auto" w:fill="auto"/>
            <w:noWrap/>
          </w:tcPr>
          <w:p w14:paraId="5174EA92" w14:textId="77777777" w:rsidR="00B71B4E" w:rsidRPr="00BD16B4" w:rsidRDefault="00B71B4E" w:rsidP="00F31129">
            <w:pPr>
              <w:pStyle w:val="TableText"/>
              <w:spacing w:before="40" w:after="40"/>
              <w:jc w:val="center"/>
            </w:pPr>
            <w:r w:rsidRPr="00BD16B4">
              <w:t>0.36</w:t>
            </w:r>
          </w:p>
        </w:tc>
        <w:tc>
          <w:tcPr>
            <w:tcW w:w="979" w:type="dxa"/>
            <w:gridSpan w:val="2"/>
            <w:shd w:val="clear" w:color="auto" w:fill="auto"/>
            <w:noWrap/>
          </w:tcPr>
          <w:p w14:paraId="0D57B756" w14:textId="77777777" w:rsidR="00B71B4E" w:rsidRPr="00BD16B4" w:rsidRDefault="00B71B4E" w:rsidP="00F31129">
            <w:pPr>
              <w:pStyle w:val="TableText"/>
              <w:spacing w:before="40" w:after="40"/>
            </w:pPr>
            <w:r w:rsidRPr="00BD16B4">
              <w:t>Disbursed</w:t>
            </w:r>
          </w:p>
        </w:tc>
        <w:tc>
          <w:tcPr>
            <w:tcW w:w="1017" w:type="dxa"/>
            <w:shd w:val="clear" w:color="auto" w:fill="auto"/>
            <w:noWrap/>
          </w:tcPr>
          <w:p w14:paraId="79211EFA" w14:textId="77777777" w:rsidR="00B71B4E" w:rsidRPr="00BD16B4" w:rsidRDefault="00B71B4E" w:rsidP="00F31129">
            <w:pPr>
              <w:pStyle w:val="TableText"/>
              <w:spacing w:before="40" w:after="40"/>
            </w:pPr>
            <w:r w:rsidRPr="00BD16B4">
              <w:t>ODA</w:t>
            </w:r>
          </w:p>
        </w:tc>
        <w:tc>
          <w:tcPr>
            <w:tcW w:w="1298" w:type="dxa"/>
            <w:shd w:val="clear" w:color="auto" w:fill="auto"/>
            <w:noWrap/>
          </w:tcPr>
          <w:p w14:paraId="06AE5AA1" w14:textId="77777777" w:rsidR="00B71B4E" w:rsidRPr="00BD16B4" w:rsidRDefault="00B71B4E" w:rsidP="00F31129">
            <w:pPr>
              <w:pStyle w:val="TableText"/>
              <w:spacing w:before="40" w:after="40"/>
            </w:pPr>
            <w:r w:rsidRPr="00BD16B4">
              <w:t>Grant</w:t>
            </w:r>
          </w:p>
        </w:tc>
        <w:tc>
          <w:tcPr>
            <w:tcW w:w="1417" w:type="dxa"/>
            <w:shd w:val="clear" w:color="auto" w:fill="auto"/>
            <w:noWrap/>
          </w:tcPr>
          <w:p w14:paraId="69D78510" w14:textId="77777777" w:rsidR="00B71B4E" w:rsidRPr="00BD16B4" w:rsidRDefault="00B71B4E" w:rsidP="00F31129">
            <w:pPr>
              <w:pStyle w:val="TableText"/>
              <w:spacing w:before="40" w:after="40"/>
            </w:pPr>
            <w:r w:rsidRPr="00BD16B4">
              <w:t>Cross-cutting</w:t>
            </w:r>
          </w:p>
        </w:tc>
        <w:tc>
          <w:tcPr>
            <w:tcW w:w="2466" w:type="dxa"/>
            <w:shd w:val="clear" w:color="auto" w:fill="auto"/>
            <w:noWrap/>
          </w:tcPr>
          <w:p w14:paraId="0C18A7F5" w14:textId="77777777" w:rsidR="00B71B4E" w:rsidRPr="00BD16B4" w:rsidRDefault="00B71B4E" w:rsidP="00F31129">
            <w:pPr>
              <w:pStyle w:val="TableText"/>
              <w:spacing w:before="40" w:after="40"/>
            </w:pPr>
            <w:r w:rsidRPr="00BD16B4">
              <w:t>Agriculture</w:t>
            </w:r>
          </w:p>
        </w:tc>
      </w:tr>
      <w:tr w:rsidR="00B71B4E" w:rsidRPr="00BD16B4" w14:paraId="7B8D2837" w14:textId="77777777" w:rsidTr="00F31129">
        <w:tc>
          <w:tcPr>
            <w:tcW w:w="3366" w:type="dxa"/>
            <w:shd w:val="clear" w:color="auto" w:fill="auto"/>
            <w:hideMark/>
          </w:tcPr>
          <w:p w14:paraId="1F0D0EFE" w14:textId="77777777" w:rsidR="00B71B4E" w:rsidRPr="00BD16B4" w:rsidRDefault="00B71B4E" w:rsidP="00F31129">
            <w:pPr>
              <w:pStyle w:val="TableText"/>
              <w:spacing w:before="40" w:after="40"/>
            </w:pPr>
            <w:r w:rsidRPr="00BD16B4">
              <w:t>United Nations Peacebuilding Fund</w:t>
            </w:r>
          </w:p>
        </w:tc>
        <w:tc>
          <w:tcPr>
            <w:tcW w:w="983" w:type="dxa"/>
            <w:shd w:val="clear" w:color="auto" w:fill="auto"/>
            <w:hideMark/>
          </w:tcPr>
          <w:p w14:paraId="5304F5EC" w14:textId="77777777" w:rsidR="00B71B4E" w:rsidRPr="00BD16B4" w:rsidRDefault="00B71B4E" w:rsidP="00F31129">
            <w:pPr>
              <w:pStyle w:val="TableText"/>
              <w:spacing w:before="40" w:after="40"/>
              <w:jc w:val="center"/>
            </w:pPr>
            <w:r w:rsidRPr="00BD16B4">
              <w:t>2.10</w:t>
            </w:r>
          </w:p>
        </w:tc>
        <w:tc>
          <w:tcPr>
            <w:tcW w:w="1067" w:type="dxa"/>
            <w:shd w:val="clear" w:color="auto" w:fill="auto"/>
            <w:hideMark/>
          </w:tcPr>
          <w:p w14:paraId="005B3BCD" w14:textId="77777777" w:rsidR="00B71B4E" w:rsidRPr="00BD16B4" w:rsidRDefault="00B71B4E" w:rsidP="00F31129">
            <w:pPr>
              <w:pStyle w:val="TableText"/>
              <w:spacing w:before="40" w:after="40"/>
              <w:jc w:val="center"/>
            </w:pPr>
            <w:r w:rsidRPr="00BD16B4">
              <w:t>1.36</w:t>
            </w:r>
          </w:p>
        </w:tc>
        <w:tc>
          <w:tcPr>
            <w:tcW w:w="1067" w:type="dxa"/>
            <w:shd w:val="clear" w:color="auto" w:fill="auto"/>
            <w:hideMark/>
          </w:tcPr>
          <w:p w14:paraId="4711CB83" w14:textId="77777777" w:rsidR="00B71B4E" w:rsidRPr="00BD16B4" w:rsidRDefault="00B71B4E" w:rsidP="00F31129">
            <w:pPr>
              <w:pStyle w:val="TableText"/>
              <w:spacing w:before="40" w:after="40"/>
              <w:jc w:val="center"/>
            </w:pPr>
            <w:r w:rsidRPr="00BD16B4">
              <w:t>0.90</w:t>
            </w:r>
          </w:p>
        </w:tc>
        <w:tc>
          <w:tcPr>
            <w:tcW w:w="855" w:type="dxa"/>
            <w:shd w:val="clear" w:color="auto" w:fill="auto"/>
            <w:noWrap/>
            <w:hideMark/>
          </w:tcPr>
          <w:p w14:paraId="10B94898" w14:textId="77777777" w:rsidR="00B71B4E" w:rsidRPr="00BD16B4" w:rsidRDefault="00B71B4E" w:rsidP="00F31129">
            <w:pPr>
              <w:pStyle w:val="TableText"/>
              <w:spacing w:before="40" w:after="40"/>
              <w:jc w:val="center"/>
            </w:pPr>
            <w:r w:rsidRPr="00BD16B4">
              <w:t>0.58</w:t>
            </w:r>
          </w:p>
        </w:tc>
        <w:tc>
          <w:tcPr>
            <w:tcW w:w="979" w:type="dxa"/>
            <w:gridSpan w:val="2"/>
            <w:shd w:val="clear" w:color="auto" w:fill="auto"/>
            <w:noWrap/>
            <w:hideMark/>
          </w:tcPr>
          <w:p w14:paraId="2F22B594" w14:textId="77777777" w:rsidR="00B71B4E" w:rsidRPr="00BD16B4" w:rsidRDefault="00B71B4E" w:rsidP="00F31129">
            <w:pPr>
              <w:pStyle w:val="TableText"/>
              <w:spacing w:before="40" w:after="40"/>
            </w:pPr>
            <w:r w:rsidRPr="00BD16B4">
              <w:t>Disbursed</w:t>
            </w:r>
          </w:p>
        </w:tc>
        <w:tc>
          <w:tcPr>
            <w:tcW w:w="1017" w:type="dxa"/>
            <w:shd w:val="clear" w:color="auto" w:fill="auto"/>
            <w:noWrap/>
            <w:hideMark/>
          </w:tcPr>
          <w:p w14:paraId="619CB7BE" w14:textId="77777777" w:rsidR="00B71B4E" w:rsidRPr="00BD16B4" w:rsidRDefault="00B71B4E" w:rsidP="00F31129">
            <w:pPr>
              <w:pStyle w:val="TableText"/>
              <w:spacing w:before="40" w:after="40"/>
            </w:pPr>
            <w:r w:rsidRPr="00BD16B4">
              <w:t>ODA</w:t>
            </w:r>
          </w:p>
        </w:tc>
        <w:tc>
          <w:tcPr>
            <w:tcW w:w="1298" w:type="dxa"/>
            <w:shd w:val="clear" w:color="auto" w:fill="auto"/>
            <w:noWrap/>
            <w:hideMark/>
          </w:tcPr>
          <w:p w14:paraId="5441F114" w14:textId="77777777" w:rsidR="00B71B4E" w:rsidRPr="00BD16B4" w:rsidRDefault="00B71B4E" w:rsidP="00F31129">
            <w:pPr>
              <w:pStyle w:val="TableText"/>
              <w:spacing w:before="40" w:after="40"/>
            </w:pPr>
            <w:r w:rsidRPr="00BD16B4">
              <w:t>Grant</w:t>
            </w:r>
          </w:p>
        </w:tc>
        <w:tc>
          <w:tcPr>
            <w:tcW w:w="1417" w:type="dxa"/>
            <w:shd w:val="clear" w:color="auto" w:fill="auto"/>
            <w:noWrap/>
            <w:hideMark/>
          </w:tcPr>
          <w:p w14:paraId="00CA6C2E" w14:textId="77777777" w:rsidR="00B71B4E" w:rsidRPr="00BD16B4" w:rsidRDefault="00B71B4E" w:rsidP="00F31129">
            <w:pPr>
              <w:pStyle w:val="TableText"/>
              <w:spacing w:before="40" w:after="40"/>
            </w:pPr>
            <w:r w:rsidRPr="00BD16B4">
              <w:t>Adaptation</w:t>
            </w:r>
          </w:p>
        </w:tc>
        <w:tc>
          <w:tcPr>
            <w:tcW w:w="2466" w:type="dxa"/>
            <w:shd w:val="clear" w:color="auto" w:fill="auto"/>
            <w:noWrap/>
            <w:hideMark/>
          </w:tcPr>
          <w:p w14:paraId="70A4C101" w14:textId="77777777" w:rsidR="00B71B4E" w:rsidRPr="00BD16B4" w:rsidRDefault="00B71B4E" w:rsidP="00F31129">
            <w:pPr>
              <w:pStyle w:val="TableText"/>
              <w:spacing w:before="40" w:after="40"/>
            </w:pPr>
            <w:r w:rsidRPr="00BD16B4">
              <w:t>Governance and civil society</w:t>
            </w:r>
          </w:p>
        </w:tc>
      </w:tr>
      <w:tr w:rsidR="00B71B4E" w:rsidRPr="00BD16B4" w14:paraId="2CB656BA" w14:textId="77777777" w:rsidTr="00F31129">
        <w:tc>
          <w:tcPr>
            <w:tcW w:w="3366" w:type="dxa"/>
            <w:tcBorders>
              <w:bottom w:val="single" w:sz="4" w:space="0" w:color="1B556B" w:themeColor="text2"/>
            </w:tcBorders>
            <w:shd w:val="clear" w:color="auto" w:fill="auto"/>
            <w:hideMark/>
          </w:tcPr>
          <w:p w14:paraId="714CBE16" w14:textId="77777777" w:rsidR="00B71B4E" w:rsidRPr="00BD16B4" w:rsidRDefault="00B71B4E" w:rsidP="00F31129">
            <w:pPr>
              <w:pStyle w:val="TableTextBold0"/>
              <w:spacing w:before="40" w:after="40"/>
            </w:pPr>
            <w:r w:rsidRPr="00BD16B4">
              <w:t xml:space="preserve">Subtotal </w:t>
            </w:r>
          </w:p>
        </w:tc>
        <w:tc>
          <w:tcPr>
            <w:tcW w:w="983" w:type="dxa"/>
            <w:tcBorders>
              <w:bottom w:val="single" w:sz="4" w:space="0" w:color="1B556B" w:themeColor="text2"/>
            </w:tcBorders>
            <w:shd w:val="clear" w:color="auto" w:fill="auto"/>
            <w:hideMark/>
          </w:tcPr>
          <w:p w14:paraId="282558CA" w14:textId="77777777" w:rsidR="00B71B4E" w:rsidRPr="00BD16B4" w:rsidRDefault="00B71B4E" w:rsidP="00F31129">
            <w:pPr>
              <w:pStyle w:val="TableTextBold0"/>
              <w:spacing w:before="40" w:after="40"/>
              <w:jc w:val="center"/>
            </w:pPr>
            <w:r w:rsidRPr="00BD16B4">
              <w:t>14.60</w:t>
            </w:r>
          </w:p>
        </w:tc>
        <w:tc>
          <w:tcPr>
            <w:tcW w:w="1067" w:type="dxa"/>
            <w:tcBorders>
              <w:bottom w:val="single" w:sz="4" w:space="0" w:color="1B556B" w:themeColor="text2"/>
            </w:tcBorders>
            <w:shd w:val="clear" w:color="auto" w:fill="auto"/>
            <w:hideMark/>
          </w:tcPr>
          <w:p w14:paraId="3BCC0E88" w14:textId="77777777" w:rsidR="00B71B4E" w:rsidRPr="00BD16B4" w:rsidRDefault="00B71B4E" w:rsidP="00F31129">
            <w:pPr>
              <w:pStyle w:val="TableTextBold0"/>
              <w:spacing w:before="40" w:after="40"/>
              <w:jc w:val="center"/>
            </w:pPr>
            <w:r w:rsidRPr="00BD16B4">
              <w:t>9.47</w:t>
            </w:r>
          </w:p>
        </w:tc>
        <w:tc>
          <w:tcPr>
            <w:tcW w:w="1067" w:type="dxa"/>
            <w:tcBorders>
              <w:bottom w:val="single" w:sz="4" w:space="0" w:color="1B556B" w:themeColor="text2"/>
            </w:tcBorders>
            <w:shd w:val="clear" w:color="auto" w:fill="auto"/>
            <w:hideMark/>
          </w:tcPr>
          <w:p w14:paraId="1E564662" w14:textId="341D509F" w:rsidR="00B71B4E" w:rsidRPr="00BD16B4" w:rsidRDefault="00B71B4E" w:rsidP="00F31129">
            <w:pPr>
              <w:pStyle w:val="TableTextBold0"/>
              <w:spacing w:before="40" w:after="40"/>
              <w:jc w:val="center"/>
            </w:pPr>
            <w:r w:rsidRPr="00BD16B4">
              <w:t>7.3</w:t>
            </w:r>
            <w:r w:rsidR="00FE3A4D" w:rsidRPr="00BD16B4">
              <w:t>9</w:t>
            </w:r>
          </w:p>
        </w:tc>
        <w:tc>
          <w:tcPr>
            <w:tcW w:w="855" w:type="dxa"/>
            <w:tcBorders>
              <w:bottom w:val="single" w:sz="4" w:space="0" w:color="1B556B" w:themeColor="text2"/>
            </w:tcBorders>
            <w:shd w:val="clear" w:color="auto" w:fill="auto"/>
            <w:noWrap/>
            <w:hideMark/>
          </w:tcPr>
          <w:p w14:paraId="6ED6E24F" w14:textId="77777777" w:rsidR="00B71B4E" w:rsidRPr="00BD16B4" w:rsidRDefault="00B71B4E" w:rsidP="00F31129">
            <w:pPr>
              <w:pStyle w:val="TableTextBold0"/>
              <w:spacing w:before="40" w:after="40"/>
              <w:jc w:val="center"/>
            </w:pPr>
            <w:r w:rsidRPr="00BD16B4">
              <w:t>4.79</w:t>
            </w:r>
          </w:p>
        </w:tc>
        <w:tc>
          <w:tcPr>
            <w:tcW w:w="979" w:type="dxa"/>
            <w:gridSpan w:val="2"/>
            <w:tcBorders>
              <w:bottom w:val="single" w:sz="4" w:space="0" w:color="1B556B" w:themeColor="text2"/>
            </w:tcBorders>
            <w:shd w:val="clear" w:color="auto" w:fill="auto"/>
            <w:noWrap/>
            <w:hideMark/>
          </w:tcPr>
          <w:p w14:paraId="44B4E031" w14:textId="77777777" w:rsidR="00B71B4E" w:rsidRPr="00BD16B4" w:rsidRDefault="00B71B4E" w:rsidP="00F31129">
            <w:pPr>
              <w:pStyle w:val="TableTextBold0"/>
              <w:spacing w:before="40" w:after="40"/>
            </w:pPr>
            <w:r w:rsidRPr="00BD16B4">
              <w:t> </w:t>
            </w:r>
          </w:p>
        </w:tc>
        <w:tc>
          <w:tcPr>
            <w:tcW w:w="1017" w:type="dxa"/>
            <w:tcBorders>
              <w:bottom w:val="single" w:sz="4" w:space="0" w:color="1B556B" w:themeColor="text2"/>
            </w:tcBorders>
            <w:shd w:val="clear" w:color="auto" w:fill="auto"/>
            <w:noWrap/>
            <w:hideMark/>
          </w:tcPr>
          <w:p w14:paraId="6A099C6D" w14:textId="77777777" w:rsidR="00B71B4E" w:rsidRPr="00BD16B4" w:rsidRDefault="00B71B4E" w:rsidP="00F31129">
            <w:pPr>
              <w:pStyle w:val="TableTextBold0"/>
              <w:spacing w:before="40" w:after="40"/>
            </w:pPr>
            <w:r w:rsidRPr="00BD16B4">
              <w:t> </w:t>
            </w:r>
          </w:p>
        </w:tc>
        <w:tc>
          <w:tcPr>
            <w:tcW w:w="1298" w:type="dxa"/>
            <w:tcBorders>
              <w:bottom w:val="single" w:sz="4" w:space="0" w:color="1B556B" w:themeColor="text2"/>
            </w:tcBorders>
            <w:shd w:val="clear" w:color="auto" w:fill="auto"/>
            <w:noWrap/>
            <w:hideMark/>
          </w:tcPr>
          <w:p w14:paraId="0DC2FFA1" w14:textId="77777777" w:rsidR="00B71B4E" w:rsidRPr="00BD16B4" w:rsidRDefault="00B71B4E" w:rsidP="00F31129">
            <w:pPr>
              <w:pStyle w:val="TableTextBold0"/>
              <w:spacing w:before="40" w:after="40"/>
            </w:pPr>
            <w:r w:rsidRPr="00BD16B4">
              <w:t> </w:t>
            </w:r>
          </w:p>
        </w:tc>
        <w:tc>
          <w:tcPr>
            <w:tcW w:w="1417" w:type="dxa"/>
            <w:tcBorders>
              <w:bottom w:val="single" w:sz="4" w:space="0" w:color="1B556B" w:themeColor="text2"/>
            </w:tcBorders>
            <w:shd w:val="clear" w:color="auto" w:fill="auto"/>
            <w:noWrap/>
            <w:hideMark/>
          </w:tcPr>
          <w:p w14:paraId="0CD58AE6" w14:textId="77777777" w:rsidR="00B71B4E" w:rsidRPr="00BD16B4" w:rsidRDefault="00B71B4E" w:rsidP="00F31129">
            <w:pPr>
              <w:pStyle w:val="TableTextBold0"/>
              <w:spacing w:before="40" w:after="40"/>
            </w:pPr>
            <w:r w:rsidRPr="00BD16B4">
              <w:t> </w:t>
            </w:r>
          </w:p>
        </w:tc>
        <w:tc>
          <w:tcPr>
            <w:tcW w:w="2466" w:type="dxa"/>
            <w:tcBorders>
              <w:bottom w:val="single" w:sz="4" w:space="0" w:color="1B556B" w:themeColor="text2"/>
            </w:tcBorders>
            <w:shd w:val="clear" w:color="auto" w:fill="auto"/>
            <w:noWrap/>
            <w:hideMark/>
          </w:tcPr>
          <w:p w14:paraId="773E5100" w14:textId="77777777" w:rsidR="00B71B4E" w:rsidRPr="00BD16B4" w:rsidRDefault="00B71B4E" w:rsidP="00F31129">
            <w:pPr>
              <w:pStyle w:val="TableTextBold0"/>
              <w:spacing w:before="40" w:after="40"/>
            </w:pPr>
            <w:r w:rsidRPr="00BD16B4">
              <w:t> </w:t>
            </w:r>
          </w:p>
        </w:tc>
      </w:tr>
      <w:tr w:rsidR="00B71B4E" w:rsidRPr="00BD16B4" w14:paraId="162195E6" w14:textId="77777777" w:rsidTr="00F31129">
        <w:tc>
          <w:tcPr>
            <w:tcW w:w="3366" w:type="dxa"/>
            <w:shd w:val="clear" w:color="000000" w:fill="D2DDE1" w:themeFill="background2"/>
            <w:hideMark/>
          </w:tcPr>
          <w:p w14:paraId="6A29DC6F" w14:textId="77777777" w:rsidR="00B71B4E" w:rsidRPr="00BD16B4" w:rsidRDefault="00B71B4E" w:rsidP="00F31129">
            <w:pPr>
              <w:pStyle w:val="TableTextBold0"/>
              <w:spacing w:before="40" w:after="40"/>
            </w:pPr>
            <w:r w:rsidRPr="00BD16B4">
              <w:t>Other multilateral</w:t>
            </w:r>
          </w:p>
        </w:tc>
        <w:tc>
          <w:tcPr>
            <w:tcW w:w="983" w:type="dxa"/>
            <w:shd w:val="clear" w:color="000000" w:fill="D2DDE1" w:themeFill="background2"/>
            <w:noWrap/>
            <w:hideMark/>
          </w:tcPr>
          <w:p w14:paraId="62FA775F" w14:textId="77777777" w:rsidR="00B71B4E" w:rsidRPr="00BD16B4" w:rsidRDefault="00B71B4E" w:rsidP="00F31129">
            <w:pPr>
              <w:pStyle w:val="TableTextBold0"/>
              <w:spacing w:before="40" w:after="40"/>
              <w:jc w:val="center"/>
              <w:rPr>
                <w:rFonts w:ascii="Arial" w:hAnsi="Arial" w:cs="Arial"/>
              </w:rPr>
            </w:pPr>
          </w:p>
        </w:tc>
        <w:tc>
          <w:tcPr>
            <w:tcW w:w="1067" w:type="dxa"/>
            <w:shd w:val="clear" w:color="000000" w:fill="D2DDE1" w:themeFill="background2"/>
            <w:noWrap/>
            <w:hideMark/>
          </w:tcPr>
          <w:p w14:paraId="3DC26AAD" w14:textId="77777777" w:rsidR="00B71B4E" w:rsidRPr="00BD16B4" w:rsidRDefault="00B71B4E" w:rsidP="00F31129">
            <w:pPr>
              <w:pStyle w:val="TableTextBold0"/>
              <w:spacing w:before="40" w:after="40"/>
              <w:jc w:val="center"/>
              <w:rPr>
                <w:rFonts w:ascii="Arial" w:hAnsi="Arial" w:cs="Arial"/>
              </w:rPr>
            </w:pPr>
          </w:p>
        </w:tc>
        <w:tc>
          <w:tcPr>
            <w:tcW w:w="1067" w:type="dxa"/>
            <w:shd w:val="clear" w:color="000000" w:fill="D2DDE1" w:themeFill="background2"/>
            <w:noWrap/>
            <w:hideMark/>
          </w:tcPr>
          <w:p w14:paraId="66834FA7" w14:textId="77777777" w:rsidR="00B71B4E" w:rsidRPr="00BD16B4" w:rsidRDefault="00B71B4E" w:rsidP="00F31129">
            <w:pPr>
              <w:pStyle w:val="TableTextBold0"/>
              <w:spacing w:before="40" w:after="40"/>
              <w:jc w:val="center"/>
              <w:rPr>
                <w:rFonts w:ascii="Arial" w:hAnsi="Arial" w:cs="Arial"/>
              </w:rPr>
            </w:pPr>
          </w:p>
        </w:tc>
        <w:tc>
          <w:tcPr>
            <w:tcW w:w="855" w:type="dxa"/>
            <w:shd w:val="clear" w:color="000000" w:fill="D2DDE1" w:themeFill="background2"/>
            <w:noWrap/>
            <w:hideMark/>
          </w:tcPr>
          <w:p w14:paraId="5693AD95" w14:textId="77777777" w:rsidR="00B71B4E" w:rsidRPr="00BD16B4" w:rsidRDefault="00B71B4E" w:rsidP="00F31129">
            <w:pPr>
              <w:pStyle w:val="TableTextBold0"/>
              <w:spacing w:before="40" w:after="40"/>
              <w:jc w:val="center"/>
              <w:rPr>
                <w:rFonts w:ascii="Arial" w:hAnsi="Arial" w:cs="Arial"/>
              </w:rPr>
            </w:pPr>
          </w:p>
        </w:tc>
        <w:tc>
          <w:tcPr>
            <w:tcW w:w="979" w:type="dxa"/>
            <w:gridSpan w:val="2"/>
            <w:shd w:val="clear" w:color="000000" w:fill="D2DDE1" w:themeFill="background2"/>
            <w:noWrap/>
            <w:hideMark/>
          </w:tcPr>
          <w:p w14:paraId="7A7706E4"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1017" w:type="dxa"/>
            <w:shd w:val="clear" w:color="000000" w:fill="D2DDE1" w:themeFill="background2"/>
            <w:noWrap/>
            <w:hideMark/>
          </w:tcPr>
          <w:p w14:paraId="435049E5"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1298" w:type="dxa"/>
            <w:shd w:val="clear" w:color="000000" w:fill="D2DDE1" w:themeFill="background2"/>
            <w:noWrap/>
            <w:hideMark/>
          </w:tcPr>
          <w:p w14:paraId="7A2FB3C6"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1417" w:type="dxa"/>
            <w:shd w:val="clear" w:color="000000" w:fill="D2DDE1" w:themeFill="background2"/>
            <w:noWrap/>
            <w:hideMark/>
          </w:tcPr>
          <w:p w14:paraId="1310AE1D"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2466" w:type="dxa"/>
            <w:shd w:val="clear" w:color="000000" w:fill="D2DDE1" w:themeFill="background2"/>
            <w:noWrap/>
            <w:hideMark/>
          </w:tcPr>
          <w:p w14:paraId="01F459B1"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r>
      <w:tr w:rsidR="00B71B4E" w:rsidRPr="00BD16B4" w14:paraId="130CF881" w14:textId="77777777" w:rsidTr="00F31129">
        <w:tc>
          <w:tcPr>
            <w:tcW w:w="3366" w:type="dxa"/>
            <w:shd w:val="clear" w:color="auto" w:fill="auto"/>
          </w:tcPr>
          <w:p w14:paraId="21804DAF" w14:textId="77777777" w:rsidR="00B71B4E" w:rsidRPr="00BD16B4" w:rsidRDefault="00B71B4E" w:rsidP="00F31129">
            <w:pPr>
              <w:pStyle w:val="TableText"/>
              <w:spacing w:before="40" w:after="40"/>
            </w:pPr>
            <w:r w:rsidRPr="00BD16B4">
              <w:t>CGIAR – Climate Change, Agriculture and Food Security Programme</w:t>
            </w:r>
          </w:p>
        </w:tc>
        <w:tc>
          <w:tcPr>
            <w:tcW w:w="983" w:type="dxa"/>
            <w:shd w:val="clear" w:color="auto" w:fill="auto"/>
          </w:tcPr>
          <w:p w14:paraId="5230F4BC" w14:textId="77777777" w:rsidR="00B71B4E" w:rsidRPr="00BD16B4" w:rsidRDefault="00B71B4E" w:rsidP="00F31129">
            <w:pPr>
              <w:pStyle w:val="TableText"/>
              <w:spacing w:before="40" w:after="40"/>
              <w:jc w:val="center"/>
            </w:pPr>
            <w:r w:rsidRPr="00BD16B4">
              <w:t>0.00</w:t>
            </w:r>
          </w:p>
        </w:tc>
        <w:tc>
          <w:tcPr>
            <w:tcW w:w="1067" w:type="dxa"/>
            <w:shd w:val="clear" w:color="auto" w:fill="auto"/>
          </w:tcPr>
          <w:p w14:paraId="3B29B90C" w14:textId="77777777" w:rsidR="00B71B4E" w:rsidRPr="00BD16B4" w:rsidRDefault="00B71B4E" w:rsidP="00F31129">
            <w:pPr>
              <w:pStyle w:val="TableText"/>
              <w:spacing w:before="40" w:after="40"/>
              <w:jc w:val="center"/>
            </w:pPr>
            <w:r w:rsidRPr="00BD16B4">
              <w:t>0.00</w:t>
            </w:r>
          </w:p>
        </w:tc>
        <w:tc>
          <w:tcPr>
            <w:tcW w:w="1067" w:type="dxa"/>
            <w:shd w:val="clear" w:color="auto" w:fill="auto"/>
          </w:tcPr>
          <w:p w14:paraId="4AACD8A7" w14:textId="77777777" w:rsidR="00B71B4E" w:rsidRPr="00BD16B4" w:rsidRDefault="00B71B4E" w:rsidP="00F31129">
            <w:pPr>
              <w:pStyle w:val="TableText"/>
              <w:spacing w:before="40" w:after="40"/>
              <w:jc w:val="center"/>
            </w:pPr>
            <w:r w:rsidRPr="00BD16B4">
              <w:t>4.50</w:t>
            </w:r>
          </w:p>
        </w:tc>
        <w:tc>
          <w:tcPr>
            <w:tcW w:w="855" w:type="dxa"/>
            <w:shd w:val="clear" w:color="auto" w:fill="auto"/>
            <w:noWrap/>
          </w:tcPr>
          <w:p w14:paraId="64004998" w14:textId="77777777" w:rsidR="00B71B4E" w:rsidRPr="00BD16B4" w:rsidRDefault="00B71B4E" w:rsidP="00F31129">
            <w:pPr>
              <w:pStyle w:val="TableText"/>
              <w:spacing w:before="40" w:after="40"/>
              <w:jc w:val="center"/>
            </w:pPr>
            <w:r w:rsidRPr="00BD16B4">
              <w:t>2.92</w:t>
            </w:r>
          </w:p>
        </w:tc>
        <w:tc>
          <w:tcPr>
            <w:tcW w:w="979" w:type="dxa"/>
            <w:gridSpan w:val="2"/>
            <w:shd w:val="clear" w:color="auto" w:fill="auto"/>
            <w:noWrap/>
          </w:tcPr>
          <w:p w14:paraId="7A143EA2" w14:textId="77777777" w:rsidR="00B71B4E" w:rsidRPr="00BD16B4" w:rsidRDefault="00B71B4E" w:rsidP="00F31129">
            <w:pPr>
              <w:pStyle w:val="TableText"/>
              <w:spacing w:before="40" w:after="40"/>
            </w:pPr>
            <w:r w:rsidRPr="00BD16B4">
              <w:t>Disbursed</w:t>
            </w:r>
          </w:p>
        </w:tc>
        <w:tc>
          <w:tcPr>
            <w:tcW w:w="1017" w:type="dxa"/>
            <w:shd w:val="clear" w:color="auto" w:fill="auto"/>
            <w:noWrap/>
          </w:tcPr>
          <w:p w14:paraId="75B3B4B3" w14:textId="77777777" w:rsidR="00B71B4E" w:rsidRPr="00BD16B4" w:rsidRDefault="00B71B4E" w:rsidP="00F31129">
            <w:pPr>
              <w:pStyle w:val="TableText"/>
              <w:spacing w:before="40" w:after="40"/>
            </w:pPr>
            <w:r w:rsidRPr="00BD16B4">
              <w:t>ODA</w:t>
            </w:r>
          </w:p>
        </w:tc>
        <w:tc>
          <w:tcPr>
            <w:tcW w:w="1298" w:type="dxa"/>
            <w:shd w:val="clear" w:color="auto" w:fill="auto"/>
            <w:noWrap/>
          </w:tcPr>
          <w:p w14:paraId="0A282DF1" w14:textId="77777777" w:rsidR="00B71B4E" w:rsidRPr="00BD16B4" w:rsidRDefault="00B71B4E" w:rsidP="00F31129">
            <w:pPr>
              <w:pStyle w:val="TableText"/>
              <w:spacing w:before="40" w:after="40"/>
            </w:pPr>
            <w:r w:rsidRPr="00BD16B4">
              <w:t>Grant</w:t>
            </w:r>
          </w:p>
        </w:tc>
        <w:tc>
          <w:tcPr>
            <w:tcW w:w="1417" w:type="dxa"/>
            <w:shd w:val="clear" w:color="auto" w:fill="auto"/>
            <w:noWrap/>
          </w:tcPr>
          <w:p w14:paraId="42773438" w14:textId="77777777" w:rsidR="00B71B4E" w:rsidRPr="00BD16B4" w:rsidRDefault="00B71B4E" w:rsidP="00F31129">
            <w:pPr>
              <w:pStyle w:val="TableText"/>
              <w:spacing w:before="40" w:after="40"/>
            </w:pPr>
            <w:r w:rsidRPr="00BD16B4">
              <w:t>Cross-cutting</w:t>
            </w:r>
          </w:p>
        </w:tc>
        <w:tc>
          <w:tcPr>
            <w:tcW w:w="2466" w:type="dxa"/>
            <w:shd w:val="clear" w:color="auto" w:fill="auto"/>
            <w:noWrap/>
          </w:tcPr>
          <w:p w14:paraId="721B0EA0" w14:textId="77777777" w:rsidR="00B71B4E" w:rsidRPr="00BD16B4" w:rsidRDefault="00B71B4E" w:rsidP="00F31129">
            <w:pPr>
              <w:pStyle w:val="TableText"/>
              <w:spacing w:before="40" w:after="40"/>
            </w:pPr>
            <w:r w:rsidRPr="00BD16B4">
              <w:t>Agriculture</w:t>
            </w:r>
          </w:p>
        </w:tc>
      </w:tr>
      <w:tr w:rsidR="00B71B4E" w:rsidRPr="00BD16B4" w14:paraId="093C51E3" w14:textId="77777777" w:rsidTr="00F31129">
        <w:tc>
          <w:tcPr>
            <w:tcW w:w="3366" w:type="dxa"/>
            <w:shd w:val="clear" w:color="auto" w:fill="auto"/>
            <w:hideMark/>
          </w:tcPr>
          <w:p w14:paraId="73A62163" w14:textId="77777777" w:rsidR="00B71B4E" w:rsidRPr="00BD16B4" w:rsidRDefault="00B71B4E" w:rsidP="00F31129">
            <w:pPr>
              <w:pStyle w:val="TableText"/>
              <w:spacing w:before="40" w:after="40"/>
            </w:pPr>
            <w:r w:rsidRPr="00BD16B4">
              <w:t>Association of Small Island States</w:t>
            </w:r>
          </w:p>
        </w:tc>
        <w:tc>
          <w:tcPr>
            <w:tcW w:w="983" w:type="dxa"/>
            <w:shd w:val="clear" w:color="auto" w:fill="auto"/>
            <w:hideMark/>
          </w:tcPr>
          <w:p w14:paraId="475BB977" w14:textId="77777777" w:rsidR="00B71B4E" w:rsidRPr="00BD16B4" w:rsidRDefault="00B71B4E" w:rsidP="00F31129">
            <w:pPr>
              <w:pStyle w:val="TableText"/>
              <w:spacing w:before="40" w:after="40"/>
              <w:jc w:val="center"/>
            </w:pPr>
            <w:r w:rsidRPr="00BD16B4">
              <w:t>0.11</w:t>
            </w:r>
          </w:p>
        </w:tc>
        <w:tc>
          <w:tcPr>
            <w:tcW w:w="1067" w:type="dxa"/>
            <w:shd w:val="clear" w:color="auto" w:fill="auto"/>
            <w:hideMark/>
          </w:tcPr>
          <w:p w14:paraId="24E6F6A7" w14:textId="77777777" w:rsidR="00B71B4E" w:rsidRPr="00BD16B4" w:rsidRDefault="00B71B4E" w:rsidP="00F31129">
            <w:pPr>
              <w:pStyle w:val="TableText"/>
              <w:spacing w:before="40" w:after="40"/>
              <w:jc w:val="center"/>
            </w:pPr>
            <w:r w:rsidRPr="00BD16B4">
              <w:t>0.07</w:t>
            </w:r>
          </w:p>
        </w:tc>
        <w:tc>
          <w:tcPr>
            <w:tcW w:w="1067" w:type="dxa"/>
            <w:shd w:val="clear" w:color="auto" w:fill="auto"/>
            <w:hideMark/>
          </w:tcPr>
          <w:p w14:paraId="4B913823" w14:textId="77777777" w:rsidR="00B71B4E" w:rsidRPr="00BD16B4" w:rsidRDefault="00B71B4E" w:rsidP="00F31129">
            <w:pPr>
              <w:pStyle w:val="TableText"/>
              <w:spacing w:before="40" w:after="40"/>
              <w:jc w:val="center"/>
            </w:pPr>
            <w:r w:rsidRPr="00BD16B4">
              <w:t>0.05</w:t>
            </w:r>
          </w:p>
        </w:tc>
        <w:tc>
          <w:tcPr>
            <w:tcW w:w="855" w:type="dxa"/>
            <w:shd w:val="clear" w:color="auto" w:fill="auto"/>
            <w:noWrap/>
            <w:hideMark/>
          </w:tcPr>
          <w:p w14:paraId="1D237DE5" w14:textId="77777777" w:rsidR="00B71B4E" w:rsidRPr="00BD16B4" w:rsidRDefault="00B71B4E" w:rsidP="00F31129">
            <w:pPr>
              <w:pStyle w:val="TableText"/>
              <w:spacing w:before="40" w:after="40"/>
              <w:jc w:val="center"/>
            </w:pPr>
            <w:r w:rsidRPr="00BD16B4">
              <w:t>0.03</w:t>
            </w:r>
          </w:p>
        </w:tc>
        <w:tc>
          <w:tcPr>
            <w:tcW w:w="979" w:type="dxa"/>
            <w:gridSpan w:val="2"/>
            <w:shd w:val="clear" w:color="auto" w:fill="auto"/>
            <w:noWrap/>
            <w:hideMark/>
          </w:tcPr>
          <w:p w14:paraId="75A1723C" w14:textId="77777777" w:rsidR="00B71B4E" w:rsidRPr="00BD16B4" w:rsidRDefault="00B71B4E" w:rsidP="00F31129">
            <w:pPr>
              <w:pStyle w:val="TableText"/>
              <w:spacing w:before="40" w:after="40"/>
            </w:pPr>
            <w:r w:rsidRPr="00BD16B4">
              <w:t>Disbursed</w:t>
            </w:r>
          </w:p>
        </w:tc>
        <w:tc>
          <w:tcPr>
            <w:tcW w:w="1017" w:type="dxa"/>
            <w:shd w:val="clear" w:color="auto" w:fill="auto"/>
            <w:noWrap/>
            <w:hideMark/>
          </w:tcPr>
          <w:p w14:paraId="4DA862E7" w14:textId="77777777" w:rsidR="00B71B4E" w:rsidRPr="00BD16B4" w:rsidRDefault="00B71B4E" w:rsidP="00F31129">
            <w:pPr>
              <w:pStyle w:val="TableText"/>
              <w:spacing w:before="40" w:after="40"/>
            </w:pPr>
            <w:r w:rsidRPr="00BD16B4">
              <w:t>ODA</w:t>
            </w:r>
          </w:p>
        </w:tc>
        <w:tc>
          <w:tcPr>
            <w:tcW w:w="1298" w:type="dxa"/>
            <w:shd w:val="clear" w:color="auto" w:fill="auto"/>
            <w:noWrap/>
            <w:hideMark/>
          </w:tcPr>
          <w:p w14:paraId="4FE7228A" w14:textId="77777777" w:rsidR="00B71B4E" w:rsidRPr="00BD16B4" w:rsidRDefault="00B71B4E" w:rsidP="00F31129">
            <w:pPr>
              <w:pStyle w:val="TableText"/>
              <w:spacing w:before="40" w:after="40"/>
            </w:pPr>
            <w:r w:rsidRPr="00BD16B4">
              <w:t>Grant</w:t>
            </w:r>
          </w:p>
        </w:tc>
        <w:tc>
          <w:tcPr>
            <w:tcW w:w="1417" w:type="dxa"/>
            <w:shd w:val="clear" w:color="auto" w:fill="auto"/>
            <w:noWrap/>
            <w:hideMark/>
          </w:tcPr>
          <w:p w14:paraId="7124F42D" w14:textId="77777777" w:rsidR="00B71B4E" w:rsidRPr="00BD16B4" w:rsidRDefault="00B71B4E" w:rsidP="00F31129">
            <w:pPr>
              <w:pStyle w:val="TableText"/>
              <w:spacing w:before="40" w:after="40"/>
            </w:pPr>
            <w:r w:rsidRPr="00BD16B4">
              <w:t>Cross-cutting</w:t>
            </w:r>
          </w:p>
        </w:tc>
        <w:tc>
          <w:tcPr>
            <w:tcW w:w="2466" w:type="dxa"/>
            <w:shd w:val="clear" w:color="auto" w:fill="auto"/>
            <w:noWrap/>
            <w:hideMark/>
          </w:tcPr>
          <w:p w14:paraId="31B85FB4" w14:textId="77777777" w:rsidR="00B71B4E" w:rsidRPr="00BD16B4" w:rsidRDefault="00B71B4E" w:rsidP="00F31129">
            <w:pPr>
              <w:pStyle w:val="TableText"/>
              <w:spacing w:before="40" w:after="40"/>
            </w:pPr>
            <w:r w:rsidRPr="00BD16B4">
              <w:t>Multi-sector</w:t>
            </w:r>
          </w:p>
        </w:tc>
      </w:tr>
      <w:tr w:rsidR="00B71B4E" w:rsidRPr="00BD16B4" w14:paraId="77090E79" w14:textId="77777777" w:rsidTr="00F31129">
        <w:tc>
          <w:tcPr>
            <w:tcW w:w="3366" w:type="dxa"/>
            <w:shd w:val="clear" w:color="auto" w:fill="auto"/>
          </w:tcPr>
          <w:p w14:paraId="6A1E2E9B" w14:textId="77777777" w:rsidR="00B71B4E" w:rsidRPr="00BD16B4" w:rsidRDefault="00B71B4E" w:rsidP="00F31129">
            <w:pPr>
              <w:pStyle w:val="TableText"/>
              <w:spacing w:before="40" w:after="40"/>
            </w:pPr>
            <w:r w:rsidRPr="00BD16B4">
              <w:t>Commonwealth Small States Office</w:t>
            </w:r>
          </w:p>
        </w:tc>
        <w:tc>
          <w:tcPr>
            <w:tcW w:w="983" w:type="dxa"/>
            <w:shd w:val="clear" w:color="auto" w:fill="auto"/>
          </w:tcPr>
          <w:p w14:paraId="22EED28B" w14:textId="77777777" w:rsidR="00B71B4E" w:rsidRPr="00BD16B4" w:rsidRDefault="00B71B4E" w:rsidP="00F31129">
            <w:pPr>
              <w:pStyle w:val="TableText"/>
              <w:spacing w:before="40" w:after="40"/>
              <w:jc w:val="center"/>
            </w:pPr>
            <w:r w:rsidRPr="00BD16B4">
              <w:t>0.53</w:t>
            </w:r>
          </w:p>
        </w:tc>
        <w:tc>
          <w:tcPr>
            <w:tcW w:w="1067" w:type="dxa"/>
            <w:shd w:val="clear" w:color="auto" w:fill="auto"/>
          </w:tcPr>
          <w:p w14:paraId="3F0FD6FE" w14:textId="77777777" w:rsidR="00B71B4E" w:rsidRPr="00BD16B4" w:rsidRDefault="00B71B4E" w:rsidP="00F31129">
            <w:pPr>
              <w:pStyle w:val="TableText"/>
              <w:spacing w:before="40" w:after="40"/>
              <w:jc w:val="center"/>
            </w:pPr>
            <w:r w:rsidRPr="00BD16B4">
              <w:t>0.34</w:t>
            </w:r>
          </w:p>
        </w:tc>
        <w:tc>
          <w:tcPr>
            <w:tcW w:w="1067" w:type="dxa"/>
            <w:shd w:val="clear" w:color="auto" w:fill="auto"/>
          </w:tcPr>
          <w:p w14:paraId="5DB7A676" w14:textId="77777777" w:rsidR="00B71B4E" w:rsidRPr="00BD16B4" w:rsidRDefault="00B71B4E" w:rsidP="00F31129">
            <w:pPr>
              <w:pStyle w:val="TableText"/>
              <w:spacing w:before="40" w:after="40"/>
              <w:jc w:val="center"/>
            </w:pPr>
            <w:r w:rsidRPr="00BD16B4">
              <w:t>0.23</w:t>
            </w:r>
          </w:p>
        </w:tc>
        <w:tc>
          <w:tcPr>
            <w:tcW w:w="855" w:type="dxa"/>
            <w:shd w:val="clear" w:color="auto" w:fill="auto"/>
            <w:noWrap/>
          </w:tcPr>
          <w:p w14:paraId="6979F50D" w14:textId="77777777" w:rsidR="00B71B4E" w:rsidRPr="00BD16B4" w:rsidRDefault="00B71B4E" w:rsidP="00F31129">
            <w:pPr>
              <w:pStyle w:val="TableText"/>
              <w:spacing w:before="40" w:after="40"/>
              <w:jc w:val="center"/>
            </w:pPr>
            <w:r w:rsidRPr="00BD16B4">
              <w:t>0.15</w:t>
            </w:r>
          </w:p>
        </w:tc>
        <w:tc>
          <w:tcPr>
            <w:tcW w:w="979" w:type="dxa"/>
            <w:gridSpan w:val="2"/>
            <w:shd w:val="clear" w:color="auto" w:fill="auto"/>
            <w:noWrap/>
          </w:tcPr>
          <w:p w14:paraId="06BADB0D" w14:textId="77777777" w:rsidR="00B71B4E" w:rsidRPr="00BD16B4" w:rsidRDefault="00B71B4E" w:rsidP="00F31129">
            <w:pPr>
              <w:pStyle w:val="TableText"/>
              <w:spacing w:before="40" w:after="40"/>
            </w:pPr>
            <w:r w:rsidRPr="00BD16B4">
              <w:t>Disbursed</w:t>
            </w:r>
          </w:p>
        </w:tc>
        <w:tc>
          <w:tcPr>
            <w:tcW w:w="1017" w:type="dxa"/>
            <w:shd w:val="clear" w:color="auto" w:fill="auto"/>
            <w:noWrap/>
          </w:tcPr>
          <w:p w14:paraId="497247B5" w14:textId="77777777" w:rsidR="00B71B4E" w:rsidRPr="00BD16B4" w:rsidRDefault="00B71B4E" w:rsidP="00F31129">
            <w:pPr>
              <w:pStyle w:val="TableText"/>
              <w:spacing w:before="40" w:after="40"/>
            </w:pPr>
            <w:r w:rsidRPr="00BD16B4">
              <w:t>ODA</w:t>
            </w:r>
          </w:p>
        </w:tc>
        <w:tc>
          <w:tcPr>
            <w:tcW w:w="1298" w:type="dxa"/>
            <w:shd w:val="clear" w:color="auto" w:fill="auto"/>
            <w:noWrap/>
          </w:tcPr>
          <w:p w14:paraId="4035B742" w14:textId="77777777" w:rsidR="00B71B4E" w:rsidRPr="00BD16B4" w:rsidRDefault="00B71B4E" w:rsidP="00F31129">
            <w:pPr>
              <w:pStyle w:val="TableText"/>
              <w:spacing w:before="40" w:after="40"/>
            </w:pPr>
            <w:r w:rsidRPr="00BD16B4">
              <w:t>Grant</w:t>
            </w:r>
          </w:p>
        </w:tc>
        <w:tc>
          <w:tcPr>
            <w:tcW w:w="1417" w:type="dxa"/>
            <w:shd w:val="clear" w:color="auto" w:fill="auto"/>
            <w:noWrap/>
          </w:tcPr>
          <w:p w14:paraId="67C423E9" w14:textId="77777777" w:rsidR="00B71B4E" w:rsidRPr="00BD16B4" w:rsidRDefault="00B71B4E" w:rsidP="00F31129">
            <w:pPr>
              <w:pStyle w:val="TableText"/>
              <w:spacing w:before="40" w:after="40"/>
            </w:pPr>
            <w:r w:rsidRPr="00BD16B4">
              <w:t>Cross-cutting</w:t>
            </w:r>
          </w:p>
        </w:tc>
        <w:tc>
          <w:tcPr>
            <w:tcW w:w="2466" w:type="dxa"/>
            <w:shd w:val="clear" w:color="auto" w:fill="auto"/>
            <w:noWrap/>
          </w:tcPr>
          <w:p w14:paraId="6AA27FAD" w14:textId="77777777" w:rsidR="00B71B4E" w:rsidRPr="00BD16B4" w:rsidRDefault="00B71B4E" w:rsidP="00F31129">
            <w:pPr>
              <w:pStyle w:val="TableText"/>
              <w:spacing w:before="40" w:after="40"/>
            </w:pPr>
            <w:r w:rsidRPr="00BD16B4">
              <w:t>Multi-sector</w:t>
            </w:r>
          </w:p>
        </w:tc>
      </w:tr>
      <w:tr w:rsidR="00B71B4E" w:rsidRPr="00BD16B4" w14:paraId="244F1C11" w14:textId="77777777" w:rsidTr="00F31129">
        <w:tc>
          <w:tcPr>
            <w:tcW w:w="3366" w:type="dxa"/>
            <w:shd w:val="clear" w:color="auto" w:fill="auto"/>
            <w:hideMark/>
          </w:tcPr>
          <w:p w14:paraId="317D371D" w14:textId="77777777" w:rsidR="00B71B4E" w:rsidRPr="00BD16B4" w:rsidRDefault="00B71B4E" w:rsidP="00F31129">
            <w:pPr>
              <w:pStyle w:val="TableText"/>
              <w:spacing w:before="40" w:after="40"/>
            </w:pPr>
            <w:r w:rsidRPr="00BD16B4">
              <w:t>Commonwealth Fund for Technical Cooperation</w:t>
            </w:r>
          </w:p>
        </w:tc>
        <w:tc>
          <w:tcPr>
            <w:tcW w:w="983" w:type="dxa"/>
            <w:shd w:val="clear" w:color="auto" w:fill="auto"/>
            <w:hideMark/>
          </w:tcPr>
          <w:p w14:paraId="2BB81074" w14:textId="77777777" w:rsidR="00B71B4E" w:rsidRPr="00BD16B4" w:rsidRDefault="00B71B4E" w:rsidP="00F31129">
            <w:pPr>
              <w:pStyle w:val="TableText"/>
              <w:spacing w:before="40" w:after="40"/>
              <w:jc w:val="center"/>
            </w:pPr>
            <w:r w:rsidRPr="00BD16B4">
              <w:t>2.10</w:t>
            </w:r>
          </w:p>
        </w:tc>
        <w:tc>
          <w:tcPr>
            <w:tcW w:w="1067" w:type="dxa"/>
            <w:shd w:val="clear" w:color="auto" w:fill="auto"/>
            <w:hideMark/>
          </w:tcPr>
          <w:p w14:paraId="4F5BFF77" w14:textId="77777777" w:rsidR="00B71B4E" w:rsidRPr="00BD16B4" w:rsidRDefault="00B71B4E" w:rsidP="00F31129">
            <w:pPr>
              <w:pStyle w:val="TableText"/>
              <w:spacing w:before="40" w:after="40"/>
              <w:jc w:val="center"/>
            </w:pPr>
            <w:r w:rsidRPr="00BD16B4">
              <w:t>1.36</w:t>
            </w:r>
          </w:p>
        </w:tc>
        <w:tc>
          <w:tcPr>
            <w:tcW w:w="1067" w:type="dxa"/>
            <w:shd w:val="clear" w:color="auto" w:fill="auto"/>
            <w:hideMark/>
          </w:tcPr>
          <w:p w14:paraId="17646375" w14:textId="77777777" w:rsidR="00B71B4E" w:rsidRPr="00BD16B4" w:rsidRDefault="00B71B4E" w:rsidP="00F31129">
            <w:pPr>
              <w:pStyle w:val="TableText"/>
              <w:spacing w:before="40" w:after="40"/>
              <w:jc w:val="center"/>
            </w:pPr>
            <w:r w:rsidRPr="00BD16B4">
              <w:t>0.90</w:t>
            </w:r>
          </w:p>
        </w:tc>
        <w:tc>
          <w:tcPr>
            <w:tcW w:w="855" w:type="dxa"/>
            <w:shd w:val="clear" w:color="auto" w:fill="auto"/>
            <w:noWrap/>
            <w:hideMark/>
          </w:tcPr>
          <w:p w14:paraId="01483036" w14:textId="77777777" w:rsidR="00B71B4E" w:rsidRPr="00BD16B4" w:rsidRDefault="00B71B4E" w:rsidP="00F31129">
            <w:pPr>
              <w:pStyle w:val="TableText"/>
              <w:spacing w:before="40" w:after="40"/>
              <w:jc w:val="center"/>
            </w:pPr>
            <w:r w:rsidRPr="00BD16B4">
              <w:t>0.58</w:t>
            </w:r>
          </w:p>
        </w:tc>
        <w:tc>
          <w:tcPr>
            <w:tcW w:w="979" w:type="dxa"/>
            <w:gridSpan w:val="2"/>
            <w:shd w:val="clear" w:color="auto" w:fill="auto"/>
            <w:noWrap/>
            <w:hideMark/>
          </w:tcPr>
          <w:p w14:paraId="496E3DA4" w14:textId="77777777" w:rsidR="00B71B4E" w:rsidRPr="00BD16B4" w:rsidRDefault="00B71B4E" w:rsidP="00F31129">
            <w:pPr>
              <w:pStyle w:val="TableText"/>
              <w:spacing w:before="40" w:after="40"/>
            </w:pPr>
            <w:r w:rsidRPr="00BD16B4">
              <w:t>Disbursed</w:t>
            </w:r>
          </w:p>
        </w:tc>
        <w:tc>
          <w:tcPr>
            <w:tcW w:w="1017" w:type="dxa"/>
            <w:shd w:val="clear" w:color="auto" w:fill="auto"/>
            <w:noWrap/>
            <w:hideMark/>
          </w:tcPr>
          <w:p w14:paraId="253F94FF" w14:textId="77777777" w:rsidR="00B71B4E" w:rsidRPr="00BD16B4" w:rsidRDefault="00B71B4E" w:rsidP="00F31129">
            <w:pPr>
              <w:pStyle w:val="TableText"/>
              <w:spacing w:before="40" w:after="40"/>
            </w:pPr>
            <w:r w:rsidRPr="00BD16B4">
              <w:t>ODA</w:t>
            </w:r>
          </w:p>
        </w:tc>
        <w:tc>
          <w:tcPr>
            <w:tcW w:w="1298" w:type="dxa"/>
            <w:shd w:val="clear" w:color="auto" w:fill="auto"/>
            <w:noWrap/>
            <w:hideMark/>
          </w:tcPr>
          <w:p w14:paraId="1343C678" w14:textId="77777777" w:rsidR="00B71B4E" w:rsidRPr="00BD16B4" w:rsidRDefault="00B71B4E" w:rsidP="00F31129">
            <w:pPr>
              <w:pStyle w:val="TableText"/>
              <w:spacing w:before="40" w:after="40"/>
            </w:pPr>
            <w:r w:rsidRPr="00BD16B4">
              <w:t>Grant</w:t>
            </w:r>
          </w:p>
        </w:tc>
        <w:tc>
          <w:tcPr>
            <w:tcW w:w="1417" w:type="dxa"/>
            <w:shd w:val="clear" w:color="auto" w:fill="auto"/>
            <w:noWrap/>
            <w:hideMark/>
          </w:tcPr>
          <w:p w14:paraId="2A21962E" w14:textId="77777777" w:rsidR="00B71B4E" w:rsidRPr="00BD16B4" w:rsidRDefault="00B71B4E" w:rsidP="00F31129">
            <w:pPr>
              <w:pStyle w:val="TableText"/>
              <w:spacing w:before="40" w:after="40"/>
            </w:pPr>
            <w:r w:rsidRPr="00BD16B4">
              <w:t>Cross-cutting</w:t>
            </w:r>
          </w:p>
        </w:tc>
        <w:tc>
          <w:tcPr>
            <w:tcW w:w="2466" w:type="dxa"/>
            <w:shd w:val="clear" w:color="auto" w:fill="auto"/>
            <w:noWrap/>
            <w:hideMark/>
          </w:tcPr>
          <w:p w14:paraId="658B191B" w14:textId="77777777" w:rsidR="00B71B4E" w:rsidRPr="00BD16B4" w:rsidRDefault="00B71B4E" w:rsidP="00F31129">
            <w:pPr>
              <w:pStyle w:val="TableText"/>
              <w:spacing w:before="40" w:after="40"/>
            </w:pPr>
            <w:r w:rsidRPr="00BD16B4">
              <w:t>Multi-sector</w:t>
            </w:r>
          </w:p>
        </w:tc>
      </w:tr>
      <w:tr w:rsidR="00B71B4E" w:rsidRPr="00BD16B4" w14:paraId="61442AEB" w14:textId="77777777" w:rsidTr="00F31129">
        <w:tc>
          <w:tcPr>
            <w:tcW w:w="3366" w:type="dxa"/>
            <w:tcBorders>
              <w:bottom w:val="single" w:sz="4" w:space="0" w:color="1B556B" w:themeColor="text2"/>
            </w:tcBorders>
            <w:shd w:val="clear" w:color="auto" w:fill="auto"/>
            <w:hideMark/>
          </w:tcPr>
          <w:p w14:paraId="09F48A4D" w14:textId="77777777" w:rsidR="00B71B4E" w:rsidRPr="00BD16B4" w:rsidRDefault="00B71B4E" w:rsidP="00F31129">
            <w:pPr>
              <w:pStyle w:val="TableTextBold0"/>
              <w:spacing w:before="40" w:after="40"/>
            </w:pPr>
            <w:r w:rsidRPr="00BD16B4">
              <w:t xml:space="preserve">Subtotal </w:t>
            </w:r>
          </w:p>
        </w:tc>
        <w:tc>
          <w:tcPr>
            <w:tcW w:w="983" w:type="dxa"/>
            <w:tcBorders>
              <w:bottom w:val="single" w:sz="4" w:space="0" w:color="1B556B" w:themeColor="text2"/>
            </w:tcBorders>
            <w:shd w:val="clear" w:color="auto" w:fill="auto"/>
            <w:hideMark/>
          </w:tcPr>
          <w:p w14:paraId="056A6273" w14:textId="77777777" w:rsidR="00B71B4E" w:rsidRPr="00BD16B4" w:rsidRDefault="00B71B4E" w:rsidP="00F31129">
            <w:pPr>
              <w:pStyle w:val="TableTextBold0"/>
              <w:spacing w:before="40" w:after="40"/>
              <w:jc w:val="center"/>
            </w:pPr>
            <w:r w:rsidRPr="00BD16B4">
              <w:t>2.74</w:t>
            </w:r>
          </w:p>
        </w:tc>
        <w:tc>
          <w:tcPr>
            <w:tcW w:w="1067" w:type="dxa"/>
            <w:tcBorders>
              <w:bottom w:val="single" w:sz="4" w:space="0" w:color="1B556B" w:themeColor="text2"/>
            </w:tcBorders>
            <w:shd w:val="clear" w:color="auto" w:fill="auto"/>
            <w:hideMark/>
          </w:tcPr>
          <w:p w14:paraId="5D4F8B46" w14:textId="77777777" w:rsidR="00B71B4E" w:rsidRPr="00BD16B4" w:rsidRDefault="00B71B4E" w:rsidP="00F31129">
            <w:pPr>
              <w:pStyle w:val="TableTextBold0"/>
              <w:spacing w:before="40" w:after="40"/>
              <w:jc w:val="center"/>
            </w:pPr>
            <w:r w:rsidRPr="00BD16B4">
              <w:t>1.77</w:t>
            </w:r>
          </w:p>
        </w:tc>
        <w:tc>
          <w:tcPr>
            <w:tcW w:w="1067" w:type="dxa"/>
            <w:tcBorders>
              <w:bottom w:val="single" w:sz="4" w:space="0" w:color="1B556B" w:themeColor="text2"/>
            </w:tcBorders>
            <w:shd w:val="clear" w:color="auto" w:fill="auto"/>
            <w:hideMark/>
          </w:tcPr>
          <w:p w14:paraId="4F9EF0CB" w14:textId="77777777" w:rsidR="00B71B4E" w:rsidRPr="00BD16B4" w:rsidRDefault="00B71B4E" w:rsidP="00F31129">
            <w:pPr>
              <w:pStyle w:val="TableTextBold0"/>
              <w:spacing w:before="40" w:after="40"/>
              <w:jc w:val="center"/>
            </w:pPr>
            <w:r w:rsidRPr="00BD16B4">
              <w:t>5.68</w:t>
            </w:r>
          </w:p>
        </w:tc>
        <w:tc>
          <w:tcPr>
            <w:tcW w:w="855" w:type="dxa"/>
            <w:tcBorders>
              <w:bottom w:val="single" w:sz="4" w:space="0" w:color="1B556B" w:themeColor="text2"/>
            </w:tcBorders>
            <w:shd w:val="clear" w:color="auto" w:fill="auto"/>
            <w:noWrap/>
            <w:hideMark/>
          </w:tcPr>
          <w:p w14:paraId="1F8878F6" w14:textId="77777777" w:rsidR="00B71B4E" w:rsidRPr="00BD16B4" w:rsidRDefault="00B71B4E" w:rsidP="00F31129">
            <w:pPr>
              <w:pStyle w:val="TableTextBold0"/>
              <w:spacing w:before="40" w:after="40"/>
              <w:jc w:val="center"/>
            </w:pPr>
            <w:r w:rsidRPr="00BD16B4">
              <w:t>3.68</w:t>
            </w:r>
          </w:p>
        </w:tc>
        <w:tc>
          <w:tcPr>
            <w:tcW w:w="979" w:type="dxa"/>
            <w:gridSpan w:val="2"/>
            <w:shd w:val="clear" w:color="auto" w:fill="auto"/>
            <w:noWrap/>
            <w:hideMark/>
          </w:tcPr>
          <w:p w14:paraId="51952758"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1017" w:type="dxa"/>
            <w:shd w:val="clear" w:color="auto" w:fill="auto"/>
            <w:noWrap/>
            <w:hideMark/>
          </w:tcPr>
          <w:p w14:paraId="62133ABA"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1298" w:type="dxa"/>
            <w:shd w:val="clear" w:color="auto" w:fill="auto"/>
            <w:noWrap/>
            <w:hideMark/>
          </w:tcPr>
          <w:p w14:paraId="16C0D0A8"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1417" w:type="dxa"/>
            <w:shd w:val="clear" w:color="auto" w:fill="auto"/>
            <w:noWrap/>
            <w:hideMark/>
          </w:tcPr>
          <w:p w14:paraId="7E1183C3"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2466" w:type="dxa"/>
            <w:shd w:val="clear" w:color="auto" w:fill="auto"/>
            <w:noWrap/>
            <w:hideMark/>
          </w:tcPr>
          <w:p w14:paraId="00F8BBAA"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r>
      <w:tr w:rsidR="00B71B4E" w:rsidRPr="00BD16B4" w14:paraId="6C6012F1" w14:textId="77777777" w:rsidTr="00F31129">
        <w:tc>
          <w:tcPr>
            <w:tcW w:w="3366" w:type="dxa"/>
            <w:shd w:val="clear" w:color="000000" w:fill="D2DDE1" w:themeFill="background2"/>
            <w:hideMark/>
          </w:tcPr>
          <w:p w14:paraId="0F2F6220" w14:textId="77777777" w:rsidR="00B71B4E" w:rsidRPr="00BD16B4" w:rsidRDefault="00B71B4E" w:rsidP="00F31129">
            <w:pPr>
              <w:pStyle w:val="TableTextBold0"/>
              <w:spacing w:before="40" w:after="40"/>
            </w:pPr>
            <w:r w:rsidRPr="00BD16B4">
              <w:t>TOTAL</w:t>
            </w:r>
          </w:p>
        </w:tc>
        <w:tc>
          <w:tcPr>
            <w:tcW w:w="983" w:type="dxa"/>
            <w:shd w:val="clear" w:color="000000" w:fill="D2DDE1" w:themeFill="background2"/>
            <w:hideMark/>
          </w:tcPr>
          <w:p w14:paraId="27D42205" w14:textId="77777777" w:rsidR="00B71B4E" w:rsidRPr="00BD16B4" w:rsidRDefault="00B71B4E" w:rsidP="00F31129">
            <w:pPr>
              <w:pStyle w:val="TableTextBold0"/>
              <w:spacing w:before="40" w:after="40"/>
              <w:jc w:val="center"/>
            </w:pPr>
            <w:r w:rsidRPr="00BD16B4">
              <w:t>38.01</w:t>
            </w:r>
          </w:p>
        </w:tc>
        <w:tc>
          <w:tcPr>
            <w:tcW w:w="1067" w:type="dxa"/>
            <w:shd w:val="clear" w:color="000000" w:fill="D2DDE1" w:themeFill="background2"/>
            <w:hideMark/>
          </w:tcPr>
          <w:p w14:paraId="1029DCBB" w14:textId="77777777" w:rsidR="00B71B4E" w:rsidRPr="00BD16B4" w:rsidRDefault="00B71B4E" w:rsidP="00F31129">
            <w:pPr>
              <w:pStyle w:val="TableTextBold0"/>
              <w:spacing w:before="40" w:after="40"/>
              <w:jc w:val="center"/>
            </w:pPr>
            <w:r w:rsidRPr="00BD16B4">
              <w:t>24.66</w:t>
            </w:r>
          </w:p>
        </w:tc>
        <w:tc>
          <w:tcPr>
            <w:tcW w:w="1067" w:type="dxa"/>
            <w:shd w:val="clear" w:color="000000" w:fill="D2DDE1" w:themeFill="background2"/>
            <w:hideMark/>
          </w:tcPr>
          <w:p w14:paraId="3105AD47" w14:textId="77777777" w:rsidR="00B71B4E" w:rsidRPr="00BD16B4" w:rsidRDefault="00B71B4E" w:rsidP="00F31129">
            <w:pPr>
              <w:pStyle w:val="TableTextBold0"/>
              <w:spacing w:before="40" w:after="40"/>
              <w:jc w:val="center"/>
            </w:pPr>
            <w:r w:rsidRPr="00BD16B4">
              <w:t>23.85</w:t>
            </w:r>
          </w:p>
        </w:tc>
        <w:tc>
          <w:tcPr>
            <w:tcW w:w="855" w:type="dxa"/>
            <w:shd w:val="clear" w:color="000000" w:fill="D2DDE1" w:themeFill="background2"/>
            <w:hideMark/>
          </w:tcPr>
          <w:p w14:paraId="41D5513D" w14:textId="77777777" w:rsidR="00B71B4E" w:rsidRPr="00BD16B4" w:rsidRDefault="00B71B4E" w:rsidP="00F31129">
            <w:pPr>
              <w:pStyle w:val="TableTextBold0"/>
              <w:spacing w:before="40" w:after="40"/>
              <w:jc w:val="center"/>
            </w:pPr>
            <w:r w:rsidRPr="00BD16B4">
              <w:t>15.47</w:t>
            </w:r>
          </w:p>
        </w:tc>
        <w:tc>
          <w:tcPr>
            <w:tcW w:w="979" w:type="dxa"/>
            <w:gridSpan w:val="2"/>
            <w:shd w:val="clear" w:color="auto" w:fill="auto"/>
            <w:noWrap/>
            <w:hideMark/>
          </w:tcPr>
          <w:p w14:paraId="2F9A5FD6" w14:textId="77777777" w:rsidR="00B71B4E" w:rsidRPr="00BD16B4" w:rsidRDefault="00B71B4E" w:rsidP="00F31129">
            <w:pPr>
              <w:pStyle w:val="TableTextBold0"/>
              <w:spacing w:before="40" w:after="40"/>
              <w:rPr>
                <w:rFonts w:ascii="Arial" w:hAnsi="Arial" w:cs="Arial"/>
              </w:rPr>
            </w:pPr>
            <w:r w:rsidRPr="00BD16B4">
              <w:rPr>
                <w:rFonts w:ascii="Arial" w:hAnsi="Arial" w:cs="Arial"/>
              </w:rPr>
              <w:t> </w:t>
            </w:r>
          </w:p>
        </w:tc>
        <w:tc>
          <w:tcPr>
            <w:tcW w:w="1017" w:type="dxa"/>
            <w:shd w:val="clear" w:color="auto" w:fill="auto"/>
            <w:noWrap/>
            <w:hideMark/>
          </w:tcPr>
          <w:p w14:paraId="505B63F1" w14:textId="77777777" w:rsidR="00B71B4E" w:rsidRPr="00BD16B4" w:rsidRDefault="00B71B4E" w:rsidP="00F31129">
            <w:pPr>
              <w:pStyle w:val="TableTextBold0"/>
              <w:spacing w:before="40" w:after="40"/>
              <w:rPr>
                <w:rFonts w:ascii="Arial" w:hAnsi="Arial" w:cs="Arial"/>
              </w:rPr>
            </w:pPr>
          </w:p>
        </w:tc>
        <w:tc>
          <w:tcPr>
            <w:tcW w:w="1298" w:type="dxa"/>
            <w:shd w:val="clear" w:color="auto" w:fill="auto"/>
            <w:noWrap/>
            <w:hideMark/>
          </w:tcPr>
          <w:p w14:paraId="5D15EE2A" w14:textId="77777777" w:rsidR="00B71B4E" w:rsidRPr="00BD16B4" w:rsidRDefault="00B71B4E" w:rsidP="00F31129">
            <w:pPr>
              <w:pStyle w:val="TableTextBold0"/>
              <w:spacing w:before="40" w:after="40"/>
              <w:rPr>
                <w:rFonts w:ascii="Times New Roman" w:hAnsi="Times New Roman"/>
              </w:rPr>
            </w:pPr>
          </w:p>
        </w:tc>
        <w:tc>
          <w:tcPr>
            <w:tcW w:w="1417" w:type="dxa"/>
            <w:shd w:val="clear" w:color="auto" w:fill="auto"/>
            <w:noWrap/>
            <w:hideMark/>
          </w:tcPr>
          <w:p w14:paraId="2D5EA464" w14:textId="77777777" w:rsidR="00B71B4E" w:rsidRPr="00BD16B4" w:rsidRDefault="00B71B4E" w:rsidP="00F31129">
            <w:pPr>
              <w:pStyle w:val="TableTextBold0"/>
              <w:spacing w:before="40" w:after="40"/>
              <w:rPr>
                <w:rFonts w:ascii="Times New Roman" w:hAnsi="Times New Roman"/>
              </w:rPr>
            </w:pPr>
          </w:p>
        </w:tc>
        <w:tc>
          <w:tcPr>
            <w:tcW w:w="2466" w:type="dxa"/>
            <w:shd w:val="clear" w:color="auto" w:fill="auto"/>
            <w:noWrap/>
            <w:hideMark/>
          </w:tcPr>
          <w:p w14:paraId="22D54FB8" w14:textId="77777777" w:rsidR="00B71B4E" w:rsidRPr="00BD16B4" w:rsidRDefault="00B71B4E" w:rsidP="00F31129">
            <w:pPr>
              <w:pStyle w:val="TableTextBold0"/>
              <w:spacing w:before="40" w:after="40"/>
              <w:rPr>
                <w:rFonts w:ascii="Times New Roman" w:hAnsi="Times New Roman"/>
              </w:rPr>
            </w:pPr>
          </w:p>
        </w:tc>
      </w:tr>
    </w:tbl>
    <w:p w14:paraId="3CC3A43B" w14:textId="77777777" w:rsidR="00B71B4E" w:rsidRPr="00BD16B4" w:rsidRDefault="00B71B4E" w:rsidP="00120409">
      <w:pPr>
        <w:pStyle w:val="Note"/>
      </w:pPr>
      <w:r w:rsidRPr="00BD16B4">
        <w:rPr>
          <w:b/>
          <w:bCs/>
        </w:rPr>
        <w:t xml:space="preserve">Note: </w:t>
      </w:r>
      <w:r w:rsidRPr="00BD16B4">
        <w:t>* OECD’s imputed shares for 2020 have been applied for those organisations on the OECD list (Asian Development Bank, Global Environment Facility, International Fund for Agricultural Development and World Bank). For those multilateral organisations not on the OECD list or where imputed shares are not available, New Zealand has applied its standard weighting of 30% (Rio Marker 1) and 100% (Rio Marker 2). CGIAR = Consultative Group for International Agricultural Research;</w:t>
      </w:r>
      <w:r w:rsidRPr="00BD16B4">
        <w:rPr>
          <w:sz w:val="10"/>
          <w:szCs w:val="10"/>
        </w:rPr>
        <w:t xml:space="preserve"> </w:t>
      </w:r>
      <w:r w:rsidRPr="00BD16B4">
        <w:t>ODA = Official Development Assistance.</w:t>
      </w:r>
    </w:p>
    <w:p w14:paraId="38804EDD" w14:textId="77777777" w:rsidR="00B71B4E" w:rsidRPr="00BD16B4" w:rsidRDefault="00B71B4E" w:rsidP="00B83EF6">
      <w:pPr>
        <w:pStyle w:val="BodyText"/>
        <w:rPr>
          <w:highlight w:val="yellow"/>
        </w:rPr>
      </w:pPr>
      <w:r w:rsidRPr="00BD16B4">
        <w:rPr>
          <w:highlight w:val="yellow"/>
        </w:rPr>
        <w:br w:type="page"/>
      </w:r>
    </w:p>
    <w:p w14:paraId="2D5E4F8D" w14:textId="23CC0193" w:rsidR="00B71B4E" w:rsidRPr="00BD16B4" w:rsidRDefault="00B71B4E" w:rsidP="00BB7302">
      <w:pPr>
        <w:pStyle w:val="Tableheading"/>
      </w:pPr>
      <w:bookmarkStart w:id="368" w:name="_Toc497749152"/>
      <w:bookmarkStart w:id="369" w:name="_Toc500767047"/>
      <w:bookmarkStart w:id="370" w:name="_Toc121773826"/>
      <w:r w:rsidRPr="00BD16B4">
        <w:lastRenderedPageBreak/>
        <w:t>Table 7.</w:t>
      </w:r>
      <w:r w:rsidR="00FE3A4D" w:rsidRPr="00BD16B4">
        <w:t>5</w:t>
      </w:r>
      <w:r w:rsidRPr="00BD16B4">
        <w:t>:</w:t>
      </w:r>
      <w:r w:rsidRPr="00BD16B4">
        <w:tab/>
        <w:t>Provision of public financial support – contributions through bilateral, regional and other channels, 201</w:t>
      </w:r>
      <w:bookmarkEnd w:id="368"/>
      <w:bookmarkEnd w:id="369"/>
      <w:r w:rsidRPr="00BD16B4">
        <w:t>9 and 2020 (CTF Table 7b)</w:t>
      </w:r>
      <w:bookmarkEnd w:id="370"/>
    </w:p>
    <w:p w14:paraId="161E90D8" w14:textId="77777777" w:rsidR="00B71B4E" w:rsidRPr="00BD16B4" w:rsidRDefault="00B71B4E" w:rsidP="00BB7302">
      <w:pPr>
        <w:pStyle w:val="CTFTableheading"/>
      </w:pPr>
      <w:r w:rsidRPr="00BD16B4">
        <w:t>Table 7.5a: Provision of public financial support – contributions through bilateral, regional and other channels, 2019</w:t>
      </w:r>
    </w:p>
    <w:tbl>
      <w:tblPr>
        <w:tblW w:w="14459" w:type="dxa"/>
        <w:tblInd w:w="108"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5387"/>
        <w:gridCol w:w="1276"/>
        <w:gridCol w:w="1345"/>
        <w:gridCol w:w="1015"/>
        <w:gridCol w:w="827"/>
        <w:gridCol w:w="1064"/>
        <w:gridCol w:w="1210"/>
        <w:gridCol w:w="2335"/>
      </w:tblGrid>
      <w:tr w:rsidR="00B71B4E" w:rsidRPr="00BD16B4" w14:paraId="2EED0852" w14:textId="77777777" w:rsidTr="00F31129">
        <w:trPr>
          <w:tblHeader/>
        </w:trPr>
        <w:tc>
          <w:tcPr>
            <w:tcW w:w="5387" w:type="dxa"/>
            <w:shd w:val="clear" w:color="000000" w:fill="1B556B" w:themeFill="text2"/>
            <w:vAlign w:val="bottom"/>
            <w:hideMark/>
          </w:tcPr>
          <w:p w14:paraId="2DA75FEC" w14:textId="77777777" w:rsidR="00B71B4E" w:rsidRPr="00BD16B4" w:rsidRDefault="00B71B4E" w:rsidP="00F31129">
            <w:pPr>
              <w:pStyle w:val="TableTextBold0"/>
              <w:spacing w:before="40" w:after="40"/>
              <w:rPr>
                <w:color w:val="FFFFFF" w:themeColor="background1"/>
                <w:szCs w:val="18"/>
              </w:rPr>
            </w:pPr>
            <w:r w:rsidRPr="00BD16B4">
              <w:rPr>
                <w:color w:val="FFFFFF" w:themeColor="background1"/>
                <w:szCs w:val="18"/>
              </w:rPr>
              <w:t>Recipient country/programme/activity*</w:t>
            </w:r>
          </w:p>
        </w:tc>
        <w:tc>
          <w:tcPr>
            <w:tcW w:w="1276" w:type="dxa"/>
            <w:shd w:val="clear" w:color="000000" w:fill="1B556B" w:themeFill="text2"/>
            <w:vAlign w:val="bottom"/>
            <w:hideMark/>
          </w:tcPr>
          <w:p w14:paraId="0917B615" w14:textId="77777777" w:rsidR="00B71B4E" w:rsidRPr="00BD16B4" w:rsidRDefault="00B71B4E" w:rsidP="00F31129">
            <w:pPr>
              <w:pStyle w:val="TableTextBold0"/>
              <w:spacing w:before="40" w:after="40"/>
              <w:jc w:val="center"/>
              <w:rPr>
                <w:color w:val="FFFFFF" w:themeColor="background1"/>
                <w:szCs w:val="18"/>
              </w:rPr>
            </w:pPr>
            <w:r w:rsidRPr="00BD16B4">
              <w:rPr>
                <w:color w:val="FFFFFF" w:themeColor="background1"/>
                <w:szCs w:val="18"/>
              </w:rPr>
              <w:t xml:space="preserve">Total amount climate-specific </w:t>
            </w:r>
            <w:r w:rsidRPr="00BD16B4">
              <w:rPr>
                <w:color w:val="FFFFFF" w:themeColor="background1"/>
                <w:szCs w:val="18"/>
              </w:rPr>
              <w:br/>
              <w:t>NZ$ million</w:t>
            </w:r>
          </w:p>
        </w:tc>
        <w:tc>
          <w:tcPr>
            <w:tcW w:w="1345" w:type="dxa"/>
            <w:shd w:val="clear" w:color="000000" w:fill="1B556B" w:themeFill="text2"/>
            <w:vAlign w:val="bottom"/>
            <w:hideMark/>
          </w:tcPr>
          <w:p w14:paraId="6DB0F2D5" w14:textId="77777777" w:rsidR="00B71B4E" w:rsidRPr="00BD16B4" w:rsidRDefault="00B71B4E" w:rsidP="00F31129">
            <w:pPr>
              <w:pStyle w:val="TableTextBold0"/>
              <w:spacing w:before="40" w:after="40"/>
              <w:jc w:val="center"/>
              <w:rPr>
                <w:color w:val="FFFFFF" w:themeColor="background1"/>
                <w:szCs w:val="18"/>
              </w:rPr>
            </w:pPr>
            <w:r w:rsidRPr="00BD16B4">
              <w:rPr>
                <w:color w:val="FFFFFF" w:themeColor="background1"/>
                <w:szCs w:val="18"/>
              </w:rPr>
              <w:t xml:space="preserve">Total amount climate-specific </w:t>
            </w:r>
            <w:r w:rsidRPr="00BD16B4">
              <w:rPr>
                <w:color w:val="FFFFFF" w:themeColor="background1"/>
                <w:szCs w:val="18"/>
              </w:rPr>
              <w:br/>
              <w:t>US$ million</w:t>
            </w:r>
          </w:p>
        </w:tc>
        <w:tc>
          <w:tcPr>
            <w:tcW w:w="1015" w:type="dxa"/>
            <w:shd w:val="clear" w:color="000000" w:fill="1B556B" w:themeFill="text2"/>
            <w:vAlign w:val="bottom"/>
            <w:hideMark/>
          </w:tcPr>
          <w:p w14:paraId="3860BFDA" w14:textId="77777777" w:rsidR="00B71B4E" w:rsidRPr="00BD16B4" w:rsidRDefault="00B71B4E" w:rsidP="00F31129">
            <w:pPr>
              <w:pStyle w:val="TableTextBold0"/>
              <w:spacing w:before="40" w:after="40"/>
              <w:rPr>
                <w:color w:val="FFFFFF" w:themeColor="background1"/>
                <w:szCs w:val="18"/>
              </w:rPr>
            </w:pPr>
            <w:r w:rsidRPr="00BD16B4">
              <w:rPr>
                <w:color w:val="FFFFFF" w:themeColor="background1"/>
                <w:szCs w:val="18"/>
              </w:rPr>
              <w:t>Status</w:t>
            </w:r>
          </w:p>
        </w:tc>
        <w:tc>
          <w:tcPr>
            <w:tcW w:w="827" w:type="dxa"/>
            <w:shd w:val="clear" w:color="000000" w:fill="1B556B" w:themeFill="text2"/>
            <w:vAlign w:val="bottom"/>
            <w:hideMark/>
          </w:tcPr>
          <w:p w14:paraId="72ACEC61" w14:textId="77777777" w:rsidR="00B71B4E" w:rsidRPr="00BD16B4" w:rsidRDefault="00B71B4E" w:rsidP="00F31129">
            <w:pPr>
              <w:pStyle w:val="TableTextBold0"/>
              <w:spacing w:before="40" w:after="40"/>
              <w:rPr>
                <w:color w:val="FFFFFF" w:themeColor="background1"/>
                <w:szCs w:val="18"/>
              </w:rPr>
            </w:pPr>
            <w:r w:rsidRPr="00BD16B4">
              <w:rPr>
                <w:color w:val="FFFFFF" w:themeColor="background1"/>
                <w:szCs w:val="18"/>
              </w:rPr>
              <w:t>Funding source</w:t>
            </w:r>
          </w:p>
        </w:tc>
        <w:tc>
          <w:tcPr>
            <w:tcW w:w="1064" w:type="dxa"/>
            <w:shd w:val="clear" w:color="000000" w:fill="1B556B" w:themeFill="text2"/>
            <w:vAlign w:val="bottom"/>
            <w:hideMark/>
          </w:tcPr>
          <w:p w14:paraId="6EF52B70" w14:textId="77777777" w:rsidR="00B71B4E" w:rsidRPr="00BD16B4" w:rsidRDefault="00B71B4E" w:rsidP="00F31129">
            <w:pPr>
              <w:pStyle w:val="TableTextBold0"/>
              <w:spacing w:before="40" w:after="40"/>
              <w:rPr>
                <w:color w:val="FFFFFF" w:themeColor="background1"/>
                <w:szCs w:val="18"/>
              </w:rPr>
            </w:pPr>
            <w:r w:rsidRPr="00BD16B4">
              <w:rPr>
                <w:color w:val="FFFFFF" w:themeColor="background1"/>
                <w:szCs w:val="18"/>
              </w:rPr>
              <w:t>Financial instrument</w:t>
            </w:r>
          </w:p>
        </w:tc>
        <w:tc>
          <w:tcPr>
            <w:tcW w:w="1210" w:type="dxa"/>
            <w:shd w:val="clear" w:color="000000" w:fill="1B556B" w:themeFill="text2"/>
            <w:vAlign w:val="bottom"/>
            <w:hideMark/>
          </w:tcPr>
          <w:p w14:paraId="4E905E99" w14:textId="77777777" w:rsidR="00B71B4E" w:rsidRPr="00BD16B4" w:rsidRDefault="00B71B4E" w:rsidP="00F31129">
            <w:pPr>
              <w:pStyle w:val="TableTextBold0"/>
              <w:spacing w:before="40" w:after="40"/>
              <w:rPr>
                <w:color w:val="FFFFFF" w:themeColor="background1"/>
                <w:szCs w:val="18"/>
              </w:rPr>
            </w:pPr>
            <w:r w:rsidRPr="00BD16B4">
              <w:rPr>
                <w:color w:val="FFFFFF" w:themeColor="background1"/>
                <w:szCs w:val="18"/>
              </w:rPr>
              <w:t>Type of support</w:t>
            </w:r>
          </w:p>
        </w:tc>
        <w:tc>
          <w:tcPr>
            <w:tcW w:w="2335" w:type="dxa"/>
            <w:shd w:val="clear" w:color="000000" w:fill="1B556B" w:themeFill="text2"/>
            <w:vAlign w:val="bottom"/>
            <w:hideMark/>
          </w:tcPr>
          <w:p w14:paraId="1389F79D" w14:textId="77777777" w:rsidR="00B71B4E" w:rsidRPr="00BD16B4" w:rsidRDefault="00B71B4E" w:rsidP="00F31129">
            <w:pPr>
              <w:pStyle w:val="TableTextBold0"/>
              <w:spacing w:before="40" w:after="40"/>
              <w:rPr>
                <w:color w:val="FFFFFF" w:themeColor="background1"/>
                <w:szCs w:val="18"/>
              </w:rPr>
            </w:pPr>
            <w:r w:rsidRPr="00BD16B4">
              <w:rPr>
                <w:color w:val="FFFFFF" w:themeColor="background1"/>
                <w:szCs w:val="18"/>
              </w:rPr>
              <w:t>Sector</w:t>
            </w:r>
          </w:p>
        </w:tc>
      </w:tr>
      <w:tr w:rsidR="00B71B4E" w:rsidRPr="00BD16B4" w14:paraId="377690C6" w14:textId="77777777" w:rsidTr="00F31129">
        <w:tc>
          <w:tcPr>
            <w:tcW w:w="5387" w:type="dxa"/>
            <w:shd w:val="clear" w:color="auto" w:fill="auto"/>
            <w:hideMark/>
          </w:tcPr>
          <w:p w14:paraId="5664F3CD" w14:textId="77777777" w:rsidR="00B71B4E" w:rsidRPr="00BD16B4" w:rsidRDefault="00B71B4E" w:rsidP="00F31129">
            <w:pPr>
              <w:pStyle w:val="TableText"/>
              <w:spacing w:before="40" w:after="40"/>
              <w:rPr>
                <w:rFonts w:cs="Calibri"/>
                <w:szCs w:val="18"/>
              </w:rPr>
            </w:pPr>
            <w:r w:rsidRPr="00BD16B4">
              <w:rPr>
                <w:rFonts w:cs="Calibri"/>
                <w:szCs w:val="18"/>
              </w:rPr>
              <w:t>Pacific Regional / Climate and Oceans Support Program in the Pacific (COSPPAC)</w:t>
            </w:r>
          </w:p>
        </w:tc>
        <w:tc>
          <w:tcPr>
            <w:tcW w:w="1276" w:type="dxa"/>
            <w:shd w:val="clear" w:color="auto" w:fill="auto"/>
            <w:hideMark/>
          </w:tcPr>
          <w:p w14:paraId="79E9DA48" w14:textId="77777777" w:rsidR="00B71B4E" w:rsidRPr="00BD16B4" w:rsidRDefault="00B71B4E" w:rsidP="00F31129">
            <w:pPr>
              <w:pStyle w:val="TableText"/>
              <w:spacing w:before="40" w:after="40"/>
              <w:jc w:val="center"/>
              <w:rPr>
                <w:rFonts w:cs="Calibri"/>
                <w:szCs w:val="18"/>
              </w:rPr>
            </w:pPr>
            <w:r w:rsidRPr="00BD16B4">
              <w:rPr>
                <w:rFonts w:cs="Calibri"/>
                <w:szCs w:val="18"/>
              </w:rPr>
              <w:t>3.00</w:t>
            </w:r>
          </w:p>
        </w:tc>
        <w:tc>
          <w:tcPr>
            <w:tcW w:w="1345" w:type="dxa"/>
            <w:shd w:val="clear" w:color="auto" w:fill="auto"/>
            <w:noWrap/>
            <w:hideMark/>
          </w:tcPr>
          <w:p w14:paraId="1B68020E" w14:textId="77777777" w:rsidR="00B71B4E" w:rsidRPr="00BD16B4" w:rsidRDefault="00B71B4E" w:rsidP="00F31129">
            <w:pPr>
              <w:pStyle w:val="TableText"/>
              <w:spacing w:before="40" w:after="40"/>
              <w:jc w:val="center"/>
              <w:rPr>
                <w:rFonts w:cs="Calibri"/>
                <w:szCs w:val="18"/>
              </w:rPr>
            </w:pPr>
            <w:r w:rsidRPr="00BD16B4">
              <w:rPr>
                <w:rFonts w:cs="Calibri"/>
                <w:szCs w:val="18"/>
              </w:rPr>
              <w:t>1.98</w:t>
            </w:r>
          </w:p>
        </w:tc>
        <w:tc>
          <w:tcPr>
            <w:tcW w:w="1015" w:type="dxa"/>
            <w:shd w:val="clear" w:color="auto" w:fill="auto"/>
            <w:noWrap/>
            <w:hideMark/>
          </w:tcPr>
          <w:p w14:paraId="00239D58"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7157ECAB"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551F42B3"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2B4EA884"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03A3A17B"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29CCA8D3" w14:textId="77777777" w:rsidTr="00F31129">
        <w:tc>
          <w:tcPr>
            <w:tcW w:w="5387" w:type="dxa"/>
            <w:shd w:val="clear" w:color="auto" w:fill="auto"/>
            <w:hideMark/>
          </w:tcPr>
          <w:p w14:paraId="5A9CD265" w14:textId="77777777" w:rsidR="00B71B4E" w:rsidRPr="00BD16B4" w:rsidRDefault="00B71B4E" w:rsidP="00F31129">
            <w:pPr>
              <w:pStyle w:val="TableText"/>
              <w:spacing w:before="40" w:after="40"/>
              <w:rPr>
                <w:rFonts w:cs="Calibri"/>
                <w:szCs w:val="18"/>
              </w:rPr>
            </w:pPr>
            <w:r w:rsidRPr="00BD16B4">
              <w:rPr>
                <w:rFonts w:cs="Calibri"/>
                <w:szCs w:val="18"/>
              </w:rPr>
              <w:t>Pacific Regional / World Bank Pacific Facility Trust Fund</w:t>
            </w:r>
          </w:p>
        </w:tc>
        <w:tc>
          <w:tcPr>
            <w:tcW w:w="1276" w:type="dxa"/>
            <w:shd w:val="clear" w:color="auto" w:fill="auto"/>
            <w:hideMark/>
          </w:tcPr>
          <w:p w14:paraId="4D405E0F" w14:textId="77777777" w:rsidR="00B71B4E" w:rsidRPr="00BD16B4" w:rsidRDefault="00B71B4E" w:rsidP="00F31129">
            <w:pPr>
              <w:pStyle w:val="TableText"/>
              <w:spacing w:before="40" w:after="40"/>
              <w:jc w:val="center"/>
              <w:rPr>
                <w:rFonts w:cs="Calibri"/>
                <w:szCs w:val="18"/>
              </w:rPr>
            </w:pPr>
            <w:r w:rsidRPr="00BD16B4">
              <w:rPr>
                <w:rFonts w:cs="Calibri"/>
                <w:szCs w:val="18"/>
              </w:rPr>
              <w:t>1.50</w:t>
            </w:r>
          </w:p>
        </w:tc>
        <w:tc>
          <w:tcPr>
            <w:tcW w:w="1345" w:type="dxa"/>
            <w:shd w:val="clear" w:color="auto" w:fill="auto"/>
            <w:noWrap/>
            <w:hideMark/>
          </w:tcPr>
          <w:p w14:paraId="39653878" w14:textId="77777777" w:rsidR="00B71B4E" w:rsidRPr="00BD16B4" w:rsidRDefault="00B71B4E" w:rsidP="00F31129">
            <w:pPr>
              <w:pStyle w:val="TableText"/>
              <w:spacing w:before="40" w:after="40"/>
              <w:jc w:val="center"/>
              <w:rPr>
                <w:rFonts w:cs="Calibri"/>
                <w:szCs w:val="18"/>
              </w:rPr>
            </w:pPr>
            <w:r w:rsidRPr="00BD16B4">
              <w:rPr>
                <w:rFonts w:cs="Calibri"/>
                <w:szCs w:val="18"/>
              </w:rPr>
              <w:t>0.99</w:t>
            </w:r>
          </w:p>
        </w:tc>
        <w:tc>
          <w:tcPr>
            <w:tcW w:w="1015" w:type="dxa"/>
            <w:shd w:val="clear" w:color="auto" w:fill="auto"/>
            <w:noWrap/>
            <w:hideMark/>
          </w:tcPr>
          <w:p w14:paraId="7B343752"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1D3B3BED"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476C5BF"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5B8CF146"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4910EFCF"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4E19F515" w14:textId="77777777" w:rsidTr="00F31129">
        <w:tc>
          <w:tcPr>
            <w:tcW w:w="5387" w:type="dxa"/>
            <w:shd w:val="clear" w:color="auto" w:fill="auto"/>
            <w:hideMark/>
          </w:tcPr>
          <w:p w14:paraId="2B756B37" w14:textId="77777777" w:rsidR="00B71B4E" w:rsidRPr="00BD16B4" w:rsidRDefault="00B71B4E" w:rsidP="00F31129">
            <w:pPr>
              <w:pStyle w:val="TableText"/>
              <w:spacing w:before="40" w:after="40"/>
              <w:rPr>
                <w:rFonts w:cs="Calibri"/>
                <w:szCs w:val="18"/>
              </w:rPr>
            </w:pPr>
            <w:r w:rsidRPr="00BD16B4">
              <w:rPr>
                <w:rFonts w:cs="Calibri"/>
                <w:szCs w:val="18"/>
              </w:rPr>
              <w:t>Pacific Regional / Asian Development Bank Pacific Partnership Facility</w:t>
            </w:r>
          </w:p>
        </w:tc>
        <w:tc>
          <w:tcPr>
            <w:tcW w:w="1276" w:type="dxa"/>
            <w:shd w:val="clear" w:color="auto" w:fill="auto"/>
            <w:hideMark/>
          </w:tcPr>
          <w:p w14:paraId="529ED82C" w14:textId="77777777" w:rsidR="00B71B4E" w:rsidRPr="00BD16B4" w:rsidRDefault="00B71B4E" w:rsidP="00F31129">
            <w:pPr>
              <w:pStyle w:val="TableText"/>
              <w:spacing w:before="40" w:after="40"/>
              <w:jc w:val="center"/>
              <w:rPr>
                <w:rFonts w:cs="Calibri"/>
                <w:szCs w:val="18"/>
              </w:rPr>
            </w:pPr>
            <w:r w:rsidRPr="00BD16B4">
              <w:rPr>
                <w:rFonts w:cs="Calibri"/>
                <w:szCs w:val="18"/>
              </w:rPr>
              <w:t>3.15</w:t>
            </w:r>
          </w:p>
        </w:tc>
        <w:tc>
          <w:tcPr>
            <w:tcW w:w="1345" w:type="dxa"/>
            <w:shd w:val="clear" w:color="auto" w:fill="auto"/>
            <w:noWrap/>
            <w:hideMark/>
          </w:tcPr>
          <w:p w14:paraId="32D7FCDB" w14:textId="77777777" w:rsidR="00B71B4E" w:rsidRPr="00BD16B4" w:rsidRDefault="00B71B4E" w:rsidP="00F31129">
            <w:pPr>
              <w:pStyle w:val="TableText"/>
              <w:spacing w:before="40" w:after="40"/>
              <w:jc w:val="center"/>
              <w:rPr>
                <w:rFonts w:cs="Calibri"/>
                <w:szCs w:val="18"/>
              </w:rPr>
            </w:pPr>
            <w:r w:rsidRPr="00BD16B4">
              <w:rPr>
                <w:rFonts w:cs="Calibri"/>
                <w:szCs w:val="18"/>
              </w:rPr>
              <w:t>2.08</w:t>
            </w:r>
          </w:p>
        </w:tc>
        <w:tc>
          <w:tcPr>
            <w:tcW w:w="1015" w:type="dxa"/>
            <w:shd w:val="clear" w:color="auto" w:fill="auto"/>
            <w:noWrap/>
            <w:hideMark/>
          </w:tcPr>
          <w:p w14:paraId="230C347A"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2645FAC6"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65B23839"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0123C8B0"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54D6C394"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49F0E3EC" w14:textId="77777777" w:rsidTr="00F31129">
        <w:tc>
          <w:tcPr>
            <w:tcW w:w="5387" w:type="dxa"/>
            <w:shd w:val="clear" w:color="auto" w:fill="auto"/>
            <w:hideMark/>
          </w:tcPr>
          <w:p w14:paraId="54DC16A5" w14:textId="77777777" w:rsidR="00B71B4E" w:rsidRPr="00BD16B4" w:rsidRDefault="00B71B4E" w:rsidP="00F31129">
            <w:pPr>
              <w:pStyle w:val="TableText"/>
              <w:spacing w:before="40" w:after="40"/>
              <w:rPr>
                <w:rFonts w:cs="Calibri"/>
                <w:szCs w:val="18"/>
              </w:rPr>
            </w:pPr>
            <w:r w:rsidRPr="00BD16B4">
              <w:rPr>
                <w:rFonts w:cs="Calibri"/>
                <w:szCs w:val="18"/>
              </w:rPr>
              <w:t>Cook Islands / Core Sector Support: Bridging Funding 2018–19</w:t>
            </w:r>
          </w:p>
        </w:tc>
        <w:tc>
          <w:tcPr>
            <w:tcW w:w="1276" w:type="dxa"/>
            <w:shd w:val="clear" w:color="auto" w:fill="auto"/>
            <w:hideMark/>
          </w:tcPr>
          <w:p w14:paraId="1A5DA6FD" w14:textId="77777777" w:rsidR="00B71B4E" w:rsidRPr="00BD16B4" w:rsidRDefault="00B71B4E" w:rsidP="00F31129">
            <w:pPr>
              <w:pStyle w:val="TableText"/>
              <w:spacing w:before="40" w:after="40"/>
              <w:jc w:val="center"/>
              <w:rPr>
                <w:rFonts w:cs="Calibri"/>
                <w:szCs w:val="18"/>
              </w:rPr>
            </w:pPr>
            <w:r w:rsidRPr="00BD16B4">
              <w:rPr>
                <w:rFonts w:cs="Calibri"/>
                <w:szCs w:val="18"/>
              </w:rPr>
              <w:t>2.73</w:t>
            </w:r>
          </w:p>
        </w:tc>
        <w:tc>
          <w:tcPr>
            <w:tcW w:w="1345" w:type="dxa"/>
            <w:shd w:val="clear" w:color="auto" w:fill="auto"/>
            <w:noWrap/>
            <w:hideMark/>
          </w:tcPr>
          <w:p w14:paraId="15DBF2BB" w14:textId="77777777" w:rsidR="00B71B4E" w:rsidRPr="00BD16B4" w:rsidRDefault="00B71B4E" w:rsidP="00F31129">
            <w:pPr>
              <w:pStyle w:val="TableText"/>
              <w:spacing w:before="40" w:after="40"/>
              <w:jc w:val="center"/>
              <w:rPr>
                <w:rFonts w:cs="Calibri"/>
                <w:szCs w:val="18"/>
              </w:rPr>
            </w:pPr>
            <w:r w:rsidRPr="00BD16B4">
              <w:rPr>
                <w:rFonts w:cs="Calibri"/>
                <w:szCs w:val="18"/>
              </w:rPr>
              <w:t>1.80</w:t>
            </w:r>
          </w:p>
        </w:tc>
        <w:tc>
          <w:tcPr>
            <w:tcW w:w="1015" w:type="dxa"/>
            <w:shd w:val="clear" w:color="auto" w:fill="auto"/>
            <w:noWrap/>
            <w:hideMark/>
          </w:tcPr>
          <w:p w14:paraId="31FBB9F7"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2119FDE4"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7D2DE067"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6406C1AF"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7241308F"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6DAB7653" w14:textId="77777777" w:rsidTr="00F31129">
        <w:tc>
          <w:tcPr>
            <w:tcW w:w="5387" w:type="dxa"/>
            <w:shd w:val="clear" w:color="auto" w:fill="auto"/>
            <w:hideMark/>
          </w:tcPr>
          <w:p w14:paraId="3964A5E2" w14:textId="77777777" w:rsidR="00B71B4E" w:rsidRPr="00BD16B4" w:rsidRDefault="00B71B4E" w:rsidP="00F31129">
            <w:pPr>
              <w:pStyle w:val="TableText"/>
              <w:spacing w:before="40" w:after="40"/>
              <w:rPr>
                <w:rFonts w:cs="Calibri"/>
                <w:szCs w:val="18"/>
              </w:rPr>
            </w:pPr>
            <w:r w:rsidRPr="00BD16B4">
              <w:rPr>
                <w:rFonts w:cs="Calibri"/>
                <w:szCs w:val="18"/>
              </w:rPr>
              <w:t>Cook Islands / Infrastructure Trust Fund</w:t>
            </w:r>
          </w:p>
        </w:tc>
        <w:tc>
          <w:tcPr>
            <w:tcW w:w="1276" w:type="dxa"/>
            <w:shd w:val="clear" w:color="auto" w:fill="auto"/>
            <w:hideMark/>
          </w:tcPr>
          <w:p w14:paraId="653C9E13" w14:textId="77777777" w:rsidR="00B71B4E" w:rsidRPr="00BD16B4" w:rsidRDefault="00B71B4E" w:rsidP="00F31129">
            <w:pPr>
              <w:pStyle w:val="TableText"/>
              <w:spacing w:before="40" w:after="40"/>
              <w:jc w:val="center"/>
              <w:rPr>
                <w:rFonts w:cs="Calibri"/>
                <w:szCs w:val="18"/>
              </w:rPr>
            </w:pPr>
            <w:r w:rsidRPr="00BD16B4">
              <w:rPr>
                <w:rFonts w:cs="Calibri"/>
                <w:szCs w:val="18"/>
              </w:rPr>
              <w:t>3.60</w:t>
            </w:r>
          </w:p>
        </w:tc>
        <w:tc>
          <w:tcPr>
            <w:tcW w:w="1345" w:type="dxa"/>
            <w:shd w:val="clear" w:color="auto" w:fill="auto"/>
            <w:noWrap/>
            <w:hideMark/>
          </w:tcPr>
          <w:p w14:paraId="618929F9" w14:textId="77777777" w:rsidR="00B71B4E" w:rsidRPr="00BD16B4" w:rsidRDefault="00B71B4E" w:rsidP="00F31129">
            <w:pPr>
              <w:pStyle w:val="TableText"/>
              <w:spacing w:before="40" w:after="40"/>
              <w:jc w:val="center"/>
              <w:rPr>
                <w:rFonts w:cs="Calibri"/>
                <w:szCs w:val="18"/>
              </w:rPr>
            </w:pPr>
            <w:r w:rsidRPr="00BD16B4">
              <w:rPr>
                <w:rFonts w:cs="Calibri"/>
                <w:szCs w:val="18"/>
              </w:rPr>
              <w:t>2.37</w:t>
            </w:r>
          </w:p>
        </w:tc>
        <w:tc>
          <w:tcPr>
            <w:tcW w:w="1015" w:type="dxa"/>
            <w:shd w:val="clear" w:color="auto" w:fill="auto"/>
            <w:noWrap/>
            <w:hideMark/>
          </w:tcPr>
          <w:p w14:paraId="661C24F3"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60C262E8"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1C5935F3"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257772B0"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72778162"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0A7BF62D" w14:textId="77777777" w:rsidTr="00F31129">
        <w:tc>
          <w:tcPr>
            <w:tcW w:w="5387" w:type="dxa"/>
            <w:shd w:val="clear" w:color="auto" w:fill="auto"/>
            <w:hideMark/>
          </w:tcPr>
          <w:p w14:paraId="65E73361" w14:textId="77777777" w:rsidR="00B71B4E" w:rsidRPr="00BD16B4" w:rsidRDefault="00B71B4E" w:rsidP="00F31129">
            <w:pPr>
              <w:pStyle w:val="TableText"/>
              <w:spacing w:before="40" w:after="40"/>
              <w:rPr>
                <w:rFonts w:cs="Calibri"/>
                <w:szCs w:val="18"/>
              </w:rPr>
            </w:pPr>
            <w:r w:rsidRPr="00BD16B4">
              <w:rPr>
                <w:rFonts w:cs="Calibri"/>
                <w:szCs w:val="18"/>
              </w:rPr>
              <w:t>Cook Islands / Wastewater Activity</w:t>
            </w:r>
          </w:p>
        </w:tc>
        <w:tc>
          <w:tcPr>
            <w:tcW w:w="1276" w:type="dxa"/>
            <w:shd w:val="clear" w:color="auto" w:fill="auto"/>
            <w:hideMark/>
          </w:tcPr>
          <w:p w14:paraId="71AAF95C" w14:textId="77777777" w:rsidR="00B71B4E" w:rsidRPr="00BD16B4" w:rsidRDefault="00B71B4E" w:rsidP="00F31129">
            <w:pPr>
              <w:pStyle w:val="TableText"/>
              <w:spacing w:before="40" w:after="40"/>
              <w:jc w:val="center"/>
              <w:rPr>
                <w:rFonts w:cs="Calibri"/>
                <w:szCs w:val="18"/>
              </w:rPr>
            </w:pPr>
            <w:r w:rsidRPr="00BD16B4">
              <w:rPr>
                <w:rFonts w:cs="Calibri"/>
                <w:szCs w:val="18"/>
              </w:rPr>
              <w:t>0.33</w:t>
            </w:r>
          </w:p>
        </w:tc>
        <w:tc>
          <w:tcPr>
            <w:tcW w:w="1345" w:type="dxa"/>
            <w:shd w:val="clear" w:color="auto" w:fill="auto"/>
            <w:noWrap/>
            <w:hideMark/>
          </w:tcPr>
          <w:p w14:paraId="472D388E" w14:textId="77777777" w:rsidR="00B71B4E" w:rsidRPr="00BD16B4" w:rsidRDefault="00B71B4E" w:rsidP="00F31129">
            <w:pPr>
              <w:pStyle w:val="TableText"/>
              <w:spacing w:before="40" w:after="40"/>
              <w:jc w:val="center"/>
              <w:rPr>
                <w:rFonts w:cs="Calibri"/>
                <w:szCs w:val="18"/>
              </w:rPr>
            </w:pPr>
            <w:r w:rsidRPr="00BD16B4">
              <w:rPr>
                <w:rFonts w:cs="Calibri"/>
                <w:szCs w:val="18"/>
              </w:rPr>
              <w:t>0.22</w:t>
            </w:r>
          </w:p>
        </w:tc>
        <w:tc>
          <w:tcPr>
            <w:tcW w:w="1015" w:type="dxa"/>
            <w:shd w:val="clear" w:color="auto" w:fill="auto"/>
            <w:noWrap/>
            <w:hideMark/>
          </w:tcPr>
          <w:p w14:paraId="2CDF7C6C"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14B51719"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243E816"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022B4AD8"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51E2F273" w14:textId="77777777" w:rsidR="00B71B4E" w:rsidRPr="00BD16B4" w:rsidRDefault="00B71B4E" w:rsidP="00F31129">
            <w:pPr>
              <w:pStyle w:val="TableText"/>
              <w:spacing w:before="40" w:after="40"/>
              <w:rPr>
                <w:rFonts w:cs="Calibri"/>
                <w:szCs w:val="18"/>
              </w:rPr>
            </w:pPr>
            <w:r w:rsidRPr="00BD16B4">
              <w:rPr>
                <w:rFonts w:cs="Calibri"/>
                <w:szCs w:val="18"/>
              </w:rPr>
              <w:t>Water and sanitation</w:t>
            </w:r>
          </w:p>
        </w:tc>
      </w:tr>
      <w:tr w:rsidR="00B71B4E" w:rsidRPr="00BD16B4" w14:paraId="2C9E134D" w14:textId="77777777" w:rsidTr="00F31129">
        <w:tc>
          <w:tcPr>
            <w:tcW w:w="5387" w:type="dxa"/>
            <w:shd w:val="clear" w:color="auto" w:fill="auto"/>
            <w:hideMark/>
          </w:tcPr>
          <w:p w14:paraId="509FC45C" w14:textId="77777777" w:rsidR="00B71B4E" w:rsidRPr="00BD16B4" w:rsidRDefault="00B71B4E" w:rsidP="00F31129">
            <w:pPr>
              <w:pStyle w:val="TableText"/>
              <w:spacing w:before="40" w:after="40"/>
              <w:rPr>
                <w:rFonts w:cs="Calibri"/>
                <w:szCs w:val="18"/>
              </w:rPr>
            </w:pPr>
            <w:r w:rsidRPr="00BD16B4">
              <w:rPr>
                <w:rFonts w:cs="Calibri"/>
                <w:szCs w:val="18"/>
              </w:rPr>
              <w:t>Pacific Regional / Information for Decision-making</w:t>
            </w:r>
          </w:p>
        </w:tc>
        <w:tc>
          <w:tcPr>
            <w:tcW w:w="1276" w:type="dxa"/>
            <w:shd w:val="clear" w:color="auto" w:fill="auto"/>
            <w:hideMark/>
          </w:tcPr>
          <w:p w14:paraId="1C3CD71D" w14:textId="77777777" w:rsidR="00B71B4E" w:rsidRPr="00BD16B4" w:rsidRDefault="00B71B4E" w:rsidP="00F31129">
            <w:pPr>
              <w:pStyle w:val="TableText"/>
              <w:spacing w:before="40" w:after="40"/>
              <w:jc w:val="center"/>
              <w:rPr>
                <w:rFonts w:cs="Calibri"/>
                <w:szCs w:val="18"/>
              </w:rPr>
            </w:pPr>
            <w:r w:rsidRPr="00BD16B4">
              <w:rPr>
                <w:rFonts w:cs="Calibri"/>
                <w:szCs w:val="18"/>
              </w:rPr>
              <w:t>0.27</w:t>
            </w:r>
          </w:p>
        </w:tc>
        <w:tc>
          <w:tcPr>
            <w:tcW w:w="1345" w:type="dxa"/>
            <w:shd w:val="clear" w:color="auto" w:fill="auto"/>
            <w:noWrap/>
            <w:hideMark/>
          </w:tcPr>
          <w:p w14:paraId="65153745" w14:textId="77777777" w:rsidR="00B71B4E" w:rsidRPr="00BD16B4" w:rsidRDefault="00B71B4E" w:rsidP="00F31129">
            <w:pPr>
              <w:pStyle w:val="TableText"/>
              <w:spacing w:before="40" w:after="40"/>
              <w:jc w:val="center"/>
              <w:rPr>
                <w:rFonts w:cs="Calibri"/>
                <w:szCs w:val="18"/>
              </w:rPr>
            </w:pPr>
            <w:r w:rsidRPr="00BD16B4">
              <w:rPr>
                <w:rFonts w:cs="Calibri"/>
                <w:szCs w:val="18"/>
              </w:rPr>
              <w:t>0.18</w:t>
            </w:r>
          </w:p>
        </w:tc>
        <w:tc>
          <w:tcPr>
            <w:tcW w:w="1015" w:type="dxa"/>
            <w:shd w:val="clear" w:color="auto" w:fill="auto"/>
            <w:noWrap/>
            <w:hideMark/>
          </w:tcPr>
          <w:p w14:paraId="79F633B2"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752A2780"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6D3A52CE"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7187AC08"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7CDFB134"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327662C0" w14:textId="77777777" w:rsidTr="00F31129">
        <w:tc>
          <w:tcPr>
            <w:tcW w:w="5387" w:type="dxa"/>
            <w:shd w:val="clear" w:color="auto" w:fill="auto"/>
            <w:hideMark/>
          </w:tcPr>
          <w:p w14:paraId="47572ABE" w14:textId="77777777" w:rsidR="00B71B4E" w:rsidRPr="00BD16B4" w:rsidRDefault="00B71B4E" w:rsidP="00F31129">
            <w:pPr>
              <w:pStyle w:val="TableText"/>
              <w:spacing w:before="40" w:after="40"/>
              <w:rPr>
                <w:rFonts w:cs="Calibri"/>
                <w:szCs w:val="18"/>
              </w:rPr>
            </w:pPr>
            <w:r w:rsidRPr="00BD16B4">
              <w:rPr>
                <w:rFonts w:cs="Calibri"/>
                <w:szCs w:val="18"/>
              </w:rPr>
              <w:t>Pacific Regional / Strengthening Water Security in Selected Pacific Island Countries</w:t>
            </w:r>
          </w:p>
        </w:tc>
        <w:tc>
          <w:tcPr>
            <w:tcW w:w="1276" w:type="dxa"/>
            <w:shd w:val="clear" w:color="auto" w:fill="auto"/>
            <w:hideMark/>
          </w:tcPr>
          <w:p w14:paraId="760F9695" w14:textId="77777777" w:rsidR="00B71B4E" w:rsidRPr="00BD16B4" w:rsidRDefault="00B71B4E" w:rsidP="00F31129">
            <w:pPr>
              <w:pStyle w:val="TableText"/>
              <w:spacing w:before="40" w:after="40"/>
              <w:jc w:val="center"/>
              <w:rPr>
                <w:rFonts w:cs="Calibri"/>
                <w:szCs w:val="18"/>
              </w:rPr>
            </w:pPr>
            <w:r w:rsidRPr="00BD16B4">
              <w:rPr>
                <w:rFonts w:cs="Calibri"/>
                <w:szCs w:val="18"/>
              </w:rPr>
              <w:t>0.51</w:t>
            </w:r>
          </w:p>
        </w:tc>
        <w:tc>
          <w:tcPr>
            <w:tcW w:w="1345" w:type="dxa"/>
            <w:shd w:val="clear" w:color="auto" w:fill="auto"/>
            <w:noWrap/>
            <w:hideMark/>
          </w:tcPr>
          <w:p w14:paraId="4F10D0FB" w14:textId="77777777" w:rsidR="00B71B4E" w:rsidRPr="00BD16B4" w:rsidRDefault="00B71B4E" w:rsidP="00F31129">
            <w:pPr>
              <w:pStyle w:val="TableText"/>
              <w:spacing w:before="40" w:after="40"/>
              <w:jc w:val="center"/>
              <w:rPr>
                <w:rFonts w:cs="Calibri"/>
                <w:szCs w:val="18"/>
              </w:rPr>
            </w:pPr>
            <w:r w:rsidRPr="00BD16B4">
              <w:rPr>
                <w:rFonts w:cs="Calibri"/>
                <w:szCs w:val="18"/>
              </w:rPr>
              <w:t>0.34</w:t>
            </w:r>
          </w:p>
        </w:tc>
        <w:tc>
          <w:tcPr>
            <w:tcW w:w="1015" w:type="dxa"/>
            <w:shd w:val="clear" w:color="auto" w:fill="auto"/>
            <w:noWrap/>
            <w:hideMark/>
          </w:tcPr>
          <w:p w14:paraId="532E1AF4"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2ACCE074"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10CB8581"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6ACD64A7"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649B3CBF" w14:textId="77777777" w:rsidR="00B71B4E" w:rsidRPr="00BD16B4" w:rsidRDefault="00B71B4E" w:rsidP="00F31129">
            <w:pPr>
              <w:pStyle w:val="TableText"/>
              <w:spacing w:before="40" w:after="40"/>
              <w:rPr>
                <w:rFonts w:cs="Calibri"/>
                <w:szCs w:val="18"/>
              </w:rPr>
            </w:pPr>
            <w:r w:rsidRPr="00BD16B4">
              <w:rPr>
                <w:rFonts w:cs="Calibri"/>
                <w:szCs w:val="18"/>
              </w:rPr>
              <w:t>Water and sanitation</w:t>
            </w:r>
          </w:p>
        </w:tc>
      </w:tr>
      <w:tr w:rsidR="00B71B4E" w:rsidRPr="00BD16B4" w14:paraId="5CE18195" w14:textId="77777777" w:rsidTr="00F31129">
        <w:tc>
          <w:tcPr>
            <w:tcW w:w="5387" w:type="dxa"/>
            <w:shd w:val="clear" w:color="auto" w:fill="auto"/>
            <w:hideMark/>
          </w:tcPr>
          <w:p w14:paraId="02B720CB" w14:textId="77777777" w:rsidR="00B71B4E" w:rsidRPr="00BD16B4" w:rsidRDefault="00B71B4E" w:rsidP="00F31129">
            <w:pPr>
              <w:pStyle w:val="TableText"/>
              <w:spacing w:before="40" w:after="40"/>
              <w:rPr>
                <w:rFonts w:cs="Calibri"/>
                <w:szCs w:val="18"/>
              </w:rPr>
            </w:pPr>
            <w:r w:rsidRPr="00BD16B4">
              <w:rPr>
                <w:rFonts w:cs="Calibri"/>
                <w:szCs w:val="18"/>
              </w:rPr>
              <w:t>Fiji / Social Housing</w:t>
            </w:r>
          </w:p>
        </w:tc>
        <w:tc>
          <w:tcPr>
            <w:tcW w:w="1276" w:type="dxa"/>
            <w:shd w:val="clear" w:color="auto" w:fill="auto"/>
            <w:hideMark/>
          </w:tcPr>
          <w:p w14:paraId="4671B256" w14:textId="77777777" w:rsidR="00B71B4E" w:rsidRPr="00BD16B4" w:rsidRDefault="00B71B4E" w:rsidP="00F31129">
            <w:pPr>
              <w:pStyle w:val="TableText"/>
              <w:spacing w:before="40" w:after="40"/>
              <w:jc w:val="center"/>
              <w:rPr>
                <w:rFonts w:cs="Calibri"/>
                <w:szCs w:val="18"/>
              </w:rPr>
            </w:pPr>
            <w:r w:rsidRPr="00BD16B4">
              <w:rPr>
                <w:rFonts w:cs="Calibri"/>
                <w:szCs w:val="18"/>
              </w:rPr>
              <w:t>0.34</w:t>
            </w:r>
          </w:p>
        </w:tc>
        <w:tc>
          <w:tcPr>
            <w:tcW w:w="1345" w:type="dxa"/>
            <w:shd w:val="clear" w:color="auto" w:fill="auto"/>
            <w:noWrap/>
            <w:hideMark/>
          </w:tcPr>
          <w:p w14:paraId="12D355A1" w14:textId="77777777" w:rsidR="00B71B4E" w:rsidRPr="00BD16B4" w:rsidRDefault="00B71B4E" w:rsidP="00F31129">
            <w:pPr>
              <w:pStyle w:val="TableText"/>
              <w:spacing w:before="40" w:after="40"/>
              <w:jc w:val="center"/>
              <w:rPr>
                <w:rFonts w:cs="Calibri"/>
                <w:szCs w:val="18"/>
              </w:rPr>
            </w:pPr>
            <w:r w:rsidRPr="00BD16B4">
              <w:rPr>
                <w:rFonts w:cs="Calibri"/>
                <w:szCs w:val="18"/>
              </w:rPr>
              <w:t>0.22</w:t>
            </w:r>
          </w:p>
        </w:tc>
        <w:tc>
          <w:tcPr>
            <w:tcW w:w="1015" w:type="dxa"/>
            <w:shd w:val="clear" w:color="auto" w:fill="auto"/>
            <w:noWrap/>
            <w:hideMark/>
          </w:tcPr>
          <w:p w14:paraId="5088B770"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27F21523"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D21A434"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5EA5131D"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7DDB3086" w14:textId="77777777" w:rsidR="00B71B4E" w:rsidRPr="00BD16B4" w:rsidRDefault="00B71B4E" w:rsidP="00F31129">
            <w:pPr>
              <w:pStyle w:val="TableText"/>
              <w:spacing w:before="40" w:after="40"/>
              <w:rPr>
                <w:rFonts w:cs="Calibri"/>
                <w:szCs w:val="18"/>
              </w:rPr>
            </w:pPr>
            <w:r w:rsidRPr="00BD16B4">
              <w:rPr>
                <w:rFonts w:cs="Calibri"/>
                <w:szCs w:val="18"/>
              </w:rPr>
              <w:t>Other social infrastructure and services</w:t>
            </w:r>
          </w:p>
        </w:tc>
      </w:tr>
      <w:tr w:rsidR="00B71B4E" w:rsidRPr="00BD16B4" w14:paraId="0EEE27E9" w14:textId="77777777" w:rsidTr="00F31129">
        <w:tc>
          <w:tcPr>
            <w:tcW w:w="5387" w:type="dxa"/>
            <w:shd w:val="clear" w:color="auto" w:fill="auto"/>
            <w:hideMark/>
          </w:tcPr>
          <w:p w14:paraId="5235298A" w14:textId="77777777" w:rsidR="00B71B4E" w:rsidRPr="00BD16B4" w:rsidRDefault="00B71B4E" w:rsidP="00F31129">
            <w:pPr>
              <w:pStyle w:val="TableText"/>
              <w:spacing w:before="40" w:after="40"/>
              <w:rPr>
                <w:rFonts w:cs="Calibri"/>
                <w:szCs w:val="18"/>
              </w:rPr>
            </w:pPr>
            <w:r w:rsidRPr="00BD16B4">
              <w:rPr>
                <w:rFonts w:cs="Calibri"/>
                <w:szCs w:val="18"/>
              </w:rPr>
              <w:t>Fiji / Ease of Doing Business – International Finance Corporation contribution</w:t>
            </w:r>
          </w:p>
        </w:tc>
        <w:tc>
          <w:tcPr>
            <w:tcW w:w="1276" w:type="dxa"/>
            <w:shd w:val="clear" w:color="auto" w:fill="auto"/>
            <w:hideMark/>
          </w:tcPr>
          <w:p w14:paraId="5C876900" w14:textId="77777777" w:rsidR="00B71B4E" w:rsidRPr="00BD16B4" w:rsidRDefault="00B71B4E" w:rsidP="00F31129">
            <w:pPr>
              <w:pStyle w:val="TableText"/>
              <w:spacing w:before="40" w:after="40"/>
              <w:jc w:val="center"/>
              <w:rPr>
                <w:rFonts w:cs="Calibri"/>
                <w:szCs w:val="18"/>
              </w:rPr>
            </w:pPr>
            <w:r w:rsidRPr="00BD16B4">
              <w:rPr>
                <w:rFonts w:cs="Calibri"/>
                <w:szCs w:val="18"/>
              </w:rPr>
              <w:t>0.60</w:t>
            </w:r>
          </w:p>
        </w:tc>
        <w:tc>
          <w:tcPr>
            <w:tcW w:w="1345" w:type="dxa"/>
            <w:shd w:val="clear" w:color="auto" w:fill="auto"/>
            <w:noWrap/>
            <w:hideMark/>
          </w:tcPr>
          <w:p w14:paraId="51D404FB" w14:textId="77777777" w:rsidR="00B71B4E" w:rsidRPr="00BD16B4" w:rsidRDefault="00B71B4E" w:rsidP="00F31129">
            <w:pPr>
              <w:pStyle w:val="TableText"/>
              <w:spacing w:before="40" w:after="40"/>
              <w:jc w:val="center"/>
              <w:rPr>
                <w:rFonts w:cs="Calibri"/>
                <w:szCs w:val="18"/>
              </w:rPr>
            </w:pPr>
            <w:r w:rsidRPr="00BD16B4">
              <w:rPr>
                <w:rFonts w:cs="Calibri"/>
                <w:szCs w:val="18"/>
              </w:rPr>
              <w:t>0.40</w:t>
            </w:r>
          </w:p>
        </w:tc>
        <w:tc>
          <w:tcPr>
            <w:tcW w:w="1015" w:type="dxa"/>
            <w:shd w:val="clear" w:color="auto" w:fill="auto"/>
            <w:noWrap/>
            <w:hideMark/>
          </w:tcPr>
          <w:p w14:paraId="4DD0052C"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406349B8"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3C0FDE6D"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47D4D97C"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4BA83460" w14:textId="77777777" w:rsidR="00B71B4E" w:rsidRPr="00BD16B4" w:rsidRDefault="00B71B4E" w:rsidP="00F31129">
            <w:pPr>
              <w:pStyle w:val="TableText"/>
              <w:spacing w:before="40" w:after="40"/>
              <w:rPr>
                <w:rFonts w:cs="Calibri"/>
                <w:szCs w:val="18"/>
              </w:rPr>
            </w:pPr>
            <w:r w:rsidRPr="00BD16B4">
              <w:rPr>
                <w:rFonts w:cs="Calibri"/>
                <w:szCs w:val="18"/>
              </w:rPr>
              <w:t>Business and other services</w:t>
            </w:r>
          </w:p>
        </w:tc>
      </w:tr>
      <w:tr w:rsidR="00B71B4E" w:rsidRPr="00BD16B4" w14:paraId="04FB7B0B" w14:textId="77777777" w:rsidTr="00F31129">
        <w:tc>
          <w:tcPr>
            <w:tcW w:w="5387" w:type="dxa"/>
            <w:shd w:val="clear" w:color="auto" w:fill="auto"/>
            <w:hideMark/>
          </w:tcPr>
          <w:p w14:paraId="617DD1BC" w14:textId="77777777" w:rsidR="00B71B4E" w:rsidRPr="00BD16B4" w:rsidRDefault="00B71B4E" w:rsidP="00F31129">
            <w:pPr>
              <w:pStyle w:val="TableText"/>
              <w:spacing w:before="40" w:after="40"/>
              <w:rPr>
                <w:rFonts w:cs="Calibri"/>
                <w:szCs w:val="18"/>
              </w:rPr>
            </w:pPr>
            <w:r w:rsidRPr="00BD16B4">
              <w:rPr>
                <w:rFonts w:cs="Calibri"/>
                <w:szCs w:val="18"/>
              </w:rPr>
              <w:t>Fiji / Dairy Industry Development Initiative</w:t>
            </w:r>
          </w:p>
        </w:tc>
        <w:tc>
          <w:tcPr>
            <w:tcW w:w="1276" w:type="dxa"/>
            <w:shd w:val="clear" w:color="auto" w:fill="auto"/>
            <w:hideMark/>
          </w:tcPr>
          <w:p w14:paraId="32E40D10" w14:textId="77777777" w:rsidR="00B71B4E" w:rsidRPr="00BD16B4" w:rsidRDefault="00B71B4E" w:rsidP="00F31129">
            <w:pPr>
              <w:pStyle w:val="TableText"/>
              <w:spacing w:before="40" w:after="40"/>
              <w:jc w:val="center"/>
              <w:rPr>
                <w:rFonts w:cs="Calibri"/>
                <w:szCs w:val="18"/>
              </w:rPr>
            </w:pPr>
            <w:r w:rsidRPr="00BD16B4">
              <w:rPr>
                <w:rFonts w:cs="Calibri"/>
                <w:szCs w:val="18"/>
              </w:rPr>
              <w:t>0.45</w:t>
            </w:r>
          </w:p>
        </w:tc>
        <w:tc>
          <w:tcPr>
            <w:tcW w:w="1345" w:type="dxa"/>
            <w:shd w:val="clear" w:color="auto" w:fill="auto"/>
            <w:noWrap/>
            <w:hideMark/>
          </w:tcPr>
          <w:p w14:paraId="71D5EAA3" w14:textId="77777777" w:rsidR="00B71B4E" w:rsidRPr="00BD16B4" w:rsidRDefault="00B71B4E" w:rsidP="00F31129">
            <w:pPr>
              <w:pStyle w:val="TableText"/>
              <w:spacing w:before="40" w:after="40"/>
              <w:jc w:val="center"/>
              <w:rPr>
                <w:rFonts w:cs="Calibri"/>
                <w:szCs w:val="18"/>
              </w:rPr>
            </w:pPr>
            <w:r w:rsidRPr="00BD16B4">
              <w:rPr>
                <w:rFonts w:cs="Calibri"/>
                <w:szCs w:val="18"/>
              </w:rPr>
              <w:t>0.30</w:t>
            </w:r>
          </w:p>
        </w:tc>
        <w:tc>
          <w:tcPr>
            <w:tcW w:w="1015" w:type="dxa"/>
            <w:shd w:val="clear" w:color="auto" w:fill="auto"/>
            <w:noWrap/>
            <w:hideMark/>
          </w:tcPr>
          <w:p w14:paraId="36976886"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6991B983"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1686D8D1"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4E3897ED"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6C293C4E"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357B0059" w14:textId="77777777" w:rsidTr="00F31129">
        <w:tc>
          <w:tcPr>
            <w:tcW w:w="5387" w:type="dxa"/>
            <w:shd w:val="clear" w:color="auto" w:fill="auto"/>
            <w:hideMark/>
          </w:tcPr>
          <w:p w14:paraId="3EAC0E77" w14:textId="77777777" w:rsidR="00B71B4E" w:rsidRPr="00BD16B4" w:rsidRDefault="00B71B4E" w:rsidP="00F31129">
            <w:pPr>
              <w:pStyle w:val="TableText"/>
              <w:spacing w:before="40" w:after="40"/>
              <w:rPr>
                <w:rFonts w:cs="Calibri"/>
                <w:szCs w:val="18"/>
              </w:rPr>
            </w:pPr>
            <w:r w:rsidRPr="00BD16B4">
              <w:rPr>
                <w:rFonts w:cs="Calibri"/>
                <w:szCs w:val="18"/>
              </w:rPr>
              <w:t>Fiji / Child-focused Disaster Risk Reduction</w:t>
            </w:r>
          </w:p>
        </w:tc>
        <w:tc>
          <w:tcPr>
            <w:tcW w:w="1276" w:type="dxa"/>
            <w:shd w:val="clear" w:color="auto" w:fill="auto"/>
            <w:hideMark/>
          </w:tcPr>
          <w:p w14:paraId="69B3D148" w14:textId="77777777" w:rsidR="00B71B4E" w:rsidRPr="00BD16B4" w:rsidRDefault="00B71B4E" w:rsidP="00F31129">
            <w:pPr>
              <w:pStyle w:val="TableText"/>
              <w:spacing w:before="40" w:after="40"/>
              <w:jc w:val="center"/>
              <w:rPr>
                <w:rFonts w:cs="Calibri"/>
                <w:szCs w:val="18"/>
              </w:rPr>
            </w:pPr>
            <w:r w:rsidRPr="00BD16B4">
              <w:rPr>
                <w:rFonts w:cs="Calibri"/>
                <w:szCs w:val="18"/>
              </w:rPr>
              <w:t>0.34</w:t>
            </w:r>
          </w:p>
        </w:tc>
        <w:tc>
          <w:tcPr>
            <w:tcW w:w="1345" w:type="dxa"/>
            <w:shd w:val="clear" w:color="auto" w:fill="auto"/>
            <w:noWrap/>
            <w:hideMark/>
          </w:tcPr>
          <w:p w14:paraId="3270A022" w14:textId="77777777" w:rsidR="00B71B4E" w:rsidRPr="00BD16B4" w:rsidRDefault="00B71B4E" w:rsidP="00F31129">
            <w:pPr>
              <w:pStyle w:val="TableText"/>
              <w:spacing w:before="40" w:after="40"/>
              <w:jc w:val="center"/>
              <w:rPr>
                <w:rFonts w:cs="Calibri"/>
                <w:szCs w:val="18"/>
              </w:rPr>
            </w:pPr>
            <w:r w:rsidRPr="00BD16B4">
              <w:rPr>
                <w:rFonts w:cs="Calibri"/>
                <w:szCs w:val="18"/>
              </w:rPr>
              <w:t>0.23</w:t>
            </w:r>
          </w:p>
        </w:tc>
        <w:tc>
          <w:tcPr>
            <w:tcW w:w="1015" w:type="dxa"/>
            <w:shd w:val="clear" w:color="auto" w:fill="auto"/>
            <w:noWrap/>
            <w:hideMark/>
          </w:tcPr>
          <w:p w14:paraId="25BBFE30"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38133601"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540B918A"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5ADB386B"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2710402F" w14:textId="77777777" w:rsidR="00B71B4E" w:rsidRPr="00BD16B4" w:rsidRDefault="00B71B4E" w:rsidP="00F31129">
            <w:pPr>
              <w:pStyle w:val="TableText"/>
              <w:spacing w:before="40" w:after="40"/>
              <w:rPr>
                <w:rFonts w:cs="Calibri"/>
                <w:szCs w:val="18"/>
              </w:rPr>
            </w:pPr>
            <w:r w:rsidRPr="00BD16B4">
              <w:rPr>
                <w:rFonts w:cs="Calibri"/>
                <w:szCs w:val="18"/>
              </w:rPr>
              <w:t>Humanitarian</w:t>
            </w:r>
          </w:p>
        </w:tc>
      </w:tr>
      <w:tr w:rsidR="00B71B4E" w:rsidRPr="00BD16B4" w14:paraId="6DBA82EE" w14:textId="77777777" w:rsidTr="00F31129">
        <w:tc>
          <w:tcPr>
            <w:tcW w:w="5387" w:type="dxa"/>
            <w:shd w:val="clear" w:color="auto" w:fill="auto"/>
            <w:hideMark/>
          </w:tcPr>
          <w:p w14:paraId="4AC935CA" w14:textId="77777777" w:rsidR="00B71B4E" w:rsidRPr="00BD16B4" w:rsidRDefault="00B71B4E" w:rsidP="00F31129">
            <w:pPr>
              <w:pStyle w:val="TableText"/>
              <w:spacing w:before="40" w:after="40"/>
              <w:rPr>
                <w:rFonts w:cs="Calibri"/>
                <w:szCs w:val="18"/>
              </w:rPr>
            </w:pPr>
            <w:r w:rsidRPr="00BD16B4">
              <w:rPr>
                <w:rFonts w:cs="Calibri"/>
                <w:szCs w:val="18"/>
              </w:rPr>
              <w:t>Fiji / Disaster Risk Management – Tropical Cyclone Winston: Recovery Package</w:t>
            </w:r>
          </w:p>
        </w:tc>
        <w:tc>
          <w:tcPr>
            <w:tcW w:w="1276" w:type="dxa"/>
            <w:shd w:val="clear" w:color="auto" w:fill="auto"/>
            <w:hideMark/>
          </w:tcPr>
          <w:p w14:paraId="24216FF5" w14:textId="77777777" w:rsidR="00B71B4E" w:rsidRPr="00BD16B4" w:rsidRDefault="00B71B4E" w:rsidP="00F31129">
            <w:pPr>
              <w:pStyle w:val="TableText"/>
              <w:spacing w:before="40" w:after="40"/>
              <w:jc w:val="center"/>
              <w:rPr>
                <w:rFonts w:cs="Calibri"/>
                <w:szCs w:val="18"/>
              </w:rPr>
            </w:pPr>
            <w:r w:rsidRPr="00BD16B4">
              <w:rPr>
                <w:rFonts w:cs="Calibri"/>
                <w:szCs w:val="18"/>
              </w:rPr>
              <w:t>0.20</w:t>
            </w:r>
          </w:p>
        </w:tc>
        <w:tc>
          <w:tcPr>
            <w:tcW w:w="1345" w:type="dxa"/>
            <w:shd w:val="clear" w:color="auto" w:fill="auto"/>
            <w:noWrap/>
            <w:hideMark/>
          </w:tcPr>
          <w:p w14:paraId="31D0E139" w14:textId="77777777" w:rsidR="00B71B4E" w:rsidRPr="00BD16B4" w:rsidRDefault="00B71B4E" w:rsidP="00F31129">
            <w:pPr>
              <w:pStyle w:val="TableText"/>
              <w:spacing w:before="40" w:after="40"/>
              <w:jc w:val="center"/>
              <w:rPr>
                <w:rFonts w:cs="Calibri"/>
                <w:szCs w:val="18"/>
              </w:rPr>
            </w:pPr>
            <w:r w:rsidRPr="00BD16B4">
              <w:rPr>
                <w:rFonts w:cs="Calibri"/>
                <w:szCs w:val="18"/>
              </w:rPr>
              <w:t>0.13</w:t>
            </w:r>
          </w:p>
        </w:tc>
        <w:tc>
          <w:tcPr>
            <w:tcW w:w="1015" w:type="dxa"/>
            <w:shd w:val="clear" w:color="auto" w:fill="auto"/>
            <w:noWrap/>
            <w:hideMark/>
          </w:tcPr>
          <w:p w14:paraId="355D0BAB"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4D956F4B"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78DB77B8"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168CC821"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31E65E40" w14:textId="77777777" w:rsidR="00B71B4E" w:rsidRPr="00BD16B4" w:rsidRDefault="00B71B4E" w:rsidP="00F31129">
            <w:pPr>
              <w:pStyle w:val="TableText"/>
              <w:spacing w:before="40" w:after="40"/>
              <w:rPr>
                <w:rFonts w:cs="Calibri"/>
                <w:szCs w:val="18"/>
              </w:rPr>
            </w:pPr>
            <w:r w:rsidRPr="00BD16B4">
              <w:rPr>
                <w:rFonts w:cs="Calibri"/>
                <w:szCs w:val="18"/>
              </w:rPr>
              <w:t>Humanitarian</w:t>
            </w:r>
          </w:p>
        </w:tc>
      </w:tr>
      <w:tr w:rsidR="00B71B4E" w:rsidRPr="00BD16B4" w14:paraId="058D14D7" w14:textId="77777777" w:rsidTr="00F31129">
        <w:tc>
          <w:tcPr>
            <w:tcW w:w="5387" w:type="dxa"/>
            <w:shd w:val="clear" w:color="auto" w:fill="auto"/>
            <w:hideMark/>
          </w:tcPr>
          <w:p w14:paraId="273DE1D1" w14:textId="77777777" w:rsidR="00B71B4E" w:rsidRPr="00BD16B4" w:rsidRDefault="00B71B4E" w:rsidP="00F31129">
            <w:pPr>
              <w:pStyle w:val="TableText"/>
              <w:spacing w:before="40" w:after="40"/>
              <w:rPr>
                <w:rFonts w:cs="Calibri"/>
                <w:szCs w:val="18"/>
              </w:rPr>
            </w:pPr>
            <w:r w:rsidRPr="00BD16B4">
              <w:rPr>
                <w:rFonts w:cs="Calibri"/>
                <w:szCs w:val="18"/>
              </w:rPr>
              <w:t>Fiji / Ministry for Primary Industries – Biosecurity Authority of Fiji Biosecurity Activity</w:t>
            </w:r>
          </w:p>
        </w:tc>
        <w:tc>
          <w:tcPr>
            <w:tcW w:w="1276" w:type="dxa"/>
            <w:shd w:val="clear" w:color="auto" w:fill="auto"/>
            <w:hideMark/>
          </w:tcPr>
          <w:p w14:paraId="0C0CE46C" w14:textId="77777777" w:rsidR="00B71B4E" w:rsidRPr="00BD16B4" w:rsidRDefault="00B71B4E" w:rsidP="00F31129">
            <w:pPr>
              <w:pStyle w:val="TableText"/>
              <w:spacing w:before="40" w:after="40"/>
              <w:jc w:val="center"/>
              <w:rPr>
                <w:rFonts w:cs="Calibri"/>
                <w:szCs w:val="18"/>
              </w:rPr>
            </w:pPr>
            <w:r w:rsidRPr="00BD16B4">
              <w:rPr>
                <w:rFonts w:cs="Calibri"/>
                <w:szCs w:val="18"/>
              </w:rPr>
              <w:t>0.13</w:t>
            </w:r>
          </w:p>
        </w:tc>
        <w:tc>
          <w:tcPr>
            <w:tcW w:w="1345" w:type="dxa"/>
            <w:shd w:val="clear" w:color="auto" w:fill="auto"/>
            <w:noWrap/>
            <w:hideMark/>
          </w:tcPr>
          <w:p w14:paraId="65A3C060" w14:textId="77777777" w:rsidR="00B71B4E" w:rsidRPr="00BD16B4" w:rsidRDefault="00B71B4E" w:rsidP="00F31129">
            <w:pPr>
              <w:pStyle w:val="TableText"/>
              <w:spacing w:before="40" w:after="40"/>
              <w:jc w:val="center"/>
              <w:rPr>
                <w:rFonts w:cs="Calibri"/>
                <w:szCs w:val="18"/>
              </w:rPr>
            </w:pPr>
            <w:r w:rsidRPr="00BD16B4">
              <w:rPr>
                <w:rFonts w:cs="Calibri"/>
                <w:szCs w:val="18"/>
              </w:rPr>
              <w:t>0.09</w:t>
            </w:r>
          </w:p>
        </w:tc>
        <w:tc>
          <w:tcPr>
            <w:tcW w:w="1015" w:type="dxa"/>
            <w:shd w:val="clear" w:color="auto" w:fill="auto"/>
            <w:noWrap/>
            <w:hideMark/>
          </w:tcPr>
          <w:p w14:paraId="5618051B"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7288BBAA"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2946751"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124C39F6" w14:textId="77777777" w:rsidR="00B71B4E" w:rsidRPr="00BD16B4" w:rsidRDefault="00B71B4E" w:rsidP="00F31129">
            <w:pPr>
              <w:pStyle w:val="TableText"/>
              <w:spacing w:before="40" w:after="40"/>
              <w:rPr>
                <w:rFonts w:cs="Calibri"/>
                <w:szCs w:val="18"/>
              </w:rPr>
            </w:pPr>
            <w:r w:rsidRPr="00BD16B4">
              <w:rPr>
                <w:rFonts w:cs="Calibri"/>
                <w:szCs w:val="18"/>
              </w:rPr>
              <w:t>Mitigation</w:t>
            </w:r>
          </w:p>
        </w:tc>
        <w:tc>
          <w:tcPr>
            <w:tcW w:w="2335" w:type="dxa"/>
            <w:shd w:val="clear" w:color="auto" w:fill="auto"/>
            <w:noWrap/>
            <w:hideMark/>
          </w:tcPr>
          <w:p w14:paraId="11585A4E"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72BC190E" w14:textId="77777777" w:rsidTr="00F31129">
        <w:tc>
          <w:tcPr>
            <w:tcW w:w="5387" w:type="dxa"/>
            <w:shd w:val="clear" w:color="auto" w:fill="auto"/>
            <w:hideMark/>
          </w:tcPr>
          <w:p w14:paraId="10653FEB" w14:textId="77777777" w:rsidR="00B71B4E" w:rsidRPr="00BD16B4" w:rsidRDefault="00B71B4E" w:rsidP="00F31129">
            <w:pPr>
              <w:pStyle w:val="TableText"/>
              <w:spacing w:before="40" w:after="40"/>
              <w:rPr>
                <w:rFonts w:cs="Calibri"/>
                <w:szCs w:val="18"/>
              </w:rPr>
            </w:pPr>
            <w:r w:rsidRPr="00BD16B4">
              <w:rPr>
                <w:rFonts w:cs="Calibri"/>
                <w:szCs w:val="18"/>
              </w:rPr>
              <w:t>Fiji / Tuna Longline Fisheries</w:t>
            </w:r>
          </w:p>
        </w:tc>
        <w:tc>
          <w:tcPr>
            <w:tcW w:w="1276" w:type="dxa"/>
            <w:shd w:val="clear" w:color="auto" w:fill="auto"/>
            <w:hideMark/>
          </w:tcPr>
          <w:p w14:paraId="1751DC9C" w14:textId="77777777" w:rsidR="00B71B4E" w:rsidRPr="00BD16B4" w:rsidRDefault="00B71B4E" w:rsidP="00F31129">
            <w:pPr>
              <w:pStyle w:val="TableText"/>
              <w:spacing w:before="40" w:after="40"/>
              <w:jc w:val="center"/>
              <w:rPr>
                <w:rFonts w:cs="Calibri"/>
                <w:szCs w:val="18"/>
              </w:rPr>
            </w:pPr>
            <w:r w:rsidRPr="00BD16B4">
              <w:rPr>
                <w:rFonts w:cs="Calibri"/>
                <w:szCs w:val="18"/>
              </w:rPr>
              <w:t>0.14</w:t>
            </w:r>
          </w:p>
        </w:tc>
        <w:tc>
          <w:tcPr>
            <w:tcW w:w="1345" w:type="dxa"/>
            <w:shd w:val="clear" w:color="auto" w:fill="auto"/>
            <w:noWrap/>
            <w:hideMark/>
          </w:tcPr>
          <w:p w14:paraId="3A891607" w14:textId="77777777" w:rsidR="00B71B4E" w:rsidRPr="00BD16B4" w:rsidRDefault="00B71B4E" w:rsidP="00F31129">
            <w:pPr>
              <w:pStyle w:val="TableText"/>
              <w:spacing w:before="40" w:after="40"/>
              <w:jc w:val="center"/>
              <w:rPr>
                <w:rFonts w:cs="Calibri"/>
                <w:szCs w:val="18"/>
              </w:rPr>
            </w:pPr>
            <w:r w:rsidRPr="00BD16B4">
              <w:rPr>
                <w:rFonts w:cs="Calibri"/>
                <w:szCs w:val="18"/>
              </w:rPr>
              <w:t>0.09</w:t>
            </w:r>
          </w:p>
        </w:tc>
        <w:tc>
          <w:tcPr>
            <w:tcW w:w="1015" w:type="dxa"/>
            <w:shd w:val="clear" w:color="auto" w:fill="auto"/>
            <w:noWrap/>
            <w:hideMark/>
          </w:tcPr>
          <w:p w14:paraId="381EDDB7"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132C80C9"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2D55678D"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40725F78" w14:textId="77777777" w:rsidR="00B71B4E" w:rsidRPr="00BD16B4" w:rsidRDefault="00B71B4E" w:rsidP="00F31129">
            <w:pPr>
              <w:pStyle w:val="TableText"/>
              <w:spacing w:before="40" w:after="40"/>
              <w:rPr>
                <w:rFonts w:cs="Calibri"/>
                <w:szCs w:val="18"/>
              </w:rPr>
            </w:pPr>
            <w:r w:rsidRPr="00BD16B4">
              <w:rPr>
                <w:rFonts w:cs="Calibri"/>
                <w:szCs w:val="18"/>
              </w:rPr>
              <w:t>Mitigation</w:t>
            </w:r>
          </w:p>
        </w:tc>
        <w:tc>
          <w:tcPr>
            <w:tcW w:w="2335" w:type="dxa"/>
            <w:shd w:val="clear" w:color="auto" w:fill="auto"/>
            <w:noWrap/>
            <w:hideMark/>
          </w:tcPr>
          <w:p w14:paraId="7EC550DD" w14:textId="77777777" w:rsidR="00B71B4E" w:rsidRPr="00BD16B4" w:rsidRDefault="00B71B4E" w:rsidP="00F31129">
            <w:pPr>
              <w:pStyle w:val="TableText"/>
              <w:spacing w:before="40" w:after="40"/>
              <w:rPr>
                <w:rFonts w:cs="Calibri"/>
                <w:szCs w:val="18"/>
              </w:rPr>
            </w:pPr>
            <w:r w:rsidRPr="00BD16B4">
              <w:rPr>
                <w:rFonts w:cs="Calibri"/>
                <w:szCs w:val="18"/>
              </w:rPr>
              <w:t>Fishing</w:t>
            </w:r>
          </w:p>
        </w:tc>
      </w:tr>
      <w:tr w:rsidR="00B71B4E" w:rsidRPr="00BD16B4" w14:paraId="75986276" w14:textId="77777777" w:rsidTr="00F31129">
        <w:tc>
          <w:tcPr>
            <w:tcW w:w="5387" w:type="dxa"/>
            <w:shd w:val="clear" w:color="auto" w:fill="auto"/>
            <w:hideMark/>
          </w:tcPr>
          <w:p w14:paraId="351A2825" w14:textId="77777777" w:rsidR="00B71B4E" w:rsidRPr="00BD16B4" w:rsidRDefault="00B71B4E" w:rsidP="00F31129">
            <w:pPr>
              <w:pStyle w:val="TableText"/>
              <w:spacing w:before="40" w:after="40"/>
              <w:rPr>
                <w:rFonts w:cs="Calibri"/>
                <w:szCs w:val="18"/>
              </w:rPr>
            </w:pPr>
            <w:r w:rsidRPr="00BD16B4">
              <w:rPr>
                <w:rFonts w:cs="Calibri"/>
                <w:szCs w:val="18"/>
              </w:rPr>
              <w:lastRenderedPageBreak/>
              <w:t>Fiji / Habitat Training for Disaster Risk Reduction in Fiji</w:t>
            </w:r>
          </w:p>
        </w:tc>
        <w:tc>
          <w:tcPr>
            <w:tcW w:w="1276" w:type="dxa"/>
            <w:shd w:val="clear" w:color="auto" w:fill="auto"/>
            <w:hideMark/>
          </w:tcPr>
          <w:p w14:paraId="4782E93C" w14:textId="77777777" w:rsidR="00B71B4E" w:rsidRPr="00BD16B4" w:rsidRDefault="00B71B4E" w:rsidP="00F31129">
            <w:pPr>
              <w:pStyle w:val="TableText"/>
              <w:spacing w:before="40" w:after="40"/>
              <w:jc w:val="center"/>
              <w:rPr>
                <w:rFonts w:cs="Calibri"/>
                <w:szCs w:val="18"/>
              </w:rPr>
            </w:pPr>
            <w:r w:rsidRPr="00BD16B4">
              <w:rPr>
                <w:rFonts w:cs="Calibri"/>
                <w:szCs w:val="18"/>
              </w:rPr>
              <w:t>0.19</w:t>
            </w:r>
          </w:p>
        </w:tc>
        <w:tc>
          <w:tcPr>
            <w:tcW w:w="1345" w:type="dxa"/>
            <w:shd w:val="clear" w:color="auto" w:fill="auto"/>
            <w:noWrap/>
            <w:hideMark/>
          </w:tcPr>
          <w:p w14:paraId="043A7BD1" w14:textId="77777777" w:rsidR="00B71B4E" w:rsidRPr="00BD16B4" w:rsidRDefault="00B71B4E" w:rsidP="00F31129">
            <w:pPr>
              <w:pStyle w:val="TableText"/>
              <w:spacing w:before="40" w:after="40"/>
              <w:jc w:val="center"/>
              <w:rPr>
                <w:rFonts w:cs="Calibri"/>
                <w:szCs w:val="18"/>
              </w:rPr>
            </w:pPr>
            <w:r w:rsidRPr="00BD16B4">
              <w:rPr>
                <w:rFonts w:cs="Calibri"/>
                <w:szCs w:val="18"/>
              </w:rPr>
              <w:t>0.12</w:t>
            </w:r>
          </w:p>
        </w:tc>
        <w:tc>
          <w:tcPr>
            <w:tcW w:w="1015" w:type="dxa"/>
            <w:shd w:val="clear" w:color="auto" w:fill="auto"/>
            <w:noWrap/>
            <w:hideMark/>
          </w:tcPr>
          <w:p w14:paraId="52ACAC4F"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455B330F"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56C2908D"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013063B8"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386E2BF0" w14:textId="77777777" w:rsidR="00B71B4E" w:rsidRPr="00BD16B4" w:rsidRDefault="00B71B4E" w:rsidP="00F31129">
            <w:pPr>
              <w:pStyle w:val="TableText"/>
              <w:spacing w:before="40" w:after="40"/>
              <w:rPr>
                <w:rFonts w:cs="Calibri"/>
                <w:szCs w:val="18"/>
              </w:rPr>
            </w:pPr>
            <w:r w:rsidRPr="00BD16B4">
              <w:rPr>
                <w:rFonts w:cs="Calibri"/>
                <w:szCs w:val="18"/>
              </w:rPr>
              <w:t>Humanitarian</w:t>
            </w:r>
          </w:p>
        </w:tc>
      </w:tr>
      <w:tr w:rsidR="00B71B4E" w:rsidRPr="00BD16B4" w14:paraId="15F72964" w14:textId="77777777" w:rsidTr="00F31129">
        <w:tc>
          <w:tcPr>
            <w:tcW w:w="5387" w:type="dxa"/>
            <w:shd w:val="clear" w:color="auto" w:fill="auto"/>
            <w:hideMark/>
          </w:tcPr>
          <w:p w14:paraId="72065116" w14:textId="77777777" w:rsidR="00B71B4E" w:rsidRPr="00BD16B4" w:rsidRDefault="00B71B4E" w:rsidP="00F31129">
            <w:pPr>
              <w:pStyle w:val="TableText"/>
              <w:spacing w:before="40" w:after="40"/>
              <w:rPr>
                <w:rFonts w:cs="Calibri"/>
                <w:szCs w:val="18"/>
              </w:rPr>
            </w:pPr>
            <w:r w:rsidRPr="00BD16B4">
              <w:rPr>
                <w:rFonts w:cs="Calibri"/>
                <w:szCs w:val="18"/>
              </w:rPr>
              <w:t>Pacific Regional / Ocean Acidification Partnership</w:t>
            </w:r>
          </w:p>
        </w:tc>
        <w:tc>
          <w:tcPr>
            <w:tcW w:w="1276" w:type="dxa"/>
            <w:shd w:val="clear" w:color="auto" w:fill="auto"/>
            <w:hideMark/>
          </w:tcPr>
          <w:p w14:paraId="77619B85" w14:textId="77777777" w:rsidR="00B71B4E" w:rsidRPr="00BD16B4" w:rsidRDefault="00B71B4E" w:rsidP="00F31129">
            <w:pPr>
              <w:pStyle w:val="TableText"/>
              <w:spacing w:before="40" w:after="40"/>
              <w:jc w:val="center"/>
              <w:rPr>
                <w:rFonts w:cs="Calibri"/>
                <w:szCs w:val="18"/>
              </w:rPr>
            </w:pPr>
            <w:r w:rsidRPr="00BD16B4">
              <w:rPr>
                <w:rFonts w:cs="Calibri"/>
                <w:szCs w:val="18"/>
              </w:rPr>
              <w:t>0.26</w:t>
            </w:r>
          </w:p>
        </w:tc>
        <w:tc>
          <w:tcPr>
            <w:tcW w:w="1345" w:type="dxa"/>
            <w:shd w:val="clear" w:color="auto" w:fill="auto"/>
            <w:noWrap/>
            <w:hideMark/>
          </w:tcPr>
          <w:p w14:paraId="7698381F" w14:textId="77777777" w:rsidR="00B71B4E" w:rsidRPr="00BD16B4" w:rsidRDefault="00B71B4E" w:rsidP="00F31129">
            <w:pPr>
              <w:pStyle w:val="TableText"/>
              <w:spacing w:before="40" w:after="40"/>
              <w:jc w:val="center"/>
              <w:rPr>
                <w:rFonts w:cs="Calibri"/>
                <w:szCs w:val="18"/>
              </w:rPr>
            </w:pPr>
            <w:r w:rsidRPr="00BD16B4">
              <w:rPr>
                <w:rFonts w:cs="Calibri"/>
                <w:szCs w:val="18"/>
              </w:rPr>
              <w:t>0.17</w:t>
            </w:r>
          </w:p>
        </w:tc>
        <w:tc>
          <w:tcPr>
            <w:tcW w:w="1015" w:type="dxa"/>
            <w:shd w:val="clear" w:color="auto" w:fill="auto"/>
            <w:noWrap/>
            <w:hideMark/>
          </w:tcPr>
          <w:p w14:paraId="48ADF260"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5438231E"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8A8125D"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2D532CF"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380AEB71"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5A742883" w14:textId="77777777" w:rsidTr="00F31129">
        <w:tc>
          <w:tcPr>
            <w:tcW w:w="5387" w:type="dxa"/>
            <w:shd w:val="clear" w:color="auto" w:fill="auto"/>
            <w:hideMark/>
          </w:tcPr>
          <w:p w14:paraId="45FBA4EA" w14:textId="77777777" w:rsidR="00B71B4E" w:rsidRPr="00BD16B4" w:rsidRDefault="00B71B4E" w:rsidP="00F31129">
            <w:pPr>
              <w:pStyle w:val="TableText"/>
              <w:spacing w:before="40" w:after="40"/>
              <w:rPr>
                <w:rFonts w:cs="Calibri"/>
                <w:szCs w:val="18"/>
              </w:rPr>
            </w:pPr>
            <w:r w:rsidRPr="00BD16B4">
              <w:rPr>
                <w:rFonts w:cs="Calibri"/>
                <w:szCs w:val="18"/>
              </w:rPr>
              <w:t>Pacific Regional / Pacific Islands Emergency Management Alliance</w:t>
            </w:r>
          </w:p>
        </w:tc>
        <w:tc>
          <w:tcPr>
            <w:tcW w:w="1276" w:type="dxa"/>
            <w:shd w:val="clear" w:color="auto" w:fill="auto"/>
            <w:hideMark/>
          </w:tcPr>
          <w:p w14:paraId="61F278B3" w14:textId="77777777" w:rsidR="00B71B4E" w:rsidRPr="00BD16B4" w:rsidRDefault="00B71B4E" w:rsidP="00F31129">
            <w:pPr>
              <w:pStyle w:val="TableText"/>
              <w:spacing w:before="40" w:after="40"/>
              <w:jc w:val="center"/>
              <w:rPr>
                <w:rFonts w:cs="Calibri"/>
                <w:szCs w:val="18"/>
              </w:rPr>
            </w:pPr>
            <w:r w:rsidRPr="00BD16B4">
              <w:rPr>
                <w:rFonts w:cs="Calibri"/>
                <w:szCs w:val="18"/>
              </w:rPr>
              <w:t>0.31</w:t>
            </w:r>
          </w:p>
        </w:tc>
        <w:tc>
          <w:tcPr>
            <w:tcW w:w="1345" w:type="dxa"/>
            <w:shd w:val="clear" w:color="auto" w:fill="auto"/>
            <w:noWrap/>
            <w:hideMark/>
          </w:tcPr>
          <w:p w14:paraId="2E0D671C" w14:textId="77777777" w:rsidR="00B71B4E" w:rsidRPr="00BD16B4" w:rsidRDefault="00B71B4E" w:rsidP="00F31129">
            <w:pPr>
              <w:pStyle w:val="TableText"/>
              <w:spacing w:before="40" w:after="40"/>
              <w:jc w:val="center"/>
              <w:rPr>
                <w:rFonts w:cs="Calibri"/>
                <w:szCs w:val="18"/>
              </w:rPr>
            </w:pPr>
            <w:r w:rsidRPr="00BD16B4">
              <w:rPr>
                <w:rFonts w:cs="Calibri"/>
                <w:szCs w:val="18"/>
              </w:rPr>
              <w:t>0.21</w:t>
            </w:r>
          </w:p>
        </w:tc>
        <w:tc>
          <w:tcPr>
            <w:tcW w:w="1015" w:type="dxa"/>
            <w:shd w:val="clear" w:color="auto" w:fill="auto"/>
            <w:noWrap/>
            <w:hideMark/>
          </w:tcPr>
          <w:p w14:paraId="53396F38"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5D6C8D36"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2872309A"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FBF5192"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29A92EC6" w14:textId="77777777" w:rsidR="00B71B4E" w:rsidRPr="00BD16B4" w:rsidRDefault="00B71B4E" w:rsidP="00F31129">
            <w:pPr>
              <w:pStyle w:val="TableText"/>
              <w:spacing w:before="40" w:after="40"/>
              <w:rPr>
                <w:rFonts w:cs="Calibri"/>
                <w:szCs w:val="18"/>
              </w:rPr>
            </w:pPr>
            <w:r w:rsidRPr="00BD16B4">
              <w:rPr>
                <w:rFonts w:cs="Calibri"/>
                <w:szCs w:val="18"/>
              </w:rPr>
              <w:t>Humanitarian</w:t>
            </w:r>
          </w:p>
        </w:tc>
      </w:tr>
      <w:tr w:rsidR="00B71B4E" w:rsidRPr="00BD16B4" w14:paraId="1EEE158F" w14:textId="77777777" w:rsidTr="00F31129">
        <w:tc>
          <w:tcPr>
            <w:tcW w:w="5387" w:type="dxa"/>
            <w:shd w:val="clear" w:color="auto" w:fill="auto"/>
            <w:hideMark/>
          </w:tcPr>
          <w:p w14:paraId="3543077A" w14:textId="77777777" w:rsidR="00B71B4E" w:rsidRPr="00BD16B4" w:rsidRDefault="00B71B4E" w:rsidP="00F31129">
            <w:pPr>
              <w:pStyle w:val="TableText"/>
              <w:spacing w:before="40" w:after="40"/>
              <w:rPr>
                <w:rFonts w:cs="Calibri"/>
                <w:szCs w:val="18"/>
              </w:rPr>
            </w:pPr>
            <w:r w:rsidRPr="00BD16B4">
              <w:rPr>
                <w:rFonts w:cs="Calibri"/>
                <w:szCs w:val="18"/>
              </w:rPr>
              <w:t>Worldwide / New Zealand Red Cross Partnership 2018–23</w:t>
            </w:r>
          </w:p>
        </w:tc>
        <w:tc>
          <w:tcPr>
            <w:tcW w:w="1276" w:type="dxa"/>
            <w:shd w:val="clear" w:color="auto" w:fill="auto"/>
            <w:hideMark/>
          </w:tcPr>
          <w:p w14:paraId="67829DA6" w14:textId="77777777" w:rsidR="00B71B4E" w:rsidRPr="00BD16B4" w:rsidRDefault="00B71B4E" w:rsidP="00F31129">
            <w:pPr>
              <w:pStyle w:val="TableText"/>
              <w:spacing w:before="40" w:after="40"/>
              <w:jc w:val="center"/>
              <w:rPr>
                <w:rFonts w:cs="Calibri"/>
                <w:szCs w:val="18"/>
              </w:rPr>
            </w:pPr>
            <w:r w:rsidRPr="00BD16B4">
              <w:rPr>
                <w:rFonts w:cs="Calibri"/>
                <w:szCs w:val="18"/>
              </w:rPr>
              <w:t>0.64</w:t>
            </w:r>
          </w:p>
        </w:tc>
        <w:tc>
          <w:tcPr>
            <w:tcW w:w="1345" w:type="dxa"/>
            <w:shd w:val="clear" w:color="auto" w:fill="auto"/>
            <w:noWrap/>
            <w:hideMark/>
          </w:tcPr>
          <w:p w14:paraId="18E6CA57" w14:textId="77777777" w:rsidR="00B71B4E" w:rsidRPr="00BD16B4" w:rsidRDefault="00B71B4E" w:rsidP="00F31129">
            <w:pPr>
              <w:pStyle w:val="TableText"/>
              <w:spacing w:before="40" w:after="40"/>
              <w:jc w:val="center"/>
              <w:rPr>
                <w:rFonts w:cs="Calibri"/>
                <w:szCs w:val="18"/>
              </w:rPr>
            </w:pPr>
            <w:r w:rsidRPr="00BD16B4">
              <w:rPr>
                <w:rFonts w:cs="Calibri"/>
                <w:szCs w:val="18"/>
              </w:rPr>
              <w:t>0.42</w:t>
            </w:r>
          </w:p>
        </w:tc>
        <w:tc>
          <w:tcPr>
            <w:tcW w:w="1015" w:type="dxa"/>
            <w:shd w:val="clear" w:color="auto" w:fill="auto"/>
            <w:noWrap/>
            <w:hideMark/>
          </w:tcPr>
          <w:p w14:paraId="68ED27B2"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6D18CB6D"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6B4106C9"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8AE4654"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10CCE15B" w14:textId="77777777" w:rsidR="00B71B4E" w:rsidRPr="00BD16B4" w:rsidRDefault="00B71B4E" w:rsidP="00F31129">
            <w:pPr>
              <w:pStyle w:val="TableText"/>
              <w:spacing w:before="40" w:after="40"/>
              <w:rPr>
                <w:rFonts w:cs="Calibri"/>
                <w:szCs w:val="18"/>
              </w:rPr>
            </w:pPr>
            <w:r w:rsidRPr="00BD16B4">
              <w:rPr>
                <w:rFonts w:cs="Calibri"/>
                <w:szCs w:val="18"/>
              </w:rPr>
              <w:t>Humanitarian</w:t>
            </w:r>
          </w:p>
        </w:tc>
      </w:tr>
      <w:tr w:rsidR="00B71B4E" w:rsidRPr="00BD16B4" w14:paraId="6E1517AE" w14:textId="77777777" w:rsidTr="00F31129">
        <w:tc>
          <w:tcPr>
            <w:tcW w:w="5387" w:type="dxa"/>
            <w:shd w:val="clear" w:color="auto" w:fill="auto"/>
            <w:hideMark/>
          </w:tcPr>
          <w:p w14:paraId="2EBDDCF3" w14:textId="77777777" w:rsidR="00B71B4E" w:rsidRPr="00BD16B4" w:rsidRDefault="00B71B4E" w:rsidP="00F31129">
            <w:pPr>
              <w:pStyle w:val="TableText"/>
              <w:spacing w:before="40" w:after="40"/>
              <w:rPr>
                <w:rFonts w:cs="Calibri"/>
                <w:szCs w:val="18"/>
              </w:rPr>
            </w:pPr>
            <w:r w:rsidRPr="00BD16B4">
              <w:rPr>
                <w:rFonts w:cs="Calibri"/>
                <w:szCs w:val="18"/>
              </w:rPr>
              <w:t>Kiribati / Energy and Public Utility Reform</w:t>
            </w:r>
          </w:p>
        </w:tc>
        <w:tc>
          <w:tcPr>
            <w:tcW w:w="1276" w:type="dxa"/>
            <w:shd w:val="clear" w:color="auto" w:fill="auto"/>
            <w:hideMark/>
          </w:tcPr>
          <w:p w14:paraId="44D2337D" w14:textId="77777777" w:rsidR="00B71B4E" w:rsidRPr="00BD16B4" w:rsidRDefault="00B71B4E" w:rsidP="00F31129">
            <w:pPr>
              <w:pStyle w:val="TableText"/>
              <w:spacing w:before="40" w:after="40"/>
              <w:jc w:val="center"/>
              <w:rPr>
                <w:rFonts w:cs="Calibri"/>
                <w:szCs w:val="18"/>
              </w:rPr>
            </w:pPr>
            <w:r w:rsidRPr="00BD16B4">
              <w:rPr>
                <w:rFonts w:cs="Calibri"/>
                <w:szCs w:val="18"/>
              </w:rPr>
              <w:t>0.13</w:t>
            </w:r>
          </w:p>
        </w:tc>
        <w:tc>
          <w:tcPr>
            <w:tcW w:w="1345" w:type="dxa"/>
            <w:shd w:val="clear" w:color="auto" w:fill="auto"/>
            <w:noWrap/>
            <w:hideMark/>
          </w:tcPr>
          <w:p w14:paraId="4F0E1AC0" w14:textId="77777777" w:rsidR="00B71B4E" w:rsidRPr="00BD16B4" w:rsidRDefault="00B71B4E" w:rsidP="00F31129">
            <w:pPr>
              <w:pStyle w:val="TableText"/>
              <w:spacing w:before="40" w:after="40"/>
              <w:jc w:val="center"/>
              <w:rPr>
                <w:rFonts w:cs="Calibri"/>
                <w:szCs w:val="18"/>
              </w:rPr>
            </w:pPr>
            <w:r w:rsidRPr="00BD16B4">
              <w:rPr>
                <w:rFonts w:cs="Calibri"/>
                <w:szCs w:val="18"/>
              </w:rPr>
              <w:t>0.08</w:t>
            </w:r>
          </w:p>
        </w:tc>
        <w:tc>
          <w:tcPr>
            <w:tcW w:w="1015" w:type="dxa"/>
            <w:shd w:val="clear" w:color="auto" w:fill="auto"/>
            <w:noWrap/>
            <w:hideMark/>
          </w:tcPr>
          <w:p w14:paraId="6B251782"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0903B550"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6E4F84DE"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7BA92B6F" w14:textId="77777777" w:rsidR="00B71B4E" w:rsidRPr="00BD16B4" w:rsidRDefault="00B71B4E" w:rsidP="00F31129">
            <w:pPr>
              <w:pStyle w:val="TableText"/>
              <w:spacing w:before="40" w:after="40"/>
              <w:rPr>
                <w:rFonts w:cs="Calibri"/>
                <w:szCs w:val="18"/>
              </w:rPr>
            </w:pPr>
            <w:r w:rsidRPr="00BD16B4">
              <w:rPr>
                <w:rFonts w:cs="Calibri"/>
                <w:szCs w:val="18"/>
              </w:rPr>
              <w:t>Mitigation</w:t>
            </w:r>
          </w:p>
        </w:tc>
        <w:tc>
          <w:tcPr>
            <w:tcW w:w="2335" w:type="dxa"/>
            <w:shd w:val="clear" w:color="auto" w:fill="auto"/>
            <w:noWrap/>
            <w:hideMark/>
          </w:tcPr>
          <w:p w14:paraId="23F44C05"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12A5A3C4" w14:textId="77777777" w:rsidTr="00F31129">
        <w:tc>
          <w:tcPr>
            <w:tcW w:w="5387" w:type="dxa"/>
            <w:shd w:val="clear" w:color="auto" w:fill="auto"/>
            <w:hideMark/>
          </w:tcPr>
          <w:p w14:paraId="3A3A736F" w14:textId="77777777" w:rsidR="00B71B4E" w:rsidRPr="00BD16B4" w:rsidRDefault="00B71B4E" w:rsidP="00F31129">
            <w:pPr>
              <w:pStyle w:val="TableText"/>
              <w:spacing w:before="40" w:after="40"/>
              <w:rPr>
                <w:rFonts w:cs="Calibri"/>
                <w:szCs w:val="18"/>
              </w:rPr>
            </w:pPr>
            <w:r w:rsidRPr="00BD16B4">
              <w:rPr>
                <w:rFonts w:cs="Calibri"/>
                <w:szCs w:val="18"/>
              </w:rPr>
              <w:t>Kiribati / Improved Sanitation</w:t>
            </w:r>
          </w:p>
        </w:tc>
        <w:tc>
          <w:tcPr>
            <w:tcW w:w="1276" w:type="dxa"/>
            <w:shd w:val="clear" w:color="auto" w:fill="auto"/>
            <w:hideMark/>
          </w:tcPr>
          <w:p w14:paraId="6F6B41A9" w14:textId="77777777" w:rsidR="00B71B4E" w:rsidRPr="00BD16B4" w:rsidRDefault="00B71B4E" w:rsidP="00F31129">
            <w:pPr>
              <w:pStyle w:val="TableText"/>
              <w:spacing w:before="40" w:after="40"/>
              <w:jc w:val="center"/>
              <w:rPr>
                <w:rFonts w:cs="Calibri"/>
                <w:szCs w:val="18"/>
              </w:rPr>
            </w:pPr>
            <w:r w:rsidRPr="00BD16B4">
              <w:rPr>
                <w:rFonts w:cs="Calibri"/>
                <w:szCs w:val="18"/>
              </w:rPr>
              <w:t>0.22</w:t>
            </w:r>
          </w:p>
        </w:tc>
        <w:tc>
          <w:tcPr>
            <w:tcW w:w="1345" w:type="dxa"/>
            <w:shd w:val="clear" w:color="auto" w:fill="auto"/>
            <w:noWrap/>
            <w:hideMark/>
          </w:tcPr>
          <w:p w14:paraId="00C2F685" w14:textId="77777777" w:rsidR="00B71B4E" w:rsidRPr="00BD16B4" w:rsidRDefault="00B71B4E" w:rsidP="00F31129">
            <w:pPr>
              <w:pStyle w:val="TableText"/>
              <w:spacing w:before="40" w:after="40"/>
              <w:jc w:val="center"/>
              <w:rPr>
                <w:rFonts w:cs="Calibri"/>
                <w:szCs w:val="18"/>
              </w:rPr>
            </w:pPr>
            <w:r w:rsidRPr="00BD16B4">
              <w:rPr>
                <w:rFonts w:cs="Calibri"/>
                <w:szCs w:val="18"/>
              </w:rPr>
              <w:t>0.15</w:t>
            </w:r>
          </w:p>
        </w:tc>
        <w:tc>
          <w:tcPr>
            <w:tcW w:w="1015" w:type="dxa"/>
            <w:shd w:val="clear" w:color="auto" w:fill="auto"/>
            <w:noWrap/>
            <w:hideMark/>
          </w:tcPr>
          <w:p w14:paraId="52780530"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616BD71B"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12815DB"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79DB2D60"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6868AC44" w14:textId="77777777" w:rsidR="00B71B4E" w:rsidRPr="00BD16B4" w:rsidRDefault="00B71B4E" w:rsidP="00F31129">
            <w:pPr>
              <w:pStyle w:val="TableText"/>
              <w:spacing w:before="40" w:after="40"/>
              <w:rPr>
                <w:rFonts w:cs="Calibri"/>
                <w:szCs w:val="18"/>
              </w:rPr>
            </w:pPr>
            <w:r w:rsidRPr="00BD16B4">
              <w:rPr>
                <w:rFonts w:cs="Calibri"/>
                <w:szCs w:val="18"/>
              </w:rPr>
              <w:t>Water and sanitation</w:t>
            </w:r>
          </w:p>
        </w:tc>
      </w:tr>
      <w:tr w:rsidR="00B71B4E" w:rsidRPr="00BD16B4" w14:paraId="5D3C7ED9" w14:textId="77777777" w:rsidTr="00F31129">
        <w:tc>
          <w:tcPr>
            <w:tcW w:w="5387" w:type="dxa"/>
            <w:shd w:val="clear" w:color="auto" w:fill="auto"/>
            <w:hideMark/>
          </w:tcPr>
          <w:p w14:paraId="778861BA" w14:textId="77777777" w:rsidR="00B71B4E" w:rsidRPr="00BD16B4" w:rsidRDefault="00B71B4E" w:rsidP="00F31129">
            <w:pPr>
              <w:pStyle w:val="TableText"/>
              <w:spacing w:before="40" w:after="40"/>
              <w:rPr>
                <w:rFonts w:cs="Calibri"/>
                <w:szCs w:val="18"/>
              </w:rPr>
            </w:pPr>
            <w:r w:rsidRPr="00BD16B4">
              <w:rPr>
                <w:rFonts w:cs="Calibri"/>
                <w:szCs w:val="18"/>
              </w:rPr>
              <w:t>Kiribati / Energy Project (Kiritimati)</w:t>
            </w:r>
          </w:p>
        </w:tc>
        <w:tc>
          <w:tcPr>
            <w:tcW w:w="1276" w:type="dxa"/>
            <w:shd w:val="clear" w:color="auto" w:fill="auto"/>
            <w:hideMark/>
          </w:tcPr>
          <w:p w14:paraId="461A205E" w14:textId="77777777" w:rsidR="00B71B4E" w:rsidRPr="00BD16B4" w:rsidRDefault="00B71B4E" w:rsidP="00F31129">
            <w:pPr>
              <w:pStyle w:val="TableText"/>
              <w:spacing w:before="40" w:after="40"/>
              <w:jc w:val="center"/>
              <w:rPr>
                <w:rFonts w:cs="Calibri"/>
                <w:szCs w:val="18"/>
              </w:rPr>
            </w:pPr>
            <w:r w:rsidRPr="00BD16B4">
              <w:rPr>
                <w:rFonts w:cs="Calibri"/>
                <w:szCs w:val="18"/>
              </w:rPr>
              <w:t>0.16</w:t>
            </w:r>
          </w:p>
        </w:tc>
        <w:tc>
          <w:tcPr>
            <w:tcW w:w="1345" w:type="dxa"/>
            <w:shd w:val="clear" w:color="auto" w:fill="auto"/>
            <w:noWrap/>
            <w:hideMark/>
          </w:tcPr>
          <w:p w14:paraId="7358A377" w14:textId="77777777" w:rsidR="00B71B4E" w:rsidRPr="00BD16B4" w:rsidRDefault="00B71B4E" w:rsidP="00F31129">
            <w:pPr>
              <w:pStyle w:val="TableText"/>
              <w:spacing w:before="40" w:after="40"/>
              <w:jc w:val="center"/>
              <w:rPr>
                <w:rFonts w:cs="Calibri"/>
                <w:szCs w:val="18"/>
              </w:rPr>
            </w:pPr>
            <w:r w:rsidRPr="00BD16B4">
              <w:rPr>
                <w:rFonts w:cs="Calibri"/>
                <w:szCs w:val="18"/>
              </w:rPr>
              <w:t>0.10</w:t>
            </w:r>
          </w:p>
        </w:tc>
        <w:tc>
          <w:tcPr>
            <w:tcW w:w="1015" w:type="dxa"/>
            <w:shd w:val="clear" w:color="auto" w:fill="auto"/>
            <w:noWrap/>
            <w:hideMark/>
          </w:tcPr>
          <w:p w14:paraId="2A840CF5"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26F1EF3E"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2A73E801"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B9836F8" w14:textId="77777777" w:rsidR="00B71B4E" w:rsidRPr="00BD16B4" w:rsidRDefault="00B71B4E" w:rsidP="00F31129">
            <w:pPr>
              <w:pStyle w:val="TableText"/>
              <w:spacing w:before="40" w:after="40"/>
              <w:rPr>
                <w:rFonts w:cs="Calibri"/>
                <w:szCs w:val="18"/>
              </w:rPr>
            </w:pPr>
            <w:r w:rsidRPr="00BD16B4">
              <w:rPr>
                <w:rFonts w:cs="Calibri"/>
                <w:szCs w:val="18"/>
              </w:rPr>
              <w:t>Mitigation</w:t>
            </w:r>
          </w:p>
        </w:tc>
        <w:tc>
          <w:tcPr>
            <w:tcW w:w="2335" w:type="dxa"/>
            <w:shd w:val="clear" w:color="auto" w:fill="auto"/>
            <w:noWrap/>
            <w:hideMark/>
          </w:tcPr>
          <w:p w14:paraId="5981A24E"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5D84EFEB" w14:textId="77777777" w:rsidTr="00F31129">
        <w:tc>
          <w:tcPr>
            <w:tcW w:w="5387" w:type="dxa"/>
            <w:shd w:val="clear" w:color="auto" w:fill="auto"/>
            <w:hideMark/>
          </w:tcPr>
          <w:p w14:paraId="74DB35FA" w14:textId="77777777" w:rsidR="00B71B4E" w:rsidRPr="00BD16B4" w:rsidRDefault="00B71B4E" w:rsidP="00F31129">
            <w:pPr>
              <w:pStyle w:val="TableText"/>
              <w:spacing w:before="40" w:after="40"/>
              <w:rPr>
                <w:rFonts w:cs="Calibri"/>
                <w:szCs w:val="18"/>
              </w:rPr>
            </w:pPr>
            <w:r w:rsidRPr="00BD16B4">
              <w:rPr>
                <w:rFonts w:cs="Calibri"/>
                <w:szCs w:val="18"/>
              </w:rPr>
              <w:t>Kiribati / Water</w:t>
            </w:r>
          </w:p>
        </w:tc>
        <w:tc>
          <w:tcPr>
            <w:tcW w:w="1276" w:type="dxa"/>
            <w:shd w:val="clear" w:color="auto" w:fill="auto"/>
            <w:hideMark/>
          </w:tcPr>
          <w:p w14:paraId="18B2AE49" w14:textId="77777777" w:rsidR="00B71B4E" w:rsidRPr="00BD16B4" w:rsidRDefault="00B71B4E" w:rsidP="00F31129">
            <w:pPr>
              <w:pStyle w:val="TableText"/>
              <w:spacing w:before="40" w:after="40"/>
              <w:jc w:val="center"/>
              <w:rPr>
                <w:rFonts w:cs="Calibri"/>
                <w:szCs w:val="18"/>
              </w:rPr>
            </w:pPr>
            <w:r w:rsidRPr="00BD16B4">
              <w:rPr>
                <w:rFonts w:cs="Calibri"/>
                <w:szCs w:val="18"/>
              </w:rPr>
              <w:t>0.18</w:t>
            </w:r>
          </w:p>
        </w:tc>
        <w:tc>
          <w:tcPr>
            <w:tcW w:w="1345" w:type="dxa"/>
            <w:shd w:val="clear" w:color="auto" w:fill="auto"/>
            <w:noWrap/>
            <w:hideMark/>
          </w:tcPr>
          <w:p w14:paraId="19D4E0BE" w14:textId="77777777" w:rsidR="00B71B4E" w:rsidRPr="00BD16B4" w:rsidRDefault="00B71B4E" w:rsidP="00F31129">
            <w:pPr>
              <w:pStyle w:val="TableText"/>
              <w:spacing w:before="40" w:after="40"/>
              <w:jc w:val="center"/>
              <w:rPr>
                <w:rFonts w:cs="Calibri"/>
                <w:szCs w:val="18"/>
              </w:rPr>
            </w:pPr>
            <w:r w:rsidRPr="00BD16B4">
              <w:rPr>
                <w:rFonts w:cs="Calibri"/>
                <w:szCs w:val="18"/>
              </w:rPr>
              <w:t>0.12</w:t>
            </w:r>
          </w:p>
        </w:tc>
        <w:tc>
          <w:tcPr>
            <w:tcW w:w="1015" w:type="dxa"/>
            <w:shd w:val="clear" w:color="auto" w:fill="auto"/>
            <w:noWrap/>
            <w:hideMark/>
          </w:tcPr>
          <w:p w14:paraId="16BE91AC"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27E73340"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6BA5E7D4"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56BB9817"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75C68FBB" w14:textId="77777777" w:rsidR="00B71B4E" w:rsidRPr="00BD16B4" w:rsidRDefault="00B71B4E" w:rsidP="00F31129">
            <w:pPr>
              <w:pStyle w:val="TableText"/>
              <w:spacing w:before="40" w:after="40"/>
              <w:rPr>
                <w:rFonts w:cs="Calibri"/>
                <w:szCs w:val="18"/>
              </w:rPr>
            </w:pPr>
            <w:r w:rsidRPr="00BD16B4">
              <w:rPr>
                <w:rFonts w:cs="Calibri"/>
                <w:szCs w:val="18"/>
              </w:rPr>
              <w:t>Water and sanitation</w:t>
            </w:r>
          </w:p>
        </w:tc>
      </w:tr>
      <w:tr w:rsidR="00B71B4E" w:rsidRPr="00BD16B4" w14:paraId="6B1E844A" w14:textId="77777777" w:rsidTr="00F31129">
        <w:tc>
          <w:tcPr>
            <w:tcW w:w="5387" w:type="dxa"/>
            <w:shd w:val="clear" w:color="auto" w:fill="auto"/>
            <w:hideMark/>
          </w:tcPr>
          <w:p w14:paraId="4FF4F54B" w14:textId="77777777" w:rsidR="00B71B4E" w:rsidRPr="00BD16B4" w:rsidRDefault="00B71B4E" w:rsidP="00F31129">
            <w:pPr>
              <w:pStyle w:val="TableText"/>
              <w:spacing w:before="40" w:after="40"/>
              <w:rPr>
                <w:rFonts w:cs="Calibri"/>
                <w:szCs w:val="18"/>
              </w:rPr>
            </w:pPr>
            <w:r w:rsidRPr="00BD16B4">
              <w:rPr>
                <w:rFonts w:cs="Calibri"/>
                <w:szCs w:val="18"/>
              </w:rPr>
              <w:t>Caribbean / Caribbean Geothermal Technical Assistance Phase II</w:t>
            </w:r>
          </w:p>
        </w:tc>
        <w:tc>
          <w:tcPr>
            <w:tcW w:w="1276" w:type="dxa"/>
            <w:shd w:val="clear" w:color="auto" w:fill="auto"/>
            <w:hideMark/>
          </w:tcPr>
          <w:p w14:paraId="03731FCF" w14:textId="77777777" w:rsidR="00B71B4E" w:rsidRPr="00BD16B4" w:rsidRDefault="00B71B4E" w:rsidP="00F31129">
            <w:pPr>
              <w:pStyle w:val="TableText"/>
              <w:spacing w:before="40" w:after="40"/>
              <w:jc w:val="center"/>
              <w:rPr>
                <w:rFonts w:cs="Calibri"/>
                <w:szCs w:val="18"/>
              </w:rPr>
            </w:pPr>
            <w:r w:rsidRPr="00BD16B4">
              <w:rPr>
                <w:rFonts w:cs="Calibri"/>
                <w:szCs w:val="18"/>
              </w:rPr>
              <w:t>2.33</w:t>
            </w:r>
          </w:p>
        </w:tc>
        <w:tc>
          <w:tcPr>
            <w:tcW w:w="1345" w:type="dxa"/>
            <w:shd w:val="clear" w:color="auto" w:fill="auto"/>
            <w:noWrap/>
            <w:hideMark/>
          </w:tcPr>
          <w:p w14:paraId="7297E857" w14:textId="77777777" w:rsidR="00B71B4E" w:rsidRPr="00BD16B4" w:rsidRDefault="00B71B4E" w:rsidP="00F31129">
            <w:pPr>
              <w:pStyle w:val="TableText"/>
              <w:spacing w:before="40" w:after="40"/>
              <w:jc w:val="center"/>
              <w:rPr>
                <w:rFonts w:cs="Calibri"/>
                <w:szCs w:val="18"/>
              </w:rPr>
            </w:pPr>
            <w:r w:rsidRPr="00BD16B4">
              <w:rPr>
                <w:rFonts w:cs="Calibri"/>
                <w:szCs w:val="18"/>
              </w:rPr>
              <w:t>1.54</w:t>
            </w:r>
          </w:p>
        </w:tc>
        <w:tc>
          <w:tcPr>
            <w:tcW w:w="1015" w:type="dxa"/>
            <w:shd w:val="clear" w:color="auto" w:fill="auto"/>
            <w:noWrap/>
            <w:hideMark/>
          </w:tcPr>
          <w:p w14:paraId="48B94EE3"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081428EB"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87279AB"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2AB254BD" w14:textId="77777777" w:rsidR="00B71B4E" w:rsidRPr="00BD16B4" w:rsidRDefault="00B71B4E" w:rsidP="00F31129">
            <w:pPr>
              <w:pStyle w:val="TableText"/>
              <w:spacing w:before="40" w:after="40"/>
              <w:rPr>
                <w:rFonts w:cs="Calibri"/>
                <w:szCs w:val="18"/>
              </w:rPr>
            </w:pPr>
            <w:r w:rsidRPr="00BD16B4">
              <w:rPr>
                <w:rFonts w:cs="Calibri"/>
                <w:szCs w:val="18"/>
              </w:rPr>
              <w:t>Mitigation</w:t>
            </w:r>
          </w:p>
        </w:tc>
        <w:tc>
          <w:tcPr>
            <w:tcW w:w="2335" w:type="dxa"/>
            <w:shd w:val="clear" w:color="auto" w:fill="auto"/>
            <w:noWrap/>
            <w:hideMark/>
          </w:tcPr>
          <w:p w14:paraId="1669924E"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0CD62B74" w14:textId="77777777" w:rsidTr="00F31129">
        <w:tc>
          <w:tcPr>
            <w:tcW w:w="5387" w:type="dxa"/>
            <w:shd w:val="clear" w:color="auto" w:fill="auto"/>
            <w:hideMark/>
          </w:tcPr>
          <w:p w14:paraId="0CC5EF71" w14:textId="77777777" w:rsidR="00B71B4E" w:rsidRPr="00BD16B4" w:rsidRDefault="00B71B4E" w:rsidP="00F31129">
            <w:pPr>
              <w:pStyle w:val="TableText"/>
              <w:spacing w:before="40" w:after="40"/>
              <w:rPr>
                <w:rFonts w:cs="Calibri"/>
                <w:szCs w:val="18"/>
              </w:rPr>
            </w:pPr>
            <w:r w:rsidRPr="00BD16B4">
              <w:rPr>
                <w:rFonts w:cs="Calibri"/>
                <w:szCs w:val="18"/>
              </w:rPr>
              <w:t>Colombia / Dairy Value Chain Project</w:t>
            </w:r>
          </w:p>
        </w:tc>
        <w:tc>
          <w:tcPr>
            <w:tcW w:w="1276" w:type="dxa"/>
            <w:shd w:val="clear" w:color="auto" w:fill="auto"/>
            <w:hideMark/>
          </w:tcPr>
          <w:p w14:paraId="207F6C8A" w14:textId="77777777" w:rsidR="00B71B4E" w:rsidRPr="00BD16B4" w:rsidRDefault="00B71B4E" w:rsidP="00F31129">
            <w:pPr>
              <w:pStyle w:val="TableText"/>
              <w:spacing w:before="40" w:after="40"/>
              <w:jc w:val="center"/>
              <w:rPr>
                <w:rFonts w:cs="Calibri"/>
                <w:szCs w:val="18"/>
              </w:rPr>
            </w:pPr>
            <w:r w:rsidRPr="00BD16B4">
              <w:rPr>
                <w:rFonts w:cs="Calibri"/>
                <w:szCs w:val="18"/>
              </w:rPr>
              <w:t>0.10</w:t>
            </w:r>
          </w:p>
        </w:tc>
        <w:tc>
          <w:tcPr>
            <w:tcW w:w="1345" w:type="dxa"/>
            <w:shd w:val="clear" w:color="auto" w:fill="auto"/>
            <w:noWrap/>
            <w:hideMark/>
          </w:tcPr>
          <w:p w14:paraId="53739D3C" w14:textId="77777777" w:rsidR="00B71B4E" w:rsidRPr="00BD16B4" w:rsidRDefault="00B71B4E" w:rsidP="00F31129">
            <w:pPr>
              <w:pStyle w:val="TableText"/>
              <w:spacing w:before="40" w:after="40"/>
              <w:jc w:val="center"/>
              <w:rPr>
                <w:rFonts w:cs="Calibri"/>
                <w:szCs w:val="18"/>
              </w:rPr>
            </w:pPr>
            <w:r w:rsidRPr="00BD16B4">
              <w:rPr>
                <w:rFonts w:cs="Calibri"/>
                <w:szCs w:val="18"/>
              </w:rPr>
              <w:t>0.07</w:t>
            </w:r>
          </w:p>
        </w:tc>
        <w:tc>
          <w:tcPr>
            <w:tcW w:w="1015" w:type="dxa"/>
            <w:shd w:val="clear" w:color="auto" w:fill="auto"/>
            <w:noWrap/>
            <w:hideMark/>
          </w:tcPr>
          <w:p w14:paraId="1563DBFE"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32FB66E8"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71A79EA1"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467D8A36"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592C200B"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305C9DBB" w14:textId="77777777" w:rsidTr="00F31129">
        <w:tc>
          <w:tcPr>
            <w:tcW w:w="5387" w:type="dxa"/>
            <w:shd w:val="clear" w:color="auto" w:fill="auto"/>
            <w:hideMark/>
          </w:tcPr>
          <w:p w14:paraId="0F4DB25F" w14:textId="77777777" w:rsidR="00B71B4E" w:rsidRPr="00BD16B4" w:rsidRDefault="00B71B4E" w:rsidP="00F31129">
            <w:pPr>
              <w:pStyle w:val="TableText"/>
              <w:spacing w:before="40" w:after="40"/>
              <w:rPr>
                <w:rFonts w:cs="Calibri"/>
                <w:szCs w:val="18"/>
              </w:rPr>
            </w:pPr>
            <w:r w:rsidRPr="00BD16B4">
              <w:rPr>
                <w:rFonts w:cs="Calibri"/>
                <w:szCs w:val="18"/>
              </w:rPr>
              <w:t>Peru / Dairy Initiative</w:t>
            </w:r>
          </w:p>
        </w:tc>
        <w:tc>
          <w:tcPr>
            <w:tcW w:w="1276" w:type="dxa"/>
            <w:shd w:val="clear" w:color="auto" w:fill="auto"/>
            <w:hideMark/>
          </w:tcPr>
          <w:p w14:paraId="32C0A6F4" w14:textId="77777777" w:rsidR="00B71B4E" w:rsidRPr="00BD16B4" w:rsidRDefault="00B71B4E" w:rsidP="00F31129">
            <w:pPr>
              <w:pStyle w:val="TableText"/>
              <w:spacing w:before="40" w:after="40"/>
              <w:jc w:val="center"/>
              <w:rPr>
                <w:rFonts w:cs="Calibri"/>
                <w:szCs w:val="18"/>
              </w:rPr>
            </w:pPr>
            <w:r w:rsidRPr="00BD16B4">
              <w:rPr>
                <w:rFonts w:cs="Calibri"/>
                <w:szCs w:val="18"/>
              </w:rPr>
              <w:t>0.26</w:t>
            </w:r>
          </w:p>
        </w:tc>
        <w:tc>
          <w:tcPr>
            <w:tcW w:w="1345" w:type="dxa"/>
            <w:shd w:val="clear" w:color="auto" w:fill="auto"/>
            <w:noWrap/>
            <w:hideMark/>
          </w:tcPr>
          <w:p w14:paraId="23D19A36" w14:textId="77777777" w:rsidR="00B71B4E" w:rsidRPr="00BD16B4" w:rsidRDefault="00B71B4E" w:rsidP="00F31129">
            <w:pPr>
              <w:pStyle w:val="TableText"/>
              <w:spacing w:before="40" w:after="40"/>
              <w:jc w:val="center"/>
              <w:rPr>
                <w:rFonts w:cs="Calibri"/>
                <w:szCs w:val="18"/>
              </w:rPr>
            </w:pPr>
            <w:r w:rsidRPr="00BD16B4">
              <w:rPr>
                <w:rFonts w:cs="Calibri"/>
                <w:szCs w:val="18"/>
              </w:rPr>
              <w:t>0.17</w:t>
            </w:r>
          </w:p>
        </w:tc>
        <w:tc>
          <w:tcPr>
            <w:tcW w:w="1015" w:type="dxa"/>
            <w:shd w:val="clear" w:color="auto" w:fill="auto"/>
            <w:noWrap/>
            <w:hideMark/>
          </w:tcPr>
          <w:p w14:paraId="3B15CC9B"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4E57189F"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7E585C15"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1ED1870B"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67367CBF"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755C022E" w14:textId="77777777" w:rsidTr="00F31129">
        <w:tc>
          <w:tcPr>
            <w:tcW w:w="5387" w:type="dxa"/>
            <w:shd w:val="clear" w:color="auto" w:fill="auto"/>
            <w:hideMark/>
          </w:tcPr>
          <w:p w14:paraId="6C1BC973" w14:textId="77777777" w:rsidR="00B71B4E" w:rsidRPr="00BD16B4" w:rsidRDefault="00B71B4E" w:rsidP="00F31129">
            <w:pPr>
              <w:pStyle w:val="TableText"/>
              <w:spacing w:before="40" w:after="40"/>
              <w:rPr>
                <w:rFonts w:cs="Calibri"/>
                <w:szCs w:val="18"/>
              </w:rPr>
            </w:pPr>
            <w:r w:rsidRPr="00BD16B4">
              <w:rPr>
                <w:rFonts w:cs="Calibri"/>
                <w:szCs w:val="18"/>
              </w:rPr>
              <w:t>Pacific Regional / Strengthening Pacific Monitoring, Evaluation and Learning (MEL) Capacity</w:t>
            </w:r>
          </w:p>
        </w:tc>
        <w:tc>
          <w:tcPr>
            <w:tcW w:w="1276" w:type="dxa"/>
            <w:shd w:val="clear" w:color="auto" w:fill="auto"/>
            <w:hideMark/>
          </w:tcPr>
          <w:p w14:paraId="010C3BAA" w14:textId="77777777" w:rsidR="00B71B4E" w:rsidRPr="00BD16B4" w:rsidRDefault="00B71B4E" w:rsidP="00F31129">
            <w:pPr>
              <w:pStyle w:val="TableText"/>
              <w:spacing w:before="40" w:after="40"/>
              <w:jc w:val="center"/>
              <w:rPr>
                <w:rFonts w:cs="Calibri"/>
                <w:szCs w:val="18"/>
              </w:rPr>
            </w:pPr>
            <w:r w:rsidRPr="00BD16B4">
              <w:rPr>
                <w:rFonts w:cs="Calibri"/>
                <w:szCs w:val="18"/>
              </w:rPr>
              <w:t>0.11</w:t>
            </w:r>
          </w:p>
        </w:tc>
        <w:tc>
          <w:tcPr>
            <w:tcW w:w="1345" w:type="dxa"/>
            <w:shd w:val="clear" w:color="auto" w:fill="auto"/>
            <w:noWrap/>
            <w:hideMark/>
          </w:tcPr>
          <w:p w14:paraId="4D599809" w14:textId="77777777" w:rsidR="00B71B4E" w:rsidRPr="00BD16B4" w:rsidRDefault="00B71B4E" w:rsidP="00F31129">
            <w:pPr>
              <w:pStyle w:val="TableText"/>
              <w:spacing w:before="40" w:after="40"/>
              <w:jc w:val="center"/>
              <w:rPr>
                <w:rFonts w:cs="Calibri"/>
                <w:szCs w:val="18"/>
              </w:rPr>
            </w:pPr>
            <w:r w:rsidRPr="00BD16B4">
              <w:rPr>
                <w:rFonts w:cs="Calibri"/>
                <w:szCs w:val="18"/>
              </w:rPr>
              <w:t>0.07</w:t>
            </w:r>
          </w:p>
        </w:tc>
        <w:tc>
          <w:tcPr>
            <w:tcW w:w="1015" w:type="dxa"/>
            <w:shd w:val="clear" w:color="auto" w:fill="auto"/>
            <w:noWrap/>
            <w:hideMark/>
          </w:tcPr>
          <w:p w14:paraId="012A82B7"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56E56592"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397669A2"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0EBF37C2"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58CAC107"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07F34395" w14:textId="77777777" w:rsidTr="00F31129">
        <w:tc>
          <w:tcPr>
            <w:tcW w:w="5387" w:type="dxa"/>
            <w:shd w:val="clear" w:color="auto" w:fill="auto"/>
            <w:hideMark/>
          </w:tcPr>
          <w:p w14:paraId="65CC9A57" w14:textId="77777777" w:rsidR="00B71B4E" w:rsidRPr="00BD16B4" w:rsidRDefault="00B71B4E" w:rsidP="00F31129">
            <w:pPr>
              <w:pStyle w:val="TableText"/>
              <w:spacing w:before="40" w:after="40"/>
              <w:rPr>
                <w:rFonts w:cs="Calibri"/>
                <w:szCs w:val="18"/>
              </w:rPr>
            </w:pPr>
            <w:r w:rsidRPr="00BD16B4">
              <w:rPr>
                <w:rFonts w:cs="Calibri"/>
                <w:szCs w:val="18"/>
              </w:rPr>
              <w:t>Nauru / Energy Efficiency</w:t>
            </w:r>
          </w:p>
        </w:tc>
        <w:tc>
          <w:tcPr>
            <w:tcW w:w="1276" w:type="dxa"/>
            <w:shd w:val="clear" w:color="auto" w:fill="auto"/>
            <w:hideMark/>
          </w:tcPr>
          <w:p w14:paraId="7549F0B7" w14:textId="77777777" w:rsidR="00B71B4E" w:rsidRPr="00BD16B4" w:rsidRDefault="00B71B4E" w:rsidP="00F31129">
            <w:pPr>
              <w:pStyle w:val="TableText"/>
              <w:spacing w:before="40" w:after="40"/>
              <w:jc w:val="center"/>
              <w:rPr>
                <w:rFonts w:cs="Calibri"/>
                <w:szCs w:val="18"/>
              </w:rPr>
            </w:pPr>
            <w:r w:rsidRPr="00BD16B4">
              <w:rPr>
                <w:rFonts w:cs="Calibri"/>
                <w:szCs w:val="18"/>
              </w:rPr>
              <w:t>0.34</w:t>
            </w:r>
          </w:p>
        </w:tc>
        <w:tc>
          <w:tcPr>
            <w:tcW w:w="1345" w:type="dxa"/>
            <w:shd w:val="clear" w:color="auto" w:fill="auto"/>
            <w:noWrap/>
            <w:hideMark/>
          </w:tcPr>
          <w:p w14:paraId="30A49903" w14:textId="77777777" w:rsidR="00B71B4E" w:rsidRPr="00BD16B4" w:rsidRDefault="00B71B4E" w:rsidP="00F31129">
            <w:pPr>
              <w:pStyle w:val="TableText"/>
              <w:spacing w:before="40" w:after="40"/>
              <w:jc w:val="center"/>
              <w:rPr>
                <w:rFonts w:cs="Calibri"/>
                <w:szCs w:val="18"/>
              </w:rPr>
            </w:pPr>
            <w:r w:rsidRPr="00BD16B4">
              <w:rPr>
                <w:rFonts w:cs="Calibri"/>
                <w:szCs w:val="18"/>
              </w:rPr>
              <w:t>0.23</w:t>
            </w:r>
          </w:p>
        </w:tc>
        <w:tc>
          <w:tcPr>
            <w:tcW w:w="1015" w:type="dxa"/>
            <w:shd w:val="clear" w:color="auto" w:fill="auto"/>
            <w:noWrap/>
            <w:hideMark/>
          </w:tcPr>
          <w:p w14:paraId="358EDDBC"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44DD4060"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76FB7CDC"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28F209E5"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68726756"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1C6B2476" w14:textId="77777777" w:rsidTr="00F31129">
        <w:tc>
          <w:tcPr>
            <w:tcW w:w="5387" w:type="dxa"/>
            <w:shd w:val="clear" w:color="auto" w:fill="auto"/>
            <w:hideMark/>
          </w:tcPr>
          <w:p w14:paraId="1A746FD7" w14:textId="77777777" w:rsidR="00B71B4E" w:rsidRPr="00BD16B4" w:rsidRDefault="00B71B4E" w:rsidP="00F31129">
            <w:pPr>
              <w:pStyle w:val="TableText"/>
              <w:spacing w:before="40" w:after="40"/>
              <w:rPr>
                <w:rFonts w:cs="Calibri"/>
                <w:szCs w:val="18"/>
              </w:rPr>
            </w:pPr>
            <w:r w:rsidRPr="00BD16B4">
              <w:rPr>
                <w:rFonts w:cs="Calibri"/>
                <w:szCs w:val="18"/>
              </w:rPr>
              <w:t>Nauru / Renewable Energy Initiative</w:t>
            </w:r>
          </w:p>
        </w:tc>
        <w:tc>
          <w:tcPr>
            <w:tcW w:w="1276" w:type="dxa"/>
            <w:shd w:val="clear" w:color="auto" w:fill="auto"/>
            <w:hideMark/>
          </w:tcPr>
          <w:p w14:paraId="7FF3543B" w14:textId="77777777" w:rsidR="00B71B4E" w:rsidRPr="00BD16B4" w:rsidRDefault="00B71B4E" w:rsidP="00F31129">
            <w:pPr>
              <w:pStyle w:val="TableText"/>
              <w:spacing w:before="40" w:after="40"/>
              <w:jc w:val="center"/>
              <w:rPr>
                <w:rFonts w:cs="Calibri"/>
                <w:szCs w:val="18"/>
              </w:rPr>
            </w:pPr>
            <w:r w:rsidRPr="00BD16B4">
              <w:rPr>
                <w:rFonts w:cs="Calibri"/>
                <w:szCs w:val="18"/>
              </w:rPr>
              <w:t>1.95</w:t>
            </w:r>
          </w:p>
        </w:tc>
        <w:tc>
          <w:tcPr>
            <w:tcW w:w="1345" w:type="dxa"/>
            <w:shd w:val="clear" w:color="auto" w:fill="auto"/>
            <w:noWrap/>
            <w:hideMark/>
          </w:tcPr>
          <w:p w14:paraId="34F3666D" w14:textId="77777777" w:rsidR="00B71B4E" w:rsidRPr="00BD16B4" w:rsidRDefault="00B71B4E" w:rsidP="00F31129">
            <w:pPr>
              <w:pStyle w:val="TableText"/>
              <w:spacing w:before="40" w:after="40"/>
              <w:jc w:val="center"/>
              <w:rPr>
                <w:rFonts w:cs="Calibri"/>
                <w:szCs w:val="18"/>
              </w:rPr>
            </w:pPr>
            <w:r w:rsidRPr="00BD16B4">
              <w:rPr>
                <w:rFonts w:cs="Calibri"/>
                <w:szCs w:val="18"/>
              </w:rPr>
              <w:t>1.29</w:t>
            </w:r>
          </w:p>
        </w:tc>
        <w:tc>
          <w:tcPr>
            <w:tcW w:w="1015" w:type="dxa"/>
            <w:shd w:val="clear" w:color="auto" w:fill="auto"/>
            <w:noWrap/>
            <w:hideMark/>
          </w:tcPr>
          <w:p w14:paraId="78AD3B56"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28CA46FB"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7311E505"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108BE8DB" w14:textId="77777777" w:rsidR="00B71B4E" w:rsidRPr="00BD16B4" w:rsidRDefault="00B71B4E" w:rsidP="00F31129">
            <w:pPr>
              <w:pStyle w:val="TableText"/>
              <w:spacing w:before="40" w:after="40"/>
              <w:rPr>
                <w:rFonts w:cs="Calibri"/>
                <w:szCs w:val="18"/>
              </w:rPr>
            </w:pPr>
            <w:r w:rsidRPr="00BD16B4">
              <w:rPr>
                <w:rFonts w:cs="Calibri"/>
                <w:szCs w:val="18"/>
              </w:rPr>
              <w:t>Mitigation</w:t>
            </w:r>
          </w:p>
        </w:tc>
        <w:tc>
          <w:tcPr>
            <w:tcW w:w="2335" w:type="dxa"/>
            <w:shd w:val="clear" w:color="auto" w:fill="auto"/>
            <w:noWrap/>
            <w:hideMark/>
          </w:tcPr>
          <w:p w14:paraId="6270CCBC"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5F118A81" w14:textId="77777777" w:rsidTr="00F31129">
        <w:tc>
          <w:tcPr>
            <w:tcW w:w="5387" w:type="dxa"/>
            <w:shd w:val="clear" w:color="auto" w:fill="auto"/>
            <w:hideMark/>
          </w:tcPr>
          <w:p w14:paraId="55628660" w14:textId="77777777" w:rsidR="00B71B4E" w:rsidRPr="00BD16B4" w:rsidRDefault="00B71B4E" w:rsidP="00F31129">
            <w:pPr>
              <w:pStyle w:val="TableText"/>
              <w:spacing w:before="40" w:after="40"/>
              <w:rPr>
                <w:rFonts w:cs="Calibri"/>
                <w:szCs w:val="18"/>
              </w:rPr>
            </w:pPr>
            <w:r w:rsidRPr="00BD16B4">
              <w:rPr>
                <w:rFonts w:cs="Calibri"/>
                <w:szCs w:val="18"/>
              </w:rPr>
              <w:t>Pacific Regional / Energy: North West Pacific Design</w:t>
            </w:r>
          </w:p>
        </w:tc>
        <w:tc>
          <w:tcPr>
            <w:tcW w:w="1276" w:type="dxa"/>
            <w:shd w:val="clear" w:color="auto" w:fill="auto"/>
            <w:hideMark/>
          </w:tcPr>
          <w:p w14:paraId="3FCA03F7" w14:textId="77777777" w:rsidR="00B71B4E" w:rsidRPr="00BD16B4" w:rsidRDefault="00B71B4E" w:rsidP="00F31129">
            <w:pPr>
              <w:pStyle w:val="TableText"/>
              <w:spacing w:before="40" w:after="40"/>
              <w:jc w:val="center"/>
              <w:rPr>
                <w:rFonts w:cs="Calibri"/>
                <w:szCs w:val="18"/>
              </w:rPr>
            </w:pPr>
            <w:r w:rsidRPr="00BD16B4">
              <w:rPr>
                <w:rFonts w:cs="Calibri"/>
                <w:szCs w:val="18"/>
              </w:rPr>
              <w:t>0.26</w:t>
            </w:r>
          </w:p>
        </w:tc>
        <w:tc>
          <w:tcPr>
            <w:tcW w:w="1345" w:type="dxa"/>
            <w:shd w:val="clear" w:color="auto" w:fill="auto"/>
            <w:noWrap/>
            <w:hideMark/>
          </w:tcPr>
          <w:p w14:paraId="4406F492" w14:textId="77777777" w:rsidR="00B71B4E" w:rsidRPr="00BD16B4" w:rsidRDefault="00B71B4E" w:rsidP="00F31129">
            <w:pPr>
              <w:pStyle w:val="TableText"/>
              <w:spacing w:before="40" w:after="40"/>
              <w:jc w:val="center"/>
              <w:rPr>
                <w:rFonts w:cs="Calibri"/>
                <w:szCs w:val="18"/>
              </w:rPr>
            </w:pPr>
            <w:r w:rsidRPr="00BD16B4">
              <w:rPr>
                <w:rFonts w:cs="Calibri"/>
                <w:szCs w:val="18"/>
              </w:rPr>
              <w:t>0.17</w:t>
            </w:r>
          </w:p>
        </w:tc>
        <w:tc>
          <w:tcPr>
            <w:tcW w:w="1015" w:type="dxa"/>
            <w:shd w:val="clear" w:color="auto" w:fill="auto"/>
            <w:noWrap/>
            <w:hideMark/>
          </w:tcPr>
          <w:p w14:paraId="59E156B6"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34C85D82"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5B81275"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01A8B7E6" w14:textId="77777777" w:rsidR="00B71B4E" w:rsidRPr="00BD16B4" w:rsidRDefault="00B71B4E" w:rsidP="00F31129">
            <w:pPr>
              <w:pStyle w:val="TableText"/>
              <w:spacing w:before="40" w:after="40"/>
              <w:rPr>
                <w:rFonts w:cs="Calibri"/>
                <w:szCs w:val="18"/>
              </w:rPr>
            </w:pPr>
            <w:r w:rsidRPr="00BD16B4">
              <w:rPr>
                <w:rFonts w:cs="Calibri"/>
                <w:szCs w:val="18"/>
              </w:rPr>
              <w:t>Mitigation</w:t>
            </w:r>
          </w:p>
        </w:tc>
        <w:tc>
          <w:tcPr>
            <w:tcW w:w="2335" w:type="dxa"/>
            <w:shd w:val="clear" w:color="auto" w:fill="auto"/>
            <w:noWrap/>
            <w:hideMark/>
          </w:tcPr>
          <w:p w14:paraId="40A3982B"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41D25141" w14:textId="77777777" w:rsidTr="00F31129">
        <w:tc>
          <w:tcPr>
            <w:tcW w:w="5387" w:type="dxa"/>
            <w:shd w:val="clear" w:color="auto" w:fill="auto"/>
            <w:hideMark/>
          </w:tcPr>
          <w:p w14:paraId="3EFB56D9" w14:textId="77777777" w:rsidR="00B71B4E" w:rsidRPr="00BD16B4" w:rsidRDefault="00B71B4E" w:rsidP="00F31129">
            <w:pPr>
              <w:pStyle w:val="TableText"/>
              <w:spacing w:before="40" w:after="40"/>
              <w:rPr>
                <w:rFonts w:cs="Calibri"/>
                <w:szCs w:val="18"/>
              </w:rPr>
            </w:pPr>
            <w:r w:rsidRPr="00BD16B4">
              <w:rPr>
                <w:rFonts w:cs="Calibri"/>
                <w:szCs w:val="18"/>
              </w:rPr>
              <w:t>Niue / Strengthen Governance: Infrastructure</w:t>
            </w:r>
          </w:p>
        </w:tc>
        <w:tc>
          <w:tcPr>
            <w:tcW w:w="1276" w:type="dxa"/>
            <w:shd w:val="clear" w:color="auto" w:fill="auto"/>
            <w:hideMark/>
          </w:tcPr>
          <w:p w14:paraId="4B3F9075" w14:textId="77777777" w:rsidR="00B71B4E" w:rsidRPr="00BD16B4" w:rsidRDefault="00B71B4E" w:rsidP="00F31129">
            <w:pPr>
              <w:pStyle w:val="TableText"/>
              <w:spacing w:before="40" w:after="40"/>
              <w:jc w:val="center"/>
              <w:rPr>
                <w:rFonts w:cs="Calibri"/>
                <w:szCs w:val="18"/>
              </w:rPr>
            </w:pPr>
            <w:r w:rsidRPr="00BD16B4">
              <w:rPr>
                <w:rFonts w:cs="Calibri"/>
                <w:szCs w:val="18"/>
              </w:rPr>
              <w:t>0.90</w:t>
            </w:r>
          </w:p>
        </w:tc>
        <w:tc>
          <w:tcPr>
            <w:tcW w:w="1345" w:type="dxa"/>
            <w:shd w:val="clear" w:color="auto" w:fill="auto"/>
            <w:noWrap/>
            <w:hideMark/>
          </w:tcPr>
          <w:p w14:paraId="6095B93C" w14:textId="77777777" w:rsidR="00B71B4E" w:rsidRPr="00BD16B4" w:rsidRDefault="00B71B4E" w:rsidP="00F31129">
            <w:pPr>
              <w:pStyle w:val="TableText"/>
              <w:spacing w:before="40" w:after="40"/>
              <w:jc w:val="center"/>
              <w:rPr>
                <w:rFonts w:cs="Calibri"/>
                <w:szCs w:val="18"/>
              </w:rPr>
            </w:pPr>
            <w:r w:rsidRPr="00BD16B4">
              <w:rPr>
                <w:rFonts w:cs="Calibri"/>
                <w:szCs w:val="18"/>
              </w:rPr>
              <w:t>0.59</w:t>
            </w:r>
          </w:p>
        </w:tc>
        <w:tc>
          <w:tcPr>
            <w:tcW w:w="1015" w:type="dxa"/>
            <w:shd w:val="clear" w:color="auto" w:fill="auto"/>
            <w:noWrap/>
            <w:hideMark/>
          </w:tcPr>
          <w:p w14:paraId="6AF01FBE"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18FE99E9"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7A634A0C"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4E1C965C"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39C125C2" w14:textId="77777777" w:rsidR="00B71B4E" w:rsidRPr="00BD16B4" w:rsidRDefault="00B71B4E" w:rsidP="00F31129">
            <w:pPr>
              <w:pStyle w:val="TableText"/>
              <w:spacing w:before="40" w:after="40"/>
              <w:rPr>
                <w:rFonts w:cs="Calibri"/>
                <w:szCs w:val="18"/>
              </w:rPr>
            </w:pPr>
            <w:r w:rsidRPr="00BD16B4">
              <w:rPr>
                <w:rFonts w:cs="Calibri"/>
                <w:szCs w:val="18"/>
              </w:rPr>
              <w:t>Government and civil society</w:t>
            </w:r>
          </w:p>
        </w:tc>
      </w:tr>
      <w:tr w:rsidR="00B71B4E" w:rsidRPr="00BD16B4" w14:paraId="343D64B0" w14:textId="77777777" w:rsidTr="00F31129">
        <w:tc>
          <w:tcPr>
            <w:tcW w:w="5387" w:type="dxa"/>
            <w:shd w:val="clear" w:color="auto" w:fill="auto"/>
            <w:hideMark/>
          </w:tcPr>
          <w:p w14:paraId="3C83F2EB" w14:textId="77777777" w:rsidR="00B71B4E" w:rsidRPr="00BD16B4" w:rsidRDefault="00B71B4E" w:rsidP="00F31129">
            <w:pPr>
              <w:pStyle w:val="TableText"/>
              <w:spacing w:before="40" w:after="40"/>
              <w:rPr>
                <w:rFonts w:cs="Calibri"/>
                <w:szCs w:val="18"/>
              </w:rPr>
            </w:pPr>
            <w:r w:rsidRPr="00BD16B4">
              <w:rPr>
                <w:rFonts w:cs="Calibri"/>
                <w:szCs w:val="18"/>
              </w:rPr>
              <w:t>Niue / Niue Renewable Energy Activity</w:t>
            </w:r>
          </w:p>
        </w:tc>
        <w:tc>
          <w:tcPr>
            <w:tcW w:w="1276" w:type="dxa"/>
            <w:shd w:val="clear" w:color="auto" w:fill="auto"/>
            <w:hideMark/>
          </w:tcPr>
          <w:p w14:paraId="2D0B0614" w14:textId="77777777" w:rsidR="00B71B4E" w:rsidRPr="00BD16B4" w:rsidRDefault="00B71B4E" w:rsidP="00F31129">
            <w:pPr>
              <w:pStyle w:val="TableText"/>
              <w:spacing w:before="40" w:after="40"/>
              <w:jc w:val="center"/>
              <w:rPr>
                <w:rFonts w:cs="Calibri"/>
                <w:szCs w:val="18"/>
              </w:rPr>
            </w:pPr>
            <w:r w:rsidRPr="00BD16B4">
              <w:rPr>
                <w:rFonts w:cs="Calibri"/>
                <w:szCs w:val="18"/>
              </w:rPr>
              <w:t>1.21</w:t>
            </w:r>
          </w:p>
        </w:tc>
        <w:tc>
          <w:tcPr>
            <w:tcW w:w="1345" w:type="dxa"/>
            <w:shd w:val="clear" w:color="auto" w:fill="auto"/>
            <w:noWrap/>
            <w:hideMark/>
          </w:tcPr>
          <w:p w14:paraId="1AF4E58A" w14:textId="77777777" w:rsidR="00B71B4E" w:rsidRPr="00BD16B4" w:rsidRDefault="00B71B4E" w:rsidP="00F31129">
            <w:pPr>
              <w:pStyle w:val="TableText"/>
              <w:spacing w:before="40" w:after="40"/>
              <w:jc w:val="center"/>
              <w:rPr>
                <w:rFonts w:cs="Calibri"/>
                <w:szCs w:val="18"/>
              </w:rPr>
            </w:pPr>
            <w:r w:rsidRPr="00BD16B4">
              <w:rPr>
                <w:rFonts w:cs="Calibri"/>
                <w:szCs w:val="18"/>
              </w:rPr>
              <w:t>0.80</w:t>
            </w:r>
          </w:p>
        </w:tc>
        <w:tc>
          <w:tcPr>
            <w:tcW w:w="1015" w:type="dxa"/>
            <w:shd w:val="clear" w:color="auto" w:fill="auto"/>
            <w:noWrap/>
            <w:hideMark/>
          </w:tcPr>
          <w:p w14:paraId="4016A26B"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3F61C10E"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24381C4A"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17A2136F"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3FD046EA"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71D52BA3" w14:textId="77777777" w:rsidTr="00F31129">
        <w:tc>
          <w:tcPr>
            <w:tcW w:w="5387" w:type="dxa"/>
            <w:shd w:val="clear" w:color="auto" w:fill="auto"/>
            <w:hideMark/>
          </w:tcPr>
          <w:p w14:paraId="324C7A12" w14:textId="77777777" w:rsidR="00B71B4E" w:rsidRPr="00BD16B4" w:rsidRDefault="00B71B4E" w:rsidP="00F31129">
            <w:pPr>
              <w:pStyle w:val="TableText"/>
              <w:spacing w:before="40" w:after="40"/>
              <w:rPr>
                <w:rFonts w:cs="Calibri"/>
                <w:szCs w:val="18"/>
              </w:rPr>
            </w:pPr>
            <w:r w:rsidRPr="00BD16B4">
              <w:rPr>
                <w:rFonts w:cs="Calibri"/>
                <w:szCs w:val="18"/>
              </w:rPr>
              <w:t>Federated States of Micronesia / Energy Initiative</w:t>
            </w:r>
          </w:p>
        </w:tc>
        <w:tc>
          <w:tcPr>
            <w:tcW w:w="1276" w:type="dxa"/>
            <w:shd w:val="clear" w:color="auto" w:fill="auto"/>
            <w:hideMark/>
          </w:tcPr>
          <w:p w14:paraId="3AF3DEFA" w14:textId="77777777" w:rsidR="00B71B4E" w:rsidRPr="00BD16B4" w:rsidRDefault="00B71B4E" w:rsidP="00F31129">
            <w:pPr>
              <w:pStyle w:val="TableText"/>
              <w:spacing w:before="40" w:after="40"/>
              <w:jc w:val="center"/>
              <w:rPr>
                <w:rFonts w:cs="Calibri"/>
                <w:szCs w:val="18"/>
              </w:rPr>
            </w:pPr>
            <w:r w:rsidRPr="00BD16B4">
              <w:rPr>
                <w:rFonts w:cs="Calibri"/>
                <w:szCs w:val="18"/>
              </w:rPr>
              <w:t>0.92</w:t>
            </w:r>
          </w:p>
        </w:tc>
        <w:tc>
          <w:tcPr>
            <w:tcW w:w="1345" w:type="dxa"/>
            <w:shd w:val="clear" w:color="auto" w:fill="auto"/>
            <w:noWrap/>
            <w:hideMark/>
          </w:tcPr>
          <w:p w14:paraId="38BDFFE0" w14:textId="77777777" w:rsidR="00B71B4E" w:rsidRPr="00BD16B4" w:rsidRDefault="00B71B4E" w:rsidP="00F31129">
            <w:pPr>
              <w:pStyle w:val="TableText"/>
              <w:spacing w:before="40" w:after="40"/>
              <w:jc w:val="center"/>
              <w:rPr>
                <w:rFonts w:cs="Calibri"/>
                <w:szCs w:val="18"/>
              </w:rPr>
            </w:pPr>
            <w:r w:rsidRPr="00BD16B4">
              <w:rPr>
                <w:rFonts w:cs="Calibri"/>
                <w:szCs w:val="18"/>
              </w:rPr>
              <w:t>0.61</w:t>
            </w:r>
          </w:p>
        </w:tc>
        <w:tc>
          <w:tcPr>
            <w:tcW w:w="1015" w:type="dxa"/>
            <w:shd w:val="clear" w:color="auto" w:fill="auto"/>
            <w:noWrap/>
            <w:hideMark/>
          </w:tcPr>
          <w:p w14:paraId="6C0E1328"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7301DD1D"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298C9DD8"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12902823" w14:textId="77777777" w:rsidR="00B71B4E" w:rsidRPr="00BD16B4" w:rsidRDefault="00B71B4E" w:rsidP="00F31129">
            <w:pPr>
              <w:pStyle w:val="TableText"/>
              <w:spacing w:before="40" w:after="40"/>
              <w:rPr>
                <w:rFonts w:cs="Calibri"/>
                <w:szCs w:val="18"/>
              </w:rPr>
            </w:pPr>
            <w:r w:rsidRPr="00BD16B4">
              <w:rPr>
                <w:rFonts w:cs="Calibri"/>
                <w:szCs w:val="18"/>
              </w:rPr>
              <w:t>Mitigation</w:t>
            </w:r>
          </w:p>
        </w:tc>
        <w:tc>
          <w:tcPr>
            <w:tcW w:w="2335" w:type="dxa"/>
            <w:shd w:val="clear" w:color="auto" w:fill="auto"/>
            <w:noWrap/>
            <w:hideMark/>
          </w:tcPr>
          <w:p w14:paraId="3F6070D3"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5F37762A" w14:textId="77777777" w:rsidTr="00F31129">
        <w:tc>
          <w:tcPr>
            <w:tcW w:w="5387" w:type="dxa"/>
            <w:shd w:val="clear" w:color="auto" w:fill="auto"/>
            <w:hideMark/>
          </w:tcPr>
          <w:p w14:paraId="19F7F604" w14:textId="77777777" w:rsidR="00B71B4E" w:rsidRPr="00BD16B4" w:rsidRDefault="00B71B4E" w:rsidP="00F31129">
            <w:pPr>
              <w:pStyle w:val="TableText"/>
              <w:spacing w:before="40" w:after="40"/>
              <w:rPr>
                <w:rFonts w:cs="Calibri"/>
                <w:szCs w:val="18"/>
              </w:rPr>
            </w:pPr>
            <w:r w:rsidRPr="00BD16B4">
              <w:rPr>
                <w:rFonts w:cs="Calibri"/>
                <w:szCs w:val="18"/>
              </w:rPr>
              <w:t>Republic of Marshall Islands / Energy Initiative</w:t>
            </w:r>
          </w:p>
        </w:tc>
        <w:tc>
          <w:tcPr>
            <w:tcW w:w="1276" w:type="dxa"/>
            <w:shd w:val="clear" w:color="auto" w:fill="auto"/>
            <w:hideMark/>
          </w:tcPr>
          <w:p w14:paraId="58A5BD36" w14:textId="77777777" w:rsidR="00B71B4E" w:rsidRPr="00BD16B4" w:rsidRDefault="00B71B4E" w:rsidP="00F31129">
            <w:pPr>
              <w:pStyle w:val="TableText"/>
              <w:spacing w:before="40" w:after="40"/>
              <w:jc w:val="center"/>
              <w:rPr>
                <w:rFonts w:cs="Calibri"/>
                <w:szCs w:val="18"/>
              </w:rPr>
            </w:pPr>
            <w:r w:rsidRPr="00BD16B4">
              <w:rPr>
                <w:rFonts w:cs="Calibri"/>
                <w:szCs w:val="18"/>
              </w:rPr>
              <w:t>0.64</w:t>
            </w:r>
          </w:p>
        </w:tc>
        <w:tc>
          <w:tcPr>
            <w:tcW w:w="1345" w:type="dxa"/>
            <w:shd w:val="clear" w:color="auto" w:fill="auto"/>
            <w:noWrap/>
            <w:hideMark/>
          </w:tcPr>
          <w:p w14:paraId="69589E93" w14:textId="77777777" w:rsidR="00B71B4E" w:rsidRPr="00BD16B4" w:rsidRDefault="00B71B4E" w:rsidP="00F31129">
            <w:pPr>
              <w:pStyle w:val="TableText"/>
              <w:spacing w:before="40" w:after="40"/>
              <w:jc w:val="center"/>
              <w:rPr>
                <w:rFonts w:cs="Calibri"/>
                <w:szCs w:val="18"/>
              </w:rPr>
            </w:pPr>
            <w:r w:rsidRPr="00BD16B4">
              <w:rPr>
                <w:rFonts w:cs="Calibri"/>
                <w:szCs w:val="18"/>
              </w:rPr>
              <w:t>0.42</w:t>
            </w:r>
          </w:p>
        </w:tc>
        <w:tc>
          <w:tcPr>
            <w:tcW w:w="1015" w:type="dxa"/>
            <w:shd w:val="clear" w:color="auto" w:fill="auto"/>
            <w:noWrap/>
            <w:hideMark/>
          </w:tcPr>
          <w:p w14:paraId="07C86511"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2DD9F3BA"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1D67E30A"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57DC083" w14:textId="77777777" w:rsidR="00B71B4E" w:rsidRPr="00BD16B4" w:rsidRDefault="00B71B4E" w:rsidP="00F31129">
            <w:pPr>
              <w:pStyle w:val="TableText"/>
              <w:spacing w:before="40" w:after="40"/>
              <w:rPr>
                <w:rFonts w:cs="Calibri"/>
                <w:szCs w:val="18"/>
              </w:rPr>
            </w:pPr>
            <w:r w:rsidRPr="00BD16B4">
              <w:rPr>
                <w:rFonts w:cs="Calibri"/>
                <w:szCs w:val="18"/>
              </w:rPr>
              <w:t>Mitigation</w:t>
            </w:r>
          </w:p>
        </w:tc>
        <w:tc>
          <w:tcPr>
            <w:tcW w:w="2335" w:type="dxa"/>
            <w:shd w:val="clear" w:color="auto" w:fill="auto"/>
            <w:noWrap/>
            <w:hideMark/>
          </w:tcPr>
          <w:p w14:paraId="344F3F2D"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209AF683" w14:textId="77777777" w:rsidTr="00F31129">
        <w:tc>
          <w:tcPr>
            <w:tcW w:w="5387" w:type="dxa"/>
            <w:shd w:val="clear" w:color="auto" w:fill="auto"/>
            <w:hideMark/>
          </w:tcPr>
          <w:p w14:paraId="6DBD1AC6" w14:textId="77777777" w:rsidR="00B71B4E" w:rsidRPr="00BD16B4" w:rsidRDefault="00B71B4E" w:rsidP="00F31129">
            <w:pPr>
              <w:pStyle w:val="TableText"/>
              <w:spacing w:before="40" w:after="40"/>
              <w:rPr>
                <w:rFonts w:cs="Calibri"/>
                <w:szCs w:val="18"/>
              </w:rPr>
            </w:pPr>
            <w:r w:rsidRPr="00BD16B4">
              <w:rPr>
                <w:rFonts w:cs="Calibri"/>
                <w:szCs w:val="18"/>
              </w:rPr>
              <w:t>Palau / Energy Initiatives</w:t>
            </w:r>
          </w:p>
        </w:tc>
        <w:tc>
          <w:tcPr>
            <w:tcW w:w="1276" w:type="dxa"/>
            <w:shd w:val="clear" w:color="auto" w:fill="auto"/>
            <w:hideMark/>
          </w:tcPr>
          <w:p w14:paraId="0AB8FEE4" w14:textId="77777777" w:rsidR="00B71B4E" w:rsidRPr="00BD16B4" w:rsidRDefault="00B71B4E" w:rsidP="00F31129">
            <w:pPr>
              <w:pStyle w:val="TableText"/>
              <w:spacing w:before="40" w:after="40"/>
              <w:jc w:val="center"/>
              <w:rPr>
                <w:rFonts w:cs="Calibri"/>
                <w:szCs w:val="18"/>
              </w:rPr>
            </w:pPr>
            <w:r w:rsidRPr="00BD16B4">
              <w:rPr>
                <w:rFonts w:cs="Calibri"/>
                <w:szCs w:val="18"/>
              </w:rPr>
              <w:t>0.17</w:t>
            </w:r>
          </w:p>
        </w:tc>
        <w:tc>
          <w:tcPr>
            <w:tcW w:w="1345" w:type="dxa"/>
            <w:shd w:val="clear" w:color="auto" w:fill="auto"/>
            <w:noWrap/>
            <w:hideMark/>
          </w:tcPr>
          <w:p w14:paraId="76172619" w14:textId="77777777" w:rsidR="00B71B4E" w:rsidRPr="00BD16B4" w:rsidRDefault="00B71B4E" w:rsidP="00F31129">
            <w:pPr>
              <w:pStyle w:val="TableText"/>
              <w:spacing w:before="40" w:after="40"/>
              <w:jc w:val="center"/>
              <w:rPr>
                <w:rFonts w:cs="Calibri"/>
                <w:szCs w:val="18"/>
              </w:rPr>
            </w:pPr>
            <w:r w:rsidRPr="00BD16B4">
              <w:rPr>
                <w:rFonts w:cs="Calibri"/>
                <w:szCs w:val="18"/>
              </w:rPr>
              <w:t>0.11</w:t>
            </w:r>
          </w:p>
        </w:tc>
        <w:tc>
          <w:tcPr>
            <w:tcW w:w="1015" w:type="dxa"/>
            <w:shd w:val="clear" w:color="auto" w:fill="auto"/>
            <w:noWrap/>
            <w:hideMark/>
          </w:tcPr>
          <w:p w14:paraId="711D92E7"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169991A5"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1C7525CF"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553838E2" w14:textId="77777777" w:rsidR="00B71B4E" w:rsidRPr="00BD16B4" w:rsidRDefault="00B71B4E" w:rsidP="00F31129">
            <w:pPr>
              <w:pStyle w:val="TableText"/>
              <w:spacing w:before="40" w:after="40"/>
              <w:rPr>
                <w:rFonts w:cs="Calibri"/>
                <w:szCs w:val="18"/>
              </w:rPr>
            </w:pPr>
            <w:r w:rsidRPr="00BD16B4">
              <w:rPr>
                <w:rFonts w:cs="Calibri"/>
                <w:szCs w:val="18"/>
              </w:rPr>
              <w:t>Mitigation</w:t>
            </w:r>
          </w:p>
        </w:tc>
        <w:tc>
          <w:tcPr>
            <w:tcW w:w="2335" w:type="dxa"/>
            <w:shd w:val="clear" w:color="auto" w:fill="auto"/>
            <w:noWrap/>
            <w:hideMark/>
          </w:tcPr>
          <w:p w14:paraId="68EB2944"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7B3B9C11" w14:textId="77777777" w:rsidTr="00F31129">
        <w:tc>
          <w:tcPr>
            <w:tcW w:w="5387" w:type="dxa"/>
            <w:shd w:val="clear" w:color="auto" w:fill="auto"/>
            <w:hideMark/>
          </w:tcPr>
          <w:p w14:paraId="73EFCD23" w14:textId="77777777" w:rsidR="00B71B4E" w:rsidRPr="00BD16B4" w:rsidRDefault="00B71B4E" w:rsidP="00F31129">
            <w:pPr>
              <w:pStyle w:val="TableText"/>
              <w:spacing w:before="40" w:after="40"/>
              <w:rPr>
                <w:rFonts w:cs="Calibri"/>
                <w:szCs w:val="18"/>
              </w:rPr>
            </w:pPr>
            <w:r w:rsidRPr="00BD16B4">
              <w:rPr>
                <w:rFonts w:cs="Calibri"/>
                <w:szCs w:val="18"/>
              </w:rPr>
              <w:t>Sri Lanka / Dairy Excellence Training</w:t>
            </w:r>
          </w:p>
        </w:tc>
        <w:tc>
          <w:tcPr>
            <w:tcW w:w="1276" w:type="dxa"/>
            <w:shd w:val="clear" w:color="auto" w:fill="auto"/>
            <w:hideMark/>
          </w:tcPr>
          <w:p w14:paraId="519DB7D7" w14:textId="77777777" w:rsidR="00B71B4E" w:rsidRPr="00BD16B4" w:rsidRDefault="00B71B4E" w:rsidP="00F31129">
            <w:pPr>
              <w:pStyle w:val="TableText"/>
              <w:spacing w:before="40" w:after="40"/>
              <w:jc w:val="center"/>
              <w:rPr>
                <w:rFonts w:cs="Calibri"/>
                <w:szCs w:val="18"/>
              </w:rPr>
            </w:pPr>
            <w:r w:rsidRPr="00BD16B4">
              <w:rPr>
                <w:rFonts w:cs="Calibri"/>
                <w:szCs w:val="18"/>
              </w:rPr>
              <w:t>0.17</w:t>
            </w:r>
          </w:p>
        </w:tc>
        <w:tc>
          <w:tcPr>
            <w:tcW w:w="1345" w:type="dxa"/>
            <w:shd w:val="clear" w:color="auto" w:fill="auto"/>
            <w:noWrap/>
            <w:hideMark/>
          </w:tcPr>
          <w:p w14:paraId="2AA2A453" w14:textId="77777777" w:rsidR="00B71B4E" w:rsidRPr="00BD16B4" w:rsidRDefault="00B71B4E" w:rsidP="00F31129">
            <w:pPr>
              <w:pStyle w:val="TableText"/>
              <w:spacing w:before="40" w:after="40"/>
              <w:jc w:val="center"/>
              <w:rPr>
                <w:rFonts w:cs="Calibri"/>
                <w:szCs w:val="18"/>
              </w:rPr>
            </w:pPr>
            <w:r w:rsidRPr="00BD16B4">
              <w:rPr>
                <w:rFonts w:cs="Calibri"/>
                <w:szCs w:val="18"/>
              </w:rPr>
              <w:t>0.11</w:t>
            </w:r>
          </w:p>
        </w:tc>
        <w:tc>
          <w:tcPr>
            <w:tcW w:w="1015" w:type="dxa"/>
            <w:shd w:val="clear" w:color="auto" w:fill="auto"/>
            <w:noWrap/>
            <w:hideMark/>
          </w:tcPr>
          <w:p w14:paraId="3C86C93D"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19E2EEC5"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31EECB97"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1053965"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3077B3DB"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3B36FACF" w14:textId="77777777" w:rsidTr="00F31129">
        <w:tc>
          <w:tcPr>
            <w:tcW w:w="5387" w:type="dxa"/>
            <w:shd w:val="clear" w:color="auto" w:fill="auto"/>
            <w:hideMark/>
          </w:tcPr>
          <w:p w14:paraId="38DF2B44" w14:textId="77777777" w:rsidR="00B71B4E" w:rsidRPr="00BD16B4" w:rsidRDefault="00B71B4E" w:rsidP="00F31129">
            <w:pPr>
              <w:pStyle w:val="TableText"/>
              <w:spacing w:before="40" w:after="40"/>
              <w:rPr>
                <w:rFonts w:cs="Calibri"/>
                <w:szCs w:val="18"/>
              </w:rPr>
            </w:pPr>
            <w:r w:rsidRPr="00BD16B4">
              <w:rPr>
                <w:rFonts w:cs="Calibri"/>
                <w:szCs w:val="18"/>
              </w:rPr>
              <w:lastRenderedPageBreak/>
              <w:t>Sri Lanka / Dairy Expansion in Dry Zone</w:t>
            </w:r>
          </w:p>
        </w:tc>
        <w:tc>
          <w:tcPr>
            <w:tcW w:w="1276" w:type="dxa"/>
            <w:shd w:val="clear" w:color="auto" w:fill="auto"/>
            <w:hideMark/>
          </w:tcPr>
          <w:p w14:paraId="648BA98A" w14:textId="77777777" w:rsidR="00B71B4E" w:rsidRPr="00BD16B4" w:rsidRDefault="00B71B4E" w:rsidP="00F31129">
            <w:pPr>
              <w:pStyle w:val="TableText"/>
              <w:spacing w:before="40" w:after="40"/>
              <w:jc w:val="center"/>
              <w:rPr>
                <w:rFonts w:cs="Calibri"/>
                <w:szCs w:val="18"/>
              </w:rPr>
            </w:pPr>
            <w:r w:rsidRPr="00BD16B4">
              <w:rPr>
                <w:rFonts w:cs="Calibri"/>
                <w:szCs w:val="18"/>
              </w:rPr>
              <w:t>0.28</w:t>
            </w:r>
          </w:p>
        </w:tc>
        <w:tc>
          <w:tcPr>
            <w:tcW w:w="1345" w:type="dxa"/>
            <w:shd w:val="clear" w:color="auto" w:fill="auto"/>
            <w:noWrap/>
            <w:hideMark/>
          </w:tcPr>
          <w:p w14:paraId="5CF40B2B" w14:textId="77777777" w:rsidR="00B71B4E" w:rsidRPr="00BD16B4" w:rsidRDefault="00B71B4E" w:rsidP="00F31129">
            <w:pPr>
              <w:pStyle w:val="TableText"/>
              <w:spacing w:before="40" w:after="40"/>
              <w:jc w:val="center"/>
              <w:rPr>
                <w:rFonts w:cs="Calibri"/>
                <w:szCs w:val="18"/>
              </w:rPr>
            </w:pPr>
            <w:r w:rsidRPr="00BD16B4">
              <w:rPr>
                <w:rFonts w:cs="Calibri"/>
                <w:szCs w:val="18"/>
              </w:rPr>
              <w:t>0.19</w:t>
            </w:r>
          </w:p>
        </w:tc>
        <w:tc>
          <w:tcPr>
            <w:tcW w:w="1015" w:type="dxa"/>
            <w:shd w:val="clear" w:color="auto" w:fill="auto"/>
            <w:noWrap/>
            <w:hideMark/>
          </w:tcPr>
          <w:p w14:paraId="195D4A03"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2AED2351"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6670A62D"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0AA3FEB1"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506E86D2"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32D50121" w14:textId="77777777" w:rsidTr="00F31129">
        <w:tc>
          <w:tcPr>
            <w:tcW w:w="5387" w:type="dxa"/>
            <w:shd w:val="clear" w:color="auto" w:fill="auto"/>
            <w:hideMark/>
          </w:tcPr>
          <w:p w14:paraId="4740ACD8" w14:textId="77777777" w:rsidR="00B71B4E" w:rsidRPr="00BD16B4" w:rsidRDefault="00B71B4E" w:rsidP="00F31129">
            <w:pPr>
              <w:pStyle w:val="TableText"/>
              <w:spacing w:before="40" w:after="40"/>
              <w:rPr>
                <w:rFonts w:cs="Calibri"/>
                <w:szCs w:val="18"/>
              </w:rPr>
            </w:pPr>
            <w:r w:rsidRPr="00BD16B4">
              <w:rPr>
                <w:rFonts w:cs="Calibri"/>
                <w:szCs w:val="18"/>
              </w:rPr>
              <w:t>Pacific Regional / Support: Office of the Pacific Ocean Commissioner</w:t>
            </w:r>
          </w:p>
        </w:tc>
        <w:tc>
          <w:tcPr>
            <w:tcW w:w="1276" w:type="dxa"/>
            <w:shd w:val="clear" w:color="auto" w:fill="auto"/>
            <w:hideMark/>
          </w:tcPr>
          <w:p w14:paraId="1733A58D" w14:textId="77777777" w:rsidR="00B71B4E" w:rsidRPr="00BD16B4" w:rsidRDefault="00B71B4E" w:rsidP="00F31129">
            <w:pPr>
              <w:pStyle w:val="TableText"/>
              <w:spacing w:before="40" w:after="40"/>
              <w:jc w:val="center"/>
              <w:rPr>
                <w:rFonts w:cs="Calibri"/>
                <w:szCs w:val="18"/>
              </w:rPr>
            </w:pPr>
            <w:r w:rsidRPr="00BD16B4">
              <w:rPr>
                <w:rFonts w:cs="Calibri"/>
                <w:szCs w:val="18"/>
              </w:rPr>
              <w:t>0.43</w:t>
            </w:r>
          </w:p>
        </w:tc>
        <w:tc>
          <w:tcPr>
            <w:tcW w:w="1345" w:type="dxa"/>
            <w:shd w:val="clear" w:color="auto" w:fill="auto"/>
            <w:noWrap/>
            <w:hideMark/>
          </w:tcPr>
          <w:p w14:paraId="3362C5D9" w14:textId="77777777" w:rsidR="00B71B4E" w:rsidRPr="00BD16B4" w:rsidRDefault="00B71B4E" w:rsidP="00F31129">
            <w:pPr>
              <w:pStyle w:val="TableText"/>
              <w:spacing w:before="40" w:after="40"/>
              <w:jc w:val="center"/>
              <w:rPr>
                <w:rFonts w:cs="Calibri"/>
                <w:szCs w:val="18"/>
              </w:rPr>
            </w:pPr>
            <w:r w:rsidRPr="00BD16B4">
              <w:rPr>
                <w:rFonts w:cs="Calibri"/>
                <w:szCs w:val="18"/>
              </w:rPr>
              <w:t>0.28</w:t>
            </w:r>
          </w:p>
        </w:tc>
        <w:tc>
          <w:tcPr>
            <w:tcW w:w="1015" w:type="dxa"/>
            <w:shd w:val="clear" w:color="auto" w:fill="auto"/>
            <w:noWrap/>
            <w:hideMark/>
          </w:tcPr>
          <w:p w14:paraId="6F4CF570"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7670C132"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5EB09093"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6A74985"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4ABC3F4B"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53D385CF" w14:textId="77777777" w:rsidTr="00F31129">
        <w:tc>
          <w:tcPr>
            <w:tcW w:w="5387" w:type="dxa"/>
            <w:shd w:val="clear" w:color="auto" w:fill="auto"/>
            <w:hideMark/>
          </w:tcPr>
          <w:p w14:paraId="30992382" w14:textId="77777777" w:rsidR="00B71B4E" w:rsidRPr="00BD16B4" w:rsidRDefault="00B71B4E" w:rsidP="00F31129">
            <w:pPr>
              <w:pStyle w:val="TableText"/>
              <w:spacing w:before="40" w:after="40"/>
              <w:rPr>
                <w:rFonts w:cs="Calibri"/>
                <w:szCs w:val="18"/>
              </w:rPr>
            </w:pPr>
            <w:r w:rsidRPr="00BD16B4">
              <w:rPr>
                <w:rFonts w:cs="Calibri"/>
                <w:szCs w:val="18"/>
              </w:rPr>
              <w:t>Pacific Regional / Pacific Islands Forum Secretariat 2018–20</w:t>
            </w:r>
          </w:p>
        </w:tc>
        <w:tc>
          <w:tcPr>
            <w:tcW w:w="1276" w:type="dxa"/>
            <w:shd w:val="clear" w:color="auto" w:fill="auto"/>
            <w:hideMark/>
          </w:tcPr>
          <w:p w14:paraId="7DF407DE" w14:textId="77777777" w:rsidR="00B71B4E" w:rsidRPr="00BD16B4" w:rsidRDefault="00B71B4E" w:rsidP="00F31129">
            <w:pPr>
              <w:pStyle w:val="TableText"/>
              <w:spacing w:before="40" w:after="40"/>
              <w:jc w:val="center"/>
              <w:rPr>
                <w:rFonts w:cs="Calibri"/>
                <w:szCs w:val="18"/>
              </w:rPr>
            </w:pPr>
            <w:r w:rsidRPr="00BD16B4">
              <w:rPr>
                <w:rFonts w:cs="Calibri"/>
                <w:szCs w:val="18"/>
              </w:rPr>
              <w:t>2.02</w:t>
            </w:r>
          </w:p>
        </w:tc>
        <w:tc>
          <w:tcPr>
            <w:tcW w:w="1345" w:type="dxa"/>
            <w:shd w:val="clear" w:color="auto" w:fill="auto"/>
            <w:noWrap/>
            <w:hideMark/>
          </w:tcPr>
          <w:p w14:paraId="15DEC118" w14:textId="77777777" w:rsidR="00B71B4E" w:rsidRPr="00BD16B4" w:rsidRDefault="00B71B4E" w:rsidP="00F31129">
            <w:pPr>
              <w:pStyle w:val="TableText"/>
              <w:spacing w:before="40" w:after="40"/>
              <w:jc w:val="center"/>
              <w:rPr>
                <w:rFonts w:cs="Calibri"/>
                <w:szCs w:val="18"/>
              </w:rPr>
            </w:pPr>
            <w:r w:rsidRPr="00BD16B4">
              <w:rPr>
                <w:rFonts w:cs="Calibri"/>
                <w:szCs w:val="18"/>
              </w:rPr>
              <w:t>1.33</w:t>
            </w:r>
          </w:p>
        </w:tc>
        <w:tc>
          <w:tcPr>
            <w:tcW w:w="1015" w:type="dxa"/>
            <w:shd w:val="clear" w:color="auto" w:fill="auto"/>
            <w:noWrap/>
            <w:hideMark/>
          </w:tcPr>
          <w:p w14:paraId="1DA2697F"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7AB5F451"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316AB6B2"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65EF9A76"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34058BDE"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30D7CCA3" w14:textId="77777777" w:rsidTr="00F31129">
        <w:tc>
          <w:tcPr>
            <w:tcW w:w="5387" w:type="dxa"/>
            <w:shd w:val="clear" w:color="auto" w:fill="auto"/>
            <w:hideMark/>
          </w:tcPr>
          <w:p w14:paraId="74C13EF2" w14:textId="77777777" w:rsidR="00B71B4E" w:rsidRPr="00BD16B4" w:rsidRDefault="00B71B4E" w:rsidP="00F31129">
            <w:pPr>
              <w:pStyle w:val="TableText"/>
              <w:spacing w:before="40" w:after="40"/>
              <w:rPr>
                <w:rFonts w:cs="Calibri"/>
                <w:szCs w:val="18"/>
              </w:rPr>
            </w:pPr>
            <w:r w:rsidRPr="00BD16B4">
              <w:rPr>
                <w:rFonts w:cs="Calibri"/>
                <w:szCs w:val="18"/>
              </w:rPr>
              <w:t>Pacific Regional / Climate Change Programme Design</w:t>
            </w:r>
          </w:p>
        </w:tc>
        <w:tc>
          <w:tcPr>
            <w:tcW w:w="1276" w:type="dxa"/>
            <w:shd w:val="clear" w:color="auto" w:fill="auto"/>
            <w:hideMark/>
          </w:tcPr>
          <w:p w14:paraId="3498C792" w14:textId="77777777" w:rsidR="00B71B4E" w:rsidRPr="00BD16B4" w:rsidRDefault="00B71B4E" w:rsidP="00F31129">
            <w:pPr>
              <w:pStyle w:val="TableText"/>
              <w:spacing w:before="40" w:after="40"/>
              <w:jc w:val="center"/>
              <w:rPr>
                <w:rFonts w:cs="Calibri"/>
                <w:szCs w:val="18"/>
              </w:rPr>
            </w:pPr>
            <w:r w:rsidRPr="00BD16B4">
              <w:rPr>
                <w:rFonts w:cs="Calibri"/>
                <w:szCs w:val="18"/>
              </w:rPr>
              <w:t>0.67</w:t>
            </w:r>
          </w:p>
        </w:tc>
        <w:tc>
          <w:tcPr>
            <w:tcW w:w="1345" w:type="dxa"/>
            <w:shd w:val="clear" w:color="auto" w:fill="auto"/>
            <w:noWrap/>
            <w:hideMark/>
          </w:tcPr>
          <w:p w14:paraId="642CF70A" w14:textId="77777777" w:rsidR="00B71B4E" w:rsidRPr="00BD16B4" w:rsidRDefault="00B71B4E" w:rsidP="00F31129">
            <w:pPr>
              <w:pStyle w:val="TableText"/>
              <w:spacing w:before="40" w:after="40"/>
              <w:jc w:val="center"/>
              <w:rPr>
                <w:rFonts w:cs="Calibri"/>
                <w:szCs w:val="18"/>
              </w:rPr>
            </w:pPr>
            <w:r w:rsidRPr="00BD16B4">
              <w:rPr>
                <w:rFonts w:cs="Calibri"/>
                <w:szCs w:val="18"/>
              </w:rPr>
              <w:t>0.44</w:t>
            </w:r>
          </w:p>
        </w:tc>
        <w:tc>
          <w:tcPr>
            <w:tcW w:w="1015" w:type="dxa"/>
            <w:shd w:val="clear" w:color="auto" w:fill="auto"/>
            <w:noWrap/>
            <w:hideMark/>
          </w:tcPr>
          <w:p w14:paraId="2C0E3405"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37EE612F"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4F1318D9"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2AAD0F54"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4C31E2D4"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70897D1D" w14:textId="77777777" w:rsidTr="00F31129">
        <w:tc>
          <w:tcPr>
            <w:tcW w:w="5387" w:type="dxa"/>
            <w:shd w:val="clear" w:color="auto" w:fill="auto"/>
            <w:hideMark/>
          </w:tcPr>
          <w:p w14:paraId="61D25916" w14:textId="77777777" w:rsidR="00B71B4E" w:rsidRPr="00BD16B4" w:rsidRDefault="00B71B4E" w:rsidP="00F31129">
            <w:pPr>
              <w:pStyle w:val="TableText"/>
              <w:spacing w:before="40" w:after="40"/>
              <w:rPr>
                <w:rFonts w:cs="Calibri"/>
                <w:szCs w:val="18"/>
              </w:rPr>
            </w:pPr>
            <w:r w:rsidRPr="00BD16B4">
              <w:rPr>
                <w:rFonts w:cs="Calibri"/>
                <w:szCs w:val="18"/>
              </w:rPr>
              <w:t>Pacific Regional / Support to the Pacific Climate Change Centre</w:t>
            </w:r>
          </w:p>
        </w:tc>
        <w:tc>
          <w:tcPr>
            <w:tcW w:w="1276" w:type="dxa"/>
            <w:shd w:val="clear" w:color="auto" w:fill="auto"/>
            <w:hideMark/>
          </w:tcPr>
          <w:p w14:paraId="5DB092F5" w14:textId="77777777" w:rsidR="00B71B4E" w:rsidRPr="00BD16B4" w:rsidRDefault="00B71B4E" w:rsidP="00F31129">
            <w:pPr>
              <w:pStyle w:val="TableText"/>
              <w:spacing w:before="40" w:after="40"/>
              <w:jc w:val="center"/>
              <w:rPr>
                <w:rFonts w:cs="Calibri"/>
                <w:szCs w:val="18"/>
              </w:rPr>
            </w:pPr>
            <w:r w:rsidRPr="00BD16B4">
              <w:rPr>
                <w:rFonts w:cs="Calibri"/>
                <w:szCs w:val="18"/>
              </w:rPr>
              <w:t>1.17</w:t>
            </w:r>
          </w:p>
        </w:tc>
        <w:tc>
          <w:tcPr>
            <w:tcW w:w="1345" w:type="dxa"/>
            <w:shd w:val="clear" w:color="auto" w:fill="auto"/>
            <w:noWrap/>
            <w:hideMark/>
          </w:tcPr>
          <w:p w14:paraId="5A02A568" w14:textId="77777777" w:rsidR="00B71B4E" w:rsidRPr="00BD16B4" w:rsidRDefault="00B71B4E" w:rsidP="00F31129">
            <w:pPr>
              <w:pStyle w:val="TableText"/>
              <w:spacing w:before="40" w:after="40"/>
              <w:jc w:val="center"/>
              <w:rPr>
                <w:rFonts w:cs="Calibri"/>
                <w:szCs w:val="18"/>
              </w:rPr>
            </w:pPr>
            <w:r w:rsidRPr="00BD16B4">
              <w:rPr>
                <w:rFonts w:cs="Calibri"/>
                <w:szCs w:val="18"/>
              </w:rPr>
              <w:t>0.77</w:t>
            </w:r>
          </w:p>
        </w:tc>
        <w:tc>
          <w:tcPr>
            <w:tcW w:w="1015" w:type="dxa"/>
            <w:shd w:val="clear" w:color="auto" w:fill="auto"/>
            <w:noWrap/>
            <w:hideMark/>
          </w:tcPr>
          <w:p w14:paraId="32906FE8"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6A21EB0D"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32432E69"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56584012"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129EC8C9"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4C129824" w14:textId="77777777" w:rsidTr="00F31129">
        <w:tc>
          <w:tcPr>
            <w:tcW w:w="5387" w:type="dxa"/>
            <w:shd w:val="clear" w:color="auto" w:fill="auto"/>
            <w:hideMark/>
          </w:tcPr>
          <w:p w14:paraId="6591C748" w14:textId="77777777" w:rsidR="00B71B4E" w:rsidRPr="00BD16B4" w:rsidRDefault="00B71B4E" w:rsidP="00F31129">
            <w:pPr>
              <w:pStyle w:val="TableText"/>
              <w:spacing w:before="40" w:after="40"/>
              <w:rPr>
                <w:rFonts w:cs="Calibri"/>
                <w:szCs w:val="18"/>
              </w:rPr>
            </w:pPr>
            <w:r w:rsidRPr="00BD16B4">
              <w:rPr>
                <w:rFonts w:cs="Calibri"/>
                <w:szCs w:val="18"/>
              </w:rPr>
              <w:t>Pacific Regional / Asian Development Bank Pacific Renewable Energy Program</w:t>
            </w:r>
          </w:p>
        </w:tc>
        <w:tc>
          <w:tcPr>
            <w:tcW w:w="1276" w:type="dxa"/>
            <w:shd w:val="clear" w:color="auto" w:fill="auto"/>
            <w:hideMark/>
          </w:tcPr>
          <w:p w14:paraId="2496F7D7" w14:textId="77777777" w:rsidR="00B71B4E" w:rsidRPr="00BD16B4" w:rsidRDefault="00B71B4E" w:rsidP="00F31129">
            <w:pPr>
              <w:pStyle w:val="TableText"/>
              <w:spacing w:before="40" w:after="40"/>
              <w:jc w:val="center"/>
              <w:rPr>
                <w:rFonts w:cs="Calibri"/>
                <w:szCs w:val="18"/>
              </w:rPr>
            </w:pPr>
            <w:r w:rsidRPr="00BD16B4">
              <w:rPr>
                <w:rFonts w:cs="Calibri"/>
                <w:szCs w:val="18"/>
              </w:rPr>
              <w:t>4.52</w:t>
            </w:r>
          </w:p>
        </w:tc>
        <w:tc>
          <w:tcPr>
            <w:tcW w:w="1345" w:type="dxa"/>
            <w:shd w:val="clear" w:color="auto" w:fill="auto"/>
            <w:noWrap/>
            <w:hideMark/>
          </w:tcPr>
          <w:p w14:paraId="4EAEAF0C" w14:textId="77777777" w:rsidR="00B71B4E" w:rsidRPr="00BD16B4" w:rsidRDefault="00B71B4E" w:rsidP="00F31129">
            <w:pPr>
              <w:pStyle w:val="TableText"/>
              <w:spacing w:before="40" w:after="40"/>
              <w:jc w:val="center"/>
              <w:rPr>
                <w:rFonts w:cs="Calibri"/>
                <w:szCs w:val="18"/>
              </w:rPr>
            </w:pPr>
            <w:r w:rsidRPr="00BD16B4">
              <w:rPr>
                <w:rFonts w:cs="Calibri"/>
                <w:szCs w:val="18"/>
              </w:rPr>
              <w:t>2.98</w:t>
            </w:r>
          </w:p>
        </w:tc>
        <w:tc>
          <w:tcPr>
            <w:tcW w:w="1015" w:type="dxa"/>
            <w:shd w:val="clear" w:color="auto" w:fill="auto"/>
            <w:noWrap/>
            <w:hideMark/>
          </w:tcPr>
          <w:p w14:paraId="1E7E4530"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6D311681"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F394B6D"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240F521E"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7ACE013E"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0FCFDCD2" w14:textId="77777777" w:rsidTr="00F31129">
        <w:tc>
          <w:tcPr>
            <w:tcW w:w="5387" w:type="dxa"/>
            <w:shd w:val="clear" w:color="auto" w:fill="auto"/>
            <w:hideMark/>
          </w:tcPr>
          <w:p w14:paraId="00637739" w14:textId="77777777" w:rsidR="00B71B4E" w:rsidRPr="00BD16B4" w:rsidRDefault="00B71B4E" w:rsidP="00F31129">
            <w:pPr>
              <w:pStyle w:val="TableText"/>
              <w:spacing w:before="40" w:after="40"/>
              <w:rPr>
                <w:rFonts w:cs="Calibri"/>
                <w:szCs w:val="18"/>
              </w:rPr>
            </w:pPr>
            <w:r w:rsidRPr="00BD16B4">
              <w:rPr>
                <w:rFonts w:cs="Calibri"/>
                <w:szCs w:val="18"/>
              </w:rPr>
              <w:t>Pacific Regional / Pacific Regional Infrastructure Facility – Phase Four</w:t>
            </w:r>
          </w:p>
        </w:tc>
        <w:tc>
          <w:tcPr>
            <w:tcW w:w="1276" w:type="dxa"/>
            <w:shd w:val="clear" w:color="auto" w:fill="auto"/>
            <w:hideMark/>
          </w:tcPr>
          <w:p w14:paraId="02E16688" w14:textId="77777777" w:rsidR="00B71B4E" w:rsidRPr="00BD16B4" w:rsidRDefault="00B71B4E" w:rsidP="00F31129">
            <w:pPr>
              <w:pStyle w:val="TableText"/>
              <w:spacing w:before="40" w:after="40"/>
              <w:jc w:val="center"/>
              <w:rPr>
                <w:rFonts w:cs="Calibri"/>
                <w:szCs w:val="18"/>
              </w:rPr>
            </w:pPr>
            <w:r w:rsidRPr="00BD16B4">
              <w:rPr>
                <w:rFonts w:cs="Calibri"/>
                <w:szCs w:val="18"/>
              </w:rPr>
              <w:t>1.35</w:t>
            </w:r>
          </w:p>
        </w:tc>
        <w:tc>
          <w:tcPr>
            <w:tcW w:w="1345" w:type="dxa"/>
            <w:shd w:val="clear" w:color="auto" w:fill="auto"/>
            <w:noWrap/>
            <w:hideMark/>
          </w:tcPr>
          <w:p w14:paraId="1C2711F4" w14:textId="77777777" w:rsidR="00B71B4E" w:rsidRPr="00BD16B4" w:rsidRDefault="00B71B4E" w:rsidP="00F31129">
            <w:pPr>
              <w:pStyle w:val="TableText"/>
              <w:spacing w:before="40" w:after="40"/>
              <w:jc w:val="center"/>
              <w:rPr>
                <w:rFonts w:cs="Calibri"/>
                <w:szCs w:val="18"/>
              </w:rPr>
            </w:pPr>
            <w:r w:rsidRPr="00BD16B4">
              <w:rPr>
                <w:rFonts w:cs="Calibri"/>
                <w:szCs w:val="18"/>
              </w:rPr>
              <w:t>0.89</w:t>
            </w:r>
          </w:p>
        </w:tc>
        <w:tc>
          <w:tcPr>
            <w:tcW w:w="1015" w:type="dxa"/>
            <w:shd w:val="clear" w:color="auto" w:fill="auto"/>
            <w:noWrap/>
            <w:hideMark/>
          </w:tcPr>
          <w:p w14:paraId="21E87561"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6DEBC338"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8AD2DA7"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76BD038E"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4C3E5F03"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41738DA8" w14:textId="77777777" w:rsidTr="00F31129">
        <w:tc>
          <w:tcPr>
            <w:tcW w:w="5387" w:type="dxa"/>
            <w:shd w:val="clear" w:color="auto" w:fill="auto"/>
            <w:hideMark/>
          </w:tcPr>
          <w:p w14:paraId="345718E4" w14:textId="77777777" w:rsidR="00B71B4E" w:rsidRPr="00BD16B4" w:rsidRDefault="00B71B4E" w:rsidP="00F31129">
            <w:pPr>
              <w:pStyle w:val="TableText"/>
              <w:spacing w:before="40" w:after="40"/>
              <w:rPr>
                <w:rFonts w:cs="Calibri"/>
                <w:szCs w:val="18"/>
              </w:rPr>
            </w:pPr>
            <w:r w:rsidRPr="00BD16B4">
              <w:rPr>
                <w:rFonts w:cs="Calibri"/>
                <w:szCs w:val="18"/>
              </w:rPr>
              <w:t>Pacific Regional / Improve Decision-making through Ocean Knowledge</w:t>
            </w:r>
          </w:p>
        </w:tc>
        <w:tc>
          <w:tcPr>
            <w:tcW w:w="1276" w:type="dxa"/>
            <w:shd w:val="clear" w:color="auto" w:fill="auto"/>
            <w:hideMark/>
          </w:tcPr>
          <w:p w14:paraId="0C62A9F0" w14:textId="77777777" w:rsidR="00B71B4E" w:rsidRPr="00BD16B4" w:rsidRDefault="00B71B4E" w:rsidP="00F31129">
            <w:pPr>
              <w:pStyle w:val="TableText"/>
              <w:spacing w:before="40" w:after="40"/>
              <w:jc w:val="center"/>
              <w:rPr>
                <w:rFonts w:cs="Calibri"/>
                <w:szCs w:val="18"/>
              </w:rPr>
            </w:pPr>
            <w:r w:rsidRPr="00BD16B4">
              <w:rPr>
                <w:rFonts w:cs="Calibri"/>
                <w:szCs w:val="18"/>
              </w:rPr>
              <w:t>1.23</w:t>
            </w:r>
          </w:p>
        </w:tc>
        <w:tc>
          <w:tcPr>
            <w:tcW w:w="1345" w:type="dxa"/>
            <w:shd w:val="clear" w:color="auto" w:fill="auto"/>
            <w:noWrap/>
            <w:hideMark/>
          </w:tcPr>
          <w:p w14:paraId="401E1E20" w14:textId="77777777" w:rsidR="00B71B4E" w:rsidRPr="00BD16B4" w:rsidRDefault="00B71B4E" w:rsidP="00F31129">
            <w:pPr>
              <w:pStyle w:val="TableText"/>
              <w:spacing w:before="40" w:after="40"/>
              <w:jc w:val="center"/>
              <w:rPr>
                <w:rFonts w:cs="Calibri"/>
                <w:szCs w:val="18"/>
              </w:rPr>
            </w:pPr>
            <w:r w:rsidRPr="00BD16B4">
              <w:rPr>
                <w:rFonts w:cs="Calibri"/>
                <w:szCs w:val="18"/>
              </w:rPr>
              <w:t>0.81</w:t>
            </w:r>
          </w:p>
        </w:tc>
        <w:tc>
          <w:tcPr>
            <w:tcW w:w="1015" w:type="dxa"/>
            <w:shd w:val="clear" w:color="auto" w:fill="auto"/>
            <w:noWrap/>
            <w:hideMark/>
          </w:tcPr>
          <w:p w14:paraId="5E768578"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03EB3041"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70A6D10D"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4AAEDCB4"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3155BE55"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5EF38EF6" w14:textId="77777777" w:rsidTr="00F31129">
        <w:tc>
          <w:tcPr>
            <w:tcW w:w="5387" w:type="dxa"/>
            <w:shd w:val="clear" w:color="auto" w:fill="auto"/>
            <w:hideMark/>
          </w:tcPr>
          <w:p w14:paraId="090E4A84" w14:textId="77777777" w:rsidR="00B71B4E" w:rsidRPr="00BD16B4" w:rsidRDefault="00B71B4E" w:rsidP="00F31129">
            <w:pPr>
              <w:pStyle w:val="TableText"/>
              <w:spacing w:before="40" w:after="40"/>
              <w:rPr>
                <w:rFonts w:cs="Calibri"/>
                <w:szCs w:val="18"/>
              </w:rPr>
            </w:pPr>
            <w:r w:rsidRPr="00BD16B4">
              <w:rPr>
                <w:rFonts w:cs="Calibri"/>
                <w:szCs w:val="18"/>
              </w:rPr>
              <w:t>Pacific Regional / Pacific Voice</w:t>
            </w:r>
          </w:p>
        </w:tc>
        <w:tc>
          <w:tcPr>
            <w:tcW w:w="1276" w:type="dxa"/>
            <w:shd w:val="clear" w:color="auto" w:fill="auto"/>
            <w:hideMark/>
          </w:tcPr>
          <w:p w14:paraId="044D4D53" w14:textId="77777777" w:rsidR="00B71B4E" w:rsidRPr="00BD16B4" w:rsidRDefault="00B71B4E" w:rsidP="00F31129">
            <w:pPr>
              <w:pStyle w:val="TableText"/>
              <w:spacing w:before="40" w:after="40"/>
              <w:jc w:val="center"/>
              <w:rPr>
                <w:rFonts w:cs="Calibri"/>
                <w:szCs w:val="18"/>
              </w:rPr>
            </w:pPr>
            <w:r w:rsidRPr="00BD16B4">
              <w:rPr>
                <w:rFonts w:cs="Calibri"/>
                <w:szCs w:val="18"/>
              </w:rPr>
              <w:t>0.77</w:t>
            </w:r>
          </w:p>
        </w:tc>
        <w:tc>
          <w:tcPr>
            <w:tcW w:w="1345" w:type="dxa"/>
            <w:shd w:val="clear" w:color="auto" w:fill="auto"/>
            <w:noWrap/>
            <w:hideMark/>
          </w:tcPr>
          <w:p w14:paraId="249C1271" w14:textId="77777777" w:rsidR="00B71B4E" w:rsidRPr="00BD16B4" w:rsidRDefault="00B71B4E" w:rsidP="00F31129">
            <w:pPr>
              <w:pStyle w:val="TableText"/>
              <w:spacing w:before="40" w:after="40"/>
              <w:jc w:val="center"/>
              <w:rPr>
                <w:rFonts w:cs="Calibri"/>
                <w:szCs w:val="18"/>
              </w:rPr>
            </w:pPr>
            <w:r w:rsidRPr="00BD16B4">
              <w:rPr>
                <w:rFonts w:cs="Calibri"/>
                <w:szCs w:val="18"/>
              </w:rPr>
              <w:t>0.51</w:t>
            </w:r>
          </w:p>
        </w:tc>
        <w:tc>
          <w:tcPr>
            <w:tcW w:w="1015" w:type="dxa"/>
            <w:shd w:val="clear" w:color="auto" w:fill="auto"/>
            <w:noWrap/>
            <w:hideMark/>
          </w:tcPr>
          <w:p w14:paraId="127C2FC0"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4140A327"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67BFF72B"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4A7A0AF5"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470326C8"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7730F32E" w14:textId="77777777" w:rsidTr="00F31129">
        <w:tc>
          <w:tcPr>
            <w:tcW w:w="5387" w:type="dxa"/>
            <w:shd w:val="clear" w:color="auto" w:fill="auto"/>
            <w:hideMark/>
          </w:tcPr>
          <w:p w14:paraId="40C05812" w14:textId="77777777" w:rsidR="00B71B4E" w:rsidRPr="00BD16B4" w:rsidRDefault="00B71B4E" w:rsidP="00F31129">
            <w:pPr>
              <w:pStyle w:val="TableText"/>
              <w:spacing w:before="40" w:after="40"/>
              <w:rPr>
                <w:rFonts w:cs="Calibri"/>
                <w:szCs w:val="18"/>
              </w:rPr>
            </w:pPr>
            <w:r w:rsidRPr="00BD16B4">
              <w:rPr>
                <w:rFonts w:cs="Calibri"/>
                <w:szCs w:val="18"/>
              </w:rPr>
              <w:t>Pacific Regional / Forum Fisheries Agency 2015–21 core funding</w:t>
            </w:r>
          </w:p>
        </w:tc>
        <w:tc>
          <w:tcPr>
            <w:tcW w:w="1276" w:type="dxa"/>
            <w:shd w:val="clear" w:color="auto" w:fill="auto"/>
            <w:hideMark/>
          </w:tcPr>
          <w:p w14:paraId="2DFF892D" w14:textId="77777777" w:rsidR="00B71B4E" w:rsidRPr="00BD16B4" w:rsidRDefault="00B71B4E" w:rsidP="00F31129">
            <w:pPr>
              <w:pStyle w:val="TableText"/>
              <w:spacing w:before="40" w:after="40"/>
              <w:jc w:val="center"/>
              <w:rPr>
                <w:rFonts w:cs="Calibri"/>
                <w:szCs w:val="18"/>
              </w:rPr>
            </w:pPr>
            <w:r w:rsidRPr="00BD16B4">
              <w:rPr>
                <w:rFonts w:cs="Calibri"/>
                <w:szCs w:val="18"/>
              </w:rPr>
              <w:t>1.62</w:t>
            </w:r>
          </w:p>
        </w:tc>
        <w:tc>
          <w:tcPr>
            <w:tcW w:w="1345" w:type="dxa"/>
            <w:shd w:val="clear" w:color="auto" w:fill="auto"/>
            <w:noWrap/>
            <w:hideMark/>
          </w:tcPr>
          <w:p w14:paraId="3F3E46A2" w14:textId="77777777" w:rsidR="00B71B4E" w:rsidRPr="00BD16B4" w:rsidRDefault="00B71B4E" w:rsidP="00F31129">
            <w:pPr>
              <w:pStyle w:val="TableText"/>
              <w:spacing w:before="40" w:after="40"/>
              <w:jc w:val="center"/>
              <w:rPr>
                <w:rFonts w:cs="Calibri"/>
                <w:szCs w:val="18"/>
              </w:rPr>
            </w:pPr>
            <w:r w:rsidRPr="00BD16B4">
              <w:rPr>
                <w:rFonts w:cs="Calibri"/>
                <w:szCs w:val="18"/>
              </w:rPr>
              <w:t>1.07</w:t>
            </w:r>
          </w:p>
        </w:tc>
        <w:tc>
          <w:tcPr>
            <w:tcW w:w="1015" w:type="dxa"/>
            <w:shd w:val="clear" w:color="auto" w:fill="auto"/>
            <w:noWrap/>
            <w:hideMark/>
          </w:tcPr>
          <w:p w14:paraId="53289309"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569DA678"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79084080"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4C9F78D1"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1CEACFC1" w14:textId="77777777" w:rsidR="00B71B4E" w:rsidRPr="00BD16B4" w:rsidRDefault="00B71B4E" w:rsidP="00F31129">
            <w:pPr>
              <w:pStyle w:val="TableText"/>
              <w:spacing w:before="40" w:after="40"/>
              <w:rPr>
                <w:rFonts w:cs="Calibri"/>
                <w:szCs w:val="18"/>
              </w:rPr>
            </w:pPr>
            <w:r w:rsidRPr="00BD16B4">
              <w:rPr>
                <w:rFonts w:cs="Calibri"/>
                <w:szCs w:val="18"/>
              </w:rPr>
              <w:t>Fishing</w:t>
            </w:r>
          </w:p>
        </w:tc>
      </w:tr>
      <w:tr w:rsidR="00B71B4E" w:rsidRPr="00BD16B4" w14:paraId="3447F023" w14:textId="77777777" w:rsidTr="00F31129">
        <w:tc>
          <w:tcPr>
            <w:tcW w:w="5387" w:type="dxa"/>
            <w:shd w:val="clear" w:color="auto" w:fill="auto"/>
            <w:hideMark/>
          </w:tcPr>
          <w:p w14:paraId="2BEE2446" w14:textId="77777777" w:rsidR="00B71B4E" w:rsidRPr="00BD16B4" w:rsidRDefault="00B71B4E" w:rsidP="00F31129">
            <w:pPr>
              <w:pStyle w:val="TableText"/>
              <w:spacing w:before="40" w:after="40"/>
              <w:rPr>
                <w:rFonts w:cs="Calibri"/>
                <w:szCs w:val="18"/>
              </w:rPr>
            </w:pPr>
            <w:r w:rsidRPr="00BD16B4">
              <w:rPr>
                <w:rFonts w:cs="Calibri"/>
                <w:szCs w:val="18"/>
              </w:rPr>
              <w:t>Pacific Regional / Secretariat of the Pacific Regional Environment Programme (SPREP) Programme Support 2016–19</w:t>
            </w:r>
          </w:p>
        </w:tc>
        <w:tc>
          <w:tcPr>
            <w:tcW w:w="1276" w:type="dxa"/>
            <w:shd w:val="clear" w:color="auto" w:fill="auto"/>
            <w:hideMark/>
          </w:tcPr>
          <w:p w14:paraId="69F24EF2" w14:textId="77777777" w:rsidR="00B71B4E" w:rsidRPr="00BD16B4" w:rsidRDefault="00B71B4E" w:rsidP="00F31129">
            <w:pPr>
              <w:pStyle w:val="TableText"/>
              <w:spacing w:before="40" w:after="40"/>
              <w:jc w:val="center"/>
              <w:rPr>
                <w:rFonts w:cs="Calibri"/>
                <w:szCs w:val="18"/>
              </w:rPr>
            </w:pPr>
            <w:r w:rsidRPr="00BD16B4">
              <w:rPr>
                <w:rFonts w:cs="Calibri"/>
                <w:szCs w:val="18"/>
              </w:rPr>
              <w:t>1.53</w:t>
            </w:r>
          </w:p>
        </w:tc>
        <w:tc>
          <w:tcPr>
            <w:tcW w:w="1345" w:type="dxa"/>
            <w:shd w:val="clear" w:color="auto" w:fill="auto"/>
            <w:noWrap/>
            <w:hideMark/>
          </w:tcPr>
          <w:p w14:paraId="0FCB78A0" w14:textId="77777777" w:rsidR="00B71B4E" w:rsidRPr="00BD16B4" w:rsidRDefault="00B71B4E" w:rsidP="00F31129">
            <w:pPr>
              <w:pStyle w:val="TableText"/>
              <w:spacing w:before="40" w:after="40"/>
              <w:jc w:val="center"/>
              <w:rPr>
                <w:rFonts w:cs="Calibri"/>
                <w:szCs w:val="18"/>
              </w:rPr>
            </w:pPr>
            <w:r w:rsidRPr="00BD16B4">
              <w:rPr>
                <w:rFonts w:cs="Calibri"/>
                <w:szCs w:val="18"/>
              </w:rPr>
              <w:t>1.01</w:t>
            </w:r>
          </w:p>
        </w:tc>
        <w:tc>
          <w:tcPr>
            <w:tcW w:w="1015" w:type="dxa"/>
            <w:shd w:val="clear" w:color="auto" w:fill="auto"/>
            <w:noWrap/>
            <w:hideMark/>
          </w:tcPr>
          <w:p w14:paraId="0BDF5C62"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12E7CF4E"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6208A38C"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00772541"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75DCD799"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454D6B47" w14:textId="77777777" w:rsidTr="00F31129">
        <w:tc>
          <w:tcPr>
            <w:tcW w:w="5387" w:type="dxa"/>
            <w:shd w:val="clear" w:color="auto" w:fill="auto"/>
            <w:hideMark/>
          </w:tcPr>
          <w:p w14:paraId="46D42EC7" w14:textId="77777777" w:rsidR="00B71B4E" w:rsidRPr="00BD16B4" w:rsidRDefault="00B71B4E" w:rsidP="00F31129">
            <w:pPr>
              <w:pStyle w:val="TableText"/>
              <w:spacing w:before="40" w:after="40"/>
              <w:rPr>
                <w:rFonts w:cs="Calibri"/>
                <w:szCs w:val="18"/>
              </w:rPr>
            </w:pPr>
            <w:r w:rsidRPr="00BD16B4">
              <w:rPr>
                <w:rFonts w:cs="Calibri"/>
                <w:szCs w:val="18"/>
              </w:rPr>
              <w:t>Pacific Regional / Recognised Seasonal Employer Worker Training Programme II (RSE WTP II)</w:t>
            </w:r>
          </w:p>
        </w:tc>
        <w:tc>
          <w:tcPr>
            <w:tcW w:w="1276" w:type="dxa"/>
            <w:shd w:val="clear" w:color="auto" w:fill="auto"/>
            <w:hideMark/>
          </w:tcPr>
          <w:p w14:paraId="55136DBF" w14:textId="77777777" w:rsidR="00B71B4E" w:rsidRPr="00BD16B4" w:rsidRDefault="00B71B4E" w:rsidP="00F31129">
            <w:pPr>
              <w:pStyle w:val="TableText"/>
              <w:spacing w:before="40" w:after="40"/>
              <w:jc w:val="center"/>
              <w:rPr>
                <w:rFonts w:cs="Calibri"/>
                <w:szCs w:val="18"/>
              </w:rPr>
            </w:pPr>
            <w:r w:rsidRPr="00BD16B4">
              <w:rPr>
                <w:rFonts w:cs="Calibri"/>
                <w:szCs w:val="18"/>
              </w:rPr>
              <w:t>0.32</w:t>
            </w:r>
          </w:p>
        </w:tc>
        <w:tc>
          <w:tcPr>
            <w:tcW w:w="1345" w:type="dxa"/>
            <w:shd w:val="clear" w:color="auto" w:fill="auto"/>
            <w:noWrap/>
            <w:hideMark/>
          </w:tcPr>
          <w:p w14:paraId="65660FFA" w14:textId="77777777" w:rsidR="00B71B4E" w:rsidRPr="00BD16B4" w:rsidRDefault="00B71B4E" w:rsidP="00F31129">
            <w:pPr>
              <w:pStyle w:val="TableText"/>
              <w:spacing w:before="40" w:after="40"/>
              <w:jc w:val="center"/>
              <w:rPr>
                <w:rFonts w:cs="Calibri"/>
                <w:szCs w:val="18"/>
              </w:rPr>
            </w:pPr>
            <w:r w:rsidRPr="00BD16B4">
              <w:rPr>
                <w:rFonts w:cs="Calibri"/>
                <w:szCs w:val="18"/>
              </w:rPr>
              <w:t>0.21</w:t>
            </w:r>
          </w:p>
        </w:tc>
        <w:tc>
          <w:tcPr>
            <w:tcW w:w="1015" w:type="dxa"/>
            <w:shd w:val="clear" w:color="auto" w:fill="auto"/>
            <w:noWrap/>
            <w:hideMark/>
          </w:tcPr>
          <w:p w14:paraId="177FD0A0"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1D7345B2"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6A4580A6"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076548FC"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53AD9581" w14:textId="77777777" w:rsidR="00B71B4E" w:rsidRPr="00BD16B4" w:rsidRDefault="00B71B4E" w:rsidP="00F31129">
            <w:pPr>
              <w:pStyle w:val="TableText"/>
              <w:spacing w:before="40" w:after="40"/>
              <w:rPr>
                <w:rFonts w:cs="Calibri"/>
                <w:szCs w:val="18"/>
              </w:rPr>
            </w:pPr>
            <w:r w:rsidRPr="00BD16B4">
              <w:rPr>
                <w:rFonts w:cs="Calibri"/>
                <w:szCs w:val="18"/>
              </w:rPr>
              <w:t>Education</w:t>
            </w:r>
          </w:p>
        </w:tc>
      </w:tr>
      <w:tr w:rsidR="00B71B4E" w:rsidRPr="00BD16B4" w14:paraId="4683E5E3" w14:textId="77777777" w:rsidTr="00F31129">
        <w:tc>
          <w:tcPr>
            <w:tcW w:w="5387" w:type="dxa"/>
            <w:shd w:val="clear" w:color="auto" w:fill="auto"/>
            <w:hideMark/>
          </w:tcPr>
          <w:p w14:paraId="46194E78" w14:textId="77777777" w:rsidR="00B71B4E" w:rsidRPr="00BD16B4" w:rsidRDefault="00B71B4E" w:rsidP="00F31129">
            <w:pPr>
              <w:pStyle w:val="TableText"/>
              <w:spacing w:before="40" w:after="40"/>
              <w:rPr>
                <w:rFonts w:cs="Calibri"/>
                <w:szCs w:val="18"/>
              </w:rPr>
            </w:pPr>
            <w:r w:rsidRPr="00BD16B4">
              <w:rPr>
                <w:rFonts w:cs="Calibri"/>
                <w:szCs w:val="18"/>
              </w:rPr>
              <w:t>Pacific Regional / Pacific Community (SPC) 2017–19</w:t>
            </w:r>
          </w:p>
        </w:tc>
        <w:tc>
          <w:tcPr>
            <w:tcW w:w="1276" w:type="dxa"/>
            <w:shd w:val="clear" w:color="auto" w:fill="auto"/>
            <w:hideMark/>
          </w:tcPr>
          <w:p w14:paraId="53E43CF7" w14:textId="77777777" w:rsidR="00B71B4E" w:rsidRPr="00BD16B4" w:rsidRDefault="00B71B4E" w:rsidP="00F31129">
            <w:pPr>
              <w:pStyle w:val="TableText"/>
              <w:spacing w:before="40" w:after="40"/>
              <w:jc w:val="center"/>
              <w:rPr>
                <w:rFonts w:cs="Calibri"/>
                <w:szCs w:val="18"/>
              </w:rPr>
            </w:pPr>
            <w:r w:rsidRPr="00BD16B4">
              <w:rPr>
                <w:rFonts w:cs="Calibri"/>
                <w:szCs w:val="18"/>
              </w:rPr>
              <w:t>0.69</w:t>
            </w:r>
          </w:p>
        </w:tc>
        <w:tc>
          <w:tcPr>
            <w:tcW w:w="1345" w:type="dxa"/>
            <w:shd w:val="clear" w:color="auto" w:fill="auto"/>
            <w:noWrap/>
            <w:hideMark/>
          </w:tcPr>
          <w:p w14:paraId="7603B4BB" w14:textId="77777777" w:rsidR="00B71B4E" w:rsidRPr="00BD16B4" w:rsidRDefault="00B71B4E" w:rsidP="00F31129">
            <w:pPr>
              <w:pStyle w:val="TableText"/>
              <w:spacing w:before="40" w:after="40"/>
              <w:jc w:val="center"/>
              <w:rPr>
                <w:rFonts w:cs="Calibri"/>
                <w:szCs w:val="18"/>
              </w:rPr>
            </w:pPr>
            <w:r w:rsidRPr="00BD16B4">
              <w:rPr>
                <w:rFonts w:cs="Calibri"/>
                <w:szCs w:val="18"/>
              </w:rPr>
              <w:t>0.45</w:t>
            </w:r>
          </w:p>
        </w:tc>
        <w:tc>
          <w:tcPr>
            <w:tcW w:w="1015" w:type="dxa"/>
            <w:shd w:val="clear" w:color="auto" w:fill="auto"/>
            <w:noWrap/>
            <w:hideMark/>
          </w:tcPr>
          <w:p w14:paraId="07396472"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3FCF1C4A"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77D298A"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67AF40C3"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49546A6E"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7E999526" w14:textId="77777777" w:rsidTr="00F31129">
        <w:tc>
          <w:tcPr>
            <w:tcW w:w="5387" w:type="dxa"/>
            <w:shd w:val="clear" w:color="auto" w:fill="auto"/>
            <w:hideMark/>
          </w:tcPr>
          <w:p w14:paraId="4D170CD5" w14:textId="77777777" w:rsidR="00B71B4E" w:rsidRPr="00BD16B4" w:rsidRDefault="00B71B4E" w:rsidP="00F31129">
            <w:pPr>
              <w:pStyle w:val="TableText"/>
              <w:spacing w:before="40" w:after="40"/>
              <w:rPr>
                <w:rFonts w:cs="Calibri"/>
                <w:szCs w:val="18"/>
              </w:rPr>
            </w:pPr>
            <w:r w:rsidRPr="00BD16B4">
              <w:rPr>
                <w:rFonts w:cs="Calibri"/>
                <w:szCs w:val="18"/>
              </w:rPr>
              <w:t xml:space="preserve">Pacific Regional / Local Government Technical Assistance Facility </w:t>
            </w:r>
            <w:r w:rsidRPr="00BD16B4">
              <w:rPr>
                <w:rFonts w:cs="Calibri"/>
                <w:szCs w:val="18"/>
              </w:rPr>
              <w:br/>
              <w:t>2017–22</w:t>
            </w:r>
          </w:p>
        </w:tc>
        <w:tc>
          <w:tcPr>
            <w:tcW w:w="1276" w:type="dxa"/>
            <w:shd w:val="clear" w:color="auto" w:fill="auto"/>
            <w:hideMark/>
          </w:tcPr>
          <w:p w14:paraId="08541947" w14:textId="77777777" w:rsidR="00B71B4E" w:rsidRPr="00BD16B4" w:rsidRDefault="00B71B4E" w:rsidP="00F31129">
            <w:pPr>
              <w:pStyle w:val="TableText"/>
              <w:spacing w:before="40" w:after="40"/>
              <w:jc w:val="center"/>
              <w:rPr>
                <w:rFonts w:cs="Calibri"/>
                <w:szCs w:val="18"/>
              </w:rPr>
            </w:pPr>
            <w:r w:rsidRPr="00BD16B4">
              <w:rPr>
                <w:rFonts w:cs="Calibri"/>
                <w:szCs w:val="18"/>
              </w:rPr>
              <w:t>0.24</w:t>
            </w:r>
          </w:p>
        </w:tc>
        <w:tc>
          <w:tcPr>
            <w:tcW w:w="1345" w:type="dxa"/>
            <w:shd w:val="clear" w:color="auto" w:fill="auto"/>
            <w:noWrap/>
            <w:hideMark/>
          </w:tcPr>
          <w:p w14:paraId="1D5A80BA" w14:textId="77777777" w:rsidR="00B71B4E" w:rsidRPr="00BD16B4" w:rsidRDefault="00B71B4E" w:rsidP="00F31129">
            <w:pPr>
              <w:pStyle w:val="TableText"/>
              <w:spacing w:before="40" w:after="40"/>
              <w:jc w:val="center"/>
              <w:rPr>
                <w:rFonts w:cs="Calibri"/>
                <w:szCs w:val="18"/>
              </w:rPr>
            </w:pPr>
            <w:r w:rsidRPr="00BD16B4">
              <w:rPr>
                <w:rFonts w:cs="Calibri"/>
                <w:szCs w:val="18"/>
              </w:rPr>
              <w:t>0.16</w:t>
            </w:r>
          </w:p>
        </w:tc>
        <w:tc>
          <w:tcPr>
            <w:tcW w:w="1015" w:type="dxa"/>
            <w:shd w:val="clear" w:color="auto" w:fill="auto"/>
            <w:noWrap/>
            <w:hideMark/>
          </w:tcPr>
          <w:p w14:paraId="3409216F"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5D546C33"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AC7C84E"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2D5C21C4"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42883658" w14:textId="77777777" w:rsidR="00B71B4E" w:rsidRPr="00BD16B4" w:rsidRDefault="00B71B4E" w:rsidP="00F31129">
            <w:pPr>
              <w:pStyle w:val="TableText"/>
              <w:spacing w:before="40" w:after="40"/>
              <w:rPr>
                <w:rFonts w:cs="Calibri"/>
                <w:szCs w:val="18"/>
              </w:rPr>
            </w:pPr>
            <w:r w:rsidRPr="00BD16B4">
              <w:rPr>
                <w:rFonts w:cs="Calibri"/>
                <w:szCs w:val="18"/>
              </w:rPr>
              <w:t>Government and civil society</w:t>
            </w:r>
          </w:p>
        </w:tc>
      </w:tr>
      <w:tr w:rsidR="00B71B4E" w:rsidRPr="00BD16B4" w14:paraId="4D32F75F" w14:textId="77777777" w:rsidTr="00F31129">
        <w:tc>
          <w:tcPr>
            <w:tcW w:w="5387" w:type="dxa"/>
            <w:shd w:val="clear" w:color="auto" w:fill="auto"/>
            <w:hideMark/>
          </w:tcPr>
          <w:p w14:paraId="64FBC212" w14:textId="77777777" w:rsidR="00B71B4E" w:rsidRPr="00BD16B4" w:rsidRDefault="00B71B4E" w:rsidP="00F31129">
            <w:pPr>
              <w:pStyle w:val="TableText"/>
              <w:spacing w:before="40" w:after="40"/>
              <w:rPr>
                <w:rFonts w:cs="Calibri"/>
                <w:szCs w:val="18"/>
              </w:rPr>
            </w:pPr>
            <w:r w:rsidRPr="00BD16B4">
              <w:rPr>
                <w:rFonts w:cs="Calibri"/>
                <w:szCs w:val="18"/>
              </w:rPr>
              <w:t>Pacific Regional / Improving Pacific Access to Climate Finance</w:t>
            </w:r>
          </w:p>
        </w:tc>
        <w:tc>
          <w:tcPr>
            <w:tcW w:w="1276" w:type="dxa"/>
            <w:shd w:val="clear" w:color="auto" w:fill="auto"/>
            <w:hideMark/>
          </w:tcPr>
          <w:p w14:paraId="295122B4" w14:textId="77777777" w:rsidR="00B71B4E" w:rsidRPr="00BD16B4" w:rsidRDefault="00B71B4E" w:rsidP="00F31129">
            <w:pPr>
              <w:pStyle w:val="TableText"/>
              <w:spacing w:before="40" w:after="40"/>
              <w:jc w:val="center"/>
              <w:rPr>
                <w:rFonts w:cs="Calibri"/>
                <w:szCs w:val="18"/>
              </w:rPr>
            </w:pPr>
            <w:r w:rsidRPr="00BD16B4">
              <w:rPr>
                <w:rFonts w:cs="Calibri"/>
                <w:szCs w:val="18"/>
              </w:rPr>
              <w:t>0.89</w:t>
            </w:r>
          </w:p>
        </w:tc>
        <w:tc>
          <w:tcPr>
            <w:tcW w:w="1345" w:type="dxa"/>
            <w:shd w:val="clear" w:color="auto" w:fill="auto"/>
            <w:noWrap/>
            <w:hideMark/>
          </w:tcPr>
          <w:p w14:paraId="28AD1807" w14:textId="77777777" w:rsidR="00B71B4E" w:rsidRPr="00BD16B4" w:rsidRDefault="00B71B4E" w:rsidP="00F31129">
            <w:pPr>
              <w:pStyle w:val="TableText"/>
              <w:spacing w:before="40" w:after="40"/>
              <w:jc w:val="center"/>
              <w:rPr>
                <w:rFonts w:cs="Calibri"/>
                <w:szCs w:val="18"/>
              </w:rPr>
            </w:pPr>
            <w:r w:rsidRPr="00BD16B4">
              <w:rPr>
                <w:rFonts w:cs="Calibri"/>
                <w:szCs w:val="18"/>
              </w:rPr>
              <w:t>0.59</w:t>
            </w:r>
          </w:p>
        </w:tc>
        <w:tc>
          <w:tcPr>
            <w:tcW w:w="1015" w:type="dxa"/>
            <w:shd w:val="clear" w:color="auto" w:fill="auto"/>
            <w:noWrap/>
            <w:hideMark/>
          </w:tcPr>
          <w:p w14:paraId="137F86B5"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1E5F9025"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53298C5E"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7BFAE370"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62F4321A"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1C112897" w14:textId="77777777" w:rsidTr="00F31129">
        <w:tc>
          <w:tcPr>
            <w:tcW w:w="5387" w:type="dxa"/>
            <w:shd w:val="clear" w:color="auto" w:fill="auto"/>
            <w:hideMark/>
          </w:tcPr>
          <w:p w14:paraId="3748CEE1" w14:textId="77777777" w:rsidR="00B71B4E" w:rsidRPr="00BD16B4" w:rsidRDefault="00B71B4E" w:rsidP="00F31129">
            <w:pPr>
              <w:pStyle w:val="TableText"/>
              <w:spacing w:before="40" w:after="40"/>
              <w:rPr>
                <w:rFonts w:cs="Calibri"/>
                <w:szCs w:val="18"/>
              </w:rPr>
            </w:pPr>
            <w:r w:rsidRPr="00BD16B4">
              <w:rPr>
                <w:rFonts w:cs="Calibri"/>
                <w:szCs w:val="18"/>
              </w:rPr>
              <w:t>Papua New Guinea / Private Sector Development: PNG Partnership (International Finance Corporation)</w:t>
            </w:r>
          </w:p>
        </w:tc>
        <w:tc>
          <w:tcPr>
            <w:tcW w:w="1276" w:type="dxa"/>
            <w:shd w:val="clear" w:color="auto" w:fill="auto"/>
            <w:hideMark/>
          </w:tcPr>
          <w:p w14:paraId="7F355FA2" w14:textId="77777777" w:rsidR="00B71B4E" w:rsidRPr="00BD16B4" w:rsidRDefault="00B71B4E" w:rsidP="00F31129">
            <w:pPr>
              <w:pStyle w:val="TableText"/>
              <w:spacing w:before="40" w:after="40"/>
              <w:jc w:val="center"/>
              <w:rPr>
                <w:rFonts w:cs="Calibri"/>
                <w:szCs w:val="18"/>
              </w:rPr>
            </w:pPr>
            <w:r w:rsidRPr="00BD16B4">
              <w:rPr>
                <w:rFonts w:cs="Calibri"/>
                <w:szCs w:val="18"/>
              </w:rPr>
              <w:t>2.25</w:t>
            </w:r>
          </w:p>
        </w:tc>
        <w:tc>
          <w:tcPr>
            <w:tcW w:w="1345" w:type="dxa"/>
            <w:shd w:val="clear" w:color="auto" w:fill="auto"/>
            <w:noWrap/>
            <w:hideMark/>
          </w:tcPr>
          <w:p w14:paraId="3DA2B825" w14:textId="77777777" w:rsidR="00B71B4E" w:rsidRPr="00BD16B4" w:rsidRDefault="00B71B4E" w:rsidP="00F31129">
            <w:pPr>
              <w:pStyle w:val="TableText"/>
              <w:spacing w:before="40" w:after="40"/>
              <w:jc w:val="center"/>
              <w:rPr>
                <w:rFonts w:cs="Calibri"/>
                <w:szCs w:val="18"/>
              </w:rPr>
            </w:pPr>
            <w:r w:rsidRPr="00BD16B4">
              <w:rPr>
                <w:rFonts w:cs="Calibri"/>
                <w:szCs w:val="18"/>
              </w:rPr>
              <w:t>1.48</w:t>
            </w:r>
          </w:p>
        </w:tc>
        <w:tc>
          <w:tcPr>
            <w:tcW w:w="1015" w:type="dxa"/>
            <w:shd w:val="clear" w:color="auto" w:fill="auto"/>
            <w:noWrap/>
            <w:hideMark/>
          </w:tcPr>
          <w:p w14:paraId="267F4BAB"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7C86ABFF"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55813D69"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5A1DD503"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4581B532"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26F7AEF1" w14:textId="77777777" w:rsidTr="00F31129">
        <w:tc>
          <w:tcPr>
            <w:tcW w:w="5387" w:type="dxa"/>
            <w:shd w:val="clear" w:color="auto" w:fill="auto"/>
            <w:hideMark/>
          </w:tcPr>
          <w:p w14:paraId="594EF222" w14:textId="77777777" w:rsidR="00B71B4E" w:rsidRPr="00BD16B4" w:rsidRDefault="00B71B4E" w:rsidP="00F31129">
            <w:pPr>
              <w:pStyle w:val="TableText"/>
              <w:spacing w:before="40" w:after="40"/>
              <w:rPr>
                <w:rFonts w:cs="Calibri"/>
                <w:szCs w:val="18"/>
              </w:rPr>
            </w:pPr>
            <w:r w:rsidRPr="00BD16B4">
              <w:rPr>
                <w:rFonts w:cs="Calibri"/>
                <w:szCs w:val="18"/>
              </w:rPr>
              <w:t>Papua New Guinea / Water, Sanitation and Hygiene</w:t>
            </w:r>
          </w:p>
        </w:tc>
        <w:tc>
          <w:tcPr>
            <w:tcW w:w="1276" w:type="dxa"/>
            <w:shd w:val="clear" w:color="auto" w:fill="auto"/>
            <w:hideMark/>
          </w:tcPr>
          <w:p w14:paraId="44ABF4EB" w14:textId="77777777" w:rsidR="00B71B4E" w:rsidRPr="00BD16B4" w:rsidRDefault="00B71B4E" w:rsidP="00F31129">
            <w:pPr>
              <w:pStyle w:val="TableText"/>
              <w:spacing w:before="40" w:after="40"/>
              <w:jc w:val="center"/>
              <w:rPr>
                <w:rFonts w:cs="Calibri"/>
                <w:szCs w:val="18"/>
              </w:rPr>
            </w:pPr>
            <w:r w:rsidRPr="00BD16B4">
              <w:rPr>
                <w:rFonts w:cs="Calibri"/>
                <w:szCs w:val="18"/>
              </w:rPr>
              <w:t>0.20</w:t>
            </w:r>
          </w:p>
        </w:tc>
        <w:tc>
          <w:tcPr>
            <w:tcW w:w="1345" w:type="dxa"/>
            <w:shd w:val="clear" w:color="auto" w:fill="auto"/>
            <w:noWrap/>
            <w:hideMark/>
          </w:tcPr>
          <w:p w14:paraId="13DFAACC" w14:textId="77777777" w:rsidR="00B71B4E" w:rsidRPr="00BD16B4" w:rsidRDefault="00B71B4E" w:rsidP="00F31129">
            <w:pPr>
              <w:pStyle w:val="TableText"/>
              <w:spacing w:before="40" w:after="40"/>
              <w:jc w:val="center"/>
              <w:rPr>
                <w:rFonts w:cs="Calibri"/>
                <w:szCs w:val="18"/>
              </w:rPr>
            </w:pPr>
            <w:r w:rsidRPr="00BD16B4">
              <w:rPr>
                <w:rFonts w:cs="Calibri"/>
                <w:szCs w:val="18"/>
              </w:rPr>
              <w:t>0.13</w:t>
            </w:r>
          </w:p>
        </w:tc>
        <w:tc>
          <w:tcPr>
            <w:tcW w:w="1015" w:type="dxa"/>
            <w:shd w:val="clear" w:color="auto" w:fill="auto"/>
            <w:noWrap/>
            <w:hideMark/>
          </w:tcPr>
          <w:p w14:paraId="06A81C45"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7A513378"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18306979"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144B0992"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1DBAEBE0" w14:textId="77777777" w:rsidR="00B71B4E" w:rsidRPr="00BD16B4" w:rsidRDefault="00B71B4E" w:rsidP="00F31129">
            <w:pPr>
              <w:pStyle w:val="TableText"/>
              <w:spacing w:before="40" w:after="40"/>
              <w:rPr>
                <w:rFonts w:cs="Calibri"/>
                <w:szCs w:val="18"/>
              </w:rPr>
            </w:pPr>
            <w:r w:rsidRPr="00BD16B4">
              <w:rPr>
                <w:rFonts w:cs="Calibri"/>
                <w:szCs w:val="18"/>
              </w:rPr>
              <w:t>Water and sanitation</w:t>
            </w:r>
          </w:p>
        </w:tc>
      </w:tr>
      <w:tr w:rsidR="00B71B4E" w:rsidRPr="00BD16B4" w14:paraId="7142FC7B" w14:textId="77777777" w:rsidTr="00F31129">
        <w:tc>
          <w:tcPr>
            <w:tcW w:w="5387" w:type="dxa"/>
            <w:shd w:val="clear" w:color="auto" w:fill="auto"/>
            <w:hideMark/>
          </w:tcPr>
          <w:p w14:paraId="06FF20BB" w14:textId="77777777" w:rsidR="00B71B4E" w:rsidRPr="00BD16B4" w:rsidRDefault="00B71B4E" w:rsidP="00F31129">
            <w:pPr>
              <w:pStyle w:val="TableText"/>
              <w:spacing w:before="40" w:after="40"/>
              <w:rPr>
                <w:rFonts w:cs="Calibri"/>
                <w:szCs w:val="18"/>
              </w:rPr>
            </w:pPr>
            <w:r w:rsidRPr="00BD16B4">
              <w:rPr>
                <w:rFonts w:cs="Calibri"/>
                <w:szCs w:val="18"/>
              </w:rPr>
              <w:t>Pacific Regional / Pacific Response to Coconut Rhinoceros Beetle</w:t>
            </w:r>
          </w:p>
        </w:tc>
        <w:tc>
          <w:tcPr>
            <w:tcW w:w="1276" w:type="dxa"/>
            <w:shd w:val="clear" w:color="auto" w:fill="auto"/>
            <w:hideMark/>
          </w:tcPr>
          <w:p w14:paraId="04975CDC" w14:textId="77777777" w:rsidR="00B71B4E" w:rsidRPr="00BD16B4" w:rsidRDefault="00B71B4E" w:rsidP="00F31129">
            <w:pPr>
              <w:pStyle w:val="TableText"/>
              <w:spacing w:before="40" w:after="40"/>
              <w:jc w:val="center"/>
              <w:rPr>
                <w:rFonts w:cs="Calibri"/>
                <w:szCs w:val="18"/>
              </w:rPr>
            </w:pPr>
            <w:r w:rsidRPr="00BD16B4">
              <w:rPr>
                <w:rFonts w:cs="Calibri"/>
                <w:szCs w:val="18"/>
              </w:rPr>
              <w:t>0.73</w:t>
            </w:r>
          </w:p>
        </w:tc>
        <w:tc>
          <w:tcPr>
            <w:tcW w:w="1345" w:type="dxa"/>
            <w:shd w:val="clear" w:color="auto" w:fill="auto"/>
            <w:noWrap/>
            <w:hideMark/>
          </w:tcPr>
          <w:p w14:paraId="3DD21CDE" w14:textId="77777777" w:rsidR="00B71B4E" w:rsidRPr="00BD16B4" w:rsidRDefault="00B71B4E" w:rsidP="00F31129">
            <w:pPr>
              <w:pStyle w:val="TableText"/>
              <w:spacing w:before="40" w:after="40"/>
              <w:jc w:val="center"/>
              <w:rPr>
                <w:rFonts w:cs="Calibri"/>
                <w:szCs w:val="18"/>
              </w:rPr>
            </w:pPr>
            <w:r w:rsidRPr="00BD16B4">
              <w:rPr>
                <w:rFonts w:cs="Calibri"/>
                <w:szCs w:val="18"/>
              </w:rPr>
              <w:t>0.48</w:t>
            </w:r>
          </w:p>
        </w:tc>
        <w:tc>
          <w:tcPr>
            <w:tcW w:w="1015" w:type="dxa"/>
            <w:shd w:val="clear" w:color="auto" w:fill="auto"/>
            <w:noWrap/>
            <w:hideMark/>
          </w:tcPr>
          <w:p w14:paraId="40AA4C49"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603D6BFA"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2F643F65"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3E0DCE9"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54879A9B"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49D0CF1B" w14:textId="77777777" w:rsidTr="00F31129">
        <w:tc>
          <w:tcPr>
            <w:tcW w:w="5387" w:type="dxa"/>
            <w:shd w:val="clear" w:color="auto" w:fill="auto"/>
            <w:hideMark/>
          </w:tcPr>
          <w:p w14:paraId="31DCE229" w14:textId="77777777" w:rsidR="00B71B4E" w:rsidRPr="00BD16B4" w:rsidRDefault="00B71B4E" w:rsidP="00F31129">
            <w:pPr>
              <w:pStyle w:val="TableText"/>
              <w:spacing w:before="40" w:after="40"/>
              <w:rPr>
                <w:rFonts w:cs="Calibri"/>
                <w:szCs w:val="18"/>
              </w:rPr>
            </w:pPr>
            <w:r w:rsidRPr="00BD16B4">
              <w:rPr>
                <w:rFonts w:cs="Calibri"/>
                <w:szCs w:val="18"/>
              </w:rPr>
              <w:lastRenderedPageBreak/>
              <w:t>Pacific Regional / Rhinoceros Beetle Biocontrol</w:t>
            </w:r>
          </w:p>
        </w:tc>
        <w:tc>
          <w:tcPr>
            <w:tcW w:w="1276" w:type="dxa"/>
            <w:shd w:val="clear" w:color="auto" w:fill="auto"/>
            <w:hideMark/>
          </w:tcPr>
          <w:p w14:paraId="01DD12E5" w14:textId="77777777" w:rsidR="00B71B4E" w:rsidRPr="00BD16B4" w:rsidRDefault="00B71B4E" w:rsidP="00F31129">
            <w:pPr>
              <w:pStyle w:val="TableText"/>
              <w:spacing w:before="40" w:after="40"/>
              <w:jc w:val="center"/>
              <w:rPr>
                <w:rFonts w:cs="Calibri"/>
                <w:szCs w:val="18"/>
              </w:rPr>
            </w:pPr>
            <w:r w:rsidRPr="00BD16B4">
              <w:rPr>
                <w:rFonts w:cs="Calibri"/>
                <w:szCs w:val="18"/>
              </w:rPr>
              <w:t>0.12</w:t>
            </w:r>
          </w:p>
        </w:tc>
        <w:tc>
          <w:tcPr>
            <w:tcW w:w="1345" w:type="dxa"/>
            <w:shd w:val="clear" w:color="auto" w:fill="auto"/>
            <w:noWrap/>
            <w:hideMark/>
          </w:tcPr>
          <w:p w14:paraId="192A800F" w14:textId="77777777" w:rsidR="00B71B4E" w:rsidRPr="00BD16B4" w:rsidRDefault="00B71B4E" w:rsidP="00F31129">
            <w:pPr>
              <w:pStyle w:val="TableText"/>
              <w:spacing w:before="40" w:after="40"/>
              <w:jc w:val="center"/>
              <w:rPr>
                <w:rFonts w:cs="Calibri"/>
                <w:szCs w:val="18"/>
              </w:rPr>
            </w:pPr>
            <w:r w:rsidRPr="00BD16B4">
              <w:rPr>
                <w:rFonts w:cs="Calibri"/>
                <w:szCs w:val="18"/>
              </w:rPr>
              <w:t>0.08</w:t>
            </w:r>
          </w:p>
        </w:tc>
        <w:tc>
          <w:tcPr>
            <w:tcW w:w="1015" w:type="dxa"/>
            <w:shd w:val="clear" w:color="auto" w:fill="auto"/>
            <w:noWrap/>
            <w:hideMark/>
          </w:tcPr>
          <w:p w14:paraId="0E7F8104"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4C853E75"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2EB9FDB3"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04684C9"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1C60D4CF"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4076AA2D" w14:textId="77777777" w:rsidTr="00F31129">
        <w:tc>
          <w:tcPr>
            <w:tcW w:w="5387" w:type="dxa"/>
            <w:shd w:val="clear" w:color="auto" w:fill="auto"/>
            <w:hideMark/>
          </w:tcPr>
          <w:p w14:paraId="6AA62AB4" w14:textId="77777777" w:rsidR="00B71B4E" w:rsidRPr="00BD16B4" w:rsidRDefault="00B71B4E" w:rsidP="00F31129">
            <w:pPr>
              <w:pStyle w:val="TableText"/>
              <w:spacing w:before="40" w:after="40"/>
              <w:rPr>
                <w:rFonts w:cs="Calibri"/>
                <w:szCs w:val="18"/>
              </w:rPr>
            </w:pPr>
            <w:r w:rsidRPr="00BD16B4">
              <w:rPr>
                <w:rFonts w:cs="Calibri"/>
                <w:szCs w:val="18"/>
              </w:rPr>
              <w:t>Worldwide / Volunteer Service Abroad 2018–23</w:t>
            </w:r>
          </w:p>
        </w:tc>
        <w:tc>
          <w:tcPr>
            <w:tcW w:w="1276" w:type="dxa"/>
            <w:shd w:val="clear" w:color="auto" w:fill="auto"/>
            <w:hideMark/>
          </w:tcPr>
          <w:p w14:paraId="03C12AD0" w14:textId="77777777" w:rsidR="00B71B4E" w:rsidRPr="00BD16B4" w:rsidRDefault="00B71B4E" w:rsidP="00F31129">
            <w:pPr>
              <w:pStyle w:val="TableText"/>
              <w:spacing w:before="40" w:after="40"/>
              <w:jc w:val="center"/>
              <w:rPr>
                <w:rFonts w:cs="Calibri"/>
                <w:szCs w:val="18"/>
              </w:rPr>
            </w:pPr>
            <w:r w:rsidRPr="00BD16B4">
              <w:rPr>
                <w:rFonts w:cs="Calibri"/>
                <w:szCs w:val="18"/>
              </w:rPr>
              <w:t>2.74</w:t>
            </w:r>
          </w:p>
        </w:tc>
        <w:tc>
          <w:tcPr>
            <w:tcW w:w="1345" w:type="dxa"/>
            <w:shd w:val="clear" w:color="auto" w:fill="auto"/>
            <w:noWrap/>
            <w:hideMark/>
          </w:tcPr>
          <w:p w14:paraId="249424DD" w14:textId="77777777" w:rsidR="00B71B4E" w:rsidRPr="00BD16B4" w:rsidRDefault="00B71B4E" w:rsidP="00F31129">
            <w:pPr>
              <w:pStyle w:val="TableText"/>
              <w:spacing w:before="40" w:after="40"/>
              <w:jc w:val="center"/>
              <w:rPr>
                <w:rFonts w:cs="Calibri"/>
                <w:szCs w:val="18"/>
              </w:rPr>
            </w:pPr>
            <w:r w:rsidRPr="00BD16B4">
              <w:rPr>
                <w:rFonts w:cs="Calibri"/>
                <w:szCs w:val="18"/>
              </w:rPr>
              <w:t>1.81</w:t>
            </w:r>
          </w:p>
        </w:tc>
        <w:tc>
          <w:tcPr>
            <w:tcW w:w="1015" w:type="dxa"/>
            <w:shd w:val="clear" w:color="auto" w:fill="auto"/>
            <w:noWrap/>
            <w:hideMark/>
          </w:tcPr>
          <w:p w14:paraId="6256E7B5"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3B03F826"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2253AB24"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7ED935AD"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6DED377D"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42F6E865" w14:textId="77777777" w:rsidTr="00F31129">
        <w:tc>
          <w:tcPr>
            <w:tcW w:w="5387" w:type="dxa"/>
            <w:shd w:val="clear" w:color="auto" w:fill="auto"/>
            <w:hideMark/>
          </w:tcPr>
          <w:p w14:paraId="236B4C41" w14:textId="77777777" w:rsidR="00B71B4E" w:rsidRPr="00BD16B4" w:rsidRDefault="00B71B4E" w:rsidP="00F31129">
            <w:pPr>
              <w:pStyle w:val="TableText"/>
              <w:spacing w:before="40" w:after="40"/>
              <w:rPr>
                <w:rFonts w:cs="Calibri"/>
                <w:szCs w:val="18"/>
              </w:rPr>
            </w:pPr>
            <w:r w:rsidRPr="00BD16B4">
              <w:rPr>
                <w:rFonts w:cs="Calibri"/>
                <w:szCs w:val="18"/>
              </w:rPr>
              <w:t>Worldwide / Negotiated Partnerships: Design and Due Diligence</w:t>
            </w:r>
          </w:p>
        </w:tc>
        <w:tc>
          <w:tcPr>
            <w:tcW w:w="1276" w:type="dxa"/>
            <w:shd w:val="clear" w:color="auto" w:fill="auto"/>
            <w:hideMark/>
          </w:tcPr>
          <w:p w14:paraId="66590D29" w14:textId="77777777" w:rsidR="00B71B4E" w:rsidRPr="00BD16B4" w:rsidRDefault="00B71B4E" w:rsidP="00F31129">
            <w:pPr>
              <w:pStyle w:val="TableText"/>
              <w:spacing w:before="40" w:after="40"/>
              <w:jc w:val="center"/>
              <w:rPr>
                <w:rFonts w:cs="Calibri"/>
                <w:szCs w:val="18"/>
              </w:rPr>
            </w:pPr>
            <w:r w:rsidRPr="00BD16B4">
              <w:rPr>
                <w:rFonts w:cs="Calibri"/>
                <w:szCs w:val="18"/>
              </w:rPr>
              <w:t>0.19</w:t>
            </w:r>
          </w:p>
        </w:tc>
        <w:tc>
          <w:tcPr>
            <w:tcW w:w="1345" w:type="dxa"/>
            <w:shd w:val="clear" w:color="auto" w:fill="auto"/>
            <w:noWrap/>
            <w:hideMark/>
          </w:tcPr>
          <w:p w14:paraId="015ADCE7" w14:textId="77777777" w:rsidR="00B71B4E" w:rsidRPr="00BD16B4" w:rsidRDefault="00B71B4E" w:rsidP="00F31129">
            <w:pPr>
              <w:pStyle w:val="TableText"/>
              <w:spacing w:before="40" w:after="40"/>
              <w:jc w:val="center"/>
              <w:rPr>
                <w:rFonts w:cs="Calibri"/>
                <w:szCs w:val="18"/>
              </w:rPr>
            </w:pPr>
            <w:r w:rsidRPr="00BD16B4">
              <w:rPr>
                <w:rFonts w:cs="Calibri"/>
                <w:szCs w:val="18"/>
              </w:rPr>
              <w:t>0.12</w:t>
            </w:r>
          </w:p>
        </w:tc>
        <w:tc>
          <w:tcPr>
            <w:tcW w:w="1015" w:type="dxa"/>
            <w:shd w:val="clear" w:color="auto" w:fill="auto"/>
            <w:noWrap/>
            <w:hideMark/>
          </w:tcPr>
          <w:p w14:paraId="15D938D3"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4965C541"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604D2258"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0A2B7652"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4066CDEE"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76ED32D5" w14:textId="77777777" w:rsidTr="00F31129">
        <w:tc>
          <w:tcPr>
            <w:tcW w:w="5387" w:type="dxa"/>
            <w:shd w:val="clear" w:color="auto" w:fill="auto"/>
            <w:hideMark/>
          </w:tcPr>
          <w:p w14:paraId="153E48BB" w14:textId="77777777" w:rsidR="00B71B4E" w:rsidRPr="00BD16B4" w:rsidRDefault="00B71B4E" w:rsidP="00F31129">
            <w:pPr>
              <w:pStyle w:val="TableText"/>
              <w:spacing w:before="40" w:after="40"/>
              <w:rPr>
                <w:rFonts w:cs="Calibri"/>
                <w:szCs w:val="18"/>
              </w:rPr>
            </w:pPr>
            <w:r w:rsidRPr="00BD16B4">
              <w:rPr>
                <w:rFonts w:cs="Calibri"/>
                <w:szCs w:val="18"/>
              </w:rPr>
              <w:t xml:space="preserve">Samoa / Habitat Disaster Risk Reduction </w:t>
            </w:r>
          </w:p>
        </w:tc>
        <w:tc>
          <w:tcPr>
            <w:tcW w:w="1276" w:type="dxa"/>
            <w:shd w:val="clear" w:color="auto" w:fill="auto"/>
            <w:hideMark/>
          </w:tcPr>
          <w:p w14:paraId="1178DFD7" w14:textId="77777777" w:rsidR="00B71B4E" w:rsidRPr="00BD16B4" w:rsidRDefault="00B71B4E" w:rsidP="00F31129">
            <w:pPr>
              <w:pStyle w:val="TableText"/>
              <w:spacing w:before="40" w:after="40"/>
              <w:jc w:val="center"/>
              <w:rPr>
                <w:rFonts w:cs="Calibri"/>
                <w:szCs w:val="18"/>
              </w:rPr>
            </w:pPr>
            <w:r w:rsidRPr="00BD16B4">
              <w:rPr>
                <w:rFonts w:cs="Calibri"/>
                <w:szCs w:val="18"/>
              </w:rPr>
              <w:t>0.60</w:t>
            </w:r>
          </w:p>
        </w:tc>
        <w:tc>
          <w:tcPr>
            <w:tcW w:w="1345" w:type="dxa"/>
            <w:shd w:val="clear" w:color="auto" w:fill="auto"/>
            <w:noWrap/>
            <w:hideMark/>
          </w:tcPr>
          <w:p w14:paraId="652FED88" w14:textId="77777777" w:rsidR="00B71B4E" w:rsidRPr="00BD16B4" w:rsidRDefault="00B71B4E" w:rsidP="00F31129">
            <w:pPr>
              <w:pStyle w:val="TableText"/>
              <w:spacing w:before="40" w:after="40"/>
              <w:jc w:val="center"/>
              <w:rPr>
                <w:rFonts w:cs="Calibri"/>
                <w:szCs w:val="18"/>
              </w:rPr>
            </w:pPr>
            <w:r w:rsidRPr="00BD16B4">
              <w:rPr>
                <w:rFonts w:cs="Calibri"/>
                <w:szCs w:val="18"/>
              </w:rPr>
              <w:t>0.39</w:t>
            </w:r>
          </w:p>
        </w:tc>
        <w:tc>
          <w:tcPr>
            <w:tcW w:w="1015" w:type="dxa"/>
            <w:shd w:val="clear" w:color="auto" w:fill="auto"/>
            <w:noWrap/>
            <w:hideMark/>
          </w:tcPr>
          <w:p w14:paraId="7AB85D9C"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0DEC1665"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3523E9BF"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DCB220C"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34E60226" w14:textId="77777777" w:rsidR="00B71B4E" w:rsidRPr="00BD16B4" w:rsidRDefault="00B71B4E" w:rsidP="00F31129">
            <w:pPr>
              <w:pStyle w:val="TableText"/>
              <w:spacing w:before="40" w:after="40"/>
              <w:rPr>
                <w:rFonts w:cs="Calibri"/>
                <w:szCs w:val="18"/>
              </w:rPr>
            </w:pPr>
            <w:r w:rsidRPr="00BD16B4">
              <w:rPr>
                <w:rFonts w:cs="Calibri"/>
                <w:szCs w:val="18"/>
              </w:rPr>
              <w:t>Humanitarian</w:t>
            </w:r>
          </w:p>
        </w:tc>
      </w:tr>
      <w:tr w:rsidR="00B71B4E" w:rsidRPr="00BD16B4" w14:paraId="2EB590AC" w14:textId="77777777" w:rsidTr="00F31129">
        <w:tc>
          <w:tcPr>
            <w:tcW w:w="5387" w:type="dxa"/>
            <w:shd w:val="clear" w:color="auto" w:fill="auto"/>
            <w:hideMark/>
          </w:tcPr>
          <w:p w14:paraId="04C41D14" w14:textId="77777777" w:rsidR="00B71B4E" w:rsidRPr="00BD16B4" w:rsidRDefault="00B71B4E" w:rsidP="00F31129">
            <w:pPr>
              <w:pStyle w:val="TableText"/>
              <w:spacing w:before="40" w:after="40"/>
              <w:rPr>
                <w:rFonts w:cs="Calibri"/>
                <w:szCs w:val="18"/>
              </w:rPr>
            </w:pPr>
            <w:r w:rsidRPr="00BD16B4">
              <w:rPr>
                <w:rFonts w:cs="Calibri"/>
                <w:szCs w:val="18"/>
              </w:rPr>
              <w:t>Samoa / Renewable Energy Partnership</w:t>
            </w:r>
          </w:p>
        </w:tc>
        <w:tc>
          <w:tcPr>
            <w:tcW w:w="1276" w:type="dxa"/>
            <w:shd w:val="clear" w:color="auto" w:fill="auto"/>
            <w:hideMark/>
          </w:tcPr>
          <w:p w14:paraId="729C39F1" w14:textId="77777777" w:rsidR="00B71B4E" w:rsidRPr="00BD16B4" w:rsidRDefault="00B71B4E" w:rsidP="00F31129">
            <w:pPr>
              <w:pStyle w:val="TableText"/>
              <w:spacing w:before="40" w:after="40"/>
              <w:jc w:val="center"/>
              <w:rPr>
                <w:rFonts w:cs="Calibri"/>
                <w:szCs w:val="18"/>
              </w:rPr>
            </w:pPr>
            <w:r w:rsidRPr="00BD16B4">
              <w:rPr>
                <w:rFonts w:cs="Calibri"/>
                <w:szCs w:val="18"/>
              </w:rPr>
              <w:t>0.88</w:t>
            </w:r>
          </w:p>
        </w:tc>
        <w:tc>
          <w:tcPr>
            <w:tcW w:w="1345" w:type="dxa"/>
            <w:shd w:val="clear" w:color="auto" w:fill="auto"/>
            <w:noWrap/>
            <w:hideMark/>
          </w:tcPr>
          <w:p w14:paraId="6E67BCCC" w14:textId="77777777" w:rsidR="00B71B4E" w:rsidRPr="00BD16B4" w:rsidRDefault="00B71B4E" w:rsidP="00F31129">
            <w:pPr>
              <w:pStyle w:val="TableText"/>
              <w:spacing w:before="40" w:after="40"/>
              <w:jc w:val="center"/>
              <w:rPr>
                <w:rFonts w:cs="Calibri"/>
                <w:szCs w:val="18"/>
              </w:rPr>
            </w:pPr>
            <w:r w:rsidRPr="00BD16B4">
              <w:rPr>
                <w:rFonts w:cs="Calibri"/>
                <w:szCs w:val="18"/>
              </w:rPr>
              <w:t>0.58</w:t>
            </w:r>
          </w:p>
        </w:tc>
        <w:tc>
          <w:tcPr>
            <w:tcW w:w="1015" w:type="dxa"/>
            <w:shd w:val="clear" w:color="auto" w:fill="auto"/>
            <w:noWrap/>
            <w:hideMark/>
          </w:tcPr>
          <w:p w14:paraId="1CC2CDD4"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785F1142"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7226099C"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84B9098"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45F6F8DA"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3C818FA1" w14:textId="77777777" w:rsidTr="00F31129">
        <w:tc>
          <w:tcPr>
            <w:tcW w:w="5387" w:type="dxa"/>
            <w:shd w:val="clear" w:color="auto" w:fill="auto"/>
            <w:hideMark/>
          </w:tcPr>
          <w:p w14:paraId="067BE949" w14:textId="77777777" w:rsidR="00B71B4E" w:rsidRPr="00BD16B4" w:rsidRDefault="00B71B4E" w:rsidP="00F31129">
            <w:pPr>
              <w:pStyle w:val="TableText"/>
              <w:spacing w:before="40" w:after="40"/>
              <w:rPr>
                <w:rFonts w:cs="Calibri"/>
                <w:szCs w:val="18"/>
              </w:rPr>
            </w:pPr>
            <w:r w:rsidRPr="00BD16B4">
              <w:rPr>
                <w:rFonts w:cs="Calibri"/>
                <w:szCs w:val="18"/>
              </w:rPr>
              <w:t>Samoa / Tourism Infrastructure – Apia Waterfront Development</w:t>
            </w:r>
          </w:p>
        </w:tc>
        <w:tc>
          <w:tcPr>
            <w:tcW w:w="1276" w:type="dxa"/>
            <w:shd w:val="clear" w:color="auto" w:fill="auto"/>
            <w:hideMark/>
          </w:tcPr>
          <w:p w14:paraId="5AB13DFB" w14:textId="77777777" w:rsidR="00B71B4E" w:rsidRPr="00BD16B4" w:rsidRDefault="00B71B4E" w:rsidP="00F31129">
            <w:pPr>
              <w:pStyle w:val="TableText"/>
              <w:spacing w:before="40" w:after="40"/>
              <w:jc w:val="center"/>
              <w:rPr>
                <w:rFonts w:cs="Calibri"/>
                <w:szCs w:val="18"/>
              </w:rPr>
            </w:pPr>
            <w:r w:rsidRPr="00BD16B4">
              <w:rPr>
                <w:rFonts w:cs="Calibri"/>
                <w:szCs w:val="18"/>
              </w:rPr>
              <w:t>0.51</w:t>
            </w:r>
          </w:p>
        </w:tc>
        <w:tc>
          <w:tcPr>
            <w:tcW w:w="1345" w:type="dxa"/>
            <w:shd w:val="clear" w:color="auto" w:fill="auto"/>
            <w:noWrap/>
            <w:hideMark/>
          </w:tcPr>
          <w:p w14:paraId="5CA3A351" w14:textId="77777777" w:rsidR="00B71B4E" w:rsidRPr="00BD16B4" w:rsidRDefault="00B71B4E" w:rsidP="00F31129">
            <w:pPr>
              <w:pStyle w:val="TableText"/>
              <w:spacing w:before="40" w:after="40"/>
              <w:jc w:val="center"/>
              <w:rPr>
                <w:rFonts w:cs="Calibri"/>
                <w:szCs w:val="18"/>
              </w:rPr>
            </w:pPr>
            <w:r w:rsidRPr="00BD16B4">
              <w:rPr>
                <w:rFonts w:cs="Calibri"/>
                <w:szCs w:val="18"/>
              </w:rPr>
              <w:t>0.34</w:t>
            </w:r>
          </w:p>
        </w:tc>
        <w:tc>
          <w:tcPr>
            <w:tcW w:w="1015" w:type="dxa"/>
            <w:shd w:val="clear" w:color="auto" w:fill="auto"/>
            <w:noWrap/>
            <w:hideMark/>
          </w:tcPr>
          <w:p w14:paraId="0CBD522A"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5605D2C6"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3873D4A4"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4EB161D5"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06030272"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04753E32" w14:textId="77777777" w:rsidTr="00F31129">
        <w:tc>
          <w:tcPr>
            <w:tcW w:w="5387" w:type="dxa"/>
            <w:shd w:val="clear" w:color="auto" w:fill="auto"/>
            <w:hideMark/>
          </w:tcPr>
          <w:p w14:paraId="516FE084" w14:textId="77777777" w:rsidR="00B71B4E" w:rsidRPr="00BD16B4" w:rsidRDefault="00B71B4E" w:rsidP="00F31129">
            <w:pPr>
              <w:pStyle w:val="TableText"/>
              <w:spacing w:before="40" w:after="40"/>
              <w:rPr>
                <w:rFonts w:cs="Calibri"/>
                <w:szCs w:val="18"/>
              </w:rPr>
            </w:pPr>
            <w:r w:rsidRPr="00BD16B4">
              <w:rPr>
                <w:rFonts w:cs="Calibri"/>
                <w:szCs w:val="18"/>
              </w:rPr>
              <w:t>Samoa / Cocoa Industry Development Initiative</w:t>
            </w:r>
          </w:p>
        </w:tc>
        <w:tc>
          <w:tcPr>
            <w:tcW w:w="1276" w:type="dxa"/>
            <w:shd w:val="clear" w:color="auto" w:fill="auto"/>
            <w:hideMark/>
          </w:tcPr>
          <w:p w14:paraId="4C04F74D" w14:textId="77777777" w:rsidR="00B71B4E" w:rsidRPr="00BD16B4" w:rsidRDefault="00B71B4E" w:rsidP="00F31129">
            <w:pPr>
              <w:pStyle w:val="TableText"/>
              <w:spacing w:before="40" w:after="40"/>
              <w:jc w:val="center"/>
              <w:rPr>
                <w:rFonts w:cs="Calibri"/>
                <w:szCs w:val="18"/>
              </w:rPr>
            </w:pPr>
            <w:r w:rsidRPr="00BD16B4">
              <w:rPr>
                <w:rFonts w:cs="Calibri"/>
                <w:szCs w:val="18"/>
              </w:rPr>
              <w:t>0.45</w:t>
            </w:r>
          </w:p>
        </w:tc>
        <w:tc>
          <w:tcPr>
            <w:tcW w:w="1345" w:type="dxa"/>
            <w:shd w:val="clear" w:color="auto" w:fill="auto"/>
            <w:noWrap/>
            <w:hideMark/>
          </w:tcPr>
          <w:p w14:paraId="75902C85" w14:textId="77777777" w:rsidR="00B71B4E" w:rsidRPr="00BD16B4" w:rsidRDefault="00B71B4E" w:rsidP="00F31129">
            <w:pPr>
              <w:pStyle w:val="TableText"/>
              <w:spacing w:before="40" w:after="40"/>
              <w:jc w:val="center"/>
              <w:rPr>
                <w:rFonts w:cs="Calibri"/>
                <w:szCs w:val="18"/>
              </w:rPr>
            </w:pPr>
            <w:r w:rsidRPr="00BD16B4">
              <w:rPr>
                <w:rFonts w:cs="Calibri"/>
                <w:szCs w:val="18"/>
              </w:rPr>
              <w:t>0.30</w:t>
            </w:r>
          </w:p>
        </w:tc>
        <w:tc>
          <w:tcPr>
            <w:tcW w:w="1015" w:type="dxa"/>
            <w:shd w:val="clear" w:color="auto" w:fill="auto"/>
            <w:noWrap/>
            <w:hideMark/>
          </w:tcPr>
          <w:p w14:paraId="3708EB92"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6C420040"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3B108AA4"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04A384EE"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102F5FA7"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28BF22C3" w14:textId="77777777" w:rsidTr="00F31129">
        <w:tc>
          <w:tcPr>
            <w:tcW w:w="5387" w:type="dxa"/>
            <w:shd w:val="clear" w:color="auto" w:fill="auto"/>
            <w:hideMark/>
          </w:tcPr>
          <w:p w14:paraId="20DFC44E" w14:textId="77777777" w:rsidR="00B71B4E" w:rsidRPr="00BD16B4" w:rsidRDefault="00B71B4E" w:rsidP="00F31129">
            <w:pPr>
              <w:pStyle w:val="TableText"/>
              <w:spacing w:before="40" w:after="40"/>
              <w:rPr>
                <w:rFonts w:cs="Calibri"/>
                <w:szCs w:val="18"/>
              </w:rPr>
            </w:pPr>
            <w:r w:rsidRPr="00BD16B4">
              <w:rPr>
                <w:rFonts w:cs="Calibri"/>
                <w:szCs w:val="18"/>
              </w:rPr>
              <w:t>Solomon Islands / Provincial Airfield Upgrades</w:t>
            </w:r>
          </w:p>
        </w:tc>
        <w:tc>
          <w:tcPr>
            <w:tcW w:w="1276" w:type="dxa"/>
            <w:shd w:val="clear" w:color="auto" w:fill="auto"/>
            <w:hideMark/>
          </w:tcPr>
          <w:p w14:paraId="437AAA65" w14:textId="77777777" w:rsidR="00B71B4E" w:rsidRPr="00BD16B4" w:rsidRDefault="00B71B4E" w:rsidP="00F31129">
            <w:pPr>
              <w:pStyle w:val="TableText"/>
              <w:spacing w:before="40" w:after="40"/>
              <w:jc w:val="center"/>
              <w:rPr>
                <w:rFonts w:cs="Calibri"/>
                <w:szCs w:val="18"/>
              </w:rPr>
            </w:pPr>
            <w:r w:rsidRPr="00BD16B4">
              <w:rPr>
                <w:rFonts w:cs="Calibri"/>
                <w:szCs w:val="18"/>
              </w:rPr>
              <w:t>0.15</w:t>
            </w:r>
          </w:p>
        </w:tc>
        <w:tc>
          <w:tcPr>
            <w:tcW w:w="1345" w:type="dxa"/>
            <w:shd w:val="clear" w:color="auto" w:fill="auto"/>
            <w:noWrap/>
            <w:hideMark/>
          </w:tcPr>
          <w:p w14:paraId="53E7B829" w14:textId="77777777" w:rsidR="00B71B4E" w:rsidRPr="00BD16B4" w:rsidRDefault="00B71B4E" w:rsidP="00F31129">
            <w:pPr>
              <w:pStyle w:val="TableText"/>
              <w:spacing w:before="40" w:after="40"/>
              <w:jc w:val="center"/>
              <w:rPr>
                <w:rFonts w:cs="Calibri"/>
                <w:szCs w:val="18"/>
              </w:rPr>
            </w:pPr>
            <w:r w:rsidRPr="00BD16B4">
              <w:rPr>
                <w:rFonts w:cs="Calibri"/>
                <w:szCs w:val="18"/>
              </w:rPr>
              <w:t>0.10</w:t>
            </w:r>
          </w:p>
        </w:tc>
        <w:tc>
          <w:tcPr>
            <w:tcW w:w="1015" w:type="dxa"/>
            <w:shd w:val="clear" w:color="auto" w:fill="auto"/>
            <w:noWrap/>
            <w:hideMark/>
          </w:tcPr>
          <w:p w14:paraId="7B90E411"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008A64F4"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584F9305"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7FC8115D"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394F0D54" w14:textId="77777777" w:rsidR="00B71B4E" w:rsidRPr="00BD16B4" w:rsidRDefault="00B71B4E" w:rsidP="00F31129">
            <w:pPr>
              <w:pStyle w:val="TableText"/>
              <w:spacing w:before="40" w:after="40"/>
              <w:rPr>
                <w:rFonts w:cs="Calibri"/>
                <w:szCs w:val="18"/>
              </w:rPr>
            </w:pPr>
            <w:r w:rsidRPr="00BD16B4">
              <w:rPr>
                <w:rFonts w:cs="Calibri"/>
                <w:szCs w:val="18"/>
              </w:rPr>
              <w:t>Transport and storage</w:t>
            </w:r>
          </w:p>
        </w:tc>
      </w:tr>
      <w:tr w:rsidR="00B71B4E" w:rsidRPr="00BD16B4" w14:paraId="4E9E4446" w14:textId="77777777" w:rsidTr="00F31129">
        <w:tc>
          <w:tcPr>
            <w:tcW w:w="5387" w:type="dxa"/>
            <w:shd w:val="clear" w:color="auto" w:fill="auto"/>
            <w:hideMark/>
          </w:tcPr>
          <w:p w14:paraId="47A5651C" w14:textId="77777777" w:rsidR="00B71B4E" w:rsidRPr="00BD16B4" w:rsidRDefault="00B71B4E" w:rsidP="00F31129">
            <w:pPr>
              <w:pStyle w:val="TableText"/>
              <w:spacing w:before="40" w:after="40"/>
              <w:rPr>
                <w:rFonts w:cs="Calibri"/>
                <w:szCs w:val="18"/>
              </w:rPr>
            </w:pPr>
            <w:r w:rsidRPr="00BD16B4">
              <w:rPr>
                <w:rFonts w:cs="Calibri"/>
                <w:szCs w:val="18"/>
              </w:rPr>
              <w:t>Solomon Islands / Coconut Rhinoceros Beetle Response</w:t>
            </w:r>
          </w:p>
        </w:tc>
        <w:tc>
          <w:tcPr>
            <w:tcW w:w="1276" w:type="dxa"/>
            <w:shd w:val="clear" w:color="auto" w:fill="auto"/>
            <w:hideMark/>
          </w:tcPr>
          <w:p w14:paraId="2F24CDF2" w14:textId="77777777" w:rsidR="00B71B4E" w:rsidRPr="00BD16B4" w:rsidRDefault="00B71B4E" w:rsidP="00F31129">
            <w:pPr>
              <w:pStyle w:val="TableText"/>
              <w:spacing w:before="40" w:after="40"/>
              <w:jc w:val="center"/>
              <w:rPr>
                <w:rFonts w:cs="Calibri"/>
                <w:szCs w:val="18"/>
              </w:rPr>
            </w:pPr>
            <w:r w:rsidRPr="00BD16B4">
              <w:rPr>
                <w:rFonts w:cs="Calibri"/>
                <w:szCs w:val="18"/>
              </w:rPr>
              <w:t>0.15</w:t>
            </w:r>
          </w:p>
        </w:tc>
        <w:tc>
          <w:tcPr>
            <w:tcW w:w="1345" w:type="dxa"/>
            <w:shd w:val="clear" w:color="auto" w:fill="auto"/>
            <w:noWrap/>
            <w:hideMark/>
          </w:tcPr>
          <w:p w14:paraId="31FD9089" w14:textId="77777777" w:rsidR="00B71B4E" w:rsidRPr="00BD16B4" w:rsidRDefault="00B71B4E" w:rsidP="00F31129">
            <w:pPr>
              <w:pStyle w:val="TableText"/>
              <w:spacing w:before="40" w:after="40"/>
              <w:jc w:val="center"/>
              <w:rPr>
                <w:rFonts w:cs="Calibri"/>
                <w:szCs w:val="18"/>
              </w:rPr>
            </w:pPr>
            <w:r w:rsidRPr="00BD16B4">
              <w:rPr>
                <w:rFonts w:cs="Calibri"/>
                <w:szCs w:val="18"/>
              </w:rPr>
              <w:t>0.10</w:t>
            </w:r>
          </w:p>
        </w:tc>
        <w:tc>
          <w:tcPr>
            <w:tcW w:w="1015" w:type="dxa"/>
            <w:shd w:val="clear" w:color="auto" w:fill="auto"/>
            <w:noWrap/>
            <w:hideMark/>
          </w:tcPr>
          <w:p w14:paraId="679EA684"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4C67127C"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293CF48B"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227E35A4"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5EDC9072"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0B035345" w14:textId="77777777" w:rsidTr="00F31129">
        <w:tc>
          <w:tcPr>
            <w:tcW w:w="5387" w:type="dxa"/>
            <w:shd w:val="clear" w:color="auto" w:fill="auto"/>
            <w:hideMark/>
          </w:tcPr>
          <w:p w14:paraId="28AE099F" w14:textId="77777777" w:rsidR="00B71B4E" w:rsidRPr="00BD16B4" w:rsidRDefault="00B71B4E" w:rsidP="00F31129">
            <w:pPr>
              <w:pStyle w:val="TableText"/>
              <w:spacing w:before="40" w:after="40"/>
              <w:rPr>
                <w:rFonts w:cs="Calibri"/>
                <w:szCs w:val="18"/>
              </w:rPr>
            </w:pPr>
            <w:r w:rsidRPr="00BD16B4">
              <w:rPr>
                <w:rFonts w:cs="Calibri"/>
                <w:szCs w:val="18"/>
              </w:rPr>
              <w:t>Solomon Islands / Building Ecotourism in the Arnavons</w:t>
            </w:r>
          </w:p>
        </w:tc>
        <w:tc>
          <w:tcPr>
            <w:tcW w:w="1276" w:type="dxa"/>
            <w:shd w:val="clear" w:color="auto" w:fill="auto"/>
            <w:hideMark/>
          </w:tcPr>
          <w:p w14:paraId="37B3EA96" w14:textId="77777777" w:rsidR="00B71B4E" w:rsidRPr="00BD16B4" w:rsidRDefault="00B71B4E" w:rsidP="00F31129">
            <w:pPr>
              <w:pStyle w:val="TableText"/>
              <w:spacing w:before="40" w:after="40"/>
              <w:jc w:val="center"/>
              <w:rPr>
                <w:rFonts w:cs="Calibri"/>
                <w:szCs w:val="18"/>
              </w:rPr>
            </w:pPr>
            <w:r w:rsidRPr="00BD16B4">
              <w:rPr>
                <w:rFonts w:cs="Calibri"/>
                <w:szCs w:val="18"/>
              </w:rPr>
              <w:t>0.30</w:t>
            </w:r>
          </w:p>
        </w:tc>
        <w:tc>
          <w:tcPr>
            <w:tcW w:w="1345" w:type="dxa"/>
            <w:shd w:val="clear" w:color="auto" w:fill="auto"/>
            <w:noWrap/>
            <w:hideMark/>
          </w:tcPr>
          <w:p w14:paraId="0C3B3D75" w14:textId="77777777" w:rsidR="00B71B4E" w:rsidRPr="00BD16B4" w:rsidRDefault="00B71B4E" w:rsidP="00F31129">
            <w:pPr>
              <w:pStyle w:val="TableText"/>
              <w:spacing w:before="40" w:after="40"/>
              <w:jc w:val="center"/>
              <w:rPr>
                <w:rFonts w:cs="Calibri"/>
                <w:szCs w:val="18"/>
              </w:rPr>
            </w:pPr>
            <w:r w:rsidRPr="00BD16B4">
              <w:rPr>
                <w:rFonts w:cs="Calibri"/>
                <w:szCs w:val="18"/>
              </w:rPr>
              <w:t>0.20</w:t>
            </w:r>
          </w:p>
        </w:tc>
        <w:tc>
          <w:tcPr>
            <w:tcW w:w="1015" w:type="dxa"/>
            <w:shd w:val="clear" w:color="auto" w:fill="auto"/>
            <w:noWrap/>
            <w:hideMark/>
          </w:tcPr>
          <w:p w14:paraId="57B1777C"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4E41C2E9"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4BDF4FF1"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510AAE96"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21D888C3"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664AD376" w14:textId="77777777" w:rsidTr="00F31129">
        <w:tc>
          <w:tcPr>
            <w:tcW w:w="5387" w:type="dxa"/>
            <w:shd w:val="clear" w:color="auto" w:fill="auto"/>
            <w:hideMark/>
          </w:tcPr>
          <w:p w14:paraId="199E3AE9" w14:textId="77777777" w:rsidR="00B71B4E" w:rsidRPr="00BD16B4" w:rsidRDefault="00B71B4E" w:rsidP="00F31129">
            <w:pPr>
              <w:pStyle w:val="TableText"/>
              <w:spacing w:before="40" w:after="40"/>
              <w:rPr>
                <w:rFonts w:cs="Calibri"/>
                <w:szCs w:val="18"/>
              </w:rPr>
            </w:pPr>
            <w:r w:rsidRPr="00BD16B4">
              <w:rPr>
                <w:rFonts w:cs="Calibri"/>
                <w:szCs w:val="18"/>
              </w:rPr>
              <w:t>Solomon Islands / Fisheries Development</w:t>
            </w:r>
          </w:p>
        </w:tc>
        <w:tc>
          <w:tcPr>
            <w:tcW w:w="1276" w:type="dxa"/>
            <w:shd w:val="clear" w:color="auto" w:fill="auto"/>
            <w:hideMark/>
          </w:tcPr>
          <w:p w14:paraId="6646C300" w14:textId="77777777" w:rsidR="00B71B4E" w:rsidRPr="00BD16B4" w:rsidRDefault="00B71B4E" w:rsidP="00F31129">
            <w:pPr>
              <w:pStyle w:val="TableText"/>
              <w:spacing w:before="40" w:after="40"/>
              <w:jc w:val="center"/>
              <w:rPr>
                <w:rFonts w:cs="Calibri"/>
                <w:szCs w:val="18"/>
              </w:rPr>
            </w:pPr>
            <w:r w:rsidRPr="00BD16B4">
              <w:rPr>
                <w:rFonts w:cs="Calibri"/>
                <w:szCs w:val="18"/>
              </w:rPr>
              <w:t>0.63</w:t>
            </w:r>
          </w:p>
        </w:tc>
        <w:tc>
          <w:tcPr>
            <w:tcW w:w="1345" w:type="dxa"/>
            <w:shd w:val="clear" w:color="auto" w:fill="auto"/>
            <w:noWrap/>
            <w:hideMark/>
          </w:tcPr>
          <w:p w14:paraId="43B3C658" w14:textId="77777777" w:rsidR="00B71B4E" w:rsidRPr="00BD16B4" w:rsidRDefault="00B71B4E" w:rsidP="00F31129">
            <w:pPr>
              <w:pStyle w:val="TableText"/>
              <w:spacing w:before="40" w:after="40"/>
              <w:jc w:val="center"/>
              <w:rPr>
                <w:rFonts w:cs="Calibri"/>
                <w:szCs w:val="18"/>
              </w:rPr>
            </w:pPr>
            <w:r w:rsidRPr="00BD16B4">
              <w:rPr>
                <w:rFonts w:cs="Calibri"/>
                <w:szCs w:val="18"/>
              </w:rPr>
              <w:t>0.42</w:t>
            </w:r>
          </w:p>
        </w:tc>
        <w:tc>
          <w:tcPr>
            <w:tcW w:w="1015" w:type="dxa"/>
            <w:shd w:val="clear" w:color="auto" w:fill="auto"/>
            <w:noWrap/>
            <w:hideMark/>
          </w:tcPr>
          <w:p w14:paraId="62CCF4A9"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6BD2D74D"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129A91FF"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4EDFA234"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745E7210" w14:textId="77777777" w:rsidR="00B71B4E" w:rsidRPr="00BD16B4" w:rsidRDefault="00B71B4E" w:rsidP="00F31129">
            <w:pPr>
              <w:pStyle w:val="TableText"/>
              <w:spacing w:before="40" w:after="40"/>
              <w:rPr>
                <w:rFonts w:cs="Calibri"/>
                <w:szCs w:val="18"/>
              </w:rPr>
            </w:pPr>
            <w:r w:rsidRPr="00BD16B4">
              <w:rPr>
                <w:rFonts w:cs="Calibri"/>
                <w:szCs w:val="18"/>
              </w:rPr>
              <w:t>Fishing</w:t>
            </w:r>
          </w:p>
        </w:tc>
      </w:tr>
      <w:tr w:rsidR="00B71B4E" w:rsidRPr="00BD16B4" w14:paraId="18C3D85B" w14:textId="77777777" w:rsidTr="00F31129">
        <w:tc>
          <w:tcPr>
            <w:tcW w:w="5387" w:type="dxa"/>
            <w:shd w:val="clear" w:color="auto" w:fill="auto"/>
            <w:hideMark/>
          </w:tcPr>
          <w:p w14:paraId="5F9F3540" w14:textId="77777777" w:rsidR="00B71B4E" w:rsidRPr="00BD16B4" w:rsidRDefault="00B71B4E" w:rsidP="00F31129">
            <w:pPr>
              <w:pStyle w:val="TableText"/>
              <w:spacing w:before="40" w:after="40"/>
              <w:rPr>
                <w:rFonts w:cs="Calibri"/>
                <w:szCs w:val="18"/>
              </w:rPr>
            </w:pPr>
            <w:r w:rsidRPr="00BD16B4">
              <w:rPr>
                <w:rFonts w:cs="Calibri"/>
                <w:szCs w:val="18"/>
              </w:rPr>
              <w:t>Solomon Islands / Renewable Energy Scoping Study</w:t>
            </w:r>
          </w:p>
        </w:tc>
        <w:tc>
          <w:tcPr>
            <w:tcW w:w="1276" w:type="dxa"/>
            <w:shd w:val="clear" w:color="auto" w:fill="auto"/>
            <w:hideMark/>
          </w:tcPr>
          <w:p w14:paraId="79CABADA" w14:textId="77777777" w:rsidR="00B71B4E" w:rsidRPr="00BD16B4" w:rsidRDefault="00B71B4E" w:rsidP="00F31129">
            <w:pPr>
              <w:pStyle w:val="TableText"/>
              <w:spacing w:before="40" w:after="40"/>
              <w:jc w:val="center"/>
              <w:rPr>
                <w:rFonts w:cs="Calibri"/>
                <w:szCs w:val="18"/>
              </w:rPr>
            </w:pPr>
            <w:r w:rsidRPr="00BD16B4">
              <w:rPr>
                <w:rFonts w:cs="Calibri"/>
                <w:szCs w:val="18"/>
              </w:rPr>
              <w:t>1.83</w:t>
            </w:r>
          </w:p>
        </w:tc>
        <w:tc>
          <w:tcPr>
            <w:tcW w:w="1345" w:type="dxa"/>
            <w:shd w:val="clear" w:color="auto" w:fill="auto"/>
            <w:noWrap/>
            <w:hideMark/>
          </w:tcPr>
          <w:p w14:paraId="716F3EE5" w14:textId="77777777" w:rsidR="00B71B4E" w:rsidRPr="00BD16B4" w:rsidRDefault="00B71B4E" w:rsidP="00F31129">
            <w:pPr>
              <w:pStyle w:val="TableText"/>
              <w:spacing w:before="40" w:after="40"/>
              <w:jc w:val="center"/>
              <w:rPr>
                <w:rFonts w:cs="Calibri"/>
                <w:szCs w:val="18"/>
              </w:rPr>
            </w:pPr>
            <w:r w:rsidRPr="00BD16B4">
              <w:rPr>
                <w:rFonts w:cs="Calibri"/>
                <w:szCs w:val="18"/>
              </w:rPr>
              <w:t>1.20</w:t>
            </w:r>
          </w:p>
        </w:tc>
        <w:tc>
          <w:tcPr>
            <w:tcW w:w="1015" w:type="dxa"/>
            <w:shd w:val="clear" w:color="auto" w:fill="auto"/>
            <w:noWrap/>
            <w:hideMark/>
          </w:tcPr>
          <w:p w14:paraId="53CCC137"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711D35B7"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8A2AC6A"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63BD0698"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65B2D5E0"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66B3D849" w14:textId="77777777" w:rsidTr="00F31129">
        <w:tc>
          <w:tcPr>
            <w:tcW w:w="5387" w:type="dxa"/>
            <w:shd w:val="clear" w:color="auto" w:fill="auto"/>
            <w:hideMark/>
          </w:tcPr>
          <w:p w14:paraId="2C4FD6B4" w14:textId="77777777" w:rsidR="00B71B4E" w:rsidRPr="00BD16B4" w:rsidRDefault="00B71B4E" w:rsidP="00F31129">
            <w:pPr>
              <w:pStyle w:val="TableText"/>
              <w:spacing w:before="40" w:after="40"/>
              <w:rPr>
                <w:rFonts w:cs="Calibri"/>
                <w:szCs w:val="18"/>
              </w:rPr>
            </w:pPr>
            <w:r w:rsidRPr="00BD16B4">
              <w:rPr>
                <w:rFonts w:cs="Calibri"/>
                <w:szCs w:val="18"/>
              </w:rPr>
              <w:t>Tokelau / Coastal Risk Mitigation</w:t>
            </w:r>
          </w:p>
        </w:tc>
        <w:tc>
          <w:tcPr>
            <w:tcW w:w="1276" w:type="dxa"/>
            <w:shd w:val="clear" w:color="auto" w:fill="auto"/>
            <w:hideMark/>
          </w:tcPr>
          <w:p w14:paraId="0DEC8159" w14:textId="77777777" w:rsidR="00B71B4E" w:rsidRPr="00BD16B4" w:rsidRDefault="00B71B4E" w:rsidP="00F31129">
            <w:pPr>
              <w:pStyle w:val="TableText"/>
              <w:spacing w:before="40" w:after="40"/>
              <w:jc w:val="center"/>
              <w:rPr>
                <w:rFonts w:cs="Calibri"/>
                <w:szCs w:val="18"/>
              </w:rPr>
            </w:pPr>
            <w:r w:rsidRPr="00BD16B4">
              <w:rPr>
                <w:rFonts w:cs="Calibri"/>
                <w:szCs w:val="18"/>
              </w:rPr>
              <w:t>0.45</w:t>
            </w:r>
          </w:p>
        </w:tc>
        <w:tc>
          <w:tcPr>
            <w:tcW w:w="1345" w:type="dxa"/>
            <w:shd w:val="clear" w:color="auto" w:fill="auto"/>
            <w:noWrap/>
            <w:hideMark/>
          </w:tcPr>
          <w:p w14:paraId="452AF186" w14:textId="77777777" w:rsidR="00B71B4E" w:rsidRPr="00BD16B4" w:rsidRDefault="00B71B4E" w:rsidP="00F31129">
            <w:pPr>
              <w:pStyle w:val="TableText"/>
              <w:spacing w:before="40" w:after="40"/>
              <w:jc w:val="center"/>
              <w:rPr>
                <w:rFonts w:cs="Calibri"/>
                <w:szCs w:val="18"/>
              </w:rPr>
            </w:pPr>
            <w:r w:rsidRPr="00BD16B4">
              <w:rPr>
                <w:rFonts w:cs="Calibri"/>
                <w:szCs w:val="18"/>
              </w:rPr>
              <w:t>0.30</w:t>
            </w:r>
          </w:p>
        </w:tc>
        <w:tc>
          <w:tcPr>
            <w:tcW w:w="1015" w:type="dxa"/>
            <w:shd w:val="clear" w:color="auto" w:fill="auto"/>
            <w:noWrap/>
            <w:hideMark/>
          </w:tcPr>
          <w:p w14:paraId="1B807261"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29B0BEC5"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7C9342A3"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8705476"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48650669"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0E106BC4" w14:textId="77777777" w:rsidTr="00F31129">
        <w:tc>
          <w:tcPr>
            <w:tcW w:w="5387" w:type="dxa"/>
            <w:shd w:val="clear" w:color="auto" w:fill="auto"/>
            <w:hideMark/>
          </w:tcPr>
          <w:p w14:paraId="1C7D692D" w14:textId="77777777" w:rsidR="00B71B4E" w:rsidRPr="00BD16B4" w:rsidRDefault="00B71B4E" w:rsidP="00F31129">
            <w:pPr>
              <w:pStyle w:val="TableText"/>
              <w:spacing w:before="40" w:after="40"/>
              <w:rPr>
                <w:rFonts w:cs="Calibri"/>
                <w:szCs w:val="18"/>
              </w:rPr>
            </w:pPr>
            <w:r w:rsidRPr="00BD16B4">
              <w:rPr>
                <w:rFonts w:cs="Calibri"/>
                <w:szCs w:val="18"/>
              </w:rPr>
              <w:t>Tokelau / Renewable Energy Expansion and Renewal</w:t>
            </w:r>
          </w:p>
        </w:tc>
        <w:tc>
          <w:tcPr>
            <w:tcW w:w="1276" w:type="dxa"/>
            <w:shd w:val="clear" w:color="auto" w:fill="auto"/>
            <w:hideMark/>
          </w:tcPr>
          <w:p w14:paraId="1238921B" w14:textId="77777777" w:rsidR="00B71B4E" w:rsidRPr="00BD16B4" w:rsidRDefault="00B71B4E" w:rsidP="00F31129">
            <w:pPr>
              <w:pStyle w:val="TableText"/>
              <w:spacing w:before="40" w:after="40"/>
              <w:jc w:val="center"/>
              <w:rPr>
                <w:rFonts w:cs="Calibri"/>
                <w:szCs w:val="18"/>
              </w:rPr>
            </w:pPr>
            <w:r w:rsidRPr="00BD16B4">
              <w:rPr>
                <w:rFonts w:cs="Calibri"/>
                <w:szCs w:val="18"/>
              </w:rPr>
              <w:t>2.50</w:t>
            </w:r>
          </w:p>
        </w:tc>
        <w:tc>
          <w:tcPr>
            <w:tcW w:w="1345" w:type="dxa"/>
            <w:shd w:val="clear" w:color="auto" w:fill="auto"/>
            <w:noWrap/>
            <w:hideMark/>
          </w:tcPr>
          <w:p w14:paraId="1F49D679" w14:textId="77777777" w:rsidR="00B71B4E" w:rsidRPr="00BD16B4" w:rsidRDefault="00B71B4E" w:rsidP="00F31129">
            <w:pPr>
              <w:pStyle w:val="TableText"/>
              <w:spacing w:before="40" w:after="40"/>
              <w:jc w:val="center"/>
              <w:rPr>
                <w:rFonts w:cs="Calibri"/>
                <w:szCs w:val="18"/>
              </w:rPr>
            </w:pPr>
            <w:r w:rsidRPr="00BD16B4">
              <w:rPr>
                <w:rFonts w:cs="Calibri"/>
                <w:szCs w:val="18"/>
              </w:rPr>
              <w:t>1.65</w:t>
            </w:r>
          </w:p>
        </w:tc>
        <w:tc>
          <w:tcPr>
            <w:tcW w:w="1015" w:type="dxa"/>
            <w:shd w:val="clear" w:color="auto" w:fill="auto"/>
            <w:noWrap/>
            <w:hideMark/>
          </w:tcPr>
          <w:p w14:paraId="6EB5B06D"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4B3E48F2"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2F8155CA"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0FC4F31D" w14:textId="77777777" w:rsidR="00B71B4E" w:rsidRPr="00BD16B4" w:rsidRDefault="00B71B4E" w:rsidP="00F31129">
            <w:pPr>
              <w:pStyle w:val="TableText"/>
              <w:spacing w:before="40" w:after="40"/>
              <w:rPr>
                <w:rFonts w:cs="Calibri"/>
                <w:szCs w:val="18"/>
              </w:rPr>
            </w:pPr>
            <w:r w:rsidRPr="00BD16B4">
              <w:rPr>
                <w:rFonts w:cs="Calibri"/>
                <w:szCs w:val="18"/>
              </w:rPr>
              <w:t>Mitigation</w:t>
            </w:r>
          </w:p>
        </w:tc>
        <w:tc>
          <w:tcPr>
            <w:tcW w:w="2335" w:type="dxa"/>
            <w:shd w:val="clear" w:color="auto" w:fill="auto"/>
            <w:noWrap/>
            <w:hideMark/>
          </w:tcPr>
          <w:p w14:paraId="11AF5304"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78203010" w14:textId="77777777" w:rsidTr="00F31129">
        <w:tc>
          <w:tcPr>
            <w:tcW w:w="5387" w:type="dxa"/>
            <w:shd w:val="clear" w:color="auto" w:fill="auto"/>
            <w:hideMark/>
          </w:tcPr>
          <w:p w14:paraId="2702F13B" w14:textId="77777777" w:rsidR="00B71B4E" w:rsidRPr="00BD16B4" w:rsidRDefault="00B71B4E" w:rsidP="00F31129">
            <w:pPr>
              <w:pStyle w:val="TableText"/>
              <w:spacing w:before="40" w:after="40"/>
              <w:rPr>
                <w:rFonts w:cs="Calibri"/>
                <w:szCs w:val="18"/>
              </w:rPr>
            </w:pPr>
            <w:r w:rsidRPr="00BD16B4">
              <w:rPr>
                <w:rFonts w:cs="Calibri"/>
                <w:szCs w:val="18"/>
              </w:rPr>
              <w:t>Tokelau / Wharf and Reef Channel Rehabilitation</w:t>
            </w:r>
          </w:p>
        </w:tc>
        <w:tc>
          <w:tcPr>
            <w:tcW w:w="1276" w:type="dxa"/>
            <w:shd w:val="clear" w:color="auto" w:fill="auto"/>
            <w:hideMark/>
          </w:tcPr>
          <w:p w14:paraId="36ED32A9" w14:textId="77777777" w:rsidR="00B71B4E" w:rsidRPr="00BD16B4" w:rsidRDefault="00B71B4E" w:rsidP="00F31129">
            <w:pPr>
              <w:pStyle w:val="TableText"/>
              <w:spacing w:before="40" w:after="40"/>
              <w:jc w:val="center"/>
              <w:rPr>
                <w:rFonts w:cs="Calibri"/>
                <w:szCs w:val="18"/>
              </w:rPr>
            </w:pPr>
            <w:r w:rsidRPr="00BD16B4">
              <w:rPr>
                <w:rFonts w:cs="Calibri"/>
                <w:szCs w:val="18"/>
              </w:rPr>
              <w:t>0.38</w:t>
            </w:r>
          </w:p>
        </w:tc>
        <w:tc>
          <w:tcPr>
            <w:tcW w:w="1345" w:type="dxa"/>
            <w:shd w:val="clear" w:color="auto" w:fill="auto"/>
            <w:noWrap/>
            <w:hideMark/>
          </w:tcPr>
          <w:p w14:paraId="44BD4926" w14:textId="77777777" w:rsidR="00B71B4E" w:rsidRPr="00BD16B4" w:rsidRDefault="00B71B4E" w:rsidP="00F31129">
            <w:pPr>
              <w:pStyle w:val="TableText"/>
              <w:spacing w:before="40" w:after="40"/>
              <w:jc w:val="center"/>
              <w:rPr>
                <w:rFonts w:cs="Calibri"/>
                <w:szCs w:val="18"/>
              </w:rPr>
            </w:pPr>
            <w:r w:rsidRPr="00BD16B4">
              <w:rPr>
                <w:rFonts w:cs="Calibri"/>
                <w:szCs w:val="18"/>
              </w:rPr>
              <w:t>0.25</w:t>
            </w:r>
          </w:p>
        </w:tc>
        <w:tc>
          <w:tcPr>
            <w:tcW w:w="1015" w:type="dxa"/>
            <w:shd w:val="clear" w:color="auto" w:fill="auto"/>
            <w:noWrap/>
            <w:hideMark/>
          </w:tcPr>
          <w:p w14:paraId="2CAC02C9"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5DF39389"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646FE9A6"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4638150"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6864A523" w14:textId="77777777" w:rsidR="00B71B4E" w:rsidRPr="00BD16B4" w:rsidRDefault="00B71B4E" w:rsidP="00F31129">
            <w:pPr>
              <w:pStyle w:val="TableText"/>
              <w:spacing w:before="40" w:after="40"/>
              <w:rPr>
                <w:rFonts w:cs="Calibri"/>
                <w:szCs w:val="18"/>
              </w:rPr>
            </w:pPr>
            <w:r w:rsidRPr="00BD16B4">
              <w:rPr>
                <w:rFonts w:cs="Calibri"/>
                <w:szCs w:val="18"/>
              </w:rPr>
              <w:t>Transport and storage</w:t>
            </w:r>
          </w:p>
        </w:tc>
      </w:tr>
      <w:tr w:rsidR="00B71B4E" w:rsidRPr="00BD16B4" w14:paraId="0C59DB60" w14:textId="77777777" w:rsidTr="00F31129">
        <w:tc>
          <w:tcPr>
            <w:tcW w:w="5387" w:type="dxa"/>
            <w:shd w:val="clear" w:color="auto" w:fill="auto"/>
            <w:hideMark/>
          </w:tcPr>
          <w:p w14:paraId="05E0DBCA" w14:textId="77777777" w:rsidR="00B71B4E" w:rsidRPr="00BD16B4" w:rsidRDefault="00B71B4E" w:rsidP="00F31129">
            <w:pPr>
              <w:pStyle w:val="TableText"/>
              <w:spacing w:before="40" w:after="40"/>
              <w:rPr>
                <w:rFonts w:cs="Calibri"/>
                <w:szCs w:val="18"/>
              </w:rPr>
            </w:pPr>
            <w:r w:rsidRPr="00BD16B4">
              <w:rPr>
                <w:rFonts w:cs="Calibri"/>
                <w:szCs w:val="18"/>
              </w:rPr>
              <w:t>Tonga / Energy: Nuku’alofa Network Upgrade Project</w:t>
            </w:r>
          </w:p>
        </w:tc>
        <w:tc>
          <w:tcPr>
            <w:tcW w:w="1276" w:type="dxa"/>
            <w:shd w:val="clear" w:color="auto" w:fill="auto"/>
            <w:hideMark/>
          </w:tcPr>
          <w:p w14:paraId="1E5C7F2B" w14:textId="77777777" w:rsidR="00B71B4E" w:rsidRPr="00BD16B4" w:rsidRDefault="00B71B4E" w:rsidP="00F31129">
            <w:pPr>
              <w:pStyle w:val="TableText"/>
              <w:spacing w:before="40" w:after="40"/>
              <w:jc w:val="center"/>
              <w:rPr>
                <w:rFonts w:cs="Calibri"/>
                <w:szCs w:val="18"/>
              </w:rPr>
            </w:pPr>
            <w:r w:rsidRPr="00BD16B4">
              <w:rPr>
                <w:rFonts w:cs="Calibri"/>
                <w:szCs w:val="18"/>
              </w:rPr>
              <w:t>1.05</w:t>
            </w:r>
          </w:p>
        </w:tc>
        <w:tc>
          <w:tcPr>
            <w:tcW w:w="1345" w:type="dxa"/>
            <w:shd w:val="clear" w:color="auto" w:fill="auto"/>
            <w:noWrap/>
            <w:hideMark/>
          </w:tcPr>
          <w:p w14:paraId="5D876398" w14:textId="77777777" w:rsidR="00B71B4E" w:rsidRPr="00BD16B4" w:rsidRDefault="00B71B4E" w:rsidP="00F31129">
            <w:pPr>
              <w:pStyle w:val="TableText"/>
              <w:spacing w:before="40" w:after="40"/>
              <w:jc w:val="center"/>
              <w:rPr>
                <w:rFonts w:cs="Calibri"/>
                <w:szCs w:val="18"/>
              </w:rPr>
            </w:pPr>
            <w:r w:rsidRPr="00BD16B4">
              <w:rPr>
                <w:rFonts w:cs="Calibri"/>
                <w:szCs w:val="18"/>
              </w:rPr>
              <w:t>0.69</w:t>
            </w:r>
          </w:p>
        </w:tc>
        <w:tc>
          <w:tcPr>
            <w:tcW w:w="1015" w:type="dxa"/>
            <w:shd w:val="clear" w:color="auto" w:fill="auto"/>
            <w:noWrap/>
            <w:hideMark/>
          </w:tcPr>
          <w:p w14:paraId="2E04A94B"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03DF6B61"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2D272681"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51FCFA87"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7123FACF"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6CAA7BE8" w14:textId="77777777" w:rsidTr="00F31129">
        <w:tc>
          <w:tcPr>
            <w:tcW w:w="5387" w:type="dxa"/>
            <w:shd w:val="clear" w:color="auto" w:fill="auto"/>
            <w:hideMark/>
          </w:tcPr>
          <w:p w14:paraId="6E41B53C" w14:textId="77777777" w:rsidR="00B71B4E" w:rsidRPr="00BD16B4" w:rsidRDefault="00B71B4E" w:rsidP="00F31129">
            <w:pPr>
              <w:pStyle w:val="TableText"/>
              <w:spacing w:before="40" w:after="40"/>
              <w:rPr>
                <w:rFonts w:cs="Calibri"/>
                <w:szCs w:val="18"/>
              </w:rPr>
            </w:pPr>
            <w:r w:rsidRPr="00BD16B4">
              <w:rPr>
                <w:rFonts w:cs="Calibri"/>
                <w:szCs w:val="18"/>
              </w:rPr>
              <w:t>Tuvalu / Tuvalu Trust Fund Contributions</w:t>
            </w:r>
          </w:p>
        </w:tc>
        <w:tc>
          <w:tcPr>
            <w:tcW w:w="1276" w:type="dxa"/>
            <w:shd w:val="clear" w:color="auto" w:fill="auto"/>
            <w:hideMark/>
          </w:tcPr>
          <w:p w14:paraId="69D2A3F3" w14:textId="77777777" w:rsidR="00B71B4E" w:rsidRPr="00BD16B4" w:rsidRDefault="00B71B4E" w:rsidP="00F31129">
            <w:pPr>
              <w:pStyle w:val="TableText"/>
              <w:spacing w:before="40" w:after="40"/>
              <w:jc w:val="center"/>
              <w:rPr>
                <w:rFonts w:cs="Calibri"/>
                <w:szCs w:val="18"/>
              </w:rPr>
            </w:pPr>
            <w:r w:rsidRPr="00BD16B4">
              <w:rPr>
                <w:rFonts w:cs="Calibri"/>
                <w:szCs w:val="18"/>
              </w:rPr>
              <w:t>0.90</w:t>
            </w:r>
          </w:p>
        </w:tc>
        <w:tc>
          <w:tcPr>
            <w:tcW w:w="1345" w:type="dxa"/>
            <w:shd w:val="clear" w:color="auto" w:fill="auto"/>
            <w:noWrap/>
            <w:hideMark/>
          </w:tcPr>
          <w:p w14:paraId="50E88382" w14:textId="77777777" w:rsidR="00B71B4E" w:rsidRPr="00BD16B4" w:rsidRDefault="00B71B4E" w:rsidP="00F31129">
            <w:pPr>
              <w:pStyle w:val="TableText"/>
              <w:spacing w:before="40" w:after="40"/>
              <w:jc w:val="center"/>
              <w:rPr>
                <w:rFonts w:cs="Calibri"/>
                <w:szCs w:val="18"/>
              </w:rPr>
            </w:pPr>
            <w:r w:rsidRPr="00BD16B4">
              <w:rPr>
                <w:rFonts w:cs="Calibri"/>
                <w:szCs w:val="18"/>
              </w:rPr>
              <w:t>0.59</w:t>
            </w:r>
          </w:p>
        </w:tc>
        <w:tc>
          <w:tcPr>
            <w:tcW w:w="1015" w:type="dxa"/>
            <w:shd w:val="clear" w:color="auto" w:fill="auto"/>
            <w:noWrap/>
            <w:hideMark/>
          </w:tcPr>
          <w:p w14:paraId="0309F117"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2F72B12F"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5E0429E6"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60C83485"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7B93B598" w14:textId="77777777" w:rsidR="00B71B4E" w:rsidRPr="00BD16B4" w:rsidRDefault="00B71B4E" w:rsidP="00F31129">
            <w:pPr>
              <w:pStyle w:val="TableText"/>
              <w:spacing w:before="40" w:after="40"/>
              <w:rPr>
                <w:rFonts w:cs="Calibri"/>
                <w:szCs w:val="18"/>
              </w:rPr>
            </w:pPr>
            <w:r w:rsidRPr="00BD16B4">
              <w:rPr>
                <w:rFonts w:cs="Calibri"/>
                <w:szCs w:val="18"/>
              </w:rPr>
              <w:t>Government and civil society</w:t>
            </w:r>
          </w:p>
        </w:tc>
      </w:tr>
      <w:tr w:rsidR="00B71B4E" w:rsidRPr="00BD16B4" w14:paraId="42D2386D" w14:textId="77777777" w:rsidTr="00F31129">
        <w:tc>
          <w:tcPr>
            <w:tcW w:w="5387" w:type="dxa"/>
            <w:shd w:val="clear" w:color="auto" w:fill="auto"/>
            <w:hideMark/>
          </w:tcPr>
          <w:p w14:paraId="63605E80" w14:textId="77777777" w:rsidR="00B71B4E" w:rsidRPr="00BD16B4" w:rsidRDefault="00B71B4E" w:rsidP="00F31129">
            <w:pPr>
              <w:pStyle w:val="TableText"/>
              <w:spacing w:before="40" w:after="40"/>
              <w:rPr>
                <w:rFonts w:cs="Calibri"/>
                <w:szCs w:val="18"/>
              </w:rPr>
            </w:pPr>
            <w:r w:rsidRPr="00BD16B4">
              <w:rPr>
                <w:rFonts w:cs="Calibri"/>
                <w:szCs w:val="18"/>
              </w:rPr>
              <w:t>Tuvalu / Budget Support (Policy Reform Matrix)</w:t>
            </w:r>
          </w:p>
        </w:tc>
        <w:tc>
          <w:tcPr>
            <w:tcW w:w="1276" w:type="dxa"/>
            <w:shd w:val="clear" w:color="auto" w:fill="auto"/>
            <w:hideMark/>
          </w:tcPr>
          <w:p w14:paraId="03165202" w14:textId="77777777" w:rsidR="00B71B4E" w:rsidRPr="00BD16B4" w:rsidRDefault="00B71B4E" w:rsidP="00F31129">
            <w:pPr>
              <w:pStyle w:val="TableText"/>
              <w:spacing w:before="40" w:after="40"/>
              <w:jc w:val="center"/>
              <w:rPr>
                <w:rFonts w:cs="Calibri"/>
                <w:szCs w:val="18"/>
              </w:rPr>
            </w:pPr>
            <w:r w:rsidRPr="00BD16B4">
              <w:rPr>
                <w:rFonts w:cs="Calibri"/>
                <w:szCs w:val="18"/>
              </w:rPr>
              <w:t>0.30</w:t>
            </w:r>
          </w:p>
        </w:tc>
        <w:tc>
          <w:tcPr>
            <w:tcW w:w="1345" w:type="dxa"/>
            <w:shd w:val="clear" w:color="auto" w:fill="auto"/>
            <w:noWrap/>
            <w:hideMark/>
          </w:tcPr>
          <w:p w14:paraId="0A54D3B9" w14:textId="77777777" w:rsidR="00B71B4E" w:rsidRPr="00BD16B4" w:rsidRDefault="00B71B4E" w:rsidP="00F31129">
            <w:pPr>
              <w:pStyle w:val="TableText"/>
              <w:spacing w:before="40" w:after="40"/>
              <w:jc w:val="center"/>
              <w:rPr>
                <w:rFonts w:cs="Calibri"/>
                <w:szCs w:val="18"/>
              </w:rPr>
            </w:pPr>
            <w:r w:rsidRPr="00BD16B4">
              <w:rPr>
                <w:rFonts w:cs="Calibri"/>
                <w:szCs w:val="18"/>
              </w:rPr>
              <w:t>0.20</w:t>
            </w:r>
          </w:p>
        </w:tc>
        <w:tc>
          <w:tcPr>
            <w:tcW w:w="1015" w:type="dxa"/>
            <w:shd w:val="clear" w:color="auto" w:fill="auto"/>
            <w:noWrap/>
            <w:hideMark/>
          </w:tcPr>
          <w:p w14:paraId="734B0E23"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216A52D0"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6F7B4BB"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67DD2221"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29732EAC" w14:textId="77777777" w:rsidR="00B71B4E" w:rsidRPr="00BD16B4" w:rsidRDefault="00B71B4E" w:rsidP="00F31129">
            <w:pPr>
              <w:pStyle w:val="TableText"/>
              <w:spacing w:before="40" w:after="40"/>
              <w:rPr>
                <w:rFonts w:cs="Calibri"/>
                <w:szCs w:val="18"/>
              </w:rPr>
            </w:pPr>
            <w:r w:rsidRPr="00BD16B4">
              <w:rPr>
                <w:rFonts w:cs="Calibri"/>
                <w:szCs w:val="18"/>
              </w:rPr>
              <w:t>Government and civil society</w:t>
            </w:r>
          </w:p>
        </w:tc>
      </w:tr>
      <w:tr w:rsidR="00B71B4E" w:rsidRPr="00BD16B4" w14:paraId="3D511184" w14:textId="77777777" w:rsidTr="00F31129">
        <w:tc>
          <w:tcPr>
            <w:tcW w:w="5387" w:type="dxa"/>
            <w:shd w:val="clear" w:color="auto" w:fill="auto"/>
            <w:hideMark/>
          </w:tcPr>
          <w:p w14:paraId="15CB936E" w14:textId="77777777" w:rsidR="00B71B4E" w:rsidRPr="00BD16B4" w:rsidRDefault="00B71B4E" w:rsidP="00F31129">
            <w:pPr>
              <w:pStyle w:val="TableText"/>
              <w:spacing w:before="40" w:after="40"/>
              <w:rPr>
                <w:rFonts w:cs="Calibri"/>
                <w:szCs w:val="18"/>
              </w:rPr>
            </w:pPr>
            <w:r w:rsidRPr="00BD16B4">
              <w:rPr>
                <w:rFonts w:cs="Calibri"/>
                <w:szCs w:val="18"/>
              </w:rPr>
              <w:t>Vanuatu / Growing Market Opportunities for Tanna Farmers</w:t>
            </w:r>
          </w:p>
        </w:tc>
        <w:tc>
          <w:tcPr>
            <w:tcW w:w="1276" w:type="dxa"/>
            <w:shd w:val="clear" w:color="auto" w:fill="auto"/>
            <w:hideMark/>
          </w:tcPr>
          <w:p w14:paraId="3DE390AB" w14:textId="77777777" w:rsidR="00B71B4E" w:rsidRPr="00BD16B4" w:rsidRDefault="00B71B4E" w:rsidP="00F31129">
            <w:pPr>
              <w:pStyle w:val="TableText"/>
              <w:spacing w:before="40" w:after="40"/>
              <w:jc w:val="center"/>
              <w:rPr>
                <w:rFonts w:cs="Calibri"/>
                <w:szCs w:val="18"/>
              </w:rPr>
            </w:pPr>
            <w:r w:rsidRPr="00BD16B4">
              <w:rPr>
                <w:rFonts w:cs="Calibri"/>
                <w:szCs w:val="18"/>
              </w:rPr>
              <w:t>0.13</w:t>
            </w:r>
          </w:p>
        </w:tc>
        <w:tc>
          <w:tcPr>
            <w:tcW w:w="1345" w:type="dxa"/>
            <w:shd w:val="clear" w:color="auto" w:fill="auto"/>
            <w:noWrap/>
            <w:hideMark/>
          </w:tcPr>
          <w:p w14:paraId="5E31C251" w14:textId="77777777" w:rsidR="00B71B4E" w:rsidRPr="00BD16B4" w:rsidRDefault="00B71B4E" w:rsidP="00F31129">
            <w:pPr>
              <w:pStyle w:val="TableText"/>
              <w:spacing w:before="40" w:after="40"/>
              <w:jc w:val="center"/>
              <w:rPr>
                <w:rFonts w:cs="Calibri"/>
                <w:szCs w:val="18"/>
              </w:rPr>
            </w:pPr>
            <w:r w:rsidRPr="00BD16B4">
              <w:rPr>
                <w:rFonts w:cs="Calibri"/>
                <w:szCs w:val="18"/>
              </w:rPr>
              <w:t>0.09</w:t>
            </w:r>
          </w:p>
        </w:tc>
        <w:tc>
          <w:tcPr>
            <w:tcW w:w="1015" w:type="dxa"/>
            <w:shd w:val="clear" w:color="auto" w:fill="auto"/>
            <w:noWrap/>
            <w:hideMark/>
          </w:tcPr>
          <w:p w14:paraId="35F8813B"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19828C2D"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404868B9"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4E65AE6"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0439ED4B"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3473FD74" w14:textId="77777777" w:rsidTr="00F31129">
        <w:tc>
          <w:tcPr>
            <w:tcW w:w="5387" w:type="dxa"/>
            <w:shd w:val="clear" w:color="auto" w:fill="auto"/>
            <w:hideMark/>
          </w:tcPr>
          <w:p w14:paraId="6A19C26D" w14:textId="77777777" w:rsidR="00B71B4E" w:rsidRPr="00BD16B4" w:rsidRDefault="00B71B4E" w:rsidP="00F31129">
            <w:pPr>
              <w:pStyle w:val="TableText"/>
              <w:spacing w:before="40" w:after="40"/>
              <w:rPr>
                <w:rFonts w:cs="Calibri"/>
                <w:szCs w:val="18"/>
              </w:rPr>
            </w:pPr>
            <w:r w:rsidRPr="00BD16B4">
              <w:rPr>
                <w:rFonts w:cs="Calibri"/>
                <w:szCs w:val="18"/>
              </w:rPr>
              <w:t>Vanuatu / Inter-island Shipping Support Project Additional Support – South Paray</w:t>
            </w:r>
          </w:p>
        </w:tc>
        <w:tc>
          <w:tcPr>
            <w:tcW w:w="1276" w:type="dxa"/>
            <w:shd w:val="clear" w:color="auto" w:fill="auto"/>
            <w:hideMark/>
          </w:tcPr>
          <w:p w14:paraId="7944C8C1" w14:textId="77777777" w:rsidR="00B71B4E" w:rsidRPr="00BD16B4" w:rsidRDefault="00B71B4E" w:rsidP="00F31129">
            <w:pPr>
              <w:pStyle w:val="TableText"/>
              <w:spacing w:before="40" w:after="40"/>
              <w:jc w:val="center"/>
              <w:rPr>
                <w:rFonts w:cs="Calibri"/>
                <w:szCs w:val="18"/>
              </w:rPr>
            </w:pPr>
            <w:r w:rsidRPr="00BD16B4">
              <w:rPr>
                <w:rFonts w:cs="Calibri"/>
                <w:szCs w:val="18"/>
              </w:rPr>
              <w:t>0.14</w:t>
            </w:r>
          </w:p>
        </w:tc>
        <w:tc>
          <w:tcPr>
            <w:tcW w:w="1345" w:type="dxa"/>
            <w:shd w:val="clear" w:color="auto" w:fill="auto"/>
            <w:noWrap/>
            <w:hideMark/>
          </w:tcPr>
          <w:p w14:paraId="5ED6894D" w14:textId="77777777" w:rsidR="00B71B4E" w:rsidRPr="00BD16B4" w:rsidRDefault="00B71B4E" w:rsidP="00F31129">
            <w:pPr>
              <w:pStyle w:val="TableText"/>
              <w:spacing w:before="40" w:after="40"/>
              <w:jc w:val="center"/>
              <w:rPr>
                <w:rFonts w:cs="Calibri"/>
                <w:szCs w:val="18"/>
              </w:rPr>
            </w:pPr>
            <w:r w:rsidRPr="00BD16B4">
              <w:rPr>
                <w:rFonts w:cs="Calibri"/>
                <w:szCs w:val="18"/>
              </w:rPr>
              <w:t>0.09</w:t>
            </w:r>
          </w:p>
        </w:tc>
        <w:tc>
          <w:tcPr>
            <w:tcW w:w="1015" w:type="dxa"/>
            <w:shd w:val="clear" w:color="auto" w:fill="auto"/>
            <w:noWrap/>
            <w:hideMark/>
          </w:tcPr>
          <w:p w14:paraId="675E2C1B"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22CEFF8C"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7A2E5B5F"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5F745095"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0C4454C0" w14:textId="77777777" w:rsidR="00B71B4E" w:rsidRPr="00BD16B4" w:rsidRDefault="00B71B4E" w:rsidP="00F31129">
            <w:pPr>
              <w:pStyle w:val="TableText"/>
              <w:spacing w:before="40" w:after="40"/>
              <w:rPr>
                <w:rFonts w:cs="Calibri"/>
                <w:szCs w:val="18"/>
              </w:rPr>
            </w:pPr>
            <w:r w:rsidRPr="00BD16B4">
              <w:rPr>
                <w:rFonts w:cs="Calibri"/>
                <w:szCs w:val="18"/>
              </w:rPr>
              <w:t>Transport and storage</w:t>
            </w:r>
          </w:p>
        </w:tc>
      </w:tr>
      <w:tr w:rsidR="00B71B4E" w:rsidRPr="00BD16B4" w14:paraId="452FED13" w14:textId="77777777" w:rsidTr="00F31129">
        <w:tc>
          <w:tcPr>
            <w:tcW w:w="5387" w:type="dxa"/>
            <w:shd w:val="clear" w:color="auto" w:fill="auto"/>
            <w:hideMark/>
          </w:tcPr>
          <w:p w14:paraId="60CF0B5A" w14:textId="77777777" w:rsidR="00B71B4E" w:rsidRPr="00BD16B4" w:rsidRDefault="00B71B4E" w:rsidP="00F31129">
            <w:pPr>
              <w:pStyle w:val="TableText"/>
              <w:spacing w:before="40" w:after="40"/>
              <w:rPr>
                <w:rFonts w:cs="Calibri"/>
                <w:szCs w:val="18"/>
              </w:rPr>
            </w:pPr>
            <w:r w:rsidRPr="00BD16B4">
              <w:rPr>
                <w:rFonts w:cs="Calibri"/>
                <w:szCs w:val="18"/>
              </w:rPr>
              <w:t>Vanuatu / Support to Wan Smolbag 2015–19</w:t>
            </w:r>
          </w:p>
        </w:tc>
        <w:tc>
          <w:tcPr>
            <w:tcW w:w="1276" w:type="dxa"/>
            <w:shd w:val="clear" w:color="auto" w:fill="auto"/>
            <w:hideMark/>
          </w:tcPr>
          <w:p w14:paraId="01F36F17" w14:textId="77777777" w:rsidR="00B71B4E" w:rsidRPr="00BD16B4" w:rsidRDefault="00B71B4E" w:rsidP="00F31129">
            <w:pPr>
              <w:pStyle w:val="TableText"/>
              <w:spacing w:before="40" w:after="40"/>
              <w:jc w:val="center"/>
              <w:rPr>
                <w:rFonts w:cs="Calibri"/>
                <w:szCs w:val="18"/>
              </w:rPr>
            </w:pPr>
            <w:r w:rsidRPr="00BD16B4">
              <w:rPr>
                <w:rFonts w:cs="Calibri"/>
                <w:szCs w:val="18"/>
              </w:rPr>
              <w:t>0.28</w:t>
            </w:r>
          </w:p>
        </w:tc>
        <w:tc>
          <w:tcPr>
            <w:tcW w:w="1345" w:type="dxa"/>
            <w:shd w:val="clear" w:color="auto" w:fill="auto"/>
            <w:noWrap/>
            <w:hideMark/>
          </w:tcPr>
          <w:p w14:paraId="72F96E57" w14:textId="77777777" w:rsidR="00B71B4E" w:rsidRPr="00BD16B4" w:rsidRDefault="00B71B4E" w:rsidP="00F31129">
            <w:pPr>
              <w:pStyle w:val="TableText"/>
              <w:spacing w:before="40" w:after="40"/>
              <w:jc w:val="center"/>
              <w:rPr>
                <w:rFonts w:cs="Calibri"/>
                <w:szCs w:val="18"/>
              </w:rPr>
            </w:pPr>
            <w:r w:rsidRPr="00BD16B4">
              <w:rPr>
                <w:rFonts w:cs="Calibri"/>
                <w:szCs w:val="18"/>
              </w:rPr>
              <w:t>0.19</w:t>
            </w:r>
          </w:p>
        </w:tc>
        <w:tc>
          <w:tcPr>
            <w:tcW w:w="1015" w:type="dxa"/>
            <w:shd w:val="clear" w:color="auto" w:fill="auto"/>
            <w:noWrap/>
            <w:hideMark/>
          </w:tcPr>
          <w:p w14:paraId="660AE728"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4B52DB7F"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44BB7B8A"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677F4641"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18B725C0" w14:textId="77777777" w:rsidR="00B71B4E" w:rsidRPr="00BD16B4" w:rsidRDefault="00B71B4E" w:rsidP="00F31129">
            <w:pPr>
              <w:pStyle w:val="TableText"/>
              <w:spacing w:before="40" w:after="40"/>
              <w:rPr>
                <w:rFonts w:cs="Calibri"/>
                <w:szCs w:val="18"/>
              </w:rPr>
            </w:pPr>
            <w:r w:rsidRPr="00BD16B4">
              <w:rPr>
                <w:rFonts w:cs="Calibri"/>
                <w:szCs w:val="18"/>
              </w:rPr>
              <w:t>Government and civil society</w:t>
            </w:r>
          </w:p>
        </w:tc>
      </w:tr>
      <w:tr w:rsidR="00B71B4E" w:rsidRPr="00BD16B4" w14:paraId="62347D0F" w14:textId="77777777" w:rsidTr="00F31129">
        <w:tc>
          <w:tcPr>
            <w:tcW w:w="5387" w:type="dxa"/>
            <w:shd w:val="clear" w:color="auto" w:fill="auto"/>
            <w:hideMark/>
          </w:tcPr>
          <w:p w14:paraId="5AA6BFD4" w14:textId="77777777" w:rsidR="00B71B4E" w:rsidRPr="00BD16B4" w:rsidRDefault="00B71B4E" w:rsidP="00F31129">
            <w:pPr>
              <w:pStyle w:val="TableText"/>
              <w:spacing w:before="40" w:after="40"/>
              <w:rPr>
                <w:rFonts w:cs="Calibri"/>
                <w:szCs w:val="18"/>
              </w:rPr>
            </w:pPr>
            <w:r w:rsidRPr="00BD16B4">
              <w:rPr>
                <w:rFonts w:cs="Calibri"/>
                <w:szCs w:val="18"/>
              </w:rPr>
              <w:lastRenderedPageBreak/>
              <w:t>Vanuatu / Water Sector Partnership 2017–21</w:t>
            </w:r>
          </w:p>
        </w:tc>
        <w:tc>
          <w:tcPr>
            <w:tcW w:w="1276" w:type="dxa"/>
            <w:shd w:val="clear" w:color="auto" w:fill="auto"/>
            <w:hideMark/>
          </w:tcPr>
          <w:p w14:paraId="4A19FE42" w14:textId="77777777" w:rsidR="00B71B4E" w:rsidRPr="00BD16B4" w:rsidRDefault="00B71B4E" w:rsidP="00F31129">
            <w:pPr>
              <w:pStyle w:val="TableText"/>
              <w:spacing w:before="40" w:after="40"/>
              <w:jc w:val="center"/>
              <w:rPr>
                <w:rFonts w:cs="Calibri"/>
                <w:szCs w:val="18"/>
              </w:rPr>
            </w:pPr>
            <w:r w:rsidRPr="00BD16B4">
              <w:rPr>
                <w:rFonts w:cs="Calibri"/>
                <w:szCs w:val="18"/>
              </w:rPr>
              <w:t>0.62</w:t>
            </w:r>
          </w:p>
        </w:tc>
        <w:tc>
          <w:tcPr>
            <w:tcW w:w="1345" w:type="dxa"/>
            <w:shd w:val="clear" w:color="auto" w:fill="auto"/>
            <w:noWrap/>
            <w:hideMark/>
          </w:tcPr>
          <w:p w14:paraId="623C0670" w14:textId="77777777" w:rsidR="00B71B4E" w:rsidRPr="00BD16B4" w:rsidRDefault="00B71B4E" w:rsidP="00F31129">
            <w:pPr>
              <w:pStyle w:val="TableText"/>
              <w:spacing w:before="40" w:after="40"/>
              <w:jc w:val="center"/>
              <w:rPr>
                <w:rFonts w:cs="Calibri"/>
                <w:szCs w:val="18"/>
              </w:rPr>
            </w:pPr>
            <w:r w:rsidRPr="00BD16B4">
              <w:rPr>
                <w:rFonts w:cs="Calibri"/>
                <w:szCs w:val="18"/>
              </w:rPr>
              <w:t>0.41</w:t>
            </w:r>
          </w:p>
        </w:tc>
        <w:tc>
          <w:tcPr>
            <w:tcW w:w="1015" w:type="dxa"/>
            <w:shd w:val="clear" w:color="auto" w:fill="auto"/>
            <w:noWrap/>
            <w:hideMark/>
          </w:tcPr>
          <w:p w14:paraId="33CFD613"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47545325"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9068DC8"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5B79F53D"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70C21F37" w14:textId="77777777" w:rsidR="00B71B4E" w:rsidRPr="00BD16B4" w:rsidRDefault="00B71B4E" w:rsidP="00F31129">
            <w:pPr>
              <w:pStyle w:val="TableText"/>
              <w:spacing w:before="40" w:after="40"/>
              <w:rPr>
                <w:rFonts w:cs="Calibri"/>
                <w:szCs w:val="18"/>
              </w:rPr>
            </w:pPr>
            <w:r w:rsidRPr="00BD16B4">
              <w:rPr>
                <w:rFonts w:cs="Calibri"/>
                <w:szCs w:val="18"/>
              </w:rPr>
              <w:t>Water and sanitation</w:t>
            </w:r>
          </w:p>
        </w:tc>
      </w:tr>
      <w:tr w:rsidR="00B71B4E" w:rsidRPr="00BD16B4" w14:paraId="0181627B" w14:textId="77777777" w:rsidTr="00F31129">
        <w:tc>
          <w:tcPr>
            <w:tcW w:w="5387" w:type="dxa"/>
            <w:shd w:val="clear" w:color="auto" w:fill="auto"/>
            <w:hideMark/>
          </w:tcPr>
          <w:p w14:paraId="12AEA0DD" w14:textId="77777777" w:rsidR="00B71B4E" w:rsidRPr="00BD16B4" w:rsidRDefault="00B71B4E" w:rsidP="00F31129">
            <w:pPr>
              <w:pStyle w:val="TableText"/>
              <w:spacing w:before="40" w:after="40"/>
              <w:rPr>
                <w:rFonts w:cs="Calibri"/>
                <w:szCs w:val="18"/>
              </w:rPr>
            </w:pPr>
            <w:r w:rsidRPr="00BD16B4">
              <w:rPr>
                <w:rFonts w:cs="Calibri"/>
                <w:szCs w:val="18"/>
              </w:rPr>
              <w:t>Myanmar / Renewable Energy Programme</w:t>
            </w:r>
          </w:p>
        </w:tc>
        <w:tc>
          <w:tcPr>
            <w:tcW w:w="1276" w:type="dxa"/>
            <w:shd w:val="clear" w:color="auto" w:fill="auto"/>
            <w:hideMark/>
          </w:tcPr>
          <w:p w14:paraId="505DEDCA" w14:textId="77777777" w:rsidR="00B71B4E" w:rsidRPr="00BD16B4" w:rsidRDefault="00B71B4E" w:rsidP="00F31129">
            <w:pPr>
              <w:pStyle w:val="TableText"/>
              <w:spacing w:before="40" w:after="40"/>
              <w:jc w:val="center"/>
              <w:rPr>
                <w:rFonts w:cs="Calibri"/>
                <w:szCs w:val="18"/>
              </w:rPr>
            </w:pPr>
            <w:r w:rsidRPr="00BD16B4">
              <w:rPr>
                <w:rFonts w:cs="Calibri"/>
                <w:szCs w:val="18"/>
              </w:rPr>
              <w:t>0.41</w:t>
            </w:r>
          </w:p>
        </w:tc>
        <w:tc>
          <w:tcPr>
            <w:tcW w:w="1345" w:type="dxa"/>
            <w:shd w:val="clear" w:color="auto" w:fill="auto"/>
            <w:noWrap/>
            <w:hideMark/>
          </w:tcPr>
          <w:p w14:paraId="3E783E5E" w14:textId="77777777" w:rsidR="00B71B4E" w:rsidRPr="00BD16B4" w:rsidRDefault="00B71B4E" w:rsidP="00F31129">
            <w:pPr>
              <w:pStyle w:val="TableText"/>
              <w:spacing w:before="40" w:after="40"/>
              <w:jc w:val="center"/>
              <w:rPr>
                <w:rFonts w:cs="Calibri"/>
                <w:szCs w:val="18"/>
              </w:rPr>
            </w:pPr>
            <w:r w:rsidRPr="00BD16B4">
              <w:rPr>
                <w:rFonts w:cs="Calibri"/>
                <w:szCs w:val="18"/>
              </w:rPr>
              <w:t>0.27</w:t>
            </w:r>
          </w:p>
        </w:tc>
        <w:tc>
          <w:tcPr>
            <w:tcW w:w="1015" w:type="dxa"/>
            <w:shd w:val="clear" w:color="auto" w:fill="auto"/>
            <w:noWrap/>
            <w:hideMark/>
          </w:tcPr>
          <w:p w14:paraId="25FD69C7"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05CFB1AA"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BDF8D58"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1A3E207E" w14:textId="77777777" w:rsidR="00B71B4E" w:rsidRPr="00BD16B4" w:rsidRDefault="00B71B4E" w:rsidP="00F31129">
            <w:pPr>
              <w:pStyle w:val="TableText"/>
              <w:spacing w:before="40" w:after="40"/>
              <w:rPr>
                <w:rFonts w:cs="Calibri"/>
                <w:szCs w:val="18"/>
              </w:rPr>
            </w:pPr>
            <w:r w:rsidRPr="00BD16B4">
              <w:rPr>
                <w:rFonts w:cs="Calibri"/>
                <w:szCs w:val="18"/>
              </w:rPr>
              <w:t>Mitigation</w:t>
            </w:r>
          </w:p>
        </w:tc>
        <w:tc>
          <w:tcPr>
            <w:tcW w:w="2335" w:type="dxa"/>
            <w:shd w:val="clear" w:color="auto" w:fill="auto"/>
            <w:noWrap/>
            <w:hideMark/>
          </w:tcPr>
          <w:p w14:paraId="5C714C1A"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5E31C497" w14:textId="77777777" w:rsidTr="00F31129">
        <w:tc>
          <w:tcPr>
            <w:tcW w:w="5387" w:type="dxa"/>
            <w:shd w:val="clear" w:color="auto" w:fill="auto"/>
            <w:hideMark/>
          </w:tcPr>
          <w:p w14:paraId="5BABC4C6" w14:textId="77777777" w:rsidR="00B71B4E" w:rsidRPr="00BD16B4" w:rsidRDefault="00B71B4E" w:rsidP="00F31129">
            <w:pPr>
              <w:pStyle w:val="TableText"/>
              <w:spacing w:before="40" w:after="40"/>
              <w:rPr>
                <w:rFonts w:cs="Calibri"/>
                <w:szCs w:val="18"/>
              </w:rPr>
            </w:pPr>
            <w:r w:rsidRPr="00BD16B4">
              <w:rPr>
                <w:rFonts w:cs="Calibri"/>
                <w:szCs w:val="18"/>
              </w:rPr>
              <w:t>Indonesia / Livelihood Support in Eastern Indonesia</w:t>
            </w:r>
          </w:p>
        </w:tc>
        <w:tc>
          <w:tcPr>
            <w:tcW w:w="1276" w:type="dxa"/>
            <w:shd w:val="clear" w:color="auto" w:fill="auto"/>
            <w:hideMark/>
          </w:tcPr>
          <w:p w14:paraId="67A8D3B1" w14:textId="77777777" w:rsidR="00B71B4E" w:rsidRPr="00BD16B4" w:rsidRDefault="00B71B4E" w:rsidP="00F31129">
            <w:pPr>
              <w:pStyle w:val="TableText"/>
              <w:spacing w:before="40" w:after="40"/>
              <w:jc w:val="center"/>
              <w:rPr>
                <w:rFonts w:cs="Calibri"/>
                <w:szCs w:val="18"/>
              </w:rPr>
            </w:pPr>
            <w:r w:rsidRPr="00BD16B4">
              <w:rPr>
                <w:rFonts w:cs="Calibri"/>
                <w:szCs w:val="18"/>
              </w:rPr>
              <w:t>0.38</w:t>
            </w:r>
          </w:p>
        </w:tc>
        <w:tc>
          <w:tcPr>
            <w:tcW w:w="1345" w:type="dxa"/>
            <w:shd w:val="clear" w:color="auto" w:fill="auto"/>
            <w:noWrap/>
            <w:hideMark/>
          </w:tcPr>
          <w:p w14:paraId="52CE2AF4" w14:textId="77777777" w:rsidR="00B71B4E" w:rsidRPr="00BD16B4" w:rsidRDefault="00B71B4E" w:rsidP="00F31129">
            <w:pPr>
              <w:pStyle w:val="TableText"/>
              <w:spacing w:before="40" w:after="40"/>
              <w:jc w:val="center"/>
              <w:rPr>
                <w:rFonts w:cs="Calibri"/>
                <w:szCs w:val="18"/>
              </w:rPr>
            </w:pPr>
            <w:r w:rsidRPr="00BD16B4">
              <w:rPr>
                <w:rFonts w:cs="Calibri"/>
                <w:szCs w:val="18"/>
              </w:rPr>
              <w:t>0.25</w:t>
            </w:r>
          </w:p>
        </w:tc>
        <w:tc>
          <w:tcPr>
            <w:tcW w:w="1015" w:type="dxa"/>
            <w:shd w:val="clear" w:color="auto" w:fill="auto"/>
            <w:noWrap/>
            <w:hideMark/>
          </w:tcPr>
          <w:p w14:paraId="4A52C3EF"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643373E0"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24F1403A"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5639C178"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00BFEE9E"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39D50590" w14:textId="77777777" w:rsidTr="00F31129">
        <w:tc>
          <w:tcPr>
            <w:tcW w:w="5387" w:type="dxa"/>
            <w:shd w:val="clear" w:color="auto" w:fill="auto"/>
            <w:hideMark/>
          </w:tcPr>
          <w:p w14:paraId="364FC09B" w14:textId="77777777" w:rsidR="00B71B4E" w:rsidRPr="00BD16B4" w:rsidRDefault="00B71B4E" w:rsidP="00F31129">
            <w:pPr>
              <w:pStyle w:val="TableText"/>
              <w:spacing w:before="40" w:after="40"/>
              <w:rPr>
                <w:rFonts w:cs="Calibri"/>
                <w:szCs w:val="18"/>
              </w:rPr>
            </w:pPr>
            <w:r w:rsidRPr="00BD16B4">
              <w:rPr>
                <w:rFonts w:cs="Calibri"/>
                <w:szCs w:val="18"/>
              </w:rPr>
              <w:t>Myanmar / Dairy Inclusive Growth and Investment</w:t>
            </w:r>
          </w:p>
        </w:tc>
        <w:tc>
          <w:tcPr>
            <w:tcW w:w="1276" w:type="dxa"/>
            <w:shd w:val="clear" w:color="auto" w:fill="auto"/>
            <w:hideMark/>
          </w:tcPr>
          <w:p w14:paraId="2C9CC0E4" w14:textId="77777777" w:rsidR="00B71B4E" w:rsidRPr="00BD16B4" w:rsidRDefault="00B71B4E" w:rsidP="00F31129">
            <w:pPr>
              <w:pStyle w:val="TableText"/>
              <w:spacing w:before="40" w:after="40"/>
              <w:jc w:val="center"/>
              <w:rPr>
                <w:rFonts w:cs="Calibri"/>
                <w:szCs w:val="18"/>
              </w:rPr>
            </w:pPr>
            <w:r w:rsidRPr="00BD16B4">
              <w:rPr>
                <w:rFonts w:cs="Calibri"/>
                <w:szCs w:val="18"/>
              </w:rPr>
              <w:t>0.20</w:t>
            </w:r>
          </w:p>
        </w:tc>
        <w:tc>
          <w:tcPr>
            <w:tcW w:w="1345" w:type="dxa"/>
            <w:shd w:val="clear" w:color="auto" w:fill="auto"/>
            <w:noWrap/>
            <w:hideMark/>
          </w:tcPr>
          <w:p w14:paraId="14A0C8B7" w14:textId="77777777" w:rsidR="00B71B4E" w:rsidRPr="00BD16B4" w:rsidRDefault="00B71B4E" w:rsidP="00F31129">
            <w:pPr>
              <w:pStyle w:val="TableText"/>
              <w:spacing w:before="40" w:after="40"/>
              <w:jc w:val="center"/>
              <w:rPr>
                <w:rFonts w:cs="Calibri"/>
                <w:szCs w:val="18"/>
              </w:rPr>
            </w:pPr>
            <w:r w:rsidRPr="00BD16B4">
              <w:rPr>
                <w:rFonts w:cs="Calibri"/>
                <w:szCs w:val="18"/>
              </w:rPr>
              <w:t>0.13</w:t>
            </w:r>
          </w:p>
        </w:tc>
        <w:tc>
          <w:tcPr>
            <w:tcW w:w="1015" w:type="dxa"/>
            <w:shd w:val="clear" w:color="auto" w:fill="auto"/>
            <w:noWrap/>
            <w:hideMark/>
          </w:tcPr>
          <w:p w14:paraId="7740DECE"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0EB08C3C"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260095F7"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7F85F919"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51B22227"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66D236A7" w14:textId="77777777" w:rsidTr="00F31129">
        <w:tc>
          <w:tcPr>
            <w:tcW w:w="5387" w:type="dxa"/>
            <w:shd w:val="clear" w:color="auto" w:fill="auto"/>
            <w:hideMark/>
          </w:tcPr>
          <w:p w14:paraId="3C434585" w14:textId="77777777" w:rsidR="00B71B4E" w:rsidRPr="00BD16B4" w:rsidRDefault="00B71B4E" w:rsidP="00F31129">
            <w:pPr>
              <w:pStyle w:val="TableText"/>
              <w:spacing w:before="40" w:after="40"/>
              <w:rPr>
                <w:rFonts w:cs="Calibri"/>
                <w:szCs w:val="18"/>
              </w:rPr>
            </w:pPr>
            <w:r w:rsidRPr="00BD16B4">
              <w:rPr>
                <w:rFonts w:cs="Calibri"/>
                <w:szCs w:val="18"/>
              </w:rPr>
              <w:t>Cambodia / Climate-smart Commercial Horticulture</w:t>
            </w:r>
          </w:p>
        </w:tc>
        <w:tc>
          <w:tcPr>
            <w:tcW w:w="1276" w:type="dxa"/>
            <w:shd w:val="clear" w:color="auto" w:fill="auto"/>
            <w:hideMark/>
          </w:tcPr>
          <w:p w14:paraId="7BCEE1D8" w14:textId="77777777" w:rsidR="00B71B4E" w:rsidRPr="00BD16B4" w:rsidRDefault="00B71B4E" w:rsidP="00F31129">
            <w:pPr>
              <w:pStyle w:val="TableText"/>
              <w:spacing w:before="40" w:after="40"/>
              <w:jc w:val="center"/>
              <w:rPr>
                <w:rFonts w:cs="Calibri"/>
                <w:szCs w:val="18"/>
              </w:rPr>
            </w:pPr>
            <w:r w:rsidRPr="00BD16B4">
              <w:rPr>
                <w:rFonts w:cs="Calibri"/>
                <w:szCs w:val="18"/>
              </w:rPr>
              <w:t>0.56</w:t>
            </w:r>
          </w:p>
        </w:tc>
        <w:tc>
          <w:tcPr>
            <w:tcW w:w="1345" w:type="dxa"/>
            <w:shd w:val="clear" w:color="auto" w:fill="auto"/>
            <w:noWrap/>
            <w:hideMark/>
          </w:tcPr>
          <w:p w14:paraId="4ABB1633" w14:textId="77777777" w:rsidR="00B71B4E" w:rsidRPr="00BD16B4" w:rsidRDefault="00B71B4E" w:rsidP="00F31129">
            <w:pPr>
              <w:pStyle w:val="TableText"/>
              <w:spacing w:before="40" w:after="40"/>
              <w:jc w:val="center"/>
              <w:rPr>
                <w:rFonts w:cs="Calibri"/>
                <w:szCs w:val="18"/>
              </w:rPr>
            </w:pPr>
            <w:r w:rsidRPr="00BD16B4">
              <w:rPr>
                <w:rFonts w:cs="Calibri"/>
                <w:szCs w:val="18"/>
              </w:rPr>
              <w:t>0.37</w:t>
            </w:r>
          </w:p>
        </w:tc>
        <w:tc>
          <w:tcPr>
            <w:tcW w:w="1015" w:type="dxa"/>
            <w:shd w:val="clear" w:color="auto" w:fill="auto"/>
            <w:noWrap/>
            <w:hideMark/>
          </w:tcPr>
          <w:p w14:paraId="064F90C0"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3570D0A5"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44011AF0"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79735096"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57E77DCE"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1EF1DA81" w14:textId="77777777" w:rsidTr="00F31129">
        <w:tc>
          <w:tcPr>
            <w:tcW w:w="5387" w:type="dxa"/>
            <w:shd w:val="clear" w:color="auto" w:fill="auto"/>
            <w:hideMark/>
          </w:tcPr>
          <w:p w14:paraId="2987974F" w14:textId="77777777" w:rsidR="00B71B4E" w:rsidRPr="00BD16B4" w:rsidRDefault="00B71B4E" w:rsidP="00F31129">
            <w:pPr>
              <w:pStyle w:val="TableText"/>
              <w:spacing w:before="40" w:after="40"/>
              <w:rPr>
                <w:rFonts w:cs="Calibri"/>
                <w:szCs w:val="18"/>
              </w:rPr>
            </w:pPr>
            <w:r w:rsidRPr="00BD16B4">
              <w:rPr>
                <w:rFonts w:cs="Calibri"/>
                <w:szCs w:val="18"/>
              </w:rPr>
              <w:t>Indonesia / Strengthening Disaster Resilience</w:t>
            </w:r>
          </w:p>
        </w:tc>
        <w:tc>
          <w:tcPr>
            <w:tcW w:w="1276" w:type="dxa"/>
            <w:shd w:val="clear" w:color="auto" w:fill="auto"/>
            <w:hideMark/>
          </w:tcPr>
          <w:p w14:paraId="51C48817" w14:textId="77777777" w:rsidR="00B71B4E" w:rsidRPr="00BD16B4" w:rsidRDefault="00B71B4E" w:rsidP="00F31129">
            <w:pPr>
              <w:pStyle w:val="TableText"/>
              <w:spacing w:before="40" w:after="40"/>
              <w:jc w:val="center"/>
              <w:rPr>
                <w:rFonts w:cs="Calibri"/>
                <w:szCs w:val="18"/>
              </w:rPr>
            </w:pPr>
            <w:r w:rsidRPr="00BD16B4">
              <w:rPr>
                <w:rFonts w:cs="Calibri"/>
                <w:szCs w:val="18"/>
              </w:rPr>
              <w:t>0.29</w:t>
            </w:r>
          </w:p>
        </w:tc>
        <w:tc>
          <w:tcPr>
            <w:tcW w:w="1345" w:type="dxa"/>
            <w:shd w:val="clear" w:color="auto" w:fill="auto"/>
            <w:noWrap/>
            <w:hideMark/>
          </w:tcPr>
          <w:p w14:paraId="7BA5C4C0" w14:textId="77777777" w:rsidR="00B71B4E" w:rsidRPr="00BD16B4" w:rsidRDefault="00B71B4E" w:rsidP="00F31129">
            <w:pPr>
              <w:pStyle w:val="TableText"/>
              <w:spacing w:before="40" w:after="40"/>
              <w:jc w:val="center"/>
              <w:rPr>
                <w:rFonts w:cs="Calibri"/>
                <w:szCs w:val="18"/>
              </w:rPr>
            </w:pPr>
            <w:r w:rsidRPr="00BD16B4">
              <w:rPr>
                <w:rFonts w:cs="Calibri"/>
                <w:szCs w:val="18"/>
              </w:rPr>
              <w:t>0.19</w:t>
            </w:r>
          </w:p>
        </w:tc>
        <w:tc>
          <w:tcPr>
            <w:tcW w:w="1015" w:type="dxa"/>
            <w:shd w:val="clear" w:color="auto" w:fill="auto"/>
            <w:noWrap/>
            <w:hideMark/>
          </w:tcPr>
          <w:p w14:paraId="2179F742"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5F0F5C0B"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6B4AED42"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47CDFF5"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35A891E5"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1826EC46" w14:textId="77777777" w:rsidTr="00F31129">
        <w:tc>
          <w:tcPr>
            <w:tcW w:w="5387" w:type="dxa"/>
            <w:shd w:val="clear" w:color="auto" w:fill="auto"/>
            <w:hideMark/>
          </w:tcPr>
          <w:p w14:paraId="3F585850" w14:textId="77777777" w:rsidR="00B71B4E" w:rsidRPr="00BD16B4" w:rsidRDefault="00B71B4E" w:rsidP="00F31129">
            <w:pPr>
              <w:pStyle w:val="TableText"/>
              <w:spacing w:before="40" w:after="40"/>
              <w:rPr>
                <w:rFonts w:cs="Calibri"/>
                <w:szCs w:val="18"/>
              </w:rPr>
            </w:pPr>
            <w:r w:rsidRPr="00BD16B4">
              <w:rPr>
                <w:rFonts w:cs="Calibri"/>
                <w:szCs w:val="18"/>
              </w:rPr>
              <w:t>Myanmar / Rakhine Winter Cropping Activity</w:t>
            </w:r>
          </w:p>
        </w:tc>
        <w:tc>
          <w:tcPr>
            <w:tcW w:w="1276" w:type="dxa"/>
            <w:shd w:val="clear" w:color="auto" w:fill="auto"/>
            <w:hideMark/>
          </w:tcPr>
          <w:p w14:paraId="3B40B98C" w14:textId="77777777" w:rsidR="00B71B4E" w:rsidRPr="00BD16B4" w:rsidRDefault="00B71B4E" w:rsidP="00F31129">
            <w:pPr>
              <w:pStyle w:val="TableText"/>
              <w:spacing w:before="40" w:after="40"/>
              <w:jc w:val="center"/>
              <w:rPr>
                <w:rFonts w:cs="Calibri"/>
                <w:szCs w:val="18"/>
              </w:rPr>
            </w:pPr>
            <w:r w:rsidRPr="00BD16B4">
              <w:rPr>
                <w:rFonts w:cs="Calibri"/>
                <w:szCs w:val="18"/>
              </w:rPr>
              <w:t>0.84</w:t>
            </w:r>
          </w:p>
        </w:tc>
        <w:tc>
          <w:tcPr>
            <w:tcW w:w="1345" w:type="dxa"/>
            <w:shd w:val="clear" w:color="auto" w:fill="auto"/>
            <w:noWrap/>
            <w:hideMark/>
          </w:tcPr>
          <w:p w14:paraId="3D1B0A73" w14:textId="77777777" w:rsidR="00B71B4E" w:rsidRPr="00BD16B4" w:rsidRDefault="00B71B4E" w:rsidP="00F31129">
            <w:pPr>
              <w:pStyle w:val="TableText"/>
              <w:spacing w:before="40" w:after="40"/>
              <w:jc w:val="center"/>
              <w:rPr>
                <w:rFonts w:cs="Calibri"/>
                <w:szCs w:val="18"/>
              </w:rPr>
            </w:pPr>
            <w:r w:rsidRPr="00BD16B4">
              <w:rPr>
                <w:rFonts w:cs="Calibri"/>
                <w:szCs w:val="18"/>
              </w:rPr>
              <w:t>0.55</w:t>
            </w:r>
          </w:p>
        </w:tc>
        <w:tc>
          <w:tcPr>
            <w:tcW w:w="1015" w:type="dxa"/>
            <w:shd w:val="clear" w:color="auto" w:fill="auto"/>
            <w:noWrap/>
            <w:hideMark/>
          </w:tcPr>
          <w:p w14:paraId="516CA868"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50857453"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2ACC6620"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7E76A885"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292C00C9"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671E483A" w14:textId="77777777" w:rsidTr="00F31129">
        <w:tc>
          <w:tcPr>
            <w:tcW w:w="5387" w:type="dxa"/>
            <w:shd w:val="clear" w:color="auto" w:fill="auto"/>
            <w:hideMark/>
          </w:tcPr>
          <w:p w14:paraId="2842F752" w14:textId="77777777" w:rsidR="00B71B4E" w:rsidRPr="00BD16B4" w:rsidRDefault="00B71B4E" w:rsidP="00F31129">
            <w:pPr>
              <w:pStyle w:val="TableText"/>
              <w:spacing w:before="40" w:after="40"/>
              <w:rPr>
                <w:rFonts w:cs="Calibri"/>
                <w:szCs w:val="18"/>
              </w:rPr>
            </w:pPr>
            <w:r w:rsidRPr="00BD16B4">
              <w:rPr>
                <w:rFonts w:cs="Calibri"/>
                <w:szCs w:val="18"/>
              </w:rPr>
              <w:t>Indonesia / Innovative Agribusiness</w:t>
            </w:r>
          </w:p>
        </w:tc>
        <w:tc>
          <w:tcPr>
            <w:tcW w:w="1276" w:type="dxa"/>
            <w:shd w:val="clear" w:color="auto" w:fill="auto"/>
            <w:hideMark/>
          </w:tcPr>
          <w:p w14:paraId="2C16DFFA" w14:textId="77777777" w:rsidR="00B71B4E" w:rsidRPr="00BD16B4" w:rsidRDefault="00B71B4E" w:rsidP="00F31129">
            <w:pPr>
              <w:pStyle w:val="TableText"/>
              <w:spacing w:before="40" w:after="40"/>
              <w:jc w:val="center"/>
              <w:rPr>
                <w:rFonts w:cs="Calibri"/>
                <w:szCs w:val="18"/>
              </w:rPr>
            </w:pPr>
            <w:r w:rsidRPr="00BD16B4">
              <w:rPr>
                <w:rFonts w:cs="Calibri"/>
                <w:szCs w:val="18"/>
              </w:rPr>
              <w:t>0.21</w:t>
            </w:r>
          </w:p>
        </w:tc>
        <w:tc>
          <w:tcPr>
            <w:tcW w:w="1345" w:type="dxa"/>
            <w:shd w:val="clear" w:color="auto" w:fill="auto"/>
            <w:noWrap/>
            <w:hideMark/>
          </w:tcPr>
          <w:p w14:paraId="049B55D6" w14:textId="77777777" w:rsidR="00B71B4E" w:rsidRPr="00BD16B4" w:rsidRDefault="00B71B4E" w:rsidP="00F31129">
            <w:pPr>
              <w:pStyle w:val="TableText"/>
              <w:spacing w:before="40" w:after="40"/>
              <w:jc w:val="center"/>
              <w:rPr>
                <w:rFonts w:cs="Calibri"/>
                <w:szCs w:val="18"/>
              </w:rPr>
            </w:pPr>
            <w:r w:rsidRPr="00BD16B4">
              <w:rPr>
                <w:rFonts w:cs="Calibri"/>
                <w:szCs w:val="18"/>
              </w:rPr>
              <w:t>0.14</w:t>
            </w:r>
          </w:p>
        </w:tc>
        <w:tc>
          <w:tcPr>
            <w:tcW w:w="1015" w:type="dxa"/>
            <w:shd w:val="clear" w:color="auto" w:fill="auto"/>
            <w:noWrap/>
            <w:hideMark/>
          </w:tcPr>
          <w:p w14:paraId="5638A851"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569E0065"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681FBC9"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43A5005F"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2C0C18C0"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6C1D7C3E" w14:textId="77777777" w:rsidTr="00F31129">
        <w:tc>
          <w:tcPr>
            <w:tcW w:w="5387" w:type="dxa"/>
            <w:shd w:val="clear" w:color="auto" w:fill="auto"/>
            <w:hideMark/>
          </w:tcPr>
          <w:p w14:paraId="0FC5C80B" w14:textId="77777777" w:rsidR="00B71B4E" w:rsidRPr="00BD16B4" w:rsidRDefault="00B71B4E" w:rsidP="00F31129">
            <w:pPr>
              <w:pStyle w:val="TableText"/>
              <w:spacing w:before="40" w:after="40"/>
              <w:rPr>
                <w:rFonts w:cs="Calibri"/>
                <w:szCs w:val="18"/>
              </w:rPr>
            </w:pPr>
            <w:r w:rsidRPr="00BD16B4">
              <w:rPr>
                <w:rFonts w:cs="Calibri"/>
                <w:szCs w:val="18"/>
              </w:rPr>
              <w:t>Viet Nam / Dam Safety Project</w:t>
            </w:r>
          </w:p>
        </w:tc>
        <w:tc>
          <w:tcPr>
            <w:tcW w:w="1276" w:type="dxa"/>
            <w:shd w:val="clear" w:color="auto" w:fill="auto"/>
            <w:hideMark/>
          </w:tcPr>
          <w:p w14:paraId="319801D9" w14:textId="77777777" w:rsidR="00B71B4E" w:rsidRPr="00BD16B4" w:rsidRDefault="00B71B4E" w:rsidP="00F31129">
            <w:pPr>
              <w:pStyle w:val="TableText"/>
              <w:spacing w:before="40" w:after="40"/>
              <w:jc w:val="center"/>
              <w:rPr>
                <w:rFonts w:cs="Calibri"/>
                <w:szCs w:val="18"/>
              </w:rPr>
            </w:pPr>
            <w:r w:rsidRPr="00BD16B4">
              <w:rPr>
                <w:rFonts w:cs="Calibri"/>
                <w:szCs w:val="18"/>
              </w:rPr>
              <w:t>0.44</w:t>
            </w:r>
          </w:p>
        </w:tc>
        <w:tc>
          <w:tcPr>
            <w:tcW w:w="1345" w:type="dxa"/>
            <w:shd w:val="clear" w:color="auto" w:fill="auto"/>
            <w:noWrap/>
            <w:hideMark/>
          </w:tcPr>
          <w:p w14:paraId="2F8BAFFC" w14:textId="77777777" w:rsidR="00B71B4E" w:rsidRPr="00BD16B4" w:rsidRDefault="00B71B4E" w:rsidP="00F31129">
            <w:pPr>
              <w:pStyle w:val="TableText"/>
              <w:spacing w:before="40" w:after="40"/>
              <w:jc w:val="center"/>
              <w:rPr>
                <w:rFonts w:cs="Calibri"/>
                <w:szCs w:val="18"/>
              </w:rPr>
            </w:pPr>
            <w:r w:rsidRPr="00BD16B4">
              <w:rPr>
                <w:rFonts w:cs="Calibri"/>
                <w:szCs w:val="18"/>
              </w:rPr>
              <w:t>0.29</w:t>
            </w:r>
          </w:p>
        </w:tc>
        <w:tc>
          <w:tcPr>
            <w:tcW w:w="1015" w:type="dxa"/>
            <w:shd w:val="clear" w:color="auto" w:fill="auto"/>
            <w:noWrap/>
            <w:hideMark/>
          </w:tcPr>
          <w:p w14:paraId="1CEB1B55"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02845BFB"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2AC96654"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0B677C90"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1C2254D7" w14:textId="77777777" w:rsidR="00B71B4E" w:rsidRPr="00BD16B4" w:rsidRDefault="00B71B4E" w:rsidP="00F31129">
            <w:pPr>
              <w:pStyle w:val="TableText"/>
              <w:spacing w:before="40" w:after="40"/>
              <w:rPr>
                <w:rFonts w:cs="Calibri"/>
                <w:szCs w:val="18"/>
              </w:rPr>
            </w:pPr>
            <w:r w:rsidRPr="00BD16B4">
              <w:rPr>
                <w:rFonts w:cs="Calibri"/>
                <w:szCs w:val="18"/>
              </w:rPr>
              <w:t>Humanitarian</w:t>
            </w:r>
          </w:p>
        </w:tc>
      </w:tr>
      <w:tr w:rsidR="00B71B4E" w:rsidRPr="00BD16B4" w14:paraId="120EF1B3" w14:textId="77777777" w:rsidTr="00F31129">
        <w:tc>
          <w:tcPr>
            <w:tcW w:w="5387" w:type="dxa"/>
            <w:shd w:val="clear" w:color="auto" w:fill="auto"/>
            <w:hideMark/>
          </w:tcPr>
          <w:p w14:paraId="423442F2" w14:textId="77777777" w:rsidR="00B71B4E" w:rsidRPr="00BD16B4" w:rsidRDefault="00B71B4E" w:rsidP="00F31129">
            <w:pPr>
              <w:pStyle w:val="TableText"/>
              <w:spacing w:before="40" w:after="40"/>
              <w:rPr>
                <w:rFonts w:cs="Calibri"/>
                <w:szCs w:val="18"/>
              </w:rPr>
            </w:pPr>
            <w:r w:rsidRPr="00BD16B4">
              <w:rPr>
                <w:rFonts w:cs="Calibri"/>
                <w:szCs w:val="18"/>
              </w:rPr>
              <w:t>Indonesia / Accelerating Geothermal Development</w:t>
            </w:r>
          </w:p>
        </w:tc>
        <w:tc>
          <w:tcPr>
            <w:tcW w:w="1276" w:type="dxa"/>
            <w:shd w:val="clear" w:color="auto" w:fill="auto"/>
            <w:hideMark/>
          </w:tcPr>
          <w:p w14:paraId="69F91175" w14:textId="77777777" w:rsidR="00B71B4E" w:rsidRPr="00BD16B4" w:rsidRDefault="00B71B4E" w:rsidP="00F31129">
            <w:pPr>
              <w:pStyle w:val="TableText"/>
              <w:spacing w:before="40" w:after="40"/>
              <w:jc w:val="center"/>
              <w:rPr>
                <w:rFonts w:cs="Calibri"/>
                <w:szCs w:val="18"/>
              </w:rPr>
            </w:pPr>
            <w:r w:rsidRPr="00BD16B4">
              <w:rPr>
                <w:rFonts w:cs="Calibri"/>
                <w:szCs w:val="18"/>
              </w:rPr>
              <w:t>0.41</w:t>
            </w:r>
          </w:p>
        </w:tc>
        <w:tc>
          <w:tcPr>
            <w:tcW w:w="1345" w:type="dxa"/>
            <w:shd w:val="clear" w:color="auto" w:fill="auto"/>
            <w:noWrap/>
            <w:hideMark/>
          </w:tcPr>
          <w:p w14:paraId="131FA3A7" w14:textId="77777777" w:rsidR="00B71B4E" w:rsidRPr="00BD16B4" w:rsidRDefault="00B71B4E" w:rsidP="00F31129">
            <w:pPr>
              <w:pStyle w:val="TableText"/>
              <w:spacing w:before="40" w:after="40"/>
              <w:jc w:val="center"/>
              <w:rPr>
                <w:rFonts w:cs="Calibri"/>
                <w:szCs w:val="18"/>
              </w:rPr>
            </w:pPr>
            <w:r w:rsidRPr="00BD16B4">
              <w:rPr>
                <w:rFonts w:cs="Calibri"/>
                <w:szCs w:val="18"/>
              </w:rPr>
              <w:t>0.27</w:t>
            </w:r>
          </w:p>
        </w:tc>
        <w:tc>
          <w:tcPr>
            <w:tcW w:w="1015" w:type="dxa"/>
            <w:shd w:val="clear" w:color="auto" w:fill="auto"/>
            <w:noWrap/>
            <w:hideMark/>
          </w:tcPr>
          <w:p w14:paraId="3FD5F198"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0DA22957"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2118AF45"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4B08BA8A" w14:textId="77777777" w:rsidR="00B71B4E" w:rsidRPr="00BD16B4" w:rsidRDefault="00B71B4E" w:rsidP="00F31129">
            <w:pPr>
              <w:pStyle w:val="TableText"/>
              <w:spacing w:before="40" w:after="40"/>
              <w:rPr>
                <w:rFonts w:cs="Calibri"/>
                <w:szCs w:val="18"/>
              </w:rPr>
            </w:pPr>
            <w:r w:rsidRPr="00BD16B4">
              <w:rPr>
                <w:rFonts w:cs="Calibri"/>
                <w:szCs w:val="18"/>
              </w:rPr>
              <w:t>Mitigation</w:t>
            </w:r>
          </w:p>
        </w:tc>
        <w:tc>
          <w:tcPr>
            <w:tcW w:w="2335" w:type="dxa"/>
            <w:shd w:val="clear" w:color="auto" w:fill="auto"/>
            <w:noWrap/>
            <w:hideMark/>
          </w:tcPr>
          <w:p w14:paraId="28E91D1F"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412AE739" w14:textId="77777777" w:rsidTr="00F31129">
        <w:tc>
          <w:tcPr>
            <w:tcW w:w="5387" w:type="dxa"/>
            <w:shd w:val="clear" w:color="auto" w:fill="auto"/>
            <w:hideMark/>
          </w:tcPr>
          <w:p w14:paraId="625B25C9" w14:textId="77777777" w:rsidR="00B71B4E" w:rsidRPr="00BD16B4" w:rsidRDefault="00B71B4E" w:rsidP="00F31129">
            <w:pPr>
              <w:pStyle w:val="TableText"/>
              <w:spacing w:before="40" w:after="40"/>
              <w:rPr>
                <w:rFonts w:cs="Calibri"/>
                <w:szCs w:val="18"/>
              </w:rPr>
            </w:pPr>
            <w:r w:rsidRPr="00BD16B4">
              <w:rPr>
                <w:rFonts w:cs="Calibri"/>
                <w:szCs w:val="18"/>
              </w:rPr>
              <w:t>Indonesia / Improving Energy Access in Maluku</w:t>
            </w:r>
          </w:p>
        </w:tc>
        <w:tc>
          <w:tcPr>
            <w:tcW w:w="1276" w:type="dxa"/>
            <w:shd w:val="clear" w:color="auto" w:fill="auto"/>
            <w:hideMark/>
          </w:tcPr>
          <w:p w14:paraId="5DC56DFA" w14:textId="77777777" w:rsidR="00B71B4E" w:rsidRPr="00BD16B4" w:rsidRDefault="00B71B4E" w:rsidP="00F31129">
            <w:pPr>
              <w:pStyle w:val="TableText"/>
              <w:spacing w:before="40" w:after="40"/>
              <w:jc w:val="center"/>
              <w:rPr>
                <w:rFonts w:cs="Calibri"/>
                <w:szCs w:val="18"/>
              </w:rPr>
            </w:pPr>
            <w:r w:rsidRPr="00BD16B4">
              <w:rPr>
                <w:rFonts w:cs="Calibri"/>
                <w:szCs w:val="18"/>
              </w:rPr>
              <w:t>0.42</w:t>
            </w:r>
          </w:p>
        </w:tc>
        <w:tc>
          <w:tcPr>
            <w:tcW w:w="1345" w:type="dxa"/>
            <w:shd w:val="clear" w:color="auto" w:fill="auto"/>
            <w:noWrap/>
            <w:hideMark/>
          </w:tcPr>
          <w:p w14:paraId="7A19077A" w14:textId="77777777" w:rsidR="00B71B4E" w:rsidRPr="00BD16B4" w:rsidRDefault="00B71B4E" w:rsidP="00F31129">
            <w:pPr>
              <w:pStyle w:val="TableText"/>
              <w:spacing w:before="40" w:after="40"/>
              <w:jc w:val="center"/>
              <w:rPr>
                <w:rFonts w:cs="Calibri"/>
                <w:szCs w:val="18"/>
              </w:rPr>
            </w:pPr>
            <w:r w:rsidRPr="00BD16B4">
              <w:rPr>
                <w:rFonts w:cs="Calibri"/>
                <w:szCs w:val="18"/>
              </w:rPr>
              <w:t>0.28</w:t>
            </w:r>
          </w:p>
        </w:tc>
        <w:tc>
          <w:tcPr>
            <w:tcW w:w="1015" w:type="dxa"/>
            <w:shd w:val="clear" w:color="auto" w:fill="auto"/>
            <w:noWrap/>
            <w:hideMark/>
          </w:tcPr>
          <w:p w14:paraId="2D40D699"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2B75680D"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5225849A"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045CE589" w14:textId="77777777" w:rsidR="00B71B4E" w:rsidRPr="00BD16B4" w:rsidRDefault="00B71B4E" w:rsidP="00F31129">
            <w:pPr>
              <w:pStyle w:val="TableText"/>
              <w:spacing w:before="40" w:after="40"/>
              <w:rPr>
                <w:rFonts w:cs="Calibri"/>
                <w:szCs w:val="18"/>
              </w:rPr>
            </w:pPr>
            <w:r w:rsidRPr="00BD16B4">
              <w:rPr>
                <w:rFonts w:cs="Calibri"/>
                <w:szCs w:val="18"/>
              </w:rPr>
              <w:t>Mitigation</w:t>
            </w:r>
          </w:p>
        </w:tc>
        <w:tc>
          <w:tcPr>
            <w:tcW w:w="2335" w:type="dxa"/>
            <w:shd w:val="clear" w:color="auto" w:fill="auto"/>
            <w:noWrap/>
            <w:hideMark/>
          </w:tcPr>
          <w:p w14:paraId="7ADE6739"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06F4F7F0" w14:textId="77777777" w:rsidTr="00F31129">
        <w:tc>
          <w:tcPr>
            <w:tcW w:w="5387" w:type="dxa"/>
            <w:shd w:val="clear" w:color="auto" w:fill="auto"/>
            <w:hideMark/>
          </w:tcPr>
          <w:p w14:paraId="25F556BE" w14:textId="77777777" w:rsidR="00B71B4E" w:rsidRPr="00BD16B4" w:rsidRDefault="00B71B4E" w:rsidP="00F31129">
            <w:pPr>
              <w:pStyle w:val="TableText"/>
              <w:spacing w:before="40" w:after="40"/>
              <w:rPr>
                <w:rFonts w:cs="Calibri"/>
                <w:szCs w:val="18"/>
              </w:rPr>
            </w:pPr>
            <w:r w:rsidRPr="00BD16B4">
              <w:rPr>
                <w:rFonts w:cs="Calibri"/>
                <w:szCs w:val="18"/>
              </w:rPr>
              <w:t>Myanmar / Matupi Sustainable Rural Economic Development (SURE)</w:t>
            </w:r>
          </w:p>
        </w:tc>
        <w:tc>
          <w:tcPr>
            <w:tcW w:w="1276" w:type="dxa"/>
            <w:shd w:val="clear" w:color="auto" w:fill="auto"/>
            <w:hideMark/>
          </w:tcPr>
          <w:p w14:paraId="500D731E" w14:textId="77777777" w:rsidR="00B71B4E" w:rsidRPr="00BD16B4" w:rsidRDefault="00B71B4E" w:rsidP="00F31129">
            <w:pPr>
              <w:pStyle w:val="TableText"/>
              <w:spacing w:before="40" w:after="40"/>
              <w:jc w:val="center"/>
              <w:rPr>
                <w:rFonts w:cs="Calibri"/>
                <w:szCs w:val="18"/>
              </w:rPr>
            </w:pPr>
            <w:r w:rsidRPr="00BD16B4">
              <w:rPr>
                <w:rFonts w:cs="Calibri"/>
                <w:szCs w:val="18"/>
              </w:rPr>
              <w:t>0.19</w:t>
            </w:r>
          </w:p>
        </w:tc>
        <w:tc>
          <w:tcPr>
            <w:tcW w:w="1345" w:type="dxa"/>
            <w:shd w:val="clear" w:color="auto" w:fill="auto"/>
            <w:noWrap/>
            <w:hideMark/>
          </w:tcPr>
          <w:p w14:paraId="2F06134D" w14:textId="77777777" w:rsidR="00B71B4E" w:rsidRPr="00BD16B4" w:rsidRDefault="00B71B4E" w:rsidP="00F31129">
            <w:pPr>
              <w:pStyle w:val="TableText"/>
              <w:spacing w:before="40" w:after="40"/>
              <w:jc w:val="center"/>
              <w:rPr>
                <w:rFonts w:cs="Calibri"/>
                <w:szCs w:val="18"/>
              </w:rPr>
            </w:pPr>
            <w:r w:rsidRPr="00BD16B4">
              <w:rPr>
                <w:rFonts w:cs="Calibri"/>
                <w:szCs w:val="18"/>
              </w:rPr>
              <w:t>0.12</w:t>
            </w:r>
          </w:p>
        </w:tc>
        <w:tc>
          <w:tcPr>
            <w:tcW w:w="1015" w:type="dxa"/>
            <w:shd w:val="clear" w:color="auto" w:fill="auto"/>
            <w:noWrap/>
            <w:hideMark/>
          </w:tcPr>
          <w:p w14:paraId="171F3CCE"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246C576C"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6B6280A1"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CED9BBF"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027CC096"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287EB414" w14:textId="77777777" w:rsidTr="00F31129">
        <w:tc>
          <w:tcPr>
            <w:tcW w:w="5387" w:type="dxa"/>
            <w:shd w:val="clear" w:color="auto" w:fill="auto"/>
            <w:hideMark/>
          </w:tcPr>
          <w:p w14:paraId="7ED86390" w14:textId="77777777" w:rsidR="00B71B4E" w:rsidRPr="00BD16B4" w:rsidRDefault="00B71B4E" w:rsidP="00F31129">
            <w:pPr>
              <w:pStyle w:val="TableText"/>
              <w:spacing w:before="40" w:after="40"/>
              <w:rPr>
                <w:rFonts w:cs="Calibri"/>
                <w:szCs w:val="18"/>
              </w:rPr>
            </w:pPr>
            <w:r w:rsidRPr="00BD16B4">
              <w:rPr>
                <w:rFonts w:cs="Calibri"/>
                <w:szCs w:val="18"/>
              </w:rPr>
              <w:t>Indonesia / Supporting Geothermal Sector Training</w:t>
            </w:r>
          </w:p>
        </w:tc>
        <w:tc>
          <w:tcPr>
            <w:tcW w:w="1276" w:type="dxa"/>
            <w:shd w:val="clear" w:color="auto" w:fill="auto"/>
            <w:hideMark/>
          </w:tcPr>
          <w:p w14:paraId="4E70970B" w14:textId="77777777" w:rsidR="00B71B4E" w:rsidRPr="00BD16B4" w:rsidRDefault="00B71B4E" w:rsidP="00F31129">
            <w:pPr>
              <w:pStyle w:val="TableText"/>
              <w:spacing w:before="40" w:after="40"/>
              <w:jc w:val="center"/>
              <w:rPr>
                <w:rFonts w:cs="Calibri"/>
                <w:szCs w:val="18"/>
              </w:rPr>
            </w:pPr>
            <w:r w:rsidRPr="00BD16B4">
              <w:rPr>
                <w:rFonts w:cs="Calibri"/>
                <w:szCs w:val="18"/>
              </w:rPr>
              <w:t>0.69</w:t>
            </w:r>
          </w:p>
        </w:tc>
        <w:tc>
          <w:tcPr>
            <w:tcW w:w="1345" w:type="dxa"/>
            <w:shd w:val="clear" w:color="auto" w:fill="auto"/>
            <w:noWrap/>
            <w:hideMark/>
          </w:tcPr>
          <w:p w14:paraId="505F68C5" w14:textId="77777777" w:rsidR="00B71B4E" w:rsidRPr="00BD16B4" w:rsidRDefault="00B71B4E" w:rsidP="00F31129">
            <w:pPr>
              <w:pStyle w:val="TableText"/>
              <w:spacing w:before="40" w:after="40"/>
              <w:jc w:val="center"/>
              <w:rPr>
                <w:rFonts w:cs="Calibri"/>
                <w:szCs w:val="18"/>
              </w:rPr>
            </w:pPr>
            <w:r w:rsidRPr="00BD16B4">
              <w:rPr>
                <w:rFonts w:cs="Calibri"/>
                <w:szCs w:val="18"/>
              </w:rPr>
              <w:t>0.46</w:t>
            </w:r>
          </w:p>
        </w:tc>
        <w:tc>
          <w:tcPr>
            <w:tcW w:w="1015" w:type="dxa"/>
            <w:shd w:val="clear" w:color="auto" w:fill="auto"/>
            <w:noWrap/>
            <w:hideMark/>
          </w:tcPr>
          <w:p w14:paraId="77433D5B"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6995CC8F"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32D57792"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4258EBEA" w14:textId="77777777" w:rsidR="00B71B4E" w:rsidRPr="00BD16B4" w:rsidRDefault="00B71B4E" w:rsidP="00F31129">
            <w:pPr>
              <w:pStyle w:val="TableText"/>
              <w:spacing w:before="40" w:after="40"/>
              <w:rPr>
                <w:rFonts w:cs="Calibri"/>
                <w:szCs w:val="18"/>
              </w:rPr>
            </w:pPr>
            <w:r w:rsidRPr="00BD16B4">
              <w:rPr>
                <w:rFonts w:cs="Calibri"/>
                <w:szCs w:val="18"/>
              </w:rPr>
              <w:t>Mitigation</w:t>
            </w:r>
          </w:p>
        </w:tc>
        <w:tc>
          <w:tcPr>
            <w:tcW w:w="2335" w:type="dxa"/>
            <w:shd w:val="clear" w:color="auto" w:fill="auto"/>
            <w:noWrap/>
            <w:hideMark/>
          </w:tcPr>
          <w:p w14:paraId="685F3B9C"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7E8D80AC" w14:textId="77777777" w:rsidTr="00F31129">
        <w:tc>
          <w:tcPr>
            <w:tcW w:w="5387" w:type="dxa"/>
            <w:shd w:val="clear" w:color="auto" w:fill="auto"/>
            <w:hideMark/>
          </w:tcPr>
          <w:p w14:paraId="1FCF2607" w14:textId="77777777" w:rsidR="00B71B4E" w:rsidRPr="00BD16B4" w:rsidRDefault="00B71B4E" w:rsidP="00F31129">
            <w:pPr>
              <w:pStyle w:val="TableText"/>
              <w:spacing w:before="40" w:after="40"/>
              <w:rPr>
                <w:rFonts w:cs="Calibri"/>
                <w:szCs w:val="18"/>
              </w:rPr>
            </w:pPr>
            <w:r w:rsidRPr="00BD16B4">
              <w:rPr>
                <w:rFonts w:cs="Calibri"/>
                <w:szCs w:val="18"/>
              </w:rPr>
              <w:t>Indonesia / Better Warehousing</w:t>
            </w:r>
          </w:p>
        </w:tc>
        <w:tc>
          <w:tcPr>
            <w:tcW w:w="1276" w:type="dxa"/>
            <w:shd w:val="clear" w:color="auto" w:fill="auto"/>
            <w:hideMark/>
          </w:tcPr>
          <w:p w14:paraId="68F2AE50" w14:textId="77777777" w:rsidR="00B71B4E" w:rsidRPr="00BD16B4" w:rsidRDefault="00B71B4E" w:rsidP="00F31129">
            <w:pPr>
              <w:pStyle w:val="TableText"/>
              <w:spacing w:before="40" w:after="40"/>
              <w:jc w:val="center"/>
              <w:rPr>
                <w:rFonts w:cs="Calibri"/>
                <w:szCs w:val="18"/>
              </w:rPr>
            </w:pPr>
            <w:r w:rsidRPr="00BD16B4">
              <w:rPr>
                <w:rFonts w:cs="Calibri"/>
                <w:szCs w:val="18"/>
              </w:rPr>
              <w:t>0.39</w:t>
            </w:r>
          </w:p>
        </w:tc>
        <w:tc>
          <w:tcPr>
            <w:tcW w:w="1345" w:type="dxa"/>
            <w:shd w:val="clear" w:color="auto" w:fill="auto"/>
            <w:noWrap/>
            <w:hideMark/>
          </w:tcPr>
          <w:p w14:paraId="41160FC0" w14:textId="77777777" w:rsidR="00B71B4E" w:rsidRPr="00BD16B4" w:rsidRDefault="00B71B4E" w:rsidP="00F31129">
            <w:pPr>
              <w:pStyle w:val="TableText"/>
              <w:spacing w:before="40" w:after="40"/>
              <w:jc w:val="center"/>
              <w:rPr>
                <w:rFonts w:cs="Calibri"/>
                <w:szCs w:val="18"/>
              </w:rPr>
            </w:pPr>
            <w:r w:rsidRPr="00BD16B4">
              <w:rPr>
                <w:rFonts w:cs="Calibri"/>
                <w:szCs w:val="18"/>
              </w:rPr>
              <w:t>0.26</w:t>
            </w:r>
          </w:p>
        </w:tc>
        <w:tc>
          <w:tcPr>
            <w:tcW w:w="1015" w:type="dxa"/>
            <w:shd w:val="clear" w:color="auto" w:fill="auto"/>
            <w:noWrap/>
            <w:hideMark/>
          </w:tcPr>
          <w:p w14:paraId="066706AE"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3977F117"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4968DBD1"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56C5C04F"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7B6F794D" w14:textId="77777777" w:rsidR="00B71B4E" w:rsidRPr="00BD16B4" w:rsidRDefault="00B71B4E" w:rsidP="00F31129">
            <w:pPr>
              <w:pStyle w:val="TableText"/>
              <w:spacing w:before="40" w:after="40"/>
              <w:rPr>
                <w:rFonts w:cs="Calibri"/>
                <w:szCs w:val="18"/>
              </w:rPr>
            </w:pPr>
            <w:r w:rsidRPr="00BD16B4">
              <w:rPr>
                <w:rFonts w:cs="Calibri"/>
                <w:szCs w:val="18"/>
              </w:rPr>
              <w:t>Humanitarian</w:t>
            </w:r>
          </w:p>
        </w:tc>
      </w:tr>
      <w:tr w:rsidR="00B71B4E" w:rsidRPr="00BD16B4" w14:paraId="11A08940" w14:textId="77777777" w:rsidTr="00F31129">
        <w:tc>
          <w:tcPr>
            <w:tcW w:w="5387" w:type="dxa"/>
            <w:shd w:val="clear" w:color="auto" w:fill="auto"/>
            <w:hideMark/>
          </w:tcPr>
          <w:p w14:paraId="158E3083" w14:textId="77777777" w:rsidR="00B71B4E" w:rsidRPr="00BD16B4" w:rsidRDefault="00B71B4E" w:rsidP="00F31129">
            <w:pPr>
              <w:pStyle w:val="TableText"/>
              <w:spacing w:before="40" w:after="40"/>
              <w:rPr>
                <w:rFonts w:cs="Calibri"/>
                <w:szCs w:val="18"/>
              </w:rPr>
            </w:pPr>
            <w:r w:rsidRPr="00BD16B4">
              <w:rPr>
                <w:rFonts w:cs="Calibri"/>
                <w:szCs w:val="18"/>
              </w:rPr>
              <w:t>Myanmar / Dairy Industry and Veterinary Training</w:t>
            </w:r>
          </w:p>
        </w:tc>
        <w:tc>
          <w:tcPr>
            <w:tcW w:w="1276" w:type="dxa"/>
            <w:shd w:val="clear" w:color="auto" w:fill="auto"/>
            <w:hideMark/>
          </w:tcPr>
          <w:p w14:paraId="0AE7C5F8" w14:textId="77777777" w:rsidR="00B71B4E" w:rsidRPr="00BD16B4" w:rsidRDefault="00B71B4E" w:rsidP="00F31129">
            <w:pPr>
              <w:pStyle w:val="TableText"/>
              <w:spacing w:before="40" w:after="40"/>
              <w:jc w:val="center"/>
              <w:rPr>
                <w:rFonts w:cs="Calibri"/>
                <w:szCs w:val="18"/>
              </w:rPr>
            </w:pPr>
            <w:r w:rsidRPr="00BD16B4">
              <w:rPr>
                <w:rFonts w:cs="Calibri"/>
                <w:szCs w:val="18"/>
              </w:rPr>
              <w:t>0.27</w:t>
            </w:r>
          </w:p>
        </w:tc>
        <w:tc>
          <w:tcPr>
            <w:tcW w:w="1345" w:type="dxa"/>
            <w:shd w:val="clear" w:color="auto" w:fill="auto"/>
            <w:noWrap/>
            <w:hideMark/>
          </w:tcPr>
          <w:p w14:paraId="78A26D4B" w14:textId="77777777" w:rsidR="00B71B4E" w:rsidRPr="00BD16B4" w:rsidRDefault="00B71B4E" w:rsidP="00F31129">
            <w:pPr>
              <w:pStyle w:val="TableText"/>
              <w:spacing w:before="40" w:after="40"/>
              <w:jc w:val="center"/>
              <w:rPr>
                <w:rFonts w:cs="Calibri"/>
                <w:szCs w:val="18"/>
              </w:rPr>
            </w:pPr>
            <w:r w:rsidRPr="00BD16B4">
              <w:rPr>
                <w:rFonts w:cs="Calibri"/>
                <w:szCs w:val="18"/>
              </w:rPr>
              <w:t>0.18</w:t>
            </w:r>
          </w:p>
        </w:tc>
        <w:tc>
          <w:tcPr>
            <w:tcW w:w="1015" w:type="dxa"/>
            <w:shd w:val="clear" w:color="auto" w:fill="auto"/>
            <w:noWrap/>
            <w:hideMark/>
          </w:tcPr>
          <w:p w14:paraId="0A47CAEA"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7F401F70"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5A0300E0"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40456E83"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42AD68F6"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0617F143" w14:textId="77777777" w:rsidTr="00F31129">
        <w:tc>
          <w:tcPr>
            <w:tcW w:w="5387" w:type="dxa"/>
            <w:shd w:val="clear" w:color="auto" w:fill="auto"/>
            <w:hideMark/>
          </w:tcPr>
          <w:p w14:paraId="56BE1498" w14:textId="77777777" w:rsidR="00B71B4E" w:rsidRPr="00BD16B4" w:rsidRDefault="00B71B4E" w:rsidP="00F31129">
            <w:pPr>
              <w:pStyle w:val="TableText"/>
              <w:spacing w:before="40" w:after="40"/>
              <w:rPr>
                <w:rFonts w:cs="Calibri"/>
                <w:szCs w:val="18"/>
              </w:rPr>
            </w:pPr>
            <w:r w:rsidRPr="00BD16B4">
              <w:rPr>
                <w:rFonts w:cs="Calibri"/>
                <w:szCs w:val="18"/>
              </w:rPr>
              <w:t>Asia Regional / Lao PDR and Cambodia Renewable Energy Facility</w:t>
            </w:r>
          </w:p>
        </w:tc>
        <w:tc>
          <w:tcPr>
            <w:tcW w:w="1276" w:type="dxa"/>
            <w:shd w:val="clear" w:color="auto" w:fill="auto"/>
            <w:hideMark/>
          </w:tcPr>
          <w:p w14:paraId="5528FBD6" w14:textId="77777777" w:rsidR="00B71B4E" w:rsidRPr="00BD16B4" w:rsidRDefault="00B71B4E" w:rsidP="00F31129">
            <w:pPr>
              <w:pStyle w:val="TableText"/>
              <w:spacing w:before="40" w:after="40"/>
              <w:jc w:val="center"/>
              <w:rPr>
                <w:rFonts w:cs="Calibri"/>
                <w:szCs w:val="18"/>
              </w:rPr>
            </w:pPr>
            <w:r w:rsidRPr="00BD16B4">
              <w:rPr>
                <w:rFonts w:cs="Calibri"/>
                <w:szCs w:val="18"/>
              </w:rPr>
              <w:t>1.58</w:t>
            </w:r>
          </w:p>
        </w:tc>
        <w:tc>
          <w:tcPr>
            <w:tcW w:w="1345" w:type="dxa"/>
            <w:shd w:val="clear" w:color="auto" w:fill="auto"/>
            <w:noWrap/>
            <w:hideMark/>
          </w:tcPr>
          <w:p w14:paraId="20521ACF" w14:textId="77777777" w:rsidR="00B71B4E" w:rsidRPr="00BD16B4" w:rsidRDefault="00B71B4E" w:rsidP="00F31129">
            <w:pPr>
              <w:pStyle w:val="TableText"/>
              <w:spacing w:before="40" w:after="40"/>
              <w:jc w:val="center"/>
              <w:rPr>
                <w:rFonts w:cs="Calibri"/>
                <w:szCs w:val="18"/>
              </w:rPr>
            </w:pPr>
            <w:r w:rsidRPr="00BD16B4">
              <w:rPr>
                <w:rFonts w:cs="Calibri"/>
                <w:szCs w:val="18"/>
              </w:rPr>
              <w:t>1.04</w:t>
            </w:r>
          </w:p>
        </w:tc>
        <w:tc>
          <w:tcPr>
            <w:tcW w:w="1015" w:type="dxa"/>
            <w:shd w:val="clear" w:color="auto" w:fill="auto"/>
            <w:noWrap/>
            <w:hideMark/>
          </w:tcPr>
          <w:p w14:paraId="08DB376B"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5CE9AA88"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B40191F"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5107B73"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545CC5AA"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59F0C7BA" w14:textId="77777777" w:rsidTr="00F31129">
        <w:tc>
          <w:tcPr>
            <w:tcW w:w="5387" w:type="dxa"/>
            <w:shd w:val="clear" w:color="auto" w:fill="auto"/>
            <w:hideMark/>
          </w:tcPr>
          <w:p w14:paraId="5F8F5D65" w14:textId="77777777" w:rsidR="00B71B4E" w:rsidRPr="00BD16B4" w:rsidRDefault="00B71B4E" w:rsidP="00F31129">
            <w:pPr>
              <w:pStyle w:val="TableText"/>
              <w:spacing w:before="40" w:after="40"/>
              <w:rPr>
                <w:rFonts w:cs="Calibri"/>
                <w:szCs w:val="18"/>
              </w:rPr>
            </w:pPr>
            <w:r w:rsidRPr="00BD16B4">
              <w:rPr>
                <w:rFonts w:cs="Calibri"/>
                <w:szCs w:val="18"/>
              </w:rPr>
              <w:t>Lao PDR / Quality Beef Initiative</w:t>
            </w:r>
          </w:p>
        </w:tc>
        <w:tc>
          <w:tcPr>
            <w:tcW w:w="1276" w:type="dxa"/>
            <w:shd w:val="clear" w:color="auto" w:fill="auto"/>
            <w:hideMark/>
          </w:tcPr>
          <w:p w14:paraId="19FEE587" w14:textId="77777777" w:rsidR="00B71B4E" w:rsidRPr="00BD16B4" w:rsidRDefault="00B71B4E" w:rsidP="00F31129">
            <w:pPr>
              <w:pStyle w:val="TableText"/>
              <w:spacing w:before="40" w:after="40"/>
              <w:jc w:val="center"/>
              <w:rPr>
                <w:rFonts w:cs="Calibri"/>
                <w:szCs w:val="18"/>
              </w:rPr>
            </w:pPr>
            <w:r w:rsidRPr="00BD16B4">
              <w:rPr>
                <w:rFonts w:cs="Calibri"/>
                <w:szCs w:val="18"/>
              </w:rPr>
              <w:t>0.35</w:t>
            </w:r>
          </w:p>
        </w:tc>
        <w:tc>
          <w:tcPr>
            <w:tcW w:w="1345" w:type="dxa"/>
            <w:shd w:val="clear" w:color="auto" w:fill="auto"/>
            <w:noWrap/>
            <w:hideMark/>
          </w:tcPr>
          <w:p w14:paraId="62B82CDB" w14:textId="77777777" w:rsidR="00B71B4E" w:rsidRPr="00BD16B4" w:rsidRDefault="00B71B4E" w:rsidP="00F31129">
            <w:pPr>
              <w:pStyle w:val="TableText"/>
              <w:spacing w:before="40" w:after="40"/>
              <w:jc w:val="center"/>
              <w:rPr>
                <w:rFonts w:cs="Calibri"/>
                <w:szCs w:val="18"/>
              </w:rPr>
            </w:pPr>
            <w:r w:rsidRPr="00BD16B4">
              <w:rPr>
                <w:rFonts w:cs="Calibri"/>
                <w:szCs w:val="18"/>
              </w:rPr>
              <w:t>0.23</w:t>
            </w:r>
          </w:p>
        </w:tc>
        <w:tc>
          <w:tcPr>
            <w:tcW w:w="1015" w:type="dxa"/>
            <w:shd w:val="clear" w:color="auto" w:fill="auto"/>
            <w:noWrap/>
            <w:hideMark/>
          </w:tcPr>
          <w:p w14:paraId="4E9DABF8"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11DB1DD7"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1E14854B"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144A4CF7"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0177547C"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7BCEFCE9" w14:textId="77777777" w:rsidTr="00F31129">
        <w:tc>
          <w:tcPr>
            <w:tcW w:w="5387" w:type="dxa"/>
            <w:shd w:val="clear" w:color="auto" w:fill="auto"/>
            <w:hideMark/>
          </w:tcPr>
          <w:p w14:paraId="052B0AA2" w14:textId="77777777" w:rsidR="00B71B4E" w:rsidRPr="00BD16B4" w:rsidRDefault="00B71B4E" w:rsidP="00F31129">
            <w:pPr>
              <w:pStyle w:val="TableText"/>
              <w:spacing w:before="40" w:after="40"/>
              <w:rPr>
                <w:rFonts w:cs="Calibri"/>
                <w:szCs w:val="18"/>
              </w:rPr>
            </w:pPr>
            <w:r w:rsidRPr="00BD16B4">
              <w:rPr>
                <w:rFonts w:cs="Calibri"/>
                <w:szCs w:val="18"/>
              </w:rPr>
              <w:t>Cambodia / Quality Horticulture Initiative</w:t>
            </w:r>
          </w:p>
        </w:tc>
        <w:tc>
          <w:tcPr>
            <w:tcW w:w="1276" w:type="dxa"/>
            <w:shd w:val="clear" w:color="auto" w:fill="auto"/>
            <w:hideMark/>
          </w:tcPr>
          <w:p w14:paraId="5F43A28B" w14:textId="77777777" w:rsidR="00B71B4E" w:rsidRPr="00BD16B4" w:rsidRDefault="00B71B4E" w:rsidP="00F31129">
            <w:pPr>
              <w:pStyle w:val="TableText"/>
              <w:spacing w:before="40" w:after="40"/>
              <w:jc w:val="center"/>
              <w:rPr>
                <w:rFonts w:cs="Calibri"/>
                <w:szCs w:val="18"/>
              </w:rPr>
            </w:pPr>
            <w:r w:rsidRPr="00BD16B4">
              <w:rPr>
                <w:rFonts w:cs="Calibri"/>
                <w:szCs w:val="18"/>
              </w:rPr>
              <w:t>0.37</w:t>
            </w:r>
          </w:p>
        </w:tc>
        <w:tc>
          <w:tcPr>
            <w:tcW w:w="1345" w:type="dxa"/>
            <w:shd w:val="clear" w:color="auto" w:fill="auto"/>
            <w:noWrap/>
            <w:hideMark/>
          </w:tcPr>
          <w:p w14:paraId="40BFA974" w14:textId="77777777" w:rsidR="00B71B4E" w:rsidRPr="00BD16B4" w:rsidRDefault="00B71B4E" w:rsidP="00F31129">
            <w:pPr>
              <w:pStyle w:val="TableText"/>
              <w:spacing w:before="40" w:after="40"/>
              <w:jc w:val="center"/>
              <w:rPr>
                <w:rFonts w:cs="Calibri"/>
                <w:szCs w:val="18"/>
              </w:rPr>
            </w:pPr>
            <w:r w:rsidRPr="00BD16B4">
              <w:rPr>
                <w:rFonts w:cs="Calibri"/>
                <w:szCs w:val="18"/>
              </w:rPr>
              <w:t>0.24</w:t>
            </w:r>
          </w:p>
        </w:tc>
        <w:tc>
          <w:tcPr>
            <w:tcW w:w="1015" w:type="dxa"/>
            <w:shd w:val="clear" w:color="auto" w:fill="auto"/>
            <w:noWrap/>
            <w:hideMark/>
          </w:tcPr>
          <w:p w14:paraId="13D4A3C1"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5F9AEA12"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55128EE7"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44011001"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77CFD944"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7912B0A0" w14:textId="77777777" w:rsidTr="00F31129">
        <w:tc>
          <w:tcPr>
            <w:tcW w:w="5387" w:type="dxa"/>
            <w:shd w:val="clear" w:color="auto" w:fill="auto"/>
            <w:hideMark/>
          </w:tcPr>
          <w:p w14:paraId="4EC9768C" w14:textId="77777777" w:rsidR="00B71B4E" w:rsidRPr="00BD16B4" w:rsidRDefault="00B71B4E" w:rsidP="00F31129">
            <w:pPr>
              <w:pStyle w:val="TableText"/>
              <w:spacing w:before="40" w:after="40"/>
              <w:rPr>
                <w:rFonts w:cs="Calibri"/>
                <w:szCs w:val="18"/>
              </w:rPr>
            </w:pPr>
            <w:r w:rsidRPr="00BD16B4">
              <w:rPr>
                <w:rFonts w:cs="Calibri"/>
                <w:szCs w:val="18"/>
              </w:rPr>
              <w:t>Myanmar / Better Warehousing and Logistics</w:t>
            </w:r>
          </w:p>
        </w:tc>
        <w:tc>
          <w:tcPr>
            <w:tcW w:w="1276" w:type="dxa"/>
            <w:shd w:val="clear" w:color="auto" w:fill="auto"/>
            <w:hideMark/>
          </w:tcPr>
          <w:p w14:paraId="21D5B519" w14:textId="77777777" w:rsidR="00B71B4E" w:rsidRPr="00BD16B4" w:rsidRDefault="00B71B4E" w:rsidP="00F31129">
            <w:pPr>
              <w:pStyle w:val="TableText"/>
              <w:spacing w:before="40" w:after="40"/>
              <w:jc w:val="center"/>
              <w:rPr>
                <w:rFonts w:cs="Calibri"/>
                <w:szCs w:val="18"/>
              </w:rPr>
            </w:pPr>
            <w:r w:rsidRPr="00BD16B4">
              <w:rPr>
                <w:rFonts w:cs="Calibri"/>
                <w:szCs w:val="18"/>
              </w:rPr>
              <w:t>0.15</w:t>
            </w:r>
          </w:p>
        </w:tc>
        <w:tc>
          <w:tcPr>
            <w:tcW w:w="1345" w:type="dxa"/>
            <w:shd w:val="clear" w:color="auto" w:fill="auto"/>
            <w:noWrap/>
            <w:hideMark/>
          </w:tcPr>
          <w:p w14:paraId="1E914A90" w14:textId="77777777" w:rsidR="00B71B4E" w:rsidRPr="00BD16B4" w:rsidRDefault="00B71B4E" w:rsidP="00F31129">
            <w:pPr>
              <w:pStyle w:val="TableText"/>
              <w:spacing w:before="40" w:after="40"/>
              <w:jc w:val="center"/>
              <w:rPr>
                <w:rFonts w:cs="Calibri"/>
                <w:szCs w:val="18"/>
              </w:rPr>
            </w:pPr>
            <w:r w:rsidRPr="00BD16B4">
              <w:rPr>
                <w:rFonts w:cs="Calibri"/>
                <w:szCs w:val="18"/>
              </w:rPr>
              <w:t>0.10</w:t>
            </w:r>
          </w:p>
        </w:tc>
        <w:tc>
          <w:tcPr>
            <w:tcW w:w="1015" w:type="dxa"/>
            <w:shd w:val="clear" w:color="auto" w:fill="auto"/>
            <w:noWrap/>
            <w:hideMark/>
          </w:tcPr>
          <w:p w14:paraId="46E63EEB"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0A089797"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06AC23A5"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14E035BB"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7879F0AA"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17C66E4D" w14:textId="77777777" w:rsidTr="00F31129">
        <w:tc>
          <w:tcPr>
            <w:tcW w:w="5387" w:type="dxa"/>
            <w:shd w:val="clear" w:color="auto" w:fill="auto"/>
            <w:hideMark/>
          </w:tcPr>
          <w:p w14:paraId="5D0EE887" w14:textId="77777777" w:rsidR="00B71B4E" w:rsidRPr="00BD16B4" w:rsidRDefault="00B71B4E" w:rsidP="00F31129">
            <w:pPr>
              <w:pStyle w:val="TableText"/>
              <w:spacing w:before="40" w:after="40"/>
              <w:rPr>
                <w:rFonts w:cs="Calibri"/>
                <w:szCs w:val="18"/>
              </w:rPr>
            </w:pPr>
            <w:r w:rsidRPr="00BD16B4">
              <w:rPr>
                <w:rFonts w:cs="Calibri"/>
                <w:szCs w:val="18"/>
              </w:rPr>
              <w:t>Viet Nam / Dragon Fruit Development</w:t>
            </w:r>
          </w:p>
        </w:tc>
        <w:tc>
          <w:tcPr>
            <w:tcW w:w="1276" w:type="dxa"/>
            <w:shd w:val="clear" w:color="auto" w:fill="auto"/>
            <w:hideMark/>
          </w:tcPr>
          <w:p w14:paraId="1FFB6D5E" w14:textId="77777777" w:rsidR="00B71B4E" w:rsidRPr="00BD16B4" w:rsidRDefault="00B71B4E" w:rsidP="00F31129">
            <w:pPr>
              <w:pStyle w:val="TableText"/>
              <w:spacing w:before="40" w:after="40"/>
              <w:jc w:val="center"/>
              <w:rPr>
                <w:rFonts w:cs="Calibri"/>
                <w:szCs w:val="18"/>
              </w:rPr>
            </w:pPr>
            <w:r w:rsidRPr="00BD16B4">
              <w:rPr>
                <w:rFonts w:cs="Calibri"/>
                <w:szCs w:val="18"/>
              </w:rPr>
              <w:t>0.21</w:t>
            </w:r>
          </w:p>
        </w:tc>
        <w:tc>
          <w:tcPr>
            <w:tcW w:w="1345" w:type="dxa"/>
            <w:shd w:val="clear" w:color="auto" w:fill="auto"/>
            <w:noWrap/>
            <w:hideMark/>
          </w:tcPr>
          <w:p w14:paraId="0B9F7F53" w14:textId="77777777" w:rsidR="00B71B4E" w:rsidRPr="00BD16B4" w:rsidRDefault="00B71B4E" w:rsidP="00F31129">
            <w:pPr>
              <w:pStyle w:val="TableText"/>
              <w:spacing w:before="40" w:after="40"/>
              <w:jc w:val="center"/>
              <w:rPr>
                <w:rFonts w:cs="Calibri"/>
                <w:szCs w:val="18"/>
              </w:rPr>
            </w:pPr>
            <w:r w:rsidRPr="00BD16B4">
              <w:rPr>
                <w:rFonts w:cs="Calibri"/>
                <w:szCs w:val="18"/>
              </w:rPr>
              <w:t>0.14</w:t>
            </w:r>
          </w:p>
        </w:tc>
        <w:tc>
          <w:tcPr>
            <w:tcW w:w="1015" w:type="dxa"/>
            <w:shd w:val="clear" w:color="auto" w:fill="auto"/>
            <w:noWrap/>
            <w:hideMark/>
          </w:tcPr>
          <w:p w14:paraId="00E45445"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5281889F"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4E632663"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4CC4751D"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27CDA883"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5E309352" w14:textId="77777777" w:rsidTr="00F31129">
        <w:tc>
          <w:tcPr>
            <w:tcW w:w="5387" w:type="dxa"/>
            <w:shd w:val="clear" w:color="auto" w:fill="auto"/>
            <w:hideMark/>
          </w:tcPr>
          <w:p w14:paraId="3282491B" w14:textId="77777777" w:rsidR="00B71B4E" w:rsidRPr="00BD16B4" w:rsidRDefault="00B71B4E" w:rsidP="00F31129">
            <w:pPr>
              <w:pStyle w:val="TableText"/>
              <w:spacing w:before="40" w:after="40"/>
              <w:rPr>
                <w:rFonts w:cs="Calibri"/>
                <w:szCs w:val="18"/>
              </w:rPr>
            </w:pPr>
            <w:r w:rsidRPr="00BD16B4">
              <w:rPr>
                <w:rFonts w:cs="Calibri"/>
                <w:szCs w:val="18"/>
              </w:rPr>
              <w:t>Kenya / Strengthened Avocado Value Chain</w:t>
            </w:r>
          </w:p>
        </w:tc>
        <w:tc>
          <w:tcPr>
            <w:tcW w:w="1276" w:type="dxa"/>
            <w:shd w:val="clear" w:color="auto" w:fill="auto"/>
            <w:hideMark/>
          </w:tcPr>
          <w:p w14:paraId="4B3B4F13" w14:textId="77777777" w:rsidR="00B71B4E" w:rsidRPr="00BD16B4" w:rsidRDefault="00B71B4E" w:rsidP="00F31129">
            <w:pPr>
              <w:pStyle w:val="TableText"/>
              <w:spacing w:before="40" w:after="40"/>
              <w:jc w:val="center"/>
              <w:rPr>
                <w:rFonts w:cs="Calibri"/>
                <w:szCs w:val="18"/>
              </w:rPr>
            </w:pPr>
            <w:r w:rsidRPr="00BD16B4">
              <w:rPr>
                <w:rFonts w:cs="Calibri"/>
                <w:szCs w:val="18"/>
              </w:rPr>
              <w:t>0.20</w:t>
            </w:r>
          </w:p>
        </w:tc>
        <w:tc>
          <w:tcPr>
            <w:tcW w:w="1345" w:type="dxa"/>
            <w:shd w:val="clear" w:color="auto" w:fill="auto"/>
            <w:noWrap/>
            <w:hideMark/>
          </w:tcPr>
          <w:p w14:paraId="3D556392" w14:textId="77777777" w:rsidR="00B71B4E" w:rsidRPr="00BD16B4" w:rsidRDefault="00B71B4E" w:rsidP="00F31129">
            <w:pPr>
              <w:pStyle w:val="TableText"/>
              <w:spacing w:before="40" w:after="40"/>
              <w:jc w:val="center"/>
              <w:rPr>
                <w:rFonts w:cs="Calibri"/>
                <w:szCs w:val="18"/>
              </w:rPr>
            </w:pPr>
            <w:r w:rsidRPr="00BD16B4">
              <w:rPr>
                <w:rFonts w:cs="Calibri"/>
                <w:szCs w:val="18"/>
              </w:rPr>
              <w:t>0.13</w:t>
            </w:r>
          </w:p>
        </w:tc>
        <w:tc>
          <w:tcPr>
            <w:tcW w:w="1015" w:type="dxa"/>
            <w:shd w:val="clear" w:color="auto" w:fill="auto"/>
            <w:noWrap/>
            <w:hideMark/>
          </w:tcPr>
          <w:p w14:paraId="0FD99F73"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2AC6B63A"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2449926F"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35836B1D"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0DB1199F"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56D4A9C2" w14:textId="77777777" w:rsidTr="00F31129">
        <w:tc>
          <w:tcPr>
            <w:tcW w:w="5387" w:type="dxa"/>
            <w:shd w:val="clear" w:color="auto" w:fill="auto"/>
            <w:hideMark/>
          </w:tcPr>
          <w:p w14:paraId="0890913A" w14:textId="77777777" w:rsidR="00B71B4E" w:rsidRPr="00BD16B4" w:rsidRDefault="00B71B4E" w:rsidP="00F31129">
            <w:pPr>
              <w:pStyle w:val="TableText"/>
              <w:spacing w:before="40" w:after="40"/>
              <w:rPr>
                <w:rFonts w:cs="Calibri"/>
                <w:szCs w:val="18"/>
              </w:rPr>
            </w:pPr>
            <w:r w:rsidRPr="00BD16B4">
              <w:rPr>
                <w:rFonts w:cs="Calibri"/>
                <w:szCs w:val="18"/>
              </w:rPr>
              <w:t>Comoros / Support for Realisation of Geothermal Potential</w:t>
            </w:r>
          </w:p>
        </w:tc>
        <w:tc>
          <w:tcPr>
            <w:tcW w:w="1276" w:type="dxa"/>
            <w:shd w:val="clear" w:color="auto" w:fill="auto"/>
            <w:hideMark/>
          </w:tcPr>
          <w:p w14:paraId="2D2008C8" w14:textId="77777777" w:rsidR="00B71B4E" w:rsidRPr="00BD16B4" w:rsidRDefault="00B71B4E" w:rsidP="00F31129">
            <w:pPr>
              <w:pStyle w:val="TableText"/>
              <w:spacing w:before="40" w:after="40"/>
              <w:jc w:val="center"/>
              <w:rPr>
                <w:rFonts w:cs="Calibri"/>
                <w:szCs w:val="18"/>
              </w:rPr>
            </w:pPr>
            <w:r w:rsidRPr="00BD16B4">
              <w:rPr>
                <w:rFonts w:cs="Calibri"/>
                <w:szCs w:val="18"/>
              </w:rPr>
              <w:t>0.22</w:t>
            </w:r>
          </w:p>
        </w:tc>
        <w:tc>
          <w:tcPr>
            <w:tcW w:w="1345" w:type="dxa"/>
            <w:shd w:val="clear" w:color="auto" w:fill="auto"/>
            <w:noWrap/>
            <w:hideMark/>
          </w:tcPr>
          <w:p w14:paraId="40FDA8AA" w14:textId="77777777" w:rsidR="00B71B4E" w:rsidRPr="00BD16B4" w:rsidRDefault="00B71B4E" w:rsidP="00F31129">
            <w:pPr>
              <w:pStyle w:val="TableText"/>
              <w:spacing w:before="40" w:after="40"/>
              <w:jc w:val="center"/>
              <w:rPr>
                <w:rFonts w:cs="Calibri"/>
                <w:szCs w:val="18"/>
              </w:rPr>
            </w:pPr>
            <w:r w:rsidRPr="00BD16B4">
              <w:rPr>
                <w:rFonts w:cs="Calibri"/>
                <w:szCs w:val="18"/>
              </w:rPr>
              <w:t>0.14</w:t>
            </w:r>
          </w:p>
        </w:tc>
        <w:tc>
          <w:tcPr>
            <w:tcW w:w="1015" w:type="dxa"/>
            <w:shd w:val="clear" w:color="auto" w:fill="auto"/>
            <w:noWrap/>
            <w:hideMark/>
          </w:tcPr>
          <w:p w14:paraId="5E3C4A96"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4A064B9C"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6E8F87D2"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135A6F90" w14:textId="77777777" w:rsidR="00B71B4E" w:rsidRPr="00BD16B4" w:rsidRDefault="00B71B4E" w:rsidP="00F31129">
            <w:pPr>
              <w:pStyle w:val="TableText"/>
              <w:spacing w:before="40" w:after="40"/>
              <w:rPr>
                <w:rFonts w:cs="Calibri"/>
                <w:szCs w:val="18"/>
              </w:rPr>
            </w:pPr>
            <w:r w:rsidRPr="00BD16B4">
              <w:rPr>
                <w:rFonts w:cs="Calibri"/>
                <w:szCs w:val="18"/>
              </w:rPr>
              <w:t>Mitigation</w:t>
            </w:r>
          </w:p>
        </w:tc>
        <w:tc>
          <w:tcPr>
            <w:tcW w:w="2335" w:type="dxa"/>
            <w:shd w:val="clear" w:color="auto" w:fill="auto"/>
            <w:noWrap/>
            <w:hideMark/>
          </w:tcPr>
          <w:p w14:paraId="0F76ACED"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6E16EC14" w14:textId="77777777" w:rsidTr="00F31129">
        <w:tc>
          <w:tcPr>
            <w:tcW w:w="5387" w:type="dxa"/>
            <w:shd w:val="clear" w:color="auto" w:fill="auto"/>
            <w:hideMark/>
          </w:tcPr>
          <w:p w14:paraId="37815104" w14:textId="77777777" w:rsidR="00B71B4E" w:rsidRPr="00BD16B4" w:rsidRDefault="00B71B4E" w:rsidP="00F31129">
            <w:pPr>
              <w:pStyle w:val="TableText"/>
              <w:spacing w:before="40" w:after="40"/>
              <w:rPr>
                <w:rFonts w:cs="Calibri"/>
                <w:szCs w:val="18"/>
              </w:rPr>
            </w:pPr>
            <w:r w:rsidRPr="00BD16B4">
              <w:rPr>
                <w:rFonts w:cs="Calibri"/>
                <w:szCs w:val="18"/>
              </w:rPr>
              <w:lastRenderedPageBreak/>
              <w:t>Zambia / Dairy Transformation Programme</w:t>
            </w:r>
          </w:p>
        </w:tc>
        <w:tc>
          <w:tcPr>
            <w:tcW w:w="1276" w:type="dxa"/>
            <w:shd w:val="clear" w:color="auto" w:fill="auto"/>
            <w:hideMark/>
          </w:tcPr>
          <w:p w14:paraId="770DE29D" w14:textId="77777777" w:rsidR="00B71B4E" w:rsidRPr="00BD16B4" w:rsidRDefault="00B71B4E" w:rsidP="00F31129">
            <w:pPr>
              <w:pStyle w:val="TableText"/>
              <w:spacing w:before="40" w:after="40"/>
              <w:jc w:val="center"/>
              <w:rPr>
                <w:rFonts w:cs="Calibri"/>
                <w:szCs w:val="18"/>
              </w:rPr>
            </w:pPr>
            <w:r w:rsidRPr="00BD16B4">
              <w:rPr>
                <w:rFonts w:cs="Calibri"/>
                <w:szCs w:val="18"/>
              </w:rPr>
              <w:t>0.41</w:t>
            </w:r>
          </w:p>
        </w:tc>
        <w:tc>
          <w:tcPr>
            <w:tcW w:w="1345" w:type="dxa"/>
            <w:shd w:val="clear" w:color="auto" w:fill="auto"/>
            <w:noWrap/>
            <w:hideMark/>
          </w:tcPr>
          <w:p w14:paraId="6ABB8AE8" w14:textId="77777777" w:rsidR="00B71B4E" w:rsidRPr="00BD16B4" w:rsidRDefault="00B71B4E" w:rsidP="00F31129">
            <w:pPr>
              <w:pStyle w:val="TableText"/>
              <w:spacing w:before="40" w:after="40"/>
              <w:jc w:val="center"/>
              <w:rPr>
                <w:rFonts w:cs="Calibri"/>
                <w:szCs w:val="18"/>
              </w:rPr>
            </w:pPr>
            <w:r w:rsidRPr="00BD16B4">
              <w:rPr>
                <w:rFonts w:cs="Calibri"/>
                <w:szCs w:val="18"/>
              </w:rPr>
              <w:t>0.27</w:t>
            </w:r>
          </w:p>
        </w:tc>
        <w:tc>
          <w:tcPr>
            <w:tcW w:w="1015" w:type="dxa"/>
            <w:shd w:val="clear" w:color="auto" w:fill="auto"/>
            <w:noWrap/>
            <w:hideMark/>
          </w:tcPr>
          <w:p w14:paraId="37CCD972"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48BECB39"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5A871742"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0B9418BF"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4B85FBBA" w14:textId="77777777" w:rsidR="00B71B4E" w:rsidRPr="00BD16B4" w:rsidRDefault="00B71B4E" w:rsidP="00F31129">
            <w:pPr>
              <w:pStyle w:val="TableText"/>
              <w:spacing w:before="40" w:after="40"/>
              <w:rPr>
                <w:rFonts w:cs="Calibri"/>
                <w:szCs w:val="18"/>
              </w:rPr>
            </w:pPr>
            <w:r w:rsidRPr="00BD16B4">
              <w:rPr>
                <w:rFonts w:cs="Calibri"/>
                <w:szCs w:val="18"/>
              </w:rPr>
              <w:t>Agriculture</w:t>
            </w:r>
          </w:p>
        </w:tc>
      </w:tr>
      <w:tr w:rsidR="00B71B4E" w:rsidRPr="00BD16B4" w14:paraId="30138389" w14:textId="77777777" w:rsidTr="00F31129">
        <w:tc>
          <w:tcPr>
            <w:tcW w:w="5387" w:type="dxa"/>
            <w:shd w:val="clear" w:color="auto" w:fill="auto"/>
            <w:hideMark/>
          </w:tcPr>
          <w:p w14:paraId="006BAF7C" w14:textId="77777777" w:rsidR="00B71B4E" w:rsidRPr="00BD16B4" w:rsidRDefault="00B71B4E" w:rsidP="00F31129">
            <w:pPr>
              <w:pStyle w:val="TableText"/>
              <w:spacing w:before="40" w:after="40"/>
              <w:rPr>
                <w:rFonts w:cs="Calibri"/>
                <w:szCs w:val="18"/>
              </w:rPr>
            </w:pPr>
            <w:r w:rsidRPr="00BD16B4">
              <w:rPr>
                <w:rFonts w:cs="Calibri"/>
                <w:szCs w:val="18"/>
              </w:rPr>
              <w:t>Africa Regional / Africa Geothermal Assistance Facility</w:t>
            </w:r>
          </w:p>
        </w:tc>
        <w:tc>
          <w:tcPr>
            <w:tcW w:w="1276" w:type="dxa"/>
            <w:shd w:val="clear" w:color="auto" w:fill="auto"/>
            <w:hideMark/>
          </w:tcPr>
          <w:p w14:paraId="3E37D108" w14:textId="77777777" w:rsidR="00B71B4E" w:rsidRPr="00BD16B4" w:rsidRDefault="00B71B4E" w:rsidP="00F31129">
            <w:pPr>
              <w:pStyle w:val="TableText"/>
              <w:spacing w:before="40" w:after="40"/>
              <w:jc w:val="center"/>
              <w:rPr>
                <w:rFonts w:cs="Calibri"/>
                <w:szCs w:val="18"/>
              </w:rPr>
            </w:pPr>
            <w:r w:rsidRPr="00BD16B4">
              <w:rPr>
                <w:rFonts w:cs="Calibri"/>
                <w:szCs w:val="18"/>
              </w:rPr>
              <w:t>0.51</w:t>
            </w:r>
          </w:p>
        </w:tc>
        <w:tc>
          <w:tcPr>
            <w:tcW w:w="1345" w:type="dxa"/>
            <w:shd w:val="clear" w:color="auto" w:fill="auto"/>
            <w:noWrap/>
            <w:hideMark/>
          </w:tcPr>
          <w:p w14:paraId="7E5B0774" w14:textId="77777777" w:rsidR="00B71B4E" w:rsidRPr="00BD16B4" w:rsidRDefault="00B71B4E" w:rsidP="00F31129">
            <w:pPr>
              <w:pStyle w:val="TableText"/>
              <w:spacing w:before="40" w:after="40"/>
              <w:jc w:val="center"/>
              <w:rPr>
                <w:rFonts w:cs="Calibri"/>
                <w:szCs w:val="18"/>
              </w:rPr>
            </w:pPr>
            <w:r w:rsidRPr="00BD16B4">
              <w:rPr>
                <w:rFonts w:cs="Calibri"/>
                <w:szCs w:val="18"/>
              </w:rPr>
              <w:t>0.34</w:t>
            </w:r>
          </w:p>
        </w:tc>
        <w:tc>
          <w:tcPr>
            <w:tcW w:w="1015" w:type="dxa"/>
            <w:shd w:val="clear" w:color="auto" w:fill="auto"/>
            <w:noWrap/>
            <w:hideMark/>
          </w:tcPr>
          <w:p w14:paraId="0539F9DC"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1C332532"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7126B272"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7498C3F6"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23A29AA5" w14:textId="77777777" w:rsidR="00B71B4E" w:rsidRPr="00BD16B4" w:rsidRDefault="00B71B4E" w:rsidP="00F31129">
            <w:pPr>
              <w:pStyle w:val="TableText"/>
              <w:spacing w:before="40" w:after="40"/>
              <w:rPr>
                <w:rFonts w:cs="Calibri"/>
                <w:szCs w:val="18"/>
              </w:rPr>
            </w:pPr>
            <w:r w:rsidRPr="00BD16B4">
              <w:rPr>
                <w:rFonts w:cs="Calibri"/>
                <w:szCs w:val="18"/>
              </w:rPr>
              <w:t>Energy</w:t>
            </w:r>
          </w:p>
        </w:tc>
      </w:tr>
      <w:tr w:rsidR="00B71B4E" w:rsidRPr="00BD16B4" w14:paraId="24003160" w14:textId="77777777" w:rsidTr="00F31129">
        <w:tc>
          <w:tcPr>
            <w:tcW w:w="5387" w:type="dxa"/>
            <w:shd w:val="clear" w:color="auto" w:fill="auto"/>
            <w:hideMark/>
          </w:tcPr>
          <w:p w14:paraId="77A9DF34" w14:textId="77777777" w:rsidR="00B71B4E" w:rsidRPr="00BD16B4" w:rsidRDefault="00B71B4E" w:rsidP="00F31129">
            <w:pPr>
              <w:pStyle w:val="TableText"/>
              <w:spacing w:before="40" w:after="40"/>
              <w:rPr>
                <w:rFonts w:cs="Calibri"/>
                <w:szCs w:val="18"/>
              </w:rPr>
            </w:pPr>
            <w:r w:rsidRPr="00BD16B4">
              <w:rPr>
                <w:rFonts w:cs="Calibri"/>
                <w:szCs w:val="18"/>
              </w:rPr>
              <w:t>Other / Adaptation</w:t>
            </w:r>
          </w:p>
        </w:tc>
        <w:tc>
          <w:tcPr>
            <w:tcW w:w="1276" w:type="dxa"/>
            <w:shd w:val="clear" w:color="auto" w:fill="auto"/>
            <w:hideMark/>
          </w:tcPr>
          <w:p w14:paraId="4AE4D62F" w14:textId="77777777" w:rsidR="00B71B4E" w:rsidRPr="00BD16B4" w:rsidRDefault="00B71B4E" w:rsidP="00F31129">
            <w:pPr>
              <w:pStyle w:val="TableText"/>
              <w:spacing w:before="40" w:after="40"/>
              <w:jc w:val="center"/>
              <w:rPr>
                <w:rFonts w:cs="Calibri"/>
                <w:szCs w:val="18"/>
              </w:rPr>
            </w:pPr>
            <w:r w:rsidRPr="00BD16B4">
              <w:rPr>
                <w:rFonts w:cs="Calibri"/>
                <w:szCs w:val="18"/>
              </w:rPr>
              <w:t>1.26</w:t>
            </w:r>
          </w:p>
        </w:tc>
        <w:tc>
          <w:tcPr>
            <w:tcW w:w="1345" w:type="dxa"/>
            <w:shd w:val="clear" w:color="auto" w:fill="auto"/>
            <w:hideMark/>
          </w:tcPr>
          <w:p w14:paraId="47F9B280" w14:textId="77777777" w:rsidR="00B71B4E" w:rsidRPr="00BD16B4" w:rsidRDefault="00B71B4E" w:rsidP="00F31129">
            <w:pPr>
              <w:pStyle w:val="TableText"/>
              <w:spacing w:before="40" w:after="40"/>
              <w:jc w:val="center"/>
              <w:rPr>
                <w:rFonts w:cs="Calibri"/>
                <w:szCs w:val="18"/>
              </w:rPr>
            </w:pPr>
            <w:r w:rsidRPr="00BD16B4">
              <w:rPr>
                <w:rFonts w:cs="Calibri"/>
                <w:szCs w:val="18"/>
              </w:rPr>
              <w:t>0.83</w:t>
            </w:r>
          </w:p>
        </w:tc>
        <w:tc>
          <w:tcPr>
            <w:tcW w:w="1015" w:type="dxa"/>
            <w:shd w:val="clear" w:color="auto" w:fill="auto"/>
            <w:noWrap/>
            <w:hideMark/>
          </w:tcPr>
          <w:p w14:paraId="5141A1C7"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5DE841DB"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32336459"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789D727C" w14:textId="77777777" w:rsidR="00B71B4E" w:rsidRPr="00BD16B4" w:rsidRDefault="00B71B4E" w:rsidP="00F31129">
            <w:pPr>
              <w:pStyle w:val="TableText"/>
              <w:spacing w:before="40" w:after="40"/>
              <w:rPr>
                <w:rFonts w:cs="Calibri"/>
                <w:szCs w:val="18"/>
              </w:rPr>
            </w:pPr>
            <w:r w:rsidRPr="00BD16B4">
              <w:rPr>
                <w:rFonts w:cs="Calibri"/>
                <w:szCs w:val="18"/>
              </w:rPr>
              <w:t>Adaptation</w:t>
            </w:r>
          </w:p>
        </w:tc>
        <w:tc>
          <w:tcPr>
            <w:tcW w:w="2335" w:type="dxa"/>
            <w:shd w:val="clear" w:color="auto" w:fill="auto"/>
            <w:noWrap/>
            <w:hideMark/>
          </w:tcPr>
          <w:p w14:paraId="4B3DFC2D"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677CCB06" w14:textId="77777777" w:rsidTr="00F31129">
        <w:tc>
          <w:tcPr>
            <w:tcW w:w="5387" w:type="dxa"/>
            <w:shd w:val="clear" w:color="auto" w:fill="auto"/>
            <w:hideMark/>
          </w:tcPr>
          <w:p w14:paraId="36730059" w14:textId="77777777" w:rsidR="00B71B4E" w:rsidRPr="00BD16B4" w:rsidRDefault="00B71B4E" w:rsidP="00F31129">
            <w:pPr>
              <w:pStyle w:val="TableText"/>
              <w:spacing w:before="40" w:after="40"/>
              <w:rPr>
                <w:rFonts w:cs="Calibri"/>
                <w:szCs w:val="18"/>
              </w:rPr>
            </w:pPr>
            <w:r w:rsidRPr="00BD16B4">
              <w:rPr>
                <w:rFonts w:cs="Calibri"/>
                <w:szCs w:val="18"/>
              </w:rPr>
              <w:t>Other / Mitigation</w:t>
            </w:r>
          </w:p>
        </w:tc>
        <w:tc>
          <w:tcPr>
            <w:tcW w:w="1276" w:type="dxa"/>
            <w:shd w:val="clear" w:color="auto" w:fill="auto"/>
            <w:hideMark/>
          </w:tcPr>
          <w:p w14:paraId="74E13351" w14:textId="77777777" w:rsidR="00B71B4E" w:rsidRPr="00BD16B4" w:rsidRDefault="00B71B4E" w:rsidP="00F31129">
            <w:pPr>
              <w:pStyle w:val="TableText"/>
              <w:spacing w:before="40" w:after="40"/>
              <w:jc w:val="center"/>
              <w:rPr>
                <w:rFonts w:cs="Calibri"/>
                <w:szCs w:val="18"/>
              </w:rPr>
            </w:pPr>
            <w:r w:rsidRPr="00BD16B4">
              <w:rPr>
                <w:rFonts w:cs="Calibri"/>
                <w:szCs w:val="18"/>
              </w:rPr>
              <w:t>0.10</w:t>
            </w:r>
          </w:p>
        </w:tc>
        <w:tc>
          <w:tcPr>
            <w:tcW w:w="1345" w:type="dxa"/>
            <w:shd w:val="clear" w:color="auto" w:fill="auto"/>
            <w:hideMark/>
          </w:tcPr>
          <w:p w14:paraId="7E7A9439" w14:textId="77777777" w:rsidR="00B71B4E" w:rsidRPr="00BD16B4" w:rsidRDefault="00B71B4E" w:rsidP="00F31129">
            <w:pPr>
              <w:pStyle w:val="TableText"/>
              <w:spacing w:before="40" w:after="40"/>
              <w:jc w:val="center"/>
              <w:rPr>
                <w:rFonts w:cs="Calibri"/>
                <w:szCs w:val="18"/>
              </w:rPr>
            </w:pPr>
            <w:r w:rsidRPr="00BD16B4">
              <w:rPr>
                <w:rFonts w:cs="Calibri"/>
                <w:szCs w:val="18"/>
              </w:rPr>
              <w:t>0.06</w:t>
            </w:r>
          </w:p>
        </w:tc>
        <w:tc>
          <w:tcPr>
            <w:tcW w:w="1015" w:type="dxa"/>
            <w:shd w:val="clear" w:color="auto" w:fill="auto"/>
            <w:noWrap/>
            <w:hideMark/>
          </w:tcPr>
          <w:p w14:paraId="3F953AD4"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5AFEB50D"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78748BFC"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2A2B41B4" w14:textId="77777777" w:rsidR="00B71B4E" w:rsidRPr="00BD16B4" w:rsidRDefault="00B71B4E" w:rsidP="00F31129">
            <w:pPr>
              <w:pStyle w:val="TableText"/>
              <w:spacing w:before="40" w:after="40"/>
              <w:rPr>
                <w:rFonts w:cs="Calibri"/>
                <w:szCs w:val="18"/>
              </w:rPr>
            </w:pPr>
            <w:r w:rsidRPr="00BD16B4">
              <w:rPr>
                <w:rFonts w:cs="Calibri"/>
                <w:szCs w:val="18"/>
              </w:rPr>
              <w:t>Mitigation</w:t>
            </w:r>
          </w:p>
        </w:tc>
        <w:tc>
          <w:tcPr>
            <w:tcW w:w="2335" w:type="dxa"/>
            <w:shd w:val="clear" w:color="auto" w:fill="auto"/>
            <w:noWrap/>
            <w:hideMark/>
          </w:tcPr>
          <w:p w14:paraId="5884534E"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16191FAB" w14:textId="77777777" w:rsidTr="00F31129">
        <w:tc>
          <w:tcPr>
            <w:tcW w:w="5387" w:type="dxa"/>
            <w:tcBorders>
              <w:bottom w:val="single" w:sz="4" w:space="0" w:color="1B556B" w:themeColor="text2"/>
            </w:tcBorders>
            <w:shd w:val="clear" w:color="auto" w:fill="auto"/>
            <w:hideMark/>
          </w:tcPr>
          <w:p w14:paraId="39859067" w14:textId="77777777" w:rsidR="00B71B4E" w:rsidRPr="00BD16B4" w:rsidRDefault="00B71B4E" w:rsidP="00F31129">
            <w:pPr>
              <w:pStyle w:val="TableText"/>
              <w:spacing w:before="40" w:after="40"/>
              <w:rPr>
                <w:rFonts w:cs="Calibri"/>
                <w:szCs w:val="18"/>
              </w:rPr>
            </w:pPr>
            <w:r w:rsidRPr="00BD16B4">
              <w:rPr>
                <w:rFonts w:cs="Calibri"/>
                <w:szCs w:val="18"/>
              </w:rPr>
              <w:t>Other / Cross-cutting</w:t>
            </w:r>
          </w:p>
        </w:tc>
        <w:tc>
          <w:tcPr>
            <w:tcW w:w="1276" w:type="dxa"/>
            <w:tcBorders>
              <w:bottom w:val="single" w:sz="4" w:space="0" w:color="1B556B" w:themeColor="text2"/>
            </w:tcBorders>
            <w:shd w:val="clear" w:color="auto" w:fill="auto"/>
            <w:hideMark/>
          </w:tcPr>
          <w:p w14:paraId="5401967C" w14:textId="77777777" w:rsidR="00B71B4E" w:rsidRPr="00BD16B4" w:rsidRDefault="00B71B4E" w:rsidP="00F31129">
            <w:pPr>
              <w:pStyle w:val="TableText"/>
              <w:spacing w:before="40" w:after="40"/>
              <w:jc w:val="center"/>
              <w:rPr>
                <w:rFonts w:cs="Calibri"/>
                <w:szCs w:val="18"/>
              </w:rPr>
            </w:pPr>
            <w:r w:rsidRPr="00BD16B4">
              <w:rPr>
                <w:rFonts w:cs="Calibri"/>
                <w:szCs w:val="18"/>
              </w:rPr>
              <w:t>0.80</w:t>
            </w:r>
          </w:p>
        </w:tc>
        <w:tc>
          <w:tcPr>
            <w:tcW w:w="1345" w:type="dxa"/>
            <w:tcBorders>
              <w:bottom w:val="single" w:sz="4" w:space="0" w:color="1B556B" w:themeColor="text2"/>
            </w:tcBorders>
            <w:shd w:val="clear" w:color="auto" w:fill="auto"/>
            <w:hideMark/>
          </w:tcPr>
          <w:p w14:paraId="5BF6EF6F" w14:textId="77777777" w:rsidR="00B71B4E" w:rsidRPr="00BD16B4" w:rsidRDefault="00B71B4E" w:rsidP="00F31129">
            <w:pPr>
              <w:pStyle w:val="TableText"/>
              <w:spacing w:before="40" w:after="40"/>
              <w:jc w:val="center"/>
              <w:rPr>
                <w:rFonts w:cs="Calibri"/>
                <w:szCs w:val="18"/>
              </w:rPr>
            </w:pPr>
            <w:r w:rsidRPr="00BD16B4">
              <w:rPr>
                <w:rFonts w:cs="Calibri"/>
                <w:szCs w:val="18"/>
              </w:rPr>
              <w:t>0.52</w:t>
            </w:r>
          </w:p>
        </w:tc>
        <w:tc>
          <w:tcPr>
            <w:tcW w:w="1015" w:type="dxa"/>
            <w:shd w:val="clear" w:color="auto" w:fill="auto"/>
            <w:noWrap/>
            <w:hideMark/>
          </w:tcPr>
          <w:p w14:paraId="2B4C4DBE" w14:textId="77777777" w:rsidR="00B71B4E" w:rsidRPr="00BD16B4" w:rsidRDefault="00B71B4E" w:rsidP="00F31129">
            <w:pPr>
              <w:pStyle w:val="TableText"/>
              <w:spacing w:before="40" w:after="40"/>
              <w:rPr>
                <w:rFonts w:cs="Calibri"/>
                <w:szCs w:val="18"/>
              </w:rPr>
            </w:pPr>
            <w:r w:rsidRPr="00BD16B4">
              <w:rPr>
                <w:rFonts w:cs="Calibri"/>
                <w:szCs w:val="18"/>
              </w:rPr>
              <w:t>Disbursed</w:t>
            </w:r>
          </w:p>
        </w:tc>
        <w:tc>
          <w:tcPr>
            <w:tcW w:w="827" w:type="dxa"/>
            <w:shd w:val="clear" w:color="auto" w:fill="auto"/>
            <w:noWrap/>
            <w:hideMark/>
          </w:tcPr>
          <w:p w14:paraId="294F3263" w14:textId="77777777" w:rsidR="00B71B4E" w:rsidRPr="00BD16B4" w:rsidRDefault="00B71B4E" w:rsidP="00F31129">
            <w:pPr>
              <w:pStyle w:val="TableText"/>
              <w:spacing w:before="40" w:after="40"/>
              <w:rPr>
                <w:rFonts w:cs="Calibri"/>
                <w:szCs w:val="18"/>
              </w:rPr>
            </w:pPr>
            <w:r w:rsidRPr="00BD16B4">
              <w:rPr>
                <w:rFonts w:cs="Calibri"/>
                <w:szCs w:val="18"/>
              </w:rPr>
              <w:t>ODA</w:t>
            </w:r>
          </w:p>
        </w:tc>
        <w:tc>
          <w:tcPr>
            <w:tcW w:w="1064" w:type="dxa"/>
            <w:shd w:val="clear" w:color="auto" w:fill="auto"/>
            <w:noWrap/>
            <w:hideMark/>
          </w:tcPr>
          <w:p w14:paraId="5E4CDAED" w14:textId="77777777" w:rsidR="00B71B4E" w:rsidRPr="00BD16B4" w:rsidRDefault="00B71B4E" w:rsidP="00F31129">
            <w:pPr>
              <w:pStyle w:val="TableText"/>
              <w:spacing w:before="40" w:after="40"/>
              <w:rPr>
                <w:rFonts w:cs="Calibri"/>
                <w:szCs w:val="18"/>
              </w:rPr>
            </w:pPr>
            <w:r w:rsidRPr="00BD16B4">
              <w:rPr>
                <w:rFonts w:cs="Calibri"/>
                <w:szCs w:val="18"/>
              </w:rPr>
              <w:t>Grant</w:t>
            </w:r>
          </w:p>
        </w:tc>
        <w:tc>
          <w:tcPr>
            <w:tcW w:w="1210" w:type="dxa"/>
            <w:shd w:val="clear" w:color="auto" w:fill="auto"/>
            <w:noWrap/>
            <w:hideMark/>
          </w:tcPr>
          <w:p w14:paraId="4577A391" w14:textId="77777777" w:rsidR="00B71B4E" w:rsidRPr="00BD16B4" w:rsidRDefault="00B71B4E" w:rsidP="00F31129">
            <w:pPr>
              <w:pStyle w:val="TableText"/>
              <w:spacing w:before="40" w:after="40"/>
              <w:rPr>
                <w:rFonts w:cs="Calibri"/>
                <w:szCs w:val="18"/>
              </w:rPr>
            </w:pPr>
            <w:r w:rsidRPr="00BD16B4">
              <w:rPr>
                <w:rFonts w:cs="Calibri"/>
                <w:szCs w:val="18"/>
              </w:rPr>
              <w:t>Cross-cutting</w:t>
            </w:r>
          </w:p>
        </w:tc>
        <w:tc>
          <w:tcPr>
            <w:tcW w:w="2335" w:type="dxa"/>
            <w:shd w:val="clear" w:color="auto" w:fill="auto"/>
            <w:noWrap/>
            <w:hideMark/>
          </w:tcPr>
          <w:p w14:paraId="19CAD9FB" w14:textId="77777777" w:rsidR="00B71B4E" w:rsidRPr="00BD16B4" w:rsidRDefault="00B71B4E" w:rsidP="00F31129">
            <w:pPr>
              <w:pStyle w:val="TableText"/>
              <w:spacing w:before="40" w:after="40"/>
              <w:rPr>
                <w:rFonts w:cs="Calibri"/>
                <w:szCs w:val="18"/>
              </w:rPr>
            </w:pPr>
            <w:r w:rsidRPr="00BD16B4">
              <w:rPr>
                <w:rFonts w:cs="Calibri"/>
                <w:szCs w:val="18"/>
              </w:rPr>
              <w:t>Multi-sector</w:t>
            </w:r>
          </w:p>
        </w:tc>
      </w:tr>
      <w:tr w:rsidR="00B71B4E" w:rsidRPr="00BD16B4" w14:paraId="30152A2A" w14:textId="77777777" w:rsidTr="00F31129">
        <w:tc>
          <w:tcPr>
            <w:tcW w:w="5387" w:type="dxa"/>
            <w:shd w:val="clear" w:color="000000" w:fill="D2DDE1" w:themeFill="background2"/>
            <w:hideMark/>
          </w:tcPr>
          <w:p w14:paraId="5CE0A069" w14:textId="77777777" w:rsidR="00B71B4E" w:rsidRPr="00BD16B4" w:rsidRDefault="00B71B4E" w:rsidP="00F31129">
            <w:pPr>
              <w:pStyle w:val="TableTextBold0"/>
              <w:spacing w:before="40" w:after="40"/>
            </w:pPr>
            <w:r w:rsidRPr="00BD16B4">
              <w:t>TOTAL</w:t>
            </w:r>
          </w:p>
        </w:tc>
        <w:tc>
          <w:tcPr>
            <w:tcW w:w="1276" w:type="dxa"/>
            <w:shd w:val="clear" w:color="000000" w:fill="D2DDE1" w:themeFill="background2"/>
            <w:hideMark/>
          </w:tcPr>
          <w:p w14:paraId="3076CC50" w14:textId="77777777" w:rsidR="00B71B4E" w:rsidRPr="00BD16B4" w:rsidRDefault="00B71B4E" w:rsidP="00F31129">
            <w:pPr>
              <w:pStyle w:val="TableTextBold0"/>
              <w:spacing w:before="40" w:after="40"/>
              <w:jc w:val="center"/>
            </w:pPr>
            <w:r w:rsidRPr="00BD16B4">
              <w:t>76.81</w:t>
            </w:r>
          </w:p>
        </w:tc>
        <w:tc>
          <w:tcPr>
            <w:tcW w:w="1345" w:type="dxa"/>
            <w:shd w:val="clear" w:color="000000" w:fill="D2DDE1" w:themeFill="background2"/>
            <w:hideMark/>
          </w:tcPr>
          <w:p w14:paraId="5888EFAE" w14:textId="77777777" w:rsidR="00B71B4E" w:rsidRPr="00BD16B4" w:rsidRDefault="00B71B4E" w:rsidP="00F31129">
            <w:pPr>
              <w:pStyle w:val="TableTextBold0"/>
              <w:spacing w:before="40" w:after="40"/>
              <w:jc w:val="center"/>
            </w:pPr>
            <w:r w:rsidRPr="00BD16B4">
              <w:t>50.65</w:t>
            </w:r>
          </w:p>
        </w:tc>
        <w:tc>
          <w:tcPr>
            <w:tcW w:w="1015" w:type="dxa"/>
            <w:shd w:val="clear" w:color="auto" w:fill="auto"/>
            <w:noWrap/>
            <w:hideMark/>
          </w:tcPr>
          <w:p w14:paraId="185FBF27" w14:textId="77777777" w:rsidR="00B71B4E" w:rsidRPr="00BD16B4" w:rsidRDefault="00B71B4E" w:rsidP="00F31129">
            <w:pPr>
              <w:pStyle w:val="TableTextBold0"/>
              <w:spacing w:before="40" w:after="40"/>
            </w:pPr>
          </w:p>
        </w:tc>
        <w:tc>
          <w:tcPr>
            <w:tcW w:w="827" w:type="dxa"/>
            <w:shd w:val="clear" w:color="auto" w:fill="auto"/>
            <w:noWrap/>
            <w:hideMark/>
          </w:tcPr>
          <w:p w14:paraId="2C3505F3" w14:textId="77777777" w:rsidR="00B71B4E" w:rsidRPr="00BD16B4" w:rsidRDefault="00B71B4E" w:rsidP="00F31129">
            <w:pPr>
              <w:pStyle w:val="TableTextBold0"/>
              <w:spacing w:before="40" w:after="40"/>
            </w:pPr>
          </w:p>
        </w:tc>
        <w:tc>
          <w:tcPr>
            <w:tcW w:w="1064" w:type="dxa"/>
            <w:shd w:val="clear" w:color="auto" w:fill="auto"/>
            <w:noWrap/>
            <w:hideMark/>
          </w:tcPr>
          <w:p w14:paraId="0931F966" w14:textId="77777777" w:rsidR="00B71B4E" w:rsidRPr="00BD16B4" w:rsidRDefault="00B71B4E" w:rsidP="00F31129">
            <w:pPr>
              <w:pStyle w:val="TableTextBold0"/>
              <w:spacing w:before="40" w:after="40"/>
            </w:pPr>
          </w:p>
        </w:tc>
        <w:tc>
          <w:tcPr>
            <w:tcW w:w="1210" w:type="dxa"/>
            <w:shd w:val="clear" w:color="auto" w:fill="auto"/>
            <w:noWrap/>
            <w:hideMark/>
          </w:tcPr>
          <w:p w14:paraId="5D39616B" w14:textId="77777777" w:rsidR="00B71B4E" w:rsidRPr="00BD16B4" w:rsidRDefault="00B71B4E" w:rsidP="00F31129">
            <w:pPr>
              <w:pStyle w:val="TableTextBold0"/>
              <w:spacing w:before="40" w:after="40"/>
            </w:pPr>
          </w:p>
        </w:tc>
        <w:tc>
          <w:tcPr>
            <w:tcW w:w="2335" w:type="dxa"/>
            <w:shd w:val="clear" w:color="auto" w:fill="auto"/>
            <w:noWrap/>
            <w:hideMark/>
          </w:tcPr>
          <w:p w14:paraId="7D5B3BE1" w14:textId="77777777" w:rsidR="00B71B4E" w:rsidRPr="00BD16B4" w:rsidRDefault="00B71B4E" w:rsidP="00F31129">
            <w:pPr>
              <w:pStyle w:val="TableTextBold0"/>
              <w:spacing w:before="40" w:after="40"/>
            </w:pPr>
          </w:p>
        </w:tc>
      </w:tr>
    </w:tbl>
    <w:p w14:paraId="36FF57D0" w14:textId="77777777" w:rsidR="00B71B4E" w:rsidRPr="00BD16B4" w:rsidRDefault="00B71B4E" w:rsidP="00120409">
      <w:pPr>
        <w:pStyle w:val="Note"/>
      </w:pPr>
      <w:r w:rsidRPr="00BD16B4">
        <w:rPr>
          <w:b/>
          <w:bCs/>
        </w:rPr>
        <w:t xml:space="preserve">Note: </w:t>
      </w:r>
      <w:r w:rsidRPr="00BD16B4">
        <w:t>* Bilateral activities with a moderated (climate-specific) value of less that NZ$100,000 have been grouped together and are listed at the end of this table as ‘Other’ in the ‘Country’ column. Lao PDR = Lao People’s Democratic Republic; ODA = Official Development Assistance.</w:t>
      </w:r>
    </w:p>
    <w:p w14:paraId="1C0492CF" w14:textId="77777777" w:rsidR="00B71B4E" w:rsidRPr="00BD16B4" w:rsidRDefault="00B71B4E" w:rsidP="00BB7302">
      <w:pPr>
        <w:pStyle w:val="CTFTableheading"/>
      </w:pPr>
      <w:r w:rsidRPr="00BD16B4">
        <w:t>Table 7.5b: Provision of public financial support – contributions through bilateral, regional and other channels, 2020</w:t>
      </w:r>
    </w:p>
    <w:tbl>
      <w:tblPr>
        <w:tblW w:w="14459" w:type="dxa"/>
        <w:tblInd w:w="108" w:type="dxa"/>
        <w:tblBorders>
          <w:top w:val="single" w:sz="8" w:space="0" w:color="1B556B" w:themeColor="text2"/>
          <w:bottom w:val="single" w:sz="8" w:space="0" w:color="1B556B" w:themeColor="text2"/>
          <w:insideH w:val="single" w:sz="8" w:space="0" w:color="1B556B" w:themeColor="text2"/>
          <w:insideV w:val="single" w:sz="8" w:space="0" w:color="1B556B" w:themeColor="text2"/>
        </w:tblBorders>
        <w:tblLook w:val="04A0" w:firstRow="1" w:lastRow="0" w:firstColumn="1" w:lastColumn="0" w:noHBand="0" w:noVBand="1"/>
      </w:tblPr>
      <w:tblGrid>
        <w:gridCol w:w="5245"/>
        <w:gridCol w:w="1346"/>
        <w:gridCol w:w="1286"/>
        <w:gridCol w:w="988"/>
        <w:gridCol w:w="836"/>
        <w:gridCol w:w="1075"/>
        <w:gridCol w:w="1192"/>
        <w:gridCol w:w="2491"/>
      </w:tblGrid>
      <w:tr w:rsidR="00B71B4E" w:rsidRPr="00BD16B4" w14:paraId="1897FF11" w14:textId="77777777" w:rsidTr="00F31129">
        <w:trPr>
          <w:tblHeader/>
        </w:trPr>
        <w:tc>
          <w:tcPr>
            <w:tcW w:w="5245" w:type="dxa"/>
            <w:shd w:val="clear" w:color="000000" w:fill="1B556B" w:themeFill="text2"/>
            <w:vAlign w:val="bottom"/>
            <w:hideMark/>
          </w:tcPr>
          <w:p w14:paraId="7680DDCC" w14:textId="77777777" w:rsidR="00B71B4E" w:rsidRPr="00BD16B4" w:rsidRDefault="00B71B4E" w:rsidP="00F31129">
            <w:pPr>
              <w:spacing w:before="40" w:after="40" w:line="240" w:lineRule="auto"/>
              <w:rPr>
                <w:rFonts w:cs="Calibri"/>
                <w:b/>
                <w:bCs/>
                <w:color w:val="FFFFFF" w:themeColor="background1"/>
                <w:sz w:val="18"/>
                <w:szCs w:val="18"/>
              </w:rPr>
            </w:pPr>
            <w:r w:rsidRPr="00BD16B4">
              <w:rPr>
                <w:rFonts w:cs="Calibri"/>
                <w:b/>
                <w:bCs/>
                <w:color w:val="FFFFFF" w:themeColor="background1"/>
                <w:sz w:val="18"/>
                <w:szCs w:val="18"/>
              </w:rPr>
              <w:t>Recipient country/programme/activity*</w:t>
            </w:r>
          </w:p>
        </w:tc>
        <w:tc>
          <w:tcPr>
            <w:tcW w:w="1346" w:type="dxa"/>
            <w:shd w:val="clear" w:color="000000" w:fill="1B556B" w:themeFill="text2"/>
            <w:vAlign w:val="bottom"/>
            <w:hideMark/>
          </w:tcPr>
          <w:p w14:paraId="48C9C9B4" w14:textId="77777777" w:rsidR="00B71B4E" w:rsidRPr="00BD16B4" w:rsidRDefault="00B71B4E" w:rsidP="00F31129">
            <w:pPr>
              <w:spacing w:before="40" w:after="40" w:line="240" w:lineRule="auto"/>
              <w:jc w:val="center"/>
              <w:rPr>
                <w:rFonts w:cs="Calibri"/>
                <w:b/>
                <w:bCs/>
                <w:color w:val="FFFFFF" w:themeColor="background1"/>
                <w:sz w:val="18"/>
                <w:szCs w:val="18"/>
              </w:rPr>
            </w:pPr>
            <w:r w:rsidRPr="00BD16B4">
              <w:rPr>
                <w:rFonts w:cs="Calibri"/>
                <w:b/>
                <w:bCs/>
                <w:color w:val="FFFFFF" w:themeColor="background1"/>
                <w:sz w:val="18"/>
                <w:szCs w:val="18"/>
              </w:rPr>
              <w:t xml:space="preserve">Total amount climate-specific </w:t>
            </w:r>
            <w:r w:rsidRPr="00BD16B4">
              <w:rPr>
                <w:rFonts w:cs="Calibri"/>
                <w:b/>
                <w:bCs/>
                <w:color w:val="FFFFFF" w:themeColor="background1"/>
                <w:sz w:val="18"/>
                <w:szCs w:val="18"/>
              </w:rPr>
              <w:br/>
              <w:t>NZ$ million</w:t>
            </w:r>
          </w:p>
        </w:tc>
        <w:tc>
          <w:tcPr>
            <w:tcW w:w="1286" w:type="dxa"/>
            <w:shd w:val="clear" w:color="000000" w:fill="1B556B" w:themeFill="text2"/>
            <w:vAlign w:val="bottom"/>
            <w:hideMark/>
          </w:tcPr>
          <w:p w14:paraId="004BDC21" w14:textId="77777777" w:rsidR="00B71B4E" w:rsidRPr="00BD16B4" w:rsidRDefault="00B71B4E" w:rsidP="00F31129">
            <w:pPr>
              <w:spacing w:before="40" w:after="40" w:line="240" w:lineRule="auto"/>
              <w:jc w:val="center"/>
              <w:rPr>
                <w:rFonts w:cs="Calibri"/>
                <w:b/>
                <w:bCs/>
                <w:color w:val="FFFFFF" w:themeColor="background1"/>
                <w:sz w:val="18"/>
                <w:szCs w:val="18"/>
              </w:rPr>
            </w:pPr>
            <w:r w:rsidRPr="00BD16B4">
              <w:rPr>
                <w:rFonts w:cs="Calibri"/>
                <w:b/>
                <w:bCs/>
                <w:color w:val="FFFFFF" w:themeColor="background1"/>
                <w:sz w:val="18"/>
                <w:szCs w:val="18"/>
              </w:rPr>
              <w:t xml:space="preserve">Total amount climate-specific </w:t>
            </w:r>
            <w:r w:rsidRPr="00BD16B4">
              <w:rPr>
                <w:rFonts w:cs="Calibri"/>
                <w:b/>
                <w:bCs/>
                <w:color w:val="FFFFFF" w:themeColor="background1"/>
                <w:sz w:val="18"/>
                <w:szCs w:val="18"/>
              </w:rPr>
              <w:br/>
              <w:t>US$ million</w:t>
            </w:r>
          </w:p>
        </w:tc>
        <w:tc>
          <w:tcPr>
            <w:tcW w:w="988" w:type="dxa"/>
            <w:shd w:val="clear" w:color="000000" w:fill="1B556B" w:themeFill="text2"/>
            <w:vAlign w:val="bottom"/>
            <w:hideMark/>
          </w:tcPr>
          <w:p w14:paraId="79489A61" w14:textId="77777777" w:rsidR="00B71B4E" w:rsidRPr="00BD16B4" w:rsidRDefault="00B71B4E" w:rsidP="00F31129">
            <w:pPr>
              <w:spacing w:before="40" w:after="40" w:line="240" w:lineRule="auto"/>
              <w:rPr>
                <w:rFonts w:cs="Calibri"/>
                <w:b/>
                <w:bCs/>
                <w:color w:val="FFFFFF" w:themeColor="background1"/>
                <w:sz w:val="18"/>
                <w:szCs w:val="18"/>
              </w:rPr>
            </w:pPr>
            <w:r w:rsidRPr="00BD16B4">
              <w:rPr>
                <w:rFonts w:cs="Calibri"/>
                <w:b/>
                <w:bCs/>
                <w:color w:val="FFFFFF" w:themeColor="background1"/>
                <w:sz w:val="18"/>
                <w:szCs w:val="18"/>
              </w:rPr>
              <w:t>Status</w:t>
            </w:r>
          </w:p>
        </w:tc>
        <w:tc>
          <w:tcPr>
            <w:tcW w:w="836" w:type="dxa"/>
            <w:shd w:val="clear" w:color="000000" w:fill="1B556B" w:themeFill="text2"/>
            <w:vAlign w:val="bottom"/>
            <w:hideMark/>
          </w:tcPr>
          <w:p w14:paraId="71576483" w14:textId="77777777" w:rsidR="00B71B4E" w:rsidRPr="00BD16B4" w:rsidRDefault="00B71B4E" w:rsidP="00F31129">
            <w:pPr>
              <w:spacing w:before="40" w:after="40" w:line="240" w:lineRule="auto"/>
              <w:rPr>
                <w:rFonts w:cs="Calibri"/>
                <w:b/>
                <w:bCs/>
                <w:color w:val="FFFFFF" w:themeColor="background1"/>
                <w:sz w:val="18"/>
                <w:szCs w:val="18"/>
              </w:rPr>
            </w:pPr>
            <w:r w:rsidRPr="00BD16B4">
              <w:rPr>
                <w:rFonts w:cs="Calibri"/>
                <w:b/>
                <w:bCs/>
                <w:color w:val="FFFFFF" w:themeColor="background1"/>
                <w:sz w:val="18"/>
                <w:szCs w:val="18"/>
              </w:rPr>
              <w:t>Funding source</w:t>
            </w:r>
          </w:p>
        </w:tc>
        <w:tc>
          <w:tcPr>
            <w:tcW w:w="1075" w:type="dxa"/>
            <w:shd w:val="clear" w:color="000000" w:fill="1B556B" w:themeFill="text2"/>
            <w:vAlign w:val="bottom"/>
            <w:hideMark/>
          </w:tcPr>
          <w:p w14:paraId="40B7E5C2" w14:textId="77777777" w:rsidR="00B71B4E" w:rsidRPr="00BD16B4" w:rsidRDefault="00B71B4E" w:rsidP="00F31129">
            <w:pPr>
              <w:spacing w:before="40" w:after="40" w:line="240" w:lineRule="auto"/>
              <w:rPr>
                <w:rFonts w:cs="Calibri"/>
                <w:b/>
                <w:bCs/>
                <w:color w:val="FFFFFF" w:themeColor="background1"/>
                <w:sz w:val="18"/>
                <w:szCs w:val="18"/>
              </w:rPr>
            </w:pPr>
            <w:r w:rsidRPr="00BD16B4">
              <w:rPr>
                <w:rFonts w:cs="Calibri"/>
                <w:b/>
                <w:bCs/>
                <w:color w:val="FFFFFF" w:themeColor="background1"/>
                <w:sz w:val="18"/>
                <w:szCs w:val="18"/>
              </w:rPr>
              <w:t>Financial instrument</w:t>
            </w:r>
          </w:p>
        </w:tc>
        <w:tc>
          <w:tcPr>
            <w:tcW w:w="1192" w:type="dxa"/>
            <w:shd w:val="clear" w:color="000000" w:fill="1B556B" w:themeFill="text2"/>
            <w:vAlign w:val="bottom"/>
            <w:hideMark/>
          </w:tcPr>
          <w:p w14:paraId="69F61A2B" w14:textId="77777777" w:rsidR="00B71B4E" w:rsidRPr="00BD16B4" w:rsidRDefault="00B71B4E" w:rsidP="00F31129">
            <w:pPr>
              <w:spacing w:before="40" w:after="40" w:line="240" w:lineRule="auto"/>
              <w:rPr>
                <w:rFonts w:cs="Calibri"/>
                <w:b/>
                <w:bCs/>
                <w:color w:val="FFFFFF" w:themeColor="background1"/>
                <w:sz w:val="18"/>
                <w:szCs w:val="18"/>
              </w:rPr>
            </w:pPr>
            <w:r w:rsidRPr="00BD16B4">
              <w:rPr>
                <w:rFonts w:cs="Calibri"/>
                <w:b/>
                <w:bCs/>
                <w:color w:val="FFFFFF" w:themeColor="background1"/>
                <w:sz w:val="18"/>
                <w:szCs w:val="18"/>
              </w:rPr>
              <w:t>Type of support</w:t>
            </w:r>
          </w:p>
        </w:tc>
        <w:tc>
          <w:tcPr>
            <w:tcW w:w="2491" w:type="dxa"/>
            <w:shd w:val="clear" w:color="000000" w:fill="1B556B" w:themeFill="text2"/>
            <w:vAlign w:val="bottom"/>
            <w:hideMark/>
          </w:tcPr>
          <w:p w14:paraId="2156C388" w14:textId="77777777" w:rsidR="00B71B4E" w:rsidRPr="00BD16B4" w:rsidRDefault="00B71B4E" w:rsidP="00F31129">
            <w:pPr>
              <w:spacing w:before="40" w:after="40" w:line="240" w:lineRule="auto"/>
              <w:rPr>
                <w:rFonts w:cs="Calibri"/>
                <w:b/>
                <w:bCs/>
                <w:color w:val="FFFFFF" w:themeColor="background1"/>
                <w:sz w:val="18"/>
                <w:szCs w:val="18"/>
              </w:rPr>
            </w:pPr>
            <w:r w:rsidRPr="00BD16B4">
              <w:rPr>
                <w:rFonts w:cs="Calibri"/>
                <w:b/>
                <w:bCs/>
                <w:color w:val="FFFFFF" w:themeColor="background1"/>
                <w:sz w:val="18"/>
                <w:szCs w:val="18"/>
              </w:rPr>
              <w:t>Sector</w:t>
            </w:r>
          </w:p>
        </w:tc>
      </w:tr>
      <w:tr w:rsidR="00B71B4E" w:rsidRPr="00BD16B4" w14:paraId="1E5D2BCF" w14:textId="77777777" w:rsidTr="00F31129">
        <w:tc>
          <w:tcPr>
            <w:tcW w:w="5245" w:type="dxa"/>
            <w:shd w:val="clear" w:color="auto" w:fill="auto"/>
            <w:hideMark/>
          </w:tcPr>
          <w:p w14:paraId="1A20EDA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Invasive Species Management</w:t>
            </w:r>
          </w:p>
        </w:tc>
        <w:tc>
          <w:tcPr>
            <w:tcW w:w="1346" w:type="dxa"/>
            <w:shd w:val="clear" w:color="auto" w:fill="auto"/>
            <w:hideMark/>
          </w:tcPr>
          <w:p w14:paraId="7C4A7F5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2.09</w:t>
            </w:r>
          </w:p>
        </w:tc>
        <w:tc>
          <w:tcPr>
            <w:tcW w:w="1286" w:type="dxa"/>
            <w:shd w:val="clear" w:color="auto" w:fill="auto"/>
            <w:noWrap/>
            <w:hideMark/>
          </w:tcPr>
          <w:p w14:paraId="51039AEC"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1.35</w:t>
            </w:r>
          </w:p>
        </w:tc>
        <w:tc>
          <w:tcPr>
            <w:tcW w:w="988" w:type="dxa"/>
            <w:shd w:val="clear" w:color="auto" w:fill="auto"/>
            <w:noWrap/>
            <w:hideMark/>
          </w:tcPr>
          <w:p w14:paraId="125B2EA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4F1A354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3B7AD8D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72DE314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511499C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2FFAB36B" w14:textId="77777777" w:rsidTr="00F31129">
        <w:tc>
          <w:tcPr>
            <w:tcW w:w="5245" w:type="dxa"/>
            <w:shd w:val="clear" w:color="auto" w:fill="auto"/>
            <w:hideMark/>
          </w:tcPr>
          <w:p w14:paraId="776671F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Climate Mobility</w:t>
            </w:r>
          </w:p>
        </w:tc>
        <w:tc>
          <w:tcPr>
            <w:tcW w:w="1346" w:type="dxa"/>
            <w:shd w:val="clear" w:color="auto" w:fill="auto"/>
            <w:hideMark/>
          </w:tcPr>
          <w:p w14:paraId="302F4C2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2.00</w:t>
            </w:r>
          </w:p>
        </w:tc>
        <w:tc>
          <w:tcPr>
            <w:tcW w:w="1286" w:type="dxa"/>
            <w:shd w:val="clear" w:color="auto" w:fill="auto"/>
            <w:noWrap/>
            <w:hideMark/>
          </w:tcPr>
          <w:p w14:paraId="21884C68"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1.30</w:t>
            </w:r>
          </w:p>
        </w:tc>
        <w:tc>
          <w:tcPr>
            <w:tcW w:w="988" w:type="dxa"/>
            <w:shd w:val="clear" w:color="auto" w:fill="auto"/>
            <w:noWrap/>
            <w:hideMark/>
          </w:tcPr>
          <w:p w14:paraId="04E7F10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5116325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5B96388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2D0375B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78C81C8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32E21740" w14:textId="77777777" w:rsidTr="00F31129">
        <w:tc>
          <w:tcPr>
            <w:tcW w:w="5245" w:type="dxa"/>
            <w:shd w:val="clear" w:color="auto" w:fill="auto"/>
            <w:hideMark/>
          </w:tcPr>
          <w:p w14:paraId="3FC1E40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Averting Water-related Emergencies</w:t>
            </w:r>
          </w:p>
        </w:tc>
        <w:tc>
          <w:tcPr>
            <w:tcW w:w="1346" w:type="dxa"/>
            <w:shd w:val="clear" w:color="auto" w:fill="auto"/>
            <w:hideMark/>
          </w:tcPr>
          <w:p w14:paraId="0C55469F"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0.25</w:t>
            </w:r>
          </w:p>
        </w:tc>
        <w:tc>
          <w:tcPr>
            <w:tcW w:w="1286" w:type="dxa"/>
            <w:shd w:val="clear" w:color="auto" w:fill="auto"/>
            <w:noWrap/>
            <w:hideMark/>
          </w:tcPr>
          <w:p w14:paraId="3E82FB15"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0.16</w:t>
            </w:r>
          </w:p>
        </w:tc>
        <w:tc>
          <w:tcPr>
            <w:tcW w:w="988" w:type="dxa"/>
            <w:shd w:val="clear" w:color="auto" w:fill="auto"/>
            <w:noWrap/>
            <w:hideMark/>
          </w:tcPr>
          <w:p w14:paraId="41E72CB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5CAC663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5CDB1D9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5D0BAF4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24502D2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Water and sanitation</w:t>
            </w:r>
          </w:p>
        </w:tc>
      </w:tr>
      <w:tr w:rsidR="00B71B4E" w:rsidRPr="00BD16B4" w14:paraId="50CC9932" w14:textId="77777777" w:rsidTr="00F31129">
        <w:tc>
          <w:tcPr>
            <w:tcW w:w="5245" w:type="dxa"/>
            <w:shd w:val="clear" w:color="auto" w:fill="auto"/>
            <w:hideMark/>
          </w:tcPr>
          <w:p w14:paraId="26A2CE6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Reduce Risk of Water Scarcity</w:t>
            </w:r>
          </w:p>
        </w:tc>
        <w:tc>
          <w:tcPr>
            <w:tcW w:w="1346" w:type="dxa"/>
            <w:shd w:val="clear" w:color="auto" w:fill="auto"/>
            <w:hideMark/>
          </w:tcPr>
          <w:p w14:paraId="4ED57C05"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3.33</w:t>
            </w:r>
          </w:p>
        </w:tc>
        <w:tc>
          <w:tcPr>
            <w:tcW w:w="1286" w:type="dxa"/>
            <w:shd w:val="clear" w:color="auto" w:fill="auto"/>
            <w:noWrap/>
            <w:hideMark/>
          </w:tcPr>
          <w:p w14:paraId="6F03988A"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2.16</w:t>
            </w:r>
          </w:p>
        </w:tc>
        <w:tc>
          <w:tcPr>
            <w:tcW w:w="988" w:type="dxa"/>
            <w:shd w:val="clear" w:color="auto" w:fill="auto"/>
            <w:noWrap/>
            <w:hideMark/>
          </w:tcPr>
          <w:p w14:paraId="77FFE65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2F3442F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02FAC45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694B350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053EAF0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Water and sanitation</w:t>
            </w:r>
          </w:p>
        </w:tc>
      </w:tr>
      <w:tr w:rsidR="00B71B4E" w:rsidRPr="00BD16B4" w14:paraId="1C54FB2D" w14:textId="77777777" w:rsidTr="00F31129">
        <w:tc>
          <w:tcPr>
            <w:tcW w:w="5245" w:type="dxa"/>
            <w:shd w:val="clear" w:color="auto" w:fill="auto"/>
            <w:hideMark/>
          </w:tcPr>
          <w:p w14:paraId="541DF93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Cook Islands / Wastewater Activity </w:t>
            </w:r>
          </w:p>
        </w:tc>
        <w:tc>
          <w:tcPr>
            <w:tcW w:w="1346" w:type="dxa"/>
            <w:shd w:val="clear" w:color="auto" w:fill="auto"/>
            <w:hideMark/>
          </w:tcPr>
          <w:p w14:paraId="1CEE9BF5"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0.24</w:t>
            </w:r>
          </w:p>
        </w:tc>
        <w:tc>
          <w:tcPr>
            <w:tcW w:w="1286" w:type="dxa"/>
            <w:shd w:val="clear" w:color="auto" w:fill="auto"/>
            <w:noWrap/>
            <w:hideMark/>
          </w:tcPr>
          <w:p w14:paraId="08E1CBD7"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0.16</w:t>
            </w:r>
          </w:p>
        </w:tc>
        <w:tc>
          <w:tcPr>
            <w:tcW w:w="988" w:type="dxa"/>
            <w:shd w:val="clear" w:color="auto" w:fill="auto"/>
            <w:noWrap/>
            <w:hideMark/>
          </w:tcPr>
          <w:p w14:paraId="5955B5A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482754A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OOF</w:t>
            </w:r>
          </w:p>
        </w:tc>
        <w:tc>
          <w:tcPr>
            <w:tcW w:w="1075" w:type="dxa"/>
            <w:shd w:val="clear" w:color="auto" w:fill="auto"/>
            <w:noWrap/>
            <w:hideMark/>
          </w:tcPr>
          <w:p w14:paraId="27E7B4A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7F0B568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710307F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Water and sanitation</w:t>
            </w:r>
          </w:p>
        </w:tc>
      </w:tr>
      <w:tr w:rsidR="00B71B4E" w:rsidRPr="00BD16B4" w14:paraId="11240FF2" w14:textId="77777777" w:rsidTr="00F31129">
        <w:tc>
          <w:tcPr>
            <w:tcW w:w="5245" w:type="dxa"/>
            <w:shd w:val="clear" w:color="auto" w:fill="auto"/>
            <w:hideMark/>
          </w:tcPr>
          <w:p w14:paraId="0334B79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Design and Delivery</w:t>
            </w:r>
          </w:p>
        </w:tc>
        <w:tc>
          <w:tcPr>
            <w:tcW w:w="1346" w:type="dxa"/>
            <w:shd w:val="clear" w:color="auto" w:fill="auto"/>
            <w:hideMark/>
          </w:tcPr>
          <w:p w14:paraId="1874690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1.00</w:t>
            </w:r>
          </w:p>
        </w:tc>
        <w:tc>
          <w:tcPr>
            <w:tcW w:w="1286" w:type="dxa"/>
            <w:shd w:val="clear" w:color="auto" w:fill="auto"/>
            <w:noWrap/>
            <w:hideMark/>
          </w:tcPr>
          <w:p w14:paraId="44ED584E"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0.65</w:t>
            </w:r>
          </w:p>
        </w:tc>
        <w:tc>
          <w:tcPr>
            <w:tcW w:w="988" w:type="dxa"/>
            <w:shd w:val="clear" w:color="auto" w:fill="auto"/>
            <w:noWrap/>
            <w:hideMark/>
          </w:tcPr>
          <w:p w14:paraId="60618C5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1952B86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157A3C5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0D698A0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24E21A9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22BF4287" w14:textId="77777777" w:rsidTr="00F31129">
        <w:tc>
          <w:tcPr>
            <w:tcW w:w="5245" w:type="dxa"/>
            <w:shd w:val="clear" w:color="auto" w:fill="auto"/>
            <w:hideMark/>
          </w:tcPr>
          <w:p w14:paraId="2F8463A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Low-emissions, Climate-resilient Planning</w:t>
            </w:r>
          </w:p>
        </w:tc>
        <w:tc>
          <w:tcPr>
            <w:tcW w:w="1346" w:type="dxa"/>
            <w:shd w:val="clear" w:color="auto" w:fill="auto"/>
            <w:hideMark/>
          </w:tcPr>
          <w:p w14:paraId="04EF9BA5"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0.55</w:t>
            </w:r>
          </w:p>
        </w:tc>
        <w:tc>
          <w:tcPr>
            <w:tcW w:w="1286" w:type="dxa"/>
            <w:shd w:val="clear" w:color="auto" w:fill="auto"/>
            <w:noWrap/>
            <w:hideMark/>
          </w:tcPr>
          <w:p w14:paraId="7732AF3A"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0.35</w:t>
            </w:r>
          </w:p>
        </w:tc>
        <w:tc>
          <w:tcPr>
            <w:tcW w:w="988" w:type="dxa"/>
            <w:shd w:val="clear" w:color="auto" w:fill="auto"/>
            <w:noWrap/>
            <w:hideMark/>
          </w:tcPr>
          <w:p w14:paraId="6E793D4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3C31AF4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591E1DD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736AD1C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63FE02D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3D2179AE" w14:textId="77777777" w:rsidTr="00F31129">
        <w:tc>
          <w:tcPr>
            <w:tcW w:w="5245" w:type="dxa"/>
            <w:shd w:val="clear" w:color="auto" w:fill="auto"/>
            <w:hideMark/>
          </w:tcPr>
          <w:p w14:paraId="1E6801C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Fiji / Disaster Risk Management</w:t>
            </w:r>
          </w:p>
        </w:tc>
        <w:tc>
          <w:tcPr>
            <w:tcW w:w="1346" w:type="dxa"/>
            <w:shd w:val="clear" w:color="auto" w:fill="auto"/>
            <w:hideMark/>
          </w:tcPr>
          <w:p w14:paraId="1718BC69"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0.46</w:t>
            </w:r>
          </w:p>
        </w:tc>
        <w:tc>
          <w:tcPr>
            <w:tcW w:w="1286" w:type="dxa"/>
            <w:shd w:val="clear" w:color="auto" w:fill="auto"/>
            <w:noWrap/>
            <w:hideMark/>
          </w:tcPr>
          <w:p w14:paraId="2B00B374"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0.30</w:t>
            </w:r>
          </w:p>
        </w:tc>
        <w:tc>
          <w:tcPr>
            <w:tcW w:w="988" w:type="dxa"/>
            <w:shd w:val="clear" w:color="auto" w:fill="auto"/>
            <w:noWrap/>
            <w:hideMark/>
          </w:tcPr>
          <w:p w14:paraId="54F1428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469229A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7053F79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604EC14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4859EE8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3600E450" w14:textId="77777777" w:rsidTr="00F31129">
        <w:tc>
          <w:tcPr>
            <w:tcW w:w="5245" w:type="dxa"/>
            <w:shd w:val="clear" w:color="auto" w:fill="auto"/>
            <w:hideMark/>
          </w:tcPr>
          <w:p w14:paraId="4845D59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Fiji / Ease of Doing Business – International Finance Corporation contribution</w:t>
            </w:r>
          </w:p>
        </w:tc>
        <w:tc>
          <w:tcPr>
            <w:tcW w:w="1346" w:type="dxa"/>
            <w:shd w:val="clear" w:color="auto" w:fill="auto"/>
            <w:hideMark/>
          </w:tcPr>
          <w:p w14:paraId="3A20B3DD"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0.60</w:t>
            </w:r>
          </w:p>
        </w:tc>
        <w:tc>
          <w:tcPr>
            <w:tcW w:w="1286" w:type="dxa"/>
            <w:shd w:val="clear" w:color="auto" w:fill="auto"/>
            <w:noWrap/>
            <w:hideMark/>
          </w:tcPr>
          <w:p w14:paraId="13A0F83C"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0.39</w:t>
            </w:r>
          </w:p>
        </w:tc>
        <w:tc>
          <w:tcPr>
            <w:tcW w:w="988" w:type="dxa"/>
            <w:shd w:val="clear" w:color="auto" w:fill="auto"/>
            <w:noWrap/>
            <w:hideMark/>
          </w:tcPr>
          <w:p w14:paraId="215FCC3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73296F0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1796649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7F9D11D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47C39A3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Business and other services</w:t>
            </w:r>
          </w:p>
        </w:tc>
      </w:tr>
      <w:tr w:rsidR="00B71B4E" w:rsidRPr="00BD16B4" w14:paraId="17C3C1E2" w14:textId="77777777" w:rsidTr="00F31129">
        <w:tc>
          <w:tcPr>
            <w:tcW w:w="5245" w:type="dxa"/>
            <w:shd w:val="clear" w:color="auto" w:fill="auto"/>
            <w:hideMark/>
          </w:tcPr>
          <w:p w14:paraId="5B4395D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lastRenderedPageBreak/>
              <w:t>Fiji / RISE – Upgrades for Informal Settlements</w:t>
            </w:r>
          </w:p>
        </w:tc>
        <w:tc>
          <w:tcPr>
            <w:tcW w:w="1346" w:type="dxa"/>
            <w:shd w:val="clear" w:color="auto" w:fill="auto"/>
            <w:hideMark/>
          </w:tcPr>
          <w:p w14:paraId="4AD875EE"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2.00</w:t>
            </w:r>
          </w:p>
        </w:tc>
        <w:tc>
          <w:tcPr>
            <w:tcW w:w="1286" w:type="dxa"/>
            <w:shd w:val="clear" w:color="auto" w:fill="auto"/>
            <w:noWrap/>
            <w:hideMark/>
          </w:tcPr>
          <w:p w14:paraId="6D310BF7"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1.30</w:t>
            </w:r>
          </w:p>
        </w:tc>
        <w:tc>
          <w:tcPr>
            <w:tcW w:w="988" w:type="dxa"/>
            <w:shd w:val="clear" w:color="auto" w:fill="auto"/>
            <w:noWrap/>
            <w:hideMark/>
          </w:tcPr>
          <w:p w14:paraId="0DA5012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0E295FA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6448400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2CCE74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49D1FC2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Water and sanitation</w:t>
            </w:r>
          </w:p>
        </w:tc>
      </w:tr>
      <w:tr w:rsidR="00B71B4E" w:rsidRPr="00BD16B4" w14:paraId="59F89073" w14:textId="77777777" w:rsidTr="00F31129">
        <w:tc>
          <w:tcPr>
            <w:tcW w:w="5245" w:type="dxa"/>
            <w:shd w:val="clear" w:color="auto" w:fill="auto"/>
            <w:hideMark/>
          </w:tcPr>
          <w:p w14:paraId="4BF1C0C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Fiji / Fiji Relocation Trust Fund</w:t>
            </w:r>
          </w:p>
        </w:tc>
        <w:tc>
          <w:tcPr>
            <w:tcW w:w="1346" w:type="dxa"/>
            <w:shd w:val="clear" w:color="auto" w:fill="auto"/>
            <w:hideMark/>
          </w:tcPr>
          <w:p w14:paraId="147DB604"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0.50</w:t>
            </w:r>
          </w:p>
        </w:tc>
        <w:tc>
          <w:tcPr>
            <w:tcW w:w="1286" w:type="dxa"/>
            <w:shd w:val="clear" w:color="auto" w:fill="auto"/>
            <w:noWrap/>
            <w:hideMark/>
          </w:tcPr>
          <w:p w14:paraId="35BC6682"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0.32</w:t>
            </w:r>
          </w:p>
        </w:tc>
        <w:tc>
          <w:tcPr>
            <w:tcW w:w="988" w:type="dxa"/>
            <w:shd w:val="clear" w:color="auto" w:fill="auto"/>
            <w:noWrap/>
            <w:hideMark/>
          </w:tcPr>
          <w:p w14:paraId="17B565C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250DD03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1DF8C64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6BDBBA3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67844FD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Other social infrastructure and services</w:t>
            </w:r>
          </w:p>
        </w:tc>
      </w:tr>
      <w:tr w:rsidR="00B71B4E" w:rsidRPr="00BD16B4" w14:paraId="36DC8A0E" w14:textId="77777777" w:rsidTr="00F31129">
        <w:tc>
          <w:tcPr>
            <w:tcW w:w="5245" w:type="dxa"/>
            <w:shd w:val="clear" w:color="auto" w:fill="auto"/>
            <w:hideMark/>
          </w:tcPr>
          <w:p w14:paraId="2FCA6A5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Fiji / Dairy Industry Development Initiative</w:t>
            </w:r>
          </w:p>
        </w:tc>
        <w:tc>
          <w:tcPr>
            <w:tcW w:w="1346" w:type="dxa"/>
            <w:shd w:val="clear" w:color="auto" w:fill="auto"/>
            <w:hideMark/>
          </w:tcPr>
          <w:p w14:paraId="035E47ED"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0.40</w:t>
            </w:r>
          </w:p>
        </w:tc>
        <w:tc>
          <w:tcPr>
            <w:tcW w:w="1286" w:type="dxa"/>
            <w:shd w:val="clear" w:color="auto" w:fill="auto"/>
            <w:noWrap/>
            <w:hideMark/>
          </w:tcPr>
          <w:p w14:paraId="52FA0B0A"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0.26</w:t>
            </w:r>
          </w:p>
        </w:tc>
        <w:tc>
          <w:tcPr>
            <w:tcW w:w="988" w:type="dxa"/>
            <w:shd w:val="clear" w:color="auto" w:fill="auto"/>
            <w:noWrap/>
            <w:hideMark/>
          </w:tcPr>
          <w:p w14:paraId="5D86647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07C8D6F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3EEA876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6589E6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50C1D38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2296602A" w14:textId="77777777" w:rsidTr="00F31129">
        <w:tc>
          <w:tcPr>
            <w:tcW w:w="5245" w:type="dxa"/>
            <w:shd w:val="clear" w:color="auto" w:fill="auto"/>
            <w:hideMark/>
          </w:tcPr>
          <w:p w14:paraId="45A914C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Fiji / Habitat Training for Disaster Risk Reduction in Fiji</w:t>
            </w:r>
          </w:p>
        </w:tc>
        <w:tc>
          <w:tcPr>
            <w:tcW w:w="1346" w:type="dxa"/>
            <w:shd w:val="clear" w:color="auto" w:fill="auto"/>
            <w:hideMark/>
          </w:tcPr>
          <w:p w14:paraId="028EDA08"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0.21</w:t>
            </w:r>
          </w:p>
        </w:tc>
        <w:tc>
          <w:tcPr>
            <w:tcW w:w="1286" w:type="dxa"/>
            <w:shd w:val="clear" w:color="auto" w:fill="auto"/>
            <w:noWrap/>
            <w:hideMark/>
          </w:tcPr>
          <w:p w14:paraId="3D4F202D"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0.13</w:t>
            </w:r>
          </w:p>
        </w:tc>
        <w:tc>
          <w:tcPr>
            <w:tcW w:w="988" w:type="dxa"/>
            <w:shd w:val="clear" w:color="auto" w:fill="auto"/>
            <w:noWrap/>
            <w:hideMark/>
          </w:tcPr>
          <w:p w14:paraId="1F922BD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45A8277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5EFE52E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5DBF1F8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0828DC4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Humanitarian </w:t>
            </w:r>
          </w:p>
        </w:tc>
      </w:tr>
      <w:tr w:rsidR="00B71B4E" w:rsidRPr="00BD16B4" w14:paraId="7D69B0B4" w14:textId="77777777" w:rsidTr="00F31129">
        <w:tc>
          <w:tcPr>
            <w:tcW w:w="5245" w:type="dxa"/>
            <w:shd w:val="clear" w:color="auto" w:fill="auto"/>
            <w:hideMark/>
          </w:tcPr>
          <w:p w14:paraId="7DF3E7B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Mainstreaming Climate Change in Governance</w:t>
            </w:r>
          </w:p>
        </w:tc>
        <w:tc>
          <w:tcPr>
            <w:tcW w:w="1346" w:type="dxa"/>
            <w:shd w:val="clear" w:color="auto" w:fill="auto"/>
            <w:hideMark/>
          </w:tcPr>
          <w:p w14:paraId="110D9474"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3.75</w:t>
            </w:r>
          </w:p>
        </w:tc>
        <w:tc>
          <w:tcPr>
            <w:tcW w:w="1286" w:type="dxa"/>
            <w:shd w:val="clear" w:color="auto" w:fill="auto"/>
            <w:noWrap/>
            <w:hideMark/>
          </w:tcPr>
          <w:p w14:paraId="5104DD8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2.43</w:t>
            </w:r>
          </w:p>
        </w:tc>
        <w:tc>
          <w:tcPr>
            <w:tcW w:w="988" w:type="dxa"/>
            <w:shd w:val="clear" w:color="auto" w:fill="auto"/>
            <w:noWrap/>
            <w:hideMark/>
          </w:tcPr>
          <w:p w14:paraId="42B2CD5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607C923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2603363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644449E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2AD30B6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Governance and civil society</w:t>
            </w:r>
          </w:p>
        </w:tc>
      </w:tr>
      <w:tr w:rsidR="00B71B4E" w:rsidRPr="00BD16B4" w14:paraId="2EA33BA0" w14:textId="77777777" w:rsidTr="00F31129">
        <w:tc>
          <w:tcPr>
            <w:tcW w:w="5245" w:type="dxa"/>
            <w:shd w:val="clear" w:color="auto" w:fill="auto"/>
            <w:hideMark/>
          </w:tcPr>
          <w:p w14:paraId="5AACE95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Pacific Islands Emergency Management Alliance</w:t>
            </w:r>
          </w:p>
        </w:tc>
        <w:tc>
          <w:tcPr>
            <w:tcW w:w="1346" w:type="dxa"/>
            <w:shd w:val="clear" w:color="auto" w:fill="auto"/>
            <w:hideMark/>
          </w:tcPr>
          <w:p w14:paraId="36819E48"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0.30</w:t>
            </w:r>
          </w:p>
        </w:tc>
        <w:tc>
          <w:tcPr>
            <w:tcW w:w="1286" w:type="dxa"/>
            <w:shd w:val="clear" w:color="auto" w:fill="auto"/>
            <w:noWrap/>
            <w:hideMark/>
          </w:tcPr>
          <w:p w14:paraId="25A1EF8C"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0.19</w:t>
            </w:r>
          </w:p>
        </w:tc>
        <w:tc>
          <w:tcPr>
            <w:tcW w:w="988" w:type="dxa"/>
            <w:shd w:val="clear" w:color="auto" w:fill="auto"/>
            <w:noWrap/>
            <w:hideMark/>
          </w:tcPr>
          <w:p w14:paraId="506F9AF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6498A5A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4F190E0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0F3B17A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6906381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Humanitarian </w:t>
            </w:r>
          </w:p>
        </w:tc>
      </w:tr>
      <w:tr w:rsidR="00B71B4E" w:rsidRPr="00BD16B4" w14:paraId="70E16DE4" w14:textId="77777777" w:rsidTr="00F31129">
        <w:tc>
          <w:tcPr>
            <w:tcW w:w="5245" w:type="dxa"/>
            <w:shd w:val="clear" w:color="auto" w:fill="auto"/>
            <w:hideMark/>
          </w:tcPr>
          <w:p w14:paraId="47333E7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Worldwide / Disability-inclusive Humanitarian Action</w:t>
            </w:r>
          </w:p>
        </w:tc>
        <w:tc>
          <w:tcPr>
            <w:tcW w:w="1346" w:type="dxa"/>
            <w:shd w:val="clear" w:color="auto" w:fill="auto"/>
            <w:hideMark/>
          </w:tcPr>
          <w:p w14:paraId="13F0572A"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0.13</w:t>
            </w:r>
          </w:p>
        </w:tc>
        <w:tc>
          <w:tcPr>
            <w:tcW w:w="1286" w:type="dxa"/>
            <w:shd w:val="clear" w:color="auto" w:fill="auto"/>
            <w:noWrap/>
            <w:hideMark/>
          </w:tcPr>
          <w:p w14:paraId="064CAA5F"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0.09</w:t>
            </w:r>
          </w:p>
        </w:tc>
        <w:tc>
          <w:tcPr>
            <w:tcW w:w="988" w:type="dxa"/>
            <w:shd w:val="clear" w:color="auto" w:fill="auto"/>
            <w:noWrap/>
            <w:hideMark/>
          </w:tcPr>
          <w:p w14:paraId="4630B64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55CCE13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2FE8A94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0BB3391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75A25D4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Humanitarian </w:t>
            </w:r>
          </w:p>
        </w:tc>
      </w:tr>
      <w:tr w:rsidR="00B71B4E" w:rsidRPr="00BD16B4" w14:paraId="6BD71D9C" w14:textId="77777777" w:rsidTr="00F31129">
        <w:tc>
          <w:tcPr>
            <w:tcW w:w="5245" w:type="dxa"/>
            <w:shd w:val="clear" w:color="auto" w:fill="auto"/>
            <w:hideMark/>
          </w:tcPr>
          <w:p w14:paraId="1341C2D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New Zealand Red Cross Partnership</w:t>
            </w:r>
          </w:p>
        </w:tc>
        <w:tc>
          <w:tcPr>
            <w:tcW w:w="1346" w:type="dxa"/>
            <w:shd w:val="clear" w:color="auto" w:fill="auto"/>
            <w:hideMark/>
          </w:tcPr>
          <w:p w14:paraId="5CDC3AB9"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0.64</w:t>
            </w:r>
          </w:p>
        </w:tc>
        <w:tc>
          <w:tcPr>
            <w:tcW w:w="1286" w:type="dxa"/>
            <w:shd w:val="clear" w:color="auto" w:fill="auto"/>
            <w:noWrap/>
            <w:hideMark/>
          </w:tcPr>
          <w:p w14:paraId="07C5A0C7"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0.42</w:t>
            </w:r>
          </w:p>
        </w:tc>
        <w:tc>
          <w:tcPr>
            <w:tcW w:w="988" w:type="dxa"/>
            <w:shd w:val="clear" w:color="auto" w:fill="auto"/>
            <w:noWrap/>
            <w:hideMark/>
          </w:tcPr>
          <w:p w14:paraId="43B5B66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2D236B8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42E0F94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BC7ED7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4FEDAB7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Humanitarian </w:t>
            </w:r>
          </w:p>
        </w:tc>
      </w:tr>
      <w:tr w:rsidR="00B71B4E" w:rsidRPr="00BD16B4" w14:paraId="66997303" w14:textId="77777777" w:rsidTr="00F31129">
        <w:tc>
          <w:tcPr>
            <w:tcW w:w="5245" w:type="dxa"/>
            <w:shd w:val="clear" w:color="auto" w:fill="auto"/>
            <w:hideMark/>
          </w:tcPr>
          <w:p w14:paraId="3697EAC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Caribbean Regional / Agriculture and Tourism Support</w:t>
            </w:r>
          </w:p>
        </w:tc>
        <w:tc>
          <w:tcPr>
            <w:tcW w:w="1346" w:type="dxa"/>
            <w:shd w:val="clear" w:color="auto" w:fill="auto"/>
            <w:hideMark/>
          </w:tcPr>
          <w:p w14:paraId="7D16869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0.17</w:t>
            </w:r>
          </w:p>
        </w:tc>
        <w:tc>
          <w:tcPr>
            <w:tcW w:w="1286" w:type="dxa"/>
            <w:shd w:val="clear" w:color="auto" w:fill="auto"/>
            <w:noWrap/>
            <w:hideMark/>
          </w:tcPr>
          <w:p w14:paraId="6435644E"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0.11</w:t>
            </w:r>
          </w:p>
        </w:tc>
        <w:tc>
          <w:tcPr>
            <w:tcW w:w="988" w:type="dxa"/>
            <w:shd w:val="clear" w:color="auto" w:fill="auto"/>
            <w:noWrap/>
            <w:hideMark/>
          </w:tcPr>
          <w:p w14:paraId="6F55F97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504F86F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15F8C78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040C840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6F31DA8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50F7950B" w14:textId="77777777" w:rsidTr="00F31129">
        <w:tc>
          <w:tcPr>
            <w:tcW w:w="5245" w:type="dxa"/>
            <w:shd w:val="clear" w:color="auto" w:fill="auto"/>
            <w:hideMark/>
          </w:tcPr>
          <w:p w14:paraId="27DE319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Caribbean Regional / Caribbean Geothermal Technical Assistance Phase II</w:t>
            </w:r>
          </w:p>
        </w:tc>
        <w:tc>
          <w:tcPr>
            <w:tcW w:w="1346" w:type="dxa"/>
            <w:shd w:val="clear" w:color="auto" w:fill="auto"/>
            <w:hideMark/>
          </w:tcPr>
          <w:p w14:paraId="1221AFEC"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1.31</w:t>
            </w:r>
          </w:p>
        </w:tc>
        <w:tc>
          <w:tcPr>
            <w:tcW w:w="1286" w:type="dxa"/>
            <w:shd w:val="clear" w:color="auto" w:fill="auto"/>
            <w:noWrap/>
            <w:hideMark/>
          </w:tcPr>
          <w:p w14:paraId="3166B572"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0.85</w:t>
            </w:r>
          </w:p>
        </w:tc>
        <w:tc>
          <w:tcPr>
            <w:tcW w:w="988" w:type="dxa"/>
            <w:shd w:val="clear" w:color="auto" w:fill="auto"/>
            <w:noWrap/>
            <w:hideMark/>
          </w:tcPr>
          <w:p w14:paraId="4C4B9F8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0C347C2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548AAF4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677397A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Mitigation</w:t>
            </w:r>
          </w:p>
        </w:tc>
        <w:tc>
          <w:tcPr>
            <w:tcW w:w="2491" w:type="dxa"/>
            <w:shd w:val="clear" w:color="auto" w:fill="auto"/>
            <w:noWrap/>
            <w:hideMark/>
          </w:tcPr>
          <w:p w14:paraId="588DBF7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Energy </w:t>
            </w:r>
          </w:p>
        </w:tc>
      </w:tr>
      <w:tr w:rsidR="00B71B4E" w:rsidRPr="00BD16B4" w14:paraId="06DC503F" w14:textId="77777777" w:rsidTr="00F31129">
        <w:tc>
          <w:tcPr>
            <w:tcW w:w="5245" w:type="dxa"/>
            <w:shd w:val="clear" w:color="auto" w:fill="auto"/>
            <w:hideMark/>
          </w:tcPr>
          <w:p w14:paraId="451DAC2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Peru / Dairy Initiative</w:t>
            </w:r>
          </w:p>
        </w:tc>
        <w:tc>
          <w:tcPr>
            <w:tcW w:w="1346" w:type="dxa"/>
            <w:shd w:val="clear" w:color="auto" w:fill="auto"/>
            <w:hideMark/>
          </w:tcPr>
          <w:p w14:paraId="1E620FE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0.13</w:t>
            </w:r>
          </w:p>
        </w:tc>
        <w:tc>
          <w:tcPr>
            <w:tcW w:w="1286" w:type="dxa"/>
            <w:shd w:val="clear" w:color="auto" w:fill="auto"/>
            <w:noWrap/>
            <w:hideMark/>
          </w:tcPr>
          <w:p w14:paraId="3308486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0.08</w:t>
            </w:r>
          </w:p>
        </w:tc>
        <w:tc>
          <w:tcPr>
            <w:tcW w:w="988" w:type="dxa"/>
            <w:shd w:val="clear" w:color="auto" w:fill="auto"/>
            <w:noWrap/>
            <w:hideMark/>
          </w:tcPr>
          <w:p w14:paraId="5FCDDE6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77D9C02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77AC79F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2ED0F48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2142484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15945E32" w14:textId="77777777" w:rsidTr="00F31129">
        <w:tc>
          <w:tcPr>
            <w:tcW w:w="5245" w:type="dxa"/>
            <w:shd w:val="clear" w:color="auto" w:fill="auto"/>
            <w:hideMark/>
          </w:tcPr>
          <w:p w14:paraId="4CFF430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Strengthening Pacific Monitoring, Evaluation and Learning (MEL) Capacity</w:t>
            </w:r>
          </w:p>
        </w:tc>
        <w:tc>
          <w:tcPr>
            <w:tcW w:w="1346" w:type="dxa"/>
            <w:shd w:val="clear" w:color="auto" w:fill="auto"/>
            <w:hideMark/>
          </w:tcPr>
          <w:p w14:paraId="77BC0C1B"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0.14</w:t>
            </w:r>
          </w:p>
        </w:tc>
        <w:tc>
          <w:tcPr>
            <w:tcW w:w="1286" w:type="dxa"/>
            <w:shd w:val="clear" w:color="auto" w:fill="auto"/>
            <w:noWrap/>
            <w:hideMark/>
          </w:tcPr>
          <w:p w14:paraId="04296578"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0.09</w:t>
            </w:r>
          </w:p>
        </w:tc>
        <w:tc>
          <w:tcPr>
            <w:tcW w:w="988" w:type="dxa"/>
            <w:shd w:val="clear" w:color="auto" w:fill="auto"/>
            <w:noWrap/>
            <w:hideMark/>
          </w:tcPr>
          <w:p w14:paraId="4326513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30073DD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20DB5EA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1ACB23C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7E29685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5EDCBD80" w14:textId="77777777" w:rsidTr="00F31129">
        <w:tc>
          <w:tcPr>
            <w:tcW w:w="5245" w:type="dxa"/>
            <w:shd w:val="clear" w:color="auto" w:fill="auto"/>
            <w:hideMark/>
          </w:tcPr>
          <w:p w14:paraId="77EE6B6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Pacific Climate Change Mobility Scoping Study</w:t>
            </w:r>
          </w:p>
        </w:tc>
        <w:tc>
          <w:tcPr>
            <w:tcW w:w="1346" w:type="dxa"/>
            <w:shd w:val="clear" w:color="auto" w:fill="auto"/>
            <w:hideMark/>
          </w:tcPr>
          <w:p w14:paraId="109BDE1C"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0.13</w:t>
            </w:r>
          </w:p>
        </w:tc>
        <w:tc>
          <w:tcPr>
            <w:tcW w:w="1286" w:type="dxa"/>
            <w:shd w:val="clear" w:color="auto" w:fill="auto"/>
            <w:noWrap/>
            <w:hideMark/>
          </w:tcPr>
          <w:p w14:paraId="46A4A3ED"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0.09</w:t>
            </w:r>
          </w:p>
        </w:tc>
        <w:tc>
          <w:tcPr>
            <w:tcW w:w="988" w:type="dxa"/>
            <w:shd w:val="clear" w:color="auto" w:fill="auto"/>
            <w:noWrap/>
            <w:hideMark/>
          </w:tcPr>
          <w:p w14:paraId="3531871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4817C4C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52E5278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3C2AAEC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4C7FD35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0F0AA9F2" w14:textId="77777777" w:rsidTr="00F31129">
        <w:tc>
          <w:tcPr>
            <w:tcW w:w="5245" w:type="dxa"/>
            <w:shd w:val="clear" w:color="auto" w:fill="auto"/>
            <w:hideMark/>
          </w:tcPr>
          <w:p w14:paraId="555EB71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Nauru / Energy Efficiency</w:t>
            </w:r>
          </w:p>
        </w:tc>
        <w:tc>
          <w:tcPr>
            <w:tcW w:w="1346" w:type="dxa"/>
            <w:shd w:val="clear" w:color="auto" w:fill="auto"/>
            <w:hideMark/>
          </w:tcPr>
          <w:p w14:paraId="2DA37E52"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0.15</w:t>
            </w:r>
          </w:p>
        </w:tc>
        <w:tc>
          <w:tcPr>
            <w:tcW w:w="1286" w:type="dxa"/>
            <w:shd w:val="clear" w:color="auto" w:fill="auto"/>
            <w:noWrap/>
            <w:hideMark/>
          </w:tcPr>
          <w:p w14:paraId="7431DEC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0.10</w:t>
            </w:r>
          </w:p>
        </w:tc>
        <w:tc>
          <w:tcPr>
            <w:tcW w:w="988" w:type="dxa"/>
            <w:shd w:val="clear" w:color="auto" w:fill="auto"/>
            <w:noWrap/>
            <w:hideMark/>
          </w:tcPr>
          <w:p w14:paraId="383BC9E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68BDDF3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5729063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5BE03F8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44F1E5D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Energy </w:t>
            </w:r>
          </w:p>
        </w:tc>
      </w:tr>
      <w:tr w:rsidR="00B71B4E" w:rsidRPr="00BD16B4" w14:paraId="2A792A5A" w14:textId="77777777" w:rsidTr="00F31129">
        <w:tc>
          <w:tcPr>
            <w:tcW w:w="5245" w:type="dxa"/>
            <w:shd w:val="clear" w:color="auto" w:fill="auto"/>
            <w:hideMark/>
          </w:tcPr>
          <w:p w14:paraId="272657A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Nauru / Renewable Energy Initiative</w:t>
            </w:r>
          </w:p>
        </w:tc>
        <w:tc>
          <w:tcPr>
            <w:tcW w:w="1346" w:type="dxa"/>
            <w:shd w:val="clear" w:color="auto" w:fill="auto"/>
            <w:hideMark/>
          </w:tcPr>
          <w:p w14:paraId="04FE2227"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0.77</w:t>
            </w:r>
          </w:p>
        </w:tc>
        <w:tc>
          <w:tcPr>
            <w:tcW w:w="1286" w:type="dxa"/>
            <w:shd w:val="clear" w:color="auto" w:fill="auto"/>
            <w:noWrap/>
            <w:hideMark/>
          </w:tcPr>
          <w:p w14:paraId="2470DC48"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0.50</w:t>
            </w:r>
          </w:p>
        </w:tc>
        <w:tc>
          <w:tcPr>
            <w:tcW w:w="988" w:type="dxa"/>
            <w:shd w:val="clear" w:color="auto" w:fill="auto"/>
            <w:noWrap/>
            <w:hideMark/>
          </w:tcPr>
          <w:p w14:paraId="18BF6CC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02BCF81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2686767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0F7C044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Mitigation</w:t>
            </w:r>
          </w:p>
        </w:tc>
        <w:tc>
          <w:tcPr>
            <w:tcW w:w="2491" w:type="dxa"/>
            <w:shd w:val="clear" w:color="auto" w:fill="auto"/>
            <w:noWrap/>
            <w:hideMark/>
          </w:tcPr>
          <w:p w14:paraId="23BD267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Energy </w:t>
            </w:r>
          </w:p>
        </w:tc>
      </w:tr>
      <w:tr w:rsidR="00B71B4E" w:rsidRPr="00BD16B4" w14:paraId="1FAFEA05" w14:textId="77777777" w:rsidTr="00F31129">
        <w:tc>
          <w:tcPr>
            <w:tcW w:w="5245" w:type="dxa"/>
            <w:shd w:val="clear" w:color="auto" w:fill="auto"/>
            <w:hideMark/>
          </w:tcPr>
          <w:p w14:paraId="055A7BF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Niue / Strengthen Governance: Infrastructure</w:t>
            </w:r>
          </w:p>
        </w:tc>
        <w:tc>
          <w:tcPr>
            <w:tcW w:w="1346" w:type="dxa"/>
            <w:shd w:val="clear" w:color="auto" w:fill="auto"/>
            <w:hideMark/>
          </w:tcPr>
          <w:p w14:paraId="7B5362B6"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0.61</w:t>
            </w:r>
          </w:p>
        </w:tc>
        <w:tc>
          <w:tcPr>
            <w:tcW w:w="1286" w:type="dxa"/>
            <w:shd w:val="clear" w:color="auto" w:fill="auto"/>
            <w:noWrap/>
            <w:hideMark/>
          </w:tcPr>
          <w:p w14:paraId="48FEDD19"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0.40</w:t>
            </w:r>
          </w:p>
        </w:tc>
        <w:tc>
          <w:tcPr>
            <w:tcW w:w="988" w:type="dxa"/>
            <w:shd w:val="clear" w:color="auto" w:fill="auto"/>
            <w:noWrap/>
            <w:hideMark/>
          </w:tcPr>
          <w:p w14:paraId="7474E10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42E96DF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102C34A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0AEC028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1B296FB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Government and civil society</w:t>
            </w:r>
          </w:p>
        </w:tc>
      </w:tr>
      <w:tr w:rsidR="00B71B4E" w:rsidRPr="00BD16B4" w14:paraId="1B9E1DBC" w14:textId="77777777" w:rsidTr="00F31129">
        <w:tc>
          <w:tcPr>
            <w:tcW w:w="5245" w:type="dxa"/>
            <w:shd w:val="clear" w:color="auto" w:fill="auto"/>
            <w:hideMark/>
          </w:tcPr>
          <w:p w14:paraId="3AB1852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Niue / Renewable Energy Activity</w:t>
            </w:r>
          </w:p>
        </w:tc>
        <w:tc>
          <w:tcPr>
            <w:tcW w:w="1346" w:type="dxa"/>
            <w:shd w:val="clear" w:color="auto" w:fill="auto"/>
            <w:hideMark/>
          </w:tcPr>
          <w:p w14:paraId="474EF480"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0.22</w:t>
            </w:r>
          </w:p>
        </w:tc>
        <w:tc>
          <w:tcPr>
            <w:tcW w:w="1286" w:type="dxa"/>
            <w:shd w:val="clear" w:color="auto" w:fill="auto"/>
            <w:noWrap/>
            <w:hideMark/>
          </w:tcPr>
          <w:p w14:paraId="3B06B495"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0.15</w:t>
            </w:r>
          </w:p>
        </w:tc>
        <w:tc>
          <w:tcPr>
            <w:tcW w:w="988" w:type="dxa"/>
            <w:shd w:val="clear" w:color="auto" w:fill="auto"/>
            <w:noWrap/>
            <w:hideMark/>
          </w:tcPr>
          <w:p w14:paraId="0B4A890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4578982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3E72079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379A8D5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3F2C254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Energy </w:t>
            </w:r>
          </w:p>
        </w:tc>
      </w:tr>
      <w:tr w:rsidR="00B71B4E" w:rsidRPr="00BD16B4" w14:paraId="50D96898" w14:textId="77777777" w:rsidTr="00F31129">
        <w:tc>
          <w:tcPr>
            <w:tcW w:w="5245" w:type="dxa"/>
            <w:shd w:val="clear" w:color="auto" w:fill="auto"/>
            <w:hideMark/>
          </w:tcPr>
          <w:p w14:paraId="1BE7771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Federated States of Micronesia / Energy Initiative</w:t>
            </w:r>
          </w:p>
        </w:tc>
        <w:tc>
          <w:tcPr>
            <w:tcW w:w="1346" w:type="dxa"/>
            <w:shd w:val="clear" w:color="auto" w:fill="auto"/>
            <w:hideMark/>
          </w:tcPr>
          <w:p w14:paraId="19D04CE7"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0.20</w:t>
            </w:r>
          </w:p>
        </w:tc>
        <w:tc>
          <w:tcPr>
            <w:tcW w:w="1286" w:type="dxa"/>
            <w:shd w:val="clear" w:color="auto" w:fill="auto"/>
            <w:noWrap/>
            <w:hideMark/>
          </w:tcPr>
          <w:p w14:paraId="6722FF7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0.13</w:t>
            </w:r>
          </w:p>
        </w:tc>
        <w:tc>
          <w:tcPr>
            <w:tcW w:w="988" w:type="dxa"/>
            <w:shd w:val="clear" w:color="auto" w:fill="auto"/>
            <w:noWrap/>
            <w:hideMark/>
          </w:tcPr>
          <w:p w14:paraId="44AECE3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012931D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2469477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75E6811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Mitigation</w:t>
            </w:r>
          </w:p>
        </w:tc>
        <w:tc>
          <w:tcPr>
            <w:tcW w:w="2491" w:type="dxa"/>
            <w:shd w:val="clear" w:color="auto" w:fill="auto"/>
            <w:noWrap/>
            <w:hideMark/>
          </w:tcPr>
          <w:p w14:paraId="26F2EF7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Energy </w:t>
            </w:r>
          </w:p>
        </w:tc>
      </w:tr>
      <w:tr w:rsidR="00B71B4E" w:rsidRPr="00BD16B4" w14:paraId="53E7F5D3" w14:textId="77777777" w:rsidTr="00F31129">
        <w:tc>
          <w:tcPr>
            <w:tcW w:w="5245" w:type="dxa"/>
            <w:shd w:val="clear" w:color="auto" w:fill="auto"/>
            <w:hideMark/>
          </w:tcPr>
          <w:p w14:paraId="3F8E6A2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Republic of Marshall Islands / Energy Initiative</w:t>
            </w:r>
          </w:p>
        </w:tc>
        <w:tc>
          <w:tcPr>
            <w:tcW w:w="1346" w:type="dxa"/>
            <w:shd w:val="clear" w:color="auto" w:fill="auto"/>
            <w:hideMark/>
          </w:tcPr>
          <w:p w14:paraId="558C542E"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0.15</w:t>
            </w:r>
          </w:p>
        </w:tc>
        <w:tc>
          <w:tcPr>
            <w:tcW w:w="1286" w:type="dxa"/>
            <w:shd w:val="clear" w:color="auto" w:fill="auto"/>
            <w:noWrap/>
            <w:hideMark/>
          </w:tcPr>
          <w:p w14:paraId="03865104"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0.10</w:t>
            </w:r>
          </w:p>
        </w:tc>
        <w:tc>
          <w:tcPr>
            <w:tcW w:w="988" w:type="dxa"/>
            <w:shd w:val="clear" w:color="auto" w:fill="auto"/>
            <w:noWrap/>
            <w:hideMark/>
          </w:tcPr>
          <w:p w14:paraId="52DEB3E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44A9BB7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3E8A277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5519BD0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Mitigation</w:t>
            </w:r>
          </w:p>
        </w:tc>
        <w:tc>
          <w:tcPr>
            <w:tcW w:w="2491" w:type="dxa"/>
            <w:shd w:val="clear" w:color="auto" w:fill="auto"/>
            <w:noWrap/>
            <w:hideMark/>
          </w:tcPr>
          <w:p w14:paraId="57758E7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Energy </w:t>
            </w:r>
          </w:p>
        </w:tc>
      </w:tr>
      <w:tr w:rsidR="00B71B4E" w:rsidRPr="00BD16B4" w14:paraId="1F9F3A51" w14:textId="77777777" w:rsidTr="00F31129">
        <w:tc>
          <w:tcPr>
            <w:tcW w:w="5245" w:type="dxa"/>
            <w:shd w:val="clear" w:color="auto" w:fill="auto"/>
            <w:hideMark/>
          </w:tcPr>
          <w:p w14:paraId="04CE842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Palau / Energy Initiatives</w:t>
            </w:r>
          </w:p>
        </w:tc>
        <w:tc>
          <w:tcPr>
            <w:tcW w:w="1346" w:type="dxa"/>
            <w:shd w:val="clear" w:color="auto" w:fill="auto"/>
            <w:hideMark/>
          </w:tcPr>
          <w:p w14:paraId="01AFD616"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0.31</w:t>
            </w:r>
          </w:p>
        </w:tc>
        <w:tc>
          <w:tcPr>
            <w:tcW w:w="1286" w:type="dxa"/>
            <w:shd w:val="clear" w:color="auto" w:fill="auto"/>
            <w:noWrap/>
            <w:hideMark/>
          </w:tcPr>
          <w:p w14:paraId="51B4B347"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0.20</w:t>
            </w:r>
          </w:p>
        </w:tc>
        <w:tc>
          <w:tcPr>
            <w:tcW w:w="988" w:type="dxa"/>
            <w:shd w:val="clear" w:color="auto" w:fill="auto"/>
            <w:noWrap/>
            <w:hideMark/>
          </w:tcPr>
          <w:p w14:paraId="1C4E87D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0BBEBDF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2F8A8BA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711CD7E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Mitigation</w:t>
            </w:r>
          </w:p>
        </w:tc>
        <w:tc>
          <w:tcPr>
            <w:tcW w:w="2491" w:type="dxa"/>
            <w:shd w:val="clear" w:color="auto" w:fill="auto"/>
            <w:noWrap/>
            <w:hideMark/>
          </w:tcPr>
          <w:p w14:paraId="7A94201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Energy </w:t>
            </w:r>
          </w:p>
        </w:tc>
      </w:tr>
      <w:tr w:rsidR="00B71B4E" w:rsidRPr="00BD16B4" w14:paraId="112B0E44" w14:textId="77777777" w:rsidTr="00F31129">
        <w:tc>
          <w:tcPr>
            <w:tcW w:w="5245" w:type="dxa"/>
            <w:shd w:val="clear" w:color="auto" w:fill="auto"/>
            <w:hideMark/>
          </w:tcPr>
          <w:p w14:paraId="3A8CFEE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Palau / Support to Our Ocean 2020</w:t>
            </w:r>
          </w:p>
        </w:tc>
        <w:tc>
          <w:tcPr>
            <w:tcW w:w="1346" w:type="dxa"/>
            <w:shd w:val="clear" w:color="auto" w:fill="auto"/>
            <w:hideMark/>
          </w:tcPr>
          <w:p w14:paraId="4E1CD19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0.20</w:t>
            </w:r>
          </w:p>
        </w:tc>
        <w:tc>
          <w:tcPr>
            <w:tcW w:w="1286" w:type="dxa"/>
            <w:shd w:val="clear" w:color="auto" w:fill="auto"/>
            <w:noWrap/>
            <w:hideMark/>
          </w:tcPr>
          <w:p w14:paraId="42A0911A"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0.13</w:t>
            </w:r>
          </w:p>
        </w:tc>
        <w:tc>
          <w:tcPr>
            <w:tcW w:w="988" w:type="dxa"/>
            <w:shd w:val="clear" w:color="auto" w:fill="auto"/>
            <w:noWrap/>
            <w:hideMark/>
          </w:tcPr>
          <w:p w14:paraId="24EB5BB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742ABAC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264C0D5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EA9243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49DF28B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5B3B58CB" w14:textId="77777777" w:rsidTr="00F31129">
        <w:tc>
          <w:tcPr>
            <w:tcW w:w="5245" w:type="dxa"/>
            <w:shd w:val="clear" w:color="auto" w:fill="auto"/>
            <w:hideMark/>
          </w:tcPr>
          <w:p w14:paraId="3BCF093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lastRenderedPageBreak/>
              <w:t>Palestine / Renewable Energy (Office of the Quartet)</w:t>
            </w:r>
          </w:p>
        </w:tc>
        <w:tc>
          <w:tcPr>
            <w:tcW w:w="1346" w:type="dxa"/>
            <w:shd w:val="clear" w:color="auto" w:fill="auto"/>
            <w:hideMark/>
          </w:tcPr>
          <w:p w14:paraId="10A24E64"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0.19</w:t>
            </w:r>
          </w:p>
        </w:tc>
        <w:tc>
          <w:tcPr>
            <w:tcW w:w="1286" w:type="dxa"/>
            <w:shd w:val="clear" w:color="auto" w:fill="auto"/>
            <w:noWrap/>
            <w:hideMark/>
          </w:tcPr>
          <w:p w14:paraId="3DA61504"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0.12</w:t>
            </w:r>
          </w:p>
        </w:tc>
        <w:tc>
          <w:tcPr>
            <w:tcW w:w="988" w:type="dxa"/>
            <w:shd w:val="clear" w:color="auto" w:fill="auto"/>
            <w:noWrap/>
            <w:hideMark/>
          </w:tcPr>
          <w:p w14:paraId="2781074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1C00296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4D41E1C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737FB5C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056DAAB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Energy </w:t>
            </w:r>
          </w:p>
        </w:tc>
      </w:tr>
      <w:tr w:rsidR="00B71B4E" w:rsidRPr="00BD16B4" w14:paraId="22D4711F" w14:textId="77777777" w:rsidTr="00F31129">
        <w:tc>
          <w:tcPr>
            <w:tcW w:w="5245" w:type="dxa"/>
            <w:shd w:val="clear" w:color="auto" w:fill="auto"/>
            <w:hideMark/>
          </w:tcPr>
          <w:p w14:paraId="0ECA389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Sri Lanka / Dairy Excellence Training</w:t>
            </w:r>
          </w:p>
        </w:tc>
        <w:tc>
          <w:tcPr>
            <w:tcW w:w="1346" w:type="dxa"/>
            <w:shd w:val="clear" w:color="auto" w:fill="auto"/>
            <w:hideMark/>
          </w:tcPr>
          <w:p w14:paraId="7EE8DDD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0.14</w:t>
            </w:r>
          </w:p>
        </w:tc>
        <w:tc>
          <w:tcPr>
            <w:tcW w:w="1286" w:type="dxa"/>
            <w:shd w:val="clear" w:color="auto" w:fill="auto"/>
            <w:noWrap/>
            <w:hideMark/>
          </w:tcPr>
          <w:p w14:paraId="4692EEF9"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0.09</w:t>
            </w:r>
          </w:p>
        </w:tc>
        <w:tc>
          <w:tcPr>
            <w:tcW w:w="988" w:type="dxa"/>
            <w:shd w:val="clear" w:color="auto" w:fill="auto"/>
            <w:noWrap/>
            <w:hideMark/>
          </w:tcPr>
          <w:p w14:paraId="0DE6A21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63E5522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6F8E71E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6B541F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32AFF19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72A8463A" w14:textId="77777777" w:rsidTr="00F31129">
        <w:tc>
          <w:tcPr>
            <w:tcW w:w="5245" w:type="dxa"/>
            <w:shd w:val="clear" w:color="auto" w:fill="auto"/>
            <w:hideMark/>
          </w:tcPr>
          <w:p w14:paraId="4B04736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Sri Lanka / Dairy Expansion in Dry Zone </w:t>
            </w:r>
          </w:p>
        </w:tc>
        <w:tc>
          <w:tcPr>
            <w:tcW w:w="1346" w:type="dxa"/>
            <w:shd w:val="clear" w:color="auto" w:fill="auto"/>
            <w:hideMark/>
          </w:tcPr>
          <w:p w14:paraId="04CAFDCC"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0.19</w:t>
            </w:r>
          </w:p>
        </w:tc>
        <w:tc>
          <w:tcPr>
            <w:tcW w:w="1286" w:type="dxa"/>
            <w:shd w:val="clear" w:color="auto" w:fill="auto"/>
            <w:noWrap/>
            <w:hideMark/>
          </w:tcPr>
          <w:p w14:paraId="7A773F5E"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0.12</w:t>
            </w:r>
          </w:p>
        </w:tc>
        <w:tc>
          <w:tcPr>
            <w:tcW w:w="988" w:type="dxa"/>
            <w:shd w:val="clear" w:color="auto" w:fill="auto"/>
            <w:noWrap/>
            <w:hideMark/>
          </w:tcPr>
          <w:p w14:paraId="4BC6E53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2853864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275441B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6668F79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63EF695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20BA2E00" w14:textId="77777777" w:rsidTr="00F31129">
        <w:tc>
          <w:tcPr>
            <w:tcW w:w="5245" w:type="dxa"/>
            <w:shd w:val="clear" w:color="auto" w:fill="auto"/>
            <w:hideMark/>
          </w:tcPr>
          <w:p w14:paraId="3C9B1E4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Support: Office of the Pacific Ocean Commissioner</w:t>
            </w:r>
          </w:p>
        </w:tc>
        <w:tc>
          <w:tcPr>
            <w:tcW w:w="1346" w:type="dxa"/>
            <w:shd w:val="clear" w:color="auto" w:fill="auto"/>
            <w:hideMark/>
          </w:tcPr>
          <w:p w14:paraId="25E633EF"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0.15</w:t>
            </w:r>
          </w:p>
        </w:tc>
        <w:tc>
          <w:tcPr>
            <w:tcW w:w="1286" w:type="dxa"/>
            <w:shd w:val="clear" w:color="auto" w:fill="auto"/>
            <w:noWrap/>
            <w:hideMark/>
          </w:tcPr>
          <w:p w14:paraId="0B632800"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0.09</w:t>
            </w:r>
          </w:p>
        </w:tc>
        <w:tc>
          <w:tcPr>
            <w:tcW w:w="988" w:type="dxa"/>
            <w:shd w:val="clear" w:color="auto" w:fill="auto"/>
            <w:noWrap/>
            <w:hideMark/>
          </w:tcPr>
          <w:p w14:paraId="7602491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50BBB17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4B9399C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787EB9E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30AE107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1AE8D613" w14:textId="77777777" w:rsidTr="00F31129">
        <w:tc>
          <w:tcPr>
            <w:tcW w:w="5245" w:type="dxa"/>
            <w:shd w:val="clear" w:color="auto" w:fill="auto"/>
            <w:hideMark/>
          </w:tcPr>
          <w:p w14:paraId="2183732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Climate Change Programme Design</w:t>
            </w:r>
          </w:p>
        </w:tc>
        <w:tc>
          <w:tcPr>
            <w:tcW w:w="1346" w:type="dxa"/>
            <w:shd w:val="clear" w:color="auto" w:fill="auto"/>
            <w:hideMark/>
          </w:tcPr>
          <w:p w14:paraId="4AE50E4F"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0.30</w:t>
            </w:r>
          </w:p>
        </w:tc>
        <w:tc>
          <w:tcPr>
            <w:tcW w:w="1286" w:type="dxa"/>
            <w:shd w:val="clear" w:color="auto" w:fill="auto"/>
            <w:noWrap/>
            <w:hideMark/>
          </w:tcPr>
          <w:p w14:paraId="5062CB8F"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0.19</w:t>
            </w:r>
          </w:p>
        </w:tc>
        <w:tc>
          <w:tcPr>
            <w:tcW w:w="988" w:type="dxa"/>
            <w:shd w:val="clear" w:color="auto" w:fill="auto"/>
            <w:noWrap/>
            <w:hideMark/>
          </w:tcPr>
          <w:p w14:paraId="7928052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0F5A07E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0BEDE9E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132491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412A9D7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33E5D537" w14:textId="77777777" w:rsidTr="00F31129">
        <w:tc>
          <w:tcPr>
            <w:tcW w:w="5245" w:type="dxa"/>
            <w:shd w:val="clear" w:color="auto" w:fill="auto"/>
            <w:hideMark/>
          </w:tcPr>
          <w:p w14:paraId="71694E9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Pacific Community (SPC) Core Funding 2020–24</w:t>
            </w:r>
          </w:p>
        </w:tc>
        <w:tc>
          <w:tcPr>
            <w:tcW w:w="1346" w:type="dxa"/>
            <w:shd w:val="clear" w:color="auto" w:fill="auto"/>
            <w:hideMark/>
          </w:tcPr>
          <w:p w14:paraId="6FF835AA"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5.39</w:t>
            </w:r>
          </w:p>
        </w:tc>
        <w:tc>
          <w:tcPr>
            <w:tcW w:w="1286" w:type="dxa"/>
            <w:shd w:val="clear" w:color="auto" w:fill="auto"/>
            <w:noWrap/>
            <w:hideMark/>
          </w:tcPr>
          <w:p w14:paraId="202FBA10"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3.50</w:t>
            </w:r>
          </w:p>
        </w:tc>
        <w:tc>
          <w:tcPr>
            <w:tcW w:w="988" w:type="dxa"/>
            <w:shd w:val="clear" w:color="auto" w:fill="auto"/>
            <w:noWrap/>
            <w:hideMark/>
          </w:tcPr>
          <w:p w14:paraId="6201C2A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7895DF3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28A0B9D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3907236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61E5471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0FD9C189" w14:textId="77777777" w:rsidTr="00F31129">
        <w:tc>
          <w:tcPr>
            <w:tcW w:w="5245" w:type="dxa"/>
            <w:shd w:val="clear" w:color="auto" w:fill="auto"/>
            <w:hideMark/>
          </w:tcPr>
          <w:p w14:paraId="133162D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University of the South Pacific Partnership</w:t>
            </w:r>
          </w:p>
        </w:tc>
        <w:tc>
          <w:tcPr>
            <w:tcW w:w="1346" w:type="dxa"/>
            <w:shd w:val="clear" w:color="auto" w:fill="auto"/>
            <w:hideMark/>
          </w:tcPr>
          <w:p w14:paraId="68AAA7DA"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1.50</w:t>
            </w:r>
          </w:p>
        </w:tc>
        <w:tc>
          <w:tcPr>
            <w:tcW w:w="1286" w:type="dxa"/>
            <w:shd w:val="clear" w:color="auto" w:fill="auto"/>
            <w:noWrap/>
            <w:hideMark/>
          </w:tcPr>
          <w:p w14:paraId="75F641CA"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0.97</w:t>
            </w:r>
          </w:p>
        </w:tc>
        <w:tc>
          <w:tcPr>
            <w:tcW w:w="988" w:type="dxa"/>
            <w:shd w:val="clear" w:color="auto" w:fill="auto"/>
            <w:noWrap/>
            <w:hideMark/>
          </w:tcPr>
          <w:p w14:paraId="0346DC4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507DF11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0A9753B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6A73086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5A15C2A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Education</w:t>
            </w:r>
          </w:p>
        </w:tc>
      </w:tr>
      <w:tr w:rsidR="00B71B4E" w:rsidRPr="00BD16B4" w14:paraId="49A1F7FE" w14:textId="77777777" w:rsidTr="00F31129">
        <w:tc>
          <w:tcPr>
            <w:tcW w:w="5245" w:type="dxa"/>
            <w:shd w:val="clear" w:color="auto" w:fill="auto"/>
            <w:hideMark/>
          </w:tcPr>
          <w:p w14:paraId="2FE26D1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Improving Ecosystem Resilience: Kiwa Initiative</w:t>
            </w:r>
          </w:p>
        </w:tc>
        <w:tc>
          <w:tcPr>
            <w:tcW w:w="1346" w:type="dxa"/>
            <w:shd w:val="clear" w:color="auto" w:fill="auto"/>
            <w:hideMark/>
          </w:tcPr>
          <w:p w14:paraId="1C7F569C"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1.00</w:t>
            </w:r>
          </w:p>
        </w:tc>
        <w:tc>
          <w:tcPr>
            <w:tcW w:w="1286" w:type="dxa"/>
            <w:shd w:val="clear" w:color="auto" w:fill="auto"/>
            <w:noWrap/>
            <w:hideMark/>
          </w:tcPr>
          <w:p w14:paraId="5C2A56F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0.65</w:t>
            </w:r>
          </w:p>
        </w:tc>
        <w:tc>
          <w:tcPr>
            <w:tcW w:w="988" w:type="dxa"/>
            <w:shd w:val="clear" w:color="auto" w:fill="auto"/>
            <w:noWrap/>
            <w:hideMark/>
          </w:tcPr>
          <w:p w14:paraId="5F56453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0BA993B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0394935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75E4815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5A42A43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0D79F54F" w14:textId="77777777" w:rsidTr="00F31129">
        <w:tc>
          <w:tcPr>
            <w:tcW w:w="5245" w:type="dxa"/>
            <w:shd w:val="clear" w:color="auto" w:fill="auto"/>
            <w:hideMark/>
          </w:tcPr>
          <w:p w14:paraId="65B39F5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InvestPacific</w:t>
            </w:r>
          </w:p>
        </w:tc>
        <w:tc>
          <w:tcPr>
            <w:tcW w:w="1346" w:type="dxa"/>
            <w:shd w:val="clear" w:color="auto" w:fill="auto"/>
            <w:hideMark/>
          </w:tcPr>
          <w:p w14:paraId="36F4C52A"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0.13</w:t>
            </w:r>
          </w:p>
        </w:tc>
        <w:tc>
          <w:tcPr>
            <w:tcW w:w="1286" w:type="dxa"/>
            <w:shd w:val="clear" w:color="auto" w:fill="auto"/>
            <w:noWrap/>
            <w:hideMark/>
          </w:tcPr>
          <w:p w14:paraId="673CC00F"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0.09</w:t>
            </w:r>
          </w:p>
        </w:tc>
        <w:tc>
          <w:tcPr>
            <w:tcW w:w="988" w:type="dxa"/>
            <w:shd w:val="clear" w:color="auto" w:fill="auto"/>
            <w:noWrap/>
            <w:hideMark/>
          </w:tcPr>
          <w:p w14:paraId="20A0FD8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5B2BFEF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41E0FD0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6F58EC2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4169A8B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Financial services</w:t>
            </w:r>
          </w:p>
        </w:tc>
      </w:tr>
      <w:tr w:rsidR="00B71B4E" w:rsidRPr="00BD16B4" w14:paraId="4C7D1562" w14:textId="77777777" w:rsidTr="00F31129">
        <w:tc>
          <w:tcPr>
            <w:tcW w:w="5245" w:type="dxa"/>
            <w:shd w:val="clear" w:color="auto" w:fill="auto"/>
            <w:hideMark/>
          </w:tcPr>
          <w:p w14:paraId="1AC48B1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Pacific Public Sector Strengthening</w:t>
            </w:r>
          </w:p>
        </w:tc>
        <w:tc>
          <w:tcPr>
            <w:tcW w:w="1346" w:type="dxa"/>
            <w:shd w:val="clear" w:color="auto" w:fill="auto"/>
            <w:hideMark/>
          </w:tcPr>
          <w:p w14:paraId="01192F27"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1.43</w:t>
            </w:r>
          </w:p>
        </w:tc>
        <w:tc>
          <w:tcPr>
            <w:tcW w:w="1286" w:type="dxa"/>
            <w:shd w:val="clear" w:color="auto" w:fill="auto"/>
            <w:noWrap/>
            <w:hideMark/>
          </w:tcPr>
          <w:p w14:paraId="3E32A25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0.93</w:t>
            </w:r>
          </w:p>
        </w:tc>
        <w:tc>
          <w:tcPr>
            <w:tcW w:w="988" w:type="dxa"/>
            <w:shd w:val="clear" w:color="auto" w:fill="auto"/>
            <w:noWrap/>
            <w:hideMark/>
          </w:tcPr>
          <w:p w14:paraId="3789CB4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3C483D8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3A6D62F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117AB8C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2C0EBD3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Governance and civil society</w:t>
            </w:r>
          </w:p>
        </w:tc>
      </w:tr>
      <w:tr w:rsidR="00B71B4E" w:rsidRPr="00BD16B4" w14:paraId="59296BA1" w14:textId="77777777" w:rsidTr="00F31129">
        <w:tc>
          <w:tcPr>
            <w:tcW w:w="5245" w:type="dxa"/>
            <w:shd w:val="clear" w:color="auto" w:fill="auto"/>
            <w:hideMark/>
          </w:tcPr>
          <w:p w14:paraId="75AA31DB" w14:textId="77777777" w:rsidR="00B71B4E" w:rsidRPr="00BD16B4" w:rsidRDefault="00B71B4E" w:rsidP="00F31129">
            <w:pPr>
              <w:keepNext/>
              <w:spacing w:before="40" w:after="40" w:line="240" w:lineRule="auto"/>
              <w:jc w:val="left"/>
              <w:rPr>
                <w:rFonts w:cs="Calibri"/>
                <w:sz w:val="18"/>
                <w:szCs w:val="18"/>
              </w:rPr>
            </w:pPr>
            <w:r w:rsidRPr="00BD16B4">
              <w:rPr>
                <w:rFonts w:cs="Calibri"/>
                <w:sz w:val="18"/>
                <w:szCs w:val="18"/>
              </w:rPr>
              <w:t>Pacific Regional / Pacific Regional Nationally Determined Contribution (NDC) Hub</w:t>
            </w:r>
          </w:p>
        </w:tc>
        <w:tc>
          <w:tcPr>
            <w:tcW w:w="1346" w:type="dxa"/>
            <w:shd w:val="clear" w:color="auto" w:fill="auto"/>
            <w:hideMark/>
          </w:tcPr>
          <w:p w14:paraId="1D4795EC"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0.55</w:t>
            </w:r>
          </w:p>
        </w:tc>
        <w:tc>
          <w:tcPr>
            <w:tcW w:w="1286" w:type="dxa"/>
            <w:shd w:val="clear" w:color="auto" w:fill="auto"/>
            <w:noWrap/>
            <w:hideMark/>
          </w:tcPr>
          <w:p w14:paraId="5E4F3FD8"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0.36</w:t>
            </w:r>
          </w:p>
        </w:tc>
        <w:tc>
          <w:tcPr>
            <w:tcW w:w="988" w:type="dxa"/>
            <w:shd w:val="clear" w:color="auto" w:fill="auto"/>
            <w:noWrap/>
            <w:hideMark/>
          </w:tcPr>
          <w:p w14:paraId="21513BC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446E1F5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4FB66B8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244923F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24F4A9F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66ED7FCC" w14:textId="77777777" w:rsidTr="00F31129">
        <w:tc>
          <w:tcPr>
            <w:tcW w:w="5245" w:type="dxa"/>
            <w:shd w:val="clear" w:color="auto" w:fill="auto"/>
            <w:hideMark/>
          </w:tcPr>
          <w:p w14:paraId="2512E5D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Pacific Infrastructure Technical Assistance Facility</w:t>
            </w:r>
          </w:p>
        </w:tc>
        <w:tc>
          <w:tcPr>
            <w:tcW w:w="1346" w:type="dxa"/>
            <w:shd w:val="clear" w:color="auto" w:fill="auto"/>
            <w:hideMark/>
          </w:tcPr>
          <w:p w14:paraId="61084797"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0.17</w:t>
            </w:r>
          </w:p>
        </w:tc>
        <w:tc>
          <w:tcPr>
            <w:tcW w:w="1286" w:type="dxa"/>
            <w:shd w:val="clear" w:color="auto" w:fill="auto"/>
            <w:noWrap/>
            <w:hideMark/>
          </w:tcPr>
          <w:p w14:paraId="15AF4792"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0.11</w:t>
            </w:r>
          </w:p>
        </w:tc>
        <w:tc>
          <w:tcPr>
            <w:tcW w:w="988" w:type="dxa"/>
            <w:shd w:val="clear" w:color="auto" w:fill="auto"/>
            <w:noWrap/>
            <w:hideMark/>
          </w:tcPr>
          <w:p w14:paraId="00596C1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019506E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4D367D2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3E6BE99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4CEE242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Construction</w:t>
            </w:r>
          </w:p>
        </w:tc>
      </w:tr>
      <w:tr w:rsidR="00B71B4E" w:rsidRPr="00BD16B4" w14:paraId="3BF51377" w14:textId="77777777" w:rsidTr="00F31129">
        <w:tc>
          <w:tcPr>
            <w:tcW w:w="5245" w:type="dxa"/>
            <w:shd w:val="clear" w:color="auto" w:fill="auto"/>
            <w:hideMark/>
          </w:tcPr>
          <w:p w14:paraId="404CA59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Pacific Voice</w:t>
            </w:r>
          </w:p>
        </w:tc>
        <w:tc>
          <w:tcPr>
            <w:tcW w:w="1346" w:type="dxa"/>
            <w:shd w:val="clear" w:color="auto" w:fill="auto"/>
            <w:hideMark/>
          </w:tcPr>
          <w:p w14:paraId="5778EAE4"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0.11</w:t>
            </w:r>
          </w:p>
        </w:tc>
        <w:tc>
          <w:tcPr>
            <w:tcW w:w="1286" w:type="dxa"/>
            <w:shd w:val="clear" w:color="auto" w:fill="auto"/>
            <w:noWrap/>
            <w:hideMark/>
          </w:tcPr>
          <w:p w14:paraId="54D81BA5"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0.07</w:t>
            </w:r>
          </w:p>
        </w:tc>
        <w:tc>
          <w:tcPr>
            <w:tcW w:w="988" w:type="dxa"/>
            <w:shd w:val="clear" w:color="auto" w:fill="auto"/>
            <w:noWrap/>
            <w:hideMark/>
          </w:tcPr>
          <w:p w14:paraId="01A97B9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5DF6D98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6203ADB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22C281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330AAF5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7880BA52" w14:textId="77777777" w:rsidTr="00F31129">
        <w:tc>
          <w:tcPr>
            <w:tcW w:w="5245" w:type="dxa"/>
            <w:shd w:val="clear" w:color="auto" w:fill="auto"/>
            <w:hideMark/>
          </w:tcPr>
          <w:p w14:paraId="43F88FE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Secretariat of the Pacific Regional Environment Programme (SPREP) 2020–25</w:t>
            </w:r>
          </w:p>
        </w:tc>
        <w:tc>
          <w:tcPr>
            <w:tcW w:w="1346" w:type="dxa"/>
            <w:shd w:val="clear" w:color="auto" w:fill="auto"/>
            <w:hideMark/>
          </w:tcPr>
          <w:p w14:paraId="31B64CD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2.08</w:t>
            </w:r>
          </w:p>
        </w:tc>
        <w:tc>
          <w:tcPr>
            <w:tcW w:w="1286" w:type="dxa"/>
            <w:shd w:val="clear" w:color="auto" w:fill="auto"/>
            <w:noWrap/>
            <w:hideMark/>
          </w:tcPr>
          <w:p w14:paraId="39ADBFF9"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1.35</w:t>
            </w:r>
          </w:p>
        </w:tc>
        <w:tc>
          <w:tcPr>
            <w:tcW w:w="988" w:type="dxa"/>
            <w:shd w:val="clear" w:color="auto" w:fill="auto"/>
            <w:noWrap/>
            <w:hideMark/>
          </w:tcPr>
          <w:p w14:paraId="59AA895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7E63152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3A2EAD5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2BBCC35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039EA73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4A748D6B" w14:textId="77777777" w:rsidTr="00F31129">
        <w:tc>
          <w:tcPr>
            <w:tcW w:w="5245" w:type="dxa"/>
            <w:shd w:val="clear" w:color="auto" w:fill="auto"/>
            <w:hideMark/>
          </w:tcPr>
          <w:p w14:paraId="7D78CC7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Forum Fisheries Agency 2015–21 core funding</w:t>
            </w:r>
          </w:p>
        </w:tc>
        <w:tc>
          <w:tcPr>
            <w:tcW w:w="1346" w:type="dxa"/>
            <w:shd w:val="clear" w:color="auto" w:fill="auto"/>
            <w:hideMark/>
          </w:tcPr>
          <w:p w14:paraId="1E496BB8"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1.38</w:t>
            </w:r>
          </w:p>
        </w:tc>
        <w:tc>
          <w:tcPr>
            <w:tcW w:w="1286" w:type="dxa"/>
            <w:shd w:val="clear" w:color="auto" w:fill="auto"/>
            <w:noWrap/>
            <w:hideMark/>
          </w:tcPr>
          <w:p w14:paraId="01B62E04"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0.90</w:t>
            </w:r>
          </w:p>
        </w:tc>
        <w:tc>
          <w:tcPr>
            <w:tcW w:w="988" w:type="dxa"/>
            <w:shd w:val="clear" w:color="auto" w:fill="auto"/>
            <w:noWrap/>
            <w:hideMark/>
          </w:tcPr>
          <w:p w14:paraId="450FFD7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117B5F9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450E74B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56A0D3B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72E8077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Fishing</w:t>
            </w:r>
          </w:p>
        </w:tc>
      </w:tr>
      <w:tr w:rsidR="00B71B4E" w:rsidRPr="00BD16B4" w14:paraId="233EAED2" w14:textId="77777777" w:rsidTr="00F31129">
        <w:tc>
          <w:tcPr>
            <w:tcW w:w="5245" w:type="dxa"/>
            <w:shd w:val="clear" w:color="auto" w:fill="auto"/>
            <w:hideMark/>
          </w:tcPr>
          <w:p w14:paraId="74622C7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Recognised Seasonal Employer Worker Training Programme II (RSE WTP II)</w:t>
            </w:r>
          </w:p>
        </w:tc>
        <w:tc>
          <w:tcPr>
            <w:tcW w:w="1346" w:type="dxa"/>
            <w:shd w:val="clear" w:color="auto" w:fill="auto"/>
            <w:hideMark/>
          </w:tcPr>
          <w:p w14:paraId="7551C9D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0.23</w:t>
            </w:r>
          </w:p>
        </w:tc>
        <w:tc>
          <w:tcPr>
            <w:tcW w:w="1286" w:type="dxa"/>
            <w:shd w:val="clear" w:color="auto" w:fill="auto"/>
            <w:noWrap/>
            <w:hideMark/>
          </w:tcPr>
          <w:p w14:paraId="5DB8546E"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0.15</w:t>
            </w:r>
          </w:p>
        </w:tc>
        <w:tc>
          <w:tcPr>
            <w:tcW w:w="988" w:type="dxa"/>
            <w:shd w:val="clear" w:color="auto" w:fill="auto"/>
            <w:noWrap/>
            <w:hideMark/>
          </w:tcPr>
          <w:p w14:paraId="038BE36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289F4E9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0296D9D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702FBE8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72AE494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Education</w:t>
            </w:r>
          </w:p>
        </w:tc>
      </w:tr>
      <w:tr w:rsidR="00B71B4E" w:rsidRPr="00BD16B4" w14:paraId="58D23011" w14:textId="77777777" w:rsidTr="00F31129">
        <w:tc>
          <w:tcPr>
            <w:tcW w:w="5245" w:type="dxa"/>
            <w:shd w:val="clear" w:color="auto" w:fill="auto"/>
            <w:hideMark/>
          </w:tcPr>
          <w:p w14:paraId="36C5696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Local Government Technical Assistance Facility 2017–22</w:t>
            </w:r>
          </w:p>
        </w:tc>
        <w:tc>
          <w:tcPr>
            <w:tcW w:w="1346" w:type="dxa"/>
            <w:shd w:val="clear" w:color="auto" w:fill="auto"/>
            <w:hideMark/>
          </w:tcPr>
          <w:p w14:paraId="4E69A0AF"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0.27</w:t>
            </w:r>
          </w:p>
        </w:tc>
        <w:tc>
          <w:tcPr>
            <w:tcW w:w="1286" w:type="dxa"/>
            <w:shd w:val="clear" w:color="auto" w:fill="auto"/>
            <w:noWrap/>
            <w:hideMark/>
          </w:tcPr>
          <w:p w14:paraId="4546349D"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0.17</w:t>
            </w:r>
          </w:p>
        </w:tc>
        <w:tc>
          <w:tcPr>
            <w:tcW w:w="988" w:type="dxa"/>
            <w:shd w:val="clear" w:color="auto" w:fill="auto"/>
            <w:noWrap/>
            <w:hideMark/>
          </w:tcPr>
          <w:p w14:paraId="315D391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6064CB5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15DA0FE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69A1642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6F8B94A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Government and civil society</w:t>
            </w:r>
          </w:p>
        </w:tc>
      </w:tr>
      <w:tr w:rsidR="00B71B4E" w:rsidRPr="00BD16B4" w14:paraId="383FC612" w14:textId="77777777" w:rsidTr="00F31129">
        <w:tc>
          <w:tcPr>
            <w:tcW w:w="5245" w:type="dxa"/>
            <w:shd w:val="clear" w:color="auto" w:fill="auto"/>
            <w:hideMark/>
          </w:tcPr>
          <w:p w14:paraId="128AE9F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Papua New Guinea / Private Sector Development: PNG Partnership (International Finance Corporation)</w:t>
            </w:r>
          </w:p>
        </w:tc>
        <w:tc>
          <w:tcPr>
            <w:tcW w:w="1346" w:type="dxa"/>
            <w:shd w:val="clear" w:color="auto" w:fill="auto"/>
            <w:hideMark/>
          </w:tcPr>
          <w:p w14:paraId="763DC6B9"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1.05</w:t>
            </w:r>
          </w:p>
        </w:tc>
        <w:tc>
          <w:tcPr>
            <w:tcW w:w="1286" w:type="dxa"/>
            <w:shd w:val="clear" w:color="auto" w:fill="auto"/>
            <w:noWrap/>
            <w:hideMark/>
          </w:tcPr>
          <w:p w14:paraId="3AFD90EE"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0.68</w:t>
            </w:r>
          </w:p>
        </w:tc>
        <w:tc>
          <w:tcPr>
            <w:tcW w:w="988" w:type="dxa"/>
            <w:shd w:val="clear" w:color="auto" w:fill="auto"/>
            <w:noWrap/>
            <w:hideMark/>
          </w:tcPr>
          <w:p w14:paraId="2CADDFB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256B4BF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204EF5B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103527E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62497CA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0719DD5D" w14:textId="77777777" w:rsidTr="00F31129">
        <w:tc>
          <w:tcPr>
            <w:tcW w:w="5245" w:type="dxa"/>
            <w:shd w:val="clear" w:color="auto" w:fill="auto"/>
            <w:hideMark/>
          </w:tcPr>
          <w:p w14:paraId="019E6B3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Papua New Guinea / Farming Livelihoods (HARVEST)</w:t>
            </w:r>
          </w:p>
        </w:tc>
        <w:tc>
          <w:tcPr>
            <w:tcW w:w="1346" w:type="dxa"/>
            <w:shd w:val="clear" w:color="auto" w:fill="auto"/>
            <w:hideMark/>
          </w:tcPr>
          <w:p w14:paraId="35850709"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0.10</w:t>
            </w:r>
          </w:p>
        </w:tc>
        <w:tc>
          <w:tcPr>
            <w:tcW w:w="1286" w:type="dxa"/>
            <w:shd w:val="clear" w:color="auto" w:fill="auto"/>
            <w:noWrap/>
            <w:hideMark/>
          </w:tcPr>
          <w:p w14:paraId="4B6BB21F"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0.07</w:t>
            </w:r>
          </w:p>
        </w:tc>
        <w:tc>
          <w:tcPr>
            <w:tcW w:w="988" w:type="dxa"/>
            <w:shd w:val="clear" w:color="auto" w:fill="auto"/>
            <w:noWrap/>
            <w:hideMark/>
          </w:tcPr>
          <w:p w14:paraId="7D9D29F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11611A9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5544FB2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5262DB4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35833F2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002D9813" w14:textId="77777777" w:rsidTr="00F31129">
        <w:tc>
          <w:tcPr>
            <w:tcW w:w="5245" w:type="dxa"/>
            <w:shd w:val="clear" w:color="auto" w:fill="auto"/>
            <w:hideMark/>
          </w:tcPr>
          <w:p w14:paraId="064DDC6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Pacific Response to Coconut Rhinoceros Beetle</w:t>
            </w:r>
          </w:p>
        </w:tc>
        <w:tc>
          <w:tcPr>
            <w:tcW w:w="1346" w:type="dxa"/>
            <w:shd w:val="clear" w:color="auto" w:fill="auto"/>
            <w:hideMark/>
          </w:tcPr>
          <w:p w14:paraId="740C336D"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0.51</w:t>
            </w:r>
          </w:p>
        </w:tc>
        <w:tc>
          <w:tcPr>
            <w:tcW w:w="1286" w:type="dxa"/>
            <w:shd w:val="clear" w:color="auto" w:fill="auto"/>
            <w:noWrap/>
            <w:hideMark/>
          </w:tcPr>
          <w:p w14:paraId="131DD3A9"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0.33</w:t>
            </w:r>
          </w:p>
        </w:tc>
        <w:tc>
          <w:tcPr>
            <w:tcW w:w="988" w:type="dxa"/>
            <w:shd w:val="clear" w:color="auto" w:fill="auto"/>
            <w:noWrap/>
            <w:hideMark/>
          </w:tcPr>
          <w:p w14:paraId="7A4DC5F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14B1AC0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7F21E4C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5251BA3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2462DFB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5D20A9EF" w14:textId="77777777" w:rsidTr="00F31129">
        <w:tc>
          <w:tcPr>
            <w:tcW w:w="5245" w:type="dxa"/>
            <w:shd w:val="clear" w:color="auto" w:fill="auto"/>
            <w:hideMark/>
          </w:tcPr>
          <w:p w14:paraId="702FB88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lastRenderedPageBreak/>
              <w:t>Worldwide / Volunteer Service Abroad 2018–23</w:t>
            </w:r>
          </w:p>
        </w:tc>
        <w:tc>
          <w:tcPr>
            <w:tcW w:w="1346" w:type="dxa"/>
            <w:shd w:val="clear" w:color="auto" w:fill="auto"/>
            <w:hideMark/>
          </w:tcPr>
          <w:p w14:paraId="71C76358"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2.07</w:t>
            </w:r>
          </w:p>
        </w:tc>
        <w:tc>
          <w:tcPr>
            <w:tcW w:w="1286" w:type="dxa"/>
            <w:shd w:val="clear" w:color="auto" w:fill="auto"/>
            <w:noWrap/>
            <w:hideMark/>
          </w:tcPr>
          <w:p w14:paraId="093B0DB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1.34</w:t>
            </w:r>
          </w:p>
        </w:tc>
        <w:tc>
          <w:tcPr>
            <w:tcW w:w="988" w:type="dxa"/>
            <w:shd w:val="clear" w:color="auto" w:fill="auto"/>
            <w:noWrap/>
            <w:hideMark/>
          </w:tcPr>
          <w:p w14:paraId="398940B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6184077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211F446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790445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049B83E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2C81E5FB" w14:textId="77777777" w:rsidTr="00F31129">
        <w:tc>
          <w:tcPr>
            <w:tcW w:w="5245" w:type="dxa"/>
            <w:shd w:val="clear" w:color="auto" w:fill="auto"/>
            <w:hideMark/>
          </w:tcPr>
          <w:p w14:paraId="49240E5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Pacific Regional / Pacific Seeds for Life (PS4L)</w:t>
            </w:r>
          </w:p>
        </w:tc>
        <w:tc>
          <w:tcPr>
            <w:tcW w:w="1346" w:type="dxa"/>
            <w:shd w:val="clear" w:color="auto" w:fill="auto"/>
            <w:hideMark/>
          </w:tcPr>
          <w:p w14:paraId="074600C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0.39</w:t>
            </w:r>
          </w:p>
        </w:tc>
        <w:tc>
          <w:tcPr>
            <w:tcW w:w="1286" w:type="dxa"/>
            <w:shd w:val="clear" w:color="auto" w:fill="auto"/>
            <w:noWrap/>
            <w:hideMark/>
          </w:tcPr>
          <w:p w14:paraId="2397E952"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0.25</w:t>
            </w:r>
          </w:p>
        </w:tc>
        <w:tc>
          <w:tcPr>
            <w:tcW w:w="988" w:type="dxa"/>
            <w:shd w:val="clear" w:color="auto" w:fill="auto"/>
            <w:noWrap/>
            <w:hideMark/>
          </w:tcPr>
          <w:p w14:paraId="15DEB64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1C0359D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479A991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10EF2D1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42A0C3B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202BC0C2" w14:textId="77777777" w:rsidTr="00F31129">
        <w:tc>
          <w:tcPr>
            <w:tcW w:w="5245" w:type="dxa"/>
            <w:shd w:val="clear" w:color="auto" w:fill="auto"/>
            <w:hideMark/>
          </w:tcPr>
          <w:p w14:paraId="0E608A2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Worldwide / Negotiated Partnerships: Design and Due Diligence</w:t>
            </w:r>
          </w:p>
        </w:tc>
        <w:tc>
          <w:tcPr>
            <w:tcW w:w="1346" w:type="dxa"/>
            <w:shd w:val="clear" w:color="auto" w:fill="auto"/>
            <w:hideMark/>
          </w:tcPr>
          <w:p w14:paraId="289FD374"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0.11</w:t>
            </w:r>
          </w:p>
        </w:tc>
        <w:tc>
          <w:tcPr>
            <w:tcW w:w="1286" w:type="dxa"/>
            <w:shd w:val="clear" w:color="auto" w:fill="auto"/>
            <w:noWrap/>
            <w:hideMark/>
          </w:tcPr>
          <w:p w14:paraId="167FDD37"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0.07</w:t>
            </w:r>
          </w:p>
        </w:tc>
        <w:tc>
          <w:tcPr>
            <w:tcW w:w="988" w:type="dxa"/>
            <w:shd w:val="clear" w:color="auto" w:fill="auto"/>
            <w:noWrap/>
            <w:hideMark/>
          </w:tcPr>
          <w:p w14:paraId="425632D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7FE8395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0AEDA2E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598ED34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574C2B7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630EEBCD" w14:textId="77777777" w:rsidTr="00F31129">
        <w:tc>
          <w:tcPr>
            <w:tcW w:w="5245" w:type="dxa"/>
            <w:shd w:val="clear" w:color="auto" w:fill="auto"/>
            <w:hideMark/>
          </w:tcPr>
          <w:p w14:paraId="498E8E1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Samoa / Habitat Disaster Risk Reduction</w:t>
            </w:r>
          </w:p>
        </w:tc>
        <w:tc>
          <w:tcPr>
            <w:tcW w:w="1346" w:type="dxa"/>
            <w:shd w:val="clear" w:color="auto" w:fill="auto"/>
            <w:hideMark/>
          </w:tcPr>
          <w:p w14:paraId="7CEF0536"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0.39</w:t>
            </w:r>
          </w:p>
        </w:tc>
        <w:tc>
          <w:tcPr>
            <w:tcW w:w="1286" w:type="dxa"/>
            <w:shd w:val="clear" w:color="auto" w:fill="auto"/>
            <w:noWrap/>
            <w:hideMark/>
          </w:tcPr>
          <w:p w14:paraId="78A7F388"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0.25</w:t>
            </w:r>
          </w:p>
        </w:tc>
        <w:tc>
          <w:tcPr>
            <w:tcW w:w="988" w:type="dxa"/>
            <w:shd w:val="clear" w:color="auto" w:fill="auto"/>
            <w:noWrap/>
            <w:hideMark/>
          </w:tcPr>
          <w:p w14:paraId="5E369F9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709649E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509F585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0C0D385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7237D5B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Humanitarian </w:t>
            </w:r>
          </w:p>
        </w:tc>
      </w:tr>
      <w:tr w:rsidR="00B71B4E" w:rsidRPr="00BD16B4" w14:paraId="4EC1A80A" w14:textId="77777777" w:rsidTr="00F31129">
        <w:tc>
          <w:tcPr>
            <w:tcW w:w="5245" w:type="dxa"/>
            <w:shd w:val="clear" w:color="auto" w:fill="auto"/>
            <w:hideMark/>
          </w:tcPr>
          <w:p w14:paraId="4E79105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Samoa / Improved Livelihoods Cocoa </w:t>
            </w:r>
          </w:p>
        </w:tc>
        <w:tc>
          <w:tcPr>
            <w:tcW w:w="1346" w:type="dxa"/>
            <w:shd w:val="clear" w:color="auto" w:fill="auto"/>
            <w:hideMark/>
          </w:tcPr>
          <w:p w14:paraId="15746632"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0.14</w:t>
            </w:r>
          </w:p>
        </w:tc>
        <w:tc>
          <w:tcPr>
            <w:tcW w:w="1286" w:type="dxa"/>
            <w:shd w:val="clear" w:color="auto" w:fill="auto"/>
            <w:noWrap/>
            <w:hideMark/>
          </w:tcPr>
          <w:p w14:paraId="2D81536C"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0.09</w:t>
            </w:r>
          </w:p>
        </w:tc>
        <w:tc>
          <w:tcPr>
            <w:tcW w:w="988" w:type="dxa"/>
            <w:shd w:val="clear" w:color="auto" w:fill="auto"/>
            <w:noWrap/>
            <w:hideMark/>
          </w:tcPr>
          <w:p w14:paraId="556A261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6444CBC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3E4A4F5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3D2590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77AD4F2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6E995576" w14:textId="77777777" w:rsidTr="00F31129">
        <w:tc>
          <w:tcPr>
            <w:tcW w:w="5245" w:type="dxa"/>
            <w:shd w:val="clear" w:color="auto" w:fill="auto"/>
            <w:hideMark/>
          </w:tcPr>
          <w:p w14:paraId="765855A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Samoa / Incentivising Economic Reform 2018–21</w:t>
            </w:r>
          </w:p>
        </w:tc>
        <w:tc>
          <w:tcPr>
            <w:tcW w:w="1346" w:type="dxa"/>
            <w:shd w:val="clear" w:color="auto" w:fill="auto"/>
            <w:hideMark/>
          </w:tcPr>
          <w:p w14:paraId="35DA0510"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2.50</w:t>
            </w:r>
          </w:p>
        </w:tc>
        <w:tc>
          <w:tcPr>
            <w:tcW w:w="1286" w:type="dxa"/>
            <w:shd w:val="clear" w:color="auto" w:fill="auto"/>
            <w:noWrap/>
            <w:hideMark/>
          </w:tcPr>
          <w:p w14:paraId="08010F28"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1.62</w:t>
            </w:r>
          </w:p>
        </w:tc>
        <w:tc>
          <w:tcPr>
            <w:tcW w:w="988" w:type="dxa"/>
            <w:shd w:val="clear" w:color="auto" w:fill="auto"/>
            <w:noWrap/>
            <w:hideMark/>
          </w:tcPr>
          <w:p w14:paraId="2BAF2AE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7A0EA52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1EE3C2C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22B544A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1F17C97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General programme assistance </w:t>
            </w:r>
          </w:p>
        </w:tc>
      </w:tr>
      <w:tr w:rsidR="00B71B4E" w:rsidRPr="00BD16B4" w14:paraId="6E11EF4F" w14:textId="77777777" w:rsidTr="00F31129">
        <w:tc>
          <w:tcPr>
            <w:tcW w:w="5245" w:type="dxa"/>
            <w:shd w:val="clear" w:color="auto" w:fill="auto"/>
            <w:hideMark/>
          </w:tcPr>
          <w:p w14:paraId="0B7091A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Samoa / Tourism Infrastructure – Apia Waterfront Development</w:t>
            </w:r>
          </w:p>
        </w:tc>
        <w:tc>
          <w:tcPr>
            <w:tcW w:w="1346" w:type="dxa"/>
            <w:shd w:val="clear" w:color="auto" w:fill="auto"/>
            <w:hideMark/>
          </w:tcPr>
          <w:p w14:paraId="7890317E"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0.30</w:t>
            </w:r>
          </w:p>
        </w:tc>
        <w:tc>
          <w:tcPr>
            <w:tcW w:w="1286" w:type="dxa"/>
            <w:shd w:val="clear" w:color="auto" w:fill="auto"/>
            <w:noWrap/>
            <w:hideMark/>
          </w:tcPr>
          <w:p w14:paraId="4EC7A4B6"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0.20</w:t>
            </w:r>
          </w:p>
        </w:tc>
        <w:tc>
          <w:tcPr>
            <w:tcW w:w="988" w:type="dxa"/>
            <w:shd w:val="clear" w:color="auto" w:fill="auto"/>
            <w:noWrap/>
            <w:hideMark/>
          </w:tcPr>
          <w:p w14:paraId="5C06B05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07A895E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698ADE7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0F861DA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272C6B0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Tourism</w:t>
            </w:r>
          </w:p>
        </w:tc>
      </w:tr>
      <w:tr w:rsidR="00B71B4E" w:rsidRPr="00BD16B4" w14:paraId="04439835" w14:textId="77777777" w:rsidTr="00F31129">
        <w:tc>
          <w:tcPr>
            <w:tcW w:w="5245" w:type="dxa"/>
            <w:shd w:val="clear" w:color="auto" w:fill="auto"/>
            <w:hideMark/>
          </w:tcPr>
          <w:p w14:paraId="4116A3C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Samoa / Cocoa Industry Development Initiative</w:t>
            </w:r>
          </w:p>
        </w:tc>
        <w:tc>
          <w:tcPr>
            <w:tcW w:w="1346" w:type="dxa"/>
            <w:shd w:val="clear" w:color="auto" w:fill="auto"/>
            <w:hideMark/>
          </w:tcPr>
          <w:p w14:paraId="1C951F46"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0.24</w:t>
            </w:r>
          </w:p>
        </w:tc>
        <w:tc>
          <w:tcPr>
            <w:tcW w:w="1286" w:type="dxa"/>
            <w:shd w:val="clear" w:color="auto" w:fill="auto"/>
            <w:noWrap/>
            <w:hideMark/>
          </w:tcPr>
          <w:p w14:paraId="1FDD7315"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0.15</w:t>
            </w:r>
          </w:p>
        </w:tc>
        <w:tc>
          <w:tcPr>
            <w:tcW w:w="988" w:type="dxa"/>
            <w:shd w:val="clear" w:color="auto" w:fill="auto"/>
            <w:noWrap/>
            <w:hideMark/>
          </w:tcPr>
          <w:p w14:paraId="0D94BE6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1E58493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3BFE4CE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25D9060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11C9C2D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29971355" w14:textId="77777777" w:rsidTr="00F31129">
        <w:tc>
          <w:tcPr>
            <w:tcW w:w="5245" w:type="dxa"/>
            <w:shd w:val="clear" w:color="auto" w:fill="auto"/>
            <w:hideMark/>
          </w:tcPr>
          <w:p w14:paraId="3032D94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Solomon Islands / Forest Conservation</w:t>
            </w:r>
          </w:p>
        </w:tc>
        <w:tc>
          <w:tcPr>
            <w:tcW w:w="1346" w:type="dxa"/>
            <w:shd w:val="clear" w:color="auto" w:fill="auto"/>
            <w:hideMark/>
          </w:tcPr>
          <w:p w14:paraId="29C6898E"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0.21</w:t>
            </w:r>
          </w:p>
        </w:tc>
        <w:tc>
          <w:tcPr>
            <w:tcW w:w="1286" w:type="dxa"/>
            <w:shd w:val="clear" w:color="auto" w:fill="auto"/>
            <w:noWrap/>
            <w:hideMark/>
          </w:tcPr>
          <w:p w14:paraId="4097E3BA"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0.14</w:t>
            </w:r>
          </w:p>
        </w:tc>
        <w:tc>
          <w:tcPr>
            <w:tcW w:w="988" w:type="dxa"/>
            <w:shd w:val="clear" w:color="auto" w:fill="auto"/>
            <w:noWrap/>
            <w:hideMark/>
          </w:tcPr>
          <w:p w14:paraId="1E0839E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3CA30D6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56459C6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78EFF6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53E8EB4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57036136" w14:textId="77777777" w:rsidTr="00F31129">
        <w:tc>
          <w:tcPr>
            <w:tcW w:w="5245" w:type="dxa"/>
            <w:shd w:val="clear" w:color="auto" w:fill="auto"/>
            <w:hideMark/>
          </w:tcPr>
          <w:p w14:paraId="23CD661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Solomon Islands / Building Ecotourism in the Arnavons</w:t>
            </w:r>
          </w:p>
        </w:tc>
        <w:tc>
          <w:tcPr>
            <w:tcW w:w="1346" w:type="dxa"/>
            <w:shd w:val="clear" w:color="auto" w:fill="auto"/>
            <w:hideMark/>
          </w:tcPr>
          <w:p w14:paraId="19D35642"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0.26</w:t>
            </w:r>
          </w:p>
        </w:tc>
        <w:tc>
          <w:tcPr>
            <w:tcW w:w="1286" w:type="dxa"/>
            <w:shd w:val="clear" w:color="auto" w:fill="auto"/>
            <w:noWrap/>
            <w:hideMark/>
          </w:tcPr>
          <w:p w14:paraId="5BA0CEC8"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0.17</w:t>
            </w:r>
          </w:p>
        </w:tc>
        <w:tc>
          <w:tcPr>
            <w:tcW w:w="988" w:type="dxa"/>
            <w:shd w:val="clear" w:color="auto" w:fill="auto"/>
            <w:noWrap/>
            <w:hideMark/>
          </w:tcPr>
          <w:p w14:paraId="4329C05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33C3F8A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002824D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1F195E9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2B4D7EB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293E2DAE" w14:textId="77777777" w:rsidTr="00F31129">
        <w:tc>
          <w:tcPr>
            <w:tcW w:w="5245" w:type="dxa"/>
            <w:shd w:val="clear" w:color="auto" w:fill="auto"/>
            <w:hideMark/>
          </w:tcPr>
          <w:p w14:paraId="37B544E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Solomon Islands / Fisheries New Phase 2020–24</w:t>
            </w:r>
          </w:p>
        </w:tc>
        <w:tc>
          <w:tcPr>
            <w:tcW w:w="1346" w:type="dxa"/>
            <w:shd w:val="clear" w:color="auto" w:fill="auto"/>
            <w:hideMark/>
          </w:tcPr>
          <w:p w14:paraId="4022696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0.88</w:t>
            </w:r>
          </w:p>
        </w:tc>
        <w:tc>
          <w:tcPr>
            <w:tcW w:w="1286" w:type="dxa"/>
            <w:shd w:val="clear" w:color="auto" w:fill="auto"/>
            <w:noWrap/>
            <w:hideMark/>
          </w:tcPr>
          <w:p w14:paraId="03317EF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0.57</w:t>
            </w:r>
          </w:p>
        </w:tc>
        <w:tc>
          <w:tcPr>
            <w:tcW w:w="988" w:type="dxa"/>
            <w:shd w:val="clear" w:color="auto" w:fill="auto"/>
            <w:noWrap/>
            <w:hideMark/>
          </w:tcPr>
          <w:p w14:paraId="1CDF88B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468CB1E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1E92624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70D0484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0172B95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Fishing</w:t>
            </w:r>
          </w:p>
        </w:tc>
      </w:tr>
      <w:tr w:rsidR="00B71B4E" w:rsidRPr="00BD16B4" w14:paraId="2014D322" w14:textId="77777777" w:rsidTr="00F31129">
        <w:tc>
          <w:tcPr>
            <w:tcW w:w="5245" w:type="dxa"/>
            <w:shd w:val="clear" w:color="auto" w:fill="auto"/>
            <w:hideMark/>
          </w:tcPr>
          <w:p w14:paraId="516B409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Timor Leste / Crop Diversification</w:t>
            </w:r>
            <w:r w:rsidRPr="00BD16B4" w:rsidDel="00B66193">
              <w:rPr>
                <w:rFonts w:cs="Calibri"/>
                <w:sz w:val="18"/>
                <w:szCs w:val="18"/>
              </w:rPr>
              <w:t xml:space="preserve"> </w:t>
            </w:r>
          </w:p>
        </w:tc>
        <w:tc>
          <w:tcPr>
            <w:tcW w:w="1346" w:type="dxa"/>
            <w:shd w:val="clear" w:color="auto" w:fill="auto"/>
            <w:hideMark/>
          </w:tcPr>
          <w:p w14:paraId="1A996757"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1.43</w:t>
            </w:r>
          </w:p>
        </w:tc>
        <w:tc>
          <w:tcPr>
            <w:tcW w:w="1286" w:type="dxa"/>
            <w:shd w:val="clear" w:color="auto" w:fill="auto"/>
            <w:noWrap/>
            <w:hideMark/>
          </w:tcPr>
          <w:p w14:paraId="0A1E304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0.93</w:t>
            </w:r>
          </w:p>
        </w:tc>
        <w:tc>
          <w:tcPr>
            <w:tcW w:w="988" w:type="dxa"/>
            <w:shd w:val="clear" w:color="auto" w:fill="auto"/>
            <w:noWrap/>
            <w:hideMark/>
          </w:tcPr>
          <w:p w14:paraId="432DD13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4FBF9C7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04E1921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5CAF2E1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Mitigation</w:t>
            </w:r>
          </w:p>
        </w:tc>
        <w:tc>
          <w:tcPr>
            <w:tcW w:w="2491" w:type="dxa"/>
            <w:shd w:val="clear" w:color="auto" w:fill="auto"/>
            <w:noWrap/>
            <w:hideMark/>
          </w:tcPr>
          <w:p w14:paraId="4786F93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63F458B4" w14:textId="77777777" w:rsidTr="00F31129">
        <w:tc>
          <w:tcPr>
            <w:tcW w:w="5245" w:type="dxa"/>
            <w:shd w:val="clear" w:color="auto" w:fill="auto"/>
            <w:hideMark/>
          </w:tcPr>
          <w:p w14:paraId="59F492B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Tokelau / Coastal Risk Mitigation</w:t>
            </w:r>
          </w:p>
        </w:tc>
        <w:tc>
          <w:tcPr>
            <w:tcW w:w="1346" w:type="dxa"/>
            <w:shd w:val="clear" w:color="auto" w:fill="auto"/>
            <w:hideMark/>
          </w:tcPr>
          <w:p w14:paraId="16AE8999"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0.14</w:t>
            </w:r>
          </w:p>
        </w:tc>
        <w:tc>
          <w:tcPr>
            <w:tcW w:w="1286" w:type="dxa"/>
            <w:shd w:val="clear" w:color="auto" w:fill="auto"/>
            <w:noWrap/>
            <w:hideMark/>
          </w:tcPr>
          <w:p w14:paraId="40E16EC0"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0.09</w:t>
            </w:r>
          </w:p>
        </w:tc>
        <w:tc>
          <w:tcPr>
            <w:tcW w:w="988" w:type="dxa"/>
            <w:shd w:val="clear" w:color="auto" w:fill="auto"/>
            <w:noWrap/>
            <w:hideMark/>
          </w:tcPr>
          <w:p w14:paraId="2362901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173FBCF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0341496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7AAA40B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7082C60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439D9149" w14:textId="77777777" w:rsidTr="00F31129">
        <w:tc>
          <w:tcPr>
            <w:tcW w:w="5245" w:type="dxa"/>
            <w:shd w:val="clear" w:color="auto" w:fill="auto"/>
            <w:hideMark/>
          </w:tcPr>
          <w:p w14:paraId="2FFBE0F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Tokelau / Budget Support 2020/21</w:t>
            </w:r>
          </w:p>
        </w:tc>
        <w:tc>
          <w:tcPr>
            <w:tcW w:w="1346" w:type="dxa"/>
            <w:shd w:val="clear" w:color="auto" w:fill="auto"/>
            <w:hideMark/>
          </w:tcPr>
          <w:p w14:paraId="6CF20299"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2.25</w:t>
            </w:r>
          </w:p>
        </w:tc>
        <w:tc>
          <w:tcPr>
            <w:tcW w:w="1286" w:type="dxa"/>
            <w:shd w:val="clear" w:color="auto" w:fill="auto"/>
            <w:noWrap/>
            <w:hideMark/>
          </w:tcPr>
          <w:p w14:paraId="1B5AA17E"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1.46</w:t>
            </w:r>
          </w:p>
        </w:tc>
        <w:tc>
          <w:tcPr>
            <w:tcW w:w="988" w:type="dxa"/>
            <w:shd w:val="clear" w:color="auto" w:fill="auto"/>
            <w:noWrap/>
            <w:hideMark/>
          </w:tcPr>
          <w:p w14:paraId="7EF226A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2AC0CFB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41EEA38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7B048DB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78BE9D1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General programme assistance </w:t>
            </w:r>
          </w:p>
        </w:tc>
      </w:tr>
      <w:tr w:rsidR="00B71B4E" w:rsidRPr="00BD16B4" w14:paraId="3C20192B" w14:textId="77777777" w:rsidTr="00F31129">
        <w:tc>
          <w:tcPr>
            <w:tcW w:w="5245" w:type="dxa"/>
            <w:shd w:val="clear" w:color="auto" w:fill="auto"/>
            <w:hideMark/>
          </w:tcPr>
          <w:p w14:paraId="0EDB893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Tokelau / Renewable Energy Expansion and Renewal</w:t>
            </w:r>
          </w:p>
        </w:tc>
        <w:tc>
          <w:tcPr>
            <w:tcW w:w="1346" w:type="dxa"/>
            <w:shd w:val="clear" w:color="auto" w:fill="auto"/>
            <w:hideMark/>
          </w:tcPr>
          <w:p w14:paraId="172AF75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2.50</w:t>
            </w:r>
          </w:p>
        </w:tc>
        <w:tc>
          <w:tcPr>
            <w:tcW w:w="1286" w:type="dxa"/>
            <w:shd w:val="clear" w:color="auto" w:fill="auto"/>
            <w:noWrap/>
            <w:hideMark/>
          </w:tcPr>
          <w:p w14:paraId="665EA216"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1.62</w:t>
            </w:r>
          </w:p>
        </w:tc>
        <w:tc>
          <w:tcPr>
            <w:tcW w:w="988" w:type="dxa"/>
            <w:shd w:val="clear" w:color="auto" w:fill="auto"/>
            <w:noWrap/>
            <w:hideMark/>
          </w:tcPr>
          <w:p w14:paraId="577D00A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718EFEA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15CB38E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305314F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Mitigation</w:t>
            </w:r>
          </w:p>
        </w:tc>
        <w:tc>
          <w:tcPr>
            <w:tcW w:w="2491" w:type="dxa"/>
            <w:shd w:val="clear" w:color="auto" w:fill="auto"/>
            <w:noWrap/>
            <w:hideMark/>
          </w:tcPr>
          <w:p w14:paraId="7E591FA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Energy </w:t>
            </w:r>
          </w:p>
        </w:tc>
      </w:tr>
      <w:tr w:rsidR="00B71B4E" w:rsidRPr="00BD16B4" w14:paraId="0027D78D" w14:textId="77777777" w:rsidTr="00F31129">
        <w:tc>
          <w:tcPr>
            <w:tcW w:w="5245" w:type="dxa"/>
            <w:shd w:val="clear" w:color="auto" w:fill="auto"/>
            <w:hideMark/>
          </w:tcPr>
          <w:p w14:paraId="367255D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Tonga / Energy: Nuku’alofa Network Upgrade Project</w:t>
            </w:r>
          </w:p>
        </w:tc>
        <w:tc>
          <w:tcPr>
            <w:tcW w:w="1346" w:type="dxa"/>
            <w:shd w:val="clear" w:color="auto" w:fill="auto"/>
            <w:hideMark/>
          </w:tcPr>
          <w:p w14:paraId="5B5332E7"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0.75</w:t>
            </w:r>
          </w:p>
        </w:tc>
        <w:tc>
          <w:tcPr>
            <w:tcW w:w="1286" w:type="dxa"/>
            <w:shd w:val="clear" w:color="auto" w:fill="auto"/>
            <w:noWrap/>
            <w:hideMark/>
          </w:tcPr>
          <w:p w14:paraId="21D4AB0D"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0.49</w:t>
            </w:r>
          </w:p>
        </w:tc>
        <w:tc>
          <w:tcPr>
            <w:tcW w:w="988" w:type="dxa"/>
            <w:shd w:val="clear" w:color="auto" w:fill="auto"/>
            <w:noWrap/>
            <w:hideMark/>
          </w:tcPr>
          <w:p w14:paraId="76B2D11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450D12A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2190CD9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B2C9DB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09AAFFE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Energy </w:t>
            </w:r>
          </w:p>
        </w:tc>
      </w:tr>
      <w:tr w:rsidR="00B71B4E" w:rsidRPr="00BD16B4" w14:paraId="59299D4D" w14:textId="77777777" w:rsidTr="00F31129">
        <w:tc>
          <w:tcPr>
            <w:tcW w:w="5245" w:type="dxa"/>
            <w:shd w:val="clear" w:color="auto" w:fill="auto"/>
            <w:hideMark/>
          </w:tcPr>
          <w:p w14:paraId="1384EA2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Tonga / Parliament Buildings Project</w:t>
            </w:r>
          </w:p>
        </w:tc>
        <w:tc>
          <w:tcPr>
            <w:tcW w:w="1346" w:type="dxa"/>
            <w:shd w:val="clear" w:color="auto" w:fill="auto"/>
            <w:hideMark/>
          </w:tcPr>
          <w:p w14:paraId="6D17C145"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0.22</w:t>
            </w:r>
          </w:p>
        </w:tc>
        <w:tc>
          <w:tcPr>
            <w:tcW w:w="1286" w:type="dxa"/>
            <w:shd w:val="clear" w:color="auto" w:fill="auto"/>
            <w:noWrap/>
            <w:hideMark/>
          </w:tcPr>
          <w:p w14:paraId="435E59E0"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0.15</w:t>
            </w:r>
          </w:p>
        </w:tc>
        <w:tc>
          <w:tcPr>
            <w:tcW w:w="988" w:type="dxa"/>
            <w:shd w:val="clear" w:color="auto" w:fill="auto"/>
            <w:noWrap/>
            <w:hideMark/>
          </w:tcPr>
          <w:p w14:paraId="15AAC25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52ED4C0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748AA7F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065BBA5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0808EAF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4C2E1935" w14:textId="77777777" w:rsidTr="00F31129">
        <w:tc>
          <w:tcPr>
            <w:tcW w:w="5245" w:type="dxa"/>
            <w:shd w:val="clear" w:color="auto" w:fill="auto"/>
            <w:hideMark/>
          </w:tcPr>
          <w:p w14:paraId="2C8481F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Tonga / Incentivising Public Sector Reform 2019–21</w:t>
            </w:r>
          </w:p>
        </w:tc>
        <w:tc>
          <w:tcPr>
            <w:tcW w:w="1346" w:type="dxa"/>
            <w:shd w:val="clear" w:color="auto" w:fill="auto"/>
            <w:hideMark/>
          </w:tcPr>
          <w:p w14:paraId="7279D4C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2.50</w:t>
            </w:r>
          </w:p>
        </w:tc>
        <w:tc>
          <w:tcPr>
            <w:tcW w:w="1286" w:type="dxa"/>
            <w:shd w:val="clear" w:color="auto" w:fill="auto"/>
            <w:noWrap/>
            <w:hideMark/>
          </w:tcPr>
          <w:p w14:paraId="46E4315A"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1.62</w:t>
            </w:r>
          </w:p>
        </w:tc>
        <w:tc>
          <w:tcPr>
            <w:tcW w:w="988" w:type="dxa"/>
            <w:shd w:val="clear" w:color="auto" w:fill="auto"/>
            <w:noWrap/>
            <w:hideMark/>
          </w:tcPr>
          <w:p w14:paraId="3B4634E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0F68F27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48298F1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7D62A45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4C469E2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General programme assistance </w:t>
            </w:r>
          </w:p>
        </w:tc>
      </w:tr>
      <w:tr w:rsidR="00B71B4E" w:rsidRPr="00BD16B4" w14:paraId="02212CD6" w14:textId="77777777" w:rsidTr="00F31129">
        <w:tc>
          <w:tcPr>
            <w:tcW w:w="5245" w:type="dxa"/>
            <w:shd w:val="clear" w:color="auto" w:fill="auto"/>
            <w:hideMark/>
          </w:tcPr>
          <w:p w14:paraId="1F89D45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Tonga / Community Shelter Resilience</w:t>
            </w:r>
          </w:p>
        </w:tc>
        <w:tc>
          <w:tcPr>
            <w:tcW w:w="1346" w:type="dxa"/>
            <w:shd w:val="clear" w:color="auto" w:fill="auto"/>
            <w:hideMark/>
          </w:tcPr>
          <w:p w14:paraId="05A37EB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1.16</w:t>
            </w:r>
          </w:p>
        </w:tc>
        <w:tc>
          <w:tcPr>
            <w:tcW w:w="1286" w:type="dxa"/>
            <w:shd w:val="clear" w:color="auto" w:fill="auto"/>
            <w:noWrap/>
            <w:hideMark/>
          </w:tcPr>
          <w:p w14:paraId="6C4046E2"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0.76</w:t>
            </w:r>
          </w:p>
        </w:tc>
        <w:tc>
          <w:tcPr>
            <w:tcW w:w="988" w:type="dxa"/>
            <w:shd w:val="clear" w:color="auto" w:fill="auto"/>
            <w:noWrap/>
            <w:hideMark/>
          </w:tcPr>
          <w:p w14:paraId="78EC2C3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1769D57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522DE2D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564DC1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495CA48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1E68FBA5" w14:textId="77777777" w:rsidTr="00F31129">
        <w:tc>
          <w:tcPr>
            <w:tcW w:w="5245" w:type="dxa"/>
            <w:shd w:val="clear" w:color="auto" w:fill="auto"/>
            <w:hideMark/>
          </w:tcPr>
          <w:p w14:paraId="4DC1B40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Tuvalu / Vaitupu Water Security</w:t>
            </w:r>
          </w:p>
        </w:tc>
        <w:tc>
          <w:tcPr>
            <w:tcW w:w="1346" w:type="dxa"/>
            <w:shd w:val="clear" w:color="auto" w:fill="auto"/>
            <w:hideMark/>
          </w:tcPr>
          <w:p w14:paraId="1B2469C8"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0.30</w:t>
            </w:r>
          </w:p>
        </w:tc>
        <w:tc>
          <w:tcPr>
            <w:tcW w:w="1286" w:type="dxa"/>
            <w:shd w:val="clear" w:color="auto" w:fill="auto"/>
            <w:noWrap/>
            <w:hideMark/>
          </w:tcPr>
          <w:p w14:paraId="5EFAE416"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0.19</w:t>
            </w:r>
          </w:p>
        </w:tc>
        <w:tc>
          <w:tcPr>
            <w:tcW w:w="988" w:type="dxa"/>
            <w:shd w:val="clear" w:color="auto" w:fill="auto"/>
            <w:noWrap/>
            <w:hideMark/>
          </w:tcPr>
          <w:p w14:paraId="5A0D164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431D80E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5DE7249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077291D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5150A8C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448FBB72" w14:textId="77777777" w:rsidTr="00F31129">
        <w:tc>
          <w:tcPr>
            <w:tcW w:w="5245" w:type="dxa"/>
            <w:shd w:val="clear" w:color="auto" w:fill="auto"/>
            <w:hideMark/>
          </w:tcPr>
          <w:p w14:paraId="3C8AB8B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Tuvalu / Budget Support (Policy Reform Matrix)</w:t>
            </w:r>
          </w:p>
        </w:tc>
        <w:tc>
          <w:tcPr>
            <w:tcW w:w="1346" w:type="dxa"/>
            <w:shd w:val="clear" w:color="auto" w:fill="auto"/>
            <w:hideMark/>
          </w:tcPr>
          <w:p w14:paraId="30DE15A9"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0.60</w:t>
            </w:r>
          </w:p>
        </w:tc>
        <w:tc>
          <w:tcPr>
            <w:tcW w:w="1286" w:type="dxa"/>
            <w:shd w:val="clear" w:color="auto" w:fill="auto"/>
            <w:noWrap/>
            <w:hideMark/>
          </w:tcPr>
          <w:p w14:paraId="52F1B68E"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0.39</w:t>
            </w:r>
          </w:p>
        </w:tc>
        <w:tc>
          <w:tcPr>
            <w:tcW w:w="988" w:type="dxa"/>
            <w:shd w:val="clear" w:color="auto" w:fill="auto"/>
            <w:noWrap/>
            <w:hideMark/>
          </w:tcPr>
          <w:p w14:paraId="1DF54E5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66CB108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174622B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78ADF91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45395C1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Governance and civil society</w:t>
            </w:r>
          </w:p>
        </w:tc>
      </w:tr>
      <w:tr w:rsidR="00B71B4E" w:rsidRPr="00BD16B4" w14:paraId="3D899203" w14:textId="77777777" w:rsidTr="00F31129">
        <w:tc>
          <w:tcPr>
            <w:tcW w:w="5245" w:type="dxa"/>
            <w:shd w:val="clear" w:color="auto" w:fill="auto"/>
            <w:hideMark/>
          </w:tcPr>
          <w:p w14:paraId="5916E85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Tuvalu / Fisheries Support Programme 2020–25</w:t>
            </w:r>
          </w:p>
        </w:tc>
        <w:tc>
          <w:tcPr>
            <w:tcW w:w="1346" w:type="dxa"/>
            <w:shd w:val="clear" w:color="auto" w:fill="auto"/>
            <w:hideMark/>
          </w:tcPr>
          <w:p w14:paraId="5EDD43D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0.44</w:t>
            </w:r>
          </w:p>
        </w:tc>
        <w:tc>
          <w:tcPr>
            <w:tcW w:w="1286" w:type="dxa"/>
            <w:shd w:val="clear" w:color="auto" w:fill="auto"/>
            <w:noWrap/>
            <w:hideMark/>
          </w:tcPr>
          <w:p w14:paraId="697FE225"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0.29</w:t>
            </w:r>
          </w:p>
        </w:tc>
        <w:tc>
          <w:tcPr>
            <w:tcW w:w="988" w:type="dxa"/>
            <w:shd w:val="clear" w:color="auto" w:fill="auto"/>
            <w:noWrap/>
            <w:hideMark/>
          </w:tcPr>
          <w:p w14:paraId="6A13A63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0EDD7B9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61DABB8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1F59E17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562AA85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7CCF9053" w14:textId="77777777" w:rsidTr="00F31129">
        <w:tc>
          <w:tcPr>
            <w:tcW w:w="5245" w:type="dxa"/>
            <w:shd w:val="clear" w:color="auto" w:fill="auto"/>
            <w:hideMark/>
          </w:tcPr>
          <w:p w14:paraId="61B34698" w14:textId="77777777" w:rsidR="00B71B4E" w:rsidRPr="00BD16B4" w:rsidRDefault="00B71B4E" w:rsidP="008B3AEE">
            <w:pPr>
              <w:keepNext/>
              <w:spacing w:before="40" w:after="40" w:line="240" w:lineRule="auto"/>
              <w:jc w:val="left"/>
              <w:rPr>
                <w:rFonts w:cs="Calibri"/>
                <w:sz w:val="18"/>
                <w:szCs w:val="18"/>
              </w:rPr>
            </w:pPr>
            <w:r w:rsidRPr="00BD16B4">
              <w:rPr>
                <w:rFonts w:cs="Calibri"/>
                <w:sz w:val="18"/>
                <w:szCs w:val="18"/>
              </w:rPr>
              <w:lastRenderedPageBreak/>
              <w:t>Vanuatu / Inter-island Shipping Support Project Additional Support – South Paray</w:t>
            </w:r>
          </w:p>
        </w:tc>
        <w:tc>
          <w:tcPr>
            <w:tcW w:w="1346" w:type="dxa"/>
            <w:shd w:val="clear" w:color="auto" w:fill="auto"/>
            <w:hideMark/>
          </w:tcPr>
          <w:p w14:paraId="35A81654"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0.38</w:t>
            </w:r>
          </w:p>
        </w:tc>
        <w:tc>
          <w:tcPr>
            <w:tcW w:w="1286" w:type="dxa"/>
            <w:shd w:val="clear" w:color="auto" w:fill="auto"/>
            <w:noWrap/>
            <w:hideMark/>
          </w:tcPr>
          <w:p w14:paraId="0C6D5794"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0.25</w:t>
            </w:r>
          </w:p>
        </w:tc>
        <w:tc>
          <w:tcPr>
            <w:tcW w:w="988" w:type="dxa"/>
            <w:shd w:val="clear" w:color="auto" w:fill="auto"/>
            <w:noWrap/>
            <w:hideMark/>
          </w:tcPr>
          <w:p w14:paraId="59C5920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0B80A29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60E93DB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6EF243D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5F207FB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Transport and storage</w:t>
            </w:r>
          </w:p>
        </w:tc>
      </w:tr>
      <w:tr w:rsidR="00B71B4E" w:rsidRPr="00BD16B4" w14:paraId="1ABA6204" w14:textId="77777777" w:rsidTr="00F31129">
        <w:tc>
          <w:tcPr>
            <w:tcW w:w="5245" w:type="dxa"/>
            <w:shd w:val="clear" w:color="auto" w:fill="auto"/>
            <w:hideMark/>
          </w:tcPr>
          <w:p w14:paraId="41E0B6F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Vanuatu / Santo WASH Project in Vanuatu</w:t>
            </w:r>
          </w:p>
        </w:tc>
        <w:tc>
          <w:tcPr>
            <w:tcW w:w="1346" w:type="dxa"/>
            <w:shd w:val="clear" w:color="auto" w:fill="auto"/>
            <w:hideMark/>
          </w:tcPr>
          <w:p w14:paraId="64D8E50B"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0.11</w:t>
            </w:r>
          </w:p>
        </w:tc>
        <w:tc>
          <w:tcPr>
            <w:tcW w:w="1286" w:type="dxa"/>
            <w:shd w:val="clear" w:color="auto" w:fill="auto"/>
            <w:noWrap/>
            <w:hideMark/>
          </w:tcPr>
          <w:p w14:paraId="6FD7CEBB"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0.07</w:t>
            </w:r>
          </w:p>
        </w:tc>
        <w:tc>
          <w:tcPr>
            <w:tcW w:w="988" w:type="dxa"/>
            <w:shd w:val="clear" w:color="auto" w:fill="auto"/>
            <w:noWrap/>
            <w:hideMark/>
          </w:tcPr>
          <w:p w14:paraId="4522BFD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61256D5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73E0C08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1047DD8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300A6B1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Water and sanitation</w:t>
            </w:r>
          </w:p>
        </w:tc>
      </w:tr>
      <w:tr w:rsidR="00B71B4E" w:rsidRPr="00BD16B4" w14:paraId="380C828F" w14:textId="77777777" w:rsidTr="00F31129">
        <w:tc>
          <w:tcPr>
            <w:tcW w:w="5245" w:type="dxa"/>
            <w:shd w:val="clear" w:color="auto" w:fill="auto"/>
            <w:hideMark/>
          </w:tcPr>
          <w:p w14:paraId="7B4EEA1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Vanuatu / Support to Wan Smolbag 2015–19</w:t>
            </w:r>
          </w:p>
        </w:tc>
        <w:tc>
          <w:tcPr>
            <w:tcW w:w="1346" w:type="dxa"/>
            <w:shd w:val="clear" w:color="auto" w:fill="auto"/>
            <w:hideMark/>
          </w:tcPr>
          <w:p w14:paraId="1D76C4B4"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0.34</w:t>
            </w:r>
          </w:p>
        </w:tc>
        <w:tc>
          <w:tcPr>
            <w:tcW w:w="1286" w:type="dxa"/>
            <w:shd w:val="clear" w:color="auto" w:fill="auto"/>
            <w:noWrap/>
            <w:hideMark/>
          </w:tcPr>
          <w:p w14:paraId="7064F325"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0.22</w:t>
            </w:r>
          </w:p>
        </w:tc>
        <w:tc>
          <w:tcPr>
            <w:tcW w:w="988" w:type="dxa"/>
            <w:shd w:val="clear" w:color="auto" w:fill="auto"/>
            <w:noWrap/>
            <w:hideMark/>
          </w:tcPr>
          <w:p w14:paraId="6BD0D6C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45CBEEA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3B8F413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01C62FA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2B1DF9F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Government and civil society</w:t>
            </w:r>
          </w:p>
        </w:tc>
      </w:tr>
      <w:tr w:rsidR="00B71B4E" w:rsidRPr="00BD16B4" w14:paraId="3E255EA4" w14:textId="77777777" w:rsidTr="00F31129">
        <w:tc>
          <w:tcPr>
            <w:tcW w:w="5245" w:type="dxa"/>
            <w:shd w:val="clear" w:color="auto" w:fill="auto"/>
            <w:hideMark/>
          </w:tcPr>
          <w:p w14:paraId="52F9670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Vanuatu / Water Sector Partnership 2017–21</w:t>
            </w:r>
          </w:p>
        </w:tc>
        <w:tc>
          <w:tcPr>
            <w:tcW w:w="1346" w:type="dxa"/>
            <w:shd w:val="clear" w:color="auto" w:fill="auto"/>
            <w:hideMark/>
          </w:tcPr>
          <w:p w14:paraId="44F2C239"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1.10</w:t>
            </w:r>
          </w:p>
        </w:tc>
        <w:tc>
          <w:tcPr>
            <w:tcW w:w="1286" w:type="dxa"/>
            <w:shd w:val="clear" w:color="auto" w:fill="auto"/>
            <w:noWrap/>
            <w:hideMark/>
          </w:tcPr>
          <w:p w14:paraId="3011EB8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0.71</w:t>
            </w:r>
          </w:p>
        </w:tc>
        <w:tc>
          <w:tcPr>
            <w:tcW w:w="988" w:type="dxa"/>
            <w:shd w:val="clear" w:color="auto" w:fill="auto"/>
            <w:noWrap/>
            <w:hideMark/>
          </w:tcPr>
          <w:p w14:paraId="3A84BC2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113333E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745A276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1A6DDD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3999036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Water and sanitation</w:t>
            </w:r>
          </w:p>
        </w:tc>
      </w:tr>
      <w:tr w:rsidR="00B71B4E" w:rsidRPr="00BD16B4" w14:paraId="314736EC" w14:textId="77777777" w:rsidTr="00F31129">
        <w:tc>
          <w:tcPr>
            <w:tcW w:w="5245" w:type="dxa"/>
            <w:shd w:val="clear" w:color="auto" w:fill="auto"/>
            <w:hideMark/>
          </w:tcPr>
          <w:p w14:paraId="3AAC7E9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Myanmar / Renewable Energy Programme</w:t>
            </w:r>
          </w:p>
        </w:tc>
        <w:tc>
          <w:tcPr>
            <w:tcW w:w="1346" w:type="dxa"/>
            <w:shd w:val="clear" w:color="auto" w:fill="auto"/>
            <w:hideMark/>
          </w:tcPr>
          <w:p w14:paraId="06812580"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–0.18</w:t>
            </w:r>
          </w:p>
        </w:tc>
        <w:tc>
          <w:tcPr>
            <w:tcW w:w="1286" w:type="dxa"/>
            <w:shd w:val="clear" w:color="auto" w:fill="auto"/>
            <w:noWrap/>
            <w:hideMark/>
          </w:tcPr>
          <w:p w14:paraId="23884D49"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–0.12</w:t>
            </w:r>
          </w:p>
        </w:tc>
        <w:tc>
          <w:tcPr>
            <w:tcW w:w="988" w:type="dxa"/>
            <w:shd w:val="clear" w:color="auto" w:fill="auto"/>
            <w:noWrap/>
            <w:hideMark/>
          </w:tcPr>
          <w:p w14:paraId="3F099C5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6EBED57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2A105B1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5082B2C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Mitigation</w:t>
            </w:r>
          </w:p>
        </w:tc>
        <w:tc>
          <w:tcPr>
            <w:tcW w:w="2491" w:type="dxa"/>
            <w:shd w:val="clear" w:color="auto" w:fill="auto"/>
            <w:noWrap/>
            <w:hideMark/>
          </w:tcPr>
          <w:p w14:paraId="4110819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Energy </w:t>
            </w:r>
          </w:p>
        </w:tc>
      </w:tr>
      <w:tr w:rsidR="00B71B4E" w:rsidRPr="00BD16B4" w14:paraId="75EEF03F" w14:textId="77777777" w:rsidTr="00F31129">
        <w:tc>
          <w:tcPr>
            <w:tcW w:w="5245" w:type="dxa"/>
            <w:shd w:val="clear" w:color="auto" w:fill="auto"/>
            <w:hideMark/>
          </w:tcPr>
          <w:p w14:paraId="1412CBC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Indonesia / Palu Earthquake Recovery</w:t>
            </w:r>
          </w:p>
        </w:tc>
        <w:tc>
          <w:tcPr>
            <w:tcW w:w="1346" w:type="dxa"/>
            <w:shd w:val="clear" w:color="auto" w:fill="auto"/>
            <w:hideMark/>
          </w:tcPr>
          <w:p w14:paraId="301FAB04"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0.12</w:t>
            </w:r>
          </w:p>
        </w:tc>
        <w:tc>
          <w:tcPr>
            <w:tcW w:w="1286" w:type="dxa"/>
            <w:shd w:val="clear" w:color="auto" w:fill="auto"/>
            <w:noWrap/>
            <w:hideMark/>
          </w:tcPr>
          <w:p w14:paraId="49F0949D"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0.08</w:t>
            </w:r>
          </w:p>
        </w:tc>
        <w:tc>
          <w:tcPr>
            <w:tcW w:w="988" w:type="dxa"/>
            <w:shd w:val="clear" w:color="auto" w:fill="auto"/>
            <w:noWrap/>
            <w:hideMark/>
          </w:tcPr>
          <w:p w14:paraId="2D8234E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77349B5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3839655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0CF1FF7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3AE1726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60F60E67" w14:textId="77777777" w:rsidTr="00F31129">
        <w:tc>
          <w:tcPr>
            <w:tcW w:w="5245" w:type="dxa"/>
            <w:shd w:val="clear" w:color="auto" w:fill="auto"/>
            <w:hideMark/>
          </w:tcPr>
          <w:p w14:paraId="6A83936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Myanmar / Dairy Inclusive Growth and Investment</w:t>
            </w:r>
          </w:p>
        </w:tc>
        <w:tc>
          <w:tcPr>
            <w:tcW w:w="1346" w:type="dxa"/>
            <w:shd w:val="clear" w:color="auto" w:fill="auto"/>
            <w:hideMark/>
          </w:tcPr>
          <w:p w14:paraId="54B9B8B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0.14</w:t>
            </w:r>
          </w:p>
        </w:tc>
        <w:tc>
          <w:tcPr>
            <w:tcW w:w="1286" w:type="dxa"/>
            <w:shd w:val="clear" w:color="auto" w:fill="auto"/>
            <w:noWrap/>
            <w:hideMark/>
          </w:tcPr>
          <w:p w14:paraId="73EF50F0"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0.09</w:t>
            </w:r>
          </w:p>
        </w:tc>
        <w:tc>
          <w:tcPr>
            <w:tcW w:w="988" w:type="dxa"/>
            <w:shd w:val="clear" w:color="auto" w:fill="auto"/>
            <w:noWrap/>
            <w:hideMark/>
          </w:tcPr>
          <w:p w14:paraId="3F0103F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25011F0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3710074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7CF4811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4B0A309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0EEE57E3" w14:textId="77777777" w:rsidTr="00F31129">
        <w:tc>
          <w:tcPr>
            <w:tcW w:w="5245" w:type="dxa"/>
            <w:shd w:val="clear" w:color="auto" w:fill="auto"/>
            <w:hideMark/>
          </w:tcPr>
          <w:p w14:paraId="5A937C8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Cambodia / Climate-smart Commercial Horticulture</w:t>
            </w:r>
          </w:p>
        </w:tc>
        <w:tc>
          <w:tcPr>
            <w:tcW w:w="1346" w:type="dxa"/>
            <w:shd w:val="clear" w:color="auto" w:fill="auto"/>
            <w:hideMark/>
          </w:tcPr>
          <w:p w14:paraId="671E2614"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0.48</w:t>
            </w:r>
          </w:p>
        </w:tc>
        <w:tc>
          <w:tcPr>
            <w:tcW w:w="1286" w:type="dxa"/>
            <w:shd w:val="clear" w:color="auto" w:fill="auto"/>
            <w:noWrap/>
            <w:hideMark/>
          </w:tcPr>
          <w:p w14:paraId="0AA7CCF2"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0.31</w:t>
            </w:r>
          </w:p>
        </w:tc>
        <w:tc>
          <w:tcPr>
            <w:tcW w:w="988" w:type="dxa"/>
            <w:shd w:val="clear" w:color="auto" w:fill="auto"/>
            <w:noWrap/>
            <w:hideMark/>
          </w:tcPr>
          <w:p w14:paraId="626E272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36E192D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06CBCD8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5398721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1A5D78C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6F1DA896" w14:textId="77777777" w:rsidTr="00F31129">
        <w:tc>
          <w:tcPr>
            <w:tcW w:w="5245" w:type="dxa"/>
            <w:shd w:val="clear" w:color="auto" w:fill="auto"/>
            <w:hideMark/>
          </w:tcPr>
          <w:p w14:paraId="68AE55C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Asia Regional / ASEAN Climate-smart Agriculture Initiative</w:t>
            </w:r>
          </w:p>
        </w:tc>
        <w:tc>
          <w:tcPr>
            <w:tcW w:w="1346" w:type="dxa"/>
            <w:shd w:val="clear" w:color="auto" w:fill="auto"/>
            <w:hideMark/>
          </w:tcPr>
          <w:p w14:paraId="031DF450"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1.25</w:t>
            </w:r>
          </w:p>
        </w:tc>
        <w:tc>
          <w:tcPr>
            <w:tcW w:w="1286" w:type="dxa"/>
            <w:shd w:val="clear" w:color="auto" w:fill="auto"/>
            <w:noWrap/>
            <w:hideMark/>
          </w:tcPr>
          <w:p w14:paraId="2F3250F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0.81</w:t>
            </w:r>
          </w:p>
        </w:tc>
        <w:tc>
          <w:tcPr>
            <w:tcW w:w="988" w:type="dxa"/>
            <w:shd w:val="clear" w:color="auto" w:fill="auto"/>
            <w:noWrap/>
            <w:hideMark/>
          </w:tcPr>
          <w:p w14:paraId="38580A0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24850B7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1F1620D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2EF7741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Mitigation</w:t>
            </w:r>
          </w:p>
        </w:tc>
        <w:tc>
          <w:tcPr>
            <w:tcW w:w="2491" w:type="dxa"/>
            <w:shd w:val="clear" w:color="auto" w:fill="auto"/>
            <w:noWrap/>
            <w:hideMark/>
          </w:tcPr>
          <w:p w14:paraId="662D338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050DD34C" w14:textId="77777777" w:rsidTr="00F31129">
        <w:tc>
          <w:tcPr>
            <w:tcW w:w="5245" w:type="dxa"/>
            <w:shd w:val="clear" w:color="auto" w:fill="auto"/>
            <w:hideMark/>
          </w:tcPr>
          <w:p w14:paraId="5FD982B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Asia Regional / Support to the Mekong River Commission</w:t>
            </w:r>
          </w:p>
        </w:tc>
        <w:tc>
          <w:tcPr>
            <w:tcW w:w="1346" w:type="dxa"/>
            <w:shd w:val="clear" w:color="auto" w:fill="auto"/>
            <w:hideMark/>
          </w:tcPr>
          <w:p w14:paraId="3677B869"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0.30</w:t>
            </w:r>
          </w:p>
        </w:tc>
        <w:tc>
          <w:tcPr>
            <w:tcW w:w="1286" w:type="dxa"/>
            <w:shd w:val="clear" w:color="auto" w:fill="auto"/>
            <w:noWrap/>
            <w:hideMark/>
          </w:tcPr>
          <w:p w14:paraId="29EA748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0.19</w:t>
            </w:r>
          </w:p>
        </w:tc>
        <w:tc>
          <w:tcPr>
            <w:tcW w:w="988" w:type="dxa"/>
            <w:shd w:val="clear" w:color="auto" w:fill="auto"/>
            <w:noWrap/>
            <w:hideMark/>
          </w:tcPr>
          <w:p w14:paraId="228442F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4709F03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6351832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921AE8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2C31942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Water and sanitation</w:t>
            </w:r>
          </w:p>
        </w:tc>
      </w:tr>
      <w:tr w:rsidR="00B71B4E" w:rsidRPr="00BD16B4" w14:paraId="03730FDA" w14:textId="77777777" w:rsidTr="00F31129">
        <w:tc>
          <w:tcPr>
            <w:tcW w:w="5245" w:type="dxa"/>
            <w:shd w:val="clear" w:color="auto" w:fill="auto"/>
            <w:hideMark/>
          </w:tcPr>
          <w:p w14:paraId="7E6FBB6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Myanmar / Promoting Rural Electrification</w:t>
            </w:r>
          </w:p>
        </w:tc>
        <w:tc>
          <w:tcPr>
            <w:tcW w:w="1346" w:type="dxa"/>
            <w:shd w:val="clear" w:color="auto" w:fill="auto"/>
            <w:hideMark/>
          </w:tcPr>
          <w:p w14:paraId="1F74A852"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1.38</w:t>
            </w:r>
          </w:p>
        </w:tc>
        <w:tc>
          <w:tcPr>
            <w:tcW w:w="1286" w:type="dxa"/>
            <w:shd w:val="clear" w:color="auto" w:fill="auto"/>
            <w:noWrap/>
            <w:hideMark/>
          </w:tcPr>
          <w:p w14:paraId="596A263B"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0.90</w:t>
            </w:r>
          </w:p>
        </w:tc>
        <w:tc>
          <w:tcPr>
            <w:tcW w:w="988" w:type="dxa"/>
            <w:shd w:val="clear" w:color="auto" w:fill="auto"/>
            <w:noWrap/>
            <w:hideMark/>
          </w:tcPr>
          <w:p w14:paraId="58499A7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1AB7E32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1B924F2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56F3219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Mitigation</w:t>
            </w:r>
          </w:p>
        </w:tc>
        <w:tc>
          <w:tcPr>
            <w:tcW w:w="2491" w:type="dxa"/>
            <w:shd w:val="clear" w:color="auto" w:fill="auto"/>
            <w:noWrap/>
            <w:hideMark/>
          </w:tcPr>
          <w:p w14:paraId="485BC3C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Energy </w:t>
            </w:r>
          </w:p>
        </w:tc>
      </w:tr>
      <w:tr w:rsidR="00B71B4E" w:rsidRPr="00BD16B4" w14:paraId="725D5140" w14:textId="77777777" w:rsidTr="00F31129">
        <w:tc>
          <w:tcPr>
            <w:tcW w:w="5245" w:type="dxa"/>
            <w:shd w:val="clear" w:color="auto" w:fill="auto"/>
            <w:hideMark/>
          </w:tcPr>
          <w:p w14:paraId="7033CE2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Myanmar / Livelihoods and Food Security Fund</w:t>
            </w:r>
          </w:p>
        </w:tc>
        <w:tc>
          <w:tcPr>
            <w:tcW w:w="1346" w:type="dxa"/>
            <w:shd w:val="clear" w:color="auto" w:fill="auto"/>
            <w:hideMark/>
          </w:tcPr>
          <w:p w14:paraId="0E786B3D"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0.75</w:t>
            </w:r>
          </w:p>
        </w:tc>
        <w:tc>
          <w:tcPr>
            <w:tcW w:w="1286" w:type="dxa"/>
            <w:shd w:val="clear" w:color="auto" w:fill="auto"/>
            <w:noWrap/>
            <w:hideMark/>
          </w:tcPr>
          <w:p w14:paraId="3CB6B82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0.49</w:t>
            </w:r>
          </w:p>
        </w:tc>
        <w:tc>
          <w:tcPr>
            <w:tcW w:w="988" w:type="dxa"/>
            <w:shd w:val="clear" w:color="auto" w:fill="auto"/>
            <w:noWrap/>
            <w:hideMark/>
          </w:tcPr>
          <w:p w14:paraId="48C2DA4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763D8FA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32BD68D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276BD22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6E69F80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5A6AAFBD" w14:textId="77777777" w:rsidTr="00F31129">
        <w:tc>
          <w:tcPr>
            <w:tcW w:w="5245" w:type="dxa"/>
            <w:shd w:val="clear" w:color="auto" w:fill="auto"/>
            <w:hideMark/>
          </w:tcPr>
          <w:p w14:paraId="0102F85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Cambodia / Angkor Governance Support</w:t>
            </w:r>
          </w:p>
        </w:tc>
        <w:tc>
          <w:tcPr>
            <w:tcW w:w="1346" w:type="dxa"/>
            <w:shd w:val="clear" w:color="auto" w:fill="auto"/>
            <w:hideMark/>
          </w:tcPr>
          <w:p w14:paraId="69FCFCD6"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0.12</w:t>
            </w:r>
          </w:p>
        </w:tc>
        <w:tc>
          <w:tcPr>
            <w:tcW w:w="1286" w:type="dxa"/>
            <w:shd w:val="clear" w:color="auto" w:fill="auto"/>
            <w:noWrap/>
            <w:hideMark/>
          </w:tcPr>
          <w:p w14:paraId="297C8D8A"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0.08</w:t>
            </w:r>
          </w:p>
        </w:tc>
        <w:tc>
          <w:tcPr>
            <w:tcW w:w="988" w:type="dxa"/>
            <w:shd w:val="clear" w:color="auto" w:fill="auto"/>
            <w:noWrap/>
            <w:hideMark/>
          </w:tcPr>
          <w:p w14:paraId="2A4EA66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2651700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1D440E3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56E1507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Mitigation</w:t>
            </w:r>
          </w:p>
        </w:tc>
        <w:tc>
          <w:tcPr>
            <w:tcW w:w="2491" w:type="dxa"/>
            <w:shd w:val="clear" w:color="auto" w:fill="auto"/>
            <w:noWrap/>
            <w:hideMark/>
          </w:tcPr>
          <w:p w14:paraId="1CD960F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Government and civil society</w:t>
            </w:r>
          </w:p>
        </w:tc>
      </w:tr>
      <w:tr w:rsidR="00B71B4E" w:rsidRPr="00BD16B4" w14:paraId="2EAAECDD" w14:textId="77777777" w:rsidTr="00F31129">
        <w:tc>
          <w:tcPr>
            <w:tcW w:w="5245" w:type="dxa"/>
            <w:shd w:val="clear" w:color="auto" w:fill="auto"/>
            <w:hideMark/>
          </w:tcPr>
          <w:p w14:paraId="49E4B9B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Indonesia / Strengthening Disaster Resilience</w:t>
            </w:r>
          </w:p>
        </w:tc>
        <w:tc>
          <w:tcPr>
            <w:tcW w:w="1346" w:type="dxa"/>
            <w:shd w:val="clear" w:color="auto" w:fill="auto"/>
            <w:hideMark/>
          </w:tcPr>
          <w:p w14:paraId="66B60D2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0.15</w:t>
            </w:r>
          </w:p>
        </w:tc>
        <w:tc>
          <w:tcPr>
            <w:tcW w:w="1286" w:type="dxa"/>
            <w:shd w:val="clear" w:color="auto" w:fill="auto"/>
            <w:noWrap/>
            <w:hideMark/>
          </w:tcPr>
          <w:p w14:paraId="71228ECA"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0.10</w:t>
            </w:r>
          </w:p>
        </w:tc>
        <w:tc>
          <w:tcPr>
            <w:tcW w:w="988" w:type="dxa"/>
            <w:shd w:val="clear" w:color="auto" w:fill="auto"/>
            <w:noWrap/>
            <w:hideMark/>
          </w:tcPr>
          <w:p w14:paraId="55CCD97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2EC05ED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2503FE9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254A59B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3061B00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3931914E" w14:textId="77777777" w:rsidTr="00F31129">
        <w:tc>
          <w:tcPr>
            <w:tcW w:w="5245" w:type="dxa"/>
            <w:shd w:val="clear" w:color="auto" w:fill="auto"/>
            <w:hideMark/>
          </w:tcPr>
          <w:p w14:paraId="6E4D987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Myanmar / Rakhine Winter Cropping Activity</w:t>
            </w:r>
          </w:p>
        </w:tc>
        <w:tc>
          <w:tcPr>
            <w:tcW w:w="1346" w:type="dxa"/>
            <w:shd w:val="clear" w:color="auto" w:fill="auto"/>
            <w:hideMark/>
          </w:tcPr>
          <w:p w14:paraId="31DF5105"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0.21</w:t>
            </w:r>
          </w:p>
        </w:tc>
        <w:tc>
          <w:tcPr>
            <w:tcW w:w="1286" w:type="dxa"/>
            <w:shd w:val="clear" w:color="auto" w:fill="auto"/>
            <w:noWrap/>
            <w:hideMark/>
          </w:tcPr>
          <w:p w14:paraId="5F33F86B"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0.14</w:t>
            </w:r>
          </w:p>
        </w:tc>
        <w:tc>
          <w:tcPr>
            <w:tcW w:w="988" w:type="dxa"/>
            <w:shd w:val="clear" w:color="auto" w:fill="auto"/>
            <w:noWrap/>
            <w:hideMark/>
          </w:tcPr>
          <w:p w14:paraId="67CE054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65AD378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4139165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61B7DB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27B3D65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582652F2" w14:textId="77777777" w:rsidTr="00F31129">
        <w:tc>
          <w:tcPr>
            <w:tcW w:w="5245" w:type="dxa"/>
            <w:shd w:val="clear" w:color="auto" w:fill="auto"/>
            <w:hideMark/>
          </w:tcPr>
          <w:p w14:paraId="3DA039C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Indonesia / Innovative Agribusiness</w:t>
            </w:r>
          </w:p>
        </w:tc>
        <w:tc>
          <w:tcPr>
            <w:tcW w:w="1346" w:type="dxa"/>
            <w:shd w:val="clear" w:color="auto" w:fill="auto"/>
            <w:hideMark/>
          </w:tcPr>
          <w:p w14:paraId="46D6267E"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0.16</w:t>
            </w:r>
          </w:p>
        </w:tc>
        <w:tc>
          <w:tcPr>
            <w:tcW w:w="1286" w:type="dxa"/>
            <w:shd w:val="clear" w:color="auto" w:fill="auto"/>
            <w:noWrap/>
            <w:hideMark/>
          </w:tcPr>
          <w:p w14:paraId="208F9262"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0.10</w:t>
            </w:r>
          </w:p>
        </w:tc>
        <w:tc>
          <w:tcPr>
            <w:tcW w:w="988" w:type="dxa"/>
            <w:shd w:val="clear" w:color="auto" w:fill="auto"/>
            <w:noWrap/>
            <w:hideMark/>
          </w:tcPr>
          <w:p w14:paraId="3EEF6E9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0271E75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66C53B6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3784410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67C0526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6C145DD0" w14:textId="77777777" w:rsidTr="00F31129">
        <w:tc>
          <w:tcPr>
            <w:tcW w:w="5245" w:type="dxa"/>
            <w:shd w:val="clear" w:color="auto" w:fill="auto"/>
            <w:hideMark/>
          </w:tcPr>
          <w:p w14:paraId="5148EEB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Viet Nam / Dam Safety Project</w:t>
            </w:r>
          </w:p>
        </w:tc>
        <w:tc>
          <w:tcPr>
            <w:tcW w:w="1346" w:type="dxa"/>
            <w:shd w:val="clear" w:color="auto" w:fill="auto"/>
            <w:hideMark/>
          </w:tcPr>
          <w:p w14:paraId="75FAFCC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0.33</w:t>
            </w:r>
          </w:p>
        </w:tc>
        <w:tc>
          <w:tcPr>
            <w:tcW w:w="1286" w:type="dxa"/>
            <w:shd w:val="clear" w:color="auto" w:fill="auto"/>
            <w:noWrap/>
            <w:hideMark/>
          </w:tcPr>
          <w:p w14:paraId="38BF783E"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0.22</w:t>
            </w:r>
          </w:p>
        </w:tc>
        <w:tc>
          <w:tcPr>
            <w:tcW w:w="988" w:type="dxa"/>
            <w:shd w:val="clear" w:color="auto" w:fill="auto"/>
            <w:noWrap/>
            <w:hideMark/>
          </w:tcPr>
          <w:p w14:paraId="2474AD6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2B2C275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57ED60C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8A5E8D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1FE33FD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Humanitarian </w:t>
            </w:r>
          </w:p>
        </w:tc>
      </w:tr>
      <w:tr w:rsidR="00B71B4E" w:rsidRPr="00BD16B4" w14:paraId="47F940DC" w14:textId="77777777" w:rsidTr="00F31129">
        <w:tc>
          <w:tcPr>
            <w:tcW w:w="5245" w:type="dxa"/>
            <w:shd w:val="clear" w:color="auto" w:fill="auto"/>
            <w:hideMark/>
          </w:tcPr>
          <w:p w14:paraId="645FDE6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Indonesia / Accelerating Geothermal Development</w:t>
            </w:r>
          </w:p>
        </w:tc>
        <w:tc>
          <w:tcPr>
            <w:tcW w:w="1346" w:type="dxa"/>
            <w:shd w:val="clear" w:color="auto" w:fill="auto"/>
            <w:hideMark/>
          </w:tcPr>
          <w:p w14:paraId="4CE53B7D"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0.17</w:t>
            </w:r>
          </w:p>
        </w:tc>
        <w:tc>
          <w:tcPr>
            <w:tcW w:w="1286" w:type="dxa"/>
            <w:shd w:val="clear" w:color="auto" w:fill="auto"/>
            <w:noWrap/>
            <w:hideMark/>
          </w:tcPr>
          <w:p w14:paraId="11280B38"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0.11</w:t>
            </w:r>
          </w:p>
        </w:tc>
        <w:tc>
          <w:tcPr>
            <w:tcW w:w="988" w:type="dxa"/>
            <w:shd w:val="clear" w:color="auto" w:fill="auto"/>
            <w:noWrap/>
            <w:hideMark/>
          </w:tcPr>
          <w:p w14:paraId="484330E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54B79AF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22C073B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C23C44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Mitigation</w:t>
            </w:r>
          </w:p>
        </w:tc>
        <w:tc>
          <w:tcPr>
            <w:tcW w:w="2491" w:type="dxa"/>
            <w:shd w:val="clear" w:color="auto" w:fill="auto"/>
            <w:noWrap/>
            <w:hideMark/>
          </w:tcPr>
          <w:p w14:paraId="132D328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Energy </w:t>
            </w:r>
          </w:p>
        </w:tc>
      </w:tr>
      <w:tr w:rsidR="00B71B4E" w:rsidRPr="00BD16B4" w14:paraId="3942079B" w14:textId="77777777" w:rsidTr="00F31129">
        <w:tc>
          <w:tcPr>
            <w:tcW w:w="5245" w:type="dxa"/>
            <w:shd w:val="clear" w:color="auto" w:fill="auto"/>
            <w:hideMark/>
          </w:tcPr>
          <w:p w14:paraId="403A188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Indonesia / Improving Energy Access in Maluku</w:t>
            </w:r>
          </w:p>
        </w:tc>
        <w:tc>
          <w:tcPr>
            <w:tcW w:w="1346" w:type="dxa"/>
            <w:shd w:val="clear" w:color="auto" w:fill="auto"/>
            <w:hideMark/>
          </w:tcPr>
          <w:p w14:paraId="0FCAEBE0"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0.35</w:t>
            </w:r>
          </w:p>
        </w:tc>
        <w:tc>
          <w:tcPr>
            <w:tcW w:w="1286" w:type="dxa"/>
            <w:shd w:val="clear" w:color="auto" w:fill="auto"/>
            <w:noWrap/>
            <w:hideMark/>
          </w:tcPr>
          <w:p w14:paraId="76C7B02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0.22</w:t>
            </w:r>
          </w:p>
        </w:tc>
        <w:tc>
          <w:tcPr>
            <w:tcW w:w="988" w:type="dxa"/>
            <w:shd w:val="clear" w:color="auto" w:fill="auto"/>
            <w:noWrap/>
            <w:hideMark/>
          </w:tcPr>
          <w:p w14:paraId="65BD1EA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234DFB4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01ACDFD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601495F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Mitigation</w:t>
            </w:r>
          </w:p>
        </w:tc>
        <w:tc>
          <w:tcPr>
            <w:tcW w:w="2491" w:type="dxa"/>
            <w:shd w:val="clear" w:color="auto" w:fill="auto"/>
            <w:noWrap/>
            <w:hideMark/>
          </w:tcPr>
          <w:p w14:paraId="10CA3AE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Energy </w:t>
            </w:r>
          </w:p>
        </w:tc>
      </w:tr>
      <w:tr w:rsidR="00B71B4E" w:rsidRPr="00BD16B4" w14:paraId="492AB2D1" w14:textId="77777777" w:rsidTr="00F31129">
        <w:tc>
          <w:tcPr>
            <w:tcW w:w="5245" w:type="dxa"/>
            <w:shd w:val="clear" w:color="auto" w:fill="auto"/>
            <w:hideMark/>
          </w:tcPr>
          <w:p w14:paraId="352AA9C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Myanmar / Matupi Sustainable Rural Economic Development (SURE)</w:t>
            </w:r>
          </w:p>
        </w:tc>
        <w:tc>
          <w:tcPr>
            <w:tcW w:w="1346" w:type="dxa"/>
            <w:shd w:val="clear" w:color="auto" w:fill="auto"/>
            <w:hideMark/>
          </w:tcPr>
          <w:p w14:paraId="40C0741D"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0.17</w:t>
            </w:r>
          </w:p>
        </w:tc>
        <w:tc>
          <w:tcPr>
            <w:tcW w:w="1286" w:type="dxa"/>
            <w:shd w:val="clear" w:color="auto" w:fill="auto"/>
            <w:noWrap/>
            <w:hideMark/>
          </w:tcPr>
          <w:p w14:paraId="32334C2F"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0.11</w:t>
            </w:r>
          </w:p>
        </w:tc>
        <w:tc>
          <w:tcPr>
            <w:tcW w:w="988" w:type="dxa"/>
            <w:shd w:val="clear" w:color="auto" w:fill="auto"/>
            <w:noWrap/>
            <w:hideMark/>
          </w:tcPr>
          <w:p w14:paraId="74FE842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631FFD1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5D3E4FF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3A8EE8C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17844A7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33CDEF45" w14:textId="77777777" w:rsidTr="00F31129">
        <w:tc>
          <w:tcPr>
            <w:tcW w:w="5245" w:type="dxa"/>
            <w:shd w:val="clear" w:color="auto" w:fill="auto"/>
            <w:hideMark/>
          </w:tcPr>
          <w:p w14:paraId="061ADD1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Indonesia / Supporting Geothermal Sector Training</w:t>
            </w:r>
          </w:p>
        </w:tc>
        <w:tc>
          <w:tcPr>
            <w:tcW w:w="1346" w:type="dxa"/>
            <w:shd w:val="clear" w:color="auto" w:fill="auto"/>
            <w:hideMark/>
          </w:tcPr>
          <w:p w14:paraId="4FA1453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0.26</w:t>
            </w:r>
          </w:p>
        </w:tc>
        <w:tc>
          <w:tcPr>
            <w:tcW w:w="1286" w:type="dxa"/>
            <w:shd w:val="clear" w:color="auto" w:fill="auto"/>
            <w:noWrap/>
            <w:hideMark/>
          </w:tcPr>
          <w:p w14:paraId="78E8A10C"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0.17</w:t>
            </w:r>
          </w:p>
        </w:tc>
        <w:tc>
          <w:tcPr>
            <w:tcW w:w="988" w:type="dxa"/>
            <w:shd w:val="clear" w:color="auto" w:fill="auto"/>
            <w:noWrap/>
            <w:hideMark/>
          </w:tcPr>
          <w:p w14:paraId="0F773C4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6C51220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7F93280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B738B7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Mitigation</w:t>
            </w:r>
          </w:p>
        </w:tc>
        <w:tc>
          <w:tcPr>
            <w:tcW w:w="2491" w:type="dxa"/>
            <w:shd w:val="clear" w:color="auto" w:fill="auto"/>
            <w:noWrap/>
            <w:hideMark/>
          </w:tcPr>
          <w:p w14:paraId="2AB9C52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Energy </w:t>
            </w:r>
          </w:p>
        </w:tc>
      </w:tr>
      <w:tr w:rsidR="00B71B4E" w:rsidRPr="00BD16B4" w14:paraId="749C859E" w14:textId="77777777" w:rsidTr="00F31129">
        <w:tc>
          <w:tcPr>
            <w:tcW w:w="5245" w:type="dxa"/>
            <w:shd w:val="clear" w:color="auto" w:fill="auto"/>
            <w:hideMark/>
          </w:tcPr>
          <w:p w14:paraId="7E60EC1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Indonesia / Better Warehousing</w:t>
            </w:r>
          </w:p>
        </w:tc>
        <w:tc>
          <w:tcPr>
            <w:tcW w:w="1346" w:type="dxa"/>
            <w:shd w:val="clear" w:color="auto" w:fill="auto"/>
            <w:hideMark/>
          </w:tcPr>
          <w:p w14:paraId="674D9614"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0.28</w:t>
            </w:r>
          </w:p>
        </w:tc>
        <w:tc>
          <w:tcPr>
            <w:tcW w:w="1286" w:type="dxa"/>
            <w:shd w:val="clear" w:color="auto" w:fill="auto"/>
            <w:noWrap/>
            <w:hideMark/>
          </w:tcPr>
          <w:p w14:paraId="26835CCD"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0.18</w:t>
            </w:r>
          </w:p>
        </w:tc>
        <w:tc>
          <w:tcPr>
            <w:tcW w:w="988" w:type="dxa"/>
            <w:shd w:val="clear" w:color="auto" w:fill="auto"/>
            <w:noWrap/>
            <w:hideMark/>
          </w:tcPr>
          <w:p w14:paraId="188BEEA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4B4F4FC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3CB3D68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5A3A38C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06A149E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Humanitarian </w:t>
            </w:r>
          </w:p>
        </w:tc>
      </w:tr>
      <w:tr w:rsidR="00B71B4E" w:rsidRPr="00BD16B4" w14:paraId="2BCD5D64" w14:textId="77777777" w:rsidTr="00F31129">
        <w:tc>
          <w:tcPr>
            <w:tcW w:w="5245" w:type="dxa"/>
            <w:shd w:val="clear" w:color="auto" w:fill="auto"/>
            <w:hideMark/>
          </w:tcPr>
          <w:p w14:paraId="33BEFDC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lastRenderedPageBreak/>
              <w:t>Myanmar / Dairy Industry and Veterinary Training</w:t>
            </w:r>
          </w:p>
        </w:tc>
        <w:tc>
          <w:tcPr>
            <w:tcW w:w="1346" w:type="dxa"/>
            <w:shd w:val="clear" w:color="auto" w:fill="auto"/>
            <w:hideMark/>
          </w:tcPr>
          <w:p w14:paraId="411A8D0A"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0.21</w:t>
            </w:r>
          </w:p>
        </w:tc>
        <w:tc>
          <w:tcPr>
            <w:tcW w:w="1286" w:type="dxa"/>
            <w:shd w:val="clear" w:color="auto" w:fill="auto"/>
            <w:noWrap/>
            <w:hideMark/>
          </w:tcPr>
          <w:p w14:paraId="32A198FE"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0.14</w:t>
            </w:r>
          </w:p>
        </w:tc>
        <w:tc>
          <w:tcPr>
            <w:tcW w:w="988" w:type="dxa"/>
            <w:shd w:val="clear" w:color="auto" w:fill="auto"/>
            <w:noWrap/>
            <w:hideMark/>
          </w:tcPr>
          <w:p w14:paraId="7C77126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7F08DF5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126DE19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1C74C3A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468307C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4CF69253" w14:textId="77777777" w:rsidTr="00F31129">
        <w:tc>
          <w:tcPr>
            <w:tcW w:w="5245" w:type="dxa"/>
            <w:shd w:val="clear" w:color="auto" w:fill="auto"/>
            <w:hideMark/>
          </w:tcPr>
          <w:p w14:paraId="00849CD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ASEAN / Lao PDR and Cambodia Renewable Energy Facility</w:t>
            </w:r>
          </w:p>
        </w:tc>
        <w:tc>
          <w:tcPr>
            <w:tcW w:w="1346" w:type="dxa"/>
            <w:shd w:val="clear" w:color="auto" w:fill="auto"/>
            <w:hideMark/>
          </w:tcPr>
          <w:p w14:paraId="7A81EA4C"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1.39</w:t>
            </w:r>
          </w:p>
        </w:tc>
        <w:tc>
          <w:tcPr>
            <w:tcW w:w="1286" w:type="dxa"/>
            <w:shd w:val="clear" w:color="auto" w:fill="auto"/>
            <w:noWrap/>
            <w:hideMark/>
          </w:tcPr>
          <w:p w14:paraId="65067206"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0.90</w:t>
            </w:r>
          </w:p>
        </w:tc>
        <w:tc>
          <w:tcPr>
            <w:tcW w:w="988" w:type="dxa"/>
            <w:shd w:val="clear" w:color="auto" w:fill="auto"/>
            <w:noWrap/>
            <w:hideMark/>
          </w:tcPr>
          <w:p w14:paraId="435144B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1FC5257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693A7CE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03D57DE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304B1F2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Energy </w:t>
            </w:r>
          </w:p>
        </w:tc>
      </w:tr>
      <w:tr w:rsidR="00B71B4E" w:rsidRPr="00BD16B4" w14:paraId="2500388A" w14:textId="77777777" w:rsidTr="00F31129">
        <w:tc>
          <w:tcPr>
            <w:tcW w:w="5245" w:type="dxa"/>
            <w:shd w:val="clear" w:color="auto" w:fill="auto"/>
            <w:hideMark/>
          </w:tcPr>
          <w:p w14:paraId="2A5869B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Lao PDR / Quality Beef Initiative</w:t>
            </w:r>
          </w:p>
        </w:tc>
        <w:tc>
          <w:tcPr>
            <w:tcW w:w="1346" w:type="dxa"/>
            <w:shd w:val="clear" w:color="auto" w:fill="auto"/>
            <w:hideMark/>
          </w:tcPr>
          <w:p w14:paraId="1CDCA37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0.20</w:t>
            </w:r>
          </w:p>
        </w:tc>
        <w:tc>
          <w:tcPr>
            <w:tcW w:w="1286" w:type="dxa"/>
            <w:shd w:val="clear" w:color="auto" w:fill="auto"/>
            <w:noWrap/>
            <w:hideMark/>
          </w:tcPr>
          <w:p w14:paraId="5776F998"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0.13</w:t>
            </w:r>
          </w:p>
        </w:tc>
        <w:tc>
          <w:tcPr>
            <w:tcW w:w="988" w:type="dxa"/>
            <w:shd w:val="clear" w:color="auto" w:fill="auto"/>
            <w:noWrap/>
            <w:hideMark/>
          </w:tcPr>
          <w:p w14:paraId="0A522A5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0D300C1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074C0A0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0B2948D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49DC56F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72B78F99" w14:textId="77777777" w:rsidTr="00F31129">
        <w:tc>
          <w:tcPr>
            <w:tcW w:w="5245" w:type="dxa"/>
            <w:shd w:val="clear" w:color="auto" w:fill="auto"/>
            <w:hideMark/>
          </w:tcPr>
          <w:p w14:paraId="1485C99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Cambodia / Quality Horticulture Initiative</w:t>
            </w:r>
          </w:p>
        </w:tc>
        <w:tc>
          <w:tcPr>
            <w:tcW w:w="1346" w:type="dxa"/>
            <w:shd w:val="clear" w:color="auto" w:fill="auto"/>
            <w:hideMark/>
          </w:tcPr>
          <w:p w14:paraId="6B92ABCC"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0.22</w:t>
            </w:r>
          </w:p>
        </w:tc>
        <w:tc>
          <w:tcPr>
            <w:tcW w:w="1286" w:type="dxa"/>
            <w:shd w:val="clear" w:color="auto" w:fill="auto"/>
            <w:noWrap/>
            <w:hideMark/>
          </w:tcPr>
          <w:p w14:paraId="74D58F1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0.14</w:t>
            </w:r>
          </w:p>
        </w:tc>
        <w:tc>
          <w:tcPr>
            <w:tcW w:w="988" w:type="dxa"/>
            <w:shd w:val="clear" w:color="auto" w:fill="auto"/>
            <w:noWrap/>
            <w:hideMark/>
          </w:tcPr>
          <w:p w14:paraId="3FDE76F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54878C7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6F24B92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6EDFD3A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1BC86AD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32F95828" w14:textId="77777777" w:rsidTr="00F31129">
        <w:tc>
          <w:tcPr>
            <w:tcW w:w="5245" w:type="dxa"/>
            <w:shd w:val="clear" w:color="auto" w:fill="auto"/>
            <w:hideMark/>
          </w:tcPr>
          <w:p w14:paraId="070CC41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Myanmar / Better Warehousing and Logistics</w:t>
            </w:r>
          </w:p>
        </w:tc>
        <w:tc>
          <w:tcPr>
            <w:tcW w:w="1346" w:type="dxa"/>
            <w:shd w:val="clear" w:color="auto" w:fill="auto"/>
            <w:hideMark/>
          </w:tcPr>
          <w:p w14:paraId="0FCB623A"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0.32</w:t>
            </w:r>
          </w:p>
        </w:tc>
        <w:tc>
          <w:tcPr>
            <w:tcW w:w="1286" w:type="dxa"/>
            <w:shd w:val="clear" w:color="auto" w:fill="auto"/>
            <w:noWrap/>
            <w:hideMark/>
          </w:tcPr>
          <w:p w14:paraId="08840392"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0.22</w:t>
            </w:r>
          </w:p>
        </w:tc>
        <w:tc>
          <w:tcPr>
            <w:tcW w:w="988" w:type="dxa"/>
            <w:shd w:val="clear" w:color="auto" w:fill="auto"/>
            <w:noWrap/>
            <w:hideMark/>
          </w:tcPr>
          <w:p w14:paraId="4B89A9D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7B467B7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59FB91E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2319D0C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306BCF3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11BF7FAA" w14:textId="77777777" w:rsidTr="00F31129">
        <w:tc>
          <w:tcPr>
            <w:tcW w:w="5245" w:type="dxa"/>
            <w:shd w:val="clear" w:color="auto" w:fill="auto"/>
            <w:hideMark/>
          </w:tcPr>
          <w:p w14:paraId="22B7D4F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Myanmar / Resilient Horticulture</w:t>
            </w:r>
          </w:p>
        </w:tc>
        <w:tc>
          <w:tcPr>
            <w:tcW w:w="1346" w:type="dxa"/>
            <w:shd w:val="clear" w:color="auto" w:fill="auto"/>
            <w:hideMark/>
          </w:tcPr>
          <w:p w14:paraId="0170F64C"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0.21</w:t>
            </w:r>
          </w:p>
        </w:tc>
        <w:tc>
          <w:tcPr>
            <w:tcW w:w="1286" w:type="dxa"/>
            <w:shd w:val="clear" w:color="auto" w:fill="auto"/>
            <w:noWrap/>
            <w:hideMark/>
          </w:tcPr>
          <w:p w14:paraId="65A585CB"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0.14</w:t>
            </w:r>
          </w:p>
        </w:tc>
        <w:tc>
          <w:tcPr>
            <w:tcW w:w="988" w:type="dxa"/>
            <w:shd w:val="clear" w:color="auto" w:fill="auto"/>
            <w:noWrap/>
            <w:hideMark/>
          </w:tcPr>
          <w:p w14:paraId="1A0AA1D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24EF023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00355E7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1A75A43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2E29B98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44315BB4" w14:textId="77777777" w:rsidTr="00F31129">
        <w:tc>
          <w:tcPr>
            <w:tcW w:w="5245" w:type="dxa"/>
            <w:shd w:val="clear" w:color="auto" w:fill="auto"/>
            <w:hideMark/>
          </w:tcPr>
          <w:p w14:paraId="7A915FF7"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Viet Nam / Dragon Fruit Development</w:t>
            </w:r>
          </w:p>
        </w:tc>
        <w:tc>
          <w:tcPr>
            <w:tcW w:w="1346" w:type="dxa"/>
            <w:shd w:val="clear" w:color="auto" w:fill="auto"/>
            <w:hideMark/>
          </w:tcPr>
          <w:p w14:paraId="361B8450"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0.20</w:t>
            </w:r>
          </w:p>
        </w:tc>
        <w:tc>
          <w:tcPr>
            <w:tcW w:w="1286" w:type="dxa"/>
            <w:shd w:val="clear" w:color="auto" w:fill="auto"/>
            <w:noWrap/>
            <w:hideMark/>
          </w:tcPr>
          <w:p w14:paraId="58AFB505"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0.13</w:t>
            </w:r>
          </w:p>
        </w:tc>
        <w:tc>
          <w:tcPr>
            <w:tcW w:w="988" w:type="dxa"/>
            <w:shd w:val="clear" w:color="auto" w:fill="auto"/>
            <w:noWrap/>
            <w:hideMark/>
          </w:tcPr>
          <w:p w14:paraId="67C0775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5DAF9F2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357A2EE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2B663E8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0C7A202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568BDD75" w14:textId="77777777" w:rsidTr="00F31129">
        <w:tc>
          <w:tcPr>
            <w:tcW w:w="5245" w:type="dxa"/>
            <w:shd w:val="clear" w:color="auto" w:fill="auto"/>
            <w:hideMark/>
          </w:tcPr>
          <w:p w14:paraId="3497DDC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Worldwide / Save the Children New Zealand Implementation</w:t>
            </w:r>
          </w:p>
        </w:tc>
        <w:tc>
          <w:tcPr>
            <w:tcW w:w="1346" w:type="dxa"/>
            <w:shd w:val="clear" w:color="auto" w:fill="auto"/>
            <w:hideMark/>
          </w:tcPr>
          <w:p w14:paraId="41252ABC"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0.74</w:t>
            </w:r>
          </w:p>
        </w:tc>
        <w:tc>
          <w:tcPr>
            <w:tcW w:w="1286" w:type="dxa"/>
            <w:shd w:val="clear" w:color="auto" w:fill="auto"/>
            <w:noWrap/>
            <w:hideMark/>
          </w:tcPr>
          <w:p w14:paraId="49E554A6"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0.48</w:t>
            </w:r>
          </w:p>
        </w:tc>
        <w:tc>
          <w:tcPr>
            <w:tcW w:w="988" w:type="dxa"/>
            <w:shd w:val="clear" w:color="auto" w:fill="auto"/>
            <w:noWrap/>
            <w:hideMark/>
          </w:tcPr>
          <w:p w14:paraId="7DED42C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12281B1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27A44E2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6556C6E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4D1916C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4B6F98CE" w14:textId="77777777" w:rsidTr="00F31129">
        <w:tc>
          <w:tcPr>
            <w:tcW w:w="5245" w:type="dxa"/>
            <w:shd w:val="clear" w:color="auto" w:fill="auto"/>
            <w:hideMark/>
          </w:tcPr>
          <w:p w14:paraId="4EBBB36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Worldwide / World Vision New Zealand Implementation</w:t>
            </w:r>
          </w:p>
        </w:tc>
        <w:tc>
          <w:tcPr>
            <w:tcW w:w="1346" w:type="dxa"/>
            <w:shd w:val="clear" w:color="auto" w:fill="auto"/>
            <w:hideMark/>
          </w:tcPr>
          <w:p w14:paraId="11DF92AD"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1.31</w:t>
            </w:r>
          </w:p>
        </w:tc>
        <w:tc>
          <w:tcPr>
            <w:tcW w:w="1286" w:type="dxa"/>
            <w:shd w:val="clear" w:color="auto" w:fill="auto"/>
            <w:noWrap/>
            <w:hideMark/>
          </w:tcPr>
          <w:p w14:paraId="490AB929"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0.85</w:t>
            </w:r>
          </w:p>
        </w:tc>
        <w:tc>
          <w:tcPr>
            <w:tcW w:w="988" w:type="dxa"/>
            <w:shd w:val="clear" w:color="auto" w:fill="auto"/>
            <w:noWrap/>
            <w:hideMark/>
          </w:tcPr>
          <w:p w14:paraId="3B6E2A3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0C56756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6BE26F5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68D7548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27D2576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13C326EB" w14:textId="77777777" w:rsidTr="00F31129">
        <w:tc>
          <w:tcPr>
            <w:tcW w:w="5245" w:type="dxa"/>
            <w:shd w:val="clear" w:color="auto" w:fill="auto"/>
            <w:hideMark/>
          </w:tcPr>
          <w:p w14:paraId="1345EBE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Worldwide / ChildFund New Zealand Implementation</w:t>
            </w:r>
          </w:p>
        </w:tc>
        <w:tc>
          <w:tcPr>
            <w:tcW w:w="1346" w:type="dxa"/>
            <w:shd w:val="clear" w:color="auto" w:fill="auto"/>
            <w:hideMark/>
          </w:tcPr>
          <w:p w14:paraId="7C76F6CB"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0.75</w:t>
            </w:r>
          </w:p>
        </w:tc>
        <w:tc>
          <w:tcPr>
            <w:tcW w:w="1286" w:type="dxa"/>
            <w:shd w:val="clear" w:color="auto" w:fill="auto"/>
            <w:noWrap/>
            <w:hideMark/>
          </w:tcPr>
          <w:p w14:paraId="7AE6C4B3"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0.49</w:t>
            </w:r>
          </w:p>
        </w:tc>
        <w:tc>
          <w:tcPr>
            <w:tcW w:w="988" w:type="dxa"/>
            <w:shd w:val="clear" w:color="auto" w:fill="auto"/>
            <w:noWrap/>
            <w:hideMark/>
          </w:tcPr>
          <w:p w14:paraId="02150A1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7C306F4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692960E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7377E06C"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58E9934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474F2DEE" w14:textId="77777777" w:rsidTr="00F31129">
        <w:tc>
          <w:tcPr>
            <w:tcW w:w="5245" w:type="dxa"/>
            <w:shd w:val="clear" w:color="auto" w:fill="auto"/>
            <w:hideMark/>
          </w:tcPr>
          <w:p w14:paraId="40B8B3F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Africa Regional / African Climate-smart Agriculture Initiative</w:t>
            </w:r>
          </w:p>
        </w:tc>
        <w:tc>
          <w:tcPr>
            <w:tcW w:w="1346" w:type="dxa"/>
            <w:shd w:val="clear" w:color="auto" w:fill="auto"/>
            <w:hideMark/>
          </w:tcPr>
          <w:p w14:paraId="08DD56EA"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0.40</w:t>
            </w:r>
          </w:p>
        </w:tc>
        <w:tc>
          <w:tcPr>
            <w:tcW w:w="1286" w:type="dxa"/>
            <w:shd w:val="clear" w:color="auto" w:fill="auto"/>
            <w:noWrap/>
            <w:hideMark/>
          </w:tcPr>
          <w:p w14:paraId="2E5C015C"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0.26</w:t>
            </w:r>
          </w:p>
        </w:tc>
        <w:tc>
          <w:tcPr>
            <w:tcW w:w="988" w:type="dxa"/>
            <w:shd w:val="clear" w:color="auto" w:fill="auto"/>
            <w:noWrap/>
            <w:hideMark/>
          </w:tcPr>
          <w:p w14:paraId="1AAD02A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7A4BD7D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4AA574F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8859B79"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Mitigation</w:t>
            </w:r>
          </w:p>
        </w:tc>
        <w:tc>
          <w:tcPr>
            <w:tcW w:w="2491" w:type="dxa"/>
            <w:shd w:val="clear" w:color="auto" w:fill="auto"/>
            <w:noWrap/>
            <w:hideMark/>
          </w:tcPr>
          <w:p w14:paraId="48AA461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66F8B51F" w14:textId="77777777" w:rsidTr="00F31129">
        <w:tc>
          <w:tcPr>
            <w:tcW w:w="5245" w:type="dxa"/>
            <w:shd w:val="clear" w:color="auto" w:fill="auto"/>
            <w:hideMark/>
          </w:tcPr>
          <w:p w14:paraId="43A1D3E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Africa Regional / East Africa: Farm to Market Alliance</w:t>
            </w:r>
          </w:p>
        </w:tc>
        <w:tc>
          <w:tcPr>
            <w:tcW w:w="1346" w:type="dxa"/>
            <w:shd w:val="clear" w:color="auto" w:fill="auto"/>
            <w:hideMark/>
          </w:tcPr>
          <w:p w14:paraId="324C54D0"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0.42</w:t>
            </w:r>
          </w:p>
        </w:tc>
        <w:tc>
          <w:tcPr>
            <w:tcW w:w="1286" w:type="dxa"/>
            <w:shd w:val="clear" w:color="auto" w:fill="auto"/>
            <w:noWrap/>
            <w:hideMark/>
          </w:tcPr>
          <w:p w14:paraId="355E7300"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0.27</w:t>
            </w:r>
          </w:p>
        </w:tc>
        <w:tc>
          <w:tcPr>
            <w:tcW w:w="988" w:type="dxa"/>
            <w:shd w:val="clear" w:color="auto" w:fill="auto"/>
            <w:noWrap/>
            <w:hideMark/>
          </w:tcPr>
          <w:p w14:paraId="036E8CC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431ACC70"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7621B5F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064F617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2E5AA85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4960E6AB" w14:textId="77777777" w:rsidTr="00F31129">
        <w:tc>
          <w:tcPr>
            <w:tcW w:w="5245" w:type="dxa"/>
            <w:shd w:val="clear" w:color="auto" w:fill="auto"/>
            <w:hideMark/>
          </w:tcPr>
          <w:p w14:paraId="6E4943D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Zambia / Dairy Transformation Programme</w:t>
            </w:r>
          </w:p>
        </w:tc>
        <w:tc>
          <w:tcPr>
            <w:tcW w:w="1346" w:type="dxa"/>
            <w:shd w:val="clear" w:color="auto" w:fill="auto"/>
            <w:hideMark/>
          </w:tcPr>
          <w:p w14:paraId="0BBCB0A8"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0.42</w:t>
            </w:r>
          </w:p>
        </w:tc>
        <w:tc>
          <w:tcPr>
            <w:tcW w:w="1286" w:type="dxa"/>
            <w:shd w:val="clear" w:color="auto" w:fill="auto"/>
            <w:noWrap/>
            <w:hideMark/>
          </w:tcPr>
          <w:p w14:paraId="60D1C1D2"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0.27</w:t>
            </w:r>
          </w:p>
        </w:tc>
        <w:tc>
          <w:tcPr>
            <w:tcW w:w="988" w:type="dxa"/>
            <w:shd w:val="clear" w:color="auto" w:fill="auto"/>
            <w:noWrap/>
            <w:hideMark/>
          </w:tcPr>
          <w:p w14:paraId="6A05763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6E962A5F"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11E47666"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049EF28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60CA3BB1"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Agriculture</w:t>
            </w:r>
          </w:p>
        </w:tc>
      </w:tr>
      <w:tr w:rsidR="00B71B4E" w:rsidRPr="00BD16B4" w14:paraId="55EACCC0" w14:textId="77777777" w:rsidTr="00F31129">
        <w:tc>
          <w:tcPr>
            <w:tcW w:w="5245" w:type="dxa"/>
            <w:shd w:val="clear" w:color="auto" w:fill="auto"/>
            <w:hideMark/>
          </w:tcPr>
          <w:p w14:paraId="257E0125"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Africa Geothermal / Africa Geothermal Assistance Facility</w:t>
            </w:r>
          </w:p>
        </w:tc>
        <w:tc>
          <w:tcPr>
            <w:tcW w:w="1346" w:type="dxa"/>
            <w:shd w:val="clear" w:color="auto" w:fill="auto"/>
            <w:hideMark/>
          </w:tcPr>
          <w:p w14:paraId="6DFEA5CE"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0.57</w:t>
            </w:r>
          </w:p>
        </w:tc>
        <w:tc>
          <w:tcPr>
            <w:tcW w:w="1286" w:type="dxa"/>
            <w:shd w:val="clear" w:color="auto" w:fill="auto"/>
            <w:noWrap/>
            <w:hideMark/>
          </w:tcPr>
          <w:p w14:paraId="5D2BC6F8"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0.37</w:t>
            </w:r>
          </w:p>
        </w:tc>
        <w:tc>
          <w:tcPr>
            <w:tcW w:w="988" w:type="dxa"/>
            <w:shd w:val="clear" w:color="auto" w:fill="auto"/>
            <w:noWrap/>
            <w:hideMark/>
          </w:tcPr>
          <w:p w14:paraId="737D111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2005F9B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2049073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2CA5C15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6DF7C91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 xml:space="preserve">Energy </w:t>
            </w:r>
          </w:p>
        </w:tc>
      </w:tr>
      <w:tr w:rsidR="00B71B4E" w:rsidRPr="00BD16B4" w14:paraId="4133C60B" w14:textId="77777777" w:rsidTr="00F31129">
        <w:tc>
          <w:tcPr>
            <w:tcW w:w="5245" w:type="dxa"/>
            <w:shd w:val="clear" w:color="auto" w:fill="auto"/>
            <w:hideMark/>
          </w:tcPr>
          <w:p w14:paraId="2BBDC79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Other / Adaptation</w:t>
            </w:r>
          </w:p>
        </w:tc>
        <w:tc>
          <w:tcPr>
            <w:tcW w:w="1346" w:type="dxa"/>
            <w:shd w:val="clear" w:color="auto" w:fill="auto"/>
            <w:hideMark/>
          </w:tcPr>
          <w:p w14:paraId="2A9E4CD6" w14:textId="1F0B05C7" w:rsidR="00B71B4E" w:rsidRPr="00BD16B4" w:rsidRDefault="00B71B4E" w:rsidP="00F31129">
            <w:pPr>
              <w:spacing w:before="40" w:after="40" w:line="240" w:lineRule="auto"/>
              <w:jc w:val="center"/>
              <w:rPr>
                <w:rFonts w:cs="Calibri"/>
                <w:sz w:val="18"/>
                <w:szCs w:val="18"/>
              </w:rPr>
            </w:pPr>
            <w:r w:rsidRPr="00BD16B4">
              <w:rPr>
                <w:rFonts w:cs="Calibri"/>
                <w:sz w:val="18"/>
                <w:szCs w:val="18"/>
              </w:rPr>
              <w:t>1.</w:t>
            </w:r>
            <w:r w:rsidR="000C1058" w:rsidRPr="00BD16B4">
              <w:rPr>
                <w:rFonts w:cs="Calibri"/>
                <w:sz w:val="18"/>
                <w:szCs w:val="18"/>
              </w:rPr>
              <w:t>43</w:t>
            </w:r>
          </w:p>
        </w:tc>
        <w:tc>
          <w:tcPr>
            <w:tcW w:w="1286" w:type="dxa"/>
            <w:shd w:val="clear" w:color="auto" w:fill="auto"/>
            <w:hideMark/>
          </w:tcPr>
          <w:p w14:paraId="15F67FF1" w14:textId="0B94FCFC" w:rsidR="00B71B4E" w:rsidRPr="00BD16B4" w:rsidRDefault="00B71B4E" w:rsidP="00F31129">
            <w:pPr>
              <w:spacing w:before="40" w:after="40" w:line="240" w:lineRule="auto"/>
              <w:jc w:val="center"/>
              <w:rPr>
                <w:rFonts w:cs="Calibri"/>
                <w:sz w:val="18"/>
                <w:szCs w:val="18"/>
              </w:rPr>
            </w:pPr>
            <w:r w:rsidRPr="00BD16B4">
              <w:rPr>
                <w:rFonts w:cs="Calibri"/>
                <w:sz w:val="18"/>
                <w:szCs w:val="18"/>
              </w:rPr>
              <w:t>0.9</w:t>
            </w:r>
            <w:r w:rsidR="000C1058" w:rsidRPr="00BD16B4">
              <w:rPr>
                <w:rFonts w:cs="Calibri"/>
                <w:sz w:val="18"/>
                <w:szCs w:val="18"/>
              </w:rPr>
              <w:t>3</w:t>
            </w:r>
          </w:p>
        </w:tc>
        <w:tc>
          <w:tcPr>
            <w:tcW w:w="988" w:type="dxa"/>
            <w:shd w:val="clear" w:color="auto" w:fill="auto"/>
            <w:noWrap/>
            <w:hideMark/>
          </w:tcPr>
          <w:p w14:paraId="2C96FDF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379AD10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495154D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503022B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Adaptation</w:t>
            </w:r>
          </w:p>
        </w:tc>
        <w:tc>
          <w:tcPr>
            <w:tcW w:w="2491" w:type="dxa"/>
            <w:shd w:val="clear" w:color="auto" w:fill="auto"/>
            <w:noWrap/>
            <w:hideMark/>
          </w:tcPr>
          <w:p w14:paraId="61B03D7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667AEB64" w14:textId="77777777" w:rsidTr="00F31129">
        <w:tc>
          <w:tcPr>
            <w:tcW w:w="5245" w:type="dxa"/>
            <w:shd w:val="clear" w:color="auto" w:fill="auto"/>
            <w:hideMark/>
          </w:tcPr>
          <w:p w14:paraId="7A41617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Other / Mitigation</w:t>
            </w:r>
          </w:p>
        </w:tc>
        <w:tc>
          <w:tcPr>
            <w:tcW w:w="1346" w:type="dxa"/>
            <w:shd w:val="clear" w:color="auto" w:fill="auto"/>
            <w:hideMark/>
          </w:tcPr>
          <w:p w14:paraId="394531C1"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0.10</w:t>
            </w:r>
          </w:p>
        </w:tc>
        <w:tc>
          <w:tcPr>
            <w:tcW w:w="1286" w:type="dxa"/>
            <w:shd w:val="clear" w:color="auto" w:fill="auto"/>
            <w:hideMark/>
          </w:tcPr>
          <w:p w14:paraId="2E928804"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0.07</w:t>
            </w:r>
          </w:p>
        </w:tc>
        <w:tc>
          <w:tcPr>
            <w:tcW w:w="988" w:type="dxa"/>
            <w:shd w:val="clear" w:color="auto" w:fill="auto"/>
            <w:noWrap/>
            <w:hideMark/>
          </w:tcPr>
          <w:p w14:paraId="4678BF3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214BAE6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6F6EFCC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0FE3A008"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Mitigation</w:t>
            </w:r>
          </w:p>
        </w:tc>
        <w:tc>
          <w:tcPr>
            <w:tcW w:w="2491" w:type="dxa"/>
            <w:shd w:val="clear" w:color="auto" w:fill="auto"/>
            <w:noWrap/>
            <w:hideMark/>
          </w:tcPr>
          <w:p w14:paraId="2A7F08A2"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4E005D37" w14:textId="77777777" w:rsidTr="00F31129">
        <w:tc>
          <w:tcPr>
            <w:tcW w:w="5245" w:type="dxa"/>
            <w:tcBorders>
              <w:bottom w:val="single" w:sz="8" w:space="0" w:color="1B556B" w:themeColor="text2"/>
            </w:tcBorders>
            <w:shd w:val="clear" w:color="auto" w:fill="auto"/>
            <w:hideMark/>
          </w:tcPr>
          <w:p w14:paraId="14A5528B"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Other / Cross-cutting</w:t>
            </w:r>
          </w:p>
        </w:tc>
        <w:tc>
          <w:tcPr>
            <w:tcW w:w="1346" w:type="dxa"/>
            <w:tcBorders>
              <w:bottom w:val="single" w:sz="8" w:space="0" w:color="1B556B" w:themeColor="text2"/>
            </w:tcBorders>
            <w:shd w:val="clear" w:color="auto" w:fill="auto"/>
            <w:hideMark/>
          </w:tcPr>
          <w:p w14:paraId="255C5199"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0.56</w:t>
            </w:r>
          </w:p>
        </w:tc>
        <w:tc>
          <w:tcPr>
            <w:tcW w:w="1286" w:type="dxa"/>
            <w:tcBorders>
              <w:bottom w:val="single" w:sz="8" w:space="0" w:color="1B556B" w:themeColor="text2"/>
            </w:tcBorders>
            <w:shd w:val="clear" w:color="auto" w:fill="auto"/>
            <w:hideMark/>
          </w:tcPr>
          <w:p w14:paraId="61B32FC6" w14:textId="77777777" w:rsidR="00B71B4E" w:rsidRPr="00BD16B4" w:rsidRDefault="00B71B4E" w:rsidP="00F31129">
            <w:pPr>
              <w:spacing w:before="40" w:after="40" w:line="240" w:lineRule="auto"/>
              <w:jc w:val="center"/>
              <w:rPr>
                <w:rFonts w:cs="Calibri"/>
                <w:sz w:val="18"/>
                <w:szCs w:val="18"/>
              </w:rPr>
            </w:pPr>
            <w:r w:rsidRPr="00BD16B4">
              <w:rPr>
                <w:rFonts w:cs="Calibri"/>
                <w:sz w:val="18"/>
                <w:szCs w:val="18"/>
              </w:rPr>
              <w:t>0.36</w:t>
            </w:r>
          </w:p>
        </w:tc>
        <w:tc>
          <w:tcPr>
            <w:tcW w:w="988" w:type="dxa"/>
            <w:shd w:val="clear" w:color="auto" w:fill="auto"/>
            <w:noWrap/>
            <w:hideMark/>
          </w:tcPr>
          <w:p w14:paraId="323CACED"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Disbursed</w:t>
            </w:r>
          </w:p>
        </w:tc>
        <w:tc>
          <w:tcPr>
            <w:tcW w:w="836" w:type="dxa"/>
            <w:shd w:val="clear" w:color="auto" w:fill="auto"/>
            <w:noWrap/>
            <w:hideMark/>
          </w:tcPr>
          <w:p w14:paraId="5CC2CC73"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ODA</w:t>
            </w:r>
          </w:p>
        </w:tc>
        <w:tc>
          <w:tcPr>
            <w:tcW w:w="1075" w:type="dxa"/>
            <w:shd w:val="clear" w:color="auto" w:fill="auto"/>
            <w:noWrap/>
            <w:hideMark/>
          </w:tcPr>
          <w:p w14:paraId="382A3524"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Grant</w:t>
            </w:r>
          </w:p>
        </w:tc>
        <w:tc>
          <w:tcPr>
            <w:tcW w:w="1192" w:type="dxa"/>
            <w:shd w:val="clear" w:color="auto" w:fill="auto"/>
            <w:noWrap/>
            <w:hideMark/>
          </w:tcPr>
          <w:p w14:paraId="464565FE"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Cross-cutting</w:t>
            </w:r>
          </w:p>
        </w:tc>
        <w:tc>
          <w:tcPr>
            <w:tcW w:w="2491" w:type="dxa"/>
            <w:shd w:val="clear" w:color="auto" w:fill="auto"/>
            <w:noWrap/>
            <w:hideMark/>
          </w:tcPr>
          <w:p w14:paraId="6F6698CA" w14:textId="77777777" w:rsidR="00B71B4E" w:rsidRPr="00BD16B4" w:rsidRDefault="00B71B4E" w:rsidP="00F31129">
            <w:pPr>
              <w:spacing w:before="40" w:after="40" w:line="240" w:lineRule="auto"/>
              <w:jc w:val="left"/>
              <w:rPr>
                <w:rFonts w:cs="Calibri"/>
                <w:sz w:val="18"/>
                <w:szCs w:val="18"/>
              </w:rPr>
            </w:pPr>
            <w:r w:rsidRPr="00BD16B4">
              <w:rPr>
                <w:rFonts w:cs="Calibri"/>
                <w:sz w:val="18"/>
                <w:szCs w:val="18"/>
              </w:rPr>
              <w:t>Multi-sector</w:t>
            </w:r>
          </w:p>
        </w:tc>
      </w:tr>
      <w:tr w:rsidR="00B71B4E" w:rsidRPr="00BD16B4" w14:paraId="5EE25E0E" w14:textId="77777777" w:rsidTr="00F31129">
        <w:tc>
          <w:tcPr>
            <w:tcW w:w="5245" w:type="dxa"/>
            <w:shd w:val="clear" w:color="000000" w:fill="D2DDE1" w:themeFill="background2"/>
            <w:hideMark/>
          </w:tcPr>
          <w:p w14:paraId="7F04ED1B" w14:textId="77777777" w:rsidR="00B71B4E" w:rsidRPr="00BD16B4" w:rsidRDefault="00B71B4E" w:rsidP="00F31129">
            <w:pPr>
              <w:spacing w:before="40" w:after="40" w:line="240" w:lineRule="auto"/>
              <w:rPr>
                <w:rFonts w:cs="Calibri"/>
                <w:b/>
                <w:bCs/>
                <w:sz w:val="18"/>
                <w:szCs w:val="18"/>
              </w:rPr>
            </w:pPr>
            <w:r w:rsidRPr="00BD16B4">
              <w:rPr>
                <w:rFonts w:cs="Calibri"/>
                <w:b/>
                <w:bCs/>
                <w:sz w:val="18"/>
                <w:szCs w:val="18"/>
              </w:rPr>
              <w:t>TOTAL</w:t>
            </w:r>
          </w:p>
        </w:tc>
        <w:tc>
          <w:tcPr>
            <w:tcW w:w="1346" w:type="dxa"/>
            <w:shd w:val="clear" w:color="000000" w:fill="D2DDE1" w:themeFill="background2"/>
            <w:hideMark/>
          </w:tcPr>
          <w:p w14:paraId="7B0914C0" w14:textId="15911DA7" w:rsidR="00B71B4E" w:rsidRPr="00BD16B4" w:rsidRDefault="00B71B4E" w:rsidP="00F31129">
            <w:pPr>
              <w:spacing w:before="40" w:after="40" w:line="240" w:lineRule="auto"/>
              <w:jc w:val="center"/>
              <w:rPr>
                <w:rFonts w:cs="Calibri"/>
                <w:b/>
                <w:bCs/>
                <w:sz w:val="18"/>
                <w:szCs w:val="18"/>
              </w:rPr>
            </w:pPr>
            <w:r w:rsidRPr="00BD16B4">
              <w:rPr>
                <w:rFonts w:cs="Calibri"/>
                <w:b/>
                <w:bCs/>
                <w:sz w:val="18"/>
                <w:szCs w:val="18"/>
              </w:rPr>
              <w:t>77.4</w:t>
            </w:r>
            <w:r w:rsidR="000C1058" w:rsidRPr="00BD16B4">
              <w:rPr>
                <w:rFonts w:cs="Calibri"/>
                <w:b/>
                <w:bCs/>
                <w:sz w:val="18"/>
                <w:szCs w:val="18"/>
              </w:rPr>
              <w:t>1</w:t>
            </w:r>
          </w:p>
        </w:tc>
        <w:tc>
          <w:tcPr>
            <w:tcW w:w="1286" w:type="dxa"/>
            <w:shd w:val="clear" w:color="000000" w:fill="D2DDE1" w:themeFill="background2"/>
            <w:hideMark/>
          </w:tcPr>
          <w:p w14:paraId="266DF1FA" w14:textId="77777777" w:rsidR="00B71B4E" w:rsidRPr="00BD16B4" w:rsidRDefault="00B71B4E" w:rsidP="00F31129">
            <w:pPr>
              <w:spacing w:before="40" w:after="40" w:line="240" w:lineRule="auto"/>
              <w:jc w:val="center"/>
              <w:rPr>
                <w:rFonts w:cs="Calibri"/>
                <w:b/>
                <w:bCs/>
                <w:sz w:val="18"/>
                <w:szCs w:val="18"/>
              </w:rPr>
            </w:pPr>
            <w:r w:rsidRPr="00BD16B4">
              <w:rPr>
                <w:rFonts w:cs="Calibri"/>
                <w:b/>
                <w:bCs/>
                <w:sz w:val="18"/>
                <w:szCs w:val="18"/>
              </w:rPr>
              <w:t>50.25</w:t>
            </w:r>
          </w:p>
        </w:tc>
        <w:tc>
          <w:tcPr>
            <w:tcW w:w="988" w:type="dxa"/>
            <w:shd w:val="clear" w:color="auto" w:fill="auto"/>
            <w:noWrap/>
            <w:hideMark/>
          </w:tcPr>
          <w:p w14:paraId="62E8D0C5" w14:textId="77777777" w:rsidR="00B71B4E" w:rsidRPr="00BD16B4" w:rsidRDefault="00B71B4E" w:rsidP="00F31129">
            <w:pPr>
              <w:spacing w:before="40" w:after="40" w:line="240" w:lineRule="auto"/>
              <w:jc w:val="right"/>
              <w:rPr>
                <w:rFonts w:cs="Calibri"/>
                <w:b/>
                <w:bCs/>
                <w:sz w:val="18"/>
                <w:szCs w:val="18"/>
              </w:rPr>
            </w:pPr>
          </w:p>
        </w:tc>
        <w:tc>
          <w:tcPr>
            <w:tcW w:w="836" w:type="dxa"/>
            <w:shd w:val="clear" w:color="auto" w:fill="auto"/>
            <w:noWrap/>
            <w:hideMark/>
          </w:tcPr>
          <w:p w14:paraId="189E0450" w14:textId="77777777" w:rsidR="00B71B4E" w:rsidRPr="00BD16B4" w:rsidRDefault="00B71B4E" w:rsidP="00F31129">
            <w:pPr>
              <w:spacing w:before="40" w:after="40" w:line="240" w:lineRule="auto"/>
              <w:rPr>
                <w:rFonts w:cs="Calibri"/>
                <w:sz w:val="18"/>
                <w:szCs w:val="18"/>
              </w:rPr>
            </w:pPr>
          </w:p>
        </w:tc>
        <w:tc>
          <w:tcPr>
            <w:tcW w:w="1075" w:type="dxa"/>
            <w:shd w:val="clear" w:color="auto" w:fill="auto"/>
            <w:noWrap/>
            <w:hideMark/>
          </w:tcPr>
          <w:p w14:paraId="01183660" w14:textId="77777777" w:rsidR="00B71B4E" w:rsidRPr="00BD16B4" w:rsidRDefault="00B71B4E" w:rsidP="00F31129">
            <w:pPr>
              <w:spacing w:before="40" w:after="40" w:line="240" w:lineRule="auto"/>
              <w:rPr>
                <w:rFonts w:cs="Calibri"/>
                <w:sz w:val="18"/>
                <w:szCs w:val="18"/>
              </w:rPr>
            </w:pPr>
          </w:p>
        </w:tc>
        <w:tc>
          <w:tcPr>
            <w:tcW w:w="1192" w:type="dxa"/>
            <w:shd w:val="clear" w:color="auto" w:fill="auto"/>
            <w:noWrap/>
            <w:hideMark/>
          </w:tcPr>
          <w:p w14:paraId="18EAB507" w14:textId="77777777" w:rsidR="00B71B4E" w:rsidRPr="00BD16B4" w:rsidRDefault="00B71B4E" w:rsidP="00F31129">
            <w:pPr>
              <w:spacing w:before="40" w:after="40" w:line="240" w:lineRule="auto"/>
              <w:rPr>
                <w:rFonts w:cs="Calibri"/>
                <w:sz w:val="18"/>
                <w:szCs w:val="18"/>
              </w:rPr>
            </w:pPr>
          </w:p>
        </w:tc>
        <w:tc>
          <w:tcPr>
            <w:tcW w:w="2491" w:type="dxa"/>
            <w:shd w:val="clear" w:color="auto" w:fill="auto"/>
            <w:noWrap/>
            <w:hideMark/>
          </w:tcPr>
          <w:p w14:paraId="7F2F9133" w14:textId="77777777" w:rsidR="00B71B4E" w:rsidRPr="00BD16B4" w:rsidRDefault="00B71B4E" w:rsidP="00F31129">
            <w:pPr>
              <w:spacing w:before="40" w:after="40" w:line="240" w:lineRule="auto"/>
              <w:rPr>
                <w:rFonts w:cs="Calibri"/>
                <w:sz w:val="18"/>
                <w:szCs w:val="18"/>
              </w:rPr>
            </w:pPr>
          </w:p>
        </w:tc>
      </w:tr>
    </w:tbl>
    <w:p w14:paraId="2D3F1F5F" w14:textId="77777777" w:rsidR="00B71B4E" w:rsidRPr="00BD16B4" w:rsidRDefault="00B71B4E" w:rsidP="00120409">
      <w:pPr>
        <w:pStyle w:val="Note"/>
        <w:rPr>
          <w:rFonts w:ascii="Arial" w:hAnsi="Arial" w:cs="Arial"/>
        </w:rPr>
      </w:pPr>
      <w:r w:rsidRPr="00BD16B4">
        <w:rPr>
          <w:b/>
          <w:bCs/>
        </w:rPr>
        <w:t xml:space="preserve">Note: </w:t>
      </w:r>
      <w:r w:rsidRPr="00BD16B4">
        <w:t xml:space="preserve">* Bilateral activities with a moderated (climate-specific) value of less that NZ$100,000 have been grouped together and are listed at the end of this table as ‘Other’ in the ‘Country’ column. ASEAN = Association of Southeast Asian Nations; </w:t>
      </w:r>
      <w:r w:rsidRPr="00BD16B4">
        <w:rPr>
          <w:rFonts w:asciiTheme="minorHAnsi" w:hAnsiTheme="minorHAnsi" w:cstheme="minorHAnsi"/>
        </w:rPr>
        <w:t>Lao PDR = Lao People’s Democratic Republic;</w:t>
      </w:r>
      <w:r w:rsidRPr="00BD16B4">
        <w:t xml:space="preserve"> ODA = Official Development Assistance; RISE = Revitalising Informal Settlements and their Environments.</w:t>
      </w:r>
    </w:p>
    <w:p w14:paraId="69A342A5" w14:textId="77777777" w:rsidR="00B71B4E" w:rsidRPr="00BD16B4" w:rsidRDefault="00B71B4E" w:rsidP="00B71B4E">
      <w:pPr>
        <w:rPr>
          <w:rFonts w:asciiTheme="minorHAnsi" w:hAnsiTheme="minorHAnsi" w:cstheme="minorHAnsi"/>
          <w:sz w:val="16"/>
          <w:szCs w:val="16"/>
        </w:rPr>
      </w:pPr>
    </w:p>
    <w:p w14:paraId="3740AA8E" w14:textId="77777777" w:rsidR="00B71B4E" w:rsidRPr="00BD16B4" w:rsidRDefault="00B71B4E" w:rsidP="00120409">
      <w:pPr>
        <w:pStyle w:val="Note"/>
        <w:rPr>
          <w:highlight w:val="yellow"/>
        </w:rPr>
        <w:sectPr w:rsidR="00B71B4E" w:rsidRPr="00BD16B4" w:rsidSect="00A412E7">
          <w:footerReference w:type="default" r:id="rId120"/>
          <w:pgSz w:w="16840" w:h="11907" w:orient="landscape" w:code="9"/>
          <w:pgMar w:top="1701" w:right="1134" w:bottom="1701" w:left="1134" w:header="567" w:footer="567" w:gutter="0"/>
          <w:cols w:space="720"/>
          <w:docGrid w:linePitch="299"/>
        </w:sectPr>
      </w:pPr>
    </w:p>
    <w:p w14:paraId="46DBD1AB" w14:textId="062561CD" w:rsidR="00B71B4E" w:rsidRPr="00BD16B4" w:rsidRDefault="00B71B4E" w:rsidP="00B71B4E">
      <w:pPr>
        <w:pStyle w:val="Heading2"/>
        <w:spacing w:before="0"/>
      </w:pPr>
      <w:bookmarkStart w:id="371" w:name="_Toc497740297"/>
      <w:bookmarkStart w:id="372" w:name="_Toc497740399"/>
      <w:bookmarkStart w:id="373" w:name="_Toc500796166"/>
      <w:bookmarkStart w:id="374" w:name="_Toc121774659"/>
      <w:r w:rsidRPr="00BD16B4">
        <w:lastRenderedPageBreak/>
        <w:t>7.3</w:t>
      </w:r>
      <w:r w:rsidRPr="00BD16B4">
        <w:tab/>
        <w:t>Technology development and transfer</w:t>
      </w:r>
      <w:bookmarkEnd w:id="371"/>
      <w:bookmarkEnd w:id="372"/>
      <w:bookmarkEnd w:id="373"/>
      <w:bookmarkEnd w:id="374"/>
    </w:p>
    <w:p w14:paraId="63A5F7BE" w14:textId="77777777" w:rsidR="00D5417B" w:rsidRPr="00BD16B4" w:rsidRDefault="00B71B4E" w:rsidP="00B71B4E">
      <w:pPr>
        <w:pStyle w:val="BodyText"/>
      </w:pPr>
      <w:r w:rsidRPr="00BD16B4">
        <w:t xml:space="preserve">The development and transfer of climate-friendly technologies is critical for reducing GHG emissions and adapting to the impacts of climate change, including achieving the goals of the Paris Agreement. </w:t>
      </w:r>
      <w:r w:rsidR="00D5417B" w:rsidRPr="00BD16B4">
        <w:t xml:space="preserve">Aotearoa </w:t>
      </w:r>
      <w:r w:rsidRPr="00BD16B4">
        <w:t xml:space="preserve">New Zealand is committed to promoting, facilitating and financing the transfer of, access to and deployment of climate-friendly technologies for the benefit of developing countries. </w:t>
      </w:r>
    </w:p>
    <w:p w14:paraId="7A075CEB" w14:textId="24BF8D8C" w:rsidR="00B71B4E" w:rsidRPr="00BD16B4" w:rsidRDefault="00B71B4E" w:rsidP="00B71B4E">
      <w:pPr>
        <w:pStyle w:val="BodyText"/>
        <w:rPr>
          <w:highlight w:val="yellow"/>
        </w:rPr>
      </w:pPr>
      <w:r w:rsidRPr="00BD16B4">
        <w:t xml:space="preserve">Technology transfer helps both developed and developing countries reduce the cost of tackling climate change, while also stimulating opportunities for sustainable development. Practical assistance and cooperative action to accelerate technology development and transfer to help developing country Parties are, therefore, priorities for New Zealand. During the reporting period, New Zealand delivered on these commitments through the New Zealand IDC Programme and the </w:t>
      </w:r>
      <w:r w:rsidRPr="00BD16B4">
        <w:rPr>
          <w:rFonts w:asciiTheme="minorHAnsi" w:hAnsiTheme="minorHAnsi" w:cstheme="minorHAnsi"/>
        </w:rPr>
        <w:t>GRA</w:t>
      </w:r>
      <w:r w:rsidRPr="00BD16B4">
        <w:t>. This section reports on these commitments in text and tables, which also reference other sections of this chapter where relevant.</w:t>
      </w:r>
    </w:p>
    <w:p w14:paraId="07848E5F" w14:textId="77777777" w:rsidR="00B71B4E" w:rsidRPr="00BD16B4" w:rsidRDefault="00B71B4E" w:rsidP="00B71B4E">
      <w:pPr>
        <w:pStyle w:val="Heading3"/>
      </w:pPr>
      <w:r w:rsidRPr="00BD16B4">
        <w:t>7.3.1</w:t>
      </w:r>
      <w:r w:rsidRPr="00BD16B4">
        <w:tab/>
        <w:t>Technology transfer delivered through the New Zealand IDC Programme</w:t>
      </w:r>
    </w:p>
    <w:p w14:paraId="035694AD" w14:textId="5DD931D1" w:rsidR="00B71B4E" w:rsidRPr="00BD16B4" w:rsidRDefault="00B71B4E" w:rsidP="00B71B4E">
      <w:pPr>
        <w:pStyle w:val="BodyText"/>
      </w:pPr>
      <w:bookmarkStart w:id="375" w:name="_Toc497749153"/>
      <w:bookmarkStart w:id="376" w:name="_Toc500767048"/>
      <w:r w:rsidRPr="00BD16B4">
        <w:t>As detailed in section 7.2.3, country partnerships are at the heart of New Zealand’s climate-related support, and countries’ identified priorities are central to the development support New Zealand provides. Its IDC Programme is committed to supporting climate change action in developing countries. Particular areas of focus are the Pacific region, renewable energy and agriculture; these areas are reflected in the sectors most strongly represented in table 7.6. In addition, New Zealand has supported a number of technology transfer activities in South East Asia, Africa, the Caribbean and Latin America, through both the IDC Programme and the GRA, as outlined in table 7.6</w:t>
      </w:r>
      <w:r w:rsidR="0099619C" w:rsidRPr="00BD16B4">
        <w:t xml:space="preserve"> and table 77</w:t>
      </w:r>
      <w:r w:rsidRPr="00BD16B4">
        <w:t xml:space="preserve">. </w:t>
      </w:r>
    </w:p>
    <w:p w14:paraId="2B92733C" w14:textId="77777777" w:rsidR="00B71B4E" w:rsidRPr="00BD16B4" w:rsidRDefault="00B71B4E" w:rsidP="00B71B4E">
      <w:pPr>
        <w:pStyle w:val="BodyText"/>
      </w:pPr>
      <w:r w:rsidRPr="00BD16B4">
        <w:t>As detailed under ‘Mitigation’ in section 7.2.3, a priority for the IDC Programme has been supporting energy initiatives to enable access to affordable, reliable and clean energy sources, reducing carbon emissions, improving energy efficiency and creating low-carbon development pathways. Table 7.5 in section 7.2.3 gives several examples of energy projects that promoted, facilitated and financed technology transfer for the benefit of developing country Parties, and the majority of mitigation activities listed in table 7.6 are energy activities.</w:t>
      </w:r>
    </w:p>
    <w:p w14:paraId="2C5B9C17" w14:textId="77777777" w:rsidR="00B71B4E" w:rsidRPr="00BD16B4" w:rsidRDefault="00B71B4E" w:rsidP="00B71B4E">
      <w:pPr>
        <w:pStyle w:val="BodyText"/>
      </w:pPr>
      <w:r w:rsidRPr="00BD16B4">
        <w:t>Another priority in the IDC Programme has been supporting adaptation projects that reduce the vulnerability of human and natural systems to the impacts of climate change by increasing community and infrastructure resilience. Many of the activities identified in</w:t>
      </w:r>
      <w:r w:rsidRPr="00BD16B4">
        <w:rPr>
          <w:rStyle w:val="Hyperlink"/>
        </w:rPr>
        <w:t xml:space="preserve"> </w:t>
      </w:r>
      <w:r w:rsidRPr="00BD16B4">
        <w:t xml:space="preserve">table 7.6 aim to help communities better meet the challenges of more extreme weather events, the increasing risk of drought, sea-level rise, and changes in fisheries resources. Section 7.2.3, under ‘Adaptation’, details a number of these projects, including those focused on water and sanitation, agriculture and disaster-resilient infrastructure. </w:t>
      </w:r>
    </w:p>
    <w:p w14:paraId="517FE948" w14:textId="77777777" w:rsidR="00B71B4E" w:rsidRPr="00BD16B4" w:rsidRDefault="00B71B4E" w:rsidP="004E1B8C">
      <w:pPr>
        <w:pStyle w:val="Heading4"/>
      </w:pPr>
      <w:bookmarkStart w:id="377" w:name="_Success_Stories"/>
      <w:bookmarkEnd w:id="377"/>
      <w:r w:rsidRPr="00BD16B4">
        <w:t>Success stories</w:t>
      </w:r>
    </w:p>
    <w:p w14:paraId="33256193" w14:textId="77777777" w:rsidR="00B71B4E" w:rsidRPr="00BD16B4" w:rsidRDefault="00B71B4E" w:rsidP="00BB33B9">
      <w:pPr>
        <w:pStyle w:val="Heading5"/>
      </w:pPr>
      <w:r w:rsidRPr="00BD16B4">
        <w:t>Tonga Village Network Upgrade Programme and Nuku’alofa Network Upgrade Project</w:t>
      </w:r>
    </w:p>
    <w:p w14:paraId="3C1D05E4" w14:textId="2412DF32" w:rsidR="00B71B4E" w:rsidRPr="00BD16B4" w:rsidRDefault="00B71B4E" w:rsidP="00B71B4E">
      <w:pPr>
        <w:pStyle w:val="BodyText"/>
        <w:spacing w:before="100" w:after="100"/>
      </w:pPr>
      <w:r w:rsidRPr="00BD16B4">
        <w:t>This activity built and embedded capability in the Tongan electricity utility to undertake all of</w:t>
      </w:r>
      <w:r w:rsidR="0099619C" w:rsidRPr="00BD16B4">
        <w:t> </w:t>
      </w:r>
      <w:r w:rsidRPr="00BD16B4">
        <w:t>its own network upgrades and repairs. It involved training a large group of Tongans to New</w:t>
      </w:r>
      <w:r w:rsidR="0099619C" w:rsidRPr="00BD16B4">
        <w:t> </w:t>
      </w:r>
      <w:r w:rsidRPr="00BD16B4">
        <w:t>Zealand line mechanic standards, while completely upgrading the electricity network on</w:t>
      </w:r>
      <w:r w:rsidR="0099619C" w:rsidRPr="00BD16B4">
        <w:t> </w:t>
      </w:r>
      <w:r w:rsidRPr="00BD16B4">
        <w:t>the main island of Tongatapu.</w:t>
      </w:r>
    </w:p>
    <w:p w14:paraId="4077CC3A" w14:textId="77777777" w:rsidR="00B71B4E" w:rsidRPr="00BD16B4" w:rsidRDefault="00B71B4E" w:rsidP="000D46B1">
      <w:pPr>
        <w:pStyle w:val="BodyText"/>
      </w:pPr>
      <w:r w:rsidRPr="00BD16B4">
        <w:lastRenderedPageBreak/>
        <w:t>In 2020, Tropical Cyclone Harold hit Tonga, causing widespread damage. On Tongatapu, where lines had previously been upgraded, damage was relatively minor and power cables were reinstated relatively easily. The Tonga Power team were able to assess damage across all island groups quickly and came up with a plan to rehabilitate damaged lines. They had the necessary materials held in stock on Tongatapu for the network upgrade programmes, meaning they required no materials from overseas. They also had a large number of well-trained and experienced line mechanics to undertake the repairs. Power was restored quickly to all islands without the need to send overseas line crews in to help, as has been the normal practice following cyclone damage in Pacific countries. Being able to complete the repairs independently was particularly beneficial as Tonga had effectively closed its borders to keep out the COVID-19 pandemic.</w:t>
      </w:r>
    </w:p>
    <w:p w14:paraId="4EE2A316" w14:textId="77777777" w:rsidR="00B71B4E" w:rsidRPr="00BD16B4" w:rsidRDefault="00B71B4E" w:rsidP="000D46B1">
      <w:pPr>
        <w:pStyle w:val="BodyText"/>
      </w:pPr>
      <w:r w:rsidRPr="00BD16B4">
        <w:t xml:space="preserve">The extended length of the programme with continued support from New Zealand and more recently other development partners has meant that line mechanics who were first trained have been able to build and maintain their skills, and then pass them on to new groups of line mechanics. </w:t>
      </w:r>
    </w:p>
    <w:p w14:paraId="679770E9" w14:textId="77777777" w:rsidR="00B71B4E" w:rsidRPr="00BD16B4" w:rsidRDefault="00B71B4E" w:rsidP="000D46B1">
      <w:pPr>
        <w:pStyle w:val="BodyText"/>
      </w:pPr>
      <w:r w:rsidRPr="00BD16B4">
        <w:t>The original approach involved partnering the local utility with a line company and training organisation both based in New Zealand, which built an enduring partnership. A crucial element of the programme’s success was that Tongan line mechanics spent considerable time in New Zealand working with line mechanics there and undertaking training. Some line mechanics have chosen to stay in New Zealand or move to Australia, which has resulted in high remittances back to Tonga from well-paid, skilled work. Because the programme trained twice the number of line mechanics needed for the work in Tonga, the choice of some line mechanics to work in other countries has not disrupted the upgrading work on Tonga.</w:t>
      </w:r>
    </w:p>
    <w:p w14:paraId="37D38664" w14:textId="1873ACDC" w:rsidR="00B71B4E" w:rsidRPr="00BD16B4" w:rsidRDefault="00B71B4E" w:rsidP="000D46B1">
      <w:pPr>
        <w:pStyle w:val="BodyText"/>
      </w:pPr>
      <w:r w:rsidRPr="00BD16B4">
        <w:t>This activity ha</w:t>
      </w:r>
      <w:r w:rsidR="0099619C" w:rsidRPr="00BD16B4">
        <w:t>d</w:t>
      </w:r>
      <w:r w:rsidRPr="00BD16B4">
        <w:t xml:space="preserve"> a life span of 10 years, 2012–21, and a total funding package of NZ$42.1 million.</w:t>
      </w:r>
    </w:p>
    <w:p w14:paraId="48D78BCF" w14:textId="77777777" w:rsidR="00B71B4E" w:rsidRPr="00BD16B4" w:rsidRDefault="00B71B4E" w:rsidP="004E1B8C">
      <w:pPr>
        <w:pStyle w:val="Heading4"/>
      </w:pPr>
      <w:r w:rsidRPr="00BD16B4">
        <w:t xml:space="preserve">Lessons learnt </w:t>
      </w:r>
    </w:p>
    <w:p w14:paraId="06C2427D" w14:textId="77777777" w:rsidR="00B71B4E" w:rsidRPr="00BD16B4" w:rsidRDefault="00B71B4E" w:rsidP="00BB33B9">
      <w:pPr>
        <w:pStyle w:val="Heading5"/>
        <w:rPr>
          <w:highlight w:val="yellow"/>
        </w:rPr>
      </w:pPr>
      <w:r w:rsidRPr="00BD16B4">
        <w:t>Nauru Energy Efficiency</w:t>
      </w:r>
      <w:r w:rsidRPr="00BD16B4">
        <w:rPr>
          <w:highlight w:val="yellow"/>
        </w:rPr>
        <w:t xml:space="preserve"> </w:t>
      </w:r>
    </w:p>
    <w:p w14:paraId="657D5D1F" w14:textId="77777777" w:rsidR="00B71B4E" w:rsidRPr="00BD16B4" w:rsidRDefault="00B71B4E" w:rsidP="00B71B4E">
      <w:pPr>
        <w:pStyle w:val="BodyText"/>
      </w:pPr>
      <w:r w:rsidRPr="00BD16B4">
        <w:t>The activity’s aim is to increase Nauru’s economic resilience by increasing energy efficiency and therefore reducing the amount of imported fossil fuel. It involves scoping all potential energy efficiency opportunities and then implementing the most impactful and cost-effective. This is the first project in Nauru to address energy efficiency and uses New Zealand’s wealth of experience and capability in this often overlooked energy subsector.</w:t>
      </w:r>
    </w:p>
    <w:p w14:paraId="156A5272" w14:textId="77777777" w:rsidR="00B71B4E" w:rsidRPr="00BD16B4" w:rsidRDefault="00B71B4E" w:rsidP="00B71B4E">
      <w:pPr>
        <w:pStyle w:val="BodyText"/>
      </w:pPr>
      <w:r w:rsidRPr="00BD16B4">
        <w:t>Within this activity, the transferred technologies include:</w:t>
      </w:r>
    </w:p>
    <w:p w14:paraId="2AE98D46" w14:textId="77777777" w:rsidR="00B71B4E" w:rsidRPr="00BD16B4" w:rsidRDefault="00B71B4E" w:rsidP="0011037B">
      <w:pPr>
        <w:pStyle w:val="Bullet"/>
        <w:tabs>
          <w:tab w:val="num" w:pos="397"/>
        </w:tabs>
        <w:spacing w:line="280" w:lineRule="exact"/>
      </w:pPr>
      <w:r w:rsidRPr="00BD16B4">
        <w:t>monitoring equipment for disaggregating electricity use in buildings</w:t>
      </w:r>
    </w:p>
    <w:p w14:paraId="5CDD7033" w14:textId="77777777" w:rsidR="00B71B4E" w:rsidRPr="00BD16B4" w:rsidRDefault="00B71B4E" w:rsidP="0011037B">
      <w:pPr>
        <w:pStyle w:val="Bullet"/>
        <w:tabs>
          <w:tab w:val="num" w:pos="397"/>
        </w:tabs>
        <w:spacing w:line="280" w:lineRule="exact"/>
      </w:pPr>
      <w:r w:rsidRPr="00BD16B4">
        <w:t>energy-efficient appliances, lighting and equipment.</w:t>
      </w:r>
    </w:p>
    <w:p w14:paraId="36263017" w14:textId="77777777" w:rsidR="00B71B4E" w:rsidRPr="00BD16B4" w:rsidRDefault="00B71B4E" w:rsidP="00B71B4E">
      <w:pPr>
        <w:pStyle w:val="BodyText"/>
      </w:pPr>
      <w:r w:rsidRPr="00BD16B4">
        <w:t xml:space="preserve">The lesson learnt in this activity is that the energy sector has a lot of interconnected parts and, for best results, a holistic approach that covers the entire energy sector is needed. While energy efficiency is often overlooked, work to improve it is much cheaper than building more renewable energy generation. Within this holistic approach, the activity includes scoping the potential efficiencies by reducing transport energy and associated emissions. </w:t>
      </w:r>
    </w:p>
    <w:p w14:paraId="720FBAD8" w14:textId="77777777" w:rsidR="00B71B4E" w:rsidRPr="00BD16B4" w:rsidRDefault="00B71B4E" w:rsidP="00B71B4E">
      <w:pPr>
        <w:pStyle w:val="BodyText"/>
      </w:pPr>
      <w:r w:rsidRPr="00BD16B4">
        <w:t>This activity has a life span of five years, 2019–24, and a total funding package of NZ$4.9 million.</w:t>
      </w:r>
    </w:p>
    <w:p w14:paraId="7CBC9E4E" w14:textId="4FE86988" w:rsidR="004A43AD" w:rsidRPr="00BD16B4" w:rsidRDefault="004A43AD" w:rsidP="004A43AD">
      <w:pPr>
        <w:pStyle w:val="Heading5"/>
      </w:pPr>
      <w:r w:rsidRPr="00BD16B4">
        <w:lastRenderedPageBreak/>
        <w:t>Activity Evaluations for the International Development Cooperation Prog</w:t>
      </w:r>
      <w:r w:rsidR="00B313B6">
        <w:t>r</w:t>
      </w:r>
      <w:r w:rsidRPr="00BD16B4">
        <w:t>amme</w:t>
      </w:r>
    </w:p>
    <w:p w14:paraId="5F9712D3" w14:textId="77777777" w:rsidR="004A43AD" w:rsidRPr="00BD16B4" w:rsidRDefault="004A43AD" w:rsidP="004A43AD">
      <w:pPr>
        <w:pStyle w:val="BodyText"/>
      </w:pPr>
      <w:r w:rsidRPr="00BD16B4">
        <w:t xml:space="preserve">Evaluations are critical to running a successful and credible IDC Programme. Any completed activity that was high risk or had high strategic value is independently evaluated. These evaluations identify what worked, how it worked, for who, what did not work, why it did not work and ways to make sure it works in the future. Evaluations of IDC Programme activities are carried out by external evaluators and they complement our internal monitoring and review processes. These evaluations are publicly available at </w:t>
      </w:r>
      <w:hyperlink r:id="rId121" w:history="1">
        <w:r w:rsidRPr="00BD16B4">
          <w:rPr>
            <w:rStyle w:val="Hyperlink"/>
          </w:rPr>
          <w:t>www.mfat.govt.nz/en/aid-and-development/our-approach-to-aid/evaluation-and-research</w:t>
        </w:r>
      </w:hyperlink>
      <w:r w:rsidRPr="00BD16B4">
        <w:t xml:space="preserve">. </w:t>
      </w:r>
    </w:p>
    <w:p w14:paraId="607FDE2A" w14:textId="77777777" w:rsidR="00B71B4E" w:rsidRPr="00BD16B4" w:rsidRDefault="00B71B4E" w:rsidP="004E1B8C">
      <w:pPr>
        <w:pStyle w:val="Heading4"/>
      </w:pPr>
      <w:r w:rsidRPr="00BD16B4">
        <w:t>Global Research Alliance on Agricultural Greenhouse Gases</w:t>
      </w:r>
    </w:p>
    <w:p w14:paraId="247AC81A" w14:textId="77777777" w:rsidR="00B71B4E" w:rsidRPr="00BD16B4" w:rsidRDefault="00B71B4E" w:rsidP="00B71B4E">
      <w:pPr>
        <w:pStyle w:val="BodyText"/>
      </w:pPr>
      <w:r w:rsidRPr="00BD16B4">
        <w:t xml:space="preserve">In addition to delivering technology transfer through its IDC Programme, through its support of the GRA New Zealand promotes and facilitates the development of agriculture-specific endogenous and non-endogenous capacities and technologies of developing country Parties. New Zealand’s support enables developing countries to implement their commitments, in particular by: </w:t>
      </w:r>
    </w:p>
    <w:p w14:paraId="155B54EE" w14:textId="77777777" w:rsidR="00B71B4E" w:rsidRPr="00BD16B4" w:rsidRDefault="00B71B4E" w:rsidP="0011037B">
      <w:pPr>
        <w:pStyle w:val="Bullet"/>
        <w:tabs>
          <w:tab w:val="num" w:pos="397"/>
        </w:tabs>
        <w:spacing w:line="280" w:lineRule="exact"/>
      </w:pPr>
      <w:r w:rsidRPr="00BD16B4">
        <w:t>developing national agricultural GHG inventories</w:t>
      </w:r>
    </w:p>
    <w:p w14:paraId="6BD5ECE0" w14:textId="77777777" w:rsidR="00B71B4E" w:rsidRPr="00BD16B4" w:rsidRDefault="00B71B4E" w:rsidP="0011037B">
      <w:pPr>
        <w:pStyle w:val="Bullet"/>
        <w:tabs>
          <w:tab w:val="num" w:pos="397"/>
        </w:tabs>
        <w:spacing w:line="280" w:lineRule="exact"/>
      </w:pPr>
      <w:r w:rsidRPr="00BD16B4">
        <w:t>developing, applying and diffusing – including transferring – technologies, practices and processes that control, reduce or prevent GHGs in the agriculture sector</w:t>
      </w:r>
    </w:p>
    <w:p w14:paraId="08ED32FB" w14:textId="77777777" w:rsidR="00B71B4E" w:rsidRPr="00BD16B4" w:rsidRDefault="00B71B4E" w:rsidP="0011037B">
      <w:pPr>
        <w:pStyle w:val="Bullet"/>
        <w:tabs>
          <w:tab w:val="num" w:pos="397"/>
        </w:tabs>
        <w:spacing w:line="280" w:lineRule="exact"/>
      </w:pPr>
      <w:r w:rsidRPr="00BD16B4">
        <w:t xml:space="preserve">conserving and enhancing GHG sinks and reservoirs in terrestrial ecosystems. </w:t>
      </w:r>
    </w:p>
    <w:p w14:paraId="0EC9865A" w14:textId="77777777" w:rsidR="00B71B4E" w:rsidRPr="00BD16B4" w:rsidRDefault="00B71B4E" w:rsidP="00B71B4E">
      <w:pPr>
        <w:pStyle w:val="BodyText"/>
      </w:pPr>
      <w:r w:rsidRPr="00BD16B4">
        <w:t xml:space="preserve">These outcomes are achieved through a range of research, education, training and public awareness activities, focused mainly on mitigation but with some adaptation components. Activities include: </w:t>
      </w:r>
    </w:p>
    <w:p w14:paraId="6433E2E4" w14:textId="77777777" w:rsidR="00B71B4E" w:rsidRPr="00BD16B4" w:rsidRDefault="00B71B4E" w:rsidP="0011037B">
      <w:pPr>
        <w:pStyle w:val="Bullet"/>
        <w:tabs>
          <w:tab w:val="num" w:pos="397"/>
        </w:tabs>
        <w:spacing w:line="280" w:lineRule="exact"/>
      </w:pPr>
      <w:r w:rsidRPr="00BD16B4">
        <w:t>assisting countries to develop and/or improve their agriculture GHG inventories in ways that are consistent with their national circumstances, priorities and capacities (see table 7.6)</w:t>
      </w:r>
    </w:p>
    <w:p w14:paraId="35942782" w14:textId="77777777" w:rsidR="00B71B4E" w:rsidRPr="00BD16B4" w:rsidRDefault="00B71B4E" w:rsidP="0011037B">
      <w:pPr>
        <w:pStyle w:val="Bullet"/>
        <w:tabs>
          <w:tab w:val="num" w:pos="397"/>
        </w:tabs>
        <w:spacing w:line="280" w:lineRule="exact"/>
      </w:pPr>
      <w:r w:rsidRPr="00BD16B4">
        <w:t>providing training to South East Asian, African and Latin American countries to improve agricultural development strategies that aim for low GHG emissions and reduce vulnerability or increase resilience to climate change (see table 7.6)</w:t>
      </w:r>
    </w:p>
    <w:p w14:paraId="0FBC8889" w14:textId="77777777" w:rsidR="00B71B4E" w:rsidRPr="00BD16B4" w:rsidRDefault="00B71B4E" w:rsidP="0011037B">
      <w:pPr>
        <w:pStyle w:val="Bullet"/>
        <w:tabs>
          <w:tab w:val="num" w:pos="397"/>
        </w:tabs>
        <w:spacing w:line="280" w:lineRule="exact"/>
      </w:pPr>
      <w:r w:rsidRPr="00BD16B4">
        <w:t xml:space="preserve">investing in the establishment of measurement hubs in </w:t>
      </w:r>
      <w:bookmarkStart w:id="378" w:name="_Hlk115685800"/>
      <w:r w:rsidRPr="00BD16B4">
        <w:t>ASEAN</w:t>
      </w:r>
      <w:bookmarkEnd w:id="378"/>
      <w:r w:rsidRPr="00BD16B4">
        <w:t xml:space="preserve"> and Africa by providing training on the use of equipment and installing required equipment to measure GHG emissions (see table 7.6).</w:t>
      </w:r>
    </w:p>
    <w:p w14:paraId="4ECEAF3C" w14:textId="77777777" w:rsidR="00B71B4E" w:rsidRPr="00BD16B4" w:rsidRDefault="00B71B4E" w:rsidP="004E1B8C">
      <w:pPr>
        <w:pStyle w:val="Heading4"/>
      </w:pPr>
      <w:r w:rsidRPr="00BD16B4">
        <w:t>Explanation of information in tables 7.6 and 7.7</w:t>
      </w:r>
    </w:p>
    <w:p w14:paraId="6A2564DD" w14:textId="77777777" w:rsidR="00B71B4E" w:rsidRPr="00BD16B4" w:rsidRDefault="00B71B4E" w:rsidP="00B71B4E">
      <w:pPr>
        <w:pStyle w:val="BodyText"/>
      </w:pPr>
      <w:r w:rsidRPr="00BD16B4">
        <w:t>During the reporting period, New Zealand’s support for technology transfer included ‘hard’ technology – tangible components – and ‘soft’ technology, which includes information and knowledge sharing, training and research. Much of this support is a combination of both hard and soft technology, to help ensure that the management and development of climate-friendly technologies are country relevant, sustainable and long-lasting. Table 7.6 includes examples of both hard- and soft-technology transfer, with many of the activities identified combining both.</w:t>
      </w:r>
    </w:p>
    <w:p w14:paraId="379B6AD8" w14:textId="77777777" w:rsidR="00B71B4E" w:rsidRPr="00BD16B4" w:rsidRDefault="00B71B4E" w:rsidP="00B71B4E">
      <w:pPr>
        <w:pStyle w:val="BodyText"/>
      </w:pPr>
      <w:r w:rsidRPr="00BD16B4">
        <w:t xml:space="preserve">Similarly, most of the activities identified in table 7.6 are a combination of endogenous and non-endogenous technology transfer. This helps to ensure that technology transfer is implemented in country-specific ways, building on existing knowledge and practices, and using local governance structures. In recognition of this dual approach, table 7.6 does not differentiate between endogenous and non-endogenous technology transfer unless specified. </w:t>
      </w:r>
    </w:p>
    <w:p w14:paraId="605EC446" w14:textId="77777777" w:rsidR="00B71B4E" w:rsidRPr="00BD16B4" w:rsidRDefault="00B71B4E" w:rsidP="00B71B4E">
      <w:pPr>
        <w:pStyle w:val="BodyText"/>
      </w:pPr>
      <w:r w:rsidRPr="00BD16B4">
        <w:lastRenderedPageBreak/>
        <w:t xml:space="preserve">As detailed in section 7.2.3, New Zealand follows several development principles when providing climate-related support through its IDC Programme, including ownership, alignment, donor harmonisation, results focus and transparency. Because these principles are applied in the delivery of all development support, the column ‘Factors that led to the project’s success’ in table 7.6 identifies these criteria. </w:t>
      </w:r>
    </w:p>
    <w:p w14:paraId="2E9C892C" w14:textId="77777777" w:rsidR="00B71B4E" w:rsidRPr="00BD16B4" w:rsidRDefault="00B71B4E" w:rsidP="00B71B4E">
      <w:pPr>
        <w:pStyle w:val="BodyText"/>
      </w:pPr>
      <w:r w:rsidRPr="00BD16B4">
        <w:t>The GRA applies a different funding criterion. Where possible, therefore, table 7.7, which focuses on technology transfer delivered through the GRA, identifies factors that led to a project’s success in a different way from table 7.6, with its focus on the New Zealand IDC Programme. These factors are not always recorded for GRA activities, and so some of the activities in table 7.7 do not include factors that led to a project’s success.</w:t>
      </w:r>
    </w:p>
    <w:p w14:paraId="46472B5C" w14:textId="77777777" w:rsidR="00B71B4E" w:rsidRPr="00BD16B4" w:rsidRDefault="00B71B4E" w:rsidP="00B71B4E">
      <w:pPr>
        <w:pStyle w:val="BodyText"/>
        <w:rPr>
          <w:highlight w:val="yellow"/>
        </w:rPr>
      </w:pPr>
    </w:p>
    <w:p w14:paraId="3357421D" w14:textId="77777777" w:rsidR="00B71B4E" w:rsidRPr="00BD16B4" w:rsidRDefault="00B71B4E" w:rsidP="00B71B4E">
      <w:pPr>
        <w:pStyle w:val="BodyText"/>
        <w:rPr>
          <w:highlight w:val="yellow"/>
        </w:rPr>
        <w:sectPr w:rsidR="00B71B4E" w:rsidRPr="00BD16B4" w:rsidSect="00780395">
          <w:footerReference w:type="default" r:id="rId122"/>
          <w:pgSz w:w="11907" w:h="16840" w:code="9"/>
          <w:pgMar w:top="1134" w:right="1701" w:bottom="1134" w:left="1701" w:header="567" w:footer="567" w:gutter="0"/>
          <w:cols w:space="720"/>
          <w:docGrid w:linePitch="299"/>
        </w:sectPr>
      </w:pPr>
    </w:p>
    <w:p w14:paraId="35901645" w14:textId="0C9F3736" w:rsidR="00B71B4E" w:rsidRPr="00BD16B4" w:rsidRDefault="00B71B4E" w:rsidP="000D46B1">
      <w:pPr>
        <w:pStyle w:val="Tableheading"/>
        <w:spacing w:before="0"/>
      </w:pPr>
      <w:bookmarkStart w:id="379" w:name="_Toc121773827"/>
      <w:r w:rsidRPr="00BD16B4">
        <w:lastRenderedPageBreak/>
        <w:t>Table 7.</w:t>
      </w:r>
      <w:r w:rsidR="007D6A94" w:rsidRPr="00BD16B4">
        <w:t>6</w:t>
      </w:r>
      <w:r w:rsidRPr="00BD16B4">
        <w:t>:</w:t>
      </w:r>
      <w:r w:rsidRPr="00BD16B4">
        <w:tab/>
        <w:t>Technology transfer delivered through the New Zealand IDC Programme</w:t>
      </w:r>
      <w:bookmarkEnd w:id="375"/>
      <w:bookmarkEnd w:id="376"/>
      <w:r w:rsidRPr="00BD16B4">
        <w:t xml:space="preserve"> (CTF Table 8)</w:t>
      </w:r>
      <w:bookmarkEnd w:id="379"/>
    </w:p>
    <w:tbl>
      <w:tblPr>
        <w:tblStyle w:val="TableGrid110"/>
        <w:tblW w:w="14515" w:type="dxa"/>
        <w:tblInd w:w="113"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CellMar>
          <w:left w:w="57" w:type="dxa"/>
          <w:right w:w="57" w:type="dxa"/>
        </w:tblCellMar>
        <w:tblLook w:val="0000" w:firstRow="0" w:lastRow="0" w:firstColumn="0" w:lastColumn="0" w:noHBand="0" w:noVBand="0"/>
      </w:tblPr>
      <w:tblGrid>
        <w:gridCol w:w="1584"/>
        <w:gridCol w:w="1658"/>
        <w:gridCol w:w="926"/>
        <w:gridCol w:w="1118"/>
        <w:gridCol w:w="1118"/>
        <w:gridCol w:w="1774"/>
        <w:gridCol w:w="708"/>
        <w:gridCol w:w="1547"/>
        <w:gridCol w:w="1629"/>
        <w:gridCol w:w="1208"/>
        <w:gridCol w:w="1245"/>
      </w:tblGrid>
      <w:tr w:rsidR="00B71B4E" w:rsidRPr="00BD16B4" w14:paraId="5C0CB4FB" w14:textId="77777777" w:rsidTr="00F31129">
        <w:trPr>
          <w:tblHeader/>
        </w:trPr>
        <w:tc>
          <w:tcPr>
            <w:tcW w:w="546" w:type="pct"/>
            <w:tcBorders>
              <w:bottom w:val="nil"/>
              <w:right w:val="single" w:sz="4" w:space="0" w:color="1C556C" w:themeColor="accent1"/>
            </w:tcBorders>
            <w:shd w:val="clear" w:color="auto" w:fill="1C556C"/>
            <w:vAlign w:val="bottom"/>
          </w:tcPr>
          <w:p w14:paraId="73B336B2" w14:textId="77777777" w:rsidR="00B71B4E" w:rsidRPr="00BD16B4" w:rsidRDefault="00B71B4E" w:rsidP="00353702">
            <w:pPr>
              <w:spacing w:before="40" w:after="40" w:line="220" w:lineRule="atLeast"/>
              <w:jc w:val="left"/>
              <w:rPr>
                <w:rFonts w:cs="Calibri"/>
                <w:b/>
                <w:bCs/>
                <w:color w:val="FFFFFF" w:themeColor="background1"/>
                <w:sz w:val="16"/>
                <w:szCs w:val="16"/>
                <w:lang w:val="en-NZ"/>
              </w:rPr>
            </w:pPr>
            <w:r w:rsidRPr="00BD16B4">
              <w:rPr>
                <w:rFonts w:cs="Calibri"/>
                <w:b/>
                <w:bCs/>
                <w:color w:val="FFFFFF" w:themeColor="background1"/>
                <w:sz w:val="16"/>
                <w:szCs w:val="16"/>
                <w:lang w:val="en-NZ"/>
              </w:rPr>
              <w:t>Project title</w:t>
            </w:r>
          </w:p>
        </w:tc>
        <w:tc>
          <w:tcPr>
            <w:tcW w:w="571" w:type="pct"/>
            <w:tcBorders>
              <w:left w:val="single" w:sz="4" w:space="0" w:color="1C556C" w:themeColor="accent1"/>
              <w:bottom w:val="nil"/>
              <w:right w:val="single" w:sz="4" w:space="0" w:color="1C556C" w:themeColor="accent1"/>
            </w:tcBorders>
            <w:shd w:val="clear" w:color="auto" w:fill="1C556C"/>
            <w:vAlign w:val="bottom"/>
          </w:tcPr>
          <w:p w14:paraId="3D463E81" w14:textId="77777777" w:rsidR="00B71B4E" w:rsidRPr="00BD16B4" w:rsidRDefault="00B71B4E" w:rsidP="00353702">
            <w:pPr>
              <w:spacing w:before="40" w:after="40" w:line="220" w:lineRule="atLeast"/>
              <w:jc w:val="left"/>
              <w:rPr>
                <w:rFonts w:cs="Calibri"/>
                <w:b/>
                <w:bCs/>
                <w:color w:val="FFFFFF" w:themeColor="background1"/>
                <w:sz w:val="16"/>
                <w:szCs w:val="16"/>
                <w:lang w:val="en-NZ"/>
              </w:rPr>
            </w:pPr>
            <w:r w:rsidRPr="00BD16B4">
              <w:rPr>
                <w:rFonts w:cs="Calibri"/>
                <w:b/>
                <w:bCs/>
                <w:color w:val="FFFFFF" w:themeColor="background1"/>
                <w:sz w:val="16"/>
                <w:szCs w:val="16"/>
                <w:lang w:val="en-NZ"/>
              </w:rPr>
              <w:t>Purpose of the project</w:t>
            </w:r>
          </w:p>
        </w:tc>
        <w:tc>
          <w:tcPr>
            <w:tcW w:w="319" w:type="pct"/>
            <w:tcBorders>
              <w:left w:val="single" w:sz="4" w:space="0" w:color="1C556C" w:themeColor="accent1"/>
              <w:bottom w:val="nil"/>
              <w:right w:val="single" w:sz="4" w:space="0" w:color="1C556C" w:themeColor="accent1"/>
            </w:tcBorders>
            <w:shd w:val="clear" w:color="auto" w:fill="1C556C"/>
            <w:vAlign w:val="bottom"/>
          </w:tcPr>
          <w:p w14:paraId="4AD8ADCF" w14:textId="77777777" w:rsidR="00B71B4E" w:rsidRPr="00BD16B4" w:rsidRDefault="00B71B4E" w:rsidP="00353702">
            <w:pPr>
              <w:spacing w:before="40" w:after="40" w:line="220" w:lineRule="atLeast"/>
              <w:jc w:val="left"/>
              <w:rPr>
                <w:rFonts w:cs="Calibri"/>
                <w:b/>
                <w:bCs/>
                <w:color w:val="FFFFFF" w:themeColor="background1"/>
                <w:sz w:val="16"/>
                <w:szCs w:val="16"/>
                <w:lang w:val="en-NZ"/>
              </w:rPr>
            </w:pPr>
            <w:r w:rsidRPr="00BD16B4">
              <w:rPr>
                <w:rFonts w:cs="Calibri"/>
                <w:b/>
                <w:bCs/>
                <w:color w:val="FFFFFF" w:themeColor="background1"/>
                <w:sz w:val="16"/>
                <w:szCs w:val="16"/>
                <w:lang w:val="en-NZ"/>
              </w:rPr>
              <w:t>Recipient country or countries</w:t>
            </w:r>
          </w:p>
        </w:tc>
        <w:tc>
          <w:tcPr>
            <w:tcW w:w="385" w:type="pct"/>
            <w:tcBorders>
              <w:left w:val="single" w:sz="4" w:space="0" w:color="1C556C" w:themeColor="accent1"/>
              <w:bottom w:val="nil"/>
              <w:right w:val="single" w:sz="4" w:space="0" w:color="1C556C" w:themeColor="accent1"/>
            </w:tcBorders>
            <w:shd w:val="clear" w:color="auto" w:fill="1C556C"/>
            <w:vAlign w:val="bottom"/>
          </w:tcPr>
          <w:p w14:paraId="7590BAF5" w14:textId="77777777" w:rsidR="00B71B4E" w:rsidRPr="00BD16B4" w:rsidRDefault="00B71B4E" w:rsidP="00353702">
            <w:pPr>
              <w:spacing w:before="40" w:after="40" w:line="220" w:lineRule="atLeast"/>
              <w:jc w:val="left"/>
              <w:rPr>
                <w:rFonts w:cs="Calibri"/>
                <w:b/>
                <w:bCs/>
                <w:color w:val="FFFFFF" w:themeColor="background1"/>
                <w:sz w:val="16"/>
                <w:szCs w:val="16"/>
                <w:lang w:val="en-NZ"/>
              </w:rPr>
            </w:pPr>
            <w:r w:rsidRPr="00BD16B4">
              <w:rPr>
                <w:rFonts w:cs="Calibri"/>
                <w:b/>
                <w:bCs/>
                <w:color w:val="FFFFFF" w:themeColor="background1"/>
                <w:sz w:val="16"/>
                <w:szCs w:val="16"/>
                <w:lang w:val="en-NZ"/>
              </w:rPr>
              <w:t xml:space="preserve">Sector </w:t>
            </w:r>
          </w:p>
        </w:tc>
        <w:tc>
          <w:tcPr>
            <w:tcW w:w="385" w:type="pct"/>
            <w:tcBorders>
              <w:left w:val="single" w:sz="4" w:space="0" w:color="1C556C" w:themeColor="accent1"/>
              <w:bottom w:val="nil"/>
              <w:right w:val="single" w:sz="4" w:space="0" w:color="1C556C" w:themeColor="accent1"/>
            </w:tcBorders>
            <w:shd w:val="clear" w:color="auto" w:fill="1C556C"/>
            <w:vAlign w:val="bottom"/>
          </w:tcPr>
          <w:p w14:paraId="4C614443" w14:textId="77777777" w:rsidR="00B71B4E" w:rsidRPr="00BD16B4" w:rsidRDefault="00B71B4E" w:rsidP="00353702">
            <w:pPr>
              <w:spacing w:before="40" w:after="40" w:line="220" w:lineRule="atLeast"/>
              <w:jc w:val="left"/>
              <w:rPr>
                <w:rFonts w:cs="Calibri"/>
                <w:b/>
                <w:bCs/>
                <w:color w:val="FFFFFF" w:themeColor="background1"/>
                <w:sz w:val="16"/>
                <w:szCs w:val="16"/>
                <w:lang w:val="en-NZ"/>
              </w:rPr>
            </w:pPr>
            <w:r w:rsidRPr="00BD16B4">
              <w:rPr>
                <w:rFonts w:cs="Calibri"/>
                <w:b/>
                <w:bCs/>
                <w:color w:val="FFFFFF" w:themeColor="background1"/>
                <w:sz w:val="16"/>
                <w:szCs w:val="16"/>
                <w:lang w:val="en-NZ"/>
              </w:rPr>
              <w:t>Targeted area</w:t>
            </w:r>
          </w:p>
        </w:tc>
        <w:tc>
          <w:tcPr>
            <w:tcW w:w="611" w:type="pct"/>
            <w:tcBorders>
              <w:left w:val="single" w:sz="4" w:space="0" w:color="1C556C" w:themeColor="accent1"/>
              <w:bottom w:val="nil"/>
              <w:right w:val="single" w:sz="4" w:space="0" w:color="1C556C" w:themeColor="accent1"/>
            </w:tcBorders>
            <w:shd w:val="clear" w:color="auto" w:fill="1C556C"/>
            <w:vAlign w:val="bottom"/>
          </w:tcPr>
          <w:p w14:paraId="4A849089" w14:textId="77777777" w:rsidR="00B71B4E" w:rsidRPr="00BD16B4" w:rsidRDefault="00B71B4E" w:rsidP="00353702">
            <w:pPr>
              <w:spacing w:before="40" w:after="40" w:line="220" w:lineRule="atLeast"/>
              <w:jc w:val="left"/>
              <w:rPr>
                <w:rFonts w:cs="Calibri"/>
                <w:b/>
                <w:bCs/>
                <w:color w:val="FFFFFF" w:themeColor="background1"/>
                <w:sz w:val="16"/>
                <w:szCs w:val="16"/>
                <w:lang w:val="en-NZ"/>
              </w:rPr>
            </w:pPr>
            <w:r w:rsidRPr="00BD16B4">
              <w:rPr>
                <w:rFonts w:cs="Calibri"/>
                <w:b/>
                <w:bCs/>
                <w:color w:val="FFFFFF" w:themeColor="background1"/>
                <w:sz w:val="16"/>
                <w:szCs w:val="16"/>
                <w:lang w:val="en-NZ"/>
              </w:rPr>
              <w:t>Description of the project</w:t>
            </w:r>
          </w:p>
        </w:tc>
        <w:tc>
          <w:tcPr>
            <w:tcW w:w="244" w:type="pct"/>
            <w:tcBorders>
              <w:left w:val="single" w:sz="4" w:space="0" w:color="1C556C" w:themeColor="accent1"/>
              <w:bottom w:val="nil"/>
              <w:right w:val="single" w:sz="4" w:space="0" w:color="1C556C" w:themeColor="accent1"/>
            </w:tcBorders>
            <w:shd w:val="clear" w:color="auto" w:fill="1C556C"/>
            <w:vAlign w:val="bottom"/>
          </w:tcPr>
          <w:p w14:paraId="5AA9BB93" w14:textId="77777777" w:rsidR="00B71B4E" w:rsidRPr="00BD16B4" w:rsidRDefault="00B71B4E" w:rsidP="00353702">
            <w:pPr>
              <w:spacing w:before="40" w:after="40" w:line="220" w:lineRule="atLeast"/>
              <w:jc w:val="left"/>
              <w:rPr>
                <w:rFonts w:cs="Calibri"/>
                <w:b/>
                <w:bCs/>
                <w:color w:val="FFFFFF" w:themeColor="background1"/>
                <w:sz w:val="16"/>
                <w:szCs w:val="16"/>
                <w:lang w:val="en-NZ"/>
              </w:rPr>
            </w:pPr>
            <w:r w:rsidRPr="00BD16B4">
              <w:rPr>
                <w:rFonts w:cs="Calibri"/>
                <w:b/>
                <w:bCs/>
                <w:color w:val="FFFFFF" w:themeColor="background1"/>
                <w:sz w:val="16"/>
                <w:szCs w:val="16"/>
                <w:lang w:val="en-NZ"/>
              </w:rPr>
              <w:t>Year(s)</w:t>
            </w:r>
          </w:p>
        </w:tc>
        <w:tc>
          <w:tcPr>
            <w:tcW w:w="533" w:type="pct"/>
            <w:tcBorders>
              <w:left w:val="single" w:sz="4" w:space="0" w:color="1C556C" w:themeColor="accent1"/>
              <w:bottom w:val="nil"/>
              <w:right w:val="single" w:sz="4" w:space="0" w:color="1C556C" w:themeColor="accent1"/>
            </w:tcBorders>
            <w:shd w:val="clear" w:color="auto" w:fill="1C556C"/>
            <w:vAlign w:val="bottom"/>
          </w:tcPr>
          <w:p w14:paraId="3C8DCE25" w14:textId="77777777" w:rsidR="00B71B4E" w:rsidRPr="00BD16B4" w:rsidRDefault="00B71B4E" w:rsidP="00353702">
            <w:pPr>
              <w:spacing w:before="40" w:after="40" w:line="220" w:lineRule="atLeast"/>
              <w:jc w:val="left"/>
              <w:rPr>
                <w:rFonts w:cs="Calibri"/>
                <w:b/>
                <w:bCs/>
                <w:color w:val="FFFFFF" w:themeColor="background1"/>
                <w:sz w:val="16"/>
                <w:szCs w:val="16"/>
                <w:lang w:val="en-NZ"/>
              </w:rPr>
            </w:pPr>
            <w:r w:rsidRPr="00BD16B4">
              <w:rPr>
                <w:rFonts w:cs="Calibri"/>
                <w:b/>
                <w:bCs/>
                <w:color w:val="FFFFFF" w:themeColor="background1"/>
                <w:sz w:val="16"/>
                <w:szCs w:val="16"/>
                <w:lang w:val="en-NZ"/>
              </w:rPr>
              <w:t>Factors that led to the project’s success</w:t>
            </w:r>
          </w:p>
        </w:tc>
        <w:tc>
          <w:tcPr>
            <w:tcW w:w="561" w:type="pct"/>
            <w:tcBorders>
              <w:left w:val="single" w:sz="4" w:space="0" w:color="1C556C" w:themeColor="accent1"/>
              <w:bottom w:val="nil"/>
              <w:right w:val="single" w:sz="4" w:space="0" w:color="1C556C" w:themeColor="accent1"/>
            </w:tcBorders>
            <w:shd w:val="clear" w:color="auto" w:fill="1C556C"/>
            <w:vAlign w:val="bottom"/>
          </w:tcPr>
          <w:p w14:paraId="272A2FD1" w14:textId="77777777" w:rsidR="00B71B4E" w:rsidRPr="00BD16B4" w:rsidRDefault="00B71B4E" w:rsidP="00353702">
            <w:pPr>
              <w:spacing w:before="40" w:after="40" w:line="220" w:lineRule="atLeast"/>
              <w:jc w:val="left"/>
              <w:rPr>
                <w:rFonts w:cs="Calibri"/>
                <w:b/>
                <w:bCs/>
                <w:color w:val="FFFFFF" w:themeColor="background1"/>
                <w:sz w:val="16"/>
                <w:szCs w:val="16"/>
                <w:lang w:val="en-NZ"/>
              </w:rPr>
            </w:pPr>
            <w:r w:rsidRPr="00BD16B4">
              <w:rPr>
                <w:rFonts w:cs="Calibri"/>
                <w:b/>
                <w:bCs/>
                <w:color w:val="FFFFFF" w:themeColor="background1"/>
                <w:sz w:val="16"/>
                <w:szCs w:val="16"/>
                <w:lang w:val="en-NZ"/>
              </w:rPr>
              <w:t>Technology transferred</w:t>
            </w:r>
          </w:p>
        </w:tc>
        <w:tc>
          <w:tcPr>
            <w:tcW w:w="416" w:type="pct"/>
            <w:tcBorders>
              <w:left w:val="single" w:sz="4" w:space="0" w:color="1C556C" w:themeColor="accent1"/>
              <w:bottom w:val="nil"/>
              <w:right w:val="single" w:sz="4" w:space="0" w:color="1C556C" w:themeColor="accent1"/>
            </w:tcBorders>
            <w:shd w:val="clear" w:color="auto" w:fill="1C556C"/>
            <w:vAlign w:val="bottom"/>
          </w:tcPr>
          <w:p w14:paraId="18793E9E" w14:textId="77777777" w:rsidR="00B71B4E" w:rsidRPr="00BD16B4" w:rsidRDefault="00B71B4E" w:rsidP="00353702">
            <w:pPr>
              <w:spacing w:before="40" w:after="40" w:line="220" w:lineRule="atLeast"/>
              <w:jc w:val="left"/>
              <w:rPr>
                <w:rFonts w:cs="Calibri"/>
                <w:b/>
                <w:bCs/>
                <w:color w:val="FFFFFF" w:themeColor="background1"/>
                <w:sz w:val="16"/>
                <w:szCs w:val="16"/>
                <w:lang w:val="en-NZ"/>
              </w:rPr>
            </w:pPr>
            <w:r w:rsidRPr="00BD16B4">
              <w:rPr>
                <w:rFonts w:cs="Calibri"/>
                <w:b/>
                <w:bCs/>
                <w:color w:val="FFFFFF" w:themeColor="background1"/>
                <w:sz w:val="16"/>
                <w:szCs w:val="16"/>
                <w:lang w:val="en-NZ"/>
              </w:rPr>
              <w:t>Activities undertaken by public or private sector – was private-sector activity encouraged?</w:t>
            </w:r>
          </w:p>
        </w:tc>
        <w:tc>
          <w:tcPr>
            <w:tcW w:w="429" w:type="pct"/>
            <w:tcBorders>
              <w:left w:val="single" w:sz="4" w:space="0" w:color="1C556C" w:themeColor="accent1"/>
              <w:bottom w:val="nil"/>
            </w:tcBorders>
            <w:shd w:val="clear" w:color="auto" w:fill="1C556C"/>
            <w:vAlign w:val="bottom"/>
          </w:tcPr>
          <w:p w14:paraId="7E63F721" w14:textId="77777777" w:rsidR="00B71B4E" w:rsidRPr="00BD16B4" w:rsidRDefault="00B71B4E" w:rsidP="00353702">
            <w:pPr>
              <w:spacing w:before="40" w:after="40" w:line="220" w:lineRule="atLeast"/>
              <w:jc w:val="left"/>
              <w:rPr>
                <w:rFonts w:cs="Calibri"/>
                <w:b/>
                <w:bCs/>
                <w:color w:val="FFFFFF" w:themeColor="background1"/>
                <w:sz w:val="16"/>
                <w:szCs w:val="16"/>
                <w:lang w:val="en-NZ"/>
              </w:rPr>
            </w:pPr>
            <w:r w:rsidRPr="00BD16B4">
              <w:rPr>
                <w:rFonts w:cs="Calibri"/>
                <w:b/>
                <w:bCs/>
                <w:color w:val="FFFFFF" w:themeColor="background1"/>
                <w:sz w:val="16"/>
                <w:szCs w:val="16"/>
                <w:lang w:val="en-NZ"/>
              </w:rPr>
              <w:t>Total funding</w:t>
            </w:r>
          </w:p>
        </w:tc>
      </w:tr>
      <w:tr w:rsidR="00B71B4E" w:rsidRPr="00BD16B4" w14:paraId="524A16AF" w14:textId="77777777" w:rsidTr="00F31129">
        <w:tc>
          <w:tcPr>
            <w:tcW w:w="546" w:type="pct"/>
            <w:tcBorders>
              <w:top w:val="nil"/>
            </w:tcBorders>
          </w:tcPr>
          <w:p w14:paraId="6E87F51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Agriculture and Tourism Support</w:t>
            </w:r>
          </w:p>
        </w:tc>
        <w:tc>
          <w:tcPr>
            <w:tcW w:w="571" w:type="pct"/>
            <w:tcBorders>
              <w:top w:val="nil"/>
            </w:tcBorders>
          </w:tcPr>
          <w:p w14:paraId="70D299D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 xml:space="preserve">Increasing climate resilience, reducing </w:t>
            </w:r>
            <w:r w:rsidRPr="00BD16B4">
              <w:rPr>
                <w:rFonts w:cs="Calibri"/>
                <w:i/>
                <w:iCs/>
                <w:sz w:val="16"/>
                <w:szCs w:val="16"/>
                <w:lang w:val="en-NZ"/>
              </w:rPr>
              <w:t>Sargassum</w:t>
            </w:r>
            <w:r w:rsidRPr="00BD16B4">
              <w:rPr>
                <w:rFonts w:cs="Calibri"/>
                <w:sz w:val="16"/>
                <w:szCs w:val="16"/>
                <w:lang w:val="en-NZ"/>
              </w:rPr>
              <w:t xml:space="preserve"> on the beaches of the Caribbean and increasing regional food security</w:t>
            </w:r>
          </w:p>
        </w:tc>
        <w:tc>
          <w:tcPr>
            <w:tcW w:w="319" w:type="pct"/>
            <w:tcBorders>
              <w:top w:val="nil"/>
            </w:tcBorders>
          </w:tcPr>
          <w:p w14:paraId="5A64E4A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Caribbean</w:t>
            </w:r>
          </w:p>
        </w:tc>
        <w:tc>
          <w:tcPr>
            <w:tcW w:w="385" w:type="pct"/>
            <w:tcBorders>
              <w:top w:val="nil"/>
            </w:tcBorders>
          </w:tcPr>
          <w:p w14:paraId="6BA5F91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Agriculture</w:t>
            </w:r>
          </w:p>
        </w:tc>
        <w:tc>
          <w:tcPr>
            <w:tcW w:w="385" w:type="pct"/>
            <w:tcBorders>
              <w:top w:val="nil"/>
            </w:tcBorders>
          </w:tcPr>
          <w:p w14:paraId="595200A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611" w:type="pct"/>
            <w:tcBorders>
              <w:top w:val="nil"/>
            </w:tcBorders>
          </w:tcPr>
          <w:p w14:paraId="39F01F7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 xml:space="preserve">Supporting the Caribbean’s goal of addressing </w:t>
            </w:r>
            <w:r w:rsidRPr="00BD16B4">
              <w:rPr>
                <w:rFonts w:cs="Calibri"/>
                <w:i/>
                <w:iCs/>
                <w:sz w:val="16"/>
                <w:szCs w:val="16"/>
                <w:lang w:val="en-NZ"/>
              </w:rPr>
              <w:t>Sargassum</w:t>
            </w:r>
            <w:r w:rsidRPr="00BD16B4">
              <w:rPr>
                <w:rFonts w:cs="Calibri"/>
                <w:sz w:val="16"/>
                <w:szCs w:val="16"/>
                <w:lang w:val="en-NZ"/>
              </w:rPr>
              <w:t xml:space="preserve"> arrival on local beaches, by investigating potential uses for </w:t>
            </w:r>
            <w:r w:rsidRPr="00BD16B4">
              <w:rPr>
                <w:rFonts w:cs="Calibri"/>
                <w:i/>
                <w:iCs/>
                <w:sz w:val="16"/>
                <w:szCs w:val="16"/>
                <w:lang w:val="en-NZ"/>
              </w:rPr>
              <w:t>Sargassum</w:t>
            </w:r>
            <w:r w:rsidRPr="00BD16B4">
              <w:rPr>
                <w:rFonts w:cs="Calibri"/>
                <w:sz w:val="16"/>
                <w:szCs w:val="16"/>
                <w:lang w:val="en-NZ"/>
              </w:rPr>
              <w:t xml:space="preserve"> and causes of arrival</w:t>
            </w:r>
          </w:p>
        </w:tc>
        <w:tc>
          <w:tcPr>
            <w:tcW w:w="244" w:type="pct"/>
            <w:tcBorders>
              <w:top w:val="nil"/>
            </w:tcBorders>
          </w:tcPr>
          <w:p w14:paraId="4BF3404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2019–23</w:t>
            </w:r>
          </w:p>
        </w:tc>
        <w:tc>
          <w:tcPr>
            <w:tcW w:w="533" w:type="pct"/>
            <w:tcBorders>
              <w:top w:val="nil"/>
            </w:tcBorders>
          </w:tcPr>
          <w:p w14:paraId="4DF5411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Borders>
              <w:top w:val="nil"/>
            </w:tcBorders>
          </w:tcPr>
          <w:p w14:paraId="54CF587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 xml:space="preserve">Creating technology or value chains from the floating </w:t>
            </w:r>
            <w:r w:rsidRPr="00BD16B4">
              <w:rPr>
                <w:rFonts w:cs="Calibri"/>
                <w:i/>
                <w:iCs/>
                <w:sz w:val="16"/>
                <w:szCs w:val="16"/>
                <w:lang w:val="en-NZ"/>
              </w:rPr>
              <w:t>Sargassum</w:t>
            </w:r>
          </w:p>
        </w:tc>
        <w:tc>
          <w:tcPr>
            <w:tcW w:w="416" w:type="pct"/>
            <w:tcBorders>
              <w:top w:val="nil"/>
            </w:tcBorders>
          </w:tcPr>
          <w:p w14:paraId="318194C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Borders>
              <w:top w:val="nil"/>
            </w:tcBorders>
          </w:tcPr>
          <w:p w14:paraId="5335CEC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613FAC06" w14:textId="77777777" w:rsidTr="00F31129">
        <w:tc>
          <w:tcPr>
            <w:tcW w:w="546" w:type="pct"/>
            <w:tcBorders>
              <w:top w:val="nil"/>
            </w:tcBorders>
          </w:tcPr>
          <w:p w14:paraId="7F551D7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Dairy Value Chain Project</w:t>
            </w:r>
          </w:p>
        </w:tc>
        <w:tc>
          <w:tcPr>
            <w:tcW w:w="571" w:type="pct"/>
            <w:tcBorders>
              <w:top w:val="nil"/>
            </w:tcBorders>
          </w:tcPr>
          <w:p w14:paraId="7F58AC5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Increasing the productivity and incomes of small- to medium-scale dairy farmers in the Colombian high tropics</w:t>
            </w:r>
          </w:p>
        </w:tc>
        <w:tc>
          <w:tcPr>
            <w:tcW w:w="319" w:type="pct"/>
            <w:tcBorders>
              <w:top w:val="nil"/>
            </w:tcBorders>
          </w:tcPr>
          <w:p w14:paraId="07D9139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Colombia</w:t>
            </w:r>
          </w:p>
        </w:tc>
        <w:tc>
          <w:tcPr>
            <w:tcW w:w="385" w:type="pct"/>
            <w:tcBorders>
              <w:top w:val="nil"/>
            </w:tcBorders>
          </w:tcPr>
          <w:p w14:paraId="2DD0B34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Agriculture</w:t>
            </w:r>
          </w:p>
        </w:tc>
        <w:tc>
          <w:tcPr>
            <w:tcW w:w="385" w:type="pct"/>
            <w:tcBorders>
              <w:top w:val="nil"/>
            </w:tcBorders>
          </w:tcPr>
          <w:p w14:paraId="3A79E86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611" w:type="pct"/>
            <w:tcBorders>
              <w:top w:val="nil"/>
            </w:tcBorders>
          </w:tcPr>
          <w:p w14:paraId="71D5BA2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Improving productivity and incomes of small- to medium-scale dairy farmers, by adapting farm management practices and systems, and increasing the capacity of Colombia’s training</w:t>
            </w:r>
          </w:p>
        </w:tc>
        <w:tc>
          <w:tcPr>
            <w:tcW w:w="244" w:type="pct"/>
            <w:tcBorders>
              <w:top w:val="nil"/>
            </w:tcBorders>
          </w:tcPr>
          <w:p w14:paraId="2F53DC0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2018–22</w:t>
            </w:r>
          </w:p>
        </w:tc>
        <w:tc>
          <w:tcPr>
            <w:tcW w:w="533" w:type="pct"/>
            <w:tcBorders>
              <w:top w:val="nil"/>
            </w:tcBorders>
          </w:tcPr>
          <w:p w14:paraId="3F2D2BF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Establishing a coalition of agricultural technology companies that work together to service the demand for dairy technology in Colombia</w:t>
            </w:r>
          </w:p>
        </w:tc>
        <w:tc>
          <w:tcPr>
            <w:tcW w:w="561" w:type="pct"/>
            <w:tcBorders>
              <w:top w:val="nil"/>
            </w:tcBorders>
          </w:tcPr>
          <w:p w14:paraId="42FDB09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Adapted New Zealand dairy farming systems and industry knowledge to the Colombian context</w:t>
            </w:r>
          </w:p>
        </w:tc>
        <w:tc>
          <w:tcPr>
            <w:tcW w:w="416" w:type="pct"/>
            <w:tcBorders>
              <w:top w:val="nil"/>
            </w:tcBorders>
          </w:tcPr>
          <w:p w14:paraId="196CCB0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Borders>
              <w:top w:val="nil"/>
            </w:tcBorders>
          </w:tcPr>
          <w:p w14:paraId="7DB69A0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7.5a</w:t>
            </w:r>
          </w:p>
        </w:tc>
      </w:tr>
      <w:tr w:rsidR="00B71B4E" w:rsidRPr="00BD16B4" w14:paraId="08D5F541" w14:textId="77777777" w:rsidTr="00F31129">
        <w:tc>
          <w:tcPr>
            <w:tcW w:w="546" w:type="pct"/>
            <w:tcBorders>
              <w:top w:val="nil"/>
            </w:tcBorders>
          </w:tcPr>
          <w:p w14:paraId="62B745E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Dairy Initiative</w:t>
            </w:r>
          </w:p>
        </w:tc>
        <w:tc>
          <w:tcPr>
            <w:tcW w:w="571" w:type="pct"/>
            <w:tcBorders>
              <w:top w:val="nil"/>
            </w:tcBorders>
          </w:tcPr>
          <w:p w14:paraId="2C01CC6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Increasing the productivity and incomes of small- to medium-scale dairy farmers in the Peruvian Sierra</w:t>
            </w:r>
          </w:p>
        </w:tc>
        <w:tc>
          <w:tcPr>
            <w:tcW w:w="319" w:type="pct"/>
            <w:tcBorders>
              <w:top w:val="nil"/>
            </w:tcBorders>
          </w:tcPr>
          <w:p w14:paraId="5C0BF75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Peru</w:t>
            </w:r>
          </w:p>
        </w:tc>
        <w:tc>
          <w:tcPr>
            <w:tcW w:w="385" w:type="pct"/>
            <w:tcBorders>
              <w:top w:val="nil"/>
            </w:tcBorders>
          </w:tcPr>
          <w:p w14:paraId="521DAA7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Agriculture</w:t>
            </w:r>
          </w:p>
        </w:tc>
        <w:tc>
          <w:tcPr>
            <w:tcW w:w="385" w:type="pct"/>
            <w:tcBorders>
              <w:top w:val="nil"/>
            </w:tcBorders>
          </w:tcPr>
          <w:p w14:paraId="57215E7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Cross-cutting</w:t>
            </w:r>
          </w:p>
        </w:tc>
        <w:tc>
          <w:tcPr>
            <w:tcW w:w="611" w:type="pct"/>
            <w:tcBorders>
              <w:top w:val="nil"/>
            </w:tcBorders>
          </w:tcPr>
          <w:p w14:paraId="3632B14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Increasing the adoption of improved milk and cheese production, handling and processing practices. Supported by effective research and extension systems</w:t>
            </w:r>
          </w:p>
        </w:tc>
        <w:tc>
          <w:tcPr>
            <w:tcW w:w="244" w:type="pct"/>
            <w:tcBorders>
              <w:top w:val="nil"/>
            </w:tcBorders>
          </w:tcPr>
          <w:p w14:paraId="51C8091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2017–21</w:t>
            </w:r>
          </w:p>
        </w:tc>
        <w:tc>
          <w:tcPr>
            <w:tcW w:w="533" w:type="pct"/>
            <w:tcBorders>
              <w:top w:val="nil"/>
            </w:tcBorders>
          </w:tcPr>
          <w:p w14:paraId="0212CEA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Borders>
              <w:top w:val="nil"/>
            </w:tcBorders>
          </w:tcPr>
          <w:p w14:paraId="268F38E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Established processing plants to trial and demonstrated best practices in improving raw milk and cheese quality assurance practices</w:t>
            </w:r>
          </w:p>
        </w:tc>
        <w:tc>
          <w:tcPr>
            <w:tcW w:w="416" w:type="pct"/>
            <w:tcBorders>
              <w:top w:val="nil"/>
            </w:tcBorders>
          </w:tcPr>
          <w:p w14:paraId="5F8609D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Borders>
              <w:top w:val="nil"/>
            </w:tcBorders>
          </w:tcPr>
          <w:p w14:paraId="3435A3B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2AE5D7D8" w14:textId="77777777" w:rsidTr="00F31129">
        <w:tc>
          <w:tcPr>
            <w:tcW w:w="546" w:type="pct"/>
            <w:tcBorders>
              <w:top w:val="nil"/>
            </w:tcBorders>
          </w:tcPr>
          <w:p w14:paraId="132E6F52" w14:textId="77777777" w:rsidR="00B71B4E" w:rsidRPr="00BD16B4" w:rsidRDefault="00B71B4E" w:rsidP="00353702">
            <w:pPr>
              <w:keepNext/>
              <w:spacing w:before="40" w:after="0" w:line="220" w:lineRule="atLeast"/>
              <w:jc w:val="left"/>
              <w:rPr>
                <w:rFonts w:cs="Calibri"/>
                <w:sz w:val="16"/>
                <w:szCs w:val="16"/>
                <w:lang w:val="en-NZ"/>
              </w:rPr>
            </w:pPr>
            <w:r w:rsidRPr="00BD16B4">
              <w:rPr>
                <w:rFonts w:cs="Calibri"/>
                <w:sz w:val="16"/>
                <w:szCs w:val="16"/>
                <w:lang w:val="en-NZ"/>
              </w:rPr>
              <w:lastRenderedPageBreak/>
              <w:t>Dairy Excellence Training</w:t>
            </w:r>
          </w:p>
        </w:tc>
        <w:tc>
          <w:tcPr>
            <w:tcW w:w="571" w:type="pct"/>
            <w:tcBorders>
              <w:top w:val="nil"/>
            </w:tcBorders>
          </w:tcPr>
          <w:p w14:paraId="777152C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Improving dairy-related incomes and standard of living in Sri Lanka, and contributing to an increased supply of local milk, through improved knowledge and skills from extension training</w:t>
            </w:r>
          </w:p>
        </w:tc>
        <w:tc>
          <w:tcPr>
            <w:tcW w:w="319" w:type="pct"/>
            <w:tcBorders>
              <w:top w:val="nil"/>
            </w:tcBorders>
          </w:tcPr>
          <w:p w14:paraId="5182CDF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Sri Lanka</w:t>
            </w:r>
          </w:p>
        </w:tc>
        <w:tc>
          <w:tcPr>
            <w:tcW w:w="385" w:type="pct"/>
            <w:tcBorders>
              <w:top w:val="nil"/>
            </w:tcBorders>
          </w:tcPr>
          <w:p w14:paraId="2224D68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 xml:space="preserve">Agriculture </w:t>
            </w:r>
          </w:p>
        </w:tc>
        <w:tc>
          <w:tcPr>
            <w:tcW w:w="385" w:type="pct"/>
            <w:tcBorders>
              <w:top w:val="nil"/>
            </w:tcBorders>
          </w:tcPr>
          <w:p w14:paraId="7A4793D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611" w:type="pct"/>
            <w:tcBorders>
              <w:top w:val="nil"/>
            </w:tcBorders>
          </w:tcPr>
          <w:p w14:paraId="26FECCC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Sri Lanka’s Ministry of Rural Economic Affairs to develop and roll out in-service training that enables livestock development staff to act as dairy advisors</w:t>
            </w:r>
          </w:p>
        </w:tc>
        <w:tc>
          <w:tcPr>
            <w:tcW w:w="244" w:type="pct"/>
            <w:tcBorders>
              <w:top w:val="nil"/>
            </w:tcBorders>
          </w:tcPr>
          <w:p w14:paraId="180216D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2017–23</w:t>
            </w:r>
          </w:p>
        </w:tc>
        <w:tc>
          <w:tcPr>
            <w:tcW w:w="533" w:type="pct"/>
            <w:tcBorders>
              <w:top w:val="nil"/>
            </w:tcBorders>
          </w:tcPr>
          <w:p w14:paraId="2333840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Borders>
              <w:top w:val="nil"/>
            </w:tcBorders>
          </w:tcPr>
          <w:p w14:paraId="0A5C204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Improved knowledge and skills from extension training</w:t>
            </w:r>
          </w:p>
        </w:tc>
        <w:tc>
          <w:tcPr>
            <w:tcW w:w="416" w:type="pct"/>
            <w:tcBorders>
              <w:top w:val="nil"/>
            </w:tcBorders>
          </w:tcPr>
          <w:p w14:paraId="0B4E748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Borders>
              <w:top w:val="nil"/>
            </w:tcBorders>
          </w:tcPr>
          <w:p w14:paraId="5BD8E56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4525C8BA" w14:textId="77777777" w:rsidTr="00F31129">
        <w:tc>
          <w:tcPr>
            <w:tcW w:w="546" w:type="pct"/>
            <w:tcBorders>
              <w:top w:val="nil"/>
            </w:tcBorders>
          </w:tcPr>
          <w:p w14:paraId="4E96461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Pacific Response to Coconut Rhinoceros Beetle</w:t>
            </w:r>
          </w:p>
        </w:tc>
        <w:tc>
          <w:tcPr>
            <w:tcW w:w="571" w:type="pct"/>
            <w:tcBorders>
              <w:top w:val="nil"/>
            </w:tcBorders>
          </w:tcPr>
          <w:p w14:paraId="760CE62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the Pacific to respond to the invasion of a new strain of coconut rhinoceros beetle</w:t>
            </w:r>
          </w:p>
        </w:tc>
        <w:tc>
          <w:tcPr>
            <w:tcW w:w="319" w:type="pct"/>
            <w:tcBorders>
              <w:top w:val="nil"/>
            </w:tcBorders>
          </w:tcPr>
          <w:p w14:paraId="67E57C2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Pacific</w:t>
            </w:r>
          </w:p>
        </w:tc>
        <w:tc>
          <w:tcPr>
            <w:tcW w:w="385" w:type="pct"/>
            <w:tcBorders>
              <w:top w:val="nil"/>
            </w:tcBorders>
          </w:tcPr>
          <w:p w14:paraId="69D8708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Agriculture</w:t>
            </w:r>
          </w:p>
        </w:tc>
        <w:tc>
          <w:tcPr>
            <w:tcW w:w="385" w:type="pct"/>
            <w:tcBorders>
              <w:top w:val="nil"/>
            </w:tcBorders>
          </w:tcPr>
          <w:p w14:paraId="2F61EA1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611" w:type="pct"/>
            <w:tcBorders>
              <w:top w:val="nil"/>
            </w:tcBorders>
          </w:tcPr>
          <w:p w14:paraId="5A5F837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Providing tools and strategies required to effectively manage the coconut rhinoceros beetle</w:t>
            </w:r>
          </w:p>
        </w:tc>
        <w:tc>
          <w:tcPr>
            <w:tcW w:w="244" w:type="pct"/>
            <w:tcBorders>
              <w:top w:val="nil"/>
            </w:tcBorders>
          </w:tcPr>
          <w:p w14:paraId="1D448FF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2019–29</w:t>
            </w:r>
          </w:p>
        </w:tc>
        <w:tc>
          <w:tcPr>
            <w:tcW w:w="533" w:type="pct"/>
            <w:tcBorders>
              <w:top w:val="nil"/>
            </w:tcBorders>
          </w:tcPr>
          <w:p w14:paraId="6A5458C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Borders>
              <w:top w:val="nil"/>
            </w:tcBorders>
          </w:tcPr>
          <w:p w14:paraId="40DF179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An integrated pest management approach that brings together scientifically proven control methods in a single package, allowing effective implantation</w:t>
            </w:r>
          </w:p>
        </w:tc>
        <w:tc>
          <w:tcPr>
            <w:tcW w:w="416" w:type="pct"/>
            <w:tcBorders>
              <w:top w:val="nil"/>
            </w:tcBorders>
          </w:tcPr>
          <w:p w14:paraId="499916B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Borders>
              <w:top w:val="nil"/>
            </w:tcBorders>
          </w:tcPr>
          <w:p w14:paraId="1109EF1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1F8A735C" w14:textId="77777777" w:rsidTr="00F31129">
        <w:tc>
          <w:tcPr>
            <w:tcW w:w="546" w:type="pct"/>
            <w:tcBorders>
              <w:top w:val="nil"/>
            </w:tcBorders>
          </w:tcPr>
          <w:p w14:paraId="5592681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Pacific Seeds for Life</w:t>
            </w:r>
          </w:p>
        </w:tc>
        <w:tc>
          <w:tcPr>
            <w:tcW w:w="571" w:type="pct"/>
            <w:tcBorders>
              <w:top w:val="nil"/>
            </w:tcBorders>
          </w:tcPr>
          <w:p w14:paraId="6CAF9F4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Achieving food-secure and resilient communities across the Pacific</w:t>
            </w:r>
          </w:p>
        </w:tc>
        <w:tc>
          <w:tcPr>
            <w:tcW w:w="319" w:type="pct"/>
            <w:tcBorders>
              <w:top w:val="nil"/>
            </w:tcBorders>
          </w:tcPr>
          <w:p w14:paraId="287F5D9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Vanuatu, Fiji, Tonga, Samoa, Tuvalu, Kiribati</w:t>
            </w:r>
          </w:p>
        </w:tc>
        <w:tc>
          <w:tcPr>
            <w:tcW w:w="385" w:type="pct"/>
            <w:tcBorders>
              <w:top w:val="nil"/>
            </w:tcBorders>
          </w:tcPr>
          <w:p w14:paraId="39360CD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Agriculture</w:t>
            </w:r>
          </w:p>
        </w:tc>
        <w:tc>
          <w:tcPr>
            <w:tcW w:w="385" w:type="pct"/>
            <w:tcBorders>
              <w:top w:val="nil"/>
            </w:tcBorders>
          </w:tcPr>
          <w:p w14:paraId="6997B40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611" w:type="pct"/>
            <w:tcBorders>
              <w:top w:val="nil"/>
            </w:tcBorders>
          </w:tcPr>
          <w:p w14:paraId="7BE155A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the development of an enabling national-level environment through research, regulations, training, and awareness raising and improving seed and planting material production</w:t>
            </w:r>
          </w:p>
        </w:tc>
        <w:tc>
          <w:tcPr>
            <w:tcW w:w="244" w:type="pct"/>
            <w:tcBorders>
              <w:top w:val="nil"/>
            </w:tcBorders>
          </w:tcPr>
          <w:p w14:paraId="0EA049A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2020–24</w:t>
            </w:r>
          </w:p>
        </w:tc>
        <w:tc>
          <w:tcPr>
            <w:tcW w:w="533" w:type="pct"/>
            <w:tcBorders>
              <w:top w:val="nil"/>
            </w:tcBorders>
          </w:tcPr>
          <w:p w14:paraId="36365EE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Borders>
              <w:top w:val="nil"/>
            </w:tcBorders>
          </w:tcPr>
          <w:p w14:paraId="5EE4094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Upgrading facilities and equipment for Centre for Pacific Crops and Trees molecular lab, technical support to improve the quality of collection , and sourcing new seeds and planting varieties for the region</w:t>
            </w:r>
          </w:p>
        </w:tc>
        <w:tc>
          <w:tcPr>
            <w:tcW w:w="416" w:type="pct"/>
            <w:tcBorders>
              <w:top w:val="nil"/>
            </w:tcBorders>
          </w:tcPr>
          <w:p w14:paraId="6D44D39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Borders>
              <w:top w:val="nil"/>
            </w:tcBorders>
          </w:tcPr>
          <w:p w14:paraId="0475354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7.5b</w:t>
            </w:r>
          </w:p>
        </w:tc>
      </w:tr>
      <w:tr w:rsidR="00B71B4E" w:rsidRPr="00BD16B4" w14:paraId="6AE3C173" w14:textId="77777777" w:rsidTr="00F31129">
        <w:tc>
          <w:tcPr>
            <w:tcW w:w="546" w:type="pct"/>
            <w:tcBorders>
              <w:top w:val="nil"/>
            </w:tcBorders>
          </w:tcPr>
          <w:p w14:paraId="1D786698" w14:textId="77777777" w:rsidR="00B71B4E" w:rsidRPr="00BD16B4" w:rsidRDefault="00B71B4E" w:rsidP="00353702">
            <w:pPr>
              <w:keepNext/>
              <w:spacing w:before="40" w:after="40" w:line="220" w:lineRule="atLeast"/>
              <w:jc w:val="left"/>
              <w:rPr>
                <w:rFonts w:cs="Calibri"/>
                <w:sz w:val="16"/>
                <w:szCs w:val="16"/>
                <w:lang w:val="en-NZ"/>
              </w:rPr>
            </w:pPr>
            <w:r w:rsidRPr="00BD16B4">
              <w:rPr>
                <w:rFonts w:cs="Calibri"/>
                <w:sz w:val="16"/>
                <w:szCs w:val="16"/>
                <w:lang w:val="en-NZ"/>
              </w:rPr>
              <w:lastRenderedPageBreak/>
              <w:t>Cocoa Industry Development Initiative</w:t>
            </w:r>
          </w:p>
        </w:tc>
        <w:tc>
          <w:tcPr>
            <w:tcW w:w="571" w:type="pct"/>
            <w:tcBorders>
              <w:top w:val="nil"/>
            </w:tcBorders>
          </w:tcPr>
          <w:p w14:paraId="2F04845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Encouraging smallholder cocoa growers to produce larger volumes of cocoa by increasing their capabilities in on-farm and post-harvest practices</w:t>
            </w:r>
          </w:p>
        </w:tc>
        <w:tc>
          <w:tcPr>
            <w:tcW w:w="319" w:type="pct"/>
            <w:tcBorders>
              <w:top w:val="nil"/>
            </w:tcBorders>
          </w:tcPr>
          <w:p w14:paraId="5B562DD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Samoa</w:t>
            </w:r>
          </w:p>
        </w:tc>
        <w:tc>
          <w:tcPr>
            <w:tcW w:w="385" w:type="pct"/>
            <w:tcBorders>
              <w:top w:val="nil"/>
            </w:tcBorders>
          </w:tcPr>
          <w:p w14:paraId="14294CF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Agriculture</w:t>
            </w:r>
          </w:p>
        </w:tc>
        <w:tc>
          <w:tcPr>
            <w:tcW w:w="385" w:type="pct"/>
            <w:tcBorders>
              <w:top w:val="nil"/>
            </w:tcBorders>
          </w:tcPr>
          <w:p w14:paraId="0F7ACB5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Cross-cutting</w:t>
            </w:r>
          </w:p>
        </w:tc>
        <w:tc>
          <w:tcPr>
            <w:tcW w:w="611" w:type="pct"/>
            <w:tcBorders>
              <w:top w:val="nil"/>
            </w:tcBorders>
          </w:tcPr>
          <w:p w14:paraId="74D6BA9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Increasing the value and volume of Samoan cocoa export and financial returns through increased investment and sustainable production and quality management</w:t>
            </w:r>
          </w:p>
        </w:tc>
        <w:tc>
          <w:tcPr>
            <w:tcW w:w="244" w:type="pct"/>
            <w:tcBorders>
              <w:top w:val="nil"/>
            </w:tcBorders>
          </w:tcPr>
          <w:p w14:paraId="6CC2113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2017–22</w:t>
            </w:r>
          </w:p>
        </w:tc>
        <w:tc>
          <w:tcPr>
            <w:tcW w:w="533" w:type="pct"/>
            <w:tcBorders>
              <w:top w:val="nil"/>
            </w:tcBorders>
          </w:tcPr>
          <w:p w14:paraId="6C1B78A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Borders>
              <w:top w:val="nil"/>
            </w:tcBorders>
          </w:tcPr>
          <w:p w14:paraId="74F1248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New methods of seedling planting by providing appropriate seedling bags to ensure trees can withstand harsh conditions such as cyclones</w:t>
            </w:r>
          </w:p>
        </w:tc>
        <w:tc>
          <w:tcPr>
            <w:tcW w:w="416" w:type="pct"/>
            <w:tcBorders>
              <w:top w:val="nil"/>
            </w:tcBorders>
          </w:tcPr>
          <w:p w14:paraId="6213BC0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Borders>
              <w:top w:val="nil"/>
            </w:tcBorders>
          </w:tcPr>
          <w:p w14:paraId="2A21B9D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37E2C77B" w14:textId="77777777" w:rsidTr="00F31129">
        <w:tc>
          <w:tcPr>
            <w:tcW w:w="546" w:type="pct"/>
            <w:tcBorders>
              <w:top w:val="nil"/>
            </w:tcBorders>
          </w:tcPr>
          <w:p w14:paraId="3E81502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ASEAN Climate-smart Agriculture Initiative</w:t>
            </w:r>
          </w:p>
        </w:tc>
        <w:tc>
          <w:tcPr>
            <w:tcW w:w="571" w:type="pct"/>
            <w:tcBorders>
              <w:top w:val="nil"/>
            </w:tcBorders>
          </w:tcPr>
          <w:p w14:paraId="01EC363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ASEAN countries to shift to low-emissions agriculture and improving agricultural productivity and returns</w:t>
            </w:r>
          </w:p>
        </w:tc>
        <w:tc>
          <w:tcPr>
            <w:tcW w:w="319" w:type="pct"/>
            <w:tcBorders>
              <w:top w:val="nil"/>
            </w:tcBorders>
          </w:tcPr>
          <w:p w14:paraId="5DE7C9B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Asia</w:t>
            </w:r>
          </w:p>
        </w:tc>
        <w:tc>
          <w:tcPr>
            <w:tcW w:w="385" w:type="pct"/>
            <w:tcBorders>
              <w:top w:val="nil"/>
            </w:tcBorders>
          </w:tcPr>
          <w:p w14:paraId="2032827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Agriculture</w:t>
            </w:r>
          </w:p>
        </w:tc>
        <w:tc>
          <w:tcPr>
            <w:tcW w:w="385" w:type="pct"/>
            <w:tcBorders>
              <w:top w:val="nil"/>
            </w:tcBorders>
          </w:tcPr>
          <w:p w14:paraId="4CC4124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Borders>
              <w:top w:val="nil"/>
            </w:tcBorders>
          </w:tcPr>
          <w:p w14:paraId="18FE221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Enabling ASEAN countries to increase their engagement with the GRA in order to develop and implement effective technologies/practices to mitigate agricultural greenhouse gas emissions, and to build regional capability in agricultural emissions measurement</w:t>
            </w:r>
          </w:p>
        </w:tc>
        <w:tc>
          <w:tcPr>
            <w:tcW w:w="244" w:type="pct"/>
            <w:tcBorders>
              <w:top w:val="nil"/>
            </w:tcBorders>
          </w:tcPr>
          <w:p w14:paraId="686E55D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2020–25</w:t>
            </w:r>
          </w:p>
        </w:tc>
        <w:tc>
          <w:tcPr>
            <w:tcW w:w="533" w:type="pct"/>
            <w:tcBorders>
              <w:top w:val="nil"/>
            </w:tcBorders>
          </w:tcPr>
          <w:p w14:paraId="6BE1287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Borders>
              <w:top w:val="nil"/>
            </w:tcBorders>
          </w:tcPr>
          <w:p w14:paraId="37DA895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Identifying low-emissions agriculture systems, technologies and practices</w:t>
            </w:r>
          </w:p>
        </w:tc>
        <w:tc>
          <w:tcPr>
            <w:tcW w:w="416" w:type="pct"/>
            <w:tcBorders>
              <w:top w:val="nil"/>
            </w:tcBorders>
          </w:tcPr>
          <w:p w14:paraId="55D3B14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Borders>
              <w:top w:val="nil"/>
            </w:tcBorders>
          </w:tcPr>
          <w:p w14:paraId="35451FD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7.5b</w:t>
            </w:r>
          </w:p>
        </w:tc>
      </w:tr>
      <w:tr w:rsidR="00B71B4E" w:rsidRPr="00BD16B4" w14:paraId="4669024A" w14:textId="77777777" w:rsidTr="00F31129">
        <w:tc>
          <w:tcPr>
            <w:tcW w:w="546" w:type="pct"/>
            <w:tcBorders>
              <w:top w:val="nil"/>
            </w:tcBorders>
          </w:tcPr>
          <w:p w14:paraId="120B8DC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Rakhine Winter Cropping Activity</w:t>
            </w:r>
          </w:p>
        </w:tc>
        <w:tc>
          <w:tcPr>
            <w:tcW w:w="571" w:type="pct"/>
            <w:tcBorders>
              <w:top w:val="nil"/>
            </w:tcBorders>
          </w:tcPr>
          <w:p w14:paraId="6049F74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Improving food security and generating more sustainable farming systems in Rakhine State</w:t>
            </w:r>
          </w:p>
        </w:tc>
        <w:tc>
          <w:tcPr>
            <w:tcW w:w="319" w:type="pct"/>
            <w:tcBorders>
              <w:top w:val="nil"/>
            </w:tcBorders>
          </w:tcPr>
          <w:p w14:paraId="10A1758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Myanmar</w:t>
            </w:r>
          </w:p>
        </w:tc>
        <w:tc>
          <w:tcPr>
            <w:tcW w:w="385" w:type="pct"/>
            <w:tcBorders>
              <w:top w:val="nil"/>
            </w:tcBorders>
          </w:tcPr>
          <w:p w14:paraId="1D25AD9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Agriculture</w:t>
            </w:r>
          </w:p>
        </w:tc>
        <w:tc>
          <w:tcPr>
            <w:tcW w:w="385" w:type="pct"/>
            <w:tcBorders>
              <w:top w:val="nil"/>
            </w:tcBorders>
          </w:tcPr>
          <w:p w14:paraId="4981E1A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Cross-cutting</w:t>
            </w:r>
          </w:p>
        </w:tc>
        <w:tc>
          <w:tcPr>
            <w:tcW w:w="611" w:type="pct"/>
            <w:tcBorders>
              <w:top w:val="nil"/>
            </w:tcBorders>
          </w:tcPr>
          <w:p w14:paraId="16BBD04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Improving agriculture farm systems to be more resilient through better water management and crop diversification</w:t>
            </w:r>
          </w:p>
        </w:tc>
        <w:tc>
          <w:tcPr>
            <w:tcW w:w="244" w:type="pct"/>
            <w:tcBorders>
              <w:top w:val="nil"/>
            </w:tcBorders>
          </w:tcPr>
          <w:p w14:paraId="3E31847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2017–20</w:t>
            </w:r>
          </w:p>
        </w:tc>
        <w:tc>
          <w:tcPr>
            <w:tcW w:w="533" w:type="pct"/>
            <w:tcBorders>
              <w:top w:val="nil"/>
            </w:tcBorders>
          </w:tcPr>
          <w:p w14:paraId="0CB29E5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Borders>
              <w:top w:val="nil"/>
            </w:tcBorders>
          </w:tcPr>
          <w:p w14:paraId="3B707D4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Better water harvesting, storage and irrigation systems. New agriculture techniques, seed varieties and tools</w:t>
            </w:r>
          </w:p>
        </w:tc>
        <w:tc>
          <w:tcPr>
            <w:tcW w:w="416" w:type="pct"/>
            <w:tcBorders>
              <w:top w:val="nil"/>
            </w:tcBorders>
          </w:tcPr>
          <w:p w14:paraId="65826C7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Borders>
              <w:top w:val="nil"/>
            </w:tcBorders>
          </w:tcPr>
          <w:p w14:paraId="5789395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1635863E" w14:textId="77777777" w:rsidTr="00F31129">
        <w:tc>
          <w:tcPr>
            <w:tcW w:w="546" w:type="pct"/>
            <w:tcBorders>
              <w:top w:val="nil"/>
            </w:tcBorders>
          </w:tcPr>
          <w:p w14:paraId="4589A241" w14:textId="77777777" w:rsidR="00B71B4E" w:rsidRPr="00BD16B4" w:rsidRDefault="00B71B4E" w:rsidP="00353702">
            <w:pPr>
              <w:keepNext/>
              <w:spacing w:before="40" w:after="40" w:line="220" w:lineRule="atLeast"/>
              <w:jc w:val="left"/>
              <w:rPr>
                <w:rFonts w:cs="Calibri"/>
                <w:sz w:val="16"/>
                <w:szCs w:val="16"/>
                <w:lang w:val="en-NZ"/>
              </w:rPr>
            </w:pPr>
            <w:r w:rsidRPr="00BD16B4">
              <w:rPr>
                <w:rFonts w:cs="Calibri"/>
                <w:sz w:val="16"/>
                <w:szCs w:val="16"/>
                <w:lang w:val="en-NZ"/>
              </w:rPr>
              <w:lastRenderedPageBreak/>
              <w:t>Dairy Industry and Veterinary Training</w:t>
            </w:r>
          </w:p>
        </w:tc>
        <w:tc>
          <w:tcPr>
            <w:tcW w:w="571" w:type="pct"/>
            <w:tcBorders>
              <w:top w:val="nil"/>
            </w:tcBorders>
          </w:tcPr>
          <w:p w14:paraId="4C227B7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Livestock educational institutions and vocational training systems provide more qualified people</w:t>
            </w:r>
          </w:p>
        </w:tc>
        <w:tc>
          <w:tcPr>
            <w:tcW w:w="319" w:type="pct"/>
            <w:tcBorders>
              <w:top w:val="nil"/>
            </w:tcBorders>
          </w:tcPr>
          <w:p w14:paraId="61E86F7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Myanmar</w:t>
            </w:r>
          </w:p>
        </w:tc>
        <w:tc>
          <w:tcPr>
            <w:tcW w:w="385" w:type="pct"/>
            <w:tcBorders>
              <w:top w:val="nil"/>
            </w:tcBorders>
          </w:tcPr>
          <w:p w14:paraId="2D09B24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Agriculture</w:t>
            </w:r>
          </w:p>
        </w:tc>
        <w:tc>
          <w:tcPr>
            <w:tcW w:w="385" w:type="pct"/>
            <w:tcBorders>
              <w:top w:val="nil"/>
            </w:tcBorders>
          </w:tcPr>
          <w:p w14:paraId="680A0E0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611" w:type="pct"/>
            <w:tcBorders>
              <w:top w:val="nil"/>
            </w:tcBorders>
          </w:tcPr>
          <w:p w14:paraId="64C955D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dairy and beef farmers to increase output and achieve higher income through new knowledge, skills and technologies</w:t>
            </w:r>
          </w:p>
        </w:tc>
        <w:tc>
          <w:tcPr>
            <w:tcW w:w="244" w:type="pct"/>
            <w:tcBorders>
              <w:top w:val="nil"/>
            </w:tcBorders>
          </w:tcPr>
          <w:p w14:paraId="1AEF32D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2017–23</w:t>
            </w:r>
          </w:p>
        </w:tc>
        <w:tc>
          <w:tcPr>
            <w:tcW w:w="533" w:type="pct"/>
            <w:tcBorders>
              <w:top w:val="nil"/>
            </w:tcBorders>
          </w:tcPr>
          <w:p w14:paraId="657EF14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Borders>
              <w:top w:val="nil"/>
            </w:tcBorders>
          </w:tcPr>
          <w:p w14:paraId="51FACB9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Improved knowledge and skills from new training</w:t>
            </w:r>
          </w:p>
        </w:tc>
        <w:tc>
          <w:tcPr>
            <w:tcW w:w="416" w:type="pct"/>
            <w:tcBorders>
              <w:top w:val="nil"/>
            </w:tcBorders>
          </w:tcPr>
          <w:p w14:paraId="1D62474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Borders>
              <w:top w:val="nil"/>
            </w:tcBorders>
          </w:tcPr>
          <w:p w14:paraId="5E55A20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3C2DF3AD" w14:textId="77777777" w:rsidTr="00F31129">
        <w:tc>
          <w:tcPr>
            <w:tcW w:w="546" w:type="pct"/>
            <w:tcBorders>
              <w:top w:val="nil"/>
            </w:tcBorders>
          </w:tcPr>
          <w:p w14:paraId="1E6BA5A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Quality Beef Initiative</w:t>
            </w:r>
          </w:p>
        </w:tc>
        <w:tc>
          <w:tcPr>
            <w:tcW w:w="571" w:type="pct"/>
            <w:tcBorders>
              <w:top w:val="nil"/>
            </w:tcBorders>
          </w:tcPr>
          <w:p w14:paraId="22BDF8A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An expanded and viable beef industry and value chain producing high-quality, safe meat for consumers</w:t>
            </w:r>
          </w:p>
        </w:tc>
        <w:tc>
          <w:tcPr>
            <w:tcW w:w="319" w:type="pct"/>
            <w:tcBorders>
              <w:top w:val="nil"/>
            </w:tcBorders>
          </w:tcPr>
          <w:p w14:paraId="6CF9702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Lao PDR</w:t>
            </w:r>
          </w:p>
        </w:tc>
        <w:tc>
          <w:tcPr>
            <w:tcW w:w="385" w:type="pct"/>
            <w:tcBorders>
              <w:top w:val="nil"/>
            </w:tcBorders>
          </w:tcPr>
          <w:p w14:paraId="3850F65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 xml:space="preserve">Agriculture </w:t>
            </w:r>
          </w:p>
        </w:tc>
        <w:tc>
          <w:tcPr>
            <w:tcW w:w="385" w:type="pct"/>
            <w:tcBorders>
              <w:top w:val="nil"/>
            </w:tcBorders>
          </w:tcPr>
          <w:p w14:paraId="1508386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Cross-cutting</w:t>
            </w:r>
          </w:p>
        </w:tc>
        <w:tc>
          <w:tcPr>
            <w:tcW w:w="611" w:type="pct"/>
            <w:tcBorders>
              <w:top w:val="nil"/>
            </w:tcBorders>
          </w:tcPr>
          <w:p w14:paraId="7768D9D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Providing farm demonstrations and training in profitable beef production systems to smallholder farmers, and delivering training that enhances food safety for consumers</w:t>
            </w:r>
          </w:p>
        </w:tc>
        <w:tc>
          <w:tcPr>
            <w:tcW w:w="244" w:type="pct"/>
            <w:tcBorders>
              <w:top w:val="nil"/>
            </w:tcBorders>
          </w:tcPr>
          <w:p w14:paraId="0C79710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2017–23</w:t>
            </w:r>
          </w:p>
        </w:tc>
        <w:tc>
          <w:tcPr>
            <w:tcW w:w="533" w:type="pct"/>
            <w:tcBorders>
              <w:top w:val="nil"/>
            </w:tcBorders>
          </w:tcPr>
          <w:p w14:paraId="29F12F3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Borders>
              <w:top w:val="nil"/>
            </w:tcBorders>
          </w:tcPr>
          <w:p w14:paraId="24AD5AD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Improved knowledge and skills from new training</w:t>
            </w:r>
          </w:p>
        </w:tc>
        <w:tc>
          <w:tcPr>
            <w:tcW w:w="416" w:type="pct"/>
            <w:tcBorders>
              <w:top w:val="nil"/>
            </w:tcBorders>
          </w:tcPr>
          <w:p w14:paraId="2983191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Borders>
              <w:top w:val="nil"/>
            </w:tcBorders>
          </w:tcPr>
          <w:p w14:paraId="256559A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0F3B0428" w14:textId="77777777" w:rsidTr="00F31129">
        <w:tc>
          <w:tcPr>
            <w:tcW w:w="546" w:type="pct"/>
            <w:tcBorders>
              <w:top w:val="nil"/>
            </w:tcBorders>
          </w:tcPr>
          <w:p w14:paraId="49EA05A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Quality Horticulture Initiative</w:t>
            </w:r>
          </w:p>
        </w:tc>
        <w:tc>
          <w:tcPr>
            <w:tcW w:w="571" w:type="pct"/>
            <w:tcBorders>
              <w:top w:val="nil"/>
            </w:tcBorders>
          </w:tcPr>
          <w:p w14:paraId="31E8587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Sector growth through delivering on market demand for high-quality, safe produce</w:t>
            </w:r>
          </w:p>
        </w:tc>
        <w:tc>
          <w:tcPr>
            <w:tcW w:w="319" w:type="pct"/>
            <w:tcBorders>
              <w:top w:val="nil"/>
            </w:tcBorders>
          </w:tcPr>
          <w:p w14:paraId="3995F9C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Cambodia</w:t>
            </w:r>
          </w:p>
        </w:tc>
        <w:tc>
          <w:tcPr>
            <w:tcW w:w="385" w:type="pct"/>
            <w:tcBorders>
              <w:top w:val="nil"/>
            </w:tcBorders>
          </w:tcPr>
          <w:p w14:paraId="499B7A5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Agriculture</w:t>
            </w:r>
          </w:p>
        </w:tc>
        <w:tc>
          <w:tcPr>
            <w:tcW w:w="385" w:type="pct"/>
            <w:tcBorders>
              <w:top w:val="nil"/>
            </w:tcBorders>
          </w:tcPr>
          <w:p w14:paraId="6CB146E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611" w:type="pct"/>
            <w:tcBorders>
              <w:top w:val="nil"/>
            </w:tcBorders>
          </w:tcPr>
          <w:p w14:paraId="67F9E9F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Working with select vegetable supply chains to improve sustainable production systems for vegetables, post harvest systems, food quality assurance and market linkages</w:t>
            </w:r>
          </w:p>
        </w:tc>
        <w:tc>
          <w:tcPr>
            <w:tcW w:w="244" w:type="pct"/>
            <w:tcBorders>
              <w:top w:val="nil"/>
            </w:tcBorders>
          </w:tcPr>
          <w:p w14:paraId="79910DF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2017–22</w:t>
            </w:r>
          </w:p>
        </w:tc>
        <w:tc>
          <w:tcPr>
            <w:tcW w:w="533" w:type="pct"/>
            <w:tcBorders>
              <w:top w:val="nil"/>
            </w:tcBorders>
          </w:tcPr>
          <w:p w14:paraId="4CD235F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Borders>
              <w:top w:val="nil"/>
            </w:tcBorders>
          </w:tcPr>
          <w:p w14:paraId="376C3DC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Improved knowledge and skills from new training</w:t>
            </w:r>
          </w:p>
        </w:tc>
        <w:tc>
          <w:tcPr>
            <w:tcW w:w="416" w:type="pct"/>
            <w:tcBorders>
              <w:top w:val="nil"/>
            </w:tcBorders>
          </w:tcPr>
          <w:p w14:paraId="4E8B1CB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Borders>
              <w:top w:val="nil"/>
            </w:tcBorders>
          </w:tcPr>
          <w:p w14:paraId="49D86F8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14E6917E" w14:textId="77777777" w:rsidTr="00F31129">
        <w:tc>
          <w:tcPr>
            <w:tcW w:w="546" w:type="pct"/>
            <w:tcBorders>
              <w:top w:val="nil"/>
            </w:tcBorders>
          </w:tcPr>
          <w:p w14:paraId="661B26E7" w14:textId="77777777" w:rsidR="00B71B4E" w:rsidRPr="00BD16B4" w:rsidRDefault="00B71B4E" w:rsidP="00353702">
            <w:pPr>
              <w:keepNext/>
              <w:spacing w:before="40" w:after="40" w:line="220" w:lineRule="atLeast"/>
              <w:jc w:val="left"/>
              <w:rPr>
                <w:rFonts w:cs="Calibri"/>
                <w:sz w:val="16"/>
                <w:szCs w:val="16"/>
                <w:lang w:val="en-NZ"/>
              </w:rPr>
            </w:pPr>
            <w:r w:rsidRPr="00BD16B4">
              <w:rPr>
                <w:rFonts w:cs="Calibri"/>
                <w:sz w:val="16"/>
                <w:szCs w:val="16"/>
                <w:lang w:val="en-NZ"/>
              </w:rPr>
              <w:lastRenderedPageBreak/>
              <w:t>Dragon Fruit Development</w:t>
            </w:r>
          </w:p>
        </w:tc>
        <w:tc>
          <w:tcPr>
            <w:tcW w:w="571" w:type="pct"/>
            <w:tcBorders>
              <w:top w:val="nil"/>
            </w:tcBorders>
          </w:tcPr>
          <w:p w14:paraId="3AB06AD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Improving capability and capacity for the development and commercialisation of new varieties of dragon fruit</w:t>
            </w:r>
          </w:p>
        </w:tc>
        <w:tc>
          <w:tcPr>
            <w:tcW w:w="319" w:type="pct"/>
            <w:tcBorders>
              <w:top w:val="nil"/>
            </w:tcBorders>
          </w:tcPr>
          <w:p w14:paraId="1CFFD52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Viet Nam</w:t>
            </w:r>
          </w:p>
        </w:tc>
        <w:tc>
          <w:tcPr>
            <w:tcW w:w="385" w:type="pct"/>
            <w:tcBorders>
              <w:top w:val="nil"/>
            </w:tcBorders>
          </w:tcPr>
          <w:p w14:paraId="1DA04C1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Agriculture</w:t>
            </w:r>
          </w:p>
        </w:tc>
        <w:tc>
          <w:tcPr>
            <w:tcW w:w="385" w:type="pct"/>
            <w:tcBorders>
              <w:top w:val="nil"/>
            </w:tcBorders>
          </w:tcPr>
          <w:p w14:paraId="29933CC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611" w:type="pct"/>
            <w:tcBorders>
              <w:top w:val="nil"/>
            </w:tcBorders>
          </w:tcPr>
          <w:p w14:paraId="108EBFB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Developing and commercialising new dragon fruit varieties that earn premium prices on international markets and have increased resistance to disease</w:t>
            </w:r>
          </w:p>
        </w:tc>
        <w:tc>
          <w:tcPr>
            <w:tcW w:w="244" w:type="pct"/>
            <w:tcBorders>
              <w:top w:val="nil"/>
            </w:tcBorders>
          </w:tcPr>
          <w:p w14:paraId="4F5E604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2017–21</w:t>
            </w:r>
          </w:p>
        </w:tc>
        <w:tc>
          <w:tcPr>
            <w:tcW w:w="533" w:type="pct"/>
            <w:tcBorders>
              <w:top w:val="nil"/>
            </w:tcBorders>
          </w:tcPr>
          <w:p w14:paraId="72A104A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Borders>
              <w:top w:val="nil"/>
            </w:tcBorders>
          </w:tcPr>
          <w:p w14:paraId="263C214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New systems and practices in sustainable production and disease control</w:t>
            </w:r>
          </w:p>
        </w:tc>
        <w:tc>
          <w:tcPr>
            <w:tcW w:w="416" w:type="pct"/>
            <w:tcBorders>
              <w:top w:val="nil"/>
            </w:tcBorders>
          </w:tcPr>
          <w:p w14:paraId="6BD4A96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Borders>
              <w:top w:val="nil"/>
            </w:tcBorders>
          </w:tcPr>
          <w:p w14:paraId="5874D39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1C778EC4" w14:textId="77777777" w:rsidTr="00F31129">
        <w:tc>
          <w:tcPr>
            <w:tcW w:w="546" w:type="pct"/>
            <w:tcBorders>
              <w:top w:val="nil"/>
            </w:tcBorders>
          </w:tcPr>
          <w:p w14:paraId="6C683A6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African Climate-smart Agriculture Initiative</w:t>
            </w:r>
          </w:p>
        </w:tc>
        <w:tc>
          <w:tcPr>
            <w:tcW w:w="571" w:type="pct"/>
            <w:tcBorders>
              <w:top w:val="nil"/>
            </w:tcBorders>
          </w:tcPr>
          <w:p w14:paraId="7594908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eastern and southern African countries to shift to low-emissions agriculture</w:t>
            </w:r>
          </w:p>
        </w:tc>
        <w:tc>
          <w:tcPr>
            <w:tcW w:w="319" w:type="pct"/>
            <w:tcBorders>
              <w:top w:val="nil"/>
            </w:tcBorders>
          </w:tcPr>
          <w:p w14:paraId="5F7862A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Africa</w:t>
            </w:r>
          </w:p>
        </w:tc>
        <w:tc>
          <w:tcPr>
            <w:tcW w:w="385" w:type="pct"/>
            <w:tcBorders>
              <w:top w:val="nil"/>
            </w:tcBorders>
          </w:tcPr>
          <w:p w14:paraId="286E818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Agriculture</w:t>
            </w:r>
          </w:p>
        </w:tc>
        <w:tc>
          <w:tcPr>
            <w:tcW w:w="385" w:type="pct"/>
            <w:tcBorders>
              <w:top w:val="nil"/>
            </w:tcBorders>
          </w:tcPr>
          <w:p w14:paraId="326B18F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611" w:type="pct"/>
            <w:tcBorders>
              <w:top w:val="nil"/>
            </w:tcBorders>
          </w:tcPr>
          <w:p w14:paraId="51A9932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Enabling countries to increase their engagement with the GRA in order to develop and implement effective technologies/practices to mitigate agricultural greenhouse gas emissions, and build regional capability in agricultural emissions measurement</w:t>
            </w:r>
          </w:p>
        </w:tc>
        <w:tc>
          <w:tcPr>
            <w:tcW w:w="244" w:type="pct"/>
            <w:tcBorders>
              <w:top w:val="nil"/>
            </w:tcBorders>
          </w:tcPr>
          <w:p w14:paraId="717FD7D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2020–23</w:t>
            </w:r>
          </w:p>
        </w:tc>
        <w:tc>
          <w:tcPr>
            <w:tcW w:w="533" w:type="pct"/>
            <w:tcBorders>
              <w:top w:val="nil"/>
            </w:tcBorders>
          </w:tcPr>
          <w:p w14:paraId="50888A0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Borders>
              <w:top w:val="nil"/>
            </w:tcBorders>
          </w:tcPr>
          <w:p w14:paraId="2123310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Identified low-emissions agriculture systems, technologies and practices</w:t>
            </w:r>
          </w:p>
        </w:tc>
        <w:tc>
          <w:tcPr>
            <w:tcW w:w="416" w:type="pct"/>
            <w:tcBorders>
              <w:top w:val="nil"/>
            </w:tcBorders>
          </w:tcPr>
          <w:p w14:paraId="5E1D1CF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Borders>
              <w:top w:val="nil"/>
            </w:tcBorders>
          </w:tcPr>
          <w:p w14:paraId="1DECB20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7.5b</w:t>
            </w:r>
          </w:p>
        </w:tc>
      </w:tr>
      <w:tr w:rsidR="00B71B4E" w:rsidRPr="00BD16B4" w14:paraId="32EC12BE" w14:textId="77777777" w:rsidTr="00F31129">
        <w:tc>
          <w:tcPr>
            <w:tcW w:w="546" w:type="pct"/>
            <w:tcBorders>
              <w:top w:val="nil"/>
            </w:tcBorders>
          </w:tcPr>
          <w:p w14:paraId="31ACBA3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Strengthened Avocado Value Chain</w:t>
            </w:r>
          </w:p>
        </w:tc>
        <w:tc>
          <w:tcPr>
            <w:tcW w:w="571" w:type="pct"/>
            <w:tcBorders>
              <w:top w:val="nil"/>
            </w:tcBorders>
          </w:tcPr>
          <w:p w14:paraId="4A708E9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Improving smallholder farmer economic opportunities by strengthening and sharing lessons with the avocado industry in Kenya</w:t>
            </w:r>
          </w:p>
        </w:tc>
        <w:tc>
          <w:tcPr>
            <w:tcW w:w="319" w:type="pct"/>
            <w:tcBorders>
              <w:top w:val="nil"/>
            </w:tcBorders>
          </w:tcPr>
          <w:p w14:paraId="5B1C3DE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Kenya</w:t>
            </w:r>
          </w:p>
        </w:tc>
        <w:tc>
          <w:tcPr>
            <w:tcW w:w="385" w:type="pct"/>
            <w:tcBorders>
              <w:top w:val="nil"/>
            </w:tcBorders>
          </w:tcPr>
          <w:p w14:paraId="657FC67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Agriculture</w:t>
            </w:r>
          </w:p>
        </w:tc>
        <w:tc>
          <w:tcPr>
            <w:tcW w:w="385" w:type="pct"/>
            <w:tcBorders>
              <w:top w:val="nil"/>
            </w:tcBorders>
          </w:tcPr>
          <w:p w14:paraId="71ECE31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611" w:type="pct"/>
            <w:tcBorders>
              <w:top w:val="nil"/>
            </w:tcBorders>
          </w:tcPr>
          <w:p w14:paraId="27D10E3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Improving the quality of services and access to these services, as well as improving the efficiency of the activity by improving the value for money</w:t>
            </w:r>
          </w:p>
        </w:tc>
        <w:tc>
          <w:tcPr>
            <w:tcW w:w="244" w:type="pct"/>
            <w:tcBorders>
              <w:top w:val="nil"/>
            </w:tcBorders>
          </w:tcPr>
          <w:p w14:paraId="1A1A856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2018–23</w:t>
            </w:r>
          </w:p>
        </w:tc>
        <w:tc>
          <w:tcPr>
            <w:tcW w:w="533" w:type="pct"/>
            <w:tcBorders>
              <w:top w:val="nil"/>
            </w:tcBorders>
          </w:tcPr>
          <w:p w14:paraId="067BC5B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Builds on the previous and successful activity, the Kenya Avocado Programme</w:t>
            </w:r>
          </w:p>
        </w:tc>
        <w:tc>
          <w:tcPr>
            <w:tcW w:w="561" w:type="pct"/>
            <w:tcBorders>
              <w:top w:val="nil"/>
            </w:tcBorders>
          </w:tcPr>
          <w:p w14:paraId="555BB68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Improved knowledge and skills from new training</w:t>
            </w:r>
          </w:p>
        </w:tc>
        <w:tc>
          <w:tcPr>
            <w:tcW w:w="416" w:type="pct"/>
            <w:tcBorders>
              <w:top w:val="nil"/>
            </w:tcBorders>
          </w:tcPr>
          <w:p w14:paraId="3A76E8E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Borders>
              <w:top w:val="nil"/>
            </w:tcBorders>
          </w:tcPr>
          <w:p w14:paraId="7ED0FFA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7.5a</w:t>
            </w:r>
          </w:p>
        </w:tc>
      </w:tr>
      <w:tr w:rsidR="00B71B4E" w:rsidRPr="00BD16B4" w14:paraId="686096A9" w14:textId="77777777" w:rsidTr="00F31129">
        <w:tc>
          <w:tcPr>
            <w:tcW w:w="546" w:type="pct"/>
            <w:tcBorders>
              <w:top w:val="nil"/>
            </w:tcBorders>
          </w:tcPr>
          <w:p w14:paraId="2597C6B0" w14:textId="77777777" w:rsidR="00B71B4E" w:rsidRPr="00BD16B4" w:rsidRDefault="00B71B4E" w:rsidP="00353702">
            <w:pPr>
              <w:keepNext/>
              <w:spacing w:before="40" w:after="40" w:line="220" w:lineRule="atLeast"/>
              <w:jc w:val="left"/>
              <w:rPr>
                <w:rFonts w:cs="Calibri"/>
                <w:sz w:val="16"/>
                <w:szCs w:val="16"/>
                <w:lang w:val="en-NZ"/>
              </w:rPr>
            </w:pPr>
            <w:r w:rsidRPr="00BD16B4">
              <w:rPr>
                <w:rFonts w:cs="Calibri"/>
                <w:sz w:val="16"/>
                <w:szCs w:val="16"/>
                <w:lang w:val="en-NZ"/>
              </w:rPr>
              <w:lastRenderedPageBreak/>
              <w:t>Dairy Transformation Programme</w:t>
            </w:r>
          </w:p>
        </w:tc>
        <w:tc>
          <w:tcPr>
            <w:tcW w:w="571" w:type="pct"/>
            <w:tcBorders>
              <w:top w:val="nil"/>
            </w:tcBorders>
          </w:tcPr>
          <w:p w14:paraId="4AAE023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Improving the productivity and profitability of smallholder dairy farmers by strengthening emerging dairy value chains and improving access to and quality of extension support in Zambia</w:t>
            </w:r>
          </w:p>
        </w:tc>
        <w:tc>
          <w:tcPr>
            <w:tcW w:w="319" w:type="pct"/>
            <w:tcBorders>
              <w:top w:val="nil"/>
            </w:tcBorders>
          </w:tcPr>
          <w:p w14:paraId="1098AFC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Zambia</w:t>
            </w:r>
          </w:p>
        </w:tc>
        <w:tc>
          <w:tcPr>
            <w:tcW w:w="385" w:type="pct"/>
            <w:tcBorders>
              <w:top w:val="nil"/>
            </w:tcBorders>
          </w:tcPr>
          <w:p w14:paraId="4C9B77E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Agriculture</w:t>
            </w:r>
          </w:p>
        </w:tc>
        <w:tc>
          <w:tcPr>
            <w:tcW w:w="385" w:type="pct"/>
            <w:tcBorders>
              <w:top w:val="nil"/>
            </w:tcBorders>
          </w:tcPr>
          <w:p w14:paraId="035384E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611" w:type="pct"/>
            <w:tcBorders>
              <w:top w:val="nil"/>
            </w:tcBorders>
          </w:tcPr>
          <w:p w14:paraId="361E5D4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smallholder farmers to improve their productivity, milk quality and linkage to urban markets</w:t>
            </w:r>
          </w:p>
        </w:tc>
        <w:tc>
          <w:tcPr>
            <w:tcW w:w="244" w:type="pct"/>
            <w:tcBorders>
              <w:top w:val="nil"/>
            </w:tcBorders>
          </w:tcPr>
          <w:p w14:paraId="45EDFC1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2017–20</w:t>
            </w:r>
          </w:p>
        </w:tc>
        <w:tc>
          <w:tcPr>
            <w:tcW w:w="533" w:type="pct"/>
            <w:tcBorders>
              <w:top w:val="nil"/>
            </w:tcBorders>
          </w:tcPr>
          <w:p w14:paraId="55EDA44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Borders>
              <w:top w:val="nil"/>
            </w:tcBorders>
          </w:tcPr>
          <w:p w14:paraId="18C4E78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Improved knowledge and skills from new training</w:t>
            </w:r>
          </w:p>
        </w:tc>
        <w:tc>
          <w:tcPr>
            <w:tcW w:w="416" w:type="pct"/>
            <w:tcBorders>
              <w:top w:val="nil"/>
            </w:tcBorders>
          </w:tcPr>
          <w:p w14:paraId="54F3F44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Borders>
              <w:top w:val="nil"/>
            </w:tcBorders>
          </w:tcPr>
          <w:p w14:paraId="2DEFECE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00BCEBD0" w14:textId="77777777" w:rsidTr="00F31129">
        <w:tc>
          <w:tcPr>
            <w:tcW w:w="546" w:type="pct"/>
            <w:tcBorders>
              <w:top w:val="nil"/>
            </w:tcBorders>
          </w:tcPr>
          <w:p w14:paraId="5C80C07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Caribbean Geothermal Technical Assistance Phase II</w:t>
            </w:r>
          </w:p>
        </w:tc>
        <w:tc>
          <w:tcPr>
            <w:tcW w:w="571" w:type="pct"/>
            <w:tcBorders>
              <w:top w:val="nil"/>
            </w:tcBorders>
          </w:tcPr>
          <w:p w14:paraId="526369D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the development of geothermal energy in the Caribbean</w:t>
            </w:r>
          </w:p>
        </w:tc>
        <w:tc>
          <w:tcPr>
            <w:tcW w:w="319" w:type="pct"/>
            <w:tcBorders>
              <w:top w:val="nil"/>
            </w:tcBorders>
          </w:tcPr>
          <w:p w14:paraId="4AE15A0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Caribbean</w:t>
            </w:r>
          </w:p>
        </w:tc>
        <w:tc>
          <w:tcPr>
            <w:tcW w:w="385" w:type="pct"/>
            <w:tcBorders>
              <w:top w:val="nil"/>
            </w:tcBorders>
          </w:tcPr>
          <w:p w14:paraId="42481D2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Energy</w:t>
            </w:r>
          </w:p>
        </w:tc>
        <w:tc>
          <w:tcPr>
            <w:tcW w:w="385" w:type="pct"/>
            <w:tcBorders>
              <w:top w:val="nil"/>
            </w:tcBorders>
          </w:tcPr>
          <w:p w14:paraId="6393541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Borders>
              <w:top w:val="nil"/>
            </w:tcBorders>
          </w:tcPr>
          <w:p w14:paraId="260E821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 flexible, demand-driven technical assistance facility supporting the development of geothermal energy across eastern Caribbean island states</w:t>
            </w:r>
          </w:p>
        </w:tc>
        <w:tc>
          <w:tcPr>
            <w:tcW w:w="244" w:type="pct"/>
            <w:tcBorders>
              <w:top w:val="nil"/>
            </w:tcBorders>
          </w:tcPr>
          <w:p w14:paraId="15A0ECD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2018–22</w:t>
            </w:r>
          </w:p>
        </w:tc>
        <w:tc>
          <w:tcPr>
            <w:tcW w:w="533" w:type="pct"/>
            <w:tcBorders>
              <w:top w:val="nil"/>
            </w:tcBorders>
          </w:tcPr>
          <w:p w14:paraId="59A9E69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Builds on previous technical assistance towards the development of renewable energy across the region</w:t>
            </w:r>
          </w:p>
        </w:tc>
        <w:tc>
          <w:tcPr>
            <w:tcW w:w="561" w:type="pct"/>
            <w:tcBorders>
              <w:top w:val="nil"/>
            </w:tcBorders>
          </w:tcPr>
          <w:p w14:paraId="65FF1DF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Assisting with technical studies and applications for funding for a programme of drilling for geothermal energy</w:t>
            </w:r>
          </w:p>
        </w:tc>
        <w:tc>
          <w:tcPr>
            <w:tcW w:w="416" w:type="pct"/>
            <w:tcBorders>
              <w:top w:val="nil"/>
            </w:tcBorders>
          </w:tcPr>
          <w:p w14:paraId="072C9B8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Borders>
              <w:top w:val="nil"/>
            </w:tcBorders>
          </w:tcPr>
          <w:p w14:paraId="5556DF2F" w14:textId="77777777" w:rsidR="00B71B4E" w:rsidRPr="00BD16B4" w:rsidRDefault="00B71B4E" w:rsidP="00353702">
            <w:pPr>
              <w:spacing w:before="40" w:after="40" w:line="220" w:lineRule="atLeast"/>
              <w:jc w:val="left"/>
              <w:rPr>
                <w:rFonts w:cs="Calibri"/>
                <w:sz w:val="16"/>
                <w:szCs w:val="16"/>
                <w:highlight w:val="yellow"/>
                <w:lang w:val="en-NZ"/>
              </w:rPr>
            </w:pPr>
            <w:r w:rsidRPr="00BD16B4">
              <w:rPr>
                <w:rFonts w:cs="Calibri"/>
                <w:sz w:val="16"/>
                <w:szCs w:val="16"/>
                <w:lang w:val="en-NZ"/>
              </w:rPr>
              <w:t>Refer to table 7.5</w:t>
            </w:r>
          </w:p>
        </w:tc>
      </w:tr>
      <w:tr w:rsidR="00B71B4E" w:rsidRPr="00BD16B4" w14:paraId="7453AD59" w14:textId="77777777" w:rsidTr="00F31129">
        <w:tc>
          <w:tcPr>
            <w:tcW w:w="546" w:type="pct"/>
          </w:tcPr>
          <w:p w14:paraId="6AAF46F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Energy Efficiency</w:t>
            </w:r>
          </w:p>
        </w:tc>
        <w:tc>
          <w:tcPr>
            <w:tcW w:w="571" w:type="pct"/>
          </w:tcPr>
          <w:p w14:paraId="6141E7E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Nauru’s economic resilience</w:t>
            </w:r>
          </w:p>
        </w:tc>
        <w:tc>
          <w:tcPr>
            <w:tcW w:w="319" w:type="pct"/>
          </w:tcPr>
          <w:p w14:paraId="386AE92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Nauru</w:t>
            </w:r>
          </w:p>
        </w:tc>
        <w:tc>
          <w:tcPr>
            <w:tcW w:w="385" w:type="pct"/>
          </w:tcPr>
          <w:p w14:paraId="7880562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Energy</w:t>
            </w:r>
          </w:p>
        </w:tc>
        <w:tc>
          <w:tcPr>
            <w:tcW w:w="385" w:type="pct"/>
          </w:tcPr>
          <w:p w14:paraId="6E75610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Pr>
          <w:p w14:paraId="2818C53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Increasing energy efficiency and therefore reducing the amount of imported fossil fuel</w:t>
            </w:r>
          </w:p>
        </w:tc>
        <w:tc>
          <w:tcPr>
            <w:tcW w:w="244" w:type="pct"/>
          </w:tcPr>
          <w:p w14:paraId="5953210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2019–24</w:t>
            </w:r>
          </w:p>
        </w:tc>
        <w:tc>
          <w:tcPr>
            <w:tcW w:w="533" w:type="pct"/>
          </w:tcPr>
          <w:p w14:paraId="6526028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7E3B9C6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Established a fund to enable the replacement of inefficient household appliances with efficient appliances</w:t>
            </w:r>
          </w:p>
        </w:tc>
        <w:tc>
          <w:tcPr>
            <w:tcW w:w="416" w:type="pct"/>
          </w:tcPr>
          <w:p w14:paraId="4FEB1CF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09C20C04" w14:textId="77777777" w:rsidR="00B71B4E" w:rsidRPr="00BD16B4" w:rsidRDefault="00B71B4E" w:rsidP="00353702">
            <w:pPr>
              <w:spacing w:before="40" w:after="40" w:line="220" w:lineRule="atLeast"/>
              <w:jc w:val="left"/>
              <w:rPr>
                <w:rFonts w:cs="Calibri"/>
                <w:sz w:val="16"/>
                <w:szCs w:val="16"/>
                <w:highlight w:val="yellow"/>
                <w:lang w:val="en-NZ"/>
              </w:rPr>
            </w:pPr>
            <w:r w:rsidRPr="00BD16B4">
              <w:rPr>
                <w:rFonts w:cs="Calibri"/>
                <w:sz w:val="16"/>
                <w:szCs w:val="16"/>
                <w:lang w:val="en-NZ"/>
              </w:rPr>
              <w:t>Refer to table 7.5</w:t>
            </w:r>
          </w:p>
        </w:tc>
      </w:tr>
      <w:tr w:rsidR="00B71B4E" w:rsidRPr="00BD16B4" w14:paraId="0CBBBA7B" w14:textId="77777777" w:rsidTr="00F31129">
        <w:tc>
          <w:tcPr>
            <w:tcW w:w="546" w:type="pct"/>
          </w:tcPr>
          <w:p w14:paraId="492E1C81" w14:textId="77777777" w:rsidR="00B71B4E" w:rsidRPr="00BD16B4" w:rsidRDefault="00B71B4E" w:rsidP="00353702">
            <w:pPr>
              <w:keepNext/>
              <w:spacing w:before="40" w:after="40" w:line="220" w:lineRule="atLeast"/>
              <w:jc w:val="left"/>
              <w:rPr>
                <w:rFonts w:cs="Calibri"/>
                <w:sz w:val="16"/>
                <w:szCs w:val="16"/>
                <w:lang w:val="en-NZ"/>
              </w:rPr>
            </w:pPr>
            <w:r w:rsidRPr="00BD16B4">
              <w:rPr>
                <w:rFonts w:cs="Calibri"/>
                <w:sz w:val="16"/>
                <w:szCs w:val="16"/>
                <w:lang w:val="en-NZ"/>
              </w:rPr>
              <w:lastRenderedPageBreak/>
              <w:t>Renewable Energy Initiative</w:t>
            </w:r>
          </w:p>
        </w:tc>
        <w:tc>
          <w:tcPr>
            <w:tcW w:w="571" w:type="pct"/>
          </w:tcPr>
          <w:p w14:paraId="09084D5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Increasing renewable energy production, reducing reliance on fossil fuels and increasing equitable access to affordable energy</w:t>
            </w:r>
          </w:p>
        </w:tc>
        <w:tc>
          <w:tcPr>
            <w:tcW w:w="319" w:type="pct"/>
          </w:tcPr>
          <w:p w14:paraId="1E8CD41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Nauru</w:t>
            </w:r>
          </w:p>
        </w:tc>
        <w:tc>
          <w:tcPr>
            <w:tcW w:w="385" w:type="pct"/>
          </w:tcPr>
          <w:p w14:paraId="1BB107A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Energy</w:t>
            </w:r>
          </w:p>
        </w:tc>
        <w:tc>
          <w:tcPr>
            <w:tcW w:w="385" w:type="pct"/>
          </w:tcPr>
          <w:p w14:paraId="717FDD0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Pr>
          <w:p w14:paraId="514F07F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Assisting the Nauru Utilities Corporation to develop a least-cost plan for increasing Nauru’s renewable energy production</w:t>
            </w:r>
          </w:p>
        </w:tc>
        <w:tc>
          <w:tcPr>
            <w:tcW w:w="244" w:type="pct"/>
          </w:tcPr>
          <w:p w14:paraId="5FF1985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2017–22</w:t>
            </w:r>
          </w:p>
        </w:tc>
        <w:tc>
          <w:tcPr>
            <w:tcW w:w="533" w:type="pct"/>
          </w:tcPr>
          <w:p w14:paraId="526F683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16FD57C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Provided a grid-connected 1-megawatt-peak solar photovoltaic system</w:t>
            </w:r>
          </w:p>
        </w:tc>
        <w:tc>
          <w:tcPr>
            <w:tcW w:w="416" w:type="pct"/>
          </w:tcPr>
          <w:p w14:paraId="101C37D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25962950" w14:textId="77777777" w:rsidR="00B71B4E" w:rsidRPr="00BD16B4" w:rsidRDefault="00B71B4E" w:rsidP="00353702">
            <w:pPr>
              <w:spacing w:before="40" w:after="40" w:line="220" w:lineRule="atLeast"/>
              <w:jc w:val="left"/>
              <w:rPr>
                <w:rFonts w:cs="Calibri"/>
                <w:sz w:val="16"/>
                <w:szCs w:val="16"/>
                <w:highlight w:val="yellow"/>
                <w:lang w:val="en-NZ"/>
              </w:rPr>
            </w:pPr>
            <w:r w:rsidRPr="00BD16B4">
              <w:rPr>
                <w:rFonts w:cs="Calibri"/>
                <w:sz w:val="16"/>
                <w:szCs w:val="16"/>
                <w:lang w:val="en-NZ"/>
              </w:rPr>
              <w:t>Refer to table 7.5</w:t>
            </w:r>
          </w:p>
        </w:tc>
      </w:tr>
      <w:tr w:rsidR="00B71B4E" w:rsidRPr="00BD16B4" w14:paraId="07F36F42" w14:textId="77777777" w:rsidTr="00F31129">
        <w:tc>
          <w:tcPr>
            <w:tcW w:w="546" w:type="pct"/>
          </w:tcPr>
          <w:p w14:paraId="18EDC10D" w14:textId="77777777" w:rsidR="00B71B4E" w:rsidRPr="00BD16B4" w:rsidRDefault="00B71B4E" w:rsidP="00353702">
            <w:pPr>
              <w:keepNext/>
              <w:spacing w:before="40" w:after="40" w:line="220" w:lineRule="atLeast"/>
              <w:jc w:val="left"/>
              <w:rPr>
                <w:rFonts w:cs="Calibri"/>
                <w:sz w:val="16"/>
                <w:szCs w:val="16"/>
                <w:lang w:val="en-NZ"/>
              </w:rPr>
            </w:pPr>
            <w:r w:rsidRPr="00BD16B4">
              <w:rPr>
                <w:rFonts w:cs="Calibri"/>
                <w:sz w:val="16"/>
                <w:szCs w:val="16"/>
                <w:lang w:val="en-NZ"/>
              </w:rPr>
              <w:t>Niue Renewable Energy Activity</w:t>
            </w:r>
          </w:p>
        </w:tc>
        <w:tc>
          <w:tcPr>
            <w:tcW w:w="571" w:type="pct"/>
          </w:tcPr>
          <w:p w14:paraId="7413C45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Niue’s goal to increase renewable energy production and reduce reliance on fossil fuels</w:t>
            </w:r>
          </w:p>
        </w:tc>
        <w:tc>
          <w:tcPr>
            <w:tcW w:w="319" w:type="pct"/>
          </w:tcPr>
          <w:p w14:paraId="355F6B4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Niue</w:t>
            </w:r>
          </w:p>
        </w:tc>
        <w:tc>
          <w:tcPr>
            <w:tcW w:w="385" w:type="pct"/>
          </w:tcPr>
          <w:p w14:paraId="28A2AB5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Energy</w:t>
            </w:r>
          </w:p>
        </w:tc>
        <w:tc>
          <w:tcPr>
            <w:tcW w:w="385" w:type="pct"/>
          </w:tcPr>
          <w:p w14:paraId="0394768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Pr>
          <w:p w14:paraId="719338C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Resolving technical issues with the current generation and network distribution, and increasing renewable energy supply</w:t>
            </w:r>
          </w:p>
        </w:tc>
        <w:tc>
          <w:tcPr>
            <w:tcW w:w="244" w:type="pct"/>
          </w:tcPr>
          <w:p w14:paraId="37F55B0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2017–21</w:t>
            </w:r>
          </w:p>
        </w:tc>
        <w:tc>
          <w:tcPr>
            <w:tcW w:w="533" w:type="pct"/>
          </w:tcPr>
          <w:p w14:paraId="5AB1A20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6BA3121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Provided grid-connected photovoltaic panels and battery storage</w:t>
            </w:r>
          </w:p>
        </w:tc>
        <w:tc>
          <w:tcPr>
            <w:tcW w:w="416" w:type="pct"/>
          </w:tcPr>
          <w:p w14:paraId="69F99A6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27A5351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46DC0932" w14:textId="77777777" w:rsidTr="00F31129">
        <w:tc>
          <w:tcPr>
            <w:tcW w:w="546" w:type="pct"/>
          </w:tcPr>
          <w:p w14:paraId="20FFE2A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Energy Initiative</w:t>
            </w:r>
          </w:p>
        </w:tc>
        <w:tc>
          <w:tcPr>
            <w:tcW w:w="571" w:type="pct"/>
          </w:tcPr>
          <w:p w14:paraId="13A7434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Expanding access to affordable, reliable and clean energy</w:t>
            </w:r>
          </w:p>
        </w:tc>
        <w:tc>
          <w:tcPr>
            <w:tcW w:w="319" w:type="pct"/>
          </w:tcPr>
          <w:p w14:paraId="12CC415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Federated States of Micronesia</w:t>
            </w:r>
          </w:p>
        </w:tc>
        <w:tc>
          <w:tcPr>
            <w:tcW w:w="385" w:type="pct"/>
          </w:tcPr>
          <w:p w14:paraId="40F2DAC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Energy</w:t>
            </w:r>
          </w:p>
        </w:tc>
        <w:tc>
          <w:tcPr>
            <w:tcW w:w="385" w:type="pct"/>
          </w:tcPr>
          <w:p w14:paraId="3FBFE50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Pr>
          <w:p w14:paraId="3FC2042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Expanding access to affordable, reliable and clean energy</w:t>
            </w:r>
          </w:p>
        </w:tc>
        <w:tc>
          <w:tcPr>
            <w:tcW w:w="244" w:type="pct"/>
          </w:tcPr>
          <w:p w14:paraId="11251D8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2018–22</w:t>
            </w:r>
          </w:p>
        </w:tc>
        <w:tc>
          <w:tcPr>
            <w:tcW w:w="533" w:type="pct"/>
          </w:tcPr>
          <w:p w14:paraId="57E9F4E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4565BC6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Provided grid-connected photovoltaic panels</w:t>
            </w:r>
          </w:p>
        </w:tc>
        <w:tc>
          <w:tcPr>
            <w:tcW w:w="416" w:type="pct"/>
          </w:tcPr>
          <w:p w14:paraId="6AF99DD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052A67C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46ADA92E" w14:textId="77777777" w:rsidTr="00F31129">
        <w:tc>
          <w:tcPr>
            <w:tcW w:w="546" w:type="pct"/>
          </w:tcPr>
          <w:p w14:paraId="02599D1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Energy Initiative</w:t>
            </w:r>
          </w:p>
        </w:tc>
        <w:tc>
          <w:tcPr>
            <w:tcW w:w="571" w:type="pct"/>
          </w:tcPr>
          <w:p w14:paraId="42EBE0E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the goal of the Government of the Republic of Marshall Islands to expand access to affordable, reliable and clean energy</w:t>
            </w:r>
          </w:p>
        </w:tc>
        <w:tc>
          <w:tcPr>
            <w:tcW w:w="319" w:type="pct"/>
          </w:tcPr>
          <w:p w14:paraId="6E1FF98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Republic of Marshall Islands</w:t>
            </w:r>
          </w:p>
        </w:tc>
        <w:tc>
          <w:tcPr>
            <w:tcW w:w="385" w:type="pct"/>
          </w:tcPr>
          <w:p w14:paraId="5BB57BD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Energy</w:t>
            </w:r>
          </w:p>
        </w:tc>
        <w:tc>
          <w:tcPr>
            <w:tcW w:w="385" w:type="pct"/>
          </w:tcPr>
          <w:p w14:paraId="5C5C332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Pr>
          <w:p w14:paraId="58244A4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the goal of the Government of the Republic of Marshall Islands to expand access to affordable, reliable and clean energy</w:t>
            </w:r>
          </w:p>
        </w:tc>
        <w:tc>
          <w:tcPr>
            <w:tcW w:w="244" w:type="pct"/>
          </w:tcPr>
          <w:p w14:paraId="03421BC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2018–22</w:t>
            </w:r>
          </w:p>
        </w:tc>
        <w:tc>
          <w:tcPr>
            <w:tcW w:w="533" w:type="pct"/>
          </w:tcPr>
          <w:p w14:paraId="1A2F50B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24377C2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Provided grid-connected photovoltaic panels</w:t>
            </w:r>
          </w:p>
        </w:tc>
        <w:tc>
          <w:tcPr>
            <w:tcW w:w="416" w:type="pct"/>
          </w:tcPr>
          <w:p w14:paraId="7FA1E90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0176D3F2" w14:textId="77777777" w:rsidR="00B71B4E" w:rsidRPr="00BD16B4" w:rsidRDefault="00B71B4E" w:rsidP="00353702">
            <w:pPr>
              <w:spacing w:before="40" w:after="40" w:line="220" w:lineRule="atLeast"/>
              <w:jc w:val="left"/>
              <w:rPr>
                <w:rFonts w:cs="Calibri"/>
                <w:sz w:val="16"/>
                <w:szCs w:val="16"/>
                <w:highlight w:val="yellow"/>
                <w:lang w:val="en-NZ"/>
              </w:rPr>
            </w:pPr>
            <w:r w:rsidRPr="00BD16B4">
              <w:rPr>
                <w:rFonts w:cs="Calibri"/>
                <w:sz w:val="16"/>
                <w:szCs w:val="16"/>
                <w:lang w:val="en-NZ"/>
              </w:rPr>
              <w:t>Refer to table 7.5</w:t>
            </w:r>
          </w:p>
        </w:tc>
      </w:tr>
      <w:tr w:rsidR="00B71B4E" w:rsidRPr="00BD16B4" w14:paraId="42CB5978" w14:textId="77777777" w:rsidTr="00F31129">
        <w:tc>
          <w:tcPr>
            <w:tcW w:w="546" w:type="pct"/>
          </w:tcPr>
          <w:p w14:paraId="0F402162" w14:textId="77777777" w:rsidR="00B71B4E" w:rsidRPr="00BD16B4" w:rsidRDefault="00B71B4E" w:rsidP="0087071B">
            <w:pPr>
              <w:keepNext/>
              <w:spacing w:before="40" w:after="40" w:line="220" w:lineRule="atLeast"/>
              <w:jc w:val="left"/>
              <w:rPr>
                <w:rFonts w:cs="Calibri"/>
                <w:sz w:val="16"/>
                <w:szCs w:val="16"/>
                <w:lang w:val="en-NZ"/>
              </w:rPr>
            </w:pPr>
            <w:r w:rsidRPr="00BD16B4">
              <w:rPr>
                <w:rFonts w:cs="Calibri"/>
                <w:sz w:val="16"/>
                <w:szCs w:val="16"/>
                <w:lang w:val="en-NZ"/>
              </w:rPr>
              <w:lastRenderedPageBreak/>
              <w:t>Energy Initiatives</w:t>
            </w:r>
          </w:p>
        </w:tc>
        <w:tc>
          <w:tcPr>
            <w:tcW w:w="571" w:type="pct"/>
          </w:tcPr>
          <w:p w14:paraId="2A4D591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the Government of Palau’s goal to increase renewable energy production, reduce reliance on fossil fuels and increase equitable access to affordable, clean energy</w:t>
            </w:r>
          </w:p>
        </w:tc>
        <w:tc>
          <w:tcPr>
            <w:tcW w:w="319" w:type="pct"/>
          </w:tcPr>
          <w:p w14:paraId="74605CF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Palau</w:t>
            </w:r>
          </w:p>
        </w:tc>
        <w:tc>
          <w:tcPr>
            <w:tcW w:w="385" w:type="pct"/>
          </w:tcPr>
          <w:p w14:paraId="2FDB48B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Energy</w:t>
            </w:r>
          </w:p>
        </w:tc>
        <w:tc>
          <w:tcPr>
            <w:tcW w:w="385" w:type="pct"/>
          </w:tcPr>
          <w:p w14:paraId="0A82992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Pr>
          <w:p w14:paraId="4F398DB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Installing and rehabilitating renewable energy generation systems, and delivering technical assistance and training to integrate renewable generation into the grid</w:t>
            </w:r>
          </w:p>
        </w:tc>
        <w:tc>
          <w:tcPr>
            <w:tcW w:w="244" w:type="pct"/>
          </w:tcPr>
          <w:p w14:paraId="6DFE493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2018–21</w:t>
            </w:r>
          </w:p>
        </w:tc>
        <w:tc>
          <w:tcPr>
            <w:tcW w:w="533" w:type="pct"/>
          </w:tcPr>
          <w:p w14:paraId="4F4BDBD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2C3D693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Provided grid-connected photovoltaic panels and battery storage</w:t>
            </w:r>
          </w:p>
        </w:tc>
        <w:tc>
          <w:tcPr>
            <w:tcW w:w="416" w:type="pct"/>
          </w:tcPr>
          <w:p w14:paraId="4AF995C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63F4D63A" w14:textId="77777777" w:rsidR="00B71B4E" w:rsidRPr="00BD16B4" w:rsidRDefault="00B71B4E" w:rsidP="00353702">
            <w:pPr>
              <w:spacing w:before="40" w:after="40" w:line="220" w:lineRule="atLeast"/>
              <w:jc w:val="left"/>
              <w:rPr>
                <w:rFonts w:cs="Calibri"/>
                <w:bCs/>
                <w:sz w:val="16"/>
                <w:szCs w:val="16"/>
                <w:lang w:val="en-NZ"/>
              </w:rPr>
            </w:pPr>
            <w:r w:rsidRPr="00BD16B4">
              <w:rPr>
                <w:rFonts w:cs="Calibri"/>
                <w:sz w:val="16"/>
                <w:szCs w:val="16"/>
                <w:lang w:val="en-NZ"/>
              </w:rPr>
              <w:t>Refer to table 7.5</w:t>
            </w:r>
          </w:p>
        </w:tc>
      </w:tr>
      <w:tr w:rsidR="00B71B4E" w:rsidRPr="00BD16B4" w14:paraId="5CC8AAA9" w14:textId="77777777" w:rsidTr="00F31129">
        <w:tc>
          <w:tcPr>
            <w:tcW w:w="546" w:type="pct"/>
          </w:tcPr>
          <w:p w14:paraId="0E3427B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Renewable Energy Partnership</w:t>
            </w:r>
          </w:p>
        </w:tc>
        <w:tc>
          <w:tcPr>
            <w:tcW w:w="571" w:type="pct"/>
          </w:tcPr>
          <w:p w14:paraId="01E53AA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efficient, reliable, safe, affordable and sustainable electricity supply for Samoa</w:t>
            </w:r>
          </w:p>
        </w:tc>
        <w:tc>
          <w:tcPr>
            <w:tcW w:w="319" w:type="pct"/>
          </w:tcPr>
          <w:p w14:paraId="5207ECF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Samoa</w:t>
            </w:r>
          </w:p>
        </w:tc>
        <w:tc>
          <w:tcPr>
            <w:tcW w:w="385" w:type="pct"/>
          </w:tcPr>
          <w:p w14:paraId="151A807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Energy</w:t>
            </w:r>
          </w:p>
        </w:tc>
        <w:tc>
          <w:tcPr>
            <w:tcW w:w="385" w:type="pct"/>
          </w:tcPr>
          <w:p w14:paraId="34BF6A0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Pr>
          <w:p w14:paraId="2E53D16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Developing large-scale photovoltaics, small hydro power plant rehabilitation (post-cyclone) and construction, and technical assistance to develop a least-cost investment plan and asset management</w:t>
            </w:r>
          </w:p>
        </w:tc>
        <w:tc>
          <w:tcPr>
            <w:tcW w:w="244" w:type="pct"/>
          </w:tcPr>
          <w:p w14:paraId="609653F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2017–22</w:t>
            </w:r>
          </w:p>
        </w:tc>
        <w:tc>
          <w:tcPr>
            <w:tcW w:w="533" w:type="pct"/>
          </w:tcPr>
          <w:p w14:paraId="021FC68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181011C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Provided grid-connected photovoltaic panels</w:t>
            </w:r>
          </w:p>
        </w:tc>
        <w:tc>
          <w:tcPr>
            <w:tcW w:w="416" w:type="pct"/>
          </w:tcPr>
          <w:p w14:paraId="3B87700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55E21190" w14:textId="77777777" w:rsidR="00B71B4E" w:rsidRPr="00BD16B4" w:rsidRDefault="00B71B4E" w:rsidP="00353702">
            <w:pPr>
              <w:spacing w:before="40" w:after="40" w:line="220" w:lineRule="atLeast"/>
              <w:jc w:val="left"/>
              <w:rPr>
                <w:rFonts w:cs="Calibri"/>
                <w:sz w:val="16"/>
                <w:szCs w:val="16"/>
                <w:highlight w:val="yellow"/>
                <w:lang w:val="en-NZ"/>
              </w:rPr>
            </w:pPr>
            <w:r w:rsidRPr="00BD16B4">
              <w:rPr>
                <w:rFonts w:cs="Calibri"/>
                <w:sz w:val="16"/>
                <w:szCs w:val="16"/>
                <w:lang w:val="en-NZ"/>
              </w:rPr>
              <w:t>Refer to table 7.5a</w:t>
            </w:r>
          </w:p>
        </w:tc>
      </w:tr>
      <w:tr w:rsidR="00B71B4E" w:rsidRPr="00BD16B4" w14:paraId="60CE126F" w14:textId="77777777" w:rsidTr="00F31129">
        <w:tc>
          <w:tcPr>
            <w:tcW w:w="546" w:type="pct"/>
          </w:tcPr>
          <w:p w14:paraId="1947FE1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Renewable Energy Expansion and Renewal</w:t>
            </w:r>
          </w:p>
        </w:tc>
        <w:tc>
          <w:tcPr>
            <w:tcW w:w="571" w:type="pct"/>
          </w:tcPr>
          <w:p w14:paraId="79EAC8DC" w14:textId="77777777" w:rsidR="00B71B4E" w:rsidRPr="00BD16B4" w:rsidRDefault="00B71B4E" w:rsidP="00353702">
            <w:pPr>
              <w:shd w:val="clear" w:color="auto" w:fill="FFFFFF" w:themeFill="background1"/>
              <w:spacing w:before="40" w:after="40" w:line="220" w:lineRule="atLeast"/>
              <w:jc w:val="left"/>
              <w:rPr>
                <w:rFonts w:cs="Calibri"/>
                <w:sz w:val="16"/>
                <w:szCs w:val="16"/>
                <w:lang w:val="en-NZ"/>
              </w:rPr>
            </w:pPr>
            <w:r w:rsidRPr="00BD16B4">
              <w:rPr>
                <w:rFonts w:cs="Calibri"/>
                <w:sz w:val="16"/>
                <w:szCs w:val="16"/>
                <w:lang w:val="en-NZ"/>
              </w:rPr>
              <w:t>Increasing access to reliable clean energy by expanding each village’s solar photovoltaic capacity and improving renewable energy asset management processes</w:t>
            </w:r>
          </w:p>
        </w:tc>
        <w:tc>
          <w:tcPr>
            <w:tcW w:w="319" w:type="pct"/>
          </w:tcPr>
          <w:p w14:paraId="3F28955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Tokelau</w:t>
            </w:r>
          </w:p>
        </w:tc>
        <w:tc>
          <w:tcPr>
            <w:tcW w:w="385" w:type="pct"/>
          </w:tcPr>
          <w:p w14:paraId="12F5CFF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 xml:space="preserve">Energy </w:t>
            </w:r>
          </w:p>
        </w:tc>
        <w:tc>
          <w:tcPr>
            <w:tcW w:w="385" w:type="pct"/>
          </w:tcPr>
          <w:p w14:paraId="7B39359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Pr>
          <w:p w14:paraId="5CCAA8E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Providing co-financing and technical assistance to expand renewable energy infrastructure and replace components at end of life</w:t>
            </w:r>
          </w:p>
        </w:tc>
        <w:tc>
          <w:tcPr>
            <w:tcW w:w="244" w:type="pct"/>
          </w:tcPr>
          <w:p w14:paraId="65BF13F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2019–22</w:t>
            </w:r>
          </w:p>
        </w:tc>
        <w:tc>
          <w:tcPr>
            <w:tcW w:w="533" w:type="pct"/>
          </w:tcPr>
          <w:p w14:paraId="6E6DC75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shd w:val="clear" w:color="auto" w:fill="FFFFFF" w:themeFill="background1"/>
          </w:tcPr>
          <w:p w14:paraId="048541EE" w14:textId="77777777" w:rsidR="00B71B4E" w:rsidRPr="00BD16B4" w:rsidRDefault="00B71B4E" w:rsidP="00353702">
            <w:pPr>
              <w:shd w:val="clear" w:color="auto" w:fill="FFFFFF" w:themeFill="background1"/>
              <w:spacing w:before="40" w:after="40" w:line="220" w:lineRule="atLeast"/>
              <w:jc w:val="left"/>
              <w:rPr>
                <w:rFonts w:cs="Calibri"/>
                <w:sz w:val="16"/>
                <w:szCs w:val="16"/>
                <w:lang w:val="en-NZ"/>
              </w:rPr>
            </w:pPr>
            <w:r w:rsidRPr="00BD16B4">
              <w:rPr>
                <w:rFonts w:cs="Calibri"/>
                <w:sz w:val="16"/>
                <w:szCs w:val="16"/>
                <w:lang w:val="en-NZ"/>
              </w:rPr>
              <w:t>Provided grid-connected photovoltaic panels</w:t>
            </w:r>
          </w:p>
        </w:tc>
        <w:tc>
          <w:tcPr>
            <w:tcW w:w="416" w:type="pct"/>
          </w:tcPr>
          <w:p w14:paraId="073EFB8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164499D4" w14:textId="77777777" w:rsidR="00B71B4E" w:rsidRPr="00BD16B4" w:rsidRDefault="00B71B4E" w:rsidP="00353702">
            <w:pPr>
              <w:spacing w:before="40" w:after="40" w:line="220" w:lineRule="atLeast"/>
              <w:jc w:val="left"/>
              <w:rPr>
                <w:rFonts w:cs="Calibri"/>
                <w:sz w:val="16"/>
                <w:szCs w:val="16"/>
                <w:highlight w:val="yellow"/>
                <w:lang w:val="en-NZ"/>
              </w:rPr>
            </w:pPr>
            <w:r w:rsidRPr="00BD16B4">
              <w:rPr>
                <w:rFonts w:cs="Calibri"/>
                <w:sz w:val="16"/>
                <w:szCs w:val="16"/>
                <w:lang w:val="en-NZ"/>
              </w:rPr>
              <w:t>Refer to table 7.5</w:t>
            </w:r>
          </w:p>
        </w:tc>
      </w:tr>
      <w:tr w:rsidR="00B71B4E" w:rsidRPr="00BD16B4" w14:paraId="6BA12FC0" w14:textId="77777777" w:rsidTr="00F31129">
        <w:tc>
          <w:tcPr>
            <w:tcW w:w="546" w:type="pct"/>
          </w:tcPr>
          <w:p w14:paraId="5CA623E9" w14:textId="77777777" w:rsidR="00B71B4E" w:rsidRPr="00BD16B4" w:rsidRDefault="00B71B4E" w:rsidP="0087071B">
            <w:pPr>
              <w:keepNext/>
              <w:spacing w:before="40" w:after="40" w:line="220" w:lineRule="atLeast"/>
              <w:jc w:val="left"/>
              <w:rPr>
                <w:rFonts w:cs="Calibri"/>
                <w:sz w:val="16"/>
                <w:szCs w:val="16"/>
                <w:lang w:val="en-NZ"/>
              </w:rPr>
            </w:pPr>
            <w:r w:rsidRPr="00BD16B4">
              <w:rPr>
                <w:rFonts w:cs="Calibri"/>
                <w:sz w:val="16"/>
                <w:szCs w:val="16"/>
                <w:lang w:val="en-NZ"/>
              </w:rPr>
              <w:lastRenderedPageBreak/>
              <w:t>Nuku'alofa Network Upgrade Project</w:t>
            </w:r>
          </w:p>
        </w:tc>
        <w:tc>
          <w:tcPr>
            <w:tcW w:w="571" w:type="pct"/>
          </w:tcPr>
          <w:p w14:paraId="6CBC7796" w14:textId="77777777" w:rsidR="00B71B4E" w:rsidRPr="00BD16B4" w:rsidRDefault="00B71B4E" w:rsidP="00353702">
            <w:pPr>
              <w:shd w:val="clear" w:color="auto" w:fill="FFFFFF" w:themeFill="background1"/>
              <w:spacing w:before="40" w:after="40" w:line="220" w:lineRule="atLeast"/>
              <w:jc w:val="left"/>
              <w:rPr>
                <w:rFonts w:cs="Calibri"/>
                <w:sz w:val="16"/>
                <w:szCs w:val="16"/>
                <w:lang w:val="en-NZ"/>
              </w:rPr>
            </w:pPr>
            <w:r w:rsidRPr="00BD16B4">
              <w:rPr>
                <w:rFonts w:cs="Calibri"/>
                <w:sz w:val="16"/>
                <w:szCs w:val="16"/>
                <w:lang w:val="en-NZ"/>
              </w:rPr>
              <w:t>Facilitating economic and social development through the delivery of reliable, resilient and safe electricity</w:t>
            </w:r>
          </w:p>
        </w:tc>
        <w:tc>
          <w:tcPr>
            <w:tcW w:w="319" w:type="pct"/>
          </w:tcPr>
          <w:p w14:paraId="15449C7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Tonga</w:t>
            </w:r>
          </w:p>
        </w:tc>
        <w:tc>
          <w:tcPr>
            <w:tcW w:w="385" w:type="pct"/>
          </w:tcPr>
          <w:p w14:paraId="04328B1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Energy</w:t>
            </w:r>
          </w:p>
        </w:tc>
        <w:tc>
          <w:tcPr>
            <w:tcW w:w="385" w:type="pct"/>
          </w:tcPr>
          <w:p w14:paraId="220DFA3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Pr>
          <w:p w14:paraId="0D45178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Improving the performance and management of the network and reducing the diesel consumption in electricity generation through increased network efficiency</w:t>
            </w:r>
          </w:p>
        </w:tc>
        <w:tc>
          <w:tcPr>
            <w:tcW w:w="244" w:type="pct"/>
          </w:tcPr>
          <w:p w14:paraId="2EA4601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2018–22</w:t>
            </w:r>
          </w:p>
        </w:tc>
        <w:tc>
          <w:tcPr>
            <w:tcW w:w="533" w:type="pct"/>
          </w:tcPr>
          <w:p w14:paraId="73067E0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shd w:val="clear" w:color="auto" w:fill="FFFFFF" w:themeFill="background1"/>
          </w:tcPr>
          <w:p w14:paraId="5B1EF863" w14:textId="77777777" w:rsidR="00B71B4E" w:rsidRPr="00BD16B4" w:rsidRDefault="00B71B4E" w:rsidP="00353702">
            <w:pPr>
              <w:shd w:val="clear" w:color="auto" w:fill="FFFFFF" w:themeFill="background1"/>
              <w:spacing w:before="40" w:after="40" w:line="220" w:lineRule="atLeast"/>
              <w:jc w:val="left"/>
              <w:rPr>
                <w:rFonts w:cs="Calibri"/>
                <w:sz w:val="16"/>
                <w:szCs w:val="16"/>
                <w:lang w:val="en-NZ"/>
              </w:rPr>
            </w:pPr>
            <w:r w:rsidRPr="00BD16B4">
              <w:rPr>
                <w:rFonts w:cs="Calibri"/>
                <w:sz w:val="16"/>
                <w:szCs w:val="16"/>
                <w:lang w:val="en-NZ"/>
              </w:rPr>
              <w:t>Upgraded electricity network materials, equipment and tools</w:t>
            </w:r>
          </w:p>
        </w:tc>
        <w:tc>
          <w:tcPr>
            <w:tcW w:w="416" w:type="pct"/>
          </w:tcPr>
          <w:p w14:paraId="4E2BE06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044BD118" w14:textId="77777777" w:rsidR="00B71B4E" w:rsidRPr="00BD16B4" w:rsidRDefault="00B71B4E" w:rsidP="00353702">
            <w:pPr>
              <w:spacing w:before="40" w:after="40" w:line="220" w:lineRule="atLeast"/>
              <w:jc w:val="left"/>
              <w:rPr>
                <w:rFonts w:cs="Calibri"/>
                <w:sz w:val="16"/>
                <w:szCs w:val="16"/>
                <w:highlight w:val="yellow"/>
                <w:lang w:val="en-NZ"/>
              </w:rPr>
            </w:pPr>
            <w:r w:rsidRPr="00BD16B4">
              <w:rPr>
                <w:rFonts w:cs="Calibri"/>
                <w:sz w:val="16"/>
                <w:szCs w:val="16"/>
                <w:lang w:val="en-NZ"/>
              </w:rPr>
              <w:t>Refer to table 7.5</w:t>
            </w:r>
          </w:p>
        </w:tc>
      </w:tr>
      <w:tr w:rsidR="00B71B4E" w:rsidRPr="00BD16B4" w14:paraId="053E1797" w14:textId="77777777" w:rsidTr="00F31129">
        <w:tc>
          <w:tcPr>
            <w:tcW w:w="546" w:type="pct"/>
          </w:tcPr>
          <w:p w14:paraId="21B1D52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Renewable Energy Programme</w:t>
            </w:r>
          </w:p>
        </w:tc>
        <w:tc>
          <w:tcPr>
            <w:tcW w:w="571" w:type="pct"/>
          </w:tcPr>
          <w:p w14:paraId="3E4A40E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Increasing beneficial and sustainable use of renewable energy resources to support economic and social development</w:t>
            </w:r>
          </w:p>
        </w:tc>
        <w:tc>
          <w:tcPr>
            <w:tcW w:w="319" w:type="pct"/>
          </w:tcPr>
          <w:p w14:paraId="41A8F00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Myanmar</w:t>
            </w:r>
          </w:p>
        </w:tc>
        <w:tc>
          <w:tcPr>
            <w:tcW w:w="385" w:type="pct"/>
          </w:tcPr>
          <w:p w14:paraId="090D1E0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Energy</w:t>
            </w:r>
          </w:p>
        </w:tc>
        <w:tc>
          <w:tcPr>
            <w:tcW w:w="385" w:type="pct"/>
          </w:tcPr>
          <w:p w14:paraId="5745B21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Pr>
          <w:p w14:paraId="27CDAAA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ethnic communities and rural areas to increase renewable energy production and connectivity by undertaking best-practice development of renewable energy resources</w:t>
            </w:r>
          </w:p>
        </w:tc>
        <w:tc>
          <w:tcPr>
            <w:tcW w:w="244" w:type="pct"/>
          </w:tcPr>
          <w:p w14:paraId="1819303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2018–23</w:t>
            </w:r>
          </w:p>
        </w:tc>
        <w:tc>
          <w:tcPr>
            <w:tcW w:w="533" w:type="pct"/>
          </w:tcPr>
          <w:p w14:paraId="195AD25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4C444E3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Providing technical assistance and capacity building, as well as assisting with technical studies and applications for funding</w:t>
            </w:r>
          </w:p>
        </w:tc>
        <w:tc>
          <w:tcPr>
            <w:tcW w:w="416" w:type="pct"/>
          </w:tcPr>
          <w:p w14:paraId="7378679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6D2A279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3BB51A9A" w14:textId="77777777" w:rsidTr="00F31129">
        <w:tc>
          <w:tcPr>
            <w:tcW w:w="546" w:type="pct"/>
          </w:tcPr>
          <w:p w14:paraId="3A1BAAD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Promoting Rural Electrification</w:t>
            </w:r>
          </w:p>
        </w:tc>
        <w:tc>
          <w:tcPr>
            <w:tcW w:w="571" w:type="pct"/>
          </w:tcPr>
          <w:p w14:paraId="5275A94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Enhancing living conditions of the population in rural areas by improving access to clean, affordable and reliable electricity</w:t>
            </w:r>
          </w:p>
        </w:tc>
        <w:tc>
          <w:tcPr>
            <w:tcW w:w="319" w:type="pct"/>
          </w:tcPr>
          <w:p w14:paraId="06ED262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Myanmar</w:t>
            </w:r>
          </w:p>
        </w:tc>
        <w:tc>
          <w:tcPr>
            <w:tcW w:w="385" w:type="pct"/>
          </w:tcPr>
          <w:p w14:paraId="52DE441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Energy</w:t>
            </w:r>
          </w:p>
        </w:tc>
        <w:tc>
          <w:tcPr>
            <w:tcW w:w="385" w:type="pct"/>
          </w:tcPr>
          <w:p w14:paraId="33E72BF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Pr>
          <w:p w14:paraId="468E044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Promoting and encouraging private sector participation and investment in renewable energy mini-grids in rural Myanmar</w:t>
            </w:r>
          </w:p>
        </w:tc>
        <w:tc>
          <w:tcPr>
            <w:tcW w:w="244" w:type="pct"/>
          </w:tcPr>
          <w:p w14:paraId="51482E4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2019–23</w:t>
            </w:r>
          </w:p>
        </w:tc>
        <w:tc>
          <w:tcPr>
            <w:tcW w:w="533" w:type="pct"/>
          </w:tcPr>
          <w:p w14:paraId="592442F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5F2AE50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Provided technical assistance and capacity building to support the implantation of mini-grid projects</w:t>
            </w:r>
          </w:p>
        </w:tc>
        <w:tc>
          <w:tcPr>
            <w:tcW w:w="416" w:type="pct"/>
          </w:tcPr>
          <w:p w14:paraId="0BA07CA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26DB075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7.5b</w:t>
            </w:r>
          </w:p>
        </w:tc>
      </w:tr>
      <w:tr w:rsidR="00B71B4E" w:rsidRPr="00BD16B4" w14:paraId="2DB05012" w14:textId="77777777" w:rsidTr="00F31129">
        <w:tc>
          <w:tcPr>
            <w:tcW w:w="546" w:type="pct"/>
          </w:tcPr>
          <w:p w14:paraId="2DCA4DCE" w14:textId="77777777" w:rsidR="00B71B4E" w:rsidRPr="00BD16B4" w:rsidRDefault="00B71B4E" w:rsidP="00353702">
            <w:pPr>
              <w:keepNext/>
              <w:spacing w:before="40" w:after="40" w:line="220" w:lineRule="atLeast"/>
              <w:jc w:val="left"/>
              <w:rPr>
                <w:rFonts w:cs="Calibri"/>
                <w:sz w:val="16"/>
                <w:szCs w:val="16"/>
                <w:lang w:val="en-NZ"/>
              </w:rPr>
            </w:pPr>
            <w:r w:rsidRPr="00BD16B4">
              <w:rPr>
                <w:rFonts w:cs="Calibri"/>
                <w:sz w:val="16"/>
                <w:szCs w:val="16"/>
                <w:lang w:val="en-NZ"/>
              </w:rPr>
              <w:lastRenderedPageBreak/>
              <w:t>Accelerating Geothermal Development</w:t>
            </w:r>
          </w:p>
        </w:tc>
        <w:tc>
          <w:tcPr>
            <w:tcW w:w="571" w:type="pct"/>
          </w:tcPr>
          <w:p w14:paraId="451792B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Accelerating geothermal development that supports economic and social development, while increasing human capacity and advancing gender, environment and human rights in the sector</w:t>
            </w:r>
          </w:p>
        </w:tc>
        <w:tc>
          <w:tcPr>
            <w:tcW w:w="319" w:type="pct"/>
          </w:tcPr>
          <w:p w14:paraId="3464E0E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Indonesia</w:t>
            </w:r>
          </w:p>
        </w:tc>
        <w:tc>
          <w:tcPr>
            <w:tcW w:w="385" w:type="pct"/>
          </w:tcPr>
          <w:p w14:paraId="1D15F1D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Energy</w:t>
            </w:r>
          </w:p>
        </w:tc>
        <w:tc>
          <w:tcPr>
            <w:tcW w:w="385" w:type="pct"/>
          </w:tcPr>
          <w:p w14:paraId="6DEC783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Pr>
          <w:p w14:paraId="23CD848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geothermal energy development and access to energy by providing technical assistance and capacity building to three partner agencies focused on geothermal development</w:t>
            </w:r>
          </w:p>
        </w:tc>
        <w:tc>
          <w:tcPr>
            <w:tcW w:w="244" w:type="pct"/>
          </w:tcPr>
          <w:p w14:paraId="1E628DF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2018–22</w:t>
            </w:r>
          </w:p>
        </w:tc>
        <w:tc>
          <w:tcPr>
            <w:tcW w:w="533" w:type="pct"/>
          </w:tcPr>
          <w:p w14:paraId="45ECB21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2478FE2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Enabled geothermal electricity generation by providing technical assistance and capacity building</w:t>
            </w:r>
          </w:p>
        </w:tc>
        <w:tc>
          <w:tcPr>
            <w:tcW w:w="416" w:type="pct"/>
          </w:tcPr>
          <w:p w14:paraId="50BA6020" w14:textId="77777777" w:rsidR="00B71B4E" w:rsidRPr="00BD16B4" w:rsidRDefault="00B71B4E" w:rsidP="00353702">
            <w:pPr>
              <w:spacing w:before="40" w:after="40" w:line="220" w:lineRule="atLeast"/>
              <w:jc w:val="left"/>
              <w:rPr>
                <w:rFonts w:cs="Calibri"/>
                <w:sz w:val="16"/>
                <w:szCs w:val="16"/>
                <w:highlight w:val="yellow"/>
                <w:lang w:val="en-NZ"/>
              </w:rPr>
            </w:pPr>
            <w:r w:rsidRPr="00BD16B4">
              <w:rPr>
                <w:rFonts w:cs="Calibri"/>
                <w:sz w:val="16"/>
                <w:szCs w:val="16"/>
                <w:lang w:val="en-NZ"/>
              </w:rPr>
              <w:t>Public</w:t>
            </w:r>
          </w:p>
        </w:tc>
        <w:tc>
          <w:tcPr>
            <w:tcW w:w="429" w:type="pct"/>
          </w:tcPr>
          <w:p w14:paraId="19069C8B" w14:textId="77777777" w:rsidR="00B71B4E" w:rsidRPr="00BD16B4" w:rsidRDefault="00B71B4E" w:rsidP="00353702">
            <w:pPr>
              <w:spacing w:before="40" w:after="40" w:line="220" w:lineRule="atLeast"/>
              <w:jc w:val="left"/>
              <w:rPr>
                <w:rFonts w:cs="Calibri"/>
                <w:sz w:val="16"/>
                <w:szCs w:val="16"/>
                <w:highlight w:val="yellow"/>
                <w:lang w:val="en-NZ"/>
              </w:rPr>
            </w:pPr>
            <w:r w:rsidRPr="00BD16B4">
              <w:rPr>
                <w:rFonts w:cs="Calibri"/>
                <w:sz w:val="16"/>
                <w:szCs w:val="16"/>
                <w:lang w:val="en-NZ"/>
              </w:rPr>
              <w:t>Refer to table 7.5</w:t>
            </w:r>
          </w:p>
        </w:tc>
      </w:tr>
      <w:tr w:rsidR="00B71B4E" w:rsidRPr="00BD16B4" w14:paraId="2B5B144E" w14:textId="77777777" w:rsidTr="00F31129">
        <w:tc>
          <w:tcPr>
            <w:tcW w:w="546" w:type="pct"/>
          </w:tcPr>
          <w:p w14:paraId="5FFC98A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Improving Energy Access in Maluku</w:t>
            </w:r>
          </w:p>
        </w:tc>
        <w:tc>
          <w:tcPr>
            <w:tcW w:w="571" w:type="pct"/>
          </w:tcPr>
          <w:p w14:paraId="78784D6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the uptake of affordable, reliable and renewable energy</w:t>
            </w:r>
          </w:p>
        </w:tc>
        <w:tc>
          <w:tcPr>
            <w:tcW w:w="319" w:type="pct"/>
          </w:tcPr>
          <w:p w14:paraId="3A3D438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Indonesia</w:t>
            </w:r>
          </w:p>
        </w:tc>
        <w:tc>
          <w:tcPr>
            <w:tcW w:w="385" w:type="pct"/>
          </w:tcPr>
          <w:p w14:paraId="5B53676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 xml:space="preserve">Energy </w:t>
            </w:r>
          </w:p>
        </w:tc>
        <w:tc>
          <w:tcPr>
            <w:tcW w:w="385" w:type="pct"/>
          </w:tcPr>
          <w:p w14:paraId="29B3D05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Pr>
          <w:p w14:paraId="724B4F5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the uptake of affordable, reliable and renewable energy in off-grid and grid-connected areas in Seram and surrounding islands in eastern Indonesia</w:t>
            </w:r>
          </w:p>
        </w:tc>
        <w:tc>
          <w:tcPr>
            <w:tcW w:w="244" w:type="pct"/>
          </w:tcPr>
          <w:p w14:paraId="4E30E63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2017–23</w:t>
            </w:r>
          </w:p>
        </w:tc>
        <w:tc>
          <w:tcPr>
            <w:tcW w:w="533" w:type="pct"/>
          </w:tcPr>
          <w:p w14:paraId="44FC019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12D5567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Enabled electricity mini-grids by providing technical assistance and capacity building</w:t>
            </w:r>
          </w:p>
        </w:tc>
        <w:tc>
          <w:tcPr>
            <w:tcW w:w="416" w:type="pct"/>
          </w:tcPr>
          <w:p w14:paraId="1D62186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574FCC3D" w14:textId="77777777" w:rsidR="00B71B4E" w:rsidRPr="00BD16B4" w:rsidRDefault="00B71B4E" w:rsidP="00353702">
            <w:pPr>
              <w:spacing w:before="40" w:after="40" w:line="220" w:lineRule="atLeast"/>
              <w:jc w:val="left"/>
              <w:rPr>
                <w:rFonts w:cs="Calibri"/>
                <w:sz w:val="16"/>
                <w:szCs w:val="16"/>
                <w:highlight w:val="yellow"/>
                <w:lang w:val="en-NZ"/>
              </w:rPr>
            </w:pPr>
            <w:r w:rsidRPr="00BD16B4">
              <w:rPr>
                <w:rFonts w:cs="Calibri"/>
                <w:sz w:val="16"/>
                <w:szCs w:val="16"/>
                <w:lang w:val="en-NZ"/>
              </w:rPr>
              <w:t>Refer to table 7.5</w:t>
            </w:r>
          </w:p>
        </w:tc>
      </w:tr>
      <w:tr w:rsidR="00B71B4E" w:rsidRPr="00BD16B4" w14:paraId="552D6B41" w14:textId="77777777" w:rsidTr="00F31129">
        <w:tc>
          <w:tcPr>
            <w:tcW w:w="546" w:type="pct"/>
          </w:tcPr>
          <w:p w14:paraId="6026CD80" w14:textId="77777777" w:rsidR="00B71B4E" w:rsidRPr="00BD16B4" w:rsidRDefault="00B71B4E" w:rsidP="0087071B">
            <w:pPr>
              <w:spacing w:before="40" w:after="40" w:line="220" w:lineRule="atLeast"/>
              <w:jc w:val="left"/>
              <w:rPr>
                <w:rFonts w:cs="Calibri"/>
                <w:sz w:val="16"/>
                <w:szCs w:val="16"/>
                <w:lang w:val="en-NZ"/>
              </w:rPr>
            </w:pPr>
            <w:r w:rsidRPr="00BD16B4">
              <w:rPr>
                <w:rFonts w:cs="Calibri"/>
                <w:sz w:val="16"/>
                <w:szCs w:val="16"/>
                <w:lang w:val="en-NZ"/>
              </w:rPr>
              <w:t>Supporting Geothermal Sector Training</w:t>
            </w:r>
          </w:p>
        </w:tc>
        <w:tc>
          <w:tcPr>
            <w:tcW w:w="571" w:type="pct"/>
          </w:tcPr>
          <w:p w14:paraId="4BA6872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Increasing workforce skills and capability in geothermal energy</w:t>
            </w:r>
          </w:p>
        </w:tc>
        <w:tc>
          <w:tcPr>
            <w:tcW w:w="319" w:type="pct"/>
          </w:tcPr>
          <w:p w14:paraId="4E9CEE3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Indonesia</w:t>
            </w:r>
          </w:p>
        </w:tc>
        <w:tc>
          <w:tcPr>
            <w:tcW w:w="385" w:type="pct"/>
          </w:tcPr>
          <w:p w14:paraId="756A98A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 xml:space="preserve">Energy </w:t>
            </w:r>
          </w:p>
        </w:tc>
        <w:tc>
          <w:tcPr>
            <w:tcW w:w="385" w:type="pct"/>
          </w:tcPr>
          <w:p w14:paraId="156F2A1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Pr>
          <w:p w14:paraId="64AF86A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Increasing workforce skills and capability in geothermal energy through targeted support covering training for geothermal trades, technicians and plant operators</w:t>
            </w:r>
          </w:p>
        </w:tc>
        <w:tc>
          <w:tcPr>
            <w:tcW w:w="244" w:type="pct"/>
          </w:tcPr>
          <w:p w14:paraId="3CCDB8F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2017–23</w:t>
            </w:r>
          </w:p>
        </w:tc>
        <w:tc>
          <w:tcPr>
            <w:tcW w:w="533" w:type="pct"/>
          </w:tcPr>
          <w:p w14:paraId="3B3EB99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7061F2F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Enabled geothermal energy generation through capacity building</w:t>
            </w:r>
          </w:p>
        </w:tc>
        <w:tc>
          <w:tcPr>
            <w:tcW w:w="416" w:type="pct"/>
          </w:tcPr>
          <w:p w14:paraId="78B2371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67F8F720" w14:textId="77777777" w:rsidR="00B71B4E" w:rsidRPr="00BD16B4" w:rsidRDefault="00B71B4E" w:rsidP="00353702">
            <w:pPr>
              <w:spacing w:before="40" w:after="40" w:line="220" w:lineRule="atLeast"/>
              <w:jc w:val="left"/>
              <w:rPr>
                <w:rFonts w:cs="Calibri"/>
                <w:sz w:val="16"/>
                <w:szCs w:val="16"/>
                <w:highlight w:val="yellow"/>
                <w:lang w:val="en-NZ"/>
              </w:rPr>
            </w:pPr>
            <w:r w:rsidRPr="00BD16B4">
              <w:rPr>
                <w:rFonts w:cs="Calibri"/>
                <w:sz w:val="16"/>
                <w:szCs w:val="16"/>
                <w:lang w:val="en-NZ"/>
              </w:rPr>
              <w:t>Refer to table 7.5</w:t>
            </w:r>
          </w:p>
        </w:tc>
      </w:tr>
      <w:tr w:rsidR="00B71B4E" w:rsidRPr="00BD16B4" w14:paraId="1862ABB3" w14:textId="77777777" w:rsidTr="00F31129">
        <w:tc>
          <w:tcPr>
            <w:tcW w:w="546" w:type="pct"/>
          </w:tcPr>
          <w:p w14:paraId="4A787447" w14:textId="77777777" w:rsidR="00B71B4E" w:rsidRPr="00BD16B4" w:rsidRDefault="00B71B4E" w:rsidP="00353702">
            <w:pPr>
              <w:keepNext/>
              <w:spacing w:before="40" w:after="40" w:line="220" w:lineRule="atLeast"/>
              <w:jc w:val="left"/>
              <w:rPr>
                <w:rFonts w:cs="Calibri"/>
                <w:sz w:val="16"/>
                <w:szCs w:val="16"/>
                <w:lang w:val="en-NZ"/>
              </w:rPr>
            </w:pPr>
            <w:r w:rsidRPr="00BD16B4">
              <w:rPr>
                <w:rFonts w:cs="Calibri"/>
                <w:sz w:val="16"/>
                <w:szCs w:val="16"/>
                <w:lang w:val="en-NZ"/>
              </w:rPr>
              <w:lastRenderedPageBreak/>
              <w:t>Lao PDR and Cambodia Renewable Energy Facility</w:t>
            </w:r>
          </w:p>
        </w:tc>
        <w:tc>
          <w:tcPr>
            <w:tcW w:w="571" w:type="pct"/>
          </w:tcPr>
          <w:p w14:paraId="0A11B59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 xml:space="preserve">Increasing the use of renewable energy resources to support economic and social development </w:t>
            </w:r>
          </w:p>
        </w:tc>
        <w:tc>
          <w:tcPr>
            <w:tcW w:w="319" w:type="pct"/>
          </w:tcPr>
          <w:p w14:paraId="646F331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 xml:space="preserve">Cambodia, Lao PDR </w:t>
            </w:r>
          </w:p>
        </w:tc>
        <w:tc>
          <w:tcPr>
            <w:tcW w:w="385" w:type="pct"/>
          </w:tcPr>
          <w:p w14:paraId="190915F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Energy</w:t>
            </w:r>
          </w:p>
        </w:tc>
        <w:tc>
          <w:tcPr>
            <w:tcW w:w="385" w:type="pct"/>
          </w:tcPr>
          <w:p w14:paraId="0C9D49B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Pr>
          <w:p w14:paraId="09213A1D" w14:textId="77777777" w:rsidR="00B71B4E" w:rsidRPr="00BD16B4" w:rsidRDefault="00B71B4E" w:rsidP="00353702">
            <w:pPr>
              <w:spacing w:before="40" w:after="40" w:line="220" w:lineRule="atLeast"/>
              <w:jc w:val="left"/>
              <w:rPr>
                <w:rFonts w:cs="Calibri"/>
                <w:iCs/>
                <w:sz w:val="16"/>
                <w:szCs w:val="16"/>
                <w:lang w:val="en-NZ"/>
              </w:rPr>
            </w:pPr>
            <w:r w:rsidRPr="00BD16B4">
              <w:rPr>
                <w:rFonts w:cs="Calibri"/>
                <w:iCs/>
                <w:sz w:val="16"/>
                <w:szCs w:val="16"/>
                <w:lang w:val="en-NZ"/>
              </w:rPr>
              <w:t>Providing technical assistance to increase the use of renewable energy resources to support economic and social development in Lao PDR</w:t>
            </w:r>
          </w:p>
        </w:tc>
        <w:tc>
          <w:tcPr>
            <w:tcW w:w="244" w:type="pct"/>
          </w:tcPr>
          <w:p w14:paraId="5ABF151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2019–23</w:t>
            </w:r>
          </w:p>
        </w:tc>
        <w:tc>
          <w:tcPr>
            <w:tcW w:w="533" w:type="pct"/>
          </w:tcPr>
          <w:p w14:paraId="6F991A2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5F8D1B3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Transferred technology through technical assistance and capacity building</w:t>
            </w:r>
          </w:p>
        </w:tc>
        <w:tc>
          <w:tcPr>
            <w:tcW w:w="416" w:type="pct"/>
          </w:tcPr>
          <w:p w14:paraId="435AE1AE" w14:textId="77777777" w:rsidR="00B71B4E" w:rsidRPr="00BD16B4" w:rsidRDefault="00B71B4E" w:rsidP="00353702">
            <w:pPr>
              <w:spacing w:before="40" w:after="40" w:line="220" w:lineRule="atLeast"/>
              <w:jc w:val="left"/>
              <w:rPr>
                <w:rFonts w:cs="Calibri"/>
                <w:sz w:val="16"/>
                <w:szCs w:val="16"/>
                <w:highlight w:val="yellow"/>
                <w:lang w:val="en-NZ"/>
              </w:rPr>
            </w:pPr>
            <w:r w:rsidRPr="00BD16B4">
              <w:rPr>
                <w:rFonts w:cs="Calibri"/>
                <w:sz w:val="16"/>
                <w:szCs w:val="16"/>
                <w:lang w:val="en-NZ"/>
              </w:rPr>
              <w:t>Public</w:t>
            </w:r>
          </w:p>
        </w:tc>
        <w:tc>
          <w:tcPr>
            <w:tcW w:w="429" w:type="pct"/>
          </w:tcPr>
          <w:p w14:paraId="1090A6F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52EB265C" w14:textId="77777777" w:rsidTr="00F31129">
        <w:tc>
          <w:tcPr>
            <w:tcW w:w="546" w:type="pct"/>
          </w:tcPr>
          <w:p w14:paraId="1C61B49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 for Realisation of Geothermal Potential</w:t>
            </w:r>
          </w:p>
        </w:tc>
        <w:tc>
          <w:tcPr>
            <w:tcW w:w="571" w:type="pct"/>
          </w:tcPr>
          <w:p w14:paraId="6B58DD8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Undertaking technical studies allowing the Government of Comoros to attract funding for the next stages of realising its geothermal potential</w:t>
            </w:r>
          </w:p>
        </w:tc>
        <w:tc>
          <w:tcPr>
            <w:tcW w:w="319" w:type="pct"/>
          </w:tcPr>
          <w:p w14:paraId="4B37E02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Comoros</w:t>
            </w:r>
          </w:p>
        </w:tc>
        <w:tc>
          <w:tcPr>
            <w:tcW w:w="385" w:type="pct"/>
          </w:tcPr>
          <w:p w14:paraId="39A0380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 xml:space="preserve">Energy </w:t>
            </w:r>
          </w:p>
        </w:tc>
        <w:tc>
          <w:tcPr>
            <w:tcW w:w="385" w:type="pct"/>
          </w:tcPr>
          <w:p w14:paraId="52922CE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Pr>
          <w:p w14:paraId="4CD24568" w14:textId="77777777" w:rsidR="00B71B4E" w:rsidRPr="00BD16B4" w:rsidRDefault="00B71B4E" w:rsidP="00353702">
            <w:pPr>
              <w:spacing w:before="40" w:after="40" w:line="220" w:lineRule="atLeast"/>
              <w:jc w:val="left"/>
              <w:rPr>
                <w:rFonts w:cs="Calibri"/>
                <w:iCs/>
                <w:sz w:val="16"/>
                <w:szCs w:val="16"/>
                <w:lang w:val="en-NZ"/>
              </w:rPr>
            </w:pPr>
            <w:r w:rsidRPr="00BD16B4">
              <w:rPr>
                <w:rFonts w:cs="Calibri"/>
                <w:iCs/>
                <w:sz w:val="16"/>
                <w:szCs w:val="16"/>
                <w:lang w:val="en-NZ"/>
              </w:rPr>
              <w:t>Assisting the development of the potential geothermal resource on Comoros for electric power generation</w:t>
            </w:r>
          </w:p>
        </w:tc>
        <w:tc>
          <w:tcPr>
            <w:tcW w:w="244" w:type="pct"/>
          </w:tcPr>
          <w:p w14:paraId="39BD814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2017–20</w:t>
            </w:r>
          </w:p>
        </w:tc>
        <w:tc>
          <w:tcPr>
            <w:tcW w:w="533" w:type="pct"/>
          </w:tcPr>
          <w:p w14:paraId="3616044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05AEA5B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Provided technical assistance and capacity building</w:t>
            </w:r>
          </w:p>
        </w:tc>
        <w:tc>
          <w:tcPr>
            <w:tcW w:w="416" w:type="pct"/>
          </w:tcPr>
          <w:p w14:paraId="1818C88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09D1DBD5" w14:textId="77777777" w:rsidR="00B71B4E" w:rsidRPr="00BD16B4" w:rsidRDefault="00B71B4E" w:rsidP="00353702">
            <w:pPr>
              <w:spacing w:before="40" w:after="40" w:line="220" w:lineRule="atLeast"/>
              <w:jc w:val="left"/>
              <w:rPr>
                <w:rFonts w:cs="Calibri"/>
                <w:sz w:val="16"/>
                <w:szCs w:val="16"/>
                <w:highlight w:val="yellow"/>
                <w:lang w:val="en-NZ"/>
              </w:rPr>
            </w:pPr>
            <w:r w:rsidRPr="00BD16B4">
              <w:rPr>
                <w:rFonts w:cs="Calibri"/>
                <w:sz w:val="16"/>
                <w:szCs w:val="16"/>
                <w:lang w:val="en-NZ"/>
              </w:rPr>
              <w:t>Refer to table 7.5a</w:t>
            </w:r>
          </w:p>
        </w:tc>
      </w:tr>
      <w:tr w:rsidR="00B71B4E" w:rsidRPr="00BD16B4" w14:paraId="561D05ED" w14:textId="77777777" w:rsidTr="00F31129">
        <w:tc>
          <w:tcPr>
            <w:tcW w:w="546" w:type="pct"/>
          </w:tcPr>
          <w:p w14:paraId="222B892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Africa Geothermal Assistance Facility</w:t>
            </w:r>
          </w:p>
        </w:tc>
        <w:tc>
          <w:tcPr>
            <w:tcW w:w="571" w:type="pct"/>
          </w:tcPr>
          <w:p w14:paraId="7B39DFC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Reducing reliance on fossil fuels and expanding access to affordable, reliable and clean energy in East Africa through technical assistance for geothermal energy development and distribution</w:t>
            </w:r>
          </w:p>
        </w:tc>
        <w:tc>
          <w:tcPr>
            <w:tcW w:w="319" w:type="pct"/>
          </w:tcPr>
          <w:p w14:paraId="7649E49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Africa</w:t>
            </w:r>
          </w:p>
        </w:tc>
        <w:tc>
          <w:tcPr>
            <w:tcW w:w="385" w:type="pct"/>
          </w:tcPr>
          <w:p w14:paraId="0BD3BA9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Energy</w:t>
            </w:r>
          </w:p>
        </w:tc>
        <w:tc>
          <w:tcPr>
            <w:tcW w:w="385" w:type="pct"/>
          </w:tcPr>
          <w:p w14:paraId="54AA1A2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Mitigation</w:t>
            </w:r>
          </w:p>
        </w:tc>
        <w:tc>
          <w:tcPr>
            <w:tcW w:w="611" w:type="pct"/>
          </w:tcPr>
          <w:p w14:paraId="1CBB430F" w14:textId="77777777" w:rsidR="00B71B4E" w:rsidRPr="00BD16B4" w:rsidRDefault="00B71B4E" w:rsidP="00353702">
            <w:pPr>
              <w:spacing w:before="40" w:after="40" w:line="220" w:lineRule="atLeast"/>
              <w:jc w:val="left"/>
              <w:rPr>
                <w:rFonts w:cs="Calibri"/>
                <w:iCs/>
                <w:sz w:val="16"/>
                <w:szCs w:val="16"/>
                <w:lang w:val="en-NZ"/>
              </w:rPr>
            </w:pPr>
            <w:r w:rsidRPr="00BD16B4">
              <w:rPr>
                <w:rFonts w:cs="Calibri"/>
                <w:iCs/>
                <w:sz w:val="16"/>
                <w:szCs w:val="16"/>
                <w:lang w:val="en-NZ"/>
              </w:rPr>
              <w:t>Establishing a Geothermal Facility to support the development of the geothermal sector in 11 East African countries</w:t>
            </w:r>
          </w:p>
        </w:tc>
        <w:tc>
          <w:tcPr>
            <w:tcW w:w="244" w:type="pct"/>
          </w:tcPr>
          <w:p w14:paraId="570862F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2017–24</w:t>
            </w:r>
          </w:p>
        </w:tc>
        <w:tc>
          <w:tcPr>
            <w:tcW w:w="533" w:type="pct"/>
          </w:tcPr>
          <w:p w14:paraId="77C8EF9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729BB86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Assisted with technical studies and applications for funding for a programme of drilling for geothermal energy</w:t>
            </w:r>
          </w:p>
        </w:tc>
        <w:tc>
          <w:tcPr>
            <w:tcW w:w="416" w:type="pct"/>
          </w:tcPr>
          <w:p w14:paraId="5AFF790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15D2E16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589CFBEC" w14:textId="77777777" w:rsidTr="00F31129">
        <w:tc>
          <w:tcPr>
            <w:tcW w:w="546" w:type="pct"/>
          </w:tcPr>
          <w:p w14:paraId="32793E1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Infrastructure Trust Fund</w:t>
            </w:r>
          </w:p>
        </w:tc>
        <w:tc>
          <w:tcPr>
            <w:tcW w:w="571" w:type="pct"/>
          </w:tcPr>
          <w:p w14:paraId="704F24B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 xml:space="preserve">Supporting the Cook Islands to resource construction of resilient public infrastructure and </w:t>
            </w:r>
            <w:r w:rsidRPr="00BD16B4">
              <w:rPr>
                <w:rFonts w:cs="Calibri"/>
                <w:sz w:val="16"/>
                <w:szCs w:val="16"/>
                <w:lang w:val="en-NZ"/>
              </w:rPr>
              <w:lastRenderedPageBreak/>
              <w:t>strengthen infrastructure sector capability</w:t>
            </w:r>
          </w:p>
        </w:tc>
        <w:tc>
          <w:tcPr>
            <w:tcW w:w="319" w:type="pct"/>
          </w:tcPr>
          <w:p w14:paraId="2741253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lastRenderedPageBreak/>
              <w:t>Cook Islands</w:t>
            </w:r>
          </w:p>
        </w:tc>
        <w:tc>
          <w:tcPr>
            <w:tcW w:w="385" w:type="pct"/>
          </w:tcPr>
          <w:p w14:paraId="093DEF5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Multi-sector</w:t>
            </w:r>
          </w:p>
        </w:tc>
        <w:tc>
          <w:tcPr>
            <w:tcW w:w="385" w:type="pct"/>
          </w:tcPr>
          <w:p w14:paraId="2813010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611" w:type="pct"/>
          </w:tcPr>
          <w:p w14:paraId="7C1BDE2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 xml:space="preserve">Financing the construction of high-quality public infrastructure in the Cook Islands and </w:t>
            </w:r>
            <w:r w:rsidRPr="00BD16B4">
              <w:rPr>
                <w:rFonts w:cs="Calibri"/>
                <w:sz w:val="16"/>
                <w:szCs w:val="16"/>
                <w:lang w:val="en-NZ"/>
              </w:rPr>
              <w:lastRenderedPageBreak/>
              <w:t>supporting infrastructure sector capacity building, by contributing to an Infrastructure Trust Fund</w:t>
            </w:r>
          </w:p>
        </w:tc>
        <w:tc>
          <w:tcPr>
            <w:tcW w:w="244" w:type="pct"/>
          </w:tcPr>
          <w:p w14:paraId="54278D1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lastRenderedPageBreak/>
              <w:t>2019–34</w:t>
            </w:r>
          </w:p>
        </w:tc>
        <w:tc>
          <w:tcPr>
            <w:tcW w:w="533" w:type="pct"/>
          </w:tcPr>
          <w:p w14:paraId="0C5C60E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 xml:space="preserve">Country ownership, alignment with country strategies and priorities, donor harmonisation, </w:t>
            </w:r>
            <w:r w:rsidRPr="00BD16B4">
              <w:rPr>
                <w:rFonts w:cs="Calibri"/>
                <w:sz w:val="16"/>
                <w:szCs w:val="16"/>
                <w:lang w:val="en-NZ"/>
              </w:rPr>
              <w:lastRenderedPageBreak/>
              <w:t>results focused, transparency</w:t>
            </w:r>
          </w:p>
        </w:tc>
        <w:tc>
          <w:tcPr>
            <w:tcW w:w="561" w:type="pct"/>
          </w:tcPr>
          <w:p w14:paraId="4EFF5F6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lastRenderedPageBreak/>
              <w:t xml:space="preserve">Assisting with technical studies and the procurement of appliances that will enable slab </w:t>
            </w:r>
            <w:r w:rsidRPr="00BD16B4">
              <w:rPr>
                <w:rFonts w:cs="Calibri"/>
                <w:sz w:val="16"/>
                <w:szCs w:val="16"/>
                <w:lang w:val="en-NZ"/>
              </w:rPr>
              <w:lastRenderedPageBreak/>
              <w:t>replacement at Rarotonga International Airport</w:t>
            </w:r>
          </w:p>
        </w:tc>
        <w:tc>
          <w:tcPr>
            <w:tcW w:w="416" w:type="pct"/>
          </w:tcPr>
          <w:p w14:paraId="35FCD80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lastRenderedPageBreak/>
              <w:t>Public</w:t>
            </w:r>
          </w:p>
        </w:tc>
        <w:tc>
          <w:tcPr>
            <w:tcW w:w="429" w:type="pct"/>
          </w:tcPr>
          <w:p w14:paraId="3FF9437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7.5a</w:t>
            </w:r>
          </w:p>
        </w:tc>
      </w:tr>
      <w:tr w:rsidR="00B71B4E" w:rsidRPr="00BD16B4" w14:paraId="5C25A3FF" w14:textId="77777777" w:rsidTr="00F31129">
        <w:tc>
          <w:tcPr>
            <w:tcW w:w="546" w:type="pct"/>
          </w:tcPr>
          <w:p w14:paraId="19797D9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Strengthening Water Security in Selected Pacific Island Countries</w:t>
            </w:r>
          </w:p>
        </w:tc>
        <w:tc>
          <w:tcPr>
            <w:tcW w:w="571" w:type="pct"/>
          </w:tcPr>
          <w:p w14:paraId="64D35F5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vulnerable and isolated communities in drought-prone Pacific atolls to gain sustained access to safe and reliable drinking water, including during periods of drought</w:t>
            </w:r>
          </w:p>
        </w:tc>
        <w:tc>
          <w:tcPr>
            <w:tcW w:w="319" w:type="pct"/>
          </w:tcPr>
          <w:p w14:paraId="1BFE99B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Pacific</w:t>
            </w:r>
          </w:p>
        </w:tc>
        <w:tc>
          <w:tcPr>
            <w:tcW w:w="385" w:type="pct"/>
          </w:tcPr>
          <w:p w14:paraId="115C42B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Water and sanitation</w:t>
            </w:r>
          </w:p>
        </w:tc>
        <w:tc>
          <w:tcPr>
            <w:tcW w:w="385" w:type="pct"/>
          </w:tcPr>
          <w:p w14:paraId="1B7877F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611" w:type="pct"/>
          </w:tcPr>
          <w:p w14:paraId="77A01B5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Building resilience by helping vulnerable Pacific Island countries to access safe and reliable drinking water supplies, and reduce their risk of water shortage</w:t>
            </w:r>
          </w:p>
        </w:tc>
        <w:tc>
          <w:tcPr>
            <w:tcW w:w="244" w:type="pct"/>
          </w:tcPr>
          <w:p w14:paraId="5446EC0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2017–22</w:t>
            </w:r>
          </w:p>
        </w:tc>
        <w:tc>
          <w:tcPr>
            <w:tcW w:w="533" w:type="pct"/>
          </w:tcPr>
          <w:p w14:paraId="3FD953D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0F72E2C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Developing practical tools and procedures to improve awareness, build capacity, reduce vulnerability and maximise use of available water resources</w:t>
            </w:r>
          </w:p>
        </w:tc>
        <w:tc>
          <w:tcPr>
            <w:tcW w:w="416" w:type="pct"/>
          </w:tcPr>
          <w:p w14:paraId="4573E86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0AA7A30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7.5a</w:t>
            </w:r>
          </w:p>
        </w:tc>
      </w:tr>
      <w:tr w:rsidR="00B71B4E" w:rsidRPr="00BD16B4" w14:paraId="66BE55BF" w14:textId="77777777" w:rsidTr="00F31129">
        <w:tc>
          <w:tcPr>
            <w:tcW w:w="546" w:type="pct"/>
          </w:tcPr>
          <w:p w14:paraId="2B115BC8" w14:textId="77777777" w:rsidR="00B71B4E" w:rsidRPr="00BD16B4" w:rsidRDefault="00B71B4E" w:rsidP="00353702">
            <w:pPr>
              <w:keepNext/>
              <w:spacing w:before="40" w:after="40" w:line="220" w:lineRule="atLeast"/>
              <w:jc w:val="left"/>
              <w:rPr>
                <w:rFonts w:cs="Calibri"/>
                <w:sz w:val="16"/>
                <w:szCs w:val="16"/>
                <w:lang w:val="en-NZ"/>
              </w:rPr>
            </w:pPr>
            <w:r w:rsidRPr="00BD16B4">
              <w:rPr>
                <w:rFonts w:cs="Calibri"/>
                <w:sz w:val="16"/>
                <w:szCs w:val="16"/>
                <w:lang w:val="en-NZ"/>
              </w:rPr>
              <w:t>Tropical Cyclone Winston: Recovery Package</w:t>
            </w:r>
          </w:p>
        </w:tc>
        <w:tc>
          <w:tcPr>
            <w:tcW w:w="571" w:type="pct"/>
          </w:tcPr>
          <w:p w14:paraId="53FAE1F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Providing a package of recovery support to Fiji following Tropical Cyclone Winston</w:t>
            </w:r>
          </w:p>
        </w:tc>
        <w:tc>
          <w:tcPr>
            <w:tcW w:w="319" w:type="pct"/>
          </w:tcPr>
          <w:p w14:paraId="5ABAD60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Fiji</w:t>
            </w:r>
          </w:p>
        </w:tc>
        <w:tc>
          <w:tcPr>
            <w:tcW w:w="385" w:type="pct"/>
          </w:tcPr>
          <w:p w14:paraId="4CB1D7E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Humanitarian</w:t>
            </w:r>
          </w:p>
        </w:tc>
        <w:tc>
          <w:tcPr>
            <w:tcW w:w="385" w:type="pct"/>
          </w:tcPr>
          <w:p w14:paraId="5DB5BC4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611" w:type="pct"/>
          </w:tcPr>
          <w:p w14:paraId="20058C9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Providing a recovery package for Fiji in response to Tropical Cyclone Winston, which destroyed housing and crucial infrastructure</w:t>
            </w:r>
          </w:p>
        </w:tc>
        <w:tc>
          <w:tcPr>
            <w:tcW w:w="244" w:type="pct"/>
          </w:tcPr>
          <w:p w14:paraId="0FEF8D0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2017–22</w:t>
            </w:r>
          </w:p>
        </w:tc>
        <w:tc>
          <w:tcPr>
            <w:tcW w:w="533" w:type="pct"/>
          </w:tcPr>
          <w:p w14:paraId="7401BE9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01F8EB5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Delivered training programmes and construction techniques that improve resilience to cyclones</w:t>
            </w:r>
          </w:p>
        </w:tc>
        <w:tc>
          <w:tcPr>
            <w:tcW w:w="416" w:type="pct"/>
          </w:tcPr>
          <w:p w14:paraId="456A203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13636249" w14:textId="77777777" w:rsidR="00B71B4E" w:rsidRPr="00BD16B4" w:rsidRDefault="00B71B4E" w:rsidP="00353702">
            <w:pPr>
              <w:spacing w:before="40" w:after="40" w:line="220" w:lineRule="atLeast"/>
              <w:jc w:val="left"/>
              <w:rPr>
                <w:rFonts w:cs="Calibri"/>
                <w:sz w:val="16"/>
                <w:szCs w:val="16"/>
                <w:highlight w:val="yellow"/>
                <w:lang w:val="en-NZ"/>
              </w:rPr>
            </w:pPr>
            <w:r w:rsidRPr="00BD16B4">
              <w:rPr>
                <w:rFonts w:cs="Calibri"/>
                <w:sz w:val="16"/>
                <w:szCs w:val="16"/>
                <w:lang w:val="en-NZ"/>
              </w:rPr>
              <w:t>Refer to table 7.5a</w:t>
            </w:r>
          </w:p>
        </w:tc>
      </w:tr>
      <w:tr w:rsidR="00B71B4E" w:rsidRPr="00BD16B4" w14:paraId="52CEC444" w14:textId="77777777" w:rsidTr="00F31129">
        <w:tc>
          <w:tcPr>
            <w:tcW w:w="546" w:type="pct"/>
          </w:tcPr>
          <w:p w14:paraId="2EEC685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Habitat Training for Disaster Risk Reduction in Fiji</w:t>
            </w:r>
          </w:p>
        </w:tc>
        <w:tc>
          <w:tcPr>
            <w:tcW w:w="571" w:type="pct"/>
          </w:tcPr>
          <w:p w14:paraId="3E6A9C6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Increasing resilience to disasters of vulnerable Fijian communities through shelter-specific training in disaster risk reduction using community-led safe shelter awareness</w:t>
            </w:r>
          </w:p>
        </w:tc>
        <w:tc>
          <w:tcPr>
            <w:tcW w:w="319" w:type="pct"/>
          </w:tcPr>
          <w:p w14:paraId="1AFFF9D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Fiji</w:t>
            </w:r>
          </w:p>
        </w:tc>
        <w:tc>
          <w:tcPr>
            <w:tcW w:w="385" w:type="pct"/>
          </w:tcPr>
          <w:p w14:paraId="692134D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Humanitarian</w:t>
            </w:r>
          </w:p>
        </w:tc>
        <w:tc>
          <w:tcPr>
            <w:tcW w:w="385" w:type="pct"/>
          </w:tcPr>
          <w:p w14:paraId="39F5776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611" w:type="pct"/>
          </w:tcPr>
          <w:p w14:paraId="18F3371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Building on Habitat for Humanity New Zealand training in resilient building methods for disaster risk reduction and sustainability</w:t>
            </w:r>
          </w:p>
        </w:tc>
        <w:tc>
          <w:tcPr>
            <w:tcW w:w="244" w:type="pct"/>
          </w:tcPr>
          <w:p w14:paraId="459614F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2017–22</w:t>
            </w:r>
          </w:p>
          <w:p w14:paraId="29AE77B5" w14:textId="77777777" w:rsidR="00B71B4E" w:rsidRPr="00BD16B4" w:rsidRDefault="00B71B4E" w:rsidP="00353702">
            <w:pPr>
              <w:spacing w:before="40" w:after="40" w:line="220" w:lineRule="atLeast"/>
              <w:jc w:val="left"/>
              <w:rPr>
                <w:rFonts w:cs="Calibri"/>
                <w:sz w:val="16"/>
                <w:szCs w:val="16"/>
                <w:lang w:val="en-NZ"/>
              </w:rPr>
            </w:pPr>
          </w:p>
        </w:tc>
        <w:tc>
          <w:tcPr>
            <w:tcW w:w="533" w:type="pct"/>
          </w:tcPr>
          <w:p w14:paraId="253334E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3880FC6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Building using and training in resilient building methods for disaster risk reduction and sustainability</w:t>
            </w:r>
          </w:p>
        </w:tc>
        <w:tc>
          <w:tcPr>
            <w:tcW w:w="416" w:type="pct"/>
          </w:tcPr>
          <w:p w14:paraId="475EB7C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17BD436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3CABCCDB" w14:textId="77777777" w:rsidTr="00F31129">
        <w:tc>
          <w:tcPr>
            <w:tcW w:w="546" w:type="pct"/>
          </w:tcPr>
          <w:p w14:paraId="614C5159" w14:textId="77777777" w:rsidR="00B71B4E" w:rsidRPr="00BD16B4" w:rsidRDefault="00B71B4E" w:rsidP="0087071B">
            <w:pPr>
              <w:keepNext/>
              <w:spacing w:before="40" w:after="40" w:line="220" w:lineRule="atLeast"/>
              <w:jc w:val="left"/>
              <w:rPr>
                <w:rFonts w:cs="Calibri"/>
                <w:sz w:val="16"/>
                <w:szCs w:val="16"/>
                <w:lang w:val="en-NZ"/>
              </w:rPr>
            </w:pPr>
            <w:r w:rsidRPr="00BD16B4">
              <w:rPr>
                <w:rFonts w:cs="Calibri"/>
                <w:sz w:val="16"/>
                <w:szCs w:val="16"/>
                <w:lang w:val="en-NZ"/>
              </w:rPr>
              <w:lastRenderedPageBreak/>
              <w:t>Local Government Technical Assistance Facility 2017–22</w:t>
            </w:r>
          </w:p>
        </w:tc>
        <w:tc>
          <w:tcPr>
            <w:tcW w:w="571" w:type="pct"/>
          </w:tcPr>
          <w:p w14:paraId="47D9ABB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Improving service delivery and infrastructure at the local level</w:t>
            </w:r>
          </w:p>
        </w:tc>
        <w:tc>
          <w:tcPr>
            <w:tcW w:w="319" w:type="pct"/>
          </w:tcPr>
          <w:p w14:paraId="049D199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Pacific</w:t>
            </w:r>
          </w:p>
        </w:tc>
        <w:tc>
          <w:tcPr>
            <w:tcW w:w="385" w:type="pct"/>
          </w:tcPr>
          <w:p w14:paraId="19EAAF3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 xml:space="preserve">Adaptation </w:t>
            </w:r>
          </w:p>
        </w:tc>
        <w:tc>
          <w:tcPr>
            <w:tcW w:w="385" w:type="pct"/>
          </w:tcPr>
          <w:p w14:paraId="5B5074C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Government and civil society</w:t>
            </w:r>
          </w:p>
        </w:tc>
        <w:tc>
          <w:tcPr>
            <w:tcW w:w="611" w:type="pct"/>
          </w:tcPr>
          <w:p w14:paraId="389D893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New Zealand local government employees to work with their equivalents in Pacific Island countries to share technical knowledge and capability</w:t>
            </w:r>
          </w:p>
        </w:tc>
        <w:tc>
          <w:tcPr>
            <w:tcW w:w="244" w:type="pct"/>
          </w:tcPr>
          <w:p w14:paraId="0EA57A9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2017–23</w:t>
            </w:r>
          </w:p>
        </w:tc>
        <w:tc>
          <w:tcPr>
            <w:tcW w:w="533" w:type="pct"/>
          </w:tcPr>
          <w:p w14:paraId="7D5CBF8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6A2BB11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Sharing technical knowledge and capability focusing on urban planning, asset management and governance</w:t>
            </w:r>
          </w:p>
        </w:tc>
        <w:tc>
          <w:tcPr>
            <w:tcW w:w="416" w:type="pct"/>
          </w:tcPr>
          <w:p w14:paraId="2935E20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132CE722"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0B4FE081" w14:textId="77777777" w:rsidTr="00F31129">
        <w:tc>
          <w:tcPr>
            <w:tcW w:w="546" w:type="pct"/>
          </w:tcPr>
          <w:p w14:paraId="25DECEAB" w14:textId="77777777" w:rsidR="00B71B4E" w:rsidRPr="00BD16B4" w:rsidRDefault="00B71B4E" w:rsidP="00353702">
            <w:pPr>
              <w:keepNext/>
              <w:spacing w:before="40" w:after="40" w:line="220" w:lineRule="atLeast"/>
              <w:jc w:val="left"/>
              <w:rPr>
                <w:rFonts w:cs="Calibri"/>
                <w:sz w:val="16"/>
                <w:szCs w:val="16"/>
                <w:lang w:val="en-NZ"/>
              </w:rPr>
            </w:pPr>
            <w:r w:rsidRPr="00BD16B4">
              <w:rPr>
                <w:rFonts w:cs="Calibri"/>
                <w:sz w:val="16"/>
                <w:szCs w:val="16"/>
                <w:lang w:val="en-NZ"/>
              </w:rPr>
              <w:t>Wharf and Reef Channel Rehabilitation</w:t>
            </w:r>
          </w:p>
        </w:tc>
        <w:tc>
          <w:tcPr>
            <w:tcW w:w="571" w:type="pct"/>
          </w:tcPr>
          <w:p w14:paraId="6FAB392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Increasing the safety and efficiency of ship-to-shore transfers of passengers and cargo at Tokelau’s atolls</w:t>
            </w:r>
          </w:p>
        </w:tc>
        <w:tc>
          <w:tcPr>
            <w:tcW w:w="319" w:type="pct"/>
          </w:tcPr>
          <w:p w14:paraId="16BD895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Tokelau</w:t>
            </w:r>
          </w:p>
        </w:tc>
        <w:tc>
          <w:tcPr>
            <w:tcW w:w="385" w:type="pct"/>
          </w:tcPr>
          <w:p w14:paraId="004B346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385" w:type="pct"/>
          </w:tcPr>
          <w:p w14:paraId="60267D8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Transport and storage</w:t>
            </w:r>
          </w:p>
        </w:tc>
        <w:tc>
          <w:tcPr>
            <w:tcW w:w="611" w:type="pct"/>
          </w:tcPr>
          <w:p w14:paraId="3FA9A42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Reconstructing wharfs and reef channels in four locations on Tokelau</w:t>
            </w:r>
          </w:p>
        </w:tc>
        <w:tc>
          <w:tcPr>
            <w:tcW w:w="244" w:type="pct"/>
          </w:tcPr>
          <w:p w14:paraId="6A0ADEF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2017–20</w:t>
            </w:r>
          </w:p>
        </w:tc>
        <w:tc>
          <w:tcPr>
            <w:tcW w:w="533" w:type="pct"/>
          </w:tcPr>
          <w:p w14:paraId="3E191E3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Engagement of local decision-makers and labourers has increased the sense of local ownership for the rehabilitated wharfs</w:t>
            </w:r>
          </w:p>
        </w:tc>
        <w:tc>
          <w:tcPr>
            <w:tcW w:w="561" w:type="pct"/>
          </w:tcPr>
          <w:p w14:paraId="64A93EC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Upgraded and resilient wharfs and reef channels</w:t>
            </w:r>
          </w:p>
        </w:tc>
        <w:tc>
          <w:tcPr>
            <w:tcW w:w="416" w:type="pct"/>
          </w:tcPr>
          <w:p w14:paraId="4BDA62D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140E7FF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7.5a</w:t>
            </w:r>
          </w:p>
        </w:tc>
      </w:tr>
      <w:tr w:rsidR="00B71B4E" w:rsidRPr="00BD16B4" w14:paraId="570DD7AD" w14:textId="77777777" w:rsidTr="00F31129">
        <w:tc>
          <w:tcPr>
            <w:tcW w:w="546" w:type="pct"/>
          </w:tcPr>
          <w:p w14:paraId="12646A1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Water Sector Partnership 2017–21</w:t>
            </w:r>
          </w:p>
        </w:tc>
        <w:tc>
          <w:tcPr>
            <w:tcW w:w="571" w:type="pct"/>
          </w:tcPr>
          <w:p w14:paraId="3145C04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Increasing sustainable and equitable access to improved, safe water, leading to a healthier and more economically productive and resilient ni-Vanuatu population</w:t>
            </w:r>
          </w:p>
        </w:tc>
        <w:tc>
          <w:tcPr>
            <w:tcW w:w="319" w:type="pct"/>
          </w:tcPr>
          <w:p w14:paraId="5BEF37A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Vanuatu</w:t>
            </w:r>
          </w:p>
        </w:tc>
        <w:tc>
          <w:tcPr>
            <w:tcW w:w="385" w:type="pct"/>
          </w:tcPr>
          <w:p w14:paraId="033771F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385" w:type="pct"/>
          </w:tcPr>
          <w:p w14:paraId="011BD837"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Water and sanitation</w:t>
            </w:r>
          </w:p>
        </w:tc>
        <w:tc>
          <w:tcPr>
            <w:tcW w:w="611" w:type="pct"/>
          </w:tcPr>
          <w:p w14:paraId="24427466"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Supporting the Department of Water Resources to operationalise its National Implementation Plan</w:t>
            </w:r>
          </w:p>
        </w:tc>
        <w:tc>
          <w:tcPr>
            <w:tcW w:w="244" w:type="pct"/>
          </w:tcPr>
          <w:p w14:paraId="2478434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2017–21</w:t>
            </w:r>
          </w:p>
        </w:tc>
        <w:tc>
          <w:tcPr>
            <w:tcW w:w="533" w:type="pct"/>
          </w:tcPr>
          <w:p w14:paraId="34BA5D9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6CA4402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Assisting with technical studies to assess risks to the water system and work with the community to address them</w:t>
            </w:r>
          </w:p>
        </w:tc>
        <w:tc>
          <w:tcPr>
            <w:tcW w:w="416" w:type="pct"/>
          </w:tcPr>
          <w:p w14:paraId="743F054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30B97D6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4251B424" w14:textId="77777777" w:rsidTr="00F31129">
        <w:tc>
          <w:tcPr>
            <w:tcW w:w="546" w:type="pct"/>
          </w:tcPr>
          <w:p w14:paraId="4917E535" w14:textId="77777777" w:rsidR="00B71B4E" w:rsidRPr="00BD16B4" w:rsidRDefault="00B71B4E" w:rsidP="0087071B">
            <w:pPr>
              <w:keepNext/>
              <w:spacing w:before="40" w:after="40" w:line="220" w:lineRule="atLeast"/>
              <w:jc w:val="left"/>
              <w:rPr>
                <w:rFonts w:cs="Calibri"/>
                <w:sz w:val="16"/>
                <w:szCs w:val="16"/>
                <w:lang w:val="en-NZ"/>
              </w:rPr>
            </w:pPr>
            <w:r w:rsidRPr="00BD16B4">
              <w:rPr>
                <w:rFonts w:cs="Calibri"/>
                <w:sz w:val="16"/>
                <w:szCs w:val="16"/>
                <w:lang w:val="en-NZ"/>
              </w:rPr>
              <w:lastRenderedPageBreak/>
              <w:t>Strengthening Disaster Resilience</w:t>
            </w:r>
          </w:p>
        </w:tc>
        <w:tc>
          <w:tcPr>
            <w:tcW w:w="571" w:type="pct"/>
          </w:tcPr>
          <w:p w14:paraId="34C1088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 xml:space="preserve">Improving skills and knowledge for disaster risk reduction planning and implementation </w:t>
            </w:r>
          </w:p>
        </w:tc>
        <w:tc>
          <w:tcPr>
            <w:tcW w:w="319" w:type="pct"/>
          </w:tcPr>
          <w:p w14:paraId="6C7120EC"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Indonesia</w:t>
            </w:r>
          </w:p>
        </w:tc>
        <w:tc>
          <w:tcPr>
            <w:tcW w:w="385" w:type="pct"/>
          </w:tcPr>
          <w:p w14:paraId="4B08DD9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385" w:type="pct"/>
          </w:tcPr>
          <w:p w14:paraId="2E28E9C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Multi-sector</w:t>
            </w:r>
          </w:p>
        </w:tc>
        <w:tc>
          <w:tcPr>
            <w:tcW w:w="611" w:type="pct"/>
          </w:tcPr>
          <w:p w14:paraId="729E4D6A"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Providing training and capability building to increase the disaster risk management skills of local governments. Action plans for 10 districts will be developed and effectively implemented</w:t>
            </w:r>
          </w:p>
        </w:tc>
        <w:tc>
          <w:tcPr>
            <w:tcW w:w="244" w:type="pct"/>
          </w:tcPr>
          <w:p w14:paraId="3E0CC395"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2017–20</w:t>
            </w:r>
          </w:p>
        </w:tc>
        <w:tc>
          <w:tcPr>
            <w:tcW w:w="533" w:type="pct"/>
          </w:tcPr>
          <w:p w14:paraId="0AB8108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525E1BD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Improved knowledge and skills from training</w:t>
            </w:r>
          </w:p>
        </w:tc>
        <w:tc>
          <w:tcPr>
            <w:tcW w:w="416" w:type="pct"/>
          </w:tcPr>
          <w:p w14:paraId="7F5F3EC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03F753A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7ED9D4DB" w14:textId="77777777" w:rsidTr="00F31129">
        <w:tc>
          <w:tcPr>
            <w:tcW w:w="546" w:type="pct"/>
          </w:tcPr>
          <w:p w14:paraId="5378ADEE" w14:textId="77777777" w:rsidR="00B71B4E" w:rsidRPr="00BD16B4" w:rsidRDefault="00B71B4E" w:rsidP="00353702">
            <w:pPr>
              <w:keepNext/>
              <w:spacing w:before="40" w:after="40" w:line="220" w:lineRule="atLeast"/>
              <w:jc w:val="left"/>
              <w:rPr>
                <w:rFonts w:cs="Calibri"/>
                <w:sz w:val="16"/>
                <w:szCs w:val="16"/>
                <w:lang w:val="en-NZ"/>
              </w:rPr>
            </w:pPr>
            <w:r w:rsidRPr="00BD16B4">
              <w:rPr>
                <w:rFonts w:cs="Calibri"/>
                <w:sz w:val="16"/>
                <w:szCs w:val="16"/>
                <w:lang w:val="en-NZ"/>
              </w:rPr>
              <w:t>Better Warehousing</w:t>
            </w:r>
          </w:p>
        </w:tc>
        <w:tc>
          <w:tcPr>
            <w:tcW w:w="571" w:type="pct"/>
          </w:tcPr>
          <w:p w14:paraId="57B5700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Improving relief response capabilities of the Indonesian Red Cross National Society, as a result of better warehousing and logistics, resulting in reduced losses from disasters</w:t>
            </w:r>
          </w:p>
        </w:tc>
        <w:tc>
          <w:tcPr>
            <w:tcW w:w="319" w:type="pct"/>
          </w:tcPr>
          <w:p w14:paraId="6697C45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Indonesia</w:t>
            </w:r>
          </w:p>
        </w:tc>
        <w:tc>
          <w:tcPr>
            <w:tcW w:w="385" w:type="pct"/>
          </w:tcPr>
          <w:p w14:paraId="67530FF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385" w:type="pct"/>
          </w:tcPr>
          <w:p w14:paraId="789988C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Humanitarian</w:t>
            </w:r>
          </w:p>
        </w:tc>
        <w:tc>
          <w:tcPr>
            <w:tcW w:w="611" w:type="pct"/>
          </w:tcPr>
          <w:p w14:paraId="3521C7D0"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Providing funding and technical assistance to improve infrastructure, knowledge and relief response capabilities in an emergency</w:t>
            </w:r>
          </w:p>
        </w:tc>
        <w:tc>
          <w:tcPr>
            <w:tcW w:w="244" w:type="pct"/>
          </w:tcPr>
          <w:p w14:paraId="6BFB37F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2017–23</w:t>
            </w:r>
          </w:p>
        </w:tc>
        <w:tc>
          <w:tcPr>
            <w:tcW w:w="533" w:type="pct"/>
          </w:tcPr>
          <w:p w14:paraId="1F9F3B4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3AB0E06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Technology was transferred through technical assistance and capacity building</w:t>
            </w:r>
          </w:p>
        </w:tc>
        <w:tc>
          <w:tcPr>
            <w:tcW w:w="416" w:type="pct"/>
          </w:tcPr>
          <w:p w14:paraId="2E9D2383"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5D68217E"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r w:rsidR="00B71B4E" w:rsidRPr="00BD16B4" w14:paraId="7D5C8DAF" w14:textId="77777777" w:rsidTr="00F31129">
        <w:tc>
          <w:tcPr>
            <w:tcW w:w="546" w:type="pct"/>
          </w:tcPr>
          <w:p w14:paraId="05C7DFF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Myanmar Better Warehousing and Logistics</w:t>
            </w:r>
          </w:p>
        </w:tc>
        <w:tc>
          <w:tcPr>
            <w:tcW w:w="571" w:type="pct"/>
          </w:tcPr>
          <w:p w14:paraId="5FE759FF"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Increasing the sustainable recovery from emergencies for vulnerable disaster-affected communities through more efficient provision of relief supplies in Myanmar</w:t>
            </w:r>
          </w:p>
        </w:tc>
        <w:tc>
          <w:tcPr>
            <w:tcW w:w="319" w:type="pct"/>
          </w:tcPr>
          <w:p w14:paraId="49747AFB"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Myanmar</w:t>
            </w:r>
          </w:p>
        </w:tc>
        <w:tc>
          <w:tcPr>
            <w:tcW w:w="385" w:type="pct"/>
          </w:tcPr>
          <w:p w14:paraId="149EC5E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Adaptation</w:t>
            </w:r>
          </w:p>
        </w:tc>
        <w:tc>
          <w:tcPr>
            <w:tcW w:w="385" w:type="pct"/>
          </w:tcPr>
          <w:p w14:paraId="2A1A0249"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Multi-sector</w:t>
            </w:r>
          </w:p>
        </w:tc>
        <w:tc>
          <w:tcPr>
            <w:tcW w:w="611" w:type="pct"/>
          </w:tcPr>
          <w:p w14:paraId="42D6712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Providing funding and technical assistance to improve warehousing infrastructure, knowledge and relief response capabilities in Myanmar</w:t>
            </w:r>
          </w:p>
        </w:tc>
        <w:tc>
          <w:tcPr>
            <w:tcW w:w="244" w:type="pct"/>
          </w:tcPr>
          <w:p w14:paraId="37C0B034"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2017–23</w:t>
            </w:r>
          </w:p>
        </w:tc>
        <w:tc>
          <w:tcPr>
            <w:tcW w:w="533" w:type="pct"/>
          </w:tcPr>
          <w:p w14:paraId="7634811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Country ownership, alignment with country strategies and priorities, donor harmonisation, results focused, transparency</w:t>
            </w:r>
          </w:p>
        </w:tc>
        <w:tc>
          <w:tcPr>
            <w:tcW w:w="561" w:type="pct"/>
          </w:tcPr>
          <w:p w14:paraId="57497D7D"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Technology was transferred through technical assistance and capacity building</w:t>
            </w:r>
          </w:p>
        </w:tc>
        <w:tc>
          <w:tcPr>
            <w:tcW w:w="416" w:type="pct"/>
          </w:tcPr>
          <w:p w14:paraId="39600358"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Public</w:t>
            </w:r>
          </w:p>
        </w:tc>
        <w:tc>
          <w:tcPr>
            <w:tcW w:w="429" w:type="pct"/>
          </w:tcPr>
          <w:p w14:paraId="336D2621" w14:textId="77777777" w:rsidR="00B71B4E" w:rsidRPr="00BD16B4" w:rsidRDefault="00B71B4E" w:rsidP="00353702">
            <w:pPr>
              <w:spacing w:before="40" w:after="40" w:line="220" w:lineRule="atLeast"/>
              <w:jc w:val="left"/>
              <w:rPr>
                <w:rFonts w:cs="Calibri"/>
                <w:sz w:val="16"/>
                <w:szCs w:val="16"/>
                <w:lang w:val="en-NZ"/>
              </w:rPr>
            </w:pPr>
            <w:r w:rsidRPr="00BD16B4">
              <w:rPr>
                <w:rFonts w:cs="Calibri"/>
                <w:sz w:val="16"/>
                <w:szCs w:val="16"/>
                <w:lang w:val="en-NZ"/>
              </w:rPr>
              <w:t>Refer to table 7.5</w:t>
            </w:r>
          </w:p>
        </w:tc>
      </w:tr>
    </w:tbl>
    <w:p w14:paraId="62B480A3" w14:textId="77777777" w:rsidR="00B71B4E" w:rsidRPr="00BD16B4" w:rsidRDefault="00B71B4E" w:rsidP="00120409">
      <w:pPr>
        <w:pStyle w:val="Note"/>
        <w:rPr>
          <w:lang w:eastAsia="en-US"/>
        </w:rPr>
      </w:pPr>
      <w:r w:rsidRPr="00BD16B4">
        <w:rPr>
          <w:b/>
          <w:bCs/>
          <w:lang w:eastAsia="en-US"/>
        </w:rPr>
        <w:t>Note:</w:t>
      </w:r>
      <w:r w:rsidRPr="00BD16B4">
        <w:rPr>
          <w:lang w:eastAsia="en-US"/>
        </w:rPr>
        <w:t xml:space="preserve"> Lao PDR = Lao People’s Democratic Republic.</w:t>
      </w:r>
    </w:p>
    <w:p w14:paraId="41B7D60A" w14:textId="77777777" w:rsidR="00B71B4E" w:rsidRPr="00BD16B4" w:rsidRDefault="00B71B4E" w:rsidP="00997869">
      <w:pPr>
        <w:pStyle w:val="BodyText"/>
        <w:spacing w:before="0" w:after="0"/>
      </w:pPr>
      <w:r w:rsidRPr="00BD16B4">
        <w:br w:type="page"/>
      </w:r>
    </w:p>
    <w:p w14:paraId="449B1BE5" w14:textId="77777777" w:rsidR="00B71B4E" w:rsidRPr="00BD16B4" w:rsidRDefault="00B71B4E" w:rsidP="00BB7302">
      <w:pPr>
        <w:pStyle w:val="Tableheading"/>
      </w:pPr>
      <w:bookmarkStart w:id="380" w:name="_Toc497749154"/>
      <w:bookmarkStart w:id="381" w:name="_Toc500767049"/>
      <w:bookmarkStart w:id="382" w:name="_Toc121773828"/>
      <w:r w:rsidRPr="00BD16B4">
        <w:lastRenderedPageBreak/>
        <w:t>Table 7.7:</w:t>
      </w:r>
      <w:r w:rsidRPr="00BD16B4">
        <w:tab/>
        <w:t>Technology transfer delivered through the Global Research Alliance on Agricultural Greenhouse Gases</w:t>
      </w:r>
      <w:bookmarkEnd w:id="380"/>
      <w:bookmarkEnd w:id="381"/>
      <w:bookmarkEnd w:id="382"/>
    </w:p>
    <w:tbl>
      <w:tblPr>
        <w:tblStyle w:val="TableGrid114"/>
        <w:tblW w:w="1451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000" w:firstRow="0" w:lastRow="0" w:firstColumn="0" w:lastColumn="0" w:noHBand="0" w:noVBand="0"/>
      </w:tblPr>
      <w:tblGrid>
        <w:gridCol w:w="1468"/>
        <w:gridCol w:w="1698"/>
        <w:gridCol w:w="1061"/>
        <w:gridCol w:w="895"/>
        <w:gridCol w:w="848"/>
        <w:gridCol w:w="2195"/>
        <w:gridCol w:w="737"/>
        <w:gridCol w:w="1859"/>
        <w:gridCol w:w="2028"/>
        <w:gridCol w:w="946"/>
        <w:gridCol w:w="780"/>
      </w:tblGrid>
      <w:tr w:rsidR="00B71B4E" w:rsidRPr="00BD16B4" w14:paraId="1070C5B9" w14:textId="77777777" w:rsidTr="00F31129">
        <w:trPr>
          <w:tblHeader/>
        </w:trPr>
        <w:tc>
          <w:tcPr>
            <w:tcW w:w="1474" w:type="dxa"/>
            <w:tcBorders>
              <w:right w:val="nil"/>
            </w:tcBorders>
            <w:shd w:val="clear" w:color="auto" w:fill="1C556C"/>
            <w:vAlign w:val="bottom"/>
          </w:tcPr>
          <w:p w14:paraId="0D89E701" w14:textId="77777777" w:rsidR="00B71B4E" w:rsidRPr="00BD16B4" w:rsidRDefault="00B71B4E" w:rsidP="00451ED8">
            <w:pPr>
              <w:pStyle w:val="TableText"/>
              <w:spacing w:before="40" w:after="40" w:line="220" w:lineRule="atLeast"/>
              <w:rPr>
                <w:b/>
                <w:bCs/>
                <w:color w:val="FFFFFF" w:themeColor="background1"/>
                <w:sz w:val="16"/>
                <w:szCs w:val="16"/>
                <w:lang w:val="en-NZ"/>
              </w:rPr>
            </w:pPr>
            <w:r w:rsidRPr="00BD16B4">
              <w:rPr>
                <w:b/>
                <w:bCs/>
                <w:color w:val="FFFFFF" w:themeColor="background1"/>
                <w:sz w:val="16"/>
                <w:szCs w:val="16"/>
                <w:lang w:val="en-NZ"/>
              </w:rPr>
              <w:t>Project title</w:t>
            </w:r>
          </w:p>
        </w:tc>
        <w:tc>
          <w:tcPr>
            <w:tcW w:w="1711" w:type="dxa"/>
            <w:tcBorders>
              <w:left w:val="nil"/>
              <w:right w:val="nil"/>
            </w:tcBorders>
            <w:shd w:val="clear" w:color="auto" w:fill="1C556C"/>
            <w:vAlign w:val="bottom"/>
          </w:tcPr>
          <w:p w14:paraId="7E6FB76C" w14:textId="77777777" w:rsidR="00B71B4E" w:rsidRPr="00BD16B4" w:rsidRDefault="00B71B4E" w:rsidP="00451ED8">
            <w:pPr>
              <w:pStyle w:val="TableText"/>
              <w:spacing w:before="40" w:after="40" w:line="220" w:lineRule="atLeast"/>
              <w:rPr>
                <w:b/>
                <w:bCs/>
                <w:color w:val="FFFFFF" w:themeColor="background1"/>
                <w:sz w:val="16"/>
                <w:szCs w:val="16"/>
                <w:lang w:val="en-NZ"/>
              </w:rPr>
            </w:pPr>
            <w:r w:rsidRPr="00BD16B4">
              <w:rPr>
                <w:b/>
                <w:bCs/>
                <w:color w:val="FFFFFF" w:themeColor="background1"/>
                <w:sz w:val="16"/>
                <w:szCs w:val="16"/>
                <w:lang w:val="en-NZ"/>
              </w:rPr>
              <w:t>Purpose</w:t>
            </w:r>
          </w:p>
        </w:tc>
        <w:tc>
          <w:tcPr>
            <w:tcW w:w="1064" w:type="dxa"/>
            <w:tcBorders>
              <w:left w:val="nil"/>
              <w:right w:val="nil"/>
            </w:tcBorders>
            <w:shd w:val="clear" w:color="auto" w:fill="1C556C"/>
            <w:vAlign w:val="bottom"/>
          </w:tcPr>
          <w:p w14:paraId="1EDCB4EE" w14:textId="77777777" w:rsidR="00B71B4E" w:rsidRPr="00BD16B4" w:rsidRDefault="00B71B4E" w:rsidP="00451ED8">
            <w:pPr>
              <w:pStyle w:val="TableText"/>
              <w:spacing w:before="40" w:after="40" w:line="220" w:lineRule="atLeast"/>
              <w:rPr>
                <w:b/>
                <w:bCs/>
                <w:color w:val="FFFFFF" w:themeColor="background1"/>
                <w:sz w:val="16"/>
                <w:szCs w:val="16"/>
                <w:lang w:val="en-NZ"/>
              </w:rPr>
            </w:pPr>
            <w:r w:rsidRPr="00BD16B4">
              <w:rPr>
                <w:b/>
                <w:bCs/>
                <w:color w:val="FFFFFF" w:themeColor="background1"/>
                <w:sz w:val="16"/>
                <w:szCs w:val="16"/>
                <w:lang w:val="en-NZ"/>
              </w:rPr>
              <w:t>Recipient country or countries</w:t>
            </w:r>
          </w:p>
        </w:tc>
        <w:tc>
          <w:tcPr>
            <w:tcW w:w="895" w:type="dxa"/>
            <w:tcBorders>
              <w:left w:val="nil"/>
              <w:right w:val="nil"/>
            </w:tcBorders>
            <w:shd w:val="clear" w:color="auto" w:fill="1C556C"/>
            <w:vAlign w:val="bottom"/>
          </w:tcPr>
          <w:p w14:paraId="1415CA55" w14:textId="77777777" w:rsidR="00B71B4E" w:rsidRPr="00BD16B4" w:rsidRDefault="00B71B4E" w:rsidP="00451ED8">
            <w:pPr>
              <w:pStyle w:val="TableText"/>
              <w:spacing w:before="40" w:after="40" w:line="220" w:lineRule="atLeast"/>
              <w:rPr>
                <w:b/>
                <w:bCs/>
                <w:color w:val="FFFFFF" w:themeColor="background1"/>
                <w:sz w:val="16"/>
                <w:szCs w:val="16"/>
                <w:lang w:val="en-NZ"/>
              </w:rPr>
            </w:pPr>
            <w:r w:rsidRPr="00BD16B4">
              <w:rPr>
                <w:b/>
                <w:bCs/>
                <w:color w:val="FFFFFF" w:themeColor="background1"/>
                <w:sz w:val="16"/>
                <w:szCs w:val="16"/>
                <w:lang w:val="en-NZ"/>
              </w:rPr>
              <w:t>Sector</w:t>
            </w:r>
          </w:p>
        </w:tc>
        <w:tc>
          <w:tcPr>
            <w:tcW w:w="848" w:type="dxa"/>
            <w:tcBorders>
              <w:left w:val="nil"/>
              <w:right w:val="nil"/>
            </w:tcBorders>
            <w:shd w:val="clear" w:color="auto" w:fill="1C556C"/>
            <w:vAlign w:val="bottom"/>
          </w:tcPr>
          <w:p w14:paraId="22FFD760" w14:textId="77777777" w:rsidR="00B71B4E" w:rsidRPr="00BD16B4" w:rsidRDefault="00B71B4E" w:rsidP="00451ED8">
            <w:pPr>
              <w:pStyle w:val="TableText"/>
              <w:spacing w:before="40" w:after="40" w:line="220" w:lineRule="atLeast"/>
              <w:rPr>
                <w:b/>
                <w:bCs/>
                <w:color w:val="FFFFFF" w:themeColor="background1"/>
                <w:sz w:val="16"/>
                <w:szCs w:val="16"/>
                <w:lang w:val="en-NZ"/>
              </w:rPr>
            </w:pPr>
            <w:r w:rsidRPr="00BD16B4">
              <w:rPr>
                <w:b/>
                <w:bCs/>
                <w:color w:val="FFFFFF" w:themeColor="background1"/>
                <w:sz w:val="16"/>
                <w:szCs w:val="16"/>
                <w:lang w:val="en-NZ"/>
              </w:rPr>
              <w:t>Targeted area</w:t>
            </w:r>
          </w:p>
        </w:tc>
        <w:tc>
          <w:tcPr>
            <w:tcW w:w="2218" w:type="dxa"/>
            <w:tcBorders>
              <w:left w:val="nil"/>
              <w:right w:val="nil"/>
            </w:tcBorders>
            <w:shd w:val="clear" w:color="auto" w:fill="1C556C"/>
            <w:vAlign w:val="bottom"/>
          </w:tcPr>
          <w:p w14:paraId="4BF65611" w14:textId="77777777" w:rsidR="00B71B4E" w:rsidRPr="00BD16B4" w:rsidRDefault="00B71B4E" w:rsidP="00451ED8">
            <w:pPr>
              <w:pStyle w:val="TableText"/>
              <w:spacing w:before="40" w:after="40" w:line="220" w:lineRule="atLeast"/>
              <w:rPr>
                <w:b/>
                <w:bCs/>
                <w:color w:val="FFFFFF" w:themeColor="background1"/>
                <w:sz w:val="16"/>
                <w:szCs w:val="16"/>
                <w:lang w:val="en-NZ"/>
              </w:rPr>
            </w:pPr>
            <w:r w:rsidRPr="00BD16B4">
              <w:rPr>
                <w:b/>
                <w:bCs/>
                <w:color w:val="FFFFFF" w:themeColor="background1"/>
                <w:sz w:val="16"/>
                <w:szCs w:val="16"/>
                <w:lang w:val="en-NZ"/>
              </w:rPr>
              <w:t>Description</w:t>
            </w:r>
          </w:p>
        </w:tc>
        <w:tc>
          <w:tcPr>
            <w:tcW w:w="739" w:type="dxa"/>
            <w:tcBorders>
              <w:left w:val="nil"/>
              <w:right w:val="nil"/>
            </w:tcBorders>
            <w:shd w:val="clear" w:color="auto" w:fill="1C556C"/>
            <w:vAlign w:val="bottom"/>
          </w:tcPr>
          <w:p w14:paraId="44509BFF" w14:textId="77777777" w:rsidR="00B71B4E" w:rsidRPr="00BD16B4" w:rsidRDefault="00B71B4E" w:rsidP="00451ED8">
            <w:pPr>
              <w:pStyle w:val="TableText"/>
              <w:spacing w:before="40" w:after="40" w:line="220" w:lineRule="atLeast"/>
              <w:rPr>
                <w:b/>
                <w:bCs/>
                <w:color w:val="FFFFFF" w:themeColor="background1"/>
                <w:sz w:val="16"/>
                <w:szCs w:val="16"/>
                <w:lang w:val="en-NZ"/>
              </w:rPr>
            </w:pPr>
            <w:r w:rsidRPr="00BD16B4">
              <w:rPr>
                <w:b/>
                <w:bCs/>
                <w:color w:val="FFFFFF" w:themeColor="background1"/>
                <w:sz w:val="16"/>
                <w:szCs w:val="16"/>
                <w:lang w:val="en-NZ"/>
              </w:rPr>
              <w:t>Year(s)</w:t>
            </w:r>
          </w:p>
        </w:tc>
        <w:tc>
          <w:tcPr>
            <w:tcW w:w="1877" w:type="dxa"/>
            <w:tcBorders>
              <w:left w:val="nil"/>
              <w:right w:val="nil"/>
            </w:tcBorders>
            <w:shd w:val="clear" w:color="auto" w:fill="1C556C"/>
            <w:vAlign w:val="bottom"/>
          </w:tcPr>
          <w:p w14:paraId="637D6CF6" w14:textId="77777777" w:rsidR="00B71B4E" w:rsidRPr="00BD16B4" w:rsidRDefault="00B71B4E" w:rsidP="00451ED8">
            <w:pPr>
              <w:pStyle w:val="TableText"/>
              <w:spacing w:before="40" w:after="40" w:line="220" w:lineRule="atLeast"/>
              <w:rPr>
                <w:b/>
                <w:bCs/>
                <w:color w:val="FFFFFF" w:themeColor="background1"/>
                <w:sz w:val="16"/>
                <w:szCs w:val="16"/>
                <w:lang w:val="en-NZ"/>
              </w:rPr>
            </w:pPr>
            <w:r w:rsidRPr="00BD16B4">
              <w:rPr>
                <w:b/>
                <w:bCs/>
                <w:color w:val="FFFFFF" w:themeColor="background1"/>
                <w:sz w:val="16"/>
                <w:szCs w:val="16"/>
                <w:lang w:val="en-NZ"/>
              </w:rPr>
              <w:t>Factors that led to the project’s success</w:t>
            </w:r>
          </w:p>
        </w:tc>
        <w:tc>
          <w:tcPr>
            <w:tcW w:w="2047" w:type="dxa"/>
            <w:tcBorders>
              <w:left w:val="nil"/>
              <w:right w:val="nil"/>
            </w:tcBorders>
            <w:shd w:val="clear" w:color="auto" w:fill="1C556C"/>
            <w:vAlign w:val="bottom"/>
          </w:tcPr>
          <w:p w14:paraId="5DCA05B6" w14:textId="77777777" w:rsidR="00B71B4E" w:rsidRPr="00BD16B4" w:rsidRDefault="00B71B4E" w:rsidP="00451ED8">
            <w:pPr>
              <w:pStyle w:val="TableText"/>
              <w:spacing w:before="40" w:after="40" w:line="220" w:lineRule="atLeast"/>
              <w:rPr>
                <w:b/>
                <w:bCs/>
                <w:color w:val="FFFFFF" w:themeColor="background1"/>
                <w:sz w:val="16"/>
                <w:szCs w:val="16"/>
                <w:lang w:val="en-NZ"/>
              </w:rPr>
            </w:pPr>
            <w:r w:rsidRPr="00BD16B4">
              <w:rPr>
                <w:b/>
                <w:bCs/>
                <w:color w:val="FFFFFF" w:themeColor="background1"/>
                <w:sz w:val="16"/>
                <w:szCs w:val="16"/>
                <w:lang w:val="en-NZ"/>
              </w:rPr>
              <w:t>Technology transferred</w:t>
            </w:r>
          </w:p>
        </w:tc>
        <w:tc>
          <w:tcPr>
            <w:tcW w:w="946" w:type="dxa"/>
            <w:tcBorders>
              <w:left w:val="nil"/>
              <w:right w:val="nil"/>
            </w:tcBorders>
            <w:shd w:val="clear" w:color="auto" w:fill="1C556C"/>
            <w:vAlign w:val="bottom"/>
          </w:tcPr>
          <w:p w14:paraId="2A4A09FC" w14:textId="77777777" w:rsidR="00B71B4E" w:rsidRPr="00BD16B4" w:rsidRDefault="00B71B4E" w:rsidP="00451ED8">
            <w:pPr>
              <w:pStyle w:val="TableText"/>
              <w:spacing w:before="40" w:after="40" w:line="220" w:lineRule="atLeast"/>
              <w:rPr>
                <w:b/>
                <w:bCs/>
                <w:color w:val="FFFFFF" w:themeColor="background1"/>
                <w:sz w:val="16"/>
                <w:szCs w:val="16"/>
                <w:lang w:val="en-NZ"/>
              </w:rPr>
            </w:pPr>
            <w:r w:rsidRPr="00BD16B4">
              <w:rPr>
                <w:b/>
                <w:bCs/>
                <w:color w:val="FFFFFF" w:themeColor="background1"/>
                <w:sz w:val="16"/>
                <w:szCs w:val="16"/>
                <w:lang w:val="en-NZ"/>
              </w:rPr>
              <w:t>Activities undertaken by public or private sector</w:t>
            </w:r>
          </w:p>
        </w:tc>
        <w:tc>
          <w:tcPr>
            <w:tcW w:w="780" w:type="dxa"/>
            <w:tcBorders>
              <w:left w:val="nil"/>
            </w:tcBorders>
            <w:shd w:val="clear" w:color="auto" w:fill="1C556C"/>
            <w:vAlign w:val="bottom"/>
          </w:tcPr>
          <w:p w14:paraId="756DCD7A" w14:textId="77777777" w:rsidR="00B71B4E" w:rsidRPr="00BD16B4" w:rsidRDefault="00B71B4E" w:rsidP="00451ED8">
            <w:pPr>
              <w:pStyle w:val="TableText"/>
              <w:spacing w:before="40" w:after="40" w:line="220" w:lineRule="atLeast"/>
              <w:rPr>
                <w:b/>
                <w:bCs/>
                <w:color w:val="FFFFFF" w:themeColor="background1"/>
                <w:sz w:val="16"/>
                <w:szCs w:val="16"/>
                <w:lang w:val="en-NZ"/>
              </w:rPr>
            </w:pPr>
            <w:r w:rsidRPr="00BD16B4">
              <w:rPr>
                <w:b/>
                <w:bCs/>
                <w:color w:val="FFFFFF" w:themeColor="background1"/>
                <w:sz w:val="16"/>
                <w:szCs w:val="16"/>
                <w:lang w:val="en-NZ"/>
              </w:rPr>
              <w:t>Total funding (NZ$)</w:t>
            </w:r>
          </w:p>
        </w:tc>
      </w:tr>
      <w:tr w:rsidR="00B71B4E" w:rsidRPr="00BD16B4" w14:paraId="3F0907D1" w14:textId="77777777" w:rsidTr="00F31129">
        <w:tc>
          <w:tcPr>
            <w:tcW w:w="1474" w:type="dxa"/>
          </w:tcPr>
          <w:p w14:paraId="515DFC2F"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Institutional Strengthening in Indonesia for Mitigating Livestock Methane Emissions</w:t>
            </w:r>
          </w:p>
        </w:tc>
        <w:tc>
          <w:tcPr>
            <w:tcW w:w="1711" w:type="dxa"/>
          </w:tcPr>
          <w:p w14:paraId="1DA076D6"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Assisting South East Asian countries to develop higher-tier agricultural inventories</w:t>
            </w:r>
          </w:p>
        </w:tc>
        <w:tc>
          <w:tcPr>
            <w:tcW w:w="1064" w:type="dxa"/>
          </w:tcPr>
          <w:p w14:paraId="2FFBA877"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Indonesia, Malaysia</w:t>
            </w:r>
          </w:p>
        </w:tc>
        <w:tc>
          <w:tcPr>
            <w:tcW w:w="895" w:type="dxa"/>
          </w:tcPr>
          <w:p w14:paraId="647AA3F6"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1C556C"/>
            </w:tcBorders>
          </w:tcPr>
          <w:p w14:paraId="4FF1003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1C556C"/>
            </w:tcBorders>
          </w:tcPr>
          <w:p w14:paraId="6BA119E3"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Developing Tier 2 inventories to measure the impacts of mitigation technologies and practices</w:t>
            </w:r>
          </w:p>
        </w:tc>
        <w:tc>
          <w:tcPr>
            <w:tcW w:w="739" w:type="dxa"/>
          </w:tcPr>
          <w:p w14:paraId="1E6AFB4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2018–20</w:t>
            </w:r>
          </w:p>
        </w:tc>
        <w:tc>
          <w:tcPr>
            <w:tcW w:w="1877" w:type="dxa"/>
          </w:tcPr>
          <w:p w14:paraId="09357B61"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Builds on existing activities in South East Asia to improve livestock GHG inventories</w:t>
            </w:r>
          </w:p>
        </w:tc>
        <w:tc>
          <w:tcPr>
            <w:tcW w:w="2047" w:type="dxa"/>
          </w:tcPr>
          <w:p w14:paraId="63CAE365"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Training in undertaking measurements and understanding how these are linked to higher-tier livestock GHG accounting methodologies. Understanding the impacts of specific mitigation technologies to reduce livestock methane emissions</w:t>
            </w:r>
          </w:p>
        </w:tc>
        <w:tc>
          <w:tcPr>
            <w:tcW w:w="946" w:type="dxa"/>
          </w:tcPr>
          <w:p w14:paraId="79828B81"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202ED0B2"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$563,220</w:t>
            </w:r>
          </w:p>
        </w:tc>
      </w:tr>
      <w:tr w:rsidR="00B71B4E" w:rsidRPr="00BD16B4" w14:paraId="654E56B0" w14:textId="77777777" w:rsidTr="00F31129">
        <w:tc>
          <w:tcPr>
            <w:tcW w:w="1474" w:type="dxa"/>
          </w:tcPr>
          <w:p w14:paraId="587DBDE2"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Database and Inventory Refinement for GHG Emissions Associated with Manure</w:t>
            </w:r>
          </w:p>
        </w:tc>
        <w:tc>
          <w:tcPr>
            <w:tcW w:w="1711" w:type="dxa"/>
          </w:tcPr>
          <w:p w14:paraId="6AEA6296"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Consolidating and unifying methane and nitrous oxide emissions datasets associated with manure from several regions of the world</w:t>
            </w:r>
          </w:p>
        </w:tc>
        <w:tc>
          <w:tcPr>
            <w:tcW w:w="1064" w:type="dxa"/>
          </w:tcPr>
          <w:p w14:paraId="3CD50C61"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Chile</w:t>
            </w:r>
          </w:p>
        </w:tc>
        <w:tc>
          <w:tcPr>
            <w:tcW w:w="895" w:type="dxa"/>
          </w:tcPr>
          <w:p w14:paraId="5448B0B1"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1C556C"/>
            </w:tcBorders>
          </w:tcPr>
          <w:p w14:paraId="03AF4CC6"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1C556C"/>
            </w:tcBorders>
          </w:tcPr>
          <w:p w14:paraId="7720EC91"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Establishing a central database. Analysing the data to generate emissions factors and provide a global resource for upgrading national inventories</w:t>
            </w:r>
          </w:p>
        </w:tc>
        <w:tc>
          <w:tcPr>
            <w:tcW w:w="739" w:type="dxa"/>
          </w:tcPr>
          <w:p w14:paraId="4520700F"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2018–21</w:t>
            </w:r>
          </w:p>
        </w:tc>
        <w:tc>
          <w:tcPr>
            <w:tcW w:w="1877" w:type="dxa"/>
          </w:tcPr>
          <w:p w14:paraId="0877D32F"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Coordination across responsible agencies, government and researchers</w:t>
            </w:r>
          </w:p>
        </w:tc>
        <w:tc>
          <w:tcPr>
            <w:tcW w:w="2047" w:type="dxa"/>
          </w:tcPr>
          <w:p w14:paraId="77ED5C7B"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Coordinated and analysed regional data from Latin America; developed understanding of the requirements for GHG inventories and developed regionally specific emissions factors</w:t>
            </w:r>
          </w:p>
        </w:tc>
        <w:tc>
          <w:tcPr>
            <w:tcW w:w="946" w:type="dxa"/>
          </w:tcPr>
          <w:p w14:paraId="6801D38A"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291D54E3"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$140,000</w:t>
            </w:r>
          </w:p>
        </w:tc>
      </w:tr>
      <w:tr w:rsidR="00B71B4E" w:rsidRPr="00BD16B4" w14:paraId="15DFC120" w14:textId="77777777" w:rsidTr="00F31129">
        <w:tc>
          <w:tcPr>
            <w:tcW w:w="1474" w:type="dxa"/>
          </w:tcPr>
          <w:p w14:paraId="0960900F"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Bovine Productivity in the South American Chaco Region</w:t>
            </w:r>
          </w:p>
        </w:tc>
        <w:tc>
          <w:tcPr>
            <w:tcW w:w="1711" w:type="dxa"/>
          </w:tcPr>
          <w:p w14:paraId="5883351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Generating socio-economic and environmental benefits for the region by improving the efficiency, stability and resilience of family livestock system</w:t>
            </w:r>
          </w:p>
        </w:tc>
        <w:tc>
          <w:tcPr>
            <w:tcW w:w="1064" w:type="dxa"/>
          </w:tcPr>
          <w:p w14:paraId="3C9787B2"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Argentina, Bolivia, Uruguay</w:t>
            </w:r>
          </w:p>
        </w:tc>
        <w:tc>
          <w:tcPr>
            <w:tcW w:w="895" w:type="dxa"/>
          </w:tcPr>
          <w:p w14:paraId="1C3D8C3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auto"/>
            </w:tcBorders>
          </w:tcPr>
          <w:p w14:paraId="0037BCB9"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auto"/>
            </w:tcBorders>
          </w:tcPr>
          <w:p w14:paraId="754FA9EB"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Generating an extension network and a virtual collaborative site with specialised livestock technicians that efficiently disseminate and transfer technology to producers</w:t>
            </w:r>
          </w:p>
        </w:tc>
        <w:tc>
          <w:tcPr>
            <w:tcW w:w="739" w:type="dxa"/>
          </w:tcPr>
          <w:p w14:paraId="0C369CBA"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2020–24</w:t>
            </w:r>
          </w:p>
        </w:tc>
        <w:tc>
          <w:tcPr>
            <w:tcW w:w="1877" w:type="dxa"/>
          </w:tcPr>
          <w:p w14:paraId="26275347"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Partnership with FONTAGRO</w:t>
            </w:r>
          </w:p>
        </w:tc>
        <w:tc>
          <w:tcPr>
            <w:tcW w:w="2047" w:type="dxa"/>
          </w:tcPr>
          <w:p w14:paraId="4DB29E1D"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Network of pilot sites (livestock farms) where the proposed technologies are adapted and demonstrated, together with a technical assistance and training plan on livestock innovation for extension agents, advisors and producers</w:t>
            </w:r>
          </w:p>
        </w:tc>
        <w:tc>
          <w:tcPr>
            <w:tcW w:w="946" w:type="dxa"/>
          </w:tcPr>
          <w:p w14:paraId="586897C6"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3F936D95"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$310,599</w:t>
            </w:r>
          </w:p>
        </w:tc>
      </w:tr>
      <w:tr w:rsidR="00B71B4E" w:rsidRPr="00BD16B4" w14:paraId="39D6A2AF" w14:textId="77777777" w:rsidTr="00F31129">
        <w:tc>
          <w:tcPr>
            <w:tcW w:w="1474" w:type="dxa"/>
          </w:tcPr>
          <w:p w14:paraId="4400B3DA" w14:textId="77777777" w:rsidR="00B71B4E" w:rsidRPr="00BD16B4" w:rsidRDefault="00B71B4E" w:rsidP="00451ED8">
            <w:pPr>
              <w:pStyle w:val="TableText"/>
              <w:keepNext/>
              <w:spacing w:before="40" w:after="40" w:line="220" w:lineRule="atLeast"/>
              <w:rPr>
                <w:sz w:val="16"/>
                <w:szCs w:val="16"/>
                <w:lang w:val="en-NZ"/>
              </w:rPr>
            </w:pPr>
            <w:r w:rsidRPr="00BD16B4">
              <w:rPr>
                <w:sz w:val="16"/>
                <w:szCs w:val="16"/>
                <w:lang w:val="en-NZ"/>
              </w:rPr>
              <w:lastRenderedPageBreak/>
              <w:t>Agritech for Climate-smart Dairy</w:t>
            </w:r>
          </w:p>
        </w:tc>
        <w:tc>
          <w:tcPr>
            <w:tcW w:w="1711" w:type="dxa"/>
          </w:tcPr>
          <w:p w14:paraId="6A009A1E"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Generating digital tools to implement climate-smart dairy in the targeted region</w:t>
            </w:r>
          </w:p>
        </w:tc>
        <w:tc>
          <w:tcPr>
            <w:tcW w:w="1064" w:type="dxa"/>
          </w:tcPr>
          <w:p w14:paraId="34256EA1"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Argentina, Costa Rica, Dominican Republic, Honduras, Uruguay</w:t>
            </w:r>
          </w:p>
        </w:tc>
        <w:tc>
          <w:tcPr>
            <w:tcW w:w="895" w:type="dxa"/>
          </w:tcPr>
          <w:p w14:paraId="1B11E863"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auto"/>
            </w:tcBorders>
          </w:tcPr>
          <w:p w14:paraId="190CE5E6"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auto"/>
            </w:tcBorders>
          </w:tcPr>
          <w:p w14:paraId="1EDC6A6B"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Creating a digital platform to monitor real-time productive, climate and management aspects that allow the implementation of climate-smart dairy establishments in the region</w:t>
            </w:r>
          </w:p>
        </w:tc>
        <w:tc>
          <w:tcPr>
            <w:tcW w:w="739" w:type="dxa"/>
          </w:tcPr>
          <w:p w14:paraId="08EB57C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2020–24</w:t>
            </w:r>
          </w:p>
        </w:tc>
        <w:tc>
          <w:tcPr>
            <w:tcW w:w="1877" w:type="dxa"/>
          </w:tcPr>
          <w:p w14:paraId="4792222A"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Partnership with FONTAGRO</w:t>
            </w:r>
          </w:p>
        </w:tc>
        <w:tc>
          <w:tcPr>
            <w:tcW w:w="2047" w:type="dxa"/>
          </w:tcPr>
          <w:p w14:paraId="4C356EB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Creating reliable data for farmers and technicians for the sustainable management of milk establishments</w:t>
            </w:r>
          </w:p>
        </w:tc>
        <w:tc>
          <w:tcPr>
            <w:tcW w:w="946" w:type="dxa"/>
          </w:tcPr>
          <w:p w14:paraId="38E43014"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25153673"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$279,503</w:t>
            </w:r>
          </w:p>
        </w:tc>
      </w:tr>
      <w:tr w:rsidR="00B71B4E" w:rsidRPr="00BD16B4" w14:paraId="78DC6601" w14:textId="77777777" w:rsidTr="00F31129">
        <w:tc>
          <w:tcPr>
            <w:tcW w:w="1474" w:type="dxa"/>
          </w:tcPr>
          <w:p w14:paraId="7A2BE34B"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 xml:space="preserve">Innovation in Pasture Management </w:t>
            </w:r>
          </w:p>
        </w:tc>
        <w:tc>
          <w:tcPr>
            <w:tcW w:w="1711" w:type="dxa"/>
          </w:tcPr>
          <w:p w14:paraId="00BBBEA5"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Improving self-sufficiency and sustainability of livestock production</w:t>
            </w:r>
          </w:p>
        </w:tc>
        <w:tc>
          <w:tcPr>
            <w:tcW w:w="1064" w:type="dxa"/>
          </w:tcPr>
          <w:p w14:paraId="3D8D5FF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Argentina, Costa Rica, Uruguay</w:t>
            </w:r>
          </w:p>
        </w:tc>
        <w:tc>
          <w:tcPr>
            <w:tcW w:w="895" w:type="dxa"/>
          </w:tcPr>
          <w:p w14:paraId="73A6432A"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auto"/>
            </w:tcBorders>
          </w:tcPr>
          <w:p w14:paraId="4C6BAAC7"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auto"/>
            </w:tcBorders>
          </w:tcPr>
          <w:p w14:paraId="59836C55"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Improving grass harvest produced on family farms, through the use of drones and decision support platform</w:t>
            </w:r>
          </w:p>
        </w:tc>
        <w:tc>
          <w:tcPr>
            <w:tcW w:w="739" w:type="dxa"/>
          </w:tcPr>
          <w:p w14:paraId="21DFE321"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2020–24</w:t>
            </w:r>
          </w:p>
        </w:tc>
        <w:tc>
          <w:tcPr>
            <w:tcW w:w="1877" w:type="dxa"/>
          </w:tcPr>
          <w:p w14:paraId="25193232"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Partnership with FONTAGRO</w:t>
            </w:r>
          </w:p>
        </w:tc>
        <w:tc>
          <w:tcPr>
            <w:tcW w:w="2047" w:type="dxa"/>
          </w:tcPr>
          <w:p w14:paraId="52A76D66"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Developing new technologies to help farmers increase their harvest and facilitate management decisions</w:t>
            </w:r>
          </w:p>
        </w:tc>
        <w:tc>
          <w:tcPr>
            <w:tcW w:w="946" w:type="dxa"/>
          </w:tcPr>
          <w:p w14:paraId="7C1CB599"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746F9CB9"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$310,559</w:t>
            </w:r>
          </w:p>
        </w:tc>
      </w:tr>
      <w:tr w:rsidR="00B71B4E" w:rsidRPr="00BD16B4" w14:paraId="6057F278" w14:textId="77777777" w:rsidTr="00F31129">
        <w:tc>
          <w:tcPr>
            <w:tcW w:w="1474" w:type="dxa"/>
          </w:tcPr>
          <w:p w14:paraId="3A423DDB"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Organic-Carbon Sequestration in Latin American and Caribbean (LAC) Soils</w:t>
            </w:r>
          </w:p>
        </w:tc>
        <w:tc>
          <w:tcPr>
            <w:tcW w:w="1711" w:type="dxa"/>
          </w:tcPr>
          <w:p w14:paraId="1A4BE064"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Contributing to the design of land uses management with potential for sequestration of soil carbon in the agricultural system</w:t>
            </w:r>
          </w:p>
        </w:tc>
        <w:tc>
          <w:tcPr>
            <w:tcW w:w="1064" w:type="dxa"/>
          </w:tcPr>
          <w:p w14:paraId="6BEC0A08"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Uruguay, Argentina, Chile, Colombia, Costa Rica</w:t>
            </w:r>
          </w:p>
        </w:tc>
        <w:tc>
          <w:tcPr>
            <w:tcW w:w="895" w:type="dxa"/>
          </w:tcPr>
          <w:p w14:paraId="5949CD77"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auto"/>
            </w:tcBorders>
          </w:tcPr>
          <w:p w14:paraId="7F5C321B"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auto"/>
            </w:tcBorders>
          </w:tcPr>
          <w:p w14:paraId="0EFB3AE2"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Generating capacities in LAC to quantify and monitor coil carbon stock</w:t>
            </w:r>
          </w:p>
        </w:tc>
        <w:tc>
          <w:tcPr>
            <w:tcW w:w="739" w:type="dxa"/>
          </w:tcPr>
          <w:p w14:paraId="570EBA5B"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2020–24</w:t>
            </w:r>
          </w:p>
        </w:tc>
        <w:tc>
          <w:tcPr>
            <w:tcW w:w="1877" w:type="dxa"/>
          </w:tcPr>
          <w:p w14:paraId="6B100F1F"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Partnership with FONTAGRO</w:t>
            </w:r>
          </w:p>
        </w:tc>
        <w:tc>
          <w:tcPr>
            <w:tcW w:w="2047" w:type="dxa"/>
          </w:tcPr>
          <w:p w14:paraId="6220FED6"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Identifying and evaluating strategies for intensification of agricultural production systems in LAC with potential for mitigation and adaptation to climate change</w:t>
            </w:r>
          </w:p>
        </w:tc>
        <w:tc>
          <w:tcPr>
            <w:tcW w:w="946" w:type="dxa"/>
          </w:tcPr>
          <w:p w14:paraId="26DD4B35"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129B0693"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$397,331</w:t>
            </w:r>
          </w:p>
        </w:tc>
      </w:tr>
      <w:tr w:rsidR="00B71B4E" w:rsidRPr="00BD16B4" w14:paraId="1F05946D" w14:textId="77777777" w:rsidTr="00F31129">
        <w:tc>
          <w:tcPr>
            <w:tcW w:w="1474" w:type="dxa"/>
          </w:tcPr>
          <w:p w14:paraId="28FDC0DC"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Regional and Technical Engagement in South and East Africa</w:t>
            </w:r>
          </w:p>
        </w:tc>
        <w:tc>
          <w:tcPr>
            <w:tcW w:w="1711" w:type="dxa"/>
          </w:tcPr>
          <w:p w14:paraId="29DC748A"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Improving the livestock GHG inventory of Kenya</w:t>
            </w:r>
          </w:p>
        </w:tc>
        <w:tc>
          <w:tcPr>
            <w:tcW w:w="1064" w:type="dxa"/>
          </w:tcPr>
          <w:p w14:paraId="096FA9F4"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Tanzania, Kenya, Botswana, Zambia, Malawi, South Africa</w:t>
            </w:r>
          </w:p>
        </w:tc>
        <w:tc>
          <w:tcPr>
            <w:tcW w:w="895" w:type="dxa"/>
          </w:tcPr>
          <w:p w14:paraId="1BD7A4A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auto"/>
            </w:tcBorders>
          </w:tcPr>
          <w:p w14:paraId="3AD33D55"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auto"/>
            </w:tcBorders>
          </w:tcPr>
          <w:p w14:paraId="54E4A9FD"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In partnership with FAO and local institutes, a three-day technical workshop to develop a Tier 2 inventory for Kenya’s dairy sector</w:t>
            </w:r>
          </w:p>
        </w:tc>
        <w:tc>
          <w:tcPr>
            <w:tcW w:w="739" w:type="dxa"/>
          </w:tcPr>
          <w:p w14:paraId="635A2D05"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2018–19</w:t>
            </w:r>
          </w:p>
        </w:tc>
        <w:tc>
          <w:tcPr>
            <w:tcW w:w="1877" w:type="dxa"/>
          </w:tcPr>
          <w:p w14:paraId="157DF80E"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Built on existing work with Kenya via the joint GRA–FAO–CCAC project, ‘Reducing enteric methane for improving food security and livelihoods’</w:t>
            </w:r>
          </w:p>
        </w:tc>
        <w:tc>
          <w:tcPr>
            <w:tcW w:w="2047" w:type="dxa"/>
          </w:tcPr>
          <w:p w14:paraId="1CA1DF65"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Developed a higher-tier GHG inventory for the dairy sector to account for mitigation practices and technologies</w:t>
            </w:r>
          </w:p>
        </w:tc>
        <w:tc>
          <w:tcPr>
            <w:tcW w:w="946" w:type="dxa"/>
          </w:tcPr>
          <w:p w14:paraId="0903E2E9"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7524C77A"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$68,856</w:t>
            </w:r>
          </w:p>
        </w:tc>
      </w:tr>
      <w:tr w:rsidR="00B71B4E" w:rsidRPr="00BD16B4" w14:paraId="36439B05" w14:textId="77777777" w:rsidTr="00F31129">
        <w:tc>
          <w:tcPr>
            <w:tcW w:w="1474" w:type="dxa"/>
          </w:tcPr>
          <w:p w14:paraId="341BCBE0" w14:textId="77777777" w:rsidR="00B71B4E" w:rsidRPr="00BD16B4" w:rsidRDefault="00B71B4E" w:rsidP="00451ED8">
            <w:pPr>
              <w:pStyle w:val="TableText"/>
              <w:keepNext/>
              <w:spacing w:before="40" w:after="40" w:line="220" w:lineRule="atLeast"/>
              <w:rPr>
                <w:sz w:val="16"/>
                <w:szCs w:val="16"/>
                <w:lang w:val="en-NZ"/>
              </w:rPr>
            </w:pPr>
            <w:r w:rsidRPr="00BD16B4">
              <w:rPr>
                <w:sz w:val="16"/>
                <w:szCs w:val="16"/>
                <w:lang w:val="en-NZ"/>
              </w:rPr>
              <w:lastRenderedPageBreak/>
              <w:t>Regional and Technical Engagement in South and East Africa</w:t>
            </w:r>
          </w:p>
        </w:tc>
        <w:tc>
          <w:tcPr>
            <w:tcW w:w="1711" w:type="dxa"/>
          </w:tcPr>
          <w:p w14:paraId="296925A5"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Regional GRA engagement with East African countries</w:t>
            </w:r>
          </w:p>
        </w:tc>
        <w:tc>
          <w:tcPr>
            <w:tcW w:w="1064" w:type="dxa"/>
          </w:tcPr>
          <w:p w14:paraId="41D5F98B"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Ethiopia, Ivory Coast, Kenya, Tanzania, Uganda</w:t>
            </w:r>
          </w:p>
        </w:tc>
        <w:tc>
          <w:tcPr>
            <w:tcW w:w="895" w:type="dxa"/>
          </w:tcPr>
          <w:p w14:paraId="48D311BA"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auto"/>
            </w:tcBorders>
          </w:tcPr>
          <w:p w14:paraId="645BEA4E"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auto"/>
            </w:tcBorders>
          </w:tcPr>
          <w:p w14:paraId="35389518"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On behalf of the GRA and working in partnership with CCAFS, FAO, the World Bank and the African Climate Policy Centre, NZAGRC</w:t>
            </w:r>
          </w:p>
        </w:tc>
        <w:tc>
          <w:tcPr>
            <w:tcW w:w="739" w:type="dxa"/>
          </w:tcPr>
          <w:p w14:paraId="56BC7CA1"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2018–19</w:t>
            </w:r>
          </w:p>
        </w:tc>
        <w:tc>
          <w:tcPr>
            <w:tcW w:w="1877" w:type="dxa"/>
          </w:tcPr>
          <w:p w14:paraId="18060E33"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Coordination across responsible agencies, government, researchers and regional organisations</w:t>
            </w:r>
          </w:p>
        </w:tc>
        <w:tc>
          <w:tcPr>
            <w:tcW w:w="2047" w:type="dxa"/>
          </w:tcPr>
          <w:p w14:paraId="3B5B689C"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Demonstrated how science underpins this work, including helping to support countries’ NDCs. Identified ways to build regional and national capacity through future activities</w:t>
            </w:r>
          </w:p>
        </w:tc>
        <w:tc>
          <w:tcPr>
            <w:tcW w:w="946" w:type="dxa"/>
          </w:tcPr>
          <w:p w14:paraId="3CC8F759"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04C5E089"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$68,856</w:t>
            </w:r>
          </w:p>
        </w:tc>
      </w:tr>
      <w:tr w:rsidR="00B71B4E" w:rsidRPr="00BD16B4" w14:paraId="23AFDF55" w14:textId="77777777" w:rsidTr="00F31129">
        <w:tc>
          <w:tcPr>
            <w:tcW w:w="1474" w:type="dxa"/>
          </w:tcPr>
          <w:p w14:paraId="5A9EF1F2"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The Effect of Feed and Nutrition on Methane Emissions from Cattle in South East Asia and South America</w:t>
            </w:r>
          </w:p>
        </w:tc>
        <w:tc>
          <w:tcPr>
            <w:tcW w:w="1711" w:type="dxa"/>
          </w:tcPr>
          <w:p w14:paraId="1EB4B6AB"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Improving the quantification of the effects of feed and nutrition on enteric methane emissions from cattle</w:t>
            </w:r>
          </w:p>
        </w:tc>
        <w:tc>
          <w:tcPr>
            <w:tcW w:w="1064" w:type="dxa"/>
          </w:tcPr>
          <w:p w14:paraId="15D08B3A"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Malaysia, Colombia, Argentina, Brazil, Chile, Costa Rica, Mexico, Peru, Uruguay, Indonesia, Thailand, Viet Nam, China, Philippines, Cambodia, Lao PDR</w:t>
            </w:r>
          </w:p>
        </w:tc>
        <w:tc>
          <w:tcPr>
            <w:tcW w:w="895" w:type="dxa"/>
          </w:tcPr>
          <w:p w14:paraId="7C79E005"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auto"/>
            </w:tcBorders>
          </w:tcPr>
          <w:p w14:paraId="6A94299B"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auto"/>
            </w:tcBorders>
          </w:tcPr>
          <w:p w14:paraId="510D2102"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Generating more data for production systems in South East Asia and South America to develop specific methane yield values for the region</w:t>
            </w:r>
          </w:p>
        </w:tc>
        <w:tc>
          <w:tcPr>
            <w:tcW w:w="739" w:type="dxa"/>
          </w:tcPr>
          <w:p w14:paraId="7FB833AC"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2019–21</w:t>
            </w:r>
          </w:p>
        </w:tc>
        <w:tc>
          <w:tcPr>
            <w:tcW w:w="1877" w:type="dxa"/>
          </w:tcPr>
          <w:p w14:paraId="58A3478B"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Expanded animal feed databases to represent production systems in South East Asia and South America</w:t>
            </w:r>
          </w:p>
        </w:tc>
        <w:tc>
          <w:tcPr>
            <w:tcW w:w="2047" w:type="dxa"/>
          </w:tcPr>
          <w:p w14:paraId="0AFC754B"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Creating more reliable and precise databases to improve animal feed and reduce methane emissions efficiently</w:t>
            </w:r>
          </w:p>
        </w:tc>
        <w:tc>
          <w:tcPr>
            <w:tcW w:w="946" w:type="dxa"/>
          </w:tcPr>
          <w:p w14:paraId="122C70E7"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4DF3F94D"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$328,497</w:t>
            </w:r>
          </w:p>
        </w:tc>
      </w:tr>
      <w:tr w:rsidR="00B71B4E" w:rsidRPr="00BD16B4" w14:paraId="324C911D" w14:textId="77777777" w:rsidTr="00F31129">
        <w:tc>
          <w:tcPr>
            <w:tcW w:w="1474" w:type="dxa"/>
          </w:tcPr>
          <w:p w14:paraId="2D1789FC"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Enteric Fermentation: Rumen Microbiomes to Predict Methane</w:t>
            </w:r>
          </w:p>
        </w:tc>
        <w:tc>
          <w:tcPr>
            <w:tcW w:w="1711" w:type="dxa"/>
          </w:tcPr>
          <w:p w14:paraId="7B1554AC"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Sequencing microbiome profiles of ruminant species from multiple countries</w:t>
            </w:r>
          </w:p>
        </w:tc>
        <w:tc>
          <w:tcPr>
            <w:tcW w:w="1064" w:type="dxa"/>
          </w:tcPr>
          <w:p w14:paraId="7C5E394D"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Brazil, Peru, Uruguay</w:t>
            </w:r>
          </w:p>
        </w:tc>
        <w:tc>
          <w:tcPr>
            <w:tcW w:w="895" w:type="dxa"/>
          </w:tcPr>
          <w:p w14:paraId="45C931B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auto"/>
            </w:tcBorders>
          </w:tcPr>
          <w:p w14:paraId="52840A5F"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auto"/>
            </w:tcBorders>
          </w:tcPr>
          <w:p w14:paraId="2E8ECBC2"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Developing a rapid sequencing technology to generate low-cost profiling of rumen microbiome that can be used to predict methane emissions</w:t>
            </w:r>
          </w:p>
        </w:tc>
        <w:tc>
          <w:tcPr>
            <w:tcW w:w="739" w:type="dxa"/>
          </w:tcPr>
          <w:p w14:paraId="372BA4DF"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2018–22</w:t>
            </w:r>
          </w:p>
        </w:tc>
        <w:tc>
          <w:tcPr>
            <w:tcW w:w="1877" w:type="dxa"/>
          </w:tcPr>
          <w:p w14:paraId="2060DF39"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Global collaboration to understand how the rumen adapts to different production system</w:t>
            </w:r>
          </w:p>
        </w:tc>
        <w:tc>
          <w:tcPr>
            <w:tcW w:w="2047" w:type="dxa"/>
          </w:tcPr>
          <w:p w14:paraId="3F6049E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Generated a method of profiling the rumen microbiome with low cost and in live animals at any stage of production</w:t>
            </w:r>
          </w:p>
        </w:tc>
        <w:tc>
          <w:tcPr>
            <w:tcW w:w="946" w:type="dxa"/>
          </w:tcPr>
          <w:p w14:paraId="6BFEEABE"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2D806918"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$367,024</w:t>
            </w:r>
          </w:p>
        </w:tc>
      </w:tr>
      <w:tr w:rsidR="00B71B4E" w:rsidRPr="00BD16B4" w14:paraId="25DFF47E" w14:textId="77777777" w:rsidTr="00F31129">
        <w:tc>
          <w:tcPr>
            <w:tcW w:w="1474" w:type="dxa"/>
          </w:tcPr>
          <w:p w14:paraId="3E67E5BE" w14:textId="77777777" w:rsidR="00B71B4E" w:rsidRPr="00BD16B4" w:rsidRDefault="00B71B4E" w:rsidP="00451ED8">
            <w:pPr>
              <w:pStyle w:val="TableText"/>
              <w:keepNext/>
              <w:spacing w:before="40" w:after="40" w:line="220" w:lineRule="atLeast"/>
              <w:rPr>
                <w:sz w:val="16"/>
                <w:szCs w:val="16"/>
                <w:lang w:val="en-NZ"/>
              </w:rPr>
            </w:pPr>
            <w:r w:rsidRPr="00BD16B4">
              <w:rPr>
                <w:sz w:val="16"/>
                <w:szCs w:val="16"/>
                <w:lang w:val="en-NZ"/>
              </w:rPr>
              <w:lastRenderedPageBreak/>
              <w:t>MRV of Livestock Emissions at the Provincial Level in China</w:t>
            </w:r>
          </w:p>
        </w:tc>
        <w:tc>
          <w:tcPr>
            <w:tcW w:w="1711" w:type="dxa"/>
          </w:tcPr>
          <w:p w14:paraId="32E58C8E"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Developing methods and systems for advanced (Tier 2) measurement, reporting and verification (MRV)</w:t>
            </w:r>
          </w:p>
        </w:tc>
        <w:tc>
          <w:tcPr>
            <w:tcW w:w="1064" w:type="dxa"/>
          </w:tcPr>
          <w:p w14:paraId="2B4DF7F5"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China</w:t>
            </w:r>
          </w:p>
        </w:tc>
        <w:tc>
          <w:tcPr>
            <w:tcW w:w="895" w:type="dxa"/>
          </w:tcPr>
          <w:p w14:paraId="692E39B5"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auto"/>
            </w:tcBorders>
          </w:tcPr>
          <w:p w14:paraId="2D68CE7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auto"/>
            </w:tcBorders>
          </w:tcPr>
          <w:p w14:paraId="28C477EE"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Delivering improved guidance for provincial-level implementation of Tier 2 inventories</w:t>
            </w:r>
          </w:p>
        </w:tc>
        <w:tc>
          <w:tcPr>
            <w:tcW w:w="739" w:type="dxa"/>
          </w:tcPr>
          <w:p w14:paraId="1439A5C1"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2018–20</w:t>
            </w:r>
          </w:p>
        </w:tc>
        <w:tc>
          <w:tcPr>
            <w:tcW w:w="1877" w:type="dxa"/>
          </w:tcPr>
          <w:p w14:paraId="02988AC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Collaboration with international research centres</w:t>
            </w:r>
          </w:p>
        </w:tc>
        <w:tc>
          <w:tcPr>
            <w:tcW w:w="2047" w:type="dxa"/>
          </w:tcPr>
          <w:p w14:paraId="310F8C9E"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Sharing improved guidance for provincial-level implementation of MRV – Tier 2 for compilers, and sharing project’s outcomes with policy-makers</w:t>
            </w:r>
          </w:p>
        </w:tc>
        <w:tc>
          <w:tcPr>
            <w:tcW w:w="946" w:type="dxa"/>
          </w:tcPr>
          <w:p w14:paraId="3C924AF7"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5352ADBC"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$193,118</w:t>
            </w:r>
          </w:p>
        </w:tc>
      </w:tr>
      <w:tr w:rsidR="00B71B4E" w:rsidRPr="00BD16B4" w14:paraId="7F279584" w14:textId="77777777" w:rsidTr="00F31129">
        <w:tc>
          <w:tcPr>
            <w:tcW w:w="1474" w:type="dxa"/>
          </w:tcPr>
          <w:p w14:paraId="1BB34E88" w14:textId="77777777" w:rsidR="00B71B4E" w:rsidRPr="00BD16B4" w:rsidRDefault="00B71B4E" w:rsidP="00451ED8">
            <w:pPr>
              <w:pStyle w:val="TableText"/>
              <w:keepNext/>
              <w:spacing w:before="40" w:after="40" w:line="220" w:lineRule="atLeast"/>
              <w:rPr>
                <w:sz w:val="16"/>
                <w:szCs w:val="16"/>
                <w:lang w:val="en-NZ"/>
              </w:rPr>
            </w:pPr>
            <w:r w:rsidRPr="00BD16B4">
              <w:rPr>
                <w:sz w:val="16"/>
                <w:szCs w:val="16"/>
                <w:lang w:val="en-NZ"/>
              </w:rPr>
              <w:t>Discovery of new nitrification inhibitors: Phase II</w:t>
            </w:r>
          </w:p>
        </w:tc>
        <w:tc>
          <w:tcPr>
            <w:tcW w:w="1711" w:type="dxa"/>
          </w:tcPr>
          <w:p w14:paraId="48D87931"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Identifying novel compounds to nitrification and mitigate nitrous oxide emissions</w:t>
            </w:r>
          </w:p>
        </w:tc>
        <w:tc>
          <w:tcPr>
            <w:tcW w:w="1064" w:type="dxa"/>
          </w:tcPr>
          <w:p w14:paraId="33AE3913"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China</w:t>
            </w:r>
          </w:p>
        </w:tc>
        <w:tc>
          <w:tcPr>
            <w:tcW w:w="895" w:type="dxa"/>
          </w:tcPr>
          <w:p w14:paraId="3DD0537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auto"/>
            </w:tcBorders>
          </w:tcPr>
          <w:p w14:paraId="7C1DB8BD"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auto"/>
            </w:tcBorders>
          </w:tcPr>
          <w:p w14:paraId="1B452EB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Identifying novel compounds to nitrification and mitigating nitrous oxide emissions</w:t>
            </w:r>
          </w:p>
        </w:tc>
        <w:tc>
          <w:tcPr>
            <w:tcW w:w="739" w:type="dxa"/>
          </w:tcPr>
          <w:p w14:paraId="481CCB83"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2017–20</w:t>
            </w:r>
          </w:p>
        </w:tc>
        <w:tc>
          <w:tcPr>
            <w:tcW w:w="1877" w:type="dxa"/>
          </w:tcPr>
          <w:p w14:paraId="13B8359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New Zealand’s International Research Fund ‘Global Partnerships in Livestock Emissions Research’ supports the participation of developing country researchers</w:t>
            </w:r>
          </w:p>
        </w:tc>
        <w:tc>
          <w:tcPr>
            <w:tcW w:w="2047" w:type="dxa"/>
          </w:tcPr>
          <w:p w14:paraId="1CEB880B"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Involving international partners from China and the United Kingdom. Shared the high-throughput screening mechanisms for novel inhibitors developed in New Zealand</w:t>
            </w:r>
          </w:p>
        </w:tc>
        <w:tc>
          <w:tcPr>
            <w:tcW w:w="946" w:type="dxa"/>
          </w:tcPr>
          <w:p w14:paraId="12CEC05A"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20B5F292"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$50,000</w:t>
            </w:r>
          </w:p>
        </w:tc>
      </w:tr>
      <w:tr w:rsidR="00B71B4E" w:rsidRPr="00BD16B4" w14:paraId="60AC0B12" w14:textId="77777777" w:rsidTr="00F31129">
        <w:tc>
          <w:tcPr>
            <w:tcW w:w="1474" w:type="dxa"/>
          </w:tcPr>
          <w:p w14:paraId="2C9FD7EC"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Antibody Binding to Antigenic Targets in the Rumen</w:t>
            </w:r>
          </w:p>
        </w:tc>
        <w:tc>
          <w:tcPr>
            <w:tcW w:w="1711" w:type="dxa"/>
          </w:tcPr>
          <w:p w14:paraId="0B2B5307"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Improving the effectiveness of anti-methanogen vaccines</w:t>
            </w:r>
          </w:p>
        </w:tc>
        <w:tc>
          <w:tcPr>
            <w:tcW w:w="1064" w:type="dxa"/>
          </w:tcPr>
          <w:p w14:paraId="181CE24D"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Argentina</w:t>
            </w:r>
          </w:p>
        </w:tc>
        <w:tc>
          <w:tcPr>
            <w:tcW w:w="895" w:type="dxa"/>
          </w:tcPr>
          <w:p w14:paraId="272264A3"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auto"/>
            </w:tcBorders>
          </w:tcPr>
          <w:p w14:paraId="6D7B91AF"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auto"/>
            </w:tcBorders>
          </w:tcPr>
          <w:p w14:paraId="3890E9ED"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Optimise antigen production and improve the effectiveness of anti-methanogen vaccines</w:t>
            </w:r>
          </w:p>
        </w:tc>
        <w:tc>
          <w:tcPr>
            <w:tcW w:w="739" w:type="dxa"/>
          </w:tcPr>
          <w:p w14:paraId="2A6AEC9C"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2017–20</w:t>
            </w:r>
          </w:p>
        </w:tc>
        <w:tc>
          <w:tcPr>
            <w:tcW w:w="1877" w:type="dxa"/>
          </w:tcPr>
          <w:p w14:paraId="6303E966"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New Zealand’s International Research Fund ‘Global Partnerships in Livestock Emissions Research’ supports the participation of developing country researchers</w:t>
            </w:r>
          </w:p>
        </w:tc>
        <w:tc>
          <w:tcPr>
            <w:tcW w:w="2047" w:type="dxa"/>
          </w:tcPr>
          <w:p w14:paraId="281DC7E5"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Involving international partners from Argentina and Australia</w:t>
            </w:r>
          </w:p>
        </w:tc>
        <w:tc>
          <w:tcPr>
            <w:tcW w:w="946" w:type="dxa"/>
          </w:tcPr>
          <w:p w14:paraId="198A6DDE"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6EA590AC"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$120,000</w:t>
            </w:r>
          </w:p>
        </w:tc>
      </w:tr>
      <w:tr w:rsidR="00B71B4E" w:rsidRPr="00BD16B4" w14:paraId="5A08342C" w14:textId="77777777" w:rsidTr="00F31129">
        <w:tc>
          <w:tcPr>
            <w:tcW w:w="1474" w:type="dxa"/>
          </w:tcPr>
          <w:p w14:paraId="4331A3A8" w14:textId="77777777" w:rsidR="00B71B4E" w:rsidRPr="00BD16B4" w:rsidDel="00FF2807" w:rsidRDefault="00B71B4E" w:rsidP="00451ED8">
            <w:pPr>
              <w:pStyle w:val="TableText"/>
              <w:spacing w:before="40" w:after="40" w:line="220" w:lineRule="atLeast"/>
              <w:rPr>
                <w:sz w:val="16"/>
                <w:szCs w:val="16"/>
                <w:lang w:val="en-NZ"/>
              </w:rPr>
            </w:pPr>
            <w:r w:rsidRPr="00BD16B4">
              <w:rPr>
                <w:sz w:val="16"/>
                <w:szCs w:val="16"/>
                <w:lang w:val="en-NZ"/>
              </w:rPr>
              <w:t>Emissions Avoidance of Soil Carbon from Lands Undergoing Practice Change</w:t>
            </w:r>
          </w:p>
        </w:tc>
        <w:tc>
          <w:tcPr>
            <w:tcW w:w="1711" w:type="dxa"/>
          </w:tcPr>
          <w:p w14:paraId="62603002" w14:textId="77777777" w:rsidR="00B71B4E" w:rsidRPr="00BD16B4" w:rsidDel="00FF2807" w:rsidRDefault="00B71B4E" w:rsidP="00451ED8">
            <w:pPr>
              <w:pStyle w:val="TableText"/>
              <w:spacing w:before="40" w:after="40" w:line="220" w:lineRule="atLeast"/>
              <w:rPr>
                <w:sz w:val="16"/>
                <w:szCs w:val="16"/>
                <w:lang w:val="en-NZ"/>
              </w:rPr>
            </w:pPr>
            <w:r w:rsidRPr="00BD16B4">
              <w:rPr>
                <w:sz w:val="16"/>
                <w:szCs w:val="16"/>
                <w:lang w:val="en-NZ"/>
              </w:rPr>
              <w:t>Understanding the possible options in soil management that may prevent or reduce the rapid initial loss of soil carbon</w:t>
            </w:r>
          </w:p>
        </w:tc>
        <w:tc>
          <w:tcPr>
            <w:tcW w:w="1064" w:type="dxa"/>
          </w:tcPr>
          <w:p w14:paraId="1F1E9D9C" w14:textId="77777777" w:rsidR="00B71B4E" w:rsidRPr="00BD16B4" w:rsidDel="00FF2807" w:rsidRDefault="00B71B4E" w:rsidP="00451ED8">
            <w:pPr>
              <w:pStyle w:val="TableText"/>
              <w:spacing w:before="40" w:after="40" w:line="220" w:lineRule="atLeast"/>
              <w:rPr>
                <w:sz w:val="16"/>
                <w:szCs w:val="16"/>
                <w:lang w:val="en-NZ"/>
              </w:rPr>
            </w:pPr>
            <w:r w:rsidRPr="00BD16B4">
              <w:rPr>
                <w:sz w:val="16"/>
                <w:szCs w:val="16"/>
                <w:lang w:val="en-NZ"/>
              </w:rPr>
              <w:t>Indonesia</w:t>
            </w:r>
          </w:p>
        </w:tc>
        <w:tc>
          <w:tcPr>
            <w:tcW w:w="895" w:type="dxa"/>
          </w:tcPr>
          <w:p w14:paraId="74913E30" w14:textId="77777777" w:rsidR="00B71B4E" w:rsidRPr="00BD16B4" w:rsidDel="00FF2807"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auto"/>
            </w:tcBorders>
          </w:tcPr>
          <w:p w14:paraId="030BB373" w14:textId="77777777" w:rsidR="00B71B4E" w:rsidRPr="00BD16B4" w:rsidDel="00FF2807"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auto"/>
            </w:tcBorders>
          </w:tcPr>
          <w:p w14:paraId="72EFE790" w14:textId="77777777" w:rsidR="00B71B4E" w:rsidRPr="00BD16B4" w:rsidDel="00FF2807" w:rsidRDefault="00B71B4E" w:rsidP="00451ED8">
            <w:pPr>
              <w:pStyle w:val="TableText"/>
              <w:spacing w:before="40" w:after="40" w:line="220" w:lineRule="atLeast"/>
              <w:rPr>
                <w:sz w:val="16"/>
                <w:szCs w:val="16"/>
                <w:lang w:val="en-NZ"/>
              </w:rPr>
            </w:pPr>
            <w:r w:rsidRPr="00BD16B4">
              <w:rPr>
                <w:sz w:val="16"/>
                <w:szCs w:val="16"/>
                <w:lang w:val="en-NZ"/>
              </w:rPr>
              <w:t>Using the latest information in published and grey literature, along with professional expertise to understand how to reduce soil carbon losses</w:t>
            </w:r>
          </w:p>
        </w:tc>
        <w:tc>
          <w:tcPr>
            <w:tcW w:w="739" w:type="dxa"/>
          </w:tcPr>
          <w:p w14:paraId="789386A2" w14:textId="77777777" w:rsidR="00B71B4E" w:rsidRPr="00BD16B4" w:rsidDel="00FF2807" w:rsidRDefault="00B71B4E" w:rsidP="00451ED8">
            <w:pPr>
              <w:pStyle w:val="TableText"/>
              <w:spacing w:before="40" w:after="40" w:line="220" w:lineRule="atLeast"/>
              <w:rPr>
                <w:sz w:val="16"/>
                <w:szCs w:val="16"/>
                <w:lang w:val="en-NZ"/>
              </w:rPr>
            </w:pPr>
            <w:r w:rsidRPr="00BD16B4">
              <w:rPr>
                <w:sz w:val="16"/>
                <w:szCs w:val="16"/>
                <w:lang w:val="en-NZ"/>
              </w:rPr>
              <w:t>2019–20</w:t>
            </w:r>
          </w:p>
        </w:tc>
        <w:tc>
          <w:tcPr>
            <w:tcW w:w="1877" w:type="dxa"/>
          </w:tcPr>
          <w:p w14:paraId="4EA0E76B" w14:textId="77777777" w:rsidR="00B71B4E" w:rsidRPr="00BD16B4" w:rsidDel="00FF2807" w:rsidRDefault="00B71B4E" w:rsidP="00451ED8">
            <w:pPr>
              <w:pStyle w:val="TableText"/>
              <w:spacing w:before="40" w:after="40" w:line="220" w:lineRule="atLeast"/>
              <w:rPr>
                <w:sz w:val="16"/>
                <w:szCs w:val="16"/>
                <w:lang w:val="en-NZ"/>
              </w:rPr>
            </w:pPr>
            <w:r w:rsidRPr="00BD16B4">
              <w:rPr>
                <w:sz w:val="16"/>
                <w:szCs w:val="16"/>
                <w:lang w:val="en-NZ"/>
              </w:rPr>
              <w:t>Partnership with ACIAR</w:t>
            </w:r>
          </w:p>
        </w:tc>
        <w:tc>
          <w:tcPr>
            <w:tcW w:w="2047" w:type="dxa"/>
          </w:tcPr>
          <w:p w14:paraId="0DDAC360" w14:textId="77777777" w:rsidR="00B71B4E" w:rsidRPr="00BD16B4" w:rsidDel="00FF2807" w:rsidRDefault="00B71B4E" w:rsidP="00451ED8">
            <w:pPr>
              <w:pStyle w:val="TableText"/>
              <w:spacing w:before="40" w:after="40" w:line="220" w:lineRule="atLeast"/>
              <w:rPr>
                <w:sz w:val="16"/>
                <w:szCs w:val="16"/>
                <w:lang w:val="en-NZ"/>
              </w:rPr>
            </w:pPr>
            <w:r w:rsidRPr="00BD16B4">
              <w:rPr>
                <w:sz w:val="16"/>
                <w:szCs w:val="16"/>
                <w:lang w:val="en-NZ"/>
              </w:rPr>
              <w:t>Identifying ways to build regional and national capacity through future activities</w:t>
            </w:r>
          </w:p>
        </w:tc>
        <w:tc>
          <w:tcPr>
            <w:tcW w:w="946" w:type="dxa"/>
          </w:tcPr>
          <w:p w14:paraId="1C85E2A3" w14:textId="77777777" w:rsidR="00B71B4E" w:rsidRPr="00BD16B4" w:rsidDel="00FF2807"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575459DC" w14:textId="77777777" w:rsidR="00B71B4E" w:rsidRPr="00BD16B4" w:rsidDel="00FF2807" w:rsidRDefault="00B71B4E" w:rsidP="00451ED8">
            <w:pPr>
              <w:pStyle w:val="TableText"/>
              <w:spacing w:before="40" w:after="40" w:line="220" w:lineRule="atLeast"/>
              <w:rPr>
                <w:sz w:val="16"/>
                <w:szCs w:val="16"/>
                <w:lang w:val="en-NZ"/>
              </w:rPr>
            </w:pPr>
            <w:r w:rsidRPr="00BD16B4">
              <w:rPr>
                <w:sz w:val="16"/>
                <w:szCs w:val="16"/>
                <w:lang w:val="en-NZ"/>
              </w:rPr>
              <w:t>$100,000</w:t>
            </w:r>
          </w:p>
        </w:tc>
      </w:tr>
      <w:tr w:rsidR="00B71B4E" w:rsidRPr="00BD16B4" w14:paraId="0E261EB6" w14:textId="77777777" w:rsidTr="00F31129">
        <w:tc>
          <w:tcPr>
            <w:tcW w:w="1474" w:type="dxa"/>
          </w:tcPr>
          <w:p w14:paraId="07C6615E" w14:textId="77777777" w:rsidR="00B71B4E" w:rsidRPr="00BD16B4" w:rsidRDefault="00B71B4E" w:rsidP="0060020A">
            <w:pPr>
              <w:pStyle w:val="TableText"/>
              <w:keepNext/>
              <w:spacing w:before="40" w:after="40" w:line="220" w:lineRule="atLeast"/>
              <w:rPr>
                <w:sz w:val="16"/>
                <w:szCs w:val="16"/>
                <w:lang w:val="en-NZ"/>
              </w:rPr>
            </w:pPr>
            <w:r w:rsidRPr="00BD16B4">
              <w:rPr>
                <w:sz w:val="16"/>
                <w:szCs w:val="16"/>
                <w:lang w:val="en-NZ"/>
              </w:rPr>
              <w:lastRenderedPageBreak/>
              <w:t>Evaluation of Climate Risks to Farming Systems in the Pacific</w:t>
            </w:r>
          </w:p>
        </w:tc>
        <w:tc>
          <w:tcPr>
            <w:tcW w:w="1711" w:type="dxa"/>
          </w:tcPr>
          <w:p w14:paraId="6091FD68"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Improving understanding of the risks of the long-term impact of climate change in the Pacific</w:t>
            </w:r>
          </w:p>
        </w:tc>
        <w:tc>
          <w:tcPr>
            <w:tcW w:w="1064" w:type="dxa"/>
          </w:tcPr>
          <w:p w14:paraId="5BB369B4"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Solomon Islands</w:t>
            </w:r>
          </w:p>
        </w:tc>
        <w:tc>
          <w:tcPr>
            <w:tcW w:w="895" w:type="dxa"/>
          </w:tcPr>
          <w:p w14:paraId="0CEAFFF3" w14:textId="77777777" w:rsidR="00B71B4E" w:rsidRPr="00BD16B4" w:rsidRDefault="00B71B4E" w:rsidP="00451ED8">
            <w:pPr>
              <w:pStyle w:val="TableText"/>
              <w:spacing w:before="40" w:after="40" w:line="220" w:lineRule="atLeast"/>
              <w:rPr>
                <w:sz w:val="16"/>
                <w:szCs w:val="16"/>
                <w:lang w:val="en-NZ"/>
              </w:rPr>
            </w:pPr>
            <w:r w:rsidRPr="00BD16B4" w:rsidDel="00FF2807">
              <w:rPr>
                <w:sz w:val="16"/>
                <w:szCs w:val="16"/>
                <w:lang w:val="en-NZ"/>
              </w:rPr>
              <w:t>Agriculture</w:t>
            </w:r>
          </w:p>
        </w:tc>
        <w:tc>
          <w:tcPr>
            <w:tcW w:w="848" w:type="dxa"/>
            <w:tcBorders>
              <w:bottom w:val="single" w:sz="4" w:space="0" w:color="auto"/>
            </w:tcBorders>
          </w:tcPr>
          <w:p w14:paraId="2E69D3C9" w14:textId="77777777" w:rsidR="00B71B4E" w:rsidRPr="00BD16B4" w:rsidRDefault="00B71B4E" w:rsidP="00451ED8">
            <w:pPr>
              <w:pStyle w:val="TableText"/>
              <w:spacing w:before="40" w:after="40" w:line="220" w:lineRule="atLeast"/>
              <w:rPr>
                <w:sz w:val="16"/>
                <w:szCs w:val="16"/>
                <w:lang w:val="en-NZ"/>
              </w:rPr>
            </w:pPr>
            <w:r w:rsidRPr="00BD16B4" w:rsidDel="00FF2807">
              <w:rPr>
                <w:sz w:val="16"/>
                <w:szCs w:val="16"/>
                <w:lang w:val="en-NZ"/>
              </w:rPr>
              <w:t>Mitigation</w:t>
            </w:r>
          </w:p>
        </w:tc>
        <w:tc>
          <w:tcPr>
            <w:tcW w:w="2218" w:type="dxa"/>
            <w:tcBorders>
              <w:bottom w:val="single" w:sz="4" w:space="0" w:color="auto"/>
            </w:tcBorders>
          </w:tcPr>
          <w:p w14:paraId="2CEE9CF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Studying the impact of climate change on agricultural livelihoods and food security in the Pacific</w:t>
            </w:r>
          </w:p>
        </w:tc>
        <w:tc>
          <w:tcPr>
            <w:tcW w:w="739" w:type="dxa"/>
          </w:tcPr>
          <w:p w14:paraId="590771A3"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2019–21</w:t>
            </w:r>
          </w:p>
        </w:tc>
        <w:tc>
          <w:tcPr>
            <w:tcW w:w="1877" w:type="dxa"/>
          </w:tcPr>
          <w:p w14:paraId="0D9F5AE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Partnership with ACIAR</w:t>
            </w:r>
          </w:p>
        </w:tc>
        <w:tc>
          <w:tcPr>
            <w:tcW w:w="2047" w:type="dxa"/>
          </w:tcPr>
          <w:p w14:paraId="356E02FD"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Delivering key industry report to develop larger programme</w:t>
            </w:r>
          </w:p>
        </w:tc>
        <w:tc>
          <w:tcPr>
            <w:tcW w:w="946" w:type="dxa"/>
          </w:tcPr>
          <w:p w14:paraId="587585EA" w14:textId="77777777" w:rsidR="00B71B4E" w:rsidRPr="00BD16B4" w:rsidRDefault="00B71B4E" w:rsidP="00451ED8">
            <w:pPr>
              <w:pStyle w:val="TableText"/>
              <w:spacing w:before="40" w:after="40" w:line="220" w:lineRule="atLeast"/>
              <w:rPr>
                <w:sz w:val="16"/>
                <w:szCs w:val="16"/>
                <w:lang w:val="en-NZ"/>
              </w:rPr>
            </w:pPr>
            <w:r w:rsidRPr="00BD16B4" w:rsidDel="00FF2807">
              <w:rPr>
                <w:sz w:val="16"/>
                <w:szCs w:val="16"/>
                <w:lang w:val="en-NZ"/>
              </w:rPr>
              <w:t>Public</w:t>
            </w:r>
          </w:p>
        </w:tc>
        <w:tc>
          <w:tcPr>
            <w:tcW w:w="780" w:type="dxa"/>
          </w:tcPr>
          <w:p w14:paraId="2F9F5254"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$88,456</w:t>
            </w:r>
          </w:p>
        </w:tc>
      </w:tr>
      <w:tr w:rsidR="00B71B4E" w:rsidRPr="00BD16B4" w14:paraId="331F2ACC" w14:textId="77777777" w:rsidTr="00F31129">
        <w:tc>
          <w:tcPr>
            <w:tcW w:w="1474" w:type="dxa"/>
          </w:tcPr>
          <w:p w14:paraId="6774D673" w14:textId="77777777" w:rsidR="00B71B4E" w:rsidRPr="00BD16B4" w:rsidRDefault="00B71B4E" w:rsidP="00451ED8">
            <w:pPr>
              <w:pStyle w:val="TableText"/>
              <w:keepNext/>
              <w:spacing w:before="40" w:after="40" w:line="220" w:lineRule="atLeast"/>
              <w:rPr>
                <w:sz w:val="16"/>
                <w:szCs w:val="16"/>
                <w:lang w:val="en-NZ"/>
              </w:rPr>
            </w:pPr>
            <w:r w:rsidRPr="00BD16B4">
              <w:rPr>
                <w:sz w:val="16"/>
                <w:szCs w:val="16"/>
                <w:lang w:val="en-NZ"/>
              </w:rPr>
              <w:t>UNIQUE – GRA Engagement Activities in Selected Countries in Sub-Saharan Africa and Asia</w:t>
            </w:r>
          </w:p>
        </w:tc>
        <w:tc>
          <w:tcPr>
            <w:tcW w:w="1711" w:type="dxa"/>
          </w:tcPr>
          <w:p w14:paraId="0853EBAC"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Supporting countries’ capacity to identify concrete mitigation actions and policies, including robust assessment of possible reductions</w:t>
            </w:r>
          </w:p>
        </w:tc>
        <w:tc>
          <w:tcPr>
            <w:tcW w:w="1064" w:type="dxa"/>
          </w:tcPr>
          <w:p w14:paraId="1684DC8F"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Sub-Saharan countries</w:t>
            </w:r>
          </w:p>
        </w:tc>
        <w:tc>
          <w:tcPr>
            <w:tcW w:w="895" w:type="dxa"/>
          </w:tcPr>
          <w:p w14:paraId="020E20D6" w14:textId="77777777" w:rsidR="00B71B4E" w:rsidRPr="00BD16B4" w:rsidDel="00FF2807"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auto"/>
            </w:tcBorders>
          </w:tcPr>
          <w:p w14:paraId="730E5EC5" w14:textId="77777777" w:rsidR="00B71B4E" w:rsidRPr="00BD16B4" w:rsidDel="00FF2807"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auto"/>
            </w:tcBorders>
          </w:tcPr>
          <w:p w14:paraId="0956B225"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Collaborating with international experts to develop national and regional capacity to advance locally appropriate GHG inventories, NDCs and MRV systems</w:t>
            </w:r>
          </w:p>
        </w:tc>
        <w:tc>
          <w:tcPr>
            <w:tcW w:w="739" w:type="dxa"/>
          </w:tcPr>
          <w:p w14:paraId="5DFCE252"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2019–20</w:t>
            </w:r>
          </w:p>
        </w:tc>
        <w:tc>
          <w:tcPr>
            <w:tcW w:w="1877" w:type="dxa"/>
          </w:tcPr>
          <w:p w14:paraId="49835C6C"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Partnership with UNIQUE and international experts</w:t>
            </w:r>
          </w:p>
        </w:tc>
        <w:tc>
          <w:tcPr>
            <w:tcW w:w="2047" w:type="dxa"/>
          </w:tcPr>
          <w:p w14:paraId="4F7D8602"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Developing access to infrastructure and material for developing countries. It will support the targeted countries into reaching their NDCs</w:t>
            </w:r>
          </w:p>
        </w:tc>
        <w:tc>
          <w:tcPr>
            <w:tcW w:w="946" w:type="dxa"/>
          </w:tcPr>
          <w:p w14:paraId="1D8ACE59" w14:textId="77777777" w:rsidR="00B71B4E" w:rsidRPr="00BD16B4" w:rsidDel="00FF2807" w:rsidRDefault="00B71B4E" w:rsidP="00451ED8">
            <w:pPr>
              <w:pStyle w:val="TableText"/>
              <w:spacing w:before="40" w:after="40" w:line="220" w:lineRule="atLeast"/>
              <w:rPr>
                <w:sz w:val="16"/>
                <w:szCs w:val="16"/>
                <w:lang w:val="en-NZ"/>
              </w:rPr>
            </w:pPr>
            <w:r w:rsidRPr="00BD16B4" w:rsidDel="00FF2807">
              <w:rPr>
                <w:sz w:val="16"/>
                <w:szCs w:val="16"/>
                <w:lang w:val="en-NZ"/>
              </w:rPr>
              <w:t>Public</w:t>
            </w:r>
          </w:p>
        </w:tc>
        <w:tc>
          <w:tcPr>
            <w:tcW w:w="780" w:type="dxa"/>
          </w:tcPr>
          <w:p w14:paraId="711AFB14"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$150,000</w:t>
            </w:r>
          </w:p>
        </w:tc>
      </w:tr>
      <w:tr w:rsidR="00B71B4E" w:rsidRPr="00BD16B4" w14:paraId="57EDC6DC" w14:textId="77777777" w:rsidTr="00F31129">
        <w:tc>
          <w:tcPr>
            <w:tcW w:w="1474" w:type="dxa"/>
          </w:tcPr>
          <w:p w14:paraId="4DB9A9C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Livestock Sector Activity Data Collection- Sub-Saharan Africa</w:t>
            </w:r>
          </w:p>
        </w:tc>
        <w:tc>
          <w:tcPr>
            <w:tcW w:w="1711" w:type="dxa"/>
          </w:tcPr>
          <w:p w14:paraId="66B21C3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Improving national livestock GHG emissions to Tier 2.</w:t>
            </w:r>
          </w:p>
        </w:tc>
        <w:tc>
          <w:tcPr>
            <w:tcW w:w="1064" w:type="dxa"/>
          </w:tcPr>
          <w:p w14:paraId="59F05DCA"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39 countries across Sub-Saharan Africa.</w:t>
            </w:r>
          </w:p>
        </w:tc>
        <w:tc>
          <w:tcPr>
            <w:tcW w:w="895" w:type="dxa"/>
          </w:tcPr>
          <w:p w14:paraId="754AEDFD"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auto"/>
            </w:tcBorders>
          </w:tcPr>
          <w:p w14:paraId="5698FA6B"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auto"/>
            </w:tcBorders>
          </w:tcPr>
          <w:p w14:paraId="45CBD049"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Data collection and analysis of technics to produce a report GHG emission capability for each selected country</w:t>
            </w:r>
          </w:p>
        </w:tc>
        <w:tc>
          <w:tcPr>
            <w:tcW w:w="739" w:type="dxa"/>
          </w:tcPr>
          <w:p w14:paraId="37024C33"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2020</w:t>
            </w:r>
          </w:p>
        </w:tc>
        <w:tc>
          <w:tcPr>
            <w:tcW w:w="1877" w:type="dxa"/>
          </w:tcPr>
          <w:p w14:paraId="6E320589"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Partnership with FANRPAN</w:t>
            </w:r>
          </w:p>
        </w:tc>
        <w:tc>
          <w:tcPr>
            <w:tcW w:w="2047" w:type="dxa"/>
          </w:tcPr>
          <w:p w14:paraId="100B3DC7"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Developing higher-tier GHG inventory for livestock</w:t>
            </w:r>
          </w:p>
        </w:tc>
        <w:tc>
          <w:tcPr>
            <w:tcW w:w="946" w:type="dxa"/>
          </w:tcPr>
          <w:p w14:paraId="1A4DA914" w14:textId="77777777" w:rsidR="00B71B4E" w:rsidRPr="00BD16B4" w:rsidDel="00FF2807"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305C1711"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$179,402</w:t>
            </w:r>
          </w:p>
        </w:tc>
      </w:tr>
      <w:tr w:rsidR="00B71B4E" w:rsidRPr="00BD16B4" w14:paraId="40CA1571" w14:textId="77777777" w:rsidTr="00F31129">
        <w:tc>
          <w:tcPr>
            <w:tcW w:w="1474" w:type="dxa"/>
          </w:tcPr>
          <w:p w14:paraId="57F2BE09"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Development of Regional Methane Emissions Factors for Livestock Categories for Sub-Saharan Africa</w:t>
            </w:r>
          </w:p>
        </w:tc>
        <w:tc>
          <w:tcPr>
            <w:tcW w:w="1711" w:type="dxa"/>
          </w:tcPr>
          <w:p w14:paraId="1671507D"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Improving livestock GHG emissions to higher-tier level and supporting countries in achieving their NDCs</w:t>
            </w:r>
          </w:p>
        </w:tc>
        <w:tc>
          <w:tcPr>
            <w:tcW w:w="1064" w:type="dxa"/>
          </w:tcPr>
          <w:p w14:paraId="1429907F"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Central, East, West and Southern African countries (39 in total)</w:t>
            </w:r>
          </w:p>
        </w:tc>
        <w:tc>
          <w:tcPr>
            <w:tcW w:w="895" w:type="dxa"/>
          </w:tcPr>
          <w:p w14:paraId="19991DBF"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auto"/>
            </w:tcBorders>
          </w:tcPr>
          <w:p w14:paraId="2216F86A"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auto"/>
            </w:tcBorders>
          </w:tcPr>
          <w:p w14:paraId="6644ADAF"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Improving livestock GHG emissions to higher-tier level and supporting countries in achieving their NDCs</w:t>
            </w:r>
          </w:p>
        </w:tc>
        <w:tc>
          <w:tcPr>
            <w:tcW w:w="739" w:type="dxa"/>
          </w:tcPr>
          <w:p w14:paraId="73C7EEBC"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2020–21</w:t>
            </w:r>
          </w:p>
        </w:tc>
        <w:tc>
          <w:tcPr>
            <w:tcW w:w="1877" w:type="dxa"/>
          </w:tcPr>
          <w:p w14:paraId="581E8C2B"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Inventory of measurement results and outcomes comparisons</w:t>
            </w:r>
          </w:p>
        </w:tc>
        <w:tc>
          <w:tcPr>
            <w:tcW w:w="2047" w:type="dxa"/>
          </w:tcPr>
          <w:p w14:paraId="26F440CA"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Resulting data will generate regionally relevant methane emissions factors for livestock in Sub-Saharan Africa</w:t>
            </w:r>
          </w:p>
        </w:tc>
        <w:tc>
          <w:tcPr>
            <w:tcW w:w="946" w:type="dxa"/>
          </w:tcPr>
          <w:p w14:paraId="03663FD5"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04AB7592"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$71,720</w:t>
            </w:r>
          </w:p>
        </w:tc>
      </w:tr>
      <w:tr w:rsidR="00B71B4E" w:rsidRPr="00BD16B4" w14:paraId="48542337" w14:textId="77777777" w:rsidTr="00F31129">
        <w:tc>
          <w:tcPr>
            <w:tcW w:w="1474" w:type="dxa"/>
          </w:tcPr>
          <w:p w14:paraId="23A55AC2"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Stocktake of Selected ASEAN Countries’ Inventory Capability Needs</w:t>
            </w:r>
          </w:p>
        </w:tc>
        <w:tc>
          <w:tcPr>
            <w:tcW w:w="1711" w:type="dxa"/>
          </w:tcPr>
          <w:p w14:paraId="19977BA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Gathering information on livestock GHG inventories to be developed</w:t>
            </w:r>
          </w:p>
        </w:tc>
        <w:tc>
          <w:tcPr>
            <w:tcW w:w="1064" w:type="dxa"/>
          </w:tcPr>
          <w:p w14:paraId="636E76F9"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Cambodia, Lao PDR, Myanmar, Philippines</w:t>
            </w:r>
          </w:p>
        </w:tc>
        <w:tc>
          <w:tcPr>
            <w:tcW w:w="895" w:type="dxa"/>
          </w:tcPr>
          <w:p w14:paraId="1FD72419"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auto"/>
            </w:tcBorders>
          </w:tcPr>
          <w:p w14:paraId="1B908D4E"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auto"/>
            </w:tcBorders>
          </w:tcPr>
          <w:p w14:paraId="1389A1FC"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Collecting information on livestock GHG inventories</w:t>
            </w:r>
          </w:p>
        </w:tc>
        <w:tc>
          <w:tcPr>
            <w:tcW w:w="739" w:type="dxa"/>
          </w:tcPr>
          <w:p w14:paraId="2218005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2020</w:t>
            </w:r>
          </w:p>
        </w:tc>
        <w:tc>
          <w:tcPr>
            <w:tcW w:w="1877" w:type="dxa"/>
          </w:tcPr>
          <w:p w14:paraId="0DD0C6A5"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Collaboration with regional expert to gather information and report to New Zealand</w:t>
            </w:r>
          </w:p>
        </w:tc>
        <w:tc>
          <w:tcPr>
            <w:tcW w:w="2047" w:type="dxa"/>
          </w:tcPr>
          <w:p w14:paraId="1D6169A8"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Sharing knowledge to move to higher-tier inventory</w:t>
            </w:r>
          </w:p>
        </w:tc>
        <w:tc>
          <w:tcPr>
            <w:tcW w:w="946" w:type="dxa"/>
          </w:tcPr>
          <w:p w14:paraId="3D1F10F9"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6BDAEA1C"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$16,000</w:t>
            </w:r>
          </w:p>
        </w:tc>
      </w:tr>
      <w:tr w:rsidR="00B71B4E" w:rsidRPr="00BD16B4" w14:paraId="0D757752" w14:textId="77777777" w:rsidTr="00F31129">
        <w:tc>
          <w:tcPr>
            <w:tcW w:w="1474" w:type="dxa"/>
          </w:tcPr>
          <w:p w14:paraId="5ED7D650" w14:textId="77777777" w:rsidR="00B71B4E" w:rsidRPr="00BD16B4" w:rsidRDefault="00B71B4E" w:rsidP="00451ED8">
            <w:pPr>
              <w:pStyle w:val="TableText"/>
              <w:keepNext/>
              <w:spacing w:before="40" w:after="40" w:line="220" w:lineRule="atLeast"/>
              <w:rPr>
                <w:sz w:val="16"/>
                <w:szCs w:val="16"/>
                <w:lang w:val="en-NZ"/>
              </w:rPr>
            </w:pPr>
            <w:r w:rsidRPr="00BD16B4">
              <w:rPr>
                <w:sz w:val="16"/>
                <w:szCs w:val="16"/>
                <w:lang w:val="en-NZ"/>
              </w:rPr>
              <w:lastRenderedPageBreak/>
              <w:t>Tier 2 Inventory Development and Implementation in Kenya</w:t>
            </w:r>
          </w:p>
        </w:tc>
        <w:tc>
          <w:tcPr>
            <w:tcW w:w="1711" w:type="dxa"/>
          </w:tcPr>
          <w:p w14:paraId="19459308"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Helping targeted country to move to higher-tier inventory</w:t>
            </w:r>
          </w:p>
        </w:tc>
        <w:tc>
          <w:tcPr>
            <w:tcW w:w="1064" w:type="dxa"/>
          </w:tcPr>
          <w:p w14:paraId="1D2656D3"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Kenya</w:t>
            </w:r>
          </w:p>
        </w:tc>
        <w:tc>
          <w:tcPr>
            <w:tcW w:w="895" w:type="dxa"/>
          </w:tcPr>
          <w:p w14:paraId="62DDA9FA"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Agriculture</w:t>
            </w:r>
          </w:p>
        </w:tc>
        <w:tc>
          <w:tcPr>
            <w:tcW w:w="848" w:type="dxa"/>
            <w:tcBorders>
              <w:bottom w:val="single" w:sz="4" w:space="0" w:color="auto"/>
            </w:tcBorders>
          </w:tcPr>
          <w:p w14:paraId="6CCEC70A"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Mitigation</w:t>
            </w:r>
          </w:p>
        </w:tc>
        <w:tc>
          <w:tcPr>
            <w:tcW w:w="2218" w:type="dxa"/>
            <w:tcBorders>
              <w:bottom w:val="single" w:sz="4" w:space="0" w:color="auto"/>
            </w:tcBorders>
          </w:tcPr>
          <w:p w14:paraId="53B6C81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Providing technical support and expertise to Kenya to move to Tier 2 inventory for its dairy sector</w:t>
            </w:r>
          </w:p>
        </w:tc>
        <w:tc>
          <w:tcPr>
            <w:tcW w:w="739" w:type="dxa"/>
          </w:tcPr>
          <w:p w14:paraId="2625EA5A"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2018–19</w:t>
            </w:r>
          </w:p>
        </w:tc>
        <w:tc>
          <w:tcPr>
            <w:tcW w:w="1877" w:type="dxa"/>
          </w:tcPr>
          <w:p w14:paraId="179C3EB0"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Collaboration with FAO, CCAFS and Kenya’s State Department for Livestock</w:t>
            </w:r>
          </w:p>
        </w:tc>
        <w:tc>
          <w:tcPr>
            <w:tcW w:w="2047" w:type="dxa"/>
          </w:tcPr>
          <w:p w14:paraId="601D9E0F"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Improved national capability in inventory development</w:t>
            </w:r>
          </w:p>
        </w:tc>
        <w:tc>
          <w:tcPr>
            <w:tcW w:w="946" w:type="dxa"/>
          </w:tcPr>
          <w:p w14:paraId="6B458129"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Public</w:t>
            </w:r>
          </w:p>
        </w:tc>
        <w:tc>
          <w:tcPr>
            <w:tcW w:w="780" w:type="dxa"/>
          </w:tcPr>
          <w:p w14:paraId="6478E852" w14:textId="77777777" w:rsidR="00B71B4E" w:rsidRPr="00BD16B4" w:rsidRDefault="00B71B4E" w:rsidP="00451ED8">
            <w:pPr>
              <w:pStyle w:val="TableText"/>
              <w:spacing w:before="40" w:after="40" w:line="220" w:lineRule="atLeast"/>
              <w:rPr>
                <w:sz w:val="16"/>
                <w:szCs w:val="16"/>
                <w:lang w:val="en-NZ"/>
              </w:rPr>
            </w:pPr>
            <w:r w:rsidRPr="00BD16B4">
              <w:rPr>
                <w:sz w:val="16"/>
                <w:szCs w:val="16"/>
                <w:lang w:val="en-NZ"/>
              </w:rPr>
              <w:t>$100,860</w:t>
            </w:r>
          </w:p>
        </w:tc>
      </w:tr>
    </w:tbl>
    <w:p w14:paraId="6E6F3CFC" w14:textId="77777777" w:rsidR="00B71B4E" w:rsidRPr="00BD16B4" w:rsidRDefault="00B71B4E" w:rsidP="00780425">
      <w:pPr>
        <w:pStyle w:val="Note"/>
        <w:spacing w:after="0"/>
      </w:pPr>
      <w:r w:rsidRPr="00BD16B4">
        <w:rPr>
          <w:b/>
        </w:rPr>
        <w:t>Note:</w:t>
      </w:r>
      <w:r w:rsidRPr="00BD16B4">
        <w:t xml:space="preserve"> ACIAR = Australian Centre for International Agricultural Research; CCAC = Climate and Clean Air Coalition; CCAFS = Research Program on Climate Change, Agriculture and Food Security; FANRPAN = Food, Agriculture and Natural Resources Policy Analysis Network; FAO = Food and Agriculture Organization; FONTAGRO= Regional Fund for Agricultural Technology of Latin America; GHG = greenhouse gas; GRA = </w:t>
      </w:r>
      <w:r w:rsidRPr="00BD16B4">
        <w:rPr>
          <w:rFonts w:eastAsia="Calibri" w:cs="Calibri"/>
          <w:szCs w:val="18"/>
        </w:rPr>
        <w:t xml:space="preserve">Global Research Alliance on Agricultural Greenhouse Gases; </w:t>
      </w:r>
      <w:r w:rsidRPr="00BD16B4">
        <w:t xml:space="preserve">Lao PDR = Lao People’s Democratic Republic; MRV = measurement, reporting and verification; NDC = Nationally Determined Contribution; NZAGRC = New Zealand Agricultural Greenhouse Gas Research Centre. </w:t>
      </w:r>
    </w:p>
    <w:p w14:paraId="02A05DDE" w14:textId="77777777" w:rsidR="00BD2179" w:rsidRPr="00BD16B4" w:rsidRDefault="00BD2179" w:rsidP="00BD2179">
      <w:pPr>
        <w:rPr>
          <w:highlight w:val="yellow"/>
        </w:rPr>
      </w:pPr>
    </w:p>
    <w:p w14:paraId="3C83723A" w14:textId="77777777" w:rsidR="00B71B4E" w:rsidRPr="00BD16B4" w:rsidRDefault="00B71B4E" w:rsidP="00B71B4E">
      <w:pPr>
        <w:rPr>
          <w:highlight w:val="yellow"/>
        </w:rPr>
        <w:sectPr w:rsidR="00B71B4E" w:rsidRPr="00BD16B4" w:rsidSect="0009139B">
          <w:footerReference w:type="default" r:id="rId123"/>
          <w:pgSz w:w="16840" w:h="11907" w:orient="landscape" w:code="9"/>
          <w:pgMar w:top="1701" w:right="1134" w:bottom="1701" w:left="1134" w:header="567" w:footer="567" w:gutter="0"/>
          <w:cols w:space="720"/>
          <w:docGrid w:linePitch="299"/>
        </w:sectPr>
      </w:pPr>
    </w:p>
    <w:p w14:paraId="19C1FD74" w14:textId="0BDD0034" w:rsidR="00B71B4E" w:rsidRPr="00BD16B4" w:rsidRDefault="00B71B4E" w:rsidP="00B71B4E">
      <w:pPr>
        <w:pStyle w:val="Heading2"/>
        <w:spacing w:before="0"/>
      </w:pPr>
      <w:bookmarkStart w:id="383" w:name="_Toc497740298"/>
      <w:bookmarkStart w:id="384" w:name="_Toc497740400"/>
      <w:bookmarkStart w:id="385" w:name="_Toc500796167"/>
      <w:bookmarkStart w:id="386" w:name="_Toc121774660"/>
      <w:r w:rsidRPr="00BD16B4">
        <w:lastRenderedPageBreak/>
        <w:t>7.4</w:t>
      </w:r>
      <w:r w:rsidRPr="00BD16B4">
        <w:tab/>
        <w:t>Capacity building</w:t>
      </w:r>
      <w:bookmarkEnd w:id="383"/>
      <w:bookmarkEnd w:id="384"/>
      <w:bookmarkEnd w:id="385"/>
      <w:bookmarkEnd w:id="386"/>
    </w:p>
    <w:p w14:paraId="42251193" w14:textId="77777777" w:rsidR="00B71B4E" w:rsidRPr="00BD16B4" w:rsidRDefault="00B71B4E" w:rsidP="00B71B4E">
      <w:pPr>
        <w:pStyle w:val="BodyText"/>
      </w:pPr>
      <w:r w:rsidRPr="00BD16B4">
        <w:t xml:space="preserve">Aotearoa New Zealand recognises that enhancing the capacity and capability of developing countries to take effective climate change action must play an important role in responding to climate change. It provides capacity-building support that responds to the existing and emerging capacity needs developing country Parties identify in the areas of mitigation, adaptation, and technology development and transfer. This occurs through a number of mechanisms, including the New Zealand IDC Programme, the GRA, the UNFCCC and regional organisations such as SPREP, SPC and the University of the South Pacific. </w:t>
      </w:r>
    </w:p>
    <w:p w14:paraId="2320045A" w14:textId="77777777" w:rsidR="00B71B4E" w:rsidRPr="00BD16B4" w:rsidRDefault="00B71B4E" w:rsidP="00B71B4E">
      <w:pPr>
        <w:pStyle w:val="BodyText"/>
        <w:rPr>
          <w:color w:val="000000"/>
        </w:rPr>
      </w:pPr>
      <w:r w:rsidRPr="00BD16B4">
        <w:t xml:space="preserve">New Zealand’s capacity-building activities are targeted to areas where it has expertise, such as weather and climate data analysis and forecasting, agriculture, renewable energy generation and disaster risk resilience building, and where countries have identified specific needs and capacity gaps. </w:t>
      </w:r>
      <w:r w:rsidRPr="00BD16B4">
        <w:rPr>
          <w:color w:val="000000"/>
        </w:rPr>
        <w:t xml:space="preserve">A large portion of this capacity-building activity has been aimed at the Pacific region. This </w:t>
      </w:r>
      <w:r w:rsidRPr="00BD16B4">
        <w:t xml:space="preserve">means the capacity-building support is focused on responding to the needs of those with the least capacity – small island developing states, many of which are also the countries most vulnerable to climate change. </w:t>
      </w:r>
      <w:r w:rsidRPr="00BD16B4">
        <w:rPr>
          <w:color w:val="000000"/>
        </w:rPr>
        <w:t xml:space="preserve">Other capacity-building activities New Zealand has delivered where it has expertise have been to the benefit of developing countries in Africa, </w:t>
      </w:r>
      <w:r w:rsidRPr="00BD16B4">
        <w:t>South East Asia</w:t>
      </w:r>
      <w:r w:rsidRPr="00BD16B4">
        <w:rPr>
          <w:color w:val="000000"/>
        </w:rPr>
        <w:t>, Latin America and the Caribbean.</w:t>
      </w:r>
    </w:p>
    <w:p w14:paraId="1E53C345" w14:textId="77777777" w:rsidR="00B71B4E" w:rsidRPr="00BD16B4" w:rsidRDefault="00B71B4E" w:rsidP="00C66B22">
      <w:pPr>
        <w:pStyle w:val="Heading3"/>
      </w:pPr>
      <w:r w:rsidRPr="00BD16B4">
        <w:t>7.4.1</w:t>
      </w:r>
      <w:r w:rsidRPr="00BD16B4">
        <w:tab/>
        <w:t>Capacity building supported through the New Zealand IDC Programme</w:t>
      </w:r>
    </w:p>
    <w:p w14:paraId="0E76E7FD" w14:textId="77777777" w:rsidR="00B71B4E" w:rsidRPr="00BD16B4" w:rsidRDefault="00B71B4E" w:rsidP="00B71B4E">
      <w:pPr>
        <w:pStyle w:val="BodyText"/>
      </w:pPr>
      <w:r w:rsidRPr="00BD16B4">
        <w:t>Capacity building is an integral part of most activities in the New Zealand IDC Programme. As noted in section 7.1.2, we introduced a climate change capacity-building marker into our reporting system in 2018. This is enabling us to better track the support we provide for climate change capacity building and to provide more detailed reporting in the future. Table 7.8 describes New Zealand’s capacity-building support in the context of climate change. The following examples illustrate the range of areas to which this support has contributed.</w:t>
      </w:r>
    </w:p>
    <w:p w14:paraId="02AE980D" w14:textId="77777777" w:rsidR="00B71B4E" w:rsidRPr="00BD16B4" w:rsidRDefault="00B71B4E" w:rsidP="0011037B">
      <w:pPr>
        <w:pStyle w:val="Bullet"/>
        <w:tabs>
          <w:tab w:val="num" w:pos="397"/>
        </w:tabs>
        <w:spacing w:line="280" w:lineRule="exact"/>
      </w:pPr>
      <w:r w:rsidRPr="00BD16B4">
        <w:rPr>
          <w:b/>
          <w:bCs/>
        </w:rPr>
        <w:t>Improving climate research, data and analysis to support better evidence-based decision making.</w:t>
      </w:r>
      <w:r w:rsidRPr="00BD16B4">
        <w:t xml:space="preserve"> New Zealand provided funding to establish a Pacific Community Centre for Ocean Science (see section 7.2.3).</w:t>
      </w:r>
    </w:p>
    <w:p w14:paraId="7F0BD49B" w14:textId="77777777" w:rsidR="00B71B4E" w:rsidRPr="00BD16B4" w:rsidRDefault="00B71B4E" w:rsidP="0011037B">
      <w:pPr>
        <w:pStyle w:val="Bullet"/>
        <w:tabs>
          <w:tab w:val="num" w:pos="397"/>
        </w:tabs>
        <w:spacing w:line="280" w:lineRule="exact"/>
      </w:pPr>
      <w:r w:rsidRPr="00BD16B4">
        <w:rPr>
          <w:b/>
          <w:bCs/>
        </w:rPr>
        <w:t>Disaster risk management and resilience building.</w:t>
      </w:r>
      <w:r w:rsidRPr="00BD16B4">
        <w:t xml:space="preserve"> The Disaster Risk Management in Fiji activity was designed to increase the capacity of the National Disaster Management Office to manage disaster awareness and response in Fiji. It involves: (a) providing technical assistance to the office; (b) upgrading tsunami and flood protection systems; and (c) constructing warehouses and evacuation centres.</w:t>
      </w:r>
    </w:p>
    <w:p w14:paraId="03E82CC2" w14:textId="77777777" w:rsidR="00B71B4E" w:rsidRPr="00BD16B4" w:rsidRDefault="00B71B4E" w:rsidP="0011037B">
      <w:pPr>
        <w:pStyle w:val="Bullet"/>
        <w:tabs>
          <w:tab w:val="num" w:pos="397"/>
        </w:tabs>
        <w:spacing w:line="280" w:lineRule="exact"/>
      </w:pPr>
      <w:r w:rsidRPr="00BD16B4">
        <w:rPr>
          <w:b/>
          <w:bCs/>
        </w:rPr>
        <w:t>Renewable energy.</w:t>
      </w:r>
      <w:r w:rsidRPr="00BD16B4">
        <w:t xml:space="preserve"> Alongside the many renewable energy activities that are aimed at technology transfer, New Zealand aims to strengthen these with capacity-building support to ensure countries and communities have the ability to operate and maintain these technologies into the future, especially in the face of the impacts of climate change (see section 7.3.1 under ‘Success stories’).</w:t>
      </w:r>
    </w:p>
    <w:p w14:paraId="7D09CEFD" w14:textId="77777777" w:rsidR="00B71B4E" w:rsidRPr="00BD16B4" w:rsidRDefault="00B71B4E" w:rsidP="0011037B">
      <w:pPr>
        <w:pStyle w:val="Bullet"/>
        <w:tabs>
          <w:tab w:val="num" w:pos="397"/>
        </w:tabs>
        <w:spacing w:line="280" w:lineRule="exact"/>
      </w:pPr>
      <w:r w:rsidRPr="00BD16B4">
        <w:rPr>
          <w:b/>
          <w:bCs/>
        </w:rPr>
        <w:t>Ocean acidification.</w:t>
      </w:r>
      <w:r w:rsidRPr="00BD16B4">
        <w:t xml:space="preserve"> The New Zealand Pacific Partnership on Ocean Acidification activity has supported communities in Fiji, Kiribati and Tokelau to better adapt to the impacts of ocean acidification through support for research and community-based adaptation and awareness-raising actions.</w:t>
      </w:r>
    </w:p>
    <w:p w14:paraId="7C56A8CE" w14:textId="77777777" w:rsidR="00B71B4E" w:rsidRPr="00BD16B4" w:rsidRDefault="00B71B4E" w:rsidP="0011037B">
      <w:pPr>
        <w:pStyle w:val="Bullet"/>
        <w:tabs>
          <w:tab w:val="num" w:pos="397"/>
        </w:tabs>
        <w:spacing w:line="280" w:lineRule="exact"/>
      </w:pPr>
      <w:r w:rsidRPr="00BD16B4">
        <w:rPr>
          <w:b/>
          <w:bCs/>
        </w:rPr>
        <w:t>Drought resilience.</w:t>
      </w:r>
      <w:r w:rsidRPr="00BD16B4">
        <w:t xml:space="preserve"> The Averting Water-related Emergencies activity builds early warning systems in the Pacific region (see section 7.2.3 under ‘Loss and damage’).</w:t>
      </w:r>
    </w:p>
    <w:p w14:paraId="2396F26E" w14:textId="77777777" w:rsidR="00B71B4E" w:rsidRPr="00BD16B4" w:rsidRDefault="00B71B4E" w:rsidP="0011037B">
      <w:pPr>
        <w:pStyle w:val="Bullet"/>
        <w:tabs>
          <w:tab w:val="num" w:pos="397"/>
        </w:tabs>
        <w:spacing w:line="280" w:lineRule="exact"/>
      </w:pPr>
      <w:r w:rsidRPr="00BD16B4">
        <w:rPr>
          <w:b/>
          <w:bCs/>
        </w:rPr>
        <w:lastRenderedPageBreak/>
        <w:t>Agriculture.</w:t>
      </w:r>
      <w:r w:rsidRPr="00BD16B4">
        <w:t xml:space="preserve"> The Myanmar Dairy Inclusive Growth and Investment activity supports continued development of an inclusive, vibrant and sustainable dairy sector, leading to higher incomes for smallholder farmers and safe food for consumers.</w:t>
      </w:r>
    </w:p>
    <w:p w14:paraId="70DF28B8" w14:textId="77777777" w:rsidR="00B71B4E" w:rsidRPr="00BD16B4" w:rsidRDefault="00B71B4E" w:rsidP="0011037B">
      <w:pPr>
        <w:pStyle w:val="Bullet"/>
        <w:tabs>
          <w:tab w:val="num" w:pos="397"/>
        </w:tabs>
        <w:spacing w:line="280" w:lineRule="exact"/>
      </w:pPr>
      <w:r w:rsidRPr="00BD16B4">
        <w:rPr>
          <w:b/>
          <w:bCs/>
        </w:rPr>
        <w:t>Fisheries.</w:t>
      </w:r>
      <w:r w:rsidRPr="00BD16B4">
        <w:t xml:space="preserve"> The Solomon Islands fisheries support activity will contribute to sustainable fisheries management, food security and improved government revenue.</w:t>
      </w:r>
    </w:p>
    <w:p w14:paraId="3C2A14FA" w14:textId="77777777" w:rsidR="00B71B4E" w:rsidRPr="00BD16B4" w:rsidRDefault="00B71B4E" w:rsidP="004E1B8C">
      <w:pPr>
        <w:pStyle w:val="Heading4"/>
      </w:pPr>
      <w:r w:rsidRPr="00BD16B4">
        <w:t>Data and information</w:t>
      </w:r>
    </w:p>
    <w:p w14:paraId="357397A8" w14:textId="77777777" w:rsidR="00B71B4E" w:rsidRPr="00BD16B4" w:rsidRDefault="00B71B4E" w:rsidP="00B71B4E">
      <w:pPr>
        <w:pStyle w:val="BodyText"/>
      </w:pPr>
      <w:r w:rsidRPr="00BD16B4">
        <w:t xml:space="preserve">Having access to climate data and analysis, along with suitable information products and services, is critical for improving the effectiveness of climate action. New Zealand is providing a wide range of support to increase the quality and quantity of weather and climate data and forecasting; improve impact analysis of natural disasters exacerbated by climate change; and undertake an extensive research project into the current and predicted impacts of climate change in the Pacific region. It is also creating information products and services to better respond to the demands of government, business and communities to improve climate-resilient decision-making. </w:t>
      </w:r>
    </w:p>
    <w:p w14:paraId="2E8DE3E5" w14:textId="77777777" w:rsidR="00B71B4E" w:rsidRPr="00BD16B4" w:rsidRDefault="00B71B4E" w:rsidP="00C66B22">
      <w:pPr>
        <w:pStyle w:val="Heading3"/>
      </w:pPr>
      <w:r w:rsidRPr="00BD16B4">
        <w:t>7.4.2</w:t>
      </w:r>
      <w:r w:rsidRPr="00BD16B4">
        <w:tab/>
        <w:t xml:space="preserve">Other capacity-building support </w:t>
      </w:r>
    </w:p>
    <w:p w14:paraId="146C9632" w14:textId="77777777" w:rsidR="00B71B4E" w:rsidRPr="00BD16B4" w:rsidRDefault="00B71B4E" w:rsidP="00B71B4E">
      <w:pPr>
        <w:pStyle w:val="BodyText"/>
      </w:pPr>
      <w:bookmarkStart w:id="387" w:name="_Toc497749155"/>
      <w:bookmarkStart w:id="388" w:name="_Toc500767050"/>
      <w:r w:rsidRPr="00BD16B4">
        <w:rPr>
          <w:color w:val="000000"/>
        </w:rPr>
        <w:t>New Zealand has provided support to capacity-building initiatives from</w:t>
      </w:r>
      <w:r w:rsidRPr="00BD16B4">
        <w:t xml:space="preserve"> other government funding sources. It has channelled some of this support through the </w:t>
      </w:r>
      <w:r w:rsidRPr="00BD16B4">
        <w:rPr>
          <w:rFonts w:asciiTheme="minorHAnsi" w:hAnsiTheme="minorHAnsi" w:cstheme="minorHAnsi"/>
        </w:rPr>
        <w:t>GRA</w:t>
      </w:r>
      <w:r w:rsidRPr="00BD16B4">
        <w:t xml:space="preserve">, the UNFCCC, other New Zealand government agencies and regional organisations, such as </w:t>
      </w:r>
      <w:r w:rsidRPr="00BD16B4">
        <w:rPr>
          <w:color w:val="000000"/>
        </w:rPr>
        <w:t xml:space="preserve">SPREP. </w:t>
      </w:r>
      <w:r w:rsidRPr="00BD16B4">
        <w:t>As detailed in table 7.9, during the reporting period New Zealand provided:</w:t>
      </w:r>
    </w:p>
    <w:p w14:paraId="24CAB303" w14:textId="77777777" w:rsidR="00B71B4E" w:rsidRPr="00BD16B4" w:rsidRDefault="00B71B4E" w:rsidP="0011037B">
      <w:pPr>
        <w:pStyle w:val="Bullet"/>
        <w:tabs>
          <w:tab w:val="num" w:pos="397"/>
        </w:tabs>
        <w:spacing w:line="280" w:lineRule="exact"/>
      </w:pPr>
      <w:r w:rsidRPr="00BD16B4">
        <w:t>NZ$1,004,009 to the Livestock Emissions Abatement Research Network (LEARN),</w:t>
      </w:r>
      <w:r w:rsidRPr="00BD16B4">
        <w:rPr>
          <w:rStyle w:val="FootnoteReference"/>
        </w:rPr>
        <w:footnoteReference w:id="339"/>
      </w:r>
      <w:r w:rsidRPr="00BD16B4">
        <w:t xml:space="preserve"> to support technicians, PhD students and postdoctoral fellows from developing countries to build international capability in livestock emissions research</w:t>
      </w:r>
    </w:p>
    <w:p w14:paraId="0F42526F" w14:textId="77777777" w:rsidR="00B71B4E" w:rsidRPr="00BD16B4" w:rsidRDefault="00B71B4E" w:rsidP="0011037B">
      <w:pPr>
        <w:pStyle w:val="Bullet"/>
        <w:tabs>
          <w:tab w:val="num" w:pos="397"/>
        </w:tabs>
        <w:spacing w:line="280" w:lineRule="exact"/>
      </w:pPr>
      <w:r w:rsidRPr="00BD16B4">
        <w:t>NZ$589,668 for Climate, Food and Farming Network students from developing countries, who are currently enrolled in PhD programmes, to undertake short-term research in association with advanced research institutes on topics related to measurement and mitigation of GHG emissions, or carbon storage in agricultural systems and quantification of GHG emissions</w:t>
      </w:r>
    </w:p>
    <w:p w14:paraId="7E6125B7" w14:textId="77777777" w:rsidR="00B71B4E" w:rsidRPr="00BD16B4" w:rsidRDefault="00B71B4E" w:rsidP="0011037B">
      <w:pPr>
        <w:pStyle w:val="Bullet"/>
        <w:tabs>
          <w:tab w:val="num" w:pos="397"/>
        </w:tabs>
        <w:spacing w:line="280" w:lineRule="exact"/>
      </w:pPr>
      <w:r w:rsidRPr="00BD16B4">
        <w:t>NZ$35,126 to support participants to attend advanced online courses hosted by the International Centre for Advanced Mediterranean Agronomic Studies (CIHEAM) on agricultural GHG assessment of emissions, mitigation options and adaptation strategies</w:t>
      </w:r>
    </w:p>
    <w:p w14:paraId="6FF0E2ED" w14:textId="77777777" w:rsidR="00B71B4E" w:rsidRPr="00BD16B4" w:rsidRDefault="00B71B4E" w:rsidP="0011037B">
      <w:pPr>
        <w:pStyle w:val="Bullet"/>
        <w:tabs>
          <w:tab w:val="num" w:pos="397"/>
        </w:tabs>
        <w:spacing w:line="280" w:lineRule="exact"/>
      </w:pPr>
      <w:r w:rsidRPr="00BD16B4">
        <w:t>NZ$167,580 to support GRA members from developing countries to attend a GRA council meeting and Climate Smart Conference.</w:t>
      </w:r>
    </w:p>
    <w:p w14:paraId="073E8B46" w14:textId="77777777" w:rsidR="00B71B4E" w:rsidRPr="00BD16B4" w:rsidRDefault="00B71B4E" w:rsidP="00BB7302">
      <w:pPr>
        <w:pStyle w:val="Tableheading"/>
        <w:rPr>
          <w:color w:val="000000"/>
        </w:rPr>
      </w:pPr>
      <w:bookmarkStart w:id="389" w:name="_Toc121773829"/>
      <w:r w:rsidRPr="00BD16B4">
        <w:lastRenderedPageBreak/>
        <w:t>Table 7.8:</w:t>
      </w:r>
      <w:r w:rsidRPr="00BD16B4">
        <w:tab/>
        <w:t>Activities managed by the New Zealand IDC Programme that address capacity building</w:t>
      </w:r>
      <w:bookmarkEnd w:id="387"/>
      <w:bookmarkEnd w:id="388"/>
      <w:r w:rsidRPr="00BD16B4">
        <w:t xml:space="preserve"> (CTF Table 9)</w:t>
      </w:r>
      <w:bookmarkEnd w:id="389"/>
    </w:p>
    <w:tbl>
      <w:tblPr>
        <w:tblStyle w:val="RSTableGrida1"/>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1492"/>
        <w:gridCol w:w="1247"/>
        <w:gridCol w:w="2268"/>
        <w:gridCol w:w="3476"/>
        <w:gridCol w:w="22"/>
      </w:tblGrid>
      <w:tr w:rsidR="00B71B4E" w:rsidRPr="00BD16B4" w14:paraId="6518634B" w14:textId="77777777" w:rsidTr="00F31129">
        <w:trPr>
          <w:gridAfter w:val="1"/>
          <w:wAfter w:w="23" w:type="dxa"/>
          <w:tblHeader/>
        </w:trPr>
        <w:tc>
          <w:tcPr>
            <w:tcW w:w="1492" w:type="dxa"/>
            <w:shd w:val="clear" w:color="auto" w:fill="1B556B" w:themeFill="text2"/>
            <w:noWrap/>
            <w:vAlign w:val="bottom"/>
            <w:hideMark/>
          </w:tcPr>
          <w:p w14:paraId="0571A292" w14:textId="77777777" w:rsidR="00B71B4E" w:rsidRPr="00BD16B4" w:rsidRDefault="00B71B4E" w:rsidP="00F31129">
            <w:pPr>
              <w:pStyle w:val="TableTextBold0"/>
              <w:keepNext/>
              <w:rPr>
                <w:color w:val="FFFFFF" w:themeColor="background1"/>
              </w:rPr>
            </w:pPr>
            <w:bookmarkStart w:id="390" w:name="_Toc497749156"/>
            <w:bookmarkStart w:id="391" w:name="_Toc500767051"/>
            <w:r w:rsidRPr="00BD16B4">
              <w:rPr>
                <w:color w:val="FFFFFF" w:themeColor="background1"/>
              </w:rPr>
              <w:t>Recipient country</w:t>
            </w:r>
            <w:r w:rsidRPr="00BD16B4">
              <w:rPr>
                <w:color w:val="FFFFFF" w:themeColor="background1"/>
              </w:rPr>
              <w:br/>
              <w:t>or countries</w:t>
            </w:r>
          </w:p>
        </w:tc>
        <w:tc>
          <w:tcPr>
            <w:tcW w:w="1247" w:type="dxa"/>
            <w:shd w:val="clear" w:color="auto" w:fill="1B556B" w:themeFill="text2"/>
            <w:noWrap/>
            <w:vAlign w:val="bottom"/>
            <w:hideMark/>
          </w:tcPr>
          <w:p w14:paraId="73767FF8" w14:textId="77777777" w:rsidR="00B71B4E" w:rsidRPr="00BD16B4" w:rsidRDefault="00B71B4E" w:rsidP="00F31129">
            <w:pPr>
              <w:pStyle w:val="TableTextBold0"/>
              <w:keepNext/>
              <w:rPr>
                <w:color w:val="FFFFFF" w:themeColor="background1"/>
              </w:rPr>
            </w:pPr>
            <w:r w:rsidRPr="00BD16B4">
              <w:rPr>
                <w:color w:val="FFFFFF" w:themeColor="background1"/>
              </w:rPr>
              <w:t>Target area</w:t>
            </w:r>
          </w:p>
        </w:tc>
        <w:tc>
          <w:tcPr>
            <w:tcW w:w="2268" w:type="dxa"/>
            <w:shd w:val="clear" w:color="auto" w:fill="1B556B" w:themeFill="text2"/>
            <w:noWrap/>
            <w:vAlign w:val="bottom"/>
            <w:hideMark/>
          </w:tcPr>
          <w:p w14:paraId="2418517E" w14:textId="77777777" w:rsidR="00B71B4E" w:rsidRPr="00BD16B4" w:rsidRDefault="00B71B4E" w:rsidP="00F31129">
            <w:pPr>
              <w:pStyle w:val="TableTextBold0"/>
              <w:keepNext/>
              <w:rPr>
                <w:color w:val="FFFFFF" w:themeColor="background1"/>
              </w:rPr>
            </w:pPr>
            <w:r w:rsidRPr="00BD16B4">
              <w:rPr>
                <w:color w:val="FFFFFF" w:themeColor="background1"/>
              </w:rPr>
              <w:t>Project title</w:t>
            </w:r>
          </w:p>
        </w:tc>
        <w:tc>
          <w:tcPr>
            <w:tcW w:w="3686" w:type="dxa"/>
            <w:shd w:val="clear" w:color="auto" w:fill="1B556B" w:themeFill="text2"/>
            <w:vAlign w:val="bottom"/>
            <w:hideMark/>
          </w:tcPr>
          <w:p w14:paraId="53FB271D" w14:textId="77777777" w:rsidR="00B71B4E" w:rsidRPr="00BD16B4" w:rsidRDefault="00B71B4E" w:rsidP="00F31129">
            <w:pPr>
              <w:pStyle w:val="TableTextBold0"/>
              <w:keepNext/>
              <w:rPr>
                <w:color w:val="FFFFFF" w:themeColor="background1"/>
              </w:rPr>
            </w:pPr>
            <w:r w:rsidRPr="00BD16B4">
              <w:rPr>
                <w:color w:val="FFFFFF" w:themeColor="background1"/>
              </w:rPr>
              <w:t>Description</w:t>
            </w:r>
          </w:p>
        </w:tc>
      </w:tr>
      <w:tr w:rsidR="00B71B4E" w:rsidRPr="00BD16B4" w14:paraId="084B8C7E" w14:textId="77777777" w:rsidTr="00F31129">
        <w:tc>
          <w:tcPr>
            <w:tcW w:w="1492" w:type="dxa"/>
          </w:tcPr>
          <w:p w14:paraId="73A61354" w14:textId="77777777" w:rsidR="00B71B4E" w:rsidRPr="00BD16B4" w:rsidRDefault="00B71B4E" w:rsidP="00F31129">
            <w:pPr>
              <w:pStyle w:val="TableText"/>
              <w:keepNext/>
              <w:rPr>
                <w:rFonts w:cs="Calibri"/>
                <w:color w:val="000000"/>
                <w:szCs w:val="18"/>
              </w:rPr>
            </w:pPr>
            <w:r w:rsidRPr="00BD16B4">
              <w:rPr>
                <w:rFonts w:cs="Calibri"/>
                <w:color w:val="000000"/>
                <w:szCs w:val="18"/>
              </w:rPr>
              <w:t>Pacific Regional</w:t>
            </w:r>
          </w:p>
        </w:tc>
        <w:tc>
          <w:tcPr>
            <w:tcW w:w="1247" w:type="dxa"/>
          </w:tcPr>
          <w:p w14:paraId="45406A9C" w14:textId="77777777" w:rsidR="00B71B4E" w:rsidRPr="00BD16B4" w:rsidRDefault="00B71B4E" w:rsidP="00F31129">
            <w:pPr>
              <w:pStyle w:val="TableText"/>
              <w:keepNext/>
              <w:rPr>
                <w:rFonts w:cs="Calibri"/>
                <w:color w:val="000000"/>
                <w:szCs w:val="18"/>
              </w:rPr>
            </w:pPr>
            <w:r w:rsidRPr="00BD16B4">
              <w:rPr>
                <w:rFonts w:cs="Calibri"/>
                <w:color w:val="000000"/>
                <w:szCs w:val="18"/>
              </w:rPr>
              <w:t>Adaptation</w:t>
            </w:r>
          </w:p>
        </w:tc>
        <w:tc>
          <w:tcPr>
            <w:tcW w:w="2268" w:type="dxa"/>
            <w:hideMark/>
          </w:tcPr>
          <w:p w14:paraId="5346CE7E" w14:textId="77777777" w:rsidR="00B71B4E" w:rsidRPr="00BD16B4" w:rsidRDefault="00B71B4E" w:rsidP="00F31129">
            <w:pPr>
              <w:pStyle w:val="TableText"/>
              <w:keepNext/>
              <w:rPr>
                <w:rFonts w:cs="Calibri"/>
                <w:color w:val="000000"/>
                <w:szCs w:val="18"/>
              </w:rPr>
            </w:pPr>
            <w:r w:rsidRPr="00BD16B4">
              <w:rPr>
                <w:rFonts w:cs="Calibri"/>
                <w:color w:val="000000"/>
                <w:szCs w:val="18"/>
              </w:rPr>
              <w:t>Pacific Islands Emergency Management Alliance</w:t>
            </w:r>
          </w:p>
        </w:tc>
        <w:tc>
          <w:tcPr>
            <w:tcW w:w="3686" w:type="dxa"/>
            <w:gridSpan w:val="2"/>
            <w:hideMark/>
          </w:tcPr>
          <w:p w14:paraId="5E6CA039" w14:textId="77777777" w:rsidR="00B71B4E" w:rsidRPr="00BD16B4" w:rsidRDefault="00B71B4E" w:rsidP="00F31129">
            <w:pPr>
              <w:pStyle w:val="TableText"/>
              <w:keepNext/>
              <w:rPr>
                <w:rFonts w:cs="Calibri"/>
                <w:color w:val="000000"/>
                <w:szCs w:val="18"/>
              </w:rPr>
            </w:pPr>
            <w:r w:rsidRPr="00BD16B4">
              <w:rPr>
                <w:rFonts w:cs="Calibri"/>
                <w:color w:val="000000"/>
                <w:szCs w:val="18"/>
              </w:rPr>
              <w:t>Funds SPC to deliver regional and national training exercises and technical assistance for Pacific Island countries’ emergency services</w:t>
            </w:r>
          </w:p>
        </w:tc>
      </w:tr>
      <w:tr w:rsidR="00B71B4E" w:rsidRPr="00BD16B4" w14:paraId="1E1C2EB3" w14:textId="77777777" w:rsidTr="00F31129">
        <w:tc>
          <w:tcPr>
            <w:tcW w:w="1492" w:type="dxa"/>
          </w:tcPr>
          <w:p w14:paraId="555972D2" w14:textId="77777777" w:rsidR="00B71B4E" w:rsidRPr="00BD16B4" w:rsidRDefault="00B71B4E" w:rsidP="00F31129">
            <w:pPr>
              <w:pStyle w:val="TableText"/>
              <w:keepNext/>
              <w:rPr>
                <w:rFonts w:cs="Calibri"/>
                <w:color w:val="000000"/>
                <w:szCs w:val="18"/>
              </w:rPr>
            </w:pPr>
            <w:r w:rsidRPr="00BD16B4">
              <w:rPr>
                <w:rFonts w:cs="Calibri"/>
                <w:color w:val="000000"/>
                <w:szCs w:val="18"/>
              </w:rPr>
              <w:t>Palestine</w:t>
            </w:r>
          </w:p>
        </w:tc>
        <w:tc>
          <w:tcPr>
            <w:tcW w:w="1247" w:type="dxa"/>
          </w:tcPr>
          <w:p w14:paraId="6396D334" w14:textId="77777777" w:rsidR="00B71B4E" w:rsidRPr="00BD16B4" w:rsidRDefault="00B71B4E" w:rsidP="00F31129">
            <w:pPr>
              <w:pStyle w:val="TableText"/>
              <w:keepNext/>
              <w:rPr>
                <w:rFonts w:cs="Calibri"/>
                <w:color w:val="000000"/>
                <w:szCs w:val="18"/>
              </w:rPr>
            </w:pPr>
            <w:r w:rsidRPr="00BD16B4">
              <w:rPr>
                <w:rFonts w:cs="Calibri"/>
                <w:color w:val="000000"/>
                <w:szCs w:val="18"/>
              </w:rPr>
              <w:t>Cross-cutting</w:t>
            </w:r>
          </w:p>
        </w:tc>
        <w:tc>
          <w:tcPr>
            <w:tcW w:w="2268" w:type="dxa"/>
            <w:hideMark/>
          </w:tcPr>
          <w:p w14:paraId="2C3167D4" w14:textId="77777777" w:rsidR="00B71B4E" w:rsidRPr="00BD16B4" w:rsidRDefault="00B71B4E" w:rsidP="00F31129">
            <w:pPr>
              <w:pStyle w:val="TableText"/>
              <w:keepNext/>
              <w:rPr>
                <w:rFonts w:cs="Calibri"/>
                <w:color w:val="000000"/>
                <w:szCs w:val="18"/>
              </w:rPr>
            </w:pPr>
            <w:r w:rsidRPr="00BD16B4">
              <w:rPr>
                <w:rFonts w:cs="Calibri"/>
                <w:color w:val="000000"/>
                <w:szCs w:val="18"/>
              </w:rPr>
              <w:t>Palestine Renewable Energy (Office of the Quartet)</w:t>
            </w:r>
          </w:p>
        </w:tc>
        <w:tc>
          <w:tcPr>
            <w:tcW w:w="3686" w:type="dxa"/>
            <w:gridSpan w:val="2"/>
            <w:hideMark/>
          </w:tcPr>
          <w:p w14:paraId="7E69061B" w14:textId="77777777" w:rsidR="00B71B4E" w:rsidRPr="00BD16B4" w:rsidRDefault="00B71B4E" w:rsidP="00F31129">
            <w:pPr>
              <w:pStyle w:val="TableText"/>
              <w:keepNext/>
              <w:rPr>
                <w:rFonts w:cs="Calibri"/>
                <w:color w:val="000000"/>
                <w:szCs w:val="18"/>
              </w:rPr>
            </w:pPr>
            <w:r w:rsidRPr="00BD16B4">
              <w:rPr>
                <w:rFonts w:cs="Calibri"/>
                <w:color w:val="000000"/>
                <w:szCs w:val="18"/>
              </w:rPr>
              <w:t>Supports the development of renewable energy initiatives in Occupied Palestinian Territories through the funding of a senior energy expert, and contributes to an economic development associate and multiple detailed feasibility studies for proposed solar power generation sites in Gaza</w:t>
            </w:r>
          </w:p>
        </w:tc>
      </w:tr>
      <w:tr w:rsidR="00B71B4E" w:rsidRPr="00BD16B4" w14:paraId="74D066E8" w14:textId="77777777" w:rsidTr="00F31129">
        <w:tc>
          <w:tcPr>
            <w:tcW w:w="1492" w:type="dxa"/>
          </w:tcPr>
          <w:p w14:paraId="3A384A4A" w14:textId="77777777" w:rsidR="00B71B4E" w:rsidRPr="00BD16B4" w:rsidRDefault="00B71B4E" w:rsidP="00F31129">
            <w:pPr>
              <w:pStyle w:val="TableText"/>
              <w:rPr>
                <w:rFonts w:cs="Calibri"/>
                <w:color w:val="000000"/>
                <w:szCs w:val="18"/>
              </w:rPr>
            </w:pPr>
            <w:r w:rsidRPr="00BD16B4">
              <w:rPr>
                <w:rFonts w:cs="Calibri"/>
                <w:color w:val="000000"/>
                <w:szCs w:val="18"/>
              </w:rPr>
              <w:t>Solomon Islands</w:t>
            </w:r>
          </w:p>
        </w:tc>
        <w:tc>
          <w:tcPr>
            <w:tcW w:w="1247" w:type="dxa"/>
          </w:tcPr>
          <w:p w14:paraId="1C86DABE"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7C82670A" w14:textId="77777777" w:rsidR="00B71B4E" w:rsidRPr="00BD16B4" w:rsidRDefault="00B71B4E" w:rsidP="00F31129">
            <w:pPr>
              <w:pStyle w:val="TableText"/>
              <w:rPr>
                <w:rFonts w:cs="Calibri"/>
                <w:color w:val="000000"/>
                <w:szCs w:val="18"/>
              </w:rPr>
            </w:pPr>
            <w:r w:rsidRPr="00BD16B4">
              <w:rPr>
                <w:rFonts w:cs="Calibri"/>
                <w:color w:val="000000"/>
                <w:szCs w:val="18"/>
              </w:rPr>
              <w:t>Forest Conservation</w:t>
            </w:r>
          </w:p>
        </w:tc>
        <w:tc>
          <w:tcPr>
            <w:tcW w:w="3686" w:type="dxa"/>
            <w:gridSpan w:val="2"/>
            <w:hideMark/>
          </w:tcPr>
          <w:p w14:paraId="31B7D76E" w14:textId="77777777" w:rsidR="00B71B4E" w:rsidRPr="00BD16B4" w:rsidRDefault="00B71B4E" w:rsidP="00F31129">
            <w:pPr>
              <w:pStyle w:val="TableText"/>
              <w:rPr>
                <w:rFonts w:cs="Calibri"/>
                <w:color w:val="000000"/>
                <w:szCs w:val="18"/>
              </w:rPr>
            </w:pPr>
            <w:r w:rsidRPr="00BD16B4">
              <w:rPr>
                <w:rFonts w:cs="Calibri"/>
                <w:color w:val="000000"/>
                <w:szCs w:val="18"/>
              </w:rPr>
              <w:t>Supports the protection of forests and the ecosystem services they provide, through delivery of alternative source of revenue for landowners</w:t>
            </w:r>
          </w:p>
        </w:tc>
      </w:tr>
      <w:tr w:rsidR="00B71B4E" w:rsidRPr="00BD16B4" w14:paraId="6DA5796F" w14:textId="77777777" w:rsidTr="00F31129">
        <w:tc>
          <w:tcPr>
            <w:tcW w:w="1492" w:type="dxa"/>
          </w:tcPr>
          <w:p w14:paraId="7A08CB36" w14:textId="77777777" w:rsidR="00B71B4E" w:rsidRPr="00BD16B4" w:rsidRDefault="00B71B4E" w:rsidP="00F31129">
            <w:pPr>
              <w:pStyle w:val="TableText"/>
              <w:rPr>
                <w:rFonts w:cs="Calibri"/>
                <w:color w:val="000000"/>
                <w:szCs w:val="18"/>
              </w:rPr>
            </w:pPr>
            <w:r w:rsidRPr="00BD16B4">
              <w:rPr>
                <w:rFonts w:cs="Calibri"/>
                <w:color w:val="000000"/>
                <w:szCs w:val="18"/>
              </w:rPr>
              <w:t>Philippines</w:t>
            </w:r>
          </w:p>
        </w:tc>
        <w:tc>
          <w:tcPr>
            <w:tcW w:w="1247" w:type="dxa"/>
          </w:tcPr>
          <w:p w14:paraId="3E68DD6A"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5802FCA7" w14:textId="77777777" w:rsidR="00B71B4E" w:rsidRPr="00BD16B4" w:rsidRDefault="00B71B4E" w:rsidP="00F31129">
            <w:pPr>
              <w:pStyle w:val="TableText"/>
              <w:rPr>
                <w:rFonts w:cs="Calibri"/>
                <w:color w:val="000000"/>
                <w:szCs w:val="18"/>
              </w:rPr>
            </w:pPr>
            <w:r w:rsidRPr="00BD16B4">
              <w:rPr>
                <w:rFonts w:cs="Calibri"/>
                <w:color w:val="000000"/>
                <w:szCs w:val="18"/>
              </w:rPr>
              <w:t>Agricultural Livelihoods in Mindanao</w:t>
            </w:r>
          </w:p>
        </w:tc>
        <w:tc>
          <w:tcPr>
            <w:tcW w:w="3686" w:type="dxa"/>
            <w:gridSpan w:val="2"/>
            <w:hideMark/>
          </w:tcPr>
          <w:p w14:paraId="05A38802" w14:textId="77777777" w:rsidR="00B71B4E" w:rsidRPr="00BD16B4" w:rsidRDefault="00B71B4E" w:rsidP="00F31129">
            <w:pPr>
              <w:pStyle w:val="TableText"/>
              <w:rPr>
                <w:rFonts w:cs="Calibri"/>
                <w:color w:val="000000"/>
                <w:szCs w:val="18"/>
              </w:rPr>
            </w:pPr>
            <w:r w:rsidRPr="00BD16B4">
              <w:rPr>
                <w:rFonts w:cs="Calibri"/>
                <w:color w:val="000000"/>
                <w:szCs w:val="18"/>
              </w:rPr>
              <w:t>Targets households that are food insecure, many of which are returning home after being displaced by conflict</w:t>
            </w:r>
          </w:p>
        </w:tc>
      </w:tr>
      <w:tr w:rsidR="00B71B4E" w:rsidRPr="00BD16B4" w14:paraId="6D63A0DE" w14:textId="77777777" w:rsidTr="00F31129">
        <w:tc>
          <w:tcPr>
            <w:tcW w:w="1492" w:type="dxa"/>
          </w:tcPr>
          <w:p w14:paraId="003086D2"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60B0E48E" w14:textId="77777777" w:rsidR="00B71B4E" w:rsidRPr="00BD16B4" w:rsidRDefault="00B71B4E" w:rsidP="00F31129">
            <w:pPr>
              <w:pStyle w:val="TableText"/>
              <w:rPr>
                <w:rFonts w:cs="Calibri"/>
                <w:color w:val="000000"/>
                <w:szCs w:val="18"/>
              </w:rPr>
            </w:pPr>
            <w:r w:rsidRPr="00BD16B4">
              <w:rPr>
                <w:rFonts w:cs="Calibri"/>
                <w:color w:val="000000"/>
                <w:szCs w:val="18"/>
              </w:rPr>
              <w:t>Cross-cutting</w:t>
            </w:r>
          </w:p>
        </w:tc>
        <w:tc>
          <w:tcPr>
            <w:tcW w:w="2268" w:type="dxa"/>
            <w:hideMark/>
          </w:tcPr>
          <w:p w14:paraId="7D3CF340" w14:textId="77777777" w:rsidR="00B71B4E" w:rsidRPr="00BD16B4" w:rsidRDefault="00B71B4E" w:rsidP="00F31129">
            <w:pPr>
              <w:pStyle w:val="TableText"/>
              <w:rPr>
                <w:rFonts w:cs="Calibri"/>
                <w:color w:val="000000"/>
                <w:szCs w:val="18"/>
              </w:rPr>
            </w:pPr>
            <w:r w:rsidRPr="00BD16B4">
              <w:rPr>
                <w:rFonts w:cs="Calibri"/>
                <w:color w:val="000000"/>
                <w:szCs w:val="18"/>
              </w:rPr>
              <w:t xml:space="preserve">Climate and Oceans Support Program in the Pacific </w:t>
            </w:r>
          </w:p>
        </w:tc>
        <w:tc>
          <w:tcPr>
            <w:tcW w:w="3686" w:type="dxa"/>
            <w:gridSpan w:val="2"/>
            <w:hideMark/>
          </w:tcPr>
          <w:p w14:paraId="264CDA68" w14:textId="77777777" w:rsidR="00B71B4E" w:rsidRPr="00BD16B4" w:rsidRDefault="00B71B4E" w:rsidP="00F31129">
            <w:pPr>
              <w:pStyle w:val="TableText"/>
              <w:rPr>
                <w:rFonts w:cs="Calibri"/>
                <w:color w:val="000000"/>
                <w:szCs w:val="18"/>
              </w:rPr>
            </w:pPr>
            <w:r w:rsidRPr="00BD16B4">
              <w:rPr>
                <w:rFonts w:cs="Calibri"/>
                <w:color w:val="000000"/>
                <w:szCs w:val="18"/>
              </w:rPr>
              <w:t>Provides funding for the Climate Data for the Environment component, which will include funding for NIWA-led activities</w:t>
            </w:r>
          </w:p>
        </w:tc>
      </w:tr>
      <w:tr w:rsidR="00B71B4E" w:rsidRPr="00BD16B4" w14:paraId="325CBC24" w14:textId="77777777" w:rsidTr="00F31129">
        <w:tc>
          <w:tcPr>
            <w:tcW w:w="1492" w:type="dxa"/>
          </w:tcPr>
          <w:p w14:paraId="221F63BB"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2941B2CF" w14:textId="77777777" w:rsidR="00B71B4E" w:rsidRPr="00BD16B4" w:rsidRDefault="00B71B4E" w:rsidP="00F31129">
            <w:pPr>
              <w:pStyle w:val="TableText"/>
              <w:rPr>
                <w:rFonts w:cs="Calibri"/>
                <w:color w:val="000000"/>
                <w:szCs w:val="18"/>
              </w:rPr>
            </w:pPr>
            <w:r w:rsidRPr="00BD16B4">
              <w:rPr>
                <w:rFonts w:cs="Calibri"/>
                <w:color w:val="000000"/>
                <w:szCs w:val="18"/>
              </w:rPr>
              <w:t>Cross-cutting</w:t>
            </w:r>
          </w:p>
        </w:tc>
        <w:tc>
          <w:tcPr>
            <w:tcW w:w="2268" w:type="dxa"/>
            <w:hideMark/>
          </w:tcPr>
          <w:p w14:paraId="587579AD" w14:textId="77777777" w:rsidR="00B71B4E" w:rsidRPr="00BD16B4" w:rsidRDefault="00B71B4E" w:rsidP="00F31129">
            <w:pPr>
              <w:pStyle w:val="TableText"/>
              <w:rPr>
                <w:rFonts w:cs="Calibri"/>
                <w:color w:val="000000"/>
                <w:szCs w:val="18"/>
              </w:rPr>
            </w:pPr>
            <w:r w:rsidRPr="00BD16B4">
              <w:rPr>
                <w:rFonts w:cs="Calibri"/>
                <w:color w:val="000000"/>
                <w:szCs w:val="18"/>
              </w:rPr>
              <w:t>PICTicipate (from 2018/19)</w:t>
            </w:r>
          </w:p>
        </w:tc>
        <w:tc>
          <w:tcPr>
            <w:tcW w:w="3686" w:type="dxa"/>
            <w:gridSpan w:val="2"/>
            <w:hideMark/>
          </w:tcPr>
          <w:p w14:paraId="2DC9D0D1" w14:textId="77777777" w:rsidR="00B71B4E" w:rsidRPr="00BD16B4" w:rsidRDefault="00B71B4E" w:rsidP="00F31129">
            <w:pPr>
              <w:pStyle w:val="TableText"/>
              <w:rPr>
                <w:rFonts w:cs="Calibri"/>
                <w:color w:val="000000"/>
                <w:szCs w:val="18"/>
              </w:rPr>
            </w:pPr>
            <w:r w:rsidRPr="00BD16B4">
              <w:rPr>
                <w:rFonts w:cs="Calibri"/>
                <w:color w:val="000000"/>
                <w:szCs w:val="18"/>
              </w:rPr>
              <w:t>Supports the attendance of Pacific Island citizens at regional and international events, which strengthens ownership of regional and international development processes, and provides capacity building and knowledge transfer</w:t>
            </w:r>
          </w:p>
        </w:tc>
      </w:tr>
      <w:tr w:rsidR="00B71B4E" w:rsidRPr="00BD16B4" w14:paraId="645107FD" w14:textId="77777777" w:rsidTr="00F31129">
        <w:tc>
          <w:tcPr>
            <w:tcW w:w="1492" w:type="dxa"/>
          </w:tcPr>
          <w:p w14:paraId="2AAA7F3B" w14:textId="77777777" w:rsidR="00B71B4E" w:rsidRPr="00BD16B4" w:rsidRDefault="00B71B4E" w:rsidP="00F31129">
            <w:pPr>
              <w:pStyle w:val="TableText"/>
              <w:rPr>
                <w:rFonts w:cs="Calibri"/>
                <w:color w:val="000000"/>
                <w:szCs w:val="18"/>
              </w:rPr>
            </w:pPr>
            <w:r w:rsidRPr="00BD16B4">
              <w:rPr>
                <w:rFonts w:cs="Calibri"/>
                <w:color w:val="000000"/>
                <w:szCs w:val="18"/>
              </w:rPr>
              <w:t>Samoa</w:t>
            </w:r>
          </w:p>
        </w:tc>
        <w:tc>
          <w:tcPr>
            <w:tcW w:w="1247" w:type="dxa"/>
          </w:tcPr>
          <w:p w14:paraId="69DFBF37"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47B79771" w14:textId="77777777" w:rsidR="00B71B4E" w:rsidRPr="00BD16B4" w:rsidRDefault="00B71B4E" w:rsidP="00F31129">
            <w:pPr>
              <w:pStyle w:val="TableText"/>
              <w:rPr>
                <w:rFonts w:cs="Calibri"/>
                <w:color w:val="000000"/>
                <w:szCs w:val="18"/>
              </w:rPr>
            </w:pPr>
            <w:r w:rsidRPr="00BD16B4">
              <w:rPr>
                <w:rFonts w:cs="Calibri"/>
                <w:color w:val="000000"/>
                <w:szCs w:val="18"/>
              </w:rPr>
              <w:t>Habitat Disaster Risk Reduction Samoa</w:t>
            </w:r>
          </w:p>
        </w:tc>
        <w:tc>
          <w:tcPr>
            <w:tcW w:w="3686" w:type="dxa"/>
            <w:gridSpan w:val="2"/>
            <w:hideMark/>
          </w:tcPr>
          <w:p w14:paraId="6939AA8E" w14:textId="77777777" w:rsidR="00B71B4E" w:rsidRPr="00BD16B4" w:rsidRDefault="00B71B4E" w:rsidP="00F31129">
            <w:pPr>
              <w:pStyle w:val="TableText"/>
              <w:rPr>
                <w:rFonts w:cs="Calibri"/>
                <w:color w:val="000000"/>
                <w:szCs w:val="18"/>
              </w:rPr>
            </w:pPr>
            <w:r w:rsidRPr="00BD16B4">
              <w:rPr>
                <w:rFonts w:cs="Calibri"/>
                <w:color w:val="000000"/>
                <w:szCs w:val="18"/>
              </w:rPr>
              <w:t>Supports disaster risk reduction in Samoa through training in safer building techniques, disaster preparation and financial literacy</w:t>
            </w:r>
          </w:p>
        </w:tc>
      </w:tr>
      <w:tr w:rsidR="00B71B4E" w:rsidRPr="00BD16B4" w14:paraId="67481741" w14:textId="77777777" w:rsidTr="00F31129">
        <w:tc>
          <w:tcPr>
            <w:tcW w:w="1492" w:type="dxa"/>
          </w:tcPr>
          <w:p w14:paraId="13AC5F29" w14:textId="77777777" w:rsidR="00B71B4E" w:rsidRPr="00BD16B4" w:rsidRDefault="00B71B4E" w:rsidP="00F31129">
            <w:pPr>
              <w:pStyle w:val="TableText"/>
              <w:rPr>
                <w:rFonts w:cs="Calibri"/>
                <w:color w:val="000000"/>
                <w:szCs w:val="18"/>
              </w:rPr>
            </w:pPr>
            <w:r w:rsidRPr="00BD16B4">
              <w:rPr>
                <w:rFonts w:cs="Calibri"/>
                <w:color w:val="000000"/>
                <w:szCs w:val="18"/>
              </w:rPr>
              <w:t>Tuvalu</w:t>
            </w:r>
          </w:p>
        </w:tc>
        <w:tc>
          <w:tcPr>
            <w:tcW w:w="1247" w:type="dxa"/>
          </w:tcPr>
          <w:p w14:paraId="56CB7119" w14:textId="77777777" w:rsidR="00B71B4E" w:rsidRPr="00BD16B4" w:rsidRDefault="00B71B4E" w:rsidP="00F31129">
            <w:pPr>
              <w:pStyle w:val="TableText"/>
              <w:rPr>
                <w:rFonts w:cs="Calibri"/>
                <w:color w:val="000000"/>
                <w:szCs w:val="18"/>
              </w:rPr>
            </w:pPr>
            <w:r w:rsidRPr="00BD16B4">
              <w:rPr>
                <w:rFonts w:cs="Calibri"/>
                <w:color w:val="000000"/>
                <w:szCs w:val="18"/>
              </w:rPr>
              <w:t>Cross-cutting</w:t>
            </w:r>
          </w:p>
        </w:tc>
        <w:tc>
          <w:tcPr>
            <w:tcW w:w="2268" w:type="dxa"/>
            <w:hideMark/>
          </w:tcPr>
          <w:p w14:paraId="55BEB7AE" w14:textId="77777777" w:rsidR="00B71B4E" w:rsidRPr="00BD16B4" w:rsidRDefault="00B71B4E" w:rsidP="00F31129">
            <w:pPr>
              <w:pStyle w:val="TableText"/>
              <w:rPr>
                <w:rFonts w:cs="Calibri"/>
                <w:color w:val="000000"/>
                <w:szCs w:val="18"/>
              </w:rPr>
            </w:pPr>
            <w:r w:rsidRPr="00BD16B4">
              <w:rPr>
                <w:rFonts w:cs="Calibri"/>
                <w:color w:val="000000"/>
                <w:szCs w:val="18"/>
              </w:rPr>
              <w:t>Vaitupu Energy Extension</w:t>
            </w:r>
          </w:p>
        </w:tc>
        <w:tc>
          <w:tcPr>
            <w:tcW w:w="3686" w:type="dxa"/>
            <w:gridSpan w:val="2"/>
            <w:hideMark/>
          </w:tcPr>
          <w:p w14:paraId="109961C2" w14:textId="77777777" w:rsidR="00B71B4E" w:rsidRPr="00BD16B4" w:rsidRDefault="00B71B4E" w:rsidP="00F31129">
            <w:pPr>
              <w:pStyle w:val="TableText"/>
              <w:rPr>
                <w:rFonts w:cs="Calibri"/>
                <w:color w:val="000000"/>
                <w:szCs w:val="18"/>
              </w:rPr>
            </w:pPr>
            <w:r w:rsidRPr="00BD16B4">
              <w:rPr>
                <w:rFonts w:cs="Calibri"/>
                <w:color w:val="000000"/>
                <w:szCs w:val="18"/>
              </w:rPr>
              <w:t>Scopes the work required on the current renewable energy infrastructure, in order to determine the scale of additional work required</w:t>
            </w:r>
          </w:p>
        </w:tc>
      </w:tr>
      <w:tr w:rsidR="00B71B4E" w:rsidRPr="00BD16B4" w14:paraId="774AB4B0" w14:textId="77777777" w:rsidTr="00F31129">
        <w:tc>
          <w:tcPr>
            <w:tcW w:w="1492" w:type="dxa"/>
          </w:tcPr>
          <w:p w14:paraId="53B11944" w14:textId="77777777" w:rsidR="00B71B4E" w:rsidRPr="00BD16B4" w:rsidRDefault="00B71B4E" w:rsidP="00F31129">
            <w:pPr>
              <w:pStyle w:val="TableText"/>
              <w:rPr>
                <w:rFonts w:cs="Calibri"/>
                <w:color w:val="000000"/>
                <w:szCs w:val="18"/>
              </w:rPr>
            </w:pPr>
            <w:r w:rsidRPr="00BD16B4">
              <w:rPr>
                <w:rFonts w:cs="Calibri"/>
                <w:color w:val="000000"/>
                <w:szCs w:val="18"/>
              </w:rPr>
              <w:t>Tuvalu</w:t>
            </w:r>
          </w:p>
        </w:tc>
        <w:tc>
          <w:tcPr>
            <w:tcW w:w="1247" w:type="dxa"/>
          </w:tcPr>
          <w:p w14:paraId="4C231AD2"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79C8D150" w14:textId="77777777" w:rsidR="00B71B4E" w:rsidRPr="00BD16B4" w:rsidRDefault="00B71B4E" w:rsidP="00F31129">
            <w:pPr>
              <w:pStyle w:val="TableText"/>
              <w:rPr>
                <w:rFonts w:cs="Calibri"/>
                <w:color w:val="000000"/>
                <w:szCs w:val="18"/>
              </w:rPr>
            </w:pPr>
            <w:r w:rsidRPr="00BD16B4">
              <w:rPr>
                <w:rFonts w:cs="Calibri"/>
                <w:color w:val="000000"/>
                <w:szCs w:val="18"/>
              </w:rPr>
              <w:t>Vaitupu Water Security</w:t>
            </w:r>
          </w:p>
        </w:tc>
        <w:tc>
          <w:tcPr>
            <w:tcW w:w="3686" w:type="dxa"/>
            <w:gridSpan w:val="2"/>
            <w:hideMark/>
          </w:tcPr>
          <w:p w14:paraId="2812E0E7" w14:textId="77777777" w:rsidR="00B71B4E" w:rsidRPr="00BD16B4" w:rsidRDefault="00B71B4E" w:rsidP="00F31129">
            <w:pPr>
              <w:pStyle w:val="TableText"/>
              <w:rPr>
                <w:rFonts w:cs="Calibri"/>
                <w:color w:val="000000"/>
                <w:szCs w:val="18"/>
              </w:rPr>
            </w:pPr>
            <w:r w:rsidRPr="00BD16B4">
              <w:rPr>
                <w:rFonts w:cs="Calibri"/>
                <w:color w:val="000000"/>
                <w:szCs w:val="18"/>
              </w:rPr>
              <w:t>Supports the generation of knowledge for evidence-based decision-making, the establishment of local capacity to manage, operate, maintain and govern the system, and the empowerment of the community to maintain safe drinking water in all conditions</w:t>
            </w:r>
          </w:p>
        </w:tc>
      </w:tr>
      <w:tr w:rsidR="00B71B4E" w:rsidRPr="00BD16B4" w14:paraId="57A03B8A" w14:textId="77777777" w:rsidTr="00F31129">
        <w:tc>
          <w:tcPr>
            <w:tcW w:w="1492" w:type="dxa"/>
          </w:tcPr>
          <w:p w14:paraId="0802BBAD" w14:textId="77777777" w:rsidR="00B71B4E" w:rsidRPr="00BD16B4" w:rsidRDefault="00B71B4E" w:rsidP="00F31129">
            <w:pPr>
              <w:pStyle w:val="TableText"/>
              <w:rPr>
                <w:rFonts w:cs="Calibri"/>
                <w:color w:val="000000"/>
                <w:szCs w:val="18"/>
              </w:rPr>
            </w:pPr>
            <w:r w:rsidRPr="00BD16B4">
              <w:rPr>
                <w:rFonts w:cs="Calibri"/>
                <w:color w:val="000000"/>
                <w:szCs w:val="18"/>
              </w:rPr>
              <w:t>Tokelau</w:t>
            </w:r>
          </w:p>
        </w:tc>
        <w:tc>
          <w:tcPr>
            <w:tcW w:w="1247" w:type="dxa"/>
          </w:tcPr>
          <w:p w14:paraId="6BE69983" w14:textId="77777777" w:rsidR="00B71B4E" w:rsidRPr="00BD16B4" w:rsidRDefault="00B71B4E" w:rsidP="00F31129">
            <w:pPr>
              <w:pStyle w:val="TableText"/>
              <w:rPr>
                <w:rFonts w:cs="Calibri"/>
                <w:color w:val="000000"/>
                <w:szCs w:val="18"/>
              </w:rPr>
            </w:pPr>
            <w:r w:rsidRPr="00BD16B4">
              <w:rPr>
                <w:rFonts w:cs="Calibri"/>
                <w:color w:val="000000"/>
                <w:szCs w:val="18"/>
              </w:rPr>
              <w:t>Cross-cutting</w:t>
            </w:r>
          </w:p>
        </w:tc>
        <w:tc>
          <w:tcPr>
            <w:tcW w:w="2268" w:type="dxa"/>
            <w:hideMark/>
          </w:tcPr>
          <w:p w14:paraId="089C233D" w14:textId="77777777" w:rsidR="00B71B4E" w:rsidRPr="00BD16B4" w:rsidRDefault="00B71B4E" w:rsidP="00F31129">
            <w:pPr>
              <w:pStyle w:val="TableText"/>
              <w:rPr>
                <w:rFonts w:cs="Calibri"/>
                <w:color w:val="000000"/>
                <w:szCs w:val="18"/>
              </w:rPr>
            </w:pPr>
            <w:r w:rsidRPr="00BD16B4">
              <w:rPr>
                <w:rFonts w:cs="Calibri"/>
                <w:color w:val="000000"/>
                <w:szCs w:val="18"/>
              </w:rPr>
              <w:t>Coastal Risk Mitigation</w:t>
            </w:r>
          </w:p>
        </w:tc>
        <w:tc>
          <w:tcPr>
            <w:tcW w:w="3686" w:type="dxa"/>
            <w:gridSpan w:val="2"/>
            <w:hideMark/>
          </w:tcPr>
          <w:p w14:paraId="69009D52" w14:textId="77777777" w:rsidR="00B71B4E" w:rsidRPr="00BD16B4" w:rsidRDefault="00B71B4E" w:rsidP="00F31129">
            <w:pPr>
              <w:pStyle w:val="TableText"/>
              <w:rPr>
                <w:rFonts w:cs="Calibri"/>
                <w:color w:val="000000"/>
                <w:szCs w:val="18"/>
              </w:rPr>
            </w:pPr>
            <w:r w:rsidRPr="00BD16B4">
              <w:rPr>
                <w:rFonts w:cs="Calibri"/>
                <w:color w:val="000000"/>
                <w:szCs w:val="18"/>
              </w:rPr>
              <w:t>Enhances the resilience of communities by preparing designs and inputs for strengthening coastal defences, constructing emergency shelters and repairing or replacing Nukunonu bridge</w:t>
            </w:r>
          </w:p>
        </w:tc>
      </w:tr>
      <w:tr w:rsidR="00B71B4E" w:rsidRPr="00BD16B4" w14:paraId="1B578471" w14:textId="77777777" w:rsidTr="00F31129">
        <w:tc>
          <w:tcPr>
            <w:tcW w:w="1492" w:type="dxa"/>
          </w:tcPr>
          <w:p w14:paraId="3918F46D" w14:textId="77777777" w:rsidR="00B71B4E" w:rsidRPr="00BD16B4" w:rsidRDefault="00B71B4E" w:rsidP="00F31129">
            <w:pPr>
              <w:pStyle w:val="TableText"/>
              <w:keepNext/>
              <w:rPr>
                <w:rFonts w:cs="Calibri"/>
                <w:color w:val="000000"/>
                <w:szCs w:val="18"/>
              </w:rPr>
            </w:pPr>
            <w:r w:rsidRPr="00BD16B4">
              <w:rPr>
                <w:rFonts w:cs="Calibri"/>
                <w:color w:val="000000"/>
                <w:szCs w:val="18"/>
              </w:rPr>
              <w:lastRenderedPageBreak/>
              <w:t>Fiji</w:t>
            </w:r>
          </w:p>
        </w:tc>
        <w:tc>
          <w:tcPr>
            <w:tcW w:w="1247" w:type="dxa"/>
          </w:tcPr>
          <w:p w14:paraId="0D65C488" w14:textId="77777777" w:rsidR="00B71B4E" w:rsidRPr="00BD16B4" w:rsidRDefault="00B71B4E" w:rsidP="00F31129">
            <w:pPr>
              <w:pStyle w:val="TableText"/>
              <w:rPr>
                <w:rFonts w:cs="Calibri"/>
                <w:color w:val="000000"/>
                <w:szCs w:val="18"/>
              </w:rPr>
            </w:pPr>
            <w:r w:rsidRPr="00BD16B4">
              <w:rPr>
                <w:rFonts w:cs="Calibri"/>
                <w:color w:val="000000"/>
                <w:szCs w:val="18"/>
              </w:rPr>
              <w:t>Cross-cutting</w:t>
            </w:r>
          </w:p>
        </w:tc>
        <w:tc>
          <w:tcPr>
            <w:tcW w:w="2268" w:type="dxa"/>
            <w:hideMark/>
          </w:tcPr>
          <w:p w14:paraId="14313B19" w14:textId="77777777" w:rsidR="00B71B4E" w:rsidRPr="00BD16B4" w:rsidRDefault="00B71B4E" w:rsidP="00F31129">
            <w:pPr>
              <w:pStyle w:val="TableText"/>
              <w:rPr>
                <w:rFonts w:cs="Calibri"/>
                <w:color w:val="000000"/>
                <w:szCs w:val="18"/>
              </w:rPr>
            </w:pPr>
            <w:r w:rsidRPr="00BD16B4">
              <w:rPr>
                <w:rFonts w:cs="Calibri"/>
                <w:color w:val="000000"/>
                <w:szCs w:val="18"/>
              </w:rPr>
              <w:t>Disaster Risk Management in Fiji</w:t>
            </w:r>
          </w:p>
        </w:tc>
        <w:tc>
          <w:tcPr>
            <w:tcW w:w="3686" w:type="dxa"/>
            <w:gridSpan w:val="2"/>
            <w:hideMark/>
          </w:tcPr>
          <w:p w14:paraId="3FB4EF92" w14:textId="77777777" w:rsidR="00B71B4E" w:rsidRPr="00BD16B4" w:rsidRDefault="00B71B4E" w:rsidP="00F31129">
            <w:pPr>
              <w:pStyle w:val="TableText"/>
              <w:rPr>
                <w:rFonts w:cs="Calibri"/>
                <w:color w:val="000000"/>
                <w:szCs w:val="18"/>
              </w:rPr>
            </w:pPr>
            <w:r w:rsidRPr="00BD16B4">
              <w:rPr>
                <w:rFonts w:cs="Calibri"/>
                <w:color w:val="000000"/>
                <w:szCs w:val="18"/>
              </w:rPr>
              <w:t>Supports improved disaster preparedness and response, and climate resilience by increasing the capacity of the National Disaster Management Office to manage disaster awareness and response in Fiji</w:t>
            </w:r>
          </w:p>
        </w:tc>
      </w:tr>
      <w:tr w:rsidR="00B71B4E" w:rsidRPr="00BD16B4" w14:paraId="67349C18" w14:textId="77777777" w:rsidTr="00F31129">
        <w:tc>
          <w:tcPr>
            <w:tcW w:w="1492" w:type="dxa"/>
          </w:tcPr>
          <w:p w14:paraId="078092B5" w14:textId="77777777" w:rsidR="00B71B4E" w:rsidRPr="00BD16B4" w:rsidRDefault="00B71B4E" w:rsidP="00F31129">
            <w:pPr>
              <w:pStyle w:val="TableText"/>
              <w:rPr>
                <w:rFonts w:cs="Calibri"/>
                <w:color w:val="000000"/>
                <w:szCs w:val="18"/>
              </w:rPr>
            </w:pPr>
            <w:r w:rsidRPr="00BD16B4">
              <w:rPr>
                <w:rFonts w:cs="Calibri"/>
                <w:color w:val="000000"/>
                <w:szCs w:val="18"/>
              </w:rPr>
              <w:t>Fiji</w:t>
            </w:r>
          </w:p>
        </w:tc>
        <w:tc>
          <w:tcPr>
            <w:tcW w:w="1247" w:type="dxa"/>
          </w:tcPr>
          <w:p w14:paraId="6A88F14F"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229E4F73" w14:textId="77777777" w:rsidR="00B71B4E" w:rsidRPr="00BD16B4" w:rsidRDefault="00B71B4E" w:rsidP="00F31129">
            <w:pPr>
              <w:pStyle w:val="TableText"/>
              <w:rPr>
                <w:rFonts w:cs="Calibri"/>
                <w:color w:val="000000"/>
                <w:szCs w:val="18"/>
              </w:rPr>
            </w:pPr>
            <w:r w:rsidRPr="00BD16B4">
              <w:rPr>
                <w:rFonts w:cs="Calibri"/>
                <w:color w:val="000000"/>
                <w:szCs w:val="18"/>
              </w:rPr>
              <w:t>Fiji Ease of Doing Business – International Finance Corporation contribution</w:t>
            </w:r>
          </w:p>
        </w:tc>
        <w:tc>
          <w:tcPr>
            <w:tcW w:w="3686" w:type="dxa"/>
            <w:gridSpan w:val="2"/>
            <w:hideMark/>
          </w:tcPr>
          <w:p w14:paraId="2E5AA9E6" w14:textId="77777777" w:rsidR="00B71B4E" w:rsidRPr="00BD16B4" w:rsidRDefault="00B71B4E" w:rsidP="00F31129">
            <w:pPr>
              <w:pStyle w:val="TableText"/>
              <w:rPr>
                <w:rFonts w:cs="Calibri"/>
                <w:color w:val="000000"/>
                <w:szCs w:val="18"/>
              </w:rPr>
            </w:pPr>
            <w:r w:rsidRPr="00BD16B4">
              <w:rPr>
                <w:rFonts w:cs="Calibri"/>
                <w:color w:val="000000"/>
                <w:szCs w:val="18"/>
              </w:rPr>
              <w:t>Promotes private sector development and growth by promoting policy and providing tools and opportunities for businesses, investors and government departments</w:t>
            </w:r>
          </w:p>
        </w:tc>
      </w:tr>
      <w:tr w:rsidR="00B71B4E" w:rsidRPr="00BD16B4" w14:paraId="788B4058" w14:textId="77777777" w:rsidTr="00F31129">
        <w:tc>
          <w:tcPr>
            <w:tcW w:w="1492" w:type="dxa"/>
          </w:tcPr>
          <w:p w14:paraId="68551FC1" w14:textId="77777777" w:rsidR="00B71B4E" w:rsidRPr="00BD16B4" w:rsidRDefault="00B71B4E" w:rsidP="00F31129">
            <w:pPr>
              <w:pStyle w:val="TableText"/>
              <w:rPr>
                <w:rFonts w:cs="Calibri"/>
                <w:color w:val="000000"/>
                <w:szCs w:val="18"/>
              </w:rPr>
            </w:pPr>
            <w:r w:rsidRPr="00BD16B4">
              <w:rPr>
                <w:rFonts w:cs="Calibri"/>
                <w:color w:val="000000"/>
                <w:szCs w:val="18"/>
              </w:rPr>
              <w:t>Worldwide</w:t>
            </w:r>
          </w:p>
        </w:tc>
        <w:tc>
          <w:tcPr>
            <w:tcW w:w="1247" w:type="dxa"/>
          </w:tcPr>
          <w:p w14:paraId="24B0238E" w14:textId="77777777" w:rsidR="00B71B4E" w:rsidRPr="00BD16B4" w:rsidRDefault="00B71B4E" w:rsidP="00F31129">
            <w:pPr>
              <w:pStyle w:val="TableText"/>
              <w:rPr>
                <w:rFonts w:cs="Calibri"/>
                <w:color w:val="000000"/>
                <w:szCs w:val="18"/>
              </w:rPr>
            </w:pPr>
            <w:r w:rsidRPr="00BD16B4">
              <w:rPr>
                <w:rFonts w:cs="Calibri"/>
                <w:color w:val="000000"/>
                <w:szCs w:val="18"/>
              </w:rPr>
              <w:t>Cross-cutting</w:t>
            </w:r>
          </w:p>
        </w:tc>
        <w:tc>
          <w:tcPr>
            <w:tcW w:w="2268" w:type="dxa"/>
            <w:hideMark/>
          </w:tcPr>
          <w:p w14:paraId="1450BC68" w14:textId="77777777" w:rsidR="00B71B4E" w:rsidRPr="00BD16B4" w:rsidRDefault="00B71B4E" w:rsidP="00F31129">
            <w:pPr>
              <w:pStyle w:val="TableText"/>
              <w:rPr>
                <w:rFonts w:cs="Calibri"/>
                <w:color w:val="000000"/>
                <w:szCs w:val="18"/>
              </w:rPr>
            </w:pPr>
            <w:r w:rsidRPr="00BD16B4">
              <w:rPr>
                <w:rFonts w:cs="Calibri"/>
                <w:color w:val="000000"/>
                <w:szCs w:val="18"/>
              </w:rPr>
              <w:t xml:space="preserve">Commonwealth Fund for Technical Cooperation </w:t>
            </w:r>
            <w:r w:rsidRPr="00BD16B4">
              <w:rPr>
                <w:rFonts w:cs="Calibri"/>
                <w:color w:val="000000"/>
                <w:szCs w:val="18"/>
              </w:rPr>
              <w:br/>
              <w:t>2019–21</w:t>
            </w:r>
          </w:p>
        </w:tc>
        <w:tc>
          <w:tcPr>
            <w:tcW w:w="3686" w:type="dxa"/>
            <w:gridSpan w:val="2"/>
            <w:hideMark/>
          </w:tcPr>
          <w:p w14:paraId="78588FA2" w14:textId="77777777" w:rsidR="00B71B4E" w:rsidRPr="00BD16B4" w:rsidRDefault="00B71B4E" w:rsidP="00F31129">
            <w:pPr>
              <w:pStyle w:val="TableText"/>
              <w:rPr>
                <w:rFonts w:cs="Calibri"/>
                <w:color w:val="000000"/>
                <w:szCs w:val="18"/>
              </w:rPr>
            </w:pPr>
            <w:r w:rsidRPr="00BD16B4">
              <w:rPr>
                <w:rFonts w:cs="Calibri"/>
                <w:color w:val="000000"/>
                <w:szCs w:val="18"/>
              </w:rPr>
              <w:t>Contributes to the Commonwealth Fund for Technical Cooperation, which supports the Commonwealth Secretariat work programme to deliver assistance to developing Commonwealth member countries, mostly in the form of technical assistance</w:t>
            </w:r>
          </w:p>
        </w:tc>
      </w:tr>
      <w:tr w:rsidR="00B71B4E" w:rsidRPr="00BD16B4" w14:paraId="03E217C2" w14:textId="77777777" w:rsidTr="00F31129">
        <w:tc>
          <w:tcPr>
            <w:tcW w:w="1492" w:type="dxa"/>
          </w:tcPr>
          <w:p w14:paraId="113071F9" w14:textId="77777777" w:rsidR="00B71B4E" w:rsidRPr="00BD16B4" w:rsidRDefault="00B71B4E" w:rsidP="00F31129">
            <w:pPr>
              <w:pStyle w:val="TableText"/>
              <w:rPr>
                <w:rFonts w:cs="Calibri"/>
                <w:color w:val="000000"/>
                <w:szCs w:val="18"/>
              </w:rPr>
            </w:pPr>
            <w:r w:rsidRPr="00BD16B4">
              <w:rPr>
                <w:rFonts w:cs="Calibri"/>
                <w:color w:val="000000"/>
                <w:szCs w:val="18"/>
              </w:rPr>
              <w:t>Worldwide</w:t>
            </w:r>
          </w:p>
        </w:tc>
        <w:tc>
          <w:tcPr>
            <w:tcW w:w="1247" w:type="dxa"/>
          </w:tcPr>
          <w:p w14:paraId="0A9116A2" w14:textId="77777777" w:rsidR="00B71B4E" w:rsidRPr="00BD16B4" w:rsidRDefault="00B71B4E" w:rsidP="00F31129">
            <w:pPr>
              <w:pStyle w:val="TableText"/>
              <w:rPr>
                <w:rFonts w:cs="Calibri"/>
                <w:color w:val="000000"/>
                <w:szCs w:val="18"/>
              </w:rPr>
            </w:pPr>
            <w:r w:rsidRPr="00BD16B4">
              <w:rPr>
                <w:rFonts w:cs="Calibri"/>
                <w:color w:val="000000"/>
                <w:szCs w:val="18"/>
              </w:rPr>
              <w:t>Cross-cutting</w:t>
            </w:r>
          </w:p>
        </w:tc>
        <w:tc>
          <w:tcPr>
            <w:tcW w:w="2268" w:type="dxa"/>
            <w:hideMark/>
          </w:tcPr>
          <w:p w14:paraId="7B1DE8AA" w14:textId="77777777" w:rsidR="00B71B4E" w:rsidRPr="00BD16B4" w:rsidRDefault="00B71B4E" w:rsidP="00F31129">
            <w:pPr>
              <w:pStyle w:val="TableText"/>
              <w:rPr>
                <w:rFonts w:cs="Calibri"/>
                <w:color w:val="000000"/>
                <w:szCs w:val="18"/>
              </w:rPr>
            </w:pPr>
            <w:r w:rsidRPr="00BD16B4">
              <w:rPr>
                <w:rFonts w:cs="Calibri"/>
                <w:color w:val="000000"/>
                <w:szCs w:val="18"/>
              </w:rPr>
              <w:t>CGIAR – Research on Climate Change, Agriculture and Food Security 2018–21</w:t>
            </w:r>
          </w:p>
        </w:tc>
        <w:tc>
          <w:tcPr>
            <w:tcW w:w="3686" w:type="dxa"/>
            <w:gridSpan w:val="2"/>
            <w:hideMark/>
          </w:tcPr>
          <w:p w14:paraId="4573BB37" w14:textId="77777777" w:rsidR="00B71B4E" w:rsidRPr="00BD16B4" w:rsidRDefault="00B71B4E" w:rsidP="00F31129">
            <w:pPr>
              <w:pStyle w:val="TableText"/>
              <w:rPr>
                <w:rFonts w:cs="Calibri"/>
                <w:color w:val="000000"/>
                <w:szCs w:val="18"/>
              </w:rPr>
            </w:pPr>
            <w:r w:rsidRPr="00BD16B4">
              <w:rPr>
                <w:rFonts w:cs="Calibri"/>
                <w:color w:val="000000"/>
                <w:szCs w:val="18"/>
              </w:rPr>
              <w:t>Supports international agricultural research focused specifically on climate change, agriculture and food security programmes</w:t>
            </w:r>
          </w:p>
        </w:tc>
      </w:tr>
      <w:tr w:rsidR="00B71B4E" w:rsidRPr="00BD16B4" w14:paraId="51A18E46" w14:textId="77777777" w:rsidTr="00F31129">
        <w:tc>
          <w:tcPr>
            <w:tcW w:w="1492" w:type="dxa"/>
          </w:tcPr>
          <w:p w14:paraId="13B61ABC"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4C2C6D0C" w14:textId="77777777" w:rsidR="00B71B4E" w:rsidRPr="00BD16B4" w:rsidRDefault="00B71B4E" w:rsidP="00F31129">
            <w:pPr>
              <w:pStyle w:val="TableText"/>
              <w:rPr>
                <w:rFonts w:cs="Calibri"/>
                <w:color w:val="000000"/>
                <w:szCs w:val="18"/>
              </w:rPr>
            </w:pPr>
            <w:r w:rsidRPr="00BD16B4">
              <w:rPr>
                <w:rFonts w:cs="Calibri"/>
                <w:color w:val="000000"/>
                <w:szCs w:val="18"/>
              </w:rPr>
              <w:t>Cross-cutting</w:t>
            </w:r>
          </w:p>
        </w:tc>
        <w:tc>
          <w:tcPr>
            <w:tcW w:w="2268" w:type="dxa"/>
            <w:hideMark/>
          </w:tcPr>
          <w:p w14:paraId="5F603B86" w14:textId="77777777" w:rsidR="00B71B4E" w:rsidRPr="00BD16B4" w:rsidRDefault="00B71B4E" w:rsidP="00F31129">
            <w:pPr>
              <w:pStyle w:val="TableText"/>
              <w:rPr>
                <w:rFonts w:cs="Calibri"/>
                <w:color w:val="000000"/>
                <w:szCs w:val="18"/>
              </w:rPr>
            </w:pPr>
            <w:r w:rsidRPr="00BD16B4">
              <w:rPr>
                <w:rFonts w:cs="Calibri"/>
                <w:color w:val="000000"/>
                <w:szCs w:val="18"/>
              </w:rPr>
              <w:t>Improving Ecosystem Resilience: Kiwa Initiative</w:t>
            </w:r>
          </w:p>
        </w:tc>
        <w:tc>
          <w:tcPr>
            <w:tcW w:w="3686" w:type="dxa"/>
            <w:gridSpan w:val="2"/>
            <w:hideMark/>
          </w:tcPr>
          <w:p w14:paraId="09D87F8A" w14:textId="77777777" w:rsidR="00B71B4E" w:rsidRPr="00BD16B4" w:rsidRDefault="00B71B4E" w:rsidP="00F31129">
            <w:pPr>
              <w:pStyle w:val="TableText"/>
              <w:rPr>
                <w:rFonts w:cs="Calibri"/>
                <w:color w:val="000000"/>
                <w:szCs w:val="18"/>
              </w:rPr>
            </w:pPr>
            <w:r w:rsidRPr="00BD16B4">
              <w:rPr>
                <w:rFonts w:cs="Calibri"/>
                <w:color w:val="000000"/>
                <w:szCs w:val="18"/>
              </w:rPr>
              <w:t>Supports the implementation of the ‘Kiwa Initiative: Nature-based Solutions for Climate Resilience’, which will increase the resilience of Pacific Islands ecosystems, economies and communities</w:t>
            </w:r>
          </w:p>
        </w:tc>
      </w:tr>
      <w:tr w:rsidR="00B71B4E" w:rsidRPr="00BD16B4" w14:paraId="46D6005B" w14:textId="77777777" w:rsidTr="00F31129">
        <w:tc>
          <w:tcPr>
            <w:tcW w:w="1492" w:type="dxa"/>
          </w:tcPr>
          <w:p w14:paraId="3DDBF5A9"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3A6C3341" w14:textId="77777777" w:rsidR="00B71B4E" w:rsidRPr="00BD16B4" w:rsidRDefault="00B71B4E" w:rsidP="00F31129">
            <w:pPr>
              <w:pStyle w:val="TableText"/>
              <w:rPr>
                <w:rFonts w:cs="Calibri"/>
                <w:szCs w:val="18"/>
              </w:rPr>
            </w:pPr>
            <w:r w:rsidRPr="00BD16B4">
              <w:rPr>
                <w:rFonts w:cs="Calibri"/>
                <w:color w:val="000000"/>
                <w:szCs w:val="18"/>
              </w:rPr>
              <w:t>Cross-cutting</w:t>
            </w:r>
          </w:p>
        </w:tc>
        <w:tc>
          <w:tcPr>
            <w:tcW w:w="2268" w:type="dxa"/>
            <w:hideMark/>
          </w:tcPr>
          <w:p w14:paraId="63F71CCD" w14:textId="77777777" w:rsidR="00B71B4E" w:rsidRPr="00BD16B4" w:rsidRDefault="00B71B4E" w:rsidP="00F31129">
            <w:pPr>
              <w:pStyle w:val="TableText"/>
              <w:rPr>
                <w:rFonts w:cs="Calibri"/>
                <w:color w:val="000000"/>
                <w:szCs w:val="18"/>
              </w:rPr>
            </w:pPr>
            <w:r w:rsidRPr="00BD16B4">
              <w:rPr>
                <w:rFonts w:cs="Calibri"/>
                <w:color w:val="000000"/>
                <w:szCs w:val="18"/>
              </w:rPr>
              <w:t>Support to the Pacific Climate Change Centre</w:t>
            </w:r>
          </w:p>
        </w:tc>
        <w:tc>
          <w:tcPr>
            <w:tcW w:w="3686" w:type="dxa"/>
            <w:gridSpan w:val="2"/>
            <w:hideMark/>
          </w:tcPr>
          <w:p w14:paraId="1A18DCA9" w14:textId="77777777" w:rsidR="00B71B4E" w:rsidRPr="00BD16B4" w:rsidRDefault="00B71B4E" w:rsidP="00F31129">
            <w:pPr>
              <w:pStyle w:val="TableText"/>
              <w:rPr>
                <w:rFonts w:cs="Calibri"/>
                <w:color w:val="000000"/>
                <w:szCs w:val="18"/>
              </w:rPr>
            </w:pPr>
            <w:r w:rsidRPr="00BD16B4">
              <w:rPr>
                <w:rFonts w:cs="Calibri"/>
                <w:color w:val="000000"/>
                <w:szCs w:val="18"/>
              </w:rPr>
              <w:t>Supports the Pacific Climate Change Centre and will focus on human resources and capacity development</w:t>
            </w:r>
          </w:p>
        </w:tc>
      </w:tr>
      <w:tr w:rsidR="00B71B4E" w:rsidRPr="00BD16B4" w14:paraId="2A42A814" w14:textId="77777777" w:rsidTr="00F31129">
        <w:tc>
          <w:tcPr>
            <w:tcW w:w="1492" w:type="dxa"/>
          </w:tcPr>
          <w:p w14:paraId="1AD88F68"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0102554A" w14:textId="77777777" w:rsidR="00B71B4E" w:rsidRPr="00BD16B4" w:rsidRDefault="00B71B4E" w:rsidP="00F31129">
            <w:pPr>
              <w:pStyle w:val="TableText"/>
              <w:rPr>
                <w:rFonts w:cs="Calibri"/>
                <w:szCs w:val="18"/>
              </w:rPr>
            </w:pPr>
            <w:r w:rsidRPr="00BD16B4">
              <w:rPr>
                <w:rFonts w:cs="Calibri"/>
                <w:color w:val="000000"/>
                <w:szCs w:val="18"/>
              </w:rPr>
              <w:t>Cross-cutting</w:t>
            </w:r>
          </w:p>
        </w:tc>
        <w:tc>
          <w:tcPr>
            <w:tcW w:w="2268" w:type="dxa"/>
            <w:hideMark/>
          </w:tcPr>
          <w:p w14:paraId="518E9674" w14:textId="77777777" w:rsidR="00B71B4E" w:rsidRPr="00BD16B4" w:rsidRDefault="00B71B4E" w:rsidP="00F31129">
            <w:pPr>
              <w:pStyle w:val="TableText"/>
              <w:rPr>
                <w:rFonts w:cs="Calibri"/>
                <w:color w:val="000000"/>
                <w:szCs w:val="18"/>
              </w:rPr>
            </w:pPr>
            <w:r w:rsidRPr="00BD16B4">
              <w:rPr>
                <w:rFonts w:cs="Calibri"/>
                <w:color w:val="000000"/>
                <w:szCs w:val="18"/>
              </w:rPr>
              <w:t>Strengthening Pacific Monitoring, Evaluation and Learning</w:t>
            </w:r>
            <w:r w:rsidRPr="00BD16B4" w:rsidDel="00662D48">
              <w:rPr>
                <w:rFonts w:cs="Calibri"/>
                <w:color w:val="000000"/>
                <w:szCs w:val="18"/>
              </w:rPr>
              <w:t xml:space="preserve"> </w:t>
            </w:r>
            <w:r w:rsidRPr="00BD16B4">
              <w:rPr>
                <w:rFonts w:cs="Calibri"/>
                <w:color w:val="000000"/>
                <w:szCs w:val="18"/>
              </w:rPr>
              <w:t>(MEL) capacity</w:t>
            </w:r>
          </w:p>
        </w:tc>
        <w:tc>
          <w:tcPr>
            <w:tcW w:w="3686" w:type="dxa"/>
            <w:gridSpan w:val="2"/>
            <w:hideMark/>
          </w:tcPr>
          <w:p w14:paraId="662EBE2D" w14:textId="77777777" w:rsidR="00B71B4E" w:rsidRPr="00BD16B4" w:rsidRDefault="00B71B4E" w:rsidP="00F31129">
            <w:pPr>
              <w:pStyle w:val="TableText"/>
              <w:rPr>
                <w:rFonts w:cs="Calibri"/>
                <w:color w:val="000000"/>
                <w:szCs w:val="18"/>
              </w:rPr>
            </w:pPr>
            <w:r w:rsidRPr="00BD16B4">
              <w:rPr>
                <w:rFonts w:cs="Calibri"/>
                <w:color w:val="000000"/>
                <w:szCs w:val="18"/>
              </w:rPr>
              <w:t>Improves governance and decision-making by strengthening capacity for contextually and culturally appropriate monitoring, evaluation and learning</w:t>
            </w:r>
          </w:p>
        </w:tc>
      </w:tr>
      <w:tr w:rsidR="00B71B4E" w:rsidRPr="00BD16B4" w14:paraId="728E2717" w14:textId="77777777" w:rsidTr="00F31129">
        <w:tc>
          <w:tcPr>
            <w:tcW w:w="1492" w:type="dxa"/>
          </w:tcPr>
          <w:p w14:paraId="5A36D809"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050ACA22" w14:textId="77777777" w:rsidR="00B71B4E" w:rsidRPr="00BD16B4" w:rsidRDefault="00B71B4E" w:rsidP="00F31129">
            <w:pPr>
              <w:pStyle w:val="TableText"/>
              <w:rPr>
                <w:rFonts w:cs="Calibri"/>
                <w:color w:val="000000"/>
                <w:szCs w:val="18"/>
              </w:rPr>
            </w:pPr>
            <w:r w:rsidRPr="00BD16B4">
              <w:rPr>
                <w:rFonts w:cs="Calibri"/>
                <w:color w:val="000000"/>
                <w:szCs w:val="18"/>
              </w:rPr>
              <w:t>Cross-cutting</w:t>
            </w:r>
          </w:p>
        </w:tc>
        <w:tc>
          <w:tcPr>
            <w:tcW w:w="2268" w:type="dxa"/>
            <w:hideMark/>
          </w:tcPr>
          <w:p w14:paraId="09F92D4E" w14:textId="77777777" w:rsidR="00B71B4E" w:rsidRPr="00BD16B4" w:rsidRDefault="00B71B4E" w:rsidP="00F31129">
            <w:pPr>
              <w:pStyle w:val="TableText"/>
              <w:rPr>
                <w:rFonts w:cs="Calibri"/>
                <w:color w:val="000000"/>
                <w:szCs w:val="18"/>
              </w:rPr>
            </w:pPr>
            <w:r w:rsidRPr="00BD16B4">
              <w:rPr>
                <w:rFonts w:cs="Calibri"/>
                <w:color w:val="000000"/>
                <w:szCs w:val="18"/>
              </w:rPr>
              <w:t>Pacific Regional Infrastructure Facility (PRIF) Phase Four (November 2019 – November 2023)</w:t>
            </w:r>
          </w:p>
        </w:tc>
        <w:tc>
          <w:tcPr>
            <w:tcW w:w="3686" w:type="dxa"/>
            <w:gridSpan w:val="2"/>
            <w:hideMark/>
          </w:tcPr>
          <w:p w14:paraId="374BD098" w14:textId="77777777" w:rsidR="00B71B4E" w:rsidRPr="00BD16B4" w:rsidRDefault="00B71B4E" w:rsidP="00F31129">
            <w:pPr>
              <w:pStyle w:val="TableText"/>
              <w:rPr>
                <w:rFonts w:cs="Calibri"/>
                <w:color w:val="000000"/>
                <w:szCs w:val="18"/>
              </w:rPr>
            </w:pPr>
            <w:r w:rsidRPr="00BD16B4">
              <w:rPr>
                <w:rFonts w:cs="Calibri"/>
                <w:color w:val="000000"/>
                <w:szCs w:val="18"/>
              </w:rPr>
              <w:t>Improves the delivery of development assistance to the infrastructure sector in the Pacific. PRIF supports infrastructure development and maintenance in Pacific Island countries through investment coordination, research and technical assistance</w:t>
            </w:r>
          </w:p>
        </w:tc>
      </w:tr>
      <w:tr w:rsidR="00B71B4E" w:rsidRPr="00BD16B4" w14:paraId="6463F189" w14:textId="77777777" w:rsidTr="00F31129">
        <w:tc>
          <w:tcPr>
            <w:tcW w:w="1492" w:type="dxa"/>
          </w:tcPr>
          <w:p w14:paraId="527E8F52" w14:textId="77777777" w:rsidR="00B71B4E" w:rsidRPr="00BD16B4" w:rsidRDefault="00B71B4E" w:rsidP="00F31129">
            <w:pPr>
              <w:pStyle w:val="TableText"/>
              <w:rPr>
                <w:rFonts w:cs="Calibri"/>
                <w:color w:val="000000"/>
                <w:szCs w:val="18"/>
              </w:rPr>
            </w:pPr>
            <w:r w:rsidRPr="00BD16B4">
              <w:rPr>
                <w:rFonts w:cs="Calibri"/>
                <w:color w:val="000000"/>
                <w:szCs w:val="18"/>
              </w:rPr>
              <w:t>Myanmar</w:t>
            </w:r>
          </w:p>
        </w:tc>
        <w:tc>
          <w:tcPr>
            <w:tcW w:w="1247" w:type="dxa"/>
          </w:tcPr>
          <w:p w14:paraId="5C4D2144" w14:textId="77777777" w:rsidR="00B71B4E" w:rsidRPr="00BD16B4" w:rsidRDefault="00B71B4E" w:rsidP="00F31129">
            <w:pPr>
              <w:pStyle w:val="TableText"/>
              <w:rPr>
                <w:rFonts w:cs="Calibri"/>
                <w:szCs w:val="18"/>
              </w:rPr>
            </w:pPr>
            <w:r w:rsidRPr="00BD16B4">
              <w:rPr>
                <w:rFonts w:cs="Calibri"/>
                <w:color w:val="000000"/>
                <w:szCs w:val="18"/>
              </w:rPr>
              <w:t>Cross-cutting</w:t>
            </w:r>
          </w:p>
        </w:tc>
        <w:tc>
          <w:tcPr>
            <w:tcW w:w="2268" w:type="dxa"/>
            <w:hideMark/>
          </w:tcPr>
          <w:p w14:paraId="16021DCC" w14:textId="77777777" w:rsidR="00B71B4E" w:rsidRPr="00BD16B4" w:rsidRDefault="00B71B4E" w:rsidP="00F31129">
            <w:pPr>
              <w:pStyle w:val="TableText"/>
              <w:rPr>
                <w:rFonts w:cs="Calibri"/>
                <w:color w:val="000000"/>
                <w:szCs w:val="18"/>
              </w:rPr>
            </w:pPr>
            <w:r w:rsidRPr="00BD16B4">
              <w:rPr>
                <w:rFonts w:cs="Calibri"/>
                <w:color w:val="000000"/>
                <w:szCs w:val="18"/>
              </w:rPr>
              <w:t>Myanmar Dairy Inclusive Growth and Investment</w:t>
            </w:r>
          </w:p>
        </w:tc>
        <w:tc>
          <w:tcPr>
            <w:tcW w:w="3686" w:type="dxa"/>
            <w:gridSpan w:val="2"/>
            <w:hideMark/>
          </w:tcPr>
          <w:p w14:paraId="6A3DEAC2" w14:textId="77777777" w:rsidR="00B71B4E" w:rsidRPr="00BD16B4" w:rsidRDefault="00B71B4E" w:rsidP="00F31129">
            <w:pPr>
              <w:pStyle w:val="TableText"/>
              <w:rPr>
                <w:rFonts w:cs="Calibri"/>
                <w:color w:val="000000"/>
                <w:szCs w:val="18"/>
              </w:rPr>
            </w:pPr>
            <w:r w:rsidRPr="00BD16B4">
              <w:rPr>
                <w:rFonts w:cs="Calibri"/>
                <w:color w:val="000000"/>
                <w:szCs w:val="18"/>
              </w:rPr>
              <w:t>Supports continued development of an inclusive, vibrant and sustainable dairy sector in Myanmar, which leads to higher incomes for smallholder farmers and safe food for consumers</w:t>
            </w:r>
          </w:p>
        </w:tc>
      </w:tr>
      <w:tr w:rsidR="00B71B4E" w:rsidRPr="00BD16B4" w14:paraId="661E4EF8" w14:textId="77777777" w:rsidTr="00F31129">
        <w:tc>
          <w:tcPr>
            <w:tcW w:w="1492" w:type="dxa"/>
          </w:tcPr>
          <w:p w14:paraId="69360589" w14:textId="77777777" w:rsidR="00B71B4E" w:rsidRPr="00BD16B4" w:rsidRDefault="00B71B4E" w:rsidP="00F31129">
            <w:pPr>
              <w:pStyle w:val="TableText"/>
              <w:rPr>
                <w:rFonts w:cs="Calibri"/>
                <w:color w:val="000000"/>
                <w:szCs w:val="18"/>
              </w:rPr>
            </w:pPr>
            <w:r w:rsidRPr="00BD16B4">
              <w:rPr>
                <w:rFonts w:cs="Calibri"/>
                <w:color w:val="000000"/>
                <w:szCs w:val="18"/>
              </w:rPr>
              <w:t>Worldwide</w:t>
            </w:r>
          </w:p>
        </w:tc>
        <w:tc>
          <w:tcPr>
            <w:tcW w:w="1247" w:type="dxa"/>
          </w:tcPr>
          <w:p w14:paraId="587F40C5" w14:textId="77777777" w:rsidR="00B71B4E" w:rsidRPr="00BD16B4" w:rsidRDefault="00B71B4E" w:rsidP="00F31129">
            <w:pPr>
              <w:pStyle w:val="TableText"/>
              <w:rPr>
                <w:rFonts w:cs="Calibri"/>
                <w:szCs w:val="18"/>
              </w:rPr>
            </w:pPr>
            <w:r w:rsidRPr="00BD16B4">
              <w:rPr>
                <w:rFonts w:cs="Calibri"/>
                <w:color w:val="000000"/>
                <w:szCs w:val="18"/>
              </w:rPr>
              <w:t>Cross-cutting</w:t>
            </w:r>
          </w:p>
        </w:tc>
        <w:tc>
          <w:tcPr>
            <w:tcW w:w="2268" w:type="dxa"/>
            <w:hideMark/>
          </w:tcPr>
          <w:p w14:paraId="24E4A3E7" w14:textId="77777777" w:rsidR="00B71B4E" w:rsidRPr="00BD16B4" w:rsidRDefault="00B71B4E" w:rsidP="00F31129">
            <w:pPr>
              <w:pStyle w:val="TableText"/>
              <w:rPr>
                <w:rFonts w:cs="Calibri"/>
                <w:color w:val="000000"/>
                <w:szCs w:val="18"/>
              </w:rPr>
            </w:pPr>
            <w:r w:rsidRPr="00BD16B4">
              <w:rPr>
                <w:rFonts w:cs="Calibri"/>
                <w:color w:val="000000"/>
                <w:szCs w:val="18"/>
              </w:rPr>
              <w:t>Alliance of Small Island States, Grant for Assistance</w:t>
            </w:r>
          </w:p>
        </w:tc>
        <w:tc>
          <w:tcPr>
            <w:tcW w:w="3686" w:type="dxa"/>
            <w:gridSpan w:val="2"/>
            <w:hideMark/>
          </w:tcPr>
          <w:p w14:paraId="7270A2B1" w14:textId="77777777" w:rsidR="00B71B4E" w:rsidRPr="00BD16B4" w:rsidRDefault="00B71B4E" w:rsidP="00F31129">
            <w:pPr>
              <w:pStyle w:val="TableText"/>
              <w:rPr>
                <w:rFonts w:cs="Calibri"/>
                <w:color w:val="000000"/>
                <w:szCs w:val="18"/>
              </w:rPr>
            </w:pPr>
            <w:r w:rsidRPr="00BD16B4">
              <w:rPr>
                <w:rFonts w:cs="Calibri"/>
                <w:color w:val="000000"/>
                <w:szCs w:val="18"/>
              </w:rPr>
              <w:t>Enhances capacity for advocacy on climate change and oceans issues in international fora</w:t>
            </w:r>
          </w:p>
        </w:tc>
      </w:tr>
      <w:tr w:rsidR="00B71B4E" w:rsidRPr="00BD16B4" w14:paraId="682FB7B1" w14:textId="77777777" w:rsidTr="00F31129">
        <w:tc>
          <w:tcPr>
            <w:tcW w:w="1492" w:type="dxa"/>
          </w:tcPr>
          <w:p w14:paraId="33C864E0"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29D2A49E"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11020091" w14:textId="77777777" w:rsidR="00B71B4E" w:rsidRPr="00BD16B4" w:rsidRDefault="00B71B4E" w:rsidP="00F31129">
            <w:pPr>
              <w:pStyle w:val="TableText"/>
              <w:rPr>
                <w:rFonts w:cs="Calibri"/>
                <w:color w:val="000000"/>
                <w:szCs w:val="18"/>
              </w:rPr>
            </w:pPr>
            <w:r w:rsidRPr="00BD16B4">
              <w:rPr>
                <w:rFonts w:cs="Calibri"/>
                <w:color w:val="000000"/>
                <w:szCs w:val="18"/>
              </w:rPr>
              <w:t>Pacific Public Sector Strengthening</w:t>
            </w:r>
          </w:p>
        </w:tc>
        <w:tc>
          <w:tcPr>
            <w:tcW w:w="3686" w:type="dxa"/>
            <w:gridSpan w:val="2"/>
            <w:hideMark/>
          </w:tcPr>
          <w:p w14:paraId="14DC72E0" w14:textId="77777777" w:rsidR="00B71B4E" w:rsidRPr="00BD16B4" w:rsidRDefault="00B71B4E" w:rsidP="00F31129">
            <w:pPr>
              <w:pStyle w:val="TableText"/>
              <w:rPr>
                <w:rFonts w:cs="Calibri"/>
                <w:color w:val="000000"/>
                <w:szCs w:val="18"/>
              </w:rPr>
            </w:pPr>
            <w:r w:rsidRPr="00BD16B4">
              <w:rPr>
                <w:rFonts w:cs="Calibri"/>
                <w:color w:val="000000"/>
                <w:szCs w:val="18"/>
              </w:rPr>
              <w:t>Supports public sector reform initiatives, development of Pacific-specific solutions and supports the Pacific Public Service Commissioners’ Conference to share knowledge and experience</w:t>
            </w:r>
          </w:p>
        </w:tc>
      </w:tr>
      <w:tr w:rsidR="00B71B4E" w:rsidRPr="00BD16B4" w14:paraId="6737C3DC" w14:textId="77777777" w:rsidTr="00F31129">
        <w:tc>
          <w:tcPr>
            <w:tcW w:w="1492" w:type="dxa"/>
          </w:tcPr>
          <w:p w14:paraId="09A6E39C" w14:textId="77777777" w:rsidR="00B71B4E" w:rsidRPr="00BD16B4" w:rsidRDefault="00B71B4E" w:rsidP="00F31129">
            <w:pPr>
              <w:pStyle w:val="TableText"/>
              <w:keepNext/>
              <w:rPr>
                <w:rFonts w:cs="Calibri"/>
                <w:color w:val="000000"/>
                <w:szCs w:val="18"/>
              </w:rPr>
            </w:pPr>
            <w:r w:rsidRPr="00BD16B4">
              <w:rPr>
                <w:rFonts w:cs="Calibri"/>
                <w:color w:val="000000"/>
                <w:szCs w:val="18"/>
              </w:rPr>
              <w:lastRenderedPageBreak/>
              <w:t>Kiribati</w:t>
            </w:r>
          </w:p>
        </w:tc>
        <w:tc>
          <w:tcPr>
            <w:tcW w:w="1247" w:type="dxa"/>
          </w:tcPr>
          <w:p w14:paraId="62769722" w14:textId="77777777" w:rsidR="00B71B4E" w:rsidRPr="00BD16B4" w:rsidRDefault="00B71B4E" w:rsidP="00F31129">
            <w:pPr>
              <w:pStyle w:val="TableText"/>
              <w:rPr>
                <w:rFonts w:cs="Calibri"/>
                <w:color w:val="000000"/>
                <w:szCs w:val="18"/>
              </w:rPr>
            </w:pPr>
            <w:r w:rsidRPr="00BD16B4">
              <w:rPr>
                <w:rFonts w:cs="Calibri"/>
                <w:color w:val="000000"/>
                <w:szCs w:val="18"/>
              </w:rPr>
              <w:t>Mitigation</w:t>
            </w:r>
          </w:p>
        </w:tc>
        <w:tc>
          <w:tcPr>
            <w:tcW w:w="2268" w:type="dxa"/>
            <w:hideMark/>
          </w:tcPr>
          <w:p w14:paraId="7A90EDC8" w14:textId="77777777" w:rsidR="00B71B4E" w:rsidRPr="00BD16B4" w:rsidRDefault="00B71B4E" w:rsidP="00F31129">
            <w:pPr>
              <w:pStyle w:val="TableText"/>
              <w:rPr>
                <w:rFonts w:cs="Calibri"/>
                <w:color w:val="000000"/>
                <w:szCs w:val="18"/>
              </w:rPr>
            </w:pPr>
            <w:r w:rsidRPr="00BD16B4">
              <w:rPr>
                <w:rFonts w:cs="Calibri"/>
                <w:color w:val="000000"/>
                <w:szCs w:val="18"/>
              </w:rPr>
              <w:t>Energy and Public Utility Reform</w:t>
            </w:r>
          </w:p>
        </w:tc>
        <w:tc>
          <w:tcPr>
            <w:tcW w:w="3686" w:type="dxa"/>
            <w:gridSpan w:val="2"/>
            <w:hideMark/>
          </w:tcPr>
          <w:p w14:paraId="24FF0A38" w14:textId="77777777" w:rsidR="00B71B4E" w:rsidRPr="00BD16B4" w:rsidRDefault="00B71B4E" w:rsidP="00F31129">
            <w:pPr>
              <w:pStyle w:val="TableText"/>
              <w:rPr>
                <w:rFonts w:cs="Calibri"/>
                <w:color w:val="000000"/>
                <w:szCs w:val="18"/>
              </w:rPr>
            </w:pPr>
            <w:r w:rsidRPr="00BD16B4">
              <w:rPr>
                <w:rFonts w:cs="Calibri"/>
                <w:color w:val="000000"/>
                <w:szCs w:val="18"/>
              </w:rPr>
              <w:t>Supports the Public Utilities Board to build institutional capability and capacity</w:t>
            </w:r>
          </w:p>
        </w:tc>
      </w:tr>
      <w:tr w:rsidR="00B71B4E" w:rsidRPr="00BD16B4" w14:paraId="5CB1F99F" w14:textId="77777777" w:rsidTr="00F31129">
        <w:tc>
          <w:tcPr>
            <w:tcW w:w="1492" w:type="dxa"/>
          </w:tcPr>
          <w:p w14:paraId="6161ADA1"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7B4EEA1A" w14:textId="77777777" w:rsidR="00B71B4E" w:rsidRPr="00BD16B4" w:rsidRDefault="00B71B4E" w:rsidP="00F31129">
            <w:pPr>
              <w:pStyle w:val="TableText"/>
              <w:rPr>
                <w:rFonts w:cs="Calibri"/>
                <w:color w:val="000000"/>
                <w:szCs w:val="18"/>
              </w:rPr>
            </w:pPr>
            <w:r w:rsidRPr="00BD16B4">
              <w:rPr>
                <w:rFonts w:cs="Calibri"/>
                <w:color w:val="000000"/>
                <w:szCs w:val="18"/>
              </w:rPr>
              <w:t>Cross-cutting</w:t>
            </w:r>
          </w:p>
        </w:tc>
        <w:tc>
          <w:tcPr>
            <w:tcW w:w="2268" w:type="dxa"/>
            <w:hideMark/>
          </w:tcPr>
          <w:p w14:paraId="1D77E7E0" w14:textId="77777777" w:rsidR="00B71B4E" w:rsidRPr="00BD16B4" w:rsidRDefault="00B71B4E" w:rsidP="00F31129">
            <w:pPr>
              <w:pStyle w:val="TableText"/>
              <w:rPr>
                <w:rFonts w:cs="Calibri"/>
                <w:color w:val="000000"/>
                <w:szCs w:val="18"/>
              </w:rPr>
            </w:pPr>
            <w:r w:rsidRPr="00BD16B4">
              <w:rPr>
                <w:rFonts w:cs="Calibri"/>
                <w:color w:val="000000"/>
                <w:szCs w:val="18"/>
              </w:rPr>
              <w:t>Improve Decision-making through Ocean Knowledge</w:t>
            </w:r>
          </w:p>
        </w:tc>
        <w:tc>
          <w:tcPr>
            <w:tcW w:w="3686" w:type="dxa"/>
            <w:gridSpan w:val="2"/>
            <w:hideMark/>
          </w:tcPr>
          <w:p w14:paraId="1C073CBE" w14:textId="77777777" w:rsidR="00B71B4E" w:rsidRPr="00BD16B4" w:rsidRDefault="00B71B4E" w:rsidP="00F31129">
            <w:pPr>
              <w:pStyle w:val="TableText"/>
              <w:rPr>
                <w:rFonts w:cs="Calibri"/>
                <w:color w:val="000000"/>
                <w:szCs w:val="18"/>
              </w:rPr>
            </w:pPr>
            <w:r w:rsidRPr="00BD16B4">
              <w:rPr>
                <w:rFonts w:cs="Calibri"/>
                <w:color w:val="000000"/>
                <w:szCs w:val="18"/>
              </w:rPr>
              <w:t>Supports the establishment of the Pacific Community Centre for Ocean Science, which will support and strengthen regional oceans governance and management for Council of Regional Organisations of the Pacific processes</w:t>
            </w:r>
          </w:p>
        </w:tc>
      </w:tr>
      <w:tr w:rsidR="00B71B4E" w:rsidRPr="00BD16B4" w14:paraId="059AEF1B" w14:textId="77777777" w:rsidTr="00F31129">
        <w:tc>
          <w:tcPr>
            <w:tcW w:w="1492" w:type="dxa"/>
          </w:tcPr>
          <w:p w14:paraId="32C2363C"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5FA75DBB" w14:textId="77777777" w:rsidR="00B71B4E" w:rsidRPr="00BD16B4" w:rsidRDefault="00B71B4E" w:rsidP="00F31129">
            <w:pPr>
              <w:pStyle w:val="TableText"/>
              <w:rPr>
                <w:rFonts w:cs="Calibri"/>
                <w:szCs w:val="18"/>
              </w:rPr>
            </w:pPr>
            <w:r w:rsidRPr="00BD16B4">
              <w:rPr>
                <w:rFonts w:cs="Calibri"/>
                <w:color w:val="000000"/>
                <w:szCs w:val="18"/>
              </w:rPr>
              <w:t>Cross-cutting</w:t>
            </w:r>
          </w:p>
        </w:tc>
        <w:tc>
          <w:tcPr>
            <w:tcW w:w="2268" w:type="dxa"/>
            <w:hideMark/>
          </w:tcPr>
          <w:p w14:paraId="32C3C925" w14:textId="77777777" w:rsidR="00B71B4E" w:rsidRPr="00BD16B4" w:rsidRDefault="00B71B4E" w:rsidP="00F31129">
            <w:pPr>
              <w:pStyle w:val="TableText"/>
              <w:rPr>
                <w:rFonts w:cs="Calibri"/>
                <w:color w:val="000000"/>
                <w:szCs w:val="18"/>
              </w:rPr>
            </w:pPr>
            <w:r w:rsidRPr="00BD16B4">
              <w:rPr>
                <w:rFonts w:cs="Calibri"/>
                <w:color w:val="000000"/>
                <w:szCs w:val="18"/>
              </w:rPr>
              <w:t>Pacific Regional NDC Hub</w:t>
            </w:r>
          </w:p>
        </w:tc>
        <w:tc>
          <w:tcPr>
            <w:tcW w:w="3686" w:type="dxa"/>
            <w:gridSpan w:val="2"/>
            <w:hideMark/>
          </w:tcPr>
          <w:p w14:paraId="1C084DBC" w14:textId="77777777" w:rsidR="00B71B4E" w:rsidRPr="00BD16B4" w:rsidRDefault="00B71B4E" w:rsidP="00F31129">
            <w:pPr>
              <w:pStyle w:val="TableText"/>
              <w:rPr>
                <w:rFonts w:cs="Calibri"/>
                <w:color w:val="000000"/>
                <w:szCs w:val="18"/>
              </w:rPr>
            </w:pPr>
            <w:r w:rsidRPr="00BD16B4">
              <w:rPr>
                <w:rFonts w:cs="Calibri"/>
                <w:color w:val="000000"/>
                <w:szCs w:val="18"/>
              </w:rPr>
              <w:t>Supports the Pacific Regional NDC Hub, which has been established to help Pacific Island countries enhance and implement their NDCs under the Paris Agreement</w:t>
            </w:r>
          </w:p>
        </w:tc>
      </w:tr>
      <w:tr w:rsidR="00B71B4E" w:rsidRPr="00BD16B4" w14:paraId="2885EE6E" w14:textId="77777777" w:rsidTr="00F31129">
        <w:tc>
          <w:tcPr>
            <w:tcW w:w="1492" w:type="dxa"/>
          </w:tcPr>
          <w:p w14:paraId="23D38F11" w14:textId="77777777" w:rsidR="00B71B4E" w:rsidRPr="00BD16B4" w:rsidRDefault="00B71B4E" w:rsidP="00F31129">
            <w:pPr>
              <w:pStyle w:val="TableText"/>
              <w:rPr>
                <w:rFonts w:cs="Calibri"/>
                <w:color w:val="000000"/>
                <w:szCs w:val="18"/>
              </w:rPr>
            </w:pPr>
            <w:r w:rsidRPr="00BD16B4">
              <w:rPr>
                <w:rFonts w:cs="Calibri"/>
                <w:color w:val="000000"/>
                <w:szCs w:val="18"/>
              </w:rPr>
              <w:t>Fiji</w:t>
            </w:r>
          </w:p>
        </w:tc>
        <w:tc>
          <w:tcPr>
            <w:tcW w:w="1247" w:type="dxa"/>
          </w:tcPr>
          <w:p w14:paraId="062431C2"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359583E5" w14:textId="77777777" w:rsidR="00B71B4E" w:rsidRPr="00BD16B4" w:rsidRDefault="00B71B4E" w:rsidP="00F31129">
            <w:pPr>
              <w:pStyle w:val="TableText"/>
              <w:rPr>
                <w:rFonts w:cs="Calibri"/>
                <w:color w:val="000000"/>
                <w:szCs w:val="18"/>
              </w:rPr>
            </w:pPr>
            <w:r w:rsidRPr="00BD16B4">
              <w:rPr>
                <w:rFonts w:cs="Calibri"/>
                <w:color w:val="000000"/>
                <w:szCs w:val="18"/>
              </w:rPr>
              <w:t>RISE – Upgrades for Informal Settlements</w:t>
            </w:r>
          </w:p>
        </w:tc>
        <w:tc>
          <w:tcPr>
            <w:tcW w:w="3686" w:type="dxa"/>
            <w:gridSpan w:val="2"/>
            <w:hideMark/>
          </w:tcPr>
          <w:p w14:paraId="43F1A64F" w14:textId="77777777" w:rsidR="00B71B4E" w:rsidRPr="00BD16B4" w:rsidRDefault="00B71B4E" w:rsidP="00F31129">
            <w:pPr>
              <w:pStyle w:val="TableText"/>
              <w:rPr>
                <w:rFonts w:cs="Calibri"/>
                <w:color w:val="000000"/>
                <w:szCs w:val="18"/>
              </w:rPr>
            </w:pPr>
            <w:r w:rsidRPr="00BD16B4">
              <w:rPr>
                <w:rFonts w:cs="Calibri"/>
                <w:color w:val="000000"/>
                <w:szCs w:val="18"/>
              </w:rPr>
              <w:t>Integrates ecologically and environmentally sustainable water infrastructure into the housing and landscapes of 12 informal settlements in the greater Suva area</w:t>
            </w:r>
          </w:p>
        </w:tc>
      </w:tr>
      <w:tr w:rsidR="00B71B4E" w:rsidRPr="00BD16B4" w14:paraId="063FC1E2" w14:textId="77777777" w:rsidTr="00F31129">
        <w:tc>
          <w:tcPr>
            <w:tcW w:w="1492" w:type="dxa"/>
          </w:tcPr>
          <w:p w14:paraId="3518C19C" w14:textId="77777777" w:rsidR="00B71B4E" w:rsidRPr="00BD16B4" w:rsidRDefault="00B71B4E" w:rsidP="00F31129">
            <w:pPr>
              <w:pStyle w:val="TableText"/>
              <w:rPr>
                <w:rFonts w:cs="Calibri"/>
                <w:color w:val="000000"/>
                <w:szCs w:val="18"/>
              </w:rPr>
            </w:pPr>
            <w:r w:rsidRPr="00BD16B4">
              <w:rPr>
                <w:rFonts w:cs="Calibri"/>
                <w:color w:val="000000"/>
                <w:szCs w:val="18"/>
              </w:rPr>
              <w:t>Niue</w:t>
            </w:r>
          </w:p>
        </w:tc>
        <w:tc>
          <w:tcPr>
            <w:tcW w:w="1247" w:type="dxa"/>
          </w:tcPr>
          <w:p w14:paraId="11C85ABC" w14:textId="77777777" w:rsidR="00B71B4E" w:rsidRPr="00BD16B4" w:rsidRDefault="00B71B4E" w:rsidP="00F31129">
            <w:pPr>
              <w:pStyle w:val="TableText"/>
              <w:rPr>
                <w:rFonts w:cs="Calibri"/>
                <w:color w:val="000000"/>
                <w:szCs w:val="18"/>
              </w:rPr>
            </w:pPr>
            <w:r w:rsidRPr="00BD16B4">
              <w:rPr>
                <w:rFonts w:cs="Calibri"/>
                <w:color w:val="000000"/>
                <w:szCs w:val="18"/>
              </w:rPr>
              <w:t>Cross-cutting</w:t>
            </w:r>
          </w:p>
        </w:tc>
        <w:tc>
          <w:tcPr>
            <w:tcW w:w="2268" w:type="dxa"/>
            <w:hideMark/>
          </w:tcPr>
          <w:p w14:paraId="4E4DA8B3" w14:textId="77777777" w:rsidR="00B71B4E" w:rsidRPr="00BD16B4" w:rsidRDefault="00B71B4E" w:rsidP="00F31129">
            <w:pPr>
              <w:pStyle w:val="TableText"/>
              <w:rPr>
                <w:rFonts w:cs="Calibri"/>
                <w:color w:val="000000"/>
                <w:szCs w:val="18"/>
              </w:rPr>
            </w:pPr>
            <w:r w:rsidRPr="00BD16B4">
              <w:rPr>
                <w:rFonts w:cs="Calibri"/>
                <w:color w:val="000000"/>
                <w:szCs w:val="18"/>
              </w:rPr>
              <w:t>Strengthen Governance: Capability</w:t>
            </w:r>
          </w:p>
        </w:tc>
        <w:tc>
          <w:tcPr>
            <w:tcW w:w="3686" w:type="dxa"/>
            <w:gridSpan w:val="2"/>
            <w:hideMark/>
          </w:tcPr>
          <w:p w14:paraId="144DC308" w14:textId="77777777" w:rsidR="00B71B4E" w:rsidRPr="00BD16B4" w:rsidRDefault="00B71B4E" w:rsidP="00F31129">
            <w:pPr>
              <w:pStyle w:val="TableText"/>
              <w:rPr>
                <w:rFonts w:cs="Calibri"/>
                <w:color w:val="000000"/>
                <w:szCs w:val="18"/>
              </w:rPr>
            </w:pPr>
            <w:r w:rsidRPr="00BD16B4">
              <w:rPr>
                <w:rFonts w:cs="Calibri"/>
                <w:color w:val="000000"/>
                <w:szCs w:val="18"/>
              </w:rPr>
              <w:t>Contributes to good governance, management and improved service delivery within Niue’s public sector through building the capability of government institutions to deliver their functions effectively and efficiently and adhere to accountability requirements</w:t>
            </w:r>
          </w:p>
        </w:tc>
      </w:tr>
      <w:tr w:rsidR="00B71B4E" w:rsidRPr="00BD16B4" w14:paraId="0805EF1F" w14:textId="77777777" w:rsidTr="00F31129">
        <w:tc>
          <w:tcPr>
            <w:tcW w:w="1492" w:type="dxa"/>
          </w:tcPr>
          <w:p w14:paraId="56FDA283" w14:textId="77777777" w:rsidR="00B71B4E" w:rsidRPr="00BD16B4" w:rsidRDefault="00B71B4E" w:rsidP="00F31129">
            <w:pPr>
              <w:pStyle w:val="TableText"/>
              <w:rPr>
                <w:rFonts w:cs="Calibri"/>
                <w:color w:val="000000"/>
                <w:szCs w:val="18"/>
              </w:rPr>
            </w:pPr>
            <w:r w:rsidRPr="00BD16B4">
              <w:rPr>
                <w:rFonts w:cs="Calibri"/>
                <w:color w:val="000000"/>
                <w:szCs w:val="18"/>
              </w:rPr>
              <w:t>Pacific</w:t>
            </w:r>
          </w:p>
        </w:tc>
        <w:tc>
          <w:tcPr>
            <w:tcW w:w="1247" w:type="dxa"/>
          </w:tcPr>
          <w:p w14:paraId="5B506A42" w14:textId="77777777" w:rsidR="00B71B4E" w:rsidRPr="00BD16B4" w:rsidRDefault="00B71B4E" w:rsidP="00F31129">
            <w:pPr>
              <w:pStyle w:val="TableText"/>
              <w:rPr>
                <w:rFonts w:cs="Calibri"/>
                <w:szCs w:val="18"/>
              </w:rPr>
            </w:pPr>
            <w:r w:rsidRPr="00BD16B4">
              <w:rPr>
                <w:rFonts w:cs="Calibri"/>
                <w:color w:val="000000"/>
                <w:szCs w:val="18"/>
              </w:rPr>
              <w:t>Cross-cutting</w:t>
            </w:r>
          </w:p>
        </w:tc>
        <w:tc>
          <w:tcPr>
            <w:tcW w:w="2268" w:type="dxa"/>
            <w:hideMark/>
          </w:tcPr>
          <w:p w14:paraId="37094AAE" w14:textId="77777777" w:rsidR="00B71B4E" w:rsidRPr="00BD16B4" w:rsidRDefault="00B71B4E" w:rsidP="00F31129">
            <w:pPr>
              <w:pStyle w:val="TableText"/>
              <w:rPr>
                <w:rFonts w:cs="Calibri"/>
                <w:color w:val="000000"/>
                <w:szCs w:val="18"/>
              </w:rPr>
            </w:pPr>
            <w:r w:rsidRPr="00BD16B4">
              <w:rPr>
                <w:rFonts w:cs="Calibri"/>
                <w:color w:val="000000"/>
                <w:szCs w:val="18"/>
              </w:rPr>
              <w:t>Pacific Participation at Global Evaluation Fora</w:t>
            </w:r>
          </w:p>
        </w:tc>
        <w:tc>
          <w:tcPr>
            <w:tcW w:w="3686" w:type="dxa"/>
            <w:gridSpan w:val="2"/>
            <w:hideMark/>
          </w:tcPr>
          <w:p w14:paraId="7A82D3D8" w14:textId="77777777" w:rsidR="00B71B4E" w:rsidRPr="00BD16B4" w:rsidRDefault="00B71B4E" w:rsidP="00F31129">
            <w:pPr>
              <w:pStyle w:val="TableText"/>
              <w:rPr>
                <w:rFonts w:cs="Calibri"/>
                <w:color w:val="000000"/>
                <w:szCs w:val="18"/>
              </w:rPr>
            </w:pPr>
            <w:r w:rsidRPr="00BD16B4">
              <w:rPr>
                <w:rFonts w:cs="Calibri"/>
                <w:color w:val="000000"/>
                <w:szCs w:val="18"/>
              </w:rPr>
              <w:t>Supports Pacific attendance at Global Evaluation Fora to strengthen Pacific voice and participation on the international stage</w:t>
            </w:r>
          </w:p>
        </w:tc>
      </w:tr>
      <w:tr w:rsidR="00B71B4E" w:rsidRPr="00BD16B4" w14:paraId="2B06A038" w14:textId="77777777" w:rsidTr="00F31129">
        <w:tc>
          <w:tcPr>
            <w:tcW w:w="1492" w:type="dxa"/>
          </w:tcPr>
          <w:p w14:paraId="66B3303B"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034E3B94" w14:textId="77777777" w:rsidR="00B71B4E" w:rsidRPr="00BD16B4" w:rsidRDefault="00B71B4E" w:rsidP="00F31129">
            <w:pPr>
              <w:pStyle w:val="TableText"/>
              <w:rPr>
                <w:rFonts w:cs="Calibri"/>
                <w:szCs w:val="18"/>
              </w:rPr>
            </w:pPr>
            <w:r w:rsidRPr="00BD16B4">
              <w:rPr>
                <w:rFonts w:cs="Calibri"/>
                <w:color w:val="000000"/>
                <w:szCs w:val="18"/>
              </w:rPr>
              <w:t>Cross-cutting</w:t>
            </w:r>
          </w:p>
        </w:tc>
        <w:tc>
          <w:tcPr>
            <w:tcW w:w="2268" w:type="dxa"/>
            <w:hideMark/>
          </w:tcPr>
          <w:p w14:paraId="6B503EB5" w14:textId="77777777" w:rsidR="00B71B4E" w:rsidRPr="00BD16B4" w:rsidRDefault="00B71B4E" w:rsidP="00F31129">
            <w:pPr>
              <w:pStyle w:val="TableText"/>
              <w:rPr>
                <w:rFonts w:cs="Calibri"/>
                <w:color w:val="000000"/>
                <w:szCs w:val="18"/>
              </w:rPr>
            </w:pPr>
            <w:r w:rsidRPr="00BD16B4">
              <w:rPr>
                <w:rFonts w:cs="Calibri"/>
                <w:color w:val="000000"/>
                <w:szCs w:val="18"/>
              </w:rPr>
              <w:t>Pacific Voice</w:t>
            </w:r>
          </w:p>
        </w:tc>
        <w:tc>
          <w:tcPr>
            <w:tcW w:w="3686" w:type="dxa"/>
            <w:gridSpan w:val="2"/>
            <w:hideMark/>
          </w:tcPr>
          <w:p w14:paraId="00828A77" w14:textId="77777777" w:rsidR="00B71B4E" w:rsidRPr="00BD16B4" w:rsidRDefault="00B71B4E" w:rsidP="00F31129">
            <w:pPr>
              <w:pStyle w:val="TableText"/>
              <w:rPr>
                <w:rFonts w:cs="Calibri"/>
                <w:color w:val="000000"/>
                <w:szCs w:val="18"/>
              </w:rPr>
            </w:pPr>
            <w:r w:rsidRPr="00BD16B4">
              <w:rPr>
                <w:rFonts w:cs="Calibri"/>
                <w:color w:val="000000"/>
                <w:szCs w:val="18"/>
              </w:rPr>
              <w:t>Focuses on amplifying the Pacific voice, enabling the Pacific to tell its story and influencing global negotiations with greater impact</w:t>
            </w:r>
          </w:p>
        </w:tc>
      </w:tr>
      <w:tr w:rsidR="00B71B4E" w:rsidRPr="00BD16B4" w14:paraId="6D639FBD" w14:textId="77777777" w:rsidTr="00F31129">
        <w:tc>
          <w:tcPr>
            <w:tcW w:w="1492" w:type="dxa"/>
          </w:tcPr>
          <w:p w14:paraId="383D4589"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21A158CC"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45D858EF" w14:textId="77777777" w:rsidR="00B71B4E" w:rsidRPr="00BD16B4" w:rsidRDefault="00B71B4E" w:rsidP="00F31129">
            <w:pPr>
              <w:pStyle w:val="TableText"/>
              <w:rPr>
                <w:rFonts w:cs="Calibri"/>
                <w:color w:val="000000"/>
                <w:szCs w:val="18"/>
              </w:rPr>
            </w:pPr>
            <w:r w:rsidRPr="00BD16B4">
              <w:rPr>
                <w:rFonts w:cs="Calibri"/>
                <w:color w:val="000000"/>
                <w:szCs w:val="18"/>
              </w:rPr>
              <w:t>Climate Mobility</w:t>
            </w:r>
          </w:p>
        </w:tc>
        <w:tc>
          <w:tcPr>
            <w:tcW w:w="3686" w:type="dxa"/>
            <w:gridSpan w:val="2"/>
            <w:hideMark/>
          </w:tcPr>
          <w:p w14:paraId="17D8A5F6" w14:textId="77777777" w:rsidR="00B71B4E" w:rsidRPr="00BD16B4" w:rsidRDefault="00B71B4E" w:rsidP="00F31129">
            <w:pPr>
              <w:pStyle w:val="TableText"/>
              <w:rPr>
                <w:rFonts w:cs="Calibri"/>
                <w:color w:val="000000"/>
                <w:szCs w:val="18"/>
              </w:rPr>
            </w:pPr>
            <w:r w:rsidRPr="00BD16B4">
              <w:rPr>
                <w:rFonts w:cs="Calibri"/>
                <w:color w:val="000000"/>
                <w:szCs w:val="18"/>
              </w:rPr>
              <w:t>Enhances Pacific resilience to climate change by enabling Pacific peoples to remain in situ and minimise harm from potential climate-related mobility</w:t>
            </w:r>
          </w:p>
        </w:tc>
      </w:tr>
      <w:tr w:rsidR="00B71B4E" w:rsidRPr="00BD16B4" w14:paraId="295461EC" w14:textId="77777777" w:rsidTr="00F31129">
        <w:tc>
          <w:tcPr>
            <w:tcW w:w="1492" w:type="dxa"/>
          </w:tcPr>
          <w:p w14:paraId="21F3F98B" w14:textId="77777777" w:rsidR="00B71B4E" w:rsidRPr="00BD16B4" w:rsidRDefault="00B71B4E" w:rsidP="00F31129">
            <w:pPr>
              <w:pStyle w:val="TableText"/>
              <w:rPr>
                <w:rFonts w:cs="Calibri"/>
                <w:color w:val="000000"/>
                <w:szCs w:val="18"/>
              </w:rPr>
            </w:pPr>
            <w:r w:rsidRPr="00BD16B4">
              <w:rPr>
                <w:rFonts w:cs="Calibri"/>
                <w:color w:val="000000"/>
                <w:szCs w:val="18"/>
              </w:rPr>
              <w:t>Tuvalu</w:t>
            </w:r>
          </w:p>
        </w:tc>
        <w:tc>
          <w:tcPr>
            <w:tcW w:w="1247" w:type="dxa"/>
          </w:tcPr>
          <w:p w14:paraId="27B901EB" w14:textId="77777777" w:rsidR="00B71B4E" w:rsidRPr="00BD16B4" w:rsidRDefault="00B71B4E" w:rsidP="00F31129">
            <w:pPr>
              <w:pStyle w:val="TableText"/>
              <w:rPr>
                <w:rFonts w:cs="Calibri"/>
                <w:szCs w:val="18"/>
              </w:rPr>
            </w:pPr>
            <w:r w:rsidRPr="00BD16B4">
              <w:rPr>
                <w:rFonts w:cs="Calibri"/>
                <w:color w:val="000000"/>
                <w:szCs w:val="18"/>
              </w:rPr>
              <w:t>Cross-cutting</w:t>
            </w:r>
          </w:p>
        </w:tc>
        <w:tc>
          <w:tcPr>
            <w:tcW w:w="2268" w:type="dxa"/>
            <w:hideMark/>
          </w:tcPr>
          <w:p w14:paraId="7F8B6597" w14:textId="77777777" w:rsidR="00B71B4E" w:rsidRPr="00BD16B4" w:rsidRDefault="00B71B4E" w:rsidP="00F31129">
            <w:pPr>
              <w:pStyle w:val="TableText"/>
              <w:rPr>
                <w:rFonts w:cs="Calibri"/>
                <w:color w:val="000000"/>
                <w:szCs w:val="18"/>
              </w:rPr>
            </w:pPr>
            <w:r w:rsidRPr="00BD16B4">
              <w:rPr>
                <w:rFonts w:cs="Calibri"/>
                <w:color w:val="000000"/>
                <w:szCs w:val="18"/>
              </w:rPr>
              <w:t>Integrated Water Resources Management – Tuvalu</w:t>
            </w:r>
          </w:p>
        </w:tc>
        <w:tc>
          <w:tcPr>
            <w:tcW w:w="3686" w:type="dxa"/>
            <w:gridSpan w:val="2"/>
            <w:hideMark/>
          </w:tcPr>
          <w:p w14:paraId="21C54E2A" w14:textId="77777777" w:rsidR="00B71B4E" w:rsidRPr="00BD16B4" w:rsidRDefault="00B71B4E" w:rsidP="00F31129">
            <w:pPr>
              <w:pStyle w:val="TableText"/>
              <w:rPr>
                <w:rFonts w:cs="Calibri"/>
                <w:color w:val="000000"/>
                <w:szCs w:val="18"/>
              </w:rPr>
            </w:pPr>
            <w:r w:rsidRPr="00BD16B4">
              <w:rPr>
                <w:rFonts w:cs="Calibri"/>
                <w:color w:val="000000"/>
                <w:szCs w:val="18"/>
              </w:rPr>
              <w:t>Supports a diagnostic of current water collection and storage on the outer atolls that will strengthen drought management plans, water and sanitation policy, and drought modelling</w:t>
            </w:r>
          </w:p>
        </w:tc>
      </w:tr>
      <w:tr w:rsidR="00B71B4E" w:rsidRPr="00BD16B4" w14:paraId="28BE76A9" w14:textId="77777777" w:rsidTr="00F31129">
        <w:tc>
          <w:tcPr>
            <w:tcW w:w="1492" w:type="dxa"/>
          </w:tcPr>
          <w:p w14:paraId="253D6B36" w14:textId="77777777" w:rsidR="00B71B4E" w:rsidRPr="00BD16B4" w:rsidRDefault="00B71B4E" w:rsidP="00F31129">
            <w:pPr>
              <w:pStyle w:val="TableText"/>
              <w:rPr>
                <w:rFonts w:cs="Calibri"/>
                <w:color w:val="000000"/>
                <w:szCs w:val="18"/>
              </w:rPr>
            </w:pPr>
            <w:r w:rsidRPr="00BD16B4">
              <w:rPr>
                <w:rFonts w:cs="Calibri"/>
                <w:color w:val="000000"/>
                <w:szCs w:val="18"/>
              </w:rPr>
              <w:t>Kiribati</w:t>
            </w:r>
          </w:p>
        </w:tc>
        <w:tc>
          <w:tcPr>
            <w:tcW w:w="1247" w:type="dxa"/>
          </w:tcPr>
          <w:p w14:paraId="4046AD3D" w14:textId="77777777" w:rsidR="00B71B4E" w:rsidRPr="00BD16B4" w:rsidRDefault="00B71B4E" w:rsidP="00F31129">
            <w:pPr>
              <w:pStyle w:val="TableText"/>
              <w:rPr>
                <w:rFonts w:cs="Calibri"/>
                <w:szCs w:val="18"/>
              </w:rPr>
            </w:pPr>
            <w:r w:rsidRPr="00BD16B4">
              <w:rPr>
                <w:rFonts w:cs="Calibri"/>
                <w:color w:val="000000"/>
                <w:szCs w:val="18"/>
              </w:rPr>
              <w:t>Cross-cutting</w:t>
            </w:r>
          </w:p>
        </w:tc>
        <w:tc>
          <w:tcPr>
            <w:tcW w:w="2268" w:type="dxa"/>
            <w:hideMark/>
          </w:tcPr>
          <w:p w14:paraId="7270E6F5" w14:textId="77777777" w:rsidR="00B71B4E" w:rsidRPr="00BD16B4" w:rsidRDefault="00B71B4E" w:rsidP="00F31129">
            <w:pPr>
              <w:pStyle w:val="TableText"/>
              <w:rPr>
                <w:rFonts w:cs="Calibri"/>
                <w:color w:val="000000"/>
                <w:szCs w:val="18"/>
              </w:rPr>
            </w:pPr>
            <w:r w:rsidRPr="00BD16B4">
              <w:rPr>
                <w:rFonts w:cs="Calibri"/>
                <w:color w:val="000000"/>
                <w:szCs w:val="18"/>
              </w:rPr>
              <w:t>Climate Change Resilience</w:t>
            </w:r>
          </w:p>
        </w:tc>
        <w:tc>
          <w:tcPr>
            <w:tcW w:w="3686" w:type="dxa"/>
            <w:gridSpan w:val="2"/>
            <w:hideMark/>
          </w:tcPr>
          <w:p w14:paraId="7059311F" w14:textId="77777777" w:rsidR="00B71B4E" w:rsidRPr="00BD16B4" w:rsidRDefault="00B71B4E" w:rsidP="00F31129">
            <w:pPr>
              <w:pStyle w:val="TableText"/>
              <w:rPr>
                <w:rFonts w:cs="Calibri"/>
                <w:color w:val="000000"/>
                <w:szCs w:val="18"/>
              </w:rPr>
            </w:pPr>
            <w:r w:rsidRPr="00BD16B4">
              <w:rPr>
                <w:rFonts w:cs="Calibri"/>
                <w:color w:val="000000"/>
                <w:szCs w:val="18"/>
              </w:rPr>
              <w:t>Supports Kiribati to plan for and respond to climate change impacts effectively</w:t>
            </w:r>
          </w:p>
        </w:tc>
      </w:tr>
      <w:tr w:rsidR="00B71B4E" w:rsidRPr="00BD16B4" w14:paraId="529CCB4D" w14:textId="77777777" w:rsidTr="00F31129">
        <w:tc>
          <w:tcPr>
            <w:tcW w:w="1492" w:type="dxa"/>
          </w:tcPr>
          <w:p w14:paraId="2DDB09BD"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4711510E" w14:textId="77777777" w:rsidR="00B71B4E" w:rsidRPr="00BD16B4" w:rsidRDefault="00B71B4E" w:rsidP="00F31129">
            <w:pPr>
              <w:pStyle w:val="TableText"/>
              <w:rPr>
                <w:rFonts w:cs="Calibri"/>
                <w:szCs w:val="18"/>
              </w:rPr>
            </w:pPr>
            <w:r w:rsidRPr="00BD16B4">
              <w:rPr>
                <w:rFonts w:cs="Calibri"/>
                <w:color w:val="000000"/>
                <w:szCs w:val="18"/>
              </w:rPr>
              <w:t>Cross-cutting</w:t>
            </w:r>
          </w:p>
        </w:tc>
        <w:tc>
          <w:tcPr>
            <w:tcW w:w="2268" w:type="dxa"/>
            <w:hideMark/>
          </w:tcPr>
          <w:p w14:paraId="7E5F652B" w14:textId="77777777" w:rsidR="00B71B4E" w:rsidRPr="00BD16B4" w:rsidRDefault="00B71B4E" w:rsidP="00F31129">
            <w:pPr>
              <w:pStyle w:val="TableText"/>
              <w:rPr>
                <w:rFonts w:cs="Calibri"/>
                <w:color w:val="000000"/>
                <w:szCs w:val="18"/>
              </w:rPr>
            </w:pPr>
            <w:r w:rsidRPr="00BD16B4">
              <w:rPr>
                <w:rFonts w:cs="Calibri"/>
                <w:color w:val="000000"/>
                <w:szCs w:val="18"/>
              </w:rPr>
              <w:t>Ecosystems Resilience</w:t>
            </w:r>
          </w:p>
        </w:tc>
        <w:tc>
          <w:tcPr>
            <w:tcW w:w="3686" w:type="dxa"/>
            <w:gridSpan w:val="2"/>
            <w:hideMark/>
          </w:tcPr>
          <w:p w14:paraId="2CB90FB8" w14:textId="77777777" w:rsidR="00B71B4E" w:rsidRPr="00BD16B4" w:rsidRDefault="00B71B4E" w:rsidP="00F31129">
            <w:pPr>
              <w:pStyle w:val="TableText"/>
              <w:rPr>
                <w:rFonts w:cs="Calibri"/>
                <w:color w:val="000000"/>
                <w:szCs w:val="18"/>
              </w:rPr>
            </w:pPr>
            <w:r w:rsidRPr="00BD16B4">
              <w:rPr>
                <w:rFonts w:cs="Calibri"/>
                <w:color w:val="000000"/>
                <w:szCs w:val="18"/>
              </w:rPr>
              <w:t>Supports Pacific countries to maintain and restore ecosystem services for food security, coastal protection and disaster risk reduction</w:t>
            </w:r>
          </w:p>
        </w:tc>
      </w:tr>
      <w:tr w:rsidR="00B71B4E" w:rsidRPr="00BD16B4" w14:paraId="18267778" w14:textId="77777777" w:rsidTr="00F31129">
        <w:tc>
          <w:tcPr>
            <w:tcW w:w="1492" w:type="dxa"/>
          </w:tcPr>
          <w:p w14:paraId="6430316C"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27E4DE05"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12261ADE" w14:textId="77777777" w:rsidR="00B71B4E" w:rsidRPr="00BD16B4" w:rsidRDefault="00B71B4E" w:rsidP="00F31129">
            <w:pPr>
              <w:pStyle w:val="TableText"/>
              <w:rPr>
                <w:rFonts w:cs="Calibri"/>
                <w:color w:val="000000"/>
                <w:szCs w:val="18"/>
              </w:rPr>
            </w:pPr>
            <w:r w:rsidRPr="00BD16B4">
              <w:rPr>
                <w:rFonts w:cs="Calibri"/>
                <w:color w:val="000000"/>
                <w:szCs w:val="18"/>
              </w:rPr>
              <w:t>Information for Decision-making</w:t>
            </w:r>
          </w:p>
        </w:tc>
        <w:tc>
          <w:tcPr>
            <w:tcW w:w="3686" w:type="dxa"/>
            <w:gridSpan w:val="2"/>
            <w:hideMark/>
          </w:tcPr>
          <w:p w14:paraId="5AE18133" w14:textId="77777777" w:rsidR="00B71B4E" w:rsidRPr="00BD16B4" w:rsidRDefault="00B71B4E" w:rsidP="00F31129">
            <w:pPr>
              <w:pStyle w:val="TableText"/>
              <w:rPr>
                <w:rFonts w:cs="Calibri"/>
                <w:color w:val="000000"/>
                <w:szCs w:val="18"/>
              </w:rPr>
            </w:pPr>
            <w:r w:rsidRPr="00BD16B4">
              <w:rPr>
                <w:rFonts w:cs="Calibri"/>
                <w:color w:val="000000"/>
                <w:szCs w:val="18"/>
              </w:rPr>
              <w:t>Supports the incorporation of climate change information into all forms of government decision-making and planning</w:t>
            </w:r>
          </w:p>
        </w:tc>
      </w:tr>
      <w:tr w:rsidR="00B71B4E" w:rsidRPr="00BD16B4" w14:paraId="69A794F1" w14:textId="77777777" w:rsidTr="00F31129">
        <w:tc>
          <w:tcPr>
            <w:tcW w:w="1492" w:type="dxa"/>
          </w:tcPr>
          <w:p w14:paraId="16C1E653" w14:textId="77777777" w:rsidR="00B71B4E" w:rsidRPr="00BD16B4" w:rsidRDefault="00B71B4E" w:rsidP="00F31129">
            <w:pPr>
              <w:pStyle w:val="TableText"/>
            </w:pPr>
            <w:r w:rsidRPr="00BD16B4">
              <w:t>Kiribati</w:t>
            </w:r>
          </w:p>
        </w:tc>
        <w:tc>
          <w:tcPr>
            <w:tcW w:w="1247" w:type="dxa"/>
          </w:tcPr>
          <w:p w14:paraId="27ADCCAE" w14:textId="77777777" w:rsidR="00B71B4E" w:rsidRPr="00BD16B4" w:rsidRDefault="00B71B4E" w:rsidP="00F31129">
            <w:pPr>
              <w:pStyle w:val="TableText"/>
              <w:rPr>
                <w:rFonts w:cs="Calibri"/>
                <w:color w:val="000000"/>
                <w:szCs w:val="18"/>
              </w:rPr>
            </w:pPr>
            <w:r w:rsidRPr="00BD16B4">
              <w:rPr>
                <w:rFonts w:cs="Calibri"/>
                <w:color w:val="000000"/>
                <w:szCs w:val="18"/>
              </w:rPr>
              <w:t>Cross-cutting</w:t>
            </w:r>
          </w:p>
        </w:tc>
        <w:tc>
          <w:tcPr>
            <w:tcW w:w="2268" w:type="dxa"/>
            <w:hideMark/>
          </w:tcPr>
          <w:p w14:paraId="5191F079" w14:textId="77777777" w:rsidR="00B71B4E" w:rsidRPr="00BD16B4" w:rsidRDefault="00B71B4E" w:rsidP="00F31129">
            <w:pPr>
              <w:pStyle w:val="TableText"/>
              <w:rPr>
                <w:rFonts w:cs="Calibri"/>
                <w:color w:val="000000"/>
                <w:szCs w:val="18"/>
              </w:rPr>
            </w:pPr>
            <w:r w:rsidRPr="00BD16B4">
              <w:rPr>
                <w:rFonts w:cs="Calibri"/>
                <w:color w:val="000000"/>
                <w:szCs w:val="18"/>
              </w:rPr>
              <w:t>Uananginang Ununiki Group</w:t>
            </w:r>
            <w:r w:rsidRPr="00BD16B4" w:rsidDel="002A53F1">
              <w:rPr>
                <w:rFonts w:cs="Calibri"/>
                <w:color w:val="000000"/>
                <w:szCs w:val="18"/>
              </w:rPr>
              <w:t xml:space="preserve"> </w:t>
            </w:r>
          </w:p>
        </w:tc>
        <w:tc>
          <w:tcPr>
            <w:tcW w:w="3686" w:type="dxa"/>
            <w:gridSpan w:val="2"/>
            <w:hideMark/>
          </w:tcPr>
          <w:p w14:paraId="66C333D0" w14:textId="77777777" w:rsidR="00B71B4E" w:rsidRPr="00BD16B4" w:rsidRDefault="00B71B4E" w:rsidP="00F31129">
            <w:pPr>
              <w:pStyle w:val="TableText"/>
              <w:rPr>
                <w:rFonts w:cs="Calibri"/>
                <w:color w:val="000000"/>
                <w:szCs w:val="18"/>
              </w:rPr>
            </w:pPr>
            <w:r w:rsidRPr="00BD16B4">
              <w:rPr>
                <w:rFonts w:cs="Calibri"/>
                <w:color w:val="000000"/>
                <w:szCs w:val="18"/>
              </w:rPr>
              <w:t>Provides a source of fresh drinking water for home-grown vegetables and root crops to sustain and nourish the community</w:t>
            </w:r>
          </w:p>
        </w:tc>
      </w:tr>
      <w:tr w:rsidR="00B71B4E" w:rsidRPr="00BD16B4" w14:paraId="0B205FB3" w14:textId="77777777" w:rsidTr="00F31129">
        <w:tc>
          <w:tcPr>
            <w:tcW w:w="1492" w:type="dxa"/>
          </w:tcPr>
          <w:p w14:paraId="5D09CE58" w14:textId="77777777" w:rsidR="00B71B4E" w:rsidRPr="00BD16B4" w:rsidRDefault="00B71B4E" w:rsidP="00F31129">
            <w:pPr>
              <w:pStyle w:val="TableText"/>
              <w:rPr>
                <w:rFonts w:cs="Calibri"/>
                <w:color w:val="000000"/>
                <w:szCs w:val="18"/>
              </w:rPr>
            </w:pPr>
            <w:r w:rsidRPr="00BD16B4">
              <w:rPr>
                <w:rFonts w:cs="Calibri"/>
                <w:color w:val="000000"/>
                <w:szCs w:val="18"/>
              </w:rPr>
              <w:lastRenderedPageBreak/>
              <w:t>Pacific Regional</w:t>
            </w:r>
          </w:p>
        </w:tc>
        <w:tc>
          <w:tcPr>
            <w:tcW w:w="1247" w:type="dxa"/>
          </w:tcPr>
          <w:p w14:paraId="5C3DFC47"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510428BA" w14:textId="77777777" w:rsidR="00B71B4E" w:rsidRPr="00BD16B4" w:rsidRDefault="00B71B4E" w:rsidP="00F31129">
            <w:pPr>
              <w:pStyle w:val="TableText"/>
              <w:rPr>
                <w:rFonts w:cs="Calibri"/>
                <w:color w:val="000000"/>
                <w:szCs w:val="18"/>
              </w:rPr>
            </w:pPr>
            <w:r w:rsidRPr="00BD16B4">
              <w:rPr>
                <w:rFonts w:cs="Calibri"/>
                <w:color w:val="000000"/>
                <w:szCs w:val="18"/>
              </w:rPr>
              <w:t>Disaster Risk Management in the Pacific 2019–24</w:t>
            </w:r>
          </w:p>
        </w:tc>
        <w:tc>
          <w:tcPr>
            <w:tcW w:w="3686" w:type="dxa"/>
            <w:gridSpan w:val="2"/>
            <w:hideMark/>
          </w:tcPr>
          <w:p w14:paraId="279B47DB" w14:textId="77777777" w:rsidR="00B71B4E" w:rsidRPr="00BD16B4" w:rsidRDefault="00B71B4E" w:rsidP="00F31129">
            <w:pPr>
              <w:pStyle w:val="TableText"/>
              <w:rPr>
                <w:rFonts w:cs="Calibri"/>
                <w:color w:val="000000"/>
                <w:szCs w:val="18"/>
              </w:rPr>
            </w:pPr>
            <w:r w:rsidRPr="00BD16B4">
              <w:rPr>
                <w:rFonts w:cs="Calibri"/>
                <w:color w:val="000000"/>
                <w:szCs w:val="18"/>
              </w:rPr>
              <w:t>Provides a programme of technical and advisory support to the Cook Islands, Niue, Samoa, Tokelau and Tonga to strengthen domestic disaster risk management capabilities</w:t>
            </w:r>
          </w:p>
        </w:tc>
      </w:tr>
      <w:tr w:rsidR="00B71B4E" w:rsidRPr="00BD16B4" w14:paraId="0C341C91" w14:textId="77777777" w:rsidTr="00F31129">
        <w:tc>
          <w:tcPr>
            <w:tcW w:w="1492" w:type="dxa"/>
          </w:tcPr>
          <w:p w14:paraId="7403FFE9" w14:textId="77777777" w:rsidR="00B71B4E" w:rsidRPr="00BD16B4" w:rsidRDefault="00B71B4E" w:rsidP="00F31129">
            <w:pPr>
              <w:pStyle w:val="TableText"/>
              <w:rPr>
                <w:rFonts w:cs="Calibri"/>
                <w:color w:val="000000"/>
                <w:szCs w:val="18"/>
              </w:rPr>
            </w:pPr>
            <w:r w:rsidRPr="00BD16B4">
              <w:rPr>
                <w:rFonts w:cs="Calibri"/>
                <w:color w:val="000000"/>
                <w:szCs w:val="18"/>
              </w:rPr>
              <w:t>Africa</w:t>
            </w:r>
          </w:p>
        </w:tc>
        <w:tc>
          <w:tcPr>
            <w:tcW w:w="1247" w:type="dxa"/>
          </w:tcPr>
          <w:p w14:paraId="587D7C16"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610E4E4D" w14:textId="77777777" w:rsidR="00B71B4E" w:rsidRPr="00BD16B4" w:rsidRDefault="00B71B4E" w:rsidP="00F31129">
            <w:pPr>
              <w:pStyle w:val="TableText"/>
              <w:rPr>
                <w:rFonts w:cs="Calibri"/>
                <w:color w:val="000000"/>
                <w:szCs w:val="18"/>
              </w:rPr>
            </w:pPr>
            <w:r w:rsidRPr="00BD16B4">
              <w:rPr>
                <w:rFonts w:cs="Calibri"/>
                <w:color w:val="000000"/>
                <w:szCs w:val="18"/>
              </w:rPr>
              <w:t>East Africa: Farm to Market Alliance</w:t>
            </w:r>
          </w:p>
        </w:tc>
        <w:tc>
          <w:tcPr>
            <w:tcW w:w="3686" w:type="dxa"/>
            <w:gridSpan w:val="2"/>
            <w:hideMark/>
          </w:tcPr>
          <w:p w14:paraId="7CDED8E7" w14:textId="77777777" w:rsidR="00B71B4E" w:rsidRPr="00BD16B4" w:rsidRDefault="00B71B4E" w:rsidP="00F31129">
            <w:pPr>
              <w:pStyle w:val="TableText"/>
              <w:rPr>
                <w:rFonts w:cs="Calibri"/>
                <w:color w:val="000000"/>
                <w:szCs w:val="18"/>
              </w:rPr>
            </w:pPr>
            <w:r w:rsidRPr="00BD16B4">
              <w:rPr>
                <w:rFonts w:cs="Calibri"/>
                <w:color w:val="000000"/>
                <w:szCs w:val="18"/>
              </w:rPr>
              <w:t>Contributes to the Farm to Market Alliance in East Africa, which works to sustainably improve farmer livelihoods while fostering commercial viability of value chain stakeholders</w:t>
            </w:r>
          </w:p>
        </w:tc>
      </w:tr>
      <w:tr w:rsidR="00B71B4E" w:rsidRPr="00BD16B4" w14:paraId="2AE0852E" w14:textId="77777777" w:rsidTr="00F31129">
        <w:tc>
          <w:tcPr>
            <w:tcW w:w="1492" w:type="dxa"/>
          </w:tcPr>
          <w:p w14:paraId="4638A9E3"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06DA40AF"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7DF03D88" w14:textId="77777777" w:rsidR="00B71B4E" w:rsidRPr="00BD16B4" w:rsidRDefault="00B71B4E" w:rsidP="00F31129">
            <w:pPr>
              <w:pStyle w:val="TableText"/>
              <w:rPr>
                <w:rFonts w:cs="Calibri"/>
                <w:color w:val="000000"/>
                <w:szCs w:val="18"/>
              </w:rPr>
            </w:pPr>
            <w:r w:rsidRPr="00BD16B4">
              <w:rPr>
                <w:rFonts w:cs="Calibri"/>
                <w:color w:val="000000"/>
                <w:szCs w:val="18"/>
              </w:rPr>
              <w:t>Enhanced Pacific Biosecurity Programme</w:t>
            </w:r>
          </w:p>
        </w:tc>
        <w:tc>
          <w:tcPr>
            <w:tcW w:w="3686" w:type="dxa"/>
            <w:gridSpan w:val="2"/>
            <w:hideMark/>
          </w:tcPr>
          <w:p w14:paraId="047580F2" w14:textId="77777777" w:rsidR="00B71B4E" w:rsidRPr="00BD16B4" w:rsidRDefault="00B71B4E" w:rsidP="00F31129">
            <w:pPr>
              <w:pStyle w:val="TableText"/>
              <w:rPr>
                <w:rFonts w:cs="Calibri"/>
                <w:color w:val="000000"/>
                <w:szCs w:val="18"/>
              </w:rPr>
            </w:pPr>
            <w:r w:rsidRPr="00BD16B4">
              <w:rPr>
                <w:rFonts w:cs="Calibri"/>
                <w:color w:val="000000"/>
                <w:szCs w:val="18"/>
              </w:rPr>
              <w:t>Supports the Cook Islands, Fiji, Niue, Samoa, Tonga and Vanuatu to improve Pacific biosecurity</w:t>
            </w:r>
          </w:p>
        </w:tc>
      </w:tr>
      <w:tr w:rsidR="00B71B4E" w:rsidRPr="00BD16B4" w14:paraId="7DC24DAC" w14:textId="77777777" w:rsidTr="00F31129">
        <w:tc>
          <w:tcPr>
            <w:tcW w:w="1492" w:type="dxa"/>
          </w:tcPr>
          <w:p w14:paraId="0261F135"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026F3A47"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001B55DE" w14:textId="77777777" w:rsidR="00B71B4E" w:rsidRPr="00BD16B4" w:rsidRDefault="00B71B4E" w:rsidP="00F31129">
            <w:pPr>
              <w:pStyle w:val="TableText"/>
              <w:rPr>
                <w:rFonts w:cs="Calibri"/>
                <w:color w:val="000000"/>
                <w:szCs w:val="18"/>
              </w:rPr>
            </w:pPr>
            <w:r w:rsidRPr="00BD16B4">
              <w:rPr>
                <w:rFonts w:cs="Calibri"/>
                <w:color w:val="000000"/>
                <w:szCs w:val="18"/>
              </w:rPr>
              <w:t>Reduce Risk of Water Scarcity</w:t>
            </w:r>
          </w:p>
        </w:tc>
        <w:tc>
          <w:tcPr>
            <w:tcW w:w="3686" w:type="dxa"/>
            <w:gridSpan w:val="2"/>
            <w:hideMark/>
          </w:tcPr>
          <w:p w14:paraId="33B9E63C" w14:textId="77777777" w:rsidR="00B71B4E" w:rsidRPr="00BD16B4" w:rsidRDefault="00B71B4E" w:rsidP="00F31129">
            <w:pPr>
              <w:pStyle w:val="TableText"/>
              <w:rPr>
                <w:rFonts w:cs="Calibri"/>
                <w:color w:val="000000"/>
                <w:szCs w:val="18"/>
              </w:rPr>
            </w:pPr>
            <w:r w:rsidRPr="00BD16B4">
              <w:rPr>
                <w:rFonts w:cs="Calibri"/>
                <w:color w:val="000000"/>
                <w:szCs w:val="18"/>
              </w:rPr>
              <w:t>Provides at-risk communities with improvements to their water infrastructure, infrastructure maintenance, training and tools</w:t>
            </w:r>
          </w:p>
        </w:tc>
      </w:tr>
      <w:tr w:rsidR="00B71B4E" w:rsidRPr="00BD16B4" w14:paraId="6D3307CC" w14:textId="77777777" w:rsidTr="00F31129">
        <w:tc>
          <w:tcPr>
            <w:tcW w:w="1492" w:type="dxa"/>
          </w:tcPr>
          <w:p w14:paraId="222AB1A4"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5AED9CE5"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68A8DF7F" w14:textId="77777777" w:rsidR="00B71B4E" w:rsidRPr="00BD16B4" w:rsidRDefault="00B71B4E" w:rsidP="00F31129">
            <w:pPr>
              <w:pStyle w:val="TableText"/>
              <w:rPr>
                <w:rFonts w:cs="Calibri"/>
                <w:color w:val="000000"/>
                <w:szCs w:val="18"/>
              </w:rPr>
            </w:pPr>
            <w:r w:rsidRPr="00BD16B4">
              <w:rPr>
                <w:rFonts w:cs="Calibri"/>
                <w:color w:val="000000"/>
                <w:szCs w:val="18"/>
              </w:rPr>
              <w:t>Averting Water-related Emergencies</w:t>
            </w:r>
          </w:p>
        </w:tc>
        <w:tc>
          <w:tcPr>
            <w:tcW w:w="3686" w:type="dxa"/>
            <w:gridSpan w:val="2"/>
            <w:hideMark/>
          </w:tcPr>
          <w:p w14:paraId="3192F0F7" w14:textId="77777777" w:rsidR="00B71B4E" w:rsidRPr="00BD16B4" w:rsidRDefault="00B71B4E" w:rsidP="00F31129">
            <w:pPr>
              <w:pStyle w:val="TableText"/>
              <w:rPr>
                <w:rFonts w:cs="Calibri"/>
                <w:color w:val="000000"/>
                <w:szCs w:val="18"/>
              </w:rPr>
            </w:pPr>
            <w:r w:rsidRPr="00BD16B4">
              <w:rPr>
                <w:rFonts w:cs="Calibri"/>
                <w:color w:val="000000"/>
                <w:szCs w:val="18"/>
              </w:rPr>
              <w:t>Supports Pacific Island countries to understand their vulnerability to water-related hazards and informs vulnerable communities so they can anticipate and respond</w:t>
            </w:r>
          </w:p>
        </w:tc>
      </w:tr>
      <w:tr w:rsidR="00B71B4E" w:rsidRPr="00BD16B4" w14:paraId="7B5CED92" w14:textId="77777777" w:rsidTr="00F31129">
        <w:tc>
          <w:tcPr>
            <w:tcW w:w="1492" w:type="dxa"/>
          </w:tcPr>
          <w:p w14:paraId="59BF15AB"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12AF2501"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642B4FB5" w14:textId="77777777" w:rsidR="00B71B4E" w:rsidRPr="00BD16B4" w:rsidRDefault="00B71B4E" w:rsidP="00F31129">
            <w:pPr>
              <w:pStyle w:val="TableText"/>
              <w:rPr>
                <w:rFonts w:cs="Calibri"/>
                <w:color w:val="000000"/>
                <w:szCs w:val="18"/>
              </w:rPr>
            </w:pPr>
            <w:r w:rsidRPr="00BD16B4">
              <w:rPr>
                <w:rFonts w:cs="Calibri"/>
                <w:color w:val="000000"/>
                <w:szCs w:val="18"/>
              </w:rPr>
              <w:t>Building Resilient Water Management Systems</w:t>
            </w:r>
          </w:p>
        </w:tc>
        <w:tc>
          <w:tcPr>
            <w:tcW w:w="3686" w:type="dxa"/>
            <w:gridSpan w:val="2"/>
            <w:hideMark/>
          </w:tcPr>
          <w:p w14:paraId="6C9DC35E" w14:textId="77777777" w:rsidR="00B71B4E" w:rsidRPr="00BD16B4" w:rsidRDefault="00B71B4E" w:rsidP="00F31129">
            <w:pPr>
              <w:pStyle w:val="TableText"/>
              <w:rPr>
                <w:rFonts w:cs="Calibri"/>
                <w:color w:val="000000"/>
                <w:szCs w:val="18"/>
              </w:rPr>
            </w:pPr>
            <w:r w:rsidRPr="00BD16B4">
              <w:rPr>
                <w:rFonts w:cs="Calibri"/>
                <w:color w:val="000000"/>
                <w:szCs w:val="18"/>
              </w:rPr>
              <w:t>Integrates water resource management approaches into local, national and regional systems to improve water security</w:t>
            </w:r>
          </w:p>
        </w:tc>
      </w:tr>
      <w:tr w:rsidR="00B71B4E" w:rsidRPr="00BD16B4" w14:paraId="67A450B9" w14:textId="77777777" w:rsidTr="00F31129">
        <w:tc>
          <w:tcPr>
            <w:tcW w:w="1492" w:type="dxa"/>
          </w:tcPr>
          <w:p w14:paraId="37130721"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70055806" w14:textId="77777777" w:rsidR="00B71B4E" w:rsidRPr="00BD16B4" w:rsidRDefault="00B71B4E" w:rsidP="00F31129">
            <w:pPr>
              <w:pStyle w:val="TableText"/>
              <w:rPr>
                <w:rFonts w:cs="Calibri"/>
                <w:color w:val="000000"/>
                <w:szCs w:val="18"/>
              </w:rPr>
            </w:pPr>
            <w:r w:rsidRPr="00BD16B4">
              <w:rPr>
                <w:rFonts w:cs="Calibri"/>
                <w:color w:val="000000"/>
                <w:szCs w:val="18"/>
              </w:rPr>
              <w:t>Cross-cutting</w:t>
            </w:r>
          </w:p>
        </w:tc>
        <w:tc>
          <w:tcPr>
            <w:tcW w:w="2268" w:type="dxa"/>
            <w:hideMark/>
          </w:tcPr>
          <w:p w14:paraId="180ED29F" w14:textId="77777777" w:rsidR="00B71B4E" w:rsidRPr="00BD16B4" w:rsidRDefault="00B71B4E" w:rsidP="00F31129">
            <w:pPr>
              <w:pStyle w:val="TableText"/>
              <w:rPr>
                <w:rFonts w:cs="Calibri"/>
                <w:color w:val="000000"/>
                <w:szCs w:val="18"/>
              </w:rPr>
            </w:pPr>
            <w:r w:rsidRPr="00BD16B4">
              <w:rPr>
                <w:rFonts w:cs="Calibri"/>
                <w:color w:val="000000"/>
                <w:szCs w:val="18"/>
              </w:rPr>
              <w:t>Low-emissions, Climate-resilient Planning</w:t>
            </w:r>
          </w:p>
        </w:tc>
        <w:tc>
          <w:tcPr>
            <w:tcW w:w="3686" w:type="dxa"/>
            <w:gridSpan w:val="2"/>
            <w:hideMark/>
          </w:tcPr>
          <w:p w14:paraId="0BB2DBBB" w14:textId="77777777" w:rsidR="00B71B4E" w:rsidRPr="00BD16B4" w:rsidRDefault="00B71B4E" w:rsidP="00F31129">
            <w:pPr>
              <w:pStyle w:val="TableText"/>
              <w:rPr>
                <w:rFonts w:cs="Calibri"/>
                <w:color w:val="000000"/>
                <w:szCs w:val="18"/>
              </w:rPr>
            </w:pPr>
            <w:r w:rsidRPr="00BD16B4">
              <w:rPr>
                <w:rFonts w:cs="Calibri"/>
                <w:color w:val="000000"/>
                <w:szCs w:val="18"/>
              </w:rPr>
              <w:t>Supports the transition to low-emissions and climate-resilient futures through supporting long-term, climate-responsive planning and decision-making</w:t>
            </w:r>
          </w:p>
        </w:tc>
      </w:tr>
      <w:tr w:rsidR="00B71B4E" w:rsidRPr="00BD16B4" w14:paraId="3A551CD4" w14:textId="77777777" w:rsidTr="00F31129">
        <w:tc>
          <w:tcPr>
            <w:tcW w:w="1492" w:type="dxa"/>
          </w:tcPr>
          <w:p w14:paraId="25B9C777" w14:textId="77777777" w:rsidR="00B71B4E" w:rsidRPr="00BD16B4" w:rsidRDefault="00B71B4E" w:rsidP="00F31129">
            <w:pPr>
              <w:pStyle w:val="TableText"/>
              <w:rPr>
                <w:rFonts w:cs="Calibri"/>
                <w:color w:val="000000"/>
                <w:szCs w:val="18"/>
              </w:rPr>
            </w:pPr>
            <w:r w:rsidRPr="00BD16B4">
              <w:rPr>
                <w:rFonts w:cs="Calibri"/>
                <w:color w:val="000000"/>
                <w:szCs w:val="18"/>
              </w:rPr>
              <w:t>Cambodia</w:t>
            </w:r>
          </w:p>
        </w:tc>
        <w:tc>
          <w:tcPr>
            <w:tcW w:w="1247" w:type="dxa"/>
          </w:tcPr>
          <w:p w14:paraId="6325D62D" w14:textId="77777777" w:rsidR="00B71B4E" w:rsidRPr="00BD16B4" w:rsidRDefault="00B71B4E" w:rsidP="00F31129">
            <w:pPr>
              <w:pStyle w:val="TableText"/>
              <w:rPr>
                <w:rFonts w:cs="Calibri"/>
                <w:color w:val="000000"/>
                <w:szCs w:val="18"/>
              </w:rPr>
            </w:pPr>
            <w:r w:rsidRPr="00BD16B4">
              <w:rPr>
                <w:rFonts w:cs="Calibri"/>
                <w:color w:val="000000"/>
                <w:szCs w:val="18"/>
              </w:rPr>
              <w:t>Mitigation</w:t>
            </w:r>
          </w:p>
        </w:tc>
        <w:tc>
          <w:tcPr>
            <w:tcW w:w="2268" w:type="dxa"/>
            <w:hideMark/>
          </w:tcPr>
          <w:p w14:paraId="3D967429" w14:textId="77777777" w:rsidR="00B71B4E" w:rsidRPr="00BD16B4" w:rsidRDefault="00B71B4E" w:rsidP="00F31129">
            <w:pPr>
              <w:pStyle w:val="TableText"/>
              <w:rPr>
                <w:rFonts w:cs="Calibri"/>
                <w:color w:val="000000"/>
                <w:szCs w:val="18"/>
              </w:rPr>
            </w:pPr>
            <w:r w:rsidRPr="00BD16B4">
              <w:rPr>
                <w:rFonts w:cs="Calibri"/>
                <w:color w:val="000000"/>
                <w:szCs w:val="18"/>
              </w:rPr>
              <w:t>Angkor Governance Support</w:t>
            </w:r>
          </w:p>
        </w:tc>
        <w:tc>
          <w:tcPr>
            <w:tcW w:w="3686" w:type="dxa"/>
            <w:gridSpan w:val="2"/>
            <w:hideMark/>
          </w:tcPr>
          <w:p w14:paraId="4FF30D61" w14:textId="77777777" w:rsidR="00B71B4E" w:rsidRPr="00BD16B4" w:rsidRDefault="00B71B4E" w:rsidP="00F31129">
            <w:pPr>
              <w:pStyle w:val="TableText"/>
              <w:rPr>
                <w:rFonts w:cs="Calibri"/>
                <w:color w:val="000000"/>
                <w:szCs w:val="18"/>
              </w:rPr>
            </w:pPr>
            <w:r w:rsidRPr="00BD16B4">
              <w:rPr>
                <w:rFonts w:cs="Calibri"/>
                <w:color w:val="000000"/>
                <w:szCs w:val="18"/>
              </w:rPr>
              <w:t>Supports the development of the Angkor Park Landscape Management Strategy for this World Heritage site and its indigenous communities</w:t>
            </w:r>
          </w:p>
        </w:tc>
      </w:tr>
      <w:tr w:rsidR="00B71B4E" w:rsidRPr="00BD16B4" w14:paraId="4AA2AA7A" w14:textId="77777777" w:rsidTr="00F31129">
        <w:tc>
          <w:tcPr>
            <w:tcW w:w="1492" w:type="dxa"/>
          </w:tcPr>
          <w:p w14:paraId="6E3FBBA4" w14:textId="77777777" w:rsidR="00B71B4E" w:rsidRPr="00BD16B4" w:rsidRDefault="00B71B4E" w:rsidP="00F31129">
            <w:pPr>
              <w:pStyle w:val="TableText"/>
              <w:rPr>
                <w:rFonts w:cs="Calibri"/>
                <w:color w:val="000000"/>
                <w:szCs w:val="18"/>
              </w:rPr>
            </w:pPr>
            <w:r w:rsidRPr="00BD16B4">
              <w:rPr>
                <w:rFonts w:cs="Calibri"/>
                <w:color w:val="000000"/>
                <w:szCs w:val="18"/>
              </w:rPr>
              <w:t>Tuvalu</w:t>
            </w:r>
          </w:p>
        </w:tc>
        <w:tc>
          <w:tcPr>
            <w:tcW w:w="1247" w:type="dxa"/>
          </w:tcPr>
          <w:p w14:paraId="1E0E7F7C" w14:textId="77777777" w:rsidR="00B71B4E" w:rsidRPr="00BD16B4" w:rsidRDefault="00B71B4E" w:rsidP="00F31129">
            <w:pPr>
              <w:pStyle w:val="TableText"/>
              <w:rPr>
                <w:rFonts w:cs="Calibri"/>
                <w:color w:val="000000"/>
                <w:szCs w:val="18"/>
              </w:rPr>
            </w:pPr>
            <w:r w:rsidRPr="00BD16B4">
              <w:rPr>
                <w:rFonts w:cs="Calibri"/>
                <w:color w:val="000000"/>
                <w:szCs w:val="18"/>
              </w:rPr>
              <w:t>Mitigation</w:t>
            </w:r>
          </w:p>
        </w:tc>
        <w:tc>
          <w:tcPr>
            <w:tcW w:w="2268" w:type="dxa"/>
            <w:hideMark/>
          </w:tcPr>
          <w:p w14:paraId="2D3D8A18" w14:textId="77777777" w:rsidR="00B71B4E" w:rsidRPr="00BD16B4" w:rsidRDefault="00B71B4E" w:rsidP="00F31129">
            <w:pPr>
              <w:pStyle w:val="TableText"/>
              <w:rPr>
                <w:rFonts w:cs="Calibri"/>
                <w:color w:val="000000"/>
                <w:szCs w:val="18"/>
              </w:rPr>
            </w:pPr>
            <w:r w:rsidRPr="00BD16B4">
              <w:rPr>
                <w:rFonts w:cs="Calibri"/>
                <w:color w:val="000000"/>
                <w:szCs w:val="18"/>
              </w:rPr>
              <w:t>Maritime Transport – Maintenance and Safety Systems</w:t>
            </w:r>
          </w:p>
        </w:tc>
        <w:tc>
          <w:tcPr>
            <w:tcW w:w="3686" w:type="dxa"/>
            <w:gridSpan w:val="2"/>
            <w:hideMark/>
          </w:tcPr>
          <w:p w14:paraId="2CE79097" w14:textId="77777777" w:rsidR="00B71B4E" w:rsidRPr="00BD16B4" w:rsidRDefault="00B71B4E" w:rsidP="00F31129">
            <w:pPr>
              <w:pStyle w:val="TableText"/>
              <w:rPr>
                <w:rFonts w:cs="Calibri"/>
                <w:color w:val="000000"/>
                <w:szCs w:val="18"/>
              </w:rPr>
            </w:pPr>
            <w:r w:rsidRPr="00BD16B4">
              <w:rPr>
                <w:rFonts w:cs="Calibri"/>
                <w:color w:val="000000"/>
                <w:szCs w:val="18"/>
              </w:rPr>
              <w:t>Improves maritime safety aboard Tuvalu Government vessels by addressing known mechanical faults and establishing maintenance plans and safety systems to keep the vessels up to a minimum international standard</w:t>
            </w:r>
          </w:p>
        </w:tc>
      </w:tr>
      <w:tr w:rsidR="00B71B4E" w:rsidRPr="00BD16B4" w14:paraId="5E23F206" w14:textId="77777777" w:rsidTr="00F31129">
        <w:tc>
          <w:tcPr>
            <w:tcW w:w="1492" w:type="dxa"/>
          </w:tcPr>
          <w:p w14:paraId="5D72D7F2" w14:textId="77777777" w:rsidR="00B71B4E" w:rsidRPr="00BD16B4" w:rsidRDefault="00B71B4E" w:rsidP="00F31129">
            <w:pPr>
              <w:pStyle w:val="TableText"/>
              <w:rPr>
                <w:rFonts w:cs="Calibri"/>
                <w:color w:val="000000"/>
                <w:szCs w:val="18"/>
              </w:rPr>
            </w:pPr>
            <w:r w:rsidRPr="00BD16B4">
              <w:rPr>
                <w:rFonts w:cs="Calibri"/>
                <w:color w:val="000000"/>
                <w:szCs w:val="18"/>
              </w:rPr>
              <w:t>Africa</w:t>
            </w:r>
          </w:p>
        </w:tc>
        <w:tc>
          <w:tcPr>
            <w:tcW w:w="1247" w:type="dxa"/>
          </w:tcPr>
          <w:p w14:paraId="19D33FA6" w14:textId="77777777" w:rsidR="00B71B4E" w:rsidRPr="00BD16B4" w:rsidRDefault="00B71B4E" w:rsidP="00F31129">
            <w:pPr>
              <w:pStyle w:val="TableText"/>
              <w:rPr>
                <w:rFonts w:cs="Calibri"/>
                <w:color w:val="000000"/>
                <w:szCs w:val="18"/>
              </w:rPr>
            </w:pPr>
            <w:r w:rsidRPr="00BD16B4">
              <w:rPr>
                <w:rFonts w:cs="Calibri"/>
                <w:color w:val="000000"/>
                <w:szCs w:val="18"/>
              </w:rPr>
              <w:t>Cross-cutting</w:t>
            </w:r>
          </w:p>
        </w:tc>
        <w:tc>
          <w:tcPr>
            <w:tcW w:w="2268" w:type="dxa"/>
            <w:hideMark/>
          </w:tcPr>
          <w:p w14:paraId="583D89E3" w14:textId="77777777" w:rsidR="00B71B4E" w:rsidRPr="00BD16B4" w:rsidRDefault="00B71B4E" w:rsidP="00F31129">
            <w:pPr>
              <w:pStyle w:val="TableText"/>
              <w:rPr>
                <w:rFonts w:cs="Calibri"/>
                <w:color w:val="000000"/>
                <w:szCs w:val="18"/>
              </w:rPr>
            </w:pPr>
            <w:r w:rsidRPr="00BD16B4">
              <w:rPr>
                <w:rFonts w:cs="Calibri"/>
                <w:color w:val="000000"/>
                <w:szCs w:val="18"/>
              </w:rPr>
              <w:t>Building Resilience of Smallholder Farmers</w:t>
            </w:r>
          </w:p>
        </w:tc>
        <w:tc>
          <w:tcPr>
            <w:tcW w:w="3686" w:type="dxa"/>
            <w:gridSpan w:val="2"/>
            <w:hideMark/>
          </w:tcPr>
          <w:p w14:paraId="4BDFA759" w14:textId="77777777" w:rsidR="00B71B4E" w:rsidRPr="00BD16B4" w:rsidRDefault="00B71B4E" w:rsidP="00F31129">
            <w:pPr>
              <w:pStyle w:val="TableText"/>
              <w:rPr>
                <w:rFonts w:cs="Calibri"/>
                <w:color w:val="000000"/>
                <w:szCs w:val="18"/>
              </w:rPr>
            </w:pPr>
            <w:r w:rsidRPr="00BD16B4">
              <w:rPr>
                <w:rFonts w:cs="Calibri"/>
                <w:color w:val="000000"/>
                <w:szCs w:val="18"/>
              </w:rPr>
              <w:t>Targets food-insecure households in rural areas of Zimbabwe by providing capacity-strengthening activities to build resilience to climate shocks</w:t>
            </w:r>
          </w:p>
        </w:tc>
      </w:tr>
      <w:tr w:rsidR="00B71B4E" w:rsidRPr="00BD16B4" w14:paraId="3F42C313" w14:textId="77777777" w:rsidTr="00F31129">
        <w:tc>
          <w:tcPr>
            <w:tcW w:w="1492" w:type="dxa"/>
          </w:tcPr>
          <w:p w14:paraId="2408B137" w14:textId="77777777" w:rsidR="00B71B4E" w:rsidRPr="00BD16B4" w:rsidRDefault="00B71B4E" w:rsidP="00F31129">
            <w:pPr>
              <w:pStyle w:val="TableText"/>
              <w:rPr>
                <w:rFonts w:cs="Calibri"/>
                <w:color w:val="000000"/>
                <w:szCs w:val="18"/>
              </w:rPr>
            </w:pPr>
            <w:r w:rsidRPr="00BD16B4">
              <w:rPr>
                <w:rFonts w:cs="Calibri"/>
                <w:color w:val="000000"/>
                <w:szCs w:val="18"/>
              </w:rPr>
              <w:t>Kiribati</w:t>
            </w:r>
          </w:p>
        </w:tc>
        <w:tc>
          <w:tcPr>
            <w:tcW w:w="1247" w:type="dxa"/>
          </w:tcPr>
          <w:p w14:paraId="7C834712"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534A714D" w14:textId="77777777" w:rsidR="00B71B4E" w:rsidRPr="00BD16B4" w:rsidRDefault="00B71B4E" w:rsidP="00F31129">
            <w:pPr>
              <w:pStyle w:val="TableText"/>
              <w:rPr>
                <w:rFonts w:cs="Calibri"/>
                <w:color w:val="000000"/>
                <w:szCs w:val="18"/>
              </w:rPr>
            </w:pPr>
            <w:r w:rsidRPr="00BD16B4">
              <w:rPr>
                <w:rFonts w:cs="Calibri"/>
                <w:color w:val="000000"/>
                <w:szCs w:val="18"/>
              </w:rPr>
              <w:t>Activity Capacity Support – Urban Development</w:t>
            </w:r>
          </w:p>
        </w:tc>
        <w:tc>
          <w:tcPr>
            <w:tcW w:w="3686" w:type="dxa"/>
            <w:gridSpan w:val="2"/>
            <w:hideMark/>
          </w:tcPr>
          <w:p w14:paraId="69E9893C" w14:textId="77777777" w:rsidR="00B71B4E" w:rsidRPr="00BD16B4" w:rsidRDefault="00B71B4E" w:rsidP="00F31129">
            <w:pPr>
              <w:pStyle w:val="TableText"/>
              <w:rPr>
                <w:rFonts w:cs="Calibri"/>
                <w:color w:val="000000"/>
                <w:szCs w:val="18"/>
              </w:rPr>
            </w:pPr>
            <w:r w:rsidRPr="00BD16B4">
              <w:rPr>
                <w:rFonts w:cs="Calibri"/>
                <w:color w:val="000000"/>
                <w:szCs w:val="18"/>
              </w:rPr>
              <w:t>Provides funding for the management of urban development initiatives in water and sanitation, solid waste management and urban housing</w:t>
            </w:r>
          </w:p>
        </w:tc>
      </w:tr>
      <w:tr w:rsidR="00B71B4E" w:rsidRPr="00BD16B4" w14:paraId="245192D8" w14:textId="77777777" w:rsidTr="00F31129">
        <w:tc>
          <w:tcPr>
            <w:tcW w:w="1492" w:type="dxa"/>
          </w:tcPr>
          <w:p w14:paraId="7F42888A" w14:textId="77777777" w:rsidR="00B71B4E" w:rsidRPr="00BD16B4" w:rsidRDefault="00B71B4E" w:rsidP="00F31129">
            <w:pPr>
              <w:pStyle w:val="TableText"/>
              <w:keepNext/>
              <w:rPr>
                <w:rFonts w:cs="Calibri"/>
                <w:color w:val="000000"/>
                <w:szCs w:val="18"/>
              </w:rPr>
            </w:pPr>
            <w:r w:rsidRPr="00BD16B4">
              <w:rPr>
                <w:rFonts w:cs="Calibri"/>
                <w:color w:val="000000"/>
                <w:szCs w:val="18"/>
              </w:rPr>
              <w:lastRenderedPageBreak/>
              <w:t>Indonesia</w:t>
            </w:r>
          </w:p>
        </w:tc>
        <w:tc>
          <w:tcPr>
            <w:tcW w:w="1247" w:type="dxa"/>
          </w:tcPr>
          <w:p w14:paraId="367D11C4"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771F5AF3" w14:textId="77777777" w:rsidR="00B71B4E" w:rsidRPr="00BD16B4" w:rsidRDefault="00B71B4E" w:rsidP="00F31129">
            <w:pPr>
              <w:pStyle w:val="TableText"/>
              <w:rPr>
                <w:rFonts w:cs="Calibri"/>
                <w:color w:val="000000"/>
                <w:szCs w:val="18"/>
              </w:rPr>
            </w:pPr>
            <w:r w:rsidRPr="00BD16B4">
              <w:rPr>
                <w:rFonts w:cs="Calibri"/>
                <w:color w:val="000000"/>
                <w:szCs w:val="18"/>
              </w:rPr>
              <w:t>Strengthening Disaster Resilience</w:t>
            </w:r>
          </w:p>
        </w:tc>
        <w:tc>
          <w:tcPr>
            <w:tcW w:w="3686" w:type="dxa"/>
            <w:gridSpan w:val="2"/>
            <w:hideMark/>
          </w:tcPr>
          <w:p w14:paraId="08F118D0" w14:textId="77777777" w:rsidR="00B71B4E" w:rsidRPr="00BD16B4" w:rsidRDefault="00B71B4E" w:rsidP="00F31129">
            <w:pPr>
              <w:pStyle w:val="TableText"/>
              <w:rPr>
                <w:rFonts w:cs="Calibri"/>
                <w:color w:val="000000"/>
                <w:szCs w:val="18"/>
              </w:rPr>
            </w:pPr>
            <w:r w:rsidRPr="00BD16B4">
              <w:rPr>
                <w:rFonts w:cs="Calibri"/>
                <w:color w:val="000000"/>
                <w:szCs w:val="18"/>
              </w:rPr>
              <w:t>Provides training and capability building to increase the disaster risk management skills of local governments, provide specialist advice and technical support to local governments, and increase participation of the private sector, non-government organisations and communities in disaster risk management</w:t>
            </w:r>
          </w:p>
        </w:tc>
      </w:tr>
      <w:tr w:rsidR="00B71B4E" w:rsidRPr="00BD16B4" w14:paraId="443D7E80" w14:textId="77777777" w:rsidTr="00F31129">
        <w:tc>
          <w:tcPr>
            <w:tcW w:w="1492" w:type="dxa"/>
          </w:tcPr>
          <w:p w14:paraId="687B338B" w14:textId="77777777" w:rsidR="00B71B4E" w:rsidRPr="00BD16B4" w:rsidRDefault="00B71B4E" w:rsidP="00F31129">
            <w:pPr>
              <w:pStyle w:val="TableText"/>
              <w:rPr>
                <w:rFonts w:cs="Calibri"/>
                <w:color w:val="000000"/>
                <w:szCs w:val="18"/>
              </w:rPr>
            </w:pPr>
            <w:r w:rsidRPr="00BD16B4">
              <w:rPr>
                <w:rFonts w:cs="Calibri"/>
                <w:color w:val="000000"/>
                <w:szCs w:val="18"/>
              </w:rPr>
              <w:t>Indonesia</w:t>
            </w:r>
          </w:p>
        </w:tc>
        <w:tc>
          <w:tcPr>
            <w:tcW w:w="1247" w:type="dxa"/>
          </w:tcPr>
          <w:p w14:paraId="59755BD9"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06517372" w14:textId="77777777" w:rsidR="00B71B4E" w:rsidRPr="00BD16B4" w:rsidRDefault="00B71B4E" w:rsidP="00F31129">
            <w:pPr>
              <w:pStyle w:val="TableText"/>
              <w:rPr>
                <w:rFonts w:cs="Calibri"/>
                <w:color w:val="000000"/>
                <w:szCs w:val="18"/>
              </w:rPr>
            </w:pPr>
            <w:r w:rsidRPr="00BD16B4">
              <w:rPr>
                <w:rFonts w:cs="Calibri"/>
                <w:color w:val="000000"/>
                <w:szCs w:val="18"/>
              </w:rPr>
              <w:t>National Disaster Response Framework</w:t>
            </w:r>
          </w:p>
        </w:tc>
        <w:tc>
          <w:tcPr>
            <w:tcW w:w="3686" w:type="dxa"/>
            <w:gridSpan w:val="2"/>
            <w:hideMark/>
          </w:tcPr>
          <w:p w14:paraId="7DC68732" w14:textId="77777777" w:rsidR="00B71B4E" w:rsidRPr="00BD16B4" w:rsidRDefault="00B71B4E" w:rsidP="00F31129">
            <w:pPr>
              <w:pStyle w:val="TableText"/>
              <w:rPr>
                <w:rFonts w:cs="Calibri"/>
                <w:color w:val="000000"/>
                <w:szCs w:val="18"/>
              </w:rPr>
            </w:pPr>
            <w:r w:rsidRPr="00BD16B4">
              <w:rPr>
                <w:rFonts w:cs="Calibri"/>
                <w:color w:val="000000"/>
                <w:szCs w:val="18"/>
              </w:rPr>
              <w:t>Supports the development of an all-of-government framework for disaster preparedness and response that clarifies roles, accountabilities and mechanisms for coordinating disaster preparedness and response work</w:t>
            </w:r>
          </w:p>
        </w:tc>
      </w:tr>
      <w:tr w:rsidR="00B71B4E" w:rsidRPr="00BD16B4" w14:paraId="026EF256" w14:textId="77777777" w:rsidTr="00F31129">
        <w:tc>
          <w:tcPr>
            <w:tcW w:w="1492" w:type="dxa"/>
          </w:tcPr>
          <w:p w14:paraId="062ADFBA" w14:textId="77777777" w:rsidR="00B71B4E" w:rsidRPr="00BD16B4" w:rsidRDefault="00B71B4E" w:rsidP="00F31129">
            <w:pPr>
              <w:pStyle w:val="TableText"/>
              <w:rPr>
                <w:rFonts w:cs="Calibri"/>
                <w:color w:val="000000"/>
                <w:szCs w:val="18"/>
              </w:rPr>
            </w:pPr>
            <w:r w:rsidRPr="00BD16B4">
              <w:rPr>
                <w:rFonts w:cs="Calibri"/>
                <w:color w:val="000000"/>
                <w:szCs w:val="18"/>
              </w:rPr>
              <w:t>Tuvalu</w:t>
            </w:r>
          </w:p>
        </w:tc>
        <w:tc>
          <w:tcPr>
            <w:tcW w:w="1247" w:type="dxa"/>
          </w:tcPr>
          <w:p w14:paraId="35D59346" w14:textId="77777777" w:rsidR="00B71B4E" w:rsidRPr="00BD16B4" w:rsidRDefault="00B71B4E" w:rsidP="00F31129">
            <w:pPr>
              <w:pStyle w:val="TableText"/>
              <w:rPr>
                <w:rFonts w:cs="Calibri"/>
                <w:color w:val="000000"/>
                <w:szCs w:val="18"/>
              </w:rPr>
            </w:pPr>
            <w:r w:rsidRPr="00BD16B4">
              <w:rPr>
                <w:rFonts w:cs="Calibri"/>
                <w:color w:val="000000"/>
                <w:szCs w:val="18"/>
              </w:rPr>
              <w:t>Mitigation</w:t>
            </w:r>
          </w:p>
        </w:tc>
        <w:tc>
          <w:tcPr>
            <w:tcW w:w="2268" w:type="dxa"/>
            <w:hideMark/>
          </w:tcPr>
          <w:p w14:paraId="5D7FC0D1" w14:textId="77777777" w:rsidR="00B71B4E" w:rsidRPr="00BD16B4" w:rsidRDefault="00B71B4E" w:rsidP="00F31129">
            <w:pPr>
              <w:pStyle w:val="TableText"/>
              <w:rPr>
                <w:rFonts w:cs="Calibri"/>
                <w:color w:val="000000"/>
                <w:szCs w:val="18"/>
              </w:rPr>
            </w:pPr>
            <w:r w:rsidRPr="00BD16B4">
              <w:rPr>
                <w:rFonts w:cs="Calibri"/>
                <w:color w:val="000000"/>
                <w:szCs w:val="18"/>
              </w:rPr>
              <w:t>Tuvalu Renewable Energy Projects</w:t>
            </w:r>
          </w:p>
        </w:tc>
        <w:tc>
          <w:tcPr>
            <w:tcW w:w="3686" w:type="dxa"/>
            <w:gridSpan w:val="2"/>
            <w:hideMark/>
          </w:tcPr>
          <w:p w14:paraId="0914EA58" w14:textId="77777777" w:rsidR="00B71B4E" w:rsidRPr="00BD16B4" w:rsidRDefault="00B71B4E" w:rsidP="00F31129">
            <w:pPr>
              <w:pStyle w:val="TableText"/>
              <w:rPr>
                <w:rFonts w:cs="Calibri"/>
                <w:color w:val="000000"/>
                <w:szCs w:val="18"/>
              </w:rPr>
            </w:pPr>
            <w:r w:rsidRPr="00BD16B4">
              <w:rPr>
                <w:rFonts w:cs="Calibri"/>
                <w:color w:val="000000"/>
                <w:szCs w:val="18"/>
              </w:rPr>
              <w:t>Includes the installation of hybrid photovoltaics on the three outer islands of Nanumea, Nanumanga and Niutao as well as on Vaitupu, and hybrid photovoltaics on selected buildings in Funafuti</w:t>
            </w:r>
          </w:p>
        </w:tc>
      </w:tr>
      <w:tr w:rsidR="00B71B4E" w:rsidRPr="00BD16B4" w14:paraId="572807E2" w14:textId="77777777" w:rsidTr="00F31129">
        <w:tc>
          <w:tcPr>
            <w:tcW w:w="1492" w:type="dxa"/>
          </w:tcPr>
          <w:p w14:paraId="755381D7" w14:textId="77777777" w:rsidR="00B71B4E" w:rsidRPr="00BD16B4" w:rsidRDefault="00B71B4E" w:rsidP="00F31129">
            <w:pPr>
              <w:pStyle w:val="TableText"/>
              <w:rPr>
                <w:rFonts w:cs="Calibri"/>
                <w:color w:val="000000"/>
                <w:szCs w:val="18"/>
              </w:rPr>
            </w:pPr>
            <w:r w:rsidRPr="00BD16B4">
              <w:rPr>
                <w:rFonts w:cs="Calibri"/>
                <w:color w:val="000000"/>
                <w:szCs w:val="18"/>
              </w:rPr>
              <w:t>Samoa</w:t>
            </w:r>
          </w:p>
        </w:tc>
        <w:tc>
          <w:tcPr>
            <w:tcW w:w="1247" w:type="dxa"/>
          </w:tcPr>
          <w:p w14:paraId="1FA90295" w14:textId="77777777" w:rsidR="00B71B4E" w:rsidRPr="00BD16B4" w:rsidRDefault="00B71B4E" w:rsidP="00F31129">
            <w:pPr>
              <w:pStyle w:val="TableText"/>
              <w:rPr>
                <w:rFonts w:cs="Calibri"/>
                <w:color w:val="000000"/>
                <w:szCs w:val="18"/>
              </w:rPr>
            </w:pPr>
            <w:r w:rsidRPr="00BD16B4">
              <w:rPr>
                <w:rFonts w:cs="Calibri"/>
                <w:color w:val="000000"/>
                <w:szCs w:val="18"/>
              </w:rPr>
              <w:t>Cross-cutting</w:t>
            </w:r>
          </w:p>
        </w:tc>
        <w:tc>
          <w:tcPr>
            <w:tcW w:w="2268" w:type="dxa"/>
            <w:hideMark/>
          </w:tcPr>
          <w:p w14:paraId="31D4C0B5" w14:textId="77777777" w:rsidR="00B71B4E" w:rsidRPr="00BD16B4" w:rsidRDefault="00B71B4E" w:rsidP="00F31129">
            <w:pPr>
              <w:pStyle w:val="TableText"/>
              <w:rPr>
                <w:rFonts w:cs="Calibri"/>
                <w:color w:val="000000"/>
                <w:szCs w:val="18"/>
              </w:rPr>
            </w:pPr>
            <w:r w:rsidRPr="00BD16B4">
              <w:rPr>
                <w:rFonts w:cs="Calibri"/>
                <w:color w:val="000000"/>
                <w:szCs w:val="18"/>
              </w:rPr>
              <w:t xml:space="preserve">Samoa Renewable Energy Partnership </w:t>
            </w:r>
          </w:p>
        </w:tc>
        <w:tc>
          <w:tcPr>
            <w:tcW w:w="3686" w:type="dxa"/>
            <w:gridSpan w:val="2"/>
            <w:hideMark/>
          </w:tcPr>
          <w:p w14:paraId="49F1AA88" w14:textId="77777777" w:rsidR="00B71B4E" w:rsidRPr="00BD16B4" w:rsidRDefault="00B71B4E" w:rsidP="00F31129">
            <w:pPr>
              <w:pStyle w:val="TableText"/>
              <w:rPr>
                <w:rFonts w:cs="Calibri"/>
                <w:color w:val="000000"/>
                <w:szCs w:val="18"/>
              </w:rPr>
            </w:pPr>
            <w:r w:rsidRPr="00BD16B4">
              <w:rPr>
                <w:rFonts w:cs="Calibri"/>
                <w:color w:val="000000"/>
                <w:szCs w:val="18"/>
              </w:rPr>
              <w:t>Includes the development of large-scale photovoltaics, small hydro power plant rehabilitation and construction, and technical assistance to develop a least-cost investment plan and asset management</w:t>
            </w:r>
          </w:p>
        </w:tc>
      </w:tr>
      <w:tr w:rsidR="00B71B4E" w:rsidRPr="00BD16B4" w14:paraId="33E6C90B" w14:textId="77777777" w:rsidTr="00F31129">
        <w:tc>
          <w:tcPr>
            <w:tcW w:w="1492" w:type="dxa"/>
          </w:tcPr>
          <w:p w14:paraId="35C35932" w14:textId="77777777" w:rsidR="00B71B4E" w:rsidRPr="00BD16B4" w:rsidRDefault="00B71B4E" w:rsidP="00F31129">
            <w:pPr>
              <w:pStyle w:val="TableText"/>
              <w:rPr>
                <w:rFonts w:cs="Calibri"/>
                <w:color w:val="000000"/>
                <w:szCs w:val="18"/>
              </w:rPr>
            </w:pPr>
            <w:r w:rsidRPr="00BD16B4">
              <w:rPr>
                <w:rFonts w:cs="Calibri"/>
                <w:color w:val="000000"/>
                <w:szCs w:val="18"/>
              </w:rPr>
              <w:t>Kiribati</w:t>
            </w:r>
          </w:p>
        </w:tc>
        <w:tc>
          <w:tcPr>
            <w:tcW w:w="1247" w:type="dxa"/>
          </w:tcPr>
          <w:p w14:paraId="2241A2D1"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4B0FE2A0" w14:textId="77777777" w:rsidR="00B71B4E" w:rsidRPr="00BD16B4" w:rsidRDefault="00B71B4E" w:rsidP="00F31129">
            <w:pPr>
              <w:pStyle w:val="TableText"/>
              <w:rPr>
                <w:rFonts w:cs="Calibri"/>
                <w:color w:val="000000"/>
                <w:szCs w:val="18"/>
              </w:rPr>
            </w:pPr>
            <w:r w:rsidRPr="00BD16B4">
              <w:rPr>
                <w:rFonts w:cs="Calibri"/>
                <w:color w:val="000000"/>
                <w:szCs w:val="18"/>
              </w:rPr>
              <w:t>Kiribati Water</w:t>
            </w:r>
          </w:p>
        </w:tc>
        <w:tc>
          <w:tcPr>
            <w:tcW w:w="3686" w:type="dxa"/>
            <w:gridSpan w:val="2"/>
            <w:hideMark/>
          </w:tcPr>
          <w:p w14:paraId="3B75DE88" w14:textId="77777777" w:rsidR="00B71B4E" w:rsidRPr="00BD16B4" w:rsidRDefault="00B71B4E" w:rsidP="00F31129">
            <w:pPr>
              <w:pStyle w:val="TableText"/>
              <w:rPr>
                <w:rFonts w:cs="Calibri"/>
                <w:color w:val="000000"/>
                <w:szCs w:val="18"/>
              </w:rPr>
            </w:pPr>
            <w:r w:rsidRPr="00BD16B4">
              <w:rPr>
                <w:rFonts w:cs="Calibri"/>
                <w:color w:val="000000"/>
                <w:szCs w:val="18"/>
              </w:rPr>
              <w:t>Aims to improve communities’ access to reliable, safe water in Kiribati through investing in infrastructure and strengthening capacity and management</w:t>
            </w:r>
          </w:p>
        </w:tc>
      </w:tr>
      <w:tr w:rsidR="00B71B4E" w:rsidRPr="00BD16B4" w14:paraId="3650558D" w14:textId="77777777" w:rsidTr="00F31129">
        <w:tc>
          <w:tcPr>
            <w:tcW w:w="1492" w:type="dxa"/>
          </w:tcPr>
          <w:p w14:paraId="37BB8955"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30904FA8"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2B4CA857" w14:textId="77777777" w:rsidR="00B71B4E" w:rsidRPr="00BD16B4" w:rsidRDefault="00B71B4E" w:rsidP="00F31129">
            <w:pPr>
              <w:pStyle w:val="TableText"/>
              <w:rPr>
                <w:rFonts w:cs="Calibri"/>
                <w:color w:val="000000"/>
                <w:szCs w:val="18"/>
              </w:rPr>
            </w:pPr>
            <w:r w:rsidRPr="00BD16B4">
              <w:rPr>
                <w:rFonts w:cs="Calibri"/>
                <w:color w:val="000000"/>
                <w:szCs w:val="18"/>
              </w:rPr>
              <w:t>Strengthening Water Security in Selected Pacific Island Countries</w:t>
            </w:r>
          </w:p>
        </w:tc>
        <w:tc>
          <w:tcPr>
            <w:tcW w:w="3686" w:type="dxa"/>
            <w:gridSpan w:val="2"/>
            <w:hideMark/>
          </w:tcPr>
          <w:p w14:paraId="36E2CFF2" w14:textId="77777777" w:rsidR="00B71B4E" w:rsidRPr="00BD16B4" w:rsidRDefault="00B71B4E" w:rsidP="00F31129">
            <w:pPr>
              <w:pStyle w:val="TableText"/>
              <w:rPr>
                <w:rFonts w:cs="Calibri"/>
                <w:color w:val="000000"/>
                <w:szCs w:val="18"/>
              </w:rPr>
            </w:pPr>
            <w:r w:rsidRPr="00BD16B4">
              <w:rPr>
                <w:rFonts w:cs="Calibri"/>
                <w:color w:val="000000"/>
                <w:szCs w:val="18"/>
              </w:rPr>
              <w:t>Supports vulnerable Pacific Island countries to access safe and reliable drinking water supplies, and reduce their risk of water shortage</w:t>
            </w:r>
          </w:p>
        </w:tc>
      </w:tr>
      <w:tr w:rsidR="00B71B4E" w:rsidRPr="00BD16B4" w14:paraId="1EC32DB2" w14:textId="77777777" w:rsidTr="00F31129">
        <w:tc>
          <w:tcPr>
            <w:tcW w:w="1492" w:type="dxa"/>
          </w:tcPr>
          <w:p w14:paraId="42EEC582"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5D1BEA69" w14:textId="77777777" w:rsidR="00B71B4E" w:rsidRPr="00BD16B4" w:rsidRDefault="00B71B4E" w:rsidP="00F31129">
            <w:pPr>
              <w:pStyle w:val="TableText"/>
              <w:rPr>
                <w:rFonts w:cs="Calibri"/>
                <w:color w:val="000000"/>
                <w:szCs w:val="18"/>
              </w:rPr>
            </w:pPr>
            <w:r w:rsidRPr="00BD16B4">
              <w:rPr>
                <w:rFonts w:cs="Calibri"/>
                <w:color w:val="000000"/>
                <w:szCs w:val="18"/>
              </w:rPr>
              <w:t>Cross-cutting</w:t>
            </w:r>
          </w:p>
        </w:tc>
        <w:tc>
          <w:tcPr>
            <w:tcW w:w="2268" w:type="dxa"/>
            <w:hideMark/>
          </w:tcPr>
          <w:p w14:paraId="12FCA45A" w14:textId="77777777" w:rsidR="00B71B4E" w:rsidRPr="00BD16B4" w:rsidRDefault="00B71B4E" w:rsidP="00F31129">
            <w:pPr>
              <w:pStyle w:val="TableText"/>
              <w:rPr>
                <w:rFonts w:cs="Calibri"/>
                <w:color w:val="000000"/>
                <w:szCs w:val="18"/>
              </w:rPr>
            </w:pPr>
            <w:r w:rsidRPr="00BD16B4">
              <w:rPr>
                <w:rFonts w:cs="Calibri"/>
                <w:color w:val="000000"/>
                <w:szCs w:val="18"/>
              </w:rPr>
              <w:t>Ocean Acidification Partnership</w:t>
            </w:r>
          </w:p>
        </w:tc>
        <w:tc>
          <w:tcPr>
            <w:tcW w:w="3686" w:type="dxa"/>
            <w:gridSpan w:val="2"/>
            <w:hideMark/>
          </w:tcPr>
          <w:p w14:paraId="0139BAE2" w14:textId="77777777" w:rsidR="00B71B4E" w:rsidRPr="00BD16B4" w:rsidRDefault="00B71B4E" w:rsidP="00F31129">
            <w:pPr>
              <w:pStyle w:val="TableText"/>
              <w:rPr>
                <w:rFonts w:cs="Calibri"/>
                <w:color w:val="000000"/>
                <w:szCs w:val="18"/>
              </w:rPr>
            </w:pPr>
            <w:r w:rsidRPr="00BD16B4">
              <w:rPr>
                <w:rFonts w:cs="Calibri"/>
                <w:color w:val="000000"/>
                <w:szCs w:val="18"/>
              </w:rPr>
              <w:t>Supports communities in Fiji, Kiribati and Tokelau to better adapt to the impacts of climate change-induced ocean acidification through support for research- and community-based adaptation actions</w:t>
            </w:r>
          </w:p>
        </w:tc>
      </w:tr>
      <w:tr w:rsidR="00B71B4E" w:rsidRPr="00BD16B4" w14:paraId="19C8BF92" w14:textId="77777777" w:rsidTr="00F31129">
        <w:tc>
          <w:tcPr>
            <w:tcW w:w="1492" w:type="dxa"/>
          </w:tcPr>
          <w:p w14:paraId="40BCC4FB" w14:textId="77777777" w:rsidR="00B71B4E" w:rsidRPr="00BD16B4" w:rsidRDefault="00B71B4E" w:rsidP="00F31129">
            <w:pPr>
              <w:pStyle w:val="TableText"/>
              <w:rPr>
                <w:rFonts w:cs="Calibri"/>
                <w:color w:val="000000"/>
                <w:szCs w:val="18"/>
              </w:rPr>
            </w:pPr>
            <w:r w:rsidRPr="00BD16B4">
              <w:rPr>
                <w:rFonts w:cs="Calibri"/>
                <w:color w:val="000000"/>
                <w:szCs w:val="18"/>
              </w:rPr>
              <w:t>Fiji</w:t>
            </w:r>
          </w:p>
        </w:tc>
        <w:tc>
          <w:tcPr>
            <w:tcW w:w="1247" w:type="dxa"/>
          </w:tcPr>
          <w:p w14:paraId="24DDA2D2" w14:textId="77777777" w:rsidR="00B71B4E" w:rsidRPr="00BD16B4" w:rsidRDefault="00B71B4E" w:rsidP="00F31129">
            <w:pPr>
              <w:pStyle w:val="TableText"/>
              <w:rPr>
                <w:rFonts w:cs="Calibri"/>
                <w:color w:val="000000"/>
                <w:szCs w:val="18"/>
              </w:rPr>
            </w:pPr>
            <w:r w:rsidRPr="00BD16B4">
              <w:rPr>
                <w:rFonts w:cs="Calibri"/>
                <w:color w:val="000000"/>
                <w:szCs w:val="18"/>
              </w:rPr>
              <w:t>Mitigation</w:t>
            </w:r>
          </w:p>
        </w:tc>
        <w:tc>
          <w:tcPr>
            <w:tcW w:w="2268" w:type="dxa"/>
            <w:hideMark/>
          </w:tcPr>
          <w:p w14:paraId="65BC14F9" w14:textId="77777777" w:rsidR="00B71B4E" w:rsidRPr="00BD16B4" w:rsidRDefault="00B71B4E" w:rsidP="00F31129">
            <w:pPr>
              <w:pStyle w:val="TableText"/>
              <w:rPr>
                <w:rFonts w:cs="Calibri"/>
                <w:color w:val="000000"/>
                <w:szCs w:val="18"/>
              </w:rPr>
            </w:pPr>
            <w:r w:rsidRPr="00BD16B4">
              <w:rPr>
                <w:rFonts w:cs="Calibri"/>
                <w:color w:val="000000"/>
                <w:szCs w:val="18"/>
              </w:rPr>
              <w:t>MPI–BAF Biosecurity Activity</w:t>
            </w:r>
          </w:p>
        </w:tc>
        <w:tc>
          <w:tcPr>
            <w:tcW w:w="3686" w:type="dxa"/>
            <w:gridSpan w:val="2"/>
            <w:hideMark/>
          </w:tcPr>
          <w:p w14:paraId="7B7D879E" w14:textId="77777777" w:rsidR="00B71B4E" w:rsidRPr="00BD16B4" w:rsidRDefault="00B71B4E" w:rsidP="00F31129">
            <w:pPr>
              <w:pStyle w:val="TableText"/>
              <w:rPr>
                <w:rFonts w:cs="Calibri"/>
                <w:color w:val="000000"/>
                <w:szCs w:val="18"/>
              </w:rPr>
            </w:pPr>
            <w:r w:rsidRPr="00BD16B4">
              <w:rPr>
                <w:rFonts w:cs="Calibri"/>
                <w:color w:val="000000"/>
                <w:szCs w:val="18"/>
              </w:rPr>
              <w:t>Supports Pacific capacity development to improve invasive species identification, management and response</w:t>
            </w:r>
          </w:p>
        </w:tc>
      </w:tr>
      <w:tr w:rsidR="00B71B4E" w:rsidRPr="00BD16B4" w14:paraId="039241E1" w14:textId="77777777" w:rsidTr="00F31129">
        <w:tc>
          <w:tcPr>
            <w:tcW w:w="1492" w:type="dxa"/>
          </w:tcPr>
          <w:p w14:paraId="456A1197" w14:textId="77777777" w:rsidR="00B71B4E" w:rsidRPr="00BD16B4" w:rsidRDefault="00B71B4E" w:rsidP="00F31129">
            <w:pPr>
              <w:pStyle w:val="TableText"/>
              <w:rPr>
                <w:rFonts w:cs="Calibri"/>
                <w:color w:val="000000"/>
                <w:szCs w:val="18"/>
              </w:rPr>
            </w:pPr>
            <w:r w:rsidRPr="00BD16B4">
              <w:rPr>
                <w:rFonts w:cs="Calibri"/>
                <w:color w:val="000000"/>
                <w:szCs w:val="18"/>
              </w:rPr>
              <w:t>Vanuatu</w:t>
            </w:r>
          </w:p>
        </w:tc>
        <w:tc>
          <w:tcPr>
            <w:tcW w:w="1247" w:type="dxa"/>
          </w:tcPr>
          <w:p w14:paraId="1131A79F"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38F84977" w14:textId="77777777" w:rsidR="00B71B4E" w:rsidRPr="00BD16B4" w:rsidRDefault="00B71B4E" w:rsidP="00F31129">
            <w:pPr>
              <w:pStyle w:val="TableText"/>
              <w:rPr>
                <w:rFonts w:cs="Calibri"/>
                <w:color w:val="000000"/>
                <w:szCs w:val="18"/>
              </w:rPr>
            </w:pPr>
            <w:r w:rsidRPr="00BD16B4">
              <w:rPr>
                <w:rFonts w:cs="Calibri"/>
                <w:color w:val="000000"/>
                <w:szCs w:val="18"/>
              </w:rPr>
              <w:t>Water Sector Partnership 2017–21</w:t>
            </w:r>
          </w:p>
        </w:tc>
        <w:tc>
          <w:tcPr>
            <w:tcW w:w="3686" w:type="dxa"/>
            <w:gridSpan w:val="2"/>
            <w:hideMark/>
          </w:tcPr>
          <w:p w14:paraId="282737BE" w14:textId="77777777" w:rsidR="00B71B4E" w:rsidRPr="00BD16B4" w:rsidRDefault="00B71B4E" w:rsidP="00F31129">
            <w:pPr>
              <w:pStyle w:val="TableText"/>
              <w:rPr>
                <w:rFonts w:cs="Calibri"/>
                <w:color w:val="000000"/>
                <w:szCs w:val="18"/>
              </w:rPr>
            </w:pPr>
            <w:r w:rsidRPr="00BD16B4">
              <w:rPr>
                <w:rFonts w:cs="Calibri"/>
                <w:color w:val="000000"/>
                <w:szCs w:val="18"/>
              </w:rPr>
              <w:t>Supports the Department of Water Resources to operationalise its National Implementation Plan</w:t>
            </w:r>
          </w:p>
        </w:tc>
      </w:tr>
      <w:tr w:rsidR="00B71B4E" w:rsidRPr="00BD16B4" w14:paraId="66488592" w14:textId="77777777" w:rsidTr="00F31129">
        <w:tc>
          <w:tcPr>
            <w:tcW w:w="1492" w:type="dxa"/>
          </w:tcPr>
          <w:p w14:paraId="1CF5FDA7" w14:textId="77777777" w:rsidR="00B71B4E" w:rsidRPr="00BD16B4" w:rsidRDefault="00B71B4E" w:rsidP="00F31129">
            <w:pPr>
              <w:pStyle w:val="TableText"/>
              <w:rPr>
                <w:rFonts w:cs="Calibri"/>
                <w:color w:val="000000"/>
                <w:szCs w:val="18"/>
              </w:rPr>
            </w:pPr>
            <w:r w:rsidRPr="00BD16B4">
              <w:rPr>
                <w:rFonts w:cs="Calibri"/>
                <w:color w:val="000000"/>
                <w:szCs w:val="18"/>
              </w:rPr>
              <w:t>Pacific Regional</w:t>
            </w:r>
          </w:p>
        </w:tc>
        <w:tc>
          <w:tcPr>
            <w:tcW w:w="1247" w:type="dxa"/>
          </w:tcPr>
          <w:p w14:paraId="2410A9E4" w14:textId="77777777" w:rsidR="00B71B4E" w:rsidRPr="00BD16B4" w:rsidRDefault="00B71B4E" w:rsidP="00F31129">
            <w:pPr>
              <w:pStyle w:val="TableText"/>
              <w:rPr>
                <w:rFonts w:cs="Calibri"/>
                <w:color w:val="000000"/>
                <w:szCs w:val="18"/>
              </w:rPr>
            </w:pPr>
            <w:r w:rsidRPr="00BD16B4">
              <w:rPr>
                <w:rFonts w:cs="Calibri"/>
                <w:color w:val="000000"/>
                <w:szCs w:val="18"/>
              </w:rPr>
              <w:t>Adaptation</w:t>
            </w:r>
          </w:p>
        </w:tc>
        <w:tc>
          <w:tcPr>
            <w:tcW w:w="2268" w:type="dxa"/>
            <w:hideMark/>
          </w:tcPr>
          <w:p w14:paraId="2E52487A" w14:textId="77777777" w:rsidR="00B71B4E" w:rsidRPr="00BD16B4" w:rsidRDefault="00B71B4E" w:rsidP="00F31129">
            <w:pPr>
              <w:pStyle w:val="TableText"/>
              <w:rPr>
                <w:rFonts w:cs="Calibri"/>
                <w:color w:val="000000"/>
                <w:szCs w:val="18"/>
              </w:rPr>
            </w:pPr>
            <w:r w:rsidRPr="00BD16B4">
              <w:rPr>
                <w:rFonts w:cs="Calibri"/>
                <w:color w:val="000000"/>
                <w:szCs w:val="18"/>
              </w:rPr>
              <w:t>Improving Pacific Access to Climate Finance</w:t>
            </w:r>
          </w:p>
        </w:tc>
        <w:tc>
          <w:tcPr>
            <w:tcW w:w="3686" w:type="dxa"/>
            <w:gridSpan w:val="2"/>
            <w:hideMark/>
          </w:tcPr>
          <w:p w14:paraId="25B33016" w14:textId="77777777" w:rsidR="00B71B4E" w:rsidRPr="00BD16B4" w:rsidRDefault="00B71B4E" w:rsidP="00F31129">
            <w:pPr>
              <w:pStyle w:val="TableText"/>
              <w:rPr>
                <w:rFonts w:cs="Calibri"/>
                <w:color w:val="000000"/>
                <w:szCs w:val="18"/>
              </w:rPr>
            </w:pPr>
            <w:r w:rsidRPr="00BD16B4">
              <w:rPr>
                <w:rFonts w:cs="Calibri"/>
                <w:color w:val="000000"/>
                <w:szCs w:val="18"/>
              </w:rPr>
              <w:t>Involves contracting for technical assistance and providing direct funding to help Pacific Island countries access climate finance</w:t>
            </w:r>
          </w:p>
        </w:tc>
      </w:tr>
    </w:tbl>
    <w:p w14:paraId="07391A1E" w14:textId="77777777" w:rsidR="00B71B4E" w:rsidRPr="00BD16B4" w:rsidRDefault="00B71B4E" w:rsidP="00120409">
      <w:pPr>
        <w:pStyle w:val="Note"/>
      </w:pPr>
      <w:r w:rsidRPr="00BD16B4">
        <w:rPr>
          <w:b/>
        </w:rPr>
        <w:t>Note:</w:t>
      </w:r>
      <w:r w:rsidRPr="00BD16B4">
        <w:t xml:space="preserve"> BAF = </w:t>
      </w:r>
      <w:r w:rsidRPr="00BD16B4">
        <w:rPr>
          <w:rFonts w:cs="Calibri"/>
        </w:rPr>
        <w:t xml:space="preserve">Biosecurity Authority of Fiji; </w:t>
      </w:r>
      <w:r w:rsidRPr="00BD16B4">
        <w:t xml:space="preserve">CGIAR = Consultative Group for International Agricultural Research; MPI = </w:t>
      </w:r>
      <w:r w:rsidRPr="00BD16B4">
        <w:rPr>
          <w:rFonts w:cs="Calibri"/>
        </w:rPr>
        <w:t xml:space="preserve">Ministry for Primary Industries; </w:t>
      </w:r>
      <w:r w:rsidRPr="00BD16B4">
        <w:t xml:space="preserve">NDC = Nationally Determined Contribution; NIWA = </w:t>
      </w:r>
      <w:r w:rsidRPr="00BD16B4">
        <w:rPr>
          <w:rFonts w:eastAsia="Calibri" w:cs="Calibri"/>
        </w:rPr>
        <w:t>National Institute of Water and Atmospheric Research</w:t>
      </w:r>
      <w:r w:rsidRPr="00BD16B4">
        <w:t>; RISE = Revitalising Informal Settlements and their Environments;</w:t>
      </w:r>
      <w:r w:rsidRPr="00BD16B4">
        <w:rPr>
          <w:rFonts w:eastAsia="Calibri" w:cs="Calibri"/>
        </w:rPr>
        <w:t xml:space="preserve"> </w:t>
      </w:r>
      <w:r w:rsidRPr="00BD16B4">
        <w:t xml:space="preserve">SPC = Pacific Community. </w:t>
      </w:r>
    </w:p>
    <w:p w14:paraId="34ABAFD7" w14:textId="77777777" w:rsidR="00B71B4E" w:rsidRPr="00BD16B4" w:rsidRDefault="00B71B4E" w:rsidP="00BB7302">
      <w:pPr>
        <w:pStyle w:val="Tableheading"/>
        <w:rPr>
          <w:sz w:val="22"/>
        </w:rPr>
      </w:pPr>
      <w:bookmarkStart w:id="392" w:name="_Toc121773830"/>
      <w:r w:rsidRPr="00BD16B4">
        <w:lastRenderedPageBreak/>
        <w:t>Table 7.9:</w:t>
      </w:r>
      <w:r w:rsidRPr="00BD16B4">
        <w:tab/>
        <w:t>Capacity-building activities funded from other sources</w:t>
      </w:r>
      <w:bookmarkEnd w:id="390"/>
      <w:bookmarkEnd w:id="391"/>
      <w:bookmarkEnd w:id="392"/>
    </w:p>
    <w:tbl>
      <w:tblPr>
        <w:tblStyle w:val="TableGrid115"/>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2235"/>
        <w:gridCol w:w="1067"/>
        <w:gridCol w:w="2191"/>
        <w:gridCol w:w="3012"/>
      </w:tblGrid>
      <w:tr w:rsidR="00B71B4E" w:rsidRPr="00BD16B4" w14:paraId="0B579E92" w14:textId="77777777" w:rsidTr="00F31129">
        <w:trPr>
          <w:tblHeader/>
        </w:trPr>
        <w:tc>
          <w:tcPr>
            <w:tcW w:w="2325" w:type="dxa"/>
            <w:shd w:val="clear" w:color="auto" w:fill="1B556B" w:themeFill="text2"/>
            <w:vAlign w:val="bottom"/>
            <w:hideMark/>
          </w:tcPr>
          <w:p w14:paraId="398594C3" w14:textId="77777777" w:rsidR="00B71B4E" w:rsidRPr="00BD16B4" w:rsidRDefault="00B71B4E" w:rsidP="00F31129">
            <w:pPr>
              <w:pStyle w:val="TableTextBold0"/>
              <w:spacing w:before="50" w:after="50"/>
              <w:rPr>
                <w:color w:val="FFFFFF" w:themeColor="background1"/>
                <w:lang w:val="en-NZ"/>
              </w:rPr>
            </w:pPr>
            <w:r w:rsidRPr="00BD16B4">
              <w:rPr>
                <w:color w:val="FFFFFF" w:themeColor="background1"/>
                <w:lang w:val="en-NZ"/>
              </w:rPr>
              <w:t>Recipient countries</w:t>
            </w:r>
          </w:p>
        </w:tc>
        <w:tc>
          <w:tcPr>
            <w:tcW w:w="1077" w:type="dxa"/>
            <w:shd w:val="clear" w:color="auto" w:fill="1B556B" w:themeFill="text2"/>
            <w:vAlign w:val="bottom"/>
            <w:hideMark/>
          </w:tcPr>
          <w:p w14:paraId="54A8C585" w14:textId="77777777" w:rsidR="00B71B4E" w:rsidRPr="00BD16B4" w:rsidRDefault="00B71B4E" w:rsidP="00F31129">
            <w:pPr>
              <w:pStyle w:val="TableTextBold0"/>
              <w:spacing w:before="50" w:after="50"/>
              <w:rPr>
                <w:color w:val="FFFFFF" w:themeColor="background1"/>
                <w:lang w:val="en-NZ"/>
              </w:rPr>
            </w:pPr>
            <w:r w:rsidRPr="00BD16B4">
              <w:rPr>
                <w:color w:val="FFFFFF" w:themeColor="background1"/>
                <w:lang w:val="en-NZ"/>
              </w:rPr>
              <w:t>Target area</w:t>
            </w:r>
          </w:p>
        </w:tc>
        <w:tc>
          <w:tcPr>
            <w:tcW w:w="2232" w:type="dxa"/>
            <w:shd w:val="clear" w:color="auto" w:fill="1B556B" w:themeFill="text2"/>
            <w:vAlign w:val="bottom"/>
            <w:hideMark/>
          </w:tcPr>
          <w:p w14:paraId="69AE607F" w14:textId="77777777" w:rsidR="00B71B4E" w:rsidRPr="00BD16B4" w:rsidRDefault="00B71B4E" w:rsidP="00F31129">
            <w:pPr>
              <w:pStyle w:val="TableTextBold0"/>
              <w:spacing w:before="50" w:after="50"/>
              <w:rPr>
                <w:color w:val="FFFFFF" w:themeColor="background1"/>
                <w:lang w:val="en-NZ"/>
              </w:rPr>
            </w:pPr>
            <w:r w:rsidRPr="00BD16B4">
              <w:rPr>
                <w:color w:val="FFFFFF" w:themeColor="background1"/>
                <w:lang w:val="en-NZ"/>
              </w:rPr>
              <w:t>Programme/project title</w:t>
            </w:r>
          </w:p>
        </w:tc>
        <w:tc>
          <w:tcPr>
            <w:tcW w:w="3145" w:type="dxa"/>
            <w:shd w:val="clear" w:color="auto" w:fill="1B556B" w:themeFill="text2"/>
            <w:vAlign w:val="bottom"/>
            <w:hideMark/>
          </w:tcPr>
          <w:p w14:paraId="61B8D887" w14:textId="77777777" w:rsidR="00B71B4E" w:rsidRPr="00BD16B4" w:rsidRDefault="00B71B4E" w:rsidP="00F31129">
            <w:pPr>
              <w:pStyle w:val="TableTextBold0"/>
              <w:spacing w:before="50" w:after="50"/>
              <w:rPr>
                <w:color w:val="FFFFFF" w:themeColor="background1"/>
                <w:lang w:val="en-NZ"/>
              </w:rPr>
            </w:pPr>
            <w:r w:rsidRPr="00BD16B4">
              <w:rPr>
                <w:color w:val="FFFFFF" w:themeColor="background1"/>
                <w:lang w:val="en-NZ"/>
              </w:rPr>
              <w:t>Description</w:t>
            </w:r>
          </w:p>
        </w:tc>
      </w:tr>
      <w:tr w:rsidR="00B71B4E" w:rsidRPr="00BD16B4" w14:paraId="0AC10828" w14:textId="77777777" w:rsidTr="00F31129">
        <w:tc>
          <w:tcPr>
            <w:tcW w:w="2325" w:type="dxa"/>
          </w:tcPr>
          <w:p w14:paraId="3B6AED41" w14:textId="77777777" w:rsidR="00B71B4E" w:rsidRPr="00BD16B4" w:rsidRDefault="00B71B4E" w:rsidP="00F31129">
            <w:pPr>
              <w:pStyle w:val="TableText"/>
              <w:spacing w:before="50" w:after="50"/>
              <w:rPr>
                <w:color w:val="000000"/>
                <w:lang w:val="en-NZ"/>
              </w:rPr>
            </w:pPr>
            <w:r w:rsidRPr="00BD16B4">
              <w:rPr>
                <w:color w:val="000000"/>
                <w:lang w:val="en-NZ"/>
              </w:rPr>
              <w:t>Argentina, Bangladesh, Brazil, Chile, Costa Rica, Ethiopia, Nigeria, Pakistan, Paraguay, Senegal, Uruguay</w:t>
            </w:r>
          </w:p>
        </w:tc>
        <w:tc>
          <w:tcPr>
            <w:tcW w:w="1077" w:type="dxa"/>
          </w:tcPr>
          <w:p w14:paraId="101CA285" w14:textId="77777777" w:rsidR="00B71B4E" w:rsidRPr="00BD16B4" w:rsidRDefault="00B71B4E" w:rsidP="00F31129">
            <w:pPr>
              <w:pStyle w:val="TableText"/>
              <w:spacing w:before="50" w:after="50"/>
              <w:rPr>
                <w:color w:val="000000"/>
                <w:lang w:val="en-NZ"/>
              </w:rPr>
            </w:pPr>
            <w:r w:rsidRPr="00BD16B4">
              <w:rPr>
                <w:color w:val="000000"/>
                <w:lang w:val="en-NZ"/>
              </w:rPr>
              <w:t>Mitigation</w:t>
            </w:r>
          </w:p>
        </w:tc>
        <w:tc>
          <w:tcPr>
            <w:tcW w:w="2232" w:type="dxa"/>
          </w:tcPr>
          <w:p w14:paraId="35937BDE" w14:textId="77777777" w:rsidR="00B71B4E" w:rsidRPr="00BD16B4" w:rsidRDefault="00B71B4E" w:rsidP="00F31129">
            <w:pPr>
              <w:pStyle w:val="TableText"/>
              <w:spacing w:before="50" w:after="50"/>
              <w:rPr>
                <w:color w:val="000000"/>
                <w:lang w:val="en-NZ"/>
              </w:rPr>
            </w:pPr>
            <w:r w:rsidRPr="00BD16B4">
              <w:rPr>
                <w:color w:val="000000"/>
                <w:lang w:val="en-NZ"/>
              </w:rPr>
              <w:t>Livestock Emissions Abatement Research Network</w:t>
            </w:r>
          </w:p>
        </w:tc>
        <w:tc>
          <w:tcPr>
            <w:tcW w:w="3145" w:type="dxa"/>
          </w:tcPr>
          <w:p w14:paraId="7603CC49" w14:textId="77777777" w:rsidR="00B71B4E" w:rsidRPr="00BD16B4" w:rsidRDefault="00B71B4E" w:rsidP="00F31129">
            <w:pPr>
              <w:pStyle w:val="TableText"/>
              <w:spacing w:before="50" w:after="50"/>
              <w:rPr>
                <w:lang w:val="en-NZ"/>
              </w:rPr>
            </w:pPr>
            <w:r w:rsidRPr="00BD16B4">
              <w:rPr>
                <w:lang w:val="en-NZ"/>
              </w:rPr>
              <w:t>Supports technicians, doctoral students and postdoctoral fellows from developing countries to build international capability in livestock emissions research</w:t>
            </w:r>
          </w:p>
        </w:tc>
      </w:tr>
      <w:tr w:rsidR="00B71B4E" w:rsidRPr="00BD16B4" w14:paraId="030E55B9" w14:textId="77777777" w:rsidTr="00F31129">
        <w:tc>
          <w:tcPr>
            <w:tcW w:w="2325" w:type="dxa"/>
          </w:tcPr>
          <w:p w14:paraId="2A628EEB" w14:textId="77777777" w:rsidR="00B71B4E" w:rsidRPr="00BD16B4" w:rsidRDefault="00B71B4E" w:rsidP="00F31129">
            <w:pPr>
              <w:pStyle w:val="TableText"/>
              <w:spacing w:before="50" w:after="50"/>
              <w:rPr>
                <w:color w:val="000000"/>
                <w:lang w:val="en-NZ"/>
              </w:rPr>
            </w:pPr>
            <w:r w:rsidRPr="00BD16B4">
              <w:rPr>
                <w:color w:val="000000"/>
                <w:lang w:val="en-NZ"/>
              </w:rPr>
              <w:t>Algeria, Argentina, Benin, Brazil, Burkina Faso, Cameroon, China, Colombia, Cuba, Ecuador, Ethiopia, India, Iran, Kenya, Mexico, Nepal, Nigeria, Pakistan, South Africa, Tanzania, Togo, Uganda, Viet Nam, Zimbabwe</w:t>
            </w:r>
          </w:p>
        </w:tc>
        <w:tc>
          <w:tcPr>
            <w:tcW w:w="1077" w:type="dxa"/>
          </w:tcPr>
          <w:p w14:paraId="2211A38A" w14:textId="77777777" w:rsidR="00B71B4E" w:rsidRPr="00BD16B4" w:rsidRDefault="00B71B4E" w:rsidP="00F31129">
            <w:pPr>
              <w:pStyle w:val="TableText"/>
              <w:spacing w:before="50" w:after="50"/>
              <w:rPr>
                <w:color w:val="000000"/>
                <w:lang w:val="en-NZ"/>
              </w:rPr>
            </w:pPr>
            <w:r w:rsidRPr="00BD16B4">
              <w:rPr>
                <w:color w:val="000000"/>
                <w:lang w:val="en-NZ"/>
              </w:rPr>
              <w:t>Mitigation</w:t>
            </w:r>
          </w:p>
        </w:tc>
        <w:tc>
          <w:tcPr>
            <w:tcW w:w="2232" w:type="dxa"/>
          </w:tcPr>
          <w:p w14:paraId="19BBBAA1" w14:textId="77777777" w:rsidR="00B71B4E" w:rsidRPr="00BD16B4" w:rsidRDefault="00B71B4E" w:rsidP="00F31129">
            <w:pPr>
              <w:pStyle w:val="TableText"/>
              <w:spacing w:before="50" w:after="50"/>
              <w:rPr>
                <w:color w:val="000000"/>
                <w:lang w:val="en-NZ"/>
              </w:rPr>
            </w:pPr>
            <w:r w:rsidRPr="00BD16B4">
              <w:rPr>
                <w:color w:val="000000"/>
                <w:lang w:val="en-NZ"/>
              </w:rPr>
              <w:t>Climate, Food and Farming Network – GRA Development Scholarships (CLIFF-GRADS)</w:t>
            </w:r>
          </w:p>
        </w:tc>
        <w:tc>
          <w:tcPr>
            <w:tcW w:w="3145" w:type="dxa"/>
          </w:tcPr>
          <w:p w14:paraId="51F36FA1" w14:textId="77777777" w:rsidR="00B71B4E" w:rsidRPr="00BD16B4" w:rsidRDefault="00B71B4E" w:rsidP="00F31129">
            <w:pPr>
              <w:pStyle w:val="TableText"/>
              <w:spacing w:before="50" w:after="50"/>
              <w:rPr>
                <w:lang w:val="en-NZ"/>
              </w:rPr>
            </w:pPr>
            <w:r w:rsidRPr="00BD16B4">
              <w:rPr>
                <w:color w:val="000000"/>
                <w:lang w:val="en-NZ"/>
              </w:rPr>
              <w:t>The CLIFF-GRADS programme provides grants for students from developing countries, who are currently enrolled in PhD programmes, to undertake short-term research in association with advanced research institutes. Topics are related to measurement and mitigation of GHG emissions, or carbon storage in agricultural systems and quantification of GHG emissions</w:t>
            </w:r>
          </w:p>
        </w:tc>
      </w:tr>
      <w:tr w:rsidR="00B71B4E" w:rsidRPr="00BD16B4" w14:paraId="00A97DBB" w14:textId="77777777" w:rsidTr="00F31129">
        <w:tc>
          <w:tcPr>
            <w:tcW w:w="2325" w:type="dxa"/>
          </w:tcPr>
          <w:p w14:paraId="57FB52B4" w14:textId="77777777" w:rsidR="00B71B4E" w:rsidRPr="00BD16B4" w:rsidRDefault="00B71B4E" w:rsidP="00F31129">
            <w:pPr>
              <w:pStyle w:val="TableText"/>
              <w:spacing w:before="50" w:after="50"/>
              <w:rPr>
                <w:color w:val="000000"/>
                <w:lang w:val="en-NZ"/>
              </w:rPr>
            </w:pPr>
            <w:r w:rsidRPr="00BD16B4">
              <w:rPr>
                <w:color w:val="000000"/>
                <w:lang w:val="en-NZ"/>
              </w:rPr>
              <w:t>Democratic Republic of the Congo, Uganda, Benin, Kenya, South Africa</w:t>
            </w:r>
          </w:p>
        </w:tc>
        <w:tc>
          <w:tcPr>
            <w:tcW w:w="1077" w:type="dxa"/>
          </w:tcPr>
          <w:p w14:paraId="5FA09B95" w14:textId="77777777" w:rsidR="00B71B4E" w:rsidRPr="00BD16B4" w:rsidRDefault="00B71B4E" w:rsidP="00F31129">
            <w:pPr>
              <w:pStyle w:val="TableText"/>
              <w:spacing w:before="50" w:after="50"/>
              <w:rPr>
                <w:color w:val="000000"/>
                <w:lang w:val="en-NZ"/>
              </w:rPr>
            </w:pPr>
            <w:r w:rsidRPr="00BD16B4">
              <w:rPr>
                <w:color w:val="000000"/>
                <w:lang w:val="en-NZ"/>
              </w:rPr>
              <w:t>Mitigation</w:t>
            </w:r>
          </w:p>
        </w:tc>
        <w:tc>
          <w:tcPr>
            <w:tcW w:w="2232" w:type="dxa"/>
          </w:tcPr>
          <w:p w14:paraId="2F7D8BF4" w14:textId="77777777" w:rsidR="00B71B4E" w:rsidRPr="00BD16B4" w:rsidRDefault="00B71B4E" w:rsidP="00F31129">
            <w:pPr>
              <w:pStyle w:val="TableText"/>
              <w:spacing w:before="50" w:after="50"/>
              <w:rPr>
                <w:color w:val="000000"/>
                <w:lang w:val="en-NZ"/>
              </w:rPr>
            </w:pPr>
            <w:r w:rsidRPr="00BD16B4">
              <w:rPr>
                <w:color w:val="000000"/>
                <w:lang w:val="en-NZ"/>
              </w:rPr>
              <w:t>African Regional Universities Forum for Capability Building in Agriculture (RUFORUM)</w:t>
            </w:r>
          </w:p>
        </w:tc>
        <w:tc>
          <w:tcPr>
            <w:tcW w:w="3145" w:type="dxa"/>
          </w:tcPr>
          <w:p w14:paraId="7E6EEDE6" w14:textId="77777777" w:rsidR="00B71B4E" w:rsidRPr="00BD16B4" w:rsidRDefault="00B71B4E" w:rsidP="00F31129">
            <w:pPr>
              <w:pStyle w:val="TableText"/>
              <w:spacing w:before="50" w:after="50"/>
              <w:rPr>
                <w:color w:val="000000"/>
                <w:lang w:val="en-NZ"/>
              </w:rPr>
            </w:pPr>
            <w:r w:rsidRPr="00BD16B4">
              <w:rPr>
                <w:color w:val="000000"/>
                <w:lang w:val="en-NZ"/>
              </w:rPr>
              <w:t>Supports capability in Africa by offering grants to students and research from RUFORUM-associated universities, working on innovative responses to support smallholder farmers</w:t>
            </w:r>
          </w:p>
        </w:tc>
      </w:tr>
      <w:tr w:rsidR="00B71B4E" w:rsidRPr="00BD16B4" w14:paraId="73735B97" w14:textId="77777777" w:rsidTr="00F31129">
        <w:tc>
          <w:tcPr>
            <w:tcW w:w="2325" w:type="dxa"/>
          </w:tcPr>
          <w:p w14:paraId="01491514" w14:textId="77777777" w:rsidR="00B71B4E" w:rsidRPr="00BD16B4" w:rsidDel="00CB286C" w:rsidRDefault="00B71B4E" w:rsidP="00F31129">
            <w:pPr>
              <w:pStyle w:val="TableText"/>
              <w:spacing w:before="50" w:after="50"/>
              <w:rPr>
                <w:color w:val="000000"/>
                <w:lang w:val="en-NZ"/>
              </w:rPr>
            </w:pPr>
            <w:r w:rsidRPr="00BD16B4">
              <w:rPr>
                <w:color w:val="000000"/>
                <w:lang w:val="en-NZ"/>
              </w:rPr>
              <w:t>CLIFF-GRADS Alumni</w:t>
            </w:r>
          </w:p>
        </w:tc>
        <w:tc>
          <w:tcPr>
            <w:tcW w:w="1077" w:type="dxa"/>
          </w:tcPr>
          <w:p w14:paraId="6BBA3ED6" w14:textId="77777777" w:rsidR="00B71B4E" w:rsidRPr="00BD16B4" w:rsidDel="003F6374" w:rsidRDefault="00B71B4E" w:rsidP="00F31129">
            <w:pPr>
              <w:pStyle w:val="TableText"/>
              <w:spacing w:before="50" w:after="50"/>
              <w:rPr>
                <w:color w:val="000000"/>
                <w:lang w:val="en-NZ"/>
              </w:rPr>
            </w:pPr>
            <w:r w:rsidRPr="00BD16B4">
              <w:rPr>
                <w:color w:val="000000"/>
                <w:lang w:val="en-NZ"/>
              </w:rPr>
              <w:t>Mitigation</w:t>
            </w:r>
          </w:p>
        </w:tc>
        <w:tc>
          <w:tcPr>
            <w:tcW w:w="2232" w:type="dxa"/>
          </w:tcPr>
          <w:p w14:paraId="63098146" w14:textId="77777777" w:rsidR="00B71B4E" w:rsidRPr="00BD16B4" w:rsidDel="003F6374" w:rsidRDefault="00B71B4E" w:rsidP="00F31129">
            <w:pPr>
              <w:pStyle w:val="TableText"/>
              <w:spacing w:before="50" w:after="50"/>
              <w:rPr>
                <w:color w:val="000000"/>
                <w:szCs w:val="18"/>
                <w:lang w:val="en-NZ"/>
              </w:rPr>
            </w:pPr>
            <w:r w:rsidRPr="00BD16B4">
              <w:rPr>
                <w:color w:val="000000"/>
                <w:szCs w:val="18"/>
                <w:lang w:val="en-NZ"/>
              </w:rPr>
              <w:t>Financial Support</w:t>
            </w:r>
          </w:p>
        </w:tc>
        <w:tc>
          <w:tcPr>
            <w:tcW w:w="3145" w:type="dxa"/>
          </w:tcPr>
          <w:p w14:paraId="7EB150BD" w14:textId="77777777" w:rsidR="00B71B4E" w:rsidRPr="00BD16B4" w:rsidDel="003F6374" w:rsidRDefault="00B71B4E" w:rsidP="00F31129">
            <w:pPr>
              <w:pStyle w:val="TableText"/>
              <w:spacing w:before="50" w:after="50"/>
              <w:rPr>
                <w:color w:val="000000"/>
                <w:lang w:val="en-NZ"/>
              </w:rPr>
            </w:pPr>
            <w:r w:rsidRPr="00BD16B4">
              <w:rPr>
                <w:color w:val="000000"/>
                <w:lang w:val="en-NZ"/>
              </w:rPr>
              <w:t>Financial support for CLIFF-GRADS alumni to participate in workshops and connect with each other. It also provided a platform for alumni to present their work</w:t>
            </w:r>
          </w:p>
        </w:tc>
      </w:tr>
      <w:tr w:rsidR="00B71B4E" w:rsidRPr="00BD16B4" w14:paraId="6CD32C5B" w14:textId="77777777" w:rsidTr="00F31129">
        <w:tc>
          <w:tcPr>
            <w:tcW w:w="2325" w:type="dxa"/>
          </w:tcPr>
          <w:p w14:paraId="2B8DB6A7" w14:textId="77777777" w:rsidR="00B71B4E" w:rsidRPr="00BD16B4" w:rsidDel="00CB286C" w:rsidRDefault="00B71B4E" w:rsidP="00F31129">
            <w:pPr>
              <w:pStyle w:val="TableText"/>
              <w:spacing w:before="50" w:after="50"/>
              <w:rPr>
                <w:color w:val="000000"/>
                <w:lang w:val="en-NZ"/>
              </w:rPr>
            </w:pPr>
            <w:r w:rsidRPr="00BD16B4">
              <w:rPr>
                <w:color w:val="000000"/>
                <w:lang w:val="en-NZ"/>
              </w:rPr>
              <w:t>Ethiopia, Indonesia, Kenya, South Africa, Uganda</w:t>
            </w:r>
          </w:p>
        </w:tc>
        <w:tc>
          <w:tcPr>
            <w:tcW w:w="1077" w:type="dxa"/>
          </w:tcPr>
          <w:p w14:paraId="76A4F5D0" w14:textId="77777777" w:rsidR="00B71B4E" w:rsidRPr="00BD16B4" w:rsidRDefault="00B71B4E" w:rsidP="00F31129">
            <w:pPr>
              <w:pStyle w:val="TableText"/>
              <w:spacing w:before="50" w:after="50"/>
              <w:rPr>
                <w:color w:val="000000"/>
                <w:lang w:val="en-NZ"/>
              </w:rPr>
            </w:pPr>
            <w:r w:rsidRPr="00BD16B4">
              <w:rPr>
                <w:color w:val="000000"/>
                <w:lang w:val="en-NZ"/>
              </w:rPr>
              <w:t>Cross-cutting</w:t>
            </w:r>
          </w:p>
        </w:tc>
        <w:tc>
          <w:tcPr>
            <w:tcW w:w="2232" w:type="dxa"/>
          </w:tcPr>
          <w:p w14:paraId="317721E7" w14:textId="77777777" w:rsidR="00B71B4E" w:rsidRPr="00BD16B4" w:rsidRDefault="00B71B4E" w:rsidP="00F31129">
            <w:pPr>
              <w:pStyle w:val="TableText"/>
              <w:spacing w:before="50" w:after="50"/>
              <w:rPr>
                <w:color w:val="000000"/>
                <w:szCs w:val="18"/>
                <w:lang w:val="en-NZ"/>
              </w:rPr>
            </w:pPr>
            <w:r w:rsidRPr="00BD16B4">
              <w:rPr>
                <w:color w:val="000000"/>
                <w:szCs w:val="18"/>
                <w:lang w:val="en-NZ"/>
              </w:rPr>
              <w:t xml:space="preserve">World Farmers’ Organisation – GRA Study Tours </w:t>
            </w:r>
          </w:p>
        </w:tc>
        <w:tc>
          <w:tcPr>
            <w:tcW w:w="3145" w:type="dxa"/>
          </w:tcPr>
          <w:p w14:paraId="425C5FC7" w14:textId="77777777" w:rsidR="00B71B4E" w:rsidRPr="00BD16B4" w:rsidRDefault="00B71B4E" w:rsidP="00F31129">
            <w:pPr>
              <w:pStyle w:val="TableText"/>
              <w:spacing w:before="50" w:after="50"/>
              <w:rPr>
                <w:color w:val="000000"/>
                <w:lang w:val="en-NZ"/>
              </w:rPr>
            </w:pPr>
            <w:r w:rsidRPr="00BD16B4">
              <w:rPr>
                <w:color w:val="000000"/>
                <w:lang w:val="en-NZ"/>
              </w:rPr>
              <w:t>Young farmer and early-career agricultural scientist study tour to raise awareness between the international farming and science communities of the issue of GHGs from agriculture, to provide a way to share experiences and to be informed of, and inform, the global research agenda</w:t>
            </w:r>
          </w:p>
        </w:tc>
      </w:tr>
      <w:tr w:rsidR="00B71B4E" w:rsidRPr="00BD16B4" w14:paraId="59629E09" w14:textId="77777777" w:rsidTr="00F31129">
        <w:tc>
          <w:tcPr>
            <w:tcW w:w="2325" w:type="dxa"/>
          </w:tcPr>
          <w:p w14:paraId="7C59A1CE" w14:textId="77777777" w:rsidR="00B71B4E" w:rsidRPr="00BD16B4" w:rsidRDefault="00B71B4E" w:rsidP="00F31129">
            <w:pPr>
              <w:pStyle w:val="TableText"/>
              <w:spacing w:before="50" w:after="50"/>
              <w:rPr>
                <w:szCs w:val="18"/>
                <w:lang w:val="en-NZ"/>
              </w:rPr>
            </w:pPr>
            <w:r w:rsidRPr="00BD16B4">
              <w:rPr>
                <w:szCs w:val="18"/>
                <w:lang w:val="en-NZ"/>
              </w:rPr>
              <w:t>Ghana, Senegal, Uganda, Cameroon, Côte d’Ivoire, Nigeria, Zambia, Zimbabwe, South Africa, Thailand, Tunisia, Costa Rica</w:t>
            </w:r>
          </w:p>
        </w:tc>
        <w:tc>
          <w:tcPr>
            <w:tcW w:w="1077" w:type="dxa"/>
          </w:tcPr>
          <w:p w14:paraId="15A15AB1" w14:textId="77777777" w:rsidR="00B71B4E" w:rsidRPr="00BD16B4" w:rsidRDefault="00B71B4E" w:rsidP="00F31129">
            <w:pPr>
              <w:pStyle w:val="TableText"/>
              <w:spacing w:before="50" w:after="50"/>
              <w:rPr>
                <w:color w:val="000000"/>
                <w:lang w:val="en-NZ"/>
              </w:rPr>
            </w:pPr>
            <w:r w:rsidRPr="00BD16B4">
              <w:rPr>
                <w:color w:val="000000"/>
                <w:lang w:val="en-NZ"/>
              </w:rPr>
              <w:t>Mitigation</w:t>
            </w:r>
          </w:p>
        </w:tc>
        <w:tc>
          <w:tcPr>
            <w:tcW w:w="2232" w:type="dxa"/>
          </w:tcPr>
          <w:p w14:paraId="6A20FFB5" w14:textId="77777777" w:rsidR="00B71B4E" w:rsidRPr="00BD16B4" w:rsidRDefault="00B71B4E" w:rsidP="00F31129">
            <w:pPr>
              <w:pStyle w:val="TableText"/>
              <w:spacing w:before="50" w:after="50"/>
              <w:rPr>
                <w:color w:val="000000"/>
                <w:szCs w:val="18"/>
                <w:lang w:val="en-NZ"/>
              </w:rPr>
            </w:pPr>
            <w:r w:rsidRPr="00BD16B4">
              <w:rPr>
                <w:color w:val="000000"/>
                <w:szCs w:val="18"/>
                <w:lang w:val="en-NZ"/>
              </w:rPr>
              <w:t>Financial Support</w:t>
            </w:r>
          </w:p>
        </w:tc>
        <w:tc>
          <w:tcPr>
            <w:tcW w:w="3145" w:type="dxa"/>
          </w:tcPr>
          <w:p w14:paraId="0EFEA091" w14:textId="77777777" w:rsidR="00B71B4E" w:rsidRPr="00BD16B4" w:rsidRDefault="00B71B4E" w:rsidP="00F31129">
            <w:pPr>
              <w:pStyle w:val="TableText"/>
              <w:spacing w:before="50" w:after="50"/>
              <w:rPr>
                <w:lang w:val="en-NZ"/>
              </w:rPr>
            </w:pPr>
            <w:r w:rsidRPr="00BD16B4">
              <w:rPr>
                <w:lang w:val="en-NZ"/>
              </w:rPr>
              <w:t>Provided financial support for countries to attend a Livestock Research Group</w:t>
            </w:r>
            <w:r w:rsidRPr="00BD16B4" w:rsidDel="006E47BB">
              <w:rPr>
                <w:lang w:val="en-NZ"/>
              </w:rPr>
              <w:t xml:space="preserve"> </w:t>
            </w:r>
            <w:r w:rsidRPr="00BD16B4">
              <w:rPr>
                <w:lang w:val="en-NZ"/>
              </w:rPr>
              <w:t>meeting and an associated GHG Animal Agriculture Conference</w:t>
            </w:r>
          </w:p>
        </w:tc>
      </w:tr>
      <w:tr w:rsidR="00B71B4E" w:rsidRPr="00BD16B4" w14:paraId="782F9B46" w14:textId="77777777" w:rsidTr="00F31129">
        <w:tc>
          <w:tcPr>
            <w:tcW w:w="2325" w:type="dxa"/>
          </w:tcPr>
          <w:p w14:paraId="3755A46C" w14:textId="77777777" w:rsidR="00B71B4E" w:rsidRPr="00BD16B4" w:rsidRDefault="00B71B4E" w:rsidP="00F31129">
            <w:pPr>
              <w:pStyle w:val="TableText"/>
              <w:spacing w:before="50" w:after="50"/>
              <w:rPr>
                <w:szCs w:val="18"/>
                <w:lang w:val="en-NZ"/>
              </w:rPr>
            </w:pPr>
            <w:r w:rsidRPr="00BD16B4">
              <w:rPr>
                <w:szCs w:val="18"/>
                <w:lang w:val="en-NZ"/>
              </w:rPr>
              <w:t>Pacific</w:t>
            </w:r>
          </w:p>
        </w:tc>
        <w:tc>
          <w:tcPr>
            <w:tcW w:w="1077" w:type="dxa"/>
          </w:tcPr>
          <w:p w14:paraId="6B91A550" w14:textId="77777777" w:rsidR="00B71B4E" w:rsidRPr="00BD16B4" w:rsidRDefault="00B71B4E" w:rsidP="00F31129">
            <w:pPr>
              <w:pStyle w:val="TableText"/>
              <w:spacing w:before="50" w:after="50"/>
              <w:rPr>
                <w:color w:val="000000"/>
                <w:lang w:val="en-NZ"/>
              </w:rPr>
            </w:pPr>
            <w:r w:rsidRPr="00BD16B4">
              <w:rPr>
                <w:color w:val="000000"/>
                <w:lang w:val="en-NZ"/>
              </w:rPr>
              <w:t>Mitigation</w:t>
            </w:r>
          </w:p>
        </w:tc>
        <w:tc>
          <w:tcPr>
            <w:tcW w:w="2232" w:type="dxa"/>
          </w:tcPr>
          <w:p w14:paraId="4D7FE559" w14:textId="77777777" w:rsidR="00B71B4E" w:rsidRPr="00BD16B4" w:rsidRDefault="00B71B4E" w:rsidP="00F31129">
            <w:pPr>
              <w:pStyle w:val="TableText"/>
              <w:spacing w:before="50" w:after="50"/>
              <w:rPr>
                <w:color w:val="000000"/>
                <w:szCs w:val="18"/>
                <w:lang w:val="en-NZ"/>
              </w:rPr>
            </w:pPr>
            <w:r w:rsidRPr="00BD16B4">
              <w:rPr>
                <w:color w:val="000000"/>
                <w:szCs w:val="18"/>
                <w:lang w:val="en-NZ"/>
              </w:rPr>
              <w:t>Pacific Climate Change Conference</w:t>
            </w:r>
          </w:p>
        </w:tc>
        <w:tc>
          <w:tcPr>
            <w:tcW w:w="3145" w:type="dxa"/>
          </w:tcPr>
          <w:p w14:paraId="3E8E67C4" w14:textId="77777777" w:rsidR="00B71B4E" w:rsidRPr="00BD16B4" w:rsidRDefault="00B71B4E" w:rsidP="00F31129">
            <w:pPr>
              <w:pStyle w:val="TableText"/>
              <w:spacing w:before="50" w:after="50"/>
              <w:rPr>
                <w:lang w:val="en-NZ"/>
              </w:rPr>
            </w:pPr>
            <w:r w:rsidRPr="00BD16B4">
              <w:rPr>
                <w:lang w:val="en-NZ"/>
              </w:rPr>
              <w:t>Hosted an interactive session at the Pacific Climate Change Conference. This event offered an occasion to enhance dialogue and cooperation with Pacific countries. Twenty-two delegates from Pacific countries attended thanks to GRA’s financial support</w:t>
            </w:r>
          </w:p>
        </w:tc>
      </w:tr>
      <w:tr w:rsidR="00B71B4E" w:rsidRPr="00BD16B4" w14:paraId="54F8A356" w14:textId="77777777" w:rsidTr="00F31129">
        <w:tc>
          <w:tcPr>
            <w:tcW w:w="2325" w:type="dxa"/>
          </w:tcPr>
          <w:p w14:paraId="5564BACC" w14:textId="77777777" w:rsidR="00B71B4E" w:rsidRPr="00BD16B4" w:rsidRDefault="00B71B4E" w:rsidP="00F31129">
            <w:pPr>
              <w:pStyle w:val="TableText"/>
              <w:spacing w:before="50" w:after="50" w:line="220" w:lineRule="atLeast"/>
              <w:rPr>
                <w:szCs w:val="18"/>
                <w:lang w:val="en-NZ"/>
              </w:rPr>
            </w:pPr>
            <w:r w:rsidRPr="00BD16B4">
              <w:rPr>
                <w:szCs w:val="18"/>
                <w:lang w:val="en-NZ"/>
              </w:rPr>
              <w:t>Ethiopia, Ghana, Argentina, Eswatini, Senegal, Uruguay, Zimbabwe, Malawi, Tunisia, Paraguay, Mongolia, Sri Lanka, Egypt, Panama, Viet Nam, Ecuador, Cambodia</w:t>
            </w:r>
          </w:p>
        </w:tc>
        <w:tc>
          <w:tcPr>
            <w:tcW w:w="1077" w:type="dxa"/>
          </w:tcPr>
          <w:p w14:paraId="145F1362" w14:textId="77777777" w:rsidR="00B71B4E" w:rsidRPr="00BD16B4" w:rsidRDefault="00B71B4E" w:rsidP="00F31129">
            <w:pPr>
              <w:pStyle w:val="TableText"/>
              <w:spacing w:before="50" w:after="50" w:line="220" w:lineRule="atLeast"/>
              <w:rPr>
                <w:color w:val="000000"/>
                <w:lang w:val="en-NZ"/>
              </w:rPr>
            </w:pPr>
            <w:r w:rsidRPr="00BD16B4">
              <w:rPr>
                <w:color w:val="000000"/>
                <w:lang w:val="en-NZ"/>
              </w:rPr>
              <w:t>Mitigation</w:t>
            </w:r>
          </w:p>
        </w:tc>
        <w:tc>
          <w:tcPr>
            <w:tcW w:w="2232" w:type="dxa"/>
          </w:tcPr>
          <w:p w14:paraId="1E773FF7" w14:textId="77777777" w:rsidR="00B71B4E" w:rsidRPr="00BD16B4" w:rsidRDefault="00B71B4E" w:rsidP="00F31129">
            <w:pPr>
              <w:pStyle w:val="TableText"/>
              <w:spacing w:before="50" w:after="50" w:line="220" w:lineRule="atLeast"/>
              <w:rPr>
                <w:color w:val="000000"/>
                <w:szCs w:val="18"/>
                <w:lang w:val="en-NZ"/>
              </w:rPr>
            </w:pPr>
            <w:r w:rsidRPr="00BD16B4">
              <w:rPr>
                <w:color w:val="000000"/>
                <w:szCs w:val="18"/>
                <w:lang w:val="en-NZ"/>
              </w:rPr>
              <w:t>Financial Support</w:t>
            </w:r>
          </w:p>
        </w:tc>
        <w:tc>
          <w:tcPr>
            <w:tcW w:w="3145" w:type="dxa"/>
          </w:tcPr>
          <w:p w14:paraId="5FDDA465" w14:textId="77777777" w:rsidR="00B71B4E" w:rsidRPr="00BD16B4" w:rsidRDefault="00B71B4E" w:rsidP="00F31129">
            <w:pPr>
              <w:pStyle w:val="TableText"/>
              <w:spacing w:before="50" w:after="50" w:line="220" w:lineRule="atLeast"/>
              <w:rPr>
                <w:lang w:val="en-NZ"/>
              </w:rPr>
            </w:pPr>
            <w:r w:rsidRPr="00BD16B4">
              <w:rPr>
                <w:lang w:val="en-NZ"/>
              </w:rPr>
              <w:t>Provided financial support to GRA members from developing countries to attend a GRA council meeting and Climate Smart Conference</w:t>
            </w:r>
          </w:p>
        </w:tc>
      </w:tr>
      <w:tr w:rsidR="00B71B4E" w:rsidRPr="00BD16B4" w14:paraId="52513C94" w14:textId="77777777" w:rsidTr="00F31129">
        <w:tc>
          <w:tcPr>
            <w:tcW w:w="2325" w:type="dxa"/>
          </w:tcPr>
          <w:p w14:paraId="619F029E" w14:textId="77777777" w:rsidR="00B71B4E" w:rsidRPr="00BD16B4" w:rsidRDefault="00B71B4E" w:rsidP="00F31129">
            <w:pPr>
              <w:pStyle w:val="TableText"/>
              <w:spacing w:before="50" w:after="50"/>
              <w:rPr>
                <w:szCs w:val="18"/>
                <w:lang w:val="en-NZ"/>
              </w:rPr>
            </w:pPr>
            <w:r w:rsidRPr="00BD16B4">
              <w:rPr>
                <w:szCs w:val="18"/>
                <w:lang w:val="en-NZ"/>
              </w:rPr>
              <w:lastRenderedPageBreak/>
              <w:t>Peru, Namibia, Botswana, Bhutan, Senegal, Rwanda, Ecuador</w:t>
            </w:r>
          </w:p>
        </w:tc>
        <w:tc>
          <w:tcPr>
            <w:tcW w:w="1077" w:type="dxa"/>
          </w:tcPr>
          <w:p w14:paraId="2C344237" w14:textId="77777777" w:rsidR="00B71B4E" w:rsidRPr="00BD16B4" w:rsidRDefault="00B71B4E" w:rsidP="00F31129">
            <w:pPr>
              <w:pStyle w:val="TableText"/>
              <w:spacing w:before="50" w:after="50"/>
              <w:rPr>
                <w:color w:val="000000"/>
                <w:lang w:val="en-NZ"/>
              </w:rPr>
            </w:pPr>
            <w:r w:rsidRPr="00BD16B4">
              <w:rPr>
                <w:color w:val="000000"/>
                <w:lang w:val="en-NZ"/>
              </w:rPr>
              <w:t>Mitigation</w:t>
            </w:r>
          </w:p>
        </w:tc>
        <w:tc>
          <w:tcPr>
            <w:tcW w:w="2232" w:type="dxa"/>
          </w:tcPr>
          <w:p w14:paraId="6BDCF126" w14:textId="77777777" w:rsidR="00B71B4E" w:rsidRPr="00BD16B4" w:rsidRDefault="00B71B4E" w:rsidP="00F31129">
            <w:pPr>
              <w:pStyle w:val="TableText"/>
              <w:spacing w:before="50" w:after="50"/>
              <w:rPr>
                <w:color w:val="000000"/>
                <w:szCs w:val="18"/>
                <w:lang w:val="en-NZ"/>
              </w:rPr>
            </w:pPr>
            <w:r w:rsidRPr="00BD16B4">
              <w:rPr>
                <w:color w:val="000000"/>
                <w:szCs w:val="18"/>
                <w:lang w:val="en-NZ"/>
              </w:rPr>
              <w:t>Training Course Hosted by CIHEAM</w:t>
            </w:r>
          </w:p>
        </w:tc>
        <w:tc>
          <w:tcPr>
            <w:tcW w:w="3145" w:type="dxa"/>
          </w:tcPr>
          <w:p w14:paraId="161C2F5A" w14:textId="77777777" w:rsidR="00B71B4E" w:rsidRPr="00BD16B4" w:rsidRDefault="00B71B4E" w:rsidP="00F31129">
            <w:pPr>
              <w:pStyle w:val="TableText"/>
              <w:spacing w:before="50" w:after="50"/>
              <w:rPr>
                <w:lang w:val="en-NZ"/>
              </w:rPr>
            </w:pPr>
            <w:r w:rsidRPr="00BD16B4">
              <w:rPr>
                <w:lang w:val="en-NZ"/>
              </w:rPr>
              <w:t>Funding for participants to attend an advanced online course in GHG assessment and mitigation in agriculture</w:t>
            </w:r>
          </w:p>
        </w:tc>
      </w:tr>
      <w:tr w:rsidR="00B71B4E" w:rsidRPr="00BD16B4" w14:paraId="30AC74F9" w14:textId="77777777" w:rsidTr="00F31129">
        <w:tc>
          <w:tcPr>
            <w:tcW w:w="2325" w:type="dxa"/>
          </w:tcPr>
          <w:p w14:paraId="118DCC0A" w14:textId="77777777" w:rsidR="00B71B4E" w:rsidRPr="00BD16B4" w:rsidRDefault="00B71B4E" w:rsidP="00F31129">
            <w:pPr>
              <w:pStyle w:val="TableText"/>
              <w:spacing w:before="50" w:after="50"/>
              <w:rPr>
                <w:lang w:val="en-NZ"/>
              </w:rPr>
            </w:pPr>
            <w:r w:rsidRPr="00BD16B4">
              <w:rPr>
                <w:lang w:val="en-NZ"/>
              </w:rPr>
              <w:t>Nigeria, Ghana, Egypt, Turkey, Argentina, South Africa</w:t>
            </w:r>
          </w:p>
        </w:tc>
        <w:tc>
          <w:tcPr>
            <w:tcW w:w="1077" w:type="dxa"/>
          </w:tcPr>
          <w:p w14:paraId="07D9600C" w14:textId="77777777" w:rsidR="00B71B4E" w:rsidRPr="00BD16B4" w:rsidRDefault="00B71B4E" w:rsidP="00F31129">
            <w:pPr>
              <w:pStyle w:val="TableText"/>
              <w:spacing w:before="50" w:after="50"/>
              <w:rPr>
                <w:color w:val="000000"/>
                <w:lang w:val="en-NZ"/>
              </w:rPr>
            </w:pPr>
            <w:r w:rsidRPr="00BD16B4">
              <w:rPr>
                <w:color w:val="000000"/>
                <w:lang w:val="en-NZ"/>
              </w:rPr>
              <w:t>Mitigation</w:t>
            </w:r>
          </w:p>
        </w:tc>
        <w:tc>
          <w:tcPr>
            <w:tcW w:w="2232" w:type="dxa"/>
          </w:tcPr>
          <w:p w14:paraId="3946599E" w14:textId="77777777" w:rsidR="00B71B4E" w:rsidRPr="00BD16B4" w:rsidRDefault="00B71B4E" w:rsidP="00F31129">
            <w:pPr>
              <w:pStyle w:val="TableText"/>
              <w:spacing w:before="50" w:after="50"/>
              <w:rPr>
                <w:color w:val="000000"/>
                <w:szCs w:val="18"/>
                <w:lang w:val="en-NZ"/>
              </w:rPr>
            </w:pPr>
            <w:r w:rsidRPr="00BD16B4">
              <w:rPr>
                <w:color w:val="000000"/>
                <w:szCs w:val="18"/>
                <w:lang w:val="en-NZ"/>
              </w:rPr>
              <w:t>Training Course Hosted by CIHEAM</w:t>
            </w:r>
          </w:p>
        </w:tc>
        <w:tc>
          <w:tcPr>
            <w:tcW w:w="3145" w:type="dxa"/>
          </w:tcPr>
          <w:p w14:paraId="5AE8D126" w14:textId="77777777" w:rsidR="00B71B4E" w:rsidRPr="00BD16B4" w:rsidRDefault="00B71B4E" w:rsidP="00F31129">
            <w:pPr>
              <w:pStyle w:val="TableText"/>
              <w:spacing w:before="50" w:after="50"/>
              <w:rPr>
                <w:lang w:val="en-NZ"/>
              </w:rPr>
            </w:pPr>
            <w:r w:rsidRPr="00BD16B4">
              <w:rPr>
                <w:lang w:val="en-NZ"/>
              </w:rPr>
              <w:t>Funding for participants to attend an advanced online course in livestock and climate change (assessment of emissions, mitigation options and adaptation strategies)</w:t>
            </w:r>
          </w:p>
        </w:tc>
      </w:tr>
      <w:tr w:rsidR="00B71B4E" w:rsidRPr="00BD16B4" w14:paraId="1F341A59" w14:textId="77777777" w:rsidTr="00F31129">
        <w:tc>
          <w:tcPr>
            <w:tcW w:w="2325" w:type="dxa"/>
          </w:tcPr>
          <w:p w14:paraId="631049F3" w14:textId="77777777" w:rsidR="00B71B4E" w:rsidRPr="00BD16B4" w:rsidRDefault="00B71B4E" w:rsidP="00F31129">
            <w:pPr>
              <w:pStyle w:val="TableText"/>
              <w:spacing w:before="50" w:after="50"/>
              <w:rPr>
                <w:lang w:val="en-NZ"/>
              </w:rPr>
            </w:pPr>
            <w:r w:rsidRPr="00BD16B4">
              <w:rPr>
                <w:lang w:val="en-NZ"/>
              </w:rPr>
              <w:t>Uganda, Malawi, Mexico, Colombia, Uruguay, Indonesia</w:t>
            </w:r>
          </w:p>
        </w:tc>
        <w:tc>
          <w:tcPr>
            <w:tcW w:w="1077" w:type="dxa"/>
          </w:tcPr>
          <w:p w14:paraId="02F1D2C9" w14:textId="77777777" w:rsidR="00B71B4E" w:rsidRPr="00BD16B4" w:rsidRDefault="00B71B4E" w:rsidP="00F31129">
            <w:pPr>
              <w:pStyle w:val="TableText"/>
              <w:spacing w:before="50" w:after="50"/>
              <w:rPr>
                <w:color w:val="000000"/>
                <w:lang w:val="en-NZ"/>
              </w:rPr>
            </w:pPr>
            <w:r w:rsidRPr="00BD16B4">
              <w:rPr>
                <w:color w:val="000000"/>
                <w:lang w:val="en-NZ"/>
              </w:rPr>
              <w:t>Mitigation</w:t>
            </w:r>
          </w:p>
        </w:tc>
        <w:tc>
          <w:tcPr>
            <w:tcW w:w="2232" w:type="dxa"/>
          </w:tcPr>
          <w:p w14:paraId="123024E4" w14:textId="77777777" w:rsidR="00B71B4E" w:rsidRPr="00BD16B4" w:rsidRDefault="00B71B4E" w:rsidP="00F31129">
            <w:pPr>
              <w:pStyle w:val="TableText"/>
              <w:spacing w:before="50" w:after="50"/>
              <w:rPr>
                <w:color w:val="000000"/>
                <w:szCs w:val="18"/>
                <w:lang w:val="en-NZ"/>
              </w:rPr>
            </w:pPr>
            <w:r w:rsidRPr="00BD16B4">
              <w:rPr>
                <w:color w:val="000000"/>
                <w:szCs w:val="18"/>
                <w:lang w:val="en-NZ"/>
              </w:rPr>
              <w:t>Inventory Training</w:t>
            </w:r>
          </w:p>
        </w:tc>
        <w:tc>
          <w:tcPr>
            <w:tcW w:w="3145" w:type="dxa"/>
          </w:tcPr>
          <w:p w14:paraId="5C03F753" w14:textId="77777777" w:rsidR="00B71B4E" w:rsidRPr="00BD16B4" w:rsidRDefault="00B71B4E" w:rsidP="00F31129">
            <w:pPr>
              <w:pStyle w:val="TableText"/>
              <w:spacing w:before="50" w:after="50"/>
              <w:rPr>
                <w:lang w:val="en-NZ"/>
              </w:rPr>
            </w:pPr>
            <w:r w:rsidRPr="00BD16B4">
              <w:rPr>
                <w:lang w:val="en-NZ"/>
              </w:rPr>
              <w:t>Training workshop for GHG inventory experts in developing countries</w:t>
            </w:r>
          </w:p>
        </w:tc>
      </w:tr>
      <w:tr w:rsidR="00B71B4E" w:rsidRPr="00BD16B4" w14:paraId="70AB987C" w14:textId="77777777" w:rsidTr="00F31129">
        <w:tc>
          <w:tcPr>
            <w:tcW w:w="2325" w:type="dxa"/>
          </w:tcPr>
          <w:p w14:paraId="2CE39117" w14:textId="77777777" w:rsidR="00B71B4E" w:rsidRPr="00BD16B4" w:rsidRDefault="00B71B4E" w:rsidP="00F31129">
            <w:pPr>
              <w:pStyle w:val="TableText"/>
              <w:spacing w:before="50" w:after="50"/>
              <w:rPr>
                <w:lang w:val="en-NZ"/>
              </w:rPr>
            </w:pPr>
            <w:r w:rsidRPr="00BD16B4">
              <w:rPr>
                <w:lang w:val="en-NZ"/>
              </w:rPr>
              <w:t>Benin, Burkina Faso, Cameroon, Central African Republic, Chad, Côte d’Ivoire, Gambia, Ghana, Guinea, Liberia, Mali, Mauritania, Niger, Nigeria, Senegal, Togo</w:t>
            </w:r>
          </w:p>
        </w:tc>
        <w:tc>
          <w:tcPr>
            <w:tcW w:w="1077" w:type="dxa"/>
          </w:tcPr>
          <w:p w14:paraId="3141E125" w14:textId="77777777" w:rsidR="00B71B4E" w:rsidRPr="00BD16B4" w:rsidRDefault="00B71B4E" w:rsidP="00F31129">
            <w:pPr>
              <w:pStyle w:val="TableText"/>
              <w:spacing w:before="50" w:after="50"/>
              <w:rPr>
                <w:color w:val="000000"/>
                <w:lang w:val="en-NZ"/>
              </w:rPr>
            </w:pPr>
            <w:r w:rsidRPr="00BD16B4">
              <w:rPr>
                <w:color w:val="000000"/>
                <w:lang w:val="en-NZ"/>
              </w:rPr>
              <w:t>Mitigation</w:t>
            </w:r>
          </w:p>
        </w:tc>
        <w:tc>
          <w:tcPr>
            <w:tcW w:w="2232" w:type="dxa"/>
          </w:tcPr>
          <w:p w14:paraId="47670E59" w14:textId="77777777" w:rsidR="00B71B4E" w:rsidRPr="00BD16B4" w:rsidRDefault="00B71B4E" w:rsidP="00F31129">
            <w:pPr>
              <w:pStyle w:val="TableText"/>
              <w:spacing w:before="50" w:after="50"/>
              <w:rPr>
                <w:color w:val="000000"/>
                <w:szCs w:val="18"/>
                <w:lang w:val="en-NZ"/>
              </w:rPr>
            </w:pPr>
            <w:r w:rsidRPr="00BD16B4">
              <w:rPr>
                <w:color w:val="000000"/>
                <w:szCs w:val="18"/>
                <w:lang w:val="en-NZ"/>
              </w:rPr>
              <w:t>Regional and Technical Engagement in Africa</w:t>
            </w:r>
          </w:p>
        </w:tc>
        <w:tc>
          <w:tcPr>
            <w:tcW w:w="3145" w:type="dxa"/>
          </w:tcPr>
          <w:p w14:paraId="579E583A" w14:textId="77777777" w:rsidR="00B71B4E" w:rsidRPr="00BD16B4" w:rsidRDefault="00B71B4E" w:rsidP="00F31129">
            <w:pPr>
              <w:pStyle w:val="TableText"/>
              <w:spacing w:before="50" w:after="50"/>
              <w:rPr>
                <w:lang w:val="en-NZ"/>
              </w:rPr>
            </w:pPr>
            <w:r w:rsidRPr="00BD16B4">
              <w:rPr>
                <w:lang w:val="en-NZ"/>
              </w:rPr>
              <w:t>Developing technical knowledge and engagement in African countries</w:t>
            </w:r>
          </w:p>
        </w:tc>
      </w:tr>
      <w:tr w:rsidR="00B71B4E" w:rsidRPr="00BD16B4" w14:paraId="40BBA078" w14:textId="77777777" w:rsidTr="00F31129">
        <w:tc>
          <w:tcPr>
            <w:tcW w:w="2325" w:type="dxa"/>
          </w:tcPr>
          <w:p w14:paraId="0205D113" w14:textId="77777777" w:rsidR="00B71B4E" w:rsidRPr="00BD16B4" w:rsidRDefault="00B71B4E" w:rsidP="00F31129">
            <w:pPr>
              <w:pStyle w:val="TableText"/>
              <w:spacing w:before="50" w:after="50"/>
              <w:rPr>
                <w:lang w:val="en-NZ"/>
              </w:rPr>
            </w:pPr>
            <w:r w:rsidRPr="00BD16B4">
              <w:rPr>
                <w:lang w:val="en-NZ"/>
              </w:rPr>
              <w:t>Kenya, Indonesia, Costa Rica</w:t>
            </w:r>
          </w:p>
        </w:tc>
        <w:tc>
          <w:tcPr>
            <w:tcW w:w="1077" w:type="dxa"/>
          </w:tcPr>
          <w:p w14:paraId="34327B7A" w14:textId="77777777" w:rsidR="00B71B4E" w:rsidRPr="00BD16B4" w:rsidRDefault="00B71B4E" w:rsidP="00F31129">
            <w:pPr>
              <w:pStyle w:val="TableText"/>
              <w:spacing w:before="50" w:after="50"/>
              <w:rPr>
                <w:color w:val="000000"/>
                <w:lang w:val="en-NZ"/>
              </w:rPr>
            </w:pPr>
            <w:r w:rsidRPr="00BD16B4">
              <w:rPr>
                <w:color w:val="000000"/>
                <w:lang w:val="en-NZ"/>
              </w:rPr>
              <w:t>Mitigation</w:t>
            </w:r>
          </w:p>
        </w:tc>
        <w:tc>
          <w:tcPr>
            <w:tcW w:w="2232" w:type="dxa"/>
          </w:tcPr>
          <w:p w14:paraId="0FB7CC4B" w14:textId="77777777" w:rsidR="00B71B4E" w:rsidRPr="00BD16B4" w:rsidRDefault="00B71B4E" w:rsidP="00F31129">
            <w:pPr>
              <w:pStyle w:val="TableText"/>
              <w:spacing w:before="50" w:after="50"/>
              <w:rPr>
                <w:color w:val="000000"/>
                <w:szCs w:val="18"/>
                <w:lang w:val="en-NZ"/>
              </w:rPr>
            </w:pPr>
            <w:r w:rsidRPr="00BD16B4">
              <w:rPr>
                <w:color w:val="000000"/>
                <w:szCs w:val="18"/>
                <w:lang w:val="en-NZ"/>
              </w:rPr>
              <w:t>The Role of Modelling in National Estimation of Livestock Emissions</w:t>
            </w:r>
          </w:p>
        </w:tc>
        <w:tc>
          <w:tcPr>
            <w:tcW w:w="3145" w:type="dxa"/>
          </w:tcPr>
          <w:p w14:paraId="192522FA" w14:textId="77777777" w:rsidR="00B71B4E" w:rsidRPr="00BD16B4" w:rsidRDefault="00B71B4E" w:rsidP="00F31129">
            <w:pPr>
              <w:pStyle w:val="TableText"/>
              <w:spacing w:before="50" w:after="50"/>
              <w:rPr>
                <w:lang w:val="en-NZ"/>
              </w:rPr>
            </w:pPr>
            <w:r w:rsidRPr="00BD16B4">
              <w:rPr>
                <w:lang w:val="en-NZ"/>
              </w:rPr>
              <w:t>Training workshop to improve the estimation and reporting of livestock GHG emissions</w:t>
            </w:r>
          </w:p>
        </w:tc>
      </w:tr>
      <w:tr w:rsidR="00B71B4E" w:rsidRPr="00BD16B4" w14:paraId="7C3DEE13" w14:textId="77777777" w:rsidTr="00F31129">
        <w:tc>
          <w:tcPr>
            <w:tcW w:w="2325" w:type="dxa"/>
          </w:tcPr>
          <w:p w14:paraId="7907F8A7" w14:textId="77777777" w:rsidR="00B71B4E" w:rsidRPr="00BD16B4" w:rsidRDefault="00B71B4E" w:rsidP="00F31129">
            <w:pPr>
              <w:pStyle w:val="TableText"/>
              <w:spacing w:before="50" w:after="50"/>
              <w:rPr>
                <w:lang w:val="en-NZ"/>
              </w:rPr>
            </w:pPr>
            <w:r w:rsidRPr="00BD16B4">
              <w:rPr>
                <w:lang w:val="en-NZ"/>
              </w:rPr>
              <w:t>African and ASEAN countries</w:t>
            </w:r>
          </w:p>
        </w:tc>
        <w:tc>
          <w:tcPr>
            <w:tcW w:w="1077" w:type="dxa"/>
          </w:tcPr>
          <w:p w14:paraId="41DB0F6F" w14:textId="77777777" w:rsidR="00B71B4E" w:rsidRPr="00BD16B4" w:rsidRDefault="00B71B4E" w:rsidP="00F31129">
            <w:pPr>
              <w:pStyle w:val="TableText"/>
              <w:spacing w:before="50" w:after="50"/>
              <w:rPr>
                <w:color w:val="000000"/>
                <w:lang w:val="en-NZ"/>
              </w:rPr>
            </w:pPr>
            <w:r w:rsidRPr="00BD16B4">
              <w:rPr>
                <w:color w:val="000000"/>
                <w:lang w:val="en-NZ"/>
              </w:rPr>
              <w:t>Mitigation</w:t>
            </w:r>
          </w:p>
        </w:tc>
        <w:tc>
          <w:tcPr>
            <w:tcW w:w="2232" w:type="dxa"/>
          </w:tcPr>
          <w:p w14:paraId="0BEBFD67" w14:textId="77777777" w:rsidR="00B71B4E" w:rsidRPr="00BD16B4" w:rsidRDefault="00B71B4E" w:rsidP="00F31129">
            <w:pPr>
              <w:pStyle w:val="TableText"/>
              <w:spacing w:before="50" w:after="50"/>
              <w:rPr>
                <w:color w:val="000000"/>
                <w:szCs w:val="18"/>
                <w:lang w:val="en-NZ"/>
              </w:rPr>
            </w:pPr>
            <w:r w:rsidRPr="00BD16B4">
              <w:rPr>
                <w:color w:val="000000"/>
                <w:szCs w:val="18"/>
                <w:lang w:val="en-NZ"/>
              </w:rPr>
              <w:t>Development of Online Resources on Methodological and Emissions Factor Improvements to Countries’ Agricultural GHG Inventories</w:t>
            </w:r>
          </w:p>
        </w:tc>
        <w:tc>
          <w:tcPr>
            <w:tcW w:w="3145" w:type="dxa"/>
          </w:tcPr>
          <w:p w14:paraId="7765175B" w14:textId="77777777" w:rsidR="00B71B4E" w:rsidRPr="00BD16B4" w:rsidRDefault="00B71B4E" w:rsidP="00F31129">
            <w:pPr>
              <w:pStyle w:val="TableText"/>
              <w:spacing w:before="50" w:after="50"/>
              <w:rPr>
                <w:color w:val="000000"/>
                <w:szCs w:val="18"/>
                <w:lang w:val="en-NZ"/>
              </w:rPr>
            </w:pPr>
            <w:r w:rsidRPr="00BD16B4">
              <w:rPr>
                <w:color w:val="000000"/>
                <w:szCs w:val="18"/>
                <w:lang w:val="en-NZ"/>
              </w:rPr>
              <w:t>Sharing practices, allowing compilers to improve current methodologies for NDC report</w:t>
            </w:r>
          </w:p>
        </w:tc>
      </w:tr>
    </w:tbl>
    <w:p w14:paraId="6EE33E05" w14:textId="77777777" w:rsidR="00B71B4E" w:rsidRPr="00BD16B4" w:rsidRDefault="00B71B4E" w:rsidP="00120409">
      <w:pPr>
        <w:pStyle w:val="Note"/>
      </w:pPr>
      <w:r w:rsidRPr="00BD16B4">
        <w:rPr>
          <w:b/>
        </w:rPr>
        <w:t>Note:</w:t>
      </w:r>
      <w:r w:rsidRPr="00BD16B4">
        <w:t xml:space="preserve"> ASEAN = Association of Southeast Asian Nations; CIHEAM = </w:t>
      </w:r>
      <w:r w:rsidRPr="00BD16B4">
        <w:rPr>
          <w:color w:val="000000"/>
          <w:szCs w:val="18"/>
        </w:rPr>
        <w:t>International Centre for Advanced Mediterranean Agronomic Studies</w:t>
      </w:r>
      <w:r w:rsidRPr="00BD16B4">
        <w:t>; GHG = greenhouse gas; GRA = Global Research Alliance on Agricultural Greenhouse Gases.</w:t>
      </w:r>
    </w:p>
    <w:p w14:paraId="1ECF2E0B" w14:textId="77777777" w:rsidR="00B71B4E" w:rsidRPr="00BD16B4" w:rsidRDefault="00B71B4E" w:rsidP="00B71B4E">
      <w:pPr>
        <w:pStyle w:val="BodyText"/>
      </w:pPr>
    </w:p>
    <w:p w14:paraId="42164331" w14:textId="77777777" w:rsidR="004F6B50" w:rsidRPr="00BD16B4" w:rsidRDefault="004F6B50" w:rsidP="003F0361">
      <w:pPr>
        <w:pStyle w:val="BodyText"/>
        <w:spacing w:before="0"/>
        <w:sectPr w:rsidR="004F6B50" w:rsidRPr="00BD16B4" w:rsidSect="00797F67">
          <w:footerReference w:type="even" r:id="rId124"/>
          <w:footerReference w:type="default" r:id="rId125"/>
          <w:pgSz w:w="11907" w:h="16840" w:code="9"/>
          <w:pgMar w:top="1134" w:right="1701" w:bottom="1134" w:left="1701" w:header="567" w:footer="567" w:gutter="0"/>
          <w:cols w:space="720"/>
          <w:docGrid w:linePitch="299"/>
        </w:sectPr>
      </w:pPr>
    </w:p>
    <w:p w14:paraId="64B57919" w14:textId="77777777" w:rsidR="007420E6" w:rsidRPr="00BD16B4" w:rsidRDefault="007420E6" w:rsidP="007420E6">
      <w:pPr>
        <w:pStyle w:val="Heading1"/>
      </w:pPr>
      <w:bookmarkStart w:id="393" w:name="_Toc121774661"/>
      <w:bookmarkStart w:id="394" w:name="_Toc497392887"/>
      <w:bookmarkStart w:id="395" w:name="_Toc497740299"/>
      <w:bookmarkStart w:id="396" w:name="_Toc498516757"/>
      <w:bookmarkStart w:id="397" w:name="_Toc500796168"/>
      <w:r w:rsidRPr="00BD16B4">
        <w:lastRenderedPageBreak/>
        <w:t>8</w:t>
      </w:r>
      <w:r w:rsidRPr="00BD16B4">
        <w:tab/>
        <w:t>Research and systematic observations</w:t>
      </w:r>
      <w:bookmarkEnd w:id="393"/>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7420E6" w:rsidRPr="00BD16B4" w14:paraId="6A29D686" w14:textId="77777777" w:rsidTr="00856525">
        <w:tc>
          <w:tcPr>
            <w:tcW w:w="0" w:type="auto"/>
            <w:shd w:val="clear" w:color="auto" w:fill="D2DDE1" w:themeFill="background2"/>
          </w:tcPr>
          <w:p w14:paraId="20F39C4F" w14:textId="77777777" w:rsidR="007420E6" w:rsidRPr="00BD16B4" w:rsidRDefault="007420E6" w:rsidP="004A205F">
            <w:pPr>
              <w:pStyle w:val="Boxheading"/>
              <w:spacing w:after="120"/>
            </w:pPr>
            <w:bookmarkStart w:id="398" w:name="_Hlk87629146"/>
            <w:r w:rsidRPr="00BD16B4">
              <w:t xml:space="preserve">Key developments since the </w:t>
            </w:r>
            <w:r w:rsidRPr="00BD16B4">
              <w:rPr>
                <w:i/>
                <w:iCs/>
              </w:rPr>
              <w:t>Seventh National Communication</w:t>
            </w:r>
          </w:p>
          <w:p w14:paraId="3CC04F93" w14:textId="77777777" w:rsidR="007420E6" w:rsidRPr="00BD16B4" w:rsidRDefault="007420E6" w:rsidP="004A205F">
            <w:pPr>
              <w:pStyle w:val="Boxbullet"/>
            </w:pPr>
            <w:r w:rsidRPr="00BD16B4">
              <w:t xml:space="preserve">Aotearoa New Zealand’s first emissions reduction plan and national adaptation plan have been released, both identifying key priorities and gaps in mitigation and adaptation research. </w:t>
            </w:r>
          </w:p>
          <w:p w14:paraId="38B9A22E" w14:textId="77777777" w:rsidR="007420E6" w:rsidRPr="00BD16B4" w:rsidRDefault="007420E6" w:rsidP="004A205F">
            <w:pPr>
              <w:pStyle w:val="Boxbullet"/>
            </w:pPr>
            <w:r w:rsidRPr="00BD16B4">
              <w:t xml:space="preserve">The New Zealand Government announced the establishment of a new Centre for Climate Action on Agricultural Emissions. </w:t>
            </w:r>
          </w:p>
          <w:p w14:paraId="448F8824" w14:textId="77777777" w:rsidR="007420E6" w:rsidRPr="00BD16B4" w:rsidRDefault="007420E6" w:rsidP="004A205F">
            <w:pPr>
              <w:pStyle w:val="Boxbullet"/>
            </w:pPr>
            <w:r w:rsidRPr="00BD16B4">
              <w:rPr>
                <w:lang w:eastAsia="en-GB"/>
              </w:rPr>
              <w:t>The Government is in the process of considering the future of the research, science and innovation system through the programme Te Ara Paerangi – Future Pathways in areas including climate change</w:t>
            </w:r>
            <w:r w:rsidRPr="00BD16B4">
              <w:t>.</w:t>
            </w:r>
          </w:p>
          <w:p w14:paraId="5166A737" w14:textId="77777777" w:rsidR="007420E6" w:rsidRPr="00BD16B4" w:rsidRDefault="007420E6" w:rsidP="004A205F">
            <w:pPr>
              <w:pStyle w:val="Boxbullet"/>
              <w:spacing w:after="180"/>
            </w:pPr>
            <w:r w:rsidRPr="00BD16B4">
              <w:t>Progress continues on climate change research through the National Science Challenges.</w:t>
            </w:r>
          </w:p>
        </w:tc>
      </w:tr>
    </w:tbl>
    <w:p w14:paraId="6217C1F2" w14:textId="77777777" w:rsidR="007420E6" w:rsidRPr="00BD16B4" w:rsidRDefault="007420E6" w:rsidP="007420E6">
      <w:pPr>
        <w:pStyle w:val="Heading2"/>
        <w:spacing w:before="440"/>
      </w:pPr>
      <w:bookmarkStart w:id="399" w:name="_Toc121774662"/>
      <w:bookmarkEnd w:id="398"/>
      <w:r w:rsidRPr="00BD16B4">
        <w:t>8.1</w:t>
      </w:r>
      <w:r w:rsidRPr="00BD16B4">
        <w:tab/>
        <w:t>Introduction</w:t>
      </w:r>
      <w:bookmarkEnd w:id="399"/>
    </w:p>
    <w:p w14:paraId="44785700" w14:textId="77777777" w:rsidR="007420E6" w:rsidRPr="00BD16B4" w:rsidRDefault="007420E6" w:rsidP="007420E6">
      <w:pPr>
        <w:pStyle w:val="BodyText"/>
        <w:rPr>
          <w:lang w:eastAsia="en-GB"/>
        </w:rPr>
      </w:pPr>
      <w:r w:rsidRPr="00BD16B4">
        <w:rPr>
          <w:lang w:eastAsia="en-GB"/>
        </w:rPr>
        <w:t>Aotearoa New Zealand’s climate change research needs are dictated by its geographical situation, unique climatic, biophysical features, population distribution and economic activities. These are described in detail in chapter 2.</w:t>
      </w:r>
    </w:p>
    <w:p w14:paraId="57AE7F07" w14:textId="77777777" w:rsidR="007420E6" w:rsidRPr="00BD16B4" w:rsidRDefault="007420E6" w:rsidP="007420E6">
      <w:pPr>
        <w:pStyle w:val="BodyText"/>
        <w:rPr>
          <w:lang w:eastAsia="en-GB"/>
        </w:rPr>
      </w:pPr>
      <w:r w:rsidRPr="00BD16B4">
        <w:rPr>
          <w:lang w:eastAsia="en-GB"/>
        </w:rPr>
        <w:t xml:space="preserve">The country spans a range of latitudes and altitudes, with climatic zones ranging from subtropical to subantarctic; its east and west coasts also differ significantly. Research therefore has to address a wide set of climate phenomena, ranging from tropical cyclones to the behaviour of Antarctic ice, producing regional climate change projections and determining the likely effects of climate change on diverse ecosystems. </w:t>
      </w:r>
    </w:p>
    <w:p w14:paraId="5C4C1C30" w14:textId="77777777" w:rsidR="007420E6" w:rsidRPr="00BD16B4" w:rsidRDefault="007420E6" w:rsidP="007420E6">
      <w:pPr>
        <w:pStyle w:val="BodyText"/>
        <w:rPr>
          <w:lang w:eastAsia="en-GB"/>
        </w:rPr>
      </w:pPr>
      <w:r w:rsidRPr="00BD16B4">
        <w:rPr>
          <w:lang w:eastAsia="en-GB"/>
        </w:rPr>
        <w:t xml:space="preserve">Mitigation and adaptation research must cover equally diverse issues. These include transport in a country with a small population base but long travel distances; substantial agricultural and forestry activities; energy demand and supply; and the sustainable development of growing urban settlements, often at or near coastal areas. The dependence of New Zealand’s economy on primary sector exports and international trade also means mitigation options need to be compatible with the commercial and safety requirements and standards of international markets. Just under half of New Zealand’s greenhouse gas emissions come from agriculture, particularly pastoral agriculture, which also makes a significant contribution to the New Zealand economy. Consequently, New Zealand has a strong focus on research to mitigate agricultural emissions and understand the climate change impacts and options for agriculture. </w:t>
      </w:r>
    </w:p>
    <w:p w14:paraId="6EE245CF" w14:textId="77777777" w:rsidR="007420E6" w:rsidRPr="00BD16B4" w:rsidRDefault="007420E6" w:rsidP="007420E6">
      <w:pPr>
        <w:pStyle w:val="BodyText"/>
        <w:rPr>
          <w:lang w:eastAsia="en-GB"/>
        </w:rPr>
      </w:pPr>
      <w:r w:rsidRPr="00BD16B4">
        <w:rPr>
          <w:lang w:eastAsia="en-GB"/>
        </w:rPr>
        <w:t xml:space="preserve">The strategic directions and goals for research in New Zealand are outlined by the New Zealand Government in its </w:t>
      </w:r>
      <w:r w:rsidRPr="00BD16B4">
        <w:rPr>
          <w:i/>
          <w:iCs/>
          <w:lang w:eastAsia="en-GB"/>
        </w:rPr>
        <w:t>National Statement of Science Investment 2015–2025</w:t>
      </w:r>
      <w:r w:rsidRPr="00BD16B4">
        <w:rPr>
          <w:lang w:eastAsia="en-GB"/>
        </w:rPr>
        <w:t>.</w:t>
      </w:r>
      <w:r w:rsidRPr="00BD16B4">
        <w:rPr>
          <w:rStyle w:val="FootnoteReference"/>
          <w:lang w:eastAsia="en-GB"/>
        </w:rPr>
        <w:footnoteReference w:id="340"/>
      </w:r>
      <w:r w:rsidRPr="00BD16B4">
        <w:rPr>
          <w:lang w:eastAsia="en-GB"/>
        </w:rPr>
        <w:t xml:space="preserve"> New Zealand’s first emissions reduction plan and national adaptation plan have been released, both identifying key priorities and gaps in mitigation and adaptation research.</w:t>
      </w:r>
    </w:p>
    <w:p w14:paraId="799D175F" w14:textId="77777777" w:rsidR="007420E6" w:rsidRPr="00BD16B4" w:rsidRDefault="007420E6" w:rsidP="007420E6">
      <w:pPr>
        <w:pStyle w:val="BodyText"/>
        <w:rPr>
          <w:lang w:eastAsia="en-GB"/>
        </w:rPr>
      </w:pPr>
      <w:r w:rsidRPr="00BD16B4">
        <w:rPr>
          <w:lang w:eastAsia="en-GB"/>
        </w:rPr>
        <w:lastRenderedPageBreak/>
        <w:t xml:space="preserve">New Zealand’s </w:t>
      </w:r>
      <w:r w:rsidRPr="00BD16B4">
        <w:t xml:space="preserve">National Science Challenges have a strong focus on climate research. These are designed to take a strategic approach to the Government’s science investment by targeting a series of goals that, if achieved, will have major and enduring benefits for New Zealand. </w:t>
      </w:r>
    </w:p>
    <w:p w14:paraId="1A969D69" w14:textId="77777777" w:rsidR="007420E6" w:rsidRPr="00BD16B4" w:rsidRDefault="007420E6" w:rsidP="007420E6">
      <w:pPr>
        <w:pStyle w:val="BodyText"/>
        <w:rPr>
          <w:lang w:eastAsia="en-GB"/>
        </w:rPr>
      </w:pPr>
      <w:r w:rsidRPr="00BD16B4">
        <w:rPr>
          <w:lang w:eastAsia="en-GB"/>
        </w:rPr>
        <w:t xml:space="preserve">New Zealand has continued to support and promote collaboration in research and systematic observations on climate change, as required by Article 4 and Article 5 of the </w:t>
      </w:r>
      <w:r w:rsidRPr="00BD16B4">
        <w:t>United Nations Framework Convention on Climate Change</w:t>
      </w:r>
      <w:r w:rsidRPr="00BD16B4">
        <w:rPr>
          <w:lang w:eastAsia="en-GB"/>
        </w:rPr>
        <w:t xml:space="preserve"> (UNFCCC). </w:t>
      </w:r>
      <w:r w:rsidRPr="00BD16B4">
        <w:t>This</w:t>
      </w:r>
      <w:r w:rsidRPr="00BD16B4">
        <w:rPr>
          <w:lang w:eastAsia="en-GB"/>
        </w:rPr>
        <w:t xml:space="preserve"> is complemented by substantial expenditure from the private sector, which matches government funding in some research consortia, and from local government, particularly on climate impacts. </w:t>
      </w:r>
    </w:p>
    <w:p w14:paraId="1F218F67" w14:textId="77777777" w:rsidR="007420E6" w:rsidRPr="00BD16B4" w:rsidRDefault="007420E6" w:rsidP="007420E6">
      <w:pPr>
        <w:pStyle w:val="BodyText"/>
        <w:rPr>
          <w:lang w:eastAsia="en-GB"/>
        </w:rPr>
      </w:pPr>
      <w:r w:rsidRPr="00BD16B4">
        <w:rPr>
          <w:lang w:eastAsia="en-GB"/>
        </w:rPr>
        <w:t xml:space="preserve">New Zealand continues to collaborate internationally on scientific research. It contributes personnel and funding to support the work of the </w:t>
      </w:r>
      <w:r w:rsidRPr="00BD16B4">
        <w:rPr>
          <w:rFonts w:eastAsia="Calibri"/>
        </w:rPr>
        <w:t>Intergovernmental Panel on Climate Change</w:t>
      </w:r>
      <w:r w:rsidRPr="00BD16B4">
        <w:rPr>
          <w:lang w:eastAsia="en-GB"/>
        </w:rPr>
        <w:t xml:space="preserve"> (IPCC). This includes participating in the production of its reports and updating of methodologies for the estimation of emissions and removals of greenhouse gases and other climate forcers. New Zealand researchers participate in international research and observation programmes of the World Meteorological Organization (WMO); the World Climate Research Programme; the </w:t>
      </w:r>
      <w:r w:rsidRPr="00BD16B4">
        <w:rPr>
          <w:rFonts w:cs="Calibri"/>
        </w:rPr>
        <w:t>Global Climate Observing System</w:t>
      </w:r>
      <w:r w:rsidRPr="00BD16B4">
        <w:rPr>
          <w:lang w:eastAsia="en-GB"/>
        </w:rPr>
        <w:t xml:space="preserve"> (GCOS) and its Pacific component (PI-GCOS); the Integrated Marine Observing System; the Southern Ocean Observing System; the Scientific Committee on Antarctic Research; Future Earth; and the Asia–Pacific Network for Global Change Research. </w:t>
      </w:r>
    </w:p>
    <w:p w14:paraId="6587161E" w14:textId="77777777" w:rsidR="007420E6" w:rsidRPr="00BD16B4" w:rsidRDefault="007420E6" w:rsidP="007420E6">
      <w:pPr>
        <w:pStyle w:val="Heading2"/>
      </w:pPr>
      <w:bookmarkStart w:id="400" w:name="_Toc121774663"/>
      <w:r w:rsidRPr="00BD16B4">
        <w:t>8.2</w:t>
      </w:r>
      <w:r w:rsidRPr="00BD16B4">
        <w:tab/>
        <w:t>Research and systematic observations: policy and funding</w:t>
      </w:r>
      <w:bookmarkEnd w:id="400"/>
    </w:p>
    <w:p w14:paraId="0A68637B" w14:textId="77777777" w:rsidR="007420E6" w:rsidRPr="00BD16B4" w:rsidRDefault="007420E6" w:rsidP="007420E6">
      <w:pPr>
        <w:pStyle w:val="Heading3"/>
        <w:spacing w:before="240"/>
      </w:pPr>
      <w:r w:rsidRPr="00BD16B4">
        <w:t>8.2.1</w:t>
      </w:r>
      <w:r w:rsidRPr="00BD16B4">
        <w:tab/>
        <w:t xml:space="preserve">Strategy for research and systematic observations </w:t>
      </w:r>
    </w:p>
    <w:p w14:paraId="61BD0C58" w14:textId="77777777" w:rsidR="007420E6" w:rsidRPr="00BD16B4" w:rsidRDefault="007420E6" w:rsidP="007420E6">
      <w:pPr>
        <w:pStyle w:val="BodyText"/>
        <w:rPr>
          <w:lang w:eastAsia="en-GB"/>
        </w:rPr>
      </w:pPr>
      <w:r w:rsidRPr="00BD16B4">
        <w:rPr>
          <w:lang w:eastAsia="en-GB"/>
        </w:rPr>
        <w:t xml:space="preserve">The New Zealand Government supports various climate research and observations to ensure core national needs are addressed. It also aims to maintain and develop international collaboration, especially in areas of national research excellence. </w:t>
      </w:r>
    </w:p>
    <w:p w14:paraId="2C8F81AF" w14:textId="77777777" w:rsidR="007420E6" w:rsidRPr="00BD16B4" w:rsidRDefault="007420E6" w:rsidP="004E1B8C">
      <w:pPr>
        <w:pStyle w:val="Heading4"/>
      </w:pPr>
      <w:r w:rsidRPr="00BD16B4">
        <w:t>Research funding agencies</w:t>
      </w:r>
    </w:p>
    <w:p w14:paraId="186ED7C4" w14:textId="77777777" w:rsidR="007420E6" w:rsidRPr="00BD16B4" w:rsidRDefault="007420E6" w:rsidP="007420E6">
      <w:pPr>
        <w:pStyle w:val="BodyText"/>
        <w:rPr>
          <w:lang w:eastAsia="en-GB"/>
        </w:rPr>
      </w:pPr>
      <w:r w:rsidRPr="00BD16B4">
        <w:rPr>
          <w:lang w:eastAsia="en-GB"/>
        </w:rPr>
        <w:t>Central government programmes provide most of the funding for climate change research, with additional contributions from the private sector and local government. Government-funded research ranges from fundamental and underpinning research to applied and operational research, including the development of specific tools and technologies for both mitigation of and adaptation to climate change. The different funding mechanisms are explained in more detail below.</w:t>
      </w:r>
    </w:p>
    <w:p w14:paraId="6F582EBA" w14:textId="77777777" w:rsidR="007420E6" w:rsidRPr="00BD16B4" w:rsidRDefault="007420E6" w:rsidP="007420E6">
      <w:pPr>
        <w:pStyle w:val="BodyText"/>
        <w:rPr>
          <w:lang w:eastAsia="en-GB"/>
        </w:rPr>
      </w:pPr>
      <w:r w:rsidRPr="00BD16B4">
        <w:rPr>
          <w:lang w:eastAsia="en-GB"/>
        </w:rPr>
        <w:t>The largest proportion of the Government’s research investment is made through the Labour, Science and Enterprise Group within the Ministry of Business, Innovation and Employment (MBIE). The Ministry for Primary Industries (MPI) is also a major provider of funding for research relevant to the land-based primary sector and provides some funding for research on the marine environment. The Ministry for the Environment, which has overall responsibility for climate change policy in Aotearoa New Zealand, works closely with other government departments, scientists and science organisations to monitor and review the adequacy of the climate change research portfolio to meet national needs.</w:t>
      </w:r>
    </w:p>
    <w:p w14:paraId="25057C13" w14:textId="77777777" w:rsidR="007420E6" w:rsidRPr="00BD16B4" w:rsidRDefault="007420E6" w:rsidP="007420E6">
      <w:pPr>
        <w:pStyle w:val="BodyText"/>
        <w:rPr>
          <w:lang w:eastAsia="en-GB"/>
        </w:rPr>
      </w:pPr>
      <w:r w:rsidRPr="00BD16B4">
        <w:t xml:space="preserve">Decisions on the funding allocation for long-term nationally critical research are made by Cabinet and government agencies. This includes both non-competitive funding (see section 8.2.2) and competitive ring-fenced funds for specific challenges (see section 8.2.2 National </w:t>
      </w:r>
      <w:r w:rsidRPr="00BD16B4">
        <w:lastRenderedPageBreak/>
        <w:t xml:space="preserve">Science Challenges and Advanced Energy Technology Platform). Competitive bidding for open research funding for all research providers is also available, and some critical climate change research is funded through these mechanisms as well. </w:t>
      </w:r>
      <w:r w:rsidRPr="00BD16B4">
        <w:rPr>
          <w:lang w:eastAsia="en-GB"/>
        </w:rPr>
        <w:t xml:space="preserve">Collaborative research projects involving subcontracting to a mix of organisations are common. </w:t>
      </w:r>
    </w:p>
    <w:p w14:paraId="5E75AAF5" w14:textId="32301D54" w:rsidR="007420E6" w:rsidRPr="00BD16B4" w:rsidRDefault="007420E6" w:rsidP="007420E6">
      <w:pPr>
        <w:pStyle w:val="BodyText"/>
        <w:rPr>
          <w:lang w:eastAsia="en-GB"/>
        </w:rPr>
      </w:pPr>
      <w:r w:rsidRPr="00BD16B4">
        <w:rPr>
          <w:lang w:eastAsia="en-GB"/>
        </w:rPr>
        <w:t>The National Institute of Water and Atmospheric Research (NIWA) receives funding for climate research and observations and for maintaining the National Climate Database. The </w:t>
      </w:r>
      <w:r w:rsidRPr="00BD16B4">
        <w:t xml:space="preserve">Meteorological Service of New Zealand Limited (MetService) undertakes systematic weather observations to support its weather forecasting programme. Observations from both agencies are incorporated into the climate record through NIWA’s National Climate Database, with some also available through the GCOS programme. MetService’s observing network is supported in part through a contract with Te Manatū Waka </w:t>
      </w:r>
      <w:r w:rsidR="007C38EF" w:rsidRPr="00BD16B4">
        <w:t>–</w:t>
      </w:r>
      <w:r w:rsidRPr="00BD16B4">
        <w:t xml:space="preserve"> Ministry of Transport for provision of New Zealand’s national meteorological service</w:t>
      </w:r>
      <w:r w:rsidRPr="00BD16B4">
        <w:rPr>
          <w:lang w:eastAsia="en-GB"/>
        </w:rPr>
        <w:t xml:space="preserve">. </w:t>
      </w:r>
    </w:p>
    <w:p w14:paraId="632C72D6" w14:textId="77777777" w:rsidR="007420E6" w:rsidRPr="00BD16B4" w:rsidRDefault="007420E6" w:rsidP="007420E6">
      <w:pPr>
        <w:pStyle w:val="BodyText"/>
      </w:pPr>
      <w:r w:rsidRPr="00BD16B4">
        <w:t xml:space="preserve">The Royal Society of New Zealand Te Apārangi operates New Zealand’s Marsden research fund on behalf of the New Zealand Government, which awards a number of research grants annually related to climate change. The Society facilitates interactions between scientists and stakeholders in New Zealand and maintains some international links on behalf of the Government through a Catalyst: Influence fund. This supports the New Zealand science sector’s participation in international scientific unions including the World Climate Research Programme, the Scientific Committee on Antarctic Research, the Scientific Committee on Oceanic Research, and the International Science Council, which supports the Future Earth research programme. </w:t>
      </w:r>
    </w:p>
    <w:p w14:paraId="3B3E62EB" w14:textId="77777777" w:rsidR="007420E6" w:rsidRPr="00BD16B4" w:rsidRDefault="007420E6" w:rsidP="004E1B8C">
      <w:pPr>
        <w:pStyle w:val="Heading4"/>
      </w:pPr>
      <w:r w:rsidRPr="00BD16B4">
        <w:t>Crown research institutes</w:t>
      </w:r>
    </w:p>
    <w:p w14:paraId="6365AFC7" w14:textId="77777777" w:rsidR="007420E6" w:rsidRPr="00BD16B4" w:rsidRDefault="007420E6" w:rsidP="007420E6">
      <w:pPr>
        <w:pStyle w:val="BodyText"/>
        <w:rPr>
          <w:lang w:eastAsia="en-GB"/>
        </w:rPr>
      </w:pPr>
      <w:r w:rsidRPr="00BD16B4">
        <w:rPr>
          <w:lang w:eastAsia="en-GB"/>
        </w:rPr>
        <w:t xml:space="preserve">Crown research institutes (CRIs) are Crown-owned companies that carry out scientific research for the benefit of Aotearoa New Zealand. The </w:t>
      </w:r>
      <w:r w:rsidRPr="00BD16B4">
        <w:t>CRIs</w:t>
      </w:r>
      <w:r w:rsidRPr="00BD16B4">
        <w:rPr>
          <w:lang w:eastAsia="en-GB"/>
        </w:rPr>
        <w:t xml:space="preserve"> with the most climate-related research portfolios are: </w:t>
      </w:r>
    </w:p>
    <w:p w14:paraId="4F156066" w14:textId="77777777" w:rsidR="007420E6" w:rsidRPr="00BD16B4" w:rsidRDefault="007420E6" w:rsidP="007420E6">
      <w:pPr>
        <w:pStyle w:val="Bullet"/>
      </w:pPr>
      <w:r w:rsidRPr="00BD16B4">
        <w:t xml:space="preserve">NIWA – atmospheric and oceanic physics and chemistry, greenhouse gas measurements, climate observations and analysis, climate processes and causes of change, resilience to climate hazards, national and regional predictions and projections, impacts and adaptation options, downscaling IPCC global scenarios for national, regional and local use </w:t>
      </w:r>
    </w:p>
    <w:p w14:paraId="0220139B" w14:textId="77777777" w:rsidR="007420E6" w:rsidRPr="00BD16B4" w:rsidRDefault="007420E6" w:rsidP="007420E6">
      <w:pPr>
        <w:pStyle w:val="Bullet"/>
      </w:pPr>
      <w:r w:rsidRPr="00BD16B4">
        <w:t>AgResearch – agricultural greenhouse gas mitigation, particularly for enteric methane and nitrous oxide, and climate change impacts and adaptation in agriculture and life-cycle analysis for the primary sectors</w:t>
      </w:r>
    </w:p>
    <w:p w14:paraId="239CE007" w14:textId="77777777" w:rsidR="007420E6" w:rsidRPr="00BD16B4" w:rsidRDefault="007420E6" w:rsidP="007420E6">
      <w:pPr>
        <w:pStyle w:val="Bullet"/>
      </w:pPr>
      <w:r w:rsidRPr="00BD16B4">
        <w:t>Manaaki Whenua Landcare Research – indigenous forest measurement and management, agricultural greenhouse gas mitigation, soil carbon, soils and erosion, impacts of climate change on natural, productive and built environments, and assessing life-cycle greenhouse gas emissions profiles for various sectors</w:t>
      </w:r>
    </w:p>
    <w:p w14:paraId="544B214B" w14:textId="77777777" w:rsidR="007420E6" w:rsidRPr="00BD16B4" w:rsidRDefault="007420E6" w:rsidP="007420E6">
      <w:pPr>
        <w:pStyle w:val="Bullet"/>
      </w:pPr>
      <w:r w:rsidRPr="00BD16B4">
        <w:t xml:space="preserve">Plant &amp; Food Research – soil carbon and leaching particularly under cropping, nitrous oxide emissions mitigation, adaptation and sustainable production of arable and horticultural crops with climate change, farm management systems, land use and change impact models and tools, and breeding of forage crops, erosion control tree species, and new crops and land use models and change </w:t>
      </w:r>
    </w:p>
    <w:p w14:paraId="6149264A" w14:textId="77777777" w:rsidR="007420E6" w:rsidRPr="00BD16B4" w:rsidRDefault="007420E6" w:rsidP="007420E6">
      <w:pPr>
        <w:pStyle w:val="Bullet"/>
      </w:pPr>
      <w:r w:rsidRPr="00BD16B4">
        <w:t>Institute of Geological and Nuclear Sciences Limited (GNS Science) – past climate reconstructions and climate system modelling, carbon emissions measurement and management, ice sheet dynamics and sea level projections, groundwater, natural hazards, geo-sequestration of carbon dioxide (CO</w:t>
      </w:r>
      <w:r w:rsidRPr="00BD16B4">
        <w:rPr>
          <w:vertAlign w:val="subscript"/>
        </w:rPr>
        <w:t>2</w:t>
      </w:r>
      <w:r w:rsidRPr="00BD16B4">
        <w:t>)</w:t>
      </w:r>
    </w:p>
    <w:p w14:paraId="4E4EE23D" w14:textId="77777777" w:rsidR="007420E6" w:rsidRPr="00BD16B4" w:rsidRDefault="007420E6" w:rsidP="0053368F">
      <w:pPr>
        <w:pStyle w:val="Bullet"/>
        <w:spacing w:after="100"/>
      </w:pPr>
      <w:r w:rsidRPr="00BD16B4">
        <w:lastRenderedPageBreak/>
        <w:t>New Zealand Forest Research Institute Limited (Scion) – planted forests, forest sinks modelling and projections of forest sink carbon, planted and indigenous forests inventory and analysis of carbon stocks and stock change, land-use modelling, soil carbon under forests, climate change impacts on forest productivity and disturbances (eg, wildfires, pests and diseases), long-lived wood-based building products, biofuels, low carbon biomaterials, and the circular bioeconomy.</w:t>
      </w:r>
    </w:p>
    <w:p w14:paraId="434A1394" w14:textId="77777777" w:rsidR="007420E6" w:rsidRPr="00BD16B4" w:rsidRDefault="007420E6" w:rsidP="004E1B8C">
      <w:pPr>
        <w:pStyle w:val="Heading4"/>
      </w:pPr>
      <w:r w:rsidRPr="00BD16B4">
        <w:t>Research needs</w:t>
      </w:r>
    </w:p>
    <w:p w14:paraId="0BDDF14E" w14:textId="77777777" w:rsidR="007420E6" w:rsidRPr="00BD16B4" w:rsidRDefault="007420E6" w:rsidP="0053368F">
      <w:pPr>
        <w:pStyle w:val="BodyText"/>
        <w:spacing w:before="100" w:after="100"/>
        <w:rPr>
          <w:lang w:eastAsia="en-GB"/>
        </w:rPr>
      </w:pPr>
      <w:r w:rsidRPr="00BD16B4">
        <w:rPr>
          <w:lang w:eastAsia="en-GB"/>
        </w:rPr>
        <w:t xml:space="preserve">The strategic directions and goals for research in Aotearoa New Zealand are set out by the Government in its </w:t>
      </w:r>
      <w:r w:rsidRPr="00BD16B4">
        <w:rPr>
          <w:i/>
          <w:lang w:eastAsia="en-GB"/>
        </w:rPr>
        <w:t>National Statement of Science Investment 2015–2025</w:t>
      </w:r>
      <w:r w:rsidRPr="00BD16B4">
        <w:rPr>
          <w:lang w:eastAsia="en-GB"/>
        </w:rPr>
        <w:t>.</w:t>
      </w:r>
      <w:r w:rsidRPr="00BD16B4">
        <w:rPr>
          <w:rStyle w:val="FootnoteReference"/>
        </w:rPr>
        <w:footnoteReference w:id="341"/>
      </w:r>
      <w:r w:rsidRPr="00BD16B4">
        <w:rPr>
          <w:lang w:eastAsia="en-GB"/>
        </w:rPr>
        <w:t xml:space="preserve"> This identifies climate change as one of several complex, long-term, national-scale issues to be addressed by National Science Challenges, and as a significant issue for the primary industries. </w:t>
      </w:r>
    </w:p>
    <w:p w14:paraId="5C7EFD53" w14:textId="77777777" w:rsidR="007420E6" w:rsidRPr="00BD16B4" w:rsidRDefault="007420E6" w:rsidP="0053368F">
      <w:pPr>
        <w:pStyle w:val="BodyText"/>
        <w:spacing w:before="100" w:after="100"/>
        <w:rPr>
          <w:lang w:eastAsia="en-GB"/>
        </w:rPr>
      </w:pPr>
      <w:r w:rsidRPr="00BD16B4">
        <w:rPr>
          <w:lang w:eastAsia="en-GB"/>
        </w:rPr>
        <w:t>The Government is currently considering the future of the research, science and innovation (RSI) system through the Te Ara Paerangi programme, including how to set research priorities for New Zealand, in areas including climate change. Te Ara Paerangi is the Government’s response to issues raised around the RSI system across various consultations over the past several years. It is a multi-year process looking at the issues with the current system and investigating solutions to prepare it for the future.</w:t>
      </w:r>
    </w:p>
    <w:p w14:paraId="0EC937A4" w14:textId="77777777" w:rsidR="007420E6" w:rsidRPr="00BD16B4" w:rsidRDefault="007420E6" w:rsidP="0053368F">
      <w:pPr>
        <w:pStyle w:val="BodyText"/>
        <w:spacing w:before="100" w:after="100"/>
        <w:rPr>
          <w:lang w:eastAsia="en-GB"/>
        </w:rPr>
      </w:pPr>
      <w:r w:rsidRPr="00BD16B4">
        <w:rPr>
          <w:lang w:eastAsia="en-GB"/>
        </w:rPr>
        <w:t>The public process started with the release of a discussion document in 2021 followed by a series of consultation sessions, with the process expected to continue for at least two more years. The outcomes may result in changes to how future research for climate change is funded, prioritised and carried out.</w:t>
      </w:r>
    </w:p>
    <w:p w14:paraId="586843ED" w14:textId="77777777" w:rsidR="007420E6" w:rsidRPr="00BD16B4" w:rsidRDefault="007420E6" w:rsidP="0053368F">
      <w:pPr>
        <w:pStyle w:val="BodyText"/>
        <w:spacing w:before="100" w:after="100"/>
        <w:rPr>
          <w:lang w:eastAsia="en-GB"/>
        </w:rPr>
      </w:pPr>
      <w:r w:rsidRPr="00BD16B4">
        <w:rPr>
          <w:lang w:eastAsia="en-GB"/>
        </w:rPr>
        <w:t>Work on a new Environment and Climate Research strategy is also currently under way.</w:t>
      </w:r>
      <w:r w:rsidRPr="00BD16B4">
        <w:rPr>
          <w:rStyle w:val="FootnoteReference"/>
          <w:lang w:eastAsia="en-GB"/>
        </w:rPr>
        <w:footnoteReference w:id="342"/>
      </w:r>
      <w:r w:rsidRPr="00BD16B4">
        <w:rPr>
          <w:lang w:eastAsia="en-GB"/>
        </w:rPr>
        <w:t xml:space="preserve"> It will have a 10-year horizon, covering foundational data, collections, monitoring, capability and infrastructure. It will integrate mātauranga Māori</w:t>
      </w:r>
      <w:r w:rsidRPr="00BD16B4">
        <w:rPr>
          <w:rStyle w:val="FootnoteReference"/>
          <w:lang w:eastAsia="en-GB"/>
        </w:rPr>
        <w:footnoteReference w:id="343"/>
      </w:r>
      <w:r w:rsidRPr="00BD16B4">
        <w:rPr>
          <w:lang w:eastAsia="en-GB"/>
        </w:rPr>
        <w:t xml:space="preserve"> and kaupapa Māori</w:t>
      </w:r>
      <w:r w:rsidRPr="00BD16B4">
        <w:rPr>
          <w:rStyle w:val="FootnoteReference"/>
          <w:lang w:eastAsia="en-GB"/>
        </w:rPr>
        <w:footnoteReference w:id="344"/>
      </w:r>
      <w:r w:rsidRPr="00BD16B4">
        <w:rPr>
          <w:lang w:eastAsia="en-GB"/>
        </w:rPr>
        <w:t xml:space="preserve"> research.</w:t>
      </w:r>
    </w:p>
    <w:p w14:paraId="3302C187" w14:textId="77777777" w:rsidR="007420E6" w:rsidRPr="00BD16B4" w:rsidRDefault="007420E6" w:rsidP="0053368F">
      <w:pPr>
        <w:pStyle w:val="BodyText"/>
        <w:spacing w:before="100" w:after="100"/>
        <w:rPr>
          <w:lang w:eastAsia="en-GB"/>
        </w:rPr>
      </w:pPr>
      <w:r w:rsidRPr="00BD16B4">
        <w:rPr>
          <w:lang w:eastAsia="en-GB"/>
        </w:rPr>
        <w:t>Specific statements of research priorities in the field of climate change can be found in the 20</w:t>
      </w:r>
      <w:r w:rsidRPr="00BD16B4">
        <w:rPr>
          <w:lang w:eastAsia="en-GB"/>
        </w:rPr>
        <w:noBreakHyphen/>
        <w:t xml:space="preserve">year </w:t>
      </w:r>
      <w:r w:rsidRPr="00BD16B4">
        <w:rPr>
          <w:i/>
          <w:lang w:eastAsia="en-GB"/>
        </w:rPr>
        <w:t>Conservation and Environment Science Roadmap</w:t>
      </w:r>
      <w:r w:rsidRPr="00BD16B4">
        <w:rPr>
          <w:lang w:eastAsia="en-GB"/>
        </w:rPr>
        <w:t>,</w:t>
      </w:r>
      <w:r w:rsidRPr="00BD16B4">
        <w:rPr>
          <w:rStyle w:val="FootnoteReference"/>
        </w:rPr>
        <w:footnoteReference w:id="345"/>
      </w:r>
      <w:r w:rsidRPr="00BD16B4">
        <w:rPr>
          <w:lang w:eastAsia="en-GB"/>
        </w:rPr>
        <w:t xml:space="preserve"> in which climate change is one of six themes. The research priorities identified within the climate change theme are:</w:t>
      </w:r>
    </w:p>
    <w:p w14:paraId="0BC71723" w14:textId="77777777" w:rsidR="007420E6" w:rsidRPr="00BD16B4" w:rsidRDefault="007420E6" w:rsidP="0053368F">
      <w:pPr>
        <w:pStyle w:val="Bullet"/>
        <w:spacing w:after="100"/>
      </w:pPr>
      <w:r w:rsidRPr="00BD16B4">
        <w:t>adaptation and mitigation scenarios that test and demonstrate the sensitivity of New Zealand’s economy, environment and society to climate-related impacts and extreme events</w:t>
      </w:r>
    </w:p>
    <w:p w14:paraId="6FCF4AF1" w14:textId="77777777" w:rsidR="007420E6" w:rsidRPr="00BD16B4" w:rsidRDefault="007420E6" w:rsidP="0053368F">
      <w:pPr>
        <w:pStyle w:val="Bullet"/>
        <w:spacing w:after="100"/>
      </w:pPr>
      <w:r w:rsidRPr="00BD16B4">
        <w:t>integrated land-use models that capture interactions between greenhouse gas mitigation, water quality and quantity, and biodiversity outcomes</w:t>
      </w:r>
    </w:p>
    <w:p w14:paraId="7E7AE659" w14:textId="77777777" w:rsidR="007420E6" w:rsidRPr="00BD16B4" w:rsidRDefault="007420E6" w:rsidP="007420E6">
      <w:pPr>
        <w:pStyle w:val="Bullet"/>
        <w:spacing w:after="100"/>
      </w:pPr>
      <w:r w:rsidRPr="00BD16B4">
        <w:t>emerging technologies and practices for reducing greenhouse gas emissions across different sectors, such as agriculture (discussed in detail below), waste management and transport</w:t>
      </w:r>
    </w:p>
    <w:p w14:paraId="4BE3ECA0" w14:textId="77777777" w:rsidR="007420E6" w:rsidRPr="00BD16B4" w:rsidRDefault="007420E6" w:rsidP="00110174">
      <w:pPr>
        <w:pStyle w:val="Bullet"/>
        <w:spacing w:after="100"/>
      </w:pPr>
      <w:r w:rsidRPr="00BD16B4">
        <w:lastRenderedPageBreak/>
        <w:t>improving monitoring and modelling of the impacts of climate extremes and sea-level rise on the New Zealand coast, developed in conjunction with a response system based on adaptive management practices</w:t>
      </w:r>
    </w:p>
    <w:p w14:paraId="01F99F8E" w14:textId="77777777" w:rsidR="007420E6" w:rsidRPr="00BD16B4" w:rsidRDefault="007420E6" w:rsidP="00110174">
      <w:pPr>
        <w:pStyle w:val="Bullet"/>
        <w:spacing w:after="100"/>
      </w:pPr>
      <w:r w:rsidRPr="00BD16B4">
        <w:t>understanding how to transition New Zealand to a low-carbon economy through strategic changes in land-use patterns, minimising emissions of greenhouse gases and optimising marine and land carbon sinks.</w:t>
      </w:r>
    </w:p>
    <w:p w14:paraId="606AAD80" w14:textId="77777777" w:rsidR="007420E6" w:rsidRPr="00BD16B4" w:rsidRDefault="007420E6" w:rsidP="00110174">
      <w:pPr>
        <w:pStyle w:val="BodyText"/>
        <w:spacing w:after="100"/>
        <w:rPr>
          <w:lang w:eastAsia="en-GB"/>
        </w:rPr>
      </w:pPr>
      <w:r w:rsidRPr="00BD16B4">
        <w:rPr>
          <w:lang w:eastAsia="en-GB"/>
        </w:rPr>
        <w:t>Further specific climate change research priorities are stated in the Primary Sector Science Roadmap – Te Ao Tūroa</w:t>
      </w:r>
      <w:r w:rsidRPr="00BD16B4">
        <w:rPr>
          <w:rStyle w:val="FootnoteReference"/>
        </w:rPr>
        <w:footnoteReference w:id="346"/>
      </w:r>
      <w:r w:rsidRPr="00BD16B4">
        <w:rPr>
          <w:lang w:eastAsia="en-GB"/>
        </w:rPr>
        <w:t xml:space="preserve"> and the Aotearoa New Zealand Antarctic Research Directions and Priorities 2021–2030.</w:t>
      </w:r>
      <w:r w:rsidRPr="00BD16B4">
        <w:rPr>
          <w:rStyle w:val="FootnoteReference"/>
        </w:rPr>
        <w:footnoteReference w:id="347"/>
      </w:r>
    </w:p>
    <w:p w14:paraId="778EFA11" w14:textId="77777777" w:rsidR="007420E6" w:rsidRPr="00BD16B4" w:rsidRDefault="007420E6" w:rsidP="007420E6">
      <w:pPr>
        <w:pStyle w:val="Heading5"/>
      </w:pPr>
      <w:r w:rsidRPr="00BD16B4">
        <w:t>Emissions reduction plan</w:t>
      </w:r>
    </w:p>
    <w:p w14:paraId="431C449A" w14:textId="77777777" w:rsidR="007420E6" w:rsidRPr="00BD16B4" w:rsidRDefault="007420E6" w:rsidP="00110174">
      <w:pPr>
        <w:pStyle w:val="BodyText"/>
        <w:spacing w:after="100"/>
        <w:rPr>
          <w:lang w:eastAsia="en-GB"/>
        </w:rPr>
      </w:pPr>
      <w:r w:rsidRPr="00BD16B4">
        <w:rPr>
          <w:lang w:eastAsia="en-GB"/>
        </w:rPr>
        <w:t xml:space="preserve">Aotearoa New </w:t>
      </w:r>
      <w:r w:rsidRPr="00BD16B4">
        <w:t>Zealand’s</w:t>
      </w:r>
      <w:r w:rsidRPr="00BD16B4">
        <w:rPr>
          <w:lang w:eastAsia="en-GB"/>
        </w:rPr>
        <w:t xml:space="preserve"> emissions reduction plan includes a focus on research and identifies the following key actions. </w:t>
      </w:r>
    </w:p>
    <w:p w14:paraId="2E80AD79" w14:textId="77777777" w:rsidR="007420E6" w:rsidRPr="00BD16B4" w:rsidRDefault="007420E6" w:rsidP="00110174">
      <w:pPr>
        <w:pStyle w:val="Bullet"/>
        <w:spacing w:after="100"/>
        <w:rPr>
          <w:lang w:eastAsia="en-GB"/>
        </w:rPr>
      </w:pPr>
      <w:r w:rsidRPr="00BD16B4">
        <w:rPr>
          <w:lang w:eastAsia="en-GB"/>
        </w:rPr>
        <w:t>Provide tools to support knowledge development, help sectors to transition and unlock new opportunities.</w:t>
      </w:r>
    </w:p>
    <w:p w14:paraId="198BD985" w14:textId="77777777" w:rsidR="007420E6" w:rsidRPr="00BD16B4" w:rsidRDefault="007420E6" w:rsidP="00110174">
      <w:pPr>
        <w:pStyle w:val="Sub-list"/>
        <w:numPr>
          <w:ilvl w:val="0"/>
          <w:numId w:val="20"/>
        </w:numPr>
        <w:tabs>
          <w:tab w:val="clear" w:pos="397"/>
        </w:tabs>
        <w:spacing w:after="100"/>
        <w:rPr>
          <w:lang w:eastAsia="en-GB"/>
        </w:rPr>
      </w:pPr>
      <w:r w:rsidRPr="00BD16B4">
        <w:rPr>
          <w:lang w:eastAsia="en-GB"/>
        </w:rPr>
        <w:t>Work towards mission-focused climate innovation platforms to coordinate action on the greatest climate challenges facing Aotearoa.</w:t>
      </w:r>
    </w:p>
    <w:p w14:paraId="25247FA3" w14:textId="77777777" w:rsidR="007420E6" w:rsidRPr="00BD16B4" w:rsidRDefault="007420E6" w:rsidP="00110174">
      <w:pPr>
        <w:pStyle w:val="Sub-list"/>
        <w:numPr>
          <w:ilvl w:val="0"/>
          <w:numId w:val="20"/>
        </w:numPr>
        <w:tabs>
          <w:tab w:val="clear" w:pos="397"/>
        </w:tabs>
        <w:spacing w:after="100"/>
        <w:rPr>
          <w:lang w:eastAsia="en-GB"/>
        </w:rPr>
      </w:pPr>
      <w:r w:rsidRPr="00BD16B4">
        <w:rPr>
          <w:lang w:eastAsia="en-GB"/>
        </w:rPr>
        <w:t>Reorientate the science system to improve its ability to service a low-emissions future.</w:t>
      </w:r>
    </w:p>
    <w:p w14:paraId="04414C29" w14:textId="77777777" w:rsidR="007420E6" w:rsidRPr="00BD16B4" w:rsidRDefault="007420E6" w:rsidP="00110174">
      <w:pPr>
        <w:pStyle w:val="Sub-list"/>
        <w:numPr>
          <w:ilvl w:val="0"/>
          <w:numId w:val="20"/>
        </w:numPr>
        <w:tabs>
          <w:tab w:val="clear" w:pos="397"/>
        </w:tabs>
        <w:spacing w:after="100"/>
        <w:rPr>
          <w:lang w:eastAsia="en-GB"/>
        </w:rPr>
      </w:pPr>
      <w:r w:rsidRPr="00BD16B4">
        <w:rPr>
          <w:lang w:eastAsia="en-GB"/>
        </w:rPr>
        <w:t>Scale up and further target research funding and innovation support programmes.</w:t>
      </w:r>
    </w:p>
    <w:p w14:paraId="5813805C" w14:textId="77777777" w:rsidR="007420E6" w:rsidRPr="00BD16B4" w:rsidRDefault="007420E6" w:rsidP="00110174">
      <w:pPr>
        <w:pStyle w:val="Bullet"/>
        <w:spacing w:after="100"/>
        <w:rPr>
          <w:lang w:eastAsia="en-GB"/>
        </w:rPr>
      </w:pPr>
      <w:r w:rsidRPr="00BD16B4">
        <w:rPr>
          <w:lang w:eastAsia="en-GB"/>
        </w:rPr>
        <w:t>Develop strategic partnerships domestically and internationally to ensure research and innovation has greater impact.</w:t>
      </w:r>
    </w:p>
    <w:p w14:paraId="7F301D7D" w14:textId="77777777" w:rsidR="007420E6" w:rsidRPr="00BD16B4" w:rsidRDefault="007420E6" w:rsidP="00110174">
      <w:pPr>
        <w:pStyle w:val="Sub-list"/>
        <w:numPr>
          <w:ilvl w:val="0"/>
          <w:numId w:val="20"/>
        </w:numPr>
        <w:tabs>
          <w:tab w:val="clear" w:pos="397"/>
        </w:tabs>
        <w:spacing w:after="100"/>
        <w:rPr>
          <w:lang w:eastAsia="en-GB"/>
        </w:rPr>
      </w:pPr>
      <w:r w:rsidRPr="00BD16B4">
        <w:rPr>
          <w:lang w:eastAsia="en-GB"/>
        </w:rPr>
        <w:t>Support Māori to use the power of mātauranga in the transition.</w:t>
      </w:r>
    </w:p>
    <w:p w14:paraId="73E83CF8" w14:textId="77777777" w:rsidR="007420E6" w:rsidRPr="00BD16B4" w:rsidRDefault="007420E6" w:rsidP="00110174">
      <w:pPr>
        <w:pStyle w:val="Sub-list"/>
        <w:numPr>
          <w:ilvl w:val="0"/>
          <w:numId w:val="20"/>
        </w:numPr>
        <w:tabs>
          <w:tab w:val="clear" w:pos="397"/>
        </w:tabs>
        <w:spacing w:after="100"/>
        <w:rPr>
          <w:lang w:eastAsia="en-GB"/>
        </w:rPr>
      </w:pPr>
      <w:r w:rsidRPr="00BD16B4">
        <w:rPr>
          <w:lang w:eastAsia="en-GB"/>
        </w:rPr>
        <w:t>Attract leading innovators to build a sustained research and development presence in Aotearoa.</w:t>
      </w:r>
    </w:p>
    <w:p w14:paraId="2F77D9F9" w14:textId="77777777" w:rsidR="007420E6" w:rsidRPr="00BD16B4" w:rsidRDefault="007420E6" w:rsidP="00110174">
      <w:pPr>
        <w:pStyle w:val="Sub-list"/>
        <w:numPr>
          <w:ilvl w:val="0"/>
          <w:numId w:val="20"/>
        </w:numPr>
        <w:tabs>
          <w:tab w:val="clear" w:pos="397"/>
        </w:tabs>
        <w:spacing w:after="100"/>
        <w:rPr>
          <w:lang w:eastAsia="en-GB"/>
        </w:rPr>
      </w:pPr>
      <w:r w:rsidRPr="00BD16B4">
        <w:rPr>
          <w:lang w:eastAsia="en-GB"/>
        </w:rPr>
        <w:t>Partner internationally on low-emissions initiatives with leading researchers and frontier firms.</w:t>
      </w:r>
    </w:p>
    <w:p w14:paraId="23F2043E" w14:textId="77777777" w:rsidR="007420E6" w:rsidRPr="00BD16B4" w:rsidRDefault="007420E6" w:rsidP="007420E6">
      <w:pPr>
        <w:pStyle w:val="Heading5"/>
      </w:pPr>
      <w:r w:rsidRPr="00BD16B4">
        <w:t>National adaptation plan</w:t>
      </w:r>
    </w:p>
    <w:p w14:paraId="16998FC0" w14:textId="77777777" w:rsidR="007420E6" w:rsidRPr="00BD16B4" w:rsidRDefault="007420E6" w:rsidP="00110174">
      <w:pPr>
        <w:pStyle w:val="BodyText"/>
        <w:spacing w:after="100"/>
        <w:rPr>
          <w:rFonts w:ascii="Times New Roman" w:eastAsia="Calibri" w:hAnsi="Times New Roman"/>
          <w:sz w:val="24"/>
          <w:szCs w:val="24"/>
        </w:rPr>
      </w:pPr>
      <w:r w:rsidRPr="00BD16B4">
        <w:rPr>
          <w:lang w:eastAsia="en-GB"/>
        </w:rPr>
        <w:t xml:space="preserve">Aotearoa New Zealand’s national adaptation plan includes a research strategy for knowledge gaps that describes the data, information and research needed to fill the gaps. </w:t>
      </w:r>
    </w:p>
    <w:p w14:paraId="1C2C6855" w14:textId="77777777" w:rsidR="007420E6" w:rsidRPr="00BD16B4" w:rsidRDefault="007420E6" w:rsidP="00110174">
      <w:pPr>
        <w:pStyle w:val="BodyText"/>
        <w:spacing w:after="100"/>
      </w:pPr>
      <w:r w:rsidRPr="00BD16B4">
        <w:t xml:space="preserve">The following are knowledge gaps across several research themes to prioritise to 2028: </w:t>
      </w:r>
    </w:p>
    <w:p w14:paraId="6EAB4577" w14:textId="77777777" w:rsidR="007420E6" w:rsidRPr="00BD16B4" w:rsidRDefault="007420E6" w:rsidP="00110174">
      <w:pPr>
        <w:pStyle w:val="Bullet"/>
        <w:spacing w:after="100"/>
        <w:rPr>
          <w:rFonts w:eastAsiaTheme="minorEastAsia"/>
        </w:rPr>
      </w:pPr>
      <w:r w:rsidRPr="00BD16B4">
        <w:rPr>
          <w:rFonts w:eastAsiaTheme="minorEastAsia"/>
        </w:rPr>
        <w:t xml:space="preserve">collate and complete priority data on risk (vulnerability, hazards, exposure) </w:t>
      </w:r>
    </w:p>
    <w:p w14:paraId="3B94D619" w14:textId="77777777" w:rsidR="007420E6" w:rsidRPr="00BD16B4" w:rsidRDefault="007420E6" w:rsidP="00110174">
      <w:pPr>
        <w:pStyle w:val="Bullet"/>
        <w:spacing w:after="100"/>
        <w:rPr>
          <w:rFonts w:eastAsiaTheme="minorEastAsia"/>
        </w:rPr>
      </w:pPr>
      <w:r w:rsidRPr="00BD16B4">
        <w:rPr>
          <w:rFonts w:eastAsiaTheme="minorEastAsia"/>
        </w:rPr>
        <w:t xml:space="preserve">provide open-access data, accessible to a variety of audiences </w:t>
      </w:r>
    </w:p>
    <w:p w14:paraId="57E65E43" w14:textId="77777777" w:rsidR="007420E6" w:rsidRPr="00BD16B4" w:rsidRDefault="007420E6" w:rsidP="00110174">
      <w:pPr>
        <w:pStyle w:val="Bullet"/>
        <w:spacing w:after="100"/>
        <w:rPr>
          <w:rFonts w:eastAsiaTheme="minorEastAsia"/>
        </w:rPr>
      </w:pPr>
      <w:r w:rsidRPr="00BD16B4">
        <w:rPr>
          <w:rFonts w:eastAsiaTheme="minorEastAsia"/>
        </w:rPr>
        <w:t xml:space="preserve">design, implement and share research platforms </w:t>
      </w:r>
    </w:p>
    <w:p w14:paraId="3BBB20BC" w14:textId="77777777" w:rsidR="007420E6" w:rsidRPr="00BD16B4" w:rsidRDefault="007420E6" w:rsidP="007420E6">
      <w:pPr>
        <w:pStyle w:val="Bullet"/>
        <w:rPr>
          <w:rFonts w:eastAsiaTheme="minorEastAsia"/>
        </w:rPr>
      </w:pPr>
      <w:r w:rsidRPr="00BD16B4">
        <w:rPr>
          <w:rFonts w:eastAsiaTheme="minorEastAsia"/>
        </w:rPr>
        <w:t xml:space="preserve">transform data into knowledge about vulnerability, including monitoring and evaluating sensitivity and adaptive capacity. Studies such as monitoring and scenario modelling are needed, including in the following areas: </w:t>
      </w:r>
    </w:p>
    <w:p w14:paraId="14E39175" w14:textId="77777777" w:rsidR="007420E6" w:rsidRPr="00BD16B4" w:rsidRDefault="007420E6" w:rsidP="007420E6">
      <w:pPr>
        <w:pStyle w:val="Sub-list"/>
        <w:numPr>
          <w:ilvl w:val="0"/>
          <w:numId w:val="20"/>
        </w:numPr>
        <w:tabs>
          <w:tab w:val="clear" w:pos="397"/>
        </w:tabs>
      </w:pPr>
      <w:r w:rsidRPr="00BD16B4">
        <w:lastRenderedPageBreak/>
        <w:t xml:space="preserve">ecosystems – monitoring ecosystems helps us understand their state and changes through time </w:t>
      </w:r>
    </w:p>
    <w:p w14:paraId="79500214" w14:textId="77777777" w:rsidR="007420E6" w:rsidRPr="00BD16B4" w:rsidRDefault="007420E6" w:rsidP="007420E6">
      <w:pPr>
        <w:pStyle w:val="Sub-list"/>
        <w:numPr>
          <w:ilvl w:val="0"/>
          <w:numId w:val="20"/>
        </w:numPr>
        <w:tabs>
          <w:tab w:val="clear" w:pos="397"/>
        </w:tabs>
      </w:pPr>
      <w:r w:rsidRPr="00BD16B4">
        <w:t xml:space="preserve">community vulnerability to changing conditions and extreme events – studies of events and their aftermath can include the response to, and recovery from, exposure to hazards, the immediate effects and long-term follow-up </w:t>
      </w:r>
    </w:p>
    <w:p w14:paraId="0D6CAB89" w14:textId="77777777" w:rsidR="007420E6" w:rsidRPr="00BD16B4" w:rsidRDefault="007420E6" w:rsidP="007420E6">
      <w:pPr>
        <w:pStyle w:val="Bullet"/>
        <w:rPr>
          <w:rFonts w:eastAsiaTheme="minorEastAsia"/>
        </w:rPr>
      </w:pPr>
      <w:r w:rsidRPr="00BD16B4">
        <w:rPr>
          <w:rFonts w:eastAsiaTheme="minorEastAsia"/>
        </w:rPr>
        <w:t xml:space="preserve">support mātauranga Māori and kaupapa Māori research. Several proposed actions will progress the development of iwi and Māori climate data and information </w:t>
      </w:r>
    </w:p>
    <w:p w14:paraId="1CFD5A66" w14:textId="77777777" w:rsidR="007420E6" w:rsidRPr="00BD16B4" w:rsidRDefault="007420E6" w:rsidP="007420E6">
      <w:pPr>
        <w:pStyle w:val="Bullet"/>
        <w:rPr>
          <w:rFonts w:eastAsiaTheme="minorEastAsia"/>
        </w:rPr>
      </w:pPr>
      <w:r w:rsidRPr="00BD16B4">
        <w:rPr>
          <w:rFonts w:eastAsiaTheme="minorEastAsia"/>
        </w:rPr>
        <w:t xml:space="preserve">monitor and evaluate the effects of policy and interventions. </w:t>
      </w:r>
    </w:p>
    <w:p w14:paraId="3E81B44D" w14:textId="77777777" w:rsidR="007420E6" w:rsidRPr="00BD16B4" w:rsidRDefault="007420E6" w:rsidP="007420E6">
      <w:pPr>
        <w:pStyle w:val="Heading5"/>
      </w:pPr>
      <w:r w:rsidRPr="00BD16B4">
        <w:t>Partnering with iwi and M</w:t>
      </w:r>
      <w:r w:rsidRPr="00BD16B4">
        <w:rPr>
          <w:rFonts w:cs="Calibri"/>
        </w:rPr>
        <w:t>ā</w:t>
      </w:r>
      <w:r w:rsidRPr="00BD16B4">
        <w:t>ori</w:t>
      </w:r>
    </w:p>
    <w:p w14:paraId="10EEBF20" w14:textId="77777777" w:rsidR="007420E6" w:rsidRPr="00BD16B4" w:rsidRDefault="007420E6" w:rsidP="007420E6">
      <w:pPr>
        <w:pStyle w:val="BodyText"/>
      </w:pPr>
      <w:r w:rsidRPr="00BD16B4">
        <w:t>Te Tiriti o Waitangi (the Treaty of Waitangi) relationship is an essential component of partnership with Māori. Partnership involves working together with iwi, hapū, whānau and Māori communities to develop strategies for engaging effectively with the research, science, and innovation system.</w:t>
      </w:r>
      <w:r w:rsidRPr="00BD16B4">
        <w:rPr>
          <w:rStyle w:val="FootnoteReference"/>
        </w:rPr>
        <w:footnoteReference w:id="348"/>
      </w:r>
    </w:p>
    <w:p w14:paraId="3226D73D" w14:textId="77777777" w:rsidR="007420E6" w:rsidRPr="00BD16B4" w:rsidRDefault="007420E6" w:rsidP="007420E6">
      <w:pPr>
        <w:pStyle w:val="BodyText"/>
      </w:pPr>
      <w:r w:rsidRPr="00BD16B4">
        <w:t xml:space="preserve">Te Tiriti o Waitangi-informed participation requires Māori to be involved at all levels of the research, science, and innovation system, including in decision-making, planning, development </w:t>
      </w:r>
      <w:r w:rsidRPr="00BD16B4">
        <w:rPr>
          <w:spacing w:val="-2"/>
        </w:rPr>
        <w:t>and delivery of research outcomes. Māori want to be part of the design and delivery of research</w:t>
      </w:r>
      <w:r w:rsidRPr="00BD16B4">
        <w:t>.</w:t>
      </w:r>
    </w:p>
    <w:p w14:paraId="171C03DF" w14:textId="77777777" w:rsidR="007420E6" w:rsidRPr="00BD16B4" w:rsidRDefault="007420E6" w:rsidP="007420E6">
      <w:pPr>
        <w:pStyle w:val="BodyText"/>
      </w:pPr>
      <w:r w:rsidRPr="00BD16B4">
        <w:t xml:space="preserve">Te Ara Paerangi – Future Pathways programme is commencing work towards embedding Te Tiriti in the future RSI system to move towards a system that can deliver more effectively and equitably on Māori RSI aspirations. A future strategy should include improved collective collaboration and stronger partnerships with Māori that will result in a Māori-led approach to science, research and innovation. The future state is obtainable if all parts of the RSI system and national research strategies are working together to achieve the outcomes Māori want. </w:t>
      </w:r>
    </w:p>
    <w:p w14:paraId="28CD4B25" w14:textId="77777777" w:rsidR="007420E6" w:rsidRPr="00BD16B4" w:rsidRDefault="007420E6" w:rsidP="007420E6">
      <w:pPr>
        <w:pStyle w:val="Heading5"/>
      </w:pPr>
      <w:r w:rsidRPr="00BD16B4">
        <w:t xml:space="preserve">Mātauranga Māori </w:t>
      </w:r>
    </w:p>
    <w:p w14:paraId="66C888B4" w14:textId="77777777" w:rsidR="007420E6" w:rsidRPr="00BD16B4" w:rsidRDefault="007420E6" w:rsidP="007420E6">
      <w:pPr>
        <w:pStyle w:val="BodyText"/>
        <w:rPr>
          <w:lang w:eastAsia="en-GB"/>
        </w:rPr>
      </w:pPr>
      <w:r w:rsidRPr="00BD16B4">
        <w:rPr>
          <w:lang w:eastAsia="en-GB"/>
        </w:rPr>
        <w:t xml:space="preserve">Mātauranga Māori is the indigenous knowledge of Aotearoa New Zealand and is grounded in te ao Māori (the Māori world view). The Waitangi Tribunal, in its Ko Aotearoa Tēnei report, did not set out a definition of mātauranga Māori. Rather, the report described mātauranga Māori as “the unique Māori way of viewing the world, incorporating both Māori culture and Māori traditional knowledge”. The Tribunal noted that ‘mātauranga’ encompasses not only what is known but also how it is known, that is, the way of perceiving and understanding the world, and the values or systems of thought that underpin those perceptions. </w:t>
      </w:r>
    </w:p>
    <w:p w14:paraId="36315F6C" w14:textId="77777777" w:rsidR="007420E6" w:rsidRPr="00BD16B4" w:rsidRDefault="007420E6" w:rsidP="0053368F">
      <w:pPr>
        <w:pStyle w:val="BodyText"/>
        <w:rPr>
          <w:lang w:eastAsia="en-GB"/>
        </w:rPr>
      </w:pPr>
      <w:r w:rsidRPr="00BD16B4">
        <w:rPr>
          <w:lang w:eastAsia="en-GB"/>
        </w:rPr>
        <w:t xml:space="preserve">‘Mātauranga Māori’ </w:t>
      </w:r>
      <w:r w:rsidRPr="00BD16B4">
        <w:t>therefore</w:t>
      </w:r>
      <w:r w:rsidRPr="00BD16B4">
        <w:rPr>
          <w:lang w:eastAsia="en-GB"/>
        </w:rPr>
        <w:t xml:space="preserve"> refers not only to Māori knowledge but to the Māori way of knowing.</w:t>
      </w:r>
      <w:r w:rsidRPr="00BD16B4">
        <w:rPr>
          <w:rStyle w:val="FootnoteReference"/>
          <w:color w:val="auto"/>
          <w:lang w:eastAsia="en-GB"/>
        </w:rPr>
        <w:footnoteReference w:id="349"/>
      </w:r>
      <w:r w:rsidRPr="00BD16B4">
        <w:rPr>
          <w:lang w:eastAsia="en-GB"/>
        </w:rPr>
        <w:t xml:space="preserve"> Mātauranga Māori embraces intergenerational continuity. Drawing on the knowledge of ancestors, it allows contributions to knowledge in the present to be passed on to descendants in the future. As will be evident, mātauranga Māori is a broad concept. </w:t>
      </w:r>
    </w:p>
    <w:p w14:paraId="1F2679A5" w14:textId="77777777" w:rsidR="007420E6" w:rsidRPr="00BD16B4" w:rsidRDefault="007420E6" w:rsidP="007420E6">
      <w:pPr>
        <w:pStyle w:val="BodyText"/>
      </w:pPr>
      <w:r w:rsidRPr="00BD16B4">
        <w:rPr>
          <w:lang w:eastAsia="en-GB"/>
        </w:rPr>
        <w:lastRenderedPageBreak/>
        <w:t xml:space="preserve">Mātauranga Māori will play many roles in Aotearoa New Zealand’s climate response. This will include: providing information about the environment across temporal and spatial scales; supporting Māori-led problem solving, evidence and outcomes; and challenging assumptions on education, economic and social systems that will create diversity of knowledge. </w:t>
      </w:r>
      <w:r w:rsidRPr="00BD16B4">
        <w:t>Recognising the importance of mātauranga Māori in the climate response is one way the Government will uphold Te Tiriti o Waitangi. This will involve protecting the relationship of Māori with taonga</w:t>
      </w:r>
      <w:r w:rsidRPr="00BD16B4">
        <w:rPr>
          <w:rStyle w:val="FootnoteReference"/>
        </w:rPr>
        <w:footnoteReference w:id="350"/>
      </w:r>
      <w:r w:rsidRPr="00BD16B4">
        <w:t xml:space="preserve"> and providing support and access to the same resources, tools, institutions and developments as other knowledge systems.</w:t>
      </w:r>
    </w:p>
    <w:p w14:paraId="22156664" w14:textId="77777777" w:rsidR="007420E6" w:rsidRPr="00BD16B4" w:rsidRDefault="007420E6" w:rsidP="007420E6">
      <w:pPr>
        <w:pStyle w:val="Heading5"/>
      </w:pPr>
      <w:r w:rsidRPr="00BD16B4">
        <w:t>Vision Mātauranga</w:t>
      </w:r>
    </w:p>
    <w:p w14:paraId="2A05CDB1" w14:textId="77777777" w:rsidR="007420E6" w:rsidRPr="00BD16B4" w:rsidRDefault="007420E6" w:rsidP="007420E6">
      <w:pPr>
        <w:pStyle w:val="BodyText"/>
      </w:pPr>
      <w:r w:rsidRPr="00BD16B4">
        <w:t>The Vision Mātauranga policy aims to unlock the science and innovation potential of Māori knowledge, resources and people, and is embedded across all priority investment areas of the RSI portfolio.</w:t>
      </w:r>
      <w:r w:rsidRPr="00BD16B4">
        <w:rPr>
          <w:rStyle w:val="FootnoteReference"/>
        </w:rPr>
        <w:footnoteReference w:id="351"/>
      </w:r>
    </w:p>
    <w:p w14:paraId="3BB0BE17" w14:textId="77777777" w:rsidR="007420E6" w:rsidRPr="00BD16B4" w:rsidRDefault="007420E6" w:rsidP="007420E6">
      <w:pPr>
        <w:pStyle w:val="BodyText"/>
      </w:pPr>
      <w:r w:rsidRPr="00BD16B4">
        <w:t>The four themes of Vision Mātauranga are all relevant to the climate response, but particularly:</w:t>
      </w:r>
    </w:p>
    <w:p w14:paraId="06795A71" w14:textId="77777777" w:rsidR="007420E6" w:rsidRPr="00BD16B4" w:rsidRDefault="007420E6" w:rsidP="007420E6">
      <w:pPr>
        <w:pStyle w:val="Bullet"/>
      </w:pPr>
      <w:r w:rsidRPr="00BD16B4">
        <w:t>mātauranga – exploring indigenous knowledge and science and innovation</w:t>
      </w:r>
    </w:p>
    <w:p w14:paraId="788F4B9B" w14:textId="77777777" w:rsidR="007420E6" w:rsidRPr="00BD16B4" w:rsidRDefault="007420E6" w:rsidP="007420E6">
      <w:pPr>
        <w:pStyle w:val="Bullet"/>
      </w:pPr>
      <w:r w:rsidRPr="00BD16B4">
        <w:t>taiao/environment – achieving environmental sustainability through iwi and hapū relationships with land and sea.</w:t>
      </w:r>
    </w:p>
    <w:p w14:paraId="2C54801B" w14:textId="77777777" w:rsidR="007420E6" w:rsidRPr="00BD16B4" w:rsidRDefault="007420E6" w:rsidP="007420E6">
      <w:pPr>
        <w:pStyle w:val="BodyText"/>
      </w:pPr>
      <w:r w:rsidRPr="00BD16B4">
        <w:t>These themes are supported and informed by the other themes of ‘indigenous innovation’ and ‘hauora/health’.</w:t>
      </w:r>
    </w:p>
    <w:p w14:paraId="40C35CF5" w14:textId="77777777" w:rsidR="007420E6" w:rsidRPr="00BD16B4" w:rsidRDefault="007420E6" w:rsidP="007420E6">
      <w:pPr>
        <w:pStyle w:val="BodyText"/>
      </w:pPr>
      <w:r w:rsidRPr="00BD16B4">
        <w:t xml:space="preserve">The Vision Mātauranga policy has been integrated across the RSI portfolio’s investment priority areas since 2010, and CRIs had it incorporated into their statements of core purpose in 2011. CRIs are now required to enable the innovation potential of Māori knowledge, resources and people as part of their operating principles. </w:t>
      </w:r>
    </w:p>
    <w:p w14:paraId="21D1F1FB" w14:textId="77777777" w:rsidR="007420E6" w:rsidRPr="00BD16B4" w:rsidRDefault="007420E6" w:rsidP="007420E6">
      <w:pPr>
        <w:pStyle w:val="BodyText"/>
        <w:keepNext/>
      </w:pPr>
      <w:r w:rsidRPr="00BD16B4">
        <w:t>Examples of research projects in which mātauranga plays an important role include:</w:t>
      </w:r>
    </w:p>
    <w:p w14:paraId="0E3CEEE5" w14:textId="77777777" w:rsidR="007420E6" w:rsidRPr="00BD16B4" w:rsidRDefault="007420E6" w:rsidP="007420E6">
      <w:pPr>
        <w:pStyle w:val="Bullet"/>
      </w:pPr>
      <w:r w:rsidRPr="00BD16B4">
        <w:t>Te mana o Rangitāhua – a five-year project on ecosystem management in Rangitāhua (the Kermadec Islands) to improve resilience to issues such as climate change (Ngāti Kuri, Auckland Museum).</w:t>
      </w:r>
      <w:r w:rsidRPr="00BD16B4">
        <w:rPr>
          <w:rStyle w:val="FootnoteReference"/>
        </w:rPr>
        <w:footnoteReference w:id="352"/>
      </w:r>
    </w:p>
    <w:p w14:paraId="52A59052" w14:textId="77777777" w:rsidR="007420E6" w:rsidRPr="00BD16B4" w:rsidRDefault="007420E6" w:rsidP="007420E6">
      <w:pPr>
        <w:pStyle w:val="Bullet"/>
      </w:pPr>
      <w:r w:rsidRPr="00BD16B4">
        <w:t>Toitū ngā taonga waimāori – cultural keystone species, Māori livelihoods and climate change (NIWA).</w:t>
      </w:r>
    </w:p>
    <w:p w14:paraId="349E7E6B" w14:textId="4E72D119" w:rsidR="007420E6" w:rsidRPr="00BD16B4" w:rsidRDefault="007420E6" w:rsidP="007420E6">
      <w:pPr>
        <w:pStyle w:val="BodyText"/>
      </w:pPr>
      <w:r w:rsidRPr="00BD16B4">
        <w:t>To support the Vision Mātauranga policy, the RSI portfolio has funded projects through Te Pūnaha Hihiko – Vision Mātauranga Capability Fund since 2013. This funds projects that</w:t>
      </w:r>
      <w:r w:rsidR="00FF0869" w:rsidRPr="00BD16B4">
        <w:t> </w:t>
      </w:r>
      <w:r w:rsidRPr="00BD16B4">
        <w:t>strengthen capability, capacity, skills and networks between Māori and the science and</w:t>
      </w:r>
      <w:r w:rsidR="00FF0869" w:rsidRPr="00BD16B4">
        <w:t> </w:t>
      </w:r>
      <w:r w:rsidRPr="00BD16B4">
        <w:t>innovation system. Several successful projects draw on mātauranga and knowledge of te</w:t>
      </w:r>
      <w:r w:rsidR="00FF0869" w:rsidRPr="00BD16B4">
        <w:t> </w:t>
      </w:r>
      <w:r w:rsidRPr="00BD16B4">
        <w:t>taiao (the environment). MBIE is seeing an increase in the success rate of proposals led by</w:t>
      </w:r>
      <w:r w:rsidR="00FF0869" w:rsidRPr="00BD16B4">
        <w:t> </w:t>
      </w:r>
      <w:r w:rsidRPr="00BD16B4">
        <w:t>Māori organisations.</w:t>
      </w:r>
    </w:p>
    <w:p w14:paraId="3F64A68A" w14:textId="77777777" w:rsidR="007420E6" w:rsidRPr="00BD16B4" w:rsidRDefault="007420E6" w:rsidP="00DA7C6C">
      <w:pPr>
        <w:pStyle w:val="BodyText"/>
        <w:spacing w:after="100"/>
      </w:pPr>
      <w:r w:rsidRPr="00BD16B4">
        <w:lastRenderedPageBreak/>
        <w:t xml:space="preserve">In Budget 2020 $33 million was allocated to the RSI portfolio for a new initiative to support Māori to determine and make future investments in research, science and innovation. Funding will continue at $13 million per year from 2024/25 onward. Te Tira Whakahihiko (a working group that includes six Māori RSI experts as well as MBIE officials) is working to develop two new pilot Māori community-led RSI funds from Budget 2020 funding. Future community-led investments may support work in this area. </w:t>
      </w:r>
    </w:p>
    <w:p w14:paraId="1355C38B" w14:textId="77777777" w:rsidR="007420E6" w:rsidRPr="00BD16B4" w:rsidRDefault="007420E6" w:rsidP="00DA7C6C">
      <w:pPr>
        <w:pStyle w:val="BodyText"/>
        <w:spacing w:after="100"/>
      </w:pPr>
      <w:r w:rsidRPr="00BD16B4">
        <w:t xml:space="preserve">A main area of work in Te Ara Paerangi – Future Pathways (outlined above) is exploring how the research, science and innovation system can best honour Tiriti obligations and opportunities, give life to Māori research aspirations and enable mātauranga Māori. </w:t>
      </w:r>
    </w:p>
    <w:p w14:paraId="5C3B62F1" w14:textId="77777777" w:rsidR="007420E6" w:rsidRPr="00BD16B4" w:rsidRDefault="007420E6" w:rsidP="007420E6">
      <w:pPr>
        <w:pStyle w:val="Heading5"/>
      </w:pPr>
      <w:r w:rsidRPr="00BD16B4">
        <w:t>Biological Emissions Reduction Science Accelerator – Science and mātauranga plan</w:t>
      </w:r>
    </w:p>
    <w:p w14:paraId="6D4FA146" w14:textId="77777777" w:rsidR="007420E6" w:rsidRPr="00BD16B4" w:rsidRDefault="007420E6" w:rsidP="00C448DF">
      <w:pPr>
        <w:pStyle w:val="BodyText"/>
        <w:spacing w:before="100" w:after="100"/>
      </w:pPr>
      <w:r w:rsidRPr="00BD16B4">
        <w:t xml:space="preserve">This is a research and development plan for science and mātauranga to lower biological emissions from agriculture. It is part of the Government and sector’s Fit for a Better World roadmap and is being developed between government, industry, Māori and the science sector. </w:t>
      </w:r>
    </w:p>
    <w:p w14:paraId="22EADF96" w14:textId="77777777" w:rsidR="007420E6" w:rsidRPr="00BD16B4" w:rsidRDefault="007420E6" w:rsidP="00D333F0">
      <w:pPr>
        <w:pStyle w:val="BodyText"/>
        <w:spacing w:after="100"/>
      </w:pPr>
      <w:r w:rsidRPr="00BD16B4">
        <w:t>This plan is about getting mitigation tools and practices into the hands of farmers faster. It will address the urgent need to reduce biological greenhouse gas emissions, outline future actions and ensure Aotearoa New Zealand has thriving and resilient land-based food systems that embrace both science and mātauranga (te taiao). The plan is expected to be published in late 2022.</w:t>
      </w:r>
    </w:p>
    <w:p w14:paraId="2790395D" w14:textId="77777777" w:rsidR="007420E6" w:rsidRPr="00BD16B4" w:rsidRDefault="007420E6" w:rsidP="004E1B8C">
      <w:pPr>
        <w:pStyle w:val="Heading4"/>
      </w:pPr>
      <w:r w:rsidRPr="00BD16B4">
        <w:t>Research programmes for agricultural greenhouse gases</w:t>
      </w:r>
    </w:p>
    <w:p w14:paraId="62F55D47" w14:textId="77777777" w:rsidR="007420E6" w:rsidRPr="00BD16B4" w:rsidRDefault="007420E6" w:rsidP="00C448DF">
      <w:pPr>
        <w:pStyle w:val="BodyText"/>
        <w:spacing w:before="100" w:after="100"/>
      </w:pPr>
      <w:r w:rsidRPr="00BD16B4">
        <w:t>Several programmes and organisations carry out research on agricultural greenhouse gas emissions. The major research programmes are described below and research highlights are detailed in section 8.4.</w:t>
      </w:r>
    </w:p>
    <w:p w14:paraId="7A086B58" w14:textId="77777777" w:rsidR="007420E6" w:rsidRPr="00BD16B4" w:rsidRDefault="007420E6" w:rsidP="007420E6">
      <w:pPr>
        <w:pStyle w:val="Heading5"/>
      </w:pPr>
      <w:r w:rsidRPr="00BD16B4">
        <w:t>New Zealand Agricultural Greenhouse Gas Research Centre</w:t>
      </w:r>
    </w:p>
    <w:p w14:paraId="300B0728" w14:textId="51F3B25F" w:rsidR="007420E6" w:rsidRPr="00BD16B4" w:rsidRDefault="007420E6" w:rsidP="00C448DF">
      <w:pPr>
        <w:pStyle w:val="BodyText"/>
        <w:spacing w:before="100" w:after="100"/>
        <w:rPr>
          <w:lang w:eastAsia="en-GB"/>
        </w:rPr>
      </w:pPr>
      <w:r w:rsidRPr="00BD16B4">
        <w:rPr>
          <w:lang w:eastAsia="en-GB"/>
        </w:rPr>
        <w:t>The New Zealand Agricultural Greenhouse Gas Research Centre (NZAGRC)</w:t>
      </w:r>
      <w:r w:rsidR="00952B54" w:rsidRPr="00BD16B4">
        <w:rPr>
          <w:rStyle w:val="FootnoteReference"/>
          <w:lang w:eastAsia="en-GB"/>
        </w:rPr>
        <w:footnoteReference w:id="353"/>
      </w:r>
      <w:r w:rsidRPr="00BD16B4">
        <w:rPr>
          <w:lang w:eastAsia="en-GB"/>
        </w:rPr>
        <w:t xml:space="preserve"> is a government-funded partnership, hosted by AgResearch, of nine leading </w:t>
      </w:r>
      <w:r w:rsidRPr="00BD16B4">
        <w:rPr>
          <w:rFonts w:asciiTheme="minorHAnsi" w:hAnsiTheme="minorHAnsi" w:cstheme="minorHAnsi"/>
          <w:color w:val="000000"/>
        </w:rPr>
        <w:t xml:space="preserve">Aotearoa </w:t>
      </w:r>
      <w:r w:rsidRPr="00BD16B4">
        <w:rPr>
          <w:lang w:eastAsia="en-GB"/>
        </w:rPr>
        <w:t>New Zealand research providers working to reduce agricultural greenhouse gas emissions. It funds research projects to discover, develop and make available products, tools and knowledge that enable the practical and cost-effective reduction of agricultural greenhouse gas emissions to New Zealand farmers and growers. The NZAGRC is a ‘virtual’ centre in that the research it supports is carried out by scientists working in their own organisations. Government funding for NZAGRC’s work is provided by MPI and MBIE.</w:t>
      </w:r>
    </w:p>
    <w:p w14:paraId="321E4A7F" w14:textId="77777777" w:rsidR="007420E6" w:rsidRPr="00BD16B4" w:rsidRDefault="007420E6" w:rsidP="00D333F0">
      <w:pPr>
        <w:pStyle w:val="BodyText"/>
        <w:spacing w:after="100"/>
        <w:rPr>
          <w:lang w:eastAsia="en-GB"/>
        </w:rPr>
      </w:pPr>
      <w:r w:rsidRPr="00BD16B4">
        <w:rPr>
          <w:lang w:eastAsia="en-GB"/>
        </w:rPr>
        <w:t xml:space="preserve">The work led through the NZAGRC has a strong international reputation for science excellence and is a critical part of New Zealand’s approach to understanding and managing greenhouse gases from agriculture. It also plays an important role in building capacity and capability in the New Zealand science system to future-proof that research. </w:t>
      </w:r>
    </w:p>
    <w:p w14:paraId="4F1CB01F" w14:textId="77777777" w:rsidR="007420E6" w:rsidRPr="00BD16B4" w:rsidRDefault="007420E6" w:rsidP="007420E6">
      <w:pPr>
        <w:pStyle w:val="BodyText"/>
        <w:rPr>
          <w:lang w:eastAsia="en-GB"/>
        </w:rPr>
      </w:pPr>
      <w:r w:rsidRPr="00BD16B4">
        <w:rPr>
          <w:lang w:eastAsia="en-GB"/>
        </w:rPr>
        <w:t>The NZAGRC’s five areas of research focus are:</w:t>
      </w:r>
    </w:p>
    <w:p w14:paraId="1A9D61C4" w14:textId="77777777" w:rsidR="007420E6" w:rsidRPr="00BD16B4" w:rsidRDefault="007420E6" w:rsidP="00D333F0">
      <w:pPr>
        <w:pStyle w:val="Bullet"/>
        <w:spacing w:after="100"/>
        <w:rPr>
          <w:lang w:eastAsia="en-GB"/>
        </w:rPr>
      </w:pPr>
      <w:r w:rsidRPr="00BD16B4">
        <w:rPr>
          <w:lang w:eastAsia="en-GB"/>
        </w:rPr>
        <w:t>mitigating methane emissions, including by: research required to breed low-emissions ruminant animals; identifying low-methane feeds and feed additives; developing vaccines to inhibit enteric methanogens; and discovering inhibitory compounds that reduce enteric methane emissions. This is a joint programme with the Pastoral Greenhouse Gas Research Consortium and is funded by industry and government</w:t>
      </w:r>
    </w:p>
    <w:p w14:paraId="22BC6124" w14:textId="77777777" w:rsidR="007420E6" w:rsidRPr="00BD16B4" w:rsidRDefault="007420E6" w:rsidP="00B340FD">
      <w:pPr>
        <w:pStyle w:val="Bullet"/>
        <w:spacing w:after="100"/>
        <w:rPr>
          <w:lang w:eastAsia="en-GB"/>
        </w:rPr>
      </w:pPr>
      <w:r w:rsidRPr="00BD16B4">
        <w:rPr>
          <w:lang w:eastAsia="en-GB"/>
        </w:rPr>
        <w:lastRenderedPageBreak/>
        <w:t>mitigating nitrous oxide emissions, including by: identifying and testing plant species effects on nitrous oxide emissions; manipulating denitrification processes; identifying low nitrogen feed management options; researching management effects on emission factors; developing urine patch sensors; and identifying and testing inhibitory compounds that reduce nitrous oxide emissions</w:t>
      </w:r>
    </w:p>
    <w:p w14:paraId="2FE759C0" w14:textId="77777777" w:rsidR="007420E6" w:rsidRPr="00BD16B4" w:rsidRDefault="007420E6" w:rsidP="00B340FD">
      <w:pPr>
        <w:pStyle w:val="Bullet"/>
        <w:spacing w:after="100"/>
        <w:rPr>
          <w:lang w:eastAsia="en-GB"/>
        </w:rPr>
      </w:pPr>
      <w:r w:rsidRPr="00BD16B4">
        <w:rPr>
          <w:lang w:eastAsia="en-GB"/>
        </w:rPr>
        <w:t>increasing soil carbon content and/or reducing soil carbon loss, including by identifying the potential of different soils to store carbon; manipulating carbon inputs to stabilise and enhance stocks; developing tools to quantify soil carbon content and the stability of stored carbon; researching and modelling the effects of management manipulations; projecting changes in soil carbon in response to climate change and soil disturbance; and establishing a baseline of soil carbon stocks in 500 sites across New Zealand</w:t>
      </w:r>
    </w:p>
    <w:p w14:paraId="596AF304" w14:textId="77777777" w:rsidR="007420E6" w:rsidRPr="00BD16B4" w:rsidRDefault="007420E6" w:rsidP="00B340FD">
      <w:pPr>
        <w:pStyle w:val="Bullet"/>
        <w:spacing w:after="100"/>
        <w:rPr>
          <w:lang w:eastAsia="en-GB"/>
        </w:rPr>
      </w:pPr>
      <w:r w:rsidRPr="00BD16B4">
        <w:rPr>
          <w:lang w:eastAsia="en-GB"/>
        </w:rPr>
        <w:t xml:space="preserve">future farm systems, including: case studies and modelling work identifying drivers and barriers for existing and future adoption of both incremental and disruptive mitigation options at the farm level; as well as exploring the wider scope and longer time-frame implications for the primary sector of adoption of mitigations to reduce emissions </w:t>
      </w:r>
    </w:p>
    <w:p w14:paraId="76F9B93D" w14:textId="77777777" w:rsidR="007420E6" w:rsidRPr="00BD16B4" w:rsidRDefault="007420E6" w:rsidP="00B340FD">
      <w:pPr>
        <w:pStyle w:val="Bullet"/>
        <w:spacing w:after="100"/>
        <w:rPr>
          <w:lang w:eastAsia="en-GB"/>
        </w:rPr>
      </w:pPr>
      <w:r w:rsidRPr="00BD16B4">
        <w:rPr>
          <w:lang w:eastAsia="en-GB"/>
        </w:rPr>
        <w:t xml:space="preserve">Māori-focused research that seeks to assist the Māori agribusiness sector to increase resource use efficiency and farm productivity while lowering greenhouse gas emissions through the design and development, in collaboration with Māori, of tools, models, information and processes. Work is now under way, led by the NZAGRC’s Māori Advisory Group Toihau, to shape new research with Māori agribusinesses that will support them to develop integrated farm systems solutions that address multiple economic, social, cultural and environmental outcomes. </w:t>
      </w:r>
    </w:p>
    <w:p w14:paraId="654462BA" w14:textId="4493D329" w:rsidR="007420E6" w:rsidRPr="00BD16B4" w:rsidRDefault="007420E6" w:rsidP="007420E6">
      <w:pPr>
        <w:pStyle w:val="Heading5"/>
      </w:pPr>
      <w:r w:rsidRPr="00BD16B4">
        <w:t>Sustainable Land Management and Climate Change (SLMACC)</w:t>
      </w:r>
    </w:p>
    <w:p w14:paraId="0B8C664B" w14:textId="58C03953" w:rsidR="007420E6" w:rsidRPr="00BD16B4" w:rsidRDefault="007420E6" w:rsidP="00B340FD">
      <w:pPr>
        <w:pStyle w:val="BodyText"/>
        <w:spacing w:before="100" w:after="100"/>
        <w:rPr>
          <w:rFonts w:eastAsia="Calibri"/>
        </w:rPr>
      </w:pPr>
      <w:r w:rsidRPr="00BD16B4">
        <w:t>In 2007, the Government set up the Sustainable Land Management and Climate Change (SLMACC)</w:t>
      </w:r>
      <w:r w:rsidR="009B18E6" w:rsidRPr="00BD16B4">
        <w:rPr>
          <w:rStyle w:val="FootnoteReference"/>
        </w:rPr>
        <w:footnoteReference w:id="354"/>
      </w:r>
      <w:r w:rsidRPr="00BD16B4">
        <w:t xml:space="preserve"> research programme as part of a wider plan of action to support the generation of new climate change knowledge across the agriculture and forestry sectors.</w:t>
      </w:r>
      <w:r w:rsidRPr="00BD16B4">
        <w:rPr>
          <w:rFonts w:eastAsia="Calibri"/>
        </w:rPr>
        <w:t xml:space="preserve"> </w:t>
      </w:r>
    </w:p>
    <w:p w14:paraId="243D143A" w14:textId="77777777" w:rsidR="007420E6" w:rsidRPr="00BD16B4" w:rsidRDefault="007420E6" w:rsidP="00B340FD">
      <w:pPr>
        <w:pStyle w:val="BodyText"/>
        <w:spacing w:after="100"/>
        <w:rPr>
          <w:rFonts w:eastAsia="Calibri"/>
        </w:rPr>
      </w:pPr>
      <w:r w:rsidRPr="00BD16B4">
        <w:rPr>
          <w:rFonts w:eastAsia="Calibri"/>
        </w:rPr>
        <w:t xml:space="preserve">The research programme covered all aspects of climate change in the land-based sectors, including impacts and adaptation, freshwater mitigation, extension of knowledge, reducing greenhouse gas emissions, and increasing forest carbon sinks. Over 180 projects had been commissioned as at June 2022. </w:t>
      </w:r>
    </w:p>
    <w:p w14:paraId="563DCBC3" w14:textId="77777777" w:rsidR="007420E6" w:rsidRPr="00BD16B4" w:rsidRDefault="007420E6" w:rsidP="00B340FD">
      <w:pPr>
        <w:pStyle w:val="BodyText"/>
        <w:spacing w:after="100"/>
        <w:rPr>
          <w:rFonts w:eastAsia="Calibri"/>
        </w:rPr>
      </w:pPr>
      <w:r w:rsidRPr="00BD16B4">
        <w:t>An independent review of the SLMACC research programme, completed in 2018, found the programme was creating high-quality research, engaging stakeholders and end users, and growing climate change science capability in</w:t>
      </w:r>
      <w:r w:rsidRPr="00BD16B4">
        <w:rPr>
          <w:rFonts w:asciiTheme="minorHAnsi" w:hAnsiTheme="minorHAnsi" w:cstheme="minorHAnsi"/>
          <w:color w:val="000000"/>
        </w:rPr>
        <w:t xml:space="preserve"> Aotearoa</w:t>
      </w:r>
      <w:r w:rsidRPr="00BD16B4">
        <w:t xml:space="preserve"> New Zealand.</w:t>
      </w:r>
      <w:r w:rsidRPr="00BD16B4">
        <w:rPr>
          <w:rFonts w:eastAsia="Calibri"/>
        </w:rPr>
        <w:t xml:space="preserve"> </w:t>
      </w:r>
    </w:p>
    <w:p w14:paraId="1BBED7C0" w14:textId="77777777" w:rsidR="007420E6" w:rsidRPr="00BD16B4" w:rsidRDefault="007420E6" w:rsidP="00B340FD">
      <w:pPr>
        <w:pStyle w:val="BodyText"/>
        <w:spacing w:after="100"/>
        <w:rPr>
          <w:rFonts w:eastAsia="Calibri"/>
        </w:rPr>
      </w:pPr>
      <w:r w:rsidRPr="00BD16B4">
        <w:t>In 2020, the focus of the SLMACC research programme moved to climate change adaptation (including in the forestry sector) and extension, due to the availability of other funding resources for climate change mitigation research.</w:t>
      </w:r>
    </w:p>
    <w:p w14:paraId="0367A769" w14:textId="77777777" w:rsidR="007420E6" w:rsidRPr="00BD16B4" w:rsidRDefault="007420E6" w:rsidP="00B340FD">
      <w:pPr>
        <w:pStyle w:val="BodyText"/>
        <w:spacing w:after="100"/>
        <w:rPr>
          <w:rFonts w:ascii="Times New Roman" w:eastAsia="Calibri" w:hAnsi="Times New Roman"/>
          <w:sz w:val="24"/>
          <w:szCs w:val="24"/>
        </w:rPr>
      </w:pPr>
      <w:r w:rsidRPr="00BD16B4">
        <w:t>In addition to funding for the SLMACC adaptation and extension work, in 2020, a further $16 million funding was allocated to a new four-year SLMACC Freshwater Mitigation programme. This fund supports field trials of existing farm technologies and practices that protect waterways and wetlands by reducing nutrient run-off and leaching, including nitrogen. The programme aims to produce scientific data that can be incorporated into decision-support tools. This work is not specifically focused on climate adaptation or mitigation but does support uptake of practices and tools that will support sustainable land management through a changing climate.</w:t>
      </w:r>
    </w:p>
    <w:p w14:paraId="3A8E25A3" w14:textId="6F12DF8B" w:rsidR="007420E6" w:rsidRPr="00BD16B4" w:rsidRDefault="007420E6" w:rsidP="00F3045C">
      <w:pPr>
        <w:pStyle w:val="BodyText"/>
        <w:spacing w:after="100"/>
        <w:rPr>
          <w:rFonts w:eastAsia="Calibri"/>
        </w:rPr>
      </w:pPr>
      <w:r w:rsidRPr="00BD16B4">
        <w:rPr>
          <w:rFonts w:eastAsia="Calibri"/>
        </w:rPr>
        <w:lastRenderedPageBreak/>
        <w:t>Since 2020, work undertaken in the SLMACC research programme includes:</w:t>
      </w:r>
    </w:p>
    <w:p w14:paraId="7A46A46B" w14:textId="77777777" w:rsidR="007420E6" w:rsidRPr="00BD16B4" w:rsidRDefault="007420E6" w:rsidP="00F3045C">
      <w:pPr>
        <w:pStyle w:val="Bullet"/>
        <w:spacing w:after="100"/>
      </w:pPr>
      <w:r w:rsidRPr="00BD16B4">
        <w:t>the adaptation programme, which focuses on social impacts, policy research and the science around adaptation to climate change</w:t>
      </w:r>
    </w:p>
    <w:p w14:paraId="031EA4A5" w14:textId="77777777" w:rsidR="007420E6" w:rsidRPr="00BD16B4" w:rsidRDefault="007420E6" w:rsidP="00F3045C">
      <w:pPr>
        <w:pStyle w:val="Bullet"/>
        <w:spacing w:after="100"/>
      </w:pPr>
      <w:r w:rsidRPr="00BD16B4">
        <w:t>the extension programme, which has helped to deliver resources and demonstration programmes directed at agriculture professionals, encouraging climate change mitigation and adaptation practices. An example is the AgMatters website,</w:t>
      </w:r>
      <w:r w:rsidRPr="00BD16B4">
        <w:rPr>
          <w:rStyle w:val="FootnoteReference"/>
          <w:color w:val="auto"/>
        </w:rPr>
        <w:footnoteReference w:id="355"/>
      </w:r>
      <w:r w:rsidRPr="00BD16B4">
        <w:t xml:space="preserve"> which provides science-backed information for farmers, growers and rural professionals on agricultural greenhouse gas emissions</w:t>
      </w:r>
    </w:p>
    <w:p w14:paraId="499F0683" w14:textId="77777777" w:rsidR="007420E6" w:rsidRPr="00BD16B4" w:rsidRDefault="007420E6" w:rsidP="00F3045C">
      <w:pPr>
        <w:pStyle w:val="Bullet"/>
        <w:spacing w:after="100"/>
      </w:pPr>
      <w:r w:rsidRPr="00BD16B4">
        <w:t>the freshwater mitigation programme, which supports field trials of existing farm technologies and practices that protect waterways and wetlands by reducing nutrient run-off and leaching. The programme aims to produce scientific data that can be incorporated into decision-support tools.</w:t>
      </w:r>
    </w:p>
    <w:p w14:paraId="74C9AEC0" w14:textId="77777777" w:rsidR="007420E6" w:rsidRPr="00BD16B4" w:rsidRDefault="007420E6" w:rsidP="00BB49B1">
      <w:pPr>
        <w:pStyle w:val="Heading5"/>
        <w:spacing w:before="200"/>
      </w:pPr>
      <w:r w:rsidRPr="00BD16B4">
        <w:t xml:space="preserve">Greenhouse Gas Inventory Research </w:t>
      </w:r>
    </w:p>
    <w:p w14:paraId="7841E073" w14:textId="77777777" w:rsidR="007420E6" w:rsidRPr="00BD16B4" w:rsidRDefault="007420E6" w:rsidP="005A3CA9">
      <w:pPr>
        <w:pStyle w:val="BodyText"/>
        <w:spacing w:before="80" w:after="100"/>
        <w:rPr>
          <w:lang w:eastAsia="en-GB"/>
        </w:rPr>
      </w:pPr>
      <w:r w:rsidRPr="00BD16B4">
        <w:rPr>
          <w:lang w:eastAsia="en-GB"/>
        </w:rPr>
        <w:t>MPI</w:t>
      </w:r>
      <w:r w:rsidRPr="00BD16B4">
        <w:rPr>
          <w:bCs/>
          <w:lang w:eastAsia="en-GB"/>
        </w:rPr>
        <w:t>, through its Greenhouse Gas Inventory Research fund,</w:t>
      </w:r>
      <w:r w:rsidRPr="00BD16B4">
        <w:rPr>
          <w:lang w:eastAsia="en-GB"/>
        </w:rPr>
        <w:t xml:space="preserve"> supports research to improve the accuracy of </w:t>
      </w:r>
      <w:r w:rsidRPr="00BD16B4">
        <w:rPr>
          <w:rFonts w:asciiTheme="minorHAnsi" w:hAnsiTheme="minorHAnsi" w:cstheme="minorHAnsi"/>
          <w:color w:val="000000"/>
        </w:rPr>
        <w:t xml:space="preserve">Aotearoa </w:t>
      </w:r>
      <w:r w:rsidRPr="00BD16B4">
        <w:rPr>
          <w:lang w:eastAsia="en-GB"/>
        </w:rPr>
        <w:t xml:space="preserve">New Zealand’s estimates of emissions from agriculture, forestry and other land use. Research from this fund is used to compile the annual greenhouse gas inventory and is also used to develop projections of agriculture, and land use, land-use change and forestry (LULUCF) emissions for the </w:t>
      </w:r>
      <w:r w:rsidRPr="00BD16B4">
        <w:rPr>
          <w:iCs/>
        </w:rPr>
        <w:t>National Communication</w:t>
      </w:r>
      <w:r w:rsidRPr="00BD16B4">
        <w:rPr>
          <w:lang w:eastAsia="en-GB"/>
        </w:rPr>
        <w:t xml:space="preserve"> and </w:t>
      </w:r>
      <w:r w:rsidRPr="00BD16B4">
        <w:rPr>
          <w:iCs/>
        </w:rPr>
        <w:t>Biennial Report</w:t>
      </w:r>
      <w:r w:rsidRPr="00BD16B4">
        <w:rPr>
          <w:lang w:eastAsia="en-GB"/>
        </w:rPr>
        <w:t xml:space="preserve">. </w:t>
      </w:r>
    </w:p>
    <w:p w14:paraId="124CA0C7" w14:textId="77777777" w:rsidR="007420E6" w:rsidRPr="00BD16B4" w:rsidRDefault="007420E6" w:rsidP="00F77EE6">
      <w:pPr>
        <w:pStyle w:val="BodyText"/>
        <w:spacing w:before="100" w:after="100"/>
      </w:pPr>
      <w:r w:rsidRPr="00BD16B4">
        <w:rPr>
          <w:lang w:eastAsia="en-GB"/>
        </w:rPr>
        <w:t xml:space="preserve">Improvement of the greenhouse gas inventory is vital for climate change policy development and the recognition of greenhouse gas mitigations within the national inventory, both of which must be underpinned by accurate measurements and projections. Research funded through the </w:t>
      </w:r>
      <w:r w:rsidRPr="00BD16B4">
        <w:rPr>
          <w:bCs/>
          <w:lang w:eastAsia="en-GB"/>
        </w:rPr>
        <w:t>Greenhouse Gas Inventory Research</w:t>
      </w:r>
      <w:r w:rsidRPr="00BD16B4">
        <w:rPr>
          <w:lang w:eastAsia="en-GB"/>
        </w:rPr>
        <w:t xml:space="preserve"> fund typically consists of field-based trials to develop new emissions factors, developing new sources of activity data, or desk-based research to develop or improve emissions calculation methodologies.</w:t>
      </w:r>
    </w:p>
    <w:p w14:paraId="20C0B5A8" w14:textId="77777777" w:rsidR="007420E6" w:rsidRPr="00BD16B4" w:rsidRDefault="007420E6" w:rsidP="007420E6">
      <w:pPr>
        <w:pStyle w:val="Heading5"/>
      </w:pPr>
      <w:r w:rsidRPr="00BD16B4">
        <w:t>Centre for Climate Action on Agricultural Emissions</w:t>
      </w:r>
    </w:p>
    <w:p w14:paraId="1C05ACD3" w14:textId="2D927597" w:rsidR="007420E6" w:rsidRPr="00BD16B4" w:rsidRDefault="007420E6" w:rsidP="005A3CA9">
      <w:pPr>
        <w:pStyle w:val="BodyText"/>
        <w:keepLines/>
        <w:spacing w:before="80" w:after="100"/>
      </w:pPr>
      <w:r w:rsidRPr="00BD16B4">
        <w:t>The Government has committed to a significant increase in investment in research and innovation in Budget 2022 (nearly $339 million over four years). This is to accelerate the development of adoptable greenhouse gas mitigations, including the establishment of a new Centre for Climate Action on Agricultural Emissions (the Centre for Climate Action</w:t>
      </w:r>
      <w:r w:rsidRPr="00BD16B4">
        <w:rPr>
          <w:rStyle w:val="FootnoteReference"/>
          <w:color w:val="auto"/>
        </w:rPr>
        <w:footnoteReference w:id="356"/>
      </w:r>
      <w:r w:rsidR="00493884" w:rsidRPr="00BD16B4">
        <w:rPr>
          <w:vertAlign w:val="superscript"/>
        </w:rPr>
        <w:t>,</w:t>
      </w:r>
      <w:r w:rsidR="00493884" w:rsidRPr="00BD16B4">
        <w:t xml:space="preserve"> </w:t>
      </w:r>
      <w:r w:rsidR="00493884" w:rsidRPr="00BD16B4">
        <w:rPr>
          <w:rStyle w:val="FootnoteReference"/>
        </w:rPr>
        <w:footnoteReference w:id="357"/>
      </w:r>
      <w:r w:rsidRPr="00BD16B4">
        <w:t xml:space="preserve">). The Centre for Climate Action will include a new public–private joint venture with a focus on product development and commercialisation to get effective tools into the hands of farmers more quickly. It will deliver on three main outcomes: </w:t>
      </w:r>
    </w:p>
    <w:p w14:paraId="20C3D65F" w14:textId="77777777" w:rsidR="007420E6" w:rsidRPr="00BD16B4" w:rsidRDefault="007420E6" w:rsidP="00F77EE6">
      <w:pPr>
        <w:pStyle w:val="Bullet"/>
        <w:spacing w:after="100"/>
      </w:pPr>
      <w:r w:rsidRPr="00BD16B4">
        <w:t>faster development, commercialisation and uptake of emissions mitigation technologies (which will enable gross emissions reduction)</w:t>
      </w:r>
    </w:p>
    <w:p w14:paraId="1403CB70" w14:textId="77777777" w:rsidR="007420E6" w:rsidRPr="00BD16B4" w:rsidRDefault="007420E6" w:rsidP="00F77EE6">
      <w:pPr>
        <w:pStyle w:val="Bullet"/>
        <w:spacing w:after="100"/>
      </w:pPr>
      <w:r w:rsidRPr="00BD16B4">
        <w:t xml:space="preserve">a strong system to support delivering mitigations over the long term </w:t>
      </w:r>
    </w:p>
    <w:p w14:paraId="70A041C1" w14:textId="77777777" w:rsidR="007420E6" w:rsidRPr="00BD16B4" w:rsidRDefault="007420E6" w:rsidP="007420E6">
      <w:pPr>
        <w:pStyle w:val="Bullet"/>
      </w:pPr>
      <w:r w:rsidRPr="00BD16B4">
        <w:t xml:space="preserve">strong leadership and alignment of biological emissions reduction efforts. </w:t>
      </w:r>
    </w:p>
    <w:p w14:paraId="4F07808C" w14:textId="77777777" w:rsidR="007420E6" w:rsidRPr="00BD16B4" w:rsidRDefault="007420E6" w:rsidP="005A3CA9">
      <w:pPr>
        <w:pStyle w:val="BodyText"/>
        <w:spacing w:before="80" w:after="0"/>
      </w:pPr>
      <w:r w:rsidRPr="00BD16B4">
        <w:t xml:space="preserve">Discussions with the private sector on investment and participation in the joint venture are well advanced. The joint venture will be supported by an enhanced </w:t>
      </w:r>
      <w:r w:rsidRPr="00BD16B4">
        <w:rPr>
          <w:rFonts w:asciiTheme="minorHAnsi" w:hAnsiTheme="minorHAnsi" w:cstheme="minorHAnsi"/>
          <w:color w:val="000000"/>
        </w:rPr>
        <w:t xml:space="preserve">Aotearoa </w:t>
      </w:r>
      <w:r w:rsidRPr="00BD16B4">
        <w:t>New Zealand Agricultural Greenhouse Gas Research Centre, with a focus on strengthening the underpinning biological emissions research and development system more broadly.</w:t>
      </w:r>
    </w:p>
    <w:p w14:paraId="6DDB6960" w14:textId="77777777" w:rsidR="007420E6" w:rsidRPr="00BD16B4" w:rsidRDefault="007420E6" w:rsidP="007420E6">
      <w:pPr>
        <w:pStyle w:val="Heading5"/>
      </w:pPr>
      <w:r w:rsidRPr="00BD16B4">
        <w:lastRenderedPageBreak/>
        <w:t>Global Research Alliance on Agricultural Greenhouse Gases (GRA)</w:t>
      </w:r>
    </w:p>
    <w:p w14:paraId="15668502" w14:textId="77777777" w:rsidR="007420E6" w:rsidRPr="00BD16B4" w:rsidRDefault="007420E6" w:rsidP="007420E6">
      <w:pPr>
        <w:pStyle w:val="BodyText"/>
        <w:rPr>
          <w:lang w:eastAsia="en-GB"/>
        </w:rPr>
      </w:pPr>
      <w:r w:rsidRPr="00BD16B4">
        <w:rPr>
          <w:lang w:eastAsia="en-GB"/>
        </w:rPr>
        <w:t>The Global Research Alliance on Agricultural Greenhouse Gases (GRA), initiated by Aotearoa New Zealand in late 2009, seeks to increase global cooperation and investment to reduce the emissions intensity of agricultural production systems. The GRA encompasses the voluntary, collaborative efforts of its 66 member countries and 27 partner organisations, spread across the globe. The GRA’s work is conducted through its four research groups, focused on key agricultural subsectors (Livestock, Croplands, Paddy Rice) and an Integrative Research Group that addresses cross-cutting issues, including soil carbon sequestration and greenhouse gas inventories.</w:t>
      </w:r>
    </w:p>
    <w:p w14:paraId="19095E64" w14:textId="77777777" w:rsidR="007420E6" w:rsidRPr="00BD16B4" w:rsidRDefault="007420E6" w:rsidP="007420E6">
      <w:pPr>
        <w:pStyle w:val="BodyText"/>
        <w:rPr>
          <w:lang w:eastAsia="en-GB"/>
        </w:rPr>
      </w:pPr>
      <w:r w:rsidRPr="00BD16B4">
        <w:rPr>
          <w:lang w:eastAsia="en-GB"/>
        </w:rPr>
        <w:t>New Zealand plays an active role in supporting the GRA through funding and delivery of education, training and public awareness, funding of mitigation research projects and funding of regional and international collaboration (see chapter 9, section 9.6). This is in addition to co</w:t>
      </w:r>
      <w:r w:rsidRPr="00BD16B4">
        <w:rPr>
          <w:lang w:eastAsia="en-GB"/>
        </w:rPr>
        <w:noBreakHyphen/>
        <w:t>chairing the GRA’s Livestock Research Group and hosting the GRA Secretariat and Special Representative. Up to December 2022, the Government has committed funding of NZ$101 million to support the GRA’s activities. For future years, the New Zealand Government has committed around NZ$20 million per year to support the GRA and its activities. GRA research should ultimately contribute to global emissions reductions far greater than New Zealand’s 0.16 per cent total contribution to global emissions.</w:t>
      </w:r>
    </w:p>
    <w:p w14:paraId="1776F2CE" w14:textId="77777777" w:rsidR="007420E6" w:rsidRPr="00BD16B4" w:rsidRDefault="007420E6" w:rsidP="007420E6">
      <w:pPr>
        <w:pStyle w:val="BodyText"/>
        <w:rPr>
          <w:lang w:eastAsia="en-GB"/>
        </w:rPr>
      </w:pPr>
      <w:r w:rsidRPr="00BD16B4">
        <w:rPr>
          <w:lang w:eastAsia="en-GB"/>
        </w:rPr>
        <w:t>Included as part of New Zealand’s investment in the GRA is funding via the New Zealand International Development Cooperation Programme to build regional capability in African, Association of Southeast Asian Nations (ASEAN), Latin American countries. New Zealand invested NZ$15 million in African and ASEAN countries, and NZ$10 million in Caribbean and Latin American countries. This Climate-Smart initiative supports countries to identify low emissions and high productivity agricultural systems through the improvement of national greenhouse gas inventories and regional greenhouse gas measurements.</w:t>
      </w:r>
    </w:p>
    <w:p w14:paraId="494D7F75" w14:textId="77777777" w:rsidR="007420E6" w:rsidRPr="00BD16B4" w:rsidRDefault="007420E6" w:rsidP="007420E6">
      <w:pPr>
        <w:pStyle w:val="BodyText"/>
        <w:rPr>
          <w:lang w:eastAsia="en-GB"/>
        </w:rPr>
      </w:pPr>
      <w:r w:rsidRPr="00BD16B4">
        <w:rPr>
          <w:lang w:eastAsia="en-GB"/>
        </w:rPr>
        <w:t xml:space="preserve">The GRA is establishing an Indigenous-led Research Network, to empower indigenous people and enhance their leadership, influence, education and employment in the Agriscience field. This network aims for inclusivity of indigenous peoples, ideas, needs and aspirations in the GRA. New Zealand is contributing to the development of this network by investing NZ$224,000 to support Māori leadership. </w:t>
      </w:r>
    </w:p>
    <w:p w14:paraId="3D1F954E" w14:textId="77777777" w:rsidR="007420E6" w:rsidRPr="00BD16B4" w:rsidRDefault="007420E6" w:rsidP="007420E6">
      <w:pPr>
        <w:pStyle w:val="Heading5"/>
      </w:pPr>
      <w:r w:rsidRPr="00BD16B4">
        <w:t xml:space="preserve">Pastoral Greenhouse Gas Research Consortium </w:t>
      </w:r>
    </w:p>
    <w:p w14:paraId="7FAF9717" w14:textId="77777777" w:rsidR="007420E6" w:rsidRPr="00BD16B4" w:rsidRDefault="007420E6" w:rsidP="007420E6">
      <w:pPr>
        <w:pStyle w:val="BodyText"/>
        <w:rPr>
          <w:lang w:eastAsia="en-GB"/>
        </w:rPr>
      </w:pPr>
      <w:r w:rsidRPr="00BD16B4">
        <w:rPr>
          <w:lang w:eastAsia="en-GB"/>
        </w:rPr>
        <w:t>The Pastoral Greenhouse Gas Research Consortium (PGgRc) is a partnership, previously funded 50:50 by the Government and industry, which aims to provide livestock farmers with the information and means to mitigate their greenhouse gas emissions. The PGgRc and NZAGRC jointly developed a research, development and extension strategy. The PGgRc mainly focused on research to reduce methane emissions in ruminant animals.</w:t>
      </w:r>
    </w:p>
    <w:p w14:paraId="0E4451AF" w14:textId="77777777" w:rsidR="007420E6" w:rsidRPr="00BD16B4" w:rsidRDefault="007420E6" w:rsidP="007420E6">
      <w:pPr>
        <w:pStyle w:val="BodyText"/>
        <w:rPr>
          <w:lang w:eastAsia="en-GB"/>
        </w:rPr>
      </w:pPr>
      <w:r w:rsidRPr="00BD16B4">
        <w:rPr>
          <w:lang w:eastAsia="en-GB"/>
        </w:rPr>
        <w:t xml:space="preserve">The PGgRc has been in operation since 2002. It comprises eight partners from the dairy, sheep, beef, deer, agricultural research and fertiliser industries. This includes DairyNZ, Beef+Lamb New Zealand, DEEResearch and the Fertiliser Association of New Zealand, all of whom fund research for the benefit of the industry as a whole. In February 2013, the Government and industry partners committed a further NZ$5.4 million per annum to the PGgRc for seven years. The Government funding ceased to the PGgRc in 2021. Industry has continued to support the PGgRc, which is the holder of Intellectual Property (IP) on greenhouse gas mitigation technologies. Government has supported the PGgRc to develop IP on vaccines and inhibitors towards commercialisation. The PGgRc continues to hold and develop greenhouse gas IP. </w:t>
      </w:r>
      <w:r w:rsidRPr="00BD16B4">
        <w:rPr>
          <w:lang w:eastAsia="en-GB"/>
        </w:rPr>
        <w:lastRenderedPageBreak/>
        <w:t xml:space="preserve">It has also been active in commercialising on-farm sheep genetic selection for lower methane emissions. </w:t>
      </w:r>
    </w:p>
    <w:p w14:paraId="6DFE51A8" w14:textId="77777777" w:rsidR="007420E6" w:rsidRPr="00BD16B4" w:rsidRDefault="007420E6" w:rsidP="007420E6">
      <w:pPr>
        <w:pStyle w:val="BodyText"/>
        <w:rPr>
          <w:lang w:eastAsia="en-GB"/>
        </w:rPr>
      </w:pPr>
      <w:r w:rsidRPr="00BD16B4">
        <w:rPr>
          <w:lang w:eastAsia="en-GB"/>
        </w:rPr>
        <w:t xml:space="preserve">Significant outcomes the </w:t>
      </w:r>
      <w:r w:rsidRPr="00BD16B4">
        <w:t>PGgRc</w:t>
      </w:r>
      <w:r w:rsidRPr="00BD16B4">
        <w:rPr>
          <w:lang w:eastAsia="en-GB"/>
        </w:rPr>
        <w:t xml:space="preserve"> has achieved include:</w:t>
      </w:r>
    </w:p>
    <w:p w14:paraId="508F84E1" w14:textId="77777777" w:rsidR="007420E6" w:rsidRPr="00BD16B4" w:rsidRDefault="007420E6" w:rsidP="007420E6">
      <w:pPr>
        <w:pStyle w:val="Bullet"/>
        <w:rPr>
          <w:lang w:eastAsia="en-GB"/>
        </w:rPr>
      </w:pPr>
      <w:r w:rsidRPr="00BD16B4">
        <w:rPr>
          <w:lang w:eastAsia="en-GB"/>
        </w:rPr>
        <w:t>identifying and developing the ability to breed low-methane-emitting sheep</w:t>
      </w:r>
    </w:p>
    <w:p w14:paraId="2CE9867A" w14:textId="77777777" w:rsidR="007420E6" w:rsidRPr="00BD16B4" w:rsidRDefault="007420E6" w:rsidP="007420E6">
      <w:pPr>
        <w:pStyle w:val="Bullet"/>
        <w:rPr>
          <w:lang w:eastAsia="en-GB"/>
        </w:rPr>
      </w:pPr>
      <w:r w:rsidRPr="00BD16B4">
        <w:rPr>
          <w:lang w:eastAsia="en-GB"/>
        </w:rPr>
        <w:t>sequencing the first methanogen genome and identifying targets that are being used to develop a methane-reducing vaccine</w:t>
      </w:r>
    </w:p>
    <w:p w14:paraId="15D8CEE3" w14:textId="77777777" w:rsidR="007420E6" w:rsidRPr="00BD16B4" w:rsidRDefault="007420E6" w:rsidP="007420E6">
      <w:pPr>
        <w:pStyle w:val="Bullet"/>
        <w:rPr>
          <w:lang w:eastAsia="en-GB"/>
        </w:rPr>
      </w:pPr>
      <w:r w:rsidRPr="00BD16B4">
        <w:rPr>
          <w:lang w:eastAsia="en-GB"/>
        </w:rPr>
        <w:t xml:space="preserve">identifying classes of compounds that show promise as inhibitors of methane emissions. </w:t>
      </w:r>
    </w:p>
    <w:p w14:paraId="3985A8C4" w14:textId="77777777" w:rsidR="007420E6" w:rsidRPr="00BD16B4" w:rsidRDefault="007420E6" w:rsidP="007420E6">
      <w:pPr>
        <w:pStyle w:val="BodyText"/>
        <w:rPr>
          <w:lang w:eastAsia="en-GB"/>
        </w:rPr>
      </w:pPr>
      <w:r w:rsidRPr="00BD16B4">
        <w:rPr>
          <w:lang w:eastAsia="en-GB"/>
        </w:rPr>
        <w:t>The PGgRc also actively pursues collaborations with international agricultural animal health and other companies, to provide avenues to commercialise any products.</w:t>
      </w:r>
    </w:p>
    <w:p w14:paraId="57A839EC" w14:textId="77777777" w:rsidR="007420E6" w:rsidRPr="00BD16B4" w:rsidRDefault="007420E6" w:rsidP="007420E6">
      <w:pPr>
        <w:pStyle w:val="Heading5"/>
      </w:pPr>
      <w:r w:rsidRPr="00BD16B4">
        <w:t>Biological Emissions Reference Group</w:t>
      </w:r>
    </w:p>
    <w:p w14:paraId="6BC300F4" w14:textId="4AD24FBA" w:rsidR="007420E6" w:rsidRPr="00BD16B4" w:rsidRDefault="007420E6" w:rsidP="007420E6">
      <w:pPr>
        <w:pStyle w:val="BodyText"/>
      </w:pPr>
      <w:r w:rsidRPr="00BD16B4">
        <w:t xml:space="preserve">The </w:t>
      </w:r>
      <w:r w:rsidRPr="00BD16B4">
        <w:rPr>
          <w:bCs/>
        </w:rPr>
        <w:t>Biological Emissions Reference Group</w:t>
      </w:r>
      <w:r w:rsidRPr="00BD16B4">
        <w:t xml:space="preserve"> is a joint government and industry reference group established in 2016. It was set up to build a robust and agreed evidence base for what the agriculture sector can do to reduce emissions at the farm level, now and into the future, and</w:t>
      </w:r>
      <w:r w:rsidR="00F3045C" w:rsidRPr="00BD16B4">
        <w:t> </w:t>
      </w:r>
      <w:r w:rsidRPr="00BD16B4">
        <w:t xml:space="preserve">assess the costs and opportunities of doing so. The group commissioned independent third-party research in support of this evidence base and published a final synthesis report in December 2018. This evidence helped inform future actions and policies to reduce biological emissions from agriculture. The group was disestablished in 2019. </w:t>
      </w:r>
    </w:p>
    <w:p w14:paraId="330871E6" w14:textId="77777777" w:rsidR="007420E6" w:rsidRPr="00BD16B4" w:rsidRDefault="007420E6" w:rsidP="004E1B8C">
      <w:pPr>
        <w:pStyle w:val="Heading4"/>
      </w:pPr>
      <w:r w:rsidRPr="00BD16B4">
        <w:t>Research support in the Pacific Islands</w:t>
      </w:r>
    </w:p>
    <w:p w14:paraId="660655B3" w14:textId="35994748" w:rsidR="007420E6" w:rsidRPr="00BD16B4" w:rsidRDefault="007420E6" w:rsidP="007420E6">
      <w:pPr>
        <w:pStyle w:val="BodyText"/>
        <w:rPr>
          <w:lang w:eastAsia="en-GB"/>
        </w:rPr>
      </w:pPr>
      <w:r w:rsidRPr="00BD16B4">
        <w:rPr>
          <w:lang w:eastAsia="en-GB"/>
        </w:rPr>
        <w:t xml:space="preserve">MetService, </w:t>
      </w:r>
      <w:r w:rsidRPr="00BD16B4">
        <w:rPr>
          <w:rFonts w:asciiTheme="minorHAnsi" w:hAnsiTheme="minorHAnsi" w:cstheme="minorHAnsi"/>
          <w:color w:val="000000"/>
        </w:rPr>
        <w:t xml:space="preserve">Aotearoa </w:t>
      </w:r>
      <w:r w:rsidRPr="00BD16B4">
        <w:rPr>
          <w:lang w:eastAsia="en-GB"/>
        </w:rPr>
        <w:t xml:space="preserve">New Zealand’s national meteorological service, </w:t>
      </w:r>
      <w:r w:rsidR="00BB49B1" w:rsidRPr="00BD16B4">
        <w:rPr>
          <w:lang w:eastAsia="en-GB"/>
        </w:rPr>
        <w:t xml:space="preserve">and NIWA </w:t>
      </w:r>
      <w:r w:rsidRPr="00BD16B4">
        <w:rPr>
          <w:lang w:eastAsia="en-GB"/>
        </w:rPr>
        <w:t xml:space="preserve">provide assistance to several Pacific Island nations (primarily Cook Islands, Kiribati, Niue, Samoa, Tokelau, Tonga and Tuvalu) with their weather and climate observing systems. With other New Zealand and international funding, NIWA has participated in a Pacific Islands data rescue programme. Past New Zealand official development assistance programmes have covered training in technical maintenance and observing practices in several of these countries. </w:t>
      </w:r>
    </w:p>
    <w:p w14:paraId="1C12A95E" w14:textId="77777777" w:rsidR="007420E6" w:rsidRPr="00BD16B4" w:rsidRDefault="007420E6" w:rsidP="007420E6">
      <w:pPr>
        <w:pStyle w:val="BodyText"/>
      </w:pPr>
      <w:r w:rsidRPr="00BD16B4">
        <w:t xml:space="preserve">New Zealand (through NIWA) continues to support the Pacific Islands with weather and climate services, collaborating closely with the Pacific Islands and scientific partners in Australia, France, South Korea and the United States of America. This includes the continued science development and production of the </w:t>
      </w:r>
      <w:r w:rsidRPr="00BD16B4">
        <w:rPr>
          <w:i/>
          <w:iCs/>
        </w:rPr>
        <w:t>Island Climate Update</w:t>
      </w:r>
      <w:r w:rsidRPr="00BD16B4">
        <w:t xml:space="preserve">, which provides a summary of current climatic and rainfall conditions across the Pacific and uses analysis of satellite-derived rainfall and a multi-model ensemble from nine global climate models to forecast rainfall for up to five months ahead. NIWA has also been an important collaborator in the Australian and New Zealand-funded Climate and Oceans Support Program in the Pacific (COSPPac), which has been installing systems in 14 Pacific countries to deliver sector-specific climate services. The underlying development of these systems, CliDEsc and CliDEsc Portal, has been supported by NIWA. </w:t>
      </w:r>
      <w:r w:rsidRPr="00BD16B4">
        <w:rPr>
          <w:lang w:eastAsia="en-GB"/>
        </w:rPr>
        <w:t>NIWA</w:t>
      </w:r>
      <w:r w:rsidRPr="00BD16B4">
        <w:t xml:space="preserve"> also works with Pacific Islands and other regional technical partners on a range of climate-related hazard, risk and adaptation activities supported through a variety of multilateral and bilateral donor initiatives.</w:t>
      </w:r>
    </w:p>
    <w:p w14:paraId="12F83FDC" w14:textId="77777777" w:rsidR="007420E6" w:rsidRPr="00BD16B4" w:rsidRDefault="007420E6" w:rsidP="007420E6">
      <w:pPr>
        <w:pStyle w:val="Heading3"/>
        <w:spacing w:before="280"/>
      </w:pPr>
      <w:r w:rsidRPr="00BD16B4">
        <w:t>8.2.2</w:t>
      </w:r>
      <w:r w:rsidRPr="00BD16B4">
        <w:tab/>
        <w:t>Funding policies</w:t>
      </w:r>
    </w:p>
    <w:p w14:paraId="58B6A40D" w14:textId="77777777" w:rsidR="007420E6" w:rsidRPr="00BD16B4" w:rsidRDefault="007420E6" w:rsidP="007420E6">
      <w:pPr>
        <w:pStyle w:val="BodyText"/>
        <w:rPr>
          <w:lang w:eastAsia="en-GB"/>
        </w:rPr>
      </w:pPr>
      <w:r w:rsidRPr="00BD16B4">
        <w:rPr>
          <w:lang w:eastAsia="en-GB"/>
        </w:rPr>
        <w:t>Several sources of funding are available for climate research and systematic observation.</w:t>
      </w:r>
    </w:p>
    <w:p w14:paraId="71C06B59" w14:textId="77777777" w:rsidR="007420E6" w:rsidRPr="00BD16B4" w:rsidRDefault="007420E6" w:rsidP="004E1B8C">
      <w:pPr>
        <w:pStyle w:val="Heading4"/>
      </w:pPr>
      <w:r w:rsidRPr="00BD16B4">
        <w:lastRenderedPageBreak/>
        <w:t>Strategic Science Investment Fund</w:t>
      </w:r>
    </w:p>
    <w:p w14:paraId="7DE3335C" w14:textId="277C1E87" w:rsidR="007420E6" w:rsidRPr="00BD16B4" w:rsidRDefault="007420E6" w:rsidP="007420E6">
      <w:pPr>
        <w:pStyle w:val="BodyText"/>
        <w:rPr>
          <w:lang w:eastAsia="en-GB"/>
        </w:rPr>
      </w:pPr>
      <w:r w:rsidRPr="00BD16B4">
        <w:rPr>
          <w:lang w:eastAsia="en-GB"/>
        </w:rPr>
        <w:t xml:space="preserve">The Strategic Science Investment Fund (SSIF) supports longer-term programmes of mission-led science and science infrastructure of enduring importance to </w:t>
      </w:r>
      <w:r w:rsidRPr="00BD16B4">
        <w:rPr>
          <w:rFonts w:asciiTheme="minorHAnsi" w:hAnsiTheme="minorHAnsi" w:cstheme="minorHAnsi"/>
          <w:color w:val="000000"/>
        </w:rPr>
        <w:t xml:space="preserve">Aotearoa </w:t>
      </w:r>
      <w:r w:rsidRPr="00BD16B4">
        <w:rPr>
          <w:lang w:eastAsia="en-GB"/>
        </w:rPr>
        <w:t>New Zealand. The SSIF provides longer-term funding to underpin strategically important science platforms, which are</w:t>
      </w:r>
      <w:r w:rsidR="008733FD" w:rsidRPr="00BD16B4">
        <w:rPr>
          <w:lang w:eastAsia="en-GB"/>
        </w:rPr>
        <w:t xml:space="preserve"> </w:t>
      </w:r>
      <w:r w:rsidRPr="00BD16B4">
        <w:rPr>
          <w:spacing w:val="-2"/>
          <w:lang w:eastAsia="en-GB"/>
        </w:rPr>
        <w:t>combinations of people, facilities, information and knowledge that provide a particular ongoing</w:t>
      </w:r>
      <w:r w:rsidRPr="00BD16B4">
        <w:rPr>
          <w:lang w:eastAsia="en-GB"/>
        </w:rPr>
        <w:t xml:space="preserve"> science and innovation capability for New Zealand. In 2022/23, the SSIF programmes are worth over NZ$280 million per year.</w:t>
      </w:r>
      <w:r w:rsidRPr="00BD16B4">
        <w:rPr>
          <w:rStyle w:val="FootnoteReference"/>
          <w:lang w:eastAsia="en-GB"/>
        </w:rPr>
        <w:footnoteReference w:id="358"/>
      </w:r>
      <w:r w:rsidRPr="00BD16B4">
        <w:rPr>
          <w:lang w:eastAsia="en-GB"/>
        </w:rPr>
        <w:t xml:space="preserve"> CRIs receive over $212 million of funding through the SSIF.</w:t>
      </w:r>
    </w:p>
    <w:p w14:paraId="10363E58" w14:textId="77777777" w:rsidR="007420E6" w:rsidRPr="00BD16B4" w:rsidRDefault="007420E6" w:rsidP="007420E6">
      <w:pPr>
        <w:pStyle w:val="BodyText"/>
        <w:rPr>
          <w:lang w:eastAsia="en-GB"/>
        </w:rPr>
      </w:pPr>
      <w:r w:rsidRPr="00BD16B4">
        <w:rPr>
          <w:lang w:eastAsia="en-GB"/>
        </w:rPr>
        <w:t>Several SSIF investments have a climate element, as follows.</w:t>
      </w:r>
    </w:p>
    <w:p w14:paraId="0C027B6E" w14:textId="77777777" w:rsidR="007420E6" w:rsidRPr="00BD16B4" w:rsidRDefault="007420E6" w:rsidP="007420E6">
      <w:pPr>
        <w:pStyle w:val="Bullet"/>
      </w:pPr>
      <w:r w:rsidRPr="00BD16B4">
        <w:t>Weather and climate hazards platform ($14.3 million per year): Understanding large scale weather and climate systems through numerical prediction techniques, monitoring and advanced measurement, for example, predicting extreme weather events and impacts, climate adaption and mitigation – NIWA.</w:t>
      </w:r>
    </w:p>
    <w:p w14:paraId="5645ED0C" w14:textId="77777777" w:rsidR="007420E6" w:rsidRPr="00BD16B4" w:rsidRDefault="007420E6" w:rsidP="007420E6">
      <w:pPr>
        <w:pStyle w:val="Bullet"/>
        <w:rPr>
          <w:rFonts w:ascii="Times New Roman" w:eastAsia="Calibri" w:hAnsi="Times New Roman"/>
          <w:sz w:val="24"/>
          <w:szCs w:val="24"/>
        </w:rPr>
      </w:pPr>
      <w:r w:rsidRPr="00BD16B4">
        <w:t>Agri-food production platform ($26 million per year): An integrated platform of farm biome genomics, biosecurity and decision-centric farm systems for sustainable livestock production. For example, genomics for improving performance while reducing emissions to the environment; supporting uptake of new practices and technologies; supporting the Free Air Carbon Dioxide Enrichment (FACE) field research platform looking at elevated CO</w:t>
      </w:r>
      <w:r w:rsidRPr="00BD16B4">
        <w:rPr>
          <w:vertAlign w:val="subscript"/>
        </w:rPr>
        <w:t>2</w:t>
      </w:r>
      <w:r w:rsidRPr="00BD16B4">
        <w:t xml:space="preserve"> under pastoral grazing conditions – AgResearch.</w:t>
      </w:r>
    </w:p>
    <w:p w14:paraId="53A3C724" w14:textId="77777777" w:rsidR="007420E6" w:rsidRPr="00BD16B4" w:rsidRDefault="007420E6" w:rsidP="007420E6">
      <w:pPr>
        <w:pStyle w:val="Bullet"/>
      </w:pPr>
      <w:r w:rsidRPr="00BD16B4">
        <w:t>Enhancing land use platform ($8.25 million per year): This platform supports research that enables New Zealanders to better measure and manage their land resources, reduce greenhouse gas emissions, and manage the environmental impacts of land use. It will enable the natural resources sector and primary sector, including Māori, to manage land in ways that improve the quality of land, soil and fresh water, reduce carbon emissions and verify New Zealand’s environmental performance. This platform also supports Māori aspirations through investment in all research areas above, supplemented by around $0.50 million of investment specifically focused on Māori outcomes – Manaaki Whenua Landcare Research.</w:t>
      </w:r>
    </w:p>
    <w:p w14:paraId="4D1B8B7D" w14:textId="77777777" w:rsidR="007420E6" w:rsidRPr="00BD16B4" w:rsidRDefault="007420E6" w:rsidP="007420E6">
      <w:pPr>
        <w:pStyle w:val="Bullet"/>
      </w:pPr>
      <w:r w:rsidRPr="00BD16B4">
        <w:t>Plant-based food and seafood platform ($20.9 million per year): Supports capabilities that contribute to the sustainable production and protection of crops and seafood. Research is developing a deeper understanding of the biology and physiology of important economic plant and seafood species, their production systems, their pests and diseases and interactions with the environment. This will support improved and novel growing systems; sustainable management of soil and water; new integrated pest and pathogen management systems; and climate change mitigations – Plant &amp; Food Research</w:t>
      </w:r>
    </w:p>
    <w:p w14:paraId="34C32B54" w14:textId="74B7B89A" w:rsidR="007420E6" w:rsidRPr="00BD16B4" w:rsidRDefault="007420E6" w:rsidP="007420E6">
      <w:pPr>
        <w:pStyle w:val="Bullet"/>
      </w:pPr>
      <w:r w:rsidRPr="00BD16B4">
        <w:t>Forest systems ($7.2 million per year): Delivering innovative knowledge, tools and capability to support the continued expansion of the New Zealand forest growing industry, thereby contributing to New Zealand’s economy, environmental performance and social and cultural health. Research will support an increase in forested land, improved forest productivity, a diversified forest estate, increasing carbon sequestration and increased exports – Scion.</w:t>
      </w:r>
    </w:p>
    <w:p w14:paraId="3E620517" w14:textId="35AD8F46" w:rsidR="007420E6" w:rsidRPr="00BD16B4" w:rsidRDefault="007420E6" w:rsidP="007420E6">
      <w:pPr>
        <w:pStyle w:val="Bullet"/>
      </w:pPr>
      <w:r w:rsidRPr="00BD16B4">
        <w:t xml:space="preserve">Manufactured products from trees ($10.2 million per year): The platform supports research that will: increase the use of wood and fibre products in the built environment; </w:t>
      </w:r>
      <w:r w:rsidRPr="00BD16B4">
        <w:rPr>
          <w:spacing w:val="-2"/>
        </w:rPr>
        <w:t>manufacture and apply biorefinery products from wood fibre, waste and other biomaterials</w:t>
      </w:r>
      <w:r w:rsidRPr="00BD16B4">
        <w:t>; and enable use of more forest biomass to improve New Zealand’s energy security and reduce emissions</w:t>
      </w:r>
      <w:r w:rsidR="00AE2C2D" w:rsidRPr="00BD16B4">
        <w:t xml:space="preserve"> – Scion</w:t>
      </w:r>
      <w:r w:rsidRPr="00BD16B4">
        <w:t>.</w:t>
      </w:r>
    </w:p>
    <w:p w14:paraId="516A1973" w14:textId="77777777" w:rsidR="007420E6" w:rsidRPr="00BD16B4" w:rsidRDefault="007420E6" w:rsidP="007420E6">
      <w:pPr>
        <w:pStyle w:val="Bullet"/>
      </w:pPr>
      <w:r w:rsidRPr="00BD16B4">
        <w:lastRenderedPageBreak/>
        <w:t>Antarctic Science Platform ($7 million per year for seven years): The platform will be based on four Antarctic science priorities, which were developed in consultation with a range of government and sector stakeholders. The priorities are: understanding the stability of the West Antarctic Ice Sheet; understanding the impacts of change in the Antarctic atmosphere and Southern Ocean; understanding threats to ecosystem dynamics in the Ross Sea; understanding connections between terrestrial and nearshore Antarctic environments, including sea ice – hosted by Antarctica New Zealand.</w:t>
      </w:r>
    </w:p>
    <w:p w14:paraId="6E5F1F4D" w14:textId="77777777" w:rsidR="007420E6" w:rsidRPr="00BD16B4" w:rsidRDefault="007420E6" w:rsidP="007420E6">
      <w:pPr>
        <w:pStyle w:val="Bullet"/>
      </w:pPr>
      <w:r w:rsidRPr="00BD16B4">
        <w:t>Advanced Energy Technology Platform ($50 million over seven years): This platform is focused on engineering, physical and biological sciences research to develop technologies transforming the way we produce, use, manage and store energy. Four research programmes are funded under this platform:</w:t>
      </w:r>
    </w:p>
    <w:p w14:paraId="5240B499" w14:textId="77777777" w:rsidR="007420E6" w:rsidRPr="00BD16B4" w:rsidRDefault="007420E6" w:rsidP="007420E6">
      <w:pPr>
        <w:pStyle w:val="Sub-list"/>
        <w:numPr>
          <w:ilvl w:val="0"/>
          <w:numId w:val="20"/>
        </w:numPr>
        <w:tabs>
          <w:tab w:val="clear" w:pos="397"/>
        </w:tabs>
      </w:pPr>
      <w:r w:rsidRPr="00BD16B4">
        <w:t>The Research Trust of Victoria University of Wellington for its programme ‘High power electric motors for large-scale transport’</w:t>
      </w:r>
    </w:p>
    <w:p w14:paraId="175D3384" w14:textId="77777777" w:rsidR="007420E6" w:rsidRPr="00BD16B4" w:rsidRDefault="007420E6" w:rsidP="007420E6">
      <w:pPr>
        <w:pStyle w:val="Sub-list"/>
        <w:numPr>
          <w:ilvl w:val="0"/>
          <w:numId w:val="20"/>
        </w:numPr>
        <w:tabs>
          <w:tab w:val="clear" w:pos="397"/>
        </w:tabs>
      </w:pPr>
      <w:r w:rsidRPr="00BD16B4">
        <w:t>University of Waikato for its programme ‘Ahuora: Delivering sustainable industry through smart process heat decarbonisation’</w:t>
      </w:r>
    </w:p>
    <w:p w14:paraId="6D8E11F0" w14:textId="77777777" w:rsidR="007420E6" w:rsidRPr="00BD16B4" w:rsidRDefault="007420E6" w:rsidP="007420E6">
      <w:pPr>
        <w:pStyle w:val="Sub-list"/>
        <w:numPr>
          <w:ilvl w:val="0"/>
          <w:numId w:val="20"/>
        </w:numPr>
        <w:tabs>
          <w:tab w:val="clear" w:pos="397"/>
        </w:tabs>
      </w:pPr>
      <w:r w:rsidRPr="00BD16B4">
        <w:t>University of Canterbury for its programme ‘Architecture of the future low-carbon, resilient, electrical power system’</w:t>
      </w:r>
    </w:p>
    <w:p w14:paraId="7E530CDC" w14:textId="77777777" w:rsidR="007420E6" w:rsidRPr="00BD16B4" w:rsidRDefault="007420E6" w:rsidP="007420E6">
      <w:pPr>
        <w:pStyle w:val="Sub-list"/>
        <w:numPr>
          <w:ilvl w:val="0"/>
          <w:numId w:val="20"/>
        </w:numPr>
        <w:tabs>
          <w:tab w:val="clear" w:pos="397"/>
        </w:tabs>
      </w:pPr>
      <w:r w:rsidRPr="00BD16B4">
        <w:t>GNS Science for its programme ‘Aotearoa: Green Hydrogen Technology Platform’.</w:t>
      </w:r>
    </w:p>
    <w:p w14:paraId="53214AAF" w14:textId="77777777" w:rsidR="007420E6" w:rsidRPr="00BD16B4" w:rsidRDefault="007420E6" w:rsidP="007420E6">
      <w:pPr>
        <w:pStyle w:val="Bullet"/>
      </w:pPr>
      <w:r w:rsidRPr="00BD16B4">
        <w:t>Data Science Platform ($49 million over seven years): The Data Science platform intends to significantly lift New Zealand’s capability, and support and encourage dynamic and world class data science research. Four research programmes sit within this platform, one of which has a significant climate science element: University of Waikato’s programme ‘Time-Evolving Data Science / Artificial Intelligence for Advanced Open Environmental Science’, which is developing new data science methods that address the challenges of environmental data.</w:t>
      </w:r>
    </w:p>
    <w:p w14:paraId="3F3AF1AB" w14:textId="77777777" w:rsidR="007420E6" w:rsidRPr="00BD16B4" w:rsidRDefault="007420E6" w:rsidP="007420E6">
      <w:pPr>
        <w:pStyle w:val="Bullet"/>
      </w:pPr>
      <w:r w:rsidRPr="00BD16B4">
        <w:t>Nationally Significant Collections and Databases: A small set of databases and collections is supported via the SSIF that provide a vehicle for systematic observations that inform climate research. This includes the national climate database held by NIWA and several databases that inform climate research, see annex D.</w:t>
      </w:r>
    </w:p>
    <w:p w14:paraId="5355FBA5" w14:textId="77777777" w:rsidR="007420E6" w:rsidRPr="00BD16B4" w:rsidRDefault="007420E6" w:rsidP="007420E6">
      <w:pPr>
        <w:pStyle w:val="Bullet"/>
      </w:pPr>
      <w:r w:rsidRPr="00BD16B4">
        <w:t xml:space="preserve">Methane SAT Mission Operations Control Centre ($6.7 million): This will provide a set of functional capabilities for the command, control and support of the MethaneSAT satellite (designed to detect global methane emissions) and future satellite missions for New Zealand. </w:t>
      </w:r>
    </w:p>
    <w:p w14:paraId="24A3D092" w14:textId="77777777" w:rsidR="007420E6" w:rsidRPr="00BD16B4" w:rsidRDefault="007420E6" w:rsidP="004E1B8C">
      <w:pPr>
        <w:pStyle w:val="Heading4"/>
      </w:pPr>
      <w:r w:rsidRPr="00BD16B4">
        <w:t>National Science Challenges</w:t>
      </w:r>
    </w:p>
    <w:p w14:paraId="3B852C88" w14:textId="77777777" w:rsidR="007420E6" w:rsidRPr="00BD16B4" w:rsidRDefault="007420E6" w:rsidP="007420E6">
      <w:pPr>
        <w:pStyle w:val="BodyText"/>
        <w:rPr>
          <w:lang w:eastAsia="en-GB"/>
        </w:rPr>
      </w:pPr>
      <w:r w:rsidRPr="00BD16B4">
        <w:rPr>
          <w:lang w:eastAsia="en-GB"/>
        </w:rPr>
        <w:t>In mid-2013, MBIE announced significant new research funding aligned to 11 National Science Challenges,</w:t>
      </w:r>
      <w:r w:rsidRPr="00BD16B4">
        <w:rPr>
          <w:rStyle w:val="FootnoteReference"/>
        </w:rPr>
        <w:footnoteReference w:id="359"/>
      </w:r>
      <w:r w:rsidRPr="00BD16B4">
        <w:rPr>
          <w:lang w:eastAsia="en-GB"/>
        </w:rPr>
        <w:t xml:space="preserve"> to be supported for 10 years. </w:t>
      </w:r>
    </w:p>
    <w:p w14:paraId="7F0A3FC9" w14:textId="77777777" w:rsidR="007420E6" w:rsidRPr="00BD16B4" w:rsidRDefault="007420E6" w:rsidP="007420E6">
      <w:pPr>
        <w:pStyle w:val="BodyText"/>
        <w:rPr>
          <w:rFonts w:ascii="Times New Roman" w:eastAsia="Calibri" w:hAnsi="Times New Roman"/>
          <w:sz w:val="24"/>
          <w:szCs w:val="24"/>
        </w:rPr>
      </w:pPr>
      <w:r w:rsidRPr="00BD16B4">
        <w:rPr>
          <w:lang w:eastAsia="en-GB"/>
        </w:rPr>
        <w:t>The funding includes NZ$22.5 million per year for challenges relating to the environment.</w:t>
      </w:r>
      <w:r w:rsidRPr="00BD16B4">
        <w:rPr>
          <w:rFonts w:ascii="Times New Roman" w:eastAsia="Calibri" w:hAnsi="Times New Roman"/>
          <w:sz w:val="24"/>
          <w:szCs w:val="24"/>
        </w:rPr>
        <w:t xml:space="preserve"> </w:t>
      </w:r>
    </w:p>
    <w:p w14:paraId="473DEED1" w14:textId="77777777" w:rsidR="007420E6" w:rsidRPr="00BD16B4" w:rsidRDefault="007420E6" w:rsidP="007420E6">
      <w:pPr>
        <w:pStyle w:val="BodyText"/>
      </w:pPr>
      <w:r w:rsidRPr="00BD16B4">
        <w:t xml:space="preserve">The National Science Challenges are designed to take a more strategic approach to the Government’s science investment by targeting a series of goals that, if achieved, would have major and enduring benefits for </w:t>
      </w:r>
      <w:r w:rsidRPr="00BD16B4">
        <w:rPr>
          <w:rFonts w:asciiTheme="minorHAnsi" w:hAnsiTheme="minorHAnsi" w:cstheme="minorHAnsi"/>
          <w:color w:val="000000"/>
        </w:rPr>
        <w:t xml:space="preserve">Aotearoa </w:t>
      </w:r>
      <w:r w:rsidRPr="00BD16B4">
        <w:t xml:space="preserve">New Zealand. </w:t>
      </w:r>
      <w:r w:rsidRPr="00BD16B4">
        <w:rPr>
          <w:lang w:eastAsia="en-GB"/>
        </w:rPr>
        <w:t>The impacts of climate change are being studied in several challenges, including:</w:t>
      </w:r>
    </w:p>
    <w:p w14:paraId="2DFF97E0" w14:textId="77777777" w:rsidR="007420E6" w:rsidRPr="00BD16B4" w:rsidRDefault="007420E6" w:rsidP="007420E6">
      <w:pPr>
        <w:pStyle w:val="Bullet"/>
        <w:spacing w:after="100"/>
      </w:pPr>
      <w:r w:rsidRPr="00BD16B4">
        <w:lastRenderedPageBreak/>
        <w:t>enabling New Zealanders to anticipate, adapt, manage risk and thrive in a changing climate (the Deep South)</w:t>
      </w:r>
    </w:p>
    <w:p w14:paraId="41723EF2" w14:textId="77777777" w:rsidR="007420E6" w:rsidRPr="00BD16B4" w:rsidRDefault="007420E6" w:rsidP="007420E6">
      <w:pPr>
        <w:pStyle w:val="Bullet"/>
        <w:spacing w:after="100"/>
      </w:pPr>
      <w:r w:rsidRPr="00BD16B4">
        <w:t>increasing resilience to natural hazards, particularly those faced by coastal communities (Resilience to Nature’s Challenges)</w:t>
      </w:r>
    </w:p>
    <w:p w14:paraId="56E5AA32" w14:textId="77777777" w:rsidR="007420E6" w:rsidRPr="00BD16B4" w:rsidRDefault="007420E6" w:rsidP="007420E6">
      <w:pPr>
        <w:pStyle w:val="Bullet"/>
        <w:spacing w:after="100"/>
      </w:pPr>
      <w:r w:rsidRPr="00BD16B4">
        <w:t>enhancing primary sector production and productivity while maintaining and improving New Zealand’s land and water quality for future generations (Our Land and Water)</w:t>
      </w:r>
    </w:p>
    <w:p w14:paraId="43BF29AA" w14:textId="77777777" w:rsidR="007420E6" w:rsidRPr="00BD16B4" w:rsidRDefault="007420E6" w:rsidP="007420E6">
      <w:pPr>
        <w:pStyle w:val="Bullet"/>
        <w:spacing w:after="100"/>
      </w:pPr>
      <w:r w:rsidRPr="00BD16B4">
        <w:t>enhancing the value of marine resources while providing a healthy marine environment for future generations (Sustainable Seas)</w:t>
      </w:r>
    </w:p>
    <w:p w14:paraId="17AE2F02" w14:textId="77777777" w:rsidR="007420E6" w:rsidRPr="00BD16B4" w:rsidRDefault="007420E6" w:rsidP="007420E6">
      <w:pPr>
        <w:pStyle w:val="Bullet"/>
      </w:pPr>
      <w:r w:rsidRPr="00BD16B4">
        <w:t>protecting and managing biodiversity, improving biosecurity and enhancing resilience to harmful organisms (New Zealand’s Biological Heritage).</w:t>
      </w:r>
    </w:p>
    <w:p w14:paraId="104E27D0" w14:textId="2350C9EB" w:rsidR="007420E6" w:rsidRPr="00BD16B4" w:rsidRDefault="008733FD" w:rsidP="00492F87">
      <w:pPr>
        <w:pStyle w:val="BodyText"/>
        <w:rPr>
          <w:lang w:eastAsia="en-GB"/>
        </w:rPr>
      </w:pPr>
      <w:r w:rsidRPr="00BD16B4">
        <w:rPr>
          <w:lang w:eastAsia="en-GB"/>
        </w:rPr>
        <w:t>T</w:t>
      </w:r>
      <w:r w:rsidR="007420E6" w:rsidRPr="00BD16B4">
        <w:rPr>
          <w:lang w:eastAsia="en-GB"/>
        </w:rPr>
        <w:t xml:space="preserve">hree of these challenges </w:t>
      </w:r>
      <w:r w:rsidRPr="00BD16B4">
        <w:rPr>
          <w:lang w:eastAsia="en-GB"/>
        </w:rPr>
        <w:t xml:space="preserve">are outlined </w:t>
      </w:r>
      <w:r w:rsidR="007420E6" w:rsidRPr="00BD16B4">
        <w:rPr>
          <w:lang w:eastAsia="en-GB"/>
        </w:rPr>
        <w:t xml:space="preserve">below, see </w:t>
      </w:r>
      <w:r w:rsidR="007420E6" w:rsidRPr="00BD16B4">
        <w:t>their</w:t>
      </w:r>
      <w:r w:rsidR="007420E6" w:rsidRPr="00BD16B4">
        <w:rPr>
          <w:lang w:eastAsia="en-GB"/>
        </w:rPr>
        <w:t xml:space="preserve"> websites for further information.</w:t>
      </w:r>
    </w:p>
    <w:p w14:paraId="215A0000" w14:textId="77777777" w:rsidR="007420E6" w:rsidRPr="00BD16B4" w:rsidRDefault="007420E6" w:rsidP="007420E6">
      <w:pPr>
        <w:pStyle w:val="Heading5"/>
      </w:pPr>
      <w:r w:rsidRPr="00BD16B4">
        <w:t>The Deep South</w:t>
      </w:r>
    </w:p>
    <w:p w14:paraId="14BEC4A3" w14:textId="77777777" w:rsidR="007420E6" w:rsidRPr="00BD16B4" w:rsidRDefault="007420E6" w:rsidP="007420E6">
      <w:pPr>
        <w:pStyle w:val="BodyText"/>
      </w:pPr>
      <w:r w:rsidRPr="00BD16B4">
        <w:t>The mission of the Deep South (Te Kōmata o Te Tonga) National Science Challenge: Changing with our climate is to transform the way New Zealanders adapt, manage risk, and thrive in a changing climate.</w:t>
      </w:r>
      <w:r w:rsidRPr="00BD16B4">
        <w:rPr>
          <w:rStyle w:val="FootnoteReference"/>
          <w:color w:val="auto"/>
        </w:rPr>
        <w:footnoteReference w:id="360"/>
      </w:r>
    </w:p>
    <w:p w14:paraId="758A6360" w14:textId="77777777" w:rsidR="007420E6" w:rsidRPr="00BD16B4" w:rsidRDefault="007420E6" w:rsidP="007420E6">
      <w:pPr>
        <w:pStyle w:val="BodyText"/>
      </w:pPr>
      <w:r w:rsidRPr="00BD16B4">
        <w:t xml:space="preserve">The Challenge has developed a numerical earth system model to better understand New Zealand’s future climate. The model, and the capacity development it enables, is resulting in improved modelling of climate processes that significantly impact Southern Hemisphere climate. It is underpinned by improved knowledge and observations of climate processes in the Southern Ocean and Antarctica. </w:t>
      </w:r>
    </w:p>
    <w:p w14:paraId="591342A0" w14:textId="77777777" w:rsidR="007420E6" w:rsidRPr="00BD16B4" w:rsidRDefault="007420E6" w:rsidP="007420E6">
      <w:pPr>
        <w:pStyle w:val="BodyText"/>
      </w:pPr>
      <w:r w:rsidRPr="00BD16B4">
        <w:t>Research in the Challenge has investigated the impacts of a changing climate on New Zealand’s important climate-sensitive economic sectors, infrastructure and natural resources. After an initial focus on understanding climate impacts, the Challenge has also responded to the need to prioritise innovative studies on adaptation decision-making under uncertainty, including decision-support tools, governance and legal frameworks.</w:t>
      </w:r>
    </w:p>
    <w:p w14:paraId="52EFCB91" w14:textId="77777777" w:rsidR="007420E6" w:rsidRPr="00BD16B4" w:rsidRDefault="007420E6" w:rsidP="007420E6">
      <w:pPr>
        <w:pStyle w:val="BodyText"/>
      </w:pPr>
      <w:r w:rsidRPr="00BD16B4">
        <w:t>The Deep South has a Vision Mātauranga research stream that currently funds predominantly hapū-led research projects, with a funding and support programme that has been redesigned to serve those researchers and communities. Research in this programme ranges from that grounded in food sovereignty, to understanding hapū histories of relocation to inform future adaptation strategies, to developing mātauranga based environmental management frameworks. All are grounded in local knowledge and kaupapa Māori research methodologies.</w:t>
      </w:r>
    </w:p>
    <w:p w14:paraId="5461528A" w14:textId="77777777" w:rsidR="007420E6" w:rsidRPr="00BD16B4" w:rsidRDefault="007420E6" w:rsidP="007420E6">
      <w:pPr>
        <w:pStyle w:val="BodyText"/>
      </w:pPr>
      <w:r w:rsidRPr="00BD16B4">
        <w:t>The Deep South is incorporating innovative ways to connect the science with industry, regulators and planners and communities through its Engagement programme. There is a focus on contributing to dynamic Tiriti-based conversations about climate adaptation, and both engaging and supporting Māori aspirations through mainstream engagement activities, as well as those by Māori, for Māori. This will give New Zealanders a greater level of agency in their planning and decision-making in the face of a changing climate, better meet the needs of iwi, hapū and Māori business objectives and goals, now and in the future.</w:t>
      </w:r>
    </w:p>
    <w:p w14:paraId="34A8624F" w14:textId="77777777" w:rsidR="007420E6" w:rsidRPr="00BD16B4" w:rsidRDefault="007420E6" w:rsidP="00492F87">
      <w:pPr>
        <w:pStyle w:val="BodyText"/>
      </w:pPr>
      <w:r w:rsidRPr="00BD16B4">
        <w:t xml:space="preserve">The science will build on long-standing, successful collaborations with leading international science and research institutions, place-based mātauranga, and New Zealand’s geographic proximity and access to the Deep South region. </w:t>
      </w:r>
    </w:p>
    <w:p w14:paraId="3AD032F0" w14:textId="77777777" w:rsidR="007420E6" w:rsidRPr="00BD16B4" w:rsidRDefault="007420E6" w:rsidP="007420E6">
      <w:pPr>
        <w:pStyle w:val="Heading5"/>
        <w:rPr>
          <w:rStyle w:val="Emphasis"/>
        </w:rPr>
      </w:pPr>
      <w:r w:rsidRPr="00BD16B4">
        <w:rPr>
          <w:rStyle w:val="Emphasis"/>
        </w:rPr>
        <w:lastRenderedPageBreak/>
        <w:t xml:space="preserve">Resilience to Nature’s Challenges – </w:t>
      </w:r>
      <w:r w:rsidRPr="00BD16B4">
        <w:t>Kia Manawaroa – Nga Akina o Te Ao Turoa</w:t>
      </w:r>
    </w:p>
    <w:p w14:paraId="603EEA8A" w14:textId="77777777" w:rsidR="007420E6" w:rsidRPr="00BD16B4" w:rsidRDefault="007420E6" w:rsidP="007420E6">
      <w:pPr>
        <w:pStyle w:val="BodyText"/>
      </w:pPr>
      <w:r w:rsidRPr="00BD16B4">
        <w:rPr>
          <w:rStyle w:val="Emphasis"/>
        </w:rPr>
        <w:t>Resilience to Nature’s Challenges</w:t>
      </w:r>
      <w:r w:rsidRPr="00BD16B4">
        <w:t xml:space="preserve"> was established in 2015 to develop and apply, through collaboration, new scientific solutions to transform the way New Zealanders understand and manage natural hazard risks and build disaster resilience.</w:t>
      </w:r>
      <w:r w:rsidRPr="00BD16B4">
        <w:rPr>
          <w:rStyle w:val="FootnoteReference"/>
        </w:rPr>
        <w:footnoteReference w:id="361"/>
      </w:r>
      <w:r w:rsidRPr="00BD16B4">
        <w:t xml:space="preserve"> The vision of the challenge is for </w:t>
      </w:r>
      <w:r w:rsidRPr="00BD16B4">
        <w:rPr>
          <w:rFonts w:asciiTheme="minorHAnsi" w:hAnsiTheme="minorHAnsi" w:cstheme="minorHAnsi"/>
          <w:color w:val="000000"/>
        </w:rPr>
        <w:t xml:space="preserve">Aotearoa </w:t>
      </w:r>
      <w:r w:rsidRPr="00BD16B4">
        <w:t>New Zealand to be a nation of people who have transformed their lives, enterprises and communities to anticipate, adapt and thrive to the ever-changing challenges of nature.</w:t>
      </w:r>
    </w:p>
    <w:p w14:paraId="68B8A9AA" w14:textId="77777777" w:rsidR="007420E6" w:rsidRPr="00BD16B4" w:rsidRDefault="007420E6" w:rsidP="007420E6">
      <w:pPr>
        <w:pStyle w:val="BodyText"/>
      </w:pPr>
      <w:r w:rsidRPr="00BD16B4">
        <w:t xml:space="preserve">In Phase 1 (2015–19), scientists and key partners co-developed new knowledge and tools across various natural hazards enabling improved resilience in New Zealand’s rural, urban, coastal and Māori communities. For instance, the research has contributed to the more resilient design of New Zealand’s electricity, transport and communications sectors, and agencies responsible for these networks are better able to collaborate and exchange resilience information. </w:t>
      </w:r>
    </w:p>
    <w:p w14:paraId="0F51D06D" w14:textId="77777777" w:rsidR="007420E6" w:rsidRPr="00BD16B4" w:rsidRDefault="007420E6" w:rsidP="007420E6">
      <w:pPr>
        <w:pStyle w:val="BodyText"/>
      </w:pPr>
      <w:r w:rsidRPr="00BD16B4">
        <w:t>An expanded programme for Phase 2 of the Challenge began in July 2019. The Phase 2 programme places a special emphasis on complex risk (where multiple natural hazards combine or cascade to threaten community sustainability). It is striving to integrate the modelling of physical, social and economic impacts of a range of natural hazards, including earthquakes, tsunami, landslides, volcanic eruptions, extreme weather and coastal inundation. To influence resilience decision-making, it is coupling this approach with new science that addresses the barriers, benefits and incentives for building resilience, and work in partnership with a wide range of stakeholders. Phase 2 of the Challenge is also looking to lift the approach to kaupapa Māori research and Vision Mātauranga, and increase the visibility, understanding and transformational potential of mātauranga Māori in natural hazard research and resilience.</w:t>
      </w:r>
    </w:p>
    <w:p w14:paraId="50B5AE21" w14:textId="77777777" w:rsidR="007420E6" w:rsidRPr="00BD16B4" w:rsidRDefault="007420E6" w:rsidP="007420E6">
      <w:pPr>
        <w:pStyle w:val="Heading5"/>
      </w:pPr>
      <w:r w:rsidRPr="00BD16B4">
        <w:t>Our Land and Water – Toitū te Whenua, Toiora te Wai</w:t>
      </w:r>
    </w:p>
    <w:p w14:paraId="64E5FB3B" w14:textId="7149054A" w:rsidR="007420E6" w:rsidRPr="00BD16B4" w:rsidRDefault="007420E6" w:rsidP="007420E6">
      <w:pPr>
        <w:pStyle w:val="BodyText"/>
        <w:rPr>
          <w:rFonts w:eastAsia="Calibri"/>
        </w:rPr>
      </w:pPr>
      <w:r w:rsidRPr="00BD16B4">
        <w:rPr>
          <w:rFonts w:eastAsia="Calibri"/>
        </w:rPr>
        <w:t xml:space="preserve">Our Land and Water aims to enhance the production and productivity of </w:t>
      </w:r>
      <w:r w:rsidRPr="00BD16B4">
        <w:rPr>
          <w:rFonts w:asciiTheme="minorHAnsi" w:hAnsiTheme="minorHAnsi" w:cstheme="minorHAnsi"/>
          <w:color w:val="000000"/>
        </w:rPr>
        <w:t xml:space="preserve">Aotearoa </w:t>
      </w:r>
      <w:r w:rsidRPr="00BD16B4">
        <w:rPr>
          <w:rFonts w:eastAsia="Calibri"/>
        </w:rPr>
        <w:t>New Zealand’s primary sector, while maintaining and improving the quality of the country’s land and water for future generations.</w:t>
      </w:r>
      <w:r w:rsidRPr="00BD16B4">
        <w:rPr>
          <w:rStyle w:val="FootnoteReference"/>
          <w:rFonts w:eastAsia="Calibri"/>
        </w:rPr>
        <w:footnoteReference w:id="362"/>
      </w:r>
      <w:r w:rsidRPr="00BD16B4">
        <w:t xml:space="preserve"> </w:t>
      </w:r>
      <w:r w:rsidRPr="00BD16B4">
        <w:rPr>
          <w:rFonts w:eastAsia="Calibri"/>
        </w:rPr>
        <w:t>It focuses on three main areas: future landscapes, incentives for change and pathways to transition</w:t>
      </w:r>
      <w:r w:rsidRPr="00BD16B4">
        <w:t>. The Challenge brings together research teams from various disciplines, from across universities, all the CRIs, and many businesses, iwi and Māori groups, government and non-governmental organisations, private citizens and</w:t>
      </w:r>
      <w:r w:rsidR="001E0E74" w:rsidRPr="00BD16B4">
        <w:t> </w:t>
      </w:r>
      <w:r w:rsidRPr="00BD16B4">
        <w:t>regional councils.</w:t>
      </w:r>
    </w:p>
    <w:p w14:paraId="65E3FF11" w14:textId="77777777" w:rsidR="007420E6" w:rsidRPr="00BD16B4" w:rsidRDefault="007420E6" w:rsidP="004E1B8C">
      <w:pPr>
        <w:pStyle w:val="Heading4"/>
      </w:pPr>
      <w:r w:rsidRPr="00BD16B4">
        <w:t>Other government funding</w:t>
      </w:r>
    </w:p>
    <w:p w14:paraId="76BD19F2" w14:textId="77777777" w:rsidR="007420E6" w:rsidRPr="00BD16B4" w:rsidRDefault="007420E6" w:rsidP="00E561CC">
      <w:pPr>
        <w:pStyle w:val="Heading5"/>
        <w:spacing w:before="180"/>
        <w:rPr>
          <w:sz w:val="22"/>
          <w:szCs w:val="24"/>
        </w:rPr>
      </w:pPr>
      <w:r w:rsidRPr="00BD16B4">
        <w:t>Endeavour Fund</w:t>
      </w:r>
    </w:p>
    <w:p w14:paraId="4F9952E6" w14:textId="16EF7267" w:rsidR="007420E6" w:rsidRPr="00BD16B4" w:rsidRDefault="007420E6" w:rsidP="00CE2428">
      <w:pPr>
        <w:pStyle w:val="BodyText"/>
        <w:spacing w:before="80" w:after="100"/>
        <w:rPr>
          <w:rFonts w:ascii="Times New Roman" w:eastAsia="Calibri" w:hAnsi="Times New Roman"/>
          <w:sz w:val="24"/>
          <w:szCs w:val="24"/>
        </w:rPr>
      </w:pPr>
      <w:r w:rsidRPr="00BD16B4">
        <w:t>MBIE’s Endeavour Fund contributes funding to climate change research.</w:t>
      </w:r>
      <w:r w:rsidRPr="00BD16B4">
        <w:rPr>
          <w:rStyle w:val="FootnoteReference"/>
        </w:rPr>
        <w:footnoteReference w:id="363"/>
      </w:r>
      <w:r w:rsidRPr="00BD16B4">
        <w:t xml:space="preserve"> The Endeavour Fund provides an open, competitive process for selecting research proposals with the potential to have a significant positive and transformational impact for </w:t>
      </w:r>
      <w:r w:rsidRPr="00BD16B4">
        <w:rPr>
          <w:rFonts w:asciiTheme="minorHAnsi" w:hAnsiTheme="minorHAnsi" w:cstheme="minorHAnsi"/>
          <w:color w:val="000000"/>
        </w:rPr>
        <w:t xml:space="preserve">Aotearoa </w:t>
      </w:r>
      <w:r w:rsidRPr="00BD16B4">
        <w:t>New Zealand. More than NZ$229 million in funding has been invested through the Endeavour Fund in 2022/23, with up to NZ$56 million per year invested in Smart Ideas and Research Programmes. The 2022–24 Endeavour Fund Investment Plan signalled that decision-makers would seek opportunities to fund proposals whose primary objective is to create new knowledge pathways</w:t>
      </w:r>
      <w:r w:rsidR="0040658E" w:rsidRPr="00BD16B4">
        <w:t> </w:t>
      </w:r>
      <w:r w:rsidRPr="00BD16B4">
        <w:t xml:space="preserve">to support the transition to a low emissions and climate resilient economy. </w:t>
      </w:r>
      <w:r w:rsidRPr="00BD16B4">
        <w:lastRenderedPageBreak/>
        <w:t>In</w:t>
      </w:r>
      <w:r w:rsidR="00A23069" w:rsidRPr="00BD16B4">
        <w:t> </w:t>
      </w:r>
      <w:r w:rsidRPr="00BD16B4">
        <w:t>2022/23 $15.97 million was invested in climate change and emissions reduction research through the fund. Examples of projects are listed below.</w:t>
      </w:r>
    </w:p>
    <w:p w14:paraId="480E104E" w14:textId="77777777" w:rsidR="007420E6" w:rsidRPr="00BD16B4" w:rsidRDefault="007420E6" w:rsidP="00CE2428">
      <w:pPr>
        <w:pStyle w:val="Bullet"/>
        <w:spacing w:after="100"/>
      </w:pPr>
      <w:r w:rsidRPr="00BD16B4">
        <w:rPr>
          <w:b/>
          <w:bCs/>
        </w:rPr>
        <w:t>NZ SeaRise</w:t>
      </w:r>
      <w:r w:rsidRPr="00BD16B4">
        <w:rPr>
          <w:b/>
          <w:bCs/>
          <w:lang w:eastAsia="en-GB"/>
        </w:rPr>
        <w:t>: Te Tai Pari O Aotearoa</w:t>
      </w:r>
      <w:r w:rsidRPr="00BD16B4">
        <w:t xml:space="preserve"> uses statistical modelling to combine estimates of vertical land movement and global scale sea-level change projections, to predict relative </w:t>
      </w:r>
      <w:r w:rsidRPr="00BD16B4">
        <w:rPr>
          <w:spacing w:val="-2"/>
        </w:rPr>
        <w:t>sea-level rise at local scales. These data are informing local planners, insurers, homeowners</w:t>
      </w:r>
      <w:r w:rsidRPr="00BD16B4">
        <w:t xml:space="preserve"> and more, to understand the risks associated with specific locations (Victoria University of Wellington, GNS Science and NIWA).</w:t>
      </w:r>
      <w:r w:rsidRPr="00BD16B4">
        <w:rPr>
          <w:rStyle w:val="FootnoteReference"/>
        </w:rPr>
        <w:footnoteReference w:id="364"/>
      </w:r>
    </w:p>
    <w:p w14:paraId="5E945680" w14:textId="77777777" w:rsidR="007420E6" w:rsidRPr="00BD16B4" w:rsidRDefault="007420E6" w:rsidP="00CE2428">
      <w:pPr>
        <w:pStyle w:val="Bullet"/>
        <w:spacing w:after="100"/>
      </w:pPr>
      <w:r w:rsidRPr="00BD16B4">
        <w:rPr>
          <w:b/>
          <w:bCs/>
        </w:rPr>
        <w:t>Future Coasts Aotearoa</w:t>
      </w:r>
      <w:r w:rsidRPr="00BD16B4">
        <w:t xml:space="preserve"> investigates how sea-level rise will affect the natural environment and rural land use. This includes changes to salinisation of groundwater and coastal wetland evolution. It is developing methods to enable equitable land-use planning decisions, which balance social, cultural, environmental and economic wellbeing (NIWA).</w:t>
      </w:r>
      <w:r w:rsidRPr="00BD16B4">
        <w:rPr>
          <w:rStyle w:val="FootnoteReference"/>
        </w:rPr>
        <w:footnoteReference w:id="365"/>
      </w:r>
    </w:p>
    <w:p w14:paraId="7BC7685A" w14:textId="77777777" w:rsidR="007420E6" w:rsidRPr="00BD16B4" w:rsidRDefault="007420E6" w:rsidP="00CE2428">
      <w:pPr>
        <w:pStyle w:val="Bullet"/>
        <w:spacing w:after="100"/>
      </w:pPr>
      <w:r w:rsidRPr="00BD16B4">
        <w:rPr>
          <w:b/>
          <w:bCs/>
        </w:rPr>
        <w:t xml:space="preserve">CarbonWatch NZ </w:t>
      </w:r>
      <w:r w:rsidRPr="00BD16B4">
        <w:t>combines measurements of greenhouse gases in the air above New Zealand with models that tell where those gases have come from, giving a bird’s eye view of the country’s carbon balance (NIWA and GNS Science).</w:t>
      </w:r>
      <w:r w:rsidRPr="00BD16B4">
        <w:rPr>
          <w:rStyle w:val="FootnoteReference"/>
        </w:rPr>
        <w:footnoteReference w:id="366"/>
      </w:r>
    </w:p>
    <w:p w14:paraId="2BFB4E91" w14:textId="77777777" w:rsidR="007420E6" w:rsidRPr="00BD16B4" w:rsidRDefault="007420E6" w:rsidP="00CE2428">
      <w:pPr>
        <w:pStyle w:val="Bullet"/>
        <w:spacing w:after="100"/>
      </w:pPr>
      <w:r w:rsidRPr="00BD16B4">
        <w:rPr>
          <w:b/>
          <w:bCs/>
        </w:rPr>
        <w:t xml:space="preserve">Natural carbon sequestration in our southern fjords </w:t>
      </w:r>
      <w:r w:rsidRPr="00BD16B4">
        <w:t>aims to understand the future of fjords and their ability to soak up carbon (University of Otago and GNS Science).</w:t>
      </w:r>
      <w:r w:rsidRPr="00BD16B4">
        <w:rPr>
          <w:rStyle w:val="FootnoteReference"/>
        </w:rPr>
        <w:footnoteReference w:id="367"/>
      </w:r>
    </w:p>
    <w:p w14:paraId="6301CC8B" w14:textId="77777777" w:rsidR="007420E6" w:rsidRPr="00BD16B4" w:rsidRDefault="007420E6" w:rsidP="007420E6">
      <w:pPr>
        <w:pStyle w:val="Bullet"/>
        <w:rPr>
          <w:lang w:eastAsia="en-GB"/>
        </w:rPr>
      </w:pPr>
      <w:r w:rsidRPr="00BD16B4">
        <w:rPr>
          <w:b/>
          <w:bCs/>
        </w:rPr>
        <w:t>Reversing carbon emissions in the geothermal energy industry</w:t>
      </w:r>
      <w:r w:rsidRPr="00BD16B4">
        <w:t xml:space="preserve"> by reinjecting and mineral trapping greenhouse gases back to the geothermal reservoirs (University of Auckland).</w:t>
      </w:r>
    </w:p>
    <w:p w14:paraId="5710CF5B" w14:textId="77777777" w:rsidR="007420E6" w:rsidRPr="00BD16B4" w:rsidRDefault="007420E6" w:rsidP="007420E6">
      <w:pPr>
        <w:pStyle w:val="Heading5"/>
      </w:pPr>
      <w:r w:rsidRPr="00BD16B4">
        <w:t>Systematic observations</w:t>
      </w:r>
    </w:p>
    <w:p w14:paraId="3AEFAE40" w14:textId="77777777" w:rsidR="007420E6" w:rsidRPr="00BD16B4" w:rsidRDefault="007420E6" w:rsidP="00E561CC">
      <w:pPr>
        <w:pStyle w:val="BodyText"/>
        <w:spacing w:before="80" w:line="270" w:lineRule="atLeast"/>
        <w:rPr>
          <w:lang w:eastAsia="en-GB"/>
        </w:rPr>
      </w:pPr>
      <w:r w:rsidRPr="00BD16B4">
        <w:rPr>
          <w:lang w:eastAsia="en-GB"/>
        </w:rPr>
        <w:t xml:space="preserve">Systematic observations are part-funded through the Crown contract for </w:t>
      </w:r>
      <w:r w:rsidRPr="00BD16B4">
        <w:rPr>
          <w:rFonts w:asciiTheme="minorHAnsi" w:hAnsiTheme="minorHAnsi" w:cstheme="minorHAnsi"/>
          <w:color w:val="000000"/>
        </w:rPr>
        <w:t xml:space="preserve">Aotearoa </w:t>
      </w:r>
      <w:r w:rsidRPr="00BD16B4">
        <w:rPr>
          <w:lang w:eastAsia="en-GB"/>
        </w:rPr>
        <w:t>New Zealand’s national weather service administered by the Ministry of Transport and awarded to MetService.</w:t>
      </w:r>
      <w:r w:rsidRPr="00BD16B4">
        <w:rPr>
          <w:rStyle w:val="FootnoteReference"/>
          <w:lang w:eastAsia="en-GB"/>
        </w:rPr>
        <w:footnoteReference w:id="368"/>
      </w:r>
      <w:r w:rsidRPr="00BD16B4">
        <w:rPr>
          <w:lang w:eastAsia="en-GB"/>
        </w:rPr>
        <w:t xml:space="preserve"> These cover routine upper air and surface weather observations </w:t>
      </w:r>
      <w:r w:rsidRPr="00BD16B4">
        <w:rPr>
          <w:spacing w:val="-2"/>
          <w:lang w:eastAsia="en-GB"/>
        </w:rPr>
        <w:t>and forecasting of extreme events that are also used for climate research. Further observations</w:t>
      </w:r>
      <w:r w:rsidRPr="00BD16B4">
        <w:rPr>
          <w:lang w:eastAsia="en-GB"/>
        </w:rPr>
        <w:t xml:space="preserve"> for climate research are supported by SSIF funding to NIWA, and both weather and climate observations are incorporated in the National Climate Database managed by NIWA. Limited support for observations in the Pacific is provided through the Ministry of Transport’s contract with MetService.</w:t>
      </w:r>
    </w:p>
    <w:p w14:paraId="17FC9F13" w14:textId="77777777" w:rsidR="007420E6" w:rsidRPr="00BD16B4" w:rsidRDefault="007420E6" w:rsidP="007420E6">
      <w:pPr>
        <w:pStyle w:val="Heading5"/>
      </w:pPr>
      <w:r w:rsidRPr="00BD16B4">
        <w:t>Investing in innovation</w:t>
      </w:r>
    </w:p>
    <w:p w14:paraId="516F5CDD" w14:textId="77777777" w:rsidR="007420E6" w:rsidRPr="00BD16B4" w:rsidRDefault="007420E6" w:rsidP="007420E6">
      <w:pPr>
        <w:pStyle w:val="BodyText"/>
      </w:pPr>
      <w:r w:rsidRPr="00BD16B4">
        <w:t xml:space="preserve">MPI supports problem solving and innovation in </w:t>
      </w:r>
      <w:r w:rsidRPr="00BD16B4">
        <w:rPr>
          <w:rFonts w:asciiTheme="minorHAnsi" w:hAnsiTheme="minorHAnsi" w:cstheme="minorHAnsi"/>
          <w:color w:val="000000"/>
        </w:rPr>
        <w:t xml:space="preserve">Aotearoa </w:t>
      </w:r>
      <w:r w:rsidRPr="00BD16B4">
        <w:t>New Zealand’s food and fibre sector by co-investing in initiatives that make a positive and lasting difference through the Sustainable Food and Fibre Futures fund. Several projects and programmes supported through the fund have a focus on developing and testing tools to reduce agricultural greenhouse gases. Some of these projects are highlighted in section 8.4.</w:t>
      </w:r>
    </w:p>
    <w:p w14:paraId="384A76A2" w14:textId="77777777" w:rsidR="007420E6" w:rsidRPr="00BD16B4" w:rsidRDefault="007420E6" w:rsidP="007420E6">
      <w:pPr>
        <w:pStyle w:val="Heading5"/>
      </w:pPr>
      <w:r w:rsidRPr="00BD16B4">
        <w:lastRenderedPageBreak/>
        <w:t>Regenerative farming practices</w:t>
      </w:r>
    </w:p>
    <w:p w14:paraId="1BB5F15B" w14:textId="77777777" w:rsidR="007420E6" w:rsidRPr="00BD16B4" w:rsidRDefault="007420E6" w:rsidP="00402371">
      <w:pPr>
        <w:pStyle w:val="BodyText"/>
        <w:keepLines/>
      </w:pPr>
      <w:r w:rsidRPr="00BD16B4">
        <w:t xml:space="preserve">MPI is supporting projects that are undertaking research into regenerative farming through the Sustainable Food and Fibre Futures fund. This will help </w:t>
      </w:r>
      <w:r w:rsidRPr="00BD16B4">
        <w:rPr>
          <w:rFonts w:asciiTheme="minorHAnsi" w:hAnsiTheme="minorHAnsi" w:cstheme="minorHAnsi"/>
          <w:color w:val="000000"/>
        </w:rPr>
        <w:t xml:space="preserve">Aotearoa </w:t>
      </w:r>
      <w:r w:rsidRPr="00BD16B4">
        <w:t>New Zealand define what regenerative agriculture means for the country and develop a sound evidence base of what works with New Zealand soils, climates and farming systems. Most projects are assessing regenerative farming practices, to test whether they increase soil carbon levels. As at September 2022, 13 regenerative farming projects are in progress or completed, representing almost $56 million of co-investment from the Government and industry.</w:t>
      </w:r>
    </w:p>
    <w:p w14:paraId="2DF8F4FE" w14:textId="77777777" w:rsidR="007420E6" w:rsidRPr="00BD16B4" w:rsidRDefault="007420E6" w:rsidP="007420E6">
      <w:pPr>
        <w:pStyle w:val="Heading5"/>
      </w:pPr>
      <w:r w:rsidRPr="00BD16B4">
        <w:t>Additional research funding</w:t>
      </w:r>
    </w:p>
    <w:p w14:paraId="42DB924F" w14:textId="77777777" w:rsidR="007420E6" w:rsidRPr="00BD16B4" w:rsidRDefault="007420E6" w:rsidP="007420E6">
      <w:pPr>
        <w:pStyle w:val="BodyText"/>
        <w:spacing w:after="100"/>
        <w:rPr>
          <w:lang w:eastAsia="en-GB"/>
        </w:rPr>
      </w:pPr>
      <w:r w:rsidRPr="00BD16B4">
        <w:rPr>
          <w:lang w:eastAsia="en-GB"/>
        </w:rPr>
        <w:t xml:space="preserve">Additional government support for research comes through: </w:t>
      </w:r>
    </w:p>
    <w:p w14:paraId="7C88B8F6" w14:textId="77777777" w:rsidR="007420E6" w:rsidRPr="00BD16B4" w:rsidRDefault="007420E6" w:rsidP="007420E6">
      <w:pPr>
        <w:pStyle w:val="Bullet"/>
      </w:pPr>
      <w:r w:rsidRPr="00BD16B4">
        <w:t>the Marsden Fund, which is administered by the Royal Society of New Zealand Te Apārangi and is not subject to government research priorities</w:t>
      </w:r>
    </w:p>
    <w:p w14:paraId="242CB486" w14:textId="77777777" w:rsidR="007420E6" w:rsidRPr="00BD16B4" w:rsidRDefault="007420E6" w:rsidP="007420E6">
      <w:pPr>
        <w:pStyle w:val="Bullet"/>
      </w:pPr>
      <w:r w:rsidRPr="00BD16B4">
        <w:t>funding for university research within Vote Education</w:t>
      </w:r>
    </w:p>
    <w:p w14:paraId="62163598" w14:textId="77777777" w:rsidR="007420E6" w:rsidRPr="00BD16B4" w:rsidRDefault="007420E6" w:rsidP="007420E6">
      <w:pPr>
        <w:pStyle w:val="Bullet"/>
      </w:pPr>
      <w:r w:rsidRPr="00BD16B4">
        <w:t>the Health Research Council through Vote Health.</w:t>
      </w:r>
    </w:p>
    <w:p w14:paraId="0912FBE9" w14:textId="77777777" w:rsidR="007420E6" w:rsidRPr="00BD16B4" w:rsidRDefault="007420E6" w:rsidP="007420E6">
      <w:pPr>
        <w:pStyle w:val="BodyText"/>
        <w:rPr>
          <w:lang w:eastAsia="en-GB"/>
        </w:rPr>
      </w:pPr>
      <w:r w:rsidRPr="00BD16B4">
        <w:rPr>
          <w:lang w:eastAsia="en-GB"/>
        </w:rPr>
        <w:t xml:space="preserve">Direct funding of research occurs in </w:t>
      </w:r>
      <w:r w:rsidRPr="00BD16B4">
        <w:t>some</w:t>
      </w:r>
      <w:r w:rsidRPr="00BD16B4">
        <w:rPr>
          <w:lang w:eastAsia="en-GB"/>
        </w:rPr>
        <w:t xml:space="preserve"> climate change areas by core government departments to meet operational and policy development needs. For example, the Ministry for the Environment’s guidance to local government on flooding, planning for coastal hazards, and research on measuring land-based carbon stock changes (see section 8.4.6). For more details about the research projects funded by MBIE, search the ‘Who got funded’ database using the search term ‘climate change’.</w:t>
      </w:r>
      <w:r w:rsidRPr="00BD16B4">
        <w:rPr>
          <w:rStyle w:val="FootnoteReference"/>
        </w:rPr>
        <w:footnoteReference w:id="369"/>
      </w:r>
    </w:p>
    <w:p w14:paraId="3856DE81" w14:textId="77777777" w:rsidR="007420E6" w:rsidRPr="00BD16B4" w:rsidRDefault="007420E6" w:rsidP="007420E6">
      <w:pPr>
        <w:pStyle w:val="Heading2"/>
      </w:pPr>
      <w:bookmarkStart w:id="401" w:name="_Toc121774664"/>
      <w:r w:rsidRPr="00BD16B4">
        <w:t>8.3</w:t>
      </w:r>
      <w:r w:rsidRPr="00BD16B4">
        <w:tab/>
        <w:t>Information exchange and dissemination of knowledge</w:t>
      </w:r>
      <w:bookmarkEnd w:id="401"/>
    </w:p>
    <w:p w14:paraId="77A2D1ED" w14:textId="77777777" w:rsidR="007420E6" w:rsidRPr="00BD16B4" w:rsidRDefault="007420E6" w:rsidP="007420E6">
      <w:pPr>
        <w:pStyle w:val="BodyText"/>
        <w:spacing w:before="100" w:after="100"/>
        <w:rPr>
          <w:lang w:eastAsia="en-GB"/>
        </w:rPr>
      </w:pPr>
      <w:r w:rsidRPr="00BD16B4">
        <w:rPr>
          <w:lang w:eastAsia="en-GB"/>
        </w:rPr>
        <w:t xml:space="preserve">The Ministry for the Environment and MPI work in conjunction with science providers to disseminate research findings on climate change (see chapter 9). </w:t>
      </w:r>
    </w:p>
    <w:p w14:paraId="3C5C73D9" w14:textId="77777777" w:rsidR="007420E6" w:rsidRPr="00BD16B4" w:rsidRDefault="007420E6" w:rsidP="007420E6">
      <w:pPr>
        <w:pStyle w:val="BodyText"/>
        <w:spacing w:before="100" w:after="100"/>
        <w:rPr>
          <w:lang w:eastAsia="en-GB"/>
        </w:rPr>
      </w:pPr>
      <w:r w:rsidRPr="00BD16B4">
        <w:rPr>
          <w:lang w:eastAsia="en-GB"/>
        </w:rPr>
        <w:t xml:space="preserve">Outside of central government, CRIs provide information on their specific subject area on climate change on their websites and through papers, conferences and peer-reviewed publications. For example, NIWA provides public access to the National Climate Database via the internet, and produces monthly updates of recent climate data and the seasonal outlook. </w:t>
      </w:r>
    </w:p>
    <w:p w14:paraId="41D52453" w14:textId="77777777" w:rsidR="007420E6" w:rsidRPr="00BD16B4" w:rsidRDefault="007420E6" w:rsidP="007420E6">
      <w:pPr>
        <w:pStyle w:val="Heading3"/>
        <w:spacing w:before="320"/>
      </w:pPr>
      <w:r w:rsidRPr="00BD16B4">
        <w:t>8.3.1</w:t>
      </w:r>
      <w:r w:rsidRPr="00BD16B4">
        <w:tab/>
        <w:t xml:space="preserve">International exchange of data and information </w:t>
      </w:r>
    </w:p>
    <w:p w14:paraId="28DF4B7C" w14:textId="77777777" w:rsidR="007420E6" w:rsidRPr="00BD16B4" w:rsidRDefault="007420E6" w:rsidP="007420E6">
      <w:pPr>
        <w:pStyle w:val="BodyText"/>
        <w:spacing w:before="100"/>
        <w:rPr>
          <w:lang w:eastAsia="en-GB"/>
        </w:rPr>
      </w:pPr>
      <w:r w:rsidRPr="00BD16B4">
        <w:rPr>
          <w:lang w:eastAsia="en-GB"/>
        </w:rPr>
        <w:t xml:space="preserve">Aotearoa New Zealand exchanges data and information with other countries, in line with the Technical Regulations of the WMO. Selected weather observations useful for weather and climate modelling are disseminated in real time by MetService through the WMO Global Telecommunications System, and climate and greenhouse gas monitoring data are provided to </w:t>
      </w:r>
      <w:r w:rsidRPr="00BD16B4">
        <w:rPr>
          <w:spacing w:val="-2"/>
          <w:lang w:eastAsia="en-GB"/>
        </w:rPr>
        <w:t>appropriate world data centres. In the marine environment, New Zealand also contributes data to international databases such as Argo and the Integrated Marine Observing System (IMOS).</w:t>
      </w:r>
      <w:r w:rsidRPr="00BD16B4">
        <w:rPr>
          <w:lang w:eastAsia="en-GB"/>
        </w:rPr>
        <w:t xml:space="preserve"> </w:t>
      </w:r>
    </w:p>
    <w:p w14:paraId="195FAAE4" w14:textId="77777777" w:rsidR="007420E6" w:rsidRPr="00BD16B4" w:rsidRDefault="007420E6" w:rsidP="00F35DB2">
      <w:pPr>
        <w:pStyle w:val="BodyText"/>
        <w:keepLines/>
        <w:spacing w:before="100"/>
        <w:rPr>
          <w:lang w:eastAsia="en-GB"/>
        </w:rPr>
      </w:pPr>
      <w:r w:rsidRPr="00BD16B4">
        <w:rPr>
          <w:lang w:eastAsia="en-GB"/>
        </w:rPr>
        <w:lastRenderedPageBreak/>
        <w:t xml:space="preserve">New Zealand has identified particular opportunities for the dissemination of real-time climate data throughout the Pacific to provide up-to-date information on current climate conditions and seasonal outlooks to Pacific Island nations, and to help them deal with climate variability. This has led to the establishment of the </w:t>
      </w:r>
      <w:r w:rsidRPr="00BD16B4">
        <w:rPr>
          <w:i/>
          <w:iCs/>
          <w:lang w:eastAsia="en-GB"/>
        </w:rPr>
        <w:t>Island Climate Update</w:t>
      </w:r>
      <w:r w:rsidRPr="00BD16B4">
        <w:rPr>
          <w:lang w:eastAsia="en-GB"/>
        </w:rPr>
        <w:t xml:space="preserve"> (discussed in section 8.2.1). NIWA also produces a similar monthly publication for New Zealand, the </w:t>
      </w:r>
      <w:r w:rsidRPr="00BD16B4">
        <w:rPr>
          <w:i/>
          <w:lang w:eastAsia="en-GB"/>
        </w:rPr>
        <w:t>New Zealand</w:t>
      </w:r>
      <w:r w:rsidRPr="00BD16B4">
        <w:rPr>
          <w:lang w:eastAsia="en-GB"/>
        </w:rPr>
        <w:t xml:space="preserve"> </w:t>
      </w:r>
      <w:r w:rsidRPr="00BD16B4">
        <w:rPr>
          <w:i/>
          <w:iCs/>
          <w:lang w:eastAsia="en-GB"/>
        </w:rPr>
        <w:t>Seasonal Climate Outlook</w:t>
      </w:r>
      <w:r w:rsidRPr="00BD16B4">
        <w:rPr>
          <w:lang w:eastAsia="en-GB"/>
        </w:rPr>
        <w:t>,</w:t>
      </w:r>
      <w:r w:rsidRPr="00BD16B4">
        <w:rPr>
          <w:i/>
          <w:iCs/>
          <w:lang w:eastAsia="en-GB"/>
        </w:rPr>
        <w:t xml:space="preserve"> </w:t>
      </w:r>
      <w:r w:rsidRPr="00BD16B4">
        <w:rPr>
          <w:iCs/>
          <w:lang w:eastAsia="en-GB"/>
        </w:rPr>
        <w:t>as well as monthly, seasonal and annual c</w:t>
      </w:r>
      <w:r w:rsidRPr="00BD16B4">
        <w:rPr>
          <w:lang w:eastAsia="en-GB"/>
        </w:rPr>
        <w:t>limate summaries. Additional exchanges of information occur under the auspices of the Pacific Islands Global Climate Observing System (PI-GCOS) and the Asia–Pacific Network for Global Change Research.</w:t>
      </w:r>
    </w:p>
    <w:p w14:paraId="062BB450" w14:textId="77777777" w:rsidR="007420E6" w:rsidRPr="00BD16B4" w:rsidRDefault="007420E6" w:rsidP="007420E6">
      <w:pPr>
        <w:pStyle w:val="BodyText"/>
        <w:spacing w:before="100"/>
        <w:rPr>
          <w:lang w:eastAsia="en-GB"/>
        </w:rPr>
      </w:pPr>
      <w:r w:rsidRPr="00BD16B4">
        <w:rPr>
          <w:lang w:eastAsia="en-GB"/>
        </w:rPr>
        <w:t>New Zealand also provides input into the IPCC Emission Factor Data Base. A New Zealand scientist currently serves on the Editorial Board, and several emission factors based on New Zealand agricultural research have been submitted to the Emission Factor Data Base. New Zealand data contributed to the development of new emission factors for the agriculture sector in the 2019 refinement of the IPCC 2006 Guidelines for</w:t>
      </w:r>
      <w:r w:rsidRPr="00BD16B4">
        <w:t xml:space="preserve"> </w:t>
      </w:r>
      <w:r w:rsidRPr="00BD16B4">
        <w:rPr>
          <w:lang w:eastAsia="en-GB"/>
        </w:rPr>
        <w:t xml:space="preserve">National Greenhouse Gas Inventories. </w:t>
      </w:r>
    </w:p>
    <w:p w14:paraId="55B11F7A" w14:textId="77777777" w:rsidR="007420E6" w:rsidRPr="00BD16B4" w:rsidRDefault="007420E6" w:rsidP="007420E6">
      <w:pPr>
        <w:pStyle w:val="Heading3"/>
        <w:spacing w:before="320"/>
      </w:pPr>
      <w:r w:rsidRPr="00BD16B4">
        <w:t>8.3.2</w:t>
      </w:r>
      <w:r w:rsidRPr="00BD16B4">
        <w:tab/>
        <w:t xml:space="preserve">Partnerships </w:t>
      </w:r>
    </w:p>
    <w:p w14:paraId="071170ED" w14:textId="77777777" w:rsidR="007420E6" w:rsidRPr="00BD16B4" w:rsidRDefault="007420E6" w:rsidP="005510AC">
      <w:pPr>
        <w:pStyle w:val="Heading4"/>
        <w:spacing w:before="180"/>
      </w:pPr>
      <w:r w:rsidRPr="00BD16B4">
        <w:t xml:space="preserve">Multilateral partnerships </w:t>
      </w:r>
    </w:p>
    <w:p w14:paraId="4325F343" w14:textId="77777777" w:rsidR="007420E6" w:rsidRPr="00BD16B4" w:rsidRDefault="007420E6" w:rsidP="007420E6">
      <w:pPr>
        <w:pStyle w:val="Heading5"/>
        <w:spacing w:before="180"/>
      </w:pPr>
      <w:r w:rsidRPr="00BD16B4">
        <w:t>Global Research Alliance on Agricultural Greenhouse Gases</w:t>
      </w:r>
    </w:p>
    <w:p w14:paraId="21F22FE7" w14:textId="77777777" w:rsidR="007420E6" w:rsidRPr="00BD16B4" w:rsidRDefault="007420E6" w:rsidP="007420E6">
      <w:pPr>
        <w:pStyle w:val="BodyText"/>
        <w:rPr>
          <w:lang w:eastAsia="en-GB"/>
        </w:rPr>
      </w:pPr>
      <w:r w:rsidRPr="00BD16B4">
        <w:rPr>
          <w:lang w:eastAsia="en-GB"/>
        </w:rPr>
        <w:t xml:space="preserve">Aotearoa New Zealand provides funding to support GRA research to reduce agricultural greenhouse gases primarily from pastoral-based livestock farming systems. </w:t>
      </w:r>
    </w:p>
    <w:p w14:paraId="63246D3C" w14:textId="77777777" w:rsidR="007420E6" w:rsidRPr="00BD16B4" w:rsidRDefault="007420E6" w:rsidP="007420E6">
      <w:pPr>
        <w:pStyle w:val="BodyText"/>
        <w:spacing w:after="100"/>
        <w:rPr>
          <w:lang w:eastAsia="en-GB"/>
        </w:rPr>
      </w:pPr>
      <w:r w:rsidRPr="00BD16B4">
        <w:rPr>
          <w:lang w:eastAsia="en-GB"/>
        </w:rPr>
        <w:t>New Zealand supported international research collaborations through multi-partner funds, such as the New Zealand Fund for Global Partnerships in Livestock Emissions Research.</w:t>
      </w:r>
      <w:r w:rsidRPr="00BD16B4">
        <w:rPr>
          <w:rStyle w:val="FootnoteReference"/>
          <w:lang w:eastAsia="en-GB"/>
        </w:rPr>
        <w:footnoteReference w:id="370"/>
      </w:r>
      <w:r w:rsidRPr="00BD16B4">
        <w:rPr>
          <w:lang w:eastAsia="en-GB"/>
        </w:rPr>
        <w:t xml:space="preserve"> This was a contestable, international research fund managed by MPI to accelerate global research in mitigating greenhouse gas emissions from pastoral livestock farming. It sought solutions to research challenges in the areas of: </w:t>
      </w:r>
      <w:r w:rsidRPr="00BD16B4">
        <w:t>manipulating rumen function</w:t>
      </w:r>
      <w:r w:rsidRPr="00BD16B4">
        <w:rPr>
          <w:lang w:eastAsia="en-GB"/>
        </w:rPr>
        <w:t xml:space="preserve">, reducing nitrous oxide emissions from soils, manipulating rates of soil carbon change and improved tools and practices for minimising greenhouse gas emissions intensity at the farm system level. </w:t>
      </w:r>
    </w:p>
    <w:p w14:paraId="077F791B" w14:textId="77777777" w:rsidR="007420E6" w:rsidRPr="00BD16B4" w:rsidRDefault="007420E6" w:rsidP="007420E6">
      <w:pPr>
        <w:pStyle w:val="BodyText"/>
        <w:spacing w:before="100" w:after="100"/>
        <w:rPr>
          <w:lang w:eastAsia="en-GB"/>
        </w:rPr>
      </w:pPr>
      <w:r w:rsidRPr="00BD16B4">
        <w:rPr>
          <w:lang w:eastAsia="en-GB"/>
        </w:rPr>
        <w:t>Funding under the New Zealand GRA budget also enables New Zealand scientists to participate in other collaborative funding calls.</w:t>
      </w:r>
      <w:r w:rsidRPr="00BD16B4">
        <w:t xml:space="preserve"> For example, New Zealand is participating in the international programme ‘European Research Area Network’ (ERA-NET), collaborating in research projects aligned with New Zealand’s priorities in agriculture and climate change mitigation. New Zealand is also leading the Joint Research initiative with Ireland, which will enable New Zealand researchers to be involved in internationally collaborative research. This project will identify technologies and practices to help farmers mitigate greenhouse gas emissions from already advanced pasture-based systems.</w:t>
      </w:r>
    </w:p>
    <w:p w14:paraId="4055C046" w14:textId="77777777" w:rsidR="007420E6" w:rsidRPr="00BD16B4" w:rsidRDefault="007420E6" w:rsidP="007420E6">
      <w:pPr>
        <w:pStyle w:val="BodyText"/>
        <w:spacing w:before="100" w:after="100"/>
        <w:rPr>
          <w:lang w:eastAsia="en-GB"/>
        </w:rPr>
      </w:pPr>
      <w:r w:rsidRPr="00BD16B4">
        <w:rPr>
          <w:lang w:eastAsia="en-GB"/>
        </w:rPr>
        <w:t>The Global Research Alliance Senior Scientist awards provided short-term exchange opportunities for senior scientists from both New Zealand and other GRA member countries to encourage global research collaboration. During this reporting period, three awardees from Brazil, New Zealand and the United States of America have been supported by the programme.</w:t>
      </w:r>
    </w:p>
    <w:p w14:paraId="34BE1180" w14:textId="77777777" w:rsidR="007420E6" w:rsidRPr="00BD16B4" w:rsidRDefault="007420E6" w:rsidP="007420E6">
      <w:pPr>
        <w:pStyle w:val="Heading5"/>
      </w:pPr>
      <w:r w:rsidRPr="00BD16B4">
        <w:lastRenderedPageBreak/>
        <w:t>Other partnerships</w:t>
      </w:r>
    </w:p>
    <w:p w14:paraId="7AB22DB1" w14:textId="77777777" w:rsidR="007420E6" w:rsidRPr="00BD16B4" w:rsidRDefault="007420E6" w:rsidP="007420E6">
      <w:pPr>
        <w:pStyle w:val="BodyText"/>
        <w:spacing w:before="100" w:after="100"/>
        <w:rPr>
          <w:lang w:eastAsia="en-GB"/>
        </w:rPr>
      </w:pPr>
      <w:r w:rsidRPr="00BD16B4">
        <w:rPr>
          <w:lang w:eastAsia="en-GB"/>
        </w:rPr>
        <w:t xml:space="preserve">Aotearoa New Zealand has co-funded a </w:t>
      </w:r>
      <w:r w:rsidRPr="00BD16B4">
        <w:t>project</w:t>
      </w:r>
      <w:r w:rsidRPr="00BD16B4">
        <w:rPr>
          <w:lang w:eastAsia="en-GB"/>
        </w:rPr>
        <w:t xml:space="preserve"> with the Inter-American Development Bank’s Regional Fund for Agricultural Technology (FONTAGRO). The project focuses on contributing to the design of land uses and management with a high potential for soil organic carbon (SOC) sequestration in the agricultural production systems of Latin America and the Caribbean (LAC) and to generate capacities in LAC for the quantification and monitoring of SOC stocks. This project has the involvement of five developing countries from the LAC region, for example, Argentina, Chile, Colombia, Costa Rica and Uruguay.</w:t>
      </w:r>
      <w:r w:rsidRPr="00BD16B4">
        <w:t xml:space="preserve"> </w:t>
      </w:r>
      <w:r w:rsidRPr="00BD16B4">
        <w:rPr>
          <w:lang w:eastAsia="en-GB"/>
        </w:rPr>
        <w:t>The direct beneficiaries of the project will be the national entities of Argentina, Chile, Costa Rica, Colombia and Uruguay in charge of reporting greenhouse gas inventories, especially SOC stocks. Neighbouring LAC countries with similar agroecosystems to those of the five participating countries will also benefit from the products of this project.</w:t>
      </w:r>
    </w:p>
    <w:p w14:paraId="208FE979" w14:textId="77777777" w:rsidR="007420E6" w:rsidRPr="00BD16B4" w:rsidRDefault="007420E6" w:rsidP="007420E6">
      <w:pPr>
        <w:pStyle w:val="Heading5"/>
      </w:pPr>
      <w:r w:rsidRPr="00BD16B4">
        <w:t>MethaneSAT</w:t>
      </w:r>
    </w:p>
    <w:p w14:paraId="4BFC7856" w14:textId="77777777" w:rsidR="007420E6" w:rsidRPr="00BD16B4" w:rsidRDefault="007420E6" w:rsidP="007420E6">
      <w:pPr>
        <w:pStyle w:val="BodyText"/>
        <w:spacing w:before="100" w:after="100"/>
        <w:rPr>
          <w:lang w:eastAsia="en-GB"/>
        </w:rPr>
      </w:pPr>
      <w:r w:rsidRPr="00BD16B4">
        <w:rPr>
          <w:lang w:eastAsia="en-GB"/>
        </w:rPr>
        <w:t>Aotearoa New Zealand is contributing $26 million towards MethaneSAT, a state-of-the-art satellite being designed to detect global methane emissions. This will deliver two main outputs: an atmospheric science research project to investigate applications of the satellite’s data for New Zealand, and a satellite mission operations control centre. The operations control centre will provide a set of functional capabilities for the command, control and support of the satellite, and will effectively run the mission once the satellite is launched. The project is in partnership with Environmental Defense Fund (EDF), a US environmental non-government organisation. EDF aims to use MethaneSAT’s data to reduce global oil and gas industry methane emissions.</w:t>
      </w:r>
    </w:p>
    <w:p w14:paraId="2FA1499E" w14:textId="77777777" w:rsidR="007420E6" w:rsidRPr="00BD16B4" w:rsidRDefault="007420E6" w:rsidP="004E1B8C">
      <w:pPr>
        <w:pStyle w:val="Heading4"/>
      </w:pPr>
      <w:r w:rsidRPr="00BD16B4">
        <w:t>International organisations</w:t>
      </w:r>
    </w:p>
    <w:p w14:paraId="59920C16" w14:textId="77777777" w:rsidR="007420E6" w:rsidRPr="00BD16B4" w:rsidRDefault="007420E6" w:rsidP="007420E6">
      <w:pPr>
        <w:pStyle w:val="BodyText"/>
        <w:spacing w:before="100" w:after="100"/>
        <w:rPr>
          <w:lang w:eastAsia="en-GB"/>
        </w:rPr>
      </w:pPr>
      <w:r w:rsidRPr="00BD16B4">
        <w:rPr>
          <w:lang w:eastAsia="en-GB"/>
        </w:rPr>
        <w:t xml:space="preserve">Aotearoa New Zealand is an active member of the WMO and exchanges information and data through both the WMO and its subsidiary and associated bodies. Through membership of GCOS and its Pacific arm, PI-GCOS, and through the Asia–Pacific Network for Global Change Research, New Zealand works to lower barriers to, and further facilitate, such data exchanges. New Zealand has provided input to the development and implementation of the Global Framework for Climate Services and is represented on the Intergovernmental Board for Climate Services. </w:t>
      </w:r>
    </w:p>
    <w:p w14:paraId="52E69217" w14:textId="77777777" w:rsidR="007420E6" w:rsidRPr="00BD16B4" w:rsidRDefault="007420E6" w:rsidP="007420E6">
      <w:pPr>
        <w:pStyle w:val="BodyText"/>
        <w:rPr>
          <w:lang w:eastAsia="en-GB"/>
        </w:rPr>
      </w:pPr>
      <w:r w:rsidRPr="00BD16B4">
        <w:rPr>
          <w:lang w:eastAsia="en-GB"/>
        </w:rPr>
        <w:t xml:space="preserve">New Zealand continues to contribute actively to the work of the IPCC. New Zealand provides support for one elected member of the IPCC Bureau, participates in plenary meetings, task groups, workshops and expert meetings, and contributes to the IPCC’s assessment reports. The Government also provides financial support for New Zealand lead authors involved in the IPCC’s Sixth Assessment Report. Draft reports and outlines receive wide government review. New Zealand was an active participant in all working groups and stages of the Sixth Assessment Report, from providing support to the Working Group III Vice Chair from WMO Region V (South-West Pacific), participating in 17 chapters in Working Groups I, II and III, to the writing of the synthesis report, with the involvement of 32 individual experts. </w:t>
      </w:r>
    </w:p>
    <w:p w14:paraId="727F5DFC" w14:textId="1EA4723D" w:rsidR="007420E6" w:rsidRPr="00BD16B4" w:rsidRDefault="007420E6" w:rsidP="005510AC">
      <w:pPr>
        <w:pStyle w:val="BodyText"/>
        <w:keepLines/>
        <w:rPr>
          <w:lang w:eastAsia="en-GB"/>
        </w:rPr>
      </w:pPr>
      <w:r w:rsidRPr="00BD16B4">
        <w:rPr>
          <w:lang w:eastAsia="en-GB"/>
        </w:rPr>
        <w:t>New Zealand is also involved in cryospheric science collaboration and data exchange through the Scientific Committee on Antarctic Research and the Antarctic Treaty Consultative Meeting.</w:t>
      </w:r>
      <w:r w:rsidR="00402371" w:rsidRPr="00BD16B4">
        <w:rPr>
          <w:lang w:eastAsia="en-GB"/>
        </w:rPr>
        <w:t> </w:t>
      </w:r>
      <w:r w:rsidRPr="00BD16B4">
        <w:rPr>
          <w:lang w:eastAsia="en-GB"/>
        </w:rPr>
        <w:t>Several New Zealand scientists are involved at high levels in the World Climate Research Programme.</w:t>
      </w:r>
    </w:p>
    <w:p w14:paraId="1B458063" w14:textId="77777777" w:rsidR="007420E6" w:rsidRPr="00BD16B4" w:rsidRDefault="007420E6" w:rsidP="007420E6">
      <w:pPr>
        <w:pStyle w:val="Heading2"/>
      </w:pPr>
      <w:bookmarkStart w:id="402" w:name="_Toc121774665"/>
      <w:r w:rsidRPr="00BD16B4">
        <w:lastRenderedPageBreak/>
        <w:t>8.4</w:t>
      </w:r>
      <w:r w:rsidRPr="00BD16B4">
        <w:tab/>
        <w:t>Research highlights</w:t>
      </w:r>
      <w:bookmarkEnd w:id="402"/>
    </w:p>
    <w:p w14:paraId="545B28E9" w14:textId="77777777" w:rsidR="007420E6" w:rsidRPr="00BD16B4" w:rsidRDefault="007420E6" w:rsidP="007420E6">
      <w:pPr>
        <w:pStyle w:val="BodyText"/>
        <w:rPr>
          <w:rFonts w:ascii="Times New Roman" w:eastAsia="Calibri" w:hAnsi="Times New Roman"/>
          <w:sz w:val="24"/>
          <w:szCs w:val="24"/>
        </w:rPr>
      </w:pPr>
      <w:r w:rsidRPr="00BD16B4">
        <w:rPr>
          <w:lang w:eastAsia="en-GB"/>
        </w:rPr>
        <w:t xml:space="preserve">This section presents some of the highlights, innovations and significant projects in climate change research in Aotearoa New Zealand since the </w:t>
      </w:r>
      <w:r w:rsidRPr="00BD16B4">
        <w:rPr>
          <w:i/>
          <w:lang w:eastAsia="en-GB"/>
        </w:rPr>
        <w:t>Seventh National Communication</w:t>
      </w:r>
      <w:r w:rsidRPr="00BD16B4">
        <w:rPr>
          <w:lang w:eastAsia="en-GB"/>
        </w:rPr>
        <w:t xml:space="preserve">. </w:t>
      </w:r>
    </w:p>
    <w:p w14:paraId="483D4F68" w14:textId="77777777" w:rsidR="007420E6" w:rsidRPr="00BD16B4" w:rsidRDefault="007420E6" w:rsidP="007420E6">
      <w:pPr>
        <w:pStyle w:val="BodyText"/>
        <w:spacing w:after="100"/>
        <w:rPr>
          <w:lang w:eastAsia="en-GB"/>
        </w:rPr>
      </w:pPr>
      <w:r w:rsidRPr="00BD16B4">
        <w:rPr>
          <w:lang w:eastAsia="en-GB"/>
        </w:rPr>
        <w:t>Climate change research in New Zealand seeks to develop information and knowledge on many issues. Particular information needs and areas of national research excellence include:</w:t>
      </w:r>
    </w:p>
    <w:p w14:paraId="731C1DAC" w14:textId="77777777" w:rsidR="007420E6" w:rsidRPr="00BD16B4" w:rsidRDefault="007420E6" w:rsidP="007420E6">
      <w:pPr>
        <w:pStyle w:val="Bullet"/>
        <w:spacing w:after="100"/>
      </w:pPr>
      <w:r w:rsidRPr="00BD16B4">
        <w:t>past climate trends and variability</w:t>
      </w:r>
    </w:p>
    <w:p w14:paraId="18AB47F9" w14:textId="77777777" w:rsidR="007420E6" w:rsidRPr="00BD16B4" w:rsidRDefault="007420E6" w:rsidP="007420E6">
      <w:pPr>
        <w:pStyle w:val="Bullet"/>
        <w:spacing w:after="100"/>
      </w:pPr>
      <w:r w:rsidRPr="00BD16B4">
        <w:t>climate processes and phenomena, and the causes of variability and change</w:t>
      </w:r>
    </w:p>
    <w:p w14:paraId="7DF4D1ED" w14:textId="77777777" w:rsidR="007420E6" w:rsidRPr="00BD16B4" w:rsidRDefault="007420E6" w:rsidP="007420E6">
      <w:pPr>
        <w:pStyle w:val="Bullet"/>
        <w:spacing w:after="100"/>
      </w:pPr>
      <w:r w:rsidRPr="00BD16B4">
        <w:t>regional climate modelling, predictions and projections</w:t>
      </w:r>
    </w:p>
    <w:p w14:paraId="34267353" w14:textId="77777777" w:rsidR="007420E6" w:rsidRPr="00BD16B4" w:rsidRDefault="007420E6" w:rsidP="007420E6">
      <w:pPr>
        <w:pStyle w:val="Bullet"/>
        <w:spacing w:after="100"/>
      </w:pPr>
      <w:r w:rsidRPr="00BD16B4">
        <w:t>the effects of these projected changes on the environment of New Zealand, the southwest Pacific, Southern Ocean and Antarctica, and on society and the economy</w:t>
      </w:r>
    </w:p>
    <w:p w14:paraId="4223054E" w14:textId="77777777" w:rsidR="007420E6" w:rsidRPr="00BD16B4" w:rsidRDefault="007420E6" w:rsidP="007420E6">
      <w:pPr>
        <w:pStyle w:val="Bullet"/>
        <w:spacing w:after="100"/>
      </w:pPr>
      <w:r w:rsidRPr="00BD16B4">
        <w:t>adaptation options</w:t>
      </w:r>
    </w:p>
    <w:p w14:paraId="548F461F" w14:textId="77777777" w:rsidR="007420E6" w:rsidRPr="00BD16B4" w:rsidRDefault="007420E6" w:rsidP="007420E6">
      <w:pPr>
        <w:pStyle w:val="Bullet"/>
      </w:pPr>
      <w:r w:rsidRPr="00BD16B4">
        <w:t>greenhouse gas measurement and national greenhouse gas inventory development and support</w:t>
      </w:r>
    </w:p>
    <w:p w14:paraId="1781E35D" w14:textId="77777777" w:rsidR="007420E6" w:rsidRPr="00BD16B4" w:rsidRDefault="007420E6" w:rsidP="007420E6">
      <w:pPr>
        <w:pStyle w:val="Bullet"/>
        <w:spacing w:after="100"/>
      </w:pPr>
      <w:r w:rsidRPr="00BD16B4">
        <w:t xml:space="preserve">reducing emissions from pastoral agriculture </w:t>
      </w:r>
    </w:p>
    <w:p w14:paraId="6CFC20ED" w14:textId="77777777" w:rsidR="007420E6" w:rsidRPr="00BD16B4" w:rsidRDefault="007420E6" w:rsidP="007420E6">
      <w:pPr>
        <w:pStyle w:val="Bullet"/>
        <w:spacing w:after="100"/>
      </w:pPr>
      <w:r w:rsidRPr="00BD16B4">
        <w:t>enhancing sinks, particularly forest sinks and soil carbon</w:t>
      </w:r>
    </w:p>
    <w:p w14:paraId="1F882281" w14:textId="77777777" w:rsidR="007420E6" w:rsidRPr="00BD16B4" w:rsidRDefault="007420E6" w:rsidP="007420E6">
      <w:pPr>
        <w:pStyle w:val="Bullet"/>
        <w:spacing w:after="100"/>
      </w:pPr>
      <w:r w:rsidRPr="00BD16B4">
        <w:t>community resilience and human health</w:t>
      </w:r>
    </w:p>
    <w:p w14:paraId="44A072D3" w14:textId="77777777" w:rsidR="007420E6" w:rsidRPr="00BD16B4" w:rsidRDefault="007420E6" w:rsidP="007420E6">
      <w:pPr>
        <w:pStyle w:val="Bullet"/>
        <w:spacing w:after="100"/>
      </w:pPr>
      <w:r w:rsidRPr="00BD16B4">
        <w:t xml:space="preserve">oceanic and atmospheric chemistry. </w:t>
      </w:r>
    </w:p>
    <w:p w14:paraId="5A61D8D3" w14:textId="77777777" w:rsidR="007420E6" w:rsidRPr="00BD16B4" w:rsidRDefault="007420E6" w:rsidP="007420E6">
      <w:pPr>
        <w:pStyle w:val="Heading3"/>
      </w:pPr>
      <w:r w:rsidRPr="00BD16B4">
        <w:t>8.4.1</w:t>
      </w:r>
      <w:r w:rsidRPr="00BD16B4">
        <w:tab/>
        <w:t>Climate processes and climate system studies</w:t>
      </w:r>
    </w:p>
    <w:p w14:paraId="76C7FE20" w14:textId="77777777" w:rsidR="007420E6" w:rsidRPr="00BD16B4" w:rsidRDefault="007420E6" w:rsidP="004E1B8C">
      <w:pPr>
        <w:pStyle w:val="Heading4"/>
      </w:pPr>
      <w:r w:rsidRPr="00BD16B4">
        <w:t>Climate variability and trends</w:t>
      </w:r>
    </w:p>
    <w:p w14:paraId="716D0BE8" w14:textId="77777777" w:rsidR="007420E6" w:rsidRPr="00BD16B4" w:rsidRDefault="007420E6" w:rsidP="007420E6">
      <w:pPr>
        <w:pStyle w:val="BodyText"/>
        <w:rPr>
          <w:lang w:eastAsia="en-GB"/>
        </w:rPr>
      </w:pPr>
      <w:r w:rsidRPr="00BD16B4">
        <w:rPr>
          <w:lang w:eastAsia="en-GB"/>
        </w:rPr>
        <w:t xml:space="preserve">Aotearoa New Zealand research has a strong focus on identifying regional climate trends and variability. It includes observations, analysis and documentation of atmospheric, oceanic, coastal, river and stream, lake, snow, glacier, sea-ice and sea-level conditions in New Zealand, </w:t>
      </w:r>
      <w:r w:rsidRPr="00BD16B4">
        <w:rPr>
          <w:spacing w:val="-2"/>
          <w:lang w:eastAsia="en-GB"/>
        </w:rPr>
        <w:t>the southwest Pacific, the Southern Ocean and Antarctica. Substantial international collaboration</w:t>
      </w:r>
      <w:r w:rsidRPr="00BD16B4">
        <w:rPr>
          <w:lang w:eastAsia="en-GB"/>
        </w:rPr>
        <w:t xml:space="preserve"> occurs, including analysing data from Argo floats, to provide improved knowledge of physical </w:t>
      </w:r>
      <w:r w:rsidRPr="00BD16B4">
        <w:rPr>
          <w:spacing w:val="-2"/>
          <w:lang w:eastAsia="en-GB"/>
        </w:rPr>
        <w:t>ocean conditions in the region, and contributions to the Atmospheric Circulation Reconstructions</w:t>
      </w:r>
      <w:r w:rsidRPr="00BD16B4">
        <w:rPr>
          <w:lang w:eastAsia="en-GB"/>
        </w:rPr>
        <w:t xml:space="preserve"> over the Earth project. </w:t>
      </w:r>
    </w:p>
    <w:p w14:paraId="7F6EADE7" w14:textId="77777777" w:rsidR="007420E6" w:rsidRPr="00BD16B4" w:rsidRDefault="007420E6" w:rsidP="007420E6">
      <w:pPr>
        <w:pStyle w:val="BodyText"/>
        <w:rPr>
          <w:lang w:eastAsia="en-GB"/>
        </w:rPr>
      </w:pPr>
      <w:r w:rsidRPr="00BD16B4">
        <w:rPr>
          <w:lang w:eastAsia="en-GB"/>
        </w:rPr>
        <w:t xml:space="preserve">The research leads to journal papers, regular monthly, seasonal and annual climate updates, briefings to stakeholders (eg, on drought conditions) and annual reports on the state of the climate. </w:t>
      </w:r>
    </w:p>
    <w:p w14:paraId="5412630A" w14:textId="77777777" w:rsidR="007420E6" w:rsidRPr="00BD16B4" w:rsidRDefault="007420E6" w:rsidP="007420E6">
      <w:pPr>
        <w:pStyle w:val="BodyText"/>
        <w:rPr>
          <w:lang w:eastAsia="en-GB"/>
        </w:rPr>
      </w:pPr>
      <w:r w:rsidRPr="00BD16B4">
        <w:rPr>
          <w:lang w:eastAsia="en-GB"/>
        </w:rPr>
        <w:t>The ‘Deep South National Science Challenge: Changing with our climate’ also includes observational studies as part of its Processes and Observations programme. For example, building on previous research that resulted in significant unified model improvements, the clouds and aerosols observation project is collaborating with two joint German–New Zealand measurement campaigns, to better understand the properties of mixed-phase clouds and the influence of aerosols on cloud phase, which are of particular importance for the southern hemisphere climate. Other studies under way as part of the Deep South Challenge include a study on ocean–atmosphere interactions during storms, and the impact of climate change on snow and glacier melt and the flow-on consequences for the hydrological cycle.</w:t>
      </w:r>
    </w:p>
    <w:p w14:paraId="606E54AB" w14:textId="77777777" w:rsidR="007420E6" w:rsidRPr="00BD16B4" w:rsidRDefault="007420E6" w:rsidP="004E1B8C">
      <w:pPr>
        <w:pStyle w:val="Heading4"/>
      </w:pPr>
      <w:r w:rsidRPr="00BD16B4">
        <w:lastRenderedPageBreak/>
        <w:t xml:space="preserve">Climate processes, phenomena and causes of variability and change </w:t>
      </w:r>
    </w:p>
    <w:p w14:paraId="03B2FC64" w14:textId="77777777" w:rsidR="007420E6" w:rsidRPr="00BD16B4" w:rsidRDefault="007420E6" w:rsidP="007420E6">
      <w:pPr>
        <w:pStyle w:val="BodyText"/>
        <w:rPr>
          <w:lang w:eastAsia="en-GB"/>
        </w:rPr>
      </w:pPr>
      <w:r w:rsidRPr="00BD16B4">
        <w:rPr>
          <w:lang w:eastAsia="en-GB"/>
        </w:rPr>
        <w:t xml:space="preserve">This research aims to understand how the dynamics of the climate system influence the atmosphere, ocean, ice and hydrospheric conditions in the Aotearoa New Zealand region, and to identify the cause of changes. This includes research on particular climate phenomena of regional relevance, including the </w:t>
      </w:r>
      <w:r w:rsidRPr="00BD16B4">
        <w:rPr>
          <w:iCs/>
        </w:rPr>
        <w:t>El Niño</w:t>
      </w:r>
      <w:r w:rsidRPr="00BD16B4">
        <w:rPr>
          <w:lang w:eastAsia="en-GB"/>
        </w:rPr>
        <w:t xml:space="preserve"> / Southern Oscillation, the Interdecadal Pacific Oscillation, the Southern Annular Mode and tropical cyclones. It also includes studies of tropical–extra-tropical links, and detection and attribution research to identify the causes of climate change and climate extremes in the region. Further work addresses interactions between sea ice and atmospheric circulation at both the large and small scales, and the effect these have on the ocean, along with work on how ocean variability affects the regional climate. The knowledge gained in this research contributes to, and underpins, New Zealand research on seasonal climate predictions and climate change modelling. </w:t>
      </w:r>
    </w:p>
    <w:p w14:paraId="04893AC2" w14:textId="77777777" w:rsidR="007420E6" w:rsidRPr="00BD16B4" w:rsidRDefault="007420E6" w:rsidP="004E1B8C">
      <w:pPr>
        <w:pStyle w:val="Heading4"/>
      </w:pPr>
      <w:r w:rsidRPr="00BD16B4">
        <w:t>Palaeoclimate</w:t>
      </w:r>
    </w:p>
    <w:p w14:paraId="1F9FE152" w14:textId="77777777" w:rsidR="007420E6" w:rsidRPr="00BD16B4" w:rsidRDefault="007420E6" w:rsidP="007420E6">
      <w:pPr>
        <w:pStyle w:val="BodyText"/>
      </w:pPr>
      <w:r w:rsidRPr="00BD16B4">
        <w:t xml:space="preserve">The past climates of the Aotearoa New Zealand region are investigated using proxy records to study temperatures, vegetation, glaciers and ocean circulation, among other climate parameters, on a variety of timescales. It is of particular interest to relate the changes seen in New Zealand to global changes in atmospheric and oceanic circulation. Research is being conducted to synthesise results from disparate sources of palaeoclimate information and quantify climate changes that have occurred in the past. This includes information on the regional and temporal patterns of climate change. In addition, such research provides information on natural periodicities, such as the frequency and intensity of El Niño–La Niña events, as well as the frequency of more extreme events. </w:t>
      </w:r>
    </w:p>
    <w:p w14:paraId="5393CD25" w14:textId="77777777" w:rsidR="007420E6" w:rsidRPr="00BD16B4" w:rsidRDefault="007420E6" w:rsidP="007420E6">
      <w:pPr>
        <w:pStyle w:val="BodyText"/>
      </w:pPr>
      <w:r w:rsidRPr="00BD16B4">
        <w:t>Palaeoclimate research in Antarctica is an area of national excellence. With substantial leadership and participation from New Zealand scientists, the ANDRILL (Antarctic Drilling) project successfully recovered two long rock cores from beneath the sea floor. These cores reveal substantial glacial and interglacial fluctuations of the West Antarctic Ice Sheet over the past 20 million years, and other changes in ice, vegetation and sea level during climates warmer than the present. New Zealand has developed the capability for drilling long ice cores. A 750-metre-deep ice core was recovered from Roosevelt Island in Antarctica to investigate the past 20,000 years, and the stability of the Ross Ice Shelf and West Antarctic Ice Sheet in a warming world.</w:t>
      </w:r>
    </w:p>
    <w:p w14:paraId="6831F3C8" w14:textId="72F82C60" w:rsidR="007420E6" w:rsidRPr="00BD16B4" w:rsidRDefault="007420E6" w:rsidP="007420E6">
      <w:pPr>
        <w:pStyle w:val="BodyText"/>
      </w:pPr>
      <w:r w:rsidRPr="00BD16B4">
        <w:t>Sea level reconstructions from drilling in New Zealand’s Wanganui Basin show large portions of the Antarctic collapsed during times when atmospheric CO</w:t>
      </w:r>
      <w:r w:rsidRPr="00BD16B4">
        <w:rPr>
          <w:vertAlign w:val="subscript"/>
        </w:rPr>
        <w:t>2</w:t>
      </w:r>
      <w:r w:rsidRPr="00BD16B4">
        <w:t xml:space="preserve"> levels last exceeded 400 parts per million and average surface temperatures were 2–3</w:t>
      </w:r>
      <w:r w:rsidR="00833FAF" w:rsidRPr="00BD16B4">
        <w:t>°C</w:t>
      </w:r>
      <w:r w:rsidRPr="00BD16B4">
        <w:t xml:space="preserve"> warmer than the pre</w:t>
      </w:r>
      <w:r w:rsidRPr="00BD16B4">
        <w:noBreakHyphen/>
        <w:t>industrial period. Data derived from these sea level studies, ANDRILL, and similar Antarctic paleoclimate research activities have been used to guide ice sheet modelling experiments that improve process understanding and model performance. These paleo-tested models are incorporated into the suite of models in the Inter-Sectoral Impact Model Intercomparison Project that are used to project the future contribution of Antarctica to the global sea level.</w:t>
      </w:r>
    </w:p>
    <w:p w14:paraId="5F623CB6" w14:textId="77777777" w:rsidR="007420E6" w:rsidRPr="00BD16B4" w:rsidRDefault="007420E6" w:rsidP="004E1B8C">
      <w:pPr>
        <w:pStyle w:val="Heading4"/>
      </w:pPr>
      <w:r w:rsidRPr="00BD16B4">
        <w:t>Atmospheric chemistry</w:t>
      </w:r>
    </w:p>
    <w:p w14:paraId="56BFF206" w14:textId="77777777" w:rsidR="007420E6" w:rsidRPr="00BD16B4" w:rsidRDefault="007420E6" w:rsidP="007420E6">
      <w:pPr>
        <w:pStyle w:val="BodyText"/>
        <w:rPr>
          <w:lang w:eastAsia="en-GB"/>
        </w:rPr>
      </w:pPr>
      <w:r w:rsidRPr="00BD16B4">
        <w:rPr>
          <w:lang w:eastAsia="en-GB"/>
        </w:rPr>
        <w:t>NIWA and GNS Science are continuing measurements and computer modelling to improve knowledge about the sources, sinks and transport of greenhouse gases in the atmosphere. This work includes participation in the international Total Carbon Column Observing Network,</w:t>
      </w:r>
      <w:r w:rsidRPr="00BD16B4">
        <w:t xml:space="preserve"> the </w:t>
      </w:r>
      <w:r w:rsidRPr="00BD16B4">
        <w:rPr>
          <w:lang w:eastAsia="en-GB"/>
        </w:rPr>
        <w:t xml:space="preserve">WMO’s Global Atmospheric Watch and the Network for the Detection of Atmospheric Composition Change. Research is also being undertaken on the implications of climate </w:t>
      </w:r>
      <w:r w:rsidRPr="00BD16B4">
        <w:rPr>
          <w:lang w:eastAsia="en-GB"/>
        </w:rPr>
        <w:lastRenderedPageBreak/>
        <w:t xml:space="preserve">change for the recovery of stratospheric ozone concentrations. The </w:t>
      </w:r>
      <w:r w:rsidRPr="00BD16B4">
        <w:t xml:space="preserve">Aotearoa </w:t>
      </w:r>
      <w:r w:rsidRPr="00BD16B4">
        <w:rPr>
          <w:lang w:eastAsia="en-GB"/>
        </w:rPr>
        <w:t xml:space="preserve">New Zealand greenhouse gas monitoring network has recently been expanded, and observations from this are used to refine </w:t>
      </w:r>
      <w:r w:rsidRPr="00BD16B4">
        <w:t>CO</w:t>
      </w:r>
      <w:r w:rsidRPr="00BD16B4">
        <w:rPr>
          <w:vertAlign w:val="subscript"/>
        </w:rPr>
        <w:t>2</w:t>
      </w:r>
      <w:r w:rsidRPr="00BD16B4">
        <w:rPr>
          <w:lang w:eastAsia="en-GB"/>
        </w:rPr>
        <w:t xml:space="preserve"> and methane source and sink estimates for forest and grassland use. The CarbonWatch NZ programme combines measurements of greenhouse gases in the air above New Zealand with models that tell where those gases have come from, giving us a bird’s eye view of the country’s carbon balance.</w:t>
      </w:r>
    </w:p>
    <w:p w14:paraId="1CB4BD34" w14:textId="77777777" w:rsidR="007420E6" w:rsidRPr="00BD16B4" w:rsidRDefault="007420E6" w:rsidP="004E1B8C">
      <w:pPr>
        <w:pStyle w:val="Heading4"/>
      </w:pPr>
      <w:r w:rsidRPr="00BD16B4">
        <w:t>Ocean–atmosphere gas</w:t>
      </w:r>
    </w:p>
    <w:p w14:paraId="5CCB3261" w14:textId="2997B81B" w:rsidR="007420E6" w:rsidRPr="00BD16B4" w:rsidRDefault="00F72686" w:rsidP="007420E6">
      <w:pPr>
        <w:pStyle w:val="BodyText"/>
      </w:pPr>
      <w:r w:rsidRPr="00BD16B4">
        <w:t>The Ocean Climate Interaction programme at NIWA provides information on the transfer of CO</w:t>
      </w:r>
      <w:r w:rsidRPr="00BD16B4">
        <w:rPr>
          <w:vertAlign w:val="subscript"/>
        </w:rPr>
        <w:t>2</w:t>
      </w:r>
      <w:r w:rsidRPr="00BD16B4">
        <w:t>, significant trace gas species and aerosols between the ocean and atmosphere. The programme also investigates the dynamics and circulation of the ocean around Aotearoa New Zealand, with the aim of quantifying their variation in time and space.</w:t>
      </w:r>
      <w:r w:rsidR="007420E6" w:rsidRPr="00BD16B4">
        <w:t xml:space="preserve"> It considers biogeochemical and physical processes that drive exchange and their response to climate forcing through feedback mechanisms, and how this will affect future productivity, carbon uptake and ecosystem health in regional waters. Long-term regional monitoring and modelling provide critical input into national policy and strategy – and international commitments – on climate change, ocean acidification and global ocean carbon uptake. </w:t>
      </w:r>
    </w:p>
    <w:p w14:paraId="7A589FCE" w14:textId="77777777" w:rsidR="007420E6" w:rsidRPr="00BD16B4" w:rsidRDefault="007420E6" w:rsidP="007420E6">
      <w:pPr>
        <w:pStyle w:val="BodyText"/>
      </w:pPr>
      <w:r w:rsidRPr="00BD16B4">
        <w:t>In particular, knowledge of carbon sinks in the New Zealand region is an important requirement of regional budgets and models that inform national policy and international response to climate change. The Southern Ocean is the largest regional sink for anthropogenic CO</w:t>
      </w:r>
      <w:r w:rsidRPr="00BD16B4">
        <w:rPr>
          <w:vertAlign w:val="subscript"/>
        </w:rPr>
        <w:t>2</w:t>
      </w:r>
      <w:r w:rsidRPr="00BD16B4">
        <w:t>, and so understanding the controls and rate of marine CO</w:t>
      </w:r>
      <w:r w:rsidRPr="00BD16B4">
        <w:rPr>
          <w:vertAlign w:val="subscript"/>
        </w:rPr>
        <w:t>2</w:t>
      </w:r>
      <w:r w:rsidRPr="00BD16B4">
        <w:t xml:space="preserve"> uptake is critical for global carbon budgets. Related work also considers the role of marine carbon sinks, from coastal ‘blue’ carbon to potential large-scale climate intervention techniques, as well as other mitigation and adaptation approaches, in combating climate change.</w:t>
      </w:r>
    </w:p>
    <w:p w14:paraId="34F7A99B" w14:textId="77777777" w:rsidR="007420E6" w:rsidRPr="00BD16B4" w:rsidRDefault="007420E6" w:rsidP="007420E6">
      <w:pPr>
        <w:pStyle w:val="Heading3"/>
      </w:pPr>
      <w:r w:rsidRPr="00BD16B4">
        <w:t>8.4.2</w:t>
      </w:r>
      <w:r w:rsidRPr="00BD16B4">
        <w:tab/>
        <w:t>Modelling and prediction, including general circulation models</w:t>
      </w:r>
      <w:r w:rsidRPr="00BD16B4">
        <w:rPr>
          <w:rFonts w:asciiTheme="minorHAnsi" w:hAnsiTheme="minorHAnsi" w:cstheme="minorBidi"/>
          <w:sz w:val="20"/>
          <w:szCs w:val="20"/>
        </w:rPr>
        <w:t xml:space="preserve"> </w:t>
      </w:r>
    </w:p>
    <w:p w14:paraId="1C327E3F" w14:textId="77777777" w:rsidR="007420E6" w:rsidRPr="00BD16B4" w:rsidRDefault="007420E6" w:rsidP="007420E6">
      <w:pPr>
        <w:pStyle w:val="BodyText"/>
        <w:rPr>
          <w:rFonts w:eastAsia="Lato" w:cs="Lato"/>
        </w:rPr>
      </w:pPr>
      <w:r w:rsidRPr="00BD16B4">
        <w:rPr>
          <w:rFonts w:eastAsia="Calibri"/>
        </w:rPr>
        <w:t xml:space="preserve">Information on future climate change scenarios for </w:t>
      </w:r>
      <w:r w:rsidRPr="00BD16B4">
        <w:rPr>
          <w:rFonts w:eastAsia="Calibri" w:cs="Calibri"/>
        </w:rPr>
        <w:t xml:space="preserve">Aotearoa </w:t>
      </w:r>
      <w:r w:rsidRPr="00BD16B4">
        <w:rPr>
          <w:rFonts w:eastAsia="Calibri"/>
        </w:rPr>
        <w:t xml:space="preserve">New Zealand is provided in the Ministry for the Environment’s 2018 report </w:t>
      </w:r>
      <w:r w:rsidRPr="00BD16B4">
        <w:rPr>
          <w:rFonts w:eastAsia="Calibri"/>
          <w:i/>
          <w:iCs/>
        </w:rPr>
        <w:t>Climate Projections for New Zealand</w:t>
      </w:r>
      <w:r w:rsidRPr="00BD16B4">
        <w:rPr>
          <w:rFonts w:eastAsia="Calibri"/>
        </w:rPr>
        <w:t>.</w:t>
      </w:r>
      <w:r w:rsidRPr="00BD16B4">
        <w:rPr>
          <w:rStyle w:val="FootnoteReference"/>
          <w:rFonts w:eastAsia="Calibri" w:cs="Calibri"/>
          <w:color w:val="000000" w:themeColor="text1"/>
        </w:rPr>
        <w:footnoteReference w:id="371"/>
      </w:r>
      <w:r w:rsidRPr="00BD16B4">
        <w:rPr>
          <w:rFonts w:eastAsia="Calibri"/>
        </w:rPr>
        <w:t xml:space="preserve"> These projections are based on the IPCC’s </w:t>
      </w:r>
      <w:r w:rsidRPr="00BD16B4">
        <w:rPr>
          <w:rFonts w:eastAsia="Calibri"/>
          <w:i/>
          <w:iCs/>
        </w:rPr>
        <w:t>Fifth Assessment Report</w:t>
      </w:r>
      <w:r w:rsidRPr="00BD16B4">
        <w:rPr>
          <w:rFonts w:eastAsia="Calibri"/>
        </w:rPr>
        <w:t>.</w:t>
      </w:r>
      <w:r w:rsidRPr="00BD16B4">
        <w:rPr>
          <w:rStyle w:val="FootnoteReference"/>
          <w:rFonts w:eastAsia="Calibri"/>
        </w:rPr>
        <w:footnoteReference w:id="372"/>
      </w:r>
      <w:r w:rsidRPr="00BD16B4">
        <w:rPr>
          <w:rFonts w:eastAsia="Calibri"/>
        </w:rPr>
        <w:t xml:space="preserve"> A further interim report provides information on how the IPCC’s </w:t>
      </w:r>
      <w:r w:rsidRPr="00BD16B4">
        <w:rPr>
          <w:rFonts w:eastAsia="Calibri"/>
          <w:i/>
          <w:iCs/>
        </w:rPr>
        <w:t xml:space="preserve">Sixth Assessment Report </w:t>
      </w:r>
      <w:r w:rsidRPr="00BD16B4">
        <w:rPr>
          <w:rFonts w:eastAsia="Calibri"/>
        </w:rPr>
        <w:t xml:space="preserve">affects regional projections for New Zealand. However, there is </w:t>
      </w:r>
      <w:r w:rsidRPr="00BD16B4">
        <w:rPr>
          <w:rFonts w:eastAsia="Calibri"/>
          <w:i/>
          <w:iCs/>
        </w:rPr>
        <w:t xml:space="preserve">very high confidence </w:t>
      </w:r>
      <w:r w:rsidRPr="00BD16B4">
        <w:rPr>
          <w:rFonts w:eastAsia="Calibri"/>
        </w:rPr>
        <w:t xml:space="preserve">that projected climate changes for the region in the </w:t>
      </w:r>
      <w:r w:rsidRPr="00BD16B4">
        <w:rPr>
          <w:rFonts w:eastAsia="Calibri"/>
          <w:i/>
          <w:iCs/>
        </w:rPr>
        <w:t>Sixth Assessment Report</w:t>
      </w:r>
      <w:r w:rsidRPr="00BD16B4">
        <w:rPr>
          <w:rFonts w:eastAsia="Calibri"/>
        </w:rPr>
        <w:t xml:space="preserve"> have not altered substantially since the fifth report. </w:t>
      </w:r>
    </w:p>
    <w:p w14:paraId="5821EFAE" w14:textId="77777777" w:rsidR="007420E6" w:rsidRPr="00BD16B4" w:rsidRDefault="007420E6" w:rsidP="007420E6">
      <w:pPr>
        <w:pStyle w:val="BodyText"/>
        <w:rPr>
          <w:lang w:eastAsia="en-GB"/>
        </w:rPr>
      </w:pPr>
      <w:r w:rsidRPr="00BD16B4">
        <w:t>Three main sources of uncertainty exist for projected climate change: emission scenarios, regional climate responses, and random climate variability, highlighting the importance of future adaptation.</w:t>
      </w:r>
      <w:r w:rsidRPr="00BD16B4">
        <w:rPr>
          <w:rFonts w:eastAsia="Calibri" w:cs="Calibri"/>
          <w:color w:val="000000" w:themeColor="text1"/>
        </w:rPr>
        <w:t xml:space="preserve"> Several observed impacts in New Zealand have already been directly attributed to climate change, with further climate change and the associated impacts inevitable.</w:t>
      </w:r>
      <w:r w:rsidRPr="00BD16B4">
        <w:rPr>
          <w:rStyle w:val="FootnoteReference"/>
          <w:rFonts w:eastAsia="Calibri" w:cs="Calibri"/>
          <w:color w:val="000000" w:themeColor="text1"/>
        </w:rPr>
        <w:footnoteReference w:id="373"/>
      </w:r>
      <w:r w:rsidRPr="00BD16B4">
        <w:rPr>
          <w:rFonts w:eastAsia="Calibri" w:cs="Calibri"/>
          <w:color w:val="000000" w:themeColor="text1"/>
        </w:rPr>
        <w:t xml:space="preserve"> Preliminary projections based on</w:t>
      </w:r>
      <w:r w:rsidRPr="00BD16B4">
        <w:t xml:space="preserve"> the </w:t>
      </w:r>
      <w:r w:rsidRPr="00BD16B4">
        <w:rPr>
          <w:rFonts w:eastAsia="Calibri" w:cs="Calibri"/>
          <w:color w:val="000000" w:themeColor="text1"/>
        </w:rPr>
        <w:t xml:space="preserve">Coupled Model Intercomparison Project </w:t>
      </w:r>
      <w:r w:rsidRPr="00BD16B4">
        <w:rPr>
          <w:rFonts w:eastAsia="Calibri" w:cs="Calibri"/>
          <w:color w:val="000000" w:themeColor="text1"/>
        </w:rPr>
        <w:lastRenderedPageBreak/>
        <w:t xml:space="preserve">Phase 6 (CMIP6) models are described in the IPCC Working Group I </w:t>
      </w:r>
      <w:r w:rsidRPr="00BD16B4">
        <w:rPr>
          <w:rFonts w:eastAsia="Calibri"/>
          <w:i/>
          <w:iCs/>
        </w:rPr>
        <w:t>Sixth Assessment Report</w:t>
      </w:r>
      <w:r w:rsidRPr="00BD16B4">
        <w:rPr>
          <w:rFonts w:eastAsia="Calibri" w:cs="Calibri"/>
          <w:color w:val="000000" w:themeColor="text1"/>
        </w:rPr>
        <w:t>.</w:t>
      </w:r>
      <w:r w:rsidRPr="00BD16B4">
        <w:rPr>
          <w:rStyle w:val="FootnoteReference"/>
          <w:rFonts w:eastAsia="Calibri" w:cs="Calibri"/>
        </w:rPr>
        <w:footnoteReference w:id="374"/>
      </w:r>
      <w:r w:rsidRPr="00BD16B4">
        <w:rPr>
          <w:rFonts w:eastAsia="Calibri" w:cs="Calibri"/>
          <w:color w:val="000000" w:themeColor="text1"/>
        </w:rPr>
        <w:t xml:space="preserve"> For New Zealand, the CMIP6 projections are broadly similar to CMIP5, as reported in the </w:t>
      </w:r>
      <w:r w:rsidRPr="00BD16B4">
        <w:rPr>
          <w:rFonts w:eastAsia="Calibri" w:cs="Calibri"/>
          <w:i/>
          <w:iCs/>
          <w:color w:val="000000" w:themeColor="text1"/>
        </w:rPr>
        <w:t>Fifth Assessment Report</w:t>
      </w:r>
      <w:r w:rsidRPr="00BD16B4">
        <w:rPr>
          <w:rFonts w:eastAsia="Calibri" w:cs="Calibri"/>
          <w:color w:val="000000" w:themeColor="text1"/>
        </w:rPr>
        <w:t xml:space="preserve">. In general, the CMIP6 models indicate greater warming, a smaller increase in summer precipitation, and a larger increase in winter precipitation. Other significant differences are reported in </w:t>
      </w:r>
      <w:r w:rsidRPr="00BD16B4">
        <w:rPr>
          <w:rFonts w:eastAsia="Calibri" w:cs="Calibri"/>
        </w:rPr>
        <w:t>New Zealand climate change projections guidance.</w:t>
      </w:r>
      <w:r w:rsidRPr="00BD16B4">
        <w:rPr>
          <w:rStyle w:val="FootnoteReference"/>
          <w:rFonts w:eastAsia="Calibri" w:cs="Calibri"/>
        </w:rPr>
        <w:footnoteReference w:id="375"/>
      </w:r>
    </w:p>
    <w:p w14:paraId="28F4DA47" w14:textId="77777777" w:rsidR="007420E6" w:rsidRPr="00BD16B4" w:rsidRDefault="007420E6" w:rsidP="007420E6">
      <w:pPr>
        <w:pStyle w:val="BodyText"/>
        <w:rPr>
          <w:lang w:eastAsia="en-GB"/>
        </w:rPr>
      </w:pPr>
      <w:r w:rsidRPr="00BD16B4">
        <w:rPr>
          <w:lang w:eastAsia="en-GB"/>
        </w:rPr>
        <w:t xml:space="preserve">Regional climate scenarios for New Zealand through the 21st century, based on statistical downscaling from global climate models and dynamical downscaling using the CMIP5 global climate models, produced in association with the IPCC’s </w:t>
      </w:r>
      <w:r w:rsidRPr="00BD16B4">
        <w:rPr>
          <w:i/>
          <w:lang w:eastAsia="en-GB"/>
        </w:rPr>
        <w:t>Fifth Assessment Report</w:t>
      </w:r>
      <w:r w:rsidRPr="00BD16B4">
        <w:rPr>
          <w:lang w:eastAsia="en-GB"/>
        </w:rPr>
        <w:t xml:space="preserve">, have been completed. These regional climate scenarios are derived from the four Representative Concentration Pathways used by the IPCC in its </w:t>
      </w:r>
      <w:r w:rsidRPr="00BD16B4">
        <w:rPr>
          <w:i/>
          <w:lang w:eastAsia="en-GB"/>
        </w:rPr>
        <w:t>Fifth Assessment Report</w:t>
      </w:r>
      <w:r w:rsidRPr="00BD16B4">
        <w:rPr>
          <w:lang w:eastAsia="en-GB"/>
        </w:rPr>
        <w:t xml:space="preserve">. The downscaled data have been mapped onto a 5 kilometre grid to produce estimates of temperature and rainfall for any location across the country. </w:t>
      </w:r>
    </w:p>
    <w:p w14:paraId="54669721" w14:textId="77777777" w:rsidR="007420E6" w:rsidRPr="00BD16B4" w:rsidRDefault="007420E6" w:rsidP="007420E6">
      <w:pPr>
        <w:pStyle w:val="BodyText"/>
        <w:rPr>
          <w:lang w:eastAsia="en-GB"/>
        </w:rPr>
      </w:pPr>
      <w:r w:rsidRPr="00BD16B4">
        <w:rPr>
          <w:lang w:eastAsia="en-GB"/>
        </w:rPr>
        <w:t xml:space="preserve">These projections, completed in 2016, were based on CMIP5 global climate model runs assessed in the </w:t>
      </w:r>
      <w:r w:rsidRPr="00BD16B4">
        <w:rPr>
          <w:i/>
          <w:lang w:eastAsia="en-GB"/>
        </w:rPr>
        <w:t>Fifth Assessment Report</w:t>
      </w:r>
      <w:r w:rsidRPr="00BD16B4">
        <w:rPr>
          <w:lang w:eastAsia="en-GB"/>
        </w:rPr>
        <w:t xml:space="preserve">. This involved both statistical and dynamical downscaling using a climate model installed in NIWA’s supercomputer, and also helped in assessing likely changes in climatic extremes. Outputs from the dynamical modelling were also linked to hydrological models to provide river flow projections. More fundamental research on uncertainties in climate models and their implications for regional predictability is also under way. NIWA has begun preparation of new climate change projections downscaled from the IPCC’s </w:t>
      </w:r>
      <w:r w:rsidRPr="00BD16B4">
        <w:rPr>
          <w:i/>
          <w:iCs/>
          <w:lang w:eastAsia="en-GB"/>
        </w:rPr>
        <w:t>Sixth Assessment Report</w:t>
      </w:r>
      <w:r w:rsidRPr="00BD16B4">
        <w:rPr>
          <w:lang w:eastAsia="en-GB"/>
        </w:rPr>
        <w:t>.</w:t>
      </w:r>
    </w:p>
    <w:p w14:paraId="7EC0B5CF" w14:textId="111689C5" w:rsidR="007420E6" w:rsidRPr="00BD16B4" w:rsidRDefault="007420E6" w:rsidP="007420E6">
      <w:pPr>
        <w:pStyle w:val="BodyText"/>
        <w:rPr>
          <w:lang w:eastAsia="en-GB"/>
        </w:rPr>
      </w:pPr>
      <w:r w:rsidRPr="00BD16B4">
        <w:rPr>
          <w:lang w:eastAsia="en-GB"/>
        </w:rPr>
        <w:t>As a core member of the Unified Model Partnership,</w:t>
      </w:r>
      <w:r w:rsidR="00EC17A0" w:rsidRPr="00BD16B4">
        <w:rPr>
          <w:rStyle w:val="FootnoteReference"/>
          <w:lang w:eastAsia="en-GB"/>
        </w:rPr>
        <w:footnoteReference w:id="376"/>
      </w:r>
      <w:r w:rsidRPr="00BD16B4">
        <w:rPr>
          <w:lang w:eastAsia="en-GB"/>
        </w:rPr>
        <w:t xml:space="preserve"> NIWA has strong links to the United Kingdom Met Office (lead partnership organisation) and other core and associate partners. NIWA also has many active collaborations with NOAA (National Oceanic and Atmospheric Administration (United States of America) and other international agencies. This international collaboration on climate modelling helps underpin the research and development within the programme. </w:t>
      </w:r>
    </w:p>
    <w:p w14:paraId="420BCAD3" w14:textId="77777777" w:rsidR="007420E6" w:rsidRPr="00BD16B4" w:rsidRDefault="007420E6" w:rsidP="007420E6">
      <w:pPr>
        <w:pStyle w:val="BodyText"/>
        <w:rPr>
          <w:lang w:eastAsia="en-GB"/>
        </w:rPr>
      </w:pPr>
      <w:r w:rsidRPr="00BD16B4">
        <w:rPr>
          <w:lang w:eastAsia="en-GB"/>
        </w:rPr>
        <w:t>The projections based on both the downscaling and regional climate modelling provide data that are used extensively in other research, such as for land use, engineering design, health and other biological impacts, and socio-economic modelling. This programme also produces regular seasonal climate outlooks, expressed in probabilistic terms, which when interpreted and used properly can improve the management of agriculture, energy, water and production in other climate-sensitive industries.</w:t>
      </w:r>
    </w:p>
    <w:p w14:paraId="5970C79C" w14:textId="77777777" w:rsidR="007420E6" w:rsidRPr="00BD16B4" w:rsidRDefault="007420E6" w:rsidP="0040449E">
      <w:pPr>
        <w:pStyle w:val="BodyText"/>
        <w:keepLines/>
        <w:rPr>
          <w:lang w:eastAsia="en-GB"/>
        </w:rPr>
      </w:pPr>
      <w:r w:rsidRPr="00BD16B4">
        <w:rPr>
          <w:lang w:eastAsia="en-GB"/>
        </w:rPr>
        <w:t>Research projects funded by the ‘Deep South National Science Challenge: Changing with our climate’ and the Endeavour project ‘Whakahura: Extreme events and the emergence of climate change’ are using crowd-sourced computer power to run large iterations of a weather@home regional climate model for New Zealand, to improve understanding of temperature and precipitation extremes under future warming levels.</w:t>
      </w:r>
    </w:p>
    <w:p w14:paraId="56A68609" w14:textId="77777777" w:rsidR="007420E6" w:rsidRPr="00BD16B4" w:rsidRDefault="007420E6" w:rsidP="007420E6">
      <w:pPr>
        <w:pStyle w:val="Heading3"/>
      </w:pPr>
      <w:r w:rsidRPr="00BD16B4">
        <w:lastRenderedPageBreak/>
        <w:t>8.4.3</w:t>
      </w:r>
      <w:r w:rsidRPr="00BD16B4">
        <w:tab/>
        <w:t xml:space="preserve">Research on the impacts of climate change </w:t>
      </w:r>
    </w:p>
    <w:p w14:paraId="4D70E35B" w14:textId="77777777" w:rsidR="007420E6" w:rsidRPr="00BD16B4" w:rsidRDefault="007420E6" w:rsidP="004E1B8C">
      <w:pPr>
        <w:pStyle w:val="Heading4"/>
      </w:pPr>
      <w:r w:rsidRPr="00BD16B4">
        <w:t>Hydrology</w:t>
      </w:r>
    </w:p>
    <w:p w14:paraId="7ECEFCF6" w14:textId="77777777" w:rsidR="007420E6" w:rsidRPr="00BD16B4" w:rsidRDefault="007420E6" w:rsidP="007420E6">
      <w:pPr>
        <w:pStyle w:val="BodyText"/>
        <w:rPr>
          <w:lang w:eastAsia="en-GB"/>
        </w:rPr>
      </w:pPr>
      <w:r w:rsidRPr="00BD16B4">
        <w:rPr>
          <w:lang w:eastAsia="en-GB"/>
        </w:rPr>
        <w:t>Agriculture is a significant part of Aotearoa New Zealand’s economy and society, and projected scenarios of rainfall and soil moisture are an important part of planning for climate change. Research drawing on various IPCC scenarios and climate models has suggested that drought extent and severity will increase in most areas of New Zealand, particularly in the northern and eastern North Island and in the lee of the main divide over the South Island.</w:t>
      </w:r>
      <w:r w:rsidRPr="00BD16B4">
        <w:rPr>
          <w:i/>
          <w:iCs/>
          <w:lang w:eastAsia="en-GB"/>
        </w:rPr>
        <w:t xml:space="preserve"> </w:t>
      </w:r>
      <w:r w:rsidRPr="00BD16B4">
        <w:rPr>
          <w:iCs/>
          <w:lang w:eastAsia="en-GB"/>
        </w:rPr>
        <w:t>Results are now available on the implications of these same scenarios for future river flows, flooding and the availability of water for irrigation.</w:t>
      </w:r>
      <w:r w:rsidRPr="00BD16B4">
        <w:rPr>
          <w:i/>
          <w:iCs/>
          <w:lang w:eastAsia="en-GB"/>
        </w:rPr>
        <w:t xml:space="preserve"> </w:t>
      </w:r>
    </w:p>
    <w:p w14:paraId="65CB6093" w14:textId="77777777" w:rsidR="007420E6" w:rsidRPr="00BD16B4" w:rsidRDefault="007420E6" w:rsidP="007420E6">
      <w:pPr>
        <w:pStyle w:val="BodyText"/>
        <w:rPr>
          <w:lang w:eastAsia="en-GB"/>
        </w:rPr>
      </w:pPr>
      <w:r w:rsidRPr="00BD16B4">
        <w:rPr>
          <w:lang w:eastAsia="en-GB"/>
        </w:rPr>
        <w:t xml:space="preserve">Research and </w:t>
      </w:r>
      <w:r w:rsidRPr="00BD16B4">
        <w:t>modelling</w:t>
      </w:r>
      <w:r w:rsidRPr="00BD16B4">
        <w:rPr>
          <w:lang w:eastAsia="en-GB"/>
        </w:rPr>
        <w:t xml:space="preserve"> have also been undertaken on possible increases in the frequency of heavy rainfall events and potential implications for flooding in some locations. Results suggest some areas will see increases in extreme events, even beyond that expected from the higher moisture-holding capacity of warmer air. Extreme rainfall is likely to increase in most areas, with the largest increases projected for areas where average rainfall is also expected to increase.</w:t>
      </w:r>
    </w:p>
    <w:p w14:paraId="4644E74E" w14:textId="77777777" w:rsidR="007420E6" w:rsidRPr="00BD16B4" w:rsidRDefault="007420E6" w:rsidP="004E1B8C">
      <w:pPr>
        <w:pStyle w:val="Heading4"/>
      </w:pPr>
      <w:r w:rsidRPr="00BD16B4">
        <w:t>Coastal impacts</w:t>
      </w:r>
    </w:p>
    <w:p w14:paraId="5C6A777F" w14:textId="77777777" w:rsidR="007420E6" w:rsidRPr="00BD16B4" w:rsidRDefault="007420E6" w:rsidP="007420E6">
      <w:pPr>
        <w:pStyle w:val="BodyText"/>
      </w:pPr>
      <w:r w:rsidRPr="00BD16B4">
        <w:t>The Government supports several nationwide research projects that aim to enable the management of coastal hazards by planners, engineers and coastal scientists. These include the development of:</w:t>
      </w:r>
    </w:p>
    <w:p w14:paraId="7B772D02" w14:textId="77777777" w:rsidR="007420E6" w:rsidRPr="00BD16B4" w:rsidRDefault="007420E6" w:rsidP="007420E6">
      <w:pPr>
        <w:pStyle w:val="Bullet"/>
      </w:pPr>
      <w:r w:rsidRPr="00BD16B4">
        <w:t>a consistent national overview of coastal vulnerability to climate change, from which local scenarios of future impacts can be derived</w:t>
      </w:r>
    </w:p>
    <w:p w14:paraId="260698D1" w14:textId="77777777" w:rsidR="007420E6" w:rsidRPr="00BD16B4" w:rsidRDefault="007420E6" w:rsidP="007420E6">
      <w:pPr>
        <w:pStyle w:val="Bullet"/>
      </w:pPr>
      <w:r w:rsidRPr="00BD16B4">
        <w:t>readily available, consistent information on the trends and extremes for wave, swell and storm surge at a regional scale, both now and incorporating future climate change effects</w:t>
      </w:r>
    </w:p>
    <w:p w14:paraId="662163C3" w14:textId="77777777" w:rsidR="007420E6" w:rsidRPr="00BD16B4" w:rsidRDefault="007420E6" w:rsidP="007420E6">
      <w:pPr>
        <w:pStyle w:val="Bullet"/>
      </w:pPr>
      <w:r w:rsidRPr="00BD16B4">
        <w:t>a deeper understanding of flooding hazard and risk in coastal areas and estuaries, and how these risks are affected by human and climate factors</w:t>
      </w:r>
    </w:p>
    <w:p w14:paraId="29FD27E0" w14:textId="77777777" w:rsidR="007420E6" w:rsidRPr="00BD16B4" w:rsidRDefault="007420E6" w:rsidP="007420E6">
      <w:pPr>
        <w:pStyle w:val="Bullet"/>
      </w:pPr>
      <w:r w:rsidRPr="00BD16B4">
        <w:t>adaptation guidance and tools to enable communities and decision-makers to plan proactively for successful coastal adaptation</w:t>
      </w:r>
    </w:p>
    <w:p w14:paraId="6FEF95C3" w14:textId="77777777" w:rsidR="007420E6" w:rsidRPr="00BD16B4" w:rsidRDefault="007420E6" w:rsidP="007420E6">
      <w:pPr>
        <w:pStyle w:val="Bullet"/>
        <w:rPr>
          <w:b/>
          <w:bCs/>
        </w:rPr>
      </w:pPr>
      <w:r w:rsidRPr="00BD16B4">
        <w:t>a national spatial dataset of critical infrastructure network service disruption from future coastal flooding</w:t>
      </w:r>
      <w:r w:rsidRPr="00BD16B4">
        <w:rPr>
          <w:b/>
          <w:bCs/>
        </w:rPr>
        <w:t>.</w:t>
      </w:r>
    </w:p>
    <w:p w14:paraId="55514E6D" w14:textId="77777777" w:rsidR="007420E6" w:rsidRPr="00BD16B4" w:rsidRDefault="007420E6" w:rsidP="007420E6">
      <w:pPr>
        <w:pStyle w:val="BodyText"/>
        <w:rPr>
          <w:lang w:eastAsia="en-GB"/>
        </w:rPr>
      </w:pPr>
      <w:r w:rsidRPr="00BD16B4">
        <w:rPr>
          <w:lang w:eastAsia="en-GB"/>
        </w:rPr>
        <w:t>The NZ SeaRise programme has developed location specific sea-level rise projections out to the year 2300 for every 2 kilometres of the coast of Aotearoa New Zealand. These projections can be accessed through an online tool developed by Takiwā, a data management and analytics platform.</w:t>
      </w:r>
      <w:r w:rsidRPr="00BD16B4">
        <w:rPr>
          <w:rStyle w:val="FootnoteReference"/>
          <w:lang w:eastAsia="en-GB"/>
        </w:rPr>
        <w:footnoteReference w:id="377"/>
      </w:r>
    </w:p>
    <w:p w14:paraId="2B3A9DB7" w14:textId="77777777" w:rsidR="007420E6" w:rsidRPr="00BD16B4" w:rsidRDefault="007420E6" w:rsidP="007420E6">
      <w:pPr>
        <w:pStyle w:val="BodyText"/>
        <w:keepLines/>
        <w:rPr>
          <w:lang w:eastAsia="en-GB"/>
        </w:rPr>
      </w:pPr>
      <w:r w:rsidRPr="00BD16B4">
        <w:rPr>
          <w:lang w:eastAsia="en-GB"/>
        </w:rPr>
        <w:t xml:space="preserve">In July 2022, the Ministry for the Environment published the </w:t>
      </w:r>
      <w:r w:rsidRPr="00BD16B4">
        <w:rPr>
          <w:i/>
          <w:iCs/>
          <w:lang w:eastAsia="en-GB"/>
        </w:rPr>
        <w:t>Interim guidance on the use of new sea-level rise projections</w:t>
      </w:r>
      <w:r w:rsidRPr="00BD16B4">
        <w:rPr>
          <w:lang w:eastAsia="en-GB"/>
        </w:rPr>
        <w:t>.</w:t>
      </w:r>
      <w:r w:rsidRPr="00BD16B4">
        <w:rPr>
          <w:rStyle w:val="FootnoteReference"/>
          <w:lang w:eastAsia="en-GB"/>
        </w:rPr>
        <w:footnoteReference w:id="378"/>
      </w:r>
      <w:r w:rsidRPr="00BD16B4">
        <w:rPr>
          <w:lang w:eastAsia="en-GB"/>
        </w:rPr>
        <w:t xml:space="preserve"> This guidance supersedes parts of the coastal hazards and climate change guidance to reflect the latest sea-level rise scenarios from the IPCC and NZ SeaRise programme.</w:t>
      </w:r>
    </w:p>
    <w:p w14:paraId="02C14176" w14:textId="77777777" w:rsidR="007420E6" w:rsidRPr="00BD16B4" w:rsidRDefault="007420E6" w:rsidP="007420E6">
      <w:pPr>
        <w:pStyle w:val="BodyText"/>
        <w:rPr>
          <w:lang w:eastAsia="en-GB"/>
        </w:rPr>
      </w:pPr>
      <w:r w:rsidRPr="00BD16B4">
        <w:rPr>
          <w:i/>
        </w:rPr>
        <w:lastRenderedPageBreak/>
        <w:t>Coastal Hazards and Climate Change: A Guidance Manual for Local Government in New Zealand</w:t>
      </w:r>
      <w:r w:rsidRPr="00BD16B4">
        <w:rPr>
          <w:rStyle w:val="FootnoteReference"/>
        </w:rPr>
        <w:t xml:space="preserve"> </w:t>
      </w:r>
      <w:r w:rsidRPr="00BD16B4">
        <w:t>is a technical guidance manual on planning for climate change in the coastal margins.</w:t>
      </w:r>
      <w:r w:rsidRPr="00BD16B4">
        <w:rPr>
          <w:rStyle w:val="FootnoteReference"/>
        </w:rPr>
        <w:footnoteReference w:id="379"/>
      </w:r>
      <w:r w:rsidRPr="00BD16B4">
        <w:t xml:space="preserve"> The guidance takes into account research on the impacts of climate change and sea</w:t>
      </w:r>
      <w:r w:rsidRPr="00BD16B4">
        <w:noBreakHyphen/>
        <w:t xml:space="preserve">level rise on coastal hazards, and includes projections of future sea-level rise based on the scenarios included in the </w:t>
      </w:r>
      <w:r w:rsidRPr="00BD16B4">
        <w:rPr>
          <w:lang w:eastAsia="en-GB"/>
        </w:rPr>
        <w:t xml:space="preserve">IPCC’s </w:t>
      </w:r>
      <w:r w:rsidRPr="00BD16B4">
        <w:rPr>
          <w:i/>
          <w:lang w:eastAsia="en-GB"/>
        </w:rPr>
        <w:t>Fifth Assessment Report</w:t>
      </w:r>
      <w:r w:rsidRPr="00BD16B4">
        <w:rPr>
          <w:lang w:eastAsia="en-GB"/>
        </w:rPr>
        <w:t>. The coastal hazards and climate change guidance will be fully updated in early 2023.</w:t>
      </w:r>
    </w:p>
    <w:p w14:paraId="4AF90663" w14:textId="77777777" w:rsidR="007420E6" w:rsidRPr="00BD16B4" w:rsidRDefault="007420E6" w:rsidP="004E1B8C">
      <w:pPr>
        <w:pStyle w:val="Heading4"/>
      </w:pPr>
      <w:r w:rsidRPr="00BD16B4">
        <w:t>Marine environment</w:t>
      </w:r>
    </w:p>
    <w:p w14:paraId="4E76D87C" w14:textId="77777777" w:rsidR="007420E6" w:rsidRPr="00BD16B4" w:rsidRDefault="007420E6" w:rsidP="007420E6">
      <w:pPr>
        <w:pStyle w:val="BodyText"/>
      </w:pPr>
      <w:r w:rsidRPr="00BD16B4">
        <w:t>MPI has funded several research projects that examine the effects of climate change on Aotearoa New Zealand’s living marine resources. This includes impacts on commercial fish stocks and shellfish behaviour and life history development. The research commissioned by MPI falls under three broad categories:</w:t>
      </w:r>
    </w:p>
    <w:p w14:paraId="405BF9B1" w14:textId="77777777" w:rsidR="007420E6" w:rsidRPr="00BD16B4" w:rsidRDefault="007420E6" w:rsidP="007420E6">
      <w:pPr>
        <w:pStyle w:val="Bullet"/>
      </w:pPr>
      <w:r w:rsidRPr="00BD16B4">
        <w:t>repeated physical measurements and biological observations in the marine environment</w:t>
      </w:r>
    </w:p>
    <w:p w14:paraId="2386E3AE" w14:textId="77777777" w:rsidR="007420E6" w:rsidRPr="00BD16B4" w:rsidRDefault="007420E6" w:rsidP="007420E6">
      <w:pPr>
        <w:pStyle w:val="Bullet"/>
      </w:pPr>
      <w:r w:rsidRPr="00BD16B4">
        <w:t>fish stock abundance and fish recruitment correlation with environmental change</w:t>
      </w:r>
    </w:p>
    <w:p w14:paraId="08D93EAA" w14:textId="77777777" w:rsidR="007420E6" w:rsidRPr="00BD16B4" w:rsidRDefault="007420E6" w:rsidP="007420E6">
      <w:pPr>
        <w:pStyle w:val="Bullet"/>
      </w:pPr>
      <w:r w:rsidRPr="00BD16B4">
        <w:t>the direct effects of changing marine environmental variables on marine species in the wild and in captivity.</w:t>
      </w:r>
    </w:p>
    <w:p w14:paraId="1145B8EE" w14:textId="77777777" w:rsidR="007420E6" w:rsidRPr="00BD16B4" w:rsidRDefault="007420E6" w:rsidP="007420E6">
      <w:pPr>
        <w:pStyle w:val="BodyText"/>
      </w:pPr>
      <w:r w:rsidRPr="00BD16B4">
        <w:t>Marine heatwaves are becoming a primary climate change issue for New Zealand’s waters, with devastating impacts to marine species and aquaculture operations. Real-time data on marine heatwaves has been collected from censors mounted to fishing gear by the Moana Project ($11.5 million, five year, MBIE Endeavour Fund project led by MetService). Modelling of future marine heatwave events and expected shifts in the sub-tropical front was done by scientists at NIWA as part of the Deep South National Science Challenge. Paired with information on species biology, these data will help forecast shifts in fishing hotspots and species’ distributions. New research funded by MPI over the next three years will use this information to investigate the effects of marine heatwaves on New Zealand’s fisheries paired with a more detailed study of the impacts to pāua.</w:t>
      </w:r>
    </w:p>
    <w:p w14:paraId="3AD44CA4" w14:textId="77777777" w:rsidR="007420E6" w:rsidRPr="00BD16B4" w:rsidRDefault="007420E6" w:rsidP="007420E6">
      <w:pPr>
        <w:pStyle w:val="BodyText"/>
      </w:pPr>
      <w:r w:rsidRPr="00BD16B4">
        <w:t xml:space="preserve">Long-term measurements taken off the coast of Otago (Munida transects) show ocean acidity has increased by 7.1 per cent over the past 20 years. The rate and magnitude of coastal ocean acidification has been monitored at many sites throughout New Zealand since 2016. This has been done by the New Zealand Ocean Acidification Observation Network (NZOA-ON) in collaboration with sampling partners from regional councils, the aquaculture and fishing industries, research institutes and the Department of Conservation. This initiative, led by NIWA and the Department of Conservation, is part of a global network, and data is publicly available to inform policy development and scientific research on ocean acidification. </w:t>
      </w:r>
    </w:p>
    <w:p w14:paraId="7D8D02AC" w14:textId="77777777" w:rsidR="007420E6" w:rsidRPr="00BD16B4" w:rsidRDefault="007420E6" w:rsidP="007420E6">
      <w:pPr>
        <w:pStyle w:val="BodyText"/>
      </w:pPr>
      <w:r w:rsidRPr="00BD16B4">
        <w:t>A suite of recent climate-related research funded by MPI has synthesised both system level impacts of climate change to fisheries and impacts on particular species and environments. A major study synthesised climate impacts to New Zealand’s seafood sector, noting that warming and/or acidification will affect most fisheries species, despite many knowledge gaps on species biology and interaction with climate factors.</w:t>
      </w:r>
      <w:r w:rsidRPr="00BD16B4">
        <w:rPr>
          <w:rStyle w:val="FootnoteReference"/>
        </w:rPr>
        <w:footnoteReference w:id="380"/>
      </w:r>
      <w:r w:rsidRPr="00BD16B4">
        <w:t xml:space="preserve"> Other work modelled the distribution of commercially fished species around the country, to understand historical </w:t>
      </w:r>
      <w:r w:rsidRPr="00BD16B4">
        <w:lastRenderedPageBreak/>
        <w:t>changes and predict shifts under climate change scenarios.</w:t>
      </w:r>
      <w:r w:rsidRPr="00BD16B4">
        <w:rPr>
          <w:rStyle w:val="FootnoteReference"/>
        </w:rPr>
        <w:footnoteReference w:id="381"/>
      </w:r>
      <w:r w:rsidRPr="00BD16B4">
        <w:t xml:space="preserve"> The impact of climate and environmental variability on the accuracy of fishery stock assessments was assessed and is a focal area for adaptation.</w:t>
      </w:r>
      <w:r w:rsidRPr="00BD16B4">
        <w:rPr>
          <w:rStyle w:val="FootnoteReference"/>
        </w:rPr>
        <w:footnoteReference w:id="382"/>
      </w:r>
      <w:r w:rsidRPr="00BD16B4">
        <w:t xml:space="preserve"> Climate impacts to the fish and megafauna in the sub-antarctic were investigated, while long-term sampling of zooplankton in the Southern Ocean, collected annually since 2008, continues to provide a valuable baseline for understanding change in this unique environment.</w:t>
      </w:r>
      <w:r w:rsidRPr="00BD16B4">
        <w:rPr>
          <w:rStyle w:val="FootnoteReference"/>
        </w:rPr>
        <w:footnoteReference w:id="383"/>
      </w:r>
      <w:r w:rsidRPr="00BD16B4">
        <w:t xml:space="preserve"> Laboratory experiments touched on physiological responses of phytoplankton, green-lipped mussels</w:t>
      </w:r>
      <w:r w:rsidRPr="00BD16B4">
        <w:rPr>
          <w:rStyle w:val="FootnoteReference"/>
        </w:rPr>
        <w:footnoteReference w:id="384"/>
      </w:r>
      <w:r w:rsidRPr="00BD16B4">
        <w:t xml:space="preserve"> and New Zealand snapper</w:t>
      </w:r>
      <w:r w:rsidRPr="00BD16B4">
        <w:rPr>
          <w:rStyle w:val="FootnoteReference"/>
        </w:rPr>
        <w:footnoteReference w:id="385"/>
      </w:r>
      <w:r w:rsidRPr="00BD16B4">
        <w:t xml:space="preserve"> to ocean warming and acidification. Impacts to protected species were addressed by the Department of Conservation in a published a review on climate change impacts to marine mammals</w:t>
      </w:r>
      <w:r w:rsidRPr="00BD16B4">
        <w:rPr>
          <w:rStyle w:val="FootnoteReference"/>
        </w:rPr>
        <w:footnoteReference w:id="386"/>
      </w:r>
      <w:r w:rsidRPr="00BD16B4">
        <w:t xml:space="preserve"> and a similar review on seabirds that is near completion.</w:t>
      </w:r>
    </w:p>
    <w:p w14:paraId="25AC6B2F" w14:textId="77777777" w:rsidR="007420E6" w:rsidRPr="00BD16B4" w:rsidRDefault="007420E6" w:rsidP="004E1B8C">
      <w:pPr>
        <w:pStyle w:val="Heading4"/>
      </w:pPr>
      <w:r w:rsidRPr="00BD16B4">
        <w:t>Agriculture</w:t>
      </w:r>
    </w:p>
    <w:p w14:paraId="6298B6B9" w14:textId="77777777" w:rsidR="007420E6" w:rsidRPr="00BD16B4" w:rsidRDefault="007420E6" w:rsidP="007420E6">
      <w:pPr>
        <w:pStyle w:val="BodyText"/>
        <w:rPr>
          <w:lang w:eastAsia="en-GB"/>
        </w:rPr>
      </w:pPr>
      <w:r w:rsidRPr="00BD16B4">
        <w:rPr>
          <w:lang w:eastAsia="en-GB"/>
        </w:rPr>
        <w:t>Initial studies using the CMIP3 global climate projections addressed the primary impacts of climate change on agriculture, such as the effects of rainfall, drought, frost frequency and CO</w:t>
      </w:r>
      <w:r w:rsidRPr="00BD16B4">
        <w:rPr>
          <w:vertAlign w:val="subscript"/>
          <w:lang w:eastAsia="en-GB"/>
        </w:rPr>
        <w:t>2 </w:t>
      </w:r>
      <w:r w:rsidRPr="00BD16B4">
        <w:rPr>
          <w:lang w:eastAsia="en-GB"/>
        </w:rPr>
        <w:t xml:space="preserve">fertilisation. More recent work has investigated some second-order impacts, such as the effects of changing climate on rural infrastructure and finance, and on some of the biocontrol systems used to combat noxious plants. Research is now drawing on the newer CMIP5 climate projections and projections from the IPCC </w:t>
      </w:r>
      <w:r w:rsidRPr="00BD16B4">
        <w:rPr>
          <w:i/>
          <w:iCs/>
          <w:lang w:eastAsia="en-GB"/>
        </w:rPr>
        <w:t>Sixth Assessment Report</w:t>
      </w:r>
      <w:r w:rsidRPr="00BD16B4">
        <w:rPr>
          <w:lang w:eastAsia="en-GB"/>
        </w:rPr>
        <w:t>. Limited research has been carried out on many second- and third-order impacts and the interactions between impact drivers. Recent research topics have included:</w:t>
      </w:r>
    </w:p>
    <w:p w14:paraId="17A6D072" w14:textId="77777777" w:rsidR="007420E6" w:rsidRPr="00BD16B4" w:rsidRDefault="007420E6" w:rsidP="007420E6">
      <w:pPr>
        <w:pStyle w:val="Bullet"/>
        <w:spacing w:after="100"/>
        <w:rPr>
          <w:rFonts w:eastAsia="Calibri"/>
        </w:rPr>
      </w:pPr>
      <w:r w:rsidRPr="00BD16B4">
        <w:rPr>
          <w:rFonts w:eastAsia="Calibri"/>
        </w:rPr>
        <w:t>Whitiwhiti Ora – Land Use Opportunities, covering various issues, including sediment load in rivers, facial eczema, fire risk, drought risk for pasture</w:t>
      </w:r>
      <w:r w:rsidRPr="00BD16B4">
        <w:rPr>
          <w:rStyle w:val="FootnoteReference"/>
          <w:rFonts w:eastAsia="Calibri"/>
          <w:color w:val="auto"/>
        </w:rPr>
        <w:footnoteReference w:id="387"/>
      </w:r>
    </w:p>
    <w:p w14:paraId="759754D7" w14:textId="77777777" w:rsidR="007420E6" w:rsidRPr="00BD16B4" w:rsidRDefault="007420E6" w:rsidP="007420E6">
      <w:pPr>
        <w:pStyle w:val="Bullet"/>
        <w:spacing w:after="100"/>
        <w:rPr>
          <w:rFonts w:eastAsia="Calibri"/>
        </w:rPr>
      </w:pPr>
      <w:r w:rsidRPr="00BD16B4">
        <w:rPr>
          <w:rFonts w:eastAsia="Calibri"/>
        </w:rPr>
        <w:t>the impacts climate change will have on the suitability of land for agriculture and other primary industries</w:t>
      </w:r>
      <w:r w:rsidRPr="00BD16B4">
        <w:rPr>
          <w:rStyle w:val="FootnoteReference"/>
          <w:rFonts w:eastAsia="Calibri"/>
          <w:color w:val="auto"/>
        </w:rPr>
        <w:footnoteReference w:id="388"/>
      </w:r>
    </w:p>
    <w:p w14:paraId="499EBB7C" w14:textId="77777777" w:rsidR="007420E6" w:rsidRPr="00BD16B4" w:rsidRDefault="007420E6" w:rsidP="007420E6">
      <w:pPr>
        <w:pStyle w:val="Bullet"/>
        <w:spacing w:after="100"/>
        <w:rPr>
          <w:rFonts w:eastAsia="Calibri"/>
        </w:rPr>
      </w:pPr>
      <w:r w:rsidRPr="00BD16B4">
        <w:rPr>
          <w:rFonts w:eastAsia="Calibri"/>
        </w:rPr>
        <w:lastRenderedPageBreak/>
        <w:t>primary sector preparedness and the impacts of climate change on the growth of rye grass and dairy herd heat stress and the subsequent economic impacts and adaptation strategies</w:t>
      </w:r>
      <w:r w:rsidRPr="00BD16B4">
        <w:rPr>
          <w:rStyle w:val="FootnoteReference"/>
          <w:rFonts w:eastAsia="Calibri"/>
          <w:color w:val="auto"/>
        </w:rPr>
        <w:footnoteReference w:id="389"/>
      </w:r>
    </w:p>
    <w:p w14:paraId="698B55CB" w14:textId="77777777" w:rsidR="007420E6" w:rsidRPr="00BD16B4" w:rsidRDefault="007420E6" w:rsidP="007420E6">
      <w:pPr>
        <w:pStyle w:val="Bullet"/>
        <w:spacing w:after="100"/>
        <w:rPr>
          <w:rFonts w:eastAsia="Calibri"/>
        </w:rPr>
      </w:pPr>
      <w:r w:rsidRPr="00BD16B4">
        <w:rPr>
          <w:rFonts w:eastAsia="Calibri"/>
        </w:rPr>
        <w:t>systems implications of social and biophysical climate impacts on viticulture, developing sector-specific adaptation pathways</w:t>
      </w:r>
      <w:r w:rsidRPr="00BD16B4">
        <w:rPr>
          <w:rStyle w:val="FootnoteReference"/>
          <w:rFonts w:eastAsia="Calibri"/>
          <w:color w:val="auto"/>
        </w:rPr>
        <w:footnoteReference w:id="390"/>
      </w:r>
    </w:p>
    <w:p w14:paraId="21672D1B" w14:textId="77777777" w:rsidR="007420E6" w:rsidRPr="00BD16B4" w:rsidRDefault="007420E6" w:rsidP="007420E6">
      <w:pPr>
        <w:pStyle w:val="Bullet"/>
        <w:spacing w:after="100"/>
        <w:rPr>
          <w:rFonts w:eastAsia="Calibri"/>
        </w:rPr>
      </w:pPr>
      <w:r w:rsidRPr="00BD16B4">
        <w:rPr>
          <w:rFonts w:eastAsia="Calibri"/>
        </w:rPr>
        <w:t>the impact of drought on farm profits.</w:t>
      </w:r>
      <w:r w:rsidRPr="00BD16B4">
        <w:rPr>
          <w:rStyle w:val="FootnoteReference"/>
          <w:rFonts w:eastAsia="Calibri"/>
          <w:color w:val="auto"/>
        </w:rPr>
        <w:footnoteReference w:id="391"/>
      </w:r>
    </w:p>
    <w:p w14:paraId="0E3A2EEB" w14:textId="77777777" w:rsidR="007420E6" w:rsidRPr="00BD16B4" w:rsidRDefault="007420E6" w:rsidP="007420E6">
      <w:pPr>
        <w:pStyle w:val="BodyText"/>
        <w:spacing w:after="100"/>
        <w:rPr>
          <w:rFonts w:ascii="Times New Roman" w:eastAsia="Calibri" w:hAnsi="Times New Roman"/>
          <w:sz w:val="24"/>
          <w:szCs w:val="24"/>
        </w:rPr>
      </w:pPr>
      <w:r w:rsidRPr="00BD16B4">
        <w:t>Research is being carried out to understand the effects of elevated atmospheric CO</w:t>
      </w:r>
      <w:r w:rsidRPr="00BD16B4">
        <w:rPr>
          <w:vertAlign w:val="subscript"/>
        </w:rPr>
        <w:t>2</w:t>
      </w:r>
      <w:r w:rsidRPr="00BD16B4">
        <w:t xml:space="preserve"> on pasture over time. The Free Air Carbon Dioxide Enrichment (NZ FACE) experiment has been operating for 20 years and is still in progress. The trial is providing data on grazed grassland </w:t>
      </w:r>
      <w:r w:rsidRPr="00BD16B4">
        <w:br/>
        <w:t>– the only experiment in the world that includes grazing animals – making the results relevant to both Aotearoa New Zealand and temperate grasslands globally. Consequently, data sets from this experiment are in demand for international meta-analyses and modelling studies and are being supplied to many projects for these purposes.</w:t>
      </w:r>
    </w:p>
    <w:p w14:paraId="69269322" w14:textId="77777777" w:rsidR="007420E6" w:rsidRPr="00BD16B4" w:rsidRDefault="007420E6" w:rsidP="007420E6">
      <w:pPr>
        <w:pStyle w:val="BodyText"/>
        <w:spacing w:after="100"/>
      </w:pPr>
      <w:r w:rsidRPr="00BD16B4">
        <w:t>The research has demonstrated the importance of including grazing when modelling the effect of elevated CO</w:t>
      </w:r>
      <w:r w:rsidRPr="00BD16B4">
        <w:rPr>
          <w:vertAlign w:val="subscript"/>
        </w:rPr>
        <w:t>2</w:t>
      </w:r>
      <w:r w:rsidRPr="00BD16B4">
        <w:t xml:space="preserve"> on grasslands. Under elevated CO</w:t>
      </w:r>
      <w:r w:rsidRPr="00BD16B4">
        <w:rPr>
          <w:vertAlign w:val="subscript"/>
        </w:rPr>
        <w:t>2</w:t>
      </w:r>
      <w:r w:rsidRPr="00BD16B4">
        <w:t>, it is expected that the proportion of legumes in pasture will increase, leading to increased levels of nitrogen through biological fixation. However, NZ FACE research has shown the increase in legumes is limited by an increased preference for legumes by grazing sheep. This has implications for the potential enhanced growth rate that could be expected from additional CO</w:t>
      </w:r>
      <w:r w:rsidRPr="00BD16B4">
        <w:rPr>
          <w:vertAlign w:val="subscript"/>
        </w:rPr>
        <w:t>2</w:t>
      </w:r>
      <w:r w:rsidRPr="00BD16B4">
        <w:t>: the ‘CO</w:t>
      </w:r>
      <w:r w:rsidRPr="00BD16B4">
        <w:rPr>
          <w:vertAlign w:val="subscript"/>
        </w:rPr>
        <w:t>2</w:t>
      </w:r>
      <w:r w:rsidRPr="00BD16B4">
        <w:t>-fertilisation’ effect. Further research is looking at potential plant adaptations that might overcome this preference for legumes in response to additional CO</w:t>
      </w:r>
      <w:r w:rsidRPr="00BD16B4">
        <w:rPr>
          <w:vertAlign w:val="subscript"/>
        </w:rPr>
        <w:t>2</w:t>
      </w:r>
      <w:r w:rsidRPr="00BD16B4">
        <w:t>.</w:t>
      </w:r>
    </w:p>
    <w:p w14:paraId="07E76E2D" w14:textId="77777777" w:rsidR="007420E6" w:rsidRPr="00BD16B4" w:rsidRDefault="007420E6" w:rsidP="007420E6">
      <w:pPr>
        <w:pStyle w:val="BodyText"/>
        <w:spacing w:after="100"/>
      </w:pPr>
      <w:r w:rsidRPr="00BD16B4">
        <w:t>Results from the trial are also showing that responses to CO</w:t>
      </w:r>
      <w:r w:rsidRPr="00BD16B4">
        <w:rPr>
          <w:vertAlign w:val="subscript"/>
        </w:rPr>
        <w:t>2</w:t>
      </w:r>
      <w:r w:rsidRPr="00BD16B4">
        <w:t xml:space="preserve"> change over time; this is expected given the different timeframes of feedback through the plants and soil. In the past several years, no CO</w:t>
      </w:r>
      <w:r w:rsidRPr="00BD16B4">
        <w:rPr>
          <w:vertAlign w:val="subscript"/>
        </w:rPr>
        <w:t>2</w:t>
      </w:r>
      <w:r w:rsidRPr="00BD16B4">
        <w:t xml:space="preserve"> stimulation of pasture growth has been seen; if this is confirmed as the long-term outcome of CO</w:t>
      </w:r>
      <w:r w:rsidRPr="00BD16B4">
        <w:rPr>
          <w:vertAlign w:val="subscript"/>
        </w:rPr>
        <w:t>2</w:t>
      </w:r>
      <w:r w:rsidRPr="00BD16B4">
        <w:t xml:space="preserve"> enrichment it would be a major change in currently assumed inputs to impact studies for the pastoral sector. NZ FACE data has been extended to a full on-farm analysis of a sheep and beef farm. A review of the published papers from the NZ FACE trial has been produced.</w:t>
      </w:r>
      <w:r w:rsidRPr="00BD16B4">
        <w:rPr>
          <w:rStyle w:val="FootnoteReference"/>
          <w:color w:val="auto"/>
        </w:rPr>
        <w:footnoteReference w:id="392"/>
      </w:r>
      <w:r w:rsidRPr="00BD16B4">
        <w:t xml:space="preserve"> The impact of elevated CO</w:t>
      </w:r>
      <w:r w:rsidRPr="00BD16B4">
        <w:rPr>
          <w:vertAlign w:val="subscript"/>
        </w:rPr>
        <w:t>2</w:t>
      </w:r>
      <w:r w:rsidRPr="00BD16B4">
        <w:t xml:space="preserve"> on pasture growth at the national level has also been estimated at an extra 560,000 tonnes dry matter per year since 1990.</w:t>
      </w:r>
      <w:r w:rsidRPr="00BD16B4">
        <w:rPr>
          <w:rStyle w:val="FootnoteReference"/>
        </w:rPr>
        <w:footnoteReference w:id="393"/>
      </w:r>
    </w:p>
    <w:p w14:paraId="547A5A43" w14:textId="77777777" w:rsidR="007420E6" w:rsidRPr="00BD16B4" w:rsidRDefault="007420E6" w:rsidP="007420E6">
      <w:pPr>
        <w:pStyle w:val="BodyText"/>
        <w:rPr>
          <w:lang w:eastAsia="en-GB"/>
        </w:rPr>
      </w:pPr>
      <w:r w:rsidRPr="00BD16B4">
        <w:rPr>
          <w:lang w:eastAsia="en-GB"/>
        </w:rPr>
        <w:t xml:space="preserve">New Zealand has also </w:t>
      </w:r>
      <w:r w:rsidRPr="00BD16B4">
        <w:t>commissioned</w:t>
      </w:r>
      <w:r w:rsidRPr="00BD16B4">
        <w:rPr>
          <w:lang w:eastAsia="en-GB"/>
        </w:rPr>
        <w:t xml:space="preserve"> research into wider climate change impacts on agriculture including m</w:t>
      </w:r>
      <w:r w:rsidRPr="00BD16B4">
        <w:t>icrobial function and adaptation in response to climate change driven drought and the resulting effects on plant production and nutrient cycling</w:t>
      </w:r>
      <w:r w:rsidRPr="00BD16B4">
        <w:rPr>
          <w:lang w:eastAsia="en-GB"/>
        </w:rPr>
        <w:t>.</w:t>
      </w:r>
      <w:r w:rsidRPr="00BD16B4">
        <w:rPr>
          <w:rStyle w:val="FootnoteReference"/>
          <w:lang w:eastAsia="en-GB"/>
        </w:rPr>
        <w:footnoteReference w:id="394"/>
      </w:r>
      <w:r w:rsidRPr="00BD16B4">
        <w:rPr>
          <w:lang w:eastAsia="en-GB"/>
        </w:rPr>
        <w:t xml:space="preserve">The impacts of </w:t>
      </w:r>
      <w:r w:rsidRPr="00BD16B4">
        <w:rPr>
          <w:lang w:eastAsia="en-GB"/>
        </w:rPr>
        <w:lastRenderedPageBreak/>
        <w:t>climate change on irrigation water supply and demand</w:t>
      </w:r>
      <w:r w:rsidRPr="00BD16B4">
        <w:rPr>
          <w:rStyle w:val="FootnoteReference"/>
          <w:lang w:eastAsia="en-GB"/>
        </w:rPr>
        <w:footnoteReference w:id="395"/>
      </w:r>
      <w:r w:rsidRPr="00BD16B4">
        <w:rPr>
          <w:lang w:eastAsia="en-GB"/>
        </w:rPr>
        <w:t xml:space="preserve"> and on soil carbon</w:t>
      </w:r>
      <w:r w:rsidRPr="00BD16B4">
        <w:rPr>
          <w:rStyle w:val="FootnoteReference"/>
          <w:lang w:eastAsia="en-GB"/>
        </w:rPr>
        <w:footnoteReference w:id="396"/>
      </w:r>
      <w:r w:rsidRPr="00BD16B4">
        <w:rPr>
          <w:lang w:eastAsia="en-GB"/>
        </w:rPr>
        <w:t xml:space="preserve"> have also been explored, along with the impacts on river flow and agriculture. Recent studies have looked at the impacts on the food system</w:t>
      </w:r>
      <w:r w:rsidRPr="00BD16B4">
        <w:rPr>
          <w:rStyle w:val="FootnoteReference"/>
          <w:lang w:eastAsia="en-GB"/>
        </w:rPr>
        <w:footnoteReference w:id="397"/>
      </w:r>
      <w:r w:rsidRPr="00BD16B4">
        <w:rPr>
          <w:lang w:eastAsia="en-GB"/>
        </w:rPr>
        <w:t xml:space="preserve"> as well as on animal health.</w:t>
      </w:r>
      <w:r w:rsidRPr="00BD16B4">
        <w:rPr>
          <w:rStyle w:val="FootnoteReference"/>
          <w:lang w:eastAsia="en-GB"/>
        </w:rPr>
        <w:footnoteReference w:id="398"/>
      </w:r>
    </w:p>
    <w:p w14:paraId="74E592BB" w14:textId="77777777" w:rsidR="007420E6" w:rsidRPr="00BD16B4" w:rsidRDefault="007420E6" w:rsidP="004E1B8C">
      <w:pPr>
        <w:pStyle w:val="Heading4"/>
      </w:pPr>
      <w:r w:rsidRPr="00BD16B4">
        <w:t>Biosecurity impacts</w:t>
      </w:r>
    </w:p>
    <w:p w14:paraId="263AFA55" w14:textId="77777777" w:rsidR="007420E6" w:rsidRPr="00BD16B4" w:rsidRDefault="007420E6" w:rsidP="00B775E6">
      <w:pPr>
        <w:pStyle w:val="BodyText"/>
      </w:pPr>
      <w:r w:rsidRPr="00BD16B4">
        <w:t xml:space="preserve">Climate change will create new biosecurity challenges by allowing establishment of new exotic aquatic and terrestrial pests, weeds and diseases that are currently prevented from doing so by Aotearoa New Zealand’s climate. The potential establishment of subtropical pests and current seasonal immigrants is of greatest concern, along with taxa already recognised as high risk. Climate is just one of several factors that affect invasion potential, and others, such as import pathways, border management and host suitability, may also change in the future. </w:t>
      </w:r>
    </w:p>
    <w:p w14:paraId="3FA26605" w14:textId="77777777" w:rsidR="007420E6" w:rsidRPr="00BD16B4" w:rsidRDefault="007420E6" w:rsidP="007420E6">
      <w:pPr>
        <w:pStyle w:val="BodyText"/>
      </w:pPr>
      <w:r w:rsidRPr="00BD16B4">
        <w:t xml:space="preserve">The pest status of many species currently present in New Zealand may change significantly as a result of climate change. In particular, currently innocuous ‘sleeper’ weeds, pests and diseases may become problematic due to changing ecological interactions with host plants and natural enemies, or shifts in their own phenology. </w:t>
      </w:r>
    </w:p>
    <w:p w14:paraId="5430B12C" w14:textId="77777777" w:rsidR="007420E6" w:rsidRPr="00BD16B4" w:rsidRDefault="007420E6" w:rsidP="007420E6">
      <w:pPr>
        <w:pStyle w:val="BodyText"/>
      </w:pPr>
      <w:r w:rsidRPr="00BD16B4">
        <w:rPr>
          <w:lang w:eastAsia="en-GB"/>
        </w:rPr>
        <w:t>A large dimensional global trade, climate and economic model is being used to forecast the impacts of climate change on supply and demand for New Zealand agricultural products (</w:t>
      </w:r>
      <w:r w:rsidRPr="00BD16B4">
        <w:t>where ‘agriculture’ includes pastoral farming, cropping, horticulture and forestry). The model covers</w:t>
      </w:r>
      <w:r w:rsidRPr="00BD16B4">
        <w:rPr>
          <w:lang w:eastAsia="en-GB"/>
        </w:rPr>
        <w:t xml:space="preserve"> trade patterns and pest and disease distributions and impacts, both at the national and regional level. This will help identify future market access opportunities and biosecurity policy needs. </w:t>
      </w:r>
    </w:p>
    <w:p w14:paraId="6B09B947" w14:textId="77777777" w:rsidR="007420E6" w:rsidRPr="00BD16B4" w:rsidRDefault="007420E6" w:rsidP="004E1B8C">
      <w:pPr>
        <w:pStyle w:val="Heading4"/>
      </w:pPr>
      <w:r w:rsidRPr="00BD16B4">
        <w:t>Forestry</w:t>
      </w:r>
    </w:p>
    <w:p w14:paraId="6F15BFE4" w14:textId="77777777" w:rsidR="007420E6" w:rsidRPr="00BD16B4" w:rsidRDefault="007420E6" w:rsidP="00314094">
      <w:pPr>
        <w:pStyle w:val="BodyText"/>
        <w:keepLines/>
        <w:rPr>
          <w:lang w:eastAsia="en-GB"/>
        </w:rPr>
      </w:pPr>
      <w:r w:rsidRPr="00BD16B4">
        <w:rPr>
          <w:lang w:eastAsia="en-GB"/>
        </w:rPr>
        <w:t xml:space="preserve">Initial research into plantation forestry addressed carbon sequestration rates in Aotearoa New Zealand’s most common plantation forest species, </w:t>
      </w:r>
      <w:r w:rsidRPr="00BD16B4">
        <w:rPr>
          <w:i/>
          <w:lang w:eastAsia="en-GB"/>
        </w:rPr>
        <w:t>Pinus radiata</w:t>
      </w:r>
      <w:r w:rsidRPr="00BD16B4">
        <w:rPr>
          <w:lang w:eastAsia="en-GB"/>
        </w:rPr>
        <w:t xml:space="preserve">, to inform the inclusion of carbon forestry in New Zealand’s Emissions Trading Scheme. More recent projects have investigated additional planted and indigenous species and forestry systems for different regions and terrains. Incentivised demand for indigenous forests will require increased supply and decreased cost for native tree seedlings into the market, this research is also under way. Research has also investigated the likely changes in forest fire risk over New Zealand in coming decades as a consequence of climate change, and the vulnerability of forests to potential major pests under a changing climate. </w:t>
      </w:r>
    </w:p>
    <w:p w14:paraId="306F8BA2" w14:textId="77777777" w:rsidR="007420E6" w:rsidRPr="00BD16B4" w:rsidRDefault="007420E6" w:rsidP="00E659FA">
      <w:pPr>
        <w:spacing w:before="100" w:after="100" w:line="252" w:lineRule="auto"/>
        <w:jc w:val="left"/>
        <w:rPr>
          <w:b/>
          <w:bCs/>
        </w:rPr>
      </w:pPr>
      <w:r w:rsidRPr="00BD16B4">
        <w:lastRenderedPageBreak/>
        <w:t>The impacts of a changing climate on New Zealand’s planted forests are now far better understood.</w:t>
      </w:r>
      <w:r w:rsidRPr="00BD16B4">
        <w:rPr>
          <w:rStyle w:val="FootnoteReference"/>
          <w:lang w:eastAsia="en-GB"/>
        </w:rPr>
        <w:footnoteReference w:id="399"/>
      </w:r>
      <w:r w:rsidRPr="00BD16B4">
        <w:t xml:space="preserve"> Results indicate some potential increases in radiata productivity, a marked increase in wind risk due to taller and more slender trees, an increase in average season length with ‘very high and extreme’ climatic fire risk, and impacts of pests, disease and weeds are likely to increase overall.</w:t>
      </w:r>
    </w:p>
    <w:p w14:paraId="424C9ECB" w14:textId="77777777" w:rsidR="007420E6" w:rsidRPr="00BD16B4" w:rsidRDefault="007420E6" w:rsidP="00E659FA">
      <w:pPr>
        <w:pStyle w:val="BodyText"/>
        <w:spacing w:before="100" w:after="100"/>
        <w:rPr>
          <w:color w:val="000000"/>
        </w:rPr>
      </w:pPr>
      <w:r w:rsidRPr="00BD16B4">
        <w:rPr>
          <w:lang w:eastAsia="en-GB"/>
        </w:rPr>
        <w:t xml:space="preserve">The carbon sink potential of naturally durable hardwood species in comparison with alternative hardwood species preferred for timber production has also been assessed. The effects of natural disturbance on forest carbon has been assessed, along with the regeneration of indigenous forests from gorse and broom understory. The breeding of </w:t>
      </w:r>
      <w:r w:rsidRPr="00BD16B4">
        <w:rPr>
          <w:color w:val="000000"/>
        </w:rPr>
        <w:t>novel poplars and willows that can adapt to a changing climate and drought conditions has also been carried out. These species are used in spaced planting for slip erosion control, particularly in hill country.</w:t>
      </w:r>
    </w:p>
    <w:p w14:paraId="10749C87" w14:textId="77777777" w:rsidR="007420E6" w:rsidRPr="00BD16B4" w:rsidRDefault="007420E6" w:rsidP="00E659FA">
      <w:pPr>
        <w:pStyle w:val="BodyText"/>
        <w:spacing w:before="100" w:after="100"/>
        <w:rPr>
          <w:color w:val="000000"/>
        </w:rPr>
      </w:pPr>
      <w:r w:rsidRPr="00BD16B4">
        <w:rPr>
          <w:color w:val="000000"/>
        </w:rPr>
        <w:t>The research above largely explores mitigation via sequestration into carbon sinks but adaptation research has been done that explores substitution of woody biomass for fossil-based and heavy emitting materials, such as steel and concrete. Fossil fuel substitution research is part of the Woody Biomass programme within the Climate Emergency Response Fund and further adaptation and forest system resilience work will be part of the Forestry and Wood Processing Industry Transformation Plan (see chapter 4, section 4.3.1 &amp; 4.3.7).</w:t>
      </w:r>
    </w:p>
    <w:p w14:paraId="64A5A528" w14:textId="77777777" w:rsidR="007420E6" w:rsidRPr="00BD16B4" w:rsidRDefault="007420E6" w:rsidP="00E659FA">
      <w:pPr>
        <w:pStyle w:val="BodyText"/>
        <w:spacing w:before="100" w:after="100"/>
        <w:rPr>
          <w:rFonts w:asciiTheme="minorHAnsi" w:hAnsiTheme="minorHAnsi" w:cstheme="minorHAnsi"/>
        </w:rPr>
      </w:pPr>
      <w:r w:rsidRPr="00BD16B4">
        <w:rPr>
          <w:rFonts w:asciiTheme="minorHAnsi" w:hAnsiTheme="minorHAnsi" w:cstheme="minorHAnsi"/>
          <w:color w:val="000000"/>
        </w:rPr>
        <w:t xml:space="preserve">Research using the Task Force on Climate-related Financial Disclosures framework has increased the </w:t>
      </w:r>
      <w:r w:rsidRPr="00BD16B4">
        <w:rPr>
          <w:rFonts w:asciiTheme="minorHAnsi" w:hAnsiTheme="minorHAnsi" w:cstheme="minorHAnsi"/>
        </w:rPr>
        <w:t>understanding of immediate impacts of climate change on business operations and the forestry value chain, and on financial performance and enterprise risks.</w:t>
      </w:r>
      <w:r w:rsidRPr="00BD16B4">
        <w:rPr>
          <w:rStyle w:val="FootnoteReference"/>
          <w:rFonts w:cstheme="minorHAnsi"/>
        </w:rPr>
        <w:footnoteReference w:id="400"/>
      </w:r>
      <w:r w:rsidRPr="00BD16B4">
        <w:rPr>
          <w:rFonts w:asciiTheme="minorHAnsi" w:hAnsiTheme="minorHAnsi" w:cstheme="minorHAnsi"/>
        </w:rPr>
        <w:t xml:space="preserve"> </w:t>
      </w:r>
    </w:p>
    <w:p w14:paraId="41BDDFA0" w14:textId="77777777" w:rsidR="007420E6" w:rsidRPr="00BD16B4" w:rsidRDefault="007420E6" w:rsidP="004E1B8C">
      <w:pPr>
        <w:pStyle w:val="Heading4"/>
      </w:pPr>
      <w:r w:rsidRPr="00BD16B4">
        <w:t>Wildfires</w:t>
      </w:r>
    </w:p>
    <w:p w14:paraId="2C38CCC6" w14:textId="77777777" w:rsidR="007420E6" w:rsidRPr="00BD16B4" w:rsidRDefault="007420E6" w:rsidP="00E659FA">
      <w:pPr>
        <w:pStyle w:val="BodyText"/>
        <w:spacing w:before="100" w:after="100"/>
      </w:pPr>
      <w:r w:rsidRPr="00BD16B4">
        <w:t>Wildfire can be hugely damaging to communities and livelihoods. With changing rainfall, temperature and wind patterns, climate change is expected to increase the frequency, severity and season length of fire weather conditions in Aotearoa New Zealand. Researchers have investigated what wildfire risk looks like in a changing climate, and how to better reduce this risk and prepare communities.</w:t>
      </w:r>
    </w:p>
    <w:p w14:paraId="1A14A4FE" w14:textId="682CD017" w:rsidR="007420E6" w:rsidRPr="00BD16B4" w:rsidRDefault="007420E6" w:rsidP="00E659FA">
      <w:pPr>
        <w:pStyle w:val="BodyText"/>
        <w:spacing w:before="100" w:after="100"/>
      </w:pPr>
      <w:r w:rsidRPr="00BD16B4">
        <w:t>The highest fire dangers have been found in the seasonally drought-prone and arid locations of New Zealand. For many regions, it was found that, compared with the past two decades, the fire risk is expected to become appreciably worse through the rest of the century. For the first</w:t>
      </w:r>
      <w:r w:rsidR="00E849CE" w:rsidRPr="00BD16B4">
        <w:t> </w:t>
      </w:r>
      <w:r w:rsidRPr="00BD16B4">
        <w:t>time, it has been predicted that conditions that led to the devastating ‘Black Summer’ fires</w:t>
      </w:r>
      <w:r w:rsidR="00E849CE" w:rsidRPr="00BD16B4">
        <w:t> </w:t>
      </w:r>
      <w:r w:rsidRPr="00BD16B4">
        <w:t>in Australia will occur every 3–20 years in areas of the Mackenzie Country, Central Otago</w:t>
      </w:r>
      <w:r w:rsidR="00E849CE" w:rsidRPr="00BD16B4">
        <w:t> </w:t>
      </w:r>
      <w:r w:rsidRPr="00BD16B4">
        <w:t>and Marlborough.</w:t>
      </w:r>
      <w:r w:rsidRPr="00BD16B4">
        <w:rPr>
          <w:rStyle w:val="FootnoteReference"/>
        </w:rPr>
        <w:footnoteReference w:id="401"/>
      </w:r>
      <w:r w:rsidRPr="00BD16B4">
        <w:t xml:space="preserve"> A new research project is focusing on extreme wildfire, aiming to improve</w:t>
      </w:r>
      <w:r w:rsidR="00E849CE" w:rsidRPr="00BD16B4">
        <w:t> </w:t>
      </w:r>
      <w:r w:rsidRPr="00BD16B4">
        <w:t>existing understanding of the transitions between linear (predictable) and extreme (unpredictable) fire, especially in relation to fuels.</w:t>
      </w:r>
      <w:r w:rsidRPr="00BD16B4">
        <w:rPr>
          <w:rStyle w:val="FootnoteReference"/>
          <w:color w:val="auto"/>
        </w:rPr>
        <w:footnoteReference w:id="402"/>
      </w:r>
      <w:r w:rsidRPr="00BD16B4">
        <w:t xml:space="preserve"> </w:t>
      </w:r>
    </w:p>
    <w:p w14:paraId="250A6EAE" w14:textId="77777777" w:rsidR="007420E6" w:rsidRPr="00BD16B4" w:rsidRDefault="007420E6" w:rsidP="004E1B8C">
      <w:pPr>
        <w:pStyle w:val="Heading4"/>
      </w:pPr>
      <w:r w:rsidRPr="00BD16B4">
        <w:lastRenderedPageBreak/>
        <w:t>Health</w:t>
      </w:r>
    </w:p>
    <w:p w14:paraId="1C44CADA" w14:textId="77777777" w:rsidR="007420E6" w:rsidRPr="00BD16B4" w:rsidRDefault="007420E6" w:rsidP="007420E6">
      <w:pPr>
        <w:pStyle w:val="BodyText"/>
        <w:rPr>
          <w:lang w:eastAsia="en-GB"/>
        </w:rPr>
      </w:pPr>
      <w:r w:rsidRPr="00BD16B4">
        <w:rPr>
          <w:lang w:eastAsia="en-GB"/>
        </w:rPr>
        <w:t xml:space="preserve">In 2017, the Royal Society of New Zealand Te Aparangi released a document entitled </w:t>
      </w:r>
      <w:r w:rsidRPr="00BD16B4">
        <w:rPr>
          <w:i/>
          <w:iCs/>
          <w:lang w:eastAsia="en-GB"/>
        </w:rPr>
        <w:t>Human Health Impacts of Climate Change for New Zealand</w:t>
      </w:r>
      <w:r w:rsidRPr="00BD16B4">
        <w:rPr>
          <w:lang w:eastAsia="en-GB"/>
        </w:rPr>
        <w:t>.</w:t>
      </w:r>
      <w:r w:rsidRPr="00BD16B4">
        <w:rPr>
          <w:rStyle w:val="FootnoteReference"/>
          <w:lang w:eastAsia="en-GB"/>
        </w:rPr>
        <w:footnoteReference w:id="403"/>
      </w:r>
      <w:r w:rsidRPr="00BD16B4">
        <w:rPr>
          <w:lang w:eastAsia="en-GB"/>
        </w:rPr>
        <w:t xml:space="preserve"> This report provides an evidence summary of how climate change will affect the health of New Zealanders. The impacts identified are: </w:t>
      </w:r>
    </w:p>
    <w:p w14:paraId="1626C52B" w14:textId="77777777" w:rsidR="007420E6" w:rsidRPr="00BD16B4" w:rsidRDefault="007420E6" w:rsidP="007420E6">
      <w:pPr>
        <w:pStyle w:val="Bullet"/>
      </w:pPr>
      <w:r w:rsidRPr="00BD16B4">
        <w:rPr>
          <w:lang w:eastAsia="en-GB"/>
        </w:rPr>
        <w:t xml:space="preserve">direct </w:t>
      </w:r>
      <w:r w:rsidRPr="00BD16B4">
        <w:t>health impacts of climate change (increased flooding, fires and infrastructure damage, displacement and extreme temperatures)</w:t>
      </w:r>
    </w:p>
    <w:p w14:paraId="6866D065" w14:textId="77777777" w:rsidR="007420E6" w:rsidRPr="00BD16B4" w:rsidRDefault="007420E6" w:rsidP="007420E6">
      <w:pPr>
        <w:pStyle w:val="Bullet"/>
      </w:pPr>
      <w:r w:rsidRPr="00BD16B4">
        <w:t>indirect health impacts of climate change (harmful algal blooms, microbial contamination, food availability, quality and safety, mental health and wellbeing, outdoor air quality, carriers of new diseases, migration of tropical species into Aotearoa New Zealand</w:t>
      </w:r>
    </w:p>
    <w:p w14:paraId="4B55A15C" w14:textId="77777777" w:rsidR="007420E6" w:rsidRPr="00BD16B4" w:rsidRDefault="007420E6" w:rsidP="007420E6">
      <w:pPr>
        <w:pStyle w:val="Bullet"/>
        <w:rPr>
          <w:lang w:eastAsia="en-GB"/>
        </w:rPr>
      </w:pPr>
      <w:r w:rsidRPr="00BD16B4">
        <w:t>potential health</w:t>
      </w:r>
      <w:r w:rsidRPr="00BD16B4">
        <w:rPr>
          <w:lang w:eastAsia="en-GB"/>
        </w:rPr>
        <w:t xml:space="preserve"> benefits (ie, reduced cold mortality, health co-benefits from mitigating climate change effects).</w:t>
      </w:r>
    </w:p>
    <w:p w14:paraId="2F1C2B20" w14:textId="77777777" w:rsidR="007420E6" w:rsidRPr="00BD16B4" w:rsidRDefault="007420E6" w:rsidP="007420E6">
      <w:pPr>
        <w:pStyle w:val="BodyText"/>
        <w:rPr>
          <w:lang w:eastAsia="en-GB"/>
        </w:rPr>
      </w:pPr>
      <w:r w:rsidRPr="00BD16B4">
        <w:rPr>
          <w:lang w:eastAsia="en-GB"/>
        </w:rPr>
        <w:t xml:space="preserve">Research in </w:t>
      </w:r>
      <w:r w:rsidRPr="00BD16B4">
        <w:t>the</w:t>
      </w:r>
      <w:r w:rsidRPr="00BD16B4">
        <w:rPr>
          <w:lang w:eastAsia="en-GB"/>
        </w:rPr>
        <w:t xml:space="preserve"> Deep South National Science Challenge is developing guidance to inform policy to mitigate risk to Māori (and others) in the context of climate change, to develop institutional responses to climate adaptation and ensure climate impacts on health are properly considered in health policy.</w:t>
      </w:r>
      <w:r w:rsidRPr="00BD16B4">
        <w:rPr>
          <w:rStyle w:val="FootnoteReference"/>
          <w:color w:val="auto"/>
          <w:lang w:eastAsia="en-GB"/>
        </w:rPr>
        <w:footnoteReference w:id="404"/>
      </w:r>
      <w:r w:rsidRPr="00BD16B4">
        <w:rPr>
          <w:lang w:eastAsia="en-GB"/>
        </w:rPr>
        <w:t xml:space="preserve"> </w:t>
      </w:r>
    </w:p>
    <w:p w14:paraId="66AF4942" w14:textId="77777777" w:rsidR="007420E6" w:rsidRPr="00BD16B4" w:rsidRDefault="007420E6" w:rsidP="007420E6">
      <w:pPr>
        <w:pStyle w:val="Heading5"/>
      </w:pPr>
      <w:r w:rsidRPr="00BD16B4">
        <w:t>Environmental health indicators</w:t>
      </w:r>
    </w:p>
    <w:p w14:paraId="6D9A529F" w14:textId="3F7F9F26" w:rsidR="007420E6" w:rsidRPr="00BD16B4" w:rsidRDefault="007420E6" w:rsidP="007420E6">
      <w:pPr>
        <w:pStyle w:val="BodyText"/>
        <w:rPr>
          <w:lang w:eastAsia="en-GB"/>
        </w:rPr>
      </w:pPr>
      <w:r w:rsidRPr="00BD16B4">
        <w:rPr>
          <w:lang w:eastAsia="en-GB"/>
        </w:rPr>
        <w:t>The Government contracts Massey University to maintain a set of environmental health indicators that describe the link between the environment and health. They are based on known or plausible cause-and-effect relationships between the environment and health. The indicators provide information for action. They provide key evidence to help decision-makers, and raise awareness of environmental health risks, to improve human health. Climate-related indicators help assess the health impacts of climate. This is regardless of whether there is a significant degree of ‘change’ over the time that the indicators are measured. The indicators include temperature (days over 25</w:t>
      </w:r>
      <w:r w:rsidR="00FF28DD" w:rsidRPr="00BD16B4">
        <w:t>°C</w:t>
      </w:r>
      <w:r w:rsidRPr="00BD16B4">
        <w:rPr>
          <w:lang w:eastAsia="en-GB"/>
        </w:rPr>
        <w:t>, days under 0</w:t>
      </w:r>
      <w:r w:rsidR="00FF28DD" w:rsidRPr="00BD16B4">
        <w:t>°C</w:t>
      </w:r>
      <w:r w:rsidRPr="00BD16B4">
        <w:rPr>
          <w:lang w:eastAsia="en-GB"/>
        </w:rPr>
        <w:t>); rainfall and drought (days of soil moisture deficit); climate change as a health issue (notifications of cryptosporidiosis, giardiasis, salmonellosis; population groups more at risk than others to the effects of a changing climate).</w:t>
      </w:r>
    </w:p>
    <w:p w14:paraId="5460A24F" w14:textId="77777777" w:rsidR="007420E6" w:rsidRPr="00BD16B4" w:rsidRDefault="007420E6" w:rsidP="007420E6">
      <w:pPr>
        <w:pStyle w:val="Heading3"/>
      </w:pPr>
      <w:r w:rsidRPr="00BD16B4">
        <w:t>8.4.4</w:t>
      </w:r>
      <w:r w:rsidRPr="00BD16B4">
        <w:tab/>
        <w:t>Research and development on adaptation to climate change</w:t>
      </w:r>
    </w:p>
    <w:p w14:paraId="1A3F96FB" w14:textId="77777777" w:rsidR="007420E6" w:rsidRPr="00BD16B4" w:rsidRDefault="007420E6" w:rsidP="007420E6">
      <w:pPr>
        <w:pStyle w:val="BodyText"/>
        <w:rPr>
          <w:lang w:eastAsia="en-GB"/>
        </w:rPr>
      </w:pPr>
      <w:r w:rsidRPr="00BD16B4">
        <w:t xml:space="preserve">In addition to the research on climate change impacts described in section 8.4.3, research and the development and dissemination of methods </w:t>
      </w:r>
      <w:r w:rsidRPr="00BD16B4">
        <w:rPr>
          <w:lang w:eastAsia="en-GB"/>
        </w:rPr>
        <w:t xml:space="preserve">for implementing adaptation measures have been a </w:t>
      </w:r>
      <w:r w:rsidRPr="00BD16B4">
        <w:t xml:space="preserve">major focus. </w:t>
      </w:r>
      <w:r w:rsidRPr="00BD16B4">
        <w:rPr>
          <w:lang w:eastAsia="en-GB"/>
        </w:rPr>
        <w:t>For more information on climate change adaptation measures, see chapter 6.</w:t>
      </w:r>
    </w:p>
    <w:p w14:paraId="148FCC57" w14:textId="77777777" w:rsidR="007420E6" w:rsidRPr="00BD16B4" w:rsidRDefault="007420E6" w:rsidP="007420E6">
      <w:pPr>
        <w:pStyle w:val="BodyText"/>
      </w:pPr>
      <w:r w:rsidRPr="00BD16B4">
        <w:t>The adaptation-related research and information funded by central government includes the following.</w:t>
      </w:r>
    </w:p>
    <w:p w14:paraId="6B9EDF13" w14:textId="77777777" w:rsidR="007420E6" w:rsidRPr="00BD16B4" w:rsidRDefault="007420E6" w:rsidP="00E849CE">
      <w:pPr>
        <w:pStyle w:val="Bullet"/>
        <w:keepLines/>
      </w:pPr>
      <w:r w:rsidRPr="00BD16B4">
        <w:rPr>
          <w:b/>
          <w:bCs/>
        </w:rPr>
        <w:lastRenderedPageBreak/>
        <w:t xml:space="preserve">The Deep South Challenge: Changing with our climate </w:t>
      </w:r>
      <w:r w:rsidRPr="00BD16B4">
        <w:t>(2015–24)</w:t>
      </w:r>
      <w:r w:rsidRPr="00BD16B4">
        <w:rPr>
          <w:rStyle w:val="FootnoteReference"/>
        </w:rPr>
        <w:footnoteReference w:id="405"/>
      </w:r>
      <w:r w:rsidRPr="00BD16B4">
        <w:t xml:space="preserve"> has four research programmes: Processes and Observations, Earth System Modelling and Prediction, Impacts and Implications and Vision Mātauranga;</w:t>
      </w:r>
      <w:r w:rsidRPr="00BD16B4">
        <w:rPr>
          <w:rStyle w:val="FootnoteReference"/>
        </w:rPr>
        <w:footnoteReference w:id="406"/>
      </w:r>
      <w:r w:rsidRPr="00BD16B4">
        <w:t xml:space="preserve"> as well as a cross-cutting Engagement programme. The Impacts and Implications programme is the current provider of most adaptation-relevant research in Aotearoa New Zealand, along with NIWA’s SSIF-funded programmes on the impacts and implications of climate change and the Resilience Science Challenge.</w:t>
      </w:r>
    </w:p>
    <w:p w14:paraId="48E0C1F4" w14:textId="77777777" w:rsidR="007420E6" w:rsidRPr="00BD16B4" w:rsidRDefault="007420E6" w:rsidP="007420E6">
      <w:pPr>
        <w:pStyle w:val="Bullet"/>
      </w:pPr>
      <w:r w:rsidRPr="00BD16B4">
        <w:t xml:space="preserve">Several </w:t>
      </w:r>
      <w:r w:rsidRPr="00BD16B4">
        <w:rPr>
          <w:b/>
        </w:rPr>
        <w:t>other National Science Challenges</w:t>
      </w:r>
      <w:r w:rsidRPr="00BD16B4">
        <w:rPr>
          <w:rStyle w:val="FootnoteReference"/>
        </w:rPr>
        <w:footnoteReference w:id="407"/>
      </w:r>
      <w:r w:rsidRPr="00BD16B4">
        <w:t xml:space="preserve"> are also relevant to adaptation, including Resilience to Nature’s Challenges (2015–25), which has projects relevant to climate change adaptation at the coast and on adaptive governance. Its mission is to inform how New Zealand will build a transformative pathway toward natural hazard resilience. It includes a Living at the Edge work programme focused on communities that are highly vulnerable to natural hazards, and a Resilience Governance programme. Other relevant challenges include New Zealand’s Biological Heritage; Our Land and Water; Sustainable Seas; and Building Better Homes, Towns and Cities.</w:t>
      </w:r>
    </w:p>
    <w:p w14:paraId="717D96C3" w14:textId="77777777" w:rsidR="007420E6" w:rsidRPr="00BD16B4" w:rsidRDefault="007420E6" w:rsidP="007420E6">
      <w:pPr>
        <w:pStyle w:val="Bullet"/>
      </w:pPr>
      <w:r w:rsidRPr="00BD16B4">
        <w:t xml:space="preserve">The </w:t>
      </w:r>
      <w:r w:rsidRPr="00BD16B4">
        <w:rPr>
          <w:b/>
          <w:bCs/>
        </w:rPr>
        <w:t xml:space="preserve">Sustainable Land Management and Climate Change </w:t>
      </w:r>
      <w:r w:rsidRPr="00BD16B4">
        <w:t xml:space="preserve">research programme, established in 2007 as part of a wider plan of action, supports the generation of new climate change knowledge across the agriculture and forestry sectors. The research programme covered all aspects of climate change in the land-based primary sectors, including impacts and adaptation, reducing greenhouse gas emissions and increasing forest carbon sinks. Over 180 projects have been commissioned as of June 2022. </w:t>
      </w:r>
    </w:p>
    <w:p w14:paraId="7A0DB0F8" w14:textId="77777777" w:rsidR="007420E6" w:rsidRPr="00BD16B4" w:rsidRDefault="007420E6" w:rsidP="007420E6">
      <w:pPr>
        <w:pStyle w:val="Bullet"/>
        <w:rPr>
          <w:i/>
        </w:rPr>
      </w:pPr>
      <w:r w:rsidRPr="00BD16B4">
        <w:t>The</w:t>
      </w:r>
      <w:r w:rsidRPr="00BD16B4">
        <w:rPr>
          <w:b/>
        </w:rPr>
        <w:t xml:space="preserve"> Coastal Acidification: Rate, Impacts and Management Project </w:t>
      </w:r>
      <w:r w:rsidRPr="00BD16B4">
        <w:t>(2016–19)</w:t>
      </w:r>
      <w:r w:rsidRPr="00BD16B4">
        <w:rPr>
          <w:rStyle w:val="FootnoteReference"/>
        </w:rPr>
        <w:footnoteReference w:id="408"/>
      </w:r>
      <w:r w:rsidRPr="00BD16B4">
        <w:t xml:space="preserve"> finished in early 2020 having established the seasonal and interannual trends in pH at selected coastal sites, the sensitivity of key coastal species, including paua, greenshell mussels and snapper, to projected acidification and tools and approaches for adaptation to coastal acidification. Monitoring of some sites has been maintained through the NIWA-led NZ</w:t>
      </w:r>
      <w:r w:rsidRPr="00BD16B4">
        <w:noBreakHyphen/>
        <w:t>OAON (Ocean Acidification Observing Network), which coordinates bimonthly weekly monitoring at 20-plus coastal sites around New Zealand.</w:t>
      </w:r>
    </w:p>
    <w:p w14:paraId="7A4B1D4A" w14:textId="6BCEC42A" w:rsidR="007420E6" w:rsidRPr="00BD16B4" w:rsidRDefault="007420E6" w:rsidP="00EA3B47">
      <w:pPr>
        <w:pStyle w:val="BodyText"/>
        <w:keepLines/>
        <w:rPr>
          <w:lang w:eastAsia="en-GB"/>
        </w:rPr>
      </w:pPr>
      <w:r w:rsidRPr="00BD16B4">
        <w:rPr>
          <w:lang w:eastAsia="en-GB"/>
        </w:rPr>
        <w:t xml:space="preserve">The Ministry for the Environment has supported research to produce guidance manuals for local government on the expected impacts of climate change. These provide projections of future climate and describe a risk management framework for assessing the consequences and determining the appropriate responses. </w:t>
      </w:r>
      <w:r w:rsidRPr="00BD16B4">
        <w:t xml:space="preserve">These guidance manuals are described in </w:t>
      </w:r>
      <w:r w:rsidR="00E04092" w:rsidRPr="00BD16B4">
        <w:t>chapter 9, section 9.3.3</w:t>
      </w:r>
      <w:r w:rsidRPr="00BD16B4">
        <w:t>.</w:t>
      </w:r>
      <w:r w:rsidRPr="00BD16B4">
        <w:rPr>
          <w:lang w:eastAsia="en-GB"/>
        </w:rPr>
        <w:t xml:space="preserve"> Research is also being conducted into the social aspects of successful adaptation. </w:t>
      </w:r>
    </w:p>
    <w:p w14:paraId="2EAFA22F" w14:textId="77777777" w:rsidR="007420E6" w:rsidRPr="00BD16B4" w:rsidRDefault="007420E6" w:rsidP="00351A1F">
      <w:pPr>
        <w:pStyle w:val="BodyText"/>
        <w:spacing w:after="100"/>
        <w:rPr>
          <w:lang w:eastAsia="en-GB"/>
        </w:rPr>
      </w:pPr>
      <w:r w:rsidRPr="00BD16B4">
        <w:rPr>
          <w:lang w:eastAsia="en-GB"/>
        </w:rPr>
        <w:t>Guidance documents produced by the Ministry for the Environment on the projected flooding and coastal hazard impacts of climate change are being used by local authorities to inform the development of new infrastructure. Further research has led to the development of the Urban Impacts Toolbox.</w:t>
      </w:r>
      <w:r w:rsidRPr="00BD16B4">
        <w:rPr>
          <w:rStyle w:val="FootnoteReference"/>
        </w:rPr>
        <w:footnoteReference w:id="409"/>
      </w:r>
      <w:r w:rsidRPr="00BD16B4">
        <w:rPr>
          <w:lang w:eastAsia="en-GB"/>
        </w:rPr>
        <w:t xml:space="preserve"> This is a resource to help planners, engineers, asset managers and hazard analysts in New Zealand urban councils understand and evaluate the potential impacts of climate change in their city. The tools demonstrate methods and approaches that can be </w:t>
      </w:r>
      <w:r w:rsidRPr="00BD16B4">
        <w:rPr>
          <w:lang w:eastAsia="en-GB"/>
        </w:rPr>
        <w:lastRenderedPageBreak/>
        <w:t>used to assess climate change impacts and provide information consistent with the Australian and New Zealand Standard for Risk Management, which is widely used in the public and private sectors.</w:t>
      </w:r>
    </w:p>
    <w:p w14:paraId="22EDBA1F" w14:textId="77777777" w:rsidR="007420E6" w:rsidRPr="00BD16B4" w:rsidRDefault="007420E6" w:rsidP="00351A1F">
      <w:pPr>
        <w:pStyle w:val="BodyText"/>
        <w:spacing w:after="100"/>
        <w:rPr>
          <w:lang w:eastAsia="en-GB"/>
        </w:rPr>
      </w:pPr>
      <w:r w:rsidRPr="00BD16B4">
        <w:rPr>
          <w:lang w:eastAsia="en-GB"/>
        </w:rPr>
        <w:t>Adaptation research specific to the land-based sectors has also been carried out. This has included:</w:t>
      </w:r>
    </w:p>
    <w:p w14:paraId="1509F0F6" w14:textId="77777777" w:rsidR="007420E6" w:rsidRPr="00BD16B4" w:rsidRDefault="007420E6" w:rsidP="00351A1F">
      <w:pPr>
        <w:pStyle w:val="Bullet"/>
        <w:spacing w:after="100"/>
      </w:pPr>
      <w:r w:rsidRPr="00BD16B4">
        <w:t>assessing the effects of climate change on irrigation supply and demand on a national scale</w:t>
      </w:r>
    </w:p>
    <w:p w14:paraId="396DBB99" w14:textId="77777777" w:rsidR="007420E6" w:rsidRPr="00BD16B4" w:rsidRDefault="007420E6" w:rsidP="00351A1F">
      <w:pPr>
        <w:pStyle w:val="Bullet"/>
        <w:spacing w:after="100"/>
      </w:pPr>
      <w:r w:rsidRPr="00BD16B4">
        <w:t>modelling the effect of climate change on land suitability for growing perennial crops</w:t>
      </w:r>
    </w:p>
    <w:p w14:paraId="41C2B932" w14:textId="77777777" w:rsidR="007420E6" w:rsidRPr="00BD16B4" w:rsidRDefault="007420E6" w:rsidP="00351A1F">
      <w:pPr>
        <w:pStyle w:val="Bullet"/>
        <w:spacing w:after="100"/>
      </w:pPr>
      <w:r w:rsidRPr="00BD16B4">
        <w:t>studying adaptations and mitigations for wildfire risk due to climate change</w:t>
      </w:r>
    </w:p>
    <w:p w14:paraId="66477A1F" w14:textId="77777777" w:rsidR="007420E6" w:rsidRPr="00BD16B4" w:rsidRDefault="007420E6" w:rsidP="00351A1F">
      <w:pPr>
        <w:pStyle w:val="Bullet"/>
        <w:spacing w:after="100"/>
      </w:pPr>
      <w:r w:rsidRPr="00BD16B4">
        <w:t>exploring business climate change risk using the Task Force on Climate-related Financial Disclosure process</w:t>
      </w:r>
    </w:p>
    <w:p w14:paraId="5F24D1A0" w14:textId="77777777" w:rsidR="007420E6" w:rsidRPr="00BD16B4" w:rsidRDefault="007420E6" w:rsidP="00351A1F">
      <w:pPr>
        <w:pStyle w:val="Bullet"/>
        <w:spacing w:after="100"/>
      </w:pPr>
      <w:r w:rsidRPr="00BD16B4">
        <w:t>developing flexible policy pathways for enabling climate change adaptation</w:t>
      </w:r>
    </w:p>
    <w:p w14:paraId="228AC337" w14:textId="77777777" w:rsidR="007420E6" w:rsidRPr="00BD16B4" w:rsidRDefault="007420E6" w:rsidP="007420E6">
      <w:pPr>
        <w:pStyle w:val="Bullet"/>
      </w:pPr>
      <w:r w:rsidRPr="00BD16B4">
        <w:t>modelling potential climate change impacts on horticulture’s spatial footprint.</w:t>
      </w:r>
    </w:p>
    <w:p w14:paraId="406FD186" w14:textId="77777777" w:rsidR="007420E6" w:rsidRPr="00BD16B4" w:rsidRDefault="007420E6" w:rsidP="00351A1F">
      <w:pPr>
        <w:pStyle w:val="Heading3"/>
        <w:spacing w:before="320"/>
      </w:pPr>
      <w:r w:rsidRPr="00BD16B4">
        <w:t>8.4.5</w:t>
      </w:r>
      <w:r w:rsidRPr="00BD16B4">
        <w:tab/>
        <w:t xml:space="preserve">Socio-economic analysis, including impacts and response options </w:t>
      </w:r>
    </w:p>
    <w:p w14:paraId="1CC5D288" w14:textId="77777777" w:rsidR="007420E6" w:rsidRPr="00BD16B4" w:rsidRDefault="007420E6" w:rsidP="00351A1F">
      <w:pPr>
        <w:pStyle w:val="BodyText"/>
        <w:spacing w:before="100" w:after="100"/>
        <w:rPr>
          <w:lang w:eastAsia="en-GB"/>
        </w:rPr>
      </w:pPr>
      <w:r w:rsidRPr="00BD16B4">
        <w:rPr>
          <w:lang w:eastAsia="en-GB"/>
        </w:rPr>
        <w:t xml:space="preserve">A study was undertaken in support of the National Climate Change Risk Assessment. This drew on international knowledge and </w:t>
      </w:r>
      <w:r w:rsidRPr="00BD16B4">
        <w:t>evaluated</w:t>
      </w:r>
      <w:r w:rsidRPr="00BD16B4">
        <w:rPr>
          <w:lang w:eastAsia="en-GB"/>
        </w:rPr>
        <w:t xml:space="preserve"> significant risks and indicators that could be applied at the national scale to quantify risk and develop and monitor the effectiveness of climate response mechanisms.</w:t>
      </w:r>
      <w:r w:rsidRPr="00BD16B4">
        <w:rPr>
          <w:rStyle w:val="FootnoteReference"/>
          <w:lang w:eastAsia="en-GB"/>
        </w:rPr>
        <w:footnoteReference w:id="410"/>
      </w:r>
    </w:p>
    <w:p w14:paraId="6C2A5E81" w14:textId="77777777" w:rsidR="007420E6" w:rsidRPr="00BD16B4" w:rsidRDefault="007420E6" w:rsidP="00351A1F">
      <w:pPr>
        <w:pStyle w:val="BodyText"/>
        <w:spacing w:before="100" w:after="100"/>
      </w:pPr>
      <w:r w:rsidRPr="00BD16B4">
        <w:t>Extreme weather events and climate-related risks can cause long-term disruption to vulnerable communities, such as rural communities, disabled people, young people, Māori, and to vital networks and support services. Some communities may need to relocate, either temporarily or permanently.</w:t>
      </w:r>
    </w:p>
    <w:p w14:paraId="3078766C" w14:textId="77777777" w:rsidR="007420E6" w:rsidRPr="00BD16B4" w:rsidRDefault="007420E6" w:rsidP="00351A1F">
      <w:pPr>
        <w:pStyle w:val="BodyText"/>
        <w:spacing w:before="100" w:after="100"/>
      </w:pPr>
      <w:r w:rsidRPr="00BD16B4">
        <w:t xml:space="preserve">Important adaptation options in the National Adaptation Plan include connecting these vulnerable communities to wider response and recovery support. The plan outlines actions to raise awareness of climate hazards and how it will deliver public education campaigns and provide information to help vulnerable communities get ready for emergencies. </w:t>
      </w:r>
    </w:p>
    <w:p w14:paraId="1863D4F2" w14:textId="77777777" w:rsidR="007420E6" w:rsidRPr="00BD16B4" w:rsidRDefault="007420E6" w:rsidP="00351A1F">
      <w:pPr>
        <w:pStyle w:val="BodyText"/>
        <w:spacing w:before="100" w:after="100"/>
      </w:pPr>
      <w:r w:rsidRPr="00BD16B4">
        <w:t>The National Adaptation Plan also provides information, guidance and tools about climate change threats and responses. It also facilitates designing and developing risk, resilience and climate adaptation information portals that will explore opportunities to collect and make available data and information on social and equity risks. The portals will help assess people’s vulnerability to climate change, including disproportionately affected groups.</w:t>
      </w:r>
    </w:p>
    <w:p w14:paraId="48ECF4DF" w14:textId="77777777" w:rsidR="007420E6" w:rsidRPr="00BD16B4" w:rsidRDefault="007420E6" w:rsidP="00351A1F">
      <w:pPr>
        <w:pStyle w:val="BodyText"/>
        <w:spacing w:before="100" w:after="100"/>
        <w:rPr>
          <w:lang w:eastAsia="en-GB"/>
        </w:rPr>
      </w:pPr>
      <w:r w:rsidRPr="00BD16B4">
        <w:rPr>
          <w:lang w:eastAsia="en-GB"/>
        </w:rPr>
        <w:t>The Deep South National Science Challenge, in partnership with Motu Economic and Public Policy Research, has continued a series of dialogues to develop a shared understanding of important issues, come up with creative ideas to address them, and then pose and answer research questions. These dialogues frequently address issues involving socio-economic analysis. Dialogues and research topics have included insurance, coastal housing and climate adaptation; vulnerable communities and sea</w:t>
      </w:r>
      <w:r w:rsidRPr="00BD16B4">
        <w:rPr>
          <w:lang w:eastAsia="en-GB"/>
        </w:rPr>
        <w:noBreakHyphen/>
        <w:t xml:space="preserve">level rise; drinking water and drought; and transport. </w:t>
      </w:r>
    </w:p>
    <w:p w14:paraId="457AE840" w14:textId="77777777" w:rsidR="007420E6" w:rsidRPr="00BD16B4" w:rsidRDefault="007420E6" w:rsidP="007420E6">
      <w:pPr>
        <w:pStyle w:val="BodyText"/>
        <w:rPr>
          <w:lang w:eastAsia="en-GB"/>
        </w:rPr>
      </w:pPr>
      <w:r w:rsidRPr="00BD16B4">
        <w:rPr>
          <w:lang w:eastAsia="en-GB"/>
        </w:rPr>
        <w:lastRenderedPageBreak/>
        <w:t>A report was released focusing on an important question from the insurance, coastal housing and climate adaptation dialogue on how the risks of sea-level rise should be distributed between individuals, insurance, local and central government.</w:t>
      </w:r>
      <w:r w:rsidRPr="00BD16B4">
        <w:rPr>
          <w:rStyle w:val="FootnoteReference"/>
          <w:color w:val="auto"/>
          <w:lang w:eastAsia="en-GB"/>
        </w:rPr>
        <w:footnoteReference w:id="411"/>
      </w:r>
      <w:r w:rsidRPr="00BD16B4">
        <w:rPr>
          <w:lang w:eastAsia="en-GB"/>
        </w:rPr>
        <w:t xml:space="preserve"> Subsequent research looked at possible implications for the withdrawal of insurance,</w:t>
      </w:r>
      <w:r w:rsidRPr="00BD16B4">
        <w:rPr>
          <w:rStyle w:val="FootnoteReference"/>
          <w:color w:val="auto"/>
          <w:lang w:eastAsia="en-GB"/>
        </w:rPr>
        <w:footnoteReference w:id="412"/>
      </w:r>
      <w:r w:rsidRPr="00BD16B4">
        <w:rPr>
          <w:lang w:eastAsia="en-GB"/>
        </w:rPr>
        <w:t xml:space="preserve"> the ethical implications of sea-level rise policy,</w:t>
      </w:r>
      <w:r w:rsidRPr="00BD16B4">
        <w:rPr>
          <w:rStyle w:val="FootnoteReference"/>
          <w:color w:val="auto"/>
          <w:lang w:eastAsia="en-GB"/>
        </w:rPr>
        <w:footnoteReference w:id="413"/>
      </w:r>
      <w:r w:rsidRPr="00BD16B4">
        <w:rPr>
          <w:lang w:eastAsia="en-GB"/>
        </w:rPr>
        <w:t xml:space="preserve"> and liability, compensation and Tiriti responsibilities in relation to sea-level rise, housing and insurance.</w:t>
      </w:r>
      <w:r w:rsidRPr="00BD16B4">
        <w:rPr>
          <w:rStyle w:val="FootnoteReference"/>
          <w:color w:val="auto"/>
          <w:lang w:eastAsia="en-GB"/>
        </w:rPr>
        <w:footnoteReference w:id="414"/>
      </w:r>
      <w:r w:rsidRPr="00BD16B4">
        <w:rPr>
          <w:lang w:eastAsia="en-GB"/>
        </w:rPr>
        <w:t xml:space="preserve"> </w:t>
      </w:r>
    </w:p>
    <w:p w14:paraId="172CC5E8" w14:textId="77777777" w:rsidR="007420E6" w:rsidRPr="00BD16B4" w:rsidRDefault="007420E6" w:rsidP="007420E6">
      <w:pPr>
        <w:pStyle w:val="BodyText"/>
      </w:pPr>
      <w:r w:rsidRPr="00BD16B4">
        <w:t>A research project on drinking water, drought and climate change responded to two main questions.</w:t>
      </w:r>
      <w:r w:rsidRPr="00BD16B4">
        <w:rPr>
          <w:rStyle w:val="FootnoteReference"/>
        </w:rPr>
        <w:footnoteReference w:id="415"/>
      </w:r>
    </w:p>
    <w:p w14:paraId="2BB102EA" w14:textId="77777777" w:rsidR="007420E6" w:rsidRPr="00BD16B4" w:rsidRDefault="007420E6" w:rsidP="008E7C93">
      <w:pPr>
        <w:pStyle w:val="Numberedparagraph"/>
        <w:numPr>
          <w:ilvl w:val="0"/>
          <w:numId w:val="21"/>
        </w:numPr>
      </w:pPr>
      <w:r w:rsidRPr="00BD16B4">
        <w:t>What is the likely incidence of future multi-regional drought? What is the likely nationwide spatial pattern of expected change in drought incidence?</w:t>
      </w:r>
    </w:p>
    <w:p w14:paraId="40C9963C" w14:textId="77777777" w:rsidR="007420E6" w:rsidRPr="00BD16B4" w:rsidRDefault="007420E6" w:rsidP="007420E6">
      <w:pPr>
        <w:pStyle w:val="Numberedparagraph"/>
      </w:pPr>
      <w:r w:rsidRPr="00BD16B4">
        <w:t>What level of risk are we likely to face in relation to drinking water availability in times of drought?</w:t>
      </w:r>
    </w:p>
    <w:p w14:paraId="109563BA" w14:textId="77777777" w:rsidR="007420E6" w:rsidRPr="00BD16B4" w:rsidRDefault="007420E6" w:rsidP="007420E6">
      <w:pPr>
        <w:pStyle w:val="BodyText"/>
      </w:pPr>
      <w:r w:rsidRPr="00BD16B4">
        <w:t>A NIWA report on projected changes in Aotearoa New Zealand drought risk, which focuses on the first question, was released in 2020.</w:t>
      </w:r>
      <w:r w:rsidRPr="00BD16B4">
        <w:rPr>
          <w:rStyle w:val="FootnoteReference"/>
        </w:rPr>
        <w:footnoteReference w:id="416"/>
      </w:r>
      <w:r w:rsidRPr="00BD16B4">
        <w:t xml:space="preserve"> Another report on water availability under climate change has been published to focus on the second question.</w:t>
      </w:r>
      <w:r w:rsidRPr="00BD16B4">
        <w:rPr>
          <w:rStyle w:val="FootnoteReference"/>
        </w:rPr>
        <w:footnoteReference w:id="417"/>
      </w:r>
      <w:r w:rsidRPr="00BD16B4">
        <w:t xml:space="preserve"> </w:t>
      </w:r>
    </w:p>
    <w:p w14:paraId="4E1F8793" w14:textId="77777777" w:rsidR="007420E6" w:rsidRPr="00BD16B4" w:rsidRDefault="007420E6" w:rsidP="007420E6">
      <w:pPr>
        <w:pStyle w:val="BodyText"/>
      </w:pPr>
      <w:r w:rsidRPr="00BD16B4">
        <w:t>Under the Fit for a Better World programme, MPI has undertaken a project to better understand the current state of New Zealand’s water availability and security framework alongside projections of a warmer, drier climate with greater extremes. The quality, availability and security of fresh water are critical to food and fibre production and processing, community resilience, our identity as New Zealanders (Māori and non-Māori), and the health of te taiao (the natural world,</w:t>
      </w:r>
      <w:r w:rsidRPr="00BD16B4">
        <w:rPr>
          <w:szCs w:val="20"/>
        </w:rPr>
        <w:t xml:space="preserve"> environment and nature</w:t>
      </w:r>
      <w:r w:rsidRPr="00BD16B4">
        <w:t xml:space="preserve">) on which we all depend. The studies point to the </w:t>
      </w:r>
      <w:r w:rsidRPr="00BD16B4">
        <w:rPr>
          <w:spacing w:val="-2"/>
        </w:rPr>
        <w:t>need for a strategic approach that addresses and integrates current and future supply, demand</w:t>
      </w:r>
      <w:r w:rsidRPr="00BD16B4">
        <w:t>, and priorities for the use with protection of fresh water and the resources dependent on it.</w:t>
      </w:r>
      <w:r w:rsidRPr="00BD16B4">
        <w:rPr>
          <w:rStyle w:val="FootnoteReference"/>
        </w:rPr>
        <w:footnoteReference w:id="418"/>
      </w:r>
    </w:p>
    <w:p w14:paraId="2AA0E44D" w14:textId="77777777" w:rsidR="007420E6" w:rsidRPr="00BD16B4" w:rsidRDefault="007420E6" w:rsidP="007420E6">
      <w:pPr>
        <w:pStyle w:val="BodyText"/>
      </w:pPr>
      <w:r w:rsidRPr="00BD16B4">
        <w:t>Following dialogue on climate adaptation within New Zealand’s transport system, a report was published in 2019 posing five priority research questions.</w:t>
      </w:r>
      <w:r w:rsidRPr="00BD16B4">
        <w:rPr>
          <w:rStyle w:val="FootnoteReference"/>
        </w:rPr>
        <w:footnoteReference w:id="419"/>
      </w:r>
      <w:r w:rsidRPr="00BD16B4">
        <w:t xml:space="preserve"> These questions cover issues such as criticality of transport networks, the impacts of transport disrupting events, adapting to events, institutional arrangements and lessons learned from other sectors on uncertainty.</w:t>
      </w:r>
    </w:p>
    <w:p w14:paraId="796325E7" w14:textId="77777777" w:rsidR="007420E6" w:rsidRPr="00BD16B4" w:rsidRDefault="007420E6" w:rsidP="007420E6">
      <w:pPr>
        <w:pStyle w:val="BodyText"/>
      </w:pPr>
      <w:r w:rsidRPr="00BD16B4">
        <w:lastRenderedPageBreak/>
        <w:t xml:space="preserve">The </w:t>
      </w:r>
      <w:r w:rsidRPr="00BD16B4">
        <w:rPr>
          <w:lang w:eastAsia="en-GB"/>
        </w:rPr>
        <w:t>Deep South National Science Challenge research programme, aims to strengthen the capacity and capability of iwi, hapū, whānau and Māori businesses to deal with climate change impacts, risks and adaptation by resourcing them directly.</w:t>
      </w:r>
    </w:p>
    <w:p w14:paraId="6BB1F724" w14:textId="77777777" w:rsidR="007420E6" w:rsidRPr="00BD16B4" w:rsidRDefault="007420E6" w:rsidP="007420E6">
      <w:pPr>
        <w:pStyle w:val="BodyText"/>
        <w:rPr>
          <w:lang w:eastAsia="en-GB"/>
        </w:rPr>
      </w:pPr>
      <w:r w:rsidRPr="00BD16B4">
        <w:rPr>
          <w:lang w:eastAsia="en-GB"/>
        </w:rPr>
        <w:t>Te Kūwaha, NIWA’s Māori Environmental Research Group,</w:t>
      </w:r>
      <w:r w:rsidRPr="00BD16B4">
        <w:rPr>
          <w:rStyle w:val="FootnoteReference"/>
        </w:rPr>
        <w:footnoteReference w:id="420"/>
      </w:r>
      <w:r w:rsidRPr="00BD16B4">
        <w:rPr>
          <w:lang w:eastAsia="en-GB"/>
        </w:rPr>
        <w:t xml:space="preserve"> helps Māori communities throughout New Zealand by providing the latest scientific knowledge, tools and resources to assist in their management of natural resources.</w:t>
      </w:r>
    </w:p>
    <w:p w14:paraId="25631365" w14:textId="77777777" w:rsidR="007420E6" w:rsidRPr="00BD16B4" w:rsidRDefault="007420E6" w:rsidP="007420E6">
      <w:pPr>
        <w:pStyle w:val="Heading3"/>
      </w:pPr>
      <w:r w:rsidRPr="00BD16B4">
        <w:t>8.4.6</w:t>
      </w:r>
      <w:r w:rsidRPr="00BD16B4">
        <w:tab/>
        <w:t>Research and development on emissions and mitigation</w:t>
      </w:r>
    </w:p>
    <w:p w14:paraId="64EBD225" w14:textId="77777777" w:rsidR="007420E6" w:rsidRPr="00BD16B4" w:rsidRDefault="007420E6" w:rsidP="004E1B8C">
      <w:pPr>
        <w:pStyle w:val="Heading4"/>
      </w:pPr>
      <w:r w:rsidRPr="00BD16B4">
        <w:t>Mitigation of agricultural greenhouse gas emissions</w:t>
      </w:r>
    </w:p>
    <w:p w14:paraId="45E9C815" w14:textId="77777777" w:rsidR="007420E6" w:rsidRPr="00BD16B4" w:rsidRDefault="007420E6" w:rsidP="007420E6">
      <w:pPr>
        <w:pStyle w:val="BodyText"/>
        <w:rPr>
          <w:rFonts w:asciiTheme="minorHAnsi" w:hAnsiTheme="minorHAnsi" w:cstheme="minorHAnsi"/>
          <w:lang w:eastAsia="en-GB"/>
        </w:rPr>
      </w:pPr>
      <w:r w:rsidRPr="00BD16B4">
        <w:rPr>
          <w:rFonts w:asciiTheme="minorHAnsi" w:hAnsiTheme="minorHAnsi" w:cstheme="minorHAnsi"/>
          <w:lang w:eastAsia="en-GB"/>
        </w:rPr>
        <w:t xml:space="preserve">Because almost half of Aotearoa New Zealand’s greenhouse gas emissions come from the agriculture sector, significant research is focused on reducing emissions from agriculture. </w:t>
      </w:r>
    </w:p>
    <w:p w14:paraId="34ADA406" w14:textId="77777777" w:rsidR="007420E6" w:rsidRPr="00BD16B4" w:rsidRDefault="007420E6" w:rsidP="007420E6">
      <w:pPr>
        <w:pStyle w:val="BodyText"/>
      </w:pPr>
      <w:r w:rsidRPr="00BD16B4">
        <w:t xml:space="preserve">This activity will soon increase, because Budget 2022 allocated nearly $339 million over four years to accelerate the development of high-impact technologies and practices to reduce agricultural greenhouse gas emissions (chapter 4, section 4.3.6). This investment has been informed by a </w:t>
      </w:r>
      <w:r w:rsidRPr="00BD16B4">
        <w:rPr>
          <w:color w:val="000000"/>
        </w:rPr>
        <w:t>research and development plan for science and mātauranga to lower biological emissions from agriculture. This research and development plan is part of the Government and sector’s Fit for a Better World roadmap and has been developed between government, industry, Māori and the science sector.</w:t>
      </w:r>
    </w:p>
    <w:p w14:paraId="047A3E38" w14:textId="77777777" w:rsidR="007420E6" w:rsidRPr="00BD16B4" w:rsidRDefault="007420E6" w:rsidP="007420E6">
      <w:pPr>
        <w:pStyle w:val="BodyText"/>
      </w:pPr>
      <w:r w:rsidRPr="00BD16B4">
        <w:t xml:space="preserve">Agricultural mitigation research is funded through various programmes and organisations, including the NZAGRC, the Greenhouse Gas Inventory Research fund, the Sustainable Food and Fibre Futures fund, the SLMACC research programme, and New Zealand activities in support of the GRA. Detail on progress that New Zealand has made through these research programmes is provided below. </w:t>
      </w:r>
    </w:p>
    <w:p w14:paraId="60B19B1F" w14:textId="77777777" w:rsidR="007420E6" w:rsidRPr="00BD16B4" w:rsidRDefault="007420E6" w:rsidP="007420E6">
      <w:pPr>
        <w:pStyle w:val="Heading5"/>
      </w:pPr>
      <w:r w:rsidRPr="00BD16B4">
        <w:t>Ruminant methane</w:t>
      </w:r>
    </w:p>
    <w:p w14:paraId="1898D79F" w14:textId="77777777" w:rsidR="007420E6" w:rsidRPr="00BD16B4" w:rsidRDefault="007420E6" w:rsidP="00234943">
      <w:pPr>
        <w:pStyle w:val="BodyText"/>
      </w:pPr>
      <w:r w:rsidRPr="00BD16B4">
        <w:rPr>
          <w:lang w:eastAsia="en-GB"/>
        </w:rPr>
        <w:t xml:space="preserve">Aotearoa New Zealand has a comprehensive research programme to address </w:t>
      </w:r>
      <w:r w:rsidRPr="00BD16B4">
        <w:t>methane</w:t>
      </w:r>
      <w:r w:rsidRPr="00BD16B4">
        <w:rPr>
          <w:lang w:eastAsia="en-GB"/>
        </w:rPr>
        <w:t xml:space="preserve"> from enteric fermentation and manure management. Areas of research include </w:t>
      </w:r>
      <w:r w:rsidRPr="00BD16B4">
        <w:t xml:space="preserve">breeding low </w:t>
      </w:r>
      <w:r w:rsidRPr="00BD16B4">
        <w:rPr>
          <w:lang w:eastAsia="en-GB"/>
        </w:rPr>
        <w:t>greenhouse-gas</w:t>
      </w:r>
      <w:r w:rsidRPr="00BD16B4">
        <w:t>-emitting sheep and cattle, identifying low-emissions</w:t>
      </w:r>
      <w:r w:rsidRPr="00BD16B4">
        <w:rPr>
          <w:rFonts w:ascii="Times New Roman" w:eastAsia="Calibri" w:hAnsi="Times New Roman"/>
          <w:sz w:val="24"/>
          <w:szCs w:val="24"/>
        </w:rPr>
        <w:t xml:space="preserve"> </w:t>
      </w:r>
      <w:r w:rsidRPr="00BD16B4">
        <w:t>feeds, developing vaccines to inhibit enteric methane and discovering inhibitory compounds that reduce enteric methane emissions. Progress since the last national communication includes:</w:t>
      </w:r>
    </w:p>
    <w:p w14:paraId="3A949CB2" w14:textId="77777777" w:rsidR="007420E6" w:rsidRPr="00BD16B4" w:rsidRDefault="007420E6" w:rsidP="007420E6">
      <w:pPr>
        <w:pStyle w:val="Bullet"/>
      </w:pPr>
      <w:r w:rsidRPr="00BD16B4">
        <w:t xml:space="preserve">identifying and developing the ability to breed low-methane-emitting sheep by extending the programme to pilot-level animal selection on farm using portable accumulation chambers </w:t>
      </w:r>
    </w:p>
    <w:p w14:paraId="724C1966" w14:textId="77777777" w:rsidR="007420E6" w:rsidRPr="00BD16B4" w:rsidRDefault="007420E6" w:rsidP="007420E6">
      <w:pPr>
        <w:pStyle w:val="Bullet"/>
      </w:pPr>
      <w:r w:rsidRPr="00BD16B4">
        <w:t>confirming that selected low methane</w:t>
      </w:r>
      <w:r w:rsidRPr="00BD16B4">
        <w:rPr>
          <w:vertAlign w:val="subscript"/>
        </w:rPr>
        <w:t xml:space="preserve"> </w:t>
      </w:r>
      <w:r w:rsidRPr="00BD16B4">
        <w:t>in sheep has no major deleterious negative features under grazing conditions</w:t>
      </w:r>
    </w:p>
    <w:p w14:paraId="6C775BDB" w14:textId="77777777" w:rsidR="007420E6" w:rsidRPr="00BD16B4" w:rsidRDefault="007420E6" w:rsidP="007420E6">
      <w:pPr>
        <w:pStyle w:val="Bullet"/>
      </w:pPr>
      <w:r w:rsidRPr="00BD16B4">
        <w:t>identifying indirect means of selecting low methane animals through the unique profiles of specific methanogen abundance</w:t>
      </w:r>
    </w:p>
    <w:p w14:paraId="3A0BDFDD" w14:textId="77777777" w:rsidR="007420E6" w:rsidRPr="00BD16B4" w:rsidRDefault="007420E6" w:rsidP="007420E6">
      <w:pPr>
        <w:pStyle w:val="Bullet"/>
      </w:pPr>
      <w:r w:rsidRPr="00BD16B4">
        <w:t xml:space="preserve">showing that prototype vaccines can produce high levels of methanogen-specific antibody in the saliva entering the rumen, but as yet not reducing methane </w:t>
      </w:r>
      <w:r w:rsidRPr="00BD16B4">
        <w:rPr>
          <w:i/>
        </w:rPr>
        <w:t>in vivo</w:t>
      </w:r>
      <w:r w:rsidRPr="00BD16B4">
        <w:t xml:space="preserve"> </w:t>
      </w:r>
    </w:p>
    <w:p w14:paraId="7497EC23" w14:textId="77777777" w:rsidR="007420E6" w:rsidRPr="00BD16B4" w:rsidRDefault="007420E6" w:rsidP="007420E6">
      <w:pPr>
        <w:pStyle w:val="Bullet"/>
        <w:rPr>
          <w:rFonts w:ascii="Times New Roman" w:eastAsia="Calibri" w:hAnsi="Times New Roman"/>
          <w:sz w:val="24"/>
          <w:szCs w:val="24"/>
        </w:rPr>
      </w:pPr>
      <w:r w:rsidRPr="00BD16B4">
        <w:lastRenderedPageBreak/>
        <w:t>identifying five classes of compounds that have been shown to reduce methane</w:t>
      </w:r>
      <w:r w:rsidRPr="00BD16B4">
        <w:rPr>
          <w:vertAlign w:val="subscript"/>
        </w:rPr>
        <w:t xml:space="preserve"> </w:t>
      </w:r>
      <w:r w:rsidRPr="00BD16B4">
        <w:t xml:space="preserve">emissions in animal trials. Research is focusing on two compounds that require further testing to meet all necessary regulatory requirements </w:t>
      </w:r>
    </w:p>
    <w:p w14:paraId="034AE62B" w14:textId="77777777" w:rsidR="007420E6" w:rsidRPr="00BD16B4" w:rsidRDefault="007420E6" w:rsidP="007420E6">
      <w:pPr>
        <w:pStyle w:val="Bullet"/>
      </w:pPr>
      <w:r w:rsidRPr="00BD16B4">
        <w:t>development and commercialisation of a dairy farm waste management system that reduces methane emissions by 90-plus per cent</w:t>
      </w:r>
    </w:p>
    <w:p w14:paraId="6B6C9F04" w14:textId="77777777" w:rsidR="007420E6" w:rsidRPr="00BD16B4" w:rsidRDefault="007420E6" w:rsidP="007420E6">
      <w:pPr>
        <w:pStyle w:val="Bullet"/>
      </w:pPr>
      <w:r w:rsidRPr="00BD16B4">
        <w:t>trialling feed-based commercial solutions (Mootral</w:t>
      </w:r>
      <w:r w:rsidRPr="00BD16B4">
        <w:rPr>
          <w:rFonts w:cs="Calibri"/>
        </w:rPr>
        <w:t>™</w:t>
      </w:r>
      <w:r w:rsidRPr="00BD16B4">
        <w:t xml:space="preserve">, a natural plant-based feed supplement, and </w:t>
      </w:r>
      <w:r w:rsidRPr="00BD16B4">
        <w:rPr>
          <w:i/>
          <w:iCs/>
        </w:rPr>
        <w:t>Asparagopsis armata</w:t>
      </w:r>
      <w:r w:rsidRPr="00BD16B4">
        <w:t>, a type of seaweed that contains bromoform) to reduce enteric methane in pastoral conditions.</w:t>
      </w:r>
    </w:p>
    <w:p w14:paraId="411D3A6A" w14:textId="77777777" w:rsidR="007420E6" w:rsidRPr="00BD16B4" w:rsidRDefault="007420E6" w:rsidP="007420E6">
      <w:pPr>
        <w:pStyle w:val="Heading5"/>
      </w:pPr>
      <w:r w:rsidRPr="00BD16B4">
        <w:t>Nitrous oxide from livestock excreta and fertiliser</w:t>
      </w:r>
    </w:p>
    <w:p w14:paraId="1956DCE3" w14:textId="77777777" w:rsidR="007420E6" w:rsidRPr="00BD16B4" w:rsidRDefault="007420E6" w:rsidP="007420E6">
      <w:pPr>
        <w:pStyle w:val="BodyText"/>
        <w:rPr>
          <w:lang w:eastAsia="en-GB"/>
        </w:rPr>
      </w:pPr>
      <w:r w:rsidRPr="00BD16B4">
        <w:rPr>
          <w:lang w:eastAsia="en-GB"/>
        </w:rPr>
        <w:t xml:space="preserve">Research on mitigating </w:t>
      </w:r>
      <w:r w:rsidRPr="00BD16B4">
        <w:t>nitrous oxide</w:t>
      </w:r>
      <w:r w:rsidRPr="00BD16B4">
        <w:rPr>
          <w:lang w:eastAsia="en-GB"/>
        </w:rPr>
        <w:t xml:space="preserve"> emissions covers </w:t>
      </w:r>
      <w:r w:rsidRPr="00BD16B4">
        <w:t xml:space="preserve">identifying and testing plant species effects on nitrous oxide emissions, manipulating denitrification processes, low nitrogen feed management options, management effects on emission factors, urine patch detector and treatment development, and identifying and testing inhibitory compounds that reduce nitrous oxide emissions. Progress since the </w:t>
      </w:r>
      <w:r w:rsidRPr="00BD16B4">
        <w:rPr>
          <w:i/>
        </w:rPr>
        <w:t>Seventh</w:t>
      </w:r>
      <w:r w:rsidRPr="00BD16B4" w:rsidDel="00B9595F">
        <w:t xml:space="preserve"> </w:t>
      </w:r>
      <w:r w:rsidRPr="00BD16B4">
        <w:rPr>
          <w:i/>
          <w:iCs/>
        </w:rPr>
        <w:t>National Communication</w:t>
      </w:r>
      <w:r w:rsidRPr="00BD16B4">
        <w:t xml:space="preserve"> includes:</w:t>
      </w:r>
    </w:p>
    <w:p w14:paraId="3464A4EA" w14:textId="77777777" w:rsidR="007420E6" w:rsidRPr="00BD16B4" w:rsidRDefault="007420E6" w:rsidP="007420E6">
      <w:pPr>
        <w:pStyle w:val="Bullet"/>
      </w:pPr>
      <w:r w:rsidRPr="00BD16B4">
        <w:t>identifying naturally occurring compounds that can reduce nitrification and lower nitrous oxide emissions in pastures</w:t>
      </w:r>
    </w:p>
    <w:p w14:paraId="1417848B" w14:textId="77777777" w:rsidR="007420E6" w:rsidRPr="00BD16B4" w:rsidRDefault="007420E6" w:rsidP="007420E6">
      <w:pPr>
        <w:pStyle w:val="Bullet"/>
      </w:pPr>
      <w:r w:rsidRPr="00BD16B4">
        <w:t>further field testing and upscaling of machinery that allows farmers to better target their use of mitigation technologies on a urine patch</w:t>
      </w:r>
    </w:p>
    <w:p w14:paraId="654492AC" w14:textId="77777777" w:rsidR="007420E6" w:rsidRPr="00BD16B4" w:rsidRDefault="007420E6" w:rsidP="007420E6">
      <w:pPr>
        <w:pStyle w:val="Bullet"/>
      </w:pPr>
      <w:r w:rsidRPr="00BD16B4">
        <w:t>researching management practices to reduce nitrate leaching from dairy farms, including low-protein forage and winter management strategies, which also helps to improve water quality</w:t>
      </w:r>
    </w:p>
    <w:p w14:paraId="12BBC9F2" w14:textId="77777777" w:rsidR="007420E6" w:rsidRPr="00BD16B4" w:rsidRDefault="007420E6" w:rsidP="007420E6">
      <w:pPr>
        <w:pStyle w:val="Bullet"/>
      </w:pPr>
      <w:r w:rsidRPr="00BD16B4">
        <w:t>developing more accurate nitrate leaching parameters, split by land use (pastoral farming versus arable and horticulture)</w:t>
      </w:r>
    </w:p>
    <w:p w14:paraId="493F0D40" w14:textId="77777777" w:rsidR="007420E6" w:rsidRPr="00BD16B4" w:rsidRDefault="007420E6" w:rsidP="007420E6">
      <w:pPr>
        <w:pStyle w:val="Bullet"/>
      </w:pPr>
      <w:r w:rsidRPr="00BD16B4">
        <w:t xml:space="preserve">improving understanding of the emissions of nitrous oxide from dung and urine on </w:t>
      </w:r>
      <w:r w:rsidRPr="00BD16B4">
        <w:rPr>
          <w:lang w:eastAsia="en-GB"/>
        </w:rPr>
        <w:t xml:space="preserve">Aotearoa </w:t>
      </w:r>
      <w:r w:rsidRPr="00BD16B4">
        <w:t>New Zealand hill country pastures and incorporating these emission factors into the national agricultural greenhouse gas inventory</w:t>
      </w:r>
    </w:p>
    <w:p w14:paraId="12EC1CE8" w14:textId="77777777" w:rsidR="007420E6" w:rsidRPr="00BD16B4" w:rsidRDefault="007420E6" w:rsidP="007420E6">
      <w:pPr>
        <w:pStyle w:val="Bullet"/>
      </w:pPr>
      <w:r w:rsidRPr="00BD16B4">
        <w:t xml:space="preserve">identifying a widely used animal product that has nitrification inhibitory properties on urine in pastures and assessing its effectiveness in reducing nitrous oxide and nitrate leaching over a range of soils and environments </w:t>
      </w:r>
    </w:p>
    <w:p w14:paraId="071D9CCB" w14:textId="77777777" w:rsidR="007420E6" w:rsidRPr="00BD16B4" w:rsidRDefault="007420E6" w:rsidP="007420E6">
      <w:pPr>
        <w:pStyle w:val="Bullet"/>
      </w:pPr>
      <w:r w:rsidRPr="00BD16B4">
        <w:t xml:space="preserve">developing a more accurate methodology for calculating the split between nitrogen excreted in livestock dung and nitrogen excreted in livestock urine </w:t>
      </w:r>
    </w:p>
    <w:p w14:paraId="1614C72E" w14:textId="77777777" w:rsidR="007420E6" w:rsidRPr="00BD16B4" w:rsidRDefault="007420E6" w:rsidP="007420E6">
      <w:pPr>
        <w:pStyle w:val="Bullet"/>
      </w:pPr>
      <w:r w:rsidRPr="00BD16B4">
        <w:t xml:space="preserve">improving the nitrous oxide emission factors for a variety of nitrogen containing fertilisers </w:t>
      </w:r>
    </w:p>
    <w:p w14:paraId="3629E25D" w14:textId="77777777" w:rsidR="007420E6" w:rsidRPr="00BD16B4" w:rsidRDefault="007420E6" w:rsidP="007420E6">
      <w:pPr>
        <w:pStyle w:val="Bullet"/>
      </w:pPr>
      <w:r w:rsidRPr="00BD16B4">
        <w:t>developing a database of nitrogen contents in various commonly consumed grasses, forages and supplementary feeds</w:t>
      </w:r>
    </w:p>
    <w:p w14:paraId="7FDDDB87" w14:textId="77777777" w:rsidR="007420E6" w:rsidRPr="00BD16B4" w:rsidRDefault="007420E6" w:rsidP="007420E6">
      <w:pPr>
        <w:pStyle w:val="Bullet"/>
      </w:pPr>
      <w:r w:rsidRPr="00BD16B4">
        <w:t>trialling and developing farm nutrient technologies, including a nitrate inhibitor to use on urine patches in the paddock, as applied by Spikey, a world-leading technology</w:t>
      </w:r>
    </w:p>
    <w:p w14:paraId="7D3BD0C3" w14:textId="77777777" w:rsidR="007420E6" w:rsidRPr="00BD16B4" w:rsidRDefault="007420E6" w:rsidP="007420E6">
      <w:pPr>
        <w:pStyle w:val="Bullet"/>
      </w:pPr>
      <w:r w:rsidRPr="00BD16B4">
        <w:t>developing and testing three technologies to reduce fertiliser use on farm: N-Retain, a new nitrification inhibitor technology; N-Test, a new soil test to inform nitrogen fertiliser decisions on pastoral farms; and N-Bio Boost, a fungal bio-inoculant to increase nitrogen use efficiency</w:t>
      </w:r>
    </w:p>
    <w:p w14:paraId="7AC4B974" w14:textId="77777777" w:rsidR="007420E6" w:rsidRPr="00BD16B4" w:rsidRDefault="007420E6" w:rsidP="007420E6">
      <w:pPr>
        <w:pStyle w:val="Bullet"/>
      </w:pPr>
      <w:r w:rsidRPr="00BD16B4">
        <w:t>starting farm scale trials to demonstrate plantain’s efficacy as a low-cost forage solution to nitrate leaching.</w:t>
      </w:r>
    </w:p>
    <w:p w14:paraId="680B97A4" w14:textId="77777777" w:rsidR="007420E6" w:rsidRPr="00BD16B4" w:rsidRDefault="007420E6" w:rsidP="007420E6">
      <w:pPr>
        <w:pStyle w:val="Heading5"/>
      </w:pPr>
      <w:r w:rsidRPr="00BD16B4">
        <w:lastRenderedPageBreak/>
        <w:t>Soil carbon</w:t>
      </w:r>
    </w:p>
    <w:p w14:paraId="1FC55C33" w14:textId="77777777" w:rsidR="007420E6" w:rsidRPr="00BD16B4" w:rsidRDefault="007420E6" w:rsidP="007420E6">
      <w:pPr>
        <w:pStyle w:val="BodyText"/>
      </w:pPr>
      <w:r w:rsidRPr="00BD16B4">
        <w:rPr>
          <w:lang w:eastAsia="en-GB"/>
        </w:rPr>
        <w:t>New Zealand’s soils have relatively high soil carbon stocks compared with soils globally. Research to increase,</w:t>
      </w:r>
      <w:r w:rsidRPr="00BD16B4">
        <w:t xml:space="preserve"> maintain or reduce the rate of decline of soil carbon content focuses on identifying the potential of different soils and management approaches to store more carbon and/or reduce the rate of loss of soil carbon. Research also focuses on measurement tools to quantify soil carbon content and the stability of stored carbon, and modelling greenhouse gas manipulations. Progress since the </w:t>
      </w:r>
      <w:r w:rsidRPr="00BD16B4">
        <w:rPr>
          <w:i/>
        </w:rPr>
        <w:t>Seventh</w:t>
      </w:r>
      <w:r w:rsidRPr="00BD16B4" w:rsidDel="00B9595F">
        <w:t xml:space="preserve"> </w:t>
      </w:r>
      <w:r w:rsidRPr="00BD16B4">
        <w:rPr>
          <w:i/>
          <w:iCs/>
        </w:rPr>
        <w:t>National Communication</w:t>
      </w:r>
      <w:r w:rsidRPr="00BD16B4">
        <w:t xml:space="preserve"> includes:</w:t>
      </w:r>
    </w:p>
    <w:p w14:paraId="716EE066" w14:textId="77777777" w:rsidR="007420E6" w:rsidRPr="00BD16B4" w:rsidRDefault="007420E6" w:rsidP="007420E6">
      <w:pPr>
        <w:pStyle w:val="Bullet"/>
      </w:pPr>
      <w:r w:rsidRPr="00BD16B4">
        <w:t>establishment of a 12-year national-scale soil carbon benchmarking and monitoring study to estimate soil carbon stock changes within and between land use classes. Now in its second year, the study encompasses 500 agricultural sites across New Zealand taking samples from five different broad agricultural land uses</w:t>
      </w:r>
    </w:p>
    <w:p w14:paraId="45A39B05" w14:textId="77777777" w:rsidR="007420E6" w:rsidRPr="00BD16B4" w:rsidRDefault="007420E6" w:rsidP="007420E6">
      <w:pPr>
        <w:pStyle w:val="Bullet"/>
      </w:pPr>
      <w:r w:rsidRPr="00BD16B4">
        <w:t>a comprehensive review of research on biochar from its production to the economics of application</w:t>
      </w:r>
    </w:p>
    <w:p w14:paraId="307EF34C" w14:textId="77777777" w:rsidR="007420E6" w:rsidRPr="00BD16B4" w:rsidRDefault="007420E6" w:rsidP="007420E6">
      <w:pPr>
        <w:pStyle w:val="Bullet"/>
      </w:pPr>
      <w:r w:rsidRPr="00BD16B4">
        <w:rPr>
          <w:spacing w:val="-2"/>
        </w:rPr>
        <w:t>research to understand the effects of farm-management practices, such as deep ploughing,</w:t>
      </w:r>
      <w:r w:rsidRPr="00BD16B4">
        <w:t xml:space="preserve"> normal cultivation and direct drilling, mixed-species swards, irrigation, lucerne and maize, on soil carbon stocks</w:t>
      </w:r>
    </w:p>
    <w:p w14:paraId="11487458" w14:textId="77777777" w:rsidR="007420E6" w:rsidRPr="00BD16B4" w:rsidRDefault="007420E6" w:rsidP="007420E6">
      <w:pPr>
        <w:pStyle w:val="Bullet"/>
      </w:pPr>
      <w:r w:rsidRPr="00BD16B4">
        <w:t>development of improved methods to estimate soil carbon, for example, digital soil-mapping methods to assess carbon stocks and changes for a target area, and rapid automated near or mid infrared scanning methods for cost-effective estimation of soil carbon in soil cores</w:t>
      </w:r>
    </w:p>
    <w:p w14:paraId="23A3FD42" w14:textId="77777777" w:rsidR="007420E6" w:rsidRPr="00BD16B4" w:rsidRDefault="007420E6" w:rsidP="007420E6">
      <w:pPr>
        <w:pStyle w:val="Bullet"/>
      </w:pPr>
      <w:r w:rsidRPr="00BD16B4">
        <w:t>work seeking to understand the balance of and trade-offs between the three major greenhouse gases: CO</w:t>
      </w:r>
      <w:r w:rsidRPr="00BD16B4">
        <w:rPr>
          <w:vertAlign w:val="subscript"/>
        </w:rPr>
        <w:t>2</w:t>
      </w:r>
      <w:r w:rsidRPr="00BD16B4">
        <w:t>, nitrous oxide and methane in parallel with changes in soil carbon under a range of field treatments using quantum cascade lasers and micrometeorological techniques.</w:t>
      </w:r>
    </w:p>
    <w:p w14:paraId="653783AC" w14:textId="77777777" w:rsidR="007420E6" w:rsidRPr="00BD16B4" w:rsidRDefault="007420E6" w:rsidP="007420E6">
      <w:pPr>
        <w:pStyle w:val="Heading5"/>
      </w:pPr>
      <w:r w:rsidRPr="00BD16B4">
        <w:t>Integrated farm systems research</w:t>
      </w:r>
    </w:p>
    <w:p w14:paraId="1DC34E41" w14:textId="77777777" w:rsidR="007420E6" w:rsidRPr="00BD16B4" w:rsidRDefault="007420E6" w:rsidP="007420E6">
      <w:pPr>
        <w:pStyle w:val="BodyText"/>
      </w:pPr>
      <w:r w:rsidRPr="00BD16B4">
        <w:rPr>
          <w:lang w:eastAsia="en-GB"/>
        </w:rPr>
        <w:t>Research on farm systems integrates research on different greenhouse gases and farm systems. It also</w:t>
      </w:r>
      <w:r w:rsidRPr="00BD16B4">
        <w:rPr>
          <w:i/>
          <w:lang w:eastAsia="en-GB"/>
        </w:rPr>
        <w:t xml:space="preserve"> </w:t>
      </w:r>
      <w:r w:rsidRPr="00BD16B4">
        <w:t xml:space="preserve">includes research on profitable, practical and low </w:t>
      </w:r>
      <w:r w:rsidRPr="00BD16B4">
        <w:rPr>
          <w:lang w:eastAsia="en-GB"/>
        </w:rPr>
        <w:t>greenhouse-gas</w:t>
      </w:r>
      <w:r w:rsidRPr="00BD16B4">
        <w:t>-emitting sheep, beef and dairy farm systems. Another area is Māori-focused research aligned with integrated farm systems. This seeks to help the Māori pastoral sector to improve its capacity to increase resource use efficiency, sustainability and farm productivity while lowering greenhouse gases.</w:t>
      </w:r>
      <w:r w:rsidRPr="00BD16B4">
        <w:rPr>
          <w:rStyle w:val="FootnoteReference"/>
        </w:rPr>
        <w:footnoteReference w:id="421"/>
      </w:r>
      <w:r w:rsidRPr="00BD16B4">
        <w:t xml:space="preserve"> Progress since the last national communication includes:</w:t>
      </w:r>
    </w:p>
    <w:p w14:paraId="689DD540" w14:textId="77777777" w:rsidR="007420E6" w:rsidRPr="00BD16B4" w:rsidRDefault="007420E6" w:rsidP="00234943">
      <w:pPr>
        <w:pStyle w:val="Bullet"/>
        <w:spacing w:after="100"/>
      </w:pPr>
      <w:r w:rsidRPr="00BD16B4">
        <w:t>funding the development of a range of natural nitrogen inhibitors that will break the ammonia cycle from cow urine and reduce the leaching of nitrates and release of nitrous oxide</w:t>
      </w:r>
      <w:r w:rsidRPr="00BD16B4">
        <w:rPr>
          <w:rStyle w:val="FootnoteReference"/>
        </w:rPr>
        <w:footnoteReference w:id="422"/>
      </w:r>
      <w:r w:rsidRPr="00BD16B4">
        <w:rPr>
          <w:vertAlign w:val="superscript"/>
        </w:rPr>
        <w:t xml:space="preserve">, </w:t>
      </w:r>
      <w:r w:rsidRPr="00BD16B4">
        <w:rPr>
          <w:rStyle w:val="FootnoteReference"/>
        </w:rPr>
        <w:footnoteReference w:id="423"/>
      </w:r>
    </w:p>
    <w:p w14:paraId="0A0AD697" w14:textId="77777777" w:rsidR="007420E6" w:rsidRPr="00BD16B4" w:rsidRDefault="007420E6" w:rsidP="00234943">
      <w:pPr>
        <w:pStyle w:val="Bullet"/>
        <w:spacing w:after="100"/>
      </w:pPr>
      <w:r w:rsidRPr="00BD16B4">
        <w:t>identifying and evaluating further mitigation options and practices on farms, using farm systems models and farm trials on dairy, beef and sheep farms</w:t>
      </w:r>
      <w:r w:rsidRPr="00BD16B4">
        <w:rPr>
          <w:rStyle w:val="FootnoteReference"/>
        </w:rPr>
        <w:footnoteReference w:id="424"/>
      </w:r>
    </w:p>
    <w:p w14:paraId="5CD70644" w14:textId="77777777" w:rsidR="007420E6" w:rsidRPr="00BD16B4" w:rsidRDefault="007420E6" w:rsidP="00234943">
      <w:pPr>
        <w:pStyle w:val="Bullet"/>
        <w:keepLines/>
        <w:numPr>
          <w:ilvl w:val="0"/>
          <w:numId w:val="0"/>
        </w:numPr>
        <w:tabs>
          <w:tab w:val="left" w:pos="720"/>
        </w:tabs>
        <w:spacing w:after="100"/>
      </w:pPr>
      <w:r w:rsidRPr="00BD16B4">
        <w:lastRenderedPageBreak/>
        <w:t xml:space="preserve">The </w:t>
      </w:r>
      <w:r w:rsidRPr="00BD16B4">
        <w:rPr>
          <w:lang w:eastAsia="en-GB"/>
        </w:rPr>
        <w:t>Greenhouse Gas</w:t>
      </w:r>
      <w:r w:rsidRPr="00BD16B4">
        <w:t xml:space="preserve"> Inventory Research Fund continues to support research to ensure Aotearoa New Zealand’s reporting of agricultural emissions is robust and enables the development of effective policy.</w:t>
      </w:r>
      <w:r w:rsidRPr="00BD16B4">
        <w:rPr>
          <w:rStyle w:val="FootnoteReference"/>
          <w:color w:val="auto"/>
          <w:lang w:eastAsia="en-GB"/>
        </w:rPr>
        <w:footnoteReference w:id="425"/>
      </w:r>
      <w:r w:rsidRPr="00BD16B4">
        <w:t xml:space="preserve"> Research incorporated into the national agriculture inventory since the </w:t>
      </w:r>
      <w:r w:rsidRPr="00BD16B4">
        <w:rPr>
          <w:i/>
        </w:rPr>
        <w:t>Seventh National Communication</w:t>
      </w:r>
      <w:r w:rsidRPr="00BD16B4">
        <w:t xml:space="preserve"> includes: </w:t>
      </w:r>
    </w:p>
    <w:p w14:paraId="40184D5F" w14:textId="77777777" w:rsidR="007420E6" w:rsidRPr="00BD16B4" w:rsidRDefault="007420E6" w:rsidP="00234943">
      <w:pPr>
        <w:pStyle w:val="Bullet"/>
        <w:spacing w:after="100"/>
      </w:pPr>
      <w:r w:rsidRPr="00BD16B4">
        <w:t>improvements to the equations used to estimate energy efficiency for maintenance for cattle, sheep and deer</w:t>
      </w:r>
    </w:p>
    <w:p w14:paraId="7F5D1A36" w14:textId="77777777" w:rsidR="007420E6" w:rsidRPr="00BD16B4" w:rsidRDefault="007420E6" w:rsidP="00234943">
      <w:pPr>
        <w:pStyle w:val="Bullet"/>
        <w:spacing w:after="100"/>
      </w:pPr>
      <w:r w:rsidRPr="00BD16B4">
        <w:t>revised nitrous oxide emission factors for livestock excreta, as well as an updated methodology for allocating excreta to different hill slopes</w:t>
      </w:r>
    </w:p>
    <w:p w14:paraId="31C38E9E" w14:textId="77777777" w:rsidR="007420E6" w:rsidRPr="00BD16B4" w:rsidRDefault="007420E6" w:rsidP="00234943">
      <w:pPr>
        <w:pStyle w:val="Bullet"/>
        <w:spacing w:after="100"/>
      </w:pPr>
      <w:r w:rsidRPr="00BD16B4">
        <w:t xml:space="preserve">updated values of pasture quality for livestock </w:t>
      </w:r>
    </w:p>
    <w:p w14:paraId="364306C3" w14:textId="77777777" w:rsidR="007420E6" w:rsidRPr="00BD16B4" w:rsidRDefault="007420E6" w:rsidP="00234943">
      <w:pPr>
        <w:pStyle w:val="Bullet"/>
        <w:spacing w:after="100"/>
      </w:pPr>
      <w:r w:rsidRPr="00BD16B4">
        <w:t>refinement of estimates of nitrogen leaching for cropping systems</w:t>
      </w:r>
    </w:p>
    <w:p w14:paraId="446725A1" w14:textId="3EA204E8" w:rsidR="007420E6" w:rsidRPr="00BD16B4" w:rsidRDefault="007420E6" w:rsidP="00234943">
      <w:pPr>
        <w:pStyle w:val="Bullet"/>
        <w:spacing w:after="100"/>
      </w:pPr>
      <w:r w:rsidRPr="00BD16B4">
        <w:t xml:space="preserve">more accurate information on the </w:t>
      </w:r>
      <w:r w:rsidR="009640CE" w:rsidRPr="00BD16B4">
        <w:t xml:space="preserve">calcium carbonate </w:t>
      </w:r>
      <w:r w:rsidRPr="00BD16B4">
        <w:t>purity of agricultural lime</w:t>
      </w:r>
    </w:p>
    <w:p w14:paraId="441B7392" w14:textId="77777777" w:rsidR="007420E6" w:rsidRPr="00BD16B4" w:rsidRDefault="007420E6" w:rsidP="00234943">
      <w:pPr>
        <w:pStyle w:val="Bullet"/>
        <w:spacing w:after="100"/>
      </w:pPr>
      <w:r w:rsidRPr="00BD16B4">
        <w:t>updated activity data on the proportion of dairy excreta entering anaerobic lagoons</w:t>
      </w:r>
    </w:p>
    <w:p w14:paraId="6C2D78F6" w14:textId="77777777" w:rsidR="007420E6" w:rsidRPr="00BD16B4" w:rsidRDefault="007420E6" w:rsidP="007420E6">
      <w:pPr>
        <w:pStyle w:val="Bullet"/>
      </w:pPr>
      <w:r w:rsidRPr="00BD16B4">
        <w:t>improvements to the equations used to estimate the proportion of nitrogen excreta partitioned between dung and urine.</w:t>
      </w:r>
    </w:p>
    <w:p w14:paraId="278655CD" w14:textId="77777777" w:rsidR="007420E6" w:rsidRPr="00BD16B4" w:rsidRDefault="007420E6" w:rsidP="004E1B8C">
      <w:pPr>
        <w:pStyle w:val="Heading4"/>
      </w:pPr>
      <w:r w:rsidRPr="00BD16B4">
        <w:t>Carbon sequestration</w:t>
      </w:r>
    </w:p>
    <w:p w14:paraId="67966A9E" w14:textId="77777777" w:rsidR="007420E6" w:rsidRPr="00BD16B4" w:rsidRDefault="007420E6" w:rsidP="007420E6">
      <w:pPr>
        <w:pStyle w:val="BodyText"/>
        <w:rPr>
          <w:lang w:eastAsia="en-GB"/>
        </w:rPr>
      </w:pPr>
      <w:r w:rsidRPr="00BD16B4">
        <w:rPr>
          <w:lang w:eastAsia="en-GB"/>
        </w:rPr>
        <w:t>Significant research efforts are also being made on the role of carbon sinks, with work continuing on Aotearoa New Zealand’s ability to estimate carbon fluxes for international reporting requirements. Research is also under way in Fiordland to conduct the first-ever deep analysis of fjords’ ability to hold carbon, from its source to distribution.</w:t>
      </w:r>
      <w:r w:rsidRPr="00BD16B4">
        <w:rPr>
          <w:rStyle w:val="FootnoteReference"/>
          <w:lang w:eastAsia="en-GB"/>
        </w:rPr>
        <w:footnoteReference w:id="426"/>
      </w:r>
      <w:r w:rsidRPr="00BD16B4">
        <w:rPr>
          <w:lang w:eastAsia="en-GB"/>
        </w:rPr>
        <w:t xml:space="preserve"> The project aims to understand the size, variability and how climate change and management decisions influence carbon sink. Focus is also increasing on the role of coastal wetlands as carbon sinks.</w:t>
      </w:r>
    </w:p>
    <w:p w14:paraId="108524BD" w14:textId="77777777" w:rsidR="007420E6" w:rsidRPr="00BD16B4" w:rsidRDefault="007420E6" w:rsidP="007420E6">
      <w:pPr>
        <w:pStyle w:val="Heading5"/>
      </w:pPr>
      <w:r w:rsidRPr="00BD16B4">
        <w:t>Land use, land-use change and forestry: inventories and sequestration research</w:t>
      </w:r>
    </w:p>
    <w:p w14:paraId="5EDF2B5E" w14:textId="77777777" w:rsidR="007420E6" w:rsidRPr="00BD16B4" w:rsidRDefault="007420E6" w:rsidP="007420E6">
      <w:pPr>
        <w:pStyle w:val="BodyText"/>
        <w:rPr>
          <w:lang w:eastAsia="en-GB"/>
        </w:rPr>
      </w:pPr>
      <w:r w:rsidRPr="00BD16B4">
        <w:t>The Aotearoa New Zealand Land Use and Carbon Analysis System (LUCAS) includes a long-term research programme designed to meet New Zealand’s international reporting requirements for land use, land-use change and forestry (LULUCF). The programme’s aim is to improve New Zealand’s ability to estimate carbon fluxes in vegetation and soil in a transparent, robust and defensible manner.</w:t>
      </w:r>
    </w:p>
    <w:p w14:paraId="328FA4A5" w14:textId="5188F00A" w:rsidR="007420E6" w:rsidRPr="00BD16B4" w:rsidRDefault="007420E6" w:rsidP="00946213">
      <w:pPr>
        <w:pStyle w:val="BodyText"/>
      </w:pPr>
      <w:r w:rsidRPr="00BD16B4">
        <w:t>The research continues to build on earlier work. The methodologies for data collection are undergoing continual refinement and improvement, as are the analysis methods. Some of this</w:t>
      </w:r>
      <w:r w:rsidR="00F36758" w:rsidRPr="00BD16B4">
        <w:t> </w:t>
      </w:r>
      <w:r w:rsidRPr="00BD16B4">
        <w:t xml:space="preserve">ongoing and completed research and improvement work conducted since the </w:t>
      </w:r>
      <w:r w:rsidRPr="00BD16B4">
        <w:rPr>
          <w:i/>
        </w:rPr>
        <w:t>Seventh National Communication</w:t>
      </w:r>
      <w:r w:rsidRPr="00BD16B4">
        <w:t xml:space="preserve"> is described below. </w:t>
      </w:r>
    </w:p>
    <w:p w14:paraId="4BAC0C35" w14:textId="77777777" w:rsidR="007420E6" w:rsidRPr="00BD16B4" w:rsidRDefault="007420E6" w:rsidP="007420E6">
      <w:pPr>
        <w:pStyle w:val="Heading5"/>
        <w:spacing w:after="120"/>
      </w:pPr>
      <w:r w:rsidRPr="00BD16B4">
        <w:t>Natural forests</w:t>
      </w:r>
    </w:p>
    <w:p w14:paraId="225D24EC" w14:textId="77777777" w:rsidR="007420E6" w:rsidRPr="00BD16B4" w:rsidRDefault="007420E6" w:rsidP="007420E6">
      <w:pPr>
        <w:pStyle w:val="Bullet"/>
        <w:rPr>
          <w:iCs/>
        </w:rPr>
      </w:pPr>
      <w:r w:rsidRPr="00BD16B4">
        <w:t>Continued remeasurement has been undertaken on the pre-1990 natural forest ground plot inventory on a continuous basis (on a 10-year cycle). These data are analysed and incorporated into the National Inventory Report on a periodic basis.</w:t>
      </w:r>
    </w:p>
    <w:p w14:paraId="6A5E3924" w14:textId="77777777" w:rsidR="007420E6" w:rsidRPr="00BD16B4" w:rsidRDefault="007420E6" w:rsidP="007420E6">
      <w:pPr>
        <w:pStyle w:val="Bullet"/>
        <w:rPr>
          <w:iCs/>
        </w:rPr>
      </w:pPr>
      <w:r w:rsidRPr="00BD16B4">
        <w:rPr>
          <w:iCs/>
        </w:rPr>
        <w:t xml:space="preserve">Analysis of pre-1990 natural forest data published in </w:t>
      </w:r>
      <w:r w:rsidRPr="00BD16B4">
        <w:rPr>
          <w:i/>
        </w:rPr>
        <w:t>Forest Ecosystems</w:t>
      </w:r>
      <w:r w:rsidRPr="00BD16B4">
        <w:rPr>
          <w:iCs/>
        </w:rPr>
        <w:t>.</w:t>
      </w:r>
      <w:r w:rsidRPr="00BD16B4">
        <w:rPr>
          <w:rStyle w:val="FootnoteReference"/>
          <w:iCs/>
        </w:rPr>
        <w:footnoteReference w:id="427"/>
      </w:r>
    </w:p>
    <w:p w14:paraId="3BC2F7E4" w14:textId="77777777" w:rsidR="007420E6" w:rsidRPr="00BD16B4" w:rsidRDefault="007420E6" w:rsidP="007420E6">
      <w:pPr>
        <w:pStyle w:val="Bullet"/>
        <w:rPr>
          <w:iCs/>
        </w:rPr>
      </w:pPr>
      <w:r w:rsidRPr="00BD16B4">
        <w:lastRenderedPageBreak/>
        <w:t>The post-1989 natural forest yield table has been updated. The revised updated table is based on the remeasurement of the post-1989 natural forest plot network in 2019.</w:t>
      </w:r>
    </w:p>
    <w:p w14:paraId="41ACA930" w14:textId="77777777" w:rsidR="007420E6" w:rsidRPr="00BD16B4" w:rsidRDefault="007420E6" w:rsidP="007420E6">
      <w:pPr>
        <w:pStyle w:val="Bullet"/>
        <w:rPr>
          <w:iCs/>
        </w:rPr>
      </w:pPr>
      <w:r w:rsidRPr="00BD16B4">
        <w:rPr>
          <w:iCs/>
        </w:rPr>
        <w:t xml:space="preserve">Subclassification of pre-1990 natural forest has been refined. </w:t>
      </w:r>
    </w:p>
    <w:p w14:paraId="17E37B98" w14:textId="77777777" w:rsidR="007420E6" w:rsidRPr="00BD16B4" w:rsidRDefault="007420E6" w:rsidP="007420E6">
      <w:pPr>
        <w:pStyle w:val="Heading5"/>
        <w:spacing w:after="120"/>
      </w:pPr>
      <w:r w:rsidRPr="00BD16B4">
        <w:t>Planted forests</w:t>
      </w:r>
    </w:p>
    <w:p w14:paraId="0D0931F1" w14:textId="77777777" w:rsidR="007420E6" w:rsidRPr="00BD16B4" w:rsidRDefault="007420E6" w:rsidP="007420E6">
      <w:pPr>
        <w:pStyle w:val="Bullet"/>
        <w:rPr>
          <w:iCs/>
        </w:rPr>
      </w:pPr>
      <w:r w:rsidRPr="00BD16B4">
        <w:t>Continued remeasurement has been undertaken on the pre-1990 and post-1989 planted forest ground plot inventory on a continuous basis (on a 10-year cycle). These data are analysed and incorporated into the National Inventory Report on a periodic basis.</w:t>
      </w:r>
    </w:p>
    <w:p w14:paraId="34CD951C" w14:textId="77777777" w:rsidR="007420E6" w:rsidRPr="00BD16B4" w:rsidRDefault="007420E6" w:rsidP="007420E6">
      <w:pPr>
        <w:pStyle w:val="Bullet"/>
      </w:pPr>
      <w:r w:rsidRPr="00BD16B4">
        <w:t xml:space="preserve">Several improvements have been made to the methods used to calculate planted forest harvest area. These are outlined in chapter 6, section 6.3.5 of the </w:t>
      </w:r>
      <w:r w:rsidRPr="00BD16B4">
        <w:rPr>
          <w:i/>
          <w:iCs/>
        </w:rPr>
        <w:t>New Zealand Greenhouse Gas Inventory 1990–2020</w:t>
      </w:r>
      <w:r w:rsidRPr="00BD16B4">
        <w:t>.</w:t>
      </w:r>
      <w:r w:rsidRPr="00BD16B4">
        <w:rPr>
          <w:rStyle w:val="FootnoteReference"/>
        </w:rPr>
        <w:footnoteReference w:id="428"/>
      </w:r>
      <w:r w:rsidRPr="00BD16B4">
        <w:t xml:space="preserve"> </w:t>
      </w:r>
    </w:p>
    <w:p w14:paraId="4DDE339B" w14:textId="77777777" w:rsidR="007420E6" w:rsidRPr="00BD16B4" w:rsidRDefault="007420E6" w:rsidP="007420E6">
      <w:pPr>
        <w:pStyle w:val="Bullet"/>
      </w:pPr>
      <w:r w:rsidRPr="00BD16B4">
        <w:t xml:space="preserve">Ongoing mapping of deforestation activity as well as development of machine learning techniques to improve classification efficiency. </w:t>
      </w:r>
    </w:p>
    <w:p w14:paraId="606E9261" w14:textId="77777777" w:rsidR="007420E6" w:rsidRPr="00BD16B4" w:rsidRDefault="007420E6" w:rsidP="007420E6">
      <w:pPr>
        <w:pStyle w:val="Bullet"/>
      </w:pPr>
      <w:r w:rsidRPr="00BD16B4">
        <w:t>Aotearoa New Zealand’s harvested wood products estimates now include market-specific activity data and emission factors for export raw materials. Research is ongoing to produce New Zealand-specific half-lives and their associated uncertainty values for exported harvested wood products and those used domestically.</w:t>
      </w:r>
    </w:p>
    <w:p w14:paraId="0CF2819C" w14:textId="77777777" w:rsidR="007420E6" w:rsidRPr="00BD16B4" w:rsidRDefault="007420E6" w:rsidP="007420E6">
      <w:pPr>
        <w:pStyle w:val="Heading5"/>
        <w:spacing w:after="120"/>
      </w:pPr>
      <w:r w:rsidRPr="00BD16B4">
        <w:t>Wetlands</w:t>
      </w:r>
    </w:p>
    <w:p w14:paraId="4E630680" w14:textId="77777777" w:rsidR="007420E6" w:rsidRPr="00BD16B4" w:rsidRDefault="007420E6" w:rsidP="007420E6">
      <w:pPr>
        <w:pStyle w:val="Bullet"/>
      </w:pPr>
      <w:r w:rsidRPr="00BD16B4">
        <w:t xml:space="preserve">A literature review was undertaken on Aotearoa New Zealand’s vegetated wetlands. This work has generated a New Zealand-specific estimate of above and below ground biomass carbon stocks for the vegetated wetland class. These data are to be implemented in the 2023 submission of the New Zealand Greenhouse Gas Inventory. </w:t>
      </w:r>
    </w:p>
    <w:p w14:paraId="47FD4B9E" w14:textId="77777777" w:rsidR="007420E6" w:rsidRPr="00BD16B4" w:rsidRDefault="007420E6" w:rsidP="007420E6">
      <w:pPr>
        <w:pStyle w:val="Heading5"/>
        <w:spacing w:after="120"/>
      </w:pPr>
      <w:r w:rsidRPr="00BD16B4">
        <w:t>Land use mapping</w:t>
      </w:r>
    </w:p>
    <w:p w14:paraId="5B4AD48C" w14:textId="77777777" w:rsidR="007420E6" w:rsidRPr="00BD16B4" w:rsidRDefault="007420E6" w:rsidP="007420E6">
      <w:pPr>
        <w:pStyle w:val="Bullet"/>
      </w:pPr>
      <w:r w:rsidRPr="00BD16B4">
        <w:t>The inclusion of a new land use map for 2016 (published in 2018) and associated mapping improvements, which lead to a more accurate, consistent and complete time series.</w:t>
      </w:r>
    </w:p>
    <w:p w14:paraId="60C8EB21" w14:textId="77777777" w:rsidR="007420E6" w:rsidRPr="00BD16B4" w:rsidRDefault="007420E6" w:rsidP="007420E6">
      <w:pPr>
        <w:pStyle w:val="Bullet"/>
      </w:pPr>
      <w:r w:rsidRPr="00BD16B4">
        <w:t>Continued improvement of existing land use maps.</w:t>
      </w:r>
    </w:p>
    <w:p w14:paraId="16F13CE3" w14:textId="77777777" w:rsidR="007420E6" w:rsidRPr="00BD16B4" w:rsidRDefault="007420E6" w:rsidP="004E1B8C">
      <w:pPr>
        <w:pStyle w:val="Heading4"/>
      </w:pPr>
      <w:r w:rsidRPr="00BD16B4">
        <w:t>Other research areas</w:t>
      </w:r>
    </w:p>
    <w:p w14:paraId="3FB99985" w14:textId="77777777" w:rsidR="007420E6" w:rsidRPr="00BD16B4" w:rsidRDefault="007420E6" w:rsidP="007420E6">
      <w:pPr>
        <w:pStyle w:val="BodyText"/>
      </w:pPr>
      <w:r w:rsidRPr="00BD16B4">
        <w:t>In addition to the research and mitigation highlights covered above, researchers in Aotearoa New Zealand cover a broad range of other topics. Examples include:</w:t>
      </w:r>
    </w:p>
    <w:p w14:paraId="4E4360FA" w14:textId="5760D30B" w:rsidR="007420E6" w:rsidRPr="00BD16B4" w:rsidRDefault="007420E6" w:rsidP="00234943">
      <w:pPr>
        <w:pStyle w:val="Bullet"/>
        <w:keepLines/>
      </w:pPr>
      <w:r w:rsidRPr="00BD16B4">
        <w:t xml:space="preserve">geo-sequestration of carbon dioxide – </w:t>
      </w:r>
      <w:r w:rsidRPr="00BD16B4">
        <w:rPr>
          <w:lang w:eastAsia="en-GB"/>
        </w:rPr>
        <w:t xml:space="preserve">GNS Science is investigating the potential of sites for the geo-sequestration of </w:t>
      </w:r>
      <w:r w:rsidRPr="00BD16B4">
        <w:t>CO</w:t>
      </w:r>
      <w:r w:rsidRPr="00BD16B4">
        <w:rPr>
          <w:vertAlign w:val="subscript"/>
        </w:rPr>
        <w:t>2</w:t>
      </w:r>
      <w:r w:rsidRPr="00BD16B4">
        <w:rPr>
          <w:lang w:eastAsia="en-GB"/>
        </w:rPr>
        <w:t>.</w:t>
      </w:r>
      <w:r w:rsidR="007A1468" w:rsidRPr="00BD16B4">
        <w:rPr>
          <w:rStyle w:val="FootnoteReference"/>
          <w:lang w:eastAsia="en-GB"/>
        </w:rPr>
        <w:footnoteReference w:id="429"/>
      </w:r>
      <w:r w:rsidRPr="00BD16B4">
        <w:rPr>
          <w:lang w:eastAsia="en-GB"/>
        </w:rPr>
        <w:t xml:space="preserve"> </w:t>
      </w:r>
      <w:r w:rsidRPr="00BD16B4">
        <w:t>Scientists are engaged in assessing how much CO</w:t>
      </w:r>
      <w:r w:rsidRPr="00BD16B4">
        <w:rPr>
          <w:vertAlign w:val="subscript"/>
        </w:rPr>
        <w:t>2</w:t>
      </w:r>
      <w:r w:rsidRPr="00BD16B4">
        <w:t xml:space="preserve"> can</w:t>
      </w:r>
      <w:r w:rsidR="00BE7CF4" w:rsidRPr="00BD16B4">
        <w:t> </w:t>
      </w:r>
      <w:r w:rsidRPr="00BD16B4">
        <w:t>be stored in a particular region or reservoir, what chemical reactions might occur with</w:t>
      </w:r>
      <w:r w:rsidR="00BE7CF4" w:rsidRPr="00BD16B4">
        <w:t> </w:t>
      </w:r>
      <w:r w:rsidRPr="00BD16B4">
        <w:t xml:space="preserve">the rocks, what risks are involved and their magnitudes, monitoring for potential leakage, and community concerns and perceptions associated with carbon capture and storage. </w:t>
      </w:r>
      <w:r w:rsidR="00BE7CF4" w:rsidRPr="00BD16B4">
        <w:t xml:space="preserve">Other organisations are also carrying out research on this topic. </w:t>
      </w:r>
      <w:r w:rsidRPr="00BD16B4">
        <w:rPr>
          <w:lang w:eastAsia="en-GB"/>
        </w:rPr>
        <w:t>New Zealand also</w:t>
      </w:r>
      <w:r w:rsidR="00BE7CF4" w:rsidRPr="00BD16B4">
        <w:rPr>
          <w:lang w:eastAsia="en-GB"/>
        </w:rPr>
        <w:t> </w:t>
      </w:r>
      <w:r w:rsidRPr="00BD16B4">
        <w:rPr>
          <w:lang w:eastAsia="en-GB"/>
        </w:rPr>
        <w:t xml:space="preserve">collaborates in an Australian cooperative research centre programme on </w:t>
      </w:r>
      <w:r w:rsidRPr="00BD16B4">
        <w:t>CO</w:t>
      </w:r>
      <w:r w:rsidRPr="00BD16B4">
        <w:rPr>
          <w:vertAlign w:val="subscript"/>
        </w:rPr>
        <w:t>2</w:t>
      </w:r>
      <w:r w:rsidRPr="00BD16B4">
        <w:rPr>
          <w:lang w:eastAsia="en-GB"/>
        </w:rPr>
        <w:t xml:space="preserve"> geo</w:t>
      </w:r>
      <w:r w:rsidR="00BE7CF4" w:rsidRPr="00BD16B4">
        <w:rPr>
          <w:lang w:eastAsia="en-GB"/>
        </w:rPr>
        <w:noBreakHyphen/>
      </w:r>
      <w:r w:rsidRPr="00BD16B4">
        <w:rPr>
          <w:lang w:eastAsia="en-GB"/>
        </w:rPr>
        <w:t>sequestration.</w:t>
      </w:r>
    </w:p>
    <w:p w14:paraId="09EC329C" w14:textId="77777777" w:rsidR="007420E6" w:rsidRPr="00BD16B4" w:rsidRDefault="007420E6" w:rsidP="007420E6">
      <w:pPr>
        <w:pStyle w:val="Bullet"/>
        <w:rPr>
          <w:lang w:eastAsia="en-GB"/>
        </w:rPr>
      </w:pPr>
      <w:r w:rsidRPr="00BD16B4">
        <w:rPr>
          <w:lang w:eastAsia="en-GB"/>
        </w:rPr>
        <w:lastRenderedPageBreak/>
        <w:t xml:space="preserve">woody biomass – Scion is focusing significant effort on renewable woody biomass-based energy sources, with increasing interest in conversion of coal fired systems to biomass, and the development of liquid biofuels from woody and other biomass. Scion has published the </w:t>
      </w:r>
      <w:r w:rsidRPr="00BD16B4">
        <w:rPr>
          <w:i/>
          <w:iCs/>
          <w:lang w:eastAsia="en-GB"/>
        </w:rPr>
        <w:t>NZ Biofuels Roadmap</w:t>
      </w:r>
      <w:r w:rsidRPr="00BD16B4">
        <w:rPr>
          <w:lang w:eastAsia="en-GB"/>
        </w:rPr>
        <w:t xml:space="preserve"> outlining future opportunities in this area.</w:t>
      </w:r>
      <w:r w:rsidRPr="00BD16B4">
        <w:rPr>
          <w:rStyle w:val="FootnoteReference"/>
          <w:lang w:eastAsia="en-GB"/>
        </w:rPr>
        <w:footnoteReference w:id="430"/>
      </w:r>
    </w:p>
    <w:p w14:paraId="455E51B4" w14:textId="77777777" w:rsidR="007420E6" w:rsidRPr="00BD16B4" w:rsidRDefault="007420E6" w:rsidP="007420E6">
      <w:pPr>
        <w:pStyle w:val="Bullet"/>
        <w:rPr>
          <w:lang w:eastAsia="en-GB"/>
        </w:rPr>
      </w:pPr>
      <w:r w:rsidRPr="00BD16B4">
        <w:rPr>
          <w:lang w:eastAsia="en-GB"/>
        </w:rPr>
        <w:t>renewable energy – GNS Science is researching green hydrogen, targeting technologies that do not depend on high-purity water sources and produce hydrogen directly from sunlight.</w:t>
      </w:r>
      <w:r w:rsidRPr="00BD16B4">
        <w:t xml:space="preserve"> </w:t>
      </w:r>
      <w:r w:rsidRPr="00BD16B4">
        <w:rPr>
          <w:lang w:eastAsia="en-GB"/>
        </w:rPr>
        <w:t>The University of Canterbury is leading work on electrical grids through its research programme on ‘Architecture of the future low-carbon, resilient, electrical power system’.</w:t>
      </w:r>
      <w:r w:rsidRPr="00BD16B4">
        <w:rPr>
          <w:rStyle w:val="FootnoteReference"/>
          <w:lang w:eastAsia="en-GB"/>
        </w:rPr>
        <w:footnoteReference w:id="431"/>
      </w:r>
      <w:r w:rsidRPr="00BD16B4">
        <w:rPr>
          <w:lang w:eastAsia="en-GB"/>
        </w:rPr>
        <w:t xml:space="preserve"> The University of Waikato is developing a new technology platform ‘Ahuora’ to help in re</w:t>
      </w:r>
      <w:r w:rsidRPr="00BD16B4">
        <w:rPr>
          <w:lang w:eastAsia="en-GB"/>
        </w:rPr>
        <w:noBreakHyphen/>
        <w:t>engineering the way we use, convert, provide and store renewable energy for industrial process heating using a smart systems approach.</w:t>
      </w:r>
      <w:r w:rsidRPr="00BD16B4">
        <w:rPr>
          <w:rStyle w:val="FootnoteReference"/>
          <w:rFonts w:cs="Segoe UI"/>
          <w:szCs w:val="18"/>
        </w:rPr>
        <w:footnoteReference w:id="432"/>
      </w:r>
    </w:p>
    <w:p w14:paraId="4E7147B9" w14:textId="77777777" w:rsidR="007420E6" w:rsidRPr="00BD16B4" w:rsidRDefault="007420E6" w:rsidP="007420E6">
      <w:pPr>
        <w:pStyle w:val="Bullet"/>
        <w:rPr>
          <w:lang w:eastAsia="en-GB"/>
        </w:rPr>
      </w:pPr>
      <w:r w:rsidRPr="00BD16B4">
        <w:rPr>
          <w:lang w:eastAsia="en-GB"/>
        </w:rPr>
        <w:t>transport – Victoria University of Wellington is carrying out research on high power electric motors for large-scale transport.</w:t>
      </w:r>
      <w:r w:rsidRPr="00BD16B4">
        <w:rPr>
          <w:rStyle w:val="FootnoteReference"/>
          <w:lang w:eastAsia="en-GB"/>
        </w:rPr>
        <w:footnoteReference w:id="433"/>
      </w:r>
      <w:r w:rsidRPr="00BD16B4">
        <w:rPr>
          <w:lang w:eastAsia="en-GB"/>
        </w:rPr>
        <w:t xml:space="preserve"> The research in this programme looks at how to make superconducting machines for aircraft, beginning with proving technologies first for rail, shipping and trucks. </w:t>
      </w:r>
    </w:p>
    <w:p w14:paraId="6AD95C2C" w14:textId="77777777" w:rsidR="007420E6" w:rsidRPr="00BD16B4" w:rsidRDefault="007420E6" w:rsidP="007420E6">
      <w:pPr>
        <w:pStyle w:val="Heading2"/>
      </w:pPr>
      <w:bookmarkStart w:id="403" w:name="_Toc246918277"/>
      <w:bookmarkStart w:id="404" w:name="_Toc247892328"/>
      <w:bookmarkStart w:id="405" w:name="_Toc248736203"/>
      <w:bookmarkStart w:id="406" w:name="_Toc372551763"/>
      <w:bookmarkStart w:id="407" w:name="_Toc497740304"/>
      <w:bookmarkStart w:id="408" w:name="_Toc498516762"/>
      <w:bookmarkStart w:id="409" w:name="_Toc500796173"/>
      <w:bookmarkStart w:id="410" w:name="_Toc121774666"/>
      <w:r w:rsidRPr="00BD16B4">
        <w:t>8.5</w:t>
      </w:r>
      <w:r w:rsidRPr="00BD16B4">
        <w:tab/>
        <w:t>Systematic observations</w:t>
      </w:r>
      <w:bookmarkEnd w:id="403"/>
      <w:bookmarkEnd w:id="404"/>
      <w:bookmarkEnd w:id="405"/>
      <w:bookmarkEnd w:id="406"/>
      <w:bookmarkEnd w:id="407"/>
      <w:bookmarkEnd w:id="408"/>
      <w:bookmarkEnd w:id="409"/>
      <w:bookmarkEnd w:id="410"/>
    </w:p>
    <w:p w14:paraId="2FB1E744" w14:textId="77777777" w:rsidR="007420E6" w:rsidRPr="00BD16B4" w:rsidRDefault="007420E6" w:rsidP="007420E6">
      <w:pPr>
        <w:pStyle w:val="BodyText"/>
      </w:pPr>
      <w:r w:rsidRPr="00BD16B4">
        <w:t xml:space="preserve">Aotearoa New Zealand maintains observation programmes for atmospheric, terrestrial and oceanic measurements for a suite of essential climate variables. These measurements are complemented by archives of historical observations of climate-related parameters. </w:t>
      </w:r>
    </w:p>
    <w:p w14:paraId="5701E91A" w14:textId="77777777" w:rsidR="007420E6" w:rsidRPr="00BD16B4" w:rsidRDefault="007420E6" w:rsidP="007420E6">
      <w:pPr>
        <w:pStyle w:val="BodyText"/>
      </w:pPr>
      <w:r w:rsidRPr="00BD16B4">
        <w:t>Details on the measurement programmes are described in New Zealand’s</w:t>
      </w:r>
      <w:r w:rsidRPr="00BD16B4">
        <w:rPr>
          <w:i/>
        </w:rPr>
        <w:t xml:space="preserve"> Report on the Global Climate Observing System</w:t>
      </w:r>
      <w:r w:rsidRPr="00BD16B4">
        <w:t xml:space="preserve"> (see annex D), and are presented in accordance with the revised UNFCCC reporting guidelines on global climate change observing systems (Decision 11/CP.13).</w:t>
      </w:r>
    </w:p>
    <w:bookmarkEnd w:id="394"/>
    <w:bookmarkEnd w:id="395"/>
    <w:bookmarkEnd w:id="396"/>
    <w:bookmarkEnd w:id="397"/>
    <w:p w14:paraId="7F587CA2" w14:textId="77777777" w:rsidR="007420E6" w:rsidRPr="00BD16B4" w:rsidRDefault="007420E6" w:rsidP="007420E6">
      <w:pPr>
        <w:spacing w:before="0" w:after="200" w:line="276" w:lineRule="auto"/>
        <w:jc w:val="left"/>
      </w:pPr>
    </w:p>
    <w:p w14:paraId="472EAD27" w14:textId="77777777" w:rsidR="007420E6" w:rsidRPr="00BD16B4" w:rsidRDefault="007420E6" w:rsidP="0090449F">
      <w:pPr>
        <w:spacing w:before="0" w:after="200" w:line="276" w:lineRule="auto"/>
        <w:jc w:val="left"/>
      </w:pPr>
    </w:p>
    <w:p w14:paraId="16F8BD51" w14:textId="77777777" w:rsidR="00F53F67" w:rsidRPr="00BD16B4" w:rsidRDefault="00F53F67" w:rsidP="003F0361">
      <w:pPr>
        <w:pStyle w:val="BodyText"/>
        <w:spacing w:before="0"/>
        <w:sectPr w:rsidR="00F53F67" w:rsidRPr="00BD16B4" w:rsidSect="00582279">
          <w:footerReference w:type="even" r:id="rId126"/>
          <w:footerReference w:type="default" r:id="rId127"/>
          <w:pgSz w:w="11907" w:h="16840" w:code="9"/>
          <w:pgMar w:top="1134" w:right="1701" w:bottom="1134" w:left="1701" w:header="567" w:footer="567" w:gutter="0"/>
          <w:cols w:space="720"/>
          <w:docGrid w:linePitch="299"/>
        </w:sectPr>
      </w:pPr>
    </w:p>
    <w:p w14:paraId="35803515" w14:textId="267D085E" w:rsidR="00EE180C" w:rsidRPr="00BD16B4" w:rsidRDefault="00EE180C" w:rsidP="00EE180C">
      <w:pPr>
        <w:pStyle w:val="Heading1"/>
        <w:spacing w:after="400"/>
      </w:pPr>
      <w:bookmarkStart w:id="411" w:name="_Toc491435436"/>
      <w:bookmarkStart w:id="412" w:name="_Toc497392888"/>
      <w:bookmarkStart w:id="413" w:name="_Toc497740305"/>
      <w:bookmarkStart w:id="414" w:name="_Toc498516763"/>
      <w:bookmarkStart w:id="415" w:name="_Toc500796174"/>
      <w:bookmarkStart w:id="416" w:name="_Toc121774667"/>
      <w:r w:rsidRPr="00BD16B4">
        <w:lastRenderedPageBreak/>
        <w:t>9</w:t>
      </w:r>
      <w:r w:rsidRPr="00BD16B4">
        <w:tab/>
        <w:t>Education, training and public awareness</w:t>
      </w:r>
      <w:bookmarkEnd w:id="411"/>
      <w:bookmarkEnd w:id="412"/>
      <w:bookmarkEnd w:id="413"/>
      <w:bookmarkEnd w:id="414"/>
      <w:bookmarkEnd w:id="415"/>
      <w:bookmarkEnd w:id="416"/>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EE180C" w:rsidRPr="00BD16B4" w14:paraId="7515C720" w14:textId="77777777" w:rsidTr="006D76B5">
        <w:tc>
          <w:tcPr>
            <w:tcW w:w="0" w:type="auto"/>
            <w:shd w:val="clear" w:color="auto" w:fill="D2DDE1" w:themeFill="background2"/>
          </w:tcPr>
          <w:p w14:paraId="12812C3E" w14:textId="77777777" w:rsidR="00EE180C" w:rsidRPr="00BD16B4" w:rsidRDefault="00EE180C" w:rsidP="00F31129">
            <w:pPr>
              <w:pStyle w:val="Boxheading"/>
              <w:spacing w:after="120"/>
            </w:pPr>
            <w:r w:rsidRPr="00BD16B4">
              <w:t>Key developments</w:t>
            </w:r>
          </w:p>
          <w:p w14:paraId="008AF030" w14:textId="77777777" w:rsidR="00EE180C" w:rsidRPr="00BD16B4" w:rsidRDefault="00EE180C" w:rsidP="00F31129">
            <w:pPr>
              <w:pStyle w:val="Boxbullet"/>
            </w:pPr>
            <w:r w:rsidRPr="00BD16B4">
              <w:t>The New Zealand Government declared a climate emergency in December 2020. This has resulted in an increased focus on climate change at the highest levels within the Government.</w:t>
            </w:r>
          </w:p>
          <w:p w14:paraId="6D2D149C" w14:textId="77777777" w:rsidR="00EE180C" w:rsidRPr="00BD16B4" w:rsidRDefault="00EE180C" w:rsidP="00F31129">
            <w:pPr>
              <w:pStyle w:val="Boxbullet"/>
            </w:pPr>
            <w:r w:rsidRPr="00BD16B4">
              <w:t>Public consultation provided feedback to inform the He Pou a Rangi – Climate Change Commission’s 2021 report on advice to the Government on its first three emissions budgets and direction for its first emissions reduction plan.</w:t>
            </w:r>
          </w:p>
          <w:p w14:paraId="757CA732" w14:textId="77777777" w:rsidR="00EE180C" w:rsidRPr="00BD16B4" w:rsidRDefault="00EE180C" w:rsidP="00F31129">
            <w:pPr>
              <w:pStyle w:val="Boxbullet"/>
            </w:pPr>
            <w:r w:rsidRPr="00BD16B4">
              <w:t>In May 2022, the Government published the emissions reduction plan, which contains strategies, policies and actions for achieving Aotearoa New Zealand’s first emissions budget.</w:t>
            </w:r>
          </w:p>
          <w:p w14:paraId="4A271E94" w14:textId="77777777" w:rsidR="00EE180C" w:rsidRPr="00BD16B4" w:rsidRDefault="00EE180C" w:rsidP="00F31129">
            <w:pPr>
              <w:pStyle w:val="Boxbullet"/>
            </w:pPr>
            <w:r w:rsidRPr="00BD16B4">
              <w:t>In August 2022, the Government published the national adaptation plan, as required under the Climate Change Response Act 2002. The plan contains strategies, policies and actions that will help New Zealanders adapt to the changing climate and its effects, to reduce the potential harm of climate change, and to seize the opportunities that arise.</w:t>
            </w:r>
          </w:p>
          <w:p w14:paraId="59CCDF84" w14:textId="77777777" w:rsidR="00EE180C" w:rsidRPr="00BD16B4" w:rsidRDefault="00EE180C" w:rsidP="00F31129">
            <w:pPr>
              <w:pStyle w:val="Boxbullet"/>
            </w:pPr>
            <w:r w:rsidRPr="00BD16B4">
              <w:t>The Gen Less programme, run by the Energy Efficiency and Conservation Authority, was launched in 2019 and supports businesses and the public to reduce their personal greenhouse gas emissions.</w:t>
            </w:r>
          </w:p>
          <w:p w14:paraId="23A7BD4C" w14:textId="77777777" w:rsidR="00EE180C" w:rsidRPr="00BD16B4" w:rsidRDefault="00EE180C" w:rsidP="00F31129">
            <w:pPr>
              <w:pStyle w:val="Boxbullet"/>
              <w:spacing w:after="180"/>
            </w:pPr>
            <w:r w:rsidRPr="00BD16B4">
              <w:t>Public consultation provided feedback to inform major climate change policies, including the Climate Change Response (Zero Carbon) Amendment Act 2019, the emissions reduction plan, the national adaptation plan, climate-related financial disclosures, action on agricultural emissions and changes to the New Zealand Emissions Trading Scheme.</w:t>
            </w:r>
          </w:p>
        </w:tc>
      </w:tr>
    </w:tbl>
    <w:p w14:paraId="5F851181" w14:textId="103713D8" w:rsidR="00EE180C" w:rsidRPr="00BD16B4" w:rsidRDefault="00EE180C" w:rsidP="00EE180C">
      <w:pPr>
        <w:pStyle w:val="Heading2"/>
        <w:spacing w:before="400"/>
      </w:pPr>
      <w:bookmarkStart w:id="417" w:name="_Toc497740408"/>
      <w:bookmarkStart w:id="418" w:name="_Toc500796175"/>
      <w:bookmarkStart w:id="419" w:name="_Toc121774668"/>
      <w:r w:rsidRPr="00BD16B4">
        <w:t>9.1</w:t>
      </w:r>
      <w:r w:rsidRPr="00BD16B4">
        <w:tab/>
        <w:t>Introduction</w:t>
      </w:r>
      <w:bookmarkEnd w:id="417"/>
      <w:bookmarkEnd w:id="418"/>
      <w:bookmarkEnd w:id="419"/>
    </w:p>
    <w:p w14:paraId="0EFD7DDF" w14:textId="77777777" w:rsidR="00EE180C" w:rsidRPr="00BD16B4" w:rsidRDefault="00EE180C" w:rsidP="00EE180C">
      <w:pPr>
        <w:pStyle w:val="BodyText"/>
      </w:pPr>
      <w:r w:rsidRPr="00BD16B4">
        <w:t>The New Zealand Government actively supports initiatives that increase public awareness of climate change and promote behavioural change, including by providing information to tangata whenua (</w:t>
      </w:r>
      <w:r w:rsidRPr="00BD16B4">
        <w:rPr>
          <w:szCs w:val="20"/>
        </w:rPr>
        <w:t>people of the land, local indigenous people)</w:t>
      </w:r>
      <w:r w:rsidRPr="00BD16B4">
        <w:t>, the public, businesses, communities, local government and industry sectors. Resources and support are also provided for education and training on issues related to climate change. In addition, engagement on climate change issues has taken place over the past four years with Māori, businesses, the public and young people. The Government also engages with other countries on climate change issues.</w:t>
      </w:r>
    </w:p>
    <w:p w14:paraId="2DD29F17" w14:textId="505EBA4C" w:rsidR="00EE180C" w:rsidRPr="00BD16B4" w:rsidRDefault="00EE180C" w:rsidP="00EE180C">
      <w:pPr>
        <w:pStyle w:val="BodyText"/>
      </w:pPr>
      <w:r w:rsidRPr="00BD16B4">
        <w:t>In December 2020, the New Zealand Government declared a climate emergency. This came in</w:t>
      </w:r>
      <w:r w:rsidR="00FF28DD" w:rsidRPr="00BD16B4">
        <w:t> </w:t>
      </w:r>
      <w:r w:rsidRPr="00BD16B4">
        <w:t>response to the Intergovernmental Panel on Climate Change (IPCC) findings, calls for action</w:t>
      </w:r>
      <w:r w:rsidR="00FF28DD" w:rsidRPr="00BD16B4">
        <w:t> </w:t>
      </w:r>
      <w:r w:rsidRPr="00BD16B4">
        <w:rPr>
          <w:spacing w:val="-2"/>
        </w:rPr>
        <w:t>from New Zealanders, and joining at the time over 32 countries to declare a climate emergency</w:t>
      </w:r>
      <w:r w:rsidRPr="00BD16B4">
        <w:t xml:space="preserve"> and commit to reducing emissions to avoid a more than 1.5</w:t>
      </w:r>
      <w:r w:rsidR="00FF28DD" w:rsidRPr="00BD16B4">
        <w:t>°C</w:t>
      </w:r>
      <w:r w:rsidRPr="00BD16B4">
        <w:t xml:space="preserve"> rise in global warming. The Government has made significant progress on meeting that challenge through the Paris Agreement and Climate Change Response Amendment Act 2019, and Aotearoa New Zealand has committed to taking urgent action on greenhouse gas mitigation and climate change adaptation.</w:t>
      </w:r>
    </w:p>
    <w:p w14:paraId="042E0F59" w14:textId="77777777" w:rsidR="00EE180C" w:rsidRPr="00BD16B4" w:rsidRDefault="00EE180C" w:rsidP="00EE180C">
      <w:pPr>
        <w:pStyle w:val="BodyText"/>
      </w:pPr>
      <w:r w:rsidRPr="00BD16B4">
        <w:lastRenderedPageBreak/>
        <w:t>This chapter provides information about relevant initiatives that have been run or supported by the New Zealand Government over the reporting period. The initiatives are divided into five sections: public awareness campaigns and behavioural change, public access to information, education and training, public engagement and international engagement.</w:t>
      </w:r>
    </w:p>
    <w:p w14:paraId="760F8293" w14:textId="12FFBCDA" w:rsidR="00EE180C" w:rsidRPr="00BD16B4" w:rsidRDefault="00EE180C" w:rsidP="00EE180C">
      <w:pPr>
        <w:pStyle w:val="Heading2"/>
      </w:pPr>
      <w:bookmarkStart w:id="420" w:name="_Toc497740409"/>
      <w:bookmarkStart w:id="421" w:name="_Toc500796176"/>
      <w:bookmarkStart w:id="422" w:name="_Toc121774669"/>
      <w:r w:rsidRPr="00BD16B4">
        <w:t>9.2</w:t>
      </w:r>
      <w:r w:rsidRPr="00BD16B4">
        <w:tab/>
        <w:t>Public awareness campaigns and behavioural change</w:t>
      </w:r>
      <w:bookmarkEnd w:id="420"/>
      <w:bookmarkEnd w:id="421"/>
      <w:bookmarkEnd w:id="422"/>
    </w:p>
    <w:p w14:paraId="4C1138EA" w14:textId="77777777" w:rsidR="00EE180C" w:rsidRPr="00BD16B4" w:rsidRDefault="00EE180C" w:rsidP="00EE180C">
      <w:pPr>
        <w:pStyle w:val="BodyText"/>
      </w:pPr>
      <w:r w:rsidRPr="00BD16B4">
        <w:t>Public awareness campaigns have focused on household and vehicle energy efficiency, certification schemes, tools for measuring and reporting emissions, and environmental awards.</w:t>
      </w:r>
    </w:p>
    <w:p w14:paraId="4BC1380F" w14:textId="77777777" w:rsidR="00EE180C" w:rsidRPr="00BD16B4" w:rsidRDefault="00EE180C" w:rsidP="00EE180C">
      <w:pPr>
        <w:pStyle w:val="Heading3"/>
      </w:pPr>
      <w:r w:rsidRPr="00BD16B4">
        <w:t>9.2.1</w:t>
      </w:r>
      <w:r w:rsidRPr="00BD16B4">
        <w:tab/>
        <w:t>Energy efficiency and climate change campaigns</w:t>
      </w:r>
    </w:p>
    <w:p w14:paraId="4E906320" w14:textId="77777777" w:rsidR="00EE180C" w:rsidRPr="00BD16B4" w:rsidRDefault="00EE180C" w:rsidP="004E1B8C">
      <w:pPr>
        <w:pStyle w:val="Heading4"/>
      </w:pPr>
      <w:r w:rsidRPr="00BD16B4">
        <w:t>Gen Less</w:t>
      </w:r>
    </w:p>
    <w:p w14:paraId="1437AE00" w14:textId="77777777" w:rsidR="00EE180C" w:rsidRPr="00BD16B4" w:rsidRDefault="00EE180C" w:rsidP="00EE180C">
      <w:pPr>
        <w:pStyle w:val="BodyText"/>
      </w:pPr>
      <w:r w:rsidRPr="00BD16B4">
        <w:t>Gen Less is a communications platform, supported by the Energy Efficiency and Conservation Authority (EECA). EECA is a government agency dedicated to mobilising New Zealanders to be world leaders in clean and clever energy use. Gen Less was launched in 2019 and inspires people to reduce their personal greenhouse gas emissions and take positive climate action. Gen Less supports the Government’s wider move in Aotearoa New Zealand’s transition towards net zero emissions in 2050.</w:t>
      </w:r>
    </w:p>
    <w:p w14:paraId="371AF4A4" w14:textId="77777777" w:rsidR="00EE180C" w:rsidRPr="00BD16B4" w:rsidRDefault="00EE180C" w:rsidP="00EE180C">
      <w:pPr>
        <w:pStyle w:val="BodyText"/>
      </w:pPr>
      <w:r w:rsidRPr="00BD16B4">
        <w:t xml:space="preserve">The Gen Less website, social media channels and email programme support an annual advertisement campaign designed to raise public awareness, drive engagement and, ultimately, encourage behavioural change to reduce emissions at a household, business and national level. The brand is advertised across television, radio and digital advertising platforms, and media integrations. </w:t>
      </w:r>
    </w:p>
    <w:p w14:paraId="20280BBA" w14:textId="77777777" w:rsidR="00EE180C" w:rsidRPr="00BD16B4" w:rsidRDefault="00EE180C" w:rsidP="00EE180C">
      <w:pPr>
        <w:pStyle w:val="BodyText"/>
      </w:pPr>
      <w:r w:rsidRPr="00BD16B4">
        <w:t xml:space="preserve">The website is oriented for ‘everyone’ and for ‘business’. Under the ‘everyone’ tab, the support has been filtered by ‘everyday life’, ‘on the move’ and ‘at home’. For business, it has been categorised by the five main impact areas for climate change improvement: moving people, moving goods, on site, in the office and product design. </w:t>
      </w:r>
    </w:p>
    <w:p w14:paraId="3B56915F" w14:textId="77777777" w:rsidR="00EE180C" w:rsidRPr="00BD16B4" w:rsidRDefault="00EE180C" w:rsidP="00EE180C">
      <w:pPr>
        <w:pStyle w:val="BodyText"/>
      </w:pPr>
      <w:r w:rsidRPr="00BD16B4">
        <w:t xml:space="preserve">For four years, EECA has been conducting extensive research into New Zealanders’ beliefs, attitudes and knowledge of climate change and energy emissions. Monitoring is undertaken quarterly (‘consumer’) and half yearly (‘business’). It provides evidence-based insights that are made available publicly to all stakeholders and helps position the future work programme for Gen Less. </w:t>
      </w:r>
    </w:p>
    <w:p w14:paraId="0313C933" w14:textId="77777777" w:rsidR="00EE180C" w:rsidRPr="00BD16B4" w:rsidRDefault="00EE180C" w:rsidP="00EE180C">
      <w:pPr>
        <w:pStyle w:val="BodyText"/>
      </w:pPr>
      <w:r w:rsidRPr="00BD16B4">
        <w:t xml:space="preserve">The main behaviours that Gen Less has focused on include: </w:t>
      </w:r>
    </w:p>
    <w:p w14:paraId="291A5B48" w14:textId="77777777" w:rsidR="00EE180C" w:rsidRPr="00BD16B4" w:rsidRDefault="00EE180C" w:rsidP="008E7C93">
      <w:pPr>
        <w:pStyle w:val="Numberedparagraph"/>
        <w:numPr>
          <w:ilvl w:val="0"/>
          <w:numId w:val="22"/>
        </w:numPr>
      </w:pPr>
      <w:r w:rsidRPr="00BD16B4">
        <w:t xml:space="preserve">targeting small businesses to get started on their climate journey </w:t>
      </w:r>
    </w:p>
    <w:p w14:paraId="732CA402" w14:textId="77777777" w:rsidR="00EE180C" w:rsidRPr="00BD16B4" w:rsidRDefault="00EE180C" w:rsidP="00EE180C">
      <w:pPr>
        <w:pStyle w:val="Numberedparagraph"/>
      </w:pPr>
      <w:r w:rsidRPr="00BD16B4">
        <w:t xml:space="preserve">encouraging New Zealanders to reduce their car use and to consider electric vehicles and other forms of transport </w:t>
      </w:r>
    </w:p>
    <w:p w14:paraId="129CE32E" w14:textId="77777777" w:rsidR="00EE180C" w:rsidRPr="00BD16B4" w:rsidRDefault="00EE180C" w:rsidP="00EE180C">
      <w:pPr>
        <w:pStyle w:val="Numberedparagraph"/>
      </w:pPr>
      <w:r w:rsidRPr="00BD16B4">
        <w:t xml:space="preserve">‘umbrella’ messages to encourage New Zealanders to recognise that they have to act now, to waste less energy and leave a positive legacy for future generations. </w:t>
      </w:r>
    </w:p>
    <w:p w14:paraId="27C41854" w14:textId="77777777" w:rsidR="00EE180C" w:rsidRPr="00BD16B4" w:rsidRDefault="00EE180C" w:rsidP="00EE180C">
      <w:pPr>
        <w:pStyle w:val="BodyText"/>
      </w:pPr>
      <w:r w:rsidRPr="00BD16B4">
        <w:t>An independent evaluation of the Gen Less programme, to help direct future investment and planning, will be completed by the end of 2022.</w:t>
      </w:r>
    </w:p>
    <w:p w14:paraId="28E62655" w14:textId="77777777" w:rsidR="00EE180C" w:rsidRPr="00BD16B4" w:rsidRDefault="00EE180C" w:rsidP="004E1B8C">
      <w:pPr>
        <w:pStyle w:val="Heading4"/>
      </w:pPr>
      <w:r w:rsidRPr="00BD16B4">
        <w:lastRenderedPageBreak/>
        <w:t xml:space="preserve">Transport </w:t>
      </w:r>
    </w:p>
    <w:p w14:paraId="20596039" w14:textId="77777777" w:rsidR="00EE180C" w:rsidRPr="00BD16B4" w:rsidRDefault="00EE180C" w:rsidP="00EE180C">
      <w:pPr>
        <w:pStyle w:val="BodyText"/>
      </w:pPr>
      <w:r w:rsidRPr="00BD16B4">
        <w:t>EECA provides information and tools on the Gen Less website to influence consumer behaviour in vehicle choice, mode shift, efficient driving tactics and using alternative fuels. The FuelSaver website</w:t>
      </w:r>
      <w:r w:rsidRPr="00BD16B4">
        <w:rPr>
          <w:rStyle w:val="FootnoteReference"/>
        </w:rPr>
        <w:footnoteReference w:id="434"/>
      </w:r>
      <w:r w:rsidRPr="00BD16B4">
        <w:t xml:space="preserve"> enables consumers to compare the fuel efficiency of vehicles. </w:t>
      </w:r>
    </w:p>
    <w:p w14:paraId="1FCD4047" w14:textId="77777777" w:rsidR="00EE180C" w:rsidRPr="00BD16B4" w:rsidRDefault="00EE180C" w:rsidP="00EE180C">
      <w:pPr>
        <w:pStyle w:val="BodyText"/>
      </w:pPr>
      <w:r w:rsidRPr="00BD16B4">
        <w:t>The Gen Less Vehicle Total Cost of Ownership tool</w:t>
      </w:r>
      <w:r w:rsidRPr="00BD16B4">
        <w:rPr>
          <w:rStyle w:val="FootnoteReference"/>
        </w:rPr>
        <w:footnoteReference w:id="435"/>
      </w:r>
      <w:r w:rsidRPr="00BD16B4">
        <w:t xml:space="preserve"> lets consumers compare vehicle costs and emissions across the total ownership period of the vehicle, from buying and running to on-selling. It is one of EECA’s most popular sections on the website.</w:t>
      </w:r>
    </w:p>
    <w:p w14:paraId="2027A7E8" w14:textId="304E288B" w:rsidR="00EE180C" w:rsidRPr="00BD16B4" w:rsidRDefault="00EE180C" w:rsidP="00EE180C">
      <w:pPr>
        <w:pStyle w:val="BodyText"/>
        <w:rPr>
          <w:highlight w:val="yellow"/>
        </w:rPr>
      </w:pPr>
      <w:r w:rsidRPr="00BD16B4">
        <w:t xml:space="preserve">The Vehicle Emissions and Energy Economy Labelling Scheme, which began in 2008, is run by EECA together with Waka Kotahi NZ Transport Agency. This scheme makes it compulsory for vehicle traders and online vendors to display information about the fuel economy and </w:t>
      </w:r>
      <w:r w:rsidRPr="00BD16B4">
        <w:rPr>
          <w:spacing w:val="-2"/>
        </w:rPr>
        <w:t>emissions of their vehicles. This helps consumers make informed decisions about environmental</w:t>
      </w:r>
      <w:r w:rsidRPr="00BD16B4">
        <w:t xml:space="preserve"> impacts when purchasing a car. The scheme is unique because it also applies to private sales on the internet. It covers both new and used vehicles manufactured after 2000. (See more on the programme in chapter 4, section 4.3.</w:t>
      </w:r>
      <w:r w:rsidR="008D7359" w:rsidRPr="00BD16B4">
        <w:t>2</w:t>
      </w:r>
      <w:r w:rsidRPr="00BD16B4">
        <w:t>.)</w:t>
      </w:r>
    </w:p>
    <w:p w14:paraId="2C612708" w14:textId="77777777" w:rsidR="00EE180C" w:rsidRPr="00BD16B4" w:rsidRDefault="00EE180C" w:rsidP="00EE180C">
      <w:pPr>
        <w:pStyle w:val="BodyText"/>
        <w:rPr>
          <w:highlight w:val="yellow"/>
        </w:rPr>
      </w:pPr>
      <w:r w:rsidRPr="00BD16B4">
        <w:t xml:space="preserve">Because the New Zealand Government has introduced the Clean Car programme, which offers rebates for low- and no-emissions light vehicles, and imposes fees for high-emitting vehicles, significant growth has occurred in the national electric vehicle fleet. </w:t>
      </w:r>
    </w:p>
    <w:p w14:paraId="262316C7" w14:textId="77777777" w:rsidR="00EE180C" w:rsidRPr="00BD16B4" w:rsidRDefault="00EE180C" w:rsidP="00EE180C">
      <w:pPr>
        <w:pStyle w:val="BodyText"/>
      </w:pPr>
      <w:r w:rsidRPr="00BD16B4">
        <w:t>Waka Kotahi NZ Transport Agency has worked closely with local and central government agencies, power companies, technology providers and the motor industry to provide up-to-date guidance</w:t>
      </w:r>
      <w:r w:rsidRPr="00BD16B4">
        <w:rPr>
          <w:rStyle w:val="FootnoteReference"/>
        </w:rPr>
        <w:footnoteReference w:id="436"/>
      </w:r>
      <w:r w:rsidRPr="00BD16B4">
        <w:t xml:space="preserve"> on public charging infrastructure for electric vehicles. This guidance clarifies standards and provides recommendations to help electric vehicle infrastructure investors set up a network of charging facilities that can be used by as many drivers as possible.</w:t>
      </w:r>
    </w:p>
    <w:p w14:paraId="2B2DA4F7" w14:textId="77777777" w:rsidR="00EE180C" w:rsidRPr="00BD16B4" w:rsidRDefault="00EE180C" w:rsidP="004E1B8C">
      <w:pPr>
        <w:pStyle w:val="Heading4"/>
      </w:pPr>
      <w:r w:rsidRPr="00BD16B4">
        <w:t>Business</w:t>
      </w:r>
    </w:p>
    <w:p w14:paraId="111E54F3" w14:textId="77777777" w:rsidR="00EE180C" w:rsidRPr="00BD16B4" w:rsidRDefault="00EE180C" w:rsidP="00EE180C">
      <w:pPr>
        <w:pStyle w:val="BodyText"/>
      </w:pPr>
      <w:r w:rsidRPr="00BD16B4">
        <w:t>To complement EECA’s co-funding programmes,</w:t>
      </w:r>
      <w:r w:rsidRPr="00BD16B4">
        <w:rPr>
          <w:vertAlign w:val="superscript"/>
        </w:rPr>
        <w:footnoteReference w:id="437"/>
      </w:r>
      <w:r w:rsidRPr="00BD16B4">
        <w:t xml:space="preserve"> Gen Less is a hub for all businesses, but especially small to medium enterprises, to find information and tools to reduce their energy use.</w:t>
      </w:r>
    </w:p>
    <w:p w14:paraId="53ADB11D" w14:textId="77777777" w:rsidR="00EE180C" w:rsidRPr="00BD16B4" w:rsidRDefault="00EE180C" w:rsidP="00EE180C">
      <w:pPr>
        <w:pStyle w:val="BodyText"/>
      </w:pPr>
      <w:r w:rsidRPr="00BD16B4">
        <w:t>EECA’s research shows that small to medium enterprises struggle to find the time and resources to consider their energy use and emissions. The Gen Less website shares authoritative information to enable businesses to better understand the need to reduce emissions, and the co-benefits from doing so. EECA has taken a collaborative approach, working with other government departments and the private sector, to help develop the Climate Action Toolbox,</w:t>
      </w:r>
      <w:r w:rsidRPr="00BD16B4">
        <w:rPr>
          <w:vertAlign w:val="superscript"/>
        </w:rPr>
        <w:footnoteReference w:id="438"/>
      </w:r>
      <w:r w:rsidRPr="00BD16B4">
        <w:t xml:space="preserve"> which allows businesses to create a tailored emissions reduction plan for their business. </w:t>
      </w:r>
    </w:p>
    <w:p w14:paraId="49708046" w14:textId="77777777" w:rsidR="00EE180C" w:rsidRPr="00BD16B4" w:rsidRDefault="00EE180C" w:rsidP="00EE180C">
      <w:pPr>
        <w:pStyle w:val="Heading3"/>
      </w:pPr>
      <w:r w:rsidRPr="00BD16B4">
        <w:lastRenderedPageBreak/>
        <w:t>9.2.2</w:t>
      </w:r>
      <w:r w:rsidRPr="00BD16B4">
        <w:tab/>
        <w:t>Carbon reduction and neutrality certification</w:t>
      </w:r>
    </w:p>
    <w:p w14:paraId="7BF5D5FE" w14:textId="77777777" w:rsidR="00EE180C" w:rsidRPr="00BD16B4" w:rsidRDefault="00EE180C" w:rsidP="00EE180C">
      <w:pPr>
        <w:pStyle w:val="BodyText"/>
        <w:rPr>
          <w:rFonts w:asciiTheme="minorHAnsi" w:hAnsiTheme="minorHAnsi"/>
        </w:rPr>
      </w:pPr>
      <w:r w:rsidRPr="00BD16B4">
        <w:t>Toitū Envirocare (Toitū) operates carbon and sustainability programmes that provide tools and support for individuals and organisations to measure, reduce and offset their emissions.</w:t>
      </w:r>
      <w:r w:rsidRPr="00BD16B4">
        <w:rPr>
          <w:rStyle w:val="FootnoteReference"/>
        </w:rPr>
        <w:footnoteReference w:id="439"/>
      </w:r>
      <w:r w:rsidRPr="00BD16B4">
        <w:t xml:space="preserve"> Toitū offers two internationally aligned certification </w:t>
      </w:r>
      <w:r w:rsidRPr="00BD16B4">
        <w:rPr>
          <w:rFonts w:asciiTheme="minorHAnsi" w:hAnsiTheme="minorHAnsi"/>
        </w:rPr>
        <w:t>programmes.</w:t>
      </w:r>
      <w:r w:rsidRPr="00BD16B4">
        <w:rPr>
          <w:rStyle w:val="FootnoteReference"/>
          <w:rFonts w:asciiTheme="minorHAnsi" w:hAnsiTheme="minorHAnsi"/>
        </w:rPr>
        <w:footnoteReference w:id="440"/>
      </w:r>
      <w:r w:rsidRPr="00BD16B4">
        <w:rPr>
          <w:rFonts w:asciiTheme="minorHAnsi" w:hAnsiTheme="minorHAnsi"/>
        </w:rPr>
        <w:t xml:space="preserve"> </w:t>
      </w:r>
    </w:p>
    <w:p w14:paraId="211F65F0" w14:textId="77777777" w:rsidR="00EE180C" w:rsidRPr="00BD16B4" w:rsidRDefault="00EE180C" w:rsidP="00EE180C">
      <w:pPr>
        <w:pStyle w:val="Bullet"/>
      </w:pPr>
      <w:r w:rsidRPr="00BD16B4">
        <w:t>The Toitū carbon certification programme is available to companies as an organisational and/or product service with three stream options, and is internationally accredited:</w:t>
      </w:r>
    </w:p>
    <w:p w14:paraId="4C967AFC" w14:textId="77777777" w:rsidR="00EE180C" w:rsidRPr="00BD16B4" w:rsidRDefault="00EE180C" w:rsidP="00EE180C">
      <w:pPr>
        <w:pStyle w:val="Sub-list"/>
        <w:numPr>
          <w:ilvl w:val="0"/>
          <w:numId w:val="13"/>
        </w:numPr>
        <w:tabs>
          <w:tab w:val="clear" w:pos="794"/>
          <w:tab w:val="left" w:pos="397"/>
        </w:tabs>
      </w:pPr>
      <w:r w:rsidRPr="00BD16B4">
        <w:t>Toitū carbonreduce certification – for carbon measurement, management and reduction claims</w:t>
      </w:r>
    </w:p>
    <w:p w14:paraId="43F8E45F" w14:textId="77777777" w:rsidR="00EE180C" w:rsidRPr="00BD16B4" w:rsidRDefault="00EE180C" w:rsidP="00EE180C">
      <w:pPr>
        <w:pStyle w:val="Sub-list"/>
      </w:pPr>
      <w:r w:rsidRPr="00BD16B4">
        <w:t xml:space="preserve">Toitū net carbonzero certification – for carbon measurement, management, reduction and offsetting claims </w:t>
      </w:r>
    </w:p>
    <w:p w14:paraId="3E5DEDA6" w14:textId="77777777" w:rsidR="00EE180C" w:rsidRPr="00BD16B4" w:rsidRDefault="00EE180C" w:rsidP="00EE180C">
      <w:pPr>
        <w:pStyle w:val="Sub-list"/>
      </w:pPr>
      <w:r w:rsidRPr="00BD16B4">
        <w:t>Toitū climate positive certification – a new programme for carbon claims beyond net carbonzero to make a positive impact on society, on top of taking meaningful science-led action to decarbonise.</w:t>
      </w:r>
    </w:p>
    <w:p w14:paraId="3472CAAE" w14:textId="77777777" w:rsidR="00EE180C" w:rsidRPr="00BD16B4" w:rsidRDefault="00EE180C" w:rsidP="00EE180C">
      <w:pPr>
        <w:pStyle w:val="Bullet"/>
        <w:numPr>
          <w:ilvl w:val="0"/>
          <w:numId w:val="3"/>
        </w:numPr>
        <w:tabs>
          <w:tab w:val="left" w:pos="794"/>
        </w:tabs>
      </w:pPr>
      <w:r w:rsidRPr="00BD16B4">
        <w:t xml:space="preserve">Toitū Enviromark (Environmental Management Programme &amp; Certification) – the Toitū enviromark programme enables systematic development and improvement of a </w:t>
      </w:r>
      <w:r w:rsidRPr="00BD16B4">
        <w:rPr>
          <w:spacing w:val="-2"/>
        </w:rPr>
        <w:t>credible environmental management system that meets and exceeds the requirements</w:t>
      </w:r>
      <w:r w:rsidRPr="00BD16B4">
        <w:t xml:space="preserve"> of ISO 14001:2015 for organisational environmental performance, with three core programme options:</w:t>
      </w:r>
    </w:p>
    <w:p w14:paraId="32D632BA" w14:textId="77777777" w:rsidR="00EE180C" w:rsidRPr="00BD16B4" w:rsidRDefault="00EE180C" w:rsidP="00EE180C">
      <w:pPr>
        <w:pStyle w:val="Sub-list"/>
        <w:numPr>
          <w:ilvl w:val="0"/>
          <w:numId w:val="13"/>
        </w:numPr>
        <w:tabs>
          <w:tab w:val="clear" w:pos="794"/>
          <w:tab w:val="left" w:pos="397"/>
        </w:tabs>
      </w:pPr>
      <w:r w:rsidRPr="00BD16B4">
        <w:t xml:space="preserve">Toitū enviromark bronze </w:t>
      </w:r>
    </w:p>
    <w:p w14:paraId="5E64E847" w14:textId="77777777" w:rsidR="00EE180C" w:rsidRPr="00BD16B4" w:rsidRDefault="00EE180C" w:rsidP="00EE180C">
      <w:pPr>
        <w:pStyle w:val="Sub-list"/>
      </w:pPr>
      <w:r w:rsidRPr="00BD16B4">
        <w:t>Toitū enviromark gold</w:t>
      </w:r>
    </w:p>
    <w:p w14:paraId="602FDC69" w14:textId="77777777" w:rsidR="00EE180C" w:rsidRPr="00BD16B4" w:rsidRDefault="00EE180C" w:rsidP="00EE180C">
      <w:pPr>
        <w:pStyle w:val="Sub-list"/>
      </w:pPr>
      <w:r w:rsidRPr="00BD16B4">
        <w:t>Toitū enviromark diamond.</w:t>
      </w:r>
    </w:p>
    <w:p w14:paraId="27278236" w14:textId="77777777" w:rsidR="00EE180C" w:rsidRPr="00BD16B4" w:rsidRDefault="00EE180C" w:rsidP="004D4556">
      <w:pPr>
        <w:pStyle w:val="BodyText"/>
      </w:pPr>
      <w:r w:rsidRPr="00BD16B4">
        <w:t>The Toitū carbon certification programme is designed to help members collate data to meet the programme’s requirements. When ready, the data are audited by a programme-approved auditor. Once approved, members are issued with a certificate and can display the certification mark or logo on their website and/or products. Case studies featuring the emissions reduction achievements alongside an online directory of member companies are available on the Toitū Envirocare website.</w:t>
      </w:r>
      <w:r w:rsidRPr="00BD16B4">
        <w:rPr>
          <w:rStyle w:val="FootnoteReference"/>
        </w:rPr>
        <w:footnoteReference w:id="441"/>
      </w:r>
      <w:r w:rsidRPr="00BD16B4">
        <w:t xml:space="preserve"> </w:t>
      </w:r>
    </w:p>
    <w:p w14:paraId="31BB11D5" w14:textId="77777777" w:rsidR="00EE180C" w:rsidRPr="00BD16B4" w:rsidRDefault="00EE180C" w:rsidP="00EE180C">
      <w:pPr>
        <w:pStyle w:val="BodyText"/>
      </w:pPr>
      <w:r w:rsidRPr="00BD16B4">
        <w:rPr>
          <w:rFonts w:eastAsia="Calibri"/>
        </w:rPr>
        <w:t>The Toitū enviromark programme is a three-step environmental management system, with a focus on continuous improvement, as companies work from a ‘bronze’ up to a ‘diamond’ level of certification. Toitū enviromark diamond (the final step) is equivalent to the ISO 14001 international standard. Participating companies are supported through training, checklists and seminars. Online resources are also provided to participating companies, including case studies featuring the environmental performance improvements achieved by member companies.</w:t>
      </w:r>
    </w:p>
    <w:p w14:paraId="70A7E567" w14:textId="77777777" w:rsidR="00EE180C" w:rsidRPr="00BD16B4" w:rsidRDefault="00EE180C" w:rsidP="00EE180C">
      <w:pPr>
        <w:pStyle w:val="BodyText"/>
      </w:pPr>
      <w:r w:rsidRPr="00BD16B4">
        <w:t xml:space="preserve">The carbon programmes are accredited by the Joint Accreditation System of Australia and New Zealand. They are also recognised by the United Kingdom’s Environment Agency, the Carbon Disclosure Project </w:t>
      </w:r>
      <w:r w:rsidRPr="00BD16B4">
        <w:rPr>
          <w:rFonts w:eastAsia="Calibri" w:cs="Calibri"/>
        </w:rPr>
        <w:t>and the International Carbon Reduction and Offset Alliance. This ensures Toitū Envirocare’s emissions reductions and offsetting programmes meet the highest international standards of environmental integrity and are in support of the Paris Agreement</w:t>
      </w:r>
      <w:r w:rsidRPr="00BD16B4">
        <w:t>.</w:t>
      </w:r>
    </w:p>
    <w:p w14:paraId="74189621" w14:textId="08C8212C" w:rsidR="00EE180C" w:rsidRPr="00BD16B4" w:rsidRDefault="00EE180C" w:rsidP="00EE180C">
      <w:pPr>
        <w:pStyle w:val="Heading2"/>
      </w:pPr>
      <w:bookmarkStart w:id="423" w:name="_Toc497740410"/>
      <w:bookmarkStart w:id="424" w:name="_Toc500796177"/>
      <w:bookmarkStart w:id="425" w:name="_Toc121774670"/>
      <w:r w:rsidRPr="00BD16B4">
        <w:lastRenderedPageBreak/>
        <w:t>9.3</w:t>
      </w:r>
      <w:r w:rsidRPr="00BD16B4">
        <w:tab/>
        <w:t>Public access to information</w:t>
      </w:r>
      <w:bookmarkEnd w:id="423"/>
      <w:bookmarkEnd w:id="424"/>
      <w:bookmarkEnd w:id="425"/>
      <w:r w:rsidRPr="00BD16B4">
        <w:t xml:space="preserve"> </w:t>
      </w:r>
    </w:p>
    <w:p w14:paraId="6E44579D" w14:textId="77777777" w:rsidR="00EE180C" w:rsidRPr="00BD16B4" w:rsidRDefault="00EE180C" w:rsidP="00EE180C">
      <w:pPr>
        <w:pStyle w:val="BodyText"/>
      </w:pPr>
      <w:r w:rsidRPr="00BD16B4">
        <w:t>An important part of the New Zealand Government’s response to climate change is providing climate change information to tangata whenua, the public, businesses, local government and the land-based sector.</w:t>
      </w:r>
    </w:p>
    <w:p w14:paraId="4EE203F7" w14:textId="77777777" w:rsidR="00EE180C" w:rsidRPr="00BD16B4" w:rsidRDefault="00EE180C" w:rsidP="00EE180C">
      <w:pPr>
        <w:pStyle w:val="Heading3"/>
      </w:pPr>
      <w:r w:rsidRPr="00BD16B4">
        <w:t>9.3.1</w:t>
      </w:r>
      <w:r w:rsidRPr="00BD16B4">
        <w:tab/>
        <w:t>Information for the public</w:t>
      </w:r>
    </w:p>
    <w:p w14:paraId="4FBF0427" w14:textId="278E910E" w:rsidR="00EE180C" w:rsidRPr="00BD16B4" w:rsidRDefault="00EE180C" w:rsidP="00EE180C">
      <w:pPr>
        <w:pStyle w:val="BodyText"/>
      </w:pPr>
      <w:r w:rsidRPr="00BD16B4">
        <w:t>The climate change section of the Ministry for the Environment’s website is the main source of climate change information provided by the Government.</w:t>
      </w:r>
      <w:r w:rsidRPr="00BD16B4">
        <w:rPr>
          <w:rStyle w:val="FootnoteReference"/>
        </w:rPr>
        <w:footnoteReference w:id="442"/>
      </w:r>
      <w:r w:rsidRPr="00BD16B4">
        <w:t xml:space="preserve"> It has information on the causes of, evidence for and impacts of climate change. It describes the main government policies to reduce emissions and work being done to help people prepare for and adapt to climate change. Key initiatives</w:t>
      </w:r>
      <w:r w:rsidRPr="00BD16B4">
        <w:rPr>
          <w:rStyle w:val="FootnoteReference"/>
        </w:rPr>
        <w:footnoteReference w:id="443"/>
      </w:r>
      <w:r w:rsidRPr="00BD16B4">
        <w:t xml:space="preserve"> are highlighted on the website and updated regularly. The</w:t>
      </w:r>
      <w:r w:rsidR="00A27701" w:rsidRPr="00BD16B4">
        <w:t> </w:t>
      </w:r>
      <w:r w:rsidRPr="00BD16B4">
        <w:t>roles and responsibilities of other government ministries and departments are described on the website relating to important climate change programmes.</w:t>
      </w:r>
      <w:r w:rsidRPr="00BD16B4">
        <w:rPr>
          <w:rStyle w:val="FootnoteReference"/>
        </w:rPr>
        <w:footnoteReference w:id="444"/>
      </w:r>
    </w:p>
    <w:p w14:paraId="6E0F3BCF" w14:textId="77777777" w:rsidR="00EE180C" w:rsidRPr="00BD16B4" w:rsidRDefault="00EE180C" w:rsidP="00EE180C">
      <w:pPr>
        <w:pStyle w:val="BodyText"/>
      </w:pPr>
      <w:r w:rsidRPr="00BD16B4">
        <w:t xml:space="preserve">The Ministry for the Environment website also outlines what members of the public can do to </w:t>
      </w:r>
      <w:r w:rsidRPr="00BD16B4">
        <w:rPr>
          <w:spacing w:val="-2"/>
        </w:rPr>
        <w:t>take action, get funding for projects and contribute individual perspectives on the Government’s</w:t>
      </w:r>
      <w:r w:rsidRPr="00BD16B4">
        <w:t xml:space="preserve"> climate change proposals.</w:t>
      </w:r>
      <w:r w:rsidRPr="00BD16B4">
        <w:rPr>
          <w:rStyle w:val="FootnoteReference"/>
        </w:rPr>
        <w:footnoteReference w:id="445"/>
      </w:r>
      <w:r w:rsidRPr="00BD16B4">
        <w:t xml:space="preserve"> </w:t>
      </w:r>
    </w:p>
    <w:p w14:paraId="597666C3" w14:textId="77777777" w:rsidR="00EE180C" w:rsidRPr="00BD16B4" w:rsidRDefault="00EE180C" w:rsidP="00EE180C">
      <w:pPr>
        <w:pStyle w:val="BodyText"/>
      </w:pPr>
      <w:r w:rsidRPr="00BD16B4">
        <w:rPr>
          <w:i/>
          <w:iCs/>
        </w:rPr>
        <w:t>Our Atmosphere and Climate 2020</w:t>
      </w:r>
      <w:r w:rsidRPr="00BD16B4">
        <w:t>,</w:t>
      </w:r>
      <w:r w:rsidRPr="00BD16B4">
        <w:rPr>
          <w:i/>
          <w:iCs/>
        </w:rPr>
        <w:t xml:space="preserve"> </w:t>
      </w:r>
      <w:r w:rsidRPr="00BD16B4">
        <w:t>produced under the Environmental Reporting Act 2015, reports on the state of Aotearoa New Zealand’s climate.</w:t>
      </w:r>
      <w:r w:rsidRPr="00BD16B4">
        <w:rPr>
          <w:rStyle w:val="FootnoteReference"/>
        </w:rPr>
        <w:footnoteReference w:id="446"/>
      </w:r>
      <w:r w:rsidRPr="00BD16B4">
        <w:t xml:space="preserve"> The report uses a pressure–state–impact model to present an overview of what is known about New Zealand’s climate and the role that increasing greenhouse gas concentrations play in changing climatic conditions. The report was written for a broad audience, is backed up by technical web pages and underpinned by rigorous analysis.</w:t>
      </w:r>
    </w:p>
    <w:p w14:paraId="2E513CB4" w14:textId="77777777" w:rsidR="00EE180C" w:rsidRPr="00BD16B4" w:rsidRDefault="00EE180C" w:rsidP="00EE180C">
      <w:pPr>
        <w:pStyle w:val="BodyText"/>
      </w:pPr>
      <w:r w:rsidRPr="00BD16B4">
        <w:rPr>
          <w:i/>
          <w:iCs/>
        </w:rPr>
        <w:t>Environment Aotearoa 2022</w:t>
      </w:r>
      <w:r w:rsidRPr="00BD16B4">
        <w:t xml:space="preserve"> is the latest report produced under the Environmental Reporting Act 2015. It focuses on an overall picture of New Zealand’s environment across the marine, freshwater, atmosphere and climate, land and air domains.</w:t>
      </w:r>
      <w:r w:rsidRPr="00BD16B4">
        <w:rPr>
          <w:rStyle w:val="FootnoteReference"/>
        </w:rPr>
        <w:footnoteReference w:id="447"/>
      </w:r>
      <w:r w:rsidRPr="00BD16B4">
        <w:t xml:space="preserve"> The report outlines the importance of the environment on wellbeing and includes mātauranga Māori</w:t>
      </w:r>
      <w:r w:rsidRPr="00BD16B4">
        <w:rPr>
          <w:rStyle w:val="FootnoteReference"/>
        </w:rPr>
        <w:footnoteReference w:id="448"/>
      </w:r>
      <w:r w:rsidRPr="00BD16B4">
        <w:t xml:space="preserve"> to inform future outlooks under a changing climate.</w:t>
      </w:r>
    </w:p>
    <w:p w14:paraId="7D929483" w14:textId="77777777" w:rsidR="00EE180C" w:rsidRPr="00BD16B4" w:rsidRDefault="00EE180C" w:rsidP="004E1B8C">
      <w:pPr>
        <w:pStyle w:val="Heading4"/>
      </w:pPr>
      <w:r w:rsidRPr="00BD16B4">
        <w:lastRenderedPageBreak/>
        <w:t>Jobs for Nature</w:t>
      </w:r>
    </w:p>
    <w:p w14:paraId="7B585E99" w14:textId="77777777" w:rsidR="00EE180C" w:rsidRPr="00BD16B4" w:rsidRDefault="00EE180C" w:rsidP="00EE180C">
      <w:pPr>
        <w:pStyle w:val="BodyText"/>
      </w:pPr>
      <w:r w:rsidRPr="00BD16B4">
        <w:t>Mahi mō te Taiao (Jobs for Nature) is an NZ$1.219 billion programme that manages funding across multiple government agencies to bring thousands of people into nature-based employment, benefiting te taiao (the environment) and Aotearoa New Zealand’s communities. The programme was set up in 2020 in response to the COVID-19 pandemic and will run for four years. The agencies administering the funding are the Ministry for the Environment, Department of Conservation, Ministry for Primary Industries, Toitū Te Whenua Land Information New Zealand and Ministry of Business, Innovation and Employment.</w:t>
      </w:r>
    </w:p>
    <w:p w14:paraId="0831FAE9" w14:textId="77777777" w:rsidR="00EE180C" w:rsidRPr="00BD16B4" w:rsidRDefault="00EE180C" w:rsidP="00EE180C">
      <w:pPr>
        <w:pStyle w:val="BodyText"/>
      </w:pPr>
      <w:r w:rsidRPr="00BD16B4">
        <w:t>As of June 2022, 421 projects have been approved, which support different environmental objectives including weed and pest eradication projects, capability development projects, freshwater projects and ecosystem restoration projects. As of June 2022, over 9000 people have been or are employed in a Jobs for Nature funded project. Environmental benefits achieved by the programme include 4.36 million plants planted and 1600 hectares of freshwater, riparian and wetland restoration. More details about the Jobs for Nature programme can be found on the Ministry for the Environment’s website.</w:t>
      </w:r>
      <w:r w:rsidRPr="00BD16B4">
        <w:rPr>
          <w:rStyle w:val="FootnoteReference"/>
        </w:rPr>
        <w:footnoteReference w:id="449"/>
      </w:r>
    </w:p>
    <w:p w14:paraId="007382B5" w14:textId="77777777" w:rsidR="00EE180C" w:rsidRPr="00BD16B4" w:rsidRDefault="00EE180C" w:rsidP="004E1B8C">
      <w:pPr>
        <w:pStyle w:val="Heading4"/>
      </w:pPr>
      <w:r w:rsidRPr="00BD16B4">
        <w:t>Aotearoa New Zealand’s first emissions reduction plan</w:t>
      </w:r>
    </w:p>
    <w:p w14:paraId="6A6A06DC" w14:textId="5A75E82C" w:rsidR="00EE180C" w:rsidRPr="00BD16B4" w:rsidRDefault="00EE180C" w:rsidP="00EE180C">
      <w:pPr>
        <w:pStyle w:val="BodyText"/>
      </w:pPr>
      <w:r w:rsidRPr="00BD16B4">
        <w:t>In May 2022, the Government published Aotearoa New Zealand’s first emissions reduction plan.</w:t>
      </w:r>
      <w:r w:rsidRPr="00BD16B4">
        <w:rPr>
          <w:rStyle w:val="FootnoteReference"/>
        </w:rPr>
        <w:footnoteReference w:id="450"/>
      </w:r>
      <w:r w:rsidRPr="00BD16B4">
        <w:t xml:space="preserve"> It contains strategies, policies and actions for achieving the country’s first emissions budget, as required by the Climate Change Response Act 2002. In doing so, it also outlines how</w:t>
      </w:r>
      <w:r w:rsidR="00FF28DD" w:rsidRPr="00BD16B4">
        <w:t> </w:t>
      </w:r>
      <w:r w:rsidRPr="00BD16B4">
        <w:t>New Zealand intends to play its part in global efforts to limit warming to 1.5</w:t>
      </w:r>
      <w:r w:rsidR="00FF28DD" w:rsidRPr="00BD16B4">
        <w:t>°C</w:t>
      </w:r>
      <w:r w:rsidRPr="00BD16B4">
        <w:t xml:space="preserve"> above pre</w:t>
      </w:r>
      <w:r w:rsidR="00FF28DD" w:rsidRPr="00BD16B4">
        <w:noBreakHyphen/>
      </w:r>
      <w:r w:rsidRPr="00BD16B4">
        <w:t>industrial levels. Public consultation on the draft plan is covered in section 9.5.1.</w:t>
      </w:r>
    </w:p>
    <w:p w14:paraId="00960D1A" w14:textId="7DE39092" w:rsidR="00EE180C" w:rsidRPr="00BD16B4" w:rsidRDefault="00EE180C" w:rsidP="00EE180C">
      <w:pPr>
        <w:pStyle w:val="BodyText"/>
      </w:pPr>
      <w:r w:rsidRPr="00BD16B4">
        <w:t>It is the first statutory plan, under the Climate Change Response Act 2002, to require the Government to act to reduce emissions across the economy. It supports all New Zealanders to</w:t>
      </w:r>
      <w:r w:rsidR="00FF28DD" w:rsidRPr="00BD16B4">
        <w:t> </w:t>
      </w:r>
      <w:r w:rsidRPr="00BD16B4">
        <w:t>make the most of the transition and to improve living standards.</w:t>
      </w:r>
    </w:p>
    <w:p w14:paraId="178161F5" w14:textId="2130073E" w:rsidR="00EE180C" w:rsidRPr="00BD16B4" w:rsidRDefault="00EE180C" w:rsidP="00EE180C">
      <w:pPr>
        <w:pStyle w:val="BodyText"/>
      </w:pPr>
      <w:r w:rsidRPr="00BD16B4">
        <w:t>Section 9.4.1 outlines the education and training initiatives embedded in the first emissions reduction plan.</w:t>
      </w:r>
    </w:p>
    <w:p w14:paraId="5997C0BB" w14:textId="77777777" w:rsidR="00EE180C" w:rsidRPr="00BD16B4" w:rsidRDefault="00EE180C" w:rsidP="004E1B8C">
      <w:pPr>
        <w:pStyle w:val="Heading4"/>
      </w:pPr>
      <w:r w:rsidRPr="00BD16B4">
        <w:t>Aotearoa New Zealand’s first national adaptation plan</w:t>
      </w:r>
    </w:p>
    <w:p w14:paraId="2DC9AB47" w14:textId="77777777" w:rsidR="00EE180C" w:rsidRPr="00BD16B4" w:rsidRDefault="00EE180C" w:rsidP="00EE180C">
      <w:pPr>
        <w:pStyle w:val="BodyText"/>
      </w:pPr>
      <w:r w:rsidRPr="00BD16B4">
        <w:t>In August 2022, as required by the Climate Change Response Act 2002, the Government published Aotearoa New Zealand’s first national adaptation plan.</w:t>
      </w:r>
      <w:r w:rsidRPr="00BD16B4">
        <w:rPr>
          <w:rStyle w:val="FootnoteReference"/>
        </w:rPr>
        <w:footnoteReference w:id="451"/>
      </w:r>
      <w:r w:rsidRPr="00BD16B4">
        <w:t xml:space="preserve"> The plan contains strategies, policies and actions that will help New Zealanders adapt to the changing climate and its effects, to reduce the potential harm of climate change, and seize the opportunities that arise.</w:t>
      </w:r>
    </w:p>
    <w:p w14:paraId="2CBC7CCA" w14:textId="7F4D8DE9" w:rsidR="00EE180C" w:rsidRPr="00BD16B4" w:rsidRDefault="00EE180C" w:rsidP="0098387E">
      <w:pPr>
        <w:pStyle w:val="BodyText"/>
        <w:keepLines/>
      </w:pPr>
      <w:r w:rsidRPr="00BD16B4">
        <w:lastRenderedPageBreak/>
        <w:t xml:space="preserve">This national adaptation plan is the first in a series. Every six years, He Pou a Rangi </w:t>
      </w:r>
      <w:r w:rsidR="004B1FF1" w:rsidRPr="00BD16B4">
        <w:t xml:space="preserve">– </w:t>
      </w:r>
      <w:r w:rsidRPr="00BD16B4">
        <w:t>Climate Change Commission will prepare a national climate change risk assessment. This will identify the climate risks that need to be addressed most urgently. New national adaptation plans that respond to those risks will be developed in consultation with all New Zealanders.</w:t>
      </w:r>
    </w:p>
    <w:p w14:paraId="560C1B7C" w14:textId="77777777" w:rsidR="00EE180C" w:rsidRPr="00BD16B4" w:rsidRDefault="00EE180C" w:rsidP="00EE180C">
      <w:pPr>
        <w:pStyle w:val="BodyText"/>
      </w:pPr>
      <w:r w:rsidRPr="00BD16B4">
        <w:t>The first plan focuses on getting the foundations right. It sets out what the Government will do to enable better risk-informed decisions, drive climate-resilient development in the right locations, help communities assess adaptation options (including managed retreat and nature-based solutions) enabling an equitable transition for Māori, led by Māori, and embedding climate resilience into all of the Government’s work. The plan lays out an adaptation map of significant milestones from 2018 to 2028, when the second national adaptation plan will be published. Public consultation was held on the draft plan and this is covered in section 9.5.1.</w:t>
      </w:r>
    </w:p>
    <w:p w14:paraId="2987568A" w14:textId="77777777" w:rsidR="00EE180C" w:rsidRPr="00BD16B4" w:rsidRDefault="00EE180C" w:rsidP="004E1B8C">
      <w:pPr>
        <w:pStyle w:val="Heading4"/>
      </w:pPr>
      <w:r w:rsidRPr="00BD16B4">
        <w:t xml:space="preserve">International and domestic emissions reduction targets </w:t>
      </w:r>
    </w:p>
    <w:p w14:paraId="480FB497" w14:textId="77777777" w:rsidR="00EE180C" w:rsidRPr="00BD16B4" w:rsidRDefault="00EE180C" w:rsidP="00EE180C">
      <w:pPr>
        <w:pStyle w:val="BodyText"/>
      </w:pPr>
      <w:r w:rsidRPr="00BD16B4">
        <w:t>Aotearoa New Zealand has made commitments to domestic and international emission targets.</w:t>
      </w:r>
      <w:r w:rsidRPr="00BD16B4">
        <w:rPr>
          <w:rStyle w:val="FootnoteReference"/>
        </w:rPr>
        <w:footnoteReference w:id="452"/>
      </w:r>
      <w:r w:rsidRPr="00BD16B4">
        <w:t xml:space="preserve"> Domestic targets are targets</w:t>
      </w:r>
      <w:r w:rsidRPr="00BD16B4" w:rsidDel="00E35D64">
        <w:t xml:space="preserve"> </w:t>
      </w:r>
      <w:r w:rsidRPr="00BD16B4">
        <w:t xml:space="preserve">that New Zealand decided as part of its domestic policy decisions. International targets are </w:t>
      </w:r>
      <w:r w:rsidRPr="00BD16B4" w:rsidDel="00E35D64">
        <w:t xml:space="preserve">targets </w:t>
      </w:r>
      <w:r w:rsidRPr="00BD16B4">
        <w:t>that New Zealand accepted as part of international climate change agreements.</w:t>
      </w:r>
    </w:p>
    <w:p w14:paraId="78AD6D20" w14:textId="0723393D" w:rsidR="00EE180C" w:rsidRPr="00BD16B4" w:rsidRDefault="00EE180C" w:rsidP="00EE180C">
      <w:pPr>
        <w:pStyle w:val="BodyText"/>
      </w:pPr>
      <w:r w:rsidRPr="00BD16B4">
        <w:t>Domestically, New Zealand has reported progress towards the 2020 target in the net position report.</w:t>
      </w:r>
      <w:r w:rsidRPr="00BD16B4">
        <w:rPr>
          <w:rStyle w:val="FootnoteReference"/>
        </w:rPr>
        <w:footnoteReference w:id="453"/>
      </w:r>
      <w:r w:rsidRPr="00BD16B4">
        <w:t xml:space="preserve"> New Zealand is on track to meet this target, with more detail being provided in the fifth biennial report</w:t>
      </w:r>
      <w:r w:rsidRPr="00BD16B4">
        <w:rPr>
          <w:rStyle w:val="FootnoteReference"/>
        </w:rPr>
        <w:footnoteReference w:id="454"/>
      </w:r>
      <w:r w:rsidRPr="00BD16B4">
        <w:t xml:space="preserve"> submitted to the UNFCCC at the same time as this eighth national communication.</w:t>
      </w:r>
    </w:p>
    <w:p w14:paraId="30406055" w14:textId="77777777" w:rsidR="00EE180C" w:rsidRPr="00BD16B4" w:rsidRDefault="00EE180C" w:rsidP="00EE180C">
      <w:pPr>
        <w:pStyle w:val="BodyText"/>
      </w:pPr>
      <w:r w:rsidRPr="00BD16B4">
        <w:t>In 2015, New Zealand met a previous target under the Kyoto Protocol first commitment period of reducing greenhouse gas emissions to 1990 levels between 2008 and 2012. The accounting for this target was included in New Zealand’s True-up Report</w:t>
      </w:r>
      <w:r w:rsidRPr="00BD16B4">
        <w:rPr>
          <w:rStyle w:val="FootnoteReference"/>
        </w:rPr>
        <w:footnoteReference w:id="455"/>
      </w:r>
      <w:r w:rsidRPr="00BD16B4">
        <w:t xml:space="preserve"> submitted to the UNFCCC in December 2015.</w:t>
      </w:r>
    </w:p>
    <w:p w14:paraId="49547177" w14:textId="357CCAC8" w:rsidR="00EE180C" w:rsidRPr="00BD16B4" w:rsidRDefault="00EE180C" w:rsidP="00EE180C">
      <w:pPr>
        <w:pStyle w:val="BodyText"/>
      </w:pPr>
      <w:r w:rsidRPr="00BD16B4">
        <w:t xml:space="preserve">New Zealand’s first NDC (NDC1) was updated on 31 October 2021 and covers the period </w:t>
      </w:r>
      <w:r w:rsidRPr="00BD16B4">
        <w:br/>
        <w:t>2021–30. In addition to containing detail on the scope and coverage of New Zealand’s 2030 target, the NDC1 is accompanied by information to facilitate clarity, transparency and understanding that is requested from all countries under the Paris Agreement. More information about the NDC1 is on the Ministry for the Environment’s website.</w:t>
      </w:r>
      <w:r w:rsidRPr="00BD16B4">
        <w:rPr>
          <w:rStyle w:val="FootnoteReference"/>
        </w:rPr>
        <w:footnoteReference w:id="456"/>
      </w:r>
    </w:p>
    <w:p w14:paraId="4791C1D7" w14:textId="77777777" w:rsidR="00EE180C" w:rsidRPr="00BD16B4" w:rsidRDefault="00EE180C" w:rsidP="00EE180C">
      <w:pPr>
        <w:pStyle w:val="BodyText"/>
      </w:pPr>
      <w:r w:rsidRPr="00BD16B4">
        <w:t>The Ministry for the Environment provides general information about the New Zealand Emissions Trading Scheme (NZ ETS) on its website. It describes how the NZ ETS works and how it links with New Zealand’s international climate change commitments.</w:t>
      </w:r>
      <w:r w:rsidRPr="00BD16B4">
        <w:rPr>
          <w:rStyle w:val="FootnoteReference"/>
        </w:rPr>
        <w:footnoteReference w:id="457"/>
      </w:r>
    </w:p>
    <w:p w14:paraId="3DC62641" w14:textId="2750E706" w:rsidR="00EE180C" w:rsidRPr="00BD16B4" w:rsidRDefault="00EE180C" w:rsidP="00EE180C">
      <w:pPr>
        <w:pStyle w:val="BodyText"/>
      </w:pPr>
      <w:r w:rsidRPr="00BD16B4">
        <w:lastRenderedPageBreak/>
        <w:t>The Environmental Protection Authority</w:t>
      </w:r>
      <w:r w:rsidR="004F3306" w:rsidRPr="00BD16B4">
        <w:t xml:space="preserve"> – Te Mana Rauhī Taiao</w:t>
      </w:r>
      <w:r w:rsidRPr="00BD16B4">
        <w:t>, which is responsible for the administration of the NZ ETS, also provides information on its website.</w:t>
      </w:r>
      <w:r w:rsidRPr="00BD16B4">
        <w:rPr>
          <w:rStyle w:val="FootnoteReference"/>
        </w:rPr>
        <w:footnoteReference w:id="458"/>
      </w:r>
      <w:r w:rsidRPr="00BD16B4">
        <w:t xml:space="preserve"> For more on the Authority’s role, see </w:t>
      </w:r>
      <w:r w:rsidR="004F3306" w:rsidRPr="00BD16B4">
        <w:t xml:space="preserve">section 2.4.3 and </w:t>
      </w:r>
      <w:r w:rsidRPr="00BD16B4">
        <w:t>section 9.</w:t>
      </w:r>
      <w:r w:rsidR="004F3306" w:rsidRPr="00BD16B4">
        <w:t>4</w:t>
      </w:r>
      <w:r w:rsidRPr="00BD16B4">
        <w:t>.</w:t>
      </w:r>
      <w:r w:rsidR="004F3306" w:rsidRPr="00BD16B4">
        <w:t>3</w:t>
      </w:r>
      <w:r w:rsidRPr="00BD16B4">
        <w:t xml:space="preserve">. </w:t>
      </w:r>
    </w:p>
    <w:p w14:paraId="75B65A96" w14:textId="77777777" w:rsidR="00EE180C" w:rsidRPr="00BD16B4" w:rsidRDefault="00EE180C" w:rsidP="004E1B8C">
      <w:pPr>
        <w:pStyle w:val="Heading4"/>
      </w:pPr>
      <w:r w:rsidRPr="00BD16B4">
        <w:t xml:space="preserve">New Zealand’s Greenhouse Gas Inventory </w:t>
      </w:r>
    </w:p>
    <w:p w14:paraId="6FBE1790" w14:textId="77777777" w:rsidR="00EE180C" w:rsidRPr="00BD16B4" w:rsidRDefault="00EE180C" w:rsidP="00EE180C">
      <w:pPr>
        <w:pStyle w:val="BodyText"/>
      </w:pPr>
      <w:r w:rsidRPr="00BD16B4">
        <w:t xml:space="preserve">The New Zealand Government provides full transparency regarding its international greenhouse gas reporting. The annual report </w:t>
      </w:r>
      <w:r w:rsidRPr="00BD16B4">
        <w:rPr>
          <w:i/>
          <w:iCs/>
        </w:rPr>
        <w:t>New Zealand’s Greenhouse Gas Inventory</w:t>
      </w:r>
      <w:r w:rsidRPr="00BD16B4">
        <w:t xml:space="preserve"> (the inventory) and the inventory data in tabular format are available to the public on the Ministry for the Environment’s website.</w:t>
      </w:r>
      <w:r w:rsidRPr="00BD16B4">
        <w:rPr>
          <w:rStyle w:val="FootnoteReference"/>
        </w:rPr>
        <w:footnoteReference w:id="459"/>
      </w:r>
      <w:r w:rsidRPr="00BD16B4">
        <w:t xml:space="preserve"> </w:t>
      </w:r>
    </w:p>
    <w:p w14:paraId="6A9ADEE1" w14:textId="77777777" w:rsidR="00EE180C" w:rsidRPr="00BD16B4" w:rsidRDefault="00EE180C" w:rsidP="00EE180C">
      <w:pPr>
        <w:pStyle w:val="BodyText"/>
      </w:pPr>
      <w:r w:rsidRPr="00BD16B4">
        <w:t xml:space="preserve">Every year, in conjunction with the inventory’s release, the New Zealand Government publishes the </w:t>
      </w:r>
      <w:r w:rsidRPr="00BD16B4">
        <w:rPr>
          <w:i/>
          <w:iCs/>
        </w:rPr>
        <w:t>Te Rārangi Haurehu Kati Mahana a Aotearoa 1990–2020 – He whakarāpopoto</w:t>
      </w:r>
      <w:r w:rsidRPr="00BD16B4">
        <w:t xml:space="preserve"> </w:t>
      </w:r>
      <w:r w:rsidRPr="00BD16B4">
        <w:rPr>
          <w:i/>
          <w:iCs/>
        </w:rPr>
        <w:t>New Zealand’s Greenhouse Gas Inventory 1990–2020 snapshot</w:t>
      </w:r>
      <w:r w:rsidRPr="00BD16B4">
        <w:t xml:space="preserve"> on the Ministry for the Environment’s website.</w:t>
      </w:r>
      <w:r w:rsidRPr="00BD16B4">
        <w:rPr>
          <w:rStyle w:val="FootnoteReference"/>
        </w:rPr>
        <w:footnoteReference w:id="460"/>
      </w:r>
      <w:r w:rsidRPr="00BD16B4">
        <w:t xml:space="preserve"> The snapshot summarises the inventory and how it is used to monitor progress towards Aotearoa New Zealand’s emissions reduction targets, with plain English descriptions and easy-to-read graphs. Because the inventory is a large, technical document, producing a summary makes the information more accessible to a wider audience. The snapshot covers the sources of emissions, yearly changes and trends, comparisons with other countries, and New Zealand’s latest net position (a domestic report on how the country is tracking towards meeting its emissions reduction targets).</w:t>
      </w:r>
      <w:r w:rsidRPr="00BD16B4">
        <w:rPr>
          <w:rStyle w:val="FootnoteReference"/>
        </w:rPr>
        <w:footnoteReference w:id="461"/>
      </w:r>
    </w:p>
    <w:p w14:paraId="52654969" w14:textId="77777777" w:rsidR="00EE180C" w:rsidRPr="00BD16B4" w:rsidRDefault="00EE180C" w:rsidP="00EE180C">
      <w:pPr>
        <w:pStyle w:val="BodyText"/>
      </w:pPr>
      <w:r w:rsidRPr="00BD16B4">
        <w:t>In addition to the snapshot, the Ministry for the Environment maintains a visual online tool (New Zealand’s Interactive Emissions Tracker).</w:t>
      </w:r>
      <w:r w:rsidRPr="00BD16B4">
        <w:rPr>
          <w:rStyle w:val="FootnoteReference"/>
        </w:rPr>
        <w:footnoteReference w:id="462"/>
      </w:r>
      <w:r w:rsidRPr="00BD16B4">
        <w:t xml:space="preserve"> The aim of the tool is to improve the accessibility of New Zealand’s greenhouse gas statistics by providing the latest inventory data in a user-friendly format. The emissions tracker allows anyone to access and manipulate the data in the latest inventory. With the emissions tracker, the user can: easily and quickly see how New Zealand’s emissions have changed over the years; filter data by year, sector, category and gas type, or use the search function for specific queries; view the data in a table format or in graphs; and export csv files.</w:t>
      </w:r>
    </w:p>
    <w:p w14:paraId="12BE1BA9" w14:textId="77777777" w:rsidR="00EE180C" w:rsidRPr="00BD16B4" w:rsidRDefault="00EE180C" w:rsidP="004E1B8C">
      <w:pPr>
        <w:pStyle w:val="Heading4"/>
      </w:pPr>
      <w:r w:rsidRPr="00BD16B4">
        <w:t>Quarterly estimates of New Zealand’s greenhouse gas emissions</w:t>
      </w:r>
    </w:p>
    <w:p w14:paraId="2237E60F" w14:textId="77777777" w:rsidR="00EE180C" w:rsidRPr="00BD16B4" w:rsidRDefault="00EE180C" w:rsidP="00EE180C">
      <w:pPr>
        <w:pStyle w:val="BodyText"/>
      </w:pPr>
      <w:r w:rsidRPr="00BD16B4">
        <w:t>Stats NZ provides quarterly estimates of emissions produced by Aotearoa New Zealand residents, which can be used to track emissions in relation to economic activity (gross domestic product) and other economic statistics.</w:t>
      </w:r>
    </w:p>
    <w:p w14:paraId="558181C0" w14:textId="77777777" w:rsidR="00EE180C" w:rsidRPr="00BD16B4" w:rsidRDefault="00EE180C" w:rsidP="00EE180C">
      <w:pPr>
        <w:pStyle w:val="BodyText"/>
      </w:pPr>
      <w:r w:rsidRPr="00BD16B4">
        <w:t>The System of Environmental Economic Accounting production-based emissions estimates transforms the inventory data to be consistent with economic classifications and concepts. It does this by changing the unit of analysis (from process to industry) and applying the residency principle (as opposed to the inventory, which uses the territory principle).</w:t>
      </w:r>
    </w:p>
    <w:p w14:paraId="645B7458" w14:textId="77777777" w:rsidR="00EE180C" w:rsidRPr="00BD16B4" w:rsidRDefault="00EE180C" w:rsidP="00EE180C">
      <w:pPr>
        <w:pStyle w:val="BodyText"/>
      </w:pPr>
      <w:r w:rsidRPr="00BD16B4">
        <w:lastRenderedPageBreak/>
        <w:t>While the Stats NZ experimental quarterly estimates are provisional only, trends can be derived earlier than the release of the inventory (which has a 15-month lag period). The quarterly estimates are released with a three-to-four-month lag. More information about the quarterly estimates of emissions can be found on the Stats NZ website.</w:t>
      </w:r>
      <w:r w:rsidRPr="00BD16B4">
        <w:rPr>
          <w:rStyle w:val="FootnoteReference"/>
        </w:rPr>
        <w:footnoteReference w:id="463"/>
      </w:r>
    </w:p>
    <w:p w14:paraId="238B4CC1" w14:textId="77777777" w:rsidR="00EE180C" w:rsidRPr="00BD16B4" w:rsidRDefault="00EE180C" w:rsidP="00EE180C">
      <w:pPr>
        <w:pStyle w:val="Heading3"/>
      </w:pPr>
      <w:r w:rsidRPr="00BD16B4">
        <w:t>9.3.2</w:t>
      </w:r>
      <w:r w:rsidRPr="00BD16B4">
        <w:tab/>
        <w:t>Information for businesses</w:t>
      </w:r>
    </w:p>
    <w:p w14:paraId="320C5A76" w14:textId="77777777" w:rsidR="00EE180C" w:rsidRPr="00BD16B4" w:rsidRDefault="00EE180C" w:rsidP="004E1B8C">
      <w:pPr>
        <w:pStyle w:val="Heading4"/>
      </w:pPr>
      <w:r w:rsidRPr="00BD16B4">
        <w:t>New Zealand Emissions Trading Scheme</w:t>
      </w:r>
    </w:p>
    <w:p w14:paraId="1EF72C3F" w14:textId="77777777" w:rsidR="00EE180C" w:rsidRPr="00BD16B4" w:rsidRDefault="00EE180C" w:rsidP="00EE180C">
      <w:pPr>
        <w:pStyle w:val="BodyText"/>
        <w:keepLines/>
      </w:pPr>
      <w:r w:rsidRPr="00BD16B4">
        <w:t xml:space="preserve">Ongoing communication about participants’ obligations and the development of the NZ ETS is important for participants in the scheme and other affected businesses. As the lead policy agency for climate change, the Ministry for the Environment provides regular updates on NZ ETS policy developments and how these affect participants. </w:t>
      </w:r>
    </w:p>
    <w:p w14:paraId="0B693C64" w14:textId="77777777" w:rsidR="00EE180C" w:rsidRPr="00BD16B4" w:rsidRDefault="00EE180C" w:rsidP="00EE180C">
      <w:pPr>
        <w:pStyle w:val="BodyText"/>
        <w:rPr>
          <w:rStyle w:val="FootnoteReference"/>
        </w:rPr>
      </w:pPr>
      <w:r w:rsidRPr="00BD16B4">
        <w:t>As the main administering agency, the Environmental Protection Authority provides guidance material for participants in the scheme. Resources and publications are provided on the Authority’s website.</w:t>
      </w:r>
      <w:r w:rsidRPr="00BD16B4">
        <w:rPr>
          <w:rStyle w:val="FootnoteReference"/>
        </w:rPr>
        <w:footnoteReference w:id="464"/>
      </w:r>
      <w:r w:rsidRPr="00BD16B4">
        <w:t xml:space="preserve"> Participants also receive updates and notifications from the New Zealand Emissions Trading Register</w:t>
      </w:r>
      <w:r w:rsidRPr="00BD16B4">
        <w:rPr>
          <w:color w:val="0000FF"/>
        </w:rPr>
        <w:t>.</w:t>
      </w:r>
      <w:r w:rsidRPr="00BD16B4">
        <w:rPr>
          <w:rStyle w:val="FootnoteReference"/>
        </w:rPr>
        <w:footnoteReference w:id="465"/>
      </w:r>
    </w:p>
    <w:p w14:paraId="5F3E7116" w14:textId="77777777" w:rsidR="00EE180C" w:rsidRPr="00BD16B4" w:rsidRDefault="00EE180C" w:rsidP="00EE180C">
      <w:pPr>
        <w:pStyle w:val="BodyText"/>
      </w:pPr>
      <w:r w:rsidRPr="00BD16B4">
        <w:t>NZ ETS obligations for the forestry sector are administered by the Ministry for Primary Industries. Information about NZ ETS obligations for these sectors is available on the Ministry for Primary Industries’ website. It also offers information and guidance for forestry participants, including detailed information bulletins and updates.</w:t>
      </w:r>
      <w:r w:rsidRPr="00BD16B4">
        <w:rPr>
          <w:rStyle w:val="FootnoteReference"/>
        </w:rPr>
        <w:footnoteReference w:id="466"/>
      </w:r>
      <w:r w:rsidRPr="00BD16B4">
        <w:t xml:space="preserve"> Proactive outreach is undertaken for significant legislative obligations. </w:t>
      </w:r>
    </w:p>
    <w:p w14:paraId="79855200" w14:textId="77777777" w:rsidR="00EE180C" w:rsidRPr="00BD16B4" w:rsidRDefault="00EE180C" w:rsidP="00EE180C">
      <w:pPr>
        <w:pStyle w:val="BodyText"/>
      </w:pPr>
      <w:r w:rsidRPr="00BD16B4">
        <w:t>As the NZ ETS has developed, the Government has carried out consultation with the public and affected businesses on many issues and proposals (consultation with the public is discussed further in section 9.5.1). When changes are made, newsletters or factsheets are often produced to inform affected businesses, and general information is available on the Ministry for the Environment’s website. Similarly, as regulations affecting specific sectors have been introduced and amended over time, information and materials have been provided to affected groups. Much of this material is available online.</w:t>
      </w:r>
      <w:r w:rsidRPr="00BD16B4">
        <w:rPr>
          <w:rStyle w:val="FootnoteReference"/>
        </w:rPr>
        <w:footnoteReference w:id="467"/>
      </w:r>
    </w:p>
    <w:p w14:paraId="0AA7B141" w14:textId="77777777" w:rsidR="00EE180C" w:rsidRPr="00BD16B4" w:rsidRDefault="00EE180C" w:rsidP="004E1B8C">
      <w:pPr>
        <w:pStyle w:val="Heading4"/>
      </w:pPr>
      <w:r w:rsidRPr="00BD16B4">
        <w:t>Carbon Neutral Government Programme</w:t>
      </w:r>
    </w:p>
    <w:p w14:paraId="5E47C9C7" w14:textId="77777777" w:rsidR="00EE180C" w:rsidRPr="00BD16B4" w:rsidRDefault="00EE180C" w:rsidP="00EE180C">
      <w:pPr>
        <w:pStyle w:val="BodyText"/>
      </w:pPr>
      <w:r w:rsidRPr="00BD16B4">
        <w:t>The Carbon Neutral Government Programme (CNGP) was set up by the New Zealand Government to accelerate the reduction of emissions within the public sector. The programme’s aim is to make several organisations within the public sector carbon neutral from 2025. It was launched in December 2020. Information about the programme is available on the Ministry for the Environment’s website.</w:t>
      </w:r>
      <w:r w:rsidRPr="00BD16B4">
        <w:rPr>
          <w:rStyle w:val="FootnoteReference"/>
        </w:rPr>
        <w:footnoteReference w:id="468"/>
      </w:r>
    </w:p>
    <w:p w14:paraId="0314B5DB" w14:textId="77777777" w:rsidR="00EE180C" w:rsidRPr="00BD16B4" w:rsidRDefault="00EE180C" w:rsidP="00824977">
      <w:pPr>
        <w:pStyle w:val="BodyText"/>
        <w:spacing w:before="100" w:after="100"/>
      </w:pPr>
      <w:r w:rsidRPr="00BD16B4">
        <w:lastRenderedPageBreak/>
        <w:t>The CNGP has published guidance for CNGP organisations on measuring and reporting their greenhouse gas emissions.</w:t>
      </w:r>
      <w:r w:rsidRPr="00BD16B4">
        <w:rPr>
          <w:rStyle w:val="FootnoteReference"/>
        </w:rPr>
        <w:footnoteReference w:id="469"/>
      </w:r>
      <w:r w:rsidRPr="00BD16B4">
        <w:t xml:space="preserve"> It includes information on what sources of greenhouse gas emissions organisations need to collect data for, standards to follow, methods for calculating emissions, the required information to report, who to report to and by when.</w:t>
      </w:r>
    </w:p>
    <w:p w14:paraId="4C914EE0" w14:textId="77777777" w:rsidR="00EE180C" w:rsidRPr="00BD16B4" w:rsidRDefault="00EE180C" w:rsidP="00824977">
      <w:pPr>
        <w:pStyle w:val="Heading4"/>
        <w:spacing w:before="200"/>
      </w:pPr>
      <w:r w:rsidRPr="00BD16B4">
        <w:t>Building for Climate Change programme</w:t>
      </w:r>
    </w:p>
    <w:p w14:paraId="7D8BC9AE" w14:textId="327C7189" w:rsidR="00EE180C" w:rsidRPr="00BD16B4" w:rsidRDefault="00EE180C" w:rsidP="00824977">
      <w:pPr>
        <w:pStyle w:val="BodyText"/>
        <w:spacing w:before="100" w:after="100"/>
      </w:pPr>
      <w:r w:rsidRPr="00BD16B4">
        <w:t xml:space="preserve">The building and construction sector is a significant contributor to greenhouse gas emissions. These are emitted when building materials are produced, buildings are constructed, and energy is used in buildings during their operation. If Aotearoa New Zealand is to achieve its climate change goals, including net zero </w:t>
      </w:r>
      <w:r w:rsidR="007D09F1" w:rsidRPr="00BD16B4">
        <w:t xml:space="preserve">long-lived </w:t>
      </w:r>
      <w:r w:rsidRPr="00BD16B4">
        <w:t>emissions by 2050, the building and construction sector must play its part.</w:t>
      </w:r>
    </w:p>
    <w:p w14:paraId="76C5150A" w14:textId="77777777" w:rsidR="00EE180C" w:rsidRPr="00BD16B4" w:rsidRDefault="00EE180C" w:rsidP="00824977">
      <w:pPr>
        <w:pStyle w:val="BodyText"/>
        <w:keepLines/>
        <w:spacing w:before="100" w:after="100"/>
      </w:pPr>
      <w:r w:rsidRPr="00BD16B4">
        <w:t>The Building for Climate Change programme</w:t>
      </w:r>
      <w:r w:rsidRPr="00BD16B4">
        <w:rPr>
          <w:rStyle w:val="FootnoteReference"/>
        </w:rPr>
        <w:footnoteReference w:id="470"/>
      </w:r>
      <w:r w:rsidRPr="00BD16B4">
        <w:t xml:space="preserve"> is a long-term work programme run by the Ministry of Business, Innovation and Employment. Its aim is to reduce emissions from constructing and operating buildings and to make sure buildings are resilient to the future effects of climate change. More information about the Building for Climate Change programme can be found on the Building Performance website.</w:t>
      </w:r>
      <w:r w:rsidRPr="00BD16B4">
        <w:rPr>
          <w:rStyle w:val="FootnoteReference"/>
        </w:rPr>
        <w:footnoteReference w:id="471"/>
      </w:r>
    </w:p>
    <w:p w14:paraId="01C51227" w14:textId="77777777" w:rsidR="00EE180C" w:rsidRPr="00BD16B4" w:rsidRDefault="00EE180C" w:rsidP="00824977">
      <w:pPr>
        <w:pStyle w:val="Heading4"/>
        <w:spacing w:before="200"/>
        <w:rPr>
          <w:highlight w:val="yellow"/>
        </w:rPr>
      </w:pPr>
      <w:r w:rsidRPr="00BD16B4">
        <w:t xml:space="preserve">Voluntary greenhouse gas reporting </w:t>
      </w:r>
    </w:p>
    <w:p w14:paraId="00561CD7" w14:textId="77777777" w:rsidR="00EE180C" w:rsidRPr="00BD16B4" w:rsidRDefault="00EE180C" w:rsidP="00824977">
      <w:pPr>
        <w:pStyle w:val="BodyText"/>
        <w:spacing w:before="100" w:after="100"/>
      </w:pPr>
      <w:r w:rsidRPr="00BD16B4">
        <w:t xml:space="preserve">The </w:t>
      </w:r>
      <w:r w:rsidRPr="00BD16B4">
        <w:rPr>
          <w:i/>
          <w:iCs/>
        </w:rPr>
        <w:t>Measuring emissions guide: A guide for organisations</w:t>
      </w:r>
      <w:r w:rsidRPr="00BD16B4">
        <w:t xml:space="preserve"> (previously called ‘guidance for voluntary greenhouse gas reporting’) was first introduced in 2008 and has been updated regularly. It has been prepared in response to increasing demand from organisations for guidance on how to compile a corporate greenhouse gas inventory. It is updated regularly to be the reference point, providing standard emission factors that are needed for measuring and reporting an organisation’s greenhouse gas emissions. It provides technical calculations, methodologies, example reports and inventories, and a calculation tool.</w:t>
      </w:r>
    </w:p>
    <w:p w14:paraId="029D2034" w14:textId="77777777" w:rsidR="00EE180C" w:rsidRPr="00BD16B4" w:rsidRDefault="00EE180C" w:rsidP="00824977">
      <w:pPr>
        <w:pStyle w:val="BodyText"/>
        <w:spacing w:before="100" w:after="100"/>
      </w:pPr>
      <w:r w:rsidRPr="00BD16B4">
        <w:t>The guide is primarily for commercial and industrial organisations that wish to understand how to report their greenhouse gas emissions. It is also applicable, however, to other types of organisations with operations that give rise to greenhouse gas emissions (eg, non</w:t>
      </w:r>
      <w:r w:rsidRPr="00BD16B4">
        <w:noBreakHyphen/>
        <w:t>governmental organisations, government agencies and universities). Members of the CNGP use the standard emission factors provided as part of the guidance to measure and report emissions across government.</w:t>
      </w:r>
    </w:p>
    <w:p w14:paraId="60E928ED" w14:textId="77777777" w:rsidR="00EE180C" w:rsidRPr="00BD16B4" w:rsidRDefault="00EE180C" w:rsidP="00824977">
      <w:pPr>
        <w:pStyle w:val="BodyText"/>
        <w:spacing w:before="100" w:after="100"/>
      </w:pPr>
      <w:r w:rsidRPr="00BD16B4">
        <w:t>The guidance encourages best practice in greenhouse gas reporting, based on the greenhouse gas protocol and ISO standards, and supports voluntary reporting initiatives. The guidance is available on the Ministry for the Environment’s website.</w:t>
      </w:r>
      <w:r w:rsidRPr="00BD16B4">
        <w:rPr>
          <w:rStyle w:val="FootnoteReference"/>
        </w:rPr>
        <w:footnoteReference w:id="472"/>
      </w:r>
    </w:p>
    <w:p w14:paraId="6BD3E4F8" w14:textId="77777777" w:rsidR="00EE180C" w:rsidRPr="00BD16B4" w:rsidRDefault="00EE180C" w:rsidP="004E1B8C">
      <w:pPr>
        <w:pStyle w:val="Heading4"/>
      </w:pPr>
      <w:r w:rsidRPr="00BD16B4">
        <w:t>Voluntary climate change mitigation</w:t>
      </w:r>
    </w:p>
    <w:p w14:paraId="3B03F78E" w14:textId="77777777" w:rsidR="00EE180C" w:rsidRPr="00BD16B4" w:rsidRDefault="00EE180C" w:rsidP="00824977">
      <w:pPr>
        <w:pStyle w:val="BodyText"/>
        <w:spacing w:before="100" w:after="100"/>
      </w:pPr>
      <w:r w:rsidRPr="00BD16B4">
        <w:t>The Ministry for the Environment provides principle-based guidance for organisations to follow when making claims for voluntary action taken to reduce or remove greenhouse gas emissions outside the boundary of their organisation.</w:t>
      </w:r>
    </w:p>
    <w:p w14:paraId="223CC6FF" w14:textId="5D6E97F7" w:rsidR="00EE180C" w:rsidRPr="00BD16B4" w:rsidRDefault="00EE180C" w:rsidP="00DE238A">
      <w:pPr>
        <w:pStyle w:val="BodyText"/>
        <w:spacing w:before="100" w:after="100" w:line="270" w:lineRule="atLeast"/>
      </w:pPr>
      <w:r w:rsidRPr="00BD16B4">
        <w:lastRenderedPageBreak/>
        <w:t>Best practice for voluntary carbon markets internationally is evolving, with the transition into</w:t>
      </w:r>
      <w:r w:rsidR="00C236E0" w:rsidRPr="00BD16B4">
        <w:t> </w:t>
      </w:r>
      <w:r w:rsidRPr="00BD16B4">
        <w:t>the Paris Agreement era. The guidance is interim and will be reviewed to ensure it remains</w:t>
      </w:r>
      <w:r w:rsidR="00C236E0" w:rsidRPr="00BD16B4">
        <w:t> </w:t>
      </w:r>
      <w:r w:rsidRPr="00BD16B4">
        <w:t>relevant for organisations in Aotearoa New Zealand undertaking voluntary climate change mitigation.</w:t>
      </w:r>
    </w:p>
    <w:p w14:paraId="10AAF843" w14:textId="77777777" w:rsidR="00EE180C" w:rsidRPr="00BD16B4" w:rsidRDefault="00EE180C" w:rsidP="00E415FF">
      <w:pPr>
        <w:pStyle w:val="BodyText"/>
        <w:spacing w:before="100" w:after="100"/>
      </w:pPr>
      <w:r w:rsidRPr="00BD16B4">
        <w:t xml:space="preserve">The latest guidance, </w:t>
      </w:r>
      <w:r w:rsidRPr="00BD16B4">
        <w:rPr>
          <w:i/>
          <w:iCs/>
        </w:rPr>
        <w:t>Interim guidance for voluntary climate change mitigation</w:t>
      </w:r>
      <w:r w:rsidRPr="00BD16B4">
        <w:t>,</w:t>
      </w:r>
      <w:r w:rsidRPr="00BD16B4">
        <w:rPr>
          <w:rStyle w:val="FootnoteReference"/>
        </w:rPr>
        <w:footnoteReference w:id="473"/>
      </w:r>
      <w:r w:rsidRPr="00BD16B4">
        <w:t xml:space="preserve"> replaces all previous guidance.</w:t>
      </w:r>
    </w:p>
    <w:p w14:paraId="0A02CABB" w14:textId="77777777" w:rsidR="00EE180C" w:rsidRPr="00BD16B4" w:rsidRDefault="00EE180C" w:rsidP="00824977">
      <w:pPr>
        <w:pStyle w:val="Heading3"/>
        <w:spacing w:before="240" w:line="240" w:lineRule="auto"/>
      </w:pPr>
      <w:r w:rsidRPr="00BD16B4">
        <w:t>9.3.3</w:t>
      </w:r>
      <w:r w:rsidRPr="00BD16B4">
        <w:tab/>
        <w:t>Information for local government</w:t>
      </w:r>
    </w:p>
    <w:p w14:paraId="282817BD" w14:textId="77777777" w:rsidR="00EE180C" w:rsidRPr="00BD16B4" w:rsidRDefault="00EE180C" w:rsidP="00E415FF">
      <w:pPr>
        <w:pStyle w:val="BodyText"/>
        <w:spacing w:before="100" w:after="100"/>
      </w:pPr>
      <w:r w:rsidRPr="00BD16B4">
        <w:t>The Ministry for the Environment has published guidance to provide local government with information about the predicted effects of climate change. These are:</w:t>
      </w:r>
    </w:p>
    <w:p w14:paraId="25238328" w14:textId="77777777" w:rsidR="00EE180C" w:rsidRPr="00BD16B4" w:rsidRDefault="00EE180C" w:rsidP="00E415FF">
      <w:pPr>
        <w:pStyle w:val="Bullet"/>
        <w:spacing w:after="100"/>
      </w:pPr>
      <w:r w:rsidRPr="00BD16B4">
        <w:rPr>
          <w:i/>
          <w:iCs/>
        </w:rPr>
        <w:t>Climate Change Projections for New Zealand</w:t>
      </w:r>
      <w:r w:rsidRPr="00BD16B4">
        <w:t xml:space="preserve"> (September 2018)</w:t>
      </w:r>
      <w:r w:rsidRPr="00BD16B4">
        <w:rPr>
          <w:rStyle w:val="FootnoteReference"/>
        </w:rPr>
        <w:footnoteReference w:id="474"/>
      </w:r>
      <w:r w:rsidRPr="00BD16B4">
        <w:t xml:space="preserve"> </w:t>
      </w:r>
    </w:p>
    <w:p w14:paraId="5E6B52AC" w14:textId="77777777" w:rsidR="00EE180C" w:rsidRPr="00BD16B4" w:rsidRDefault="00EE180C" w:rsidP="00E415FF">
      <w:pPr>
        <w:pStyle w:val="Bullet"/>
        <w:spacing w:after="100"/>
      </w:pPr>
      <w:r w:rsidRPr="00BD16B4">
        <w:rPr>
          <w:i/>
          <w:iCs/>
        </w:rPr>
        <w:t>Coastal hazards and climate change: Guidance for Local Government</w:t>
      </w:r>
      <w:r w:rsidRPr="00BD16B4">
        <w:rPr>
          <w:rStyle w:val="FootnoteReference"/>
          <w:i/>
          <w:iCs/>
        </w:rPr>
        <w:t xml:space="preserve"> </w:t>
      </w:r>
      <w:r w:rsidRPr="00BD16B4">
        <w:t>(December 2017).</w:t>
      </w:r>
      <w:r w:rsidRPr="00BD16B4">
        <w:rPr>
          <w:rStyle w:val="FootnoteReference"/>
        </w:rPr>
        <w:footnoteReference w:id="475"/>
      </w:r>
      <w:r w:rsidRPr="00BD16B4">
        <w:rPr>
          <w:rStyle w:val="FootnoteReference"/>
        </w:rPr>
        <w:t xml:space="preserve"> </w:t>
      </w:r>
      <w:r w:rsidRPr="00BD16B4">
        <w:t xml:space="preserve">The coastal hazards guidance will be updated in early 2023 </w:t>
      </w:r>
    </w:p>
    <w:p w14:paraId="564F72B7" w14:textId="77777777" w:rsidR="00EE180C" w:rsidRPr="00BD16B4" w:rsidRDefault="00EE180C" w:rsidP="00E415FF">
      <w:pPr>
        <w:pStyle w:val="Bullet"/>
        <w:spacing w:after="100"/>
      </w:pPr>
      <w:r w:rsidRPr="00BD16B4">
        <w:rPr>
          <w:i/>
          <w:iCs/>
        </w:rPr>
        <w:t>Interim guidance on the use of new sea-level rise projections</w:t>
      </w:r>
      <w:r w:rsidRPr="00BD16B4">
        <w:t>.</w:t>
      </w:r>
      <w:r w:rsidRPr="00BD16B4">
        <w:rPr>
          <w:rStyle w:val="FootnoteReference"/>
        </w:rPr>
        <w:footnoteReference w:id="476"/>
      </w:r>
      <w:r w:rsidRPr="00BD16B4">
        <w:t xml:space="preserve"> This guidance supersedes parts of the 2017 coastal hazards guidance. A summary report was developed to present the key information in a more accessible format</w:t>
      </w:r>
      <w:r w:rsidRPr="00BD16B4">
        <w:rPr>
          <w:rStyle w:val="FootnoteReference"/>
        </w:rPr>
        <w:footnoteReference w:id="477"/>
      </w:r>
    </w:p>
    <w:p w14:paraId="40F0B557" w14:textId="77777777" w:rsidR="00EE180C" w:rsidRPr="00BD16B4" w:rsidRDefault="00EE180C" w:rsidP="00E415FF">
      <w:pPr>
        <w:pStyle w:val="Bullet"/>
        <w:spacing w:after="100"/>
      </w:pPr>
      <w:r w:rsidRPr="00BD16B4">
        <w:t>A guide to local climate change risk assessments (2021).</w:t>
      </w:r>
      <w:r w:rsidRPr="00BD16B4">
        <w:rPr>
          <w:rStyle w:val="FootnoteReference"/>
        </w:rPr>
        <w:footnoteReference w:id="478"/>
      </w:r>
    </w:p>
    <w:p w14:paraId="6D69A2CB" w14:textId="010D0B80" w:rsidR="00EE180C" w:rsidRPr="00BD16B4" w:rsidRDefault="00EE180C" w:rsidP="00E415FF">
      <w:pPr>
        <w:pStyle w:val="BodyText"/>
        <w:spacing w:after="100"/>
      </w:pPr>
      <w:r w:rsidRPr="00BD16B4">
        <w:t>For more information about these publications, see chapter 6, section 6.</w:t>
      </w:r>
      <w:r w:rsidR="008E4CDA" w:rsidRPr="00BD16B4">
        <w:t>5</w:t>
      </w:r>
      <w:r w:rsidRPr="00BD16B4">
        <w:t xml:space="preserve">. </w:t>
      </w:r>
    </w:p>
    <w:p w14:paraId="08973DEF" w14:textId="77777777" w:rsidR="00EE180C" w:rsidRPr="00BD16B4" w:rsidRDefault="00EE180C" w:rsidP="00824977">
      <w:pPr>
        <w:pStyle w:val="Heading3"/>
        <w:spacing w:before="240" w:line="240" w:lineRule="auto"/>
      </w:pPr>
      <w:r w:rsidRPr="00BD16B4">
        <w:t>9.3.4</w:t>
      </w:r>
      <w:r w:rsidRPr="00BD16B4">
        <w:tab/>
        <w:t>Information for the land-based sector</w:t>
      </w:r>
    </w:p>
    <w:p w14:paraId="2D2FBACA" w14:textId="77777777" w:rsidR="00EE180C" w:rsidRPr="00BD16B4" w:rsidRDefault="00EE180C" w:rsidP="00DE238A">
      <w:pPr>
        <w:pStyle w:val="BodyText"/>
        <w:spacing w:before="100" w:after="100" w:line="270" w:lineRule="atLeast"/>
        <w:rPr>
          <w:rStyle w:val="FootnoteReference"/>
          <w:vertAlign w:val="baseline"/>
        </w:rPr>
      </w:pPr>
      <w:r w:rsidRPr="00BD16B4">
        <w:t>The Ministry for Primary Industries website explains what climate change means for the rural sector. It has information about forestry and agriculture, the NZ ETS, sustainable forestry and sustainable land management, international climate change, and legislation and regulation.</w:t>
      </w:r>
      <w:r w:rsidRPr="00BD16B4">
        <w:rPr>
          <w:rStyle w:val="FootnoteReference"/>
        </w:rPr>
        <w:footnoteReference w:id="479"/>
      </w:r>
      <w:r w:rsidRPr="00BD16B4">
        <w:t xml:space="preserve"> The Ministry for Primary Industries also funds seminars and workshops on climate change and greenhouse gas emissions for rural professionals</w:t>
      </w:r>
      <w:r w:rsidRPr="00BD16B4">
        <w:rPr>
          <w:rStyle w:val="FootnoteReference"/>
        </w:rPr>
        <w:footnoteReference w:id="480"/>
      </w:r>
      <w:r w:rsidRPr="00BD16B4">
        <w:t xml:space="preserve"> through the New Zealand Institute for Primary Industry Management</w:t>
      </w:r>
      <w:r w:rsidRPr="00BD16B4">
        <w:rPr>
          <w:rStyle w:val="FootnoteReference"/>
        </w:rPr>
        <w:footnoteReference w:id="481"/>
      </w:r>
      <w:r w:rsidRPr="00BD16B4">
        <w:t xml:space="preserve"> and New Zealand Agricultural Greenhouse Gas Research Centre. Since 2018/19, over 40 seminars and workshops have been delivered to over 680 rural professionals. Based on estimates from the institute, this represents nearly 40 per cent of the rural professional community,</w:t>
      </w:r>
      <w:r w:rsidRPr="00BD16B4">
        <w:rPr>
          <w:rStyle w:val="FootnoteReference"/>
        </w:rPr>
        <w:footnoteReference w:id="482"/>
      </w:r>
      <w:r w:rsidRPr="00BD16B4">
        <w:t xml:space="preserve"> which is a high level of engagement.</w:t>
      </w:r>
    </w:p>
    <w:p w14:paraId="1B1D9D5E" w14:textId="77777777" w:rsidR="00EE180C" w:rsidRPr="00BD16B4" w:rsidRDefault="00EE180C" w:rsidP="004E1B8C">
      <w:pPr>
        <w:pStyle w:val="Heading4"/>
      </w:pPr>
      <w:r w:rsidRPr="00BD16B4">
        <w:lastRenderedPageBreak/>
        <w:t>He Waka Eke Noa – Primary Sector Climate Action Partnership</w:t>
      </w:r>
    </w:p>
    <w:p w14:paraId="5A2AEBA6" w14:textId="77777777" w:rsidR="00EE180C" w:rsidRPr="00BD16B4" w:rsidRDefault="00EE180C" w:rsidP="00EE180C">
      <w:pPr>
        <w:pStyle w:val="BodyText"/>
        <w:keepLines/>
        <w:spacing w:after="100"/>
      </w:pPr>
      <w:r w:rsidRPr="00BD16B4">
        <w:t>The Government has partnered with the primary sector and Māori to equip farmers to measure, manage and reduce on-farm agricultural greenhouse gas emissions and adapt to climate change. This partnership is referred to as He Waka Eke Noa, which references a Māori whakataukī</w:t>
      </w:r>
      <w:r w:rsidRPr="00BD16B4">
        <w:rPr>
          <w:rStyle w:val="FootnoteReference"/>
        </w:rPr>
        <w:footnoteReference w:id="483"/>
      </w:r>
      <w:r w:rsidRPr="00BD16B4">
        <w:t xml:space="preserve"> about working in unity and leaving no one behind. </w:t>
      </w:r>
    </w:p>
    <w:p w14:paraId="3B9F2A9A" w14:textId="77777777" w:rsidR="00EE180C" w:rsidRPr="00BD16B4" w:rsidRDefault="00EE180C" w:rsidP="00EE180C">
      <w:pPr>
        <w:pStyle w:val="BodyText"/>
        <w:spacing w:after="100"/>
      </w:pPr>
      <w:r w:rsidRPr="00BD16B4">
        <w:t>The goal of He Waka Eke Noa is to enable sustainable food and fibre production for future generations. This includes collaboration on the detailed development of an appropriate on-farm emissions pricing mechanism, which will come into effect in 2025.</w:t>
      </w:r>
    </w:p>
    <w:p w14:paraId="643233FA" w14:textId="77777777" w:rsidR="00EE180C" w:rsidRPr="00BD16B4" w:rsidRDefault="00EE180C" w:rsidP="00EE180C">
      <w:pPr>
        <w:pStyle w:val="BodyText"/>
        <w:spacing w:after="100"/>
      </w:pPr>
      <w:r w:rsidRPr="00BD16B4">
        <w:t>He Waka Eke Noa is working towards all farmers and growers:</w:t>
      </w:r>
    </w:p>
    <w:p w14:paraId="7500FC72" w14:textId="77777777" w:rsidR="00EE180C" w:rsidRPr="00BD16B4" w:rsidRDefault="00EE180C" w:rsidP="00EE180C">
      <w:pPr>
        <w:pStyle w:val="Bullet"/>
      </w:pPr>
      <w:r w:rsidRPr="00BD16B4">
        <w:t xml:space="preserve">knowing their emissions </w:t>
      </w:r>
    </w:p>
    <w:p w14:paraId="41E1A091" w14:textId="77777777" w:rsidR="00EE180C" w:rsidRPr="00BD16B4" w:rsidRDefault="00EE180C" w:rsidP="00EE180C">
      <w:pPr>
        <w:pStyle w:val="Bullet"/>
      </w:pPr>
      <w:r w:rsidRPr="00BD16B4">
        <w:t>including measures to mitigate greenhouse gas emissions and on adaptation to climate change in their farm business and environment plans.</w:t>
      </w:r>
    </w:p>
    <w:p w14:paraId="07D9BDF6" w14:textId="77777777" w:rsidR="00EE180C" w:rsidRPr="00BD16B4" w:rsidRDefault="00EE180C" w:rsidP="00EE180C">
      <w:pPr>
        <w:pStyle w:val="BodyText"/>
        <w:spacing w:after="100"/>
      </w:pPr>
      <w:r w:rsidRPr="00BD16B4">
        <w:t>The programme objectives, milestones and work streams are outlined on the Ministry for the Environment’s website.</w:t>
      </w:r>
      <w:r w:rsidRPr="00BD16B4">
        <w:rPr>
          <w:rStyle w:val="FootnoteReference"/>
        </w:rPr>
        <w:footnoteReference w:id="484"/>
      </w:r>
      <w:r w:rsidRPr="00BD16B4">
        <w:t xml:space="preserve"> More information about the partnership can also be found on the He Waka Eke Noa Primary Sector Climate Action Partnership website.</w:t>
      </w:r>
      <w:r w:rsidRPr="00BD16B4">
        <w:rPr>
          <w:rStyle w:val="FootnoteReference"/>
        </w:rPr>
        <w:footnoteReference w:id="485"/>
      </w:r>
    </w:p>
    <w:p w14:paraId="47592D54" w14:textId="77777777" w:rsidR="00EE180C" w:rsidRPr="00BD16B4" w:rsidRDefault="00EE180C" w:rsidP="004E1B8C">
      <w:pPr>
        <w:pStyle w:val="Heading4"/>
      </w:pPr>
      <w:r w:rsidRPr="00BD16B4">
        <w:t>Agricultural emissions calculator</w:t>
      </w:r>
    </w:p>
    <w:p w14:paraId="432CDABD" w14:textId="77777777" w:rsidR="00EE180C" w:rsidRPr="00BD16B4" w:rsidRDefault="00EE180C" w:rsidP="00EE180C">
      <w:pPr>
        <w:pStyle w:val="BodyText"/>
        <w:spacing w:before="100" w:after="100"/>
      </w:pPr>
      <w:r w:rsidRPr="00BD16B4">
        <w:t>The Ministry for the Environment has an online agricultural emissions calculator</w:t>
      </w:r>
      <w:r w:rsidRPr="00BD16B4">
        <w:rPr>
          <w:rStyle w:val="FootnoteReference"/>
        </w:rPr>
        <w:footnoteReference w:id="486"/>
      </w:r>
      <w:r w:rsidRPr="00BD16B4">
        <w:t xml:space="preserve"> to provide farmers with a simple estimate of the greenhouse gases emissions from animals, manure management, and nitrogen fertiliser use on farms, as well as the carbon sequestered in forests on farms. The calculator uses the same methods and emission factors as </w:t>
      </w:r>
      <w:r w:rsidRPr="00BD16B4">
        <w:rPr>
          <w:i/>
          <w:iCs/>
        </w:rPr>
        <w:t xml:space="preserve">Measuring emissions: A guide for organisations </w:t>
      </w:r>
      <w:r w:rsidRPr="00BD16B4">
        <w:t>(2022)</w:t>
      </w:r>
      <w:r w:rsidRPr="00BD16B4">
        <w:rPr>
          <w:i/>
          <w:iCs/>
        </w:rPr>
        <w:t>.</w:t>
      </w:r>
      <w:r w:rsidRPr="00BD16B4">
        <w:t xml:space="preserve"> If a more detailed estimate is required, or, if the inclusion of vegetation and mitigations other than those included in the calculator are required, the He Waka Eke Noa website</w:t>
      </w:r>
      <w:r w:rsidRPr="00BD16B4">
        <w:rPr>
          <w:rStyle w:val="FootnoteReference"/>
        </w:rPr>
        <w:footnoteReference w:id="487"/>
      </w:r>
      <w:r w:rsidRPr="00BD16B4">
        <w:t xml:space="preserve"> provides alternative tools and calculators.</w:t>
      </w:r>
    </w:p>
    <w:p w14:paraId="2AD05BBA" w14:textId="77777777" w:rsidR="00EE180C" w:rsidRPr="00BD16B4" w:rsidRDefault="00EE180C" w:rsidP="004E1B8C">
      <w:pPr>
        <w:pStyle w:val="Heading4"/>
      </w:pPr>
      <w:r w:rsidRPr="00BD16B4">
        <w:t xml:space="preserve">Te Uru Rākau – New Zealand Forestry Service </w:t>
      </w:r>
    </w:p>
    <w:p w14:paraId="165BCAF6" w14:textId="77777777" w:rsidR="00EE180C" w:rsidRPr="00BD16B4" w:rsidRDefault="00EE180C" w:rsidP="00EE180C">
      <w:pPr>
        <w:pStyle w:val="BodyText"/>
      </w:pPr>
      <w:r w:rsidRPr="00BD16B4">
        <w:t>Te Uru Rākau – New Zealand Forest Service is facilitated by the Ministry for Primary Industries and supports forest priorities.</w:t>
      </w:r>
      <w:r w:rsidRPr="00BD16B4">
        <w:rPr>
          <w:rStyle w:val="FootnoteReference"/>
        </w:rPr>
        <w:footnoteReference w:id="488"/>
      </w:r>
      <w:r w:rsidRPr="00BD16B4">
        <w:t xml:space="preserve"> These include climate change and working with Māori on land development opportunities, industry transformation, the NZ ETS, native species planting, the One Billion Trees programme, forestry and wood processing, and workforce development.</w:t>
      </w:r>
    </w:p>
    <w:p w14:paraId="5A85F16B" w14:textId="39193B21" w:rsidR="00EE180C" w:rsidRPr="00BD16B4" w:rsidRDefault="00EE180C" w:rsidP="00EE180C">
      <w:pPr>
        <w:pStyle w:val="BodyText"/>
        <w:spacing w:before="100" w:after="100"/>
      </w:pPr>
      <w:r w:rsidRPr="00BD16B4">
        <w:rPr>
          <w:rFonts w:eastAsia="Calibri"/>
        </w:rPr>
        <w:t>Te Uru Rākau is developing a forestry and wood processing industry transformation plan. The</w:t>
      </w:r>
      <w:r w:rsidR="00493341" w:rsidRPr="00BD16B4">
        <w:rPr>
          <w:rFonts w:eastAsia="Calibri"/>
        </w:rPr>
        <w:t> </w:t>
      </w:r>
      <w:r w:rsidRPr="00BD16B4">
        <w:rPr>
          <w:rFonts w:eastAsia="Calibri"/>
        </w:rPr>
        <w:t xml:space="preserve">plan aims to support </w:t>
      </w:r>
      <w:r w:rsidRPr="00BD16B4">
        <w:t xml:space="preserve">Aotearoa </w:t>
      </w:r>
      <w:r w:rsidRPr="00BD16B4">
        <w:rPr>
          <w:rFonts w:eastAsia="Calibri"/>
        </w:rPr>
        <w:t>New Zealand to make better use of forestry resources by processing more wood onshore, producing more high-value wood products, and using residues to grow the forest-based bioeconomy.</w:t>
      </w:r>
      <w:r w:rsidRPr="00BD16B4">
        <w:rPr>
          <w:rStyle w:val="FootnoteReference"/>
          <w:rFonts w:eastAsia="Calibri" w:cs="Calibri"/>
        </w:rPr>
        <w:footnoteReference w:id="489"/>
      </w:r>
    </w:p>
    <w:p w14:paraId="5F8B7C99" w14:textId="6018B1B4" w:rsidR="00EE180C" w:rsidRPr="00BD16B4" w:rsidRDefault="00EE180C" w:rsidP="00EE180C">
      <w:pPr>
        <w:pStyle w:val="Heading2"/>
      </w:pPr>
      <w:bookmarkStart w:id="426" w:name="_Toc497740411"/>
      <w:bookmarkStart w:id="427" w:name="_Toc500796178"/>
      <w:bookmarkStart w:id="428" w:name="_Toc121774671"/>
      <w:r w:rsidRPr="00BD16B4">
        <w:lastRenderedPageBreak/>
        <w:t>9.4</w:t>
      </w:r>
      <w:r w:rsidRPr="00BD16B4">
        <w:tab/>
        <w:t>Education and training</w:t>
      </w:r>
      <w:bookmarkEnd w:id="426"/>
      <w:bookmarkEnd w:id="427"/>
      <w:bookmarkEnd w:id="428"/>
    </w:p>
    <w:p w14:paraId="0537D48D" w14:textId="77777777" w:rsidR="00EE180C" w:rsidRPr="00BD16B4" w:rsidRDefault="00EE180C" w:rsidP="00EE180C">
      <w:pPr>
        <w:pStyle w:val="BodyText"/>
        <w:spacing w:before="100" w:after="100"/>
      </w:pPr>
      <w:r w:rsidRPr="00BD16B4">
        <w:t>The New Zealand Government provides resources and funding for climate change related education and training in schools, institutes and research centres, and industry training. Details of government-supported initiatives are set out below.</w:t>
      </w:r>
    </w:p>
    <w:p w14:paraId="49E1C5F7" w14:textId="77777777" w:rsidR="00EE180C" w:rsidRPr="00BD16B4" w:rsidRDefault="00EE180C" w:rsidP="00EE180C">
      <w:pPr>
        <w:pStyle w:val="Heading3"/>
        <w:spacing w:before="320"/>
      </w:pPr>
      <w:r w:rsidRPr="00BD16B4">
        <w:t>9.4.1</w:t>
      </w:r>
      <w:r w:rsidRPr="00BD16B4">
        <w:tab/>
        <w:t>Education in schools</w:t>
      </w:r>
    </w:p>
    <w:p w14:paraId="75747D07" w14:textId="77777777" w:rsidR="00EE180C" w:rsidRPr="00BD16B4" w:rsidRDefault="00EE180C" w:rsidP="00EE180C">
      <w:pPr>
        <w:pStyle w:val="BodyText"/>
        <w:spacing w:before="100" w:after="100"/>
        <w:rPr>
          <w:rFonts w:eastAsia="Calibri" w:cs="Calibri"/>
        </w:rPr>
      </w:pPr>
      <w:r w:rsidRPr="00BD16B4">
        <w:t>The Government provides resources and funds programmes to facilitate and encourage environmental education in schools.</w:t>
      </w:r>
      <w:r w:rsidRPr="00BD16B4">
        <w:rPr>
          <w:rStyle w:val="FootnoteReference"/>
        </w:rPr>
        <w:footnoteReference w:id="490"/>
      </w:r>
      <w:r w:rsidRPr="00BD16B4">
        <w:t xml:space="preserve"> </w:t>
      </w:r>
      <w:r w:rsidRPr="00BD16B4">
        <w:rPr>
          <w:rFonts w:eastAsia="Calibri" w:cs="Calibri"/>
        </w:rPr>
        <w:t xml:space="preserve">Opportunities are available to learn about climate change and sustainability issues across many areas and year levels of the current national curriculum (which includes </w:t>
      </w:r>
      <w:r w:rsidRPr="00BD16B4">
        <w:rPr>
          <w:rFonts w:eastAsia="Calibri" w:cs="Calibri"/>
          <w:i/>
          <w:iCs/>
        </w:rPr>
        <w:t>The New Zealand Curriculum</w:t>
      </w:r>
      <w:r w:rsidRPr="00BD16B4">
        <w:rPr>
          <w:rFonts w:eastAsia="Calibri" w:cs="Calibri"/>
        </w:rPr>
        <w:t xml:space="preserve">, </w:t>
      </w:r>
      <w:r w:rsidRPr="00BD16B4">
        <w:rPr>
          <w:rFonts w:eastAsia="Calibri" w:cs="Calibri"/>
          <w:i/>
          <w:iCs/>
        </w:rPr>
        <w:t>Te Marautanga o Aotearoa</w:t>
      </w:r>
      <w:r w:rsidRPr="00BD16B4">
        <w:rPr>
          <w:rFonts w:eastAsia="Calibri" w:cs="Calibri"/>
        </w:rPr>
        <w:t xml:space="preserve"> and </w:t>
      </w:r>
      <w:r w:rsidRPr="00BD16B4">
        <w:rPr>
          <w:rFonts w:eastAsia="Calibri" w:cs="Calibri"/>
          <w:i/>
          <w:iCs/>
        </w:rPr>
        <w:t>Te Whāriki</w:t>
      </w:r>
      <w:r w:rsidRPr="00BD16B4">
        <w:rPr>
          <w:rFonts w:eastAsia="Calibri" w:cs="Calibri"/>
        </w:rPr>
        <w:t xml:space="preserve"> for early learning).</w:t>
      </w:r>
    </w:p>
    <w:p w14:paraId="10ED6FC1" w14:textId="77777777" w:rsidR="00EE180C" w:rsidRPr="00BD16B4" w:rsidRDefault="00EE180C" w:rsidP="004E1B8C">
      <w:pPr>
        <w:pStyle w:val="Heading4"/>
      </w:pPr>
      <w:r w:rsidRPr="00BD16B4">
        <w:t>New Zealand Curriculum and Te Marautanga o Aotearoa</w:t>
      </w:r>
    </w:p>
    <w:p w14:paraId="7FE4FC7A" w14:textId="77777777" w:rsidR="00EE180C" w:rsidRPr="00BD16B4" w:rsidRDefault="00EE180C" w:rsidP="00EE180C">
      <w:pPr>
        <w:pStyle w:val="BodyText"/>
        <w:spacing w:before="100" w:after="100"/>
      </w:pPr>
      <w:r w:rsidRPr="00BD16B4">
        <w:rPr>
          <w:i/>
          <w:iCs/>
        </w:rPr>
        <w:t>The New Zealand Curriculum</w:t>
      </w:r>
      <w:r w:rsidRPr="00BD16B4">
        <w:t xml:space="preserve"> (2007) and </w:t>
      </w:r>
      <w:r w:rsidRPr="00BD16B4">
        <w:rPr>
          <w:i/>
          <w:iCs/>
        </w:rPr>
        <w:t>Te Marautanga o Aotearoa</w:t>
      </w:r>
      <w:r w:rsidRPr="00BD16B4">
        <w:t xml:space="preserve"> (2008) set the direction for teaching and learning programmes in Aotearoa New Zealand schools and kura.</w:t>
      </w:r>
      <w:r w:rsidRPr="00BD16B4">
        <w:rPr>
          <w:rStyle w:val="FootnoteReference"/>
        </w:rPr>
        <w:footnoteReference w:id="491"/>
      </w:r>
      <w:r w:rsidRPr="00BD16B4">
        <w:t xml:space="preserve"> </w:t>
      </w:r>
    </w:p>
    <w:p w14:paraId="0EB6CB76" w14:textId="77777777" w:rsidR="00EE180C" w:rsidRPr="00BD16B4" w:rsidRDefault="00EE180C" w:rsidP="00EE180C">
      <w:pPr>
        <w:pStyle w:val="BodyText"/>
        <w:spacing w:before="100" w:after="100"/>
      </w:pPr>
      <w:r w:rsidRPr="00BD16B4">
        <w:t xml:space="preserve">The curriculum plays an important role in shaping lifelong learning around transitioning to a sustainable future. A five-year programme to refresh </w:t>
      </w:r>
      <w:r w:rsidRPr="00BD16B4">
        <w:rPr>
          <w:i/>
          <w:iCs/>
        </w:rPr>
        <w:t>The New Zealand Curriculum</w:t>
      </w:r>
      <w:r w:rsidRPr="00BD16B4">
        <w:t xml:space="preserve"> and redesign </w:t>
      </w:r>
      <w:r w:rsidRPr="00BD16B4">
        <w:rPr>
          <w:i/>
          <w:iCs/>
        </w:rPr>
        <w:t>Te Marautanga o Aotearoa</w:t>
      </w:r>
      <w:r w:rsidRPr="00BD16B4">
        <w:t xml:space="preserve"> is under way, aimed at ensuring all ākonga (students) experience rich and responsive learning.</w:t>
      </w:r>
    </w:p>
    <w:p w14:paraId="15A81A27" w14:textId="77777777" w:rsidR="00EE180C" w:rsidRPr="00BD16B4" w:rsidRDefault="00EE180C" w:rsidP="00EE180C">
      <w:pPr>
        <w:pStyle w:val="BodyText"/>
        <w:spacing w:before="100" w:after="100"/>
      </w:pPr>
      <w:r w:rsidRPr="00BD16B4">
        <w:t xml:space="preserve">Each learning area in </w:t>
      </w:r>
      <w:r w:rsidRPr="00BD16B4">
        <w:rPr>
          <w:i/>
          <w:iCs/>
        </w:rPr>
        <w:t>The New Zealand Curriculum</w:t>
      </w:r>
      <w:r w:rsidRPr="00BD16B4">
        <w:t xml:space="preserve"> is being refreshed, beginning with social sciences, which will be released in late 2022. The social sciences curriculum content was developed alongside a refreshed Vision for Young People. Both the draft Vision for Young People and social sciences content address climate change, regeneration and sustainability. The ‘Understand, Know, Do’ progression model is clear about the learning that cannot be left to chance. In social sciences, this includes specific learning about climate change, sustainability and regeneration within the learning areas and across the phases of learning. </w:t>
      </w:r>
    </w:p>
    <w:p w14:paraId="6D000B0E" w14:textId="77777777" w:rsidR="00EE180C" w:rsidRPr="00BD16B4" w:rsidRDefault="00EE180C" w:rsidP="00EE180C">
      <w:pPr>
        <w:pStyle w:val="BodyText"/>
        <w:spacing w:before="100" w:after="100"/>
      </w:pPr>
      <w:r w:rsidRPr="00BD16B4">
        <w:t>The remaining curriculum learning areas, along with the principles and values, will be refreshed in a phased approach over the next four years. It is intended that climate change, regeneration and sustainability are identified and contributed to within these areas.</w:t>
      </w:r>
    </w:p>
    <w:p w14:paraId="35B4FD77" w14:textId="77777777" w:rsidR="00EE180C" w:rsidRPr="00BD16B4" w:rsidRDefault="00EE180C" w:rsidP="00EE180C">
      <w:pPr>
        <w:pStyle w:val="BodyText"/>
        <w:spacing w:before="100" w:after="100"/>
      </w:pPr>
      <w:r w:rsidRPr="00BD16B4">
        <w:t xml:space="preserve">The </w:t>
      </w:r>
      <w:r w:rsidRPr="00BD16B4">
        <w:rPr>
          <w:i/>
          <w:iCs/>
        </w:rPr>
        <w:t xml:space="preserve">Mātauranga Whakauka Taiao – </w:t>
      </w:r>
      <w:bookmarkStart w:id="429" w:name="_Hlk109297121"/>
      <w:r w:rsidRPr="00BD16B4">
        <w:rPr>
          <w:i/>
          <w:iCs/>
        </w:rPr>
        <w:t>Environmental Education for Sustainability: Strategy</w:t>
      </w:r>
      <w:bookmarkEnd w:id="429"/>
      <w:r w:rsidRPr="00BD16B4">
        <w:rPr>
          <w:i/>
          <w:iCs/>
        </w:rPr>
        <w:t xml:space="preserve"> and Action Plan</w:t>
      </w:r>
      <w:r w:rsidRPr="00BD16B4">
        <w:t xml:space="preserve"> was launched on 27 July 2017.</w:t>
      </w:r>
      <w:r w:rsidRPr="00BD16B4">
        <w:rPr>
          <w:rStyle w:val="FootnoteReference"/>
        </w:rPr>
        <w:footnoteReference w:id="492"/>
      </w:r>
      <w:r w:rsidRPr="00BD16B4">
        <w:t xml:space="preserve"> Developed on behalf of the Government by the Department of Conservation, the Ministry for the Environment and Ministry of Education, the strategy refreshes the Environmental Education strategy released in 1998 to reflect the changes in priorities and approaches in the past 20 years. The strategy has a focus on Māori knowledge and values in environmental education.</w:t>
      </w:r>
      <w:r w:rsidRPr="00BD16B4">
        <w:rPr>
          <w:rStyle w:val="FootnoteReference"/>
        </w:rPr>
        <w:footnoteReference w:id="493"/>
      </w:r>
    </w:p>
    <w:p w14:paraId="7B6C8EED" w14:textId="77777777" w:rsidR="00EE180C" w:rsidRPr="00BD16B4" w:rsidRDefault="00EE180C" w:rsidP="00EE180C">
      <w:pPr>
        <w:pStyle w:val="BodyText"/>
        <w:spacing w:after="100"/>
      </w:pPr>
      <w:r w:rsidRPr="00BD16B4">
        <w:t xml:space="preserve">As part of the National Certificate of Educational Achievement Review and the Review of Achievement Standards, the subject ‘environment and societies’ is currently under </w:t>
      </w:r>
      <w:r w:rsidRPr="00BD16B4">
        <w:lastRenderedPageBreak/>
        <w:t>development. Level 2 will be piloted in 2024 and Level 3 in 2025. This subject has a focus on knowledge and values related to regeneration and sustainability, inclusive of te ao Māori (t</w:t>
      </w:r>
      <w:r w:rsidRPr="00BD16B4">
        <w:rPr>
          <w:szCs w:val="20"/>
        </w:rPr>
        <w:t>he Māori world)</w:t>
      </w:r>
      <w:r w:rsidRPr="00BD16B4">
        <w:t xml:space="preserve">. Other subjects being developed as part of the review of achievement standards will also provide opportunities for students to engage in learning that focuses on the environment, such as geography. </w:t>
      </w:r>
    </w:p>
    <w:p w14:paraId="0EB40BFE" w14:textId="77777777" w:rsidR="00EE180C" w:rsidRPr="00BD16B4" w:rsidRDefault="00EE180C" w:rsidP="004E1B8C">
      <w:pPr>
        <w:pStyle w:val="Heading4"/>
      </w:pPr>
      <w:r w:rsidRPr="00BD16B4">
        <w:t>Resources for teaching and learning</w:t>
      </w:r>
    </w:p>
    <w:p w14:paraId="2C3CC659" w14:textId="096217D4" w:rsidR="00EE180C" w:rsidRPr="00BD16B4" w:rsidRDefault="00EE180C" w:rsidP="00EE180C">
      <w:pPr>
        <w:pStyle w:val="BodyText"/>
        <w:spacing w:before="100" w:after="100"/>
      </w:pPr>
      <w:r w:rsidRPr="00BD16B4">
        <w:rPr>
          <w:spacing w:val="-2"/>
        </w:rPr>
        <w:t>The Ministry of Education is developing a package of resources to support schools to impleme</w:t>
      </w:r>
      <w:r w:rsidRPr="00BD16B4">
        <w:t>nt the refreshed curriculum. For social sciences, this package will include resources to</w:t>
      </w:r>
      <w:r w:rsidR="00943645" w:rsidRPr="00BD16B4">
        <w:t xml:space="preserve"> </w:t>
      </w:r>
      <w:r w:rsidRPr="00BD16B4">
        <w:t>make it easier for teachers to design meaningful learning experiences about climate change, regeneration and sustainability.</w:t>
      </w:r>
    </w:p>
    <w:p w14:paraId="32920B37" w14:textId="77777777" w:rsidR="00EE180C" w:rsidRPr="00BD16B4" w:rsidRDefault="00EE180C" w:rsidP="00EE180C">
      <w:pPr>
        <w:pStyle w:val="BodyText"/>
        <w:spacing w:before="100" w:after="100"/>
      </w:pPr>
      <w:r w:rsidRPr="00BD16B4">
        <w:t xml:space="preserve">A comprehensive ministry resource is available to schools to specifically support teaching about the environment. </w:t>
      </w:r>
      <w:r w:rsidRPr="00BD16B4">
        <w:rPr>
          <w:i/>
          <w:iCs/>
        </w:rPr>
        <w:t>Pūtātara: A call to action</w:t>
      </w:r>
      <w:r w:rsidRPr="00BD16B4">
        <w:t xml:space="preserve"> focuses on global citizenship and sustainability, and explores topics such as national identity, the United Nations Sustainable Development Goals and personal and environmental wellbeing. </w:t>
      </w:r>
      <w:r w:rsidRPr="00BD16B4">
        <w:rPr>
          <w:i/>
          <w:iCs/>
        </w:rPr>
        <w:t>Pūtātara</w:t>
      </w:r>
      <w:r w:rsidRPr="00BD16B4">
        <w:t xml:space="preserve"> promotes place-based learning and learning through inquiry to develop critical thinking skills.</w:t>
      </w:r>
      <w:r w:rsidRPr="00BD16B4">
        <w:rPr>
          <w:rStyle w:val="FootnoteReference"/>
        </w:rPr>
        <w:footnoteReference w:id="494"/>
      </w:r>
    </w:p>
    <w:p w14:paraId="27C51061" w14:textId="77777777" w:rsidR="00EE180C" w:rsidRPr="00BD16B4" w:rsidRDefault="00EE180C" w:rsidP="004E1B8C">
      <w:pPr>
        <w:pStyle w:val="Heading4"/>
      </w:pPr>
      <w:r w:rsidRPr="00BD16B4">
        <w:t>Te Whāriki</w:t>
      </w:r>
    </w:p>
    <w:p w14:paraId="4E121315" w14:textId="77777777" w:rsidR="00EE180C" w:rsidRPr="00BD16B4" w:rsidRDefault="00EE180C" w:rsidP="00EE180C">
      <w:pPr>
        <w:pStyle w:val="BodyText"/>
        <w:spacing w:before="100" w:after="100"/>
        <w:rPr>
          <w:color w:val="000000"/>
        </w:rPr>
      </w:pPr>
      <w:r w:rsidRPr="00BD16B4">
        <w:t xml:space="preserve">Quality local curriculum for children in early learning services (0 to 6 years of age) is guided by the early learning curriculum: </w:t>
      </w:r>
      <w:r w:rsidRPr="00BD16B4">
        <w:rPr>
          <w:i/>
          <w:iCs/>
        </w:rPr>
        <w:t xml:space="preserve">Te Whāriki: He whāriki mātauranga mō ngā mokopuna o Aotearoa </w:t>
      </w:r>
      <w:r w:rsidRPr="00BD16B4">
        <w:t>and</w:t>
      </w:r>
      <w:r w:rsidRPr="00BD16B4">
        <w:rPr>
          <w:i/>
          <w:iCs/>
        </w:rPr>
        <w:t xml:space="preserve"> Te Whāriki a te Kōhanga Reo.</w:t>
      </w:r>
    </w:p>
    <w:p w14:paraId="2672EF29" w14:textId="77777777" w:rsidR="00EE180C" w:rsidRPr="00BD16B4" w:rsidRDefault="00EE180C" w:rsidP="00EE180C">
      <w:pPr>
        <w:pStyle w:val="BodyText"/>
        <w:spacing w:before="100" w:after="100"/>
      </w:pPr>
      <w:r w:rsidRPr="00BD16B4">
        <w:rPr>
          <w:color w:val="000000" w:themeColor="text1"/>
        </w:rPr>
        <w:t xml:space="preserve">The Ministry of Education’s website </w:t>
      </w:r>
      <w:r w:rsidRPr="00BD16B4">
        <w:t>Te Whāriki Online</w:t>
      </w:r>
      <w:r w:rsidRPr="00BD16B4">
        <w:rPr>
          <w:rStyle w:val="FootnoteReference"/>
          <w:rFonts w:cs="Calibri"/>
        </w:rPr>
        <w:footnoteReference w:id="495"/>
      </w:r>
      <w:r w:rsidRPr="00BD16B4">
        <w:t xml:space="preserve"> provides curriculum resources </w:t>
      </w:r>
      <w:r w:rsidRPr="00BD16B4">
        <w:rPr>
          <w:rFonts w:eastAsia="Arial"/>
        </w:rPr>
        <w:t>to enrich children’s learning, including science-related thinking and knowledge, to spark curiosity and engagement in early years. This advice covers resources on sustainability and environmental education that are being updated during 2022 to inspire more early learning services to take the lead in strengthening sustainability and climate changed related learning and teaching practices.</w:t>
      </w:r>
    </w:p>
    <w:p w14:paraId="224DCC44" w14:textId="77777777" w:rsidR="00EE180C" w:rsidRPr="00BD16B4" w:rsidRDefault="00EE180C" w:rsidP="004E1B8C">
      <w:pPr>
        <w:pStyle w:val="Heading4"/>
      </w:pPr>
      <w:r w:rsidRPr="00BD16B4">
        <w:t>Education for Sustainability online</w:t>
      </w:r>
    </w:p>
    <w:p w14:paraId="1DA21469" w14:textId="77777777" w:rsidR="00EE180C" w:rsidRPr="00BD16B4" w:rsidRDefault="00EE180C" w:rsidP="00EE180C">
      <w:pPr>
        <w:pStyle w:val="BodyText"/>
        <w:spacing w:before="100" w:after="100"/>
      </w:pPr>
      <w:r w:rsidRPr="00BD16B4">
        <w:t>Education for Sustainability (EfS) empowers learning communities with the values, knowledge and skills they need to take meaningful action to ensure a thriving world.</w:t>
      </w:r>
    </w:p>
    <w:p w14:paraId="6DF5D376" w14:textId="77777777" w:rsidR="00EE180C" w:rsidRPr="00BD16B4" w:rsidRDefault="00EE180C" w:rsidP="00EE180C">
      <w:pPr>
        <w:pStyle w:val="BodyText"/>
        <w:spacing w:before="100" w:after="100"/>
      </w:pPr>
      <w:r w:rsidRPr="00BD16B4">
        <w:t>The EfS pages on Te Kete Ipurangi</w:t>
      </w:r>
      <w:r w:rsidRPr="00BD16B4">
        <w:rPr>
          <w:rStyle w:val="FootnoteReference"/>
        </w:rPr>
        <w:footnoteReference w:id="496"/>
      </w:r>
      <w:r w:rsidRPr="00BD16B4">
        <w:t xml:space="preserve"> provide the rationale for EfS, celebrate learner outcomes, discuss teaching pedagogies, and describes the ways in which EfS can inform a whole-school approach to creating a more sustainable world.</w:t>
      </w:r>
    </w:p>
    <w:p w14:paraId="0ABE5579" w14:textId="77777777" w:rsidR="00EE180C" w:rsidRPr="00BD16B4" w:rsidRDefault="00EE180C" w:rsidP="004E1B8C">
      <w:pPr>
        <w:pStyle w:val="Heading4"/>
      </w:pPr>
      <w:r w:rsidRPr="00BD16B4">
        <w:t>Enviroschools and Te Aho Tū Roa</w:t>
      </w:r>
    </w:p>
    <w:p w14:paraId="42E1C352" w14:textId="77777777" w:rsidR="00EE180C" w:rsidRPr="00BD16B4" w:rsidRDefault="00EE180C" w:rsidP="00EE180C">
      <w:pPr>
        <w:pStyle w:val="BodyText"/>
        <w:spacing w:before="100" w:after="100"/>
      </w:pPr>
      <w:r w:rsidRPr="00BD16B4">
        <w:t>The Toimata Foundation is a non-governmental organisation that runs</w:t>
      </w:r>
      <w:r w:rsidRPr="00BD16B4">
        <w:rPr>
          <w:b/>
          <w:bCs/>
        </w:rPr>
        <w:t xml:space="preserve"> </w:t>
      </w:r>
      <w:r w:rsidRPr="00BD16B4">
        <w:t xml:space="preserve">programmes with a holistic approach to creating more sustainable communities. The programmes involve working with children and young people through both the formal education system and communities. The foundation receives part-funding from the Ministry for the Environment, regional councils and community groups. </w:t>
      </w:r>
    </w:p>
    <w:p w14:paraId="6A0EFBC0" w14:textId="77777777" w:rsidR="00EE180C" w:rsidRPr="00BD16B4" w:rsidRDefault="00EE180C" w:rsidP="00EE180C">
      <w:pPr>
        <w:pStyle w:val="BodyText"/>
      </w:pPr>
      <w:r w:rsidRPr="00BD16B4">
        <w:lastRenderedPageBreak/>
        <w:t>The two programmes run by the foundation are Enviroschools and Te Aho Tū Roa. The Enviroschools programme operates in English-language schools and early childhood education centres, and Te Aho Tū Roa operates in te reo Māori (Māori language) immersion settings. Both programmes are designed to work in conjunction with the national curriculum and produce various environmental, educational, social and cultural outcomes. The resources provided as part of the programmes include information on climate change.</w:t>
      </w:r>
    </w:p>
    <w:p w14:paraId="5BDCE238" w14:textId="77777777" w:rsidR="00EE180C" w:rsidRPr="00BD16B4" w:rsidRDefault="00EE180C" w:rsidP="00EE180C">
      <w:pPr>
        <w:pStyle w:val="BodyText"/>
      </w:pPr>
      <w:r w:rsidRPr="00BD16B4">
        <w:t>Students are involved in the planning, design and implementation of action projects based on local environmental priorities identified by the students in conjunction with their community. The projects across the 1400 schools,</w:t>
      </w:r>
      <w:r w:rsidRPr="00BD16B4">
        <w:rPr>
          <w:rStyle w:val="FootnoteReference"/>
        </w:rPr>
        <w:footnoteReference w:id="497"/>
      </w:r>
      <w:r w:rsidRPr="00BD16B4">
        <w:t xml:space="preserve"> kura and centres involved in the Enviroschools and Te Aho Tū Roa programmes have relevance to climate change. The projects include waste minimisation, ecological restoration, school landscaping, local food production, active transport to schools and energy efficiency.</w:t>
      </w:r>
    </w:p>
    <w:p w14:paraId="43DF66A5" w14:textId="77777777" w:rsidR="00EE180C" w:rsidRPr="00BD16B4" w:rsidRDefault="00EE180C" w:rsidP="004E1B8C">
      <w:pPr>
        <w:pStyle w:val="Heading4"/>
      </w:pPr>
      <w:bookmarkStart w:id="430" w:name="_Aotearoa_New_Zealand’s"/>
      <w:bookmarkEnd w:id="430"/>
      <w:r w:rsidRPr="00BD16B4">
        <w:t>Aotearoa New Zealand’s first emissions reduction plan</w:t>
      </w:r>
    </w:p>
    <w:p w14:paraId="6C719BC9" w14:textId="77777777" w:rsidR="00EE180C" w:rsidRPr="00BD16B4" w:rsidRDefault="00EE180C" w:rsidP="00EE180C">
      <w:pPr>
        <w:pStyle w:val="BodyText"/>
      </w:pPr>
      <w:r w:rsidRPr="00BD16B4">
        <w:t>Action 3.1.1 of the first emissions reduction plan is to ‘Equip all children and young people for the transition [to a low-emissions society]’.</w:t>
      </w:r>
      <w:r w:rsidRPr="00BD16B4">
        <w:rPr>
          <w:rStyle w:val="FootnoteReference"/>
        </w:rPr>
        <w:footnoteReference w:id="498"/>
      </w:r>
      <w:r w:rsidRPr="00BD16B4">
        <w:t xml:space="preserve"> Significant initiatives for this action include:</w:t>
      </w:r>
    </w:p>
    <w:p w14:paraId="5D7251AC" w14:textId="77777777" w:rsidR="00EE180C" w:rsidRPr="00BD16B4" w:rsidRDefault="00EE180C" w:rsidP="00EE180C">
      <w:pPr>
        <w:pStyle w:val="Bullet"/>
      </w:pPr>
      <w:r w:rsidRPr="00BD16B4">
        <w:t>changing the national curriculum and National Certificate of Educational Achievement</w:t>
      </w:r>
    </w:p>
    <w:p w14:paraId="05B423CE" w14:textId="77777777" w:rsidR="00EE180C" w:rsidRPr="00BD16B4" w:rsidRDefault="00EE180C" w:rsidP="00EE180C">
      <w:pPr>
        <w:pStyle w:val="Bullet"/>
      </w:pPr>
      <w:r w:rsidRPr="00BD16B4">
        <w:t>providing teaching and learning resources that support kaiako (teachers, instructors) to connect learning purposefully to climate change contexts</w:t>
      </w:r>
    </w:p>
    <w:p w14:paraId="6ACE5406" w14:textId="77777777" w:rsidR="00EE180C" w:rsidRPr="00BD16B4" w:rsidRDefault="00EE180C" w:rsidP="00EE180C">
      <w:pPr>
        <w:pStyle w:val="Bullet"/>
      </w:pPr>
      <w:r w:rsidRPr="00BD16B4">
        <w:t>focusing on wellbeing, which recognises the effect learning about climate change can have on young people’s mental health</w:t>
      </w:r>
    </w:p>
    <w:p w14:paraId="087A613F" w14:textId="77777777" w:rsidR="00EE180C" w:rsidRPr="00BD16B4" w:rsidRDefault="00EE180C" w:rsidP="00EE180C">
      <w:pPr>
        <w:pStyle w:val="Bullet"/>
      </w:pPr>
      <w:r w:rsidRPr="00BD16B4">
        <w:t>providing guidance on incorporating emissions reduction activities into marau ā-kura (local curriculum).</w:t>
      </w:r>
    </w:p>
    <w:p w14:paraId="59F15320" w14:textId="77777777" w:rsidR="00EE180C" w:rsidRPr="00BD16B4" w:rsidRDefault="00EE180C" w:rsidP="00EE180C">
      <w:pPr>
        <w:pStyle w:val="BodyText"/>
      </w:pPr>
      <w:r w:rsidRPr="00BD16B4">
        <w:t>Action 3.1.2 of the first emissions reduction plan is to ‘Create an accessible, responsive and flexible tertiary education and training system’. The Reform of Vocational Education</w:t>
      </w:r>
      <w:r w:rsidRPr="00BD16B4">
        <w:rPr>
          <w:rStyle w:val="FootnoteReference"/>
        </w:rPr>
        <w:footnoteReference w:id="499"/>
      </w:r>
      <w:r w:rsidRPr="00BD16B4">
        <w:t xml:space="preserve"> will provide education and skills relevant to work today and in the future, by establishing:</w:t>
      </w:r>
    </w:p>
    <w:p w14:paraId="1A0ED708" w14:textId="77777777" w:rsidR="00EE180C" w:rsidRPr="00BD16B4" w:rsidRDefault="00EE180C" w:rsidP="00EE180C">
      <w:pPr>
        <w:pStyle w:val="Bullet"/>
      </w:pPr>
      <w:r w:rsidRPr="00BD16B4">
        <w:t xml:space="preserve">industry-led workforce development councils to set industry skills standards </w:t>
      </w:r>
    </w:p>
    <w:p w14:paraId="465C10AB" w14:textId="77777777" w:rsidR="00EE180C" w:rsidRPr="00BD16B4" w:rsidRDefault="00EE180C" w:rsidP="00EE180C">
      <w:pPr>
        <w:pStyle w:val="Bullet"/>
      </w:pPr>
      <w:r w:rsidRPr="00BD16B4">
        <w:t>regional skills leadership groups, which enable better planning for regional labour markets and ensure the workforce, education and immigration systems are working together to meet the skills and labour market needs</w:t>
      </w:r>
    </w:p>
    <w:p w14:paraId="54F843E4" w14:textId="77777777" w:rsidR="00EE180C" w:rsidRPr="00BD16B4" w:rsidRDefault="00EE180C" w:rsidP="00EE180C">
      <w:pPr>
        <w:pStyle w:val="Bullet"/>
      </w:pPr>
      <w:r w:rsidRPr="00BD16B4">
        <w:t>Te Pūkenga</w:t>
      </w:r>
      <w:r w:rsidRPr="00BD16B4">
        <w:rPr>
          <w:rStyle w:val="FootnoteReference"/>
        </w:rPr>
        <w:footnoteReference w:id="500"/>
      </w:r>
      <w:r w:rsidRPr="00BD16B4">
        <w:t xml:space="preserve"> as a single vocational education institution responsible for workplace and provider-based learning</w:t>
      </w:r>
    </w:p>
    <w:p w14:paraId="53515E83" w14:textId="77777777" w:rsidR="00EE180C" w:rsidRPr="00BD16B4" w:rsidRDefault="00EE180C" w:rsidP="00EE180C">
      <w:pPr>
        <w:pStyle w:val="Bullet"/>
      </w:pPr>
      <w:r w:rsidRPr="00BD16B4">
        <w:t>centres of vocational excellence</w:t>
      </w:r>
      <w:r w:rsidRPr="00BD16B4">
        <w:rPr>
          <w:rStyle w:val="FootnoteReference"/>
        </w:rPr>
        <w:footnoteReference w:id="501"/>
      </w:r>
      <w:r w:rsidRPr="00BD16B4">
        <w:t xml:space="preserve"> to enhance education system responsiveness and bring together stakeholders to collaborate on high-quality curriculum and programme design.</w:t>
      </w:r>
    </w:p>
    <w:p w14:paraId="73A3BBE0" w14:textId="77777777" w:rsidR="00EE180C" w:rsidRPr="00BD16B4" w:rsidRDefault="00EE180C" w:rsidP="00EE180C">
      <w:pPr>
        <w:pStyle w:val="BodyText"/>
        <w:spacing w:before="100" w:after="100"/>
      </w:pPr>
      <w:r w:rsidRPr="00BD16B4">
        <w:lastRenderedPageBreak/>
        <w:t>Alongside these initiatives, the Government is committed to ensuring that tertiary education is accessible. In 2018, the Government introduced fees free tertiary education for students or trainees in their first years of study.</w:t>
      </w:r>
    </w:p>
    <w:p w14:paraId="6B6B7CFA" w14:textId="77777777" w:rsidR="00EE180C" w:rsidRPr="00BD16B4" w:rsidRDefault="00EE180C" w:rsidP="00EE180C">
      <w:pPr>
        <w:pStyle w:val="BodyText"/>
        <w:spacing w:after="100"/>
      </w:pPr>
      <w:r w:rsidRPr="00BD16B4">
        <w:t>As the transition progresses, the Government will continue to monitor trends in the demand for education and remove barriers to participation in lifelong learning. Options include introducing incentives to support specific types of skills, such as the recent Apprenticeship Boost initiative</w:t>
      </w:r>
      <w:r w:rsidRPr="00BD16B4">
        <w:rPr>
          <w:rStyle w:val="FootnoteReference"/>
        </w:rPr>
        <w:footnoteReference w:id="502"/>
      </w:r>
      <w:r w:rsidRPr="00BD16B4">
        <w:t xml:space="preserve"> and Targeted Training and Apprenticeship Fund initiative.</w:t>
      </w:r>
      <w:r w:rsidRPr="00BD16B4">
        <w:rPr>
          <w:rStyle w:val="FootnoteReference"/>
        </w:rPr>
        <w:footnoteReference w:id="503"/>
      </w:r>
      <w:r w:rsidRPr="00BD16B4">
        <w:t xml:space="preserve"> These initiatives were introduced to support apprentices to keep earning and training towards their qualifications as the economy recovers from the effects of the COVID-19 pandemic.</w:t>
      </w:r>
    </w:p>
    <w:p w14:paraId="15A685B9" w14:textId="77777777" w:rsidR="00EE180C" w:rsidRPr="00BD16B4" w:rsidRDefault="00EE180C" w:rsidP="00EE180C">
      <w:pPr>
        <w:pStyle w:val="BodyText"/>
        <w:spacing w:after="240"/>
      </w:pPr>
      <w:r w:rsidRPr="00BD16B4">
        <w:t>Action 2.4 of the first emissions reduction plan is to ‘Activate kaupapa Māori and tangata Māori (incorporating the knowledge, skills, attitudes and values of Māori society) solutions’. The Government will provide a dedicated fund to invest in Māori capacity and capability to shape climate policy, education and action.</w:t>
      </w:r>
    </w:p>
    <w:tbl>
      <w:tblPr>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EE180C" w:rsidRPr="00BD16B4" w14:paraId="79D1E98F" w14:textId="77777777" w:rsidTr="00F31129">
        <w:tc>
          <w:tcPr>
            <w:tcW w:w="8505" w:type="dxa"/>
            <w:shd w:val="clear" w:color="auto" w:fill="D5EBE8" w:themeFill="accent3"/>
          </w:tcPr>
          <w:p w14:paraId="3064CA46" w14:textId="77777777" w:rsidR="00EE180C" w:rsidRPr="00BD16B4" w:rsidRDefault="00EE180C" w:rsidP="00943645">
            <w:pPr>
              <w:pStyle w:val="Boxheading"/>
              <w:keepNext w:val="0"/>
            </w:pPr>
            <w:r w:rsidRPr="00BD16B4">
              <w:t>Case Study: Papatūānuku Kōkiri Marae</w:t>
            </w:r>
            <w:r w:rsidRPr="00BD16B4">
              <w:rPr>
                <w:rStyle w:val="FootnoteReference"/>
                <w:color w:val="1B556B" w:themeColor="text2"/>
              </w:rPr>
              <w:footnoteReference w:id="504"/>
            </w:r>
          </w:p>
          <w:p w14:paraId="25B09E85" w14:textId="77777777" w:rsidR="00EE180C" w:rsidRPr="00BD16B4" w:rsidRDefault="00EE180C" w:rsidP="00F31129">
            <w:pPr>
              <w:pStyle w:val="Boxtext"/>
              <w:spacing w:after="60"/>
            </w:pPr>
            <w:r w:rsidRPr="00BD16B4">
              <w:t xml:space="preserve">Papatūānuku Kōkiri Marae in Māngere, Tāmaki Makaurau (Auckland), is a hub of community education, tikanga and practice that embodies the vision of Oranga Whenua Oranga Tangata, which the marae has had for the past 30 years. </w:t>
            </w:r>
          </w:p>
          <w:p w14:paraId="03BE2BE9" w14:textId="77777777" w:rsidR="00EE180C" w:rsidRPr="00BD16B4" w:rsidRDefault="00EE180C" w:rsidP="00F31129">
            <w:pPr>
              <w:pStyle w:val="Boxtext"/>
              <w:spacing w:after="60"/>
              <w:rPr>
                <w:color w:val="1B556B" w:themeColor="text2"/>
                <w:szCs w:val="20"/>
              </w:rPr>
            </w:pPr>
            <w:r w:rsidRPr="00BD16B4">
              <w:t xml:space="preserve">Supported through funding from local and central government, Papatūānuku Kōkiri Marae is a champion of waste minimisation and Māori food sovereignty through its commitment to Hua Parakore: a framework for growing kai that connects the kaupapa of whakapapa, wairua, mana, māramatanga, mauri and te ao </w:t>
            </w:r>
            <w:r w:rsidRPr="00BD16B4">
              <w:rPr>
                <w:color w:val="1B556B" w:themeColor="text2"/>
                <w:szCs w:val="20"/>
              </w:rPr>
              <w:t>tūroa.</w:t>
            </w:r>
            <w:r w:rsidRPr="00BD16B4">
              <w:rPr>
                <w:rStyle w:val="FootnoteReference"/>
                <w:color w:val="1B556B" w:themeColor="text2"/>
                <w:sz w:val="20"/>
                <w:szCs w:val="20"/>
              </w:rPr>
              <w:footnoteReference w:id="505"/>
            </w:r>
            <w:r w:rsidRPr="00BD16B4">
              <w:rPr>
                <w:color w:val="1B556B" w:themeColor="text2"/>
                <w:szCs w:val="20"/>
              </w:rPr>
              <w:t xml:space="preserve"> </w:t>
            </w:r>
          </w:p>
          <w:p w14:paraId="31A74A16" w14:textId="77777777" w:rsidR="00EE180C" w:rsidRPr="00BD16B4" w:rsidRDefault="00EE180C" w:rsidP="00F31129">
            <w:pPr>
              <w:pStyle w:val="Boxtext"/>
              <w:spacing w:after="180"/>
            </w:pPr>
            <w:r w:rsidRPr="00BD16B4">
              <w:t>An important element of Māori food sovereignty is self-sufficiency, reducing the need for fossil-fuelled supply chains by producing and distributing kai locally. Papatūānuku Kōkiri Marae grows food for the marae kitchen, its community, farmers markets and restaurants, and teaches others how to do the same, ensuring the whenua of Tāmaki Makaurau sustains the people of Tāmaki Makaurau (Auckland).</w:t>
            </w:r>
          </w:p>
        </w:tc>
      </w:tr>
    </w:tbl>
    <w:p w14:paraId="04F9FC4D" w14:textId="77777777" w:rsidR="00EE180C" w:rsidRPr="00BD16B4" w:rsidRDefault="00EE180C" w:rsidP="00EE180C">
      <w:pPr>
        <w:pStyle w:val="Heading3"/>
      </w:pPr>
      <w:r w:rsidRPr="00BD16B4">
        <w:lastRenderedPageBreak/>
        <w:t>9.4.2</w:t>
      </w:r>
      <w:r w:rsidRPr="00BD16B4">
        <w:tab/>
        <w:t>Institutes and research centres</w:t>
      </w:r>
    </w:p>
    <w:p w14:paraId="0550D870" w14:textId="77777777" w:rsidR="00EE180C" w:rsidRPr="00BD16B4" w:rsidRDefault="00EE180C" w:rsidP="00943645">
      <w:pPr>
        <w:pStyle w:val="BodyText"/>
        <w:keepNext/>
        <w:keepLines/>
        <w:spacing w:before="100" w:after="100"/>
      </w:pPr>
      <w:r w:rsidRPr="00BD16B4">
        <w:t xml:space="preserve">The New Zealand Government provides support for the institutions and research centres that educate professionals and members of the public more generally on climate change issues. </w:t>
      </w:r>
    </w:p>
    <w:p w14:paraId="098BF896" w14:textId="77777777" w:rsidR="00EE180C" w:rsidRPr="00BD16B4" w:rsidRDefault="00EE180C" w:rsidP="004E1B8C">
      <w:pPr>
        <w:pStyle w:val="Heading4"/>
      </w:pPr>
      <w:r w:rsidRPr="00BD16B4">
        <w:t>Antarctic Research Centre</w:t>
      </w:r>
    </w:p>
    <w:p w14:paraId="59CC594C" w14:textId="3E550684" w:rsidR="00EE180C" w:rsidRPr="00BD16B4" w:rsidRDefault="00EE180C" w:rsidP="00943645">
      <w:pPr>
        <w:pStyle w:val="BodyText"/>
        <w:spacing w:before="100" w:after="100"/>
      </w:pPr>
      <w:r w:rsidRPr="00BD16B4">
        <w:t xml:space="preserve">The Antarctic Research Centre (ARC) is a Centre of Research Excellence within the Faculty of Science of Victoria University of Wellington. The aim of the ARC is to research the field of Antarctic earth sciences with a focus on past climate history and processes and their influence on the New Zealand and global climate. </w:t>
      </w:r>
    </w:p>
    <w:p w14:paraId="0F8AAB67" w14:textId="77777777" w:rsidR="00EE180C" w:rsidRPr="00BD16B4" w:rsidRDefault="00EE180C" w:rsidP="00943645">
      <w:pPr>
        <w:pStyle w:val="BodyText"/>
        <w:spacing w:before="100" w:after="100"/>
      </w:pPr>
      <w:r w:rsidRPr="00BD16B4">
        <w:t>The ARC has organised events and seminars over the reporting period on topics relevant to climate change. The ARC also hosts the annual ST Lee Lecture in Antarctic Studies. Researchers from the ARC engage directly with government ministries as well.</w:t>
      </w:r>
    </w:p>
    <w:p w14:paraId="55DE4C62" w14:textId="77777777" w:rsidR="00EE180C" w:rsidRPr="00BD16B4" w:rsidRDefault="00EE180C" w:rsidP="004E1B8C">
      <w:pPr>
        <w:pStyle w:val="Heading4"/>
      </w:pPr>
      <w:r w:rsidRPr="00BD16B4">
        <w:t>Deep South National Science Challenge</w:t>
      </w:r>
    </w:p>
    <w:p w14:paraId="4C252DC2" w14:textId="77777777" w:rsidR="00EE180C" w:rsidRPr="00BD16B4" w:rsidRDefault="00EE180C" w:rsidP="00943645">
      <w:pPr>
        <w:pStyle w:val="BodyText"/>
        <w:spacing w:before="100" w:after="100"/>
      </w:pPr>
      <w:r w:rsidRPr="00BD16B4">
        <w:t>The Deep South National Science Challenge was launched in August 2014. The Challenge is funded by the Ministry of Business, Innovation and Employment and hosted by the National Institute of Water and Atmospheric Research (NIWA). The Challenge works with industries, sectors and communities to help New Zealanders make decisions that are informed by climate science. As such, public and sector engagement are core to the development and success of the Challenge.</w:t>
      </w:r>
    </w:p>
    <w:p w14:paraId="4959435E" w14:textId="77777777" w:rsidR="00EE180C" w:rsidRPr="00BD16B4" w:rsidRDefault="00EE180C" w:rsidP="00943645">
      <w:pPr>
        <w:pStyle w:val="BodyText"/>
        <w:spacing w:before="100" w:after="100"/>
      </w:pPr>
      <w:r w:rsidRPr="00BD16B4">
        <w:t>The Challenge has developed close relationships with the main sectors that will be affected by climate change, ensuring important decision-making groups are informing, and are informed by, Deep South research. Significant partners hail from central and local government, the Iwi Chairs Forum</w:t>
      </w:r>
      <w:r w:rsidRPr="00BD16B4">
        <w:rPr>
          <w:rStyle w:val="FootnoteReference"/>
        </w:rPr>
        <w:footnoteReference w:id="506"/>
      </w:r>
      <w:r w:rsidRPr="00BD16B4">
        <w:t xml:space="preserve"> and main climate-affected sectors, such agriculture, infrastructure, finance and insurance. They also bring end-users together with researchers to co-create research questions through Deep South Dialogues. </w:t>
      </w:r>
    </w:p>
    <w:p w14:paraId="007A4977" w14:textId="77777777" w:rsidR="00EE180C" w:rsidRPr="00BD16B4" w:rsidRDefault="00EE180C" w:rsidP="00943645">
      <w:pPr>
        <w:pStyle w:val="BodyText"/>
        <w:spacing w:before="100" w:after="100"/>
        <w:rPr>
          <w:highlight w:val="yellow"/>
        </w:rPr>
      </w:pPr>
      <w:r w:rsidRPr="00BD16B4">
        <w:t xml:space="preserve">Partnerships with selected media and public outreach initiatives have also been leveraged to increase awareness of Deep South research and the effects and implications of climate change, with a specific focus on adaptation. </w:t>
      </w:r>
    </w:p>
    <w:p w14:paraId="6E610550" w14:textId="16E3F2B1" w:rsidR="00EE180C" w:rsidRPr="00BD16B4" w:rsidRDefault="00EE180C" w:rsidP="00943645">
      <w:pPr>
        <w:pStyle w:val="BodyText"/>
        <w:spacing w:before="100" w:after="100"/>
      </w:pPr>
      <w:r w:rsidRPr="00BD16B4">
        <w:t>The Challenge also has a user-friendly website,</w:t>
      </w:r>
      <w:r w:rsidRPr="00BD16B4">
        <w:rPr>
          <w:rStyle w:val="FootnoteReference"/>
        </w:rPr>
        <w:footnoteReference w:id="507"/>
      </w:r>
      <w:r w:rsidRPr="00BD16B4">
        <w:t xml:space="preserve"> a regular e-newsletter and an active Twitter account. It runs online seminars, webinars and drop-in online meetings that are open to the</w:t>
      </w:r>
      <w:r w:rsidR="001B3A1B" w:rsidRPr="00BD16B4">
        <w:t xml:space="preserve"> </w:t>
      </w:r>
      <w:r w:rsidRPr="00BD16B4">
        <w:rPr>
          <w:spacing w:val="-2"/>
        </w:rPr>
        <w:t>public and end-users. It invests in building capacity in climate change engagement by supporting researchers to develop their engagement skills and experience and offering end</w:t>
      </w:r>
      <w:r w:rsidRPr="00BD16B4">
        <w:noBreakHyphen/>
        <w:t>users the opportunity to upskill members of their communities to become ‘climate ambassadors’.</w:t>
      </w:r>
    </w:p>
    <w:p w14:paraId="1B15B8EA" w14:textId="77777777" w:rsidR="00EE180C" w:rsidRPr="00BD16B4" w:rsidRDefault="00EE180C" w:rsidP="00943645">
      <w:pPr>
        <w:pStyle w:val="BodyText"/>
        <w:spacing w:before="100" w:after="100"/>
      </w:pPr>
      <w:r w:rsidRPr="00BD16B4">
        <w:t>In both 2018 and 2019, the Deep South Challenge Conference ‘Changing with our Climate’ was held in Auckland. These multi-day conferences facilitated discussions between researchers, partners and stakeholders about the impacts of climate change, such as the research relating to the way climate change might affect water. Recordings from the conference are available for viewing on the Challenge’s website.</w:t>
      </w:r>
      <w:r w:rsidRPr="00BD16B4">
        <w:rPr>
          <w:rStyle w:val="FootnoteReference"/>
        </w:rPr>
        <w:footnoteReference w:id="508"/>
      </w:r>
    </w:p>
    <w:p w14:paraId="2B63A8C6" w14:textId="1F520EE9" w:rsidR="00EE180C" w:rsidRPr="00BD16B4" w:rsidRDefault="00EE180C" w:rsidP="00EE180C">
      <w:pPr>
        <w:pStyle w:val="BodyText"/>
        <w:spacing w:before="100" w:after="100"/>
      </w:pPr>
      <w:r w:rsidRPr="00BD16B4">
        <w:lastRenderedPageBreak/>
        <w:t>The Challenge conducts rigorous evaluation to ensure the wise and informed investment of engagement funds and has also funded a public engagement research project that explores the role culture plays in engagement about climate change. For more information on the Deep</w:t>
      </w:r>
      <w:r w:rsidR="00045EF5" w:rsidRPr="00BD16B4">
        <w:t xml:space="preserve"> </w:t>
      </w:r>
      <w:r w:rsidRPr="00BD16B4">
        <w:rPr>
          <w:spacing w:val="-2"/>
        </w:rPr>
        <w:t>South National Science Challenge, see chapter 6</w:t>
      </w:r>
      <w:r w:rsidR="00FE2984" w:rsidRPr="00BD16B4">
        <w:rPr>
          <w:spacing w:val="-2"/>
        </w:rPr>
        <w:t>, section 7.6</w:t>
      </w:r>
      <w:r w:rsidRPr="00BD16B4">
        <w:rPr>
          <w:spacing w:val="-2"/>
        </w:rPr>
        <w:t xml:space="preserve"> and </w:t>
      </w:r>
      <w:r w:rsidR="00FE2984" w:rsidRPr="00BD16B4">
        <w:rPr>
          <w:spacing w:val="-2"/>
        </w:rPr>
        <w:t xml:space="preserve">chapter </w:t>
      </w:r>
      <w:r w:rsidRPr="00BD16B4">
        <w:rPr>
          <w:spacing w:val="-2"/>
        </w:rPr>
        <w:t>8</w:t>
      </w:r>
      <w:r w:rsidR="00FE2984" w:rsidRPr="00BD16B4">
        <w:rPr>
          <w:spacing w:val="-2"/>
        </w:rPr>
        <w:t>, section</w:t>
      </w:r>
      <w:r w:rsidR="00045EF5" w:rsidRPr="00BD16B4">
        <w:rPr>
          <w:spacing w:val="-2"/>
        </w:rPr>
        <w:t>s</w:t>
      </w:r>
      <w:r w:rsidR="00124D7A" w:rsidRPr="00BD16B4">
        <w:rPr>
          <w:spacing w:val="-2"/>
        </w:rPr>
        <w:t> </w:t>
      </w:r>
      <w:r w:rsidR="00FE2984" w:rsidRPr="00BD16B4">
        <w:rPr>
          <w:spacing w:val="-2"/>
        </w:rPr>
        <w:t>8.2 and 8.4</w:t>
      </w:r>
      <w:r w:rsidRPr="00BD16B4">
        <w:rPr>
          <w:spacing w:val="-2"/>
        </w:rPr>
        <w:t>.</w:t>
      </w:r>
      <w:r w:rsidRPr="00BD16B4">
        <w:t xml:space="preserve"> </w:t>
      </w:r>
    </w:p>
    <w:p w14:paraId="294E7D83" w14:textId="77777777" w:rsidR="00EE180C" w:rsidRPr="00BD16B4" w:rsidRDefault="00EE180C" w:rsidP="004E1B8C">
      <w:pPr>
        <w:pStyle w:val="Heading4"/>
      </w:pPr>
      <w:r w:rsidRPr="00BD16B4">
        <w:t>Institute for Governance and Policy Studies</w:t>
      </w:r>
    </w:p>
    <w:p w14:paraId="4331CC4D" w14:textId="77777777" w:rsidR="00EE180C" w:rsidRPr="00BD16B4" w:rsidRDefault="00EE180C" w:rsidP="00EE180C">
      <w:pPr>
        <w:pStyle w:val="BodyText"/>
        <w:spacing w:before="100" w:after="100"/>
      </w:pPr>
      <w:r w:rsidRPr="00BD16B4">
        <w:t>The Institute for Governance and Policy Studies (IGPS) is part of the School of Government at Victoria University of Wellington.</w:t>
      </w:r>
      <w:r w:rsidRPr="00BD16B4">
        <w:rPr>
          <w:rStyle w:val="FootnoteReference"/>
        </w:rPr>
        <w:footnoteReference w:id="509"/>
      </w:r>
      <w:r w:rsidRPr="00BD16B4">
        <w:t xml:space="preserve"> Its aim is to deliver independent, high-quality and high-impact research that informs the policy-making process and influences policy development and implementation in important areas of public policy, including on climate change. </w:t>
      </w:r>
    </w:p>
    <w:p w14:paraId="68778B46" w14:textId="77777777" w:rsidR="00EE180C" w:rsidRPr="00BD16B4" w:rsidRDefault="00EE180C" w:rsidP="00EE180C">
      <w:pPr>
        <w:pStyle w:val="BodyText"/>
        <w:spacing w:before="100" w:after="100"/>
      </w:pPr>
      <w:r w:rsidRPr="00BD16B4">
        <w:t xml:space="preserve">The IGPS has undertaken various activities with respect to climate change mitigation and adaptation since 2006. This has included hosting numerous conferences, forums, workshops and public seminars. The IGPS has published many articles and working papers on climate change, including special issues of its journal, </w:t>
      </w:r>
      <w:r w:rsidRPr="00BD16B4">
        <w:rPr>
          <w:i/>
          <w:iCs/>
        </w:rPr>
        <w:t>Policy Quarterly</w:t>
      </w:r>
      <w:r w:rsidRPr="00BD16B4">
        <w:t xml:space="preserve">, on climate-related topics. The IGPS has also hosted events from 2018 to 2022, however, the number of events and attendance has decreased due to cancellations in response to COVID-19 restrictions. Factoring out these losses, the overall level of public engagement remains high. Between July 2017 and December 2021, 261 articles were written for the </w:t>
      </w:r>
      <w:r w:rsidRPr="00BD16B4">
        <w:rPr>
          <w:i/>
          <w:iCs/>
        </w:rPr>
        <w:t>Conversation</w:t>
      </w:r>
      <w:r w:rsidRPr="00BD16B4">
        <w:t xml:space="preserve"> newsletter, receiving over 6 million reads. Collectively, these activities provide a useful contribution to public policy and an opportunity for informal engagement among and with stakeholders.</w:t>
      </w:r>
    </w:p>
    <w:p w14:paraId="4D26EC72" w14:textId="77777777" w:rsidR="00EE180C" w:rsidRPr="00BD16B4" w:rsidRDefault="00EE180C" w:rsidP="004E1B8C">
      <w:pPr>
        <w:pStyle w:val="Heading4"/>
      </w:pPr>
      <w:r w:rsidRPr="00BD16B4">
        <w:t>Motu Economic and Public Policy Research</w:t>
      </w:r>
    </w:p>
    <w:p w14:paraId="6949C075" w14:textId="77777777" w:rsidR="00EE180C" w:rsidRPr="00BD16B4" w:rsidRDefault="00EE180C" w:rsidP="00EE180C">
      <w:pPr>
        <w:pStyle w:val="BodyText"/>
        <w:spacing w:after="100"/>
      </w:pPr>
      <w:r w:rsidRPr="00BD16B4">
        <w:t>Motu Economic and Public Policy Research (Motu) is a non-profit economic and public policy research institute.</w:t>
      </w:r>
      <w:r w:rsidRPr="00BD16B4">
        <w:rPr>
          <w:rStyle w:val="FootnoteReference"/>
        </w:rPr>
        <w:footnoteReference w:id="510"/>
      </w:r>
      <w:r w:rsidRPr="00BD16B4">
        <w:t xml:space="preserve"> It is independent and non-partisan. It receives funding through grants and contracts from various organisations including government departments, foundations, multilateral institutions and private companies. </w:t>
      </w:r>
    </w:p>
    <w:p w14:paraId="4D6929AF" w14:textId="77777777" w:rsidR="00EE180C" w:rsidRPr="00BD16B4" w:rsidRDefault="00EE180C" w:rsidP="00EE180C">
      <w:pPr>
        <w:pStyle w:val="BodyText"/>
        <w:spacing w:after="100"/>
      </w:pPr>
      <w:r w:rsidRPr="00BD16B4">
        <w:t>The focus of Motu’s current and recent economic and policy research and engagement activities relevant to climate change include:</w:t>
      </w:r>
    </w:p>
    <w:p w14:paraId="56710EF7" w14:textId="77777777" w:rsidR="00EE180C" w:rsidRPr="00BD16B4" w:rsidRDefault="00EE180C" w:rsidP="00EE180C">
      <w:pPr>
        <w:pStyle w:val="Bullet"/>
        <w:spacing w:after="100"/>
      </w:pPr>
      <w:r w:rsidRPr="00BD16B4">
        <w:t xml:space="preserve">pathways, policies and modelling for reducing greenhouse gas emissions </w:t>
      </w:r>
    </w:p>
    <w:p w14:paraId="4A580541" w14:textId="77777777" w:rsidR="00EE180C" w:rsidRPr="00BD16B4" w:rsidRDefault="00EE180C" w:rsidP="00EE180C">
      <w:pPr>
        <w:pStyle w:val="Bullet"/>
        <w:spacing w:after="100"/>
      </w:pPr>
      <w:r w:rsidRPr="00BD16B4">
        <w:t>design of emissions trading systems and other market-based instruments in Aotearoa New Zealand and other countries</w:t>
      </w:r>
    </w:p>
    <w:p w14:paraId="2DCE5B31" w14:textId="77777777" w:rsidR="00EE180C" w:rsidRPr="00BD16B4" w:rsidRDefault="00EE180C" w:rsidP="00EE180C">
      <w:pPr>
        <w:pStyle w:val="Bullet"/>
      </w:pPr>
      <w:r w:rsidRPr="00BD16B4">
        <w:t>vulnerability and adaptation to climate change impacts.</w:t>
      </w:r>
    </w:p>
    <w:p w14:paraId="608D32B4" w14:textId="77777777" w:rsidR="00EE180C" w:rsidRPr="00BD16B4" w:rsidRDefault="00EE180C" w:rsidP="00EE180C">
      <w:pPr>
        <w:pStyle w:val="BodyText"/>
        <w:spacing w:before="100" w:after="100"/>
      </w:pPr>
      <w:r w:rsidRPr="00BD16B4">
        <w:t>Motu provides education information to the public through newsletters, blogs and forums, such as the blog New Zealand’s Low-Emission Future and Agricultural emissions dialogue forum.</w:t>
      </w:r>
      <w:r w:rsidRPr="00BD16B4">
        <w:rPr>
          <w:rStyle w:val="FootnoteReference"/>
        </w:rPr>
        <w:footnoteReference w:id="511"/>
      </w:r>
      <w:r w:rsidRPr="00BD16B4">
        <w:t xml:space="preserve"> The blogs and forums aim to share information and perspectives about the mitigation challenge that New Zealand faces. It aims to help identify actions government, businesses and civil society can take to prepare New Zealand to thrive in a future of global greenhouse gas constraints. Motu also provides teaching resources and materials, where staff run courses and teach in New Zealand universities. Free teaching materials, including games focused on the emissions trading scheme, are available on the website.</w:t>
      </w:r>
      <w:r w:rsidRPr="00BD16B4">
        <w:rPr>
          <w:rStyle w:val="FootnoteReference"/>
        </w:rPr>
        <w:footnoteReference w:id="512"/>
      </w:r>
    </w:p>
    <w:p w14:paraId="23DEFD4E" w14:textId="77777777" w:rsidR="00EE180C" w:rsidRPr="00BD16B4" w:rsidRDefault="00EE180C" w:rsidP="005168E1">
      <w:pPr>
        <w:pStyle w:val="BodyText"/>
      </w:pPr>
      <w:r w:rsidRPr="00BD16B4">
        <w:lastRenderedPageBreak/>
        <w:t>Motu releases many publications on its research and findings, all of which are freely available to the public.</w:t>
      </w:r>
      <w:r w:rsidRPr="00BD16B4">
        <w:rPr>
          <w:rStyle w:val="FootnoteReference"/>
        </w:rPr>
        <w:footnoteReference w:id="513"/>
      </w:r>
      <w:r w:rsidRPr="00BD16B4">
        <w:t xml:space="preserve"> Motu also shares its research and engagement outcomes by participating in other climate change initiatives in Aotearoa New Zealand and internationally. </w:t>
      </w:r>
    </w:p>
    <w:p w14:paraId="3CA871FA" w14:textId="77777777" w:rsidR="00EE180C" w:rsidRPr="00BD16B4" w:rsidRDefault="00EE180C" w:rsidP="004E1B8C">
      <w:pPr>
        <w:pStyle w:val="Heading4"/>
      </w:pPr>
      <w:r w:rsidRPr="00BD16B4">
        <w:t>NIWA National Climate Centre</w:t>
      </w:r>
    </w:p>
    <w:p w14:paraId="25295917" w14:textId="77777777" w:rsidR="00EE180C" w:rsidRPr="00BD16B4" w:rsidRDefault="00EE180C" w:rsidP="005168E1">
      <w:pPr>
        <w:pStyle w:val="BodyText"/>
      </w:pPr>
      <w:r w:rsidRPr="00BD16B4">
        <w:t xml:space="preserve">The NIWA National Climate Centre produces climate summaries, models, forecasts and general information about Aotearoa New Zealand’s climate. For more information about the services and information NIWA provides through the National Climate Database, see chapter 8. </w:t>
      </w:r>
    </w:p>
    <w:p w14:paraId="3E4B95F5" w14:textId="77777777" w:rsidR="00EE180C" w:rsidRPr="00BD16B4" w:rsidRDefault="00EE180C" w:rsidP="005168E1">
      <w:pPr>
        <w:pStyle w:val="BodyText"/>
      </w:pPr>
      <w:r w:rsidRPr="00BD16B4">
        <w:t>NIWA is committed to making information available to the public. The NIWA website</w:t>
      </w:r>
      <w:r w:rsidRPr="00BD16B4">
        <w:rPr>
          <w:rStyle w:val="FootnoteReference"/>
          <w:color w:val="auto"/>
        </w:rPr>
        <w:footnoteReference w:id="514"/>
      </w:r>
      <w:r w:rsidRPr="00BD16B4">
        <w:t xml:space="preserve"> has detailed information about greenhouse gas measurements, global climate models, climate change summaries and outlooks for New Zealand, information on climate change and the marine environment in New Zealand, and regional climate change impacts.</w:t>
      </w:r>
    </w:p>
    <w:p w14:paraId="74C4A03B" w14:textId="77777777" w:rsidR="00EE180C" w:rsidRPr="00BD16B4" w:rsidRDefault="00EE180C" w:rsidP="005168E1">
      <w:pPr>
        <w:pStyle w:val="BodyText"/>
      </w:pPr>
      <w:r w:rsidRPr="00BD16B4">
        <w:t>NIWA is committed to education in New Zealand at all levels, offering educational resources to the primary and secondary curriculum, internships and graduate programmes to university students, post-doctoral fellowships, scholarships and training courses.</w:t>
      </w:r>
      <w:r w:rsidRPr="00BD16B4">
        <w:rPr>
          <w:rStyle w:val="FootnoteReference"/>
        </w:rPr>
        <w:footnoteReference w:id="515"/>
      </w:r>
      <w:r w:rsidRPr="00BD16B4">
        <w:t xml:space="preserve"> NIWA sponsors multiple science and technology fairs as part of its long-term commitment to enhancing science and technology in young New Zealanders. </w:t>
      </w:r>
    </w:p>
    <w:p w14:paraId="3643FB88" w14:textId="77777777" w:rsidR="00EE180C" w:rsidRPr="00BD16B4" w:rsidRDefault="00EE180C" w:rsidP="004E1B8C">
      <w:pPr>
        <w:pStyle w:val="Heading4"/>
      </w:pPr>
      <w:r w:rsidRPr="00BD16B4">
        <w:t>Endeavour Fund</w:t>
      </w:r>
    </w:p>
    <w:p w14:paraId="6915733C" w14:textId="77777777" w:rsidR="00EE180C" w:rsidRPr="00BD16B4" w:rsidRDefault="00EE180C" w:rsidP="005168E1">
      <w:pPr>
        <w:pStyle w:val="BodyText"/>
      </w:pPr>
      <w:r w:rsidRPr="00BD16B4">
        <w:t>The Endeavour Fund</w:t>
      </w:r>
      <w:r w:rsidRPr="00BD16B4">
        <w:rPr>
          <w:rStyle w:val="FootnoteReference"/>
        </w:rPr>
        <w:footnoteReference w:id="516"/>
      </w:r>
      <w:r w:rsidRPr="00BD16B4">
        <w:t xml:space="preserve"> generates new knowledge that supports sectors to transition to a low-emissions and climate-resilient economy, including through the development of new energy opportunities and new materials. </w:t>
      </w:r>
    </w:p>
    <w:p w14:paraId="76F2B509" w14:textId="77777777" w:rsidR="00EE180C" w:rsidRPr="00BD16B4" w:rsidRDefault="00EE180C" w:rsidP="005168E1">
      <w:pPr>
        <w:pStyle w:val="BodyText"/>
      </w:pPr>
      <w:r w:rsidRPr="00BD16B4">
        <w:t>This includes the Institute of Geological and Nuclear Sciences Limited led ‘Geothermal: The Next Generation project,</w:t>
      </w:r>
      <w:r w:rsidRPr="00BD16B4">
        <w:rPr>
          <w:rStyle w:val="FootnoteReference"/>
        </w:rPr>
        <w:footnoteReference w:id="517"/>
      </w:r>
      <w:r w:rsidRPr="00BD16B4">
        <w:t xml:space="preserve"> which explores new ways to extract geothermal energy at greater depths. The knowledge developed will deliver new options to significantly reduce emissions for the energy sector and provide a vital regional perspective and opportunities for iwi</w:t>
      </w:r>
      <w:r w:rsidRPr="00BD16B4">
        <w:rPr>
          <w:rStyle w:val="FootnoteReference"/>
        </w:rPr>
        <w:footnoteReference w:id="518"/>
      </w:r>
      <w:r w:rsidRPr="00BD16B4">
        <w:t xml:space="preserve"> and regional development.</w:t>
      </w:r>
    </w:p>
    <w:p w14:paraId="58181E38" w14:textId="77777777" w:rsidR="00EE180C" w:rsidRPr="00BD16B4" w:rsidRDefault="00EE180C" w:rsidP="004E1B8C">
      <w:pPr>
        <w:pStyle w:val="Heading4"/>
      </w:pPr>
      <w:r w:rsidRPr="00BD16B4">
        <w:t>Te Ara Paerangi – Future Pathways</w:t>
      </w:r>
    </w:p>
    <w:p w14:paraId="304C1F3D" w14:textId="53BEC22F" w:rsidR="00EE180C" w:rsidRPr="00BD16B4" w:rsidRDefault="00EE180C" w:rsidP="005168E1">
      <w:pPr>
        <w:pStyle w:val="BodyText"/>
      </w:pPr>
      <w:r w:rsidRPr="00BD16B4">
        <w:t>The initiative Te Ara Paerangi – Future Pathways</w:t>
      </w:r>
      <w:r w:rsidRPr="00BD16B4">
        <w:rPr>
          <w:rStyle w:val="FootnoteReference"/>
        </w:rPr>
        <w:footnoteReference w:id="519"/>
      </w:r>
      <w:r w:rsidRPr="00BD16B4">
        <w:t xml:space="preserve"> will ensure New Zealand’s public science system can solve the challenges the country is facing. The research, science and innovation (RSI) system funds universities, Crown research institutes and international partnerships to conduct public good research. This research is focused on developing new knowledge and </w:t>
      </w:r>
      <w:r w:rsidRPr="00BD16B4">
        <w:lastRenderedPageBreak/>
        <w:t>technology to help existing sectors move to low emissions. It also provides foundational knowledge and technology to underpin the development of new net zero sectors. More details</w:t>
      </w:r>
      <w:r w:rsidR="00235995" w:rsidRPr="00BD16B4">
        <w:t> </w:t>
      </w:r>
      <w:r w:rsidRPr="00BD16B4">
        <w:t>can be found in chapter 8, section</w:t>
      </w:r>
      <w:r w:rsidR="002B2F7A" w:rsidRPr="00BD16B4">
        <w:t xml:space="preserve"> 8.2.1</w:t>
      </w:r>
      <w:r w:rsidRPr="00BD16B4">
        <w:t>.</w:t>
      </w:r>
    </w:p>
    <w:p w14:paraId="73573947" w14:textId="77777777" w:rsidR="00EE180C" w:rsidRPr="00BD16B4" w:rsidRDefault="00EE180C" w:rsidP="004E1B8C">
      <w:pPr>
        <w:pStyle w:val="Heading4"/>
      </w:pPr>
      <w:r w:rsidRPr="00BD16B4">
        <w:t>Vision Mātauranga</w:t>
      </w:r>
    </w:p>
    <w:p w14:paraId="743D5BFD" w14:textId="77777777" w:rsidR="00EE180C" w:rsidRPr="00BD16B4" w:rsidRDefault="00EE180C" w:rsidP="00EE180C">
      <w:pPr>
        <w:pStyle w:val="BodyText"/>
      </w:pPr>
      <w:r w:rsidRPr="00BD16B4">
        <w:t>The Ministry of Business, Innovation and Employment’s Vision Mātauranga policy</w:t>
      </w:r>
      <w:r w:rsidRPr="00BD16B4">
        <w:rPr>
          <w:rStyle w:val="FootnoteReference"/>
        </w:rPr>
        <w:footnoteReference w:id="520"/>
      </w:r>
      <w:r w:rsidRPr="00BD16B4">
        <w:t xml:space="preserve"> enables the science and innovation potential of Māori knowledge. Mātauranga Māori offers insights and solutions to climate change issues that reflect a holistic worldview. The contribution mātauranga Māori can make to the RSI system will be important for New Zealand to meet its emissions budgets and emissions reduction targets, as well as creating a low-emissions economy for all. </w:t>
      </w:r>
    </w:p>
    <w:p w14:paraId="70FEFB35" w14:textId="77777777" w:rsidR="00EE180C" w:rsidRPr="00BD16B4" w:rsidRDefault="00EE180C" w:rsidP="00EE180C">
      <w:pPr>
        <w:pStyle w:val="BodyText"/>
      </w:pPr>
      <w:r w:rsidRPr="00BD16B4">
        <w:t>To enhance the role of mātauranga Māori and reflect Māori aspirations in the RSI system, the Vision Mātauranga policy will be expanded to help Māori make future investments in RSI and technology. It will be co-developed with Māori to achieve outcomes driven by and for Māori and that reflect Te Tiriti o Waitangi (the Treaty of Waitangi).</w:t>
      </w:r>
    </w:p>
    <w:p w14:paraId="00F81BAA" w14:textId="77777777" w:rsidR="00EE180C" w:rsidRPr="00BD16B4" w:rsidRDefault="00EE180C" w:rsidP="004E1B8C">
      <w:pPr>
        <w:pStyle w:val="Heading4"/>
      </w:pPr>
      <w:r w:rsidRPr="00BD16B4">
        <w:t>New Zealand Climate Change Research Institute</w:t>
      </w:r>
    </w:p>
    <w:p w14:paraId="494A0287" w14:textId="77777777" w:rsidR="00EE180C" w:rsidRPr="00BD16B4" w:rsidRDefault="00EE180C" w:rsidP="00EE180C">
      <w:pPr>
        <w:pStyle w:val="BodyText"/>
      </w:pPr>
      <w:r w:rsidRPr="00BD16B4">
        <w:t xml:space="preserve">The New Zealand Climate Change Research Institute was established in 2008 by Victoria University of Wellington to develop interdisciplinary, decision-relevant, climate change information. The researchers and policy thinkers work at the interface between climate change science and the decisions people have to make about climate change. A particular emphasis is on work that spans the natural and social sciences. </w:t>
      </w:r>
    </w:p>
    <w:p w14:paraId="374FD09B" w14:textId="77777777" w:rsidR="00EE180C" w:rsidRPr="00BD16B4" w:rsidRDefault="00EE180C" w:rsidP="00EE180C">
      <w:pPr>
        <w:pStyle w:val="BodyText"/>
      </w:pPr>
      <w:r w:rsidRPr="00BD16B4">
        <w:t>The institute collaborates internationally and within New Zealand with other researchers at Crown research institutes and universities, and with private institutes and researchers. It contributes to public debate about climate change and delivers courses to students and practitioners.</w:t>
      </w:r>
    </w:p>
    <w:p w14:paraId="0C02AE44" w14:textId="77777777" w:rsidR="00EE180C" w:rsidRPr="00BD16B4" w:rsidRDefault="00EE180C" w:rsidP="004E1B8C">
      <w:pPr>
        <w:pStyle w:val="Heading4"/>
      </w:pPr>
      <w:r w:rsidRPr="00BD16B4">
        <w:t>New Zealand Agricultural Greenhouse Gas Research Centre</w:t>
      </w:r>
    </w:p>
    <w:p w14:paraId="5DE42604" w14:textId="07AE604E" w:rsidR="00EE180C" w:rsidRPr="00BD16B4" w:rsidRDefault="00EE180C" w:rsidP="00EE180C">
      <w:pPr>
        <w:pStyle w:val="BodyText"/>
      </w:pPr>
      <w:r w:rsidRPr="00BD16B4">
        <w:t>The New Zealand Agricultural Greenhouse Gas Research Centre (NZAGRC) (see chapter 4, section 4.3.</w:t>
      </w:r>
      <w:r w:rsidR="002B2F7A" w:rsidRPr="00BD16B4">
        <w:t>6</w:t>
      </w:r>
      <w:r w:rsidRPr="00BD16B4">
        <w:t xml:space="preserve"> </w:t>
      </w:r>
      <w:r w:rsidR="002B2F7A" w:rsidRPr="00BD16B4">
        <w:t>and chapter 8, section 8.2.1</w:t>
      </w:r>
      <w:r w:rsidR="00366B13" w:rsidRPr="00BD16B4">
        <w:t xml:space="preserve"> </w:t>
      </w:r>
      <w:r w:rsidRPr="00BD16B4">
        <w:t>for details) produces regular publications, newsletters, webinars and reports.</w:t>
      </w:r>
      <w:r w:rsidRPr="00BD16B4">
        <w:rPr>
          <w:rStyle w:val="FootnoteReference"/>
        </w:rPr>
        <w:footnoteReference w:id="521"/>
      </w:r>
      <w:r w:rsidRPr="00BD16B4">
        <w:t xml:space="preserve"> It also administers a website ‘Ag Matters’ that provides practical information, backed by science, to inform farmers and growers about climate change.</w:t>
      </w:r>
      <w:r w:rsidRPr="00BD16B4">
        <w:rPr>
          <w:rStyle w:val="FootnoteReference"/>
        </w:rPr>
        <w:footnoteReference w:id="522"/>
      </w:r>
      <w:r w:rsidRPr="00BD16B4">
        <w:t xml:space="preserve"> Webinars recently produced by the NZAGRC (in 2021 and 2022) include:</w:t>
      </w:r>
    </w:p>
    <w:p w14:paraId="149353F4" w14:textId="77777777" w:rsidR="00EE180C" w:rsidRPr="00BD16B4" w:rsidRDefault="00EE180C" w:rsidP="00EE180C">
      <w:pPr>
        <w:pStyle w:val="Bullet"/>
      </w:pPr>
      <w:r w:rsidRPr="00BD16B4">
        <w:t>progress towards low methane dairy sires</w:t>
      </w:r>
    </w:p>
    <w:p w14:paraId="73086BB7" w14:textId="77777777" w:rsidR="00EE180C" w:rsidRPr="00BD16B4" w:rsidRDefault="00EE180C" w:rsidP="00EE180C">
      <w:pPr>
        <w:pStyle w:val="Bullet"/>
      </w:pPr>
      <w:r w:rsidRPr="00BD16B4">
        <w:t>pastoral systems, soil carbon and nitrous oxide emissions</w:t>
      </w:r>
    </w:p>
    <w:p w14:paraId="25192E8A" w14:textId="77777777" w:rsidR="00EE180C" w:rsidRPr="00BD16B4" w:rsidRDefault="00EE180C" w:rsidP="00EE180C">
      <w:pPr>
        <w:pStyle w:val="Bullet"/>
      </w:pPr>
      <w:r w:rsidRPr="00BD16B4">
        <w:t>developing methane inhibitors for grazing livestock on New Zealand farms.</w:t>
      </w:r>
    </w:p>
    <w:p w14:paraId="521B1CB4" w14:textId="77777777" w:rsidR="00EE180C" w:rsidRPr="00BD16B4" w:rsidRDefault="00EE180C" w:rsidP="00CD7DF0">
      <w:pPr>
        <w:pStyle w:val="BodyText"/>
        <w:keepLines/>
        <w:spacing w:after="100"/>
      </w:pPr>
      <w:r w:rsidRPr="00BD16B4">
        <w:lastRenderedPageBreak/>
        <w:t xml:space="preserve">Since the </w:t>
      </w:r>
      <w:r w:rsidRPr="00BD16B4">
        <w:rPr>
          <w:i/>
          <w:iCs/>
        </w:rPr>
        <w:t>Seventh National Communication</w:t>
      </w:r>
      <w:r w:rsidRPr="00BD16B4">
        <w:t>, the NZAGRC has published over 60 peer-reviewed publications.</w:t>
      </w:r>
      <w:r w:rsidRPr="00BD16B4">
        <w:rPr>
          <w:rStyle w:val="FootnoteReference"/>
        </w:rPr>
        <w:footnoteReference w:id="523"/>
      </w:r>
      <w:r w:rsidRPr="00BD16B4">
        <w:t xml:space="preserve"> In addition to a portfolio of research, the NZAGRC attracts and supports a significant number of master’s, doctoral and postdoctoral students each year, expanding the pool of researchers with skills in the area of agricultural greenhouse gas mitigation and ensuring succession in science leadership. </w:t>
      </w:r>
    </w:p>
    <w:p w14:paraId="7529048C" w14:textId="77777777" w:rsidR="00EE180C" w:rsidRPr="00BD16B4" w:rsidRDefault="00EE180C" w:rsidP="00EE180C">
      <w:pPr>
        <w:pStyle w:val="BodyText"/>
        <w:spacing w:after="100"/>
      </w:pPr>
      <w:r w:rsidRPr="00BD16B4">
        <w:t>The NZAGRC has advanced its goal of enhancing awareness among stakeholders by getting greater alignment with industry through the Pastoral Greenhouse Gas Research Consortium. It has done this by supporting a range of knowledge transfer activities and having a Māori-specific greenhouse gas research programme. It has also developed a strong media profile through regular appearances in print, radio and television, issuing several press releases and initiating a social media presence.</w:t>
      </w:r>
    </w:p>
    <w:p w14:paraId="41A062EC" w14:textId="77777777" w:rsidR="00EE180C" w:rsidRPr="00BD16B4" w:rsidRDefault="00EE180C" w:rsidP="00EE180C">
      <w:pPr>
        <w:pStyle w:val="BodyText"/>
        <w:spacing w:after="100"/>
      </w:pPr>
      <w:r w:rsidRPr="00BD16B4">
        <w:t xml:space="preserve">The NZAGRC holds annual workshops and conferences. These are attended by NZAGRC members, government agencies, research organisations and industry stakeholders. The NZAGRC also acts as agent for the New Zealand Government in supporting the goals and objectives of the Global Research Alliance on Agricultural Greenhouse Gases. It routinely hosts visiting scientific and policy delegations from other countries. </w:t>
      </w:r>
    </w:p>
    <w:p w14:paraId="40FFDF83" w14:textId="77777777" w:rsidR="00EE180C" w:rsidRPr="00BD16B4" w:rsidRDefault="00EE180C" w:rsidP="004E1B8C">
      <w:pPr>
        <w:pStyle w:val="Heading4"/>
      </w:pPr>
      <w:r w:rsidRPr="00BD16B4">
        <w:t>Royal Society of New Zealand Te Apārangi</w:t>
      </w:r>
    </w:p>
    <w:p w14:paraId="332E6E05" w14:textId="647187AF" w:rsidR="00EE180C" w:rsidRPr="00BD16B4" w:rsidRDefault="00EE180C" w:rsidP="00EE180C">
      <w:pPr>
        <w:pStyle w:val="BodyText"/>
        <w:spacing w:after="100"/>
      </w:pPr>
      <w:r w:rsidRPr="00BD16B4">
        <w:t>The Royal Society of New Zealand Te Apārangi is responsible for advancing and promoting research and scholarly activity.</w:t>
      </w:r>
      <w:r w:rsidRPr="00BD16B4">
        <w:rPr>
          <w:rStyle w:val="FootnoteReference"/>
        </w:rPr>
        <w:footnoteReference w:id="524"/>
      </w:r>
      <w:r w:rsidRPr="00BD16B4">
        <w:t xml:space="preserve"> It is an independent statutory organisation and New</w:t>
      </w:r>
      <w:r w:rsidR="003F321F" w:rsidRPr="00BD16B4">
        <w:t xml:space="preserve"> </w:t>
      </w:r>
      <w:r w:rsidRPr="00BD16B4">
        <w:t xml:space="preserve">Zealand’s </w:t>
      </w:r>
      <w:r w:rsidRPr="00BD16B4">
        <w:rPr>
          <w:spacing w:val="-2"/>
        </w:rPr>
        <w:t>national academy of science, technology and the humanities. The society provides independent</w:t>
      </w:r>
      <w:r w:rsidRPr="00BD16B4">
        <w:t xml:space="preserve"> expert advice to the Government and community on issues of public concern, including climate change. It provides information and talks for the public, education programmes, and support for the research community. The society’s independent experts come together to make transparent, effective decisions about who gets research funding, access to learning opportunities and who is celebrated as New Zealand’s top researchers and scholars through its annual research honours. </w:t>
      </w:r>
    </w:p>
    <w:p w14:paraId="173F8FF5" w14:textId="77777777" w:rsidR="00EE180C" w:rsidRPr="00BD16B4" w:rsidRDefault="00EE180C" w:rsidP="00EE180C">
      <w:pPr>
        <w:pStyle w:val="BodyText"/>
        <w:spacing w:after="100"/>
      </w:pPr>
      <w:r w:rsidRPr="00BD16B4">
        <w:t xml:space="preserve">The Society hosted a virtual seminar for a public discussion with the New Zealand scientists following the release of the IPCC Working Group I and Working Group II reports in 2021. </w:t>
      </w:r>
    </w:p>
    <w:p w14:paraId="7C82712F" w14:textId="77777777" w:rsidR="00EE180C" w:rsidRPr="00BD16B4" w:rsidRDefault="00EE180C" w:rsidP="00EE180C">
      <w:pPr>
        <w:pStyle w:val="Heading3"/>
        <w:spacing w:before="240"/>
      </w:pPr>
      <w:r w:rsidRPr="00BD16B4">
        <w:t>9.4.3</w:t>
      </w:r>
      <w:r w:rsidRPr="00BD16B4">
        <w:tab/>
        <w:t>Science Media Centre</w:t>
      </w:r>
    </w:p>
    <w:p w14:paraId="333D0758" w14:textId="77777777" w:rsidR="00EE180C" w:rsidRPr="00BD16B4" w:rsidRDefault="00EE180C" w:rsidP="00EE180C">
      <w:pPr>
        <w:pStyle w:val="BodyText"/>
        <w:spacing w:after="100"/>
      </w:pPr>
      <w:r w:rsidRPr="00BD16B4">
        <w:t>The Science Media Centre (SMC)</w:t>
      </w:r>
      <w:r w:rsidRPr="00BD16B4">
        <w:rPr>
          <w:rStyle w:val="FootnoteReference"/>
        </w:rPr>
        <w:footnoteReference w:id="525"/>
      </w:r>
      <w:r w:rsidRPr="00BD16B4">
        <w:t xml:space="preserve"> is an independent centre established by the Royal Society of New Zealand Te Apārangi with funding from the Ministry of Business, Innovation and Employment. The SMC helps journalists work more effectively with the scientific community and maintains one of the largest and most comprehensive databases of expert contacts on science-related topics in the country.</w:t>
      </w:r>
    </w:p>
    <w:p w14:paraId="474F8AC4" w14:textId="77777777" w:rsidR="00EE180C" w:rsidRPr="00BD16B4" w:rsidRDefault="00EE180C" w:rsidP="00EE180C">
      <w:pPr>
        <w:pStyle w:val="BodyText"/>
        <w:spacing w:after="100"/>
      </w:pPr>
      <w:r w:rsidRPr="00BD16B4">
        <w:t>The SMC facilitates links between the media and science so the media has easy access to relevant scientific information. By providing access to evidence-based information and supporting the professional development of journalists and scientists, the SMC improves media coverage of climate change, with the aim of a better-informed public. </w:t>
      </w:r>
    </w:p>
    <w:p w14:paraId="518B6C33" w14:textId="77777777" w:rsidR="00EE180C" w:rsidRPr="00BD16B4" w:rsidRDefault="00EE180C" w:rsidP="00EE180C">
      <w:pPr>
        <w:pStyle w:val="BodyText"/>
        <w:spacing w:after="100"/>
      </w:pPr>
      <w:r w:rsidRPr="00BD16B4">
        <w:lastRenderedPageBreak/>
        <w:t>Since 2008, it has released dozens of climate science and policy-related ‘expert reactions’ that round up commentary on new climate science journal papers, progress on global agreements, such as the Paris Agreement, and local emissions mitigation efforts, such as the NZ ETS. The SMC’s Spotting Bad Science newsroom workshops also help junior journalists interpret and cover climate science.</w:t>
      </w:r>
    </w:p>
    <w:p w14:paraId="6CC2C90D" w14:textId="77777777" w:rsidR="00EE180C" w:rsidRPr="00BD16B4" w:rsidRDefault="00EE180C" w:rsidP="00EE180C">
      <w:pPr>
        <w:pStyle w:val="BodyText"/>
      </w:pPr>
      <w:r w:rsidRPr="00BD16B4">
        <w:t>The SMC produces other resources such as:</w:t>
      </w:r>
    </w:p>
    <w:p w14:paraId="07A7E07A" w14:textId="77777777" w:rsidR="00EE180C" w:rsidRPr="00BD16B4" w:rsidRDefault="00EE180C" w:rsidP="00EE180C">
      <w:pPr>
        <w:pStyle w:val="Bullet"/>
      </w:pPr>
      <w:r w:rsidRPr="00BD16B4">
        <w:t>Desk Guides – free, handy reference guides with practical tips for journalists covering science and scientists working with media</w:t>
      </w:r>
    </w:p>
    <w:p w14:paraId="4E5B5966" w14:textId="77777777" w:rsidR="00EE180C" w:rsidRPr="00BD16B4" w:rsidRDefault="00EE180C" w:rsidP="00EE180C">
      <w:pPr>
        <w:pStyle w:val="Bullet"/>
      </w:pPr>
      <w:r w:rsidRPr="00BD16B4">
        <w:t>Science Media SAVVY workshops</w:t>
      </w:r>
      <w:r w:rsidRPr="00BD16B4">
        <w:rPr>
          <w:rStyle w:val="FootnoteReference"/>
        </w:rPr>
        <w:footnoteReference w:id="526"/>
      </w:r>
      <w:r w:rsidRPr="00BD16B4">
        <w:t xml:space="preserve"> – designed to help researchers gain the confidence and skills to engage effectively with media and communicate their science in public</w:t>
      </w:r>
    </w:p>
    <w:p w14:paraId="218176EC" w14:textId="77777777" w:rsidR="00EE180C" w:rsidRPr="00BD16B4" w:rsidRDefault="00EE180C" w:rsidP="00EE180C">
      <w:pPr>
        <w:pStyle w:val="Bullet"/>
      </w:pPr>
      <w:r w:rsidRPr="00BD16B4">
        <w:t>Scimex</w:t>
      </w:r>
      <w:r w:rsidRPr="00BD16B4">
        <w:rPr>
          <w:rStyle w:val="FootnoteReference"/>
        </w:rPr>
        <w:footnoteReference w:id="527"/>
      </w:r>
      <w:r w:rsidRPr="00BD16B4">
        <w:t xml:space="preserve"> – an online portal for embargoed science research news for registered journalists, in collaboration with the Australian Science Media Centre.</w:t>
      </w:r>
    </w:p>
    <w:p w14:paraId="7EBBFF8A" w14:textId="77777777" w:rsidR="00EE180C" w:rsidRPr="00BD16B4" w:rsidRDefault="00EE180C" w:rsidP="004E1B8C">
      <w:pPr>
        <w:pStyle w:val="Heading4"/>
      </w:pPr>
      <w:r w:rsidRPr="00BD16B4">
        <w:t>Science Learning Hub – Pokapū Akoranga Pūtaiao</w:t>
      </w:r>
    </w:p>
    <w:p w14:paraId="0D476019" w14:textId="77777777" w:rsidR="00EE180C" w:rsidRPr="00BD16B4" w:rsidRDefault="00EE180C" w:rsidP="00EE180C">
      <w:pPr>
        <w:pStyle w:val="BodyText"/>
      </w:pPr>
      <w:r w:rsidRPr="00BD16B4">
        <w:t>The Science Learning Hub – Pokapū Akoranga Pūtaiao links New Zealand scientists with school students, teachers and community audiences.</w:t>
      </w:r>
      <w:r w:rsidRPr="00BD16B4">
        <w:rPr>
          <w:rStyle w:val="FootnoteReference"/>
        </w:rPr>
        <w:footnoteReference w:id="528"/>
      </w:r>
      <w:r w:rsidRPr="00BD16B4">
        <w:t xml:space="preserve"> The Hub is a national project funded by the New Zealand Government to make examples of New Zealand science, technology and engineering more accessible and visible. It has over 10 thousand resources to showcase cutting-edge science and demonstrate how the stories of science can be used to enrich school teaching and learning, making it more relevant, engaging and meaningful.</w:t>
      </w:r>
    </w:p>
    <w:p w14:paraId="063E6871" w14:textId="77777777" w:rsidR="00EE180C" w:rsidRPr="00BD16B4" w:rsidRDefault="00EE180C" w:rsidP="00EE180C">
      <w:pPr>
        <w:pStyle w:val="BodyText"/>
      </w:pPr>
      <w:r w:rsidRPr="00BD16B4">
        <w:t>The Hub publishes numerous articles, videos, activities, interactive citizen science projects, and teacher professions learning and development resources about climate change on its website.</w:t>
      </w:r>
      <w:r w:rsidRPr="00BD16B4">
        <w:rPr>
          <w:rStyle w:val="FootnoteReference"/>
        </w:rPr>
        <w:footnoteReference w:id="529"/>
      </w:r>
    </w:p>
    <w:p w14:paraId="233963DC" w14:textId="77777777" w:rsidR="00EE180C" w:rsidRPr="00BD16B4" w:rsidRDefault="00EE180C" w:rsidP="00EE180C">
      <w:pPr>
        <w:pStyle w:val="BodyText"/>
      </w:pPr>
      <w:r w:rsidRPr="00BD16B4">
        <w:t xml:space="preserve">The Hub has recently collaborated with the Ministry for the Environment and Stats NZ to create resources using the publication </w:t>
      </w:r>
      <w:r w:rsidRPr="00BD16B4">
        <w:rPr>
          <w:i/>
          <w:iCs/>
        </w:rPr>
        <w:t>Our Atmosphere and Climate 2020</w:t>
      </w:r>
      <w:r w:rsidRPr="00BD16B4">
        <w:t>.</w:t>
      </w:r>
      <w:r w:rsidRPr="00BD16B4">
        <w:rPr>
          <w:rStyle w:val="FootnoteReference"/>
        </w:rPr>
        <w:footnoteReference w:id="530"/>
      </w:r>
      <w:r w:rsidRPr="00BD16B4">
        <w:t xml:space="preserve"> The resources reflect the report, with a focus on science and communicating the issues New Zealand faces due to the uncertainty of a changing climate.</w:t>
      </w:r>
    </w:p>
    <w:p w14:paraId="6BB8BA39" w14:textId="762E41C7" w:rsidR="00EE180C" w:rsidRPr="00BD16B4" w:rsidRDefault="00EE180C" w:rsidP="00EE180C">
      <w:pPr>
        <w:pStyle w:val="Heading2"/>
      </w:pPr>
      <w:bookmarkStart w:id="431" w:name="_Toc497740412"/>
      <w:bookmarkStart w:id="432" w:name="_Toc500796179"/>
      <w:bookmarkStart w:id="433" w:name="_Toc121774672"/>
      <w:r w:rsidRPr="00BD16B4">
        <w:t>9.5</w:t>
      </w:r>
      <w:r w:rsidRPr="00BD16B4">
        <w:tab/>
        <w:t>Public engagement</w:t>
      </w:r>
      <w:bookmarkEnd w:id="431"/>
      <w:bookmarkEnd w:id="432"/>
      <w:bookmarkEnd w:id="433"/>
    </w:p>
    <w:p w14:paraId="28CD0B9A" w14:textId="77777777" w:rsidR="00EE180C" w:rsidRPr="00BD16B4" w:rsidRDefault="00EE180C" w:rsidP="00EE180C">
      <w:pPr>
        <w:pStyle w:val="BodyText"/>
      </w:pPr>
      <w:r w:rsidRPr="00BD16B4">
        <w:t xml:space="preserve">Preparation of the </w:t>
      </w:r>
      <w:r w:rsidRPr="00BD16B4">
        <w:rPr>
          <w:i/>
          <w:iCs/>
        </w:rPr>
        <w:t>Eighth National Communication</w:t>
      </w:r>
      <w:r w:rsidRPr="00BD16B4">
        <w:t xml:space="preserve"> is a cross-governmental effort with contributions from various government agencies, along with organisations that receive funding or other support from the New Zealand Government. Although the public and non-governmental organisations are not consulted directly on the content of the </w:t>
      </w:r>
      <w:r w:rsidRPr="00BD16B4">
        <w:rPr>
          <w:i/>
          <w:iCs/>
        </w:rPr>
        <w:t>Eighth National Communication</w:t>
      </w:r>
      <w:r w:rsidRPr="00BD16B4">
        <w:t>, the Government actively engages with the public on climate change issues and has continued to do so since the last reporting period.</w:t>
      </w:r>
    </w:p>
    <w:p w14:paraId="5D42E630" w14:textId="77777777" w:rsidR="00EE180C" w:rsidRPr="00BD16B4" w:rsidRDefault="00EE180C" w:rsidP="006F1F94">
      <w:pPr>
        <w:pStyle w:val="BodyText"/>
        <w:keepLines/>
      </w:pPr>
      <w:r w:rsidRPr="00BD16B4">
        <w:lastRenderedPageBreak/>
        <w:t xml:space="preserve">This section contains information about the Government’s engagement with the public during the reporting period. This includes consultation on the national adaptation plan, the emissions reduction plan, reviews of the NZ ETS, ongoing consultation with Māori, engagement with youth, and financial support for community groups with objectives related to climate change. </w:t>
      </w:r>
    </w:p>
    <w:p w14:paraId="6A85B812" w14:textId="77777777" w:rsidR="00EE180C" w:rsidRPr="00BD16B4" w:rsidRDefault="00EE180C" w:rsidP="00EE180C">
      <w:pPr>
        <w:pStyle w:val="Heading3"/>
      </w:pPr>
      <w:r w:rsidRPr="00BD16B4">
        <w:t>9.5.1</w:t>
      </w:r>
      <w:r w:rsidRPr="00BD16B4">
        <w:tab/>
        <w:t>Engaging with the public</w:t>
      </w:r>
    </w:p>
    <w:p w14:paraId="26F37550" w14:textId="77777777" w:rsidR="00EE180C" w:rsidRPr="00BD16B4" w:rsidRDefault="00EE180C" w:rsidP="004E1B8C">
      <w:pPr>
        <w:pStyle w:val="Heading4"/>
      </w:pPr>
      <w:r w:rsidRPr="00BD16B4">
        <w:t>Our climate future</w:t>
      </w:r>
    </w:p>
    <w:p w14:paraId="64E851AE" w14:textId="77777777" w:rsidR="00EE180C" w:rsidRPr="00BD16B4" w:rsidRDefault="00EE180C" w:rsidP="00EE180C">
      <w:pPr>
        <w:pStyle w:val="BodyText"/>
      </w:pPr>
      <w:r w:rsidRPr="00BD16B4">
        <w:t>The Ministry for the Environment’s ‘Our climate future’ campaign</w:t>
      </w:r>
      <w:r w:rsidRPr="00BD16B4">
        <w:rPr>
          <w:rStyle w:val="FootnoteReference"/>
        </w:rPr>
        <w:footnoteReference w:id="531"/>
      </w:r>
      <w:r w:rsidRPr="00BD16B4">
        <w:t xml:space="preserve"> is an online source for the public for climate-related resources and information. Short films describe what people can do to reduce their individual and collective impact on the planet. Case studies from around Aotearoa New Zealand demonstrate recent emissions reduction efforts by local communities, businesses and central and local government. Links to recent publications are provided, including the emissions reduction plan, </w:t>
      </w:r>
      <w:r w:rsidRPr="00BD16B4">
        <w:rPr>
          <w:i/>
          <w:iCs/>
        </w:rPr>
        <w:t>Our Atmosphere and Climate 2020</w:t>
      </w:r>
      <w:r w:rsidRPr="00BD16B4">
        <w:t xml:space="preserve">, </w:t>
      </w:r>
      <w:r w:rsidRPr="00BD16B4">
        <w:rPr>
          <w:i/>
          <w:iCs/>
        </w:rPr>
        <w:t>Environment Aotearoa 2022</w:t>
      </w:r>
      <w:r w:rsidRPr="00BD16B4">
        <w:t>, and the Science Learning Hub.</w:t>
      </w:r>
    </w:p>
    <w:p w14:paraId="3F927553" w14:textId="77777777" w:rsidR="00EE180C" w:rsidRPr="00BD16B4" w:rsidRDefault="00EE180C" w:rsidP="004E1B8C">
      <w:pPr>
        <w:pStyle w:val="Heading4"/>
      </w:pPr>
      <w:r w:rsidRPr="00BD16B4">
        <w:t xml:space="preserve">Recent public consultations </w:t>
      </w:r>
    </w:p>
    <w:p w14:paraId="70ABC751" w14:textId="77777777" w:rsidR="00EE180C" w:rsidRPr="00BD16B4" w:rsidRDefault="00EE180C" w:rsidP="00BB33B9">
      <w:pPr>
        <w:pStyle w:val="Heading5"/>
      </w:pPr>
      <w:r w:rsidRPr="00BD16B4">
        <w:t>National adaptation plan</w:t>
      </w:r>
    </w:p>
    <w:p w14:paraId="090A6A49" w14:textId="77777777" w:rsidR="00EE180C" w:rsidRPr="00BD16B4" w:rsidRDefault="00EE180C" w:rsidP="00EE180C">
      <w:pPr>
        <w:pStyle w:val="BodyText"/>
      </w:pPr>
      <w:r w:rsidRPr="00BD16B4">
        <w:t>From 27 April to 3 June 2022, the Ministry for the Environment consulted on proposals to address the risks Aotearoa New Zealand faces from climate change.</w:t>
      </w:r>
      <w:r w:rsidRPr="00BD16B4">
        <w:rPr>
          <w:rStyle w:val="FootnoteReference"/>
        </w:rPr>
        <w:footnoteReference w:id="532"/>
      </w:r>
      <w:r w:rsidRPr="00BD16B4">
        <w:t xml:space="preserve"> This included the draft national adaptation plan, information on the early development of a managed retreat system, and emerging issues relating to residential home insurance for flood risk.</w:t>
      </w:r>
    </w:p>
    <w:p w14:paraId="6F9C2FBC" w14:textId="77777777" w:rsidR="00EE180C" w:rsidRPr="00BD16B4" w:rsidRDefault="00EE180C" w:rsidP="00BB33B9">
      <w:pPr>
        <w:pStyle w:val="Heading5"/>
      </w:pPr>
      <w:r w:rsidRPr="00BD16B4">
        <w:t>Emissions reduction plan</w:t>
      </w:r>
    </w:p>
    <w:p w14:paraId="55E0287F" w14:textId="77777777" w:rsidR="00EE180C" w:rsidRPr="00BD16B4" w:rsidRDefault="00EE180C" w:rsidP="00EE180C">
      <w:pPr>
        <w:pStyle w:val="BodyText"/>
      </w:pPr>
      <w:r w:rsidRPr="00BD16B4">
        <w:t>From 13 October to 24 November 2021, the Ministry for the Environment consulted on what needed to be included in Aotearoa New Zealand’s first emissions reduction plan. People could submit on two options during the consultation. A quick submission,</w:t>
      </w:r>
      <w:r w:rsidRPr="00BD16B4">
        <w:rPr>
          <w:rStyle w:val="FootnoteReference"/>
        </w:rPr>
        <w:footnoteReference w:id="533"/>
      </w:r>
      <w:r w:rsidRPr="00BD16B4">
        <w:t xml:space="preserve"> which asked 3 high-level questions, and a detailed submission,</w:t>
      </w:r>
      <w:r w:rsidRPr="00BD16B4">
        <w:rPr>
          <w:rStyle w:val="FootnoteReference"/>
        </w:rPr>
        <w:footnoteReference w:id="534"/>
      </w:r>
      <w:r w:rsidRPr="00BD16B4">
        <w:t xml:space="preserve"> which asked 114 questions across 18 areas. </w:t>
      </w:r>
    </w:p>
    <w:p w14:paraId="137E6AE1" w14:textId="77777777" w:rsidR="00EE180C" w:rsidRPr="00BD16B4" w:rsidRDefault="00EE180C" w:rsidP="00BB33B9">
      <w:pPr>
        <w:pStyle w:val="Heading5"/>
      </w:pPr>
      <w:r w:rsidRPr="00BD16B4">
        <w:t>New Zealand Emissions Trading Scheme</w:t>
      </w:r>
    </w:p>
    <w:p w14:paraId="73D6EBF0" w14:textId="77777777" w:rsidR="00EE180C" w:rsidRPr="00BD16B4" w:rsidRDefault="00EE180C" w:rsidP="00EE180C">
      <w:pPr>
        <w:pStyle w:val="BodyText"/>
      </w:pPr>
      <w:r w:rsidRPr="00BD16B4">
        <w:t>From 28 April to 17 March 2022, the Ministry for the Environment consulted on proposed technical amendments to regulations under the Climate Change Response Act 2002 to maintain the accuracy of the NZ ETS.</w:t>
      </w:r>
      <w:r w:rsidRPr="00BD16B4">
        <w:rPr>
          <w:rStyle w:val="FootnoteReference"/>
        </w:rPr>
        <w:footnoteReference w:id="535"/>
      </w:r>
    </w:p>
    <w:p w14:paraId="17264ADB" w14:textId="77777777" w:rsidR="00EE180C" w:rsidRPr="00BD16B4" w:rsidRDefault="00EE180C" w:rsidP="00EE180C">
      <w:pPr>
        <w:pStyle w:val="BodyText"/>
      </w:pPr>
      <w:r w:rsidRPr="00BD16B4">
        <w:t>From 8 July to 17 September 2021, the Ministry for the Environment consulted on various options to improve industrial allocation policy</w:t>
      </w:r>
      <w:r w:rsidRPr="00BD16B4">
        <w:rPr>
          <w:rStyle w:val="FootnoteReference"/>
        </w:rPr>
        <w:footnoteReference w:id="536"/>
      </w:r>
      <w:r w:rsidRPr="00BD16B4">
        <w:t xml:space="preserve"> and the market governance framework</w:t>
      </w:r>
      <w:r w:rsidRPr="00BD16B4">
        <w:rPr>
          <w:rStyle w:val="FootnoteReference"/>
        </w:rPr>
        <w:footnoteReference w:id="537"/>
      </w:r>
      <w:r w:rsidRPr="00BD16B4">
        <w:t xml:space="preserve"> of the NZ ETS and auction settings.</w:t>
      </w:r>
    </w:p>
    <w:p w14:paraId="33125FFE" w14:textId="77777777" w:rsidR="00EE180C" w:rsidRPr="00BD16B4" w:rsidRDefault="00EE180C" w:rsidP="004E1B8C">
      <w:pPr>
        <w:pStyle w:val="Heading4"/>
      </w:pPr>
      <w:r w:rsidRPr="00BD16B4">
        <w:lastRenderedPageBreak/>
        <w:t xml:space="preserve">Previous public consultations </w:t>
      </w:r>
    </w:p>
    <w:p w14:paraId="62F96219" w14:textId="77777777" w:rsidR="00EE180C" w:rsidRPr="00BD16B4" w:rsidRDefault="00EE180C" w:rsidP="00EE180C">
      <w:pPr>
        <w:pStyle w:val="BodyText"/>
        <w:keepNext/>
      </w:pPr>
      <w:r w:rsidRPr="00BD16B4">
        <w:t>The Ministry for the Environment’s previous public consultations within the reporting period include:</w:t>
      </w:r>
    </w:p>
    <w:p w14:paraId="14353639" w14:textId="77777777" w:rsidR="00EE180C" w:rsidRPr="00BD16B4" w:rsidRDefault="00EE180C" w:rsidP="00EE180C">
      <w:pPr>
        <w:pStyle w:val="Bullet"/>
      </w:pPr>
      <w:r w:rsidRPr="00BD16B4">
        <w:t>the Climate Change Response Amendment Act 2019</w:t>
      </w:r>
      <w:r w:rsidRPr="00BD16B4">
        <w:rPr>
          <w:rStyle w:val="FootnoteReference"/>
        </w:rPr>
        <w:footnoteReference w:id="538"/>
      </w:r>
    </w:p>
    <w:p w14:paraId="586DD3B7" w14:textId="77777777" w:rsidR="00EE180C" w:rsidRPr="00BD16B4" w:rsidRDefault="00EE180C" w:rsidP="00EE180C">
      <w:pPr>
        <w:pStyle w:val="Bullet"/>
      </w:pPr>
      <w:r w:rsidRPr="00BD16B4">
        <w:t>climate-related financial disclosures</w:t>
      </w:r>
      <w:r w:rsidRPr="00BD16B4">
        <w:rPr>
          <w:rStyle w:val="FootnoteReference"/>
        </w:rPr>
        <w:footnoteReference w:id="539"/>
      </w:r>
    </w:p>
    <w:p w14:paraId="085FF75D" w14:textId="77777777" w:rsidR="00EE180C" w:rsidRPr="00BD16B4" w:rsidRDefault="00EE180C" w:rsidP="00EE180C">
      <w:pPr>
        <w:pStyle w:val="Bullet"/>
      </w:pPr>
      <w:r w:rsidRPr="00BD16B4">
        <w:t>action on agricultural emissions</w:t>
      </w:r>
      <w:r w:rsidRPr="00BD16B4">
        <w:rPr>
          <w:rStyle w:val="FootnoteReference"/>
        </w:rPr>
        <w:footnoteReference w:id="540"/>
      </w:r>
    </w:p>
    <w:p w14:paraId="64A16321" w14:textId="77777777" w:rsidR="00EE180C" w:rsidRPr="00BD16B4" w:rsidRDefault="00EE180C" w:rsidP="00EE180C">
      <w:pPr>
        <w:pStyle w:val="Bullet"/>
      </w:pPr>
      <w:r w:rsidRPr="00BD16B4">
        <w:t>NZ ETS: proposed technical updates for 2018</w:t>
      </w:r>
      <w:r w:rsidRPr="00BD16B4">
        <w:rPr>
          <w:rStyle w:val="FootnoteReference"/>
        </w:rPr>
        <w:footnoteReference w:id="541"/>
      </w:r>
      <w:r w:rsidRPr="00BD16B4">
        <w:t xml:space="preserve"> and 2019;</w:t>
      </w:r>
      <w:r w:rsidRPr="00BD16B4">
        <w:rPr>
          <w:rStyle w:val="FootnoteReference"/>
        </w:rPr>
        <w:footnoteReference w:id="542"/>
      </w:r>
      <w:r w:rsidRPr="00BD16B4">
        <w:t xml:space="preserve"> consultation on proposed improvements;</w:t>
      </w:r>
      <w:r w:rsidRPr="00BD16B4">
        <w:rPr>
          <w:rStyle w:val="FootnoteReference"/>
        </w:rPr>
        <w:footnoteReference w:id="543"/>
      </w:r>
      <w:r w:rsidRPr="00BD16B4">
        <w:t xml:space="preserve"> reforming the NZ ETS rules for auctioning</w:t>
      </w:r>
      <w:r w:rsidRPr="00BD16B4">
        <w:rPr>
          <w:rStyle w:val="FootnoteReference"/>
        </w:rPr>
        <w:footnoteReference w:id="544"/>
      </w:r>
      <w:r w:rsidRPr="00BD16B4">
        <w:t xml:space="preserve"> and proposed settings;</w:t>
      </w:r>
      <w:r w:rsidRPr="00BD16B4">
        <w:rPr>
          <w:rStyle w:val="FootnoteReference"/>
        </w:rPr>
        <w:footnoteReference w:id="545"/>
      </w:r>
      <w:r w:rsidRPr="00BD16B4">
        <w:t xml:space="preserve"> and modelling for the electricity allocation factor.</w:t>
      </w:r>
      <w:r w:rsidRPr="00BD16B4">
        <w:rPr>
          <w:rStyle w:val="FootnoteReference"/>
        </w:rPr>
        <w:footnoteReference w:id="546"/>
      </w:r>
    </w:p>
    <w:p w14:paraId="1E64D99C" w14:textId="77777777" w:rsidR="00EE180C" w:rsidRPr="00BD16B4" w:rsidRDefault="00EE180C" w:rsidP="004E1B8C">
      <w:pPr>
        <w:pStyle w:val="Heading4"/>
      </w:pPr>
      <w:r w:rsidRPr="00BD16B4">
        <w:t>Pou Take</w:t>
      </w:r>
      <w:r w:rsidRPr="00BD16B4">
        <w:rPr>
          <w:szCs w:val="24"/>
        </w:rPr>
        <w:t xml:space="preserve"> Āhuarangi I</w:t>
      </w:r>
      <w:r w:rsidRPr="00BD16B4">
        <w:t>wi Leaders Group</w:t>
      </w:r>
    </w:p>
    <w:p w14:paraId="1DFCE960" w14:textId="77777777" w:rsidR="00EE180C" w:rsidRPr="00BD16B4" w:rsidRDefault="00EE180C" w:rsidP="00EE180C">
      <w:pPr>
        <w:pStyle w:val="BodyText"/>
        <w:rPr>
          <w:rFonts w:eastAsia="Calibri"/>
        </w:rPr>
      </w:pPr>
      <w:r w:rsidRPr="00BD16B4">
        <w:rPr>
          <w:rFonts w:eastAsia="Calibri"/>
        </w:rPr>
        <w:t>Pou Take Āhuarangi is the National Iwi Leaders Group for climate-related matters. It is one of the five directorates that form part of the wider Iwi Chairs Forum, which meets four times a year. Collectively, the forum represents more than 400,000 Māori, over two-thirds of the Māori population. The Ministry for the Environment is the lead agency for the Crown relationship with Pou Take Āhuarangi.</w:t>
      </w:r>
    </w:p>
    <w:p w14:paraId="0A91C818" w14:textId="77777777" w:rsidR="00EE180C" w:rsidRPr="00BD16B4" w:rsidRDefault="00EE180C" w:rsidP="00EE180C">
      <w:pPr>
        <w:pStyle w:val="BodyText"/>
        <w:rPr>
          <w:rFonts w:eastAsia="Calibri"/>
        </w:rPr>
      </w:pPr>
      <w:r w:rsidRPr="00BD16B4">
        <w:rPr>
          <w:rFonts w:eastAsia="Calibri"/>
        </w:rPr>
        <w:t>The National Iwi Chairs Forum mandated Ihirangi, an advisory group of Māori climate and environmental experts, to be the operational arm of Pou Take Āhuarangi. One of the main objectives of Ihirangi is to empower and increase capacity of whānau (family, extended family, family connection), hapū (kinship group, clan, subtribe) and iwi to engage proactively in climate change mitigation and adaptation through the provision of robust, comprehensive and relevant data, information and analysis. The secondary objective, while building the capacity of whānau, hapū and iwi to proactively address and plan for climate change, is to increase the ability of hapū and iwi/Māori to engage with government, both local and central, around climate issues.</w:t>
      </w:r>
    </w:p>
    <w:p w14:paraId="15B5E762" w14:textId="77777777" w:rsidR="00EE180C" w:rsidRPr="00BD16B4" w:rsidRDefault="00EE180C" w:rsidP="00EE180C">
      <w:pPr>
        <w:pStyle w:val="BodyText"/>
        <w:rPr>
          <w:rFonts w:eastAsia="Calibri"/>
        </w:rPr>
      </w:pPr>
      <w:r w:rsidRPr="00BD16B4">
        <w:rPr>
          <w:rFonts w:eastAsia="Calibri"/>
        </w:rPr>
        <w:t xml:space="preserve">In March 2021, three joint priorities were agreed under Pou Take Āhuarangi: emissions, adaptation and data. Under the umbrella of these priorities, Ministry for the Environment officials have worked closely with Ihirangi to develop and reach agreement on a work programme for the year ahead. The programme focuses on both the Ministry for the Environment’s policy and legislative commitments as well as Māori-facing work relating to data, that is designed to directly improve outcomes for whānau, hapū and iwi. A new priority called the Indigenous Framework has been agreed with Ihirangi to enable further conversations on the scope and application of an indigenous framework across the entire climate work programme. </w:t>
      </w:r>
    </w:p>
    <w:p w14:paraId="7E7A69F2" w14:textId="77777777" w:rsidR="00EE180C" w:rsidRPr="00BD16B4" w:rsidRDefault="00EE180C" w:rsidP="004E1B8C">
      <w:pPr>
        <w:pStyle w:val="Heading4"/>
      </w:pPr>
      <w:r w:rsidRPr="00BD16B4">
        <w:lastRenderedPageBreak/>
        <w:t>Blake Inspire programmes</w:t>
      </w:r>
    </w:p>
    <w:p w14:paraId="393F76D4" w14:textId="77777777" w:rsidR="00EE180C" w:rsidRPr="00BD16B4" w:rsidRDefault="00EE180C" w:rsidP="00EE180C">
      <w:pPr>
        <w:pStyle w:val="BodyText"/>
      </w:pPr>
      <w:r w:rsidRPr="00BD16B4">
        <w:t>The Sir Peter Blake Trust, established in 2004, has a focus on inspiring environmental leadership in youth. It has multiple programmes for leadership development for students and teachers. The Blake Inspire programme,</w:t>
      </w:r>
      <w:r w:rsidRPr="00BD16B4">
        <w:rPr>
          <w:rStyle w:val="FootnoteReference"/>
        </w:rPr>
        <w:footnoteReference w:id="547"/>
      </w:r>
      <w:r w:rsidRPr="00BD16B4">
        <w:t xml:space="preserve"> in partnership with the Ministry for the Environment, provides an opportunity for 100 young people aged between 15 and 18 to join a week-long residential leadership development programme. It offers the opportunity to work with scientists, environmental experts, diverse leaders and other like-minded young people to help them develop strong leadership skills while learning about topical environmental issues and how they can take action to tackle them. In 2022, Blake Inspire ran three programmes throughout the year.</w:t>
      </w:r>
    </w:p>
    <w:p w14:paraId="52BE7E0D" w14:textId="77777777" w:rsidR="00EE180C" w:rsidRPr="00BD16B4" w:rsidRDefault="00EE180C" w:rsidP="004E1B8C">
      <w:pPr>
        <w:pStyle w:val="Heading4"/>
      </w:pPr>
      <w:r w:rsidRPr="00BD16B4">
        <w:t xml:space="preserve">Inspiring Stories – Festival for the Future </w:t>
      </w:r>
    </w:p>
    <w:p w14:paraId="70F6AD29" w14:textId="77777777" w:rsidR="00EE180C" w:rsidRPr="00BD16B4" w:rsidRDefault="00EE180C" w:rsidP="00EE180C">
      <w:pPr>
        <w:pStyle w:val="BodyText"/>
      </w:pPr>
      <w:r w:rsidRPr="00BD16B4">
        <w:t>Inspiring Stories is a New Zealand charity founded in 2011 with the aim of supporting young people to change the world.</w:t>
      </w:r>
      <w:r w:rsidRPr="00BD16B4">
        <w:rPr>
          <w:rStyle w:val="FootnoteReference"/>
        </w:rPr>
        <w:footnoteReference w:id="548"/>
      </w:r>
      <w:r w:rsidRPr="00BD16B4">
        <w:t xml:space="preserve"> Over 12,000 people have participated in the programmes, including Festival for the Future, the Impact Awards, Future Leaders, and Inspiring Speakers.</w:t>
      </w:r>
    </w:p>
    <w:p w14:paraId="425DE213" w14:textId="77777777" w:rsidR="00EE180C" w:rsidRPr="00BD16B4" w:rsidRDefault="00EE180C" w:rsidP="00EE180C">
      <w:pPr>
        <w:pStyle w:val="BodyText"/>
      </w:pPr>
      <w:r w:rsidRPr="00BD16B4">
        <w:t>Festival for the Future is an annual conference, run in partnership with the Ministry for Primary Industries, Ministry for the Environment, EECA, Wellington City Council and others. The festival offers an opportunity to connect with a growing community of innovators, leaders and entrepreneurs, build knowledge of big issues affecting the future, learn practical skills and tools during the breakouts and workshops, and be inspired by powerful stories of courage and leadership. The festival audience is diverse, including entrepreneurs, leaders of business and government, young professionals and people leading change in grassroots communities. In 2021, more than 1600 people attended the festival in person, as well as an online audience engaging from 40 countries.</w:t>
      </w:r>
    </w:p>
    <w:p w14:paraId="26B6C733" w14:textId="77777777" w:rsidR="00EE180C" w:rsidRPr="00BD16B4" w:rsidRDefault="00EE180C" w:rsidP="004E1B8C">
      <w:pPr>
        <w:pStyle w:val="Heading4"/>
      </w:pPr>
      <w:r w:rsidRPr="00BD16B4">
        <w:t>Environment centres</w:t>
      </w:r>
    </w:p>
    <w:p w14:paraId="4D04B044" w14:textId="77777777" w:rsidR="00EE180C" w:rsidRPr="00BD16B4" w:rsidRDefault="00EE180C" w:rsidP="00EE180C">
      <w:pPr>
        <w:pStyle w:val="BodyText"/>
      </w:pPr>
      <w:r w:rsidRPr="00BD16B4">
        <w:t>Environment centres act as a focus and meeting place for local community action on environmental issues. They provide an important community service by educating the public on major environmental issues, including climate change. An environment centre provides projects, activities and services that encourage and foster communities to improve the environment for the benefit of present and future generations. Currently 12 environment centres are in Aotearoa New Zealand. The Ministry for the Environment funds environment centres through the Community Environment Fund.</w:t>
      </w:r>
      <w:r w:rsidRPr="00BD16B4">
        <w:rPr>
          <w:rStyle w:val="FootnoteReference"/>
        </w:rPr>
        <w:footnoteReference w:id="549"/>
      </w:r>
    </w:p>
    <w:p w14:paraId="47EAF825" w14:textId="77777777" w:rsidR="00EE180C" w:rsidRPr="00BD16B4" w:rsidRDefault="00EE180C" w:rsidP="004E1B8C">
      <w:pPr>
        <w:pStyle w:val="Heading4"/>
      </w:pPr>
      <w:r w:rsidRPr="00BD16B4">
        <w:t>Waste Minimisation Fund</w:t>
      </w:r>
    </w:p>
    <w:p w14:paraId="1C3E7C4F" w14:textId="77777777" w:rsidR="00EE180C" w:rsidRPr="00BD16B4" w:rsidRDefault="00EE180C" w:rsidP="00EE180C">
      <w:pPr>
        <w:pStyle w:val="BodyText"/>
      </w:pPr>
      <w:r w:rsidRPr="00BD16B4">
        <w:t>The Waste Minimisation Fund, administered by the Ministry for the Environment, funds projects that promote or achieve waste minimisation.</w:t>
      </w:r>
      <w:r w:rsidRPr="00BD16B4">
        <w:rPr>
          <w:rStyle w:val="FootnoteReference"/>
        </w:rPr>
        <w:footnoteReference w:id="550"/>
      </w:r>
      <w:r w:rsidRPr="00BD16B4">
        <w:t xml:space="preserve"> By supporting these projects, the fund increases resource efficiency, reuse, recovery and recycling and decreases waste to landfill, with the aim of reducing methane emissions from organic waste.</w:t>
      </w:r>
    </w:p>
    <w:p w14:paraId="2433A683" w14:textId="77777777" w:rsidR="00EE180C" w:rsidRPr="00BD16B4" w:rsidRDefault="00EE180C" w:rsidP="00EE180C">
      <w:pPr>
        <w:pStyle w:val="BodyText"/>
      </w:pPr>
      <w:r w:rsidRPr="00BD16B4">
        <w:lastRenderedPageBreak/>
        <w:t>Various education and awareness campaigns have received public funding through the Waste Minimisation Fund. One example is the Para Kore (Zero Waste) education programme. Since 2009, Para Kore has been working towards its goal “Hei te 2020 he para kore ngā marae katoa o Aotearoa” (by 2020 all marae of New Zealand are working towards zero waste). Para Kore does this by sharing knowledge about reducing, reusing, recycling and composting. The project was completed in 2021, with 48 marae</w:t>
      </w:r>
      <w:r w:rsidRPr="00BD16B4">
        <w:rPr>
          <w:rStyle w:val="FootnoteReference"/>
        </w:rPr>
        <w:footnoteReference w:id="551"/>
      </w:r>
      <w:r w:rsidRPr="00BD16B4">
        <w:t xml:space="preserve"> and organisations being established with waste minimisation systems and provided education, 54 wānanga (workshops) delivered, Para Kore systems were implemented in 33 kaupapa Māori</w:t>
      </w:r>
      <w:r w:rsidRPr="00BD16B4">
        <w:rPr>
          <w:rStyle w:val="FootnoteReference"/>
        </w:rPr>
        <w:footnoteReference w:id="552"/>
      </w:r>
      <w:r w:rsidRPr="00BD16B4">
        <w:t xml:space="preserve"> events, and at least 65 per cent of waste from participating marae was diverted from landfill. </w:t>
      </w:r>
    </w:p>
    <w:p w14:paraId="6C87B1D3" w14:textId="77777777" w:rsidR="00EE180C" w:rsidRPr="00BD16B4" w:rsidRDefault="00EE180C" w:rsidP="00EE180C">
      <w:pPr>
        <w:pStyle w:val="Heading3"/>
      </w:pPr>
      <w:r w:rsidRPr="00BD16B4">
        <w:t>9.5.2</w:t>
      </w:r>
      <w:r w:rsidRPr="00BD16B4">
        <w:tab/>
        <w:t>Engaging with the land-based sector</w:t>
      </w:r>
    </w:p>
    <w:p w14:paraId="2CBDDB5F" w14:textId="77777777" w:rsidR="00EE180C" w:rsidRPr="00BD16B4" w:rsidRDefault="00EE180C" w:rsidP="00EE180C">
      <w:pPr>
        <w:pStyle w:val="BodyText"/>
      </w:pPr>
      <w:r w:rsidRPr="00BD16B4">
        <w:t>The Sustainable Land Management and Climate Change (SLMACC) research programme was established in 2007 and is administered by the Ministry for Primary Industries.</w:t>
      </w:r>
      <w:r w:rsidRPr="00BD16B4">
        <w:rPr>
          <w:rStyle w:val="FootnoteReference"/>
        </w:rPr>
        <w:footnoteReference w:id="553"/>
      </w:r>
      <w:r w:rsidRPr="00BD16B4">
        <w:t xml:space="preserve"> SLMACC aims to contribute to the achievement of Aotearoa New Zealand’s climate change targets through research to mitigate greenhouse gas emissions and understand the effects of climate change.</w:t>
      </w:r>
    </w:p>
    <w:p w14:paraId="0A959EC3" w14:textId="55698B91" w:rsidR="00EE180C" w:rsidRPr="00BD16B4" w:rsidRDefault="00EE180C" w:rsidP="00EE180C">
      <w:pPr>
        <w:pStyle w:val="BodyText"/>
      </w:pPr>
      <w:r w:rsidRPr="00BD16B4">
        <w:t xml:space="preserve">During the reporting period, SLMACC has funded over 30 projects covering issues such as quantifying risk in the primary sectors, improving the New Zealand Drought Index, enhancing the preparedness of rural land owners to extreme fires, freshwater mitigation projects, adaptation, and extension projects. For more information on the SLMACC programme, see chapter 4, </w:t>
      </w:r>
      <w:r w:rsidR="009024A3" w:rsidRPr="00BD16B4">
        <w:t xml:space="preserve">section 4.3.6 </w:t>
      </w:r>
      <w:r w:rsidRPr="00BD16B4">
        <w:t xml:space="preserve">and </w:t>
      </w:r>
      <w:r w:rsidR="009024A3" w:rsidRPr="00BD16B4">
        <w:t xml:space="preserve">chapter </w:t>
      </w:r>
      <w:r w:rsidRPr="00BD16B4">
        <w:t>8</w:t>
      </w:r>
      <w:r w:rsidR="009024A3" w:rsidRPr="00BD16B4">
        <w:t xml:space="preserve">, sections </w:t>
      </w:r>
      <w:r w:rsidR="003C220C" w:rsidRPr="00BD16B4">
        <w:t>8.2.1 and 8.4.4</w:t>
      </w:r>
      <w:r w:rsidRPr="00BD16B4">
        <w:t>.</w:t>
      </w:r>
    </w:p>
    <w:p w14:paraId="28F84AC0" w14:textId="64607C71" w:rsidR="00EE180C" w:rsidRPr="00BD16B4" w:rsidRDefault="00EE180C" w:rsidP="00EE180C">
      <w:pPr>
        <w:pStyle w:val="Heading2"/>
      </w:pPr>
      <w:bookmarkStart w:id="434" w:name="_Toc497740413"/>
      <w:bookmarkStart w:id="435" w:name="_Toc500796180"/>
      <w:bookmarkStart w:id="436" w:name="_Toc121774673"/>
      <w:r w:rsidRPr="00BD16B4">
        <w:t>9.6</w:t>
      </w:r>
      <w:r w:rsidRPr="00BD16B4">
        <w:tab/>
        <w:t>International engagement</w:t>
      </w:r>
      <w:bookmarkEnd w:id="434"/>
      <w:bookmarkEnd w:id="435"/>
      <w:bookmarkEnd w:id="436"/>
    </w:p>
    <w:p w14:paraId="58586C29" w14:textId="77777777" w:rsidR="00EE180C" w:rsidRPr="00BD16B4" w:rsidRDefault="00EE180C" w:rsidP="00EE180C">
      <w:pPr>
        <w:pStyle w:val="BodyText"/>
        <w:rPr>
          <w:rFonts w:eastAsia="Calibri"/>
        </w:rPr>
      </w:pPr>
      <w:r w:rsidRPr="00BD16B4">
        <w:t>The New Zealand Government has been active in engaging with a broader regional audience on climate change. This section outlines work undertaken to engage internationally on climate change matters over the past five years.</w:t>
      </w:r>
      <w:r w:rsidRPr="00BD16B4">
        <w:rPr>
          <w:rFonts w:eastAsia="Calibri"/>
        </w:rPr>
        <w:t xml:space="preserve"> </w:t>
      </w:r>
    </w:p>
    <w:p w14:paraId="533A3483" w14:textId="77777777" w:rsidR="00EE180C" w:rsidRPr="00BD16B4" w:rsidRDefault="00EE180C" w:rsidP="00EE180C">
      <w:pPr>
        <w:pStyle w:val="BodyText"/>
        <w:rPr>
          <w:rFonts w:cs="Calibri"/>
          <w:color w:val="000000"/>
          <w:bdr w:val="none" w:sz="0" w:space="0" w:color="auto" w:frame="1"/>
        </w:rPr>
      </w:pPr>
      <w:r w:rsidRPr="00BD16B4">
        <w:t xml:space="preserve">As detailed in chapter 7, the Government is a major funder of the Pacific regional organisations that have a strategic focus on climate change. These organisations include the Secretariat of the Pacific Regional Environment Programme (SPREP), which provides policy and technical support to </w:t>
      </w:r>
      <w:r w:rsidRPr="00BD16B4">
        <w:rPr>
          <w:rFonts w:cs="Calibri"/>
          <w:color w:val="000000"/>
          <w:bdr w:val="none" w:sz="0" w:space="0" w:color="auto" w:frame="1"/>
        </w:rPr>
        <w:t>its Pacific Island members to meet their commitments under the UNFCCC and to support climate change adaptation actions. The latest SPREP campaign was the ‘Pacific Year of the Coral Reef 2018–2019’,</w:t>
      </w:r>
      <w:r w:rsidRPr="00BD16B4">
        <w:rPr>
          <w:rStyle w:val="FootnoteReference"/>
          <w:rFonts w:cs="Calibri"/>
          <w:bdr w:val="none" w:sz="0" w:space="0" w:color="auto" w:frame="1"/>
        </w:rPr>
        <w:footnoteReference w:id="554"/>
      </w:r>
      <w:r w:rsidRPr="00BD16B4">
        <w:rPr>
          <w:rFonts w:cs="Calibri"/>
          <w:color w:val="000000"/>
          <w:bdr w:val="none" w:sz="0" w:space="0" w:color="auto" w:frame="1"/>
        </w:rPr>
        <w:t xml:space="preserve"> which involved events and distributing news and resources with a focus on the ongoing action for conservation and recovery of coral reefs well into the future. SPREP also provides resources and information portals on its website.</w:t>
      </w:r>
      <w:r w:rsidRPr="00BD16B4">
        <w:rPr>
          <w:rStyle w:val="FootnoteReference"/>
          <w:rFonts w:cs="Calibri"/>
          <w:bdr w:val="none" w:sz="0" w:space="0" w:color="auto" w:frame="1"/>
        </w:rPr>
        <w:footnoteReference w:id="555"/>
      </w:r>
    </w:p>
    <w:p w14:paraId="7AFD7AB3" w14:textId="77777777" w:rsidR="00EE180C" w:rsidRPr="00BD16B4" w:rsidRDefault="00EE180C" w:rsidP="00EE180C">
      <w:pPr>
        <w:pStyle w:val="BodyText"/>
      </w:pPr>
      <w:r w:rsidRPr="00BD16B4">
        <w:t xml:space="preserve">The Government provides funding to support the technical contribution of Aotearoa New Zealand-based scientists at international scientific unions, such as the International Council for Science and several of its global research programmes actively involved in coordinating research into climate change. The funding ensures the Government is well </w:t>
      </w:r>
      <w:r w:rsidRPr="00BD16B4">
        <w:lastRenderedPageBreak/>
        <w:t>supported technically and the scientific and policy advice provided by New Zealand is valued for its excellence, relevance and strategic awareness.</w:t>
      </w:r>
    </w:p>
    <w:p w14:paraId="6959218E" w14:textId="230460C4" w:rsidR="00EE180C" w:rsidRPr="00BD16B4" w:rsidRDefault="00EE180C" w:rsidP="00EE180C">
      <w:pPr>
        <w:pStyle w:val="BodyText"/>
        <w:rPr>
          <w:highlight w:val="yellow"/>
        </w:rPr>
      </w:pPr>
      <w:r w:rsidRPr="00BD16B4">
        <w:rPr>
          <w:rFonts w:cs="Calibri"/>
          <w:color w:val="000000"/>
          <w:bdr w:val="none" w:sz="0" w:space="0" w:color="auto" w:frame="1"/>
        </w:rPr>
        <w:t xml:space="preserve">The Government also supports </w:t>
      </w:r>
      <w:r w:rsidRPr="00BD16B4">
        <w:rPr>
          <w:rFonts w:cs="Calibri"/>
          <w:color w:val="000000"/>
          <w:shd w:val="clear" w:color="auto" w:fill="FFFFFF"/>
        </w:rPr>
        <w:t>enhancing the capacity and capability of developing countries to take effective climate change action. More details can be found in chapter 7.</w:t>
      </w:r>
    </w:p>
    <w:p w14:paraId="1B694098" w14:textId="77777777" w:rsidR="00EE180C" w:rsidRPr="00BD16B4" w:rsidRDefault="00EE180C" w:rsidP="00EE180C">
      <w:pPr>
        <w:pStyle w:val="Heading3"/>
      </w:pPr>
      <w:r w:rsidRPr="00BD16B4">
        <w:t>9.6.1</w:t>
      </w:r>
      <w:r w:rsidRPr="00BD16B4">
        <w:tab/>
        <w:t>Contribution to the IPCC</w:t>
      </w:r>
    </w:p>
    <w:p w14:paraId="2FDFD24C" w14:textId="77777777" w:rsidR="00EE180C" w:rsidRPr="00BD16B4" w:rsidRDefault="00EE180C" w:rsidP="00EE180C">
      <w:pPr>
        <w:pStyle w:val="BodyText"/>
      </w:pPr>
      <w:r w:rsidRPr="00BD16B4">
        <w:t>The New Zealand Government provides a financial contribution to support Aotearoa New Zealand scientists selected to be part of the author teams of IPCC reports. Several New Zealand experts were involved in the Special Reports, Working Group reports and refinement of inventory methodologies over the IPCC’s sixth assessment cycle. During the reporting period, the authors also received funding from the Government to travel to attend IPCC meetings, when not subject to COVID-19 travel restrictions.</w:t>
      </w:r>
    </w:p>
    <w:p w14:paraId="38938799" w14:textId="77777777" w:rsidR="00EE180C" w:rsidRPr="00BD16B4" w:rsidRDefault="00EE180C" w:rsidP="00EE180C">
      <w:pPr>
        <w:pStyle w:val="Heading3"/>
      </w:pPr>
      <w:r w:rsidRPr="00BD16B4">
        <w:t>9.6.2</w:t>
      </w:r>
      <w:r w:rsidRPr="00BD16B4">
        <w:tab/>
        <w:t>Global Research Alliance on Agricultural Greenhouse Gases</w:t>
      </w:r>
    </w:p>
    <w:p w14:paraId="0EC5D832" w14:textId="671968E9" w:rsidR="00EE180C" w:rsidRPr="00BD16B4" w:rsidRDefault="00EE180C" w:rsidP="00EE180C">
      <w:pPr>
        <w:pStyle w:val="BodyText"/>
        <w:rPr>
          <w:rFonts w:eastAsia="Arial Narrow"/>
        </w:rPr>
      </w:pPr>
      <w:r w:rsidRPr="00BD16B4">
        <w:rPr>
          <w:rFonts w:eastAsia="Arial Narrow"/>
        </w:rPr>
        <w:t>The Global Research Alliance on Agricultural Greenhouse Gases (GRA) was formed in 2009 to find ways to grow more food without growing greenhouse gas emissions. The GRA promotes international cooperation and investment in research to mitigate the effect of agricultural greenhouse gas emissions. Aotearoa New Zealand is a founding member of the GRA, hosts the GRA Secretariat, co-chairs the Livestock Research Group and participates in the Croplands and Integrative research groups.</w:t>
      </w:r>
      <w:r w:rsidRPr="00BD16B4">
        <w:rPr>
          <w:rStyle w:val="FootnoteReference"/>
          <w:rFonts w:eastAsia="Arial Narrow"/>
        </w:rPr>
        <w:footnoteReference w:id="556"/>
      </w:r>
      <w:r w:rsidRPr="00BD16B4">
        <w:rPr>
          <w:rFonts w:eastAsia="Arial Narrow"/>
        </w:rPr>
        <w:t xml:space="preserve"> For more information on the GRA’s aims and members, see chapter 4, section 4.3.</w:t>
      </w:r>
      <w:r w:rsidR="009724EE" w:rsidRPr="00BD16B4">
        <w:rPr>
          <w:rFonts w:eastAsia="Arial Narrow"/>
        </w:rPr>
        <w:t xml:space="preserve">6 and chapter </w:t>
      </w:r>
      <w:r w:rsidR="00686BA6" w:rsidRPr="00BD16B4">
        <w:rPr>
          <w:rFonts w:eastAsia="Arial Narrow"/>
        </w:rPr>
        <w:t>7, section 7.2.3</w:t>
      </w:r>
      <w:r w:rsidRPr="00BD16B4">
        <w:rPr>
          <w:rFonts w:eastAsia="Arial Narrow"/>
        </w:rPr>
        <w:t>.</w:t>
      </w:r>
    </w:p>
    <w:p w14:paraId="5703A0F2" w14:textId="77777777" w:rsidR="00EE180C" w:rsidRPr="00BD16B4" w:rsidRDefault="00EE180C" w:rsidP="00EE180C">
      <w:pPr>
        <w:pStyle w:val="BodyText"/>
        <w:rPr>
          <w:rFonts w:eastAsia="Arial Narrow"/>
        </w:rPr>
      </w:pPr>
      <w:r w:rsidRPr="00BD16B4">
        <w:rPr>
          <w:rFonts w:eastAsia="Arial Narrow"/>
        </w:rPr>
        <w:t>The Ministry for Primary Industries supports and promotes the priorities and goals of the GRA and contributes to collaborative research projects and scientific capability-building activities.</w:t>
      </w:r>
      <w:r w:rsidRPr="00BD16B4">
        <w:rPr>
          <w:rStyle w:val="FootnoteReference"/>
          <w:rFonts w:eastAsia="Arial Narrow"/>
        </w:rPr>
        <w:footnoteReference w:id="557"/>
      </w:r>
      <w:r w:rsidRPr="00BD16B4">
        <w:rPr>
          <w:rFonts w:eastAsia="Arial Narrow"/>
        </w:rPr>
        <w:t xml:space="preserve"> </w:t>
      </w:r>
    </w:p>
    <w:p w14:paraId="41425941" w14:textId="77777777" w:rsidR="00EE180C" w:rsidRPr="00BD16B4" w:rsidRDefault="00EE180C" w:rsidP="004E1B8C">
      <w:pPr>
        <w:pStyle w:val="Heading4"/>
        <w:rPr>
          <w:rFonts w:eastAsia="Arial Narrow"/>
        </w:rPr>
      </w:pPr>
      <w:r w:rsidRPr="00BD16B4">
        <w:rPr>
          <w:rFonts w:eastAsia="Arial Narrow"/>
        </w:rPr>
        <w:t>Education (fellowships and awards)</w:t>
      </w:r>
    </w:p>
    <w:p w14:paraId="2966D753" w14:textId="77777777" w:rsidR="00EE180C" w:rsidRPr="00BD16B4" w:rsidRDefault="00EE180C" w:rsidP="00EE180C">
      <w:pPr>
        <w:pStyle w:val="BodyText"/>
      </w:pPr>
      <w:r w:rsidRPr="00BD16B4">
        <w:t>The New Zealand Global Research Alliance Doctoral Scholarship (NZ-GRADS)</w:t>
      </w:r>
      <w:r w:rsidRPr="00BD16B4">
        <w:rPr>
          <w:rStyle w:val="FootnoteReference"/>
        </w:rPr>
        <w:footnoteReference w:id="558"/>
      </w:r>
      <w:r w:rsidRPr="00BD16B4">
        <w:t xml:space="preserve"> is offered to science students from developing countries who want to complete their doctorate at an Aotearoa New Zealand university. Research topics must be related to greenhouse gas emissions from agricultural systems, primarily livestock.</w:t>
      </w:r>
    </w:p>
    <w:p w14:paraId="695F5448" w14:textId="77777777" w:rsidR="00EE180C" w:rsidRPr="00BD16B4" w:rsidRDefault="00EE180C" w:rsidP="00EE180C">
      <w:pPr>
        <w:pStyle w:val="BodyText"/>
      </w:pPr>
      <w:r w:rsidRPr="00BD16B4">
        <w:t>The Livestock Emissions Abatement Research Network (LEARN)</w:t>
      </w:r>
      <w:r w:rsidRPr="00BD16B4">
        <w:rPr>
          <w:rStyle w:val="FootnoteReference"/>
        </w:rPr>
        <w:footnoteReference w:id="559"/>
      </w:r>
      <w:r w:rsidRPr="00BD16B4">
        <w:t xml:space="preserve"> awards scheme is sponsored by the New Zealand Government to build international capability in livestock emissions research for scientists from developing countries. </w:t>
      </w:r>
    </w:p>
    <w:p w14:paraId="093132CA" w14:textId="77777777" w:rsidR="00EE180C" w:rsidRPr="00BD16B4" w:rsidRDefault="00EE180C" w:rsidP="00EE180C">
      <w:pPr>
        <w:pStyle w:val="BodyText"/>
      </w:pPr>
      <w:r w:rsidRPr="00BD16B4">
        <w:t>The Global Research Alliance Senior Scientist (GRASS)</w:t>
      </w:r>
      <w:r w:rsidRPr="00BD16B4">
        <w:rPr>
          <w:rStyle w:val="FootnoteReference"/>
        </w:rPr>
        <w:footnoteReference w:id="560"/>
      </w:r>
      <w:r w:rsidRPr="00BD16B4">
        <w:t xml:space="preserve"> Award funds short-term exchange opportunities for scientists from New Zealand and other GRA member countries to encourage global research collaboration. </w:t>
      </w:r>
    </w:p>
    <w:p w14:paraId="3F7620B0" w14:textId="77777777" w:rsidR="00EE180C" w:rsidRPr="00BD16B4" w:rsidRDefault="00EE180C" w:rsidP="00EE180C">
      <w:pPr>
        <w:pStyle w:val="BodyText"/>
      </w:pPr>
      <w:r w:rsidRPr="00BD16B4">
        <w:lastRenderedPageBreak/>
        <w:t>New Zealand supports the Climate, Food and Farming GRA Development Scholarships (CLIFF</w:t>
      </w:r>
      <w:r w:rsidRPr="00BD16B4">
        <w:noBreakHyphen/>
        <w:t>GRADS) programme,</w:t>
      </w:r>
      <w:r w:rsidRPr="00BD16B4">
        <w:rPr>
          <w:rStyle w:val="FootnoteReference"/>
        </w:rPr>
        <w:footnoteReference w:id="561"/>
      </w:r>
      <w:r w:rsidRPr="00BD16B4">
        <w:t xml:space="preserve"> provides short-term grants for doctoral students from developing countries to undertake scientific training and research on the measurement and mitigation of greenhouse gas emissions in agricultural systems, carbon storage in agricultural systems, and quantification and mitigation of greenhouse gas emissions from food loss and waste.</w:t>
      </w:r>
    </w:p>
    <w:p w14:paraId="31D0C758" w14:textId="77777777" w:rsidR="00EE180C" w:rsidRPr="00BD16B4" w:rsidRDefault="00EE180C" w:rsidP="00EE180C">
      <w:pPr>
        <w:pStyle w:val="BodyText"/>
      </w:pPr>
      <w:r w:rsidRPr="00BD16B4">
        <w:t>New Zealand is supporting the Graduate Research Grants (GRA-GRG) through African universities, which are members of the Regional Universities Forum for Capacity Building in Agriculture (RUFORM). These grants are aimed at teaching graduate and post-graduate students in Africa to conduct applied research on agricultural greenhouse gases.</w:t>
      </w:r>
    </w:p>
    <w:p w14:paraId="317C58C8" w14:textId="77777777" w:rsidR="00EE180C" w:rsidRPr="00BD16B4" w:rsidRDefault="00EE180C" w:rsidP="00EE180C">
      <w:pPr>
        <w:pStyle w:val="BodyText"/>
      </w:pPr>
      <w:r w:rsidRPr="00BD16B4">
        <w:t xml:space="preserve">As of July 2022, New Zealand has supported: </w:t>
      </w:r>
    </w:p>
    <w:p w14:paraId="0A66B405" w14:textId="77777777" w:rsidR="00EE180C" w:rsidRPr="00BD16B4" w:rsidRDefault="00EE180C" w:rsidP="00EE180C">
      <w:pPr>
        <w:pStyle w:val="Bullet"/>
      </w:pPr>
      <w:r w:rsidRPr="00BD16B4">
        <w:t>LEARN awards to seven postdoctoral students from Brazil, China, Indonesia, Pakistan, Sri Lanka and Viet Nam</w:t>
      </w:r>
    </w:p>
    <w:p w14:paraId="2114E29C" w14:textId="77777777" w:rsidR="00EE180C" w:rsidRPr="00BD16B4" w:rsidRDefault="00EE180C" w:rsidP="00EE180C">
      <w:pPr>
        <w:pStyle w:val="Bullet"/>
      </w:pPr>
      <w:r w:rsidRPr="00BD16B4">
        <w:t>three doctoral students from China; thirteen technicians from Argentina, China, Colombia, Ethiopia, Ghana, India, Mexico, Paraguay, Peru, Uganda and Viet Nam</w:t>
      </w:r>
    </w:p>
    <w:p w14:paraId="39463664" w14:textId="77777777" w:rsidR="00EE180C" w:rsidRPr="00BD16B4" w:rsidRDefault="00EE180C" w:rsidP="00EE180C">
      <w:pPr>
        <w:pStyle w:val="Bullet"/>
      </w:pPr>
      <w:r w:rsidRPr="00BD16B4">
        <w:t>fourteen GRASS awards to support collaboration with Australia, Canada, Denmark, Ireland, the Netherlands, Spain and United States</w:t>
      </w:r>
    </w:p>
    <w:p w14:paraId="55A16B40" w14:textId="77777777" w:rsidR="00EE180C" w:rsidRPr="00BD16B4" w:rsidRDefault="00EE180C" w:rsidP="00EE180C">
      <w:pPr>
        <w:pStyle w:val="Bullet"/>
        <w:rPr>
          <w:spacing w:val="-2"/>
        </w:rPr>
      </w:pPr>
      <w:r w:rsidRPr="00BD16B4">
        <w:rPr>
          <w:spacing w:val="-2"/>
        </w:rPr>
        <w:t>for the period 2018–22, 123 CLIFF-GRA awards to doctoral students from Algeria, Argentina</w:t>
      </w:r>
      <w:r w:rsidRPr="00BD16B4">
        <w:t xml:space="preserve">, Benin, Brazil, Burkina Faso, Cameroon, China, Columbia, Cuba, Ecuador, Ethiopia, Ghana, India, Indonesia, Iran, Kenya, Mexico, Myanmar, Nepal, Nigeria, Pakistan, Paraguay, Peru, </w:t>
      </w:r>
      <w:r w:rsidRPr="00BD16B4">
        <w:rPr>
          <w:spacing w:val="-2"/>
        </w:rPr>
        <w:t>Philippines, Russia, South Africa, Tanzania, Togo, Tunisia, Uganda, Viet Nam and Zimbabwe.</w:t>
      </w:r>
    </w:p>
    <w:p w14:paraId="2C9C56AF" w14:textId="77777777" w:rsidR="00EE180C" w:rsidRPr="00BD16B4" w:rsidRDefault="00EE180C" w:rsidP="004E1B8C">
      <w:pPr>
        <w:pStyle w:val="Heading4"/>
        <w:rPr>
          <w:rFonts w:eastAsia="Arial Narrow"/>
        </w:rPr>
      </w:pPr>
      <w:r w:rsidRPr="00BD16B4">
        <w:rPr>
          <w:rFonts w:eastAsia="Arial Narrow"/>
        </w:rPr>
        <w:t>Public awareness</w:t>
      </w:r>
    </w:p>
    <w:p w14:paraId="04B648A7" w14:textId="77777777" w:rsidR="00EE180C" w:rsidRPr="00BD16B4" w:rsidRDefault="00EE180C" w:rsidP="00EE180C">
      <w:pPr>
        <w:pStyle w:val="BodyText"/>
      </w:pPr>
      <w:r w:rsidRPr="00BD16B4">
        <w:t xml:space="preserve">Aotearoa New Zealand partners with the World Farmers’ Organisation in the delivery of an </w:t>
      </w:r>
      <w:r w:rsidRPr="00BD16B4">
        <w:rPr>
          <w:spacing w:val="-2"/>
        </w:rPr>
        <w:t>annual farmer study tour. The purpose of the tours is to raise awareness within the international</w:t>
      </w:r>
      <w:r w:rsidRPr="00BD16B4">
        <w:t xml:space="preserve"> farming community of the issue of greenhouse gases from agriculture; to provide a way for farmers to share experiences and be informed; and to inform the global research agenda, in particular the work of the GRA. Three such study tours have been held since 2014.</w:t>
      </w:r>
      <w:r w:rsidRPr="00BD16B4">
        <w:rPr>
          <w:rStyle w:val="FootnoteReference"/>
        </w:rPr>
        <w:footnoteReference w:id="562"/>
      </w:r>
      <w:r w:rsidRPr="00BD16B4">
        <w:t xml:space="preserve"> The latest tour was held in 2019 in New Zealand with the participation of farmers from Ethiopia, Indonesia, Kenya, South Sudan and Uganda.</w:t>
      </w:r>
    </w:p>
    <w:p w14:paraId="600DD04F" w14:textId="77777777" w:rsidR="00EE180C" w:rsidRPr="00BD16B4" w:rsidRDefault="00EE180C" w:rsidP="004E1B8C">
      <w:pPr>
        <w:pStyle w:val="Heading4"/>
        <w:rPr>
          <w:rFonts w:eastAsia="Arial Narrow"/>
        </w:rPr>
      </w:pPr>
      <w:r w:rsidRPr="00BD16B4">
        <w:rPr>
          <w:rFonts w:eastAsia="Arial Narrow"/>
        </w:rPr>
        <w:t>Training</w:t>
      </w:r>
    </w:p>
    <w:p w14:paraId="0CFD55E5" w14:textId="77777777" w:rsidR="00EE180C" w:rsidRPr="00BD16B4" w:rsidRDefault="00EE180C" w:rsidP="00EE180C">
      <w:pPr>
        <w:pStyle w:val="BodyText"/>
      </w:pPr>
      <w:r w:rsidRPr="00BD16B4">
        <w:t xml:space="preserve">To support the GRA, Aotearoa New Zealand provides financial and technical support for the training of technicians and scientists from developing countries. Typically, this is delivered through training workshops, often with participation by several countries in a particular region or countries sharing specific training needs. </w:t>
      </w:r>
    </w:p>
    <w:p w14:paraId="6DD4FAF2" w14:textId="77777777" w:rsidR="00EE180C" w:rsidRPr="00BD16B4" w:rsidRDefault="00EE180C" w:rsidP="00EE180C">
      <w:pPr>
        <w:pStyle w:val="BodyText"/>
        <w:keepNext/>
      </w:pPr>
      <w:r w:rsidRPr="00BD16B4">
        <w:lastRenderedPageBreak/>
        <w:t>GRA-related training that New Zealand has supported from 2018 to 2022 includes:</w:t>
      </w:r>
    </w:p>
    <w:p w14:paraId="1EABFE11" w14:textId="77777777" w:rsidR="00EE180C" w:rsidRPr="00BD16B4" w:rsidRDefault="00EE180C" w:rsidP="00EE180C">
      <w:pPr>
        <w:pStyle w:val="Bullet"/>
      </w:pPr>
      <w:r w:rsidRPr="00BD16B4">
        <w:rPr>
          <w:rFonts w:eastAsia="Arial Narrow"/>
        </w:rPr>
        <w:t>webinar by the GRA Integrative Research Group on linkages with the 4 Per 1000 Initiative and the Coordination of International Research Cooperation on Soil Carbon Sequestration in Agriculture (CIRCASA) project</w:t>
      </w:r>
      <w:r w:rsidRPr="00BD16B4">
        <w:rPr>
          <w:rStyle w:val="FootnoteReference"/>
          <w:rFonts w:eastAsia="Arial Narrow"/>
        </w:rPr>
        <w:footnoteReference w:id="563"/>
      </w:r>
    </w:p>
    <w:p w14:paraId="473E983C" w14:textId="77777777" w:rsidR="00EE180C" w:rsidRPr="00BD16B4" w:rsidRDefault="00EE180C" w:rsidP="00EE180C">
      <w:pPr>
        <w:pStyle w:val="Bullet"/>
      </w:pPr>
      <w:r w:rsidRPr="00BD16B4">
        <w:rPr>
          <w:rFonts w:eastAsia="Arial Narrow"/>
        </w:rPr>
        <w:t>webinar on monitoring reporting verification methods for soil carbon</w:t>
      </w:r>
      <w:r w:rsidRPr="00BD16B4">
        <w:rPr>
          <w:rStyle w:val="FootnoteReference"/>
          <w:rFonts w:eastAsia="Arial Narrow"/>
        </w:rPr>
        <w:footnoteReference w:id="564"/>
      </w:r>
    </w:p>
    <w:p w14:paraId="47630944" w14:textId="77777777" w:rsidR="00EE180C" w:rsidRPr="00BD16B4" w:rsidRDefault="00EE180C" w:rsidP="00EE180C">
      <w:pPr>
        <w:pStyle w:val="Bullet"/>
      </w:pPr>
      <w:r w:rsidRPr="00BD16B4">
        <w:rPr>
          <w:rFonts w:eastAsia="Arial Narrow"/>
        </w:rPr>
        <w:t>CLIFF-GRADS alumni workshop</w:t>
      </w:r>
      <w:r w:rsidRPr="00BD16B4">
        <w:rPr>
          <w:rStyle w:val="FootnoteReference"/>
          <w:rFonts w:eastAsia="Arial Narrow"/>
        </w:rPr>
        <w:footnoteReference w:id="565"/>
      </w:r>
    </w:p>
    <w:p w14:paraId="3D675CE1" w14:textId="77777777" w:rsidR="00EE180C" w:rsidRPr="00BD16B4" w:rsidRDefault="00EE180C" w:rsidP="00EE180C">
      <w:pPr>
        <w:pStyle w:val="Bullet"/>
      </w:pPr>
      <w:r w:rsidRPr="00BD16B4">
        <w:rPr>
          <w:rFonts w:eastAsia="Arial Narrow"/>
        </w:rPr>
        <w:t>guidance to help countries track livestock emissions</w:t>
      </w:r>
      <w:r w:rsidRPr="00BD16B4">
        <w:rPr>
          <w:rStyle w:val="FootnoteReference"/>
          <w:rFonts w:eastAsia="Arial Narrow"/>
        </w:rPr>
        <w:footnoteReference w:id="566"/>
      </w:r>
    </w:p>
    <w:p w14:paraId="41630226" w14:textId="77777777" w:rsidR="00EE180C" w:rsidRPr="00BD16B4" w:rsidRDefault="00EE180C" w:rsidP="00EE180C">
      <w:pPr>
        <w:pStyle w:val="Bullet"/>
      </w:pPr>
      <w:r w:rsidRPr="00BD16B4">
        <w:rPr>
          <w:rFonts w:eastAsia="Arial Narrow"/>
        </w:rPr>
        <w:t>progressing partnerships webinar series</w:t>
      </w:r>
      <w:r w:rsidRPr="00BD16B4">
        <w:rPr>
          <w:rStyle w:val="FootnoteReference"/>
          <w:rFonts w:eastAsia="Arial Narrow"/>
        </w:rPr>
        <w:footnoteReference w:id="567"/>
      </w:r>
      <w:r w:rsidRPr="00BD16B4">
        <w:rPr>
          <w:rFonts w:eastAsia="Arial Narrow"/>
          <w:vertAlign w:val="superscript"/>
        </w:rPr>
        <w:t>,</w:t>
      </w:r>
      <w:r w:rsidRPr="00BD16B4">
        <w:rPr>
          <w:rFonts w:eastAsia="Arial Narrow"/>
        </w:rPr>
        <w:t xml:space="preserve"> </w:t>
      </w:r>
      <w:r w:rsidRPr="00BD16B4">
        <w:rPr>
          <w:rStyle w:val="FootnoteReference"/>
          <w:rFonts w:eastAsia="Arial Narrow"/>
        </w:rPr>
        <w:footnoteReference w:id="568"/>
      </w:r>
      <w:r w:rsidRPr="00BD16B4">
        <w:rPr>
          <w:rFonts w:eastAsia="Arial Narrow"/>
          <w:vertAlign w:val="superscript"/>
        </w:rPr>
        <w:t>,</w:t>
      </w:r>
      <w:r w:rsidRPr="00BD16B4">
        <w:rPr>
          <w:rFonts w:eastAsia="Arial Narrow"/>
        </w:rPr>
        <w:t xml:space="preserve"> </w:t>
      </w:r>
      <w:r w:rsidRPr="00BD16B4">
        <w:rPr>
          <w:rStyle w:val="FootnoteReference"/>
          <w:rFonts w:eastAsia="Arial Narrow"/>
        </w:rPr>
        <w:footnoteReference w:id="569"/>
      </w:r>
    </w:p>
    <w:p w14:paraId="0E56408D" w14:textId="77777777" w:rsidR="00EE180C" w:rsidRPr="00BD16B4" w:rsidRDefault="00EE180C" w:rsidP="00EE180C">
      <w:pPr>
        <w:pStyle w:val="Bullet"/>
      </w:pPr>
      <w:r w:rsidRPr="00BD16B4">
        <w:rPr>
          <w:rFonts w:eastAsia="Arial Narrow"/>
        </w:rPr>
        <w:t>food loss and waste workshop in Sri Lanka</w:t>
      </w:r>
      <w:r w:rsidRPr="00BD16B4">
        <w:rPr>
          <w:rStyle w:val="FootnoteReference"/>
          <w:rFonts w:eastAsia="Arial Narrow"/>
        </w:rPr>
        <w:footnoteReference w:id="570"/>
      </w:r>
    </w:p>
    <w:p w14:paraId="1DF72569" w14:textId="77777777" w:rsidR="00EE180C" w:rsidRPr="00BD16B4" w:rsidRDefault="00EE180C" w:rsidP="00EE180C">
      <w:pPr>
        <w:pStyle w:val="Bullet"/>
      </w:pPr>
      <w:r w:rsidRPr="00BD16B4">
        <w:rPr>
          <w:rFonts w:eastAsia="Arial Narrow"/>
        </w:rPr>
        <w:t>manure management network webinar</w:t>
      </w:r>
      <w:r w:rsidRPr="00BD16B4">
        <w:rPr>
          <w:rStyle w:val="FootnoteReference"/>
          <w:rFonts w:eastAsia="Arial Narrow"/>
        </w:rPr>
        <w:footnoteReference w:id="571"/>
      </w:r>
      <w:r w:rsidRPr="00BD16B4">
        <w:rPr>
          <w:rFonts w:eastAsia="Arial Narrow"/>
          <w:vertAlign w:val="superscript"/>
        </w:rPr>
        <w:t>,</w:t>
      </w:r>
      <w:r w:rsidRPr="00BD16B4">
        <w:rPr>
          <w:rFonts w:eastAsia="Arial Narrow"/>
        </w:rPr>
        <w:t xml:space="preserve"> </w:t>
      </w:r>
      <w:r w:rsidRPr="00BD16B4">
        <w:rPr>
          <w:rStyle w:val="FootnoteReference"/>
          <w:rFonts w:eastAsia="Arial Narrow"/>
        </w:rPr>
        <w:footnoteReference w:id="572"/>
      </w:r>
    </w:p>
    <w:p w14:paraId="2D62EBDC" w14:textId="77777777" w:rsidR="00EE180C" w:rsidRPr="00BD16B4" w:rsidRDefault="00EE180C" w:rsidP="00EE180C">
      <w:pPr>
        <w:pStyle w:val="Bullet"/>
      </w:pPr>
      <w:r w:rsidRPr="00BD16B4">
        <w:rPr>
          <w:rFonts w:eastAsia="Arial Narrow"/>
        </w:rPr>
        <w:t>new joint research mechanism on climate and agriculture webinar from Ireland and New Zealand</w:t>
      </w:r>
      <w:r w:rsidRPr="00BD16B4">
        <w:rPr>
          <w:rStyle w:val="FootnoteReference"/>
          <w:rFonts w:eastAsia="Arial Narrow"/>
        </w:rPr>
        <w:footnoteReference w:id="573"/>
      </w:r>
    </w:p>
    <w:p w14:paraId="46FF3209" w14:textId="77777777" w:rsidR="00EE180C" w:rsidRPr="00BD16B4" w:rsidRDefault="00EE180C" w:rsidP="00EE180C">
      <w:pPr>
        <w:pStyle w:val="Bullet"/>
        <w:rPr>
          <w:rFonts w:eastAsia="Arial Narrow"/>
        </w:rPr>
      </w:pPr>
      <w:r w:rsidRPr="00BD16B4">
        <w:rPr>
          <w:rFonts w:eastAsia="Arial Narrow"/>
        </w:rPr>
        <w:t>free e-learning programme consisting of three foundation level courses on climate change and greenhouse gas reporting.</w:t>
      </w:r>
      <w:r w:rsidRPr="00BD16B4">
        <w:rPr>
          <w:rStyle w:val="FootnoteReference"/>
          <w:rFonts w:eastAsia="Arial Narrow"/>
        </w:rPr>
        <w:footnoteReference w:id="574"/>
      </w:r>
      <w:r w:rsidRPr="00BD16B4">
        <w:rPr>
          <w:rFonts w:eastAsia="Arial Narrow"/>
        </w:rPr>
        <w:t xml:space="preserve"> This is available in Arabic, Chinese (basic), Dutch, English, French, German, Italian, Portuguese, Russian and Spanish.</w:t>
      </w:r>
    </w:p>
    <w:p w14:paraId="472F5850" w14:textId="77777777" w:rsidR="00EE180C" w:rsidRPr="00BD16B4" w:rsidRDefault="00EE180C" w:rsidP="004E1B8C">
      <w:pPr>
        <w:pStyle w:val="Heading4"/>
      </w:pPr>
      <w:bookmarkStart w:id="437" w:name="_Toc497740306"/>
      <w:bookmarkStart w:id="438" w:name="_Toc498516764"/>
      <w:bookmarkStart w:id="439" w:name="_Toc246918279"/>
      <w:bookmarkStart w:id="440" w:name="_Toc247892330"/>
      <w:bookmarkStart w:id="441" w:name="_Toc248736205"/>
      <w:bookmarkStart w:id="442" w:name="_Toc372551765"/>
      <w:bookmarkStart w:id="443" w:name="_Toc374520382"/>
      <w:r w:rsidRPr="00BD16B4">
        <w:t>Asia and Pacific activities</w:t>
      </w:r>
    </w:p>
    <w:p w14:paraId="7E5BD51E" w14:textId="77777777" w:rsidR="00EE180C" w:rsidRPr="00BD16B4" w:rsidRDefault="00EE180C" w:rsidP="00EE180C">
      <w:pPr>
        <w:pStyle w:val="BodyText"/>
      </w:pPr>
      <w:r w:rsidRPr="00BD16B4">
        <w:t>In October 2021, the Minister of Climate Change confirmed that at least half of Aotearoa New Zealand’s new $1.3 billion climate finance commitment, which covers 2022 to 2025, will go towards supporting New Zealand’s Pacific neighbours.</w:t>
      </w:r>
    </w:p>
    <w:p w14:paraId="240BDADC" w14:textId="77777777" w:rsidR="00EE180C" w:rsidRPr="00BD16B4" w:rsidRDefault="00EE180C" w:rsidP="00EE180C">
      <w:pPr>
        <w:pStyle w:val="BodyText"/>
        <w:rPr>
          <w:highlight w:val="yellow"/>
        </w:rPr>
      </w:pPr>
      <w:r w:rsidRPr="00BD16B4">
        <w:t>The Ministry of Foreign Affairs and Trade established the Climate Change Programme to help resilience in the Pacific to the effect of climate change.</w:t>
      </w:r>
      <w:r w:rsidRPr="00BD16B4">
        <w:rPr>
          <w:rStyle w:val="FootnoteReference"/>
        </w:rPr>
        <w:footnoteReference w:id="575"/>
      </w:r>
      <w:r w:rsidRPr="00BD16B4">
        <w:t xml:space="preserve"> The programme focuses on 14 countries and territories across the Pacific, including the Cook Islands, Federated States of Micronesia, Fiji, Kiribati, Nauru, Niue, Papua New Guinea, Republic of the Marshall Islands, Samoa, Solomon Islands, Tokelau, Tonga, Tuvalu and Vanuatu.</w:t>
      </w:r>
    </w:p>
    <w:p w14:paraId="75D7E03E" w14:textId="77777777" w:rsidR="00EE180C" w:rsidRPr="00BD16B4" w:rsidRDefault="00EE180C" w:rsidP="00EE180C">
      <w:pPr>
        <w:pStyle w:val="BodyText"/>
      </w:pPr>
      <w:r w:rsidRPr="00BD16B4">
        <w:lastRenderedPageBreak/>
        <w:t>New Zealand holds one of the World Meteorological Organization Region V (southwest Pacific) seats on the IPCC Bureau. In 2020, the sixth Pacific Island Climate Outlook Forum (PICOF) was hosted virtually for the first time.</w:t>
      </w:r>
      <w:r w:rsidRPr="00BD16B4">
        <w:rPr>
          <w:rStyle w:val="FootnoteReference"/>
        </w:rPr>
        <w:footnoteReference w:id="576"/>
      </w:r>
      <w:r w:rsidRPr="00BD16B4">
        <w:t xml:space="preserve"> PICOF brings together representatives of the Pacific National Meteorological and Hydrological Services, regional partners and global climate centres, to ensure consistency in the access to and interpretation of climate information for the Pacific and the implications for critical sectors. PICOF embraces the model of the Global Framework for Climate Services User Interface Platform, which provides a structured means for users, researchers and climate services providers to interact at the global, regional and national level, to ensure user needs for climate services are met.</w:t>
      </w:r>
    </w:p>
    <w:p w14:paraId="75C29ECF" w14:textId="77777777" w:rsidR="00EE180C" w:rsidRPr="00BD16B4" w:rsidRDefault="00EE180C" w:rsidP="00EE180C">
      <w:pPr>
        <w:pStyle w:val="BodyText"/>
      </w:pPr>
      <w:r w:rsidRPr="00BD16B4">
        <w:t>For more detailed descriptions of New Zealand’s engagement with Pacific Island countries, see chapter 7.</w:t>
      </w:r>
      <w:bookmarkEnd w:id="437"/>
      <w:bookmarkEnd w:id="438"/>
      <w:bookmarkEnd w:id="439"/>
      <w:bookmarkEnd w:id="440"/>
      <w:bookmarkEnd w:id="441"/>
      <w:bookmarkEnd w:id="442"/>
      <w:bookmarkEnd w:id="443"/>
    </w:p>
    <w:p w14:paraId="465367CE" w14:textId="77777777" w:rsidR="00EE180C" w:rsidRPr="00BD16B4" w:rsidRDefault="00EE180C" w:rsidP="00EE180C">
      <w:pPr>
        <w:pStyle w:val="BodyText"/>
      </w:pPr>
    </w:p>
    <w:p w14:paraId="07AF275D" w14:textId="77777777" w:rsidR="004A3C95" w:rsidRPr="00BD16B4" w:rsidRDefault="004A3C95" w:rsidP="003F0361">
      <w:pPr>
        <w:pStyle w:val="BodyText"/>
        <w:spacing w:before="0"/>
        <w:sectPr w:rsidR="004A3C95" w:rsidRPr="00BD16B4" w:rsidSect="008A7498">
          <w:footerReference w:type="even" r:id="rId128"/>
          <w:footerReference w:type="default" r:id="rId129"/>
          <w:pgSz w:w="11907" w:h="16840" w:code="9"/>
          <w:pgMar w:top="1134" w:right="1701" w:bottom="1134" w:left="1701" w:header="567" w:footer="567" w:gutter="0"/>
          <w:cols w:space="720"/>
          <w:docGrid w:linePitch="299"/>
        </w:sectPr>
      </w:pPr>
    </w:p>
    <w:p w14:paraId="38A5BB81" w14:textId="77777777" w:rsidR="00ED2EBD" w:rsidRPr="00BD16B4" w:rsidRDefault="00ED2EBD" w:rsidP="00ED2EBD">
      <w:pPr>
        <w:pStyle w:val="Heading1"/>
        <w:rPr>
          <w:i/>
          <w:iCs/>
        </w:rPr>
      </w:pPr>
      <w:bookmarkStart w:id="444" w:name="_Hlk120026628"/>
      <w:bookmarkStart w:id="445" w:name="_Toc121774674"/>
      <w:r w:rsidRPr="00BD16B4">
        <w:lastRenderedPageBreak/>
        <w:t xml:space="preserve">Appendix A: Summary of emissions and removals from New Zealand’s 2022 </w:t>
      </w:r>
      <w:r w:rsidRPr="00BD16B4">
        <w:rPr>
          <w:i/>
          <w:iCs/>
        </w:rPr>
        <w:t>Greenhouse Gas Inventory</w:t>
      </w:r>
      <w:bookmarkEnd w:id="444"/>
      <w:bookmarkEnd w:id="445"/>
    </w:p>
    <w:p w14:paraId="49171D67" w14:textId="77777777" w:rsidR="00ED2EBD" w:rsidRPr="00BD16B4" w:rsidRDefault="00ED2EBD" w:rsidP="00ED2EBD">
      <w:pPr>
        <w:pStyle w:val="Tableheading"/>
      </w:pPr>
      <w:bookmarkStart w:id="446" w:name="_Toc121773831"/>
      <w:r w:rsidRPr="00BD16B4">
        <w:t>Table A.1:</w:t>
      </w:r>
      <w:r w:rsidRPr="00BD16B4">
        <w:tab/>
        <w:t>Emissions trends summary (CTF Table 1) (three parts)</w:t>
      </w:r>
      <w:bookmarkEnd w:id="446"/>
    </w:p>
    <w:p w14:paraId="16CFD495" w14:textId="77777777" w:rsidR="00ED2EBD" w:rsidRPr="00BD16B4" w:rsidRDefault="00ED2EBD" w:rsidP="00ED2EBD">
      <w:pPr>
        <w:pStyle w:val="CTFTableheading"/>
      </w:pPr>
      <w:r w:rsidRPr="00BD16B4">
        <w:t>Table A.1:</w:t>
      </w:r>
      <w:r w:rsidRPr="00BD16B4">
        <w:tab/>
        <w:t>Emissions trends summary (CTF Table 1) (part 1 of 3)</w:t>
      </w:r>
    </w:p>
    <w:tbl>
      <w:tblPr>
        <w:tblStyle w:val="MinistryfortheEnvironment"/>
        <w:tblW w:w="14515" w:type="dxa"/>
        <w:tblInd w:w="113" w:type="dxa"/>
        <w:tblCellMar>
          <w:bottom w:w="0" w:type="dxa"/>
        </w:tblCellMar>
        <w:tblLook w:val="04A0" w:firstRow="1" w:lastRow="0" w:firstColumn="1" w:lastColumn="0" w:noHBand="0" w:noVBand="1"/>
      </w:tblPr>
      <w:tblGrid>
        <w:gridCol w:w="2788"/>
        <w:gridCol w:w="1584"/>
        <w:gridCol w:w="1267"/>
        <w:gridCol w:w="1268"/>
        <w:gridCol w:w="1268"/>
        <w:gridCol w:w="1268"/>
        <w:gridCol w:w="1268"/>
        <w:gridCol w:w="1268"/>
        <w:gridCol w:w="1268"/>
        <w:gridCol w:w="1268"/>
      </w:tblGrid>
      <w:tr w:rsidR="00ED2EBD" w:rsidRPr="00BD16B4" w14:paraId="72E2A262" w14:textId="77777777" w:rsidTr="003F321F">
        <w:trPr>
          <w:cnfStyle w:val="100000000000" w:firstRow="1" w:lastRow="0" w:firstColumn="0" w:lastColumn="0" w:oddVBand="0" w:evenVBand="0" w:oddHBand="0" w:evenHBand="0" w:firstRowFirstColumn="0" w:firstRowLastColumn="0" w:lastRowFirstColumn="0" w:lastRowLastColumn="0"/>
          <w:tblHeader/>
        </w:trPr>
        <w:tc>
          <w:tcPr>
            <w:tcW w:w="2495" w:type="dxa"/>
            <w:tcBorders>
              <w:top w:val="single" w:sz="4" w:space="0" w:color="1B556B" w:themeColor="text2"/>
            </w:tcBorders>
            <w:vAlign w:val="bottom"/>
          </w:tcPr>
          <w:p w14:paraId="3E1B1BA4" w14:textId="77777777" w:rsidR="00ED2EBD" w:rsidRPr="00BD16B4" w:rsidRDefault="00ED2EBD" w:rsidP="004A205F">
            <w:pPr>
              <w:pStyle w:val="TableTextbold"/>
              <w:spacing w:before="40" w:after="40"/>
              <w:rPr>
                <w:rFonts w:cs="Calibri"/>
                <w:b/>
                <w:bCs/>
                <w:szCs w:val="18"/>
              </w:rPr>
            </w:pPr>
            <w:r w:rsidRPr="00BD16B4">
              <w:rPr>
                <w:rFonts w:cs="Calibri"/>
                <w:b/>
                <w:bCs/>
                <w:szCs w:val="18"/>
              </w:rPr>
              <w:t xml:space="preserve">Greenhouse gas emissions </w:t>
            </w:r>
          </w:p>
        </w:tc>
        <w:tc>
          <w:tcPr>
            <w:tcW w:w="1418" w:type="dxa"/>
            <w:tcBorders>
              <w:top w:val="single" w:sz="4" w:space="0" w:color="1B556B" w:themeColor="text2"/>
            </w:tcBorders>
            <w:vAlign w:val="bottom"/>
          </w:tcPr>
          <w:p w14:paraId="31002F4E" w14:textId="77777777" w:rsidR="00ED2EBD" w:rsidRPr="00BD16B4" w:rsidRDefault="00ED2EBD" w:rsidP="004A205F">
            <w:pPr>
              <w:pStyle w:val="TableTextbold"/>
              <w:spacing w:before="40" w:after="40"/>
              <w:jc w:val="center"/>
              <w:rPr>
                <w:rFonts w:cs="Calibri"/>
                <w:b/>
                <w:bCs/>
                <w:szCs w:val="18"/>
              </w:rPr>
            </w:pPr>
            <w:r w:rsidRPr="00BD16B4">
              <w:rPr>
                <w:rFonts w:cs="Calibri"/>
                <w:b/>
                <w:bCs/>
                <w:szCs w:val="18"/>
              </w:rPr>
              <w:t>Base year 1990</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34" w:type="dxa"/>
            <w:tcBorders>
              <w:top w:val="single" w:sz="4" w:space="0" w:color="1B556B" w:themeColor="text2"/>
            </w:tcBorders>
            <w:vAlign w:val="bottom"/>
          </w:tcPr>
          <w:p w14:paraId="6F239D2C" w14:textId="77777777" w:rsidR="00ED2EBD" w:rsidRPr="00BD16B4" w:rsidRDefault="00ED2EBD" w:rsidP="004A205F">
            <w:pPr>
              <w:pStyle w:val="TableTextbold"/>
              <w:spacing w:before="40" w:after="40"/>
              <w:jc w:val="center"/>
              <w:rPr>
                <w:rFonts w:cs="Calibri"/>
                <w:b/>
                <w:bCs/>
                <w:szCs w:val="18"/>
              </w:rPr>
            </w:pPr>
            <w:r w:rsidRPr="00BD16B4">
              <w:rPr>
                <w:rFonts w:cs="Calibri"/>
                <w:b/>
                <w:bCs/>
                <w:szCs w:val="18"/>
              </w:rPr>
              <w:t>1991</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34" w:type="dxa"/>
            <w:tcBorders>
              <w:top w:val="single" w:sz="4" w:space="0" w:color="1B556B" w:themeColor="text2"/>
            </w:tcBorders>
            <w:vAlign w:val="bottom"/>
          </w:tcPr>
          <w:p w14:paraId="44519905" w14:textId="77777777" w:rsidR="00ED2EBD" w:rsidRPr="00BD16B4" w:rsidRDefault="00ED2EBD" w:rsidP="004A205F">
            <w:pPr>
              <w:pStyle w:val="TableTextbold"/>
              <w:spacing w:before="40" w:after="40"/>
              <w:jc w:val="center"/>
              <w:rPr>
                <w:rFonts w:cs="Calibri"/>
                <w:b/>
                <w:bCs/>
                <w:szCs w:val="18"/>
              </w:rPr>
            </w:pPr>
            <w:r w:rsidRPr="00BD16B4">
              <w:rPr>
                <w:rFonts w:cs="Calibri"/>
                <w:b/>
                <w:bCs/>
                <w:szCs w:val="18"/>
              </w:rPr>
              <w:t>1992</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34" w:type="dxa"/>
            <w:tcBorders>
              <w:top w:val="single" w:sz="4" w:space="0" w:color="1B556B" w:themeColor="text2"/>
            </w:tcBorders>
            <w:vAlign w:val="bottom"/>
          </w:tcPr>
          <w:p w14:paraId="09682E5C" w14:textId="77777777" w:rsidR="00ED2EBD" w:rsidRPr="00BD16B4" w:rsidRDefault="00ED2EBD" w:rsidP="004A205F">
            <w:pPr>
              <w:pStyle w:val="TableTextbold"/>
              <w:spacing w:before="40" w:after="40"/>
              <w:jc w:val="center"/>
              <w:rPr>
                <w:rFonts w:cs="Calibri"/>
                <w:b/>
                <w:bCs/>
                <w:szCs w:val="18"/>
              </w:rPr>
            </w:pPr>
            <w:r w:rsidRPr="00BD16B4">
              <w:rPr>
                <w:rFonts w:cs="Calibri"/>
                <w:b/>
                <w:bCs/>
                <w:szCs w:val="18"/>
              </w:rPr>
              <w:t>1993</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34" w:type="dxa"/>
            <w:tcBorders>
              <w:top w:val="single" w:sz="4" w:space="0" w:color="1B556B" w:themeColor="text2"/>
            </w:tcBorders>
            <w:vAlign w:val="bottom"/>
          </w:tcPr>
          <w:p w14:paraId="7CC73538" w14:textId="77777777" w:rsidR="00ED2EBD" w:rsidRPr="00BD16B4" w:rsidRDefault="00ED2EBD" w:rsidP="004A205F">
            <w:pPr>
              <w:pStyle w:val="TableTextbold"/>
              <w:spacing w:before="40" w:after="40"/>
              <w:jc w:val="center"/>
              <w:rPr>
                <w:rFonts w:cs="Calibri"/>
                <w:b/>
                <w:bCs/>
                <w:szCs w:val="18"/>
              </w:rPr>
            </w:pPr>
            <w:r w:rsidRPr="00BD16B4">
              <w:rPr>
                <w:rFonts w:cs="Calibri"/>
                <w:b/>
                <w:bCs/>
                <w:szCs w:val="18"/>
              </w:rPr>
              <w:t>1994</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34" w:type="dxa"/>
            <w:tcBorders>
              <w:top w:val="single" w:sz="4" w:space="0" w:color="1B556B" w:themeColor="text2"/>
            </w:tcBorders>
            <w:vAlign w:val="bottom"/>
          </w:tcPr>
          <w:p w14:paraId="01518F39" w14:textId="77777777" w:rsidR="00ED2EBD" w:rsidRPr="00BD16B4" w:rsidRDefault="00ED2EBD" w:rsidP="004A205F">
            <w:pPr>
              <w:pStyle w:val="TableTextbold"/>
              <w:spacing w:before="40" w:after="40"/>
              <w:jc w:val="center"/>
              <w:rPr>
                <w:rFonts w:cs="Calibri"/>
                <w:b/>
                <w:bCs/>
                <w:szCs w:val="18"/>
              </w:rPr>
            </w:pPr>
            <w:r w:rsidRPr="00BD16B4">
              <w:rPr>
                <w:rFonts w:cs="Calibri"/>
                <w:b/>
                <w:bCs/>
                <w:szCs w:val="18"/>
              </w:rPr>
              <w:t>1995</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34" w:type="dxa"/>
            <w:tcBorders>
              <w:top w:val="single" w:sz="4" w:space="0" w:color="1B556B" w:themeColor="text2"/>
            </w:tcBorders>
            <w:vAlign w:val="bottom"/>
          </w:tcPr>
          <w:p w14:paraId="30F02426" w14:textId="77777777" w:rsidR="00ED2EBD" w:rsidRPr="00BD16B4" w:rsidRDefault="00ED2EBD" w:rsidP="004A205F">
            <w:pPr>
              <w:pStyle w:val="TableTextbold"/>
              <w:spacing w:before="40" w:after="40"/>
              <w:jc w:val="center"/>
              <w:rPr>
                <w:rFonts w:cs="Calibri"/>
                <w:b/>
                <w:bCs/>
                <w:szCs w:val="18"/>
              </w:rPr>
            </w:pPr>
            <w:r w:rsidRPr="00BD16B4">
              <w:rPr>
                <w:rFonts w:cs="Calibri"/>
                <w:b/>
                <w:bCs/>
                <w:szCs w:val="18"/>
              </w:rPr>
              <w:t>1996</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34" w:type="dxa"/>
            <w:tcBorders>
              <w:top w:val="single" w:sz="4" w:space="0" w:color="1B556B" w:themeColor="text2"/>
            </w:tcBorders>
            <w:vAlign w:val="bottom"/>
          </w:tcPr>
          <w:p w14:paraId="07A78041" w14:textId="77777777" w:rsidR="00ED2EBD" w:rsidRPr="00BD16B4" w:rsidRDefault="00ED2EBD" w:rsidP="004A205F">
            <w:pPr>
              <w:pStyle w:val="TableTextbold"/>
              <w:spacing w:before="40" w:after="40"/>
              <w:jc w:val="center"/>
              <w:rPr>
                <w:rFonts w:cs="Calibri"/>
                <w:b/>
                <w:bCs/>
                <w:szCs w:val="18"/>
              </w:rPr>
            </w:pPr>
            <w:r w:rsidRPr="00BD16B4">
              <w:rPr>
                <w:rFonts w:cs="Calibri"/>
                <w:b/>
                <w:bCs/>
                <w:szCs w:val="18"/>
              </w:rPr>
              <w:t>1997</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34" w:type="dxa"/>
            <w:tcBorders>
              <w:top w:val="single" w:sz="4" w:space="0" w:color="1B556B" w:themeColor="text2"/>
            </w:tcBorders>
            <w:vAlign w:val="bottom"/>
          </w:tcPr>
          <w:p w14:paraId="3FEFF04D" w14:textId="77777777" w:rsidR="00ED2EBD" w:rsidRPr="00BD16B4" w:rsidRDefault="00ED2EBD" w:rsidP="004A205F">
            <w:pPr>
              <w:pStyle w:val="TableTextbold"/>
              <w:spacing w:before="40" w:after="40"/>
              <w:jc w:val="center"/>
              <w:rPr>
                <w:rFonts w:cs="Calibri"/>
                <w:b/>
                <w:bCs/>
                <w:szCs w:val="18"/>
              </w:rPr>
            </w:pPr>
            <w:r w:rsidRPr="00BD16B4">
              <w:rPr>
                <w:rFonts w:cs="Calibri"/>
                <w:b/>
                <w:bCs/>
                <w:szCs w:val="18"/>
              </w:rPr>
              <w:t>1998</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r>
      <w:tr w:rsidR="00ED2EBD" w:rsidRPr="00BD16B4" w14:paraId="4E7707CA" w14:textId="77777777" w:rsidTr="003F321F">
        <w:tc>
          <w:tcPr>
            <w:tcW w:w="2495" w:type="dxa"/>
          </w:tcPr>
          <w:p w14:paraId="7B7C7B0A" w14:textId="77777777" w:rsidR="00ED2EBD" w:rsidRPr="00BD16B4" w:rsidRDefault="00ED2EBD" w:rsidP="004A205F">
            <w:pPr>
              <w:pStyle w:val="TableText"/>
              <w:spacing w:before="40" w:after="40"/>
              <w:rPr>
                <w:rFonts w:cs="Calibri"/>
                <w:szCs w:val="18"/>
              </w:rPr>
            </w:pPr>
            <w:r w:rsidRPr="00BD16B4">
              <w:rPr>
                <w:rFonts w:cs="Calibri"/>
                <w:szCs w:val="18"/>
              </w:rPr>
              <w:t>CO</w:t>
            </w:r>
            <w:r w:rsidRPr="00BD16B4">
              <w:rPr>
                <w:rFonts w:cs="Calibri"/>
                <w:color w:val="000000"/>
                <w:szCs w:val="18"/>
                <w:vertAlign w:val="subscript"/>
              </w:rPr>
              <w:t>2</w:t>
            </w:r>
            <w:r w:rsidRPr="00BD16B4">
              <w:rPr>
                <w:rFonts w:cs="Calibri"/>
                <w:color w:val="000000"/>
                <w:szCs w:val="18"/>
              </w:rPr>
              <w:t xml:space="preserve"> emissions without net CO</w:t>
            </w:r>
            <w:r w:rsidRPr="00BD16B4">
              <w:rPr>
                <w:rFonts w:cs="Calibri"/>
                <w:color w:val="000000"/>
                <w:szCs w:val="18"/>
                <w:vertAlign w:val="subscript"/>
              </w:rPr>
              <w:t>2</w:t>
            </w:r>
            <w:r w:rsidRPr="00BD16B4">
              <w:rPr>
                <w:rFonts w:cs="Calibri"/>
                <w:color w:val="000000"/>
                <w:szCs w:val="18"/>
              </w:rPr>
              <w:t xml:space="preserve"> from LULUCF</w:t>
            </w:r>
          </w:p>
        </w:tc>
        <w:tc>
          <w:tcPr>
            <w:tcW w:w="1418" w:type="dxa"/>
          </w:tcPr>
          <w:p w14:paraId="71892F22" w14:textId="77777777" w:rsidR="00ED2EBD" w:rsidRPr="00BD16B4" w:rsidRDefault="00ED2EBD" w:rsidP="004A205F">
            <w:pPr>
              <w:pStyle w:val="TableText"/>
              <w:spacing w:before="40" w:after="40"/>
              <w:jc w:val="right"/>
              <w:rPr>
                <w:rFonts w:cs="Calibri"/>
                <w:szCs w:val="18"/>
              </w:rPr>
            </w:pPr>
            <w:r w:rsidRPr="00BD16B4">
              <w:rPr>
                <w:rFonts w:cs="Calibri"/>
                <w:szCs w:val="18"/>
              </w:rPr>
              <w:t>25,502.51</w:t>
            </w:r>
          </w:p>
        </w:tc>
        <w:tc>
          <w:tcPr>
            <w:tcW w:w="1134" w:type="dxa"/>
          </w:tcPr>
          <w:p w14:paraId="36E218F9" w14:textId="77777777" w:rsidR="00ED2EBD" w:rsidRPr="00BD16B4" w:rsidRDefault="00ED2EBD" w:rsidP="004A205F">
            <w:pPr>
              <w:pStyle w:val="TableText"/>
              <w:spacing w:before="40" w:after="40"/>
              <w:jc w:val="right"/>
              <w:rPr>
                <w:rFonts w:cs="Calibri"/>
                <w:szCs w:val="18"/>
              </w:rPr>
            </w:pPr>
            <w:r w:rsidRPr="00BD16B4">
              <w:rPr>
                <w:rFonts w:cs="Calibri"/>
                <w:szCs w:val="18"/>
              </w:rPr>
              <w:t>26,182.59</w:t>
            </w:r>
          </w:p>
        </w:tc>
        <w:tc>
          <w:tcPr>
            <w:tcW w:w="1134" w:type="dxa"/>
          </w:tcPr>
          <w:p w14:paraId="1AE4D868" w14:textId="77777777" w:rsidR="00ED2EBD" w:rsidRPr="00BD16B4" w:rsidRDefault="00ED2EBD" w:rsidP="004A205F">
            <w:pPr>
              <w:pStyle w:val="TableText"/>
              <w:spacing w:before="40" w:after="40"/>
              <w:jc w:val="right"/>
              <w:rPr>
                <w:rFonts w:cs="Calibri"/>
                <w:szCs w:val="18"/>
              </w:rPr>
            </w:pPr>
            <w:r w:rsidRPr="00BD16B4">
              <w:rPr>
                <w:rFonts w:cs="Calibri"/>
                <w:szCs w:val="18"/>
              </w:rPr>
              <w:t>28,166.92</w:t>
            </w:r>
          </w:p>
        </w:tc>
        <w:tc>
          <w:tcPr>
            <w:tcW w:w="1134" w:type="dxa"/>
          </w:tcPr>
          <w:p w14:paraId="584EE05A" w14:textId="77777777" w:rsidR="00ED2EBD" w:rsidRPr="00BD16B4" w:rsidRDefault="00ED2EBD" w:rsidP="004A205F">
            <w:pPr>
              <w:pStyle w:val="TableText"/>
              <w:spacing w:before="40" w:after="40"/>
              <w:jc w:val="right"/>
              <w:rPr>
                <w:rFonts w:cs="Calibri"/>
                <w:szCs w:val="18"/>
              </w:rPr>
            </w:pPr>
            <w:r w:rsidRPr="00BD16B4">
              <w:rPr>
                <w:rFonts w:cs="Calibri"/>
                <w:szCs w:val="18"/>
              </w:rPr>
              <w:t>27,761.18</w:t>
            </w:r>
          </w:p>
        </w:tc>
        <w:tc>
          <w:tcPr>
            <w:tcW w:w="1134" w:type="dxa"/>
          </w:tcPr>
          <w:p w14:paraId="6501BCFA" w14:textId="77777777" w:rsidR="00ED2EBD" w:rsidRPr="00BD16B4" w:rsidRDefault="00ED2EBD" w:rsidP="004A205F">
            <w:pPr>
              <w:pStyle w:val="TableText"/>
              <w:spacing w:before="40" w:after="40"/>
              <w:jc w:val="right"/>
              <w:rPr>
                <w:rFonts w:cs="Calibri"/>
                <w:szCs w:val="18"/>
              </w:rPr>
            </w:pPr>
            <w:r w:rsidRPr="00BD16B4">
              <w:rPr>
                <w:rFonts w:cs="Calibri"/>
                <w:szCs w:val="18"/>
              </w:rPr>
              <w:t>27,900.04</w:t>
            </w:r>
          </w:p>
        </w:tc>
        <w:tc>
          <w:tcPr>
            <w:tcW w:w="1134" w:type="dxa"/>
          </w:tcPr>
          <w:p w14:paraId="0EBBAC53" w14:textId="77777777" w:rsidR="00ED2EBD" w:rsidRPr="00BD16B4" w:rsidRDefault="00ED2EBD" w:rsidP="004A205F">
            <w:pPr>
              <w:pStyle w:val="TableText"/>
              <w:spacing w:before="40" w:after="40"/>
              <w:jc w:val="right"/>
              <w:rPr>
                <w:rFonts w:cs="Calibri"/>
                <w:szCs w:val="18"/>
              </w:rPr>
            </w:pPr>
            <w:r w:rsidRPr="00BD16B4">
              <w:rPr>
                <w:rFonts w:cs="Calibri"/>
                <w:szCs w:val="18"/>
              </w:rPr>
              <w:t>28,003.49</w:t>
            </w:r>
          </w:p>
        </w:tc>
        <w:tc>
          <w:tcPr>
            <w:tcW w:w="1134" w:type="dxa"/>
          </w:tcPr>
          <w:p w14:paraId="50CE9609" w14:textId="77777777" w:rsidR="00ED2EBD" w:rsidRPr="00BD16B4" w:rsidRDefault="00ED2EBD" w:rsidP="004A205F">
            <w:pPr>
              <w:pStyle w:val="TableText"/>
              <w:spacing w:before="40" w:after="40"/>
              <w:jc w:val="right"/>
              <w:rPr>
                <w:rFonts w:cs="Calibri"/>
                <w:szCs w:val="18"/>
              </w:rPr>
            </w:pPr>
            <w:r w:rsidRPr="00BD16B4">
              <w:rPr>
                <w:rFonts w:cs="Calibri"/>
                <w:szCs w:val="18"/>
              </w:rPr>
              <w:t>29,304.54</w:t>
            </w:r>
          </w:p>
        </w:tc>
        <w:tc>
          <w:tcPr>
            <w:tcW w:w="1134" w:type="dxa"/>
          </w:tcPr>
          <w:p w14:paraId="205EC5B7" w14:textId="77777777" w:rsidR="00ED2EBD" w:rsidRPr="00BD16B4" w:rsidRDefault="00ED2EBD" w:rsidP="004A205F">
            <w:pPr>
              <w:pStyle w:val="TableText"/>
              <w:spacing w:before="40" w:after="40"/>
              <w:jc w:val="right"/>
              <w:rPr>
                <w:rFonts w:cs="Calibri"/>
                <w:szCs w:val="18"/>
              </w:rPr>
            </w:pPr>
            <w:r w:rsidRPr="00BD16B4">
              <w:rPr>
                <w:rFonts w:cs="Calibri"/>
                <w:szCs w:val="18"/>
              </w:rPr>
              <w:t>31,278.67</w:t>
            </w:r>
          </w:p>
        </w:tc>
        <w:tc>
          <w:tcPr>
            <w:tcW w:w="1134" w:type="dxa"/>
          </w:tcPr>
          <w:p w14:paraId="6ED3CD47" w14:textId="77777777" w:rsidR="00ED2EBD" w:rsidRPr="00BD16B4" w:rsidRDefault="00ED2EBD" w:rsidP="004A205F">
            <w:pPr>
              <w:pStyle w:val="TableText"/>
              <w:spacing w:before="40" w:after="40"/>
              <w:jc w:val="right"/>
              <w:rPr>
                <w:rFonts w:cs="Calibri"/>
                <w:szCs w:val="18"/>
              </w:rPr>
            </w:pPr>
            <w:r w:rsidRPr="00BD16B4">
              <w:rPr>
                <w:rFonts w:cs="Calibri"/>
                <w:szCs w:val="18"/>
              </w:rPr>
              <w:t>29,858.54</w:t>
            </w:r>
          </w:p>
        </w:tc>
      </w:tr>
      <w:tr w:rsidR="00ED2EBD" w:rsidRPr="00BD16B4" w14:paraId="56675C6B" w14:textId="77777777" w:rsidTr="003F321F">
        <w:tc>
          <w:tcPr>
            <w:tcW w:w="2495" w:type="dxa"/>
          </w:tcPr>
          <w:p w14:paraId="4772B8E8" w14:textId="77777777" w:rsidR="00ED2EBD" w:rsidRPr="00BD16B4" w:rsidRDefault="00ED2EBD" w:rsidP="004A205F">
            <w:pPr>
              <w:pStyle w:val="TableText"/>
              <w:spacing w:before="40" w:after="40"/>
              <w:rPr>
                <w:rFonts w:cs="Calibri"/>
                <w:szCs w:val="18"/>
              </w:rPr>
            </w:pPr>
            <w:r w:rsidRPr="00BD16B4">
              <w:rPr>
                <w:rFonts w:cs="Calibri"/>
                <w:szCs w:val="18"/>
              </w:rPr>
              <w:t>CO</w:t>
            </w:r>
            <w:r w:rsidRPr="00BD16B4">
              <w:rPr>
                <w:rFonts w:cs="Calibri"/>
                <w:color w:val="000000"/>
                <w:szCs w:val="18"/>
                <w:vertAlign w:val="subscript"/>
              </w:rPr>
              <w:t>2</w:t>
            </w:r>
            <w:r w:rsidRPr="00BD16B4">
              <w:rPr>
                <w:rFonts w:cs="Calibri"/>
                <w:color w:val="000000"/>
                <w:szCs w:val="18"/>
              </w:rPr>
              <w:t xml:space="preserve"> emissions with net CO</w:t>
            </w:r>
            <w:r w:rsidRPr="00BD16B4">
              <w:rPr>
                <w:rFonts w:cs="Calibri"/>
                <w:color w:val="000000"/>
                <w:szCs w:val="18"/>
                <w:vertAlign w:val="subscript"/>
              </w:rPr>
              <w:t>2</w:t>
            </w:r>
            <w:r w:rsidRPr="00BD16B4">
              <w:rPr>
                <w:rFonts w:cs="Calibri"/>
                <w:color w:val="000000"/>
                <w:szCs w:val="18"/>
              </w:rPr>
              <w:t xml:space="preserve"> from LULUCF</w:t>
            </w:r>
          </w:p>
        </w:tc>
        <w:tc>
          <w:tcPr>
            <w:tcW w:w="1418" w:type="dxa"/>
          </w:tcPr>
          <w:p w14:paraId="172C8509" w14:textId="77777777" w:rsidR="00ED2EBD" w:rsidRPr="00BD16B4" w:rsidRDefault="00ED2EBD" w:rsidP="004A205F">
            <w:pPr>
              <w:pStyle w:val="TableText"/>
              <w:spacing w:before="40" w:after="40"/>
              <w:jc w:val="right"/>
              <w:rPr>
                <w:rFonts w:cs="Calibri"/>
                <w:szCs w:val="18"/>
              </w:rPr>
            </w:pPr>
            <w:r w:rsidRPr="00BD16B4">
              <w:rPr>
                <w:rFonts w:cs="Calibri"/>
                <w:szCs w:val="18"/>
              </w:rPr>
              <w:t>3,878.45</w:t>
            </w:r>
          </w:p>
        </w:tc>
        <w:tc>
          <w:tcPr>
            <w:tcW w:w="1134" w:type="dxa"/>
          </w:tcPr>
          <w:p w14:paraId="21F85B33" w14:textId="77777777" w:rsidR="00ED2EBD" w:rsidRPr="00BD16B4" w:rsidRDefault="00ED2EBD" w:rsidP="004A205F">
            <w:pPr>
              <w:pStyle w:val="TableText"/>
              <w:spacing w:before="40" w:after="40"/>
              <w:jc w:val="right"/>
              <w:rPr>
                <w:rFonts w:cs="Calibri"/>
                <w:szCs w:val="18"/>
              </w:rPr>
            </w:pPr>
            <w:r w:rsidRPr="00BD16B4">
              <w:rPr>
                <w:rFonts w:cs="Calibri"/>
                <w:szCs w:val="18"/>
              </w:rPr>
              <w:t>2,537.68</w:t>
            </w:r>
          </w:p>
        </w:tc>
        <w:tc>
          <w:tcPr>
            <w:tcW w:w="1134" w:type="dxa"/>
          </w:tcPr>
          <w:p w14:paraId="4FCF7E74" w14:textId="77777777" w:rsidR="00ED2EBD" w:rsidRPr="00BD16B4" w:rsidRDefault="00ED2EBD" w:rsidP="004A205F">
            <w:pPr>
              <w:pStyle w:val="TableText"/>
              <w:spacing w:before="40" w:after="40"/>
              <w:jc w:val="right"/>
              <w:rPr>
                <w:rFonts w:cs="Calibri"/>
                <w:szCs w:val="18"/>
              </w:rPr>
            </w:pPr>
            <w:r w:rsidRPr="00BD16B4">
              <w:rPr>
                <w:rFonts w:cs="Calibri"/>
                <w:szCs w:val="18"/>
              </w:rPr>
              <w:t>4,736.30</w:t>
            </w:r>
          </w:p>
        </w:tc>
        <w:tc>
          <w:tcPr>
            <w:tcW w:w="1134" w:type="dxa"/>
          </w:tcPr>
          <w:p w14:paraId="66331A8E" w14:textId="77777777" w:rsidR="00ED2EBD" w:rsidRPr="00BD16B4" w:rsidRDefault="00ED2EBD" w:rsidP="004A205F">
            <w:pPr>
              <w:pStyle w:val="TableText"/>
              <w:spacing w:before="40" w:after="40"/>
              <w:jc w:val="right"/>
              <w:rPr>
                <w:rFonts w:cs="Calibri"/>
                <w:szCs w:val="18"/>
              </w:rPr>
            </w:pPr>
            <w:r w:rsidRPr="00BD16B4">
              <w:rPr>
                <w:rFonts w:cs="Calibri"/>
                <w:szCs w:val="18"/>
              </w:rPr>
              <w:t>3,503.99</w:t>
            </w:r>
          </w:p>
        </w:tc>
        <w:tc>
          <w:tcPr>
            <w:tcW w:w="1134" w:type="dxa"/>
          </w:tcPr>
          <w:p w14:paraId="518EA170" w14:textId="77777777" w:rsidR="00ED2EBD" w:rsidRPr="00BD16B4" w:rsidRDefault="00ED2EBD" w:rsidP="004A205F">
            <w:pPr>
              <w:pStyle w:val="TableText"/>
              <w:spacing w:before="40" w:after="40"/>
              <w:jc w:val="right"/>
              <w:rPr>
                <w:rFonts w:cs="Calibri"/>
                <w:szCs w:val="18"/>
              </w:rPr>
            </w:pPr>
            <w:r w:rsidRPr="00BD16B4">
              <w:rPr>
                <w:rFonts w:cs="Calibri"/>
                <w:szCs w:val="18"/>
              </w:rPr>
              <w:t>3,819.14</w:t>
            </w:r>
          </w:p>
        </w:tc>
        <w:tc>
          <w:tcPr>
            <w:tcW w:w="1134" w:type="dxa"/>
          </w:tcPr>
          <w:p w14:paraId="67D41615" w14:textId="77777777" w:rsidR="00ED2EBD" w:rsidRPr="00BD16B4" w:rsidRDefault="00ED2EBD" w:rsidP="004A205F">
            <w:pPr>
              <w:pStyle w:val="TableText"/>
              <w:spacing w:before="40" w:after="40"/>
              <w:jc w:val="right"/>
              <w:rPr>
                <w:rFonts w:cs="Calibri"/>
                <w:szCs w:val="18"/>
              </w:rPr>
            </w:pPr>
            <w:r w:rsidRPr="00BD16B4">
              <w:rPr>
                <w:rFonts w:cs="Calibri"/>
                <w:szCs w:val="18"/>
              </w:rPr>
              <w:t>5,102.66</w:t>
            </w:r>
          </w:p>
        </w:tc>
        <w:tc>
          <w:tcPr>
            <w:tcW w:w="1134" w:type="dxa"/>
          </w:tcPr>
          <w:p w14:paraId="4E602002" w14:textId="77777777" w:rsidR="00ED2EBD" w:rsidRPr="00BD16B4" w:rsidRDefault="00ED2EBD" w:rsidP="004A205F">
            <w:pPr>
              <w:pStyle w:val="TableText"/>
              <w:spacing w:before="40" w:after="40"/>
              <w:jc w:val="right"/>
              <w:rPr>
                <w:rFonts w:cs="Calibri"/>
                <w:szCs w:val="18"/>
              </w:rPr>
            </w:pPr>
            <w:r w:rsidRPr="00BD16B4">
              <w:rPr>
                <w:rFonts w:cs="Calibri"/>
                <w:szCs w:val="18"/>
              </w:rPr>
              <w:t>6,837.28</w:t>
            </w:r>
          </w:p>
        </w:tc>
        <w:tc>
          <w:tcPr>
            <w:tcW w:w="1134" w:type="dxa"/>
          </w:tcPr>
          <w:p w14:paraId="58B8DAA5" w14:textId="77777777" w:rsidR="00ED2EBD" w:rsidRPr="00BD16B4" w:rsidRDefault="00ED2EBD" w:rsidP="004A205F">
            <w:pPr>
              <w:pStyle w:val="TableText"/>
              <w:spacing w:before="40" w:after="40"/>
              <w:jc w:val="right"/>
              <w:rPr>
                <w:rFonts w:cs="Calibri"/>
                <w:szCs w:val="18"/>
              </w:rPr>
            </w:pPr>
            <w:r w:rsidRPr="00BD16B4">
              <w:rPr>
                <w:rFonts w:cs="Calibri"/>
                <w:szCs w:val="18"/>
              </w:rPr>
              <w:t>8,160.84</w:t>
            </w:r>
          </w:p>
        </w:tc>
        <w:tc>
          <w:tcPr>
            <w:tcW w:w="1134" w:type="dxa"/>
          </w:tcPr>
          <w:p w14:paraId="46A8D7B0" w14:textId="77777777" w:rsidR="00ED2EBD" w:rsidRPr="00BD16B4" w:rsidRDefault="00ED2EBD" w:rsidP="004A205F">
            <w:pPr>
              <w:pStyle w:val="TableText"/>
              <w:spacing w:before="40" w:after="40"/>
              <w:jc w:val="right"/>
              <w:rPr>
                <w:rFonts w:cs="Calibri"/>
                <w:szCs w:val="18"/>
              </w:rPr>
            </w:pPr>
            <w:r w:rsidRPr="00BD16B4">
              <w:rPr>
                <w:rFonts w:cs="Calibri"/>
                <w:szCs w:val="18"/>
              </w:rPr>
              <w:t>6,067.45</w:t>
            </w:r>
          </w:p>
        </w:tc>
      </w:tr>
      <w:tr w:rsidR="00ED2EBD" w:rsidRPr="00BD16B4" w14:paraId="5D54B95D" w14:textId="77777777" w:rsidTr="003F321F">
        <w:tc>
          <w:tcPr>
            <w:tcW w:w="2495" w:type="dxa"/>
          </w:tcPr>
          <w:p w14:paraId="56515AC6" w14:textId="77777777" w:rsidR="00ED2EBD" w:rsidRPr="00BD16B4" w:rsidRDefault="00ED2EBD" w:rsidP="004A205F">
            <w:pPr>
              <w:pStyle w:val="TableText"/>
              <w:spacing w:before="40" w:after="40"/>
              <w:rPr>
                <w:rFonts w:cs="Calibri"/>
                <w:szCs w:val="18"/>
              </w:rPr>
            </w:pPr>
            <w:r w:rsidRPr="00BD16B4">
              <w:rPr>
                <w:rFonts w:cs="Calibri"/>
                <w:szCs w:val="18"/>
              </w:rPr>
              <w:t>CH</w:t>
            </w:r>
            <w:r w:rsidRPr="00BD16B4">
              <w:rPr>
                <w:rFonts w:cs="Calibri"/>
                <w:color w:val="000000"/>
                <w:szCs w:val="18"/>
                <w:vertAlign w:val="subscript"/>
              </w:rPr>
              <w:t>4</w:t>
            </w:r>
            <w:r w:rsidRPr="00BD16B4">
              <w:rPr>
                <w:rFonts w:cs="Calibri"/>
                <w:color w:val="000000"/>
                <w:szCs w:val="18"/>
              </w:rPr>
              <w:t xml:space="preserve"> emissions without CH</w:t>
            </w:r>
            <w:r w:rsidRPr="00BD16B4">
              <w:rPr>
                <w:rFonts w:cs="Calibri"/>
                <w:color w:val="000000"/>
                <w:szCs w:val="18"/>
                <w:vertAlign w:val="subscript"/>
              </w:rPr>
              <w:t>4</w:t>
            </w:r>
            <w:r w:rsidRPr="00BD16B4">
              <w:rPr>
                <w:rFonts w:cs="Calibri"/>
                <w:color w:val="000000"/>
                <w:szCs w:val="18"/>
              </w:rPr>
              <w:t xml:space="preserve"> from LULUCF</w:t>
            </w:r>
          </w:p>
        </w:tc>
        <w:tc>
          <w:tcPr>
            <w:tcW w:w="1418" w:type="dxa"/>
          </w:tcPr>
          <w:p w14:paraId="0A1438F9" w14:textId="77777777" w:rsidR="00ED2EBD" w:rsidRPr="00BD16B4" w:rsidRDefault="00ED2EBD" w:rsidP="004A205F">
            <w:pPr>
              <w:pStyle w:val="TableText"/>
              <w:spacing w:before="40" w:after="40"/>
              <w:jc w:val="right"/>
              <w:rPr>
                <w:rFonts w:cs="Calibri"/>
                <w:szCs w:val="18"/>
              </w:rPr>
            </w:pPr>
            <w:r w:rsidRPr="00BD16B4">
              <w:rPr>
                <w:rFonts w:cs="Calibri"/>
                <w:szCs w:val="18"/>
              </w:rPr>
              <w:t>32,972.51</w:t>
            </w:r>
          </w:p>
        </w:tc>
        <w:tc>
          <w:tcPr>
            <w:tcW w:w="1134" w:type="dxa"/>
          </w:tcPr>
          <w:p w14:paraId="44DA502B" w14:textId="77777777" w:rsidR="00ED2EBD" w:rsidRPr="00BD16B4" w:rsidRDefault="00ED2EBD" w:rsidP="004A205F">
            <w:pPr>
              <w:pStyle w:val="TableText"/>
              <w:spacing w:before="40" w:after="40"/>
              <w:jc w:val="right"/>
              <w:rPr>
                <w:rFonts w:cs="Calibri"/>
                <w:szCs w:val="18"/>
              </w:rPr>
            </w:pPr>
            <w:r w:rsidRPr="00BD16B4">
              <w:rPr>
                <w:rFonts w:cs="Calibri"/>
                <w:szCs w:val="18"/>
              </w:rPr>
              <w:t>33,208.11</w:t>
            </w:r>
          </w:p>
        </w:tc>
        <w:tc>
          <w:tcPr>
            <w:tcW w:w="1134" w:type="dxa"/>
          </w:tcPr>
          <w:p w14:paraId="064265CE" w14:textId="77777777" w:rsidR="00ED2EBD" w:rsidRPr="00BD16B4" w:rsidRDefault="00ED2EBD" w:rsidP="004A205F">
            <w:pPr>
              <w:pStyle w:val="TableText"/>
              <w:spacing w:before="40" w:after="40"/>
              <w:jc w:val="right"/>
              <w:rPr>
                <w:rFonts w:cs="Calibri"/>
                <w:szCs w:val="18"/>
              </w:rPr>
            </w:pPr>
            <w:r w:rsidRPr="00BD16B4">
              <w:rPr>
                <w:rFonts w:cs="Calibri"/>
                <w:szCs w:val="18"/>
              </w:rPr>
              <w:t>32,793.87</w:t>
            </w:r>
          </w:p>
        </w:tc>
        <w:tc>
          <w:tcPr>
            <w:tcW w:w="1134" w:type="dxa"/>
          </w:tcPr>
          <w:p w14:paraId="3C483DB1" w14:textId="77777777" w:rsidR="00ED2EBD" w:rsidRPr="00BD16B4" w:rsidRDefault="00ED2EBD" w:rsidP="004A205F">
            <w:pPr>
              <w:pStyle w:val="TableText"/>
              <w:spacing w:before="40" w:after="40"/>
              <w:jc w:val="right"/>
              <w:rPr>
                <w:rFonts w:cs="Calibri"/>
                <w:szCs w:val="18"/>
              </w:rPr>
            </w:pPr>
            <w:r w:rsidRPr="00BD16B4">
              <w:rPr>
                <w:rFonts w:cs="Calibri"/>
                <w:szCs w:val="18"/>
              </w:rPr>
              <w:t>33,091.81</w:t>
            </w:r>
          </w:p>
        </w:tc>
        <w:tc>
          <w:tcPr>
            <w:tcW w:w="1134" w:type="dxa"/>
          </w:tcPr>
          <w:p w14:paraId="3A738F6F" w14:textId="77777777" w:rsidR="00ED2EBD" w:rsidRPr="00BD16B4" w:rsidRDefault="00ED2EBD" w:rsidP="004A205F">
            <w:pPr>
              <w:pStyle w:val="TableText"/>
              <w:spacing w:before="40" w:after="40"/>
              <w:jc w:val="right"/>
              <w:rPr>
                <w:rFonts w:cs="Calibri"/>
                <w:szCs w:val="18"/>
              </w:rPr>
            </w:pPr>
            <w:r w:rsidRPr="00BD16B4">
              <w:rPr>
                <w:rFonts w:cs="Calibri"/>
                <w:szCs w:val="18"/>
              </w:rPr>
              <w:t>33,991.44</w:t>
            </w:r>
          </w:p>
        </w:tc>
        <w:tc>
          <w:tcPr>
            <w:tcW w:w="1134" w:type="dxa"/>
          </w:tcPr>
          <w:p w14:paraId="7E5270E2" w14:textId="77777777" w:rsidR="00ED2EBD" w:rsidRPr="00BD16B4" w:rsidRDefault="00ED2EBD" w:rsidP="004A205F">
            <w:pPr>
              <w:pStyle w:val="TableText"/>
              <w:spacing w:before="40" w:after="40"/>
              <w:jc w:val="right"/>
              <w:rPr>
                <w:rFonts w:cs="Calibri"/>
                <w:szCs w:val="18"/>
              </w:rPr>
            </w:pPr>
            <w:r w:rsidRPr="00BD16B4">
              <w:rPr>
                <w:rFonts w:cs="Calibri"/>
                <w:szCs w:val="18"/>
              </w:rPr>
              <w:t>34,237.19</w:t>
            </w:r>
          </w:p>
        </w:tc>
        <w:tc>
          <w:tcPr>
            <w:tcW w:w="1134" w:type="dxa"/>
          </w:tcPr>
          <w:p w14:paraId="3BC18CF5" w14:textId="77777777" w:rsidR="00ED2EBD" w:rsidRPr="00BD16B4" w:rsidRDefault="00ED2EBD" w:rsidP="004A205F">
            <w:pPr>
              <w:pStyle w:val="TableText"/>
              <w:spacing w:before="40" w:after="40"/>
              <w:jc w:val="right"/>
              <w:rPr>
                <w:rFonts w:cs="Calibri"/>
                <w:szCs w:val="18"/>
              </w:rPr>
            </w:pPr>
            <w:r w:rsidRPr="00BD16B4">
              <w:rPr>
                <w:rFonts w:cs="Calibri"/>
                <w:szCs w:val="18"/>
              </w:rPr>
              <w:t>34,881.11</w:t>
            </w:r>
          </w:p>
        </w:tc>
        <w:tc>
          <w:tcPr>
            <w:tcW w:w="1134" w:type="dxa"/>
          </w:tcPr>
          <w:p w14:paraId="0B495A6A" w14:textId="77777777" w:rsidR="00ED2EBD" w:rsidRPr="00BD16B4" w:rsidRDefault="00ED2EBD" w:rsidP="004A205F">
            <w:pPr>
              <w:pStyle w:val="TableText"/>
              <w:spacing w:before="40" w:after="40"/>
              <w:jc w:val="right"/>
              <w:rPr>
                <w:rFonts w:cs="Calibri"/>
                <w:szCs w:val="18"/>
              </w:rPr>
            </w:pPr>
            <w:r w:rsidRPr="00BD16B4">
              <w:rPr>
                <w:rFonts w:cs="Calibri"/>
                <w:szCs w:val="18"/>
              </w:rPr>
              <w:t>35,676.09</w:t>
            </w:r>
          </w:p>
        </w:tc>
        <w:tc>
          <w:tcPr>
            <w:tcW w:w="1134" w:type="dxa"/>
          </w:tcPr>
          <w:p w14:paraId="181E4BF5" w14:textId="77777777" w:rsidR="00ED2EBD" w:rsidRPr="00BD16B4" w:rsidRDefault="00ED2EBD" w:rsidP="004A205F">
            <w:pPr>
              <w:pStyle w:val="TableText"/>
              <w:spacing w:before="40" w:after="40"/>
              <w:jc w:val="right"/>
              <w:rPr>
                <w:rFonts w:cs="Calibri"/>
                <w:szCs w:val="18"/>
              </w:rPr>
            </w:pPr>
            <w:r w:rsidRPr="00BD16B4">
              <w:rPr>
                <w:rFonts w:cs="Calibri"/>
                <w:szCs w:val="18"/>
              </w:rPr>
              <w:t>35,023.70</w:t>
            </w:r>
          </w:p>
        </w:tc>
      </w:tr>
      <w:tr w:rsidR="00ED2EBD" w:rsidRPr="00BD16B4" w14:paraId="36CADA8B" w14:textId="77777777" w:rsidTr="003F321F">
        <w:tc>
          <w:tcPr>
            <w:tcW w:w="2495" w:type="dxa"/>
          </w:tcPr>
          <w:p w14:paraId="165809F1" w14:textId="77777777" w:rsidR="00ED2EBD" w:rsidRPr="00BD16B4" w:rsidRDefault="00ED2EBD" w:rsidP="004A205F">
            <w:pPr>
              <w:pStyle w:val="TableText"/>
              <w:spacing w:before="40" w:after="40"/>
              <w:rPr>
                <w:rFonts w:cs="Calibri"/>
                <w:szCs w:val="18"/>
              </w:rPr>
            </w:pPr>
            <w:r w:rsidRPr="00BD16B4">
              <w:rPr>
                <w:rFonts w:cs="Calibri"/>
                <w:szCs w:val="18"/>
              </w:rPr>
              <w:t>CH</w:t>
            </w:r>
            <w:r w:rsidRPr="00BD16B4">
              <w:rPr>
                <w:rFonts w:cs="Calibri"/>
                <w:color w:val="000000"/>
                <w:szCs w:val="18"/>
                <w:vertAlign w:val="subscript"/>
              </w:rPr>
              <w:t>4</w:t>
            </w:r>
            <w:r w:rsidRPr="00BD16B4">
              <w:rPr>
                <w:rFonts w:cs="Calibri"/>
                <w:color w:val="000000"/>
                <w:szCs w:val="18"/>
              </w:rPr>
              <w:t xml:space="preserve"> emissions with CH</w:t>
            </w:r>
            <w:r w:rsidRPr="00BD16B4">
              <w:rPr>
                <w:rFonts w:cs="Calibri"/>
                <w:color w:val="000000"/>
                <w:szCs w:val="18"/>
                <w:vertAlign w:val="subscript"/>
              </w:rPr>
              <w:t>4</w:t>
            </w:r>
            <w:r w:rsidRPr="00BD16B4">
              <w:rPr>
                <w:rFonts w:cs="Calibri"/>
                <w:color w:val="000000"/>
                <w:szCs w:val="18"/>
              </w:rPr>
              <w:t xml:space="preserve"> from LULUCF</w:t>
            </w:r>
          </w:p>
        </w:tc>
        <w:tc>
          <w:tcPr>
            <w:tcW w:w="1418" w:type="dxa"/>
          </w:tcPr>
          <w:p w14:paraId="4A821E45" w14:textId="77777777" w:rsidR="00ED2EBD" w:rsidRPr="00BD16B4" w:rsidRDefault="00ED2EBD" w:rsidP="004A205F">
            <w:pPr>
              <w:pStyle w:val="TableText"/>
              <w:spacing w:before="40" w:after="40"/>
              <w:jc w:val="right"/>
              <w:rPr>
                <w:rFonts w:cs="Calibri"/>
                <w:szCs w:val="18"/>
              </w:rPr>
            </w:pPr>
            <w:r w:rsidRPr="00BD16B4">
              <w:rPr>
                <w:rFonts w:cs="Calibri"/>
                <w:szCs w:val="18"/>
              </w:rPr>
              <w:t>33,041.22</w:t>
            </w:r>
          </w:p>
        </w:tc>
        <w:tc>
          <w:tcPr>
            <w:tcW w:w="1134" w:type="dxa"/>
          </w:tcPr>
          <w:p w14:paraId="7CD00DFC" w14:textId="77777777" w:rsidR="00ED2EBD" w:rsidRPr="00BD16B4" w:rsidRDefault="00ED2EBD" w:rsidP="004A205F">
            <w:pPr>
              <w:pStyle w:val="TableText"/>
              <w:spacing w:before="40" w:after="40"/>
              <w:jc w:val="right"/>
              <w:rPr>
                <w:rFonts w:cs="Calibri"/>
                <w:szCs w:val="18"/>
              </w:rPr>
            </w:pPr>
            <w:r w:rsidRPr="00BD16B4">
              <w:rPr>
                <w:rFonts w:cs="Calibri"/>
                <w:szCs w:val="18"/>
              </w:rPr>
              <w:t>33,256.37</w:t>
            </w:r>
          </w:p>
        </w:tc>
        <w:tc>
          <w:tcPr>
            <w:tcW w:w="1134" w:type="dxa"/>
          </w:tcPr>
          <w:p w14:paraId="54B58358" w14:textId="77777777" w:rsidR="00ED2EBD" w:rsidRPr="00BD16B4" w:rsidRDefault="00ED2EBD" w:rsidP="004A205F">
            <w:pPr>
              <w:pStyle w:val="TableText"/>
              <w:spacing w:before="40" w:after="40"/>
              <w:jc w:val="right"/>
              <w:rPr>
                <w:rFonts w:cs="Calibri"/>
                <w:szCs w:val="18"/>
              </w:rPr>
            </w:pPr>
            <w:r w:rsidRPr="00BD16B4">
              <w:rPr>
                <w:rFonts w:cs="Calibri"/>
                <w:szCs w:val="18"/>
              </w:rPr>
              <w:t>32,850.72</w:t>
            </w:r>
          </w:p>
        </w:tc>
        <w:tc>
          <w:tcPr>
            <w:tcW w:w="1134" w:type="dxa"/>
          </w:tcPr>
          <w:p w14:paraId="527C981E" w14:textId="77777777" w:rsidR="00ED2EBD" w:rsidRPr="00BD16B4" w:rsidRDefault="00ED2EBD" w:rsidP="004A205F">
            <w:pPr>
              <w:pStyle w:val="TableText"/>
              <w:spacing w:before="40" w:after="40"/>
              <w:jc w:val="right"/>
              <w:rPr>
                <w:rFonts w:cs="Calibri"/>
                <w:szCs w:val="18"/>
              </w:rPr>
            </w:pPr>
            <w:r w:rsidRPr="00BD16B4">
              <w:rPr>
                <w:rFonts w:cs="Calibri"/>
                <w:szCs w:val="18"/>
              </w:rPr>
              <w:t>33,165.14</w:t>
            </w:r>
          </w:p>
        </w:tc>
        <w:tc>
          <w:tcPr>
            <w:tcW w:w="1134" w:type="dxa"/>
          </w:tcPr>
          <w:p w14:paraId="10E485E0" w14:textId="77777777" w:rsidR="00ED2EBD" w:rsidRPr="00BD16B4" w:rsidRDefault="00ED2EBD" w:rsidP="004A205F">
            <w:pPr>
              <w:pStyle w:val="TableText"/>
              <w:spacing w:before="40" w:after="40"/>
              <w:jc w:val="right"/>
              <w:rPr>
                <w:rFonts w:cs="Calibri"/>
                <w:szCs w:val="18"/>
              </w:rPr>
            </w:pPr>
            <w:r w:rsidRPr="00BD16B4">
              <w:rPr>
                <w:rFonts w:cs="Calibri"/>
                <w:szCs w:val="18"/>
              </w:rPr>
              <w:t>34,071.64</w:t>
            </w:r>
          </w:p>
        </w:tc>
        <w:tc>
          <w:tcPr>
            <w:tcW w:w="1134" w:type="dxa"/>
          </w:tcPr>
          <w:p w14:paraId="29F0A716" w14:textId="77777777" w:rsidR="00ED2EBD" w:rsidRPr="00BD16B4" w:rsidRDefault="00ED2EBD" w:rsidP="004A205F">
            <w:pPr>
              <w:pStyle w:val="TableText"/>
              <w:spacing w:before="40" w:after="40"/>
              <w:jc w:val="right"/>
              <w:rPr>
                <w:rFonts w:cs="Calibri"/>
                <w:szCs w:val="18"/>
              </w:rPr>
            </w:pPr>
            <w:r w:rsidRPr="00BD16B4">
              <w:rPr>
                <w:rFonts w:cs="Calibri"/>
                <w:szCs w:val="18"/>
              </w:rPr>
              <w:t>34,314.43</w:t>
            </w:r>
          </w:p>
        </w:tc>
        <w:tc>
          <w:tcPr>
            <w:tcW w:w="1134" w:type="dxa"/>
          </w:tcPr>
          <w:p w14:paraId="1046C020" w14:textId="77777777" w:rsidR="00ED2EBD" w:rsidRPr="00BD16B4" w:rsidRDefault="00ED2EBD" w:rsidP="004A205F">
            <w:pPr>
              <w:pStyle w:val="TableText"/>
              <w:spacing w:before="40" w:after="40"/>
              <w:jc w:val="right"/>
              <w:rPr>
                <w:rFonts w:cs="Calibri"/>
                <w:szCs w:val="18"/>
              </w:rPr>
            </w:pPr>
            <w:r w:rsidRPr="00BD16B4">
              <w:rPr>
                <w:rFonts w:cs="Calibri"/>
                <w:szCs w:val="18"/>
              </w:rPr>
              <w:t>34,969.32</w:t>
            </w:r>
          </w:p>
        </w:tc>
        <w:tc>
          <w:tcPr>
            <w:tcW w:w="1134" w:type="dxa"/>
          </w:tcPr>
          <w:p w14:paraId="054549E5" w14:textId="77777777" w:rsidR="00ED2EBD" w:rsidRPr="00BD16B4" w:rsidRDefault="00ED2EBD" w:rsidP="004A205F">
            <w:pPr>
              <w:pStyle w:val="TableText"/>
              <w:spacing w:before="40" w:after="40"/>
              <w:jc w:val="right"/>
              <w:rPr>
                <w:rFonts w:cs="Calibri"/>
                <w:szCs w:val="18"/>
              </w:rPr>
            </w:pPr>
            <w:r w:rsidRPr="00BD16B4">
              <w:rPr>
                <w:rFonts w:cs="Calibri"/>
                <w:szCs w:val="18"/>
              </w:rPr>
              <w:t>35,762.95</w:t>
            </w:r>
          </w:p>
        </w:tc>
        <w:tc>
          <w:tcPr>
            <w:tcW w:w="1134" w:type="dxa"/>
          </w:tcPr>
          <w:p w14:paraId="4E30877E" w14:textId="77777777" w:rsidR="00ED2EBD" w:rsidRPr="00BD16B4" w:rsidRDefault="00ED2EBD" w:rsidP="004A205F">
            <w:pPr>
              <w:pStyle w:val="TableText"/>
              <w:spacing w:before="40" w:after="40"/>
              <w:jc w:val="right"/>
              <w:rPr>
                <w:rFonts w:cs="Calibri"/>
                <w:szCs w:val="18"/>
              </w:rPr>
            </w:pPr>
            <w:r w:rsidRPr="00BD16B4">
              <w:rPr>
                <w:rFonts w:cs="Calibri"/>
                <w:szCs w:val="18"/>
              </w:rPr>
              <w:t>35,145.18</w:t>
            </w:r>
          </w:p>
        </w:tc>
      </w:tr>
      <w:tr w:rsidR="00ED2EBD" w:rsidRPr="00BD16B4" w14:paraId="7718FDD7" w14:textId="77777777" w:rsidTr="003F321F">
        <w:tc>
          <w:tcPr>
            <w:tcW w:w="2495" w:type="dxa"/>
          </w:tcPr>
          <w:p w14:paraId="1F2EE44F" w14:textId="77777777" w:rsidR="00ED2EBD" w:rsidRPr="00BD16B4" w:rsidRDefault="00ED2EBD" w:rsidP="004A205F">
            <w:pPr>
              <w:pStyle w:val="TableText"/>
              <w:spacing w:before="40" w:after="40"/>
              <w:rPr>
                <w:rFonts w:cs="Calibri"/>
                <w:szCs w:val="18"/>
              </w:rPr>
            </w:pPr>
            <w:r w:rsidRPr="00BD16B4">
              <w:rPr>
                <w:rFonts w:cs="Calibri"/>
                <w:szCs w:val="18"/>
              </w:rPr>
              <w:t>N</w:t>
            </w:r>
            <w:r w:rsidRPr="00BD16B4">
              <w:rPr>
                <w:rFonts w:cs="Calibri"/>
                <w:color w:val="000000"/>
                <w:szCs w:val="18"/>
                <w:vertAlign w:val="subscript"/>
              </w:rPr>
              <w:t>2</w:t>
            </w:r>
            <w:r w:rsidRPr="00BD16B4">
              <w:rPr>
                <w:rFonts w:cs="Calibri"/>
                <w:color w:val="000000"/>
                <w:szCs w:val="18"/>
              </w:rPr>
              <w:t>O emissions without N</w:t>
            </w:r>
            <w:r w:rsidRPr="00BD16B4">
              <w:rPr>
                <w:rFonts w:cs="Calibri"/>
                <w:color w:val="000000"/>
                <w:szCs w:val="18"/>
                <w:vertAlign w:val="subscript"/>
              </w:rPr>
              <w:t>2</w:t>
            </w:r>
            <w:r w:rsidRPr="00BD16B4">
              <w:rPr>
                <w:rFonts w:cs="Calibri"/>
                <w:color w:val="000000"/>
                <w:szCs w:val="18"/>
              </w:rPr>
              <w:t>O from LULUCF</w:t>
            </w:r>
          </w:p>
        </w:tc>
        <w:tc>
          <w:tcPr>
            <w:tcW w:w="1418" w:type="dxa"/>
          </w:tcPr>
          <w:p w14:paraId="64F96E0F" w14:textId="77777777" w:rsidR="00ED2EBD" w:rsidRPr="00BD16B4" w:rsidRDefault="00ED2EBD" w:rsidP="004A205F">
            <w:pPr>
              <w:pStyle w:val="TableText"/>
              <w:spacing w:before="40" w:after="40"/>
              <w:jc w:val="right"/>
              <w:rPr>
                <w:rFonts w:cs="Calibri"/>
                <w:szCs w:val="18"/>
              </w:rPr>
            </w:pPr>
            <w:r w:rsidRPr="00BD16B4">
              <w:rPr>
                <w:rFonts w:cs="Calibri"/>
                <w:szCs w:val="18"/>
              </w:rPr>
              <w:t>5,792.05</w:t>
            </w:r>
          </w:p>
        </w:tc>
        <w:tc>
          <w:tcPr>
            <w:tcW w:w="1134" w:type="dxa"/>
          </w:tcPr>
          <w:p w14:paraId="50001A9A" w14:textId="77777777" w:rsidR="00ED2EBD" w:rsidRPr="00BD16B4" w:rsidRDefault="00ED2EBD" w:rsidP="004A205F">
            <w:pPr>
              <w:pStyle w:val="TableText"/>
              <w:spacing w:before="40" w:after="40"/>
              <w:jc w:val="right"/>
              <w:rPr>
                <w:rFonts w:cs="Calibri"/>
                <w:szCs w:val="18"/>
              </w:rPr>
            </w:pPr>
            <w:r w:rsidRPr="00BD16B4">
              <w:rPr>
                <w:rFonts w:cs="Calibri"/>
                <w:szCs w:val="18"/>
              </w:rPr>
              <w:t>5,860.17</w:t>
            </w:r>
          </w:p>
        </w:tc>
        <w:tc>
          <w:tcPr>
            <w:tcW w:w="1134" w:type="dxa"/>
          </w:tcPr>
          <w:p w14:paraId="2F096807" w14:textId="77777777" w:rsidR="00ED2EBD" w:rsidRPr="00BD16B4" w:rsidRDefault="00ED2EBD" w:rsidP="004A205F">
            <w:pPr>
              <w:pStyle w:val="TableText"/>
              <w:spacing w:before="40" w:after="40"/>
              <w:jc w:val="right"/>
              <w:rPr>
                <w:rFonts w:cs="Calibri"/>
                <w:szCs w:val="18"/>
              </w:rPr>
            </w:pPr>
            <w:r w:rsidRPr="00BD16B4">
              <w:rPr>
                <w:rFonts w:cs="Calibri"/>
                <w:szCs w:val="18"/>
              </w:rPr>
              <w:t>5,887.35</w:t>
            </w:r>
          </w:p>
        </w:tc>
        <w:tc>
          <w:tcPr>
            <w:tcW w:w="1134" w:type="dxa"/>
          </w:tcPr>
          <w:p w14:paraId="16E8A578" w14:textId="77777777" w:rsidR="00ED2EBD" w:rsidRPr="00BD16B4" w:rsidRDefault="00ED2EBD" w:rsidP="004A205F">
            <w:pPr>
              <w:pStyle w:val="TableText"/>
              <w:spacing w:before="40" w:after="40"/>
              <w:jc w:val="right"/>
              <w:rPr>
                <w:rFonts w:cs="Calibri"/>
                <w:szCs w:val="18"/>
              </w:rPr>
            </w:pPr>
            <w:r w:rsidRPr="00BD16B4">
              <w:rPr>
                <w:rFonts w:cs="Calibri"/>
                <w:szCs w:val="18"/>
              </w:rPr>
              <w:t>6,108.18</w:t>
            </w:r>
          </w:p>
        </w:tc>
        <w:tc>
          <w:tcPr>
            <w:tcW w:w="1134" w:type="dxa"/>
          </w:tcPr>
          <w:p w14:paraId="7620A6A9" w14:textId="77777777" w:rsidR="00ED2EBD" w:rsidRPr="00BD16B4" w:rsidRDefault="00ED2EBD" w:rsidP="004A205F">
            <w:pPr>
              <w:pStyle w:val="TableText"/>
              <w:spacing w:before="40" w:after="40"/>
              <w:jc w:val="right"/>
              <w:rPr>
                <w:rFonts w:cs="Calibri"/>
                <w:szCs w:val="18"/>
              </w:rPr>
            </w:pPr>
            <w:r w:rsidRPr="00BD16B4">
              <w:rPr>
                <w:rFonts w:cs="Calibri"/>
                <w:szCs w:val="18"/>
              </w:rPr>
              <w:t>6,334.50</w:t>
            </w:r>
          </w:p>
        </w:tc>
        <w:tc>
          <w:tcPr>
            <w:tcW w:w="1134" w:type="dxa"/>
          </w:tcPr>
          <w:p w14:paraId="5DA698D4" w14:textId="77777777" w:rsidR="00ED2EBD" w:rsidRPr="00BD16B4" w:rsidRDefault="00ED2EBD" w:rsidP="004A205F">
            <w:pPr>
              <w:pStyle w:val="TableText"/>
              <w:spacing w:before="40" w:after="40"/>
              <w:jc w:val="right"/>
              <w:rPr>
                <w:rFonts w:cs="Calibri"/>
                <w:szCs w:val="18"/>
              </w:rPr>
            </w:pPr>
            <w:r w:rsidRPr="00BD16B4">
              <w:rPr>
                <w:rFonts w:cs="Calibri"/>
                <w:szCs w:val="18"/>
              </w:rPr>
              <w:t>6,570.02</w:t>
            </w:r>
          </w:p>
        </w:tc>
        <w:tc>
          <w:tcPr>
            <w:tcW w:w="1134" w:type="dxa"/>
          </w:tcPr>
          <w:p w14:paraId="5B41EB89" w14:textId="77777777" w:rsidR="00ED2EBD" w:rsidRPr="00BD16B4" w:rsidRDefault="00ED2EBD" w:rsidP="004A205F">
            <w:pPr>
              <w:pStyle w:val="TableText"/>
              <w:spacing w:before="40" w:after="40"/>
              <w:jc w:val="right"/>
              <w:rPr>
                <w:rFonts w:cs="Calibri"/>
                <w:szCs w:val="18"/>
              </w:rPr>
            </w:pPr>
            <w:r w:rsidRPr="00BD16B4">
              <w:rPr>
                <w:rFonts w:cs="Calibri"/>
                <w:szCs w:val="18"/>
              </w:rPr>
              <w:t>6,647.84</w:t>
            </w:r>
          </w:p>
        </w:tc>
        <w:tc>
          <w:tcPr>
            <w:tcW w:w="1134" w:type="dxa"/>
          </w:tcPr>
          <w:p w14:paraId="0AF5BD8A" w14:textId="77777777" w:rsidR="00ED2EBD" w:rsidRPr="00BD16B4" w:rsidRDefault="00ED2EBD" w:rsidP="004A205F">
            <w:pPr>
              <w:pStyle w:val="TableText"/>
              <w:spacing w:before="40" w:after="40"/>
              <w:jc w:val="right"/>
              <w:rPr>
                <w:rFonts w:cs="Calibri"/>
                <w:szCs w:val="18"/>
              </w:rPr>
            </w:pPr>
            <w:r w:rsidRPr="00BD16B4">
              <w:rPr>
                <w:rFonts w:cs="Calibri"/>
                <w:szCs w:val="18"/>
              </w:rPr>
              <w:t>6,732.60</w:t>
            </w:r>
          </w:p>
        </w:tc>
        <w:tc>
          <w:tcPr>
            <w:tcW w:w="1134" w:type="dxa"/>
          </w:tcPr>
          <w:p w14:paraId="107517A6" w14:textId="77777777" w:rsidR="00ED2EBD" w:rsidRPr="00BD16B4" w:rsidRDefault="00ED2EBD" w:rsidP="004A205F">
            <w:pPr>
              <w:pStyle w:val="TableText"/>
              <w:spacing w:before="40" w:after="40"/>
              <w:jc w:val="right"/>
              <w:rPr>
                <w:rFonts w:cs="Calibri"/>
                <w:szCs w:val="18"/>
              </w:rPr>
            </w:pPr>
            <w:r w:rsidRPr="00BD16B4">
              <w:rPr>
                <w:rFonts w:cs="Calibri"/>
                <w:szCs w:val="18"/>
              </w:rPr>
              <w:t>6,666.35</w:t>
            </w:r>
          </w:p>
        </w:tc>
      </w:tr>
      <w:tr w:rsidR="00ED2EBD" w:rsidRPr="00BD16B4" w14:paraId="38A6D9C9" w14:textId="77777777" w:rsidTr="003F321F">
        <w:tc>
          <w:tcPr>
            <w:tcW w:w="2495" w:type="dxa"/>
          </w:tcPr>
          <w:p w14:paraId="14CF0656" w14:textId="77777777" w:rsidR="00ED2EBD" w:rsidRPr="00BD16B4" w:rsidRDefault="00ED2EBD" w:rsidP="004A205F">
            <w:pPr>
              <w:pStyle w:val="TableText"/>
              <w:spacing w:before="40" w:after="40"/>
              <w:rPr>
                <w:rFonts w:cs="Calibri"/>
                <w:szCs w:val="18"/>
              </w:rPr>
            </w:pPr>
            <w:r w:rsidRPr="00BD16B4">
              <w:rPr>
                <w:rFonts w:cs="Calibri"/>
                <w:szCs w:val="18"/>
              </w:rPr>
              <w:t>N</w:t>
            </w:r>
            <w:r w:rsidRPr="00BD16B4">
              <w:rPr>
                <w:rFonts w:cs="Calibri"/>
                <w:color w:val="000000"/>
                <w:szCs w:val="18"/>
                <w:vertAlign w:val="subscript"/>
              </w:rPr>
              <w:t>2</w:t>
            </w:r>
            <w:r w:rsidRPr="00BD16B4">
              <w:rPr>
                <w:rFonts w:cs="Calibri"/>
                <w:color w:val="000000"/>
                <w:szCs w:val="18"/>
              </w:rPr>
              <w:t>O emissions with N</w:t>
            </w:r>
            <w:r w:rsidRPr="00BD16B4">
              <w:rPr>
                <w:rFonts w:cs="Calibri"/>
                <w:color w:val="000000"/>
                <w:szCs w:val="18"/>
                <w:vertAlign w:val="subscript"/>
              </w:rPr>
              <w:t>2</w:t>
            </w:r>
            <w:r w:rsidRPr="00BD16B4">
              <w:rPr>
                <w:rFonts w:cs="Calibri"/>
                <w:color w:val="000000"/>
                <w:szCs w:val="18"/>
              </w:rPr>
              <w:t>O from LULUCF</w:t>
            </w:r>
          </w:p>
        </w:tc>
        <w:tc>
          <w:tcPr>
            <w:tcW w:w="1418" w:type="dxa"/>
          </w:tcPr>
          <w:p w14:paraId="6532D400" w14:textId="77777777" w:rsidR="00ED2EBD" w:rsidRPr="00BD16B4" w:rsidRDefault="00ED2EBD" w:rsidP="004A205F">
            <w:pPr>
              <w:pStyle w:val="TableText"/>
              <w:spacing w:before="40" w:after="40"/>
              <w:jc w:val="right"/>
              <w:rPr>
                <w:rFonts w:cs="Calibri"/>
                <w:szCs w:val="18"/>
              </w:rPr>
            </w:pPr>
            <w:r w:rsidRPr="00BD16B4">
              <w:rPr>
                <w:rFonts w:cs="Calibri"/>
                <w:szCs w:val="18"/>
              </w:rPr>
              <w:t>6,118.17</w:t>
            </w:r>
          </w:p>
        </w:tc>
        <w:tc>
          <w:tcPr>
            <w:tcW w:w="1134" w:type="dxa"/>
          </w:tcPr>
          <w:p w14:paraId="69FBFE22" w14:textId="77777777" w:rsidR="00ED2EBD" w:rsidRPr="00BD16B4" w:rsidRDefault="00ED2EBD" w:rsidP="004A205F">
            <w:pPr>
              <w:pStyle w:val="TableText"/>
              <w:spacing w:before="40" w:after="40"/>
              <w:jc w:val="right"/>
              <w:rPr>
                <w:rFonts w:cs="Calibri"/>
                <w:szCs w:val="18"/>
              </w:rPr>
            </w:pPr>
            <w:r w:rsidRPr="00BD16B4">
              <w:rPr>
                <w:rFonts w:cs="Calibri"/>
                <w:szCs w:val="18"/>
              </w:rPr>
              <w:t>6,180.19</w:t>
            </w:r>
          </w:p>
        </w:tc>
        <w:tc>
          <w:tcPr>
            <w:tcW w:w="1134" w:type="dxa"/>
          </w:tcPr>
          <w:p w14:paraId="03513B0B" w14:textId="77777777" w:rsidR="00ED2EBD" w:rsidRPr="00BD16B4" w:rsidRDefault="00ED2EBD" w:rsidP="004A205F">
            <w:pPr>
              <w:pStyle w:val="TableText"/>
              <w:spacing w:before="40" w:after="40"/>
              <w:jc w:val="right"/>
              <w:rPr>
                <w:rFonts w:cs="Calibri"/>
                <w:szCs w:val="18"/>
              </w:rPr>
            </w:pPr>
            <w:r w:rsidRPr="00BD16B4">
              <w:rPr>
                <w:rFonts w:cs="Calibri"/>
                <w:szCs w:val="18"/>
              </w:rPr>
              <w:t>6,216.66</w:t>
            </w:r>
          </w:p>
        </w:tc>
        <w:tc>
          <w:tcPr>
            <w:tcW w:w="1134" w:type="dxa"/>
          </w:tcPr>
          <w:p w14:paraId="5E52BC8F" w14:textId="77777777" w:rsidR="00ED2EBD" w:rsidRPr="00BD16B4" w:rsidRDefault="00ED2EBD" w:rsidP="004A205F">
            <w:pPr>
              <w:pStyle w:val="TableText"/>
              <w:spacing w:before="40" w:after="40"/>
              <w:jc w:val="right"/>
              <w:rPr>
                <w:rFonts w:cs="Calibri"/>
                <w:szCs w:val="18"/>
              </w:rPr>
            </w:pPr>
            <w:r w:rsidRPr="00BD16B4">
              <w:rPr>
                <w:rFonts w:cs="Calibri"/>
                <w:szCs w:val="18"/>
              </w:rPr>
              <w:t>6,450.51</w:t>
            </w:r>
          </w:p>
        </w:tc>
        <w:tc>
          <w:tcPr>
            <w:tcW w:w="1134" w:type="dxa"/>
          </w:tcPr>
          <w:p w14:paraId="27189032" w14:textId="77777777" w:rsidR="00ED2EBD" w:rsidRPr="00BD16B4" w:rsidRDefault="00ED2EBD" w:rsidP="004A205F">
            <w:pPr>
              <w:pStyle w:val="TableText"/>
              <w:spacing w:before="40" w:after="40"/>
              <w:jc w:val="right"/>
              <w:rPr>
                <w:rFonts w:cs="Calibri"/>
                <w:szCs w:val="18"/>
              </w:rPr>
            </w:pPr>
            <w:r w:rsidRPr="00BD16B4">
              <w:rPr>
                <w:rFonts w:cs="Calibri"/>
                <w:szCs w:val="18"/>
              </w:rPr>
              <w:t>6,701.33</w:t>
            </w:r>
          </w:p>
        </w:tc>
        <w:tc>
          <w:tcPr>
            <w:tcW w:w="1134" w:type="dxa"/>
          </w:tcPr>
          <w:p w14:paraId="74609B43" w14:textId="77777777" w:rsidR="00ED2EBD" w:rsidRPr="00BD16B4" w:rsidRDefault="00ED2EBD" w:rsidP="004A205F">
            <w:pPr>
              <w:pStyle w:val="TableText"/>
              <w:spacing w:before="40" w:after="40"/>
              <w:jc w:val="right"/>
              <w:rPr>
                <w:rFonts w:cs="Calibri"/>
                <w:szCs w:val="18"/>
              </w:rPr>
            </w:pPr>
            <w:r w:rsidRPr="00BD16B4">
              <w:rPr>
                <w:rFonts w:cs="Calibri"/>
                <w:szCs w:val="18"/>
              </w:rPr>
              <w:t>6,947.71</w:t>
            </w:r>
          </w:p>
        </w:tc>
        <w:tc>
          <w:tcPr>
            <w:tcW w:w="1134" w:type="dxa"/>
          </w:tcPr>
          <w:p w14:paraId="39315605" w14:textId="77777777" w:rsidR="00ED2EBD" w:rsidRPr="00BD16B4" w:rsidRDefault="00ED2EBD" w:rsidP="004A205F">
            <w:pPr>
              <w:pStyle w:val="TableText"/>
              <w:spacing w:before="40" w:after="40"/>
              <w:jc w:val="right"/>
              <w:rPr>
                <w:rFonts w:cs="Calibri"/>
                <w:szCs w:val="18"/>
              </w:rPr>
            </w:pPr>
            <w:r w:rsidRPr="00BD16B4">
              <w:rPr>
                <w:rFonts w:cs="Calibri"/>
                <w:szCs w:val="18"/>
              </w:rPr>
              <w:t>7,042.40</w:t>
            </w:r>
          </w:p>
        </w:tc>
        <w:tc>
          <w:tcPr>
            <w:tcW w:w="1134" w:type="dxa"/>
          </w:tcPr>
          <w:p w14:paraId="34BDE13F" w14:textId="77777777" w:rsidR="00ED2EBD" w:rsidRPr="00BD16B4" w:rsidRDefault="00ED2EBD" w:rsidP="004A205F">
            <w:pPr>
              <w:pStyle w:val="TableText"/>
              <w:spacing w:before="40" w:after="40"/>
              <w:jc w:val="right"/>
              <w:rPr>
                <w:rFonts w:cs="Calibri"/>
                <w:szCs w:val="18"/>
              </w:rPr>
            </w:pPr>
            <w:r w:rsidRPr="00BD16B4">
              <w:rPr>
                <w:rFonts w:cs="Calibri"/>
                <w:szCs w:val="18"/>
              </w:rPr>
              <w:t>7,139.94</w:t>
            </w:r>
          </w:p>
        </w:tc>
        <w:tc>
          <w:tcPr>
            <w:tcW w:w="1134" w:type="dxa"/>
          </w:tcPr>
          <w:p w14:paraId="73770926" w14:textId="77777777" w:rsidR="00ED2EBD" w:rsidRPr="00BD16B4" w:rsidRDefault="00ED2EBD" w:rsidP="004A205F">
            <w:pPr>
              <w:pStyle w:val="TableText"/>
              <w:spacing w:before="40" w:after="40"/>
              <w:jc w:val="right"/>
              <w:rPr>
                <w:rFonts w:cs="Calibri"/>
                <w:szCs w:val="18"/>
              </w:rPr>
            </w:pPr>
            <w:r w:rsidRPr="00BD16B4">
              <w:rPr>
                <w:rFonts w:cs="Calibri"/>
                <w:szCs w:val="18"/>
              </w:rPr>
              <w:t>7,076.75</w:t>
            </w:r>
          </w:p>
        </w:tc>
      </w:tr>
      <w:tr w:rsidR="00ED2EBD" w:rsidRPr="00BD16B4" w14:paraId="53B70438" w14:textId="77777777" w:rsidTr="003F321F">
        <w:tc>
          <w:tcPr>
            <w:tcW w:w="2495" w:type="dxa"/>
          </w:tcPr>
          <w:p w14:paraId="73FDCBE8" w14:textId="77777777" w:rsidR="00ED2EBD" w:rsidRPr="00BD16B4" w:rsidRDefault="00ED2EBD" w:rsidP="004A205F">
            <w:pPr>
              <w:pStyle w:val="TableText"/>
              <w:spacing w:before="40" w:after="40"/>
              <w:rPr>
                <w:rFonts w:cs="Calibri"/>
                <w:szCs w:val="18"/>
              </w:rPr>
            </w:pPr>
            <w:r w:rsidRPr="00BD16B4">
              <w:rPr>
                <w:rFonts w:cs="Calibri"/>
                <w:szCs w:val="18"/>
              </w:rPr>
              <w:t>HFCs</w:t>
            </w:r>
          </w:p>
        </w:tc>
        <w:tc>
          <w:tcPr>
            <w:tcW w:w="1418" w:type="dxa"/>
          </w:tcPr>
          <w:p w14:paraId="6A8485F4"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7913D973"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0989FBA1" w14:textId="77777777" w:rsidR="00ED2EBD" w:rsidRPr="00BD16B4" w:rsidRDefault="00ED2EBD" w:rsidP="004A205F">
            <w:pPr>
              <w:pStyle w:val="TableText"/>
              <w:spacing w:before="40" w:after="40"/>
              <w:jc w:val="right"/>
              <w:rPr>
                <w:rFonts w:cs="Calibri"/>
                <w:szCs w:val="18"/>
              </w:rPr>
            </w:pPr>
            <w:r w:rsidRPr="00BD16B4">
              <w:rPr>
                <w:rFonts w:cs="Calibri"/>
                <w:szCs w:val="18"/>
              </w:rPr>
              <w:t>0.29</w:t>
            </w:r>
          </w:p>
        </w:tc>
        <w:tc>
          <w:tcPr>
            <w:tcW w:w="1134" w:type="dxa"/>
          </w:tcPr>
          <w:p w14:paraId="0D8703DE" w14:textId="77777777" w:rsidR="00ED2EBD" w:rsidRPr="00BD16B4" w:rsidRDefault="00ED2EBD" w:rsidP="004A205F">
            <w:pPr>
              <w:pStyle w:val="TableText"/>
              <w:spacing w:before="40" w:after="40"/>
              <w:jc w:val="right"/>
              <w:rPr>
                <w:rFonts w:cs="Calibri"/>
                <w:szCs w:val="18"/>
              </w:rPr>
            </w:pPr>
            <w:r w:rsidRPr="00BD16B4">
              <w:rPr>
                <w:rFonts w:cs="Calibri"/>
                <w:szCs w:val="18"/>
              </w:rPr>
              <w:t>0.36</w:t>
            </w:r>
          </w:p>
        </w:tc>
        <w:tc>
          <w:tcPr>
            <w:tcW w:w="1134" w:type="dxa"/>
          </w:tcPr>
          <w:p w14:paraId="0FAC0DDB" w14:textId="77777777" w:rsidR="00ED2EBD" w:rsidRPr="00BD16B4" w:rsidRDefault="00ED2EBD" w:rsidP="004A205F">
            <w:pPr>
              <w:pStyle w:val="TableText"/>
              <w:spacing w:before="40" w:after="40"/>
              <w:jc w:val="right"/>
              <w:rPr>
                <w:rFonts w:cs="Calibri"/>
                <w:szCs w:val="18"/>
              </w:rPr>
            </w:pPr>
            <w:r w:rsidRPr="00BD16B4">
              <w:rPr>
                <w:rFonts w:cs="Calibri"/>
                <w:szCs w:val="18"/>
              </w:rPr>
              <w:t>7.91</w:t>
            </w:r>
          </w:p>
        </w:tc>
        <w:tc>
          <w:tcPr>
            <w:tcW w:w="1134" w:type="dxa"/>
          </w:tcPr>
          <w:p w14:paraId="569C327F" w14:textId="77777777" w:rsidR="00ED2EBD" w:rsidRPr="00BD16B4" w:rsidRDefault="00ED2EBD" w:rsidP="004A205F">
            <w:pPr>
              <w:pStyle w:val="TableText"/>
              <w:spacing w:before="40" w:after="40"/>
              <w:jc w:val="right"/>
              <w:rPr>
                <w:rFonts w:cs="Calibri"/>
                <w:szCs w:val="18"/>
              </w:rPr>
            </w:pPr>
            <w:r w:rsidRPr="00BD16B4">
              <w:rPr>
                <w:rFonts w:cs="Calibri"/>
                <w:szCs w:val="18"/>
              </w:rPr>
              <w:t>24.52</w:t>
            </w:r>
          </w:p>
        </w:tc>
        <w:tc>
          <w:tcPr>
            <w:tcW w:w="1134" w:type="dxa"/>
          </w:tcPr>
          <w:p w14:paraId="414A04DC" w14:textId="77777777" w:rsidR="00ED2EBD" w:rsidRPr="00BD16B4" w:rsidRDefault="00ED2EBD" w:rsidP="004A205F">
            <w:pPr>
              <w:pStyle w:val="TableText"/>
              <w:spacing w:before="40" w:after="40"/>
              <w:jc w:val="right"/>
              <w:rPr>
                <w:rFonts w:cs="Calibri"/>
                <w:szCs w:val="18"/>
              </w:rPr>
            </w:pPr>
            <w:r w:rsidRPr="00BD16B4">
              <w:rPr>
                <w:rFonts w:cs="Calibri"/>
                <w:szCs w:val="18"/>
              </w:rPr>
              <w:t>54.36</w:t>
            </w:r>
          </w:p>
        </w:tc>
        <w:tc>
          <w:tcPr>
            <w:tcW w:w="1134" w:type="dxa"/>
          </w:tcPr>
          <w:p w14:paraId="4FA933C7" w14:textId="77777777" w:rsidR="00ED2EBD" w:rsidRPr="00BD16B4" w:rsidRDefault="00ED2EBD" w:rsidP="004A205F">
            <w:pPr>
              <w:pStyle w:val="TableText"/>
              <w:spacing w:before="40" w:after="40"/>
              <w:jc w:val="right"/>
              <w:rPr>
                <w:rFonts w:cs="Calibri"/>
                <w:szCs w:val="18"/>
              </w:rPr>
            </w:pPr>
            <w:r w:rsidRPr="00BD16B4">
              <w:rPr>
                <w:rFonts w:cs="Calibri"/>
                <w:szCs w:val="18"/>
              </w:rPr>
              <w:t>113.42</w:t>
            </w:r>
          </w:p>
        </w:tc>
        <w:tc>
          <w:tcPr>
            <w:tcW w:w="1134" w:type="dxa"/>
          </w:tcPr>
          <w:p w14:paraId="29343A8D" w14:textId="77777777" w:rsidR="00ED2EBD" w:rsidRPr="00BD16B4" w:rsidRDefault="00ED2EBD" w:rsidP="004A205F">
            <w:pPr>
              <w:pStyle w:val="TableText"/>
              <w:spacing w:before="40" w:after="40"/>
              <w:jc w:val="right"/>
              <w:rPr>
                <w:rFonts w:cs="Calibri"/>
                <w:szCs w:val="18"/>
              </w:rPr>
            </w:pPr>
            <w:r w:rsidRPr="00BD16B4">
              <w:rPr>
                <w:rFonts w:cs="Calibri"/>
                <w:szCs w:val="18"/>
              </w:rPr>
              <w:t>97.52</w:t>
            </w:r>
          </w:p>
        </w:tc>
      </w:tr>
      <w:tr w:rsidR="00ED2EBD" w:rsidRPr="00BD16B4" w14:paraId="764A0539" w14:textId="77777777" w:rsidTr="003F321F">
        <w:tc>
          <w:tcPr>
            <w:tcW w:w="2495" w:type="dxa"/>
          </w:tcPr>
          <w:p w14:paraId="2F29BFBF" w14:textId="77777777" w:rsidR="00ED2EBD" w:rsidRPr="00BD16B4" w:rsidRDefault="00ED2EBD" w:rsidP="004A205F">
            <w:pPr>
              <w:pStyle w:val="TableText"/>
              <w:spacing w:before="40" w:after="40"/>
              <w:rPr>
                <w:rFonts w:cs="Calibri"/>
                <w:szCs w:val="18"/>
              </w:rPr>
            </w:pPr>
            <w:r w:rsidRPr="00BD16B4">
              <w:rPr>
                <w:rFonts w:cs="Calibri"/>
                <w:szCs w:val="18"/>
              </w:rPr>
              <w:t>PFCs</w:t>
            </w:r>
          </w:p>
        </w:tc>
        <w:tc>
          <w:tcPr>
            <w:tcW w:w="1418" w:type="dxa"/>
          </w:tcPr>
          <w:p w14:paraId="6FADCF56" w14:textId="77777777" w:rsidR="00ED2EBD" w:rsidRPr="00BD16B4" w:rsidRDefault="00ED2EBD" w:rsidP="004A205F">
            <w:pPr>
              <w:pStyle w:val="TableText"/>
              <w:spacing w:before="40" w:after="40"/>
              <w:jc w:val="right"/>
              <w:rPr>
                <w:rFonts w:cs="Calibri"/>
                <w:szCs w:val="18"/>
              </w:rPr>
            </w:pPr>
            <w:r w:rsidRPr="00BD16B4">
              <w:rPr>
                <w:rFonts w:cs="Calibri"/>
                <w:szCs w:val="18"/>
              </w:rPr>
              <w:t>909.95</w:t>
            </w:r>
          </w:p>
        </w:tc>
        <w:tc>
          <w:tcPr>
            <w:tcW w:w="1134" w:type="dxa"/>
          </w:tcPr>
          <w:p w14:paraId="79F804FC" w14:textId="77777777" w:rsidR="00ED2EBD" w:rsidRPr="00BD16B4" w:rsidRDefault="00ED2EBD" w:rsidP="004A205F">
            <w:pPr>
              <w:pStyle w:val="TableText"/>
              <w:spacing w:before="40" w:after="40"/>
              <w:jc w:val="right"/>
              <w:rPr>
                <w:rFonts w:cs="Calibri"/>
                <w:szCs w:val="18"/>
              </w:rPr>
            </w:pPr>
            <w:r w:rsidRPr="00BD16B4">
              <w:rPr>
                <w:rFonts w:cs="Calibri"/>
                <w:szCs w:val="18"/>
              </w:rPr>
              <w:t>903.79</w:t>
            </w:r>
          </w:p>
        </w:tc>
        <w:tc>
          <w:tcPr>
            <w:tcW w:w="1134" w:type="dxa"/>
          </w:tcPr>
          <w:p w14:paraId="3AE4235F" w14:textId="77777777" w:rsidR="00ED2EBD" w:rsidRPr="00BD16B4" w:rsidRDefault="00ED2EBD" w:rsidP="004A205F">
            <w:pPr>
              <w:pStyle w:val="TableText"/>
              <w:spacing w:before="40" w:after="40"/>
              <w:jc w:val="right"/>
              <w:rPr>
                <w:rFonts w:cs="Calibri"/>
                <w:szCs w:val="18"/>
              </w:rPr>
            </w:pPr>
            <w:r w:rsidRPr="00BD16B4">
              <w:rPr>
                <w:rFonts w:cs="Calibri"/>
                <w:szCs w:val="18"/>
              </w:rPr>
              <w:t>461.88</w:t>
            </w:r>
          </w:p>
        </w:tc>
        <w:tc>
          <w:tcPr>
            <w:tcW w:w="1134" w:type="dxa"/>
          </w:tcPr>
          <w:p w14:paraId="5D2DB5AC" w14:textId="77777777" w:rsidR="00ED2EBD" w:rsidRPr="00BD16B4" w:rsidRDefault="00ED2EBD" w:rsidP="004A205F">
            <w:pPr>
              <w:pStyle w:val="TableText"/>
              <w:spacing w:before="40" w:after="40"/>
              <w:jc w:val="right"/>
              <w:rPr>
                <w:rFonts w:cs="Calibri"/>
                <w:szCs w:val="18"/>
              </w:rPr>
            </w:pPr>
            <w:r w:rsidRPr="00BD16B4">
              <w:rPr>
                <w:rFonts w:cs="Calibri"/>
                <w:szCs w:val="18"/>
              </w:rPr>
              <w:t>210.16</w:t>
            </w:r>
          </w:p>
        </w:tc>
        <w:tc>
          <w:tcPr>
            <w:tcW w:w="1134" w:type="dxa"/>
          </w:tcPr>
          <w:p w14:paraId="3D9F703C" w14:textId="77777777" w:rsidR="00ED2EBD" w:rsidRPr="00BD16B4" w:rsidRDefault="00ED2EBD" w:rsidP="004A205F">
            <w:pPr>
              <w:pStyle w:val="TableText"/>
              <w:spacing w:before="40" w:after="40"/>
              <w:jc w:val="right"/>
              <w:rPr>
                <w:rFonts w:cs="Calibri"/>
                <w:szCs w:val="18"/>
              </w:rPr>
            </w:pPr>
            <w:r w:rsidRPr="00BD16B4">
              <w:rPr>
                <w:rFonts w:cs="Calibri"/>
                <w:szCs w:val="18"/>
              </w:rPr>
              <w:t>186.18</w:t>
            </w:r>
          </w:p>
        </w:tc>
        <w:tc>
          <w:tcPr>
            <w:tcW w:w="1134" w:type="dxa"/>
          </w:tcPr>
          <w:p w14:paraId="28A18517" w14:textId="77777777" w:rsidR="00ED2EBD" w:rsidRPr="00BD16B4" w:rsidRDefault="00ED2EBD" w:rsidP="004A205F">
            <w:pPr>
              <w:pStyle w:val="TableText"/>
              <w:spacing w:before="40" w:after="40"/>
              <w:jc w:val="right"/>
              <w:rPr>
                <w:rFonts w:cs="Calibri"/>
                <w:szCs w:val="18"/>
              </w:rPr>
            </w:pPr>
            <w:r w:rsidRPr="00BD16B4">
              <w:rPr>
                <w:rFonts w:cs="Calibri"/>
                <w:szCs w:val="18"/>
              </w:rPr>
              <w:t>153.28</w:t>
            </w:r>
          </w:p>
        </w:tc>
        <w:tc>
          <w:tcPr>
            <w:tcW w:w="1134" w:type="dxa"/>
          </w:tcPr>
          <w:p w14:paraId="577B8E48" w14:textId="77777777" w:rsidR="00ED2EBD" w:rsidRPr="00BD16B4" w:rsidRDefault="00ED2EBD" w:rsidP="004A205F">
            <w:pPr>
              <w:pStyle w:val="TableText"/>
              <w:spacing w:before="40" w:after="40"/>
              <w:jc w:val="right"/>
              <w:rPr>
                <w:rFonts w:cs="Calibri"/>
                <w:szCs w:val="18"/>
              </w:rPr>
            </w:pPr>
            <w:r w:rsidRPr="00BD16B4">
              <w:rPr>
                <w:rFonts w:cs="Calibri"/>
                <w:szCs w:val="18"/>
              </w:rPr>
              <w:t>278.98</w:t>
            </w:r>
          </w:p>
        </w:tc>
        <w:tc>
          <w:tcPr>
            <w:tcW w:w="1134" w:type="dxa"/>
          </w:tcPr>
          <w:p w14:paraId="3A0E5293" w14:textId="77777777" w:rsidR="00ED2EBD" w:rsidRPr="00BD16B4" w:rsidRDefault="00ED2EBD" w:rsidP="004A205F">
            <w:pPr>
              <w:pStyle w:val="TableText"/>
              <w:spacing w:before="40" w:after="40"/>
              <w:jc w:val="right"/>
              <w:rPr>
                <w:rFonts w:cs="Calibri"/>
                <w:szCs w:val="18"/>
              </w:rPr>
            </w:pPr>
            <w:r w:rsidRPr="00BD16B4">
              <w:rPr>
                <w:rFonts w:cs="Calibri"/>
                <w:szCs w:val="18"/>
              </w:rPr>
              <w:t>201.11</w:t>
            </w:r>
          </w:p>
        </w:tc>
        <w:tc>
          <w:tcPr>
            <w:tcW w:w="1134" w:type="dxa"/>
          </w:tcPr>
          <w:p w14:paraId="528292E4" w14:textId="77777777" w:rsidR="00ED2EBD" w:rsidRPr="00BD16B4" w:rsidRDefault="00ED2EBD" w:rsidP="004A205F">
            <w:pPr>
              <w:pStyle w:val="TableText"/>
              <w:spacing w:before="40" w:after="40"/>
              <w:jc w:val="right"/>
              <w:rPr>
                <w:rFonts w:cs="Calibri"/>
                <w:szCs w:val="18"/>
              </w:rPr>
            </w:pPr>
            <w:r w:rsidRPr="00BD16B4">
              <w:rPr>
                <w:rFonts w:cs="Calibri"/>
                <w:szCs w:val="18"/>
              </w:rPr>
              <w:t>151.38</w:t>
            </w:r>
          </w:p>
        </w:tc>
      </w:tr>
      <w:tr w:rsidR="00ED2EBD" w:rsidRPr="00BD16B4" w14:paraId="59AE7027" w14:textId="77777777" w:rsidTr="003F321F">
        <w:tc>
          <w:tcPr>
            <w:tcW w:w="2495" w:type="dxa"/>
          </w:tcPr>
          <w:p w14:paraId="10B75817" w14:textId="77777777" w:rsidR="00ED2EBD" w:rsidRPr="00BD16B4" w:rsidRDefault="00ED2EBD" w:rsidP="004A205F">
            <w:pPr>
              <w:pStyle w:val="TableText"/>
              <w:spacing w:before="40" w:after="40"/>
              <w:rPr>
                <w:rFonts w:cs="Calibri"/>
                <w:szCs w:val="18"/>
              </w:rPr>
            </w:pPr>
            <w:r w:rsidRPr="00BD16B4">
              <w:rPr>
                <w:rFonts w:cs="Calibri"/>
                <w:szCs w:val="18"/>
              </w:rPr>
              <w:t>Unspecified mix of HFCs and PFCs</w:t>
            </w:r>
          </w:p>
        </w:tc>
        <w:tc>
          <w:tcPr>
            <w:tcW w:w="1418" w:type="dxa"/>
          </w:tcPr>
          <w:p w14:paraId="64BB31E9"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7C76A363"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6E6714CF"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03962F2E"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339CB36E"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1D9C53E3"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114AE58A"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015489D9"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2338EB7A"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r>
      <w:tr w:rsidR="00ED2EBD" w:rsidRPr="00BD16B4" w14:paraId="669D5003" w14:textId="77777777" w:rsidTr="003F321F">
        <w:tc>
          <w:tcPr>
            <w:tcW w:w="2495" w:type="dxa"/>
          </w:tcPr>
          <w:p w14:paraId="14115C6E" w14:textId="77777777" w:rsidR="00ED2EBD" w:rsidRPr="00BD16B4" w:rsidRDefault="00ED2EBD" w:rsidP="004A205F">
            <w:pPr>
              <w:pStyle w:val="TableText"/>
              <w:spacing w:before="40" w:after="40"/>
              <w:rPr>
                <w:rFonts w:cs="Calibri"/>
                <w:szCs w:val="18"/>
              </w:rPr>
            </w:pPr>
            <w:r w:rsidRPr="00BD16B4">
              <w:rPr>
                <w:rFonts w:cs="Calibri"/>
                <w:szCs w:val="18"/>
              </w:rPr>
              <w:t>SF</w:t>
            </w:r>
            <w:r w:rsidRPr="00BD16B4">
              <w:rPr>
                <w:rFonts w:cs="Calibri"/>
                <w:color w:val="000000"/>
                <w:szCs w:val="18"/>
                <w:vertAlign w:val="subscript"/>
              </w:rPr>
              <w:t>6</w:t>
            </w:r>
          </w:p>
        </w:tc>
        <w:tc>
          <w:tcPr>
            <w:tcW w:w="1418" w:type="dxa"/>
          </w:tcPr>
          <w:p w14:paraId="79139211" w14:textId="77777777" w:rsidR="00ED2EBD" w:rsidRPr="00BD16B4" w:rsidRDefault="00ED2EBD" w:rsidP="004A205F">
            <w:pPr>
              <w:pStyle w:val="TableText"/>
              <w:spacing w:before="40" w:after="40"/>
              <w:jc w:val="right"/>
              <w:rPr>
                <w:rFonts w:cs="Calibri"/>
                <w:szCs w:val="18"/>
              </w:rPr>
            </w:pPr>
            <w:r w:rsidRPr="00BD16B4">
              <w:rPr>
                <w:rFonts w:cs="Calibri"/>
                <w:szCs w:val="18"/>
              </w:rPr>
              <w:t>19.97</w:t>
            </w:r>
          </w:p>
        </w:tc>
        <w:tc>
          <w:tcPr>
            <w:tcW w:w="1134" w:type="dxa"/>
          </w:tcPr>
          <w:p w14:paraId="7ED79986" w14:textId="77777777" w:rsidR="00ED2EBD" w:rsidRPr="00BD16B4" w:rsidRDefault="00ED2EBD" w:rsidP="004A205F">
            <w:pPr>
              <w:pStyle w:val="TableText"/>
              <w:spacing w:before="40" w:after="40"/>
              <w:jc w:val="right"/>
              <w:rPr>
                <w:rFonts w:cs="Calibri"/>
                <w:szCs w:val="18"/>
              </w:rPr>
            </w:pPr>
            <w:r w:rsidRPr="00BD16B4">
              <w:rPr>
                <w:rFonts w:cs="Calibri"/>
                <w:szCs w:val="18"/>
              </w:rPr>
              <w:t>20.86</w:t>
            </w:r>
          </w:p>
        </w:tc>
        <w:tc>
          <w:tcPr>
            <w:tcW w:w="1134" w:type="dxa"/>
          </w:tcPr>
          <w:p w14:paraId="3029938E" w14:textId="77777777" w:rsidR="00ED2EBD" w:rsidRPr="00BD16B4" w:rsidRDefault="00ED2EBD" w:rsidP="004A205F">
            <w:pPr>
              <w:pStyle w:val="TableText"/>
              <w:spacing w:before="40" w:after="40"/>
              <w:jc w:val="right"/>
              <w:rPr>
                <w:rFonts w:cs="Calibri"/>
                <w:szCs w:val="18"/>
              </w:rPr>
            </w:pPr>
            <w:r w:rsidRPr="00BD16B4">
              <w:rPr>
                <w:rFonts w:cs="Calibri"/>
                <w:szCs w:val="18"/>
              </w:rPr>
              <w:t>21.91</w:t>
            </w:r>
          </w:p>
        </w:tc>
        <w:tc>
          <w:tcPr>
            <w:tcW w:w="1134" w:type="dxa"/>
          </w:tcPr>
          <w:p w14:paraId="460E7B63" w14:textId="77777777" w:rsidR="00ED2EBD" w:rsidRPr="00BD16B4" w:rsidRDefault="00ED2EBD" w:rsidP="004A205F">
            <w:pPr>
              <w:pStyle w:val="TableText"/>
              <w:spacing w:before="40" w:after="40"/>
              <w:jc w:val="right"/>
              <w:rPr>
                <w:rFonts w:cs="Calibri"/>
                <w:szCs w:val="18"/>
              </w:rPr>
            </w:pPr>
            <w:r w:rsidRPr="00BD16B4">
              <w:rPr>
                <w:rFonts w:cs="Calibri"/>
                <w:szCs w:val="18"/>
              </w:rPr>
              <w:t>22.69</w:t>
            </w:r>
          </w:p>
        </w:tc>
        <w:tc>
          <w:tcPr>
            <w:tcW w:w="1134" w:type="dxa"/>
          </w:tcPr>
          <w:p w14:paraId="34A065C6" w14:textId="77777777" w:rsidR="00ED2EBD" w:rsidRPr="00BD16B4" w:rsidRDefault="00ED2EBD" w:rsidP="004A205F">
            <w:pPr>
              <w:pStyle w:val="TableText"/>
              <w:spacing w:before="40" w:after="40"/>
              <w:jc w:val="right"/>
              <w:rPr>
                <w:rFonts w:cs="Calibri"/>
                <w:szCs w:val="18"/>
              </w:rPr>
            </w:pPr>
            <w:r w:rsidRPr="00BD16B4">
              <w:rPr>
                <w:rFonts w:cs="Calibri"/>
                <w:szCs w:val="18"/>
              </w:rPr>
              <w:t>23.43</w:t>
            </w:r>
          </w:p>
        </w:tc>
        <w:tc>
          <w:tcPr>
            <w:tcW w:w="1134" w:type="dxa"/>
          </w:tcPr>
          <w:p w14:paraId="086D2A7C" w14:textId="77777777" w:rsidR="00ED2EBD" w:rsidRPr="00BD16B4" w:rsidRDefault="00ED2EBD" w:rsidP="004A205F">
            <w:pPr>
              <w:pStyle w:val="TableText"/>
              <w:spacing w:before="40" w:after="40"/>
              <w:jc w:val="right"/>
              <w:rPr>
                <w:rFonts w:cs="Calibri"/>
                <w:szCs w:val="18"/>
              </w:rPr>
            </w:pPr>
            <w:r w:rsidRPr="00BD16B4">
              <w:rPr>
                <w:rFonts w:cs="Calibri"/>
                <w:szCs w:val="18"/>
              </w:rPr>
              <w:t>24.42</w:t>
            </w:r>
          </w:p>
        </w:tc>
        <w:tc>
          <w:tcPr>
            <w:tcW w:w="1134" w:type="dxa"/>
          </w:tcPr>
          <w:p w14:paraId="5F038A72" w14:textId="77777777" w:rsidR="00ED2EBD" w:rsidRPr="00BD16B4" w:rsidRDefault="00ED2EBD" w:rsidP="004A205F">
            <w:pPr>
              <w:pStyle w:val="TableText"/>
              <w:spacing w:before="40" w:after="40"/>
              <w:jc w:val="right"/>
              <w:rPr>
                <w:rFonts w:cs="Calibri"/>
                <w:szCs w:val="18"/>
              </w:rPr>
            </w:pPr>
            <w:r w:rsidRPr="00BD16B4">
              <w:rPr>
                <w:rFonts w:cs="Calibri"/>
                <w:szCs w:val="18"/>
              </w:rPr>
              <w:t>24.65</w:t>
            </w:r>
          </w:p>
        </w:tc>
        <w:tc>
          <w:tcPr>
            <w:tcW w:w="1134" w:type="dxa"/>
          </w:tcPr>
          <w:p w14:paraId="25E3287C" w14:textId="77777777" w:rsidR="00ED2EBD" w:rsidRPr="00BD16B4" w:rsidRDefault="00ED2EBD" w:rsidP="004A205F">
            <w:pPr>
              <w:pStyle w:val="TableText"/>
              <w:spacing w:before="40" w:after="40"/>
              <w:jc w:val="right"/>
              <w:rPr>
                <w:rFonts w:cs="Calibri"/>
                <w:szCs w:val="18"/>
              </w:rPr>
            </w:pPr>
            <w:r w:rsidRPr="00BD16B4">
              <w:rPr>
                <w:rFonts w:cs="Calibri"/>
                <w:szCs w:val="18"/>
              </w:rPr>
              <w:t>25.58</w:t>
            </w:r>
          </w:p>
        </w:tc>
        <w:tc>
          <w:tcPr>
            <w:tcW w:w="1134" w:type="dxa"/>
          </w:tcPr>
          <w:p w14:paraId="1694D432" w14:textId="77777777" w:rsidR="00ED2EBD" w:rsidRPr="00BD16B4" w:rsidRDefault="00ED2EBD" w:rsidP="004A205F">
            <w:pPr>
              <w:pStyle w:val="TableText"/>
              <w:spacing w:before="40" w:after="40"/>
              <w:jc w:val="right"/>
              <w:rPr>
                <w:rFonts w:cs="Calibri"/>
                <w:szCs w:val="18"/>
              </w:rPr>
            </w:pPr>
            <w:r w:rsidRPr="00BD16B4">
              <w:rPr>
                <w:rFonts w:cs="Calibri"/>
                <w:szCs w:val="18"/>
              </w:rPr>
              <w:t>24.86</w:t>
            </w:r>
          </w:p>
        </w:tc>
      </w:tr>
      <w:tr w:rsidR="00ED2EBD" w:rsidRPr="00BD16B4" w14:paraId="0725271B" w14:textId="77777777" w:rsidTr="003F321F">
        <w:tc>
          <w:tcPr>
            <w:tcW w:w="2495" w:type="dxa"/>
          </w:tcPr>
          <w:p w14:paraId="3C1378BA" w14:textId="77777777" w:rsidR="00ED2EBD" w:rsidRPr="00BD16B4" w:rsidRDefault="00ED2EBD" w:rsidP="004A205F">
            <w:pPr>
              <w:pStyle w:val="TableText"/>
              <w:spacing w:before="40" w:after="40"/>
              <w:rPr>
                <w:rFonts w:cs="Calibri"/>
                <w:szCs w:val="18"/>
              </w:rPr>
            </w:pPr>
            <w:r w:rsidRPr="00BD16B4">
              <w:rPr>
                <w:rFonts w:cs="Calibri"/>
                <w:szCs w:val="18"/>
              </w:rPr>
              <w:t>NF</w:t>
            </w:r>
            <w:r w:rsidRPr="00BD16B4">
              <w:rPr>
                <w:rFonts w:cs="Calibri"/>
                <w:szCs w:val="18"/>
                <w:vertAlign w:val="subscript"/>
              </w:rPr>
              <w:t>3</w:t>
            </w:r>
          </w:p>
        </w:tc>
        <w:tc>
          <w:tcPr>
            <w:tcW w:w="1418" w:type="dxa"/>
          </w:tcPr>
          <w:p w14:paraId="520B5827"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1841AF2E"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2AEA377A"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765F0CE6"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377EBBA2"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13F0F4DF"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1DEEB946"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6A4676FD"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1134" w:type="dxa"/>
          </w:tcPr>
          <w:p w14:paraId="2C4FA978"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r>
      <w:tr w:rsidR="00ED2EBD" w:rsidRPr="00BD16B4" w14:paraId="3B6D1E8A" w14:textId="77777777" w:rsidTr="003F321F">
        <w:tc>
          <w:tcPr>
            <w:tcW w:w="2495" w:type="dxa"/>
          </w:tcPr>
          <w:p w14:paraId="3759E75D" w14:textId="77777777" w:rsidR="00ED2EBD" w:rsidRPr="00BD16B4" w:rsidRDefault="00ED2EBD" w:rsidP="004A205F">
            <w:pPr>
              <w:pStyle w:val="TableText"/>
              <w:spacing w:before="40" w:after="40"/>
              <w:rPr>
                <w:rFonts w:cs="Calibri"/>
                <w:szCs w:val="18"/>
              </w:rPr>
            </w:pPr>
            <w:r w:rsidRPr="00BD16B4">
              <w:rPr>
                <w:rFonts w:cs="Calibri"/>
                <w:b/>
                <w:bCs/>
                <w:szCs w:val="18"/>
              </w:rPr>
              <w:lastRenderedPageBreak/>
              <w:t>Total (without LULUCF)</w:t>
            </w:r>
          </w:p>
        </w:tc>
        <w:tc>
          <w:tcPr>
            <w:tcW w:w="1418" w:type="dxa"/>
          </w:tcPr>
          <w:p w14:paraId="0F0DA93D" w14:textId="77777777" w:rsidR="00ED2EBD" w:rsidRPr="00BD16B4" w:rsidRDefault="00ED2EBD" w:rsidP="004A205F">
            <w:pPr>
              <w:pStyle w:val="TableText"/>
              <w:spacing w:before="40" w:after="40"/>
              <w:jc w:val="right"/>
              <w:rPr>
                <w:rFonts w:cs="Calibri"/>
                <w:szCs w:val="18"/>
              </w:rPr>
            </w:pPr>
            <w:r w:rsidRPr="00BD16B4">
              <w:rPr>
                <w:rFonts w:cs="Calibri"/>
                <w:szCs w:val="18"/>
              </w:rPr>
              <w:t>65,196.98</w:t>
            </w:r>
          </w:p>
        </w:tc>
        <w:tc>
          <w:tcPr>
            <w:tcW w:w="1134" w:type="dxa"/>
          </w:tcPr>
          <w:p w14:paraId="1A224375" w14:textId="77777777" w:rsidR="00ED2EBD" w:rsidRPr="00BD16B4" w:rsidRDefault="00ED2EBD" w:rsidP="004A205F">
            <w:pPr>
              <w:pStyle w:val="TableText"/>
              <w:spacing w:before="40" w:after="40"/>
              <w:jc w:val="right"/>
              <w:rPr>
                <w:rFonts w:cs="Calibri"/>
                <w:szCs w:val="18"/>
              </w:rPr>
            </w:pPr>
            <w:r w:rsidRPr="00BD16B4">
              <w:rPr>
                <w:rFonts w:cs="Calibri"/>
                <w:szCs w:val="18"/>
              </w:rPr>
              <w:t>66,175.53</w:t>
            </w:r>
          </w:p>
        </w:tc>
        <w:tc>
          <w:tcPr>
            <w:tcW w:w="1134" w:type="dxa"/>
          </w:tcPr>
          <w:p w14:paraId="2F829F1F" w14:textId="77777777" w:rsidR="00ED2EBD" w:rsidRPr="00BD16B4" w:rsidRDefault="00ED2EBD" w:rsidP="004A205F">
            <w:pPr>
              <w:pStyle w:val="TableText"/>
              <w:spacing w:before="40" w:after="40"/>
              <w:jc w:val="right"/>
              <w:rPr>
                <w:rFonts w:cs="Calibri"/>
                <w:szCs w:val="18"/>
              </w:rPr>
            </w:pPr>
            <w:r w:rsidRPr="00BD16B4">
              <w:rPr>
                <w:rFonts w:cs="Calibri"/>
                <w:szCs w:val="18"/>
              </w:rPr>
              <w:t>67,332.21</w:t>
            </w:r>
          </w:p>
        </w:tc>
        <w:tc>
          <w:tcPr>
            <w:tcW w:w="1134" w:type="dxa"/>
          </w:tcPr>
          <w:p w14:paraId="411F23E8" w14:textId="77777777" w:rsidR="00ED2EBD" w:rsidRPr="00BD16B4" w:rsidRDefault="00ED2EBD" w:rsidP="004A205F">
            <w:pPr>
              <w:pStyle w:val="TableText"/>
              <w:spacing w:before="40" w:after="40"/>
              <w:jc w:val="right"/>
              <w:rPr>
                <w:rFonts w:cs="Calibri"/>
                <w:szCs w:val="18"/>
              </w:rPr>
            </w:pPr>
            <w:r w:rsidRPr="00BD16B4">
              <w:rPr>
                <w:rFonts w:cs="Calibri"/>
                <w:szCs w:val="18"/>
              </w:rPr>
              <w:t>67,194.37</w:t>
            </w:r>
          </w:p>
        </w:tc>
        <w:tc>
          <w:tcPr>
            <w:tcW w:w="1134" w:type="dxa"/>
          </w:tcPr>
          <w:p w14:paraId="62B1453C" w14:textId="77777777" w:rsidR="00ED2EBD" w:rsidRPr="00BD16B4" w:rsidRDefault="00ED2EBD" w:rsidP="004A205F">
            <w:pPr>
              <w:pStyle w:val="TableText"/>
              <w:spacing w:before="40" w:after="40"/>
              <w:jc w:val="right"/>
              <w:rPr>
                <w:rFonts w:cs="Calibri"/>
                <w:szCs w:val="18"/>
              </w:rPr>
            </w:pPr>
            <w:r w:rsidRPr="00BD16B4">
              <w:rPr>
                <w:rFonts w:cs="Calibri"/>
                <w:szCs w:val="18"/>
              </w:rPr>
              <w:t>68,443.50</w:t>
            </w:r>
          </w:p>
        </w:tc>
        <w:tc>
          <w:tcPr>
            <w:tcW w:w="1134" w:type="dxa"/>
          </w:tcPr>
          <w:p w14:paraId="45B9F35A" w14:textId="77777777" w:rsidR="00ED2EBD" w:rsidRPr="00BD16B4" w:rsidRDefault="00ED2EBD" w:rsidP="004A205F">
            <w:pPr>
              <w:pStyle w:val="TableText"/>
              <w:spacing w:before="40" w:after="40"/>
              <w:jc w:val="right"/>
              <w:rPr>
                <w:rFonts w:cs="Calibri"/>
                <w:szCs w:val="18"/>
              </w:rPr>
            </w:pPr>
            <w:r w:rsidRPr="00BD16B4">
              <w:rPr>
                <w:rFonts w:cs="Calibri"/>
                <w:szCs w:val="18"/>
              </w:rPr>
              <w:t>69,012.91</w:t>
            </w:r>
          </w:p>
        </w:tc>
        <w:tc>
          <w:tcPr>
            <w:tcW w:w="1134" w:type="dxa"/>
          </w:tcPr>
          <w:p w14:paraId="09B99466" w14:textId="77777777" w:rsidR="00ED2EBD" w:rsidRPr="00BD16B4" w:rsidRDefault="00ED2EBD" w:rsidP="004A205F">
            <w:pPr>
              <w:pStyle w:val="TableText"/>
              <w:spacing w:before="40" w:after="40"/>
              <w:jc w:val="right"/>
              <w:rPr>
                <w:rFonts w:cs="Calibri"/>
                <w:szCs w:val="18"/>
              </w:rPr>
            </w:pPr>
            <w:r w:rsidRPr="00BD16B4">
              <w:rPr>
                <w:rFonts w:cs="Calibri"/>
                <w:szCs w:val="18"/>
              </w:rPr>
              <w:t>71,191.49</w:t>
            </w:r>
          </w:p>
        </w:tc>
        <w:tc>
          <w:tcPr>
            <w:tcW w:w="1134" w:type="dxa"/>
          </w:tcPr>
          <w:p w14:paraId="2F7EB238" w14:textId="77777777" w:rsidR="00ED2EBD" w:rsidRPr="00BD16B4" w:rsidRDefault="00ED2EBD" w:rsidP="004A205F">
            <w:pPr>
              <w:pStyle w:val="TableText"/>
              <w:spacing w:before="40" w:after="40"/>
              <w:jc w:val="right"/>
              <w:rPr>
                <w:rFonts w:cs="Calibri"/>
                <w:szCs w:val="18"/>
              </w:rPr>
            </w:pPr>
            <w:r w:rsidRPr="00BD16B4">
              <w:rPr>
                <w:rFonts w:cs="Calibri"/>
                <w:szCs w:val="18"/>
              </w:rPr>
              <w:t>74,027.48</w:t>
            </w:r>
          </w:p>
        </w:tc>
        <w:tc>
          <w:tcPr>
            <w:tcW w:w="1134" w:type="dxa"/>
          </w:tcPr>
          <w:p w14:paraId="2A87EBC8" w14:textId="77777777" w:rsidR="00ED2EBD" w:rsidRPr="00BD16B4" w:rsidRDefault="00ED2EBD" w:rsidP="004A205F">
            <w:pPr>
              <w:pStyle w:val="TableText"/>
              <w:spacing w:before="40" w:after="40"/>
              <w:jc w:val="right"/>
              <w:rPr>
                <w:rFonts w:cs="Calibri"/>
                <w:szCs w:val="18"/>
              </w:rPr>
            </w:pPr>
            <w:r w:rsidRPr="00BD16B4">
              <w:rPr>
                <w:rFonts w:cs="Calibri"/>
                <w:szCs w:val="18"/>
              </w:rPr>
              <w:t>71,822.35</w:t>
            </w:r>
          </w:p>
        </w:tc>
      </w:tr>
      <w:tr w:rsidR="00ED2EBD" w:rsidRPr="00BD16B4" w14:paraId="1E7EEA62" w14:textId="77777777" w:rsidTr="003F321F">
        <w:tc>
          <w:tcPr>
            <w:tcW w:w="2495" w:type="dxa"/>
          </w:tcPr>
          <w:p w14:paraId="64396787" w14:textId="77777777" w:rsidR="00ED2EBD" w:rsidRPr="00BD16B4" w:rsidRDefault="00ED2EBD" w:rsidP="004A205F">
            <w:pPr>
              <w:pStyle w:val="TableText"/>
              <w:spacing w:before="40" w:after="40"/>
              <w:rPr>
                <w:rFonts w:cs="Calibri"/>
                <w:szCs w:val="18"/>
              </w:rPr>
            </w:pPr>
            <w:r w:rsidRPr="00BD16B4">
              <w:rPr>
                <w:rFonts w:cs="Calibri"/>
                <w:b/>
                <w:bCs/>
                <w:szCs w:val="18"/>
              </w:rPr>
              <w:t>Total (with LULUCF)</w:t>
            </w:r>
          </w:p>
        </w:tc>
        <w:tc>
          <w:tcPr>
            <w:tcW w:w="1418" w:type="dxa"/>
          </w:tcPr>
          <w:p w14:paraId="09458641" w14:textId="77777777" w:rsidR="00ED2EBD" w:rsidRPr="00BD16B4" w:rsidRDefault="00ED2EBD" w:rsidP="004A205F">
            <w:pPr>
              <w:pStyle w:val="TableText"/>
              <w:spacing w:before="40" w:after="40"/>
              <w:jc w:val="right"/>
              <w:rPr>
                <w:rFonts w:cs="Calibri"/>
                <w:szCs w:val="18"/>
              </w:rPr>
            </w:pPr>
            <w:r w:rsidRPr="00BD16B4">
              <w:rPr>
                <w:rFonts w:cs="Calibri"/>
                <w:szCs w:val="18"/>
              </w:rPr>
              <w:t>43,967.76</w:t>
            </w:r>
          </w:p>
        </w:tc>
        <w:tc>
          <w:tcPr>
            <w:tcW w:w="1134" w:type="dxa"/>
          </w:tcPr>
          <w:p w14:paraId="4B3C27C8" w14:textId="77777777" w:rsidR="00ED2EBD" w:rsidRPr="00BD16B4" w:rsidRDefault="00ED2EBD" w:rsidP="004A205F">
            <w:pPr>
              <w:pStyle w:val="TableText"/>
              <w:spacing w:before="40" w:after="40"/>
              <w:jc w:val="right"/>
              <w:rPr>
                <w:rFonts w:cs="Calibri"/>
                <w:szCs w:val="18"/>
              </w:rPr>
            </w:pPr>
            <w:r w:rsidRPr="00BD16B4">
              <w:rPr>
                <w:rFonts w:cs="Calibri"/>
                <w:szCs w:val="18"/>
              </w:rPr>
              <w:t>42,898.90</w:t>
            </w:r>
          </w:p>
        </w:tc>
        <w:tc>
          <w:tcPr>
            <w:tcW w:w="1134" w:type="dxa"/>
          </w:tcPr>
          <w:p w14:paraId="5DCEF806" w14:textId="77777777" w:rsidR="00ED2EBD" w:rsidRPr="00BD16B4" w:rsidRDefault="00ED2EBD" w:rsidP="004A205F">
            <w:pPr>
              <w:pStyle w:val="TableText"/>
              <w:spacing w:before="40" w:after="40"/>
              <w:jc w:val="right"/>
              <w:rPr>
                <w:rFonts w:cs="Calibri"/>
                <w:szCs w:val="18"/>
              </w:rPr>
            </w:pPr>
            <w:r w:rsidRPr="00BD16B4">
              <w:rPr>
                <w:rFonts w:cs="Calibri"/>
                <w:szCs w:val="18"/>
              </w:rPr>
              <w:t>44,287.76</w:t>
            </w:r>
          </w:p>
        </w:tc>
        <w:tc>
          <w:tcPr>
            <w:tcW w:w="1134" w:type="dxa"/>
          </w:tcPr>
          <w:p w14:paraId="680DEC3F" w14:textId="77777777" w:rsidR="00ED2EBD" w:rsidRPr="00BD16B4" w:rsidRDefault="00ED2EBD" w:rsidP="004A205F">
            <w:pPr>
              <w:pStyle w:val="TableText"/>
              <w:spacing w:before="40" w:after="40"/>
              <w:jc w:val="right"/>
              <w:rPr>
                <w:rFonts w:cs="Calibri"/>
                <w:szCs w:val="18"/>
              </w:rPr>
            </w:pPr>
            <w:r w:rsidRPr="00BD16B4">
              <w:rPr>
                <w:rFonts w:cs="Calibri"/>
                <w:szCs w:val="18"/>
              </w:rPr>
              <w:t>43,352.84</w:t>
            </w:r>
          </w:p>
        </w:tc>
        <w:tc>
          <w:tcPr>
            <w:tcW w:w="1134" w:type="dxa"/>
          </w:tcPr>
          <w:p w14:paraId="792D2691" w14:textId="77777777" w:rsidR="00ED2EBD" w:rsidRPr="00BD16B4" w:rsidRDefault="00ED2EBD" w:rsidP="004A205F">
            <w:pPr>
              <w:pStyle w:val="TableText"/>
              <w:spacing w:before="40" w:after="40"/>
              <w:jc w:val="right"/>
              <w:rPr>
                <w:rFonts w:cs="Calibri"/>
                <w:szCs w:val="18"/>
              </w:rPr>
            </w:pPr>
            <w:r w:rsidRPr="00BD16B4">
              <w:rPr>
                <w:rFonts w:cs="Calibri"/>
                <w:szCs w:val="18"/>
              </w:rPr>
              <w:t>44,809.62</w:t>
            </w:r>
          </w:p>
        </w:tc>
        <w:tc>
          <w:tcPr>
            <w:tcW w:w="1134" w:type="dxa"/>
          </w:tcPr>
          <w:p w14:paraId="542D8847" w14:textId="77777777" w:rsidR="00ED2EBD" w:rsidRPr="00BD16B4" w:rsidRDefault="00ED2EBD" w:rsidP="004A205F">
            <w:pPr>
              <w:pStyle w:val="TableText"/>
              <w:spacing w:before="40" w:after="40"/>
              <w:jc w:val="right"/>
              <w:rPr>
                <w:rFonts w:cs="Calibri"/>
                <w:szCs w:val="18"/>
              </w:rPr>
            </w:pPr>
            <w:r w:rsidRPr="00BD16B4">
              <w:rPr>
                <w:rFonts w:cs="Calibri"/>
                <w:szCs w:val="18"/>
              </w:rPr>
              <w:t>46,567.01</w:t>
            </w:r>
          </w:p>
        </w:tc>
        <w:tc>
          <w:tcPr>
            <w:tcW w:w="1134" w:type="dxa"/>
          </w:tcPr>
          <w:p w14:paraId="71D1F284" w14:textId="77777777" w:rsidR="00ED2EBD" w:rsidRPr="00BD16B4" w:rsidRDefault="00ED2EBD" w:rsidP="004A205F">
            <w:pPr>
              <w:pStyle w:val="TableText"/>
              <w:spacing w:before="40" w:after="40"/>
              <w:jc w:val="right"/>
              <w:rPr>
                <w:rFonts w:cs="Calibri"/>
                <w:szCs w:val="18"/>
              </w:rPr>
            </w:pPr>
            <w:r w:rsidRPr="00BD16B4">
              <w:rPr>
                <w:rFonts w:cs="Calibri"/>
                <w:szCs w:val="18"/>
              </w:rPr>
              <w:t>49,206.99</w:t>
            </w:r>
          </w:p>
        </w:tc>
        <w:tc>
          <w:tcPr>
            <w:tcW w:w="1134" w:type="dxa"/>
          </w:tcPr>
          <w:p w14:paraId="1E51B348" w14:textId="77777777" w:rsidR="00ED2EBD" w:rsidRPr="00BD16B4" w:rsidRDefault="00ED2EBD" w:rsidP="004A205F">
            <w:pPr>
              <w:pStyle w:val="TableText"/>
              <w:spacing w:before="40" w:after="40"/>
              <w:jc w:val="right"/>
              <w:rPr>
                <w:rFonts w:cs="Calibri"/>
                <w:szCs w:val="18"/>
              </w:rPr>
            </w:pPr>
            <w:r w:rsidRPr="00BD16B4">
              <w:rPr>
                <w:rFonts w:cs="Calibri"/>
                <w:szCs w:val="18"/>
              </w:rPr>
              <w:t>51,403.84</w:t>
            </w:r>
          </w:p>
        </w:tc>
        <w:tc>
          <w:tcPr>
            <w:tcW w:w="1134" w:type="dxa"/>
          </w:tcPr>
          <w:p w14:paraId="3F57986A" w14:textId="77777777" w:rsidR="00ED2EBD" w:rsidRPr="00BD16B4" w:rsidRDefault="00ED2EBD" w:rsidP="004A205F">
            <w:pPr>
              <w:pStyle w:val="TableText"/>
              <w:spacing w:before="40" w:after="40"/>
              <w:jc w:val="right"/>
              <w:rPr>
                <w:rFonts w:cs="Calibri"/>
                <w:szCs w:val="18"/>
              </w:rPr>
            </w:pPr>
            <w:r w:rsidRPr="00BD16B4">
              <w:rPr>
                <w:rFonts w:cs="Calibri"/>
                <w:szCs w:val="18"/>
              </w:rPr>
              <w:t>48,563.14</w:t>
            </w:r>
          </w:p>
        </w:tc>
      </w:tr>
      <w:tr w:rsidR="00ED2EBD" w:rsidRPr="00BD16B4" w14:paraId="77A03079" w14:textId="77777777" w:rsidTr="003F321F">
        <w:tc>
          <w:tcPr>
            <w:tcW w:w="2495" w:type="dxa"/>
          </w:tcPr>
          <w:p w14:paraId="05F27D35" w14:textId="77777777" w:rsidR="00ED2EBD" w:rsidRPr="00BD16B4" w:rsidRDefault="00ED2EBD" w:rsidP="004A205F">
            <w:pPr>
              <w:pStyle w:val="TableText"/>
              <w:spacing w:before="40" w:after="40"/>
              <w:rPr>
                <w:rFonts w:cs="Calibri"/>
                <w:szCs w:val="18"/>
              </w:rPr>
            </w:pPr>
            <w:r w:rsidRPr="00BD16B4">
              <w:rPr>
                <w:rFonts w:cs="Calibri"/>
                <w:b/>
                <w:bCs/>
                <w:szCs w:val="18"/>
              </w:rPr>
              <w:t>Total (without LULUCF, with indirect)</w:t>
            </w:r>
          </w:p>
        </w:tc>
        <w:tc>
          <w:tcPr>
            <w:tcW w:w="1418" w:type="dxa"/>
          </w:tcPr>
          <w:p w14:paraId="42BA184B"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1134" w:type="dxa"/>
          </w:tcPr>
          <w:p w14:paraId="7842DE5E"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1134" w:type="dxa"/>
          </w:tcPr>
          <w:p w14:paraId="3859B648"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1134" w:type="dxa"/>
          </w:tcPr>
          <w:p w14:paraId="64B2C4FE"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1134" w:type="dxa"/>
          </w:tcPr>
          <w:p w14:paraId="393C2023"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1134" w:type="dxa"/>
          </w:tcPr>
          <w:p w14:paraId="52A9ACB7"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1134" w:type="dxa"/>
          </w:tcPr>
          <w:p w14:paraId="5253C5B1"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1134" w:type="dxa"/>
          </w:tcPr>
          <w:p w14:paraId="72D3EFA3"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1134" w:type="dxa"/>
          </w:tcPr>
          <w:p w14:paraId="479D4656"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r>
      <w:tr w:rsidR="00ED2EBD" w:rsidRPr="00BD16B4" w14:paraId="62C4C42E" w14:textId="77777777" w:rsidTr="003F321F">
        <w:tc>
          <w:tcPr>
            <w:tcW w:w="2495" w:type="dxa"/>
          </w:tcPr>
          <w:p w14:paraId="57708CFD" w14:textId="77777777" w:rsidR="00ED2EBD" w:rsidRPr="00BD16B4" w:rsidRDefault="00ED2EBD" w:rsidP="004A205F">
            <w:pPr>
              <w:pStyle w:val="TableText"/>
              <w:spacing w:before="40" w:after="40"/>
              <w:rPr>
                <w:rFonts w:cs="Calibri"/>
                <w:szCs w:val="18"/>
              </w:rPr>
            </w:pPr>
            <w:r w:rsidRPr="00BD16B4">
              <w:rPr>
                <w:rFonts w:cs="Calibri"/>
                <w:b/>
                <w:bCs/>
                <w:szCs w:val="18"/>
              </w:rPr>
              <w:t>Total (with LULUCF, with indirect)</w:t>
            </w:r>
          </w:p>
        </w:tc>
        <w:tc>
          <w:tcPr>
            <w:tcW w:w="1418" w:type="dxa"/>
          </w:tcPr>
          <w:p w14:paraId="13DDA9A5"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1134" w:type="dxa"/>
          </w:tcPr>
          <w:p w14:paraId="39C1C95A"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1134" w:type="dxa"/>
          </w:tcPr>
          <w:p w14:paraId="5A565431"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1134" w:type="dxa"/>
          </w:tcPr>
          <w:p w14:paraId="3CE8B51E"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1134" w:type="dxa"/>
          </w:tcPr>
          <w:p w14:paraId="46790728"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1134" w:type="dxa"/>
          </w:tcPr>
          <w:p w14:paraId="2C145968"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1134" w:type="dxa"/>
          </w:tcPr>
          <w:p w14:paraId="23B6B663"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1134" w:type="dxa"/>
          </w:tcPr>
          <w:p w14:paraId="337FB202"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1134" w:type="dxa"/>
          </w:tcPr>
          <w:p w14:paraId="44DCB97D"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r>
    </w:tbl>
    <w:p w14:paraId="31A6F566" w14:textId="77777777" w:rsidR="00ED2EBD" w:rsidRPr="00BD16B4" w:rsidRDefault="00ED2EBD" w:rsidP="00ED2EBD">
      <w:pPr>
        <w:pStyle w:val="BodyText"/>
      </w:pPr>
    </w:p>
    <w:tbl>
      <w:tblPr>
        <w:tblStyle w:val="MinistryfortheEnvironment"/>
        <w:tblW w:w="14515" w:type="dxa"/>
        <w:tblInd w:w="113" w:type="dxa"/>
        <w:tblCellMar>
          <w:bottom w:w="0" w:type="dxa"/>
        </w:tblCellMar>
        <w:tblLook w:val="04A0" w:firstRow="1" w:lastRow="0" w:firstColumn="1" w:lastColumn="0" w:noHBand="0" w:noVBand="1"/>
      </w:tblPr>
      <w:tblGrid>
        <w:gridCol w:w="2695"/>
        <w:gridCol w:w="1532"/>
        <w:gridCol w:w="1286"/>
        <w:gridCol w:w="1286"/>
        <w:gridCol w:w="1286"/>
        <w:gridCol w:w="1286"/>
        <w:gridCol w:w="1286"/>
        <w:gridCol w:w="1286"/>
        <w:gridCol w:w="1286"/>
        <w:gridCol w:w="1286"/>
      </w:tblGrid>
      <w:tr w:rsidR="00ED2EBD" w:rsidRPr="00BD16B4" w14:paraId="334AD45E" w14:textId="77777777" w:rsidTr="003F321F">
        <w:trPr>
          <w:cnfStyle w:val="100000000000" w:firstRow="1" w:lastRow="0" w:firstColumn="0" w:lastColumn="0" w:oddVBand="0" w:evenVBand="0" w:oddHBand="0" w:evenHBand="0" w:firstRowFirstColumn="0" w:firstRowLastColumn="0" w:lastRowFirstColumn="0" w:lastRowLastColumn="0"/>
          <w:tblHeader/>
        </w:trPr>
        <w:tc>
          <w:tcPr>
            <w:tcW w:w="2495" w:type="dxa"/>
            <w:tcBorders>
              <w:top w:val="single" w:sz="4" w:space="0" w:color="1B556B" w:themeColor="text2"/>
            </w:tcBorders>
            <w:vAlign w:val="bottom"/>
          </w:tcPr>
          <w:p w14:paraId="6D2117FA" w14:textId="77777777" w:rsidR="00ED2EBD" w:rsidRPr="00BD16B4" w:rsidRDefault="00ED2EBD" w:rsidP="004A205F">
            <w:pPr>
              <w:pStyle w:val="TableTextbold"/>
              <w:spacing w:before="40" w:after="40"/>
              <w:rPr>
                <w:b/>
                <w:bCs/>
                <w:szCs w:val="14"/>
              </w:rPr>
            </w:pPr>
            <w:r w:rsidRPr="00BD16B4">
              <w:rPr>
                <w:b/>
                <w:bCs/>
                <w:szCs w:val="14"/>
              </w:rPr>
              <w:t>Greenhouse gas source and sink categories</w:t>
            </w:r>
          </w:p>
        </w:tc>
        <w:tc>
          <w:tcPr>
            <w:tcW w:w="1418" w:type="dxa"/>
            <w:tcBorders>
              <w:top w:val="single" w:sz="4" w:space="0" w:color="1B556B" w:themeColor="text2"/>
            </w:tcBorders>
            <w:vAlign w:val="bottom"/>
          </w:tcPr>
          <w:p w14:paraId="29A1CE6E" w14:textId="77777777" w:rsidR="00ED2EBD" w:rsidRPr="00BD16B4" w:rsidRDefault="00ED2EBD" w:rsidP="004A205F">
            <w:pPr>
              <w:pStyle w:val="TableTextbold"/>
              <w:spacing w:before="40" w:after="40"/>
              <w:jc w:val="center"/>
              <w:rPr>
                <w:b/>
                <w:bCs/>
                <w:szCs w:val="14"/>
              </w:rPr>
            </w:pPr>
            <w:r w:rsidRPr="00BD16B4">
              <w:rPr>
                <w:b/>
                <w:bCs/>
                <w:szCs w:val="14"/>
              </w:rPr>
              <w:t xml:space="preserve">Base year 1990 </w:t>
            </w:r>
            <w:r w:rsidRPr="00BD16B4">
              <w:rPr>
                <w:b/>
                <w:bCs/>
                <w:szCs w:val="14"/>
              </w:rPr>
              <w:br/>
              <w:t>(kt CO</w:t>
            </w:r>
            <w:r w:rsidRPr="00BD16B4">
              <w:rPr>
                <w:b/>
                <w:bCs/>
                <w:szCs w:val="14"/>
                <w:vertAlign w:val="subscript"/>
              </w:rPr>
              <w:t>2</w:t>
            </w:r>
            <w:r w:rsidRPr="00BD16B4">
              <w:rPr>
                <w:b/>
                <w:bCs/>
                <w:szCs w:val="14"/>
              </w:rPr>
              <w:t>-equivalent)</w:t>
            </w:r>
          </w:p>
        </w:tc>
        <w:tc>
          <w:tcPr>
            <w:tcW w:w="1191" w:type="dxa"/>
            <w:tcBorders>
              <w:top w:val="single" w:sz="4" w:space="0" w:color="1B556B" w:themeColor="text2"/>
            </w:tcBorders>
            <w:vAlign w:val="bottom"/>
          </w:tcPr>
          <w:p w14:paraId="3F790822" w14:textId="77777777" w:rsidR="00ED2EBD" w:rsidRPr="00BD16B4" w:rsidRDefault="00ED2EBD" w:rsidP="004A205F">
            <w:pPr>
              <w:pStyle w:val="TableTextbold"/>
              <w:spacing w:before="40" w:after="40"/>
              <w:jc w:val="center"/>
              <w:rPr>
                <w:b/>
                <w:bCs/>
                <w:szCs w:val="14"/>
              </w:rPr>
            </w:pPr>
            <w:r w:rsidRPr="00BD16B4">
              <w:rPr>
                <w:b/>
                <w:bCs/>
                <w:szCs w:val="14"/>
              </w:rPr>
              <w:t>1991</w:t>
            </w:r>
            <w:r w:rsidRPr="00BD16B4">
              <w:rPr>
                <w:b/>
                <w:bCs/>
                <w:szCs w:val="14"/>
              </w:rPr>
              <w:br/>
              <w:t>(kt CO</w:t>
            </w:r>
            <w:r w:rsidRPr="00BD16B4">
              <w:rPr>
                <w:b/>
                <w:bCs/>
                <w:szCs w:val="14"/>
                <w:vertAlign w:val="subscript"/>
              </w:rPr>
              <w:t>2</w:t>
            </w:r>
            <w:r w:rsidRPr="00BD16B4">
              <w:rPr>
                <w:b/>
                <w:bCs/>
                <w:szCs w:val="14"/>
              </w:rPr>
              <w:t>-equivalent)</w:t>
            </w:r>
          </w:p>
        </w:tc>
        <w:tc>
          <w:tcPr>
            <w:tcW w:w="1191" w:type="dxa"/>
            <w:tcBorders>
              <w:top w:val="single" w:sz="4" w:space="0" w:color="1B556B" w:themeColor="text2"/>
            </w:tcBorders>
            <w:vAlign w:val="bottom"/>
          </w:tcPr>
          <w:p w14:paraId="2139E6B5" w14:textId="77777777" w:rsidR="00ED2EBD" w:rsidRPr="00BD16B4" w:rsidRDefault="00ED2EBD" w:rsidP="004A205F">
            <w:pPr>
              <w:pStyle w:val="TableTextbold"/>
              <w:spacing w:before="40" w:after="40"/>
              <w:jc w:val="center"/>
              <w:rPr>
                <w:b/>
                <w:bCs/>
                <w:szCs w:val="14"/>
              </w:rPr>
            </w:pPr>
            <w:r w:rsidRPr="00BD16B4">
              <w:rPr>
                <w:b/>
                <w:bCs/>
                <w:szCs w:val="14"/>
              </w:rPr>
              <w:t>1992</w:t>
            </w:r>
            <w:r w:rsidRPr="00BD16B4">
              <w:rPr>
                <w:b/>
                <w:bCs/>
                <w:szCs w:val="14"/>
              </w:rPr>
              <w:br/>
              <w:t>(kt CO</w:t>
            </w:r>
            <w:r w:rsidRPr="00BD16B4">
              <w:rPr>
                <w:b/>
                <w:bCs/>
                <w:szCs w:val="14"/>
                <w:vertAlign w:val="subscript"/>
              </w:rPr>
              <w:t>2</w:t>
            </w:r>
            <w:r w:rsidRPr="00BD16B4">
              <w:rPr>
                <w:b/>
                <w:bCs/>
                <w:szCs w:val="14"/>
              </w:rPr>
              <w:t>-equivalent)</w:t>
            </w:r>
          </w:p>
        </w:tc>
        <w:tc>
          <w:tcPr>
            <w:tcW w:w="1191" w:type="dxa"/>
            <w:tcBorders>
              <w:top w:val="single" w:sz="4" w:space="0" w:color="1B556B" w:themeColor="text2"/>
            </w:tcBorders>
            <w:vAlign w:val="bottom"/>
          </w:tcPr>
          <w:p w14:paraId="455465E0" w14:textId="77777777" w:rsidR="00ED2EBD" w:rsidRPr="00BD16B4" w:rsidRDefault="00ED2EBD" w:rsidP="004A205F">
            <w:pPr>
              <w:pStyle w:val="TableTextbold"/>
              <w:spacing w:before="40" w:after="40"/>
              <w:jc w:val="center"/>
              <w:rPr>
                <w:b/>
                <w:bCs/>
                <w:szCs w:val="14"/>
              </w:rPr>
            </w:pPr>
            <w:r w:rsidRPr="00BD16B4">
              <w:rPr>
                <w:b/>
                <w:bCs/>
                <w:szCs w:val="14"/>
              </w:rPr>
              <w:t>1993</w:t>
            </w:r>
            <w:r w:rsidRPr="00BD16B4">
              <w:rPr>
                <w:b/>
                <w:bCs/>
                <w:szCs w:val="14"/>
              </w:rPr>
              <w:br/>
              <w:t>(kt CO</w:t>
            </w:r>
            <w:r w:rsidRPr="00BD16B4">
              <w:rPr>
                <w:b/>
                <w:bCs/>
                <w:szCs w:val="14"/>
                <w:vertAlign w:val="subscript"/>
              </w:rPr>
              <w:t>2</w:t>
            </w:r>
            <w:r w:rsidRPr="00BD16B4">
              <w:rPr>
                <w:b/>
                <w:bCs/>
                <w:szCs w:val="14"/>
              </w:rPr>
              <w:t>-equivalent)</w:t>
            </w:r>
          </w:p>
        </w:tc>
        <w:tc>
          <w:tcPr>
            <w:tcW w:w="1191" w:type="dxa"/>
            <w:tcBorders>
              <w:top w:val="single" w:sz="4" w:space="0" w:color="1B556B" w:themeColor="text2"/>
            </w:tcBorders>
            <w:vAlign w:val="bottom"/>
          </w:tcPr>
          <w:p w14:paraId="51D51E16" w14:textId="77777777" w:rsidR="00ED2EBD" w:rsidRPr="00BD16B4" w:rsidRDefault="00ED2EBD" w:rsidP="004A205F">
            <w:pPr>
              <w:pStyle w:val="TableTextbold"/>
              <w:spacing w:before="40" w:after="40"/>
              <w:jc w:val="center"/>
              <w:rPr>
                <w:b/>
                <w:bCs/>
                <w:szCs w:val="14"/>
              </w:rPr>
            </w:pPr>
            <w:r w:rsidRPr="00BD16B4">
              <w:rPr>
                <w:b/>
                <w:bCs/>
                <w:szCs w:val="14"/>
              </w:rPr>
              <w:t>1994</w:t>
            </w:r>
            <w:r w:rsidRPr="00BD16B4">
              <w:rPr>
                <w:b/>
                <w:bCs/>
                <w:szCs w:val="14"/>
              </w:rPr>
              <w:br/>
              <w:t>(kt CO</w:t>
            </w:r>
            <w:r w:rsidRPr="00BD16B4">
              <w:rPr>
                <w:b/>
                <w:bCs/>
                <w:szCs w:val="14"/>
                <w:vertAlign w:val="subscript"/>
              </w:rPr>
              <w:t>2</w:t>
            </w:r>
            <w:r w:rsidRPr="00BD16B4">
              <w:rPr>
                <w:b/>
                <w:bCs/>
                <w:szCs w:val="14"/>
              </w:rPr>
              <w:t>-equivalent)</w:t>
            </w:r>
          </w:p>
        </w:tc>
        <w:tc>
          <w:tcPr>
            <w:tcW w:w="1191" w:type="dxa"/>
            <w:tcBorders>
              <w:top w:val="single" w:sz="4" w:space="0" w:color="1B556B" w:themeColor="text2"/>
            </w:tcBorders>
            <w:vAlign w:val="bottom"/>
          </w:tcPr>
          <w:p w14:paraId="77F0186B" w14:textId="77777777" w:rsidR="00ED2EBD" w:rsidRPr="00BD16B4" w:rsidRDefault="00ED2EBD" w:rsidP="004A205F">
            <w:pPr>
              <w:pStyle w:val="TableTextbold"/>
              <w:spacing w:before="40" w:after="40"/>
              <w:jc w:val="center"/>
              <w:rPr>
                <w:b/>
                <w:bCs/>
                <w:szCs w:val="14"/>
              </w:rPr>
            </w:pPr>
            <w:r w:rsidRPr="00BD16B4">
              <w:rPr>
                <w:b/>
                <w:bCs/>
                <w:szCs w:val="14"/>
              </w:rPr>
              <w:t>1995</w:t>
            </w:r>
            <w:r w:rsidRPr="00BD16B4">
              <w:rPr>
                <w:b/>
                <w:bCs/>
                <w:szCs w:val="14"/>
              </w:rPr>
              <w:br/>
              <w:t>(kt CO</w:t>
            </w:r>
            <w:r w:rsidRPr="00BD16B4">
              <w:rPr>
                <w:b/>
                <w:bCs/>
                <w:szCs w:val="14"/>
                <w:vertAlign w:val="subscript"/>
              </w:rPr>
              <w:t>2</w:t>
            </w:r>
            <w:r w:rsidRPr="00BD16B4">
              <w:rPr>
                <w:b/>
                <w:bCs/>
                <w:szCs w:val="14"/>
              </w:rPr>
              <w:t>-equivalent)</w:t>
            </w:r>
          </w:p>
        </w:tc>
        <w:tc>
          <w:tcPr>
            <w:tcW w:w="1191" w:type="dxa"/>
            <w:tcBorders>
              <w:top w:val="single" w:sz="4" w:space="0" w:color="1B556B" w:themeColor="text2"/>
            </w:tcBorders>
            <w:vAlign w:val="bottom"/>
          </w:tcPr>
          <w:p w14:paraId="50E5A653" w14:textId="77777777" w:rsidR="00ED2EBD" w:rsidRPr="00BD16B4" w:rsidRDefault="00ED2EBD" w:rsidP="004A205F">
            <w:pPr>
              <w:pStyle w:val="TableTextbold"/>
              <w:spacing w:before="40" w:after="40"/>
              <w:jc w:val="center"/>
              <w:rPr>
                <w:b/>
                <w:bCs/>
                <w:szCs w:val="14"/>
              </w:rPr>
            </w:pPr>
            <w:r w:rsidRPr="00BD16B4">
              <w:rPr>
                <w:b/>
                <w:bCs/>
                <w:szCs w:val="14"/>
              </w:rPr>
              <w:t>1996</w:t>
            </w:r>
            <w:r w:rsidRPr="00BD16B4">
              <w:rPr>
                <w:b/>
                <w:bCs/>
                <w:szCs w:val="14"/>
              </w:rPr>
              <w:br/>
              <w:t>(kt CO</w:t>
            </w:r>
            <w:r w:rsidRPr="00BD16B4">
              <w:rPr>
                <w:b/>
                <w:bCs/>
                <w:szCs w:val="14"/>
                <w:vertAlign w:val="subscript"/>
              </w:rPr>
              <w:t>2</w:t>
            </w:r>
            <w:r w:rsidRPr="00BD16B4">
              <w:rPr>
                <w:b/>
                <w:bCs/>
                <w:szCs w:val="14"/>
              </w:rPr>
              <w:t>-equivalent)</w:t>
            </w:r>
          </w:p>
        </w:tc>
        <w:tc>
          <w:tcPr>
            <w:tcW w:w="1191" w:type="dxa"/>
            <w:tcBorders>
              <w:top w:val="single" w:sz="4" w:space="0" w:color="1B556B" w:themeColor="text2"/>
            </w:tcBorders>
            <w:vAlign w:val="bottom"/>
          </w:tcPr>
          <w:p w14:paraId="152A95E5" w14:textId="77777777" w:rsidR="00ED2EBD" w:rsidRPr="00BD16B4" w:rsidRDefault="00ED2EBD" w:rsidP="004A205F">
            <w:pPr>
              <w:pStyle w:val="TableTextbold"/>
              <w:spacing w:before="40" w:after="40"/>
              <w:jc w:val="center"/>
              <w:rPr>
                <w:b/>
                <w:bCs/>
                <w:szCs w:val="14"/>
              </w:rPr>
            </w:pPr>
            <w:r w:rsidRPr="00BD16B4">
              <w:rPr>
                <w:b/>
                <w:bCs/>
                <w:szCs w:val="14"/>
              </w:rPr>
              <w:t>1997</w:t>
            </w:r>
            <w:r w:rsidRPr="00BD16B4">
              <w:rPr>
                <w:b/>
                <w:bCs/>
                <w:szCs w:val="14"/>
              </w:rPr>
              <w:br/>
              <w:t>(kt CO</w:t>
            </w:r>
            <w:r w:rsidRPr="00BD16B4">
              <w:rPr>
                <w:b/>
                <w:bCs/>
                <w:szCs w:val="14"/>
                <w:vertAlign w:val="subscript"/>
              </w:rPr>
              <w:t>2</w:t>
            </w:r>
            <w:r w:rsidRPr="00BD16B4">
              <w:rPr>
                <w:b/>
                <w:bCs/>
                <w:szCs w:val="14"/>
              </w:rPr>
              <w:t>-equivalent)</w:t>
            </w:r>
          </w:p>
        </w:tc>
        <w:tc>
          <w:tcPr>
            <w:tcW w:w="1191" w:type="dxa"/>
            <w:tcBorders>
              <w:top w:val="single" w:sz="4" w:space="0" w:color="1B556B" w:themeColor="text2"/>
            </w:tcBorders>
            <w:vAlign w:val="bottom"/>
          </w:tcPr>
          <w:p w14:paraId="1DC54092" w14:textId="77777777" w:rsidR="00ED2EBD" w:rsidRPr="00BD16B4" w:rsidRDefault="00ED2EBD" w:rsidP="004A205F">
            <w:pPr>
              <w:pStyle w:val="TableTextbold"/>
              <w:spacing w:before="40" w:after="40"/>
              <w:jc w:val="center"/>
              <w:rPr>
                <w:b/>
                <w:bCs/>
                <w:szCs w:val="14"/>
              </w:rPr>
            </w:pPr>
            <w:r w:rsidRPr="00BD16B4">
              <w:rPr>
                <w:b/>
                <w:bCs/>
                <w:szCs w:val="14"/>
              </w:rPr>
              <w:t>1998</w:t>
            </w:r>
            <w:r w:rsidRPr="00BD16B4">
              <w:rPr>
                <w:b/>
                <w:bCs/>
                <w:szCs w:val="14"/>
              </w:rPr>
              <w:br/>
              <w:t>(kt CO</w:t>
            </w:r>
            <w:r w:rsidRPr="00BD16B4">
              <w:rPr>
                <w:b/>
                <w:bCs/>
                <w:szCs w:val="14"/>
                <w:vertAlign w:val="subscript"/>
              </w:rPr>
              <w:t>2</w:t>
            </w:r>
            <w:r w:rsidRPr="00BD16B4">
              <w:rPr>
                <w:b/>
                <w:bCs/>
                <w:szCs w:val="14"/>
              </w:rPr>
              <w:t>-equivalent)</w:t>
            </w:r>
          </w:p>
        </w:tc>
      </w:tr>
      <w:tr w:rsidR="00ED2EBD" w:rsidRPr="00BD16B4" w14:paraId="5A1C6926" w14:textId="77777777" w:rsidTr="003F321F">
        <w:tc>
          <w:tcPr>
            <w:tcW w:w="2495" w:type="dxa"/>
          </w:tcPr>
          <w:p w14:paraId="58C1DDE2" w14:textId="04BD6C40" w:rsidR="00ED2EBD" w:rsidRPr="00BD16B4" w:rsidRDefault="00ED2EBD" w:rsidP="004A205F">
            <w:pPr>
              <w:pStyle w:val="TableText"/>
              <w:spacing w:before="40" w:after="40"/>
              <w:rPr>
                <w:szCs w:val="18"/>
              </w:rPr>
            </w:pPr>
            <w:r w:rsidRPr="00BD16B4">
              <w:rPr>
                <w:szCs w:val="18"/>
              </w:rPr>
              <w:t>1.</w:t>
            </w:r>
            <w:r w:rsidR="00280979" w:rsidRPr="00BD16B4">
              <w:rPr>
                <w:szCs w:val="18"/>
              </w:rPr>
              <w:t xml:space="preserve"> </w:t>
            </w:r>
            <w:r w:rsidRPr="00BD16B4">
              <w:rPr>
                <w:szCs w:val="18"/>
              </w:rPr>
              <w:t xml:space="preserve">Energy </w:t>
            </w:r>
          </w:p>
        </w:tc>
        <w:tc>
          <w:tcPr>
            <w:tcW w:w="1418" w:type="dxa"/>
          </w:tcPr>
          <w:p w14:paraId="206A08BC" w14:textId="77777777" w:rsidR="00ED2EBD" w:rsidRPr="00BD16B4" w:rsidRDefault="00ED2EBD" w:rsidP="004A205F">
            <w:pPr>
              <w:pStyle w:val="TableText"/>
              <w:spacing w:before="40" w:after="40"/>
              <w:jc w:val="right"/>
              <w:rPr>
                <w:szCs w:val="18"/>
              </w:rPr>
            </w:pPr>
            <w:r w:rsidRPr="00BD16B4">
              <w:rPr>
                <w:szCs w:val="18"/>
              </w:rPr>
              <w:t>23,877.89</w:t>
            </w:r>
          </w:p>
        </w:tc>
        <w:tc>
          <w:tcPr>
            <w:tcW w:w="1191" w:type="dxa"/>
          </w:tcPr>
          <w:p w14:paraId="1EDDE1C6" w14:textId="77777777" w:rsidR="00ED2EBD" w:rsidRPr="00BD16B4" w:rsidRDefault="00ED2EBD" w:rsidP="004A205F">
            <w:pPr>
              <w:pStyle w:val="TableText"/>
              <w:spacing w:before="40" w:after="40"/>
              <w:jc w:val="right"/>
              <w:rPr>
                <w:szCs w:val="18"/>
              </w:rPr>
            </w:pPr>
            <w:r w:rsidRPr="00BD16B4">
              <w:rPr>
                <w:szCs w:val="18"/>
              </w:rPr>
              <w:t>24,367.64</w:t>
            </w:r>
          </w:p>
        </w:tc>
        <w:tc>
          <w:tcPr>
            <w:tcW w:w="1191" w:type="dxa"/>
          </w:tcPr>
          <w:p w14:paraId="412B3BBA" w14:textId="77777777" w:rsidR="00ED2EBD" w:rsidRPr="00BD16B4" w:rsidRDefault="00ED2EBD" w:rsidP="004A205F">
            <w:pPr>
              <w:pStyle w:val="TableText"/>
              <w:spacing w:before="40" w:after="40"/>
              <w:jc w:val="right"/>
              <w:rPr>
                <w:szCs w:val="18"/>
              </w:rPr>
            </w:pPr>
            <w:r w:rsidRPr="00BD16B4">
              <w:rPr>
                <w:szCs w:val="18"/>
              </w:rPr>
              <w:t>26,228.40</w:t>
            </w:r>
          </w:p>
        </w:tc>
        <w:tc>
          <w:tcPr>
            <w:tcW w:w="1191" w:type="dxa"/>
          </w:tcPr>
          <w:p w14:paraId="329F1D65" w14:textId="77777777" w:rsidR="00ED2EBD" w:rsidRPr="00BD16B4" w:rsidRDefault="00ED2EBD" w:rsidP="004A205F">
            <w:pPr>
              <w:pStyle w:val="TableText"/>
              <w:spacing w:before="40" w:after="40"/>
              <w:jc w:val="right"/>
              <w:rPr>
                <w:szCs w:val="18"/>
              </w:rPr>
            </w:pPr>
            <w:r w:rsidRPr="00BD16B4">
              <w:rPr>
                <w:szCs w:val="18"/>
              </w:rPr>
              <w:t>25,762.94</w:t>
            </w:r>
          </w:p>
        </w:tc>
        <w:tc>
          <w:tcPr>
            <w:tcW w:w="1191" w:type="dxa"/>
          </w:tcPr>
          <w:p w14:paraId="1D3788D4" w14:textId="77777777" w:rsidR="00ED2EBD" w:rsidRPr="00BD16B4" w:rsidRDefault="00ED2EBD" w:rsidP="004A205F">
            <w:pPr>
              <w:pStyle w:val="TableText"/>
              <w:spacing w:before="40" w:after="40"/>
              <w:jc w:val="right"/>
              <w:rPr>
                <w:szCs w:val="18"/>
              </w:rPr>
            </w:pPr>
            <w:r w:rsidRPr="00BD16B4">
              <w:rPr>
                <w:szCs w:val="18"/>
              </w:rPr>
              <w:t>26,081.68</w:t>
            </w:r>
          </w:p>
        </w:tc>
        <w:tc>
          <w:tcPr>
            <w:tcW w:w="1191" w:type="dxa"/>
          </w:tcPr>
          <w:p w14:paraId="7688FE62" w14:textId="77777777" w:rsidR="00ED2EBD" w:rsidRPr="00BD16B4" w:rsidRDefault="00ED2EBD" w:rsidP="004A205F">
            <w:pPr>
              <w:pStyle w:val="TableText"/>
              <w:spacing w:before="40" w:after="40"/>
              <w:jc w:val="right"/>
              <w:rPr>
                <w:szCs w:val="18"/>
              </w:rPr>
            </w:pPr>
            <w:r w:rsidRPr="00BD16B4">
              <w:rPr>
                <w:szCs w:val="18"/>
              </w:rPr>
              <w:t>25,866.12</w:t>
            </w:r>
          </w:p>
        </w:tc>
        <w:tc>
          <w:tcPr>
            <w:tcW w:w="1191" w:type="dxa"/>
          </w:tcPr>
          <w:p w14:paraId="0093FFD9" w14:textId="77777777" w:rsidR="00ED2EBD" w:rsidRPr="00BD16B4" w:rsidRDefault="00ED2EBD" w:rsidP="004A205F">
            <w:pPr>
              <w:pStyle w:val="TableText"/>
              <w:spacing w:before="40" w:after="40"/>
              <w:jc w:val="right"/>
              <w:rPr>
                <w:szCs w:val="18"/>
              </w:rPr>
            </w:pPr>
            <w:r w:rsidRPr="00BD16B4">
              <w:rPr>
                <w:szCs w:val="18"/>
              </w:rPr>
              <w:t>27,462.16</w:t>
            </w:r>
          </w:p>
        </w:tc>
        <w:tc>
          <w:tcPr>
            <w:tcW w:w="1191" w:type="dxa"/>
          </w:tcPr>
          <w:p w14:paraId="48CAE041" w14:textId="77777777" w:rsidR="00ED2EBD" w:rsidRPr="00BD16B4" w:rsidRDefault="00ED2EBD" w:rsidP="004A205F">
            <w:pPr>
              <w:pStyle w:val="TableText"/>
              <w:spacing w:before="40" w:after="40"/>
              <w:jc w:val="right"/>
              <w:rPr>
                <w:szCs w:val="18"/>
              </w:rPr>
            </w:pPr>
            <w:r w:rsidRPr="00BD16B4">
              <w:rPr>
                <w:szCs w:val="18"/>
              </w:rPr>
              <w:t>29,493.97</w:t>
            </w:r>
          </w:p>
        </w:tc>
        <w:tc>
          <w:tcPr>
            <w:tcW w:w="1191" w:type="dxa"/>
          </w:tcPr>
          <w:p w14:paraId="2A09EED7" w14:textId="77777777" w:rsidR="00ED2EBD" w:rsidRPr="00BD16B4" w:rsidRDefault="00ED2EBD" w:rsidP="004A205F">
            <w:pPr>
              <w:pStyle w:val="TableText"/>
              <w:spacing w:before="40" w:after="40"/>
              <w:jc w:val="right"/>
              <w:rPr>
                <w:szCs w:val="18"/>
              </w:rPr>
            </w:pPr>
            <w:r w:rsidRPr="00BD16B4">
              <w:rPr>
                <w:szCs w:val="18"/>
              </w:rPr>
              <w:t>27,912.15</w:t>
            </w:r>
          </w:p>
        </w:tc>
      </w:tr>
      <w:tr w:rsidR="00ED2EBD" w:rsidRPr="00BD16B4" w14:paraId="35BE01EE" w14:textId="77777777" w:rsidTr="003F321F">
        <w:tc>
          <w:tcPr>
            <w:tcW w:w="2495" w:type="dxa"/>
          </w:tcPr>
          <w:p w14:paraId="0EFAB5BE" w14:textId="658B4C90" w:rsidR="00ED2EBD" w:rsidRPr="00BD16B4" w:rsidRDefault="00ED2EBD" w:rsidP="004A205F">
            <w:pPr>
              <w:pStyle w:val="TableText"/>
              <w:spacing w:before="40" w:after="40"/>
              <w:rPr>
                <w:szCs w:val="18"/>
              </w:rPr>
            </w:pPr>
            <w:r w:rsidRPr="00BD16B4">
              <w:rPr>
                <w:szCs w:val="18"/>
              </w:rPr>
              <w:t>2.</w:t>
            </w:r>
            <w:r w:rsidR="00280979" w:rsidRPr="00BD16B4">
              <w:rPr>
                <w:szCs w:val="18"/>
              </w:rPr>
              <w:t xml:space="preserve"> </w:t>
            </w:r>
            <w:r w:rsidRPr="00BD16B4">
              <w:rPr>
                <w:szCs w:val="18"/>
              </w:rPr>
              <w:t>Industrial processes and product use</w:t>
            </w:r>
          </w:p>
        </w:tc>
        <w:tc>
          <w:tcPr>
            <w:tcW w:w="1418" w:type="dxa"/>
          </w:tcPr>
          <w:p w14:paraId="431AF2D2" w14:textId="77777777" w:rsidR="00ED2EBD" w:rsidRPr="00BD16B4" w:rsidRDefault="00ED2EBD" w:rsidP="004A205F">
            <w:pPr>
              <w:pStyle w:val="TableText"/>
              <w:spacing w:before="40" w:after="40"/>
              <w:jc w:val="right"/>
              <w:rPr>
                <w:szCs w:val="18"/>
              </w:rPr>
            </w:pPr>
            <w:r w:rsidRPr="00BD16B4">
              <w:rPr>
                <w:szCs w:val="18"/>
              </w:rPr>
              <w:t>3,579.92</w:t>
            </w:r>
          </w:p>
        </w:tc>
        <w:tc>
          <w:tcPr>
            <w:tcW w:w="1191" w:type="dxa"/>
          </w:tcPr>
          <w:p w14:paraId="7BE22FFD" w14:textId="77777777" w:rsidR="00ED2EBD" w:rsidRPr="00BD16B4" w:rsidRDefault="00ED2EBD" w:rsidP="004A205F">
            <w:pPr>
              <w:pStyle w:val="TableText"/>
              <w:spacing w:before="40" w:after="40"/>
              <w:jc w:val="right"/>
              <w:rPr>
                <w:szCs w:val="18"/>
              </w:rPr>
            </w:pPr>
            <w:r w:rsidRPr="00BD16B4">
              <w:rPr>
                <w:szCs w:val="18"/>
              </w:rPr>
              <w:t>3,728.61</w:t>
            </w:r>
          </w:p>
        </w:tc>
        <w:tc>
          <w:tcPr>
            <w:tcW w:w="1191" w:type="dxa"/>
          </w:tcPr>
          <w:p w14:paraId="2F57E49D" w14:textId="77777777" w:rsidR="00ED2EBD" w:rsidRPr="00BD16B4" w:rsidRDefault="00ED2EBD" w:rsidP="004A205F">
            <w:pPr>
              <w:pStyle w:val="TableText"/>
              <w:spacing w:before="40" w:after="40"/>
              <w:jc w:val="right"/>
              <w:rPr>
                <w:szCs w:val="18"/>
              </w:rPr>
            </w:pPr>
            <w:r w:rsidRPr="00BD16B4">
              <w:rPr>
                <w:szCs w:val="18"/>
              </w:rPr>
              <w:t>3,374.09</w:t>
            </w:r>
          </w:p>
        </w:tc>
        <w:tc>
          <w:tcPr>
            <w:tcW w:w="1191" w:type="dxa"/>
          </w:tcPr>
          <w:p w14:paraId="59EA1D7F" w14:textId="77777777" w:rsidR="00ED2EBD" w:rsidRPr="00BD16B4" w:rsidRDefault="00ED2EBD" w:rsidP="004A205F">
            <w:pPr>
              <w:pStyle w:val="TableText"/>
              <w:spacing w:before="40" w:after="40"/>
              <w:jc w:val="right"/>
              <w:rPr>
                <w:szCs w:val="18"/>
              </w:rPr>
            </w:pPr>
            <w:r w:rsidRPr="00BD16B4">
              <w:rPr>
                <w:szCs w:val="18"/>
              </w:rPr>
              <w:t>3,213.46</w:t>
            </w:r>
          </w:p>
        </w:tc>
        <w:tc>
          <w:tcPr>
            <w:tcW w:w="1191" w:type="dxa"/>
          </w:tcPr>
          <w:p w14:paraId="057A6F67" w14:textId="77777777" w:rsidR="00ED2EBD" w:rsidRPr="00BD16B4" w:rsidRDefault="00ED2EBD" w:rsidP="004A205F">
            <w:pPr>
              <w:pStyle w:val="TableText"/>
              <w:spacing w:before="40" w:after="40"/>
              <w:jc w:val="right"/>
              <w:rPr>
                <w:szCs w:val="18"/>
              </w:rPr>
            </w:pPr>
            <w:r w:rsidRPr="00BD16B4">
              <w:rPr>
                <w:szCs w:val="18"/>
              </w:rPr>
              <w:t>3,082.80</w:t>
            </w:r>
          </w:p>
        </w:tc>
        <w:tc>
          <w:tcPr>
            <w:tcW w:w="1191" w:type="dxa"/>
          </w:tcPr>
          <w:p w14:paraId="451062DD" w14:textId="77777777" w:rsidR="00ED2EBD" w:rsidRPr="00BD16B4" w:rsidRDefault="00ED2EBD" w:rsidP="004A205F">
            <w:pPr>
              <w:pStyle w:val="TableText"/>
              <w:spacing w:before="40" w:after="40"/>
              <w:jc w:val="right"/>
              <w:rPr>
                <w:szCs w:val="18"/>
              </w:rPr>
            </w:pPr>
            <w:r w:rsidRPr="00BD16B4">
              <w:rPr>
                <w:szCs w:val="18"/>
              </w:rPr>
              <w:t>3,174.43</w:t>
            </w:r>
          </w:p>
        </w:tc>
        <w:tc>
          <w:tcPr>
            <w:tcW w:w="1191" w:type="dxa"/>
          </w:tcPr>
          <w:p w14:paraId="20AD84B7" w14:textId="77777777" w:rsidR="00ED2EBD" w:rsidRPr="00BD16B4" w:rsidRDefault="00ED2EBD" w:rsidP="004A205F">
            <w:pPr>
              <w:pStyle w:val="TableText"/>
              <w:spacing w:before="40" w:after="40"/>
              <w:jc w:val="right"/>
              <w:rPr>
                <w:szCs w:val="18"/>
              </w:rPr>
            </w:pPr>
            <w:r w:rsidRPr="00BD16B4">
              <w:rPr>
                <w:szCs w:val="18"/>
              </w:rPr>
              <w:t>3,365.55</w:t>
            </w:r>
          </w:p>
        </w:tc>
        <w:tc>
          <w:tcPr>
            <w:tcW w:w="1191" w:type="dxa"/>
          </w:tcPr>
          <w:p w14:paraId="3BC91E72" w14:textId="77777777" w:rsidR="00ED2EBD" w:rsidRPr="00BD16B4" w:rsidRDefault="00ED2EBD" w:rsidP="004A205F">
            <w:pPr>
              <w:pStyle w:val="TableText"/>
              <w:spacing w:before="40" w:after="40"/>
              <w:jc w:val="right"/>
              <w:rPr>
                <w:szCs w:val="18"/>
              </w:rPr>
            </w:pPr>
            <w:r w:rsidRPr="00BD16B4">
              <w:rPr>
                <w:szCs w:val="18"/>
              </w:rPr>
              <w:t>3,253.36</w:t>
            </w:r>
          </w:p>
        </w:tc>
        <w:tc>
          <w:tcPr>
            <w:tcW w:w="1191" w:type="dxa"/>
          </w:tcPr>
          <w:p w14:paraId="2DA1DD92" w14:textId="77777777" w:rsidR="00ED2EBD" w:rsidRPr="00BD16B4" w:rsidRDefault="00ED2EBD" w:rsidP="004A205F">
            <w:pPr>
              <w:pStyle w:val="TableText"/>
              <w:spacing w:before="40" w:after="40"/>
              <w:jc w:val="right"/>
              <w:rPr>
                <w:szCs w:val="18"/>
              </w:rPr>
            </w:pPr>
            <w:r w:rsidRPr="00BD16B4">
              <w:rPr>
                <w:szCs w:val="18"/>
              </w:rPr>
              <w:t>3,237.01</w:t>
            </w:r>
          </w:p>
        </w:tc>
      </w:tr>
      <w:tr w:rsidR="00ED2EBD" w:rsidRPr="00BD16B4" w14:paraId="67EE439F" w14:textId="77777777" w:rsidTr="003F321F">
        <w:tc>
          <w:tcPr>
            <w:tcW w:w="2495" w:type="dxa"/>
          </w:tcPr>
          <w:p w14:paraId="555CE3C6" w14:textId="58B3C838" w:rsidR="00ED2EBD" w:rsidRPr="00BD16B4" w:rsidRDefault="00ED2EBD" w:rsidP="004A205F">
            <w:pPr>
              <w:pStyle w:val="TableText"/>
              <w:spacing w:before="40" w:after="40"/>
              <w:rPr>
                <w:szCs w:val="18"/>
              </w:rPr>
            </w:pPr>
            <w:r w:rsidRPr="00BD16B4">
              <w:rPr>
                <w:szCs w:val="18"/>
              </w:rPr>
              <w:t>3.</w:t>
            </w:r>
            <w:r w:rsidR="00280979" w:rsidRPr="00BD16B4">
              <w:rPr>
                <w:szCs w:val="18"/>
              </w:rPr>
              <w:t xml:space="preserve"> </w:t>
            </w:r>
            <w:r w:rsidRPr="00BD16B4">
              <w:rPr>
                <w:szCs w:val="18"/>
              </w:rPr>
              <w:t xml:space="preserve">Agriculture </w:t>
            </w:r>
          </w:p>
        </w:tc>
        <w:tc>
          <w:tcPr>
            <w:tcW w:w="1418" w:type="dxa"/>
          </w:tcPr>
          <w:p w14:paraId="679AF460" w14:textId="77777777" w:rsidR="00ED2EBD" w:rsidRPr="00BD16B4" w:rsidRDefault="00ED2EBD" w:rsidP="004A205F">
            <w:pPr>
              <w:pStyle w:val="TableText"/>
              <w:spacing w:before="40" w:after="40"/>
              <w:jc w:val="right"/>
              <w:rPr>
                <w:szCs w:val="18"/>
              </w:rPr>
            </w:pPr>
            <w:r w:rsidRPr="00BD16B4">
              <w:rPr>
                <w:szCs w:val="18"/>
              </w:rPr>
              <w:t>33,792.88</w:t>
            </w:r>
          </w:p>
        </w:tc>
        <w:tc>
          <w:tcPr>
            <w:tcW w:w="1191" w:type="dxa"/>
          </w:tcPr>
          <w:p w14:paraId="3E9DF1B9" w14:textId="77777777" w:rsidR="00ED2EBD" w:rsidRPr="00BD16B4" w:rsidRDefault="00ED2EBD" w:rsidP="004A205F">
            <w:pPr>
              <w:pStyle w:val="TableText"/>
              <w:spacing w:before="40" w:after="40"/>
              <w:jc w:val="right"/>
              <w:rPr>
                <w:szCs w:val="18"/>
              </w:rPr>
            </w:pPr>
            <w:r w:rsidRPr="00BD16B4">
              <w:rPr>
                <w:szCs w:val="18"/>
              </w:rPr>
              <w:t>34,022.51</w:t>
            </w:r>
          </w:p>
        </w:tc>
        <w:tc>
          <w:tcPr>
            <w:tcW w:w="1191" w:type="dxa"/>
          </w:tcPr>
          <w:p w14:paraId="4C4F20CB" w14:textId="77777777" w:rsidR="00ED2EBD" w:rsidRPr="00BD16B4" w:rsidRDefault="00ED2EBD" w:rsidP="004A205F">
            <w:pPr>
              <w:pStyle w:val="TableText"/>
              <w:spacing w:before="40" w:after="40"/>
              <w:jc w:val="right"/>
              <w:rPr>
                <w:szCs w:val="18"/>
              </w:rPr>
            </w:pPr>
            <w:r w:rsidRPr="00BD16B4">
              <w:rPr>
                <w:szCs w:val="18"/>
              </w:rPr>
              <w:t>33,570.98</w:t>
            </w:r>
          </w:p>
        </w:tc>
        <w:tc>
          <w:tcPr>
            <w:tcW w:w="1191" w:type="dxa"/>
          </w:tcPr>
          <w:p w14:paraId="12A9FCBE" w14:textId="77777777" w:rsidR="00ED2EBD" w:rsidRPr="00BD16B4" w:rsidRDefault="00ED2EBD" w:rsidP="004A205F">
            <w:pPr>
              <w:pStyle w:val="TableText"/>
              <w:spacing w:before="40" w:after="40"/>
              <w:jc w:val="right"/>
              <w:rPr>
                <w:szCs w:val="18"/>
              </w:rPr>
            </w:pPr>
            <w:r w:rsidRPr="00BD16B4">
              <w:rPr>
                <w:szCs w:val="18"/>
              </w:rPr>
              <w:t>33,956.39</w:t>
            </w:r>
          </w:p>
        </w:tc>
        <w:tc>
          <w:tcPr>
            <w:tcW w:w="1191" w:type="dxa"/>
          </w:tcPr>
          <w:p w14:paraId="1E51B534" w14:textId="77777777" w:rsidR="00ED2EBD" w:rsidRPr="00BD16B4" w:rsidRDefault="00ED2EBD" w:rsidP="004A205F">
            <w:pPr>
              <w:pStyle w:val="TableText"/>
              <w:spacing w:before="40" w:after="40"/>
              <w:jc w:val="right"/>
              <w:rPr>
                <w:szCs w:val="18"/>
              </w:rPr>
            </w:pPr>
            <w:r w:rsidRPr="00BD16B4">
              <w:rPr>
                <w:szCs w:val="18"/>
              </w:rPr>
              <w:t>35,133.36</w:t>
            </w:r>
          </w:p>
        </w:tc>
        <w:tc>
          <w:tcPr>
            <w:tcW w:w="1191" w:type="dxa"/>
          </w:tcPr>
          <w:p w14:paraId="3FA15DDD" w14:textId="77777777" w:rsidR="00ED2EBD" w:rsidRPr="00BD16B4" w:rsidRDefault="00ED2EBD" w:rsidP="004A205F">
            <w:pPr>
              <w:pStyle w:val="TableText"/>
              <w:spacing w:before="40" w:after="40"/>
              <w:jc w:val="right"/>
              <w:rPr>
                <w:szCs w:val="18"/>
              </w:rPr>
            </w:pPr>
            <w:r w:rsidRPr="00BD16B4">
              <w:rPr>
                <w:szCs w:val="18"/>
              </w:rPr>
              <w:t>35,734.70</w:t>
            </w:r>
          </w:p>
        </w:tc>
        <w:tc>
          <w:tcPr>
            <w:tcW w:w="1191" w:type="dxa"/>
          </w:tcPr>
          <w:p w14:paraId="2C9AB630" w14:textId="77777777" w:rsidR="00ED2EBD" w:rsidRPr="00BD16B4" w:rsidRDefault="00ED2EBD" w:rsidP="004A205F">
            <w:pPr>
              <w:pStyle w:val="TableText"/>
              <w:spacing w:before="40" w:after="40"/>
              <w:jc w:val="right"/>
              <w:rPr>
                <w:szCs w:val="18"/>
              </w:rPr>
            </w:pPr>
            <w:r w:rsidRPr="00BD16B4">
              <w:rPr>
                <w:szCs w:val="18"/>
              </w:rPr>
              <w:t>36,038.26</w:t>
            </w:r>
          </w:p>
        </w:tc>
        <w:tc>
          <w:tcPr>
            <w:tcW w:w="1191" w:type="dxa"/>
          </w:tcPr>
          <w:p w14:paraId="464C0D2E" w14:textId="77777777" w:rsidR="00ED2EBD" w:rsidRPr="00BD16B4" w:rsidRDefault="00ED2EBD" w:rsidP="004A205F">
            <w:pPr>
              <w:pStyle w:val="TableText"/>
              <w:spacing w:before="40" w:after="40"/>
              <w:jc w:val="right"/>
              <w:rPr>
                <w:szCs w:val="18"/>
              </w:rPr>
            </w:pPr>
            <w:r w:rsidRPr="00BD16B4">
              <w:rPr>
                <w:szCs w:val="18"/>
              </w:rPr>
              <w:t>36,893.06</w:t>
            </w:r>
          </w:p>
        </w:tc>
        <w:tc>
          <w:tcPr>
            <w:tcW w:w="1191" w:type="dxa"/>
          </w:tcPr>
          <w:p w14:paraId="6EA26AF6" w14:textId="77777777" w:rsidR="00ED2EBD" w:rsidRPr="00BD16B4" w:rsidRDefault="00ED2EBD" w:rsidP="004A205F">
            <w:pPr>
              <w:pStyle w:val="TableText"/>
              <w:spacing w:before="40" w:after="40"/>
              <w:jc w:val="right"/>
              <w:rPr>
                <w:szCs w:val="18"/>
              </w:rPr>
            </w:pPr>
            <w:r w:rsidRPr="00BD16B4">
              <w:rPr>
                <w:szCs w:val="18"/>
              </w:rPr>
              <w:t>36,287.58</w:t>
            </w:r>
          </w:p>
        </w:tc>
      </w:tr>
      <w:tr w:rsidR="00ED2EBD" w:rsidRPr="00BD16B4" w14:paraId="6F23501F" w14:textId="77777777" w:rsidTr="003F321F">
        <w:tc>
          <w:tcPr>
            <w:tcW w:w="2495" w:type="dxa"/>
          </w:tcPr>
          <w:p w14:paraId="3AA5061A" w14:textId="30B2AC0A" w:rsidR="00ED2EBD" w:rsidRPr="00BD16B4" w:rsidRDefault="00ED2EBD" w:rsidP="004A205F">
            <w:pPr>
              <w:pStyle w:val="TableText"/>
              <w:spacing w:before="40" w:after="40"/>
              <w:rPr>
                <w:szCs w:val="18"/>
              </w:rPr>
            </w:pPr>
            <w:r w:rsidRPr="00BD16B4">
              <w:rPr>
                <w:szCs w:val="18"/>
              </w:rPr>
              <w:t>4.</w:t>
            </w:r>
            <w:r w:rsidR="00280979" w:rsidRPr="00BD16B4">
              <w:rPr>
                <w:szCs w:val="18"/>
              </w:rPr>
              <w:t xml:space="preserve"> </w:t>
            </w:r>
            <w:r w:rsidRPr="00BD16B4">
              <w:rPr>
                <w:szCs w:val="18"/>
              </w:rPr>
              <w:t>Land Use, Land-Use Change and Forestry*</w:t>
            </w:r>
          </w:p>
        </w:tc>
        <w:tc>
          <w:tcPr>
            <w:tcW w:w="1418" w:type="dxa"/>
          </w:tcPr>
          <w:p w14:paraId="67E7D707" w14:textId="77777777" w:rsidR="00ED2EBD" w:rsidRPr="00BD16B4" w:rsidRDefault="00ED2EBD" w:rsidP="004A205F">
            <w:pPr>
              <w:pStyle w:val="TableText"/>
              <w:spacing w:before="40" w:after="40"/>
              <w:jc w:val="right"/>
              <w:rPr>
                <w:szCs w:val="18"/>
              </w:rPr>
            </w:pPr>
            <w:r w:rsidRPr="00BD16B4">
              <w:rPr>
                <w:szCs w:val="18"/>
              </w:rPr>
              <w:t>-21,229.22</w:t>
            </w:r>
          </w:p>
        </w:tc>
        <w:tc>
          <w:tcPr>
            <w:tcW w:w="1191" w:type="dxa"/>
          </w:tcPr>
          <w:p w14:paraId="4431219A" w14:textId="77777777" w:rsidR="00ED2EBD" w:rsidRPr="00BD16B4" w:rsidRDefault="00ED2EBD" w:rsidP="004A205F">
            <w:pPr>
              <w:pStyle w:val="TableText"/>
              <w:spacing w:before="40" w:after="40"/>
              <w:jc w:val="right"/>
              <w:rPr>
                <w:szCs w:val="18"/>
              </w:rPr>
            </w:pPr>
            <w:r w:rsidRPr="00BD16B4">
              <w:rPr>
                <w:szCs w:val="18"/>
              </w:rPr>
              <w:t>-23,276.63</w:t>
            </w:r>
          </w:p>
        </w:tc>
        <w:tc>
          <w:tcPr>
            <w:tcW w:w="1191" w:type="dxa"/>
          </w:tcPr>
          <w:p w14:paraId="2BE2E6AA" w14:textId="77777777" w:rsidR="00ED2EBD" w:rsidRPr="00BD16B4" w:rsidRDefault="00ED2EBD" w:rsidP="004A205F">
            <w:pPr>
              <w:pStyle w:val="TableText"/>
              <w:spacing w:before="40" w:after="40"/>
              <w:jc w:val="right"/>
              <w:rPr>
                <w:szCs w:val="18"/>
              </w:rPr>
            </w:pPr>
            <w:r w:rsidRPr="00BD16B4">
              <w:rPr>
                <w:szCs w:val="18"/>
              </w:rPr>
              <w:t>-23,044.46</w:t>
            </w:r>
          </w:p>
        </w:tc>
        <w:tc>
          <w:tcPr>
            <w:tcW w:w="1191" w:type="dxa"/>
          </w:tcPr>
          <w:p w14:paraId="3AB7D9CE" w14:textId="77777777" w:rsidR="00ED2EBD" w:rsidRPr="00BD16B4" w:rsidRDefault="00ED2EBD" w:rsidP="004A205F">
            <w:pPr>
              <w:pStyle w:val="TableText"/>
              <w:spacing w:before="40" w:after="40"/>
              <w:jc w:val="right"/>
              <w:rPr>
                <w:szCs w:val="18"/>
              </w:rPr>
            </w:pPr>
            <w:r w:rsidRPr="00BD16B4">
              <w:rPr>
                <w:szCs w:val="18"/>
              </w:rPr>
              <w:t>-23,841.53</w:t>
            </w:r>
          </w:p>
        </w:tc>
        <w:tc>
          <w:tcPr>
            <w:tcW w:w="1191" w:type="dxa"/>
          </w:tcPr>
          <w:p w14:paraId="3A2B89B4" w14:textId="77777777" w:rsidR="00ED2EBD" w:rsidRPr="00BD16B4" w:rsidRDefault="00ED2EBD" w:rsidP="004A205F">
            <w:pPr>
              <w:pStyle w:val="TableText"/>
              <w:spacing w:before="40" w:after="40"/>
              <w:jc w:val="right"/>
              <w:rPr>
                <w:szCs w:val="18"/>
              </w:rPr>
            </w:pPr>
            <w:r w:rsidRPr="00BD16B4">
              <w:rPr>
                <w:szCs w:val="18"/>
              </w:rPr>
              <w:t>-23,633.88</w:t>
            </w:r>
          </w:p>
        </w:tc>
        <w:tc>
          <w:tcPr>
            <w:tcW w:w="1191" w:type="dxa"/>
          </w:tcPr>
          <w:p w14:paraId="334E9E60" w14:textId="77777777" w:rsidR="00ED2EBD" w:rsidRPr="00BD16B4" w:rsidRDefault="00ED2EBD" w:rsidP="004A205F">
            <w:pPr>
              <w:pStyle w:val="TableText"/>
              <w:spacing w:before="40" w:after="40"/>
              <w:jc w:val="right"/>
              <w:rPr>
                <w:szCs w:val="18"/>
              </w:rPr>
            </w:pPr>
            <w:r w:rsidRPr="00BD16B4">
              <w:rPr>
                <w:szCs w:val="18"/>
              </w:rPr>
              <w:t>-22,445.90</w:t>
            </w:r>
          </w:p>
        </w:tc>
        <w:tc>
          <w:tcPr>
            <w:tcW w:w="1191" w:type="dxa"/>
          </w:tcPr>
          <w:p w14:paraId="6A1E9680" w14:textId="77777777" w:rsidR="00ED2EBD" w:rsidRPr="00BD16B4" w:rsidRDefault="00ED2EBD" w:rsidP="004A205F">
            <w:pPr>
              <w:pStyle w:val="TableText"/>
              <w:spacing w:before="40" w:after="40"/>
              <w:jc w:val="right"/>
              <w:rPr>
                <w:szCs w:val="18"/>
              </w:rPr>
            </w:pPr>
            <w:r w:rsidRPr="00BD16B4">
              <w:rPr>
                <w:szCs w:val="18"/>
              </w:rPr>
              <w:t>-21,984.50</w:t>
            </w:r>
          </w:p>
        </w:tc>
        <w:tc>
          <w:tcPr>
            <w:tcW w:w="1191" w:type="dxa"/>
          </w:tcPr>
          <w:p w14:paraId="32808D3C" w14:textId="77777777" w:rsidR="00ED2EBD" w:rsidRPr="00BD16B4" w:rsidRDefault="00ED2EBD" w:rsidP="004A205F">
            <w:pPr>
              <w:pStyle w:val="TableText"/>
              <w:spacing w:before="40" w:after="40"/>
              <w:jc w:val="right"/>
              <w:rPr>
                <w:szCs w:val="18"/>
              </w:rPr>
            </w:pPr>
            <w:r w:rsidRPr="00BD16B4">
              <w:rPr>
                <w:szCs w:val="18"/>
              </w:rPr>
              <w:t>-22,623.64</w:t>
            </w:r>
          </w:p>
        </w:tc>
        <w:tc>
          <w:tcPr>
            <w:tcW w:w="1191" w:type="dxa"/>
          </w:tcPr>
          <w:p w14:paraId="08B6FD62" w14:textId="77777777" w:rsidR="00ED2EBD" w:rsidRPr="00BD16B4" w:rsidRDefault="00ED2EBD" w:rsidP="004A205F">
            <w:pPr>
              <w:pStyle w:val="TableText"/>
              <w:spacing w:before="40" w:after="40"/>
              <w:jc w:val="right"/>
              <w:rPr>
                <w:szCs w:val="18"/>
              </w:rPr>
            </w:pPr>
            <w:r w:rsidRPr="00BD16B4">
              <w:rPr>
                <w:szCs w:val="18"/>
              </w:rPr>
              <w:t>-23,259.21</w:t>
            </w:r>
          </w:p>
        </w:tc>
      </w:tr>
      <w:tr w:rsidR="00ED2EBD" w:rsidRPr="00BD16B4" w14:paraId="69327587" w14:textId="77777777" w:rsidTr="003F321F">
        <w:tc>
          <w:tcPr>
            <w:tcW w:w="2495" w:type="dxa"/>
          </w:tcPr>
          <w:p w14:paraId="38C5A5F4" w14:textId="0A2C507E" w:rsidR="00ED2EBD" w:rsidRPr="00BD16B4" w:rsidRDefault="00ED2EBD" w:rsidP="004A205F">
            <w:pPr>
              <w:pStyle w:val="TableText"/>
              <w:spacing w:before="40" w:after="40"/>
              <w:rPr>
                <w:szCs w:val="18"/>
              </w:rPr>
            </w:pPr>
            <w:r w:rsidRPr="00BD16B4">
              <w:rPr>
                <w:szCs w:val="18"/>
              </w:rPr>
              <w:t>5.</w:t>
            </w:r>
            <w:r w:rsidR="00280979" w:rsidRPr="00BD16B4">
              <w:rPr>
                <w:szCs w:val="18"/>
              </w:rPr>
              <w:t xml:space="preserve"> </w:t>
            </w:r>
            <w:r w:rsidRPr="00BD16B4">
              <w:rPr>
                <w:szCs w:val="18"/>
              </w:rPr>
              <w:t xml:space="preserve">Waste </w:t>
            </w:r>
          </w:p>
        </w:tc>
        <w:tc>
          <w:tcPr>
            <w:tcW w:w="1418" w:type="dxa"/>
          </w:tcPr>
          <w:p w14:paraId="117C62AD" w14:textId="77777777" w:rsidR="00ED2EBD" w:rsidRPr="00BD16B4" w:rsidRDefault="00ED2EBD" w:rsidP="004A205F">
            <w:pPr>
              <w:pStyle w:val="TableText"/>
              <w:spacing w:before="40" w:after="40"/>
              <w:jc w:val="right"/>
              <w:rPr>
                <w:szCs w:val="18"/>
              </w:rPr>
            </w:pPr>
            <w:r w:rsidRPr="00BD16B4">
              <w:rPr>
                <w:szCs w:val="18"/>
              </w:rPr>
              <w:t>3,943.11</w:t>
            </w:r>
          </w:p>
        </w:tc>
        <w:tc>
          <w:tcPr>
            <w:tcW w:w="1191" w:type="dxa"/>
          </w:tcPr>
          <w:p w14:paraId="6BE242F0" w14:textId="77777777" w:rsidR="00ED2EBD" w:rsidRPr="00BD16B4" w:rsidRDefault="00ED2EBD" w:rsidP="004A205F">
            <w:pPr>
              <w:pStyle w:val="TableText"/>
              <w:spacing w:before="40" w:after="40"/>
              <w:jc w:val="right"/>
              <w:rPr>
                <w:szCs w:val="18"/>
              </w:rPr>
            </w:pPr>
            <w:r w:rsidRPr="00BD16B4">
              <w:rPr>
                <w:szCs w:val="18"/>
              </w:rPr>
              <w:t>4,053.49</w:t>
            </w:r>
          </w:p>
        </w:tc>
        <w:tc>
          <w:tcPr>
            <w:tcW w:w="1191" w:type="dxa"/>
          </w:tcPr>
          <w:p w14:paraId="622EE4F3" w14:textId="77777777" w:rsidR="00ED2EBD" w:rsidRPr="00BD16B4" w:rsidRDefault="00ED2EBD" w:rsidP="004A205F">
            <w:pPr>
              <w:pStyle w:val="TableText"/>
              <w:spacing w:before="40" w:after="40"/>
              <w:jc w:val="right"/>
              <w:rPr>
                <w:szCs w:val="18"/>
              </w:rPr>
            </w:pPr>
            <w:r w:rsidRPr="00BD16B4">
              <w:rPr>
                <w:szCs w:val="18"/>
              </w:rPr>
              <w:t>4,155.50</w:t>
            </w:r>
          </w:p>
        </w:tc>
        <w:tc>
          <w:tcPr>
            <w:tcW w:w="1191" w:type="dxa"/>
          </w:tcPr>
          <w:p w14:paraId="3C12308B" w14:textId="77777777" w:rsidR="00ED2EBD" w:rsidRPr="00BD16B4" w:rsidRDefault="00ED2EBD" w:rsidP="004A205F">
            <w:pPr>
              <w:pStyle w:val="TableText"/>
              <w:spacing w:before="40" w:after="40"/>
              <w:jc w:val="right"/>
              <w:rPr>
                <w:szCs w:val="18"/>
              </w:rPr>
            </w:pPr>
            <w:r w:rsidRPr="00BD16B4">
              <w:rPr>
                <w:szCs w:val="18"/>
              </w:rPr>
              <w:t>4,258.37</w:t>
            </w:r>
          </w:p>
        </w:tc>
        <w:tc>
          <w:tcPr>
            <w:tcW w:w="1191" w:type="dxa"/>
          </w:tcPr>
          <w:p w14:paraId="20DD1E6A" w14:textId="77777777" w:rsidR="00ED2EBD" w:rsidRPr="00BD16B4" w:rsidRDefault="00ED2EBD" w:rsidP="004A205F">
            <w:pPr>
              <w:pStyle w:val="TableText"/>
              <w:spacing w:before="40" w:after="40"/>
              <w:jc w:val="right"/>
              <w:rPr>
                <w:szCs w:val="18"/>
              </w:rPr>
            </w:pPr>
            <w:r w:rsidRPr="00BD16B4">
              <w:rPr>
                <w:szCs w:val="18"/>
              </w:rPr>
              <w:t>4,142.48</w:t>
            </w:r>
          </w:p>
        </w:tc>
        <w:tc>
          <w:tcPr>
            <w:tcW w:w="1191" w:type="dxa"/>
          </w:tcPr>
          <w:p w14:paraId="5DE47AC8" w14:textId="77777777" w:rsidR="00ED2EBD" w:rsidRPr="00BD16B4" w:rsidRDefault="00ED2EBD" w:rsidP="004A205F">
            <w:pPr>
              <w:pStyle w:val="TableText"/>
              <w:spacing w:before="40" w:after="40"/>
              <w:jc w:val="right"/>
              <w:rPr>
                <w:szCs w:val="18"/>
              </w:rPr>
            </w:pPr>
            <w:r w:rsidRPr="00BD16B4">
              <w:rPr>
                <w:szCs w:val="18"/>
              </w:rPr>
              <w:t>4,234.51</w:t>
            </w:r>
          </w:p>
        </w:tc>
        <w:tc>
          <w:tcPr>
            <w:tcW w:w="1191" w:type="dxa"/>
          </w:tcPr>
          <w:p w14:paraId="2147464A" w14:textId="77777777" w:rsidR="00ED2EBD" w:rsidRPr="00BD16B4" w:rsidRDefault="00ED2EBD" w:rsidP="004A205F">
            <w:pPr>
              <w:pStyle w:val="TableText"/>
              <w:spacing w:before="40" w:after="40"/>
              <w:jc w:val="right"/>
              <w:rPr>
                <w:szCs w:val="18"/>
              </w:rPr>
            </w:pPr>
            <w:r w:rsidRPr="00BD16B4">
              <w:rPr>
                <w:szCs w:val="18"/>
              </w:rPr>
              <w:t>4,322.41</w:t>
            </w:r>
          </w:p>
        </w:tc>
        <w:tc>
          <w:tcPr>
            <w:tcW w:w="1191" w:type="dxa"/>
          </w:tcPr>
          <w:p w14:paraId="4660537C" w14:textId="77777777" w:rsidR="00ED2EBD" w:rsidRPr="00BD16B4" w:rsidRDefault="00ED2EBD" w:rsidP="004A205F">
            <w:pPr>
              <w:pStyle w:val="TableText"/>
              <w:spacing w:before="40" w:after="40"/>
              <w:jc w:val="right"/>
              <w:rPr>
                <w:szCs w:val="18"/>
              </w:rPr>
            </w:pPr>
            <w:r w:rsidRPr="00BD16B4">
              <w:rPr>
                <w:szCs w:val="18"/>
              </w:rPr>
              <w:t>4,383.88</w:t>
            </w:r>
          </w:p>
        </w:tc>
        <w:tc>
          <w:tcPr>
            <w:tcW w:w="1191" w:type="dxa"/>
          </w:tcPr>
          <w:p w14:paraId="786F8446" w14:textId="77777777" w:rsidR="00ED2EBD" w:rsidRPr="00BD16B4" w:rsidRDefault="00ED2EBD" w:rsidP="004A205F">
            <w:pPr>
              <w:pStyle w:val="TableText"/>
              <w:spacing w:before="40" w:after="40"/>
              <w:jc w:val="right"/>
              <w:rPr>
                <w:szCs w:val="18"/>
              </w:rPr>
            </w:pPr>
            <w:r w:rsidRPr="00BD16B4">
              <w:rPr>
                <w:szCs w:val="18"/>
              </w:rPr>
              <w:t>4,382.31</w:t>
            </w:r>
          </w:p>
        </w:tc>
      </w:tr>
      <w:tr w:rsidR="00ED2EBD" w:rsidRPr="00BD16B4" w14:paraId="5DF30344" w14:textId="77777777" w:rsidTr="003F321F">
        <w:tc>
          <w:tcPr>
            <w:tcW w:w="2495" w:type="dxa"/>
          </w:tcPr>
          <w:p w14:paraId="4FD39EDF" w14:textId="0CB2F575" w:rsidR="00ED2EBD" w:rsidRPr="00BD16B4" w:rsidRDefault="00ED2EBD" w:rsidP="004A205F">
            <w:pPr>
              <w:pStyle w:val="TableText"/>
              <w:spacing w:before="40" w:after="40"/>
              <w:rPr>
                <w:szCs w:val="18"/>
              </w:rPr>
            </w:pPr>
            <w:r w:rsidRPr="00BD16B4">
              <w:rPr>
                <w:szCs w:val="18"/>
              </w:rPr>
              <w:t>6.</w:t>
            </w:r>
            <w:r w:rsidR="00280979" w:rsidRPr="00BD16B4">
              <w:rPr>
                <w:szCs w:val="18"/>
              </w:rPr>
              <w:t xml:space="preserve"> </w:t>
            </w:r>
            <w:r w:rsidRPr="00BD16B4">
              <w:rPr>
                <w:szCs w:val="18"/>
              </w:rPr>
              <w:t>Other</w:t>
            </w:r>
          </w:p>
        </w:tc>
        <w:tc>
          <w:tcPr>
            <w:tcW w:w="1418" w:type="dxa"/>
          </w:tcPr>
          <w:p w14:paraId="0482C142" w14:textId="77777777" w:rsidR="00ED2EBD" w:rsidRPr="00BD16B4" w:rsidRDefault="00ED2EBD" w:rsidP="004A205F">
            <w:pPr>
              <w:pStyle w:val="TableText"/>
              <w:spacing w:before="40" w:after="40"/>
              <w:jc w:val="right"/>
              <w:rPr>
                <w:szCs w:val="18"/>
              </w:rPr>
            </w:pPr>
            <w:r w:rsidRPr="00BD16B4">
              <w:rPr>
                <w:szCs w:val="18"/>
              </w:rPr>
              <w:t>3.17</w:t>
            </w:r>
          </w:p>
        </w:tc>
        <w:tc>
          <w:tcPr>
            <w:tcW w:w="1191" w:type="dxa"/>
          </w:tcPr>
          <w:p w14:paraId="273CB833" w14:textId="77777777" w:rsidR="00ED2EBD" w:rsidRPr="00BD16B4" w:rsidRDefault="00ED2EBD" w:rsidP="004A205F">
            <w:pPr>
              <w:pStyle w:val="TableText"/>
              <w:spacing w:before="40" w:after="40"/>
              <w:jc w:val="right"/>
              <w:rPr>
                <w:szCs w:val="18"/>
              </w:rPr>
            </w:pPr>
            <w:r w:rsidRPr="00BD16B4">
              <w:rPr>
                <w:szCs w:val="18"/>
              </w:rPr>
              <w:t>3.28</w:t>
            </w:r>
          </w:p>
        </w:tc>
        <w:tc>
          <w:tcPr>
            <w:tcW w:w="1191" w:type="dxa"/>
          </w:tcPr>
          <w:p w14:paraId="5F735158" w14:textId="77777777" w:rsidR="00ED2EBD" w:rsidRPr="00BD16B4" w:rsidRDefault="00ED2EBD" w:rsidP="004A205F">
            <w:pPr>
              <w:pStyle w:val="TableText"/>
              <w:spacing w:before="40" w:after="40"/>
              <w:jc w:val="right"/>
              <w:rPr>
                <w:szCs w:val="18"/>
              </w:rPr>
            </w:pPr>
            <w:r w:rsidRPr="00BD16B4">
              <w:rPr>
                <w:szCs w:val="18"/>
              </w:rPr>
              <w:t>3.24</w:t>
            </w:r>
          </w:p>
        </w:tc>
        <w:tc>
          <w:tcPr>
            <w:tcW w:w="1191" w:type="dxa"/>
          </w:tcPr>
          <w:p w14:paraId="66048E7C" w14:textId="77777777" w:rsidR="00ED2EBD" w:rsidRPr="00BD16B4" w:rsidRDefault="00ED2EBD" w:rsidP="004A205F">
            <w:pPr>
              <w:pStyle w:val="TableText"/>
              <w:spacing w:before="40" w:after="40"/>
              <w:jc w:val="right"/>
              <w:rPr>
                <w:szCs w:val="18"/>
              </w:rPr>
            </w:pPr>
            <w:r w:rsidRPr="00BD16B4">
              <w:rPr>
                <w:szCs w:val="18"/>
              </w:rPr>
              <w:t>3.21</w:t>
            </w:r>
          </w:p>
        </w:tc>
        <w:tc>
          <w:tcPr>
            <w:tcW w:w="1191" w:type="dxa"/>
          </w:tcPr>
          <w:p w14:paraId="57DB0C01" w14:textId="77777777" w:rsidR="00ED2EBD" w:rsidRPr="00BD16B4" w:rsidRDefault="00ED2EBD" w:rsidP="004A205F">
            <w:pPr>
              <w:pStyle w:val="TableText"/>
              <w:spacing w:before="40" w:after="40"/>
              <w:jc w:val="right"/>
              <w:rPr>
                <w:szCs w:val="18"/>
              </w:rPr>
            </w:pPr>
            <w:r w:rsidRPr="00BD16B4">
              <w:rPr>
                <w:szCs w:val="18"/>
              </w:rPr>
              <w:t>3.17</w:t>
            </w:r>
          </w:p>
        </w:tc>
        <w:tc>
          <w:tcPr>
            <w:tcW w:w="1191" w:type="dxa"/>
          </w:tcPr>
          <w:p w14:paraId="09685DDB" w14:textId="77777777" w:rsidR="00ED2EBD" w:rsidRPr="00BD16B4" w:rsidRDefault="00ED2EBD" w:rsidP="004A205F">
            <w:pPr>
              <w:pStyle w:val="TableText"/>
              <w:spacing w:before="40" w:after="40"/>
              <w:jc w:val="right"/>
              <w:rPr>
                <w:szCs w:val="18"/>
              </w:rPr>
            </w:pPr>
            <w:r w:rsidRPr="00BD16B4">
              <w:rPr>
                <w:szCs w:val="18"/>
              </w:rPr>
              <w:t>3.14</w:t>
            </w:r>
          </w:p>
        </w:tc>
        <w:tc>
          <w:tcPr>
            <w:tcW w:w="1191" w:type="dxa"/>
          </w:tcPr>
          <w:p w14:paraId="03E545B9" w14:textId="77777777" w:rsidR="00ED2EBD" w:rsidRPr="00BD16B4" w:rsidRDefault="00ED2EBD" w:rsidP="004A205F">
            <w:pPr>
              <w:pStyle w:val="TableText"/>
              <w:spacing w:before="40" w:after="40"/>
              <w:jc w:val="right"/>
              <w:rPr>
                <w:szCs w:val="18"/>
              </w:rPr>
            </w:pPr>
            <w:r w:rsidRPr="00BD16B4">
              <w:rPr>
                <w:szCs w:val="18"/>
              </w:rPr>
              <w:t>3.11</w:t>
            </w:r>
          </w:p>
        </w:tc>
        <w:tc>
          <w:tcPr>
            <w:tcW w:w="1191" w:type="dxa"/>
          </w:tcPr>
          <w:p w14:paraId="0DB06F4D" w14:textId="77777777" w:rsidR="00ED2EBD" w:rsidRPr="00BD16B4" w:rsidRDefault="00ED2EBD" w:rsidP="004A205F">
            <w:pPr>
              <w:pStyle w:val="TableText"/>
              <w:spacing w:before="40" w:after="40"/>
              <w:jc w:val="right"/>
              <w:rPr>
                <w:szCs w:val="18"/>
              </w:rPr>
            </w:pPr>
            <w:r w:rsidRPr="00BD16B4">
              <w:rPr>
                <w:szCs w:val="18"/>
              </w:rPr>
              <w:t>3.21</w:t>
            </w:r>
          </w:p>
        </w:tc>
        <w:tc>
          <w:tcPr>
            <w:tcW w:w="1191" w:type="dxa"/>
          </w:tcPr>
          <w:p w14:paraId="44AA8D14" w14:textId="77777777" w:rsidR="00ED2EBD" w:rsidRPr="00BD16B4" w:rsidRDefault="00ED2EBD" w:rsidP="004A205F">
            <w:pPr>
              <w:pStyle w:val="TableText"/>
              <w:spacing w:before="40" w:after="40"/>
              <w:jc w:val="right"/>
              <w:rPr>
                <w:szCs w:val="18"/>
              </w:rPr>
            </w:pPr>
            <w:r w:rsidRPr="00BD16B4">
              <w:rPr>
                <w:szCs w:val="18"/>
              </w:rPr>
              <w:t>3.30</w:t>
            </w:r>
          </w:p>
        </w:tc>
      </w:tr>
      <w:tr w:rsidR="00ED2EBD" w:rsidRPr="00BD16B4" w14:paraId="66BE8BAE" w14:textId="77777777" w:rsidTr="003F321F">
        <w:tc>
          <w:tcPr>
            <w:tcW w:w="2495" w:type="dxa"/>
          </w:tcPr>
          <w:p w14:paraId="4ED14116" w14:textId="77777777" w:rsidR="00ED2EBD" w:rsidRPr="00BD16B4" w:rsidRDefault="00ED2EBD" w:rsidP="004A205F">
            <w:pPr>
              <w:pStyle w:val="TableText"/>
              <w:spacing w:before="40" w:after="40"/>
              <w:rPr>
                <w:szCs w:val="18"/>
              </w:rPr>
            </w:pPr>
            <w:r w:rsidRPr="00BD16B4">
              <w:rPr>
                <w:b/>
                <w:bCs/>
                <w:szCs w:val="18"/>
              </w:rPr>
              <w:t>Total (including LULUCF)</w:t>
            </w:r>
          </w:p>
        </w:tc>
        <w:tc>
          <w:tcPr>
            <w:tcW w:w="1418" w:type="dxa"/>
          </w:tcPr>
          <w:p w14:paraId="4CBACCB9" w14:textId="77777777" w:rsidR="00ED2EBD" w:rsidRPr="00BD16B4" w:rsidRDefault="00ED2EBD" w:rsidP="004A205F">
            <w:pPr>
              <w:pStyle w:val="TableText"/>
              <w:spacing w:before="40" w:after="40"/>
              <w:jc w:val="right"/>
              <w:rPr>
                <w:szCs w:val="18"/>
              </w:rPr>
            </w:pPr>
            <w:r w:rsidRPr="00BD16B4">
              <w:rPr>
                <w:szCs w:val="18"/>
              </w:rPr>
              <w:t>43,967.76</w:t>
            </w:r>
          </w:p>
        </w:tc>
        <w:tc>
          <w:tcPr>
            <w:tcW w:w="1191" w:type="dxa"/>
          </w:tcPr>
          <w:p w14:paraId="354CA5FB" w14:textId="77777777" w:rsidR="00ED2EBD" w:rsidRPr="00BD16B4" w:rsidRDefault="00ED2EBD" w:rsidP="004A205F">
            <w:pPr>
              <w:pStyle w:val="TableText"/>
              <w:spacing w:before="40" w:after="40"/>
              <w:jc w:val="right"/>
              <w:rPr>
                <w:szCs w:val="18"/>
              </w:rPr>
            </w:pPr>
            <w:r w:rsidRPr="00BD16B4">
              <w:rPr>
                <w:szCs w:val="18"/>
              </w:rPr>
              <w:t>42,898.90</w:t>
            </w:r>
          </w:p>
        </w:tc>
        <w:tc>
          <w:tcPr>
            <w:tcW w:w="1191" w:type="dxa"/>
          </w:tcPr>
          <w:p w14:paraId="588860AE" w14:textId="77777777" w:rsidR="00ED2EBD" w:rsidRPr="00BD16B4" w:rsidRDefault="00ED2EBD" w:rsidP="004A205F">
            <w:pPr>
              <w:pStyle w:val="TableText"/>
              <w:spacing w:before="40" w:after="40"/>
              <w:jc w:val="right"/>
              <w:rPr>
                <w:szCs w:val="18"/>
              </w:rPr>
            </w:pPr>
            <w:r w:rsidRPr="00BD16B4">
              <w:rPr>
                <w:szCs w:val="18"/>
              </w:rPr>
              <w:t>44,287.76</w:t>
            </w:r>
          </w:p>
        </w:tc>
        <w:tc>
          <w:tcPr>
            <w:tcW w:w="1191" w:type="dxa"/>
          </w:tcPr>
          <w:p w14:paraId="02F1CC88" w14:textId="77777777" w:rsidR="00ED2EBD" w:rsidRPr="00BD16B4" w:rsidRDefault="00ED2EBD" w:rsidP="004A205F">
            <w:pPr>
              <w:pStyle w:val="TableText"/>
              <w:spacing w:before="40" w:after="40"/>
              <w:jc w:val="right"/>
              <w:rPr>
                <w:szCs w:val="18"/>
              </w:rPr>
            </w:pPr>
            <w:r w:rsidRPr="00BD16B4">
              <w:rPr>
                <w:szCs w:val="18"/>
              </w:rPr>
              <w:t>43,352.84</w:t>
            </w:r>
          </w:p>
        </w:tc>
        <w:tc>
          <w:tcPr>
            <w:tcW w:w="1191" w:type="dxa"/>
          </w:tcPr>
          <w:p w14:paraId="11401E4E" w14:textId="77777777" w:rsidR="00ED2EBD" w:rsidRPr="00BD16B4" w:rsidRDefault="00ED2EBD" w:rsidP="004A205F">
            <w:pPr>
              <w:pStyle w:val="TableText"/>
              <w:spacing w:before="40" w:after="40"/>
              <w:jc w:val="right"/>
              <w:rPr>
                <w:szCs w:val="18"/>
              </w:rPr>
            </w:pPr>
            <w:r w:rsidRPr="00BD16B4">
              <w:rPr>
                <w:szCs w:val="18"/>
              </w:rPr>
              <w:t>44,809.62</w:t>
            </w:r>
          </w:p>
        </w:tc>
        <w:tc>
          <w:tcPr>
            <w:tcW w:w="1191" w:type="dxa"/>
          </w:tcPr>
          <w:p w14:paraId="63D73FD9" w14:textId="77777777" w:rsidR="00ED2EBD" w:rsidRPr="00BD16B4" w:rsidRDefault="00ED2EBD" w:rsidP="004A205F">
            <w:pPr>
              <w:pStyle w:val="TableText"/>
              <w:spacing w:before="40" w:after="40"/>
              <w:jc w:val="right"/>
              <w:rPr>
                <w:szCs w:val="18"/>
              </w:rPr>
            </w:pPr>
            <w:r w:rsidRPr="00BD16B4">
              <w:rPr>
                <w:szCs w:val="18"/>
              </w:rPr>
              <w:t>46,567.01</w:t>
            </w:r>
          </w:p>
        </w:tc>
        <w:tc>
          <w:tcPr>
            <w:tcW w:w="1191" w:type="dxa"/>
          </w:tcPr>
          <w:p w14:paraId="53B94A70" w14:textId="77777777" w:rsidR="00ED2EBD" w:rsidRPr="00BD16B4" w:rsidRDefault="00ED2EBD" w:rsidP="004A205F">
            <w:pPr>
              <w:pStyle w:val="TableText"/>
              <w:spacing w:before="40" w:after="40"/>
              <w:jc w:val="right"/>
              <w:rPr>
                <w:szCs w:val="18"/>
              </w:rPr>
            </w:pPr>
            <w:r w:rsidRPr="00BD16B4">
              <w:rPr>
                <w:szCs w:val="18"/>
              </w:rPr>
              <w:t>49,206.99</w:t>
            </w:r>
          </w:p>
        </w:tc>
        <w:tc>
          <w:tcPr>
            <w:tcW w:w="1191" w:type="dxa"/>
          </w:tcPr>
          <w:p w14:paraId="06698607" w14:textId="77777777" w:rsidR="00ED2EBD" w:rsidRPr="00BD16B4" w:rsidRDefault="00ED2EBD" w:rsidP="004A205F">
            <w:pPr>
              <w:pStyle w:val="TableText"/>
              <w:spacing w:before="40" w:after="40"/>
              <w:jc w:val="right"/>
              <w:rPr>
                <w:szCs w:val="18"/>
              </w:rPr>
            </w:pPr>
            <w:r w:rsidRPr="00BD16B4">
              <w:rPr>
                <w:szCs w:val="18"/>
              </w:rPr>
              <w:t>51,403.84</w:t>
            </w:r>
          </w:p>
        </w:tc>
        <w:tc>
          <w:tcPr>
            <w:tcW w:w="1191" w:type="dxa"/>
          </w:tcPr>
          <w:p w14:paraId="19477E22" w14:textId="77777777" w:rsidR="00ED2EBD" w:rsidRPr="00BD16B4" w:rsidRDefault="00ED2EBD" w:rsidP="004A205F">
            <w:pPr>
              <w:pStyle w:val="TableText"/>
              <w:spacing w:before="40" w:after="40"/>
              <w:jc w:val="right"/>
              <w:rPr>
                <w:szCs w:val="18"/>
              </w:rPr>
            </w:pPr>
            <w:r w:rsidRPr="00BD16B4">
              <w:rPr>
                <w:szCs w:val="18"/>
              </w:rPr>
              <w:t>48,563.14</w:t>
            </w:r>
          </w:p>
        </w:tc>
      </w:tr>
    </w:tbl>
    <w:p w14:paraId="5D0BFD79" w14:textId="77777777" w:rsidR="003F321F" w:rsidRPr="00BD16B4" w:rsidRDefault="003F321F" w:rsidP="003F321F">
      <w:pPr>
        <w:pStyle w:val="BodyText"/>
      </w:pPr>
    </w:p>
    <w:p w14:paraId="3D9B8CD8" w14:textId="77777777" w:rsidR="003F321F" w:rsidRPr="00BD16B4" w:rsidRDefault="003F321F" w:rsidP="003F321F">
      <w:pPr>
        <w:pStyle w:val="BodyText"/>
      </w:pPr>
      <w:r w:rsidRPr="00BD16B4">
        <w:br w:type="page"/>
      </w:r>
    </w:p>
    <w:p w14:paraId="37018E4B" w14:textId="3007FDAC" w:rsidR="00ED2EBD" w:rsidRPr="00BD16B4" w:rsidRDefault="00ED2EBD" w:rsidP="00ED2EBD">
      <w:pPr>
        <w:pStyle w:val="CTFTableheading"/>
      </w:pPr>
      <w:r w:rsidRPr="00BD16B4">
        <w:lastRenderedPageBreak/>
        <w:t>Table A.1:</w:t>
      </w:r>
      <w:r w:rsidRPr="00BD16B4">
        <w:tab/>
        <w:t>Emissions trends summary (CTF Table 1) (part 2 of 3)</w:t>
      </w:r>
    </w:p>
    <w:tbl>
      <w:tblPr>
        <w:tblStyle w:val="MinistryfortheEnvironment"/>
        <w:tblW w:w="14501" w:type="dxa"/>
        <w:tblInd w:w="113" w:type="dxa"/>
        <w:tblLayout w:type="fixed"/>
        <w:tblCellMar>
          <w:bottom w:w="0" w:type="dxa"/>
        </w:tblCellMar>
        <w:tblLook w:val="04A0" w:firstRow="1" w:lastRow="0" w:firstColumn="1" w:lastColumn="0" w:noHBand="0" w:noVBand="1"/>
      </w:tblPr>
      <w:tblGrid>
        <w:gridCol w:w="2048"/>
        <w:gridCol w:w="1229"/>
        <w:gridCol w:w="1129"/>
        <w:gridCol w:w="1126"/>
        <w:gridCol w:w="1126"/>
        <w:gridCol w:w="1111"/>
        <w:gridCol w:w="1123"/>
        <w:gridCol w:w="1123"/>
        <w:gridCol w:w="1123"/>
        <w:gridCol w:w="1126"/>
        <w:gridCol w:w="1126"/>
        <w:gridCol w:w="1111"/>
      </w:tblGrid>
      <w:tr w:rsidR="00ED2EBD" w:rsidRPr="00BD16B4" w14:paraId="04E3FE80" w14:textId="77777777" w:rsidTr="0066051A">
        <w:trPr>
          <w:cnfStyle w:val="100000000000" w:firstRow="1" w:lastRow="0" w:firstColumn="0" w:lastColumn="0" w:oddVBand="0" w:evenVBand="0" w:oddHBand="0" w:evenHBand="0" w:firstRowFirstColumn="0" w:firstRowLastColumn="0" w:lastRowFirstColumn="0" w:lastRowLastColumn="0"/>
          <w:tblHeader/>
        </w:trPr>
        <w:tc>
          <w:tcPr>
            <w:tcW w:w="2048" w:type="dxa"/>
            <w:tcBorders>
              <w:top w:val="single" w:sz="4" w:space="0" w:color="1B556B" w:themeColor="text2"/>
              <w:right w:val="nil"/>
            </w:tcBorders>
            <w:vAlign w:val="bottom"/>
          </w:tcPr>
          <w:p w14:paraId="51BCA54B" w14:textId="77777777" w:rsidR="00ED2EBD" w:rsidRPr="00BD16B4" w:rsidRDefault="00ED2EBD" w:rsidP="004A205F">
            <w:pPr>
              <w:pStyle w:val="TableTextbold"/>
              <w:keepNext/>
              <w:spacing w:before="40" w:after="40"/>
              <w:rPr>
                <w:b/>
                <w:bCs/>
                <w:szCs w:val="14"/>
              </w:rPr>
            </w:pPr>
            <w:r w:rsidRPr="00BD16B4">
              <w:rPr>
                <w:b/>
                <w:bCs/>
                <w:szCs w:val="14"/>
              </w:rPr>
              <w:t xml:space="preserve">Greenhouse gas emissions </w:t>
            </w:r>
          </w:p>
        </w:tc>
        <w:tc>
          <w:tcPr>
            <w:tcW w:w="1229" w:type="dxa"/>
            <w:tcBorders>
              <w:top w:val="single" w:sz="4" w:space="0" w:color="1B556B" w:themeColor="text2"/>
              <w:left w:val="nil"/>
              <w:right w:val="nil"/>
            </w:tcBorders>
            <w:vAlign w:val="bottom"/>
          </w:tcPr>
          <w:p w14:paraId="4D1E041D" w14:textId="77777777" w:rsidR="00ED2EBD" w:rsidRPr="00BD16B4" w:rsidRDefault="00ED2EBD" w:rsidP="004A205F">
            <w:pPr>
              <w:pStyle w:val="TableTextbold"/>
              <w:keepNext/>
              <w:spacing w:before="40" w:after="40"/>
              <w:jc w:val="center"/>
              <w:rPr>
                <w:b/>
                <w:bCs/>
                <w:szCs w:val="14"/>
              </w:rPr>
            </w:pPr>
            <w:r w:rsidRPr="00BD16B4">
              <w:rPr>
                <w:b/>
                <w:bCs/>
                <w:szCs w:val="14"/>
              </w:rPr>
              <w:t>1999</w:t>
            </w:r>
            <w:r w:rsidRPr="00BD16B4">
              <w:rPr>
                <w:b/>
                <w:bCs/>
                <w:szCs w:val="14"/>
              </w:rPr>
              <w:br/>
              <w:t>(kt CO</w:t>
            </w:r>
            <w:r w:rsidRPr="00BD16B4">
              <w:rPr>
                <w:b/>
                <w:bCs/>
                <w:szCs w:val="14"/>
                <w:vertAlign w:val="subscript"/>
              </w:rPr>
              <w:t>2</w:t>
            </w:r>
            <w:r w:rsidRPr="00BD16B4">
              <w:rPr>
                <w:b/>
                <w:bCs/>
                <w:szCs w:val="14"/>
              </w:rPr>
              <w:t>-equivalent)</w:t>
            </w:r>
          </w:p>
        </w:tc>
        <w:tc>
          <w:tcPr>
            <w:tcW w:w="1129" w:type="dxa"/>
            <w:tcBorders>
              <w:top w:val="single" w:sz="4" w:space="0" w:color="1B556B" w:themeColor="text2"/>
              <w:left w:val="nil"/>
              <w:right w:val="nil"/>
            </w:tcBorders>
            <w:vAlign w:val="bottom"/>
          </w:tcPr>
          <w:p w14:paraId="1390AC85" w14:textId="77777777" w:rsidR="00ED2EBD" w:rsidRPr="00BD16B4" w:rsidRDefault="00ED2EBD" w:rsidP="004A205F">
            <w:pPr>
              <w:pStyle w:val="TableTextbold"/>
              <w:keepNext/>
              <w:spacing w:before="40" w:after="40"/>
              <w:jc w:val="center"/>
              <w:rPr>
                <w:b/>
                <w:bCs/>
                <w:szCs w:val="14"/>
              </w:rPr>
            </w:pPr>
            <w:r w:rsidRPr="00BD16B4">
              <w:rPr>
                <w:b/>
                <w:bCs/>
                <w:szCs w:val="14"/>
              </w:rPr>
              <w:t>2000</w:t>
            </w:r>
            <w:r w:rsidRPr="00BD16B4">
              <w:rPr>
                <w:b/>
                <w:bCs/>
                <w:szCs w:val="14"/>
              </w:rPr>
              <w:br/>
              <w:t>(kt CO</w:t>
            </w:r>
            <w:r w:rsidRPr="00BD16B4">
              <w:rPr>
                <w:b/>
                <w:bCs/>
                <w:szCs w:val="14"/>
                <w:vertAlign w:val="subscript"/>
              </w:rPr>
              <w:t>2</w:t>
            </w:r>
            <w:r w:rsidRPr="00BD16B4">
              <w:rPr>
                <w:b/>
                <w:bCs/>
                <w:szCs w:val="14"/>
              </w:rPr>
              <w:t>-equivalent)</w:t>
            </w:r>
          </w:p>
        </w:tc>
        <w:tc>
          <w:tcPr>
            <w:tcW w:w="1126" w:type="dxa"/>
            <w:tcBorders>
              <w:top w:val="single" w:sz="4" w:space="0" w:color="1B556B" w:themeColor="text2"/>
              <w:left w:val="nil"/>
              <w:right w:val="nil"/>
            </w:tcBorders>
            <w:vAlign w:val="bottom"/>
          </w:tcPr>
          <w:p w14:paraId="303737F2" w14:textId="77777777" w:rsidR="00ED2EBD" w:rsidRPr="00BD16B4" w:rsidRDefault="00ED2EBD" w:rsidP="004A205F">
            <w:pPr>
              <w:pStyle w:val="TableTextbold"/>
              <w:keepNext/>
              <w:spacing w:before="40" w:after="40"/>
              <w:jc w:val="center"/>
              <w:rPr>
                <w:b/>
                <w:bCs/>
                <w:szCs w:val="14"/>
              </w:rPr>
            </w:pPr>
            <w:r w:rsidRPr="00BD16B4">
              <w:rPr>
                <w:b/>
                <w:bCs/>
                <w:szCs w:val="14"/>
              </w:rPr>
              <w:t>2001</w:t>
            </w:r>
            <w:r w:rsidRPr="00BD16B4">
              <w:rPr>
                <w:b/>
                <w:bCs/>
                <w:szCs w:val="14"/>
              </w:rPr>
              <w:br/>
              <w:t>(kt CO</w:t>
            </w:r>
            <w:r w:rsidRPr="00BD16B4">
              <w:rPr>
                <w:b/>
                <w:bCs/>
                <w:szCs w:val="14"/>
                <w:vertAlign w:val="subscript"/>
              </w:rPr>
              <w:t>2</w:t>
            </w:r>
            <w:r w:rsidRPr="00BD16B4">
              <w:rPr>
                <w:b/>
                <w:bCs/>
                <w:szCs w:val="14"/>
              </w:rPr>
              <w:t>-equivalent)</w:t>
            </w:r>
          </w:p>
        </w:tc>
        <w:tc>
          <w:tcPr>
            <w:tcW w:w="1126" w:type="dxa"/>
            <w:tcBorders>
              <w:top w:val="single" w:sz="4" w:space="0" w:color="1B556B" w:themeColor="text2"/>
              <w:left w:val="nil"/>
              <w:right w:val="nil"/>
            </w:tcBorders>
            <w:vAlign w:val="bottom"/>
          </w:tcPr>
          <w:p w14:paraId="5169F948" w14:textId="77777777" w:rsidR="00ED2EBD" w:rsidRPr="00BD16B4" w:rsidRDefault="00ED2EBD" w:rsidP="004A205F">
            <w:pPr>
              <w:pStyle w:val="TableTextbold"/>
              <w:keepNext/>
              <w:spacing w:before="40" w:after="40"/>
              <w:jc w:val="center"/>
              <w:rPr>
                <w:b/>
                <w:bCs/>
                <w:szCs w:val="14"/>
              </w:rPr>
            </w:pPr>
            <w:r w:rsidRPr="00BD16B4">
              <w:rPr>
                <w:b/>
                <w:bCs/>
                <w:szCs w:val="14"/>
              </w:rPr>
              <w:t>2002</w:t>
            </w:r>
            <w:r w:rsidRPr="00BD16B4">
              <w:rPr>
                <w:b/>
                <w:bCs/>
                <w:szCs w:val="14"/>
              </w:rPr>
              <w:br/>
              <w:t>(kt CO</w:t>
            </w:r>
            <w:r w:rsidRPr="00BD16B4">
              <w:rPr>
                <w:b/>
                <w:bCs/>
                <w:szCs w:val="14"/>
                <w:vertAlign w:val="subscript"/>
              </w:rPr>
              <w:t>2</w:t>
            </w:r>
            <w:r w:rsidRPr="00BD16B4">
              <w:rPr>
                <w:b/>
                <w:bCs/>
                <w:szCs w:val="14"/>
              </w:rPr>
              <w:t>-equivalent)</w:t>
            </w:r>
          </w:p>
        </w:tc>
        <w:tc>
          <w:tcPr>
            <w:tcW w:w="1111" w:type="dxa"/>
            <w:tcBorders>
              <w:top w:val="single" w:sz="4" w:space="0" w:color="1B556B" w:themeColor="text2"/>
              <w:left w:val="nil"/>
              <w:right w:val="nil"/>
            </w:tcBorders>
            <w:vAlign w:val="bottom"/>
          </w:tcPr>
          <w:p w14:paraId="698D2C1A" w14:textId="77777777" w:rsidR="00ED2EBD" w:rsidRPr="00BD16B4" w:rsidRDefault="00ED2EBD" w:rsidP="004A205F">
            <w:pPr>
              <w:pStyle w:val="TableTextbold"/>
              <w:keepNext/>
              <w:spacing w:before="40" w:after="40"/>
              <w:jc w:val="center"/>
              <w:rPr>
                <w:b/>
                <w:bCs/>
                <w:szCs w:val="14"/>
              </w:rPr>
            </w:pPr>
            <w:r w:rsidRPr="00BD16B4">
              <w:rPr>
                <w:b/>
                <w:bCs/>
                <w:szCs w:val="14"/>
              </w:rPr>
              <w:t>2003</w:t>
            </w:r>
            <w:r w:rsidRPr="00BD16B4">
              <w:rPr>
                <w:b/>
                <w:bCs/>
                <w:szCs w:val="14"/>
              </w:rPr>
              <w:br/>
              <w:t>(kt CO</w:t>
            </w:r>
            <w:r w:rsidRPr="00BD16B4">
              <w:rPr>
                <w:b/>
                <w:bCs/>
                <w:szCs w:val="14"/>
                <w:vertAlign w:val="subscript"/>
              </w:rPr>
              <w:t>2</w:t>
            </w:r>
            <w:r w:rsidRPr="00BD16B4">
              <w:rPr>
                <w:b/>
                <w:bCs/>
                <w:szCs w:val="14"/>
              </w:rPr>
              <w:t>-equivalent)</w:t>
            </w:r>
          </w:p>
        </w:tc>
        <w:tc>
          <w:tcPr>
            <w:tcW w:w="1123" w:type="dxa"/>
            <w:tcBorders>
              <w:top w:val="single" w:sz="4" w:space="0" w:color="1B556B" w:themeColor="text2"/>
              <w:left w:val="nil"/>
              <w:right w:val="nil"/>
            </w:tcBorders>
            <w:vAlign w:val="bottom"/>
          </w:tcPr>
          <w:p w14:paraId="67E1BF54" w14:textId="77777777" w:rsidR="00ED2EBD" w:rsidRPr="00BD16B4" w:rsidRDefault="00ED2EBD" w:rsidP="004A205F">
            <w:pPr>
              <w:pStyle w:val="TableTextbold"/>
              <w:keepNext/>
              <w:spacing w:before="40" w:after="40"/>
              <w:jc w:val="center"/>
              <w:rPr>
                <w:b/>
                <w:bCs/>
                <w:szCs w:val="14"/>
              </w:rPr>
            </w:pPr>
            <w:r w:rsidRPr="00BD16B4">
              <w:rPr>
                <w:b/>
                <w:bCs/>
                <w:szCs w:val="14"/>
              </w:rPr>
              <w:t>2004</w:t>
            </w:r>
            <w:r w:rsidRPr="00BD16B4">
              <w:rPr>
                <w:b/>
                <w:bCs/>
                <w:szCs w:val="14"/>
              </w:rPr>
              <w:br/>
              <w:t>(kt CO</w:t>
            </w:r>
            <w:r w:rsidRPr="00BD16B4">
              <w:rPr>
                <w:b/>
                <w:bCs/>
                <w:szCs w:val="14"/>
                <w:vertAlign w:val="subscript"/>
              </w:rPr>
              <w:t>2</w:t>
            </w:r>
            <w:r w:rsidRPr="00BD16B4">
              <w:rPr>
                <w:b/>
                <w:bCs/>
                <w:szCs w:val="14"/>
              </w:rPr>
              <w:t>-equivalent)</w:t>
            </w:r>
          </w:p>
        </w:tc>
        <w:tc>
          <w:tcPr>
            <w:tcW w:w="1123" w:type="dxa"/>
            <w:tcBorders>
              <w:top w:val="single" w:sz="4" w:space="0" w:color="1B556B" w:themeColor="text2"/>
              <w:left w:val="nil"/>
              <w:right w:val="nil"/>
            </w:tcBorders>
            <w:vAlign w:val="bottom"/>
          </w:tcPr>
          <w:p w14:paraId="5A75EA35" w14:textId="77777777" w:rsidR="00ED2EBD" w:rsidRPr="00BD16B4" w:rsidRDefault="00ED2EBD" w:rsidP="004A205F">
            <w:pPr>
              <w:pStyle w:val="TableTextbold"/>
              <w:keepNext/>
              <w:spacing w:before="40" w:after="40"/>
              <w:jc w:val="center"/>
              <w:rPr>
                <w:b/>
                <w:bCs/>
                <w:szCs w:val="14"/>
              </w:rPr>
            </w:pPr>
            <w:r w:rsidRPr="00BD16B4">
              <w:rPr>
                <w:b/>
                <w:bCs/>
                <w:szCs w:val="14"/>
              </w:rPr>
              <w:t>2005</w:t>
            </w:r>
            <w:r w:rsidRPr="00BD16B4">
              <w:rPr>
                <w:b/>
                <w:bCs/>
                <w:szCs w:val="14"/>
              </w:rPr>
              <w:br/>
              <w:t>(kt CO</w:t>
            </w:r>
            <w:r w:rsidRPr="00BD16B4">
              <w:rPr>
                <w:b/>
                <w:bCs/>
                <w:szCs w:val="14"/>
                <w:vertAlign w:val="subscript"/>
              </w:rPr>
              <w:t>2</w:t>
            </w:r>
            <w:r w:rsidRPr="00BD16B4">
              <w:rPr>
                <w:b/>
                <w:bCs/>
                <w:szCs w:val="14"/>
              </w:rPr>
              <w:t>-equivalent)</w:t>
            </w:r>
          </w:p>
        </w:tc>
        <w:tc>
          <w:tcPr>
            <w:tcW w:w="1123" w:type="dxa"/>
            <w:tcBorders>
              <w:top w:val="single" w:sz="4" w:space="0" w:color="1B556B" w:themeColor="text2"/>
              <w:left w:val="nil"/>
              <w:right w:val="nil"/>
            </w:tcBorders>
            <w:vAlign w:val="bottom"/>
          </w:tcPr>
          <w:p w14:paraId="78A6D448" w14:textId="77777777" w:rsidR="00ED2EBD" w:rsidRPr="00BD16B4" w:rsidRDefault="00ED2EBD" w:rsidP="004A205F">
            <w:pPr>
              <w:pStyle w:val="TableTextbold"/>
              <w:keepNext/>
              <w:spacing w:before="40" w:after="40"/>
              <w:jc w:val="center"/>
              <w:rPr>
                <w:b/>
                <w:bCs/>
                <w:szCs w:val="14"/>
              </w:rPr>
            </w:pPr>
            <w:r w:rsidRPr="00BD16B4">
              <w:rPr>
                <w:b/>
                <w:bCs/>
                <w:szCs w:val="14"/>
              </w:rPr>
              <w:t>2006</w:t>
            </w:r>
            <w:r w:rsidRPr="00BD16B4">
              <w:rPr>
                <w:b/>
                <w:bCs/>
                <w:szCs w:val="14"/>
              </w:rPr>
              <w:br/>
              <w:t>(kt CO</w:t>
            </w:r>
            <w:r w:rsidRPr="00BD16B4">
              <w:rPr>
                <w:b/>
                <w:bCs/>
                <w:szCs w:val="14"/>
                <w:vertAlign w:val="subscript"/>
              </w:rPr>
              <w:t>2</w:t>
            </w:r>
            <w:r w:rsidRPr="00BD16B4">
              <w:rPr>
                <w:b/>
                <w:bCs/>
                <w:szCs w:val="14"/>
              </w:rPr>
              <w:t>-equivalent)</w:t>
            </w:r>
          </w:p>
        </w:tc>
        <w:tc>
          <w:tcPr>
            <w:tcW w:w="1126" w:type="dxa"/>
            <w:tcBorders>
              <w:top w:val="single" w:sz="4" w:space="0" w:color="1B556B" w:themeColor="text2"/>
              <w:left w:val="nil"/>
              <w:right w:val="nil"/>
            </w:tcBorders>
          </w:tcPr>
          <w:p w14:paraId="332AD6FA" w14:textId="77777777" w:rsidR="00ED2EBD" w:rsidRPr="00BD16B4" w:rsidRDefault="00ED2EBD" w:rsidP="004A205F">
            <w:pPr>
              <w:pStyle w:val="TableTextbold"/>
              <w:keepNext/>
              <w:spacing w:before="40" w:after="40"/>
              <w:jc w:val="center"/>
              <w:rPr>
                <w:b/>
                <w:bCs/>
                <w:szCs w:val="14"/>
              </w:rPr>
            </w:pPr>
            <w:r w:rsidRPr="00BD16B4">
              <w:rPr>
                <w:b/>
                <w:bCs/>
                <w:szCs w:val="14"/>
              </w:rPr>
              <w:t>2007</w:t>
            </w:r>
            <w:r w:rsidRPr="00BD16B4">
              <w:rPr>
                <w:b/>
                <w:bCs/>
                <w:szCs w:val="14"/>
              </w:rPr>
              <w:br/>
              <w:t>(kt CO</w:t>
            </w:r>
            <w:r w:rsidRPr="00BD16B4">
              <w:rPr>
                <w:b/>
                <w:bCs/>
                <w:szCs w:val="14"/>
                <w:vertAlign w:val="subscript"/>
              </w:rPr>
              <w:t>2</w:t>
            </w:r>
            <w:r w:rsidRPr="00BD16B4">
              <w:rPr>
                <w:b/>
                <w:bCs/>
                <w:szCs w:val="14"/>
              </w:rPr>
              <w:t>-equivalent)</w:t>
            </w:r>
          </w:p>
        </w:tc>
        <w:tc>
          <w:tcPr>
            <w:tcW w:w="1126" w:type="dxa"/>
            <w:tcBorders>
              <w:top w:val="single" w:sz="4" w:space="0" w:color="1B556B" w:themeColor="text2"/>
              <w:left w:val="nil"/>
              <w:right w:val="nil"/>
            </w:tcBorders>
          </w:tcPr>
          <w:p w14:paraId="0D860260" w14:textId="77777777" w:rsidR="00ED2EBD" w:rsidRPr="00BD16B4" w:rsidRDefault="00ED2EBD" w:rsidP="004A205F">
            <w:pPr>
              <w:pStyle w:val="TableTextbold"/>
              <w:keepNext/>
              <w:spacing w:before="40" w:after="40"/>
              <w:jc w:val="center"/>
              <w:rPr>
                <w:b/>
                <w:bCs/>
                <w:szCs w:val="14"/>
              </w:rPr>
            </w:pPr>
            <w:r w:rsidRPr="00BD16B4">
              <w:rPr>
                <w:b/>
                <w:bCs/>
                <w:szCs w:val="14"/>
              </w:rPr>
              <w:t>2008</w:t>
            </w:r>
            <w:r w:rsidRPr="00BD16B4">
              <w:rPr>
                <w:b/>
                <w:bCs/>
                <w:szCs w:val="14"/>
              </w:rPr>
              <w:br/>
              <w:t>(kt CO</w:t>
            </w:r>
            <w:r w:rsidRPr="00BD16B4">
              <w:rPr>
                <w:b/>
                <w:bCs/>
                <w:szCs w:val="14"/>
                <w:vertAlign w:val="subscript"/>
              </w:rPr>
              <w:t>2</w:t>
            </w:r>
            <w:r w:rsidRPr="00BD16B4">
              <w:rPr>
                <w:b/>
                <w:bCs/>
                <w:szCs w:val="14"/>
              </w:rPr>
              <w:t>-equivalent)</w:t>
            </w:r>
          </w:p>
        </w:tc>
        <w:tc>
          <w:tcPr>
            <w:tcW w:w="1111" w:type="dxa"/>
            <w:tcBorders>
              <w:top w:val="single" w:sz="4" w:space="0" w:color="1B556B" w:themeColor="text2"/>
              <w:left w:val="nil"/>
            </w:tcBorders>
            <w:vAlign w:val="bottom"/>
          </w:tcPr>
          <w:p w14:paraId="6915D046" w14:textId="77777777" w:rsidR="00ED2EBD" w:rsidRPr="00BD16B4" w:rsidRDefault="00ED2EBD" w:rsidP="004A205F">
            <w:pPr>
              <w:pStyle w:val="TableTextbold"/>
              <w:keepNext/>
              <w:spacing w:before="40" w:after="40"/>
              <w:jc w:val="center"/>
              <w:rPr>
                <w:b/>
                <w:bCs/>
                <w:szCs w:val="14"/>
              </w:rPr>
            </w:pPr>
            <w:r w:rsidRPr="00BD16B4">
              <w:rPr>
                <w:b/>
                <w:bCs/>
                <w:szCs w:val="14"/>
              </w:rPr>
              <w:t>2009</w:t>
            </w:r>
            <w:r w:rsidRPr="00BD16B4">
              <w:rPr>
                <w:b/>
                <w:bCs/>
                <w:szCs w:val="14"/>
              </w:rPr>
              <w:br/>
              <w:t>(kt CO</w:t>
            </w:r>
            <w:r w:rsidRPr="00BD16B4">
              <w:rPr>
                <w:b/>
                <w:bCs/>
                <w:szCs w:val="14"/>
                <w:vertAlign w:val="subscript"/>
              </w:rPr>
              <w:t>2</w:t>
            </w:r>
            <w:r w:rsidRPr="00BD16B4">
              <w:rPr>
                <w:b/>
                <w:bCs/>
                <w:szCs w:val="14"/>
              </w:rPr>
              <w:t>-equivalent)</w:t>
            </w:r>
          </w:p>
        </w:tc>
      </w:tr>
      <w:tr w:rsidR="00ED2EBD" w:rsidRPr="00BD16B4" w14:paraId="0128D7C1" w14:textId="77777777" w:rsidTr="004A205F">
        <w:tc>
          <w:tcPr>
            <w:tcW w:w="2048" w:type="dxa"/>
          </w:tcPr>
          <w:p w14:paraId="39A72BA6" w14:textId="77777777" w:rsidR="00ED2EBD" w:rsidRPr="00BD16B4" w:rsidRDefault="00ED2EBD" w:rsidP="004A205F">
            <w:pPr>
              <w:pStyle w:val="TableText"/>
              <w:spacing w:before="40" w:after="40"/>
              <w:rPr>
                <w:szCs w:val="18"/>
              </w:rPr>
            </w:pPr>
            <w:r w:rsidRPr="00BD16B4">
              <w:rPr>
                <w:szCs w:val="18"/>
              </w:rPr>
              <w:t>CO</w:t>
            </w:r>
            <w:r w:rsidRPr="00BD16B4">
              <w:rPr>
                <w:color w:val="000000"/>
                <w:szCs w:val="18"/>
                <w:vertAlign w:val="subscript"/>
              </w:rPr>
              <w:t>2</w:t>
            </w:r>
            <w:r w:rsidRPr="00BD16B4">
              <w:rPr>
                <w:color w:val="000000"/>
                <w:szCs w:val="18"/>
              </w:rPr>
              <w:t xml:space="preserve"> emissions without net CO</w:t>
            </w:r>
            <w:r w:rsidRPr="00BD16B4">
              <w:rPr>
                <w:color w:val="000000"/>
                <w:szCs w:val="18"/>
                <w:vertAlign w:val="subscript"/>
              </w:rPr>
              <w:t>2</w:t>
            </w:r>
            <w:r w:rsidRPr="00BD16B4">
              <w:rPr>
                <w:color w:val="000000"/>
                <w:szCs w:val="18"/>
              </w:rPr>
              <w:t xml:space="preserve"> from LULUCF</w:t>
            </w:r>
          </w:p>
        </w:tc>
        <w:tc>
          <w:tcPr>
            <w:tcW w:w="1229" w:type="dxa"/>
          </w:tcPr>
          <w:p w14:paraId="5D424D27" w14:textId="77777777" w:rsidR="00ED2EBD" w:rsidRPr="00BD16B4" w:rsidRDefault="00ED2EBD" w:rsidP="004A205F">
            <w:pPr>
              <w:pStyle w:val="TableText"/>
              <w:spacing w:before="40" w:after="40"/>
              <w:jc w:val="right"/>
              <w:rPr>
                <w:szCs w:val="18"/>
              </w:rPr>
            </w:pPr>
            <w:r w:rsidRPr="00BD16B4">
              <w:rPr>
                <w:szCs w:val="18"/>
              </w:rPr>
              <w:t>31,465.59</w:t>
            </w:r>
          </w:p>
        </w:tc>
        <w:tc>
          <w:tcPr>
            <w:tcW w:w="1129" w:type="dxa"/>
          </w:tcPr>
          <w:p w14:paraId="5396C6CE" w14:textId="77777777" w:rsidR="00ED2EBD" w:rsidRPr="00BD16B4" w:rsidRDefault="00ED2EBD" w:rsidP="004A205F">
            <w:pPr>
              <w:pStyle w:val="TableText"/>
              <w:spacing w:before="40" w:after="40"/>
              <w:jc w:val="right"/>
              <w:rPr>
                <w:szCs w:val="18"/>
              </w:rPr>
            </w:pPr>
            <w:r w:rsidRPr="00BD16B4">
              <w:rPr>
                <w:szCs w:val="18"/>
              </w:rPr>
              <w:t>32,246.01</w:t>
            </w:r>
          </w:p>
        </w:tc>
        <w:tc>
          <w:tcPr>
            <w:tcW w:w="1126" w:type="dxa"/>
          </w:tcPr>
          <w:p w14:paraId="5A55AD6B" w14:textId="77777777" w:rsidR="00ED2EBD" w:rsidRPr="00BD16B4" w:rsidRDefault="00ED2EBD" w:rsidP="004A205F">
            <w:pPr>
              <w:pStyle w:val="TableText"/>
              <w:spacing w:before="40" w:after="40"/>
              <w:jc w:val="right"/>
              <w:rPr>
                <w:szCs w:val="18"/>
              </w:rPr>
            </w:pPr>
            <w:r w:rsidRPr="00BD16B4">
              <w:rPr>
                <w:szCs w:val="18"/>
              </w:rPr>
              <w:t>34,379.21</w:t>
            </w:r>
          </w:p>
        </w:tc>
        <w:tc>
          <w:tcPr>
            <w:tcW w:w="1126" w:type="dxa"/>
          </w:tcPr>
          <w:p w14:paraId="23EAC0E2" w14:textId="77777777" w:rsidR="00ED2EBD" w:rsidRPr="00BD16B4" w:rsidRDefault="00ED2EBD" w:rsidP="004A205F">
            <w:pPr>
              <w:pStyle w:val="TableText"/>
              <w:spacing w:before="40" w:after="40"/>
              <w:jc w:val="right"/>
              <w:rPr>
                <w:szCs w:val="18"/>
              </w:rPr>
            </w:pPr>
            <w:r w:rsidRPr="00BD16B4">
              <w:rPr>
                <w:szCs w:val="18"/>
              </w:rPr>
              <w:t>34,542.29</w:t>
            </w:r>
          </w:p>
        </w:tc>
        <w:tc>
          <w:tcPr>
            <w:tcW w:w="1111" w:type="dxa"/>
          </w:tcPr>
          <w:p w14:paraId="7FF65DDD" w14:textId="77777777" w:rsidR="00ED2EBD" w:rsidRPr="00BD16B4" w:rsidRDefault="00ED2EBD" w:rsidP="004A205F">
            <w:pPr>
              <w:pStyle w:val="TableText"/>
              <w:spacing w:before="40" w:after="40"/>
              <w:jc w:val="right"/>
              <w:rPr>
                <w:szCs w:val="18"/>
              </w:rPr>
            </w:pPr>
            <w:r w:rsidRPr="00BD16B4">
              <w:rPr>
                <w:szCs w:val="18"/>
              </w:rPr>
              <w:t>36,241.47</w:t>
            </w:r>
          </w:p>
        </w:tc>
        <w:tc>
          <w:tcPr>
            <w:tcW w:w="1123" w:type="dxa"/>
          </w:tcPr>
          <w:p w14:paraId="297BD73B" w14:textId="77777777" w:rsidR="00ED2EBD" w:rsidRPr="00BD16B4" w:rsidRDefault="00ED2EBD" w:rsidP="004A205F">
            <w:pPr>
              <w:pStyle w:val="TableText"/>
              <w:spacing w:before="40" w:after="40"/>
              <w:jc w:val="right"/>
              <w:rPr>
                <w:szCs w:val="18"/>
              </w:rPr>
            </w:pPr>
            <w:r w:rsidRPr="00BD16B4">
              <w:rPr>
                <w:szCs w:val="18"/>
              </w:rPr>
              <w:t>35,836.30</w:t>
            </w:r>
          </w:p>
        </w:tc>
        <w:tc>
          <w:tcPr>
            <w:tcW w:w="1123" w:type="dxa"/>
          </w:tcPr>
          <w:p w14:paraId="0EFCB44D" w14:textId="77777777" w:rsidR="00ED2EBD" w:rsidRPr="00BD16B4" w:rsidRDefault="00ED2EBD" w:rsidP="004A205F">
            <w:pPr>
              <w:pStyle w:val="TableText"/>
              <w:spacing w:before="40" w:after="40"/>
              <w:jc w:val="right"/>
              <w:rPr>
                <w:szCs w:val="18"/>
              </w:rPr>
            </w:pPr>
            <w:r w:rsidRPr="00BD16B4">
              <w:rPr>
                <w:szCs w:val="18"/>
              </w:rPr>
              <w:t>37,424.07</w:t>
            </w:r>
          </w:p>
        </w:tc>
        <w:tc>
          <w:tcPr>
            <w:tcW w:w="1123" w:type="dxa"/>
          </w:tcPr>
          <w:p w14:paraId="0F9D947D" w14:textId="77777777" w:rsidR="00ED2EBD" w:rsidRPr="00BD16B4" w:rsidRDefault="00ED2EBD" w:rsidP="004A205F">
            <w:pPr>
              <w:pStyle w:val="TableText"/>
              <w:spacing w:before="40" w:after="40"/>
              <w:jc w:val="right"/>
              <w:rPr>
                <w:szCs w:val="18"/>
              </w:rPr>
            </w:pPr>
            <w:r w:rsidRPr="00BD16B4">
              <w:rPr>
                <w:szCs w:val="18"/>
              </w:rPr>
              <w:t>37,330.16</w:t>
            </w:r>
          </w:p>
        </w:tc>
        <w:tc>
          <w:tcPr>
            <w:tcW w:w="1126" w:type="dxa"/>
          </w:tcPr>
          <w:p w14:paraId="2B5640D3" w14:textId="77777777" w:rsidR="00ED2EBD" w:rsidRPr="00BD16B4" w:rsidRDefault="00ED2EBD" w:rsidP="004A205F">
            <w:pPr>
              <w:pStyle w:val="TableText"/>
              <w:spacing w:before="40" w:after="40"/>
              <w:jc w:val="right"/>
              <w:rPr>
                <w:szCs w:val="18"/>
              </w:rPr>
            </w:pPr>
            <w:r w:rsidRPr="00BD16B4">
              <w:rPr>
                <w:szCs w:val="18"/>
              </w:rPr>
              <w:t>36,410.66</w:t>
            </w:r>
          </w:p>
        </w:tc>
        <w:tc>
          <w:tcPr>
            <w:tcW w:w="1126" w:type="dxa"/>
          </w:tcPr>
          <w:p w14:paraId="2701A815" w14:textId="77777777" w:rsidR="00ED2EBD" w:rsidRPr="00BD16B4" w:rsidRDefault="00ED2EBD" w:rsidP="004A205F">
            <w:pPr>
              <w:pStyle w:val="TableText"/>
              <w:spacing w:before="40" w:after="40"/>
              <w:jc w:val="right"/>
              <w:rPr>
                <w:szCs w:val="18"/>
              </w:rPr>
            </w:pPr>
            <w:r w:rsidRPr="00BD16B4">
              <w:rPr>
                <w:szCs w:val="18"/>
              </w:rPr>
              <w:t>37,509.26</w:t>
            </w:r>
          </w:p>
        </w:tc>
        <w:tc>
          <w:tcPr>
            <w:tcW w:w="1111" w:type="dxa"/>
          </w:tcPr>
          <w:p w14:paraId="059A07C6" w14:textId="77777777" w:rsidR="00ED2EBD" w:rsidRPr="00BD16B4" w:rsidRDefault="00ED2EBD" w:rsidP="004A205F">
            <w:pPr>
              <w:pStyle w:val="TableText"/>
              <w:spacing w:before="40" w:after="40"/>
              <w:jc w:val="right"/>
              <w:rPr>
                <w:szCs w:val="18"/>
              </w:rPr>
            </w:pPr>
            <w:r w:rsidRPr="00BD16B4">
              <w:rPr>
                <w:szCs w:val="18"/>
              </w:rPr>
              <w:t>34,620.67</w:t>
            </w:r>
          </w:p>
        </w:tc>
      </w:tr>
      <w:tr w:rsidR="00ED2EBD" w:rsidRPr="00BD16B4" w14:paraId="592C1ACE" w14:textId="77777777" w:rsidTr="004A205F">
        <w:tc>
          <w:tcPr>
            <w:tcW w:w="2048" w:type="dxa"/>
          </w:tcPr>
          <w:p w14:paraId="16E9A9A8" w14:textId="77777777" w:rsidR="00ED2EBD" w:rsidRPr="00BD16B4" w:rsidRDefault="00ED2EBD" w:rsidP="004A205F">
            <w:pPr>
              <w:pStyle w:val="TableText"/>
              <w:spacing w:before="40" w:after="40"/>
              <w:rPr>
                <w:szCs w:val="18"/>
              </w:rPr>
            </w:pPr>
            <w:r w:rsidRPr="00BD16B4">
              <w:rPr>
                <w:szCs w:val="18"/>
              </w:rPr>
              <w:t>CO</w:t>
            </w:r>
            <w:r w:rsidRPr="00BD16B4">
              <w:rPr>
                <w:color w:val="000000"/>
                <w:szCs w:val="18"/>
                <w:vertAlign w:val="subscript"/>
              </w:rPr>
              <w:t>2</w:t>
            </w:r>
            <w:r w:rsidRPr="00BD16B4">
              <w:rPr>
                <w:color w:val="000000"/>
                <w:szCs w:val="18"/>
              </w:rPr>
              <w:t xml:space="preserve"> emissions with net CO</w:t>
            </w:r>
            <w:r w:rsidRPr="00BD16B4">
              <w:rPr>
                <w:color w:val="000000"/>
                <w:szCs w:val="18"/>
                <w:vertAlign w:val="subscript"/>
              </w:rPr>
              <w:t>2</w:t>
            </w:r>
            <w:r w:rsidRPr="00BD16B4">
              <w:rPr>
                <w:color w:val="000000"/>
                <w:szCs w:val="18"/>
              </w:rPr>
              <w:t xml:space="preserve"> from LULUCF</w:t>
            </w:r>
          </w:p>
        </w:tc>
        <w:tc>
          <w:tcPr>
            <w:tcW w:w="1229" w:type="dxa"/>
          </w:tcPr>
          <w:p w14:paraId="1D1E61C2" w14:textId="77777777" w:rsidR="00ED2EBD" w:rsidRPr="00BD16B4" w:rsidRDefault="00ED2EBD" w:rsidP="004A205F">
            <w:pPr>
              <w:pStyle w:val="TableText"/>
              <w:spacing w:before="40" w:after="40"/>
              <w:jc w:val="right"/>
              <w:rPr>
                <w:szCs w:val="18"/>
              </w:rPr>
            </w:pPr>
            <w:r w:rsidRPr="00BD16B4">
              <w:rPr>
                <w:szCs w:val="18"/>
              </w:rPr>
              <w:t>4,962.54</w:t>
            </w:r>
          </w:p>
        </w:tc>
        <w:tc>
          <w:tcPr>
            <w:tcW w:w="1129" w:type="dxa"/>
          </w:tcPr>
          <w:p w14:paraId="319918A5" w14:textId="77777777" w:rsidR="00ED2EBD" w:rsidRPr="00BD16B4" w:rsidRDefault="00ED2EBD" w:rsidP="004A205F">
            <w:pPr>
              <w:pStyle w:val="TableText"/>
              <w:spacing w:before="40" w:after="40"/>
              <w:jc w:val="right"/>
              <w:rPr>
                <w:szCs w:val="18"/>
              </w:rPr>
            </w:pPr>
            <w:r w:rsidRPr="00BD16B4">
              <w:rPr>
                <w:szCs w:val="18"/>
              </w:rPr>
              <w:t>4,831.02</w:t>
            </w:r>
          </w:p>
        </w:tc>
        <w:tc>
          <w:tcPr>
            <w:tcW w:w="1126" w:type="dxa"/>
          </w:tcPr>
          <w:p w14:paraId="595346DF" w14:textId="77777777" w:rsidR="00ED2EBD" w:rsidRPr="00BD16B4" w:rsidRDefault="00ED2EBD" w:rsidP="004A205F">
            <w:pPr>
              <w:pStyle w:val="TableText"/>
              <w:spacing w:before="40" w:after="40"/>
              <w:jc w:val="right"/>
              <w:rPr>
                <w:szCs w:val="18"/>
              </w:rPr>
            </w:pPr>
            <w:r w:rsidRPr="00BD16B4">
              <w:rPr>
                <w:szCs w:val="18"/>
              </w:rPr>
              <w:t>6,416.75</w:t>
            </w:r>
          </w:p>
        </w:tc>
        <w:tc>
          <w:tcPr>
            <w:tcW w:w="1126" w:type="dxa"/>
          </w:tcPr>
          <w:p w14:paraId="6AD2C1CC" w14:textId="77777777" w:rsidR="00ED2EBD" w:rsidRPr="00BD16B4" w:rsidRDefault="00ED2EBD" w:rsidP="004A205F">
            <w:pPr>
              <w:pStyle w:val="TableText"/>
              <w:spacing w:before="40" w:after="40"/>
              <w:jc w:val="right"/>
              <w:rPr>
                <w:szCs w:val="18"/>
              </w:rPr>
            </w:pPr>
            <w:r w:rsidRPr="00BD16B4">
              <w:rPr>
                <w:szCs w:val="18"/>
              </w:rPr>
              <w:t>7,991.84</w:t>
            </w:r>
          </w:p>
        </w:tc>
        <w:tc>
          <w:tcPr>
            <w:tcW w:w="1111" w:type="dxa"/>
          </w:tcPr>
          <w:p w14:paraId="32619D1B" w14:textId="77777777" w:rsidR="00ED2EBD" w:rsidRPr="00BD16B4" w:rsidRDefault="00ED2EBD" w:rsidP="004A205F">
            <w:pPr>
              <w:pStyle w:val="TableText"/>
              <w:spacing w:before="40" w:after="40"/>
              <w:jc w:val="right"/>
              <w:rPr>
                <w:szCs w:val="18"/>
              </w:rPr>
            </w:pPr>
            <w:r w:rsidRPr="00BD16B4">
              <w:rPr>
                <w:szCs w:val="18"/>
              </w:rPr>
              <w:t>8,501.47</w:t>
            </w:r>
          </w:p>
        </w:tc>
        <w:tc>
          <w:tcPr>
            <w:tcW w:w="1123" w:type="dxa"/>
          </w:tcPr>
          <w:p w14:paraId="65D4E129" w14:textId="77777777" w:rsidR="00ED2EBD" w:rsidRPr="00BD16B4" w:rsidRDefault="00ED2EBD" w:rsidP="004A205F">
            <w:pPr>
              <w:pStyle w:val="TableText"/>
              <w:spacing w:before="40" w:after="40"/>
              <w:jc w:val="right"/>
              <w:rPr>
                <w:szCs w:val="18"/>
              </w:rPr>
            </w:pPr>
            <w:r w:rsidRPr="00BD16B4">
              <w:rPr>
                <w:szCs w:val="18"/>
              </w:rPr>
              <w:t>8,165.39</w:t>
            </w:r>
          </w:p>
        </w:tc>
        <w:tc>
          <w:tcPr>
            <w:tcW w:w="1123" w:type="dxa"/>
          </w:tcPr>
          <w:p w14:paraId="32CEBF42" w14:textId="77777777" w:rsidR="00ED2EBD" w:rsidRPr="00BD16B4" w:rsidRDefault="00ED2EBD" w:rsidP="004A205F">
            <w:pPr>
              <w:pStyle w:val="TableText"/>
              <w:spacing w:before="40" w:after="40"/>
              <w:jc w:val="right"/>
              <w:rPr>
                <w:szCs w:val="18"/>
              </w:rPr>
            </w:pPr>
            <w:r w:rsidRPr="00BD16B4">
              <w:rPr>
                <w:szCs w:val="18"/>
              </w:rPr>
              <w:t>11,490.90</w:t>
            </w:r>
          </w:p>
        </w:tc>
        <w:tc>
          <w:tcPr>
            <w:tcW w:w="1123" w:type="dxa"/>
          </w:tcPr>
          <w:p w14:paraId="408C06E4" w14:textId="77777777" w:rsidR="00ED2EBD" w:rsidRPr="00BD16B4" w:rsidRDefault="00ED2EBD" w:rsidP="004A205F">
            <w:pPr>
              <w:pStyle w:val="TableText"/>
              <w:spacing w:before="40" w:after="40"/>
              <w:jc w:val="right"/>
              <w:rPr>
                <w:szCs w:val="18"/>
              </w:rPr>
            </w:pPr>
            <w:r w:rsidRPr="00BD16B4">
              <w:rPr>
                <w:szCs w:val="18"/>
              </w:rPr>
              <w:t>13,458.24</w:t>
            </w:r>
          </w:p>
        </w:tc>
        <w:tc>
          <w:tcPr>
            <w:tcW w:w="1126" w:type="dxa"/>
          </w:tcPr>
          <w:p w14:paraId="56F13058" w14:textId="77777777" w:rsidR="00ED2EBD" w:rsidRPr="00BD16B4" w:rsidRDefault="00ED2EBD" w:rsidP="004A205F">
            <w:pPr>
              <w:pStyle w:val="TableText"/>
              <w:spacing w:before="40" w:after="40"/>
              <w:jc w:val="right"/>
              <w:rPr>
                <w:szCs w:val="18"/>
              </w:rPr>
            </w:pPr>
            <w:r w:rsidRPr="00BD16B4">
              <w:rPr>
                <w:szCs w:val="18"/>
              </w:rPr>
              <w:t>13,772.75</w:t>
            </w:r>
          </w:p>
        </w:tc>
        <w:tc>
          <w:tcPr>
            <w:tcW w:w="1126" w:type="dxa"/>
          </w:tcPr>
          <w:p w14:paraId="7DD87FCC" w14:textId="77777777" w:rsidR="00ED2EBD" w:rsidRPr="00BD16B4" w:rsidRDefault="00ED2EBD" w:rsidP="004A205F">
            <w:pPr>
              <w:pStyle w:val="TableText"/>
              <w:spacing w:before="40" w:after="40"/>
              <w:jc w:val="right"/>
              <w:rPr>
                <w:szCs w:val="18"/>
              </w:rPr>
            </w:pPr>
            <w:r w:rsidRPr="00BD16B4">
              <w:rPr>
                <w:szCs w:val="18"/>
              </w:rPr>
              <w:t>7,645.31</w:t>
            </w:r>
          </w:p>
        </w:tc>
        <w:tc>
          <w:tcPr>
            <w:tcW w:w="1111" w:type="dxa"/>
          </w:tcPr>
          <w:p w14:paraId="75ABC186" w14:textId="77777777" w:rsidR="00ED2EBD" w:rsidRPr="00BD16B4" w:rsidRDefault="00ED2EBD" w:rsidP="004A205F">
            <w:pPr>
              <w:pStyle w:val="TableText"/>
              <w:spacing w:before="40" w:after="40"/>
              <w:jc w:val="right"/>
              <w:rPr>
                <w:szCs w:val="18"/>
              </w:rPr>
            </w:pPr>
            <w:r w:rsidRPr="00BD16B4">
              <w:rPr>
                <w:szCs w:val="18"/>
              </w:rPr>
              <w:t>5,893.12</w:t>
            </w:r>
          </w:p>
        </w:tc>
      </w:tr>
      <w:tr w:rsidR="00ED2EBD" w:rsidRPr="00BD16B4" w14:paraId="068AD015" w14:textId="77777777" w:rsidTr="004A205F">
        <w:tc>
          <w:tcPr>
            <w:tcW w:w="2048" w:type="dxa"/>
          </w:tcPr>
          <w:p w14:paraId="0C0D24AF" w14:textId="77777777" w:rsidR="00ED2EBD" w:rsidRPr="00BD16B4" w:rsidRDefault="00ED2EBD" w:rsidP="004A205F">
            <w:pPr>
              <w:pStyle w:val="TableText"/>
              <w:spacing w:before="40" w:after="40"/>
              <w:rPr>
                <w:szCs w:val="18"/>
              </w:rPr>
            </w:pPr>
            <w:r w:rsidRPr="00BD16B4">
              <w:rPr>
                <w:szCs w:val="18"/>
              </w:rPr>
              <w:t>CH</w:t>
            </w:r>
            <w:r w:rsidRPr="00BD16B4">
              <w:rPr>
                <w:color w:val="000000"/>
                <w:szCs w:val="18"/>
                <w:vertAlign w:val="subscript"/>
              </w:rPr>
              <w:t>4</w:t>
            </w:r>
            <w:r w:rsidRPr="00BD16B4">
              <w:rPr>
                <w:color w:val="000000"/>
                <w:szCs w:val="18"/>
              </w:rPr>
              <w:t xml:space="preserve"> emissions without CH</w:t>
            </w:r>
            <w:r w:rsidRPr="00BD16B4">
              <w:rPr>
                <w:color w:val="000000"/>
                <w:szCs w:val="18"/>
                <w:vertAlign w:val="subscript"/>
              </w:rPr>
              <w:t>4</w:t>
            </w:r>
            <w:r w:rsidRPr="00BD16B4">
              <w:rPr>
                <w:color w:val="000000"/>
                <w:szCs w:val="18"/>
              </w:rPr>
              <w:t xml:space="preserve"> from LULUCF</w:t>
            </w:r>
          </w:p>
        </w:tc>
        <w:tc>
          <w:tcPr>
            <w:tcW w:w="1229" w:type="dxa"/>
          </w:tcPr>
          <w:p w14:paraId="6F450ADD" w14:textId="77777777" w:rsidR="00ED2EBD" w:rsidRPr="00BD16B4" w:rsidRDefault="00ED2EBD" w:rsidP="004A205F">
            <w:pPr>
              <w:pStyle w:val="TableText"/>
              <w:spacing w:before="40" w:after="40"/>
              <w:jc w:val="right"/>
              <w:rPr>
                <w:szCs w:val="18"/>
              </w:rPr>
            </w:pPr>
            <w:r w:rsidRPr="00BD16B4">
              <w:rPr>
                <w:szCs w:val="18"/>
              </w:rPr>
              <w:t>35,127.95</w:t>
            </w:r>
          </w:p>
        </w:tc>
        <w:tc>
          <w:tcPr>
            <w:tcW w:w="1129" w:type="dxa"/>
          </w:tcPr>
          <w:p w14:paraId="46BEB074" w14:textId="77777777" w:rsidR="00ED2EBD" w:rsidRPr="00BD16B4" w:rsidRDefault="00ED2EBD" w:rsidP="004A205F">
            <w:pPr>
              <w:pStyle w:val="TableText"/>
              <w:spacing w:before="40" w:after="40"/>
              <w:jc w:val="right"/>
              <w:rPr>
                <w:szCs w:val="18"/>
              </w:rPr>
            </w:pPr>
            <w:r w:rsidRPr="00BD16B4">
              <w:rPr>
                <w:szCs w:val="18"/>
              </w:rPr>
              <w:t>35,951.60</w:t>
            </w:r>
          </w:p>
        </w:tc>
        <w:tc>
          <w:tcPr>
            <w:tcW w:w="1126" w:type="dxa"/>
          </w:tcPr>
          <w:p w14:paraId="1C8428D6" w14:textId="77777777" w:rsidR="00ED2EBD" w:rsidRPr="00BD16B4" w:rsidRDefault="00ED2EBD" w:rsidP="004A205F">
            <w:pPr>
              <w:pStyle w:val="TableText"/>
              <w:spacing w:before="40" w:after="40"/>
              <w:jc w:val="right"/>
              <w:rPr>
                <w:szCs w:val="18"/>
              </w:rPr>
            </w:pPr>
            <w:r w:rsidRPr="00BD16B4">
              <w:rPr>
                <w:szCs w:val="18"/>
              </w:rPr>
              <w:t>36,370.66</w:t>
            </w:r>
          </w:p>
        </w:tc>
        <w:tc>
          <w:tcPr>
            <w:tcW w:w="1126" w:type="dxa"/>
          </w:tcPr>
          <w:p w14:paraId="151F534A" w14:textId="77777777" w:rsidR="00ED2EBD" w:rsidRPr="00BD16B4" w:rsidRDefault="00ED2EBD" w:rsidP="004A205F">
            <w:pPr>
              <w:pStyle w:val="TableText"/>
              <w:spacing w:before="40" w:after="40"/>
              <w:jc w:val="right"/>
              <w:rPr>
                <w:szCs w:val="18"/>
              </w:rPr>
            </w:pPr>
            <w:r w:rsidRPr="00BD16B4">
              <w:rPr>
                <w:szCs w:val="18"/>
              </w:rPr>
              <w:t>36,079.86</w:t>
            </w:r>
          </w:p>
        </w:tc>
        <w:tc>
          <w:tcPr>
            <w:tcW w:w="1111" w:type="dxa"/>
          </w:tcPr>
          <w:p w14:paraId="6DCB048A" w14:textId="77777777" w:rsidR="00ED2EBD" w:rsidRPr="00BD16B4" w:rsidRDefault="00ED2EBD" w:rsidP="004A205F">
            <w:pPr>
              <w:pStyle w:val="TableText"/>
              <w:spacing w:before="40" w:after="40"/>
              <w:jc w:val="right"/>
              <w:rPr>
                <w:szCs w:val="18"/>
              </w:rPr>
            </w:pPr>
            <w:r w:rsidRPr="00BD16B4">
              <w:rPr>
                <w:szCs w:val="18"/>
              </w:rPr>
              <w:t>36,160.67</w:t>
            </w:r>
          </w:p>
        </w:tc>
        <w:tc>
          <w:tcPr>
            <w:tcW w:w="1123" w:type="dxa"/>
          </w:tcPr>
          <w:p w14:paraId="207A06FD" w14:textId="77777777" w:rsidR="00ED2EBD" w:rsidRPr="00BD16B4" w:rsidRDefault="00ED2EBD" w:rsidP="004A205F">
            <w:pPr>
              <w:pStyle w:val="TableText"/>
              <w:spacing w:before="40" w:after="40"/>
              <w:jc w:val="right"/>
              <w:rPr>
                <w:szCs w:val="18"/>
              </w:rPr>
            </w:pPr>
            <w:r w:rsidRPr="00BD16B4">
              <w:rPr>
                <w:szCs w:val="18"/>
              </w:rPr>
              <w:t>36,215.13</w:t>
            </w:r>
          </w:p>
        </w:tc>
        <w:tc>
          <w:tcPr>
            <w:tcW w:w="1123" w:type="dxa"/>
          </w:tcPr>
          <w:p w14:paraId="046ADE46" w14:textId="77777777" w:rsidR="00ED2EBD" w:rsidRPr="00BD16B4" w:rsidRDefault="00ED2EBD" w:rsidP="004A205F">
            <w:pPr>
              <w:pStyle w:val="TableText"/>
              <w:spacing w:before="40" w:after="40"/>
              <w:jc w:val="right"/>
              <w:rPr>
                <w:szCs w:val="18"/>
              </w:rPr>
            </w:pPr>
            <w:r w:rsidRPr="00BD16B4">
              <w:rPr>
                <w:szCs w:val="18"/>
              </w:rPr>
              <w:t>36,522.93</w:t>
            </w:r>
          </w:p>
        </w:tc>
        <w:tc>
          <w:tcPr>
            <w:tcW w:w="1123" w:type="dxa"/>
          </w:tcPr>
          <w:p w14:paraId="12DDC60D" w14:textId="77777777" w:rsidR="00ED2EBD" w:rsidRPr="00BD16B4" w:rsidRDefault="00ED2EBD" w:rsidP="004A205F">
            <w:pPr>
              <w:pStyle w:val="TableText"/>
              <w:spacing w:before="40" w:after="40"/>
              <w:jc w:val="right"/>
              <w:rPr>
                <w:szCs w:val="18"/>
              </w:rPr>
            </w:pPr>
            <w:r w:rsidRPr="00BD16B4">
              <w:rPr>
                <w:szCs w:val="18"/>
              </w:rPr>
              <w:t>36,850.14</w:t>
            </w:r>
          </w:p>
        </w:tc>
        <w:tc>
          <w:tcPr>
            <w:tcW w:w="1126" w:type="dxa"/>
          </w:tcPr>
          <w:p w14:paraId="6103910D" w14:textId="77777777" w:rsidR="00ED2EBD" w:rsidRPr="00BD16B4" w:rsidRDefault="00ED2EBD" w:rsidP="004A205F">
            <w:pPr>
              <w:pStyle w:val="TableText"/>
              <w:spacing w:before="40" w:after="40"/>
              <w:jc w:val="right"/>
              <w:rPr>
                <w:szCs w:val="18"/>
              </w:rPr>
            </w:pPr>
            <w:r w:rsidRPr="00BD16B4">
              <w:rPr>
                <w:szCs w:val="18"/>
              </w:rPr>
              <w:t>35,794.38</w:t>
            </w:r>
          </w:p>
        </w:tc>
        <w:tc>
          <w:tcPr>
            <w:tcW w:w="1126" w:type="dxa"/>
          </w:tcPr>
          <w:p w14:paraId="60E07FA1" w14:textId="77777777" w:rsidR="00ED2EBD" w:rsidRPr="00BD16B4" w:rsidRDefault="00ED2EBD" w:rsidP="004A205F">
            <w:pPr>
              <w:pStyle w:val="TableText"/>
              <w:spacing w:before="40" w:after="40"/>
              <w:jc w:val="right"/>
              <w:rPr>
                <w:szCs w:val="18"/>
              </w:rPr>
            </w:pPr>
            <w:r w:rsidRPr="00BD16B4">
              <w:rPr>
                <w:szCs w:val="18"/>
              </w:rPr>
              <w:t>34,369.57</w:t>
            </w:r>
          </w:p>
        </w:tc>
        <w:tc>
          <w:tcPr>
            <w:tcW w:w="1111" w:type="dxa"/>
          </w:tcPr>
          <w:p w14:paraId="1F8D3083" w14:textId="77777777" w:rsidR="00ED2EBD" w:rsidRPr="00BD16B4" w:rsidRDefault="00ED2EBD" w:rsidP="004A205F">
            <w:pPr>
              <w:pStyle w:val="TableText"/>
              <w:spacing w:before="40" w:after="40"/>
              <w:jc w:val="right"/>
              <w:rPr>
                <w:szCs w:val="18"/>
              </w:rPr>
            </w:pPr>
            <w:r w:rsidRPr="00BD16B4">
              <w:rPr>
                <w:szCs w:val="18"/>
              </w:rPr>
              <w:t>34,522.16</w:t>
            </w:r>
          </w:p>
        </w:tc>
      </w:tr>
      <w:tr w:rsidR="00ED2EBD" w:rsidRPr="00BD16B4" w14:paraId="2D1FE9CF" w14:textId="77777777" w:rsidTr="004A205F">
        <w:tc>
          <w:tcPr>
            <w:tcW w:w="2048" w:type="dxa"/>
          </w:tcPr>
          <w:p w14:paraId="165D7BD7" w14:textId="77777777" w:rsidR="00ED2EBD" w:rsidRPr="00BD16B4" w:rsidRDefault="00ED2EBD" w:rsidP="004A205F">
            <w:pPr>
              <w:pStyle w:val="TableText"/>
              <w:spacing w:before="40" w:after="40"/>
              <w:rPr>
                <w:szCs w:val="18"/>
              </w:rPr>
            </w:pPr>
            <w:r w:rsidRPr="00BD16B4">
              <w:rPr>
                <w:szCs w:val="18"/>
              </w:rPr>
              <w:t>CH</w:t>
            </w:r>
            <w:r w:rsidRPr="00BD16B4">
              <w:rPr>
                <w:color w:val="000000"/>
                <w:szCs w:val="18"/>
                <w:vertAlign w:val="subscript"/>
              </w:rPr>
              <w:t>4</w:t>
            </w:r>
            <w:r w:rsidRPr="00BD16B4">
              <w:rPr>
                <w:color w:val="000000"/>
                <w:szCs w:val="18"/>
              </w:rPr>
              <w:t xml:space="preserve"> emissions with CH</w:t>
            </w:r>
            <w:r w:rsidRPr="00BD16B4">
              <w:rPr>
                <w:color w:val="000000"/>
                <w:szCs w:val="18"/>
                <w:vertAlign w:val="subscript"/>
              </w:rPr>
              <w:t>4</w:t>
            </w:r>
            <w:r w:rsidRPr="00BD16B4">
              <w:rPr>
                <w:color w:val="000000"/>
                <w:szCs w:val="18"/>
              </w:rPr>
              <w:t xml:space="preserve"> from LULUCF</w:t>
            </w:r>
          </w:p>
        </w:tc>
        <w:tc>
          <w:tcPr>
            <w:tcW w:w="1229" w:type="dxa"/>
          </w:tcPr>
          <w:p w14:paraId="1B64A227" w14:textId="77777777" w:rsidR="00ED2EBD" w:rsidRPr="00BD16B4" w:rsidRDefault="00ED2EBD" w:rsidP="004A205F">
            <w:pPr>
              <w:pStyle w:val="TableText"/>
              <w:spacing w:before="40" w:after="40"/>
              <w:jc w:val="right"/>
              <w:rPr>
                <w:szCs w:val="18"/>
              </w:rPr>
            </w:pPr>
            <w:r w:rsidRPr="00BD16B4">
              <w:rPr>
                <w:szCs w:val="18"/>
              </w:rPr>
              <w:t>35,207.39</w:t>
            </w:r>
          </w:p>
        </w:tc>
        <w:tc>
          <w:tcPr>
            <w:tcW w:w="1129" w:type="dxa"/>
          </w:tcPr>
          <w:p w14:paraId="7EAD6ABC" w14:textId="77777777" w:rsidR="00ED2EBD" w:rsidRPr="00BD16B4" w:rsidRDefault="00ED2EBD" w:rsidP="004A205F">
            <w:pPr>
              <w:pStyle w:val="TableText"/>
              <w:spacing w:before="40" w:after="40"/>
              <w:jc w:val="right"/>
              <w:rPr>
                <w:szCs w:val="18"/>
              </w:rPr>
            </w:pPr>
            <w:r w:rsidRPr="00BD16B4">
              <w:rPr>
                <w:szCs w:val="18"/>
              </w:rPr>
              <w:t>36,021.62</w:t>
            </w:r>
          </w:p>
        </w:tc>
        <w:tc>
          <w:tcPr>
            <w:tcW w:w="1126" w:type="dxa"/>
          </w:tcPr>
          <w:p w14:paraId="5DE4B3D1" w14:textId="77777777" w:rsidR="00ED2EBD" w:rsidRPr="00BD16B4" w:rsidRDefault="00ED2EBD" w:rsidP="004A205F">
            <w:pPr>
              <w:pStyle w:val="TableText"/>
              <w:spacing w:before="40" w:after="40"/>
              <w:jc w:val="right"/>
              <w:rPr>
                <w:szCs w:val="18"/>
              </w:rPr>
            </w:pPr>
            <w:r w:rsidRPr="00BD16B4">
              <w:rPr>
                <w:szCs w:val="18"/>
              </w:rPr>
              <w:t>36,445.11</w:t>
            </w:r>
          </w:p>
        </w:tc>
        <w:tc>
          <w:tcPr>
            <w:tcW w:w="1126" w:type="dxa"/>
          </w:tcPr>
          <w:p w14:paraId="29D34D24" w14:textId="77777777" w:rsidR="00ED2EBD" w:rsidRPr="00BD16B4" w:rsidRDefault="00ED2EBD" w:rsidP="004A205F">
            <w:pPr>
              <w:pStyle w:val="TableText"/>
              <w:spacing w:before="40" w:after="40"/>
              <w:jc w:val="right"/>
              <w:rPr>
                <w:szCs w:val="18"/>
              </w:rPr>
            </w:pPr>
            <w:r w:rsidRPr="00BD16B4">
              <w:rPr>
                <w:szCs w:val="18"/>
              </w:rPr>
              <w:t>36,156.64</w:t>
            </w:r>
          </w:p>
        </w:tc>
        <w:tc>
          <w:tcPr>
            <w:tcW w:w="1111" w:type="dxa"/>
          </w:tcPr>
          <w:p w14:paraId="2A432D5B" w14:textId="77777777" w:rsidR="00ED2EBD" w:rsidRPr="00BD16B4" w:rsidRDefault="00ED2EBD" w:rsidP="004A205F">
            <w:pPr>
              <w:pStyle w:val="TableText"/>
              <w:spacing w:before="40" w:after="40"/>
              <w:jc w:val="right"/>
              <w:rPr>
                <w:szCs w:val="18"/>
              </w:rPr>
            </w:pPr>
            <w:r w:rsidRPr="00BD16B4">
              <w:rPr>
                <w:szCs w:val="18"/>
              </w:rPr>
              <w:t>36,242.71</w:t>
            </w:r>
          </w:p>
        </w:tc>
        <w:tc>
          <w:tcPr>
            <w:tcW w:w="1123" w:type="dxa"/>
          </w:tcPr>
          <w:p w14:paraId="6E2FB646" w14:textId="77777777" w:rsidR="00ED2EBD" w:rsidRPr="00BD16B4" w:rsidRDefault="00ED2EBD" w:rsidP="004A205F">
            <w:pPr>
              <w:pStyle w:val="TableText"/>
              <w:spacing w:before="40" w:after="40"/>
              <w:jc w:val="right"/>
              <w:rPr>
                <w:szCs w:val="18"/>
              </w:rPr>
            </w:pPr>
            <w:r w:rsidRPr="00BD16B4">
              <w:rPr>
                <w:szCs w:val="18"/>
              </w:rPr>
              <w:t>36,290.72</w:t>
            </w:r>
          </w:p>
        </w:tc>
        <w:tc>
          <w:tcPr>
            <w:tcW w:w="1123" w:type="dxa"/>
          </w:tcPr>
          <w:p w14:paraId="3770A0CE" w14:textId="77777777" w:rsidR="00ED2EBD" w:rsidRPr="00BD16B4" w:rsidRDefault="00ED2EBD" w:rsidP="004A205F">
            <w:pPr>
              <w:pStyle w:val="TableText"/>
              <w:spacing w:before="40" w:after="40"/>
              <w:jc w:val="right"/>
              <w:rPr>
                <w:szCs w:val="18"/>
              </w:rPr>
            </w:pPr>
            <w:r w:rsidRPr="00BD16B4">
              <w:rPr>
                <w:szCs w:val="18"/>
              </w:rPr>
              <w:t>36,633.80</w:t>
            </w:r>
          </w:p>
        </w:tc>
        <w:tc>
          <w:tcPr>
            <w:tcW w:w="1123" w:type="dxa"/>
          </w:tcPr>
          <w:p w14:paraId="76D5BE99" w14:textId="77777777" w:rsidR="00ED2EBD" w:rsidRPr="00BD16B4" w:rsidRDefault="00ED2EBD" w:rsidP="004A205F">
            <w:pPr>
              <w:pStyle w:val="TableText"/>
              <w:spacing w:before="40" w:after="40"/>
              <w:jc w:val="right"/>
              <w:rPr>
                <w:szCs w:val="18"/>
              </w:rPr>
            </w:pPr>
            <w:r w:rsidRPr="00BD16B4">
              <w:rPr>
                <w:szCs w:val="18"/>
              </w:rPr>
              <w:t>36,963.59</w:t>
            </w:r>
          </w:p>
        </w:tc>
        <w:tc>
          <w:tcPr>
            <w:tcW w:w="1126" w:type="dxa"/>
          </w:tcPr>
          <w:p w14:paraId="00FDE387" w14:textId="77777777" w:rsidR="00ED2EBD" w:rsidRPr="00BD16B4" w:rsidRDefault="00ED2EBD" w:rsidP="004A205F">
            <w:pPr>
              <w:pStyle w:val="TableText"/>
              <w:spacing w:before="40" w:after="40"/>
              <w:jc w:val="right"/>
              <w:rPr>
                <w:szCs w:val="18"/>
              </w:rPr>
            </w:pPr>
            <w:r w:rsidRPr="00BD16B4">
              <w:rPr>
                <w:szCs w:val="18"/>
              </w:rPr>
              <w:t>35,944.48</w:t>
            </w:r>
          </w:p>
        </w:tc>
        <w:tc>
          <w:tcPr>
            <w:tcW w:w="1126" w:type="dxa"/>
          </w:tcPr>
          <w:p w14:paraId="270E73E8" w14:textId="77777777" w:rsidR="00ED2EBD" w:rsidRPr="00BD16B4" w:rsidRDefault="00ED2EBD" w:rsidP="004A205F">
            <w:pPr>
              <w:pStyle w:val="TableText"/>
              <w:spacing w:before="40" w:after="40"/>
              <w:jc w:val="right"/>
              <w:rPr>
                <w:szCs w:val="18"/>
              </w:rPr>
            </w:pPr>
            <w:r w:rsidRPr="00BD16B4">
              <w:rPr>
                <w:szCs w:val="18"/>
              </w:rPr>
              <w:t>34,446.58</w:t>
            </w:r>
          </w:p>
        </w:tc>
        <w:tc>
          <w:tcPr>
            <w:tcW w:w="1111" w:type="dxa"/>
          </w:tcPr>
          <w:p w14:paraId="70815828" w14:textId="77777777" w:rsidR="00ED2EBD" w:rsidRPr="00BD16B4" w:rsidRDefault="00ED2EBD" w:rsidP="004A205F">
            <w:pPr>
              <w:pStyle w:val="TableText"/>
              <w:spacing w:before="40" w:after="40"/>
              <w:jc w:val="right"/>
              <w:rPr>
                <w:szCs w:val="18"/>
              </w:rPr>
            </w:pPr>
            <w:r w:rsidRPr="00BD16B4">
              <w:rPr>
                <w:szCs w:val="18"/>
              </w:rPr>
              <w:t>34,620.16</w:t>
            </w:r>
          </w:p>
        </w:tc>
      </w:tr>
      <w:tr w:rsidR="00ED2EBD" w:rsidRPr="00BD16B4" w14:paraId="3E6A046F" w14:textId="77777777" w:rsidTr="004A205F">
        <w:tc>
          <w:tcPr>
            <w:tcW w:w="2048" w:type="dxa"/>
          </w:tcPr>
          <w:p w14:paraId="3C598264" w14:textId="77777777" w:rsidR="00ED2EBD" w:rsidRPr="00BD16B4" w:rsidRDefault="00ED2EBD" w:rsidP="004A205F">
            <w:pPr>
              <w:pStyle w:val="TableText"/>
              <w:spacing w:before="40" w:after="40"/>
              <w:rPr>
                <w:szCs w:val="18"/>
              </w:rPr>
            </w:pPr>
            <w:r w:rsidRPr="00BD16B4">
              <w:rPr>
                <w:szCs w:val="18"/>
              </w:rPr>
              <w:t>N</w:t>
            </w:r>
            <w:r w:rsidRPr="00BD16B4">
              <w:rPr>
                <w:color w:val="000000"/>
                <w:szCs w:val="18"/>
                <w:vertAlign w:val="subscript"/>
              </w:rPr>
              <w:t>2</w:t>
            </w:r>
            <w:r w:rsidRPr="00BD16B4">
              <w:rPr>
                <w:color w:val="000000"/>
                <w:szCs w:val="18"/>
              </w:rPr>
              <w:t>O emissions without N</w:t>
            </w:r>
            <w:r w:rsidRPr="00BD16B4">
              <w:rPr>
                <w:color w:val="000000"/>
                <w:szCs w:val="18"/>
                <w:vertAlign w:val="subscript"/>
              </w:rPr>
              <w:t>2</w:t>
            </w:r>
            <w:r w:rsidRPr="00BD16B4">
              <w:rPr>
                <w:color w:val="000000"/>
                <w:szCs w:val="18"/>
              </w:rPr>
              <w:t>O from LULUCF</w:t>
            </w:r>
          </w:p>
        </w:tc>
        <w:tc>
          <w:tcPr>
            <w:tcW w:w="1229" w:type="dxa"/>
          </w:tcPr>
          <w:p w14:paraId="50EC0826" w14:textId="77777777" w:rsidR="00ED2EBD" w:rsidRPr="00BD16B4" w:rsidRDefault="00ED2EBD" w:rsidP="004A205F">
            <w:pPr>
              <w:pStyle w:val="TableText"/>
              <w:spacing w:before="40" w:after="40"/>
              <w:jc w:val="right"/>
              <w:rPr>
                <w:szCs w:val="18"/>
              </w:rPr>
            </w:pPr>
            <w:r w:rsidRPr="00BD16B4">
              <w:rPr>
                <w:szCs w:val="18"/>
              </w:rPr>
              <w:t>6,697.21</w:t>
            </w:r>
          </w:p>
        </w:tc>
        <w:tc>
          <w:tcPr>
            <w:tcW w:w="1129" w:type="dxa"/>
          </w:tcPr>
          <w:p w14:paraId="0A018122" w14:textId="77777777" w:rsidR="00ED2EBD" w:rsidRPr="00BD16B4" w:rsidRDefault="00ED2EBD" w:rsidP="004A205F">
            <w:pPr>
              <w:pStyle w:val="TableText"/>
              <w:spacing w:before="40" w:after="40"/>
              <w:jc w:val="right"/>
              <w:rPr>
                <w:szCs w:val="18"/>
              </w:rPr>
            </w:pPr>
            <w:r w:rsidRPr="00BD16B4">
              <w:rPr>
                <w:szCs w:val="18"/>
              </w:rPr>
              <w:t>6,996.74</w:t>
            </w:r>
          </w:p>
        </w:tc>
        <w:tc>
          <w:tcPr>
            <w:tcW w:w="1126" w:type="dxa"/>
          </w:tcPr>
          <w:p w14:paraId="76C3BB55" w14:textId="77777777" w:rsidR="00ED2EBD" w:rsidRPr="00BD16B4" w:rsidRDefault="00ED2EBD" w:rsidP="004A205F">
            <w:pPr>
              <w:pStyle w:val="TableText"/>
              <w:spacing w:before="40" w:after="40"/>
              <w:jc w:val="right"/>
              <w:rPr>
                <w:szCs w:val="18"/>
              </w:rPr>
            </w:pPr>
            <w:r w:rsidRPr="00BD16B4">
              <w:rPr>
                <w:szCs w:val="18"/>
              </w:rPr>
              <w:t>7,363.34</w:t>
            </w:r>
          </w:p>
        </w:tc>
        <w:tc>
          <w:tcPr>
            <w:tcW w:w="1126" w:type="dxa"/>
          </w:tcPr>
          <w:p w14:paraId="4DF69EBE" w14:textId="77777777" w:rsidR="00ED2EBD" w:rsidRPr="00BD16B4" w:rsidRDefault="00ED2EBD" w:rsidP="004A205F">
            <w:pPr>
              <w:pStyle w:val="TableText"/>
              <w:spacing w:before="40" w:after="40"/>
              <w:jc w:val="right"/>
              <w:rPr>
                <w:szCs w:val="18"/>
              </w:rPr>
            </w:pPr>
            <w:r w:rsidRPr="00BD16B4">
              <w:rPr>
                <w:szCs w:val="18"/>
              </w:rPr>
              <w:t>7,463.59</w:t>
            </w:r>
          </w:p>
        </w:tc>
        <w:tc>
          <w:tcPr>
            <w:tcW w:w="1111" w:type="dxa"/>
          </w:tcPr>
          <w:p w14:paraId="0934CA66" w14:textId="77777777" w:rsidR="00ED2EBD" w:rsidRPr="00BD16B4" w:rsidRDefault="00ED2EBD" w:rsidP="004A205F">
            <w:pPr>
              <w:pStyle w:val="TableText"/>
              <w:spacing w:before="40" w:after="40"/>
              <w:jc w:val="right"/>
              <w:rPr>
                <w:szCs w:val="18"/>
              </w:rPr>
            </w:pPr>
            <w:r w:rsidRPr="00BD16B4">
              <w:rPr>
                <w:szCs w:val="18"/>
              </w:rPr>
              <w:t>7,726.31</w:t>
            </w:r>
          </w:p>
        </w:tc>
        <w:tc>
          <w:tcPr>
            <w:tcW w:w="1123" w:type="dxa"/>
          </w:tcPr>
          <w:p w14:paraId="494569B2" w14:textId="77777777" w:rsidR="00ED2EBD" w:rsidRPr="00BD16B4" w:rsidRDefault="00ED2EBD" w:rsidP="004A205F">
            <w:pPr>
              <w:pStyle w:val="TableText"/>
              <w:spacing w:before="40" w:after="40"/>
              <w:jc w:val="right"/>
              <w:rPr>
                <w:szCs w:val="18"/>
              </w:rPr>
            </w:pPr>
            <w:r w:rsidRPr="00BD16B4">
              <w:rPr>
                <w:szCs w:val="18"/>
              </w:rPr>
              <w:t>7,859.35</w:t>
            </w:r>
          </w:p>
        </w:tc>
        <w:tc>
          <w:tcPr>
            <w:tcW w:w="1123" w:type="dxa"/>
          </w:tcPr>
          <w:p w14:paraId="06F4A5D0" w14:textId="77777777" w:rsidR="00ED2EBD" w:rsidRPr="00BD16B4" w:rsidRDefault="00ED2EBD" w:rsidP="004A205F">
            <w:pPr>
              <w:pStyle w:val="TableText"/>
              <w:spacing w:before="40" w:after="40"/>
              <w:jc w:val="right"/>
              <w:rPr>
                <w:szCs w:val="18"/>
              </w:rPr>
            </w:pPr>
            <w:r w:rsidRPr="00BD16B4">
              <w:rPr>
                <w:szCs w:val="18"/>
              </w:rPr>
              <w:t>7,930.30</w:t>
            </w:r>
          </w:p>
        </w:tc>
        <w:tc>
          <w:tcPr>
            <w:tcW w:w="1123" w:type="dxa"/>
          </w:tcPr>
          <w:p w14:paraId="7289CF5C" w14:textId="77777777" w:rsidR="00ED2EBD" w:rsidRPr="00BD16B4" w:rsidRDefault="00ED2EBD" w:rsidP="004A205F">
            <w:pPr>
              <w:pStyle w:val="TableText"/>
              <w:spacing w:before="40" w:after="40"/>
              <w:jc w:val="right"/>
              <w:rPr>
                <w:szCs w:val="18"/>
              </w:rPr>
            </w:pPr>
            <w:r w:rsidRPr="00BD16B4">
              <w:rPr>
                <w:szCs w:val="18"/>
              </w:rPr>
              <w:t>7,725.79</w:t>
            </w:r>
          </w:p>
        </w:tc>
        <w:tc>
          <w:tcPr>
            <w:tcW w:w="1126" w:type="dxa"/>
          </w:tcPr>
          <w:p w14:paraId="2BE50278" w14:textId="77777777" w:rsidR="00ED2EBD" w:rsidRPr="00BD16B4" w:rsidRDefault="00ED2EBD" w:rsidP="004A205F">
            <w:pPr>
              <w:pStyle w:val="TableText"/>
              <w:spacing w:before="40" w:after="40"/>
              <w:jc w:val="right"/>
              <w:rPr>
                <w:szCs w:val="18"/>
              </w:rPr>
            </w:pPr>
            <w:r w:rsidRPr="00BD16B4">
              <w:rPr>
                <w:szCs w:val="18"/>
              </w:rPr>
              <w:t>7,537.10</w:t>
            </w:r>
          </w:p>
        </w:tc>
        <w:tc>
          <w:tcPr>
            <w:tcW w:w="1126" w:type="dxa"/>
          </w:tcPr>
          <w:p w14:paraId="0B9C8DCA" w14:textId="77777777" w:rsidR="00ED2EBD" w:rsidRPr="00BD16B4" w:rsidRDefault="00ED2EBD" w:rsidP="004A205F">
            <w:pPr>
              <w:pStyle w:val="TableText"/>
              <w:spacing w:before="40" w:after="40"/>
              <w:jc w:val="right"/>
              <w:rPr>
                <w:szCs w:val="18"/>
              </w:rPr>
            </w:pPr>
            <w:r w:rsidRPr="00BD16B4">
              <w:rPr>
                <w:szCs w:val="18"/>
              </w:rPr>
              <w:t>7,537.22</w:t>
            </w:r>
          </w:p>
        </w:tc>
        <w:tc>
          <w:tcPr>
            <w:tcW w:w="1111" w:type="dxa"/>
          </w:tcPr>
          <w:p w14:paraId="0FF829D8" w14:textId="77777777" w:rsidR="00ED2EBD" w:rsidRPr="00BD16B4" w:rsidRDefault="00ED2EBD" w:rsidP="004A205F">
            <w:pPr>
              <w:pStyle w:val="TableText"/>
              <w:spacing w:before="40" w:after="40"/>
              <w:jc w:val="right"/>
              <w:rPr>
                <w:szCs w:val="18"/>
              </w:rPr>
            </w:pPr>
            <w:r w:rsidRPr="00BD16B4">
              <w:rPr>
                <w:szCs w:val="18"/>
              </w:rPr>
              <w:t>7,539.78</w:t>
            </w:r>
          </w:p>
        </w:tc>
      </w:tr>
      <w:tr w:rsidR="00ED2EBD" w:rsidRPr="00BD16B4" w14:paraId="5C9A70B6" w14:textId="77777777" w:rsidTr="004A205F">
        <w:tc>
          <w:tcPr>
            <w:tcW w:w="2048" w:type="dxa"/>
          </w:tcPr>
          <w:p w14:paraId="0438DC50" w14:textId="77777777" w:rsidR="00ED2EBD" w:rsidRPr="00BD16B4" w:rsidRDefault="00ED2EBD" w:rsidP="004A205F">
            <w:pPr>
              <w:pStyle w:val="TableText"/>
              <w:spacing w:before="40" w:after="40"/>
              <w:rPr>
                <w:szCs w:val="18"/>
              </w:rPr>
            </w:pPr>
            <w:r w:rsidRPr="00BD16B4">
              <w:rPr>
                <w:szCs w:val="18"/>
              </w:rPr>
              <w:t>N</w:t>
            </w:r>
            <w:r w:rsidRPr="00BD16B4">
              <w:rPr>
                <w:color w:val="000000"/>
                <w:szCs w:val="18"/>
                <w:vertAlign w:val="subscript"/>
              </w:rPr>
              <w:t>2</w:t>
            </w:r>
            <w:r w:rsidRPr="00BD16B4">
              <w:rPr>
                <w:color w:val="000000"/>
                <w:szCs w:val="18"/>
              </w:rPr>
              <w:t>O emissions with N</w:t>
            </w:r>
            <w:r w:rsidRPr="00BD16B4">
              <w:rPr>
                <w:color w:val="000000"/>
                <w:szCs w:val="18"/>
                <w:vertAlign w:val="subscript"/>
              </w:rPr>
              <w:t>2</w:t>
            </w:r>
            <w:r w:rsidRPr="00BD16B4">
              <w:rPr>
                <w:color w:val="000000"/>
                <w:szCs w:val="18"/>
              </w:rPr>
              <w:t>O from LULUCF</w:t>
            </w:r>
          </w:p>
        </w:tc>
        <w:tc>
          <w:tcPr>
            <w:tcW w:w="1229" w:type="dxa"/>
          </w:tcPr>
          <w:p w14:paraId="14688F34" w14:textId="77777777" w:rsidR="00ED2EBD" w:rsidRPr="00BD16B4" w:rsidRDefault="00ED2EBD" w:rsidP="004A205F">
            <w:pPr>
              <w:pStyle w:val="TableText"/>
              <w:spacing w:before="40" w:after="40"/>
              <w:jc w:val="right"/>
              <w:rPr>
                <w:szCs w:val="18"/>
              </w:rPr>
            </w:pPr>
            <w:r w:rsidRPr="00BD16B4">
              <w:rPr>
                <w:szCs w:val="18"/>
              </w:rPr>
              <w:t>7,101.17</w:t>
            </w:r>
          </w:p>
        </w:tc>
        <w:tc>
          <w:tcPr>
            <w:tcW w:w="1129" w:type="dxa"/>
          </w:tcPr>
          <w:p w14:paraId="0A4A82D4" w14:textId="77777777" w:rsidR="00ED2EBD" w:rsidRPr="00BD16B4" w:rsidRDefault="00ED2EBD" w:rsidP="004A205F">
            <w:pPr>
              <w:pStyle w:val="TableText"/>
              <w:spacing w:before="40" w:after="40"/>
              <w:jc w:val="right"/>
              <w:rPr>
                <w:szCs w:val="18"/>
              </w:rPr>
            </w:pPr>
            <w:r w:rsidRPr="00BD16B4">
              <w:rPr>
                <w:szCs w:val="18"/>
              </w:rPr>
              <w:t>7,406.82</w:t>
            </w:r>
          </w:p>
        </w:tc>
        <w:tc>
          <w:tcPr>
            <w:tcW w:w="1126" w:type="dxa"/>
          </w:tcPr>
          <w:p w14:paraId="6789B6AF" w14:textId="77777777" w:rsidR="00ED2EBD" w:rsidRPr="00BD16B4" w:rsidRDefault="00ED2EBD" w:rsidP="004A205F">
            <w:pPr>
              <w:pStyle w:val="TableText"/>
              <w:spacing w:before="40" w:after="40"/>
              <w:jc w:val="right"/>
              <w:rPr>
                <w:szCs w:val="18"/>
              </w:rPr>
            </w:pPr>
            <w:r w:rsidRPr="00BD16B4">
              <w:rPr>
                <w:szCs w:val="18"/>
              </w:rPr>
              <w:t>7,772.22</w:t>
            </w:r>
          </w:p>
        </w:tc>
        <w:tc>
          <w:tcPr>
            <w:tcW w:w="1126" w:type="dxa"/>
          </w:tcPr>
          <w:p w14:paraId="29325634" w14:textId="77777777" w:rsidR="00ED2EBD" w:rsidRPr="00BD16B4" w:rsidRDefault="00ED2EBD" w:rsidP="004A205F">
            <w:pPr>
              <w:pStyle w:val="TableText"/>
              <w:spacing w:before="40" w:after="40"/>
              <w:jc w:val="right"/>
              <w:rPr>
                <w:szCs w:val="18"/>
              </w:rPr>
            </w:pPr>
            <w:r w:rsidRPr="00BD16B4">
              <w:rPr>
                <w:szCs w:val="18"/>
              </w:rPr>
              <w:t>7,867.80</w:t>
            </w:r>
          </w:p>
        </w:tc>
        <w:tc>
          <w:tcPr>
            <w:tcW w:w="1111" w:type="dxa"/>
          </w:tcPr>
          <w:p w14:paraId="0B21E1AF" w14:textId="77777777" w:rsidR="00ED2EBD" w:rsidRPr="00BD16B4" w:rsidRDefault="00ED2EBD" w:rsidP="004A205F">
            <w:pPr>
              <w:pStyle w:val="TableText"/>
              <w:spacing w:before="40" w:after="40"/>
              <w:jc w:val="right"/>
              <w:rPr>
                <w:szCs w:val="18"/>
              </w:rPr>
            </w:pPr>
            <w:r w:rsidRPr="00BD16B4">
              <w:rPr>
                <w:szCs w:val="18"/>
              </w:rPr>
              <w:t>8,126.58</w:t>
            </w:r>
          </w:p>
        </w:tc>
        <w:tc>
          <w:tcPr>
            <w:tcW w:w="1123" w:type="dxa"/>
          </w:tcPr>
          <w:p w14:paraId="2DDBB36B" w14:textId="77777777" w:rsidR="00ED2EBD" w:rsidRPr="00BD16B4" w:rsidRDefault="00ED2EBD" w:rsidP="004A205F">
            <w:pPr>
              <w:pStyle w:val="TableText"/>
              <w:spacing w:before="40" w:after="40"/>
              <w:jc w:val="right"/>
              <w:rPr>
                <w:szCs w:val="18"/>
              </w:rPr>
            </w:pPr>
            <w:r w:rsidRPr="00BD16B4">
              <w:rPr>
                <w:szCs w:val="18"/>
              </w:rPr>
              <w:t>8,254.91</w:t>
            </w:r>
          </w:p>
        </w:tc>
        <w:tc>
          <w:tcPr>
            <w:tcW w:w="1123" w:type="dxa"/>
          </w:tcPr>
          <w:p w14:paraId="607ED63A" w14:textId="77777777" w:rsidR="00ED2EBD" w:rsidRPr="00BD16B4" w:rsidRDefault="00ED2EBD" w:rsidP="004A205F">
            <w:pPr>
              <w:pStyle w:val="TableText"/>
              <w:spacing w:before="40" w:after="40"/>
              <w:jc w:val="right"/>
              <w:rPr>
                <w:szCs w:val="18"/>
              </w:rPr>
            </w:pPr>
            <w:r w:rsidRPr="00BD16B4">
              <w:rPr>
                <w:szCs w:val="18"/>
              </w:rPr>
              <w:t>8,328.06</w:t>
            </w:r>
          </w:p>
        </w:tc>
        <w:tc>
          <w:tcPr>
            <w:tcW w:w="1123" w:type="dxa"/>
          </w:tcPr>
          <w:p w14:paraId="7CED5E69" w14:textId="77777777" w:rsidR="00ED2EBD" w:rsidRPr="00BD16B4" w:rsidRDefault="00ED2EBD" w:rsidP="004A205F">
            <w:pPr>
              <w:pStyle w:val="TableText"/>
              <w:spacing w:before="40" w:after="40"/>
              <w:jc w:val="right"/>
              <w:rPr>
                <w:szCs w:val="18"/>
              </w:rPr>
            </w:pPr>
            <w:r w:rsidRPr="00BD16B4">
              <w:rPr>
                <w:szCs w:val="18"/>
              </w:rPr>
              <w:t>8,121.28</w:t>
            </w:r>
          </w:p>
        </w:tc>
        <w:tc>
          <w:tcPr>
            <w:tcW w:w="1126" w:type="dxa"/>
          </w:tcPr>
          <w:p w14:paraId="394BDF33" w14:textId="77777777" w:rsidR="00ED2EBD" w:rsidRPr="00BD16B4" w:rsidRDefault="00ED2EBD" w:rsidP="004A205F">
            <w:pPr>
              <w:pStyle w:val="TableText"/>
              <w:spacing w:before="40" w:after="40"/>
              <w:jc w:val="right"/>
              <w:rPr>
                <w:szCs w:val="18"/>
              </w:rPr>
            </w:pPr>
            <w:r w:rsidRPr="00BD16B4">
              <w:rPr>
                <w:szCs w:val="18"/>
              </w:rPr>
              <w:t>7,947.78</w:t>
            </w:r>
          </w:p>
        </w:tc>
        <w:tc>
          <w:tcPr>
            <w:tcW w:w="1126" w:type="dxa"/>
          </w:tcPr>
          <w:p w14:paraId="2EBE8783" w14:textId="77777777" w:rsidR="00ED2EBD" w:rsidRPr="00BD16B4" w:rsidRDefault="00ED2EBD" w:rsidP="004A205F">
            <w:pPr>
              <w:pStyle w:val="TableText"/>
              <w:spacing w:before="40" w:after="40"/>
              <w:jc w:val="right"/>
              <w:rPr>
                <w:szCs w:val="18"/>
              </w:rPr>
            </w:pPr>
            <w:r w:rsidRPr="00BD16B4">
              <w:rPr>
                <w:szCs w:val="18"/>
              </w:rPr>
              <w:t>7,901.20</w:t>
            </w:r>
          </w:p>
        </w:tc>
        <w:tc>
          <w:tcPr>
            <w:tcW w:w="1111" w:type="dxa"/>
          </w:tcPr>
          <w:p w14:paraId="5E617A37" w14:textId="77777777" w:rsidR="00ED2EBD" w:rsidRPr="00BD16B4" w:rsidRDefault="00ED2EBD" w:rsidP="004A205F">
            <w:pPr>
              <w:pStyle w:val="TableText"/>
              <w:spacing w:before="40" w:after="40"/>
              <w:jc w:val="right"/>
              <w:rPr>
                <w:szCs w:val="18"/>
              </w:rPr>
            </w:pPr>
            <w:r w:rsidRPr="00BD16B4">
              <w:rPr>
                <w:szCs w:val="18"/>
              </w:rPr>
              <w:t>7,902.83</w:t>
            </w:r>
          </w:p>
        </w:tc>
      </w:tr>
      <w:tr w:rsidR="00ED2EBD" w:rsidRPr="00BD16B4" w14:paraId="18B335C5" w14:textId="77777777" w:rsidTr="004A205F">
        <w:tc>
          <w:tcPr>
            <w:tcW w:w="2048" w:type="dxa"/>
          </w:tcPr>
          <w:p w14:paraId="2BE2E311" w14:textId="77777777" w:rsidR="00ED2EBD" w:rsidRPr="00BD16B4" w:rsidRDefault="00ED2EBD" w:rsidP="004A205F">
            <w:pPr>
              <w:pStyle w:val="TableText"/>
              <w:spacing w:before="40" w:after="40"/>
              <w:rPr>
                <w:szCs w:val="18"/>
              </w:rPr>
            </w:pPr>
            <w:r w:rsidRPr="00BD16B4">
              <w:rPr>
                <w:szCs w:val="18"/>
              </w:rPr>
              <w:t>HFCs</w:t>
            </w:r>
          </w:p>
        </w:tc>
        <w:tc>
          <w:tcPr>
            <w:tcW w:w="1229" w:type="dxa"/>
          </w:tcPr>
          <w:p w14:paraId="3A2DBAB3" w14:textId="77777777" w:rsidR="00ED2EBD" w:rsidRPr="00BD16B4" w:rsidRDefault="00ED2EBD" w:rsidP="004A205F">
            <w:pPr>
              <w:pStyle w:val="TableText"/>
              <w:spacing w:before="40" w:after="40"/>
              <w:jc w:val="right"/>
              <w:rPr>
                <w:szCs w:val="18"/>
              </w:rPr>
            </w:pPr>
            <w:r w:rsidRPr="00BD16B4">
              <w:rPr>
                <w:szCs w:val="18"/>
              </w:rPr>
              <w:t>192.28</w:t>
            </w:r>
          </w:p>
        </w:tc>
        <w:tc>
          <w:tcPr>
            <w:tcW w:w="1129" w:type="dxa"/>
          </w:tcPr>
          <w:p w14:paraId="07602F5C" w14:textId="77777777" w:rsidR="00ED2EBD" w:rsidRPr="00BD16B4" w:rsidRDefault="00ED2EBD" w:rsidP="004A205F">
            <w:pPr>
              <w:pStyle w:val="TableText"/>
              <w:spacing w:before="40" w:after="40"/>
              <w:jc w:val="right"/>
              <w:rPr>
                <w:szCs w:val="18"/>
              </w:rPr>
            </w:pPr>
            <w:r w:rsidRPr="00BD16B4">
              <w:rPr>
                <w:szCs w:val="18"/>
              </w:rPr>
              <w:t>233.65</w:t>
            </w:r>
          </w:p>
        </w:tc>
        <w:tc>
          <w:tcPr>
            <w:tcW w:w="1126" w:type="dxa"/>
          </w:tcPr>
          <w:p w14:paraId="10059718" w14:textId="77777777" w:rsidR="00ED2EBD" w:rsidRPr="00BD16B4" w:rsidRDefault="00ED2EBD" w:rsidP="004A205F">
            <w:pPr>
              <w:pStyle w:val="TableText"/>
              <w:spacing w:before="40" w:after="40"/>
              <w:jc w:val="right"/>
              <w:rPr>
                <w:szCs w:val="18"/>
              </w:rPr>
            </w:pPr>
            <w:r w:rsidRPr="00BD16B4">
              <w:rPr>
                <w:szCs w:val="18"/>
              </w:rPr>
              <w:t>300.10</w:t>
            </w:r>
          </w:p>
        </w:tc>
        <w:tc>
          <w:tcPr>
            <w:tcW w:w="1126" w:type="dxa"/>
          </w:tcPr>
          <w:p w14:paraId="41822FD0" w14:textId="77777777" w:rsidR="00ED2EBD" w:rsidRPr="00BD16B4" w:rsidRDefault="00ED2EBD" w:rsidP="004A205F">
            <w:pPr>
              <w:pStyle w:val="TableText"/>
              <w:spacing w:before="40" w:after="40"/>
              <w:jc w:val="right"/>
              <w:rPr>
                <w:szCs w:val="18"/>
              </w:rPr>
            </w:pPr>
            <w:r w:rsidRPr="00BD16B4">
              <w:rPr>
                <w:szCs w:val="18"/>
              </w:rPr>
              <w:t>401.36</w:t>
            </w:r>
          </w:p>
        </w:tc>
        <w:tc>
          <w:tcPr>
            <w:tcW w:w="1111" w:type="dxa"/>
          </w:tcPr>
          <w:p w14:paraId="3A710BF7" w14:textId="77777777" w:rsidR="00ED2EBD" w:rsidRPr="00BD16B4" w:rsidRDefault="00ED2EBD" w:rsidP="004A205F">
            <w:pPr>
              <w:pStyle w:val="TableText"/>
              <w:spacing w:before="40" w:after="40"/>
              <w:jc w:val="right"/>
              <w:rPr>
                <w:szCs w:val="18"/>
              </w:rPr>
            </w:pPr>
            <w:r w:rsidRPr="00BD16B4">
              <w:rPr>
                <w:szCs w:val="18"/>
              </w:rPr>
              <w:t>503.85</w:t>
            </w:r>
          </w:p>
        </w:tc>
        <w:tc>
          <w:tcPr>
            <w:tcW w:w="1123" w:type="dxa"/>
          </w:tcPr>
          <w:p w14:paraId="1DE4CE8F" w14:textId="77777777" w:rsidR="00ED2EBD" w:rsidRPr="00BD16B4" w:rsidRDefault="00ED2EBD" w:rsidP="004A205F">
            <w:pPr>
              <w:pStyle w:val="TableText"/>
              <w:spacing w:before="40" w:after="40"/>
              <w:jc w:val="right"/>
              <w:rPr>
                <w:szCs w:val="18"/>
              </w:rPr>
            </w:pPr>
            <w:r w:rsidRPr="00BD16B4">
              <w:rPr>
                <w:szCs w:val="18"/>
              </w:rPr>
              <w:t>582.58</w:t>
            </w:r>
          </w:p>
        </w:tc>
        <w:tc>
          <w:tcPr>
            <w:tcW w:w="1123" w:type="dxa"/>
          </w:tcPr>
          <w:p w14:paraId="6DD516E4" w14:textId="77777777" w:rsidR="00ED2EBD" w:rsidRPr="00BD16B4" w:rsidRDefault="00ED2EBD" w:rsidP="004A205F">
            <w:pPr>
              <w:pStyle w:val="TableText"/>
              <w:spacing w:before="40" w:after="40"/>
              <w:jc w:val="right"/>
              <w:rPr>
                <w:szCs w:val="18"/>
              </w:rPr>
            </w:pPr>
            <w:r w:rsidRPr="00BD16B4">
              <w:rPr>
                <w:szCs w:val="18"/>
              </w:rPr>
              <w:t>694.01</w:t>
            </w:r>
          </w:p>
        </w:tc>
        <w:tc>
          <w:tcPr>
            <w:tcW w:w="1123" w:type="dxa"/>
          </w:tcPr>
          <w:p w14:paraId="22DC2BF4" w14:textId="77777777" w:rsidR="00ED2EBD" w:rsidRPr="00BD16B4" w:rsidRDefault="00ED2EBD" w:rsidP="004A205F">
            <w:pPr>
              <w:pStyle w:val="TableText"/>
              <w:spacing w:before="40" w:after="40"/>
              <w:jc w:val="right"/>
              <w:rPr>
                <w:szCs w:val="18"/>
              </w:rPr>
            </w:pPr>
            <w:r w:rsidRPr="00BD16B4">
              <w:rPr>
                <w:szCs w:val="18"/>
              </w:rPr>
              <w:t>798.68</w:t>
            </w:r>
          </w:p>
        </w:tc>
        <w:tc>
          <w:tcPr>
            <w:tcW w:w="1126" w:type="dxa"/>
          </w:tcPr>
          <w:p w14:paraId="738F04AE" w14:textId="77777777" w:rsidR="00ED2EBD" w:rsidRPr="00BD16B4" w:rsidRDefault="00ED2EBD" w:rsidP="004A205F">
            <w:pPr>
              <w:pStyle w:val="TableText"/>
              <w:spacing w:before="40" w:after="40"/>
              <w:jc w:val="right"/>
              <w:rPr>
                <w:szCs w:val="18"/>
              </w:rPr>
            </w:pPr>
            <w:r w:rsidRPr="00BD16B4">
              <w:rPr>
                <w:szCs w:val="18"/>
              </w:rPr>
              <w:t>917.09</w:t>
            </w:r>
          </w:p>
        </w:tc>
        <w:tc>
          <w:tcPr>
            <w:tcW w:w="1126" w:type="dxa"/>
          </w:tcPr>
          <w:p w14:paraId="50B38DA2" w14:textId="77777777" w:rsidR="00ED2EBD" w:rsidRPr="00BD16B4" w:rsidRDefault="00ED2EBD" w:rsidP="004A205F">
            <w:pPr>
              <w:pStyle w:val="TableText"/>
              <w:spacing w:before="40" w:after="40"/>
              <w:jc w:val="right"/>
              <w:rPr>
                <w:szCs w:val="18"/>
              </w:rPr>
            </w:pPr>
            <w:r w:rsidRPr="00BD16B4">
              <w:rPr>
                <w:szCs w:val="18"/>
              </w:rPr>
              <w:t>1,013.31</w:t>
            </w:r>
          </w:p>
        </w:tc>
        <w:tc>
          <w:tcPr>
            <w:tcW w:w="1111" w:type="dxa"/>
          </w:tcPr>
          <w:p w14:paraId="134D5499" w14:textId="77777777" w:rsidR="00ED2EBD" w:rsidRPr="00BD16B4" w:rsidRDefault="00ED2EBD" w:rsidP="004A205F">
            <w:pPr>
              <w:pStyle w:val="TableText"/>
              <w:spacing w:before="40" w:after="40"/>
              <w:jc w:val="right"/>
              <w:rPr>
                <w:szCs w:val="18"/>
              </w:rPr>
            </w:pPr>
            <w:r w:rsidRPr="00BD16B4">
              <w:rPr>
                <w:szCs w:val="18"/>
              </w:rPr>
              <w:t>1,075.61</w:t>
            </w:r>
          </w:p>
        </w:tc>
      </w:tr>
      <w:tr w:rsidR="00ED2EBD" w:rsidRPr="00BD16B4" w14:paraId="06B98373" w14:textId="77777777" w:rsidTr="004A205F">
        <w:tc>
          <w:tcPr>
            <w:tcW w:w="2048" w:type="dxa"/>
          </w:tcPr>
          <w:p w14:paraId="2E228548" w14:textId="77777777" w:rsidR="00ED2EBD" w:rsidRPr="00BD16B4" w:rsidRDefault="00ED2EBD" w:rsidP="004A205F">
            <w:pPr>
              <w:pStyle w:val="TableText"/>
              <w:spacing w:before="40" w:after="40"/>
              <w:rPr>
                <w:szCs w:val="18"/>
              </w:rPr>
            </w:pPr>
            <w:r w:rsidRPr="00BD16B4">
              <w:rPr>
                <w:szCs w:val="18"/>
              </w:rPr>
              <w:t>PFCs</w:t>
            </w:r>
          </w:p>
        </w:tc>
        <w:tc>
          <w:tcPr>
            <w:tcW w:w="1229" w:type="dxa"/>
          </w:tcPr>
          <w:p w14:paraId="7D5FF644" w14:textId="77777777" w:rsidR="00ED2EBD" w:rsidRPr="00BD16B4" w:rsidRDefault="00ED2EBD" w:rsidP="004A205F">
            <w:pPr>
              <w:pStyle w:val="TableText"/>
              <w:spacing w:before="40" w:after="40"/>
              <w:jc w:val="right"/>
              <w:rPr>
                <w:szCs w:val="18"/>
              </w:rPr>
            </w:pPr>
            <w:r w:rsidRPr="00BD16B4">
              <w:rPr>
                <w:szCs w:val="18"/>
              </w:rPr>
              <w:t>68.67</w:t>
            </w:r>
          </w:p>
        </w:tc>
        <w:tc>
          <w:tcPr>
            <w:tcW w:w="1129" w:type="dxa"/>
          </w:tcPr>
          <w:p w14:paraId="65778A1C" w14:textId="77777777" w:rsidR="00ED2EBD" w:rsidRPr="00BD16B4" w:rsidRDefault="00ED2EBD" w:rsidP="004A205F">
            <w:pPr>
              <w:pStyle w:val="TableText"/>
              <w:spacing w:before="40" w:after="40"/>
              <w:jc w:val="right"/>
              <w:rPr>
                <w:szCs w:val="18"/>
              </w:rPr>
            </w:pPr>
            <w:r w:rsidRPr="00BD16B4">
              <w:rPr>
                <w:szCs w:val="18"/>
              </w:rPr>
              <w:t>67.61</w:t>
            </w:r>
          </w:p>
        </w:tc>
        <w:tc>
          <w:tcPr>
            <w:tcW w:w="1126" w:type="dxa"/>
          </w:tcPr>
          <w:p w14:paraId="35FA344E" w14:textId="77777777" w:rsidR="00ED2EBD" w:rsidRPr="00BD16B4" w:rsidRDefault="00ED2EBD" w:rsidP="004A205F">
            <w:pPr>
              <w:pStyle w:val="TableText"/>
              <w:spacing w:before="40" w:after="40"/>
              <w:jc w:val="right"/>
              <w:rPr>
                <w:szCs w:val="18"/>
              </w:rPr>
            </w:pPr>
            <w:r w:rsidRPr="00BD16B4">
              <w:rPr>
                <w:szCs w:val="18"/>
              </w:rPr>
              <w:t>70.61</w:t>
            </w:r>
          </w:p>
        </w:tc>
        <w:tc>
          <w:tcPr>
            <w:tcW w:w="1126" w:type="dxa"/>
          </w:tcPr>
          <w:p w14:paraId="5AB56FE6" w14:textId="77777777" w:rsidR="00ED2EBD" w:rsidRPr="00BD16B4" w:rsidRDefault="00ED2EBD" w:rsidP="004A205F">
            <w:pPr>
              <w:pStyle w:val="TableText"/>
              <w:spacing w:before="40" w:after="40"/>
              <w:jc w:val="right"/>
              <w:rPr>
                <w:szCs w:val="18"/>
              </w:rPr>
            </w:pPr>
            <w:r w:rsidRPr="00BD16B4">
              <w:rPr>
                <w:szCs w:val="18"/>
              </w:rPr>
              <w:t>84.48</w:t>
            </w:r>
          </w:p>
        </w:tc>
        <w:tc>
          <w:tcPr>
            <w:tcW w:w="1111" w:type="dxa"/>
          </w:tcPr>
          <w:p w14:paraId="7D92A30B" w14:textId="77777777" w:rsidR="00ED2EBD" w:rsidRPr="00BD16B4" w:rsidRDefault="00ED2EBD" w:rsidP="004A205F">
            <w:pPr>
              <w:pStyle w:val="TableText"/>
              <w:spacing w:before="40" w:after="40"/>
              <w:jc w:val="right"/>
              <w:rPr>
                <w:szCs w:val="18"/>
              </w:rPr>
            </w:pPr>
            <w:r w:rsidRPr="00BD16B4">
              <w:rPr>
                <w:szCs w:val="18"/>
              </w:rPr>
              <w:t>126.81</w:t>
            </w:r>
          </w:p>
        </w:tc>
        <w:tc>
          <w:tcPr>
            <w:tcW w:w="1123" w:type="dxa"/>
          </w:tcPr>
          <w:p w14:paraId="7D85CAB0" w14:textId="77777777" w:rsidR="00ED2EBD" w:rsidRPr="00BD16B4" w:rsidRDefault="00ED2EBD" w:rsidP="004A205F">
            <w:pPr>
              <w:pStyle w:val="TableText"/>
              <w:spacing w:before="40" w:after="40"/>
              <w:jc w:val="right"/>
              <w:rPr>
                <w:szCs w:val="18"/>
              </w:rPr>
            </w:pPr>
            <w:r w:rsidRPr="00BD16B4">
              <w:rPr>
                <w:szCs w:val="18"/>
              </w:rPr>
              <w:t>99.12</w:t>
            </w:r>
          </w:p>
        </w:tc>
        <w:tc>
          <w:tcPr>
            <w:tcW w:w="1123" w:type="dxa"/>
          </w:tcPr>
          <w:p w14:paraId="10BDBF25" w14:textId="77777777" w:rsidR="00ED2EBD" w:rsidRPr="00BD16B4" w:rsidRDefault="00ED2EBD" w:rsidP="004A205F">
            <w:pPr>
              <w:pStyle w:val="TableText"/>
              <w:spacing w:before="40" w:after="40"/>
              <w:jc w:val="right"/>
              <w:rPr>
                <w:szCs w:val="18"/>
              </w:rPr>
            </w:pPr>
            <w:r w:rsidRPr="00BD16B4">
              <w:rPr>
                <w:szCs w:val="18"/>
              </w:rPr>
              <w:t>69.38</w:t>
            </w:r>
          </w:p>
        </w:tc>
        <w:tc>
          <w:tcPr>
            <w:tcW w:w="1123" w:type="dxa"/>
          </w:tcPr>
          <w:p w14:paraId="5A5AB5FF" w14:textId="77777777" w:rsidR="00ED2EBD" w:rsidRPr="00BD16B4" w:rsidRDefault="00ED2EBD" w:rsidP="004A205F">
            <w:pPr>
              <w:pStyle w:val="TableText"/>
              <w:spacing w:before="40" w:after="40"/>
              <w:jc w:val="right"/>
              <w:rPr>
                <w:szCs w:val="18"/>
              </w:rPr>
            </w:pPr>
            <w:r w:rsidRPr="00BD16B4">
              <w:rPr>
                <w:szCs w:val="18"/>
              </w:rPr>
              <w:t>106.73</w:t>
            </w:r>
          </w:p>
        </w:tc>
        <w:tc>
          <w:tcPr>
            <w:tcW w:w="1126" w:type="dxa"/>
          </w:tcPr>
          <w:p w14:paraId="6504E362" w14:textId="77777777" w:rsidR="00ED2EBD" w:rsidRPr="00BD16B4" w:rsidRDefault="00ED2EBD" w:rsidP="004A205F">
            <w:pPr>
              <w:pStyle w:val="TableText"/>
              <w:spacing w:before="40" w:after="40"/>
              <w:jc w:val="right"/>
              <w:rPr>
                <w:szCs w:val="18"/>
              </w:rPr>
            </w:pPr>
            <w:r w:rsidRPr="00BD16B4">
              <w:rPr>
                <w:szCs w:val="18"/>
              </w:rPr>
              <w:t>48.41</w:t>
            </w:r>
          </w:p>
        </w:tc>
        <w:tc>
          <w:tcPr>
            <w:tcW w:w="1126" w:type="dxa"/>
          </w:tcPr>
          <w:p w14:paraId="07940816" w14:textId="77777777" w:rsidR="00ED2EBD" w:rsidRPr="00BD16B4" w:rsidRDefault="00ED2EBD" w:rsidP="004A205F">
            <w:pPr>
              <w:pStyle w:val="TableText"/>
              <w:spacing w:before="40" w:after="40"/>
              <w:jc w:val="right"/>
              <w:rPr>
                <w:szCs w:val="18"/>
              </w:rPr>
            </w:pPr>
            <w:r w:rsidRPr="00BD16B4">
              <w:rPr>
                <w:szCs w:val="18"/>
              </w:rPr>
              <w:t>45.47</w:t>
            </w:r>
          </w:p>
        </w:tc>
        <w:tc>
          <w:tcPr>
            <w:tcW w:w="1111" w:type="dxa"/>
          </w:tcPr>
          <w:p w14:paraId="5506F388" w14:textId="77777777" w:rsidR="00ED2EBD" w:rsidRPr="00BD16B4" w:rsidRDefault="00ED2EBD" w:rsidP="004A205F">
            <w:pPr>
              <w:pStyle w:val="TableText"/>
              <w:spacing w:before="40" w:after="40"/>
              <w:jc w:val="right"/>
              <w:rPr>
                <w:szCs w:val="18"/>
              </w:rPr>
            </w:pPr>
            <w:r w:rsidRPr="00BD16B4">
              <w:rPr>
                <w:szCs w:val="18"/>
              </w:rPr>
              <w:t>53.86</w:t>
            </w:r>
          </w:p>
        </w:tc>
      </w:tr>
      <w:tr w:rsidR="00ED2EBD" w:rsidRPr="00BD16B4" w14:paraId="4FF8AF3B" w14:textId="77777777" w:rsidTr="004A205F">
        <w:tc>
          <w:tcPr>
            <w:tcW w:w="2048" w:type="dxa"/>
          </w:tcPr>
          <w:p w14:paraId="15F47A7E" w14:textId="77777777" w:rsidR="00ED2EBD" w:rsidRPr="00BD16B4" w:rsidRDefault="00ED2EBD" w:rsidP="004A205F">
            <w:pPr>
              <w:pStyle w:val="TableText"/>
              <w:spacing w:before="40" w:after="40"/>
              <w:rPr>
                <w:szCs w:val="18"/>
              </w:rPr>
            </w:pPr>
            <w:r w:rsidRPr="00BD16B4">
              <w:rPr>
                <w:szCs w:val="18"/>
              </w:rPr>
              <w:t>Unspecified mix of HFCs and PFCs</w:t>
            </w:r>
          </w:p>
        </w:tc>
        <w:tc>
          <w:tcPr>
            <w:tcW w:w="1229" w:type="dxa"/>
          </w:tcPr>
          <w:p w14:paraId="5F0BF196" w14:textId="77777777" w:rsidR="00ED2EBD" w:rsidRPr="00BD16B4" w:rsidRDefault="00ED2EBD" w:rsidP="004A205F">
            <w:pPr>
              <w:pStyle w:val="TableText"/>
              <w:spacing w:before="40" w:after="40"/>
              <w:jc w:val="right"/>
              <w:rPr>
                <w:szCs w:val="18"/>
              </w:rPr>
            </w:pPr>
            <w:r w:rsidRPr="00BD16B4">
              <w:rPr>
                <w:szCs w:val="18"/>
              </w:rPr>
              <w:t>NO, NA</w:t>
            </w:r>
          </w:p>
        </w:tc>
        <w:tc>
          <w:tcPr>
            <w:tcW w:w="1129" w:type="dxa"/>
          </w:tcPr>
          <w:p w14:paraId="68400213" w14:textId="77777777" w:rsidR="00ED2EBD" w:rsidRPr="00BD16B4" w:rsidRDefault="00ED2EBD" w:rsidP="004A205F">
            <w:pPr>
              <w:pStyle w:val="TableText"/>
              <w:spacing w:before="40" w:after="40"/>
              <w:jc w:val="right"/>
              <w:rPr>
                <w:szCs w:val="18"/>
              </w:rPr>
            </w:pPr>
            <w:r w:rsidRPr="00BD16B4">
              <w:rPr>
                <w:szCs w:val="18"/>
              </w:rPr>
              <w:t>NO, NA</w:t>
            </w:r>
          </w:p>
        </w:tc>
        <w:tc>
          <w:tcPr>
            <w:tcW w:w="1126" w:type="dxa"/>
          </w:tcPr>
          <w:p w14:paraId="7A9C7308" w14:textId="77777777" w:rsidR="00ED2EBD" w:rsidRPr="00BD16B4" w:rsidRDefault="00ED2EBD" w:rsidP="004A205F">
            <w:pPr>
              <w:pStyle w:val="TableText"/>
              <w:spacing w:before="40" w:after="40"/>
              <w:jc w:val="right"/>
              <w:rPr>
                <w:szCs w:val="18"/>
              </w:rPr>
            </w:pPr>
            <w:r w:rsidRPr="00BD16B4">
              <w:rPr>
                <w:szCs w:val="18"/>
              </w:rPr>
              <w:t>NO, NA</w:t>
            </w:r>
          </w:p>
        </w:tc>
        <w:tc>
          <w:tcPr>
            <w:tcW w:w="1126" w:type="dxa"/>
          </w:tcPr>
          <w:p w14:paraId="5EF5FBD5" w14:textId="77777777" w:rsidR="00ED2EBD" w:rsidRPr="00BD16B4" w:rsidRDefault="00ED2EBD" w:rsidP="004A205F">
            <w:pPr>
              <w:pStyle w:val="TableText"/>
              <w:spacing w:before="40" w:after="40"/>
              <w:jc w:val="right"/>
              <w:rPr>
                <w:szCs w:val="18"/>
              </w:rPr>
            </w:pPr>
            <w:r w:rsidRPr="00BD16B4">
              <w:rPr>
                <w:szCs w:val="18"/>
              </w:rPr>
              <w:t>NO, NA</w:t>
            </w:r>
          </w:p>
        </w:tc>
        <w:tc>
          <w:tcPr>
            <w:tcW w:w="1111" w:type="dxa"/>
          </w:tcPr>
          <w:p w14:paraId="1DCAF306" w14:textId="77777777" w:rsidR="00ED2EBD" w:rsidRPr="00BD16B4" w:rsidRDefault="00ED2EBD" w:rsidP="004A205F">
            <w:pPr>
              <w:pStyle w:val="TableText"/>
              <w:spacing w:before="40" w:after="40"/>
              <w:jc w:val="right"/>
              <w:rPr>
                <w:szCs w:val="18"/>
              </w:rPr>
            </w:pPr>
            <w:r w:rsidRPr="00BD16B4">
              <w:rPr>
                <w:szCs w:val="18"/>
              </w:rPr>
              <w:t>NO, NA</w:t>
            </w:r>
          </w:p>
        </w:tc>
        <w:tc>
          <w:tcPr>
            <w:tcW w:w="1123" w:type="dxa"/>
          </w:tcPr>
          <w:p w14:paraId="0DD9DC17" w14:textId="77777777" w:rsidR="00ED2EBD" w:rsidRPr="00BD16B4" w:rsidRDefault="00ED2EBD" w:rsidP="004A205F">
            <w:pPr>
              <w:pStyle w:val="TableText"/>
              <w:spacing w:before="40" w:after="40"/>
              <w:jc w:val="right"/>
              <w:rPr>
                <w:szCs w:val="18"/>
              </w:rPr>
            </w:pPr>
            <w:r w:rsidRPr="00BD16B4">
              <w:rPr>
                <w:szCs w:val="18"/>
              </w:rPr>
              <w:t>NO, NA</w:t>
            </w:r>
          </w:p>
        </w:tc>
        <w:tc>
          <w:tcPr>
            <w:tcW w:w="1123" w:type="dxa"/>
          </w:tcPr>
          <w:p w14:paraId="79DD0697" w14:textId="77777777" w:rsidR="00ED2EBD" w:rsidRPr="00BD16B4" w:rsidRDefault="00ED2EBD" w:rsidP="004A205F">
            <w:pPr>
              <w:pStyle w:val="TableText"/>
              <w:spacing w:before="40" w:after="40"/>
              <w:jc w:val="right"/>
              <w:rPr>
                <w:szCs w:val="18"/>
              </w:rPr>
            </w:pPr>
            <w:r w:rsidRPr="00BD16B4">
              <w:rPr>
                <w:szCs w:val="18"/>
              </w:rPr>
              <w:t>NO, NA</w:t>
            </w:r>
          </w:p>
        </w:tc>
        <w:tc>
          <w:tcPr>
            <w:tcW w:w="1123" w:type="dxa"/>
          </w:tcPr>
          <w:p w14:paraId="2F52BD73" w14:textId="77777777" w:rsidR="00ED2EBD" w:rsidRPr="00BD16B4" w:rsidRDefault="00ED2EBD" w:rsidP="004A205F">
            <w:pPr>
              <w:pStyle w:val="TableText"/>
              <w:spacing w:before="40" w:after="40"/>
              <w:jc w:val="right"/>
              <w:rPr>
                <w:szCs w:val="18"/>
              </w:rPr>
            </w:pPr>
            <w:r w:rsidRPr="00BD16B4">
              <w:rPr>
                <w:szCs w:val="18"/>
              </w:rPr>
              <w:t>NO, NA</w:t>
            </w:r>
          </w:p>
        </w:tc>
        <w:tc>
          <w:tcPr>
            <w:tcW w:w="1126" w:type="dxa"/>
          </w:tcPr>
          <w:p w14:paraId="143AC284" w14:textId="77777777" w:rsidR="00ED2EBD" w:rsidRPr="00BD16B4" w:rsidRDefault="00ED2EBD" w:rsidP="004A205F">
            <w:pPr>
              <w:pStyle w:val="TableText"/>
              <w:spacing w:before="40" w:after="40"/>
              <w:jc w:val="right"/>
              <w:rPr>
                <w:szCs w:val="18"/>
              </w:rPr>
            </w:pPr>
            <w:r w:rsidRPr="00BD16B4">
              <w:rPr>
                <w:szCs w:val="18"/>
              </w:rPr>
              <w:t>NO, NA</w:t>
            </w:r>
          </w:p>
        </w:tc>
        <w:tc>
          <w:tcPr>
            <w:tcW w:w="1126" w:type="dxa"/>
          </w:tcPr>
          <w:p w14:paraId="2D44FE59" w14:textId="77777777" w:rsidR="00ED2EBD" w:rsidRPr="00BD16B4" w:rsidRDefault="00ED2EBD" w:rsidP="004A205F">
            <w:pPr>
              <w:pStyle w:val="TableText"/>
              <w:spacing w:before="40" w:after="40"/>
              <w:jc w:val="right"/>
              <w:rPr>
                <w:szCs w:val="18"/>
              </w:rPr>
            </w:pPr>
            <w:r w:rsidRPr="00BD16B4">
              <w:rPr>
                <w:szCs w:val="18"/>
              </w:rPr>
              <w:t>NO, NA</w:t>
            </w:r>
          </w:p>
        </w:tc>
        <w:tc>
          <w:tcPr>
            <w:tcW w:w="1111" w:type="dxa"/>
          </w:tcPr>
          <w:p w14:paraId="4ADE5F3E"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10B1B6F1" w14:textId="77777777" w:rsidTr="004A205F">
        <w:tc>
          <w:tcPr>
            <w:tcW w:w="2048" w:type="dxa"/>
          </w:tcPr>
          <w:p w14:paraId="12673EE2" w14:textId="77777777" w:rsidR="00ED2EBD" w:rsidRPr="00BD16B4" w:rsidRDefault="00ED2EBD" w:rsidP="004A205F">
            <w:pPr>
              <w:pStyle w:val="TableText"/>
              <w:spacing w:before="40" w:after="40"/>
              <w:rPr>
                <w:szCs w:val="18"/>
              </w:rPr>
            </w:pPr>
            <w:r w:rsidRPr="00BD16B4">
              <w:rPr>
                <w:szCs w:val="18"/>
              </w:rPr>
              <w:t>SF</w:t>
            </w:r>
            <w:r w:rsidRPr="00BD16B4">
              <w:rPr>
                <w:color w:val="000000"/>
                <w:szCs w:val="18"/>
                <w:vertAlign w:val="subscript"/>
              </w:rPr>
              <w:t>6</w:t>
            </w:r>
          </w:p>
        </w:tc>
        <w:tc>
          <w:tcPr>
            <w:tcW w:w="1229" w:type="dxa"/>
          </w:tcPr>
          <w:p w14:paraId="1DE40C6A" w14:textId="77777777" w:rsidR="00ED2EBD" w:rsidRPr="00BD16B4" w:rsidRDefault="00ED2EBD" w:rsidP="004A205F">
            <w:pPr>
              <w:pStyle w:val="TableText"/>
              <w:spacing w:before="40" w:after="40"/>
              <w:jc w:val="right"/>
              <w:rPr>
                <w:szCs w:val="18"/>
              </w:rPr>
            </w:pPr>
            <w:r w:rsidRPr="00BD16B4">
              <w:rPr>
                <w:szCs w:val="18"/>
              </w:rPr>
              <w:t>24.56</w:t>
            </w:r>
          </w:p>
        </w:tc>
        <w:tc>
          <w:tcPr>
            <w:tcW w:w="1129" w:type="dxa"/>
          </w:tcPr>
          <w:p w14:paraId="50BD0DB5" w14:textId="77777777" w:rsidR="00ED2EBD" w:rsidRPr="00BD16B4" w:rsidRDefault="00ED2EBD" w:rsidP="004A205F">
            <w:pPr>
              <w:pStyle w:val="TableText"/>
              <w:spacing w:before="40" w:after="40"/>
              <w:jc w:val="right"/>
              <w:rPr>
                <w:szCs w:val="18"/>
              </w:rPr>
            </w:pPr>
            <w:r w:rsidRPr="00BD16B4">
              <w:rPr>
                <w:szCs w:val="18"/>
              </w:rPr>
              <w:t>19.56</w:t>
            </w:r>
          </w:p>
        </w:tc>
        <w:tc>
          <w:tcPr>
            <w:tcW w:w="1126" w:type="dxa"/>
          </w:tcPr>
          <w:p w14:paraId="7FC3B25D" w14:textId="77777777" w:rsidR="00ED2EBD" w:rsidRPr="00BD16B4" w:rsidRDefault="00ED2EBD" w:rsidP="004A205F">
            <w:pPr>
              <w:pStyle w:val="TableText"/>
              <w:spacing w:before="40" w:after="40"/>
              <w:jc w:val="right"/>
              <w:rPr>
                <w:szCs w:val="18"/>
              </w:rPr>
            </w:pPr>
            <w:r w:rsidRPr="00BD16B4">
              <w:rPr>
                <w:szCs w:val="18"/>
              </w:rPr>
              <w:t>20.04</w:t>
            </w:r>
          </w:p>
        </w:tc>
        <w:tc>
          <w:tcPr>
            <w:tcW w:w="1126" w:type="dxa"/>
          </w:tcPr>
          <w:p w14:paraId="119EA348" w14:textId="77777777" w:rsidR="00ED2EBD" w:rsidRPr="00BD16B4" w:rsidRDefault="00ED2EBD" w:rsidP="004A205F">
            <w:pPr>
              <w:pStyle w:val="TableText"/>
              <w:spacing w:before="40" w:after="40"/>
              <w:jc w:val="right"/>
              <w:rPr>
                <w:szCs w:val="18"/>
              </w:rPr>
            </w:pPr>
            <w:r w:rsidRPr="00BD16B4">
              <w:rPr>
                <w:szCs w:val="18"/>
              </w:rPr>
              <w:t>23.32</w:t>
            </w:r>
          </w:p>
        </w:tc>
        <w:tc>
          <w:tcPr>
            <w:tcW w:w="1111" w:type="dxa"/>
          </w:tcPr>
          <w:p w14:paraId="0DEAC0A0" w14:textId="77777777" w:rsidR="00ED2EBD" w:rsidRPr="00BD16B4" w:rsidRDefault="00ED2EBD" w:rsidP="004A205F">
            <w:pPr>
              <w:pStyle w:val="TableText"/>
              <w:spacing w:before="40" w:after="40"/>
              <w:jc w:val="right"/>
              <w:rPr>
                <w:szCs w:val="18"/>
              </w:rPr>
            </w:pPr>
            <w:r w:rsidRPr="00BD16B4">
              <w:rPr>
                <w:szCs w:val="18"/>
              </w:rPr>
              <w:t>25.19</w:t>
            </w:r>
          </w:p>
        </w:tc>
        <w:tc>
          <w:tcPr>
            <w:tcW w:w="1123" w:type="dxa"/>
          </w:tcPr>
          <w:p w14:paraId="01EC67D6" w14:textId="77777777" w:rsidR="00ED2EBD" w:rsidRPr="00BD16B4" w:rsidRDefault="00ED2EBD" w:rsidP="004A205F">
            <w:pPr>
              <w:pStyle w:val="TableText"/>
              <w:spacing w:before="40" w:after="40"/>
              <w:jc w:val="right"/>
              <w:rPr>
                <w:szCs w:val="18"/>
              </w:rPr>
            </w:pPr>
            <w:r w:rsidRPr="00BD16B4">
              <w:rPr>
                <w:szCs w:val="18"/>
              </w:rPr>
              <w:t>28.92</w:t>
            </w:r>
          </w:p>
        </w:tc>
        <w:tc>
          <w:tcPr>
            <w:tcW w:w="1123" w:type="dxa"/>
          </w:tcPr>
          <w:p w14:paraId="65582893" w14:textId="77777777" w:rsidR="00ED2EBD" w:rsidRPr="00BD16B4" w:rsidRDefault="00ED2EBD" w:rsidP="004A205F">
            <w:pPr>
              <w:pStyle w:val="TableText"/>
              <w:spacing w:before="40" w:after="40"/>
              <w:jc w:val="right"/>
              <w:rPr>
                <w:szCs w:val="18"/>
              </w:rPr>
            </w:pPr>
            <w:r w:rsidRPr="00BD16B4">
              <w:rPr>
                <w:szCs w:val="18"/>
              </w:rPr>
              <w:t>25.41</w:t>
            </w:r>
          </w:p>
        </w:tc>
        <w:tc>
          <w:tcPr>
            <w:tcW w:w="1123" w:type="dxa"/>
          </w:tcPr>
          <w:p w14:paraId="02197337" w14:textId="77777777" w:rsidR="00ED2EBD" w:rsidRPr="00BD16B4" w:rsidRDefault="00ED2EBD" w:rsidP="004A205F">
            <w:pPr>
              <w:pStyle w:val="TableText"/>
              <w:spacing w:before="40" w:after="40"/>
              <w:jc w:val="right"/>
              <w:rPr>
                <w:szCs w:val="18"/>
              </w:rPr>
            </w:pPr>
            <w:r w:rsidRPr="00BD16B4">
              <w:rPr>
                <w:szCs w:val="18"/>
              </w:rPr>
              <w:t>21.05</w:t>
            </w:r>
          </w:p>
        </w:tc>
        <w:tc>
          <w:tcPr>
            <w:tcW w:w="1126" w:type="dxa"/>
          </w:tcPr>
          <w:p w14:paraId="2565A700" w14:textId="77777777" w:rsidR="00ED2EBD" w:rsidRPr="00BD16B4" w:rsidRDefault="00ED2EBD" w:rsidP="004A205F">
            <w:pPr>
              <w:pStyle w:val="TableText"/>
              <w:spacing w:before="40" w:after="40"/>
              <w:jc w:val="right"/>
              <w:rPr>
                <w:szCs w:val="18"/>
              </w:rPr>
            </w:pPr>
            <w:r w:rsidRPr="00BD16B4">
              <w:rPr>
                <w:szCs w:val="18"/>
              </w:rPr>
              <w:t>19.87</w:t>
            </w:r>
          </w:p>
        </w:tc>
        <w:tc>
          <w:tcPr>
            <w:tcW w:w="1126" w:type="dxa"/>
          </w:tcPr>
          <w:p w14:paraId="47C47050" w14:textId="77777777" w:rsidR="00ED2EBD" w:rsidRPr="00BD16B4" w:rsidRDefault="00ED2EBD" w:rsidP="004A205F">
            <w:pPr>
              <w:pStyle w:val="TableText"/>
              <w:spacing w:before="40" w:after="40"/>
              <w:jc w:val="right"/>
              <w:rPr>
                <w:szCs w:val="18"/>
              </w:rPr>
            </w:pPr>
            <w:r w:rsidRPr="00BD16B4">
              <w:rPr>
                <w:szCs w:val="18"/>
              </w:rPr>
              <w:t>19.34</w:t>
            </w:r>
          </w:p>
        </w:tc>
        <w:tc>
          <w:tcPr>
            <w:tcW w:w="1111" w:type="dxa"/>
          </w:tcPr>
          <w:p w14:paraId="56157837" w14:textId="77777777" w:rsidR="00ED2EBD" w:rsidRPr="00BD16B4" w:rsidRDefault="00ED2EBD" w:rsidP="004A205F">
            <w:pPr>
              <w:pStyle w:val="TableText"/>
              <w:spacing w:before="40" w:after="40"/>
              <w:jc w:val="right"/>
              <w:rPr>
                <w:szCs w:val="18"/>
              </w:rPr>
            </w:pPr>
            <w:r w:rsidRPr="00BD16B4">
              <w:rPr>
                <w:szCs w:val="18"/>
              </w:rPr>
              <w:t>22.54</w:t>
            </w:r>
          </w:p>
        </w:tc>
      </w:tr>
      <w:tr w:rsidR="00ED2EBD" w:rsidRPr="00BD16B4" w14:paraId="0D4424AF" w14:textId="77777777" w:rsidTr="004A205F">
        <w:tc>
          <w:tcPr>
            <w:tcW w:w="2048" w:type="dxa"/>
          </w:tcPr>
          <w:p w14:paraId="0CC3F0AE" w14:textId="77777777" w:rsidR="00ED2EBD" w:rsidRPr="00BD16B4" w:rsidRDefault="00ED2EBD" w:rsidP="004A205F">
            <w:pPr>
              <w:pStyle w:val="TableText"/>
              <w:spacing w:before="40" w:after="40"/>
              <w:rPr>
                <w:szCs w:val="18"/>
              </w:rPr>
            </w:pPr>
            <w:r w:rsidRPr="00BD16B4">
              <w:rPr>
                <w:szCs w:val="18"/>
              </w:rPr>
              <w:t>NF</w:t>
            </w:r>
            <w:r w:rsidRPr="00BD16B4">
              <w:rPr>
                <w:szCs w:val="18"/>
                <w:vertAlign w:val="subscript"/>
              </w:rPr>
              <w:t>3</w:t>
            </w:r>
          </w:p>
        </w:tc>
        <w:tc>
          <w:tcPr>
            <w:tcW w:w="1229" w:type="dxa"/>
          </w:tcPr>
          <w:p w14:paraId="53F4EE5E" w14:textId="77777777" w:rsidR="00ED2EBD" w:rsidRPr="00BD16B4" w:rsidRDefault="00ED2EBD" w:rsidP="004A205F">
            <w:pPr>
              <w:pStyle w:val="TableText"/>
              <w:spacing w:before="40" w:after="40"/>
              <w:jc w:val="right"/>
              <w:rPr>
                <w:szCs w:val="18"/>
              </w:rPr>
            </w:pPr>
            <w:r w:rsidRPr="00BD16B4">
              <w:rPr>
                <w:szCs w:val="18"/>
              </w:rPr>
              <w:t>NO, NA</w:t>
            </w:r>
          </w:p>
        </w:tc>
        <w:tc>
          <w:tcPr>
            <w:tcW w:w="1129" w:type="dxa"/>
          </w:tcPr>
          <w:p w14:paraId="76697DF6" w14:textId="77777777" w:rsidR="00ED2EBD" w:rsidRPr="00BD16B4" w:rsidRDefault="00ED2EBD" w:rsidP="004A205F">
            <w:pPr>
              <w:pStyle w:val="TableText"/>
              <w:spacing w:before="40" w:after="40"/>
              <w:jc w:val="right"/>
              <w:rPr>
                <w:szCs w:val="18"/>
              </w:rPr>
            </w:pPr>
            <w:r w:rsidRPr="00BD16B4">
              <w:rPr>
                <w:szCs w:val="18"/>
              </w:rPr>
              <w:t>NO, NA</w:t>
            </w:r>
          </w:p>
        </w:tc>
        <w:tc>
          <w:tcPr>
            <w:tcW w:w="1126" w:type="dxa"/>
          </w:tcPr>
          <w:p w14:paraId="48124333" w14:textId="77777777" w:rsidR="00ED2EBD" w:rsidRPr="00BD16B4" w:rsidRDefault="00ED2EBD" w:rsidP="004A205F">
            <w:pPr>
              <w:pStyle w:val="TableText"/>
              <w:spacing w:before="40" w:after="40"/>
              <w:jc w:val="right"/>
              <w:rPr>
                <w:szCs w:val="18"/>
              </w:rPr>
            </w:pPr>
            <w:r w:rsidRPr="00BD16B4">
              <w:rPr>
                <w:szCs w:val="18"/>
              </w:rPr>
              <w:t>NO, NA</w:t>
            </w:r>
          </w:p>
        </w:tc>
        <w:tc>
          <w:tcPr>
            <w:tcW w:w="1126" w:type="dxa"/>
          </w:tcPr>
          <w:p w14:paraId="7FA8C6AD" w14:textId="77777777" w:rsidR="00ED2EBD" w:rsidRPr="00BD16B4" w:rsidRDefault="00ED2EBD" w:rsidP="004A205F">
            <w:pPr>
              <w:pStyle w:val="TableText"/>
              <w:spacing w:before="40" w:after="40"/>
              <w:jc w:val="right"/>
              <w:rPr>
                <w:szCs w:val="18"/>
              </w:rPr>
            </w:pPr>
            <w:r w:rsidRPr="00BD16B4">
              <w:rPr>
                <w:szCs w:val="18"/>
              </w:rPr>
              <w:t>NO, NA</w:t>
            </w:r>
          </w:p>
        </w:tc>
        <w:tc>
          <w:tcPr>
            <w:tcW w:w="1111" w:type="dxa"/>
          </w:tcPr>
          <w:p w14:paraId="08DAE22C" w14:textId="77777777" w:rsidR="00ED2EBD" w:rsidRPr="00BD16B4" w:rsidRDefault="00ED2EBD" w:rsidP="004A205F">
            <w:pPr>
              <w:pStyle w:val="TableText"/>
              <w:spacing w:before="40" w:after="40"/>
              <w:jc w:val="right"/>
              <w:rPr>
                <w:szCs w:val="18"/>
              </w:rPr>
            </w:pPr>
            <w:r w:rsidRPr="00BD16B4">
              <w:rPr>
                <w:szCs w:val="18"/>
              </w:rPr>
              <w:t>NO, NA</w:t>
            </w:r>
          </w:p>
        </w:tc>
        <w:tc>
          <w:tcPr>
            <w:tcW w:w="1123" w:type="dxa"/>
          </w:tcPr>
          <w:p w14:paraId="50236742" w14:textId="77777777" w:rsidR="00ED2EBD" w:rsidRPr="00BD16B4" w:rsidRDefault="00ED2EBD" w:rsidP="004A205F">
            <w:pPr>
              <w:pStyle w:val="TableText"/>
              <w:spacing w:before="40" w:after="40"/>
              <w:jc w:val="right"/>
              <w:rPr>
                <w:szCs w:val="18"/>
              </w:rPr>
            </w:pPr>
            <w:r w:rsidRPr="00BD16B4">
              <w:rPr>
                <w:szCs w:val="18"/>
              </w:rPr>
              <w:t>NO, NA</w:t>
            </w:r>
          </w:p>
        </w:tc>
        <w:tc>
          <w:tcPr>
            <w:tcW w:w="1123" w:type="dxa"/>
          </w:tcPr>
          <w:p w14:paraId="793D2E6F" w14:textId="77777777" w:rsidR="00ED2EBD" w:rsidRPr="00BD16B4" w:rsidRDefault="00ED2EBD" w:rsidP="004A205F">
            <w:pPr>
              <w:pStyle w:val="TableText"/>
              <w:spacing w:before="40" w:after="40"/>
              <w:jc w:val="right"/>
              <w:rPr>
                <w:szCs w:val="18"/>
              </w:rPr>
            </w:pPr>
            <w:r w:rsidRPr="00BD16B4">
              <w:rPr>
                <w:szCs w:val="18"/>
              </w:rPr>
              <w:t>NO, NA</w:t>
            </w:r>
          </w:p>
        </w:tc>
        <w:tc>
          <w:tcPr>
            <w:tcW w:w="1123" w:type="dxa"/>
          </w:tcPr>
          <w:p w14:paraId="3B2B41E6" w14:textId="77777777" w:rsidR="00ED2EBD" w:rsidRPr="00BD16B4" w:rsidRDefault="00ED2EBD" w:rsidP="004A205F">
            <w:pPr>
              <w:pStyle w:val="TableText"/>
              <w:spacing w:before="40" w:after="40"/>
              <w:jc w:val="right"/>
              <w:rPr>
                <w:szCs w:val="18"/>
              </w:rPr>
            </w:pPr>
            <w:r w:rsidRPr="00BD16B4">
              <w:rPr>
                <w:szCs w:val="18"/>
              </w:rPr>
              <w:t>NO, NA</w:t>
            </w:r>
          </w:p>
        </w:tc>
        <w:tc>
          <w:tcPr>
            <w:tcW w:w="1126" w:type="dxa"/>
          </w:tcPr>
          <w:p w14:paraId="058BEBDA" w14:textId="77777777" w:rsidR="00ED2EBD" w:rsidRPr="00BD16B4" w:rsidRDefault="00ED2EBD" w:rsidP="004A205F">
            <w:pPr>
              <w:pStyle w:val="TableText"/>
              <w:spacing w:before="40" w:after="40"/>
              <w:jc w:val="right"/>
              <w:rPr>
                <w:szCs w:val="18"/>
              </w:rPr>
            </w:pPr>
            <w:r w:rsidRPr="00BD16B4">
              <w:rPr>
                <w:szCs w:val="18"/>
              </w:rPr>
              <w:t>NO, NA</w:t>
            </w:r>
          </w:p>
        </w:tc>
        <w:tc>
          <w:tcPr>
            <w:tcW w:w="1126" w:type="dxa"/>
          </w:tcPr>
          <w:p w14:paraId="63E3AEC2" w14:textId="77777777" w:rsidR="00ED2EBD" w:rsidRPr="00BD16B4" w:rsidRDefault="00ED2EBD" w:rsidP="004A205F">
            <w:pPr>
              <w:pStyle w:val="TableText"/>
              <w:spacing w:before="40" w:after="40"/>
              <w:jc w:val="right"/>
              <w:rPr>
                <w:szCs w:val="18"/>
              </w:rPr>
            </w:pPr>
            <w:r w:rsidRPr="00BD16B4">
              <w:rPr>
                <w:szCs w:val="18"/>
              </w:rPr>
              <w:t>NO, NA</w:t>
            </w:r>
          </w:p>
        </w:tc>
        <w:tc>
          <w:tcPr>
            <w:tcW w:w="1111" w:type="dxa"/>
          </w:tcPr>
          <w:p w14:paraId="30B43AE5"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0B01C75D" w14:textId="77777777" w:rsidTr="004A205F">
        <w:tc>
          <w:tcPr>
            <w:tcW w:w="2048" w:type="dxa"/>
          </w:tcPr>
          <w:p w14:paraId="0A3FF79D" w14:textId="77777777" w:rsidR="00ED2EBD" w:rsidRPr="00BD16B4" w:rsidRDefault="00ED2EBD" w:rsidP="004A205F">
            <w:pPr>
              <w:pStyle w:val="TableText"/>
              <w:spacing w:before="40" w:after="40"/>
              <w:rPr>
                <w:szCs w:val="18"/>
              </w:rPr>
            </w:pPr>
            <w:r w:rsidRPr="00BD16B4">
              <w:rPr>
                <w:b/>
                <w:bCs/>
                <w:szCs w:val="18"/>
              </w:rPr>
              <w:t>Total (without LULUCF)</w:t>
            </w:r>
          </w:p>
        </w:tc>
        <w:tc>
          <w:tcPr>
            <w:tcW w:w="1229" w:type="dxa"/>
          </w:tcPr>
          <w:p w14:paraId="530AF1B0" w14:textId="77777777" w:rsidR="00ED2EBD" w:rsidRPr="00BD16B4" w:rsidRDefault="00ED2EBD" w:rsidP="004A205F">
            <w:pPr>
              <w:pStyle w:val="TableText"/>
              <w:spacing w:before="40" w:after="40"/>
              <w:jc w:val="right"/>
              <w:rPr>
                <w:szCs w:val="18"/>
              </w:rPr>
            </w:pPr>
            <w:r w:rsidRPr="00BD16B4">
              <w:rPr>
                <w:szCs w:val="18"/>
              </w:rPr>
              <w:t>73,576.26</w:t>
            </w:r>
          </w:p>
        </w:tc>
        <w:tc>
          <w:tcPr>
            <w:tcW w:w="1129" w:type="dxa"/>
          </w:tcPr>
          <w:p w14:paraId="65E6DADB" w14:textId="77777777" w:rsidR="00ED2EBD" w:rsidRPr="00BD16B4" w:rsidRDefault="00ED2EBD" w:rsidP="004A205F">
            <w:pPr>
              <w:pStyle w:val="TableText"/>
              <w:spacing w:before="40" w:after="40"/>
              <w:jc w:val="right"/>
              <w:rPr>
                <w:szCs w:val="18"/>
              </w:rPr>
            </w:pPr>
            <w:r w:rsidRPr="00BD16B4">
              <w:rPr>
                <w:szCs w:val="18"/>
              </w:rPr>
              <w:t>75,515.17</w:t>
            </w:r>
          </w:p>
        </w:tc>
        <w:tc>
          <w:tcPr>
            <w:tcW w:w="1126" w:type="dxa"/>
          </w:tcPr>
          <w:p w14:paraId="6466EF4E" w14:textId="77777777" w:rsidR="00ED2EBD" w:rsidRPr="00BD16B4" w:rsidRDefault="00ED2EBD" w:rsidP="004A205F">
            <w:pPr>
              <w:pStyle w:val="TableText"/>
              <w:spacing w:before="40" w:after="40"/>
              <w:jc w:val="right"/>
              <w:rPr>
                <w:szCs w:val="18"/>
              </w:rPr>
            </w:pPr>
            <w:r w:rsidRPr="00BD16B4">
              <w:rPr>
                <w:szCs w:val="18"/>
              </w:rPr>
              <w:t>78,503.95</w:t>
            </w:r>
          </w:p>
        </w:tc>
        <w:tc>
          <w:tcPr>
            <w:tcW w:w="1126" w:type="dxa"/>
          </w:tcPr>
          <w:p w14:paraId="5BF764D1" w14:textId="77777777" w:rsidR="00ED2EBD" w:rsidRPr="00BD16B4" w:rsidRDefault="00ED2EBD" w:rsidP="004A205F">
            <w:pPr>
              <w:pStyle w:val="TableText"/>
              <w:spacing w:before="40" w:after="40"/>
              <w:jc w:val="right"/>
              <w:rPr>
                <w:szCs w:val="18"/>
              </w:rPr>
            </w:pPr>
            <w:r w:rsidRPr="00BD16B4">
              <w:rPr>
                <w:szCs w:val="18"/>
              </w:rPr>
              <w:t>78,594.91</w:t>
            </w:r>
          </w:p>
        </w:tc>
        <w:tc>
          <w:tcPr>
            <w:tcW w:w="1111" w:type="dxa"/>
          </w:tcPr>
          <w:p w14:paraId="3CE38BD4" w14:textId="77777777" w:rsidR="00ED2EBD" w:rsidRPr="00BD16B4" w:rsidRDefault="00ED2EBD" w:rsidP="004A205F">
            <w:pPr>
              <w:pStyle w:val="TableText"/>
              <w:spacing w:before="40" w:after="40"/>
              <w:jc w:val="right"/>
              <w:rPr>
                <w:szCs w:val="18"/>
              </w:rPr>
            </w:pPr>
            <w:r w:rsidRPr="00BD16B4">
              <w:rPr>
                <w:szCs w:val="18"/>
              </w:rPr>
              <w:t>80,784.30</w:t>
            </w:r>
          </w:p>
        </w:tc>
        <w:tc>
          <w:tcPr>
            <w:tcW w:w="1123" w:type="dxa"/>
          </w:tcPr>
          <w:p w14:paraId="00781F0F" w14:textId="77777777" w:rsidR="00ED2EBD" w:rsidRPr="00BD16B4" w:rsidRDefault="00ED2EBD" w:rsidP="004A205F">
            <w:pPr>
              <w:pStyle w:val="TableText"/>
              <w:spacing w:before="40" w:after="40"/>
              <w:jc w:val="right"/>
              <w:rPr>
                <w:szCs w:val="18"/>
              </w:rPr>
            </w:pPr>
            <w:r w:rsidRPr="00BD16B4">
              <w:rPr>
                <w:szCs w:val="18"/>
              </w:rPr>
              <w:t>80,621.38</w:t>
            </w:r>
          </w:p>
        </w:tc>
        <w:tc>
          <w:tcPr>
            <w:tcW w:w="1123" w:type="dxa"/>
          </w:tcPr>
          <w:p w14:paraId="1B4C2A2A" w14:textId="77777777" w:rsidR="00ED2EBD" w:rsidRPr="00BD16B4" w:rsidRDefault="00ED2EBD" w:rsidP="004A205F">
            <w:pPr>
              <w:pStyle w:val="TableText"/>
              <w:spacing w:before="40" w:after="40"/>
              <w:jc w:val="right"/>
              <w:rPr>
                <w:szCs w:val="18"/>
              </w:rPr>
            </w:pPr>
            <w:r w:rsidRPr="00BD16B4">
              <w:rPr>
                <w:szCs w:val="18"/>
              </w:rPr>
              <w:t>82,666.10</w:t>
            </w:r>
          </w:p>
        </w:tc>
        <w:tc>
          <w:tcPr>
            <w:tcW w:w="1123" w:type="dxa"/>
          </w:tcPr>
          <w:p w14:paraId="53FA4B13" w14:textId="77777777" w:rsidR="00ED2EBD" w:rsidRPr="00BD16B4" w:rsidRDefault="00ED2EBD" w:rsidP="004A205F">
            <w:pPr>
              <w:pStyle w:val="TableText"/>
              <w:spacing w:before="40" w:after="40"/>
              <w:jc w:val="right"/>
              <w:rPr>
                <w:szCs w:val="18"/>
              </w:rPr>
            </w:pPr>
            <w:r w:rsidRPr="00BD16B4">
              <w:rPr>
                <w:szCs w:val="18"/>
              </w:rPr>
              <w:t>82,832.55</w:t>
            </w:r>
          </w:p>
        </w:tc>
        <w:tc>
          <w:tcPr>
            <w:tcW w:w="1126" w:type="dxa"/>
          </w:tcPr>
          <w:p w14:paraId="441EF7A0" w14:textId="77777777" w:rsidR="00ED2EBD" w:rsidRPr="00BD16B4" w:rsidRDefault="00ED2EBD" w:rsidP="004A205F">
            <w:pPr>
              <w:pStyle w:val="TableText"/>
              <w:spacing w:before="40" w:after="40"/>
              <w:jc w:val="right"/>
              <w:rPr>
                <w:szCs w:val="18"/>
              </w:rPr>
            </w:pPr>
            <w:r w:rsidRPr="00BD16B4">
              <w:rPr>
                <w:szCs w:val="18"/>
              </w:rPr>
              <w:t>80,727.52</w:t>
            </w:r>
          </w:p>
        </w:tc>
        <w:tc>
          <w:tcPr>
            <w:tcW w:w="1126" w:type="dxa"/>
          </w:tcPr>
          <w:p w14:paraId="730E7D81" w14:textId="77777777" w:rsidR="00ED2EBD" w:rsidRPr="00BD16B4" w:rsidRDefault="00ED2EBD" w:rsidP="004A205F">
            <w:pPr>
              <w:pStyle w:val="TableText"/>
              <w:spacing w:before="40" w:after="40"/>
              <w:jc w:val="right"/>
              <w:rPr>
                <w:szCs w:val="18"/>
              </w:rPr>
            </w:pPr>
            <w:r w:rsidRPr="00BD16B4">
              <w:rPr>
                <w:szCs w:val="18"/>
              </w:rPr>
              <w:t>80,494.16</w:t>
            </w:r>
          </w:p>
        </w:tc>
        <w:tc>
          <w:tcPr>
            <w:tcW w:w="1111" w:type="dxa"/>
          </w:tcPr>
          <w:p w14:paraId="0DF1A98A" w14:textId="77777777" w:rsidR="00ED2EBD" w:rsidRPr="00BD16B4" w:rsidRDefault="00ED2EBD" w:rsidP="004A205F">
            <w:pPr>
              <w:pStyle w:val="TableText"/>
              <w:spacing w:before="40" w:after="40"/>
              <w:jc w:val="right"/>
              <w:rPr>
                <w:szCs w:val="18"/>
              </w:rPr>
            </w:pPr>
            <w:r w:rsidRPr="00BD16B4">
              <w:rPr>
                <w:szCs w:val="18"/>
              </w:rPr>
              <w:t>77,834.61</w:t>
            </w:r>
          </w:p>
        </w:tc>
      </w:tr>
      <w:tr w:rsidR="00ED2EBD" w:rsidRPr="00BD16B4" w14:paraId="47950F04" w14:textId="77777777" w:rsidTr="004A205F">
        <w:tc>
          <w:tcPr>
            <w:tcW w:w="2048" w:type="dxa"/>
          </w:tcPr>
          <w:p w14:paraId="5E49DF0D" w14:textId="77777777" w:rsidR="00ED2EBD" w:rsidRPr="00BD16B4" w:rsidRDefault="00ED2EBD" w:rsidP="004A205F">
            <w:pPr>
              <w:pStyle w:val="TableText"/>
              <w:spacing w:before="40" w:after="40"/>
              <w:rPr>
                <w:szCs w:val="18"/>
              </w:rPr>
            </w:pPr>
            <w:r w:rsidRPr="00BD16B4">
              <w:rPr>
                <w:b/>
                <w:bCs/>
                <w:szCs w:val="18"/>
              </w:rPr>
              <w:t>Total (with LULUCF)</w:t>
            </w:r>
          </w:p>
        </w:tc>
        <w:tc>
          <w:tcPr>
            <w:tcW w:w="1229" w:type="dxa"/>
          </w:tcPr>
          <w:p w14:paraId="52FECC44" w14:textId="77777777" w:rsidR="00ED2EBD" w:rsidRPr="00BD16B4" w:rsidRDefault="00ED2EBD" w:rsidP="004A205F">
            <w:pPr>
              <w:pStyle w:val="TableText"/>
              <w:spacing w:before="40" w:after="40"/>
              <w:jc w:val="right"/>
              <w:rPr>
                <w:szCs w:val="18"/>
              </w:rPr>
            </w:pPr>
            <w:r w:rsidRPr="00BD16B4">
              <w:rPr>
                <w:szCs w:val="18"/>
              </w:rPr>
              <w:t>47,556.61</w:t>
            </w:r>
          </w:p>
        </w:tc>
        <w:tc>
          <w:tcPr>
            <w:tcW w:w="1129" w:type="dxa"/>
          </w:tcPr>
          <w:p w14:paraId="13EF1EAD" w14:textId="77777777" w:rsidR="00ED2EBD" w:rsidRPr="00BD16B4" w:rsidRDefault="00ED2EBD" w:rsidP="004A205F">
            <w:pPr>
              <w:pStyle w:val="TableText"/>
              <w:spacing w:before="40" w:after="40"/>
              <w:jc w:val="right"/>
              <w:rPr>
                <w:szCs w:val="18"/>
              </w:rPr>
            </w:pPr>
            <w:r w:rsidRPr="00BD16B4">
              <w:rPr>
                <w:szCs w:val="18"/>
              </w:rPr>
              <w:t>48,580.27</w:t>
            </w:r>
          </w:p>
        </w:tc>
        <w:tc>
          <w:tcPr>
            <w:tcW w:w="1126" w:type="dxa"/>
          </w:tcPr>
          <w:p w14:paraId="5778A1BF" w14:textId="77777777" w:rsidR="00ED2EBD" w:rsidRPr="00BD16B4" w:rsidRDefault="00ED2EBD" w:rsidP="004A205F">
            <w:pPr>
              <w:pStyle w:val="TableText"/>
              <w:spacing w:before="40" w:after="40"/>
              <w:jc w:val="right"/>
              <w:rPr>
                <w:szCs w:val="18"/>
              </w:rPr>
            </w:pPr>
            <w:r w:rsidRPr="00BD16B4">
              <w:rPr>
                <w:szCs w:val="18"/>
              </w:rPr>
              <w:t>51,024.83</w:t>
            </w:r>
          </w:p>
        </w:tc>
        <w:tc>
          <w:tcPr>
            <w:tcW w:w="1126" w:type="dxa"/>
          </w:tcPr>
          <w:p w14:paraId="49E2007E" w14:textId="77777777" w:rsidR="00ED2EBD" w:rsidRPr="00BD16B4" w:rsidRDefault="00ED2EBD" w:rsidP="004A205F">
            <w:pPr>
              <w:pStyle w:val="TableText"/>
              <w:spacing w:before="40" w:after="40"/>
              <w:jc w:val="right"/>
              <w:rPr>
                <w:szCs w:val="18"/>
              </w:rPr>
            </w:pPr>
            <w:r w:rsidRPr="00BD16B4">
              <w:rPr>
                <w:szCs w:val="18"/>
              </w:rPr>
              <w:t>52,525.44</w:t>
            </w:r>
          </w:p>
        </w:tc>
        <w:tc>
          <w:tcPr>
            <w:tcW w:w="1111" w:type="dxa"/>
          </w:tcPr>
          <w:p w14:paraId="7E39AF05" w14:textId="77777777" w:rsidR="00ED2EBD" w:rsidRPr="00BD16B4" w:rsidRDefault="00ED2EBD" w:rsidP="004A205F">
            <w:pPr>
              <w:pStyle w:val="TableText"/>
              <w:spacing w:before="40" w:after="40"/>
              <w:jc w:val="right"/>
              <w:rPr>
                <w:szCs w:val="18"/>
              </w:rPr>
            </w:pPr>
            <w:r w:rsidRPr="00BD16B4">
              <w:rPr>
                <w:szCs w:val="18"/>
              </w:rPr>
              <w:t>53,526.60</w:t>
            </w:r>
          </w:p>
        </w:tc>
        <w:tc>
          <w:tcPr>
            <w:tcW w:w="1123" w:type="dxa"/>
          </w:tcPr>
          <w:p w14:paraId="05FC5D70" w14:textId="77777777" w:rsidR="00ED2EBD" w:rsidRPr="00BD16B4" w:rsidRDefault="00ED2EBD" w:rsidP="004A205F">
            <w:pPr>
              <w:pStyle w:val="TableText"/>
              <w:spacing w:before="40" w:after="40"/>
              <w:jc w:val="right"/>
              <w:rPr>
                <w:szCs w:val="18"/>
              </w:rPr>
            </w:pPr>
            <w:r w:rsidRPr="00BD16B4">
              <w:rPr>
                <w:szCs w:val="18"/>
              </w:rPr>
              <w:t>53,421.62</w:t>
            </w:r>
          </w:p>
        </w:tc>
        <w:tc>
          <w:tcPr>
            <w:tcW w:w="1123" w:type="dxa"/>
          </w:tcPr>
          <w:p w14:paraId="3D9946AA" w14:textId="77777777" w:rsidR="00ED2EBD" w:rsidRPr="00BD16B4" w:rsidRDefault="00ED2EBD" w:rsidP="004A205F">
            <w:pPr>
              <w:pStyle w:val="TableText"/>
              <w:spacing w:before="40" w:after="40"/>
              <w:jc w:val="right"/>
              <w:rPr>
                <w:szCs w:val="18"/>
              </w:rPr>
            </w:pPr>
            <w:r w:rsidRPr="00BD16B4">
              <w:rPr>
                <w:szCs w:val="18"/>
              </w:rPr>
              <w:t>57,241.57</w:t>
            </w:r>
          </w:p>
        </w:tc>
        <w:tc>
          <w:tcPr>
            <w:tcW w:w="1123" w:type="dxa"/>
          </w:tcPr>
          <w:p w14:paraId="3C38AB58" w14:textId="77777777" w:rsidR="00ED2EBD" w:rsidRPr="00BD16B4" w:rsidRDefault="00ED2EBD" w:rsidP="004A205F">
            <w:pPr>
              <w:pStyle w:val="TableText"/>
              <w:spacing w:before="40" w:after="40"/>
              <w:jc w:val="right"/>
              <w:rPr>
                <w:szCs w:val="18"/>
              </w:rPr>
            </w:pPr>
            <w:r w:rsidRPr="00BD16B4">
              <w:rPr>
                <w:szCs w:val="18"/>
              </w:rPr>
              <w:t>59,469.58</w:t>
            </w:r>
          </w:p>
        </w:tc>
        <w:tc>
          <w:tcPr>
            <w:tcW w:w="1126" w:type="dxa"/>
          </w:tcPr>
          <w:p w14:paraId="651222A9" w14:textId="77777777" w:rsidR="00ED2EBD" w:rsidRPr="00BD16B4" w:rsidRDefault="00ED2EBD" w:rsidP="004A205F">
            <w:pPr>
              <w:pStyle w:val="TableText"/>
              <w:spacing w:before="40" w:after="40"/>
              <w:jc w:val="right"/>
              <w:rPr>
                <w:szCs w:val="18"/>
              </w:rPr>
            </w:pPr>
            <w:r w:rsidRPr="00BD16B4">
              <w:rPr>
                <w:szCs w:val="18"/>
              </w:rPr>
              <w:t>58,650.37</w:t>
            </w:r>
          </w:p>
        </w:tc>
        <w:tc>
          <w:tcPr>
            <w:tcW w:w="1126" w:type="dxa"/>
          </w:tcPr>
          <w:p w14:paraId="03C8A97B" w14:textId="77777777" w:rsidR="00ED2EBD" w:rsidRPr="00BD16B4" w:rsidRDefault="00ED2EBD" w:rsidP="004A205F">
            <w:pPr>
              <w:pStyle w:val="TableText"/>
              <w:spacing w:before="40" w:after="40"/>
              <w:jc w:val="right"/>
              <w:rPr>
                <w:szCs w:val="18"/>
              </w:rPr>
            </w:pPr>
            <w:r w:rsidRPr="00BD16B4">
              <w:rPr>
                <w:szCs w:val="18"/>
              </w:rPr>
              <w:t>51,071.20</w:t>
            </w:r>
          </w:p>
        </w:tc>
        <w:tc>
          <w:tcPr>
            <w:tcW w:w="1111" w:type="dxa"/>
          </w:tcPr>
          <w:p w14:paraId="441A7F5E" w14:textId="77777777" w:rsidR="00ED2EBD" w:rsidRPr="00BD16B4" w:rsidRDefault="00ED2EBD" w:rsidP="004A205F">
            <w:pPr>
              <w:pStyle w:val="TableText"/>
              <w:spacing w:before="40" w:after="40"/>
              <w:jc w:val="right"/>
              <w:rPr>
                <w:szCs w:val="18"/>
              </w:rPr>
            </w:pPr>
            <w:r w:rsidRPr="00BD16B4">
              <w:rPr>
                <w:szCs w:val="18"/>
              </w:rPr>
              <w:t>49,568.11</w:t>
            </w:r>
          </w:p>
        </w:tc>
      </w:tr>
      <w:tr w:rsidR="00ED2EBD" w:rsidRPr="00BD16B4" w14:paraId="059EDB5B" w14:textId="77777777" w:rsidTr="004A205F">
        <w:tc>
          <w:tcPr>
            <w:tcW w:w="2048" w:type="dxa"/>
          </w:tcPr>
          <w:p w14:paraId="3C6DEC70" w14:textId="77777777" w:rsidR="00ED2EBD" w:rsidRPr="00BD16B4" w:rsidRDefault="00ED2EBD" w:rsidP="004A205F">
            <w:pPr>
              <w:pStyle w:val="TableText"/>
              <w:spacing w:before="40" w:after="40"/>
              <w:rPr>
                <w:szCs w:val="18"/>
              </w:rPr>
            </w:pPr>
            <w:r w:rsidRPr="00BD16B4">
              <w:rPr>
                <w:b/>
                <w:bCs/>
                <w:szCs w:val="18"/>
              </w:rPr>
              <w:t>Total (without LULUCF, with indirect)</w:t>
            </w:r>
          </w:p>
        </w:tc>
        <w:tc>
          <w:tcPr>
            <w:tcW w:w="1229" w:type="dxa"/>
          </w:tcPr>
          <w:p w14:paraId="60145250" w14:textId="77777777" w:rsidR="00ED2EBD" w:rsidRPr="00BD16B4" w:rsidRDefault="00ED2EBD" w:rsidP="004A205F">
            <w:pPr>
              <w:pStyle w:val="TableText"/>
              <w:spacing w:before="40" w:after="40"/>
              <w:jc w:val="right"/>
              <w:rPr>
                <w:szCs w:val="18"/>
              </w:rPr>
            </w:pPr>
            <w:r w:rsidRPr="00BD16B4">
              <w:rPr>
                <w:szCs w:val="18"/>
              </w:rPr>
              <w:t>NA</w:t>
            </w:r>
          </w:p>
        </w:tc>
        <w:tc>
          <w:tcPr>
            <w:tcW w:w="1129" w:type="dxa"/>
          </w:tcPr>
          <w:p w14:paraId="06A6A7CC" w14:textId="77777777" w:rsidR="00ED2EBD" w:rsidRPr="00BD16B4" w:rsidRDefault="00ED2EBD" w:rsidP="004A205F">
            <w:pPr>
              <w:pStyle w:val="TableText"/>
              <w:spacing w:before="40" w:after="40"/>
              <w:jc w:val="right"/>
              <w:rPr>
                <w:szCs w:val="18"/>
              </w:rPr>
            </w:pPr>
            <w:r w:rsidRPr="00BD16B4">
              <w:rPr>
                <w:szCs w:val="18"/>
              </w:rPr>
              <w:t>NA</w:t>
            </w:r>
          </w:p>
        </w:tc>
        <w:tc>
          <w:tcPr>
            <w:tcW w:w="1126" w:type="dxa"/>
          </w:tcPr>
          <w:p w14:paraId="428003B1" w14:textId="77777777" w:rsidR="00ED2EBD" w:rsidRPr="00BD16B4" w:rsidRDefault="00ED2EBD" w:rsidP="004A205F">
            <w:pPr>
              <w:pStyle w:val="TableText"/>
              <w:spacing w:before="40" w:after="40"/>
              <w:jc w:val="right"/>
              <w:rPr>
                <w:szCs w:val="18"/>
              </w:rPr>
            </w:pPr>
            <w:r w:rsidRPr="00BD16B4">
              <w:rPr>
                <w:szCs w:val="18"/>
              </w:rPr>
              <w:t>NA</w:t>
            </w:r>
          </w:p>
        </w:tc>
        <w:tc>
          <w:tcPr>
            <w:tcW w:w="1126" w:type="dxa"/>
          </w:tcPr>
          <w:p w14:paraId="441A7B30" w14:textId="77777777" w:rsidR="00ED2EBD" w:rsidRPr="00BD16B4" w:rsidRDefault="00ED2EBD" w:rsidP="004A205F">
            <w:pPr>
              <w:pStyle w:val="TableText"/>
              <w:spacing w:before="40" w:after="40"/>
              <w:jc w:val="right"/>
              <w:rPr>
                <w:szCs w:val="18"/>
              </w:rPr>
            </w:pPr>
            <w:r w:rsidRPr="00BD16B4">
              <w:rPr>
                <w:szCs w:val="18"/>
              </w:rPr>
              <w:t>NA</w:t>
            </w:r>
          </w:p>
        </w:tc>
        <w:tc>
          <w:tcPr>
            <w:tcW w:w="1111" w:type="dxa"/>
          </w:tcPr>
          <w:p w14:paraId="46F4AAC4" w14:textId="77777777" w:rsidR="00ED2EBD" w:rsidRPr="00BD16B4" w:rsidRDefault="00ED2EBD" w:rsidP="004A205F">
            <w:pPr>
              <w:pStyle w:val="TableText"/>
              <w:spacing w:before="40" w:after="40"/>
              <w:jc w:val="right"/>
              <w:rPr>
                <w:szCs w:val="18"/>
              </w:rPr>
            </w:pPr>
            <w:r w:rsidRPr="00BD16B4">
              <w:rPr>
                <w:szCs w:val="18"/>
              </w:rPr>
              <w:t>NA</w:t>
            </w:r>
          </w:p>
        </w:tc>
        <w:tc>
          <w:tcPr>
            <w:tcW w:w="1123" w:type="dxa"/>
          </w:tcPr>
          <w:p w14:paraId="3348023D" w14:textId="77777777" w:rsidR="00ED2EBD" w:rsidRPr="00BD16B4" w:rsidRDefault="00ED2EBD" w:rsidP="004A205F">
            <w:pPr>
              <w:pStyle w:val="TableText"/>
              <w:spacing w:before="40" w:after="40"/>
              <w:jc w:val="right"/>
              <w:rPr>
                <w:szCs w:val="18"/>
              </w:rPr>
            </w:pPr>
            <w:r w:rsidRPr="00BD16B4">
              <w:rPr>
                <w:szCs w:val="18"/>
              </w:rPr>
              <w:t>NA</w:t>
            </w:r>
          </w:p>
        </w:tc>
        <w:tc>
          <w:tcPr>
            <w:tcW w:w="1123" w:type="dxa"/>
          </w:tcPr>
          <w:p w14:paraId="6C8A9A40" w14:textId="77777777" w:rsidR="00ED2EBD" w:rsidRPr="00BD16B4" w:rsidRDefault="00ED2EBD" w:rsidP="004A205F">
            <w:pPr>
              <w:pStyle w:val="TableText"/>
              <w:spacing w:before="40" w:after="40"/>
              <w:jc w:val="right"/>
              <w:rPr>
                <w:szCs w:val="18"/>
              </w:rPr>
            </w:pPr>
            <w:r w:rsidRPr="00BD16B4">
              <w:rPr>
                <w:szCs w:val="18"/>
              </w:rPr>
              <w:t>NA</w:t>
            </w:r>
          </w:p>
        </w:tc>
        <w:tc>
          <w:tcPr>
            <w:tcW w:w="1123" w:type="dxa"/>
          </w:tcPr>
          <w:p w14:paraId="1C4C7D04" w14:textId="77777777" w:rsidR="00ED2EBD" w:rsidRPr="00BD16B4" w:rsidRDefault="00ED2EBD" w:rsidP="004A205F">
            <w:pPr>
              <w:pStyle w:val="TableText"/>
              <w:spacing w:before="40" w:after="40"/>
              <w:jc w:val="right"/>
              <w:rPr>
                <w:szCs w:val="18"/>
              </w:rPr>
            </w:pPr>
            <w:r w:rsidRPr="00BD16B4">
              <w:rPr>
                <w:szCs w:val="18"/>
              </w:rPr>
              <w:t>NA</w:t>
            </w:r>
          </w:p>
        </w:tc>
        <w:tc>
          <w:tcPr>
            <w:tcW w:w="1126" w:type="dxa"/>
          </w:tcPr>
          <w:p w14:paraId="3D64CE5B" w14:textId="77777777" w:rsidR="00ED2EBD" w:rsidRPr="00BD16B4" w:rsidRDefault="00ED2EBD" w:rsidP="004A205F">
            <w:pPr>
              <w:pStyle w:val="TableText"/>
              <w:spacing w:before="40" w:after="40"/>
              <w:jc w:val="right"/>
              <w:rPr>
                <w:szCs w:val="18"/>
              </w:rPr>
            </w:pPr>
            <w:r w:rsidRPr="00BD16B4">
              <w:rPr>
                <w:szCs w:val="18"/>
              </w:rPr>
              <w:t>NA</w:t>
            </w:r>
          </w:p>
        </w:tc>
        <w:tc>
          <w:tcPr>
            <w:tcW w:w="1126" w:type="dxa"/>
          </w:tcPr>
          <w:p w14:paraId="5F4D52F9" w14:textId="77777777" w:rsidR="00ED2EBD" w:rsidRPr="00BD16B4" w:rsidRDefault="00ED2EBD" w:rsidP="004A205F">
            <w:pPr>
              <w:pStyle w:val="TableText"/>
              <w:spacing w:before="40" w:after="40"/>
              <w:jc w:val="right"/>
              <w:rPr>
                <w:szCs w:val="18"/>
              </w:rPr>
            </w:pPr>
            <w:r w:rsidRPr="00BD16B4">
              <w:rPr>
                <w:szCs w:val="18"/>
              </w:rPr>
              <w:t>NA</w:t>
            </w:r>
          </w:p>
        </w:tc>
        <w:tc>
          <w:tcPr>
            <w:tcW w:w="1111" w:type="dxa"/>
          </w:tcPr>
          <w:p w14:paraId="3474F319"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2136AEE4" w14:textId="77777777" w:rsidTr="004A205F">
        <w:tc>
          <w:tcPr>
            <w:tcW w:w="2048" w:type="dxa"/>
          </w:tcPr>
          <w:p w14:paraId="3A51DA4C" w14:textId="77777777" w:rsidR="00ED2EBD" w:rsidRPr="00BD16B4" w:rsidRDefault="00ED2EBD" w:rsidP="004A205F">
            <w:pPr>
              <w:pStyle w:val="TableText"/>
              <w:spacing w:before="40" w:after="40"/>
              <w:rPr>
                <w:szCs w:val="18"/>
              </w:rPr>
            </w:pPr>
            <w:r w:rsidRPr="00BD16B4">
              <w:rPr>
                <w:b/>
                <w:bCs/>
                <w:szCs w:val="18"/>
              </w:rPr>
              <w:t>Total (with LULUCF, with indirect)</w:t>
            </w:r>
          </w:p>
        </w:tc>
        <w:tc>
          <w:tcPr>
            <w:tcW w:w="1229" w:type="dxa"/>
          </w:tcPr>
          <w:p w14:paraId="71305DD6" w14:textId="77777777" w:rsidR="00ED2EBD" w:rsidRPr="00BD16B4" w:rsidRDefault="00ED2EBD" w:rsidP="004A205F">
            <w:pPr>
              <w:pStyle w:val="TableText"/>
              <w:spacing w:before="40" w:after="40"/>
              <w:jc w:val="right"/>
              <w:rPr>
                <w:szCs w:val="18"/>
              </w:rPr>
            </w:pPr>
            <w:r w:rsidRPr="00BD16B4">
              <w:rPr>
                <w:szCs w:val="18"/>
              </w:rPr>
              <w:t>NA</w:t>
            </w:r>
          </w:p>
        </w:tc>
        <w:tc>
          <w:tcPr>
            <w:tcW w:w="1129" w:type="dxa"/>
          </w:tcPr>
          <w:p w14:paraId="678CDED7" w14:textId="77777777" w:rsidR="00ED2EBD" w:rsidRPr="00BD16B4" w:rsidRDefault="00ED2EBD" w:rsidP="004A205F">
            <w:pPr>
              <w:pStyle w:val="TableText"/>
              <w:spacing w:before="40" w:after="40"/>
              <w:jc w:val="right"/>
              <w:rPr>
                <w:szCs w:val="18"/>
              </w:rPr>
            </w:pPr>
            <w:r w:rsidRPr="00BD16B4">
              <w:rPr>
                <w:szCs w:val="18"/>
              </w:rPr>
              <w:t>NA</w:t>
            </w:r>
          </w:p>
        </w:tc>
        <w:tc>
          <w:tcPr>
            <w:tcW w:w="1126" w:type="dxa"/>
          </w:tcPr>
          <w:p w14:paraId="224DC0F0" w14:textId="77777777" w:rsidR="00ED2EBD" w:rsidRPr="00BD16B4" w:rsidRDefault="00ED2EBD" w:rsidP="004A205F">
            <w:pPr>
              <w:pStyle w:val="TableText"/>
              <w:spacing w:before="40" w:after="40"/>
              <w:jc w:val="right"/>
              <w:rPr>
                <w:szCs w:val="18"/>
              </w:rPr>
            </w:pPr>
            <w:r w:rsidRPr="00BD16B4">
              <w:rPr>
                <w:szCs w:val="18"/>
              </w:rPr>
              <w:t>NA</w:t>
            </w:r>
          </w:p>
        </w:tc>
        <w:tc>
          <w:tcPr>
            <w:tcW w:w="1126" w:type="dxa"/>
          </w:tcPr>
          <w:p w14:paraId="1BEF8112" w14:textId="77777777" w:rsidR="00ED2EBD" w:rsidRPr="00BD16B4" w:rsidRDefault="00ED2EBD" w:rsidP="004A205F">
            <w:pPr>
              <w:pStyle w:val="TableText"/>
              <w:spacing w:before="40" w:after="40"/>
              <w:jc w:val="right"/>
              <w:rPr>
                <w:szCs w:val="18"/>
              </w:rPr>
            </w:pPr>
            <w:r w:rsidRPr="00BD16B4">
              <w:rPr>
                <w:szCs w:val="18"/>
              </w:rPr>
              <w:t>NA</w:t>
            </w:r>
          </w:p>
        </w:tc>
        <w:tc>
          <w:tcPr>
            <w:tcW w:w="1111" w:type="dxa"/>
          </w:tcPr>
          <w:p w14:paraId="4E3746C3" w14:textId="77777777" w:rsidR="00ED2EBD" w:rsidRPr="00BD16B4" w:rsidRDefault="00ED2EBD" w:rsidP="004A205F">
            <w:pPr>
              <w:pStyle w:val="TableText"/>
              <w:spacing w:before="40" w:after="40"/>
              <w:jc w:val="right"/>
              <w:rPr>
                <w:szCs w:val="18"/>
              </w:rPr>
            </w:pPr>
            <w:r w:rsidRPr="00BD16B4">
              <w:rPr>
                <w:szCs w:val="18"/>
              </w:rPr>
              <w:t>NA</w:t>
            </w:r>
          </w:p>
        </w:tc>
        <w:tc>
          <w:tcPr>
            <w:tcW w:w="1123" w:type="dxa"/>
          </w:tcPr>
          <w:p w14:paraId="39A27BA9" w14:textId="77777777" w:rsidR="00ED2EBD" w:rsidRPr="00BD16B4" w:rsidRDefault="00ED2EBD" w:rsidP="004A205F">
            <w:pPr>
              <w:pStyle w:val="TableText"/>
              <w:spacing w:before="40" w:after="40"/>
              <w:jc w:val="right"/>
              <w:rPr>
                <w:szCs w:val="18"/>
              </w:rPr>
            </w:pPr>
            <w:r w:rsidRPr="00BD16B4">
              <w:rPr>
                <w:szCs w:val="18"/>
              </w:rPr>
              <w:t>NA</w:t>
            </w:r>
          </w:p>
        </w:tc>
        <w:tc>
          <w:tcPr>
            <w:tcW w:w="1123" w:type="dxa"/>
          </w:tcPr>
          <w:p w14:paraId="296ECD8D" w14:textId="77777777" w:rsidR="00ED2EBD" w:rsidRPr="00BD16B4" w:rsidRDefault="00ED2EBD" w:rsidP="004A205F">
            <w:pPr>
              <w:pStyle w:val="TableText"/>
              <w:spacing w:before="40" w:after="40"/>
              <w:jc w:val="right"/>
              <w:rPr>
                <w:szCs w:val="18"/>
              </w:rPr>
            </w:pPr>
            <w:r w:rsidRPr="00BD16B4">
              <w:rPr>
                <w:szCs w:val="18"/>
              </w:rPr>
              <w:t>NA</w:t>
            </w:r>
          </w:p>
        </w:tc>
        <w:tc>
          <w:tcPr>
            <w:tcW w:w="1123" w:type="dxa"/>
          </w:tcPr>
          <w:p w14:paraId="1AD054D2" w14:textId="77777777" w:rsidR="00ED2EBD" w:rsidRPr="00BD16B4" w:rsidRDefault="00ED2EBD" w:rsidP="004A205F">
            <w:pPr>
              <w:pStyle w:val="TableText"/>
              <w:spacing w:before="40" w:after="40"/>
              <w:jc w:val="right"/>
              <w:rPr>
                <w:szCs w:val="18"/>
              </w:rPr>
            </w:pPr>
            <w:r w:rsidRPr="00BD16B4">
              <w:rPr>
                <w:szCs w:val="18"/>
              </w:rPr>
              <w:t>NA</w:t>
            </w:r>
          </w:p>
        </w:tc>
        <w:tc>
          <w:tcPr>
            <w:tcW w:w="1126" w:type="dxa"/>
          </w:tcPr>
          <w:p w14:paraId="4552B16A" w14:textId="77777777" w:rsidR="00ED2EBD" w:rsidRPr="00BD16B4" w:rsidRDefault="00ED2EBD" w:rsidP="004A205F">
            <w:pPr>
              <w:pStyle w:val="TableText"/>
              <w:spacing w:before="40" w:after="40"/>
              <w:jc w:val="right"/>
              <w:rPr>
                <w:szCs w:val="18"/>
              </w:rPr>
            </w:pPr>
            <w:r w:rsidRPr="00BD16B4">
              <w:rPr>
                <w:szCs w:val="18"/>
              </w:rPr>
              <w:t>NA</w:t>
            </w:r>
          </w:p>
        </w:tc>
        <w:tc>
          <w:tcPr>
            <w:tcW w:w="1126" w:type="dxa"/>
          </w:tcPr>
          <w:p w14:paraId="106D0108" w14:textId="77777777" w:rsidR="00ED2EBD" w:rsidRPr="00BD16B4" w:rsidRDefault="00ED2EBD" w:rsidP="004A205F">
            <w:pPr>
              <w:pStyle w:val="TableText"/>
              <w:spacing w:before="40" w:after="40"/>
              <w:jc w:val="right"/>
              <w:rPr>
                <w:szCs w:val="18"/>
              </w:rPr>
            </w:pPr>
            <w:r w:rsidRPr="00BD16B4">
              <w:rPr>
                <w:szCs w:val="18"/>
              </w:rPr>
              <w:t>NA</w:t>
            </w:r>
          </w:p>
        </w:tc>
        <w:tc>
          <w:tcPr>
            <w:tcW w:w="1111" w:type="dxa"/>
          </w:tcPr>
          <w:p w14:paraId="40CD5B5C" w14:textId="77777777" w:rsidR="00ED2EBD" w:rsidRPr="00BD16B4" w:rsidRDefault="00ED2EBD" w:rsidP="004A205F">
            <w:pPr>
              <w:pStyle w:val="TableText"/>
              <w:spacing w:before="40" w:after="40"/>
              <w:jc w:val="right"/>
              <w:rPr>
                <w:szCs w:val="18"/>
              </w:rPr>
            </w:pPr>
            <w:r w:rsidRPr="00BD16B4">
              <w:rPr>
                <w:szCs w:val="18"/>
              </w:rPr>
              <w:t>NA</w:t>
            </w:r>
          </w:p>
        </w:tc>
      </w:tr>
    </w:tbl>
    <w:p w14:paraId="49E02BD5" w14:textId="77777777" w:rsidR="00ED2EBD" w:rsidRPr="00BD16B4" w:rsidRDefault="00ED2EBD" w:rsidP="001778BD">
      <w:pPr>
        <w:spacing w:before="0" w:after="0"/>
      </w:pPr>
    </w:p>
    <w:tbl>
      <w:tblPr>
        <w:tblStyle w:val="MinistryfortheEnvironment"/>
        <w:tblW w:w="14515" w:type="dxa"/>
        <w:tblInd w:w="113" w:type="dxa"/>
        <w:tblLayout w:type="fixed"/>
        <w:tblLook w:val="04A0" w:firstRow="1" w:lastRow="0" w:firstColumn="1" w:lastColumn="0" w:noHBand="0" w:noVBand="1"/>
      </w:tblPr>
      <w:tblGrid>
        <w:gridCol w:w="2052"/>
        <w:gridCol w:w="1136"/>
        <w:gridCol w:w="1193"/>
        <w:gridCol w:w="1128"/>
        <w:gridCol w:w="1128"/>
        <w:gridCol w:w="1114"/>
        <w:gridCol w:w="1126"/>
        <w:gridCol w:w="1126"/>
        <w:gridCol w:w="1126"/>
        <w:gridCol w:w="1129"/>
        <w:gridCol w:w="1129"/>
        <w:gridCol w:w="1114"/>
        <w:gridCol w:w="14"/>
      </w:tblGrid>
      <w:tr w:rsidR="00ED2EBD" w:rsidRPr="00BD16B4" w14:paraId="2A8E8854" w14:textId="77777777" w:rsidTr="00B05A88">
        <w:trPr>
          <w:gridAfter w:val="1"/>
          <w:cnfStyle w:val="100000000000" w:firstRow="1" w:lastRow="0" w:firstColumn="0" w:lastColumn="0" w:oddVBand="0" w:evenVBand="0" w:oddHBand="0" w:evenHBand="0" w:firstRowFirstColumn="0" w:firstRowLastColumn="0" w:lastRowFirstColumn="0" w:lastRowLastColumn="0"/>
          <w:wAfter w:w="14" w:type="dxa"/>
        </w:trPr>
        <w:tc>
          <w:tcPr>
            <w:tcW w:w="2048" w:type="dxa"/>
            <w:tcBorders>
              <w:top w:val="single" w:sz="4" w:space="0" w:color="1B556B" w:themeColor="text2"/>
            </w:tcBorders>
            <w:vAlign w:val="bottom"/>
          </w:tcPr>
          <w:p w14:paraId="37FE5D66" w14:textId="77777777" w:rsidR="00ED2EBD" w:rsidRPr="00BD16B4" w:rsidRDefault="00ED2EBD" w:rsidP="004A205F">
            <w:pPr>
              <w:pStyle w:val="TableTextbold"/>
              <w:keepNext/>
              <w:spacing w:before="40" w:after="40"/>
              <w:rPr>
                <w:rFonts w:cs="Calibri"/>
                <w:b/>
                <w:bCs/>
                <w:szCs w:val="18"/>
              </w:rPr>
            </w:pPr>
            <w:r w:rsidRPr="00BD16B4">
              <w:rPr>
                <w:rFonts w:cs="Calibri"/>
                <w:b/>
                <w:bCs/>
                <w:szCs w:val="18"/>
              </w:rPr>
              <w:t xml:space="preserve">Greenhouse gas emissions </w:t>
            </w:r>
          </w:p>
        </w:tc>
        <w:tc>
          <w:tcPr>
            <w:tcW w:w="1134" w:type="dxa"/>
            <w:tcBorders>
              <w:top w:val="single" w:sz="4" w:space="0" w:color="1B556B" w:themeColor="text2"/>
            </w:tcBorders>
            <w:vAlign w:val="bottom"/>
          </w:tcPr>
          <w:p w14:paraId="3451F5C9"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1999</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91" w:type="dxa"/>
            <w:tcBorders>
              <w:top w:val="single" w:sz="4" w:space="0" w:color="1B556B" w:themeColor="text2"/>
            </w:tcBorders>
            <w:vAlign w:val="bottom"/>
          </w:tcPr>
          <w:p w14:paraId="474EF0CB"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2000</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26" w:type="dxa"/>
            <w:tcBorders>
              <w:top w:val="single" w:sz="4" w:space="0" w:color="1B556B" w:themeColor="text2"/>
            </w:tcBorders>
            <w:vAlign w:val="bottom"/>
          </w:tcPr>
          <w:p w14:paraId="3A786E3E"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2001</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26" w:type="dxa"/>
            <w:tcBorders>
              <w:top w:val="single" w:sz="4" w:space="0" w:color="1B556B" w:themeColor="text2"/>
            </w:tcBorders>
            <w:vAlign w:val="bottom"/>
          </w:tcPr>
          <w:p w14:paraId="392A19D7"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2002</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11" w:type="dxa"/>
            <w:tcBorders>
              <w:top w:val="single" w:sz="4" w:space="0" w:color="1B556B" w:themeColor="text2"/>
            </w:tcBorders>
            <w:vAlign w:val="bottom"/>
          </w:tcPr>
          <w:p w14:paraId="1F2E145D"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2003</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23" w:type="dxa"/>
            <w:tcBorders>
              <w:top w:val="single" w:sz="4" w:space="0" w:color="1B556B" w:themeColor="text2"/>
            </w:tcBorders>
            <w:vAlign w:val="bottom"/>
          </w:tcPr>
          <w:p w14:paraId="45D003A9"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2004</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23" w:type="dxa"/>
            <w:tcBorders>
              <w:top w:val="single" w:sz="4" w:space="0" w:color="1B556B" w:themeColor="text2"/>
            </w:tcBorders>
            <w:vAlign w:val="bottom"/>
          </w:tcPr>
          <w:p w14:paraId="582935FF"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2005</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23" w:type="dxa"/>
            <w:tcBorders>
              <w:top w:val="single" w:sz="4" w:space="0" w:color="1B556B" w:themeColor="text2"/>
            </w:tcBorders>
            <w:vAlign w:val="bottom"/>
          </w:tcPr>
          <w:p w14:paraId="40095C0A"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2006</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26" w:type="dxa"/>
            <w:tcBorders>
              <w:top w:val="single" w:sz="4" w:space="0" w:color="1B556B" w:themeColor="text2"/>
            </w:tcBorders>
            <w:vAlign w:val="bottom"/>
          </w:tcPr>
          <w:p w14:paraId="421CD4C2"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2007</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26" w:type="dxa"/>
            <w:tcBorders>
              <w:top w:val="single" w:sz="4" w:space="0" w:color="1B556B" w:themeColor="text2"/>
            </w:tcBorders>
            <w:vAlign w:val="bottom"/>
          </w:tcPr>
          <w:p w14:paraId="671AEA3F"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2008</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111" w:type="dxa"/>
            <w:tcBorders>
              <w:top w:val="single" w:sz="4" w:space="0" w:color="1B556B" w:themeColor="text2"/>
            </w:tcBorders>
            <w:vAlign w:val="bottom"/>
          </w:tcPr>
          <w:p w14:paraId="0E994F94"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2009</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r>
      <w:tr w:rsidR="001778BD" w:rsidRPr="00BD16B4" w14:paraId="178212B2" w14:textId="77777777" w:rsidTr="001778BD">
        <w:tblPrEx>
          <w:tblCellMar>
            <w:bottom w:w="0" w:type="dxa"/>
          </w:tblCellMar>
        </w:tblPrEx>
        <w:tc>
          <w:tcPr>
            <w:tcW w:w="2048" w:type="dxa"/>
          </w:tcPr>
          <w:p w14:paraId="3910D4C2" w14:textId="5292CF08" w:rsidR="00ED2EBD" w:rsidRPr="00BD16B4" w:rsidRDefault="00ED2EBD" w:rsidP="004A205F">
            <w:pPr>
              <w:pStyle w:val="TableText"/>
              <w:spacing w:before="40" w:after="40"/>
              <w:rPr>
                <w:rFonts w:cs="Calibri"/>
                <w:szCs w:val="18"/>
              </w:rPr>
            </w:pPr>
            <w:r w:rsidRPr="00BD16B4">
              <w:rPr>
                <w:rFonts w:cs="Calibri"/>
                <w:szCs w:val="18"/>
              </w:rPr>
              <w:t>1.</w:t>
            </w:r>
            <w:r w:rsidR="00280979" w:rsidRPr="00BD16B4">
              <w:rPr>
                <w:rFonts w:cs="Calibri"/>
                <w:szCs w:val="18"/>
              </w:rPr>
              <w:t xml:space="preserve"> </w:t>
            </w:r>
            <w:r w:rsidRPr="00BD16B4">
              <w:rPr>
                <w:rFonts w:cs="Calibri"/>
                <w:szCs w:val="18"/>
              </w:rPr>
              <w:t xml:space="preserve">Energy </w:t>
            </w:r>
          </w:p>
        </w:tc>
        <w:tc>
          <w:tcPr>
            <w:tcW w:w="1134" w:type="dxa"/>
          </w:tcPr>
          <w:p w14:paraId="55BEF2F0" w14:textId="77777777" w:rsidR="00ED2EBD" w:rsidRPr="00BD16B4" w:rsidRDefault="00ED2EBD" w:rsidP="004A205F">
            <w:pPr>
              <w:pStyle w:val="TableText"/>
              <w:spacing w:before="40" w:after="40"/>
              <w:jc w:val="right"/>
              <w:rPr>
                <w:rFonts w:cs="Calibri"/>
                <w:szCs w:val="18"/>
              </w:rPr>
            </w:pPr>
            <w:r w:rsidRPr="00BD16B4">
              <w:rPr>
                <w:rFonts w:cs="Calibri"/>
                <w:szCs w:val="18"/>
              </w:rPr>
              <w:t>29,283.48</w:t>
            </w:r>
          </w:p>
        </w:tc>
        <w:tc>
          <w:tcPr>
            <w:tcW w:w="1191" w:type="dxa"/>
          </w:tcPr>
          <w:p w14:paraId="197AC093" w14:textId="77777777" w:rsidR="00ED2EBD" w:rsidRPr="00BD16B4" w:rsidRDefault="00ED2EBD" w:rsidP="004A205F">
            <w:pPr>
              <w:pStyle w:val="TableText"/>
              <w:spacing w:before="40" w:after="40"/>
              <w:jc w:val="right"/>
              <w:rPr>
                <w:rFonts w:cs="Calibri"/>
                <w:szCs w:val="18"/>
              </w:rPr>
            </w:pPr>
            <w:r w:rsidRPr="00BD16B4">
              <w:rPr>
                <w:rFonts w:cs="Calibri"/>
                <w:szCs w:val="18"/>
              </w:rPr>
              <w:t>30,019.02</w:t>
            </w:r>
          </w:p>
        </w:tc>
        <w:tc>
          <w:tcPr>
            <w:tcW w:w="1126" w:type="dxa"/>
          </w:tcPr>
          <w:p w14:paraId="153A83A6" w14:textId="77777777" w:rsidR="00ED2EBD" w:rsidRPr="00BD16B4" w:rsidRDefault="00ED2EBD" w:rsidP="004A205F">
            <w:pPr>
              <w:pStyle w:val="TableText"/>
              <w:spacing w:before="40" w:after="40"/>
              <w:jc w:val="right"/>
              <w:rPr>
                <w:rFonts w:cs="Calibri"/>
                <w:szCs w:val="18"/>
              </w:rPr>
            </w:pPr>
            <w:r w:rsidRPr="00BD16B4">
              <w:rPr>
                <w:rFonts w:cs="Calibri"/>
                <w:szCs w:val="18"/>
              </w:rPr>
              <w:t>32,039.08</w:t>
            </w:r>
          </w:p>
        </w:tc>
        <w:tc>
          <w:tcPr>
            <w:tcW w:w="1126" w:type="dxa"/>
          </w:tcPr>
          <w:p w14:paraId="00D92C48" w14:textId="77777777" w:rsidR="00ED2EBD" w:rsidRPr="00BD16B4" w:rsidRDefault="00ED2EBD" w:rsidP="004A205F">
            <w:pPr>
              <w:pStyle w:val="TableText"/>
              <w:spacing w:before="40" w:after="40"/>
              <w:jc w:val="right"/>
              <w:rPr>
                <w:rFonts w:cs="Calibri"/>
                <w:szCs w:val="18"/>
              </w:rPr>
            </w:pPr>
            <w:r w:rsidRPr="00BD16B4">
              <w:rPr>
                <w:rFonts w:cs="Calibri"/>
                <w:szCs w:val="18"/>
              </w:rPr>
              <w:t>31,989.04</w:t>
            </w:r>
          </w:p>
        </w:tc>
        <w:tc>
          <w:tcPr>
            <w:tcW w:w="1111" w:type="dxa"/>
          </w:tcPr>
          <w:p w14:paraId="268489BE" w14:textId="77777777" w:rsidR="00ED2EBD" w:rsidRPr="00BD16B4" w:rsidRDefault="00ED2EBD" w:rsidP="004A205F">
            <w:pPr>
              <w:pStyle w:val="TableText"/>
              <w:spacing w:before="40" w:after="40"/>
              <w:jc w:val="right"/>
              <w:rPr>
                <w:rFonts w:cs="Calibri"/>
                <w:szCs w:val="18"/>
              </w:rPr>
            </w:pPr>
            <w:r w:rsidRPr="00BD16B4">
              <w:rPr>
                <w:rFonts w:cs="Calibri"/>
                <w:szCs w:val="18"/>
              </w:rPr>
              <w:t>33,413.74</w:t>
            </w:r>
          </w:p>
        </w:tc>
        <w:tc>
          <w:tcPr>
            <w:tcW w:w="1123" w:type="dxa"/>
          </w:tcPr>
          <w:p w14:paraId="45A511B8" w14:textId="77777777" w:rsidR="00ED2EBD" w:rsidRPr="00BD16B4" w:rsidRDefault="00ED2EBD" w:rsidP="004A205F">
            <w:pPr>
              <w:pStyle w:val="TableText"/>
              <w:spacing w:before="40" w:after="40"/>
              <w:jc w:val="right"/>
              <w:rPr>
                <w:rFonts w:cs="Calibri"/>
                <w:szCs w:val="18"/>
              </w:rPr>
            </w:pPr>
            <w:r w:rsidRPr="00BD16B4">
              <w:rPr>
                <w:rFonts w:cs="Calibri"/>
                <w:szCs w:val="18"/>
              </w:rPr>
              <w:t>33,056.30</w:t>
            </w:r>
          </w:p>
        </w:tc>
        <w:tc>
          <w:tcPr>
            <w:tcW w:w="1123" w:type="dxa"/>
          </w:tcPr>
          <w:p w14:paraId="68A5A110" w14:textId="77777777" w:rsidR="00ED2EBD" w:rsidRPr="00BD16B4" w:rsidRDefault="00ED2EBD" w:rsidP="004A205F">
            <w:pPr>
              <w:pStyle w:val="TableText"/>
              <w:spacing w:before="40" w:after="40"/>
              <w:jc w:val="right"/>
              <w:rPr>
                <w:rFonts w:cs="Calibri"/>
                <w:szCs w:val="18"/>
              </w:rPr>
            </w:pPr>
            <w:r w:rsidRPr="00BD16B4">
              <w:rPr>
                <w:rFonts w:cs="Calibri"/>
                <w:szCs w:val="18"/>
              </w:rPr>
              <w:t>34,649.77</w:t>
            </w:r>
          </w:p>
        </w:tc>
        <w:tc>
          <w:tcPr>
            <w:tcW w:w="1123" w:type="dxa"/>
          </w:tcPr>
          <w:p w14:paraId="3520C379" w14:textId="77777777" w:rsidR="00ED2EBD" w:rsidRPr="00BD16B4" w:rsidRDefault="00ED2EBD" w:rsidP="004A205F">
            <w:pPr>
              <w:pStyle w:val="TableText"/>
              <w:spacing w:before="40" w:after="40"/>
              <w:jc w:val="right"/>
              <w:rPr>
                <w:rFonts w:cs="Calibri"/>
                <w:szCs w:val="18"/>
              </w:rPr>
            </w:pPr>
            <w:r w:rsidRPr="00BD16B4">
              <w:rPr>
                <w:rFonts w:cs="Calibri"/>
                <w:szCs w:val="18"/>
              </w:rPr>
              <w:t>35,047.74</w:t>
            </w:r>
          </w:p>
        </w:tc>
        <w:tc>
          <w:tcPr>
            <w:tcW w:w="1126" w:type="dxa"/>
          </w:tcPr>
          <w:p w14:paraId="44F7B892" w14:textId="77777777" w:rsidR="00ED2EBD" w:rsidRPr="00BD16B4" w:rsidRDefault="00ED2EBD" w:rsidP="004A205F">
            <w:pPr>
              <w:pStyle w:val="TableText"/>
              <w:spacing w:before="40" w:after="40"/>
              <w:jc w:val="right"/>
              <w:rPr>
                <w:rFonts w:cs="Calibri"/>
                <w:szCs w:val="18"/>
              </w:rPr>
            </w:pPr>
            <w:r w:rsidRPr="00BD16B4">
              <w:rPr>
                <w:rFonts w:cs="Calibri"/>
                <w:szCs w:val="18"/>
              </w:rPr>
              <w:t>33,639.79</w:t>
            </w:r>
          </w:p>
        </w:tc>
        <w:tc>
          <w:tcPr>
            <w:tcW w:w="1126" w:type="dxa"/>
          </w:tcPr>
          <w:p w14:paraId="6E709B0B" w14:textId="77777777" w:rsidR="00ED2EBD" w:rsidRPr="00BD16B4" w:rsidRDefault="00ED2EBD" w:rsidP="004A205F">
            <w:pPr>
              <w:pStyle w:val="TableText"/>
              <w:spacing w:before="40" w:after="40"/>
              <w:jc w:val="right"/>
              <w:rPr>
                <w:rFonts w:cs="Calibri"/>
                <w:szCs w:val="18"/>
              </w:rPr>
            </w:pPr>
            <w:r w:rsidRPr="00BD16B4">
              <w:rPr>
                <w:rFonts w:cs="Calibri"/>
                <w:szCs w:val="18"/>
              </w:rPr>
              <w:t>34,775.53</w:t>
            </w:r>
          </w:p>
        </w:tc>
        <w:tc>
          <w:tcPr>
            <w:tcW w:w="1125" w:type="dxa"/>
            <w:gridSpan w:val="2"/>
          </w:tcPr>
          <w:p w14:paraId="70F8E550" w14:textId="77777777" w:rsidR="00ED2EBD" w:rsidRPr="00BD16B4" w:rsidRDefault="00ED2EBD" w:rsidP="004A205F">
            <w:pPr>
              <w:pStyle w:val="TableText"/>
              <w:spacing w:before="40" w:after="40"/>
              <w:jc w:val="right"/>
              <w:rPr>
                <w:rFonts w:cs="Calibri"/>
                <w:szCs w:val="18"/>
              </w:rPr>
            </w:pPr>
            <w:r w:rsidRPr="00BD16B4">
              <w:rPr>
                <w:rFonts w:cs="Calibri"/>
                <w:szCs w:val="18"/>
              </w:rPr>
              <w:t>32,091.90</w:t>
            </w:r>
          </w:p>
        </w:tc>
      </w:tr>
      <w:tr w:rsidR="001778BD" w:rsidRPr="00BD16B4" w14:paraId="32452EE3" w14:textId="77777777" w:rsidTr="001778BD">
        <w:tblPrEx>
          <w:tblCellMar>
            <w:bottom w:w="0" w:type="dxa"/>
          </w:tblCellMar>
        </w:tblPrEx>
        <w:tc>
          <w:tcPr>
            <w:tcW w:w="2048" w:type="dxa"/>
          </w:tcPr>
          <w:p w14:paraId="7413E80A" w14:textId="2CADA4DF" w:rsidR="00ED2EBD" w:rsidRPr="00BD16B4" w:rsidRDefault="00ED2EBD" w:rsidP="004A205F">
            <w:pPr>
              <w:pStyle w:val="TableText"/>
              <w:spacing w:before="40" w:after="40"/>
              <w:rPr>
                <w:rFonts w:cs="Calibri"/>
                <w:szCs w:val="18"/>
              </w:rPr>
            </w:pPr>
            <w:r w:rsidRPr="00BD16B4">
              <w:rPr>
                <w:rFonts w:cs="Calibri"/>
                <w:szCs w:val="18"/>
              </w:rPr>
              <w:t>2.</w:t>
            </w:r>
            <w:r w:rsidR="00280979" w:rsidRPr="00BD16B4">
              <w:rPr>
                <w:rFonts w:cs="Calibri"/>
                <w:szCs w:val="18"/>
              </w:rPr>
              <w:t xml:space="preserve"> </w:t>
            </w:r>
            <w:r w:rsidRPr="00BD16B4">
              <w:rPr>
                <w:rFonts w:cs="Calibri"/>
                <w:szCs w:val="18"/>
              </w:rPr>
              <w:t>Industrial processes and product use</w:t>
            </w:r>
          </w:p>
        </w:tc>
        <w:tc>
          <w:tcPr>
            <w:tcW w:w="1134" w:type="dxa"/>
          </w:tcPr>
          <w:p w14:paraId="3AB9BC5F" w14:textId="77777777" w:rsidR="00ED2EBD" w:rsidRPr="00BD16B4" w:rsidRDefault="00ED2EBD" w:rsidP="004A205F">
            <w:pPr>
              <w:pStyle w:val="TableText"/>
              <w:spacing w:before="40" w:after="40"/>
              <w:jc w:val="right"/>
              <w:rPr>
                <w:rFonts w:cs="Calibri"/>
                <w:szCs w:val="18"/>
              </w:rPr>
            </w:pPr>
            <w:r w:rsidRPr="00BD16B4">
              <w:rPr>
                <w:rFonts w:cs="Calibri"/>
                <w:szCs w:val="18"/>
              </w:rPr>
              <w:t>3,412.94</w:t>
            </w:r>
          </w:p>
        </w:tc>
        <w:tc>
          <w:tcPr>
            <w:tcW w:w="1191" w:type="dxa"/>
          </w:tcPr>
          <w:p w14:paraId="027C625B" w14:textId="77777777" w:rsidR="00ED2EBD" w:rsidRPr="00BD16B4" w:rsidRDefault="00ED2EBD" w:rsidP="004A205F">
            <w:pPr>
              <w:pStyle w:val="TableText"/>
              <w:spacing w:before="40" w:after="40"/>
              <w:jc w:val="right"/>
              <w:rPr>
                <w:rFonts w:cs="Calibri"/>
                <w:szCs w:val="18"/>
              </w:rPr>
            </w:pPr>
            <w:r w:rsidRPr="00BD16B4">
              <w:rPr>
                <w:rFonts w:cs="Calibri"/>
                <w:szCs w:val="18"/>
              </w:rPr>
              <w:t>3,443.22</w:t>
            </w:r>
          </w:p>
        </w:tc>
        <w:tc>
          <w:tcPr>
            <w:tcW w:w="1126" w:type="dxa"/>
          </w:tcPr>
          <w:p w14:paraId="78D5E85D" w14:textId="77777777" w:rsidR="00ED2EBD" w:rsidRPr="00BD16B4" w:rsidRDefault="00ED2EBD" w:rsidP="004A205F">
            <w:pPr>
              <w:pStyle w:val="TableText"/>
              <w:spacing w:before="40" w:after="40"/>
              <w:jc w:val="right"/>
              <w:rPr>
                <w:rFonts w:cs="Calibri"/>
                <w:szCs w:val="18"/>
              </w:rPr>
            </w:pPr>
            <w:r w:rsidRPr="00BD16B4">
              <w:rPr>
                <w:rFonts w:cs="Calibri"/>
                <w:szCs w:val="18"/>
              </w:rPr>
              <w:t>3,558.48</w:t>
            </w:r>
          </w:p>
        </w:tc>
        <w:tc>
          <w:tcPr>
            <w:tcW w:w="1126" w:type="dxa"/>
          </w:tcPr>
          <w:p w14:paraId="4140378A" w14:textId="77777777" w:rsidR="00ED2EBD" w:rsidRPr="00BD16B4" w:rsidRDefault="00ED2EBD" w:rsidP="004A205F">
            <w:pPr>
              <w:pStyle w:val="TableText"/>
              <w:spacing w:before="40" w:after="40"/>
              <w:jc w:val="right"/>
              <w:rPr>
                <w:rFonts w:cs="Calibri"/>
                <w:szCs w:val="18"/>
              </w:rPr>
            </w:pPr>
            <w:r w:rsidRPr="00BD16B4">
              <w:rPr>
                <w:rFonts w:cs="Calibri"/>
                <w:szCs w:val="18"/>
              </w:rPr>
              <w:t>3,680.46</w:t>
            </w:r>
          </w:p>
        </w:tc>
        <w:tc>
          <w:tcPr>
            <w:tcW w:w="1111" w:type="dxa"/>
          </w:tcPr>
          <w:p w14:paraId="579F8E5C" w14:textId="77777777" w:rsidR="00ED2EBD" w:rsidRPr="00BD16B4" w:rsidRDefault="00ED2EBD" w:rsidP="004A205F">
            <w:pPr>
              <w:pStyle w:val="TableText"/>
              <w:spacing w:before="40" w:after="40"/>
              <w:jc w:val="right"/>
              <w:rPr>
                <w:rFonts w:cs="Calibri"/>
                <w:szCs w:val="18"/>
              </w:rPr>
            </w:pPr>
            <w:r w:rsidRPr="00BD16B4">
              <w:rPr>
                <w:rFonts w:cs="Calibri"/>
                <w:szCs w:val="18"/>
              </w:rPr>
              <w:t>3,916.54</w:t>
            </w:r>
          </w:p>
        </w:tc>
        <w:tc>
          <w:tcPr>
            <w:tcW w:w="1123" w:type="dxa"/>
          </w:tcPr>
          <w:p w14:paraId="1F254879" w14:textId="77777777" w:rsidR="00ED2EBD" w:rsidRPr="00BD16B4" w:rsidRDefault="00ED2EBD" w:rsidP="004A205F">
            <w:pPr>
              <w:pStyle w:val="TableText"/>
              <w:spacing w:before="40" w:after="40"/>
              <w:jc w:val="right"/>
              <w:rPr>
                <w:rFonts w:cs="Calibri"/>
                <w:szCs w:val="18"/>
              </w:rPr>
            </w:pPr>
            <w:r w:rsidRPr="00BD16B4">
              <w:rPr>
                <w:rFonts w:cs="Calibri"/>
                <w:szCs w:val="18"/>
              </w:rPr>
              <w:t>3,953.00</w:t>
            </w:r>
          </w:p>
        </w:tc>
        <w:tc>
          <w:tcPr>
            <w:tcW w:w="1123" w:type="dxa"/>
          </w:tcPr>
          <w:p w14:paraId="745A16C1" w14:textId="77777777" w:rsidR="00ED2EBD" w:rsidRPr="00BD16B4" w:rsidRDefault="00ED2EBD" w:rsidP="004A205F">
            <w:pPr>
              <w:pStyle w:val="TableText"/>
              <w:spacing w:before="40" w:after="40"/>
              <w:jc w:val="right"/>
              <w:rPr>
                <w:rFonts w:cs="Calibri"/>
                <w:szCs w:val="18"/>
              </w:rPr>
            </w:pPr>
            <w:r w:rsidRPr="00BD16B4">
              <w:rPr>
                <w:rFonts w:cs="Calibri"/>
                <w:szCs w:val="18"/>
              </w:rPr>
              <w:t>4,061.65</w:t>
            </w:r>
          </w:p>
        </w:tc>
        <w:tc>
          <w:tcPr>
            <w:tcW w:w="1123" w:type="dxa"/>
          </w:tcPr>
          <w:p w14:paraId="3F27F149" w14:textId="77777777" w:rsidR="00ED2EBD" w:rsidRPr="00BD16B4" w:rsidRDefault="00ED2EBD" w:rsidP="004A205F">
            <w:pPr>
              <w:pStyle w:val="TableText"/>
              <w:spacing w:before="40" w:after="40"/>
              <w:jc w:val="right"/>
              <w:rPr>
                <w:rFonts w:cs="Calibri"/>
                <w:szCs w:val="18"/>
              </w:rPr>
            </w:pPr>
            <w:r w:rsidRPr="00BD16B4">
              <w:rPr>
                <w:rFonts w:cs="Calibri"/>
                <w:szCs w:val="18"/>
              </w:rPr>
              <w:t>4,171.18</w:t>
            </w:r>
          </w:p>
        </w:tc>
        <w:tc>
          <w:tcPr>
            <w:tcW w:w="1126" w:type="dxa"/>
          </w:tcPr>
          <w:p w14:paraId="7A604B11" w14:textId="77777777" w:rsidR="00ED2EBD" w:rsidRPr="00BD16B4" w:rsidRDefault="00ED2EBD" w:rsidP="004A205F">
            <w:pPr>
              <w:pStyle w:val="TableText"/>
              <w:spacing w:before="40" w:after="40"/>
              <w:jc w:val="right"/>
              <w:rPr>
                <w:rFonts w:cs="Calibri"/>
                <w:szCs w:val="18"/>
              </w:rPr>
            </w:pPr>
            <w:r w:rsidRPr="00BD16B4">
              <w:rPr>
                <w:rFonts w:cs="Calibri"/>
                <w:szCs w:val="18"/>
              </w:rPr>
              <w:t>4,431.19</w:t>
            </w:r>
          </w:p>
        </w:tc>
        <w:tc>
          <w:tcPr>
            <w:tcW w:w="1126" w:type="dxa"/>
          </w:tcPr>
          <w:p w14:paraId="5B2CCB4D" w14:textId="77777777" w:rsidR="00ED2EBD" w:rsidRPr="00BD16B4" w:rsidRDefault="00ED2EBD" w:rsidP="004A205F">
            <w:pPr>
              <w:pStyle w:val="TableText"/>
              <w:spacing w:before="40" w:after="40"/>
              <w:jc w:val="right"/>
              <w:rPr>
                <w:rFonts w:cs="Calibri"/>
                <w:szCs w:val="18"/>
              </w:rPr>
            </w:pPr>
            <w:r w:rsidRPr="00BD16B4">
              <w:rPr>
                <w:rFonts w:cs="Calibri"/>
                <w:szCs w:val="18"/>
              </w:rPr>
              <w:t>4,322.44</w:t>
            </w:r>
          </w:p>
        </w:tc>
        <w:tc>
          <w:tcPr>
            <w:tcW w:w="1125" w:type="dxa"/>
            <w:gridSpan w:val="2"/>
          </w:tcPr>
          <w:p w14:paraId="60803A30" w14:textId="77777777" w:rsidR="00ED2EBD" w:rsidRPr="00BD16B4" w:rsidRDefault="00ED2EBD" w:rsidP="004A205F">
            <w:pPr>
              <w:pStyle w:val="TableText"/>
              <w:spacing w:before="40" w:after="40"/>
              <w:jc w:val="right"/>
              <w:rPr>
                <w:rFonts w:cs="Calibri"/>
                <w:szCs w:val="18"/>
              </w:rPr>
            </w:pPr>
            <w:r w:rsidRPr="00BD16B4">
              <w:rPr>
                <w:rFonts w:cs="Calibri"/>
                <w:szCs w:val="18"/>
              </w:rPr>
              <w:t>4,274.59</w:t>
            </w:r>
          </w:p>
        </w:tc>
      </w:tr>
      <w:tr w:rsidR="001778BD" w:rsidRPr="00BD16B4" w14:paraId="5260B78A" w14:textId="77777777" w:rsidTr="001778BD">
        <w:tblPrEx>
          <w:tblCellMar>
            <w:bottom w:w="0" w:type="dxa"/>
          </w:tblCellMar>
        </w:tblPrEx>
        <w:tc>
          <w:tcPr>
            <w:tcW w:w="2048" w:type="dxa"/>
          </w:tcPr>
          <w:p w14:paraId="23248013" w14:textId="7B38F7F8" w:rsidR="00ED2EBD" w:rsidRPr="00BD16B4" w:rsidRDefault="00ED2EBD" w:rsidP="004A205F">
            <w:pPr>
              <w:pStyle w:val="TableText"/>
              <w:spacing w:before="40" w:after="40"/>
              <w:rPr>
                <w:rFonts w:cs="Calibri"/>
                <w:szCs w:val="18"/>
              </w:rPr>
            </w:pPr>
            <w:r w:rsidRPr="00BD16B4">
              <w:rPr>
                <w:rFonts w:cs="Calibri"/>
                <w:szCs w:val="18"/>
              </w:rPr>
              <w:t>3.</w:t>
            </w:r>
            <w:r w:rsidR="00280979" w:rsidRPr="00BD16B4">
              <w:rPr>
                <w:rFonts w:cs="Calibri"/>
                <w:szCs w:val="18"/>
              </w:rPr>
              <w:t xml:space="preserve"> </w:t>
            </w:r>
            <w:r w:rsidRPr="00BD16B4">
              <w:rPr>
                <w:rFonts w:cs="Calibri"/>
                <w:szCs w:val="18"/>
              </w:rPr>
              <w:t xml:space="preserve">Agriculture </w:t>
            </w:r>
          </w:p>
        </w:tc>
        <w:tc>
          <w:tcPr>
            <w:tcW w:w="1134" w:type="dxa"/>
          </w:tcPr>
          <w:p w14:paraId="4A5228ED" w14:textId="77777777" w:rsidR="00ED2EBD" w:rsidRPr="00BD16B4" w:rsidRDefault="00ED2EBD" w:rsidP="004A205F">
            <w:pPr>
              <w:pStyle w:val="TableText"/>
              <w:spacing w:before="40" w:after="40"/>
              <w:jc w:val="right"/>
              <w:rPr>
                <w:rFonts w:cs="Calibri"/>
                <w:szCs w:val="18"/>
              </w:rPr>
            </w:pPr>
            <w:r w:rsidRPr="00BD16B4">
              <w:rPr>
                <w:rFonts w:cs="Calibri"/>
                <w:szCs w:val="18"/>
              </w:rPr>
              <w:t>36,468.19</w:t>
            </w:r>
          </w:p>
        </w:tc>
        <w:tc>
          <w:tcPr>
            <w:tcW w:w="1191" w:type="dxa"/>
          </w:tcPr>
          <w:p w14:paraId="4CF8E5A3" w14:textId="77777777" w:rsidR="00ED2EBD" w:rsidRPr="00BD16B4" w:rsidRDefault="00ED2EBD" w:rsidP="004A205F">
            <w:pPr>
              <w:pStyle w:val="TableText"/>
              <w:spacing w:before="40" w:after="40"/>
              <w:jc w:val="right"/>
              <w:rPr>
                <w:rFonts w:cs="Calibri"/>
                <w:szCs w:val="18"/>
              </w:rPr>
            </w:pPr>
            <w:r w:rsidRPr="00BD16B4">
              <w:rPr>
                <w:rFonts w:cs="Calibri"/>
                <w:szCs w:val="18"/>
              </w:rPr>
              <w:t>37,614.88</w:t>
            </w:r>
          </w:p>
        </w:tc>
        <w:tc>
          <w:tcPr>
            <w:tcW w:w="1126" w:type="dxa"/>
          </w:tcPr>
          <w:p w14:paraId="038E7A61" w14:textId="77777777" w:rsidR="00ED2EBD" w:rsidRPr="00BD16B4" w:rsidRDefault="00ED2EBD" w:rsidP="004A205F">
            <w:pPr>
              <w:pStyle w:val="TableText"/>
              <w:spacing w:before="40" w:after="40"/>
              <w:jc w:val="right"/>
              <w:rPr>
                <w:rFonts w:cs="Calibri"/>
                <w:szCs w:val="18"/>
              </w:rPr>
            </w:pPr>
            <w:r w:rsidRPr="00BD16B4">
              <w:rPr>
                <w:rFonts w:cs="Calibri"/>
                <w:szCs w:val="18"/>
              </w:rPr>
              <w:t>38,445.14</w:t>
            </w:r>
          </w:p>
        </w:tc>
        <w:tc>
          <w:tcPr>
            <w:tcW w:w="1126" w:type="dxa"/>
          </w:tcPr>
          <w:p w14:paraId="0BF99EC1" w14:textId="77777777" w:rsidR="00ED2EBD" w:rsidRPr="00BD16B4" w:rsidRDefault="00ED2EBD" w:rsidP="004A205F">
            <w:pPr>
              <w:pStyle w:val="TableText"/>
              <w:spacing w:before="40" w:after="40"/>
              <w:jc w:val="right"/>
              <w:rPr>
                <w:rFonts w:cs="Calibri"/>
                <w:szCs w:val="18"/>
              </w:rPr>
            </w:pPr>
            <w:r w:rsidRPr="00BD16B4">
              <w:rPr>
                <w:rFonts w:cs="Calibri"/>
                <w:szCs w:val="18"/>
              </w:rPr>
              <w:t>38,452.90</w:t>
            </w:r>
          </w:p>
        </w:tc>
        <w:tc>
          <w:tcPr>
            <w:tcW w:w="1111" w:type="dxa"/>
          </w:tcPr>
          <w:p w14:paraId="024BF87B" w14:textId="77777777" w:rsidR="00ED2EBD" w:rsidRPr="00BD16B4" w:rsidRDefault="00ED2EBD" w:rsidP="004A205F">
            <w:pPr>
              <w:pStyle w:val="TableText"/>
              <w:spacing w:before="40" w:after="40"/>
              <w:jc w:val="right"/>
              <w:rPr>
                <w:rFonts w:cs="Calibri"/>
                <w:szCs w:val="18"/>
              </w:rPr>
            </w:pPr>
            <w:r w:rsidRPr="00BD16B4">
              <w:rPr>
                <w:rFonts w:cs="Calibri"/>
                <w:szCs w:val="18"/>
              </w:rPr>
              <w:t>39,075.43</w:t>
            </w:r>
          </w:p>
        </w:tc>
        <w:tc>
          <w:tcPr>
            <w:tcW w:w="1123" w:type="dxa"/>
          </w:tcPr>
          <w:p w14:paraId="37883A29" w14:textId="77777777" w:rsidR="00ED2EBD" w:rsidRPr="00BD16B4" w:rsidRDefault="00ED2EBD" w:rsidP="004A205F">
            <w:pPr>
              <w:pStyle w:val="TableText"/>
              <w:spacing w:before="40" w:after="40"/>
              <w:jc w:val="right"/>
              <w:rPr>
                <w:rFonts w:cs="Calibri"/>
                <w:szCs w:val="18"/>
              </w:rPr>
            </w:pPr>
            <w:r w:rsidRPr="00BD16B4">
              <w:rPr>
                <w:rFonts w:cs="Calibri"/>
                <w:szCs w:val="18"/>
              </w:rPr>
              <w:t>39,219.07</w:t>
            </w:r>
          </w:p>
        </w:tc>
        <w:tc>
          <w:tcPr>
            <w:tcW w:w="1123" w:type="dxa"/>
          </w:tcPr>
          <w:p w14:paraId="002C0893" w14:textId="77777777" w:rsidR="00ED2EBD" w:rsidRPr="00BD16B4" w:rsidRDefault="00ED2EBD" w:rsidP="004A205F">
            <w:pPr>
              <w:pStyle w:val="TableText"/>
              <w:spacing w:before="40" w:after="40"/>
              <w:jc w:val="right"/>
              <w:rPr>
                <w:rFonts w:cs="Calibri"/>
                <w:szCs w:val="18"/>
              </w:rPr>
            </w:pPr>
            <w:r w:rsidRPr="00BD16B4">
              <w:rPr>
                <w:rFonts w:cs="Calibri"/>
                <w:szCs w:val="18"/>
              </w:rPr>
              <w:t>39,571.90</w:t>
            </w:r>
          </w:p>
        </w:tc>
        <w:tc>
          <w:tcPr>
            <w:tcW w:w="1123" w:type="dxa"/>
          </w:tcPr>
          <w:p w14:paraId="34519312" w14:textId="77777777" w:rsidR="00ED2EBD" w:rsidRPr="00BD16B4" w:rsidRDefault="00ED2EBD" w:rsidP="004A205F">
            <w:pPr>
              <w:pStyle w:val="TableText"/>
              <w:spacing w:before="40" w:after="40"/>
              <w:jc w:val="right"/>
              <w:rPr>
                <w:rFonts w:cs="Calibri"/>
                <w:szCs w:val="18"/>
              </w:rPr>
            </w:pPr>
            <w:r w:rsidRPr="00BD16B4">
              <w:rPr>
                <w:rFonts w:cs="Calibri"/>
                <w:szCs w:val="18"/>
              </w:rPr>
              <w:t>39,427.40</w:t>
            </w:r>
          </w:p>
        </w:tc>
        <w:tc>
          <w:tcPr>
            <w:tcW w:w="1126" w:type="dxa"/>
          </w:tcPr>
          <w:p w14:paraId="3883DEB3" w14:textId="77777777" w:rsidR="00ED2EBD" w:rsidRPr="00BD16B4" w:rsidRDefault="00ED2EBD" w:rsidP="004A205F">
            <w:pPr>
              <w:pStyle w:val="TableText"/>
              <w:spacing w:before="40" w:after="40"/>
              <w:jc w:val="right"/>
              <w:rPr>
                <w:rFonts w:cs="Calibri"/>
                <w:szCs w:val="18"/>
              </w:rPr>
            </w:pPr>
            <w:r w:rsidRPr="00BD16B4">
              <w:rPr>
                <w:rFonts w:cs="Calibri"/>
                <w:szCs w:val="18"/>
              </w:rPr>
              <w:t>38,508.10</w:t>
            </w:r>
          </w:p>
        </w:tc>
        <w:tc>
          <w:tcPr>
            <w:tcW w:w="1126" w:type="dxa"/>
          </w:tcPr>
          <w:p w14:paraId="360353FE" w14:textId="77777777" w:rsidR="00ED2EBD" w:rsidRPr="00BD16B4" w:rsidRDefault="00ED2EBD" w:rsidP="004A205F">
            <w:pPr>
              <w:pStyle w:val="TableText"/>
              <w:spacing w:before="40" w:after="40"/>
              <w:jc w:val="right"/>
              <w:rPr>
                <w:rFonts w:cs="Calibri"/>
                <w:szCs w:val="18"/>
              </w:rPr>
            </w:pPr>
            <w:r w:rsidRPr="00BD16B4">
              <w:rPr>
                <w:rFonts w:cs="Calibri"/>
                <w:szCs w:val="18"/>
              </w:rPr>
              <w:t>37,332.25</w:t>
            </w:r>
          </w:p>
        </w:tc>
        <w:tc>
          <w:tcPr>
            <w:tcW w:w="1125" w:type="dxa"/>
            <w:gridSpan w:val="2"/>
          </w:tcPr>
          <w:p w14:paraId="38B9FE62" w14:textId="77777777" w:rsidR="00ED2EBD" w:rsidRPr="00BD16B4" w:rsidRDefault="00ED2EBD" w:rsidP="004A205F">
            <w:pPr>
              <w:pStyle w:val="TableText"/>
              <w:spacing w:before="40" w:after="40"/>
              <w:jc w:val="right"/>
              <w:rPr>
                <w:rFonts w:cs="Calibri"/>
                <w:szCs w:val="18"/>
              </w:rPr>
            </w:pPr>
            <w:r w:rsidRPr="00BD16B4">
              <w:rPr>
                <w:rFonts w:cs="Calibri"/>
                <w:szCs w:val="18"/>
              </w:rPr>
              <w:t>37,535.96</w:t>
            </w:r>
          </w:p>
        </w:tc>
      </w:tr>
      <w:tr w:rsidR="001778BD" w:rsidRPr="00BD16B4" w14:paraId="6A9A0F56" w14:textId="77777777" w:rsidTr="001778BD">
        <w:tblPrEx>
          <w:tblCellMar>
            <w:bottom w:w="0" w:type="dxa"/>
          </w:tblCellMar>
        </w:tblPrEx>
        <w:tc>
          <w:tcPr>
            <w:tcW w:w="2048" w:type="dxa"/>
          </w:tcPr>
          <w:p w14:paraId="636DFCFA" w14:textId="03244312" w:rsidR="00ED2EBD" w:rsidRPr="00BD16B4" w:rsidRDefault="00ED2EBD" w:rsidP="004A205F">
            <w:pPr>
              <w:pStyle w:val="TableText"/>
              <w:spacing w:before="40" w:after="40"/>
              <w:rPr>
                <w:rFonts w:cs="Calibri"/>
                <w:szCs w:val="18"/>
              </w:rPr>
            </w:pPr>
            <w:r w:rsidRPr="00BD16B4">
              <w:rPr>
                <w:rFonts w:cs="Calibri"/>
                <w:szCs w:val="18"/>
              </w:rPr>
              <w:t>4.</w:t>
            </w:r>
            <w:r w:rsidR="00280979" w:rsidRPr="00BD16B4">
              <w:rPr>
                <w:rFonts w:cs="Calibri"/>
                <w:szCs w:val="18"/>
              </w:rPr>
              <w:t xml:space="preserve"> </w:t>
            </w:r>
            <w:r w:rsidRPr="00BD16B4">
              <w:rPr>
                <w:rFonts w:cs="Calibri"/>
                <w:szCs w:val="18"/>
              </w:rPr>
              <w:t>Land Use, Land-Use Change and Forestry*</w:t>
            </w:r>
          </w:p>
        </w:tc>
        <w:tc>
          <w:tcPr>
            <w:tcW w:w="1134" w:type="dxa"/>
          </w:tcPr>
          <w:p w14:paraId="0D8EE67A" w14:textId="77777777" w:rsidR="00ED2EBD" w:rsidRPr="00BD16B4" w:rsidRDefault="00ED2EBD" w:rsidP="004A205F">
            <w:pPr>
              <w:pStyle w:val="TableText"/>
              <w:spacing w:before="40" w:after="40"/>
              <w:jc w:val="right"/>
              <w:rPr>
                <w:rFonts w:cs="Calibri"/>
                <w:szCs w:val="18"/>
              </w:rPr>
            </w:pPr>
            <w:r w:rsidRPr="00BD16B4">
              <w:rPr>
                <w:rFonts w:cs="Calibri"/>
                <w:szCs w:val="18"/>
              </w:rPr>
              <w:t>-26,019.65</w:t>
            </w:r>
          </w:p>
        </w:tc>
        <w:tc>
          <w:tcPr>
            <w:tcW w:w="1191" w:type="dxa"/>
          </w:tcPr>
          <w:p w14:paraId="3E2CA020" w14:textId="77777777" w:rsidR="00ED2EBD" w:rsidRPr="00BD16B4" w:rsidRDefault="00ED2EBD" w:rsidP="004A205F">
            <w:pPr>
              <w:pStyle w:val="TableText"/>
              <w:spacing w:before="40" w:after="40"/>
              <w:jc w:val="right"/>
              <w:rPr>
                <w:rFonts w:cs="Calibri"/>
                <w:szCs w:val="18"/>
              </w:rPr>
            </w:pPr>
            <w:r w:rsidRPr="00BD16B4">
              <w:rPr>
                <w:rFonts w:cs="Calibri"/>
                <w:szCs w:val="18"/>
              </w:rPr>
              <w:t>-26,934.90</w:t>
            </w:r>
          </w:p>
        </w:tc>
        <w:tc>
          <w:tcPr>
            <w:tcW w:w="1126" w:type="dxa"/>
          </w:tcPr>
          <w:p w14:paraId="5107C23E" w14:textId="77777777" w:rsidR="00ED2EBD" w:rsidRPr="00BD16B4" w:rsidRDefault="00ED2EBD" w:rsidP="004A205F">
            <w:pPr>
              <w:pStyle w:val="TableText"/>
              <w:spacing w:before="40" w:after="40"/>
              <w:jc w:val="right"/>
              <w:rPr>
                <w:rFonts w:cs="Calibri"/>
                <w:szCs w:val="18"/>
              </w:rPr>
            </w:pPr>
            <w:r w:rsidRPr="00BD16B4">
              <w:rPr>
                <w:rFonts w:cs="Calibri"/>
                <w:szCs w:val="18"/>
              </w:rPr>
              <w:t>-27,479.12</w:t>
            </w:r>
          </w:p>
        </w:tc>
        <w:tc>
          <w:tcPr>
            <w:tcW w:w="1126" w:type="dxa"/>
          </w:tcPr>
          <w:p w14:paraId="31B39D77" w14:textId="77777777" w:rsidR="00ED2EBD" w:rsidRPr="00BD16B4" w:rsidRDefault="00ED2EBD" w:rsidP="004A205F">
            <w:pPr>
              <w:pStyle w:val="TableText"/>
              <w:spacing w:before="40" w:after="40"/>
              <w:jc w:val="right"/>
              <w:rPr>
                <w:rFonts w:cs="Calibri"/>
                <w:szCs w:val="18"/>
              </w:rPr>
            </w:pPr>
            <w:r w:rsidRPr="00BD16B4">
              <w:rPr>
                <w:rFonts w:cs="Calibri"/>
                <w:szCs w:val="18"/>
              </w:rPr>
              <w:t>-26,069.47</w:t>
            </w:r>
          </w:p>
        </w:tc>
        <w:tc>
          <w:tcPr>
            <w:tcW w:w="1111" w:type="dxa"/>
          </w:tcPr>
          <w:p w14:paraId="52ACA902" w14:textId="77777777" w:rsidR="00ED2EBD" w:rsidRPr="00BD16B4" w:rsidRDefault="00ED2EBD" w:rsidP="004A205F">
            <w:pPr>
              <w:pStyle w:val="TableText"/>
              <w:spacing w:before="40" w:after="40"/>
              <w:jc w:val="right"/>
              <w:rPr>
                <w:rFonts w:cs="Calibri"/>
                <w:szCs w:val="18"/>
              </w:rPr>
            </w:pPr>
            <w:r w:rsidRPr="00BD16B4">
              <w:rPr>
                <w:rFonts w:cs="Calibri"/>
                <w:szCs w:val="18"/>
              </w:rPr>
              <w:t>-27,257.70</w:t>
            </w:r>
          </w:p>
        </w:tc>
        <w:tc>
          <w:tcPr>
            <w:tcW w:w="1123" w:type="dxa"/>
          </w:tcPr>
          <w:p w14:paraId="44DC9635" w14:textId="77777777" w:rsidR="00ED2EBD" w:rsidRPr="00BD16B4" w:rsidRDefault="00ED2EBD" w:rsidP="004A205F">
            <w:pPr>
              <w:pStyle w:val="TableText"/>
              <w:spacing w:before="40" w:after="40"/>
              <w:jc w:val="right"/>
              <w:rPr>
                <w:rFonts w:cs="Calibri"/>
                <w:szCs w:val="18"/>
              </w:rPr>
            </w:pPr>
            <w:r w:rsidRPr="00BD16B4">
              <w:rPr>
                <w:rFonts w:cs="Calibri"/>
                <w:szCs w:val="18"/>
              </w:rPr>
              <w:t>-27,199.76</w:t>
            </w:r>
          </w:p>
        </w:tc>
        <w:tc>
          <w:tcPr>
            <w:tcW w:w="1123" w:type="dxa"/>
          </w:tcPr>
          <w:p w14:paraId="5D7B38FB" w14:textId="77777777" w:rsidR="00ED2EBD" w:rsidRPr="00BD16B4" w:rsidRDefault="00ED2EBD" w:rsidP="004A205F">
            <w:pPr>
              <w:pStyle w:val="TableText"/>
              <w:spacing w:before="40" w:after="40"/>
              <w:jc w:val="right"/>
              <w:rPr>
                <w:rFonts w:cs="Calibri"/>
                <w:szCs w:val="18"/>
              </w:rPr>
            </w:pPr>
            <w:r w:rsidRPr="00BD16B4">
              <w:rPr>
                <w:rFonts w:cs="Calibri"/>
                <w:szCs w:val="18"/>
              </w:rPr>
              <w:t>-25,424.54</w:t>
            </w:r>
          </w:p>
        </w:tc>
        <w:tc>
          <w:tcPr>
            <w:tcW w:w="1123" w:type="dxa"/>
          </w:tcPr>
          <w:p w14:paraId="5B45EB32" w14:textId="77777777" w:rsidR="00ED2EBD" w:rsidRPr="00BD16B4" w:rsidRDefault="00ED2EBD" w:rsidP="004A205F">
            <w:pPr>
              <w:pStyle w:val="TableText"/>
              <w:spacing w:before="40" w:after="40"/>
              <w:jc w:val="right"/>
              <w:rPr>
                <w:rFonts w:cs="Calibri"/>
                <w:szCs w:val="18"/>
              </w:rPr>
            </w:pPr>
            <w:r w:rsidRPr="00BD16B4">
              <w:rPr>
                <w:rFonts w:cs="Calibri"/>
                <w:szCs w:val="18"/>
              </w:rPr>
              <w:t>-23,362.98</w:t>
            </w:r>
          </w:p>
        </w:tc>
        <w:tc>
          <w:tcPr>
            <w:tcW w:w="1126" w:type="dxa"/>
          </w:tcPr>
          <w:p w14:paraId="245CBA3A" w14:textId="77777777" w:rsidR="00ED2EBD" w:rsidRPr="00BD16B4" w:rsidRDefault="00ED2EBD" w:rsidP="004A205F">
            <w:pPr>
              <w:pStyle w:val="TableText"/>
              <w:spacing w:before="40" w:after="40"/>
              <w:jc w:val="right"/>
              <w:rPr>
                <w:rFonts w:cs="Calibri"/>
                <w:szCs w:val="18"/>
              </w:rPr>
            </w:pPr>
            <w:r w:rsidRPr="00BD16B4">
              <w:rPr>
                <w:rFonts w:cs="Calibri"/>
                <w:szCs w:val="18"/>
              </w:rPr>
              <w:t>-22,077.15</w:t>
            </w:r>
          </w:p>
        </w:tc>
        <w:tc>
          <w:tcPr>
            <w:tcW w:w="1126" w:type="dxa"/>
          </w:tcPr>
          <w:p w14:paraId="14610D7A" w14:textId="77777777" w:rsidR="00ED2EBD" w:rsidRPr="00BD16B4" w:rsidRDefault="00ED2EBD" w:rsidP="004A205F">
            <w:pPr>
              <w:pStyle w:val="TableText"/>
              <w:spacing w:before="40" w:after="40"/>
              <w:jc w:val="right"/>
              <w:rPr>
                <w:rFonts w:cs="Calibri"/>
                <w:szCs w:val="18"/>
              </w:rPr>
            </w:pPr>
            <w:r w:rsidRPr="00BD16B4">
              <w:rPr>
                <w:rFonts w:cs="Calibri"/>
                <w:szCs w:val="18"/>
              </w:rPr>
              <w:t>-29,422.96</w:t>
            </w:r>
          </w:p>
        </w:tc>
        <w:tc>
          <w:tcPr>
            <w:tcW w:w="1125" w:type="dxa"/>
            <w:gridSpan w:val="2"/>
          </w:tcPr>
          <w:p w14:paraId="6A4EC2F5" w14:textId="77777777" w:rsidR="00ED2EBD" w:rsidRPr="00BD16B4" w:rsidRDefault="00ED2EBD" w:rsidP="004A205F">
            <w:pPr>
              <w:pStyle w:val="TableText"/>
              <w:spacing w:before="40" w:after="40"/>
              <w:jc w:val="right"/>
              <w:rPr>
                <w:rFonts w:cs="Calibri"/>
                <w:szCs w:val="18"/>
              </w:rPr>
            </w:pPr>
            <w:r w:rsidRPr="00BD16B4">
              <w:rPr>
                <w:rFonts w:cs="Calibri"/>
                <w:szCs w:val="18"/>
              </w:rPr>
              <w:t>-28,266.50</w:t>
            </w:r>
          </w:p>
        </w:tc>
      </w:tr>
      <w:tr w:rsidR="001778BD" w:rsidRPr="00BD16B4" w14:paraId="0E2CD972" w14:textId="77777777" w:rsidTr="001778BD">
        <w:tblPrEx>
          <w:tblCellMar>
            <w:bottom w:w="0" w:type="dxa"/>
          </w:tblCellMar>
        </w:tblPrEx>
        <w:tc>
          <w:tcPr>
            <w:tcW w:w="2048" w:type="dxa"/>
          </w:tcPr>
          <w:p w14:paraId="334B4A62" w14:textId="72D2F2F6" w:rsidR="00ED2EBD" w:rsidRPr="00BD16B4" w:rsidRDefault="00ED2EBD" w:rsidP="004A205F">
            <w:pPr>
              <w:pStyle w:val="TableText"/>
              <w:spacing w:before="40" w:after="40"/>
              <w:rPr>
                <w:rFonts w:cs="Calibri"/>
                <w:szCs w:val="18"/>
              </w:rPr>
            </w:pPr>
            <w:r w:rsidRPr="00BD16B4">
              <w:rPr>
                <w:rFonts w:cs="Calibri"/>
                <w:szCs w:val="18"/>
              </w:rPr>
              <w:t>5.</w:t>
            </w:r>
            <w:r w:rsidR="00280979" w:rsidRPr="00BD16B4">
              <w:rPr>
                <w:rFonts w:cs="Calibri"/>
                <w:szCs w:val="18"/>
              </w:rPr>
              <w:t xml:space="preserve"> </w:t>
            </w:r>
            <w:r w:rsidRPr="00BD16B4">
              <w:rPr>
                <w:rFonts w:cs="Calibri"/>
                <w:szCs w:val="18"/>
              </w:rPr>
              <w:t xml:space="preserve">Waste </w:t>
            </w:r>
          </w:p>
        </w:tc>
        <w:tc>
          <w:tcPr>
            <w:tcW w:w="1134" w:type="dxa"/>
          </w:tcPr>
          <w:p w14:paraId="6A7159E8" w14:textId="77777777" w:rsidR="00ED2EBD" w:rsidRPr="00BD16B4" w:rsidRDefault="00ED2EBD" w:rsidP="004A205F">
            <w:pPr>
              <w:pStyle w:val="TableText"/>
              <w:spacing w:before="40" w:after="40"/>
              <w:jc w:val="right"/>
              <w:rPr>
                <w:rFonts w:cs="Calibri"/>
                <w:szCs w:val="18"/>
              </w:rPr>
            </w:pPr>
            <w:r w:rsidRPr="00BD16B4">
              <w:rPr>
                <w:rFonts w:cs="Calibri"/>
                <w:szCs w:val="18"/>
              </w:rPr>
              <w:t>4,408.25</w:t>
            </w:r>
          </w:p>
        </w:tc>
        <w:tc>
          <w:tcPr>
            <w:tcW w:w="1191" w:type="dxa"/>
          </w:tcPr>
          <w:p w14:paraId="1992FDFD" w14:textId="77777777" w:rsidR="00ED2EBD" w:rsidRPr="00BD16B4" w:rsidRDefault="00ED2EBD" w:rsidP="004A205F">
            <w:pPr>
              <w:pStyle w:val="TableText"/>
              <w:spacing w:before="40" w:after="40"/>
              <w:jc w:val="right"/>
              <w:rPr>
                <w:rFonts w:cs="Calibri"/>
                <w:szCs w:val="18"/>
              </w:rPr>
            </w:pPr>
            <w:r w:rsidRPr="00BD16B4">
              <w:rPr>
                <w:rFonts w:cs="Calibri"/>
                <w:szCs w:val="18"/>
              </w:rPr>
              <w:t>4,434.56</w:t>
            </w:r>
          </w:p>
        </w:tc>
        <w:tc>
          <w:tcPr>
            <w:tcW w:w="1126" w:type="dxa"/>
          </w:tcPr>
          <w:p w14:paraId="37268B2F" w14:textId="77777777" w:rsidR="00ED2EBD" w:rsidRPr="00BD16B4" w:rsidRDefault="00ED2EBD" w:rsidP="004A205F">
            <w:pPr>
              <w:pStyle w:val="TableText"/>
              <w:spacing w:before="40" w:after="40"/>
              <w:jc w:val="right"/>
              <w:rPr>
                <w:rFonts w:cs="Calibri"/>
                <w:szCs w:val="18"/>
              </w:rPr>
            </w:pPr>
            <w:r w:rsidRPr="00BD16B4">
              <w:rPr>
                <w:rFonts w:cs="Calibri"/>
                <w:szCs w:val="18"/>
              </w:rPr>
              <w:t>4,457.67</w:t>
            </w:r>
          </w:p>
        </w:tc>
        <w:tc>
          <w:tcPr>
            <w:tcW w:w="1126" w:type="dxa"/>
          </w:tcPr>
          <w:p w14:paraId="5CB64D5C" w14:textId="77777777" w:rsidR="00ED2EBD" w:rsidRPr="00BD16B4" w:rsidRDefault="00ED2EBD" w:rsidP="004A205F">
            <w:pPr>
              <w:pStyle w:val="TableText"/>
              <w:spacing w:before="40" w:after="40"/>
              <w:jc w:val="right"/>
              <w:rPr>
                <w:rFonts w:cs="Calibri"/>
                <w:szCs w:val="18"/>
              </w:rPr>
            </w:pPr>
            <w:r w:rsidRPr="00BD16B4">
              <w:rPr>
                <w:rFonts w:cs="Calibri"/>
                <w:szCs w:val="18"/>
              </w:rPr>
              <w:t>4,468.91</w:t>
            </w:r>
          </w:p>
        </w:tc>
        <w:tc>
          <w:tcPr>
            <w:tcW w:w="1111" w:type="dxa"/>
          </w:tcPr>
          <w:p w14:paraId="58C2A09B" w14:textId="77777777" w:rsidR="00ED2EBD" w:rsidRPr="00BD16B4" w:rsidRDefault="00ED2EBD" w:rsidP="004A205F">
            <w:pPr>
              <w:pStyle w:val="TableText"/>
              <w:spacing w:before="40" w:after="40"/>
              <w:jc w:val="right"/>
              <w:rPr>
                <w:rFonts w:cs="Calibri"/>
                <w:szCs w:val="18"/>
              </w:rPr>
            </w:pPr>
            <w:r w:rsidRPr="00BD16B4">
              <w:rPr>
                <w:rFonts w:cs="Calibri"/>
                <w:szCs w:val="18"/>
              </w:rPr>
              <w:t>4,375.01</w:t>
            </w:r>
          </w:p>
        </w:tc>
        <w:tc>
          <w:tcPr>
            <w:tcW w:w="1123" w:type="dxa"/>
          </w:tcPr>
          <w:p w14:paraId="3D984083" w14:textId="77777777" w:rsidR="00ED2EBD" w:rsidRPr="00BD16B4" w:rsidRDefault="00ED2EBD" w:rsidP="004A205F">
            <w:pPr>
              <w:pStyle w:val="TableText"/>
              <w:spacing w:before="40" w:after="40"/>
              <w:jc w:val="right"/>
              <w:rPr>
                <w:rFonts w:cs="Calibri"/>
                <w:szCs w:val="18"/>
              </w:rPr>
            </w:pPr>
            <w:r w:rsidRPr="00BD16B4">
              <w:rPr>
                <w:rFonts w:cs="Calibri"/>
                <w:szCs w:val="18"/>
              </w:rPr>
              <w:t>4,388.98</w:t>
            </w:r>
          </w:p>
        </w:tc>
        <w:tc>
          <w:tcPr>
            <w:tcW w:w="1123" w:type="dxa"/>
          </w:tcPr>
          <w:p w14:paraId="14EFB224" w14:textId="77777777" w:rsidR="00ED2EBD" w:rsidRPr="00BD16B4" w:rsidRDefault="00ED2EBD" w:rsidP="004A205F">
            <w:pPr>
              <w:pStyle w:val="TableText"/>
              <w:spacing w:before="40" w:after="40"/>
              <w:jc w:val="right"/>
              <w:rPr>
                <w:rFonts w:cs="Calibri"/>
                <w:szCs w:val="18"/>
              </w:rPr>
            </w:pPr>
            <w:r w:rsidRPr="00BD16B4">
              <w:rPr>
                <w:rFonts w:cs="Calibri"/>
                <w:szCs w:val="18"/>
              </w:rPr>
              <w:t>4,378.30</w:t>
            </w:r>
          </w:p>
        </w:tc>
        <w:tc>
          <w:tcPr>
            <w:tcW w:w="1123" w:type="dxa"/>
          </w:tcPr>
          <w:p w14:paraId="4A91CCAB" w14:textId="77777777" w:rsidR="00ED2EBD" w:rsidRPr="00BD16B4" w:rsidRDefault="00ED2EBD" w:rsidP="004A205F">
            <w:pPr>
              <w:pStyle w:val="TableText"/>
              <w:spacing w:before="40" w:after="40"/>
              <w:jc w:val="right"/>
              <w:rPr>
                <w:rFonts w:cs="Calibri"/>
                <w:szCs w:val="18"/>
              </w:rPr>
            </w:pPr>
            <w:r w:rsidRPr="00BD16B4">
              <w:rPr>
                <w:rFonts w:cs="Calibri"/>
                <w:szCs w:val="18"/>
              </w:rPr>
              <w:t>4,181.76</w:t>
            </w:r>
          </w:p>
        </w:tc>
        <w:tc>
          <w:tcPr>
            <w:tcW w:w="1126" w:type="dxa"/>
          </w:tcPr>
          <w:p w14:paraId="5665A1CC" w14:textId="77777777" w:rsidR="00ED2EBD" w:rsidRPr="00BD16B4" w:rsidRDefault="00ED2EBD" w:rsidP="004A205F">
            <w:pPr>
              <w:pStyle w:val="TableText"/>
              <w:spacing w:before="40" w:after="40"/>
              <w:jc w:val="right"/>
              <w:rPr>
                <w:rFonts w:cs="Calibri"/>
                <w:szCs w:val="18"/>
              </w:rPr>
            </w:pPr>
            <w:r w:rsidRPr="00BD16B4">
              <w:rPr>
                <w:rFonts w:cs="Calibri"/>
                <w:szCs w:val="18"/>
              </w:rPr>
              <w:t>4,143.96</w:t>
            </w:r>
          </w:p>
        </w:tc>
        <w:tc>
          <w:tcPr>
            <w:tcW w:w="1126" w:type="dxa"/>
          </w:tcPr>
          <w:p w14:paraId="13FCFB9C" w14:textId="77777777" w:rsidR="00ED2EBD" w:rsidRPr="00BD16B4" w:rsidRDefault="00ED2EBD" w:rsidP="004A205F">
            <w:pPr>
              <w:pStyle w:val="TableText"/>
              <w:spacing w:before="40" w:after="40"/>
              <w:jc w:val="right"/>
              <w:rPr>
                <w:rFonts w:cs="Calibri"/>
                <w:szCs w:val="18"/>
              </w:rPr>
            </w:pPr>
            <w:r w:rsidRPr="00BD16B4">
              <w:rPr>
                <w:rFonts w:cs="Calibri"/>
                <w:szCs w:val="18"/>
              </w:rPr>
              <w:t>4,059.45</w:t>
            </w:r>
          </w:p>
        </w:tc>
        <w:tc>
          <w:tcPr>
            <w:tcW w:w="1125" w:type="dxa"/>
            <w:gridSpan w:val="2"/>
          </w:tcPr>
          <w:p w14:paraId="6B4D43BF" w14:textId="77777777" w:rsidR="00ED2EBD" w:rsidRPr="00BD16B4" w:rsidRDefault="00ED2EBD" w:rsidP="004A205F">
            <w:pPr>
              <w:pStyle w:val="TableText"/>
              <w:spacing w:before="40" w:after="40"/>
              <w:jc w:val="right"/>
              <w:rPr>
                <w:rFonts w:cs="Calibri"/>
                <w:szCs w:val="18"/>
              </w:rPr>
            </w:pPr>
            <w:r w:rsidRPr="00BD16B4">
              <w:rPr>
                <w:rFonts w:cs="Calibri"/>
                <w:szCs w:val="18"/>
              </w:rPr>
              <w:t>3,927.65</w:t>
            </w:r>
          </w:p>
        </w:tc>
      </w:tr>
      <w:tr w:rsidR="001778BD" w:rsidRPr="00BD16B4" w14:paraId="23A2EB71" w14:textId="77777777" w:rsidTr="001778BD">
        <w:tblPrEx>
          <w:tblCellMar>
            <w:bottom w:w="0" w:type="dxa"/>
          </w:tblCellMar>
        </w:tblPrEx>
        <w:tc>
          <w:tcPr>
            <w:tcW w:w="2048" w:type="dxa"/>
          </w:tcPr>
          <w:p w14:paraId="699EA2FC" w14:textId="532A56E0" w:rsidR="00ED2EBD" w:rsidRPr="00BD16B4" w:rsidRDefault="00ED2EBD" w:rsidP="004A205F">
            <w:pPr>
              <w:pStyle w:val="TableText"/>
              <w:spacing w:before="40" w:after="40"/>
              <w:rPr>
                <w:rFonts w:cs="Calibri"/>
                <w:szCs w:val="18"/>
              </w:rPr>
            </w:pPr>
            <w:r w:rsidRPr="00BD16B4">
              <w:rPr>
                <w:rFonts w:cs="Calibri"/>
                <w:szCs w:val="18"/>
              </w:rPr>
              <w:t>6.</w:t>
            </w:r>
            <w:r w:rsidR="00280979" w:rsidRPr="00BD16B4">
              <w:rPr>
                <w:rFonts w:cs="Calibri"/>
                <w:szCs w:val="18"/>
              </w:rPr>
              <w:t xml:space="preserve"> </w:t>
            </w:r>
            <w:r w:rsidRPr="00BD16B4">
              <w:rPr>
                <w:rFonts w:cs="Calibri"/>
                <w:szCs w:val="18"/>
              </w:rPr>
              <w:t>Other</w:t>
            </w:r>
          </w:p>
        </w:tc>
        <w:tc>
          <w:tcPr>
            <w:tcW w:w="1134" w:type="dxa"/>
          </w:tcPr>
          <w:p w14:paraId="05DF7CB6" w14:textId="77777777" w:rsidR="00ED2EBD" w:rsidRPr="00BD16B4" w:rsidRDefault="00ED2EBD" w:rsidP="004A205F">
            <w:pPr>
              <w:pStyle w:val="TableText"/>
              <w:spacing w:before="40" w:after="40"/>
              <w:jc w:val="right"/>
              <w:rPr>
                <w:rFonts w:cs="Calibri"/>
                <w:szCs w:val="18"/>
              </w:rPr>
            </w:pPr>
            <w:r w:rsidRPr="00BD16B4">
              <w:rPr>
                <w:rFonts w:cs="Calibri"/>
                <w:szCs w:val="18"/>
              </w:rPr>
              <w:t>3.40</w:t>
            </w:r>
          </w:p>
        </w:tc>
        <w:tc>
          <w:tcPr>
            <w:tcW w:w="1191" w:type="dxa"/>
          </w:tcPr>
          <w:p w14:paraId="69BFF974" w14:textId="77777777" w:rsidR="00ED2EBD" w:rsidRPr="00BD16B4" w:rsidRDefault="00ED2EBD" w:rsidP="004A205F">
            <w:pPr>
              <w:pStyle w:val="TableText"/>
              <w:spacing w:before="40" w:after="40"/>
              <w:jc w:val="right"/>
              <w:rPr>
                <w:rFonts w:cs="Calibri"/>
                <w:szCs w:val="18"/>
              </w:rPr>
            </w:pPr>
            <w:r w:rsidRPr="00BD16B4">
              <w:rPr>
                <w:rFonts w:cs="Calibri"/>
                <w:szCs w:val="18"/>
              </w:rPr>
              <w:t>3.49</w:t>
            </w:r>
          </w:p>
        </w:tc>
        <w:tc>
          <w:tcPr>
            <w:tcW w:w="1126" w:type="dxa"/>
          </w:tcPr>
          <w:p w14:paraId="04D1BED8" w14:textId="77777777" w:rsidR="00ED2EBD" w:rsidRPr="00BD16B4" w:rsidRDefault="00ED2EBD" w:rsidP="004A205F">
            <w:pPr>
              <w:pStyle w:val="TableText"/>
              <w:spacing w:before="40" w:after="40"/>
              <w:jc w:val="right"/>
              <w:rPr>
                <w:rFonts w:cs="Calibri"/>
                <w:szCs w:val="18"/>
              </w:rPr>
            </w:pPr>
            <w:r w:rsidRPr="00BD16B4">
              <w:rPr>
                <w:rFonts w:cs="Calibri"/>
                <w:szCs w:val="18"/>
              </w:rPr>
              <w:t>3.59</w:t>
            </w:r>
          </w:p>
        </w:tc>
        <w:tc>
          <w:tcPr>
            <w:tcW w:w="1126" w:type="dxa"/>
          </w:tcPr>
          <w:p w14:paraId="7D9326ED" w14:textId="77777777" w:rsidR="00ED2EBD" w:rsidRPr="00BD16B4" w:rsidRDefault="00ED2EBD" w:rsidP="004A205F">
            <w:pPr>
              <w:pStyle w:val="TableText"/>
              <w:spacing w:before="40" w:after="40"/>
              <w:jc w:val="right"/>
              <w:rPr>
                <w:rFonts w:cs="Calibri"/>
                <w:szCs w:val="18"/>
              </w:rPr>
            </w:pPr>
            <w:r w:rsidRPr="00BD16B4">
              <w:rPr>
                <w:rFonts w:cs="Calibri"/>
                <w:szCs w:val="18"/>
              </w:rPr>
              <w:t>3.59</w:t>
            </w:r>
          </w:p>
        </w:tc>
        <w:tc>
          <w:tcPr>
            <w:tcW w:w="1111" w:type="dxa"/>
          </w:tcPr>
          <w:p w14:paraId="114956B9" w14:textId="77777777" w:rsidR="00ED2EBD" w:rsidRPr="00BD16B4" w:rsidRDefault="00ED2EBD" w:rsidP="004A205F">
            <w:pPr>
              <w:pStyle w:val="TableText"/>
              <w:spacing w:before="40" w:after="40"/>
              <w:jc w:val="right"/>
              <w:rPr>
                <w:rFonts w:cs="Calibri"/>
                <w:szCs w:val="18"/>
              </w:rPr>
            </w:pPr>
            <w:r w:rsidRPr="00BD16B4">
              <w:rPr>
                <w:rFonts w:cs="Calibri"/>
                <w:szCs w:val="18"/>
              </w:rPr>
              <w:t>3.59</w:t>
            </w:r>
          </w:p>
        </w:tc>
        <w:tc>
          <w:tcPr>
            <w:tcW w:w="1123" w:type="dxa"/>
          </w:tcPr>
          <w:p w14:paraId="4590BE2A" w14:textId="77777777" w:rsidR="00ED2EBD" w:rsidRPr="00BD16B4" w:rsidRDefault="00ED2EBD" w:rsidP="004A205F">
            <w:pPr>
              <w:pStyle w:val="TableText"/>
              <w:spacing w:before="40" w:after="40"/>
              <w:jc w:val="right"/>
              <w:rPr>
                <w:rFonts w:cs="Calibri"/>
                <w:szCs w:val="18"/>
              </w:rPr>
            </w:pPr>
            <w:r w:rsidRPr="00BD16B4">
              <w:rPr>
                <w:rFonts w:cs="Calibri"/>
                <w:szCs w:val="18"/>
              </w:rPr>
              <w:t>4.04</w:t>
            </w:r>
          </w:p>
        </w:tc>
        <w:tc>
          <w:tcPr>
            <w:tcW w:w="1123" w:type="dxa"/>
          </w:tcPr>
          <w:p w14:paraId="5CDC2B9F" w14:textId="77777777" w:rsidR="00ED2EBD" w:rsidRPr="00BD16B4" w:rsidRDefault="00ED2EBD" w:rsidP="004A205F">
            <w:pPr>
              <w:pStyle w:val="TableText"/>
              <w:spacing w:before="40" w:after="40"/>
              <w:jc w:val="right"/>
              <w:rPr>
                <w:rFonts w:cs="Calibri"/>
                <w:szCs w:val="18"/>
              </w:rPr>
            </w:pPr>
            <w:r w:rsidRPr="00BD16B4">
              <w:rPr>
                <w:rFonts w:cs="Calibri"/>
                <w:szCs w:val="18"/>
              </w:rPr>
              <w:t>4.49</w:t>
            </w:r>
          </w:p>
        </w:tc>
        <w:tc>
          <w:tcPr>
            <w:tcW w:w="1123" w:type="dxa"/>
          </w:tcPr>
          <w:p w14:paraId="05824EDA" w14:textId="77777777" w:rsidR="00ED2EBD" w:rsidRPr="00BD16B4" w:rsidRDefault="00ED2EBD" w:rsidP="004A205F">
            <w:pPr>
              <w:pStyle w:val="TableText"/>
              <w:spacing w:before="40" w:after="40"/>
              <w:jc w:val="right"/>
              <w:rPr>
                <w:rFonts w:cs="Calibri"/>
                <w:szCs w:val="18"/>
              </w:rPr>
            </w:pPr>
            <w:r w:rsidRPr="00BD16B4">
              <w:rPr>
                <w:rFonts w:cs="Calibri"/>
                <w:szCs w:val="18"/>
              </w:rPr>
              <w:t>4.47</w:t>
            </w:r>
          </w:p>
        </w:tc>
        <w:tc>
          <w:tcPr>
            <w:tcW w:w="1126" w:type="dxa"/>
          </w:tcPr>
          <w:p w14:paraId="7317BDBC" w14:textId="77777777" w:rsidR="00ED2EBD" w:rsidRPr="00BD16B4" w:rsidRDefault="00ED2EBD" w:rsidP="004A205F">
            <w:pPr>
              <w:pStyle w:val="TableText"/>
              <w:spacing w:before="40" w:after="40"/>
              <w:jc w:val="right"/>
              <w:rPr>
                <w:rFonts w:cs="Calibri"/>
                <w:szCs w:val="18"/>
              </w:rPr>
            </w:pPr>
            <w:r w:rsidRPr="00BD16B4">
              <w:rPr>
                <w:rFonts w:cs="Calibri"/>
                <w:szCs w:val="18"/>
              </w:rPr>
              <w:t>4.48</w:t>
            </w:r>
          </w:p>
        </w:tc>
        <w:tc>
          <w:tcPr>
            <w:tcW w:w="1126" w:type="dxa"/>
          </w:tcPr>
          <w:p w14:paraId="70D6CC81" w14:textId="77777777" w:rsidR="00ED2EBD" w:rsidRPr="00BD16B4" w:rsidRDefault="00ED2EBD" w:rsidP="004A205F">
            <w:pPr>
              <w:pStyle w:val="TableText"/>
              <w:spacing w:before="40" w:after="40"/>
              <w:jc w:val="right"/>
              <w:rPr>
                <w:rFonts w:cs="Calibri"/>
                <w:szCs w:val="18"/>
              </w:rPr>
            </w:pPr>
            <w:r w:rsidRPr="00BD16B4">
              <w:rPr>
                <w:rFonts w:cs="Calibri"/>
                <w:szCs w:val="18"/>
              </w:rPr>
              <w:t>4.50</w:t>
            </w:r>
          </w:p>
        </w:tc>
        <w:tc>
          <w:tcPr>
            <w:tcW w:w="1125" w:type="dxa"/>
            <w:gridSpan w:val="2"/>
          </w:tcPr>
          <w:p w14:paraId="7B7070C3" w14:textId="77777777" w:rsidR="00ED2EBD" w:rsidRPr="00BD16B4" w:rsidRDefault="00ED2EBD" w:rsidP="004A205F">
            <w:pPr>
              <w:pStyle w:val="TableText"/>
              <w:spacing w:before="40" w:after="40"/>
              <w:jc w:val="right"/>
              <w:rPr>
                <w:rFonts w:cs="Calibri"/>
                <w:szCs w:val="18"/>
              </w:rPr>
            </w:pPr>
            <w:r w:rsidRPr="00BD16B4">
              <w:rPr>
                <w:rFonts w:cs="Calibri"/>
                <w:szCs w:val="18"/>
              </w:rPr>
              <w:t>4.51</w:t>
            </w:r>
          </w:p>
        </w:tc>
      </w:tr>
      <w:tr w:rsidR="001778BD" w:rsidRPr="00BD16B4" w14:paraId="4CDA5119" w14:textId="77777777" w:rsidTr="001778BD">
        <w:tblPrEx>
          <w:tblCellMar>
            <w:bottom w:w="0" w:type="dxa"/>
          </w:tblCellMar>
        </w:tblPrEx>
        <w:tc>
          <w:tcPr>
            <w:tcW w:w="2048" w:type="dxa"/>
          </w:tcPr>
          <w:p w14:paraId="3C2F189B" w14:textId="77777777" w:rsidR="00ED2EBD" w:rsidRPr="00BD16B4" w:rsidRDefault="00ED2EBD" w:rsidP="004A205F">
            <w:pPr>
              <w:pStyle w:val="TableText"/>
              <w:spacing w:before="40" w:after="40"/>
              <w:rPr>
                <w:rFonts w:cs="Calibri"/>
                <w:szCs w:val="18"/>
              </w:rPr>
            </w:pPr>
            <w:r w:rsidRPr="00BD16B4">
              <w:rPr>
                <w:rFonts w:cs="Calibri"/>
                <w:b/>
                <w:bCs/>
                <w:szCs w:val="18"/>
              </w:rPr>
              <w:t>Total (including LULUCF)</w:t>
            </w:r>
          </w:p>
        </w:tc>
        <w:tc>
          <w:tcPr>
            <w:tcW w:w="1134" w:type="dxa"/>
          </w:tcPr>
          <w:p w14:paraId="75CFC1E1" w14:textId="77777777" w:rsidR="00ED2EBD" w:rsidRPr="00BD16B4" w:rsidRDefault="00ED2EBD" w:rsidP="004A205F">
            <w:pPr>
              <w:pStyle w:val="TableText"/>
              <w:spacing w:before="40" w:after="40"/>
              <w:jc w:val="right"/>
              <w:rPr>
                <w:rFonts w:cs="Calibri"/>
                <w:szCs w:val="18"/>
              </w:rPr>
            </w:pPr>
            <w:r w:rsidRPr="00BD16B4">
              <w:rPr>
                <w:rFonts w:cs="Calibri"/>
                <w:szCs w:val="18"/>
              </w:rPr>
              <w:t>47,556.61</w:t>
            </w:r>
          </w:p>
        </w:tc>
        <w:tc>
          <w:tcPr>
            <w:tcW w:w="1191" w:type="dxa"/>
          </w:tcPr>
          <w:p w14:paraId="3E4DD132" w14:textId="77777777" w:rsidR="00ED2EBD" w:rsidRPr="00BD16B4" w:rsidRDefault="00ED2EBD" w:rsidP="004A205F">
            <w:pPr>
              <w:pStyle w:val="TableText"/>
              <w:spacing w:before="40" w:after="40"/>
              <w:jc w:val="right"/>
              <w:rPr>
                <w:rFonts w:cs="Calibri"/>
                <w:szCs w:val="18"/>
              </w:rPr>
            </w:pPr>
            <w:r w:rsidRPr="00BD16B4">
              <w:rPr>
                <w:rFonts w:cs="Calibri"/>
                <w:szCs w:val="18"/>
              </w:rPr>
              <w:t>48,580.27</w:t>
            </w:r>
          </w:p>
        </w:tc>
        <w:tc>
          <w:tcPr>
            <w:tcW w:w="1126" w:type="dxa"/>
          </w:tcPr>
          <w:p w14:paraId="4A5F39C3" w14:textId="77777777" w:rsidR="00ED2EBD" w:rsidRPr="00BD16B4" w:rsidRDefault="00ED2EBD" w:rsidP="004A205F">
            <w:pPr>
              <w:pStyle w:val="TableText"/>
              <w:spacing w:before="40" w:after="40"/>
              <w:jc w:val="right"/>
              <w:rPr>
                <w:rFonts w:cs="Calibri"/>
                <w:szCs w:val="18"/>
              </w:rPr>
            </w:pPr>
            <w:r w:rsidRPr="00BD16B4">
              <w:rPr>
                <w:rFonts w:cs="Calibri"/>
                <w:szCs w:val="18"/>
              </w:rPr>
              <w:t>51,024.83</w:t>
            </w:r>
          </w:p>
        </w:tc>
        <w:tc>
          <w:tcPr>
            <w:tcW w:w="1126" w:type="dxa"/>
          </w:tcPr>
          <w:p w14:paraId="4237DC6F" w14:textId="77777777" w:rsidR="00ED2EBD" w:rsidRPr="00BD16B4" w:rsidRDefault="00ED2EBD" w:rsidP="004A205F">
            <w:pPr>
              <w:pStyle w:val="TableText"/>
              <w:spacing w:before="40" w:after="40"/>
              <w:jc w:val="right"/>
              <w:rPr>
                <w:rFonts w:cs="Calibri"/>
                <w:szCs w:val="18"/>
              </w:rPr>
            </w:pPr>
            <w:r w:rsidRPr="00BD16B4">
              <w:rPr>
                <w:rFonts w:cs="Calibri"/>
                <w:szCs w:val="18"/>
              </w:rPr>
              <w:t>52,525.44</w:t>
            </w:r>
          </w:p>
        </w:tc>
        <w:tc>
          <w:tcPr>
            <w:tcW w:w="1111" w:type="dxa"/>
          </w:tcPr>
          <w:p w14:paraId="74106C0F" w14:textId="77777777" w:rsidR="00ED2EBD" w:rsidRPr="00BD16B4" w:rsidRDefault="00ED2EBD" w:rsidP="004A205F">
            <w:pPr>
              <w:pStyle w:val="TableText"/>
              <w:spacing w:before="40" w:after="40"/>
              <w:jc w:val="right"/>
              <w:rPr>
                <w:rFonts w:cs="Calibri"/>
                <w:szCs w:val="18"/>
              </w:rPr>
            </w:pPr>
            <w:r w:rsidRPr="00BD16B4">
              <w:rPr>
                <w:rFonts w:cs="Calibri"/>
                <w:szCs w:val="18"/>
              </w:rPr>
              <w:t>53,526.60</w:t>
            </w:r>
          </w:p>
        </w:tc>
        <w:tc>
          <w:tcPr>
            <w:tcW w:w="1123" w:type="dxa"/>
          </w:tcPr>
          <w:p w14:paraId="350E5E35" w14:textId="77777777" w:rsidR="00ED2EBD" w:rsidRPr="00BD16B4" w:rsidRDefault="00ED2EBD" w:rsidP="004A205F">
            <w:pPr>
              <w:pStyle w:val="TableText"/>
              <w:spacing w:before="40" w:after="40"/>
              <w:jc w:val="right"/>
              <w:rPr>
                <w:rFonts w:cs="Calibri"/>
                <w:szCs w:val="18"/>
              </w:rPr>
            </w:pPr>
            <w:r w:rsidRPr="00BD16B4">
              <w:rPr>
                <w:rFonts w:cs="Calibri"/>
                <w:szCs w:val="18"/>
              </w:rPr>
              <w:t>53,421.62</w:t>
            </w:r>
          </w:p>
        </w:tc>
        <w:tc>
          <w:tcPr>
            <w:tcW w:w="1123" w:type="dxa"/>
          </w:tcPr>
          <w:p w14:paraId="0340DA52" w14:textId="77777777" w:rsidR="00ED2EBD" w:rsidRPr="00BD16B4" w:rsidRDefault="00ED2EBD" w:rsidP="004A205F">
            <w:pPr>
              <w:pStyle w:val="TableText"/>
              <w:spacing w:before="40" w:after="40"/>
              <w:jc w:val="right"/>
              <w:rPr>
                <w:rFonts w:cs="Calibri"/>
                <w:szCs w:val="18"/>
              </w:rPr>
            </w:pPr>
            <w:r w:rsidRPr="00BD16B4">
              <w:rPr>
                <w:rFonts w:cs="Calibri"/>
                <w:szCs w:val="18"/>
              </w:rPr>
              <w:t>57,241.57</w:t>
            </w:r>
          </w:p>
        </w:tc>
        <w:tc>
          <w:tcPr>
            <w:tcW w:w="1123" w:type="dxa"/>
          </w:tcPr>
          <w:p w14:paraId="6A041EB4" w14:textId="77777777" w:rsidR="00ED2EBD" w:rsidRPr="00BD16B4" w:rsidRDefault="00ED2EBD" w:rsidP="004A205F">
            <w:pPr>
              <w:pStyle w:val="TableText"/>
              <w:spacing w:before="40" w:after="40"/>
              <w:jc w:val="right"/>
              <w:rPr>
                <w:rFonts w:cs="Calibri"/>
                <w:szCs w:val="18"/>
              </w:rPr>
            </w:pPr>
            <w:r w:rsidRPr="00BD16B4">
              <w:rPr>
                <w:rFonts w:cs="Calibri"/>
                <w:szCs w:val="18"/>
              </w:rPr>
              <w:t>59,469.58</w:t>
            </w:r>
          </w:p>
        </w:tc>
        <w:tc>
          <w:tcPr>
            <w:tcW w:w="1126" w:type="dxa"/>
          </w:tcPr>
          <w:p w14:paraId="3B1AD1F5" w14:textId="77777777" w:rsidR="00ED2EBD" w:rsidRPr="00BD16B4" w:rsidRDefault="00ED2EBD" w:rsidP="004A205F">
            <w:pPr>
              <w:pStyle w:val="TableText"/>
              <w:spacing w:before="40" w:after="40"/>
              <w:jc w:val="right"/>
              <w:rPr>
                <w:rFonts w:cs="Calibri"/>
                <w:szCs w:val="18"/>
              </w:rPr>
            </w:pPr>
            <w:r w:rsidRPr="00BD16B4">
              <w:rPr>
                <w:rFonts w:cs="Calibri"/>
                <w:szCs w:val="18"/>
              </w:rPr>
              <w:t>58,650.37</w:t>
            </w:r>
          </w:p>
        </w:tc>
        <w:tc>
          <w:tcPr>
            <w:tcW w:w="1126" w:type="dxa"/>
          </w:tcPr>
          <w:p w14:paraId="0EF58A6F" w14:textId="77777777" w:rsidR="00ED2EBD" w:rsidRPr="00BD16B4" w:rsidRDefault="00ED2EBD" w:rsidP="004A205F">
            <w:pPr>
              <w:pStyle w:val="TableText"/>
              <w:spacing w:before="40" w:after="40"/>
              <w:jc w:val="right"/>
              <w:rPr>
                <w:rFonts w:cs="Calibri"/>
                <w:szCs w:val="18"/>
              </w:rPr>
            </w:pPr>
            <w:r w:rsidRPr="00BD16B4">
              <w:rPr>
                <w:rFonts w:cs="Calibri"/>
                <w:szCs w:val="18"/>
              </w:rPr>
              <w:t>51,071.20</w:t>
            </w:r>
          </w:p>
        </w:tc>
        <w:tc>
          <w:tcPr>
            <w:tcW w:w="1125" w:type="dxa"/>
            <w:gridSpan w:val="2"/>
          </w:tcPr>
          <w:p w14:paraId="7CCC8369" w14:textId="77777777" w:rsidR="00ED2EBD" w:rsidRPr="00BD16B4" w:rsidRDefault="00ED2EBD" w:rsidP="004A205F">
            <w:pPr>
              <w:pStyle w:val="TableText"/>
              <w:spacing w:before="40" w:after="40"/>
              <w:jc w:val="right"/>
              <w:rPr>
                <w:rFonts w:cs="Calibri"/>
                <w:szCs w:val="18"/>
              </w:rPr>
            </w:pPr>
            <w:r w:rsidRPr="00BD16B4">
              <w:rPr>
                <w:rFonts w:cs="Calibri"/>
                <w:szCs w:val="18"/>
              </w:rPr>
              <w:t>49,568.11</w:t>
            </w:r>
          </w:p>
        </w:tc>
      </w:tr>
    </w:tbl>
    <w:p w14:paraId="6E6612F5" w14:textId="77777777" w:rsidR="00ED2EBD" w:rsidRPr="00BD16B4" w:rsidRDefault="00ED2EBD" w:rsidP="00ED2EBD">
      <w:pPr>
        <w:pStyle w:val="BodyText"/>
        <w:spacing w:after="0"/>
      </w:pPr>
    </w:p>
    <w:p w14:paraId="5CF229E7" w14:textId="77777777" w:rsidR="00ED2EBD" w:rsidRPr="00BD16B4" w:rsidRDefault="00ED2EBD" w:rsidP="00ED2EBD">
      <w:pPr>
        <w:pStyle w:val="CTFTableheading"/>
      </w:pPr>
      <w:r w:rsidRPr="00BD16B4">
        <w:t>Table A.1:</w:t>
      </w:r>
      <w:r w:rsidRPr="00BD16B4">
        <w:tab/>
        <w:t>Emissions trends summary (CTF Table 1) (part 3 of 3)</w:t>
      </w:r>
    </w:p>
    <w:tbl>
      <w:tblPr>
        <w:tblStyle w:val="MinistryfortheEnvironment"/>
        <w:tblW w:w="14515" w:type="dxa"/>
        <w:tblInd w:w="113" w:type="dxa"/>
        <w:tblCellMar>
          <w:left w:w="85" w:type="dxa"/>
          <w:bottom w:w="0" w:type="dxa"/>
          <w:right w:w="85" w:type="dxa"/>
        </w:tblCellMar>
        <w:tblLook w:val="04A0" w:firstRow="1" w:lastRow="0" w:firstColumn="1" w:lastColumn="0" w:noHBand="0" w:noVBand="1"/>
      </w:tblPr>
      <w:tblGrid>
        <w:gridCol w:w="2120"/>
        <w:gridCol w:w="1128"/>
        <w:gridCol w:w="1127"/>
        <w:gridCol w:w="1127"/>
        <w:gridCol w:w="1152"/>
        <w:gridCol w:w="1123"/>
        <w:gridCol w:w="1123"/>
        <w:gridCol w:w="1123"/>
        <w:gridCol w:w="1123"/>
        <w:gridCol w:w="1123"/>
        <w:gridCol w:w="1123"/>
        <w:gridCol w:w="1123"/>
      </w:tblGrid>
      <w:tr w:rsidR="00ED2EBD" w:rsidRPr="00BD16B4" w14:paraId="0A745209" w14:textId="77777777" w:rsidTr="00B05A88">
        <w:trPr>
          <w:cnfStyle w:val="100000000000" w:firstRow="1" w:lastRow="0" w:firstColumn="0" w:lastColumn="0" w:oddVBand="0" w:evenVBand="0" w:oddHBand="0" w:evenHBand="0" w:firstRowFirstColumn="0" w:firstRowLastColumn="0" w:lastRowFirstColumn="0" w:lastRowLastColumn="0"/>
          <w:tblHeader/>
        </w:trPr>
        <w:tc>
          <w:tcPr>
            <w:tcW w:w="1929" w:type="dxa"/>
            <w:tcBorders>
              <w:top w:val="single" w:sz="4" w:space="0" w:color="1B556B" w:themeColor="text2"/>
            </w:tcBorders>
            <w:vAlign w:val="bottom"/>
          </w:tcPr>
          <w:p w14:paraId="513E6825" w14:textId="77777777" w:rsidR="00ED2EBD" w:rsidRPr="00BD16B4" w:rsidRDefault="00ED2EBD" w:rsidP="004A205F">
            <w:pPr>
              <w:pStyle w:val="TableTextbold"/>
              <w:spacing w:before="40"/>
              <w:rPr>
                <w:rFonts w:cs="Calibri"/>
                <w:b/>
                <w:bCs/>
                <w:szCs w:val="18"/>
              </w:rPr>
            </w:pPr>
            <w:r w:rsidRPr="00BD16B4">
              <w:rPr>
                <w:rFonts w:cs="Calibri"/>
                <w:b/>
                <w:bCs/>
                <w:szCs w:val="18"/>
              </w:rPr>
              <w:t xml:space="preserve">Greenhouse gas emissions </w:t>
            </w:r>
          </w:p>
        </w:tc>
        <w:tc>
          <w:tcPr>
            <w:tcW w:w="1026" w:type="dxa"/>
            <w:tcBorders>
              <w:top w:val="single" w:sz="4" w:space="0" w:color="1B556B" w:themeColor="text2"/>
            </w:tcBorders>
            <w:vAlign w:val="bottom"/>
          </w:tcPr>
          <w:p w14:paraId="622E3C7D" w14:textId="77777777" w:rsidR="00ED2EBD" w:rsidRPr="00BD16B4" w:rsidRDefault="00ED2EBD" w:rsidP="004A205F">
            <w:pPr>
              <w:pStyle w:val="TableTextbold"/>
              <w:spacing w:before="40"/>
              <w:jc w:val="center"/>
              <w:rPr>
                <w:rFonts w:cs="Calibri"/>
                <w:b/>
                <w:bCs/>
                <w:szCs w:val="18"/>
              </w:rPr>
            </w:pPr>
            <w:r w:rsidRPr="00BD16B4">
              <w:rPr>
                <w:rFonts w:cs="Calibri"/>
                <w:b/>
                <w:bCs/>
                <w:szCs w:val="18"/>
              </w:rPr>
              <w:t>2010</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025" w:type="dxa"/>
            <w:tcBorders>
              <w:top w:val="single" w:sz="4" w:space="0" w:color="1B556B" w:themeColor="text2"/>
            </w:tcBorders>
            <w:vAlign w:val="bottom"/>
          </w:tcPr>
          <w:p w14:paraId="22D37A94" w14:textId="77777777" w:rsidR="00ED2EBD" w:rsidRPr="00BD16B4" w:rsidRDefault="00ED2EBD" w:rsidP="004A205F">
            <w:pPr>
              <w:pStyle w:val="TableTextbold"/>
              <w:spacing w:before="40"/>
              <w:jc w:val="center"/>
              <w:rPr>
                <w:rFonts w:cs="Calibri"/>
                <w:b/>
                <w:bCs/>
                <w:szCs w:val="18"/>
              </w:rPr>
            </w:pPr>
            <w:r w:rsidRPr="00BD16B4">
              <w:rPr>
                <w:rFonts w:cs="Calibri"/>
                <w:b/>
                <w:bCs/>
                <w:szCs w:val="18"/>
              </w:rPr>
              <w:t>2011</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025" w:type="dxa"/>
            <w:tcBorders>
              <w:top w:val="single" w:sz="4" w:space="0" w:color="1B556B" w:themeColor="text2"/>
            </w:tcBorders>
            <w:vAlign w:val="bottom"/>
          </w:tcPr>
          <w:p w14:paraId="26123A36" w14:textId="77777777" w:rsidR="00ED2EBD" w:rsidRPr="00BD16B4" w:rsidRDefault="00ED2EBD" w:rsidP="004A205F">
            <w:pPr>
              <w:pStyle w:val="TableTextbold"/>
              <w:spacing w:before="40"/>
              <w:jc w:val="center"/>
              <w:rPr>
                <w:rFonts w:cs="Calibri"/>
                <w:b/>
                <w:bCs/>
                <w:szCs w:val="18"/>
              </w:rPr>
            </w:pPr>
            <w:r w:rsidRPr="00BD16B4">
              <w:rPr>
                <w:rFonts w:cs="Calibri"/>
                <w:b/>
                <w:bCs/>
                <w:szCs w:val="18"/>
              </w:rPr>
              <w:t>2012</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048" w:type="dxa"/>
            <w:tcBorders>
              <w:top w:val="single" w:sz="4" w:space="0" w:color="1B556B" w:themeColor="text2"/>
            </w:tcBorders>
            <w:vAlign w:val="bottom"/>
          </w:tcPr>
          <w:p w14:paraId="244FF72C" w14:textId="77777777" w:rsidR="00ED2EBD" w:rsidRPr="00BD16B4" w:rsidRDefault="00ED2EBD" w:rsidP="004A205F">
            <w:pPr>
              <w:pStyle w:val="TableTextbold"/>
              <w:spacing w:before="40"/>
              <w:jc w:val="center"/>
              <w:rPr>
                <w:rFonts w:cs="Calibri"/>
                <w:b/>
                <w:bCs/>
                <w:szCs w:val="18"/>
              </w:rPr>
            </w:pPr>
            <w:r w:rsidRPr="00BD16B4">
              <w:rPr>
                <w:rFonts w:cs="Calibri"/>
                <w:b/>
                <w:bCs/>
                <w:szCs w:val="18"/>
              </w:rPr>
              <w:t>2013</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021" w:type="dxa"/>
            <w:tcBorders>
              <w:top w:val="single" w:sz="4" w:space="0" w:color="1B556B" w:themeColor="text2"/>
            </w:tcBorders>
            <w:vAlign w:val="bottom"/>
          </w:tcPr>
          <w:p w14:paraId="2ACA0663" w14:textId="77777777" w:rsidR="00ED2EBD" w:rsidRPr="00BD16B4" w:rsidRDefault="00ED2EBD" w:rsidP="004A205F">
            <w:pPr>
              <w:pStyle w:val="TableTextbold"/>
              <w:spacing w:before="40"/>
              <w:jc w:val="center"/>
              <w:rPr>
                <w:rFonts w:cs="Calibri"/>
                <w:b/>
                <w:bCs/>
                <w:szCs w:val="18"/>
              </w:rPr>
            </w:pPr>
            <w:r w:rsidRPr="00BD16B4">
              <w:rPr>
                <w:rFonts w:cs="Calibri"/>
                <w:b/>
                <w:bCs/>
                <w:szCs w:val="18"/>
              </w:rPr>
              <w:t>2014</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021" w:type="dxa"/>
            <w:tcBorders>
              <w:top w:val="single" w:sz="4" w:space="0" w:color="1B556B" w:themeColor="text2"/>
            </w:tcBorders>
            <w:vAlign w:val="bottom"/>
          </w:tcPr>
          <w:p w14:paraId="2363CEAC" w14:textId="77777777" w:rsidR="00ED2EBD" w:rsidRPr="00BD16B4" w:rsidRDefault="00ED2EBD" w:rsidP="004A205F">
            <w:pPr>
              <w:pStyle w:val="TableTextbold"/>
              <w:spacing w:before="40"/>
              <w:jc w:val="center"/>
              <w:rPr>
                <w:rFonts w:cs="Calibri"/>
                <w:b/>
                <w:bCs/>
                <w:szCs w:val="18"/>
              </w:rPr>
            </w:pPr>
            <w:r w:rsidRPr="00BD16B4">
              <w:rPr>
                <w:rFonts w:cs="Calibri"/>
                <w:b/>
                <w:bCs/>
                <w:szCs w:val="18"/>
              </w:rPr>
              <w:t>2015</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021" w:type="dxa"/>
            <w:tcBorders>
              <w:top w:val="single" w:sz="4" w:space="0" w:color="1B556B" w:themeColor="text2"/>
            </w:tcBorders>
            <w:vAlign w:val="bottom"/>
          </w:tcPr>
          <w:p w14:paraId="46FC53A2" w14:textId="77777777" w:rsidR="00ED2EBD" w:rsidRPr="00BD16B4" w:rsidRDefault="00ED2EBD" w:rsidP="004A205F">
            <w:pPr>
              <w:pStyle w:val="TableTextbold"/>
              <w:spacing w:before="40"/>
              <w:jc w:val="center"/>
              <w:rPr>
                <w:rFonts w:cs="Calibri"/>
                <w:b/>
                <w:bCs/>
                <w:szCs w:val="18"/>
              </w:rPr>
            </w:pPr>
            <w:r w:rsidRPr="00BD16B4">
              <w:rPr>
                <w:rFonts w:cs="Calibri"/>
                <w:b/>
                <w:bCs/>
                <w:szCs w:val="18"/>
              </w:rPr>
              <w:t>2016</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021" w:type="dxa"/>
            <w:tcBorders>
              <w:top w:val="single" w:sz="4" w:space="0" w:color="1B556B" w:themeColor="text2"/>
            </w:tcBorders>
            <w:vAlign w:val="bottom"/>
          </w:tcPr>
          <w:p w14:paraId="59213BB3" w14:textId="77777777" w:rsidR="00ED2EBD" w:rsidRPr="00BD16B4" w:rsidRDefault="00ED2EBD" w:rsidP="004A205F">
            <w:pPr>
              <w:pStyle w:val="TableTextbold"/>
              <w:spacing w:before="40"/>
              <w:jc w:val="center"/>
              <w:rPr>
                <w:rFonts w:cs="Calibri"/>
                <w:b/>
                <w:bCs/>
                <w:szCs w:val="18"/>
              </w:rPr>
            </w:pPr>
            <w:r w:rsidRPr="00BD16B4">
              <w:rPr>
                <w:rFonts w:cs="Calibri"/>
                <w:b/>
                <w:bCs/>
                <w:szCs w:val="18"/>
              </w:rPr>
              <w:t>2017</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021" w:type="dxa"/>
            <w:tcBorders>
              <w:top w:val="single" w:sz="4" w:space="0" w:color="1B556B" w:themeColor="text2"/>
            </w:tcBorders>
          </w:tcPr>
          <w:p w14:paraId="6AFC37AA" w14:textId="77777777" w:rsidR="00ED2EBD" w:rsidRPr="00BD16B4" w:rsidRDefault="00ED2EBD" w:rsidP="004A205F">
            <w:pPr>
              <w:pStyle w:val="TableTextbold"/>
              <w:spacing w:before="40"/>
              <w:jc w:val="center"/>
              <w:rPr>
                <w:rFonts w:cs="Calibri"/>
                <w:b/>
                <w:bCs/>
                <w:szCs w:val="18"/>
              </w:rPr>
            </w:pPr>
            <w:r w:rsidRPr="00BD16B4">
              <w:rPr>
                <w:rFonts w:cs="Calibri"/>
                <w:b/>
                <w:bCs/>
                <w:szCs w:val="18"/>
              </w:rPr>
              <w:t>2018</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021" w:type="dxa"/>
            <w:tcBorders>
              <w:top w:val="single" w:sz="4" w:space="0" w:color="1B556B" w:themeColor="text2"/>
            </w:tcBorders>
          </w:tcPr>
          <w:p w14:paraId="68F05557" w14:textId="77777777" w:rsidR="00ED2EBD" w:rsidRPr="00BD16B4" w:rsidRDefault="00ED2EBD" w:rsidP="004A205F">
            <w:pPr>
              <w:pStyle w:val="TableTextbold"/>
              <w:spacing w:before="40"/>
              <w:jc w:val="center"/>
              <w:rPr>
                <w:rFonts w:cs="Calibri"/>
                <w:b/>
                <w:bCs/>
                <w:szCs w:val="18"/>
              </w:rPr>
            </w:pPr>
            <w:r w:rsidRPr="00BD16B4">
              <w:rPr>
                <w:rFonts w:cs="Calibri"/>
                <w:b/>
                <w:bCs/>
                <w:szCs w:val="18"/>
              </w:rPr>
              <w:t>2019</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c>
          <w:tcPr>
            <w:tcW w:w="1021" w:type="dxa"/>
            <w:tcBorders>
              <w:top w:val="single" w:sz="4" w:space="0" w:color="1B556B" w:themeColor="text2"/>
            </w:tcBorders>
            <w:vAlign w:val="bottom"/>
          </w:tcPr>
          <w:p w14:paraId="6706C9B0" w14:textId="77777777" w:rsidR="00ED2EBD" w:rsidRPr="00BD16B4" w:rsidRDefault="00ED2EBD" w:rsidP="004A205F">
            <w:pPr>
              <w:pStyle w:val="TableTextbold"/>
              <w:spacing w:before="40"/>
              <w:jc w:val="center"/>
              <w:rPr>
                <w:rFonts w:cs="Calibri"/>
                <w:b/>
                <w:bCs/>
                <w:szCs w:val="18"/>
              </w:rPr>
            </w:pPr>
            <w:r w:rsidRPr="00BD16B4">
              <w:rPr>
                <w:rFonts w:cs="Calibri"/>
                <w:b/>
                <w:bCs/>
                <w:szCs w:val="18"/>
              </w:rPr>
              <w:t>2020</w:t>
            </w:r>
            <w:r w:rsidRPr="00BD16B4">
              <w:rPr>
                <w:rFonts w:cs="Calibri"/>
                <w:b/>
                <w:bCs/>
                <w:szCs w:val="18"/>
              </w:rPr>
              <w:br/>
              <w:t>(kt CO</w:t>
            </w:r>
            <w:r w:rsidRPr="00BD16B4">
              <w:rPr>
                <w:rFonts w:cs="Calibri"/>
                <w:b/>
                <w:bCs/>
                <w:szCs w:val="18"/>
                <w:vertAlign w:val="subscript"/>
              </w:rPr>
              <w:t>2</w:t>
            </w:r>
            <w:r w:rsidRPr="00BD16B4">
              <w:rPr>
                <w:rFonts w:cs="Calibri"/>
                <w:b/>
                <w:bCs/>
                <w:szCs w:val="18"/>
              </w:rPr>
              <w:t>-equivalent)</w:t>
            </w:r>
          </w:p>
        </w:tc>
      </w:tr>
      <w:tr w:rsidR="00ED2EBD" w:rsidRPr="00BD16B4" w14:paraId="19E2A052" w14:textId="77777777" w:rsidTr="004A205F">
        <w:tc>
          <w:tcPr>
            <w:tcW w:w="1929" w:type="dxa"/>
          </w:tcPr>
          <w:p w14:paraId="2B7BE8BB" w14:textId="77777777" w:rsidR="00ED2EBD" w:rsidRPr="00BD16B4" w:rsidRDefault="00ED2EBD" w:rsidP="004A205F">
            <w:pPr>
              <w:pStyle w:val="TableText"/>
              <w:spacing w:before="40"/>
              <w:rPr>
                <w:rFonts w:cs="Calibri"/>
                <w:szCs w:val="18"/>
              </w:rPr>
            </w:pPr>
            <w:r w:rsidRPr="00BD16B4">
              <w:rPr>
                <w:rFonts w:cs="Calibri"/>
                <w:szCs w:val="18"/>
              </w:rPr>
              <w:t>CO</w:t>
            </w:r>
            <w:r w:rsidRPr="00BD16B4">
              <w:rPr>
                <w:rFonts w:cs="Calibri"/>
                <w:color w:val="000000"/>
                <w:szCs w:val="18"/>
                <w:vertAlign w:val="subscript"/>
              </w:rPr>
              <w:t>2</w:t>
            </w:r>
            <w:r w:rsidRPr="00BD16B4">
              <w:rPr>
                <w:rFonts w:cs="Calibri"/>
                <w:color w:val="000000"/>
                <w:szCs w:val="18"/>
              </w:rPr>
              <w:t xml:space="preserve"> emissions without net CO</w:t>
            </w:r>
            <w:r w:rsidRPr="00BD16B4">
              <w:rPr>
                <w:rFonts w:cs="Calibri"/>
                <w:color w:val="000000"/>
                <w:szCs w:val="18"/>
                <w:vertAlign w:val="subscript"/>
              </w:rPr>
              <w:t>2</w:t>
            </w:r>
            <w:r w:rsidRPr="00BD16B4">
              <w:rPr>
                <w:rFonts w:cs="Calibri"/>
                <w:color w:val="000000"/>
                <w:szCs w:val="18"/>
              </w:rPr>
              <w:t xml:space="preserve"> from LULUCF</w:t>
            </w:r>
          </w:p>
        </w:tc>
        <w:tc>
          <w:tcPr>
            <w:tcW w:w="1026" w:type="dxa"/>
          </w:tcPr>
          <w:p w14:paraId="4B9C1005" w14:textId="77777777" w:rsidR="00ED2EBD" w:rsidRPr="00BD16B4" w:rsidRDefault="00ED2EBD" w:rsidP="004A205F">
            <w:pPr>
              <w:pStyle w:val="TableText"/>
              <w:spacing w:before="40"/>
              <w:jc w:val="right"/>
              <w:rPr>
                <w:rFonts w:cs="Calibri"/>
                <w:szCs w:val="18"/>
              </w:rPr>
            </w:pPr>
            <w:r w:rsidRPr="00BD16B4">
              <w:rPr>
                <w:rFonts w:cs="Calibri"/>
                <w:szCs w:val="18"/>
              </w:rPr>
              <w:t>34,811.08</w:t>
            </w:r>
          </w:p>
        </w:tc>
        <w:tc>
          <w:tcPr>
            <w:tcW w:w="1025" w:type="dxa"/>
          </w:tcPr>
          <w:p w14:paraId="3D1F7199" w14:textId="77777777" w:rsidR="00ED2EBD" w:rsidRPr="00BD16B4" w:rsidRDefault="00ED2EBD" w:rsidP="004A205F">
            <w:pPr>
              <w:pStyle w:val="TableText"/>
              <w:spacing w:before="40"/>
              <w:jc w:val="right"/>
              <w:rPr>
                <w:rFonts w:cs="Calibri"/>
                <w:szCs w:val="18"/>
              </w:rPr>
            </w:pPr>
            <w:r w:rsidRPr="00BD16B4">
              <w:rPr>
                <w:rFonts w:cs="Calibri"/>
                <w:szCs w:val="18"/>
              </w:rPr>
              <w:t>34,265.85</w:t>
            </w:r>
          </w:p>
        </w:tc>
        <w:tc>
          <w:tcPr>
            <w:tcW w:w="1025" w:type="dxa"/>
          </w:tcPr>
          <w:p w14:paraId="7A55D5FE" w14:textId="77777777" w:rsidR="00ED2EBD" w:rsidRPr="00BD16B4" w:rsidRDefault="00ED2EBD" w:rsidP="004A205F">
            <w:pPr>
              <w:pStyle w:val="TableText"/>
              <w:spacing w:before="40"/>
              <w:jc w:val="right"/>
              <w:rPr>
                <w:rFonts w:cs="Calibri"/>
                <w:szCs w:val="18"/>
              </w:rPr>
            </w:pPr>
            <w:r w:rsidRPr="00BD16B4">
              <w:rPr>
                <w:rFonts w:cs="Calibri"/>
                <w:szCs w:val="18"/>
              </w:rPr>
              <w:t>35,945.09</w:t>
            </w:r>
          </w:p>
        </w:tc>
        <w:tc>
          <w:tcPr>
            <w:tcW w:w="1048" w:type="dxa"/>
          </w:tcPr>
          <w:p w14:paraId="49FF6231" w14:textId="77777777" w:rsidR="00ED2EBD" w:rsidRPr="00BD16B4" w:rsidRDefault="00ED2EBD" w:rsidP="004A205F">
            <w:pPr>
              <w:pStyle w:val="TableText"/>
              <w:spacing w:before="40"/>
              <w:jc w:val="right"/>
              <w:rPr>
                <w:rFonts w:cs="Calibri"/>
                <w:szCs w:val="18"/>
              </w:rPr>
            </w:pPr>
            <w:r w:rsidRPr="00BD16B4">
              <w:rPr>
                <w:rFonts w:cs="Calibri"/>
                <w:szCs w:val="18"/>
              </w:rPr>
              <w:t>35,241.00</w:t>
            </w:r>
          </w:p>
        </w:tc>
        <w:tc>
          <w:tcPr>
            <w:tcW w:w="1021" w:type="dxa"/>
          </w:tcPr>
          <w:p w14:paraId="6566C173" w14:textId="77777777" w:rsidR="00ED2EBD" w:rsidRPr="00BD16B4" w:rsidRDefault="00ED2EBD" w:rsidP="004A205F">
            <w:pPr>
              <w:pStyle w:val="TableText"/>
              <w:spacing w:before="40"/>
              <w:jc w:val="right"/>
              <w:rPr>
                <w:rFonts w:cs="Calibri"/>
                <w:szCs w:val="18"/>
              </w:rPr>
            </w:pPr>
            <w:r w:rsidRPr="00BD16B4">
              <w:rPr>
                <w:rFonts w:cs="Calibri"/>
                <w:szCs w:val="18"/>
              </w:rPr>
              <w:t>35,438.93</w:t>
            </w:r>
          </w:p>
        </w:tc>
        <w:tc>
          <w:tcPr>
            <w:tcW w:w="1021" w:type="dxa"/>
          </w:tcPr>
          <w:p w14:paraId="321835D7" w14:textId="77777777" w:rsidR="00ED2EBD" w:rsidRPr="00BD16B4" w:rsidRDefault="00ED2EBD" w:rsidP="004A205F">
            <w:pPr>
              <w:pStyle w:val="TableText"/>
              <w:spacing w:before="40"/>
              <w:jc w:val="right"/>
              <w:rPr>
                <w:rFonts w:cs="Calibri"/>
                <w:szCs w:val="18"/>
              </w:rPr>
            </w:pPr>
            <w:r w:rsidRPr="00BD16B4">
              <w:rPr>
                <w:rFonts w:cs="Calibri"/>
                <w:szCs w:val="18"/>
              </w:rPr>
              <w:t>35,813.11</w:t>
            </w:r>
          </w:p>
        </w:tc>
        <w:tc>
          <w:tcPr>
            <w:tcW w:w="1021" w:type="dxa"/>
          </w:tcPr>
          <w:p w14:paraId="65D64382" w14:textId="77777777" w:rsidR="00ED2EBD" w:rsidRPr="00BD16B4" w:rsidRDefault="00ED2EBD" w:rsidP="004A205F">
            <w:pPr>
              <w:pStyle w:val="TableText"/>
              <w:spacing w:before="40"/>
              <w:jc w:val="right"/>
              <w:rPr>
                <w:rFonts w:cs="Calibri"/>
                <w:szCs w:val="18"/>
              </w:rPr>
            </w:pPr>
            <w:r w:rsidRPr="00BD16B4">
              <w:rPr>
                <w:rFonts w:cs="Calibri"/>
                <w:szCs w:val="18"/>
              </w:rPr>
              <w:t>34,152.64</w:t>
            </w:r>
          </w:p>
        </w:tc>
        <w:tc>
          <w:tcPr>
            <w:tcW w:w="1021" w:type="dxa"/>
          </w:tcPr>
          <w:p w14:paraId="67E8BA3A" w14:textId="77777777" w:rsidR="00ED2EBD" w:rsidRPr="00BD16B4" w:rsidRDefault="00ED2EBD" w:rsidP="004A205F">
            <w:pPr>
              <w:pStyle w:val="TableText"/>
              <w:spacing w:before="40"/>
              <w:jc w:val="right"/>
              <w:rPr>
                <w:rFonts w:cs="Calibri"/>
                <w:szCs w:val="18"/>
              </w:rPr>
            </w:pPr>
            <w:r w:rsidRPr="00BD16B4">
              <w:rPr>
                <w:rFonts w:cs="Calibri"/>
                <w:szCs w:val="18"/>
              </w:rPr>
              <w:t>35,688.13</w:t>
            </w:r>
          </w:p>
        </w:tc>
        <w:tc>
          <w:tcPr>
            <w:tcW w:w="1021" w:type="dxa"/>
          </w:tcPr>
          <w:p w14:paraId="663D2167" w14:textId="77777777" w:rsidR="00ED2EBD" w:rsidRPr="00BD16B4" w:rsidRDefault="00ED2EBD" w:rsidP="004A205F">
            <w:pPr>
              <w:pStyle w:val="TableText"/>
              <w:spacing w:before="40"/>
              <w:jc w:val="right"/>
              <w:rPr>
                <w:rFonts w:cs="Calibri"/>
                <w:szCs w:val="18"/>
              </w:rPr>
            </w:pPr>
            <w:r w:rsidRPr="00BD16B4">
              <w:rPr>
                <w:rFonts w:cs="Calibri"/>
                <w:szCs w:val="18"/>
              </w:rPr>
              <w:t>35,704.54</w:t>
            </w:r>
          </w:p>
        </w:tc>
        <w:tc>
          <w:tcPr>
            <w:tcW w:w="1021" w:type="dxa"/>
          </w:tcPr>
          <w:p w14:paraId="5237608E" w14:textId="77777777" w:rsidR="00ED2EBD" w:rsidRPr="00BD16B4" w:rsidRDefault="00ED2EBD" w:rsidP="004A205F">
            <w:pPr>
              <w:pStyle w:val="TableText"/>
              <w:spacing w:before="40"/>
              <w:jc w:val="right"/>
              <w:rPr>
                <w:rFonts w:cs="Calibri"/>
                <w:szCs w:val="18"/>
              </w:rPr>
            </w:pPr>
            <w:r w:rsidRPr="00BD16B4">
              <w:rPr>
                <w:rFonts w:cs="Calibri"/>
                <w:szCs w:val="18"/>
              </w:rPr>
              <w:t>37,121.03</w:t>
            </w:r>
          </w:p>
        </w:tc>
        <w:tc>
          <w:tcPr>
            <w:tcW w:w="1021" w:type="dxa"/>
          </w:tcPr>
          <w:p w14:paraId="31801642" w14:textId="77777777" w:rsidR="00ED2EBD" w:rsidRPr="00BD16B4" w:rsidRDefault="00ED2EBD" w:rsidP="004A205F">
            <w:pPr>
              <w:pStyle w:val="TableText"/>
              <w:spacing w:before="40"/>
              <w:jc w:val="right"/>
              <w:rPr>
                <w:rFonts w:cs="Calibri"/>
                <w:szCs w:val="18"/>
              </w:rPr>
            </w:pPr>
            <w:r w:rsidRPr="00BD16B4">
              <w:rPr>
                <w:rFonts w:cs="Calibri"/>
                <w:szCs w:val="18"/>
              </w:rPr>
              <w:t>34,456.75</w:t>
            </w:r>
          </w:p>
        </w:tc>
      </w:tr>
      <w:tr w:rsidR="00ED2EBD" w:rsidRPr="00BD16B4" w14:paraId="6A8D8DA7" w14:textId="77777777" w:rsidTr="004A205F">
        <w:tc>
          <w:tcPr>
            <w:tcW w:w="1929" w:type="dxa"/>
          </w:tcPr>
          <w:p w14:paraId="262D2210" w14:textId="77777777" w:rsidR="00ED2EBD" w:rsidRPr="00BD16B4" w:rsidRDefault="00ED2EBD" w:rsidP="004A205F">
            <w:pPr>
              <w:pStyle w:val="TableText"/>
              <w:spacing w:before="40"/>
              <w:rPr>
                <w:rFonts w:cs="Calibri"/>
                <w:szCs w:val="18"/>
              </w:rPr>
            </w:pPr>
            <w:r w:rsidRPr="00BD16B4">
              <w:rPr>
                <w:rFonts w:cs="Calibri"/>
                <w:szCs w:val="18"/>
              </w:rPr>
              <w:t>CO</w:t>
            </w:r>
            <w:r w:rsidRPr="00BD16B4">
              <w:rPr>
                <w:rFonts w:cs="Calibri"/>
                <w:color w:val="000000"/>
                <w:szCs w:val="18"/>
                <w:vertAlign w:val="subscript"/>
              </w:rPr>
              <w:t>2</w:t>
            </w:r>
            <w:r w:rsidRPr="00BD16B4">
              <w:rPr>
                <w:rFonts w:cs="Calibri"/>
                <w:color w:val="000000"/>
                <w:szCs w:val="18"/>
              </w:rPr>
              <w:t xml:space="preserve"> emissions with net CO</w:t>
            </w:r>
            <w:r w:rsidRPr="00BD16B4">
              <w:rPr>
                <w:rFonts w:cs="Calibri"/>
                <w:color w:val="000000"/>
                <w:szCs w:val="18"/>
                <w:vertAlign w:val="subscript"/>
              </w:rPr>
              <w:t>2</w:t>
            </w:r>
            <w:r w:rsidRPr="00BD16B4">
              <w:rPr>
                <w:rFonts w:cs="Calibri"/>
                <w:color w:val="000000"/>
                <w:szCs w:val="18"/>
              </w:rPr>
              <w:t xml:space="preserve"> from LULUCF</w:t>
            </w:r>
          </w:p>
        </w:tc>
        <w:tc>
          <w:tcPr>
            <w:tcW w:w="1026" w:type="dxa"/>
          </w:tcPr>
          <w:p w14:paraId="2C80831A" w14:textId="77777777" w:rsidR="00ED2EBD" w:rsidRPr="00BD16B4" w:rsidRDefault="00ED2EBD" w:rsidP="004A205F">
            <w:pPr>
              <w:pStyle w:val="TableText"/>
              <w:spacing w:before="40"/>
              <w:jc w:val="right"/>
              <w:rPr>
                <w:rFonts w:cs="Calibri"/>
                <w:szCs w:val="18"/>
              </w:rPr>
            </w:pPr>
            <w:r w:rsidRPr="00BD16B4">
              <w:rPr>
                <w:rFonts w:cs="Calibri"/>
                <w:szCs w:val="18"/>
              </w:rPr>
              <w:t>5,035.98</w:t>
            </w:r>
          </w:p>
        </w:tc>
        <w:tc>
          <w:tcPr>
            <w:tcW w:w="1025" w:type="dxa"/>
          </w:tcPr>
          <w:p w14:paraId="59323444" w14:textId="77777777" w:rsidR="00ED2EBD" w:rsidRPr="00BD16B4" w:rsidRDefault="00ED2EBD" w:rsidP="004A205F">
            <w:pPr>
              <w:pStyle w:val="TableText"/>
              <w:spacing w:before="40"/>
              <w:jc w:val="right"/>
              <w:rPr>
                <w:rFonts w:cs="Calibri"/>
                <w:szCs w:val="18"/>
              </w:rPr>
            </w:pPr>
            <w:r w:rsidRPr="00BD16B4">
              <w:rPr>
                <w:rFonts w:cs="Calibri"/>
                <w:szCs w:val="18"/>
              </w:rPr>
              <w:t>4,219.69</w:t>
            </w:r>
          </w:p>
        </w:tc>
        <w:tc>
          <w:tcPr>
            <w:tcW w:w="1025" w:type="dxa"/>
          </w:tcPr>
          <w:p w14:paraId="760BFAE7" w14:textId="77777777" w:rsidR="00ED2EBD" w:rsidRPr="00BD16B4" w:rsidRDefault="00ED2EBD" w:rsidP="004A205F">
            <w:pPr>
              <w:pStyle w:val="TableText"/>
              <w:spacing w:before="40"/>
              <w:jc w:val="right"/>
              <w:rPr>
                <w:rFonts w:cs="Calibri"/>
                <w:szCs w:val="18"/>
              </w:rPr>
            </w:pPr>
            <w:r w:rsidRPr="00BD16B4">
              <w:rPr>
                <w:rFonts w:cs="Calibri"/>
                <w:szCs w:val="18"/>
              </w:rPr>
              <w:t>8,794.23</w:t>
            </w:r>
          </w:p>
        </w:tc>
        <w:tc>
          <w:tcPr>
            <w:tcW w:w="1048" w:type="dxa"/>
          </w:tcPr>
          <w:p w14:paraId="44A566D4" w14:textId="77777777" w:rsidR="00ED2EBD" w:rsidRPr="00BD16B4" w:rsidRDefault="00ED2EBD" w:rsidP="004A205F">
            <w:pPr>
              <w:pStyle w:val="TableText"/>
              <w:spacing w:before="40"/>
              <w:jc w:val="right"/>
              <w:rPr>
                <w:rFonts w:cs="Calibri"/>
                <w:szCs w:val="18"/>
              </w:rPr>
            </w:pPr>
            <w:r w:rsidRPr="00BD16B4">
              <w:rPr>
                <w:rFonts w:cs="Calibri"/>
                <w:szCs w:val="18"/>
              </w:rPr>
              <w:t>8,533.86</w:t>
            </w:r>
          </w:p>
        </w:tc>
        <w:tc>
          <w:tcPr>
            <w:tcW w:w="1021" w:type="dxa"/>
          </w:tcPr>
          <w:p w14:paraId="1866B70C" w14:textId="77777777" w:rsidR="00ED2EBD" w:rsidRPr="00BD16B4" w:rsidRDefault="00ED2EBD" w:rsidP="004A205F">
            <w:pPr>
              <w:pStyle w:val="TableText"/>
              <w:spacing w:before="40"/>
              <w:jc w:val="right"/>
              <w:rPr>
                <w:rFonts w:cs="Calibri"/>
                <w:szCs w:val="18"/>
              </w:rPr>
            </w:pPr>
            <w:r w:rsidRPr="00BD16B4">
              <w:rPr>
                <w:rFonts w:cs="Calibri"/>
                <w:szCs w:val="18"/>
              </w:rPr>
              <w:t>8,410.44</w:t>
            </w:r>
          </w:p>
        </w:tc>
        <w:tc>
          <w:tcPr>
            <w:tcW w:w="1021" w:type="dxa"/>
          </w:tcPr>
          <w:p w14:paraId="37890DA5" w14:textId="77777777" w:rsidR="00ED2EBD" w:rsidRPr="00BD16B4" w:rsidRDefault="00ED2EBD" w:rsidP="004A205F">
            <w:pPr>
              <w:pStyle w:val="TableText"/>
              <w:spacing w:before="40"/>
              <w:jc w:val="right"/>
              <w:rPr>
                <w:rFonts w:cs="Calibri"/>
                <w:szCs w:val="18"/>
              </w:rPr>
            </w:pPr>
            <w:r w:rsidRPr="00BD16B4">
              <w:rPr>
                <w:rFonts w:cs="Calibri"/>
                <w:szCs w:val="18"/>
              </w:rPr>
              <w:t>8,826.78</w:t>
            </w:r>
          </w:p>
        </w:tc>
        <w:tc>
          <w:tcPr>
            <w:tcW w:w="1021" w:type="dxa"/>
          </w:tcPr>
          <w:p w14:paraId="1FDD34F5" w14:textId="77777777" w:rsidR="00ED2EBD" w:rsidRPr="00BD16B4" w:rsidRDefault="00ED2EBD" w:rsidP="004A205F">
            <w:pPr>
              <w:pStyle w:val="TableText"/>
              <w:spacing w:before="40"/>
              <w:jc w:val="right"/>
              <w:rPr>
                <w:rFonts w:cs="Calibri"/>
                <w:szCs w:val="18"/>
              </w:rPr>
            </w:pPr>
            <w:r w:rsidRPr="00BD16B4">
              <w:rPr>
                <w:rFonts w:cs="Calibri"/>
                <w:szCs w:val="18"/>
              </w:rPr>
              <w:t>7,525.91</w:t>
            </w:r>
          </w:p>
        </w:tc>
        <w:tc>
          <w:tcPr>
            <w:tcW w:w="1021" w:type="dxa"/>
          </w:tcPr>
          <w:p w14:paraId="04454F75" w14:textId="77777777" w:rsidR="00ED2EBD" w:rsidRPr="00BD16B4" w:rsidRDefault="00ED2EBD" w:rsidP="004A205F">
            <w:pPr>
              <w:pStyle w:val="TableText"/>
              <w:spacing w:before="40"/>
              <w:jc w:val="right"/>
              <w:rPr>
                <w:rFonts w:cs="Calibri"/>
                <w:szCs w:val="18"/>
              </w:rPr>
            </w:pPr>
            <w:r w:rsidRPr="00BD16B4">
              <w:rPr>
                <w:rFonts w:cs="Calibri"/>
                <w:szCs w:val="18"/>
              </w:rPr>
              <w:t>10,635.80</w:t>
            </w:r>
          </w:p>
        </w:tc>
        <w:tc>
          <w:tcPr>
            <w:tcW w:w="1021" w:type="dxa"/>
          </w:tcPr>
          <w:p w14:paraId="7205F4AC" w14:textId="77777777" w:rsidR="00ED2EBD" w:rsidRPr="00BD16B4" w:rsidRDefault="00ED2EBD" w:rsidP="004A205F">
            <w:pPr>
              <w:pStyle w:val="TableText"/>
              <w:spacing w:before="40"/>
              <w:jc w:val="right"/>
              <w:rPr>
                <w:rFonts w:cs="Calibri"/>
                <w:szCs w:val="18"/>
              </w:rPr>
            </w:pPr>
            <w:r w:rsidRPr="00BD16B4">
              <w:rPr>
                <w:rFonts w:cs="Calibri"/>
                <w:szCs w:val="18"/>
              </w:rPr>
              <w:t>11,091.04</w:t>
            </w:r>
          </w:p>
        </w:tc>
        <w:tc>
          <w:tcPr>
            <w:tcW w:w="1021" w:type="dxa"/>
          </w:tcPr>
          <w:p w14:paraId="69885B06" w14:textId="77777777" w:rsidR="00ED2EBD" w:rsidRPr="00BD16B4" w:rsidRDefault="00ED2EBD" w:rsidP="004A205F">
            <w:pPr>
              <w:pStyle w:val="TableText"/>
              <w:spacing w:before="40"/>
              <w:jc w:val="right"/>
              <w:rPr>
                <w:rFonts w:cs="Calibri"/>
                <w:szCs w:val="18"/>
              </w:rPr>
            </w:pPr>
            <w:r w:rsidRPr="00BD16B4">
              <w:rPr>
                <w:rFonts w:cs="Calibri"/>
                <w:szCs w:val="18"/>
              </w:rPr>
              <w:t>13,736.29</w:t>
            </w:r>
          </w:p>
        </w:tc>
        <w:tc>
          <w:tcPr>
            <w:tcW w:w="1021" w:type="dxa"/>
          </w:tcPr>
          <w:p w14:paraId="2F18EECA" w14:textId="77777777" w:rsidR="00ED2EBD" w:rsidRPr="00BD16B4" w:rsidRDefault="00ED2EBD" w:rsidP="004A205F">
            <w:pPr>
              <w:pStyle w:val="TableText"/>
              <w:spacing w:before="40"/>
              <w:jc w:val="right"/>
              <w:rPr>
                <w:rFonts w:cs="Calibri"/>
                <w:szCs w:val="18"/>
              </w:rPr>
            </w:pPr>
            <w:r w:rsidRPr="00BD16B4">
              <w:rPr>
                <w:rFonts w:cs="Calibri"/>
                <w:szCs w:val="18"/>
              </w:rPr>
              <w:t>10,790.52</w:t>
            </w:r>
          </w:p>
        </w:tc>
      </w:tr>
      <w:tr w:rsidR="00ED2EBD" w:rsidRPr="00BD16B4" w14:paraId="40056C99" w14:textId="77777777" w:rsidTr="004A205F">
        <w:tc>
          <w:tcPr>
            <w:tcW w:w="1929" w:type="dxa"/>
          </w:tcPr>
          <w:p w14:paraId="53802A71" w14:textId="77777777" w:rsidR="00ED2EBD" w:rsidRPr="00BD16B4" w:rsidRDefault="00ED2EBD" w:rsidP="004A205F">
            <w:pPr>
              <w:pStyle w:val="TableText"/>
              <w:spacing w:before="40"/>
              <w:rPr>
                <w:rFonts w:cs="Calibri"/>
                <w:szCs w:val="18"/>
              </w:rPr>
            </w:pPr>
            <w:r w:rsidRPr="00BD16B4">
              <w:rPr>
                <w:rFonts w:cs="Calibri"/>
                <w:szCs w:val="18"/>
              </w:rPr>
              <w:t>CH</w:t>
            </w:r>
            <w:r w:rsidRPr="00BD16B4">
              <w:rPr>
                <w:rFonts w:cs="Calibri"/>
                <w:color w:val="000000"/>
                <w:szCs w:val="18"/>
                <w:vertAlign w:val="subscript"/>
              </w:rPr>
              <w:t>4</w:t>
            </w:r>
            <w:r w:rsidRPr="00BD16B4">
              <w:rPr>
                <w:rFonts w:cs="Calibri"/>
                <w:color w:val="000000"/>
                <w:szCs w:val="18"/>
              </w:rPr>
              <w:t xml:space="preserve"> emissions without CH</w:t>
            </w:r>
            <w:r w:rsidRPr="00BD16B4">
              <w:rPr>
                <w:rFonts w:cs="Calibri"/>
                <w:color w:val="000000"/>
                <w:szCs w:val="18"/>
                <w:vertAlign w:val="subscript"/>
              </w:rPr>
              <w:t>4</w:t>
            </w:r>
            <w:r w:rsidRPr="00BD16B4">
              <w:rPr>
                <w:rFonts w:cs="Calibri"/>
                <w:color w:val="000000"/>
                <w:szCs w:val="18"/>
              </w:rPr>
              <w:t xml:space="preserve"> from LULUCF</w:t>
            </w:r>
          </w:p>
        </w:tc>
        <w:tc>
          <w:tcPr>
            <w:tcW w:w="1026" w:type="dxa"/>
          </w:tcPr>
          <w:p w14:paraId="76E904AB" w14:textId="77777777" w:rsidR="00ED2EBD" w:rsidRPr="00BD16B4" w:rsidRDefault="00ED2EBD" w:rsidP="004A205F">
            <w:pPr>
              <w:pStyle w:val="TableText"/>
              <w:spacing w:before="40"/>
              <w:jc w:val="right"/>
              <w:rPr>
                <w:rFonts w:cs="Calibri"/>
                <w:szCs w:val="18"/>
              </w:rPr>
            </w:pPr>
            <w:r w:rsidRPr="00BD16B4">
              <w:rPr>
                <w:rFonts w:cs="Calibri"/>
                <w:szCs w:val="18"/>
              </w:rPr>
              <w:t>34,764.35</w:t>
            </w:r>
          </w:p>
        </w:tc>
        <w:tc>
          <w:tcPr>
            <w:tcW w:w="1025" w:type="dxa"/>
          </w:tcPr>
          <w:p w14:paraId="6465093B" w14:textId="77777777" w:rsidR="00ED2EBD" w:rsidRPr="00BD16B4" w:rsidRDefault="00ED2EBD" w:rsidP="004A205F">
            <w:pPr>
              <w:pStyle w:val="TableText"/>
              <w:spacing w:before="40"/>
              <w:jc w:val="right"/>
              <w:rPr>
                <w:rFonts w:cs="Calibri"/>
                <w:szCs w:val="18"/>
              </w:rPr>
            </w:pPr>
            <w:r w:rsidRPr="00BD16B4">
              <w:rPr>
                <w:rFonts w:cs="Calibri"/>
                <w:szCs w:val="18"/>
              </w:rPr>
              <w:t>34,932.72</w:t>
            </w:r>
          </w:p>
        </w:tc>
        <w:tc>
          <w:tcPr>
            <w:tcW w:w="1025" w:type="dxa"/>
          </w:tcPr>
          <w:p w14:paraId="1320190B" w14:textId="77777777" w:rsidR="00ED2EBD" w:rsidRPr="00BD16B4" w:rsidRDefault="00ED2EBD" w:rsidP="004A205F">
            <w:pPr>
              <w:pStyle w:val="TableText"/>
              <w:spacing w:before="40"/>
              <w:jc w:val="right"/>
              <w:rPr>
                <w:rFonts w:cs="Calibri"/>
                <w:szCs w:val="18"/>
              </w:rPr>
            </w:pPr>
            <w:r w:rsidRPr="00BD16B4">
              <w:rPr>
                <w:rFonts w:cs="Calibri"/>
                <w:szCs w:val="18"/>
              </w:rPr>
              <w:t>35,238.02</w:t>
            </w:r>
          </w:p>
        </w:tc>
        <w:tc>
          <w:tcPr>
            <w:tcW w:w="1048" w:type="dxa"/>
          </w:tcPr>
          <w:p w14:paraId="516D7118" w14:textId="77777777" w:rsidR="00ED2EBD" w:rsidRPr="00BD16B4" w:rsidRDefault="00ED2EBD" w:rsidP="004A205F">
            <w:pPr>
              <w:pStyle w:val="TableText"/>
              <w:spacing w:before="40"/>
              <w:jc w:val="right"/>
              <w:rPr>
                <w:rFonts w:cs="Calibri"/>
                <w:szCs w:val="18"/>
              </w:rPr>
            </w:pPr>
            <w:r w:rsidRPr="00BD16B4">
              <w:rPr>
                <w:rFonts w:cs="Calibri"/>
                <w:szCs w:val="18"/>
              </w:rPr>
              <w:t>35,186.88</w:t>
            </w:r>
          </w:p>
        </w:tc>
        <w:tc>
          <w:tcPr>
            <w:tcW w:w="1021" w:type="dxa"/>
          </w:tcPr>
          <w:p w14:paraId="6E98851A" w14:textId="77777777" w:rsidR="00ED2EBD" w:rsidRPr="00BD16B4" w:rsidRDefault="00ED2EBD" w:rsidP="004A205F">
            <w:pPr>
              <w:pStyle w:val="TableText"/>
              <w:spacing w:before="40"/>
              <w:jc w:val="right"/>
              <w:rPr>
                <w:rFonts w:cs="Calibri"/>
                <w:szCs w:val="18"/>
              </w:rPr>
            </w:pPr>
            <w:r w:rsidRPr="00BD16B4">
              <w:rPr>
                <w:rFonts w:cs="Calibri"/>
                <w:szCs w:val="18"/>
              </w:rPr>
              <w:t>35,486.17</w:t>
            </w:r>
          </w:p>
        </w:tc>
        <w:tc>
          <w:tcPr>
            <w:tcW w:w="1021" w:type="dxa"/>
          </w:tcPr>
          <w:p w14:paraId="6C37190C" w14:textId="77777777" w:rsidR="00ED2EBD" w:rsidRPr="00BD16B4" w:rsidRDefault="00ED2EBD" w:rsidP="004A205F">
            <w:pPr>
              <w:pStyle w:val="TableText"/>
              <w:spacing w:before="40"/>
              <w:jc w:val="right"/>
              <w:rPr>
                <w:rFonts w:cs="Calibri"/>
                <w:szCs w:val="18"/>
              </w:rPr>
            </w:pPr>
            <w:r w:rsidRPr="00BD16B4">
              <w:rPr>
                <w:rFonts w:cs="Calibri"/>
                <w:szCs w:val="18"/>
              </w:rPr>
              <w:t>34,989.09</w:t>
            </w:r>
          </w:p>
        </w:tc>
        <w:tc>
          <w:tcPr>
            <w:tcW w:w="1021" w:type="dxa"/>
          </w:tcPr>
          <w:p w14:paraId="18C8E310" w14:textId="77777777" w:rsidR="00ED2EBD" w:rsidRPr="00BD16B4" w:rsidRDefault="00ED2EBD" w:rsidP="004A205F">
            <w:pPr>
              <w:pStyle w:val="TableText"/>
              <w:spacing w:before="40"/>
              <w:jc w:val="right"/>
              <w:rPr>
                <w:rFonts w:cs="Calibri"/>
                <w:szCs w:val="18"/>
              </w:rPr>
            </w:pPr>
            <w:r w:rsidRPr="00BD16B4">
              <w:rPr>
                <w:rFonts w:cs="Calibri"/>
                <w:szCs w:val="18"/>
              </w:rPr>
              <w:t>34,538.48</w:t>
            </w:r>
          </w:p>
        </w:tc>
        <w:tc>
          <w:tcPr>
            <w:tcW w:w="1021" w:type="dxa"/>
          </w:tcPr>
          <w:p w14:paraId="6DBBA078" w14:textId="77777777" w:rsidR="00ED2EBD" w:rsidRPr="00BD16B4" w:rsidRDefault="00ED2EBD" w:rsidP="004A205F">
            <w:pPr>
              <w:pStyle w:val="TableText"/>
              <w:spacing w:before="40"/>
              <w:jc w:val="right"/>
              <w:rPr>
                <w:rFonts w:cs="Calibri"/>
                <w:szCs w:val="18"/>
              </w:rPr>
            </w:pPr>
            <w:r w:rsidRPr="00BD16B4">
              <w:rPr>
                <w:rFonts w:cs="Calibri"/>
                <w:szCs w:val="18"/>
              </w:rPr>
              <w:t>34,415.85</w:t>
            </w:r>
          </w:p>
        </w:tc>
        <w:tc>
          <w:tcPr>
            <w:tcW w:w="1021" w:type="dxa"/>
          </w:tcPr>
          <w:p w14:paraId="52081C9F" w14:textId="77777777" w:rsidR="00ED2EBD" w:rsidRPr="00BD16B4" w:rsidRDefault="00ED2EBD" w:rsidP="004A205F">
            <w:pPr>
              <w:pStyle w:val="TableText"/>
              <w:spacing w:before="40"/>
              <w:jc w:val="right"/>
              <w:rPr>
                <w:rFonts w:cs="Calibri"/>
                <w:szCs w:val="18"/>
              </w:rPr>
            </w:pPr>
            <w:r w:rsidRPr="00BD16B4">
              <w:rPr>
                <w:rFonts w:cs="Calibri"/>
                <w:szCs w:val="18"/>
              </w:rPr>
              <w:t>34,445.83</w:t>
            </w:r>
          </w:p>
        </w:tc>
        <w:tc>
          <w:tcPr>
            <w:tcW w:w="1021" w:type="dxa"/>
          </w:tcPr>
          <w:p w14:paraId="1C3ED183" w14:textId="77777777" w:rsidR="00ED2EBD" w:rsidRPr="00BD16B4" w:rsidRDefault="00ED2EBD" w:rsidP="004A205F">
            <w:pPr>
              <w:pStyle w:val="TableText"/>
              <w:spacing w:before="40"/>
              <w:jc w:val="right"/>
              <w:rPr>
                <w:rFonts w:cs="Calibri"/>
                <w:szCs w:val="18"/>
              </w:rPr>
            </w:pPr>
            <w:r w:rsidRPr="00BD16B4">
              <w:rPr>
                <w:rFonts w:cs="Calibri"/>
                <w:szCs w:val="18"/>
              </w:rPr>
              <w:t>34,510.42</w:t>
            </w:r>
          </w:p>
        </w:tc>
        <w:tc>
          <w:tcPr>
            <w:tcW w:w="1021" w:type="dxa"/>
          </w:tcPr>
          <w:p w14:paraId="30F84896" w14:textId="77777777" w:rsidR="00ED2EBD" w:rsidRPr="00BD16B4" w:rsidRDefault="00ED2EBD" w:rsidP="004A205F">
            <w:pPr>
              <w:pStyle w:val="TableText"/>
              <w:spacing w:before="40"/>
              <w:jc w:val="right"/>
              <w:rPr>
                <w:rFonts w:cs="Calibri"/>
                <w:szCs w:val="18"/>
              </w:rPr>
            </w:pPr>
            <w:r w:rsidRPr="00BD16B4">
              <w:rPr>
                <w:rFonts w:cs="Calibri"/>
                <w:szCs w:val="18"/>
              </w:rPr>
              <w:t>34,272.94</w:t>
            </w:r>
          </w:p>
        </w:tc>
      </w:tr>
      <w:tr w:rsidR="00ED2EBD" w:rsidRPr="00BD16B4" w14:paraId="615AEB29" w14:textId="77777777" w:rsidTr="004A205F">
        <w:tc>
          <w:tcPr>
            <w:tcW w:w="1929" w:type="dxa"/>
          </w:tcPr>
          <w:p w14:paraId="2B23F5B6" w14:textId="77777777" w:rsidR="00ED2EBD" w:rsidRPr="00BD16B4" w:rsidRDefault="00ED2EBD" w:rsidP="004A205F">
            <w:pPr>
              <w:pStyle w:val="TableText"/>
              <w:spacing w:before="40"/>
              <w:rPr>
                <w:rFonts w:cs="Calibri"/>
                <w:szCs w:val="18"/>
              </w:rPr>
            </w:pPr>
            <w:r w:rsidRPr="00BD16B4">
              <w:rPr>
                <w:rFonts w:cs="Calibri"/>
                <w:szCs w:val="18"/>
              </w:rPr>
              <w:t>CH</w:t>
            </w:r>
            <w:r w:rsidRPr="00BD16B4">
              <w:rPr>
                <w:rFonts w:cs="Calibri"/>
                <w:color w:val="000000"/>
                <w:szCs w:val="18"/>
                <w:vertAlign w:val="subscript"/>
              </w:rPr>
              <w:t>4</w:t>
            </w:r>
            <w:r w:rsidRPr="00BD16B4">
              <w:rPr>
                <w:rFonts w:cs="Calibri"/>
                <w:color w:val="000000"/>
                <w:szCs w:val="18"/>
              </w:rPr>
              <w:t xml:space="preserve"> emissions with CH</w:t>
            </w:r>
            <w:r w:rsidRPr="00BD16B4">
              <w:rPr>
                <w:rFonts w:cs="Calibri"/>
                <w:color w:val="000000"/>
                <w:szCs w:val="18"/>
                <w:vertAlign w:val="subscript"/>
              </w:rPr>
              <w:t>4</w:t>
            </w:r>
            <w:r w:rsidRPr="00BD16B4">
              <w:rPr>
                <w:rFonts w:cs="Calibri"/>
                <w:color w:val="000000"/>
                <w:szCs w:val="18"/>
              </w:rPr>
              <w:t xml:space="preserve"> from LULUCF</w:t>
            </w:r>
          </w:p>
        </w:tc>
        <w:tc>
          <w:tcPr>
            <w:tcW w:w="1026" w:type="dxa"/>
          </w:tcPr>
          <w:p w14:paraId="1D960F93" w14:textId="77777777" w:rsidR="00ED2EBD" w:rsidRPr="00BD16B4" w:rsidRDefault="00ED2EBD" w:rsidP="004A205F">
            <w:pPr>
              <w:pStyle w:val="TableText"/>
              <w:spacing w:before="40"/>
              <w:jc w:val="right"/>
              <w:rPr>
                <w:rFonts w:cs="Calibri"/>
                <w:szCs w:val="18"/>
              </w:rPr>
            </w:pPr>
            <w:r w:rsidRPr="00BD16B4">
              <w:rPr>
                <w:rFonts w:cs="Calibri"/>
                <w:szCs w:val="18"/>
              </w:rPr>
              <w:t>34,856.74</w:t>
            </w:r>
          </w:p>
        </w:tc>
        <w:tc>
          <w:tcPr>
            <w:tcW w:w="1025" w:type="dxa"/>
          </w:tcPr>
          <w:p w14:paraId="20E046AE" w14:textId="77777777" w:rsidR="00ED2EBD" w:rsidRPr="00BD16B4" w:rsidRDefault="00ED2EBD" w:rsidP="004A205F">
            <w:pPr>
              <w:pStyle w:val="TableText"/>
              <w:spacing w:before="40"/>
              <w:jc w:val="right"/>
              <w:rPr>
                <w:rFonts w:cs="Calibri"/>
                <w:szCs w:val="18"/>
              </w:rPr>
            </w:pPr>
            <w:r w:rsidRPr="00BD16B4">
              <w:rPr>
                <w:rFonts w:cs="Calibri"/>
                <w:szCs w:val="18"/>
              </w:rPr>
              <w:t>34,997.35</w:t>
            </w:r>
          </w:p>
        </w:tc>
        <w:tc>
          <w:tcPr>
            <w:tcW w:w="1025" w:type="dxa"/>
          </w:tcPr>
          <w:p w14:paraId="5704579A" w14:textId="77777777" w:rsidR="00ED2EBD" w:rsidRPr="00BD16B4" w:rsidRDefault="00ED2EBD" w:rsidP="004A205F">
            <w:pPr>
              <w:pStyle w:val="TableText"/>
              <w:spacing w:before="40"/>
              <w:jc w:val="right"/>
              <w:rPr>
                <w:rFonts w:cs="Calibri"/>
                <w:szCs w:val="18"/>
              </w:rPr>
            </w:pPr>
            <w:r w:rsidRPr="00BD16B4">
              <w:rPr>
                <w:rFonts w:cs="Calibri"/>
                <w:szCs w:val="18"/>
              </w:rPr>
              <w:t>35,314.42</w:t>
            </w:r>
          </w:p>
        </w:tc>
        <w:tc>
          <w:tcPr>
            <w:tcW w:w="1048" w:type="dxa"/>
          </w:tcPr>
          <w:p w14:paraId="5CA19958" w14:textId="77777777" w:rsidR="00ED2EBD" w:rsidRPr="00BD16B4" w:rsidRDefault="00ED2EBD" w:rsidP="004A205F">
            <w:pPr>
              <w:pStyle w:val="TableText"/>
              <w:spacing w:before="40"/>
              <w:jc w:val="right"/>
              <w:rPr>
                <w:rFonts w:cs="Calibri"/>
                <w:szCs w:val="18"/>
              </w:rPr>
            </w:pPr>
            <w:r w:rsidRPr="00BD16B4">
              <w:rPr>
                <w:rFonts w:cs="Calibri"/>
                <w:szCs w:val="18"/>
              </w:rPr>
              <w:t>35,262.48</w:t>
            </w:r>
          </w:p>
        </w:tc>
        <w:tc>
          <w:tcPr>
            <w:tcW w:w="1021" w:type="dxa"/>
          </w:tcPr>
          <w:p w14:paraId="3E849C1C" w14:textId="77777777" w:rsidR="00ED2EBD" w:rsidRPr="00BD16B4" w:rsidRDefault="00ED2EBD" w:rsidP="004A205F">
            <w:pPr>
              <w:pStyle w:val="TableText"/>
              <w:spacing w:before="40"/>
              <w:jc w:val="right"/>
              <w:rPr>
                <w:rFonts w:cs="Calibri"/>
                <w:szCs w:val="18"/>
              </w:rPr>
            </w:pPr>
            <w:r w:rsidRPr="00BD16B4">
              <w:rPr>
                <w:rFonts w:cs="Calibri"/>
                <w:szCs w:val="18"/>
              </w:rPr>
              <w:t>35,554.94</w:t>
            </w:r>
          </w:p>
        </w:tc>
        <w:tc>
          <w:tcPr>
            <w:tcW w:w="1021" w:type="dxa"/>
          </w:tcPr>
          <w:p w14:paraId="0065C188" w14:textId="77777777" w:rsidR="00ED2EBD" w:rsidRPr="00BD16B4" w:rsidRDefault="00ED2EBD" w:rsidP="004A205F">
            <w:pPr>
              <w:pStyle w:val="TableText"/>
              <w:spacing w:before="40"/>
              <w:jc w:val="right"/>
              <w:rPr>
                <w:rFonts w:cs="Calibri"/>
                <w:szCs w:val="18"/>
              </w:rPr>
            </w:pPr>
            <w:r w:rsidRPr="00BD16B4">
              <w:rPr>
                <w:rFonts w:cs="Calibri"/>
                <w:szCs w:val="18"/>
              </w:rPr>
              <w:t>35,066.39</w:t>
            </w:r>
          </w:p>
        </w:tc>
        <w:tc>
          <w:tcPr>
            <w:tcW w:w="1021" w:type="dxa"/>
          </w:tcPr>
          <w:p w14:paraId="5ABE2C56" w14:textId="77777777" w:rsidR="00ED2EBD" w:rsidRPr="00BD16B4" w:rsidRDefault="00ED2EBD" w:rsidP="004A205F">
            <w:pPr>
              <w:pStyle w:val="TableText"/>
              <w:spacing w:before="40"/>
              <w:jc w:val="right"/>
              <w:rPr>
                <w:rFonts w:cs="Calibri"/>
                <w:szCs w:val="18"/>
              </w:rPr>
            </w:pPr>
            <w:r w:rsidRPr="00BD16B4">
              <w:rPr>
                <w:rFonts w:cs="Calibri"/>
                <w:szCs w:val="18"/>
              </w:rPr>
              <w:t>34,646.16</w:t>
            </w:r>
          </w:p>
        </w:tc>
        <w:tc>
          <w:tcPr>
            <w:tcW w:w="1021" w:type="dxa"/>
          </w:tcPr>
          <w:p w14:paraId="4CB7C658" w14:textId="77777777" w:rsidR="00ED2EBD" w:rsidRPr="00BD16B4" w:rsidRDefault="00ED2EBD" w:rsidP="004A205F">
            <w:pPr>
              <w:pStyle w:val="TableText"/>
              <w:spacing w:before="40"/>
              <w:jc w:val="right"/>
              <w:rPr>
                <w:rFonts w:cs="Calibri"/>
                <w:szCs w:val="18"/>
              </w:rPr>
            </w:pPr>
            <w:r w:rsidRPr="00BD16B4">
              <w:rPr>
                <w:rFonts w:cs="Calibri"/>
                <w:szCs w:val="18"/>
              </w:rPr>
              <w:t>34,507.58</w:t>
            </w:r>
          </w:p>
        </w:tc>
        <w:tc>
          <w:tcPr>
            <w:tcW w:w="1021" w:type="dxa"/>
          </w:tcPr>
          <w:p w14:paraId="414103CC" w14:textId="77777777" w:rsidR="00ED2EBD" w:rsidRPr="00BD16B4" w:rsidRDefault="00ED2EBD" w:rsidP="004A205F">
            <w:pPr>
              <w:pStyle w:val="TableText"/>
              <w:spacing w:before="40"/>
              <w:jc w:val="right"/>
              <w:rPr>
                <w:rFonts w:cs="Calibri"/>
                <w:szCs w:val="18"/>
              </w:rPr>
            </w:pPr>
            <w:r w:rsidRPr="00BD16B4">
              <w:rPr>
                <w:rFonts w:cs="Calibri"/>
                <w:szCs w:val="18"/>
              </w:rPr>
              <w:t>34,512.51</w:t>
            </w:r>
          </w:p>
        </w:tc>
        <w:tc>
          <w:tcPr>
            <w:tcW w:w="1021" w:type="dxa"/>
          </w:tcPr>
          <w:p w14:paraId="763B7D2D" w14:textId="77777777" w:rsidR="00ED2EBD" w:rsidRPr="00BD16B4" w:rsidRDefault="00ED2EBD" w:rsidP="004A205F">
            <w:pPr>
              <w:pStyle w:val="TableText"/>
              <w:spacing w:before="40"/>
              <w:jc w:val="right"/>
              <w:rPr>
                <w:rFonts w:cs="Calibri"/>
                <w:szCs w:val="18"/>
              </w:rPr>
            </w:pPr>
            <w:r w:rsidRPr="00BD16B4">
              <w:rPr>
                <w:rFonts w:cs="Calibri"/>
                <w:szCs w:val="18"/>
              </w:rPr>
              <w:t>34,594.17</w:t>
            </w:r>
          </w:p>
        </w:tc>
        <w:tc>
          <w:tcPr>
            <w:tcW w:w="1021" w:type="dxa"/>
          </w:tcPr>
          <w:p w14:paraId="633E1FE8" w14:textId="77777777" w:rsidR="00ED2EBD" w:rsidRPr="00BD16B4" w:rsidRDefault="00ED2EBD" w:rsidP="004A205F">
            <w:pPr>
              <w:pStyle w:val="TableText"/>
              <w:spacing w:before="40"/>
              <w:jc w:val="right"/>
              <w:rPr>
                <w:rFonts w:cs="Calibri"/>
                <w:szCs w:val="18"/>
              </w:rPr>
            </w:pPr>
            <w:r w:rsidRPr="00BD16B4">
              <w:rPr>
                <w:rFonts w:cs="Calibri"/>
                <w:szCs w:val="18"/>
              </w:rPr>
              <w:t>34,354.60</w:t>
            </w:r>
          </w:p>
        </w:tc>
      </w:tr>
      <w:tr w:rsidR="00ED2EBD" w:rsidRPr="00BD16B4" w14:paraId="08D603C4" w14:textId="77777777" w:rsidTr="004A205F">
        <w:tc>
          <w:tcPr>
            <w:tcW w:w="1929" w:type="dxa"/>
          </w:tcPr>
          <w:p w14:paraId="77FC629A" w14:textId="77777777" w:rsidR="00ED2EBD" w:rsidRPr="00BD16B4" w:rsidRDefault="00ED2EBD" w:rsidP="001778BD">
            <w:pPr>
              <w:pStyle w:val="TableText"/>
              <w:keepNext/>
              <w:spacing w:before="40"/>
              <w:rPr>
                <w:rFonts w:cs="Calibri"/>
                <w:szCs w:val="18"/>
              </w:rPr>
            </w:pPr>
            <w:r w:rsidRPr="00BD16B4">
              <w:rPr>
                <w:rFonts w:cs="Calibri"/>
                <w:szCs w:val="18"/>
              </w:rPr>
              <w:lastRenderedPageBreak/>
              <w:t>N</w:t>
            </w:r>
            <w:r w:rsidRPr="00BD16B4">
              <w:rPr>
                <w:rFonts w:cs="Calibri"/>
                <w:color w:val="000000"/>
                <w:szCs w:val="18"/>
                <w:vertAlign w:val="subscript"/>
              </w:rPr>
              <w:t>2</w:t>
            </w:r>
            <w:r w:rsidRPr="00BD16B4">
              <w:rPr>
                <w:rFonts w:cs="Calibri"/>
                <w:color w:val="000000"/>
                <w:szCs w:val="18"/>
              </w:rPr>
              <w:t>O emissions without N</w:t>
            </w:r>
            <w:r w:rsidRPr="00BD16B4">
              <w:rPr>
                <w:rFonts w:cs="Calibri"/>
                <w:color w:val="000000"/>
                <w:szCs w:val="18"/>
                <w:vertAlign w:val="subscript"/>
              </w:rPr>
              <w:t>2</w:t>
            </w:r>
            <w:r w:rsidRPr="00BD16B4">
              <w:rPr>
                <w:rFonts w:cs="Calibri"/>
                <w:color w:val="000000"/>
                <w:szCs w:val="18"/>
              </w:rPr>
              <w:t>O from LULUCF</w:t>
            </w:r>
          </w:p>
        </w:tc>
        <w:tc>
          <w:tcPr>
            <w:tcW w:w="1026" w:type="dxa"/>
          </w:tcPr>
          <w:p w14:paraId="285F9E90" w14:textId="77777777" w:rsidR="00ED2EBD" w:rsidRPr="00BD16B4" w:rsidRDefault="00ED2EBD" w:rsidP="004A205F">
            <w:pPr>
              <w:pStyle w:val="TableText"/>
              <w:spacing w:before="40"/>
              <w:jc w:val="right"/>
              <w:rPr>
                <w:rFonts w:cs="Calibri"/>
                <w:szCs w:val="18"/>
              </w:rPr>
            </w:pPr>
            <w:r w:rsidRPr="00BD16B4">
              <w:rPr>
                <w:rFonts w:cs="Calibri"/>
                <w:szCs w:val="18"/>
              </w:rPr>
              <w:t>7,679.68</w:t>
            </w:r>
          </w:p>
        </w:tc>
        <w:tc>
          <w:tcPr>
            <w:tcW w:w="1025" w:type="dxa"/>
          </w:tcPr>
          <w:p w14:paraId="7752D473" w14:textId="77777777" w:rsidR="00ED2EBD" w:rsidRPr="00BD16B4" w:rsidRDefault="00ED2EBD" w:rsidP="004A205F">
            <w:pPr>
              <w:pStyle w:val="TableText"/>
              <w:spacing w:before="40"/>
              <w:jc w:val="right"/>
              <w:rPr>
                <w:rFonts w:cs="Calibri"/>
                <w:szCs w:val="18"/>
              </w:rPr>
            </w:pPr>
            <w:r w:rsidRPr="00BD16B4">
              <w:rPr>
                <w:rFonts w:cs="Calibri"/>
                <w:szCs w:val="18"/>
              </w:rPr>
              <w:t>7,859.78</w:t>
            </w:r>
          </w:p>
        </w:tc>
        <w:tc>
          <w:tcPr>
            <w:tcW w:w="1025" w:type="dxa"/>
          </w:tcPr>
          <w:p w14:paraId="3FAD2D53" w14:textId="77777777" w:rsidR="00ED2EBD" w:rsidRPr="00BD16B4" w:rsidRDefault="00ED2EBD" w:rsidP="004A205F">
            <w:pPr>
              <w:pStyle w:val="TableText"/>
              <w:spacing w:before="40"/>
              <w:jc w:val="right"/>
              <w:rPr>
                <w:rFonts w:cs="Calibri"/>
                <w:szCs w:val="18"/>
              </w:rPr>
            </w:pPr>
            <w:r w:rsidRPr="00BD16B4">
              <w:rPr>
                <w:rFonts w:cs="Calibri"/>
                <w:szCs w:val="18"/>
              </w:rPr>
              <w:t>7,968.75</w:t>
            </w:r>
          </w:p>
        </w:tc>
        <w:tc>
          <w:tcPr>
            <w:tcW w:w="1048" w:type="dxa"/>
          </w:tcPr>
          <w:p w14:paraId="71B09234" w14:textId="77777777" w:rsidR="00ED2EBD" w:rsidRPr="00BD16B4" w:rsidRDefault="00ED2EBD" w:rsidP="004A205F">
            <w:pPr>
              <w:pStyle w:val="TableText"/>
              <w:spacing w:before="40"/>
              <w:jc w:val="right"/>
              <w:rPr>
                <w:rFonts w:cs="Calibri"/>
                <w:szCs w:val="18"/>
              </w:rPr>
            </w:pPr>
            <w:r w:rsidRPr="00BD16B4">
              <w:rPr>
                <w:rFonts w:cs="Calibri"/>
                <w:szCs w:val="18"/>
              </w:rPr>
              <w:t>8,000.41</w:t>
            </w:r>
          </w:p>
        </w:tc>
        <w:tc>
          <w:tcPr>
            <w:tcW w:w="1021" w:type="dxa"/>
          </w:tcPr>
          <w:p w14:paraId="1DE5D8EB" w14:textId="77777777" w:rsidR="00ED2EBD" w:rsidRPr="00BD16B4" w:rsidRDefault="00ED2EBD" w:rsidP="004A205F">
            <w:pPr>
              <w:pStyle w:val="TableText"/>
              <w:spacing w:before="40"/>
              <w:jc w:val="right"/>
              <w:rPr>
                <w:rFonts w:cs="Calibri"/>
                <w:szCs w:val="18"/>
              </w:rPr>
            </w:pPr>
            <w:r w:rsidRPr="00BD16B4">
              <w:rPr>
                <w:rFonts w:cs="Calibri"/>
                <w:szCs w:val="18"/>
              </w:rPr>
              <w:t>8,267.30</w:t>
            </w:r>
          </w:p>
        </w:tc>
        <w:tc>
          <w:tcPr>
            <w:tcW w:w="1021" w:type="dxa"/>
          </w:tcPr>
          <w:p w14:paraId="15BF64F3" w14:textId="77777777" w:rsidR="00ED2EBD" w:rsidRPr="00BD16B4" w:rsidRDefault="00ED2EBD" w:rsidP="004A205F">
            <w:pPr>
              <w:pStyle w:val="TableText"/>
              <w:spacing w:before="40"/>
              <w:jc w:val="right"/>
              <w:rPr>
                <w:rFonts w:cs="Calibri"/>
                <w:szCs w:val="18"/>
              </w:rPr>
            </w:pPr>
            <w:r w:rsidRPr="00BD16B4">
              <w:rPr>
                <w:rFonts w:cs="Calibri"/>
                <w:szCs w:val="18"/>
              </w:rPr>
              <w:t>8,186.65</w:t>
            </w:r>
          </w:p>
        </w:tc>
        <w:tc>
          <w:tcPr>
            <w:tcW w:w="1021" w:type="dxa"/>
          </w:tcPr>
          <w:p w14:paraId="6A906CE1" w14:textId="77777777" w:rsidR="00ED2EBD" w:rsidRPr="00BD16B4" w:rsidRDefault="00ED2EBD" w:rsidP="004A205F">
            <w:pPr>
              <w:pStyle w:val="TableText"/>
              <w:spacing w:before="40"/>
              <w:jc w:val="right"/>
              <w:rPr>
                <w:rFonts w:cs="Calibri"/>
                <w:szCs w:val="18"/>
              </w:rPr>
            </w:pPr>
            <w:r w:rsidRPr="00BD16B4">
              <w:rPr>
                <w:rFonts w:cs="Calibri"/>
                <w:szCs w:val="18"/>
              </w:rPr>
              <w:t>8,214.77</w:t>
            </w:r>
          </w:p>
        </w:tc>
        <w:tc>
          <w:tcPr>
            <w:tcW w:w="1021" w:type="dxa"/>
          </w:tcPr>
          <w:p w14:paraId="41ADF331" w14:textId="77777777" w:rsidR="00ED2EBD" w:rsidRPr="00BD16B4" w:rsidRDefault="00ED2EBD" w:rsidP="004A205F">
            <w:pPr>
              <w:pStyle w:val="TableText"/>
              <w:spacing w:before="40"/>
              <w:jc w:val="right"/>
              <w:rPr>
                <w:rFonts w:cs="Calibri"/>
                <w:szCs w:val="18"/>
              </w:rPr>
            </w:pPr>
            <w:r w:rsidRPr="00BD16B4">
              <w:rPr>
                <w:rFonts w:cs="Calibri"/>
                <w:szCs w:val="18"/>
              </w:rPr>
              <w:t>8,244.40</w:t>
            </w:r>
          </w:p>
        </w:tc>
        <w:tc>
          <w:tcPr>
            <w:tcW w:w="1021" w:type="dxa"/>
          </w:tcPr>
          <w:p w14:paraId="49577784" w14:textId="77777777" w:rsidR="00ED2EBD" w:rsidRPr="00BD16B4" w:rsidRDefault="00ED2EBD" w:rsidP="004A205F">
            <w:pPr>
              <w:pStyle w:val="TableText"/>
              <w:spacing w:before="40"/>
              <w:jc w:val="right"/>
              <w:rPr>
                <w:rFonts w:cs="Calibri"/>
                <w:szCs w:val="18"/>
              </w:rPr>
            </w:pPr>
            <w:r w:rsidRPr="00BD16B4">
              <w:rPr>
                <w:rFonts w:cs="Calibri"/>
                <w:szCs w:val="18"/>
              </w:rPr>
              <w:t>8,363.08</w:t>
            </w:r>
          </w:p>
        </w:tc>
        <w:tc>
          <w:tcPr>
            <w:tcW w:w="1021" w:type="dxa"/>
          </w:tcPr>
          <w:p w14:paraId="3B90DF31" w14:textId="77777777" w:rsidR="00ED2EBD" w:rsidRPr="00BD16B4" w:rsidRDefault="00ED2EBD" w:rsidP="004A205F">
            <w:pPr>
              <w:pStyle w:val="TableText"/>
              <w:spacing w:before="40"/>
              <w:jc w:val="right"/>
              <w:rPr>
                <w:rFonts w:cs="Calibri"/>
                <w:szCs w:val="18"/>
              </w:rPr>
            </w:pPr>
            <w:r w:rsidRPr="00BD16B4">
              <w:rPr>
                <w:rFonts w:cs="Calibri"/>
                <w:szCs w:val="18"/>
              </w:rPr>
              <w:t>8,399.49</w:t>
            </w:r>
          </w:p>
        </w:tc>
        <w:tc>
          <w:tcPr>
            <w:tcW w:w="1021" w:type="dxa"/>
          </w:tcPr>
          <w:p w14:paraId="3FCF2548" w14:textId="77777777" w:rsidR="00ED2EBD" w:rsidRPr="00BD16B4" w:rsidRDefault="00ED2EBD" w:rsidP="004A205F">
            <w:pPr>
              <w:pStyle w:val="TableText"/>
              <w:spacing w:before="40"/>
              <w:jc w:val="right"/>
              <w:rPr>
                <w:rFonts w:cs="Calibri"/>
                <w:szCs w:val="18"/>
              </w:rPr>
            </w:pPr>
            <w:r w:rsidRPr="00BD16B4">
              <w:rPr>
                <w:rFonts w:cs="Calibri"/>
                <w:szCs w:val="18"/>
              </w:rPr>
              <w:t>8,463.78</w:t>
            </w:r>
          </w:p>
        </w:tc>
      </w:tr>
      <w:tr w:rsidR="00ED2EBD" w:rsidRPr="00BD16B4" w14:paraId="3EDEAE27" w14:textId="77777777" w:rsidTr="004A205F">
        <w:tc>
          <w:tcPr>
            <w:tcW w:w="1929" w:type="dxa"/>
          </w:tcPr>
          <w:p w14:paraId="155B2A0E" w14:textId="77777777" w:rsidR="00ED2EBD" w:rsidRPr="00BD16B4" w:rsidRDefault="00ED2EBD" w:rsidP="004A205F">
            <w:pPr>
              <w:pStyle w:val="TableText"/>
              <w:spacing w:before="40"/>
              <w:rPr>
                <w:rFonts w:cs="Calibri"/>
                <w:szCs w:val="18"/>
              </w:rPr>
            </w:pPr>
            <w:r w:rsidRPr="00BD16B4">
              <w:rPr>
                <w:rFonts w:cs="Calibri"/>
                <w:szCs w:val="18"/>
              </w:rPr>
              <w:t>N</w:t>
            </w:r>
            <w:r w:rsidRPr="00BD16B4">
              <w:rPr>
                <w:rFonts w:cs="Calibri"/>
                <w:color w:val="000000"/>
                <w:szCs w:val="18"/>
                <w:vertAlign w:val="subscript"/>
              </w:rPr>
              <w:t>2</w:t>
            </w:r>
            <w:r w:rsidRPr="00BD16B4">
              <w:rPr>
                <w:rFonts w:cs="Calibri"/>
                <w:color w:val="000000"/>
                <w:szCs w:val="18"/>
              </w:rPr>
              <w:t>O emissions with N</w:t>
            </w:r>
            <w:r w:rsidRPr="00BD16B4">
              <w:rPr>
                <w:rFonts w:cs="Calibri"/>
                <w:color w:val="000000"/>
                <w:szCs w:val="18"/>
                <w:vertAlign w:val="subscript"/>
              </w:rPr>
              <w:t>2</w:t>
            </w:r>
            <w:r w:rsidRPr="00BD16B4">
              <w:rPr>
                <w:rFonts w:cs="Calibri"/>
                <w:color w:val="000000"/>
                <w:szCs w:val="18"/>
              </w:rPr>
              <w:t>O from LULUCF</w:t>
            </w:r>
          </w:p>
        </w:tc>
        <w:tc>
          <w:tcPr>
            <w:tcW w:w="1026" w:type="dxa"/>
          </w:tcPr>
          <w:p w14:paraId="6569293C" w14:textId="77777777" w:rsidR="00ED2EBD" w:rsidRPr="00BD16B4" w:rsidRDefault="00ED2EBD" w:rsidP="004A205F">
            <w:pPr>
              <w:pStyle w:val="TableText"/>
              <w:spacing w:before="40"/>
              <w:jc w:val="right"/>
              <w:rPr>
                <w:rFonts w:cs="Calibri"/>
                <w:szCs w:val="18"/>
              </w:rPr>
            </w:pPr>
            <w:r w:rsidRPr="00BD16B4">
              <w:rPr>
                <w:rFonts w:cs="Calibri"/>
                <w:szCs w:val="18"/>
              </w:rPr>
              <w:t>8,036.12</w:t>
            </w:r>
          </w:p>
        </w:tc>
        <w:tc>
          <w:tcPr>
            <w:tcW w:w="1025" w:type="dxa"/>
          </w:tcPr>
          <w:p w14:paraId="0E5FCDF3" w14:textId="77777777" w:rsidR="00ED2EBD" w:rsidRPr="00BD16B4" w:rsidRDefault="00ED2EBD" w:rsidP="004A205F">
            <w:pPr>
              <w:pStyle w:val="TableText"/>
              <w:spacing w:before="40"/>
              <w:jc w:val="right"/>
              <w:rPr>
                <w:rFonts w:cs="Calibri"/>
                <w:szCs w:val="18"/>
              </w:rPr>
            </w:pPr>
            <w:r w:rsidRPr="00BD16B4">
              <w:rPr>
                <w:rFonts w:cs="Calibri"/>
                <w:szCs w:val="18"/>
              </w:rPr>
              <w:t>8,211.11</w:t>
            </w:r>
          </w:p>
        </w:tc>
        <w:tc>
          <w:tcPr>
            <w:tcW w:w="1025" w:type="dxa"/>
          </w:tcPr>
          <w:p w14:paraId="0C6C8D04" w14:textId="77777777" w:rsidR="00ED2EBD" w:rsidRPr="00BD16B4" w:rsidRDefault="00ED2EBD" w:rsidP="004A205F">
            <w:pPr>
              <w:pStyle w:val="TableText"/>
              <w:spacing w:before="40"/>
              <w:jc w:val="right"/>
              <w:rPr>
                <w:rFonts w:cs="Calibri"/>
                <w:szCs w:val="18"/>
              </w:rPr>
            </w:pPr>
            <w:r w:rsidRPr="00BD16B4">
              <w:rPr>
                <w:rFonts w:cs="Calibri"/>
                <w:szCs w:val="18"/>
              </w:rPr>
              <w:t>8,318.08</w:t>
            </w:r>
          </w:p>
        </w:tc>
        <w:tc>
          <w:tcPr>
            <w:tcW w:w="1048" w:type="dxa"/>
          </w:tcPr>
          <w:p w14:paraId="3B6A8C99" w14:textId="77777777" w:rsidR="00ED2EBD" w:rsidRPr="00BD16B4" w:rsidRDefault="00ED2EBD" w:rsidP="004A205F">
            <w:pPr>
              <w:pStyle w:val="TableText"/>
              <w:spacing w:before="40"/>
              <w:jc w:val="right"/>
              <w:rPr>
                <w:rFonts w:cs="Calibri"/>
                <w:szCs w:val="18"/>
              </w:rPr>
            </w:pPr>
            <w:r w:rsidRPr="00BD16B4">
              <w:rPr>
                <w:rFonts w:cs="Calibri"/>
                <w:szCs w:val="18"/>
              </w:rPr>
              <w:t>8,336.69</w:t>
            </w:r>
          </w:p>
        </w:tc>
        <w:tc>
          <w:tcPr>
            <w:tcW w:w="1021" w:type="dxa"/>
          </w:tcPr>
          <w:p w14:paraId="01A0A1A0" w14:textId="77777777" w:rsidR="00ED2EBD" w:rsidRPr="00BD16B4" w:rsidRDefault="00ED2EBD" w:rsidP="004A205F">
            <w:pPr>
              <w:pStyle w:val="TableText"/>
              <w:spacing w:before="40"/>
              <w:jc w:val="right"/>
              <w:rPr>
                <w:rFonts w:cs="Calibri"/>
                <w:szCs w:val="18"/>
              </w:rPr>
            </w:pPr>
            <w:r w:rsidRPr="00BD16B4">
              <w:rPr>
                <w:rFonts w:cs="Calibri"/>
                <w:szCs w:val="18"/>
              </w:rPr>
              <w:t>8,577.65</w:t>
            </w:r>
          </w:p>
        </w:tc>
        <w:tc>
          <w:tcPr>
            <w:tcW w:w="1021" w:type="dxa"/>
          </w:tcPr>
          <w:p w14:paraId="0A653B03" w14:textId="77777777" w:rsidR="00ED2EBD" w:rsidRPr="00BD16B4" w:rsidRDefault="00ED2EBD" w:rsidP="004A205F">
            <w:pPr>
              <w:pStyle w:val="TableText"/>
              <w:spacing w:before="40"/>
              <w:jc w:val="right"/>
              <w:rPr>
                <w:rFonts w:cs="Calibri"/>
                <w:szCs w:val="18"/>
              </w:rPr>
            </w:pPr>
            <w:r w:rsidRPr="00BD16B4">
              <w:rPr>
                <w:rFonts w:cs="Calibri"/>
                <w:szCs w:val="18"/>
              </w:rPr>
              <w:t>8,485.51</w:t>
            </w:r>
          </w:p>
        </w:tc>
        <w:tc>
          <w:tcPr>
            <w:tcW w:w="1021" w:type="dxa"/>
          </w:tcPr>
          <w:p w14:paraId="6895AB4B" w14:textId="77777777" w:rsidR="00ED2EBD" w:rsidRPr="00BD16B4" w:rsidRDefault="00ED2EBD" w:rsidP="004A205F">
            <w:pPr>
              <w:pStyle w:val="TableText"/>
              <w:spacing w:before="40"/>
              <w:jc w:val="right"/>
              <w:rPr>
                <w:rFonts w:cs="Calibri"/>
                <w:szCs w:val="18"/>
              </w:rPr>
            </w:pPr>
            <w:r w:rsidRPr="00BD16B4">
              <w:rPr>
                <w:rFonts w:cs="Calibri"/>
                <w:szCs w:val="18"/>
              </w:rPr>
              <w:t>8,495.85</w:t>
            </w:r>
          </w:p>
        </w:tc>
        <w:tc>
          <w:tcPr>
            <w:tcW w:w="1021" w:type="dxa"/>
          </w:tcPr>
          <w:p w14:paraId="50D95358" w14:textId="77777777" w:rsidR="00ED2EBD" w:rsidRPr="00BD16B4" w:rsidRDefault="00ED2EBD" w:rsidP="004A205F">
            <w:pPr>
              <w:pStyle w:val="TableText"/>
              <w:spacing w:before="40"/>
              <w:jc w:val="right"/>
              <w:rPr>
                <w:rFonts w:cs="Calibri"/>
                <w:szCs w:val="18"/>
              </w:rPr>
            </w:pPr>
            <w:r w:rsidRPr="00BD16B4">
              <w:rPr>
                <w:rFonts w:cs="Calibri"/>
                <w:szCs w:val="18"/>
              </w:rPr>
              <w:t>8,501.19</w:t>
            </w:r>
          </w:p>
        </w:tc>
        <w:tc>
          <w:tcPr>
            <w:tcW w:w="1021" w:type="dxa"/>
          </w:tcPr>
          <w:p w14:paraId="3C5F3920" w14:textId="77777777" w:rsidR="00ED2EBD" w:rsidRPr="00BD16B4" w:rsidRDefault="00ED2EBD" w:rsidP="004A205F">
            <w:pPr>
              <w:pStyle w:val="TableText"/>
              <w:spacing w:before="40"/>
              <w:jc w:val="right"/>
              <w:rPr>
                <w:rFonts w:cs="Calibri"/>
                <w:szCs w:val="18"/>
              </w:rPr>
            </w:pPr>
            <w:r w:rsidRPr="00BD16B4">
              <w:rPr>
                <w:rFonts w:cs="Calibri"/>
                <w:szCs w:val="18"/>
              </w:rPr>
              <w:t>8,607.59</w:t>
            </w:r>
          </w:p>
        </w:tc>
        <w:tc>
          <w:tcPr>
            <w:tcW w:w="1021" w:type="dxa"/>
          </w:tcPr>
          <w:p w14:paraId="2C1F5884" w14:textId="77777777" w:rsidR="00ED2EBD" w:rsidRPr="00BD16B4" w:rsidRDefault="00ED2EBD" w:rsidP="004A205F">
            <w:pPr>
              <w:pStyle w:val="TableText"/>
              <w:spacing w:before="40"/>
              <w:jc w:val="right"/>
              <w:rPr>
                <w:rFonts w:cs="Calibri"/>
                <w:szCs w:val="18"/>
              </w:rPr>
            </w:pPr>
            <w:r w:rsidRPr="00BD16B4">
              <w:rPr>
                <w:rFonts w:cs="Calibri"/>
                <w:szCs w:val="18"/>
              </w:rPr>
              <w:t>8,665.57</w:t>
            </w:r>
          </w:p>
        </w:tc>
        <w:tc>
          <w:tcPr>
            <w:tcW w:w="1021" w:type="dxa"/>
          </w:tcPr>
          <w:p w14:paraId="49939C44" w14:textId="77777777" w:rsidR="00ED2EBD" w:rsidRPr="00BD16B4" w:rsidRDefault="00ED2EBD" w:rsidP="004A205F">
            <w:pPr>
              <w:pStyle w:val="TableText"/>
              <w:spacing w:before="40"/>
              <w:jc w:val="right"/>
              <w:rPr>
                <w:rFonts w:cs="Calibri"/>
                <w:szCs w:val="18"/>
              </w:rPr>
            </w:pPr>
            <w:r w:rsidRPr="00BD16B4">
              <w:rPr>
                <w:rFonts w:cs="Calibri"/>
                <w:szCs w:val="18"/>
              </w:rPr>
              <w:t>8,735.10</w:t>
            </w:r>
          </w:p>
        </w:tc>
      </w:tr>
      <w:tr w:rsidR="00ED2EBD" w:rsidRPr="00BD16B4" w14:paraId="53B36443" w14:textId="77777777" w:rsidTr="004A205F">
        <w:tc>
          <w:tcPr>
            <w:tcW w:w="1929" w:type="dxa"/>
          </w:tcPr>
          <w:p w14:paraId="7FCBD2A6" w14:textId="77777777" w:rsidR="00ED2EBD" w:rsidRPr="00BD16B4" w:rsidRDefault="00ED2EBD" w:rsidP="004A205F">
            <w:pPr>
              <w:pStyle w:val="TableText"/>
              <w:spacing w:before="40"/>
              <w:rPr>
                <w:rFonts w:cs="Calibri"/>
                <w:szCs w:val="18"/>
              </w:rPr>
            </w:pPr>
            <w:r w:rsidRPr="00BD16B4">
              <w:rPr>
                <w:rFonts w:cs="Calibri"/>
                <w:szCs w:val="18"/>
              </w:rPr>
              <w:t>HFCs</w:t>
            </w:r>
          </w:p>
        </w:tc>
        <w:tc>
          <w:tcPr>
            <w:tcW w:w="1026" w:type="dxa"/>
          </w:tcPr>
          <w:p w14:paraId="495D2B42" w14:textId="77777777" w:rsidR="00ED2EBD" w:rsidRPr="00BD16B4" w:rsidRDefault="00ED2EBD" w:rsidP="004A205F">
            <w:pPr>
              <w:pStyle w:val="TableText"/>
              <w:spacing w:before="40"/>
              <w:jc w:val="right"/>
              <w:rPr>
                <w:rFonts w:cs="Calibri"/>
                <w:szCs w:val="18"/>
              </w:rPr>
            </w:pPr>
            <w:r w:rsidRPr="00BD16B4">
              <w:rPr>
                <w:rFonts w:cs="Calibri"/>
                <w:szCs w:val="18"/>
              </w:rPr>
              <w:t>1,100.81</w:t>
            </w:r>
          </w:p>
        </w:tc>
        <w:tc>
          <w:tcPr>
            <w:tcW w:w="1025" w:type="dxa"/>
          </w:tcPr>
          <w:p w14:paraId="16514DAF" w14:textId="77777777" w:rsidR="00ED2EBD" w:rsidRPr="00BD16B4" w:rsidRDefault="00ED2EBD" w:rsidP="004A205F">
            <w:pPr>
              <w:pStyle w:val="TableText"/>
              <w:spacing w:before="40"/>
              <w:jc w:val="right"/>
              <w:rPr>
                <w:rFonts w:cs="Calibri"/>
                <w:szCs w:val="18"/>
              </w:rPr>
            </w:pPr>
            <w:r w:rsidRPr="00BD16B4">
              <w:rPr>
                <w:rFonts w:cs="Calibri"/>
                <w:szCs w:val="18"/>
              </w:rPr>
              <w:t>1,177.84</w:t>
            </w:r>
          </w:p>
        </w:tc>
        <w:tc>
          <w:tcPr>
            <w:tcW w:w="1025" w:type="dxa"/>
          </w:tcPr>
          <w:p w14:paraId="481DE9B9" w14:textId="77777777" w:rsidR="00ED2EBD" w:rsidRPr="00BD16B4" w:rsidRDefault="00ED2EBD" w:rsidP="004A205F">
            <w:pPr>
              <w:pStyle w:val="TableText"/>
              <w:spacing w:before="40"/>
              <w:jc w:val="right"/>
              <w:rPr>
                <w:rFonts w:cs="Calibri"/>
                <w:szCs w:val="18"/>
              </w:rPr>
            </w:pPr>
            <w:r w:rsidRPr="00BD16B4">
              <w:rPr>
                <w:rFonts w:cs="Calibri"/>
                <w:szCs w:val="18"/>
              </w:rPr>
              <w:t>1,262.35</w:t>
            </w:r>
          </w:p>
        </w:tc>
        <w:tc>
          <w:tcPr>
            <w:tcW w:w="1048" w:type="dxa"/>
          </w:tcPr>
          <w:p w14:paraId="3E9C2C0F" w14:textId="77777777" w:rsidR="00ED2EBD" w:rsidRPr="00BD16B4" w:rsidRDefault="00ED2EBD" w:rsidP="004A205F">
            <w:pPr>
              <w:pStyle w:val="TableText"/>
              <w:spacing w:before="40"/>
              <w:jc w:val="right"/>
              <w:rPr>
                <w:rFonts w:cs="Calibri"/>
                <w:szCs w:val="18"/>
              </w:rPr>
            </w:pPr>
            <w:r w:rsidRPr="00BD16B4">
              <w:rPr>
                <w:rFonts w:cs="Calibri"/>
                <w:szCs w:val="18"/>
              </w:rPr>
              <w:t>1,311.05</w:t>
            </w:r>
          </w:p>
        </w:tc>
        <w:tc>
          <w:tcPr>
            <w:tcW w:w="1021" w:type="dxa"/>
          </w:tcPr>
          <w:p w14:paraId="08530ABA" w14:textId="77777777" w:rsidR="00ED2EBD" w:rsidRPr="00BD16B4" w:rsidRDefault="00ED2EBD" w:rsidP="004A205F">
            <w:pPr>
              <w:pStyle w:val="TableText"/>
              <w:spacing w:before="40"/>
              <w:jc w:val="right"/>
              <w:rPr>
                <w:rFonts w:cs="Calibri"/>
                <w:szCs w:val="18"/>
              </w:rPr>
            </w:pPr>
            <w:r w:rsidRPr="00BD16B4">
              <w:rPr>
                <w:rFonts w:cs="Calibri"/>
                <w:szCs w:val="18"/>
              </w:rPr>
              <w:t>1,335.79</w:t>
            </w:r>
          </w:p>
        </w:tc>
        <w:tc>
          <w:tcPr>
            <w:tcW w:w="1021" w:type="dxa"/>
          </w:tcPr>
          <w:p w14:paraId="74CF3BC9" w14:textId="77777777" w:rsidR="00ED2EBD" w:rsidRPr="00BD16B4" w:rsidRDefault="00ED2EBD" w:rsidP="004A205F">
            <w:pPr>
              <w:pStyle w:val="TableText"/>
              <w:spacing w:before="40"/>
              <w:jc w:val="right"/>
              <w:rPr>
                <w:rFonts w:cs="Calibri"/>
                <w:szCs w:val="18"/>
              </w:rPr>
            </w:pPr>
            <w:r w:rsidRPr="00BD16B4">
              <w:rPr>
                <w:rFonts w:cs="Calibri"/>
                <w:szCs w:val="18"/>
              </w:rPr>
              <w:t>1,386.17</w:t>
            </w:r>
          </w:p>
        </w:tc>
        <w:tc>
          <w:tcPr>
            <w:tcW w:w="1021" w:type="dxa"/>
          </w:tcPr>
          <w:p w14:paraId="4D359364" w14:textId="77777777" w:rsidR="00ED2EBD" w:rsidRPr="00BD16B4" w:rsidRDefault="00ED2EBD" w:rsidP="004A205F">
            <w:pPr>
              <w:pStyle w:val="TableText"/>
              <w:spacing w:before="40"/>
              <w:jc w:val="right"/>
              <w:rPr>
                <w:rFonts w:cs="Calibri"/>
                <w:szCs w:val="18"/>
              </w:rPr>
            </w:pPr>
            <w:r w:rsidRPr="00BD16B4">
              <w:rPr>
                <w:rFonts w:cs="Calibri"/>
                <w:szCs w:val="18"/>
              </w:rPr>
              <w:t>1,419.55</w:t>
            </w:r>
          </w:p>
        </w:tc>
        <w:tc>
          <w:tcPr>
            <w:tcW w:w="1021" w:type="dxa"/>
          </w:tcPr>
          <w:p w14:paraId="1B644975" w14:textId="77777777" w:rsidR="00ED2EBD" w:rsidRPr="00BD16B4" w:rsidRDefault="00ED2EBD" w:rsidP="004A205F">
            <w:pPr>
              <w:pStyle w:val="TableText"/>
              <w:spacing w:before="40"/>
              <w:jc w:val="right"/>
              <w:rPr>
                <w:rFonts w:cs="Calibri"/>
                <w:szCs w:val="18"/>
              </w:rPr>
            </w:pPr>
            <w:r w:rsidRPr="00BD16B4">
              <w:rPr>
                <w:rFonts w:cs="Calibri"/>
                <w:szCs w:val="18"/>
              </w:rPr>
              <w:t>1,465.97</w:t>
            </w:r>
          </w:p>
        </w:tc>
        <w:tc>
          <w:tcPr>
            <w:tcW w:w="1021" w:type="dxa"/>
          </w:tcPr>
          <w:p w14:paraId="7162D715" w14:textId="77777777" w:rsidR="00ED2EBD" w:rsidRPr="00BD16B4" w:rsidRDefault="00ED2EBD" w:rsidP="004A205F">
            <w:pPr>
              <w:pStyle w:val="TableText"/>
              <w:spacing w:before="40"/>
              <w:jc w:val="right"/>
              <w:rPr>
                <w:rFonts w:cs="Calibri"/>
                <w:szCs w:val="18"/>
              </w:rPr>
            </w:pPr>
            <w:r w:rsidRPr="00BD16B4">
              <w:rPr>
                <w:rFonts w:cs="Calibri"/>
                <w:szCs w:val="18"/>
              </w:rPr>
              <w:t>1,479.03</w:t>
            </w:r>
          </w:p>
        </w:tc>
        <w:tc>
          <w:tcPr>
            <w:tcW w:w="1021" w:type="dxa"/>
          </w:tcPr>
          <w:p w14:paraId="77E228B4" w14:textId="77777777" w:rsidR="00ED2EBD" w:rsidRPr="00BD16B4" w:rsidRDefault="00ED2EBD" w:rsidP="004A205F">
            <w:pPr>
              <w:pStyle w:val="TableText"/>
              <w:spacing w:before="40"/>
              <w:jc w:val="right"/>
              <w:rPr>
                <w:rFonts w:cs="Calibri"/>
                <w:szCs w:val="18"/>
              </w:rPr>
            </w:pPr>
            <w:r w:rsidRPr="00BD16B4">
              <w:rPr>
                <w:rFonts w:cs="Calibri"/>
                <w:szCs w:val="18"/>
              </w:rPr>
              <w:t>1,481.00</w:t>
            </w:r>
          </w:p>
        </w:tc>
        <w:tc>
          <w:tcPr>
            <w:tcW w:w="1021" w:type="dxa"/>
          </w:tcPr>
          <w:p w14:paraId="3A4066C5" w14:textId="77777777" w:rsidR="00ED2EBD" w:rsidRPr="00BD16B4" w:rsidRDefault="00ED2EBD" w:rsidP="004A205F">
            <w:pPr>
              <w:pStyle w:val="TableText"/>
              <w:spacing w:before="40"/>
              <w:jc w:val="right"/>
              <w:rPr>
                <w:rFonts w:cs="Calibri"/>
                <w:szCs w:val="18"/>
              </w:rPr>
            </w:pPr>
            <w:r w:rsidRPr="00BD16B4">
              <w:rPr>
                <w:rFonts w:cs="Calibri"/>
                <w:szCs w:val="18"/>
              </w:rPr>
              <w:t>1,480.29</w:t>
            </w:r>
          </w:p>
        </w:tc>
      </w:tr>
      <w:tr w:rsidR="00ED2EBD" w:rsidRPr="00BD16B4" w14:paraId="7125D3C5" w14:textId="77777777" w:rsidTr="004A205F">
        <w:tc>
          <w:tcPr>
            <w:tcW w:w="1929" w:type="dxa"/>
          </w:tcPr>
          <w:p w14:paraId="241A503C" w14:textId="77777777" w:rsidR="00ED2EBD" w:rsidRPr="00BD16B4" w:rsidRDefault="00ED2EBD" w:rsidP="004A205F">
            <w:pPr>
              <w:pStyle w:val="TableText"/>
              <w:spacing w:before="40"/>
              <w:rPr>
                <w:rFonts w:cs="Calibri"/>
                <w:szCs w:val="18"/>
              </w:rPr>
            </w:pPr>
            <w:r w:rsidRPr="00BD16B4">
              <w:rPr>
                <w:rFonts w:cs="Calibri"/>
                <w:szCs w:val="18"/>
              </w:rPr>
              <w:t>PFCs</w:t>
            </w:r>
          </w:p>
        </w:tc>
        <w:tc>
          <w:tcPr>
            <w:tcW w:w="1026" w:type="dxa"/>
          </w:tcPr>
          <w:p w14:paraId="2084C4DF" w14:textId="77777777" w:rsidR="00ED2EBD" w:rsidRPr="00BD16B4" w:rsidRDefault="00ED2EBD" w:rsidP="004A205F">
            <w:pPr>
              <w:pStyle w:val="TableText"/>
              <w:spacing w:before="40"/>
              <w:jc w:val="right"/>
              <w:rPr>
                <w:rFonts w:cs="Calibri"/>
                <w:szCs w:val="18"/>
              </w:rPr>
            </w:pPr>
            <w:r w:rsidRPr="00BD16B4">
              <w:rPr>
                <w:rFonts w:cs="Calibri"/>
                <w:szCs w:val="18"/>
              </w:rPr>
              <w:t>47.56</w:t>
            </w:r>
          </w:p>
        </w:tc>
        <w:tc>
          <w:tcPr>
            <w:tcW w:w="1025" w:type="dxa"/>
          </w:tcPr>
          <w:p w14:paraId="208165E5" w14:textId="77777777" w:rsidR="00ED2EBD" w:rsidRPr="00BD16B4" w:rsidRDefault="00ED2EBD" w:rsidP="004A205F">
            <w:pPr>
              <w:pStyle w:val="TableText"/>
              <w:spacing w:before="40"/>
              <w:jc w:val="right"/>
              <w:rPr>
                <w:rFonts w:cs="Calibri"/>
                <w:szCs w:val="18"/>
              </w:rPr>
            </w:pPr>
            <w:r w:rsidRPr="00BD16B4">
              <w:rPr>
                <w:rFonts w:cs="Calibri"/>
                <w:szCs w:val="18"/>
              </w:rPr>
              <w:t>35.15</w:t>
            </w:r>
          </w:p>
        </w:tc>
        <w:tc>
          <w:tcPr>
            <w:tcW w:w="1025" w:type="dxa"/>
          </w:tcPr>
          <w:p w14:paraId="1F2ED597" w14:textId="77777777" w:rsidR="00ED2EBD" w:rsidRPr="00BD16B4" w:rsidRDefault="00ED2EBD" w:rsidP="004A205F">
            <w:pPr>
              <w:pStyle w:val="TableText"/>
              <w:spacing w:before="40"/>
              <w:jc w:val="right"/>
              <w:rPr>
                <w:rFonts w:cs="Calibri"/>
                <w:szCs w:val="18"/>
              </w:rPr>
            </w:pPr>
            <w:r w:rsidRPr="00BD16B4">
              <w:rPr>
                <w:rFonts w:cs="Calibri"/>
                <w:szCs w:val="18"/>
              </w:rPr>
              <w:t>47.46</w:t>
            </w:r>
          </w:p>
        </w:tc>
        <w:tc>
          <w:tcPr>
            <w:tcW w:w="1048" w:type="dxa"/>
          </w:tcPr>
          <w:p w14:paraId="62C4BBB3" w14:textId="77777777" w:rsidR="00ED2EBD" w:rsidRPr="00BD16B4" w:rsidRDefault="00ED2EBD" w:rsidP="004A205F">
            <w:pPr>
              <w:pStyle w:val="TableText"/>
              <w:spacing w:before="40"/>
              <w:jc w:val="right"/>
              <w:rPr>
                <w:rFonts w:cs="Calibri"/>
                <w:szCs w:val="18"/>
              </w:rPr>
            </w:pPr>
            <w:r w:rsidRPr="00BD16B4">
              <w:rPr>
                <w:rFonts w:cs="Calibri"/>
                <w:szCs w:val="18"/>
              </w:rPr>
              <w:t>48.13</w:t>
            </w:r>
          </w:p>
        </w:tc>
        <w:tc>
          <w:tcPr>
            <w:tcW w:w="1021" w:type="dxa"/>
          </w:tcPr>
          <w:p w14:paraId="3061A48F" w14:textId="77777777" w:rsidR="00ED2EBD" w:rsidRPr="00BD16B4" w:rsidRDefault="00ED2EBD" w:rsidP="004A205F">
            <w:pPr>
              <w:pStyle w:val="TableText"/>
              <w:spacing w:before="40"/>
              <w:jc w:val="right"/>
              <w:rPr>
                <w:rFonts w:cs="Calibri"/>
                <w:szCs w:val="18"/>
              </w:rPr>
            </w:pPr>
            <w:r w:rsidRPr="00BD16B4">
              <w:rPr>
                <w:rFonts w:cs="Calibri"/>
                <w:szCs w:val="18"/>
              </w:rPr>
              <w:t>73.41</w:t>
            </w:r>
          </w:p>
        </w:tc>
        <w:tc>
          <w:tcPr>
            <w:tcW w:w="1021" w:type="dxa"/>
          </w:tcPr>
          <w:p w14:paraId="2CF2D652" w14:textId="77777777" w:rsidR="00ED2EBD" w:rsidRPr="00BD16B4" w:rsidRDefault="00ED2EBD" w:rsidP="004A205F">
            <w:pPr>
              <w:pStyle w:val="TableText"/>
              <w:spacing w:before="40"/>
              <w:jc w:val="right"/>
              <w:rPr>
                <w:rFonts w:cs="Calibri"/>
                <w:szCs w:val="18"/>
              </w:rPr>
            </w:pPr>
            <w:r w:rsidRPr="00BD16B4">
              <w:rPr>
                <w:rFonts w:cs="Calibri"/>
                <w:szCs w:val="18"/>
              </w:rPr>
              <w:t>58.59</w:t>
            </w:r>
          </w:p>
        </w:tc>
        <w:tc>
          <w:tcPr>
            <w:tcW w:w="1021" w:type="dxa"/>
          </w:tcPr>
          <w:p w14:paraId="7B14CF7E" w14:textId="77777777" w:rsidR="00ED2EBD" w:rsidRPr="00BD16B4" w:rsidRDefault="00ED2EBD" w:rsidP="004A205F">
            <w:pPr>
              <w:pStyle w:val="TableText"/>
              <w:spacing w:before="40"/>
              <w:jc w:val="right"/>
              <w:rPr>
                <w:rFonts w:cs="Calibri"/>
                <w:szCs w:val="18"/>
              </w:rPr>
            </w:pPr>
            <w:r w:rsidRPr="00BD16B4">
              <w:rPr>
                <w:rFonts w:cs="Calibri"/>
                <w:szCs w:val="18"/>
              </w:rPr>
              <w:t>48.69</w:t>
            </w:r>
          </w:p>
        </w:tc>
        <w:tc>
          <w:tcPr>
            <w:tcW w:w="1021" w:type="dxa"/>
          </w:tcPr>
          <w:p w14:paraId="68690E74" w14:textId="77777777" w:rsidR="00ED2EBD" w:rsidRPr="00BD16B4" w:rsidRDefault="00ED2EBD" w:rsidP="004A205F">
            <w:pPr>
              <w:pStyle w:val="TableText"/>
              <w:spacing w:before="40"/>
              <w:jc w:val="right"/>
              <w:rPr>
                <w:rFonts w:cs="Calibri"/>
                <w:szCs w:val="18"/>
              </w:rPr>
            </w:pPr>
            <w:r w:rsidRPr="00BD16B4">
              <w:rPr>
                <w:rFonts w:cs="Calibri"/>
                <w:szCs w:val="18"/>
              </w:rPr>
              <w:t>60.46</w:t>
            </w:r>
          </w:p>
        </w:tc>
        <w:tc>
          <w:tcPr>
            <w:tcW w:w="1021" w:type="dxa"/>
          </w:tcPr>
          <w:p w14:paraId="215C77BF" w14:textId="77777777" w:rsidR="00ED2EBD" w:rsidRPr="00BD16B4" w:rsidRDefault="00ED2EBD" w:rsidP="004A205F">
            <w:pPr>
              <w:pStyle w:val="TableText"/>
              <w:spacing w:before="40"/>
              <w:jc w:val="right"/>
              <w:rPr>
                <w:rFonts w:cs="Calibri"/>
                <w:szCs w:val="18"/>
              </w:rPr>
            </w:pPr>
            <w:r w:rsidRPr="00BD16B4">
              <w:rPr>
                <w:rFonts w:cs="Calibri"/>
                <w:szCs w:val="18"/>
              </w:rPr>
              <w:t>72.40</w:t>
            </w:r>
          </w:p>
        </w:tc>
        <w:tc>
          <w:tcPr>
            <w:tcW w:w="1021" w:type="dxa"/>
          </w:tcPr>
          <w:p w14:paraId="736A9AAC" w14:textId="77777777" w:rsidR="00ED2EBD" w:rsidRPr="00BD16B4" w:rsidRDefault="00ED2EBD" w:rsidP="004A205F">
            <w:pPr>
              <w:pStyle w:val="TableText"/>
              <w:spacing w:before="40"/>
              <w:jc w:val="right"/>
              <w:rPr>
                <w:rFonts w:cs="Calibri"/>
                <w:szCs w:val="18"/>
              </w:rPr>
            </w:pPr>
            <w:r w:rsidRPr="00BD16B4">
              <w:rPr>
                <w:rFonts w:cs="Calibri"/>
                <w:szCs w:val="18"/>
              </w:rPr>
              <w:t>89.13</w:t>
            </w:r>
          </w:p>
        </w:tc>
        <w:tc>
          <w:tcPr>
            <w:tcW w:w="1021" w:type="dxa"/>
          </w:tcPr>
          <w:p w14:paraId="5BBCB2D7" w14:textId="77777777" w:rsidR="00ED2EBD" w:rsidRPr="00BD16B4" w:rsidRDefault="00ED2EBD" w:rsidP="004A205F">
            <w:pPr>
              <w:pStyle w:val="TableText"/>
              <w:spacing w:before="40"/>
              <w:jc w:val="right"/>
              <w:rPr>
                <w:rFonts w:cs="Calibri"/>
                <w:szCs w:val="18"/>
              </w:rPr>
            </w:pPr>
            <w:r w:rsidRPr="00BD16B4">
              <w:rPr>
                <w:rFonts w:cs="Calibri"/>
                <w:szCs w:val="18"/>
              </w:rPr>
              <w:t>87.92</w:t>
            </w:r>
          </w:p>
        </w:tc>
      </w:tr>
      <w:tr w:rsidR="00ED2EBD" w:rsidRPr="00BD16B4" w14:paraId="60B704B2" w14:textId="77777777" w:rsidTr="004A205F">
        <w:tc>
          <w:tcPr>
            <w:tcW w:w="1929" w:type="dxa"/>
          </w:tcPr>
          <w:p w14:paraId="533A1B76" w14:textId="77777777" w:rsidR="00ED2EBD" w:rsidRPr="00BD16B4" w:rsidRDefault="00ED2EBD" w:rsidP="004A205F">
            <w:pPr>
              <w:pStyle w:val="TableText"/>
              <w:spacing w:before="40"/>
              <w:rPr>
                <w:rFonts w:cs="Calibri"/>
                <w:szCs w:val="18"/>
              </w:rPr>
            </w:pPr>
            <w:r w:rsidRPr="00BD16B4">
              <w:rPr>
                <w:rFonts w:cs="Calibri"/>
                <w:szCs w:val="18"/>
              </w:rPr>
              <w:t>Unspecified mix of HFCs and PFCs</w:t>
            </w:r>
          </w:p>
        </w:tc>
        <w:tc>
          <w:tcPr>
            <w:tcW w:w="1026" w:type="dxa"/>
          </w:tcPr>
          <w:p w14:paraId="773C511C"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5" w:type="dxa"/>
          </w:tcPr>
          <w:p w14:paraId="600097CE"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5" w:type="dxa"/>
          </w:tcPr>
          <w:p w14:paraId="11CCA4C3"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48" w:type="dxa"/>
          </w:tcPr>
          <w:p w14:paraId="72D98808"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1" w:type="dxa"/>
          </w:tcPr>
          <w:p w14:paraId="1E4487C8"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1" w:type="dxa"/>
          </w:tcPr>
          <w:p w14:paraId="4619B449"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1" w:type="dxa"/>
          </w:tcPr>
          <w:p w14:paraId="632629F0"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1" w:type="dxa"/>
          </w:tcPr>
          <w:p w14:paraId="4A23B8B9"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1" w:type="dxa"/>
          </w:tcPr>
          <w:p w14:paraId="5772778F"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1" w:type="dxa"/>
          </w:tcPr>
          <w:p w14:paraId="5D61876F"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1" w:type="dxa"/>
          </w:tcPr>
          <w:p w14:paraId="0195890A" w14:textId="77777777" w:rsidR="00ED2EBD" w:rsidRPr="00BD16B4" w:rsidRDefault="00ED2EBD" w:rsidP="004A205F">
            <w:pPr>
              <w:pStyle w:val="TableText"/>
              <w:spacing w:before="40"/>
              <w:jc w:val="right"/>
              <w:rPr>
                <w:rFonts w:cs="Calibri"/>
                <w:szCs w:val="18"/>
              </w:rPr>
            </w:pPr>
            <w:r w:rsidRPr="00BD16B4">
              <w:rPr>
                <w:rFonts w:cs="Calibri"/>
                <w:szCs w:val="18"/>
              </w:rPr>
              <w:t>NO, NA</w:t>
            </w:r>
          </w:p>
        </w:tc>
      </w:tr>
      <w:tr w:rsidR="00ED2EBD" w:rsidRPr="00BD16B4" w14:paraId="7D59D5FF" w14:textId="77777777" w:rsidTr="004A205F">
        <w:tc>
          <w:tcPr>
            <w:tcW w:w="1929" w:type="dxa"/>
          </w:tcPr>
          <w:p w14:paraId="683C061E" w14:textId="77777777" w:rsidR="00ED2EBD" w:rsidRPr="00BD16B4" w:rsidRDefault="00ED2EBD" w:rsidP="004A205F">
            <w:pPr>
              <w:pStyle w:val="TableText"/>
              <w:spacing w:before="40"/>
              <w:rPr>
                <w:rFonts w:cs="Calibri"/>
                <w:szCs w:val="18"/>
              </w:rPr>
            </w:pPr>
            <w:r w:rsidRPr="00BD16B4">
              <w:rPr>
                <w:rFonts w:cs="Calibri"/>
                <w:szCs w:val="18"/>
              </w:rPr>
              <w:t>SF</w:t>
            </w:r>
            <w:r w:rsidRPr="00BD16B4">
              <w:rPr>
                <w:rFonts w:cs="Calibri"/>
                <w:color w:val="000000"/>
                <w:szCs w:val="18"/>
                <w:vertAlign w:val="subscript"/>
              </w:rPr>
              <w:t>6</w:t>
            </w:r>
          </w:p>
        </w:tc>
        <w:tc>
          <w:tcPr>
            <w:tcW w:w="1026" w:type="dxa"/>
          </w:tcPr>
          <w:p w14:paraId="61C38FF4" w14:textId="77777777" w:rsidR="00ED2EBD" w:rsidRPr="00BD16B4" w:rsidRDefault="00ED2EBD" w:rsidP="004A205F">
            <w:pPr>
              <w:pStyle w:val="TableText"/>
              <w:spacing w:before="40"/>
              <w:jc w:val="right"/>
              <w:rPr>
                <w:rFonts w:cs="Calibri"/>
                <w:szCs w:val="18"/>
              </w:rPr>
            </w:pPr>
            <w:r w:rsidRPr="00BD16B4">
              <w:rPr>
                <w:rFonts w:cs="Calibri"/>
                <w:szCs w:val="18"/>
              </w:rPr>
              <w:t>22.84</w:t>
            </w:r>
          </w:p>
        </w:tc>
        <w:tc>
          <w:tcPr>
            <w:tcW w:w="1025" w:type="dxa"/>
          </w:tcPr>
          <w:p w14:paraId="2676626D" w14:textId="77777777" w:rsidR="00ED2EBD" w:rsidRPr="00BD16B4" w:rsidRDefault="00ED2EBD" w:rsidP="004A205F">
            <w:pPr>
              <w:pStyle w:val="TableText"/>
              <w:spacing w:before="40"/>
              <w:jc w:val="right"/>
              <w:rPr>
                <w:rFonts w:cs="Calibri"/>
                <w:szCs w:val="18"/>
              </w:rPr>
            </w:pPr>
            <w:r w:rsidRPr="00BD16B4">
              <w:rPr>
                <w:rFonts w:cs="Calibri"/>
                <w:szCs w:val="18"/>
              </w:rPr>
              <w:t>18.94</w:t>
            </w:r>
          </w:p>
        </w:tc>
        <w:tc>
          <w:tcPr>
            <w:tcW w:w="1025" w:type="dxa"/>
          </w:tcPr>
          <w:p w14:paraId="26AAC0D2" w14:textId="77777777" w:rsidR="00ED2EBD" w:rsidRPr="00BD16B4" w:rsidRDefault="00ED2EBD" w:rsidP="004A205F">
            <w:pPr>
              <w:pStyle w:val="TableText"/>
              <w:spacing w:before="40"/>
              <w:jc w:val="right"/>
              <w:rPr>
                <w:rFonts w:cs="Calibri"/>
                <w:szCs w:val="18"/>
              </w:rPr>
            </w:pPr>
            <w:r w:rsidRPr="00BD16B4">
              <w:rPr>
                <w:rFonts w:cs="Calibri"/>
                <w:szCs w:val="18"/>
              </w:rPr>
              <w:t>20.90</w:t>
            </w:r>
          </w:p>
        </w:tc>
        <w:tc>
          <w:tcPr>
            <w:tcW w:w="1048" w:type="dxa"/>
          </w:tcPr>
          <w:p w14:paraId="7FB40E3A" w14:textId="77777777" w:rsidR="00ED2EBD" w:rsidRPr="00BD16B4" w:rsidRDefault="00ED2EBD" w:rsidP="004A205F">
            <w:pPr>
              <w:pStyle w:val="TableText"/>
              <w:spacing w:before="40"/>
              <w:jc w:val="right"/>
              <w:rPr>
                <w:rFonts w:cs="Calibri"/>
                <w:szCs w:val="18"/>
              </w:rPr>
            </w:pPr>
            <w:r w:rsidRPr="00BD16B4">
              <w:rPr>
                <w:rFonts w:cs="Calibri"/>
                <w:szCs w:val="18"/>
              </w:rPr>
              <w:t>18.18</w:t>
            </w:r>
          </w:p>
        </w:tc>
        <w:tc>
          <w:tcPr>
            <w:tcW w:w="1021" w:type="dxa"/>
          </w:tcPr>
          <w:p w14:paraId="3992D463" w14:textId="77777777" w:rsidR="00ED2EBD" w:rsidRPr="00BD16B4" w:rsidRDefault="00ED2EBD" w:rsidP="004A205F">
            <w:pPr>
              <w:pStyle w:val="TableText"/>
              <w:spacing w:before="40"/>
              <w:jc w:val="right"/>
              <w:rPr>
                <w:rFonts w:cs="Calibri"/>
                <w:szCs w:val="18"/>
              </w:rPr>
            </w:pPr>
            <w:r w:rsidRPr="00BD16B4">
              <w:rPr>
                <w:rFonts w:cs="Calibri"/>
                <w:szCs w:val="18"/>
              </w:rPr>
              <w:t>16.80</w:t>
            </w:r>
          </w:p>
        </w:tc>
        <w:tc>
          <w:tcPr>
            <w:tcW w:w="1021" w:type="dxa"/>
          </w:tcPr>
          <w:p w14:paraId="50EAA39E" w14:textId="77777777" w:rsidR="00ED2EBD" w:rsidRPr="00BD16B4" w:rsidRDefault="00ED2EBD" w:rsidP="004A205F">
            <w:pPr>
              <w:pStyle w:val="TableText"/>
              <w:spacing w:before="40"/>
              <w:jc w:val="right"/>
              <w:rPr>
                <w:rFonts w:cs="Calibri"/>
                <w:szCs w:val="18"/>
              </w:rPr>
            </w:pPr>
            <w:r w:rsidRPr="00BD16B4">
              <w:rPr>
                <w:rFonts w:cs="Calibri"/>
                <w:szCs w:val="18"/>
              </w:rPr>
              <w:t>16.46</w:t>
            </w:r>
          </w:p>
        </w:tc>
        <w:tc>
          <w:tcPr>
            <w:tcW w:w="1021" w:type="dxa"/>
          </w:tcPr>
          <w:p w14:paraId="5493D371" w14:textId="77777777" w:rsidR="00ED2EBD" w:rsidRPr="00BD16B4" w:rsidRDefault="00ED2EBD" w:rsidP="004A205F">
            <w:pPr>
              <w:pStyle w:val="TableText"/>
              <w:spacing w:before="40"/>
              <w:jc w:val="right"/>
              <w:rPr>
                <w:rFonts w:cs="Calibri"/>
                <w:szCs w:val="18"/>
              </w:rPr>
            </w:pPr>
            <w:r w:rsidRPr="00BD16B4">
              <w:rPr>
                <w:rFonts w:cs="Calibri"/>
                <w:szCs w:val="18"/>
              </w:rPr>
              <w:t>17.36</w:t>
            </w:r>
          </w:p>
        </w:tc>
        <w:tc>
          <w:tcPr>
            <w:tcW w:w="1021" w:type="dxa"/>
          </w:tcPr>
          <w:p w14:paraId="4623773C" w14:textId="77777777" w:rsidR="00ED2EBD" w:rsidRPr="00BD16B4" w:rsidRDefault="00ED2EBD" w:rsidP="004A205F">
            <w:pPr>
              <w:pStyle w:val="TableText"/>
              <w:spacing w:before="40"/>
              <w:jc w:val="right"/>
              <w:rPr>
                <w:rFonts w:cs="Calibri"/>
                <w:szCs w:val="18"/>
              </w:rPr>
            </w:pPr>
            <w:r w:rsidRPr="00BD16B4">
              <w:rPr>
                <w:rFonts w:cs="Calibri"/>
                <w:szCs w:val="18"/>
              </w:rPr>
              <w:t>14.79</w:t>
            </w:r>
          </w:p>
        </w:tc>
        <w:tc>
          <w:tcPr>
            <w:tcW w:w="1021" w:type="dxa"/>
          </w:tcPr>
          <w:p w14:paraId="59A202D3" w14:textId="77777777" w:rsidR="00ED2EBD" w:rsidRPr="00BD16B4" w:rsidRDefault="00ED2EBD" w:rsidP="004A205F">
            <w:pPr>
              <w:pStyle w:val="TableText"/>
              <w:spacing w:before="40"/>
              <w:jc w:val="right"/>
              <w:rPr>
                <w:rFonts w:cs="Calibri"/>
                <w:szCs w:val="18"/>
              </w:rPr>
            </w:pPr>
            <w:r w:rsidRPr="00BD16B4">
              <w:rPr>
                <w:rFonts w:cs="Calibri"/>
                <w:szCs w:val="18"/>
              </w:rPr>
              <w:t>14.71</w:t>
            </w:r>
          </w:p>
        </w:tc>
        <w:tc>
          <w:tcPr>
            <w:tcW w:w="1021" w:type="dxa"/>
          </w:tcPr>
          <w:p w14:paraId="3753442D" w14:textId="77777777" w:rsidR="00ED2EBD" w:rsidRPr="00BD16B4" w:rsidRDefault="00ED2EBD" w:rsidP="004A205F">
            <w:pPr>
              <w:pStyle w:val="TableText"/>
              <w:spacing w:before="40"/>
              <w:jc w:val="right"/>
              <w:rPr>
                <w:rFonts w:cs="Calibri"/>
                <w:szCs w:val="18"/>
              </w:rPr>
            </w:pPr>
            <w:r w:rsidRPr="00BD16B4">
              <w:rPr>
                <w:rFonts w:cs="Calibri"/>
                <w:szCs w:val="18"/>
              </w:rPr>
              <w:t>15.98</w:t>
            </w:r>
          </w:p>
        </w:tc>
        <w:tc>
          <w:tcPr>
            <w:tcW w:w="1021" w:type="dxa"/>
          </w:tcPr>
          <w:p w14:paraId="106B3EED" w14:textId="77777777" w:rsidR="00ED2EBD" w:rsidRPr="00BD16B4" w:rsidRDefault="00ED2EBD" w:rsidP="004A205F">
            <w:pPr>
              <w:pStyle w:val="TableText"/>
              <w:spacing w:before="40"/>
              <w:jc w:val="right"/>
              <w:rPr>
                <w:rFonts w:cs="Calibri"/>
                <w:szCs w:val="18"/>
              </w:rPr>
            </w:pPr>
            <w:r w:rsidRPr="00BD16B4">
              <w:rPr>
                <w:rFonts w:cs="Calibri"/>
                <w:szCs w:val="18"/>
              </w:rPr>
              <w:t>16.69</w:t>
            </w:r>
          </w:p>
        </w:tc>
      </w:tr>
      <w:tr w:rsidR="00ED2EBD" w:rsidRPr="00BD16B4" w14:paraId="5B448AD8" w14:textId="77777777" w:rsidTr="004A205F">
        <w:tc>
          <w:tcPr>
            <w:tcW w:w="1929" w:type="dxa"/>
          </w:tcPr>
          <w:p w14:paraId="7A7397E9" w14:textId="77777777" w:rsidR="00ED2EBD" w:rsidRPr="00BD16B4" w:rsidRDefault="00ED2EBD" w:rsidP="004A205F">
            <w:pPr>
              <w:pStyle w:val="TableText"/>
              <w:spacing w:before="40"/>
              <w:rPr>
                <w:rFonts w:cs="Calibri"/>
                <w:szCs w:val="18"/>
              </w:rPr>
            </w:pPr>
            <w:r w:rsidRPr="00BD16B4">
              <w:rPr>
                <w:rFonts w:cs="Calibri"/>
                <w:szCs w:val="18"/>
              </w:rPr>
              <w:t>NF</w:t>
            </w:r>
            <w:r w:rsidRPr="00BD16B4">
              <w:rPr>
                <w:rFonts w:cs="Calibri"/>
                <w:szCs w:val="18"/>
                <w:vertAlign w:val="subscript"/>
              </w:rPr>
              <w:t>3</w:t>
            </w:r>
          </w:p>
        </w:tc>
        <w:tc>
          <w:tcPr>
            <w:tcW w:w="1026" w:type="dxa"/>
          </w:tcPr>
          <w:p w14:paraId="3F97C4A6"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5" w:type="dxa"/>
          </w:tcPr>
          <w:p w14:paraId="3C5FE9A6"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5" w:type="dxa"/>
          </w:tcPr>
          <w:p w14:paraId="46935ADF"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48" w:type="dxa"/>
          </w:tcPr>
          <w:p w14:paraId="1E12077D"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1" w:type="dxa"/>
          </w:tcPr>
          <w:p w14:paraId="34B5FE28"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1" w:type="dxa"/>
          </w:tcPr>
          <w:p w14:paraId="44E423C4"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1" w:type="dxa"/>
          </w:tcPr>
          <w:p w14:paraId="7F3CEADE"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1" w:type="dxa"/>
          </w:tcPr>
          <w:p w14:paraId="5F0B5097"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1" w:type="dxa"/>
          </w:tcPr>
          <w:p w14:paraId="501F9A21"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1" w:type="dxa"/>
          </w:tcPr>
          <w:p w14:paraId="6768C5B1" w14:textId="77777777" w:rsidR="00ED2EBD" w:rsidRPr="00BD16B4" w:rsidRDefault="00ED2EBD" w:rsidP="004A205F">
            <w:pPr>
              <w:pStyle w:val="TableText"/>
              <w:spacing w:before="40"/>
              <w:jc w:val="right"/>
              <w:rPr>
                <w:rFonts w:cs="Calibri"/>
                <w:szCs w:val="18"/>
              </w:rPr>
            </w:pPr>
            <w:r w:rsidRPr="00BD16B4">
              <w:rPr>
                <w:rFonts w:cs="Calibri"/>
                <w:szCs w:val="18"/>
              </w:rPr>
              <w:t>NO, NA</w:t>
            </w:r>
          </w:p>
        </w:tc>
        <w:tc>
          <w:tcPr>
            <w:tcW w:w="1021" w:type="dxa"/>
          </w:tcPr>
          <w:p w14:paraId="3975121C" w14:textId="77777777" w:rsidR="00ED2EBD" w:rsidRPr="00BD16B4" w:rsidRDefault="00ED2EBD" w:rsidP="004A205F">
            <w:pPr>
              <w:pStyle w:val="TableText"/>
              <w:spacing w:before="40"/>
              <w:jc w:val="right"/>
              <w:rPr>
                <w:rFonts w:cs="Calibri"/>
                <w:szCs w:val="18"/>
              </w:rPr>
            </w:pPr>
            <w:r w:rsidRPr="00BD16B4">
              <w:rPr>
                <w:rFonts w:cs="Calibri"/>
                <w:szCs w:val="18"/>
              </w:rPr>
              <w:t>NO, NA</w:t>
            </w:r>
          </w:p>
        </w:tc>
      </w:tr>
      <w:tr w:rsidR="00ED2EBD" w:rsidRPr="00BD16B4" w14:paraId="4B70E2B1" w14:textId="77777777" w:rsidTr="004A205F">
        <w:tc>
          <w:tcPr>
            <w:tcW w:w="1929" w:type="dxa"/>
          </w:tcPr>
          <w:p w14:paraId="6F8F7607" w14:textId="77777777" w:rsidR="00ED2EBD" w:rsidRPr="00BD16B4" w:rsidRDefault="00ED2EBD" w:rsidP="004A205F">
            <w:pPr>
              <w:pStyle w:val="TableText"/>
              <w:spacing w:before="40"/>
              <w:rPr>
                <w:rFonts w:cs="Calibri"/>
                <w:szCs w:val="18"/>
              </w:rPr>
            </w:pPr>
            <w:r w:rsidRPr="00BD16B4">
              <w:rPr>
                <w:rFonts w:cs="Calibri"/>
                <w:b/>
                <w:bCs/>
                <w:szCs w:val="18"/>
              </w:rPr>
              <w:t>Total (without LULUCF)</w:t>
            </w:r>
          </w:p>
        </w:tc>
        <w:tc>
          <w:tcPr>
            <w:tcW w:w="1026" w:type="dxa"/>
          </w:tcPr>
          <w:p w14:paraId="6DAFEA85" w14:textId="77777777" w:rsidR="00ED2EBD" w:rsidRPr="00BD16B4" w:rsidRDefault="00ED2EBD" w:rsidP="004A205F">
            <w:pPr>
              <w:pStyle w:val="TableText"/>
              <w:spacing w:before="40"/>
              <w:jc w:val="right"/>
              <w:rPr>
                <w:rFonts w:cs="Calibri"/>
                <w:szCs w:val="18"/>
              </w:rPr>
            </w:pPr>
            <w:r w:rsidRPr="00BD16B4">
              <w:rPr>
                <w:rFonts w:cs="Calibri"/>
                <w:szCs w:val="18"/>
              </w:rPr>
              <w:t>78,426.32</w:t>
            </w:r>
          </w:p>
        </w:tc>
        <w:tc>
          <w:tcPr>
            <w:tcW w:w="1025" w:type="dxa"/>
          </w:tcPr>
          <w:p w14:paraId="10C4D373" w14:textId="77777777" w:rsidR="00ED2EBD" w:rsidRPr="00BD16B4" w:rsidRDefault="00ED2EBD" w:rsidP="004A205F">
            <w:pPr>
              <w:pStyle w:val="TableText"/>
              <w:spacing w:before="40"/>
              <w:jc w:val="right"/>
              <w:rPr>
                <w:rFonts w:cs="Calibri"/>
                <w:szCs w:val="18"/>
              </w:rPr>
            </w:pPr>
            <w:r w:rsidRPr="00BD16B4">
              <w:rPr>
                <w:rFonts w:cs="Calibri"/>
                <w:szCs w:val="18"/>
              </w:rPr>
              <w:t>78,290.28</w:t>
            </w:r>
          </w:p>
        </w:tc>
        <w:tc>
          <w:tcPr>
            <w:tcW w:w="1025" w:type="dxa"/>
          </w:tcPr>
          <w:p w14:paraId="69F0A23D" w14:textId="77777777" w:rsidR="00ED2EBD" w:rsidRPr="00BD16B4" w:rsidRDefault="00ED2EBD" w:rsidP="004A205F">
            <w:pPr>
              <w:pStyle w:val="TableText"/>
              <w:spacing w:before="40"/>
              <w:jc w:val="right"/>
              <w:rPr>
                <w:rFonts w:cs="Calibri"/>
                <w:szCs w:val="18"/>
              </w:rPr>
            </w:pPr>
            <w:r w:rsidRPr="00BD16B4">
              <w:rPr>
                <w:rFonts w:cs="Calibri"/>
                <w:szCs w:val="18"/>
              </w:rPr>
              <w:t>80,482.57</w:t>
            </w:r>
          </w:p>
        </w:tc>
        <w:tc>
          <w:tcPr>
            <w:tcW w:w="1048" w:type="dxa"/>
          </w:tcPr>
          <w:p w14:paraId="4F8CF898" w14:textId="77777777" w:rsidR="00ED2EBD" w:rsidRPr="00BD16B4" w:rsidRDefault="00ED2EBD" w:rsidP="004A205F">
            <w:pPr>
              <w:pStyle w:val="TableText"/>
              <w:spacing w:before="40"/>
              <w:jc w:val="right"/>
              <w:rPr>
                <w:rFonts w:cs="Calibri"/>
                <w:szCs w:val="18"/>
              </w:rPr>
            </w:pPr>
            <w:r w:rsidRPr="00BD16B4">
              <w:rPr>
                <w:rFonts w:cs="Calibri"/>
                <w:szCs w:val="18"/>
              </w:rPr>
              <w:t>79,805.66</w:t>
            </w:r>
          </w:p>
        </w:tc>
        <w:tc>
          <w:tcPr>
            <w:tcW w:w="1021" w:type="dxa"/>
          </w:tcPr>
          <w:p w14:paraId="6E29B16A" w14:textId="77777777" w:rsidR="00ED2EBD" w:rsidRPr="00BD16B4" w:rsidRDefault="00ED2EBD" w:rsidP="004A205F">
            <w:pPr>
              <w:pStyle w:val="TableText"/>
              <w:spacing w:before="40"/>
              <w:jc w:val="right"/>
              <w:rPr>
                <w:rFonts w:cs="Calibri"/>
                <w:szCs w:val="18"/>
              </w:rPr>
            </w:pPr>
            <w:r w:rsidRPr="00BD16B4">
              <w:rPr>
                <w:rFonts w:cs="Calibri"/>
                <w:szCs w:val="18"/>
              </w:rPr>
              <w:t>80,618.40</w:t>
            </w:r>
          </w:p>
        </w:tc>
        <w:tc>
          <w:tcPr>
            <w:tcW w:w="1021" w:type="dxa"/>
          </w:tcPr>
          <w:p w14:paraId="50881350" w14:textId="77777777" w:rsidR="00ED2EBD" w:rsidRPr="00BD16B4" w:rsidRDefault="00ED2EBD" w:rsidP="004A205F">
            <w:pPr>
              <w:pStyle w:val="TableText"/>
              <w:spacing w:before="40"/>
              <w:jc w:val="right"/>
              <w:rPr>
                <w:rFonts w:cs="Calibri"/>
                <w:szCs w:val="18"/>
              </w:rPr>
            </w:pPr>
            <w:r w:rsidRPr="00BD16B4">
              <w:rPr>
                <w:rFonts w:cs="Calibri"/>
                <w:szCs w:val="18"/>
              </w:rPr>
              <w:t>80,450.06</w:t>
            </w:r>
          </w:p>
        </w:tc>
        <w:tc>
          <w:tcPr>
            <w:tcW w:w="1021" w:type="dxa"/>
          </w:tcPr>
          <w:p w14:paraId="0F59BBCF" w14:textId="77777777" w:rsidR="00ED2EBD" w:rsidRPr="00BD16B4" w:rsidRDefault="00ED2EBD" w:rsidP="004A205F">
            <w:pPr>
              <w:pStyle w:val="TableText"/>
              <w:spacing w:before="40"/>
              <w:jc w:val="right"/>
              <w:rPr>
                <w:rFonts w:cs="Calibri"/>
                <w:szCs w:val="18"/>
              </w:rPr>
            </w:pPr>
            <w:r w:rsidRPr="00BD16B4">
              <w:rPr>
                <w:rFonts w:cs="Calibri"/>
                <w:szCs w:val="18"/>
              </w:rPr>
              <w:t>78,391.48</w:t>
            </w:r>
          </w:p>
        </w:tc>
        <w:tc>
          <w:tcPr>
            <w:tcW w:w="1021" w:type="dxa"/>
          </w:tcPr>
          <w:p w14:paraId="00869C37" w14:textId="77777777" w:rsidR="00ED2EBD" w:rsidRPr="00BD16B4" w:rsidRDefault="00ED2EBD" w:rsidP="004A205F">
            <w:pPr>
              <w:pStyle w:val="TableText"/>
              <w:spacing w:before="40"/>
              <w:jc w:val="right"/>
              <w:rPr>
                <w:rFonts w:cs="Calibri"/>
                <w:szCs w:val="18"/>
              </w:rPr>
            </w:pPr>
            <w:r w:rsidRPr="00BD16B4">
              <w:rPr>
                <w:rFonts w:cs="Calibri"/>
                <w:szCs w:val="18"/>
              </w:rPr>
              <w:t>79,889.59</w:t>
            </w:r>
          </w:p>
        </w:tc>
        <w:tc>
          <w:tcPr>
            <w:tcW w:w="1021" w:type="dxa"/>
          </w:tcPr>
          <w:p w14:paraId="47239D4E" w14:textId="77777777" w:rsidR="00ED2EBD" w:rsidRPr="00BD16B4" w:rsidRDefault="00ED2EBD" w:rsidP="004A205F">
            <w:pPr>
              <w:pStyle w:val="TableText"/>
              <w:spacing w:before="40"/>
              <w:jc w:val="right"/>
              <w:rPr>
                <w:rFonts w:cs="Calibri"/>
                <w:szCs w:val="18"/>
              </w:rPr>
            </w:pPr>
            <w:r w:rsidRPr="00BD16B4">
              <w:rPr>
                <w:rFonts w:cs="Calibri"/>
                <w:szCs w:val="18"/>
              </w:rPr>
              <w:t>80,079.58</w:t>
            </w:r>
          </w:p>
        </w:tc>
        <w:tc>
          <w:tcPr>
            <w:tcW w:w="1021" w:type="dxa"/>
          </w:tcPr>
          <w:p w14:paraId="3C56A370" w14:textId="77777777" w:rsidR="00ED2EBD" w:rsidRPr="00BD16B4" w:rsidRDefault="00ED2EBD" w:rsidP="004A205F">
            <w:pPr>
              <w:pStyle w:val="TableText"/>
              <w:spacing w:before="40"/>
              <w:jc w:val="right"/>
              <w:rPr>
                <w:rFonts w:cs="Calibri"/>
                <w:szCs w:val="18"/>
              </w:rPr>
            </w:pPr>
            <w:r w:rsidRPr="00BD16B4">
              <w:rPr>
                <w:rFonts w:cs="Calibri"/>
                <w:szCs w:val="18"/>
              </w:rPr>
              <w:t>81,617.06</w:t>
            </w:r>
          </w:p>
        </w:tc>
        <w:tc>
          <w:tcPr>
            <w:tcW w:w="1021" w:type="dxa"/>
          </w:tcPr>
          <w:p w14:paraId="62C8C66B" w14:textId="77777777" w:rsidR="00ED2EBD" w:rsidRPr="00BD16B4" w:rsidRDefault="00ED2EBD" w:rsidP="004A205F">
            <w:pPr>
              <w:pStyle w:val="TableText"/>
              <w:spacing w:before="40"/>
              <w:jc w:val="right"/>
              <w:rPr>
                <w:rFonts w:cs="Calibri"/>
                <w:szCs w:val="18"/>
              </w:rPr>
            </w:pPr>
            <w:r w:rsidRPr="00BD16B4">
              <w:rPr>
                <w:rFonts w:cs="Calibri"/>
                <w:szCs w:val="18"/>
              </w:rPr>
              <w:t>78,778.37</w:t>
            </w:r>
          </w:p>
        </w:tc>
      </w:tr>
      <w:tr w:rsidR="00ED2EBD" w:rsidRPr="00BD16B4" w14:paraId="0A462F6D" w14:textId="77777777" w:rsidTr="004A205F">
        <w:tc>
          <w:tcPr>
            <w:tcW w:w="1929" w:type="dxa"/>
          </w:tcPr>
          <w:p w14:paraId="44B588C0" w14:textId="77777777" w:rsidR="00ED2EBD" w:rsidRPr="00BD16B4" w:rsidRDefault="00ED2EBD" w:rsidP="004A205F">
            <w:pPr>
              <w:pStyle w:val="TableText"/>
              <w:spacing w:before="40"/>
              <w:rPr>
                <w:rFonts w:cs="Calibri"/>
                <w:szCs w:val="18"/>
              </w:rPr>
            </w:pPr>
            <w:r w:rsidRPr="00BD16B4">
              <w:rPr>
                <w:rFonts w:cs="Calibri"/>
                <w:b/>
                <w:bCs/>
                <w:szCs w:val="18"/>
              </w:rPr>
              <w:t>Total (with LULUCF)</w:t>
            </w:r>
          </w:p>
        </w:tc>
        <w:tc>
          <w:tcPr>
            <w:tcW w:w="1026" w:type="dxa"/>
          </w:tcPr>
          <w:p w14:paraId="034C0F89" w14:textId="77777777" w:rsidR="00ED2EBD" w:rsidRPr="00BD16B4" w:rsidRDefault="00ED2EBD" w:rsidP="004A205F">
            <w:pPr>
              <w:pStyle w:val="TableText"/>
              <w:spacing w:before="40"/>
              <w:jc w:val="right"/>
              <w:rPr>
                <w:rFonts w:cs="Calibri"/>
                <w:szCs w:val="18"/>
              </w:rPr>
            </w:pPr>
            <w:r w:rsidRPr="00BD16B4">
              <w:rPr>
                <w:rFonts w:cs="Calibri"/>
                <w:szCs w:val="18"/>
              </w:rPr>
              <w:t>49,100.05</w:t>
            </w:r>
          </w:p>
        </w:tc>
        <w:tc>
          <w:tcPr>
            <w:tcW w:w="1025" w:type="dxa"/>
          </w:tcPr>
          <w:p w14:paraId="17FCAFD2" w14:textId="77777777" w:rsidR="00ED2EBD" w:rsidRPr="00BD16B4" w:rsidRDefault="00ED2EBD" w:rsidP="004A205F">
            <w:pPr>
              <w:pStyle w:val="TableText"/>
              <w:spacing w:before="40"/>
              <w:jc w:val="right"/>
              <w:rPr>
                <w:rFonts w:cs="Calibri"/>
                <w:szCs w:val="18"/>
              </w:rPr>
            </w:pPr>
            <w:r w:rsidRPr="00BD16B4">
              <w:rPr>
                <w:rFonts w:cs="Calibri"/>
                <w:szCs w:val="18"/>
              </w:rPr>
              <w:t>48,660.08</w:t>
            </w:r>
          </w:p>
        </w:tc>
        <w:tc>
          <w:tcPr>
            <w:tcW w:w="1025" w:type="dxa"/>
          </w:tcPr>
          <w:p w14:paraId="53F1D5D8" w14:textId="77777777" w:rsidR="00ED2EBD" w:rsidRPr="00BD16B4" w:rsidRDefault="00ED2EBD" w:rsidP="004A205F">
            <w:pPr>
              <w:pStyle w:val="TableText"/>
              <w:spacing w:before="40"/>
              <w:jc w:val="right"/>
              <w:rPr>
                <w:rFonts w:cs="Calibri"/>
                <w:szCs w:val="18"/>
              </w:rPr>
            </w:pPr>
            <w:r w:rsidRPr="00BD16B4">
              <w:rPr>
                <w:rFonts w:cs="Calibri"/>
                <w:szCs w:val="18"/>
              </w:rPr>
              <w:t>53,757.43</w:t>
            </w:r>
          </w:p>
        </w:tc>
        <w:tc>
          <w:tcPr>
            <w:tcW w:w="1048" w:type="dxa"/>
          </w:tcPr>
          <w:p w14:paraId="7FA5A60B" w14:textId="77777777" w:rsidR="00ED2EBD" w:rsidRPr="00BD16B4" w:rsidRDefault="00ED2EBD" w:rsidP="004A205F">
            <w:pPr>
              <w:pStyle w:val="TableText"/>
              <w:spacing w:before="40"/>
              <w:jc w:val="right"/>
              <w:rPr>
                <w:rFonts w:cs="Calibri"/>
                <w:szCs w:val="18"/>
              </w:rPr>
            </w:pPr>
            <w:r w:rsidRPr="00BD16B4">
              <w:rPr>
                <w:rFonts w:cs="Calibri"/>
                <w:szCs w:val="18"/>
              </w:rPr>
              <w:t>53,510.39</w:t>
            </w:r>
          </w:p>
        </w:tc>
        <w:tc>
          <w:tcPr>
            <w:tcW w:w="1021" w:type="dxa"/>
          </w:tcPr>
          <w:p w14:paraId="10DFE764" w14:textId="77777777" w:rsidR="00ED2EBD" w:rsidRPr="00BD16B4" w:rsidRDefault="00ED2EBD" w:rsidP="004A205F">
            <w:pPr>
              <w:pStyle w:val="TableText"/>
              <w:spacing w:before="40"/>
              <w:jc w:val="right"/>
              <w:rPr>
                <w:rFonts w:cs="Calibri"/>
                <w:szCs w:val="18"/>
              </w:rPr>
            </w:pPr>
            <w:r w:rsidRPr="00BD16B4">
              <w:rPr>
                <w:rFonts w:cs="Calibri"/>
                <w:szCs w:val="18"/>
              </w:rPr>
              <w:t>53,969.03</w:t>
            </w:r>
          </w:p>
        </w:tc>
        <w:tc>
          <w:tcPr>
            <w:tcW w:w="1021" w:type="dxa"/>
          </w:tcPr>
          <w:p w14:paraId="78BC9050" w14:textId="77777777" w:rsidR="00ED2EBD" w:rsidRPr="00BD16B4" w:rsidRDefault="00ED2EBD" w:rsidP="004A205F">
            <w:pPr>
              <w:pStyle w:val="TableText"/>
              <w:spacing w:before="40"/>
              <w:jc w:val="right"/>
              <w:rPr>
                <w:rFonts w:cs="Calibri"/>
                <w:szCs w:val="18"/>
              </w:rPr>
            </w:pPr>
            <w:r w:rsidRPr="00BD16B4">
              <w:rPr>
                <w:rFonts w:cs="Calibri"/>
                <w:szCs w:val="18"/>
              </w:rPr>
              <w:t>53,839.90</w:t>
            </w:r>
          </w:p>
        </w:tc>
        <w:tc>
          <w:tcPr>
            <w:tcW w:w="1021" w:type="dxa"/>
          </w:tcPr>
          <w:p w14:paraId="74F9349C" w14:textId="77777777" w:rsidR="00ED2EBD" w:rsidRPr="00BD16B4" w:rsidRDefault="00ED2EBD" w:rsidP="004A205F">
            <w:pPr>
              <w:pStyle w:val="TableText"/>
              <w:spacing w:before="40"/>
              <w:jc w:val="right"/>
              <w:rPr>
                <w:rFonts w:cs="Calibri"/>
                <w:szCs w:val="18"/>
              </w:rPr>
            </w:pPr>
            <w:r w:rsidRPr="00BD16B4">
              <w:rPr>
                <w:rFonts w:cs="Calibri"/>
                <w:szCs w:val="18"/>
              </w:rPr>
              <w:t>52,153.51</w:t>
            </w:r>
          </w:p>
        </w:tc>
        <w:tc>
          <w:tcPr>
            <w:tcW w:w="1021" w:type="dxa"/>
          </w:tcPr>
          <w:p w14:paraId="17644613" w14:textId="77777777" w:rsidR="00ED2EBD" w:rsidRPr="00BD16B4" w:rsidRDefault="00ED2EBD" w:rsidP="004A205F">
            <w:pPr>
              <w:pStyle w:val="TableText"/>
              <w:spacing w:before="40"/>
              <w:jc w:val="right"/>
              <w:rPr>
                <w:rFonts w:cs="Calibri"/>
                <w:szCs w:val="18"/>
              </w:rPr>
            </w:pPr>
            <w:r w:rsidRPr="00BD16B4">
              <w:rPr>
                <w:rFonts w:cs="Calibri"/>
                <w:szCs w:val="18"/>
              </w:rPr>
              <w:t>55,185.79</w:t>
            </w:r>
          </w:p>
        </w:tc>
        <w:tc>
          <w:tcPr>
            <w:tcW w:w="1021" w:type="dxa"/>
          </w:tcPr>
          <w:p w14:paraId="7CE1150D" w14:textId="77777777" w:rsidR="00ED2EBD" w:rsidRPr="00BD16B4" w:rsidRDefault="00ED2EBD" w:rsidP="004A205F">
            <w:pPr>
              <w:pStyle w:val="TableText"/>
              <w:spacing w:before="40"/>
              <w:jc w:val="right"/>
              <w:rPr>
                <w:rFonts w:cs="Calibri"/>
                <w:szCs w:val="18"/>
              </w:rPr>
            </w:pPr>
            <w:r w:rsidRPr="00BD16B4">
              <w:rPr>
                <w:rFonts w:cs="Calibri"/>
                <w:szCs w:val="18"/>
              </w:rPr>
              <w:t>55,777.28</w:t>
            </w:r>
          </w:p>
        </w:tc>
        <w:tc>
          <w:tcPr>
            <w:tcW w:w="1021" w:type="dxa"/>
          </w:tcPr>
          <w:p w14:paraId="61F17EDE" w14:textId="77777777" w:rsidR="00ED2EBD" w:rsidRPr="00BD16B4" w:rsidRDefault="00ED2EBD" w:rsidP="004A205F">
            <w:pPr>
              <w:pStyle w:val="TableText"/>
              <w:spacing w:before="40"/>
              <w:jc w:val="right"/>
              <w:rPr>
                <w:rFonts w:cs="Calibri"/>
                <w:szCs w:val="18"/>
              </w:rPr>
            </w:pPr>
            <w:r w:rsidRPr="00BD16B4">
              <w:rPr>
                <w:rFonts w:cs="Calibri"/>
                <w:szCs w:val="18"/>
              </w:rPr>
              <w:t>58,582.14</w:t>
            </w:r>
          </w:p>
        </w:tc>
        <w:tc>
          <w:tcPr>
            <w:tcW w:w="1021" w:type="dxa"/>
          </w:tcPr>
          <w:p w14:paraId="089D0143" w14:textId="77777777" w:rsidR="00ED2EBD" w:rsidRPr="00BD16B4" w:rsidRDefault="00ED2EBD" w:rsidP="004A205F">
            <w:pPr>
              <w:pStyle w:val="TableText"/>
              <w:spacing w:before="40"/>
              <w:jc w:val="right"/>
              <w:rPr>
                <w:rFonts w:cs="Calibri"/>
                <w:szCs w:val="18"/>
              </w:rPr>
            </w:pPr>
            <w:r w:rsidRPr="00BD16B4">
              <w:rPr>
                <w:rFonts w:cs="Calibri"/>
                <w:szCs w:val="18"/>
              </w:rPr>
              <w:t>55,465.11</w:t>
            </w:r>
          </w:p>
        </w:tc>
      </w:tr>
      <w:tr w:rsidR="00ED2EBD" w:rsidRPr="00BD16B4" w14:paraId="6A4BD7C2" w14:textId="77777777" w:rsidTr="004A205F">
        <w:tc>
          <w:tcPr>
            <w:tcW w:w="1929" w:type="dxa"/>
          </w:tcPr>
          <w:p w14:paraId="41961209" w14:textId="77777777" w:rsidR="00ED2EBD" w:rsidRPr="00BD16B4" w:rsidRDefault="00ED2EBD" w:rsidP="004A205F">
            <w:pPr>
              <w:pStyle w:val="TableText"/>
              <w:spacing w:before="40"/>
              <w:rPr>
                <w:rFonts w:cs="Calibri"/>
                <w:szCs w:val="18"/>
              </w:rPr>
            </w:pPr>
            <w:r w:rsidRPr="00BD16B4">
              <w:rPr>
                <w:rFonts w:cs="Calibri"/>
                <w:b/>
                <w:bCs/>
                <w:szCs w:val="18"/>
              </w:rPr>
              <w:t>Total (without LULUCF, with indirect)</w:t>
            </w:r>
          </w:p>
        </w:tc>
        <w:tc>
          <w:tcPr>
            <w:tcW w:w="1026" w:type="dxa"/>
          </w:tcPr>
          <w:p w14:paraId="353EA7E8"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5" w:type="dxa"/>
          </w:tcPr>
          <w:p w14:paraId="3FBC3171"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5" w:type="dxa"/>
          </w:tcPr>
          <w:p w14:paraId="31C1A4CD"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48" w:type="dxa"/>
          </w:tcPr>
          <w:p w14:paraId="6CDC23C3"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1" w:type="dxa"/>
          </w:tcPr>
          <w:p w14:paraId="5454E121"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1" w:type="dxa"/>
          </w:tcPr>
          <w:p w14:paraId="574DA167"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1" w:type="dxa"/>
          </w:tcPr>
          <w:p w14:paraId="5835D444"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1" w:type="dxa"/>
          </w:tcPr>
          <w:p w14:paraId="241D2B77"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1" w:type="dxa"/>
          </w:tcPr>
          <w:p w14:paraId="0E194A40"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1" w:type="dxa"/>
          </w:tcPr>
          <w:p w14:paraId="7B4240CE"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1" w:type="dxa"/>
          </w:tcPr>
          <w:p w14:paraId="37BD0A95" w14:textId="77777777" w:rsidR="00ED2EBD" w:rsidRPr="00BD16B4" w:rsidRDefault="00ED2EBD" w:rsidP="004A205F">
            <w:pPr>
              <w:pStyle w:val="TableText"/>
              <w:spacing w:before="40"/>
              <w:jc w:val="right"/>
              <w:rPr>
                <w:rFonts w:cs="Calibri"/>
                <w:szCs w:val="18"/>
              </w:rPr>
            </w:pPr>
            <w:r w:rsidRPr="00BD16B4">
              <w:rPr>
                <w:rFonts w:cs="Calibri"/>
                <w:szCs w:val="18"/>
              </w:rPr>
              <w:t>NA</w:t>
            </w:r>
          </w:p>
        </w:tc>
      </w:tr>
      <w:tr w:rsidR="00ED2EBD" w:rsidRPr="00BD16B4" w14:paraId="6E30C85C" w14:textId="77777777" w:rsidTr="004A205F">
        <w:tc>
          <w:tcPr>
            <w:tcW w:w="1929" w:type="dxa"/>
          </w:tcPr>
          <w:p w14:paraId="7AA12150" w14:textId="77777777" w:rsidR="00ED2EBD" w:rsidRPr="00BD16B4" w:rsidRDefault="00ED2EBD" w:rsidP="004A205F">
            <w:pPr>
              <w:pStyle w:val="TableText"/>
              <w:spacing w:before="40"/>
              <w:rPr>
                <w:rFonts w:cs="Calibri"/>
                <w:szCs w:val="18"/>
              </w:rPr>
            </w:pPr>
            <w:r w:rsidRPr="00BD16B4">
              <w:rPr>
                <w:rFonts w:cs="Calibri"/>
                <w:b/>
                <w:bCs/>
                <w:szCs w:val="18"/>
              </w:rPr>
              <w:t>Total (with LULUCF, with indirect)</w:t>
            </w:r>
          </w:p>
        </w:tc>
        <w:tc>
          <w:tcPr>
            <w:tcW w:w="1026" w:type="dxa"/>
          </w:tcPr>
          <w:p w14:paraId="1287F33A"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5" w:type="dxa"/>
          </w:tcPr>
          <w:p w14:paraId="048AA09C"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5" w:type="dxa"/>
          </w:tcPr>
          <w:p w14:paraId="55403E69"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48" w:type="dxa"/>
          </w:tcPr>
          <w:p w14:paraId="1CA735C3"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1" w:type="dxa"/>
          </w:tcPr>
          <w:p w14:paraId="55C637BB"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1" w:type="dxa"/>
          </w:tcPr>
          <w:p w14:paraId="3054DC1F"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1" w:type="dxa"/>
          </w:tcPr>
          <w:p w14:paraId="428D6D46"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1" w:type="dxa"/>
          </w:tcPr>
          <w:p w14:paraId="46A5F25E"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1" w:type="dxa"/>
          </w:tcPr>
          <w:p w14:paraId="674FD51D"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1" w:type="dxa"/>
          </w:tcPr>
          <w:p w14:paraId="7CAFB8FC" w14:textId="77777777" w:rsidR="00ED2EBD" w:rsidRPr="00BD16B4" w:rsidRDefault="00ED2EBD" w:rsidP="004A205F">
            <w:pPr>
              <w:pStyle w:val="TableText"/>
              <w:spacing w:before="40"/>
              <w:jc w:val="right"/>
              <w:rPr>
                <w:rFonts w:cs="Calibri"/>
                <w:szCs w:val="18"/>
              </w:rPr>
            </w:pPr>
            <w:r w:rsidRPr="00BD16B4">
              <w:rPr>
                <w:rFonts w:cs="Calibri"/>
                <w:szCs w:val="18"/>
              </w:rPr>
              <w:t>NA</w:t>
            </w:r>
          </w:p>
        </w:tc>
        <w:tc>
          <w:tcPr>
            <w:tcW w:w="1021" w:type="dxa"/>
          </w:tcPr>
          <w:p w14:paraId="7C589A9F" w14:textId="77777777" w:rsidR="00ED2EBD" w:rsidRPr="00BD16B4" w:rsidRDefault="00ED2EBD" w:rsidP="004A205F">
            <w:pPr>
              <w:pStyle w:val="TableText"/>
              <w:spacing w:before="40"/>
              <w:jc w:val="right"/>
              <w:rPr>
                <w:rFonts w:cs="Calibri"/>
                <w:szCs w:val="18"/>
              </w:rPr>
            </w:pPr>
            <w:r w:rsidRPr="00BD16B4">
              <w:rPr>
                <w:rFonts w:cs="Calibri"/>
                <w:szCs w:val="18"/>
              </w:rPr>
              <w:t>NA</w:t>
            </w:r>
          </w:p>
        </w:tc>
      </w:tr>
    </w:tbl>
    <w:p w14:paraId="60836256" w14:textId="77777777" w:rsidR="00ED2EBD" w:rsidRPr="00BD16B4" w:rsidRDefault="00ED2EBD" w:rsidP="00ED2EBD">
      <w:pPr>
        <w:pStyle w:val="BodyText"/>
      </w:pPr>
    </w:p>
    <w:tbl>
      <w:tblPr>
        <w:tblStyle w:val="MinistryfortheEnvironment"/>
        <w:tblW w:w="14515" w:type="dxa"/>
        <w:tblInd w:w="113" w:type="dxa"/>
        <w:tblCellMar>
          <w:bottom w:w="0" w:type="dxa"/>
        </w:tblCellMar>
        <w:tblLook w:val="04A0" w:firstRow="1" w:lastRow="0" w:firstColumn="1" w:lastColumn="0" w:noHBand="0" w:noVBand="1"/>
      </w:tblPr>
      <w:tblGrid>
        <w:gridCol w:w="2091"/>
        <w:gridCol w:w="1124"/>
        <w:gridCol w:w="1124"/>
        <w:gridCol w:w="1124"/>
        <w:gridCol w:w="1124"/>
        <w:gridCol w:w="1124"/>
        <w:gridCol w:w="1134"/>
        <w:gridCol w:w="1134"/>
        <w:gridCol w:w="1134"/>
        <w:gridCol w:w="1134"/>
        <w:gridCol w:w="1134"/>
        <w:gridCol w:w="1134"/>
      </w:tblGrid>
      <w:tr w:rsidR="00ED2EBD" w:rsidRPr="00BD16B4" w14:paraId="21B82176" w14:textId="77777777" w:rsidTr="00B05A88">
        <w:trPr>
          <w:cnfStyle w:val="100000000000" w:firstRow="1" w:lastRow="0" w:firstColumn="0" w:lastColumn="0" w:oddVBand="0" w:evenVBand="0" w:oddHBand="0" w:evenHBand="0" w:firstRowFirstColumn="0" w:firstRowLastColumn="0" w:lastRowFirstColumn="0" w:lastRowLastColumn="0"/>
          <w:tblHeader/>
        </w:trPr>
        <w:tc>
          <w:tcPr>
            <w:tcW w:w="1985" w:type="dxa"/>
            <w:tcBorders>
              <w:top w:val="single" w:sz="4" w:space="0" w:color="1B556B" w:themeColor="text2"/>
            </w:tcBorders>
            <w:vAlign w:val="bottom"/>
          </w:tcPr>
          <w:p w14:paraId="2B607341" w14:textId="77777777" w:rsidR="00ED2EBD" w:rsidRPr="00BD16B4" w:rsidRDefault="00ED2EBD" w:rsidP="004366B4">
            <w:pPr>
              <w:pStyle w:val="TableTextbold"/>
              <w:keepNext/>
              <w:spacing w:before="40" w:after="40"/>
              <w:rPr>
                <w:b/>
                <w:bCs/>
                <w:szCs w:val="18"/>
              </w:rPr>
            </w:pPr>
            <w:r w:rsidRPr="00BD16B4">
              <w:rPr>
                <w:b/>
                <w:bCs/>
                <w:szCs w:val="18"/>
              </w:rPr>
              <w:t xml:space="preserve">Greenhouse gas emissions </w:t>
            </w:r>
          </w:p>
        </w:tc>
        <w:tc>
          <w:tcPr>
            <w:tcW w:w="1068" w:type="dxa"/>
            <w:tcBorders>
              <w:top w:val="single" w:sz="4" w:space="0" w:color="1B556B" w:themeColor="text2"/>
            </w:tcBorders>
            <w:vAlign w:val="bottom"/>
          </w:tcPr>
          <w:p w14:paraId="2E3261AD" w14:textId="77777777" w:rsidR="00ED2EBD" w:rsidRPr="00BD16B4" w:rsidRDefault="00ED2EBD" w:rsidP="004366B4">
            <w:pPr>
              <w:pStyle w:val="TableTextbold"/>
              <w:keepNext/>
              <w:spacing w:before="40" w:after="40"/>
              <w:jc w:val="center"/>
              <w:rPr>
                <w:b/>
                <w:bCs/>
                <w:szCs w:val="18"/>
              </w:rPr>
            </w:pPr>
            <w:r w:rsidRPr="00BD16B4">
              <w:rPr>
                <w:b/>
                <w:bCs/>
                <w:szCs w:val="18"/>
              </w:rPr>
              <w:t>2010</w:t>
            </w:r>
            <w:r w:rsidRPr="00BD16B4">
              <w:rPr>
                <w:b/>
                <w:bCs/>
                <w:szCs w:val="18"/>
              </w:rPr>
              <w:br/>
              <w:t>(kt CO</w:t>
            </w:r>
            <w:r w:rsidRPr="00BD16B4">
              <w:rPr>
                <w:b/>
                <w:bCs/>
                <w:szCs w:val="18"/>
                <w:vertAlign w:val="subscript"/>
              </w:rPr>
              <w:t>2</w:t>
            </w:r>
            <w:r w:rsidRPr="00BD16B4">
              <w:rPr>
                <w:b/>
                <w:bCs/>
                <w:szCs w:val="18"/>
              </w:rPr>
              <w:t>-equivalent)</w:t>
            </w:r>
          </w:p>
        </w:tc>
        <w:tc>
          <w:tcPr>
            <w:tcW w:w="1068" w:type="dxa"/>
            <w:tcBorders>
              <w:top w:val="single" w:sz="4" w:space="0" w:color="1B556B" w:themeColor="text2"/>
            </w:tcBorders>
            <w:vAlign w:val="bottom"/>
          </w:tcPr>
          <w:p w14:paraId="5DD9F440" w14:textId="77777777" w:rsidR="00ED2EBD" w:rsidRPr="00BD16B4" w:rsidRDefault="00ED2EBD" w:rsidP="004366B4">
            <w:pPr>
              <w:pStyle w:val="TableTextbold"/>
              <w:keepNext/>
              <w:spacing w:before="40" w:after="40"/>
              <w:jc w:val="center"/>
              <w:rPr>
                <w:b/>
                <w:bCs/>
                <w:szCs w:val="18"/>
              </w:rPr>
            </w:pPr>
            <w:r w:rsidRPr="00BD16B4">
              <w:rPr>
                <w:b/>
                <w:bCs/>
                <w:szCs w:val="18"/>
              </w:rPr>
              <w:t>2011</w:t>
            </w:r>
            <w:r w:rsidRPr="00BD16B4">
              <w:rPr>
                <w:b/>
                <w:bCs/>
                <w:szCs w:val="18"/>
              </w:rPr>
              <w:br/>
              <w:t>(kt CO</w:t>
            </w:r>
            <w:r w:rsidRPr="00BD16B4">
              <w:rPr>
                <w:b/>
                <w:bCs/>
                <w:szCs w:val="18"/>
                <w:vertAlign w:val="subscript"/>
              </w:rPr>
              <w:t>2</w:t>
            </w:r>
            <w:r w:rsidRPr="00BD16B4">
              <w:rPr>
                <w:b/>
                <w:bCs/>
                <w:szCs w:val="18"/>
              </w:rPr>
              <w:t>-equivalent)</w:t>
            </w:r>
          </w:p>
        </w:tc>
        <w:tc>
          <w:tcPr>
            <w:tcW w:w="1068" w:type="dxa"/>
            <w:tcBorders>
              <w:top w:val="single" w:sz="4" w:space="0" w:color="1B556B" w:themeColor="text2"/>
            </w:tcBorders>
            <w:vAlign w:val="bottom"/>
          </w:tcPr>
          <w:p w14:paraId="0D7C2341" w14:textId="77777777" w:rsidR="00ED2EBD" w:rsidRPr="00BD16B4" w:rsidRDefault="00ED2EBD" w:rsidP="004366B4">
            <w:pPr>
              <w:pStyle w:val="TableTextbold"/>
              <w:keepNext/>
              <w:spacing w:before="40" w:after="40"/>
              <w:jc w:val="center"/>
              <w:rPr>
                <w:b/>
                <w:bCs/>
                <w:szCs w:val="18"/>
              </w:rPr>
            </w:pPr>
            <w:r w:rsidRPr="00BD16B4">
              <w:rPr>
                <w:b/>
                <w:bCs/>
                <w:szCs w:val="18"/>
              </w:rPr>
              <w:t>2012</w:t>
            </w:r>
            <w:r w:rsidRPr="00BD16B4">
              <w:rPr>
                <w:b/>
                <w:bCs/>
                <w:szCs w:val="18"/>
              </w:rPr>
              <w:br/>
              <w:t>(kt CO</w:t>
            </w:r>
            <w:r w:rsidRPr="00BD16B4">
              <w:rPr>
                <w:b/>
                <w:bCs/>
                <w:szCs w:val="18"/>
                <w:vertAlign w:val="subscript"/>
              </w:rPr>
              <w:t>2</w:t>
            </w:r>
            <w:r w:rsidRPr="00BD16B4">
              <w:rPr>
                <w:b/>
                <w:bCs/>
                <w:szCs w:val="18"/>
              </w:rPr>
              <w:t>-equivalent)</w:t>
            </w:r>
          </w:p>
        </w:tc>
        <w:tc>
          <w:tcPr>
            <w:tcW w:w="1068" w:type="dxa"/>
            <w:tcBorders>
              <w:top w:val="single" w:sz="4" w:space="0" w:color="1B556B" w:themeColor="text2"/>
            </w:tcBorders>
            <w:vAlign w:val="bottom"/>
          </w:tcPr>
          <w:p w14:paraId="6E612C95" w14:textId="77777777" w:rsidR="00ED2EBD" w:rsidRPr="00BD16B4" w:rsidRDefault="00ED2EBD" w:rsidP="004366B4">
            <w:pPr>
              <w:pStyle w:val="TableTextbold"/>
              <w:keepNext/>
              <w:spacing w:before="40" w:after="40"/>
              <w:jc w:val="center"/>
              <w:rPr>
                <w:b/>
                <w:bCs/>
                <w:szCs w:val="18"/>
              </w:rPr>
            </w:pPr>
            <w:r w:rsidRPr="00BD16B4">
              <w:rPr>
                <w:b/>
                <w:bCs/>
                <w:szCs w:val="18"/>
              </w:rPr>
              <w:t>2013</w:t>
            </w:r>
            <w:r w:rsidRPr="00BD16B4">
              <w:rPr>
                <w:b/>
                <w:bCs/>
                <w:szCs w:val="18"/>
              </w:rPr>
              <w:br/>
              <w:t>(kt CO</w:t>
            </w:r>
            <w:r w:rsidRPr="00BD16B4">
              <w:rPr>
                <w:b/>
                <w:bCs/>
                <w:szCs w:val="18"/>
                <w:vertAlign w:val="subscript"/>
              </w:rPr>
              <w:t>2</w:t>
            </w:r>
            <w:r w:rsidRPr="00BD16B4">
              <w:rPr>
                <w:b/>
                <w:bCs/>
                <w:szCs w:val="18"/>
              </w:rPr>
              <w:t>-equivalent)</w:t>
            </w:r>
          </w:p>
        </w:tc>
        <w:tc>
          <w:tcPr>
            <w:tcW w:w="1068" w:type="dxa"/>
            <w:tcBorders>
              <w:top w:val="single" w:sz="4" w:space="0" w:color="1B556B" w:themeColor="text2"/>
            </w:tcBorders>
            <w:vAlign w:val="bottom"/>
          </w:tcPr>
          <w:p w14:paraId="20F84445" w14:textId="77777777" w:rsidR="00ED2EBD" w:rsidRPr="00BD16B4" w:rsidRDefault="00ED2EBD" w:rsidP="004366B4">
            <w:pPr>
              <w:pStyle w:val="TableTextbold"/>
              <w:keepNext/>
              <w:spacing w:before="40" w:after="40"/>
              <w:jc w:val="center"/>
              <w:rPr>
                <w:b/>
                <w:bCs/>
                <w:szCs w:val="18"/>
              </w:rPr>
            </w:pPr>
            <w:r w:rsidRPr="00BD16B4">
              <w:rPr>
                <w:b/>
                <w:bCs/>
                <w:szCs w:val="18"/>
              </w:rPr>
              <w:t>2014</w:t>
            </w:r>
            <w:r w:rsidRPr="00BD16B4">
              <w:rPr>
                <w:b/>
                <w:bCs/>
                <w:szCs w:val="18"/>
              </w:rPr>
              <w:br/>
              <w:t>(kt CO</w:t>
            </w:r>
            <w:r w:rsidRPr="00BD16B4">
              <w:rPr>
                <w:b/>
                <w:bCs/>
                <w:szCs w:val="18"/>
                <w:vertAlign w:val="subscript"/>
              </w:rPr>
              <w:t>2</w:t>
            </w:r>
            <w:r w:rsidRPr="00BD16B4">
              <w:rPr>
                <w:b/>
                <w:bCs/>
                <w:szCs w:val="18"/>
              </w:rPr>
              <w:t>-equivalent)</w:t>
            </w:r>
          </w:p>
        </w:tc>
        <w:tc>
          <w:tcPr>
            <w:tcW w:w="1077" w:type="dxa"/>
            <w:tcBorders>
              <w:top w:val="single" w:sz="4" w:space="0" w:color="1B556B" w:themeColor="text2"/>
            </w:tcBorders>
            <w:vAlign w:val="bottom"/>
          </w:tcPr>
          <w:p w14:paraId="6F5FD385" w14:textId="77777777" w:rsidR="00ED2EBD" w:rsidRPr="00BD16B4" w:rsidRDefault="00ED2EBD" w:rsidP="004366B4">
            <w:pPr>
              <w:pStyle w:val="TableTextbold"/>
              <w:keepNext/>
              <w:spacing w:before="40" w:after="40"/>
              <w:jc w:val="center"/>
              <w:rPr>
                <w:b/>
                <w:bCs/>
                <w:szCs w:val="18"/>
              </w:rPr>
            </w:pPr>
            <w:r w:rsidRPr="00BD16B4">
              <w:rPr>
                <w:b/>
                <w:bCs/>
                <w:szCs w:val="18"/>
              </w:rPr>
              <w:t>2015</w:t>
            </w:r>
            <w:r w:rsidRPr="00BD16B4">
              <w:rPr>
                <w:b/>
                <w:bCs/>
                <w:szCs w:val="18"/>
              </w:rPr>
              <w:br/>
              <w:t>(kt CO</w:t>
            </w:r>
            <w:r w:rsidRPr="00BD16B4">
              <w:rPr>
                <w:b/>
                <w:bCs/>
                <w:szCs w:val="18"/>
                <w:vertAlign w:val="subscript"/>
              </w:rPr>
              <w:t>2</w:t>
            </w:r>
            <w:r w:rsidRPr="00BD16B4">
              <w:rPr>
                <w:b/>
                <w:bCs/>
                <w:szCs w:val="18"/>
              </w:rPr>
              <w:t>-equivalent)</w:t>
            </w:r>
          </w:p>
        </w:tc>
        <w:tc>
          <w:tcPr>
            <w:tcW w:w="1077" w:type="dxa"/>
            <w:tcBorders>
              <w:top w:val="single" w:sz="4" w:space="0" w:color="1B556B" w:themeColor="text2"/>
            </w:tcBorders>
            <w:vAlign w:val="bottom"/>
          </w:tcPr>
          <w:p w14:paraId="4A4287F5" w14:textId="77777777" w:rsidR="00ED2EBD" w:rsidRPr="00BD16B4" w:rsidRDefault="00ED2EBD" w:rsidP="004366B4">
            <w:pPr>
              <w:pStyle w:val="TableTextbold"/>
              <w:keepNext/>
              <w:spacing w:before="40" w:after="40"/>
              <w:jc w:val="center"/>
              <w:rPr>
                <w:b/>
                <w:bCs/>
                <w:szCs w:val="18"/>
              </w:rPr>
            </w:pPr>
            <w:r w:rsidRPr="00BD16B4">
              <w:rPr>
                <w:b/>
                <w:bCs/>
                <w:szCs w:val="18"/>
              </w:rPr>
              <w:t>2016</w:t>
            </w:r>
            <w:r w:rsidRPr="00BD16B4">
              <w:rPr>
                <w:b/>
                <w:bCs/>
                <w:szCs w:val="18"/>
              </w:rPr>
              <w:br/>
              <w:t>(kt CO</w:t>
            </w:r>
            <w:r w:rsidRPr="00BD16B4">
              <w:rPr>
                <w:b/>
                <w:bCs/>
                <w:szCs w:val="18"/>
                <w:vertAlign w:val="subscript"/>
              </w:rPr>
              <w:t>2</w:t>
            </w:r>
            <w:r w:rsidRPr="00BD16B4">
              <w:rPr>
                <w:b/>
                <w:bCs/>
                <w:szCs w:val="18"/>
              </w:rPr>
              <w:t>-equivalent)</w:t>
            </w:r>
          </w:p>
        </w:tc>
        <w:tc>
          <w:tcPr>
            <w:tcW w:w="1077" w:type="dxa"/>
            <w:tcBorders>
              <w:top w:val="single" w:sz="4" w:space="0" w:color="1B556B" w:themeColor="text2"/>
            </w:tcBorders>
            <w:vAlign w:val="bottom"/>
          </w:tcPr>
          <w:p w14:paraId="7566988B" w14:textId="77777777" w:rsidR="00ED2EBD" w:rsidRPr="00BD16B4" w:rsidRDefault="00ED2EBD" w:rsidP="004366B4">
            <w:pPr>
              <w:pStyle w:val="TableTextbold"/>
              <w:keepNext/>
              <w:spacing w:before="40" w:after="40"/>
              <w:jc w:val="center"/>
              <w:rPr>
                <w:b/>
                <w:bCs/>
                <w:szCs w:val="18"/>
              </w:rPr>
            </w:pPr>
            <w:r w:rsidRPr="00BD16B4">
              <w:rPr>
                <w:b/>
                <w:bCs/>
                <w:szCs w:val="18"/>
              </w:rPr>
              <w:t>2017</w:t>
            </w:r>
            <w:r w:rsidRPr="00BD16B4">
              <w:rPr>
                <w:b/>
                <w:bCs/>
                <w:szCs w:val="18"/>
              </w:rPr>
              <w:br/>
              <w:t>(kt CO</w:t>
            </w:r>
            <w:r w:rsidRPr="00BD16B4">
              <w:rPr>
                <w:b/>
                <w:bCs/>
                <w:szCs w:val="18"/>
                <w:vertAlign w:val="subscript"/>
              </w:rPr>
              <w:t>2</w:t>
            </w:r>
            <w:r w:rsidRPr="00BD16B4">
              <w:rPr>
                <w:b/>
                <w:bCs/>
                <w:szCs w:val="18"/>
              </w:rPr>
              <w:t>-equivalent)</w:t>
            </w:r>
          </w:p>
        </w:tc>
        <w:tc>
          <w:tcPr>
            <w:tcW w:w="1077" w:type="dxa"/>
            <w:tcBorders>
              <w:top w:val="single" w:sz="4" w:space="0" w:color="1B556B" w:themeColor="text2"/>
            </w:tcBorders>
          </w:tcPr>
          <w:p w14:paraId="7BF704D4" w14:textId="77777777" w:rsidR="00ED2EBD" w:rsidRPr="00BD16B4" w:rsidRDefault="00ED2EBD" w:rsidP="004366B4">
            <w:pPr>
              <w:pStyle w:val="TableTextbold"/>
              <w:keepNext/>
              <w:spacing w:before="40" w:after="40"/>
              <w:jc w:val="center"/>
              <w:rPr>
                <w:b/>
                <w:bCs/>
                <w:szCs w:val="18"/>
              </w:rPr>
            </w:pPr>
            <w:r w:rsidRPr="00BD16B4">
              <w:rPr>
                <w:b/>
                <w:bCs/>
                <w:szCs w:val="18"/>
              </w:rPr>
              <w:t>2018</w:t>
            </w:r>
            <w:r w:rsidRPr="00BD16B4">
              <w:rPr>
                <w:b/>
                <w:bCs/>
                <w:szCs w:val="18"/>
              </w:rPr>
              <w:br/>
              <w:t>(kt CO</w:t>
            </w:r>
            <w:r w:rsidRPr="00BD16B4">
              <w:rPr>
                <w:b/>
                <w:bCs/>
                <w:szCs w:val="18"/>
                <w:vertAlign w:val="subscript"/>
              </w:rPr>
              <w:t>2</w:t>
            </w:r>
            <w:r w:rsidRPr="00BD16B4">
              <w:rPr>
                <w:b/>
                <w:bCs/>
                <w:szCs w:val="18"/>
              </w:rPr>
              <w:t>-equivalent)</w:t>
            </w:r>
          </w:p>
        </w:tc>
        <w:tc>
          <w:tcPr>
            <w:tcW w:w="1077" w:type="dxa"/>
            <w:tcBorders>
              <w:top w:val="single" w:sz="4" w:space="0" w:color="1B556B" w:themeColor="text2"/>
            </w:tcBorders>
          </w:tcPr>
          <w:p w14:paraId="4E812E6D" w14:textId="77777777" w:rsidR="00ED2EBD" w:rsidRPr="00BD16B4" w:rsidRDefault="00ED2EBD" w:rsidP="004366B4">
            <w:pPr>
              <w:pStyle w:val="TableTextbold"/>
              <w:keepNext/>
              <w:spacing w:before="40" w:after="40"/>
              <w:jc w:val="center"/>
              <w:rPr>
                <w:b/>
                <w:bCs/>
                <w:szCs w:val="18"/>
              </w:rPr>
            </w:pPr>
            <w:r w:rsidRPr="00BD16B4">
              <w:rPr>
                <w:b/>
                <w:bCs/>
                <w:szCs w:val="18"/>
              </w:rPr>
              <w:t>2019</w:t>
            </w:r>
            <w:r w:rsidRPr="00BD16B4">
              <w:rPr>
                <w:b/>
                <w:bCs/>
                <w:szCs w:val="18"/>
              </w:rPr>
              <w:br/>
              <w:t>(kt CO</w:t>
            </w:r>
            <w:r w:rsidRPr="00BD16B4">
              <w:rPr>
                <w:b/>
                <w:bCs/>
                <w:szCs w:val="18"/>
                <w:vertAlign w:val="subscript"/>
              </w:rPr>
              <w:t>2</w:t>
            </w:r>
            <w:r w:rsidRPr="00BD16B4">
              <w:rPr>
                <w:b/>
                <w:bCs/>
                <w:szCs w:val="18"/>
              </w:rPr>
              <w:t>-equivalent)</w:t>
            </w:r>
          </w:p>
        </w:tc>
        <w:tc>
          <w:tcPr>
            <w:tcW w:w="1077" w:type="dxa"/>
            <w:tcBorders>
              <w:top w:val="single" w:sz="4" w:space="0" w:color="1B556B" w:themeColor="text2"/>
            </w:tcBorders>
            <w:vAlign w:val="bottom"/>
          </w:tcPr>
          <w:p w14:paraId="4CDEFDB7" w14:textId="77777777" w:rsidR="00ED2EBD" w:rsidRPr="00BD16B4" w:rsidRDefault="00ED2EBD" w:rsidP="004366B4">
            <w:pPr>
              <w:pStyle w:val="TableTextbold"/>
              <w:keepNext/>
              <w:spacing w:before="40" w:after="40"/>
              <w:jc w:val="center"/>
              <w:rPr>
                <w:b/>
                <w:bCs/>
                <w:szCs w:val="18"/>
              </w:rPr>
            </w:pPr>
            <w:r w:rsidRPr="00BD16B4">
              <w:rPr>
                <w:b/>
                <w:bCs/>
                <w:szCs w:val="18"/>
              </w:rPr>
              <w:t>2020</w:t>
            </w:r>
            <w:r w:rsidRPr="00BD16B4">
              <w:rPr>
                <w:b/>
                <w:bCs/>
                <w:szCs w:val="18"/>
              </w:rPr>
              <w:br/>
              <w:t>(kt CO</w:t>
            </w:r>
            <w:r w:rsidRPr="00BD16B4">
              <w:rPr>
                <w:b/>
                <w:bCs/>
                <w:szCs w:val="18"/>
                <w:vertAlign w:val="subscript"/>
              </w:rPr>
              <w:t>2</w:t>
            </w:r>
            <w:r w:rsidRPr="00BD16B4">
              <w:rPr>
                <w:b/>
                <w:bCs/>
                <w:szCs w:val="18"/>
              </w:rPr>
              <w:t>-equivalent)</w:t>
            </w:r>
          </w:p>
        </w:tc>
      </w:tr>
      <w:tr w:rsidR="00ED2EBD" w:rsidRPr="00BD16B4" w14:paraId="337D7C5B" w14:textId="77777777" w:rsidTr="004A205F">
        <w:tc>
          <w:tcPr>
            <w:tcW w:w="1985" w:type="dxa"/>
          </w:tcPr>
          <w:p w14:paraId="2FE86663" w14:textId="169DD402" w:rsidR="00ED2EBD" w:rsidRPr="00BD16B4" w:rsidRDefault="00ED2EBD" w:rsidP="004366B4">
            <w:pPr>
              <w:pStyle w:val="TableText"/>
              <w:keepNext/>
              <w:spacing w:before="40" w:after="40"/>
              <w:rPr>
                <w:szCs w:val="18"/>
              </w:rPr>
            </w:pPr>
            <w:r w:rsidRPr="00BD16B4">
              <w:rPr>
                <w:szCs w:val="18"/>
              </w:rPr>
              <w:t>1.</w:t>
            </w:r>
            <w:r w:rsidR="00280979" w:rsidRPr="00BD16B4">
              <w:rPr>
                <w:szCs w:val="18"/>
              </w:rPr>
              <w:t xml:space="preserve"> </w:t>
            </w:r>
            <w:r w:rsidRPr="00BD16B4">
              <w:rPr>
                <w:szCs w:val="18"/>
              </w:rPr>
              <w:t xml:space="preserve">Energy </w:t>
            </w:r>
          </w:p>
        </w:tc>
        <w:tc>
          <w:tcPr>
            <w:tcW w:w="1068" w:type="dxa"/>
          </w:tcPr>
          <w:p w14:paraId="01ACB87D" w14:textId="77777777" w:rsidR="00ED2EBD" w:rsidRPr="00BD16B4" w:rsidRDefault="00ED2EBD" w:rsidP="004366B4">
            <w:pPr>
              <w:pStyle w:val="TableText"/>
              <w:keepNext/>
              <w:spacing w:before="40" w:after="40"/>
              <w:jc w:val="right"/>
              <w:rPr>
                <w:szCs w:val="18"/>
              </w:rPr>
            </w:pPr>
            <w:r w:rsidRPr="00BD16B4">
              <w:rPr>
                <w:szCs w:val="18"/>
              </w:rPr>
              <w:t>32,247.49</w:t>
            </w:r>
          </w:p>
        </w:tc>
        <w:tc>
          <w:tcPr>
            <w:tcW w:w="1068" w:type="dxa"/>
          </w:tcPr>
          <w:p w14:paraId="5A2E42B0" w14:textId="77777777" w:rsidR="00ED2EBD" w:rsidRPr="00BD16B4" w:rsidRDefault="00ED2EBD" w:rsidP="004366B4">
            <w:pPr>
              <w:pStyle w:val="TableText"/>
              <w:keepNext/>
              <w:spacing w:before="40" w:after="40"/>
              <w:jc w:val="right"/>
              <w:rPr>
                <w:szCs w:val="18"/>
              </w:rPr>
            </w:pPr>
            <w:r w:rsidRPr="00BD16B4">
              <w:rPr>
                <w:szCs w:val="18"/>
              </w:rPr>
              <w:t>31,571.43</w:t>
            </w:r>
          </w:p>
        </w:tc>
        <w:tc>
          <w:tcPr>
            <w:tcW w:w="1068" w:type="dxa"/>
          </w:tcPr>
          <w:p w14:paraId="3BC14B62" w14:textId="77777777" w:rsidR="00ED2EBD" w:rsidRPr="00BD16B4" w:rsidRDefault="00ED2EBD" w:rsidP="004366B4">
            <w:pPr>
              <w:pStyle w:val="TableText"/>
              <w:keepNext/>
              <w:spacing w:before="40" w:after="40"/>
              <w:jc w:val="right"/>
              <w:rPr>
                <w:szCs w:val="18"/>
              </w:rPr>
            </w:pPr>
            <w:r w:rsidRPr="00BD16B4">
              <w:rPr>
                <w:szCs w:val="18"/>
              </w:rPr>
              <w:t>32,953.12</w:t>
            </w:r>
          </w:p>
        </w:tc>
        <w:tc>
          <w:tcPr>
            <w:tcW w:w="1068" w:type="dxa"/>
          </w:tcPr>
          <w:p w14:paraId="0175B93C" w14:textId="77777777" w:rsidR="00ED2EBD" w:rsidRPr="00BD16B4" w:rsidRDefault="00ED2EBD" w:rsidP="004366B4">
            <w:pPr>
              <w:pStyle w:val="TableText"/>
              <w:keepNext/>
              <w:spacing w:before="40" w:after="40"/>
              <w:jc w:val="right"/>
              <w:rPr>
                <w:szCs w:val="18"/>
              </w:rPr>
            </w:pPr>
            <w:r w:rsidRPr="00BD16B4">
              <w:rPr>
                <w:szCs w:val="18"/>
              </w:rPr>
              <w:t>32,089.37</w:t>
            </w:r>
          </w:p>
        </w:tc>
        <w:tc>
          <w:tcPr>
            <w:tcW w:w="1068" w:type="dxa"/>
          </w:tcPr>
          <w:p w14:paraId="1C4FE2FA" w14:textId="77777777" w:rsidR="00ED2EBD" w:rsidRPr="00BD16B4" w:rsidRDefault="00ED2EBD" w:rsidP="004366B4">
            <w:pPr>
              <w:pStyle w:val="TableText"/>
              <w:keepNext/>
              <w:spacing w:before="40" w:after="40"/>
              <w:jc w:val="right"/>
              <w:rPr>
                <w:szCs w:val="18"/>
              </w:rPr>
            </w:pPr>
            <w:r w:rsidRPr="00BD16B4">
              <w:rPr>
                <w:szCs w:val="18"/>
              </w:rPr>
              <w:t>32,159.28</w:t>
            </w:r>
          </w:p>
        </w:tc>
        <w:tc>
          <w:tcPr>
            <w:tcW w:w="1077" w:type="dxa"/>
          </w:tcPr>
          <w:p w14:paraId="3FC362CB" w14:textId="77777777" w:rsidR="00ED2EBD" w:rsidRPr="00BD16B4" w:rsidRDefault="00ED2EBD" w:rsidP="004366B4">
            <w:pPr>
              <w:pStyle w:val="TableText"/>
              <w:keepNext/>
              <w:spacing w:before="40" w:after="40"/>
              <w:jc w:val="right"/>
              <w:rPr>
                <w:szCs w:val="18"/>
              </w:rPr>
            </w:pPr>
            <w:r w:rsidRPr="00BD16B4">
              <w:rPr>
                <w:szCs w:val="18"/>
              </w:rPr>
              <w:t>32,405.70</w:t>
            </w:r>
          </w:p>
        </w:tc>
        <w:tc>
          <w:tcPr>
            <w:tcW w:w="1077" w:type="dxa"/>
          </w:tcPr>
          <w:p w14:paraId="45B1E026" w14:textId="77777777" w:rsidR="00ED2EBD" w:rsidRPr="00BD16B4" w:rsidRDefault="00ED2EBD" w:rsidP="004366B4">
            <w:pPr>
              <w:pStyle w:val="TableText"/>
              <w:keepNext/>
              <w:spacing w:before="40" w:after="40"/>
              <w:jc w:val="right"/>
              <w:rPr>
                <w:szCs w:val="18"/>
              </w:rPr>
            </w:pPr>
            <w:r w:rsidRPr="00BD16B4">
              <w:rPr>
                <w:szCs w:val="18"/>
              </w:rPr>
              <w:t>31,001.33</w:t>
            </w:r>
          </w:p>
        </w:tc>
        <w:tc>
          <w:tcPr>
            <w:tcW w:w="1077" w:type="dxa"/>
          </w:tcPr>
          <w:p w14:paraId="53F0DE3B" w14:textId="77777777" w:rsidR="00ED2EBD" w:rsidRPr="00BD16B4" w:rsidRDefault="00ED2EBD" w:rsidP="004366B4">
            <w:pPr>
              <w:pStyle w:val="TableText"/>
              <w:keepNext/>
              <w:spacing w:before="40" w:after="40"/>
              <w:jc w:val="right"/>
              <w:rPr>
                <w:szCs w:val="18"/>
              </w:rPr>
            </w:pPr>
            <w:r w:rsidRPr="00BD16B4">
              <w:rPr>
                <w:szCs w:val="18"/>
              </w:rPr>
              <w:t>32,452.95</w:t>
            </w:r>
          </w:p>
        </w:tc>
        <w:tc>
          <w:tcPr>
            <w:tcW w:w="1077" w:type="dxa"/>
          </w:tcPr>
          <w:p w14:paraId="5A8A61C3" w14:textId="77777777" w:rsidR="00ED2EBD" w:rsidRPr="00BD16B4" w:rsidRDefault="00ED2EBD" w:rsidP="004366B4">
            <w:pPr>
              <w:pStyle w:val="TableText"/>
              <w:keepNext/>
              <w:spacing w:before="40" w:after="40"/>
              <w:jc w:val="right"/>
              <w:rPr>
                <w:szCs w:val="18"/>
              </w:rPr>
            </w:pPr>
            <w:r w:rsidRPr="00BD16B4">
              <w:rPr>
                <w:szCs w:val="18"/>
              </w:rPr>
              <w:t>32,524.23</w:t>
            </w:r>
          </w:p>
        </w:tc>
        <w:tc>
          <w:tcPr>
            <w:tcW w:w="1077" w:type="dxa"/>
          </w:tcPr>
          <w:p w14:paraId="09D55800" w14:textId="77777777" w:rsidR="00ED2EBD" w:rsidRPr="00BD16B4" w:rsidRDefault="00ED2EBD" w:rsidP="004366B4">
            <w:pPr>
              <w:pStyle w:val="TableText"/>
              <w:keepNext/>
              <w:spacing w:before="40" w:after="40"/>
              <w:jc w:val="right"/>
              <w:rPr>
                <w:szCs w:val="18"/>
              </w:rPr>
            </w:pPr>
            <w:r w:rsidRPr="00BD16B4">
              <w:rPr>
                <w:szCs w:val="18"/>
              </w:rPr>
              <w:t>33,920.37</w:t>
            </w:r>
          </w:p>
        </w:tc>
        <w:tc>
          <w:tcPr>
            <w:tcW w:w="1077" w:type="dxa"/>
          </w:tcPr>
          <w:p w14:paraId="589DA987" w14:textId="77777777" w:rsidR="00ED2EBD" w:rsidRPr="00BD16B4" w:rsidRDefault="00ED2EBD" w:rsidP="004366B4">
            <w:pPr>
              <w:pStyle w:val="TableText"/>
              <w:keepNext/>
              <w:spacing w:before="40" w:after="40"/>
              <w:jc w:val="right"/>
              <w:rPr>
                <w:szCs w:val="18"/>
              </w:rPr>
            </w:pPr>
            <w:r w:rsidRPr="00BD16B4">
              <w:rPr>
                <w:szCs w:val="18"/>
              </w:rPr>
              <w:t>31,461.42</w:t>
            </w:r>
          </w:p>
        </w:tc>
      </w:tr>
      <w:tr w:rsidR="00ED2EBD" w:rsidRPr="00BD16B4" w14:paraId="436088E0" w14:textId="77777777" w:rsidTr="004A205F">
        <w:tc>
          <w:tcPr>
            <w:tcW w:w="1985" w:type="dxa"/>
          </w:tcPr>
          <w:p w14:paraId="70188081" w14:textId="52D512B0" w:rsidR="00ED2EBD" w:rsidRPr="00BD16B4" w:rsidRDefault="00ED2EBD" w:rsidP="004366B4">
            <w:pPr>
              <w:pStyle w:val="TableText"/>
              <w:keepNext/>
              <w:spacing w:before="40" w:after="40"/>
              <w:rPr>
                <w:szCs w:val="18"/>
              </w:rPr>
            </w:pPr>
            <w:r w:rsidRPr="00BD16B4">
              <w:rPr>
                <w:szCs w:val="18"/>
              </w:rPr>
              <w:t>2.</w:t>
            </w:r>
            <w:r w:rsidR="00280979" w:rsidRPr="00BD16B4">
              <w:rPr>
                <w:szCs w:val="18"/>
              </w:rPr>
              <w:t xml:space="preserve"> </w:t>
            </w:r>
            <w:r w:rsidRPr="00BD16B4">
              <w:rPr>
                <w:szCs w:val="18"/>
              </w:rPr>
              <w:t>Industrial processes and product use</w:t>
            </w:r>
          </w:p>
        </w:tc>
        <w:tc>
          <w:tcPr>
            <w:tcW w:w="1068" w:type="dxa"/>
          </w:tcPr>
          <w:p w14:paraId="7706BFB5" w14:textId="77777777" w:rsidR="00ED2EBD" w:rsidRPr="00BD16B4" w:rsidRDefault="00ED2EBD" w:rsidP="004366B4">
            <w:pPr>
              <w:pStyle w:val="TableText"/>
              <w:keepNext/>
              <w:spacing w:before="40" w:after="40"/>
              <w:jc w:val="right"/>
              <w:rPr>
                <w:szCs w:val="18"/>
              </w:rPr>
            </w:pPr>
            <w:r w:rsidRPr="00BD16B4">
              <w:rPr>
                <w:szCs w:val="18"/>
              </w:rPr>
              <w:t>4,591.13</w:t>
            </w:r>
          </w:p>
        </w:tc>
        <w:tc>
          <w:tcPr>
            <w:tcW w:w="1068" w:type="dxa"/>
          </w:tcPr>
          <w:p w14:paraId="58F583DB" w14:textId="77777777" w:rsidR="00ED2EBD" w:rsidRPr="00BD16B4" w:rsidRDefault="00ED2EBD" w:rsidP="004366B4">
            <w:pPr>
              <w:pStyle w:val="TableText"/>
              <w:keepNext/>
              <w:spacing w:before="40" w:after="40"/>
              <w:jc w:val="right"/>
              <w:rPr>
                <w:szCs w:val="18"/>
              </w:rPr>
            </w:pPr>
            <w:r w:rsidRPr="00BD16B4">
              <w:rPr>
                <w:szCs w:val="18"/>
              </w:rPr>
              <w:t>4,627.39</w:t>
            </w:r>
          </w:p>
        </w:tc>
        <w:tc>
          <w:tcPr>
            <w:tcW w:w="1068" w:type="dxa"/>
          </w:tcPr>
          <w:p w14:paraId="5DD04133" w14:textId="77777777" w:rsidR="00ED2EBD" w:rsidRPr="00BD16B4" w:rsidRDefault="00ED2EBD" w:rsidP="004366B4">
            <w:pPr>
              <w:pStyle w:val="TableText"/>
              <w:keepNext/>
              <w:spacing w:before="40" w:after="40"/>
              <w:jc w:val="right"/>
              <w:rPr>
                <w:szCs w:val="18"/>
              </w:rPr>
            </w:pPr>
            <w:r w:rsidRPr="00BD16B4">
              <w:rPr>
                <w:szCs w:val="18"/>
              </w:rPr>
              <w:t>4,703.19</w:t>
            </w:r>
          </w:p>
        </w:tc>
        <w:tc>
          <w:tcPr>
            <w:tcW w:w="1068" w:type="dxa"/>
          </w:tcPr>
          <w:p w14:paraId="196216CC" w14:textId="77777777" w:rsidR="00ED2EBD" w:rsidRPr="00BD16B4" w:rsidRDefault="00ED2EBD" w:rsidP="004366B4">
            <w:pPr>
              <w:pStyle w:val="TableText"/>
              <w:keepNext/>
              <w:spacing w:before="40" w:after="40"/>
              <w:jc w:val="right"/>
              <w:rPr>
                <w:szCs w:val="18"/>
              </w:rPr>
            </w:pPr>
            <w:r w:rsidRPr="00BD16B4">
              <w:rPr>
                <w:szCs w:val="18"/>
              </w:rPr>
              <w:t>4,836.35</w:t>
            </w:r>
          </w:p>
        </w:tc>
        <w:tc>
          <w:tcPr>
            <w:tcW w:w="1068" w:type="dxa"/>
          </w:tcPr>
          <w:p w14:paraId="63115EB5" w14:textId="77777777" w:rsidR="00ED2EBD" w:rsidRPr="00BD16B4" w:rsidRDefault="00ED2EBD" w:rsidP="004366B4">
            <w:pPr>
              <w:pStyle w:val="TableText"/>
              <w:keepNext/>
              <w:spacing w:before="40" w:after="40"/>
              <w:jc w:val="right"/>
              <w:rPr>
                <w:szCs w:val="18"/>
              </w:rPr>
            </w:pPr>
            <w:r w:rsidRPr="00BD16B4">
              <w:rPr>
                <w:szCs w:val="18"/>
              </w:rPr>
              <w:t>5,006.98</w:t>
            </w:r>
          </w:p>
        </w:tc>
        <w:tc>
          <w:tcPr>
            <w:tcW w:w="1077" w:type="dxa"/>
          </w:tcPr>
          <w:p w14:paraId="2C6B3459" w14:textId="77777777" w:rsidR="00ED2EBD" w:rsidRPr="00BD16B4" w:rsidRDefault="00ED2EBD" w:rsidP="004366B4">
            <w:pPr>
              <w:pStyle w:val="TableText"/>
              <w:keepNext/>
              <w:spacing w:before="40" w:after="40"/>
              <w:jc w:val="right"/>
              <w:rPr>
                <w:szCs w:val="18"/>
              </w:rPr>
            </w:pPr>
            <w:r w:rsidRPr="00BD16B4">
              <w:rPr>
                <w:szCs w:val="18"/>
              </w:rPr>
              <w:t>5,137.32</w:t>
            </w:r>
          </w:p>
        </w:tc>
        <w:tc>
          <w:tcPr>
            <w:tcW w:w="1077" w:type="dxa"/>
          </w:tcPr>
          <w:p w14:paraId="27C41812" w14:textId="77777777" w:rsidR="00ED2EBD" w:rsidRPr="00BD16B4" w:rsidRDefault="00ED2EBD" w:rsidP="004366B4">
            <w:pPr>
              <w:pStyle w:val="TableText"/>
              <w:keepNext/>
              <w:spacing w:before="40" w:after="40"/>
              <w:jc w:val="right"/>
              <w:rPr>
                <w:szCs w:val="18"/>
              </w:rPr>
            </w:pPr>
            <w:r w:rsidRPr="00BD16B4">
              <w:rPr>
                <w:szCs w:val="18"/>
              </w:rPr>
              <w:t>4,883.07</w:t>
            </w:r>
          </w:p>
        </w:tc>
        <w:tc>
          <w:tcPr>
            <w:tcW w:w="1077" w:type="dxa"/>
          </w:tcPr>
          <w:p w14:paraId="28DC26EF" w14:textId="77777777" w:rsidR="00ED2EBD" w:rsidRPr="00BD16B4" w:rsidRDefault="00ED2EBD" w:rsidP="004366B4">
            <w:pPr>
              <w:pStyle w:val="TableText"/>
              <w:keepNext/>
              <w:spacing w:before="40" w:after="40"/>
              <w:jc w:val="right"/>
              <w:rPr>
                <w:szCs w:val="18"/>
              </w:rPr>
            </w:pPr>
            <w:r w:rsidRPr="00BD16B4">
              <w:rPr>
                <w:szCs w:val="18"/>
              </w:rPr>
              <w:t>4,928.44</w:t>
            </w:r>
          </w:p>
        </w:tc>
        <w:tc>
          <w:tcPr>
            <w:tcW w:w="1077" w:type="dxa"/>
          </w:tcPr>
          <w:p w14:paraId="20CE61BD" w14:textId="77777777" w:rsidR="00ED2EBD" w:rsidRPr="00BD16B4" w:rsidRDefault="00ED2EBD" w:rsidP="004366B4">
            <w:pPr>
              <w:pStyle w:val="TableText"/>
              <w:keepNext/>
              <w:spacing w:before="40" w:after="40"/>
              <w:jc w:val="right"/>
              <w:rPr>
                <w:szCs w:val="18"/>
              </w:rPr>
            </w:pPr>
            <w:r w:rsidRPr="00BD16B4">
              <w:rPr>
                <w:szCs w:val="18"/>
              </w:rPr>
              <w:t>4,825.07</w:t>
            </w:r>
          </w:p>
        </w:tc>
        <w:tc>
          <w:tcPr>
            <w:tcW w:w="1077" w:type="dxa"/>
          </w:tcPr>
          <w:p w14:paraId="28884B01" w14:textId="77777777" w:rsidR="00ED2EBD" w:rsidRPr="00BD16B4" w:rsidRDefault="00ED2EBD" w:rsidP="004366B4">
            <w:pPr>
              <w:pStyle w:val="TableText"/>
              <w:keepNext/>
              <w:spacing w:before="40" w:after="40"/>
              <w:jc w:val="right"/>
              <w:rPr>
                <w:szCs w:val="18"/>
              </w:rPr>
            </w:pPr>
            <w:r w:rsidRPr="00BD16B4">
              <w:rPr>
                <w:szCs w:val="18"/>
              </w:rPr>
              <w:t>4,861.05</w:t>
            </w:r>
          </w:p>
        </w:tc>
        <w:tc>
          <w:tcPr>
            <w:tcW w:w="1077" w:type="dxa"/>
          </w:tcPr>
          <w:p w14:paraId="0FB239D0" w14:textId="77777777" w:rsidR="00ED2EBD" w:rsidRPr="00BD16B4" w:rsidRDefault="00ED2EBD" w:rsidP="004366B4">
            <w:pPr>
              <w:pStyle w:val="TableText"/>
              <w:keepNext/>
              <w:spacing w:before="40" w:after="40"/>
              <w:jc w:val="right"/>
              <w:rPr>
                <w:szCs w:val="18"/>
              </w:rPr>
            </w:pPr>
            <w:r w:rsidRPr="00BD16B4">
              <w:rPr>
                <w:szCs w:val="18"/>
              </w:rPr>
              <w:t>4,618.35</w:t>
            </w:r>
          </w:p>
        </w:tc>
      </w:tr>
      <w:tr w:rsidR="00ED2EBD" w:rsidRPr="00BD16B4" w14:paraId="6DE0DDAF" w14:textId="77777777" w:rsidTr="004A205F">
        <w:tc>
          <w:tcPr>
            <w:tcW w:w="1985" w:type="dxa"/>
          </w:tcPr>
          <w:p w14:paraId="696FC892" w14:textId="11754F75" w:rsidR="00ED2EBD" w:rsidRPr="00BD16B4" w:rsidRDefault="00ED2EBD" w:rsidP="004366B4">
            <w:pPr>
              <w:pStyle w:val="TableText"/>
              <w:spacing w:before="40" w:after="40"/>
              <w:rPr>
                <w:szCs w:val="18"/>
              </w:rPr>
            </w:pPr>
            <w:r w:rsidRPr="00BD16B4">
              <w:rPr>
                <w:szCs w:val="18"/>
              </w:rPr>
              <w:t>3.</w:t>
            </w:r>
            <w:r w:rsidR="00280979" w:rsidRPr="00BD16B4">
              <w:rPr>
                <w:szCs w:val="18"/>
              </w:rPr>
              <w:t xml:space="preserve"> </w:t>
            </w:r>
            <w:r w:rsidRPr="00BD16B4">
              <w:rPr>
                <w:szCs w:val="18"/>
              </w:rPr>
              <w:t xml:space="preserve">Agriculture </w:t>
            </w:r>
          </w:p>
        </w:tc>
        <w:tc>
          <w:tcPr>
            <w:tcW w:w="1068" w:type="dxa"/>
          </w:tcPr>
          <w:p w14:paraId="006E8905" w14:textId="77777777" w:rsidR="00ED2EBD" w:rsidRPr="00BD16B4" w:rsidRDefault="00ED2EBD" w:rsidP="004366B4">
            <w:pPr>
              <w:pStyle w:val="TableText"/>
              <w:spacing w:before="40" w:after="40"/>
              <w:jc w:val="right"/>
              <w:rPr>
                <w:szCs w:val="18"/>
              </w:rPr>
            </w:pPr>
            <w:r w:rsidRPr="00BD16B4">
              <w:rPr>
                <w:szCs w:val="18"/>
              </w:rPr>
              <w:t>37,711.50</w:t>
            </w:r>
          </w:p>
        </w:tc>
        <w:tc>
          <w:tcPr>
            <w:tcW w:w="1068" w:type="dxa"/>
          </w:tcPr>
          <w:p w14:paraId="2B8B4196" w14:textId="77777777" w:rsidR="00ED2EBD" w:rsidRPr="00BD16B4" w:rsidRDefault="00ED2EBD" w:rsidP="004366B4">
            <w:pPr>
              <w:pStyle w:val="TableText"/>
              <w:spacing w:before="40" w:after="40"/>
              <w:jc w:val="right"/>
              <w:rPr>
                <w:szCs w:val="18"/>
              </w:rPr>
            </w:pPr>
            <w:r w:rsidRPr="00BD16B4">
              <w:rPr>
                <w:szCs w:val="18"/>
              </w:rPr>
              <w:t>38,362.27</w:t>
            </w:r>
          </w:p>
        </w:tc>
        <w:tc>
          <w:tcPr>
            <w:tcW w:w="1068" w:type="dxa"/>
          </w:tcPr>
          <w:p w14:paraId="185FD6E3" w14:textId="77777777" w:rsidR="00ED2EBD" w:rsidRPr="00BD16B4" w:rsidRDefault="00ED2EBD" w:rsidP="004366B4">
            <w:pPr>
              <w:pStyle w:val="TableText"/>
              <w:spacing w:before="40" w:after="40"/>
              <w:jc w:val="right"/>
              <w:rPr>
                <w:szCs w:val="18"/>
              </w:rPr>
            </w:pPr>
            <w:r w:rsidRPr="00BD16B4">
              <w:rPr>
                <w:szCs w:val="18"/>
              </w:rPr>
              <w:t>39,203.36</w:t>
            </w:r>
          </w:p>
        </w:tc>
        <w:tc>
          <w:tcPr>
            <w:tcW w:w="1068" w:type="dxa"/>
          </w:tcPr>
          <w:p w14:paraId="2FC374B5" w14:textId="77777777" w:rsidR="00ED2EBD" w:rsidRPr="00BD16B4" w:rsidRDefault="00ED2EBD" w:rsidP="004366B4">
            <w:pPr>
              <w:pStyle w:val="TableText"/>
              <w:spacing w:before="40" w:after="40"/>
              <w:jc w:val="right"/>
              <w:rPr>
                <w:szCs w:val="18"/>
              </w:rPr>
            </w:pPr>
            <w:r w:rsidRPr="00BD16B4">
              <w:rPr>
                <w:szCs w:val="18"/>
              </w:rPr>
              <w:t>39,306.76</w:t>
            </w:r>
          </w:p>
        </w:tc>
        <w:tc>
          <w:tcPr>
            <w:tcW w:w="1068" w:type="dxa"/>
          </w:tcPr>
          <w:p w14:paraId="7861025A" w14:textId="77777777" w:rsidR="00ED2EBD" w:rsidRPr="00BD16B4" w:rsidRDefault="00ED2EBD" w:rsidP="004366B4">
            <w:pPr>
              <w:pStyle w:val="TableText"/>
              <w:spacing w:before="40" w:after="40"/>
              <w:jc w:val="right"/>
              <w:rPr>
                <w:szCs w:val="18"/>
              </w:rPr>
            </w:pPr>
            <w:r w:rsidRPr="00BD16B4">
              <w:rPr>
                <w:szCs w:val="18"/>
              </w:rPr>
              <w:t>39,922.77</w:t>
            </w:r>
          </w:p>
        </w:tc>
        <w:tc>
          <w:tcPr>
            <w:tcW w:w="1077" w:type="dxa"/>
          </w:tcPr>
          <w:p w14:paraId="3CA440E7" w14:textId="77777777" w:rsidR="00ED2EBD" w:rsidRPr="00BD16B4" w:rsidRDefault="00ED2EBD" w:rsidP="004366B4">
            <w:pPr>
              <w:pStyle w:val="TableText"/>
              <w:spacing w:before="40" w:after="40"/>
              <w:jc w:val="right"/>
              <w:rPr>
                <w:szCs w:val="18"/>
              </w:rPr>
            </w:pPr>
            <w:r w:rsidRPr="00BD16B4">
              <w:rPr>
                <w:szCs w:val="18"/>
              </w:rPr>
              <w:t>39,415.79</w:t>
            </w:r>
          </w:p>
        </w:tc>
        <w:tc>
          <w:tcPr>
            <w:tcW w:w="1077" w:type="dxa"/>
          </w:tcPr>
          <w:p w14:paraId="045AA614" w14:textId="77777777" w:rsidR="00ED2EBD" w:rsidRPr="00BD16B4" w:rsidRDefault="00ED2EBD" w:rsidP="004366B4">
            <w:pPr>
              <w:pStyle w:val="TableText"/>
              <w:spacing w:before="40" w:after="40"/>
              <w:jc w:val="right"/>
              <w:rPr>
                <w:szCs w:val="18"/>
              </w:rPr>
            </w:pPr>
            <w:r w:rsidRPr="00BD16B4">
              <w:rPr>
                <w:szCs w:val="18"/>
              </w:rPr>
              <w:t>39,042.96</w:t>
            </w:r>
          </w:p>
        </w:tc>
        <w:tc>
          <w:tcPr>
            <w:tcW w:w="1077" w:type="dxa"/>
          </w:tcPr>
          <w:p w14:paraId="24A1FDAC" w14:textId="77777777" w:rsidR="00ED2EBD" w:rsidRPr="00BD16B4" w:rsidRDefault="00ED2EBD" w:rsidP="004366B4">
            <w:pPr>
              <w:pStyle w:val="TableText"/>
              <w:spacing w:before="40" w:after="40"/>
              <w:jc w:val="right"/>
              <w:rPr>
                <w:szCs w:val="18"/>
              </w:rPr>
            </w:pPr>
            <w:r w:rsidRPr="00BD16B4">
              <w:rPr>
                <w:szCs w:val="18"/>
              </w:rPr>
              <w:t>39,082.39</w:t>
            </w:r>
          </w:p>
        </w:tc>
        <w:tc>
          <w:tcPr>
            <w:tcW w:w="1077" w:type="dxa"/>
          </w:tcPr>
          <w:p w14:paraId="758D6FFF" w14:textId="77777777" w:rsidR="00ED2EBD" w:rsidRPr="00BD16B4" w:rsidRDefault="00ED2EBD" w:rsidP="004366B4">
            <w:pPr>
              <w:pStyle w:val="TableText"/>
              <w:spacing w:before="40" w:after="40"/>
              <w:jc w:val="right"/>
              <w:rPr>
                <w:szCs w:val="18"/>
              </w:rPr>
            </w:pPr>
            <w:r w:rsidRPr="00BD16B4">
              <w:rPr>
                <w:szCs w:val="18"/>
              </w:rPr>
              <w:t>39,368.29</w:t>
            </w:r>
          </w:p>
        </w:tc>
        <w:tc>
          <w:tcPr>
            <w:tcW w:w="1077" w:type="dxa"/>
          </w:tcPr>
          <w:p w14:paraId="4E0E7289" w14:textId="77777777" w:rsidR="00ED2EBD" w:rsidRPr="00BD16B4" w:rsidRDefault="00ED2EBD" w:rsidP="004366B4">
            <w:pPr>
              <w:pStyle w:val="TableText"/>
              <w:spacing w:before="40" w:after="40"/>
              <w:jc w:val="right"/>
              <w:rPr>
                <w:szCs w:val="18"/>
              </w:rPr>
            </w:pPr>
            <w:r w:rsidRPr="00BD16B4">
              <w:rPr>
                <w:szCs w:val="18"/>
              </w:rPr>
              <w:t>39,518.64</w:t>
            </w:r>
          </w:p>
        </w:tc>
        <w:tc>
          <w:tcPr>
            <w:tcW w:w="1077" w:type="dxa"/>
          </w:tcPr>
          <w:p w14:paraId="1B4CD700" w14:textId="77777777" w:rsidR="00ED2EBD" w:rsidRPr="00BD16B4" w:rsidRDefault="00ED2EBD" w:rsidP="004366B4">
            <w:pPr>
              <w:pStyle w:val="TableText"/>
              <w:spacing w:before="40" w:after="40"/>
              <w:jc w:val="right"/>
              <w:rPr>
                <w:szCs w:val="18"/>
              </w:rPr>
            </w:pPr>
            <w:r w:rsidRPr="00BD16B4">
              <w:rPr>
                <w:szCs w:val="18"/>
              </w:rPr>
              <w:t>39,425.54</w:t>
            </w:r>
          </w:p>
        </w:tc>
      </w:tr>
      <w:tr w:rsidR="00ED2EBD" w:rsidRPr="00BD16B4" w14:paraId="13E22CE1" w14:textId="77777777" w:rsidTr="004A205F">
        <w:tc>
          <w:tcPr>
            <w:tcW w:w="1985" w:type="dxa"/>
          </w:tcPr>
          <w:p w14:paraId="66A575BD" w14:textId="35D36889" w:rsidR="00ED2EBD" w:rsidRPr="00BD16B4" w:rsidRDefault="00ED2EBD" w:rsidP="004366B4">
            <w:pPr>
              <w:pStyle w:val="TableText"/>
              <w:spacing w:before="40" w:after="40"/>
              <w:rPr>
                <w:szCs w:val="18"/>
              </w:rPr>
            </w:pPr>
            <w:r w:rsidRPr="00BD16B4">
              <w:rPr>
                <w:szCs w:val="18"/>
              </w:rPr>
              <w:lastRenderedPageBreak/>
              <w:t>4.</w:t>
            </w:r>
            <w:r w:rsidR="00280979" w:rsidRPr="00BD16B4">
              <w:rPr>
                <w:szCs w:val="18"/>
              </w:rPr>
              <w:t xml:space="preserve"> </w:t>
            </w:r>
            <w:r w:rsidRPr="00BD16B4">
              <w:rPr>
                <w:szCs w:val="18"/>
              </w:rPr>
              <w:t>Land Use, Land-Use Change and Forestry</w:t>
            </w:r>
          </w:p>
        </w:tc>
        <w:tc>
          <w:tcPr>
            <w:tcW w:w="1068" w:type="dxa"/>
          </w:tcPr>
          <w:p w14:paraId="74A2B48A" w14:textId="77777777" w:rsidR="00ED2EBD" w:rsidRPr="00BD16B4" w:rsidRDefault="00ED2EBD" w:rsidP="004366B4">
            <w:pPr>
              <w:pStyle w:val="TableText"/>
              <w:spacing w:before="40" w:after="40"/>
              <w:jc w:val="right"/>
              <w:rPr>
                <w:szCs w:val="18"/>
              </w:rPr>
            </w:pPr>
            <w:r w:rsidRPr="00BD16B4">
              <w:rPr>
                <w:szCs w:val="18"/>
              </w:rPr>
              <w:t>-29,326.27</w:t>
            </w:r>
          </w:p>
        </w:tc>
        <w:tc>
          <w:tcPr>
            <w:tcW w:w="1068" w:type="dxa"/>
          </w:tcPr>
          <w:p w14:paraId="20F50D04" w14:textId="77777777" w:rsidR="00ED2EBD" w:rsidRPr="00BD16B4" w:rsidRDefault="00ED2EBD" w:rsidP="004366B4">
            <w:pPr>
              <w:pStyle w:val="TableText"/>
              <w:spacing w:before="40" w:after="40"/>
              <w:jc w:val="right"/>
              <w:rPr>
                <w:szCs w:val="18"/>
              </w:rPr>
            </w:pPr>
            <w:r w:rsidRPr="00BD16B4">
              <w:rPr>
                <w:szCs w:val="18"/>
              </w:rPr>
              <w:t>-29,630.20</w:t>
            </w:r>
          </w:p>
        </w:tc>
        <w:tc>
          <w:tcPr>
            <w:tcW w:w="1068" w:type="dxa"/>
          </w:tcPr>
          <w:p w14:paraId="74012818" w14:textId="77777777" w:rsidR="00ED2EBD" w:rsidRPr="00BD16B4" w:rsidRDefault="00ED2EBD" w:rsidP="004366B4">
            <w:pPr>
              <w:pStyle w:val="TableText"/>
              <w:spacing w:before="40" w:after="40"/>
              <w:jc w:val="right"/>
              <w:rPr>
                <w:szCs w:val="18"/>
              </w:rPr>
            </w:pPr>
            <w:r w:rsidRPr="00BD16B4">
              <w:rPr>
                <w:szCs w:val="18"/>
              </w:rPr>
              <w:t>-26,725.14</w:t>
            </w:r>
          </w:p>
        </w:tc>
        <w:tc>
          <w:tcPr>
            <w:tcW w:w="1068" w:type="dxa"/>
          </w:tcPr>
          <w:p w14:paraId="6B6C1228" w14:textId="77777777" w:rsidR="00ED2EBD" w:rsidRPr="00BD16B4" w:rsidRDefault="00ED2EBD" w:rsidP="004366B4">
            <w:pPr>
              <w:pStyle w:val="TableText"/>
              <w:spacing w:before="40" w:after="40"/>
              <w:jc w:val="right"/>
              <w:rPr>
                <w:szCs w:val="18"/>
              </w:rPr>
            </w:pPr>
            <w:r w:rsidRPr="00BD16B4">
              <w:rPr>
                <w:szCs w:val="18"/>
              </w:rPr>
              <w:t>-26,295.26</w:t>
            </w:r>
          </w:p>
        </w:tc>
        <w:tc>
          <w:tcPr>
            <w:tcW w:w="1068" w:type="dxa"/>
          </w:tcPr>
          <w:p w14:paraId="2C018909" w14:textId="77777777" w:rsidR="00ED2EBD" w:rsidRPr="00BD16B4" w:rsidRDefault="00ED2EBD" w:rsidP="004366B4">
            <w:pPr>
              <w:pStyle w:val="TableText"/>
              <w:spacing w:before="40" w:after="40"/>
              <w:jc w:val="right"/>
              <w:rPr>
                <w:szCs w:val="18"/>
              </w:rPr>
            </w:pPr>
            <w:r w:rsidRPr="00BD16B4">
              <w:rPr>
                <w:szCs w:val="18"/>
              </w:rPr>
              <w:t>-26,649.37</w:t>
            </w:r>
          </w:p>
        </w:tc>
        <w:tc>
          <w:tcPr>
            <w:tcW w:w="1077" w:type="dxa"/>
          </w:tcPr>
          <w:p w14:paraId="51F2E587" w14:textId="77777777" w:rsidR="00ED2EBD" w:rsidRPr="00BD16B4" w:rsidRDefault="00ED2EBD" w:rsidP="004366B4">
            <w:pPr>
              <w:pStyle w:val="TableText"/>
              <w:spacing w:before="40" w:after="40"/>
              <w:jc w:val="right"/>
              <w:rPr>
                <w:szCs w:val="18"/>
              </w:rPr>
            </w:pPr>
            <w:r w:rsidRPr="00BD16B4">
              <w:rPr>
                <w:szCs w:val="18"/>
              </w:rPr>
              <w:t>-26,610.16</w:t>
            </w:r>
          </w:p>
        </w:tc>
        <w:tc>
          <w:tcPr>
            <w:tcW w:w="1077" w:type="dxa"/>
          </w:tcPr>
          <w:p w14:paraId="6E5C3BEA" w14:textId="77777777" w:rsidR="00ED2EBD" w:rsidRPr="00BD16B4" w:rsidRDefault="00ED2EBD" w:rsidP="004366B4">
            <w:pPr>
              <w:pStyle w:val="TableText"/>
              <w:spacing w:before="40" w:after="40"/>
              <w:jc w:val="right"/>
              <w:rPr>
                <w:szCs w:val="18"/>
              </w:rPr>
            </w:pPr>
            <w:r w:rsidRPr="00BD16B4">
              <w:rPr>
                <w:szCs w:val="18"/>
              </w:rPr>
              <w:t>-26,237.97</w:t>
            </w:r>
          </w:p>
        </w:tc>
        <w:tc>
          <w:tcPr>
            <w:tcW w:w="1077" w:type="dxa"/>
          </w:tcPr>
          <w:p w14:paraId="637371F9" w14:textId="77777777" w:rsidR="00ED2EBD" w:rsidRPr="00BD16B4" w:rsidRDefault="00ED2EBD" w:rsidP="004366B4">
            <w:pPr>
              <w:pStyle w:val="TableText"/>
              <w:spacing w:before="40" w:after="40"/>
              <w:jc w:val="right"/>
              <w:rPr>
                <w:szCs w:val="18"/>
              </w:rPr>
            </w:pPr>
            <w:r w:rsidRPr="00BD16B4">
              <w:rPr>
                <w:szCs w:val="18"/>
              </w:rPr>
              <w:t>-24,703.80</w:t>
            </w:r>
          </w:p>
        </w:tc>
        <w:tc>
          <w:tcPr>
            <w:tcW w:w="1077" w:type="dxa"/>
          </w:tcPr>
          <w:p w14:paraId="5EE841EF" w14:textId="77777777" w:rsidR="00ED2EBD" w:rsidRPr="00BD16B4" w:rsidRDefault="00ED2EBD" w:rsidP="004366B4">
            <w:pPr>
              <w:pStyle w:val="TableText"/>
              <w:spacing w:before="40" w:after="40"/>
              <w:jc w:val="right"/>
              <w:rPr>
                <w:szCs w:val="18"/>
              </w:rPr>
            </w:pPr>
            <w:r w:rsidRPr="00BD16B4">
              <w:rPr>
                <w:szCs w:val="18"/>
              </w:rPr>
              <w:t>-24,302.31</w:t>
            </w:r>
          </w:p>
        </w:tc>
        <w:tc>
          <w:tcPr>
            <w:tcW w:w="1077" w:type="dxa"/>
          </w:tcPr>
          <w:p w14:paraId="0F365DEC" w14:textId="77777777" w:rsidR="00ED2EBD" w:rsidRPr="00BD16B4" w:rsidRDefault="00ED2EBD" w:rsidP="004366B4">
            <w:pPr>
              <w:pStyle w:val="TableText"/>
              <w:spacing w:before="40" w:after="40"/>
              <w:jc w:val="right"/>
              <w:rPr>
                <w:szCs w:val="18"/>
              </w:rPr>
            </w:pPr>
            <w:r w:rsidRPr="00BD16B4">
              <w:rPr>
                <w:szCs w:val="18"/>
              </w:rPr>
              <w:t>-23,034.92</w:t>
            </w:r>
          </w:p>
        </w:tc>
        <w:tc>
          <w:tcPr>
            <w:tcW w:w="1077" w:type="dxa"/>
          </w:tcPr>
          <w:p w14:paraId="33BDD005" w14:textId="77777777" w:rsidR="00ED2EBD" w:rsidRPr="00BD16B4" w:rsidRDefault="00ED2EBD" w:rsidP="004366B4">
            <w:pPr>
              <w:pStyle w:val="TableText"/>
              <w:spacing w:before="40" w:after="40"/>
              <w:jc w:val="right"/>
              <w:rPr>
                <w:szCs w:val="18"/>
              </w:rPr>
            </w:pPr>
            <w:r w:rsidRPr="00BD16B4">
              <w:rPr>
                <w:szCs w:val="18"/>
              </w:rPr>
              <w:t>-23,313.25</w:t>
            </w:r>
          </w:p>
        </w:tc>
      </w:tr>
      <w:tr w:rsidR="00ED2EBD" w:rsidRPr="00BD16B4" w14:paraId="45A89347" w14:textId="77777777" w:rsidTr="004A205F">
        <w:tc>
          <w:tcPr>
            <w:tcW w:w="1985" w:type="dxa"/>
          </w:tcPr>
          <w:p w14:paraId="66E07E24" w14:textId="56589AE8" w:rsidR="00ED2EBD" w:rsidRPr="00BD16B4" w:rsidRDefault="00ED2EBD" w:rsidP="004366B4">
            <w:pPr>
              <w:pStyle w:val="TableText"/>
              <w:spacing w:before="40" w:after="40"/>
              <w:rPr>
                <w:szCs w:val="18"/>
              </w:rPr>
            </w:pPr>
            <w:r w:rsidRPr="00BD16B4">
              <w:rPr>
                <w:szCs w:val="18"/>
              </w:rPr>
              <w:t>5.</w:t>
            </w:r>
            <w:r w:rsidR="00280979" w:rsidRPr="00BD16B4">
              <w:rPr>
                <w:szCs w:val="18"/>
              </w:rPr>
              <w:t xml:space="preserve"> </w:t>
            </w:r>
            <w:r w:rsidRPr="00BD16B4">
              <w:rPr>
                <w:szCs w:val="18"/>
              </w:rPr>
              <w:t xml:space="preserve">Waste </w:t>
            </w:r>
          </w:p>
        </w:tc>
        <w:tc>
          <w:tcPr>
            <w:tcW w:w="1068" w:type="dxa"/>
          </w:tcPr>
          <w:p w14:paraId="4D541314" w14:textId="77777777" w:rsidR="00ED2EBD" w:rsidRPr="00BD16B4" w:rsidRDefault="00ED2EBD" w:rsidP="004366B4">
            <w:pPr>
              <w:pStyle w:val="TableText"/>
              <w:spacing w:before="40" w:after="40"/>
              <w:jc w:val="right"/>
              <w:rPr>
                <w:szCs w:val="18"/>
              </w:rPr>
            </w:pPr>
            <w:r w:rsidRPr="00BD16B4">
              <w:rPr>
                <w:szCs w:val="18"/>
              </w:rPr>
              <w:t>3,871.67</w:t>
            </w:r>
          </w:p>
        </w:tc>
        <w:tc>
          <w:tcPr>
            <w:tcW w:w="1068" w:type="dxa"/>
          </w:tcPr>
          <w:p w14:paraId="2D6CC49A" w14:textId="77777777" w:rsidR="00ED2EBD" w:rsidRPr="00BD16B4" w:rsidRDefault="00ED2EBD" w:rsidP="004366B4">
            <w:pPr>
              <w:pStyle w:val="TableText"/>
              <w:spacing w:before="40" w:after="40"/>
              <w:jc w:val="right"/>
              <w:rPr>
                <w:szCs w:val="18"/>
              </w:rPr>
            </w:pPr>
            <w:r w:rsidRPr="00BD16B4">
              <w:rPr>
                <w:szCs w:val="18"/>
              </w:rPr>
              <w:t>3,724.65</w:t>
            </w:r>
          </w:p>
        </w:tc>
        <w:tc>
          <w:tcPr>
            <w:tcW w:w="1068" w:type="dxa"/>
          </w:tcPr>
          <w:p w14:paraId="40BF15B9" w14:textId="77777777" w:rsidR="00ED2EBD" w:rsidRPr="00BD16B4" w:rsidRDefault="00ED2EBD" w:rsidP="004366B4">
            <w:pPr>
              <w:pStyle w:val="TableText"/>
              <w:spacing w:before="40" w:after="40"/>
              <w:jc w:val="right"/>
              <w:rPr>
                <w:szCs w:val="18"/>
              </w:rPr>
            </w:pPr>
            <w:r w:rsidRPr="00BD16B4">
              <w:rPr>
                <w:szCs w:val="18"/>
              </w:rPr>
              <w:t>3,618.63</w:t>
            </w:r>
          </w:p>
        </w:tc>
        <w:tc>
          <w:tcPr>
            <w:tcW w:w="1068" w:type="dxa"/>
          </w:tcPr>
          <w:p w14:paraId="7DB12282" w14:textId="77777777" w:rsidR="00ED2EBD" w:rsidRPr="00BD16B4" w:rsidRDefault="00ED2EBD" w:rsidP="004366B4">
            <w:pPr>
              <w:pStyle w:val="TableText"/>
              <w:spacing w:before="40" w:after="40"/>
              <w:jc w:val="right"/>
              <w:rPr>
                <w:szCs w:val="18"/>
              </w:rPr>
            </w:pPr>
            <w:r w:rsidRPr="00BD16B4">
              <w:rPr>
                <w:szCs w:val="18"/>
              </w:rPr>
              <w:t>3,569.66</w:t>
            </w:r>
          </w:p>
        </w:tc>
        <w:tc>
          <w:tcPr>
            <w:tcW w:w="1068" w:type="dxa"/>
          </w:tcPr>
          <w:p w14:paraId="0F85E04C" w14:textId="77777777" w:rsidR="00ED2EBD" w:rsidRPr="00BD16B4" w:rsidRDefault="00ED2EBD" w:rsidP="004366B4">
            <w:pPr>
              <w:pStyle w:val="TableText"/>
              <w:spacing w:before="40" w:after="40"/>
              <w:jc w:val="right"/>
              <w:rPr>
                <w:szCs w:val="18"/>
              </w:rPr>
            </w:pPr>
            <w:r w:rsidRPr="00BD16B4">
              <w:rPr>
                <w:szCs w:val="18"/>
              </w:rPr>
              <w:t>3,525.88</w:t>
            </w:r>
          </w:p>
        </w:tc>
        <w:tc>
          <w:tcPr>
            <w:tcW w:w="1077" w:type="dxa"/>
          </w:tcPr>
          <w:p w14:paraId="1DFA7BE2" w14:textId="77777777" w:rsidR="00ED2EBD" w:rsidRPr="00BD16B4" w:rsidRDefault="00ED2EBD" w:rsidP="004366B4">
            <w:pPr>
              <w:pStyle w:val="TableText"/>
              <w:spacing w:before="40" w:after="40"/>
              <w:jc w:val="right"/>
              <w:rPr>
                <w:szCs w:val="18"/>
              </w:rPr>
            </w:pPr>
            <w:r w:rsidRPr="00BD16B4">
              <w:rPr>
                <w:szCs w:val="18"/>
              </w:rPr>
              <w:t>3,487.83</w:t>
            </w:r>
          </w:p>
        </w:tc>
        <w:tc>
          <w:tcPr>
            <w:tcW w:w="1077" w:type="dxa"/>
          </w:tcPr>
          <w:p w14:paraId="2D6F5063" w14:textId="77777777" w:rsidR="00ED2EBD" w:rsidRPr="00BD16B4" w:rsidRDefault="00ED2EBD" w:rsidP="004366B4">
            <w:pPr>
              <w:pStyle w:val="TableText"/>
              <w:spacing w:before="40" w:after="40"/>
              <w:jc w:val="right"/>
              <w:rPr>
                <w:szCs w:val="18"/>
              </w:rPr>
            </w:pPr>
            <w:r w:rsidRPr="00BD16B4">
              <w:rPr>
                <w:szCs w:val="18"/>
              </w:rPr>
              <w:t>3,460.68</w:t>
            </w:r>
          </w:p>
        </w:tc>
        <w:tc>
          <w:tcPr>
            <w:tcW w:w="1077" w:type="dxa"/>
          </w:tcPr>
          <w:p w14:paraId="226BC427" w14:textId="77777777" w:rsidR="00ED2EBD" w:rsidRPr="00BD16B4" w:rsidRDefault="00ED2EBD" w:rsidP="004366B4">
            <w:pPr>
              <w:pStyle w:val="TableText"/>
              <w:spacing w:before="40" w:after="40"/>
              <w:jc w:val="right"/>
              <w:rPr>
                <w:szCs w:val="18"/>
              </w:rPr>
            </w:pPr>
            <w:r w:rsidRPr="00BD16B4">
              <w:rPr>
                <w:szCs w:val="18"/>
              </w:rPr>
              <w:t>3,422.28</w:t>
            </w:r>
          </w:p>
        </w:tc>
        <w:tc>
          <w:tcPr>
            <w:tcW w:w="1077" w:type="dxa"/>
          </w:tcPr>
          <w:p w14:paraId="1B50CC02" w14:textId="77777777" w:rsidR="00ED2EBD" w:rsidRPr="00BD16B4" w:rsidRDefault="00ED2EBD" w:rsidP="004366B4">
            <w:pPr>
              <w:pStyle w:val="TableText"/>
              <w:spacing w:before="40" w:after="40"/>
              <w:jc w:val="right"/>
              <w:rPr>
                <w:szCs w:val="18"/>
              </w:rPr>
            </w:pPr>
            <w:r w:rsidRPr="00BD16B4">
              <w:rPr>
                <w:szCs w:val="18"/>
              </w:rPr>
              <w:t>3,358.36</w:t>
            </w:r>
          </w:p>
        </w:tc>
        <w:tc>
          <w:tcPr>
            <w:tcW w:w="1077" w:type="dxa"/>
          </w:tcPr>
          <w:p w14:paraId="05AF3947" w14:textId="77777777" w:rsidR="00ED2EBD" w:rsidRPr="00BD16B4" w:rsidRDefault="00ED2EBD" w:rsidP="004366B4">
            <w:pPr>
              <w:pStyle w:val="TableText"/>
              <w:spacing w:before="40" w:after="40"/>
              <w:jc w:val="right"/>
              <w:rPr>
                <w:szCs w:val="18"/>
              </w:rPr>
            </w:pPr>
            <w:r w:rsidRPr="00BD16B4">
              <w:rPr>
                <w:szCs w:val="18"/>
              </w:rPr>
              <w:t>3,312.70</w:t>
            </w:r>
          </w:p>
        </w:tc>
        <w:tc>
          <w:tcPr>
            <w:tcW w:w="1077" w:type="dxa"/>
          </w:tcPr>
          <w:p w14:paraId="2E351663" w14:textId="77777777" w:rsidR="00ED2EBD" w:rsidRPr="00BD16B4" w:rsidRDefault="00ED2EBD" w:rsidP="004366B4">
            <w:pPr>
              <w:pStyle w:val="TableText"/>
              <w:spacing w:before="40" w:after="40"/>
              <w:jc w:val="right"/>
              <w:rPr>
                <w:szCs w:val="18"/>
              </w:rPr>
            </w:pPr>
            <w:r w:rsidRPr="00BD16B4">
              <w:rPr>
                <w:szCs w:val="18"/>
              </w:rPr>
              <w:t>3,268.87</w:t>
            </w:r>
          </w:p>
        </w:tc>
      </w:tr>
      <w:tr w:rsidR="00ED2EBD" w:rsidRPr="00BD16B4" w14:paraId="5D05B3A2" w14:textId="77777777" w:rsidTr="004A205F">
        <w:tc>
          <w:tcPr>
            <w:tcW w:w="1985" w:type="dxa"/>
          </w:tcPr>
          <w:p w14:paraId="6F26F749" w14:textId="2B1FC3E3" w:rsidR="00ED2EBD" w:rsidRPr="00BD16B4" w:rsidRDefault="00ED2EBD" w:rsidP="004366B4">
            <w:pPr>
              <w:pStyle w:val="TableText"/>
              <w:spacing w:before="40" w:after="40"/>
              <w:rPr>
                <w:szCs w:val="18"/>
              </w:rPr>
            </w:pPr>
            <w:r w:rsidRPr="00BD16B4">
              <w:rPr>
                <w:szCs w:val="18"/>
              </w:rPr>
              <w:t>6.</w:t>
            </w:r>
            <w:r w:rsidR="00280979" w:rsidRPr="00BD16B4">
              <w:rPr>
                <w:szCs w:val="18"/>
              </w:rPr>
              <w:t xml:space="preserve"> </w:t>
            </w:r>
            <w:r w:rsidRPr="00BD16B4">
              <w:rPr>
                <w:szCs w:val="18"/>
              </w:rPr>
              <w:t>Other</w:t>
            </w:r>
          </w:p>
        </w:tc>
        <w:tc>
          <w:tcPr>
            <w:tcW w:w="1068" w:type="dxa"/>
          </w:tcPr>
          <w:p w14:paraId="44E9AC52" w14:textId="77777777" w:rsidR="00ED2EBD" w:rsidRPr="00BD16B4" w:rsidRDefault="00ED2EBD" w:rsidP="004366B4">
            <w:pPr>
              <w:pStyle w:val="TableText"/>
              <w:spacing w:before="40" w:after="40"/>
              <w:jc w:val="right"/>
              <w:rPr>
                <w:szCs w:val="18"/>
              </w:rPr>
            </w:pPr>
            <w:r w:rsidRPr="00BD16B4">
              <w:rPr>
                <w:szCs w:val="18"/>
              </w:rPr>
              <w:t>4.52</w:t>
            </w:r>
          </w:p>
        </w:tc>
        <w:tc>
          <w:tcPr>
            <w:tcW w:w="1068" w:type="dxa"/>
          </w:tcPr>
          <w:p w14:paraId="5384A8EB" w14:textId="77777777" w:rsidR="00ED2EBD" w:rsidRPr="00BD16B4" w:rsidRDefault="00ED2EBD" w:rsidP="004366B4">
            <w:pPr>
              <w:pStyle w:val="TableText"/>
              <w:spacing w:before="40" w:after="40"/>
              <w:jc w:val="right"/>
              <w:rPr>
                <w:szCs w:val="18"/>
              </w:rPr>
            </w:pPr>
            <w:r w:rsidRPr="00BD16B4">
              <w:rPr>
                <w:szCs w:val="18"/>
              </w:rPr>
              <w:t>4.54</w:t>
            </w:r>
          </w:p>
        </w:tc>
        <w:tc>
          <w:tcPr>
            <w:tcW w:w="1068" w:type="dxa"/>
          </w:tcPr>
          <w:p w14:paraId="23512520" w14:textId="77777777" w:rsidR="00ED2EBD" w:rsidRPr="00BD16B4" w:rsidRDefault="00ED2EBD" w:rsidP="004366B4">
            <w:pPr>
              <w:pStyle w:val="TableText"/>
              <w:spacing w:before="40" w:after="40"/>
              <w:jc w:val="right"/>
              <w:rPr>
                <w:szCs w:val="18"/>
              </w:rPr>
            </w:pPr>
            <w:r w:rsidRPr="00BD16B4">
              <w:rPr>
                <w:szCs w:val="18"/>
              </w:rPr>
              <w:t>4.27</w:t>
            </w:r>
          </w:p>
        </w:tc>
        <w:tc>
          <w:tcPr>
            <w:tcW w:w="1068" w:type="dxa"/>
          </w:tcPr>
          <w:p w14:paraId="7B0A09B9" w14:textId="77777777" w:rsidR="00ED2EBD" w:rsidRPr="00BD16B4" w:rsidRDefault="00ED2EBD" w:rsidP="004366B4">
            <w:pPr>
              <w:pStyle w:val="TableText"/>
              <w:spacing w:before="40" w:after="40"/>
              <w:jc w:val="right"/>
              <w:rPr>
                <w:szCs w:val="18"/>
              </w:rPr>
            </w:pPr>
            <w:r w:rsidRPr="00BD16B4">
              <w:rPr>
                <w:szCs w:val="18"/>
              </w:rPr>
              <w:t>3.52</w:t>
            </w:r>
          </w:p>
        </w:tc>
        <w:tc>
          <w:tcPr>
            <w:tcW w:w="1068" w:type="dxa"/>
          </w:tcPr>
          <w:p w14:paraId="4B23FAE3" w14:textId="77777777" w:rsidR="00ED2EBD" w:rsidRPr="00BD16B4" w:rsidRDefault="00ED2EBD" w:rsidP="004366B4">
            <w:pPr>
              <w:pStyle w:val="TableText"/>
              <w:spacing w:before="40" w:after="40"/>
              <w:jc w:val="right"/>
              <w:rPr>
                <w:szCs w:val="18"/>
              </w:rPr>
            </w:pPr>
            <w:r w:rsidRPr="00BD16B4">
              <w:rPr>
                <w:szCs w:val="18"/>
              </w:rPr>
              <w:t>3.48</w:t>
            </w:r>
          </w:p>
        </w:tc>
        <w:tc>
          <w:tcPr>
            <w:tcW w:w="1077" w:type="dxa"/>
          </w:tcPr>
          <w:p w14:paraId="3E5CB9E5" w14:textId="77777777" w:rsidR="00ED2EBD" w:rsidRPr="00BD16B4" w:rsidRDefault="00ED2EBD" w:rsidP="004366B4">
            <w:pPr>
              <w:pStyle w:val="TableText"/>
              <w:spacing w:before="40" w:after="40"/>
              <w:jc w:val="right"/>
              <w:rPr>
                <w:szCs w:val="18"/>
              </w:rPr>
            </w:pPr>
            <w:r w:rsidRPr="00BD16B4">
              <w:rPr>
                <w:szCs w:val="18"/>
              </w:rPr>
              <w:t>3.42</w:t>
            </w:r>
          </w:p>
        </w:tc>
        <w:tc>
          <w:tcPr>
            <w:tcW w:w="1077" w:type="dxa"/>
          </w:tcPr>
          <w:p w14:paraId="06546175" w14:textId="77777777" w:rsidR="00ED2EBD" w:rsidRPr="00BD16B4" w:rsidRDefault="00ED2EBD" w:rsidP="004366B4">
            <w:pPr>
              <w:pStyle w:val="TableText"/>
              <w:spacing w:before="40" w:after="40"/>
              <w:jc w:val="right"/>
              <w:rPr>
                <w:szCs w:val="18"/>
              </w:rPr>
            </w:pPr>
            <w:r w:rsidRPr="00BD16B4">
              <w:rPr>
                <w:szCs w:val="18"/>
              </w:rPr>
              <w:t>3.45</w:t>
            </w:r>
          </w:p>
        </w:tc>
        <w:tc>
          <w:tcPr>
            <w:tcW w:w="1077" w:type="dxa"/>
          </w:tcPr>
          <w:p w14:paraId="6E2B821E" w14:textId="77777777" w:rsidR="00ED2EBD" w:rsidRPr="00BD16B4" w:rsidRDefault="00ED2EBD" w:rsidP="004366B4">
            <w:pPr>
              <w:pStyle w:val="TableText"/>
              <w:spacing w:before="40" w:after="40"/>
              <w:jc w:val="right"/>
              <w:rPr>
                <w:szCs w:val="18"/>
              </w:rPr>
            </w:pPr>
            <w:r w:rsidRPr="00BD16B4">
              <w:rPr>
                <w:szCs w:val="18"/>
              </w:rPr>
              <w:t>3.53</w:t>
            </w:r>
          </w:p>
        </w:tc>
        <w:tc>
          <w:tcPr>
            <w:tcW w:w="1077" w:type="dxa"/>
          </w:tcPr>
          <w:p w14:paraId="162BB715" w14:textId="77777777" w:rsidR="00ED2EBD" w:rsidRPr="00BD16B4" w:rsidRDefault="00ED2EBD" w:rsidP="004366B4">
            <w:pPr>
              <w:pStyle w:val="TableText"/>
              <w:spacing w:before="40" w:after="40"/>
              <w:jc w:val="right"/>
              <w:rPr>
                <w:szCs w:val="18"/>
              </w:rPr>
            </w:pPr>
            <w:r w:rsidRPr="00BD16B4">
              <w:rPr>
                <w:szCs w:val="18"/>
              </w:rPr>
              <w:t>3.64</w:t>
            </w:r>
          </w:p>
        </w:tc>
        <w:tc>
          <w:tcPr>
            <w:tcW w:w="1077" w:type="dxa"/>
          </w:tcPr>
          <w:p w14:paraId="261B4F9C" w14:textId="77777777" w:rsidR="00ED2EBD" w:rsidRPr="00BD16B4" w:rsidRDefault="00ED2EBD" w:rsidP="004366B4">
            <w:pPr>
              <w:pStyle w:val="TableText"/>
              <w:spacing w:before="40" w:after="40"/>
              <w:jc w:val="right"/>
              <w:rPr>
                <w:szCs w:val="18"/>
              </w:rPr>
            </w:pPr>
            <w:r w:rsidRPr="00BD16B4">
              <w:rPr>
                <w:szCs w:val="18"/>
              </w:rPr>
              <w:t>4.30</w:t>
            </w:r>
          </w:p>
        </w:tc>
        <w:tc>
          <w:tcPr>
            <w:tcW w:w="1077" w:type="dxa"/>
          </w:tcPr>
          <w:p w14:paraId="00C9E93F" w14:textId="77777777" w:rsidR="00ED2EBD" w:rsidRPr="00BD16B4" w:rsidRDefault="00ED2EBD" w:rsidP="004366B4">
            <w:pPr>
              <w:pStyle w:val="TableText"/>
              <w:spacing w:before="40" w:after="40"/>
              <w:jc w:val="right"/>
              <w:rPr>
                <w:szCs w:val="18"/>
              </w:rPr>
            </w:pPr>
            <w:r w:rsidRPr="00BD16B4">
              <w:rPr>
                <w:szCs w:val="18"/>
              </w:rPr>
              <w:t>4.18</w:t>
            </w:r>
          </w:p>
        </w:tc>
      </w:tr>
      <w:tr w:rsidR="00ED2EBD" w:rsidRPr="00BD16B4" w14:paraId="5C68A065" w14:textId="77777777" w:rsidTr="004A205F">
        <w:tc>
          <w:tcPr>
            <w:tcW w:w="1985" w:type="dxa"/>
          </w:tcPr>
          <w:p w14:paraId="3EC92BF7" w14:textId="77777777" w:rsidR="00ED2EBD" w:rsidRPr="00BD16B4" w:rsidRDefault="00ED2EBD" w:rsidP="004366B4">
            <w:pPr>
              <w:pStyle w:val="TableText"/>
              <w:spacing w:before="40" w:after="40"/>
              <w:rPr>
                <w:szCs w:val="18"/>
              </w:rPr>
            </w:pPr>
            <w:r w:rsidRPr="00BD16B4">
              <w:rPr>
                <w:b/>
                <w:bCs/>
                <w:szCs w:val="18"/>
              </w:rPr>
              <w:t>Total (including LULUCF)</w:t>
            </w:r>
          </w:p>
        </w:tc>
        <w:tc>
          <w:tcPr>
            <w:tcW w:w="1068" w:type="dxa"/>
          </w:tcPr>
          <w:p w14:paraId="46A86711" w14:textId="77777777" w:rsidR="00ED2EBD" w:rsidRPr="00BD16B4" w:rsidRDefault="00ED2EBD" w:rsidP="004366B4">
            <w:pPr>
              <w:pStyle w:val="TableText"/>
              <w:spacing w:before="40" w:after="40"/>
              <w:jc w:val="right"/>
              <w:rPr>
                <w:szCs w:val="18"/>
              </w:rPr>
            </w:pPr>
            <w:r w:rsidRPr="00BD16B4">
              <w:rPr>
                <w:szCs w:val="18"/>
              </w:rPr>
              <w:t>49,100.05</w:t>
            </w:r>
          </w:p>
        </w:tc>
        <w:tc>
          <w:tcPr>
            <w:tcW w:w="1068" w:type="dxa"/>
          </w:tcPr>
          <w:p w14:paraId="4586C3D4" w14:textId="77777777" w:rsidR="00ED2EBD" w:rsidRPr="00BD16B4" w:rsidRDefault="00ED2EBD" w:rsidP="004366B4">
            <w:pPr>
              <w:pStyle w:val="TableText"/>
              <w:spacing w:before="40" w:after="40"/>
              <w:jc w:val="right"/>
              <w:rPr>
                <w:szCs w:val="18"/>
              </w:rPr>
            </w:pPr>
            <w:r w:rsidRPr="00BD16B4">
              <w:rPr>
                <w:szCs w:val="18"/>
              </w:rPr>
              <w:t>48,660.08</w:t>
            </w:r>
          </w:p>
        </w:tc>
        <w:tc>
          <w:tcPr>
            <w:tcW w:w="1068" w:type="dxa"/>
          </w:tcPr>
          <w:p w14:paraId="5E136EE3" w14:textId="77777777" w:rsidR="00ED2EBD" w:rsidRPr="00BD16B4" w:rsidRDefault="00ED2EBD" w:rsidP="004366B4">
            <w:pPr>
              <w:pStyle w:val="TableText"/>
              <w:spacing w:before="40" w:after="40"/>
              <w:jc w:val="right"/>
              <w:rPr>
                <w:szCs w:val="18"/>
              </w:rPr>
            </w:pPr>
            <w:r w:rsidRPr="00BD16B4">
              <w:rPr>
                <w:szCs w:val="18"/>
              </w:rPr>
              <w:t>53,757.43</w:t>
            </w:r>
          </w:p>
        </w:tc>
        <w:tc>
          <w:tcPr>
            <w:tcW w:w="1068" w:type="dxa"/>
          </w:tcPr>
          <w:p w14:paraId="2A91D042" w14:textId="77777777" w:rsidR="00ED2EBD" w:rsidRPr="00BD16B4" w:rsidRDefault="00ED2EBD" w:rsidP="004366B4">
            <w:pPr>
              <w:pStyle w:val="TableText"/>
              <w:spacing w:before="40" w:after="40"/>
              <w:jc w:val="right"/>
              <w:rPr>
                <w:szCs w:val="18"/>
              </w:rPr>
            </w:pPr>
            <w:r w:rsidRPr="00BD16B4">
              <w:rPr>
                <w:szCs w:val="18"/>
              </w:rPr>
              <w:t>53,510.39</w:t>
            </w:r>
          </w:p>
        </w:tc>
        <w:tc>
          <w:tcPr>
            <w:tcW w:w="1068" w:type="dxa"/>
          </w:tcPr>
          <w:p w14:paraId="36EF4CFE" w14:textId="77777777" w:rsidR="00ED2EBD" w:rsidRPr="00BD16B4" w:rsidRDefault="00ED2EBD" w:rsidP="004366B4">
            <w:pPr>
              <w:pStyle w:val="TableText"/>
              <w:spacing w:before="40" w:after="40"/>
              <w:jc w:val="right"/>
              <w:rPr>
                <w:szCs w:val="18"/>
              </w:rPr>
            </w:pPr>
            <w:r w:rsidRPr="00BD16B4">
              <w:rPr>
                <w:szCs w:val="18"/>
              </w:rPr>
              <w:t>53,969.03</w:t>
            </w:r>
          </w:p>
        </w:tc>
        <w:tc>
          <w:tcPr>
            <w:tcW w:w="1077" w:type="dxa"/>
          </w:tcPr>
          <w:p w14:paraId="15697E06" w14:textId="77777777" w:rsidR="00ED2EBD" w:rsidRPr="00BD16B4" w:rsidRDefault="00ED2EBD" w:rsidP="004366B4">
            <w:pPr>
              <w:pStyle w:val="TableText"/>
              <w:spacing w:before="40" w:after="40"/>
              <w:jc w:val="right"/>
              <w:rPr>
                <w:szCs w:val="18"/>
              </w:rPr>
            </w:pPr>
            <w:r w:rsidRPr="00BD16B4">
              <w:rPr>
                <w:szCs w:val="18"/>
              </w:rPr>
              <w:t>53,839.90</w:t>
            </w:r>
          </w:p>
        </w:tc>
        <w:tc>
          <w:tcPr>
            <w:tcW w:w="1077" w:type="dxa"/>
          </w:tcPr>
          <w:p w14:paraId="0B14662E" w14:textId="77777777" w:rsidR="00ED2EBD" w:rsidRPr="00BD16B4" w:rsidRDefault="00ED2EBD" w:rsidP="004366B4">
            <w:pPr>
              <w:pStyle w:val="TableText"/>
              <w:spacing w:before="40" w:after="40"/>
              <w:jc w:val="right"/>
              <w:rPr>
                <w:szCs w:val="18"/>
              </w:rPr>
            </w:pPr>
            <w:r w:rsidRPr="00BD16B4">
              <w:rPr>
                <w:szCs w:val="18"/>
              </w:rPr>
              <w:t>52,153.51</w:t>
            </w:r>
          </w:p>
        </w:tc>
        <w:tc>
          <w:tcPr>
            <w:tcW w:w="1077" w:type="dxa"/>
          </w:tcPr>
          <w:p w14:paraId="28A09674" w14:textId="77777777" w:rsidR="00ED2EBD" w:rsidRPr="00BD16B4" w:rsidRDefault="00ED2EBD" w:rsidP="004366B4">
            <w:pPr>
              <w:pStyle w:val="TableText"/>
              <w:spacing w:before="40" w:after="40"/>
              <w:jc w:val="right"/>
              <w:rPr>
                <w:szCs w:val="18"/>
              </w:rPr>
            </w:pPr>
            <w:r w:rsidRPr="00BD16B4">
              <w:rPr>
                <w:szCs w:val="18"/>
              </w:rPr>
              <w:t>55,185.79</w:t>
            </w:r>
          </w:p>
        </w:tc>
        <w:tc>
          <w:tcPr>
            <w:tcW w:w="1077" w:type="dxa"/>
          </w:tcPr>
          <w:p w14:paraId="33B8AC45" w14:textId="77777777" w:rsidR="00ED2EBD" w:rsidRPr="00BD16B4" w:rsidRDefault="00ED2EBD" w:rsidP="004366B4">
            <w:pPr>
              <w:pStyle w:val="TableText"/>
              <w:spacing w:before="40" w:after="40"/>
              <w:jc w:val="right"/>
              <w:rPr>
                <w:szCs w:val="18"/>
              </w:rPr>
            </w:pPr>
            <w:r w:rsidRPr="00BD16B4">
              <w:rPr>
                <w:szCs w:val="18"/>
              </w:rPr>
              <w:t>55,777.28</w:t>
            </w:r>
          </w:p>
        </w:tc>
        <w:tc>
          <w:tcPr>
            <w:tcW w:w="1077" w:type="dxa"/>
          </w:tcPr>
          <w:p w14:paraId="4EB59B86" w14:textId="77777777" w:rsidR="00ED2EBD" w:rsidRPr="00BD16B4" w:rsidRDefault="00ED2EBD" w:rsidP="004366B4">
            <w:pPr>
              <w:pStyle w:val="TableText"/>
              <w:spacing w:before="40" w:after="40"/>
              <w:jc w:val="right"/>
              <w:rPr>
                <w:szCs w:val="18"/>
              </w:rPr>
            </w:pPr>
            <w:r w:rsidRPr="00BD16B4">
              <w:rPr>
                <w:szCs w:val="18"/>
              </w:rPr>
              <w:t>58,582.14</w:t>
            </w:r>
          </w:p>
        </w:tc>
        <w:tc>
          <w:tcPr>
            <w:tcW w:w="1077" w:type="dxa"/>
          </w:tcPr>
          <w:p w14:paraId="281C2FF5" w14:textId="77777777" w:rsidR="00ED2EBD" w:rsidRPr="00BD16B4" w:rsidRDefault="00ED2EBD" w:rsidP="004366B4">
            <w:pPr>
              <w:pStyle w:val="TableText"/>
              <w:spacing w:before="40" w:after="40"/>
              <w:jc w:val="right"/>
              <w:rPr>
                <w:szCs w:val="18"/>
              </w:rPr>
            </w:pPr>
            <w:r w:rsidRPr="00BD16B4">
              <w:rPr>
                <w:szCs w:val="18"/>
              </w:rPr>
              <w:t>55,465.11</w:t>
            </w:r>
          </w:p>
        </w:tc>
      </w:tr>
    </w:tbl>
    <w:p w14:paraId="34DE2D17" w14:textId="77777777" w:rsidR="00ED2EBD" w:rsidRPr="00BD16B4" w:rsidRDefault="00ED2EBD" w:rsidP="00ED2EBD">
      <w:pPr>
        <w:pStyle w:val="Note"/>
      </w:pPr>
      <w:r w:rsidRPr="00BD16B4">
        <w:rPr>
          <w:b/>
        </w:rPr>
        <w:t>Note:</w:t>
      </w:r>
      <w:r w:rsidRPr="00BD16B4">
        <w:t xml:space="preserve"> CO</w:t>
      </w:r>
      <w:r w:rsidRPr="00BD16B4">
        <w:rPr>
          <w:vertAlign w:val="subscript"/>
        </w:rPr>
        <w:t>2</w:t>
      </w:r>
      <w:r w:rsidRPr="00BD16B4">
        <w:t xml:space="preserve"> = carbon dioxide; CH</w:t>
      </w:r>
      <w:r w:rsidRPr="00BD16B4">
        <w:rPr>
          <w:vertAlign w:val="subscript"/>
        </w:rPr>
        <w:t>4</w:t>
      </w:r>
      <w:r w:rsidRPr="00BD16B4">
        <w:t xml:space="preserve"> = methane; HFCs = hydrofluorocarbons; kt CO</w:t>
      </w:r>
      <w:r w:rsidRPr="00BD16B4">
        <w:rPr>
          <w:vertAlign w:val="subscript"/>
        </w:rPr>
        <w:t>2</w:t>
      </w:r>
      <w:r w:rsidRPr="00BD16B4">
        <w:t>-equivalent = kilotonnes of carbon dioxide equivalent; LULUCF = land, land-use change and forestry; N</w:t>
      </w:r>
      <w:r w:rsidRPr="00BD16B4">
        <w:rPr>
          <w:vertAlign w:val="subscript"/>
        </w:rPr>
        <w:t>2</w:t>
      </w:r>
      <w:r w:rsidRPr="00BD16B4">
        <w:t>O = nitrous oxide; NA = not applicable; NF</w:t>
      </w:r>
      <w:r w:rsidRPr="00BD16B4">
        <w:rPr>
          <w:vertAlign w:val="subscript"/>
        </w:rPr>
        <w:t>3</w:t>
      </w:r>
      <w:r w:rsidRPr="00BD16B4">
        <w:t xml:space="preserve"> = nitrogen trifluoride; NO = not occurring; PFCs = perfluorocarbons; SF</w:t>
      </w:r>
      <w:r w:rsidRPr="00BD16B4">
        <w:rPr>
          <w:vertAlign w:val="subscript"/>
        </w:rPr>
        <w:t xml:space="preserve">6 </w:t>
      </w:r>
      <w:r w:rsidRPr="00BD16B4">
        <w:t>= sulphur hexafluoride.</w:t>
      </w:r>
    </w:p>
    <w:p w14:paraId="4A74A27F" w14:textId="77777777" w:rsidR="00ED2EBD" w:rsidRPr="00BD16B4" w:rsidRDefault="00ED2EBD" w:rsidP="00B05A88">
      <w:pPr>
        <w:pStyle w:val="BodyText"/>
        <w:spacing w:before="0" w:after="0"/>
      </w:pPr>
    </w:p>
    <w:p w14:paraId="778AC57D" w14:textId="77777777" w:rsidR="00ED2EBD" w:rsidRPr="00BD16B4" w:rsidRDefault="00ED2EBD" w:rsidP="00ED2EBD">
      <w:pPr>
        <w:pStyle w:val="Tableheading"/>
      </w:pPr>
      <w:bookmarkStart w:id="447" w:name="_Toc121773832"/>
      <w:r w:rsidRPr="00BD16B4">
        <w:t>Table A.2:</w:t>
      </w:r>
      <w:r w:rsidRPr="00BD16B4">
        <w:tab/>
        <w:t>Emissions trends (CO</w:t>
      </w:r>
      <w:r w:rsidRPr="00BD16B4">
        <w:rPr>
          <w:vertAlign w:val="subscript"/>
        </w:rPr>
        <w:t>2</w:t>
      </w:r>
      <w:r w:rsidRPr="00BD16B4">
        <w:t>) (CTF Table 1(a)) (three parts)</w:t>
      </w:r>
      <w:bookmarkEnd w:id="447"/>
    </w:p>
    <w:p w14:paraId="21C74712" w14:textId="77777777" w:rsidR="00ED2EBD" w:rsidRPr="00BD16B4" w:rsidRDefault="00ED2EBD" w:rsidP="00ED2EBD">
      <w:pPr>
        <w:pStyle w:val="CTFTableheading"/>
      </w:pPr>
      <w:r w:rsidRPr="00BD16B4">
        <w:t>Table A.2:</w:t>
      </w:r>
      <w:r w:rsidRPr="00BD16B4">
        <w:tab/>
        <w:t>Emissions trends (CO</w:t>
      </w:r>
      <w:r w:rsidRPr="00BD16B4">
        <w:rPr>
          <w:vertAlign w:val="subscript"/>
        </w:rPr>
        <w:t>2</w:t>
      </w:r>
      <w:r w:rsidRPr="00BD16B4">
        <w:t>) (CTF Table 1(a)) (part 1 of 3)</w:t>
      </w:r>
    </w:p>
    <w:tbl>
      <w:tblPr>
        <w:tblStyle w:val="MinistryfortheEnvironment"/>
        <w:tblW w:w="14515" w:type="dxa"/>
        <w:tblInd w:w="113" w:type="dxa"/>
        <w:tblCellMar>
          <w:bottom w:w="0" w:type="dxa"/>
        </w:tblCellMar>
        <w:tblLook w:val="04A0" w:firstRow="1" w:lastRow="0" w:firstColumn="1" w:lastColumn="0" w:noHBand="0" w:noVBand="1"/>
      </w:tblPr>
      <w:tblGrid>
        <w:gridCol w:w="4204"/>
        <w:gridCol w:w="1145"/>
        <w:gridCol w:w="1145"/>
        <w:gridCol w:w="1145"/>
        <w:gridCol w:w="1146"/>
        <w:gridCol w:w="1146"/>
        <w:gridCol w:w="1146"/>
        <w:gridCol w:w="1146"/>
        <w:gridCol w:w="1146"/>
        <w:gridCol w:w="1146"/>
      </w:tblGrid>
      <w:tr w:rsidR="004366B4" w:rsidRPr="00BD16B4" w14:paraId="59801492" w14:textId="77777777" w:rsidTr="00DF055B">
        <w:trPr>
          <w:cnfStyle w:val="100000000000" w:firstRow="1" w:lastRow="0" w:firstColumn="0" w:lastColumn="0" w:oddVBand="0" w:evenVBand="0" w:oddHBand="0" w:evenHBand="0" w:firstRowFirstColumn="0" w:firstRowLastColumn="0" w:lastRowFirstColumn="0" w:lastRowLastColumn="0"/>
          <w:tblHeader/>
        </w:trPr>
        <w:tc>
          <w:tcPr>
            <w:tcW w:w="3539" w:type="dxa"/>
            <w:tcBorders>
              <w:top w:val="single" w:sz="4" w:space="0" w:color="1B556B" w:themeColor="text2"/>
            </w:tcBorders>
            <w:vAlign w:val="bottom"/>
          </w:tcPr>
          <w:p w14:paraId="74FE3E59" w14:textId="77777777" w:rsidR="00ED2EBD" w:rsidRPr="00BD16B4" w:rsidRDefault="00ED2EBD" w:rsidP="004A205F">
            <w:pPr>
              <w:pStyle w:val="TableTextbold"/>
              <w:spacing w:before="40" w:after="40"/>
              <w:rPr>
                <w:b/>
                <w:bCs/>
                <w:szCs w:val="14"/>
              </w:rPr>
            </w:pPr>
            <w:r w:rsidRPr="00BD16B4">
              <w:rPr>
                <w:b/>
                <w:bCs/>
                <w:szCs w:val="14"/>
              </w:rPr>
              <w:t xml:space="preserve">Greenhouse gas source and sink categories </w:t>
            </w:r>
          </w:p>
        </w:tc>
        <w:tc>
          <w:tcPr>
            <w:tcW w:w="964" w:type="dxa"/>
            <w:tcBorders>
              <w:top w:val="single" w:sz="4" w:space="0" w:color="1B556B" w:themeColor="text2"/>
            </w:tcBorders>
            <w:vAlign w:val="bottom"/>
          </w:tcPr>
          <w:p w14:paraId="58AAE11B" w14:textId="47634FD0" w:rsidR="00ED2EBD" w:rsidRPr="00BD16B4" w:rsidRDefault="00ED2EBD" w:rsidP="004A205F">
            <w:pPr>
              <w:pStyle w:val="TableTextbold"/>
              <w:spacing w:before="40" w:after="40"/>
              <w:jc w:val="center"/>
              <w:rPr>
                <w:b/>
                <w:bCs/>
                <w:szCs w:val="14"/>
              </w:rPr>
            </w:pPr>
            <w:r w:rsidRPr="00BD16B4">
              <w:rPr>
                <w:b/>
                <w:bCs/>
                <w:szCs w:val="14"/>
              </w:rPr>
              <w:t xml:space="preserve">Base year </w:t>
            </w:r>
            <w:r w:rsidR="004366B4" w:rsidRPr="00BD16B4">
              <w:rPr>
                <w:b/>
                <w:bCs/>
                <w:szCs w:val="14"/>
              </w:rPr>
              <w:br/>
            </w:r>
            <w:r w:rsidRPr="00BD16B4">
              <w:rPr>
                <w:b/>
                <w:bCs/>
                <w:szCs w:val="14"/>
              </w:rPr>
              <w:t>1990</w:t>
            </w:r>
            <w:r w:rsidR="004366B4" w:rsidRPr="00BD16B4">
              <w:rPr>
                <w:b/>
                <w:bCs/>
                <w:szCs w:val="14"/>
              </w:rPr>
              <w:t xml:space="preserve"> </w:t>
            </w:r>
            <w:r w:rsidRPr="00BD16B4">
              <w:rPr>
                <w:b/>
                <w:bCs/>
                <w:szCs w:val="14"/>
              </w:rPr>
              <w:t>(kt)</w:t>
            </w:r>
          </w:p>
        </w:tc>
        <w:tc>
          <w:tcPr>
            <w:tcW w:w="964" w:type="dxa"/>
            <w:tcBorders>
              <w:top w:val="single" w:sz="4" w:space="0" w:color="1B556B" w:themeColor="text2"/>
            </w:tcBorders>
            <w:vAlign w:val="bottom"/>
          </w:tcPr>
          <w:p w14:paraId="2E8A9D8E" w14:textId="77777777" w:rsidR="00ED2EBD" w:rsidRPr="00BD16B4" w:rsidRDefault="00ED2EBD" w:rsidP="004A205F">
            <w:pPr>
              <w:pStyle w:val="TableTextbold"/>
              <w:spacing w:before="40" w:after="40"/>
              <w:jc w:val="center"/>
              <w:rPr>
                <w:b/>
                <w:bCs/>
                <w:szCs w:val="14"/>
              </w:rPr>
            </w:pPr>
            <w:r w:rsidRPr="00BD16B4">
              <w:rPr>
                <w:b/>
                <w:bCs/>
                <w:szCs w:val="14"/>
              </w:rPr>
              <w:t>1991</w:t>
            </w:r>
            <w:r w:rsidRPr="00BD16B4">
              <w:rPr>
                <w:b/>
                <w:bCs/>
                <w:szCs w:val="14"/>
              </w:rPr>
              <w:br/>
              <w:t>(kt)</w:t>
            </w:r>
          </w:p>
        </w:tc>
        <w:tc>
          <w:tcPr>
            <w:tcW w:w="964" w:type="dxa"/>
            <w:tcBorders>
              <w:top w:val="single" w:sz="4" w:space="0" w:color="1B556B" w:themeColor="text2"/>
            </w:tcBorders>
            <w:vAlign w:val="bottom"/>
          </w:tcPr>
          <w:p w14:paraId="16CB14C6" w14:textId="77777777" w:rsidR="00ED2EBD" w:rsidRPr="00BD16B4" w:rsidRDefault="00ED2EBD" w:rsidP="004A205F">
            <w:pPr>
              <w:pStyle w:val="TableTextbold"/>
              <w:spacing w:before="40" w:after="40"/>
              <w:jc w:val="center"/>
              <w:rPr>
                <w:b/>
                <w:bCs/>
                <w:szCs w:val="14"/>
              </w:rPr>
            </w:pPr>
            <w:r w:rsidRPr="00BD16B4">
              <w:rPr>
                <w:b/>
                <w:bCs/>
                <w:szCs w:val="14"/>
              </w:rPr>
              <w:t>1992</w:t>
            </w:r>
            <w:r w:rsidRPr="00BD16B4">
              <w:rPr>
                <w:b/>
                <w:bCs/>
                <w:szCs w:val="14"/>
              </w:rPr>
              <w:br/>
              <w:t>(kt)</w:t>
            </w:r>
          </w:p>
        </w:tc>
        <w:tc>
          <w:tcPr>
            <w:tcW w:w="964" w:type="dxa"/>
            <w:tcBorders>
              <w:top w:val="single" w:sz="4" w:space="0" w:color="1B556B" w:themeColor="text2"/>
            </w:tcBorders>
            <w:vAlign w:val="bottom"/>
          </w:tcPr>
          <w:p w14:paraId="07E8AEA6" w14:textId="77777777" w:rsidR="00ED2EBD" w:rsidRPr="00BD16B4" w:rsidRDefault="00ED2EBD" w:rsidP="004A205F">
            <w:pPr>
              <w:pStyle w:val="TableTextbold"/>
              <w:spacing w:before="40" w:after="40"/>
              <w:jc w:val="center"/>
              <w:rPr>
                <w:b/>
                <w:bCs/>
                <w:szCs w:val="14"/>
              </w:rPr>
            </w:pPr>
            <w:r w:rsidRPr="00BD16B4">
              <w:rPr>
                <w:b/>
                <w:bCs/>
                <w:szCs w:val="14"/>
              </w:rPr>
              <w:t>1993</w:t>
            </w:r>
            <w:r w:rsidRPr="00BD16B4">
              <w:rPr>
                <w:b/>
                <w:bCs/>
                <w:szCs w:val="14"/>
              </w:rPr>
              <w:br/>
              <w:t>(kt)</w:t>
            </w:r>
          </w:p>
        </w:tc>
        <w:tc>
          <w:tcPr>
            <w:tcW w:w="964" w:type="dxa"/>
            <w:tcBorders>
              <w:top w:val="single" w:sz="4" w:space="0" w:color="1B556B" w:themeColor="text2"/>
            </w:tcBorders>
            <w:vAlign w:val="bottom"/>
          </w:tcPr>
          <w:p w14:paraId="0480CB0F" w14:textId="77777777" w:rsidR="00ED2EBD" w:rsidRPr="00BD16B4" w:rsidRDefault="00ED2EBD" w:rsidP="004A205F">
            <w:pPr>
              <w:pStyle w:val="TableTextbold"/>
              <w:spacing w:before="40" w:after="40"/>
              <w:jc w:val="center"/>
              <w:rPr>
                <w:b/>
                <w:bCs/>
                <w:szCs w:val="14"/>
              </w:rPr>
            </w:pPr>
            <w:r w:rsidRPr="00BD16B4">
              <w:rPr>
                <w:b/>
                <w:bCs/>
                <w:szCs w:val="14"/>
              </w:rPr>
              <w:t>1994</w:t>
            </w:r>
            <w:r w:rsidRPr="00BD16B4">
              <w:rPr>
                <w:b/>
                <w:bCs/>
                <w:szCs w:val="14"/>
              </w:rPr>
              <w:br/>
              <w:t>(kt)</w:t>
            </w:r>
          </w:p>
        </w:tc>
        <w:tc>
          <w:tcPr>
            <w:tcW w:w="964" w:type="dxa"/>
            <w:tcBorders>
              <w:top w:val="single" w:sz="4" w:space="0" w:color="1B556B" w:themeColor="text2"/>
            </w:tcBorders>
            <w:vAlign w:val="bottom"/>
          </w:tcPr>
          <w:p w14:paraId="5BFAAD21" w14:textId="77777777" w:rsidR="00ED2EBD" w:rsidRPr="00BD16B4" w:rsidRDefault="00ED2EBD" w:rsidP="004A205F">
            <w:pPr>
              <w:pStyle w:val="TableTextbold"/>
              <w:spacing w:before="40" w:after="40"/>
              <w:jc w:val="center"/>
              <w:rPr>
                <w:b/>
                <w:bCs/>
                <w:szCs w:val="14"/>
              </w:rPr>
            </w:pPr>
            <w:r w:rsidRPr="00BD16B4">
              <w:rPr>
                <w:b/>
                <w:bCs/>
                <w:szCs w:val="14"/>
              </w:rPr>
              <w:t>1995</w:t>
            </w:r>
            <w:r w:rsidRPr="00BD16B4">
              <w:rPr>
                <w:b/>
                <w:bCs/>
                <w:szCs w:val="14"/>
              </w:rPr>
              <w:br/>
              <w:t>(kt)</w:t>
            </w:r>
          </w:p>
        </w:tc>
        <w:tc>
          <w:tcPr>
            <w:tcW w:w="964" w:type="dxa"/>
            <w:tcBorders>
              <w:top w:val="single" w:sz="4" w:space="0" w:color="1B556B" w:themeColor="text2"/>
            </w:tcBorders>
            <w:vAlign w:val="bottom"/>
          </w:tcPr>
          <w:p w14:paraId="3AD0AB0C" w14:textId="77777777" w:rsidR="00ED2EBD" w:rsidRPr="00BD16B4" w:rsidRDefault="00ED2EBD" w:rsidP="004A205F">
            <w:pPr>
              <w:pStyle w:val="TableTextbold"/>
              <w:spacing w:before="40" w:after="40"/>
              <w:jc w:val="center"/>
              <w:rPr>
                <w:b/>
                <w:bCs/>
                <w:szCs w:val="14"/>
              </w:rPr>
            </w:pPr>
            <w:r w:rsidRPr="00BD16B4">
              <w:rPr>
                <w:b/>
                <w:bCs/>
                <w:szCs w:val="14"/>
              </w:rPr>
              <w:t>1996</w:t>
            </w:r>
            <w:r w:rsidRPr="00BD16B4">
              <w:rPr>
                <w:b/>
                <w:bCs/>
                <w:szCs w:val="14"/>
              </w:rPr>
              <w:br/>
              <w:t>(kt)</w:t>
            </w:r>
          </w:p>
        </w:tc>
        <w:tc>
          <w:tcPr>
            <w:tcW w:w="964" w:type="dxa"/>
            <w:tcBorders>
              <w:top w:val="single" w:sz="4" w:space="0" w:color="1B556B" w:themeColor="text2"/>
            </w:tcBorders>
            <w:vAlign w:val="bottom"/>
          </w:tcPr>
          <w:p w14:paraId="723EBFF3" w14:textId="77777777" w:rsidR="00ED2EBD" w:rsidRPr="00BD16B4" w:rsidRDefault="00ED2EBD" w:rsidP="004A205F">
            <w:pPr>
              <w:pStyle w:val="TableTextbold"/>
              <w:spacing w:before="40" w:after="40"/>
              <w:jc w:val="center"/>
              <w:rPr>
                <w:b/>
                <w:bCs/>
                <w:szCs w:val="14"/>
              </w:rPr>
            </w:pPr>
            <w:r w:rsidRPr="00BD16B4">
              <w:rPr>
                <w:b/>
                <w:bCs/>
                <w:szCs w:val="14"/>
              </w:rPr>
              <w:t>1997</w:t>
            </w:r>
            <w:r w:rsidRPr="00BD16B4">
              <w:rPr>
                <w:b/>
                <w:bCs/>
                <w:szCs w:val="14"/>
              </w:rPr>
              <w:br/>
              <w:t>(kt)</w:t>
            </w:r>
          </w:p>
        </w:tc>
        <w:tc>
          <w:tcPr>
            <w:tcW w:w="964" w:type="dxa"/>
            <w:tcBorders>
              <w:top w:val="single" w:sz="4" w:space="0" w:color="1B556B" w:themeColor="text2"/>
            </w:tcBorders>
            <w:vAlign w:val="bottom"/>
          </w:tcPr>
          <w:p w14:paraId="6C56D040" w14:textId="77777777" w:rsidR="00ED2EBD" w:rsidRPr="00BD16B4" w:rsidRDefault="00ED2EBD" w:rsidP="004A205F">
            <w:pPr>
              <w:pStyle w:val="TableTextbold"/>
              <w:spacing w:before="40" w:after="40"/>
              <w:jc w:val="center"/>
              <w:rPr>
                <w:b/>
                <w:bCs/>
                <w:szCs w:val="14"/>
              </w:rPr>
            </w:pPr>
            <w:r w:rsidRPr="00BD16B4">
              <w:rPr>
                <w:b/>
                <w:bCs/>
                <w:szCs w:val="14"/>
              </w:rPr>
              <w:t>1998</w:t>
            </w:r>
            <w:r w:rsidRPr="00BD16B4">
              <w:rPr>
                <w:b/>
                <w:bCs/>
                <w:szCs w:val="14"/>
              </w:rPr>
              <w:br/>
              <w:t>(kt)</w:t>
            </w:r>
          </w:p>
        </w:tc>
      </w:tr>
      <w:tr w:rsidR="00ED2EBD" w:rsidRPr="00BD16B4" w14:paraId="533A100A" w14:textId="77777777" w:rsidTr="00DF055B">
        <w:tc>
          <w:tcPr>
            <w:tcW w:w="3539" w:type="dxa"/>
          </w:tcPr>
          <w:p w14:paraId="21A1FF7B" w14:textId="77777777" w:rsidR="00ED2EBD" w:rsidRPr="00BD16B4" w:rsidRDefault="00ED2EBD" w:rsidP="004A205F">
            <w:pPr>
              <w:pStyle w:val="TableText"/>
              <w:spacing w:before="40" w:after="40"/>
              <w:rPr>
                <w:szCs w:val="18"/>
              </w:rPr>
            </w:pPr>
            <w:r w:rsidRPr="00BD16B4">
              <w:rPr>
                <w:b/>
                <w:bCs/>
                <w:szCs w:val="18"/>
              </w:rPr>
              <w:t>1. Energy</w:t>
            </w:r>
          </w:p>
        </w:tc>
        <w:tc>
          <w:tcPr>
            <w:tcW w:w="964" w:type="dxa"/>
          </w:tcPr>
          <w:p w14:paraId="5ED2CE60" w14:textId="77777777" w:rsidR="00ED2EBD" w:rsidRPr="00BD16B4" w:rsidRDefault="00ED2EBD" w:rsidP="004A205F">
            <w:pPr>
              <w:pStyle w:val="TableText"/>
              <w:spacing w:before="40" w:after="40"/>
              <w:jc w:val="right"/>
              <w:rPr>
                <w:szCs w:val="18"/>
              </w:rPr>
            </w:pPr>
            <w:r w:rsidRPr="00BD16B4">
              <w:rPr>
                <w:szCs w:val="18"/>
              </w:rPr>
              <w:t>22,486.66</w:t>
            </w:r>
          </w:p>
        </w:tc>
        <w:tc>
          <w:tcPr>
            <w:tcW w:w="964" w:type="dxa"/>
          </w:tcPr>
          <w:p w14:paraId="584417A8" w14:textId="77777777" w:rsidR="00ED2EBD" w:rsidRPr="00BD16B4" w:rsidRDefault="00ED2EBD" w:rsidP="004A205F">
            <w:pPr>
              <w:pStyle w:val="TableText"/>
              <w:spacing w:before="40" w:after="40"/>
              <w:jc w:val="right"/>
              <w:rPr>
                <w:szCs w:val="18"/>
              </w:rPr>
            </w:pPr>
            <w:r w:rsidRPr="00BD16B4">
              <w:rPr>
                <w:szCs w:val="18"/>
              </w:rPr>
              <w:t>22,992.05</w:t>
            </w:r>
          </w:p>
        </w:tc>
        <w:tc>
          <w:tcPr>
            <w:tcW w:w="964" w:type="dxa"/>
          </w:tcPr>
          <w:p w14:paraId="474C7F9E" w14:textId="77777777" w:rsidR="00ED2EBD" w:rsidRPr="00BD16B4" w:rsidRDefault="00ED2EBD" w:rsidP="004A205F">
            <w:pPr>
              <w:pStyle w:val="TableText"/>
              <w:spacing w:before="40" w:after="40"/>
              <w:jc w:val="right"/>
              <w:rPr>
                <w:szCs w:val="18"/>
              </w:rPr>
            </w:pPr>
            <w:r w:rsidRPr="00BD16B4">
              <w:rPr>
                <w:szCs w:val="18"/>
              </w:rPr>
              <w:t>24,857.07</w:t>
            </w:r>
          </w:p>
        </w:tc>
        <w:tc>
          <w:tcPr>
            <w:tcW w:w="964" w:type="dxa"/>
          </w:tcPr>
          <w:p w14:paraId="5CC8A657" w14:textId="77777777" w:rsidR="00ED2EBD" w:rsidRPr="00BD16B4" w:rsidRDefault="00ED2EBD" w:rsidP="004A205F">
            <w:pPr>
              <w:pStyle w:val="TableText"/>
              <w:spacing w:before="40" w:after="40"/>
              <w:jc w:val="right"/>
              <w:rPr>
                <w:szCs w:val="18"/>
              </w:rPr>
            </w:pPr>
            <w:r w:rsidRPr="00BD16B4">
              <w:rPr>
                <w:szCs w:val="18"/>
              </w:rPr>
              <w:t>24,310.71</w:t>
            </w:r>
          </w:p>
        </w:tc>
        <w:tc>
          <w:tcPr>
            <w:tcW w:w="964" w:type="dxa"/>
          </w:tcPr>
          <w:p w14:paraId="18A23E8F" w14:textId="77777777" w:rsidR="00ED2EBD" w:rsidRPr="00BD16B4" w:rsidRDefault="00ED2EBD" w:rsidP="004A205F">
            <w:pPr>
              <w:pStyle w:val="TableText"/>
              <w:spacing w:before="40" w:after="40"/>
              <w:jc w:val="right"/>
              <w:rPr>
                <w:szCs w:val="18"/>
              </w:rPr>
            </w:pPr>
            <w:r w:rsidRPr="00BD16B4">
              <w:rPr>
                <w:szCs w:val="18"/>
              </w:rPr>
              <w:t>24,535.02</w:t>
            </w:r>
          </w:p>
        </w:tc>
        <w:tc>
          <w:tcPr>
            <w:tcW w:w="964" w:type="dxa"/>
          </w:tcPr>
          <w:p w14:paraId="2346BD75" w14:textId="77777777" w:rsidR="00ED2EBD" w:rsidRPr="00BD16B4" w:rsidRDefault="00ED2EBD" w:rsidP="004A205F">
            <w:pPr>
              <w:pStyle w:val="TableText"/>
              <w:spacing w:before="40" w:after="40"/>
              <w:jc w:val="right"/>
              <w:rPr>
                <w:szCs w:val="18"/>
              </w:rPr>
            </w:pPr>
            <w:r w:rsidRPr="00BD16B4">
              <w:rPr>
                <w:szCs w:val="18"/>
              </w:rPr>
              <w:t>24,469.65</w:t>
            </w:r>
          </w:p>
        </w:tc>
        <w:tc>
          <w:tcPr>
            <w:tcW w:w="964" w:type="dxa"/>
          </w:tcPr>
          <w:p w14:paraId="6BDEEC3F" w14:textId="77777777" w:rsidR="00ED2EBD" w:rsidRPr="00BD16B4" w:rsidRDefault="00ED2EBD" w:rsidP="004A205F">
            <w:pPr>
              <w:pStyle w:val="TableText"/>
              <w:spacing w:before="40" w:after="40"/>
              <w:jc w:val="right"/>
              <w:rPr>
                <w:szCs w:val="18"/>
              </w:rPr>
            </w:pPr>
            <w:r w:rsidRPr="00BD16B4">
              <w:rPr>
                <w:szCs w:val="18"/>
              </w:rPr>
              <w:t>25,804.65</w:t>
            </w:r>
          </w:p>
        </w:tc>
        <w:tc>
          <w:tcPr>
            <w:tcW w:w="964" w:type="dxa"/>
          </w:tcPr>
          <w:p w14:paraId="621A164F" w14:textId="77777777" w:rsidR="00ED2EBD" w:rsidRPr="00BD16B4" w:rsidRDefault="00ED2EBD" w:rsidP="004A205F">
            <w:pPr>
              <w:pStyle w:val="TableText"/>
              <w:spacing w:before="40" w:after="40"/>
              <w:jc w:val="right"/>
              <w:rPr>
                <w:szCs w:val="18"/>
              </w:rPr>
            </w:pPr>
            <w:r w:rsidRPr="00BD16B4">
              <w:rPr>
                <w:szCs w:val="18"/>
              </w:rPr>
              <w:t>27,837.20</w:t>
            </w:r>
          </w:p>
        </w:tc>
        <w:tc>
          <w:tcPr>
            <w:tcW w:w="964" w:type="dxa"/>
          </w:tcPr>
          <w:p w14:paraId="1DD6C46B" w14:textId="77777777" w:rsidR="00ED2EBD" w:rsidRPr="00BD16B4" w:rsidRDefault="00ED2EBD" w:rsidP="004A205F">
            <w:pPr>
              <w:pStyle w:val="TableText"/>
              <w:spacing w:before="40" w:after="40"/>
              <w:jc w:val="right"/>
              <w:rPr>
                <w:szCs w:val="18"/>
              </w:rPr>
            </w:pPr>
            <w:r w:rsidRPr="00BD16B4">
              <w:rPr>
                <w:szCs w:val="18"/>
              </w:rPr>
              <w:t>26,271.64</w:t>
            </w:r>
          </w:p>
        </w:tc>
      </w:tr>
      <w:tr w:rsidR="00ED2EBD" w:rsidRPr="00BD16B4" w14:paraId="30D238E1" w14:textId="77777777" w:rsidTr="00DF055B">
        <w:tc>
          <w:tcPr>
            <w:tcW w:w="3539" w:type="dxa"/>
          </w:tcPr>
          <w:p w14:paraId="7586414C" w14:textId="77777777" w:rsidR="00ED2EBD" w:rsidRPr="00BD16B4" w:rsidRDefault="00ED2EBD" w:rsidP="004A205F">
            <w:pPr>
              <w:pStyle w:val="TableText"/>
              <w:spacing w:before="40" w:after="40"/>
              <w:rPr>
                <w:szCs w:val="18"/>
              </w:rPr>
            </w:pPr>
            <w:r w:rsidRPr="00BD16B4">
              <w:rPr>
                <w:szCs w:val="18"/>
              </w:rPr>
              <w:t>A. Fuel combustion (sectoral approach)</w:t>
            </w:r>
          </w:p>
        </w:tc>
        <w:tc>
          <w:tcPr>
            <w:tcW w:w="964" w:type="dxa"/>
          </w:tcPr>
          <w:p w14:paraId="3A83EF81" w14:textId="77777777" w:rsidR="00ED2EBD" w:rsidRPr="00BD16B4" w:rsidRDefault="00ED2EBD" w:rsidP="004A205F">
            <w:pPr>
              <w:pStyle w:val="TableText"/>
              <w:spacing w:before="40" w:after="40"/>
              <w:jc w:val="right"/>
              <w:rPr>
                <w:szCs w:val="18"/>
              </w:rPr>
            </w:pPr>
            <w:r w:rsidRPr="00BD16B4">
              <w:rPr>
                <w:szCs w:val="18"/>
              </w:rPr>
              <w:t>22,026.93</w:t>
            </w:r>
          </w:p>
        </w:tc>
        <w:tc>
          <w:tcPr>
            <w:tcW w:w="964" w:type="dxa"/>
          </w:tcPr>
          <w:p w14:paraId="7287FB1B" w14:textId="77777777" w:rsidR="00ED2EBD" w:rsidRPr="00BD16B4" w:rsidRDefault="00ED2EBD" w:rsidP="004A205F">
            <w:pPr>
              <w:pStyle w:val="TableText"/>
              <w:spacing w:before="40" w:after="40"/>
              <w:jc w:val="right"/>
              <w:rPr>
                <w:szCs w:val="18"/>
              </w:rPr>
            </w:pPr>
            <w:r w:rsidRPr="00BD16B4">
              <w:rPr>
                <w:szCs w:val="18"/>
              </w:rPr>
              <w:t>22,437.43</w:t>
            </w:r>
          </w:p>
        </w:tc>
        <w:tc>
          <w:tcPr>
            <w:tcW w:w="964" w:type="dxa"/>
          </w:tcPr>
          <w:p w14:paraId="65B93371" w14:textId="77777777" w:rsidR="00ED2EBD" w:rsidRPr="00BD16B4" w:rsidRDefault="00ED2EBD" w:rsidP="004A205F">
            <w:pPr>
              <w:pStyle w:val="TableText"/>
              <w:spacing w:before="40" w:after="40"/>
              <w:jc w:val="right"/>
              <w:rPr>
                <w:szCs w:val="18"/>
              </w:rPr>
            </w:pPr>
            <w:r w:rsidRPr="00BD16B4">
              <w:rPr>
                <w:szCs w:val="18"/>
              </w:rPr>
              <w:t>24,316.72</w:t>
            </w:r>
          </w:p>
        </w:tc>
        <w:tc>
          <w:tcPr>
            <w:tcW w:w="964" w:type="dxa"/>
          </w:tcPr>
          <w:p w14:paraId="0CF760FA" w14:textId="77777777" w:rsidR="00ED2EBD" w:rsidRPr="00BD16B4" w:rsidRDefault="00ED2EBD" w:rsidP="004A205F">
            <w:pPr>
              <w:pStyle w:val="TableText"/>
              <w:spacing w:before="40" w:after="40"/>
              <w:jc w:val="right"/>
              <w:rPr>
                <w:szCs w:val="18"/>
              </w:rPr>
            </w:pPr>
            <w:r w:rsidRPr="00BD16B4">
              <w:rPr>
                <w:szCs w:val="18"/>
              </w:rPr>
              <w:t>23,792.14</w:t>
            </w:r>
          </w:p>
        </w:tc>
        <w:tc>
          <w:tcPr>
            <w:tcW w:w="964" w:type="dxa"/>
          </w:tcPr>
          <w:p w14:paraId="09501204" w14:textId="77777777" w:rsidR="00ED2EBD" w:rsidRPr="00BD16B4" w:rsidRDefault="00ED2EBD" w:rsidP="004A205F">
            <w:pPr>
              <w:pStyle w:val="TableText"/>
              <w:spacing w:before="40" w:after="40"/>
              <w:jc w:val="right"/>
              <w:rPr>
                <w:szCs w:val="18"/>
              </w:rPr>
            </w:pPr>
            <w:r w:rsidRPr="00BD16B4">
              <w:rPr>
                <w:szCs w:val="18"/>
              </w:rPr>
              <w:t>23,994.18</w:t>
            </w:r>
          </w:p>
        </w:tc>
        <w:tc>
          <w:tcPr>
            <w:tcW w:w="964" w:type="dxa"/>
          </w:tcPr>
          <w:p w14:paraId="5FCFE9F6" w14:textId="77777777" w:rsidR="00ED2EBD" w:rsidRPr="00BD16B4" w:rsidRDefault="00ED2EBD" w:rsidP="004A205F">
            <w:pPr>
              <w:pStyle w:val="TableText"/>
              <w:spacing w:before="40" w:after="40"/>
              <w:jc w:val="right"/>
              <w:rPr>
                <w:szCs w:val="18"/>
              </w:rPr>
            </w:pPr>
            <w:r w:rsidRPr="00BD16B4">
              <w:rPr>
                <w:szCs w:val="18"/>
              </w:rPr>
              <w:t>23,969.28</w:t>
            </w:r>
          </w:p>
        </w:tc>
        <w:tc>
          <w:tcPr>
            <w:tcW w:w="964" w:type="dxa"/>
          </w:tcPr>
          <w:p w14:paraId="464F5949" w14:textId="77777777" w:rsidR="00ED2EBD" w:rsidRPr="00BD16B4" w:rsidRDefault="00ED2EBD" w:rsidP="004A205F">
            <w:pPr>
              <w:pStyle w:val="TableText"/>
              <w:spacing w:before="40" w:after="40"/>
              <w:jc w:val="right"/>
              <w:rPr>
                <w:szCs w:val="18"/>
              </w:rPr>
            </w:pPr>
            <w:r w:rsidRPr="00BD16B4">
              <w:rPr>
                <w:szCs w:val="18"/>
              </w:rPr>
              <w:t>25,138.05</w:t>
            </w:r>
          </w:p>
        </w:tc>
        <w:tc>
          <w:tcPr>
            <w:tcW w:w="964" w:type="dxa"/>
          </w:tcPr>
          <w:p w14:paraId="6D2113F8" w14:textId="77777777" w:rsidR="00ED2EBD" w:rsidRPr="00BD16B4" w:rsidRDefault="00ED2EBD" w:rsidP="004A205F">
            <w:pPr>
              <w:pStyle w:val="TableText"/>
              <w:spacing w:before="40" w:after="40"/>
              <w:jc w:val="right"/>
              <w:rPr>
                <w:szCs w:val="18"/>
              </w:rPr>
            </w:pPr>
            <w:r w:rsidRPr="00BD16B4">
              <w:rPr>
                <w:szCs w:val="18"/>
              </w:rPr>
              <w:t>27,123.36</w:t>
            </w:r>
          </w:p>
        </w:tc>
        <w:tc>
          <w:tcPr>
            <w:tcW w:w="964" w:type="dxa"/>
          </w:tcPr>
          <w:p w14:paraId="2907F1C1" w14:textId="77777777" w:rsidR="00ED2EBD" w:rsidRPr="00BD16B4" w:rsidRDefault="00ED2EBD" w:rsidP="004A205F">
            <w:pPr>
              <w:pStyle w:val="TableText"/>
              <w:spacing w:before="40" w:after="40"/>
              <w:jc w:val="right"/>
              <w:rPr>
                <w:szCs w:val="18"/>
              </w:rPr>
            </w:pPr>
            <w:r w:rsidRPr="00BD16B4">
              <w:rPr>
                <w:szCs w:val="18"/>
              </w:rPr>
              <w:t>25,566.61</w:t>
            </w:r>
          </w:p>
        </w:tc>
      </w:tr>
      <w:tr w:rsidR="00ED2EBD" w:rsidRPr="00BD16B4" w14:paraId="35A6911A" w14:textId="77777777" w:rsidTr="00DF055B">
        <w:tc>
          <w:tcPr>
            <w:tcW w:w="3539" w:type="dxa"/>
          </w:tcPr>
          <w:p w14:paraId="0BDCD952" w14:textId="3B452B28" w:rsidR="00ED2EBD" w:rsidRPr="00BD16B4" w:rsidRDefault="00ED2EBD" w:rsidP="004A205F">
            <w:pPr>
              <w:pStyle w:val="TableText"/>
              <w:spacing w:before="40" w:after="40"/>
              <w:ind w:left="454" w:hanging="227"/>
              <w:rPr>
                <w:szCs w:val="18"/>
              </w:rPr>
            </w:pPr>
            <w:r w:rsidRPr="00BD16B4">
              <w:rPr>
                <w:szCs w:val="18"/>
              </w:rPr>
              <w:t>1.</w:t>
            </w:r>
            <w:r w:rsidR="00280979" w:rsidRPr="00BD16B4">
              <w:rPr>
                <w:szCs w:val="18"/>
              </w:rPr>
              <w:t xml:space="preserve"> </w:t>
            </w:r>
            <w:r w:rsidRPr="00BD16B4">
              <w:rPr>
                <w:szCs w:val="18"/>
              </w:rPr>
              <w:t xml:space="preserve">Energy </w:t>
            </w:r>
            <w:r w:rsidRPr="00BD16B4">
              <w:rPr>
                <w:rFonts w:cs="Calibri"/>
                <w:szCs w:val="18"/>
              </w:rPr>
              <w:t>industries</w:t>
            </w:r>
          </w:p>
        </w:tc>
        <w:tc>
          <w:tcPr>
            <w:tcW w:w="964" w:type="dxa"/>
          </w:tcPr>
          <w:p w14:paraId="3289E081" w14:textId="77777777" w:rsidR="00ED2EBD" w:rsidRPr="00BD16B4" w:rsidRDefault="00ED2EBD" w:rsidP="004A205F">
            <w:pPr>
              <w:pStyle w:val="TableText"/>
              <w:spacing w:before="40" w:after="40"/>
              <w:jc w:val="right"/>
              <w:rPr>
                <w:szCs w:val="18"/>
              </w:rPr>
            </w:pPr>
            <w:r w:rsidRPr="00BD16B4">
              <w:rPr>
                <w:szCs w:val="18"/>
              </w:rPr>
              <w:t>5,979.07</w:t>
            </w:r>
          </w:p>
        </w:tc>
        <w:tc>
          <w:tcPr>
            <w:tcW w:w="964" w:type="dxa"/>
          </w:tcPr>
          <w:p w14:paraId="6E7673CD" w14:textId="77777777" w:rsidR="00ED2EBD" w:rsidRPr="00BD16B4" w:rsidRDefault="00ED2EBD" w:rsidP="004A205F">
            <w:pPr>
              <w:pStyle w:val="TableText"/>
              <w:spacing w:before="40" w:after="40"/>
              <w:jc w:val="right"/>
              <w:rPr>
                <w:szCs w:val="18"/>
              </w:rPr>
            </w:pPr>
            <w:r w:rsidRPr="00BD16B4">
              <w:rPr>
                <w:szCs w:val="18"/>
              </w:rPr>
              <w:t>6,089.88</w:t>
            </w:r>
          </w:p>
        </w:tc>
        <w:tc>
          <w:tcPr>
            <w:tcW w:w="964" w:type="dxa"/>
          </w:tcPr>
          <w:p w14:paraId="51456F7D" w14:textId="77777777" w:rsidR="00ED2EBD" w:rsidRPr="00BD16B4" w:rsidRDefault="00ED2EBD" w:rsidP="004A205F">
            <w:pPr>
              <w:pStyle w:val="TableText"/>
              <w:spacing w:before="40" w:after="40"/>
              <w:jc w:val="right"/>
              <w:rPr>
                <w:szCs w:val="18"/>
              </w:rPr>
            </w:pPr>
            <w:r w:rsidRPr="00BD16B4">
              <w:rPr>
                <w:szCs w:val="18"/>
              </w:rPr>
              <w:t>7,577.04</w:t>
            </w:r>
          </w:p>
        </w:tc>
        <w:tc>
          <w:tcPr>
            <w:tcW w:w="964" w:type="dxa"/>
          </w:tcPr>
          <w:p w14:paraId="6FD2FD87" w14:textId="77777777" w:rsidR="00ED2EBD" w:rsidRPr="00BD16B4" w:rsidRDefault="00ED2EBD" w:rsidP="004A205F">
            <w:pPr>
              <w:pStyle w:val="TableText"/>
              <w:spacing w:before="40" w:after="40"/>
              <w:jc w:val="right"/>
              <w:rPr>
                <w:szCs w:val="18"/>
              </w:rPr>
            </w:pPr>
            <w:r w:rsidRPr="00BD16B4">
              <w:rPr>
                <w:szCs w:val="18"/>
              </w:rPr>
              <w:t>6,639.27</w:t>
            </w:r>
          </w:p>
        </w:tc>
        <w:tc>
          <w:tcPr>
            <w:tcW w:w="964" w:type="dxa"/>
          </w:tcPr>
          <w:p w14:paraId="0C550C32" w14:textId="77777777" w:rsidR="00ED2EBD" w:rsidRPr="00BD16B4" w:rsidRDefault="00ED2EBD" w:rsidP="004A205F">
            <w:pPr>
              <w:pStyle w:val="TableText"/>
              <w:spacing w:before="40" w:after="40"/>
              <w:jc w:val="right"/>
              <w:rPr>
                <w:szCs w:val="18"/>
              </w:rPr>
            </w:pPr>
            <w:r w:rsidRPr="00BD16B4">
              <w:rPr>
                <w:szCs w:val="18"/>
              </w:rPr>
              <w:t>5,512.76</w:t>
            </w:r>
          </w:p>
        </w:tc>
        <w:tc>
          <w:tcPr>
            <w:tcW w:w="964" w:type="dxa"/>
          </w:tcPr>
          <w:p w14:paraId="35C1A039" w14:textId="77777777" w:rsidR="00ED2EBD" w:rsidRPr="00BD16B4" w:rsidRDefault="00ED2EBD" w:rsidP="004A205F">
            <w:pPr>
              <w:pStyle w:val="TableText"/>
              <w:spacing w:before="40" w:after="40"/>
              <w:jc w:val="right"/>
              <w:rPr>
                <w:szCs w:val="18"/>
              </w:rPr>
            </w:pPr>
            <w:r w:rsidRPr="00BD16B4">
              <w:rPr>
                <w:szCs w:val="18"/>
              </w:rPr>
              <w:t>4,775.29</w:t>
            </w:r>
          </w:p>
        </w:tc>
        <w:tc>
          <w:tcPr>
            <w:tcW w:w="964" w:type="dxa"/>
          </w:tcPr>
          <w:p w14:paraId="602C7E2D" w14:textId="77777777" w:rsidR="00ED2EBD" w:rsidRPr="00BD16B4" w:rsidRDefault="00ED2EBD" w:rsidP="004A205F">
            <w:pPr>
              <w:pStyle w:val="TableText"/>
              <w:spacing w:before="40" w:after="40"/>
              <w:jc w:val="right"/>
              <w:rPr>
                <w:szCs w:val="18"/>
              </w:rPr>
            </w:pPr>
            <w:r w:rsidRPr="00BD16B4">
              <w:rPr>
                <w:szCs w:val="18"/>
              </w:rPr>
              <w:t>5,524.41</w:t>
            </w:r>
          </w:p>
        </w:tc>
        <w:tc>
          <w:tcPr>
            <w:tcW w:w="964" w:type="dxa"/>
          </w:tcPr>
          <w:p w14:paraId="25F16B87" w14:textId="77777777" w:rsidR="00ED2EBD" w:rsidRPr="00BD16B4" w:rsidRDefault="00ED2EBD" w:rsidP="004A205F">
            <w:pPr>
              <w:pStyle w:val="TableText"/>
              <w:spacing w:before="40" w:after="40"/>
              <w:jc w:val="right"/>
              <w:rPr>
                <w:szCs w:val="18"/>
              </w:rPr>
            </w:pPr>
            <w:r w:rsidRPr="00BD16B4">
              <w:rPr>
                <w:szCs w:val="18"/>
              </w:rPr>
              <w:t>7,125.46</w:t>
            </w:r>
          </w:p>
        </w:tc>
        <w:tc>
          <w:tcPr>
            <w:tcW w:w="964" w:type="dxa"/>
          </w:tcPr>
          <w:p w14:paraId="39B6D217" w14:textId="77777777" w:rsidR="00ED2EBD" w:rsidRPr="00BD16B4" w:rsidRDefault="00ED2EBD" w:rsidP="004A205F">
            <w:pPr>
              <w:pStyle w:val="TableText"/>
              <w:spacing w:before="40" w:after="40"/>
              <w:jc w:val="right"/>
              <w:rPr>
                <w:szCs w:val="18"/>
              </w:rPr>
            </w:pPr>
            <w:r w:rsidRPr="00BD16B4">
              <w:rPr>
                <w:szCs w:val="18"/>
              </w:rPr>
              <w:t>5,514.30</w:t>
            </w:r>
          </w:p>
        </w:tc>
      </w:tr>
      <w:tr w:rsidR="00ED2EBD" w:rsidRPr="00BD16B4" w14:paraId="6E27ACA6" w14:textId="77777777" w:rsidTr="00DF055B">
        <w:tc>
          <w:tcPr>
            <w:tcW w:w="3539" w:type="dxa"/>
          </w:tcPr>
          <w:p w14:paraId="521956A1" w14:textId="6AACD938" w:rsidR="00ED2EBD" w:rsidRPr="00BD16B4" w:rsidRDefault="00ED2EBD" w:rsidP="004A205F">
            <w:pPr>
              <w:pStyle w:val="TableText"/>
              <w:spacing w:before="40" w:after="40"/>
              <w:ind w:left="454" w:hanging="227"/>
              <w:rPr>
                <w:szCs w:val="18"/>
              </w:rPr>
            </w:pPr>
            <w:r w:rsidRPr="00BD16B4">
              <w:rPr>
                <w:szCs w:val="18"/>
              </w:rPr>
              <w:t>2.</w:t>
            </w:r>
            <w:r w:rsidR="00280979" w:rsidRPr="00BD16B4">
              <w:rPr>
                <w:szCs w:val="18"/>
              </w:rPr>
              <w:t xml:space="preserve"> </w:t>
            </w:r>
            <w:r w:rsidRPr="00BD16B4">
              <w:rPr>
                <w:szCs w:val="18"/>
              </w:rPr>
              <w:t>Manufacturing industries and construction</w:t>
            </w:r>
          </w:p>
        </w:tc>
        <w:tc>
          <w:tcPr>
            <w:tcW w:w="964" w:type="dxa"/>
          </w:tcPr>
          <w:p w14:paraId="311D4391" w14:textId="77777777" w:rsidR="00ED2EBD" w:rsidRPr="00BD16B4" w:rsidRDefault="00ED2EBD" w:rsidP="004A205F">
            <w:pPr>
              <w:pStyle w:val="TableText"/>
              <w:spacing w:before="40" w:after="40"/>
              <w:jc w:val="right"/>
              <w:rPr>
                <w:szCs w:val="18"/>
              </w:rPr>
            </w:pPr>
            <w:r w:rsidRPr="00BD16B4">
              <w:rPr>
                <w:szCs w:val="18"/>
              </w:rPr>
              <w:t>4,676.53</w:t>
            </w:r>
          </w:p>
        </w:tc>
        <w:tc>
          <w:tcPr>
            <w:tcW w:w="964" w:type="dxa"/>
          </w:tcPr>
          <w:p w14:paraId="4AB5ECCA" w14:textId="77777777" w:rsidR="00ED2EBD" w:rsidRPr="00BD16B4" w:rsidRDefault="00ED2EBD" w:rsidP="004A205F">
            <w:pPr>
              <w:pStyle w:val="TableText"/>
              <w:spacing w:before="40" w:after="40"/>
              <w:jc w:val="right"/>
              <w:rPr>
                <w:szCs w:val="18"/>
              </w:rPr>
            </w:pPr>
            <w:r w:rsidRPr="00BD16B4">
              <w:rPr>
                <w:szCs w:val="18"/>
              </w:rPr>
              <w:t>5,160.36</w:t>
            </w:r>
          </w:p>
        </w:tc>
        <w:tc>
          <w:tcPr>
            <w:tcW w:w="964" w:type="dxa"/>
          </w:tcPr>
          <w:p w14:paraId="4049D66D" w14:textId="77777777" w:rsidR="00ED2EBD" w:rsidRPr="00BD16B4" w:rsidRDefault="00ED2EBD" w:rsidP="004A205F">
            <w:pPr>
              <w:pStyle w:val="TableText"/>
              <w:spacing w:before="40" w:after="40"/>
              <w:jc w:val="right"/>
              <w:rPr>
                <w:szCs w:val="18"/>
              </w:rPr>
            </w:pPr>
            <w:r w:rsidRPr="00BD16B4">
              <w:rPr>
                <w:szCs w:val="18"/>
              </w:rPr>
              <w:t>5,012.94</w:t>
            </w:r>
          </w:p>
        </w:tc>
        <w:tc>
          <w:tcPr>
            <w:tcW w:w="964" w:type="dxa"/>
          </w:tcPr>
          <w:p w14:paraId="6BB3F3A7" w14:textId="77777777" w:rsidR="00ED2EBD" w:rsidRPr="00BD16B4" w:rsidRDefault="00ED2EBD" w:rsidP="004A205F">
            <w:pPr>
              <w:pStyle w:val="TableText"/>
              <w:spacing w:before="40" w:after="40"/>
              <w:jc w:val="right"/>
              <w:rPr>
                <w:szCs w:val="18"/>
              </w:rPr>
            </w:pPr>
            <w:r w:rsidRPr="00BD16B4">
              <w:rPr>
                <w:szCs w:val="18"/>
              </w:rPr>
              <w:t>5,282.32</w:t>
            </w:r>
          </w:p>
        </w:tc>
        <w:tc>
          <w:tcPr>
            <w:tcW w:w="964" w:type="dxa"/>
          </w:tcPr>
          <w:p w14:paraId="7197489F" w14:textId="77777777" w:rsidR="00ED2EBD" w:rsidRPr="00BD16B4" w:rsidRDefault="00ED2EBD" w:rsidP="004A205F">
            <w:pPr>
              <w:pStyle w:val="TableText"/>
              <w:spacing w:before="40" w:after="40"/>
              <w:jc w:val="right"/>
              <w:rPr>
                <w:szCs w:val="18"/>
              </w:rPr>
            </w:pPr>
            <w:r w:rsidRPr="00BD16B4">
              <w:rPr>
                <w:szCs w:val="18"/>
              </w:rPr>
              <w:t>5,599.81</w:t>
            </w:r>
          </w:p>
        </w:tc>
        <w:tc>
          <w:tcPr>
            <w:tcW w:w="964" w:type="dxa"/>
          </w:tcPr>
          <w:p w14:paraId="53C9FECF" w14:textId="77777777" w:rsidR="00ED2EBD" w:rsidRPr="00BD16B4" w:rsidRDefault="00ED2EBD" w:rsidP="004A205F">
            <w:pPr>
              <w:pStyle w:val="TableText"/>
              <w:spacing w:before="40" w:after="40"/>
              <w:jc w:val="right"/>
              <w:rPr>
                <w:szCs w:val="18"/>
              </w:rPr>
            </w:pPr>
            <w:r w:rsidRPr="00BD16B4">
              <w:rPr>
                <w:szCs w:val="18"/>
              </w:rPr>
              <w:t>5,693.44</w:t>
            </w:r>
          </w:p>
        </w:tc>
        <w:tc>
          <w:tcPr>
            <w:tcW w:w="964" w:type="dxa"/>
          </w:tcPr>
          <w:p w14:paraId="07413F91" w14:textId="77777777" w:rsidR="00ED2EBD" w:rsidRPr="00BD16B4" w:rsidRDefault="00ED2EBD" w:rsidP="004A205F">
            <w:pPr>
              <w:pStyle w:val="TableText"/>
              <w:spacing w:before="40" w:after="40"/>
              <w:jc w:val="right"/>
              <w:rPr>
                <w:szCs w:val="18"/>
              </w:rPr>
            </w:pPr>
            <w:r w:rsidRPr="00BD16B4">
              <w:rPr>
                <w:szCs w:val="18"/>
              </w:rPr>
              <w:t>6,043.97</w:t>
            </w:r>
          </w:p>
        </w:tc>
        <w:tc>
          <w:tcPr>
            <w:tcW w:w="964" w:type="dxa"/>
          </w:tcPr>
          <w:p w14:paraId="6D305485" w14:textId="77777777" w:rsidR="00ED2EBD" w:rsidRPr="00BD16B4" w:rsidRDefault="00ED2EBD" w:rsidP="004A205F">
            <w:pPr>
              <w:pStyle w:val="TableText"/>
              <w:spacing w:before="40" w:after="40"/>
              <w:jc w:val="right"/>
              <w:rPr>
                <w:szCs w:val="18"/>
              </w:rPr>
            </w:pPr>
            <w:r w:rsidRPr="00BD16B4">
              <w:rPr>
                <w:szCs w:val="18"/>
              </w:rPr>
              <w:t>6,132.86</w:t>
            </w:r>
          </w:p>
        </w:tc>
        <w:tc>
          <w:tcPr>
            <w:tcW w:w="964" w:type="dxa"/>
          </w:tcPr>
          <w:p w14:paraId="72277104" w14:textId="77777777" w:rsidR="00ED2EBD" w:rsidRPr="00BD16B4" w:rsidRDefault="00ED2EBD" w:rsidP="004A205F">
            <w:pPr>
              <w:pStyle w:val="TableText"/>
              <w:spacing w:before="40" w:after="40"/>
              <w:jc w:val="right"/>
              <w:rPr>
                <w:szCs w:val="18"/>
              </w:rPr>
            </w:pPr>
            <w:r w:rsidRPr="00BD16B4">
              <w:rPr>
                <w:szCs w:val="18"/>
              </w:rPr>
              <w:t>5,871.92</w:t>
            </w:r>
          </w:p>
        </w:tc>
      </w:tr>
      <w:tr w:rsidR="00ED2EBD" w:rsidRPr="00BD16B4" w14:paraId="4F7912DE" w14:textId="77777777" w:rsidTr="00DF055B">
        <w:tc>
          <w:tcPr>
            <w:tcW w:w="3539" w:type="dxa"/>
          </w:tcPr>
          <w:p w14:paraId="03174270" w14:textId="5FB0EF50" w:rsidR="00ED2EBD" w:rsidRPr="00BD16B4" w:rsidRDefault="00ED2EBD" w:rsidP="004A205F">
            <w:pPr>
              <w:pStyle w:val="TableText"/>
              <w:spacing w:before="40" w:after="40"/>
              <w:ind w:left="454" w:hanging="227"/>
              <w:rPr>
                <w:szCs w:val="18"/>
              </w:rPr>
            </w:pPr>
            <w:r w:rsidRPr="00BD16B4">
              <w:rPr>
                <w:szCs w:val="18"/>
              </w:rPr>
              <w:t>3.</w:t>
            </w:r>
            <w:r w:rsidR="00280979" w:rsidRPr="00BD16B4">
              <w:rPr>
                <w:szCs w:val="18"/>
              </w:rPr>
              <w:t xml:space="preserve"> </w:t>
            </w:r>
            <w:r w:rsidRPr="00BD16B4">
              <w:rPr>
                <w:szCs w:val="18"/>
              </w:rPr>
              <w:t>Transport</w:t>
            </w:r>
          </w:p>
        </w:tc>
        <w:tc>
          <w:tcPr>
            <w:tcW w:w="964" w:type="dxa"/>
          </w:tcPr>
          <w:p w14:paraId="2E5C65FB" w14:textId="77777777" w:rsidR="00ED2EBD" w:rsidRPr="00BD16B4" w:rsidRDefault="00ED2EBD" w:rsidP="004A205F">
            <w:pPr>
              <w:pStyle w:val="TableText"/>
              <w:spacing w:before="40" w:after="40"/>
              <w:jc w:val="right"/>
              <w:rPr>
                <w:szCs w:val="18"/>
              </w:rPr>
            </w:pPr>
            <w:r w:rsidRPr="00BD16B4">
              <w:rPr>
                <w:szCs w:val="18"/>
              </w:rPr>
              <w:t>7,936.45</w:t>
            </w:r>
          </w:p>
        </w:tc>
        <w:tc>
          <w:tcPr>
            <w:tcW w:w="964" w:type="dxa"/>
          </w:tcPr>
          <w:p w14:paraId="29C116DE" w14:textId="77777777" w:rsidR="00ED2EBD" w:rsidRPr="00BD16B4" w:rsidRDefault="00ED2EBD" w:rsidP="004A205F">
            <w:pPr>
              <w:pStyle w:val="TableText"/>
              <w:spacing w:before="40" w:after="40"/>
              <w:jc w:val="right"/>
              <w:rPr>
                <w:szCs w:val="18"/>
              </w:rPr>
            </w:pPr>
            <w:r w:rsidRPr="00BD16B4">
              <w:rPr>
                <w:szCs w:val="18"/>
              </w:rPr>
              <w:t>7,915.24</w:t>
            </w:r>
          </w:p>
        </w:tc>
        <w:tc>
          <w:tcPr>
            <w:tcW w:w="964" w:type="dxa"/>
          </w:tcPr>
          <w:p w14:paraId="6F971478" w14:textId="77777777" w:rsidR="00ED2EBD" w:rsidRPr="00BD16B4" w:rsidRDefault="00ED2EBD" w:rsidP="004A205F">
            <w:pPr>
              <w:pStyle w:val="TableText"/>
              <w:spacing w:before="40" w:after="40"/>
              <w:jc w:val="right"/>
              <w:rPr>
                <w:szCs w:val="18"/>
              </w:rPr>
            </w:pPr>
            <w:r w:rsidRPr="00BD16B4">
              <w:rPr>
                <w:szCs w:val="18"/>
              </w:rPr>
              <w:t>8,271.97</w:t>
            </w:r>
          </w:p>
        </w:tc>
        <w:tc>
          <w:tcPr>
            <w:tcW w:w="964" w:type="dxa"/>
          </w:tcPr>
          <w:p w14:paraId="11F926EC" w14:textId="77777777" w:rsidR="00ED2EBD" w:rsidRPr="00BD16B4" w:rsidRDefault="00ED2EBD" w:rsidP="004A205F">
            <w:pPr>
              <w:pStyle w:val="TableText"/>
              <w:spacing w:before="40" w:after="40"/>
              <w:jc w:val="right"/>
              <w:rPr>
                <w:szCs w:val="18"/>
              </w:rPr>
            </w:pPr>
            <w:r w:rsidRPr="00BD16B4">
              <w:rPr>
                <w:szCs w:val="18"/>
              </w:rPr>
              <w:t>8,720.40</w:t>
            </w:r>
          </w:p>
        </w:tc>
        <w:tc>
          <w:tcPr>
            <w:tcW w:w="964" w:type="dxa"/>
          </w:tcPr>
          <w:p w14:paraId="1E56F1CB" w14:textId="77777777" w:rsidR="00ED2EBD" w:rsidRPr="00BD16B4" w:rsidRDefault="00ED2EBD" w:rsidP="004A205F">
            <w:pPr>
              <w:pStyle w:val="TableText"/>
              <w:spacing w:before="40" w:after="40"/>
              <w:jc w:val="right"/>
              <w:rPr>
                <w:szCs w:val="18"/>
              </w:rPr>
            </w:pPr>
            <w:r w:rsidRPr="00BD16B4">
              <w:rPr>
                <w:szCs w:val="18"/>
              </w:rPr>
              <w:t>9,373.66</w:t>
            </w:r>
          </w:p>
        </w:tc>
        <w:tc>
          <w:tcPr>
            <w:tcW w:w="964" w:type="dxa"/>
          </w:tcPr>
          <w:p w14:paraId="0886CC38" w14:textId="77777777" w:rsidR="00ED2EBD" w:rsidRPr="00BD16B4" w:rsidRDefault="00ED2EBD" w:rsidP="004A205F">
            <w:pPr>
              <w:pStyle w:val="TableText"/>
              <w:spacing w:before="40" w:after="40"/>
              <w:jc w:val="right"/>
              <w:rPr>
                <w:szCs w:val="18"/>
              </w:rPr>
            </w:pPr>
            <w:r w:rsidRPr="00BD16B4">
              <w:rPr>
                <w:szCs w:val="18"/>
              </w:rPr>
              <w:t>10,029.86</w:t>
            </w:r>
          </w:p>
        </w:tc>
        <w:tc>
          <w:tcPr>
            <w:tcW w:w="964" w:type="dxa"/>
          </w:tcPr>
          <w:p w14:paraId="36554128" w14:textId="77777777" w:rsidR="00ED2EBD" w:rsidRPr="00BD16B4" w:rsidRDefault="00ED2EBD" w:rsidP="004A205F">
            <w:pPr>
              <w:pStyle w:val="TableText"/>
              <w:spacing w:before="40" w:after="40"/>
              <w:jc w:val="right"/>
              <w:rPr>
                <w:szCs w:val="18"/>
              </w:rPr>
            </w:pPr>
            <w:r w:rsidRPr="00BD16B4">
              <w:rPr>
                <w:szCs w:val="18"/>
              </w:rPr>
              <w:t>10,161.48</w:t>
            </w:r>
          </w:p>
        </w:tc>
        <w:tc>
          <w:tcPr>
            <w:tcW w:w="964" w:type="dxa"/>
          </w:tcPr>
          <w:p w14:paraId="7FB179F0" w14:textId="77777777" w:rsidR="00ED2EBD" w:rsidRPr="00BD16B4" w:rsidRDefault="00ED2EBD" w:rsidP="004A205F">
            <w:pPr>
              <w:pStyle w:val="TableText"/>
              <w:spacing w:before="40" w:after="40"/>
              <w:jc w:val="right"/>
              <w:rPr>
                <w:szCs w:val="18"/>
              </w:rPr>
            </w:pPr>
            <w:r w:rsidRPr="00BD16B4">
              <w:rPr>
                <w:szCs w:val="18"/>
              </w:rPr>
              <w:t>10,383.51</w:t>
            </w:r>
          </w:p>
        </w:tc>
        <w:tc>
          <w:tcPr>
            <w:tcW w:w="964" w:type="dxa"/>
          </w:tcPr>
          <w:p w14:paraId="569FE74B" w14:textId="77777777" w:rsidR="00ED2EBD" w:rsidRPr="00BD16B4" w:rsidRDefault="00ED2EBD" w:rsidP="004A205F">
            <w:pPr>
              <w:pStyle w:val="TableText"/>
              <w:spacing w:before="40" w:after="40"/>
              <w:jc w:val="right"/>
              <w:rPr>
                <w:szCs w:val="18"/>
              </w:rPr>
            </w:pPr>
            <w:r w:rsidRPr="00BD16B4">
              <w:rPr>
                <w:szCs w:val="18"/>
              </w:rPr>
              <w:t>10,587.78</w:t>
            </w:r>
          </w:p>
        </w:tc>
      </w:tr>
      <w:tr w:rsidR="00ED2EBD" w:rsidRPr="00BD16B4" w14:paraId="78867DC8" w14:textId="77777777" w:rsidTr="00DF055B">
        <w:tc>
          <w:tcPr>
            <w:tcW w:w="3539" w:type="dxa"/>
          </w:tcPr>
          <w:p w14:paraId="72D5BAB1" w14:textId="366ED38E" w:rsidR="00ED2EBD" w:rsidRPr="00BD16B4" w:rsidRDefault="00ED2EBD" w:rsidP="004A205F">
            <w:pPr>
              <w:pStyle w:val="TableText"/>
              <w:spacing w:before="40" w:after="40"/>
              <w:ind w:left="454" w:hanging="227"/>
              <w:rPr>
                <w:szCs w:val="18"/>
              </w:rPr>
            </w:pPr>
            <w:r w:rsidRPr="00BD16B4">
              <w:rPr>
                <w:szCs w:val="18"/>
              </w:rPr>
              <w:t>4.</w:t>
            </w:r>
            <w:r w:rsidR="00280979" w:rsidRPr="00BD16B4">
              <w:rPr>
                <w:szCs w:val="18"/>
              </w:rPr>
              <w:t xml:space="preserve"> </w:t>
            </w:r>
            <w:r w:rsidRPr="00BD16B4">
              <w:rPr>
                <w:szCs w:val="18"/>
              </w:rPr>
              <w:t>Other sectors</w:t>
            </w:r>
          </w:p>
        </w:tc>
        <w:tc>
          <w:tcPr>
            <w:tcW w:w="964" w:type="dxa"/>
          </w:tcPr>
          <w:p w14:paraId="0C6815A9" w14:textId="77777777" w:rsidR="00ED2EBD" w:rsidRPr="00BD16B4" w:rsidRDefault="00ED2EBD" w:rsidP="004A205F">
            <w:pPr>
              <w:pStyle w:val="TableText"/>
              <w:spacing w:before="40" w:after="40"/>
              <w:jc w:val="right"/>
              <w:rPr>
                <w:szCs w:val="18"/>
              </w:rPr>
            </w:pPr>
            <w:r w:rsidRPr="00BD16B4">
              <w:rPr>
                <w:szCs w:val="18"/>
              </w:rPr>
              <w:t>3,434.88</w:t>
            </w:r>
          </w:p>
        </w:tc>
        <w:tc>
          <w:tcPr>
            <w:tcW w:w="964" w:type="dxa"/>
          </w:tcPr>
          <w:p w14:paraId="1013A387" w14:textId="77777777" w:rsidR="00ED2EBD" w:rsidRPr="00BD16B4" w:rsidRDefault="00ED2EBD" w:rsidP="004A205F">
            <w:pPr>
              <w:pStyle w:val="TableText"/>
              <w:spacing w:before="40" w:after="40"/>
              <w:jc w:val="right"/>
              <w:rPr>
                <w:szCs w:val="18"/>
              </w:rPr>
            </w:pPr>
            <w:r w:rsidRPr="00BD16B4">
              <w:rPr>
                <w:szCs w:val="18"/>
              </w:rPr>
              <w:t>3,271.95</w:t>
            </w:r>
          </w:p>
        </w:tc>
        <w:tc>
          <w:tcPr>
            <w:tcW w:w="964" w:type="dxa"/>
          </w:tcPr>
          <w:p w14:paraId="5C752F2F" w14:textId="77777777" w:rsidR="00ED2EBD" w:rsidRPr="00BD16B4" w:rsidRDefault="00ED2EBD" w:rsidP="004A205F">
            <w:pPr>
              <w:pStyle w:val="TableText"/>
              <w:spacing w:before="40" w:after="40"/>
              <w:jc w:val="right"/>
              <w:rPr>
                <w:szCs w:val="18"/>
              </w:rPr>
            </w:pPr>
            <w:r w:rsidRPr="00BD16B4">
              <w:rPr>
                <w:szCs w:val="18"/>
              </w:rPr>
              <w:t>3,454.78</w:t>
            </w:r>
          </w:p>
        </w:tc>
        <w:tc>
          <w:tcPr>
            <w:tcW w:w="964" w:type="dxa"/>
          </w:tcPr>
          <w:p w14:paraId="16A0004F" w14:textId="77777777" w:rsidR="00ED2EBD" w:rsidRPr="00BD16B4" w:rsidRDefault="00ED2EBD" w:rsidP="004A205F">
            <w:pPr>
              <w:pStyle w:val="TableText"/>
              <w:spacing w:before="40" w:after="40"/>
              <w:jc w:val="right"/>
              <w:rPr>
                <w:szCs w:val="18"/>
              </w:rPr>
            </w:pPr>
            <w:r w:rsidRPr="00BD16B4">
              <w:rPr>
                <w:szCs w:val="18"/>
              </w:rPr>
              <w:t>3,150.14</w:t>
            </w:r>
          </w:p>
        </w:tc>
        <w:tc>
          <w:tcPr>
            <w:tcW w:w="964" w:type="dxa"/>
          </w:tcPr>
          <w:p w14:paraId="13388F33" w14:textId="77777777" w:rsidR="00ED2EBD" w:rsidRPr="00BD16B4" w:rsidRDefault="00ED2EBD" w:rsidP="004A205F">
            <w:pPr>
              <w:pStyle w:val="TableText"/>
              <w:spacing w:before="40" w:after="40"/>
              <w:jc w:val="right"/>
              <w:rPr>
                <w:szCs w:val="18"/>
              </w:rPr>
            </w:pPr>
            <w:r w:rsidRPr="00BD16B4">
              <w:rPr>
                <w:szCs w:val="18"/>
              </w:rPr>
              <w:t>3,507.96</w:t>
            </w:r>
          </w:p>
        </w:tc>
        <w:tc>
          <w:tcPr>
            <w:tcW w:w="964" w:type="dxa"/>
          </w:tcPr>
          <w:p w14:paraId="7BDA495A" w14:textId="77777777" w:rsidR="00ED2EBD" w:rsidRPr="00BD16B4" w:rsidRDefault="00ED2EBD" w:rsidP="004A205F">
            <w:pPr>
              <w:pStyle w:val="TableText"/>
              <w:spacing w:before="40" w:after="40"/>
              <w:jc w:val="right"/>
              <w:rPr>
                <w:szCs w:val="18"/>
              </w:rPr>
            </w:pPr>
            <w:r w:rsidRPr="00BD16B4">
              <w:rPr>
                <w:szCs w:val="18"/>
              </w:rPr>
              <w:t>3,470.69</w:t>
            </w:r>
          </w:p>
        </w:tc>
        <w:tc>
          <w:tcPr>
            <w:tcW w:w="964" w:type="dxa"/>
          </w:tcPr>
          <w:p w14:paraId="003CF9E2" w14:textId="77777777" w:rsidR="00ED2EBD" w:rsidRPr="00BD16B4" w:rsidRDefault="00ED2EBD" w:rsidP="004A205F">
            <w:pPr>
              <w:pStyle w:val="TableText"/>
              <w:spacing w:before="40" w:after="40"/>
              <w:jc w:val="right"/>
              <w:rPr>
                <w:szCs w:val="18"/>
              </w:rPr>
            </w:pPr>
            <w:r w:rsidRPr="00BD16B4">
              <w:rPr>
                <w:szCs w:val="18"/>
              </w:rPr>
              <w:t>3,408.19</w:t>
            </w:r>
          </w:p>
        </w:tc>
        <w:tc>
          <w:tcPr>
            <w:tcW w:w="964" w:type="dxa"/>
          </w:tcPr>
          <w:p w14:paraId="3E4B1411" w14:textId="77777777" w:rsidR="00ED2EBD" w:rsidRPr="00BD16B4" w:rsidRDefault="00ED2EBD" w:rsidP="004A205F">
            <w:pPr>
              <w:pStyle w:val="TableText"/>
              <w:spacing w:before="40" w:after="40"/>
              <w:jc w:val="right"/>
              <w:rPr>
                <w:szCs w:val="18"/>
              </w:rPr>
            </w:pPr>
            <w:r w:rsidRPr="00BD16B4">
              <w:rPr>
                <w:szCs w:val="18"/>
              </w:rPr>
              <w:t>3,481.53</w:t>
            </w:r>
          </w:p>
        </w:tc>
        <w:tc>
          <w:tcPr>
            <w:tcW w:w="964" w:type="dxa"/>
          </w:tcPr>
          <w:p w14:paraId="614D9629" w14:textId="77777777" w:rsidR="00ED2EBD" w:rsidRPr="00BD16B4" w:rsidRDefault="00ED2EBD" w:rsidP="004A205F">
            <w:pPr>
              <w:pStyle w:val="TableText"/>
              <w:spacing w:before="40" w:after="40"/>
              <w:jc w:val="right"/>
              <w:rPr>
                <w:szCs w:val="18"/>
              </w:rPr>
            </w:pPr>
            <w:r w:rsidRPr="00BD16B4">
              <w:rPr>
                <w:szCs w:val="18"/>
              </w:rPr>
              <w:t>3,592.62</w:t>
            </w:r>
          </w:p>
        </w:tc>
      </w:tr>
      <w:tr w:rsidR="00ED2EBD" w:rsidRPr="00BD16B4" w14:paraId="353700F7" w14:textId="77777777" w:rsidTr="00DF055B">
        <w:tc>
          <w:tcPr>
            <w:tcW w:w="3539" w:type="dxa"/>
          </w:tcPr>
          <w:p w14:paraId="5A944828" w14:textId="03F186BD" w:rsidR="00ED2EBD" w:rsidRPr="00BD16B4" w:rsidRDefault="00ED2EBD" w:rsidP="004A205F">
            <w:pPr>
              <w:pStyle w:val="TableText"/>
              <w:spacing w:before="40" w:after="40"/>
              <w:ind w:left="454" w:hanging="227"/>
              <w:rPr>
                <w:szCs w:val="18"/>
              </w:rPr>
            </w:pPr>
            <w:r w:rsidRPr="00BD16B4">
              <w:rPr>
                <w:szCs w:val="18"/>
              </w:rPr>
              <w:t>5.</w:t>
            </w:r>
            <w:r w:rsidR="00280979" w:rsidRPr="00BD16B4">
              <w:rPr>
                <w:szCs w:val="18"/>
              </w:rPr>
              <w:t xml:space="preserve"> </w:t>
            </w:r>
            <w:r w:rsidRPr="00BD16B4">
              <w:rPr>
                <w:szCs w:val="18"/>
              </w:rPr>
              <w:t>Other</w:t>
            </w:r>
          </w:p>
        </w:tc>
        <w:tc>
          <w:tcPr>
            <w:tcW w:w="964" w:type="dxa"/>
          </w:tcPr>
          <w:p w14:paraId="05A112F5" w14:textId="77777777" w:rsidR="00ED2EBD" w:rsidRPr="00BD16B4" w:rsidRDefault="00ED2EBD" w:rsidP="004A205F">
            <w:pPr>
              <w:pStyle w:val="TableText"/>
              <w:spacing w:before="40" w:after="40"/>
              <w:jc w:val="right"/>
              <w:rPr>
                <w:szCs w:val="18"/>
              </w:rPr>
            </w:pPr>
            <w:r w:rsidRPr="00BD16B4">
              <w:rPr>
                <w:szCs w:val="18"/>
              </w:rPr>
              <w:t>NO</w:t>
            </w:r>
          </w:p>
        </w:tc>
        <w:tc>
          <w:tcPr>
            <w:tcW w:w="964" w:type="dxa"/>
          </w:tcPr>
          <w:p w14:paraId="0F60EE1D" w14:textId="77777777" w:rsidR="00ED2EBD" w:rsidRPr="00BD16B4" w:rsidRDefault="00ED2EBD" w:rsidP="004A205F">
            <w:pPr>
              <w:pStyle w:val="TableText"/>
              <w:spacing w:before="40" w:after="40"/>
              <w:jc w:val="right"/>
              <w:rPr>
                <w:szCs w:val="18"/>
              </w:rPr>
            </w:pPr>
            <w:r w:rsidRPr="00BD16B4">
              <w:rPr>
                <w:szCs w:val="18"/>
              </w:rPr>
              <w:t>NO</w:t>
            </w:r>
          </w:p>
        </w:tc>
        <w:tc>
          <w:tcPr>
            <w:tcW w:w="964" w:type="dxa"/>
          </w:tcPr>
          <w:p w14:paraId="149B8F5A" w14:textId="77777777" w:rsidR="00ED2EBD" w:rsidRPr="00BD16B4" w:rsidRDefault="00ED2EBD" w:rsidP="004A205F">
            <w:pPr>
              <w:pStyle w:val="TableText"/>
              <w:spacing w:before="40" w:after="40"/>
              <w:jc w:val="right"/>
              <w:rPr>
                <w:szCs w:val="18"/>
              </w:rPr>
            </w:pPr>
            <w:r w:rsidRPr="00BD16B4">
              <w:rPr>
                <w:szCs w:val="18"/>
              </w:rPr>
              <w:t>NO</w:t>
            </w:r>
          </w:p>
        </w:tc>
        <w:tc>
          <w:tcPr>
            <w:tcW w:w="964" w:type="dxa"/>
          </w:tcPr>
          <w:p w14:paraId="2ED727BE" w14:textId="77777777" w:rsidR="00ED2EBD" w:rsidRPr="00BD16B4" w:rsidRDefault="00ED2EBD" w:rsidP="004A205F">
            <w:pPr>
              <w:pStyle w:val="TableText"/>
              <w:spacing w:before="40" w:after="40"/>
              <w:jc w:val="right"/>
              <w:rPr>
                <w:szCs w:val="18"/>
              </w:rPr>
            </w:pPr>
            <w:r w:rsidRPr="00BD16B4">
              <w:rPr>
                <w:szCs w:val="18"/>
              </w:rPr>
              <w:t>NO</w:t>
            </w:r>
          </w:p>
        </w:tc>
        <w:tc>
          <w:tcPr>
            <w:tcW w:w="964" w:type="dxa"/>
          </w:tcPr>
          <w:p w14:paraId="0F1C78C5" w14:textId="77777777" w:rsidR="00ED2EBD" w:rsidRPr="00BD16B4" w:rsidRDefault="00ED2EBD" w:rsidP="004A205F">
            <w:pPr>
              <w:pStyle w:val="TableText"/>
              <w:spacing w:before="40" w:after="40"/>
              <w:jc w:val="right"/>
              <w:rPr>
                <w:szCs w:val="18"/>
              </w:rPr>
            </w:pPr>
            <w:r w:rsidRPr="00BD16B4">
              <w:rPr>
                <w:szCs w:val="18"/>
              </w:rPr>
              <w:t>NO</w:t>
            </w:r>
          </w:p>
        </w:tc>
        <w:tc>
          <w:tcPr>
            <w:tcW w:w="964" w:type="dxa"/>
          </w:tcPr>
          <w:p w14:paraId="5251E1C0" w14:textId="77777777" w:rsidR="00ED2EBD" w:rsidRPr="00BD16B4" w:rsidRDefault="00ED2EBD" w:rsidP="004A205F">
            <w:pPr>
              <w:pStyle w:val="TableText"/>
              <w:spacing w:before="40" w:after="40"/>
              <w:jc w:val="right"/>
              <w:rPr>
                <w:szCs w:val="18"/>
              </w:rPr>
            </w:pPr>
            <w:r w:rsidRPr="00BD16B4">
              <w:rPr>
                <w:szCs w:val="18"/>
              </w:rPr>
              <w:t>NO</w:t>
            </w:r>
          </w:p>
        </w:tc>
        <w:tc>
          <w:tcPr>
            <w:tcW w:w="964" w:type="dxa"/>
          </w:tcPr>
          <w:p w14:paraId="2A4E67D4" w14:textId="77777777" w:rsidR="00ED2EBD" w:rsidRPr="00BD16B4" w:rsidRDefault="00ED2EBD" w:rsidP="004A205F">
            <w:pPr>
              <w:pStyle w:val="TableText"/>
              <w:spacing w:before="40" w:after="40"/>
              <w:jc w:val="right"/>
              <w:rPr>
                <w:szCs w:val="18"/>
              </w:rPr>
            </w:pPr>
            <w:r w:rsidRPr="00BD16B4">
              <w:rPr>
                <w:szCs w:val="18"/>
              </w:rPr>
              <w:t>NO</w:t>
            </w:r>
          </w:p>
        </w:tc>
        <w:tc>
          <w:tcPr>
            <w:tcW w:w="964" w:type="dxa"/>
          </w:tcPr>
          <w:p w14:paraId="1CF20B22" w14:textId="77777777" w:rsidR="00ED2EBD" w:rsidRPr="00BD16B4" w:rsidRDefault="00ED2EBD" w:rsidP="004A205F">
            <w:pPr>
              <w:pStyle w:val="TableText"/>
              <w:spacing w:before="40" w:after="40"/>
              <w:jc w:val="right"/>
              <w:rPr>
                <w:szCs w:val="18"/>
              </w:rPr>
            </w:pPr>
            <w:r w:rsidRPr="00BD16B4">
              <w:rPr>
                <w:szCs w:val="18"/>
              </w:rPr>
              <w:t>NO</w:t>
            </w:r>
          </w:p>
        </w:tc>
        <w:tc>
          <w:tcPr>
            <w:tcW w:w="964" w:type="dxa"/>
          </w:tcPr>
          <w:p w14:paraId="0CA1C609" w14:textId="77777777" w:rsidR="00ED2EBD" w:rsidRPr="00BD16B4" w:rsidRDefault="00ED2EBD" w:rsidP="004A205F">
            <w:pPr>
              <w:pStyle w:val="TableText"/>
              <w:spacing w:before="40" w:after="40"/>
              <w:jc w:val="right"/>
              <w:rPr>
                <w:szCs w:val="18"/>
              </w:rPr>
            </w:pPr>
            <w:r w:rsidRPr="00BD16B4">
              <w:rPr>
                <w:szCs w:val="18"/>
              </w:rPr>
              <w:t>NO</w:t>
            </w:r>
          </w:p>
        </w:tc>
      </w:tr>
      <w:tr w:rsidR="00ED2EBD" w:rsidRPr="00BD16B4" w14:paraId="1AB0F7F6" w14:textId="77777777" w:rsidTr="00DF055B">
        <w:tc>
          <w:tcPr>
            <w:tcW w:w="3539" w:type="dxa"/>
          </w:tcPr>
          <w:p w14:paraId="1A2CD854" w14:textId="77777777" w:rsidR="00ED2EBD" w:rsidRPr="00BD16B4" w:rsidRDefault="00ED2EBD" w:rsidP="004A205F">
            <w:pPr>
              <w:pStyle w:val="TableText"/>
              <w:spacing w:before="40" w:after="40"/>
              <w:rPr>
                <w:szCs w:val="18"/>
              </w:rPr>
            </w:pPr>
            <w:r w:rsidRPr="00BD16B4">
              <w:rPr>
                <w:szCs w:val="18"/>
              </w:rPr>
              <w:t>B. Fugitive emissions from fuels</w:t>
            </w:r>
          </w:p>
        </w:tc>
        <w:tc>
          <w:tcPr>
            <w:tcW w:w="964" w:type="dxa"/>
          </w:tcPr>
          <w:p w14:paraId="4573C4C4" w14:textId="77777777" w:rsidR="00ED2EBD" w:rsidRPr="00BD16B4" w:rsidRDefault="00ED2EBD" w:rsidP="004A205F">
            <w:pPr>
              <w:pStyle w:val="TableText"/>
              <w:spacing w:before="40" w:after="40"/>
              <w:jc w:val="right"/>
              <w:rPr>
                <w:szCs w:val="18"/>
              </w:rPr>
            </w:pPr>
            <w:r w:rsidRPr="00BD16B4">
              <w:rPr>
                <w:szCs w:val="18"/>
              </w:rPr>
              <w:t>459.73</w:t>
            </w:r>
          </w:p>
        </w:tc>
        <w:tc>
          <w:tcPr>
            <w:tcW w:w="964" w:type="dxa"/>
          </w:tcPr>
          <w:p w14:paraId="05505A2A" w14:textId="77777777" w:rsidR="00ED2EBD" w:rsidRPr="00BD16B4" w:rsidRDefault="00ED2EBD" w:rsidP="004A205F">
            <w:pPr>
              <w:pStyle w:val="TableText"/>
              <w:spacing w:before="40" w:after="40"/>
              <w:jc w:val="right"/>
              <w:rPr>
                <w:szCs w:val="18"/>
              </w:rPr>
            </w:pPr>
            <w:r w:rsidRPr="00BD16B4">
              <w:rPr>
                <w:szCs w:val="18"/>
              </w:rPr>
              <w:t>554.61</w:t>
            </w:r>
          </w:p>
        </w:tc>
        <w:tc>
          <w:tcPr>
            <w:tcW w:w="964" w:type="dxa"/>
          </w:tcPr>
          <w:p w14:paraId="769FB141" w14:textId="77777777" w:rsidR="00ED2EBD" w:rsidRPr="00BD16B4" w:rsidRDefault="00ED2EBD" w:rsidP="004A205F">
            <w:pPr>
              <w:pStyle w:val="TableText"/>
              <w:spacing w:before="40" w:after="40"/>
              <w:jc w:val="right"/>
              <w:rPr>
                <w:szCs w:val="18"/>
              </w:rPr>
            </w:pPr>
            <w:r w:rsidRPr="00BD16B4">
              <w:rPr>
                <w:szCs w:val="18"/>
              </w:rPr>
              <w:t>540.35</w:t>
            </w:r>
          </w:p>
        </w:tc>
        <w:tc>
          <w:tcPr>
            <w:tcW w:w="964" w:type="dxa"/>
          </w:tcPr>
          <w:p w14:paraId="67600D10" w14:textId="77777777" w:rsidR="00ED2EBD" w:rsidRPr="00BD16B4" w:rsidRDefault="00ED2EBD" w:rsidP="004A205F">
            <w:pPr>
              <w:pStyle w:val="TableText"/>
              <w:spacing w:before="40" w:after="40"/>
              <w:jc w:val="right"/>
              <w:rPr>
                <w:szCs w:val="18"/>
              </w:rPr>
            </w:pPr>
            <w:r w:rsidRPr="00BD16B4">
              <w:rPr>
                <w:szCs w:val="18"/>
              </w:rPr>
              <w:t>518.56</w:t>
            </w:r>
          </w:p>
        </w:tc>
        <w:tc>
          <w:tcPr>
            <w:tcW w:w="964" w:type="dxa"/>
          </w:tcPr>
          <w:p w14:paraId="6AE201CA" w14:textId="77777777" w:rsidR="00ED2EBD" w:rsidRPr="00BD16B4" w:rsidRDefault="00ED2EBD" w:rsidP="004A205F">
            <w:pPr>
              <w:pStyle w:val="TableText"/>
              <w:spacing w:before="40" w:after="40"/>
              <w:jc w:val="right"/>
              <w:rPr>
                <w:szCs w:val="18"/>
              </w:rPr>
            </w:pPr>
            <w:r w:rsidRPr="00BD16B4">
              <w:rPr>
                <w:szCs w:val="18"/>
              </w:rPr>
              <w:t>540.84</w:t>
            </w:r>
          </w:p>
        </w:tc>
        <w:tc>
          <w:tcPr>
            <w:tcW w:w="964" w:type="dxa"/>
          </w:tcPr>
          <w:p w14:paraId="7B6BA08F" w14:textId="77777777" w:rsidR="00ED2EBD" w:rsidRPr="00BD16B4" w:rsidRDefault="00ED2EBD" w:rsidP="004A205F">
            <w:pPr>
              <w:pStyle w:val="TableText"/>
              <w:spacing w:before="40" w:after="40"/>
              <w:jc w:val="right"/>
              <w:rPr>
                <w:szCs w:val="18"/>
              </w:rPr>
            </w:pPr>
            <w:r w:rsidRPr="00BD16B4">
              <w:rPr>
                <w:szCs w:val="18"/>
              </w:rPr>
              <w:t>500.37</w:t>
            </w:r>
          </w:p>
        </w:tc>
        <w:tc>
          <w:tcPr>
            <w:tcW w:w="964" w:type="dxa"/>
          </w:tcPr>
          <w:p w14:paraId="6AFB89A7" w14:textId="77777777" w:rsidR="00ED2EBD" w:rsidRPr="00BD16B4" w:rsidRDefault="00ED2EBD" w:rsidP="004A205F">
            <w:pPr>
              <w:pStyle w:val="TableText"/>
              <w:spacing w:before="40" w:after="40"/>
              <w:jc w:val="right"/>
              <w:rPr>
                <w:szCs w:val="18"/>
              </w:rPr>
            </w:pPr>
            <w:r w:rsidRPr="00BD16B4">
              <w:rPr>
                <w:szCs w:val="18"/>
              </w:rPr>
              <w:t>666.61</w:t>
            </w:r>
          </w:p>
        </w:tc>
        <w:tc>
          <w:tcPr>
            <w:tcW w:w="964" w:type="dxa"/>
          </w:tcPr>
          <w:p w14:paraId="4EDCC7AC" w14:textId="77777777" w:rsidR="00ED2EBD" w:rsidRPr="00BD16B4" w:rsidRDefault="00ED2EBD" w:rsidP="004A205F">
            <w:pPr>
              <w:pStyle w:val="TableText"/>
              <w:spacing w:before="40" w:after="40"/>
              <w:jc w:val="right"/>
              <w:rPr>
                <w:szCs w:val="18"/>
              </w:rPr>
            </w:pPr>
            <w:r w:rsidRPr="00BD16B4">
              <w:rPr>
                <w:szCs w:val="18"/>
              </w:rPr>
              <w:t>713.84</w:t>
            </w:r>
          </w:p>
        </w:tc>
        <w:tc>
          <w:tcPr>
            <w:tcW w:w="964" w:type="dxa"/>
          </w:tcPr>
          <w:p w14:paraId="06E50301" w14:textId="77777777" w:rsidR="00ED2EBD" w:rsidRPr="00BD16B4" w:rsidRDefault="00ED2EBD" w:rsidP="004A205F">
            <w:pPr>
              <w:pStyle w:val="TableText"/>
              <w:spacing w:before="40" w:after="40"/>
              <w:jc w:val="right"/>
              <w:rPr>
                <w:szCs w:val="18"/>
              </w:rPr>
            </w:pPr>
            <w:r w:rsidRPr="00BD16B4">
              <w:rPr>
                <w:szCs w:val="18"/>
              </w:rPr>
              <w:t>705.02</w:t>
            </w:r>
          </w:p>
        </w:tc>
      </w:tr>
      <w:tr w:rsidR="00ED2EBD" w:rsidRPr="00BD16B4" w14:paraId="03971492" w14:textId="77777777" w:rsidTr="00DF055B">
        <w:tc>
          <w:tcPr>
            <w:tcW w:w="3539" w:type="dxa"/>
          </w:tcPr>
          <w:p w14:paraId="12254D7F" w14:textId="2EF604A0" w:rsidR="00ED2EBD" w:rsidRPr="00BD16B4" w:rsidRDefault="00ED2EBD" w:rsidP="004A205F">
            <w:pPr>
              <w:pStyle w:val="TableText"/>
              <w:spacing w:before="40" w:after="40"/>
              <w:ind w:left="454" w:hanging="227"/>
              <w:rPr>
                <w:szCs w:val="18"/>
              </w:rPr>
            </w:pPr>
            <w:r w:rsidRPr="00BD16B4">
              <w:rPr>
                <w:szCs w:val="18"/>
              </w:rPr>
              <w:t>1.</w:t>
            </w:r>
            <w:r w:rsidR="00280979" w:rsidRPr="00BD16B4">
              <w:rPr>
                <w:szCs w:val="18"/>
              </w:rPr>
              <w:t xml:space="preserve"> </w:t>
            </w:r>
            <w:r w:rsidR="00626537" w:rsidRPr="00BD16B4">
              <w:rPr>
                <w:szCs w:val="18"/>
              </w:rPr>
              <w:tab/>
            </w:r>
            <w:r w:rsidRPr="00BD16B4">
              <w:rPr>
                <w:szCs w:val="18"/>
              </w:rPr>
              <w:t>Solid fuels</w:t>
            </w:r>
          </w:p>
        </w:tc>
        <w:tc>
          <w:tcPr>
            <w:tcW w:w="964" w:type="dxa"/>
          </w:tcPr>
          <w:p w14:paraId="3C1AAC4C" w14:textId="77777777" w:rsidR="00ED2EBD" w:rsidRPr="00BD16B4" w:rsidRDefault="00ED2EBD" w:rsidP="004A205F">
            <w:pPr>
              <w:pStyle w:val="TableText"/>
              <w:spacing w:before="40" w:after="40"/>
              <w:jc w:val="right"/>
              <w:rPr>
                <w:szCs w:val="18"/>
              </w:rPr>
            </w:pPr>
            <w:r w:rsidRPr="00BD16B4">
              <w:rPr>
                <w:szCs w:val="18"/>
              </w:rPr>
              <w:t>NO, NA</w:t>
            </w:r>
          </w:p>
        </w:tc>
        <w:tc>
          <w:tcPr>
            <w:tcW w:w="964" w:type="dxa"/>
          </w:tcPr>
          <w:p w14:paraId="6650AB0F" w14:textId="77777777" w:rsidR="00ED2EBD" w:rsidRPr="00BD16B4" w:rsidRDefault="00ED2EBD" w:rsidP="004A205F">
            <w:pPr>
              <w:pStyle w:val="TableText"/>
              <w:spacing w:before="40" w:after="40"/>
              <w:jc w:val="right"/>
              <w:rPr>
                <w:szCs w:val="18"/>
              </w:rPr>
            </w:pPr>
            <w:r w:rsidRPr="00BD16B4">
              <w:rPr>
                <w:szCs w:val="18"/>
              </w:rPr>
              <w:t>NO, NA</w:t>
            </w:r>
          </w:p>
        </w:tc>
        <w:tc>
          <w:tcPr>
            <w:tcW w:w="964" w:type="dxa"/>
          </w:tcPr>
          <w:p w14:paraId="3FBF5B48" w14:textId="77777777" w:rsidR="00ED2EBD" w:rsidRPr="00BD16B4" w:rsidRDefault="00ED2EBD" w:rsidP="004A205F">
            <w:pPr>
              <w:pStyle w:val="TableText"/>
              <w:spacing w:before="40" w:after="40"/>
              <w:jc w:val="right"/>
              <w:rPr>
                <w:szCs w:val="18"/>
              </w:rPr>
            </w:pPr>
            <w:r w:rsidRPr="00BD16B4">
              <w:rPr>
                <w:szCs w:val="18"/>
              </w:rPr>
              <w:t>NO, NA</w:t>
            </w:r>
          </w:p>
        </w:tc>
        <w:tc>
          <w:tcPr>
            <w:tcW w:w="964" w:type="dxa"/>
          </w:tcPr>
          <w:p w14:paraId="2B1DA429" w14:textId="77777777" w:rsidR="00ED2EBD" w:rsidRPr="00BD16B4" w:rsidRDefault="00ED2EBD" w:rsidP="004A205F">
            <w:pPr>
              <w:pStyle w:val="TableText"/>
              <w:spacing w:before="40" w:after="40"/>
              <w:jc w:val="right"/>
              <w:rPr>
                <w:szCs w:val="18"/>
              </w:rPr>
            </w:pPr>
            <w:r w:rsidRPr="00BD16B4">
              <w:rPr>
                <w:szCs w:val="18"/>
              </w:rPr>
              <w:t>NO, NA</w:t>
            </w:r>
          </w:p>
        </w:tc>
        <w:tc>
          <w:tcPr>
            <w:tcW w:w="964" w:type="dxa"/>
          </w:tcPr>
          <w:p w14:paraId="2B2F8BEB" w14:textId="77777777" w:rsidR="00ED2EBD" w:rsidRPr="00BD16B4" w:rsidRDefault="00ED2EBD" w:rsidP="004A205F">
            <w:pPr>
              <w:pStyle w:val="TableText"/>
              <w:spacing w:before="40" w:after="40"/>
              <w:jc w:val="right"/>
              <w:rPr>
                <w:szCs w:val="18"/>
              </w:rPr>
            </w:pPr>
            <w:r w:rsidRPr="00BD16B4">
              <w:rPr>
                <w:szCs w:val="18"/>
              </w:rPr>
              <w:t>NO, NA</w:t>
            </w:r>
          </w:p>
        </w:tc>
        <w:tc>
          <w:tcPr>
            <w:tcW w:w="964" w:type="dxa"/>
          </w:tcPr>
          <w:p w14:paraId="5A1773BC" w14:textId="77777777" w:rsidR="00ED2EBD" w:rsidRPr="00BD16B4" w:rsidRDefault="00ED2EBD" w:rsidP="004A205F">
            <w:pPr>
              <w:pStyle w:val="TableText"/>
              <w:spacing w:before="40" w:after="40"/>
              <w:jc w:val="right"/>
              <w:rPr>
                <w:szCs w:val="18"/>
              </w:rPr>
            </w:pPr>
            <w:r w:rsidRPr="00BD16B4">
              <w:rPr>
                <w:szCs w:val="18"/>
              </w:rPr>
              <w:t>NO, NA</w:t>
            </w:r>
          </w:p>
        </w:tc>
        <w:tc>
          <w:tcPr>
            <w:tcW w:w="964" w:type="dxa"/>
          </w:tcPr>
          <w:p w14:paraId="50BFEA6F" w14:textId="77777777" w:rsidR="00ED2EBD" w:rsidRPr="00BD16B4" w:rsidRDefault="00ED2EBD" w:rsidP="004A205F">
            <w:pPr>
              <w:pStyle w:val="TableText"/>
              <w:spacing w:before="40" w:after="40"/>
              <w:jc w:val="right"/>
              <w:rPr>
                <w:szCs w:val="18"/>
              </w:rPr>
            </w:pPr>
            <w:r w:rsidRPr="00BD16B4">
              <w:rPr>
                <w:szCs w:val="18"/>
              </w:rPr>
              <w:t>NO, NA</w:t>
            </w:r>
          </w:p>
        </w:tc>
        <w:tc>
          <w:tcPr>
            <w:tcW w:w="964" w:type="dxa"/>
          </w:tcPr>
          <w:p w14:paraId="6D9176D1" w14:textId="77777777" w:rsidR="00ED2EBD" w:rsidRPr="00BD16B4" w:rsidRDefault="00ED2EBD" w:rsidP="004A205F">
            <w:pPr>
              <w:pStyle w:val="TableText"/>
              <w:spacing w:before="40" w:after="40"/>
              <w:jc w:val="right"/>
              <w:rPr>
                <w:szCs w:val="18"/>
              </w:rPr>
            </w:pPr>
            <w:r w:rsidRPr="00BD16B4">
              <w:rPr>
                <w:szCs w:val="18"/>
              </w:rPr>
              <w:t>NO, NA</w:t>
            </w:r>
          </w:p>
        </w:tc>
        <w:tc>
          <w:tcPr>
            <w:tcW w:w="964" w:type="dxa"/>
          </w:tcPr>
          <w:p w14:paraId="00882F9C"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0D3A8D2C" w14:textId="77777777" w:rsidTr="00DF055B">
        <w:tc>
          <w:tcPr>
            <w:tcW w:w="3539" w:type="dxa"/>
          </w:tcPr>
          <w:p w14:paraId="55FCCE8D" w14:textId="2F1C4604" w:rsidR="00ED2EBD" w:rsidRPr="00BD16B4" w:rsidRDefault="00ED2EBD" w:rsidP="004A205F">
            <w:pPr>
              <w:pStyle w:val="TableText"/>
              <w:spacing w:before="40" w:after="40"/>
              <w:ind w:left="454" w:hanging="227"/>
              <w:rPr>
                <w:szCs w:val="18"/>
              </w:rPr>
            </w:pPr>
            <w:r w:rsidRPr="00BD16B4">
              <w:rPr>
                <w:szCs w:val="18"/>
              </w:rPr>
              <w:t>2.</w:t>
            </w:r>
            <w:r w:rsidR="00626537" w:rsidRPr="00BD16B4">
              <w:rPr>
                <w:szCs w:val="18"/>
              </w:rPr>
              <w:tab/>
            </w:r>
            <w:r w:rsidRPr="00BD16B4">
              <w:rPr>
                <w:szCs w:val="18"/>
              </w:rPr>
              <w:t>Oil and natural gas and other emissions from energy production</w:t>
            </w:r>
          </w:p>
        </w:tc>
        <w:tc>
          <w:tcPr>
            <w:tcW w:w="964" w:type="dxa"/>
          </w:tcPr>
          <w:p w14:paraId="5E8CCE52" w14:textId="77777777" w:rsidR="00ED2EBD" w:rsidRPr="00BD16B4" w:rsidRDefault="00ED2EBD" w:rsidP="004A205F">
            <w:pPr>
              <w:pStyle w:val="TableText"/>
              <w:spacing w:before="40" w:after="40"/>
              <w:jc w:val="right"/>
              <w:rPr>
                <w:szCs w:val="18"/>
              </w:rPr>
            </w:pPr>
            <w:r w:rsidRPr="00BD16B4">
              <w:rPr>
                <w:szCs w:val="18"/>
              </w:rPr>
              <w:t>459.73</w:t>
            </w:r>
          </w:p>
        </w:tc>
        <w:tc>
          <w:tcPr>
            <w:tcW w:w="964" w:type="dxa"/>
          </w:tcPr>
          <w:p w14:paraId="5AD40B3C" w14:textId="77777777" w:rsidR="00ED2EBD" w:rsidRPr="00BD16B4" w:rsidRDefault="00ED2EBD" w:rsidP="004A205F">
            <w:pPr>
              <w:pStyle w:val="TableText"/>
              <w:spacing w:before="40" w:after="40"/>
              <w:jc w:val="right"/>
              <w:rPr>
                <w:szCs w:val="18"/>
              </w:rPr>
            </w:pPr>
            <w:r w:rsidRPr="00BD16B4">
              <w:rPr>
                <w:szCs w:val="18"/>
              </w:rPr>
              <w:t>554.61</w:t>
            </w:r>
          </w:p>
        </w:tc>
        <w:tc>
          <w:tcPr>
            <w:tcW w:w="964" w:type="dxa"/>
          </w:tcPr>
          <w:p w14:paraId="13BFE8C6" w14:textId="77777777" w:rsidR="00ED2EBD" w:rsidRPr="00BD16B4" w:rsidRDefault="00ED2EBD" w:rsidP="004A205F">
            <w:pPr>
              <w:pStyle w:val="TableText"/>
              <w:spacing w:before="40" w:after="40"/>
              <w:jc w:val="right"/>
              <w:rPr>
                <w:szCs w:val="18"/>
              </w:rPr>
            </w:pPr>
            <w:r w:rsidRPr="00BD16B4">
              <w:rPr>
                <w:szCs w:val="18"/>
              </w:rPr>
              <w:t>540.35</w:t>
            </w:r>
          </w:p>
        </w:tc>
        <w:tc>
          <w:tcPr>
            <w:tcW w:w="964" w:type="dxa"/>
          </w:tcPr>
          <w:p w14:paraId="44519D97" w14:textId="77777777" w:rsidR="00ED2EBD" w:rsidRPr="00BD16B4" w:rsidRDefault="00ED2EBD" w:rsidP="004A205F">
            <w:pPr>
              <w:pStyle w:val="TableText"/>
              <w:spacing w:before="40" w:after="40"/>
              <w:jc w:val="right"/>
              <w:rPr>
                <w:szCs w:val="18"/>
              </w:rPr>
            </w:pPr>
            <w:r w:rsidRPr="00BD16B4">
              <w:rPr>
                <w:szCs w:val="18"/>
              </w:rPr>
              <w:t>518.56</w:t>
            </w:r>
          </w:p>
        </w:tc>
        <w:tc>
          <w:tcPr>
            <w:tcW w:w="964" w:type="dxa"/>
          </w:tcPr>
          <w:p w14:paraId="0A178366" w14:textId="77777777" w:rsidR="00ED2EBD" w:rsidRPr="00BD16B4" w:rsidRDefault="00ED2EBD" w:rsidP="004A205F">
            <w:pPr>
              <w:pStyle w:val="TableText"/>
              <w:spacing w:before="40" w:after="40"/>
              <w:jc w:val="right"/>
              <w:rPr>
                <w:szCs w:val="18"/>
              </w:rPr>
            </w:pPr>
            <w:r w:rsidRPr="00BD16B4">
              <w:rPr>
                <w:szCs w:val="18"/>
              </w:rPr>
              <w:t>540.84</w:t>
            </w:r>
          </w:p>
        </w:tc>
        <w:tc>
          <w:tcPr>
            <w:tcW w:w="964" w:type="dxa"/>
          </w:tcPr>
          <w:p w14:paraId="431895DA" w14:textId="77777777" w:rsidR="00ED2EBD" w:rsidRPr="00BD16B4" w:rsidRDefault="00ED2EBD" w:rsidP="004A205F">
            <w:pPr>
              <w:pStyle w:val="TableText"/>
              <w:spacing w:before="40" w:after="40"/>
              <w:jc w:val="right"/>
              <w:rPr>
                <w:szCs w:val="18"/>
              </w:rPr>
            </w:pPr>
            <w:r w:rsidRPr="00BD16B4">
              <w:rPr>
                <w:szCs w:val="18"/>
              </w:rPr>
              <w:t>500.37</w:t>
            </w:r>
          </w:p>
        </w:tc>
        <w:tc>
          <w:tcPr>
            <w:tcW w:w="964" w:type="dxa"/>
          </w:tcPr>
          <w:p w14:paraId="2139B612" w14:textId="77777777" w:rsidR="00ED2EBD" w:rsidRPr="00BD16B4" w:rsidRDefault="00ED2EBD" w:rsidP="004A205F">
            <w:pPr>
              <w:pStyle w:val="TableText"/>
              <w:spacing w:before="40" w:after="40"/>
              <w:jc w:val="right"/>
              <w:rPr>
                <w:szCs w:val="18"/>
              </w:rPr>
            </w:pPr>
            <w:r w:rsidRPr="00BD16B4">
              <w:rPr>
                <w:szCs w:val="18"/>
              </w:rPr>
              <w:t>666.61</w:t>
            </w:r>
          </w:p>
        </w:tc>
        <w:tc>
          <w:tcPr>
            <w:tcW w:w="964" w:type="dxa"/>
          </w:tcPr>
          <w:p w14:paraId="3E0A9D44" w14:textId="77777777" w:rsidR="00ED2EBD" w:rsidRPr="00BD16B4" w:rsidRDefault="00ED2EBD" w:rsidP="004A205F">
            <w:pPr>
              <w:pStyle w:val="TableText"/>
              <w:spacing w:before="40" w:after="40"/>
              <w:jc w:val="right"/>
              <w:rPr>
                <w:szCs w:val="18"/>
              </w:rPr>
            </w:pPr>
            <w:r w:rsidRPr="00BD16B4">
              <w:rPr>
                <w:szCs w:val="18"/>
              </w:rPr>
              <w:t>713.84</w:t>
            </w:r>
          </w:p>
        </w:tc>
        <w:tc>
          <w:tcPr>
            <w:tcW w:w="964" w:type="dxa"/>
          </w:tcPr>
          <w:p w14:paraId="3840138B" w14:textId="77777777" w:rsidR="00ED2EBD" w:rsidRPr="00BD16B4" w:rsidRDefault="00ED2EBD" w:rsidP="004A205F">
            <w:pPr>
              <w:pStyle w:val="TableText"/>
              <w:spacing w:before="40" w:after="40"/>
              <w:jc w:val="right"/>
              <w:rPr>
                <w:szCs w:val="18"/>
              </w:rPr>
            </w:pPr>
            <w:r w:rsidRPr="00BD16B4">
              <w:rPr>
                <w:szCs w:val="18"/>
              </w:rPr>
              <w:t>705.02</w:t>
            </w:r>
          </w:p>
        </w:tc>
      </w:tr>
      <w:tr w:rsidR="00ED2EBD" w:rsidRPr="00BD16B4" w14:paraId="04B45EFC" w14:textId="77777777" w:rsidTr="00DF055B">
        <w:tc>
          <w:tcPr>
            <w:tcW w:w="3539" w:type="dxa"/>
          </w:tcPr>
          <w:p w14:paraId="1A468403" w14:textId="77777777" w:rsidR="00ED2EBD" w:rsidRPr="00BD16B4" w:rsidRDefault="00ED2EBD" w:rsidP="004A205F">
            <w:pPr>
              <w:pStyle w:val="TableText"/>
              <w:spacing w:before="40" w:after="40"/>
              <w:rPr>
                <w:szCs w:val="18"/>
              </w:rPr>
            </w:pPr>
            <w:r w:rsidRPr="00BD16B4">
              <w:rPr>
                <w:szCs w:val="18"/>
              </w:rPr>
              <w:lastRenderedPageBreak/>
              <w:t>C. CO</w:t>
            </w:r>
            <w:r w:rsidRPr="00BD16B4">
              <w:rPr>
                <w:szCs w:val="18"/>
                <w:vertAlign w:val="subscript"/>
              </w:rPr>
              <w:t>2</w:t>
            </w:r>
            <w:r w:rsidRPr="00BD16B4">
              <w:rPr>
                <w:szCs w:val="18"/>
              </w:rPr>
              <w:t xml:space="preserve"> transport and storage</w:t>
            </w:r>
          </w:p>
        </w:tc>
        <w:tc>
          <w:tcPr>
            <w:tcW w:w="964" w:type="dxa"/>
          </w:tcPr>
          <w:p w14:paraId="1E433551" w14:textId="77777777" w:rsidR="00ED2EBD" w:rsidRPr="00BD16B4" w:rsidRDefault="00ED2EBD" w:rsidP="004A205F">
            <w:pPr>
              <w:pStyle w:val="TableText"/>
              <w:spacing w:before="40" w:after="40"/>
              <w:jc w:val="right"/>
              <w:rPr>
                <w:szCs w:val="18"/>
              </w:rPr>
            </w:pPr>
            <w:r w:rsidRPr="00BD16B4">
              <w:rPr>
                <w:szCs w:val="18"/>
              </w:rPr>
              <w:t>NO</w:t>
            </w:r>
          </w:p>
        </w:tc>
        <w:tc>
          <w:tcPr>
            <w:tcW w:w="964" w:type="dxa"/>
          </w:tcPr>
          <w:p w14:paraId="1361302E" w14:textId="77777777" w:rsidR="00ED2EBD" w:rsidRPr="00BD16B4" w:rsidRDefault="00ED2EBD" w:rsidP="004A205F">
            <w:pPr>
              <w:pStyle w:val="TableText"/>
              <w:spacing w:before="40" w:after="40"/>
              <w:jc w:val="right"/>
              <w:rPr>
                <w:szCs w:val="18"/>
              </w:rPr>
            </w:pPr>
            <w:r w:rsidRPr="00BD16B4">
              <w:rPr>
                <w:szCs w:val="18"/>
              </w:rPr>
              <w:t>NO</w:t>
            </w:r>
          </w:p>
        </w:tc>
        <w:tc>
          <w:tcPr>
            <w:tcW w:w="964" w:type="dxa"/>
          </w:tcPr>
          <w:p w14:paraId="128220B1" w14:textId="77777777" w:rsidR="00ED2EBD" w:rsidRPr="00BD16B4" w:rsidRDefault="00ED2EBD" w:rsidP="004A205F">
            <w:pPr>
              <w:pStyle w:val="TableText"/>
              <w:spacing w:before="40" w:after="40"/>
              <w:jc w:val="right"/>
              <w:rPr>
                <w:szCs w:val="18"/>
              </w:rPr>
            </w:pPr>
            <w:r w:rsidRPr="00BD16B4">
              <w:rPr>
                <w:szCs w:val="18"/>
              </w:rPr>
              <w:t>NO</w:t>
            </w:r>
          </w:p>
        </w:tc>
        <w:tc>
          <w:tcPr>
            <w:tcW w:w="964" w:type="dxa"/>
          </w:tcPr>
          <w:p w14:paraId="252CE0D2" w14:textId="77777777" w:rsidR="00ED2EBD" w:rsidRPr="00BD16B4" w:rsidRDefault="00ED2EBD" w:rsidP="004A205F">
            <w:pPr>
              <w:pStyle w:val="TableText"/>
              <w:spacing w:before="40" w:after="40"/>
              <w:jc w:val="right"/>
              <w:rPr>
                <w:szCs w:val="18"/>
              </w:rPr>
            </w:pPr>
            <w:r w:rsidRPr="00BD16B4">
              <w:rPr>
                <w:szCs w:val="18"/>
              </w:rPr>
              <w:t>NO</w:t>
            </w:r>
          </w:p>
        </w:tc>
        <w:tc>
          <w:tcPr>
            <w:tcW w:w="964" w:type="dxa"/>
          </w:tcPr>
          <w:p w14:paraId="45B9ACCF" w14:textId="77777777" w:rsidR="00ED2EBD" w:rsidRPr="00BD16B4" w:rsidRDefault="00ED2EBD" w:rsidP="004A205F">
            <w:pPr>
              <w:pStyle w:val="TableText"/>
              <w:spacing w:before="40" w:after="40"/>
              <w:jc w:val="right"/>
              <w:rPr>
                <w:szCs w:val="18"/>
              </w:rPr>
            </w:pPr>
            <w:r w:rsidRPr="00BD16B4">
              <w:rPr>
                <w:szCs w:val="18"/>
              </w:rPr>
              <w:t>NO</w:t>
            </w:r>
          </w:p>
        </w:tc>
        <w:tc>
          <w:tcPr>
            <w:tcW w:w="964" w:type="dxa"/>
          </w:tcPr>
          <w:p w14:paraId="7F2756D7" w14:textId="77777777" w:rsidR="00ED2EBD" w:rsidRPr="00BD16B4" w:rsidRDefault="00ED2EBD" w:rsidP="004A205F">
            <w:pPr>
              <w:pStyle w:val="TableText"/>
              <w:spacing w:before="40" w:after="40"/>
              <w:jc w:val="right"/>
              <w:rPr>
                <w:szCs w:val="18"/>
              </w:rPr>
            </w:pPr>
            <w:r w:rsidRPr="00BD16B4">
              <w:rPr>
                <w:szCs w:val="18"/>
              </w:rPr>
              <w:t>NO</w:t>
            </w:r>
          </w:p>
        </w:tc>
        <w:tc>
          <w:tcPr>
            <w:tcW w:w="964" w:type="dxa"/>
          </w:tcPr>
          <w:p w14:paraId="233B678D" w14:textId="77777777" w:rsidR="00ED2EBD" w:rsidRPr="00BD16B4" w:rsidRDefault="00ED2EBD" w:rsidP="004A205F">
            <w:pPr>
              <w:pStyle w:val="TableText"/>
              <w:spacing w:before="40" w:after="40"/>
              <w:jc w:val="right"/>
              <w:rPr>
                <w:szCs w:val="18"/>
              </w:rPr>
            </w:pPr>
            <w:r w:rsidRPr="00BD16B4">
              <w:rPr>
                <w:szCs w:val="18"/>
              </w:rPr>
              <w:t>NO</w:t>
            </w:r>
          </w:p>
        </w:tc>
        <w:tc>
          <w:tcPr>
            <w:tcW w:w="964" w:type="dxa"/>
          </w:tcPr>
          <w:p w14:paraId="39004000" w14:textId="77777777" w:rsidR="00ED2EBD" w:rsidRPr="00BD16B4" w:rsidRDefault="00ED2EBD" w:rsidP="004A205F">
            <w:pPr>
              <w:pStyle w:val="TableText"/>
              <w:spacing w:before="40" w:after="40"/>
              <w:jc w:val="right"/>
              <w:rPr>
                <w:szCs w:val="18"/>
              </w:rPr>
            </w:pPr>
            <w:r w:rsidRPr="00BD16B4">
              <w:rPr>
                <w:szCs w:val="18"/>
              </w:rPr>
              <w:t>NO</w:t>
            </w:r>
          </w:p>
        </w:tc>
        <w:tc>
          <w:tcPr>
            <w:tcW w:w="964" w:type="dxa"/>
          </w:tcPr>
          <w:p w14:paraId="59A4072E" w14:textId="77777777" w:rsidR="00ED2EBD" w:rsidRPr="00BD16B4" w:rsidRDefault="00ED2EBD" w:rsidP="004A205F">
            <w:pPr>
              <w:pStyle w:val="TableText"/>
              <w:spacing w:before="40" w:after="40"/>
              <w:jc w:val="right"/>
              <w:rPr>
                <w:szCs w:val="18"/>
              </w:rPr>
            </w:pPr>
            <w:r w:rsidRPr="00BD16B4">
              <w:rPr>
                <w:szCs w:val="18"/>
              </w:rPr>
              <w:t>NO</w:t>
            </w:r>
          </w:p>
        </w:tc>
      </w:tr>
      <w:tr w:rsidR="00ED2EBD" w:rsidRPr="00BD16B4" w14:paraId="721D8E0E" w14:textId="77777777" w:rsidTr="00DF055B">
        <w:tc>
          <w:tcPr>
            <w:tcW w:w="3539" w:type="dxa"/>
          </w:tcPr>
          <w:p w14:paraId="16AC92E9" w14:textId="2899402A" w:rsidR="00ED2EBD" w:rsidRPr="00BD16B4" w:rsidRDefault="00ED2EBD" w:rsidP="004A205F">
            <w:pPr>
              <w:pStyle w:val="TableText"/>
              <w:spacing w:before="40" w:after="40"/>
              <w:rPr>
                <w:szCs w:val="18"/>
              </w:rPr>
            </w:pPr>
            <w:r w:rsidRPr="00BD16B4">
              <w:rPr>
                <w:b/>
                <w:bCs/>
                <w:szCs w:val="18"/>
              </w:rPr>
              <w:t>2.</w:t>
            </w:r>
            <w:r w:rsidR="00280979" w:rsidRPr="00BD16B4">
              <w:rPr>
                <w:b/>
                <w:bCs/>
                <w:szCs w:val="18"/>
              </w:rPr>
              <w:t xml:space="preserve"> </w:t>
            </w:r>
            <w:r w:rsidRPr="00BD16B4">
              <w:rPr>
                <w:b/>
                <w:bCs/>
                <w:szCs w:val="18"/>
              </w:rPr>
              <w:t>Industrial processes</w:t>
            </w:r>
          </w:p>
        </w:tc>
        <w:tc>
          <w:tcPr>
            <w:tcW w:w="964" w:type="dxa"/>
          </w:tcPr>
          <w:p w14:paraId="758CB24F" w14:textId="77777777" w:rsidR="00ED2EBD" w:rsidRPr="00BD16B4" w:rsidRDefault="00ED2EBD" w:rsidP="004A205F">
            <w:pPr>
              <w:pStyle w:val="TableText"/>
              <w:spacing w:before="40" w:after="40"/>
              <w:jc w:val="right"/>
              <w:rPr>
                <w:szCs w:val="18"/>
              </w:rPr>
            </w:pPr>
            <w:r w:rsidRPr="00BD16B4">
              <w:rPr>
                <w:szCs w:val="18"/>
              </w:rPr>
              <w:t>2,519.96</w:t>
            </w:r>
          </w:p>
        </w:tc>
        <w:tc>
          <w:tcPr>
            <w:tcW w:w="964" w:type="dxa"/>
          </w:tcPr>
          <w:p w14:paraId="31A16D59" w14:textId="77777777" w:rsidR="00ED2EBD" w:rsidRPr="00BD16B4" w:rsidRDefault="00ED2EBD" w:rsidP="004A205F">
            <w:pPr>
              <w:pStyle w:val="TableText"/>
              <w:spacing w:before="40" w:after="40"/>
              <w:jc w:val="right"/>
              <w:rPr>
                <w:szCs w:val="18"/>
              </w:rPr>
            </w:pPr>
            <w:r w:rsidRPr="00BD16B4">
              <w:rPr>
                <w:szCs w:val="18"/>
              </w:rPr>
              <w:t>2,659.49</w:t>
            </w:r>
          </w:p>
        </w:tc>
        <w:tc>
          <w:tcPr>
            <w:tcW w:w="964" w:type="dxa"/>
          </w:tcPr>
          <w:p w14:paraId="18ECB17F" w14:textId="77777777" w:rsidR="00ED2EBD" w:rsidRPr="00BD16B4" w:rsidRDefault="00ED2EBD" w:rsidP="004A205F">
            <w:pPr>
              <w:pStyle w:val="TableText"/>
              <w:spacing w:before="40" w:after="40"/>
              <w:jc w:val="right"/>
              <w:rPr>
                <w:szCs w:val="18"/>
              </w:rPr>
            </w:pPr>
            <w:r w:rsidRPr="00BD16B4">
              <w:rPr>
                <w:szCs w:val="18"/>
              </w:rPr>
              <w:t>2,757.60</w:t>
            </w:r>
          </w:p>
        </w:tc>
        <w:tc>
          <w:tcPr>
            <w:tcW w:w="964" w:type="dxa"/>
          </w:tcPr>
          <w:p w14:paraId="4B621786" w14:textId="77777777" w:rsidR="00ED2EBD" w:rsidRPr="00BD16B4" w:rsidRDefault="00ED2EBD" w:rsidP="004A205F">
            <w:pPr>
              <w:pStyle w:val="TableText"/>
              <w:spacing w:before="40" w:after="40"/>
              <w:jc w:val="right"/>
              <w:rPr>
                <w:szCs w:val="18"/>
              </w:rPr>
            </w:pPr>
            <w:r w:rsidRPr="00BD16B4">
              <w:rPr>
                <w:szCs w:val="18"/>
              </w:rPr>
              <w:t>2,847.57</w:t>
            </w:r>
          </w:p>
        </w:tc>
        <w:tc>
          <w:tcPr>
            <w:tcW w:w="964" w:type="dxa"/>
          </w:tcPr>
          <w:p w14:paraId="0D2D46F9" w14:textId="77777777" w:rsidR="00ED2EBD" w:rsidRPr="00BD16B4" w:rsidRDefault="00ED2EBD" w:rsidP="004A205F">
            <w:pPr>
              <w:pStyle w:val="TableText"/>
              <w:spacing w:before="40" w:after="40"/>
              <w:jc w:val="right"/>
              <w:rPr>
                <w:szCs w:val="18"/>
              </w:rPr>
            </w:pPr>
            <w:r w:rsidRPr="00BD16B4">
              <w:rPr>
                <w:szCs w:val="18"/>
              </w:rPr>
              <w:t>2,725.62</w:t>
            </w:r>
          </w:p>
        </w:tc>
        <w:tc>
          <w:tcPr>
            <w:tcW w:w="964" w:type="dxa"/>
          </w:tcPr>
          <w:p w14:paraId="1D088963" w14:textId="77777777" w:rsidR="00ED2EBD" w:rsidRPr="00BD16B4" w:rsidRDefault="00ED2EBD" w:rsidP="004A205F">
            <w:pPr>
              <w:pStyle w:val="TableText"/>
              <w:spacing w:before="40" w:after="40"/>
              <w:jc w:val="right"/>
              <w:rPr>
                <w:szCs w:val="18"/>
              </w:rPr>
            </w:pPr>
            <w:r w:rsidRPr="00BD16B4">
              <w:rPr>
                <w:szCs w:val="18"/>
              </w:rPr>
              <w:t>2,813.83</w:t>
            </w:r>
          </w:p>
        </w:tc>
        <w:tc>
          <w:tcPr>
            <w:tcW w:w="964" w:type="dxa"/>
          </w:tcPr>
          <w:p w14:paraId="6B8B6704" w14:textId="77777777" w:rsidR="00ED2EBD" w:rsidRPr="00BD16B4" w:rsidRDefault="00ED2EBD" w:rsidP="004A205F">
            <w:pPr>
              <w:pStyle w:val="TableText"/>
              <w:spacing w:before="40" w:after="40"/>
              <w:jc w:val="right"/>
              <w:rPr>
                <w:szCs w:val="18"/>
              </w:rPr>
            </w:pPr>
            <w:r w:rsidRPr="00BD16B4">
              <w:rPr>
                <w:szCs w:val="18"/>
              </w:rPr>
              <w:t>2,826.09</w:t>
            </w:r>
          </w:p>
        </w:tc>
        <w:tc>
          <w:tcPr>
            <w:tcW w:w="964" w:type="dxa"/>
          </w:tcPr>
          <w:p w14:paraId="5DFBEC4D" w14:textId="77777777" w:rsidR="00ED2EBD" w:rsidRPr="00BD16B4" w:rsidRDefault="00ED2EBD" w:rsidP="004A205F">
            <w:pPr>
              <w:pStyle w:val="TableText"/>
              <w:spacing w:before="40" w:after="40"/>
              <w:jc w:val="right"/>
              <w:rPr>
                <w:szCs w:val="18"/>
              </w:rPr>
            </w:pPr>
            <w:r w:rsidRPr="00BD16B4">
              <w:rPr>
                <w:szCs w:val="18"/>
              </w:rPr>
              <w:t>2,732.19</w:t>
            </w:r>
          </w:p>
        </w:tc>
        <w:tc>
          <w:tcPr>
            <w:tcW w:w="964" w:type="dxa"/>
          </w:tcPr>
          <w:p w14:paraId="24A53CE3" w14:textId="77777777" w:rsidR="00ED2EBD" w:rsidRPr="00BD16B4" w:rsidRDefault="00ED2EBD" w:rsidP="004A205F">
            <w:pPr>
              <w:pStyle w:val="TableText"/>
              <w:spacing w:before="40" w:after="40"/>
              <w:jc w:val="right"/>
              <w:rPr>
                <w:szCs w:val="18"/>
              </w:rPr>
            </w:pPr>
            <w:r w:rsidRPr="00BD16B4">
              <w:rPr>
                <w:szCs w:val="18"/>
              </w:rPr>
              <w:t>2,792.19</w:t>
            </w:r>
          </w:p>
        </w:tc>
      </w:tr>
      <w:tr w:rsidR="00ED2EBD" w:rsidRPr="00BD16B4" w14:paraId="4EED0C49" w14:textId="77777777" w:rsidTr="00DF055B">
        <w:tc>
          <w:tcPr>
            <w:tcW w:w="3539" w:type="dxa"/>
          </w:tcPr>
          <w:p w14:paraId="72DF94C3" w14:textId="0B1978A6"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Mineral industry</w:t>
            </w:r>
          </w:p>
        </w:tc>
        <w:tc>
          <w:tcPr>
            <w:tcW w:w="964" w:type="dxa"/>
          </w:tcPr>
          <w:p w14:paraId="065AE96A" w14:textId="77777777" w:rsidR="00ED2EBD" w:rsidRPr="00BD16B4" w:rsidRDefault="00ED2EBD" w:rsidP="004A205F">
            <w:pPr>
              <w:pStyle w:val="TableText"/>
              <w:spacing w:before="40" w:after="40"/>
              <w:jc w:val="right"/>
              <w:rPr>
                <w:szCs w:val="18"/>
              </w:rPr>
            </w:pPr>
            <w:r w:rsidRPr="00BD16B4">
              <w:rPr>
                <w:szCs w:val="18"/>
              </w:rPr>
              <w:t>561.87</w:t>
            </w:r>
          </w:p>
        </w:tc>
        <w:tc>
          <w:tcPr>
            <w:tcW w:w="964" w:type="dxa"/>
          </w:tcPr>
          <w:p w14:paraId="68B942A0" w14:textId="77777777" w:rsidR="00ED2EBD" w:rsidRPr="00BD16B4" w:rsidRDefault="00ED2EBD" w:rsidP="004A205F">
            <w:pPr>
              <w:pStyle w:val="TableText"/>
              <w:spacing w:before="40" w:after="40"/>
              <w:jc w:val="right"/>
              <w:rPr>
                <w:szCs w:val="18"/>
              </w:rPr>
            </w:pPr>
            <w:r w:rsidRPr="00BD16B4">
              <w:rPr>
                <w:szCs w:val="18"/>
              </w:rPr>
              <w:t>572.41</w:t>
            </w:r>
          </w:p>
        </w:tc>
        <w:tc>
          <w:tcPr>
            <w:tcW w:w="964" w:type="dxa"/>
          </w:tcPr>
          <w:p w14:paraId="263DDA08" w14:textId="77777777" w:rsidR="00ED2EBD" w:rsidRPr="00BD16B4" w:rsidRDefault="00ED2EBD" w:rsidP="004A205F">
            <w:pPr>
              <w:pStyle w:val="TableText"/>
              <w:spacing w:before="40" w:after="40"/>
              <w:jc w:val="right"/>
              <w:rPr>
                <w:szCs w:val="18"/>
              </w:rPr>
            </w:pPr>
            <w:r w:rsidRPr="00BD16B4">
              <w:rPr>
                <w:szCs w:val="18"/>
              </w:rPr>
              <w:t>648.54</w:t>
            </w:r>
          </w:p>
        </w:tc>
        <w:tc>
          <w:tcPr>
            <w:tcW w:w="964" w:type="dxa"/>
          </w:tcPr>
          <w:p w14:paraId="2DE21995" w14:textId="77777777" w:rsidR="00ED2EBD" w:rsidRPr="00BD16B4" w:rsidRDefault="00ED2EBD" w:rsidP="004A205F">
            <w:pPr>
              <w:pStyle w:val="TableText"/>
              <w:spacing w:before="40" w:after="40"/>
              <w:jc w:val="right"/>
              <w:rPr>
                <w:szCs w:val="18"/>
              </w:rPr>
            </w:pPr>
            <w:r w:rsidRPr="00BD16B4">
              <w:rPr>
                <w:szCs w:val="18"/>
              </w:rPr>
              <w:t>646.71</w:t>
            </w:r>
          </w:p>
        </w:tc>
        <w:tc>
          <w:tcPr>
            <w:tcW w:w="964" w:type="dxa"/>
          </w:tcPr>
          <w:p w14:paraId="55FC3734" w14:textId="77777777" w:rsidR="00ED2EBD" w:rsidRPr="00BD16B4" w:rsidRDefault="00ED2EBD" w:rsidP="004A205F">
            <w:pPr>
              <w:pStyle w:val="TableText"/>
              <w:spacing w:before="40" w:after="40"/>
              <w:jc w:val="right"/>
              <w:rPr>
                <w:szCs w:val="18"/>
              </w:rPr>
            </w:pPr>
            <w:r w:rsidRPr="00BD16B4">
              <w:rPr>
                <w:szCs w:val="18"/>
              </w:rPr>
              <w:t>625.40</w:t>
            </w:r>
          </w:p>
        </w:tc>
        <w:tc>
          <w:tcPr>
            <w:tcW w:w="964" w:type="dxa"/>
          </w:tcPr>
          <w:p w14:paraId="47DEAA12" w14:textId="77777777" w:rsidR="00ED2EBD" w:rsidRPr="00BD16B4" w:rsidRDefault="00ED2EBD" w:rsidP="004A205F">
            <w:pPr>
              <w:pStyle w:val="TableText"/>
              <w:spacing w:before="40" w:after="40"/>
              <w:jc w:val="right"/>
              <w:rPr>
                <w:szCs w:val="18"/>
              </w:rPr>
            </w:pPr>
            <w:r w:rsidRPr="00BD16B4">
              <w:rPr>
                <w:szCs w:val="18"/>
              </w:rPr>
              <w:t>674.60</w:t>
            </w:r>
          </w:p>
        </w:tc>
        <w:tc>
          <w:tcPr>
            <w:tcW w:w="964" w:type="dxa"/>
          </w:tcPr>
          <w:p w14:paraId="442F48C2" w14:textId="77777777" w:rsidR="00ED2EBD" w:rsidRPr="00BD16B4" w:rsidRDefault="00ED2EBD" w:rsidP="004A205F">
            <w:pPr>
              <w:pStyle w:val="TableText"/>
              <w:spacing w:before="40" w:after="40"/>
              <w:jc w:val="right"/>
              <w:rPr>
                <w:szCs w:val="18"/>
              </w:rPr>
            </w:pPr>
            <w:r w:rsidRPr="00BD16B4">
              <w:rPr>
                <w:szCs w:val="18"/>
              </w:rPr>
              <w:t>646.19</w:t>
            </w:r>
          </w:p>
        </w:tc>
        <w:tc>
          <w:tcPr>
            <w:tcW w:w="964" w:type="dxa"/>
          </w:tcPr>
          <w:p w14:paraId="65071A9C" w14:textId="77777777" w:rsidR="00ED2EBD" w:rsidRPr="00BD16B4" w:rsidRDefault="00ED2EBD" w:rsidP="004A205F">
            <w:pPr>
              <w:pStyle w:val="TableText"/>
              <w:spacing w:before="40" w:after="40"/>
              <w:jc w:val="right"/>
              <w:rPr>
                <w:szCs w:val="18"/>
              </w:rPr>
            </w:pPr>
            <w:r w:rsidRPr="00BD16B4">
              <w:rPr>
                <w:szCs w:val="18"/>
              </w:rPr>
              <w:t>695.08</w:t>
            </w:r>
          </w:p>
        </w:tc>
        <w:tc>
          <w:tcPr>
            <w:tcW w:w="964" w:type="dxa"/>
          </w:tcPr>
          <w:p w14:paraId="5C94AE3C" w14:textId="77777777" w:rsidR="00ED2EBD" w:rsidRPr="00BD16B4" w:rsidRDefault="00ED2EBD" w:rsidP="004A205F">
            <w:pPr>
              <w:pStyle w:val="TableText"/>
              <w:spacing w:before="40" w:after="40"/>
              <w:jc w:val="right"/>
              <w:rPr>
                <w:szCs w:val="18"/>
              </w:rPr>
            </w:pPr>
            <w:r w:rsidRPr="00BD16B4">
              <w:rPr>
                <w:szCs w:val="18"/>
              </w:rPr>
              <w:t>650.96</w:t>
            </w:r>
          </w:p>
        </w:tc>
      </w:tr>
      <w:tr w:rsidR="00ED2EBD" w:rsidRPr="00BD16B4" w14:paraId="78150FEB" w14:textId="77777777" w:rsidTr="00DF055B">
        <w:tc>
          <w:tcPr>
            <w:tcW w:w="3539" w:type="dxa"/>
          </w:tcPr>
          <w:p w14:paraId="76FD3A36" w14:textId="183D4934"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Chemical industry</w:t>
            </w:r>
          </w:p>
        </w:tc>
        <w:tc>
          <w:tcPr>
            <w:tcW w:w="964" w:type="dxa"/>
          </w:tcPr>
          <w:p w14:paraId="6BAF26D2" w14:textId="77777777" w:rsidR="00ED2EBD" w:rsidRPr="00BD16B4" w:rsidRDefault="00ED2EBD" w:rsidP="004A205F">
            <w:pPr>
              <w:pStyle w:val="TableText"/>
              <w:spacing w:before="40" w:after="40"/>
              <w:jc w:val="right"/>
              <w:rPr>
                <w:szCs w:val="18"/>
              </w:rPr>
            </w:pPr>
            <w:r w:rsidRPr="00BD16B4">
              <w:rPr>
                <w:szCs w:val="18"/>
              </w:rPr>
              <w:t>175.40</w:t>
            </w:r>
          </w:p>
        </w:tc>
        <w:tc>
          <w:tcPr>
            <w:tcW w:w="964" w:type="dxa"/>
          </w:tcPr>
          <w:p w14:paraId="39713436" w14:textId="77777777" w:rsidR="00ED2EBD" w:rsidRPr="00BD16B4" w:rsidRDefault="00ED2EBD" w:rsidP="004A205F">
            <w:pPr>
              <w:pStyle w:val="TableText"/>
              <w:spacing w:before="40" w:after="40"/>
              <w:jc w:val="right"/>
              <w:rPr>
                <w:szCs w:val="18"/>
              </w:rPr>
            </w:pPr>
            <w:r w:rsidRPr="00BD16B4">
              <w:rPr>
                <w:szCs w:val="18"/>
              </w:rPr>
              <w:t>189.82</w:t>
            </w:r>
          </w:p>
        </w:tc>
        <w:tc>
          <w:tcPr>
            <w:tcW w:w="964" w:type="dxa"/>
          </w:tcPr>
          <w:p w14:paraId="46ECC113" w14:textId="77777777" w:rsidR="00ED2EBD" w:rsidRPr="00BD16B4" w:rsidRDefault="00ED2EBD" w:rsidP="004A205F">
            <w:pPr>
              <w:pStyle w:val="TableText"/>
              <w:spacing w:before="40" w:after="40"/>
              <w:jc w:val="right"/>
              <w:rPr>
                <w:szCs w:val="18"/>
              </w:rPr>
            </w:pPr>
            <w:r w:rsidRPr="00BD16B4">
              <w:rPr>
                <w:szCs w:val="18"/>
              </w:rPr>
              <w:t>181.80</w:t>
            </w:r>
          </w:p>
        </w:tc>
        <w:tc>
          <w:tcPr>
            <w:tcW w:w="964" w:type="dxa"/>
          </w:tcPr>
          <w:p w14:paraId="03B7DE5B" w14:textId="77777777" w:rsidR="00ED2EBD" w:rsidRPr="00BD16B4" w:rsidRDefault="00ED2EBD" w:rsidP="004A205F">
            <w:pPr>
              <w:pStyle w:val="TableText"/>
              <w:spacing w:before="40" w:after="40"/>
              <w:jc w:val="right"/>
              <w:rPr>
                <w:szCs w:val="18"/>
              </w:rPr>
            </w:pPr>
            <w:r w:rsidRPr="00BD16B4">
              <w:rPr>
                <w:szCs w:val="18"/>
              </w:rPr>
              <w:t>179.40</w:t>
            </w:r>
          </w:p>
        </w:tc>
        <w:tc>
          <w:tcPr>
            <w:tcW w:w="964" w:type="dxa"/>
          </w:tcPr>
          <w:p w14:paraId="3FDA047A" w14:textId="77777777" w:rsidR="00ED2EBD" w:rsidRPr="00BD16B4" w:rsidRDefault="00ED2EBD" w:rsidP="004A205F">
            <w:pPr>
              <w:pStyle w:val="TableText"/>
              <w:spacing w:before="40" w:after="40"/>
              <w:jc w:val="right"/>
              <w:rPr>
                <w:szCs w:val="18"/>
              </w:rPr>
            </w:pPr>
            <w:r w:rsidRPr="00BD16B4">
              <w:rPr>
                <w:szCs w:val="18"/>
              </w:rPr>
              <w:t>196.23</w:t>
            </w:r>
          </w:p>
        </w:tc>
        <w:tc>
          <w:tcPr>
            <w:tcW w:w="964" w:type="dxa"/>
          </w:tcPr>
          <w:p w14:paraId="29EA97BC" w14:textId="77777777" w:rsidR="00ED2EBD" w:rsidRPr="00BD16B4" w:rsidRDefault="00ED2EBD" w:rsidP="004A205F">
            <w:pPr>
              <w:pStyle w:val="TableText"/>
              <w:spacing w:before="40" w:after="40"/>
              <w:jc w:val="right"/>
              <w:rPr>
                <w:szCs w:val="18"/>
              </w:rPr>
            </w:pPr>
            <w:r w:rsidRPr="00BD16B4">
              <w:rPr>
                <w:szCs w:val="18"/>
              </w:rPr>
              <w:t>171.54</w:t>
            </w:r>
          </w:p>
        </w:tc>
        <w:tc>
          <w:tcPr>
            <w:tcW w:w="964" w:type="dxa"/>
          </w:tcPr>
          <w:p w14:paraId="27CBD1DA" w14:textId="77777777" w:rsidR="00ED2EBD" w:rsidRPr="00BD16B4" w:rsidRDefault="00ED2EBD" w:rsidP="004A205F">
            <w:pPr>
              <w:pStyle w:val="TableText"/>
              <w:spacing w:before="40" w:after="40"/>
              <w:jc w:val="right"/>
              <w:rPr>
                <w:szCs w:val="18"/>
              </w:rPr>
            </w:pPr>
            <w:r w:rsidRPr="00BD16B4">
              <w:rPr>
                <w:szCs w:val="18"/>
              </w:rPr>
              <w:t>190.79</w:t>
            </w:r>
          </w:p>
        </w:tc>
        <w:tc>
          <w:tcPr>
            <w:tcW w:w="964" w:type="dxa"/>
          </w:tcPr>
          <w:p w14:paraId="513E67C5" w14:textId="77777777" w:rsidR="00ED2EBD" w:rsidRPr="00BD16B4" w:rsidRDefault="00ED2EBD" w:rsidP="004A205F">
            <w:pPr>
              <w:pStyle w:val="TableText"/>
              <w:spacing w:before="40" w:after="40"/>
              <w:jc w:val="right"/>
              <w:rPr>
                <w:szCs w:val="18"/>
              </w:rPr>
            </w:pPr>
            <w:r w:rsidRPr="00BD16B4">
              <w:rPr>
                <w:szCs w:val="18"/>
              </w:rPr>
              <w:t>190.39</w:t>
            </w:r>
          </w:p>
        </w:tc>
        <w:tc>
          <w:tcPr>
            <w:tcW w:w="964" w:type="dxa"/>
          </w:tcPr>
          <w:p w14:paraId="621FC6A8" w14:textId="77777777" w:rsidR="00ED2EBD" w:rsidRPr="00BD16B4" w:rsidRDefault="00ED2EBD" w:rsidP="004A205F">
            <w:pPr>
              <w:pStyle w:val="TableText"/>
              <w:spacing w:before="40" w:after="40"/>
              <w:jc w:val="right"/>
              <w:rPr>
                <w:szCs w:val="18"/>
              </w:rPr>
            </w:pPr>
            <w:r w:rsidRPr="00BD16B4">
              <w:rPr>
                <w:szCs w:val="18"/>
              </w:rPr>
              <w:t>195.43</w:t>
            </w:r>
          </w:p>
        </w:tc>
      </w:tr>
      <w:tr w:rsidR="00ED2EBD" w:rsidRPr="00BD16B4" w14:paraId="4D1D9D06" w14:textId="77777777" w:rsidTr="00DF055B">
        <w:tc>
          <w:tcPr>
            <w:tcW w:w="3539" w:type="dxa"/>
          </w:tcPr>
          <w:p w14:paraId="5B1091FF" w14:textId="39978695"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Metal industry</w:t>
            </w:r>
          </w:p>
        </w:tc>
        <w:tc>
          <w:tcPr>
            <w:tcW w:w="964" w:type="dxa"/>
          </w:tcPr>
          <w:p w14:paraId="25BDC592" w14:textId="77777777" w:rsidR="00ED2EBD" w:rsidRPr="00BD16B4" w:rsidRDefault="00ED2EBD" w:rsidP="004A205F">
            <w:pPr>
              <w:pStyle w:val="TableText"/>
              <w:spacing w:before="40" w:after="40"/>
              <w:jc w:val="right"/>
              <w:rPr>
                <w:szCs w:val="18"/>
              </w:rPr>
            </w:pPr>
            <w:r w:rsidRPr="00BD16B4">
              <w:rPr>
                <w:szCs w:val="18"/>
              </w:rPr>
              <w:t>1,757.51</w:t>
            </w:r>
          </w:p>
        </w:tc>
        <w:tc>
          <w:tcPr>
            <w:tcW w:w="964" w:type="dxa"/>
          </w:tcPr>
          <w:p w14:paraId="7C513506" w14:textId="77777777" w:rsidR="00ED2EBD" w:rsidRPr="00BD16B4" w:rsidRDefault="00ED2EBD" w:rsidP="004A205F">
            <w:pPr>
              <w:pStyle w:val="TableText"/>
              <w:spacing w:before="40" w:after="40"/>
              <w:jc w:val="right"/>
              <w:rPr>
                <w:szCs w:val="18"/>
              </w:rPr>
            </w:pPr>
            <w:r w:rsidRPr="00BD16B4">
              <w:rPr>
                <w:szCs w:val="18"/>
              </w:rPr>
              <w:t>1,872.16</w:t>
            </w:r>
          </w:p>
        </w:tc>
        <w:tc>
          <w:tcPr>
            <w:tcW w:w="964" w:type="dxa"/>
          </w:tcPr>
          <w:p w14:paraId="526C0FDB" w14:textId="77777777" w:rsidR="00ED2EBD" w:rsidRPr="00BD16B4" w:rsidRDefault="00ED2EBD" w:rsidP="004A205F">
            <w:pPr>
              <w:pStyle w:val="TableText"/>
              <w:spacing w:before="40" w:after="40"/>
              <w:jc w:val="right"/>
              <w:rPr>
                <w:szCs w:val="18"/>
              </w:rPr>
            </w:pPr>
            <w:r w:rsidRPr="00BD16B4">
              <w:rPr>
                <w:szCs w:val="18"/>
              </w:rPr>
              <w:t>1,901.17</w:t>
            </w:r>
          </w:p>
        </w:tc>
        <w:tc>
          <w:tcPr>
            <w:tcW w:w="964" w:type="dxa"/>
          </w:tcPr>
          <w:p w14:paraId="16A914F6" w14:textId="77777777" w:rsidR="00ED2EBD" w:rsidRPr="00BD16B4" w:rsidRDefault="00ED2EBD" w:rsidP="004A205F">
            <w:pPr>
              <w:pStyle w:val="TableText"/>
              <w:spacing w:before="40" w:after="40"/>
              <w:jc w:val="right"/>
              <w:rPr>
                <w:szCs w:val="18"/>
              </w:rPr>
            </w:pPr>
            <w:r w:rsidRPr="00BD16B4">
              <w:rPr>
                <w:szCs w:val="18"/>
              </w:rPr>
              <w:t>1,994.16</w:t>
            </w:r>
          </w:p>
        </w:tc>
        <w:tc>
          <w:tcPr>
            <w:tcW w:w="964" w:type="dxa"/>
          </w:tcPr>
          <w:p w14:paraId="6F95D105" w14:textId="77777777" w:rsidR="00ED2EBD" w:rsidRPr="00BD16B4" w:rsidRDefault="00ED2EBD" w:rsidP="004A205F">
            <w:pPr>
              <w:pStyle w:val="TableText"/>
              <w:spacing w:before="40" w:after="40"/>
              <w:jc w:val="right"/>
              <w:rPr>
                <w:szCs w:val="18"/>
              </w:rPr>
            </w:pPr>
            <w:r w:rsidRPr="00BD16B4">
              <w:rPr>
                <w:szCs w:val="18"/>
              </w:rPr>
              <w:t>1,874.88</w:t>
            </w:r>
          </w:p>
        </w:tc>
        <w:tc>
          <w:tcPr>
            <w:tcW w:w="964" w:type="dxa"/>
          </w:tcPr>
          <w:p w14:paraId="61809ABC" w14:textId="77777777" w:rsidR="00ED2EBD" w:rsidRPr="00BD16B4" w:rsidRDefault="00ED2EBD" w:rsidP="004A205F">
            <w:pPr>
              <w:pStyle w:val="TableText"/>
              <w:spacing w:before="40" w:after="40"/>
              <w:jc w:val="right"/>
              <w:rPr>
                <w:szCs w:val="18"/>
              </w:rPr>
            </w:pPr>
            <w:r w:rsidRPr="00BD16B4">
              <w:rPr>
                <w:szCs w:val="18"/>
              </w:rPr>
              <w:t>1,936.83</w:t>
            </w:r>
          </w:p>
        </w:tc>
        <w:tc>
          <w:tcPr>
            <w:tcW w:w="964" w:type="dxa"/>
          </w:tcPr>
          <w:p w14:paraId="1DBD0A1F" w14:textId="77777777" w:rsidR="00ED2EBD" w:rsidRPr="00BD16B4" w:rsidRDefault="00ED2EBD" w:rsidP="004A205F">
            <w:pPr>
              <w:pStyle w:val="TableText"/>
              <w:spacing w:before="40" w:after="40"/>
              <w:jc w:val="right"/>
              <w:rPr>
                <w:szCs w:val="18"/>
              </w:rPr>
            </w:pPr>
            <w:r w:rsidRPr="00BD16B4">
              <w:rPr>
                <w:szCs w:val="18"/>
              </w:rPr>
              <w:t>1,957.86</w:t>
            </w:r>
          </w:p>
        </w:tc>
        <w:tc>
          <w:tcPr>
            <w:tcW w:w="964" w:type="dxa"/>
          </w:tcPr>
          <w:p w14:paraId="783A0958" w14:textId="77777777" w:rsidR="00ED2EBD" w:rsidRPr="00BD16B4" w:rsidRDefault="00ED2EBD" w:rsidP="004A205F">
            <w:pPr>
              <w:pStyle w:val="TableText"/>
              <w:spacing w:before="40" w:after="40"/>
              <w:jc w:val="right"/>
              <w:rPr>
                <w:szCs w:val="18"/>
              </w:rPr>
            </w:pPr>
            <w:r w:rsidRPr="00BD16B4">
              <w:rPr>
                <w:szCs w:val="18"/>
              </w:rPr>
              <w:t>1,814.77</w:t>
            </w:r>
          </w:p>
        </w:tc>
        <w:tc>
          <w:tcPr>
            <w:tcW w:w="964" w:type="dxa"/>
          </w:tcPr>
          <w:p w14:paraId="65857D1D" w14:textId="77777777" w:rsidR="00ED2EBD" w:rsidRPr="00BD16B4" w:rsidRDefault="00ED2EBD" w:rsidP="004A205F">
            <w:pPr>
              <w:pStyle w:val="TableText"/>
              <w:spacing w:before="40" w:after="40"/>
              <w:jc w:val="right"/>
              <w:rPr>
                <w:szCs w:val="18"/>
              </w:rPr>
            </w:pPr>
            <w:r w:rsidRPr="00BD16B4">
              <w:rPr>
                <w:szCs w:val="18"/>
              </w:rPr>
              <w:t>1,913.27</w:t>
            </w:r>
          </w:p>
        </w:tc>
      </w:tr>
      <w:tr w:rsidR="00ED2EBD" w:rsidRPr="00BD16B4" w14:paraId="415EE535" w14:textId="77777777" w:rsidTr="00DF055B">
        <w:tc>
          <w:tcPr>
            <w:tcW w:w="3539" w:type="dxa"/>
          </w:tcPr>
          <w:p w14:paraId="041DC0B5" w14:textId="3C4C0746" w:rsidR="00ED2EBD" w:rsidRPr="00BD16B4" w:rsidRDefault="00ED2EBD" w:rsidP="004A205F">
            <w:pPr>
              <w:pStyle w:val="TableText"/>
              <w:spacing w:before="40" w:after="40"/>
              <w:rPr>
                <w:szCs w:val="18"/>
              </w:rPr>
            </w:pPr>
            <w:r w:rsidRPr="00BD16B4">
              <w:rPr>
                <w:szCs w:val="18"/>
              </w:rPr>
              <w:t>D.</w:t>
            </w:r>
            <w:r w:rsidR="00280979" w:rsidRPr="00BD16B4">
              <w:rPr>
                <w:szCs w:val="18"/>
              </w:rPr>
              <w:t xml:space="preserve"> </w:t>
            </w:r>
            <w:r w:rsidRPr="00BD16B4">
              <w:rPr>
                <w:szCs w:val="18"/>
              </w:rPr>
              <w:t>Non-energy products from fuels and solvent use</w:t>
            </w:r>
          </w:p>
        </w:tc>
        <w:tc>
          <w:tcPr>
            <w:tcW w:w="964" w:type="dxa"/>
            <w:tcBorders>
              <w:bottom w:val="single" w:sz="4" w:space="0" w:color="1B556B" w:themeColor="text2"/>
            </w:tcBorders>
          </w:tcPr>
          <w:p w14:paraId="047684D9" w14:textId="77777777" w:rsidR="00ED2EBD" w:rsidRPr="00BD16B4" w:rsidRDefault="00ED2EBD" w:rsidP="004A205F">
            <w:pPr>
              <w:pStyle w:val="TableText"/>
              <w:spacing w:before="40" w:after="40"/>
              <w:jc w:val="right"/>
              <w:rPr>
                <w:szCs w:val="18"/>
              </w:rPr>
            </w:pPr>
            <w:r w:rsidRPr="00BD16B4">
              <w:rPr>
                <w:szCs w:val="18"/>
              </w:rPr>
              <w:t>25.17</w:t>
            </w:r>
          </w:p>
        </w:tc>
        <w:tc>
          <w:tcPr>
            <w:tcW w:w="964" w:type="dxa"/>
            <w:tcBorders>
              <w:bottom w:val="single" w:sz="4" w:space="0" w:color="1B556B" w:themeColor="text2"/>
            </w:tcBorders>
          </w:tcPr>
          <w:p w14:paraId="51D328EF" w14:textId="77777777" w:rsidR="00ED2EBD" w:rsidRPr="00BD16B4" w:rsidRDefault="00ED2EBD" w:rsidP="004A205F">
            <w:pPr>
              <w:pStyle w:val="TableText"/>
              <w:spacing w:before="40" w:after="40"/>
              <w:jc w:val="right"/>
              <w:rPr>
                <w:szCs w:val="18"/>
              </w:rPr>
            </w:pPr>
            <w:r w:rsidRPr="00BD16B4">
              <w:rPr>
                <w:szCs w:val="18"/>
              </w:rPr>
              <w:t>25.10</w:t>
            </w:r>
          </w:p>
        </w:tc>
        <w:tc>
          <w:tcPr>
            <w:tcW w:w="964" w:type="dxa"/>
            <w:tcBorders>
              <w:bottom w:val="single" w:sz="4" w:space="0" w:color="1B556B" w:themeColor="text2"/>
            </w:tcBorders>
          </w:tcPr>
          <w:p w14:paraId="2CD64A31" w14:textId="77777777" w:rsidR="00ED2EBD" w:rsidRPr="00BD16B4" w:rsidRDefault="00ED2EBD" w:rsidP="004A205F">
            <w:pPr>
              <w:pStyle w:val="TableText"/>
              <w:spacing w:before="40" w:after="40"/>
              <w:jc w:val="right"/>
              <w:rPr>
                <w:szCs w:val="18"/>
              </w:rPr>
            </w:pPr>
            <w:r w:rsidRPr="00BD16B4">
              <w:rPr>
                <w:szCs w:val="18"/>
              </w:rPr>
              <w:t>26.10</w:t>
            </w:r>
          </w:p>
        </w:tc>
        <w:tc>
          <w:tcPr>
            <w:tcW w:w="964" w:type="dxa"/>
            <w:tcBorders>
              <w:bottom w:val="single" w:sz="4" w:space="0" w:color="1B556B" w:themeColor="text2"/>
            </w:tcBorders>
          </w:tcPr>
          <w:p w14:paraId="33E90CD3" w14:textId="77777777" w:rsidR="00ED2EBD" w:rsidRPr="00BD16B4" w:rsidRDefault="00ED2EBD" w:rsidP="004A205F">
            <w:pPr>
              <w:pStyle w:val="TableText"/>
              <w:spacing w:before="40" w:after="40"/>
              <w:jc w:val="right"/>
              <w:rPr>
                <w:szCs w:val="18"/>
              </w:rPr>
            </w:pPr>
            <w:r w:rsidRPr="00BD16B4">
              <w:rPr>
                <w:szCs w:val="18"/>
              </w:rPr>
              <w:t>27.30</w:t>
            </w:r>
          </w:p>
        </w:tc>
        <w:tc>
          <w:tcPr>
            <w:tcW w:w="964" w:type="dxa"/>
            <w:tcBorders>
              <w:bottom w:val="single" w:sz="4" w:space="0" w:color="1B556B" w:themeColor="text2"/>
            </w:tcBorders>
          </w:tcPr>
          <w:p w14:paraId="0E9DB806" w14:textId="77777777" w:rsidR="00ED2EBD" w:rsidRPr="00BD16B4" w:rsidRDefault="00ED2EBD" w:rsidP="004A205F">
            <w:pPr>
              <w:pStyle w:val="TableText"/>
              <w:spacing w:before="40" w:after="40"/>
              <w:jc w:val="right"/>
              <w:rPr>
                <w:szCs w:val="18"/>
              </w:rPr>
            </w:pPr>
            <w:r w:rsidRPr="00BD16B4">
              <w:rPr>
                <w:szCs w:val="18"/>
              </w:rPr>
              <w:t>29.12</w:t>
            </w:r>
          </w:p>
        </w:tc>
        <w:tc>
          <w:tcPr>
            <w:tcW w:w="964" w:type="dxa"/>
            <w:tcBorders>
              <w:bottom w:val="single" w:sz="4" w:space="0" w:color="1B556B" w:themeColor="text2"/>
            </w:tcBorders>
          </w:tcPr>
          <w:p w14:paraId="53A96897" w14:textId="77777777" w:rsidR="00ED2EBD" w:rsidRPr="00BD16B4" w:rsidRDefault="00ED2EBD" w:rsidP="004A205F">
            <w:pPr>
              <w:pStyle w:val="TableText"/>
              <w:spacing w:before="40" w:after="40"/>
              <w:jc w:val="right"/>
              <w:rPr>
                <w:szCs w:val="18"/>
              </w:rPr>
            </w:pPr>
            <w:r w:rsidRPr="00BD16B4">
              <w:rPr>
                <w:szCs w:val="18"/>
              </w:rPr>
              <w:t>30.87</w:t>
            </w:r>
          </w:p>
        </w:tc>
        <w:tc>
          <w:tcPr>
            <w:tcW w:w="964" w:type="dxa"/>
            <w:tcBorders>
              <w:bottom w:val="single" w:sz="4" w:space="0" w:color="1B556B" w:themeColor="text2"/>
            </w:tcBorders>
          </w:tcPr>
          <w:p w14:paraId="251E3B5A" w14:textId="77777777" w:rsidR="00ED2EBD" w:rsidRPr="00BD16B4" w:rsidRDefault="00ED2EBD" w:rsidP="004A205F">
            <w:pPr>
              <w:pStyle w:val="TableText"/>
              <w:spacing w:before="40" w:after="40"/>
              <w:jc w:val="right"/>
              <w:rPr>
                <w:szCs w:val="18"/>
              </w:rPr>
            </w:pPr>
            <w:r w:rsidRPr="00BD16B4">
              <w:rPr>
                <w:szCs w:val="18"/>
              </w:rPr>
              <w:t>31.25</w:t>
            </w:r>
          </w:p>
        </w:tc>
        <w:tc>
          <w:tcPr>
            <w:tcW w:w="964" w:type="dxa"/>
            <w:tcBorders>
              <w:bottom w:val="single" w:sz="4" w:space="0" w:color="1B556B" w:themeColor="text2"/>
            </w:tcBorders>
          </w:tcPr>
          <w:p w14:paraId="13D7C503" w14:textId="77777777" w:rsidR="00ED2EBD" w:rsidRPr="00BD16B4" w:rsidRDefault="00ED2EBD" w:rsidP="004A205F">
            <w:pPr>
              <w:pStyle w:val="TableText"/>
              <w:spacing w:before="40" w:after="40"/>
              <w:jc w:val="right"/>
              <w:rPr>
                <w:szCs w:val="18"/>
              </w:rPr>
            </w:pPr>
            <w:r w:rsidRPr="00BD16B4">
              <w:rPr>
                <w:szCs w:val="18"/>
              </w:rPr>
              <w:t>31.95</w:t>
            </w:r>
          </w:p>
        </w:tc>
        <w:tc>
          <w:tcPr>
            <w:tcW w:w="964" w:type="dxa"/>
            <w:tcBorders>
              <w:bottom w:val="single" w:sz="4" w:space="0" w:color="1B556B" w:themeColor="text2"/>
            </w:tcBorders>
          </w:tcPr>
          <w:p w14:paraId="57ADCB58" w14:textId="77777777" w:rsidR="00ED2EBD" w:rsidRPr="00BD16B4" w:rsidRDefault="00ED2EBD" w:rsidP="004A205F">
            <w:pPr>
              <w:pStyle w:val="TableText"/>
              <w:spacing w:before="40" w:after="40"/>
              <w:jc w:val="right"/>
              <w:rPr>
                <w:szCs w:val="18"/>
              </w:rPr>
            </w:pPr>
            <w:r w:rsidRPr="00BD16B4">
              <w:rPr>
                <w:szCs w:val="18"/>
              </w:rPr>
              <w:t>32.54</w:t>
            </w:r>
          </w:p>
        </w:tc>
      </w:tr>
      <w:tr w:rsidR="00ED2EBD" w:rsidRPr="00BD16B4" w14:paraId="247F4963" w14:textId="77777777" w:rsidTr="00DF055B">
        <w:tc>
          <w:tcPr>
            <w:tcW w:w="3539" w:type="dxa"/>
          </w:tcPr>
          <w:p w14:paraId="708BEDDB" w14:textId="1ACB6914"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Electronic industry</w:t>
            </w:r>
          </w:p>
        </w:tc>
        <w:tc>
          <w:tcPr>
            <w:tcW w:w="964" w:type="dxa"/>
            <w:tcBorders>
              <w:top w:val="single" w:sz="4" w:space="0" w:color="1B556B" w:themeColor="text2"/>
            </w:tcBorders>
            <w:shd w:val="clear" w:color="auto" w:fill="D2DDE1" w:themeFill="background2"/>
          </w:tcPr>
          <w:p w14:paraId="4330CEF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2809C7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B00618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8AAEE2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0804F0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563893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694EBF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A2E01E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20CEA24"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0A216B60" w14:textId="77777777" w:rsidTr="00DF055B">
        <w:tc>
          <w:tcPr>
            <w:tcW w:w="3539" w:type="dxa"/>
          </w:tcPr>
          <w:p w14:paraId="422F1A6E" w14:textId="52F63503" w:rsidR="00ED2EBD" w:rsidRPr="00BD16B4" w:rsidRDefault="00ED2EBD" w:rsidP="004A205F">
            <w:pPr>
              <w:pStyle w:val="TableText"/>
              <w:spacing w:before="40" w:after="40"/>
              <w:rPr>
                <w:szCs w:val="18"/>
              </w:rPr>
            </w:pPr>
            <w:r w:rsidRPr="00BD16B4">
              <w:rPr>
                <w:szCs w:val="18"/>
              </w:rPr>
              <w:t>F.</w:t>
            </w:r>
            <w:r w:rsidR="00280979" w:rsidRPr="00BD16B4">
              <w:rPr>
                <w:szCs w:val="18"/>
              </w:rPr>
              <w:t xml:space="preserve"> </w:t>
            </w:r>
            <w:r w:rsidRPr="00BD16B4">
              <w:rPr>
                <w:szCs w:val="18"/>
              </w:rPr>
              <w:t>Product uses as ODS substitutes</w:t>
            </w:r>
          </w:p>
        </w:tc>
        <w:tc>
          <w:tcPr>
            <w:tcW w:w="964" w:type="dxa"/>
            <w:tcBorders>
              <w:top w:val="single" w:sz="4" w:space="0" w:color="1B556B" w:themeColor="text2"/>
            </w:tcBorders>
            <w:shd w:val="clear" w:color="auto" w:fill="D2DDE1" w:themeFill="background2"/>
          </w:tcPr>
          <w:p w14:paraId="2415C20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1C17F1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735EC4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AB52AF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33F20A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7D459F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88D4F7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02DB10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3ECAFCE"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1EBA3496" w14:textId="77777777" w:rsidTr="00DF055B">
        <w:tc>
          <w:tcPr>
            <w:tcW w:w="3539" w:type="dxa"/>
          </w:tcPr>
          <w:p w14:paraId="3F20E6D1" w14:textId="5C7E4C77" w:rsidR="00ED2EBD" w:rsidRPr="00BD16B4" w:rsidRDefault="00ED2EBD" w:rsidP="004A205F">
            <w:pPr>
              <w:pStyle w:val="TableText"/>
              <w:spacing w:before="40" w:after="40"/>
              <w:rPr>
                <w:szCs w:val="18"/>
              </w:rPr>
            </w:pPr>
            <w:r w:rsidRPr="00BD16B4">
              <w:rPr>
                <w:szCs w:val="18"/>
              </w:rPr>
              <w:t>G.</w:t>
            </w:r>
            <w:r w:rsidR="00280979" w:rsidRPr="00BD16B4">
              <w:rPr>
                <w:szCs w:val="18"/>
              </w:rPr>
              <w:t xml:space="preserve"> </w:t>
            </w:r>
            <w:r w:rsidRPr="00BD16B4">
              <w:rPr>
                <w:szCs w:val="18"/>
              </w:rPr>
              <w:t xml:space="preserve">Other product manufacture and use </w:t>
            </w:r>
          </w:p>
        </w:tc>
        <w:tc>
          <w:tcPr>
            <w:tcW w:w="964" w:type="dxa"/>
            <w:tcBorders>
              <w:bottom w:val="single" w:sz="4" w:space="0" w:color="1B556B" w:themeColor="text2"/>
            </w:tcBorders>
          </w:tcPr>
          <w:p w14:paraId="6C43A874"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tcPr>
          <w:p w14:paraId="7AA263BF"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tcPr>
          <w:p w14:paraId="42D98F19"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tcPr>
          <w:p w14:paraId="2F537D89"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tcPr>
          <w:p w14:paraId="3103C73D"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tcPr>
          <w:p w14:paraId="78FF3A29"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tcPr>
          <w:p w14:paraId="72673047"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tcPr>
          <w:p w14:paraId="7BB3F785"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tcPr>
          <w:p w14:paraId="422BA087"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7CB0D8D1" w14:textId="77777777" w:rsidTr="00DF055B">
        <w:tc>
          <w:tcPr>
            <w:tcW w:w="3539" w:type="dxa"/>
          </w:tcPr>
          <w:p w14:paraId="6880144A" w14:textId="1900EED6" w:rsidR="00ED2EBD" w:rsidRPr="00BD16B4" w:rsidRDefault="00ED2EBD" w:rsidP="004A205F">
            <w:pPr>
              <w:pStyle w:val="TableText"/>
              <w:spacing w:before="40" w:after="40"/>
              <w:rPr>
                <w:szCs w:val="18"/>
              </w:rPr>
            </w:pPr>
            <w:r w:rsidRPr="00BD16B4">
              <w:rPr>
                <w:szCs w:val="18"/>
              </w:rPr>
              <w:t>H.</w:t>
            </w:r>
            <w:r w:rsidR="00280979" w:rsidRPr="00BD16B4">
              <w:rPr>
                <w:szCs w:val="18"/>
              </w:rPr>
              <w:t xml:space="preserve"> </w:t>
            </w:r>
            <w:r w:rsidRPr="00BD16B4">
              <w:rPr>
                <w:szCs w:val="18"/>
              </w:rPr>
              <w:t xml:space="preserve">Other </w:t>
            </w:r>
          </w:p>
        </w:tc>
        <w:tc>
          <w:tcPr>
            <w:tcW w:w="964" w:type="dxa"/>
            <w:tcBorders>
              <w:top w:val="single" w:sz="4" w:space="0" w:color="1B556B" w:themeColor="text2"/>
            </w:tcBorders>
            <w:shd w:val="clear" w:color="auto" w:fill="D2DDE1" w:themeFill="background2"/>
          </w:tcPr>
          <w:p w14:paraId="149744C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A35933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45D0BB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097D69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C10D1B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C498E4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CE31F5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037252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E981D83"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60E16299" w14:textId="77777777" w:rsidTr="00DF055B">
        <w:tc>
          <w:tcPr>
            <w:tcW w:w="3539" w:type="dxa"/>
          </w:tcPr>
          <w:p w14:paraId="277ACCE7" w14:textId="05D084F2" w:rsidR="00ED2EBD" w:rsidRPr="00BD16B4" w:rsidRDefault="00ED2EBD" w:rsidP="004A205F">
            <w:pPr>
              <w:pStyle w:val="TableText"/>
              <w:spacing w:before="40" w:after="40"/>
              <w:rPr>
                <w:szCs w:val="18"/>
              </w:rPr>
            </w:pPr>
            <w:r w:rsidRPr="00BD16B4">
              <w:rPr>
                <w:b/>
                <w:bCs/>
                <w:szCs w:val="18"/>
              </w:rPr>
              <w:t>3.</w:t>
            </w:r>
            <w:r w:rsidR="00280979" w:rsidRPr="00BD16B4">
              <w:rPr>
                <w:b/>
                <w:bCs/>
                <w:szCs w:val="18"/>
              </w:rPr>
              <w:t xml:space="preserve"> </w:t>
            </w:r>
            <w:r w:rsidRPr="00BD16B4">
              <w:rPr>
                <w:b/>
                <w:bCs/>
                <w:szCs w:val="18"/>
              </w:rPr>
              <w:t>Agriculture</w:t>
            </w:r>
          </w:p>
        </w:tc>
        <w:tc>
          <w:tcPr>
            <w:tcW w:w="964" w:type="dxa"/>
            <w:tcBorders>
              <w:bottom w:val="single" w:sz="4" w:space="0" w:color="1B556B" w:themeColor="text2"/>
            </w:tcBorders>
          </w:tcPr>
          <w:p w14:paraId="2D1380E0" w14:textId="77777777" w:rsidR="00ED2EBD" w:rsidRPr="00BD16B4" w:rsidRDefault="00ED2EBD" w:rsidP="004A205F">
            <w:pPr>
              <w:pStyle w:val="TableText"/>
              <w:spacing w:before="40" w:after="40"/>
              <w:jc w:val="right"/>
              <w:rPr>
                <w:szCs w:val="18"/>
              </w:rPr>
            </w:pPr>
            <w:r w:rsidRPr="00BD16B4">
              <w:rPr>
                <w:szCs w:val="18"/>
              </w:rPr>
              <w:t>335.68</w:t>
            </w:r>
          </w:p>
        </w:tc>
        <w:tc>
          <w:tcPr>
            <w:tcW w:w="964" w:type="dxa"/>
            <w:tcBorders>
              <w:bottom w:val="single" w:sz="4" w:space="0" w:color="1B556B" w:themeColor="text2"/>
            </w:tcBorders>
          </w:tcPr>
          <w:p w14:paraId="6043EBBD" w14:textId="77777777" w:rsidR="00ED2EBD" w:rsidRPr="00BD16B4" w:rsidRDefault="00ED2EBD" w:rsidP="004A205F">
            <w:pPr>
              <w:pStyle w:val="TableText"/>
              <w:spacing w:before="40" w:after="40"/>
              <w:jc w:val="right"/>
              <w:rPr>
                <w:szCs w:val="18"/>
              </w:rPr>
            </w:pPr>
            <w:r w:rsidRPr="00BD16B4">
              <w:rPr>
                <w:szCs w:val="18"/>
              </w:rPr>
              <w:t>371.91</w:t>
            </w:r>
          </w:p>
        </w:tc>
        <w:tc>
          <w:tcPr>
            <w:tcW w:w="964" w:type="dxa"/>
            <w:tcBorders>
              <w:bottom w:val="single" w:sz="4" w:space="0" w:color="1B556B" w:themeColor="text2"/>
            </w:tcBorders>
          </w:tcPr>
          <w:p w14:paraId="28B78DC0" w14:textId="77777777" w:rsidR="00ED2EBD" w:rsidRPr="00BD16B4" w:rsidRDefault="00ED2EBD" w:rsidP="004A205F">
            <w:pPr>
              <w:pStyle w:val="TableText"/>
              <w:spacing w:before="40" w:after="40"/>
              <w:jc w:val="right"/>
              <w:rPr>
                <w:szCs w:val="18"/>
              </w:rPr>
            </w:pPr>
            <w:r w:rsidRPr="00BD16B4">
              <w:rPr>
                <w:szCs w:val="18"/>
              </w:rPr>
              <w:t>394.77</w:t>
            </w:r>
          </w:p>
        </w:tc>
        <w:tc>
          <w:tcPr>
            <w:tcW w:w="964" w:type="dxa"/>
            <w:tcBorders>
              <w:bottom w:val="single" w:sz="4" w:space="0" w:color="1B556B" w:themeColor="text2"/>
            </w:tcBorders>
          </w:tcPr>
          <w:p w14:paraId="24C5BB4B" w14:textId="77777777" w:rsidR="00ED2EBD" w:rsidRPr="00BD16B4" w:rsidRDefault="00ED2EBD" w:rsidP="004A205F">
            <w:pPr>
              <w:pStyle w:val="TableText"/>
              <w:spacing w:before="40" w:after="40"/>
              <w:jc w:val="right"/>
              <w:rPr>
                <w:szCs w:val="18"/>
              </w:rPr>
            </w:pPr>
            <w:r w:rsidRPr="00BD16B4">
              <w:rPr>
                <w:szCs w:val="18"/>
              </w:rPr>
              <w:t>442.64</w:t>
            </w:r>
          </w:p>
        </w:tc>
        <w:tc>
          <w:tcPr>
            <w:tcW w:w="964" w:type="dxa"/>
            <w:tcBorders>
              <w:bottom w:val="single" w:sz="4" w:space="0" w:color="1B556B" w:themeColor="text2"/>
            </w:tcBorders>
          </w:tcPr>
          <w:p w14:paraId="50AEFD18" w14:textId="77777777" w:rsidR="00ED2EBD" w:rsidRPr="00BD16B4" w:rsidRDefault="00ED2EBD" w:rsidP="004A205F">
            <w:pPr>
              <w:pStyle w:val="TableText"/>
              <w:spacing w:before="40" w:after="40"/>
              <w:jc w:val="right"/>
              <w:rPr>
                <w:szCs w:val="18"/>
              </w:rPr>
            </w:pPr>
            <w:r w:rsidRPr="00BD16B4">
              <w:rPr>
                <w:szCs w:val="18"/>
              </w:rPr>
              <w:t>500.41</w:t>
            </w:r>
          </w:p>
        </w:tc>
        <w:tc>
          <w:tcPr>
            <w:tcW w:w="964" w:type="dxa"/>
            <w:tcBorders>
              <w:bottom w:val="single" w:sz="4" w:space="0" w:color="1B556B" w:themeColor="text2"/>
            </w:tcBorders>
          </w:tcPr>
          <w:p w14:paraId="64305B2E" w14:textId="77777777" w:rsidR="00ED2EBD" w:rsidRPr="00BD16B4" w:rsidRDefault="00ED2EBD" w:rsidP="004A205F">
            <w:pPr>
              <w:pStyle w:val="TableText"/>
              <w:spacing w:before="40" w:after="40"/>
              <w:jc w:val="right"/>
              <w:rPr>
                <w:szCs w:val="18"/>
              </w:rPr>
            </w:pPr>
            <w:r w:rsidRPr="00BD16B4">
              <w:rPr>
                <w:szCs w:val="18"/>
              </w:rPr>
              <w:t>582.38</w:t>
            </w:r>
          </w:p>
        </w:tc>
        <w:tc>
          <w:tcPr>
            <w:tcW w:w="964" w:type="dxa"/>
            <w:tcBorders>
              <w:bottom w:val="single" w:sz="4" w:space="0" w:color="1B556B" w:themeColor="text2"/>
            </w:tcBorders>
          </w:tcPr>
          <w:p w14:paraId="2E26EF45" w14:textId="77777777" w:rsidR="00ED2EBD" w:rsidRPr="00BD16B4" w:rsidRDefault="00ED2EBD" w:rsidP="004A205F">
            <w:pPr>
              <w:pStyle w:val="TableText"/>
              <w:spacing w:before="40" w:after="40"/>
              <w:jc w:val="right"/>
              <w:rPr>
                <w:szCs w:val="18"/>
              </w:rPr>
            </w:pPr>
            <w:r w:rsidRPr="00BD16B4">
              <w:rPr>
                <w:szCs w:val="18"/>
              </w:rPr>
              <w:t>541.38</w:t>
            </w:r>
          </w:p>
        </w:tc>
        <w:tc>
          <w:tcPr>
            <w:tcW w:w="964" w:type="dxa"/>
            <w:tcBorders>
              <w:bottom w:val="single" w:sz="4" w:space="0" w:color="1B556B" w:themeColor="text2"/>
            </w:tcBorders>
          </w:tcPr>
          <w:p w14:paraId="26B5F1B3" w14:textId="77777777" w:rsidR="00ED2EBD" w:rsidRPr="00BD16B4" w:rsidRDefault="00ED2EBD" w:rsidP="004A205F">
            <w:pPr>
              <w:pStyle w:val="TableText"/>
              <w:spacing w:before="40" w:after="40"/>
              <w:jc w:val="right"/>
              <w:rPr>
                <w:szCs w:val="18"/>
              </w:rPr>
            </w:pPr>
            <w:r w:rsidRPr="00BD16B4">
              <w:rPr>
                <w:szCs w:val="18"/>
              </w:rPr>
              <w:t>568.01</w:t>
            </w:r>
          </w:p>
        </w:tc>
        <w:tc>
          <w:tcPr>
            <w:tcW w:w="964" w:type="dxa"/>
            <w:tcBorders>
              <w:bottom w:val="single" w:sz="4" w:space="0" w:color="1B556B" w:themeColor="text2"/>
            </w:tcBorders>
          </w:tcPr>
          <w:p w14:paraId="2D062C61" w14:textId="77777777" w:rsidR="00ED2EBD" w:rsidRPr="00BD16B4" w:rsidRDefault="00ED2EBD" w:rsidP="004A205F">
            <w:pPr>
              <w:pStyle w:val="TableText"/>
              <w:spacing w:before="40" w:after="40"/>
              <w:jc w:val="right"/>
              <w:rPr>
                <w:szCs w:val="18"/>
              </w:rPr>
            </w:pPr>
            <w:r w:rsidRPr="00BD16B4">
              <w:rPr>
                <w:szCs w:val="18"/>
              </w:rPr>
              <w:t>644.78</w:t>
            </w:r>
          </w:p>
        </w:tc>
      </w:tr>
      <w:tr w:rsidR="00ED2EBD" w:rsidRPr="00BD16B4" w14:paraId="44C35B06" w14:textId="77777777" w:rsidTr="00DF055B">
        <w:tc>
          <w:tcPr>
            <w:tcW w:w="3539" w:type="dxa"/>
          </w:tcPr>
          <w:p w14:paraId="41906DDC" w14:textId="4E08E79C"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Enteric fermentation</w:t>
            </w:r>
          </w:p>
        </w:tc>
        <w:tc>
          <w:tcPr>
            <w:tcW w:w="964" w:type="dxa"/>
            <w:tcBorders>
              <w:top w:val="single" w:sz="4" w:space="0" w:color="1B556B" w:themeColor="text2"/>
            </w:tcBorders>
            <w:shd w:val="clear" w:color="auto" w:fill="D2DDE1" w:themeFill="background2"/>
          </w:tcPr>
          <w:p w14:paraId="5CD3687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55A708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99B845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E31F32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D48D87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EA4E56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702A07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AD42BC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8A09D66"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713A29EA" w14:textId="77777777" w:rsidTr="00DF055B">
        <w:tc>
          <w:tcPr>
            <w:tcW w:w="3539" w:type="dxa"/>
          </w:tcPr>
          <w:p w14:paraId="1587D085" w14:textId="095829C3"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Manure management</w:t>
            </w:r>
          </w:p>
        </w:tc>
        <w:tc>
          <w:tcPr>
            <w:tcW w:w="964" w:type="dxa"/>
            <w:tcBorders>
              <w:top w:val="single" w:sz="4" w:space="0" w:color="1B556B" w:themeColor="text2"/>
            </w:tcBorders>
            <w:shd w:val="clear" w:color="auto" w:fill="D2DDE1" w:themeFill="background2"/>
          </w:tcPr>
          <w:p w14:paraId="165741E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C880E9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AA572C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830282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A8182D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58532B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1F6A02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D6B72B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E1D32FE"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15CB9075" w14:textId="77777777" w:rsidTr="00DF055B">
        <w:tc>
          <w:tcPr>
            <w:tcW w:w="3539" w:type="dxa"/>
          </w:tcPr>
          <w:p w14:paraId="5F66E8B9" w14:textId="37B60CA1"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Rice cultivation</w:t>
            </w:r>
          </w:p>
        </w:tc>
        <w:tc>
          <w:tcPr>
            <w:tcW w:w="964" w:type="dxa"/>
            <w:tcBorders>
              <w:top w:val="single" w:sz="4" w:space="0" w:color="1B556B" w:themeColor="text2"/>
            </w:tcBorders>
            <w:shd w:val="clear" w:color="auto" w:fill="D2DDE1" w:themeFill="background2"/>
          </w:tcPr>
          <w:p w14:paraId="09FADEA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83C26D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6AA400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C67ECA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9EE391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310848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BB8841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0B0FCF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0E46A37"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18EFD307" w14:textId="77777777" w:rsidTr="00DF055B">
        <w:tc>
          <w:tcPr>
            <w:tcW w:w="3539" w:type="dxa"/>
          </w:tcPr>
          <w:p w14:paraId="3D718F21" w14:textId="0E559BD8" w:rsidR="00ED2EBD" w:rsidRPr="00BD16B4" w:rsidRDefault="00ED2EBD" w:rsidP="004A205F">
            <w:pPr>
              <w:pStyle w:val="TableText"/>
              <w:spacing w:before="40" w:after="40"/>
              <w:rPr>
                <w:szCs w:val="18"/>
              </w:rPr>
            </w:pPr>
            <w:r w:rsidRPr="00BD16B4">
              <w:rPr>
                <w:szCs w:val="18"/>
              </w:rPr>
              <w:t>D.</w:t>
            </w:r>
            <w:r w:rsidR="00280979" w:rsidRPr="00BD16B4">
              <w:rPr>
                <w:szCs w:val="18"/>
              </w:rPr>
              <w:t xml:space="preserve"> </w:t>
            </w:r>
            <w:r w:rsidRPr="00BD16B4">
              <w:rPr>
                <w:szCs w:val="18"/>
              </w:rPr>
              <w:t>Agricultural soils</w:t>
            </w:r>
          </w:p>
        </w:tc>
        <w:tc>
          <w:tcPr>
            <w:tcW w:w="964" w:type="dxa"/>
            <w:tcBorders>
              <w:top w:val="single" w:sz="4" w:space="0" w:color="1B556B" w:themeColor="text2"/>
            </w:tcBorders>
            <w:shd w:val="clear" w:color="auto" w:fill="D2DDE1" w:themeFill="background2"/>
          </w:tcPr>
          <w:p w14:paraId="488CA86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726235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D27380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49CE91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2A7DA8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C770A1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DCBE6A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25C98F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5661992"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5CFDB957" w14:textId="77777777" w:rsidTr="00DF055B">
        <w:tc>
          <w:tcPr>
            <w:tcW w:w="3539" w:type="dxa"/>
          </w:tcPr>
          <w:p w14:paraId="437F76FB" w14:textId="47009B76"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Prescribed burning of savannas</w:t>
            </w:r>
          </w:p>
        </w:tc>
        <w:tc>
          <w:tcPr>
            <w:tcW w:w="964" w:type="dxa"/>
            <w:tcBorders>
              <w:top w:val="single" w:sz="4" w:space="0" w:color="1B556B" w:themeColor="text2"/>
            </w:tcBorders>
            <w:shd w:val="clear" w:color="auto" w:fill="D2DDE1" w:themeFill="background2"/>
          </w:tcPr>
          <w:p w14:paraId="0C0440F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A3C3B8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3C3E1E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CBD9E6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171ABB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0D508A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7B90C9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124B94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8E38F50"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076B1768" w14:textId="77777777" w:rsidTr="00DF055B">
        <w:tc>
          <w:tcPr>
            <w:tcW w:w="3539" w:type="dxa"/>
          </w:tcPr>
          <w:p w14:paraId="0CBC312D" w14:textId="56017949" w:rsidR="00ED2EBD" w:rsidRPr="00BD16B4" w:rsidRDefault="00ED2EBD" w:rsidP="004A205F">
            <w:pPr>
              <w:pStyle w:val="TableText"/>
              <w:spacing w:before="40" w:after="40"/>
              <w:rPr>
                <w:szCs w:val="18"/>
              </w:rPr>
            </w:pPr>
            <w:r w:rsidRPr="00BD16B4">
              <w:rPr>
                <w:szCs w:val="18"/>
              </w:rPr>
              <w:t>F.</w:t>
            </w:r>
            <w:r w:rsidR="00280979" w:rsidRPr="00BD16B4">
              <w:rPr>
                <w:szCs w:val="18"/>
              </w:rPr>
              <w:t xml:space="preserve"> </w:t>
            </w:r>
            <w:r w:rsidRPr="00BD16B4">
              <w:rPr>
                <w:szCs w:val="18"/>
              </w:rPr>
              <w:t>Field burning of agricultural residues</w:t>
            </w:r>
          </w:p>
        </w:tc>
        <w:tc>
          <w:tcPr>
            <w:tcW w:w="964" w:type="dxa"/>
            <w:tcBorders>
              <w:top w:val="single" w:sz="4" w:space="0" w:color="1B556B" w:themeColor="text2"/>
            </w:tcBorders>
            <w:shd w:val="clear" w:color="auto" w:fill="D2DDE1" w:themeFill="background2"/>
          </w:tcPr>
          <w:p w14:paraId="2AB7346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162684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74828B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64FC18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CC08DA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207BE5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E1E456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A588D8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23B48F8"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17B21C1D" w14:textId="77777777" w:rsidTr="00DF055B">
        <w:tc>
          <w:tcPr>
            <w:tcW w:w="3539" w:type="dxa"/>
          </w:tcPr>
          <w:p w14:paraId="326DA4EF" w14:textId="5FC1F7E2" w:rsidR="00ED2EBD" w:rsidRPr="00BD16B4" w:rsidRDefault="00ED2EBD" w:rsidP="004A205F">
            <w:pPr>
              <w:pStyle w:val="TableText"/>
              <w:spacing w:before="40" w:after="40"/>
              <w:rPr>
                <w:szCs w:val="18"/>
              </w:rPr>
            </w:pPr>
            <w:r w:rsidRPr="00BD16B4">
              <w:rPr>
                <w:szCs w:val="18"/>
              </w:rPr>
              <w:t>G.</w:t>
            </w:r>
            <w:r w:rsidR="00280979" w:rsidRPr="00BD16B4">
              <w:rPr>
                <w:szCs w:val="18"/>
              </w:rPr>
              <w:t xml:space="preserve"> </w:t>
            </w:r>
            <w:r w:rsidRPr="00BD16B4">
              <w:rPr>
                <w:szCs w:val="18"/>
              </w:rPr>
              <w:t>Liming</w:t>
            </w:r>
          </w:p>
        </w:tc>
        <w:tc>
          <w:tcPr>
            <w:tcW w:w="964" w:type="dxa"/>
          </w:tcPr>
          <w:p w14:paraId="335D287C" w14:textId="77777777" w:rsidR="00ED2EBD" w:rsidRPr="00BD16B4" w:rsidRDefault="00ED2EBD" w:rsidP="004A205F">
            <w:pPr>
              <w:pStyle w:val="TableText"/>
              <w:spacing w:before="40" w:after="40"/>
              <w:jc w:val="right"/>
              <w:rPr>
                <w:szCs w:val="18"/>
              </w:rPr>
            </w:pPr>
            <w:r w:rsidRPr="00BD16B4">
              <w:rPr>
                <w:szCs w:val="18"/>
              </w:rPr>
              <w:t>296.48</w:t>
            </w:r>
          </w:p>
        </w:tc>
        <w:tc>
          <w:tcPr>
            <w:tcW w:w="964" w:type="dxa"/>
          </w:tcPr>
          <w:p w14:paraId="17E6F7B6" w14:textId="77777777" w:rsidR="00ED2EBD" w:rsidRPr="00BD16B4" w:rsidRDefault="00ED2EBD" w:rsidP="004A205F">
            <w:pPr>
              <w:pStyle w:val="TableText"/>
              <w:spacing w:before="40" w:after="40"/>
              <w:jc w:val="right"/>
              <w:rPr>
                <w:szCs w:val="18"/>
              </w:rPr>
            </w:pPr>
            <w:r w:rsidRPr="00BD16B4">
              <w:rPr>
                <w:szCs w:val="18"/>
              </w:rPr>
              <w:t>320.06</w:t>
            </w:r>
          </w:p>
        </w:tc>
        <w:tc>
          <w:tcPr>
            <w:tcW w:w="964" w:type="dxa"/>
          </w:tcPr>
          <w:p w14:paraId="12B9D2B8" w14:textId="77777777" w:rsidR="00ED2EBD" w:rsidRPr="00BD16B4" w:rsidRDefault="00ED2EBD" w:rsidP="004A205F">
            <w:pPr>
              <w:pStyle w:val="TableText"/>
              <w:spacing w:before="40" w:after="40"/>
              <w:jc w:val="right"/>
              <w:rPr>
                <w:szCs w:val="18"/>
              </w:rPr>
            </w:pPr>
            <w:r w:rsidRPr="00BD16B4">
              <w:rPr>
                <w:szCs w:val="18"/>
              </w:rPr>
              <w:t>343.64</w:t>
            </w:r>
          </w:p>
        </w:tc>
        <w:tc>
          <w:tcPr>
            <w:tcW w:w="964" w:type="dxa"/>
          </w:tcPr>
          <w:p w14:paraId="7DD588E6" w14:textId="77777777" w:rsidR="00ED2EBD" w:rsidRPr="00BD16B4" w:rsidRDefault="00ED2EBD" w:rsidP="004A205F">
            <w:pPr>
              <w:pStyle w:val="TableText"/>
              <w:spacing w:before="40" w:after="40"/>
              <w:jc w:val="right"/>
              <w:rPr>
                <w:szCs w:val="18"/>
              </w:rPr>
            </w:pPr>
            <w:r w:rsidRPr="00BD16B4">
              <w:rPr>
                <w:szCs w:val="18"/>
              </w:rPr>
              <w:t>372.15</w:t>
            </w:r>
          </w:p>
        </w:tc>
        <w:tc>
          <w:tcPr>
            <w:tcW w:w="964" w:type="dxa"/>
          </w:tcPr>
          <w:p w14:paraId="03F1D845" w14:textId="77777777" w:rsidR="00ED2EBD" w:rsidRPr="00BD16B4" w:rsidRDefault="00ED2EBD" w:rsidP="004A205F">
            <w:pPr>
              <w:pStyle w:val="TableText"/>
              <w:spacing w:before="40" w:after="40"/>
              <w:jc w:val="right"/>
              <w:rPr>
                <w:szCs w:val="18"/>
              </w:rPr>
            </w:pPr>
            <w:r w:rsidRPr="00BD16B4">
              <w:rPr>
                <w:szCs w:val="18"/>
              </w:rPr>
              <w:t>408.87</w:t>
            </w:r>
          </w:p>
        </w:tc>
        <w:tc>
          <w:tcPr>
            <w:tcW w:w="964" w:type="dxa"/>
          </w:tcPr>
          <w:p w14:paraId="70027427" w14:textId="77777777" w:rsidR="00ED2EBD" w:rsidRPr="00BD16B4" w:rsidRDefault="00ED2EBD" w:rsidP="004A205F">
            <w:pPr>
              <w:pStyle w:val="TableText"/>
              <w:spacing w:before="40" w:after="40"/>
              <w:jc w:val="right"/>
              <w:rPr>
                <w:szCs w:val="18"/>
              </w:rPr>
            </w:pPr>
            <w:r w:rsidRPr="00BD16B4">
              <w:rPr>
                <w:szCs w:val="18"/>
              </w:rPr>
              <w:t>445.60</w:t>
            </w:r>
          </w:p>
        </w:tc>
        <w:tc>
          <w:tcPr>
            <w:tcW w:w="964" w:type="dxa"/>
          </w:tcPr>
          <w:p w14:paraId="292EF900" w14:textId="77777777" w:rsidR="00ED2EBD" w:rsidRPr="00BD16B4" w:rsidRDefault="00ED2EBD" w:rsidP="004A205F">
            <w:pPr>
              <w:pStyle w:val="TableText"/>
              <w:spacing w:before="40" w:after="40"/>
              <w:jc w:val="right"/>
              <w:rPr>
                <w:szCs w:val="18"/>
              </w:rPr>
            </w:pPr>
            <w:r w:rsidRPr="00BD16B4">
              <w:rPr>
                <w:szCs w:val="18"/>
              </w:rPr>
              <w:t>399.54</w:t>
            </w:r>
          </w:p>
        </w:tc>
        <w:tc>
          <w:tcPr>
            <w:tcW w:w="964" w:type="dxa"/>
          </w:tcPr>
          <w:p w14:paraId="0A134028" w14:textId="77777777" w:rsidR="00ED2EBD" w:rsidRPr="00BD16B4" w:rsidRDefault="00ED2EBD" w:rsidP="004A205F">
            <w:pPr>
              <w:pStyle w:val="TableText"/>
              <w:spacing w:before="40" w:after="40"/>
              <w:jc w:val="right"/>
              <w:rPr>
                <w:szCs w:val="18"/>
              </w:rPr>
            </w:pPr>
            <w:r w:rsidRPr="00BD16B4">
              <w:rPr>
                <w:szCs w:val="18"/>
              </w:rPr>
              <w:t>440.22</w:t>
            </w:r>
          </w:p>
        </w:tc>
        <w:tc>
          <w:tcPr>
            <w:tcW w:w="964" w:type="dxa"/>
          </w:tcPr>
          <w:p w14:paraId="1F90F921" w14:textId="77777777" w:rsidR="00ED2EBD" w:rsidRPr="00BD16B4" w:rsidRDefault="00ED2EBD" w:rsidP="004A205F">
            <w:pPr>
              <w:pStyle w:val="TableText"/>
              <w:spacing w:before="40" w:after="40"/>
              <w:jc w:val="right"/>
              <w:rPr>
                <w:szCs w:val="18"/>
              </w:rPr>
            </w:pPr>
            <w:r w:rsidRPr="00BD16B4">
              <w:rPr>
                <w:szCs w:val="18"/>
              </w:rPr>
              <w:t>480.89</w:t>
            </w:r>
          </w:p>
        </w:tc>
      </w:tr>
      <w:tr w:rsidR="00ED2EBD" w:rsidRPr="00BD16B4" w14:paraId="646FE260" w14:textId="77777777" w:rsidTr="00DF055B">
        <w:tc>
          <w:tcPr>
            <w:tcW w:w="3539" w:type="dxa"/>
          </w:tcPr>
          <w:p w14:paraId="26ED560F" w14:textId="1AC1E222" w:rsidR="00ED2EBD" w:rsidRPr="00BD16B4" w:rsidRDefault="00ED2EBD" w:rsidP="004A205F">
            <w:pPr>
              <w:pStyle w:val="TableText"/>
              <w:spacing w:before="40" w:after="40"/>
              <w:rPr>
                <w:szCs w:val="18"/>
              </w:rPr>
            </w:pPr>
            <w:r w:rsidRPr="00BD16B4">
              <w:rPr>
                <w:szCs w:val="18"/>
              </w:rPr>
              <w:t>H.</w:t>
            </w:r>
            <w:r w:rsidR="00280979" w:rsidRPr="00BD16B4">
              <w:rPr>
                <w:szCs w:val="18"/>
              </w:rPr>
              <w:t xml:space="preserve"> </w:t>
            </w:r>
            <w:r w:rsidRPr="00BD16B4">
              <w:rPr>
                <w:szCs w:val="18"/>
              </w:rPr>
              <w:t>Urea application</w:t>
            </w:r>
          </w:p>
        </w:tc>
        <w:tc>
          <w:tcPr>
            <w:tcW w:w="964" w:type="dxa"/>
          </w:tcPr>
          <w:p w14:paraId="7A0B48E6" w14:textId="77777777" w:rsidR="00ED2EBD" w:rsidRPr="00BD16B4" w:rsidRDefault="00ED2EBD" w:rsidP="004A205F">
            <w:pPr>
              <w:pStyle w:val="TableText"/>
              <w:spacing w:before="40" w:after="40"/>
              <w:jc w:val="right"/>
              <w:rPr>
                <w:szCs w:val="18"/>
              </w:rPr>
            </w:pPr>
            <w:r w:rsidRPr="00BD16B4">
              <w:rPr>
                <w:szCs w:val="18"/>
              </w:rPr>
              <w:t>39.19</w:t>
            </w:r>
          </w:p>
        </w:tc>
        <w:tc>
          <w:tcPr>
            <w:tcW w:w="964" w:type="dxa"/>
          </w:tcPr>
          <w:p w14:paraId="1DF89C63" w14:textId="77777777" w:rsidR="00ED2EBD" w:rsidRPr="00BD16B4" w:rsidRDefault="00ED2EBD" w:rsidP="004A205F">
            <w:pPr>
              <w:pStyle w:val="TableText"/>
              <w:spacing w:before="40" w:after="40"/>
              <w:jc w:val="right"/>
              <w:rPr>
                <w:szCs w:val="18"/>
              </w:rPr>
            </w:pPr>
            <w:r w:rsidRPr="00BD16B4">
              <w:rPr>
                <w:szCs w:val="18"/>
              </w:rPr>
              <w:t>51.84</w:t>
            </w:r>
          </w:p>
        </w:tc>
        <w:tc>
          <w:tcPr>
            <w:tcW w:w="964" w:type="dxa"/>
          </w:tcPr>
          <w:p w14:paraId="65944D1E" w14:textId="77777777" w:rsidR="00ED2EBD" w:rsidRPr="00BD16B4" w:rsidRDefault="00ED2EBD" w:rsidP="004A205F">
            <w:pPr>
              <w:pStyle w:val="TableText"/>
              <w:spacing w:before="40" w:after="40"/>
              <w:jc w:val="right"/>
              <w:rPr>
                <w:szCs w:val="18"/>
              </w:rPr>
            </w:pPr>
            <w:r w:rsidRPr="00BD16B4">
              <w:rPr>
                <w:szCs w:val="18"/>
              </w:rPr>
              <w:t>51.13</w:t>
            </w:r>
          </w:p>
        </w:tc>
        <w:tc>
          <w:tcPr>
            <w:tcW w:w="964" w:type="dxa"/>
          </w:tcPr>
          <w:p w14:paraId="055F58DC" w14:textId="77777777" w:rsidR="00ED2EBD" w:rsidRPr="00BD16B4" w:rsidRDefault="00ED2EBD" w:rsidP="004A205F">
            <w:pPr>
              <w:pStyle w:val="TableText"/>
              <w:spacing w:before="40" w:after="40"/>
              <w:jc w:val="right"/>
              <w:rPr>
                <w:szCs w:val="18"/>
              </w:rPr>
            </w:pPr>
            <w:r w:rsidRPr="00BD16B4">
              <w:rPr>
                <w:szCs w:val="18"/>
              </w:rPr>
              <w:t>70.49</w:t>
            </w:r>
          </w:p>
        </w:tc>
        <w:tc>
          <w:tcPr>
            <w:tcW w:w="964" w:type="dxa"/>
          </w:tcPr>
          <w:p w14:paraId="35E0A50C" w14:textId="77777777" w:rsidR="00ED2EBD" w:rsidRPr="00BD16B4" w:rsidRDefault="00ED2EBD" w:rsidP="004A205F">
            <w:pPr>
              <w:pStyle w:val="TableText"/>
              <w:spacing w:before="40" w:after="40"/>
              <w:jc w:val="right"/>
              <w:rPr>
                <w:szCs w:val="18"/>
              </w:rPr>
            </w:pPr>
            <w:r w:rsidRPr="00BD16B4">
              <w:rPr>
                <w:szCs w:val="18"/>
              </w:rPr>
              <w:t>91.54</w:t>
            </w:r>
          </w:p>
        </w:tc>
        <w:tc>
          <w:tcPr>
            <w:tcW w:w="964" w:type="dxa"/>
          </w:tcPr>
          <w:p w14:paraId="06288EE3" w14:textId="77777777" w:rsidR="00ED2EBD" w:rsidRPr="00BD16B4" w:rsidRDefault="00ED2EBD" w:rsidP="004A205F">
            <w:pPr>
              <w:pStyle w:val="TableText"/>
              <w:spacing w:before="40" w:after="40"/>
              <w:jc w:val="right"/>
              <w:rPr>
                <w:szCs w:val="18"/>
              </w:rPr>
            </w:pPr>
            <w:r w:rsidRPr="00BD16B4">
              <w:rPr>
                <w:szCs w:val="18"/>
              </w:rPr>
              <w:t>136.78</w:t>
            </w:r>
          </w:p>
        </w:tc>
        <w:tc>
          <w:tcPr>
            <w:tcW w:w="964" w:type="dxa"/>
          </w:tcPr>
          <w:p w14:paraId="5CFE3F8E" w14:textId="77777777" w:rsidR="00ED2EBD" w:rsidRPr="00BD16B4" w:rsidRDefault="00ED2EBD" w:rsidP="004A205F">
            <w:pPr>
              <w:pStyle w:val="TableText"/>
              <w:spacing w:before="40" w:after="40"/>
              <w:jc w:val="right"/>
              <w:rPr>
                <w:szCs w:val="18"/>
              </w:rPr>
            </w:pPr>
            <w:r w:rsidRPr="00BD16B4">
              <w:rPr>
                <w:szCs w:val="18"/>
              </w:rPr>
              <w:t>141.84</w:t>
            </w:r>
          </w:p>
        </w:tc>
        <w:tc>
          <w:tcPr>
            <w:tcW w:w="964" w:type="dxa"/>
          </w:tcPr>
          <w:p w14:paraId="20D9010E" w14:textId="77777777" w:rsidR="00ED2EBD" w:rsidRPr="00BD16B4" w:rsidRDefault="00ED2EBD" w:rsidP="004A205F">
            <w:pPr>
              <w:pStyle w:val="TableText"/>
              <w:spacing w:before="40" w:after="40"/>
              <w:jc w:val="right"/>
              <w:rPr>
                <w:szCs w:val="18"/>
              </w:rPr>
            </w:pPr>
            <w:r w:rsidRPr="00BD16B4">
              <w:rPr>
                <w:szCs w:val="18"/>
              </w:rPr>
              <w:t>127.79</w:t>
            </w:r>
          </w:p>
        </w:tc>
        <w:tc>
          <w:tcPr>
            <w:tcW w:w="964" w:type="dxa"/>
          </w:tcPr>
          <w:p w14:paraId="400A4117" w14:textId="77777777" w:rsidR="00ED2EBD" w:rsidRPr="00BD16B4" w:rsidRDefault="00ED2EBD" w:rsidP="004A205F">
            <w:pPr>
              <w:pStyle w:val="TableText"/>
              <w:spacing w:before="40" w:after="40"/>
              <w:jc w:val="right"/>
              <w:rPr>
                <w:szCs w:val="18"/>
              </w:rPr>
            </w:pPr>
            <w:r w:rsidRPr="00BD16B4">
              <w:rPr>
                <w:szCs w:val="18"/>
              </w:rPr>
              <w:t>163.89</w:t>
            </w:r>
          </w:p>
        </w:tc>
      </w:tr>
      <w:tr w:rsidR="00ED2EBD" w:rsidRPr="00BD16B4" w14:paraId="6EA90450" w14:textId="77777777" w:rsidTr="00DF055B">
        <w:tc>
          <w:tcPr>
            <w:tcW w:w="3539" w:type="dxa"/>
          </w:tcPr>
          <w:p w14:paraId="334C609B" w14:textId="5A2738AF" w:rsidR="00ED2EBD" w:rsidRPr="00BD16B4" w:rsidRDefault="00ED2EBD" w:rsidP="004A205F">
            <w:pPr>
              <w:pStyle w:val="TableText"/>
              <w:spacing w:before="40" w:after="40"/>
              <w:rPr>
                <w:szCs w:val="18"/>
              </w:rPr>
            </w:pPr>
            <w:r w:rsidRPr="00BD16B4">
              <w:rPr>
                <w:szCs w:val="18"/>
              </w:rPr>
              <w:t>I.</w:t>
            </w:r>
            <w:r w:rsidR="00280979" w:rsidRPr="00BD16B4">
              <w:rPr>
                <w:szCs w:val="18"/>
              </w:rPr>
              <w:t xml:space="preserve"> </w:t>
            </w:r>
            <w:r w:rsidRPr="00BD16B4">
              <w:rPr>
                <w:szCs w:val="18"/>
              </w:rPr>
              <w:t>Other carbon-containing fertilizers</w:t>
            </w:r>
          </w:p>
        </w:tc>
        <w:tc>
          <w:tcPr>
            <w:tcW w:w="964" w:type="dxa"/>
            <w:tcBorders>
              <w:bottom w:val="single" w:sz="4" w:space="0" w:color="1B556B" w:themeColor="text2"/>
            </w:tcBorders>
          </w:tcPr>
          <w:p w14:paraId="1422EB16" w14:textId="77777777" w:rsidR="00ED2EBD" w:rsidRPr="00BD16B4" w:rsidRDefault="00ED2EBD" w:rsidP="004A205F">
            <w:pPr>
              <w:pStyle w:val="TableText"/>
              <w:spacing w:before="40" w:after="40"/>
              <w:jc w:val="right"/>
              <w:rPr>
                <w:szCs w:val="18"/>
              </w:rPr>
            </w:pPr>
            <w:r w:rsidRPr="00BD16B4">
              <w:rPr>
                <w:szCs w:val="18"/>
              </w:rPr>
              <w:t>NE</w:t>
            </w:r>
          </w:p>
        </w:tc>
        <w:tc>
          <w:tcPr>
            <w:tcW w:w="964" w:type="dxa"/>
            <w:tcBorders>
              <w:bottom w:val="single" w:sz="4" w:space="0" w:color="1B556B" w:themeColor="text2"/>
            </w:tcBorders>
          </w:tcPr>
          <w:p w14:paraId="1AA15721" w14:textId="77777777" w:rsidR="00ED2EBD" w:rsidRPr="00BD16B4" w:rsidRDefault="00ED2EBD" w:rsidP="004A205F">
            <w:pPr>
              <w:pStyle w:val="TableText"/>
              <w:spacing w:before="40" w:after="40"/>
              <w:jc w:val="right"/>
              <w:rPr>
                <w:szCs w:val="18"/>
              </w:rPr>
            </w:pPr>
            <w:r w:rsidRPr="00BD16B4">
              <w:rPr>
                <w:szCs w:val="18"/>
              </w:rPr>
              <w:t>NE</w:t>
            </w:r>
          </w:p>
        </w:tc>
        <w:tc>
          <w:tcPr>
            <w:tcW w:w="964" w:type="dxa"/>
            <w:tcBorders>
              <w:bottom w:val="single" w:sz="4" w:space="0" w:color="1B556B" w:themeColor="text2"/>
            </w:tcBorders>
          </w:tcPr>
          <w:p w14:paraId="3A983FF1" w14:textId="77777777" w:rsidR="00ED2EBD" w:rsidRPr="00BD16B4" w:rsidRDefault="00ED2EBD" w:rsidP="004A205F">
            <w:pPr>
              <w:pStyle w:val="TableText"/>
              <w:spacing w:before="40" w:after="40"/>
              <w:jc w:val="right"/>
              <w:rPr>
                <w:szCs w:val="18"/>
              </w:rPr>
            </w:pPr>
            <w:r w:rsidRPr="00BD16B4">
              <w:rPr>
                <w:szCs w:val="18"/>
              </w:rPr>
              <w:t>NE</w:t>
            </w:r>
          </w:p>
        </w:tc>
        <w:tc>
          <w:tcPr>
            <w:tcW w:w="964" w:type="dxa"/>
            <w:tcBorders>
              <w:bottom w:val="single" w:sz="4" w:space="0" w:color="1B556B" w:themeColor="text2"/>
            </w:tcBorders>
          </w:tcPr>
          <w:p w14:paraId="7DD9C7CE" w14:textId="77777777" w:rsidR="00ED2EBD" w:rsidRPr="00BD16B4" w:rsidRDefault="00ED2EBD" w:rsidP="004A205F">
            <w:pPr>
              <w:pStyle w:val="TableText"/>
              <w:spacing w:before="40" w:after="40"/>
              <w:jc w:val="right"/>
              <w:rPr>
                <w:szCs w:val="18"/>
              </w:rPr>
            </w:pPr>
            <w:r w:rsidRPr="00BD16B4">
              <w:rPr>
                <w:szCs w:val="18"/>
              </w:rPr>
              <w:t>NE</w:t>
            </w:r>
          </w:p>
        </w:tc>
        <w:tc>
          <w:tcPr>
            <w:tcW w:w="964" w:type="dxa"/>
            <w:tcBorders>
              <w:bottom w:val="single" w:sz="4" w:space="0" w:color="1B556B" w:themeColor="text2"/>
            </w:tcBorders>
          </w:tcPr>
          <w:p w14:paraId="26D32013" w14:textId="77777777" w:rsidR="00ED2EBD" w:rsidRPr="00BD16B4" w:rsidRDefault="00ED2EBD" w:rsidP="004A205F">
            <w:pPr>
              <w:pStyle w:val="TableText"/>
              <w:spacing w:before="40" w:after="40"/>
              <w:jc w:val="right"/>
              <w:rPr>
                <w:szCs w:val="18"/>
              </w:rPr>
            </w:pPr>
            <w:r w:rsidRPr="00BD16B4">
              <w:rPr>
                <w:szCs w:val="18"/>
              </w:rPr>
              <w:t>NE</w:t>
            </w:r>
          </w:p>
        </w:tc>
        <w:tc>
          <w:tcPr>
            <w:tcW w:w="964" w:type="dxa"/>
            <w:tcBorders>
              <w:bottom w:val="single" w:sz="4" w:space="0" w:color="1B556B" w:themeColor="text2"/>
            </w:tcBorders>
          </w:tcPr>
          <w:p w14:paraId="0C8244A9" w14:textId="77777777" w:rsidR="00ED2EBD" w:rsidRPr="00BD16B4" w:rsidRDefault="00ED2EBD" w:rsidP="004A205F">
            <w:pPr>
              <w:pStyle w:val="TableText"/>
              <w:spacing w:before="40" w:after="40"/>
              <w:jc w:val="right"/>
              <w:rPr>
                <w:szCs w:val="18"/>
              </w:rPr>
            </w:pPr>
            <w:r w:rsidRPr="00BD16B4">
              <w:rPr>
                <w:szCs w:val="18"/>
              </w:rPr>
              <w:t>NE</w:t>
            </w:r>
          </w:p>
        </w:tc>
        <w:tc>
          <w:tcPr>
            <w:tcW w:w="964" w:type="dxa"/>
            <w:tcBorders>
              <w:bottom w:val="single" w:sz="4" w:space="0" w:color="1B556B" w:themeColor="text2"/>
            </w:tcBorders>
          </w:tcPr>
          <w:p w14:paraId="7C90AD01" w14:textId="77777777" w:rsidR="00ED2EBD" w:rsidRPr="00BD16B4" w:rsidRDefault="00ED2EBD" w:rsidP="004A205F">
            <w:pPr>
              <w:pStyle w:val="TableText"/>
              <w:spacing w:before="40" w:after="40"/>
              <w:jc w:val="right"/>
              <w:rPr>
                <w:szCs w:val="18"/>
              </w:rPr>
            </w:pPr>
            <w:r w:rsidRPr="00BD16B4">
              <w:rPr>
                <w:szCs w:val="18"/>
              </w:rPr>
              <w:t>NE</w:t>
            </w:r>
          </w:p>
        </w:tc>
        <w:tc>
          <w:tcPr>
            <w:tcW w:w="964" w:type="dxa"/>
            <w:tcBorders>
              <w:bottom w:val="single" w:sz="4" w:space="0" w:color="1B556B" w:themeColor="text2"/>
            </w:tcBorders>
          </w:tcPr>
          <w:p w14:paraId="554A069C" w14:textId="77777777" w:rsidR="00ED2EBD" w:rsidRPr="00BD16B4" w:rsidRDefault="00ED2EBD" w:rsidP="004A205F">
            <w:pPr>
              <w:pStyle w:val="TableText"/>
              <w:spacing w:before="40" w:after="40"/>
              <w:jc w:val="right"/>
              <w:rPr>
                <w:szCs w:val="18"/>
              </w:rPr>
            </w:pPr>
            <w:r w:rsidRPr="00BD16B4">
              <w:rPr>
                <w:szCs w:val="18"/>
              </w:rPr>
              <w:t>NE</w:t>
            </w:r>
          </w:p>
        </w:tc>
        <w:tc>
          <w:tcPr>
            <w:tcW w:w="964" w:type="dxa"/>
            <w:tcBorders>
              <w:bottom w:val="single" w:sz="4" w:space="0" w:color="1B556B" w:themeColor="text2"/>
            </w:tcBorders>
          </w:tcPr>
          <w:p w14:paraId="13EC6345" w14:textId="77777777" w:rsidR="00ED2EBD" w:rsidRPr="00BD16B4" w:rsidRDefault="00ED2EBD" w:rsidP="004A205F">
            <w:pPr>
              <w:pStyle w:val="TableText"/>
              <w:spacing w:before="40" w:after="40"/>
              <w:jc w:val="right"/>
              <w:rPr>
                <w:szCs w:val="18"/>
              </w:rPr>
            </w:pPr>
            <w:r w:rsidRPr="00BD16B4">
              <w:rPr>
                <w:szCs w:val="18"/>
              </w:rPr>
              <w:t>NE</w:t>
            </w:r>
          </w:p>
        </w:tc>
      </w:tr>
      <w:tr w:rsidR="00ED2EBD" w:rsidRPr="00BD16B4" w14:paraId="7D747AA7" w14:textId="77777777" w:rsidTr="00DF055B">
        <w:tc>
          <w:tcPr>
            <w:tcW w:w="3539" w:type="dxa"/>
          </w:tcPr>
          <w:p w14:paraId="65175E62" w14:textId="4D4BB043" w:rsidR="00ED2EBD" w:rsidRPr="00BD16B4" w:rsidRDefault="00ED2EBD" w:rsidP="004A205F">
            <w:pPr>
              <w:pStyle w:val="TableText"/>
              <w:spacing w:before="40" w:after="40"/>
              <w:rPr>
                <w:szCs w:val="18"/>
              </w:rPr>
            </w:pPr>
            <w:r w:rsidRPr="00BD16B4">
              <w:rPr>
                <w:szCs w:val="18"/>
              </w:rPr>
              <w:t>J.</w:t>
            </w:r>
            <w:r w:rsidR="00280979" w:rsidRPr="00BD16B4">
              <w:rPr>
                <w:szCs w:val="18"/>
              </w:rPr>
              <w:t xml:space="preserve"> </w:t>
            </w:r>
            <w:r w:rsidRPr="00BD16B4">
              <w:rPr>
                <w:szCs w:val="18"/>
              </w:rPr>
              <w:t xml:space="preserve">Other </w:t>
            </w:r>
          </w:p>
        </w:tc>
        <w:tc>
          <w:tcPr>
            <w:tcW w:w="964" w:type="dxa"/>
            <w:tcBorders>
              <w:top w:val="single" w:sz="4" w:space="0" w:color="1B556B" w:themeColor="text2"/>
            </w:tcBorders>
            <w:shd w:val="clear" w:color="auto" w:fill="D2DDE1" w:themeFill="background2"/>
          </w:tcPr>
          <w:p w14:paraId="4C8CB00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C4A52B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A5308B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E82726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D6CBBE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F7173D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E76FB8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59BD81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6BCA0E0"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4627B654" w14:textId="77777777" w:rsidTr="00DF055B">
        <w:tc>
          <w:tcPr>
            <w:tcW w:w="3539" w:type="dxa"/>
          </w:tcPr>
          <w:p w14:paraId="78924B3B" w14:textId="3982BB6B" w:rsidR="00ED2EBD" w:rsidRPr="00BD16B4" w:rsidRDefault="00ED2EBD" w:rsidP="004A205F">
            <w:pPr>
              <w:pStyle w:val="TableText"/>
              <w:spacing w:before="40" w:after="40"/>
              <w:rPr>
                <w:szCs w:val="18"/>
              </w:rPr>
            </w:pPr>
            <w:r w:rsidRPr="00BD16B4">
              <w:rPr>
                <w:b/>
                <w:bCs/>
                <w:szCs w:val="18"/>
              </w:rPr>
              <w:t>4.</w:t>
            </w:r>
            <w:r w:rsidR="00280979" w:rsidRPr="00BD16B4">
              <w:rPr>
                <w:b/>
                <w:bCs/>
                <w:szCs w:val="18"/>
              </w:rPr>
              <w:t xml:space="preserve"> </w:t>
            </w:r>
            <w:r w:rsidRPr="00BD16B4">
              <w:rPr>
                <w:b/>
                <w:bCs/>
                <w:szCs w:val="18"/>
              </w:rPr>
              <w:t>Land Use, Land-Use Change and Forestry</w:t>
            </w:r>
          </w:p>
        </w:tc>
        <w:tc>
          <w:tcPr>
            <w:tcW w:w="964" w:type="dxa"/>
          </w:tcPr>
          <w:p w14:paraId="1F5D0C4C" w14:textId="77777777" w:rsidR="00ED2EBD" w:rsidRPr="00BD16B4" w:rsidRDefault="00ED2EBD" w:rsidP="004A205F">
            <w:pPr>
              <w:pStyle w:val="TableText"/>
              <w:spacing w:before="40" w:after="40"/>
              <w:jc w:val="right"/>
              <w:rPr>
                <w:szCs w:val="18"/>
              </w:rPr>
            </w:pPr>
            <w:r w:rsidRPr="00BD16B4">
              <w:rPr>
                <w:szCs w:val="18"/>
              </w:rPr>
              <w:t>-21,624.05</w:t>
            </w:r>
          </w:p>
        </w:tc>
        <w:tc>
          <w:tcPr>
            <w:tcW w:w="964" w:type="dxa"/>
          </w:tcPr>
          <w:p w14:paraId="4FAD8ECF" w14:textId="77777777" w:rsidR="00ED2EBD" w:rsidRPr="00BD16B4" w:rsidRDefault="00ED2EBD" w:rsidP="004A205F">
            <w:pPr>
              <w:pStyle w:val="TableText"/>
              <w:spacing w:before="40" w:after="40"/>
              <w:jc w:val="right"/>
              <w:rPr>
                <w:szCs w:val="18"/>
              </w:rPr>
            </w:pPr>
            <w:r w:rsidRPr="00BD16B4">
              <w:rPr>
                <w:szCs w:val="18"/>
              </w:rPr>
              <w:t>-23,644.92</w:t>
            </w:r>
          </w:p>
        </w:tc>
        <w:tc>
          <w:tcPr>
            <w:tcW w:w="964" w:type="dxa"/>
          </w:tcPr>
          <w:p w14:paraId="504C74D0" w14:textId="77777777" w:rsidR="00ED2EBD" w:rsidRPr="00BD16B4" w:rsidRDefault="00ED2EBD" w:rsidP="004A205F">
            <w:pPr>
              <w:pStyle w:val="TableText"/>
              <w:spacing w:before="40" w:after="40"/>
              <w:jc w:val="right"/>
              <w:rPr>
                <w:szCs w:val="18"/>
              </w:rPr>
            </w:pPr>
            <w:r w:rsidRPr="00BD16B4">
              <w:rPr>
                <w:szCs w:val="18"/>
              </w:rPr>
              <w:t>-23,430.62</w:t>
            </w:r>
          </w:p>
        </w:tc>
        <w:tc>
          <w:tcPr>
            <w:tcW w:w="964" w:type="dxa"/>
          </w:tcPr>
          <w:p w14:paraId="202A32B2" w14:textId="77777777" w:rsidR="00ED2EBD" w:rsidRPr="00BD16B4" w:rsidRDefault="00ED2EBD" w:rsidP="004A205F">
            <w:pPr>
              <w:pStyle w:val="TableText"/>
              <w:spacing w:before="40" w:after="40"/>
              <w:jc w:val="right"/>
              <w:rPr>
                <w:szCs w:val="18"/>
              </w:rPr>
            </w:pPr>
            <w:r w:rsidRPr="00BD16B4">
              <w:rPr>
                <w:szCs w:val="18"/>
              </w:rPr>
              <w:t>-24,257.20</w:t>
            </w:r>
          </w:p>
        </w:tc>
        <w:tc>
          <w:tcPr>
            <w:tcW w:w="964" w:type="dxa"/>
          </w:tcPr>
          <w:p w14:paraId="0DE7960F" w14:textId="77777777" w:rsidR="00ED2EBD" w:rsidRPr="00BD16B4" w:rsidRDefault="00ED2EBD" w:rsidP="004A205F">
            <w:pPr>
              <w:pStyle w:val="TableText"/>
              <w:spacing w:before="40" w:after="40"/>
              <w:jc w:val="right"/>
              <w:rPr>
                <w:szCs w:val="18"/>
              </w:rPr>
            </w:pPr>
            <w:r w:rsidRPr="00BD16B4">
              <w:rPr>
                <w:szCs w:val="18"/>
              </w:rPr>
              <w:t>-24,080.90</w:t>
            </w:r>
          </w:p>
        </w:tc>
        <w:tc>
          <w:tcPr>
            <w:tcW w:w="964" w:type="dxa"/>
          </w:tcPr>
          <w:p w14:paraId="08746431" w14:textId="77777777" w:rsidR="00ED2EBD" w:rsidRPr="00BD16B4" w:rsidRDefault="00ED2EBD" w:rsidP="004A205F">
            <w:pPr>
              <w:pStyle w:val="TableText"/>
              <w:spacing w:before="40" w:after="40"/>
              <w:jc w:val="right"/>
              <w:rPr>
                <w:szCs w:val="18"/>
              </w:rPr>
            </w:pPr>
            <w:r w:rsidRPr="00BD16B4">
              <w:rPr>
                <w:szCs w:val="18"/>
              </w:rPr>
              <w:t>-22,900.84</w:t>
            </w:r>
          </w:p>
        </w:tc>
        <w:tc>
          <w:tcPr>
            <w:tcW w:w="964" w:type="dxa"/>
          </w:tcPr>
          <w:p w14:paraId="74345BC1" w14:textId="77777777" w:rsidR="00ED2EBD" w:rsidRPr="00BD16B4" w:rsidRDefault="00ED2EBD" w:rsidP="004A205F">
            <w:pPr>
              <w:pStyle w:val="TableText"/>
              <w:spacing w:before="40" w:after="40"/>
              <w:jc w:val="right"/>
              <w:rPr>
                <w:szCs w:val="18"/>
              </w:rPr>
            </w:pPr>
            <w:r w:rsidRPr="00BD16B4">
              <w:rPr>
                <w:szCs w:val="18"/>
              </w:rPr>
              <w:t>-22,467.27</w:t>
            </w:r>
          </w:p>
        </w:tc>
        <w:tc>
          <w:tcPr>
            <w:tcW w:w="964" w:type="dxa"/>
          </w:tcPr>
          <w:p w14:paraId="17B0DE8C" w14:textId="77777777" w:rsidR="00ED2EBD" w:rsidRPr="00BD16B4" w:rsidRDefault="00ED2EBD" w:rsidP="004A205F">
            <w:pPr>
              <w:pStyle w:val="TableText"/>
              <w:spacing w:before="40" w:after="40"/>
              <w:jc w:val="right"/>
              <w:rPr>
                <w:szCs w:val="18"/>
              </w:rPr>
            </w:pPr>
            <w:r w:rsidRPr="00BD16B4">
              <w:rPr>
                <w:szCs w:val="18"/>
              </w:rPr>
              <w:t>-23,117.84</w:t>
            </w:r>
          </w:p>
        </w:tc>
        <w:tc>
          <w:tcPr>
            <w:tcW w:w="964" w:type="dxa"/>
          </w:tcPr>
          <w:p w14:paraId="775655D5" w14:textId="77777777" w:rsidR="00ED2EBD" w:rsidRPr="00BD16B4" w:rsidRDefault="00ED2EBD" w:rsidP="004A205F">
            <w:pPr>
              <w:pStyle w:val="TableText"/>
              <w:spacing w:before="40" w:after="40"/>
              <w:jc w:val="right"/>
              <w:rPr>
                <w:szCs w:val="18"/>
              </w:rPr>
            </w:pPr>
            <w:r w:rsidRPr="00BD16B4">
              <w:rPr>
                <w:szCs w:val="18"/>
              </w:rPr>
              <w:t>-23,791.09</w:t>
            </w:r>
          </w:p>
        </w:tc>
      </w:tr>
      <w:tr w:rsidR="00ED2EBD" w:rsidRPr="00BD16B4" w14:paraId="70778A92" w14:textId="77777777" w:rsidTr="00DF055B">
        <w:tc>
          <w:tcPr>
            <w:tcW w:w="3539" w:type="dxa"/>
          </w:tcPr>
          <w:p w14:paraId="7C8A885B" w14:textId="6E0B8E9E"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Forest land</w:t>
            </w:r>
          </w:p>
        </w:tc>
        <w:tc>
          <w:tcPr>
            <w:tcW w:w="964" w:type="dxa"/>
          </w:tcPr>
          <w:p w14:paraId="699E1513" w14:textId="77777777" w:rsidR="00ED2EBD" w:rsidRPr="00BD16B4" w:rsidRDefault="00ED2EBD" w:rsidP="004A205F">
            <w:pPr>
              <w:pStyle w:val="TableText"/>
              <w:spacing w:before="40" w:after="40"/>
              <w:jc w:val="right"/>
              <w:rPr>
                <w:szCs w:val="18"/>
              </w:rPr>
            </w:pPr>
            <w:r w:rsidRPr="00BD16B4">
              <w:rPr>
                <w:szCs w:val="18"/>
              </w:rPr>
              <w:t>-20,299.82</w:t>
            </w:r>
          </w:p>
        </w:tc>
        <w:tc>
          <w:tcPr>
            <w:tcW w:w="964" w:type="dxa"/>
          </w:tcPr>
          <w:p w14:paraId="709B6A38" w14:textId="77777777" w:rsidR="00ED2EBD" w:rsidRPr="00BD16B4" w:rsidRDefault="00ED2EBD" w:rsidP="004A205F">
            <w:pPr>
              <w:pStyle w:val="TableText"/>
              <w:spacing w:before="40" w:after="40"/>
              <w:jc w:val="right"/>
              <w:rPr>
                <w:szCs w:val="18"/>
              </w:rPr>
            </w:pPr>
            <w:r w:rsidRPr="00BD16B4">
              <w:rPr>
                <w:szCs w:val="18"/>
              </w:rPr>
              <w:t>-21,343.38</w:t>
            </w:r>
          </w:p>
        </w:tc>
        <w:tc>
          <w:tcPr>
            <w:tcW w:w="964" w:type="dxa"/>
          </w:tcPr>
          <w:p w14:paraId="1546CAE7" w14:textId="77777777" w:rsidR="00ED2EBD" w:rsidRPr="00BD16B4" w:rsidRDefault="00ED2EBD" w:rsidP="004A205F">
            <w:pPr>
              <w:pStyle w:val="TableText"/>
              <w:spacing w:before="40" w:after="40"/>
              <w:jc w:val="right"/>
              <w:rPr>
                <w:szCs w:val="18"/>
              </w:rPr>
            </w:pPr>
            <w:r w:rsidRPr="00BD16B4">
              <w:rPr>
                <w:szCs w:val="18"/>
              </w:rPr>
              <w:t>-20,968.13</w:t>
            </w:r>
          </w:p>
        </w:tc>
        <w:tc>
          <w:tcPr>
            <w:tcW w:w="964" w:type="dxa"/>
          </w:tcPr>
          <w:p w14:paraId="57E2AA67" w14:textId="77777777" w:rsidR="00ED2EBD" w:rsidRPr="00BD16B4" w:rsidRDefault="00ED2EBD" w:rsidP="004A205F">
            <w:pPr>
              <w:pStyle w:val="TableText"/>
              <w:spacing w:before="40" w:after="40"/>
              <w:jc w:val="right"/>
              <w:rPr>
                <w:szCs w:val="18"/>
              </w:rPr>
            </w:pPr>
            <w:r w:rsidRPr="00BD16B4">
              <w:rPr>
                <w:szCs w:val="18"/>
              </w:rPr>
              <w:t>-21,545.49</w:t>
            </w:r>
          </w:p>
        </w:tc>
        <w:tc>
          <w:tcPr>
            <w:tcW w:w="964" w:type="dxa"/>
          </w:tcPr>
          <w:p w14:paraId="2DB00AE2" w14:textId="77777777" w:rsidR="00ED2EBD" w:rsidRPr="00BD16B4" w:rsidRDefault="00ED2EBD" w:rsidP="004A205F">
            <w:pPr>
              <w:pStyle w:val="TableText"/>
              <w:spacing w:before="40" w:after="40"/>
              <w:jc w:val="right"/>
              <w:rPr>
                <w:szCs w:val="18"/>
              </w:rPr>
            </w:pPr>
            <w:r w:rsidRPr="00BD16B4">
              <w:rPr>
                <w:szCs w:val="18"/>
              </w:rPr>
              <w:t>-21,189.00</w:t>
            </w:r>
          </w:p>
        </w:tc>
        <w:tc>
          <w:tcPr>
            <w:tcW w:w="964" w:type="dxa"/>
          </w:tcPr>
          <w:p w14:paraId="559E554B" w14:textId="77777777" w:rsidR="00ED2EBD" w:rsidRPr="00BD16B4" w:rsidRDefault="00ED2EBD" w:rsidP="004A205F">
            <w:pPr>
              <w:pStyle w:val="TableText"/>
              <w:spacing w:before="40" w:after="40"/>
              <w:jc w:val="right"/>
              <w:rPr>
                <w:szCs w:val="18"/>
              </w:rPr>
            </w:pPr>
            <w:r w:rsidRPr="00BD16B4">
              <w:rPr>
                <w:szCs w:val="18"/>
              </w:rPr>
              <w:t>-19,852.84</w:t>
            </w:r>
          </w:p>
        </w:tc>
        <w:tc>
          <w:tcPr>
            <w:tcW w:w="964" w:type="dxa"/>
          </w:tcPr>
          <w:p w14:paraId="363B0C3E" w14:textId="77777777" w:rsidR="00ED2EBD" w:rsidRPr="00BD16B4" w:rsidRDefault="00ED2EBD" w:rsidP="004A205F">
            <w:pPr>
              <w:pStyle w:val="TableText"/>
              <w:spacing w:before="40" w:after="40"/>
              <w:jc w:val="right"/>
              <w:rPr>
                <w:szCs w:val="18"/>
              </w:rPr>
            </w:pPr>
            <w:r w:rsidRPr="00BD16B4">
              <w:rPr>
                <w:szCs w:val="18"/>
              </w:rPr>
              <w:t>-19,550.85</w:t>
            </w:r>
          </w:p>
        </w:tc>
        <w:tc>
          <w:tcPr>
            <w:tcW w:w="964" w:type="dxa"/>
          </w:tcPr>
          <w:p w14:paraId="125172E1" w14:textId="77777777" w:rsidR="00ED2EBD" w:rsidRPr="00BD16B4" w:rsidRDefault="00ED2EBD" w:rsidP="004A205F">
            <w:pPr>
              <w:pStyle w:val="TableText"/>
              <w:spacing w:before="40" w:after="40"/>
              <w:jc w:val="right"/>
              <w:rPr>
                <w:szCs w:val="18"/>
              </w:rPr>
            </w:pPr>
            <w:r w:rsidRPr="00BD16B4">
              <w:rPr>
                <w:szCs w:val="18"/>
              </w:rPr>
              <w:t>-20,151.52</w:t>
            </w:r>
          </w:p>
        </w:tc>
        <w:tc>
          <w:tcPr>
            <w:tcW w:w="964" w:type="dxa"/>
          </w:tcPr>
          <w:p w14:paraId="59B0D8BC" w14:textId="77777777" w:rsidR="00ED2EBD" w:rsidRPr="00BD16B4" w:rsidRDefault="00ED2EBD" w:rsidP="004A205F">
            <w:pPr>
              <w:pStyle w:val="TableText"/>
              <w:spacing w:before="40" w:after="40"/>
              <w:jc w:val="right"/>
              <w:rPr>
                <w:szCs w:val="18"/>
              </w:rPr>
            </w:pPr>
            <w:r w:rsidRPr="00BD16B4">
              <w:rPr>
                <w:szCs w:val="18"/>
              </w:rPr>
              <w:t>-22,243.66</w:t>
            </w:r>
          </w:p>
        </w:tc>
      </w:tr>
      <w:tr w:rsidR="00ED2EBD" w:rsidRPr="00BD16B4" w14:paraId="0BD5527C" w14:textId="77777777" w:rsidTr="00DF055B">
        <w:tc>
          <w:tcPr>
            <w:tcW w:w="3539" w:type="dxa"/>
          </w:tcPr>
          <w:p w14:paraId="350C00EB" w14:textId="452DB4D2"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Cropland</w:t>
            </w:r>
          </w:p>
        </w:tc>
        <w:tc>
          <w:tcPr>
            <w:tcW w:w="964" w:type="dxa"/>
          </w:tcPr>
          <w:p w14:paraId="288C1735" w14:textId="77777777" w:rsidR="00ED2EBD" w:rsidRPr="00BD16B4" w:rsidRDefault="00ED2EBD" w:rsidP="004A205F">
            <w:pPr>
              <w:pStyle w:val="TableText"/>
              <w:spacing w:before="40" w:after="40"/>
              <w:jc w:val="right"/>
              <w:rPr>
                <w:szCs w:val="18"/>
              </w:rPr>
            </w:pPr>
            <w:r w:rsidRPr="00BD16B4">
              <w:rPr>
                <w:szCs w:val="18"/>
              </w:rPr>
              <w:t>468.69</w:t>
            </w:r>
          </w:p>
        </w:tc>
        <w:tc>
          <w:tcPr>
            <w:tcW w:w="964" w:type="dxa"/>
          </w:tcPr>
          <w:p w14:paraId="21630BF2" w14:textId="77777777" w:rsidR="00ED2EBD" w:rsidRPr="00BD16B4" w:rsidRDefault="00ED2EBD" w:rsidP="004A205F">
            <w:pPr>
              <w:pStyle w:val="TableText"/>
              <w:spacing w:before="40" w:after="40"/>
              <w:jc w:val="right"/>
              <w:rPr>
                <w:szCs w:val="18"/>
              </w:rPr>
            </w:pPr>
            <w:r w:rsidRPr="00BD16B4">
              <w:rPr>
                <w:szCs w:val="18"/>
              </w:rPr>
              <w:t>470.94</w:t>
            </w:r>
          </w:p>
        </w:tc>
        <w:tc>
          <w:tcPr>
            <w:tcW w:w="964" w:type="dxa"/>
          </w:tcPr>
          <w:p w14:paraId="6FCE0586" w14:textId="77777777" w:rsidR="00ED2EBD" w:rsidRPr="00BD16B4" w:rsidRDefault="00ED2EBD" w:rsidP="004A205F">
            <w:pPr>
              <w:pStyle w:val="TableText"/>
              <w:spacing w:before="40" w:after="40"/>
              <w:jc w:val="right"/>
              <w:rPr>
                <w:szCs w:val="18"/>
              </w:rPr>
            </w:pPr>
            <w:r w:rsidRPr="00BD16B4">
              <w:rPr>
                <w:szCs w:val="18"/>
              </w:rPr>
              <w:t>473.20</w:t>
            </w:r>
          </w:p>
        </w:tc>
        <w:tc>
          <w:tcPr>
            <w:tcW w:w="964" w:type="dxa"/>
          </w:tcPr>
          <w:p w14:paraId="4DB6D1E0" w14:textId="77777777" w:rsidR="00ED2EBD" w:rsidRPr="00BD16B4" w:rsidRDefault="00ED2EBD" w:rsidP="004A205F">
            <w:pPr>
              <w:pStyle w:val="TableText"/>
              <w:spacing w:before="40" w:after="40"/>
              <w:jc w:val="right"/>
              <w:rPr>
                <w:szCs w:val="18"/>
              </w:rPr>
            </w:pPr>
            <w:r w:rsidRPr="00BD16B4">
              <w:rPr>
                <w:szCs w:val="18"/>
              </w:rPr>
              <w:t>475.46</w:t>
            </w:r>
          </w:p>
        </w:tc>
        <w:tc>
          <w:tcPr>
            <w:tcW w:w="964" w:type="dxa"/>
          </w:tcPr>
          <w:p w14:paraId="799E634D" w14:textId="77777777" w:rsidR="00ED2EBD" w:rsidRPr="00BD16B4" w:rsidRDefault="00ED2EBD" w:rsidP="004A205F">
            <w:pPr>
              <w:pStyle w:val="TableText"/>
              <w:spacing w:before="40" w:after="40"/>
              <w:jc w:val="right"/>
              <w:rPr>
                <w:szCs w:val="18"/>
              </w:rPr>
            </w:pPr>
            <w:r w:rsidRPr="00BD16B4">
              <w:rPr>
                <w:szCs w:val="18"/>
              </w:rPr>
              <w:t>477.72</w:t>
            </w:r>
          </w:p>
        </w:tc>
        <w:tc>
          <w:tcPr>
            <w:tcW w:w="964" w:type="dxa"/>
          </w:tcPr>
          <w:p w14:paraId="4C547483" w14:textId="77777777" w:rsidR="00ED2EBD" w:rsidRPr="00BD16B4" w:rsidRDefault="00ED2EBD" w:rsidP="004A205F">
            <w:pPr>
              <w:pStyle w:val="TableText"/>
              <w:spacing w:before="40" w:after="40"/>
              <w:jc w:val="right"/>
              <w:rPr>
                <w:szCs w:val="18"/>
              </w:rPr>
            </w:pPr>
            <w:r w:rsidRPr="00BD16B4">
              <w:rPr>
                <w:szCs w:val="18"/>
              </w:rPr>
              <w:t>479.97</w:t>
            </w:r>
          </w:p>
        </w:tc>
        <w:tc>
          <w:tcPr>
            <w:tcW w:w="964" w:type="dxa"/>
          </w:tcPr>
          <w:p w14:paraId="5F06A306" w14:textId="77777777" w:rsidR="00ED2EBD" w:rsidRPr="00BD16B4" w:rsidRDefault="00ED2EBD" w:rsidP="004A205F">
            <w:pPr>
              <w:pStyle w:val="TableText"/>
              <w:spacing w:before="40" w:after="40"/>
              <w:jc w:val="right"/>
              <w:rPr>
                <w:szCs w:val="18"/>
              </w:rPr>
            </w:pPr>
            <w:r w:rsidRPr="00BD16B4">
              <w:rPr>
                <w:szCs w:val="18"/>
              </w:rPr>
              <w:t>482.23</w:t>
            </w:r>
          </w:p>
        </w:tc>
        <w:tc>
          <w:tcPr>
            <w:tcW w:w="964" w:type="dxa"/>
          </w:tcPr>
          <w:p w14:paraId="1CA90A6D" w14:textId="77777777" w:rsidR="00ED2EBD" w:rsidRPr="00BD16B4" w:rsidRDefault="00ED2EBD" w:rsidP="004A205F">
            <w:pPr>
              <w:pStyle w:val="TableText"/>
              <w:spacing w:before="40" w:after="40"/>
              <w:jc w:val="right"/>
              <w:rPr>
                <w:szCs w:val="18"/>
              </w:rPr>
            </w:pPr>
            <w:r w:rsidRPr="00BD16B4">
              <w:rPr>
                <w:szCs w:val="18"/>
              </w:rPr>
              <w:t>486.39</w:t>
            </w:r>
          </w:p>
        </w:tc>
        <w:tc>
          <w:tcPr>
            <w:tcW w:w="964" w:type="dxa"/>
          </w:tcPr>
          <w:p w14:paraId="1C01CAFF" w14:textId="77777777" w:rsidR="00ED2EBD" w:rsidRPr="00BD16B4" w:rsidRDefault="00ED2EBD" w:rsidP="004A205F">
            <w:pPr>
              <w:pStyle w:val="TableText"/>
              <w:spacing w:before="40" w:after="40"/>
              <w:jc w:val="right"/>
              <w:rPr>
                <w:szCs w:val="18"/>
              </w:rPr>
            </w:pPr>
            <w:r w:rsidRPr="00BD16B4">
              <w:rPr>
                <w:szCs w:val="18"/>
              </w:rPr>
              <w:t>488.81</w:t>
            </w:r>
          </w:p>
        </w:tc>
      </w:tr>
      <w:tr w:rsidR="00ED2EBD" w:rsidRPr="00BD16B4" w14:paraId="04EE6A84" w14:textId="77777777" w:rsidTr="00DF055B">
        <w:tc>
          <w:tcPr>
            <w:tcW w:w="3539" w:type="dxa"/>
          </w:tcPr>
          <w:p w14:paraId="11CA1B38" w14:textId="67EA4F7F" w:rsidR="00ED2EBD" w:rsidRPr="00BD16B4" w:rsidRDefault="00ED2EBD" w:rsidP="004A205F">
            <w:pPr>
              <w:pStyle w:val="TableText"/>
              <w:spacing w:before="40" w:after="40"/>
              <w:rPr>
                <w:szCs w:val="18"/>
              </w:rPr>
            </w:pPr>
            <w:r w:rsidRPr="00BD16B4">
              <w:rPr>
                <w:szCs w:val="18"/>
              </w:rPr>
              <w:lastRenderedPageBreak/>
              <w:t>C.</w:t>
            </w:r>
            <w:r w:rsidR="00280979" w:rsidRPr="00BD16B4">
              <w:rPr>
                <w:szCs w:val="18"/>
              </w:rPr>
              <w:t xml:space="preserve"> </w:t>
            </w:r>
            <w:r w:rsidRPr="00BD16B4">
              <w:rPr>
                <w:szCs w:val="18"/>
              </w:rPr>
              <w:t>Grassland</w:t>
            </w:r>
          </w:p>
        </w:tc>
        <w:tc>
          <w:tcPr>
            <w:tcW w:w="964" w:type="dxa"/>
          </w:tcPr>
          <w:p w14:paraId="1182E15A" w14:textId="77777777" w:rsidR="00ED2EBD" w:rsidRPr="00BD16B4" w:rsidRDefault="00ED2EBD" w:rsidP="004A205F">
            <w:pPr>
              <w:pStyle w:val="TableText"/>
              <w:spacing w:before="40" w:after="40"/>
              <w:jc w:val="right"/>
              <w:rPr>
                <w:szCs w:val="18"/>
              </w:rPr>
            </w:pPr>
            <w:r w:rsidRPr="00BD16B4">
              <w:rPr>
                <w:szCs w:val="18"/>
              </w:rPr>
              <w:t>609.84</w:t>
            </w:r>
          </w:p>
        </w:tc>
        <w:tc>
          <w:tcPr>
            <w:tcW w:w="964" w:type="dxa"/>
          </w:tcPr>
          <w:p w14:paraId="650C0166" w14:textId="77777777" w:rsidR="00ED2EBD" w:rsidRPr="00BD16B4" w:rsidRDefault="00ED2EBD" w:rsidP="004A205F">
            <w:pPr>
              <w:pStyle w:val="TableText"/>
              <w:spacing w:before="40" w:after="40"/>
              <w:jc w:val="right"/>
              <w:rPr>
                <w:szCs w:val="18"/>
              </w:rPr>
            </w:pPr>
            <w:r w:rsidRPr="00BD16B4">
              <w:rPr>
                <w:szCs w:val="18"/>
              </w:rPr>
              <w:t>713.08</w:t>
            </w:r>
          </w:p>
        </w:tc>
        <w:tc>
          <w:tcPr>
            <w:tcW w:w="964" w:type="dxa"/>
          </w:tcPr>
          <w:p w14:paraId="189E9FBE" w14:textId="77777777" w:rsidR="00ED2EBD" w:rsidRPr="00BD16B4" w:rsidRDefault="00ED2EBD" w:rsidP="004A205F">
            <w:pPr>
              <w:pStyle w:val="TableText"/>
              <w:spacing w:before="40" w:after="40"/>
              <w:jc w:val="right"/>
              <w:rPr>
                <w:szCs w:val="18"/>
              </w:rPr>
            </w:pPr>
            <w:r w:rsidRPr="00BD16B4">
              <w:rPr>
                <w:szCs w:val="18"/>
              </w:rPr>
              <w:t>809.36</w:t>
            </w:r>
          </w:p>
        </w:tc>
        <w:tc>
          <w:tcPr>
            <w:tcW w:w="964" w:type="dxa"/>
          </w:tcPr>
          <w:p w14:paraId="1862EEE7" w14:textId="77777777" w:rsidR="00ED2EBD" w:rsidRPr="00BD16B4" w:rsidRDefault="00ED2EBD" w:rsidP="004A205F">
            <w:pPr>
              <w:pStyle w:val="TableText"/>
              <w:spacing w:before="40" w:after="40"/>
              <w:jc w:val="right"/>
              <w:rPr>
                <w:szCs w:val="18"/>
              </w:rPr>
            </w:pPr>
            <w:r w:rsidRPr="00BD16B4">
              <w:rPr>
                <w:szCs w:val="18"/>
              </w:rPr>
              <w:t>903.63</w:t>
            </w:r>
          </w:p>
        </w:tc>
        <w:tc>
          <w:tcPr>
            <w:tcW w:w="964" w:type="dxa"/>
          </w:tcPr>
          <w:p w14:paraId="2673D435" w14:textId="77777777" w:rsidR="00ED2EBD" w:rsidRPr="00BD16B4" w:rsidRDefault="00ED2EBD" w:rsidP="004A205F">
            <w:pPr>
              <w:pStyle w:val="TableText"/>
              <w:spacing w:before="40" w:after="40"/>
              <w:jc w:val="right"/>
              <w:rPr>
                <w:szCs w:val="18"/>
              </w:rPr>
            </w:pPr>
            <w:r w:rsidRPr="00BD16B4">
              <w:rPr>
                <w:szCs w:val="18"/>
              </w:rPr>
              <w:t>996.05</w:t>
            </w:r>
          </w:p>
        </w:tc>
        <w:tc>
          <w:tcPr>
            <w:tcW w:w="964" w:type="dxa"/>
          </w:tcPr>
          <w:p w14:paraId="44A0C940" w14:textId="77777777" w:rsidR="00ED2EBD" w:rsidRPr="00BD16B4" w:rsidRDefault="00ED2EBD" w:rsidP="004A205F">
            <w:pPr>
              <w:pStyle w:val="TableText"/>
              <w:spacing w:before="40" w:after="40"/>
              <w:jc w:val="right"/>
              <w:rPr>
                <w:szCs w:val="18"/>
              </w:rPr>
            </w:pPr>
            <w:r w:rsidRPr="00BD16B4">
              <w:rPr>
                <w:szCs w:val="18"/>
              </w:rPr>
              <w:t>1,019.31</w:t>
            </w:r>
          </w:p>
        </w:tc>
        <w:tc>
          <w:tcPr>
            <w:tcW w:w="964" w:type="dxa"/>
          </w:tcPr>
          <w:p w14:paraId="6755677A" w14:textId="77777777" w:rsidR="00ED2EBD" w:rsidRPr="00BD16B4" w:rsidRDefault="00ED2EBD" w:rsidP="004A205F">
            <w:pPr>
              <w:pStyle w:val="TableText"/>
              <w:spacing w:before="40" w:after="40"/>
              <w:jc w:val="right"/>
              <w:rPr>
                <w:szCs w:val="18"/>
              </w:rPr>
            </w:pPr>
            <w:r w:rsidRPr="00BD16B4">
              <w:rPr>
                <w:szCs w:val="18"/>
              </w:rPr>
              <w:t>1,046.28</w:t>
            </w:r>
          </w:p>
        </w:tc>
        <w:tc>
          <w:tcPr>
            <w:tcW w:w="964" w:type="dxa"/>
          </w:tcPr>
          <w:p w14:paraId="526F9B3F" w14:textId="77777777" w:rsidR="00ED2EBD" w:rsidRPr="00BD16B4" w:rsidRDefault="00ED2EBD" w:rsidP="004A205F">
            <w:pPr>
              <w:pStyle w:val="TableText"/>
              <w:spacing w:before="40" w:after="40"/>
              <w:jc w:val="right"/>
              <w:rPr>
                <w:szCs w:val="18"/>
              </w:rPr>
            </w:pPr>
            <w:r w:rsidRPr="00BD16B4">
              <w:rPr>
                <w:szCs w:val="18"/>
              </w:rPr>
              <w:t>1,077.75</w:t>
            </w:r>
          </w:p>
        </w:tc>
        <w:tc>
          <w:tcPr>
            <w:tcW w:w="964" w:type="dxa"/>
          </w:tcPr>
          <w:p w14:paraId="1EA39741" w14:textId="77777777" w:rsidR="00ED2EBD" w:rsidRPr="00BD16B4" w:rsidRDefault="00ED2EBD" w:rsidP="004A205F">
            <w:pPr>
              <w:pStyle w:val="TableText"/>
              <w:spacing w:before="40" w:after="40"/>
              <w:jc w:val="right"/>
              <w:rPr>
                <w:szCs w:val="18"/>
              </w:rPr>
            </w:pPr>
            <w:r w:rsidRPr="00BD16B4">
              <w:rPr>
                <w:szCs w:val="18"/>
              </w:rPr>
              <w:t>1,102.97</w:t>
            </w:r>
          </w:p>
        </w:tc>
      </w:tr>
      <w:tr w:rsidR="00ED2EBD" w:rsidRPr="00BD16B4" w14:paraId="5A328E7C" w14:textId="77777777" w:rsidTr="00DF055B">
        <w:tc>
          <w:tcPr>
            <w:tcW w:w="3539" w:type="dxa"/>
          </w:tcPr>
          <w:p w14:paraId="4978EB85" w14:textId="383E0C8D" w:rsidR="00ED2EBD" w:rsidRPr="00BD16B4" w:rsidRDefault="00ED2EBD" w:rsidP="004A205F">
            <w:pPr>
              <w:pStyle w:val="TableText"/>
              <w:spacing w:before="40" w:after="40"/>
              <w:rPr>
                <w:szCs w:val="18"/>
              </w:rPr>
            </w:pPr>
            <w:r w:rsidRPr="00BD16B4">
              <w:rPr>
                <w:szCs w:val="18"/>
              </w:rPr>
              <w:t>D.</w:t>
            </w:r>
            <w:r w:rsidR="00280979" w:rsidRPr="00BD16B4">
              <w:rPr>
                <w:szCs w:val="18"/>
              </w:rPr>
              <w:t xml:space="preserve"> </w:t>
            </w:r>
            <w:r w:rsidRPr="00BD16B4">
              <w:rPr>
                <w:szCs w:val="18"/>
              </w:rPr>
              <w:t>Wetlands</w:t>
            </w:r>
          </w:p>
        </w:tc>
        <w:tc>
          <w:tcPr>
            <w:tcW w:w="964" w:type="dxa"/>
          </w:tcPr>
          <w:p w14:paraId="3EF0358B" w14:textId="77777777" w:rsidR="00ED2EBD" w:rsidRPr="00BD16B4" w:rsidRDefault="00ED2EBD" w:rsidP="004A205F">
            <w:pPr>
              <w:pStyle w:val="TableText"/>
              <w:spacing w:before="40" w:after="40"/>
              <w:jc w:val="right"/>
              <w:rPr>
                <w:szCs w:val="18"/>
              </w:rPr>
            </w:pPr>
            <w:r w:rsidRPr="00BD16B4">
              <w:rPr>
                <w:szCs w:val="18"/>
              </w:rPr>
              <w:t>-10.47</w:t>
            </w:r>
          </w:p>
        </w:tc>
        <w:tc>
          <w:tcPr>
            <w:tcW w:w="964" w:type="dxa"/>
          </w:tcPr>
          <w:p w14:paraId="2042E260" w14:textId="77777777" w:rsidR="00ED2EBD" w:rsidRPr="00BD16B4" w:rsidRDefault="00ED2EBD" w:rsidP="004A205F">
            <w:pPr>
              <w:pStyle w:val="TableText"/>
              <w:spacing w:before="40" w:after="40"/>
              <w:jc w:val="right"/>
              <w:rPr>
                <w:szCs w:val="18"/>
              </w:rPr>
            </w:pPr>
            <w:r w:rsidRPr="00BD16B4">
              <w:rPr>
                <w:szCs w:val="18"/>
              </w:rPr>
              <w:t>-8.75</w:t>
            </w:r>
          </w:p>
        </w:tc>
        <w:tc>
          <w:tcPr>
            <w:tcW w:w="964" w:type="dxa"/>
          </w:tcPr>
          <w:p w14:paraId="40F33E4A" w14:textId="77777777" w:rsidR="00ED2EBD" w:rsidRPr="00BD16B4" w:rsidRDefault="00ED2EBD" w:rsidP="004A205F">
            <w:pPr>
              <w:pStyle w:val="TableText"/>
              <w:spacing w:before="40" w:after="40"/>
              <w:jc w:val="right"/>
              <w:rPr>
                <w:szCs w:val="18"/>
              </w:rPr>
            </w:pPr>
            <w:r w:rsidRPr="00BD16B4">
              <w:rPr>
                <w:szCs w:val="18"/>
              </w:rPr>
              <w:t>-10.65</w:t>
            </w:r>
          </w:p>
        </w:tc>
        <w:tc>
          <w:tcPr>
            <w:tcW w:w="964" w:type="dxa"/>
          </w:tcPr>
          <w:p w14:paraId="4EA96650" w14:textId="77777777" w:rsidR="00ED2EBD" w:rsidRPr="00BD16B4" w:rsidRDefault="00ED2EBD" w:rsidP="004A205F">
            <w:pPr>
              <w:pStyle w:val="TableText"/>
              <w:spacing w:before="40" w:after="40"/>
              <w:jc w:val="right"/>
              <w:rPr>
                <w:szCs w:val="18"/>
              </w:rPr>
            </w:pPr>
            <w:r w:rsidRPr="00BD16B4">
              <w:rPr>
                <w:szCs w:val="18"/>
              </w:rPr>
              <w:t>-8.97</w:t>
            </w:r>
          </w:p>
        </w:tc>
        <w:tc>
          <w:tcPr>
            <w:tcW w:w="964" w:type="dxa"/>
          </w:tcPr>
          <w:p w14:paraId="53C6E533" w14:textId="77777777" w:rsidR="00ED2EBD" w:rsidRPr="00BD16B4" w:rsidRDefault="00ED2EBD" w:rsidP="004A205F">
            <w:pPr>
              <w:pStyle w:val="TableText"/>
              <w:spacing w:before="40" w:after="40"/>
              <w:jc w:val="right"/>
              <w:rPr>
                <w:szCs w:val="18"/>
              </w:rPr>
            </w:pPr>
            <w:r w:rsidRPr="00BD16B4">
              <w:rPr>
                <w:szCs w:val="18"/>
              </w:rPr>
              <w:t>-6.34</w:t>
            </w:r>
          </w:p>
        </w:tc>
        <w:tc>
          <w:tcPr>
            <w:tcW w:w="964" w:type="dxa"/>
          </w:tcPr>
          <w:p w14:paraId="1053C313" w14:textId="77777777" w:rsidR="00ED2EBD" w:rsidRPr="00BD16B4" w:rsidRDefault="00ED2EBD" w:rsidP="004A205F">
            <w:pPr>
              <w:pStyle w:val="TableText"/>
              <w:spacing w:before="40" w:after="40"/>
              <w:jc w:val="right"/>
              <w:rPr>
                <w:szCs w:val="18"/>
              </w:rPr>
            </w:pPr>
            <w:r w:rsidRPr="00BD16B4">
              <w:rPr>
                <w:szCs w:val="18"/>
              </w:rPr>
              <w:t>-4.42</w:t>
            </w:r>
          </w:p>
        </w:tc>
        <w:tc>
          <w:tcPr>
            <w:tcW w:w="964" w:type="dxa"/>
          </w:tcPr>
          <w:p w14:paraId="786F78CE" w14:textId="77777777" w:rsidR="00ED2EBD" w:rsidRPr="00BD16B4" w:rsidRDefault="00ED2EBD" w:rsidP="004A205F">
            <w:pPr>
              <w:pStyle w:val="TableText"/>
              <w:spacing w:before="40" w:after="40"/>
              <w:jc w:val="right"/>
              <w:rPr>
                <w:szCs w:val="18"/>
              </w:rPr>
            </w:pPr>
            <w:r w:rsidRPr="00BD16B4">
              <w:rPr>
                <w:szCs w:val="18"/>
              </w:rPr>
              <w:t>-6.50</w:t>
            </w:r>
          </w:p>
        </w:tc>
        <w:tc>
          <w:tcPr>
            <w:tcW w:w="964" w:type="dxa"/>
          </w:tcPr>
          <w:p w14:paraId="677A6CEC" w14:textId="77777777" w:rsidR="00ED2EBD" w:rsidRPr="00BD16B4" w:rsidRDefault="00ED2EBD" w:rsidP="004A205F">
            <w:pPr>
              <w:pStyle w:val="TableText"/>
              <w:spacing w:before="40" w:after="40"/>
              <w:jc w:val="right"/>
              <w:rPr>
                <w:szCs w:val="18"/>
              </w:rPr>
            </w:pPr>
            <w:r w:rsidRPr="00BD16B4">
              <w:rPr>
                <w:szCs w:val="18"/>
              </w:rPr>
              <w:t>-2.38</w:t>
            </w:r>
          </w:p>
        </w:tc>
        <w:tc>
          <w:tcPr>
            <w:tcW w:w="964" w:type="dxa"/>
          </w:tcPr>
          <w:p w14:paraId="5EB17DC3" w14:textId="77777777" w:rsidR="00ED2EBD" w:rsidRPr="00BD16B4" w:rsidRDefault="00ED2EBD" w:rsidP="004A205F">
            <w:pPr>
              <w:pStyle w:val="TableText"/>
              <w:spacing w:before="40" w:after="40"/>
              <w:jc w:val="right"/>
              <w:rPr>
                <w:szCs w:val="18"/>
              </w:rPr>
            </w:pPr>
            <w:r w:rsidRPr="00BD16B4">
              <w:rPr>
                <w:szCs w:val="18"/>
              </w:rPr>
              <w:t>-2.11</w:t>
            </w:r>
          </w:p>
        </w:tc>
      </w:tr>
      <w:tr w:rsidR="00ED2EBD" w:rsidRPr="00BD16B4" w14:paraId="00733823" w14:textId="77777777" w:rsidTr="00DF055B">
        <w:tc>
          <w:tcPr>
            <w:tcW w:w="3539" w:type="dxa"/>
          </w:tcPr>
          <w:p w14:paraId="6091136C" w14:textId="6A1AD690"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 xml:space="preserve">Settlements </w:t>
            </w:r>
          </w:p>
        </w:tc>
        <w:tc>
          <w:tcPr>
            <w:tcW w:w="964" w:type="dxa"/>
          </w:tcPr>
          <w:p w14:paraId="38A2F10C" w14:textId="77777777" w:rsidR="00ED2EBD" w:rsidRPr="00BD16B4" w:rsidRDefault="00ED2EBD" w:rsidP="004A205F">
            <w:pPr>
              <w:pStyle w:val="TableText"/>
              <w:spacing w:before="40" w:after="40"/>
              <w:jc w:val="right"/>
              <w:rPr>
                <w:szCs w:val="18"/>
              </w:rPr>
            </w:pPr>
            <w:r w:rsidRPr="00BD16B4">
              <w:rPr>
                <w:szCs w:val="18"/>
              </w:rPr>
              <w:t>75.42</w:t>
            </w:r>
          </w:p>
        </w:tc>
        <w:tc>
          <w:tcPr>
            <w:tcW w:w="964" w:type="dxa"/>
          </w:tcPr>
          <w:p w14:paraId="5E0638E4" w14:textId="77777777" w:rsidR="00ED2EBD" w:rsidRPr="00BD16B4" w:rsidRDefault="00ED2EBD" w:rsidP="004A205F">
            <w:pPr>
              <w:pStyle w:val="TableText"/>
              <w:spacing w:before="40" w:after="40"/>
              <w:jc w:val="right"/>
              <w:rPr>
                <w:szCs w:val="18"/>
              </w:rPr>
            </w:pPr>
            <w:r w:rsidRPr="00BD16B4">
              <w:rPr>
                <w:szCs w:val="18"/>
              </w:rPr>
              <w:t>76.96</w:t>
            </w:r>
          </w:p>
        </w:tc>
        <w:tc>
          <w:tcPr>
            <w:tcW w:w="964" w:type="dxa"/>
          </w:tcPr>
          <w:p w14:paraId="2FC1735F" w14:textId="77777777" w:rsidR="00ED2EBD" w:rsidRPr="00BD16B4" w:rsidRDefault="00ED2EBD" w:rsidP="004A205F">
            <w:pPr>
              <w:pStyle w:val="TableText"/>
              <w:spacing w:before="40" w:after="40"/>
              <w:jc w:val="right"/>
              <w:rPr>
                <w:szCs w:val="18"/>
              </w:rPr>
            </w:pPr>
            <w:r w:rsidRPr="00BD16B4">
              <w:rPr>
                <w:szCs w:val="18"/>
              </w:rPr>
              <w:t>78.50</w:t>
            </w:r>
          </w:p>
        </w:tc>
        <w:tc>
          <w:tcPr>
            <w:tcW w:w="964" w:type="dxa"/>
          </w:tcPr>
          <w:p w14:paraId="2B73D69C" w14:textId="77777777" w:rsidR="00ED2EBD" w:rsidRPr="00BD16B4" w:rsidRDefault="00ED2EBD" w:rsidP="004A205F">
            <w:pPr>
              <w:pStyle w:val="TableText"/>
              <w:spacing w:before="40" w:after="40"/>
              <w:jc w:val="right"/>
              <w:rPr>
                <w:szCs w:val="18"/>
              </w:rPr>
            </w:pPr>
            <w:r w:rsidRPr="00BD16B4">
              <w:rPr>
                <w:szCs w:val="18"/>
              </w:rPr>
              <w:t>80.25</w:t>
            </w:r>
          </w:p>
        </w:tc>
        <w:tc>
          <w:tcPr>
            <w:tcW w:w="964" w:type="dxa"/>
          </w:tcPr>
          <w:p w14:paraId="15FCE302" w14:textId="77777777" w:rsidR="00ED2EBD" w:rsidRPr="00BD16B4" w:rsidRDefault="00ED2EBD" w:rsidP="004A205F">
            <w:pPr>
              <w:pStyle w:val="TableText"/>
              <w:spacing w:before="40" w:after="40"/>
              <w:jc w:val="right"/>
              <w:rPr>
                <w:szCs w:val="18"/>
              </w:rPr>
            </w:pPr>
            <w:r w:rsidRPr="00BD16B4">
              <w:rPr>
                <w:szCs w:val="18"/>
              </w:rPr>
              <w:t>82.76</w:t>
            </w:r>
          </w:p>
        </w:tc>
        <w:tc>
          <w:tcPr>
            <w:tcW w:w="964" w:type="dxa"/>
          </w:tcPr>
          <w:p w14:paraId="219D9061" w14:textId="77777777" w:rsidR="00ED2EBD" w:rsidRPr="00BD16B4" w:rsidRDefault="00ED2EBD" w:rsidP="004A205F">
            <w:pPr>
              <w:pStyle w:val="TableText"/>
              <w:spacing w:before="40" w:after="40"/>
              <w:jc w:val="right"/>
              <w:rPr>
                <w:szCs w:val="18"/>
              </w:rPr>
            </w:pPr>
            <w:r w:rsidRPr="00BD16B4">
              <w:rPr>
                <w:szCs w:val="18"/>
              </w:rPr>
              <w:t>85.96</w:t>
            </w:r>
          </w:p>
        </w:tc>
        <w:tc>
          <w:tcPr>
            <w:tcW w:w="964" w:type="dxa"/>
          </w:tcPr>
          <w:p w14:paraId="34B8AC1C" w14:textId="77777777" w:rsidR="00ED2EBD" w:rsidRPr="00BD16B4" w:rsidRDefault="00ED2EBD" w:rsidP="004A205F">
            <w:pPr>
              <w:pStyle w:val="TableText"/>
              <w:spacing w:before="40" w:after="40"/>
              <w:jc w:val="right"/>
              <w:rPr>
                <w:szCs w:val="18"/>
              </w:rPr>
            </w:pPr>
            <w:r w:rsidRPr="00BD16B4">
              <w:rPr>
                <w:szCs w:val="18"/>
              </w:rPr>
              <w:t>88.21</w:t>
            </w:r>
          </w:p>
        </w:tc>
        <w:tc>
          <w:tcPr>
            <w:tcW w:w="964" w:type="dxa"/>
          </w:tcPr>
          <w:p w14:paraId="2BAF83F7" w14:textId="77777777" w:rsidR="00ED2EBD" w:rsidRPr="00BD16B4" w:rsidRDefault="00ED2EBD" w:rsidP="004A205F">
            <w:pPr>
              <w:pStyle w:val="TableText"/>
              <w:spacing w:before="40" w:after="40"/>
              <w:jc w:val="right"/>
              <w:rPr>
                <w:szCs w:val="18"/>
              </w:rPr>
            </w:pPr>
            <w:r w:rsidRPr="00BD16B4">
              <w:rPr>
                <w:szCs w:val="18"/>
              </w:rPr>
              <w:t>90.69</w:t>
            </w:r>
          </w:p>
        </w:tc>
        <w:tc>
          <w:tcPr>
            <w:tcW w:w="964" w:type="dxa"/>
          </w:tcPr>
          <w:p w14:paraId="076673C0" w14:textId="77777777" w:rsidR="00ED2EBD" w:rsidRPr="00BD16B4" w:rsidRDefault="00ED2EBD" w:rsidP="004A205F">
            <w:pPr>
              <w:pStyle w:val="TableText"/>
              <w:spacing w:before="40" w:after="40"/>
              <w:jc w:val="right"/>
              <w:rPr>
                <w:szCs w:val="18"/>
              </w:rPr>
            </w:pPr>
            <w:r w:rsidRPr="00BD16B4">
              <w:rPr>
                <w:szCs w:val="18"/>
              </w:rPr>
              <w:t>92.88</w:t>
            </w:r>
          </w:p>
        </w:tc>
      </w:tr>
      <w:tr w:rsidR="00ED2EBD" w:rsidRPr="00BD16B4" w14:paraId="139022BE" w14:textId="77777777" w:rsidTr="00DF055B">
        <w:tc>
          <w:tcPr>
            <w:tcW w:w="3539" w:type="dxa"/>
          </w:tcPr>
          <w:p w14:paraId="5F3D50B5" w14:textId="617C0657" w:rsidR="00ED2EBD" w:rsidRPr="00BD16B4" w:rsidRDefault="00ED2EBD" w:rsidP="004A205F">
            <w:pPr>
              <w:pStyle w:val="TableText"/>
              <w:spacing w:before="40" w:after="40"/>
              <w:rPr>
                <w:szCs w:val="18"/>
              </w:rPr>
            </w:pPr>
            <w:r w:rsidRPr="00BD16B4">
              <w:rPr>
                <w:szCs w:val="18"/>
              </w:rPr>
              <w:t>F.</w:t>
            </w:r>
            <w:r w:rsidR="00280979" w:rsidRPr="00BD16B4">
              <w:rPr>
                <w:szCs w:val="18"/>
              </w:rPr>
              <w:t xml:space="preserve"> </w:t>
            </w:r>
            <w:r w:rsidRPr="00BD16B4">
              <w:rPr>
                <w:szCs w:val="18"/>
              </w:rPr>
              <w:t>Other land</w:t>
            </w:r>
          </w:p>
        </w:tc>
        <w:tc>
          <w:tcPr>
            <w:tcW w:w="964" w:type="dxa"/>
          </w:tcPr>
          <w:p w14:paraId="4E4E2039" w14:textId="77777777" w:rsidR="00ED2EBD" w:rsidRPr="00BD16B4" w:rsidRDefault="00ED2EBD" w:rsidP="004A205F">
            <w:pPr>
              <w:pStyle w:val="TableText"/>
              <w:spacing w:before="40" w:after="40"/>
              <w:jc w:val="right"/>
              <w:rPr>
                <w:szCs w:val="18"/>
              </w:rPr>
            </w:pPr>
            <w:r w:rsidRPr="00BD16B4">
              <w:rPr>
                <w:szCs w:val="18"/>
              </w:rPr>
              <w:t>13.50</w:t>
            </w:r>
          </w:p>
        </w:tc>
        <w:tc>
          <w:tcPr>
            <w:tcW w:w="964" w:type="dxa"/>
          </w:tcPr>
          <w:p w14:paraId="2637024D" w14:textId="77777777" w:rsidR="00ED2EBD" w:rsidRPr="00BD16B4" w:rsidRDefault="00ED2EBD" w:rsidP="004A205F">
            <w:pPr>
              <w:pStyle w:val="TableText"/>
              <w:spacing w:before="40" w:after="40"/>
              <w:jc w:val="right"/>
              <w:rPr>
                <w:szCs w:val="18"/>
              </w:rPr>
            </w:pPr>
            <w:r w:rsidRPr="00BD16B4">
              <w:rPr>
                <w:szCs w:val="18"/>
              </w:rPr>
              <w:t>14.74</w:t>
            </w:r>
          </w:p>
        </w:tc>
        <w:tc>
          <w:tcPr>
            <w:tcW w:w="964" w:type="dxa"/>
          </w:tcPr>
          <w:p w14:paraId="2760046A" w14:textId="77777777" w:rsidR="00ED2EBD" w:rsidRPr="00BD16B4" w:rsidRDefault="00ED2EBD" w:rsidP="004A205F">
            <w:pPr>
              <w:pStyle w:val="TableText"/>
              <w:spacing w:before="40" w:after="40"/>
              <w:jc w:val="right"/>
              <w:rPr>
                <w:szCs w:val="18"/>
              </w:rPr>
            </w:pPr>
            <w:r w:rsidRPr="00BD16B4">
              <w:rPr>
                <w:szCs w:val="18"/>
              </w:rPr>
              <w:t>15.99</w:t>
            </w:r>
          </w:p>
        </w:tc>
        <w:tc>
          <w:tcPr>
            <w:tcW w:w="964" w:type="dxa"/>
          </w:tcPr>
          <w:p w14:paraId="29961214" w14:textId="77777777" w:rsidR="00ED2EBD" w:rsidRPr="00BD16B4" w:rsidRDefault="00ED2EBD" w:rsidP="004A205F">
            <w:pPr>
              <w:pStyle w:val="TableText"/>
              <w:spacing w:before="40" w:after="40"/>
              <w:jc w:val="right"/>
              <w:rPr>
                <w:szCs w:val="18"/>
              </w:rPr>
            </w:pPr>
            <w:r w:rsidRPr="00BD16B4">
              <w:rPr>
                <w:szCs w:val="18"/>
              </w:rPr>
              <w:t>17.24</w:t>
            </w:r>
          </w:p>
        </w:tc>
        <w:tc>
          <w:tcPr>
            <w:tcW w:w="964" w:type="dxa"/>
          </w:tcPr>
          <w:p w14:paraId="7D404C40" w14:textId="77777777" w:rsidR="00ED2EBD" w:rsidRPr="00BD16B4" w:rsidRDefault="00ED2EBD" w:rsidP="004A205F">
            <w:pPr>
              <w:pStyle w:val="TableText"/>
              <w:spacing w:before="40" w:after="40"/>
              <w:jc w:val="right"/>
              <w:rPr>
                <w:szCs w:val="18"/>
              </w:rPr>
            </w:pPr>
            <w:r w:rsidRPr="00BD16B4">
              <w:rPr>
                <w:szCs w:val="18"/>
              </w:rPr>
              <w:t>18.48</w:t>
            </w:r>
          </w:p>
        </w:tc>
        <w:tc>
          <w:tcPr>
            <w:tcW w:w="964" w:type="dxa"/>
          </w:tcPr>
          <w:p w14:paraId="26BA1BED" w14:textId="77777777" w:rsidR="00ED2EBD" w:rsidRPr="00BD16B4" w:rsidRDefault="00ED2EBD" w:rsidP="004A205F">
            <w:pPr>
              <w:pStyle w:val="TableText"/>
              <w:spacing w:before="40" w:after="40"/>
              <w:jc w:val="right"/>
              <w:rPr>
                <w:szCs w:val="18"/>
              </w:rPr>
            </w:pPr>
            <w:r w:rsidRPr="00BD16B4">
              <w:rPr>
                <w:szCs w:val="18"/>
              </w:rPr>
              <w:t>19.73</w:t>
            </w:r>
          </w:p>
        </w:tc>
        <w:tc>
          <w:tcPr>
            <w:tcW w:w="964" w:type="dxa"/>
          </w:tcPr>
          <w:p w14:paraId="4CCE237F" w14:textId="77777777" w:rsidR="00ED2EBD" w:rsidRPr="00BD16B4" w:rsidRDefault="00ED2EBD" w:rsidP="004A205F">
            <w:pPr>
              <w:pStyle w:val="TableText"/>
              <w:spacing w:before="40" w:after="40"/>
              <w:jc w:val="right"/>
              <w:rPr>
                <w:szCs w:val="18"/>
              </w:rPr>
            </w:pPr>
            <w:r w:rsidRPr="00BD16B4">
              <w:rPr>
                <w:szCs w:val="18"/>
              </w:rPr>
              <w:t>20.97</w:t>
            </w:r>
          </w:p>
        </w:tc>
        <w:tc>
          <w:tcPr>
            <w:tcW w:w="964" w:type="dxa"/>
          </w:tcPr>
          <w:p w14:paraId="1B349528" w14:textId="77777777" w:rsidR="00ED2EBD" w:rsidRPr="00BD16B4" w:rsidRDefault="00ED2EBD" w:rsidP="004A205F">
            <w:pPr>
              <w:pStyle w:val="TableText"/>
              <w:spacing w:before="40" w:after="40"/>
              <w:jc w:val="right"/>
              <w:rPr>
                <w:szCs w:val="18"/>
              </w:rPr>
            </w:pPr>
            <w:r w:rsidRPr="00BD16B4">
              <w:rPr>
                <w:szCs w:val="18"/>
              </w:rPr>
              <w:t>24.25</w:t>
            </w:r>
          </w:p>
        </w:tc>
        <w:tc>
          <w:tcPr>
            <w:tcW w:w="964" w:type="dxa"/>
          </w:tcPr>
          <w:p w14:paraId="4B4AE716" w14:textId="77777777" w:rsidR="00ED2EBD" w:rsidRPr="00BD16B4" w:rsidRDefault="00ED2EBD" w:rsidP="004A205F">
            <w:pPr>
              <w:pStyle w:val="TableText"/>
              <w:spacing w:before="40" w:after="40"/>
              <w:jc w:val="right"/>
              <w:rPr>
                <w:szCs w:val="18"/>
              </w:rPr>
            </w:pPr>
            <w:r w:rsidRPr="00BD16B4">
              <w:rPr>
                <w:szCs w:val="18"/>
              </w:rPr>
              <w:t>26.06</w:t>
            </w:r>
          </w:p>
        </w:tc>
      </w:tr>
      <w:tr w:rsidR="00ED2EBD" w:rsidRPr="00BD16B4" w14:paraId="48746BF6" w14:textId="77777777" w:rsidTr="00DF055B">
        <w:tc>
          <w:tcPr>
            <w:tcW w:w="3539" w:type="dxa"/>
          </w:tcPr>
          <w:p w14:paraId="1B918E25" w14:textId="616D63EB" w:rsidR="00ED2EBD" w:rsidRPr="00BD16B4" w:rsidRDefault="00ED2EBD" w:rsidP="004A205F">
            <w:pPr>
              <w:pStyle w:val="TableText"/>
              <w:spacing w:before="40" w:after="40"/>
              <w:rPr>
                <w:szCs w:val="18"/>
              </w:rPr>
            </w:pPr>
            <w:r w:rsidRPr="00BD16B4">
              <w:rPr>
                <w:szCs w:val="18"/>
              </w:rPr>
              <w:t>G.</w:t>
            </w:r>
            <w:r w:rsidR="00280979" w:rsidRPr="00BD16B4">
              <w:rPr>
                <w:szCs w:val="18"/>
              </w:rPr>
              <w:t xml:space="preserve"> </w:t>
            </w:r>
            <w:r w:rsidRPr="00BD16B4">
              <w:rPr>
                <w:szCs w:val="18"/>
              </w:rPr>
              <w:t>Harvested wood products</w:t>
            </w:r>
          </w:p>
        </w:tc>
        <w:tc>
          <w:tcPr>
            <w:tcW w:w="964" w:type="dxa"/>
          </w:tcPr>
          <w:p w14:paraId="3A06E0FB" w14:textId="77777777" w:rsidR="00ED2EBD" w:rsidRPr="00BD16B4" w:rsidRDefault="00ED2EBD" w:rsidP="004A205F">
            <w:pPr>
              <w:pStyle w:val="TableText"/>
              <w:spacing w:before="40" w:after="40"/>
              <w:jc w:val="right"/>
              <w:rPr>
                <w:szCs w:val="18"/>
              </w:rPr>
            </w:pPr>
            <w:r w:rsidRPr="00BD16B4">
              <w:rPr>
                <w:szCs w:val="18"/>
              </w:rPr>
              <w:t>-2,481.21</w:t>
            </w:r>
          </w:p>
        </w:tc>
        <w:tc>
          <w:tcPr>
            <w:tcW w:w="964" w:type="dxa"/>
          </w:tcPr>
          <w:p w14:paraId="34F1D839" w14:textId="77777777" w:rsidR="00ED2EBD" w:rsidRPr="00BD16B4" w:rsidRDefault="00ED2EBD" w:rsidP="004A205F">
            <w:pPr>
              <w:pStyle w:val="TableText"/>
              <w:spacing w:before="40" w:after="40"/>
              <w:jc w:val="right"/>
              <w:rPr>
                <w:szCs w:val="18"/>
              </w:rPr>
            </w:pPr>
            <w:r w:rsidRPr="00BD16B4">
              <w:rPr>
                <w:szCs w:val="18"/>
              </w:rPr>
              <w:t>-3,568.51</w:t>
            </w:r>
          </w:p>
        </w:tc>
        <w:tc>
          <w:tcPr>
            <w:tcW w:w="964" w:type="dxa"/>
          </w:tcPr>
          <w:p w14:paraId="3D00D0C8" w14:textId="77777777" w:rsidR="00ED2EBD" w:rsidRPr="00BD16B4" w:rsidRDefault="00ED2EBD" w:rsidP="004A205F">
            <w:pPr>
              <w:pStyle w:val="TableText"/>
              <w:spacing w:before="40" w:after="40"/>
              <w:jc w:val="right"/>
              <w:rPr>
                <w:szCs w:val="18"/>
              </w:rPr>
            </w:pPr>
            <w:r w:rsidRPr="00BD16B4">
              <w:rPr>
                <w:szCs w:val="18"/>
              </w:rPr>
              <w:t>-3,828.89</w:t>
            </w:r>
          </w:p>
        </w:tc>
        <w:tc>
          <w:tcPr>
            <w:tcW w:w="964" w:type="dxa"/>
          </w:tcPr>
          <w:p w14:paraId="63566CD5" w14:textId="77777777" w:rsidR="00ED2EBD" w:rsidRPr="00BD16B4" w:rsidRDefault="00ED2EBD" w:rsidP="004A205F">
            <w:pPr>
              <w:pStyle w:val="TableText"/>
              <w:spacing w:before="40" w:after="40"/>
              <w:jc w:val="right"/>
              <w:rPr>
                <w:szCs w:val="18"/>
              </w:rPr>
            </w:pPr>
            <w:r w:rsidRPr="00BD16B4">
              <w:rPr>
                <w:szCs w:val="18"/>
              </w:rPr>
              <w:t>-4,179.31</w:t>
            </w:r>
          </w:p>
        </w:tc>
        <w:tc>
          <w:tcPr>
            <w:tcW w:w="964" w:type="dxa"/>
          </w:tcPr>
          <w:p w14:paraId="059A21F7" w14:textId="77777777" w:rsidR="00ED2EBD" w:rsidRPr="00BD16B4" w:rsidRDefault="00ED2EBD" w:rsidP="004A205F">
            <w:pPr>
              <w:pStyle w:val="TableText"/>
              <w:spacing w:before="40" w:after="40"/>
              <w:jc w:val="right"/>
              <w:rPr>
                <w:szCs w:val="18"/>
              </w:rPr>
            </w:pPr>
            <w:r w:rsidRPr="00BD16B4">
              <w:rPr>
                <w:szCs w:val="18"/>
              </w:rPr>
              <w:t>-4,460.58</w:t>
            </w:r>
          </w:p>
        </w:tc>
        <w:tc>
          <w:tcPr>
            <w:tcW w:w="964" w:type="dxa"/>
          </w:tcPr>
          <w:p w14:paraId="0515BA81" w14:textId="77777777" w:rsidR="00ED2EBD" w:rsidRPr="00BD16B4" w:rsidRDefault="00ED2EBD" w:rsidP="004A205F">
            <w:pPr>
              <w:pStyle w:val="TableText"/>
              <w:spacing w:before="40" w:after="40"/>
              <w:jc w:val="right"/>
              <w:rPr>
                <w:szCs w:val="18"/>
              </w:rPr>
            </w:pPr>
            <w:r w:rsidRPr="00BD16B4">
              <w:rPr>
                <w:szCs w:val="18"/>
              </w:rPr>
              <w:t>-4,648.55</w:t>
            </w:r>
          </w:p>
        </w:tc>
        <w:tc>
          <w:tcPr>
            <w:tcW w:w="964" w:type="dxa"/>
          </w:tcPr>
          <w:p w14:paraId="2DA09C10" w14:textId="77777777" w:rsidR="00ED2EBD" w:rsidRPr="00BD16B4" w:rsidRDefault="00ED2EBD" w:rsidP="004A205F">
            <w:pPr>
              <w:pStyle w:val="TableText"/>
              <w:spacing w:before="40" w:after="40"/>
              <w:jc w:val="right"/>
              <w:rPr>
                <w:szCs w:val="18"/>
              </w:rPr>
            </w:pPr>
            <w:r w:rsidRPr="00BD16B4">
              <w:rPr>
                <w:szCs w:val="18"/>
              </w:rPr>
              <w:t>-4,547.61</w:t>
            </w:r>
          </w:p>
        </w:tc>
        <w:tc>
          <w:tcPr>
            <w:tcW w:w="964" w:type="dxa"/>
          </w:tcPr>
          <w:p w14:paraId="058FEA4F" w14:textId="77777777" w:rsidR="00ED2EBD" w:rsidRPr="00BD16B4" w:rsidRDefault="00ED2EBD" w:rsidP="004A205F">
            <w:pPr>
              <w:pStyle w:val="TableText"/>
              <w:spacing w:before="40" w:after="40"/>
              <w:jc w:val="right"/>
              <w:rPr>
                <w:szCs w:val="18"/>
              </w:rPr>
            </w:pPr>
            <w:r w:rsidRPr="00BD16B4">
              <w:rPr>
                <w:szCs w:val="18"/>
              </w:rPr>
              <w:t>-4,643.02</w:t>
            </w:r>
          </w:p>
        </w:tc>
        <w:tc>
          <w:tcPr>
            <w:tcW w:w="964" w:type="dxa"/>
          </w:tcPr>
          <w:p w14:paraId="7D1C79AA" w14:textId="77777777" w:rsidR="00ED2EBD" w:rsidRPr="00BD16B4" w:rsidRDefault="00ED2EBD" w:rsidP="004A205F">
            <w:pPr>
              <w:pStyle w:val="TableText"/>
              <w:spacing w:before="40" w:after="40"/>
              <w:jc w:val="right"/>
              <w:rPr>
                <w:szCs w:val="18"/>
              </w:rPr>
            </w:pPr>
            <w:r w:rsidRPr="00BD16B4">
              <w:rPr>
                <w:szCs w:val="18"/>
              </w:rPr>
              <w:t>-3,256.04</w:t>
            </w:r>
          </w:p>
        </w:tc>
      </w:tr>
      <w:tr w:rsidR="00ED2EBD" w:rsidRPr="00BD16B4" w14:paraId="253C635F" w14:textId="77777777" w:rsidTr="00DF055B">
        <w:tc>
          <w:tcPr>
            <w:tcW w:w="3539" w:type="dxa"/>
          </w:tcPr>
          <w:p w14:paraId="355EAA4A" w14:textId="567E6BF4" w:rsidR="00ED2EBD" w:rsidRPr="00BD16B4" w:rsidRDefault="00ED2EBD" w:rsidP="004A205F">
            <w:pPr>
              <w:pStyle w:val="TableText"/>
              <w:spacing w:before="40" w:after="40"/>
              <w:rPr>
                <w:szCs w:val="18"/>
              </w:rPr>
            </w:pPr>
            <w:r w:rsidRPr="00BD16B4">
              <w:rPr>
                <w:szCs w:val="18"/>
              </w:rPr>
              <w:t>H.</w:t>
            </w:r>
            <w:r w:rsidR="00280979" w:rsidRPr="00BD16B4">
              <w:rPr>
                <w:szCs w:val="18"/>
              </w:rPr>
              <w:t xml:space="preserve"> </w:t>
            </w:r>
            <w:r w:rsidRPr="00BD16B4">
              <w:rPr>
                <w:szCs w:val="18"/>
              </w:rPr>
              <w:t>Other</w:t>
            </w:r>
            <w:r w:rsidR="00280979" w:rsidRPr="00BD16B4">
              <w:rPr>
                <w:szCs w:val="18"/>
              </w:rPr>
              <w:t xml:space="preserve"> </w:t>
            </w:r>
          </w:p>
        </w:tc>
        <w:tc>
          <w:tcPr>
            <w:tcW w:w="964" w:type="dxa"/>
          </w:tcPr>
          <w:p w14:paraId="0BB79E45" w14:textId="77777777" w:rsidR="00ED2EBD" w:rsidRPr="00BD16B4" w:rsidRDefault="00ED2EBD" w:rsidP="004A205F">
            <w:pPr>
              <w:pStyle w:val="TableText"/>
              <w:spacing w:before="40" w:after="40"/>
              <w:jc w:val="right"/>
              <w:rPr>
                <w:szCs w:val="18"/>
              </w:rPr>
            </w:pPr>
            <w:r w:rsidRPr="00BD16B4">
              <w:rPr>
                <w:szCs w:val="18"/>
              </w:rPr>
              <w:t>NA</w:t>
            </w:r>
          </w:p>
        </w:tc>
        <w:tc>
          <w:tcPr>
            <w:tcW w:w="964" w:type="dxa"/>
          </w:tcPr>
          <w:p w14:paraId="1E3F7830" w14:textId="77777777" w:rsidR="00ED2EBD" w:rsidRPr="00BD16B4" w:rsidRDefault="00ED2EBD" w:rsidP="004A205F">
            <w:pPr>
              <w:pStyle w:val="TableText"/>
              <w:spacing w:before="40" w:after="40"/>
              <w:jc w:val="right"/>
              <w:rPr>
                <w:szCs w:val="18"/>
              </w:rPr>
            </w:pPr>
            <w:r w:rsidRPr="00BD16B4">
              <w:rPr>
                <w:szCs w:val="18"/>
              </w:rPr>
              <w:t>NA</w:t>
            </w:r>
          </w:p>
        </w:tc>
        <w:tc>
          <w:tcPr>
            <w:tcW w:w="964" w:type="dxa"/>
          </w:tcPr>
          <w:p w14:paraId="03F288FB" w14:textId="77777777" w:rsidR="00ED2EBD" w:rsidRPr="00BD16B4" w:rsidRDefault="00ED2EBD" w:rsidP="004A205F">
            <w:pPr>
              <w:pStyle w:val="TableText"/>
              <w:spacing w:before="40" w:after="40"/>
              <w:jc w:val="right"/>
              <w:rPr>
                <w:szCs w:val="18"/>
              </w:rPr>
            </w:pPr>
            <w:r w:rsidRPr="00BD16B4">
              <w:rPr>
                <w:szCs w:val="18"/>
              </w:rPr>
              <w:t>NA</w:t>
            </w:r>
          </w:p>
        </w:tc>
        <w:tc>
          <w:tcPr>
            <w:tcW w:w="964" w:type="dxa"/>
          </w:tcPr>
          <w:p w14:paraId="0A7DB9DD" w14:textId="77777777" w:rsidR="00ED2EBD" w:rsidRPr="00BD16B4" w:rsidRDefault="00ED2EBD" w:rsidP="004A205F">
            <w:pPr>
              <w:pStyle w:val="TableText"/>
              <w:spacing w:before="40" w:after="40"/>
              <w:jc w:val="right"/>
              <w:rPr>
                <w:szCs w:val="18"/>
              </w:rPr>
            </w:pPr>
            <w:r w:rsidRPr="00BD16B4">
              <w:rPr>
                <w:szCs w:val="18"/>
              </w:rPr>
              <w:t>NA</w:t>
            </w:r>
          </w:p>
        </w:tc>
        <w:tc>
          <w:tcPr>
            <w:tcW w:w="964" w:type="dxa"/>
          </w:tcPr>
          <w:p w14:paraId="144FFB00" w14:textId="77777777" w:rsidR="00ED2EBD" w:rsidRPr="00BD16B4" w:rsidRDefault="00ED2EBD" w:rsidP="004A205F">
            <w:pPr>
              <w:pStyle w:val="TableText"/>
              <w:spacing w:before="40" w:after="40"/>
              <w:jc w:val="right"/>
              <w:rPr>
                <w:szCs w:val="18"/>
              </w:rPr>
            </w:pPr>
            <w:r w:rsidRPr="00BD16B4">
              <w:rPr>
                <w:szCs w:val="18"/>
              </w:rPr>
              <w:t>NA</w:t>
            </w:r>
          </w:p>
        </w:tc>
        <w:tc>
          <w:tcPr>
            <w:tcW w:w="964" w:type="dxa"/>
          </w:tcPr>
          <w:p w14:paraId="5B5CECD1" w14:textId="77777777" w:rsidR="00ED2EBD" w:rsidRPr="00BD16B4" w:rsidRDefault="00ED2EBD" w:rsidP="004A205F">
            <w:pPr>
              <w:pStyle w:val="TableText"/>
              <w:spacing w:before="40" w:after="40"/>
              <w:jc w:val="right"/>
              <w:rPr>
                <w:szCs w:val="18"/>
              </w:rPr>
            </w:pPr>
            <w:r w:rsidRPr="00BD16B4">
              <w:rPr>
                <w:szCs w:val="18"/>
              </w:rPr>
              <w:t>NA</w:t>
            </w:r>
          </w:p>
        </w:tc>
        <w:tc>
          <w:tcPr>
            <w:tcW w:w="964" w:type="dxa"/>
          </w:tcPr>
          <w:p w14:paraId="16F5E226" w14:textId="77777777" w:rsidR="00ED2EBD" w:rsidRPr="00BD16B4" w:rsidRDefault="00ED2EBD" w:rsidP="004A205F">
            <w:pPr>
              <w:pStyle w:val="TableText"/>
              <w:spacing w:before="40" w:after="40"/>
              <w:jc w:val="right"/>
              <w:rPr>
                <w:szCs w:val="18"/>
              </w:rPr>
            </w:pPr>
            <w:r w:rsidRPr="00BD16B4">
              <w:rPr>
                <w:szCs w:val="18"/>
              </w:rPr>
              <w:t>NA</w:t>
            </w:r>
          </w:p>
        </w:tc>
        <w:tc>
          <w:tcPr>
            <w:tcW w:w="964" w:type="dxa"/>
          </w:tcPr>
          <w:p w14:paraId="71F18592" w14:textId="77777777" w:rsidR="00ED2EBD" w:rsidRPr="00BD16B4" w:rsidRDefault="00ED2EBD" w:rsidP="004A205F">
            <w:pPr>
              <w:pStyle w:val="TableText"/>
              <w:spacing w:before="40" w:after="40"/>
              <w:jc w:val="right"/>
              <w:rPr>
                <w:szCs w:val="18"/>
              </w:rPr>
            </w:pPr>
            <w:r w:rsidRPr="00BD16B4">
              <w:rPr>
                <w:szCs w:val="18"/>
              </w:rPr>
              <w:t>NA</w:t>
            </w:r>
          </w:p>
        </w:tc>
        <w:tc>
          <w:tcPr>
            <w:tcW w:w="964" w:type="dxa"/>
          </w:tcPr>
          <w:p w14:paraId="599E33F7"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72DA8330" w14:textId="77777777" w:rsidTr="00DF055B">
        <w:tc>
          <w:tcPr>
            <w:tcW w:w="3539" w:type="dxa"/>
          </w:tcPr>
          <w:p w14:paraId="18BD08C8" w14:textId="14BD6FF7" w:rsidR="00ED2EBD" w:rsidRPr="00BD16B4" w:rsidRDefault="00ED2EBD" w:rsidP="004A205F">
            <w:pPr>
              <w:pStyle w:val="TableText"/>
              <w:spacing w:before="40" w:after="40"/>
              <w:rPr>
                <w:szCs w:val="18"/>
              </w:rPr>
            </w:pPr>
            <w:r w:rsidRPr="00BD16B4">
              <w:rPr>
                <w:b/>
                <w:bCs/>
                <w:szCs w:val="18"/>
              </w:rPr>
              <w:t>5.</w:t>
            </w:r>
            <w:r w:rsidR="00280979" w:rsidRPr="00BD16B4">
              <w:rPr>
                <w:b/>
                <w:bCs/>
                <w:szCs w:val="18"/>
              </w:rPr>
              <w:t xml:space="preserve"> </w:t>
            </w:r>
            <w:r w:rsidRPr="00BD16B4">
              <w:rPr>
                <w:b/>
                <w:bCs/>
                <w:szCs w:val="18"/>
              </w:rPr>
              <w:t>Waste</w:t>
            </w:r>
          </w:p>
        </w:tc>
        <w:tc>
          <w:tcPr>
            <w:tcW w:w="964" w:type="dxa"/>
          </w:tcPr>
          <w:p w14:paraId="2706AF42" w14:textId="77777777" w:rsidR="00ED2EBD" w:rsidRPr="00BD16B4" w:rsidRDefault="00ED2EBD" w:rsidP="004A205F">
            <w:pPr>
              <w:pStyle w:val="TableText"/>
              <w:spacing w:before="40" w:after="40"/>
              <w:jc w:val="right"/>
              <w:rPr>
                <w:szCs w:val="18"/>
              </w:rPr>
            </w:pPr>
            <w:r w:rsidRPr="00BD16B4">
              <w:rPr>
                <w:szCs w:val="18"/>
              </w:rPr>
              <w:t>158.91</w:t>
            </w:r>
          </w:p>
        </w:tc>
        <w:tc>
          <w:tcPr>
            <w:tcW w:w="964" w:type="dxa"/>
          </w:tcPr>
          <w:p w14:paraId="467E3F35" w14:textId="77777777" w:rsidR="00ED2EBD" w:rsidRPr="00BD16B4" w:rsidRDefault="00ED2EBD" w:rsidP="004A205F">
            <w:pPr>
              <w:pStyle w:val="TableText"/>
              <w:spacing w:before="40" w:after="40"/>
              <w:jc w:val="right"/>
              <w:rPr>
                <w:szCs w:val="18"/>
              </w:rPr>
            </w:pPr>
            <w:r w:rsidRPr="00BD16B4">
              <w:rPr>
                <w:szCs w:val="18"/>
              </w:rPr>
              <w:t>157.84</w:t>
            </w:r>
          </w:p>
        </w:tc>
        <w:tc>
          <w:tcPr>
            <w:tcW w:w="964" w:type="dxa"/>
          </w:tcPr>
          <w:p w14:paraId="744BB1FD" w14:textId="77777777" w:rsidR="00ED2EBD" w:rsidRPr="00BD16B4" w:rsidRDefault="00ED2EBD" w:rsidP="004A205F">
            <w:pPr>
              <w:pStyle w:val="TableText"/>
              <w:spacing w:before="40" w:after="40"/>
              <w:jc w:val="right"/>
              <w:rPr>
                <w:szCs w:val="18"/>
              </w:rPr>
            </w:pPr>
            <w:r w:rsidRPr="00BD16B4">
              <w:rPr>
                <w:szCs w:val="18"/>
              </w:rPr>
              <w:t>156.15</w:t>
            </w:r>
          </w:p>
        </w:tc>
        <w:tc>
          <w:tcPr>
            <w:tcW w:w="964" w:type="dxa"/>
          </w:tcPr>
          <w:p w14:paraId="16F819AB" w14:textId="77777777" w:rsidR="00ED2EBD" w:rsidRPr="00BD16B4" w:rsidRDefault="00ED2EBD" w:rsidP="004A205F">
            <w:pPr>
              <w:pStyle w:val="TableText"/>
              <w:spacing w:before="40" w:after="40"/>
              <w:jc w:val="right"/>
              <w:rPr>
                <w:szCs w:val="18"/>
              </w:rPr>
            </w:pPr>
            <w:r w:rsidRPr="00BD16B4">
              <w:rPr>
                <w:szCs w:val="18"/>
              </w:rPr>
              <w:t>158.92</w:t>
            </w:r>
          </w:p>
        </w:tc>
        <w:tc>
          <w:tcPr>
            <w:tcW w:w="964" w:type="dxa"/>
          </w:tcPr>
          <w:p w14:paraId="46FD782F" w14:textId="77777777" w:rsidR="00ED2EBD" w:rsidRPr="00BD16B4" w:rsidRDefault="00ED2EBD" w:rsidP="004A205F">
            <w:pPr>
              <w:pStyle w:val="TableText"/>
              <w:spacing w:before="40" w:after="40"/>
              <w:jc w:val="right"/>
              <w:rPr>
                <w:szCs w:val="18"/>
              </w:rPr>
            </w:pPr>
            <w:r w:rsidRPr="00BD16B4">
              <w:rPr>
                <w:szCs w:val="18"/>
              </w:rPr>
              <w:t>137.63</w:t>
            </w:r>
          </w:p>
        </w:tc>
        <w:tc>
          <w:tcPr>
            <w:tcW w:w="964" w:type="dxa"/>
          </w:tcPr>
          <w:p w14:paraId="04F86C5C" w14:textId="77777777" w:rsidR="00ED2EBD" w:rsidRPr="00BD16B4" w:rsidRDefault="00ED2EBD" w:rsidP="004A205F">
            <w:pPr>
              <w:pStyle w:val="TableText"/>
              <w:spacing w:before="40" w:after="40"/>
              <w:jc w:val="right"/>
              <w:rPr>
                <w:szCs w:val="18"/>
              </w:rPr>
            </w:pPr>
            <w:r w:rsidRPr="00BD16B4">
              <w:rPr>
                <w:szCs w:val="18"/>
              </w:rPr>
              <w:t>136.26</w:t>
            </w:r>
          </w:p>
        </w:tc>
        <w:tc>
          <w:tcPr>
            <w:tcW w:w="964" w:type="dxa"/>
          </w:tcPr>
          <w:p w14:paraId="4961AB43" w14:textId="77777777" w:rsidR="00ED2EBD" w:rsidRPr="00BD16B4" w:rsidRDefault="00ED2EBD" w:rsidP="004A205F">
            <w:pPr>
              <w:pStyle w:val="TableText"/>
              <w:spacing w:before="40" w:after="40"/>
              <w:jc w:val="right"/>
              <w:rPr>
                <w:szCs w:val="18"/>
              </w:rPr>
            </w:pPr>
            <w:r w:rsidRPr="00BD16B4">
              <w:rPr>
                <w:szCs w:val="18"/>
              </w:rPr>
              <w:t>131.03</w:t>
            </w:r>
          </w:p>
        </w:tc>
        <w:tc>
          <w:tcPr>
            <w:tcW w:w="964" w:type="dxa"/>
          </w:tcPr>
          <w:p w14:paraId="42F3F8C4" w14:textId="77777777" w:rsidR="00ED2EBD" w:rsidRPr="00BD16B4" w:rsidRDefault="00ED2EBD" w:rsidP="004A205F">
            <w:pPr>
              <w:pStyle w:val="TableText"/>
              <w:spacing w:before="40" w:after="40"/>
              <w:jc w:val="right"/>
              <w:rPr>
                <w:szCs w:val="18"/>
              </w:rPr>
            </w:pPr>
            <w:r w:rsidRPr="00BD16B4">
              <w:rPr>
                <w:szCs w:val="18"/>
              </w:rPr>
              <w:t>139.87</w:t>
            </w:r>
          </w:p>
        </w:tc>
        <w:tc>
          <w:tcPr>
            <w:tcW w:w="964" w:type="dxa"/>
          </w:tcPr>
          <w:p w14:paraId="249B3F5C" w14:textId="77777777" w:rsidR="00ED2EBD" w:rsidRPr="00BD16B4" w:rsidRDefault="00ED2EBD" w:rsidP="004A205F">
            <w:pPr>
              <w:pStyle w:val="TableText"/>
              <w:spacing w:before="40" w:after="40"/>
              <w:jc w:val="right"/>
              <w:rPr>
                <w:szCs w:val="18"/>
              </w:rPr>
            </w:pPr>
            <w:r w:rsidRPr="00BD16B4">
              <w:rPr>
                <w:szCs w:val="18"/>
              </w:rPr>
              <w:t>148.51</w:t>
            </w:r>
          </w:p>
        </w:tc>
      </w:tr>
      <w:tr w:rsidR="00ED2EBD" w:rsidRPr="00BD16B4" w14:paraId="79988A93" w14:textId="77777777" w:rsidTr="00DF055B">
        <w:tc>
          <w:tcPr>
            <w:tcW w:w="3539" w:type="dxa"/>
          </w:tcPr>
          <w:p w14:paraId="43E7AF50" w14:textId="525F2087"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 xml:space="preserve">Solid waste disposal </w:t>
            </w:r>
          </w:p>
        </w:tc>
        <w:tc>
          <w:tcPr>
            <w:tcW w:w="964" w:type="dxa"/>
            <w:tcBorders>
              <w:bottom w:val="single" w:sz="4" w:space="0" w:color="1B556B" w:themeColor="text2"/>
            </w:tcBorders>
          </w:tcPr>
          <w:p w14:paraId="2A3D790A" w14:textId="77777777" w:rsidR="00ED2EBD" w:rsidRPr="00BD16B4" w:rsidRDefault="00ED2EBD" w:rsidP="004A205F">
            <w:pPr>
              <w:pStyle w:val="TableText"/>
              <w:spacing w:before="40" w:after="40"/>
              <w:jc w:val="right"/>
              <w:rPr>
                <w:szCs w:val="18"/>
              </w:rPr>
            </w:pPr>
            <w:r w:rsidRPr="00BD16B4">
              <w:rPr>
                <w:szCs w:val="18"/>
              </w:rPr>
              <w:t>NO, NA</w:t>
            </w:r>
          </w:p>
        </w:tc>
        <w:tc>
          <w:tcPr>
            <w:tcW w:w="964" w:type="dxa"/>
            <w:tcBorders>
              <w:bottom w:val="single" w:sz="4" w:space="0" w:color="1B556B" w:themeColor="text2"/>
            </w:tcBorders>
          </w:tcPr>
          <w:p w14:paraId="13593A78" w14:textId="77777777" w:rsidR="00ED2EBD" w:rsidRPr="00BD16B4" w:rsidRDefault="00ED2EBD" w:rsidP="004A205F">
            <w:pPr>
              <w:pStyle w:val="TableText"/>
              <w:spacing w:before="40" w:after="40"/>
              <w:jc w:val="right"/>
              <w:rPr>
                <w:szCs w:val="18"/>
              </w:rPr>
            </w:pPr>
            <w:r w:rsidRPr="00BD16B4">
              <w:rPr>
                <w:szCs w:val="18"/>
              </w:rPr>
              <w:t>NO, NA</w:t>
            </w:r>
          </w:p>
        </w:tc>
        <w:tc>
          <w:tcPr>
            <w:tcW w:w="964" w:type="dxa"/>
            <w:tcBorders>
              <w:bottom w:val="single" w:sz="4" w:space="0" w:color="1B556B" w:themeColor="text2"/>
            </w:tcBorders>
          </w:tcPr>
          <w:p w14:paraId="6124CC28" w14:textId="77777777" w:rsidR="00ED2EBD" w:rsidRPr="00BD16B4" w:rsidRDefault="00ED2EBD" w:rsidP="004A205F">
            <w:pPr>
              <w:pStyle w:val="TableText"/>
              <w:spacing w:before="40" w:after="40"/>
              <w:jc w:val="right"/>
              <w:rPr>
                <w:szCs w:val="18"/>
              </w:rPr>
            </w:pPr>
            <w:r w:rsidRPr="00BD16B4">
              <w:rPr>
                <w:szCs w:val="18"/>
              </w:rPr>
              <w:t>NO, NA</w:t>
            </w:r>
          </w:p>
        </w:tc>
        <w:tc>
          <w:tcPr>
            <w:tcW w:w="964" w:type="dxa"/>
            <w:tcBorders>
              <w:bottom w:val="single" w:sz="4" w:space="0" w:color="1B556B" w:themeColor="text2"/>
            </w:tcBorders>
          </w:tcPr>
          <w:p w14:paraId="5BB90E12" w14:textId="77777777" w:rsidR="00ED2EBD" w:rsidRPr="00BD16B4" w:rsidRDefault="00ED2EBD" w:rsidP="004A205F">
            <w:pPr>
              <w:pStyle w:val="TableText"/>
              <w:spacing w:before="40" w:after="40"/>
              <w:jc w:val="right"/>
              <w:rPr>
                <w:szCs w:val="18"/>
              </w:rPr>
            </w:pPr>
            <w:r w:rsidRPr="00BD16B4">
              <w:rPr>
                <w:szCs w:val="18"/>
              </w:rPr>
              <w:t>NO, NA</w:t>
            </w:r>
          </w:p>
        </w:tc>
        <w:tc>
          <w:tcPr>
            <w:tcW w:w="964" w:type="dxa"/>
            <w:tcBorders>
              <w:bottom w:val="single" w:sz="4" w:space="0" w:color="1B556B" w:themeColor="text2"/>
            </w:tcBorders>
          </w:tcPr>
          <w:p w14:paraId="655DA5D3" w14:textId="77777777" w:rsidR="00ED2EBD" w:rsidRPr="00BD16B4" w:rsidRDefault="00ED2EBD" w:rsidP="004A205F">
            <w:pPr>
              <w:pStyle w:val="TableText"/>
              <w:spacing w:before="40" w:after="40"/>
              <w:jc w:val="right"/>
              <w:rPr>
                <w:szCs w:val="18"/>
              </w:rPr>
            </w:pPr>
            <w:r w:rsidRPr="00BD16B4">
              <w:rPr>
                <w:szCs w:val="18"/>
              </w:rPr>
              <w:t>NO, NA</w:t>
            </w:r>
          </w:p>
        </w:tc>
        <w:tc>
          <w:tcPr>
            <w:tcW w:w="964" w:type="dxa"/>
            <w:tcBorders>
              <w:bottom w:val="single" w:sz="4" w:space="0" w:color="1B556B" w:themeColor="text2"/>
            </w:tcBorders>
          </w:tcPr>
          <w:p w14:paraId="54AF6EF6" w14:textId="77777777" w:rsidR="00ED2EBD" w:rsidRPr="00BD16B4" w:rsidRDefault="00ED2EBD" w:rsidP="004A205F">
            <w:pPr>
              <w:pStyle w:val="TableText"/>
              <w:spacing w:before="40" w:after="40"/>
              <w:jc w:val="right"/>
              <w:rPr>
                <w:szCs w:val="18"/>
              </w:rPr>
            </w:pPr>
            <w:r w:rsidRPr="00BD16B4">
              <w:rPr>
                <w:szCs w:val="18"/>
              </w:rPr>
              <w:t>NO, NA</w:t>
            </w:r>
          </w:p>
        </w:tc>
        <w:tc>
          <w:tcPr>
            <w:tcW w:w="964" w:type="dxa"/>
            <w:tcBorders>
              <w:bottom w:val="single" w:sz="4" w:space="0" w:color="1B556B" w:themeColor="text2"/>
            </w:tcBorders>
          </w:tcPr>
          <w:p w14:paraId="6940AF01" w14:textId="77777777" w:rsidR="00ED2EBD" w:rsidRPr="00BD16B4" w:rsidRDefault="00ED2EBD" w:rsidP="004A205F">
            <w:pPr>
              <w:pStyle w:val="TableText"/>
              <w:spacing w:before="40" w:after="40"/>
              <w:jc w:val="right"/>
              <w:rPr>
                <w:szCs w:val="18"/>
              </w:rPr>
            </w:pPr>
            <w:r w:rsidRPr="00BD16B4">
              <w:rPr>
                <w:szCs w:val="18"/>
              </w:rPr>
              <w:t>NO, NA</w:t>
            </w:r>
          </w:p>
        </w:tc>
        <w:tc>
          <w:tcPr>
            <w:tcW w:w="964" w:type="dxa"/>
            <w:tcBorders>
              <w:bottom w:val="single" w:sz="4" w:space="0" w:color="1B556B" w:themeColor="text2"/>
            </w:tcBorders>
          </w:tcPr>
          <w:p w14:paraId="718698D2" w14:textId="77777777" w:rsidR="00ED2EBD" w:rsidRPr="00BD16B4" w:rsidRDefault="00ED2EBD" w:rsidP="004A205F">
            <w:pPr>
              <w:pStyle w:val="TableText"/>
              <w:spacing w:before="40" w:after="40"/>
              <w:jc w:val="right"/>
              <w:rPr>
                <w:szCs w:val="18"/>
              </w:rPr>
            </w:pPr>
            <w:r w:rsidRPr="00BD16B4">
              <w:rPr>
                <w:szCs w:val="18"/>
              </w:rPr>
              <w:t>NO, NA</w:t>
            </w:r>
          </w:p>
        </w:tc>
        <w:tc>
          <w:tcPr>
            <w:tcW w:w="964" w:type="dxa"/>
            <w:tcBorders>
              <w:bottom w:val="single" w:sz="4" w:space="0" w:color="1B556B" w:themeColor="text2"/>
            </w:tcBorders>
          </w:tcPr>
          <w:p w14:paraId="53A199DD"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02AA8231" w14:textId="77777777" w:rsidTr="00DF055B">
        <w:tc>
          <w:tcPr>
            <w:tcW w:w="3539" w:type="dxa"/>
          </w:tcPr>
          <w:p w14:paraId="6C091AB1" w14:textId="28697D88"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Biological treatment of solid waste</w:t>
            </w:r>
          </w:p>
        </w:tc>
        <w:tc>
          <w:tcPr>
            <w:tcW w:w="964" w:type="dxa"/>
            <w:tcBorders>
              <w:top w:val="single" w:sz="4" w:space="0" w:color="1B556B" w:themeColor="text2"/>
            </w:tcBorders>
            <w:shd w:val="clear" w:color="auto" w:fill="D2DDE1" w:themeFill="background2"/>
          </w:tcPr>
          <w:p w14:paraId="3451EAB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5A6566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94DAB2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3ABA2B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A8D9B5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58C810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A3E436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1ACB52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9AED191"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136A4D09" w14:textId="77777777" w:rsidTr="00DF055B">
        <w:tc>
          <w:tcPr>
            <w:tcW w:w="3539" w:type="dxa"/>
          </w:tcPr>
          <w:p w14:paraId="62515576" w14:textId="413836E4"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Incineration and open burning of waste</w:t>
            </w:r>
          </w:p>
        </w:tc>
        <w:tc>
          <w:tcPr>
            <w:tcW w:w="964" w:type="dxa"/>
            <w:tcBorders>
              <w:bottom w:val="single" w:sz="4" w:space="0" w:color="1B556B" w:themeColor="text2"/>
            </w:tcBorders>
          </w:tcPr>
          <w:p w14:paraId="65486A88" w14:textId="77777777" w:rsidR="00ED2EBD" w:rsidRPr="00BD16B4" w:rsidRDefault="00ED2EBD" w:rsidP="004A205F">
            <w:pPr>
              <w:pStyle w:val="TableText"/>
              <w:spacing w:before="40" w:after="40"/>
              <w:jc w:val="right"/>
              <w:rPr>
                <w:szCs w:val="18"/>
              </w:rPr>
            </w:pPr>
            <w:r w:rsidRPr="00BD16B4">
              <w:rPr>
                <w:szCs w:val="18"/>
              </w:rPr>
              <w:t>158.91</w:t>
            </w:r>
          </w:p>
        </w:tc>
        <w:tc>
          <w:tcPr>
            <w:tcW w:w="964" w:type="dxa"/>
            <w:tcBorders>
              <w:bottom w:val="single" w:sz="4" w:space="0" w:color="1B556B" w:themeColor="text2"/>
            </w:tcBorders>
          </w:tcPr>
          <w:p w14:paraId="262BCC02" w14:textId="77777777" w:rsidR="00ED2EBD" w:rsidRPr="00BD16B4" w:rsidRDefault="00ED2EBD" w:rsidP="004A205F">
            <w:pPr>
              <w:pStyle w:val="TableText"/>
              <w:spacing w:before="40" w:after="40"/>
              <w:jc w:val="right"/>
              <w:rPr>
                <w:szCs w:val="18"/>
              </w:rPr>
            </w:pPr>
            <w:r w:rsidRPr="00BD16B4">
              <w:rPr>
                <w:szCs w:val="18"/>
              </w:rPr>
              <w:t>157.84</w:t>
            </w:r>
          </w:p>
        </w:tc>
        <w:tc>
          <w:tcPr>
            <w:tcW w:w="964" w:type="dxa"/>
            <w:tcBorders>
              <w:bottom w:val="single" w:sz="4" w:space="0" w:color="1B556B" w:themeColor="text2"/>
            </w:tcBorders>
          </w:tcPr>
          <w:p w14:paraId="793E3214" w14:textId="77777777" w:rsidR="00ED2EBD" w:rsidRPr="00BD16B4" w:rsidRDefault="00ED2EBD" w:rsidP="004A205F">
            <w:pPr>
              <w:pStyle w:val="TableText"/>
              <w:spacing w:before="40" w:after="40"/>
              <w:jc w:val="right"/>
              <w:rPr>
                <w:szCs w:val="18"/>
              </w:rPr>
            </w:pPr>
            <w:r w:rsidRPr="00BD16B4">
              <w:rPr>
                <w:szCs w:val="18"/>
              </w:rPr>
              <w:t>156.15</w:t>
            </w:r>
          </w:p>
        </w:tc>
        <w:tc>
          <w:tcPr>
            <w:tcW w:w="964" w:type="dxa"/>
            <w:tcBorders>
              <w:bottom w:val="single" w:sz="4" w:space="0" w:color="1B556B" w:themeColor="text2"/>
            </w:tcBorders>
          </w:tcPr>
          <w:p w14:paraId="621422CC" w14:textId="77777777" w:rsidR="00ED2EBD" w:rsidRPr="00BD16B4" w:rsidRDefault="00ED2EBD" w:rsidP="004A205F">
            <w:pPr>
              <w:pStyle w:val="TableText"/>
              <w:spacing w:before="40" w:after="40"/>
              <w:jc w:val="right"/>
              <w:rPr>
                <w:szCs w:val="18"/>
              </w:rPr>
            </w:pPr>
            <w:r w:rsidRPr="00BD16B4">
              <w:rPr>
                <w:szCs w:val="18"/>
              </w:rPr>
              <w:t>158.92</w:t>
            </w:r>
          </w:p>
        </w:tc>
        <w:tc>
          <w:tcPr>
            <w:tcW w:w="964" w:type="dxa"/>
            <w:tcBorders>
              <w:bottom w:val="single" w:sz="4" w:space="0" w:color="1B556B" w:themeColor="text2"/>
            </w:tcBorders>
          </w:tcPr>
          <w:p w14:paraId="3987DDED" w14:textId="77777777" w:rsidR="00ED2EBD" w:rsidRPr="00BD16B4" w:rsidRDefault="00ED2EBD" w:rsidP="004A205F">
            <w:pPr>
              <w:pStyle w:val="TableText"/>
              <w:spacing w:before="40" w:after="40"/>
              <w:jc w:val="right"/>
              <w:rPr>
                <w:szCs w:val="18"/>
              </w:rPr>
            </w:pPr>
            <w:r w:rsidRPr="00BD16B4">
              <w:rPr>
                <w:szCs w:val="18"/>
              </w:rPr>
              <w:t>137.63</w:t>
            </w:r>
          </w:p>
        </w:tc>
        <w:tc>
          <w:tcPr>
            <w:tcW w:w="964" w:type="dxa"/>
            <w:tcBorders>
              <w:bottom w:val="single" w:sz="4" w:space="0" w:color="1B556B" w:themeColor="text2"/>
            </w:tcBorders>
          </w:tcPr>
          <w:p w14:paraId="2C59A391" w14:textId="77777777" w:rsidR="00ED2EBD" w:rsidRPr="00BD16B4" w:rsidRDefault="00ED2EBD" w:rsidP="004A205F">
            <w:pPr>
              <w:pStyle w:val="TableText"/>
              <w:spacing w:before="40" w:after="40"/>
              <w:jc w:val="right"/>
              <w:rPr>
                <w:szCs w:val="18"/>
              </w:rPr>
            </w:pPr>
            <w:r w:rsidRPr="00BD16B4">
              <w:rPr>
                <w:szCs w:val="18"/>
              </w:rPr>
              <w:t>136.26</w:t>
            </w:r>
          </w:p>
        </w:tc>
        <w:tc>
          <w:tcPr>
            <w:tcW w:w="964" w:type="dxa"/>
            <w:tcBorders>
              <w:bottom w:val="single" w:sz="4" w:space="0" w:color="1B556B" w:themeColor="text2"/>
            </w:tcBorders>
          </w:tcPr>
          <w:p w14:paraId="05E4BCAF" w14:textId="77777777" w:rsidR="00ED2EBD" w:rsidRPr="00BD16B4" w:rsidRDefault="00ED2EBD" w:rsidP="004A205F">
            <w:pPr>
              <w:pStyle w:val="TableText"/>
              <w:spacing w:before="40" w:after="40"/>
              <w:jc w:val="right"/>
              <w:rPr>
                <w:szCs w:val="18"/>
              </w:rPr>
            </w:pPr>
            <w:r w:rsidRPr="00BD16B4">
              <w:rPr>
                <w:szCs w:val="18"/>
              </w:rPr>
              <w:t>131.03</w:t>
            </w:r>
          </w:p>
        </w:tc>
        <w:tc>
          <w:tcPr>
            <w:tcW w:w="964" w:type="dxa"/>
            <w:tcBorders>
              <w:bottom w:val="single" w:sz="4" w:space="0" w:color="1B556B" w:themeColor="text2"/>
            </w:tcBorders>
          </w:tcPr>
          <w:p w14:paraId="3327323C" w14:textId="77777777" w:rsidR="00ED2EBD" w:rsidRPr="00BD16B4" w:rsidRDefault="00ED2EBD" w:rsidP="004A205F">
            <w:pPr>
              <w:pStyle w:val="TableText"/>
              <w:spacing w:before="40" w:after="40"/>
              <w:jc w:val="right"/>
              <w:rPr>
                <w:szCs w:val="18"/>
              </w:rPr>
            </w:pPr>
            <w:r w:rsidRPr="00BD16B4">
              <w:rPr>
                <w:szCs w:val="18"/>
              </w:rPr>
              <w:t>139.87</w:t>
            </w:r>
          </w:p>
        </w:tc>
        <w:tc>
          <w:tcPr>
            <w:tcW w:w="964" w:type="dxa"/>
            <w:tcBorders>
              <w:bottom w:val="single" w:sz="4" w:space="0" w:color="1B556B" w:themeColor="text2"/>
            </w:tcBorders>
          </w:tcPr>
          <w:p w14:paraId="01BEE52B" w14:textId="77777777" w:rsidR="00ED2EBD" w:rsidRPr="00BD16B4" w:rsidRDefault="00ED2EBD" w:rsidP="004A205F">
            <w:pPr>
              <w:pStyle w:val="TableText"/>
              <w:spacing w:before="40" w:after="40"/>
              <w:jc w:val="right"/>
              <w:rPr>
                <w:szCs w:val="18"/>
              </w:rPr>
            </w:pPr>
            <w:r w:rsidRPr="00BD16B4">
              <w:rPr>
                <w:szCs w:val="18"/>
              </w:rPr>
              <w:t>148.51</w:t>
            </w:r>
          </w:p>
        </w:tc>
      </w:tr>
      <w:tr w:rsidR="00ED2EBD" w:rsidRPr="00BD16B4" w14:paraId="1476FC54" w14:textId="77777777" w:rsidTr="00DF055B">
        <w:tc>
          <w:tcPr>
            <w:tcW w:w="3539" w:type="dxa"/>
          </w:tcPr>
          <w:p w14:paraId="7019FE67" w14:textId="73ED5623" w:rsidR="00ED2EBD" w:rsidRPr="00BD16B4" w:rsidRDefault="00ED2EBD" w:rsidP="004A205F">
            <w:pPr>
              <w:pStyle w:val="TableText"/>
              <w:spacing w:before="40" w:after="40"/>
              <w:rPr>
                <w:szCs w:val="18"/>
              </w:rPr>
            </w:pPr>
            <w:r w:rsidRPr="00BD16B4">
              <w:rPr>
                <w:szCs w:val="18"/>
              </w:rPr>
              <w:t>D.</w:t>
            </w:r>
            <w:r w:rsidR="00280979" w:rsidRPr="00BD16B4">
              <w:rPr>
                <w:szCs w:val="18"/>
              </w:rPr>
              <w:t xml:space="preserve"> </w:t>
            </w:r>
            <w:r w:rsidRPr="00BD16B4">
              <w:rPr>
                <w:szCs w:val="18"/>
              </w:rPr>
              <w:t>Waste water treatment and discharge</w:t>
            </w:r>
          </w:p>
        </w:tc>
        <w:tc>
          <w:tcPr>
            <w:tcW w:w="964" w:type="dxa"/>
            <w:tcBorders>
              <w:top w:val="single" w:sz="4" w:space="0" w:color="1B556B" w:themeColor="text2"/>
            </w:tcBorders>
            <w:shd w:val="clear" w:color="auto" w:fill="D2DDE1" w:themeFill="background2"/>
          </w:tcPr>
          <w:p w14:paraId="3041A5B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18001E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6D6B8C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67AFE9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786847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E954C6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0A116F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EF9B0E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C048534"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23BD7C4D" w14:textId="77777777" w:rsidTr="00DF055B">
        <w:tc>
          <w:tcPr>
            <w:tcW w:w="3539" w:type="dxa"/>
          </w:tcPr>
          <w:p w14:paraId="33BACD3A" w14:textId="0B73F0CC"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 xml:space="preserve">Other </w:t>
            </w:r>
          </w:p>
        </w:tc>
        <w:tc>
          <w:tcPr>
            <w:tcW w:w="964" w:type="dxa"/>
            <w:tcBorders>
              <w:top w:val="single" w:sz="4" w:space="0" w:color="1B556B" w:themeColor="text2"/>
            </w:tcBorders>
            <w:shd w:val="clear" w:color="auto" w:fill="D2DDE1" w:themeFill="background2"/>
          </w:tcPr>
          <w:p w14:paraId="205FF21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BD6B21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67B31D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F33C6E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062051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B6A7BF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F23153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FF2A2D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A5D2E14"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1819387E" w14:textId="77777777" w:rsidTr="00DF055B">
        <w:tc>
          <w:tcPr>
            <w:tcW w:w="3539" w:type="dxa"/>
          </w:tcPr>
          <w:p w14:paraId="375650F1" w14:textId="0D3C8290" w:rsidR="00ED2EBD" w:rsidRPr="00BD16B4" w:rsidRDefault="00ED2EBD" w:rsidP="004A205F">
            <w:pPr>
              <w:pStyle w:val="TableText"/>
              <w:spacing w:before="40" w:after="40"/>
              <w:rPr>
                <w:szCs w:val="18"/>
              </w:rPr>
            </w:pPr>
            <w:r w:rsidRPr="00BD16B4">
              <w:rPr>
                <w:b/>
                <w:bCs/>
                <w:szCs w:val="18"/>
              </w:rPr>
              <w:t>6.</w:t>
            </w:r>
            <w:r w:rsidR="00280979" w:rsidRPr="00BD16B4">
              <w:rPr>
                <w:b/>
                <w:bCs/>
                <w:szCs w:val="18"/>
              </w:rPr>
              <w:t xml:space="preserve"> </w:t>
            </w:r>
            <w:r w:rsidRPr="00BD16B4">
              <w:rPr>
                <w:b/>
                <w:bCs/>
                <w:szCs w:val="18"/>
              </w:rPr>
              <w:t>Other (as specified in summary table A.1)</w:t>
            </w:r>
          </w:p>
        </w:tc>
        <w:tc>
          <w:tcPr>
            <w:tcW w:w="964" w:type="dxa"/>
          </w:tcPr>
          <w:p w14:paraId="056C0585" w14:textId="77777777" w:rsidR="00ED2EBD" w:rsidRPr="00BD16B4" w:rsidRDefault="00ED2EBD" w:rsidP="004A205F">
            <w:pPr>
              <w:pStyle w:val="TableText"/>
              <w:spacing w:before="40" w:after="40"/>
              <w:jc w:val="right"/>
              <w:rPr>
                <w:szCs w:val="18"/>
              </w:rPr>
            </w:pPr>
            <w:r w:rsidRPr="00BD16B4">
              <w:rPr>
                <w:szCs w:val="18"/>
              </w:rPr>
              <w:t>1.30</w:t>
            </w:r>
          </w:p>
        </w:tc>
        <w:tc>
          <w:tcPr>
            <w:tcW w:w="964" w:type="dxa"/>
          </w:tcPr>
          <w:p w14:paraId="1C1C7C3C" w14:textId="77777777" w:rsidR="00ED2EBD" w:rsidRPr="00BD16B4" w:rsidRDefault="00ED2EBD" w:rsidP="004A205F">
            <w:pPr>
              <w:pStyle w:val="TableText"/>
              <w:spacing w:before="40" w:after="40"/>
              <w:jc w:val="right"/>
              <w:rPr>
                <w:szCs w:val="18"/>
              </w:rPr>
            </w:pPr>
            <w:r w:rsidRPr="00BD16B4">
              <w:rPr>
                <w:szCs w:val="18"/>
              </w:rPr>
              <w:t>1.31</w:t>
            </w:r>
          </w:p>
        </w:tc>
        <w:tc>
          <w:tcPr>
            <w:tcW w:w="964" w:type="dxa"/>
          </w:tcPr>
          <w:p w14:paraId="0BD6D720" w14:textId="77777777" w:rsidR="00ED2EBD" w:rsidRPr="00BD16B4" w:rsidRDefault="00ED2EBD" w:rsidP="004A205F">
            <w:pPr>
              <w:pStyle w:val="TableText"/>
              <w:spacing w:before="40" w:after="40"/>
              <w:jc w:val="right"/>
              <w:rPr>
                <w:szCs w:val="18"/>
              </w:rPr>
            </w:pPr>
            <w:r w:rsidRPr="00BD16B4">
              <w:rPr>
                <w:szCs w:val="18"/>
              </w:rPr>
              <w:t>1.33</w:t>
            </w:r>
          </w:p>
        </w:tc>
        <w:tc>
          <w:tcPr>
            <w:tcW w:w="964" w:type="dxa"/>
          </w:tcPr>
          <w:p w14:paraId="4C07AB7C" w14:textId="77777777" w:rsidR="00ED2EBD" w:rsidRPr="00BD16B4" w:rsidRDefault="00ED2EBD" w:rsidP="004A205F">
            <w:pPr>
              <w:pStyle w:val="TableText"/>
              <w:spacing w:before="40" w:after="40"/>
              <w:jc w:val="right"/>
              <w:rPr>
                <w:szCs w:val="18"/>
              </w:rPr>
            </w:pPr>
            <w:r w:rsidRPr="00BD16B4">
              <w:rPr>
                <w:szCs w:val="18"/>
              </w:rPr>
              <w:t>1.34</w:t>
            </w:r>
          </w:p>
        </w:tc>
        <w:tc>
          <w:tcPr>
            <w:tcW w:w="964" w:type="dxa"/>
          </w:tcPr>
          <w:p w14:paraId="5D4A8B1D" w14:textId="77777777" w:rsidR="00ED2EBD" w:rsidRPr="00BD16B4" w:rsidRDefault="00ED2EBD" w:rsidP="004A205F">
            <w:pPr>
              <w:pStyle w:val="TableText"/>
              <w:spacing w:before="40" w:after="40"/>
              <w:jc w:val="right"/>
              <w:rPr>
                <w:szCs w:val="18"/>
              </w:rPr>
            </w:pPr>
            <w:r w:rsidRPr="00BD16B4">
              <w:rPr>
                <w:szCs w:val="18"/>
              </w:rPr>
              <w:t>1.36</w:t>
            </w:r>
          </w:p>
        </w:tc>
        <w:tc>
          <w:tcPr>
            <w:tcW w:w="964" w:type="dxa"/>
          </w:tcPr>
          <w:p w14:paraId="0FC7B3ED" w14:textId="77777777" w:rsidR="00ED2EBD" w:rsidRPr="00BD16B4" w:rsidRDefault="00ED2EBD" w:rsidP="004A205F">
            <w:pPr>
              <w:pStyle w:val="TableText"/>
              <w:spacing w:before="40" w:after="40"/>
              <w:jc w:val="right"/>
              <w:rPr>
                <w:szCs w:val="18"/>
              </w:rPr>
            </w:pPr>
            <w:r w:rsidRPr="00BD16B4">
              <w:rPr>
                <w:szCs w:val="18"/>
              </w:rPr>
              <w:t>1.38</w:t>
            </w:r>
          </w:p>
        </w:tc>
        <w:tc>
          <w:tcPr>
            <w:tcW w:w="964" w:type="dxa"/>
          </w:tcPr>
          <w:p w14:paraId="7B4E3D25" w14:textId="77777777" w:rsidR="00ED2EBD" w:rsidRPr="00BD16B4" w:rsidRDefault="00ED2EBD" w:rsidP="004A205F">
            <w:pPr>
              <w:pStyle w:val="TableText"/>
              <w:spacing w:before="40" w:after="40"/>
              <w:jc w:val="right"/>
              <w:rPr>
                <w:szCs w:val="18"/>
              </w:rPr>
            </w:pPr>
            <w:r w:rsidRPr="00BD16B4">
              <w:rPr>
                <w:szCs w:val="18"/>
              </w:rPr>
              <w:t>1.39</w:t>
            </w:r>
          </w:p>
        </w:tc>
        <w:tc>
          <w:tcPr>
            <w:tcW w:w="964" w:type="dxa"/>
          </w:tcPr>
          <w:p w14:paraId="038CC189" w14:textId="77777777" w:rsidR="00ED2EBD" w:rsidRPr="00BD16B4" w:rsidRDefault="00ED2EBD" w:rsidP="004A205F">
            <w:pPr>
              <w:pStyle w:val="TableText"/>
              <w:spacing w:before="40" w:after="40"/>
              <w:jc w:val="right"/>
              <w:rPr>
                <w:szCs w:val="18"/>
              </w:rPr>
            </w:pPr>
            <w:r w:rsidRPr="00BD16B4">
              <w:rPr>
                <w:szCs w:val="18"/>
              </w:rPr>
              <w:t>1.41</w:t>
            </w:r>
          </w:p>
        </w:tc>
        <w:tc>
          <w:tcPr>
            <w:tcW w:w="964" w:type="dxa"/>
          </w:tcPr>
          <w:p w14:paraId="49E95972" w14:textId="77777777" w:rsidR="00ED2EBD" w:rsidRPr="00BD16B4" w:rsidRDefault="00ED2EBD" w:rsidP="004A205F">
            <w:pPr>
              <w:pStyle w:val="TableText"/>
              <w:spacing w:before="40" w:after="40"/>
              <w:jc w:val="right"/>
              <w:rPr>
                <w:szCs w:val="18"/>
              </w:rPr>
            </w:pPr>
            <w:r w:rsidRPr="00BD16B4">
              <w:rPr>
                <w:szCs w:val="18"/>
              </w:rPr>
              <w:t>1.42</w:t>
            </w:r>
          </w:p>
        </w:tc>
      </w:tr>
    </w:tbl>
    <w:p w14:paraId="1A98F798" w14:textId="77777777" w:rsidR="00ED2EBD" w:rsidRPr="00BD16B4" w:rsidRDefault="00ED2EBD" w:rsidP="00ED2EBD">
      <w:pPr>
        <w:pStyle w:val="BodyText"/>
      </w:pPr>
    </w:p>
    <w:p w14:paraId="32787185" w14:textId="77777777" w:rsidR="00061F5B" w:rsidRPr="00BD16B4" w:rsidRDefault="00061F5B" w:rsidP="00061F5B">
      <w:pPr>
        <w:pStyle w:val="BodyText"/>
        <w:rPr>
          <w:rFonts w:eastAsia="Times New Roman" w:cs="Times New Roman"/>
          <w:sz w:val="20"/>
        </w:rPr>
      </w:pPr>
      <w:r w:rsidRPr="00BD16B4">
        <w:br w:type="page"/>
      </w:r>
    </w:p>
    <w:p w14:paraId="795F3012" w14:textId="2947619C" w:rsidR="00ED2EBD" w:rsidRPr="00BD16B4" w:rsidRDefault="00ED2EBD" w:rsidP="00ED2EBD">
      <w:pPr>
        <w:pStyle w:val="CTFTableheading"/>
      </w:pPr>
      <w:r w:rsidRPr="00BD16B4">
        <w:lastRenderedPageBreak/>
        <w:t>Table A.2:</w:t>
      </w:r>
      <w:r w:rsidRPr="00BD16B4">
        <w:tab/>
        <w:t>Emissions trends (CO</w:t>
      </w:r>
      <w:r w:rsidRPr="00BD16B4">
        <w:rPr>
          <w:vertAlign w:val="subscript"/>
        </w:rPr>
        <w:t>2</w:t>
      </w:r>
      <w:r w:rsidRPr="00BD16B4">
        <w:t>) (CTF Table 1(a)) (part 2 of 3)</w:t>
      </w:r>
    </w:p>
    <w:tbl>
      <w:tblPr>
        <w:tblStyle w:val="MinistryfortheEnvironment"/>
        <w:tblW w:w="14612" w:type="dxa"/>
        <w:tblInd w:w="113" w:type="dxa"/>
        <w:tblCellMar>
          <w:left w:w="85" w:type="dxa"/>
          <w:bottom w:w="0" w:type="dxa"/>
          <w:right w:w="85" w:type="dxa"/>
        </w:tblCellMar>
        <w:tblLook w:val="04A0" w:firstRow="1" w:lastRow="0" w:firstColumn="1" w:lastColumn="0" w:noHBand="0" w:noVBand="1"/>
      </w:tblPr>
      <w:tblGrid>
        <w:gridCol w:w="3539"/>
        <w:gridCol w:w="1006"/>
        <w:gridCol w:w="1006"/>
        <w:gridCol w:w="1006"/>
        <w:gridCol w:w="1006"/>
        <w:gridCol w:w="1007"/>
        <w:gridCol w:w="1007"/>
        <w:gridCol w:w="1007"/>
        <w:gridCol w:w="1007"/>
        <w:gridCol w:w="1007"/>
        <w:gridCol w:w="1007"/>
        <w:gridCol w:w="1007"/>
      </w:tblGrid>
      <w:tr w:rsidR="00ED4F0D" w:rsidRPr="00BD16B4" w14:paraId="752DACE6" w14:textId="77777777" w:rsidTr="004E0E17">
        <w:trPr>
          <w:cnfStyle w:val="100000000000" w:firstRow="1" w:lastRow="0" w:firstColumn="0" w:lastColumn="0" w:oddVBand="0" w:evenVBand="0" w:oddHBand="0" w:evenHBand="0" w:firstRowFirstColumn="0" w:firstRowLastColumn="0" w:lastRowFirstColumn="0" w:lastRowLastColumn="0"/>
          <w:tblHeader/>
        </w:trPr>
        <w:tc>
          <w:tcPr>
            <w:tcW w:w="3539" w:type="dxa"/>
            <w:tcBorders>
              <w:top w:val="single" w:sz="4" w:space="0" w:color="1B556B" w:themeColor="text2"/>
            </w:tcBorders>
            <w:vAlign w:val="bottom"/>
          </w:tcPr>
          <w:p w14:paraId="53C42909" w14:textId="77777777" w:rsidR="00ED2EBD" w:rsidRPr="00BD16B4" w:rsidRDefault="00ED2EBD" w:rsidP="004B6DE3">
            <w:pPr>
              <w:pStyle w:val="TableTextbold"/>
              <w:spacing w:before="40" w:after="40"/>
              <w:rPr>
                <w:rFonts w:cs="Calibri"/>
                <w:b/>
                <w:bCs/>
                <w:szCs w:val="18"/>
              </w:rPr>
            </w:pPr>
            <w:r w:rsidRPr="00BD16B4">
              <w:rPr>
                <w:rFonts w:cs="Calibri"/>
                <w:b/>
                <w:bCs/>
                <w:szCs w:val="18"/>
              </w:rPr>
              <w:t xml:space="preserve">Greenhouse gas source and sink categories </w:t>
            </w:r>
          </w:p>
        </w:tc>
        <w:tc>
          <w:tcPr>
            <w:tcW w:w="1006" w:type="dxa"/>
            <w:tcBorders>
              <w:top w:val="single" w:sz="4" w:space="0" w:color="1B556B" w:themeColor="text2"/>
            </w:tcBorders>
            <w:vAlign w:val="bottom"/>
          </w:tcPr>
          <w:p w14:paraId="276719E9" w14:textId="77777777" w:rsidR="00ED2EBD" w:rsidRPr="00BD16B4" w:rsidRDefault="00ED2EBD" w:rsidP="004B6DE3">
            <w:pPr>
              <w:pStyle w:val="TableTextbold"/>
              <w:spacing w:before="40" w:after="40"/>
              <w:jc w:val="center"/>
              <w:rPr>
                <w:rFonts w:cs="Calibri"/>
                <w:b/>
                <w:bCs/>
                <w:szCs w:val="18"/>
              </w:rPr>
            </w:pPr>
            <w:r w:rsidRPr="00BD16B4">
              <w:rPr>
                <w:rFonts w:cs="Calibri"/>
                <w:b/>
                <w:bCs/>
                <w:szCs w:val="18"/>
              </w:rPr>
              <w:t>1999</w:t>
            </w:r>
            <w:r w:rsidRPr="00BD16B4">
              <w:rPr>
                <w:rFonts w:cs="Calibri"/>
                <w:b/>
                <w:bCs/>
                <w:szCs w:val="18"/>
              </w:rPr>
              <w:br/>
              <w:t>(kt)</w:t>
            </w:r>
          </w:p>
        </w:tc>
        <w:tc>
          <w:tcPr>
            <w:tcW w:w="1006" w:type="dxa"/>
            <w:tcBorders>
              <w:top w:val="single" w:sz="4" w:space="0" w:color="1B556B" w:themeColor="text2"/>
            </w:tcBorders>
            <w:vAlign w:val="bottom"/>
          </w:tcPr>
          <w:p w14:paraId="3959B8BE" w14:textId="77777777" w:rsidR="00ED2EBD" w:rsidRPr="00BD16B4" w:rsidRDefault="00ED2EBD" w:rsidP="004B6DE3">
            <w:pPr>
              <w:pStyle w:val="TableTextbold"/>
              <w:spacing w:before="40" w:after="40"/>
              <w:jc w:val="center"/>
              <w:rPr>
                <w:rFonts w:cs="Calibri"/>
                <w:b/>
                <w:bCs/>
                <w:szCs w:val="18"/>
              </w:rPr>
            </w:pPr>
            <w:r w:rsidRPr="00BD16B4">
              <w:rPr>
                <w:rFonts w:cs="Calibri"/>
                <w:b/>
                <w:bCs/>
                <w:szCs w:val="18"/>
              </w:rPr>
              <w:t>2000</w:t>
            </w:r>
            <w:r w:rsidRPr="00BD16B4">
              <w:rPr>
                <w:rFonts w:cs="Calibri"/>
                <w:b/>
                <w:bCs/>
                <w:szCs w:val="18"/>
              </w:rPr>
              <w:br/>
              <w:t>(kt)</w:t>
            </w:r>
          </w:p>
        </w:tc>
        <w:tc>
          <w:tcPr>
            <w:tcW w:w="1006" w:type="dxa"/>
            <w:tcBorders>
              <w:top w:val="single" w:sz="4" w:space="0" w:color="1B556B" w:themeColor="text2"/>
            </w:tcBorders>
            <w:vAlign w:val="bottom"/>
          </w:tcPr>
          <w:p w14:paraId="4211143C" w14:textId="77777777" w:rsidR="00ED2EBD" w:rsidRPr="00BD16B4" w:rsidRDefault="00ED2EBD" w:rsidP="004B6DE3">
            <w:pPr>
              <w:pStyle w:val="TableTextbold"/>
              <w:spacing w:before="40" w:after="40"/>
              <w:jc w:val="center"/>
              <w:rPr>
                <w:rFonts w:cs="Calibri"/>
                <w:b/>
                <w:bCs/>
                <w:szCs w:val="18"/>
              </w:rPr>
            </w:pPr>
            <w:r w:rsidRPr="00BD16B4">
              <w:rPr>
                <w:rFonts w:cs="Calibri"/>
                <w:b/>
                <w:bCs/>
                <w:szCs w:val="18"/>
              </w:rPr>
              <w:t>2001</w:t>
            </w:r>
            <w:r w:rsidRPr="00BD16B4">
              <w:rPr>
                <w:rFonts w:cs="Calibri"/>
                <w:b/>
                <w:bCs/>
                <w:szCs w:val="18"/>
              </w:rPr>
              <w:br/>
              <w:t>(kt)</w:t>
            </w:r>
          </w:p>
        </w:tc>
        <w:tc>
          <w:tcPr>
            <w:tcW w:w="1006" w:type="dxa"/>
            <w:tcBorders>
              <w:top w:val="single" w:sz="4" w:space="0" w:color="1B556B" w:themeColor="text2"/>
            </w:tcBorders>
            <w:vAlign w:val="bottom"/>
          </w:tcPr>
          <w:p w14:paraId="24421904" w14:textId="77777777" w:rsidR="00ED2EBD" w:rsidRPr="00BD16B4" w:rsidRDefault="00ED2EBD" w:rsidP="004B6DE3">
            <w:pPr>
              <w:pStyle w:val="TableTextbold"/>
              <w:spacing w:before="40" w:after="40"/>
              <w:jc w:val="center"/>
              <w:rPr>
                <w:rFonts w:cs="Calibri"/>
                <w:b/>
                <w:bCs/>
                <w:szCs w:val="18"/>
              </w:rPr>
            </w:pPr>
            <w:r w:rsidRPr="00BD16B4">
              <w:rPr>
                <w:rFonts w:cs="Calibri"/>
                <w:b/>
                <w:bCs/>
                <w:szCs w:val="18"/>
              </w:rPr>
              <w:t>2002</w:t>
            </w:r>
            <w:r w:rsidRPr="00BD16B4">
              <w:rPr>
                <w:rFonts w:cs="Calibri"/>
                <w:b/>
                <w:bCs/>
                <w:szCs w:val="18"/>
              </w:rPr>
              <w:br/>
              <w:t>(kt)</w:t>
            </w:r>
          </w:p>
        </w:tc>
        <w:tc>
          <w:tcPr>
            <w:tcW w:w="1007" w:type="dxa"/>
            <w:tcBorders>
              <w:top w:val="single" w:sz="4" w:space="0" w:color="1B556B" w:themeColor="text2"/>
            </w:tcBorders>
            <w:vAlign w:val="bottom"/>
          </w:tcPr>
          <w:p w14:paraId="16C6726A" w14:textId="77777777" w:rsidR="00ED2EBD" w:rsidRPr="00BD16B4" w:rsidRDefault="00ED2EBD" w:rsidP="004B6DE3">
            <w:pPr>
              <w:pStyle w:val="TableTextbold"/>
              <w:spacing w:before="40" w:after="40"/>
              <w:jc w:val="center"/>
              <w:rPr>
                <w:rFonts w:cs="Calibri"/>
                <w:b/>
                <w:bCs/>
                <w:szCs w:val="18"/>
              </w:rPr>
            </w:pPr>
            <w:r w:rsidRPr="00BD16B4">
              <w:rPr>
                <w:rFonts w:cs="Calibri"/>
                <w:b/>
                <w:bCs/>
                <w:szCs w:val="18"/>
              </w:rPr>
              <w:t>2003</w:t>
            </w:r>
            <w:r w:rsidRPr="00BD16B4">
              <w:rPr>
                <w:rFonts w:cs="Calibri"/>
                <w:b/>
                <w:bCs/>
                <w:szCs w:val="18"/>
              </w:rPr>
              <w:br/>
              <w:t>(kt)</w:t>
            </w:r>
          </w:p>
        </w:tc>
        <w:tc>
          <w:tcPr>
            <w:tcW w:w="1007" w:type="dxa"/>
            <w:tcBorders>
              <w:top w:val="single" w:sz="4" w:space="0" w:color="1B556B" w:themeColor="text2"/>
            </w:tcBorders>
            <w:vAlign w:val="bottom"/>
          </w:tcPr>
          <w:p w14:paraId="56201CAE" w14:textId="77777777" w:rsidR="00ED2EBD" w:rsidRPr="00BD16B4" w:rsidRDefault="00ED2EBD" w:rsidP="004B6DE3">
            <w:pPr>
              <w:pStyle w:val="TableTextbold"/>
              <w:spacing w:before="40" w:after="40"/>
              <w:jc w:val="center"/>
              <w:rPr>
                <w:rFonts w:cs="Calibri"/>
                <w:b/>
                <w:bCs/>
                <w:szCs w:val="18"/>
              </w:rPr>
            </w:pPr>
            <w:r w:rsidRPr="00BD16B4">
              <w:rPr>
                <w:rFonts w:cs="Calibri"/>
                <w:b/>
                <w:bCs/>
                <w:szCs w:val="18"/>
              </w:rPr>
              <w:t>2004</w:t>
            </w:r>
            <w:r w:rsidRPr="00BD16B4">
              <w:rPr>
                <w:rFonts w:cs="Calibri"/>
                <w:b/>
                <w:bCs/>
                <w:szCs w:val="18"/>
              </w:rPr>
              <w:br/>
              <w:t>(kt)</w:t>
            </w:r>
          </w:p>
        </w:tc>
        <w:tc>
          <w:tcPr>
            <w:tcW w:w="1007" w:type="dxa"/>
            <w:tcBorders>
              <w:top w:val="single" w:sz="4" w:space="0" w:color="1B556B" w:themeColor="text2"/>
            </w:tcBorders>
            <w:vAlign w:val="bottom"/>
          </w:tcPr>
          <w:p w14:paraId="28F926B0" w14:textId="77777777" w:rsidR="00ED2EBD" w:rsidRPr="00BD16B4" w:rsidRDefault="00ED2EBD" w:rsidP="004B6DE3">
            <w:pPr>
              <w:pStyle w:val="TableTextbold"/>
              <w:spacing w:before="40" w:after="40"/>
              <w:jc w:val="center"/>
              <w:rPr>
                <w:rFonts w:cs="Calibri"/>
                <w:b/>
                <w:bCs/>
                <w:szCs w:val="18"/>
              </w:rPr>
            </w:pPr>
            <w:r w:rsidRPr="00BD16B4">
              <w:rPr>
                <w:rFonts w:cs="Calibri"/>
                <w:b/>
                <w:bCs/>
                <w:szCs w:val="18"/>
              </w:rPr>
              <w:t>2005</w:t>
            </w:r>
            <w:r w:rsidRPr="00BD16B4">
              <w:rPr>
                <w:rFonts w:cs="Calibri"/>
                <w:b/>
                <w:bCs/>
                <w:szCs w:val="18"/>
              </w:rPr>
              <w:br/>
              <w:t>(kt)</w:t>
            </w:r>
          </w:p>
        </w:tc>
        <w:tc>
          <w:tcPr>
            <w:tcW w:w="1007" w:type="dxa"/>
            <w:tcBorders>
              <w:top w:val="single" w:sz="4" w:space="0" w:color="1B556B" w:themeColor="text2"/>
            </w:tcBorders>
            <w:vAlign w:val="bottom"/>
          </w:tcPr>
          <w:p w14:paraId="794E01DB" w14:textId="77777777" w:rsidR="00ED2EBD" w:rsidRPr="00BD16B4" w:rsidRDefault="00ED2EBD" w:rsidP="004B6DE3">
            <w:pPr>
              <w:pStyle w:val="TableTextbold"/>
              <w:spacing w:before="40" w:after="40"/>
              <w:jc w:val="center"/>
              <w:rPr>
                <w:rFonts w:cs="Calibri"/>
                <w:b/>
                <w:bCs/>
                <w:szCs w:val="18"/>
              </w:rPr>
            </w:pPr>
            <w:r w:rsidRPr="00BD16B4">
              <w:rPr>
                <w:rFonts w:cs="Calibri"/>
                <w:b/>
                <w:bCs/>
                <w:szCs w:val="18"/>
              </w:rPr>
              <w:t>2006</w:t>
            </w:r>
            <w:r w:rsidRPr="00BD16B4">
              <w:rPr>
                <w:rFonts w:cs="Calibri"/>
                <w:b/>
                <w:bCs/>
                <w:szCs w:val="18"/>
              </w:rPr>
              <w:br/>
              <w:t>(kt)</w:t>
            </w:r>
          </w:p>
        </w:tc>
        <w:tc>
          <w:tcPr>
            <w:tcW w:w="1007" w:type="dxa"/>
            <w:tcBorders>
              <w:top w:val="single" w:sz="4" w:space="0" w:color="1B556B" w:themeColor="text2"/>
            </w:tcBorders>
          </w:tcPr>
          <w:p w14:paraId="40AA192F" w14:textId="77777777" w:rsidR="00ED2EBD" w:rsidRPr="00BD16B4" w:rsidRDefault="00ED2EBD" w:rsidP="004B6DE3">
            <w:pPr>
              <w:pStyle w:val="TableTextbold"/>
              <w:spacing w:before="40" w:after="40"/>
              <w:jc w:val="center"/>
              <w:rPr>
                <w:rFonts w:cs="Calibri"/>
                <w:b/>
                <w:bCs/>
                <w:szCs w:val="18"/>
              </w:rPr>
            </w:pPr>
            <w:r w:rsidRPr="00BD16B4">
              <w:rPr>
                <w:rFonts w:cs="Calibri"/>
                <w:b/>
                <w:bCs/>
                <w:szCs w:val="18"/>
              </w:rPr>
              <w:t>2007</w:t>
            </w:r>
            <w:r w:rsidRPr="00BD16B4">
              <w:rPr>
                <w:rFonts w:cs="Calibri"/>
                <w:b/>
                <w:bCs/>
                <w:szCs w:val="18"/>
              </w:rPr>
              <w:br/>
              <w:t>(kt)</w:t>
            </w:r>
          </w:p>
        </w:tc>
        <w:tc>
          <w:tcPr>
            <w:tcW w:w="1007" w:type="dxa"/>
            <w:tcBorders>
              <w:top w:val="single" w:sz="4" w:space="0" w:color="1B556B" w:themeColor="text2"/>
            </w:tcBorders>
          </w:tcPr>
          <w:p w14:paraId="5894E5D5" w14:textId="77777777" w:rsidR="00ED2EBD" w:rsidRPr="00BD16B4" w:rsidRDefault="00ED2EBD" w:rsidP="004B6DE3">
            <w:pPr>
              <w:pStyle w:val="TableTextbold"/>
              <w:spacing w:before="40" w:after="40"/>
              <w:jc w:val="center"/>
              <w:rPr>
                <w:rFonts w:cs="Calibri"/>
                <w:b/>
                <w:bCs/>
                <w:szCs w:val="18"/>
              </w:rPr>
            </w:pPr>
            <w:r w:rsidRPr="00BD16B4">
              <w:rPr>
                <w:rFonts w:cs="Calibri"/>
                <w:b/>
                <w:bCs/>
                <w:szCs w:val="18"/>
              </w:rPr>
              <w:t>2008</w:t>
            </w:r>
            <w:r w:rsidRPr="00BD16B4">
              <w:rPr>
                <w:rFonts w:cs="Calibri"/>
                <w:b/>
                <w:bCs/>
                <w:szCs w:val="18"/>
              </w:rPr>
              <w:br/>
              <w:t>(kt)</w:t>
            </w:r>
          </w:p>
        </w:tc>
        <w:tc>
          <w:tcPr>
            <w:tcW w:w="1007" w:type="dxa"/>
            <w:tcBorders>
              <w:top w:val="single" w:sz="4" w:space="0" w:color="1B556B" w:themeColor="text2"/>
            </w:tcBorders>
          </w:tcPr>
          <w:p w14:paraId="6341FA56" w14:textId="77777777" w:rsidR="00ED2EBD" w:rsidRPr="00BD16B4" w:rsidRDefault="00ED2EBD" w:rsidP="004B6DE3">
            <w:pPr>
              <w:pStyle w:val="TableTextbold"/>
              <w:spacing w:before="40" w:after="40"/>
              <w:jc w:val="center"/>
              <w:rPr>
                <w:rFonts w:cs="Calibri"/>
                <w:b/>
                <w:bCs/>
                <w:szCs w:val="18"/>
              </w:rPr>
            </w:pPr>
            <w:r w:rsidRPr="00BD16B4">
              <w:rPr>
                <w:rFonts w:cs="Calibri"/>
                <w:b/>
                <w:bCs/>
                <w:szCs w:val="18"/>
              </w:rPr>
              <w:t>2009</w:t>
            </w:r>
            <w:r w:rsidRPr="00BD16B4">
              <w:rPr>
                <w:rFonts w:cs="Calibri"/>
                <w:b/>
                <w:bCs/>
                <w:szCs w:val="18"/>
              </w:rPr>
              <w:br/>
              <w:t>(kt)</w:t>
            </w:r>
          </w:p>
        </w:tc>
      </w:tr>
      <w:tr w:rsidR="006446D5" w:rsidRPr="00BD16B4" w14:paraId="11176385" w14:textId="77777777" w:rsidTr="00061F5B">
        <w:tc>
          <w:tcPr>
            <w:tcW w:w="3539" w:type="dxa"/>
          </w:tcPr>
          <w:p w14:paraId="744EF6D4" w14:textId="77777777" w:rsidR="00ED2EBD" w:rsidRPr="00BD16B4" w:rsidRDefault="00ED2EBD" w:rsidP="004B6DE3">
            <w:pPr>
              <w:pStyle w:val="TableText"/>
              <w:spacing w:before="40" w:after="40"/>
              <w:rPr>
                <w:rFonts w:cs="Calibri"/>
                <w:szCs w:val="18"/>
              </w:rPr>
            </w:pPr>
            <w:r w:rsidRPr="00BD16B4">
              <w:rPr>
                <w:rFonts w:cs="Calibri"/>
                <w:b/>
                <w:bCs/>
                <w:szCs w:val="18"/>
              </w:rPr>
              <w:t>1. Energy</w:t>
            </w:r>
          </w:p>
        </w:tc>
        <w:tc>
          <w:tcPr>
            <w:tcW w:w="1006" w:type="dxa"/>
          </w:tcPr>
          <w:p w14:paraId="146005D9" w14:textId="77777777" w:rsidR="00ED2EBD" w:rsidRPr="00BD16B4" w:rsidRDefault="00ED2EBD" w:rsidP="004B6DE3">
            <w:pPr>
              <w:pStyle w:val="TableText"/>
              <w:spacing w:before="40" w:after="40"/>
              <w:jc w:val="right"/>
              <w:rPr>
                <w:rFonts w:cs="Calibri"/>
                <w:szCs w:val="18"/>
              </w:rPr>
            </w:pPr>
            <w:r w:rsidRPr="00BD16B4">
              <w:rPr>
                <w:rFonts w:cs="Calibri"/>
                <w:szCs w:val="18"/>
              </w:rPr>
              <w:t>27,619.96</w:t>
            </w:r>
          </w:p>
        </w:tc>
        <w:tc>
          <w:tcPr>
            <w:tcW w:w="1006" w:type="dxa"/>
          </w:tcPr>
          <w:p w14:paraId="42CD1FC9" w14:textId="77777777" w:rsidR="00ED2EBD" w:rsidRPr="00BD16B4" w:rsidRDefault="00ED2EBD" w:rsidP="004B6DE3">
            <w:pPr>
              <w:pStyle w:val="TableText"/>
              <w:spacing w:before="40" w:after="40"/>
              <w:jc w:val="right"/>
              <w:rPr>
                <w:rFonts w:cs="Calibri"/>
                <w:szCs w:val="18"/>
              </w:rPr>
            </w:pPr>
            <w:r w:rsidRPr="00BD16B4">
              <w:rPr>
                <w:rFonts w:cs="Calibri"/>
                <w:szCs w:val="18"/>
              </w:rPr>
              <w:t>28,381.57</w:t>
            </w:r>
          </w:p>
        </w:tc>
        <w:tc>
          <w:tcPr>
            <w:tcW w:w="1006" w:type="dxa"/>
          </w:tcPr>
          <w:p w14:paraId="52494693" w14:textId="77777777" w:rsidR="00ED2EBD" w:rsidRPr="00BD16B4" w:rsidRDefault="00ED2EBD" w:rsidP="004B6DE3">
            <w:pPr>
              <w:pStyle w:val="TableText"/>
              <w:spacing w:before="40" w:after="40"/>
              <w:jc w:val="right"/>
              <w:rPr>
                <w:rFonts w:cs="Calibri"/>
                <w:szCs w:val="18"/>
              </w:rPr>
            </w:pPr>
            <w:r w:rsidRPr="00BD16B4">
              <w:rPr>
                <w:rFonts w:cs="Calibri"/>
                <w:szCs w:val="18"/>
              </w:rPr>
              <w:t>30,350.58</w:t>
            </w:r>
          </w:p>
        </w:tc>
        <w:tc>
          <w:tcPr>
            <w:tcW w:w="1006" w:type="dxa"/>
          </w:tcPr>
          <w:p w14:paraId="60254619" w14:textId="77777777" w:rsidR="00ED2EBD" w:rsidRPr="00BD16B4" w:rsidRDefault="00ED2EBD" w:rsidP="004B6DE3">
            <w:pPr>
              <w:pStyle w:val="TableText"/>
              <w:spacing w:before="40" w:after="40"/>
              <w:jc w:val="right"/>
              <w:rPr>
                <w:rFonts w:cs="Calibri"/>
                <w:szCs w:val="18"/>
              </w:rPr>
            </w:pPr>
            <w:r w:rsidRPr="00BD16B4">
              <w:rPr>
                <w:rFonts w:cs="Calibri"/>
                <w:szCs w:val="18"/>
              </w:rPr>
              <w:t>30,390.50</w:t>
            </w:r>
          </w:p>
        </w:tc>
        <w:tc>
          <w:tcPr>
            <w:tcW w:w="1007" w:type="dxa"/>
          </w:tcPr>
          <w:p w14:paraId="10FF1EFA" w14:textId="77777777" w:rsidR="00ED2EBD" w:rsidRPr="00BD16B4" w:rsidRDefault="00ED2EBD" w:rsidP="004B6DE3">
            <w:pPr>
              <w:pStyle w:val="TableText"/>
              <w:spacing w:before="40" w:after="40"/>
              <w:jc w:val="right"/>
              <w:rPr>
                <w:rFonts w:cs="Calibri"/>
                <w:szCs w:val="18"/>
              </w:rPr>
            </w:pPr>
            <w:r w:rsidRPr="00BD16B4">
              <w:rPr>
                <w:rFonts w:cs="Calibri"/>
                <w:szCs w:val="18"/>
              </w:rPr>
              <w:t>31,961.87</w:t>
            </w:r>
          </w:p>
        </w:tc>
        <w:tc>
          <w:tcPr>
            <w:tcW w:w="1007" w:type="dxa"/>
          </w:tcPr>
          <w:p w14:paraId="265413E5" w14:textId="77777777" w:rsidR="00ED2EBD" w:rsidRPr="00BD16B4" w:rsidRDefault="00ED2EBD" w:rsidP="004B6DE3">
            <w:pPr>
              <w:pStyle w:val="TableText"/>
              <w:spacing w:before="40" w:after="40"/>
              <w:jc w:val="right"/>
              <w:rPr>
                <w:rFonts w:cs="Calibri"/>
                <w:szCs w:val="18"/>
              </w:rPr>
            </w:pPr>
            <w:r w:rsidRPr="00BD16B4">
              <w:rPr>
                <w:rFonts w:cs="Calibri"/>
                <w:szCs w:val="18"/>
              </w:rPr>
              <w:t>31,571.68</w:t>
            </w:r>
          </w:p>
        </w:tc>
        <w:tc>
          <w:tcPr>
            <w:tcW w:w="1007" w:type="dxa"/>
          </w:tcPr>
          <w:p w14:paraId="028BFF14" w14:textId="77777777" w:rsidR="00ED2EBD" w:rsidRPr="00BD16B4" w:rsidRDefault="00ED2EBD" w:rsidP="004B6DE3">
            <w:pPr>
              <w:pStyle w:val="TableText"/>
              <w:spacing w:before="40" w:after="40"/>
              <w:jc w:val="right"/>
              <w:rPr>
                <w:rFonts w:cs="Calibri"/>
                <w:szCs w:val="18"/>
              </w:rPr>
            </w:pPr>
            <w:r w:rsidRPr="00BD16B4">
              <w:rPr>
                <w:rFonts w:cs="Calibri"/>
                <w:szCs w:val="18"/>
              </w:rPr>
              <w:t>33,029.43</w:t>
            </w:r>
          </w:p>
        </w:tc>
        <w:tc>
          <w:tcPr>
            <w:tcW w:w="1007" w:type="dxa"/>
          </w:tcPr>
          <w:p w14:paraId="4FC54F4C" w14:textId="77777777" w:rsidR="00ED2EBD" w:rsidRPr="00BD16B4" w:rsidRDefault="00ED2EBD" w:rsidP="004B6DE3">
            <w:pPr>
              <w:pStyle w:val="TableText"/>
              <w:spacing w:before="40" w:after="40"/>
              <w:jc w:val="right"/>
              <w:rPr>
                <w:rFonts w:cs="Calibri"/>
                <w:szCs w:val="18"/>
              </w:rPr>
            </w:pPr>
            <w:r w:rsidRPr="00BD16B4">
              <w:rPr>
                <w:rFonts w:cs="Calibri"/>
                <w:szCs w:val="18"/>
              </w:rPr>
              <w:t>33,098.46</w:t>
            </w:r>
          </w:p>
        </w:tc>
        <w:tc>
          <w:tcPr>
            <w:tcW w:w="1007" w:type="dxa"/>
          </w:tcPr>
          <w:p w14:paraId="5F7FF6D1" w14:textId="77777777" w:rsidR="00ED2EBD" w:rsidRPr="00BD16B4" w:rsidRDefault="00ED2EBD" w:rsidP="004B6DE3">
            <w:pPr>
              <w:pStyle w:val="TableText"/>
              <w:spacing w:before="40" w:after="40"/>
              <w:jc w:val="right"/>
              <w:rPr>
                <w:rFonts w:cs="Calibri"/>
                <w:szCs w:val="18"/>
              </w:rPr>
            </w:pPr>
            <w:r w:rsidRPr="00BD16B4">
              <w:rPr>
                <w:rFonts w:cs="Calibri"/>
                <w:szCs w:val="18"/>
              </w:rPr>
              <w:t>31,920.63</w:t>
            </w:r>
          </w:p>
        </w:tc>
        <w:tc>
          <w:tcPr>
            <w:tcW w:w="1007" w:type="dxa"/>
          </w:tcPr>
          <w:p w14:paraId="4B2CA976" w14:textId="77777777" w:rsidR="00ED2EBD" w:rsidRPr="00BD16B4" w:rsidRDefault="00ED2EBD" w:rsidP="004B6DE3">
            <w:pPr>
              <w:pStyle w:val="TableText"/>
              <w:spacing w:before="40" w:after="40"/>
              <w:jc w:val="right"/>
              <w:rPr>
                <w:rFonts w:cs="Calibri"/>
                <w:szCs w:val="18"/>
              </w:rPr>
            </w:pPr>
            <w:r w:rsidRPr="00BD16B4">
              <w:rPr>
                <w:rFonts w:cs="Calibri"/>
                <w:szCs w:val="18"/>
              </w:rPr>
              <w:t>33,295.23</w:t>
            </w:r>
          </w:p>
        </w:tc>
        <w:tc>
          <w:tcPr>
            <w:tcW w:w="1007" w:type="dxa"/>
          </w:tcPr>
          <w:p w14:paraId="0B6DDF2C" w14:textId="77777777" w:rsidR="00ED2EBD" w:rsidRPr="00BD16B4" w:rsidRDefault="00ED2EBD" w:rsidP="004B6DE3">
            <w:pPr>
              <w:pStyle w:val="TableText"/>
              <w:spacing w:before="40" w:after="40"/>
              <w:jc w:val="right"/>
              <w:rPr>
                <w:rFonts w:cs="Calibri"/>
                <w:szCs w:val="18"/>
              </w:rPr>
            </w:pPr>
            <w:r w:rsidRPr="00BD16B4">
              <w:rPr>
                <w:rFonts w:cs="Calibri"/>
                <w:szCs w:val="18"/>
              </w:rPr>
              <w:t>30,522.36</w:t>
            </w:r>
          </w:p>
        </w:tc>
      </w:tr>
      <w:tr w:rsidR="006446D5" w:rsidRPr="00BD16B4" w14:paraId="34462DC4" w14:textId="77777777" w:rsidTr="00061F5B">
        <w:tc>
          <w:tcPr>
            <w:tcW w:w="3539" w:type="dxa"/>
          </w:tcPr>
          <w:p w14:paraId="49519233" w14:textId="77777777" w:rsidR="00ED2EBD" w:rsidRPr="00BD16B4" w:rsidRDefault="00ED2EBD" w:rsidP="004B6DE3">
            <w:pPr>
              <w:pStyle w:val="TableText"/>
              <w:spacing w:before="40" w:after="40"/>
              <w:rPr>
                <w:rFonts w:cs="Calibri"/>
                <w:szCs w:val="18"/>
              </w:rPr>
            </w:pPr>
            <w:r w:rsidRPr="00BD16B4">
              <w:rPr>
                <w:rFonts w:cs="Calibri"/>
                <w:szCs w:val="18"/>
              </w:rPr>
              <w:t>A. Fuel combustion (sectoral approach)</w:t>
            </w:r>
          </w:p>
        </w:tc>
        <w:tc>
          <w:tcPr>
            <w:tcW w:w="1006" w:type="dxa"/>
          </w:tcPr>
          <w:p w14:paraId="596280CC" w14:textId="77777777" w:rsidR="00ED2EBD" w:rsidRPr="00BD16B4" w:rsidRDefault="00ED2EBD" w:rsidP="004B6DE3">
            <w:pPr>
              <w:pStyle w:val="TableText"/>
              <w:spacing w:before="40" w:after="40"/>
              <w:jc w:val="right"/>
              <w:rPr>
                <w:rFonts w:cs="Calibri"/>
                <w:szCs w:val="18"/>
              </w:rPr>
            </w:pPr>
            <w:r w:rsidRPr="00BD16B4">
              <w:rPr>
                <w:rFonts w:cs="Calibri"/>
                <w:szCs w:val="18"/>
              </w:rPr>
              <w:t>27,003.80</w:t>
            </w:r>
          </w:p>
        </w:tc>
        <w:tc>
          <w:tcPr>
            <w:tcW w:w="1006" w:type="dxa"/>
          </w:tcPr>
          <w:p w14:paraId="32F3FCE2" w14:textId="77777777" w:rsidR="00ED2EBD" w:rsidRPr="00BD16B4" w:rsidRDefault="00ED2EBD" w:rsidP="004B6DE3">
            <w:pPr>
              <w:pStyle w:val="TableText"/>
              <w:spacing w:before="40" w:after="40"/>
              <w:jc w:val="right"/>
              <w:rPr>
                <w:rFonts w:cs="Calibri"/>
                <w:szCs w:val="18"/>
              </w:rPr>
            </w:pPr>
            <w:r w:rsidRPr="00BD16B4">
              <w:rPr>
                <w:rFonts w:cs="Calibri"/>
                <w:szCs w:val="18"/>
              </w:rPr>
              <w:t>27,788.31</w:t>
            </w:r>
          </w:p>
        </w:tc>
        <w:tc>
          <w:tcPr>
            <w:tcW w:w="1006" w:type="dxa"/>
          </w:tcPr>
          <w:p w14:paraId="55393DB8" w14:textId="77777777" w:rsidR="00ED2EBD" w:rsidRPr="00BD16B4" w:rsidRDefault="00ED2EBD" w:rsidP="004B6DE3">
            <w:pPr>
              <w:pStyle w:val="TableText"/>
              <w:spacing w:before="40" w:after="40"/>
              <w:jc w:val="right"/>
              <w:rPr>
                <w:rFonts w:cs="Calibri"/>
                <w:szCs w:val="18"/>
              </w:rPr>
            </w:pPr>
            <w:r w:rsidRPr="00BD16B4">
              <w:rPr>
                <w:rFonts w:cs="Calibri"/>
                <w:szCs w:val="18"/>
              </w:rPr>
              <w:t>29,737.66</w:t>
            </w:r>
          </w:p>
        </w:tc>
        <w:tc>
          <w:tcPr>
            <w:tcW w:w="1006" w:type="dxa"/>
          </w:tcPr>
          <w:p w14:paraId="1001B0F6" w14:textId="77777777" w:rsidR="00ED2EBD" w:rsidRPr="00BD16B4" w:rsidRDefault="00ED2EBD" w:rsidP="004B6DE3">
            <w:pPr>
              <w:pStyle w:val="TableText"/>
              <w:spacing w:before="40" w:after="40"/>
              <w:jc w:val="right"/>
              <w:rPr>
                <w:rFonts w:cs="Calibri"/>
                <w:szCs w:val="18"/>
              </w:rPr>
            </w:pPr>
            <w:r w:rsidRPr="00BD16B4">
              <w:rPr>
                <w:rFonts w:cs="Calibri"/>
                <w:szCs w:val="18"/>
              </w:rPr>
              <w:t>29,803.51</w:t>
            </w:r>
          </w:p>
        </w:tc>
        <w:tc>
          <w:tcPr>
            <w:tcW w:w="1007" w:type="dxa"/>
          </w:tcPr>
          <w:p w14:paraId="2BEE7D2C" w14:textId="77777777" w:rsidR="00ED2EBD" w:rsidRPr="00BD16B4" w:rsidRDefault="00ED2EBD" w:rsidP="004B6DE3">
            <w:pPr>
              <w:pStyle w:val="TableText"/>
              <w:spacing w:before="40" w:after="40"/>
              <w:jc w:val="right"/>
              <w:rPr>
                <w:rFonts w:cs="Calibri"/>
                <w:szCs w:val="18"/>
              </w:rPr>
            </w:pPr>
            <w:r w:rsidRPr="00BD16B4">
              <w:rPr>
                <w:rFonts w:cs="Calibri"/>
                <w:szCs w:val="18"/>
              </w:rPr>
              <w:t>31,350.65</w:t>
            </w:r>
          </w:p>
        </w:tc>
        <w:tc>
          <w:tcPr>
            <w:tcW w:w="1007" w:type="dxa"/>
          </w:tcPr>
          <w:p w14:paraId="7744D679" w14:textId="77777777" w:rsidR="00ED2EBD" w:rsidRPr="00BD16B4" w:rsidRDefault="00ED2EBD" w:rsidP="004B6DE3">
            <w:pPr>
              <w:pStyle w:val="TableText"/>
              <w:spacing w:before="40" w:after="40"/>
              <w:jc w:val="right"/>
              <w:rPr>
                <w:rFonts w:cs="Calibri"/>
                <w:szCs w:val="18"/>
              </w:rPr>
            </w:pPr>
            <w:r w:rsidRPr="00BD16B4">
              <w:rPr>
                <w:rFonts w:cs="Calibri"/>
                <w:szCs w:val="18"/>
              </w:rPr>
              <w:t>30,708.36</w:t>
            </w:r>
          </w:p>
        </w:tc>
        <w:tc>
          <w:tcPr>
            <w:tcW w:w="1007" w:type="dxa"/>
          </w:tcPr>
          <w:p w14:paraId="26E4E9D4" w14:textId="77777777" w:rsidR="00ED2EBD" w:rsidRPr="00BD16B4" w:rsidRDefault="00ED2EBD" w:rsidP="004B6DE3">
            <w:pPr>
              <w:pStyle w:val="TableText"/>
              <w:spacing w:before="40" w:after="40"/>
              <w:jc w:val="right"/>
              <w:rPr>
                <w:rFonts w:cs="Calibri"/>
                <w:szCs w:val="18"/>
              </w:rPr>
            </w:pPr>
            <w:r w:rsidRPr="00BD16B4">
              <w:rPr>
                <w:rFonts w:cs="Calibri"/>
                <w:szCs w:val="18"/>
              </w:rPr>
              <w:t>32,120.18</w:t>
            </w:r>
          </w:p>
        </w:tc>
        <w:tc>
          <w:tcPr>
            <w:tcW w:w="1007" w:type="dxa"/>
          </w:tcPr>
          <w:p w14:paraId="36EB25E2" w14:textId="77777777" w:rsidR="00ED2EBD" w:rsidRPr="00BD16B4" w:rsidRDefault="00ED2EBD" w:rsidP="004B6DE3">
            <w:pPr>
              <w:pStyle w:val="TableText"/>
              <w:spacing w:before="40" w:after="40"/>
              <w:jc w:val="right"/>
              <w:rPr>
                <w:rFonts w:cs="Calibri"/>
                <w:szCs w:val="18"/>
              </w:rPr>
            </w:pPr>
            <w:r w:rsidRPr="00BD16B4">
              <w:rPr>
                <w:rFonts w:cs="Calibri"/>
                <w:szCs w:val="18"/>
              </w:rPr>
              <w:t>32,139.58</w:t>
            </w:r>
          </w:p>
        </w:tc>
        <w:tc>
          <w:tcPr>
            <w:tcW w:w="1007" w:type="dxa"/>
          </w:tcPr>
          <w:p w14:paraId="76192DF5" w14:textId="77777777" w:rsidR="00ED2EBD" w:rsidRPr="00BD16B4" w:rsidRDefault="00ED2EBD" w:rsidP="004B6DE3">
            <w:pPr>
              <w:pStyle w:val="TableText"/>
              <w:spacing w:before="40" w:after="40"/>
              <w:jc w:val="right"/>
              <w:rPr>
                <w:rFonts w:cs="Calibri"/>
                <w:szCs w:val="18"/>
              </w:rPr>
            </w:pPr>
            <w:r w:rsidRPr="00BD16B4">
              <w:rPr>
                <w:rFonts w:cs="Calibri"/>
                <w:szCs w:val="18"/>
              </w:rPr>
              <w:t>30,899.30</w:t>
            </w:r>
          </w:p>
        </w:tc>
        <w:tc>
          <w:tcPr>
            <w:tcW w:w="1007" w:type="dxa"/>
          </w:tcPr>
          <w:p w14:paraId="3F050E8F" w14:textId="77777777" w:rsidR="00ED2EBD" w:rsidRPr="00BD16B4" w:rsidRDefault="00ED2EBD" w:rsidP="004B6DE3">
            <w:pPr>
              <w:pStyle w:val="TableText"/>
              <w:spacing w:before="40" w:after="40"/>
              <w:jc w:val="right"/>
              <w:rPr>
                <w:rFonts w:cs="Calibri"/>
                <w:szCs w:val="18"/>
              </w:rPr>
            </w:pPr>
            <w:r w:rsidRPr="00BD16B4">
              <w:rPr>
                <w:rFonts w:cs="Calibri"/>
                <w:szCs w:val="18"/>
              </w:rPr>
              <w:t>32,053.05</w:t>
            </w:r>
          </w:p>
        </w:tc>
        <w:tc>
          <w:tcPr>
            <w:tcW w:w="1007" w:type="dxa"/>
          </w:tcPr>
          <w:p w14:paraId="400C55D9" w14:textId="77777777" w:rsidR="00ED2EBD" w:rsidRPr="00BD16B4" w:rsidRDefault="00ED2EBD" w:rsidP="004B6DE3">
            <w:pPr>
              <w:pStyle w:val="TableText"/>
              <w:spacing w:before="40" w:after="40"/>
              <w:jc w:val="right"/>
              <w:rPr>
                <w:rFonts w:cs="Calibri"/>
                <w:szCs w:val="18"/>
              </w:rPr>
            </w:pPr>
            <w:r w:rsidRPr="00BD16B4">
              <w:rPr>
                <w:rFonts w:cs="Calibri"/>
                <w:szCs w:val="18"/>
              </w:rPr>
              <w:t>29,155.62</w:t>
            </w:r>
          </w:p>
        </w:tc>
      </w:tr>
      <w:tr w:rsidR="006446D5" w:rsidRPr="00BD16B4" w14:paraId="4253440B" w14:textId="77777777" w:rsidTr="00061F5B">
        <w:tc>
          <w:tcPr>
            <w:tcW w:w="3539" w:type="dxa"/>
          </w:tcPr>
          <w:p w14:paraId="03567A12" w14:textId="6AB6E3C3" w:rsidR="00ED2EBD" w:rsidRPr="00BD16B4" w:rsidRDefault="00ED2EBD" w:rsidP="004B6DE3">
            <w:pPr>
              <w:pStyle w:val="TableText"/>
              <w:spacing w:before="40" w:after="40"/>
              <w:ind w:left="454" w:hanging="227"/>
              <w:rPr>
                <w:rFonts w:cs="Calibri"/>
                <w:szCs w:val="18"/>
              </w:rPr>
            </w:pPr>
            <w:r w:rsidRPr="00BD16B4">
              <w:rPr>
                <w:rFonts w:cs="Calibri"/>
                <w:szCs w:val="18"/>
              </w:rPr>
              <w:t>1.</w:t>
            </w:r>
            <w:r w:rsidR="00280979" w:rsidRPr="00BD16B4">
              <w:rPr>
                <w:rFonts w:cs="Calibri"/>
                <w:szCs w:val="18"/>
              </w:rPr>
              <w:t xml:space="preserve"> </w:t>
            </w:r>
            <w:r w:rsidR="00626537" w:rsidRPr="00BD16B4">
              <w:rPr>
                <w:rFonts w:cs="Calibri"/>
                <w:szCs w:val="18"/>
              </w:rPr>
              <w:tab/>
            </w:r>
            <w:r w:rsidRPr="00BD16B4">
              <w:rPr>
                <w:rFonts w:cs="Calibri"/>
                <w:szCs w:val="18"/>
              </w:rPr>
              <w:t>Energy industries</w:t>
            </w:r>
          </w:p>
        </w:tc>
        <w:tc>
          <w:tcPr>
            <w:tcW w:w="1006" w:type="dxa"/>
          </w:tcPr>
          <w:p w14:paraId="2795AB0E" w14:textId="77777777" w:rsidR="00ED2EBD" w:rsidRPr="00BD16B4" w:rsidRDefault="00ED2EBD" w:rsidP="004B6DE3">
            <w:pPr>
              <w:pStyle w:val="TableText"/>
              <w:spacing w:before="40" w:after="40"/>
              <w:jc w:val="right"/>
              <w:rPr>
                <w:rFonts w:cs="Calibri"/>
                <w:szCs w:val="18"/>
              </w:rPr>
            </w:pPr>
            <w:r w:rsidRPr="00BD16B4">
              <w:rPr>
                <w:rFonts w:cs="Calibri"/>
                <w:szCs w:val="18"/>
              </w:rPr>
              <w:t>6,743.71</w:t>
            </w:r>
          </w:p>
        </w:tc>
        <w:tc>
          <w:tcPr>
            <w:tcW w:w="1006" w:type="dxa"/>
          </w:tcPr>
          <w:p w14:paraId="33CFF980" w14:textId="77777777" w:rsidR="00ED2EBD" w:rsidRPr="00BD16B4" w:rsidRDefault="00ED2EBD" w:rsidP="004B6DE3">
            <w:pPr>
              <w:pStyle w:val="TableText"/>
              <w:spacing w:before="40" w:after="40"/>
              <w:jc w:val="right"/>
              <w:rPr>
                <w:rFonts w:cs="Calibri"/>
                <w:szCs w:val="18"/>
              </w:rPr>
            </w:pPr>
            <w:r w:rsidRPr="00BD16B4">
              <w:rPr>
                <w:rFonts w:cs="Calibri"/>
                <w:szCs w:val="18"/>
              </w:rPr>
              <w:t>6,385.09</w:t>
            </w:r>
          </w:p>
        </w:tc>
        <w:tc>
          <w:tcPr>
            <w:tcW w:w="1006" w:type="dxa"/>
          </w:tcPr>
          <w:p w14:paraId="4CA36CEE" w14:textId="77777777" w:rsidR="00ED2EBD" w:rsidRPr="00BD16B4" w:rsidRDefault="00ED2EBD" w:rsidP="004B6DE3">
            <w:pPr>
              <w:pStyle w:val="TableText"/>
              <w:spacing w:before="40" w:after="40"/>
              <w:jc w:val="right"/>
              <w:rPr>
                <w:rFonts w:cs="Calibri"/>
                <w:szCs w:val="18"/>
              </w:rPr>
            </w:pPr>
            <w:r w:rsidRPr="00BD16B4">
              <w:rPr>
                <w:rFonts w:cs="Calibri"/>
                <w:szCs w:val="18"/>
              </w:rPr>
              <w:t>7,871.10</w:t>
            </w:r>
          </w:p>
        </w:tc>
        <w:tc>
          <w:tcPr>
            <w:tcW w:w="1006" w:type="dxa"/>
          </w:tcPr>
          <w:p w14:paraId="3496C09A" w14:textId="77777777" w:rsidR="00ED2EBD" w:rsidRPr="00BD16B4" w:rsidRDefault="00ED2EBD" w:rsidP="004B6DE3">
            <w:pPr>
              <w:pStyle w:val="TableText"/>
              <w:spacing w:before="40" w:after="40"/>
              <w:jc w:val="right"/>
              <w:rPr>
                <w:rFonts w:cs="Calibri"/>
                <w:szCs w:val="18"/>
              </w:rPr>
            </w:pPr>
            <w:r w:rsidRPr="00BD16B4">
              <w:rPr>
                <w:rFonts w:cs="Calibri"/>
                <w:szCs w:val="18"/>
              </w:rPr>
              <w:t>7,088.55</w:t>
            </w:r>
          </w:p>
        </w:tc>
        <w:tc>
          <w:tcPr>
            <w:tcW w:w="1007" w:type="dxa"/>
          </w:tcPr>
          <w:p w14:paraId="16679B21" w14:textId="77777777" w:rsidR="00ED2EBD" w:rsidRPr="00BD16B4" w:rsidRDefault="00ED2EBD" w:rsidP="004B6DE3">
            <w:pPr>
              <w:pStyle w:val="TableText"/>
              <w:spacing w:before="40" w:after="40"/>
              <w:jc w:val="right"/>
              <w:rPr>
                <w:rFonts w:cs="Calibri"/>
                <w:szCs w:val="18"/>
              </w:rPr>
            </w:pPr>
            <w:r w:rsidRPr="00BD16B4">
              <w:rPr>
                <w:rFonts w:cs="Calibri"/>
                <w:szCs w:val="18"/>
              </w:rPr>
              <w:t>8,408.32</w:t>
            </w:r>
          </w:p>
        </w:tc>
        <w:tc>
          <w:tcPr>
            <w:tcW w:w="1007" w:type="dxa"/>
          </w:tcPr>
          <w:p w14:paraId="1FB709E5" w14:textId="77777777" w:rsidR="00ED2EBD" w:rsidRPr="00BD16B4" w:rsidRDefault="00ED2EBD" w:rsidP="004B6DE3">
            <w:pPr>
              <w:pStyle w:val="TableText"/>
              <w:spacing w:before="40" w:after="40"/>
              <w:jc w:val="right"/>
              <w:rPr>
                <w:rFonts w:cs="Calibri"/>
                <w:szCs w:val="18"/>
              </w:rPr>
            </w:pPr>
            <w:r w:rsidRPr="00BD16B4">
              <w:rPr>
                <w:rFonts w:cs="Calibri"/>
                <w:szCs w:val="18"/>
              </w:rPr>
              <w:t>8,015.66</w:t>
            </w:r>
          </w:p>
        </w:tc>
        <w:tc>
          <w:tcPr>
            <w:tcW w:w="1007" w:type="dxa"/>
          </w:tcPr>
          <w:p w14:paraId="4C0365EA" w14:textId="77777777" w:rsidR="00ED2EBD" w:rsidRPr="00BD16B4" w:rsidRDefault="00ED2EBD" w:rsidP="004B6DE3">
            <w:pPr>
              <w:pStyle w:val="TableText"/>
              <w:spacing w:before="40" w:after="40"/>
              <w:jc w:val="right"/>
              <w:rPr>
                <w:rFonts w:cs="Calibri"/>
                <w:szCs w:val="18"/>
              </w:rPr>
            </w:pPr>
            <w:r w:rsidRPr="00BD16B4">
              <w:rPr>
                <w:rFonts w:cs="Calibri"/>
                <w:szCs w:val="18"/>
              </w:rPr>
              <w:t>10,055.84</w:t>
            </w:r>
          </w:p>
        </w:tc>
        <w:tc>
          <w:tcPr>
            <w:tcW w:w="1007" w:type="dxa"/>
          </w:tcPr>
          <w:p w14:paraId="3969A60A" w14:textId="77777777" w:rsidR="00ED2EBD" w:rsidRPr="00BD16B4" w:rsidRDefault="00ED2EBD" w:rsidP="004B6DE3">
            <w:pPr>
              <w:pStyle w:val="TableText"/>
              <w:spacing w:before="40" w:after="40"/>
              <w:jc w:val="right"/>
              <w:rPr>
                <w:rFonts w:cs="Calibri"/>
                <w:szCs w:val="18"/>
              </w:rPr>
            </w:pPr>
            <w:r w:rsidRPr="00BD16B4">
              <w:rPr>
                <w:rFonts w:cs="Calibri"/>
                <w:szCs w:val="18"/>
              </w:rPr>
              <w:t>9,942.64</w:t>
            </w:r>
          </w:p>
        </w:tc>
        <w:tc>
          <w:tcPr>
            <w:tcW w:w="1007" w:type="dxa"/>
          </w:tcPr>
          <w:p w14:paraId="251393EB" w14:textId="77777777" w:rsidR="00ED2EBD" w:rsidRPr="00BD16B4" w:rsidRDefault="00ED2EBD" w:rsidP="004B6DE3">
            <w:pPr>
              <w:pStyle w:val="TableText"/>
              <w:spacing w:before="40" w:after="40"/>
              <w:jc w:val="right"/>
              <w:rPr>
                <w:rFonts w:cs="Calibri"/>
                <w:szCs w:val="18"/>
              </w:rPr>
            </w:pPr>
            <w:r w:rsidRPr="00BD16B4">
              <w:rPr>
                <w:rFonts w:cs="Calibri"/>
                <w:szCs w:val="18"/>
              </w:rPr>
              <w:t>8,295.52</w:t>
            </w:r>
          </w:p>
        </w:tc>
        <w:tc>
          <w:tcPr>
            <w:tcW w:w="1007" w:type="dxa"/>
          </w:tcPr>
          <w:p w14:paraId="7B1E6061" w14:textId="77777777" w:rsidR="00ED2EBD" w:rsidRPr="00BD16B4" w:rsidRDefault="00ED2EBD" w:rsidP="004B6DE3">
            <w:pPr>
              <w:pStyle w:val="TableText"/>
              <w:spacing w:before="40" w:after="40"/>
              <w:jc w:val="right"/>
              <w:rPr>
                <w:rFonts w:cs="Calibri"/>
                <w:szCs w:val="18"/>
              </w:rPr>
            </w:pPr>
            <w:r w:rsidRPr="00BD16B4">
              <w:rPr>
                <w:rFonts w:cs="Calibri"/>
                <w:szCs w:val="18"/>
              </w:rPr>
              <w:t>9,565.39</w:t>
            </w:r>
          </w:p>
        </w:tc>
        <w:tc>
          <w:tcPr>
            <w:tcW w:w="1007" w:type="dxa"/>
          </w:tcPr>
          <w:p w14:paraId="57646A6A" w14:textId="77777777" w:rsidR="00ED2EBD" w:rsidRPr="00BD16B4" w:rsidRDefault="00ED2EBD" w:rsidP="004B6DE3">
            <w:pPr>
              <w:pStyle w:val="TableText"/>
              <w:spacing w:before="40" w:after="40"/>
              <w:jc w:val="right"/>
              <w:rPr>
                <w:rFonts w:cs="Calibri"/>
                <w:szCs w:val="18"/>
              </w:rPr>
            </w:pPr>
            <w:r w:rsidRPr="00BD16B4">
              <w:rPr>
                <w:rFonts w:cs="Calibri"/>
                <w:szCs w:val="18"/>
              </w:rPr>
              <w:t>7,342.61</w:t>
            </w:r>
          </w:p>
        </w:tc>
      </w:tr>
      <w:tr w:rsidR="006446D5" w:rsidRPr="00BD16B4" w14:paraId="26712FD0" w14:textId="77777777" w:rsidTr="00061F5B">
        <w:tc>
          <w:tcPr>
            <w:tcW w:w="3539" w:type="dxa"/>
          </w:tcPr>
          <w:p w14:paraId="0F66242E" w14:textId="054CA7A7" w:rsidR="00ED2EBD" w:rsidRPr="00BD16B4" w:rsidRDefault="00ED2EBD" w:rsidP="004B6DE3">
            <w:pPr>
              <w:pStyle w:val="TableText"/>
              <w:spacing w:before="40" w:after="40"/>
              <w:ind w:left="454" w:hanging="227"/>
              <w:rPr>
                <w:rFonts w:cs="Calibri"/>
                <w:szCs w:val="18"/>
              </w:rPr>
            </w:pPr>
            <w:r w:rsidRPr="00BD16B4">
              <w:rPr>
                <w:rFonts w:cs="Calibri"/>
                <w:szCs w:val="18"/>
              </w:rPr>
              <w:t>2.</w:t>
            </w:r>
            <w:r w:rsidR="00280979" w:rsidRPr="00BD16B4">
              <w:rPr>
                <w:rFonts w:cs="Calibri"/>
                <w:szCs w:val="18"/>
              </w:rPr>
              <w:t xml:space="preserve"> </w:t>
            </w:r>
            <w:r w:rsidR="00626537" w:rsidRPr="00BD16B4">
              <w:rPr>
                <w:rFonts w:cs="Calibri"/>
                <w:szCs w:val="18"/>
              </w:rPr>
              <w:tab/>
            </w:r>
            <w:r w:rsidRPr="00BD16B4">
              <w:rPr>
                <w:rFonts w:cs="Calibri"/>
                <w:szCs w:val="18"/>
              </w:rPr>
              <w:t>Manufacturing industries and construction</w:t>
            </w:r>
          </w:p>
        </w:tc>
        <w:tc>
          <w:tcPr>
            <w:tcW w:w="1006" w:type="dxa"/>
          </w:tcPr>
          <w:p w14:paraId="5C86A571" w14:textId="77777777" w:rsidR="00ED2EBD" w:rsidRPr="00BD16B4" w:rsidRDefault="00ED2EBD" w:rsidP="004B6DE3">
            <w:pPr>
              <w:pStyle w:val="TableText"/>
              <w:spacing w:before="40" w:after="40"/>
              <w:jc w:val="right"/>
              <w:rPr>
                <w:rFonts w:cs="Calibri"/>
                <w:szCs w:val="18"/>
              </w:rPr>
            </w:pPr>
            <w:r w:rsidRPr="00BD16B4">
              <w:rPr>
                <w:rFonts w:cs="Calibri"/>
                <w:szCs w:val="18"/>
              </w:rPr>
              <w:t>5,729.20</w:t>
            </w:r>
          </w:p>
        </w:tc>
        <w:tc>
          <w:tcPr>
            <w:tcW w:w="1006" w:type="dxa"/>
          </w:tcPr>
          <w:p w14:paraId="3485CAC0" w14:textId="77777777" w:rsidR="00ED2EBD" w:rsidRPr="00BD16B4" w:rsidRDefault="00ED2EBD" w:rsidP="004B6DE3">
            <w:pPr>
              <w:pStyle w:val="TableText"/>
              <w:spacing w:before="40" w:after="40"/>
              <w:jc w:val="right"/>
              <w:rPr>
                <w:rFonts w:cs="Calibri"/>
                <w:szCs w:val="18"/>
              </w:rPr>
            </w:pPr>
            <w:r w:rsidRPr="00BD16B4">
              <w:rPr>
                <w:rFonts w:cs="Calibri"/>
                <w:szCs w:val="18"/>
              </w:rPr>
              <w:t>6,248.83</w:t>
            </w:r>
          </w:p>
        </w:tc>
        <w:tc>
          <w:tcPr>
            <w:tcW w:w="1006" w:type="dxa"/>
          </w:tcPr>
          <w:p w14:paraId="0BBFF468" w14:textId="77777777" w:rsidR="00ED2EBD" w:rsidRPr="00BD16B4" w:rsidRDefault="00ED2EBD" w:rsidP="004B6DE3">
            <w:pPr>
              <w:pStyle w:val="TableText"/>
              <w:spacing w:before="40" w:after="40"/>
              <w:jc w:val="right"/>
              <w:rPr>
                <w:rFonts w:cs="Calibri"/>
                <w:szCs w:val="18"/>
              </w:rPr>
            </w:pPr>
            <w:r w:rsidRPr="00BD16B4">
              <w:rPr>
                <w:rFonts w:cs="Calibri"/>
                <w:szCs w:val="18"/>
              </w:rPr>
              <w:t>6,621.50</w:t>
            </w:r>
          </w:p>
        </w:tc>
        <w:tc>
          <w:tcPr>
            <w:tcW w:w="1006" w:type="dxa"/>
          </w:tcPr>
          <w:p w14:paraId="5E0FE64A" w14:textId="77777777" w:rsidR="00ED2EBD" w:rsidRPr="00BD16B4" w:rsidRDefault="00ED2EBD" w:rsidP="004B6DE3">
            <w:pPr>
              <w:pStyle w:val="TableText"/>
              <w:spacing w:before="40" w:after="40"/>
              <w:jc w:val="right"/>
              <w:rPr>
                <w:rFonts w:cs="Calibri"/>
                <w:szCs w:val="18"/>
              </w:rPr>
            </w:pPr>
            <w:r w:rsidRPr="00BD16B4">
              <w:rPr>
                <w:rFonts w:cs="Calibri"/>
                <w:szCs w:val="18"/>
              </w:rPr>
              <w:t>6,880.90</w:t>
            </w:r>
          </w:p>
        </w:tc>
        <w:tc>
          <w:tcPr>
            <w:tcW w:w="1007" w:type="dxa"/>
          </w:tcPr>
          <w:p w14:paraId="23027AAE" w14:textId="77777777" w:rsidR="00ED2EBD" w:rsidRPr="00BD16B4" w:rsidRDefault="00ED2EBD" w:rsidP="004B6DE3">
            <w:pPr>
              <w:pStyle w:val="TableText"/>
              <w:spacing w:before="40" w:after="40"/>
              <w:jc w:val="right"/>
              <w:rPr>
                <w:rFonts w:cs="Calibri"/>
                <w:szCs w:val="18"/>
              </w:rPr>
            </w:pPr>
            <w:r w:rsidRPr="00BD16B4">
              <w:rPr>
                <w:rFonts w:cs="Calibri"/>
                <w:szCs w:val="18"/>
              </w:rPr>
              <w:t>6,325.45</w:t>
            </w:r>
          </w:p>
        </w:tc>
        <w:tc>
          <w:tcPr>
            <w:tcW w:w="1007" w:type="dxa"/>
          </w:tcPr>
          <w:p w14:paraId="312917DD" w14:textId="77777777" w:rsidR="00ED2EBD" w:rsidRPr="00BD16B4" w:rsidRDefault="00ED2EBD" w:rsidP="004B6DE3">
            <w:pPr>
              <w:pStyle w:val="TableText"/>
              <w:spacing w:before="40" w:after="40"/>
              <w:jc w:val="right"/>
              <w:rPr>
                <w:rFonts w:cs="Calibri"/>
                <w:szCs w:val="18"/>
              </w:rPr>
            </w:pPr>
            <w:r w:rsidRPr="00BD16B4">
              <w:rPr>
                <w:rFonts w:cs="Calibri"/>
                <w:szCs w:val="18"/>
              </w:rPr>
              <w:t>5,798.39</w:t>
            </w:r>
          </w:p>
        </w:tc>
        <w:tc>
          <w:tcPr>
            <w:tcW w:w="1007" w:type="dxa"/>
          </w:tcPr>
          <w:p w14:paraId="10854B09" w14:textId="77777777" w:rsidR="00ED2EBD" w:rsidRPr="00BD16B4" w:rsidRDefault="00ED2EBD" w:rsidP="004B6DE3">
            <w:pPr>
              <w:pStyle w:val="TableText"/>
              <w:spacing w:before="40" w:after="40"/>
              <w:jc w:val="right"/>
              <w:rPr>
                <w:rFonts w:cs="Calibri"/>
                <w:szCs w:val="18"/>
              </w:rPr>
            </w:pPr>
            <w:r w:rsidRPr="00BD16B4">
              <w:rPr>
                <w:rFonts w:cs="Calibri"/>
                <w:szCs w:val="18"/>
              </w:rPr>
              <w:t>4,988.20</w:t>
            </w:r>
          </w:p>
        </w:tc>
        <w:tc>
          <w:tcPr>
            <w:tcW w:w="1007" w:type="dxa"/>
          </w:tcPr>
          <w:p w14:paraId="649C5243" w14:textId="77777777" w:rsidR="00ED2EBD" w:rsidRPr="00BD16B4" w:rsidRDefault="00ED2EBD" w:rsidP="004B6DE3">
            <w:pPr>
              <w:pStyle w:val="TableText"/>
              <w:spacing w:before="40" w:after="40"/>
              <w:jc w:val="right"/>
              <w:rPr>
                <w:rFonts w:cs="Calibri"/>
                <w:szCs w:val="18"/>
              </w:rPr>
            </w:pPr>
            <w:r w:rsidRPr="00BD16B4">
              <w:rPr>
                <w:rFonts w:cs="Calibri"/>
                <w:szCs w:val="18"/>
              </w:rPr>
              <w:t>5,038.67</w:t>
            </w:r>
          </w:p>
        </w:tc>
        <w:tc>
          <w:tcPr>
            <w:tcW w:w="1007" w:type="dxa"/>
          </w:tcPr>
          <w:p w14:paraId="5C0CC4CE" w14:textId="77777777" w:rsidR="00ED2EBD" w:rsidRPr="00BD16B4" w:rsidRDefault="00ED2EBD" w:rsidP="004B6DE3">
            <w:pPr>
              <w:pStyle w:val="TableText"/>
              <w:spacing w:before="40" w:after="40"/>
              <w:jc w:val="right"/>
              <w:rPr>
                <w:rFonts w:cs="Calibri"/>
                <w:szCs w:val="18"/>
              </w:rPr>
            </w:pPr>
            <w:r w:rsidRPr="00BD16B4">
              <w:rPr>
                <w:rFonts w:cs="Calibri"/>
                <w:szCs w:val="18"/>
              </w:rPr>
              <w:t>5,478.82</w:t>
            </w:r>
          </w:p>
        </w:tc>
        <w:tc>
          <w:tcPr>
            <w:tcW w:w="1007" w:type="dxa"/>
          </w:tcPr>
          <w:p w14:paraId="70E70553" w14:textId="77777777" w:rsidR="00ED2EBD" w:rsidRPr="00BD16B4" w:rsidRDefault="00ED2EBD" w:rsidP="004B6DE3">
            <w:pPr>
              <w:pStyle w:val="TableText"/>
              <w:spacing w:before="40" w:after="40"/>
              <w:jc w:val="right"/>
              <w:rPr>
                <w:rFonts w:cs="Calibri"/>
                <w:szCs w:val="18"/>
              </w:rPr>
            </w:pPr>
            <w:r w:rsidRPr="00BD16B4">
              <w:rPr>
                <w:rFonts w:cs="Calibri"/>
                <w:szCs w:val="18"/>
              </w:rPr>
              <w:t>5,471.96</w:t>
            </w:r>
          </w:p>
        </w:tc>
        <w:tc>
          <w:tcPr>
            <w:tcW w:w="1007" w:type="dxa"/>
          </w:tcPr>
          <w:p w14:paraId="69C42FF8" w14:textId="77777777" w:rsidR="00ED2EBD" w:rsidRPr="00BD16B4" w:rsidRDefault="00ED2EBD" w:rsidP="004B6DE3">
            <w:pPr>
              <w:pStyle w:val="TableText"/>
              <w:spacing w:before="40" w:after="40"/>
              <w:jc w:val="right"/>
              <w:rPr>
                <w:rFonts w:cs="Calibri"/>
                <w:szCs w:val="18"/>
              </w:rPr>
            </w:pPr>
            <w:r w:rsidRPr="00BD16B4">
              <w:rPr>
                <w:rFonts w:cs="Calibri"/>
                <w:szCs w:val="18"/>
              </w:rPr>
              <w:t>5,166.17</w:t>
            </w:r>
          </w:p>
        </w:tc>
      </w:tr>
      <w:tr w:rsidR="006446D5" w:rsidRPr="00BD16B4" w14:paraId="10C894DF" w14:textId="77777777" w:rsidTr="00061F5B">
        <w:tc>
          <w:tcPr>
            <w:tcW w:w="3539" w:type="dxa"/>
          </w:tcPr>
          <w:p w14:paraId="5F43F58F" w14:textId="41658068" w:rsidR="00ED2EBD" w:rsidRPr="00BD16B4" w:rsidRDefault="00ED2EBD" w:rsidP="004B6DE3">
            <w:pPr>
              <w:pStyle w:val="TableText"/>
              <w:spacing w:before="40" w:after="40"/>
              <w:ind w:left="454" w:hanging="227"/>
              <w:rPr>
                <w:rFonts w:cs="Calibri"/>
                <w:szCs w:val="18"/>
              </w:rPr>
            </w:pPr>
            <w:r w:rsidRPr="00BD16B4">
              <w:rPr>
                <w:rFonts w:cs="Calibri"/>
                <w:szCs w:val="18"/>
              </w:rPr>
              <w:t>3.</w:t>
            </w:r>
            <w:r w:rsidR="00280979" w:rsidRPr="00BD16B4">
              <w:rPr>
                <w:rFonts w:cs="Calibri"/>
                <w:szCs w:val="18"/>
              </w:rPr>
              <w:t xml:space="preserve"> </w:t>
            </w:r>
            <w:r w:rsidRPr="00BD16B4">
              <w:rPr>
                <w:rFonts w:cs="Calibri"/>
                <w:szCs w:val="18"/>
              </w:rPr>
              <w:t>Transport</w:t>
            </w:r>
          </w:p>
        </w:tc>
        <w:tc>
          <w:tcPr>
            <w:tcW w:w="1006" w:type="dxa"/>
          </w:tcPr>
          <w:p w14:paraId="4D30553A" w14:textId="77777777" w:rsidR="00ED2EBD" w:rsidRPr="00BD16B4" w:rsidRDefault="00ED2EBD" w:rsidP="004B6DE3">
            <w:pPr>
              <w:pStyle w:val="TableText"/>
              <w:spacing w:before="40" w:after="40"/>
              <w:jc w:val="right"/>
              <w:rPr>
                <w:rFonts w:cs="Calibri"/>
                <w:szCs w:val="18"/>
              </w:rPr>
            </w:pPr>
            <w:r w:rsidRPr="00BD16B4">
              <w:rPr>
                <w:rFonts w:cs="Calibri"/>
                <w:szCs w:val="18"/>
              </w:rPr>
              <w:t>10,868.59</w:t>
            </w:r>
          </w:p>
        </w:tc>
        <w:tc>
          <w:tcPr>
            <w:tcW w:w="1006" w:type="dxa"/>
          </w:tcPr>
          <w:p w14:paraId="52426996" w14:textId="77777777" w:rsidR="00ED2EBD" w:rsidRPr="00BD16B4" w:rsidRDefault="00ED2EBD" w:rsidP="004B6DE3">
            <w:pPr>
              <w:pStyle w:val="TableText"/>
              <w:spacing w:before="40" w:after="40"/>
              <w:jc w:val="right"/>
              <w:rPr>
                <w:rFonts w:cs="Calibri"/>
                <w:szCs w:val="18"/>
              </w:rPr>
            </w:pPr>
            <w:r w:rsidRPr="00BD16B4">
              <w:rPr>
                <w:rFonts w:cs="Calibri"/>
                <w:szCs w:val="18"/>
              </w:rPr>
              <w:t>11,410.88</w:t>
            </w:r>
          </w:p>
        </w:tc>
        <w:tc>
          <w:tcPr>
            <w:tcW w:w="1006" w:type="dxa"/>
          </w:tcPr>
          <w:p w14:paraId="58D97F53" w14:textId="77777777" w:rsidR="00ED2EBD" w:rsidRPr="00BD16B4" w:rsidRDefault="00ED2EBD" w:rsidP="004B6DE3">
            <w:pPr>
              <w:pStyle w:val="TableText"/>
              <w:spacing w:before="40" w:after="40"/>
              <w:jc w:val="right"/>
              <w:rPr>
                <w:rFonts w:cs="Calibri"/>
                <w:szCs w:val="18"/>
              </w:rPr>
            </w:pPr>
            <w:r w:rsidRPr="00BD16B4">
              <w:rPr>
                <w:rFonts w:cs="Calibri"/>
                <w:szCs w:val="18"/>
              </w:rPr>
              <w:t>11,473.86</w:t>
            </w:r>
          </w:p>
        </w:tc>
        <w:tc>
          <w:tcPr>
            <w:tcW w:w="1006" w:type="dxa"/>
          </w:tcPr>
          <w:p w14:paraId="2AF67935" w14:textId="77777777" w:rsidR="00ED2EBD" w:rsidRPr="00BD16B4" w:rsidRDefault="00ED2EBD" w:rsidP="004B6DE3">
            <w:pPr>
              <w:pStyle w:val="TableText"/>
              <w:spacing w:before="40" w:after="40"/>
              <w:jc w:val="right"/>
              <w:rPr>
                <w:rFonts w:cs="Calibri"/>
                <w:szCs w:val="18"/>
              </w:rPr>
            </w:pPr>
            <w:r w:rsidRPr="00BD16B4">
              <w:rPr>
                <w:rFonts w:cs="Calibri"/>
                <w:szCs w:val="18"/>
              </w:rPr>
              <w:t>11,925.66</w:t>
            </w:r>
          </w:p>
        </w:tc>
        <w:tc>
          <w:tcPr>
            <w:tcW w:w="1007" w:type="dxa"/>
          </w:tcPr>
          <w:p w14:paraId="4C94A8DD" w14:textId="77777777" w:rsidR="00ED2EBD" w:rsidRPr="00BD16B4" w:rsidRDefault="00ED2EBD" w:rsidP="004B6DE3">
            <w:pPr>
              <w:pStyle w:val="TableText"/>
              <w:spacing w:before="40" w:after="40"/>
              <w:jc w:val="right"/>
              <w:rPr>
                <w:rFonts w:cs="Calibri"/>
                <w:szCs w:val="18"/>
              </w:rPr>
            </w:pPr>
            <w:r w:rsidRPr="00BD16B4">
              <w:rPr>
                <w:rFonts w:cs="Calibri"/>
                <w:szCs w:val="18"/>
              </w:rPr>
              <w:t>12,453.65</w:t>
            </w:r>
          </w:p>
        </w:tc>
        <w:tc>
          <w:tcPr>
            <w:tcW w:w="1007" w:type="dxa"/>
          </w:tcPr>
          <w:p w14:paraId="7E1F127A" w14:textId="77777777" w:rsidR="00ED2EBD" w:rsidRPr="00BD16B4" w:rsidRDefault="00ED2EBD" w:rsidP="004B6DE3">
            <w:pPr>
              <w:pStyle w:val="TableText"/>
              <w:spacing w:before="40" w:after="40"/>
              <w:jc w:val="right"/>
              <w:rPr>
                <w:rFonts w:cs="Calibri"/>
                <w:szCs w:val="18"/>
              </w:rPr>
            </w:pPr>
            <w:r w:rsidRPr="00BD16B4">
              <w:rPr>
                <w:rFonts w:cs="Calibri"/>
                <w:szCs w:val="18"/>
              </w:rPr>
              <w:t>12,742.48</w:t>
            </w:r>
          </w:p>
        </w:tc>
        <w:tc>
          <w:tcPr>
            <w:tcW w:w="1007" w:type="dxa"/>
          </w:tcPr>
          <w:p w14:paraId="0914DD9E" w14:textId="77777777" w:rsidR="00ED2EBD" w:rsidRPr="00BD16B4" w:rsidRDefault="00ED2EBD" w:rsidP="004B6DE3">
            <w:pPr>
              <w:pStyle w:val="TableText"/>
              <w:spacing w:before="40" w:after="40"/>
              <w:jc w:val="right"/>
              <w:rPr>
                <w:rFonts w:cs="Calibri"/>
                <w:szCs w:val="18"/>
              </w:rPr>
            </w:pPr>
            <w:r w:rsidRPr="00BD16B4">
              <w:rPr>
                <w:rFonts w:cs="Calibri"/>
                <w:szCs w:val="18"/>
              </w:rPr>
              <w:t>12,817.90</w:t>
            </w:r>
          </w:p>
        </w:tc>
        <w:tc>
          <w:tcPr>
            <w:tcW w:w="1007" w:type="dxa"/>
          </w:tcPr>
          <w:p w14:paraId="00869D4A" w14:textId="77777777" w:rsidR="00ED2EBD" w:rsidRPr="00BD16B4" w:rsidRDefault="00ED2EBD" w:rsidP="004B6DE3">
            <w:pPr>
              <w:pStyle w:val="TableText"/>
              <w:spacing w:before="40" w:after="40"/>
              <w:jc w:val="right"/>
              <w:rPr>
                <w:rFonts w:cs="Calibri"/>
                <w:szCs w:val="18"/>
              </w:rPr>
            </w:pPr>
            <w:r w:rsidRPr="00BD16B4">
              <w:rPr>
                <w:rFonts w:cs="Calibri"/>
                <w:szCs w:val="18"/>
              </w:rPr>
              <w:t>12,944.51</w:t>
            </w:r>
          </w:p>
        </w:tc>
        <w:tc>
          <w:tcPr>
            <w:tcW w:w="1007" w:type="dxa"/>
          </w:tcPr>
          <w:p w14:paraId="474CDDC6" w14:textId="77777777" w:rsidR="00ED2EBD" w:rsidRPr="00BD16B4" w:rsidRDefault="00ED2EBD" w:rsidP="004B6DE3">
            <w:pPr>
              <w:pStyle w:val="TableText"/>
              <w:spacing w:before="40" w:after="40"/>
              <w:jc w:val="right"/>
              <w:rPr>
                <w:rFonts w:cs="Calibri"/>
                <w:szCs w:val="18"/>
              </w:rPr>
            </w:pPr>
            <w:r w:rsidRPr="00BD16B4">
              <w:rPr>
                <w:rFonts w:cs="Calibri"/>
                <w:szCs w:val="18"/>
              </w:rPr>
              <w:t>13,053.26</w:t>
            </w:r>
          </w:p>
        </w:tc>
        <w:tc>
          <w:tcPr>
            <w:tcW w:w="1007" w:type="dxa"/>
          </w:tcPr>
          <w:p w14:paraId="6AE4D01E" w14:textId="77777777" w:rsidR="00ED2EBD" w:rsidRPr="00BD16B4" w:rsidRDefault="00ED2EBD" w:rsidP="004B6DE3">
            <w:pPr>
              <w:pStyle w:val="TableText"/>
              <w:spacing w:before="40" w:after="40"/>
              <w:jc w:val="right"/>
              <w:rPr>
                <w:rFonts w:cs="Calibri"/>
                <w:szCs w:val="18"/>
              </w:rPr>
            </w:pPr>
            <w:r w:rsidRPr="00BD16B4">
              <w:rPr>
                <w:rFonts w:cs="Calibri"/>
                <w:szCs w:val="18"/>
              </w:rPr>
              <w:t>13,073.80</w:t>
            </w:r>
          </w:p>
        </w:tc>
        <w:tc>
          <w:tcPr>
            <w:tcW w:w="1007" w:type="dxa"/>
          </w:tcPr>
          <w:p w14:paraId="6710F65F" w14:textId="77777777" w:rsidR="00ED2EBD" w:rsidRPr="00BD16B4" w:rsidRDefault="00ED2EBD" w:rsidP="004B6DE3">
            <w:pPr>
              <w:pStyle w:val="TableText"/>
              <w:spacing w:before="40" w:after="40"/>
              <w:jc w:val="right"/>
              <w:rPr>
                <w:rFonts w:cs="Calibri"/>
                <w:szCs w:val="18"/>
              </w:rPr>
            </w:pPr>
            <w:r w:rsidRPr="00BD16B4">
              <w:rPr>
                <w:rFonts w:cs="Calibri"/>
                <w:szCs w:val="18"/>
              </w:rPr>
              <w:t>12,887.11</w:t>
            </w:r>
          </w:p>
        </w:tc>
      </w:tr>
      <w:tr w:rsidR="006446D5" w:rsidRPr="00BD16B4" w14:paraId="663BBF99" w14:textId="77777777" w:rsidTr="00061F5B">
        <w:tc>
          <w:tcPr>
            <w:tcW w:w="3539" w:type="dxa"/>
          </w:tcPr>
          <w:p w14:paraId="7A03FA3D" w14:textId="73474DE6" w:rsidR="00ED2EBD" w:rsidRPr="00BD16B4" w:rsidRDefault="00ED2EBD" w:rsidP="004B6DE3">
            <w:pPr>
              <w:pStyle w:val="TableText"/>
              <w:spacing w:before="40" w:after="40"/>
              <w:ind w:left="454" w:hanging="227"/>
              <w:rPr>
                <w:rFonts w:cs="Calibri"/>
                <w:szCs w:val="18"/>
              </w:rPr>
            </w:pPr>
            <w:r w:rsidRPr="00BD16B4">
              <w:rPr>
                <w:rFonts w:cs="Calibri"/>
                <w:szCs w:val="18"/>
              </w:rPr>
              <w:t>4.</w:t>
            </w:r>
            <w:r w:rsidR="00280979" w:rsidRPr="00BD16B4">
              <w:rPr>
                <w:rFonts w:cs="Calibri"/>
                <w:szCs w:val="18"/>
              </w:rPr>
              <w:t xml:space="preserve"> </w:t>
            </w:r>
            <w:r w:rsidRPr="00BD16B4">
              <w:rPr>
                <w:rFonts w:cs="Calibri"/>
                <w:szCs w:val="18"/>
              </w:rPr>
              <w:t>Other sectors</w:t>
            </w:r>
          </w:p>
        </w:tc>
        <w:tc>
          <w:tcPr>
            <w:tcW w:w="1006" w:type="dxa"/>
          </w:tcPr>
          <w:p w14:paraId="05A3DE17" w14:textId="77777777" w:rsidR="00ED2EBD" w:rsidRPr="00BD16B4" w:rsidRDefault="00ED2EBD" w:rsidP="004B6DE3">
            <w:pPr>
              <w:pStyle w:val="TableText"/>
              <w:spacing w:before="40" w:after="40"/>
              <w:jc w:val="right"/>
              <w:rPr>
                <w:rFonts w:cs="Calibri"/>
                <w:szCs w:val="18"/>
              </w:rPr>
            </w:pPr>
            <w:r w:rsidRPr="00BD16B4">
              <w:rPr>
                <w:rFonts w:cs="Calibri"/>
                <w:szCs w:val="18"/>
              </w:rPr>
              <w:t>3,662.30</w:t>
            </w:r>
          </w:p>
        </w:tc>
        <w:tc>
          <w:tcPr>
            <w:tcW w:w="1006" w:type="dxa"/>
          </w:tcPr>
          <w:p w14:paraId="7A8BC96E" w14:textId="77777777" w:rsidR="00ED2EBD" w:rsidRPr="00BD16B4" w:rsidRDefault="00ED2EBD" w:rsidP="004B6DE3">
            <w:pPr>
              <w:pStyle w:val="TableText"/>
              <w:spacing w:before="40" w:after="40"/>
              <w:jc w:val="right"/>
              <w:rPr>
                <w:rFonts w:cs="Calibri"/>
                <w:szCs w:val="18"/>
              </w:rPr>
            </w:pPr>
            <w:r w:rsidRPr="00BD16B4">
              <w:rPr>
                <w:rFonts w:cs="Calibri"/>
                <w:szCs w:val="18"/>
              </w:rPr>
              <w:t>3,743.51</w:t>
            </w:r>
          </w:p>
        </w:tc>
        <w:tc>
          <w:tcPr>
            <w:tcW w:w="1006" w:type="dxa"/>
          </w:tcPr>
          <w:p w14:paraId="5FBB8030" w14:textId="77777777" w:rsidR="00ED2EBD" w:rsidRPr="00BD16B4" w:rsidRDefault="00ED2EBD" w:rsidP="004B6DE3">
            <w:pPr>
              <w:pStyle w:val="TableText"/>
              <w:spacing w:before="40" w:after="40"/>
              <w:jc w:val="right"/>
              <w:rPr>
                <w:rFonts w:cs="Calibri"/>
                <w:szCs w:val="18"/>
              </w:rPr>
            </w:pPr>
            <w:r w:rsidRPr="00BD16B4">
              <w:rPr>
                <w:rFonts w:cs="Calibri"/>
                <w:szCs w:val="18"/>
              </w:rPr>
              <w:t>3,771.20</w:t>
            </w:r>
          </w:p>
        </w:tc>
        <w:tc>
          <w:tcPr>
            <w:tcW w:w="1006" w:type="dxa"/>
          </w:tcPr>
          <w:p w14:paraId="37319BC3" w14:textId="77777777" w:rsidR="00ED2EBD" w:rsidRPr="00BD16B4" w:rsidRDefault="00ED2EBD" w:rsidP="004B6DE3">
            <w:pPr>
              <w:pStyle w:val="TableText"/>
              <w:spacing w:before="40" w:after="40"/>
              <w:jc w:val="right"/>
              <w:rPr>
                <w:rFonts w:cs="Calibri"/>
                <w:szCs w:val="18"/>
              </w:rPr>
            </w:pPr>
            <w:r w:rsidRPr="00BD16B4">
              <w:rPr>
                <w:rFonts w:cs="Calibri"/>
                <w:szCs w:val="18"/>
              </w:rPr>
              <w:t>3,908.39</w:t>
            </w:r>
          </w:p>
        </w:tc>
        <w:tc>
          <w:tcPr>
            <w:tcW w:w="1007" w:type="dxa"/>
          </w:tcPr>
          <w:p w14:paraId="05315804" w14:textId="77777777" w:rsidR="00ED2EBD" w:rsidRPr="00BD16B4" w:rsidRDefault="00ED2EBD" w:rsidP="004B6DE3">
            <w:pPr>
              <w:pStyle w:val="TableText"/>
              <w:spacing w:before="40" w:after="40"/>
              <w:jc w:val="right"/>
              <w:rPr>
                <w:rFonts w:cs="Calibri"/>
                <w:szCs w:val="18"/>
              </w:rPr>
            </w:pPr>
            <w:r w:rsidRPr="00BD16B4">
              <w:rPr>
                <w:rFonts w:cs="Calibri"/>
                <w:szCs w:val="18"/>
              </w:rPr>
              <w:t>4,163.23</w:t>
            </w:r>
          </w:p>
        </w:tc>
        <w:tc>
          <w:tcPr>
            <w:tcW w:w="1007" w:type="dxa"/>
          </w:tcPr>
          <w:p w14:paraId="510A5291" w14:textId="77777777" w:rsidR="00ED2EBD" w:rsidRPr="00BD16B4" w:rsidRDefault="00ED2EBD" w:rsidP="004B6DE3">
            <w:pPr>
              <w:pStyle w:val="TableText"/>
              <w:spacing w:before="40" w:after="40"/>
              <w:jc w:val="right"/>
              <w:rPr>
                <w:rFonts w:cs="Calibri"/>
                <w:szCs w:val="18"/>
              </w:rPr>
            </w:pPr>
            <w:r w:rsidRPr="00BD16B4">
              <w:rPr>
                <w:rFonts w:cs="Calibri"/>
                <w:szCs w:val="18"/>
              </w:rPr>
              <w:t>4,151.83</w:t>
            </w:r>
          </w:p>
        </w:tc>
        <w:tc>
          <w:tcPr>
            <w:tcW w:w="1007" w:type="dxa"/>
          </w:tcPr>
          <w:p w14:paraId="140E5899" w14:textId="77777777" w:rsidR="00ED2EBD" w:rsidRPr="00BD16B4" w:rsidRDefault="00ED2EBD" w:rsidP="004B6DE3">
            <w:pPr>
              <w:pStyle w:val="TableText"/>
              <w:spacing w:before="40" w:after="40"/>
              <w:jc w:val="right"/>
              <w:rPr>
                <w:rFonts w:cs="Calibri"/>
                <w:szCs w:val="18"/>
              </w:rPr>
            </w:pPr>
            <w:r w:rsidRPr="00BD16B4">
              <w:rPr>
                <w:rFonts w:cs="Calibri"/>
                <w:szCs w:val="18"/>
              </w:rPr>
              <w:t>4,258.23</w:t>
            </w:r>
          </w:p>
        </w:tc>
        <w:tc>
          <w:tcPr>
            <w:tcW w:w="1007" w:type="dxa"/>
          </w:tcPr>
          <w:p w14:paraId="0569A9D8" w14:textId="77777777" w:rsidR="00ED2EBD" w:rsidRPr="00BD16B4" w:rsidRDefault="00ED2EBD" w:rsidP="004B6DE3">
            <w:pPr>
              <w:pStyle w:val="TableText"/>
              <w:spacing w:before="40" w:after="40"/>
              <w:jc w:val="right"/>
              <w:rPr>
                <w:rFonts w:cs="Calibri"/>
                <w:szCs w:val="18"/>
              </w:rPr>
            </w:pPr>
            <w:r w:rsidRPr="00BD16B4">
              <w:rPr>
                <w:rFonts w:cs="Calibri"/>
                <w:szCs w:val="18"/>
              </w:rPr>
              <w:t>4,213.76</w:t>
            </w:r>
          </w:p>
        </w:tc>
        <w:tc>
          <w:tcPr>
            <w:tcW w:w="1007" w:type="dxa"/>
          </w:tcPr>
          <w:p w14:paraId="41A58927" w14:textId="77777777" w:rsidR="00ED2EBD" w:rsidRPr="00BD16B4" w:rsidRDefault="00ED2EBD" w:rsidP="004B6DE3">
            <w:pPr>
              <w:pStyle w:val="TableText"/>
              <w:spacing w:before="40" w:after="40"/>
              <w:jc w:val="right"/>
              <w:rPr>
                <w:rFonts w:cs="Calibri"/>
                <w:szCs w:val="18"/>
              </w:rPr>
            </w:pPr>
            <w:r w:rsidRPr="00BD16B4">
              <w:rPr>
                <w:rFonts w:cs="Calibri"/>
                <w:szCs w:val="18"/>
              </w:rPr>
              <w:t>4,071.70</w:t>
            </w:r>
          </w:p>
        </w:tc>
        <w:tc>
          <w:tcPr>
            <w:tcW w:w="1007" w:type="dxa"/>
          </w:tcPr>
          <w:p w14:paraId="068B742A" w14:textId="77777777" w:rsidR="00ED2EBD" w:rsidRPr="00BD16B4" w:rsidRDefault="00ED2EBD" w:rsidP="004B6DE3">
            <w:pPr>
              <w:pStyle w:val="TableText"/>
              <w:spacing w:before="40" w:after="40"/>
              <w:jc w:val="right"/>
              <w:rPr>
                <w:rFonts w:cs="Calibri"/>
                <w:szCs w:val="18"/>
              </w:rPr>
            </w:pPr>
            <w:r w:rsidRPr="00BD16B4">
              <w:rPr>
                <w:rFonts w:cs="Calibri"/>
                <w:szCs w:val="18"/>
              </w:rPr>
              <w:t>3,941.90</w:t>
            </w:r>
          </w:p>
        </w:tc>
        <w:tc>
          <w:tcPr>
            <w:tcW w:w="1007" w:type="dxa"/>
          </w:tcPr>
          <w:p w14:paraId="2EF41E50" w14:textId="77777777" w:rsidR="00ED2EBD" w:rsidRPr="00BD16B4" w:rsidRDefault="00ED2EBD" w:rsidP="004B6DE3">
            <w:pPr>
              <w:pStyle w:val="TableText"/>
              <w:spacing w:before="40" w:after="40"/>
              <w:jc w:val="right"/>
              <w:rPr>
                <w:rFonts w:cs="Calibri"/>
                <w:szCs w:val="18"/>
              </w:rPr>
            </w:pPr>
            <w:r w:rsidRPr="00BD16B4">
              <w:rPr>
                <w:rFonts w:cs="Calibri"/>
                <w:szCs w:val="18"/>
              </w:rPr>
              <w:t>3,759.73</w:t>
            </w:r>
          </w:p>
        </w:tc>
      </w:tr>
      <w:tr w:rsidR="006446D5" w:rsidRPr="00BD16B4" w14:paraId="51136964" w14:textId="77777777" w:rsidTr="00061F5B">
        <w:tc>
          <w:tcPr>
            <w:tcW w:w="3539" w:type="dxa"/>
          </w:tcPr>
          <w:p w14:paraId="1D3236F0" w14:textId="1FDE2020" w:rsidR="00ED2EBD" w:rsidRPr="00BD16B4" w:rsidRDefault="00ED2EBD" w:rsidP="004B6DE3">
            <w:pPr>
              <w:pStyle w:val="TableText"/>
              <w:spacing w:before="40" w:after="40"/>
              <w:ind w:left="454" w:hanging="227"/>
              <w:rPr>
                <w:rFonts w:cs="Calibri"/>
                <w:szCs w:val="18"/>
              </w:rPr>
            </w:pPr>
            <w:r w:rsidRPr="00BD16B4">
              <w:rPr>
                <w:rFonts w:cs="Calibri"/>
                <w:szCs w:val="18"/>
              </w:rPr>
              <w:t>5.</w:t>
            </w:r>
            <w:r w:rsidR="00280979" w:rsidRPr="00BD16B4">
              <w:rPr>
                <w:rFonts w:cs="Calibri"/>
                <w:szCs w:val="18"/>
              </w:rPr>
              <w:t xml:space="preserve"> </w:t>
            </w:r>
            <w:r w:rsidRPr="00BD16B4">
              <w:rPr>
                <w:rFonts w:cs="Calibri"/>
                <w:szCs w:val="18"/>
              </w:rPr>
              <w:t>Other</w:t>
            </w:r>
          </w:p>
        </w:tc>
        <w:tc>
          <w:tcPr>
            <w:tcW w:w="1006" w:type="dxa"/>
          </w:tcPr>
          <w:p w14:paraId="2A724D4F"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6" w:type="dxa"/>
          </w:tcPr>
          <w:p w14:paraId="7E0CAB68"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6" w:type="dxa"/>
          </w:tcPr>
          <w:p w14:paraId="4718C192"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6" w:type="dxa"/>
          </w:tcPr>
          <w:p w14:paraId="1BC6E392"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7" w:type="dxa"/>
          </w:tcPr>
          <w:p w14:paraId="3815103C"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7" w:type="dxa"/>
          </w:tcPr>
          <w:p w14:paraId="1B1CB07B"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7" w:type="dxa"/>
          </w:tcPr>
          <w:p w14:paraId="36AB1AA1"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7" w:type="dxa"/>
          </w:tcPr>
          <w:p w14:paraId="5D2951F3"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7" w:type="dxa"/>
          </w:tcPr>
          <w:p w14:paraId="1539D1B7"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7" w:type="dxa"/>
          </w:tcPr>
          <w:p w14:paraId="662F0550"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7" w:type="dxa"/>
          </w:tcPr>
          <w:p w14:paraId="34EBB1DE"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r>
      <w:tr w:rsidR="006446D5" w:rsidRPr="00BD16B4" w14:paraId="012F91D7" w14:textId="77777777" w:rsidTr="00061F5B">
        <w:tc>
          <w:tcPr>
            <w:tcW w:w="3539" w:type="dxa"/>
          </w:tcPr>
          <w:p w14:paraId="70BEEFB3" w14:textId="77777777" w:rsidR="00ED2EBD" w:rsidRPr="00BD16B4" w:rsidRDefault="00ED2EBD" w:rsidP="004B6DE3">
            <w:pPr>
              <w:pStyle w:val="TableText"/>
              <w:spacing w:before="40" w:after="40"/>
              <w:rPr>
                <w:rFonts w:cs="Calibri"/>
                <w:szCs w:val="18"/>
              </w:rPr>
            </w:pPr>
            <w:r w:rsidRPr="00BD16B4">
              <w:rPr>
                <w:rFonts w:cs="Calibri"/>
                <w:szCs w:val="18"/>
              </w:rPr>
              <w:t>B. Fugitive emissions from fuels</w:t>
            </w:r>
          </w:p>
        </w:tc>
        <w:tc>
          <w:tcPr>
            <w:tcW w:w="1006" w:type="dxa"/>
          </w:tcPr>
          <w:p w14:paraId="67FEA614" w14:textId="77777777" w:rsidR="00ED2EBD" w:rsidRPr="00BD16B4" w:rsidRDefault="00ED2EBD" w:rsidP="004B6DE3">
            <w:pPr>
              <w:pStyle w:val="TableText"/>
              <w:spacing w:before="40" w:after="40"/>
              <w:jc w:val="right"/>
              <w:rPr>
                <w:rFonts w:cs="Calibri"/>
                <w:szCs w:val="18"/>
              </w:rPr>
            </w:pPr>
            <w:r w:rsidRPr="00BD16B4">
              <w:rPr>
                <w:rFonts w:cs="Calibri"/>
                <w:szCs w:val="18"/>
              </w:rPr>
              <w:t>616.16</w:t>
            </w:r>
          </w:p>
        </w:tc>
        <w:tc>
          <w:tcPr>
            <w:tcW w:w="1006" w:type="dxa"/>
          </w:tcPr>
          <w:p w14:paraId="2F363771" w14:textId="77777777" w:rsidR="00ED2EBD" w:rsidRPr="00BD16B4" w:rsidRDefault="00ED2EBD" w:rsidP="004B6DE3">
            <w:pPr>
              <w:pStyle w:val="TableText"/>
              <w:spacing w:before="40" w:after="40"/>
              <w:jc w:val="right"/>
              <w:rPr>
                <w:rFonts w:cs="Calibri"/>
                <w:szCs w:val="18"/>
              </w:rPr>
            </w:pPr>
            <w:r w:rsidRPr="00BD16B4">
              <w:rPr>
                <w:rFonts w:cs="Calibri"/>
                <w:szCs w:val="18"/>
              </w:rPr>
              <w:t>593.26</w:t>
            </w:r>
          </w:p>
        </w:tc>
        <w:tc>
          <w:tcPr>
            <w:tcW w:w="1006" w:type="dxa"/>
          </w:tcPr>
          <w:p w14:paraId="4DF9AC49" w14:textId="77777777" w:rsidR="00ED2EBD" w:rsidRPr="00BD16B4" w:rsidRDefault="00ED2EBD" w:rsidP="004B6DE3">
            <w:pPr>
              <w:pStyle w:val="TableText"/>
              <w:spacing w:before="40" w:after="40"/>
              <w:jc w:val="right"/>
              <w:rPr>
                <w:rFonts w:cs="Calibri"/>
                <w:szCs w:val="18"/>
              </w:rPr>
            </w:pPr>
            <w:r w:rsidRPr="00BD16B4">
              <w:rPr>
                <w:rFonts w:cs="Calibri"/>
                <w:szCs w:val="18"/>
              </w:rPr>
              <w:t>612.92</w:t>
            </w:r>
          </w:p>
        </w:tc>
        <w:tc>
          <w:tcPr>
            <w:tcW w:w="1006" w:type="dxa"/>
          </w:tcPr>
          <w:p w14:paraId="7E535C3C" w14:textId="77777777" w:rsidR="00ED2EBD" w:rsidRPr="00BD16B4" w:rsidRDefault="00ED2EBD" w:rsidP="004B6DE3">
            <w:pPr>
              <w:pStyle w:val="TableText"/>
              <w:spacing w:before="40" w:after="40"/>
              <w:jc w:val="right"/>
              <w:rPr>
                <w:rFonts w:cs="Calibri"/>
                <w:szCs w:val="18"/>
              </w:rPr>
            </w:pPr>
            <w:r w:rsidRPr="00BD16B4">
              <w:rPr>
                <w:rFonts w:cs="Calibri"/>
                <w:szCs w:val="18"/>
              </w:rPr>
              <w:t>586.99</w:t>
            </w:r>
          </w:p>
        </w:tc>
        <w:tc>
          <w:tcPr>
            <w:tcW w:w="1007" w:type="dxa"/>
          </w:tcPr>
          <w:p w14:paraId="5F066354" w14:textId="77777777" w:rsidR="00ED2EBD" w:rsidRPr="00BD16B4" w:rsidRDefault="00ED2EBD" w:rsidP="004B6DE3">
            <w:pPr>
              <w:pStyle w:val="TableText"/>
              <w:spacing w:before="40" w:after="40"/>
              <w:jc w:val="right"/>
              <w:rPr>
                <w:rFonts w:cs="Calibri"/>
                <w:szCs w:val="18"/>
              </w:rPr>
            </w:pPr>
            <w:r w:rsidRPr="00BD16B4">
              <w:rPr>
                <w:rFonts w:cs="Calibri"/>
                <w:szCs w:val="18"/>
              </w:rPr>
              <w:t>611.22</w:t>
            </w:r>
          </w:p>
        </w:tc>
        <w:tc>
          <w:tcPr>
            <w:tcW w:w="1007" w:type="dxa"/>
          </w:tcPr>
          <w:p w14:paraId="131D7F56" w14:textId="77777777" w:rsidR="00ED2EBD" w:rsidRPr="00BD16B4" w:rsidRDefault="00ED2EBD" w:rsidP="004B6DE3">
            <w:pPr>
              <w:pStyle w:val="TableText"/>
              <w:spacing w:before="40" w:after="40"/>
              <w:jc w:val="right"/>
              <w:rPr>
                <w:rFonts w:cs="Calibri"/>
                <w:szCs w:val="18"/>
              </w:rPr>
            </w:pPr>
            <w:r w:rsidRPr="00BD16B4">
              <w:rPr>
                <w:rFonts w:cs="Calibri"/>
                <w:szCs w:val="18"/>
              </w:rPr>
              <w:t>863.32</w:t>
            </w:r>
          </w:p>
        </w:tc>
        <w:tc>
          <w:tcPr>
            <w:tcW w:w="1007" w:type="dxa"/>
          </w:tcPr>
          <w:p w14:paraId="6DAAB658" w14:textId="77777777" w:rsidR="00ED2EBD" w:rsidRPr="00BD16B4" w:rsidRDefault="00ED2EBD" w:rsidP="004B6DE3">
            <w:pPr>
              <w:pStyle w:val="TableText"/>
              <w:spacing w:before="40" w:after="40"/>
              <w:jc w:val="right"/>
              <w:rPr>
                <w:rFonts w:cs="Calibri"/>
                <w:szCs w:val="18"/>
              </w:rPr>
            </w:pPr>
            <w:r w:rsidRPr="00BD16B4">
              <w:rPr>
                <w:rFonts w:cs="Calibri"/>
                <w:szCs w:val="18"/>
              </w:rPr>
              <w:t>909.25</w:t>
            </w:r>
          </w:p>
        </w:tc>
        <w:tc>
          <w:tcPr>
            <w:tcW w:w="1007" w:type="dxa"/>
          </w:tcPr>
          <w:p w14:paraId="49223F56" w14:textId="77777777" w:rsidR="00ED2EBD" w:rsidRPr="00BD16B4" w:rsidRDefault="00ED2EBD" w:rsidP="004B6DE3">
            <w:pPr>
              <w:pStyle w:val="TableText"/>
              <w:spacing w:before="40" w:after="40"/>
              <w:jc w:val="right"/>
              <w:rPr>
                <w:rFonts w:cs="Calibri"/>
                <w:szCs w:val="18"/>
              </w:rPr>
            </w:pPr>
            <w:r w:rsidRPr="00BD16B4">
              <w:rPr>
                <w:rFonts w:cs="Calibri"/>
                <w:szCs w:val="18"/>
              </w:rPr>
              <w:t>958.88</w:t>
            </w:r>
          </w:p>
        </w:tc>
        <w:tc>
          <w:tcPr>
            <w:tcW w:w="1007" w:type="dxa"/>
          </w:tcPr>
          <w:p w14:paraId="41E49956" w14:textId="77777777" w:rsidR="00ED2EBD" w:rsidRPr="00BD16B4" w:rsidRDefault="00ED2EBD" w:rsidP="004B6DE3">
            <w:pPr>
              <w:pStyle w:val="TableText"/>
              <w:spacing w:before="40" w:after="40"/>
              <w:jc w:val="right"/>
              <w:rPr>
                <w:rFonts w:cs="Calibri"/>
                <w:szCs w:val="18"/>
              </w:rPr>
            </w:pPr>
            <w:r w:rsidRPr="00BD16B4">
              <w:rPr>
                <w:rFonts w:cs="Calibri"/>
                <w:szCs w:val="18"/>
              </w:rPr>
              <w:t>1,021.33</w:t>
            </w:r>
          </w:p>
        </w:tc>
        <w:tc>
          <w:tcPr>
            <w:tcW w:w="1007" w:type="dxa"/>
          </w:tcPr>
          <w:p w14:paraId="79DB62F0" w14:textId="77777777" w:rsidR="00ED2EBD" w:rsidRPr="00BD16B4" w:rsidRDefault="00ED2EBD" w:rsidP="004B6DE3">
            <w:pPr>
              <w:pStyle w:val="TableText"/>
              <w:spacing w:before="40" w:after="40"/>
              <w:jc w:val="right"/>
              <w:rPr>
                <w:rFonts w:cs="Calibri"/>
                <w:szCs w:val="18"/>
              </w:rPr>
            </w:pPr>
            <w:r w:rsidRPr="00BD16B4">
              <w:rPr>
                <w:rFonts w:cs="Calibri"/>
                <w:szCs w:val="18"/>
              </w:rPr>
              <w:t>1,242.18</w:t>
            </w:r>
          </w:p>
        </w:tc>
        <w:tc>
          <w:tcPr>
            <w:tcW w:w="1007" w:type="dxa"/>
          </w:tcPr>
          <w:p w14:paraId="706F8433" w14:textId="77777777" w:rsidR="00ED2EBD" w:rsidRPr="00BD16B4" w:rsidRDefault="00ED2EBD" w:rsidP="004B6DE3">
            <w:pPr>
              <w:pStyle w:val="TableText"/>
              <w:spacing w:before="40" w:after="40"/>
              <w:jc w:val="right"/>
              <w:rPr>
                <w:rFonts w:cs="Calibri"/>
                <w:szCs w:val="18"/>
              </w:rPr>
            </w:pPr>
            <w:r w:rsidRPr="00BD16B4">
              <w:rPr>
                <w:rFonts w:cs="Calibri"/>
                <w:szCs w:val="18"/>
              </w:rPr>
              <w:t>1,366.74</w:t>
            </w:r>
          </w:p>
        </w:tc>
      </w:tr>
      <w:tr w:rsidR="006446D5" w:rsidRPr="00BD16B4" w14:paraId="0E41F4A8" w14:textId="77777777" w:rsidTr="00061F5B">
        <w:tc>
          <w:tcPr>
            <w:tcW w:w="3539" w:type="dxa"/>
          </w:tcPr>
          <w:p w14:paraId="18FA9B95" w14:textId="68C87626" w:rsidR="00ED2EBD" w:rsidRPr="00BD16B4" w:rsidRDefault="00ED2EBD" w:rsidP="004B6DE3">
            <w:pPr>
              <w:pStyle w:val="TableText"/>
              <w:spacing w:before="40" w:after="40"/>
              <w:ind w:left="454" w:hanging="227"/>
              <w:rPr>
                <w:rFonts w:cs="Calibri"/>
                <w:szCs w:val="18"/>
              </w:rPr>
            </w:pPr>
            <w:r w:rsidRPr="00BD16B4">
              <w:rPr>
                <w:rFonts w:cs="Calibri"/>
                <w:szCs w:val="18"/>
              </w:rPr>
              <w:t>1.</w:t>
            </w:r>
            <w:r w:rsidR="00280979" w:rsidRPr="00BD16B4">
              <w:rPr>
                <w:rFonts w:cs="Calibri"/>
                <w:szCs w:val="18"/>
              </w:rPr>
              <w:t xml:space="preserve"> </w:t>
            </w:r>
            <w:r w:rsidR="00626537" w:rsidRPr="00BD16B4">
              <w:rPr>
                <w:rFonts w:cs="Calibri"/>
                <w:szCs w:val="18"/>
              </w:rPr>
              <w:tab/>
            </w:r>
            <w:r w:rsidRPr="00BD16B4">
              <w:rPr>
                <w:rFonts w:cs="Calibri"/>
                <w:szCs w:val="18"/>
              </w:rPr>
              <w:t>Solid fuels</w:t>
            </w:r>
          </w:p>
        </w:tc>
        <w:tc>
          <w:tcPr>
            <w:tcW w:w="1006" w:type="dxa"/>
          </w:tcPr>
          <w:p w14:paraId="612F58A1"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6" w:type="dxa"/>
          </w:tcPr>
          <w:p w14:paraId="7067F1FD"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6" w:type="dxa"/>
          </w:tcPr>
          <w:p w14:paraId="5EBB62CE"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6" w:type="dxa"/>
          </w:tcPr>
          <w:p w14:paraId="55CA6841"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7" w:type="dxa"/>
          </w:tcPr>
          <w:p w14:paraId="510E6346"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7" w:type="dxa"/>
          </w:tcPr>
          <w:p w14:paraId="30035038"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7" w:type="dxa"/>
          </w:tcPr>
          <w:p w14:paraId="0A293B61"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7" w:type="dxa"/>
          </w:tcPr>
          <w:p w14:paraId="6AD7B334"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7" w:type="dxa"/>
          </w:tcPr>
          <w:p w14:paraId="7002D038"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7" w:type="dxa"/>
          </w:tcPr>
          <w:p w14:paraId="36FAD7C6"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7" w:type="dxa"/>
          </w:tcPr>
          <w:p w14:paraId="5034A244"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r>
      <w:tr w:rsidR="006446D5" w:rsidRPr="00BD16B4" w14:paraId="20FA574E" w14:textId="77777777" w:rsidTr="00061F5B">
        <w:tc>
          <w:tcPr>
            <w:tcW w:w="3539" w:type="dxa"/>
          </w:tcPr>
          <w:p w14:paraId="13537E5E" w14:textId="6D6990C1" w:rsidR="00ED2EBD" w:rsidRPr="00BD16B4" w:rsidRDefault="00ED2EBD" w:rsidP="004B6DE3">
            <w:pPr>
              <w:pStyle w:val="TableText"/>
              <w:spacing w:before="40" w:after="40"/>
              <w:ind w:left="454" w:hanging="227"/>
              <w:rPr>
                <w:rFonts w:cs="Calibri"/>
                <w:szCs w:val="18"/>
              </w:rPr>
            </w:pPr>
            <w:r w:rsidRPr="00BD16B4">
              <w:rPr>
                <w:rFonts w:cs="Calibri"/>
                <w:szCs w:val="18"/>
              </w:rPr>
              <w:t>2.</w:t>
            </w:r>
            <w:r w:rsidR="00280979" w:rsidRPr="00BD16B4">
              <w:rPr>
                <w:rFonts w:cs="Calibri"/>
                <w:szCs w:val="18"/>
              </w:rPr>
              <w:t xml:space="preserve"> </w:t>
            </w:r>
            <w:r w:rsidR="00626537" w:rsidRPr="00BD16B4">
              <w:rPr>
                <w:rFonts w:cs="Calibri"/>
                <w:szCs w:val="18"/>
              </w:rPr>
              <w:tab/>
            </w:r>
            <w:r w:rsidRPr="00BD16B4">
              <w:rPr>
                <w:rFonts w:cs="Calibri"/>
                <w:szCs w:val="18"/>
              </w:rPr>
              <w:t>Oil and natural gas and other emissions from energy production</w:t>
            </w:r>
          </w:p>
        </w:tc>
        <w:tc>
          <w:tcPr>
            <w:tcW w:w="1006" w:type="dxa"/>
          </w:tcPr>
          <w:p w14:paraId="05238B82" w14:textId="77777777" w:rsidR="00ED2EBD" w:rsidRPr="00BD16B4" w:rsidRDefault="00ED2EBD" w:rsidP="004B6DE3">
            <w:pPr>
              <w:pStyle w:val="TableText"/>
              <w:spacing w:before="40" w:after="40"/>
              <w:jc w:val="right"/>
              <w:rPr>
                <w:rFonts w:cs="Calibri"/>
                <w:szCs w:val="18"/>
              </w:rPr>
            </w:pPr>
            <w:r w:rsidRPr="00BD16B4">
              <w:rPr>
                <w:rFonts w:cs="Calibri"/>
                <w:szCs w:val="18"/>
              </w:rPr>
              <w:t>616.16</w:t>
            </w:r>
          </w:p>
        </w:tc>
        <w:tc>
          <w:tcPr>
            <w:tcW w:w="1006" w:type="dxa"/>
          </w:tcPr>
          <w:p w14:paraId="3FABA5E9" w14:textId="77777777" w:rsidR="00ED2EBD" w:rsidRPr="00BD16B4" w:rsidRDefault="00ED2EBD" w:rsidP="004B6DE3">
            <w:pPr>
              <w:pStyle w:val="TableText"/>
              <w:spacing w:before="40" w:after="40"/>
              <w:jc w:val="right"/>
              <w:rPr>
                <w:rFonts w:cs="Calibri"/>
                <w:szCs w:val="18"/>
              </w:rPr>
            </w:pPr>
            <w:r w:rsidRPr="00BD16B4">
              <w:rPr>
                <w:rFonts w:cs="Calibri"/>
                <w:szCs w:val="18"/>
              </w:rPr>
              <w:t>593.26</w:t>
            </w:r>
          </w:p>
        </w:tc>
        <w:tc>
          <w:tcPr>
            <w:tcW w:w="1006" w:type="dxa"/>
          </w:tcPr>
          <w:p w14:paraId="3708B183" w14:textId="77777777" w:rsidR="00ED2EBD" w:rsidRPr="00BD16B4" w:rsidRDefault="00ED2EBD" w:rsidP="004B6DE3">
            <w:pPr>
              <w:pStyle w:val="TableText"/>
              <w:spacing w:before="40" w:after="40"/>
              <w:jc w:val="right"/>
              <w:rPr>
                <w:rFonts w:cs="Calibri"/>
                <w:szCs w:val="18"/>
              </w:rPr>
            </w:pPr>
            <w:r w:rsidRPr="00BD16B4">
              <w:rPr>
                <w:rFonts w:cs="Calibri"/>
                <w:szCs w:val="18"/>
              </w:rPr>
              <w:t>612.92</w:t>
            </w:r>
          </w:p>
        </w:tc>
        <w:tc>
          <w:tcPr>
            <w:tcW w:w="1006" w:type="dxa"/>
          </w:tcPr>
          <w:p w14:paraId="638ECE92" w14:textId="77777777" w:rsidR="00ED2EBD" w:rsidRPr="00BD16B4" w:rsidRDefault="00ED2EBD" w:rsidP="004B6DE3">
            <w:pPr>
              <w:pStyle w:val="TableText"/>
              <w:spacing w:before="40" w:after="40"/>
              <w:jc w:val="right"/>
              <w:rPr>
                <w:rFonts w:cs="Calibri"/>
                <w:szCs w:val="18"/>
              </w:rPr>
            </w:pPr>
            <w:r w:rsidRPr="00BD16B4">
              <w:rPr>
                <w:rFonts w:cs="Calibri"/>
                <w:szCs w:val="18"/>
              </w:rPr>
              <w:t>586.99</w:t>
            </w:r>
          </w:p>
        </w:tc>
        <w:tc>
          <w:tcPr>
            <w:tcW w:w="1007" w:type="dxa"/>
          </w:tcPr>
          <w:p w14:paraId="7897AB06" w14:textId="77777777" w:rsidR="00ED2EBD" w:rsidRPr="00BD16B4" w:rsidRDefault="00ED2EBD" w:rsidP="004B6DE3">
            <w:pPr>
              <w:pStyle w:val="TableText"/>
              <w:spacing w:before="40" w:after="40"/>
              <w:jc w:val="right"/>
              <w:rPr>
                <w:rFonts w:cs="Calibri"/>
                <w:szCs w:val="18"/>
              </w:rPr>
            </w:pPr>
            <w:r w:rsidRPr="00BD16B4">
              <w:rPr>
                <w:rFonts w:cs="Calibri"/>
                <w:szCs w:val="18"/>
              </w:rPr>
              <w:t>611.22</w:t>
            </w:r>
          </w:p>
        </w:tc>
        <w:tc>
          <w:tcPr>
            <w:tcW w:w="1007" w:type="dxa"/>
          </w:tcPr>
          <w:p w14:paraId="6D890C46" w14:textId="77777777" w:rsidR="00ED2EBD" w:rsidRPr="00BD16B4" w:rsidRDefault="00ED2EBD" w:rsidP="004B6DE3">
            <w:pPr>
              <w:pStyle w:val="TableText"/>
              <w:spacing w:before="40" w:after="40"/>
              <w:jc w:val="right"/>
              <w:rPr>
                <w:rFonts w:cs="Calibri"/>
                <w:szCs w:val="18"/>
              </w:rPr>
            </w:pPr>
            <w:r w:rsidRPr="00BD16B4">
              <w:rPr>
                <w:rFonts w:cs="Calibri"/>
                <w:szCs w:val="18"/>
              </w:rPr>
              <w:t>863.32</w:t>
            </w:r>
          </w:p>
        </w:tc>
        <w:tc>
          <w:tcPr>
            <w:tcW w:w="1007" w:type="dxa"/>
          </w:tcPr>
          <w:p w14:paraId="3DA8C673" w14:textId="77777777" w:rsidR="00ED2EBD" w:rsidRPr="00BD16B4" w:rsidRDefault="00ED2EBD" w:rsidP="004B6DE3">
            <w:pPr>
              <w:pStyle w:val="TableText"/>
              <w:spacing w:before="40" w:after="40"/>
              <w:jc w:val="right"/>
              <w:rPr>
                <w:rFonts w:cs="Calibri"/>
                <w:szCs w:val="18"/>
              </w:rPr>
            </w:pPr>
            <w:r w:rsidRPr="00BD16B4">
              <w:rPr>
                <w:rFonts w:cs="Calibri"/>
                <w:szCs w:val="18"/>
              </w:rPr>
              <w:t>909.25</w:t>
            </w:r>
          </w:p>
        </w:tc>
        <w:tc>
          <w:tcPr>
            <w:tcW w:w="1007" w:type="dxa"/>
          </w:tcPr>
          <w:p w14:paraId="0ED20EB6" w14:textId="77777777" w:rsidR="00ED2EBD" w:rsidRPr="00BD16B4" w:rsidRDefault="00ED2EBD" w:rsidP="004B6DE3">
            <w:pPr>
              <w:pStyle w:val="TableText"/>
              <w:spacing w:before="40" w:after="40"/>
              <w:jc w:val="right"/>
              <w:rPr>
                <w:rFonts w:cs="Calibri"/>
                <w:szCs w:val="18"/>
              </w:rPr>
            </w:pPr>
            <w:r w:rsidRPr="00BD16B4">
              <w:rPr>
                <w:rFonts w:cs="Calibri"/>
                <w:szCs w:val="18"/>
              </w:rPr>
              <w:t>958.88</w:t>
            </w:r>
          </w:p>
        </w:tc>
        <w:tc>
          <w:tcPr>
            <w:tcW w:w="1007" w:type="dxa"/>
          </w:tcPr>
          <w:p w14:paraId="2B8B02EE" w14:textId="77777777" w:rsidR="00ED2EBD" w:rsidRPr="00BD16B4" w:rsidRDefault="00ED2EBD" w:rsidP="004B6DE3">
            <w:pPr>
              <w:pStyle w:val="TableText"/>
              <w:spacing w:before="40" w:after="40"/>
              <w:jc w:val="right"/>
              <w:rPr>
                <w:rFonts w:cs="Calibri"/>
                <w:szCs w:val="18"/>
              </w:rPr>
            </w:pPr>
            <w:r w:rsidRPr="00BD16B4">
              <w:rPr>
                <w:rFonts w:cs="Calibri"/>
                <w:szCs w:val="18"/>
              </w:rPr>
              <w:t>1,021.33</w:t>
            </w:r>
          </w:p>
        </w:tc>
        <w:tc>
          <w:tcPr>
            <w:tcW w:w="1007" w:type="dxa"/>
          </w:tcPr>
          <w:p w14:paraId="0EFC41C0" w14:textId="77777777" w:rsidR="00ED2EBD" w:rsidRPr="00BD16B4" w:rsidRDefault="00ED2EBD" w:rsidP="004B6DE3">
            <w:pPr>
              <w:pStyle w:val="TableText"/>
              <w:spacing w:before="40" w:after="40"/>
              <w:jc w:val="right"/>
              <w:rPr>
                <w:rFonts w:cs="Calibri"/>
                <w:szCs w:val="18"/>
              </w:rPr>
            </w:pPr>
            <w:r w:rsidRPr="00BD16B4">
              <w:rPr>
                <w:rFonts w:cs="Calibri"/>
                <w:szCs w:val="18"/>
              </w:rPr>
              <w:t>1,242.18</w:t>
            </w:r>
          </w:p>
        </w:tc>
        <w:tc>
          <w:tcPr>
            <w:tcW w:w="1007" w:type="dxa"/>
          </w:tcPr>
          <w:p w14:paraId="7E731BB1" w14:textId="77777777" w:rsidR="00ED2EBD" w:rsidRPr="00BD16B4" w:rsidRDefault="00ED2EBD" w:rsidP="004B6DE3">
            <w:pPr>
              <w:pStyle w:val="TableText"/>
              <w:spacing w:before="40" w:after="40"/>
              <w:jc w:val="right"/>
              <w:rPr>
                <w:rFonts w:cs="Calibri"/>
                <w:szCs w:val="18"/>
              </w:rPr>
            </w:pPr>
            <w:r w:rsidRPr="00BD16B4">
              <w:rPr>
                <w:rFonts w:cs="Calibri"/>
                <w:szCs w:val="18"/>
              </w:rPr>
              <w:t>1,366.74</w:t>
            </w:r>
          </w:p>
        </w:tc>
      </w:tr>
      <w:tr w:rsidR="006446D5" w:rsidRPr="00BD16B4" w14:paraId="6976DF93" w14:textId="77777777" w:rsidTr="00061F5B">
        <w:tc>
          <w:tcPr>
            <w:tcW w:w="3539" w:type="dxa"/>
          </w:tcPr>
          <w:p w14:paraId="3EF40482" w14:textId="77777777" w:rsidR="00ED2EBD" w:rsidRPr="00BD16B4" w:rsidRDefault="00ED2EBD" w:rsidP="004B6DE3">
            <w:pPr>
              <w:pStyle w:val="TableText"/>
              <w:spacing w:before="40" w:after="40"/>
              <w:rPr>
                <w:rFonts w:cs="Calibri"/>
                <w:szCs w:val="18"/>
              </w:rPr>
            </w:pPr>
            <w:r w:rsidRPr="00BD16B4">
              <w:rPr>
                <w:rFonts w:cs="Calibri"/>
                <w:szCs w:val="18"/>
              </w:rPr>
              <w:t>C. CO</w:t>
            </w:r>
            <w:r w:rsidRPr="00BD16B4">
              <w:rPr>
                <w:rFonts w:cs="Calibri"/>
                <w:szCs w:val="18"/>
                <w:vertAlign w:val="subscript"/>
              </w:rPr>
              <w:t>2</w:t>
            </w:r>
            <w:r w:rsidRPr="00BD16B4">
              <w:rPr>
                <w:rFonts w:cs="Calibri"/>
                <w:szCs w:val="18"/>
              </w:rPr>
              <w:t xml:space="preserve"> transport and storage</w:t>
            </w:r>
          </w:p>
        </w:tc>
        <w:tc>
          <w:tcPr>
            <w:tcW w:w="1006" w:type="dxa"/>
          </w:tcPr>
          <w:p w14:paraId="325DB968"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6" w:type="dxa"/>
          </w:tcPr>
          <w:p w14:paraId="509E9DE0"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6" w:type="dxa"/>
          </w:tcPr>
          <w:p w14:paraId="701B8512"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6" w:type="dxa"/>
          </w:tcPr>
          <w:p w14:paraId="6ACCF68D"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7" w:type="dxa"/>
          </w:tcPr>
          <w:p w14:paraId="541B7888"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7" w:type="dxa"/>
          </w:tcPr>
          <w:p w14:paraId="3CEBD63E"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7" w:type="dxa"/>
          </w:tcPr>
          <w:p w14:paraId="3E86E463"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7" w:type="dxa"/>
          </w:tcPr>
          <w:p w14:paraId="57F477F7"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7" w:type="dxa"/>
          </w:tcPr>
          <w:p w14:paraId="58AB1BF1"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7" w:type="dxa"/>
          </w:tcPr>
          <w:p w14:paraId="375BC4E4"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c>
          <w:tcPr>
            <w:tcW w:w="1007" w:type="dxa"/>
          </w:tcPr>
          <w:p w14:paraId="569D3E96" w14:textId="77777777" w:rsidR="00ED2EBD" w:rsidRPr="00BD16B4" w:rsidRDefault="00ED2EBD" w:rsidP="004B6DE3">
            <w:pPr>
              <w:pStyle w:val="TableText"/>
              <w:spacing w:before="40" w:after="40"/>
              <w:jc w:val="right"/>
              <w:rPr>
                <w:rFonts w:cs="Calibri"/>
                <w:szCs w:val="18"/>
              </w:rPr>
            </w:pPr>
            <w:r w:rsidRPr="00BD16B4">
              <w:rPr>
                <w:rFonts w:cs="Calibri"/>
                <w:szCs w:val="18"/>
              </w:rPr>
              <w:t>NO</w:t>
            </w:r>
          </w:p>
        </w:tc>
      </w:tr>
      <w:tr w:rsidR="006446D5" w:rsidRPr="00BD16B4" w14:paraId="7CDF84FE" w14:textId="77777777" w:rsidTr="00061F5B">
        <w:tc>
          <w:tcPr>
            <w:tcW w:w="3539" w:type="dxa"/>
          </w:tcPr>
          <w:p w14:paraId="106BF780" w14:textId="1D0BF204" w:rsidR="00ED2EBD" w:rsidRPr="00BD16B4" w:rsidRDefault="00ED2EBD" w:rsidP="004B6DE3">
            <w:pPr>
              <w:pStyle w:val="TableText"/>
              <w:spacing w:before="40" w:after="40"/>
              <w:rPr>
                <w:rFonts w:cs="Calibri"/>
                <w:szCs w:val="18"/>
              </w:rPr>
            </w:pPr>
            <w:r w:rsidRPr="00BD16B4">
              <w:rPr>
                <w:rFonts w:cs="Calibri"/>
                <w:b/>
                <w:bCs/>
                <w:szCs w:val="18"/>
              </w:rPr>
              <w:t>2.</w:t>
            </w:r>
            <w:r w:rsidR="00280979" w:rsidRPr="00BD16B4">
              <w:rPr>
                <w:rFonts w:cs="Calibri"/>
                <w:b/>
                <w:bCs/>
                <w:szCs w:val="18"/>
              </w:rPr>
              <w:t xml:space="preserve"> </w:t>
            </w:r>
            <w:r w:rsidRPr="00BD16B4">
              <w:rPr>
                <w:rFonts w:cs="Calibri"/>
                <w:b/>
                <w:bCs/>
                <w:szCs w:val="18"/>
              </w:rPr>
              <w:t>Industrial processes</w:t>
            </w:r>
          </w:p>
        </w:tc>
        <w:tc>
          <w:tcPr>
            <w:tcW w:w="1006" w:type="dxa"/>
          </w:tcPr>
          <w:p w14:paraId="1902AEF6" w14:textId="77777777" w:rsidR="00ED2EBD" w:rsidRPr="00BD16B4" w:rsidRDefault="00ED2EBD" w:rsidP="004B6DE3">
            <w:pPr>
              <w:pStyle w:val="TableText"/>
              <w:spacing w:before="40" w:after="40"/>
              <w:jc w:val="right"/>
              <w:rPr>
                <w:rFonts w:cs="Calibri"/>
                <w:szCs w:val="18"/>
              </w:rPr>
            </w:pPr>
            <w:r w:rsidRPr="00BD16B4">
              <w:rPr>
                <w:rFonts w:cs="Calibri"/>
                <w:szCs w:val="18"/>
              </w:rPr>
              <w:t>2,944.29</w:t>
            </w:r>
          </w:p>
        </w:tc>
        <w:tc>
          <w:tcPr>
            <w:tcW w:w="1006" w:type="dxa"/>
          </w:tcPr>
          <w:p w14:paraId="16FED575" w14:textId="77777777" w:rsidR="00ED2EBD" w:rsidRPr="00BD16B4" w:rsidRDefault="00ED2EBD" w:rsidP="004B6DE3">
            <w:pPr>
              <w:pStyle w:val="TableText"/>
              <w:spacing w:before="40" w:after="40"/>
              <w:jc w:val="right"/>
              <w:rPr>
                <w:rFonts w:cs="Calibri"/>
                <w:szCs w:val="18"/>
              </w:rPr>
            </w:pPr>
            <w:r w:rsidRPr="00BD16B4">
              <w:rPr>
                <w:rFonts w:cs="Calibri"/>
                <w:szCs w:val="18"/>
              </w:rPr>
              <w:t>2,922.48</w:t>
            </w:r>
          </w:p>
        </w:tc>
        <w:tc>
          <w:tcPr>
            <w:tcW w:w="1006" w:type="dxa"/>
          </w:tcPr>
          <w:p w14:paraId="494FA4EC" w14:textId="77777777" w:rsidR="00ED2EBD" w:rsidRPr="00BD16B4" w:rsidRDefault="00ED2EBD" w:rsidP="004B6DE3">
            <w:pPr>
              <w:pStyle w:val="TableText"/>
              <w:spacing w:before="40" w:after="40"/>
              <w:jc w:val="right"/>
              <w:rPr>
                <w:rFonts w:cs="Calibri"/>
                <w:szCs w:val="18"/>
              </w:rPr>
            </w:pPr>
            <w:r w:rsidRPr="00BD16B4">
              <w:rPr>
                <w:rFonts w:cs="Calibri"/>
                <w:szCs w:val="18"/>
              </w:rPr>
              <w:t>2,986.90</w:t>
            </w:r>
          </w:p>
        </w:tc>
        <w:tc>
          <w:tcPr>
            <w:tcW w:w="1006" w:type="dxa"/>
          </w:tcPr>
          <w:p w14:paraId="0F76CD26" w14:textId="77777777" w:rsidR="00ED2EBD" w:rsidRPr="00BD16B4" w:rsidRDefault="00ED2EBD" w:rsidP="004B6DE3">
            <w:pPr>
              <w:pStyle w:val="TableText"/>
              <w:spacing w:before="40" w:after="40"/>
              <w:jc w:val="right"/>
              <w:rPr>
                <w:rFonts w:cs="Calibri"/>
                <w:szCs w:val="18"/>
              </w:rPr>
            </w:pPr>
            <w:r w:rsidRPr="00BD16B4">
              <w:rPr>
                <w:rFonts w:cs="Calibri"/>
                <w:szCs w:val="18"/>
              </w:rPr>
              <w:t>2,984.81</w:t>
            </w:r>
          </w:p>
        </w:tc>
        <w:tc>
          <w:tcPr>
            <w:tcW w:w="1007" w:type="dxa"/>
          </w:tcPr>
          <w:p w14:paraId="5BA8F55B" w14:textId="77777777" w:rsidR="00ED2EBD" w:rsidRPr="00BD16B4" w:rsidRDefault="00ED2EBD" w:rsidP="004B6DE3">
            <w:pPr>
              <w:pStyle w:val="TableText"/>
              <w:spacing w:before="40" w:after="40"/>
              <w:jc w:val="right"/>
              <w:rPr>
                <w:rFonts w:cs="Calibri"/>
                <w:szCs w:val="18"/>
              </w:rPr>
            </w:pPr>
            <w:r w:rsidRPr="00BD16B4">
              <w:rPr>
                <w:rFonts w:cs="Calibri"/>
                <w:szCs w:val="18"/>
              </w:rPr>
              <w:t>3,152.96</w:t>
            </w:r>
          </w:p>
        </w:tc>
        <w:tc>
          <w:tcPr>
            <w:tcW w:w="1007" w:type="dxa"/>
          </w:tcPr>
          <w:p w14:paraId="7BD999FE" w14:textId="77777777" w:rsidR="00ED2EBD" w:rsidRPr="00BD16B4" w:rsidRDefault="00ED2EBD" w:rsidP="004B6DE3">
            <w:pPr>
              <w:pStyle w:val="TableText"/>
              <w:spacing w:before="40" w:after="40"/>
              <w:jc w:val="right"/>
              <w:rPr>
                <w:rFonts w:cs="Calibri"/>
                <w:szCs w:val="18"/>
              </w:rPr>
            </w:pPr>
            <w:r w:rsidRPr="00BD16B4">
              <w:rPr>
                <w:rFonts w:cs="Calibri"/>
                <w:szCs w:val="18"/>
              </w:rPr>
              <w:t>3,131.49</w:t>
            </w:r>
          </w:p>
        </w:tc>
        <w:tc>
          <w:tcPr>
            <w:tcW w:w="1007" w:type="dxa"/>
          </w:tcPr>
          <w:p w14:paraId="65F5A1BA" w14:textId="77777777" w:rsidR="00ED2EBD" w:rsidRPr="00BD16B4" w:rsidRDefault="00ED2EBD" w:rsidP="004B6DE3">
            <w:pPr>
              <w:pStyle w:val="TableText"/>
              <w:spacing w:before="40" w:after="40"/>
              <w:jc w:val="right"/>
              <w:rPr>
                <w:rFonts w:cs="Calibri"/>
                <w:szCs w:val="18"/>
              </w:rPr>
            </w:pPr>
            <w:r w:rsidRPr="00BD16B4">
              <w:rPr>
                <w:rFonts w:cs="Calibri"/>
                <w:szCs w:val="18"/>
              </w:rPr>
              <w:t>3,208.64</w:t>
            </w:r>
          </w:p>
        </w:tc>
        <w:tc>
          <w:tcPr>
            <w:tcW w:w="1007" w:type="dxa"/>
          </w:tcPr>
          <w:p w14:paraId="1B4A5189" w14:textId="77777777" w:rsidR="00ED2EBD" w:rsidRPr="00BD16B4" w:rsidRDefault="00ED2EBD" w:rsidP="004B6DE3">
            <w:pPr>
              <w:pStyle w:val="TableText"/>
              <w:spacing w:before="40" w:after="40"/>
              <w:jc w:val="right"/>
              <w:rPr>
                <w:rFonts w:cs="Calibri"/>
                <w:szCs w:val="18"/>
              </w:rPr>
            </w:pPr>
            <w:r w:rsidRPr="00BD16B4">
              <w:rPr>
                <w:rFonts w:cs="Calibri"/>
                <w:szCs w:val="18"/>
              </w:rPr>
              <w:t>3,180.88</w:t>
            </w:r>
          </w:p>
        </w:tc>
        <w:tc>
          <w:tcPr>
            <w:tcW w:w="1007" w:type="dxa"/>
          </w:tcPr>
          <w:p w14:paraId="0D26BD01" w14:textId="77777777" w:rsidR="00ED2EBD" w:rsidRPr="00BD16B4" w:rsidRDefault="00ED2EBD" w:rsidP="004B6DE3">
            <w:pPr>
              <w:pStyle w:val="TableText"/>
              <w:spacing w:before="40" w:after="40"/>
              <w:jc w:val="right"/>
              <w:rPr>
                <w:rFonts w:cs="Calibri"/>
                <w:szCs w:val="18"/>
              </w:rPr>
            </w:pPr>
            <w:r w:rsidRPr="00BD16B4">
              <w:rPr>
                <w:rFonts w:cs="Calibri"/>
                <w:szCs w:val="18"/>
              </w:rPr>
              <w:t>3,376.87</w:t>
            </w:r>
          </w:p>
        </w:tc>
        <w:tc>
          <w:tcPr>
            <w:tcW w:w="1007" w:type="dxa"/>
          </w:tcPr>
          <w:p w14:paraId="222D86BD" w14:textId="77777777" w:rsidR="00ED2EBD" w:rsidRPr="00BD16B4" w:rsidRDefault="00ED2EBD" w:rsidP="004B6DE3">
            <w:pPr>
              <w:pStyle w:val="TableText"/>
              <w:spacing w:before="40" w:after="40"/>
              <w:jc w:val="right"/>
              <w:rPr>
                <w:rFonts w:cs="Calibri"/>
                <w:szCs w:val="18"/>
              </w:rPr>
            </w:pPr>
            <w:r w:rsidRPr="00BD16B4">
              <w:rPr>
                <w:rFonts w:cs="Calibri"/>
                <w:szCs w:val="18"/>
              </w:rPr>
              <w:t>3,158.99</w:t>
            </w:r>
          </w:p>
        </w:tc>
        <w:tc>
          <w:tcPr>
            <w:tcW w:w="1007" w:type="dxa"/>
          </w:tcPr>
          <w:p w14:paraId="4796BD0D" w14:textId="77777777" w:rsidR="00ED2EBD" w:rsidRPr="00BD16B4" w:rsidRDefault="00ED2EBD" w:rsidP="004B6DE3">
            <w:pPr>
              <w:pStyle w:val="TableText"/>
              <w:spacing w:before="40" w:after="40"/>
              <w:jc w:val="right"/>
              <w:rPr>
                <w:rFonts w:cs="Calibri"/>
                <w:szCs w:val="18"/>
              </w:rPr>
            </w:pPr>
            <w:r w:rsidRPr="00BD16B4">
              <w:rPr>
                <w:rFonts w:cs="Calibri"/>
                <w:szCs w:val="18"/>
              </w:rPr>
              <w:t>3,022.38</w:t>
            </w:r>
          </w:p>
        </w:tc>
      </w:tr>
      <w:tr w:rsidR="006446D5" w:rsidRPr="00BD16B4" w14:paraId="74FD6230" w14:textId="77777777" w:rsidTr="00061F5B">
        <w:tc>
          <w:tcPr>
            <w:tcW w:w="3539" w:type="dxa"/>
          </w:tcPr>
          <w:p w14:paraId="25FE0C58" w14:textId="180746BD" w:rsidR="00ED2EBD" w:rsidRPr="00BD16B4" w:rsidRDefault="00ED2EBD" w:rsidP="004B6DE3">
            <w:pPr>
              <w:pStyle w:val="TableText"/>
              <w:spacing w:before="40" w:after="40"/>
              <w:rPr>
                <w:rFonts w:cs="Calibri"/>
                <w:szCs w:val="18"/>
              </w:rPr>
            </w:pPr>
            <w:r w:rsidRPr="00BD16B4">
              <w:rPr>
                <w:rFonts w:cs="Calibri"/>
                <w:szCs w:val="18"/>
              </w:rPr>
              <w:t>A.</w:t>
            </w:r>
            <w:r w:rsidR="00280979" w:rsidRPr="00BD16B4">
              <w:rPr>
                <w:rFonts w:cs="Calibri"/>
                <w:szCs w:val="18"/>
              </w:rPr>
              <w:t xml:space="preserve"> </w:t>
            </w:r>
            <w:r w:rsidRPr="00BD16B4">
              <w:rPr>
                <w:rFonts w:cs="Calibri"/>
                <w:szCs w:val="18"/>
              </w:rPr>
              <w:t>Mineral industry</w:t>
            </w:r>
          </w:p>
        </w:tc>
        <w:tc>
          <w:tcPr>
            <w:tcW w:w="1006" w:type="dxa"/>
          </w:tcPr>
          <w:p w14:paraId="1E2C606A" w14:textId="77777777" w:rsidR="00ED2EBD" w:rsidRPr="00BD16B4" w:rsidRDefault="00ED2EBD" w:rsidP="004B6DE3">
            <w:pPr>
              <w:pStyle w:val="TableText"/>
              <w:spacing w:before="40" w:after="40"/>
              <w:jc w:val="right"/>
              <w:rPr>
                <w:rFonts w:cs="Calibri"/>
                <w:szCs w:val="18"/>
              </w:rPr>
            </w:pPr>
            <w:r w:rsidRPr="00BD16B4">
              <w:rPr>
                <w:rFonts w:cs="Calibri"/>
                <w:szCs w:val="18"/>
              </w:rPr>
              <w:t>728.35</w:t>
            </w:r>
          </w:p>
        </w:tc>
        <w:tc>
          <w:tcPr>
            <w:tcW w:w="1006" w:type="dxa"/>
          </w:tcPr>
          <w:p w14:paraId="277B912F" w14:textId="77777777" w:rsidR="00ED2EBD" w:rsidRPr="00BD16B4" w:rsidRDefault="00ED2EBD" w:rsidP="004B6DE3">
            <w:pPr>
              <w:pStyle w:val="TableText"/>
              <w:spacing w:before="40" w:after="40"/>
              <w:jc w:val="right"/>
              <w:rPr>
                <w:rFonts w:cs="Calibri"/>
                <w:szCs w:val="18"/>
              </w:rPr>
            </w:pPr>
            <w:r w:rsidRPr="00BD16B4">
              <w:rPr>
                <w:rFonts w:cs="Calibri"/>
                <w:szCs w:val="18"/>
              </w:rPr>
              <w:t>718.54</w:t>
            </w:r>
          </w:p>
        </w:tc>
        <w:tc>
          <w:tcPr>
            <w:tcW w:w="1006" w:type="dxa"/>
          </w:tcPr>
          <w:p w14:paraId="4A7D8746" w14:textId="77777777" w:rsidR="00ED2EBD" w:rsidRPr="00BD16B4" w:rsidRDefault="00ED2EBD" w:rsidP="004B6DE3">
            <w:pPr>
              <w:pStyle w:val="TableText"/>
              <w:spacing w:before="40" w:after="40"/>
              <w:jc w:val="right"/>
              <w:rPr>
                <w:rFonts w:cs="Calibri"/>
                <w:szCs w:val="18"/>
              </w:rPr>
            </w:pPr>
            <w:r w:rsidRPr="00BD16B4">
              <w:rPr>
                <w:rFonts w:cs="Calibri"/>
                <w:szCs w:val="18"/>
              </w:rPr>
              <w:t>716.89</w:t>
            </w:r>
          </w:p>
        </w:tc>
        <w:tc>
          <w:tcPr>
            <w:tcW w:w="1006" w:type="dxa"/>
          </w:tcPr>
          <w:p w14:paraId="4CBB620B" w14:textId="77777777" w:rsidR="00ED2EBD" w:rsidRPr="00BD16B4" w:rsidRDefault="00ED2EBD" w:rsidP="004B6DE3">
            <w:pPr>
              <w:pStyle w:val="TableText"/>
              <w:spacing w:before="40" w:after="40"/>
              <w:jc w:val="right"/>
              <w:rPr>
                <w:rFonts w:cs="Calibri"/>
                <w:szCs w:val="18"/>
              </w:rPr>
            </w:pPr>
            <w:r w:rsidRPr="00BD16B4">
              <w:rPr>
                <w:rFonts w:cs="Calibri"/>
                <w:szCs w:val="18"/>
              </w:rPr>
              <w:t>706.97</w:t>
            </w:r>
          </w:p>
        </w:tc>
        <w:tc>
          <w:tcPr>
            <w:tcW w:w="1007" w:type="dxa"/>
          </w:tcPr>
          <w:p w14:paraId="4BAD2320" w14:textId="77777777" w:rsidR="00ED2EBD" w:rsidRPr="00BD16B4" w:rsidRDefault="00ED2EBD" w:rsidP="004B6DE3">
            <w:pPr>
              <w:pStyle w:val="TableText"/>
              <w:spacing w:before="40" w:after="40"/>
              <w:jc w:val="right"/>
              <w:rPr>
                <w:rFonts w:cs="Calibri"/>
                <w:szCs w:val="18"/>
              </w:rPr>
            </w:pPr>
            <w:r w:rsidRPr="00BD16B4">
              <w:rPr>
                <w:rFonts w:cs="Calibri"/>
                <w:szCs w:val="18"/>
              </w:rPr>
              <w:t>697.26</w:t>
            </w:r>
          </w:p>
        </w:tc>
        <w:tc>
          <w:tcPr>
            <w:tcW w:w="1007" w:type="dxa"/>
          </w:tcPr>
          <w:p w14:paraId="4C296861" w14:textId="77777777" w:rsidR="00ED2EBD" w:rsidRPr="00BD16B4" w:rsidRDefault="00ED2EBD" w:rsidP="004B6DE3">
            <w:pPr>
              <w:pStyle w:val="TableText"/>
              <w:spacing w:before="40" w:after="40"/>
              <w:jc w:val="right"/>
              <w:rPr>
                <w:rFonts w:cs="Calibri"/>
                <w:szCs w:val="18"/>
              </w:rPr>
            </w:pPr>
            <w:r w:rsidRPr="00BD16B4">
              <w:rPr>
                <w:rFonts w:cs="Calibri"/>
                <w:szCs w:val="18"/>
              </w:rPr>
              <w:t>666.68</w:t>
            </w:r>
          </w:p>
        </w:tc>
        <w:tc>
          <w:tcPr>
            <w:tcW w:w="1007" w:type="dxa"/>
          </w:tcPr>
          <w:p w14:paraId="6B961E56" w14:textId="77777777" w:rsidR="00ED2EBD" w:rsidRPr="00BD16B4" w:rsidRDefault="00ED2EBD" w:rsidP="004B6DE3">
            <w:pPr>
              <w:pStyle w:val="TableText"/>
              <w:spacing w:before="40" w:after="40"/>
              <w:jc w:val="right"/>
              <w:rPr>
                <w:rFonts w:cs="Calibri"/>
                <w:szCs w:val="18"/>
              </w:rPr>
            </w:pPr>
            <w:r w:rsidRPr="00BD16B4">
              <w:rPr>
                <w:rFonts w:cs="Calibri"/>
                <w:szCs w:val="18"/>
              </w:rPr>
              <w:t>756.18</w:t>
            </w:r>
          </w:p>
        </w:tc>
        <w:tc>
          <w:tcPr>
            <w:tcW w:w="1007" w:type="dxa"/>
          </w:tcPr>
          <w:p w14:paraId="7916C5EB" w14:textId="77777777" w:rsidR="00ED2EBD" w:rsidRPr="00BD16B4" w:rsidRDefault="00ED2EBD" w:rsidP="004B6DE3">
            <w:pPr>
              <w:pStyle w:val="TableText"/>
              <w:spacing w:before="40" w:after="40"/>
              <w:jc w:val="right"/>
              <w:rPr>
                <w:rFonts w:cs="Calibri"/>
                <w:szCs w:val="18"/>
              </w:rPr>
            </w:pPr>
            <w:r w:rsidRPr="00BD16B4">
              <w:rPr>
                <w:rFonts w:cs="Calibri"/>
                <w:szCs w:val="18"/>
              </w:rPr>
              <w:t>719.14</w:t>
            </w:r>
          </w:p>
        </w:tc>
        <w:tc>
          <w:tcPr>
            <w:tcW w:w="1007" w:type="dxa"/>
          </w:tcPr>
          <w:p w14:paraId="79B3D229" w14:textId="77777777" w:rsidR="00ED2EBD" w:rsidRPr="00BD16B4" w:rsidRDefault="00ED2EBD" w:rsidP="004B6DE3">
            <w:pPr>
              <w:pStyle w:val="TableText"/>
              <w:spacing w:before="40" w:after="40"/>
              <w:jc w:val="right"/>
              <w:rPr>
                <w:rFonts w:cs="Calibri"/>
                <w:szCs w:val="18"/>
              </w:rPr>
            </w:pPr>
            <w:r w:rsidRPr="00BD16B4">
              <w:rPr>
                <w:rFonts w:cs="Calibri"/>
                <w:szCs w:val="18"/>
              </w:rPr>
              <w:t>861.50</w:t>
            </w:r>
          </w:p>
        </w:tc>
        <w:tc>
          <w:tcPr>
            <w:tcW w:w="1007" w:type="dxa"/>
          </w:tcPr>
          <w:p w14:paraId="02927099" w14:textId="77777777" w:rsidR="00ED2EBD" w:rsidRPr="00BD16B4" w:rsidRDefault="00ED2EBD" w:rsidP="004B6DE3">
            <w:pPr>
              <w:pStyle w:val="TableText"/>
              <w:spacing w:before="40" w:after="40"/>
              <w:jc w:val="right"/>
              <w:rPr>
                <w:rFonts w:cs="Calibri"/>
                <w:szCs w:val="18"/>
              </w:rPr>
            </w:pPr>
            <w:r w:rsidRPr="00BD16B4">
              <w:rPr>
                <w:rFonts w:cs="Calibri"/>
                <w:szCs w:val="18"/>
              </w:rPr>
              <w:t>807.03</w:t>
            </w:r>
          </w:p>
        </w:tc>
        <w:tc>
          <w:tcPr>
            <w:tcW w:w="1007" w:type="dxa"/>
          </w:tcPr>
          <w:p w14:paraId="46F6613E" w14:textId="77777777" w:rsidR="00ED2EBD" w:rsidRPr="00BD16B4" w:rsidRDefault="00ED2EBD" w:rsidP="004B6DE3">
            <w:pPr>
              <w:pStyle w:val="TableText"/>
              <w:spacing w:before="40" w:after="40"/>
              <w:jc w:val="right"/>
              <w:rPr>
                <w:rFonts w:cs="Calibri"/>
                <w:szCs w:val="18"/>
              </w:rPr>
            </w:pPr>
            <w:r w:rsidRPr="00BD16B4">
              <w:rPr>
                <w:rFonts w:cs="Calibri"/>
                <w:szCs w:val="18"/>
              </w:rPr>
              <w:t>752.17</w:t>
            </w:r>
          </w:p>
        </w:tc>
      </w:tr>
      <w:tr w:rsidR="006446D5" w:rsidRPr="00BD16B4" w14:paraId="2C74C1E2" w14:textId="77777777" w:rsidTr="00061F5B">
        <w:tc>
          <w:tcPr>
            <w:tcW w:w="3539" w:type="dxa"/>
          </w:tcPr>
          <w:p w14:paraId="37ACB40A" w14:textId="05893CAB" w:rsidR="00ED2EBD" w:rsidRPr="00BD16B4" w:rsidRDefault="00ED2EBD" w:rsidP="004B6DE3">
            <w:pPr>
              <w:pStyle w:val="TableText"/>
              <w:spacing w:before="40" w:after="40"/>
              <w:rPr>
                <w:rFonts w:cs="Calibri"/>
                <w:szCs w:val="18"/>
              </w:rPr>
            </w:pPr>
            <w:r w:rsidRPr="00BD16B4">
              <w:rPr>
                <w:rFonts w:cs="Calibri"/>
                <w:szCs w:val="18"/>
              </w:rPr>
              <w:t>B.</w:t>
            </w:r>
            <w:r w:rsidR="00280979" w:rsidRPr="00BD16B4">
              <w:rPr>
                <w:rFonts w:cs="Calibri"/>
                <w:szCs w:val="18"/>
              </w:rPr>
              <w:t xml:space="preserve"> </w:t>
            </w:r>
            <w:r w:rsidRPr="00BD16B4">
              <w:rPr>
                <w:rFonts w:cs="Calibri"/>
                <w:szCs w:val="18"/>
              </w:rPr>
              <w:t>Chemical industry</w:t>
            </w:r>
          </w:p>
        </w:tc>
        <w:tc>
          <w:tcPr>
            <w:tcW w:w="1006" w:type="dxa"/>
          </w:tcPr>
          <w:p w14:paraId="7783ACFC" w14:textId="77777777" w:rsidR="00ED2EBD" w:rsidRPr="00BD16B4" w:rsidRDefault="00ED2EBD" w:rsidP="004B6DE3">
            <w:pPr>
              <w:pStyle w:val="TableText"/>
              <w:spacing w:before="40" w:after="40"/>
              <w:jc w:val="right"/>
              <w:rPr>
                <w:rFonts w:cs="Calibri"/>
                <w:szCs w:val="18"/>
              </w:rPr>
            </w:pPr>
            <w:r w:rsidRPr="00BD16B4">
              <w:rPr>
                <w:rFonts w:cs="Calibri"/>
                <w:szCs w:val="18"/>
              </w:rPr>
              <w:t>196.71</w:t>
            </w:r>
          </w:p>
        </w:tc>
        <w:tc>
          <w:tcPr>
            <w:tcW w:w="1006" w:type="dxa"/>
          </w:tcPr>
          <w:p w14:paraId="11903915" w14:textId="77777777" w:rsidR="00ED2EBD" w:rsidRPr="00BD16B4" w:rsidRDefault="00ED2EBD" w:rsidP="004B6DE3">
            <w:pPr>
              <w:pStyle w:val="TableText"/>
              <w:spacing w:before="40" w:after="40"/>
              <w:jc w:val="right"/>
              <w:rPr>
                <w:rFonts w:cs="Calibri"/>
                <w:szCs w:val="18"/>
              </w:rPr>
            </w:pPr>
            <w:r w:rsidRPr="00BD16B4">
              <w:rPr>
                <w:rFonts w:cs="Calibri"/>
                <w:szCs w:val="18"/>
              </w:rPr>
              <w:t>198.26</w:t>
            </w:r>
          </w:p>
        </w:tc>
        <w:tc>
          <w:tcPr>
            <w:tcW w:w="1006" w:type="dxa"/>
          </w:tcPr>
          <w:p w14:paraId="64EAA614" w14:textId="77777777" w:rsidR="00ED2EBD" w:rsidRPr="00BD16B4" w:rsidRDefault="00ED2EBD" w:rsidP="004B6DE3">
            <w:pPr>
              <w:pStyle w:val="TableText"/>
              <w:spacing w:before="40" w:after="40"/>
              <w:jc w:val="right"/>
              <w:rPr>
                <w:rFonts w:cs="Calibri"/>
                <w:szCs w:val="18"/>
              </w:rPr>
            </w:pPr>
            <w:r w:rsidRPr="00BD16B4">
              <w:rPr>
                <w:rFonts w:cs="Calibri"/>
                <w:szCs w:val="18"/>
              </w:rPr>
              <w:t>206.31</w:t>
            </w:r>
          </w:p>
        </w:tc>
        <w:tc>
          <w:tcPr>
            <w:tcW w:w="1006" w:type="dxa"/>
          </w:tcPr>
          <w:p w14:paraId="18F24A19" w14:textId="77777777" w:rsidR="00ED2EBD" w:rsidRPr="00BD16B4" w:rsidRDefault="00ED2EBD" w:rsidP="004B6DE3">
            <w:pPr>
              <w:pStyle w:val="TableText"/>
              <w:spacing w:before="40" w:after="40"/>
              <w:jc w:val="right"/>
              <w:rPr>
                <w:rFonts w:cs="Calibri"/>
                <w:szCs w:val="18"/>
              </w:rPr>
            </w:pPr>
            <w:r w:rsidRPr="00BD16B4">
              <w:rPr>
                <w:rFonts w:cs="Calibri"/>
                <w:szCs w:val="18"/>
              </w:rPr>
              <w:t>213.07</w:t>
            </w:r>
          </w:p>
        </w:tc>
        <w:tc>
          <w:tcPr>
            <w:tcW w:w="1007" w:type="dxa"/>
          </w:tcPr>
          <w:p w14:paraId="22116C16" w14:textId="77777777" w:rsidR="00ED2EBD" w:rsidRPr="00BD16B4" w:rsidRDefault="00ED2EBD" w:rsidP="004B6DE3">
            <w:pPr>
              <w:pStyle w:val="TableText"/>
              <w:spacing w:before="40" w:after="40"/>
              <w:jc w:val="right"/>
              <w:rPr>
                <w:rFonts w:cs="Calibri"/>
                <w:szCs w:val="18"/>
              </w:rPr>
            </w:pPr>
            <w:r w:rsidRPr="00BD16B4">
              <w:rPr>
                <w:rFonts w:cs="Calibri"/>
                <w:szCs w:val="18"/>
              </w:rPr>
              <w:t>201.42</w:t>
            </w:r>
          </w:p>
        </w:tc>
        <w:tc>
          <w:tcPr>
            <w:tcW w:w="1007" w:type="dxa"/>
          </w:tcPr>
          <w:p w14:paraId="116C5B04" w14:textId="77777777" w:rsidR="00ED2EBD" w:rsidRPr="00BD16B4" w:rsidRDefault="00ED2EBD" w:rsidP="004B6DE3">
            <w:pPr>
              <w:pStyle w:val="TableText"/>
              <w:spacing w:before="40" w:after="40"/>
              <w:jc w:val="right"/>
              <w:rPr>
                <w:rFonts w:cs="Calibri"/>
                <w:szCs w:val="18"/>
              </w:rPr>
            </w:pPr>
            <w:r w:rsidRPr="00BD16B4">
              <w:rPr>
                <w:rFonts w:cs="Calibri"/>
                <w:szCs w:val="18"/>
              </w:rPr>
              <w:t>194.29</w:t>
            </w:r>
          </w:p>
        </w:tc>
        <w:tc>
          <w:tcPr>
            <w:tcW w:w="1007" w:type="dxa"/>
          </w:tcPr>
          <w:p w14:paraId="04EC65D3" w14:textId="77777777" w:rsidR="00ED2EBD" w:rsidRPr="00BD16B4" w:rsidRDefault="00ED2EBD" w:rsidP="004B6DE3">
            <w:pPr>
              <w:pStyle w:val="TableText"/>
              <w:spacing w:before="40" w:after="40"/>
              <w:jc w:val="right"/>
              <w:rPr>
                <w:rFonts w:cs="Calibri"/>
                <w:szCs w:val="18"/>
              </w:rPr>
            </w:pPr>
            <w:r w:rsidRPr="00BD16B4">
              <w:rPr>
                <w:rFonts w:cs="Calibri"/>
                <w:szCs w:val="18"/>
              </w:rPr>
              <w:t>229.12</w:t>
            </w:r>
          </w:p>
        </w:tc>
        <w:tc>
          <w:tcPr>
            <w:tcW w:w="1007" w:type="dxa"/>
          </w:tcPr>
          <w:p w14:paraId="7C0AFA0F" w14:textId="77777777" w:rsidR="00ED2EBD" w:rsidRPr="00BD16B4" w:rsidRDefault="00ED2EBD" w:rsidP="004B6DE3">
            <w:pPr>
              <w:pStyle w:val="TableText"/>
              <w:spacing w:before="40" w:after="40"/>
              <w:jc w:val="right"/>
              <w:rPr>
                <w:rFonts w:cs="Calibri"/>
                <w:szCs w:val="18"/>
              </w:rPr>
            </w:pPr>
            <w:r w:rsidRPr="00BD16B4">
              <w:rPr>
                <w:rFonts w:cs="Calibri"/>
                <w:szCs w:val="18"/>
              </w:rPr>
              <w:t>243.05</w:t>
            </w:r>
          </w:p>
        </w:tc>
        <w:tc>
          <w:tcPr>
            <w:tcW w:w="1007" w:type="dxa"/>
          </w:tcPr>
          <w:p w14:paraId="4C280A4F" w14:textId="77777777" w:rsidR="00ED2EBD" w:rsidRPr="00BD16B4" w:rsidRDefault="00ED2EBD" w:rsidP="004B6DE3">
            <w:pPr>
              <w:pStyle w:val="TableText"/>
              <w:spacing w:before="40" w:after="40"/>
              <w:jc w:val="right"/>
              <w:rPr>
                <w:rFonts w:cs="Calibri"/>
                <w:szCs w:val="18"/>
              </w:rPr>
            </w:pPr>
            <w:r w:rsidRPr="00BD16B4">
              <w:rPr>
                <w:rFonts w:cs="Calibri"/>
                <w:szCs w:val="18"/>
              </w:rPr>
              <w:t>249.96</w:t>
            </w:r>
          </w:p>
        </w:tc>
        <w:tc>
          <w:tcPr>
            <w:tcW w:w="1007" w:type="dxa"/>
          </w:tcPr>
          <w:p w14:paraId="37205217" w14:textId="77777777" w:rsidR="00ED2EBD" w:rsidRPr="00BD16B4" w:rsidRDefault="00ED2EBD" w:rsidP="004B6DE3">
            <w:pPr>
              <w:pStyle w:val="TableText"/>
              <w:spacing w:before="40" w:after="40"/>
              <w:jc w:val="right"/>
              <w:rPr>
                <w:rFonts w:cs="Calibri"/>
                <w:szCs w:val="18"/>
              </w:rPr>
            </w:pPr>
            <w:r w:rsidRPr="00BD16B4">
              <w:rPr>
                <w:rFonts w:cs="Calibri"/>
                <w:szCs w:val="18"/>
              </w:rPr>
              <w:t>265.66</w:t>
            </w:r>
          </w:p>
        </w:tc>
        <w:tc>
          <w:tcPr>
            <w:tcW w:w="1007" w:type="dxa"/>
          </w:tcPr>
          <w:p w14:paraId="6DFA0A94" w14:textId="77777777" w:rsidR="00ED2EBD" w:rsidRPr="00BD16B4" w:rsidRDefault="00ED2EBD" w:rsidP="004B6DE3">
            <w:pPr>
              <w:pStyle w:val="TableText"/>
              <w:spacing w:before="40" w:after="40"/>
              <w:jc w:val="right"/>
              <w:rPr>
                <w:rFonts w:cs="Calibri"/>
                <w:szCs w:val="18"/>
              </w:rPr>
            </w:pPr>
            <w:r w:rsidRPr="00BD16B4">
              <w:rPr>
                <w:rFonts w:cs="Calibri"/>
                <w:szCs w:val="18"/>
              </w:rPr>
              <w:t>261.66</w:t>
            </w:r>
          </w:p>
        </w:tc>
      </w:tr>
      <w:tr w:rsidR="006446D5" w:rsidRPr="00BD16B4" w14:paraId="430FEC12" w14:textId="77777777" w:rsidTr="00061F5B">
        <w:tc>
          <w:tcPr>
            <w:tcW w:w="3539" w:type="dxa"/>
          </w:tcPr>
          <w:p w14:paraId="163EC728" w14:textId="15A4CB4F" w:rsidR="00ED2EBD" w:rsidRPr="00BD16B4" w:rsidRDefault="00ED2EBD" w:rsidP="004B6DE3">
            <w:pPr>
              <w:pStyle w:val="TableText"/>
              <w:spacing w:before="40" w:after="40"/>
              <w:rPr>
                <w:rFonts w:cs="Calibri"/>
                <w:szCs w:val="18"/>
              </w:rPr>
            </w:pPr>
            <w:r w:rsidRPr="00BD16B4">
              <w:rPr>
                <w:rFonts w:cs="Calibri"/>
                <w:szCs w:val="18"/>
              </w:rPr>
              <w:t>C.</w:t>
            </w:r>
            <w:r w:rsidR="00280979" w:rsidRPr="00BD16B4">
              <w:rPr>
                <w:rFonts w:cs="Calibri"/>
                <w:szCs w:val="18"/>
              </w:rPr>
              <w:t xml:space="preserve"> </w:t>
            </w:r>
            <w:r w:rsidRPr="00BD16B4">
              <w:rPr>
                <w:rFonts w:cs="Calibri"/>
                <w:szCs w:val="18"/>
              </w:rPr>
              <w:t>Metal industry</w:t>
            </w:r>
          </w:p>
        </w:tc>
        <w:tc>
          <w:tcPr>
            <w:tcW w:w="1006" w:type="dxa"/>
          </w:tcPr>
          <w:p w14:paraId="016B0B06" w14:textId="77777777" w:rsidR="00ED2EBD" w:rsidRPr="00BD16B4" w:rsidRDefault="00ED2EBD" w:rsidP="004B6DE3">
            <w:pPr>
              <w:pStyle w:val="TableText"/>
              <w:spacing w:before="40" w:after="40"/>
              <w:jc w:val="right"/>
              <w:rPr>
                <w:rFonts w:cs="Calibri"/>
                <w:szCs w:val="18"/>
              </w:rPr>
            </w:pPr>
            <w:r w:rsidRPr="00BD16B4">
              <w:rPr>
                <w:rFonts w:cs="Calibri"/>
                <w:szCs w:val="18"/>
              </w:rPr>
              <w:t>1,985.89</w:t>
            </w:r>
          </w:p>
        </w:tc>
        <w:tc>
          <w:tcPr>
            <w:tcW w:w="1006" w:type="dxa"/>
          </w:tcPr>
          <w:p w14:paraId="02928F38" w14:textId="77777777" w:rsidR="00ED2EBD" w:rsidRPr="00BD16B4" w:rsidRDefault="00ED2EBD" w:rsidP="004B6DE3">
            <w:pPr>
              <w:pStyle w:val="TableText"/>
              <w:spacing w:before="40" w:after="40"/>
              <w:jc w:val="right"/>
              <w:rPr>
                <w:rFonts w:cs="Calibri"/>
                <w:szCs w:val="18"/>
              </w:rPr>
            </w:pPr>
            <w:r w:rsidRPr="00BD16B4">
              <w:rPr>
                <w:rFonts w:cs="Calibri"/>
                <w:szCs w:val="18"/>
              </w:rPr>
              <w:t>1,970.95</w:t>
            </w:r>
          </w:p>
        </w:tc>
        <w:tc>
          <w:tcPr>
            <w:tcW w:w="1006" w:type="dxa"/>
          </w:tcPr>
          <w:p w14:paraId="4B8D0700" w14:textId="77777777" w:rsidR="00ED2EBD" w:rsidRPr="00BD16B4" w:rsidRDefault="00ED2EBD" w:rsidP="004B6DE3">
            <w:pPr>
              <w:pStyle w:val="TableText"/>
              <w:spacing w:before="40" w:after="40"/>
              <w:jc w:val="right"/>
              <w:rPr>
                <w:rFonts w:cs="Calibri"/>
                <w:szCs w:val="18"/>
              </w:rPr>
            </w:pPr>
            <w:r w:rsidRPr="00BD16B4">
              <w:rPr>
                <w:rFonts w:cs="Calibri"/>
                <w:szCs w:val="18"/>
              </w:rPr>
              <w:t>2,028.69</w:t>
            </w:r>
          </w:p>
        </w:tc>
        <w:tc>
          <w:tcPr>
            <w:tcW w:w="1006" w:type="dxa"/>
          </w:tcPr>
          <w:p w14:paraId="7C525E0D" w14:textId="77777777" w:rsidR="00ED2EBD" w:rsidRPr="00BD16B4" w:rsidRDefault="00ED2EBD" w:rsidP="004B6DE3">
            <w:pPr>
              <w:pStyle w:val="TableText"/>
              <w:spacing w:before="40" w:after="40"/>
              <w:jc w:val="right"/>
              <w:rPr>
                <w:rFonts w:cs="Calibri"/>
                <w:szCs w:val="18"/>
              </w:rPr>
            </w:pPr>
            <w:r w:rsidRPr="00BD16B4">
              <w:rPr>
                <w:rFonts w:cs="Calibri"/>
                <w:szCs w:val="18"/>
              </w:rPr>
              <w:t>2,028.55</w:t>
            </w:r>
          </w:p>
        </w:tc>
        <w:tc>
          <w:tcPr>
            <w:tcW w:w="1007" w:type="dxa"/>
          </w:tcPr>
          <w:p w14:paraId="7EEF2283" w14:textId="77777777" w:rsidR="00ED2EBD" w:rsidRPr="00BD16B4" w:rsidRDefault="00ED2EBD" w:rsidP="004B6DE3">
            <w:pPr>
              <w:pStyle w:val="TableText"/>
              <w:spacing w:before="40" w:after="40"/>
              <w:jc w:val="right"/>
              <w:rPr>
                <w:rFonts w:cs="Calibri"/>
                <w:szCs w:val="18"/>
              </w:rPr>
            </w:pPr>
            <w:r w:rsidRPr="00BD16B4">
              <w:rPr>
                <w:rFonts w:cs="Calibri"/>
                <w:szCs w:val="18"/>
              </w:rPr>
              <w:t>2,216.67</w:t>
            </w:r>
          </w:p>
        </w:tc>
        <w:tc>
          <w:tcPr>
            <w:tcW w:w="1007" w:type="dxa"/>
          </w:tcPr>
          <w:p w14:paraId="370BFD4B" w14:textId="77777777" w:rsidR="00ED2EBD" w:rsidRPr="00BD16B4" w:rsidRDefault="00ED2EBD" w:rsidP="004B6DE3">
            <w:pPr>
              <w:pStyle w:val="TableText"/>
              <w:spacing w:before="40" w:after="40"/>
              <w:jc w:val="right"/>
              <w:rPr>
                <w:rFonts w:cs="Calibri"/>
                <w:szCs w:val="18"/>
              </w:rPr>
            </w:pPr>
            <w:r w:rsidRPr="00BD16B4">
              <w:rPr>
                <w:rFonts w:cs="Calibri"/>
                <w:szCs w:val="18"/>
              </w:rPr>
              <w:t>2,232.09</w:t>
            </w:r>
          </w:p>
        </w:tc>
        <w:tc>
          <w:tcPr>
            <w:tcW w:w="1007" w:type="dxa"/>
          </w:tcPr>
          <w:p w14:paraId="6200E9E8" w14:textId="77777777" w:rsidR="00ED2EBD" w:rsidRPr="00BD16B4" w:rsidRDefault="00ED2EBD" w:rsidP="004B6DE3">
            <w:pPr>
              <w:pStyle w:val="TableText"/>
              <w:spacing w:before="40" w:after="40"/>
              <w:jc w:val="right"/>
              <w:rPr>
                <w:rFonts w:cs="Calibri"/>
                <w:szCs w:val="18"/>
              </w:rPr>
            </w:pPr>
            <w:r w:rsidRPr="00BD16B4">
              <w:rPr>
                <w:rFonts w:cs="Calibri"/>
                <w:szCs w:val="18"/>
              </w:rPr>
              <w:t>2,184.66</w:t>
            </w:r>
          </w:p>
        </w:tc>
        <w:tc>
          <w:tcPr>
            <w:tcW w:w="1007" w:type="dxa"/>
          </w:tcPr>
          <w:p w14:paraId="581A43F1" w14:textId="77777777" w:rsidR="00ED2EBD" w:rsidRPr="00BD16B4" w:rsidRDefault="00ED2EBD" w:rsidP="004B6DE3">
            <w:pPr>
              <w:pStyle w:val="TableText"/>
              <w:spacing w:before="40" w:after="40"/>
              <w:jc w:val="right"/>
              <w:rPr>
                <w:rFonts w:cs="Calibri"/>
                <w:szCs w:val="18"/>
              </w:rPr>
            </w:pPr>
            <w:r w:rsidRPr="00BD16B4">
              <w:rPr>
                <w:rFonts w:cs="Calibri"/>
                <w:szCs w:val="18"/>
              </w:rPr>
              <w:t>2,179.63</w:t>
            </w:r>
          </w:p>
        </w:tc>
        <w:tc>
          <w:tcPr>
            <w:tcW w:w="1007" w:type="dxa"/>
          </w:tcPr>
          <w:p w14:paraId="02AD6C84" w14:textId="77777777" w:rsidR="00ED2EBD" w:rsidRPr="00BD16B4" w:rsidRDefault="00ED2EBD" w:rsidP="004B6DE3">
            <w:pPr>
              <w:pStyle w:val="TableText"/>
              <w:spacing w:before="40" w:after="40"/>
              <w:jc w:val="right"/>
              <w:rPr>
                <w:rFonts w:cs="Calibri"/>
                <w:szCs w:val="18"/>
              </w:rPr>
            </w:pPr>
            <w:r w:rsidRPr="00BD16B4">
              <w:rPr>
                <w:rFonts w:cs="Calibri"/>
                <w:szCs w:val="18"/>
              </w:rPr>
              <w:t>2,226.05</w:t>
            </w:r>
          </w:p>
        </w:tc>
        <w:tc>
          <w:tcPr>
            <w:tcW w:w="1007" w:type="dxa"/>
          </w:tcPr>
          <w:p w14:paraId="5228B003" w14:textId="77777777" w:rsidR="00ED2EBD" w:rsidRPr="00BD16B4" w:rsidRDefault="00ED2EBD" w:rsidP="004B6DE3">
            <w:pPr>
              <w:pStyle w:val="TableText"/>
              <w:spacing w:before="40" w:after="40"/>
              <w:jc w:val="right"/>
              <w:rPr>
                <w:rFonts w:cs="Calibri"/>
                <w:szCs w:val="18"/>
              </w:rPr>
            </w:pPr>
            <w:r w:rsidRPr="00BD16B4">
              <w:rPr>
                <w:rFonts w:cs="Calibri"/>
                <w:szCs w:val="18"/>
              </w:rPr>
              <w:t>2,046.67</w:t>
            </w:r>
          </w:p>
        </w:tc>
        <w:tc>
          <w:tcPr>
            <w:tcW w:w="1007" w:type="dxa"/>
          </w:tcPr>
          <w:p w14:paraId="7DF5356F" w14:textId="77777777" w:rsidR="00ED2EBD" w:rsidRPr="00BD16B4" w:rsidRDefault="00ED2EBD" w:rsidP="004B6DE3">
            <w:pPr>
              <w:pStyle w:val="TableText"/>
              <w:spacing w:before="40" w:after="40"/>
              <w:jc w:val="right"/>
              <w:rPr>
                <w:rFonts w:cs="Calibri"/>
                <w:szCs w:val="18"/>
              </w:rPr>
            </w:pPr>
            <w:r w:rsidRPr="00BD16B4">
              <w:rPr>
                <w:rFonts w:cs="Calibri"/>
                <w:szCs w:val="18"/>
              </w:rPr>
              <w:t>1,969.13</w:t>
            </w:r>
          </w:p>
        </w:tc>
      </w:tr>
      <w:tr w:rsidR="006446D5" w:rsidRPr="00BD16B4" w14:paraId="5E1633CA" w14:textId="77777777" w:rsidTr="00061F5B">
        <w:tc>
          <w:tcPr>
            <w:tcW w:w="3539" w:type="dxa"/>
          </w:tcPr>
          <w:p w14:paraId="54E0350C" w14:textId="37A77365" w:rsidR="00ED2EBD" w:rsidRPr="00BD16B4" w:rsidRDefault="00ED2EBD" w:rsidP="004B6DE3">
            <w:pPr>
              <w:pStyle w:val="TableText"/>
              <w:spacing w:before="40" w:after="40"/>
              <w:rPr>
                <w:rFonts w:cs="Calibri"/>
                <w:szCs w:val="18"/>
              </w:rPr>
            </w:pPr>
            <w:r w:rsidRPr="00BD16B4">
              <w:rPr>
                <w:rFonts w:cs="Calibri"/>
                <w:szCs w:val="18"/>
              </w:rPr>
              <w:t>D.</w:t>
            </w:r>
            <w:r w:rsidR="00280979" w:rsidRPr="00BD16B4">
              <w:rPr>
                <w:rFonts w:cs="Calibri"/>
                <w:szCs w:val="18"/>
              </w:rPr>
              <w:t xml:space="preserve"> </w:t>
            </w:r>
            <w:r w:rsidRPr="00BD16B4">
              <w:rPr>
                <w:rFonts w:cs="Calibri"/>
                <w:szCs w:val="18"/>
              </w:rPr>
              <w:t>Non-energy products from fuels and solvent use</w:t>
            </w:r>
          </w:p>
        </w:tc>
        <w:tc>
          <w:tcPr>
            <w:tcW w:w="1006" w:type="dxa"/>
            <w:tcBorders>
              <w:bottom w:val="single" w:sz="4" w:space="0" w:color="1B556B" w:themeColor="text2"/>
            </w:tcBorders>
          </w:tcPr>
          <w:p w14:paraId="385FE447" w14:textId="77777777" w:rsidR="00ED2EBD" w:rsidRPr="00BD16B4" w:rsidRDefault="00ED2EBD" w:rsidP="004B6DE3">
            <w:pPr>
              <w:pStyle w:val="TableText"/>
              <w:spacing w:before="40" w:after="40"/>
              <w:jc w:val="right"/>
              <w:rPr>
                <w:rFonts w:cs="Calibri"/>
                <w:szCs w:val="18"/>
              </w:rPr>
            </w:pPr>
            <w:r w:rsidRPr="00BD16B4">
              <w:rPr>
                <w:rFonts w:cs="Calibri"/>
                <w:szCs w:val="18"/>
              </w:rPr>
              <w:t>33.33</w:t>
            </w:r>
          </w:p>
        </w:tc>
        <w:tc>
          <w:tcPr>
            <w:tcW w:w="1006" w:type="dxa"/>
            <w:tcBorders>
              <w:bottom w:val="single" w:sz="4" w:space="0" w:color="1B556B" w:themeColor="text2"/>
            </w:tcBorders>
          </w:tcPr>
          <w:p w14:paraId="51C5463E" w14:textId="77777777" w:rsidR="00ED2EBD" w:rsidRPr="00BD16B4" w:rsidRDefault="00ED2EBD" w:rsidP="004B6DE3">
            <w:pPr>
              <w:pStyle w:val="TableText"/>
              <w:spacing w:before="40" w:after="40"/>
              <w:jc w:val="right"/>
              <w:rPr>
                <w:rFonts w:cs="Calibri"/>
                <w:szCs w:val="18"/>
              </w:rPr>
            </w:pPr>
            <w:r w:rsidRPr="00BD16B4">
              <w:rPr>
                <w:rFonts w:cs="Calibri"/>
                <w:szCs w:val="18"/>
              </w:rPr>
              <w:t>34.74</w:t>
            </w:r>
          </w:p>
        </w:tc>
        <w:tc>
          <w:tcPr>
            <w:tcW w:w="1006" w:type="dxa"/>
            <w:tcBorders>
              <w:bottom w:val="single" w:sz="4" w:space="0" w:color="1B556B" w:themeColor="text2"/>
            </w:tcBorders>
          </w:tcPr>
          <w:p w14:paraId="1824992F" w14:textId="77777777" w:rsidR="00ED2EBD" w:rsidRPr="00BD16B4" w:rsidRDefault="00ED2EBD" w:rsidP="004B6DE3">
            <w:pPr>
              <w:pStyle w:val="TableText"/>
              <w:spacing w:before="40" w:after="40"/>
              <w:jc w:val="right"/>
              <w:rPr>
                <w:rFonts w:cs="Calibri"/>
                <w:szCs w:val="18"/>
              </w:rPr>
            </w:pPr>
            <w:r w:rsidRPr="00BD16B4">
              <w:rPr>
                <w:rFonts w:cs="Calibri"/>
                <w:szCs w:val="18"/>
              </w:rPr>
              <w:t>35.01</w:t>
            </w:r>
          </w:p>
        </w:tc>
        <w:tc>
          <w:tcPr>
            <w:tcW w:w="1006" w:type="dxa"/>
            <w:tcBorders>
              <w:bottom w:val="single" w:sz="4" w:space="0" w:color="1B556B" w:themeColor="text2"/>
            </w:tcBorders>
          </w:tcPr>
          <w:p w14:paraId="4F155FB0" w14:textId="77777777" w:rsidR="00ED2EBD" w:rsidRPr="00BD16B4" w:rsidRDefault="00ED2EBD" w:rsidP="004B6DE3">
            <w:pPr>
              <w:pStyle w:val="TableText"/>
              <w:spacing w:before="40" w:after="40"/>
              <w:jc w:val="right"/>
              <w:rPr>
                <w:rFonts w:cs="Calibri"/>
                <w:szCs w:val="18"/>
              </w:rPr>
            </w:pPr>
            <w:r w:rsidRPr="00BD16B4">
              <w:rPr>
                <w:rFonts w:cs="Calibri"/>
                <w:szCs w:val="18"/>
              </w:rPr>
              <w:t>36.23</w:t>
            </w:r>
          </w:p>
        </w:tc>
        <w:tc>
          <w:tcPr>
            <w:tcW w:w="1007" w:type="dxa"/>
            <w:tcBorders>
              <w:bottom w:val="single" w:sz="4" w:space="0" w:color="1B556B" w:themeColor="text2"/>
            </w:tcBorders>
          </w:tcPr>
          <w:p w14:paraId="0204C4F3" w14:textId="77777777" w:rsidR="00ED2EBD" w:rsidRPr="00BD16B4" w:rsidRDefault="00ED2EBD" w:rsidP="004B6DE3">
            <w:pPr>
              <w:pStyle w:val="TableText"/>
              <w:spacing w:before="40" w:after="40"/>
              <w:jc w:val="right"/>
              <w:rPr>
                <w:rFonts w:cs="Calibri"/>
                <w:szCs w:val="18"/>
              </w:rPr>
            </w:pPr>
            <w:r w:rsidRPr="00BD16B4">
              <w:rPr>
                <w:rFonts w:cs="Calibri"/>
                <w:szCs w:val="18"/>
              </w:rPr>
              <w:t>37.60</w:t>
            </w:r>
          </w:p>
        </w:tc>
        <w:tc>
          <w:tcPr>
            <w:tcW w:w="1007" w:type="dxa"/>
            <w:tcBorders>
              <w:bottom w:val="single" w:sz="4" w:space="0" w:color="1B556B" w:themeColor="text2"/>
            </w:tcBorders>
          </w:tcPr>
          <w:p w14:paraId="0C0441DF" w14:textId="77777777" w:rsidR="00ED2EBD" w:rsidRPr="00BD16B4" w:rsidRDefault="00ED2EBD" w:rsidP="004B6DE3">
            <w:pPr>
              <w:pStyle w:val="TableText"/>
              <w:spacing w:before="40" w:after="40"/>
              <w:jc w:val="right"/>
              <w:rPr>
                <w:rFonts w:cs="Calibri"/>
                <w:szCs w:val="18"/>
              </w:rPr>
            </w:pPr>
            <w:r w:rsidRPr="00BD16B4">
              <w:rPr>
                <w:rFonts w:cs="Calibri"/>
                <w:szCs w:val="18"/>
              </w:rPr>
              <w:t>38.43</w:t>
            </w:r>
          </w:p>
        </w:tc>
        <w:tc>
          <w:tcPr>
            <w:tcW w:w="1007" w:type="dxa"/>
            <w:tcBorders>
              <w:bottom w:val="single" w:sz="4" w:space="0" w:color="1B556B" w:themeColor="text2"/>
            </w:tcBorders>
          </w:tcPr>
          <w:p w14:paraId="1A5FC635" w14:textId="77777777" w:rsidR="00ED2EBD" w:rsidRPr="00BD16B4" w:rsidRDefault="00ED2EBD" w:rsidP="004B6DE3">
            <w:pPr>
              <w:pStyle w:val="TableText"/>
              <w:spacing w:before="40" w:after="40"/>
              <w:jc w:val="right"/>
              <w:rPr>
                <w:rFonts w:cs="Calibri"/>
                <w:szCs w:val="18"/>
              </w:rPr>
            </w:pPr>
            <w:r w:rsidRPr="00BD16B4">
              <w:rPr>
                <w:rFonts w:cs="Calibri"/>
                <w:szCs w:val="18"/>
              </w:rPr>
              <w:t>38.67</w:t>
            </w:r>
          </w:p>
        </w:tc>
        <w:tc>
          <w:tcPr>
            <w:tcW w:w="1007" w:type="dxa"/>
            <w:tcBorders>
              <w:bottom w:val="single" w:sz="4" w:space="0" w:color="1B556B" w:themeColor="text2"/>
            </w:tcBorders>
          </w:tcPr>
          <w:p w14:paraId="6743A094" w14:textId="77777777" w:rsidR="00ED2EBD" w:rsidRPr="00BD16B4" w:rsidRDefault="00ED2EBD" w:rsidP="004B6DE3">
            <w:pPr>
              <w:pStyle w:val="TableText"/>
              <w:spacing w:before="40" w:after="40"/>
              <w:jc w:val="right"/>
              <w:rPr>
                <w:rFonts w:cs="Calibri"/>
                <w:szCs w:val="18"/>
              </w:rPr>
            </w:pPr>
            <w:r w:rsidRPr="00BD16B4">
              <w:rPr>
                <w:rFonts w:cs="Calibri"/>
                <w:szCs w:val="18"/>
              </w:rPr>
              <w:t>39.06</w:t>
            </w:r>
          </w:p>
        </w:tc>
        <w:tc>
          <w:tcPr>
            <w:tcW w:w="1007" w:type="dxa"/>
            <w:tcBorders>
              <w:bottom w:val="single" w:sz="4" w:space="0" w:color="1B556B" w:themeColor="text2"/>
            </w:tcBorders>
          </w:tcPr>
          <w:p w14:paraId="28744DB5" w14:textId="77777777" w:rsidR="00ED2EBD" w:rsidRPr="00BD16B4" w:rsidRDefault="00ED2EBD" w:rsidP="004B6DE3">
            <w:pPr>
              <w:pStyle w:val="TableText"/>
              <w:spacing w:before="40" w:after="40"/>
              <w:jc w:val="right"/>
              <w:rPr>
                <w:rFonts w:cs="Calibri"/>
                <w:szCs w:val="18"/>
              </w:rPr>
            </w:pPr>
            <w:r w:rsidRPr="00BD16B4">
              <w:rPr>
                <w:rFonts w:cs="Calibri"/>
                <w:szCs w:val="18"/>
              </w:rPr>
              <w:t>39.36</w:t>
            </w:r>
          </w:p>
        </w:tc>
        <w:tc>
          <w:tcPr>
            <w:tcW w:w="1007" w:type="dxa"/>
            <w:tcBorders>
              <w:bottom w:val="single" w:sz="4" w:space="0" w:color="1B556B" w:themeColor="text2"/>
            </w:tcBorders>
          </w:tcPr>
          <w:p w14:paraId="10D5E52F" w14:textId="77777777" w:rsidR="00ED2EBD" w:rsidRPr="00BD16B4" w:rsidRDefault="00ED2EBD" w:rsidP="004B6DE3">
            <w:pPr>
              <w:pStyle w:val="TableText"/>
              <w:spacing w:before="40" w:after="40"/>
              <w:jc w:val="right"/>
              <w:rPr>
                <w:rFonts w:cs="Calibri"/>
                <w:szCs w:val="18"/>
              </w:rPr>
            </w:pPr>
            <w:r w:rsidRPr="00BD16B4">
              <w:rPr>
                <w:rFonts w:cs="Calibri"/>
                <w:szCs w:val="18"/>
              </w:rPr>
              <w:t>39.64</w:t>
            </w:r>
          </w:p>
        </w:tc>
        <w:tc>
          <w:tcPr>
            <w:tcW w:w="1007" w:type="dxa"/>
            <w:tcBorders>
              <w:bottom w:val="single" w:sz="4" w:space="0" w:color="1B556B" w:themeColor="text2"/>
            </w:tcBorders>
          </w:tcPr>
          <w:p w14:paraId="78C5FA09" w14:textId="77777777" w:rsidR="00ED2EBD" w:rsidRPr="00BD16B4" w:rsidRDefault="00ED2EBD" w:rsidP="004B6DE3">
            <w:pPr>
              <w:pStyle w:val="TableText"/>
              <w:spacing w:before="40" w:after="40"/>
              <w:jc w:val="right"/>
              <w:rPr>
                <w:rFonts w:cs="Calibri"/>
                <w:szCs w:val="18"/>
              </w:rPr>
            </w:pPr>
            <w:r w:rsidRPr="00BD16B4">
              <w:rPr>
                <w:rFonts w:cs="Calibri"/>
                <w:szCs w:val="18"/>
              </w:rPr>
              <w:t>39.43</w:t>
            </w:r>
          </w:p>
        </w:tc>
      </w:tr>
      <w:tr w:rsidR="00ED4F0D" w:rsidRPr="00BD16B4" w14:paraId="2340910A" w14:textId="77777777" w:rsidTr="00061F5B">
        <w:tc>
          <w:tcPr>
            <w:tcW w:w="3539" w:type="dxa"/>
          </w:tcPr>
          <w:p w14:paraId="14CDA46D" w14:textId="3B7005F1" w:rsidR="00ED2EBD" w:rsidRPr="00BD16B4" w:rsidRDefault="00ED2EBD" w:rsidP="004B6DE3">
            <w:pPr>
              <w:pStyle w:val="TableText"/>
              <w:spacing w:before="40" w:after="40"/>
              <w:rPr>
                <w:rFonts w:cs="Calibri"/>
                <w:szCs w:val="18"/>
              </w:rPr>
            </w:pPr>
            <w:r w:rsidRPr="00BD16B4">
              <w:rPr>
                <w:rFonts w:cs="Calibri"/>
                <w:szCs w:val="18"/>
              </w:rPr>
              <w:t>E.</w:t>
            </w:r>
            <w:r w:rsidR="00280979" w:rsidRPr="00BD16B4">
              <w:rPr>
                <w:rFonts w:cs="Calibri"/>
                <w:szCs w:val="18"/>
              </w:rPr>
              <w:t xml:space="preserve"> </w:t>
            </w:r>
            <w:r w:rsidRPr="00BD16B4">
              <w:rPr>
                <w:rFonts w:cs="Calibri"/>
                <w:szCs w:val="18"/>
              </w:rPr>
              <w:t>Electronic industry</w:t>
            </w:r>
          </w:p>
        </w:tc>
        <w:tc>
          <w:tcPr>
            <w:tcW w:w="1006" w:type="dxa"/>
            <w:tcBorders>
              <w:top w:val="single" w:sz="4" w:space="0" w:color="1B556B" w:themeColor="text2"/>
            </w:tcBorders>
            <w:shd w:val="clear" w:color="auto" w:fill="D2DDE1" w:themeFill="background2"/>
          </w:tcPr>
          <w:p w14:paraId="3029AD7C"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49F13740"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45E17DD9"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76A5C160"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4FF86E05"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08A19042"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3927F0AB"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4C48AEE8"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1B6ACB82"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6B0DE9CE"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0FCF6ACA"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r>
      <w:tr w:rsidR="00ED4F0D" w:rsidRPr="00BD16B4" w14:paraId="0313E993" w14:textId="77777777" w:rsidTr="00061F5B">
        <w:tc>
          <w:tcPr>
            <w:tcW w:w="3539" w:type="dxa"/>
          </w:tcPr>
          <w:p w14:paraId="7F08F54F" w14:textId="579F53BE" w:rsidR="00ED2EBD" w:rsidRPr="00BD16B4" w:rsidRDefault="00ED2EBD" w:rsidP="004B6DE3">
            <w:pPr>
              <w:pStyle w:val="TableText"/>
              <w:spacing w:before="40" w:after="40"/>
              <w:rPr>
                <w:rFonts w:cs="Calibri"/>
                <w:szCs w:val="18"/>
              </w:rPr>
            </w:pPr>
            <w:r w:rsidRPr="00BD16B4">
              <w:rPr>
                <w:rFonts w:cs="Calibri"/>
                <w:szCs w:val="18"/>
              </w:rPr>
              <w:t>F.</w:t>
            </w:r>
            <w:r w:rsidR="00280979" w:rsidRPr="00BD16B4">
              <w:rPr>
                <w:rFonts w:cs="Calibri"/>
                <w:szCs w:val="18"/>
              </w:rPr>
              <w:t xml:space="preserve"> </w:t>
            </w:r>
            <w:r w:rsidRPr="00BD16B4">
              <w:rPr>
                <w:rFonts w:cs="Calibri"/>
                <w:szCs w:val="18"/>
              </w:rPr>
              <w:t>Product uses as ODS substitutes</w:t>
            </w:r>
          </w:p>
        </w:tc>
        <w:tc>
          <w:tcPr>
            <w:tcW w:w="1006" w:type="dxa"/>
            <w:tcBorders>
              <w:top w:val="single" w:sz="4" w:space="0" w:color="1B556B" w:themeColor="text2"/>
            </w:tcBorders>
            <w:shd w:val="clear" w:color="auto" w:fill="D2DDE1" w:themeFill="background2"/>
          </w:tcPr>
          <w:p w14:paraId="15B7DF3F"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49FC3DFE"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6CE30566"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5C5308DF"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788845B9"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1EE7CDEF"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3DD409E3"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0A8C2EEC"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3EF0C4F6"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35C0F82B"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46FD6B8D"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r>
      <w:tr w:rsidR="006446D5" w:rsidRPr="00BD16B4" w14:paraId="7FEDFE29" w14:textId="77777777" w:rsidTr="00061F5B">
        <w:tc>
          <w:tcPr>
            <w:tcW w:w="3539" w:type="dxa"/>
          </w:tcPr>
          <w:p w14:paraId="2DF46EB7" w14:textId="78BB36EA" w:rsidR="00ED2EBD" w:rsidRPr="00BD16B4" w:rsidRDefault="00ED2EBD" w:rsidP="004B6DE3">
            <w:pPr>
              <w:pStyle w:val="TableText"/>
              <w:spacing w:before="40" w:after="40"/>
              <w:rPr>
                <w:rFonts w:cs="Calibri"/>
                <w:szCs w:val="18"/>
              </w:rPr>
            </w:pPr>
            <w:r w:rsidRPr="00BD16B4">
              <w:rPr>
                <w:rFonts w:cs="Calibri"/>
                <w:szCs w:val="18"/>
              </w:rPr>
              <w:t>G.</w:t>
            </w:r>
            <w:r w:rsidR="00280979" w:rsidRPr="00BD16B4">
              <w:rPr>
                <w:rFonts w:cs="Calibri"/>
                <w:szCs w:val="18"/>
              </w:rPr>
              <w:t xml:space="preserve"> </w:t>
            </w:r>
            <w:r w:rsidRPr="00BD16B4">
              <w:rPr>
                <w:rFonts w:cs="Calibri"/>
                <w:szCs w:val="18"/>
              </w:rPr>
              <w:t xml:space="preserve">Other product manufacture and use </w:t>
            </w:r>
          </w:p>
        </w:tc>
        <w:tc>
          <w:tcPr>
            <w:tcW w:w="1006" w:type="dxa"/>
            <w:tcBorders>
              <w:bottom w:val="single" w:sz="4" w:space="0" w:color="1B556B" w:themeColor="text2"/>
            </w:tcBorders>
          </w:tcPr>
          <w:p w14:paraId="154832CF"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6" w:type="dxa"/>
            <w:tcBorders>
              <w:bottom w:val="single" w:sz="4" w:space="0" w:color="1B556B" w:themeColor="text2"/>
            </w:tcBorders>
          </w:tcPr>
          <w:p w14:paraId="0DD1EEE4"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6" w:type="dxa"/>
            <w:tcBorders>
              <w:bottom w:val="single" w:sz="4" w:space="0" w:color="1B556B" w:themeColor="text2"/>
            </w:tcBorders>
          </w:tcPr>
          <w:p w14:paraId="49C66370"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6" w:type="dxa"/>
            <w:tcBorders>
              <w:bottom w:val="single" w:sz="4" w:space="0" w:color="1B556B" w:themeColor="text2"/>
            </w:tcBorders>
          </w:tcPr>
          <w:p w14:paraId="5AE1ABE2"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7" w:type="dxa"/>
            <w:tcBorders>
              <w:bottom w:val="single" w:sz="4" w:space="0" w:color="1B556B" w:themeColor="text2"/>
            </w:tcBorders>
          </w:tcPr>
          <w:p w14:paraId="1E8BE208"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7" w:type="dxa"/>
            <w:tcBorders>
              <w:bottom w:val="single" w:sz="4" w:space="0" w:color="1B556B" w:themeColor="text2"/>
            </w:tcBorders>
          </w:tcPr>
          <w:p w14:paraId="776B1A14"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7" w:type="dxa"/>
            <w:tcBorders>
              <w:bottom w:val="single" w:sz="4" w:space="0" w:color="1B556B" w:themeColor="text2"/>
            </w:tcBorders>
          </w:tcPr>
          <w:p w14:paraId="62D474EA"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7" w:type="dxa"/>
            <w:tcBorders>
              <w:bottom w:val="single" w:sz="4" w:space="0" w:color="1B556B" w:themeColor="text2"/>
            </w:tcBorders>
          </w:tcPr>
          <w:p w14:paraId="0B961465"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7" w:type="dxa"/>
            <w:tcBorders>
              <w:bottom w:val="single" w:sz="4" w:space="0" w:color="1B556B" w:themeColor="text2"/>
            </w:tcBorders>
          </w:tcPr>
          <w:p w14:paraId="179922F0"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7" w:type="dxa"/>
            <w:tcBorders>
              <w:bottom w:val="single" w:sz="4" w:space="0" w:color="1B556B" w:themeColor="text2"/>
            </w:tcBorders>
          </w:tcPr>
          <w:p w14:paraId="68DE0629"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7" w:type="dxa"/>
            <w:tcBorders>
              <w:bottom w:val="single" w:sz="4" w:space="0" w:color="1B556B" w:themeColor="text2"/>
            </w:tcBorders>
          </w:tcPr>
          <w:p w14:paraId="289F3CD8"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r>
      <w:tr w:rsidR="00ED4F0D" w:rsidRPr="00BD16B4" w14:paraId="5D7DD266" w14:textId="77777777" w:rsidTr="00061F5B">
        <w:tc>
          <w:tcPr>
            <w:tcW w:w="3539" w:type="dxa"/>
          </w:tcPr>
          <w:p w14:paraId="683C66F9" w14:textId="6876CD2D" w:rsidR="00ED2EBD" w:rsidRPr="00BD16B4" w:rsidRDefault="00ED2EBD" w:rsidP="004B6DE3">
            <w:pPr>
              <w:pStyle w:val="TableText"/>
              <w:spacing w:before="40" w:after="40"/>
              <w:rPr>
                <w:rFonts w:cs="Calibri"/>
                <w:szCs w:val="18"/>
              </w:rPr>
            </w:pPr>
            <w:r w:rsidRPr="00BD16B4">
              <w:rPr>
                <w:rFonts w:cs="Calibri"/>
                <w:szCs w:val="18"/>
              </w:rPr>
              <w:t>H.</w:t>
            </w:r>
            <w:r w:rsidR="00280979" w:rsidRPr="00BD16B4">
              <w:rPr>
                <w:rFonts w:cs="Calibri"/>
                <w:szCs w:val="18"/>
              </w:rPr>
              <w:t xml:space="preserve"> </w:t>
            </w:r>
            <w:r w:rsidRPr="00BD16B4">
              <w:rPr>
                <w:rFonts w:cs="Calibri"/>
                <w:szCs w:val="18"/>
              </w:rPr>
              <w:t xml:space="preserve">Other </w:t>
            </w:r>
          </w:p>
        </w:tc>
        <w:tc>
          <w:tcPr>
            <w:tcW w:w="1006" w:type="dxa"/>
            <w:tcBorders>
              <w:top w:val="single" w:sz="4" w:space="0" w:color="1B556B" w:themeColor="text2"/>
            </w:tcBorders>
            <w:shd w:val="clear" w:color="auto" w:fill="D2DDE1" w:themeFill="background2"/>
          </w:tcPr>
          <w:p w14:paraId="704756DD"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7BDC5883"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4F3CA016"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63D647A1"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2E86CAF3"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04248F7E"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09A185A1"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14903574"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7B5F4CF3"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1217EDC2"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3B08D91C"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r>
      <w:tr w:rsidR="006446D5" w:rsidRPr="00BD16B4" w14:paraId="66EDE4AB" w14:textId="77777777" w:rsidTr="00061F5B">
        <w:tc>
          <w:tcPr>
            <w:tcW w:w="3539" w:type="dxa"/>
          </w:tcPr>
          <w:p w14:paraId="3EFD7AFB" w14:textId="08288731" w:rsidR="00ED2EBD" w:rsidRPr="00BD16B4" w:rsidRDefault="00ED2EBD" w:rsidP="004B6DE3">
            <w:pPr>
              <w:pStyle w:val="TableText"/>
              <w:spacing w:before="40" w:after="40"/>
              <w:rPr>
                <w:rFonts w:cs="Calibri"/>
                <w:szCs w:val="18"/>
              </w:rPr>
            </w:pPr>
            <w:r w:rsidRPr="00BD16B4">
              <w:rPr>
                <w:rFonts w:cs="Calibri"/>
                <w:b/>
                <w:bCs/>
                <w:szCs w:val="18"/>
              </w:rPr>
              <w:lastRenderedPageBreak/>
              <w:t>3.</w:t>
            </w:r>
            <w:r w:rsidR="00280979" w:rsidRPr="00BD16B4">
              <w:rPr>
                <w:rFonts w:cs="Calibri"/>
                <w:b/>
                <w:bCs/>
                <w:szCs w:val="18"/>
              </w:rPr>
              <w:t xml:space="preserve"> </w:t>
            </w:r>
            <w:r w:rsidRPr="00BD16B4">
              <w:rPr>
                <w:rFonts w:cs="Calibri"/>
                <w:b/>
                <w:bCs/>
                <w:szCs w:val="18"/>
              </w:rPr>
              <w:t>Agriculture</w:t>
            </w:r>
          </w:p>
        </w:tc>
        <w:tc>
          <w:tcPr>
            <w:tcW w:w="1006" w:type="dxa"/>
            <w:tcBorders>
              <w:bottom w:val="single" w:sz="4" w:space="0" w:color="1B556B" w:themeColor="text2"/>
            </w:tcBorders>
          </w:tcPr>
          <w:p w14:paraId="1D63C68D" w14:textId="77777777" w:rsidR="00ED2EBD" w:rsidRPr="00BD16B4" w:rsidRDefault="00ED2EBD" w:rsidP="004B6DE3">
            <w:pPr>
              <w:pStyle w:val="TableText"/>
              <w:spacing w:before="40" w:after="40"/>
              <w:jc w:val="right"/>
              <w:rPr>
                <w:rFonts w:cs="Calibri"/>
                <w:szCs w:val="18"/>
              </w:rPr>
            </w:pPr>
            <w:r w:rsidRPr="00BD16B4">
              <w:rPr>
                <w:rFonts w:cs="Calibri"/>
                <w:szCs w:val="18"/>
              </w:rPr>
              <w:t>743.18</w:t>
            </w:r>
          </w:p>
        </w:tc>
        <w:tc>
          <w:tcPr>
            <w:tcW w:w="1006" w:type="dxa"/>
            <w:tcBorders>
              <w:bottom w:val="single" w:sz="4" w:space="0" w:color="1B556B" w:themeColor="text2"/>
            </w:tcBorders>
          </w:tcPr>
          <w:p w14:paraId="17C4E11F" w14:textId="77777777" w:rsidR="00ED2EBD" w:rsidRPr="00BD16B4" w:rsidRDefault="00ED2EBD" w:rsidP="004B6DE3">
            <w:pPr>
              <w:pStyle w:val="TableText"/>
              <w:spacing w:before="40" w:after="40"/>
              <w:jc w:val="right"/>
              <w:rPr>
                <w:rFonts w:cs="Calibri"/>
                <w:szCs w:val="18"/>
              </w:rPr>
            </w:pPr>
            <w:r w:rsidRPr="00BD16B4">
              <w:rPr>
                <w:rFonts w:cs="Calibri"/>
                <w:szCs w:val="18"/>
              </w:rPr>
              <w:t>790.78</w:t>
            </w:r>
          </w:p>
        </w:tc>
        <w:tc>
          <w:tcPr>
            <w:tcW w:w="1006" w:type="dxa"/>
            <w:tcBorders>
              <w:bottom w:val="single" w:sz="4" w:space="0" w:color="1B556B" w:themeColor="text2"/>
            </w:tcBorders>
          </w:tcPr>
          <w:p w14:paraId="76FD2A31" w14:textId="77777777" w:rsidR="00ED2EBD" w:rsidRPr="00BD16B4" w:rsidRDefault="00ED2EBD" w:rsidP="004B6DE3">
            <w:pPr>
              <w:pStyle w:val="TableText"/>
              <w:spacing w:before="40" w:after="40"/>
              <w:jc w:val="right"/>
              <w:rPr>
                <w:rFonts w:cs="Calibri"/>
                <w:szCs w:val="18"/>
              </w:rPr>
            </w:pPr>
            <w:r w:rsidRPr="00BD16B4">
              <w:rPr>
                <w:rFonts w:cs="Calibri"/>
                <w:szCs w:val="18"/>
              </w:rPr>
              <w:t>901.75</w:t>
            </w:r>
          </w:p>
        </w:tc>
        <w:tc>
          <w:tcPr>
            <w:tcW w:w="1006" w:type="dxa"/>
            <w:tcBorders>
              <w:bottom w:val="single" w:sz="4" w:space="0" w:color="1B556B" w:themeColor="text2"/>
            </w:tcBorders>
          </w:tcPr>
          <w:p w14:paraId="69488206" w14:textId="77777777" w:rsidR="00ED2EBD" w:rsidRPr="00BD16B4" w:rsidRDefault="00ED2EBD" w:rsidP="004B6DE3">
            <w:pPr>
              <w:pStyle w:val="TableText"/>
              <w:spacing w:before="40" w:after="40"/>
              <w:jc w:val="right"/>
              <w:rPr>
                <w:rFonts w:cs="Calibri"/>
                <w:szCs w:val="18"/>
              </w:rPr>
            </w:pPr>
            <w:r w:rsidRPr="00BD16B4">
              <w:rPr>
                <w:rFonts w:cs="Calibri"/>
                <w:szCs w:val="18"/>
              </w:rPr>
              <w:t>1,033.90</w:t>
            </w:r>
          </w:p>
        </w:tc>
        <w:tc>
          <w:tcPr>
            <w:tcW w:w="1007" w:type="dxa"/>
            <w:tcBorders>
              <w:bottom w:val="single" w:sz="4" w:space="0" w:color="1B556B" w:themeColor="text2"/>
            </w:tcBorders>
          </w:tcPr>
          <w:p w14:paraId="1DB1137F" w14:textId="77777777" w:rsidR="00ED2EBD" w:rsidRPr="00BD16B4" w:rsidRDefault="00ED2EBD" w:rsidP="004B6DE3">
            <w:pPr>
              <w:pStyle w:val="TableText"/>
              <w:spacing w:before="40" w:after="40"/>
              <w:jc w:val="right"/>
              <w:rPr>
                <w:rFonts w:cs="Calibri"/>
                <w:szCs w:val="18"/>
              </w:rPr>
            </w:pPr>
            <w:r w:rsidRPr="00BD16B4">
              <w:rPr>
                <w:rFonts w:cs="Calibri"/>
                <w:szCs w:val="18"/>
              </w:rPr>
              <w:t>1,001.73</w:t>
            </w:r>
          </w:p>
        </w:tc>
        <w:tc>
          <w:tcPr>
            <w:tcW w:w="1007" w:type="dxa"/>
            <w:tcBorders>
              <w:bottom w:val="single" w:sz="4" w:space="0" w:color="1B556B" w:themeColor="text2"/>
            </w:tcBorders>
          </w:tcPr>
          <w:p w14:paraId="2D45B785" w14:textId="77777777" w:rsidR="00ED2EBD" w:rsidRPr="00BD16B4" w:rsidRDefault="00ED2EBD" w:rsidP="004B6DE3">
            <w:pPr>
              <w:pStyle w:val="TableText"/>
              <w:spacing w:before="40" w:after="40"/>
              <w:jc w:val="right"/>
              <w:rPr>
                <w:rFonts w:cs="Calibri"/>
                <w:szCs w:val="18"/>
              </w:rPr>
            </w:pPr>
            <w:r w:rsidRPr="00BD16B4">
              <w:rPr>
                <w:rFonts w:cs="Calibri"/>
                <w:szCs w:val="18"/>
              </w:rPr>
              <w:t>1,006.91</w:t>
            </w:r>
          </w:p>
        </w:tc>
        <w:tc>
          <w:tcPr>
            <w:tcW w:w="1007" w:type="dxa"/>
            <w:tcBorders>
              <w:bottom w:val="single" w:sz="4" w:space="0" w:color="1B556B" w:themeColor="text2"/>
            </w:tcBorders>
          </w:tcPr>
          <w:p w14:paraId="669E2EA0" w14:textId="77777777" w:rsidR="00ED2EBD" w:rsidRPr="00BD16B4" w:rsidRDefault="00ED2EBD" w:rsidP="004B6DE3">
            <w:pPr>
              <w:pStyle w:val="TableText"/>
              <w:spacing w:before="40" w:after="40"/>
              <w:jc w:val="right"/>
              <w:rPr>
                <w:rFonts w:cs="Calibri"/>
                <w:szCs w:val="18"/>
              </w:rPr>
            </w:pPr>
            <w:r w:rsidRPr="00BD16B4">
              <w:rPr>
                <w:rFonts w:cs="Calibri"/>
                <w:szCs w:val="18"/>
              </w:rPr>
              <w:t>1,064.10</w:t>
            </w:r>
          </w:p>
        </w:tc>
        <w:tc>
          <w:tcPr>
            <w:tcW w:w="1007" w:type="dxa"/>
            <w:tcBorders>
              <w:bottom w:val="single" w:sz="4" w:space="0" w:color="1B556B" w:themeColor="text2"/>
            </w:tcBorders>
          </w:tcPr>
          <w:p w14:paraId="5D6F8AA3" w14:textId="77777777" w:rsidR="00ED2EBD" w:rsidRPr="00BD16B4" w:rsidRDefault="00ED2EBD" w:rsidP="004B6DE3">
            <w:pPr>
              <w:pStyle w:val="TableText"/>
              <w:spacing w:before="40" w:after="40"/>
              <w:jc w:val="right"/>
              <w:rPr>
                <w:rFonts w:cs="Calibri"/>
                <w:szCs w:val="18"/>
              </w:rPr>
            </w:pPr>
            <w:r w:rsidRPr="00BD16B4">
              <w:rPr>
                <w:rFonts w:cs="Calibri"/>
                <w:szCs w:val="18"/>
              </w:rPr>
              <w:t>929.82</w:t>
            </w:r>
          </w:p>
        </w:tc>
        <w:tc>
          <w:tcPr>
            <w:tcW w:w="1007" w:type="dxa"/>
            <w:tcBorders>
              <w:bottom w:val="single" w:sz="4" w:space="0" w:color="1B556B" w:themeColor="text2"/>
            </w:tcBorders>
          </w:tcPr>
          <w:p w14:paraId="1B26793E" w14:textId="77777777" w:rsidR="00ED2EBD" w:rsidRPr="00BD16B4" w:rsidRDefault="00ED2EBD" w:rsidP="004B6DE3">
            <w:pPr>
              <w:pStyle w:val="TableText"/>
              <w:spacing w:before="40" w:after="40"/>
              <w:jc w:val="right"/>
              <w:rPr>
                <w:rFonts w:cs="Calibri"/>
                <w:szCs w:val="18"/>
              </w:rPr>
            </w:pPr>
            <w:r w:rsidRPr="00BD16B4">
              <w:rPr>
                <w:rFonts w:cs="Calibri"/>
                <w:szCs w:val="18"/>
              </w:rPr>
              <w:t>995.82</w:t>
            </w:r>
          </w:p>
        </w:tc>
        <w:tc>
          <w:tcPr>
            <w:tcW w:w="1007" w:type="dxa"/>
            <w:tcBorders>
              <w:bottom w:val="single" w:sz="4" w:space="0" w:color="1B556B" w:themeColor="text2"/>
            </w:tcBorders>
          </w:tcPr>
          <w:p w14:paraId="2E05F3D3" w14:textId="77777777" w:rsidR="00ED2EBD" w:rsidRPr="00BD16B4" w:rsidRDefault="00ED2EBD" w:rsidP="004B6DE3">
            <w:pPr>
              <w:pStyle w:val="TableText"/>
              <w:spacing w:before="40" w:after="40"/>
              <w:jc w:val="right"/>
              <w:rPr>
                <w:rFonts w:cs="Calibri"/>
                <w:szCs w:val="18"/>
              </w:rPr>
            </w:pPr>
            <w:r w:rsidRPr="00BD16B4">
              <w:rPr>
                <w:rFonts w:cs="Calibri"/>
                <w:szCs w:val="18"/>
              </w:rPr>
              <w:t>942.64</w:t>
            </w:r>
          </w:p>
        </w:tc>
        <w:tc>
          <w:tcPr>
            <w:tcW w:w="1007" w:type="dxa"/>
            <w:tcBorders>
              <w:bottom w:val="single" w:sz="4" w:space="0" w:color="1B556B" w:themeColor="text2"/>
            </w:tcBorders>
          </w:tcPr>
          <w:p w14:paraId="3567B740" w14:textId="77777777" w:rsidR="00ED2EBD" w:rsidRPr="00BD16B4" w:rsidRDefault="00ED2EBD" w:rsidP="004B6DE3">
            <w:pPr>
              <w:pStyle w:val="TableText"/>
              <w:spacing w:before="40" w:after="40"/>
              <w:jc w:val="right"/>
              <w:rPr>
                <w:rFonts w:cs="Calibri"/>
                <w:szCs w:val="18"/>
              </w:rPr>
            </w:pPr>
            <w:r w:rsidRPr="00BD16B4">
              <w:rPr>
                <w:rFonts w:cs="Calibri"/>
                <w:szCs w:val="18"/>
              </w:rPr>
              <w:t>965.77</w:t>
            </w:r>
          </w:p>
        </w:tc>
      </w:tr>
      <w:tr w:rsidR="00ED4F0D" w:rsidRPr="00BD16B4" w14:paraId="67E05D1E" w14:textId="77777777" w:rsidTr="00061F5B">
        <w:tc>
          <w:tcPr>
            <w:tcW w:w="3539" w:type="dxa"/>
          </w:tcPr>
          <w:p w14:paraId="4F6A6CD4" w14:textId="750EAF87" w:rsidR="00ED2EBD" w:rsidRPr="00BD16B4" w:rsidRDefault="00ED2EBD" w:rsidP="004B6DE3">
            <w:pPr>
              <w:pStyle w:val="TableText"/>
              <w:spacing w:before="40" w:after="40"/>
              <w:rPr>
                <w:rFonts w:cs="Calibri"/>
                <w:szCs w:val="18"/>
              </w:rPr>
            </w:pPr>
            <w:r w:rsidRPr="00BD16B4">
              <w:rPr>
                <w:rFonts w:cs="Calibri"/>
                <w:szCs w:val="18"/>
              </w:rPr>
              <w:t>A.</w:t>
            </w:r>
            <w:r w:rsidR="00280979" w:rsidRPr="00BD16B4">
              <w:rPr>
                <w:rFonts w:cs="Calibri"/>
                <w:szCs w:val="18"/>
              </w:rPr>
              <w:t xml:space="preserve"> </w:t>
            </w:r>
            <w:r w:rsidRPr="00BD16B4">
              <w:rPr>
                <w:rFonts w:cs="Calibri"/>
                <w:szCs w:val="18"/>
              </w:rPr>
              <w:t>Enteric fermentation</w:t>
            </w:r>
          </w:p>
        </w:tc>
        <w:tc>
          <w:tcPr>
            <w:tcW w:w="1006" w:type="dxa"/>
            <w:tcBorders>
              <w:top w:val="single" w:sz="4" w:space="0" w:color="1B556B" w:themeColor="text2"/>
            </w:tcBorders>
            <w:shd w:val="clear" w:color="auto" w:fill="D2DDE1" w:themeFill="background2"/>
          </w:tcPr>
          <w:p w14:paraId="40DDF2C2"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1DB6CBFA"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08BC04F3"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30168A90"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6BCE7733"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6ABFC4E7"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59F1C8FA"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2BB810B6"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4F65F38D"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153D5579"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6D04AFFD"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r>
      <w:tr w:rsidR="00ED4F0D" w:rsidRPr="00BD16B4" w14:paraId="2E8CBAD2" w14:textId="77777777" w:rsidTr="00061F5B">
        <w:tc>
          <w:tcPr>
            <w:tcW w:w="3539" w:type="dxa"/>
          </w:tcPr>
          <w:p w14:paraId="25612A6E" w14:textId="319D26FD" w:rsidR="00ED2EBD" w:rsidRPr="00BD16B4" w:rsidRDefault="00ED2EBD" w:rsidP="004B6DE3">
            <w:pPr>
              <w:pStyle w:val="TableText"/>
              <w:spacing w:before="40" w:after="40"/>
              <w:rPr>
                <w:rFonts w:cs="Calibri"/>
                <w:szCs w:val="18"/>
              </w:rPr>
            </w:pPr>
            <w:r w:rsidRPr="00BD16B4">
              <w:rPr>
                <w:rFonts w:cs="Calibri"/>
                <w:szCs w:val="18"/>
              </w:rPr>
              <w:t>B.</w:t>
            </w:r>
            <w:r w:rsidR="00280979" w:rsidRPr="00BD16B4">
              <w:rPr>
                <w:rFonts w:cs="Calibri"/>
                <w:szCs w:val="18"/>
              </w:rPr>
              <w:t xml:space="preserve"> </w:t>
            </w:r>
            <w:r w:rsidRPr="00BD16B4">
              <w:rPr>
                <w:rFonts w:cs="Calibri"/>
                <w:szCs w:val="18"/>
              </w:rPr>
              <w:t>Manure management</w:t>
            </w:r>
          </w:p>
        </w:tc>
        <w:tc>
          <w:tcPr>
            <w:tcW w:w="1006" w:type="dxa"/>
            <w:tcBorders>
              <w:top w:val="single" w:sz="4" w:space="0" w:color="1B556B" w:themeColor="text2"/>
            </w:tcBorders>
            <w:shd w:val="clear" w:color="auto" w:fill="D2DDE1" w:themeFill="background2"/>
          </w:tcPr>
          <w:p w14:paraId="1BA59255"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39EB8E96"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1CC9E3D1"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08357BCE"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06DB4E21"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2650F59F"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0AEB9FFE"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0C6594D7"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300BAD1C"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4AFCDD11"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61B9C378"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r>
      <w:tr w:rsidR="00ED4F0D" w:rsidRPr="00BD16B4" w14:paraId="0CF93CF5" w14:textId="77777777" w:rsidTr="00061F5B">
        <w:tc>
          <w:tcPr>
            <w:tcW w:w="3539" w:type="dxa"/>
          </w:tcPr>
          <w:p w14:paraId="67E7D72A" w14:textId="566B0209" w:rsidR="00ED2EBD" w:rsidRPr="00BD16B4" w:rsidRDefault="00ED2EBD" w:rsidP="004B6DE3">
            <w:pPr>
              <w:pStyle w:val="TableText"/>
              <w:spacing w:before="40" w:after="40"/>
              <w:rPr>
                <w:rFonts w:cs="Calibri"/>
                <w:szCs w:val="18"/>
              </w:rPr>
            </w:pPr>
            <w:r w:rsidRPr="00BD16B4">
              <w:rPr>
                <w:rFonts w:cs="Calibri"/>
                <w:szCs w:val="18"/>
              </w:rPr>
              <w:t>C.</w:t>
            </w:r>
            <w:r w:rsidR="00280979" w:rsidRPr="00BD16B4">
              <w:rPr>
                <w:rFonts w:cs="Calibri"/>
                <w:szCs w:val="18"/>
              </w:rPr>
              <w:t xml:space="preserve"> </w:t>
            </w:r>
            <w:r w:rsidRPr="00BD16B4">
              <w:rPr>
                <w:rFonts w:cs="Calibri"/>
                <w:szCs w:val="18"/>
              </w:rPr>
              <w:t>Rice cultivation</w:t>
            </w:r>
          </w:p>
        </w:tc>
        <w:tc>
          <w:tcPr>
            <w:tcW w:w="1006" w:type="dxa"/>
            <w:tcBorders>
              <w:top w:val="single" w:sz="4" w:space="0" w:color="1B556B" w:themeColor="text2"/>
            </w:tcBorders>
            <w:shd w:val="clear" w:color="auto" w:fill="D2DDE1" w:themeFill="background2"/>
          </w:tcPr>
          <w:p w14:paraId="44364E09"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725C78B2"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608F452A"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735D49E0"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5CE80C9C"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4D38AECA"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1296475D"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2A3C754E"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6C6D05DA"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2D867834"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1ABE2E0C"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r>
      <w:tr w:rsidR="00ED4F0D" w:rsidRPr="00BD16B4" w14:paraId="7FB37AEC" w14:textId="77777777" w:rsidTr="00061F5B">
        <w:tc>
          <w:tcPr>
            <w:tcW w:w="3539" w:type="dxa"/>
          </w:tcPr>
          <w:p w14:paraId="50A43821" w14:textId="66AE35C9" w:rsidR="00ED2EBD" w:rsidRPr="00BD16B4" w:rsidRDefault="00ED2EBD" w:rsidP="004B6DE3">
            <w:pPr>
              <w:pStyle w:val="TableText"/>
              <w:spacing w:before="40" w:after="40"/>
              <w:rPr>
                <w:rFonts w:cs="Calibri"/>
                <w:szCs w:val="18"/>
              </w:rPr>
            </w:pPr>
            <w:r w:rsidRPr="00BD16B4">
              <w:rPr>
                <w:rFonts w:cs="Calibri"/>
                <w:szCs w:val="18"/>
              </w:rPr>
              <w:t>D.</w:t>
            </w:r>
            <w:r w:rsidR="00280979" w:rsidRPr="00BD16B4">
              <w:rPr>
                <w:rFonts w:cs="Calibri"/>
                <w:szCs w:val="18"/>
              </w:rPr>
              <w:t xml:space="preserve"> </w:t>
            </w:r>
            <w:r w:rsidRPr="00BD16B4">
              <w:rPr>
                <w:rFonts w:cs="Calibri"/>
                <w:szCs w:val="18"/>
              </w:rPr>
              <w:t>Agricultural soils</w:t>
            </w:r>
          </w:p>
        </w:tc>
        <w:tc>
          <w:tcPr>
            <w:tcW w:w="1006" w:type="dxa"/>
            <w:tcBorders>
              <w:top w:val="single" w:sz="4" w:space="0" w:color="1B556B" w:themeColor="text2"/>
            </w:tcBorders>
            <w:shd w:val="clear" w:color="auto" w:fill="D2DDE1" w:themeFill="background2"/>
          </w:tcPr>
          <w:p w14:paraId="470A1B83"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69CE3C0A"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27E24877"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2F02C83C"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18C878D2"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5DCFCDA7"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081176CF"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21078F56"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3A128932"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74260A6B"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726AA11B"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r>
      <w:tr w:rsidR="00ED4F0D" w:rsidRPr="00BD16B4" w14:paraId="65CEC3CB" w14:textId="77777777" w:rsidTr="00061F5B">
        <w:tc>
          <w:tcPr>
            <w:tcW w:w="3539" w:type="dxa"/>
          </w:tcPr>
          <w:p w14:paraId="237FA227" w14:textId="24A75A62" w:rsidR="00ED2EBD" w:rsidRPr="00BD16B4" w:rsidRDefault="00ED2EBD" w:rsidP="004B6DE3">
            <w:pPr>
              <w:pStyle w:val="TableText"/>
              <w:spacing w:before="40" w:after="40"/>
              <w:rPr>
                <w:rFonts w:cs="Calibri"/>
                <w:szCs w:val="18"/>
              </w:rPr>
            </w:pPr>
            <w:r w:rsidRPr="00BD16B4">
              <w:rPr>
                <w:rFonts w:cs="Calibri"/>
                <w:szCs w:val="18"/>
              </w:rPr>
              <w:t>E.</w:t>
            </w:r>
            <w:r w:rsidR="00280979" w:rsidRPr="00BD16B4">
              <w:rPr>
                <w:rFonts w:cs="Calibri"/>
                <w:szCs w:val="18"/>
              </w:rPr>
              <w:t xml:space="preserve"> </w:t>
            </w:r>
            <w:r w:rsidRPr="00BD16B4">
              <w:rPr>
                <w:rFonts w:cs="Calibri"/>
                <w:szCs w:val="18"/>
              </w:rPr>
              <w:t>Prescribed burning of savannas</w:t>
            </w:r>
          </w:p>
        </w:tc>
        <w:tc>
          <w:tcPr>
            <w:tcW w:w="1006" w:type="dxa"/>
            <w:tcBorders>
              <w:top w:val="single" w:sz="4" w:space="0" w:color="1B556B" w:themeColor="text2"/>
            </w:tcBorders>
            <w:shd w:val="clear" w:color="auto" w:fill="D2DDE1" w:themeFill="background2"/>
          </w:tcPr>
          <w:p w14:paraId="727C73BA"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2B70A44D"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1B5BF006"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3113C5AF"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5E93AA8E"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6202FD93"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27C6D123"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1151F24D"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0FC92B7F"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33967177"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2D8BC344"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r>
      <w:tr w:rsidR="00ED4F0D" w:rsidRPr="00BD16B4" w14:paraId="59CADB67" w14:textId="77777777" w:rsidTr="00061F5B">
        <w:tc>
          <w:tcPr>
            <w:tcW w:w="3539" w:type="dxa"/>
          </w:tcPr>
          <w:p w14:paraId="483A3683" w14:textId="04C7F5AD" w:rsidR="00ED2EBD" w:rsidRPr="00BD16B4" w:rsidRDefault="00ED2EBD" w:rsidP="004B6DE3">
            <w:pPr>
              <w:pStyle w:val="TableText"/>
              <w:spacing w:before="40" w:after="40"/>
              <w:rPr>
                <w:rFonts w:cs="Calibri"/>
                <w:szCs w:val="18"/>
              </w:rPr>
            </w:pPr>
            <w:r w:rsidRPr="00BD16B4">
              <w:rPr>
                <w:rFonts w:cs="Calibri"/>
                <w:szCs w:val="18"/>
              </w:rPr>
              <w:t>F.</w:t>
            </w:r>
            <w:r w:rsidR="00280979" w:rsidRPr="00BD16B4">
              <w:rPr>
                <w:rFonts w:cs="Calibri"/>
                <w:szCs w:val="18"/>
              </w:rPr>
              <w:t xml:space="preserve"> </w:t>
            </w:r>
            <w:r w:rsidRPr="00BD16B4">
              <w:rPr>
                <w:rFonts w:cs="Calibri"/>
                <w:szCs w:val="18"/>
              </w:rPr>
              <w:t>Field burning of agricultural residues</w:t>
            </w:r>
          </w:p>
        </w:tc>
        <w:tc>
          <w:tcPr>
            <w:tcW w:w="1006" w:type="dxa"/>
            <w:tcBorders>
              <w:top w:val="single" w:sz="4" w:space="0" w:color="1B556B" w:themeColor="text2"/>
            </w:tcBorders>
            <w:shd w:val="clear" w:color="auto" w:fill="D2DDE1" w:themeFill="background2"/>
          </w:tcPr>
          <w:p w14:paraId="7C4A0B6A"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3FA4DAD1"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326B60C3"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5C6BF4B3"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34976B64"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2FFFB88A"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00575E7A"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32D027B7"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76907690"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1F216DCC"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607DEBC5" w14:textId="77777777" w:rsidR="00ED2EBD" w:rsidRPr="00BD16B4" w:rsidRDefault="00ED2EBD" w:rsidP="004B6DE3">
            <w:pPr>
              <w:pStyle w:val="TableText"/>
              <w:spacing w:before="40" w:after="40"/>
              <w:jc w:val="right"/>
              <w:rPr>
                <w:rFonts w:cs="Calibri"/>
                <w:szCs w:val="18"/>
              </w:rPr>
            </w:pPr>
          </w:p>
        </w:tc>
      </w:tr>
      <w:tr w:rsidR="006446D5" w:rsidRPr="00BD16B4" w14:paraId="7780C377" w14:textId="77777777" w:rsidTr="00061F5B">
        <w:tc>
          <w:tcPr>
            <w:tcW w:w="3539" w:type="dxa"/>
          </w:tcPr>
          <w:p w14:paraId="564FDB67" w14:textId="5F5A437A" w:rsidR="00ED2EBD" w:rsidRPr="00BD16B4" w:rsidRDefault="00ED2EBD" w:rsidP="004B6DE3">
            <w:pPr>
              <w:pStyle w:val="TableText"/>
              <w:spacing w:before="40" w:after="40"/>
              <w:rPr>
                <w:rFonts w:cs="Calibri"/>
                <w:szCs w:val="18"/>
              </w:rPr>
            </w:pPr>
            <w:r w:rsidRPr="00BD16B4">
              <w:rPr>
                <w:rFonts w:cs="Calibri"/>
                <w:szCs w:val="18"/>
              </w:rPr>
              <w:t>G.</w:t>
            </w:r>
            <w:r w:rsidR="00280979" w:rsidRPr="00BD16B4">
              <w:rPr>
                <w:rFonts w:cs="Calibri"/>
                <w:szCs w:val="18"/>
              </w:rPr>
              <w:t xml:space="preserve"> </w:t>
            </w:r>
            <w:r w:rsidRPr="00BD16B4">
              <w:rPr>
                <w:rFonts w:cs="Calibri"/>
                <w:szCs w:val="18"/>
              </w:rPr>
              <w:t>Liming</w:t>
            </w:r>
          </w:p>
        </w:tc>
        <w:tc>
          <w:tcPr>
            <w:tcW w:w="1006" w:type="dxa"/>
          </w:tcPr>
          <w:p w14:paraId="50A0E837" w14:textId="77777777" w:rsidR="00ED2EBD" w:rsidRPr="00BD16B4" w:rsidRDefault="00ED2EBD" w:rsidP="004B6DE3">
            <w:pPr>
              <w:pStyle w:val="TableText"/>
              <w:spacing w:before="40" w:after="40"/>
              <w:jc w:val="right"/>
              <w:rPr>
                <w:rFonts w:cs="Calibri"/>
                <w:szCs w:val="18"/>
              </w:rPr>
            </w:pPr>
            <w:r w:rsidRPr="00BD16B4">
              <w:rPr>
                <w:rFonts w:cs="Calibri"/>
                <w:szCs w:val="18"/>
              </w:rPr>
              <w:t>521.56</w:t>
            </w:r>
          </w:p>
        </w:tc>
        <w:tc>
          <w:tcPr>
            <w:tcW w:w="1006" w:type="dxa"/>
          </w:tcPr>
          <w:p w14:paraId="47F9721A" w14:textId="77777777" w:rsidR="00ED2EBD" w:rsidRPr="00BD16B4" w:rsidRDefault="00ED2EBD" w:rsidP="004B6DE3">
            <w:pPr>
              <w:pStyle w:val="TableText"/>
              <w:spacing w:before="40" w:after="40"/>
              <w:jc w:val="right"/>
              <w:rPr>
                <w:rFonts w:cs="Calibri"/>
                <w:szCs w:val="18"/>
              </w:rPr>
            </w:pPr>
            <w:r w:rsidRPr="00BD16B4">
              <w:rPr>
                <w:rFonts w:cs="Calibri"/>
                <w:szCs w:val="18"/>
              </w:rPr>
              <w:t>562.24</w:t>
            </w:r>
          </w:p>
        </w:tc>
        <w:tc>
          <w:tcPr>
            <w:tcW w:w="1006" w:type="dxa"/>
          </w:tcPr>
          <w:p w14:paraId="479B2D68" w14:textId="77777777" w:rsidR="00ED2EBD" w:rsidRPr="00BD16B4" w:rsidRDefault="00ED2EBD" w:rsidP="004B6DE3">
            <w:pPr>
              <w:pStyle w:val="TableText"/>
              <w:spacing w:before="40" w:after="40"/>
              <w:jc w:val="right"/>
              <w:rPr>
                <w:rFonts w:cs="Calibri"/>
                <w:szCs w:val="18"/>
              </w:rPr>
            </w:pPr>
            <w:r w:rsidRPr="00BD16B4">
              <w:rPr>
                <w:rFonts w:cs="Calibri"/>
                <w:szCs w:val="18"/>
              </w:rPr>
              <w:t>602.91</w:t>
            </w:r>
          </w:p>
        </w:tc>
        <w:tc>
          <w:tcPr>
            <w:tcW w:w="1006" w:type="dxa"/>
          </w:tcPr>
          <w:p w14:paraId="2729C015" w14:textId="77777777" w:rsidR="00ED2EBD" w:rsidRPr="00BD16B4" w:rsidRDefault="00ED2EBD" w:rsidP="004B6DE3">
            <w:pPr>
              <w:pStyle w:val="TableText"/>
              <w:spacing w:before="40" w:after="40"/>
              <w:jc w:val="right"/>
              <w:rPr>
                <w:rFonts w:cs="Calibri"/>
                <w:szCs w:val="18"/>
              </w:rPr>
            </w:pPr>
            <w:r w:rsidRPr="00BD16B4">
              <w:rPr>
                <w:rFonts w:cs="Calibri"/>
                <w:szCs w:val="18"/>
              </w:rPr>
              <w:t>643.58</w:t>
            </w:r>
          </w:p>
        </w:tc>
        <w:tc>
          <w:tcPr>
            <w:tcW w:w="1007" w:type="dxa"/>
          </w:tcPr>
          <w:p w14:paraId="07BA9C2E" w14:textId="77777777" w:rsidR="00ED2EBD" w:rsidRPr="00BD16B4" w:rsidRDefault="00ED2EBD" w:rsidP="004B6DE3">
            <w:pPr>
              <w:pStyle w:val="TableText"/>
              <w:spacing w:before="40" w:after="40"/>
              <w:jc w:val="right"/>
              <w:rPr>
                <w:rFonts w:cs="Calibri"/>
                <w:szCs w:val="18"/>
              </w:rPr>
            </w:pPr>
            <w:r w:rsidRPr="00BD16B4">
              <w:rPr>
                <w:rFonts w:cs="Calibri"/>
                <w:szCs w:val="18"/>
              </w:rPr>
              <w:t>567.62</w:t>
            </w:r>
          </w:p>
        </w:tc>
        <w:tc>
          <w:tcPr>
            <w:tcW w:w="1007" w:type="dxa"/>
          </w:tcPr>
          <w:p w14:paraId="1D064D2E" w14:textId="77777777" w:rsidR="00ED2EBD" w:rsidRPr="00BD16B4" w:rsidRDefault="00ED2EBD" w:rsidP="004B6DE3">
            <w:pPr>
              <w:pStyle w:val="TableText"/>
              <w:spacing w:before="40" w:after="40"/>
              <w:jc w:val="right"/>
              <w:rPr>
                <w:rFonts w:cs="Calibri"/>
                <w:szCs w:val="18"/>
              </w:rPr>
            </w:pPr>
            <w:r w:rsidRPr="00BD16B4">
              <w:rPr>
                <w:rFonts w:cs="Calibri"/>
                <w:szCs w:val="18"/>
              </w:rPr>
              <w:t>551.86</w:t>
            </w:r>
          </w:p>
        </w:tc>
        <w:tc>
          <w:tcPr>
            <w:tcW w:w="1007" w:type="dxa"/>
          </w:tcPr>
          <w:p w14:paraId="15CBA798" w14:textId="77777777" w:rsidR="00ED2EBD" w:rsidRPr="00BD16B4" w:rsidRDefault="00ED2EBD" w:rsidP="004B6DE3">
            <w:pPr>
              <w:pStyle w:val="TableText"/>
              <w:spacing w:before="40" w:after="40"/>
              <w:jc w:val="right"/>
              <w:rPr>
                <w:rFonts w:cs="Calibri"/>
                <w:szCs w:val="18"/>
              </w:rPr>
            </w:pPr>
            <w:r w:rsidRPr="00BD16B4">
              <w:rPr>
                <w:rFonts w:cs="Calibri"/>
                <w:szCs w:val="18"/>
              </w:rPr>
              <w:t>607.51</w:t>
            </w:r>
          </w:p>
        </w:tc>
        <w:tc>
          <w:tcPr>
            <w:tcW w:w="1007" w:type="dxa"/>
          </w:tcPr>
          <w:p w14:paraId="40E92971" w14:textId="77777777" w:rsidR="00ED2EBD" w:rsidRPr="00BD16B4" w:rsidRDefault="00ED2EBD" w:rsidP="004B6DE3">
            <w:pPr>
              <w:pStyle w:val="TableText"/>
              <w:spacing w:before="40" w:after="40"/>
              <w:jc w:val="right"/>
              <w:rPr>
                <w:rFonts w:cs="Calibri"/>
                <w:szCs w:val="18"/>
              </w:rPr>
            </w:pPr>
            <w:r w:rsidRPr="00BD16B4">
              <w:rPr>
                <w:rFonts w:cs="Calibri"/>
                <w:szCs w:val="18"/>
              </w:rPr>
              <w:t>507.57</w:t>
            </w:r>
          </w:p>
        </w:tc>
        <w:tc>
          <w:tcPr>
            <w:tcW w:w="1007" w:type="dxa"/>
          </w:tcPr>
          <w:p w14:paraId="4BE7A8DF" w14:textId="77777777" w:rsidR="00ED2EBD" w:rsidRPr="00BD16B4" w:rsidRDefault="00ED2EBD" w:rsidP="004B6DE3">
            <w:pPr>
              <w:pStyle w:val="TableText"/>
              <w:spacing w:before="40" w:after="40"/>
              <w:jc w:val="right"/>
              <w:rPr>
                <w:rFonts w:cs="Calibri"/>
                <w:szCs w:val="18"/>
              </w:rPr>
            </w:pPr>
            <w:r w:rsidRPr="00BD16B4">
              <w:rPr>
                <w:rFonts w:cs="Calibri"/>
                <w:szCs w:val="18"/>
              </w:rPr>
              <w:t>539.53</w:t>
            </w:r>
          </w:p>
        </w:tc>
        <w:tc>
          <w:tcPr>
            <w:tcW w:w="1007" w:type="dxa"/>
          </w:tcPr>
          <w:p w14:paraId="11463E2B" w14:textId="77777777" w:rsidR="00ED2EBD" w:rsidRPr="00BD16B4" w:rsidRDefault="00ED2EBD" w:rsidP="004B6DE3">
            <w:pPr>
              <w:pStyle w:val="TableText"/>
              <w:spacing w:before="40" w:after="40"/>
              <w:jc w:val="right"/>
              <w:rPr>
                <w:rFonts w:cs="Calibri"/>
                <w:szCs w:val="18"/>
              </w:rPr>
            </w:pPr>
            <w:r w:rsidRPr="00BD16B4">
              <w:rPr>
                <w:rFonts w:cs="Calibri"/>
                <w:szCs w:val="18"/>
              </w:rPr>
              <w:t>502.31</w:t>
            </w:r>
          </w:p>
        </w:tc>
        <w:tc>
          <w:tcPr>
            <w:tcW w:w="1007" w:type="dxa"/>
          </w:tcPr>
          <w:p w14:paraId="4ECBB237" w14:textId="77777777" w:rsidR="00ED2EBD" w:rsidRPr="00BD16B4" w:rsidRDefault="00ED2EBD" w:rsidP="004B6DE3">
            <w:pPr>
              <w:pStyle w:val="TableText"/>
              <w:spacing w:before="40" w:after="40"/>
              <w:jc w:val="right"/>
              <w:rPr>
                <w:rFonts w:cs="Calibri"/>
                <w:szCs w:val="18"/>
              </w:rPr>
            </w:pPr>
            <w:r w:rsidRPr="00BD16B4">
              <w:rPr>
                <w:rFonts w:cs="Calibri"/>
                <w:szCs w:val="18"/>
              </w:rPr>
              <w:t>591.86</w:t>
            </w:r>
          </w:p>
        </w:tc>
      </w:tr>
      <w:tr w:rsidR="006446D5" w:rsidRPr="00BD16B4" w14:paraId="263B44C1" w14:textId="77777777" w:rsidTr="00061F5B">
        <w:tc>
          <w:tcPr>
            <w:tcW w:w="3539" w:type="dxa"/>
          </w:tcPr>
          <w:p w14:paraId="21D7A41E" w14:textId="17AEF2ED" w:rsidR="00ED2EBD" w:rsidRPr="00BD16B4" w:rsidRDefault="00ED2EBD" w:rsidP="004B6DE3">
            <w:pPr>
              <w:pStyle w:val="TableText"/>
              <w:spacing w:before="40" w:after="40"/>
              <w:rPr>
                <w:rFonts w:cs="Calibri"/>
                <w:szCs w:val="18"/>
              </w:rPr>
            </w:pPr>
            <w:r w:rsidRPr="00BD16B4">
              <w:rPr>
                <w:rFonts w:cs="Calibri"/>
                <w:szCs w:val="18"/>
              </w:rPr>
              <w:t>H.</w:t>
            </w:r>
            <w:r w:rsidR="00280979" w:rsidRPr="00BD16B4">
              <w:rPr>
                <w:rFonts w:cs="Calibri"/>
                <w:szCs w:val="18"/>
              </w:rPr>
              <w:t xml:space="preserve"> </w:t>
            </w:r>
            <w:r w:rsidRPr="00BD16B4">
              <w:rPr>
                <w:rFonts w:cs="Calibri"/>
                <w:szCs w:val="18"/>
              </w:rPr>
              <w:t>Urea application</w:t>
            </w:r>
          </w:p>
        </w:tc>
        <w:tc>
          <w:tcPr>
            <w:tcW w:w="1006" w:type="dxa"/>
          </w:tcPr>
          <w:p w14:paraId="68BFDE59" w14:textId="77777777" w:rsidR="00ED2EBD" w:rsidRPr="00BD16B4" w:rsidRDefault="00ED2EBD" w:rsidP="004B6DE3">
            <w:pPr>
              <w:pStyle w:val="TableText"/>
              <w:spacing w:before="40" w:after="40"/>
              <w:jc w:val="right"/>
              <w:rPr>
                <w:rFonts w:cs="Calibri"/>
                <w:szCs w:val="18"/>
              </w:rPr>
            </w:pPr>
            <w:r w:rsidRPr="00BD16B4">
              <w:rPr>
                <w:rFonts w:cs="Calibri"/>
                <w:szCs w:val="18"/>
              </w:rPr>
              <w:t>221.62</w:t>
            </w:r>
          </w:p>
        </w:tc>
        <w:tc>
          <w:tcPr>
            <w:tcW w:w="1006" w:type="dxa"/>
          </w:tcPr>
          <w:p w14:paraId="23C1F92A" w14:textId="77777777" w:rsidR="00ED2EBD" w:rsidRPr="00BD16B4" w:rsidRDefault="00ED2EBD" w:rsidP="004B6DE3">
            <w:pPr>
              <w:pStyle w:val="TableText"/>
              <w:spacing w:before="40" w:after="40"/>
              <w:jc w:val="right"/>
              <w:rPr>
                <w:rFonts w:cs="Calibri"/>
                <w:szCs w:val="18"/>
              </w:rPr>
            </w:pPr>
            <w:r w:rsidRPr="00BD16B4">
              <w:rPr>
                <w:rFonts w:cs="Calibri"/>
                <w:szCs w:val="18"/>
              </w:rPr>
              <w:t>228.54</w:t>
            </w:r>
          </w:p>
        </w:tc>
        <w:tc>
          <w:tcPr>
            <w:tcW w:w="1006" w:type="dxa"/>
          </w:tcPr>
          <w:p w14:paraId="63808B42" w14:textId="77777777" w:rsidR="00ED2EBD" w:rsidRPr="00BD16B4" w:rsidRDefault="00ED2EBD" w:rsidP="004B6DE3">
            <w:pPr>
              <w:pStyle w:val="TableText"/>
              <w:spacing w:before="40" w:after="40"/>
              <w:jc w:val="right"/>
              <w:rPr>
                <w:rFonts w:cs="Calibri"/>
                <w:szCs w:val="18"/>
              </w:rPr>
            </w:pPr>
            <w:r w:rsidRPr="00BD16B4">
              <w:rPr>
                <w:rFonts w:cs="Calibri"/>
                <w:szCs w:val="18"/>
              </w:rPr>
              <w:t>298.84</w:t>
            </w:r>
          </w:p>
        </w:tc>
        <w:tc>
          <w:tcPr>
            <w:tcW w:w="1006" w:type="dxa"/>
          </w:tcPr>
          <w:p w14:paraId="556B5C5C" w14:textId="77777777" w:rsidR="00ED2EBD" w:rsidRPr="00BD16B4" w:rsidRDefault="00ED2EBD" w:rsidP="004B6DE3">
            <w:pPr>
              <w:pStyle w:val="TableText"/>
              <w:spacing w:before="40" w:after="40"/>
              <w:jc w:val="right"/>
              <w:rPr>
                <w:rFonts w:cs="Calibri"/>
                <w:szCs w:val="18"/>
              </w:rPr>
            </w:pPr>
            <w:r w:rsidRPr="00BD16B4">
              <w:rPr>
                <w:rFonts w:cs="Calibri"/>
                <w:szCs w:val="18"/>
              </w:rPr>
              <w:t>390.32</w:t>
            </w:r>
          </w:p>
        </w:tc>
        <w:tc>
          <w:tcPr>
            <w:tcW w:w="1007" w:type="dxa"/>
          </w:tcPr>
          <w:p w14:paraId="12C31928" w14:textId="77777777" w:rsidR="00ED2EBD" w:rsidRPr="00BD16B4" w:rsidRDefault="00ED2EBD" w:rsidP="004B6DE3">
            <w:pPr>
              <w:pStyle w:val="TableText"/>
              <w:spacing w:before="40" w:after="40"/>
              <w:jc w:val="right"/>
              <w:rPr>
                <w:rFonts w:cs="Calibri"/>
                <w:szCs w:val="18"/>
              </w:rPr>
            </w:pPr>
            <w:r w:rsidRPr="00BD16B4">
              <w:rPr>
                <w:rFonts w:cs="Calibri"/>
                <w:szCs w:val="18"/>
              </w:rPr>
              <w:t>434.11</w:t>
            </w:r>
          </w:p>
        </w:tc>
        <w:tc>
          <w:tcPr>
            <w:tcW w:w="1007" w:type="dxa"/>
          </w:tcPr>
          <w:p w14:paraId="61A8BDF0" w14:textId="77777777" w:rsidR="00ED2EBD" w:rsidRPr="00BD16B4" w:rsidRDefault="00ED2EBD" w:rsidP="004B6DE3">
            <w:pPr>
              <w:pStyle w:val="TableText"/>
              <w:spacing w:before="40" w:after="40"/>
              <w:jc w:val="right"/>
              <w:rPr>
                <w:rFonts w:cs="Calibri"/>
                <w:szCs w:val="18"/>
              </w:rPr>
            </w:pPr>
            <w:r w:rsidRPr="00BD16B4">
              <w:rPr>
                <w:rFonts w:cs="Calibri"/>
                <w:szCs w:val="18"/>
              </w:rPr>
              <w:t>455.04</w:t>
            </w:r>
          </w:p>
        </w:tc>
        <w:tc>
          <w:tcPr>
            <w:tcW w:w="1007" w:type="dxa"/>
          </w:tcPr>
          <w:p w14:paraId="218B990D" w14:textId="77777777" w:rsidR="00ED2EBD" w:rsidRPr="00BD16B4" w:rsidRDefault="00ED2EBD" w:rsidP="004B6DE3">
            <w:pPr>
              <w:pStyle w:val="TableText"/>
              <w:spacing w:before="40" w:after="40"/>
              <w:jc w:val="right"/>
              <w:rPr>
                <w:rFonts w:cs="Calibri"/>
                <w:szCs w:val="18"/>
              </w:rPr>
            </w:pPr>
            <w:r w:rsidRPr="00BD16B4">
              <w:rPr>
                <w:rFonts w:cs="Calibri"/>
                <w:szCs w:val="18"/>
              </w:rPr>
              <w:t>456.60</w:t>
            </w:r>
          </w:p>
        </w:tc>
        <w:tc>
          <w:tcPr>
            <w:tcW w:w="1007" w:type="dxa"/>
          </w:tcPr>
          <w:p w14:paraId="037B3AAE" w14:textId="77777777" w:rsidR="00ED2EBD" w:rsidRPr="00BD16B4" w:rsidRDefault="00ED2EBD" w:rsidP="004B6DE3">
            <w:pPr>
              <w:pStyle w:val="TableText"/>
              <w:spacing w:before="40" w:after="40"/>
              <w:jc w:val="right"/>
              <w:rPr>
                <w:rFonts w:cs="Calibri"/>
                <w:szCs w:val="18"/>
              </w:rPr>
            </w:pPr>
            <w:r w:rsidRPr="00BD16B4">
              <w:rPr>
                <w:rFonts w:cs="Calibri"/>
                <w:szCs w:val="18"/>
              </w:rPr>
              <w:t>422.26</w:t>
            </w:r>
          </w:p>
        </w:tc>
        <w:tc>
          <w:tcPr>
            <w:tcW w:w="1007" w:type="dxa"/>
          </w:tcPr>
          <w:p w14:paraId="2986C61B" w14:textId="77777777" w:rsidR="00ED2EBD" w:rsidRPr="00BD16B4" w:rsidRDefault="00ED2EBD" w:rsidP="004B6DE3">
            <w:pPr>
              <w:pStyle w:val="TableText"/>
              <w:spacing w:before="40" w:after="40"/>
              <w:jc w:val="right"/>
              <w:rPr>
                <w:rFonts w:cs="Calibri"/>
                <w:szCs w:val="18"/>
              </w:rPr>
            </w:pPr>
            <w:r w:rsidRPr="00BD16B4">
              <w:rPr>
                <w:rFonts w:cs="Calibri"/>
                <w:szCs w:val="18"/>
              </w:rPr>
              <w:t>456.29</w:t>
            </w:r>
          </w:p>
        </w:tc>
        <w:tc>
          <w:tcPr>
            <w:tcW w:w="1007" w:type="dxa"/>
          </w:tcPr>
          <w:p w14:paraId="326AC9AF" w14:textId="77777777" w:rsidR="00ED2EBD" w:rsidRPr="00BD16B4" w:rsidRDefault="00ED2EBD" w:rsidP="004B6DE3">
            <w:pPr>
              <w:pStyle w:val="TableText"/>
              <w:spacing w:before="40" w:after="40"/>
              <w:jc w:val="right"/>
              <w:rPr>
                <w:rFonts w:cs="Calibri"/>
                <w:szCs w:val="18"/>
              </w:rPr>
            </w:pPr>
            <w:r w:rsidRPr="00BD16B4">
              <w:rPr>
                <w:rFonts w:cs="Calibri"/>
                <w:szCs w:val="18"/>
              </w:rPr>
              <w:t>440.33</w:t>
            </w:r>
          </w:p>
        </w:tc>
        <w:tc>
          <w:tcPr>
            <w:tcW w:w="1007" w:type="dxa"/>
          </w:tcPr>
          <w:p w14:paraId="45C80A2D" w14:textId="77777777" w:rsidR="00ED2EBD" w:rsidRPr="00BD16B4" w:rsidRDefault="00ED2EBD" w:rsidP="004B6DE3">
            <w:pPr>
              <w:pStyle w:val="TableText"/>
              <w:spacing w:before="40" w:after="40"/>
              <w:jc w:val="right"/>
              <w:rPr>
                <w:rFonts w:cs="Calibri"/>
                <w:szCs w:val="18"/>
              </w:rPr>
            </w:pPr>
            <w:r w:rsidRPr="00BD16B4">
              <w:rPr>
                <w:rFonts w:cs="Calibri"/>
                <w:szCs w:val="18"/>
              </w:rPr>
              <w:t>373.91</w:t>
            </w:r>
          </w:p>
        </w:tc>
      </w:tr>
      <w:tr w:rsidR="006446D5" w:rsidRPr="00BD16B4" w14:paraId="037D3E9B" w14:textId="77777777" w:rsidTr="00061F5B">
        <w:tc>
          <w:tcPr>
            <w:tcW w:w="3539" w:type="dxa"/>
          </w:tcPr>
          <w:p w14:paraId="4AC962E0" w14:textId="727ADA36" w:rsidR="00ED2EBD" w:rsidRPr="00BD16B4" w:rsidRDefault="00ED2EBD" w:rsidP="004B6DE3">
            <w:pPr>
              <w:pStyle w:val="TableText"/>
              <w:spacing w:before="40" w:after="40"/>
              <w:rPr>
                <w:rFonts w:cs="Calibri"/>
                <w:szCs w:val="18"/>
              </w:rPr>
            </w:pPr>
            <w:r w:rsidRPr="00BD16B4">
              <w:rPr>
                <w:rFonts w:cs="Calibri"/>
                <w:szCs w:val="18"/>
              </w:rPr>
              <w:t>I.</w:t>
            </w:r>
            <w:r w:rsidR="00280979" w:rsidRPr="00BD16B4">
              <w:rPr>
                <w:rFonts w:cs="Calibri"/>
                <w:szCs w:val="18"/>
              </w:rPr>
              <w:t xml:space="preserve"> </w:t>
            </w:r>
            <w:r w:rsidRPr="00BD16B4">
              <w:rPr>
                <w:rFonts w:cs="Calibri"/>
                <w:szCs w:val="18"/>
              </w:rPr>
              <w:t>Other carbon-containing fertilizers</w:t>
            </w:r>
          </w:p>
        </w:tc>
        <w:tc>
          <w:tcPr>
            <w:tcW w:w="1006" w:type="dxa"/>
            <w:tcBorders>
              <w:bottom w:val="single" w:sz="4" w:space="0" w:color="1B556B" w:themeColor="text2"/>
            </w:tcBorders>
          </w:tcPr>
          <w:p w14:paraId="2AE2FF25" w14:textId="77777777" w:rsidR="00ED2EBD" w:rsidRPr="00BD16B4" w:rsidRDefault="00ED2EBD" w:rsidP="004B6DE3">
            <w:pPr>
              <w:pStyle w:val="TableText"/>
              <w:spacing w:before="40" w:after="40"/>
              <w:jc w:val="right"/>
              <w:rPr>
                <w:rFonts w:cs="Calibri"/>
                <w:szCs w:val="18"/>
              </w:rPr>
            </w:pPr>
            <w:r w:rsidRPr="00BD16B4">
              <w:rPr>
                <w:rFonts w:cs="Calibri"/>
                <w:szCs w:val="18"/>
              </w:rPr>
              <w:t>NE</w:t>
            </w:r>
          </w:p>
        </w:tc>
        <w:tc>
          <w:tcPr>
            <w:tcW w:w="1006" w:type="dxa"/>
            <w:tcBorders>
              <w:bottom w:val="single" w:sz="4" w:space="0" w:color="1B556B" w:themeColor="text2"/>
            </w:tcBorders>
          </w:tcPr>
          <w:p w14:paraId="61630B20" w14:textId="77777777" w:rsidR="00ED2EBD" w:rsidRPr="00BD16B4" w:rsidRDefault="00ED2EBD" w:rsidP="004B6DE3">
            <w:pPr>
              <w:pStyle w:val="TableText"/>
              <w:spacing w:before="40" w:after="40"/>
              <w:jc w:val="right"/>
              <w:rPr>
                <w:rFonts w:cs="Calibri"/>
                <w:szCs w:val="18"/>
              </w:rPr>
            </w:pPr>
            <w:r w:rsidRPr="00BD16B4">
              <w:rPr>
                <w:rFonts w:cs="Calibri"/>
                <w:szCs w:val="18"/>
              </w:rPr>
              <w:t>NE</w:t>
            </w:r>
          </w:p>
        </w:tc>
        <w:tc>
          <w:tcPr>
            <w:tcW w:w="1006" w:type="dxa"/>
            <w:tcBorders>
              <w:bottom w:val="single" w:sz="4" w:space="0" w:color="1B556B" w:themeColor="text2"/>
            </w:tcBorders>
          </w:tcPr>
          <w:p w14:paraId="2FAEBEEA" w14:textId="77777777" w:rsidR="00ED2EBD" w:rsidRPr="00BD16B4" w:rsidRDefault="00ED2EBD" w:rsidP="004B6DE3">
            <w:pPr>
              <w:pStyle w:val="TableText"/>
              <w:spacing w:before="40" w:after="40"/>
              <w:jc w:val="right"/>
              <w:rPr>
                <w:rFonts w:cs="Calibri"/>
                <w:szCs w:val="18"/>
              </w:rPr>
            </w:pPr>
            <w:r w:rsidRPr="00BD16B4">
              <w:rPr>
                <w:rFonts w:cs="Calibri"/>
                <w:szCs w:val="18"/>
              </w:rPr>
              <w:t>NE</w:t>
            </w:r>
          </w:p>
        </w:tc>
        <w:tc>
          <w:tcPr>
            <w:tcW w:w="1006" w:type="dxa"/>
            <w:tcBorders>
              <w:bottom w:val="single" w:sz="4" w:space="0" w:color="1B556B" w:themeColor="text2"/>
            </w:tcBorders>
          </w:tcPr>
          <w:p w14:paraId="5DDEED40" w14:textId="77777777" w:rsidR="00ED2EBD" w:rsidRPr="00BD16B4" w:rsidRDefault="00ED2EBD" w:rsidP="004B6DE3">
            <w:pPr>
              <w:pStyle w:val="TableText"/>
              <w:spacing w:before="40" w:after="40"/>
              <w:jc w:val="right"/>
              <w:rPr>
                <w:rFonts w:cs="Calibri"/>
                <w:szCs w:val="18"/>
              </w:rPr>
            </w:pPr>
            <w:r w:rsidRPr="00BD16B4">
              <w:rPr>
                <w:rFonts w:cs="Calibri"/>
                <w:szCs w:val="18"/>
              </w:rPr>
              <w:t>NE</w:t>
            </w:r>
          </w:p>
        </w:tc>
        <w:tc>
          <w:tcPr>
            <w:tcW w:w="1007" w:type="dxa"/>
            <w:tcBorders>
              <w:bottom w:val="single" w:sz="4" w:space="0" w:color="1B556B" w:themeColor="text2"/>
            </w:tcBorders>
          </w:tcPr>
          <w:p w14:paraId="4C408CB6" w14:textId="77777777" w:rsidR="00ED2EBD" w:rsidRPr="00BD16B4" w:rsidRDefault="00ED2EBD" w:rsidP="004B6DE3">
            <w:pPr>
              <w:pStyle w:val="TableText"/>
              <w:spacing w:before="40" w:after="40"/>
              <w:jc w:val="right"/>
              <w:rPr>
                <w:rFonts w:cs="Calibri"/>
                <w:szCs w:val="18"/>
              </w:rPr>
            </w:pPr>
            <w:r w:rsidRPr="00BD16B4">
              <w:rPr>
                <w:rFonts w:cs="Calibri"/>
                <w:szCs w:val="18"/>
              </w:rPr>
              <w:t>NE</w:t>
            </w:r>
          </w:p>
        </w:tc>
        <w:tc>
          <w:tcPr>
            <w:tcW w:w="1007" w:type="dxa"/>
            <w:tcBorders>
              <w:bottom w:val="single" w:sz="4" w:space="0" w:color="1B556B" w:themeColor="text2"/>
            </w:tcBorders>
          </w:tcPr>
          <w:p w14:paraId="63630180" w14:textId="77777777" w:rsidR="00ED2EBD" w:rsidRPr="00BD16B4" w:rsidRDefault="00ED2EBD" w:rsidP="004B6DE3">
            <w:pPr>
              <w:pStyle w:val="TableText"/>
              <w:spacing w:before="40" w:after="40"/>
              <w:jc w:val="right"/>
              <w:rPr>
                <w:rFonts w:cs="Calibri"/>
                <w:szCs w:val="18"/>
              </w:rPr>
            </w:pPr>
            <w:r w:rsidRPr="00BD16B4">
              <w:rPr>
                <w:rFonts w:cs="Calibri"/>
                <w:szCs w:val="18"/>
              </w:rPr>
              <w:t>NE</w:t>
            </w:r>
          </w:p>
        </w:tc>
        <w:tc>
          <w:tcPr>
            <w:tcW w:w="1007" w:type="dxa"/>
            <w:tcBorders>
              <w:bottom w:val="single" w:sz="4" w:space="0" w:color="1B556B" w:themeColor="text2"/>
            </w:tcBorders>
          </w:tcPr>
          <w:p w14:paraId="683D6E1A" w14:textId="77777777" w:rsidR="00ED2EBD" w:rsidRPr="00BD16B4" w:rsidRDefault="00ED2EBD" w:rsidP="004B6DE3">
            <w:pPr>
              <w:pStyle w:val="TableText"/>
              <w:spacing w:before="40" w:after="40"/>
              <w:jc w:val="right"/>
              <w:rPr>
                <w:rFonts w:cs="Calibri"/>
                <w:szCs w:val="18"/>
              </w:rPr>
            </w:pPr>
            <w:r w:rsidRPr="00BD16B4">
              <w:rPr>
                <w:rFonts w:cs="Calibri"/>
                <w:szCs w:val="18"/>
              </w:rPr>
              <w:t>NE</w:t>
            </w:r>
          </w:p>
        </w:tc>
        <w:tc>
          <w:tcPr>
            <w:tcW w:w="1007" w:type="dxa"/>
            <w:tcBorders>
              <w:bottom w:val="single" w:sz="4" w:space="0" w:color="1B556B" w:themeColor="text2"/>
            </w:tcBorders>
          </w:tcPr>
          <w:p w14:paraId="17B5DD26" w14:textId="77777777" w:rsidR="00ED2EBD" w:rsidRPr="00BD16B4" w:rsidRDefault="00ED2EBD" w:rsidP="004B6DE3">
            <w:pPr>
              <w:pStyle w:val="TableText"/>
              <w:spacing w:before="40" w:after="40"/>
              <w:jc w:val="right"/>
              <w:rPr>
                <w:rFonts w:cs="Calibri"/>
                <w:szCs w:val="18"/>
              </w:rPr>
            </w:pPr>
            <w:r w:rsidRPr="00BD16B4">
              <w:rPr>
                <w:rFonts w:cs="Calibri"/>
                <w:szCs w:val="18"/>
              </w:rPr>
              <w:t>NE</w:t>
            </w:r>
          </w:p>
        </w:tc>
        <w:tc>
          <w:tcPr>
            <w:tcW w:w="1007" w:type="dxa"/>
            <w:tcBorders>
              <w:bottom w:val="single" w:sz="4" w:space="0" w:color="1B556B" w:themeColor="text2"/>
            </w:tcBorders>
          </w:tcPr>
          <w:p w14:paraId="36F1BE64" w14:textId="77777777" w:rsidR="00ED2EBD" w:rsidRPr="00BD16B4" w:rsidRDefault="00ED2EBD" w:rsidP="004B6DE3">
            <w:pPr>
              <w:pStyle w:val="TableText"/>
              <w:spacing w:before="40" w:after="40"/>
              <w:jc w:val="right"/>
              <w:rPr>
                <w:rFonts w:cs="Calibri"/>
                <w:szCs w:val="18"/>
              </w:rPr>
            </w:pPr>
            <w:r w:rsidRPr="00BD16B4">
              <w:rPr>
                <w:rFonts w:cs="Calibri"/>
                <w:szCs w:val="18"/>
              </w:rPr>
              <w:t>NE</w:t>
            </w:r>
          </w:p>
        </w:tc>
        <w:tc>
          <w:tcPr>
            <w:tcW w:w="1007" w:type="dxa"/>
            <w:tcBorders>
              <w:bottom w:val="single" w:sz="4" w:space="0" w:color="1B556B" w:themeColor="text2"/>
            </w:tcBorders>
          </w:tcPr>
          <w:p w14:paraId="7321D605" w14:textId="77777777" w:rsidR="00ED2EBD" w:rsidRPr="00BD16B4" w:rsidRDefault="00ED2EBD" w:rsidP="004B6DE3">
            <w:pPr>
              <w:pStyle w:val="TableText"/>
              <w:spacing w:before="40" w:after="40"/>
              <w:jc w:val="right"/>
              <w:rPr>
                <w:rFonts w:cs="Calibri"/>
                <w:szCs w:val="18"/>
              </w:rPr>
            </w:pPr>
            <w:r w:rsidRPr="00BD16B4">
              <w:rPr>
                <w:rFonts w:cs="Calibri"/>
                <w:szCs w:val="18"/>
              </w:rPr>
              <w:t>NE</w:t>
            </w:r>
          </w:p>
        </w:tc>
        <w:tc>
          <w:tcPr>
            <w:tcW w:w="1007" w:type="dxa"/>
            <w:tcBorders>
              <w:bottom w:val="single" w:sz="4" w:space="0" w:color="1B556B" w:themeColor="text2"/>
            </w:tcBorders>
          </w:tcPr>
          <w:p w14:paraId="741C79E5" w14:textId="77777777" w:rsidR="00ED2EBD" w:rsidRPr="00BD16B4" w:rsidRDefault="00ED2EBD" w:rsidP="004B6DE3">
            <w:pPr>
              <w:pStyle w:val="TableText"/>
              <w:spacing w:before="40" w:after="40"/>
              <w:jc w:val="right"/>
              <w:rPr>
                <w:rFonts w:cs="Calibri"/>
                <w:szCs w:val="18"/>
              </w:rPr>
            </w:pPr>
            <w:r w:rsidRPr="00BD16B4">
              <w:rPr>
                <w:rFonts w:cs="Calibri"/>
                <w:szCs w:val="18"/>
              </w:rPr>
              <w:t>NE</w:t>
            </w:r>
          </w:p>
        </w:tc>
      </w:tr>
      <w:tr w:rsidR="00ED4F0D" w:rsidRPr="00BD16B4" w14:paraId="749741D3" w14:textId="77777777" w:rsidTr="00061F5B">
        <w:tc>
          <w:tcPr>
            <w:tcW w:w="3539" w:type="dxa"/>
          </w:tcPr>
          <w:p w14:paraId="76D76FE3" w14:textId="4B59B50F" w:rsidR="00ED2EBD" w:rsidRPr="00BD16B4" w:rsidRDefault="00ED2EBD" w:rsidP="004B6DE3">
            <w:pPr>
              <w:pStyle w:val="TableText"/>
              <w:spacing w:before="40" w:after="40"/>
              <w:rPr>
                <w:rFonts w:cs="Calibri"/>
                <w:szCs w:val="18"/>
              </w:rPr>
            </w:pPr>
            <w:r w:rsidRPr="00BD16B4">
              <w:rPr>
                <w:rFonts w:cs="Calibri"/>
                <w:szCs w:val="18"/>
              </w:rPr>
              <w:t>J.</w:t>
            </w:r>
            <w:r w:rsidR="00280979" w:rsidRPr="00BD16B4">
              <w:rPr>
                <w:rFonts w:cs="Calibri"/>
                <w:szCs w:val="18"/>
              </w:rPr>
              <w:t xml:space="preserve"> </w:t>
            </w:r>
            <w:r w:rsidRPr="00BD16B4">
              <w:rPr>
                <w:rFonts w:cs="Calibri"/>
                <w:szCs w:val="18"/>
              </w:rPr>
              <w:t xml:space="preserve">Other </w:t>
            </w:r>
          </w:p>
        </w:tc>
        <w:tc>
          <w:tcPr>
            <w:tcW w:w="1006" w:type="dxa"/>
            <w:tcBorders>
              <w:top w:val="single" w:sz="4" w:space="0" w:color="1B556B" w:themeColor="text2"/>
            </w:tcBorders>
            <w:shd w:val="clear" w:color="auto" w:fill="D2DDE1" w:themeFill="background2"/>
          </w:tcPr>
          <w:p w14:paraId="41EC3E6B"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1F235887"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2A07FBBA"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0F50C964"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294ACB5C"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35684D95"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7D7519B4"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106800A9"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00EE0706"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46902A6D"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23B868C0"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r>
      <w:tr w:rsidR="006446D5" w:rsidRPr="00BD16B4" w14:paraId="24840BB5" w14:textId="77777777" w:rsidTr="00061F5B">
        <w:tc>
          <w:tcPr>
            <w:tcW w:w="3539" w:type="dxa"/>
          </w:tcPr>
          <w:p w14:paraId="69C51EB5" w14:textId="1AEFEADA" w:rsidR="00ED2EBD" w:rsidRPr="00BD16B4" w:rsidRDefault="00ED2EBD" w:rsidP="004B6DE3">
            <w:pPr>
              <w:pStyle w:val="TableText"/>
              <w:spacing w:before="40" w:after="40"/>
              <w:rPr>
                <w:rFonts w:cs="Calibri"/>
                <w:szCs w:val="18"/>
              </w:rPr>
            </w:pPr>
            <w:r w:rsidRPr="00BD16B4">
              <w:rPr>
                <w:rFonts w:cs="Calibri"/>
                <w:b/>
                <w:bCs/>
                <w:szCs w:val="18"/>
              </w:rPr>
              <w:t>4.</w:t>
            </w:r>
            <w:r w:rsidR="00280979" w:rsidRPr="00BD16B4">
              <w:rPr>
                <w:rFonts w:cs="Calibri"/>
                <w:b/>
                <w:bCs/>
                <w:szCs w:val="18"/>
              </w:rPr>
              <w:t xml:space="preserve"> </w:t>
            </w:r>
            <w:r w:rsidRPr="00BD16B4">
              <w:rPr>
                <w:rFonts w:cs="Calibri"/>
                <w:b/>
                <w:bCs/>
                <w:szCs w:val="18"/>
              </w:rPr>
              <w:t>Land Use, Land-Use Change and Forestry</w:t>
            </w:r>
          </w:p>
        </w:tc>
        <w:tc>
          <w:tcPr>
            <w:tcW w:w="1006" w:type="dxa"/>
          </w:tcPr>
          <w:p w14:paraId="4A37E4B0" w14:textId="77777777" w:rsidR="00ED2EBD" w:rsidRPr="00BD16B4" w:rsidRDefault="00ED2EBD" w:rsidP="004B6DE3">
            <w:pPr>
              <w:pStyle w:val="TableText"/>
              <w:spacing w:before="40" w:after="40"/>
              <w:jc w:val="right"/>
              <w:rPr>
                <w:rFonts w:cs="Calibri"/>
                <w:szCs w:val="18"/>
              </w:rPr>
            </w:pPr>
            <w:r w:rsidRPr="00BD16B4">
              <w:rPr>
                <w:rFonts w:cs="Calibri"/>
                <w:szCs w:val="18"/>
              </w:rPr>
              <w:t>-26,503.05</w:t>
            </w:r>
          </w:p>
        </w:tc>
        <w:tc>
          <w:tcPr>
            <w:tcW w:w="1006" w:type="dxa"/>
          </w:tcPr>
          <w:p w14:paraId="5D4D1318" w14:textId="77777777" w:rsidR="00ED2EBD" w:rsidRPr="00BD16B4" w:rsidRDefault="00ED2EBD" w:rsidP="004B6DE3">
            <w:pPr>
              <w:pStyle w:val="TableText"/>
              <w:spacing w:before="40" w:after="40"/>
              <w:jc w:val="right"/>
              <w:rPr>
                <w:rFonts w:cs="Calibri"/>
                <w:szCs w:val="18"/>
              </w:rPr>
            </w:pPr>
            <w:r w:rsidRPr="00BD16B4">
              <w:rPr>
                <w:rFonts w:cs="Calibri"/>
                <w:szCs w:val="18"/>
              </w:rPr>
              <w:t>-27,414.99</w:t>
            </w:r>
          </w:p>
        </w:tc>
        <w:tc>
          <w:tcPr>
            <w:tcW w:w="1006" w:type="dxa"/>
          </w:tcPr>
          <w:p w14:paraId="70E273C8" w14:textId="77777777" w:rsidR="00ED2EBD" w:rsidRPr="00BD16B4" w:rsidRDefault="00ED2EBD" w:rsidP="004B6DE3">
            <w:pPr>
              <w:pStyle w:val="TableText"/>
              <w:spacing w:before="40" w:after="40"/>
              <w:jc w:val="right"/>
              <w:rPr>
                <w:rFonts w:cs="Calibri"/>
                <w:szCs w:val="18"/>
              </w:rPr>
            </w:pPr>
            <w:r w:rsidRPr="00BD16B4">
              <w:rPr>
                <w:rFonts w:cs="Calibri"/>
                <w:szCs w:val="18"/>
              </w:rPr>
              <w:t>-27,962.46</w:t>
            </w:r>
          </w:p>
        </w:tc>
        <w:tc>
          <w:tcPr>
            <w:tcW w:w="1006" w:type="dxa"/>
          </w:tcPr>
          <w:p w14:paraId="3A80A75C" w14:textId="77777777" w:rsidR="00ED2EBD" w:rsidRPr="00BD16B4" w:rsidRDefault="00ED2EBD" w:rsidP="004B6DE3">
            <w:pPr>
              <w:pStyle w:val="TableText"/>
              <w:spacing w:before="40" w:after="40"/>
              <w:jc w:val="right"/>
              <w:rPr>
                <w:rFonts w:cs="Calibri"/>
                <w:szCs w:val="18"/>
              </w:rPr>
            </w:pPr>
            <w:r w:rsidRPr="00BD16B4">
              <w:rPr>
                <w:rFonts w:cs="Calibri"/>
                <w:szCs w:val="18"/>
              </w:rPr>
              <w:t>-26,550.45</w:t>
            </w:r>
          </w:p>
        </w:tc>
        <w:tc>
          <w:tcPr>
            <w:tcW w:w="1007" w:type="dxa"/>
          </w:tcPr>
          <w:p w14:paraId="74A136E1" w14:textId="77777777" w:rsidR="00ED2EBD" w:rsidRPr="00BD16B4" w:rsidRDefault="00ED2EBD" w:rsidP="004B6DE3">
            <w:pPr>
              <w:pStyle w:val="TableText"/>
              <w:spacing w:before="40" w:after="40"/>
              <w:jc w:val="right"/>
              <w:rPr>
                <w:rFonts w:cs="Calibri"/>
                <w:szCs w:val="18"/>
              </w:rPr>
            </w:pPr>
            <w:r w:rsidRPr="00BD16B4">
              <w:rPr>
                <w:rFonts w:cs="Calibri"/>
                <w:szCs w:val="18"/>
              </w:rPr>
              <w:t>-27,740.01</w:t>
            </w:r>
          </w:p>
        </w:tc>
        <w:tc>
          <w:tcPr>
            <w:tcW w:w="1007" w:type="dxa"/>
          </w:tcPr>
          <w:p w14:paraId="67C35A5C" w14:textId="77777777" w:rsidR="00ED2EBD" w:rsidRPr="00BD16B4" w:rsidRDefault="00ED2EBD" w:rsidP="004B6DE3">
            <w:pPr>
              <w:pStyle w:val="TableText"/>
              <w:spacing w:before="40" w:after="40"/>
              <w:jc w:val="right"/>
              <w:rPr>
                <w:rFonts w:cs="Calibri"/>
                <w:szCs w:val="18"/>
              </w:rPr>
            </w:pPr>
            <w:r w:rsidRPr="00BD16B4">
              <w:rPr>
                <w:rFonts w:cs="Calibri"/>
                <w:szCs w:val="18"/>
              </w:rPr>
              <w:t>-27,670.91</w:t>
            </w:r>
          </w:p>
        </w:tc>
        <w:tc>
          <w:tcPr>
            <w:tcW w:w="1007" w:type="dxa"/>
          </w:tcPr>
          <w:p w14:paraId="4C6E68BE" w14:textId="77777777" w:rsidR="00ED2EBD" w:rsidRPr="00BD16B4" w:rsidRDefault="00ED2EBD" w:rsidP="004B6DE3">
            <w:pPr>
              <w:pStyle w:val="TableText"/>
              <w:spacing w:before="40" w:after="40"/>
              <w:jc w:val="right"/>
              <w:rPr>
                <w:rFonts w:cs="Calibri"/>
                <w:szCs w:val="18"/>
              </w:rPr>
            </w:pPr>
            <w:r w:rsidRPr="00BD16B4">
              <w:rPr>
                <w:rFonts w:cs="Calibri"/>
                <w:szCs w:val="18"/>
              </w:rPr>
              <w:t>-25,933.17</w:t>
            </w:r>
          </w:p>
        </w:tc>
        <w:tc>
          <w:tcPr>
            <w:tcW w:w="1007" w:type="dxa"/>
          </w:tcPr>
          <w:p w14:paraId="42B51B63" w14:textId="77777777" w:rsidR="00ED2EBD" w:rsidRPr="00BD16B4" w:rsidRDefault="00ED2EBD" w:rsidP="004B6DE3">
            <w:pPr>
              <w:pStyle w:val="TableText"/>
              <w:spacing w:before="40" w:after="40"/>
              <w:jc w:val="right"/>
              <w:rPr>
                <w:rFonts w:cs="Calibri"/>
                <w:szCs w:val="18"/>
              </w:rPr>
            </w:pPr>
            <w:r w:rsidRPr="00BD16B4">
              <w:rPr>
                <w:rFonts w:cs="Calibri"/>
                <w:szCs w:val="18"/>
              </w:rPr>
              <w:t>-23,871.92</w:t>
            </w:r>
          </w:p>
        </w:tc>
        <w:tc>
          <w:tcPr>
            <w:tcW w:w="1007" w:type="dxa"/>
          </w:tcPr>
          <w:p w14:paraId="38E8810D" w14:textId="77777777" w:rsidR="00ED2EBD" w:rsidRPr="00BD16B4" w:rsidRDefault="00ED2EBD" w:rsidP="004B6DE3">
            <w:pPr>
              <w:pStyle w:val="TableText"/>
              <w:spacing w:before="40" w:after="40"/>
              <w:jc w:val="right"/>
              <w:rPr>
                <w:rFonts w:cs="Calibri"/>
                <w:szCs w:val="18"/>
              </w:rPr>
            </w:pPr>
            <w:r w:rsidRPr="00BD16B4">
              <w:rPr>
                <w:rFonts w:cs="Calibri"/>
                <w:szCs w:val="18"/>
              </w:rPr>
              <w:t>-22,637.92</w:t>
            </w:r>
          </w:p>
        </w:tc>
        <w:tc>
          <w:tcPr>
            <w:tcW w:w="1007" w:type="dxa"/>
          </w:tcPr>
          <w:p w14:paraId="4AABB2A1" w14:textId="77777777" w:rsidR="00ED2EBD" w:rsidRPr="00BD16B4" w:rsidRDefault="00ED2EBD" w:rsidP="004B6DE3">
            <w:pPr>
              <w:pStyle w:val="TableText"/>
              <w:spacing w:before="40" w:after="40"/>
              <w:jc w:val="right"/>
              <w:rPr>
                <w:rFonts w:cs="Calibri"/>
                <w:szCs w:val="18"/>
              </w:rPr>
            </w:pPr>
            <w:r w:rsidRPr="00BD16B4">
              <w:rPr>
                <w:rFonts w:cs="Calibri"/>
                <w:szCs w:val="18"/>
              </w:rPr>
              <w:t>-29,863.95</w:t>
            </w:r>
          </w:p>
        </w:tc>
        <w:tc>
          <w:tcPr>
            <w:tcW w:w="1007" w:type="dxa"/>
          </w:tcPr>
          <w:p w14:paraId="37F09B56" w14:textId="77777777" w:rsidR="00ED2EBD" w:rsidRPr="00BD16B4" w:rsidRDefault="00ED2EBD" w:rsidP="004B6DE3">
            <w:pPr>
              <w:pStyle w:val="TableText"/>
              <w:spacing w:before="40" w:after="40"/>
              <w:jc w:val="right"/>
              <w:rPr>
                <w:rFonts w:cs="Calibri"/>
                <w:szCs w:val="18"/>
              </w:rPr>
            </w:pPr>
            <w:r w:rsidRPr="00BD16B4">
              <w:rPr>
                <w:rFonts w:cs="Calibri"/>
                <w:szCs w:val="18"/>
              </w:rPr>
              <w:t>-28,727.55</w:t>
            </w:r>
          </w:p>
        </w:tc>
      </w:tr>
      <w:tr w:rsidR="006446D5" w:rsidRPr="00BD16B4" w14:paraId="04D401F3" w14:textId="77777777" w:rsidTr="00061F5B">
        <w:tc>
          <w:tcPr>
            <w:tcW w:w="3539" w:type="dxa"/>
          </w:tcPr>
          <w:p w14:paraId="78C1F3F2" w14:textId="15B8D580" w:rsidR="00ED2EBD" w:rsidRPr="00BD16B4" w:rsidRDefault="00ED2EBD" w:rsidP="004B6DE3">
            <w:pPr>
              <w:pStyle w:val="TableText"/>
              <w:spacing w:before="40" w:after="40"/>
              <w:rPr>
                <w:rFonts w:cs="Calibri"/>
                <w:szCs w:val="18"/>
              </w:rPr>
            </w:pPr>
            <w:r w:rsidRPr="00BD16B4">
              <w:rPr>
                <w:rFonts w:cs="Calibri"/>
                <w:szCs w:val="18"/>
              </w:rPr>
              <w:t>A.</w:t>
            </w:r>
            <w:r w:rsidR="00280979" w:rsidRPr="00BD16B4">
              <w:rPr>
                <w:rFonts w:cs="Calibri"/>
                <w:szCs w:val="18"/>
              </w:rPr>
              <w:t xml:space="preserve"> </w:t>
            </w:r>
            <w:r w:rsidRPr="00BD16B4">
              <w:rPr>
                <w:rFonts w:cs="Calibri"/>
                <w:szCs w:val="18"/>
              </w:rPr>
              <w:t>Forest land</w:t>
            </w:r>
          </w:p>
        </w:tc>
        <w:tc>
          <w:tcPr>
            <w:tcW w:w="1006" w:type="dxa"/>
          </w:tcPr>
          <w:p w14:paraId="43B878E9" w14:textId="77777777" w:rsidR="00ED2EBD" w:rsidRPr="00BD16B4" w:rsidRDefault="00ED2EBD" w:rsidP="004B6DE3">
            <w:pPr>
              <w:pStyle w:val="TableText"/>
              <w:spacing w:before="40" w:after="40"/>
              <w:jc w:val="right"/>
              <w:rPr>
                <w:rFonts w:cs="Calibri"/>
                <w:szCs w:val="18"/>
              </w:rPr>
            </w:pPr>
            <w:r w:rsidRPr="00BD16B4">
              <w:rPr>
                <w:rFonts w:cs="Calibri"/>
                <w:szCs w:val="18"/>
              </w:rPr>
              <w:t>-23,598.32</w:t>
            </w:r>
          </w:p>
        </w:tc>
        <w:tc>
          <w:tcPr>
            <w:tcW w:w="1006" w:type="dxa"/>
          </w:tcPr>
          <w:p w14:paraId="17034F00" w14:textId="77777777" w:rsidR="00ED2EBD" w:rsidRPr="00BD16B4" w:rsidRDefault="00ED2EBD" w:rsidP="004B6DE3">
            <w:pPr>
              <w:pStyle w:val="TableText"/>
              <w:spacing w:before="40" w:after="40"/>
              <w:jc w:val="right"/>
              <w:rPr>
                <w:rFonts w:cs="Calibri"/>
                <w:szCs w:val="18"/>
              </w:rPr>
            </w:pPr>
            <w:r w:rsidRPr="00BD16B4">
              <w:rPr>
                <w:rFonts w:cs="Calibri"/>
                <w:szCs w:val="18"/>
              </w:rPr>
              <w:t>-25,961.60</w:t>
            </w:r>
          </w:p>
        </w:tc>
        <w:tc>
          <w:tcPr>
            <w:tcW w:w="1006" w:type="dxa"/>
          </w:tcPr>
          <w:p w14:paraId="74FA69FF" w14:textId="77777777" w:rsidR="00ED2EBD" w:rsidRPr="00BD16B4" w:rsidRDefault="00ED2EBD" w:rsidP="004B6DE3">
            <w:pPr>
              <w:pStyle w:val="TableText"/>
              <w:spacing w:before="40" w:after="40"/>
              <w:jc w:val="right"/>
              <w:rPr>
                <w:rFonts w:cs="Calibri"/>
                <w:szCs w:val="18"/>
              </w:rPr>
            </w:pPr>
            <w:r w:rsidRPr="00BD16B4">
              <w:rPr>
                <w:rFonts w:cs="Calibri"/>
                <w:szCs w:val="18"/>
              </w:rPr>
              <w:t>-25,777.53</w:t>
            </w:r>
          </w:p>
        </w:tc>
        <w:tc>
          <w:tcPr>
            <w:tcW w:w="1006" w:type="dxa"/>
          </w:tcPr>
          <w:p w14:paraId="45C141EA" w14:textId="77777777" w:rsidR="00ED2EBD" w:rsidRPr="00BD16B4" w:rsidRDefault="00ED2EBD" w:rsidP="004B6DE3">
            <w:pPr>
              <w:pStyle w:val="TableText"/>
              <w:spacing w:before="40" w:after="40"/>
              <w:jc w:val="right"/>
              <w:rPr>
                <w:rFonts w:cs="Calibri"/>
                <w:szCs w:val="18"/>
              </w:rPr>
            </w:pPr>
            <w:r w:rsidRPr="00BD16B4">
              <w:rPr>
                <w:rFonts w:cs="Calibri"/>
                <w:szCs w:val="18"/>
              </w:rPr>
              <w:t>-23,302.28</w:t>
            </w:r>
          </w:p>
        </w:tc>
        <w:tc>
          <w:tcPr>
            <w:tcW w:w="1007" w:type="dxa"/>
          </w:tcPr>
          <w:p w14:paraId="220A859A" w14:textId="77777777" w:rsidR="00ED2EBD" w:rsidRPr="00BD16B4" w:rsidRDefault="00ED2EBD" w:rsidP="004B6DE3">
            <w:pPr>
              <w:pStyle w:val="TableText"/>
              <w:spacing w:before="40" w:after="40"/>
              <w:jc w:val="right"/>
              <w:rPr>
                <w:rFonts w:cs="Calibri"/>
                <w:szCs w:val="18"/>
              </w:rPr>
            </w:pPr>
            <w:r w:rsidRPr="00BD16B4">
              <w:rPr>
                <w:rFonts w:cs="Calibri"/>
                <w:szCs w:val="18"/>
              </w:rPr>
              <w:t>-26,515.86</w:t>
            </w:r>
          </w:p>
        </w:tc>
        <w:tc>
          <w:tcPr>
            <w:tcW w:w="1007" w:type="dxa"/>
          </w:tcPr>
          <w:p w14:paraId="08B42563" w14:textId="77777777" w:rsidR="00ED2EBD" w:rsidRPr="00BD16B4" w:rsidRDefault="00ED2EBD" w:rsidP="004B6DE3">
            <w:pPr>
              <w:pStyle w:val="TableText"/>
              <w:spacing w:before="40" w:after="40"/>
              <w:jc w:val="right"/>
              <w:rPr>
                <w:rFonts w:cs="Calibri"/>
                <w:szCs w:val="18"/>
              </w:rPr>
            </w:pPr>
            <w:r w:rsidRPr="00BD16B4">
              <w:rPr>
                <w:rFonts w:cs="Calibri"/>
                <w:szCs w:val="18"/>
              </w:rPr>
              <w:t>-29,911.62</w:t>
            </w:r>
          </w:p>
        </w:tc>
        <w:tc>
          <w:tcPr>
            <w:tcW w:w="1007" w:type="dxa"/>
          </w:tcPr>
          <w:p w14:paraId="020B0289" w14:textId="77777777" w:rsidR="00ED2EBD" w:rsidRPr="00BD16B4" w:rsidRDefault="00ED2EBD" w:rsidP="004B6DE3">
            <w:pPr>
              <w:pStyle w:val="TableText"/>
              <w:spacing w:before="40" w:after="40"/>
              <w:jc w:val="right"/>
              <w:rPr>
                <w:rFonts w:cs="Calibri"/>
                <w:szCs w:val="18"/>
              </w:rPr>
            </w:pPr>
            <w:r w:rsidRPr="00BD16B4">
              <w:rPr>
                <w:rFonts w:cs="Calibri"/>
                <w:szCs w:val="18"/>
              </w:rPr>
              <w:t>-32,965.13</w:t>
            </w:r>
          </w:p>
        </w:tc>
        <w:tc>
          <w:tcPr>
            <w:tcW w:w="1007" w:type="dxa"/>
          </w:tcPr>
          <w:p w14:paraId="7B6D04C1" w14:textId="77777777" w:rsidR="00ED2EBD" w:rsidRPr="00BD16B4" w:rsidRDefault="00ED2EBD" w:rsidP="004B6DE3">
            <w:pPr>
              <w:pStyle w:val="TableText"/>
              <w:spacing w:before="40" w:after="40"/>
              <w:jc w:val="right"/>
              <w:rPr>
                <w:rFonts w:cs="Calibri"/>
                <w:szCs w:val="18"/>
              </w:rPr>
            </w:pPr>
            <w:r w:rsidRPr="00BD16B4">
              <w:rPr>
                <w:rFonts w:cs="Calibri"/>
                <w:szCs w:val="18"/>
              </w:rPr>
              <w:t>-33,460.20</w:t>
            </w:r>
          </w:p>
        </w:tc>
        <w:tc>
          <w:tcPr>
            <w:tcW w:w="1007" w:type="dxa"/>
          </w:tcPr>
          <w:p w14:paraId="205C48CB" w14:textId="77777777" w:rsidR="00ED2EBD" w:rsidRPr="00BD16B4" w:rsidRDefault="00ED2EBD" w:rsidP="004B6DE3">
            <w:pPr>
              <w:pStyle w:val="TableText"/>
              <w:spacing w:before="40" w:after="40"/>
              <w:jc w:val="right"/>
              <w:rPr>
                <w:rFonts w:cs="Calibri"/>
                <w:szCs w:val="18"/>
              </w:rPr>
            </w:pPr>
            <w:r w:rsidRPr="00BD16B4">
              <w:rPr>
                <w:rFonts w:cs="Calibri"/>
                <w:szCs w:val="18"/>
              </w:rPr>
              <w:t>-36,728.82</w:t>
            </w:r>
          </w:p>
        </w:tc>
        <w:tc>
          <w:tcPr>
            <w:tcW w:w="1007" w:type="dxa"/>
          </w:tcPr>
          <w:p w14:paraId="0F6154B6" w14:textId="77777777" w:rsidR="00ED2EBD" w:rsidRPr="00BD16B4" w:rsidRDefault="00ED2EBD" w:rsidP="004B6DE3">
            <w:pPr>
              <w:pStyle w:val="TableText"/>
              <w:spacing w:before="40" w:after="40"/>
              <w:jc w:val="right"/>
              <w:rPr>
                <w:rFonts w:cs="Calibri"/>
                <w:szCs w:val="18"/>
              </w:rPr>
            </w:pPr>
            <w:r w:rsidRPr="00BD16B4">
              <w:rPr>
                <w:rFonts w:cs="Calibri"/>
                <w:szCs w:val="18"/>
              </w:rPr>
              <w:t>-30,634.70</w:t>
            </w:r>
          </w:p>
        </w:tc>
        <w:tc>
          <w:tcPr>
            <w:tcW w:w="1007" w:type="dxa"/>
          </w:tcPr>
          <w:p w14:paraId="23FB901A" w14:textId="77777777" w:rsidR="00ED2EBD" w:rsidRPr="00BD16B4" w:rsidRDefault="00ED2EBD" w:rsidP="004B6DE3">
            <w:pPr>
              <w:pStyle w:val="TableText"/>
              <w:spacing w:before="40" w:after="40"/>
              <w:jc w:val="right"/>
              <w:rPr>
                <w:rFonts w:cs="Calibri"/>
                <w:szCs w:val="18"/>
              </w:rPr>
            </w:pPr>
            <w:r w:rsidRPr="00BD16B4">
              <w:rPr>
                <w:rFonts w:cs="Calibri"/>
                <w:szCs w:val="18"/>
              </w:rPr>
              <w:t>-30,973.26</w:t>
            </w:r>
          </w:p>
        </w:tc>
      </w:tr>
      <w:tr w:rsidR="006446D5" w:rsidRPr="00BD16B4" w14:paraId="4DF533D7" w14:textId="77777777" w:rsidTr="00061F5B">
        <w:tc>
          <w:tcPr>
            <w:tcW w:w="3539" w:type="dxa"/>
          </w:tcPr>
          <w:p w14:paraId="545B8C36" w14:textId="20B280CE" w:rsidR="00ED2EBD" w:rsidRPr="00BD16B4" w:rsidRDefault="00ED2EBD" w:rsidP="004B6DE3">
            <w:pPr>
              <w:pStyle w:val="TableText"/>
              <w:spacing w:before="40" w:after="40"/>
              <w:rPr>
                <w:rFonts w:cs="Calibri"/>
                <w:szCs w:val="18"/>
              </w:rPr>
            </w:pPr>
            <w:r w:rsidRPr="00BD16B4">
              <w:rPr>
                <w:rFonts w:cs="Calibri"/>
                <w:szCs w:val="18"/>
              </w:rPr>
              <w:t>B.</w:t>
            </w:r>
            <w:r w:rsidR="00280979" w:rsidRPr="00BD16B4">
              <w:rPr>
                <w:rFonts w:cs="Calibri"/>
                <w:szCs w:val="18"/>
              </w:rPr>
              <w:t xml:space="preserve"> </w:t>
            </w:r>
            <w:r w:rsidRPr="00BD16B4">
              <w:rPr>
                <w:rFonts w:cs="Calibri"/>
                <w:szCs w:val="18"/>
              </w:rPr>
              <w:t>Cropland</w:t>
            </w:r>
          </w:p>
        </w:tc>
        <w:tc>
          <w:tcPr>
            <w:tcW w:w="1006" w:type="dxa"/>
          </w:tcPr>
          <w:p w14:paraId="571ED1A7" w14:textId="77777777" w:rsidR="00ED2EBD" w:rsidRPr="00BD16B4" w:rsidRDefault="00ED2EBD" w:rsidP="004B6DE3">
            <w:pPr>
              <w:pStyle w:val="TableText"/>
              <w:spacing w:before="40" w:after="40"/>
              <w:jc w:val="right"/>
              <w:rPr>
                <w:rFonts w:cs="Calibri"/>
                <w:szCs w:val="18"/>
              </w:rPr>
            </w:pPr>
            <w:r w:rsidRPr="00BD16B4">
              <w:rPr>
                <w:rFonts w:cs="Calibri"/>
                <w:szCs w:val="18"/>
              </w:rPr>
              <w:t>491.24</w:t>
            </w:r>
          </w:p>
        </w:tc>
        <w:tc>
          <w:tcPr>
            <w:tcW w:w="1006" w:type="dxa"/>
          </w:tcPr>
          <w:p w14:paraId="545DCBEF" w14:textId="77777777" w:rsidR="00ED2EBD" w:rsidRPr="00BD16B4" w:rsidRDefault="00ED2EBD" w:rsidP="004B6DE3">
            <w:pPr>
              <w:pStyle w:val="TableText"/>
              <w:spacing w:before="40" w:after="40"/>
              <w:jc w:val="right"/>
              <w:rPr>
                <w:rFonts w:cs="Calibri"/>
                <w:szCs w:val="18"/>
              </w:rPr>
            </w:pPr>
            <w:r w:rsidRPr="00BD16B4">
              <w:rPr>
                <w:rFonts w:cs="Calibri"/>
                <w:szCs w:val="18"/>
              </w:rPr>
              <w:t>506.77</w:t>
            </w:r>
          </w:p>
        </w:tc>
        <w:tc>
          <w:tcPr>
            <w:tcW w:w="1006" w:type="dxa"/>
          </w:tcPr>
          <w:p w14:paraId="2D65689E" w14:textId="77777777" w:rsidR="00ED2EBD" w:rsidRPr="00BD16B4" w:rsidRDefault="00ED2EBD" w:rsidP="004B6DE3">
            <w:pPr>
              <w:pStyle w:val="TableText"/>
              <w:spacing w:before="40" w:after="40"/>
              <w:jc w:val="right"/>
              <w:rPr>
                <w:rFonts w:cs="Calibri"/>
                <w:szCs w:val="18"/>
              </w:rPr>
            </w:pPr>
            <w:r w:rsidRPr="00BD16B4">
              <w:rPr>
                <w:rFonts w:cs="Calibri"/>
                <w:szCs w:val="18"/>
              </w:rPr>
              <w:t>508.71</w:t>
            </w:r>
          </w:p>
        </w:tc>
        <w:tc>
          <w:tcPr>
            <w:tcW w:w="1006" w:type="dxa"/>
          </w:tcPr>
          <w:p w14:paraId="266B323E" w14:textId="77777777" w:rsidR="00ED2EBD" w:rsidRPr="00BD16B4" w:rsidRDefault="00ED2EBD" w:rsidP="004B6DE3">
            <w:pPr>
              <w:pStyle w:val="TableText"/>
              <w:spacing w:before="40" w:after="40"/>
              <w:jc w:val="right"/>
              <w:rPr>
                <w:rFonts w:cs="Calibri"/>
                <w:szCs w:val="18"/>
              </w:rPr>
            </w:pPr>
            <w:r w:rsidRPr="00BD16B4">
              <w:rPr>
                <w:rFonts w:cs="Calibri"/>
                <w:szCs w:val="18"/>
              </w:rPr>
              <w:t>506.73</w:t>
            </w:r>
          </w:p>
        </w:tc>
        <w:tc>
          <w:tcPr>
            <w:tcW w:w="1007" w:type="dxa"/>
          </w:tcPr>
          <w:p w14:paraId="79733AE1" w14:textId="77777777" w:rsidR="00ED2EBD" w:rsidRPr="00BD16B4" w:rsidRDefault="00ED2EBD" w:rsidP="004B6DE3">
            <w:pPr>
              <w:pStyle w:val="TableText"/>
              <w:spacing w:before="40" w:after="40"/>
              <w:jc w:val="right"/>
              <w:rPr>
                <w:rFonts w:cs="Calibri"/>
                <w:szCs w:val="18"/>
              </w:rPr>
            </w:pPr>
            <w:r w:rsidRPr="00BD16B4">
              <w:rPr>
                <w:rFonts w:cs="Calibri"/>
                <w:szCs w:val="18"/>
              </w:rPr>
              <w:t>522.26</w:t>
            </w:r>
          </w:p>
        </w:tc>
        <w:tc>
          <w:tcPr>
            <w:tcW w:w="1007" w:type="dxa"/>
          </w:tcPr>
          <w:p w14:paraId="54A6B915" w14:textId="77777777" w:rsidR="00ED2EBD" w:rsidRPr="00BD16B4" w:rsidRDefault="00ED2EBD" w:rsidP="004B6DE3">
            <w:pPr>
              <w:pStyle w:val="TableText"/>
              <w:spacing w:before="40" w:after="40"/>
              <w:jc w:val="right"/>
              <w:rPr>
                <w:rFonts w:cs="Calibri"/>
                <w:szCs w:val="18"/>
              </w:rPr>
            </w:pPr>
            <w:r w:rsidRPr="00BD16B4">
              <w:rPr>
                <w:rFonts w:cs="Calibri"/>
                <w:szCs w:val="18"/>
              </w:rPr>
              <w:t>548.46</w:t>
            </w:r>
          </w:p>
        </w:tc>
        <w:tc>
          <w:tcPr>
            <w:tcW w:w="1007" w:type="dxa"/>
          </w:tcPr>
          <w:p w14:paraId="1B173179" w14:textId="77777777" w:rsidR="00ED2EBD" w:rsidRPr="00BD16B4" w:rsidRDefault="00ED2EBD" w:rsidP="004B6DE3">
            <w:pPr>
              <w:pStyle w:val="TableText"/>
              <w:spacing w:before="40" w:after="40"/>
              <w:jc w:val="right"/>
              <w:rPr>
                <w:rFonts w:cs="Calibri"/>
                <w:szCs w:val="18"/>
              </w:rPr>
            </w:pPr>
            <w:r w:rsidRPr="00BD16B4">
              <w:rPr>
                <w:rFonts w:cs="Calibri"/>
                <w:szCs w:val="18"/>
              </w:rPr>
              <w:t>597.33</w:t>
            </w:r>
          </w:p>
        </w:tc>
        <w:tc>
          <w:tcPr>
            <w:tcW w:w="1007" w:type="dxa"/>
          </w:tcPr>
          <w:p w14:paraId="63D1B670" w14:textId="77777777" w:rsidR="00ED2EBD" w:rsidRPr="00BD16B4" w:rsidRDefault="00ED2EBD" w:rsidP="004B6DE3">
            <w:pPr>
              <w:pStyle w:val="TableText"/>
              <w:spacing w:before="40" w:after="40"/>
              <w:jc w:val="right"/>
              <w:rPr>
                <w:rFonts w:cs="Calibri"/>
                <w:szCs w:val="18"/>
              </w:rPr>
            </w:pPr>
            <w:r w:rsidRPr="00BD16B4">
              <w:rPr>
                <w:rFonts w:cs="Calibri"/>
                <w:szCs w:val="18"/>
              </w:rPr>
              <w:t>623.13</w:t>
            </w:r>
          </w:p>
        </w:tc>
        <w:tc>
          <w:tcPr>
            <w:tcW w:w="1007" w:type="dxa"/>
          </w:tcPr>
          <w:p w14:paraId="7F50CB76" w14:textId="77777777" w:rsidR="00ED2EBD" w:rsidRPr="00BD16B4" w:rsidRDefault="00ED2EBD" w:rsidP="004B6DE3">
            <w:pPr>
              <w:pStyle w:val="TableText"/>
              <w:spacing w:before="40" w:after="40"/>
              <w:jc w:val="right"/>
              <w:rPr>
                <w:rFonts w:cs="Calibri"/>
                <w:szCs w:val="18"/>
              </w:rPr>
            </w:pPr>
            <w:r w:rsidRPr="00BD16B4">
              <w:rPr>
                <w:rFonts w:cs="Calibri"/>
                <w:szCs w:val="18"/>
              </w:rPr>
              <w:t>668.83</w:t>
            </w:r>
          </w:p>
        </w:tc>
        <w:tc>
          <w:tcPr>
            <w:tcW w:w="1007" w:type="dxa"/>
          </w:tcPr>
          <w:p w14:paraId="599A79D5" w14:textId="77777777" w:rsidR="00ED2EBD" w:rsidRPr="00BD16B4" w:rsidRDefault="00ED2EBD" w:rsidP="004B6DE3">
            <w:pPr>
              <w:pStyle w:val="TableText"/>
              <w:spacing w:before="40" w:after="40"/>
              <w:jc w:val="right"/>
              <w:rPr>
                <w:rFonts w:cs="Calibri"/>
                <w:szCs w:val="18"/>
              </w:rPr>
            </w:pPr>
            <w:r w:rsidRPr="00BD16B4">
              <w:rPr>
                <w:rFonts w:cs="Calibri"/>
                <w:szCs w:val="18"/>
              </w:rPr>
              <w:t>493.87</w:t>
            </w:r>
          </w:p>
        </w:tc>
        <w:tc>
          <w:tcPr>
            <w:tcW w:w="1007" w:type="dxa"/>
          </w:tcPr>
          <w:p w14:paraId="1640C5E9" w14:textId="77777777" w:rsidR="00ED2EBD" w:rsidRPr="00BD16B4" w:rsidRDefault="00ED2EBD" w:rsidP="004B6DE3">
            <w:pPr>
              <w:pStyle w:val="TableText"/>
              <w:spacing w:before="40" w:after="40"/>
              <w:jc w:val="right"/>
              <w:rPr>
                <w:rFonts w:cs="Calibri"/>
                <w:szCs w:val="18"/>
              </w:rPr>
            </w:pPr>
            <w:r w:rsidRPr="00BD16B4">
              <w:rPr>
                <w:rFonts w:cs="Calibri"/>
                <w:szCs w:val="18"/>
              </w:rPr>
              <w:t>476.43</w:t>
            </w:r>
          </w:p>
        </w:tc>
      </w:tr>
      <w:tr w:rsidR="006446D5" w:rsidRPr="00BD16B4" w14:paraId="0C256F9C" w14:textId="77777777" w:rsidTr="00061F5B">
        <w:tc>
          <w:tcPr>
            <w:tcW w:w="3539" w:type="dxa"/>
          </w:tcPr>
          <w:p w14:paraId="52D2A1C9" w14:textId="68A0BD51" w:rsidR="00ED2EBD" w:rsidRPr="00BD16B4" w:rsidRDefault="00ED2EBD" w:rsidP="004B6DE3">
            <w:pPr>
              <w:pStyle w:val="TableText"/>
              <w:spacing w:before="40" w:after="40"/>
              <w:rPr>
                <w:rFonts w:cs="Calibri"/>
                <w:szCs w:val="18"/>
              </w:rPr>
            </w:pPr>
            <w:r w:rsidRPr="00BD16B4">
              <w:rPr>
                <w:rFonts w:cs="Calibri"/>
                <w:szCs w:val="18"/>
              </w:rPr>
              <w:t>C.</w:t>
            </w:r>
            <w:r w:rsidR="00280979" w:rsidRPr="00BD16B4">
              <w:rPr>
                <w:rFonts w:cs="Calibri"/>
                <w:szCs w:val="18"/>
              </w:rPr>
              <w:t xml:space="preserve"> </w:t>
            </w:r>
            <w:r w:rsidRPr="00BD16B4">
              <w:rPr>
                <w:rFonts w:cs="Calibri"/>
                <w:szCs w:val="18"/>
              </w:rPr>
              <w:t>Grassland</w:t>
            </w:r>
          </w:p>
        </w:tc>
        <w:tc>
          <w:tcPr>
            <w:tcW w:w="1006" w:type="dxa"/>
          </w:tcPr>
          <w:p w14:paraId="75957E53" w14:textId="77777777" w:rsidR="00ED2EBD" w:rsidRPr="00BD16B4" w:rsidRDefault="00ED2EBD" w:rsidP="004B6DE3">
            <w:pPr>
              <w:pStyle w:val="TableText"/>
              <w:spacing w:before="40" w:after="40"/>
              <w:jc w:val="right"/>
              <w:rPr>
                <w:rFonts w:cs="Calibri"/>
                <w:szCs w:val="18"/>
              </w:rPr>
            </w:pPr>
            <w:r w:rsidRPr="00BD16B4">
              <w:rPr>
                <w:rFonts w:cs="Calibri"/>
                <w:szCs w:val="18"/>
              </w:rPr>
              <w:t>1,132.51</w:t>
            </w:r>
          </w:p>
        </w:tc>
        <w:tc>
          <w:tcPr>
            <w:tcW w:w="1006" w:type="dxa"/>
          </w:tcPr>
          <w:p w14:paraId="031C1BFC" w14:textId="77777777" w:rsidR="00ED2EBD" w:rsidRPr="00BD16B4" w:rsidRDefault="00ED2EBD" w:rsidP="004B6DE3">
            <w:pPr>
              <w:pStyle w:val="TableText"/>
              <w:spacing w:before="40" w:after="40"/>
              <w:jc w:val="right"/>
              <w:rPr>
                <w:rFonts w:cs="Calibri"/>
                <w:szCs w:val="18"/>
              </w:rPr>
            </w:pPr>
            <w:r w:rsidRPr="00BD16B4">
              <w:rPr>
                <w:rFonts w:cs="Calibri"/>
                <w:szCs w:val="18"/>
              </w:rPr>
              <w:t>3,108.33</w:t>
            </w:r>
          </w:p>
        </w:tc>
        <w:tc>
          <w:tcPr>
            <w:tcW w:w="1006" w:type="dxa"/>
          </w:tcPr>
          <w:p w14:paraId="686A4053" w14:textId="77777777" w:rsidR="00ED2EBD" w:rsidRPr="00BD16B4" w:rsidRDefault="00ED2EBD" w:rsidP="004B6DE3">
            <w:pPr>
              <w:pStyle w:val="TableText"/>
              <w:spacing w:before="40" w:after="40"/>
              <w:jc w:val="right"/>
              <w:rPr>
                <w:rFonts w:cs="Calibri"/>
                <w:szCs w:val="18"/>
              </w:rPr>
            </w:pPr>
            <w:r w:rsidRPr="00BD16B4">
              <w:rPr>
                <w:rFonts w:cs="Calibri"/>
                <w:szCs w:val="18"/>
              </w:rPr>
              <w:t>3,081.02</w:t>
            </w:r>
          </w:p>
        </w:tc>
        <w:tc>
          <w:tcPr>
            <w:tcW w:w="1006" w:type="dxa"/>
          </w:tcPr>
          <w:p w14:paraId="4F32AFAF" w14:textId="77777777" w:rsidR="00ED2EBD" w:rsidRPr="00BD16B4" w:rsidRDefault="00ED2EBD" w:rsidP="004B6DE3">
            <w:pPr>
              <w:pStyle w:val="TableText"/>
              <w:spacing w:before="40" w:after="40"/>
              <w:jc w:val="right"/>
              <w:rPr>
                <w:rFonts w:cs="Calibri"/>
                <w:szCs w:val="18"/>
              </w:rPr>
            </w:pPr>
            <w:r w:rsidRPr="00BD16B4">
              <w:rPr>
                <w:rFonts w:cs="Calibri"/>
                <w:szCs w:val="18"/>
              </w:rPr>
              <w:t>2,844.45</w:t>
            </w:r>
          </w:p>
        </w:tc>
        <w:tc>
          <w:tcPr>
            <w:tcW w:w="1007" w:type="dxa"/>
          </w:tcPr>
          <w:p w14:paraId="668A9CE5" w14:textId="77777777" w:rsidR="00ED2EBD" w:rsidRPr="00BD16B4" w:rsidRDefault="00ED2EBD" w:rsidP="004B6DE3">
            <w:pPr>
              <w:pStyle w:val="TableText"/>
              <w:spacing w:before="40" w:after="40"/>
              <w:jc w:val="right"/>
              <w:rPr>
                <w:rFonts w:cs="Calibri"/>
                <w:szCs w:val="18"/>
              </w:rPr>
            </w:pPr>
            <w:r w:rsidRPr="00BD16B4">
              <w:rPr>
                <w:rFonts w:cs="Calibri"/>
                <w:szCs w:val="18"/>
              </w:rPr>
              <w:t>4,206.36</w:t>
            </w:r>
          </w:p>
        </w:tc>
        <w:tc>
          <w:tcPr>
            <w:tcW w:w="1007" w:type="dxa"/>
          </w:tcPr>
          <w:p w14:paraId="6EB1F29A" w14:textId="77777777" w:rsidR="00ED2EBD" w:rsidRPr="00BD16B4" w:rsidRDefault="00ED2EBD" w:rsidP="004B6DE3">
            <w:pPr>
              <w:pStyle w:val="TableText"/>
              <w:spacing w:before="40" w:after="40"/>
              <w:jc w:val="right"/>
              <w:rPr>
                <w:rFonts w:cs="Calibri"/>
                <w:szCs w:val="18"/>
              </w:rPr>
            </w:pPr>
            <w:r w:rsidRPr="00BD16B4">
              <w:rPr>
                <w:rFonts w:cs="Calibri"/>
                <w:szCs w:val="18"/>
              </w:rPr>
              <w:t>6,673.21</w:t>
            </w:r>
          </w:p>
        </w:tc>
        <w:tc>
          <w:tcPr>
            <w:tcW w:w="1007" w:type="dxa"/>
          </w:tcPr>
          <w:p w14:paraId="3BB4EFFD" w14:textId="77777777" w:rsidR="00ED2EBD" w:rsidRPr="00BD16B4" w:rsidRDefault="00ED2EBD" w:rsidP="004B6DE3">
            <w:pPr>
              <w:pStyle w:val="TableText"/>
              <w:spacing w:before="40" w:after="40"/>
              <w:jc w:val="right"/>
              <w:rPr>
                <w:rFonts w:cs="Calibri"/>
                <w:szCs w:val="18"/>
              </w:rPr>
            </w:pPr>
            <w:r w:rsidRPr="00BD16B4">
              <w:rPr>
                <w:rFonts w:cs="Calibri"/>
                <w:szCs w:val="18"/>
              </w:rPr>
              <w:t>10,805.29</w:t>
            </w:r>
          </w:p>
        </w:tc>
        <w:tc>
          <w:tcPr>
            <w:tcW w:w="1007" w:type="dxa"/>
          </w:tcPr>
          <w:p w14:paraId="27678212" w14:textId="77777777" w:rsidR="00ED2EBD" w:rsidRPr="00BD16B4" w:rsidRDefault="00ED2EBD" w:rsidP="004B6DE3">
            <w:pPr>
              <w:pStyle w:val="TableText"/>
              <w:spacing w:before="40" w:after="40"/>
              <w:jc w:val="right"/>
              <w:rPr>
                <w:rFonts w:cs="Calibri"/>
                <w:szCs w:val="18"/>
              </w:rPr>
            </w:pPr>
            <w:r w:rsidRPr="00BD16B4">
              <w:rPr>
                <w:rFonts w:cs="Calibri"/>
                <w:szCs w:val="18"/>
              </w:rPr>
              <w:t>13,206.41</w:t>
            </w:r>
          </w:p>
        </w:tc>
        <w:tc>
          <w:tcPr>
            <w:tcW w:w="1007" w:type="dxa"/>
          </w:tcPr>
          <w:p w14:paraId="48F5B91E" w14:textId="77777777" w:rsidR="00ED2EBD" w:rsidRPr="00BD16B4" w:rsidRDefault="00ED2EBD" w:rsidP="004B6DE3">
            <w:pPr>
              <w:pStyle w:val="TableText"/>
              <w:spacing w:before="40" w:after="40"/>
              <w:jc w:val="right"/>
              <w:rPr>
                <w:rFonts w:cs="Calibri"/>
                <w:szCs w:val="18"/>
              </w:rPr>
            </w:pPr>
            <w:r w:rsidRPr="00BD16B4">
              <w:rPr>
                <w:rFonts w:cs="Calibri"/>
                <w:szCs w:val="18"/>
              </w:rPr>
              <w:t>17,588.20</w:t>
            </w:r>
          </w:p>
        </w:tc>
        <w:tc>
          <w:tcPr>
            <w:tcW w:w="1007" w:type="dxa"/>
          </w:tcPr>
          <w:p w14:paraId="15CB7FCE" w14:textId="77777777" w:rsidR="00ED2EBD" w:rsidRPr="00BD16B4" w:rsidRDefault="00ED2EBD" w:rsidP="004B6DE3">
            <w:pPr>
              <w:pStyle w:val="TableText"/>
              <w:spacing w:before="40" w:after="40"/>
              <w:jc w:val="right"/>
              <w:rPr>
                <w:rFonts w:cs="Calibri"/>
                <w:szCs w:val="18"/>
              </w:rPr>
            </w:pPr>
            <w:r w:rsidRPr="00BD16B4">
              <w:rPr>
                <w:rFonts w:cs="Calibri"/>
                <w:szCs w:val="18"/>
              </w:rPr>
              <w:t>4,295.18</w:t>
            </w:r>
          </w:p>
        </w:tc>
        <w:tc>
          <w:tcPr>
            <w:tcW w:w="1007" w:type="dxa"/>
          </w:tcPr>
          <w:p w14:paraId="3AF2B563" w14:textId="77777777" w:rsidR="00ED2EBD" w:rsidRPr="00BD16B4" w:rsidRDefault="00ED2EBD" w:rsidP="004B6DE3">
            <w:pPr>
              <w:pStyle w:val="TableText"/>
              <w:spacing w:before="40" w:after="40"/>
              <w:jc w:val="right"/>
              <w:rPr>
                <w:rFonts w:cs="Calibri"/>
                <w:szCs w:val="18"/>
              </w:rPr>
            </w:pPr>
            <w:r w:rsidRPr="00BD16B4">
              <w:rPr>
                <w:rFonts w:cs="Calibri"/>
                <w:szCs w:val="18"/>
              </w:rPr>
              <w:t>6,615.04</w:t>
            </w:r>
          </w:p>
        </w:tc>
      </w:tr>
      <w:tr w:rsidR="006446D5" w:rsidRPr="00BD16B4" w14:paraId="1BED4995" w14:textId="77777777" w:rsidTr="00061F5B">
        <w:tc>
          <w:tcPr>
            <w:tcW w:w="3539" w:type="dxa"/>
          </w:tcPr>
          <w:p w14:paraId="13376294" w14:textId="7EB841E3" w:rsidR="00ED2EBD" w:rsidRPr="00BD16B4" w:rsidRDefault="00ED2EBD" w:rsidP="004B6DE3">
            <w:pPr>
              <w:pStyle w:val="TableText"/>
              <w:spacing w:before="40" w:after="40"/>
              <w:rPr>
                <w:rFonts w:cs="Calibri"/>
                <w:szCs w:val="18"/>
              </w:rPr>
            </w:pPr>
            <w:r w:rsidRPr="00BD16B4">
              <w:rPr>
                <w:rFonts w:cs="Calibri"/>
                <w:szCs w:val="18"/>
              </w:rPr>
              <w:t>D.</w:t>
            </w:r>
            <w:r w:rsidR="00280979" w:rsidRPr="00BD16B4">
              <w:rPr>
                <w:rFonts w:cs="Calibri"/>
                <w:szCs w:val="18"/>
              </w:rPr>
              <w:t xml:space="preserve"> </w:t>
            </w:r>
            <w:r w:rsidRPr="00BD16B4">
              <w:rPr>
                <w:rFonts w:cs="Calibri"/>
                <w:szCs w:val="18"/>
              </w:rPr>
              <w:t>Wetlands</w:t>
            </w:r>
          </w:p>
        </w:tc>
        <w:tc>
          <w:tcPr>
            <w:tcW w:w="1006" w:type="dxa"/>
          </w:tcPr>
          <w:p w14:paraId="4ECD965D" w14:textId="77777777" w:rsidR="00ED2EBD" w:rsidRPr="00BD16B4" w:rsidRDefault="00ED2EBD" w:rsidP="004B6DE3">
            <w:pPr>
              <w:pStyle w:val="TableText"/>
              <w:spacing w:before="40" w:after="40"/>
              <w:jc w:val="right"/>
              <w:rPr>
                <w:rFonts w:cs="Calibri"/>
                <w:szCs w:val="18"/>
              </w:rPr>
            </w:pPr>
            <w:r w:rsidRPr="00BD16B4">
              <w:rPr>
                <w:rFonts w:cs="Calibri"/>
                <w:szCs w:val="18"/>
              </w:rPr>
              <w:t>-3.02</w:t>
            </w:r>
          </w:p>
        </w:tc>
        <w:tc>
          <w:tcPr>
            <w:tcW w:w="1006" w:type="dxa"/>
          </w:tcPr>
          <w:p w14:paraId="400E5C61" w14:textId="77777777" w:rsidR="00ED2EBD" w:rsidRPr="00BD16B4" w:rsidRDefault="00ED2EBD" w:rsidP="004B6DE3">
            <w:pPr>
              <w:pStyle w:val="TableText"/>
              <w:spacing w:before="40" w:after="40"/>
              <w:jc w:val="right"/>
              <w:rPr>
                <w:rFonts w:cs="Calibri"/>
                <w:szCs w:val="18"/>
              </w:rPr>
            </w:pPr>
            <w:r w:rsidRPr="00BD16B4">
              <w:rPr>
                <w:rFonts w:cs="Calibri"/>
                <w:szCs w:val="18"/>
              </w:rPr>
              <w:t>3.03</w:t>
            </w:r>
          </w:p>
        </w:tc>
        <w:tc>
          <w:tcPr>
            <w:tcW w:w="1006" w:type="dxa"/>
          </w:tcPr>
          <w:p w14:paraId="01FAD2FA" w14:textId="77777777" w:rsidR="00ED2EBD" w:rsidRPr="00BD16B4" w:rsidRDefault="00ED2EBD" w:rsidP="004B6DE3">
            <w:pPr>
              <w:pStyle w:val="TableText"/>
              <w:spacing w:before="40" w:after="40"/>
              <w:jc w:val="right"/>
              <w:rPr>
                <w:rFonts w:cs="Calibri"/>
                <w:szCs w:val="18"/>
              </w:rPr>
            </w:pPr>
            <w:r w:rsidRPr="00BD16B4">
              <w:rPr>
                <w:rFonts w:cs="Calibri"/>
                <w:szCs w:val="18"/>
              </w:rPr>
              <w:t>3.19</w:t>
            </w:r>
          </w:p>
        </w:tc>
        <w:tc>
          <w:tcPr>
            <w:tcW w:w="1006" w:type="dxa"/>
          </w:tcPr>
          <w:p w14:paraId="0E7C7D37" w14:textId="77777777" w:rsidR="00ED2EBD" w:rsidRPr="00BD16B4" w:rsidRDefault="00ED2EBD" w:rsidP="004B6DE3">
            <w:pPr>
              <w:pStyle w:val="TableText"/>
              <w:spacing w:before="40" w:after="40"/>
              <w:jc w:val="right"/>
              <w:rPr>
                <w:rFonts w:cs="Calibri"/>
                <w:szCs w:val="18"/>
              </w:rPr>
            </w:pPr>
            <w:r w:rsidRPr="00BD16B4">
              <w:rPr>
                <w:rFonts w:cs="Calibri"/>
                <w:szCs w:val="18"/>
              </w:rPr>
              <w:t>4.17</w:t>
            </w:r>
          </w:p>
        </w:tc>
        <w:tc>
          <w:tcPr>
            <w:tcW w:w="1007" w:type="dxa"/>
          </w:tcPr>
          <w:p w14:paraId="58DC69E5" w14:textId="77777777" w:rsidR="00ED2EBD" w:rsidRPr="00BD16B4" w:rsidRDefault="00ED2EBD" w:rsidP="004B6DE3">
            <w:pPr>
              <w:pStyle w:val="TableText"/>
              <w:spacing w:before="40" w:after="40"/>
              <w:jc w:val="right"/>
              <w:rPr>
                <w:rFonts w:cs="Calibri"/>
                <w:szCs w:val="18"/>
              </w:rPr>
            </w:pPr>
            <w:r w:rsidRPr="00BD16B4">
              <w:rPr>
                <w:rFonts w:cs="Calibri"/>
                <w:szCs w:val="18"/>
              </w:rPr>
              <w:t>-0.06</w:t>
            </w:r>
          </w:p>
        </w:tc>
        <w:tc>
          <w:tcPr>
            <w:tcW w:w="1007" w:type="dxa"/>
          </w:tcPr>
          <w:p w14:paraId="1AD7488A" w14:textId="77777777" w:rsidR="00ED2EBD" w:rsidRPr="00BD16B4" w:rsidRDefault="00ED2EBD" w:rsidP="004B6DE3">
            <w:pPr>
              <w:pStyle w:val="TableText"/>
              <w:spacing w:before="40" w:after="40"/>
              <w:jc w:val="right"/>
              <w:rPr>
                <w:rFonts w:cs="Calibri"/>
                <w:szCs w:val="18"/>
              </w:rPr>
            </w:pPr>
            <w:r w:rsidRPr="00BD16B4">
              <w:rPr>
                <w:rFonts w:cs="Calibri"/>
                <w:szCs w:val="18"/>
              </w:rPr>
              <w:t>4.60</w:t>
            </w:r>
          </w:p>
        </w:tc>
        <w:tc>
          <w:tcPr>
            <w:tcW w:w="1007" w:type="dxa"/>
          </w:tcPr>
          <w:p w14:paraId="5006A183" w14:textId="77777777" w:rsidR="00ED2EBD" w:rsidRPr="00BD16B4" w:rsidRDefault="00ED2EBD" w:rsidP="004B6DE3">
            <w:pPr>
              <w:pStyle w:val="TableText"/>
              <w:spacing w:before="40" w:after="40"/>
              <w:jc w:val="right"/>
              <w:rPr>
                <w:rFonts w:cs="Calibri"/>
                <w:szCs w:val="18"/>
              </w:rPr>
            </w:pPr>
            <w:r w:rsidRPr="00BD16B4">
              <w:rPr>
                <w:rFonts w:cs="Calibri"/>
                <w:szCs w:val="18"/>
              </w:rPr>
              <w:t>18.25</w:t>
            </w:r>
          </w:p>
        </w:tc>
        <w:tc>
          <w:tcPr>
            <w:tcW w:w="1007" w:type="dxa"/>
          </w:tcPr>
          <w:p w14:paraId="296EEE17" w14:textId="77777777" w:rsidR="00ED2EBD" w:rsidRPr="00BD16B4" w:rsidRDefault="00ED2EBD" w:rsidP="004B6DE3">
            <w:pPr>
              <w:pStyle w:val="TableText"/>
              <w:spacing w:before="40" w:after="40"/>
              <w:jc w:val="right"/>
              <w:rPr>
                <w:rFonts w:cs="Calibri"/>
                <w:szCs w:val="18"/>
              </w:rPr>
            </w:pPr>
            <w:r w:rsidRPr="00BD16B4">
              <w:rPr>
                <w:rFonts w:cs="Calibri"/>
                <w:szCs w:val="18"/>
              </w:rPr>
              <w:t>27.67</w:t>
            </w:r>
          </w:p>
        </w:tc>
        <w:tc>
          <w:tcPr>
            <w:tcW w:w="1007" w:type="dxa"/>
          </w:tcPr>
          <w:p w14:paraId="1FB0B77B" w14:textId="77777777" w:rsidR="00ED2EBD" w:rsidRPr="00BD16B4" w:rsidRDefault="00ED2EBD" w:rsidP="004B6DE3">
            <w:pPr>
              <w:pStyle w:val="TableText"/>
              <w:spacing w:before="40" w:after="40"/>
              <w:jc w:val="right"/>
              <w:rPr>
                <w:rFonts w:cs="Calibri"/>
                <w:szCs w:val="18"/>
              </w:rPr>
            </w:pPr>
            <w:r w:rsidRPr="00BD16B4">
              <w:rPr>
                <w:rFonts w:cs="Calibri"/>
                <w:szCs w:val="18"/>
              </w:rPr>
              <w:t>36.53</w:t>
            </w:r>
          </w:p>
        </w:tc>
        <w:tc>
          <w:tcPr>
            <w:tcW w:w="1007" w:type="dxa"/>
          </w:tcPr>
          <w:p w14:paraId="597BBC54" w14:textId="77777777" w:rsidR="00ED2EBD" w:rsidRPr="00BD16B4" w:rsidRDefault="00ED2EBD" w:rsidP="004B6DE3">
            <w:pPr>
              <w:pStyle w:val="TableText"/>
              <w:spacing w:before="40" w:after="40"/>
              <w:jc w:val="right"/>
              <w:rPr>
                <w:rFonts w:cs="Calibri"/>
                <w:szCs w:val="18"/>
              </w:rPr>
            </w:pPr>
            <w:r w:rsidRPr="00BD16B4">
              <w:rPr>
                <w:rFonts w:cs="Calibri"/>
                <w:szCs w:val="18"/>
              </w:rPr>
              <w:t>23.82</w:t>
            </w:r>
          </w:p>
        </w:tc>
        <w:tc>
          <w:tcPr>
            <w:tcW w:w="1007" w:type="dxa"/>
          </w:tcPr>
          <w:p w14:paraId="7AF4C9C3" w14:textId="77777777" w:rsidR="00ED2EBD" w:rsidRPr="00BD16B4" w:rsidRDefault="00ED2EBD" w:rsidP="004B6DE3">
            <w:pPr>
              <w:pStyle w:val="TableText"/>
              <w:spacing w:before="40" w:after="40"/>
              <w:jc w:val="right"/>
              <w:rPr>
                <w:rFonts w:cs="Calibri"/>
                <w:szCs w:val="18"/>
              </w:rPr>
            </w:pPr>
            <w:r w:rsidRPr="00BD16B4">
              <w:rPr>
                <w:rFonts w:cs="Calibri"/>
                <w:szCs w:val="18"/>
              </w:rPr>
              <w:t>31.42</w:t>
            </w:r>
          </w:p>
        </w:tc>
      </w:tr>
      <w:tr w:rsidR="006446D5" w:rsidRPr="00BD16B4" w14:paraId="48163434" w14:textId="77777777" w:rsidTr="00061F5B">
        <w:tc>
          <w:tcPr>
            <w:tcW w:w="3539" w:type="dxa"/>
          </w:tcPr>
          <w:p w14:paraId="792CA9D3" w14:textId="7B417173" w:rsidR="00ED2EBD" w:rsidRPr="00BD16B4" w:rsidRDefault="00ED2EBD" w:rsidP="004B6DE3">
            <w:pPr>
              <w:pStyle w:val="TableText"/>
              <w:spacing w:before="40" w:after="40"/>
              <w:rPr>
                <w:rFonts w:cs="Calibri"/>
                <w:szCs w:val="18"/>
              </w:rPr>
            </w:pPr>
            <w:r w:rsidRPr="00BD16B4">
              <w:rPr>
                <w:rFonts w:cs="Calibri"/>
                <w:szCs w:val="18"/>
              </w:rPr>
              <w:t>E.</w:t>
            </w:r>
            <w:r w:rsidR="00280979" w:rsidRPr="00BD16B4">
              <w:rPr>
                <w:rFonts w:cs="Calibri"/>
                <w:szCs w:val="18"/>
              </w:rPr>
              <w:t xml:space="preserve"> </w:t>
            </w:r>
            <w:r w:rsidRPr="00BD16B4">
              <w:rPr>
                <w:rFonts w:cs="Calibri"/>
                <w:szCs w:val="18"/>
              </w:rPr>
              <w:t xml:space="preserve">Settlements </w:t>
            </w:r>
          </w:p>
        </w:tc>
        <w:tc>
          <w:tcPr>
            <w:tcW w:w="1006" w:type="dxa"/>
          </w:tcPr>
          <w:p w14:paraId="417BF58B" w14:textId="77777777" w:rsidR="00ED2EBD" w:rsidRPr="00BD16B4" w:rsidRDefault="00ED2EBD" w:rsidP="004B6DE3">
            <w:pPr>
              <w:pStyle w:val="TableText"/>
              <w:spacing w:before="40" w:after="40"/>
              <w:jc w:val="right"/>
              <w:rPr>
                <w:rFonts w:cs="Calibri"/>
                <w:szCs w:val="18"/>
              </w:rPr>
            </w:pPr>
            <w:r w:rsidRPr="00BD16B4">
              <w:rPr>
                <w:rFonts w:cs="Calibri"/>
                <w:szCs w:val="18"/>
              </w:rPr>
              <w:t>94.16</w:t>
            </w:r>
          </w:p>
        </w:tc>
        <w:tc>
          <w:tcPr>
            <w:tcW w:w="1006" w:type="dxa"/>
          </w:tcPr>
          <w:p w14:paraId="4B87B2EE" w14:textId="77777777" w:rsidR="00ED2EBD" w:rsidRPr="00BD16B4" w:rsidRDefault="00ED2EBD" w:rsidP="004B6DE3">
            <w:pPr>
              <w:pStyle w:val="TableText"/>
              <w:spacing w:before="40" w:after="40"/>
              <w:jc w:val="right"/>
              <w:rPr>
                <w:rFonts w:cs="Calibri"/>
                <w:szCs w:val="18"/>
              </w:rPr>
            </w:pPr>
            <w:r w:rsidRPr="00BD16B4">
              <w:rPr>
                <w:rFonts w:cs="Calibri"/>
                <w:szCs w:val="18"/>
              </w:rPr>
              <w:t>109.22</w:t>
            </w:r>
          </w:p>
        </w:tc>
        <w:tc>
          <w:tcPr>
            <w:tcW w:w="1006" w:type="dxa"/>
          </w:tcPr>
          <w:p w14:paraId="2FE841B5" w14:textId="77777777" w:rsidR="00ED2EBD" w:rsidRPr="00BD16B4" w:rsidRDefault="00ED2EBD" w:rsidP="004B6DE3">
            <w:pPr>
              <w:pStyle w:val="TableText"/>
              <w:spacing w:before="40" w:after="40"/>
              <w:jc w:val="right"/>
              <w:rPr>
                <w:rFonts w:cs="Calibri"/>
                <w:szCs w:val="18"/>
              </w:rPr>
            </w:pPr>
            <w:r w:rsidRPr="00BD16B4">
              <w:rPr>
                <w:rFonts w:cs="Calibri"/>
                <w:szCs w:val="18"/>
              </w:rPr>
              <w:t>109.61</w:t>
            </w:r>
          </w:p>
        </w:tc>
        <w:tc>
          <w:tcPr>
            <w:tcW w:w="1006" w:type="dxa"/>
          </w:tcPr>
          <w:p w14:paraId="7C2D9025" w14:textId="77777777" w:rsidR="00ED2EBD" w:rsidRPr="00BD16B4" w:rsidRDefault="00ED2EBD" w:rsidP="004B6DE3">
            <w:pPr>
              <w:pStyle w:val="TableText"/>
              <w:spacing w:before="40" w:after="40"/>
              <w:jc w:val="right"/>
              <w:rPr>
                <w:rFonts w:cs="Calibri"/>
                <w:szCs w:val="18"/>
              </w:rPr>
            </w:pPr>
            <w:r w:rsidRPr="00BD16B4">
              <w:rPr>
                <w:rFonts w:cs="Calibri"/>
                <w:szCs w:val="18"/>
              </w:rPr>
              <w:t>107.82</w:t>
            </w:r>
          </w:p>
        </w:tc>
        <w:tc>
          <w:tcPr>
            <w:tcW w:w="1007" w:type="dxa"/>
          </w:tcPr>
          <w:p w14:paraId="7AFFE202" w14:textId="77777777" w:rsidR="00ED2EBD" w:rsidRPr="00BD16B4" w:rsidRDefault="00ED2EBD" w:rsidP="004B6DE3">
            <w:pPr>
              <w:pStyle w:val="TableText"/>
              <w:spacing w:before="40" w:after="40"/>
              <w:jc w:val="right"/>
              <w:rPr>
                <w:rFonts w:cs="Calibri"/>
                <w:szCs w:val="18"/>
              </w:rPr>
            </w:pPr>
            <w:r w:rsidRPr="00BD16B4">
              <w:rPr>
                <w:rFonts w:cs="Calibri"/>
                <w:szCs w:val="18"/>
              </w:rPr>
              <w:t>123.73</w:t>
            </w:r>
          </w:p>
        </w:tc>
        <w:tc>
          <w:tcPr>
            <w:tcW w:w="1007" w:type="dxa"/>
          </w:tcPr>
          <w:p w14:paraId="458E6F9F" w14:textId="77777777" w:rsidR="00ED2EBD" w:rsidRPr="00BD16B4" w:rsidRDefault="00ED2EBD" w:rsidP="004B6DE3">
            <w:pPr>
              <w:pStyle w:val="TableText"/>
              <w:spacing w:before="40" w:after="40"/>
              <w:jc w:val="right"/>
              <w:rPr>
                <w:rFonts w:cs="Calibri"/>
                <w:szCs w:val="18"/>
              </w:rPr>
            </w:pPr>
            <w:r w:rsidRPr="00BD16B4">
              <w:rPr>
                <w:rFonts w:cs="Calibri"/>
                <w:szCs w:val="18"/>
              </w:rPr>
              <w:t>150.74</w:t>
            </w:r>
          </w:p>
        </w:tc>
        <w:tc>
          <w:tcPr>
            <w:tcW w:w="1007" w:type="dxa"/>
          </w:tcPr>
          <w:p w14:paraId="045CFB36" w14:textId="77777777" w:rsidR="00ED2EBD" w:rsidRPr="00BD16B4" w:rsidRDefault="00ED2EBD" w:rsidP="004B6DE3">
            <w:pPr>
              <w:pStyle w:val="TableText"/>
              <w:spacing w:before="40" w:after="40"/>
              <w:jc w:val="right"/>
              <w:rPr>
                <w:rFonts w:cs="Calibri"/>
                <w:szCs w:val="18"/>
              </w:rPr>
            </w:pPr>
            <w:r w:rsidRPr="00BD16B4">
              <w:rPr>
                <w:rFonts w:cs="Calibri"/>
                <w:szCs w:val="18"/>
              </w:rPr>
              <w:t>203.37</w:t>
            </w:r>
          </w:p>
        </w:tc>
        <w:tc>
          <w:tcPr>
            <w:tcW w:w="1007" w:type="dxa"/>
          </w:tcPr>
          <w:p w14:paraId="7E1DEEED" w14:textId="77777777" w:rsidR="00ED2EBD" w:rsidRPr="00BD16B4" w:rsidRDefault="00ED2EBD" w:rsidP="004B6DE3">
            <w:pPr>
              <w:pStyle w:val="TableText"/>
              <w:spacing w:before="40" w:after="40"/>
              <w:jc w:val="right"/>
              <w:rPr>
                <w:rFonts w:cs="Calibri"/>
                <w:szCs w:val="18"/>
              </w:rPr>
            </w:pPr>
            <w:r w:rsidRPr="00BD16B4">
              <w:rPr>
                <w:rFonts w:cs="Calibri"/>
                <w:szCs w:val="18"/>
              </w:rPr>
              <w:t>230.52</w:t>
            </w:r>
          </w:p>
        </w:tc>
        <w:tc>
          <w:tcPr>
            <w:tcW w:w="1007" w:type="dxa"/>
          </w:tcPr>
          <w:p w14:paraId="5D63EFA9" w14:textId="77777777" w:rsidR="00ED2EBD" w:rsidRPr="00BD16B4" w:rsidRDefault="00ED2EBD" w:rsidP="004B6DE3">
            <w:pPr>
              <w:pStyle w:val="TableText"/>
              <w:spacing w:before="40" w:after="40"/>
              <w:jc w:val="right"/>
              <w:rPr>
                <w:rFonts w:cs="Calibri"/>
                <w:szCs w:val="18"/>
              </w:rPr>
            </w:pPr>
            <w:r w:rsidRPr="00BD16B4">
              <w:rPr>
                <w:rFonts w:cs="Calibri"/>
                <w:szCs w:val="18"/>
              </w:rPr>
              <w:t>279.18</w:t>
            </w:r>
          </w:p>
        </w:tc>
        <w:tc>
          <w:tcPr>
            <w:tcW w:w="1007" w:type="dxa"/>
          </w:tcPr>
          <w:p w14:paraId="5DEE0015" w14:textId="77777777" w:rsidR="00ED2EBD" w:rsidRPr="00BD16B4" w:rsidRDefault="00ED2EBD" w:rsidP="004B6DE3">
            <w:pPr>
              <w:pStyle w:val="TableText"/>
              <w:spacing w:before="40" w:after="40"/>
              <w:jc w:val="right"/>
              <w:rPr>
                <w:rFonts w:cs="Calibri"/>
                <w:szCs w:val="18"/>
              </w:rPr>
            </w:pPr>
            <w:r w:rsidRPr="00BD16B4">
              <w:rPr>
                <w:rFonts w:cs="Calibri"/>
                <w:szCs w:val="18"/>
              </w:rPr>
              <w:t>99.87</w:t>
            </w:r>
          </w:p>
        </w:tc>
        <w:tc>
          <w:tcPr>
            <w:tcW w:w="1007" w:type="dxa"/>
          </w:tcPr>
          <w:p w14:paraId="0E860FBB" w14:textId="77777777" w:rsidR="00ED2EBD" w:rsidRPr="00BD16B4" w:rsidRDefault="00ED2EBD" w:rsidP="004B6DE3">
            <w:pPr>
              <w:pStyle w:val="TableText"/>
              <w:spacing w:before="40" w:after="40"/>
              <w:jc w:val="right"/>
              <w:rPr>
                <w:rFonts w:cs="Calibri"/>
                <w:szCs w:val="18"/>
              </w:rPr>
            </w:pPr>
            <w:r w:rsidRPr="00BD16B4">
              <w:rPr>
                <w:rFonts w:cs="Calibri"/>
                <w:szCs w:val="18"/>
              </w:rPr>
              <w:t>109.04</w:t>
            </w:r>
          </w:p>
        </w:tc>
      </w:tr>
      <w:tr w:rsidR="006446D5" w:rsidRPr="00BD16B4" w14:paraId="66BD02CC" w14:textId="77777777" w:rsidTr="00061F5B">
        <w:tc>
          <w:tcPr>
            <w:tcW w:w="3539" w:type="dxa"/>
          </w:tcPr>
          <w:p w14:paraId="16DD7C5F" w14:textId="599601B8" w:rsidR="00ED2EBD" w:rsidRPr="00BD16B4" w:rsidRDefault="00ED2EBD" w:rsidP="004B6DE3">
            <w:pPr>
              <w:pStyle w:val="TableText"/>
              <w:spacing w:before="40" w:after="40"/>
              <w:rPr>
                <w:rFonts w:cs="Calibri"/>
                <w:szCs w:val="18"/>
              </w:rPr>
            </w:pPr>
            <w:r w:rsidRPr="00BD16B4">
              <w:rPr>
                <w:rFonts w:cs="Calibri"/>
                <w:szCs w:val="18"/>
              </w:rPr>
              <w:t>F.</w:t>
            </w:r>
            <w:r w:rsidR="00280979" w:rsidRPr="00BD16B4">
              <w:rPr>
                <w:rFonts w:cs="Calibri"/>
                <w:szCs w:val="18"/>
              </w:rPr>
              <w:t xml:space="preserve"> </w:t>
            </w:r>
            <w:r w:rsidRPr="00BD16B4">
              <w:rPr>
                <w:rFonts w:cs="Calibri"/>
                <w:szCs w:val="18"/>
              </w:rPr>
              <w:t>Other land</w:t>
            </w:r>
          </w:p>
        </w:tc>
        <w:tc>
          <w:tcPr>
            <w:tcW w:w="1006" w:type="dxa"/>
          </w:tcPr>
          <w:p w14:paraId="49F8F4F2" w14:textId="77777777" w:rsidR="00ED2EBD" w:rsidRPr="00BD16B4" w:rsidRDefault="00ED2EBD" w:rsidP="004B6DE3">
            <w:pPr>
              <w:pStyle w:val="TableText"/>
              <w:spacing w:before="40" w:after="40"/>
              <w:jc w:val="right"/>
              <w:rPr>
                <w:rFonts w:cs="Calibri"/>
                <w:szCs w:val="18"/>
              </w:rPr>
            </w:pPr>
            <w:r w:rsidRPr="00BD16B4">
              <w:rPr>
                <w:rFonts w:cs="Calibri"/>
                <w:szCs w:val="18"/>
              </w:rPr>
              <w:t>27.87</w:t>
            </w:r>
          </w:p>
        </w:tc>
        <w:tc>
          <w:tcPr>
            <w:tcW w:w="1006" w:type="dxa"/>
          </w:tcPr>
          <w:p w14:paraId="6ED9B6BC" w14:textId="77777777" w:rsidR="00ED2EBD" w:rsidRPr="00BD16B4" w:rsidRDefault="00ED2EBD" w:rsidP="004B6DE3">
            <w:pPr>
              <w:pStyle w:val="TableText"/>
              <w:spacing w:before="40" w:after="40"/>
              <w:jc w:val="right"/>
              <w:rPr>
                <w:rFonts w:cs="Calibri"/>
                <w:szCs w:val="18"/>
              </w:rPr>
            </w:pPr>
            <w:r w:rsidRPr="00BD16B4">
              <w:rPr>
                <w:rFonts w:cs="Calibri"/>
                <w:szCs w:val="18"/>
              </w:rPr>
              <w:t>46.27</w:t>
            </w:r>
          </w:p>
        </w:tc>
        <w:tc>
          <w:tcPr>
            <w:tcW w:w="1006" w:type="dxa"/>
          </w:tcPr>
          <w:p w14:paraId="31444DCC" w14:textId="77777777" w:rsidR="00ED2EBD" w:rsidRPr="00BD16B4" w:rsidRDefault="00ED2EBD" w:rsidP="004B6DE3">
            <w:pPr>
              <w:pStyle w:val="TableText"/>
              <w:spacing w:before="40" w:after="40"/>
              <w:jc w:val="right"/>
              <w:rPr>
                <w:rFonts w:cs="Calibri"/>
                <w:szCs w:val="18"/>
              </w:rPr>
            </w:pPr>
            <w:r w:rsidRPr="00BD16B4">
              <w:rPr>
                <w:rFonts w:cs="Calibri"/>
                <w:szCs w:val="18"/>
              </w:rPr>
              <w:t>47.91</w:t>
            </w:r>
          </w:p>
        </w:tc>
        <w:tc>
          <w:tcPr>
            <w:tcW w:w="1006" w:type="dxa"/>
          </w:tcPr>
          <w:p w14:paraId="24695C8F" w14:textId="77777777" w:rsidR="00ED2EBD" w:rsidRPr="00BD16B4" w:rsidRDefault="00ED2EBD" w:rsidP="004B6DE3">
            <w:pPr>
              <w:pStyle w:val="TableText"/>
              <w:spacing w:before="40" w:after="40"/>
              <w:jc w:val="right"/>
              <w:rPr>
                <w:rFonts w:cs="Calibri"/>
                <w:szCs w:val="18"/>
              </w:rPr>
            </w:pPr>
            <w:r w:rsidRPr="00BD16B4">
              <w:rPr>
                <w:rFonts w:cs="Calibri"/>
                <w:szCs w:val="18"/>
              </w:rPr>
              <w:t>46.24</w:t>
            </w:r>
          </w:p>
        </w:tc>
        <w:tc>
          <w:tcPr>
            <w:tcW w:w="1007" w:type="dxa"/>
          </w:tcPr>
          <w:p w14:paraId="79109E6E" w14:textId="77777777" w:rsidR="00ED2EBD" w:rsidRPr="00BD16B4" w:rsidRDefault="00ED2EBD" w:rsidP="004B6DE3">
            <w:pPr>
              <w:pStyle w:val="TableText"/>
              <w:spacing w:before="40" w:after="40"/>
              <w:jc w:val="right"/>
              <w:rPr>
                <w:rFonts w:cs="Calibri"/>
                <w:szCs w:val="18"/>
              </w:rPr>
            </w:pPr>
            <w:r w:rsidRPr="00BD16B4">
              <w:rPr>
                <w:rFonts w:cs="Calibri"/>
                <w:szCs w:val="18"/>
              </w:rPr>
              <w:t>56.18</w:t>
            </w:r>
          </w:p>
        </w:tc>
        <w:tc>
          <w:tcPr>
            <w:tcW w:w="1007" w:type="dxa"/>
          </w:tcPr>
          <w:p w14:paraId="0D9AE2EA" w14:textId="77777777" w:rsidR="00ED2EBD" w:rsidRPr="00BD16B4" w:rsidRDefault="00ED2EBD" w:rsidP="004B6DE3">
            <w:pPr>
              <w:pStyle w:val="TableText"/>
              <w:spacing w:before="40" w:after="40"/>
              <w:jc w:val="right"/>
              <w:rPr>
                <w:rFonts w:cs="Calibri"/>
                <w:szCs w:val="18"/>
              </w:rPr>
            </w:pPr>
            <w:r w:rsidRPr="00BD16B4">
              <w:rPr>
                <w:rFonts w:cs="Calibri"/>
                <w:szCs w:val="18"/>
              </w:rPr>
              <w:t>73.04</w:t>
            </w:r>
          </w:p>
        </w:tc>
        <w:tc>
          <w:tcPr>
            <w:tcW w:w="1007" w:type="dxa"/>
          </w:tcPr>
          <w:p w14:paraId="09FFF5B7" w14:textId="77777777" w:rsidR="00ED2EBD" w:rsidRPr="00BD16B4" w:rsidRDefault="00ED2EBD" w:rsidP="004B6DE3">
            <w:pPr>
              <w:pStyle w:val="TableText"/>
              <w:spacing w:before="40" w:after="40"/>
              <w:jc w:val="right"/>
              <w:rPr>
                <w:rFonts w:cs="Calibri"/>
                <w:szCs w:val="18"/>
              </w:rPr>
            </w:pPr>
            <w:r w:rsidRPr="00BD16B4">
              <w:rPr>
                <w:rFonts w:cs="Calibri"/>
                <w:szCs w:val="18"/>
              </w:rPr>
              <w:t>96.45</w:t>
            </w:r>
          </w:p>
        </w:tc>
        <w:tc>
          <w:tcPr>
            <w:tcW w:w="1007" w:type="dxa"/>
          </w:tcPr>
          <w:p w14:paraId="3B8224A1" w14:textId="77777777" w:rsidR="00ED2EBD" w:rsidRPr="00BD16B4" w:rsidRDefault="00ED2EBD" w:rsidP="004B6DE3">
            <w:pPr>
              <w:pStyle w:val="TableText"/>
              <w:spacing w:before="40" w:after="40"/>
              <w:jc w:val="right"/>
              <w:rPr>
                <w:rFonts w:cs="Calibri"/>
                <w:szCs w:val="18"/>
              </w:rPr>
            </w:pPr>
            <w:r w:rsidRPr="00BD16B4">
              <w:rPr>
                <w:rFonts w:cs="Calibri"/>
                <w:szCs w:val="18"/>
              </w:rPr>
              <w:t>113.42</w:t>
            </w:r>
          </w:p>
        </w:tc>
        <w:tc>
          <w:tcPr>
            <w:tcW w:w="1007" w:type="dxa"/>
          </w:tcPr>
          <w:p w14:paraId="0AC40258" w14:textId="77777777" w:rsidR="00ED2EBD" w:rsidRPr="00BD16B4" w:rsidRDefault="00ED2EBD" w:rsidP="004B6DE3">
            <w:pPr>
              <w:pStyle w:val="TableText"/>
              <w:spacing w:before="40" w:after="40"/>
              <w:jc w:val="right"/>
              <w:rPr>
                <w:rFonts w:cs="Calibri"/>
                <w:szCs w:val="18"/>
              </w:rPr>
            </w:pPr>
            <w:r w:rsidRPr="00BD16B4">
              <w:rPr>
                <w:rFonts w:cs="Calibri"/>
                <w:szCs w:val="18"/>
              </w:rPr>
              <w:t>143.35</w:t>
            </w:r>
          </w:p>
        </w:tc>
        <w:tc>
          <w:tcPr>
            <w:tcW w:w="1007" w:type="dxa"/>
          </w:tcPr>
          <w:p w14:paraId="1C9A92E2" w14:textId="77777777" w:rsidR="00ED2EBD" w:rsidRPr="00BD16B4" w:rsidRDefault="00ED2EBD" w:rsidP="004B6DE3">
            <w:pPr>
              <w:pStyle w:val="TableText"/>
              <w:spacing w:before="40" w:after="40"/>
              <w:jc w:val="right"/>
              <w:rPr>
                <w:rFonts w:cs="Calibri"/>
                <w:szCs w:val="18"/>
              </w:rPr>
            </w:pPr>
            <w:r w:rsidRPr="00BD16B4">
              <w:rPr>
                <w:rFonts w:cs="Calibri"/>
                <w:szCs w:val="18"/>
              </w:rPr>
              <w:t>75.98</w:t>
            </w:r>
          </w:p>
        </w:tc>
        <w:tc>
          <w:tcPr>
            <w:tcW w:w="1007" w:type="dxa"/>
          </w:tcPr>
          <w:p w14:paraId="7101A251" w14:textId="77777777" w:rsidR="00ED2EBD" w:rsidRPr="00BD16B4" w:rsidRDefault="00ED2EBD" w:rsidP="004B6DE3">
            <w:pPr>
              <w:pStyle w:val="TableText"/>
              <w:spacing w:before="40" w:after="40"/>
              <w:jc w:val="right"/>
              <w:rPr>
                <w:rFonts w:cs="Calibri"/>
                <w:szCs w:val="18"/>
              </w:rPr>
            </w:pPr>
            <w:r w:rsidRPr="00BD16B4">
              <w:rPr>
                <w:rFonts w:cs="Calibri"/>
                <w:szCs w:val="18"/>
              </w:rPr>
              <w:t>129.22</w:t>
            </w:r>
          </w:p>
        </w:tc>
      </w:tr>
      <w:tr w:rsidR="006446D5" w:rsidRPr="00BD16B4" w14:paraId="4A4D9809" w14:textId="77777777" w:rsidTr="00061F5B">
        <w:tc>
          <w:tcPr>
            <w:tcW w:w="3539" w:type="dxa"/>
          </w:tcPr>
          <w:p w14:paraId="7C21323C" w14:textId="508F8BA5" w:rsidR="00ED2EBD" w:rsidRPr="00BD16B4" w:rsidRDefault="00ED2EBD" w:rsidP="004B6DE3">
            <w:pPr>
              <w:pStyle w:val="TableText"/>
              <w:spacing w:before="40" w:after="40"/>
              <w:rPr>
                <w:rFonts w:cs="Calibri"/>
                <w:szCs w:val="18"/>
              </w:rPr>
            </w:pPr>
            <w:r w:rsidRPr="00BD16B4">
              <w:rPr>
                <w:rFonts w:cs="Calibri"/>
                <w:szCs w:val="18"/>
              </w:rPr>
              <w:t>G.</w:t>
            </w:r>
            <w:r w:rsidR="00280979" w:rsidRPr="00BD16B4">
              <w:rPr>
                <w:rFonts w:cs="Calibri"/>
                <w:szCs w:val="18"/>
              </w:rPr>
              <w:t xml:space="preserve"> </w:t>
            </w:r>
            <w:r w:rsidRPr="00BD16B4">
              <w:rPr>
                <w:rFonts w:cs="Calibri"/>
                <w:szCs w:val="18"/>
              </w:rPr>
              <w:t>Harvested wood products</w:t>
            </w:r>
          </w:p>
        </w:tc>
        <w:tc>
          <w:tcPr>
            <w:tcW w:w="1006" w:type="dxa"/>
          </w:tcPr>
          <w:p w14:paraId="209117BE" w14:textId="77777777" w:rsidR="00ED2EBD" w:rsidRPr="00BD16B4" w:rsidRDefault="00ED2EBD" w:rsidP="004B6DE3">
            <w:pPr>
              <w:pStyle w:val="TableText"/>
              <w:spacing w:before="40" w:after="40"/>
              <w:jc w:val="right"/>
              <w:rPr>
                <w:rFonts w:cs="Calibri"/>
                <w:szCs w:val="18"/>
              </w:rPr>
            </w:pPr>
            <w:r w:rsidRPr="00BD16B4">
              <w:rPr>
                <w:rFonts w:cs="Calibri"/>
                <w:szCs w:val="18"/>
              </w:rPr>
              <w:t>-4,647.48</w:t>
            </w:r>
          </w:p>
        </w:tc>
        <w:tc>
          <w:tcPr>
            <w:tcW w:w="1006" w:type="dxa"/>
          </w:tcPr>
          <w:p w14:paraId="794895E2" w14:textId="77777777" w:rsidR="00ED2EBD" w:rsidRPr="00BD16B4" w:rsidRDefault="00ED2EBD" w:rsidP="004B6DE3">
            <w:pPr>
              <w:pStyle w:val="TableText"/>
              <w:spacing w:before="40" w:after="40"/>
              <w:jc w:val="right"/>
              <w:rPr>
                <w:rFonts w:cs="Calibri"/>
                <w:szCs w:val="18"/>
              </w:rPr>
            </w:pPr>
            <w:r w:rsidRPr="00BD16B4">
              <w:rPr>
                <w:rFonts w:cs="Calibri"/>
                <w:szCs w:val="18"/>
              </w:rPr>
              <w:t>-5,227.01</w:t>
            </w:r>
          </w:p>
        </w:tc>
        <w:tc>
          <w:tcPr>
            <w:tcW w:w="1006" w:type="dxa"/>
          </w:tcPr>
          <w:p w14:paraId="70AAF257" w14:textId="77777777" w:rsidR="00ED2EBD" w:rsidRPr="00BD16B4" w:rsidRDefault="00ED2EBD" w:rsidP="004B6DE3">
            <w:pPr>
              <w:pStyle w:val="TableText"/>
              <w:spacing w:before="40" w:after="40"/>
              <w:jc w:val="right"/>
              <w:rPr>
                <w:rFonts w:cs="Calibri"/>
                <w:szCs w:val="18"/>
              </w:rPr>
            </w:pPr>
            <w:r w:rsidRPr="00BD16B4">
              <w:rPr>
                <w:rFonts w:cs="Calibri"/>
                <w:szCs w:val="18"/>
              </w:rPr>
              <w:t>-5,935.37</w:t>
            </w:r>
          </w:p>
        </w:tc>
        <w:tc>
          <w:tcPr>
            <w:tcW w:w="1006" w:type="dxa"/>
          </w:tcPr>
          <w:p w14:paraId="691FDB87" w14:textId="77777777" w:rsidR="00ED2EBD" w:rsidRPr="00BD16B4" w:rsidRDefault="00ED2EBD" w:rsidP="004B6DE3">
            <w:pPr>
              <w:pStyle w:val="TableText"/>
              <w:spacing w:before="40" w:after="40"/>
              <w:jc w:val="right"/>
              <w:rPr>
                <w:rFonts w:cs="Calibri"/>
                <w:szCs w:val="18"/>
              </w:rPr>
            </w:pPr>
            <w:r w:rsidRPr="00BD16B4">
              <w:rPr>
                <w:rFonts w:cs="Calibri"/>
                <w:szCs w:val="18"/>
              </w:rPr>
              <w:t>-6,757.59</w:t>
            </w:r>
          </w:p>
        </w:tc>
        <w:tc>
          <w:tcPr>
            <w:tcW w:w="1007" w:type="dxa"/>
          </w:tcPr>
          <w:p w14:paraId="0635C7DA" w14:textId="77777777" w:rsidR="00ED2EBD" w:rsidRPr="00BD16B4" w:rsidRDefault="00ED2EBD" w:rsidP="004B6DE3">
            <w:pPr>
              <w:pStyle w:val="TableText"/>
              <w:spacing w:before="40" w:after="40"/>
              <w:jc w:val="right"/>
              <w:rPr>
                <w:rFonts w:cs="Calibri"/>
                <w:szCs w:val="18"/>
              </w:rPr>
            </w:pPr>
            <w:r w:rsidRPr="00BD16B4">
              <w:rPr>
                <w:rFonts w:cs="Calibri"/>
                <w:szCs w:val="18"/>
              </w:rPr>
              <w:t>-6,132.63</w:t>
            </w:r>
          </w:p>
        </w:tc>
        <w:tc>
          <w:tcPr>
            <w:tcW w:w="1007" w:type="dxa"/>
          </w:tcPr>
          <w:p w14:paraId="5840A8B2" w14:textId="77777777" w:rsidR="00ED2EBD" w:rsidRPr="00BD16B4" w:rsidRDefault="00ED2EBD" w:rsidP="004B6DE3">
            <w:pPr>
              <w:pStyle w:val="TableText"/>
              <w:spacing w:before="40" w:after="40"/>
              <w:jc w:val="right"/>
              <w:rPr>
                <w:rFonts w:cs="Calibri"/>
                <w:szCs w:val="18"/>
              </w:rPr>
            </w:pPr>
            <w:r w:rsidRPr="00BD16B4">
              <w:rPr>
                <w:rFonts w:cs="Calibri"/>
                <w:szCs w:val="18"/>
              </w:rPr>
              <w:t>-5,209.33</w:t>
            </w:r>
          </w:p>
        </w:tc>
        <w:tc>
          <w:tcPr>
            <w:tcW w:w="1007" w:type="dxa"/>
          </w:tcPr>
          <w:p w14:paraId="43949ED6" w14:textId="77777777" w:rsidR="00ED2EBD" w:rsidRPr="00BD16B4" w:rsidRDefault="00ED2EBD" w:rsidP="004B6DE3">
            <w:pPr>
              <w:pStyle w:val="TableText"/>
              <w:spacing w:before="40" w:after="40"/>
              <w:jc w:val="right"/>
              <w:rPr>
                <w:rFonts w:cs="Calibri"/>
                <w:szCs w:val="18"/>
              </w:rPr>
            </w:pPr>
            <w:r w:rsidRPr="00BD16B4">
              <w:rPr>
                <w:rFonts w:cs="Calibri"/>
                <w:szCs w:val="18"/>
              </w:rPr>
              <w:t>-4,688.74</w:t>
            </w:r>
          </w:p>
        </w:tc>
        <w:tc>
          <w:tcPr>
            <w:tcW w:w="1007" w:type="dxa"/>
          </w:tcPr>
          <w:p w14:paraId="379E6058" w14:textId="77777777" w:rsidR="00ED2EBD" w:rsidRPr="00BD16B4" w:rsidRDefault="00ED2EBD" w:rsidP="004B6DE3">
            <w:pPr>
              <w:pStyle w:val="TableText"/>
              <w:spacing w:before="40" w:after="40"/>
              <w:jc w:val="right"/>
              <w:rPr>
                <w:rFonts w:cs="Calibri"/>
                <w:szCs w:val="18"/>
              </w:rPr>
            </w:pPr>
            <w:r w:rsidRPr="00BD16B4">
              <w:rPr>
                <w:rFonts w:cs="Calibri"/>
                <w:szCs w:val="18"/>
              </w:rPr>
              <w:t>-4,612.88</w:t>
            </w:r>
          </w:p>
        </w:tc>
        <w:tc>
          <w:tcPr>
            <w:tcW w:w="1007" w:type="dxa"/>
          </w:tcPr>
          <w:p w14:paraId="51E2D953" w14:textId="77777777" w:rsidR="00ED2EBD" w:rsidRPr="00BD16B4" w:rsidRDefault="00ED2EBD" w:rsidP="004B6DE3">
            <w:pPr>
              <w:pStyle w:val="TableText"/>
              <w:spacing w:before="40" w:after="40"/>
              <w:jc w:val="right"/>
              <w:rPr>
                <w:rFonts w:cs="Calibri"/>
                <w:szCs w:val="18"/>
              </w:rPr>
            </w:pPr>
            <w:r w:rsidRPr="00BD16B4">
              <w:rPr>
                <w:rFonts w:cs="Calibri"/>
                <w:szCs w:val="18"/>
              </w:rPr>
              <w:t>-4,625.19</w:t>
            </w:r>
          </w:p>
        </w:tc>
        <w:tc>
          <w:tcPr>
            <w:tcW w:w="1007" w:type="dxa"/>
          </w:tcPr>
          <w:p w14:paraId="06B81854" w14:textId="77777777" w:rsidR="00ED2EBD" w:rsidRPr="00BD16B4" w:rsidRDefault="00ED2EBD" w:rsidP="004B6DE3">
            <w:pPr>
              <w:pStyle w:val="TableText"/>
              <w:spacing w:before="40" w:after="40"/>
              <w:jc w:val="right"/>
              <w:rPr>
                <w:rFonts w:cs="Calibri"/>
                <w:szCs w:val="18"/>
              </w:rPr>
            </w:pPr>
            <w:r w:rsidRPr="00BD16B4">
              <w:rPr>
                <w:rFonts w:cs="Calibri"/>
                <w:szCs w:val="18"/>
              </w:rPr>
              <w:t>-4,217.97</w:t>
            </w:r>
          </w:p>
        </w:tc>
        <w:tc>
          <w:tcPr>
            <w:tcW w:w="1007" w:type="dxa"/>
          </w:tcPr>
          <w:p w14:paraId="5F89F374" w14:textId="77777777" w:rsidR="00ED2EBD" w:rsidRPr="00BD16B4" w:rsidRDefault="00ED2EBD" w:rsidP="004B6DE3">
            <w:pPr>
              <w:pStyle w:val="TableText"/>
              <w:spacing w:before="40" w:after="40"/>
              <w:jc w:val="right"/>
              <w:rPr>
                <w:rFonts w:cs="Calibri"/>
                <w:szCs w:val="18"/>
              </w:rPr>
            </w:pPr>
            <w:r w:rsidRPr="00BD16B4">
              <w:rPr>
                <w:rFonts w:cs="Calibri"/>
                <w:szCs w:val="18"/>
              </w:rPr>
              <w:t>-5,115.44</w:t>
            </w:r>
          </w:p>
        </w:tc>
      </w:tr>
      <w:tr w:rsidR="006446D5" w:rsidRPr="00BD16B4" w14:paraId="163565A6" w14:textId="77777777" w:rsidTr="00061F5B">
        <w:tc>
          <w:tcPr>
            <w:tcW w:w="3539" w:type="dxa"/>
          </w:tcPr>
          <w:p w14:paraId="1DCE6484" w14:textId="02ABEEE4" w:rsidR="00ED2EBD" w:rsidRPr="00BD16B4" w:rsidRDefault="00ED2EBD" w:rsidP="004B6DE3">
            <w:pPr>
              <w:pStyle w:val="TableText"/>
              <w:spacing w:before="40" w:after="40"/>
              <w:rPr>
                <w:rFonts w:cs="Calibri"/>
                <w:szCs w:val="18"/>
              </w:rPr>
            </w:pPr>
            <w:r w:rsidRPr="00BD16B4">
              <w:rPr>
                <w:rFonts w:cs="Calibri"/>
                <w:szCs w:val="18"/>
              </w:rPr>
              <w:t>H.</w:t>
            </w:r>
            <w:r w:rsidR="00280979" w:rsidRPr="00BD16B4">
              <w:rPr>
                <w:rFonts w:cs="Calibri"/>
                <w:szCs w:val="18"/>
              </w:rPr>
              <w:t xml:space="preserve"> </w:t>
            </w:r>
            <w:r w:rsidRPr="00BD16B4">
              <w:rPr>
                <w:rFonts w:cs="Calibri"/>
                <w:szCs w:val="18"/>
              </w:rPr>
              <w:t>Other</w:t>
            </w:r>
            <w:r w:rsidR="00280979" w:rsidRPr="00BD16B4">
              <w:rPr>
                <w:rFonts w:cs="Calibri"/>
                <w:szCs w:val="18"/>
              </w:rPr>
              <w:t xml:space="preserve"> </w:t>
            </w:r>
          </w:p>
        </w:tc>
        <w:tc>
          <w:tcPr>
            <w:tcW w:w="1006" w:type="dxa"/>
          </w:tcPr>
          <w:p w14:paraId="11F2EE3A"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6" w:type="dxa"/>
          </w:tcPr>
          <w:p w14:paraId="2FA9EB7B"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6" w:type="dxa"/>
          </w:tcPr>
          <w:p w14:paraId="24BBA14E"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6" w:type="dxa"/>
          </w:tcPr>
          <w:p w14:paraId="4D27FC16"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7" w:type="dxa"/>
          </w:tcPr>
          <w:p w14:paraId="11FEAE2A"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7" w:type="dxa"/>
          </w:tcPr>
          <w:p w14:paraId="726C3063"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7" w:type="dxa"/>
          </w:tcPr>
          <w:p w14:paraId="3B892978"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7" w:type="dxa"/>
          </w:tcPr>
          <w:p w14:paraId="1808C2D4"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7" w:type="dxa"/>
          </w:tcPr>
          <w:p w14:paraId="2326F783"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7" w:type="dxa"/>
          </w:tcPr>
          <w:p w14:paraId="28F234C8"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c>
          <w:tcPr>
            <w:tcW w:w="1007" w:type="dxa"/>
          </w:tcPr>
          <w:p w14:paraId="6EDFAE7A" w14:textId="77777777" w:rsidR="00ED2EBD" w:rsidRPr="00BD16B4" w:rsidRDefault="00ED2EBD" w:rsidP="004B6DE3">
            <w:pPr>
              <w:pStyle w:val="TableText"/>
              <w:spacing w:before="40" w:after="40"/>
              <w:jc w:val="right"/>
              <w:rPr>
                <w:rFonts w:cs="Calibri"/>
                <w:szCs w:val="18"/>
              </w:rPr>
            </w:pPr>
            <w:r w:rsidRPr="00BD16B4">
              <w:rPr>
                <w:rFonts w:cs="Calibri"/>
                <w:szCs w:val="18"/>
              </w:rPr>
              <w:t>NA</w:t>
            </w:r>
          </w:p>
        </w:tc>
      </w:tr>
      <w:tr w:rsidR="006446D5" w:rsidRPr="00BD16B4" w14:paraId="5B79417D" w14:textId="77777777" w:rsidTr="00061F5B">
        <w:tc>
          <w:tcPr>
            <w:tcW w:w="3539" w:type="dxa"/>
          </w:tcPr>
          <w:p w14:paraId="1989575E" w14:textId="5B657AF7" w:rsidR="00ED2EBD" w:rsidRPr="00BD16B4" w:rsidRDefault="00ED2EBD" w:rsidP="004B6DE3">
            <w:pPr>
              <w:pStyle w:val="TableText"/>
              <w:keepNext/>
              <w:spacing w:before="40" w:after="40"/>
              <w:rPr>
                <w:rFonts w:cs="Calibri"/>
                <w:szCs w:val="18"/>
              </w:rPr>
            </w:pPr>
            <w:r w:rsidRPr="00BD16B4">
              <w:rPr>
                <w:rFonts w:cs="Calibri"/>
                <w:b/>
                <w:bCs/>
                <w:szCs w:val="18"/>
              </w:rPr>
              <w:t>5.</w:t>
            </w:r>
            <w:r w:rsidR="00280979" w:rsidRPr="00BD16B4">
              <w:rPr>
                <w:rFonts w:cs="Calibri"/>
                <w:b/>
                <w:bCs/>
                <w:szCs w:val="18"/>
              </w:rPr>
              <w:t xml:space="preserve"> </w:t>
            </w:r>
            <w:r w:rsidRPr="00BD16B4">
              <w:rPr>
                <w:rFonts w:cs="Calibri"/>
                <w:b/>
                <w:bCs/>
                <w:szCs w:val="18"/>
              </w:rPr>
              <w:t>Waste</w:t>
            </w:r>
          </w:p>
        </w:tc>
        <w:tc>
          <w:tcPr>
            <w:tcW w:w="1006" w:type="dxa"/>
          </w:tcPr>
          <w:p w14:paraId="44E95E41" w14:textId="77777777" w:rsidR="00ED2EBD" w:rsidRPr="00BD16B4" w:rsidRDefault="00ED2EBD" w:rsidP="004B6DE3">
            <w:pPr>
              <w:pStyle w:val="TableText"/>
              <w:spacing w:before="40" w:after="40"/>
              <w:jc w:val="right"/>
              <w:rPr>
                <w:rFonts w:cs="Calibri"/>
                <w:szCs w:val="18"/>
              </w:rPr>
            </w:pPr>
            <w:r w:rsidRPr="00BD16B4">
              <w:rPr>
                <w:rFonts w:cs="Calibri"/>
                <w:szCs w:val="18"/>
              </w:rPr>
              <w:t>156.72</w:t>
            </w:r>
          </w:p>
        </w:tc>
        <w:tc>
          <w:tcPr>
            <w:tcW w:w="1006" w:type="dxa"/>
          </w:tcPr>
          <w:p w14:paraId="47D1CACA" w14:textId="77777777" w:rsidR="00ED2EBD" w:rsidRPr="00BD16B4" w:rsidRDefault="00ED2EBD" w:rsidP="004B6DE3">
            <w:pPr>
              <w:pStyle w:val="TableText"/>
              <w:spacing w:before="40" w:after="40"/>
              <w:jc w:val="right"/>
              <w:rPr>
                <w:rFonts w:cs="Calibri"/>
                <w:szCs w:val="18"/>
              </w:rPr>
            </w:pPr>
            <w:r w:rsidRPr="00BD16B4">
              <w:rPr>
                <w:rFonts w:cs="Calibri"/>
                <w:szCs w:val="18"/>
              </w:rPr>
              <w:t>149.73</w:t>
            </w:r>
          </w:p>
        </w:tc>
        <w:tc>
          <w:tcPr>
            <w:tcW w:w="1006" w:type="dxa"/>
          </w:tcPr>
          <w:p w14:paraId="565D85CB" w14:textId="77777777" w:rsidR="00ED2EBD" w:rsidRPr="00BD16B4" w:rsidRDefault="00ED2EBD" w:rsidP="004B6DE3">
            <w:pPr>
              <w:pStyle w:val="TableText"/>
              <w:spacing w:before="40" w:after="40"/>
              <w:jc w:val="right"/>
              <w:rPr>
                <w:rFonts w:cs="Calibri"/>
                <w:szCs w:val="18"/>
              </w:rPr>
            </w:pPr>
            <w:r w:rsidRPr="00BD16B4">
              <w:rPr>
                <w:rFonts w:cs="Calibri"/>
                <w:szCs w:val="18"/>
              </w:rPr>
              <w:t>138.52</w:t>
            </w:r>
          </w:p>
        </w:tc>
        <w:tc>
          <w:tcPr>
            <w:tcW w:w="1006" w:type="dxa"/>
          </w:tcPr>
          <w:p w14:paraId="5CE2917D" w14:textId="77777777" w:rsidR="00ED2EBD" w:rsidRPr="00BD16B4" w:rsidRDefault="00ED2EBD" w:rsidP="004B6DE3">
            <w:pPr>
              <w:pStyle w:val="TableText"/>
              <w:spacing w:before="40" w:after="40"/>
              <w:jc w:val="right"/>
              <w:rPr>
                <w:rFonts w:cs="Calibri"/>
                <w:szCs w:val="18"/>
              </w:rPr>
            </w:pPr>
            <w:r w:rsidRPr="00BD16B4">
              <w:rPr>
                <w:rFonts w:cs="Calibri"/>
                <w:szCs w:val="18"/>
              </w:rPr>
              <w:t>131.60</w:t>
            </w:r>
          </w:p>
        </w:tc>
        <w:tc>
          <w:tcPr>
            <w:tcW w:w="1007" w:type="dxa"/>
          </w:tcPr>
          <w:p w14:paraId="7AF452F4" w14:textId="77777777" w:rsidR="00ED2EBD" w:rsidRPr="00BD16B4" w:rsidRDefault="00ED2EBD" w:rsidP="004B6DE3">
            <w:pPr>
              <w:pStyle w:val="TableText"/>
              <w:spacing w:before="40" w:after="40"/>
              <w:jc w:val="right"/>
              <w:rPr>
                <w:rFonts w:cs="Calibri"/>
                <w:szCs w:val="18"/>
              </w:rPr>
            </w:pPr>
            <w:r w:rsidRPr="00BD16B4">
              <w:rPr>
                <w:rFonts w:cs="Calibri"/>
                <w:szCs w:val="18"/>
              </w:rPr>
              <w:t>123.42</w:t>
            </w:r>
          </w:p>
        </w:tc>
        <w:tc>
          <w:tcPr>
            <w:tcW w:w="1007" w:type="dxa"/>
          </w:tcPr>
          <w:p w14:paraId="0A1F6616" w14:textId="77777777" w:rsidR="00ED2EBD" w:rsidRPr="00BD16B4" w:rsidRDefault="00ED2EBD" w:rsidP="004B6DE3">
            <w:pPr>
              <w:pStyle w:val="TableText"/>
              <w:spacing w:before="40" w:after="40"/>
              <w:jc w:val="right"/>
              <w:rPr>
                <w:rFonts w:cs="Calibri"/>
                <w:szCs w:val="18"/>
              </w:rPr>
            </w:pPr>
            <w:r w:rsidRPr="00BD16B4">
              <w:rPr>
                <w:rFonts w:cs="Calibri"/>
                <w:szCs w:val="18"/>
              </w:rPr>
              <w:t>124.25</w:t>
            </w:r>
          </w:p>
        </w:tc>
        <w:tc>
          <w:tcPr>
            <w:tcW w:w="1007" w:type="dxa"/>
          </w:tcPr>
          <w:p w14:paraId="719C0ED0" w14:textId="77777777" w:rsidR="00ED2EBD" w:rsidRPr="00BD16B4" w:rsidRDefault="00ED2EBD" w:rsidP="004B6DE3">
            <w:pPr>
              <w:pStyle w:val="TableText"/>
              <w:spacing w:before="40" w:after="40"/>
              <w:jc w:val="right"/>
              <w:rPr>
                <w:rFonts w:cs="Calibri"/>
                <w:szCs w:val="18"/>
              </w:rPr>
            </w:pPr>
            <w:r w:rsidRPr="00BD16B4">
              <w:rPr>
                <w:rFonts w:cs="Calibri"/>
                <w:szCs w:val="18"/>
              </w:rPr>
              <w:t>119.46</w:t>
            </w:r>
          </w:p>
        </w:tc>
        <w:tc>
          <w:tcPr>
            <w:tcW w:w="1007" w:type="dxa"/>
          </w:tcPr>
          <w:p w14:paraId="0AF143F1" w14:textId="77777777" w:rsidR="00ED2EBD" w:rsidRPr="00BD16B4" w:rsidRDefault="00ED2EBD" w:rsidP="004B6DE3">
            <w:pPr>
              <w:pStyle w:val="TableText"/>
              <w:spacing w:before="40" w:after="40"/>
              <w:jc w:val="right"/>
              <w:rPr>
                <w:rFonts w:cs="Calibri"/>
                <w:szCs w:val="18"/>
              </w:rPr>
            </w:pPr>
            <w:r w:rsidRPr="00BD16B4">
              <w:rPr>
                <w:rFonts w:cs="Calibri"/>
                <w:szCs w:val="18"/>
              </w:rPr>
              <w:t>118.53</w:t>
            </w:r>
          </w:p>
        </w:tc>
        <w:tc>
          <w:tcPr>
            <w:tcW w:w="1007" w:type="dxa"/>
          </w:tcPr>
          <w:p w14:paraId="64C82A1F" w14:textId="77777777" w:rsidR="00ED2EBD" w:rsidRPr="00BD16B4" w:rsidRDefault="00ED2EBD" w:rsidP="004B6DE3">
            <w:pPr>
              <w:pStyle w:val="TableText"/>
              <w:spacing w:before="40" w:after="40"/>
              <w:jc w:val="right"/>
              <w:rPr>
                <w:rFonts w:cs="Calibri"/>
                <w:szCs w:val="18"/>
              </w:rPr>
            </w:pPr>
            <w:r w:rsidRPr="00BD16B4">
              <w:rPr>
                <w:rFonts w:cs="Calibri"/>
                <w:szCs w:val="18"/>
              </w:rPr>
              <w:t>114.88</w:t>
            </w:r>
          </w:p>
        </w:tc>
        <w:tc>
          <w:tcPr>
            <w:tcW w:w="1007" w:type="dxa"/>
          </w:tcPr>
          <w:p w14:paraId="6E04E297" w14:textId="77777777" w:rsidR="00ED2EBD" w:rsidRPr="00BD16B4" w:rsidRDefault="00ED2EBD" w:rsidP="004B6DE3">
            <w:pPr>
              <w:pStyle w:val="TableText"/>
              <w:spacing w:before="40" w:after="40"/>
              <w:jc w:val="right"/>
              <w:rPr>
                <w:rFonts w:cs="Calibri"/>
                <w:szCs w:val="18"/>
              </w:rPr>
            </w:pPr>
            <w:r w:rsidRPr="00BD16B4">
              <w:rPr>
                <w:rFonts w:cs="Calibri"/>
                <w:szCs w:val="18"/>
              </w:rPr>
              <w:t>109.91</w:t>
            </w:r>
          </w:p>
        </w:tc>
        <w:tc>
          <w:tcPr>
            <w:tcW w:w="1007" w:type="dxa"/>
          </w:tcPr>
          <w:p w14:paraId="4C75BA4F" w14:textId="77777777" w:rsidR="00ED2EBD" w:rsidRPr="00BD16B4" w:rsidRDefault="00ED2EBD" w:rsidP="004B6DE3">
            <w:pPr>
              <w:pStyle w:val="TableText"/>
              <w:spacing w:before="40" w:after="40"/>
              <w:jc w:val="right"/>
              <w:rPr>
                <w:rFonts w:cs="Calibri"/>
                <w:szCs w:val="18"/>
              </w:rPr>
            </w:pPr>
            <w:r w:rsidRPr="00BD16B4">
              <w:rPr>
                <w:rFonts w:cs="Calibri"/>
                <w:szCs w:val="18"/>
              </w:rPr>
              <w:t>107.65</w:t>
            </w:r>
          </w:p>
        </w:tc>
      </w:tr>
      <w:tr w:rsidR="006446D5" w:rsidRPr="00BD16B4" w14:paraId="5C7DDD35" w14:textId="77777777" w:rsidTr="00061F5B">
        <w:tc>
          <w:tcPr>
            <w:tcW w:w="3539" w:type="dxa"/>
          </w:tcPr>
          <w:p w14:paraId="55D23B9D" w14:textId="19D4E2CC" w:rsidR="00ED2EBD" w:rsidRPr="00BD16B4" w:rsidRDefault="00ED2EBD" w:rsidP="004B6DE3">
            <w:pPr>
              <w:pStyle w:val="TableText"/>
              <w:spacing w:before="40" w:after="40"/>
              <w:rPr>
                <w:rFonts w:cs="Calibri"/>
                <w:szCs w:val="18"/>
              </w:rPr>
            </w:pPr>
            <w:r w:rsidRPr="00BD16B4">
              <w:rPr>
                <w:rFonts w:cs="Calibri"/>
                <w:szCs w:val="18"/>
              </w:rPr>
              <w:t>A.</w:t>
            </w:r>
            <w:r w:rsidR="00280979" w:rsidRPr="00BD16B4">
              <w:rPr>
                <w:rFonts w:cs="Calibri"/>
                <w:szCs w:val="18"/>
              </w:rPr>
              <w:t xml:space="preserve"> </w:t>
            </w:r>
            <w:r w:rsidRPr="00BD16B4">
              <w:rPr>
                <w:rFonts w:cs="Calibri"/>
                <w:szCs w:val="18"/>
              </w:rPr>
              <w:t xml:space="preserve">Solid waste disposal </w:t>
            </w:r>
          </w:p>
        </w:tc>
        <w:tc>
          <w:tcPr>
            <w:tcW w:w="1006" w:type="dxa"/>
            <w:tcBorders>
              <w:bottom w:val="single" w:sz="4" w:space="0" w:color="1B556B" w:themeColor="text2"/>
            </w:tcBorders>
          </w:tcPr>
          <w:p w14:paraId="7D45E2C1"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6" w:type="dxa"/>
            <w:tcBorders>
              <w:bottom w:val="single" w:sz="4" w:space="0" w:color="1B556B" w:themeColor="text2"/>
            </w:tcBorders>
          </w:tcPr>
          <w:p w14:paraId="7D18F574"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6" w:type="dxa"/>
            <w:tcBorders>
              <w:bottom w:val="single" w:sz="4" w:space="0" w:color="1B556B" w:themeColor="text2"/>
            </w:tcBorders>
          </w:tcPr>
          <w:p w14:paraId="418D6059"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6" w:type="dxa"/>
            <w:tcBorders>
              <w:bottom w:val="single" w:sz="4" w:space="0" w:color="1B556B" w:themeColor="text2"/>
            </w:tcBorders>
          </w:tcPr>
          <w:p w14:paraId="67B5FDE3"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7" w:type="dxa"/>
            <w:tcBorders>
              <w:bottom w:val="single" w:sz="4" w:space="0" w:color="1B556B" w:themeColor="text2"/>
            </w:tcBorders>
          </w:tcPr>
          <w:p w14:paraId="4BD9D936"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7" w:type="dxa"/>
            <w:tcBorders>
              <w:bottom w:val="single" w:sz="4" w:space="0" w:color="1B556B" w:themeColor="text2"/>
            </w:tcBorders>
          </w:tcPr>
          <w:p w14:paraId="7F6ECE18"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7" w:type="dxa"/>
            <w:tcBorders>
              <w:bottom w:val="single" w:sz="4" w:space="0" w:color="1B556B" w:themeColor="text2"/>
            </w:tcBorders>
          </w:tcPr>
          <w:p w14:paraId="58E57AFC"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7" w:type="dxa"/>
            <w:tcBorders>
              <w:bottom w:val="single" w:sz="4" w:space="0" w:color="1B556B" w:themeColor="text2"/>
            </w:tcBorders>
          </w:tcPr>
          <w:p w14:paraId="76ABF095"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7" w:type="dxa"/>
            <w:tcBorders>
              <w:bottom w:val="single" w:sz="4" w:space="0" w:color="1B556B" w:themeColor="text2"/>
            </w:tcBorders>
          </w:tcPr>
          <w:p w14:paraId="3D397891"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7" w:type="dxa"/>
            <w:tcBorders>
              <w:bottom w:val="single" w:sz="4" w:space="0" w:color="1B556B" w:themeColor="text2"/>
            </w:tcBorders>
          </w:tcPr>
          <w:p w14:paraId="60D33701"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c>
          <w:tcPr>
            <w:tcW w:w="1007" w:type="dxa"/>
            <w:tcBorders>
              <w:bottom w:val="single" w:sz="4" w:space="0" w:color="1B556B" w:themeColor="text2"/>
            </w:tcBorders>
          </w:tcPr>
          <w:p w14:paraId="21F20386" w14:textId="77777777" w:rsidR="00ED2EBD" w:rsidRPr="00BD16B4" w:rsidRDefault="00ED2EBD" w:rsidP="004B6DE3">
            <w:pPr>
              <w:pStyle w:val="TableText"/>
              <w:spacing w:before="40" w:after="40"/>
              <w:jc w:val="right"/>
              <w:rPr>
                <w:rFonts w:cs="Calibri"/>
                <w:szCs w:val="18"/>
              </w:rPr>
            </w:pPr>
            <w:r w:rsidRPr="00BD16B4">
              <w:rPr>
                <w:rFonts w:cs="Calibri"/>
                <w:szCs w:val="18"/>
              </w:rPr>
              <w:t>NO, NA</w:t>
            </w:r>
          </w:p>
        </w:tc>
      </w:tr>
      <w:tr w:rsidR="00ED4F0D" w:rsidRPr="00BD16B4" w14:paraId="17F677A5" w14:textId="77777777" w:rsidTr="00061F5B">
        <w:tc>
          <w:tcPr>
            <w:tcW w:w="3539" w:type="dxa"/>
          </w:tcPr>
          <w:p w14:paraId="639C1690" w14:textId="7701D032" w:rsidR="00ED2EBD" w:rsidRPr="00BD16B4" w:rsidRDefault="00ED2EBD" w:rsidP="004B6DE3">
            <w:pPr>
              <w:pStyle w:val="TableText"/>
              <w:spacing w:before="40" w:after="40"/>
              <w:rPr>
                <w:rFonts w:cs="Calibri"/>
                <w:szCs w:val="18"/>
              </w:rPr>
            </w:pPr>
            <w:r w:rsidRPr="00BD16B4">
              <w:rPr>
                <w:rFonts w:cs="Calibri"/>
                <w:szCs w:val="18"/>
              </w:rPr>
              <w:t>B.</w:t>
            </w:r>
            <w:r w:rsidR="00280979" w:rsidRPr="00BD16B4">
              <w:rPr>
                <w:rFonts w:cs="Calibri"/>
                <w:szCs w:val="18"/>
              </w:rPr>
              <w:t xml:space="preserve"> </w:t>
            </w:r>
            <w:r w:rsidRPr="00BD16B4">
              <w:rPr>
                <w:rFonts w:cs="Calibri"/>
                <w:szCs w:val="18"/>
              </w:rPr>
              <w:t>Biological treatment of solid waste</w:t>
            </w:r>
          </w:p>
        </w:tc>
        <w:tc>
          <w:tcPr>
            <w:tcW w:w="1006" w:type="dxa"/>
            <w:tcBorders>
              <w:top w:val="single" w:sz="4" w:space="0" w:color="1B556B" w:themeColor="text2"/>
            </w:tcBorders>
            <w:shd w:val="clear" w:color="auto" w:fill="D2DDE1" w:themeFill="background2"/>
          </w:tcPr>
          <w:p w14:paraId="761A8A1F"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7331B21B"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548AB6E9"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6897E148"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25AA82CA"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19684DFC"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518484C7"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63E6A407"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222F834D"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13CCE3E3"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364F36CF"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r>
      <w:tr w:rsidR="006446D5" w:rsidRPr="00BD16B4" w14:paraId="12CC73EA" w14:textId="77777777" w:rsidTr="00061F5B">
        <w:tc>
          <w:tcPr>
            <w:tcW w:w="3539" w:type="dxa"/>
          </w:tcPr>
          <w:p w14:paraId="6558C39D" w14:textId="725CC7FB" w:rsidR="00ED2EBD" w:rsidRPr="00BD16B4" w:rsidRDefault="00ED2EBD" w:rsidP="004B6DE3">
            <w:pPr>
              <w:pStyle w:val="TableText"/>
              <w:spacing w:before="40" w:after="40"/>
              <w:rPr>
                <w:rFonts w:cs="Calibri"/>
                <w:szCs w:val="18"/>
              </w:rPr>
            </w:pPr>
            <w:r w:rsidRPr="00BD16B4">
              <w:rPr>
                <w:rFonts w:cs="Calibri"/>
                <w:szCs w:val="18"/>
              </w:rPr>
              <w:t>C.</w:t>
            </w:r>
            <w:r w:rsidR="00280979" w:rsidRPr="00BD16B4">
              <w:rPr>
                <w:rFonts w:cs="Calibri"/>
                <w:szCs w:val="18"/>
              </w:rPr>
              <w:t xml:space="preserve"> </w:t>
            </w:r>
            <w:r w:rsidRPr="00BD16B4">
              <w:rPr>
                <w:rFonts w:cs="Calibri"/>
                <w:szCs w:val="18"/>
              </w:rPr>
              <w:t>Incineration and open burning of waste</w:t>
            </w:r>
          </w:p>
        </w:tc>
        <w:tc>
          <w:tcPr>
            <w:tcW w:w="1006" w:type="dxa"/>
            <w:tcBorders>
              <w:bottom w:val="single" w:sz="4" w:space="0" w:color="1B556B" w:themeColor="text2"/>
            </w:tcBorders>
          </w:tcPr>
          <w:p w14:paraId="1955539A" w14:textId="77777777" w:rsidR="00ED2EBD" w:rsidRPr="00BD16B4" w:rsidRDefault="00ED2EBD" w:rsidP="004B6DE3">
            <w:pPr>
              <w:pStyle w:val="TableText"/>
              <w:spacing w:before="40" w:after="40"/>
              <w:jc w:val="right"/>
              <w:rPr>
                <w:rFonts w:cs="Calibri"/>
                <w:szCs w:val="18"/>
              </w:rPr>
            </w:pPr>
            <w:r w:rsidRPr="00BD16B4">
              <w:rPr>
                <w:rFonts w:cs="Calibri"/>
                <w:szCs w:val="18"/>
              </w:rPr>
              <w:t>156.72</w:t>
            </w:r>
          </w:p>
        </w:tc>
        <w:tc>
          <w:tcPr>
            <w:tcW w:w="1006" w:type="dxa"/>
            <w:tcBorders>
              <w:bottom w:val="single" w:sz="4" w:space="0" w:color="1B556B" w:themeColor="text2"/>
            </w:tcBorders>
          </w:tcPr>
          <w:p w14:paraId="7974EE31" w14:textId="77777777" w:rsidR="00ED2EBD" w:rsidRPr="00BD16B4" w:rsidRDefault="00ED2EBD" w:rsidP="004B6DE3">
            <w:pPr>
              <w:pStyle w:val="TableText"/>
              <w:spacing w:before="40" w:after="40"/>
              <w:jc w:val="right"/>
              <w:rPr>
                <w:rFonts w:cs="Calibri"/>
                <w:szCs w:val="18"/>
              </w:rPr>
            </w:pPr>
            <w:r w:rsidRPr="00BD16B4">
              <w:rPr>
                <w:rFonts w:cs="Calibri"/>
                <w:szCs w:val="18"/>
              </w:rPr>
              <w:t>149.73</w:t>
            </w:r>
          </w:p>
        </w:tc>
        <w:tc>
          <w:tcPr>
            <w:tcW w:w="1006" w:type="dxa"/>
            <w:tcBorders>
              <w:bottom w:val="single" w:sz="4" w:space="0" w:color="1B556B" w:themeColor="text2"/>
            </w:tcBorders>
          </w:tcPr>
          <w:p w14:paraId="15E2D74C" w14:textId="77777777" w:rsidR="00ED2EBD" w:rsidRPr="00BD16B4" w:rsidRDefault="00ED2EBD" w:rsidP="004B6DE3">
            <w:pPr>
              <w:pStyle w:val="TableText"/>
              <w:spacing w:before="40" w:after="40"/>
              <w:jc w:val="right"/>
              <w:rPr>
                <w:rFonts w:cs="Calibri"/>
                <w:szCs w:val="18"/>
              </w:rPr>
            </w:pPr>
            <w:r w:rsidRPr="00BD16B4">
              <w:rPr>
                <w:rFonts w:cs="Calibri"/>
                <w:szCs w:val="18"/>
              </w:rPr>
              <w:t>138.52</w:t>
            </w:r>
          </w:p>
        </w:tc>
        <w:tc>
          <w:tcPr>
            <w:tcW w:w="1006" w:type="dxa"/>
            <w:tcBorders>
              <w:bottom w:val="single" w:sz="4" w:space="0" w:color="1B556B" w:themeColor="text2"/>
            </w:tcBorders>
          </w:tcPr>
          <w:p w14:paraId="3A6A3E13" w14:textId="77777777" w:rsidR="00ED2EBD" w:rsidRPr="00BD16B4" w:rsidRDefault="00ED2EBD" w:rsidP="004B6DE3">
            <w:pPr>
              <w:pStyle w:val="TableText"/>
              <w:spacing w:before="40" w:after="40"/>
              <w:jc w:val="right"/>
              <w:rPr>
                <w:rFonts w:cs="Calibri"/>
                <w:szCs w:val="18"/>
              </w:rPr>
            </w:pPr>
            <w:r w:rsidRPr="00BD16B4">
              <w:rPr>
                <w:rFonts w:cs="Calibri"/>
                <w:szCs w:val="18"/>
              </w:rPr>
              <w:t>131.60</w:t>
            </w:r>
          </w:p>
        </w:tc>
        <w:tc>
          <w:tcPr>
            <w:tcW w:w="1007" w:type="dxa"/>
            <w:tcBorders>
              <w:bottom w:val="single" w:sz="4" w:space="0" w:color="1B556B" w:themeColor="text2"/>
            </w:tcBorders>
          </w:tcPr>
          <w:p w14:paraId="18DC32F9" w14:textId="77777777" w:rsidR="00ED2EBD" w:rsidRPr="00BD16B4" w:rsidRDefault="00ED2EBD" w:rsidP="004B6DE3">
            <w:pPr>
              <w:pStyle w:val="TableText"/>
              <w:spacing w:before="40" w:after="40"/>
              <w:jc w:val="right"/>
              <w:rPr>
                <w:rFonts w:cs="Calibri"/>
                <w:szCs w:val="18"/>
              </w:rPr>
            </w:pPr>
            <w:r w:rsidRPr="00BD16B4">
              <w:rPr>
                <w:rFonts w:cs="Calibri"/>
                <w:szCs w:val="18"/>
              </w:rPr>
              <w:t>123.42</w:t>
            </w:r>
          </w:p>
        </w:tc>
        <w:tc>
          <w:tcPr>
            <w:tcW w:w="1007" w:type="dxa"/>
            <w:tcBorders>
              <w:bottom w:val="single" w:sz="4" w:space="0" w:color="1B556B" w:themeColor="text2"/>
            </w:tcBorders>
          </w:tcPr>
          <w:p w14:paraId="529C4CA7" w14:textId="77777777" w:rsidR="00ED2EBD" w:rsidRPr="00BD16B4" w:rsidRDefault="00ED2EBD" w:rsidP="004B6DE3">
            <w:pPr>
              <w:pStyle w:val="TableText"/>
              <w:spacing w:before="40" w:after="40"/>
              <w:jc w:val="right"/>
              <w:rPr>
                <w:rFonts w:cs="Calibri"/>
                <w:szCs w:val="18"/>
              </w:rPr>
            </w:pPr>
            <w:r w:rsidRPr="00BD16B4">
              <w:rPr>
                <w:rFonts w:cs="Calibri"/>
                <w:szCs w:val="18"/>
              </w:rPr>
              <w:t>124.25</w:t>
            </w:r>
          </w:p>
        </w:tc>
        <w:tc>
          <w:tcPr>
            <w:tcW w:w="1007" w:type="dxa"/>
            <w:tcBorders>
              <w:bottom w:val="single" w:sz="4" w:space="0" w:color="1B556B" w:themeColor="text2"/>
            </w:tcBorders>
          </w:tcPr>
          <w:p w14:paraId="51358679" w14:textId="77777777" w:rsidR="00ED2EBD" w:rsidRPr="00BD16B4" w:rsidRDefault="00ED2EBD" w:rsidP="004B6DE3">
            <w:pPr>
              <w:pStyle w:val="TableText"/>
              <w:spacing w:before="40" w:after="40"/>
              <w:jc w:val="right"/>
              <w:rPr>
                <w:rFonts w:cs="Calibri"/>
                <w:szCs w:val="18"/>
              </w:rPr>
            </w:pPr>
            <w:r w:rsidRPr="00BD16B4">
              <w:rPr>
                <w:rFonts w:cs="Calibri"/>
                <w:szCs w:val="18"/>
              </w:rPr>
              <w:t>119.46</w:t>
            </w:r>
          </w:p>
        </w:tc>
        <w:tc>
          <w:tcPr>
            <w:tcW w:w="1007" w:type="dxa"/>
            <w:tcBorders>
              <w:bottom w:val="single" w:sz="4" w:space="0" w:color="1B556B" w:themeColor="text2"/>
            </w:tcBorders>
          </w:tcPr>
          <w:p w14:paraId="0D74A7B4" w14:textId="77777777" w:rsidR="00ED2EBD" w:rsidRPr="00BD16B4" w:rsidRDefault="00ED2EBD" w:rsidP="004B6DE3">
            <w:pPr>
              <w:pStyle w:val="TableText"/>
              <w:spacing w:before="40" w:after="40"/>
              <w:jc w:val="right"/>
              <w:rPr>
                <w:rFonts w:cs="Calibri"/>
                <w:szCs w:val="18"/>
              </w:rPr>
            </w:pPr>
            <w:r w:rsidRPr="00BD16B4">
              <w:rPr>
                <w:rFonts w:cs="Calibri"/>
                <w:szCs w:val="18"/>
              </w:rPr>
              <w:t>118.53</w:t>
            </w:r>
          </w:p>
        </w:tc>
        <w:tc>
          <w:tcPr>
            <w:tcW w:w="1007" w:type="dxa"/>
            <w:tcBorders>
              <w:bottom w:val="single" w:sz="4" w:space="0" w:color="1B556B" w:themeColor="text2"/>
            </w:tcBorders>
          </w:tcPr>
          <w:p w14:paraId="4F524C67" w14:textId="77777777" w:rsidR="00ED2EBD" w:rsidRPr="00BD16B4" w:rsidRDefault="00ED2EBD" w:rsidP="004B6DE3">
            <w:pPr>
              <w:pStyle w:val="TableText"/>
              <w:spacing w:before="40" w:after="40"/>
              <w:jc w:val="right"/>
              <w:rPr>
                <w:rFonts w:cs="Calibri"/>
                <w:szCs w:val="18"/>
              </w:rPr>
            </w:pPr>
            <w:r w:rsidRPr="00BD16B4">
              <w:rPr>
                <w:rFonts w:cs="Calibri"/>
                <w:szCs w:val="18"/>
              </w:rPr>
              <w:t>114.88</w:t>
            </w:r>
          </w:p>
        </w:tc>
        <w:tc>
          <w:tcPr>
            <w:tcW w:w="1007" w:type="dxa"/>
            <w:tcBorders>
              <w:bottom w:val="single" w:sz="4" w:space="0" w:color="1B556B" w:themeColor="text2"/>
            </w:tcBorders>
          </w:tcPr>
          <w:p w14:paraId="2349E51C" w14:textId="77777777" w:rsidR="00ED2EBD" w:rsidRPr="00BD16B4" w:rsidRDefault="00ED2EBD" w:rsidP="004B6DE3">
            <w:pPr>
              <w:pStyle w:val="TableText"/>
              <w:spacing w:before="40" w:after="40"/>
              <w:jc w:val="right"/>
              <w:rPr>
                <w:rFonts w:cs="Calibri"/>
                <w:szCs w:val="18"/>
              </w:rPr>
            </w:pPr>
            <w:r w:rsidRPr="00BD16B4">
              <w:rPr>
                <w:rFonts w:cs="Calibri"/>
                <w:szCs w:val="18"/>
              </w:rPr>
              <w:t>109.91</w:t>
            </w:r>
          </w:p>
        </w:tc>
        <w:tc>
          <w:tcPr>
            <w:tcW w:w="1007" w:type="dxa"/>
            <w:tcBorders>
              <w:bottom w:val="single" w:sz="4" w:space="0" w:color="1B556B" w:themeColor="text2"/>
            </w:tcBorders>
          </w:tcPr>
          <w:p w14:paraId="64E726E8" w14:textId="77777777" w:rsidR="00ED2EBD" w:rsidRPr="00BD16B4" w:rsidRDefault="00ED2EBD" w:rsidP="004B6DE3">
            <w:pPr>
              <w:pStyle w:val="TableText"/>
              <w:spacing w:before="40" w:after="40"/>
              <w:jc w:val="right"/>
              <w:rPr>
                <w:rFonts w:cs="Calibri"/>
                <w:szCs w:val="18"/>
              </w:rPr>
            </w:pPr>
            <w:r w:rsidRPr="00BD16B4">
              <w:rPr>
                <w:rFonts w:cs="Calibri"/>
                <w:szCs w:val="18"/>
              </w:rPr>
              <w:t>107.65</w:t>
            </w:r>
          </w:p>
        </w:tc>
      </w:tr>
      <w:tr w:rsidR="00ED4F0D" w:rsidRPr="00BD16B4" w14:paraId="784A8DCC" w14:textId="77777777" w:rsidTr="00061F5B">
        <w:tc>
          <w:tcPr>
            <w:tcW w:w="3539" w:type="dxa"/>
          </w:tcPr>
          <w:p w14:paraId="4887A57C" w14:textId="3FF7ED83" w:rsidR="00ED2EBD" w:rsidRPr="00BD16B4" w:rsidRDefault="00ED2EBD" w:rsidP="004B6DE3">
            <w:pPr>
              <w:pStyle w:val="TableText"/>
              <w:spacing w:before="40" w:after="40"/>
              <w:rPr>
                <w:rFonts w:cs="Calibri"/>
                <w:szCs w:val="18"/>
              </w:rPr>
            </w:pPr>
            <w:r w:rsidRPr="00BD16B4">
              <w:rPr>
                <w:rFonts w:cs="Calibri"/>
                <w:szCs w:val="18"/>
              </w:rPr>
              <w:lastRenderedPageBreak/>
              <w:t>D.</w:t>
            </w:r>
            <w:r w:rsidR="00280979" w:rsidRPr="00BD16B4">
              <w:rPr>
                <w:rFonts w:cs="Calibri"/>
                <w:szCs w:val="18"/>
              </w:rPr>
              <w:t xml:space="preserve"> </w:t>
            </w:r>
            <w:r w:rsidRPr="00BD16B4">
              <w:rPr>
                <w:rFonts w:cs="Calibri"/>
                <w:szCs w:val="18"/>
              </w:rPr>
              <w:t>Waste water treatment and discharge</w:t>
            </w:r>
          </w:p>
        </w:tc>
        <w:tc>
          <w:tcPr>
            <w:tcW w:w="1006" w:type="dxa"/>
            <w:tcBorders>
              <w:top w:val="single" w:sz="4" w:space="0" w:color="1B556B" w:themeColor="text2"/>
            </w:tcBorders>
            <w:shd w:val="clear" w:color="auto" w:fill="D2DDE1" w:themeFill="background2"/>
          </w:tcPr>
          <w:p w14:paraId="16E458D8"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5131254B"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65708B61"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299FFFFA"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7A2BD755"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7EF0DCF3"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795946E4"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71019954"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65641922"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4C2523AA"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47D60354"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r>
      <w:tr w:rsidR="00ED4F0D" w:rsidRPr="00BD16B4" w14:paraId="44399CAD" w14:textId="77777777" w:rsidTr="00061F5B">
        <w:tc>
          <w:tcPr>
            <w:tcW w:w="3539" w:type="dxa"/>
          </w:tcPr>
          <w:p w14:paraId="5F2EB49B" w14:textId="5DAE9E90" w:rsidR="00ED2EBD" w:rsidRPr="00BD16B4" w:rsidRDefault="00ED2EBD" w:rsidP="004B6DE3">
            <w:pPr>
              <w:pStyle w:val="TableText"/>
              <w:spacing w:before="40" w:after="40"/>
              <w:rPr>
                <w:rFonts w:cs="Calibri"/>
                <w:szCs w:val="18"/>
              </w:rPr>
            </w:pPr>
            <w:r w:rsidRPr="00BD16B4">
              <w:rPr>
                <w:rFonts w:cs="Calibri"/>
                <w:szCs w:val="18"/>
              </w:rPr>
              <w:t>E.</w:t>
            </w:r>
            <w:r w:rsidR="00280979" w:rsidRPr="00BD16B4">
              <w:rPr>
                <w:rFonts w:cs="Calibri"/>
                <w:szCs w:val="18"/>
              </w:rPr>
              <w:t xml:space="preserve"> </w:t>
            </w:r>
            <w:r w:rsidRPr="00BD16B4">
              <w:rPr>
                <w:rFonts w:cs="Calibri"/>
                <w:szCs w:val="18"/>
              </w:rPr>
              <w:t xml:space="preserve">Other </w:t>
            </w:r>
          </w:p>
        </w:tc>
        <w:tc>
          <w:tcPr>
            <w:tcW w:w="1006" w:type="dxa"/>
            <w:tcBorders>
              <w:top w:val="single" w:sz="4" w:space="0" w:color="1B556B" w:themeColor="text2"/>
            </w:tcBorders>
            <w:shd w:val="clear" w:color="auto" w:fill="D2DDE1" w:themeFill="background2"/>
          </w:tcPr>
          <w:p w14:paraId="1DD394EC"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5904E9D0"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2C8AC6BA"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6" w:type="dxa"/>
            <w:tcBorders>
              <w:top w:val="single" w:sz="4" w:space="0" w:color="1B556B" w:themeColor="text2"/>
            </w:tcBorders>
            <w:shd w:val="clear" w:color="auto" w:fill="D2DDE1" w:themeFill="background2"/>
          </w:tcPr>
          <w:p w14:paraId="62F69234"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2853BD6B"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2F967442"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39F6DF45"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4EE024FE"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07F816B1"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538B45CA"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c>
          <w:tcPr>
            <w:tcW w:w="1007" w:type="dxa"/>
            <w:tcBorders>
              <w:top w:val="single" w:sz="4" w:space="0" w:color="1B556B" w:themeColor="text2"/>
            </w:tcBorders>
            <w:shd w:val="clear" w:color="auto" w:fill="D2DDE1" w:themeFill="background2"/>
          </w:tcPr>
          <w:p w14:paraId="210126C8" w14:textId="77777777" w:rsidR="00ED2EBD" w:rsidRPr="00BD16B4" w:rsidRDefault="00ED2EBD" w:rsidP="004B6DE3">
            <w:pPr>
              <w:pStyle w:val="TableText"/>
              <w:spacing w:before="40" w:after="40"/>
              <w:jc w:val="right"/>
              <w:rPr>
                <w:rFonts w:cs="Calibri"/>
                <w:szCs w:val="18"/>
              </w:rPr>
            </w:pPr>
            <w:r w:rsidRPr="00BD16B4">
              <w:rPr>
                <w:rFonts w:cs="Calibri"/>
                <w:color w:val="000000"/>
                <w:szCs w:val="18"/>
              </w:rPr>
              <w:t> </w:t>
            </w:r>
          </w:p>
        </w:tc>
      </w:tr>
      <w:tr w:rsidR="006446D5" w:rsidRPr="00BD16B4" w14:paraId="7A3A9B77" w14:textId="77777777" w:rsidTr="00061F5B">
        <w:tc>
          <w:tcPr>
            <w:tcW w:w="3539" w:type="dxa"/>
          </w:tcPr>
          <w:p w14:paraId="713C6067" w14:textId="71DBBD78" w:rsidR="00ED2EBD" w:rsidRPr="00BD16B4" w:rsidRDefault="00ED2EBD" w:rsidP="004B6DE3">
            <w:pPr>
              <w:pStyle w:val="TableText"/>
              <w:spacing w:before="40" w:after="40"/>
              <w:rPr>
                <w:rFonts w:cs="Calibri"/>
                <w:szCs w:val="18"/>
              </w:rPr>
            </w:pPr>
            <w:r w:rsidRPr="00BD16B4">
              <w:rPr>
                <w:rFonts w:cs="Calibri"/>
                <w:b/>
                <w:bCs/>
                <w:szCs w:val="18"/>
              </w:rPr>
              <w:t>6.</w:t>
            </w:r>
            <w:r w:rsidR="00280979" w:rsidRPr="00BD16B4">
              <w:rPr>
                <w:rFonts w:cs="Calibri"/>
                <w:b/>
                <w:bCs/>
                <w:szCs w:val="18"/>
              </w:rPr>
              <w:t xml:space="preserve"> </w:t>
            </w:r>
            <w:r w:rsidRPr="00BD16B4">
              <w:rPr>
                <w:rFonts w:cs="Calibri"/>
                <w:b/>
                <w:bCs/>
                <w:szCs w:val="18"/>
              </w:rPr>
              <w:t>Other (as specified in summary table A.1)</w:t>
            </w:r>
          </w:p>
        </w:tc>
        <w:tc>
          <w:tcPr>
            <w:tcW w:w="1006" w:type="dxa"/>
          </w:tcPr>
          <w:p w14:paraId="344B3B2A" w14:textId="77777777" w:rsidR="00ED2EBD" w:rsidRPr="00BD16B4" w:rsidRDefault="00ED2EBD" w:rsidP="004B6DE3">
            <w:pPr>
              <w:pStyle w:val="TableText"/>
              <w:spacing w:before="40" w:after="40"/>
              <w:jc w:val="right"/>
              <w:rPr>
                <w:rFonts w:cs="Calibri"/>
                <w:szCs w:val="18"/>
              </w:rPr>
            </w:pPr>
            <w:r w:rsidRPr="00BD16B4">
              <w:rPr>
                <w:rFonts w:cs="Calibri"/>
                <w:szCs w:val="18"/>
              </w:rPr>
              <w:t>1.44</w:t>
            </w:r>
          </w:p>
        </w:tc>
        <w:tc>
          <w:tcPr>
            <w:tcW w:w="1006" w:type="dxa"/>
          </w:tcPr>
          <w:p w14:paraId="45299BE4" w14:textId="77777777" w:rsidR="00ED2EBD" w:rsidRPr="00BD16B4" w:rsidRDefault="00ED2EBD" w:rsidP="004B6DE3">
            <w:pPr>
              <w:pStyle w:val="TableText"/>
              <w:spacing w:before="40" w:after="40"/>
              <w:jc w:val="right"/>
              <w:rPr>
                <w:rFonts w:cs="Calibri"/>
                <w:szCs w:val="18"/>
              </w:rPr>
            </w:pPr>
            <w:r w:rsidRPr="00BD16B4">
              <w:rPr>
                <w:rFonts w:cs="Calibri"/>
                <w:szCs w:val="18"/>
              </w:rPr>
              <w:t>1.45</w:t>
            </w:r>
          </w:p>
        </w:tc>
        <w:tc>
          <w:tcPr>
            <w:tcW w:w="1006" w:type="dxa"/>
          </w:tcPr>
          <w:p w14:paraId="684E474D" w14:textId="77777777" w:rsidR="00ED2EBD" w:rsidRPr="00BD16B4" w:rsidRDefault="00ED2EBD" w:rsidP="004B6DE3">
            <w:pPr>
              <w:pStyle w:val="TableText"/>
              <w:spacing w:before="40" w:after="40"/>
              <w:jc w:val="right"/>
              <w:rPr>
                <w:rFonts w:cs="Calibri"/>
                <w:szCs w:val="18"/>
              </w:rPr>
            </w:pPr>
            <w:r w:rsidRPr="00BD16B4">
              <w:rPr>
                <w:rFonts w:cs="Calibri"/>
                <w:szCs w:val="18"/>
              </w:rPr>
              <w:t>1.47</w:t>
            </w:r>
          </w:p>
        </w:tc>
        <w:tc>
          <w:tcPr>
            <w:tcW w:w="1006" w:type="dxa"/>
          </w:tcPr>
          <w:p w14:paraId="1E124E22" w14:textId="77777777" w:rsidR="00ED2EBD" w:rsidRPr="00BD16B4" w:rsidRDefault="00ED2EBD" w:rsidP="004B6DE3">
            <w:pPr>
              <w:pStyle w:val="TableText"/>
              <w:spacing w:before="40" w:after="40"/>
              <w:jc w:val="right"/>
              <w:rPr>
                <w:rFonts w:cs="Calibri"/>
                <w:szCs w:val="18"/>
              </w:rPr>
            </w:pPr>
            <w:r w:rsidRPr="00BD16B4">
              <w:rPr>
                <w:rFonts w:cs="Calibri"/>
                <w:szCs w:val="18"/>
              </w:rPr>
              <w:t>1.48</w:t>
            </w:r>
          </w:p>
        </w:tc>
        <w:tc>
          <w:tcPr>
            <w:tcW w:w="1007" w:type="dxa"/>
          </w:tcPr>
          <w:p w14:paraId="3F4C3D2D" w14:textId="77777777" w:rsidR="00ED2EBD" w:rsidRPr="00BD16B4" w:rsidRDefault="00ED2EBD" w:rsidP="004B6DE3">
            <w:pPr>
              <w:pStyle w:val="TableText"/>
              <w:spacing w:before="40" w:after="40"/>
              <w:jc w:val="right"/>
              <w:rPr>
                <w:rFonts w:cs="Calibri"/>
                <w:szCs w:val="18"/>
              </w:rPr>
            </w:pPr>
            <w:r w:rsidRPr="00BD16B4">
              <w:rPr>
                <w:rFonts w:cs="Calibri"/>
                <w:szCs w:val="18"/>
              </w:rPr>
              <w:t>1.50</w:t>
            </w:r>
          </w:p>
        </w:tc>
        <w:tc>
          <w:tcPr>
            <w:tcW w:w="1007" w:type="dxa"/>
          </w:tcPr>
          <w:p w14:paraId="6AD3C47B" w14:textId="77777777" w:rsidR="00ED2EBD" w:rsidRPr="00BD16B4" w:rsidRDefault="00ED2EBD" w:rsidP="004B6DE3">
            <w:pPr>
              <w:pStyle w:val="TableText"/>
              <w:spacing w:before="40" w:after="40"/>
              <w:jc w:val="right"/>
              <w:rPr>
                <w:rFonts w:cs="Calibri"/>
                <w:szCs w:val="18"/>
              </w:rPr>
            </w:pPr>
            <w:r w:rsidRPr="00BD16B4">
              <w:rPr>
                <w:rFonts w:cs="Calibri"/>
                <w:szCs w:val="18"/>
              </w:rPr>
              <w:t>1.97</w:t>
            </w:r>
          </w:p>
        </w:tc>
        <w:tc>
          <w:tcPr>
            <w:tcW w:w="1007" w:type="dxa"/>
          </w:tcPr>
          <w:p w14:paraId="59259A6B" w14:textId="77777777" w:rsidR="00ED2EBD" w:rsidRPr="00BD16B4" w:rsidRDefault="00ED2EBD" w:rsidP="004B6DE3">
            <w:pPr>
              <w:pStyle w:val="TableText"/>
              <w:spacing w:before="40" w:after="40"/>
              <w:jc w:val="right"/>
              <w:rPr>
                <w:rFonts w:cs="Calibri"/>
                <w:szCs w:val="18"/>
              </w:rPr>
            </w:pPr>
            <w:r w:rsidRPr="00BD16B4">
              <w:rPr>
                <w:rFonts w:cs="Calibri"/>
                <w:szCs w:val="18"/>
              </w:rPr>
              <w:t>2.45</w:t>
            </w:r>
          </w:p>
        </w:tc>
        <w:tc>
          <w:tcPr>
            <w:tcW w:w="1007" w:type="dxa"/>
          </w:tcPr>
          <w:p w14:paraId="12A1DEE7" w14:textId="77777777" w:rsidR="00ED2EBD" w:rsidRPr="00BD16B4" w:rsidRDefault="00ED2EBD" w:rsidP="004B6DE3">
            <w:pPr>
              <w:pStyle w:val="TableText"/>
              <w:spacing w:before="40" w:after="40"/>
              <w:jc w:val="right"/>
              <w:rPr>
                <w:rFonts w:cs="Calibri"/>
                <w:szCs w:val="18"/>
              </w:rPr>
            </w:pPr>
            <w:r w:rsidRPr="00BD16B4">
              <w:rPr>
                <w:rFonts w:cs="Calibri"/>
                <w:szCs w:val="18"/>
              </w:rPr>
              <w:t>2.46</w:t>
            </w:r>
          </w:p>
        </w:tc>
        <w:tc>
          <w:tcPr>
            <w:tcW w:w="1007" w:type="dxa"/>
          </w:tcPr>
          <w:p w14:paraId="66F10A33" w14:textId="77777777" w:rsidR="00ED2EBD" w:rsidRPr="00BD16B4" w:rsidRDefault="00ED2EBD" w:rsidP="004B6DE3">
            <w:pPr>
              <w:pStyle w:val="TableText"/>
              <w:spacing w:before="40" w:after="40"/>
              <w:jc w:val="right"/>
              <w:rPr>
                <w:rFonts w:cs="Calibri"/>
                <w:szCs w:val="18"/>
              </w:rPr>
            </w:pPr>
            <w:r w:rsidRPr="00BD16B4">
              <w:rPr>
                <w:rFonts w:cs="Calibri"/>
                <w:szCs w:val="18"/>
              </w:rPr>
              <w:t>2.48</w:t>
            </w:r>
          </w:p>
        </w:tc>
        <w:tc>
          <w:tcPr>
            <w:tcW w:w="1007" w:type="dxa"/>
          </w:tcPr>
          <w:p w14:paraId="48212EE7" w14:textId="77777777" w:rsidR="00ED2EBD" w:rsidRPr="00BD16B4" w:rsidRDefault="00ED2EBD" w:rsidP="004B6DE3">
            <w:pPr>
              <w:pStyle w:val="TableText"/>
              <w:spacing w:before="40" w:after="40"/>
              <w:jc w:val="right"/>
              <w:rPr>
                <w:rFonts w:cs="Calibri"/>
                <w:szCs w:val="18"/>
              </w:rPr>
            </w:pPr>
            <w:r w:rsidRPr="00BD16B4">
              <w:rPr>
                <w:rFonts w:cs="Calibri"/>
                <w:szCs w:val="18"/>
              </w:rPr>
              <w:t>2.49</w:t>
            </w:r>
          </w:p>
        </w:tc>
        <w:tc>
          <w:tcPr>
            <w:tcW w:w="1007" w:type="dxa"/>
          </w:tcPr>
          <w:p w14:paraId="3C112EBB" w14:textId="77777777" w:rsidR="00ED2EBD" w:rsidRPr="00BD16B4" w:rsidRDefault="00ED2EBD" w:rsidP="004B6DE3">
            <w:pPr>
              <w:pStyle w:val="TableText"/>
              <w:spacing w:before="40" w:after="40"/>
              <w:jc w:val="right"/>
              <w:rPr>
                <w:rFonts w:cs="Calibri"/>
                <w:szCs w:val="18"/>
              </w:rPr>
            </w:pPr>
            <w:r w:rsidRPr="00BD16B4">
              <w:rPr>
                <w:rFonts w:cs="Calibri"/>
                <w:szCs w:val="18"/>
              </w:rPr>
              <w:t>2.51</w:t>
            </w:r>
          </w:p>
        </w:tc>
      </w:tr>
    </w:tbl>
    <w:p w14:paraId="356B14C6" w14:textId="77777777" w:rsidR="00ED2EBD" w:rsidRPr="00BD16B4" w:rsidRDefault="00ED2EBD" w:rsidP="004E0E17">
      <w:pPr>
        <w:pStyle w:val="BodyText"/>
        <w:spacing w:before="0" w:after="0"/>
      </w:pPr>
    </w:p>
    <w:p w14:paraId="6808C32C" w14:textId="77777777" w:rsidR="00ED2EBD" w:rsidRPr="00BD16B4" w:rsidRDefault="00ED2EBD" w:rsidP="00ED2EBD">
      <w:pPr>
        <w:pStyle w:val="CTFTableheading"/>
      </w:pPr>
      <w:r w:rsidRPr="00BD16B4">
        <w:t>Table A.2:</w:t>
      </w:r>
      <w:r w:rsidRPr="00BD16B4">
        <w:tab/>
        <w:t>Emissions trends (CO</w:t>
      </w:r>
      <w:r w:rsidRPr="00BD16B4">
        <w:rPr>
          <w:vertAlign w:val="subscript"/>
        </w:rPr>
        <w:t>2</w:t>
      </w:r>
      <w:r w:rsidRPr="00BD16B4">
        <w:t>) (CTF Table 1(a)) (part 3 of 3)</w:t>
      </w:r>
    </w:p>
    <w:tbl>
      <w:tblPr>
        <w:tblStyle w:val="MinistryfortheEnvironment"/>
        <w:tblW w:w="14515" w:type="dxa"/>
        <w:tblInd w:w="113" w:type="dxa"/>
        <w:tblCellMar>
          <w:left w:w="85" w:type="dxa"/>
          <w:bottom w:w="0" w:type="dxa"/>
          <w:right w:w="85" w:type="dxa"/>
        </w:tblCellMar>
        <w:tblLook w:val="04A0" w:firstRow="1" w:lastRow="0" w:firstColumn="1" w:lastColumn="0" w:noHBand="0" w:noVBand="1"/>
      </w:tblPr>
      <w:tblGrid>
        <w:gridCol w:w="3523"/>
        <w:gridCol w:w="1000"/>
        <w:gridCol w:w="1000"/>
        <w:gridCol w:w="1000"/>
        <w:gridCol w:w="999"/>
        <w:gridCol w:w="999"/>
        <w:gridCol w:w="999"/>
        <w:gridCol w:w="999"/>
        <w:gridCol w:w="999"/>
        <w:gridCol w:w="999"/>
        <w:gridCol w:w="999"/>
        <w:gridCol w:w="999"/>
      </w:tblGrid>
      <w:tr w:rsidR="00ED2EBD" w:rsidRPr="00BD16B4" w14:paraId="1CABD6F2" w14:textId="77777777" w:rsidTr="004E0E17">
        <w:trPr>
          <w:cnfStyle w:val="100000000000" w:firstRow="1" w:lastRow="0" w:firstColumn="0" w:lastColumn="0" w:oddVBand="0" w:evenVBand="0" w:oddHBand="0" w:evenHBand="0" w:firstRowFirstColumn="0" w:firstRowLastColumn="0" w:lastRowFirstColumn="0" w:lastRowLastColumn="0"/>
          <w:tblHeader/>
        </w:trPr>
        <w:tc>
          <w:tcPr>
            <w:tcW w:w="3397" w:type="dxa"/>
            <w:tcBorders>
              <w:top w:val="single" w:sz="4" w:space="0" w:color="1B556B" w:themeColor="text2"/>
            </w:tcBorders>
            <w:vAlign w:val="bottom"/>
          </w:tcPr>
          <w:p w14:paraId="3334679F" w14:textId="77777777" w:rsidR="00ED2EBD" w:rsidRPr="00BD16B4" w:rsidRDefault="00ED2EBD" w:rsidP="004A205F">
            <w:pPr>
              <w:pStyle w:val="TableTextbold"/>
              <w:keepNext/>
              <w:spacing w:before="40" w:after="40"/>
              <w:rPr>
                <w:rFonts w:cs="Calibri"/>
                <w:b/>
                <w:bCs/>
                <w:szCs w:val="18"/>
              </w:rPr>
            </w:pPr>
            <w:r w:rsidRPr="00BD16B4">
              <w:rPr>
                <w:rFonts w:cs="Calibri"/>
                <w:b/>
                <w:bCs/>
                <w:szCs w:val="18"/>
              </w:rPr>
              <w:t xml:space="preserve">Greenhouse gas source and sink categories </w:t>
            </w:r>
          </w:p>
        </w:tc>
        <w:tc>
          <w:tcPr>
            <w:tcW w:w="964" w:type="dxa"/>
            <w:tcBorders>
              <w:top w:val="single" w:sz="4" w:space="0" w:color="1B556B" w:themeColor="text2"/>
            </w:tcBorders>
            <w:vAlign w:val="bottom"/>
          </w:tcPr>
          <w:p w14:paraId="7C78032B"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2010</w:t>
            </w:r>
            <w:r w:rsidRPr="00BD16B4">
              <w:rPr>
                <w:rFonts w:cs="Calibri"/>
                <w:b/>
                <w:bCs/>
                <w:szCs w:val="18"/>
              </w:rPr>
              <w:br/>
              <w:t>(kt)</w:t>
            </w:r>
          </w:p>
        </w:tc>
        <w:tc>
          <w:tcPr>
            <w:tcW w:w="964" w:type="dxa"/>
            <w:tcBorders>
              <w:top w:val="single" w:sz="4" w:space="0" w:color="1B556B" w:themeColor="text2"/>
            </w:tcBorders>
            <w:vAlign w:val="bottom"/>
          </w:tcPr>
          <w:p w14:paraId="231E829B"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2011</w:t>
            </w:r>
            <w:r w:rsidRPr="00BD16B4">
              <w:rPr>
                <w:rFonts w:cs="Calibri"/>
                <w:b/>
                <w:bCs/>
                <w:szCs w:val="18"/>
              </w:rPr>
              <w:br/>
              <w:t>(kt)</w:t>
            </w:r>
          </w:p>
        </w:tc>
        <w:tc>
          <w:tcPr>
            <w:tcW w:w="964" w:type="dxa"/>
            <w:tcBorders>
              <w:top w:val="single" w:sz="4" w:space="0" w:color="1B556B" w:themeColor="text2"/>
            </w:tcBorders>
            <w:vAlign w:val="bottom"/>
          </w:tcPr>
          <w:p w14:paraId="6485430E"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2012</w:t>
            </w:r>
            <w:r w:rsidRPr="00BD16B4">
              <w:rPr>
                <w:rFonts w:cs="Calibri"/>
                <w:b/>
                <w:bCs/>
                <w:szCs w:val="18"/>
              </w:rPr>
              <w:br/>
              <w:t>(kt)</w:t>
            </w:r>
          </w:p>
        </w:tc>
        <w:tc>
          <w:tcPr>
            <w:tcW w:w="964" w:type="dxa"/>
            <w:tcBorders>
              <w:top w:val="single" w:sz="4" w:space="0" w:color="1B556B" w:themeColor="text2"/>
            </w:tcBorders>
            <w:vAlign w:val="bottom"/>
          </w:tcPr>
          <w:p w14:paraId="676A6C9D"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2013</w:t>
            </w:r>
            <w:r w:rsidRPr="00BD16B4">
              <w:rPr>
                <w:rFonts w:cs="Calibri"/>
                <w:b/>
                <w:bCs/>
                <w:szCs w:val="18"/>
              </w:rPr>
              <w:br/>
              <w:t>(kt)</w:t>
            </w:r>
          </w:p>
        </w:tc>
        <w:tc>
          <w:tcPr>
            <w:tcW w:w="964" w:type="dxa"/>
            <w:tcBorders>
              <w:top w:val="single" w:sz="4" w:space="0" w:color="1B556B" w:themeColor="text2"/>
            </w:tcBorders>
            <w:vAlign w:val="bottom"/>
          </w:tcPr>
          <w:p w14:paraId="78D5BEE3"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2014</w:t>
            </w:r>
            <w:r w:rsidRPr="00BD16B4">
              <w:rPr>
                <w:rFonts w:cs="Calibri"/>
                <w:b/>
                <w:bCs/>
                <w:szCs w:val="18"/>
              </w:rPr>
              <w:br/>
              <w:t>(kt)</w:t>
            </w:r>
          </w:p>
        </w:tc>
        <w:tc>
          <w:tcPr>
            <w:tcW w:w="964" w:type="dxa"/>
            <w:tcBorders>
              <w:top w:val="single" w:sz="4" w:space="0" w:color="1B556B" w:themeColor="text2"/>
            </w:tcBorders>
            <w:vAlign w:val="bottom"/>
          </w:tcPr>
          <w:p w14:paraId="3B091455"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2015</w:t>
            </w:r>
            <w:r w:rsidRPr="00BD16B4">
              <w:rPr>
                <w:rFonts w:cs="Calibri"/>
                <w:b/>
                <w:bCs/>
                <w:szCs w:val="18"/>
              </w:rPr>
              <w:br/>
              <w:t>(kt)</w:t>
            </w:r>
          </w:p>
        </w:tc>
        <w:tc>
          <w:tcPr>
            <w:tcW w:w="964" w:type="dxa"/>
            <w:tcBorders>
              <w:top w:val="single" w:sz="4" w:space="0" w:color="1B556B" w:themeColor="text2"/>
            </w:tcBorders>
            <w:vAlign w:val="bottom"/>
          </w:tcPr>
          <w:p w14:paraId="665DE31C"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2016</w:t>
            </w:r>
            <w:r w:rsidRPr="00BD16B4">
              <w:rPr>
                <w:rFonts w:cs="Calibri"/>
                <w:b/>
                <w:bCs/>
                <w:szCs w:val="18"/>
              </w:rPr>
              <w:br/>
              <w:t>(kt)</w:t>
            </w:r>
          </w:p>
        </w:tc>
        <w:tc>
          <w:tcPr>
            <w:tcW w:w="964" w:type="dxa"/>
            <w:tcBorders>
              <w:top w:val="single" w:sz="4" w:space="0" w:color="1B556B" w:themeColor="text2"/>
            </w:tcBorders>
            <w:vAlign w:val="bottom"/>
          </w:tcPr>
          <w:p w14:paraId="3ADE8808"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2017</w:t>
            </w:r>
            <w:r w:rsidRPr="00BD16B4">
              <w:rPr>
                <w:rFonts w:cs="Calibri"/>
                <w:b/>
                <w:bCs/>
                <w:szCs w:val="18"/>
              </w:rPr>
              <w:br/>
              <w:t>(kt)</w:t>
            </w:r>
          </w:p>
        </w:tc>
        <w:tc>
          <w:tcPr>
            <w:tcW w:w="964" w:type="dxa"/>
            <w:tcBorders>
              <w:top w:val="single" w:sz="4" w:space="0" w:color="1B556B" w:themeColor="text2"/>
            </w:tcBorders>
          </w:tcPr>
          <w:p w14:paraId="0615731A" w14:textId="77777777" w:rsidR="00ED2EBD" w:rsidRPr="00BD16B4" w:rsidRDefault="00ED2EBD" w:rsidP="004A205F">
            <w:pPr>
              <w:pStyle w:val="TableTextbold"/>
              <w:keepNext/>
              <w:spacing w:before="40" w:after="40"/>
              <w:jc w:val="center"/>
              <w:rPr>
                <w:rFonts w:cs="Calibri"/>
                <w:bCs/>
                <w:szCs w:val="18"/>
              </w:rPr>
            </w:pPr>
            <w:r w:rsidRPr="00BD16B4">
              <w:rPr>
                <w:rFonts w:cs="Calibri"/>
                <w:b/>
                <w:bCs/>
                <w:szCs w:val="18"/>
              </w:rPr>
              <w:t>2018</w:t>
            </w:r>
            <w:r w:rsidRPr="00BD16B4">
              <w:rPr>
                <w:rFonts w:cs="Calibri"/>
                <w:b/>
                <w:bCs/>
                <w:szCs w:val="18"/>
              </w:rPr>
              <w:br/>
              <w:t>(kt)</w:t>
            </w:r>
          </w:p>
        </w:tc>
        <w:tc>
          <w:tcPr>
            <w:tcW w:w="964" w:type="dxa"/>
            <w:tcBorders>
              <w:top w:val="single" w:sz="4" w:space="0" w:color="1B556B" w:themeColor="text2"/>
            </w:tcBorders>
          </w:tcPr>
          <w:p w14:paraId="7FED57E6" w14:textId="77777777" w:rsidR="00ED2EBD" w:rsidRPr="00BD16B4" w:rsidRDefault="00ED2EBD" w:rsidP="004A205F">
            <w:pPr>
              <w:pStyle w:val="TableTextbold"/>
              <w:keepNext/>
              <w:spacing w:before="40" w:after="40"/>
              <w:jc w:val="center"/>
              <w:rPr>
                <w:rFonts w:cs="Calibri"/>
                <w:bCs/>
                <w:szCs w:val="18"/>
              </w:rPr>
            </w:pPr>
            <w:r w:rsidRPr="00BD16B4">
              <w:rPr>
                <w:rFonts w:cs="Calibri"/>
                <w:b/>
                <w:bCs/>
                <w:szCs w:val="18"/>
              </w:rPr>
              <w:t>2019</w:t>
            </w:r>
            <w:r w:rsidRPr="00BD16B4">
              <w:rPr>
                <w:rFonts w:cs="Calibri"/>
                <w:b/>
                <w:bCs/>
                <w:szCs w:val="18"/>
              </w:rPr>
              <w:br/>
              <w:t>(kt)</w:t>
            </w:r>
          </w:p>
        </w:tc>
        <w:tc>
          <w:tcPr>
            <w:tcW w:w="964" w:type="dxa"/>
            <w:tcBorders>
              <w:top w:val="single" w:sz="4" w:space="0" w:color="1B556B" w:themeColor="text2"/>
            </w:tcBorders>
            <w:vAlign w:val="bottom"/>
          </w:tcPr>
          <w:p w14:paraId="4F52203E" w14:textId="77777777" w:rsidR="00ED2EBD" w:rsidRPr="00BD16B4" w:rsidRDefault="00ED2EBD" w:rsidP="004A205F">
            <w:pPr>
              <w:pStyle w:val="TableTextbold"/>
              <w:keepNext/>
              <w:spacing w:before="40" w:after="40"/>
              <w:jc w:val="center"/>
              <w:rPr>
                <w:rFonts w:cs="Calibri"/>
                <w:b/>
                <w:bCs/>
                <w:szCs w:val="18"/>
              </w:rPr>
            </w:pPr>
            <w:r w:rsidRPr="00BD16B4">
              <w:rPr>
                <w:rFonts w:cs="Calibri"/>
                <w:b/>
                <w:bCs/>
                <w:szCs w:val="18"/>
              </w:rPr>
              <w:t>2020</w:t>
            </w:r>
            <w:r w:rsidRPr="00BD16B4">
              <w:rPr>
                <w:rFonts w:cs="Calibri"/>
                <w:b/>
                <w:bCs/>
                <w:szCs w:val="18"/>
              </w:rPr>
              <w:br/>
              <w:t>(kt)</w:t>
            </w:r>
          </w:p>
        </w:tc>
      </w:tr>
      <w:tr w:rsidR="008E7C93" w:rsidRPr="00BD16B4" w14:paraId="138F1F9E" w14:textId="77777777" w:rsidTr="00D462E8">
        <w:tc>
          <w:tcPr>
            <w:tcW w:w="3397" w:type="dxa"/>
          </w:tcPr>
          <w:p w14:paraId="0761D563" w14:textId="77777777" w:rsidR="00ED2EBD" w:rsidRPr="00BD16B4" w:rsidRDefault="00ED2EBD" w:rsidP="004A205F">
            <w:pPr>
              <w:pStyle w:val="TableText"/>
              <w:spacing w:before="40" w:after="40"/>
              <w:rPr>
                <w:rFonts w:cs="Calibri"/>
                <w:szCs w:val="18"/>
              </w:rPr>
            </w:pPr>
            <w:r w:rsidRPr="00BD16B4">
              <w:rPr>
                <w:rFonts w:cs="Calibri"/>
                <w:b/>
                <w:bCs/>
                <w:szCs w:val="18"/>
              </w:rPr>
              <w:t>1. Energy</w:t>
            </w:r>
          </w:p>
        </w:tc>
        <w:tc>
          <w:tcPr>
            <w:tcW w:w="964" w:type="dxa"/>
          </w:tcPr>
          <w:p w14:paraId="4F43F7C7" w14:textId="77777777" w:rsidR="00ED2EBD" w:rsidRPr="00BD16B4" w:rsidRDefault="00ED2EBD" w:rsidP="004A205F">
            <w:pPr>
              <w:pStyle w:val="TableText"/>
              <w:spacing w:before="40" w:after="40"/>
              <w:jc w:val="right"/>
              <w:rPr>
                <w:rFonts w:cs="Calibri"/>
                <w:szCs w:val="18"/>
              </w:rPr>
            </w:pPr>
            <w:r w:rsidRPr="00BD16B4">
              <w:rPr>
                <w:rFonts w:cs="Calibri"/>
                <w:szCs w:val="18"/>
              </w:rPr>
              <w:t>30,419.70</w:t>
            </w:r>
          </w:p>
        </w:tc>
        <w:tc>
          <w:tcPr>
            <w:tcW w:w="964" w:type="dxa"/>
          </w:tcPr>
          <w:p w14:paraId="7D856BB3" w14:textId="77777777" w:rsidR="00ED2EBD" w:rsidRPr="00BD16B4" w:rsidRDefault="00ED2EBD" w:rsidP="004A205F">
            <w:pPr>
              <w:pStyle w:val="TableText"/>
              <w:spacing w:before="40" w:after="40"/>
              <w:jc w:val="right"/>
              <w:rPr>
                <w:rFonts w:cs="Calibri"/>
                <w:szCs w:val="18"/>
              </w:rPr>
            </w:pPr>
            <w:r w:rsidRPr="00BD16B4">
              <w:rPr>
                <w:rFonts w:cs="Calibri"/>
                <w:szCs w:val="18"/>
              </w:rPr>
              <w:t>29,843.88</w:t>
            </w:r>
          </w:p>
        </w:tc>
        <w:tc>
          <w:tcPr>
            <w:tcW w:w="964" w:type="dxa"/>
          </w:tcPr>
          <w:p w14:paraId="0281AD23" w14:textId="77777777" w:rsidR="00ED2EBD" w:rsidRPr="00BD16B4" w:rsidRDefault="00ED2EBD" w:rsidP="004A205F">
            <w:pPr>
              <w:pStyle w:val="TableText"/>
              <w:spacing w:before="40" w:after="40"/>
              <w:jc w:val="right"/>
              <w:rPr>
                <w:rFonts w:cs="Calibri"/>
                <w:szCs w:val="18"/>
              </w:rPr>
            </w:pPr>
            <w:r w:rsidRPr="00BD16B4">
              <w:rPr>
                <w:rFonts w:cs="Calibri"/>
                <w:szCs w:val="18"/>
              </w:rPr>
              <w:t>31,525.50</w:t>
            </w:r>
          </w:p>
        </w:tc>
        <w:tc>
          <w:tcPr>
            <w:tcW w:w="964" w:type="dxa"/>
          </w:tcPr>
          <w:p w14:paraId="43DBDBFA" w14:textId="77777777" w:rsidR="00ED2EBD" w:rsidRPr="00BD16B4" w:rsidRDefault="00ED2EBD" w:rsidP="004A205F">
            <w:pPr>
              <w:pStyle w:val="TableText"/>
              <w:spacing w:before="40" w:after="40"/>
              <w:jc w:val="right"/>
              <w:rPr>
                <w:rFonts w:cs="Calibri"/>
                <w:szCs w:val="18"/>
              </w:rPr>
            </w:pPr>
            <w:r w:rsidRPr="00BD16B4">
              <w:rPr>
                <w:rFonts w:cs="Calibri"/>
                <w:szCs w:val="18"/>
              </w:rPr>
              <w:t>30,851.17</w:t>
            </w:r>
          </w:p>
        </w:tc>
        <w:tc>
          <w:tcPr>
            <w:tcW w:w="964" w:type="dxa"/>
          </w:tcPr>
          <w:p w14:paraId="6492CB81" w14:textId="77777777" w:rsidR="00ED2EBD" w:rsidRPr="00BD16B4" w:rsidRDefault="00ED2EBD" w:rsidP="004A205F">
            <w:pPr>
              <w:pStyle w:val="TableText"/>
              <w:spacing w:before="40" w:after="40"/>
              <w:jc w:val="right"/>
              <w:rPr>
                <w:rFonts w:cs="Calibri"/>
                <w:szCs w:val="18"/>
              </w:rPr>
            </w:pPr>
            <w:r w:rsidRPr="00BD16B4">
              <w:rPr>
                <w:rFonts w:cs="Calibri"/>
                <w:szCs w:val="18"/>
              </w:rPr>
              <w:t>30,939.01</w:t>
            </w:r>
          </w:p>
        </w:tc>
        <w:tc>
          <w:tcPr>
            <w:tcW w:w="964" w:type="dxa"/>
          </w:tcPr>
          <w:p w14:paraId="6E9601DB" w14:textId="77777777" w:rsidR="00ED2EBD" w:rsidRPr="00BD16B4" w:rsidRDefault="00ED2EBD" w:rsidP="004A205F">
            <w:pPr>
              <w:pStyle w:val="TableText"/>
              <w:spacing w:before="40" w:after="40"/>
              <w:jc w:val="right"/>
              <w:rPr>
                <w:rFonts w:cs="Calibri"/>
                <w:szCs w:val="18"/>
              </w:rPr>
            </w:pPr>
            <w:r w:rsidRPr="00BD16B4">
              <w:rPr>
                <w:rFonts w:cs="Calibri"/>
                <w:szCs w:val="18"/>
              </w:rPr>
              <w:t>31,151.21</w:t>
            </w:r>
          </w:p>
        </w:tc>
        <w:tc>
          <w:tcPr>
            <w:tcW w:w="964" w:type="dxa"/>
          </w:tcPr>
          <w:p w14:paraId="0BD22147" w14:textId="77777777" w:rsidR="00ED2EBD" w:rsidRPr="00BD16B4" w:rsidRDefault="00ED2EBD" w:rsidP="004A205F">
            <w:pPr>
              <w:pStyle w:val="TableText"/>
              <w:spacing w:before="40" w:after="40"/>
              <w:jc w:val="right"/>
              <w:rPr>
                <w:rFonts w:cs="Calibri"/>
                <w:szCs w:val="18"/>
              </w:rPr>
            </w:pPr>
            <w:r w:rsidRPr="00BD16B4">
              <w:rPr>
                <w:rFonts w:cs="Calibri"/>
                <w:szCs w:val="18"/>
              </w:rPr>
              <w:t>29,838.40</w:t>
            </w:r>
          </w:p>
        </w:tc>
        <w:tc>
          <w:tcPr>
            <w:tcW w:w="964" w:type="dxa"/>
          </w:tcPr>
          <w:p w14:paraId="175357DE" w14:textId="77777777" w:rsidR="00ED2EBD" w:rsidRPr="00BD16B4" w:rsidRDefault="00ED2EBD" w:rsidP="004A205F">
            <w:pPr>
              <w:pStyle w:val="TableText"/>
              <w:spacing w:before="40" w:after="40"/>
              <w:jc w:val="right"/>
              <w:rPr>
                <w:rFonts w:cs="Calibri"/>
                <w:szCs w:val="18"/>
              </w:rPr>
            </w:pPr>
            <w:r w:rsidRPr="00BD16B4">
              <w:rPr>
                <w:rFonts w:cs="Calibri"/>
                <w:szCs w:val="18"/>
              </w:rPr>
              <w:t>31,410.15</w:t>
            </w:r>
          </w:p>
        </w:tc>
        <w:tc>
          <w:tcPr>
            <w:tcW w:w="964" w:type="dxa"/>
          </w:tcPr>
          <w:p w14:paraId="735EA687" w14:textId="77777777" w:rsidR="00ED2EBD" w:rsidRPr="00BD16B4" w:rsidRDefault="00ED2EBD" w:rsidP="004A205F">
            <w:pPr>
              <w:pStyle w:val="TableText"/>
              <w:spacing w:before="40" w:after="40"/>
              <w:jc w:val="right"/>
              <w:rPr>
                <w:rFonts w:cs="Calibri"/>
                <w:szCs w:val="18"/>
              </w:rPr>
            </w:pPr>
            <w:r w:rsidRPr="00BD16B4">
              <w:rPr>
                <w:rFonts w:cs="Calibri"/>
                <w:szCs w:val="18"/>
              </w:rPr>
              <w:t>31,508.64</w:t>
            </w:r>
          </w:p>
        </w:tc>
        <w:tc>
          <w:tcPr>
            <w:tcW w:w="964" w:type="dxa"/>
          </w:tcPr>
          <w:p w14:paraId="112782CE" w14:textId="77777777" w:rsidR="00ED2EBD" w:rsidRPr="00BD16B4" w:rsidRDefault="00ED2EBD" w:rsidP="004A205F">
            <w:pPr>
              <w:pStyle w:val="TableText"/>
              <w:spacing w:before="40" w:after="40"/>
              <w:jc w:val="right"/>
              <w:rPr>
                <w:rFonts w:cs="Calibri"/>
                <w:szCs w:val="18"/>
              </w:rPr>
            </w:pPr>
            <w:r w:rsidRPr="00BD16B4">
              <w:rPr>
                <w:rFonts w:cs="Calibri"/>
                <w:szCs w:val="18"/>
              </w:rPr>
              <w:t>32,922.21</w:t>
            </w:r>
          </w:p>
        </w:tc>
        <w:tc>
          <w:tcPr>
            <w:tcW w:w="964" w:type="dxa"/>
          </w:tcPr>
          <w:p w14:paraId="33D1D2C2" w14:textId="77777777" w:rsidR="00ED2EBD" w:rsidRPr="00BD16B4" w:rsidRDefault="00ED2EBD" w:rsidP="004A205F">
            <w:pPr>
              <w:pStyle w:val="TableText"/>
              <w:spacing w:before="40" w:after="40"/>
              <w:jc w:val="right"/>
              <w:rPr>
                <w:rFonts w:cs="Calibri"/>
                <w:szCs w:val="18"/>
              </w:rPr>
            </w:pPr>
            <w:r w:rsidRPr="00BD16B4">
              <w:rPr>
                <w:rFonts w:cs="Calibri"/>
                <w:szCs w:val="18"/>
              </w:rPr>
              <w:t>30,549.36</w:t>
            </w:r>
          </w:p>
        </w:tc>
      </w:tr>
      <w:tr w:rsidR="008E7C93" w:rsidRPr="00BD16B4" w14:paraId="6EAA9E37" w14:textId="77777777" w:rsidTr="00D462E8">
        <w:tc>
          <w:tcPr>
            <w:tcW w:w="3397" w:type="dxa"/>
          </w:tcPr>
          <w:p w14:paraId="74BC9A48" w14:textId="77777777" w:rsidR="00ED2EBD" w:rsidRPr="00BD16B4" w:rsidRDefault="00ED2EBD" w:rsidP="004A205F">
            <w:pPr>
              <w:pStyle w:val="TableText"/>
              <w:spacing w:before="40" w:after="40"/>
              <w:rPr>
                <w:rFonts w:cs="Calibri"/>
                <w:szCs w:val="18"/>
              </w:rPr>
            </w:pPr>
            <w:r w:rsidRPr="00BD16B4">
              <w:rPr>
                <w:rFonts w:cs="Calibri"/>
                <w:szCs w:val="18"/>
              </w:rPr>
              <w:t>A. Fuel combustion (sectoral approach)</w:t>
            </w:r>
          </w:p>
        </w:tc>
        <w:tc>
          <w:tcPr>
            <w:tcW w:w="964" w:type="dxa"/>
          </w:tcPr>
          <w:p w14:paraId="0277AA9B" w14:textId="77777777" w:rsidR="00ED2EBD" w:rsidRPr="00BD16B4" w:rsidRDefault="00ED2EBD" w:rsidP="004A205F">
            <w:pPr>
              <w:pStyle w:val="TableText"/>
              <w:spacing w:before="40" w:after="40"/>
              <w:jc w:val="right"/>
              <w:rPr>
                <w:rFonts w:cs="Calibri"/>
                <w:szCs w:val="18"/>
              </w:rPr>
            </w:pPr>
            <w:r w:rsidRPr="00BD16B4">
              <w:rPr>
                <w:rFonts w:cs="Calibri"/>
                <w:szCs w:val="18"/>
              </w:rPr>
              <w:t>28,913.87</w:t>
            </w:r>
          </w:p>
        </w:tc>
        <w:tc>
          <w:tcPr>
            <w:tcW w:w="964" w:type="dxa"/>
          </w:tcPr>
          <w:p w14:paraId="43D8A5E5" w14:textId="77777777" w:rsidR="00ED2EBD" w:rsidRPr="00BD16B4" w:rsidRDefault="00ED2EBD" w:rsidP="004A205F">
            <w:pPr>
              <w:pStyle w:val="TableText"/>
              <w:spacing w:before="40" w:after="40"/>
              <w:jc w:val="right"/>
              <w:rPr>
                <w:rFonts w:cs="Calibri"/>
                <w:szCs w:val="18"/>
              </w:rPr>
            </w:pPr>
            <w:r w:rsidRPr="00BD16B4">
              <w:rPr>
                <w:rFonts w:cs="Calibri"/>
                <w:szCs w:val="18"/>
              </w:rPr>
              <w:t>28,383.95</w:t>
            </w:r>
          </w:p>
        </w:tc>
        <w:tc>
          <w:tcPr>
            <w:tcW w:w="964" w:type="dxa"/>
          </w:tcPr>
          <w:p w14:paraId="696114C3" w14:textId="77777777" w:rsidR="00ED2EBD" w:rsidRPr="00BD16B4" w:rsidRDefault="00ED2EBD" w:rsidP="004A205F">
            <w:pPr>
              <w:pStyle w:val="TableText"/>
              <w:spacing w:before="40" w:after="40"/>
              <w:jc w:val="right"/>
              <w:rPr>
                <w:rFonts w:cs="Calibri"/>
                <w:szCs w:val="18"/>
              </w:rPr>
            </w:pPr>
            <w:r w:rsidRPr="00BD16B4">
              <w:rPr>
                <w:rFonts w:cs="Calibri"/>
                <w:szCs w:val="18"/>
              </w:rPr>
              <w:t>30,246.58</w:t>
            </w:r>
          </w:p>
        </w:tc>
        <w:tc>
          <w:tcPr>
            <w:tcW w:w="964" w:type="dxa"/>
          </w:tcPr>
          <w:p w14:paraId="4C667420" w14:textId="77777777" w:rsidR="00ED2EBD" w:rsidRPr="00BD16B4" w:rsidRDefault="00ED2EBD" w:rsidP="004A205F">
            <w:pPr>
              <w:pStyle w:val="TableText"/>
              <w:spacing w:before="40" w:after="40"/>
              <w:jc w:val="right"/>
              <w:rPr>
                <w:rFonts w:cs="Calibri"/>
                <w:szCs w:val="18"/>
              </w:rPr>
            </w:pPr>
            <w:r w:rsidRPr="00BD16B4">
              <w:rPr>
                <w:rFonts w:cs="Calibri"/>
                <w:szCs w:val="18"/>
              </w:rPr>
              <w:t>29,758.62</w:t>
            </w:r>
          </w:p>
        </w:tc>
        <w:tc>
          <w:tcPr>
            <w:tcW w:w="964" w:type="dxa"/>
          </w:tcPr>
          <w:p w14:paraId="1181D010" w14:textId="77777777" w:rsidR="00ED2EBD" w:rsidRPr="00BD16B4" w:rsidRDefault="00ED2EBD" w:rsidP="004A205F">
            <w:pPr>
              <w:pStyle w:val="TableText"/>
              <w:spacing w:before="40" w:after="40"/>
              <w:jc w:val="right"/>
              <w:rPr>
                <w:rFonts w:cs="Calibri"/>
                <w:szCs w:val="18"/>
              </w:rPr>
            </w:pPr>
            <w:r w:rsidRPr="00BD16B4">
              <w:rPr>
                <w:rFonts w:cs="Calibri"/>
                <w:szCs w:val="18"/>
              </w:rPr>
              <w:t>29,714.90</w:t>
            </w:r>
          </w:p>
        </w:tc>
        <w:tc>
          <w:tcPr>
            <w:tcW w:w="964" w:type="dxa"/>
          </w:tcPr>
          <w:p w14:paraId="3C17A086" w14:textId="77777777" w:rsidR="00ED2EBD" w:rsidRPr="00BD16B4" w:rsidRDefault="00ED2EBD" w:rsidP="004A205F">
            <w:pPr>
              <w:pStyle w:val="TableText"/>
              <w:spacing w:before="40" w:after="40"/>
              <w:jc w:val="right"/>
              <w:rPr>
                <w:rFonts w:cs="Calibri"/>
                <w:szCs w:val="18"/>
              </w:rPr>
            </w:pPr>
            <w:r w:rsidRPr="00BD16B4">
              <w:rPr>
                <w:rFonts w:cs="Calibri"/>
                <w:szCs w:val="18"/>
              </w:rPr>
              <w:t>29,803.32</w:t>
            </w:r>
          </w:p>
        </w:tc>
        <w:tc>
          <w:tcPr>
            <w:tcW w:w="964" w:type="dxa"/>
          </w:tcPr>
          <w:p w14:paraId="7175FCAF" w14:textId="77777777" w:rsidR="00ED2EBD" w:rsidRPr="00BD16B4" w:rsidRDefault="00ED2EBD" w:rsidP="004A205F">
            <w:pPr>
              <w:pStyle w:val="TableText"/>
              <w:spacing w:before="40" w:after="40"/>
              <w:jc w:val="right"/>
              <w:rPr>
                <w:rFonts w:cs="Calibri"/>
                <w:szCs w:val="18"/>
              </w:rPr>
            </w:pPr>
            <w:r w:rsidRPr="00BD16B4">
              <w:rPr>
                <w:rFonts w:cs="Calibri"/>
                <w:szCs w:val="18"/>
              </w:rPr>
              <w:t>28,686.14</w:t>
            </w:r>
          </w:p>
        </w:tc>
        <w:tc>
          <w:tcPr>
            <w:tcW w:w="964" w:type="dxa"/>
          </w:tcPr>
          <w:p w14:paraId="566BB4C4" w14:textId="77777777" w:rsidR="00ED2EBD" w:rsidRPr="00BD16B4" w:rsidRDefault="00ED2EBD" w:rsidP="004A205F">
            <w:pPr>
              <w:pStyle w:val="TableText"/>
              <w:spacing w:before="40" w:after="40"/>
              <w:jc w:val="right"/>
              <w:rPr>
                <w:rFonts w:cs="Calibri"/>
                <w:szCs w:val="18"/>
              </w:rPr>
            </w:pPr>
            <w:r w:rsidRPr="00BD16B4">
              <w:rPr>
                <w:rFonts w:cs="Calibri"/>
                <w:szCs w:val="18"/>
              </w:rPr>
              <w:t>30,321.02</w:t>
            </w:r>
          </w:p>
        </w:tc>
        <w:tc>
          <w:tcPr>
            <w:tcW w:w="964" w:type="dxa"/>
          </w:tcPr>
          <w:p w14:paraId="7D02B252" w14:textId="77777777" w:rsidR="00ED2EBD" w:rsidRPr="00BD16B4" w:rsidRDefault="00ED2EBD" w:rsidP="004A205F">
            <w:pPr>
              <w:pStyle w:val="TableText"/>
              <w:spacing w:before="40" w:after="40"/>
              <w:jc w:val="right"/>
              <w:rPr>
                <w:rFonts w:cs="Calibri"/>
                <w:szCs w:val="18"/>
              </w:rPr>
            </w:pPr>
            <w:r w:rsidRPr="00BD16B4">
              <w:rPr>
                <w:rFonts w:cs="Calibri"/>
                <w:szCs w:val="18"/>
              </w:rPr>
              <w:t>30,516.48</w:t>
            </w:r>
          </w:p>
        </w:tc>
        <w:tc>
          <w:tcPr>
            <w:tcW w:w="964" w:type="dxa"/>
          </w:tcPr>
          <w:p w14:paraId="6B7FDBF0" w14:textId="77777777" w:rsidR="00ED2EBD" w:rsidRPr="00BD16B4" w:rsidRDefault="00ED2EBD" w:rsidP="004A205F">
            <w:pPr>
              <w:pStyle w:val="TableText"/>
              <w:spacing w:before="40" w:after="40"/>
              <w:jc w:val="right"/>
              <w:rPr>
                <w:rFonts w:cs="Calibri"/>
                <w:szCs w:val="18"/>
              </w:rPr>
            </w:pPr>
            <w:r w:rsidRPr="00BD16B4">
              <w:rPr>
                <w:rFonts w:cs="Calibri"/>
                <w:szCs w:val="18"/>
              </w:rPr>
              <w:t>32,009.30</w:t>
            </w:r>
          </w:p>
        </w:tc>
        <w:tc>
          <w:tcPr>
            <w:tcW w:w="964" w:type="dxa"/>
          </w:tcPr>
          <w:p w14:paraId="2325729C" w14:textId="77777777" w:rsidR="00ED2EBD" w:rsidRPr="00BD16B4" w:rsidRDefault="00ED2EBD" w:rsidP="004A205F">
            <w:pPr>
              <w:pStyle w:val="TableText"/>
              <w:spacing w:before="40" w:after="40"/>
              <w:jc w:val="right"/>
              <w:rPr>
                <w:rFonts w:cs="Calibri"/>
                <w:szCs w:val="18"/>
              </w:rPr>
            </w:pPr>
            <w:r w:rsidRPr="00BD16B4">
              <w:rPr>
                <w:rFonts w:cs="Calibri"/>
                <w:szCs w:val="18"/>
              </w:rPr>
              <w:t>29,768.63</w:t>
            </w:r>
          </w:p>
        </w:tc>
      </w:tr>
      <w:tr w:rsidR="008E7C93" w:rsidRPr="00BD16B4" w14:paraId="509F2C0E" w14:textId="77777777" w:rsidTr="00D462E8">
        <w:tc>
          <w:tcPr>
            <w:tcW w:w="3397" w:type="dxa"/>
          </w:tcPr>
          <w:p w14:paraId="22849221" w14:textId="22220A4E" w:rsidR="00ED2EBD" w:rsidRPr="00BD16B4" w:rsidRDefault="00ED2EBD" w:rsidP="004A205F">
            <w:pPr>
              <w:pStyle w:val="TableText"/>
              <w:spacing w:before="40" w:after="40"/>
              <w:ind w:left="454" w:hanging="227"/>
              <w:rPr>
                <w:rFonts w:cs="Calibri"/>
                <w:szCs w:val="18"/>
              </w:rPr>
            </w:pPr>
            <w:r w:rsidRPr="00BD16B4">
              <w:rPr>
                <w:rFonts w:cs="Calibri"/>
                <w:szCs w:val="18"/>
              </w:rPr>
              <w:t>1.</w:t>
            </w:r>
            <w:r w:rsidR="00280979" w:rsidRPr="00BD16B4">
              <w:rPr>
                <w:rFonts w:cs="Calibri"/>
                <w:szCs w:val="18"/>
              </w:rPr>
              <w:t xml:space="preserve"> </w:t>
            </w:r>
            <w:r w:rsidR="004E23AF" w:rsidRPr="00BD16B4">
              <w:rPr>
                <w:rFonts w:cs="Calibri"/>
                <w:szCs w:val="18"/>
              </w:rPr>
              <w:tab/>
            </w:r>
            <w:r w:rsidRPr="00BD16B4">
              <w:rPr>
                <w:rFonts w:cs="Calibri"/>
                <w:szCs w:val="18"/>
              </w:rPr>
              <w:t>Energy industries</w:t>
            </w:r>
          </w:p>
        </w:tc>
        <w:tc>
          <w:tcPr>
            <w:tcW w:w="964" w:type="dxa"/>
          </w:tcPr>
          <w:p w14:paraId="52E6B010" w14:textId="77777777" w:rsidR="00ED2EBD" w:rsidRPr="00BD16B4" w:rsidRDefault="00ED2EBD" w:rsidP="004A205F">
            <w:pPr>
              <w:pStyle w:val="TableText"/>
              <w:spacing w:before="40" w:after="40"/>
              <w:jc w:val="right"/>
              <w:rPr>
                <w:rFonts w:cs="Calibri"/>
                <w:szCs w:val="18"/>
              </w:rPr>
            </w:pPr>
            <w:r w:rsidRPr="00BD16B4">
              <w:rPr>
                <w:rFonts w:cs="Calibri"/>
                <w:szCs w:val="18"/>
              </w:rPr>
              <w:t>6,693.13</w:t>
            </w:r>
          </w:p>
        </w:tc>
        <w:tc>
          <w:tcPr>
            <w:tcW w:w="964" w:type="dxa"/>
          </w:tcPr>
          <w:p w14:paraId="76FD38DD" w14:textId="77777777" w:rsidR="00ED2EBD" w:rsidRPr="00BD16B4" w:rsidRDefault="00ED2EBD" w:rsidP="004A205F">
            <w:pPr>
              <w:pStyle w:val="TableText"/>
              <w:spacing w:before="40" w:after="40"/>
              <w:jc w:val="right"/>
              <w:rPr>
                <w:rFonts w:cs="Calibri"/>
                <w:szCs w:val="18"/>
              </w:rPr>
            </w:pPr>
            <w:r w:rsidRPr="00BD16B4">
              <w:rPr>
                <w:rFonts w:cs="Calibri"/>
                <w:szCs w:val="18"/>
              </w:rPr>
              <w:t>6,271.34</w:t>
            </w:r>
          </w:p>
        </w:tc>
        <w:tc>
          <w:tcPr>
            <w:tcW w:w="964" w:type="dxa"/>
          </w:tcPr>
          <w:p w14:paraId="6B7B7B6E" w14:textId="77777777" w:rsidR="00ED2EBD" w:rsidRPr="00BD16B4" w:rsidRDefault="00ED2EBD" w:rsidP="004A205F">
            <w:pPr>
              <w:pStyle w:val="TableText"/>
              <w:spacing w:before="40" w:after="40"/>
              <w:jc w:val="right"/>
              <w:rPr>
                <w:rFonts w:cs="Calibri"/>
                <w:szCs w:val="18"/>
              </w:rPr>
            </w:pPr>
            <w:r w:rsidRPr="00BD16B4">
              <w:rPr>
                <w:rFonts w:cs="Calibri"/>
                <w:szCs w:val="18"/>
              </w:rPr>
              <w:t>7,725.32</w:t>
            </w:r>
          </w:p>
        </w:tc>
        <w:tc>
          <w:tcPr>
            <w:tcW w:w="964" w:type="dxa"/>
          </w:tcPr>
          <w:p w14:paraId="7B3B229E" w14:textId="77777777" w:rsidR="00ED2EBD" w:rsidRPr="00BD16B4" w:rsidRDefault="00ED2EBD" w:rsidP="004A205F">
            <w:pPr>
              <w:pStyle w:val="TableText"/>
              <w:spacing w:before="40" w:after="40"/>
              <w:jc w:val="right"/>
              <w:rPr>
                <w:rFonts w:cs="Calibri"/>
                <w:szCs w:val="18"/>
              </w:rPr>
            </w:pPr>
            <w:r w:rsidRPr="00BD16B4">
              <w:rPr>
                <w:rFonts w:cs="Calibri"/>
                <w:szCs w:val="18"/>
              </w:rPr>
              <w:t>6,412.07</w:t>
            </w:r>
          </w:p>
        </w:tc>
        <w:tc>
          <w:tcPr>
            <w:tcW w:w="964" w:type="dxa"/>
          </w:tcPr>
          <w:p w14:paraId="26AC0AC0" w14:textId="77777777" w:rsidR="00ED2EBD" w:rsidRPr="00BD16B4" w:rsidRDefault="00ED2EBD" w:rsidP="004A205F">
            <w:pPr>
              <w:pStyle w:val="TableText"/>
              <w:spacing w:before="40" w:after="40"/>
              <w:jc w:val="right"/>
              <w:rPr>
                <w:rFonts w:cs="Calibri"/>
                <w:szCs w:val="18"/>
              </w:rPr>
            </w:pPr>
            <w:r w:rsidRPr="00BD16B4">
              <w:rPr>
                <w:rFonts w:cs="Calibri"/>
                <w:szCs w:val="18"/>
              </w:rPr>
              <w:t>5,474.20</w:t>
            </w:r>
          </w:p>
        </w:tc>
        <w:tc>
          <w:tcPr>
            <w:tcW w:w="964" w:type="dxa"/>
          </w:tcPr>
          <w:p w14:paraId="31252B43" w14:textId="77777777" w:rsidR="00ED2EBD" w:rsidRPr="00BD16B4" w:rsidRDefault="00ED2EBD" w:rsidP="004A205F">
            <w:pPr>
              <w:pStyle w:val="TableText"/>
              <w:spacing w:before="40" w:after="40"/>
              <w:jc w:val="right"/>
              <w:rPr>
                <w:rFonts w:cs="Calibri"/>
                <w:szCs w:val="18"/>
              </w:rPr>
            </w:pPr>
            <w:r w:rsidRPr="00BD16B4">
              <w:rPr>
                <w:rFonts w:cs="Calibri"/>
                <w:szCs w:val="18"/>
              </w:rPr>
              <w:t>5,289.75</w:t>
            </w:r>
          </w:p>
        </w:tc>
        <w:tc>
          <w:tcPr>
            <w:tcW w:w="964" w:type="dxa"/>
          </w:tcPr>
          <w:p w14:paraId="79F97610" w14:textId="77777777" w:rsidR="00ED2EBD" w:rsidRPr="00BD16B4" w:rsidRDefault="00ED2EBD" w:rsidP="004A205F">
            <w:pPr>
              <w:pStyle w:val="TableText"/>
              <w:spacing w:before="40" w:after="40"/>
              <w:jc w:val="right"/>
              <w:rPr>
                <w:rFonts w:cs="Calibri"/>
                <w:szCs w:val="18"/>
              </w:rPr>
            </w:pPr>
            <w:r w:rsidRPr="00BD16B4">
              <w:rPr>
                <w:rFonts w:cs="Calibri"/>
                <w:szCs w:val="18"/>
              </w:rPr>
              <w:t>4,192.90</w:t>
            </w:r>
          </w:p>
        </w:tc>
        <w:tc>
          <w:tcPr>
            <w:tcW w:w="964" w:type="dxa"/>
          </w:tcPr>
          <w:p w14:paraId="72334403" w14:textId="77777777" w:rsidR="00ED2EBD" w:rsidRPr="00BD16B4" w:rsidRDefault="00ED2EBD" w:rsidP="004A205F">
            <w:pPr>
              <w:pStyle w:val="TableText"/>
              <w:spacing w:before="40" w:after="40"/>
              <w:jc w:val="right"/>
              <w:rPr>
                <w:rFonts w:cs="Calibri"/>
                <w:szCs w:val="18"/>
              </w:rPr>
            </w:pPr>
            <w:r w:rsidRPr="00BD16B4">
              <w:rPr>
                <w:rFonts w:cs="Calibri"/>
                <w:szCs w:val="18"/>
              </w:rPr>
              <w:t>4,780.07</w:t>
            </w:r>
          </w:p>
        </w:tc>
        <w:tc>
          <w:tcPr>
            <w:tcW w:w="964" w:type="dxa"/>
          </w:tcPr>
          <w:p w14:paraId="33C51F33" w14:textId="77777777" w:rsidR="00ED2EBD" w:rsidRPr="00BD16B4" w:rsidRDefault="00ED2EBD" w:rsidP="004A205F">
            <w:pPr>
              <w:pStyle w:val="TableText"/>
              <w:spacing w:before="40" w:after="40"/>
              <w:jc w:val="right"/>
              <w:rPr>
                <w:rFonts w:cs="Calibri"/>
                <w:szCs w:val="18"/>
              </w:rPr>
            </w:pPr>
            <w:r w:rsidRPr="00BD16B4">
              <w:rPr>
                <w:rFonts w:cs="Calibri"/>
                <w:szCs w:val="18"/>
              </w:rPr>
              <w:t>4,644.22</w:t>
            </w:r>
          </w:p>
        </w:tc>
        <w:tc>
          <w:tcPr>
            <w:tcW w:w="964" w:type="dxa"/>
          </w:tcPr>
          <w:p w14:paraId="2C4AC7F6" w14:textId="77777777" w:rsidR="00ED2EBD" w:rsidRPr="00BD16B4" w:rsidRDefault="00ED2EBD" w:rsidP="004A205F">
            <w:pPr>
              <w:pStyle w:val="TableText"/>
              <w:spacing w:before="40" w:after="40"/>
              <w:jc w:val="right"/>
              <w:rPr>
                <w:rFonts w:cs="Calibri"/>
                <w:szCs w:val="18"/>
              </w:rPr>
            </w:pPr>
            <w:r w:rsidRPr="00BD16B4">
              <w:rPr>
                <w:rFonts w:cs="Calibri"/>
                <w:szCs w:val="18"/>
              </w:rPr>
              <w:t>5,437.40</w:t>
            </w:r>
          </w:p>
        </w:tc>
        <w:tc>
          <w:tcPr>
            <w:tcW w:w="964" w:type="dxa"/>
          </w:tcPr>
          <w:p w14:paraId="4BE5F970" w14:textId="77777777" w:rsidR="00ED2EBD" w:rsidRPr="00BD16B4" w:rsidRDefault="00ED2EBD" w:rsidP="004A205F">
            <w:pPr>
              <w:pStyle w:val="TableText"/>
              <w:spacing w:before="40" w:after="40"/>
              <w:jc w:val="right"/>
              <w:rPr>
                <w:rFonts w:cs="Calibri"/>
                <w:szCs w:val="18"/>
              </w:rPr>
            </w:pPr>
            <w:r w:rsidRPr="00BD16B4">
              <w:rPr>
                <w:rFonts w:cs="Calibri"/>
                <w:szCs w:val="18"/>
              </w:rPr>
              <w:t>5,561.66</w:t>
            </w:r>
          </w:p>
        </w:tc>
      </w:tr>
      <w:tr w:rsidR="008E7C93" w:rsidRPr="00BD16B4" w14:paraId="3AC711DF" w14:textId="77777777" w:rsidTr="00D462E8">
        <w:tc>
          <w:tcPr>
            <w:tcW w:w="3397" w:type="dxa"/>
          </w:tcPr>
          <w:p w14:paraId="056A0449" w14:textId="0EF21BC5" w:rsidR="00ED2EBD" w:rsidRPr="00BD16B4" w:rsidRDefault="00ED2EBD" w:rsidP="004A205F">
            <w:pPr>
              <w:pStyle w:val="TableText"/>
              <w:spacing w:before="40" w:after="40"/>
              <w:ind w:left="454" w:hanging="227"/>
              <w:rPr>
                <w:rFonts w:cs="Calibri"/>
                <w:szCs w:val="18"/>
              </w:rPr>
            </w:pPr>
            <w:r w:rsidRPr="00BD16B4">
              <w:rPr>
                <w:rFonts w:cs="Calibri"/>
                <w:szCs w:val="18"/>
              </w:rPr>
              <w:t>2.</w:t>
            </w:r>
            <w:r w:rsidR="00280979" w:rsidRPr="00BD16B4">
              <w:rPr>
                <w:rFonts w:cs="Calibri"/>
                <w:szCs w:val="18"/>
              </w:rPr>
              <w:t xml:space="preserve"> </w:t>
            </w:r>
            <w:r w:rsidR="004E23AF" w:rsidRPr="00BD16B4">
              <w:rPr>
                <w:rFonts w:cs="Calibri"/>
                <w:szCs w:val="18"/>
              </w:rPr>
              <w:tab/>
            </w:r>
            <w:r w:rsidRPr="00BD16B4">
              <w:rPr>
                <w:rFonts w:cs="Calibri"/>
                <w:szCs w:val="18"/>
              </w:rPr>
              <w:t>Manufacturing industries and construction</w:t>
            </w:r>
          </w:p>
        </w:tc>
        <w:tc>
          <w:tcPr>
            <w:tcW w:w="964" w:type="dxa"/>
          </w:tcPr>
          <w:p w14:paraId="4F3306E9" w14:textId="77777777" w:rsidR="00ED2EBD" w:rsidRPr="00BD16B4" w:rsidRDefault="00ED2EBD" w:rsidP="004A205F">
            <w:pPr>
              <w:pStyle w:val="TableText"/>
              <w:spacing w:before="40" w:after="40"/>
              <w:jc w:val="right"/>
              <w:rPr>
                <w:rFonts w:cs="Calibri"/>
                <w:szCs w:val="18"/>
              </w:rPr>
            </w:pPr>
            <w:r w:rsidRPr="00BD16B4">
              <w:rPr>
                <w:rFonts w:cs="Calibri"/>
                <w:szCs w:val="18"/>
              </w:rPr>
              <w:t>5,420.40</w:t>
            </w:r>
          </w:p>
        </w:tc>
        <w:tc>
          <w:tcPr>
            <w:tcW w:w="964" w:type="dxa"/>
          </w:tcPr>
          <w:p w14:paraId="739D00CB" w14:textId="77777777" w:rsidR="00ED2EBD" w:rsidRPr="00BD16B4" w:rsidRDefault="00ED2EBD" w:rsidP="004A205F">
            <w:pPr>
              <w:pStyle w:val="TableText"/>
              <w:spacing w:before="40" w:after="40"/>
              <w:jc w:val="right"/>
              <w:rPr>
                <w:rFonts w:cs="Calibri"/>
                <w:szCs w:val="18"/>
              </w:rPr>
            </w:pPr>
            <w:r w:rsidRPr="00BD16B4">
              <w:rPr>
                <w:rFonts w:cs="Calibri"/>
                <w:szCs w:val="18"/>
              </w:rPr>
              <w:t>5,209.58</w:t>
            </w:r>
          </w:p>
        </w:tc>
        <w:tc>
          <w:tcPr>
            <w:tcW w:w="964" w:type="dxa"/>
          </w:tcPr>
          <w:p w14:paraId="69345804" w14:textId="77777777" w:rsidR="00ED2EBD" w:rsidRPr="00BD16B4" w:rsidRDefault="00ED2EBD" w:rsidP="004A205F">
            <w:pPr>
              <w:pStyle w:val="TableText"/>
              <w:spacing w:before="40" w:after="40"/>
              <w:jc w:val="right"/>
              <w:rPr>
                <w:rFonts w:cs="Calibri"/>
                <w:szCs w:val="18"/>
              </w:rPr>
            </w:pPr>
            <w:r w:rsidRPr="00BD16B4">
              <w:rPr>
                <w:rFonts w:cs="Calibri"/>
                <w:szCs w:val="18"/>
              </w:rPr>
              <w:t>5,604.21</w:t>
            </w:r>
          </w:p>
        </w:tc>
        <w:tc>
          <w:tcPr>
            <w:tcW w:w="964" w:type="dxa"/>
          </w:tcPr>
          <w:p w14:paraId="18217D6D" w14:textId="77777777" w:rsidR="00ED2EBD" w:rsidRPr="00BD16B4" w:rsidRDefault="00ED2EBD" w:rsidP="004A205F">
            <w:pPr>
              <w:pStyle w:val="TableText"/>
              <w:spacing w:before="40" w:after="40"/>
              <w:jc w:val="right"/>
              <w:rPr>
                <w:rFonts w:cs="Calibri"/>
                <w:szCs w:val="18"/>
              </w:rPr>
            </w:pPr>
            <w:r w:rsidRPr="00BD16B4">
              <w:rPr>
                <w:rFonts w:cs="Calibri"/>
                <w:szCs w:val="18"/>
              </w:rPr>
              <w:t>6,268.62</w:t>
            </w:r>
          </w:p>
        </w:tc>
        <w:tc>
          <w:tcPr>
            <w:tcW w:w="964" w:type="dxa"/>
          </w:tcPr>
          <w:p w14:paraId="57D58E9F" w14:textId="77777777" w:rsidR="00ED2EBD" w:rsidRPr="00BD16B4" w:rsidRDefault="00ED2EBD" w:rsidP="004A205F">
            <w:pPr>
              <w:pStyle w:val="TableText"/>
              <w:spacing w:before="40" w:after="40"/>
              <w:jc w:val="right"/>
              <w:rPr>
                <w:rFonts w:cs="Calibri"/>
                <w:szCs w:val="18"/>
              </w:rPr>
            </w:pPr>
            <w:r w:rsidRPr="00BD16B4">
              <w:rPr>
                <w:rFonts w:cs="Calibri"/>
                <w:szCs w:val="18"/>
              </w:rPr>
              <w:t>6,970.91</w:t>
            </w:r>
          </w:p>
        </w:tc>
        <w:tc>
          <w:tcPr>
            <w:tcW w:w="964" w:type="dxa"/>
          </w:tcPr>
          <w:p w14:paraId="36CD434D" w14:textId="77777777" w:rsidR="00ED2EBD" w:rsidRPr="00BD16B4" w:rsidRDefault="00ED2EBD" w:rsidP="004A205F">
            <w:pPr>
              <w:pStyle w:val="TableText"/>
              <w:spacing w:before="40" w:after="40"/>
              <w:jc w:val="right"/>
              <w:rPr>
                <w:rFonts w:cs="Calibri"/>
                <w:szCs w:val="18"/>
              </w:rPr>
            </w:pPr>
            <w:r w:rsidRPr="00BD16B4">
              <w:rPr>
                <w:rFonts w:cs="Calibri"/>
                <w:szCs w:val="18"/>
              </w:rPr>
              <w:t>6,729.44</w:t>
            </w:r>
          </w:p>
        </w:tc>
        <w:tc>
          <w:tcPr>
            <w:tcW w:w="964" w:type="dxa"/>
          </w:tcPr>
          <w:p w14:paraId="7B9BBD22" w14:textId="77777777" w:rsidR="00ED2EBD" w:rsidRPr="00BD16B4" w:rsidRDefault="00ED2EBD" w:rsidP="004A205F">
            <w:pPr>
              <w:pStyle w:val="TableText"/>
              <w:spacing w:before="40" w:after="40"/>
              <w:jc w:val="right"/>
              <w:rPr>
                <w:rFonts w:cs="Calibri"/>
                <w:szCs w:val="18"/>
              </w:rPr>
            </w:pPr>
            <w:r w:rsidRPr="00BD16B4">
              <w:rPr>
                <w:rFonts w:cs="Calibri"/>
                <w:szCs w:val="18"/>
              </w:rPr>
              <w:t>6,730.58</w:t>
            </w:r>
          </w:p>
        </w:tc>
        <w:tc>
          <w:tcPr>
            <w:tcW w:w="964" w:type="dxa"/>
          </w:tcPr>
          <w:p w14:paraId="20B3AB3A" w14:textId="77777777" w:rsidR="00ED2EBD" w:rsidRPr="00BD16B4" w:rsidRDefault="00ED2EBD" w:rsidP="004A205F">
            <w:pPr>
              <w:pStyle w:val="TableText"/>
              <w:spacing w:before="40" w:after="40"/>
              <w:jc w:val="right"/>
              <w:rPr>
                <w:rFonts w:cs="Calibri"/>
                <w:szCs w:val="18"/>
              </w:rPr>
            </w:pPr>
            <w:r w:rsidRPr="00BD16B4">
              <w:rPr>
                <w:rFonts w:cs="Calibri"/>
                <w:szCs w:val="18"/>
              </w:rPr>
              <w:t>6,774.10</w:t>
            </w:r>
          </w:p>
        </w:tc>
        <w:tc>
          <w:tcPr>
            <w:tcW w:w="964" w:type="dxa"/>
          </w:tcPr>
          <w:p w14:paraId="27BC9CE0" w14:textId="77777777" w:rsidR="00ED2EBD" w:rsidRPr="00BD16B4" w:rsidRDefault="00ED2EBD" w:rsidP="004A205F">
            <w:pPr>
              <w:pStyle w:val="TableText"/>
              <w:spacing w:before="40" w:after="40"/>
              <w:jc w:val="right"/>
              <w:rPr>
                <w:rFonts w:cs="Calibri"/>
                <w:szCs w:val="18"/>
              </w:rPr>
            </w:pPr>
            <w:r w:rsidRPr="00BD16B4">
              <w:rPr>
                <w:rFonts w:cs="Calibri"/>
                <w:szCs w:val="18"/>
              </w:rPr>
              <w:t>6,819.92</w:t>
            </w:r>
          </w:p>
        </w:tc>
        <w:tc>
          <w:tcPr>
            <w:tcW w:w="964" w:type="dxa"/>
          </w:tcPr>
          <w:p w14:paraId="09DAF7D3" w14:textId="77777777" w:rsidR="00ED2EBD" w:rsidRPr="00BD16B4" w:rsidRDefault="00ED2EBD" w:rsidP="004A205F">
            <w:pPr>
              <w:pStyle w:val="TableText"/>
              <w:spacing w:before="40" w:after="40"/>
              <w:jc w:val="right"/>
              <w:rPr>
                <w:rFonts w:cs="Calibri"/>
                <w:szCs w:val="18"/>
              </w:rPr>
            </w:pPr>
            <w:r w:rsidRPr="00BD16B4">
              <w:rPr>
                <w:rFonts w:cs="Calibri"/>
                <w:szCs w:val="18"/>
              </w:rPr>
              <w:t>7,432.13</w:t>
            </w:r>
          </w:p>
        </w:tc>
        <w:tc>
          <w:tcPr>
            <w:tcW w:w="964" w:type="dxa"/>
          </w:tcPr>
          <w:p w14:paraId="306200D7" w14:textId="77777777" w:rsidR="00ED2EBD" w:rsidRPr="00BD16B4" w:rsidRDefault="00ED2EBD" w:rsidP="004A205F">
            <w:pPr>
              <w:pStyle w:val="TableText"/>
              <w:spacing w:before="40" w:after="40"/>
              <w:jc w:val="right"/>
              <w:rPr>
                <w:rFonts w:cs="Calibri"/>
                <w:szCs w:val="18"/>
              </w:rPr>
            </w:pPr>
            <w:r w:rsidRPr="00BD16B4">
              <w:rPr>
                <w:rFonts w:cs="Calibri"/>
                <w:szCs w:val="18"/>
              </w:rPr>
              <w:t>6,595.24</w:t>
            </w:r>
          </w:p>
        </w:tc>
      </w:tr>
      <w:tr w:rsidR="008E7C93" w:rsidRPr="00BD16B4" w14:paraId="14281312" w14:textId="77777777" w:rsidTr="00D462E8">
        <w:tc>
          <w:tcPr>
            <w:tcW w:w="3397" w:type="dxa"/>
          </w:tcPr>
          <w:p w14:paraId="020562B8" w14:textId="79200857" w:rsidR="00ED2EBD" w:rsidRPr="00BD16B4" w:rsidRDefault="00ED2EBD" w:rsidP="004A205F">
            <w:pPr>
              <w:pStyle w:val="TableText"/>
              <w:spacing w:before="40" w:after="40"/>
              <w:ind w:left="454" w:hanging="227"/>
              <w:rPr>
                <w:rFonts w:cs="Calibri"/>
                <w:szCs w:val="18"/>
              </w:rPr>
            </w:pPr>
            <w:r w:rsidRPr="00BD16B4">
              <w:rPr>
                <w:rFonts w:cs="Calibri"/>
                <w:szCs w:val="18"/>
              </w:rPr>
              <w:t>3.</w:t>
            </w:r>
            <w:r w:rsidR="00280979" w:rsidRPr="00BD16B4">
              <w:rPr>
                <w:rFonts w:cs="Calibri"/>
                <w:szCs w:val="18"/>
              </w:rPr>
              <w:t xml:space="preserve"> </w:t>
            </w:r>
            <w:r w:rsidR="004E23AF" w:rsidRPr="00BD16B4">
              <w:rPr>
                <w:rFonts w:cs="Calibri"/>
                <w:szCs w:val="18"/>
              </w:rPr>
              <w:tab/>
            </w:r>
            <w:r w:rsidRPr="00BD16B4">
              <w:rPr>
                <w:rFonts w:cs="Calibri"/>
                <w:szCs w:val="18"/>
              </w:rPr>
              <w:t>Transport</w:t>
            </w:r>
          </w:p>
        </w:tc>
        <w:tc>
          <w:tcPr>
            <w:tcW w:w="964" w:type="dxa"/>
          </w:tcPr>
          <w:p w14:paraId="23A8E3FE" w14:textId="77777777" w:rsidR="00ED2EBD" w:rsidRPr="00BD16B4" w:rsidRDefault="00ED2EBD" w:rsidP="004A205F">
            <w:pPr>
              <w:pStyle w:val="TableText"/>
              <w:spacing w:before="40" w:after="40"/>
              <w:jc w:val="right"/>
              <w:rPr>
                <w:rFonts w:cs="Calibri"/>
                <w:szCs w:val="18"/>
              </w:rPr>
            </w:pPr>
            <w:r w:rsidRPr="00BD16B4">
              <w:rPr>
                <w:rFonts w:cs="Calibri"/>
                <w:szCs w:val="18"/>
              </w:rPr>
              <w:t>13,145.47</w:t>
            </w:r>
          </w:p>
        </w:tc>
        <w:tc>
          <w:tcPr>
            <w:tcW w:w="964" w:type="dxa"/>
          </w:tcPr>
          <w:p w14:paraId="213F5521" w14:textId="77777777" w:rsidR="00ED2EBD" w:rsidRPr="00BD16B4" w:rsidRDefault="00ED2EBD" w:rsidP="004A205F">
            <w:pPr>
              <w:pStyle w:val="TableText"/>
              <w:spacing w:before="40" w:after="40"/>
              <w:jc w:val="right"/>
              <w:rPr>
                <w:rFonts w:cs="Calibri"/>
                <w:szCs w:val="18"/>
              </w:rPr>
            </w:pPr>
            <w:r w:rsidRPr="00BD16B4">
              <w:rPr>
                <w:rFonts w:cs="Calibri"/>
                <w:szCs w:val="18"/>
              </w:rPr>
              <w:t>13,137.15</w:t>
            </w:r>
          </w:p>
        </w:tc>
        <w:tc>
          <w:tcPr>
            <w:tcW w:w="964" w:type="dxa"/>
          </w:tcPr>
          <w:p w14:paraId="15B192E8" w14:textId="77777777" w:rsidR="00ED2EBD" w:rsidRPr="00BD16B4" w:rsidRDefault="00ED2EBD" w:rsidP="004A205F">
            <w:pPr>
              <w:pStyle w:val="TableText"/>
              <w:spacing w:before="40" w:after="40"/>
              <w:jc w:val="right"/>
              <w:rPr>
                <w:rFonts w:cs="Calibri"/>
                <w:szCs w:val="18"/>
              </w:rPr>
            </w:pPr>
            <w:r w:rsidRPr="00BD16B4">
              <w:rPr>
                <w:rFonts w:cs="Calibri"/>
                <w:szCs w:val="18"/>
              </w:rPr>
              <w:t>12,820.73</w:t>
            </w:r>
          </w:p>
        </w:tc>
        <w:tc>
          <w:tcPr>
            <w:tcW w:w="964" w:type="dxa"/>
          </w:tcPr>
          <w:p w14:paraId="585D7F6F" w14:textId="77777777" w:rsidR="00ED2EBD" w:rsidRPr="00BD16B4" w:rsidRDefault="00ED2EBD" w:rsidP="004A205F">
            <w:pPr>
              <w:pStyle w:val="TableText"/>
              <w:spacing w:before="40" w:after="40"/>
              <w:jc w:val="right"/>
              <w:rPr>
                <w:rFonts w:cs="Calibri"/>
                <w:szCs w:val="18"/>
              </w:rPr>
            </w:pPr>
            <w:r w:rsidRPr="00BD16B4">
              <w:rPr>
                <w:rFonts w:cs="Calibri"/>
                <w:szCs w:val="18"/>
              </w:rPr>
              <w:t>12,899.39</w:t>
            </w:r>
          </w:p>
        </w:tc>
        <w:tc>
          <w:tcPr>
            <w:tcW w:w="964" w:type="dxa"/>
          </w:tcPr>
          <w:p w14:paraId="15EEA529" w14:textId="77777777" w:rsidR="00ED2EBD" w:rsidRPr="00BD16B4" w:rsidRDefault="00ED2EBD" w:rsidP="004A205F">
            <w:pPr>
              <w:pStyle w:val="TableText"/>
              <w:spacing w:before="40" w:after="40"/>
              <w:jc w:val="right"/>
              <w:rPr>
                <w:rFonts w:cs="Calibri"/>
                <w:szCs w:val="18"/>
              </w:rPr>
            </w:pPr>
            <w:r w:rsidRPr="00BD16B4">
              <w:rPr>
                <w:rFonts w:cs="Calibri"/>
                <w:szCs w:val="18"/>
              </w:rPr>
              <w:t>13,163.62</w:t>
            </w:r>
          </w:p>
        </w:tc>
        <w:tc>
          <w:tcPr>
            <w:tcW w:w="964" w:type="dxa"/>
          </w:tcPr>
          <w:p w14:paraId="7F42D594" w14:textId="77777777" w:rsidR="00ED2EBD" w:rsidRPr="00BD16B4" w:rsidRDefault="00ED2EBD" w:rsidP="004A205F">
            <w:pPr>
              <w:pStyle w:val="TableText"/>
              <w:spacing w:before="40" w:after="40"/>
              <w:jc w:val="right"/>
              <w:rPr>
                <w:rFonts w:cs="Calibri"/>
                <w:szCs w:val="18"/>
              </w:rPr>
            </w:pPr>
            <w:r w:rsidRPr="00BD16B4">
              <w:rPr>
                <w:rFonts w:cs="Calibri"/>
                <w:szCs w:val="18"/>
              </w:rPr>
              <w:t>13,634.17</w:t>
            </w:r>
          </w:p>
        </w:tc>
        <w:tc>
          <w:tcPr>
            <w:tcW w:w="964" w:type="dxa"/>
          </w:tcPr>
          <w:p w14:paraId="42089E1B" w14:textId="77777777" w:rsidR="00ED2EBD" w:rsidRPr="00BD16B4" w:rsidRDefault="00ED2EBD" w:rsidP="004A205F">
            <w:pPr>
              <w:pStyle w:val="TableText"/>
              <w:spacing w:before="40" w:after="40"/>
              <w:jc w:val="right"/>
              <w:rPr>
                <w:rFonts w:cs="Calibri"/>
                <w:szCs w:val="18"/>
              </w:rPr>
            </w:pPr>
            <w:r w:rsidRPr="00BD16B4">
              <w:rPr>
                <w:rFonts w:cs="Calibri"/>
                <w:szCs w:val="18"/>
              </w:rPr>
              <w:t>13,739.72</w:t>
            </w:r>
          </w:p>
        </w:tc>
        <w:tc>
          <w:tcPr>
            <w:tcW w:w="964" w:type="dxa"/>
          </w:tcPr>
          <w:p w14:paraId="5FA637B7" w14:textId="77777777" w:rsidR="00ED2EBD" w:rsidRPr="00BD16B4" w:rsidRDefault="00ED2EBD" w:rsidP="004A205F">
            <w:pPr>
              <w:pStyle w:val="TableText"/>
              <w:spacing w:before="40" w:after="40"/>
              <w:jc w:val="right"/>
              <w:rPr>
                <w:rFonts w:cs="Calibri"/>
                <w:szCs w:val="18"/>
              </w:rPr>
            </w:pPr>
            <w:r w:rsidRPr="00BD16B4">
              <w:rPr>
                <w:rFonts w:cs="Calibri"/>
                <w:szCs w:val="18"/>
              </w:rPr>
              <w:t>14,658.43</w:t>
            </w:r>
          </w:p>
        </w:tc>
        <w:tc>
          <w:tcPr>
            <w:tcW w:w="964" w:type="dxa"/>
          </w:tcPr>
          <w:p w14:paraId="06B45362" w14:textId="77777777" w:rsidR="00ED2EBD" w:rsidRPr="00BD16B4" w:rsidRDefault="00ED2EBD" w:rsidP="004A205F">
            <w:pPr>
              <w:pStyle w:val="TableText"/>
              <w:spacing w:before="40" w:after="40"/>
              <w:jc w:val="right"/>
              <w:rPr>
                <w:rFonts w:cs="Calibri"/>
                <w:szCs w:val="18"/>
              </w:rPr>
            </w:pPr>
            <w:r w:rsidRPr="00BD16B4">
              <w:rPr>
                <w:rFonts w:cs="Calibri"/>
                <w:szCs w:val="18"/>
              </w:rPr>
              <w:t>14,985.90</w:t>
            </w:r>
          </w:p>
        </w:tc>
        <w:tc>
          <w:tcPr>
            <w:tcW w:w="964" w:type="dxa"/>
          </w:tcPr>
          <w:p w14:paraId="4EEF794B" w14:textId="77777777" w:rsidR="00ED2EBD" w:rsidRPr="00BD16B4" w:rsidRDefault="00ED2EBD" w:rsidP="004A205F">
            <w:pPr>
              <w:pStyle w:val="TableText"/>
              <w:spacing w:before="40" w:after="40"/>
              <w:jc w:val="right"/>
              <w:rPr>
                <w:rFonts w:cs="Calibri"/>
                <w:szCs w:val="18"/>
              </w:rPr>
            </w:pPr>
            <w:r w:rsidRPr="00BD16B4">
              <w:rPr>
                <w:rFonts w:cs="Calibri"/>
                <w:szCs w:val="18"/>
              </w:rPr>
              <w:t>14,517.60</w:t>
            </w:r>
          </w:p>
        </w:tc>
        <w:tc>
          <w:tcPr>
            <w:tcW w:w="964" w:type="dxa"/>
          </w:tcPr>
          <w:p w14:paraId="540D0FE8" w14:textId="77777777" w:rsidR="00ED2EBD" w:rsidRPr="00BD16B4" w:rsidRDefault="00ED2EBD" w:rsidP="004A205F">
            <w:pPr>
              <w:pStyle w:val="TableText"/>
              <w:spacing w:before="40" w:after="40"/>
              <w:jc w:val="right"/>
              <w:rPr>
                <w:rFonts w:cs="Calibri"/>
                <w:szCs w:val="18"/>
              </w:rPr>
            </w:pPr>
            <w:r w:rsidRPr="00BD16B4">
              <w:rPr>
                <w:rFonts w:cs="Calibri"/>
                <w:szCs w:val="18"/>
              </w:rPr>
              <w:t>13,078.68</w:t>
            </w:r>
          </w:p>
        </w:tc>
      </w:tr>
      <w:tr w:rsidR="008E7C93" w:rsidRPr="00BD16B4" w14:paraId="65A3DA77" w14:textId="77777777" w:rsidTr="00D462E8">
        <w:tc>
          <w:tcPr>
            <w:tcW w:w="3397" w:type="dxa"/>
          </w:tcPr>
          <w:p w14:paraId="60706092" w14:textId="5CECDF26" w:rsidR="00ED2EBD" w:rsidRPr="00BD16B4" w:rsidRDefault="00ED2EBD" w:rsidP="004A205F">
            <w:pPr>
              <w:pStyle w:val="TableText"/>
              <w:spacing w:before="40" w:after="40"/>
              <w:ind w:left="454" w:hanging="227"/>
              <w:rPr>
                <w:rFonts w:cs="Calibri"/>
                <w:szCs w:val="18"/>
              </w:rPr>
            </w:pPr>
            <w:r w:rsidRPr="00BD16B4">
              <w:rPr>
                <w:rFonts w:cs="Calibri"/>
                <w:szCs w:val="18"/>
              </w:rPr>
              <w:t>4.</w:t>
            </w:r>
            <w:r w:rsidR="00280979" w:rsidRPr="00BD16B4">
              <w:rPr>
                <w:rFonts w:cs="Calibri"/>
                <w:szCs w:val="18"/>
              </w:rPr>
              <w:t xml:space="preserve"> </w:t>
            </w:r>
            <w:r w:rsidR="004E23AF" w:rsidRPr="00BD16B4">
              <w:rPr>
                <w:rFonts w:cs="Calibri"/>
                <w:szCs w:val="18"/>
              </w:rPr>
              <w:tab/>
            </w:r>
            <w:r w:rsidRPr="00BD16B4">
              <w:rPr>
                <w:rFonts w:cs="Calibri"/>
                <w:szCs w:val="18"/>
              </w:rPr>
              <w:t>Other sectors</w:t>
            </w:r>
          </w:p>
        </w:tc>
        <w:tc>
          <w:tcPr>
            <w:tcW w:w="964" w:type="dxa"/>
          </w:tcPr>
          <w:p w14:paraId="5235A25F" w14:textId="77777777" w:rsidR="00ED2EBD" w:rsidRPr="00BD16B4" w:rsidRDefault="00ED2EBD" w:rsidP="004A205F">
            <w:pPr>
              <w:pStyle w:val="TableText"/>
              <w:spacing w:before="40" w:after="40"/>
              <w:jc w:val="right"/>
              <w:rPr>
                <w:rFonts w:cs="Calibri"/>
                <w:szCs w:val="18"/>
              </w:rPr>
            </w:pPr>
            <w:r w:rsidRPr="00BD16B4">
              <w:rPr>
                <w:rFonts w:cs="Calibri"/>
                <w:szCs w:val="18"/>
              </w:rPr>
              <w:t>3,654.86</w:t>
            </w:r>
          </w:p>
        </w:tc>
        <w:tc>
          <w:tcPr>
            <w:tcW w:w="964" w:type="dxa"/>
          </w:tcPr>
          <w:p w14:paraId="6EA2EE7A" w14:textId="77777777" w:rsidR="00ED2EBD" w:rsidRPr="00BD16B4" w:rsidRDefault="00ED2EBD" w:rsidP="004A205F">
            <w:pPr>
              <w:pStyle w:val="TableText"/>
              <w:spacing w:before="40" w:after="40"/>
              <w:jc w:val="right"/>
              <w:rPr>
                <w:rFonts w:cs="Calibri"/>
                <w:szCs w:val="18"/>
              </w:rPr>
            </w:pPr>
            <w:r w:rsidRPr="00BD16B4">
              <w:rPr>
                <w:rFonts w:cs="Calibri"/>
                <w:szCs w:val="18"/>
              </w:rPr>
              <w:t>3,765.89</w:t>
            </w:r>
          </w:p>
        </w:tc>
        <w:tc>
          <w:tcPr>
            <w:tcW w:w="964" w:type="dxa"/>
          </w:tcPr>
          <w:p w14:paraId="7BA3A199" w14:textId="77777777" w:rsidR="00ED2EBD" w:rsidRPr="00BD16B4" w:rsidRDefault="00ED2EBD" w:rsidP="004A205F">
            <w:pPr>
              <w:pStyle w:val="TableText"/>
              <w:spacing w:before="40" w:after="40"/>
              <w:jc w:val="right"/>
              <w:rPr>
                <w:rFonts w:cs="Calibri"/>
                <w:szCs w:val="18"/>
              </w:rPr>
            </w:pPr>
            <w:r w:rsidRPr="00BD16B4">
              <w:rPr>
                <w:rFonts w:cs="Calibri"/>
                <w:szCs w:val="18"/>
              </w:rPr>
              <w:t>4,096.33</w:t>
            </w:r>
          </w:p>
        </w:tc>
        <w:tc>
          <w:tcPr>
            <w:tcW w:w="964" w:type="dxa"/>
          </w:tcPr>
          <w:p w14:paraId="4F7B5E58" w14:textId="77777777" w:rsidR="00ED2EBD" w:rsidRPr="00BD16B4" w:rsidRDefault="00ED2EBD" w:rsidP="004A205F">
            <w:pPr>
              <w:pStyle w:val="TableText"/>
              <w:spacing w:before="40" w:after="40"/>
              <w:jc w:val="right"/>
              <w:rPr>
                <w:rFonts w:cs="Calibri"/>
                <w:szCs w:val="18"/>
              </w:rPr>
            </w:pPr>
            <w:r w:rsidRPr="00BD16B4">
              <w:rPr>
                <w:rFonts w:cs="Calibri"/>
                <w:szCs w:val="18"/>
              </w:rPr>
              <w:t>4,178.55</w:t>
            </w:r>
          </w:p>
        </w:tc>
        <w:tc>
          <w:tcPr>
            <w:tcW w:w="964" w:type="dxa"/>
          </w:tcPr>
          <w:p w14:paraId="4ADF483C" w14:textId="77777777" w:rsidR="00ED2EBD" w:rsidRPr="00BD16B4" w:rsidRDefault="00ED2EBD" w:rsidP="004A205F">
            <w:pPr>
              <w:pStyle w:val="TableText"/>
              <w:spacing w:before="40" w:after="40"/>
              <w:jc w:val="right"/>
              <w:rPr>
                <w:rFonts w:cs="Calibri"/>
                <w:szCs w:val="18"/>
              </w:rPr>
            </w:pPr>
            <w:r w:rsidRPr="00BD16B4">
              <w:rPr>
                <w:rFonts w:cs="Calibri"/>
                <w:szCs w:val="18"/>
              </w:rPr>
              <w:t>4,106.16</w:t>
            </w:r>
          </w:p>
        </w:tc>
        <w:tc>
          <w:tcPr>
            <w:tcW w:w="964" w:type="dxa"/>
          </w:tcPr>
          <w:p w14:paraId="72E2FFB5" w14:textId="77777777" w:rsidR="00ED2EBD" w:rsidRPr="00BD16B4" w:rsidRDefault="00ED2EBD" w:rsidP="004A205F">
            <w:pPr>
              <w:pStyle w:val="TableText"/>
              <w:spacing w:before="40" w:after="40"/>
              <w:jc w:val="right"/>
              <w:rPr>
                <w:rFonts w:cs="Calibri"/>
                <w:szCs w:val="18"/>
              </w:rPr>
            </w:pPr>
            <w:r w:rsidRPr="00BD16B4">
              <w:rPr>
                <w:rFonts w:cs="Calibri"/>
                <w:szCs w:val="18"/>
              </w:rPr>
              <w:t>4,149.96</w:t>
            </w:r>
          </w:p>
        </w:tc>
        <w:tc>
          <w:tcPr>
            <w:tcW w:w="964" w:type="dxa"/>
          </w:tcPr>
          <w:p w14:paraId="0978C1C3" w14:textId="77777777" w:rsidR="00ED2EBD" w:rsidRPr="00BD16B4" w:rsidRDefault="00ED2EBD" w:rsidP="004A205F">
            <w:pPr>
              <w:pStyle w:val="TableText"/>
              <w:spacing w:before="40" w:after="40"/>
              <w:jc w:val="right"/>
              <w:rPr>
                <w:rFonts w:cs="Calibri"/>
                <w:szCs w:val="18"/>
              </w:rPr>
            </w:pPr>
            <w:r w:rsidRPr="00BD16B4">
              <w:rPr>
                <w:rFonts w:cs="Calibri"/>
                <w:szCs w:val="18"/>
              </w:rPr>
              <w:t>4,022.95</w:t>
            </w:r>
          </w:p>
        </w:tc>
        <w:tc>
          <w:tcPr>
            <w:tcW w:w="964" w:type="dxa"/>
          </w:tcPr>
          <w:p w14:paraId="78AE04D1" w14:textId="77777777" w:rsidR="00ED2EBD" w:rsidRPr="00BD16B4" w:rsidRDefault="00ED2EBD" w:rsidP="004A205F">
            <w:pPr>
              <w:pStyle w:val="TableText"/>
              <w:spacing w:before="40" w:after="40"/>
              <w:jc w:val="right"/>
              <w:rPr>
                <w:rFonts w:cs="Calibri"/>
                <w:szCs w:val="18"/>
              </w:rPr>
            </w:pPr>
            <w:r w:rsidRPr="00BD16B4">
              <w:rPr>
                <w:rFonts w:cs="Calibri"/>
                <w:szCs w:val="18"/>
              </w:rPr>
              <w:t>4,108.42</w:t>
            </w:r>
          </w:p>
        </w:tc>
        <w:tc>
          <w:tcPr>
            <w:tcW w:w="964" w:type="dxa"/>
          </w:tcPr>
          <w:p w14:paraId="46FBC1DB" w14:textId="77777777" w:rsidR="00ED2EBD" w:rsidRPr="00BD16B4" w:rsidRDefault="00ED2EBD" w:rsidP="004A205F">
            <w:pPr>
              <w:pStyle w:val="TableText"/>
              <w:spacing w:before="40" w:after="40"/>
              <w:jc w:val="right"/>
              <w:rPr>
                <w:rFonts w:cs="Calibri"/>
                <w:szCs w:val="18"/>
              </w:rPr>
            </w:pPr>
            <w:r w:rsidRPr="00BD16B4">
              <w:rPr>
                <w:rFonts w:cs="Calibri"/>
                <w:szCs w:val="18"/>
              </w:rPr>
              <w:t>4,066.44</w:t>
            </w:r>
          </w:p>
        </w:tc>
        <w:tc>
          <w:tcPr>
            <w:tcW w:w="964" w:type="dxa"/>
          </w:tcPr>
          <w:p w14:paraId="4348D92F" w14:textId="77777777" w:rsidR="00ED2EBD" w:rsidRPr="00BD16B4" w:rsidRDefault="00ED2EBD" w:rsidP="004A205F">
            <w:pPr>
              <w:pStyle w:val="TableText"/>
              <w:spacing w:before="40" w:after="40"/>
              <w:jc w:val="right"/>
              <w:rPr>
                <w:rFonts w:cs="Calibri"/>
                <w:szCs w:val="18"/>
              </w:rPr>
            </w:pPr>
            <w:r w:rsidRPr="00BD16B4">
              <w:rPr>
                <w:rFonts w:cs="Calibri"/>
                <w:szCs w:val="18"/>
              </w:rPr>
              <w:t>4,622.16</w:t>
            </w:r>
          </w:p>
        </w:tc>
        <w:tc>
          <w:tcPr>
            <w:tcW w:w="964" w:type="dxa"/>
          </w:tcPr>
          <w:p w14:paraId="5CC0A5C2" w14:textId="77777777" w:rsidR="00ED2EBD" w:rsidRPr="00BD16B4" w:rsidRDefault="00ED2EBD" w:rsidP="004A205F">
            <w:pPr>
              <w:pStyle w:val="TableText"/>
              <w:spacing w:before="40" w:after="40"/>
              <w:jc w:val="right"/>
              <w:rPr>
                <w:rFonts w:cs="Calibri"/>
                <w:szCs w:val="18"/>
              </w:rPr>
            </w:pPr>
            <w:r w:rsidRPr="00BD16B4">
              <w:rPr>
                <w:rFonts w:cs="Calibri"/>
                <w:szCs w:val="18"/>
              </w:rPr>
              <w:t>4,533.05</w:t>
            </w:r>
          </w:p>
        </w:tc>
      </w:tr>
      <w:tr w:rsidR="008E7C93" w:rsidRPr="00BD16B4" w14:paraId="132170F9" w14:textId="77777777" w:rsidTr="00D462E8">
        <w:tc>
          <w:tcPr>
            <w:tcW w:w="3397" w:type="dxa"/>
          </w:tcPr>
          <w:p w14:paraId="5A010303" w14:textId="0639A43A" w:rsidR="00ED2EBD" w:rsidRPr="00BD16B4" w:rsidRDefault="00ED2EBD" w:rsidP="004A205F">
            <w:pPr>
              <w:pStyle w:val="TableText"/>
              <w:spacing w:before="40" w:after="40"/>
              <w:ind w:left="454" w:hanging="227"/>
              <w:rPr>
                <w:rFonts w:cs="Calibri"/>
                <w:szCs w:val="18"/>
              </w:rPr>
            </w:pPr>
            <w:r w:rsidRPr="00BD16B4">
              <w:rPr>
                <w:rFonts w:cs="Calibri"/>
                <w:szCs w:val="18"/>
              </w:rPr>
              <w:t>5.</w:t>
            </w:r>
            <w:r w:rsidR="00280979" w:rsidRPr="00BD16B4">
              <w:rPr>
                <w:rFonts w:cs="Calibri"/>
                <w:szCs w:val="18"/>
              </w:rPr>
              <w:t xml:space="preserve"> </w:t>
            </w:r>
            <w:r w:rsidR="004E23AF" w:rsidRPr="00BD16B4">
              <w:rPr>
                <w:rFonts w:cs="Calibri"/>
                <w:szCs w:val="18"/>
              </w:rPr>
              <w:tab/>
            </w:r>
            <w:r w:rsidRPr="00BD16B4">
              <w:rPr>
                <w:rFonts w:cs="Calibri"/>
                <w:szCs w:val="18"/>
              </w:rPr>
              <w:t>Other</w:t>
            </w:r>
          </w:p>
        </w:tc>
        <w:tc>
          <w:tcPr>
            <w:tcW w:w="964" w:type="dxa"/>
          </w:tcPr>
          <w:p w14:paraId="73DD66A0"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0FB6EE7B"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77E79CF4"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0B7D264B"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5B32C337"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4578091F"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2902B292"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67894961"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18D0ECE0"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221C10AA"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29B80195"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r>
      <w:tr w:rsidR="008E7C93" w:rsidRPr="00BD16B4" w14:paraId="007910F6" w14:textId="77777777" w:rsidTr="00D462E8">
        <w:tc>
          <w:tcPr>
            <w:tcW w:w="3397" w:type="dxa"/>
          </w:tcPr>
          <w:p w14:paraId="04F7AAA5" w14:textId="77777777" w:rsidR="00ED2EBD" w:rsidRPr="00BD16B4" w:rsidRDefault="00ED2EBD" w:rsidP="004A205F">
            <w:pPr>
              <w:pStyle w:val="TableText"/>
              <w:spacing w:before="40" w:after="40"/>
              <w:rPr>
                <w:rFonts w:cs="Calibri"/>
                <w:szCs w:val="18"/>
              </w:rPr>
            </w:pPr>
            <w:r w:rsidRPr="00BD16B4">
              <w:rPr>
                <w:rFonts w:cs="Calibri"/>
                <w:szCs w:val="18"/>
              </w:rPr>
              <w:t>B. Fugitive emissions from fuels</w:t>
            </w:r>
          </w:p>
        </w:tc>
        <w:tc>
          <w:tcPr>
            <w:tcW w:w="964" w:type="dxa"/>
          </w:tcPr>
          <w:p w14:paraId="2C5A3989" w14:textId="77777777" w:rsidR="00ED2EBD" w:rsidRPr="00BD16B4" w:rsidRDefault="00ED2EBD" w:rsidP="004A205F">
            <w:pPr>
              <w:pStyle w:val="TableText"/>
              <w:spacing w:before="40" w:after="40"/>
              <w:jc w:val="right"/>
              <w:rPr>
                <w:rFonts w:cs="Calibri"/>
                <w:szCs w:val="18"/>
              </w:rPr>
            </w:pPr>
            <w:r w:rsidRPr="00BD16B4">
              <w:rPr>
                <w:rFonts w:cs="Calibri"/>
                <w:szCs w:val="18"/>
              </w:rPr>
              <w:t>1,505.82</w:t>
            </w:r>
          </w:p>
        </w:tc>
        <w:tc>
          <w:tcPr>
            <w:tcW w:w="964" w:type="dxa"/>
          </w:tcPr>
          <w:p w14:paraId="1C5DFC16" w14:textId="77777777" w:rsidR="00ED2EBD" w:rsidRPr="00BD16B4" w:rsidRDefault="00ED2EBD" w:rsidP="004A205F">
            <w:pPr>
              <w:pStyle w:val="TableText"/>
              <w:spacing w:before="40" w:after="40"/>
              <w:jc w:val="right"/>
              <w:rPr>
                <w:rFonts w:cs="Calibri"/>
                <w:szCs w:val="18"/>
              </w:rPr>
            </w:pPr>
            <w:r w:rsidRPr="00BD16B4">
              <w:rPr>
                <w:rFonts w:cs="Calibri"/>
                <w:szCs w:val="18"/>
              </w:rPr>
              <w:t>1,459.93</w:t>
            </w:r>
          </w:p>
        </w:tc>
        <w:tc>
          <w:tcPr>
            <w:tcW w:w="964" w:type="dxa"/>
          </w:tcPr>
          <w:p w14:paraId="5C9C9E20" w14:textId="77777777" w:rsidR="00ED2EBD" w:rsidRPr="00BD16B4" w:rsidRDefault="00ED2EBD" w:rsidP="004A205F">
            <w:pPr>
              <w:pStyle w:val="TableText"/>
              <w:spacing w:before="40" w:after="40"/>
              <w:jc w:val="right"/>
              <w:rPr>
                <w:rFonts w:cs="Calibri"/>
                <w:szCs w:val="18"/>
              </w:rPr>
            </w:pPr>
            <w:r w:rsidRPr="00BD16B4">
              <w:rPr>
                <w:rFonts w:cs="Calibri"/>
                <w:szCs w:val="18"/>
              </w:rPr>
              <w:t>1,278.92</w:t>
            </w:r>
          </w:p>
        </w:tc>
        <w:tc>
          <w:tcPr>
            <w:tcW w:w="964" w:type="dxa"/>
          </w:tcPr>
          <w:p w14:paraId="7F6B0C0F" w14:textId="77777777" w:rsidR="00ED2EBD" w:rsidRPr="00BD16B4" w:rsidRDefault="00ED2EBD" w:rsidP="004A205F">
            <w:pPr>
              <w:pStyle w:val="TableText"/>
              <w:spacing w:before="40" w:after="40"/>
              <w:jc w:val="right"/>
              <w:rPr>
                <w:rFonts w:cs="Calibri"/>
                <w:szCs w:val="18"/>
              </w:rPr>
            </w:pPr>
            <w:r w:rsidRPr="00BD16B4">
              <w:rPr>
                <w:rFonts w:cs="Calibri"/>
                <w:szCs w:val="18"/>
              </w:rPr>
              <w:t>1,092.55</w:t>
            </w:r>
          </w:p>
        </w:tc>
        <w:tc>
          <w:tcPr>
            <w:tcW w:w="964" w:type="dxa"/>
          </w:tcPr>
          <w:p w14:paraId="48BAA4DE" w14:textId="77777777" w:rsidR="00ED2EBD" w:rsidRPr="00BD16B4" w:rsidRDefault="00ED2EBD" w:rsidP="004A205F">
            <w:pPr>
              <w:pStyle w:val="TableText"/>
              <w:spacing w:before="40" w:after="40"/>
              <w:jc w:val="right"/>
              <w:rPr>
                <w:rFonts w:cs="Calibri"/>
                <w:szCs w:val="18"/>
              </w:rPr>
            </w:pPr>
            <w:r w:rsidRPr="00BD16B4">
              <w:rPr>
                <w:rFonts w:cs="Calibri"/>
                <w:szCs w:val="18"/>
              </w:rPr>
              <w:t>1,224.11</w:t>
            </w:r>
          </w:p>
        </w:tc>
        <w:tc>
          <w:tcPr>
            <w:tcW w:w="964" w:type="dxa"/>
          </w:tcPr>
          <w:p w14:paraId="3B53B795" w14:textId="77777777" w:rsidR="00ED2EBD" w:rsidRPr="00BD16B4" w:rsidRDefault="00ED2EBD" w:rsidP="004A205F">
            <w:pPr>
              <w:pStyle w:val="TableText"/>
              <w:spacing w:before="40" w:after="40"/>
              <w:jc w:val="right"/>
              <w:rPr>
                <w:rFonts w:cs="Calibri"/>
                <w:szCs w:val="18"/>
              </w:rPr>
            </w:pPr>
            <w:r w:rsidRPr="00BD16B4">
              <w:rPr>
                <w:rFonts w:cs="Calibri"/>
                <w:szCs w:val="18"/>
              </w:rPr>
              <w:t>1,347.89</w:t>
            </w:r>
          </w:p>
        </w:tc>
        <w:tc>
          <w:tcPr>
            <w:tcW w:w="964" w:type="dxa"/>
          </w:tcPr>
          <w:p w14:paraId="15B6AE4A" w14:textId="77777777" w:rsidR="00ED2EBD" w:rsidRPr="00BD16B4" w:rsidRDefault="00ED2EBD" w:rsidP="004A205F">
            <w:pPr>
              <w:pStyle w:val="TableText"/>
              <w:spacing w:before="40" w:after="40"/>
              <w:jc w:val="right"/>
              <w:rPr>
                <w:rFonts w:cs="Calibri"/>
                <w:szCs w:val="18"/>
              </w:rPr>
            </w:pPr>
            <w:r w:rsidRPr="00BD16B4">
              <w:rPr>
                <w:rFonts w:cs="Calibri"/>
                <w:szCs w:val="18"/>
              </w:rPr>
              <w:t>1,152.26</w:t>
            </w:r>
          </w:p>
        </w:tc>
        <w:tc>
          <w:tcPr>
            <w:tcW w:w="964" w:type="dxa"/>
          </w:tcPr>
          <w:p w14:paraId="1C491A96" w14:textId="77777777" w:rsidR="00ED2EBD" w:rsidRPr="00BD16B4" w:rsidRDefault="00ED2EBD" w:rsidP="004A205F">
            <w:pPr>
              <w:pStyle w:val="TableText"/>
              <w:spacing w:before="40" w:after="40"/>
              <w:jc w:val="right"/>
              <w:rPr>
                <w:rFonts w:cs="Calibri"/>
                <w:szCs w:val="18"/>
              </w:rPr>
            </w:pPr>
            <w:r w:rsidRPr="00BD16B4">
              <w:rPr>
                <w:rFonts w:cs="Calibri"/>
                <w:szCs w:val="18"/>
              </w:rPr>
              <w:t>1,089.13</w:t>
            </w:r>
          </w:p>
        </w:tc>
        <w:tc>
          <w:tcPr>
            <w:tcW w:w="964" w:type="dxa"/>
          </w:tcPr>
          <w:p w14:paraId="3B8DADD5" w14:textId="77777777" w:rsidR="00ED2EBD" w:rsidRPr="00BD16B4" w:rsidRDefault="00ED2EBD" w:rsidP="004A205F">
            <w:pPr>
              <w:pStyle w:val="TableText"/>
              <w:spacing w:before="40" w:after="40"/>
              <w:jc w:val="right"/>
              <w:rPr>
                <w:rFonts w:cs="Calibri"/>
                <w:szCs w:val="18"/>
              </w:rPr>
            </w:pPr>
            <w:r w:rsidRPr="00BD16B4">
              <w:rPr>
                <w:rFonts w:cs="Calibri"/>
                <w:szCs w:val="18"/>
              </w:rPr>
              <w:t>992.16</w:t>
            </w:r>
          </w:p>
        </w:tc>
        <w:tc>
          <w:tcPr>
            <w:tcW w:w="964" w:type="dxa"/>
          </w:tcPr>
          <w:p w14:paraId="455286D7" w14:textId="77777777" w:rsidR="00ED2EBD" w:rsidRPr="00BD16B4" w:rsidRDefault="00ED2EBD" w:rsidP="004A205F">
            <w:pPr>
              <w:pStyle w:val="TableText"/>
              <w:spacing w:before="40" w:after="40"/>
              <w:jc w:val="right"/>
              <w:rPr>
                <w:rFonts w:cs="Calibri"/>
                <w:szCs w:val="18"/>
              </w:rPr>
            </w:pPr>
            <w:r w:rsidRPr="00BD16B4">
              <w:rPr>
                <w:rFonts w:cs="Calibri"/>
                <w:szCs w:val="18"/>
              </w:rPr>
              <w:t>912.91</w:t>
            </w:r>
          </w:p>
        </w:tc>
        <w:tc>
          <w:tcPr>
            <w:tcW w:w="964" w:type="dxa"/>
          </w:tcPr>
          <w:p w14:paraId="0A0BC45E" w14:textId="77777777" w:rsidR="00ED2EBD" w:rsidRPr="00BD16B4" w:rsidRDefault="00ED2EBD" w:rsidP="004A205F">
            <w:pPr>
              <w:pStyle w:val="TableText"/>
              <w:spacing w:before="40" w:after="40"/>
              <w:jc w:val="right"/>
              <w:rPr>
                <w:rFonts w:cs="Calibri"/>
                <w:szCs w:val="18"/>
              </w:rPr>
            </w:pPr>
            <w:r w:rsidRPr="00BD16B4">
              <w:rPr>
                <w:rFonts w:cs="Calibri"/>
                <w:szCs w:val="18"/>
              </w:rPr>
              <w:t>780.73</w:t>
            </w:r>
          </w:p>
        </w:tc>
      </w:tr>
      <w:tr w:rsidR="008E7C93" w:rsidRPr="00BD16B4" w14:paraId="2F95EE57" w14:textId="77777777" w:rsidTr="00D462E8">
        <w:tc>
          <w:tcPr>
            <w:tcW w:w="3397" w:type="dxa"/>
          </w:tcPr>
          <w:p w14:paraId="3F8C536E" w14:textId="6C5DFC5D" w:rsidR="00ED2EBD" w:rsidRPr="00BD16B4" w:rsidRDefault="00ED2EBD" w:rsidP="004A205F">
            <w:pPr>
              <w:pStyle w:val="TableText"/>
              <w:spacing w:before="40" w:after="40"/>
              <w:ind w:left="454" w:hanging="227"/>
              <w:rPr>
                <w:rFonts w:cs="Calibri"/>
                <w:szCs w:val="18"/>
              </w:rPr>
            </w:pPr>
            <w:r w:rsidRPr="00BD16B4">
              <w:rPr>
                <w:rFonts w:cs="Calibri"/>
                <w:szCs w:val="18"/>
              </w:rPr>
              <w:t>1.</w:t>
            </w:r>
            <w:r w:rsidR="004E23AF" w:rsidRPr="00BD16B4">
              <w:rPr>
                <w:rFonts w:cs="Calibri"/>
                <w:szCs w:val="18"/>
              </w:rPr>
              <w:tab/>
            </w:r>
            <w:r w:rsidR="00280979" w:rsidRPr="00BD16B4">
              <w:rPr>
                <w:rFonts w:cs="Calibri"/>
                <w:szCs w:val="18"/>
              </w:rPr>
              <w:t xml:space="preserve"> </w:t>
            </w:r>
            <w:r w:rsidRPr="00BD16B4">
              <w:rPr>
                <w:rFonts w:cs="Calibri"/>
                <w:szCs w:val="18"/>
              </w:rPr>
              <w:t>Solid fuels</w:t>
            </w:r>
          </w:p>
        </w:tc>
        <w:tc>
          <w:tcPr>
            <w:tcW w:w="964" w:type="dxa"/>
          </w:tcPr>
          <w:p w14:paraId="0569874C"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Pr>
          <w:p w14:paraId="3C780F81"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Pr>
          <w:p w14:paraId="64F797BC"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Pr>
          <w:p w14:paraId="0984F944"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Pr>
          <w:p w14:paraId="4D5B63BE"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Pr>
          <w:p w14:paraId="460E5926"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Pr>
          <w:p w14:paraId="2F7EDA93"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Pr>
          <w:p w14:paraId="30941617"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Pr>
          <w:p w14:paraId="3C203E48"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Pr>
          <w:p w14:paraId="3C022666"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Pr>
          <w:p w14:paraId="3987F384"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r>
      <w:tr w:rsidR="008E7C93" w:rsidRPr="00BD16B4" w14:paraId="3191EB8E" w14:textId="77777777" w:rsidTr="00D462E8">
        <w:tc>
          <w:tcPr>
            <w:tcW w:w="3397" w:type="dxa"/>
          </w:tcPr>
          <w:p w14:paraId="25E53BDA" w14:textId="1FE0BEA7" w:rsidR="00ED2EBD" w:rsidRPr="00BD16B4" w:rsidRDefault="00ED2EBD" w:rsidP="004A205F">
            <w:pPr>
              <w:pStyle w:val="TableText"/>
              <w:spacing w:before="40" w:after="40"/>
              <w:ind w:left="454" w:hanging="227"/>
              <w:rPr>
                <w:rFonts w:cs="Calibri"/>
                <w:szCs w:val="18"/>
              </w:rPr>
            </w:pPr>
            <w:r w:rsidRPr="00BD16B4">
              <w:rPr>
                <w:rFonts w:cs="Calibri"/>
                <w:szCs w:val="18"/>
              </w:rPr>
              <w:t>2.</w:t>
            </w:r>
            <w:r w:rsidR="00280979" w:rsidRPr="00BD16B4">
              <w:rPr>
                <w:rFonts w:cs="Calibri"/>
                <w:szCs w:val="18"/>
              </w:rPr>
              <w:t xml:space="preserve"> </w:t>
            </w:r>
            <w:r w:rsidR="004E23AF" w:rsidRPr="00BD16B4">
              <w:rPr>
                <w:rFonts w:cs="Calibri"/>
                <w:szCs w:val="18"/>
              </w:rPr>
              <w:tab/>
            </w:r>
            <w:r w:rsidRPr="00BD16B4">
              <w:rPr>
                <w:rFonts w:cs="Calibri"/>
                <w:szCs w:val="18"/>
              </w:rPr>
              <w:t>Oil and natural gas and other emissions from energy production</w:t>
            </w:r>
          </w:p>
        </w:tc>
        <w:tc>
          <w:tcPr>
            <w:tcW w:w="964" w:type="dxa"/>
          </w:tcPr>
          <w:p w14:paraId="6635CF2B" w14:textId="77777777" w:rsidR="00ED2EBD" w:rsidRPr="00BD16B4" w:rsidRDefault="00ED2EBD" w:rsidP="004A205F">
            <w:pPr>
              <w:pStyle w:val="TableText"/>
              <w:spacing w:before="40" w:after="40"/>
              <w:jc w:val="right"/>
              <w:rPr>
                <w:rFonts w:cs="Calibri"/>
                <w:szCs w:val="18"/>
              </w:rPr>
            </w:pPr>
            <w:r w:rsidRPr="00BD16B4">
              <w:rPr>
                <w:rFonts w:cs="Calibri"/>
                <w:szCs w:val="18"/>
              </w:rPr>
              <w:t>1,505.82</w:t>
            </w:r>
          </w:p>
        </w:tc>
        <w:tc>
          <w:tcPr>
            <w:tcW w:w="964" w:type="dxa"/>
          </w:tcPr>
          <w:p w14:paraId="39598E92" w14:textId="77777777" w:rsidR="00ED2EBD" w:rsidRPr="00BD16B4" w:rsidRDefault="00ED2EBD" w:rsidP="004A205F">
            <w:pPr>
              <w:pStyle w:val="TableText"/>
              <w:spacing w:before="40" w:after="40"/>
              <w:jc w:val="right"/>
              <w:rPr>
                <w:rFonts w:cs="Calibri"/>
                <w:szCs w:val="18"/>
              </w:rPr>
            </w:pPr>
            <w:r w:rsidRPr="00BD16B4">
              <w:rPr>
                <w:rFonts w:cs="Calibri"/>
                <w:szCs w:val="18"/>
              </w:rPr>
              <w:t>1,459.93</w:t>
            </w:r>
          </w:p>
        </w:tc>
        <w:tc>
          <w:tcPr>
            <w:tcW w:w="964" w:type="dxa"/>
          </w:tcPr>
          <w:p w14:paraId="3BBF4ABC" w14:textId="77777777" w:rsidR="00ED2EBD" w:rsidRPr="00BD16B4" w:rsidRDefault="00ED2EBD" w:rsidP="004A205F">
            <w:pPr>
              <w:pStyle w:val="TableText"/>
              <w:spacing w:before="40" w:after="40"/>
              <w:jc w:val="right"/>
              <w:rPr>
                <w:rFonts w:cs="Calibri"/>
                <w:szCs w:val="18"/>
              </w:rPr>
            </w:pPr>
            <w:r w:rsidRPr="00BD16B4">
              <w:rPr>
                <w:rFonts w:cs="Calibri"/>
                <w:szCs w:val="18"/>
              </w:rPr>
              <w:t>1,278.92</w:t>
            </w:r>
          </w:p>
        </w:tc>
        <w:tc>
          <w:tcPr>
            <w:tcW w:w="964" w:type="dxa"/>
          </w:tcPr>
          <w:p w14:paraId="34A2E404" w14:textId="77777777" w:rsidR="00ED2EBD" w:rsidRPr="00BD16B4" w:rsidRDefault="00ED2EBD" w:rsidP="004A205F">
            <w:pPr>
              <w:pStyle w:val="TableText"/>
              <w:spacing w:before="40" w:after="40"/>
              <w:jc w:val="right"/>
              <w:rPr>
                <w:rFonts w:cs="Calibri"/>
                <w:szCs w:val="18"/>
              </w:rPr>
            </w:pPr>
            <w:r w:rsidRPr="00BD16B4">
              <w:rPr>
                <w:rFonts w:cs="Calibri"/>
                <w:szCs w:val="18"/>
              </w:rPr>
              <w:t>1,092.55</w:t>
            </w:r>
          </w:p>
        </w:tc>
        <w:tc>
          <w:tcPr>
            <w:tcW w:w="964" w:type="dxa"/>
          </w:tcPr>
          <w:p w14:paraId="68123F7F" w14:textId="77777777" w:rsidR="00ED2EBD" w:rsidRPr="00BD16B4" w:rsidRDefault="00ED2EBD" w:rsidP="004A205F">
            <w:pPr>
              <w:pStyle w:val="TableText"/>
              <w:spacing w:before="40" w:after="40"/>
              <w:jc w:val="right"/>
              <w:rPr>
                <w:rFonts w:cs="Calibri"/>
                <w:szCs w:val="18"/>
              </w:rPr>
            </w:pPr>
            <w:r w:rsidRPr="00BD16B4">
              <w:rPr>
                <w:rFonts w:cs="Calibri"/>
                <w:szCs w:val="18"/>
              </w:rPr>
              <w:t>1,224.11</w:t>
            </w:r>
          </w:p>
        </w:tc>
        <w:tc>
          <w:tcPr>
            <w:tcW w:w="964" w:type="dxa"/>
          </w:tcPr>
          <w:p w14:paraId="1F1AE75F" w14:textId="77777777" w:rsidR="00ED2EBD" w:rsidRPr="00BD16B4" w:rsidRDefault="00ED2EBD" w:rsidP="004A205F">
            <w:pPr>
              <w:pStyle w:val="TableText"/>
              <w:spacing w:before="40" w:after="40"/>
              <w:jc w:val="right"/>
              <w:rPr>
                <w:rFonts w:cs="Calibri"/>
                <w:szCs w:val="18"/>
              </w:rPr>
            </w:pPr>
            <w:r w:rsidRPr="00BD16B4">
              <w:rPr>
                <w:rFonts w:cs="Calibri"/>
                <w:szCs w:val="18"/>
              </w:rPr>
              <w:t>1,347.89</w:t>
            </w:r>
          </w:p>
        </w:tc>
        <w:tc>
          <w:tcPr>
            <w:tcW w:w="964" w:type="dxa"/>
          </w:tcPr>
          <w:p w14:paraId="662AE121" w14:textId="77777777" w:rsidR="00ED2EBD" w:rsidRPr="00BD16B4" w:rsidRDefault="00ED2EBD" w:rsidP="004A205F">
            <w:pPr>
              <w:pStyle w:val="TableText"/>
              <w:spacing w:before="40" w:after="40"/>
              <w:jc w:val="right"/>
              <w:rPr>
                <w:rFonts w:cs="Calibri"/>
                <w:szCs w:val="18"/>
              </w:rPr>
            </w:pPr>
            <w:r w:rsidRPr="00BD16B4">
              <w:rPr>
                <w:rFonts w:cs="Calibri"/>
                <w:szCs w:val="18"/>
              </w:rPr>
              <w:t>1,152.26</w:t>
            </w:r>
          </w:p>
        </w:tc>
        <w:tc>
          <w:tcPr>
            <w:tcW w:w="964" w:type="dxa"/>
          </w:tcPr>
          <w:p w14:paraId="160BA2FB" w14:textId="77777777" w:rsidR="00ED2EBD" w:rsidRPr="00BD16B4" w:rsidRDefault="00ED2EBD" w:rsidP="004A205F">
            <w:pPr>
              <w:pStyle w:val="TableText"/>
              <w:spacing w:before="40" w:after="40"/>
              <w:jc w:val="right"/>
              <w:rPr>
                <w:rFonts w:cs="Calibri"/>
                <w:szCs w:val="18"/>
              </w:rPr>
            </w:pPr>
            <w:r w:rsidRPr="00BD16B4">
              <w:rPr>
                <w:rFonts w:cs="Calibri"/>
                <w:szCs w:val="18"/>
              </w:rPr>
              <w:t>1,089.13</w:t>
            </w:r>
          </w:p>
        </w:tc>
        <w:tc>
          <w:tcPr>
            <w:tcW w:w="964" w:type="dxa"/>
          </w:tcPr>
          <w:p w14:paraId="5778318D" w14:textId="77777777" w:rsidR="00ED2EBD" w:rsidRPr="00BD16B4" w:rsidRDefault="00ED2EBD" w:rsidP="004A205F">
            <w:pPr>
              <w:pStyle w:val="TableText"/>
              <w:spacing w:before="40" w:after="40"/>
              <w:jc w:val="right"/>
              <w:rPr>
                <w:rFonts w:cs="Calibri"/>
                <w:szCs w:val="18"/>
              </w:rPr>
            </w:pPr>
            <w:r w:rsidRPr="00BD16B4">
              <w:rPr>
                <w:rFonts w:cs="Calibri"/>
                <w:szCs w:val="18"/>
              </w:rPr>
              <w:t>992.16</w:t>
            </w:r>
          </w:p>
        </w:tc>
        <w:tc>
          <w:tcPr>
            <w:tcW w:w="964" w:type="dxa"/>
          </w:tcPr>
          <w:p w14:paraId="3911DB2B" w14:textId="77777777" w:rsidR="00ED2EBD" w:rsidRPr="00BD16B4" w:rsidRDefault="00ED2EBD" w:rsidP="004A205F">
            <w:pPr>
              <w:pStyle w:val="TableText"/>
              <w:spacing w:before="40" w:after="40"/>
              <w:jc w:val="right"/>
              <w:rPr>
                <w:rFonts w:cs="Calibri"/>
                <w:szCs w:val="18"/>
              </w:rPr>
            </w:pPr>
            <w:r w:rsidRPr="00BD16B4">
              <w:rPr>
                <w:rFonts w:cs="Calibri"/>
                <w:szCs w:val="18"/>
              </w:rPr>
              <w:t>912.91</w:t>
            </w:r>
          </w:p>
        </w:tc>
        <w:tc>
          <w:tcPr>
            <w:tcW w:w="964" w:type="dxa"/>
          </w:tcPr>
          <w:p w14:paraId="7D11DE81" w14:textId="77777777" w:rsidR="00ED2EBD" w:rsidRPr="00BD16B4" w:rsidRDefault="00ED2EBD" w:rsidP="004A205F">
            <w:pPr>
              <w:pStyle w:val="TableText"/>
              <w:spacing w:before="40" w:after="40"/>
              <w:jc w:val="right"/>
              <w:rPr>
                <w:rFonts w:cs="Calibri"/>
                <w:szCs w:val="18"/>
              </w:rPr>
            </w:pPr>
            <w:r w:rsidRPr="00BD16B4">
              <w:rPr>
                <w:rFonts w:cs="Calibri"/>
                <w:szCs w:val="18"/>
              </w:rPr>
              <w:t>780.73</w:t>
            </w:r>
          </w:p>
        </w:tc>
      </w:tr>
      <w:tr w:rsidR="008E7C93" w:rsidRPr="00BD16B4" w14:paraId="18F00B78" w14:textId="77777777" w:rsidTr="00D462E8">
        <w:tc>
          <w:tcPr>
            <w:tcW w:w="3397" w:type="dxa"/>
          </w:tcPr>
          <w:p w14:paraId="4606879E" w14:textId="77777777" w:rsidR="00ED2EBD" w:rsidRPr="00BD16B4" w:rsidRDefault="00ED2EBD" w:rsidP="004A205F">
            <w:pPr>
              <w:pStyle w:val="TableText"/>
              <w:spacing w:before="40" w:after="40"/>
              <w:rPr>
                <w:rFonts w:cs="Calibri"/>
                <w:szCs w:val="18"/>
              </w:rPr>
            </w:pPr>
            <w:r w:rsidRPr="00BD16B4">
              <w:rPr>
                <w:rFonts w:cs="Calibri"/>
                <w:szCs w:val="18"/>
              </w:rPr>
              <w:t>C. CO</w:t>
            </w:r>
            <w:r w:rsidRPr="00BD16B4">
              <w:rPr>
                <w:rFonts w:cs="Calibri"/>
                <w:szCs w:val="18"/>
                <w:vertAlign w:val="subscript"/>
              </w:rPr>
              <w:t>2</w:t>
            </w:r>
            <w:r w:rsidRPr="00BD16B4">
              <w:rPr>
                <w:rFonts w:cs="Calibri"/>
                <w:szCs w:val="18"/>
              </w:rPr>
              <w:t xml:space="preserve"> transport and storage</w:t>
            </w:r>
          </w:p>
        </w:tc>
        <w:tc>
          <w:tcPr>
            <w:tcW w:w="964" w:type="dxa"/>
          </w:tcPr>
          <w:p w14:paraId="038D9ADC"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6A7A90F5"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7B17F931"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61BFC61C"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151FFD03"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073A1198"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59C19BDB"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7384FDC4"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500846E8"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6895121D"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c>
          <w:tcPr>
            <w:tcW w:w="964" w:type="dxa"/>
          </w:tcPr>
          <w:p w14:paraId="39E4C897" w14:textId="77777777" w:rsidR="00ED2EBD" w:rsidRPr="00BD16B4" w:rsidRDefault="00ED2EBD" w:rsidP="004A205F">
            <w:pPr>
              <w:pStyle w:val="TableText"/>
              <w:spacing w:before="40" w:after="40"/>
              <w:jc w:val="right"/>
              <w:rPr>
                <w:rFonts w:cs="Calibri"/>
                <w:szCs w:val="18"/>
              </w:rPr>
            </w:pPr>
            <w:r w:rsidRPr="00BD16B4">
              <w:rPr>
                <w:rFonts w:cs="Calibri"/>
                <w:szCs w:val="18"/>
              </w:rPr>
              <w:t>NO</w:t>
            </w:r>
          </w:p>
        </w:tc>
      </w:tr>
      <w:tr w:rsidR="008E7C93" w:rsidRPr="00BD16B4" w14:paraId="7D629902" w14:textId="77777777" w:rsidTr="00D462E8">
        <w:tc>
          <w:tcPr>
            <w:tcW w:w="3397" w:type="dxa"/>
          </w:tcPr>
          <w:p w14:paraId="4BF4C06D" w14:textId="03CEB2B6" w:rsidR="00ED2EBD" w:rsidRPr="00BD16B4" w:rsidRDefault="00ED2EBD" w:rsidP="004A205F">
            <w:pPr>
              <w:pStyle w:val="TableText"/>
              <w:spacing w:before="40" w:after="40"/>
              <w:rPr>
                <w:rFonts w:cs="Calibri"/>
                <w:szCs w:val="18"/>
              </w:rPr>
            </w:pPr>
            <w:r w:rsidRPr="00BD16B4">
              <w:rPr>
                <w:rFonts w:cs="Calibri"/>
                <w:b/>
                <w:bCs/>
                <w:szCs w:val="18"/>
              </w:rPr>
              <w:t>2.</w:t>
            </w:r>
            <w:r w:rsidR="00280979" w:rsidRPr="00BD16B4">
              <w:rPr>
                <w:rFonts w:cs="Calibri"/>
                <w:b/>
                <w:bCs/>
                <w:szCs w:val="18"/>
              </w:rPr>
              <w:t xml:space="preserve"> </w:t>
            </w:r>
            <w:r w:rsidRPr="00BD16B4">
              <w:rPr>
                <w:rFonts w:cs="Calibri"/>
                <w:b/>
                <w:bCs/>
                <w:szCs w:val="18"/>
              </w:rPr>
              <w:t>Industrial processes</w:t>
            </w:r>
          </w:p>
        </w:tc>
        <w:tc>
          <w:tcPr>
            <w:tcW w:w="964" w:type="dxa"/>
          </w:tcPr>
          <w:p w14:paraId="0786FA88" w14:textId="77777777" w:rsidR="00ED2EBD" w:rsidRPr="00BD16B4" w:rsidRDefault="00ED2EBD" w:rsidP="004A205F">
            <w:pPr>
              <w:pStyle w:val="TableText"/>
              <w:spacing w:before="40" w:after="40"/>
              <w:jc w:val="right"/>
              <w:rPr>
                <w:rFonts w:cs="Calibri"/>
                <w:szCs w:val="18"/>
              </w:rPr>
            </w:pPr>
            <w:r w:rsidRPr="00BD16B4">
              <w:rPr>
                <w:rFonts w:cs="Calibri"/>
                <w:szCs w:val="18"/>
              </w:rPr>
              <w:t>3,319.00</w:t>
            </w:r>
          </w:p>
        </w:tc>
        <w:tc>
          <w:tcPr>
            <w:tcW w:w="964" w:type="dxa"/>
          </w:tcPr>
          <w:p w14:paraId="6045DA38" w14:textId="77777777" w:rsidR="00ED2EBD" w:rsidRPr="00BD16B4" w:rsidRDefault="00ED2EBD" w:rsidP="004A205F">
            <w:pPr>
              <w:pStyle w:val="TableText"/>
              <w:spacing w:before="40" w:after="40"/>
              <w:jc w:val="right"/>
              <w:rPr>
                <w:rFonts w:cs="Calibri"/>
                <w:szCs w:val="18"/>
              </w:rPr>
            </w:pPr>
            <w:r w:rsidRPr="00BD16B4">
              <w:rPr>
                <w:rFonts w:cs="Calibri"/>
                <w:szCs w:val="18"/>
              </w:rPr>
              <w:t>3,294.41</w:t>
            </w:r>
          </w:p>
        </w:tc>
        <w:tc>
          <w:tcPr>
            <w:tcW w:w="964" w:type="dxa"/>
          </w:tcPr>
          <w:p w14:paraId="72D173A0" w14:textId="77777777" w:rsidR="00ED2EBD" w:rsidRPr="00BD16B4" w:rsidRDefault="00ED2EBD" w:rsidP="004A205F">
            <w:pPr>
              <w:pStyle w:val="TableText"/>
              <w:spacing w:before="40" w:after="40"/>
              <w:jc w:val="right"/>
              <w:rPr>
                <w:rFonts w:cs="Calibri"/>
                <w:szCs w:val="18"/>
              </w:rPr>
            </w:pPr>
            <w:r w:rsidRPr="00BD16B4">
              <w:rPr>
                <w:rFonts w:cs="Calibri"/>
                <w:szCs w:val="18"/>
              </w:rPr>
              <w:t>3,254.92</w:t>
            </w:r>
          </w:p>
        </w:tc>
        <w:tc>
          <w:tcPr>
            <w:tcW w:w="964" w:type="dxa"/>
          </w:tcPr>
          <w:p w14:paraId="684DC6CC" w14:textId="77777777" w:rsidR="00ED2EBD" w:rsidRPr="00BD16B4" w:rsidRDefault="00ED2EBD" w:rsidP="004A205F">
            <w:pPr>
              <w:pStyle w:val="TableText"/>
              <w:spacing w:before="40" w:after="40"/>
              <w:jc w:val="right"/>
              <w:rPr>
                <w:rFonts w:cs="Calibri"/>
                <w:szCs w:val="18"/>
              </w:rPr>
            </w:pPr>
            <w:r w:rsidRPr="00BD16B4">
              <w:rPr>
                <w:rFonts w:cs="Calibri"/>
                <w:szCs w:val="18"/>
              </w:rPr>
              <w:t>3,319.36</w:t>
            </w:r>
          </w:p>
        </w:tc>
        <w:tc>
          <w:tcPr>
            <w:tcW w:w="964" w:type="dxa"/>
          </w:tcPr>
          <w:p w14:paraId="0AD05BC0" w14:textId="77777777" w:rsidR="00ED2EBD" w:rsidRPr="00BD16B4" w:rsidRDefault="00ED2EBD" w:rsidP="004A205F">
            <w:pPr>
              <w:pStyle w:val="TableText"/>
              <w:spacing w:before="40" w:after="40"/>
              <w:jc w:val="right"/>
              <w:rPr>
                <w:rFonts w:cs="Calibri"/>
                <w:szCs w:val="18"/>
              </w:rPr>
            </w:pPr>
            <w:r w:rsidRPr="00BD16B4">
              <w:rPr>
                <w:rFonts w:cs="Calibri"/>
                <w:szCs w:val="18"/>
              </w:rPr>
              <w:t>3,396.54</w:t>
            </w:r>
          </w:p>
        </w:tc>
        <w:tc>
          <w:tcPr>
            <w:tcW w:w="964" w:type="dxa"/>
          </w:tcPr>
          <w:p w14:paraId="765C8DD8" w14:textId="77777777" w:rsidR="00ED2EBD" w:rsidRPr="00BD16B4" w:rsidRDefault="00ED2EBD" w:rsidP="004A205F">
            <w:pPr>
              <w:pStyle w:val="TableText"/>
              <w:spacing w:before="40" w:after="40"/>
              <w:jc w:val="right"/>
              <w:rPr>
                <w:rFonts w:cs="Calibri"/>
                <w:szCs w:val="18"/>
              </w:rPr>
            </w:pPr>
            <w:r w:rsidRPr="00BD16B4">
              <w:rPr>
                <w:rFonts w:cs="Calibri"/>
                <w:szCs w:val="18"/>
              </w:rPr>
              <w:t>3,509.69</w:t>
            </w:r>
          </w:p>
        </w:tc>
        <w:tc>
          <w:tcPr>
            <w:tcW w:w="964" w:type="dxa"/>
          </w:tcPr>
          <w:p w14:paraId="57BA810B" w14:textId="77777777" w:rsidR="00ED2EBD" w:rsidRPr="00BD16B4" w:rsidRDefault="00ED2EBD" w:rsidP="004A205F">
            <w:pPr>
              <w:pStyle w:val="TableText"/>
              <w:spacing w:before="40" w:after="40"/>
              <w:jc w:val="right"/>
              <w:rPr>
                <w:rFonts w:cs="Calibri"/>
                <w:szCs w:val="18"/>
              </w:rPr>
            </w:pPr>
            <w:r w:rsidRPr="00BD16B4">
              <w:rPr>
                <w:rFonts w:cs="Calibri"/>
                <w:szCs w:val="18"/>
              </w:rPr>
              <w:t>3,213.60</w:t>
            </w:r>
          </w:p>
        </w:tc>
        <w:tc>
          <w:tcPr>
            <w:tcW w:w="964" w:type="dxa"/>
          </w:tcPr>
          <w:p w14:paraId="28F55A4A" w14:textId="77777777" w:rsidR="00ED2EBD" w:rsidRPr="00BD16B4" w:rsidRDefault="00ED2EBD" w:rsidP="004A205F">
            <w:pPr>
              <w:pStyle w:val="TableText"/>
              <w:spacing w:before="40" w:after="40"/>
              <w:jc w:val="right"/>
              <w:rPr>
                <w:rFonts w:cs="Calibri"/>
                <w:szCs w:val="18"/>
              </w:rPr>
            </w:pPr>
            <w:r w:rsidRPr="00BD16B4">
              <w:rPr>
                <w:rFonts w:cs="Calibri"/>
                <w:szCs w:val="18"/>
              </w:rPr>
              <w:t>3,213.88</w:t>
            </w:r>
          </w:p>
        </w:tc>
        <w:tc>
          <w:tcPr>
            <w:tcW w:w="964" w:type="dxa"/>
          </w:tcPr>
          <w:p w14:paraId="679593CF" w14:textId="77777777" w:rsidR="00ED2EBD" w:rsidRPr="00BD16B4" w:rsidRDefault="00ED2EBD" w:rsidP="004A205F">
            <w:pPr>
              <w:pStyle w:val="TableText"/>
              <w:spacing w:before="40" w:after="40"/>
              <w:jc w:val="right"/>
              <w:rPr>
                <w:rFonts w:cs="Calibri"/>
                <w:szCs w:val="18"/>
              </w:rPr>
            </w:pPr>
            <w:r w:rsidRPr="00BD16B4">
              <w:rPr>
                <w:rFonts w:cs="Calibri"/>
                <w:szCs w:val="18"/>
              </w:rPr>
              <w:t>3,085.45</w:t>
            </w:r>
          </w:p>
        </w:tc>
        <w:tc>
          <w:tcPr>
            <w:tcW w:w="964" w:type="dxa"/>
          </w:tcPr>
          <w:p w14:paraId="70545E9D" w14:textId="77777777" w:rsidR="00ED2EBD" w:rsidRPr="00BD16B4" w:rsidRDefault="00ED2EBD" w:rsidP="004A205F">
            <w:pPr>
              <w:pStyle w:val="TableText"/>
              <w:spacing w:before="40" w:after="40"/>
              <w:jc w:val="right"/>
              <w:rPr>
                <w:rFonts w:cs="Calibri"/>
                <w:szCs w:val="18"/>
              </w:rPr>
            </w:pPr>
            <w:r w:rsidRPr="00BD16B4">
              <w:rPr>
                <w:rFonts w:cs="Calibri"/>
                <w:szCs w:val="18"/>
              </w:rPr>
              <w:t>3,085.52</w:t>
            </w:r>
          </w:p>
        </w:tc>
        <w:tc>
          <w:tcPr>
            <w:tcW w:w="964" w:type="dxa"/>
          </w:tcPr>
          <w:p w14:paraId="6FBE94E2" w14:textId="77777777" w:rsidR="00ED2EBD" w:rsidRPr="00BD16B4" w:rsidRDefault="00ED2EBD" w:rsidP="004A205F">
            <w:pPr>
              <w:pStyle w:val="TableText"/>
              <w:spacing w:before="40" w:after="40"/>
              <w:jc w:val="right"/>
              <w:rPr>
                <w:rFonts w:cs="Calibri"/>
                <w:szCs w:val="18"/>
              </w:rPr>
            </w:pPr>
            <w:r w:rsidRPr="00BD16B4">
              <w:rPr>
                <w:rFonts w:cs="Calibri"/>
                <w:szCs w:val="18"/>
              </w:rPr>
              <w:t>2,863.67</w:t>
            </w:r>
          </w:p>
        </w:tc>
      </w:tr>
      <w:tr w:rsidR="008E7C93" w:rsidRPr="00BD16B4" w14:paraId="04B4D5C7" w14:textId="77777777" w:rsidTr="00D462E8">
        <w:tc>
          <w:tcPr>
            <w:tcW w:w="3397" w:type="dxa"/>
          </w:tcPr>
          <w:p w14:paraId="4A94EC1E" w14:textId="4BC3165B" w:rsidR="00ED2EBD" w:rsidRPr="00BD16B4" w:rsidRDefault="00ED2EBD" w:rsidP="004A205F">
            <w:pPr>
              <w:pStyle w:val="TableText"/>
              <w:spacing w:before="40" w:after="40"/>
              <w:rPr>
                <w:rFonts w:cs="Calibri"/>
                <w:szCs w:val="18"/>
              </w:rPr>
            </w:pPr>
            <w:r w:rsidRPr="00BD16B4">
              <w:rPr>
                <w:rFonts w:cs="Calibri"/>
                <w:szCs w:val="18"/>
              </w:rPr>
              <w:t>A.</w:t>
            </w:r>
            <w:r w:rsidR="00280979" w:rsidRPr="00BD16B4">
              <w:rPr>
                <w:rFonts w:cs="Calibri"/>
                <w:szCs w:val="18"/>
              </w:rPr>
              <w:t xml:space="preserve"> </w:t>
            </w:r>
            <w:r w:rsidRPr="00BD16B4">
              <w:rPr>
                <w:rFonts w:cs="Calibri"/>
                <w:szCs w:val="18"/>
              </w:rPr>
              <w:t>Mineral industry</w:t>
            </w:r>
          </w:p>
        </w:tc>
        <w:tc>
          <w:tcPr>
            <w:tcW w:w="964" w:type="dxa"/>
          </w:tcPr>
          <w:p w14:paraId="4E33279E" w14:textId="77777777" w:rsidR="00ED2EBD" w:rsidRPr="00BD16B4" w:rsidRDefault="00ED2EBD" w:rsidP="004A205F">
            <w:pPr>
              <w:pStyle w:val="TableText"/>
              <w:spacing w:before="40" w:after="40"/>
              <w:jc w:val="right"/>
              <w:rPr>
                <w:rFonts w:cs="Calibri"/>
                <w:szCs w:val="18"/>
              </w:rPr>
            </w:pPr>
            <w:r w:rsidRPr="00BD16B4">
              <w:rPr>
                <w:rFonts w:cs="Calibri"/>
                <w:szCs w:val="18"/>
              </w:rPr>
              <w:t>740.23</w:t>
            </w:r>
          </w:p>
        </w:tc>
        <w:tc>
          <w:tcPr>
            <w:tcW w:w="964" w:type="dxa"/>
          </w:tcPr>
          <w:p w14:paraId="1B83C7BF" w14:textId="77777777" w:rsidR="00ED2EBD" w:rsidRPr="00BD16B4" w:rsidRDefault="00ED2EBD" w:rsidP="004A205F">
            <w:pPr>
              <w:pStyle w:val="TableText"/>
              <w:spacing w:before="40" w:after="40"/>
              <w:jc w:val="right"/>
              <w:rPr>
                <w:rFonts w:cs="Calibri"/>
                <w:szCs w:val="18"/>
              </w:rPr>
            </w:pPr>
            <w:r w:rsidRPr="00BD16B4">
              <w:rPr>
                <w:rFonts w:cs="Calibri"/>
                <w:szCs w:val="18"/>
              </w:rPr>
              <w:t>713.26</w:t>
            </w:r>
          </w:p>
        </w:tc>
        <w:tc>
          <w:tcPr>
            <w:tcW w:w="964" w:type="dxa"/>
          </w:tcPr>
          <w:p w14:paraId="29929AB8" w14:textId="77777777" w:rsidR="00ED2EBD" w:rsidRPr="00BD16B4" w:rsidRDefault="00ED2EBD" w:rsidP="004A205F">
            <w:pPr>
              <w:pStyle w:val="TableText"/>
              <w:spacing w:before="40" w:after="40"/>
              <w:jc w:val="right"/>
              <w:rPr>
                <w:rFonts w:cs="Calibri"/>
                <w:szCs w:val="18"/>
              </w:rPr>
            </w:pPr>
            <w:r w:rsidRPr="00BD16B4">
              <w:rPr>
                <w:rFonts w:cs="Calibri"/>
                <w:szCs w:val="18"/>
              </w:rPr>
              <w:t>751.88</w:t>
            </w:r>
          </w:p>
        </w:tc>
        <w:tc>
          <w:tcPr>
            <w:tcW w:w="964" w:type="dxa"/>
          </w:tcPr>
          <w:p w14:paraId="78463E63" w14:textId="77777777" w:rsidR="00ED2EBD" w:rsidRPr="00BD16B4" w:rsidRDefault="00ED2EBD" w:rsidP="004A205F">
            <w:pPr>
              <w:pStyle w:val="TableText"/>
              <w:spacing w:before="40" w:after="40"/>
              <w:jc w:val="right"/>
              <w:rPr>
                <w:rFonts w:cs="Calibri"/>
                <w:szCs w:val="18"/>
              </w:rPr>
            </w:pPr>
            <w:r w:rsidRPr="00BD16B4">
              <w:rPr>
                <w:rFonts w:cs="Calibri"/>
                <w:szCs w:val="18"/>
              </w:rPr>
              <w:t>774.42</w:t>
            </w:r>
          </w:p>
        </w:tc>
        <w:tc>
          <w:tcPr>
            <w:tcW w:w="964" w:type="dxa"/>
          </w:tcPr>
          <w:p w14:paraId="39D448FC" w14:textId="77777777" w:rsidR="00ED2EBD" w:rsidRPr="00BD16B4" w:rsidRDefault="00ED2EBD" w:rsidP="004A205F">
            <w:pPr>
              <w:pStyle w:val="TableText"/>
              <w:spacing w:before="40" w:after="40"/>
              <w:jc w:val="right"/>
              <w:rPr>
                <w:rFonts w:cs="Calibri"/>
                <w:szCs w:val="18"/>
              </w:rPr>
            </w:pPr>
            <w:r w:rsidRPr="00BD16B4">
              <w:rPr>
                <w:rFonts w:cs="Calibri"/>
                <w:szCs w:val="18"/>
              </w:rPr>
              <w:t>830.50</w:t>
            </w:r>
          </w:p>
        </w:tc>
        <w:tc>
          <w:tcPr>
            <w:tcW w:w="964" w:type="dxa"/>
          </w:tcPr>
          <w:p w14:paraId="2000D07A" w14:textId="77777777" w:rsidR="00ED2EBD" w:rsidRPr="00BD16B4" w:rsidRDefault="00ED2EBD" w:rsidP="004A205F">
            <w:pPr>
              <w:pStyle w:val="TableText"/>
              <w:spacing w:before="40" w:after="40"/>
              <w:jc w:val="right"/>
              <w:rPr>
                <w:rFonts w:cs="Calibri"/>
                <w:szCs w:val="18"/>
              </w:rPr>
            </w:pPr>
            <w:r w:rsidRPr="00BD16B4">
              <w:rPr>
                <w:rFonts w:cs="Calibri"/>
                <w:szCs w:val="18"/>
              </w:rPr>
              <w:t>876.33</w:t>
            </w:r>
          </w:p>
        </w:tc>
        <w:tc>
          <w:tcPr>
            <w:tcW w:w="964" w:type="dxa"/>
          </w:tcPr>
          <w:p w14:paraId="5A4AA57F" w14:textId="77777777" w:rsidR="00ED2EBD" w:rsidRPr="00BD16B4" w:rsidRDefault="00ED2EBD" w:rsidP="004A205F">
            <w:pPr>
              <w:pStyle w:val="TableText"/>
              <w:spacing w:before="40" w:after="40"/>
              <w:jc w:val="right"/>
              <w:rPr>
                <w:rFonts w:cs="Calibri"/>
                <w:szCs w:val="18"/>
              </w:rPr>
            </w:pPr>
            <w:r w:rsidRPr="00BD16B4">
              <w:rPr>
                <w:rFonts w:cs="Calibri"/>
                <w:szCs w:val="18"/>
              </w:rPr>
              <w:t>726.79</w:t>
            </w:r>
          </w:p>
        </w:tc>
        <w:tc>
          <w:tcPr>
            <w:tcW w:w="964" w:type="dxa"/>
          </w:tcPr>
          <w:p w14:paraId="7CBBD66B" w14:textId="77777777" w:rsidR="00ED2EBD" w:rsidRPr="00BD16B4" w:rsidRDefault="00ED2EBD" w:rsidP="004A205F">
            <w:pPr>
              <w:pStyle w:val="TableText"/>
              <w:spacing w:before="40" w:after="40"/>
              <w:jc w:val="right"/>
              <w:rPr>
                <w:rFonts w:cs="Calibri"/>
                <w:szCs w:val="18"/>
              </w:rPr>
            </w:pPr>
            <w:r w:rsidRPr="00BD16B4">
              <w:rPr>
                <w:rFonts w:cs="Calibri"/>
                <w:szCs w:val="18"/>
              </w:rPr>
              <w:t>669.67</w:t>
            </w:r>
          </w:p>
        </w:tc>
        <w:tc>
          <w:tcPr>
            <w:tcW w:w="964" w:type="dxa"/>
          </w:tcPr>
          <w:p w14:paraId="4D1DCC8B" w14:textId="77777777" w:rsidR="00ED2EBD" w:rsidRPr="00BD16B4" w:rsidRDefault="00ED2EBD" w:rsidP="004A205F">
            <w:pPr>
              <w:pStyle w:val="TableText"/>
              <w:spacing w:before="40" w:after="40"/>
              <w:jc w:val="right"/>
              <w:rPr>
                <w:rFonts w:cs="Calibri"/>
                <w:szCs w:val="18"/>
              </w:rPr>
            </w:pPr>
            <w:r w:rsidRPr="00BD16B4">
              <w:rPr>
                <w:rFonts w:cs="Calibri"/>
                <w:szCs w:val="18"/>
              </w:rPr>
              <w:t>620.54</w:t>
            </w:r>
          </w:p>
        </w:tc>
        <w:tc>
          <w:tcPr>
            <w:tcW w:w="964" w:type="dxa"/>
          </w:tcPr>
          <w:p w14:paraId="0B3CCC23" w14:textId="77777777" w:rsidR="00ED2EBD" w:rsidRPr="00BD16B4" w:rsidRDefault="00ED2EBD" w:rsidP="004A205F">
            <w:pPr>
              <w:pStyle w:val="TableText"/>
              <w:spacing w:before="40" w:after="40"/>
              <w:jc w:val="right"/>
              <w:rPr>
                <w:rFonts w:cs="Calibri"/>
                <w:szCs w:val="18"/>
              </w:rPr>
            </w:pPr>
            <w:r w:rsidRPr="00BD16B4">
              <w:rPr>
                <w:rFonts w:cs="Calibri"/>
                <w:szCs w:val="18"/>
              </w:rPr>
              <w:t>618.07</w:t>
            </w:r>
          </w:p>
        </w:tc>
        <w:tc>
          <w:tcPr>
            <w:tcW w:w="964" w:type="dxa"/>
          </w:tcPr>
          <w:p w14:paraId="367013D0" w14:textId="77777777" w:rsidR="00ED2EBD" w:rsidRPr="00BD16B4" w:rsidRDefault="00ED2EBD" w:rsidP="004A205F">
            <w:pPr>
              <w:pStyle w:val="TableText"/>
              <w:spacing w:before="40" w:after="40"/>
              <w:jc w:val="right"/>
              <w:rPr>
                <w:rFonts w:cs="Calibri"/>
                <w:szCs w:val="18"/>
              </w:rPr>
            </w:pPr>
            <w:r w:rsidRPr="00BD16B4">
              <w:rPr>
                <w:rFonts w:cs="Calibri"/>
                <w:szCs w:val="18"/>
              </w:rPr>
              <w:t>537.43</w:t>
            </w:r>
          </w:p>
        </w:tc>
      </w:tr>
      <w:tr w:rsidR="008E7C93" w:rsidRPr="00BD16B4" w14:paraId="2A896F2E" w14:textId="77777777" w:rsidTr="00D462E8">
        <w:tc>
          <w:tcPr>
            <w:tcW w:w="3397" w:type="dxa"/>
          </w:tcPr>
          <w:p w14:paraId="2879E426" w14:textId="51B1836E" w:rsidR="00ED2EBD" w:rsidRPr="00BD16B4" w:rsidRDefault="00ED2EBD" w:rsidP="004A205F">
            <w:pPr>
              <w:pStyle w:val="TableText"/>
              <w:spacing w:before="40" w:after="40"/>
              <w:rPr>
                <w:rFonts w:cs="Calibri"/>
                <w:szCs w:val="18"/>
              </w:rPr>
            </w:pPr>
            <w:r w:rsidRPr="00BD16B4">
              <w:rPr>
                <w:rFonts w:cs="Calibri"/>
                <w:szCs w:val="18"/>
              </w:rPr>
              <w:t>B.</w:t>
            </w:r>
            <w:r w:rsidR="00280979" w:rsidRPr="00BD16B4">
              <w:rPr>
                <w:rFonts w:cs="Calibri"/>
                <w:szCs w:val="18"/>
              </w:rPr>
              <w:t xml:space="preserve"> </w:t>
            </w:r>
            <w:r w:rsidRPr="00BD16B4">
              <w:rPr>
                <w:rFonts w:cs="Calibri"/>
                <w:szCs w:val="18"/>
              </w:rPr>
              <w:t>Chemical industry</w:t>
            </w:r>
          </w:p>
        </w:tc>
        <w:tc>
          <w:tcPr>
            <w:tcW w:w="964" w:type="dxa"/>
          </w:tcPr>
          <w:p w14:paraId="673249C3" w14:textId="77777777" w:rsidR="00ED2EBD" w:rsidRPr="00BD16B4" w:rsidRDefault="00ED2EBD" w:rsidP="004A205F">
            <w:pPr>
              <w:pStyle w:val="TableText"/>
              <w:spacing w:before="40" w:after="40"/>
              <w:jc w:val="right"/>
              <w:rPr>
                <w:rFonts w:cs="Calibri"/>
                <w:szCs w:val="18"/>
              </w:rPr>
            </w:pPr>
            <w:r w:rsidRPr="00BD16B4">
              <w:rPr>
                <w:rFonts w:cs="Calibri"/>
                <w:szCs w:val="18"/>
              </w:rPr>
              <w:t>265.10</w:t>
            </w:r>
          </w:p>
        </w:tc>
        <w:tc>
          <w:tcPr>
            <w:tcW w:w="964" w:type="dxa"/>
          </w:tcPr>
          <w:p w14:paraId="0F44B461" w14:textId="77777777" w:rsidR="00ED2EBD" w:rsidRPr="00BD16B4" w:rsidRDefault="00ED2EBD" w:rsidP="004A205F">
            <w:pPr>
              <w:pStyle w:val="TableText"/>
              <w:spacing w:before="40" w:after="40"/>
              <w:jc w:val="right"/>
              <w:rPr>
                <w:rFonts w:cs="Calibri"/>
                <w:szCs w:val="18"/>
              </w:rPr>
            </w:pPr>
            <w:r w:rsidRPr="00BD16B4">
              <w:rPr>
                <w:rFonts w:cs="Calibri"/>
                <w:szCs w:val="18"/>
              </w:rPr>
              <w:t>281.55</w:t>
            </w:r>
          </w:p>
        </w:tc>
        <w:tc>
          <w:tcPr>
            <w:tcW w:w="964" w:type="dxa"/>
          </w:tcPr>
          <w:p w14:paraId="59C8AE5A" w14:textId="77777777" w:rsidR="00ED2EBD" w:rsidRPr="00BD16B4" w:rsidRDefault="00ED2EBD" w:rsidP="004A205F">
            <w:pPr>
              <w:pStyle w:val="TableText"/>
              <w:spacing w:before="40" w:after="40"/>
              <w:jc w:val="right"/>
              <w:rPr>
                <w:rFonts w:cs="Calibri"/>
                <w:szCs w:val="18"/>
              </w:rPr>
            </w:pPr>
            <w:r w:rsidRPr="00BD16B4">
              <w:rPr>
                <w:rFonts w:cs="Calibri"/>
                <w:szCs w:val="18"/>
              </w:rPr>
              <w:t>275.21</w:t>
            </w:r>
          </w:p>
        </w:tc>
        <w:tc>
          <w:tcPr>
            <w:tcW w:w="964" w:type="dxa"/>
          </w:tcPr>
          <w:p w14:paraId="02D5869E" w14:textId="77777777" w:rsidR="00ED2EBD" w:rsidRPr="00BD16B4" w:rsidRDefault="00ED2EBD" w:rsidP="004A205F">
            <w:pPr>
              <w:pStyle w:val="TableText"/>
              <w:spacing w:before="40" w:after="40"/>
              <w:jc w:val="right"/>
              <w:rPr>
                <w:rFonts w:cs="Calibri"/>
                <w:szCs w:val="18"/>
              </w:rPr>
            </w:pPr>
            <w:r w:rsidRPr="00BD16B4">
              <w:rPr>
                <w:rFonts w:cs="Calibri"/>
                <w:szCs w:val="18"/>
              </w:rPr>
              <w:t>260.53</w:t>
            </w:r>
          </w:p>
        </w:tc>
        <w:tc>
          <w:tcPr>
            <w:tcW w:w="964" w:type="dxa"/>
          </w:tcPr>
          <w:p w14:paraId="549A1FA8" w14:textId="77777777" w:rsidR="00ED2EBD" w:rsidRPr="00BD16B4" w:rsidRDefault="00ED2EBD" w:rsidP="004A205F">
            <w:pPr>
              <w:pStyle w:val="TableText"/>
              <w:spacing w:before="40" w:after="40"/>
              <w:jc w:val="right"/>
              <w:rPr>
                <w:rFonts w:cs="Calibri"/>
                <w:szCs w:val="18"/>
              </w:rPr>
            </w:pPr>
            <w:r w:rsidRPr="00BD16B4">
              <w:rPr>
                <w:rFonts w:cs="Calibri"/>
                <w:szCs w:val="18"/>
              </w:rPr>
              <w:t>253.57</w:t>
            </w:r>
          </w:p>
        </w:tc>
        <w:tc>
          <w:tcPr>
            <w:tcW w:w="964" w:type="dxa"/>
          </w:tcPr>
          <w:p w14:paraId="37BD5C15" w14:textId="77777777" w:rsidR="00ED2EBD" w:rsidRPr="00BD16B4" w:rsidRDefault="00ED2EBD" w:rsidP="004A205F">
            <w:pPr>
              <w:pStyle w:val="TableText"/>
              <w:spacing w:before="40" w:after="40"/>
              <w:jc w:val="right"/>
              <w:rPr>
                <w:rFonts w:cs="Calibri"/>
                <w:szCs w:val="18"/>
              </w:rPr>
            </w:pPr>
            <w:r w:rsidRPr="00BD16B4">
              <w:rPr>
                <w:rFonts w:cs="Calibri"/>
                <w:szCs w:val="18"/>
              </w:rPr>
              <w:t>282.35</w:t>
            </w:r>
          </w:p>
        </w:tc>
        <w:tc>
          <w:tcPr>
            <w:tcW w:w="964" w:type="dxa"/>
          </w:tcPr>
          <w:p w14:paraId="76825942" w14:textId="77777777" w:rsidR="00ED2EBD" w:rsidRPr="00BD16B4" w:rsidRDefault="00ED2EBD" w:rsidP="004A205F">
            <w:pPr>
              <w:pStyle w:val="TableText"/>
              <w:spacing w:before="40" w:after="40"/>
              <w:jc w:val="right"/>
              <w:rPr>
                <w:rFonts w:cs="Calibri"/>
                <w:szCs w:val="18"/>
              </w:rPr>
            </w:pPr>
            <w:r w:rsidRPr="00BD16B4">
              <w:rPr>
                <w:rFonts w:cs="Calibri"/>
                <w:szCs w:val="18"/>
              </w:rPr>
              <w:t>191.34</w:t>
            </w:r>
          </w:p>
        </w:tc>
        <w:tc>
          <w:tcPr>
            <w:tcW w:w="964" w:type="dxa"/>
          </w:tcPr>
          <w:p w14:paraId="01A72BB2" w14:textId="77777777" w:rsidR="00ED2EBD" w:rsidRPr="00BD16B4" w:rsidRDefault="00ED2EBD" w:rsidP="004A205F">
            <w:pPr>
              <w:pStyle w:val="TableText"/>
              <w:spacing w:before="40" w:after="40"/>
              <w:jc w:val="right"/>
              <w:rPr>
                <w:rFonts w:cs="Calibri"/>
                <w:szCs w:val="18"/>
              </w:rPr>
            </w:pPr>
            <w:r w:rsidRPr="00BD16B4">
              <w:rPr>
                <w:rFonts w:cs="Calibri"/>
                <w:szCs w:val="18"/>
              </w:rPr>
              <w:t>193.09</w:t>
            </w:r>
          </w:p>
        </w:tc>
        <w:tc>
          <w:tcPr>
            <w:tcW w:w="964" w:type="dxa"/>
          </w:tcPr>
          <w:p w14:paraId="054402BE" w14:textId="77777777" w:rsidR="00ED2EBD" w:rsidRPr="00BD16B4" w:rsidRDefault="00ED2EBD" w:rsidP="004A205F">
            <w:pPr>
              <w:pStyle w:val="TableText"/>
              <w:spacing w:before="40" w:after="40"/>
              <w:jc w:val="right"/>
              <w:rPr>
                <w:rFonts w:cs="Calibri"/>
                <w:szCs w:val="18"/>
              </w:rPr>
            </w:pPr>
            <w:r w:rsidRPr="00BD16B4">
              <w:rPr>
                <w:rFonts w:cs="Calibri"/>
                <w:szCs w:val="18"/>
              </w:rPr>
              <w:t>167.78</w:t>
            </w:r>
          </w:p>
        </w:tc>
        <w:tc>
          <w:tcPr>
            <w:tcW w:w="964" w:type="dxa"/>
          </w:tcPr>
          <w:p w14:paraId="1D29D38C" w14:textId="77777777" w:rsidR="00ED2EBD" w:rsidRPr="00BD16B4" w:rsidRDefault="00ED2EBD" w:rsidP="004A205F">
            <w:pPr>
              <w:pStyle w:val="TableText"/>
              <w:spacing w:before="40" w:after="40"/>
              <w:jc w:val="right"/>
              <w:rPr>
                <w:rFonts w:cs="Calibri"/>
                <w:szCs w:val="18"/>
              </w:rPr>
            </w:pPr>
            <w:r w:rsidRPr="00BD16B4">
              <w:rPr>
                <w:rFonts w:cs="Calibri"/>
                <w:szCs w:val="18"/>
              </w:rPr>
              <w:t>183.30</w:t>
            </w:r>
          </w:p>
        </w:tc>
        <w:tc>
          <w:tcPr>
            <w:tcW w:w="964" w:type="dxa"/>
          </w:tcPr>
          <w:p w14:paraId="68A55A63" w14:textId="77777777" w:rsidR="00ED2EBD" w:rsidRPr="00BD16B4" w:rsidRDefault="00ED2EBD" w:rsidP="004A205F">
            <w:pPr>
              <w:pStyle w:val="TableText"/>
              <w:spacing w:before="40" w:after="40"/>
              <w:jc w:val="right"/>
              <w:rPr>
                <w:rFonts w:cs="Calibri"/>
                <w:szCs w:val="18"/>
              </w:rPr>
            </w:pPr>
            <w:r w:rsidRPr="00BD16B4">
              <w:rPr>
                <w:rFonts w:cs="Calibri"/>
                <w:szCs w:val="18"/>
              </w:rPr>
              <w:t>154.38</w:t>
            </w:r>
          </w:p>
        </w:tc>
      </w:tr>
      <w:tr w:rsidR="008E7C93" w:rsidRPr="00BD16B4" w14:paraId="77D8A605" w14:textId="77777777" w:rsidTr="00D462E8">
        <w:tc>
          <w:tcPr>
            <w:tcW w:w="3397" w:type="dxa"/>
          </w:tcPr>
          <w:p w14:paraId="757B0662" w14:textId="3FCFF767" w:rsidR="00ED2EBD" w:rsidRPr="00BD16B4" w:rsidRDefault="00ED2EBD" w:rsidP="004A205F">
            <w:pPr>
              <w:pStyle w:val="TableText"/>
              <w:spacing w:before="40" w:after="40"/>
              <w:rPr>
                <w:rFonts w:cs="Calibri"/>
                <w:szCs w:val="18"/>
              </w:rPr>
            </w:pPr>
            <w:r w:rsidRPr="00BD16B4">
              <w:rPr>
                <w:rFonts w:cs="Calibri"/>
                <w:szCs w:val="18"/>
              </w:rPr>
              <w:t>C.</w:t>
            </w:r>
            <w:r w:rsidR="00280979" w:rsidRPr="00BD16B4">
              <w:rPr>
                <w:rFonts w:cs="Calibri"/>
                <w:szCs w:val="18"/>
              </w:rPr>
              <w:t xml:space="preserve"> </w:t>
            </w:r>
            <w:r w:rsidRPr="00BD16B4">
              <w:rPr>
                <w:rFonts w:cs="Calibri"/>
                <w:szCs w:val="18"/>
              </w:rPr>
              <w:t>Metal industry</w:t>
            </w:r>
          </w:p>
        </w:tc>
        <w:tc>
          <w:tcPr>
            <w:tcW w:w="964" w:type="dxa"/>
          </w:tcPr>
          <w:p w14:paraId="0BB0D32B" w14:textId="77777777" w:rsidR="00ED2EBD" w:rsidRPr="00BD16B4" w:rsidRDefault="00ED2EBD" w:rsidP="004A205F">
            <w:pPr>
              <w:pStyle w:val="TableText"/>
              <w:spacing w:before="40" w:after="40"/>
              <w:jc w:val="right"/>
              <w:rPr>
                <w:rFonts w:cs="Calibri"/>
                <w:szCs w:val="18"/>
              </w:rPr>
            </w:pPr>
            <w:r w:rsidRPr="00BD16B4">
              <w:rPr>
                <w:rFonts w:cs="Calibri"/>
                <w:szCs w:val="18"/>
              </w:rPr>
              <w:t>2,273.23</w:t>
            </w:r>
          </w:p>
        </w:tc>
        <w:tc>
          <w:tcPr>
            <w:tcW w:w="964" w:type="dxa"/>
          </w:tcPr>
          <w:p w14:paraId="19A1CBF3" w14:textId="77777777" w:rsidR="00ED2EBD" w:rsidRPr="00BD16B4" w:rsidRDefault="00ED2EBD" w:rsidP="004A205F">
            <w:pPr>
              <w:pStyle w:val="TableText"/>
              <w:spacing w:before="40" w:after="40"/>
              <w:jc w:val="right"/>
              <w:rPr>
                <w:rFonts w:cs="Calibri"/>
                <w:szCs w:val="18"/>
              </w:rPr>
            </w:pPr>
            <w:r w:rsidRPr="00BD16B4">
              <w:rPr>
                <w:rFonts w:cs="Calibri"/>
                <w:szCs w:val="18"/>
              </w:rPr>
              <w:t>2,258.88</w:t>
            </w:r>
          </w:p>
        </w:tc>
        <w:tc>
          <w:tcPr>
            <w:tcW w:w="964" w:type="dxa"/>
          </w:tcPr>
          <w:p w14:paraId="6F19ED03" w14:textId="77777777" w:rsidR="00ED2EBD" w:rsidRPr="00BD16B4" w:rsidRDefault="00ED2EBD" w:rsidP="004A205F">
            <w:pPr>
              <w:pStyle w:val="TableText"/>
              <w:spacing w:before="40" w:after="40"/>
              <w:jc w:val="right"/>
              <w:rPr>
                <w:rFonts w:cs="Calibri"/>
                <w:szCs w:val="18"/>
              </w:rPr>
            </w:pPr>
            <w:r w:rsidRPr="00BD16B4">
              <w:rPr>
                <w:rFonts w:cs="Calibri"/>
                <w:szCs w:val="18"/>
              </w:rPr>
              <w:t>2,187.58</w:t>
            </w:r>
          </w:p>
        </w:tc>
        <w:tc>
          <w:tcPr>
            <w:tcW w:w="964" w:type="dxa"/>
          </w:tcPr>
          <w:p w14:paraId="50A66DB9" w14:textId="77777777" w:rsidR="00ED2EBD" w:rsidRPr="00BD16B4" w:rsidRDefault="00ED2EBD" w:rsidP="004A205F">
            <w:pPr>
              <w:pStyle w:val="TableText"/>
              <w:spacing w:before="40" w:after="40"/>
              <w:jc w:val="right"/>
              <w:rPr>
                <w:rFonts w:cs="Calibri"/>
                <w:szCs w:val="18"/>
              </w:rPr>
            </w:pPr>
            <w:r w:rsidRPr="00BD16B4">
              <w:rPr>
                <w:rFonts w:cs="Calibri"/>
                <w:szCs w:val="18"/>
              </w:rPr>
              <w:t>2,243.77</w:t>
            </w:r>
          </w:p>
        </w:tc>
        <w:tc>
          <w:tcPr>
            <w:tcW w:w="964" w:type="dxa"/>
          </w:tcPr>
          <w:p w14:paraId="1BCC1FC3" w14:textId="77777777" w:rsidR="00ED2EBD" w:rsidRPr="00BD16B4" w:rsidRDefault="00ED2EBD" w:rsidP="004A205F">
            <w:pPr>
              <w:pStyle w:val="TableText"/>
              <w:spacing w:before="40" w:after="40"/>
              <w:jc w:val="right"/>
              <w:rPr>
                <w:rFonts w:cs="Calibri"/>
                <w:szCs w:val="18"/>
              </w:rPr>
            </w:pPr>
            <w:r w:rsidRPr="00BD16B4">
              <w:rPr>
                <w:rFonts w:cs="Calibri"/>
                <w:szCs w:val="18"/>
              </w:rPr>
              <w:t>2,270.77</w:t>
            </w:r>
          </w:p>
        </w:tc>
        <w:tc>
          <w:tcPr>
            <w:tcW w:w="964" w:type="dxa"/>
          </w:tcPr>
          <w:p w14:paraId="00EB2F3F" w14:textId="77777777" w:rsidR="00ED2EBD" w:rsidRPr="00BD16B4" w:rsidRDefault="00ED2EBD" w:rsidP="004A205F">
            <w:pPr>
              <w:pStyle w:val="TableText"/>
              <w:spacing w:before="40" w:after="40"/>
              <w:jc w:val="right"/>
              <w:rPr>
                <w:rFonts w:cs="Calibri"/>
                <w:szCs w:val="18"/>
              </w:rPr>
            </w:pPr>
            <w:r w:rsidRPr="00BD16B4">
              <w:rPr>
                <w:rFonts w:cs="Calibri"/>
                <w:szCs w:val="18"/>
              </w:rPr>
              <w:t>2,307.74</w:t>
            </w:r>
          </w:p>
        </w:tc>
        <w:tc>
          <w:tcPr>
            <w:tcW w:w="964" w:type="dxa"/>
          </w:tcPr>
          <w:p w14:paraId="5980283A" w14:textId="77777777" w:rsidR="00ED2EBD" w:rsidRPr="00BD16B4" w:rsidRDefault="00ED2EBD" w:rsidP="004A205F">
            <w:pPr>
              <w:pStyle w:val="TableText"/>
              <w:spacing w:before="40" w:after="40"/>
              <w:jc w:val="right"/>
              <w:rPr>
                <w:rFonts w:cs="Calibri"/>
                <w:szCs w:val="18"/>
              </w:rPr>
            </w:pPr>
            <w:r w:rsidRPr="00BD16B4">
              <w:rPr>
                <w:rFonts w:cs="Calibri"/>
                <w:szCs w:val="18"/>
              </w:rPr>
              <w:t>2,251.47</w:t>
            </w:r>
          </w:p>
        </w:tc>
        <w:tc>
          <w:tcPr>
            <w:tcW w:w="964" w:type="dxa"/>
          </w:tcPr>
          <w:p w14:paraId="24941696" w14:textId="77777777" w:rsidR="00ED2EBD" w:rsidRPr="00BD16B4" w:rsidRDefault="00ED2EBD" w:rsidP="004A205F">
            <w:pPr>
              <w:pStyle w:val="TableText"/>
              <w:spacing w:before="40" w:after="40"/>
              <w:jc w:val="right"/>
              <w:rPr>
                <w:rFonts w:cs="Calibri"/>
                <w:szCs w:val="18"/>
              </w:rPr>
            </w:pPr>
            <w:r w:rsidRPr="00BD16B4">
              <w:rPr>
                <w:rFonts w:cs="Calibri"/>
                <w:szCs w:val="18"/>
              </w:rPr>
              <w:t>2,304.45</w:t>
            </w:r>
          </w:p>
        </w:tc>
        <w:tc>
          <w:tcPr>
            <w:tcW w:w="964" w:type="dxa"/>
          </w:tcPr>
          <w:p w14:paraId="60332B71" w14:textId="77777777" w:rsidR="00ED2EBD" w:rsidRPr="00BD16B4" w:rsidRDefault="00ED2EBD" w:rsidP="004A205F">
            <w:pPr>
              <w:pStyle w:val="TableText"/>
              <w:spacing w:before="40" w:after="40"/>
              <w:jc w:val="right"/>
              <w:rPr>
                <w:rFonts w:cs="Calibri"/>
                <w:szCs w:val="18"/>
              </w:rPr>
            </w:pPr>
            <w:r w:rsidRPr="00BD16B4">
              <w:rPr>
                <w:rFonts w:cs="Calibri"/>
                <w:szCs w:val="18"/>
              </w:rPr>
              <w:t>2,249.34</w:t>
            </w:r>
          </w:p>
        </w:tc>
        <w:tc>
          <w:tcPr>
            <w:tcW w:w="964" w:type="dxa"/>
          </w:tcPr>
          <w:p w14:paraId="26167BAC" w14:textId="77777777" w:rsidR="00ED2EBD" w:rsidRPr="00BD16B4" w:rsidRDefault="00ED2EBD" w:rsidP="004A205F">
            <w:pPr>
              <w:pStyle w:val="TableText"/>
              <w:spacing w:before="40" w:after="40"/>
              <w:jc w:val="right"/>
              <w:rPr>
                <w:rFonts w:cs="Calibri"/>
                <w:szCs w:val="18"/>
              </w:rPr>
            </w:pPr>
            <w:r w:rsidRPr="00BD16B4">
              <w:rPr>
                <w:rFonts w:cs="Calibri"/>
                <w:szCs w:val="18"/>
              </w:rPr>
              <w:t>2,236.11</w:t>
            </w:r>
          </w:p>
        </w:tc>
        <w:tc>
          <w:tcPr>
            <w:tcW w:w="964" w:type="dxa"/>
          </w:tcPr>
          <w:p w14:paraId="4793455C" w14:textId="77777777" w:rsidR="00ED2EBD" w:rsidRPr="00BD16B4" w:rsidRDefault="00ED2EBD" w:rsidP="004A205F">
            <w:pPr>
              <w:pStyle w:val="TableText"/>
              <w:spacing w:before="40" w:after="40"/>
              <w:jc w:val="right"/>
              <w:rPr>
                <w:rFonts w:cs="Calibri"/>
                <w:szCs w:val="18"/>
              </w:rPr>
            </w:pPr>
            <w:r w:rsidRPr="00BD16B4">
              <w:rPr>
                <w:rFonts w:cs="Calibri"/>
                <w:szCs w:val="18"/>
              </w:rPr>
              <w:t>2,127.78</w:t>
            </w:r>
          </w:p>
        </w:tc>
      </w:tr>
      <w:tr w:rsidR="008E7C93" w:rsidRPr="00BD16B4" w14:paraId="115AC4FF" w14:textId="77777777" w:rsidTr="00D462E8">
        <w:tc>
          <w:tcPr>
            <w:tcW w:w="3397" w:type="dxa"/>
          </w:tcPr>
          <w:p w14:paraId="4D661895" w14:textId="125BBAB9" w:rsidR="00ED2EBD" w:rsidRPr="00BD16B4" w:rsidRDefault="00ED2EBD" w:rsidP="004A205F">
            <w:pPr>
              <w:pStyle w:val="TableText"/>
              <w:spacing w:before="40" w:after="40"/>
              <w:rPr>
                <w:rFonts w:cs="Calibri"/>
                <w:szCs w:val="18"/>
              </w:rPr>
            </w:pPr>
            <w:r w:rsidRPr="00BD16B4">
              <w:rPr>
                <w:rFonts w:cs="Calibri"/>
                <w:szCs w:val="18"/>
              </w:rPr>
              <w:lastRenderedPageBreak/>
              <w:t>D.</w:t>
            </w:r>
            <w:r w:rsidR="00280979" w:rsidRPr="00BD16B4">
              <w:rPr>
                <w:rFonts w:cs="Calibri"/>
                <w:szCs w:val="18"/>
              </w:rPr>
              <w:t xml:space="preserve"> </w:t>
            </w:r>
            <w:r w:rsidRPr="00BD16B4">
              <w:rPr>
                <w:rFonts w:cs="Calibri"/>
                <w:szCs w:val="18"/>
              </w:rPr>
              <w:t>Non-energy products from fuels and solvent use</w:t>
            </w:r>
          </w:p>
        </w:tc>
        <w:tc>
          <w:tcPr>
            <w:tcW w:w="964" w:type="dxa"/>
            <w:tcBorders>
              <w:bottom w:val="single" w:sz="4" w:space="0" w:color="1B556B" w:themeColor="text2"/>
            </w:tcBorders>
          </w:tcPr>
          <w:p w14:paraId="60C9F540" w14:textId="77777777" w:rsidR="00ED2EBD" w:rsidRPr="00BD16B4" w:rsidRDefault="00ED2EBD" w:rsidP="004A205F">
            <w:pPr>
              <w:pStyle w:val="TableText"/>
              <w:spacing w:before="40" w:after="40"/>
              <w:jc w:val="right"/>
              <w:rPr>
                <w:rFonts w:cs="Calibri"/>
                <w:szCs w:val="18"/>
              </w:rPr>
            </w:pPr>
            <w:r w:rsidRPr="00BD16B4">
              <w:rPr>
                <w:rFonts w:cs="Calibri"/>
                <w:szCs w:val="18"/>
              </w:rPr>
              <w:t>40.44</w:t>
            </w:r>
          </w:p>
        </w:tc>
        <w:tc>
          <w:tcPr>
            <w:tcW w:w="964" w:type="dxa"/>
            <w:tcBorders>
              <w:bottom w:val="single" w:sz="4" w:space="0" w:color="1B556B" w:themeColor="text2"/>
            </w:tcBorders>
          </w:tcPr>
          <w:p w14:paraId="3ED29262" w14:textId="77777777" w:rsidR="00ED2EBD" w:rsidRPr="00BD16B4" w:rsidRDefault="00ED2EBD" w:rsidP="004A205F">
            <w:pPr>
              <w:pStyle w:val="TableText"/>
              <w:spacing w:before="40" w:after="40"/>
              <w:jc w:val="right"/>
              <w:rPr>
                <w:rFonts w:cs="Calibri"/>
                <w:szCs w:val="18"/>
              </w:rPr>
            </w:pPr>
            <w:r w:rsidRPr="00BD16B4">
              <w:rPr>
                <w:rFonts w:cs="Calibri"/>
                <w:szCs w:val="18"/>
              </w:rPr>
              <w:t>40.73</w:t>
            </w:r>
          </w:p>
        </w:tc>
        <w:tc>
          <w:tcPr>
            <w:tcW w:w="964" w:type="dxa"/>
            <w:tcBorders>
              <w:bottom w:val="single" w:sz="4" w:space="0" w:color="1B556B" w:themeColor="text2"/>
            </w:tcBorders>
          </w:tcPr>
          <w:p w14:paraId="2F46964A" w14:textId="77777777" w:rsidR="00ED2EBD" w:rsidRPr="00BD16B4" w:rsidRDefault="00ED2EBD" w:rsidP="004A205F">
            <w:pPr>
              <w:pStyle w:val="TableText"/>
              <w:spacing w:before="40" w:after="40"/>
              <w:jc w:val="right"/>
              <w:rPr>
                <w:rFonts w:cs="Calibri"/>
                <w:szCs w:val="18"/>
              </w:rPr>
            </w:pPr>
            <w:r w:rsidRPr="00BD16B4">
              <w:rPr>
                <w:rFonts w:cs="Calibri"/>
                <w:szCs w:val="18"/>
              </w:rPr>
              <w:t>40.26</w:t>
            </w:r>
          </w:p>
        </w:tc>
        <w:tc>
          <w:tcPr>
            <w:tcW w:w="964" w:type="dxa"/>
            <w:tcBorders>
              <w:bottom w:val="single" w:sz="4" w:space="0" w:color="1B556B" w:themeColor="text2"/>
            </w:tcBorders>
          </w:tcPr>
          <w:p w14:paraId="420062CF" w14:textId="77777777" w:rsidR="00ED2EBD" w:rsidRPr="00BD16B4" w:rsidRDefault="00ED2EBD" w:rsidP="004A205F">
            <w:pPr>
              <w:pStyle w:val="TableText"/>
              <w:spacing w:before="40" w:after="40"/>
              <w:jc w:val="right"/>
              <w:rPr>
                <w:rFonts w:cs="Calibri"/>
                <w:szCs w:val="18"/>
              </w:rPr>
            </w:pPr>
            <w:r w:rsidRPr="00BD16B4">
              <w:rPr>
                <w:rFonts w:cs="Calibri"/>
                <w:szCs w:val="18"/>
              </w:rPr>
              <w:t>40.64</w:t>
            </w:r>
          </w:p>
        </w:tc>
        <w:tc>
          <w:tcPr>
            <w:tcW w:w="964" w:type="dxa"/>
            <w:tcBorders>
              <w:bottom w:val="single" w:sz="4" w:space="0" w:color="1B556B" w:themeColor="text2"/>
            </w:tcBorders>
          </w:tcPr>
          <w:p w14:paraId="23DB7572" w14:textId="77777777" w:rsidR="00ED2EBD" w:rsidRPr="00BD16B4" w:rsidRDefault="00ED2EBD" w:rsidP="004A205F">
            <w:pPr>
              <w:pStyle w:val="TableText"/>
              <w:spacing w:before="40" w:after="40"/>
              <w:jc w:val="right"/>
              <w:rPr>
                <w:rFonts w:cs="Calibri"/>
                <w:szCs w:val="18"/>
              </w:rPr>
            </w:pPr>
            <w:r w:rsidRPr="00BD16B4">
              <w:rPr>
                <w:rFonts w:cs="Calibri"/>
                <w:szCs w:val="18"/>
              </w:rPr>
              <w:t>41.70</w:t>
            </w:r>
          </w:p>
        </w:tc>
        <w:tc>
          <w:tcPr>
            <w:tcW w:w="964" w:type="dxa"/>
            <w:tcBorders>
              <w:bottom w:val="single" w:sz="4" w:space="0" w:color="1B556B" w:themeColor="text2"/>
            </w:tcBorders>
          </w:tcPr>
          <w:p w14:paraId="35354C83" w14:textId="77777777" w:rsidR="00ED2EBD" w:rsidRPr="00BD16B4" w:rsidRDefault="00ED2EBD" w:rsidP="004A205F">
            <w:pPr>
              <w:pStyle w:val="TableText"/>
              <w:spacing w:before="40" w:after="40"/>
              <w:jc w:val="right"/>
              <w:rPr>
                <w:rFonts w:cs="Calibri"/>
                <w:szCs w:val="18"/>
              </w:rPr>
            </w:pPr>
            <w:r w:rsidRPr="00BD16B4">
              <w:rPr>
                <w:rFonts w:cs="Calibri"/>
                <w:szCs w:val="18"/>
              </w:rPr>
              <w:t>43.27</w:t>
            </w:r>
          </w:p>
        </w:tc>
        <w:tc>
          <w:tcPr>
            <w:tcW w:w="964" w:type="dxa"/>
            <w:tcBorders>
              <w:bottom w:val="single" w:sz="4" w:space="0" w:color="1B556B" w:themeColor="text2"/>
            </w:tcBorders>
          </w:tcPr>
          <w:p w14:paraId="58C51CF9" w14:textId="77777777" w:rsidR="00ED2EBD" w:rsidRPr="00BD16B4" w:rsidRDefault="00ED2EBD" w:rsidP="004A205F">
            <w:pPr>
              <w:pStyle w:val="TableText"/>
              <w:spacing w:before="40" w:after="40"/>
              <w:jc w:val="right"/>
              <w:rPr>
                <w:rFonts w:cs="Calibri"/>
                <w:szCs w:val="18"/>
              </w:rPr>
            </w:pPr>
            <w:r w:rsidRPr="00BD16B4">
              <w:rPr>
                <w:rFonts w:cs="Calibri"/>
                <w:szCs w:val="18"/>
              </w:rPr>
              <w:t>44.00</w:t>
            </w:r>
          </w:p>
        </w:tc>
        <w:tc>
          <w:tcPr>
            <w:tcW w:w="964" w:type="dxa"/>
            <w:tcBorders>
              <w:bottom w:val="single" w:sz="4" w:space="0" w:color="1B556B" w:themeColor="text2"/>
            </w:tcBorders>
          </w:tcPr>
          <w:p w14:paraId="1CF55F11" w14:textId="77777777" w:rsidR="00ED2EBD" w:rsidRPr="00BD16B4" w:rsidRDefault="00ED2EBD" w:rsidP="004A205F">
            <w:pPr>
              <w:pStyle w:val="TableText"/>
              <w:spacing w:before="40" w:after="40"/>
              <w:jc w:val="right"/>
              <w:rPr>
                <w:rFonts w:cs="Calibri"/>
                <w:szCs w:val="18"/>
              </w:rPr>
            </w:pPr>
            <w:r w:rsidRPr="00BD16B4">
              <w:rPr>
                <w:rFonts w:cs="Calibri"/>
                <w:szCs w:val="18"/>
              </w:rPr>
              <w:t>46.67</w:t>
            </w:r>
          </w:p>
        </w:tc>
        <w:tc>
          <w:tcPr>
            <w:tcW w:w="964" w:type="dxa"/>
            <w:tcBorders>
              <w:bottom w:val="single" w:sz="4" w:space="0" w:color="1B556B" w:themeColor="text2"/>
            </w:tcBorders>
          </w:tcPr>
          <w:p w14:paraId="0C4CC427" w14:textId="77777777" w:rsidR="00ED2EBD" w:rsidRPr="00BD16B4" w:rsidRDefault="00ED2EBD" w:rsidP="004A205F">
            <w:pPr>
              <w:pStyle w:val="TableText"/>
              <w:spacing w:before="40" w:after="40"/>
              <w:jc w:val="right"/>
              <w:rPr>
                <w:rFonts w:cs="Calibri"/>
                <w:szCs w:val="18"/>
              </w:rPr>
            </w:pPr>
            <w:r w:rsidRPr="00BD16B4">
              <w:rPr>
                <w:rFonts w:cs="Calibri"/>
                <w:szCs w:val="18"/>
              </w:rPr>
              <w:t>47.79</w:t>
            </w:r>
          </w:p>
        </w:tc>
        <w:tc>
          <w:tcPr>
            <w:tcW w:w="964" w:type="dxa"/>
            <w:tcBorders>
              <w:bottom w:val="single" w:sz="4" w:space="0" w:color="1B556B" w:themeColor="text2"/>
            </w:tcBorders>
          </w:tcPr>
          <w:p w14:paraId="780DCFC0" w14:textId="77777777" w:rsidR="00ED2EBD" w:rsidRPr="00BD16B4" w:rsidRDefault="00ED2EBD" w:rsidP="004A205F">
            <w:pPr>
              <w:pStyle w:val="TableText"/>
              <w:spacing w:before="40" w:after="40"/>
              <w:jc w:val="right"/>
              <w:rPr>
                <w:rFonts w:cs="Calibri"/>
                <w:szCs w:val="18"/>
              </w:rPr>
            </w:pPr>
            <w:r w:rsidRPr="00BD16B4">
              <w:rPr>
                <w:rFonts w:cs="Calibri"/>
                <w:szCs w:val="18"/>
              </w:rPr>
              <w:t>48.04</w:t>
            </w:r>
          </w:p>
        </w:tc>
        <w:tc>
          <w:tcPr>
            <w:tcW w:w="964" w:type="dxa"/>
            <w:tcBorders>
              <w:bottom w:val="single" w:sz="4" w:space="0" w:color="1B556B" w:themeColor="text2"/>
            </w:tcBorders>
          </w:tcPr>
          <w:p w14:paraId="44E7F2CF" w14:textId="77777777" w:rsidR="00ED2EBD" w:rsidRPr="00BD16B4" w:rsidRDefault="00ED2EBD" w:rsidP="004A205F">
            <w:pPr>
              <w:pStyle w:val="TableText"/>
              <w:spacing w:before="40" w:after="40"/>
              <w:jc w:val="right"/>
              <w:rPr>
                <w:rFonts w:cs="Calibri"/>
                <w:szCs w:val="18"/>
              </w:rPr>
            </w:pPr>
            <w:r w:rsidRPr="00BD16B4">
              <w:rPr>
                <w:rFonts w:cs="Calibri"/>
                <w:szCs w:val="18"/>
              </w:rPr>
              <w:t>44.08</w:t>
            </w:r>
          </w:p>
        </w:tc>
      </w:tr>
      <w:tr w:rsidR="00ED2EBD" w:rsidRPr="00BD16B4" w14:paraId="188CCB63" w14:textId="77777777" w:rsidTr="00D462E8">
        <w:tc>
          <w:tcPr>
            <w:tcW w:w="3397" w:type="dxa"/>
          </w:tcPr>
          <w:p w14:paraId="62441D49" w14:textId="622C861F" w:rsidR="00ED2EBD" w:rsidRPr="00BD16B4" w:rsidRDefault="00ED2EBD" w:rsidP="004A205F">
            <w:pPr>
              <w:pStyle w:val="TableText"/>
              <w:spacing w:before="40" w:after="40"/>
              <w:rPr>
                <w:rFonts w:cs="Calibri"/>
                <w:szCs w:val="18"/>
              </w:rPr>
            </w:pPr>
            <w:r w:rsidRPr="00BD16B4">
              <w:rPr>
                <w:rFonts w:cs="Calibri"/>
                <w:szCs w:val="18"/>
              </w:rPr>
              <w:t>E.</w:t>
            </w:r>
            <w:r w:rsidR="00280979" w:rsidRPr="00BD16B4">
              <w:rPr>
                <w:rFonts w:cs="Calibri"/>
                <w:szCs w:val="18"/>
              </w:rPr>
              <w:t xml:space="preserve"> </w:t>
            </w:r>
            <w:r w:rsidRPr="00BD16B4">
              <w:rPr>
                <w:rFonts w:cs="Calibri"/>
                <w:szCs w:val="18"/>
              </w:rPr>
              <w:t>Electronic industry</w:t>
            </w:r>
          </w:p>
        </w:tc>
        <w:tc>
          <w:tcPr>
            <w:tcW w:w="964" w:type="dxa"/>
            <w:tcBorders>
              <w:top w:val="single" w:sz="4" w:space="0" w:color="1B556B" w:themeColor="text2"/>
            </w:tcBorders>
            <w:shd w:val="clear" w:color="auto" w:fill="D2DDE1" w:themeFill="background2"/>
          </w:tcPr>
          <w:p w14:paraId="6A2471A1"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3280DD9"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02A807F1"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03454E52"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4DA41E3"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41E5E61"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6C1774F0"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AEE10B1"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7A034784"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6ADB7E66"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018CFB2E"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r>
      <w:tr w:rsidR="00ED2EBD" w:rsidRPr="00BD16B4" w14:paraId="04124DB0" w14:textId="77777777" w:rsidTr="00D462E8">
        <w:tc>
          <w:tcPr>
            <w:tcW w:w="3397" w:type="dxa"/>
          </w:tcPr>
          <w:p w14:paraId="6C6346DE" w14:textId="7B78DE74" w:rsidR="00ED2EBD" w:rsidRPr="00BD16B4" w:rsidRDefault="00ED2EBD" w:rsidP="004A205F">
            <w:pPr>
              <w:pStyle w:val="TableText"/>
              <w:spacing w:before="40" w:after="40"/>
              <w:rPr>
                <w:rFonts w:cs="Calibri"/>
                <w:szCs w:val="18"/>
              </w:rPr>
            </w:pPr>
            <w:r w:rsidRPr="00BD16B4">
              <w:rPr>
                <w:rFonts w:cs="Calibri"/>
                <w:szCs w:val="18"/>
              </w:rPr>
              <w:t>F.</w:t>
            </w:r>
            <w:r w:rsidR="00280979" w:rsidRPr="00BD16B4">
              <w:rPr>
                <w:rFonts w:cs="Calibri"/>
                <w:szCs w:val="18"/>
              </w:rPr>
              <w:t xml:space="preserve"> </w:t>
            </w:r>
            <w:r w:rsidRPr="00BD16B4">
              <w:rPr>
                <w:rFonts w:cs="Calibri"/>
                <w:szCs w:val="18"/>
              </w:rPr>
              <w:t>Product uses as ODS substitutes</w:t>
            </w:r>
          </w:p>
        </w:tc>
        <w:tc>
          <w:tcPr>
            <w:tcW w:w="964" w:type="dxa"/>
            <w:tcBorders>
              <w:top w:val="single" w:sz="4" w:space="0" w:color="1B556B" w:themeColor="text2"/>
            </w:tcBorders>
            <w:shd w:val="clear" w:color="auto" w:fill="D2DDE1" w:themeFill="background2"/>
          </w:tcPr>
          <w:p w14:paraId="37A296F1"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73856727"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FD32792"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42A1F52A"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A472007"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75A4893A"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44316A5C"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6CA21AA"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037A5339"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06D76ABB"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126442E"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r>
      <w:tr w:rsidR="008E7C93" w:rsidRPr="00BD16B4" w14:paraId="2AAC96DE" w14:textId="77777777" w:rsidTr="00D462E8">
        <w:tc>
          <w:tcPr>
            <w:tcW w:w="3397" w:type="dxa"/>
          </w:tcPr>
          <w:p w14:paraId="4D3B1C86" w14:textId="45FABB0C" w:rsidR="00ED2EBD" w:rsidRPr="00BD16B4" w:rsidRDefault="00ED2EBD" w:rsidP="004A205F">
            <w:pPr>
              <w:pStyle w:val="TableText"/>
              <w:spacing w:before="40" w:after="40"/>
              <w:rPr>
                <w:rFonts w:cs="Calibri"/>
                <w:szCs w:val="18"/>
              </w:rPr>
            </w:pPr>
            <w:r w:rsidRPr="00BD16B4">
              <w:rPr>
                <w:rFonts w:cs="Calibri"/>
                <w:szCs w:val="18"/>
              </w:rPr>
              <w:t>G.</w:t>
            </w:r>
            <w:r w:rsidR="00280979" w:rsidRPr="00BD16B4">
              <w:rPr>
                <w:rFonts w:cs="Calibri"/>
                <w:szCs w:val="18"/>
              </w:rPr>
              <w:t xml:space="preserve"> </w:t>
            </w:r>
            <w:r w:rsidRPr="00BD16B4">
              <w:rPr>
                <w:rFonts w:cs="Calibri"/>
                <w:szCs w:val="18"/>
              </w:rPr>
              <w:t xml:space="preserve">Other product manufacture and use </w:t>
            </w:r>
          </w:p>
        </w:tc>
        <w:tc>
          <w:tcPr>
            <w:tcW w:w="964" w:type="dxa"/>
            <w:tcBorders>
              <w:bottom w:val="single" w:sz="4" w:space="0" w:color="1B556B" w:themeColor="text2"/>
            </w:tcBorders>
          </w:tcPr>
          <w:p w14:paraId="6FC2145F"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Borders>
              <w:bottom w:val="single" w:sz="4" w:space="0" w:color="1B556B" w:themeColor="text2"/>
            </w:tcBorders>
          </w:tcPr>
          <w:p w14:paraId="03947C99"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Borders>
              <w:bottom w:val="single" w:sz="4" w:space="0" w:color="1B556B" w:themeColor="text2"/>
            </w:tcBorders>
          </w:tcPr>
          <w:p w14:paraId="727CA543"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Borders>
              <w:bottom w:val="single" w:sz="4" w:space="0" w:color="1B556B" w:themeColor="text2"/>
            </w:tcBorders>
          </w:tcPr>
          <w:p w14:paraId="32DCF792"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Borders>
              <w:bottom w:val="single" w:sz="4" w:space="0" w:color="1B556B" w:themeColor="text2"/>
            </w:tcBorders>
          </w:tcPr>
          <w:p w14:paraId="62127C2C"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Borders>
              <w:bottom w:val="single" w:sz="4" w:space="0" w:color="1B556B" w:themeColor="text2"/>
            </w:tcBorders>
          </w:tcPr>
          <w:p w14:paraId="7A327F8B"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Borders>
              <w:bottom w:val="single" w:sz="4" w:space="0" w:color="1B556B" w:themeColor="text2"/>
            </w:tcBorders>
          </w:tcPr>
          <w:p w14:paraId="7E53F659"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Borders>
              <w:bottom w:val="single" w:sz="4" w:space="0" w:color="1B556B" w:themeColor="text2"/>
            </w:tcBorders>
          </w:tcPr>
          <w:p w14:paraId="761EA219"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Borders>
              <w:bottom w:val="single" w:sz="4" w:space="0" w:color="1B556B" w:themeColor="text2"/>
            </w:tcBorders>
          </w:tcPr>
          <w:p w14:paraId="103D9D55"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Borders>
              <w:bottom w:val="single" w:sz="4" w:space="0" w:color="1B556B" w:themeColor="text2"/>
            </w:tcBorders>
          </w:tcPr>
          <w:p w14:paraId="26C99049"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Borders>
              <w:bottom w:val="single" w:sz="4" w:space="0" w:color="1B556B" w:themeColor="text2"/>
            </w:tcBorders>
          </w:tcPr>
          <w:p w14:paraId="1DB10229"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r>
      <w:tr w:rsidR="00ED2EBD" w:rsidRPr="00BD16B4" w14:paraId="6F765AB3" w14:textId="77777777" w:rsidTr="00D462E8">
        <w:tc>
          <w:tcPr>
            <w:tcW w:w="3397" w:type="dxa"/>
          </w:tcPr>
          <w:p w14:paraId="3A24906D" w14:textId="2C75940A" w:rsidR="00ED2EBD" w:rsidRPr="00BD16B4" w:rsidRDefault="00ED2EBD" w:rsidP="004A205F">
            <w:pPr>
              <w:pStyle w:val="TableText"/>
              <w:spacing w:before="40" w:after="40"/>
              <w:rPr>
                <w:rFonts w:cs="Calibri"/>
                <w:szCs w:val="18"/>
              </w:rPr>
            </w:pPr>
            <w:r w:rsidRPr="00BD16B4">
              <w:rPr>
                <w:rFonts w:cs="Calibri"/>
                <w:szCs w:val="18"/>
              </w:rPr>
              <w:t>H.</w:t>
            </w:r>
            <w:r w:rsidR="00280979" w:rsidRPr="00BD16B4">
              <w:rPr>
                <w:rFonts w:cs="Calibri"/>
                <w:szCs w:val="18"/>
              </w:rPr>
              <w:t xml:space="preserve"> </w:t>
            </w:r>
            <w:r w:rsidRPr="00BD16B4">
              <w:rPr>
                <w:rFonts w:cs="Calibri"/>
                <w:szCs w:val="18"/>
              </w:rPr>
              <w:t xml:space="preserve">Other </w:t>
            </w:r>
          </w:p>
        </w:tc>
        <w:tc>
          <w:tcPr>
            <w:tcW w:w="964" w:type="dxa"/>
            <w:tcBorders>
              <w:top w:val="single" w:sz="4" w:space="0" w:color="1B556B" w:themeColor="text2"/>
            </w:tcBorders>
            <w:shd w:val="clear" w:color="auto" w:fill="D2DDE1" w:themeFill="background2"/>
          </w:tcPr>
          <w:p w14:paraId="27C56DE8"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C161B9F"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72E8165"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2E26E957"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25D28CCB"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9700796"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79DFD609"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B232197"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2DCC5D52"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424E6DD"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66B9581E"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r>
      <w:tr w:rsidR="008E7C93" w:rsidRPr="00BD16B4" w14:paraId="52D094A9" w14:textId="77777777" w:rsidTr="00D462E8">
        <w:tc>
          <w:tcPr>
            <w:tcW w:w="3397" w:type="dxa"/>
          </w:tcPr>
          <w:p w14:paraId="2A828322" w14:textId="32CD2061" w:rsidR="00ED2EBD" w:rsidRPr="00BD16B4" w:rsidRDefault="00ED2EBD" w:rsidP="004A205F">
            <w:pPr>
              <w:pStyle w:val="TableText"/>
              <w:spacing w:before="40" w:after="40"/>
              <w:rPr>
                <w:rFonts w:cs="Calibri"/>
                <w:szCs w:val="18"/>
              </w:rPr>
            </w:pPr>
            <w:r w:rsidRPr="00BD16B4">
              <w:rPr>
                <w:rFonts w:cs="Calibri"/>
                <w:b/>
                <w:bCs/>
                <w:szCs w:val="18"/>
              </w:rPr>
              <w:t>3.</w:t>
            </w:r>
            <w:r w:rsidR="00280979" w:rsidRPr="00BD16B4">
              <w:rPr>
                <w:rFonts w:cs="Calibri"/>
                <w:b/>
                <w:bCs/>
                <w:szCs w:val="18"/>
              </w:rPr>
              <w:t xml:space="preserve"> </w:t>
            </w:r>
            <w:r w:rsidRPr="00BD16B4">
              <w:rPr>
                <w:rFonts w:cs="Calibri"/>
                <w:b/>
                <w:bCs/>
                <w:szCs w:val="18"/>
              </w:rPr>
              <w:t>Agriculture</w:t>
            </w:r>
          </w:p>
        </w:tc>
        <w:tc>
          <w:tcPr>
            <w:tcW w:w="964" w:type="dxa"/>
            <w:tcBorders>
              <w:bottom w:val="single" w:sz="4" w:space="0" w:color="1B556B" w:themeColor="text2"/>
            </w:tcBorders>
          </w:tcPr>
          <w:p w14:paraId="6BED7DCD" w14:textId="77777777" w:rsidR="00ED2EBD" w:rsidRPr="00BD16B4" w:rsidRDefault="00ED2EBD" w:rsidP="004A205F">
            <w:pPr>
              <w:pStyle w:val="TableText"/>
              <w:spacing w:before="40" w:after="40"/>
              <w:jc w:val="right"/>
              <w:rPr>
                <w:rFonts w:cs="Calibri"/>
                <w:szCs w:val="18"/>
              </w:rPr>
            </w:pPr>
            <w:r w:rsidRPr="00BD16B4">
              <w:rPr>
                <w:rFonts w:cs="Calibri"/>
                <w:szCs w:val="18"/>
              </w:rPr>
              <w:t>961.20</w:t>
            </w:r>
          </w:p>
        </w:tc>
        <w:tc>
          <w:tcPr>
            <w:tcW w:w="964" w:type="dxa"/>
            <w:tcBorders>
              <w:bottom w:val="single" w:sz="4" w:space="0" w:color="1B556B" w:themeColor="text2"/>
            </w:tcBorders>
          </w:tcPr>
          <w:p w14:paraId="11000222" w14:textId="77777777" w:rsidR="00ED2EBD" w:rsidRPr="00BD16B4" w:rsidRDefault="00ED2EBD" w:rsidP="004A205F">
            <w:pPr>
              <w:pStyle w:val="TableText"/>
              <w:spacing w:before="40" w:after="40"/>
              <w:jc w:val="right"/>
              <w:rPr>
                <w:rFonts w:cs="Calibri"/>
                <w:szCs w:val="18"/>
              </w:rPr>
            </w:pPr>
            <w:r w:rsidRPr="00BD16B4">
              <w:rPr>
                <w:rFonts w:cs="Calibri"/>
                <w:szCs w:val="18"/>
              </w:rPr>
              <w:t>1,019.71</w:t>
            </w:r>
          </w:p>
        </w:tc>
        <w:tc>
          <w:tcPr>
            <w:tcW w:w="964" w:type="dxa"/>
            <w:tcBorders>
              <w:bottom w:val="single" w:sz="4" w:space="0" w:color="1B556B" w:themeColor="text2"/>
            </w:tcBorders>
          </w:tcPr>
          <w:p w14:paraId="485E921E" w14:textId="77777777" w:rsidR="00ED2EBD" w:rsidRPr="00BD16B4" w:rsidRDefault="00ED2EBD" w:rsidP="004A205F">
            <w:pPr>
              <w:pStyle w:val="TableText"/>
              <w:spacing w:before="40" w:after="40"/>
              <w:jc w:val="right"/>
              <w:rPr>
                <w:rFonts w:cs="Calibri"/>
                <w:szCs w:val="18"/>
              </w:rPr>
            </w:pPr>
            <w:r w:rsidRPr="00BD16B4">
              <w:rPr>
                <w:rFonts w:cs="Calibri"/>
                <w:szCs w:val="18"/>
              </w:rPr>
              <w:t>1,056.78</w:t>
            </w:r>
          </w:p>
        </w:tc>
        <w:tc>
          <w:tcPr>
            <w:tcW w:w="964" w:type="dxa"/>
            <w:tcBorders>
              <w:bottom w:val="single" w:sz="4" w:space="0" w:color="1B556B" w:themeColor="text2"/>
            </w:tcBorders>
          </w:tcPr>
          <w:p w14:paraId="6F18527A" w14:textId="77777777" w:rsidR="00ED2EBD" w:rsidRPr="00BD16B4" w:rsidRDefault="00ED2EBD" w:rsidP="004A205F">
            <w:pPr>
              <w:pStyle w:val="TableText"/>
              <w:spacing w:before="40" w:after="40"/>
              <w:jc w:val="right"/>
              <w:rPr>
                <w:rFonts w:cs="Calibri"/>
                <w:szCs w:val="18"/>
              </w:rPr>
            </w:pPr>
            <w:r w:rsidRPr="00BD16B4">
              <w:rPr>
                <w:rFonts w:cs="Calibri"/>
                <w:szCs w:val="18"/>
              </w:rPr>
              <w:t>965.93</w:t>
            </w:r>
          </w:p>
        </w:tc>
        <w:tc>
          <w:tcPr>
            <w:tcW w:w="964" w:type="dxa"/>
            <w:tcBorders>
              <w:bottom w:val="single" w:sz="4" w:space="0" w:color="1B556B" w:themeColor="text2"/>
            </w:tcBorders>
          </w:tcPr>
          <w:p w14:paraId="1320FA66" w14:textId="77777777" w:rsidR="00ED2EBD" w:rsidRPr="00BD16B4" w:rsidRDefault="00ED2EBD" w:rsidP="004A205F">
            <w:pPr>
              <w:pStyle w:val="TableText"/>
              <w:spacing w:before="40" w:after="40"/>
              <w:jc w:val="right"/>
              <w:rPr>
                <w:rFonts w:cs="Calibri"/>
                <w:szCs w:val="18"/>
              </w:rPr>
            </w:pPr>
            <w:r w:rsidRPr="00BD16B4">
              <w:rPr>
                <w:rFonts w:cs="Calibri"/>
                <w:szCs w:val="18"/>
              </w:rPr>
              <w:t>998.76</w:t>
            </w:r>
          </w:p>
        </w:tc>
        <w:tc>
          <w:tcPr>
            <w:tcW w:w="964" w:type="dxa"/>
            <w:tcBorders>
              <w:bottom w:val="single" w:sz="4" w:space="0" w:color="1B556B" w:themeColor="text2"/>
            </w:tcBorders>
          </w:tcPr>
          <w:p w14:paraId="7332DA11" w14:textId="77777777" w:rsidR="00ED2EBD" w:rsidRPr="00BD16B4" w:rsidRDefault="00ED2EBD" w:rsidP="004A205F">
            <w:pPr>
              <w:pStyle w:val="TableText"/>
              <w:spacing w:before="40" w:after="40"/>
              <w:jc w:val="right"/>
              <w:rPr>
                <w:rFonts w:cs="Calibri"/>
                <w:szCs w:val="18"/>
              </w:rPr>
            </w:pPr>
            <w:r w:rsidRPr="00BD16B4">
              <w:rPr>
                <w:rFonts w:cs="Calibri"/>
                <w:szCs w:val="18"/>
              </w:rPr>
              <w:t>1,050.24</w:t>
            </w:r>
          </w:p>
        </w:tc>
        <w:tc>
          <w:tcPr>
            <w:tcW w:w="964" w:type="dxa"/>
            <w:tcBorders>
              <w:bottom w:val="single" w:sz="4" w:space="0" w:color="1B556B" w:themeColor="text2"/>
            </w:tcBorders>
          </w:tcPr>
          <w:p w14:paraId="00E4B52B" w14:textId="77777777" w:rsidR="00ED2EBD" w:rsidRPr="00BD16B4" w:rsidRDefault="00ED2EBD" w:rsidP="004A205F">
            <w:pPr>
              <w:pStyle w:val="TableText"/>
              <w:spacing w:before="40" w:after="40"/>
              <w:jc w:val="right"/>
              <w:rPr>
                <w:rFonts w:cs="Calibri"/>
                <w:szCs w:val="18"/>
              </w:rPr>
            </w:pPr>
            <w:r w:rsidRPr="00BD16B4">
              <w:rPr>
                <w:rFonts w:cs="Calibri"/>
                <w:szCs w:val="18"/>
              </w:rPr>
              <w:t>998.15</w:t>
            </w:r>
          </w:p>
        </w:tc>
        <w:tc>
          <w:tcPr>
            <w:tcW w:w="964" w:type="dxa"/>
            <w:tcBorders>
              <w:bottom w:val="single" w:sz="4" w:space="0" w:color="1B556B" w:themeColor="text2"/>
            </w:tcBorders>
          </w:tcPr>
          <w:p w14:paraId="6106D0D1" w14:textId="77777777" w:rsidR="00ED2EBD" w:rsidRPr="00BD16B4" w:rsidRDefault="00ED2EBD" w:rsidP="004A205F">
            <w:pPr>
              <w:pStyle w:val="TableText"/>
              <w:spacing w:before="40" w:after="40"/>
              <w:jc w:val="right"/>
              <w:rPr>
                <w:rFonts w:cs="Calibri"/>
                <w:szCs w:val="18"/>
              </w:rPr>
            </w:pPr>
            <w:r w:rsidRPr="00BD16B4">
              <w:rPr>
                <w:rFonts w:cs="Calibri"/>
                <w:szCs w:val="18"/>
              </w:rPr>
              <w:t>967.09</w:t>
            </w:r>
          </w:p>
        </w:tc>
        <w:tc>
          <w:tcPr>
            <w:tcW w:w="964" w:type="dxa"/>
            <w:tcBorders>
              <w:bottom w:val="single" w:sz="4" w:space="0" w:color="1B556B" w:themeColor="text2"/>
            </w:tcBorders>
          </w:tcPr>
          <w:p w14:paraId="5D85C37B" w14:textId="77777777" w:rsidR="00ED2EBD" w:rsidRPr="00BD16B4" w:rsidRDefault="00ED2EBD" w:rsidP="004A205F">
            <w:pPr>
              <w:pStyle w:val="TableText"/>
              <w:spacing w:before="40" w:after="40"/>
              <w:jc w:val="right"/>
              <w:rPr>
                <w:rFonts w:cs="Calibri"/>
                <w:szCs w:val="18"/>
              </w:rPr>
            </w:pPr>
            <w:r w:rsidRPr="00BD16B4">
              <w:rPr>
                <w:rFonts w:cs="Calibri"/>
                <w:szCs w:val="18"/>
              </w:rPr>
              <w:t>1,016.14</w:t>
            </w:r>
          </w:p>
        </w:tc>
        <w:tc>
          <w:tcPr>
            <w:tcW w:w="964" w:type="dxa"/>
            <w:tcBorders>
              <w:bottom w:val="single" w:sz="4" w:space="0" w:color="1B556B" w:themeColor="text2"/>
            </w:tcBorders>
          </w:tcPr>
          <w:p w14:paraId="6FA93E04" w14:textId="77777777" w:rsidR="00ED2EBD" w:rsidRPr="00BD16B4" w:rsidRDefault="00ED2EBD" w:rsidP="004A205F">
            <w:pPr>
              <w:pStyle w:val="TableText"/>
              <w:spacing w:before="40" w:after="40"/>
              <w:jc w:val="right"/>
              <w:rPr>
                <w:rFonts w:cs="Calibri"/>
                <w:szCs w:val="18"/>
              </w:rPr>
            </w:pPr>
            <w:r w:rsidRPr="00BD16B4">
              <w:rPr>
                <w:rFonts w:cs="Calibri"/>
                <w:szCs w:val="18"/>
              </w:rPr>
              <w:t>1,020.50</w:t>
            </w:r>
          </w:p>
        </w:tc>
        <w:tc>
          <w:tcPr>
            <w:tcW w:w="964" w:type="dxa"/>
            <w:tcBorders>
              <w:bottom w:val="single" w:sz="4" w:space="0" w:color="1B556B" w:themeColor="text2"/>
            </w:tcBorders>
          </w:tcPr>
          <w:p w14:paraId="4ABD14B7" w14:textId="77777777" w:rsidR="00ED2EBD" w:rsidRPr="00BD16B4" w:rsidRDefault="00ED2EBD" w:rsidP="004A205F">
            <w:pPr>
              <w:pStyle w:val="TableText"/>
              <w:spacing w:before="40" w:after="40"/>
              <w:jc w:val="right"/>
              <w:rPr>
                <w:rFonts w:cs="Calibri"/>
                <w:szCs w:val="18"/>
              </w:rPr>
            </w:pPr>
            <w:r w:rsidRPr="00BD16B4">
              <w:rPr>
                <w:rFonts w:cs="Calibri"/>
                <w:szCs w:val="18"/>
              </w:rPr>
              <w:t>951.51</w:t>
            </w:r>
          </w:p>
        </w:tc>
      </w:tr>
      <w:tr w:rsidR="00ED2EBD" w:rsidRPr="00BD16B4" w14:paraId="6502369C" w14:textId="77777777" w:rsidTr="00D462E8">
        <w:tc>
          <w:tcPr>
            <w:tcW w:w="3397" w:type="dxa"/>
          </w:tcPr>
          <w:p w14:paraId="26E3EB9E" w14:textId="38FB4115" w:rsidR="00ED2EBD" w:rsidRPr="00BD16B4" w:rsidRDefault="00ED2EBD" w:rsidP="004A205F">
            <w:pPr>
              <w:pStyle w:val="TableText"/>
              <w:spacing w:before="40" w:after="40"/>
              <w:rPr>
                <w:rFonts w:cs="Calibri"/>
                <w:szCs w:val="18"/>
              </w:rPr>
            </w:pPr>
            <w:r w:rsidRPr="00BD16B4">
              <w:rPr>
                <w:rFonts w:cs="Calibri"/>
                <w:szCs w:val="18"/>
              </w:rPr>
              <w:t>A.</w:t>
            </w:r>
            <w:r w:rsidR="00280979" w:rsidRPr="00BD16B4">
              <w:rPr>
                <w:rFonts w:cs="Calibri"/>
                <w:szCs w:val="18"/>
              </w:rPr>
              <w:t xml:space="preserve"> </w:t>
            </w:r>
            <w:r w:rsidRPr="00BD16B4">
              <w:rPr>
                <w:rFonts w:cs="Calibri"/>
                <w:szCs w:val="18"/>
              </w:rPr>
              <w:t>Enteric fermentation</w:t>
            </w:r>
          </w:p>
        </w:tc>
        <w:tc>
          <w:tcPr>
            <w:tcW w:w="964" w:type="dxa"/>
            <w:tcBorders>
              <w:top w:val="single" w:sz="4" w:space="0" w:color="1B556B" w:themeColor="text2"/>
            </w:tcBorders>
            <w:shd w:val="clear" w:color="auto" w:fill="D2DDE1" w:themeFill="background2"/>
          </w:tcPr>
          <w:p w14:paraId="10D2C62C"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01093B30"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A305290"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0ADC4C03"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405CCB08"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42E5D7BC"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06921B5F"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2E30B759"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DF68EC7"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6D019AC"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4875A9DC"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r>
      <w:tr w:rsidR="00ED2EBD" w:rsidRPr="00BD16B4" w14:paraId="656D061E" w14:textId="77777777" w:rsidTr="00D462E8">
        <w:tc>
          <w:tcPr>
            <w:tcW w:w="3397" w:type="dxa"/>
          </w:tcPr>
          <w:p w14:paraId="20F5E8C6" w14:textId="0CBD9CBE" w:rsidR="00ED2EBD" w:rsidRPr="00BD16B4" w:rsidRDefault="00ED2EBD" w:rsidP="004A205F">
            <w:pPr>
              <w:pStyle w:val="TableText"/>
              <w:spacing w:before="40" w:after="40"/>
              <w:rPr>
                <w:rFonts w:cs="Calibri"/>
                <w:szCs w:val="18"/>
              </w:rPr>
            </w:pPr>
            <w:r w:rsidRPr="00BD16B4">
              <w:rPr>
                <w:rFonts w:cs="Calibri"/>
                <w:szCs w:val="18"/>
              </w:rPr>
              <w:t>B.</w:t>
            </w:r>
            <w:r w:rsidR="00280979" w:rsidRPr="00BD16B4">
              <w:rPr>
                <w:rFonts w:cs="Calibri"/>
                <w:szCs w:val="18"/>
              </w:rPr>
              <w:t xml:space="preserve"> </w:t>
            </w:r>
            <w:r w:rsidRPr="00BD16B4">
              <w:rPr>
                <w:rFonts w:cs="Calibri"/>
                <w:szCs w:val="18"/>
              </w:rPr>
              <w:t>Manure management</w:t>
            </w:r>
          </w:p>
        </w:tc>
        <w:tc>
          <w:tcPr>
            <w:tcW w:w="964" w:type="dxa"/>
            <w:tcBorders>
              <w:top w:val="single" w:sz="4" w:space="0" w:color="1B556B" w:themeColor="text2"/>
            </w:tcBorders>
            <w:shd w:val="clear" w:color="auto" w:fill="D2DDE1" w:themeFill="background2"/>
          </w:tcPr>
          <w:p w14:paraId="14EFAF33"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4A210501"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6FC9CA28"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2B5D55B8"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6AE50FB"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8657E8E"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48B4F177"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60A040F0"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7EE827CD"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2B4BE3E7"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972D549"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r>
      <w:tr w:rsidR="00ED2EBD" w:rsidRPr="00BD16B4" w14:paraId="216EE219" w14:textId="77777777" w:rsidTr="00D462E8">
        <w:tc>
          <w:tcPr>
            <w:tcW w:w="3397" w:type="dxa"/>
          </w:tcPr>
          <w:p w14:paraId="22909A5F" w14:textId="79B654FE" w:rsidR="00ED2EBD" w:rsidRPr="00BD16B4" w:rsidRDefault="00ED2EBD" w:rsidP="004A205F">
            <w:pPr>
              <w:pStyle w:val="TableText"/>
              <w:spacing w:before="40" w:after="40"/>
              <w:rPr>
                <w:rFonts w:cs="Calibri"/>
                <w:szCs w:val="18"/>
              </w:rPr>
            </w:pPr>
            <w:r w:rsidRPr="00BD16B4">
              <w:rPr>
                <w:rFonts w:cs="Calibri"/>
                <w:szCs w:val="18"/>
              </w:rPr>
              <w:t>C.</w:t>
            </w:r>
            <w:r w:rsidR="00280979" w:rsidRPr="00BD16B4">
              <w:rPr>
                <w:rFonts w:cs="Calibri"/>
                <w:szCs w:val="18"/>
              </w:rPr>
              <w:t xml:space="preserve"> </w:t>
            </w:r>
            <w:r w:rsidRPr="00BD16B4">
              <w:rPr>
                <w:rFonts w:cs="Calibri"/>
                <w:szCs w:val="18"/>
              </w:rPr>
              <w:t>Rice cultivation</w:t>
            </w:r>
          </w:p>
        </w:tc>
        <w:tc>
          <w:tcPr>
            <w:tcW w:w="964" w:type="dxa"/>
            <w:tcBorders>
              <w:top w:val="single" w:sz="4" w:space="0" w:color="1B556B" w:themeColor="text2"/>
            </w:tcBorders>
            <w:shd w:val="clear" w:color="auto" w:fill="D2DDE1" w:themeFill="background2"/>
          </w:tcPr>
          <w:p w14:paraId="207EF073"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40DB3F9F"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6249A6B"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544C4AD"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2A39F777"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0CD7692C"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EEA87C3"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46672852"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7E829B84"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73950CF6"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81F3CDE"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r>
      <w:tr w:rsidR="00ED2EBD" w:rsidRPr="00BD16B4" w14:paraId="23509457" w14:textId="77777777" w:rsidTr="00D462E8">
        <w:tc>
          <w:tcPr>
            <w:tcW w:w="3397" w:type="dxa"/>
          </w:tcPr>
          <w:p w14:paraId="35E49D91" w14:textId="67E4AD53" w:rsidR="00ED2EBD" w:rsidRPr="00BD16B4" w:rsidRDefault="00ED2EBD" w:rsidP="004A205F">
            <w:pPr>
              <w:pStyle w:val="TableText"/>
              <w:spacing w:before="40" w:after="40"/>
              <w:rPr>
                <w:rFonts w:cs="Calibri"/>
                <w:szCs w:val="18"/>
              </w:rPr>
            </w:pPr>
            <w:r w:rsidRPr="00BD16B4">
              <w:rPr>
                <w:rFonts w:cs="Calibri"/>
                <w:szCs w:val="18"/>
              </w:rPr>
              <w:t>D.</w:t>
            </w:r>
            <w:r w:rsidR="00280979" w:rsidRPr="00BD16B4">
              <w:rPr>
                <w:rFonts w:cs="Calibri"/>
                <w:szCs w:val="18"/>
              </w:rPr>
              <w:t xml:space="preserve"> </w:t>
            </w:r>
            <w:r w:rsidRPr="00BD16B4">
              <w:rPr>
                <w:rFonts w:cs="Calibri"/>
                <w:szCs w:val="18"/>
              </w:rPr>
              <w:t>Agricultural soils</w:t>
            </w:r>
          </w:p>
        </w:tc>
        <w:tc>
          <w:tcPr>
            <w:tcW w:w="964" w:type="dxa"/>
            <w:tcBorders>
              <w:top w:val="single" w:sz="4" w:space="0" w:color="1B556B" w:themeColor="text2"/>
            </w:tcBorders>
            <w:shd w:val="clear" w:color="auto" w:fill="D2DDE1" w:themeFill="background2"/>
          </w:tcPr>
          <w:p w14:paraId="1E7D9E44"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42D6155"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6BFBD06B"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6779135"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240A6D4E"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F101504"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6702FF76"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790F36DE"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7B8DD28"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6A0920C5"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7B3B0C37"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r>
      <w:tr w:rsidR="00ED2EBD" w:rsidRPr="00BD16B4" w14:paraId="2FC4319D" w14:textId="77777777" w:rsidTr="00D462E8">
        <w:tc>
          <w:tcPr>
            <w:tcW w:w="3397" w:type="dxa"/>
          </w:tcPr>
          <w:p w14:paraId="655798E8" w14:textId="3259E3F3" w:rsidR="00ED2EBD" w:rsidRPr="00BD16B4" w:rsidRDefault="00ED2EBD" w:rsidP="008E7C93">
            <w:pPr>
              <w:pStyle w:val="TableText"/>
              <w:keepNext/>
              <w:spacing w:before="40" w:after="40"/>
              <w:rPr>
                <w:rFonts w:cs="Calibri"/>
                <w:szCs w:val="18"/>
              </w:rPr>
            </w:pPr>
            <w:r w:rsidRPr="00BD16B4">
              <w:rPr>
                <w:rFonts w:cs="Calibri"/>
                <w:szCs w:val="18"/>
              </w:rPr>
              <w:t>E.</w:t>
            </w:r>
            <w:r w:rsidR="00280979" w:rsidRPr="00BD16B4">
              <w:rPr>
                <w:rFonts w:cs="Calibri"/>
                <w:szCs w:val="18"/>
              </w:rPr>
              <w:t xml:space="preserve"> </w:t>
            </w:r>
            <w:r w:rsidRPr="00BD16B4">
              <w:rPr>
                <w:rFonts w:cs="Calibri"/>
                <w:szCs w:val="18"/>
              </w:rPr>
              <w:t>Prescribed burning of savannas</w:t>
            </w:r>
          </w:p>
        </w:tc>
        <w:tc>
          <w:tcPr>
            <w:tcW w:w="964" w:type="dxa"/>
            <w:tcBorders>
              <w:top w:val="single" w:sz="4" w:space="0" w:color="1B556B" w:themeColor="text2"/>
            </w:tcBorders>
            <w:shd w:val="clear" w:color="auto" w:fill="D2DDE1" w:themeFill="background2"/>
          </w:tcPr>
          <w:p w14:paraId="6C91EB2C"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4F7F098"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26D5C991"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72A28B0D"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60BD6795"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D3BB4B1"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68FC3EA"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645BCB23"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08CE378"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27FF3FB2"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063B65FC"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r>
      <w:tr w:rsidR="00ED2EBD" w:rsidRPr="00BD16B4" w14:paraId="44A318B2" w14:textId="77777777" w:rsidTr="00D462E8">
        <w:tc>
          <w:tcPr>
            <w:tcW w:w="3397" w:type="dxa"/>
          </w:tcPr>
          <w:p w14:paraId="14B02F4D" w14:textId="0B34025D" w:rsidR="00ED2EBD" w:rsidRPr="00BD16B4" w:rsidRDefault="00ED2EBD" w:rsidP="004A205F">
            <w:pPr>
              <w:pStyle w:val="TableText"/>
              <w:spacing w:before="40" w:after="40"/>
              <w:rPr>
                <w:rFonts w:cs="Calibri"/>
                <w:szCs w:val="18"/>
              </w:rPr>
            </w:pPr>
            <w:r w:rsidRPr="00BD16B4">
              <w:rPr>
                <w:rFonts w:cs="Calibri"/>
                <w:szCs w:val="18"/>
              </w:rPr>
              <w:t>F.</w:t>
            </w:r>
            <w:r w:rsidR="00280979" w:rsidRPr="00BD16B4">
              <w:rPr>
                <w:rFonts w:cs="Calibri"/>
                <w:szCs w:val="18"/>
              </w:rPr>
              <w:t xml:space="preserve"> </w:t>
            </w:r>
            <w:r w:rsidRPr="00BD16B4">
              <w:rPr>
                <w:rFonts w:cs="Calibri"/>
                <w:szCs w:val="18"/>
              </w:rPr>
              <w:t>Field burning of agricultural residues</w:t>
            </w:r>
          </w:p>
        </w:tc>
        <w:tc>
          <w:tcPr>
            <w:tcW w:w="964" w:type="dxa"/>
            <w:tcBorders>
              <w:top w:val="single" w:sz="4" w:space="0" w:color="1B556B" w:themeColor="text2"/>
            </w:tcBorders>
            <w:shd w:val="clear" w:color="auto" w:fill="D2DDE1" w:themeFill="background2"/>
          </w:tcPr>
          <w:p w14:paraId="46135997"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6F60CDAB"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6FBF14D3"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08EDEA9"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400C48C"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C810FD1"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E48A06A"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033ED409"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C59025D"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DBC59E5"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DD161D5"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r>
      <w:tr w:rsidR="008E7C93" w:rsidRPr="00BD16B4" w14:paraId="48B75570" w14:textId="77777777" w:rsidTr="00D462E8">
        <w:tc>
          <w:tcPr>
            <w:tcW w:w="3397" w:type="dxa"/>
          </w:tcPr>
          <w:p w14:paraId="3FF74938" w14:textId="169C0CA5" w:rsidR="00ED2EBD" w:rsidRPr="00BD16B4" w:rsidRDefault="00ED2EBD" w:rsidP="004A205F">
            <w:pPr>
              <w:pStyle w:val="TableText"/>
              <w:spacing w:before="40" w:after="40"/>
              <w:rPr>
                <w:rFonts w:cs="Calibri"/>
                <w:szCs w:val="18"/>
              </w:rPr>
            </w:pPr>
            <w:r w:rsidRPr="00BD16B4">
              <w:rPr>
                <w:rFonts w:cs="Calibri"/>
                <w:szCs w:val="18"/>
              </w:rPr>
              <w:t>G.</w:t>
            </w:r>
            <w:r w:rsidR="00280979" w:rsidRPr="00BD16B4">
              <w:rPr>
                <w:rFonts w:cs="Calibri"/>
                <w:szCs w:val="18"/>
              </w:rPr>
              <w:t xml:space="preserve"> </w:t>
            </w:r>
            <w:r w:rsidRPr="00BD16B4">
              <w:rPr>
                <w:rFonts w:cs="Calibri"/>
                <w:szCs w:val="18"/>
              </w:rPr>
              <w:t>Liming</w:t>
            </w:r>
          </w:p>
        </w:tc>
        <w:tc>
          <w:tcPr>
            <w:tcW w:w="964" w:type="dxa"/>
          </w:tcPr>
          <w:p w14:paraId="0CC0BA0C" w14:textId="77777777" w:rsidR="00ED2EBD" w:rsidRPr="00BD16B4" w:rsidRDefault="00ED2EBD" w:rsidP="004A205F">
            <w:pPr>
              <w:pStyle w:val="TableText"/>
              <w:spacing w:before="40" w:after="40"/>
              <w:jc w:val="right"/>
              <w:rPr>
                <w:rFonts w:cs="Calibri"/>
                <w:szCs w:val="18"/>
              </w:rPr>
            </w:pPr>
            <w:r w:rsidRPr="00BD16B4">
              <w:rPr>
                <w:rFonts w:cs="Calibri"/>
                <w:szCs w:val="18"/>
              </w:rPr>
              <w:t>511.84</w:t>
            </w:r>
          </w:p>
        </w:tc>
        <w:tc>
          <w:tcPr>
            <w:tcW w:w="964" w:type="dxa"/>
          </w:tcPr>
          <w:p w14:paraId="58AE0386" w14:textId="77777777" w:rsidR="00ED2EBD" w:rsidRPr="00BD16B4" w:rsidRDefault="00ED2EBD" w:rsidP="004A205F">
            <w:pPr>
              <w:pStyle w:val="TableText"/>
              <w:spacing w:before="40" w:after="40"/>
              <w:jc w:val="right"/>
              <w:rPr>
                <w:rFonts w:cs="Calibri"/>
                <w:szCs w:val="18"/>
              </w:rPr>
            </w:pPr>
            <w:r w:rsidRPr="00BD16B4">
              <w:rPr>
                <w:rFonts w:cs="Calibri"/>
                <w:szCs w:val="18"/>
              </w:rPr>
              <w:t>522.70</w:t>
            </w:r>
          </w:p>
        </w:tc>
        <w:tc>
          <w:tcPr>
            <w:tcW w:w="964" w:type="dxa"/>
          </w:tcPr>
          <w:p w14:paraId="26CA091E" w14:textId="77777777" w:rsidR="00ED2EBD" w:rsidRPr="00BD16B4" w:rsidRDefault="00ED2EBD" w:rsidP="004A205F">
            <w:pPr>
              <w:pStyle w:val="TableText"/>
              <w:spacing w:before="40" w:after="40"/>
              <w:jc w:val="right"/>
              <w:rPr>
                <w:rFonts w:cs="Calibri"/>
                <w:szCs w:val="18"/>
              </w:rPr>
            </w:pPr>
            <w:r w:rsidRPr="00BD16B4">
              <w:rPr>
                <w:rFonts w:cs="Calibri"/>
                <w:szCs w:val="18"/>
              </w:rPr>
              <w:t>562.54</w:t>
            </w:r>
          </w:p>
        </w:tc>
        <w:tc>
          <w:tcPr>
            <w:tcW w:w="964" w:type="dxa"/>
          </w:tcPr>
          <w:p w14:paraId="2FCC8AC8" w14:textId="77777777" w:rsidR="00ED2EBD" w:rsidRPr="00BD16B4" w:rsidRDefault="00ED2EBD" w:rsidP="004A205F">
            <w:pPr>
              <w:pStyle w:val="TableText"/>
              <w:spacing w:before="40" w:after="40"/>
              <w:jc w:val="right"/>
              <w:rPr>
                <w:rFonts w:cs="Calibri"/>
                <w:szCs w:val="18"/>
              </w:rPr>
            </w:pPr>
            <w:r w:rsidRPr="00BD16B4">
              <w:rPr>
                <w:rFonts w:cs="Calibri"/>
                <w:szCs w:val="18"/>
              </w:rPr>
              <w:t>445.75</w:t>
            </w:r>
          </w:p>
        </w:tc>
        <w:tc>
          <w:tcPr>
            <w:tcW w:w="964" w:type="dxa"/>
          </w:tcPr>
          <w:p w14:paraId="54F4EE0D" w14:textId="77777777" w:rsidR="00ED2EBD" w:rsidRPr="00BD16B4" w:rsidRDefault="00ED2EBD" w:rsidP="004A205F">
            <w:pPr>
              <w:pStyle w:val="TableText"/>
              <w:spacing w:before="40" w:after="40"/>
              <w:jc w:val="right"/>
              <w:rPr>
                <w:rFonts w:cs="Calibri"/>
                <w:szCs w:val="18"/>
              </w:rPr>
            </w:pPr>
            <w:r w:rsidRPr="00BD16B4">
              <w:rPr>
                <w:rFonts w:cs="Calibri"/>
                <w:szCs w:val="18"/>
              </w:rPr>
              <w:t>488.05</w:t>
            </w:r>
          </w:p>
        </w:tc>
        <w:tc>
          <w:tcPr>
            <w:tcW w:w="964" w:type="dxa"/>
          </w:tcPr>
          <w:p w14:paraId="535D48EE" w14:textId="77777777" w:rsidR="00ED2EBD" w:rsidRPr="00BD16B4" w:rsidRDefault="00ED2EBD" w:rsidP="004A205F">
            <w:pPr>
              <w:pStyle w:val="TableText"/>
              <w:spacing w:before="40" w:after="40"/>
              <w:jc w:val="right"/>
              <w:rPr>
                <w:rFonts w:cs="Calibri"/>
                <w:szCs w:val="18"/>
              </w:rPr>
            </w:pPr>
            <w:r w:rsidRPr="00BD16B4">
              <w:rPr>
                <w:rFonts w:cs="Calibri"/>
                <w:szCs w:val="18"/>
              </w:rPr>
              <w:t>442.01</w:t>
            </w:r>
          </w:p>
        </w:tc>
        <w:tc>
          <w:tcPr>
            <w:tcW w:w="964" w:type="dxa"/>
          </w:tcPr>
          <w:p w14:paraId="3CC3B4FE" w14:textId="77777777" w:rsidR="00ED2EBD" w:rsidRPr="00BD16B4" w:rsidRDefault="00ED2EBD" w:rsidP="004A205F">
            <w:pPr>
              <w:pStyle w:val="TableText"/>
              <w:spacing w:before="40" w:after="40"/>
              <w:jc w:val="right"/>
              <w:rPr>
                <w:rFonts w:cs="Calibri"/>
                <w:szCs w:val="18"/>
              </w:rPr>
            </w:pPr>
            <w:r w:rsidRPr="00BD16B4">
              <w:rPr>
                <w:rFonts w:cs="Calibri"/>
                <w:szCs w:val="18"/>
              </w:rPr>
              <w:t>423.75</w:t>
            </w:r>
          </w:p>
        </w:tc>
        <w:tc>
          <w:tcPr>
            <w:tcW w:w="964" w:type="dxa"/>
          </w:tcPr>
          <w:p w14:paraId="3B0348A5" w14:textId="77777777" w:rsidR="00ED2EBD" w:rsidRPr="00BD16B4" w:rsidRDefault="00ED2EBD" w:rsidP="004A205F">
            <w:pPr>
              <w:pStyle w:val="TableText"/>
              <w:spacing w:before="40" w:after="40"/>
              <w:jc w:val="right"/>
              <w:rPr>
                <w:rFonts w:cs="Calibri"/>
                <w:szCs w:val="18"/>
              </w:rPr>
            </w:pPr>
            <w:r w:rsidRPr="00BD16B4">
              <w:rPr>
                <w:rFonts w:cs="Calibri"/>
                <w:szCs w:val="18"/>
              </w:rPr>
              <w:t>378.83</w:t>
            </w:r>
          </w:p>
        </w:tc>
        <w:tc>
          <w:tcPr>
            <w:tcW w:w="964" w:type="dxa"/>
          </w:tcPr>
          <w:p w14:paraId="0806A9A7" w14:textId="77777777" w:rsidR="00ED2EBD" w:rsidRPr="00BD16B4" w:rsidRDefault="00ED2EBD" w:rsidP="004A205F">
            <w:pPr>
              <w:pStyle w:val="TableText"/>
              <w:spacing w:before="40" w:after="40"/>
              <w:jc w:val="right"/>
              <w:rPr>
                <w:rFonts w:cs="Calibri"/>
                <w:szCs w:val="18"/>
              </w:rPr>
            </w:pPr>
            <w:r w:rsidRPr="00BD16B4">
              <w:rPr>
                <w:rFonts w:cs="Calibri"/>
                <w:szCs w:val="18"/>
              </w:rPr>
              <w:t>407.95</w:t>
            </w:r>
          </w:p>
        </w:tc>
        <w:tc>
          <w:tcPr>
            <w:tcW w:w="964" w:type="dxa"/>
          </w:tcPr>
          <w:p w14:paraId="02A718A1" w14:textId="77777777" w:rsidR="00ED2EBD" w:rsidRPr="00BD16B4" w:rsidRDefault="00ED2EBD" w:rsidP="004A205F">
            <w:pPr>
              <w:pStyle w:val="TableText"/>
              <w:spacing w:before="40" w:after="40"/>
              <w:jc w:val="right"/>
              <w:rPr>
                <w:rFonts w:cs="Calibri"/>
                <w:szCs w:val="18"/>
              </w:rPr>
            </w:pPr>
            <w:r w:rsidRPr="00BD16B4">
              <w:rPr>
                <w:rFonts w:cs="Calibri"/>
                <w:szCs w:val="18"/>
              </w:rPr>
              <w:t>449.78</w:t>
            </w:r>
          </w:p>
        </w:tc>
        <w:tc>
          <w:tcPr>
            <w:tcW w:w="964" w:type="dxa"/>
          </w:tcPr>
          <w:p w14:paraId="5F688B5D" w14:textId="77777777" w:rsidR="00ED2EBD" w:rsidRPr="00BD16B4" w:rsidRDefault="00ED2EBD" w:rsidP="004A205F">
            <w:pPr>
              <w:pStyle w:val="TableText"/>
              <w:spacing w:before="40" w:after="40"/>
              <w:jc w:val="right"/>
              <w:rPr>
                <w:rFonts w:cs="Calibri"/>
                <w:szCs w:val="18"/>
              </w:rPr>
            </w:pPr>
            <w:r w:rsidRPr="00BD16B4">
              <w:rPr>
                <w:rFonts w:cs="Calibri"/>
                <w:szCs w:val="18"/>
              </w:rPr>
              <w:t>409.48</w:t>
            </w:r>
          </w:p>
        </w:tc>
      </w:tr>
      <w:tr w:rsidR="008E7C93" w:rsidRPr="00BD16B4" w14:paraId="0A69282F" w14:textId="77777777" w:rsidTr="00D462E8">
        <w:tc>
          <w:tcPr>
            <w:tcW w:w="3397" w:type="dxa"/>
          </w:tcPr>
          <w:p w14:paraId="3C5594B0" w14:textId="7124E9F1" w:rsidR="00ED2EBD" w:rsidRPr="00BD16B4" w:rsidRDefault="00ED2EBD" w:rsidP="004A205F">
            <w:pPr>
              <w:pStyle w:val="TableText"/>
              <w:spacing w:before="40" w:after="40"/>
              <w:rPr>
                <w:rFonts w:cs="Calibri"/>
                <w:szCs w:val="18"/>
              </w:rPr>
            </w:pPr>
            <w:r w:rsidRPr="00BD16B4">
              <w:rPr>
                <w:rFonts w:cs="Calibri"/>
                <w:szCs w:val="18"/>
              </w:rPr>
              <w:t>H.</w:t>
            </w:r>
            <w:r w:rsidR="00280979" w:rsidRPr="00BD16B4">
              <w:rPr>
                <w:rFonts w:cs="Calibri"/>
                <w:szCs w:val="18"/>
              </w:rPr>
              <w:t xml:space="preserve"> </w:t>
            </w:r>
            <w:r w:rsidRPr="00BD16B4">
              <w:rPr>
                <w:rFonts w:cs="Calibri"/>
                <w:szCs w:val="18"/>
              </w:rPr>
              <w:t>Urea application</w:t>
            </w:r>
          </w:p>
        </w:tc>
        <w:tc>
          <w:tcPr>
            <w:tcW w:w="964" w:type="dxa"/>
          </w:tcPr>
          <w:p w14:paraId="3A35E61A" w14:textId="77777777" w:rsidR="00ED2EBD" w:rsidRPr="00BD16B4" w:rsidRDefault="00ED2EBD" w:rsidP="004A205F">
            <w:pPr>
              <w:pStyle w:val="TableText"/>
              <w:spacing w:before="40" w:after="40"/>
              <w:jc w:val="right"/>
              <w:rPr>
                <w:rFonts w:cs="Calibri"/>
                <w:szCs w:val="18"/>
              </w:rPr>
            </w:pPr>
            <w:r w:rsidRPr="00BD16B4">
              <w:rPr>
                <w:rFonts w:cs="Calibri"/>
                <w:szCs w:val="18"/>
              </w:rPr>
              <w:t>449.36</w:t>
            </w:r>
          </w:p>
        </w:tc>
        <w:tc>
          <w:tcPr>
            <w:tcW w:w="964" w:type="dxa"/>
          </w:tcPr>
          <w:p w14:paraId="40C935D5" w14:textId="77777777" w:rsidR="00ED2EBD" w:rsidRPr="00BD16B4" w:rsidRDefault="00ED2EBD" w:rsidP="004A205F">
            <w:pPr>
              <w:pStyle w:val="TableText"/>
              <w:spacing w:before="40" w:after="40"/>
              <w:jc w:val="right"/>
              <w:rPr>
                <w:rFonts w:cs="Calibri"/>
                <w:szCs w:val="18"/>
              </w:rPr>
            </w:pPr>
            <w:r w:rsidRPr="00BD16B4">
              <w:rPr>
                <w:rFonts w:cs="Calibri"/>
                <w:szCs w:val="18"/>
              </w:rPr>
              <w:t>497.00</w:t>
            </w:r>
          </w:p>
        </w:tc>
        <w:tc>
          <w:tcPr>
            <w:tcW w:w="964" w:type="dxa"/>
          </w:tcPr>
          <w:p w14:paraId="022303AD" w14:textId="77777777" w:rsidR="00ED2EBD" w:rsidRPr="00BD16B4" w:rsidRDefault="00ED2EBD" w:rsidP="004A205F">
            <w:pPr>
              <w:pStyle w:val="TableText"/>
              <w:spacing w:before="40" w:after="40"/>
              <w:jc w:val="right"/>
              <w:rPr>
                <w:rFonts w:cs="Calibri"/>
                <w:szCs w:val="18"/>
              </w:rPr>
            </w:pPr>
            <w:r w:rsidRPr="00BD16B4">
              <w:rPr>
                <w:rFonts w:cs="Calibri"/>
                <w:szCs w:val="18"/>
              </w:rPr>
              <w:t>494.24</w:t>
            </w:r>
          </w:p>
        </w:tc>
        <w:tc>
          <w:tcPr>
            <w:tcW w:w="964" w:type="dxa"/>
          </w:tcPr>
          <w:p w14:paraId="1450A86A" w14:textId="77777777" w:rsidR="00ED2EBD" w:rsidRPr="00BD16B4" w:rsidRDefault="00ED2EBD" w:rsidP="004A205F">
            <w:pPr>
              <w:pStyle w:val="TableText"/>
              <w:spacing w:before="40" w:after="40"/>
              <w:jc w:val="right"/>
              <w:rPr>
                <w:rFonts w:cs="Calibri"/>
                <w:szCs w:val="18"/>
              </w:rPr>
            </w:pPr>
            <w:r w:rsidRPr="00BD16B4">
              <w:rPr>
                <w:rFonts w:cs="Calibri"/>
                <w:szCs w:val="18"/>
              </w:rPr>
              <w:t>520.18</w:t>
            </w:r>
          </w:p>
        </w:tc>
        <w:tc>
          <w:tcPr>
            <w:tcW w:w="964" w:type="dxa"/>
          </w:tcPr>
          <w:p w14:paraId="7559B68F" w14:textId="77777777" w:rsidR="00ED2EBD" w:rsidRPr="00BD16B4" w:rsidRDefault="00ED2EBD" w:rsidP="004A205F">
            <w:pPr>
              <w:pStyle w:val="TableText"/>
              <w:spacing w:before="40" w:after="40"/>
              <w:jc w:val="right"/>
              <w:rPr>
                <w:rFonts w:cs="Calibri"/>
                <w:szCs w:val="18"/>
              </w:rPr>
            </w:pPr>
            <w:r w:rsidRPr="00BD16B4">
              <w:rPr>
                <w:rFonts w:cs="Calibri"/>
                <w:szCs w:val="18"/>
              </w:rPr>
              <w:t>510.71</w:t>
            </w:r>
          </w:p>
        </w:tc>
        <w:tc>
          <w:tcPr>
            <w:tcW w:w="964" w:type="dxa"/>
          </w:tcPr>
          <w:p w14:paraId="0DBD8ACE" w14:textId="77777777" w:rsidR="00ED2EBD" w:rsidRPr="00BD16B4" w:rsidRDefault="00ED2EBD" w:rsidP="004A205F">
            <w:pPr>
              <w:pStyle w:val="TableText"/>
              <w:spacing w:before="40" w:after="40"/>
              <w:jc w:val="right"/>
              <w:rPr>
                <w:rFonts w:cs="Calibri"/>
                <w:szCs w:val="18"/>
              </w:rPr>
            </w:pPr>
            <w:r w:rsidRPr="00BD16B4">
              <w:rPr>
                <w:rFonts w:cs="Calibri"/>
                <w:szCs w:val="18"/>
              </w:rPr>
              <w:t>608.23</w:t>
            </w:r>
          </w:p>
        </w:tc>
        <w:tc>
          <w:tcPr>
            <w:tcW w:w="964" w:type="dxa"/>
          </w:tcPr>
          <w:p w14:paraId="3B82C83E" w14:textId="77777777" w:rsidR="00ED2EBD" w:rsidRPr="00BD16B4" w:rsidRDefault="00ED2EBD" w:rsidP="004A205F">
            <w:pPr>
              <w:pStyle w:val="TableText"/>
              <w:spacing w:before="40" w:after="40"/>
              <w:jc w:val="right"/>
              <w:rPr>
                <w:rFonts w:cs="Calibri"/>
                <w:szCs w:val="18"/>
              </w:rPr>
            </w:pPr>
            <w:r w:rsidRPr="00BD16B4">
              <w:rPr>
                <w:rFonts w:cs="Calibri"/>
                <w:szCs w:val="18"/>
              </w:rPr>
              <w:t>574.39</w:t>
            </w:r>
          </w:p>
        </w:tc>
        <w:tc>
          <w:tcPr>
            <w:tcW w:w="964" w:type="dxa"/>
          </w:tcPr>
          <w:p w14:paraId="2348D056" w14:textId="77777777" w:rsidR="00ED2EBD" w:rsidRPr="00BD16B4" w:rsidRDefault="00ED2EBD" w:rsidP="004A205F">
            <w:pPr>
              <w:pStyle w:val="TableText"/>
              <w:spacing w:before="40" w:after="40"/>
              <w:jc w:val="right"/>
              <w:rPr>
                <w:rFonts w:cs="Calibri"/>
                <w:szCs w:val="18"/>
              </w:rPr>
            </w:pPr>
            <w:r w:rsidRPr="00BD16B4">
              <w:rPr>
                <w:rFonts w:cs="Calibri"/>
                <w:szCs w:val="18"/>
              </w:rPr>
              <w:t>588.26</w:t>
            </w:r>
          </w:p>
        </w:tc>
        <w:tc>
          <w:tcPr>
            <w:tcW w:w="964" w:type="dxa"/>
          </w:tcPr>
          <w:p w14:paraId="3B6D369A" w14:textId="77777777" w:rsidR="00ED2EBD" w:rsidRPr="00BD16B4" w:rsidRDefault="00ED2EBD" w:rsidP="004A205F">
            <w:pPr>
              <w:pStyle w:val="TableText"/>
              <w:spacing w:before="40" w:after="40"/>
              <w:jc w:val="right"/>
              <w:rPr>
                <w:rFonts w:cs="Calibri"/>
                <w:szCs w:val="18"/>
              </w:rPr>
            </w:pPr>
            <w:r w:rsidRPr="00BD16B4">
              <w:rPr>
                <w:rFonts w:cs="Calibri"/>
                <w:szCs w:val="18"/>
              </w:rPr>
              <w:t>608.19</w:t>
            </w:r>
          </w:p>
        </w:tc>
        <w:tc>
          <w:tcPr>
            <w:tcW w:w="964" w:type="dxa"/>
          </w:tcPr>
          <w:p w14:paraId="67D49719" w14:textId="77777777" w:rsidR="00ED2EBD" w:rsidRPr="00BD16B4" w:rsidRDefault="00ED2EBD" w:rsidP="004A205F">
            <w:pPr>
              <w:pStyle w:val="TableText"/>
              <w:spacing w:before="40" w:after="40"/>
              <w:jc w:val="right"/>
              <w:rPr>
                <w:rFonts w:cs="Calibri"/>
                <w:szCs w:val="18"/>
              </w:rPr>
            </w:pPr>
            <w:r w:rsidRPr="00BD16B4">
              <w:rPr>
                <w:rFonts w:cs="Calibri"/>
                <w:szCs w:val="18"/>
              </w:rPr>
              <w:t>570.72</w:t>
            </w:r>
          </w:p>
        </w:tc>
        <w:tc>
          <w:tcPr>
            <w:tcW w:w="964" w:type="dxa"/>
          </w:tcPr>
          <w:p w14:paraId="61B57C29" w14:textId="77777777" w:rsidR="00ED2EBD" w:rsidRPr="00BD16B4" w:rsidRDefault="00ED2EBD" w:rsidP="004A205F">
            <w:pPr>
              <w:pStyle w:val="TableText"/>
              <w:spacing w:before="40" w:after="40"/>
              <w:jc w:val="right"/>
              <w:rPr>
                <w:rFonts w:cs="Calibri"/>
                <w:szCs w:val="18"/>
              </w:rPr>
            </w:pPr>
            <w:r w:rsidRPr="00BD16B4">
              <w:rPr>
                <w:rFonts w:cs="Calibri"/>
                <w:szCs w:val="18"/>
              </w:rPr>
              <w:t>542.03</w:t>
            </w:r>
          </w:p>
        </w:tc>
      </w:tr>
      <w:tr w:rsidR="008E7C93" w:rsidRPr="00BD16B4" w14:paraId="79A993A5" w14:textId="77777777" w:rsidTr="00D462E8">
        <w:tc>
          <w:tcPr>
            <w:tcW w:w="3397" w:type="dxa"/>
          </w:tcPr>
          <w:p w14:paraId="7F374D24" w14:textId="3399F480" w:rsidR="00ED2EBD" w:rsidRPr="00BD16B4" w:rsidRDefault="00ED2EBD" w:rsidP="004A205F">
            <w:pPr>
              <w:pStyle w:val="TableText"/>
              <w:spacing w:before="40" w:after="40"/>
              <w:rPr>
                <w:rFonts w:cs="Calibri"/>
                <w:szCs w:val="18"/>
              </w:rPr>
            </w:pPr>
            <w:r w:rsidRPr="00BD16B4">
              <w:rPr>
                <w:rFonts w:cs="Calibri"/>
                <w:szCs w:val="18"/>
              </w:rPr>
              <w:t>I.</w:t>
            </w:r>
            <w:r w:rsidR="00280979" w:rsidRPr="00BD16B4">
              <w:rPr>
                <w:rFonts w:cs="Calibri"/>
                <w:szCs w:val="18"/>
              </w:rPr>
              <w:t xml:space="preserve"> </w:t>
            </w:r>
            <w:r w:rsidRPr="00BD16B4">
              <w:rPr>
                <w:rFonts w:cs="Calibri"/>
                <w:szCs w:val="18"/>
              </w:rPr>
              <w:t>Other carbon-containing fertilizers</w:t>
            </w:r>
          </w:p>
        </w:tc>
        <w:tc>
          <w:tcPr>
            <w:tcW w:w="964" w:type="dxa"/>
            <w:tcBorders>
              <w:bottom w:val="single" w:sz="4" w:space="0" w:color="1B556B" w:themeColor="text2"/>
            </w:tcBorders>
          </w:tcPr>
          <w:p w14:paraId="07975585" w14:textId="77777777" w:rsidR="00ED2EBD" w:rsidRPr="00BD16B4" w:rsidRDefault="00ED2EBD" w:rsidP="004A205F">
            <w:pPr>
              <w:pStyle w:val="TableText"/>
              <w:spacing w:before="40" w:after="40"/>
              <w:jc w:val="right"/>
              <w:rPr>
                <w:rFonts w:cs="Calibri"/>
                <w:szCs w:val="18"/>
              </w:rPr>
            </w:pPr>
            <w:r w:rsidRPr="00BD16B4">
              <w:rPr>
                <w:rFonts w:cs="Calibri"/>
                <w:szCs w:val="18"/>
              </w:rPr>
              <w:t>NE</w:t>
            </w:r>
          </w:p>
        </w:tc>
        <w:tc>
          <w:tcPr>
            <w:tcW w:w="964" w:type="dxa"/>
            <w:tcBorders>
              <w:bottom w:val="single" w:sz="4" w:space="0" w:color="1B556B" w:themeColor="text2"/>
            </w:tcBorders>
          </w:tcPr>
          <w:p w14:paraId="53B8711C" w14:textId="77777777" w:rsidR="00ED2EBD" w:rsidRPr="00BD16B4" w:rsidRDefault="00ED2EBD" w:rsidP="004A205F">
            <w:pPr>
              <w:pStyle w:val="TableText"/>
              <w:spacing w:before="40" w:after="40"/>
              <w:jc w:val="right"/>
              <w:rPr>
                <w:rFonts w:cs="Calibri"/>
                <w:szCs w:val="18"/>
              </w:rPr>
            </w:pPr>
            <w:r w:rsidRPr="00BD16B4">
              <w:rPr>
                <w:rFonts w:cs="Calibri"/>
                <w:szCs w:val="18"/>
              </w:rPr>
              <w:t>NE</w:t>
            </w:r>
          </w:p>
        </w:tc>
        <w:tc>
          <w:tcPr>
            <w:tcW w:w="964" w:type="dxa"/>
            <w:tcBorders>
              <w:bottom w:val="single" w:sz="4" w:space="0" w:color="1B556B" w:themeColor="text2"/>
            </w:tcBorders>
          </w:tcPr>
          <w:p w14:paraId="65D815F0" w14:textId="77777777" w:rsidR="00ED2EBD" w:rsidRPr="00BD16B4" w:rsidRDefault="00ED2EBD" w:rsidP="004A205F">
            <w:pPr>
              <w:pStyle w:val="TableText"/>
              <w:spacing w:before="40" w:after="40"/>
              <w:jc w:val="right"/>
              <w:rPr>
                <w:rFonts w:cs="Calibri"/>
                <w:szCs w:val="18"/>
              </w:rPr>
            </w:pPr>
            <w:r w:rsidRPr="00BD16B4">
              <w:rPr>
                <w:rFonts w:cs="Calibri"/>
                <w:szCs w:val="18"/>
              </w:rPr>
              <w:t>NE</w:t>
            </w:r>
          </w:p>
        </w:tc>
        <w:tc>
          <w:tcPr>
            <w:tcW w:w="964" w:type="dxa"/>
            <w:tcBorders>
              <w:bottom w:val="single" w:sz="4" w:space="0" w:color="1B556B" w:themeColor="text2"/>
            </w:tcBorders>
          </w:tcPr>
          <w:p w14:paraId="2DCE7F11" w14:textId="77777777" w:rsidR="00ED2EBD" w:rsidRPr="00BD16B4" w:rsidRDefault="00ED2EBD" w:rsidP="004A205F">
            <w:pPr>
              <w:pStyle w:val="TableText"/>
              <w:spacing w:before="40" w:after="40"/>
              <w:jc w:val="right"/>
              <w:rPr>
                <w:rFonts w:cs="Calibri"/>
                <w:szCs w:val="18"/>
              </w:rPr>
            </w:pPr>
            <w:r w:rsidRPr="00BD16B4">
              <w:rPr>
                <w:rFonts w:cs="Calibri"/>
                <w:szCs w:val="18"/>
              </w:rPr>
              <w:t>NE</w:t>
            </w:r>
          </w:p>
        </w:tc>
        <w:tc>
          <w:tcPr>
            <w:tcW w:w="964" w:type="dxa"/>
            <w:tcBorders>
              <w:bottom w:val="single" w:sz="4" w:space="0" w:color="1B556B" w:themeColor="text2"/>
            </w:tcBorders>
          </w:tcPr>
          <w:p w14:paraId="65ED71B6" w14:textId="77777777" w:rsidR="00ED2EBD" w:rsidRPr="00BD16B4" w:rsidRDefault="00ED2EBD" w:rsidP="004A205F">
            <w:pPr>
              <w:pStyle w:val="TableText"/>
              <w:spacing w:before="40" w:after="40"/>
              <w:jc w:val="right"/>
              <w:rPr>
                <w:rFonts w:cs="Calibri"/>
                <w:szCs w:val="18"/>
              </w:rPr>
            </w:pPr>
            <w:r w:rsidRPr="00BD16B4">
              <w:rPr>
                <w:rFonts w:cs="Calibri"/>
                <w:szCs w:val="18"/>
              </w:rPr>
              <w:t>NE</w:t>
            </w:r>
          </w:p>
        </w:tc>
        <w:tc>
          <w:tcPr>
            <w:tcW w:w="964" w:type="dxa"/>
            <w:tcBorders>
              <w:bottom w:val="single" w:sz="4" w:space="0" w:color="1B556B" w:themeColor="text2"/>
            </w:tcBorders>
          </w:tcPr>
          <w:p w14:paraId="61303858" w14:textId="77777777" w:rsidR="00ED2EBD" w:rsidRPr="00BD16B4" w:rsidRDefault="00ED2EBD" w:rsidP="004A205F">
            <w:pPr>
              <w:pStyle w:val="TableText"/>
              <w:spacing w:before="40" w:after="40"/>
              <w:jc w:val="right"/>
              <w:rPr>
                <w:rFonts w:cs="Calibri"/>
                <w:szCs w:val="18"/>
              </w:rPr>
            </w:pPr>
            <w:r w:rsidRPr="00BD16B4">
              <w:rPr>
                <w:rFonts w:cs="Calibri"/>
                <w:szCs w:val="18"/>
              </w:rPr>
              <w:t>NE</w:t>
            </w:r>
          </w:p>
        </w:tc>
        <w:tc>
          <w:tcPr>
            <w:tcW w:w="964" w:type="dxa"/>
            <w:tcBorders>
              <w:bottom w:val="single" w:sz="4" w:space="0" w:color="1B556B" w:themeColor="text2"/>
            </w:tcBorders>
          </w:tcPr>
          <w:p w14:paraId="11EE7105" w14:textId="77777777" w:rsidR="00ED2EBD" w:rsidRPr="00BD16B4" w:rsidRDefault="00ED2EBD" w:rsidP="004A205F">
            <w:pPr>
              <w:pStyle w:val="TableText"/>
              <w:spacing w:before="40" w:after="40"/>
              <w:jc w:val="right"/>
              <w:rPr>
                <w:rFonts w:cs="Calibri"/>
                <w:szCs w:val="18"/>
              </w:rPr>
            </w:pPr>
            <w:r w:rsidRPr="00BD16B4">
              <w:rPr>
                <w:rFonts w:cs="Calibri"/>
                <w:szCs w:val="18"/>
              </w:rPr>
              <w:t>NE</w:t>
            </w:r>
          </w:p>
        </w:tc>
        <w:tc>
          <w:tcPr>
            <w:tcW w:w="964" w:type="dxa"/>
            <w:tcBorders>
              <w:bottom w:val="single" w:sz="4" w:space="0" w:color="1B556B" w:themeColor="text2"/>
            </w:tcBorders>
          </w:tcPr>
          <w:p w14:paraId="0372999F" w14:textId="77777777" w:rsidR="00ED2EBD" w:rsidRPr="00BD16B4" w:rsidRDefault="00ED2EBD" w:rsidP="004A205F">
            <w:pPr>
              <w:pStyle w:val="TableText"/>
              <w:spacing w:before="40" w:after="40"/>
              <w:jc w:val="right"/>
              <w:rPr>
                <w:rFonts w:cs="Calibri"/>
                <w:szCs w:val="18"/>
              </w:rPr>
            </w:pPr>
            <w:r w:rsidRPr="00BD16B4">
              <w:rPr>
                <w:rFonts w:cs="Calibri"/>
                <w:szCs w:val="18"/>
              </w:rPr>
              <w:t>NE</w:t>
            </w:r>
          </w:p>
        </w:tc>
        <w:tc>
          <w:tcPr>
            <w:tcW w:w="964" w:type="dxa"/>
            <w:tcBorders>
              <w:bottom w:val="single" w:sz="4" w:space="0" w:color="1B556B" w:themeColor="text2"/>
            </w:tcBorders>
          </w:tcPr>
          <w:p w14:paraId="5E7C2334" w14:textId="77777777" w:rsidR="00ED2EBD" w:rsidRPr="00BD16B4" w:rsidRDefault="00ED2EBD" w:rsidP="004A205F">
            <w:pPr>
              <w:pStyle w:val="TableText"/>
              <w:spacing w:before="40" w:after="40"/>
              <w:jc w:val="right"/>
              <w:rPr>
                <w:rFonts w:cs="Calibri"/>
                <w:szCs w:val="18"/>
              </w:rPr>
            </w:pPr>
            <w:r w:rsidRPr="00BD16B4">
              <w:rPr>
                <w:rFonts w:cs="Calibri"/>
                <w:szCs w:val="18"/>
              </w:rPr>
              <w:t>NE</w:t>
            </w:r>
          </w:p>
        </w:tc>
        <w:tc>
          <w:tcPr>
            <w:tcW w:w="964" w:type="dxa"/>
            <w:tcBorders>
              <w:bottom w:val="single" w:sz="4" w:space="0" w:color="1B556B" w:themeColor="text2"/>
            </w:tcBorders>
          </w:tcPr>
          <w:p w14:paraId="5B5F75CE" w14:textId="77777777" w:rsidR="00ED2EBD" w:rsidRPr="00BD16B4" w:rsidRDefault="00ED2EBD" w:rsidP="004A205F">
            <w:pPr>
              <w:pStyle w:val="TableText"/>
              <w:spacing w:before="40" w:after="40"/>
              <w:jc w:val="right"/>
              <w:rPr>
                <w:rFonts w:cs="Calibri"/>
                <w:szCs w:val="18"/>
              </w:rPr>
            </w:pPr>
            <w:r w:rsidRPr="00BD16B4">
              <w:rPr>
                <w:rFonts w:cs="Calibri"/>
                <w:szCs w:val="18"/>
              </w:rPr>
              <w:t>NE</w:t>
            </w:r>
          </w:p>
        </w:tc>
        <w:tc>
          <w:tcPr>
            <w:tcW w:w="964" w:type="dxa"/>
            <w:tcBorders>
              <w:bottom w:val="single" w:sz="4" w:space="0" w:color="1B556B" w:themeColor="text2"/>
            </w:tcBorders>
          </w:tcPr>
          <w:p w14:paraId="78373999" w14:textId="77777777" w:rsidR="00ED2EBD" w:rsidRPr="00BD16B4" w:rsidRDefault="00ED2EBD" w:rsidP="004A205F">
            <w:pPr>
              <w:pStyle w:val="TableText"/>
              <w:spacing w:before="40" w:after="40"/>
              <w:jc w:val="right"/>
              <w:rPr>
                <w:rFonts w:cs="Calibri"/>
                <w:szCs w:val="18"/>
              </w:rPr>
            </w:pPr>
            <w:r w:rsidRPr="00BD16B4">
              <w:rPr>
                <w:rFonts w:cs="Calibri"/>
                <w:szCs w:val="18"/>
              </w:rPr>
              <w:t>NE</w:t>
            </w:r>
          </w:p>
        </w:tc>
      </w:tr>
      <w:tr w:rsidR="00ED2EBD" w:rsidRPr="00BD16B4" w14:paraId="4A3229DD" w14:textId="77777777" w:rsidTr="00D462E8">
        <w:tc>
          <w:tcPr>
            <w:tcW w:w="3397" w:type="dxa"/>
          </w:tcPr>
          <w:p w14:paraId="799224E3" w14:textId="6C5C6088" w:rsidR="00ED2EBD" w:rsidRPr="00BD16B4" w:rsidRDefault="00ED2EBD" w:rsidP="004A205F">
            <w:pPr>
              <w:pStyle w:val="TableText"/>
              <w:spacing w:before="40" w:after="40"/>
              <w:rPr>
                <w:rFonts w:cs="Calibri"/>
                <w:szCs w:val="18"/>
              </w:rPr>
            </w:pPr>
            <w:r w:rsidRPr="00BD16B4">
              <w:rPr>
                <w:rFonts w:cs="Calibri"/>
                <w:szCs w:val="18"/>
              </w:rPr>
              <w:t>J.</w:t>
            </w:r>
            <w:r w:rsidR="00280979" w:rsidRPr="00BD16B4">
              <w:rPr>
                <w:rFonts w:cs="Calibri"/>
                <w:szCs w:val="18"/>
              </w:rPr>
              <w:t xml:space="preserve"> </w:t>
            </w:r>
            <w:r w:rsidRPr="00BD16B4">
              <w:rPr>
                <w:rFonts w:cs="Calibri"/>
                <w:szCs w:val="18"/>
              </w:rPr>
              <w:t xml:space="preserve">Other </w:t>
            </w:r>
          </w:p>
        </w:tc>
        <w:tc>
          <w:tcPr>
            <w:tcW w:w="964" w:type="dxa"/>
            <w:tcBorders>
              <w:top w:val="single" w:sz="4" w:space="0" w:color="1B556B" w:themeColor="text2"/>
            </w:tcBorders>
            <w:shd w:val="clear" w:color="auto" w:fill="D2DDE1" w:themeFill="background2"/>
          </w:tcPr>
          <w:p w14:paraId="769E13B8"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29677268"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009CBD4D"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816EB52"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424E730B"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6A0528F"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F8C2D23"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FAC74DA"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60BA092"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771BBE8D"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7E6A2C4B"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r>
      <w:tr w:rsidR="008E7C93" w:rsidRPr="00BD16B4" w14:paraId="366924FA" w14:textId="77777777" w:rsidTr="00D462E8">
        <w:tc>
          <w:tcPr>
            <w:tcW w:w="3397" w:type="dxa"/>
          </w:tcPr>
          <w:p w14:paraId="017CDD6E" w14:textId="4DCAA0C4" w:rsidR="00ED2EBD" w:rsidRPr="00BD16B4" w:rsidRDefault="00ED2EBD" w:rsidP="004A205F">
            <w:pPr>
              <w:pStyle w:val="TableText"/>
              <w:spacing w:before="40" w:after="40"/>
              <w:rPr>
                <w:rFonts w:cs="Calibri"/>
                <w:szCs w:val="18"/>
              </w:rPr>
            </w:pPr>
            <w:r w:rsidRPr="00BD16B4">
              <w:rPr>
                <w:rFonts w:cs="Calibri"/>
                <w:b/>
                <w:bCs/>
                <w:szCs w:val="18"/>
              </w:rPr>
              <w:t>4.</w:t>
            </w:r>
            <w:r w:rsidR="00280979" w:rsidRPr="00BD16B4">
              <w:rPr>
                <w:rFonts w:cs="Calibri"/>
                <w:b/>
                <w:bCs/>
                <w:szCs w:val="18"/>
              </w:rPr>
              <w:t xml:space="preserve"> </w:t>
            </w:r>
            <w:r w:rsidRPr="00BD16B4">
              <w:rPr>
                <w:rFonts w:cs="Calibri"/>
                <w:b/>
                <w:bCs/>
                <w:szCs w:val="18"/>
              </w:rPr>
              <w:t>Land Use, Land-Use Change and Forestry</w:t>
            </w:r>
          </w:p>
        </w:tc>
        <w:tc>
          <w:tcPr>
            <w:tcW w:w="964" w:type="dxa"/>
          </w:tcPr>
          <w:p w14:paraId="2E4765C8" w14:textId="77777777" w:rsidR="00ED2EBD" w:rsidRPr="00BD16B4" w:rsidRDefault="00ED2EBD" w:rsidP="004A205F">
            <w:pPr>
              <w:pStyle w:val="TableText"/>
              <w:spacing w:before="40" w:after="40"/>
              <w:jc w:val="right"/>
              <w:rPr>
                <w:rFonts w:cs="Calibri"/>
                <w:szCs w:val="18"/>
              </w:rPr>
            </w:pPr>
            <w:r w:rsidRPr="00BD16B4">
              <w:rPr>
                <w:rFonts w:cs="Calibri"/>
                <w:szCs w:val="18"/>
              </w:rPr>
              <w:t>-29,775.10</w:t>
            </w:r>
          </w:p>
        </w:tc>
        <w:tc>
          <w:tcPr>
            <w:tcW w:w="964" w:type="dxa"/>
          </w:tcPr>
          <w:p w14:paraId="04187291" w14:textId="77777777" w:rsidR="00ED2EBD" w:rsidRPr="00BD16B4" w:rsidRDefault="00ED2EBD" w:rsidP="004A205F">
            <w:pPr>
              <w:pStyle w:val="TableText"/>
              <w:spacing w:before="40" w:after="40"/>
              <w:jc w:val="right"/>
              <w:rPr>
                <w:rFonts w:cs="Calibri"/>
                <w:szCs w:val="18"/>
              </w:rPr>
            </w:pPr>
            <w:r w:rsidRPr="00BD16B4">
              <w:rPr>
                <w:rFonts w:cs="Calibri"/>
                <w:szCs w:val="18"/>
              </w:rPr>
              <w:t>-30,046.17</w:t>
            </w:r>
          </w:p>
        </w:tc>
        <w:tc>
          <w:tcPr>
            <w:tcW w:w="964" w:type="dxa"/>
          </w:tcPr>
          <w:p w14:paraId="38EFD98A" w14:textId="77777777" w:rsidR="00ED2EBD" w:rsidRPr="00BD16B4" w:rsidRDefault="00ED2EBD" w:rsidP="004A205F">
            <w:pPr>
              <w:pStyle w:val="TableText"/>
              <w:spacing w:before="40" w:after="40"/>
              <w:jc w:val="right"/>
              <w:rPr>
                <w:rFonts w:cs="Calibri"/>
                <w:szCs w:val="18"/>
              </w:rPr>
            </w:pPr>
            <w:r w:rsidRPr="00BD16B4">
              <w:rPr>
                <w:rFonts w:cs="Calibri"/>
                <w:szCs w:val="18"/>
              </w:rPr>
              <w:t>-27,150.86</w:t>
            </w:r>
          </w:p>
        </w:tc>
        <w:tc>
          <w:tcPr>
            <w:tcW w:w="964" w:type="dxa"/>
          </w:tcPr>
          <w:p w14:paraId="64794F72" w14:textId="77777777" w:rsidR="00ED2EBD" w:rsidRPr="00BD16B4" w:rsidRDefault="00ED2EBD" w:rsidP="004A205F">
            <w:pPr>
              <w:pStyle w:val="TableText"/>
              <w:spacing w:before="40" w:after="40"/>
              <w:jc w:val="right"/>
              <w:rPr>
                <w:rFonts w:cs="Calibri"/>
                <w:szCs w:val="18"/>
              </w:rPr>
            </w:pPr>
            <w:r w:rsidRPr="00BD16B4">
              <w:rPr>
                <w:rFonts w:cs="Calibri"/>
                <w:szCs w:val="18"/>
              </w:rPr>
              <w:t>-26,707.14</w:t>
            </w:r>
          </w:p>
        </w:tc>
        <w:tc>
          <w:tcPr>
            <w:tcW w:w="964" w:type="dxa"/>
          </w:tcPr>
          <w:p w14:paraId="1CE9B583" w14:textId="77777777" w:rsidR="00ED2EBD" w:rsidRPr="00BD16B4" w:rsidRDefault="00ED2EBD" w:rsidP="004A205F">
            <w:pPr>
              <w:pStyle w:val="TableText"/>
              <w:spacing w:before="40" w:after="40"/>
              <w:jc w:val="right"/>
              <w:rPr>
                <w:rFonts w:cs="Calibri"/>
                <w:szCs w:val="18"/>
              </w:rPr>
            </w:pPr>
            <w:r w:rsidRPr="00BD16B4">
              <w:rPr>
                <w:rFonts w:cs="Calibri"/>
                <w:szCs w:val="18"/>
              </w:rPr>
              <w:t>-27,028.48</w:t>
            </w:r>
          </w:p>
        </w:tc>
        <w:tc>
          <w:tcPr>
            <w:tcW w:w="964" w:type="dxa"/>
          </w:tcPr>
          <w:p w14:paraId="4CE5280C" w14:textId="77777777" w:rsidR="00ED2EBD" w:rsidRPr="00BD16B4" w:rsidRDefault="00ED2EBD" w:rsidP="004A205F">
            <w:pPr>
              <w:pStyle w:val="TableText"/>
              <w:spacing w:before="40" w:after="40"/>
              <w:jc w:val="right"/>
              <w:rPr>
                <w:rFonts w:cs="Calibri"/>
                <w:szCs w:val="18"/>
              </w:rPr>
            </w:pPr>
            <w:r w:rsidRPr="00BD16B4">
              <w:rPr>
                <w:rFonts w:cs="Calibri"/>
                <w:szCs w:val="18"/>
              </w:rPr>
              <w:t>-26,986.32</w:t>
            </w:r>
          </w:p>
        </w:tc>
        <w:tc>
          <w:tcPr>
            <w:tcW w:w="964" w:type="dxa"/>
          </w:tcPr>
          <w:p w14:paraId="0E3E3CD0" w14:textId="77777777" w:rsidR="00ED2EBD" w:rsidRPr="00BD16B4" w:rsidRDefault="00ED2EBD" w:rsidP="004A205F">
            <w:pPr>
              <w:pStyle w:val="TableText"/>
              <w:spacing w:before="40" w:after="40"/>
              <w:jc w:val="right"/>
              <w:rPr>
                <w:rFonts w:cs="Calibri"/>
                <w:szCs w:val="18"/>
              </w:rPr>
            </w:pPr>
            <w:r w:rsidRPr="00BD16B4">
              <w:rPr>
                <w:rFonts w:cs="Calibri"/>
                <w:szCs w:val="18"/>
              </w:rPr>
              <w:t>-26,626.73</w:t>
            </w:r>
          </w:p>
        </w:tc>
        <w:tc>
          <w:tcPr>
            <w:tcW w:w="964" w:type="dxa"/>
          </w:tcPr>
          <w:p w14:paraId="04AFB2FC" w14:textId="77777777" w:rsidR="00ED2EBD" w:rsidRPr="00BD16B4" w:rsidRDefault="00ED2EBD" w:rsidP="004A205F">
            <w:pPr>
              <w:pStyle w:val="TableText"/>
              <w:spacing w:before="40" w:after="40"/>
              <w:jc w:val="right"/>
              <w:rPr>
                <w:rFonts w:cs="Calibri"/>
                <w:szCs w:val="18"/>
              </w:rPr>
            </w:pPr>
            <w:r w:rsidRPr="00BD16B4">
              <w:rPr>
                <w:rFonts w:cs="Calibri"/>
                <w:szCs w:val="18"/>
              </w:rPr>
              <w:t>-25,052.32</w:t>
            </w:r>
          </w:p>
        </w:tc>
        <w:tc>
          <w:tcPr>
            <w:tcW w:w="964" w:type="dxa"/>
          </w:tcPr>
          <w:p w14:paraId="63722298" w14:textId="77777777" w:rsidR="00ED2EBD" w:rsidRPr="00BD16B4" w:rsidRDefault="00ED2EBD" w:rsidP="004A205F">
            <w:pPr>
              <w:pStyle w:val="TableText"/>
              <w:spacing w:before="40" w:after="40"/>
              <w:jc w:val="right"/>
              <w:rPr>
                <w:rFonts w:cs="Calibri"/>
                <w:szCs w:val="18"/>
              </w:rPr>
            </w:pPr>
            <w:r w:rsidRPr="00BD16B4">
              <w:rPr>
                <w:rFonts w:cs="Calibri"/>
                <w:szCs w:val="18"/>
              </w:rPr>
              <w:t>-24,613.50</w:t>
            </w:r>
          </w:p>
        </w:tc>
        <w:tc>
          <w:tcPr>
            <w:tcW w:w="964" w:type="dxa"/>
          </w:tcPr>
          <w:p w14:paraId="2CA61223" w14:textId="77777777" w:rsidR="00ED2EBD" w:rsidRPr="00BD16B4" w:rsidRDefault="00ED2EBD" w:rsidP="004A205F">
            <w:pPr>
              <w:pStyle w:val="TableText"/>
              <w:spacing w:before="40" w:after="40"/>
              <w:jc w:val="right"/>
              <w:rPr>
                <w:rFonts w:cs="Calibri"/>
                <w:szCs w:val="18"/>
              </w:rPr>
            </w:pPr>
            <w:r w:rsidRPr="00BD16B4">
              <w:rPr>
                <w:rFonts w:cs="Calibri"/>
                <w:szCs w:val="18"/>
              </w:rPr>
              <w:t>-23,384.74</w:t>
            </w:r>
          </w:p>
        </w:tc>
        <w:tc>
          <w:tcPr>
            <w:tcW w:w="964" w:type="dxa"/>
          </w:tcPr>
          <w:p w14:paraId="7A129849" w14:textId="77777777" w:rsidR="00ED2EBD" w:rsidRPr="00BD16B4" w:rsidRDefault="00ED2EBD" w:rsidP="004A205F">
            <w:pPr>
              <w:pStyle w:val="TableText"/>
              <w:spacing w:before="40" w:after="40"/>
              <w:jc w:val="right"/>
              <w:rPr>
                <w:rFonts w:cs="Calibri"/>
                <w:szCs w:val="18"/>
              </w:rPr>
            </w:pPr>
            <w:r w:rsidRPr="00BD16B4">
              <w:rPr>
                <w:rFonts w:cs="Calibri"/>
                <w:szCs w:val="18"/>
              </w:rPr>
              <w:t>-23,666.23</w:t>
            </w:r>
          </w:p>
        </w:tc>
      </w:tr>
      <w:tr w:rsidR="008E7C93" w:rsidRPr="00BD16B4" w14:paraId="6B8E39A2" w14:textId="77777777" w:rsidTr="00D462E8">
        <w:tc>
          <w:tcPr>
            <w:tcW w:w="3397" w:type="dxa"/>
          </w:tcPr>
          <w:p w14:paraId="7ABC596B" w14:textId="4BADDA2D" w:rsidR="00ED2EBD" w:rsidRPr="00BD16B4" w:rsidRDefault="00ED2EBD" w:rsidP="004A205F">
            <w:pPr>
              <w:pStyle w:val="TableText"/>
              <w:spacing w:before="40" w:after="40"/>
              <w:rPr>
                <w:rFonts w:cs="Calibri"/>
                <w:szCs w:val="18"/>
              </w:rPr>
            </w:pPr>
            <w:r w:rsidRPr="00BD16B4">
              <w:rPr>
                <w:rFonts w:cs="Calibri"/>
                <w:szCs w:val="18"/>
              </w:rPr>
              <w:t>A.</w:t>
            </w:r>
            <w:r w:rsidR="00280979" w:rsidRPr="00BD16B4">
              <w:rPr>
                <w:rFonts w:cs="Calibri"/>
                <w:szCs w:val="18"/>
              </w:rPr>
              <w:t xml:space="preserve"> </w:t>
            </w:r>
            <w:r w:rsidRPr="00BD16B4">
              <w:rPr>
                <w:rFonts w:cs="Calibri"/>
                <w:szCs w:val="18"/>
              </w:rPr>
              <w:t>Forest land</w:t>
            </w:r>
          </w:p>
        </w:tc>
        <w:tc>
          <w:tcPr>
            <w:tcW w:w="964" w:type="dxa"/>
          </w:tcPr>
          <w:p w14:paraId="26BF4C78" w14:textId="77777777" w:rsidR="00ED2EBD" w:rsidRPr="00BD16B4" w:rsidRDefault="00ED2EBD" w:rsidP="004A205F">
            <w:pPr>
              <w:pStyle w:val="TableText"/>
              <w:spacing w:before="40" w:after="40"/>
              <w:jc w:val="right"/>
              <w:rPr>
                <w:rFonts w:cs="Calibri"/>
                <w:szCs w:val="18"/>
              </w:rPr>
            </w:pPr>
            <w:r w:rsidRPr="00BD16B4">
              <w:rPr>
                <w:rFonts w:cs="Calibri"/>
                <w:szCs w:val="18"/>
              </w:rPr>
              <w:t>-30,968.84</w:t>
            </w:r>
          </w:p>
        </w:tc>
        <w:tc>
          <w:tcPr>
            <w:tcW w:w="964" w:type="dxa"/>
          </w:tcPr>
          <w:p w14:paraId="13E54EF8" w14:textId="77777777" w:rsidR="00ED2EBD" w:rsidRPr="00BD16B4" w:rsidRDefault="00ED2EBD" w:rsidP="004A205F">
            <w:pPr>
              <w:pStyle w:val="TableText"/>
              <w:spacing w:before="40" w:after="40"/>
              <w:jc w:val="right"/>
              <w:rPr>
                <w:rFonts w:cs="Calibri"/>
                <w:szCs w:val="18"/>
              </w:rPr>
            </w:pPr>
            <w:r w:rsidRPr="00BD16B4">
              <w:rPr>
                <w:rFonts w:cs="Calibri"/>
                <w:szCs w:val="18"/>
              </w:rPr>
              <w:t>-29,616.70</w:t>
            </w:r>
          </w:p>
        </w:tc>
        <w:tc>
          <w:tcPr>
            <w:tcW w:w="964" w:type="dxa"/>
          </w:tcPr>
          <w:p w14:paraId="5F133C7C" w14:textId="77777777" w:rsidR="00ED2EBD" w:rsidRPr="00BD16B4" w:rsidRDefault="00ED2EBD" w:rsidP="004A205F">
            <w:pPr>
              <w:pStyle w:val="TableText"/>
              <w:spacing w:before="40" w:after="40"/>
              <w:jc w:val="right"/>
              <w:rPr>
                <w:rFonts w:cs="Calibri"/>
                <w:szCs w:val="18"/>
              </w:rPr>
            </w:pPr>
            <w:r w:rsidRPr="00BD16B4">
              <w:rPr>
                <w:rFonts w:cs="Calibri"/>
                <w:szCs w:val="18"/>
              </w:rPr>
              <w:t>-27,961.26</w:t>
            </w:r>
          </w:p>
        </w:tc>
        <w:tc>
          <w:tcPr>
            <w:tcW w:w="964" w:type="dxa"/>
          </w:tcPr>
          <w:p w14:paraId="00044A53" w14:textId="77777777" w:rsidR="00ED2EBD" w:rsidRPr="00BD16B4" w:rsidRDefault="00ED2EBD" w:rsidP="004A205F">
            <w:pPr>
              <w:pStyle w:val="TableText"/>
              <w:spacing w:before="40" w:after="40"/>
              <w:jc w:val="right"/>
              <w:rPr>
                <w:rFonts w:cs="Calibri"/>
                <w:szCs w:val="18"/>
              </w:rPr>
            </w:pPr>
            <w:r w:rsidRPr="00BD16B4">
              <w:rPr>
                <w:rFonts w:cs="Calibri"/>
                <w:szCs w:val="18"/>
              </w:rPr>
              <w:t>-28,714.20</w:t>
            </w:r>
          </w:p>
        </w:tc>
        <w:tc>
          <w:tcPr>
            <w:tcW w:w="964" w:type="dxa"/>
          </w:tcPr>
          <w:p w14:paraId="3FA40D7F" w14:textId="77777777" w:rsidR="00ED2EBD" w:rsidRPr="00BD16B4" w:rsidRDefault="00ED2EBD" w:rsidP="004A205F">
            <w:pPr>
              <w:pStyle w:val="TableText"/>
              <w:spacing w:before="40" w:after="40"/>
              <w:jc w:val="right"/>
              <w:rPr>
                <w:rFonts w:cs="Calibri"/>
                <w:szCs w:val="18"/>
              </w:rPr>
            </w:pPr>
            <w:r w:rsidRPr="00BD16B4">
              <w:rPr>
                <w:rFonts w:cs="Calibri"/>
                <w:szCs w:val="18"/>
              </w:rPr>
              <w:t>-27,704.90</w:t>
            </w:r>
          </w:p>
        </w:tc>
        <w:tc>
          <w:tcPr>
            <w:tcW w:w="964" w:type="dxa"/>
          </w:tcPr>
          <w:p w14:paraId="13A69596" w14:textId="77777777" w:rsidR="00ED2EBD" w:rsidRPr="00BD16B4" w:rsidRDefault="00ED2EBD" w:rsidP="004A205F">
            <w:pPr>
              <w:pStyle w:val="TableText"/>
              <w:spacing w:before="40" w:after="40"/>
              <w:jc w:val="right"/>
              <w:rPr>
                <w:rFonts w:cs="Calibri"/>
                <w:szCs w:val="18"/>
              </w:rPr>
            </w:pPr>
            <w:r w:rsidRPr="00BD16B4">
              <w:rPr>
                <w:rFonts w:cs="Calibri"/>
                <w:szCs w:val="18"/>
              </w:rPr>
              <w:t>-27,275.84</w:t>
            </w:r>
          </w:p>
        </w:tc>
        <w:tc>
          <w:tcPr>
            <w:tcW w:w="964" w:type="dxa"/>
          </w:tcPr>
          <w:p w14:paraId="78C551AA" w14:textId="77777777" w:rsidR="00ED2EBD" w:rsidRPr="00BD16B4" w:rsidRDefault="00ED2EBD" w:rsidP="004A205F">
            <w:pPr>
              <w:pStyle w:val="TableText"/>
              <w:spacing w:before="40" w:after="40"/>
              <w:jc w:val="right"/>
              <w:rPr>
                <w:rFonts w:cs="Calibri"/>
                <w:szCs w:val="18"/>
              </w:rPr>
            </w:pPr>
            <w:r w:rsidRPr="00BD16B4">
              <w:rPr>
                <w:rFonts w:cs="Calibri"/>
                <w:szCs w:val="18"/>
              </w:rPr>
              <w:t>-26,103.40</w:t>
            </w:r>
          </w:p>
        </w:tc>
        <w:tc>
          <w:tcPr>
            <w:tcW w:w="964" w:type="dxa"/>
          </w:tcPr>
          <w:p w14:paraId="44DACD1C" w14:textId="77777777" w:rsidR="00ED2EBD" w:rsidRPr="00BD16B4" w:rsidRDefault="00ED2EBD" w:rsidP="004A205F">
            <w:pPr>
              <w:pStyle w:val="TableText"/>
              <w:spacing w:before="40" w:after="40"/>
              <w:jc w:val="right"/>
              <w:rPr>
                <w:rFonts w:cs="Calibri"/>
                <w:szCs w:val="18"/>
              </w:rPr>
            </w:pPr>
            <w:r w:rsidRPr="00BD16B4">
              <w:rPr>
                <w:rFonts w:cs="Calibri"/>
                <w:szCs w:val="18"/>
              </w:rPr>
              <w:t>-22,181.94</w:t>
            </w:r>
          </w:p>
        </w:tc>
        <w:tc>
          <w:tcPr>
            <w:tcW w:w="964" w:type="dxa"/>
          </w:tcPr>
          <w:p w14:paraId="18FB89CF" w14:textId="77777777" w:rsidR="00ED2EBD" w:rsidRPr="00BD16B4" w:rsidRDefault="00ED2EBD" w:rsidP="004A205F">
            <w:pPr>
              <w:pStyle w:val="TableText"/>
              <w:spacing w:before="40" w:after="40"/>
              <w:jc w:val="right"/>
              <w:rPr>
                <w:rFonts w:cs="Calibri"/>
                <w:szCs w:val="18"/>
              </w:rPr>
            </w:pPr>
            <w:r w:rsidRPr="00BD16B4">
              <w:rPr>
                <w:rFonts w:cs="Calibri"/>
                <w:szCs w:val="18"/>
              </w:rPr>
              <w:t>-19,858.04</w:t>
            </w:r>
          </w:p>
        </w:tc>
        <w:tc>
          <w:tcPr>
            <w:tcW w:w="964" w:type="dxa"/>
          </w:tcPr>
          <w:p w14:paraId="04E28D7D" w14:textId="77777777" w:rsidR="00ED2EBD" w:rsidRPr="00BD16B4" w:rsidRDefault="00ED2EBD" w:rsidP="004A205F">
            <w:pPr>
              <w:pStyle w:val="TableText"/>
              <w:spacing w:before="40" w:after="40"/>
              <w:jc w:val="right"/>
              <w:rPr>
                <w:rFonts w:cs="Calibri"/>
                <w:szCs w:val="18"/>
              </w:rPr>
            </w:pPr>
            <w:r w:rsidRPr="00BD16B4">
              <w:rPr>
                <w:rFonts w:cs="Calibri"/>
                <w:szCs w:val="18"/>
              </w:rPr>
              <w:t>-19,335.04</w:t>
            </w:r>
          </w:p>
        </w:tc>
        <w:tc>
          <w:tcPr>
            <w:tcW w:w="964" w:type="dxa"/>
          </w:tcPr>
          <w:p w14:paraId="025AAC3C" w14:textId="77777777" w:rsidR="00ED2EBD" w:rsidRPr="00BD16B4" w:rsidRDefault="00ED2EBD" w:rsidP="004A205F">
            <w:pPr>
              <w:pStyle w:val="TableText"/>
              <w:spacing w:before="40" w:after="40"/>
              <w:jc w:val="right"/>
              <w:rPr>
                <w:rFonts w:cs="Calibri"/>
                <w:szCs w:val="18"/>
              </w:rPr>
            </w:pPr>
            <w:r w:rsidRPr="00BD16B4">
              <w:rPr>
                <w:rFonts w:cs="Calibri"/>
                <w:szCs w:val="18"/>
              </w:rPr>
              <w:t>-19,983.31</w:t>
            </w:r>
          </w:p>
        </w:tc>
      </w:tr>
      <w:tr w:rsidR="008E7C93" w:rsidRPr="00BD16B4" w14:paraId="14F68503" w14:textId="77777777" w:rsidTr="00D462E8">
        <w:tc>
          <w:tcPr>
            <w:tcW w:w="3397" w:type="dxa"/>
          </w:tcPr>
          <w:p w14:paraId="4A45F2C4" w14:textId="43123DAE" w:rsidR="00ED2EBD" w:rsidRPr="00BD16B4" w:rsidRDefault="00ED2EBD" w:rsidP="004A205F">
            <w:pPr>
              <w:pStyle w:val="TableText"/>
              <w:spacing w:before="40" w:after="40"/>
              <w:rPr>
                <w:rFonts w:cs="Calibri"/>
                <w:szCs w:val="18"/>
              </w:rPr>
            </w:pPr>
            <w:r w:rsidRPr="00BD16B4">
              <w:rPr>
                <w:rFonts w:cs="Calibri"/>
                <w:szCs w:val="18"/>
              </w:rPr>
              <w:t>B.</w:t>
            </w:r>
            <w:r w:rsidR="00280979" w:rsidRPr="00BD16B4">
              <w:rPr>
                <w:rFonts w:cs="Calibri"/>
                <w:szCs w:val="18"/>
              </w:rPr>
              <w:t xml:space="preserve"> </w:t>
            </w:r>
            <w:r w:rsidRPr="00BD16B4">
              <w:rPr>
                <w:rFonts w:cs="Calibri"/>
                <w:szCs w:val="18"/>
              </w:rPr>
              <w:t>Cropland</w:t>
            </w:r>
          </w:p>
        </w:tc>
        <w:tc>
          <w:tcPr>
            <w:tcW w:w="964" w:type="dxa"/>
          </w:tcPr>
          <w:p w14:paraId="787F1DCB" w14:textId="77777777" w:rsidR="00ED2EBD" w:rsidRPr="00BD16B4" w:rsidRDefault="00ED2EBD" w:rsidP="004A205F">
            <w:pPr>
              <w:pStyle w:val="TableText"/>
              <w:spacing w:before="40" w:after="40"/>
              <w:jc w:val="right"/>
              <w:rPr>
                <w:rFonts w:cs="Calibri"/>
                <w:szCs w:val="18"/>
              </w:rPr>
            </w:pPr>
            <w:r w:rsidRPr="00BD16B4">
              <w:rPr>
                <w:rFonts w:cs="Calibri"/>
                <w:szCs w:val="18"/>
              </w:rPr>
              <w:t>474.96</w:t>
            </w:r>
          </w:p>
        </w:tc>
        <w:tc>
          <w:tcPr>
            <w:tcW w:w="964" w:type="dxa"/>
          </w:tcPr>
          <w:p w14:paraId="3FA6F7B9" w14:textId="77777777" w:rsidR="00ED2EBD" w:rsidRPr="00BD16B4" w:rsidRDefault="00ED2EBD" w:rsidP="004A205F">
            <w:pPr>
              <w:pStyle w:val="TableText"/>
              <w:spacing w:before="40" w:after="40"/>
              <w:jc w:val="right"/>
              <w:rPr>
                <w:rFonts w:cs="Calibri"/>
                <w:szCs w:val="18"/>
              </w:rPr>
            </w:pPr>
            <w:r w:rsidRPr="00BD16B4">
              <w:rPr>
                <w:rFonts w:cs="Calibri"/>
                <w:szCs w:val="18"/>
              </w:rPr>
              <w:t>469.25</w:t>
            </w:r>
          </w:p>
        </w:tc>
        <w:tc>
          <w:tcPr>
            <w:tcW w:w="964" w:type="dxa"/>
          </w:tcPr>
          <w:p w14:paraId="037A3B2B" w14:textId="77777777" w:rsidR="00ED2EBD" w:rsidRPr="00BD16B4" w:rsidRDefault="00ED2EBD" w:rsidP="004A205F">
            <w:pPr>
              <w:pStyle w:val="TableText"/>
              <w:spacing w:before="40" w:after="40"/>
              <w:jc w:val="right"/>
              <w:rPr>
                <w:rFonts w:cs="Calibri"/>
                <w:szCs w:val="18"/>
              </w:rPr>
            </w:pPr>
            <w:r w:rsidRPr="00BD16B4">
              <w:rPr>
                <w:rFonts w:cs="Calibri"/>
                <w:szCs w:val="18"/>
              </w:rPr>
              <w:t>453.40</w:t>
            </w:r>
          </w:p>
        </w:tc>
        <w:tc>
          <w:tcPr>
            <w:tcW w:w="964" w:type="dxa"/>
          </w:tcPr>
          <w:p w14:paraId="033C94A0" w14:textId="77777777" w:rsidR="00ED2EBD" w:rsidRPr="00BD16B4" w:rsidRDefault="00ED2EBD" w:rsidP="004A205F">
            <w:pPr>
              <w:pStyle w:val="TableText"/>
              <w:spacing w:before="40" w:after="40"/>
              <w:jc w:val="right"/>
              <w:rPr>
                <w:rFonts w:cs="Calibri"/>
                <w:szCs w:val="18"/>
              </w:rPr>
            </w:pPr>
            <w:r w:rsidRPr="00BD16B4">
              <w:rPr>
                <w:rFonts w:cs="Calibri"/>
                <w:szCs w:val="18"/>
              </w:rPr>
              <w:t>510.28</w:t>
            </w:r>
          </w:p>
        </w:tc>
        <w:tc>
          <w:tcPr>
            <w:tcW w:w="964" w:type="dxa"/>
          </w:tcPr>
          <w:p w14:paraId="461E73D9" w14:textId="77777777" w:rsidR="00ED2EBD" w:rsidRPr="00BD16B4" w:rsidRDefault="00ED2EBD" w:rsidP="004A205F">
            <w:pPr>
              <w:pStyle w:val="TableText"/>
              <w:spacing w:before="40" w:after="40"/>
              <w:jc w:val="right"/>
              <w:rPr>
                <w:rFonts w:cs="Calibri"/>
                <w:szCs w:val="18"/>
              </w:rPr>
            </w:pPr>
            <w:r w:rsidRPr="00BD16B4">
              <w:rPr>
                <w:rFonts w:cs="Calibri"/>
                <w:szCs w:val="18"/>
              </w:rPr>
              <w:t>449.36</w:t>
            </w:r>
          </w:p>
        </w:tc>
        <w:tc>
          <w:tcPr>
            <w:tcW w:w="964" w:type="dxa"/>
          </w:tcPr>
          <w:p w14:paraId="194F2EBE" w14:textId="77777777" w:rsidR="00ED2EBD" w:rsidRPr="00BD16B4" w:rsidRDefault="00ED2EBD" w:rsidP="004A205F">
            <w:pPr>
              <w:pStyle w:val="TableText"/>
              <w:spacing w:before="40" w:after="40"/>
              <w:jc w:val="right"/>
              <w:rPr>
                <w:rFonts w:cs="Calibri"/>
                <w:szCs w:val="18"/>
              </w:rPr>
            </w:pPr>
            <w:r w:rsidRPr="00BD16B4">
              <w:rPr>
                <w:rFonts w:cs="Calibri"/>
                <w:szCs w:val="18"/>
              </w:rPr>
              <w:t>408.76</w:t>
            </w:r>
          </w:p>
        </w:tc>
        <w:tc>
          <w:tcPr>
            <w:tcW w:w="964" w:type="dxa"/>
          </w:tcPr>
          <w:p w14:paraId="0DC0F084" w14:textId="77777777" w:rsidR="00ED2EBD" w:rsidRPr="00BD16B4" w:rsidRDefault="00ED2EBD" w:rsidP="004A205F">
            <w:pPr>
              <w:pStyle w:val="TableText"/>
              <w:spacing w:before="40" w:after="40"/>
              <w:jc w:val="right"/>
              <w:rPr>
                <w:rFonts w:cs="Calibri"/>
                <w:szCs w:val="18"/>
              </w:rPr>
            </w:pPr>
            <w:r w:rsidRPr="00BD16B4">
              <w:rPr>
                <w:rFonts w:cs="Calibri"/>
                <w:szCs w:val="18"/>
              </w:rPr>
              <w:t>412.01</w:t>
            </w:r>
          </w:p>
        </w:tc>
        <w:tc>
          <w:tcPr>
            <w:tcW w:w="964" w:type="dxa"/>
          </w:tcPr>
          <w:p w14:paraId="3DD7A1FD" w14:textId="77777777" w:rsidR="00ED2EBD" w:rsidRPr="00BD16B4" w:rsidRDefault="00ED2EBD" w:rsidP="004A205F">
            <w:pPr>
              <w:pStyle w:val="TableText"/>
              <w:spacing w:before="40" w:after="40"/>
              <w:jc w:val="right"/>
              <w:rPr>
                <w:rFonts w:cs="Calibri"/>
                <w:szCs w:val="18"/>
              </w:rPr>
            </w:pPr>
            <w:r w:rsidRPr="00BD16B4">
              <w:rPr>
                <w:rFonts w:cs="Calibri"/>
                <w:szCs w:val="18"/>
              </w:rPr>
              <w:t>386.70</w:t>
            </w:r>
          </w:p>
        </w:tc>
        <w:tc>
          <w:tcPr>
            <w:tcW w:w="964" w:type="dxa"/>
          </w:tcPr>
          <w:p w14:paraId="146E3CEE" w14:textId="77777777" w:rsidR="00ED2EBD" w:rsidRPr="00BD16B4" w:rsidRDefault="00ED2EBD" w:rsidP="004A205F">
            <w:pPr>
              <w:pStyle w:val="TableText"/>
              <w:spacing w:before="40" w:after="40"/>
              <w:jc w:val="right"/>
              <w:rPr>
                <w:rFonts w:cs="Calibri"/>
                <w:szCs w:val="18"/>
              </w:rPr>
            </w:pPr>
            <w:r w:rsidRPr="00BD16B4">
              <w:rPr>
                <w:rFonts w:cs="Calibri"/>
                <w:szCs w:val="18"/>
              </w:rPr>
              <w:t>382.99</w:t>
            </w:r>
          </w:p>
        </w:tc>
        <w:tc>
          <w:tcPr>
            <w:tcW w:w="964" w:type="dxa"/>
          </w:tcPr>
          <w:p w14:paraId="64243E04" w14:textId="77777777" w:rsidR="00ED2EBD" w:rsidRPr="00BD16B4" w:rsidRDefault="00ED2EBD" w:rsidP="004A205F">
            <w:pPr>
              <w:pStyle w:val="TableText"/>
              <w:spacing w:before="40" w:after="40"/>
              <w:jc w:val="right"/>
              <w:rPr>
                <w:rFonts w:cs="Calibri"/>
                <w:szCs w:val="18"/>
              </w:rPr>
            </w:pPr>
            <w:r w:rsidRPr="00BD16B4">
              <w:rPr>
                <w:rFonts w:cs="Calibri"/>
                <w:szCs w:val="18"/>
              </w:rPr>
              <w:t>379.27</w:t>
            </w:r>
          </w:p>
        </w:tc>
        <w:tc>
          <w:tcPr>
            <w:tcW w:w="964" w:type="dxa"/>
          </w:tcPr>
          <w:p w14:paraId="5D6C0B33" w14:textId="77777777" w:rsidR="00ED2EBD" w:rsidRPr="00BD16B4" w:rsidRDefault="00ED2EBD" w:rsidP="004A205F">
            <w:pPr>
              <w:pStyle w:val="TableText"/>
              <w:spacing w:before="40" w:after="40"/>
              <w:jc w:val="right"/>
              <w:rPr>
                <w:rFonts w:cs="Calibri"/>
                <w:szCs w:val="18"/>
              </w:rPr>
            </w:pPr>
            <w:r w:rsidRPr="00BD16B4">
              <w:rPr>
                <w:rFonts w:cs="Calibri"/>
                <w:szCs w:val="18"/>
              </w:rPr>
              <w:t>375.55</w:t>
            </w:r>
          </w:p>
        </w:tc>
      </w:tr>
      <w:tr w:rsidR="008E7C93" w:rsidRPr="00BD16B4" w14:paraId="316BE592" w14:textId="77777777" w:rsidTr="00D462E8">
        <w:tc>
          <w:tcPr>
            <w:tcW w:w="3397" w:type="dxa"/>
          </w:tcPr>
          <w:p w14:paraId="505983A1" w14:textId="65062803" w:rsidR="00ED2EBD" w:rsidRPr="00BD16B4" w:rsidRDefault="00ED2EBD" w:rsidP="004A205F">
            <w:pPr>
              <w:pStyle w:val="TableText"/>
              <w:spacing w:before="40" w:after="40"/>
              <w:rPr>
                <w:rFonts w:cs="Calibri"/>
                <w:szCs w:val="18"/>
              </w:rPr>
            </w:pPr>
            <w:r w:rsidRPr="00BD16B4">
              <w:rPr>
                <w:rFonts w:cs="Calibri"/>
                <w:szCs w:val="18"/>
              </w:rPr>
              <w:t>C.</w:t>
            </w:r>
            <w:r w:rsidR="00280979" w:rsidRPr="00BD16B4">
              <w:rPr>
                <w:rFonts w:cs="Calibri"/>
                <w:szCs w:val="18"/>
              </w:rPr>
              <w:t xml:space="preserve"> </w:t>
            </w:r>
            <w:r w:rsidRPr="00BD16B4">
              <w:rPr>
                <w:rFonts w:cs="Calibri"/>
                <w:szCs w:val="18"/>
              </w:rPr>
              <w:t>Grassland</w:t>
            </w:r>
          </w:p>
        </w:tc>
        <w:tc>
          <w:tcPr>
            <w:tcW w:w="964" w:type="dxa"/>
          </w:tcPr>
          <w:p w14:paraId="151B9287" w14:textId="77777777" w:rsidR="00ED2EBD" w:rsidRPr="00BD16B4" w:rsidRDefault="00ED2EBD" w:rsidP="004A205F">
            <w:pPr>
              <w:pStyle w:val="TableText"/>
              <w:spacing w:before="40" w:after="40"/>
              <w:jc w:val="right"/>
              <w:rPr>
                <w:rFonts w:cs="Calibri"/>
                <w:szCs w:val="18"/>
              </w:rPr>
            </w:pPr>
            <w:r w:rsidRPr="00BD16B4">
              <w:rPr>
                <w:rFonts w:cs="Calibri"/>
                <w:szCs w:val="18"/>
              </w:rPr>
              <w:t>7,122.63</w:t>
            </w:r>
          </w:p>
        </w:tc>
        <w:tc>
          <w:tcPr>
            <w:tcW w:w="964" w:type="dxa"/>
          </w:tcPr>
          <w:p w14:paraId="5DD1131E" w14:textId="77777777" w:rsidR="00ED2EBD" w:rsidRPr="00BD16B4" w:rsidRDefault="00ED2EBD" w:rsidP="004A205F">
            <w:pPr>
              <w:pStyle w:val="TableText"/>
              <w:spacing w:before="40" w:after="40"/>
              <w:jc w:val="right"/>
              <w:rPr>
                <w:rFonts w:cs="Calibri"/>
                <w:szCs w:val="18"/>
              </w:rPr>
            </w:pPr>
            <w:r w:rsidRPr="00BD16B4">
              <w:rPr>
                <w:rFonts w:cs="Calibri"/>
                <w:szCs w:val="18"/>
              </w:rPr>
              <w:t>6,045.79</w:t>
            </w:r>
          </w:p>
        </w:tc>
        <w:tc>
          <w:tcPr>
            <w:tcW w:w="964" w:type="dxa"/>
          </w:tcPr>
          <w:p w14:paraId="38D74A14" w14:textId="77777777" w:rsidR="00ED2EBD" w:rsidRPr="00BD16B4" w:rsidRDefault="00ED2EBD" w:rsidP="004A205F">
            <w:pPr>
              <w:pStyle w:val="TableText"/>
              <w:spacing w:before="40" w:after="40"/>
              <w:jc w:val="right"/>
              <w:rPr>
                <w:rFonts w:cs="Calibri"/>
                <w:szCs w:val="18"/>
              </w:rPr>
            </w:pPr>
            <w:r w:rsidRPr="00BD16B4">
              <w:rPr>
                <w:rFonts w:cs="Calibri"/>
                <w:szCs w:val="18"/>
              </w:rPr>
              <w:t>7,593.73</w:t>
            </w:r>
          </w:p>
        </w:tc>
        <w:tc>
          <w:tcPr>
            <w:tcW w:w="964" w:type="dxa"/>
          </w:tcPr>
          <w:p w14:paraId="3641B57C" w14:textId="77777777" w:rsidR="00ED2EBD" w:rsidRPr="00BD16B4" w:rsidRDefault="00ED2EBD" w:rsidP="004A205F">
            <w:pPr>
              <w:pStyle w:val="TableText"/>
              <w:spacing w:before="40" w:after="40"/>
              <w:jc w:val="right"/>
              <w:rPr>
                <w:rFonts w:cs="Calibri"/>
                <w:szCs w:val="18"/>
              </w:rPr>
            </w:pPr>
            <w:r w:rsidRPr="00BD16B4">
              <w:rPr>
                <w:rFonts w:cs="Calibri"/>
                <w:szCs w:val="18"/>
              </w:rPr>
              <w:t>9,836.17</w:t>
            </w:r>
          </w:p>
        </w:tc>
        <w:tc>
          <w:tcPr>
            <w:tcW w:w="964" w:type="dxa"/>
          </w:tcPr>
          <w:p w14:paraId="11DC362F" w14:textId="77777777" w:rsidR="00ED2EBD" w:rsidRPr="00BD16B4" w:rsidRDefault="00ED2EBD" w:rsidP="004A205F">
            <w:pPr>
              <w:pStyle w:val="TableText"/>
              <w:spacing w:before="40" w:after="40"/>
              <w:jc w:val="right"/>
              <w:rPr>
                <w:rFonts w:cs="Calibri"/>
                <w:szCs w:val="18"/>
              </w:rPr>
            </w:pPr>
            <w:r w:rsidRPr="00BD16B4">
              <w:rPr>
                <w:rFonts w:cs="Calibri"/>
                <w:szCs w:val="18"/>
              </w:rPr>
              <w:t>7,671.00</w:t>
            </w:r>
          </w:p>
        </w:tc>
        <w:tc>
          <w:tcPr>
            <w:tcW w:w="964" w:type="dxa"/>
          </w:tcPr>
          <w:p w14:paraId="48175E46" w14:textId="77777777" w:rsidR="00ED2EBD" w:rsidRPr="00BD16B4" w:rsidRDefault="00ED2EBD" w:rsidP="004A205F">
            <w:pPr>
              <w:pStyle w:val="TableText"/>
              <w:spacing w:before="40" w:after="40"/>
              <w:jc w:val="right"/>
              <w:rPr>
                <w:rFonts w:cs="Calibri"/>
                <w:szCs w:val="18"/>
              </w:rPr>
            </w:pPr>
            <w:r w:rsidRPr="00BD16B4">
              <w:rPr>
                <w:rFonts w:cs="Calibri"/>
                <w:szCs w:val="18"/>
              </w:rPr>
              <w:t>6,367.33</w:t>
            </w:r>
          </w:p>
        </w:tc>
        <w:tc>
          <w:tcPr>
            <w:tcW w:w="964" w:type="dxa"/>
          </w:tcPr>
          <w:p w14:paraId="43887BEC" w14:textId="77777777" w:rsidR="00ED2EBD" w:rsidRPr="00BD16B4" w:rsidRDefault="00ED2EBD" w:rsidP="004A205F">
            <w:pPr>
              <w:pStyle w:val="TableText"/>
              <w:spacing w:before="40" w:after="40"/>
              <w:jc w:val="right"/>
              <w:rPr>
                <w:rFonts w:cs="Calibri"/>
                <w:szCs w:val="18"/>
              </w:rPr>
            </w:pPr>
            <w:r w:rsidRPr="00BD16B4">
              <w:rPr>
                <w:rFonts w:cs="Calibri"/>
                <w:szCs w:val="18"/>
              </w:rPr>
              <w:t>6,567.89</w:t>
            </w:r>
          </w:p>
        </w:tc>
        <w:tc>
          <w:tcPr>
            <w:tcW w:w="964" w:type="dxa"/>
          </w:tcPr>
          <w:p w14:paraId="6606D410" w14:textId="77777777" w:rsidR="00ED2EBD" w:rsidRPr="00BD16B4" w:rsidRDefault="00ED2EBD" w:rsidP="004A205F">
            <w:pPr>
              <w:pStyle w:val="TableText"/>
              <w:spacing w:before="40" w:after="40"/>
              <w:jc w:val="right"/>
              <w:rPr>
                <w:rFonts w:cs="Calibri"/>
                <w:szCs w:val="18"/>
              </w:rPr>
            </w:pPr>
            <w:r w:rsidRPr="00BD16B4">
              <w:rPr>
                <w:rFonts w:cs="Calibri"/>
                <w:szCs w:val="18"/>
              </w:rPr>
              <w:t>5,150.46</w:t>
            </w:r>
          </w:p>
        </w:tc>
        <w:tc>
          <w:tcPr>
            <w:tcW w:w="964" w:type="dxa"/>
          </w:tcPr>
          <w:p w14:paraId="2F026705" w14:textId="77777777" w:rsidR="00ED2EBD" w:rsidRPr="00BD16B4" w:rsidRDefault="00ED2EBD" w:rsidP="004A205F">
            <w:pPr>
              <w:pStyle w:val="TableText"/>
              <w:spacing w:before="40" w:after="40"/>
              <w:jc w:val="right"/>
              <w:rPr>
                <w:rFonts w:cs="Calibri"/>
                <w:szCs w:val="18"/>
              </w:rPr>
            </w:pPr>
            <w:r w:rsidRPr="00BD16B4">
              <w:rPr>
                <w:rFonts w:cs="Calibri"/>
                <w:szCs w:val="18"/>
              </w:rPr>
              <w:t>3,916.57</w:t>
            </w:r>
          </w:p>
        </w:tc>
        <w:tc>
          <w:tcPr>
            <w:tcW w:w="964" w:type="dxa"/>
          </w:tcPr>
          <w:p w14:paraId="0A36F24D" w14:textId="77777777" w:rsidR="00ED2EBD" w:rsidRPr="00BD16B4" w:rsidRDefault="00ED2EBD" w:rsidP="004A205F">
            <w:pPr>
              <w:pStyle w:val="TableText"/>
              <w:spacing w:before="40" w:after="40"/>
              <w:jc w:val="right"/>
              <w:rPr>
                <w:rFonts w:cs="Calibri"/>
                <w:szCs w:val="18"/>
              </w:rPr>
            </w:pPr>
            <w:r w:rsidRPr="00BD16B4">
              <w:rPr>
                <w:rFonts w:cs="Calibri"/>
                <w:szCs w:val="18"/>
              </w:rPr>
              <w:t>4,319.09</w:t>
            </w:r>
          </w:p>
        </w:tc>
        <w:tc>
          <w:tcPr>
            <w:tcW w:w="964" w:type="dxa"/>
          </w:tcPr>
          <w:p w14:paraId="78FA3263" w14:textId="77777777" w:rsidR="00ED2EBD" w:rsidRPr="00BD16B4" w:rsidRDefault="00ED2EBD" w:rsidP="004A205F">
            <w:pPr>
              <w:pStyle w:val="TableText"/>
              <w:spacing w:before="40" w:after="40"/>
              <w:jc w:val="right"/>
              <w:rPr>
                <w:rFonts w:cs="Calibri"/>
                <w:szCs w:val="18"/>
              </w:rPr>
            </w:pPr>
            <w:r w:rsidRPr="00BD16B4">
              <w:rPr>
                <w:rFonts w:cs="Calibri"/>
                <w:szCs w:val="18"/>
              </w:rPr>
              <w:t>2,524.46</w:t>
            </w:r>
          </w:p>
        </w:tc>
      </w:tr>
      <w:tr w:rsidR="008E7C93" w:rsidRPr="00BD16B4" w14:paraId="639DA3D7" w14:textId="77777777" w:rsidTr="00D462E8">
        <w:tc>
          <w:tcPr>
            <w:tcW w:w="3397" w:type="dxa"/>
          </w:tcPr>
          <w:p w14:paraId="1352D135" w14:textId="1E17BB39" w:rsidR="00ED2EBD" w:rsidRPr="00BD16B4" w:rsidRDefault="00ED2EBD" w:rsidP="004A205F">
            <w:pPr>
              <w:pStyle w:val="TableText"/>
              <w:spacing w:before="40" w:after="40"/>
              <w:rPr>
                <w:rFonts w:cs="Calibri"/>
                <w:szCs w:val="18"/>
              </w:rPr>
            </w:pPr>
            <w:r w:rsidRPr="00BD16B4">
              <w:rPr>
                <w:rFonts w:cs="Calibri"/>
                <w:szCs w:val="18"/>
              </w:rPr>
              <w:t>D.</w:t>
            </w:r>
            <w:r w:rsidR="00280979" w:rsidRPr="00BD16B4">
              <w:rPr>
                <w:rFonts w:cs="Calibri"/>
                <w:szCs w:val="18"/>
              </w:rPr>
              <w:t xml:space="preserve"> </w:t>
            </w:r>
            <w:r w:rsidRPr="00BD16B4">
              <w:rPr>
                <w:rFonts w:cs="Calibri"/>
                <w:szCs w:val="18"/>
              </w:rPr>
              <w:t>Wetlands</w:t>
            </w:r>
          </w:p>
        </w:tc>
        <w:tc>
          <w:tcPr>
            <w:tcW w:w="964" w:type="dxa"/>
          </w:tcPr>
          <w:p w14:paraId="6B309673" w14:textId="77777777" w:rsidR="00ED2EBD" w:rsidRPr="00BD16B4" w:rsidRDefault="00ED2EBD" w:rsidP="004A205F">
            <w:pPr>
              <w:pStyle w:val="TableText"/>
              <w:spacing w:before="40" w:after="40"/>
              <w:jc w:val="right"/>
              <w:rPr>
                <w:rFonts w:cs="Calibri"/>
                <w:szCs w:val="18"/>
              </w:rPr>
            </w:pPr>
            <w:r w:rsidRPr="00BD16B4">
              <w:rPr>
                <w:rFonts w:cs="Calibri"/>
                <w:szCs w:val="18"/>
              </w:rPr>
              <w:t>27.97</w:t>
            </w:r>
          </w:p>
        </w:tc>
        <w:tc>
          <w:tcPr>
            <w:tcW w:w="964" w:type="dxa"/>
          </w:tcPr>
          <w:p w14:paraId="42089C75" w14:textId="77777777" w:rsidR="00ED2EBD" w:rsidRPr="00BD16B4" w:rsidRDefault="00ED2EBD" w:rsidP="004A205F">
            <w:pPr>
              <w:pStyle w:val="TableText"/>
              <w:spacing w:before="40" w:after="40"/>
              <w:jc w:val="right"/>
              <w:rPr>
                <w:rFonts w:cs="Calibri"/>
                <w:szCs w:val="18"/>
              </w:rPr>
            </w:pPr>
            <w:r w:rsidRPr="00BD16B4">
              <w:rPr>
                <w:rFonts w:cs="Calibri"/>
                <w:szCs w:val="18"/>
              </w:rPr>
              <w:t>34.66</w:t>
            </w:r>
          </w:p>
        </w:tc>
        <w:tc>
          <w:tcPr>
            <w:tcW w:w="964" w:type="dxa"/>
          </w:tcPr>
          <w:p w14:paraId="5F6716E2" w14:textId="77777777" w:rsidR="00ED2EBD" w:rsidRPr="00BD16B4" w:rsidRDefault="00ED2EBD" w:rsidP="004A205F">
            <w:pPr>
              <w:pStyle w:val="TableText"/>
              <w:spacing w:before="40" w:after="40"/>
              <w:jc w:val="right"/>
              <w:rPr>
                <w:rFonts w:cs="Calibri"/>
                <w:szCs w:val="18"/>
              </w:rPr>
            </w:pPr>
            <w:r w:rsidRPr="00BD16B4">
              <w:rPr>
                <w:rFonts w:cs="Calibri"/>
                <w:szCs w:val="18"/>
              </w:rPr>
              <w:t>19.92</w:t>
            </w:r>
          </w:p>
        </w:tc>
        <w:tc>
          <w:tcPr>
            <w:tcW w:w="964" w:type="dxa"/>
          </w:tcPr>
          <w:p w14:paraId="10E5C8E7" w14:textId="77777777" w:rsidR="00ED2EBD" w:rsidRPr="00BD16B4" w:rsidRDefault="00ED2EBD" w:rsidP="004A205F">
            <w:pPr>
              <w:pStyle w:val="TableText"/>
              <w:spacing w:before="40" w:after="40"/>
              <w:jc w:val="right"/>
              <w:rPr>
                <w:rFonts w:cs="Calibri"/>
                <w:szCs w:val="18"/>
              </w:rPr>
            </w:pPr>
            <w:r w:rsidRPr="00BD16B4">
              <w:rPr>
                <w:rFonts w:cs="Calibri"/>
                <w:szCs w:val="18"/>
              </w:rPr>
              <w:t>50.09</w:t>
            </w:r>
          </w:p>
        </w:tc>
        <w:tc>
          <w:tcPr>
            <w:tcW w:w="964" w:type="dxa"/>
          </w:tcPr>
          <w:p w14:paraId="5A58EF80" w14:textId="77777777" w:rsidR="00ED2EBD" w:rsidRPr="00BD16B4" w:rsidRDefault="00ED2EBD" w:rsidP="004A205F">
            <w:pPr>
              <w:pStyle w:val="TableText"/>
              <w:spacing w:before="40" w:after="40"/>
              <w:jc w:val="right"/>
              <w:rPr>
                <w:rFonts w:cs="Calibri"/>
                <w:szCs w:val="18"/>
              </w:rPr>
            </w:pPr>
            <w:r w:rsidRPr="00BD16B4">
              <w:rPr>
                <w:rFonts w:cs="Calibri"/>
                <w:szCs w:val="18"/>
              </w:rPr>
              <w:t>49.62</w:t>
            </w:r>
          </w:p>
        </w:tc>
        <w:tc>
          <w:tcPr>
            <w:tcW w:w="964" w:type="dxa"/>
          </w:tcPr>
          <w:p w14:paraId="20E8FA70" w14:textId="77777777" w:rsidR="00ED2EBD" w:rsidRPr="00BD16B4" w:rsidRDefault="00ED2EBD" w:rsidP="004A205F">
            <w:pPr>
              <w:pStyle w:val="TableText"/>
              <w:spacing w:before="40" w:after="40"/>
              <w:jc w:val="right"/>
              <w:rPr>
                <w:rFonts w:cs="Calibri"/>
                <w:szCs w:val="18"/>
              </w:rPr>
            </w:pPr>
            <w:r w:rsidRPr="00BD16B4">
              <w:rPr>
                <w:rFonts w:cs="Calibri"/>
                <w:szCs w:val="18"/>
              </w:rPr>
              <w:t>22.40</w:t>
            </w:r>
          </w:p>
        </w:tc>
        <w:tc>
          <w:tcPr>
            <w:tcW w:w="964" w:type="dxa"/>
          </w:tcPr>
          <w:p w14:paraId="24DC549C" w14:textId="77777777" w:rsidR="00ED2EBD" w:rsidRPr="00BD16B4" w:rsidRDefault="00ED2EBD" w:rsidP="004A205F">
            <w:pPr>
              <w:pStyle w:val="TableText"/>
              <w:spacing w:before="40" w:after="40"/>
              <w:jc w:val="right"/>
              <w:rPr>
                <w:rFonts w:cs="Calibri"/>
                <w:szCs w:val="18"/>
              </w:rPr>
            </w:pPr>
            <w:r w:rsidRPr="00BD16B4">
              <w:rPr>
                <w:rFonts w:cs="Calibri"/>
                <w:szCs w:val="18"/>
              </w:rPr>
              <w:t>34.98</w:t>
            </w:r>
          </w:p>
        </w:tc>
        <w:tc>
          <w:tcPr>
            <w:tcW w:w="964" w:type="dxa"/>
          </w:tcPr>
          <w:p w14:paraId="33A6A7CF" w14:textId="77777777" w:rsidR="00ED2EBD" w:rsidRPr="00BD16B4" w:rsidRDefault="00ED2EBD" w:rsidP="004A205F">
            <w:pPr>
              <w:pStyle w:val="TableText"/>
              <w:spacing w:before="40" w:after="40"/>
              <w:jc w:val="right"/>
              <w:rPr>
                <w:rFonts w:cs="Calibri"/>
                <w:szCs w:val="18"/>
              </w:rPr>
            </w:pPr>
            <w:r w:rsidRPr="00BD16B4">
              <w:rPr>
                <w:rFonts w:cs="Calibri"/>
                <w:szCs w:val="18"/>
              </w:rPr>
              <w:t>13.60</w:t>
            </w:r>
          </w:p>
        </w:tc>
        <w:tc>
          <w:tcPr>
            <w:tcW w:w="964" w:type="dxa"/>
          </w:tcPr>
          <w:p w14:paraId="1B808073" w14:textId="77777777" w:rsidR="00ED2EBD" w:rsidRPr="00BD16B4" w:rsidRDefault="00ED2EBD" w:rsidP="004A205F">
            <w:pPr>
              <w:pStyle w:val="TableText"/>
              <w:spacing w:before="40" w:after="40"/>
              <w:jc w:val="right"/>
              <w:rPr>
                <w:rFonts w:cs="Calibri"/>
                <w:szCs w:val="18"/>
              </w:rPr>
            </w:pPr>
            <w:r w:rsidRPr="00BD16B4">
              <w:rPr>
                <w:rFonts w:cs="Calibri"/>
                <w:szCs w:val="18"/>
              </w:rPr>
              <w:t>13.31</w:t>
            </w:r>
          </w:p>
        </w:tc>
        <w:tc>
          <w:tcPr>
            <w:tcW w:w="964" w:type="dxa"/>
          </w:tcPr>
          <w:p w14:paraId="2BCC83DC" w14:textId="77777777" w:rsidR="00ED2EBD" w:rsidRPr="00BD16B4" w:rsidRDefault="00ED2EBD" w:rsidP="004A205F">
            <w:pPr>
              <w:pStyle w:val="TableText"/>
              <w:spacing w:before="40" w:after="40"/>
              <w:jc w:val="right"/>
              <w:rPr>
                <w:rFonts w:cs="Calibri"/>
                <w:szCs w:val="18"/>
              </w:rPr>
            </w:pPr>
            <w:r w:rsidRPr="00BD16B4">
              <w:rPr>
                <w:rFonts w:cs="Calibri"/>
                <w:szCs w:val="18"/>
              </w:rPr>
              <w:t>13.29</w:t>
            </w:r>
          </w:p>
        </w:tc>
        <w:tc>
          <w:tcPr>
            <w:tcW w:w="964" w:type="dxa"/>
          </w:tcPr>
          <w:p w14:paraId="5FEB5EB8" w14:textId="77777777" w:rsidR="00ED2EBD" w:rsidRPr="00BD16B4" w:rsidRDefault="00ED2EBD" w:rsidP="004A205F">
            <w:pPr>
              <w:pStyle w:val="TableText"/>
              <w:spacing w:before="40" w:after="40"/>
              <w:jc w:val="right"/>
              <w:rPr>
                <w:rFonts w:cs="Calibri"/>
                <w:szCs w:val="18"/>
              </w:rPr>
            </w:pPr>
            <w:r w:rsidRPr="00BD16B4">
              <w:rPr>
                <w:rFonts w:cs="Calibri"/>
                <w:szCs w:val="18"/>
              </w:rPr>
              <w:t>13.31</w:t>
            </w:r>
          </w:p>
        </w:tc>
      </w:tr>
      <w:tr w:rsidR="008E7C93" w:rsidRPr="00BD16B4" w14:paraId="23FE5710" w14:textId="77777777" w:rsidTr="00D462E8">
        <w:tc>
          <w:tcPr>
            <w:tcW w:w="3397" w:type="dxa"/>
          </w:tcPr>
          <w:p w14:paraId="31A357A2" w14:textId="43263BF4" w:rsidR="00ED2EBD" w:rsidRPr="00BD16B4" w:rsidRDefault="00ED2EBD" w:rsidP="004A205F">
            <w:pPr>
              <w:pStyle w:val="TableText"/>
              <w:spacing w:before="40" w:after="40"/>
              <w:rPr>
                <w:rFonts w:cs="Calibri"/>
                <w:szCs w:val="18"/>
              </w:rPr>
            </w:pPr>
            <w:r w:rsidRPr="00BD16B4">
              <w:rPr>
                <w:rFonts w:cs="Calibri"/>
                <w:szCs w:val="18"/>
              </w:rPr>
              <w:t>E.</w:t>
            </w:r>
            <w:r w:rsidR="00280979" w:rsidRPr="00BD16B4">
              <w:rPr>
                <w:rFonts w:cs="Calibri"/>
                <w:szCs w:val="18"/>
              </w:rPr>
              <w:t xml:space="preserve"> </w:t>
            </w:r>
            <w:r w:rsidRPr="00BD16B4">
              <w:rPr>
                <w:rFonts w:cs="Calibri"/>
                <w:szCs w:val="18"/>
              </w:rPr>
              <w:t xml:space="preserve">Settlements </w:t>
            </w:r>
          </w:p>
        </w:tc>
        <w:tc>
          <w:tcPr>
            <w:tcW w:w="964" w:type="dxa"/>
          </w:tcPr>
          <w:p w14:paraId="6265A43C" w14:textId="77777777" w:rsidR="00ED2EBD" w:rsidRPr="00BD16B4" w:rsidRDefault="00ED2EBD" w:rsidP="004A205F">
            <w:pPr>
              <w:pStyle w:val="TableText"/>
              <w:spacing w:before="40" w:after="40"/>
              <w:jc w:val="right"/>
              <w:rPr>
                <w:rFonts w:cs="Calibri"/>
                <w:szCs w:val="18"/>
              </w:rPr>
            </w:pPr>
            <w:r w:rsidRPr="00BD16B4">
              <w:rPr>
                <w:rFonts w:cs="Calibri"/>
                <w:szCs w:val="18"/>
              </w:rPr>
              <w:t>111.46</w:t>
            </w:r>
          </w:p>
        </w:tc>
        <w:tc>
          <w:tcPr>
            <w:tcW w:w="964" w:type="dxa"/>
          </w:tcPr>
          <w:p w14:paraId="705A8F73" w14:textId="77777777" w:rsidR="00ED2EBD" w:rsidRPr="00BD16B4" w:rsidRDefault="00ED2EBD" w:rsidP="004A205F">
            <w:pPr>
              <w:pStyle w:val="TableText"/>
              <w:spacing w:before="40" w:after="40"/>
              <w:jc w:val="right"/>
              <w:rPr>
                <w:rFonts w:cs="Calibri"/>
                <w:szCs w:val="18"/>
              </w:rPr>
            </w:pPr>
            <w:r w:rsidRPr="00BD16B4">
              <w:rPr>
                <w:rFonts w:cs="Calibri"/>
                <w:szCs w:val="18"/>
              </w:rPr>
              <w:t>123.64</w:t>
            </w:r>
          </w:p>
        </w:tc>
        <w:tc>
          <w:tcPr>
            <w:tcW w:w="964" w:type="dxa"/>
          </w:tcPr>
          <w:p w14:paraId="5D3E2011" w14:textId="77777777" w:rsidR="00ED2EBD" w:rsidRPr="00BD16B4" w:rsidRDefault="00ED2EBD" w:rsidP="004A205F">
            <w:pPr>
              <w:pStyle w:val="TableText"/>
              <w:spacing w:before="40" w:after="40"/>
              <w:jc w:val="right"/>
              <w:rPr>
                <w:rFonts w:cs="Calibri"/>
                <w:szCs w:val="18"/>
              </w:rPr>
            </w:pPr>
            <w:r w:rsidRPr="00BD16B4">
              <w:rPr>
                <w:rFonts w:cs="Calibri"/>
                <w:szCs w:val="18"/>
              </w:rPr>
              <w:t>119.74</w:t>
            </w:r>
          </w:p>
        </w:tc>
        <w:tc>
          <w:tcPr>
            <w:tcW w:w="964" w:type="dxa"/>
          </w:tcPr>
          <w:p w14:paraId="33611E98" w14:textId="77777777" w:rsidR="00ED2EBD" w:rsidRPr="00BD16B4" w:rsidRDefault="00ED2EBD" w:rsidP="004A205F">
            <w:pPr>
              <w:pStyle w:val="TableText"/>
              <w:spacing w:before="40" w:after="40"/>
              <w:jc w:val="right"/>
              <w:rPr>
                <w:rFonts w:cs="Calibri"/>
                <w:szCs w:val="18"/>
              </w:rPr>
            </w:pPr>
            <w:r w:rsidRPr="00BD16B4">
              <w:rPr>
                <w:rFonts w:cs="Calibri"/>
                <w:szCs w:val="18"/>
              </w:rPr>
              <w:t>111.70</w:t>
            </w:r>
          </w:p>
        </w:tc>
        <w:tc>
          <w:tcPr>
            <w:tcW w:w="964" w:type="dxa"/>
          </w:tcPr>
          <w:p w14:paraId="2FDF6EB5" w14:textId="77777777" w:rsidR="00ED2EBD" w:rsidRPr="00BD16B4" w:rsidRDefault="00ED2EBD" w:rsidP="004A205F">
            <w:pPr>
              <w:pStyle w:val="TableText"/>
              <w:spacing w:before="40" w:after="40"/>
              <w:jc w:val="right"/>
              <w:rPr>
                <w:rFonts w:cs="Calibri"/>
                <w:szCs w:val="18"/>
              </w:rPr>
            </w:pPr>
            <w:r w:rsidRPr="00BD16B4">
              <w:rPr>
                <w:rFonts w:cs="Calibri"/>
                <w:szCs w:val="18"/>
              </w:rPr>
              <w:t>123.43</w:t>
            </w:r>
          </w:p>
        </w:tc>
        <w:tc>
          <w:tcPr>
            <w:tcW w:w="964" w:type="dxa"/>
          </w:tcPr>
          <w:p w14:paraId="29A6E627" w14:textId="77777777" w:rsidR="00ED2EBD" w:rsidRPr="00BD16B4" w:rsidRDefault="00ED2EBD" w:rsidP="004A205F">
            <w:pPr>
              <w:pStyle w:val="TableText"/>
              <w:spacing w:before="40" w:after="40"/>
              <w:jc w:val="right"/>
              <w:rPr>
                <w:rFonts w:cs="Calibri"/>
                <w:szCs w:val="18"/>
              </w:rPr>
            </w:pPr>
            <w:r w:rsidRPr="00BD16B4">
              <w:rPr>
                <w:rFonts w:cs="Calibri"/>
                <w:szCs w:val="18"/>
              </w:rPr>
              <w:t>122.08</w:t>
            </w:r>
          </w:p>
        </w:tc>
        <w:tc>
          <w:tcPr>
            <w:tcW w:w="964" w:type="dxa"/>
          </w:tcPr>
          <w:p w14:paraId="02D83C31" w14:textId="77777777" w:rsidR="00ED2EBD" w:rsidRPr="00BD16B4" w:rsidRDefault="00ED2EBD" w:rsidP="004A205F">
            <w:pPr>
              <w:pStyle w:val="TableText"/>
              <w:spacing w:before="40" w:after="40"/>
              <w:jc w:val="right"/>
              <w:rPr>
                <w:rFonts w:cs="Calibri"/>
                <w:szCs w:val="18"/>
              </w:rPr>
            </w:pPr>
            <w:r w:rsidRPr="00BD16B4">
              <w:rPr>
                <w:rFonts w:cs="Calibri"/>
                <w:szCs w:val="18"/>
              </w:rPr>
              <w:t>144.69</w:t>
            </w:r>
          </w:p>
        </w:tc>
        <w:tc>
          <w:tcPr>
            <w:tcW w:w="964" w:type="dxa"/>
          </w:tcPr>
          <w:p w14:paraId="3C89C4FF" w14:textId="77777777" w:rsidR="00ED2EBD" w:rsidRPr="00BD16B4" w:rsidRDefault="00ED2EBD" w:rsidP="004A205F">
            <w:pPr>
              <w:pStyle w:val="TableText"/>
              <w:spacing w:before="40" w:after="40"/>
              <w:jc w:val="right"/>
              <w:rPr>
                <w:rFonts w:cs="Calibri"/>
                <w:szCs w:val="18"/>
              </w:rPr>
            </w:pPr>
            <w:r w:rsidRPr="00BD16B4">
              <w:rPr>
                <w:rFonts w:cs="Calibri"/>
                <w:szCs w:val="18"/>
              </w:rPr>
              <w:t>123.52</w:t>
            </w:r>
          </w:p>
        </w:tc>
        <w:tc>
          <w:tcPr>
            <w:tcW w:w="964" w:type="dxa"/>
          </w:tcPr>
          <w:p w14:paraId="0C573007" w14:textId="77777777" w:rsidR="00ED2EBD" w:rsidRPr="00BD16B4" w:rsidRDefault="00ED2EBD" w:rsidP="004A205F">
            <w:pPr>
              <w:pStyle w:val="TableText"/>
              <w:spacing w:before="40" w:after="40"/>
              <w:jc w:val="right"/>
              <w:rPr>
                <w:rFonts w:cs="Calibri"/>
                <w:szCs w:val="18"/>
              </w:rPr>
            </w:pPr>
            <w:r w:rsidRPr="00BD16B4">
              <w:rPr>
                <w:rFonts w:cs="Calibri"/>
                <w:szCs w:val="18"/>
              </w:rPr>
              <w:t>123.07</w:t>
            </w:r>
          </w:p>
        </w:tc>
        <w:tc>
          <w:tcPr>
            <w:tcW w:w="964" w:type="dxa"/>
          </w:tcPr>
          <w:p w14:paraId="07DA284E" w14:textId="77777777" w:rsidR="00ED2EBD" w:rsidRPr="00BD16B4" w:rsidRDefault="00ED2EBD" w:rsidP="004A205F">
            <w:pPr>
              <w:pStyle w:val="TableText"/>
              <w:spacing w:before="40" w:after="40"/>
              <w:jc w:val="right"/>
              <w:rPr>
                <w:rFonts w:cs="Calibri"/>
                <w:szCs w:val="18"/>
              </w:rPr>
            </w:pPr>
            <w:r w:rsidRPr="00BD16B4">
              <w:rPr>
                <w:rFonts w:cs="Calibri"/>
                <w:szCs w:val="18"/>
              </w:rPr>
              <w:t>127.78</w:t>
            </w:r>
          </w:p>
        </w:tc>
        <w:tc>
          <w:tcPr>
            <w:tcW w:w="964" w:type="dxa"/>
          </w:tcPr>
          <w:p w14:paraId="5748EECF" w14:textId="77777777" w:rsidR="00ED2EBD" w:rsidRPr="00BD16B4" w:rsidRDefault="00ED2EBD" w:rsidP="004A205F">
            <w:pPr>
              <w:pStyle w:val="TableText"/>
              <w:spacing w:before="40" w:after="40"/>
              <w:jc w:val="right"/>
              <w:rPr>
                <w:rFonts w:cs="Calibri"/>
                <w:szCs w:val="18"/>
              </w:rPr>
            </w:pPr>
            <w:r w:rsidRPr="00BD16B4">
              <w:rPr>
                <w:rFonts w:cs="Calibri"/>
                <w:szCs w:val="18"/>
              </w:rPr>
              <w:t>124.05</w:t>
            </w:r>
          </w:p>
        </w:tc>
      </w:tr>
      <w:tr w:rsidR="008E7C93" w:rsidRPr="00BD16B4" w14:paraId="7A4A9AB3" w14:textId="77777777" w:rsidTr="00D462E8">
        <w:tc>
          <w:tcPr>
            <w:tcW w:w="3397" w:type="dxa"/>
          </w:tcPr>
          <w:p w14:paraId="6F5ECECF" w14:textId="4A36CBC9" w:rsidR="00ED2EBD" w:rsidRPr="00BD16B4" w:rsidRDefault="00ED2EBD" w:rsidP="004A205F">
            <w:pPr>
              <w:pStyle w:val="TableText"/>
              <w:spacing w:before="40" w:after="40"/>
              <w:rPr>
                <w:rFonts w:cs="Calibri"/>
                <w:szCs w:val="18"/>
              </w:rPr>
            </w:pPr>
            <w:r w:rsidRPr="00BD16B4">
              <w:rPr>
                <w:rFonts w:cs="Calibri"/>
                <w:szCs w:val="18"/>
              </w:rPr>
              <w:t>F.</w:t>
            </w:r>
            <w:r w:rsidR="00280979" w:rsidRPr="00BD16B4">
              <w:rPr>
                <w:rFonts w:cs="Calibri"/>
                <w:szCs w:val="18"/>
              </w:rPr>
              <w:t xml:space="preserve"> </w:t>
            </w:r>
            <w:r w:rsidRPr="00BD16B4">
              <w:rPr>
                <w:rFonts w:cs="Calibri"/>
                <w:szCs w:val="18"/>
              </w:rPr>
              <w:t>Other land</w:t>
            </w:r>
          </w:p>
        </w:tc>
        <w:tc>
          <w:tcPr>
            <w:tcW w:w="964" w:type="dxa"/>
          </w:tcPr>
          <w:p w14:paraId="2330DEC6" w14:textId="77777777" w:rsidR="00ED2EBD" w:rsidRPr="00BD16B4" w:rsidRDefault="00ED2EBD" w:rsidP="004A205F">
            <w:pPr>
              <w:pStyle w:val="TableText"/>
              <w:spacing w:before="40" w:after="40"/>
              <w:jc w:val="right"/>
              <w:rPr>
                <w:rFonts w:cs="Calibri"/>
                <w:szCs w:val="18"/>
              </w:rPr>
            </w:pPr>
            <w:r w:rsidRPr="00BD16B4">
              <w:rPr>
                <w:rFonts w:cs="Calibri"/>
                <w:szCs w:val="18"/>
              </w:rPr>
              <w:t>158.47</w:t>
            </w:r>
          </w:p>
        </w:tc>
        <w:tc>
          <w:tcPr>
            <w:tcW w:w="964" w:type="dxa"/>
          </w:tcPr>
          <w:p w14:paraId="24DF2A46" w14:textId="77777777" w:rsidR="00ED2EBD" w:rsidRPr="00BD16B4" w:rsidRDefault="00ED2EBD" w:rsidP="004A205F">
            <w:pPr>
              <w:pStyle w:val="TableText"/>
              <w:spacing w:before="40" w:after="40"/>
              <w:jc w:val="right"/>
              <w:rPr>
                <w:rFonts w:cs="Calibri"/>
                <w:szCs w:val="18"/>
              </w:rPr>
            </w:pPr>
            <w:r w:rsidRPr="00BD16B4">
              <w:rPr>
                <w:rFonts w:cs="Calibri"/>
                <w:szCs w:val="18"/>
              </w:rPr>
              <w:t>216.36</w:t>
            </w:r>
          </w:p>
        </w:tc>
        <w:tc>
          <w:tcPr>
            <w:tcW w:w="964" w:type="dxa"/>
          </w:tcPr>
          <w:p w14:paraId="206578D4" w14:textId="77777777" w:rsidR="00ED2EBD" w:rsidRPr="00BD16B4" w:rsidRDefault="00ED2EBD" w:rsidP="004A205F">
            <w:pPr>
              <w:pStyle w:val="TableText"/>
              <w:spacing w:before="40" w:after="40"/>
              <w:jc w:val="right"/>
              <w:rPr>
                <w:rFonts w:cs="Calibri"/>
                <w:szCs w:val="18"/>
              </w:rPr>
            </w:pPr>
            <w:r w:rsidRPr="00BD16B4">
              <w:rPr>
                <w:rFonts w:cs="Calibri"/>
                <w:szCs w:val="18"/>
              </w:rPr>
              <w:t>204.07</w:t>
            </w:r>
          </w:p>
        </w:tc>
        <w:tc>
          <w:tcPr>
            <w:tcW w:w="964" w:type="dxa"/>
          </w:tcPr>
          <w:p w14:paraId="6FD915BC" w14:textId="77777777" w:rsidR="00ED2EBD" w:rsidRPr="00BD16B4" w:rsidRDefault="00ED2EBD" w:rsidP="004A205F">
            <w:pPr>
              <w:pStyle w:val="TableText"/>
              <w:spacing w:before="40" w:after="40"/>
              <w:jc w:val="right"/>
              <w:rPr>
                <w:rFonts w:cs="Calibri"/>
                <w:szCs w:val="18"/>
              </w:rPr>
            </w:pPr>
            <w:r w:rsidRPr="00BD16B4">
              <w:rPr>
                <w:rFonts w:cs="Calibri"/>
                <w:szCs w:val="18"/>
              </w:rPr>
              <w:t>188.24</w:t>
            </w:r>
          </w:p>
        </w:tc>
        <w:tc>
          <w:tcPr>
            <w:tcW w:w="964" w:type="dxa"/>
          </w:tcPr>
          <w:p w14:paraId="7623BA64" w14:textId="77777777" w:rsidR="00ED2EBD" w:rsidRPr="00BD16B4" w:rsidRDefault="00ED2EBD" w:rsidP="004A205F">
            <w:pPr>
              <w:pStyle w:val="TableText"/>
              <w:spacing w:before="40" w:after="40"/>
              <w:jc w:val="right"/>
              <w:rPr>
                <w:rFonts w:cs="Calibri"/>
                <w:szCs w:val="18"/>
              </w:rPr>
            </w:pPr>
            <w:r w:rsidRPr="00BD16B4">
              <w:rPr>
                <w:rFonts w:cs="Calibri"/>
                <w:szCs w:val="18"/>
              </w:rPr>
              <w:t>172.75</w:t>
            </w:r>
          </w:p>
        </w:tc>
        <w:tc>
          <w:tcPr>
            <w:tcW w:w="964" w:type="dxa"/>
          </w:tcPr>
          <w:p w14:paraId="53B27A26" w14:textId="77777777" w:rsidR="00ED2EBD" w:rsidRPr="00BD16B4" w:rsidRDefault="00ED2EBD" w:rsidP="004A205F">
            <w:pPr>
              <w:pStyle w:val="TableText"/>
              <w:spacing w:before="40" w:after="40"/>
              <w:jc w:val="right"/>
              <w:rPr>
                <w:rFonts w:cs="Calibri"/>
                <w:szCs w:val="18"/>
              </w:rPr>
            </w:pPr>
            <w:r w:rsidRPr="00BD16B4">
              <w:rPr>
                <w:rFonts w:cs="Calibri"/>
                <w:szCs w:val="18"/>
              </w:rPr>
              <w:t>242.70</w:t>
            </w:r>
          </w:p>
        </w:tc>
        <w:tc>
          <w:tcPr>
            <w:tcW w:w="964" w:type="dxa"/>
          </w:tcPr>
          <w:p w14:paraId="0104EC55" w14:textId="77777777" w:rsidR="00ED2EBD" w:rsidRPr="00BD16B4" w:rsidRDefault="00ED2EBD" w:rsidP="004A205F">
            <w:pPr>
              <w:pStyle w:val="TableText"/>
              <w:spacing w:before="40" w:after="40"/>
              <w:jc w:val="right"/>
              <w:rPr>
                <w:rFonts w:cs="Calibri"/>
                <w:szCs w:val="18"/>
              </w:rPr>
            </w:pPr>
            <w:r w:rsidRPr="00BD16B4">
              <w:rPr>
                <w:rFonts w:cs="Calibri"/>
                <w:szCs w:val="18"/>
              </w:rPr>
              <w:t>213.86</w:t>
            </w:r>
          </w:p>
        </w:tc>
        <w:tc>
          <w:tcPr>
            <w:tcW w:w="964" w:type="dxa"/>
          </w:tcPr>
          <w:p w14:paraId="34EB3B44" w14:textId="77777777" w:rsidR="00ED2EBD" w:rsidRPr="00BD16B4" w:rsidRDefault="00ED2EBD" w:rsidP="004A205F">
            <w:pPr>
              <w:pStyle w:val="TableText"/>
              <w:spacing w:before="40" w:after="40"/>
              <w:jc w:val="right"/>
              <w:rPr>
                <w:rFonts w:cs="Calibri"/>
                <w:szCs w:val="18"/>
              </w:rPr>
            </w:pPr>
            <w:r w:rsidRPr="00BD16B4">
              <w:rPr>
                <w:rFonts w:cs="Calibri"/>
                <w:szCs w:val="18"/>
              </w:rPr>
              <w:t>129.88</w:t>
            </w:r>
          </w:p>
        </w:tc>
        <w:tc>
          <w:tcPr>
            <w:tcW w:w="964" w:type="dxa"/>
          </w:tcPr>
          <w:p w14:paraId="3F4D76FF" w14:textId="77777777" w:rsidR="00ED2EBD" w:rsidRPr="00BD16B4" w:rsidRDefault="00ED2EBD" w:rsidP="004A205F">
            <w:pPr>
              <w:pStyle w:val="TableText"/>
              <w:spacing w:before="40" w:after="40"/>
              <w:jc w:val="right"/>
              <w:rPr>
                <w:rFonts w:cs="Calibri"/>
                <w:szCs w:val="18"/>
              </w:rPr>
            </w:pPr>
            <w:r w:rsidRPr="00BD16B4">
              <w:rPr>
                <w:rFonts w:cs="Calibri"/>
                <w:szCs w:val="18"/>
              </w:rPr>
              <w:t>132.15</w:t>
            </w:r>
          </w:p>
        </w:tc>
        <w:tc>
          <w:tcPr>
            <w:tcW w:w="964" w:type="dxa"/>
          </w:tcPr>
          <w:p w14:paraId="19DAEB12" w14:textId="77777777" w:rsidR="00ED2EBD" w:rsidRPr="00BD16B4" w:rsidRDefault="00ED2EBD" w:rsidP="004A205F">
            <w:pPr>
              <w:pStyle w:val="TableText"/>
              <w:spacing w:before="40" w:after="40"/>
              <w:jc w:val="right"/>
              <w:rPr>
                <w:rFonts w:cs="Calibri"/>
                <w:szCs w:val="18"/>
              </w:rPr>
            </w:pPr>
            <w:r w:rsidRPr="00BD16B4">
              <w:rPr>
                <w:rFonts w:cs="Calibri"/>
                <w:szCs w:val="18"/>
              </w:rPr>
              <w:t>148.71</w:t>
            </w:r>
          </w:p>
        </w:tc>
        <w:tc>
          <w:tcPr>
            <w:tcW w:w="964" w:type="dxa"/>
          </w:tcPr>
          <w:p w14:paraId="7E78C5D6" w14:textId="77777777" w:rsidR="00ED2EBD" w:rsidRPr="00BD16B4" w:rsidRDefault="00ED2EBD" w:rsidP="004A205F">
            <w:pPr>
              <w:pStyle w:val="TableText"/>
              <w:spacing w:before="40" w:after="40"/>
              <w:jc w:val="right"/>
              <w:rPr>
                <w:rFonts w:cs="Calibri"/>
                <w:szCs w:val="18"/>
              </w:rPr>
            </w:pPr>
            <w:r w:rsidRPr="00BD16B4">
              <w:rPr>
                <w:rFonts w:cs="Calibri"/>
                <w:szCs w:val="18"/>
              </w:rPr>
              <w:t>114.28</w:t>
            </w:r>
          </w:p>
        </w:tc>
      </w:tr>
      <w:tr w:rsidR="008E7C93" w:rsidRPr="00BD16B4" w14:paraId="56A0E3B8" w14:textId="77777777" w:rsidTr="00D462E8">
        <w:tc>
          <w:tcPr>
            <w:tcW w:w="3397" w:type="dxa"/>
          </w:tcPr>
          <w:p w14:paraId="1B1DBDE4" w14:textId="08B7C203" w:rsidR="00ED2EBD" w:rsidRPr="00BD16B4" w:rsidRDefault="00ED2EBD" w:rsidP="004A205F">
            <w:pPr>
              <w:pStyle w:val="TableText"/>
              <w:spacing w:before="40" w:after="40"/>
              <w:rPr>
                <w:rFonts w:cs="Calibri"/>
                <w:szCs w:val="18"/>
              </w:rPr>
            </w:pPr>
            <w:r w:rsidRPr="00BD16B4">
              <w:rPr>
                <w:rFonts w:cs="Calibri"/>
                <w:szCs w:val="18"/>
              </w:rPr>
              <w:lastRenderedPageBreak/>
              <w:t>G.</w:t>
            </w:r>
            <w:r w:rsidR="00280979" w:rsidRPr="00BD16B4">
              <w:rPr>
                <w:rFonts w:cs="Calibri"/>
                <w:szCs w:val="18"/>
              </w:rPr>
              <w:t xml:space="preserve"> </w:t>
            </w:r>
            <w:r w:rsidRPr="00BD16B4">
              <w:rPr>
                <w:rFonts w:cs="Calibri"/>
                <w:szCs w:val="18"/>
              </w:rPr>
              <w:t>Harvested wood products</w:t>
            </w:r>
          </w:p>
        </w:tc>
        <w:tc>
          <w:tcPr>
            <w:tcW w:w="964" w:type="dxa"/>
          </w:tcPr>
          <w:p w14:paraId="5F0A86DA" w14:textId="77777777" w:rsidR="00ED2EBD" w:rsidRPr="00BD16B4" w:rsidRDefault="00ED2EBD" w:rsidP="004A205F">
            <w:pPr>
              <w:pStyle w:val="TableText"/>
              <w:spacing w:before="40" w:after="40"/>
              <w:jc w:val="right"/>
              <w:rPr>
                <w:rFonts w:cs="Calibri"/>
                <w:szCs w:val="18"/>
              </w:rPr>
            </w:pPr>
            <w:r w:rsidRPr="00BD16B4">
              <w:rPr>
                <w:rFonts w:cs="Calibri"/>
                <w:szCs w:val="18"/>
              </w:rPr>
              <w:t>-6,701.76</w:t>
            </w:r>
          </w:p>
        </w:tc>
        <w:tc>
          <w:tcPr>
            <w:tcW w:w="964" w:type="dxa"/>
          </w:tcPr>
          <w:p w14:paraId="31E44DC9" w14:textId="77777777" w:rsidR="00ED2EBD" w:rsidRPr="00BD16B4" w:rsidRDefault="00ED2EBD" w:rsidP="004A205F">
            <w:pPr>
              <w:pStyle w:val="TableText"/>
              <w:spacing w:before="40" w:after="40"/>
              <w:jc w:val="right"/>
              <w:rPr>
                <w:rFonts w:cs="Calibri"/>
                <w:szCs w:val="18"/>
              </w:rPr>
            </w:pPr>
            <w:r w:rsidRPr="00BD16B4">
              <w:rPr>
                <w:rFonts w:cs="Calibri"/>
                <w:szCs w:val="18"/>
              </w:rPr>
              <w:t>-7,319.15</w:t>
            </w:r>
          </w:p>
        </w:tc>
        <w:tc>
          <w:tcPr>
            <w:tcW w:w="964" w:type="dxa"/>
          </w:tcPr>
          <w:p w14:paraId="1E88E3C6" w14:textId="77777777" w:rsidR="00ED2EBD" w:rsidRPr="00BD16B4" w:rsidRDefault="00ED2EBD" w:rsidP="004A205F">
            <w:pPr>
              <w:pStyle w:val="TableText"/>
              <w:spacing w:before="40" w:after="40"/>
              <w:jc w:val="right"/>
              <w:rPr>
                <w:rFonts w:cs="Calibri"/>
                <w:szCs w:val="18"/>
              </w:rPr>
            </w:pPr>
            <w:r w:rsidRPr="00BD16B4">
              <w:rPr>
                <w:rFonts w:cs="Calibri"/>
                <w:szCs w:val="18"/>
              </w:rPr>
              <w:t>-7,580.45</w:t>
            </w:r>
          </w:p>
        </w:tc>
        <w:tc>
          <w:tcPr>
            <w:tcW w:w="964" w:type="dxa"/>
          </w:tcPr>
          <w:p w14:paraId="0496EEE9" w14:textId="77777777" w:rsidR="00ED2EBD" w:rsidRPr="00BD16B4" w:rsidRDefault="00ED2EBD" w:rsidP="004A205F">
            <w:pPr>
              <w:pStyle w:val="TableText"/>
              <w:spacing w:before="40" w:after="40"/>
              <w:jc w:val="right"/>
              <w:rPr>
                <w:rFonts w:cs="Calibri"/>
                <w:szCs w:val="18"/>
              </w:rPr>
            </w:pPr>
            <w:r w:rsidRPr="00BD16B4">
              <w:rPr>
                <w:rFonts w:cs="Calibri"/>
                <w:szCs w:val="18"/>
              </w:rPr>
              <w:t>-8,689.41</w:t>
            </w:r>
          </w:p>
        </w:tc>
        <w:tc>
          <w:tcPr>
            <w:tcW w:w="964" w:type="dxa"/>
          </w:tcPr>
          <w:p w14:paraId="2D581B2A" w14:textId="77777777" w:rsidR="00ED2EBD" w:rsidRPr="00BD16B4" w:rsidRDefault="00ED2EBD" w:rsidP="004A205F">
            <w:pPr>
              <w:pStyle w:val="TableText"/>
              <w:spacing w:before="40" w:after="40"/>
              <w:jc w:val="right"/>
              <w:rPr>
                <w:rFonts w:cs="Calibri"/>
                <w:szCs w:val="18"/>
              </w:rPr>
            </w:pPr>
            <w:r w:rsidRPr="00BD16B4">
              <w:rPr>
                <w:rFonts w:cs="Calibri"/>
                <w:szCs w:val="18"/>
              </w:rPr>
              <w:t>-7,789.74</w:t>
            </w:r>
          </w:p>
        </w:tc>
        <w:tc>
          <w:tcPr>
            <w:tcW w:w="964" w:type="dxa"/>
          </w:tcPr>
          <w:p w14:paraId="2816EEC7" w14:textId="77777777" w:rsidR="00ED2EBD" w:rsidRPr="00BD16B4" w:rsidRDefault="00ED2EBD" w:rsidP="004A205F">
            <w:pPr>
              <w:pStyle w:val="TableText"/>
              <w:spacing w:before="40" w:after="40"/>
              <w:jc w:val="right"/>
              <w:rPr>
                <w:rFonts w:cs="Calibri"/>
                <w:szCs w:val="18"/>
              </w:rPr>
            </w:pPr>
            <w:r w:rsidRPr="00BD16B4">
              <w:rPr>
                <w:rFonts w:cs="Calibri"/>
                <w:szCs w:val="18"/>
              </w:rPr>
              <w:t>-6,873.75</w:t>
            </w:r>
          </w:p>
        </w:tc>
        <w:tc>
          <w:tcPr>
            <w:tcW w:w="964" w:type="dxa"/>
          </w:tcPr>
          <w:p w14:paraId="12D31DF0" w14:textId="77777777" w:rsidR="00ED2EBD" w:rsidRPr="00BD16B4" w:rsidRDefault="00ED2EBD" w:rsidP="004A205F">
            <w:pPr>
              <w:pStyle w:val="TableText"/>
              <w:spacing w:before="40" w:after="40"/>
              <w:jc w:val="right"/>
              <w:rPr>
                <w:rFonts w:cs="Calibri"/>
                <w:szCs w:val="18"/>
              </w:rPr>
            </w:pPr>
            <w:r w:rsidRPr="00BD16B4">
              <w:rPr>
                <w:rFonts w:cs="Calibri"/>
                <w:szCs w:val="18"/>
              </w:rPr>
              <w:t>-7,896.76</w:t>
            </w:r>
          </w:p>
        </w:tc>
        <w:tc>
          <w:tcPr>
            <w:tcW w:w="964" w:type="dxa"/>
          </w:tcPr>
          <w:p w14:paraId="48304B44" w14:textId="77777777" w:rsidR="00ED2EBD" w:rsidRPr="00BD16B4" w:rsidRDefault="00ED2EBD" w:rsidP="004A205F">
            <w:pPr>
              <w:pStyle w:val="TableText"/>
              <w:spacing w:before="40" w:after="40"/>
              <w:jc w:val="right"/>
              <w:rPr>
                <w:rFonts w:cs="Calibri"/>
                <w:szCs w:val="18"/>
              </w:rPr>
            </w:pPr>
            <w:r w:rsidRPr="00BD16B4">
              <w:rPr>
                <w:rFonts w:cs="Calibri"/>
                <w:szCs w:val="18"/>
              </w:rPr>
              <w:t>-8,674.53</w:t>
            </w:r>
          </w:p>
        </w:tc>
        <w:tc>
          <w:tcPr>
            <w:tcW w:w="964" w:type="dxa"/>
          </w:tcPr>
          <w:p w14:paraId="7FC449B0" w14:textId="77777777" w:rsidR="00ED2EBD" w:rsidRPr="00BD16B4" w:rsidRDefault="00ED2EBD" w:rsidP="004A205F">
            <w:pPr>
              <w:pStyle w:val="TableText"/>
              <w:spacing w:before="40" w:after="40"/>
              <w:jc w:val="right"/>
              <w:rPr>
                <w:rFonts w:cs="Calibri"/>
                <w:szCs w:val="18"/>
              </w:rPr>
            </w:pPr>
            <w:r w:rsidRPr="00BD16B4">
              <w:rPr>
                <w:rFonts w:cs="Calibri"/>
                <w:szCs w:val="18"/>
              </w:rPr>
              <w:t>-9,323.54</w:t>
            </w:r>
          </w:p>
        </w:tc>
        <w:tc>
          <w:tcPr>
            <w:tcW w:w="964" w:type="dxa"/>
          </w:tcPr>
          <w:p w14:paraId="284BEAE9" w14:textId="77777777" w:rsidR="00ED2EBD" w:rsidRPr="00BD16B4" w:rsidRDefault="00ED2EBD" w:rsidP="004A205F">
            <w:pPr>
              <w:pStyle w:val="TableText"/>
              <w:spacing w:before="40" w:after="40"/>
              <w:jc w:val="right"/>
              <w:rPr>
                <w:rFonts w:cs="Calibri"/>
                <w:szCs w:val="18"/>
              </w:rPr>
            </w:pPr>
            <w:r w:rsidRPr="00BD16B4">
              <w:rPr>
                <w:rFonts w:cs="Calibri"/>
                <w:szCs w:val="18"/>
              </w:rPr>
              <w:t>-9,037.85</w:t>
            </w:r>
          </w:p>
        </w:tc>
        <w:tc>
          <w:tcPr>
            <w:tcW w:w="964" w:type="dxa"/>
          </w:tcPr>
          <w:p w14:paraId="037FBDCC" w14:textId="77777777" w:rsidR="00ED2EBD" w:rsidRPr="00BD16B4" w:rsidRDefault="00ED2EBD" w:rsidP="004A205F">
            <w:pPr>
              <w:pStyle w:val="TableText"/>
              <w:spacing w:before="40" w:after="40"/>
              <w:jc w:val="right"/>
              <w:rPr>
                <w:rFonts w:cs="Calibri"/>
                <w:szCs w:val="18"/>
              </w:rPr>
            </w:pPr>
            <w:r w:rsidRPr="00BD16B4">
              <w:rPr>
                <w:rFonts w:cs="Calibri"/>
                <w:szCs w:val="18"/>
              </w:rPr>
              <w:t>-6,834.58</w:t>
            </w:r>
          </w:p>
        </w:tc>
      </w:tr>
      <w:tr w:rsidR="008E7C93" w:rsidRPr="00BD16B4" w14:paraId="413DBB94" w14:textId="77777777" w:rsidTr="00D462E8">
        <w:tc>
          <w:tcPr>
            <w:tcW w:w="3397" w:type="dxa"/>
          </w:tcPr>
          <w:p w14:paraId="754CF4EA" w14:textId="0BD7EE38" w:rsidR="00ED2EBD" w:rsidRPr="00BD16B4" w:rsidRDefault="00ED2EBD" w:rsidP="004A205F">
            <w:pPr>
              <w:pStyle w:val="TableText"/>
              <w:spacing w:before="40" w:after="40"/>
              <w:rPr>
                <w:rFonts w:cs="Calibri"/>
                <w:szCs w:val="18"/>
              </w:rPr>
            </w:pPr>
            <w:r w:rsidRPr="00BD16B4">
              <w:rPr>
                <w:rFonts w:cs="Calibri"/>
                <w:szCs w:val="18"/>
              </w:rPr>
              <w:t>H.</w:t>
            </w:r>
            <w:r w:rsidR="00280979" w:rsidRPr="00BD16B4">
              <w:rPr>
                <w:rFonts w:cs="Calibri"/>
                <w:szCs w:val="18"/>
              </w:rPr>
              <w:t xml:space="preserve"> </w:t>
            </w:r>
            <w:r w:rsidRPr="00BD16B4">
              <w:rPr>
                <w:rFonts w:cs="Calibri"/>
                <w:szCs w:val="18"/>
              </w:rPr>
              <w:t>Other</w:t>
            </w:r>
            <w:r w:rsidR="00280979" w:rsidRPr="00BD16B4">
              <w:rPr>
                <w:rFonts w:cs="Calibri"/>
                <w:szCs w:val="18"/>
              </w:rPr>
              <w:t xml:space="preserve"> </w:t>
            </w:r>
          </w:p>
        </w:tc>
        <w:tc>
          <w:tcPr>
            <w:tcW w:w="964" w:type="dxa"/>
          </w:tcPr>
          <w:p w14:paraId="245CA481"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Pr>
          <w:p w14:paraId="111FA722"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Pr>
          <w:p w14:paraId="065B74A9"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Pr>
          <w:p w14:paraId="7D97186F"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Pr>
          <w:p w14:paraId="28915E80"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Pr>
          <w:p w14:paraId="6BE317DC"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Pr>
          <w:p w14:paraId="02173814"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Pr>
          <w:p w14:paraId="4FCF1322"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Pr>
          <w:p w14:paraId="561DDE36"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Pr>
          <w:p w14:paraId="52E2ACCF"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c>
          <w:tcPr>
            <w:tcW w:w="964" w:type="dxa"/>
          </w:tcPr>
          <w:p w14:paraId="5D0C7051" w14:textId="77777777" w:rsidR="00ED2EBD" w:rsidRPr="00BD16B4" w:rsidRDefault="00ED2EBD" w:rsidP="004A205F">
            <w:pPr>
              <w:pStyle w:val="TableText"/>
              <w:spacing w:before="40" w:after="40"/>
              <w:jc w:val="right"/>
              <w:rPr>
                <w:rFonts w:cs="Calibri"/>
                <w:szCs w:val="18"/>
              </w:rPr>
            </w:pPr>
            <w:r w:rsidRPr="00BD16B4">
              <w:rPr>
                <w:rFonts w:cs="Calibri"/>
                <w:szCs w:val="18"/>
              </w:rPr>
              <w:t>NA</w:t>
            </w:r>
          </w:p>
        </w:tc>
      </w:tr>
      <w:tr w:rsidR="008E7C93" w:rsidRPr="00BD16B4" w14:paraId="6D415448" w14:textId="77777777" w:rsidTr="00D462E8">
        <w:tc>
          <w:tcPr>
            <w:tcW w:w="3397" w:type="dxa"/>
          </w:tcPr>
          <w:p w14:paraId="7851E2AC" w14:textId="4E757C24" w:rsidR="00ED2EBD" w:rsidRPr="00BD16B4" w:rsidRDefault="00ED2EBD" w:rsidP="004A205F">
            <w:pPr>
              <w:pStyle w:val="TableText"/>
              <w:spacing w:before="40" w:after="40"/>
              <w:rPr>
                <w:rFonts w:cs="Calibri"/>
                <w:szCs w:val="18"/>
              </w:rPr>
            </w:pPr>
            <w:r w:rsidRPr="00BD16B4">
              <w:rPr>
                <w:rFonts w:cs="Calibri"/>
                <w:b/>
                <w:bCs/>
                <w:szCs w:val="18"/>
              </w:rPr>
              <w:t>5.</w:t>
            </w:r>
            <w:r w:rsidR="00280979" w:rsidRPr="00BD16B4">
              <w:rPr>
                <w:rFonts w:cs="Calibri"/>
                <w:b/>
                <w:bCs/>
                <w:szCs w:val="18"/>
              </w:rPr>
              <w:t xml:space="preserve"> </w:t>
            </w:r>
            <w:r w:rsidRPr="00BD16B4">
              <w:rPr>
                <w:rFonts w:cs="Calibri"/>
                <w:b/>
                <w:bCs/>
                <w:szCs w:val="18"/>
              </w:rPr>
              <w:t>Waste</w:t>
            </w:r>
          </w:p>
        </w:tc>
        <w:tc>
          <w:tcPr>
            <w:tcW w:w="964" w:type="dxa"/>
          </w:tcPr>
          <w:p w14:paraId="7871CC61" w14:textId="77777777" w:rsidR="00ED2EBD" w:rsidRPr="00BD16B4" w:rsidRDefault="00ED2EBD" w:rsidP="004A205F">
            <w:pPr>
              <w:pStyle w:val="TableText"/>
              <w:spacing w:before="40" w:after="40"/>
              <w:jc w:val="right"/>
              <w:rPr>
                <w:rFonts w:cs="Calibri"/>
                <w:szCs w:val="18"/>
              </w:rPr>
            </w:pPr>
            <w:r w:rsidRPr="00BD16B4">
              <w:rPr>
                <w:rFonts w:cs="Calibri"/>
                <w:szCs w:val="18"/>
              </w:rPr>
              <w:t>108.66</w:t>
            </w:r>
          </w:p>
        </w:tc>
        <w:tc>
          <w:tcPr>
            <w:tcW w:w="964" w:type="dxa"/>
          </w:tcPr>
          <w:p w14:paraId="40BA94A8" w14:textId="77777777" w:rsidR="00ED2EBD" w:rsidRPr="00BD16B4" w:rsidRDefault="00ED2EBD" w:rsidP="004A205F">
            <w:pPr>
              <w:pStyle w:val="TableText"/>
              <w:spacing w:before="40" w:after="40"/>
              <w:jc w:val="right"/>
              <w:rPr>
                <w:rFonts w:cs="Calibri"/>
                <w:szCs w:val="18"/>
              </w:rPr>
            </w:pPr>
            <w:r w:rsidRPr="00BD16B4">
              <w:rPr>
                <w:rFonts w:cs="Calibri"/>
                <w:szCs w:val="18"/>
              </w:rPr>
              <w:t>105.31</w:t>
            </w:r>
          </w:p>
        </w:tc>
        <w:tc>
          <w:tcPr>
            <w:tcW w:w="964" w:type="dxa"/>
          </w:tcPr>
          <w:p w14:paraId="50E5CEC4" w14:textId="77777777" w:rsidR="00ED2EBD" w:rsidRPr="00BD16B4" w:rsidRDefault="00ED2EBD" w:rsidP="004A205F">
            <w:pPr>
              <w:pStyle w:val="TableText"/>
              <w:spacing w:before="40" w:after="40"/>
              <w:jc w:val="right"/>
              <w:rPr>
                <w:rFonts w:cs="Calibri"/>
                <w:szCs w:val="18"/>
              </w:rPr>
            </w:pPr>
            <w:r w:rsidRPr="00BD16B4">
              <w:rPr>
                <w:rFonts w:cs="Calibri"/>
                <w:szCs w:val="18"/>
              </w:rPr>
              <w:t>105.57</w:t>
            </w:r>
          </w:p>
        </w:tc>
        <w:tc>
          <w:tcPr>
            <w:tcW w:w="964" w:type="dxa"/>
          </w:tcPr>
          <w:p w14:paraId="1B3A17F6" w14:textId="77777777" w:rsidR="00ED2EBD" w:rsidRPr="00BD16B4" w:rsidRDefault="00ED2EBD" w:rsidP="004A205F">
            <w:pPr>
              <w:pStyle w:val="TableText"/>
              <w:spacing w:before="40" w:after="40"/>
              <w:jc w:val="right"/>
              <w:rPr>
                <w:rFonts w:cs="Calibri"/>
                <w:szCs w:val="18"/>
              </w:rPr>
            </w:pPr>
            <w:r w:rsidRPr="00BD16B4">
              <w:rPr>
                <w:rFonts w:cs="Calibri"/>
                <w:szCs w:val="18"/>
              </w:rPr>
              <w:t>102.91</w:t>
            </w:r>
          </w:p>
        </w:tc>
        <w:tc>
          <w:tcPr>
            <w:tcW w:w="964" w:type="dxa"/>
          </w:tcPr>
          <w:p w14:paraId="1EB5FB48" w14:textId="77777777" w:rsidR="00ED2EBD" w:rsidRPr="00BD16B4" w:rsidRDefault="00ED2EBD" w:rsidP="004A205F">
            <w:pPr>
              <w:pStyle w:val="TableText"/>
              <w:spacing w:before="40" w:after="40"/>
              <w:jc w:val="right"/>
              <w:rPr>
                <w:rFonts w:cs="Calibri"/>
                <w:szCs w:val="18"/>
              </w:rPr>
            </w:pPr>
            <w:r w:rsidRPr="00BD16B4">
              <w:rPr>
                <w:rFonts w:cs="Calibri"/>
                <w:szCs w:val="18"/>
              </w:rPr>
              <w:t>102.98</w:t>
            </w:r>
          </w:p>
        </w:tc>
        <w:tc>
          <w:tcPr>
            <w:tcW w:w="964" w:type="dxa"/>
          </w:tcPr>
          <w:p w14:paraId="4675B480" w14:textId="77777777" w:rsidR="00ED2EBD" w:rsidRPr="00BD16B4" w:rsidRDefault="00ED2EBD" w:rsidP="004A205F">
            <w:pPr>
              <w:pStyle w:val="TableText"/>
              <w:spacing w:before="40" w:after="40"/>
              <w:jc w:val="right"/>
              <w:rPr>
                <w:rFonts w:cs="Calibri"/>
                <w:szCs w:val="18"/>
              </w:rPr>
            </w:pPr>
            <w:r w:rsidRPr="00BD16B4">
              <w:rPr>
                <w:rFonts w:cs="Calibri"/>
                <w:szCs w:val="18"/>
              </w:rPr>
              <w:t>100.34</w:t>
            </w:r>
          </w:p>
        </w:tc>
        <w:tc>
          <w:tcPr>
            <w:tcW w:w="964" w:type="dxa"/>
          </w:tcPr>
          <w:p w14:paraId="2C9A66F2" w14:textId="77777777" w:rsidR="00ED2EBD" w:rsidRPr="00BD16B4" w:rsidRDefault="00ED2EBD" w:rsidP="004A205F">
            <w:pPr>
              <w:pStyle w:val="TableText"/>
              <w:spacing w:before="40" w:after="40"/>
              <w:jc w:val="right"/>
              <w:rPr>
                <w:rFonts w:cs="Calibri"/>
                <w:szCs w:val="18"/>
              </w:rPr>
            </w:pPr>
            <w:r w:rsidRPr="00BD16B4">
              <w:rPr>
                <w:rFonts w:cs="Calibri"/>
                <w:szCs w:val="18"/>
              </w:rPr>
              <w:t>100.78</w:t>
            </w:r>
          </w:p>
        </w:tc>
        <w:tc>
          <w:tcPr>
            <w:tcW w:w="964" w:type="dxa"/>
          </w:tcPr>
          <w:p w14:paraId="3A6C2097" w14:textId="77777777" w:rsidR="00ED2EBD" w:rsidRPr="00BD16B4" w:rsidRDefault="00ED2EBD" w:rsidP="004A205F">
            <w:pPr>
              <w:pStyle w:val="TableText"/>
              <w:spacing w:before="40" w:after="40"/>
              <w:jc w:val="right"/>
              <w:rPr>
                <w:rFonts w:cs="Calibri"/>
                <w:szCs w:val="18"/>
              </w:rPr>
            </w:pPr>
            <w:r w:rsidRPr="00BD16B4">
              <w:rPr>
                <w:rFonts w:cs="Calibri"/>
                <w:szCs w:val="18"/>
              </w:rPr>
              <w:t>95.22</w:t>
            </w:r>
          </w:p>
        </w:tc>
        <w:tc>
          <w:tcPr>
            <w:tcW w:w="964" w:type="dxa"/>
          </w:tcPr>
          <w:p w14:paraId="612B100E" w14:textId="77777777" w:rsidR="00ED2EBD" w:rsidRPr="00BD16B4" w:rsidRDefault="00ED2EBD" w:rsidP="004A205F">
            <w:pPr>
              <w:pStyle w:val="TableText"/>
              <w:spacing w:before="40" w:after="40"/>
              <w:jc w:val="right"/>
              <w:rPr>
                <w:rFonts w:cs="Calibri"/>
                <w:szCs w:val="18"/>
              </w:rPr>
            </w:pPr>
            <w:r w:rsidRPr="00BD16B4">
              <w:rPr>
                <w:rFonts w:cs="Calibri"/>
                <w:szCs w:val="18"/>
              </w:rPr>
              <w:t>92.42</w:t>
            </w:r>
          </w:p>
        </w:tc>
        <w:tc>
          <w:tcPr>
            <w:tcW w:w="964" w:type="dxa"/>
          </w:tcPr>
          <w:p w14:paraId="4C13C2B3" w14:textId="77777777" w:rsidR="00ED2EBD" w:rsidRPr="00BD16B4" w:rsidRDefault="00ED2EBD" w:rsidP="004A205F">
            <w:pPr>
              <w:pStyle w:val="TableText"/>
              <w:spacing w:before="40" w:after="40"/>
              <w:jc w:val="right"/>
              <w:rPr>
                <w:rFonts w:cs="Calibri"/>
                <w:szCs w:val="18"/>
              </w:rPr>
            </w:pPr>
            <w:r w:rsidRPr="00BD16B4">
              <w:rPr>
                <w:rFonts w:cs="Calibri"/>
                <w:szCs w:val="18"/>
              </w:rPr>
              <w:t>90.26</w:t>
            </w:r>
          </w:p>
        </w:tc>
        <w:tc>
          <w:tcPr>
            <w:tcW w:w="964" w:type="dxa"/>
          </w:tcPr>
          <w:p w14:paraId="2D213029" w14:textId="77777777" w:rsidR="00ED2EBD" w:rsidRPr="00BD16B4" w:rsidRDefault="00ED2EBD" w:rsidP="004A205F">
            <w:pPr>
              <w:pStyle w:val="TableText"/>
              <w:spacing w:before="40" w:after="40"/>
              <w:jc w:val="right"/>
              <w:rPr>
                <w:rFonts w:cs="Calibri"/>
                <w:szCs w:val="18"/>
              </w:rPr>
            </w:pPr>
            <w:r w:rsidRPr="00BD16B4">
              <w:rPr>
                <w:rFonts w:cs="Calibri"/>
                <w:szCs w:val="18"/>
              </w:rPr>
              <w:t>89.80</w:t>
            </w:r>
          </w:p>
        </w:tc>
      </w:tr>
      <w:tr w:rsidR="008E7C93" w:rsidRPr="00BD16B4" w14:paraId="62A1A605" w14:textId="77777777" w:rsidTr="00D462E8">
        <w:tc>
          <w:tcPr>
            <w:tcW w:w="3397" w:type="dxa"/>
          </w:tcPr>
          <w:p w14:paraId="7E4B419E" w14:textId="7F509C3D" w:rsidR="00ED2EBD" w:rsidRPr="00BD16B4" w:rsidRDefault="00ED2EBD" w:rsidP="004A205F">
            <w:pPr>
              <w:pStyle w:val="TableText"/>
              <w:spacing w:before="40" w:after="40"/>
              <w:rPr>
                <w:rFonts w:cs="Calibri"/>
                <w:szCs w:val="18"/>
              </w:rPr>
            </w:pPr>
            <w:r w:rsidRPr="00BD16B4">
              <w:rPr>
                <w:rFonts w:cs="Calibri"/>
                <w:szCs w:val="18"/>
              </w:rPr>
              <w:t>A.</w:t>
            </w:r>
            <w:r w:rsidR="00280979" w:rsidRPr="00BD16B4">
              <w:rPr>
                <w:rFonts w:cs="Calibri"/>
                <w:szCs w:val="18"/>
              </w:rPr>
              <w:t xml:space="preserve"> </w:t>
            </w:r>
            <w:r w:rsidRPr="00BD16B4">
              <w:rPr>
                <w:rFonts w:cs="Calibri"/>
                <w:szCs w:val="18"/>
              </w:rPr>
              <w:t xml:space="preserve">Solid waste disposal </w:t>
            </w:r>
          </w:p>
        </w:tc>
        <w:tc>
          <w:tcPr>
            <w:tcW w:w="964" w:type="dxa"/>
            <w:tcBorders>
              <w:bottom w:val="single" w:sz="4" w:space="0" w:color="1B556B" w:themeColor="text2"/>
            </w:tcBorders>
          </w:tcPr>
          <w:p w14:paraId="28214728"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Borders>
              <w:bottom w:val="single" w:sz="4" w:space="0" w:color="1B556B" w:themeColor="text2"/>
            </w:tcBorders>
          </w:tcPr>
          <w:p w14:paraId="1FB38DA5"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Borders>
              <w:bottom w:val="single" w:sz="4" w:space="0" w:color="1B556B" w:themeColor="text2"/>
            </w:tcBorders>
          </w:tcPr>
          <w:p w14:paraId="464DAAB0"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Borders>
              <w:bottom w:val="single" w:sz="4" w:space="0" w:color="1B556B" w:themeColor="text2"/>
            </w:tcBorders>
          </w:tcPr>
          <w:p w14:paraId="2C9A012C"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Borders>
              <w:bottom w:val="single" w:sz="4" w:space="0" w:color="1B556B" w:themeColor="text2"/>
            </w:tcBorders>
          </w:tcPr>
          <w:p w14:paraId="2B2BC9A8"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Borders>
              <w:bottom w:val="single" w:sz="4" w:space="0" w:color="1B556B" w:themeColor="text2"/>
            </w:tcBorders>
          </w:tcPr>
          <w:p w14:paraId="49E3EF3F"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Borders>
              <w:bottom w:val="single" w:sz="4" w:space="0" w:color="1B556B" w:themeColor="text2"/>
            </w:tcBorders>
          </w:tcPr>
          <w:p w14:paraId="485E2D16"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Borders>
              <w:bottom w:val="single" w:sz="4" w:space="0" w:color="1B556B" w:themeColor="text2"/>
            </w:tcBorders>
          </w:tcPr>
          <w:p w14:paraId="5FF47FBB"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Borders>
              <w:bottom w:val="single" w:sz="4" w:space="0" w:color="1B556B" w:themeColor="text2"/>
            </w:tcBorders>
          </w:tcPr>
          <w:p w14:paraId="41D50180"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Borders>
              <w:bottom w:val="single" w:sz="4" w:space="0" w:color="1B556B" w:themeColor="text2"/>
            </w:tcBorders>
          </w:tcPr>
          <w:p w14:paraId="23A759CD"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c>
          <w:tcPr>
            <w:tcW w:w="964" w:type="dxa"/>
            <w:tcBorders>
              <w:bottom w:val="single" w:sz="4" w:space="0" w:color="1B556B" w:themeColor="text2"/>
            </w:tcBorders>
          </w:tcPr>
          <w:p w14:paraId="662CE031" w14:textId="77777777" w:rsidR="00ED2EBD" w:rsidRPr="00BD16B4" w:rsidRDefault="00ED2EBD" w:rsidP="004A205F">
            <w:pPr>
              <w:pStyle w:val="TableText"/>
              <w:spacing w:before="40" w:after="40"/>
              <w:jc w:val="right"/>
              <w:rPr>
                <w:rFonts w:cs="Calibri"/>
                <w:szCs w:val="18"/>
              </w:rPr>
            </w:pPr>
            <w:r w:rsidRPr="00BD16B4">
              <w:rPr>
                <w:rFonts w:cs="Calibri"/>
                <w:szCs w:val="18"/>
              </w:rPr>
              <w:t>NO, NA</w:t>
            </w:r>
          </w:p>
        </w:tc>
      </w:tr>
      <w:tr w:rsidR="00ED2EBD" w:rsidRPr="00BD16B4" w14:paraId="16C40F96" w14:textId="77777777" w:rsidTr="00D462E8">
        <w:tc>
          <w:tcPr>
            <w:tcW w:w="3397" w:type="dxa"/>
          </w:tcPr>
          <w:p w14:paraId="6E6AEF12" w14:textId="1A899F3A" w:rsidR="00ED2EBD" w:rsidRPr="00BD16B4" w:rsidRDefault="00ED2EBD" w:rsidP="004A205F">
            <w:pPr>
              <w:pStyle w:val="TableText"/>
              <w:spacing w:before="40" w:after="40"/>
              <w:rPr>
                <w:rFonts w:cs="Calibri"/>
                <w:szCs w:val="18"/>
              </w:rPr>
            </w:pPr>
            <w:r w:rsidRPr="00BD16B4">
              <w:rPr>
                <w:rFonts w:cs="Calibri"/>
                <w:szCs w:val="18"/>
              </w:rPr>
              <w:t>B.</w:t>
            </w:r>
            <w:r w:rsidR="00280979" w:rsidRPr="00BD16B4">
              <w:rPr>
                <w:rFonts w:cs="Calibri"/>
                <w:szCs w:val="18"/>
              </w:rPr>
              <w:t xml:space="preserve"> </w:t>
            </w:r>
            <w:r w:rsidRPr="00BD16B4">
              <w:rPr>
                <w:rFonts w:cs="Calibri"/>
                <w:szCs w:val="18"/>
              </w:rPr>
              <w:t>Biological treatment of solid waste</w:t>
            </w:r>
          </w:p>
        </w:tc>
        <w:tc>
          <w:tcPr>
            <w:tcW w:w="964" w:type="dxa"/>
            <w:tcBorders>
              <w:top w:val="single" w:sz="4" w:space="0" w:color="1B556B" w:themeColor="text2"/>
            </w:tcBorders>
            <w:shd w:val="clear" w:color="auto" w:fill="D2DDE1" w:themeFill="background2"/>
          </w:tcPr>
          <w:p w14:paraId="17627CE7"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85E6B08"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93CE5D4"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049BA46"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77BFB7A"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2A6B4E50"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71A8287A"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B25D338"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524F1C5"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055BF806"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446AF69"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r>
      <w:tr w:rsidR="008E7C93" w:rsidRPr="00BD16B4" w14:paraId="01F07BCE" w14:textId="77777777" w:rsidTr="00D462E8">
        <w:tc>
          <w:tcPr>
            <w:tcW w:w="3397" w:type="dxa"/>
          </w:tcPr>
          <w:p w14:paraId="7A96A90F" w14:textId="2F472202" w:rsidR="00ED2EBD" w:rsidRPr="00BD16B4" w:rsidRDefault="00ED2EBD" w:rsidP="004A205F">
            <w:pPr>
              <w:pStyle w:val="TableText"/>
              <w:spacing w:before="40" w:after="40"/>
              <w:rPr>
                <w:rFonts w:cs="Calibri"/>
                <w:szCs w:val="18"/>
              </w:rPr>
            </w:pPr>
            <w:r w:rsidRPr="00BD16B4">
              <w:rPr>
                <w:rFonts w:cs="Calibri"/>
                <w:szCs w:val="18"/>
              </w:rPr>
              <w:t>C.</w:t>
            </w:r>
            <w:r w:rsidR="00280979" w:rsidRPr="00BD16B4">
              <w:rPr>
                <w:rFonts w:cs="Calibri"/>
                <w:szCs w:val="18"/>
              </w:rPr>
              <w:t xml:space="preserve"> </w:t>
            </w:r>
            <w:r w:rsidRPr="00BD16B4">
              <w:rPr>
                <w:rFonts w:cs="Calibri"/>
                <w:szCs w:val="18"/>
              </w:rPr>
              <w:t>Incineration and open burning of waste</w:t>
            </w:r>
          </w:p>
        </w:tc>
        <w:tc>
          <w:tcPr>
            <w:tcW w:w="964" w:type="dxa"/>
            <w:tcBorders>
              <w:bottom w:val="single" w:sz="4" w:space="0" w:color="1B556B" w:themeColor="text2"/>
            </w:tcBorders>
          </w:tcPr>
          <w:p w14:paraId="00E08DCD" w14:textId="77777777" w:rsidR="00ED2EBD" w:rsidRPr="00BD16B4" w:rsidRDefault="00ED2EBD" w:rsidP="004A205F">
            <w:pPr>
              <w:pStyle w:val="TableText"/>
              <w:spacing w:before="40" w:after="40"/>
              <w:jc w:val="right"/>
              <w:rPr>
                <w:rFonts w:cs="Calibri"/>
                <w:szCs w:val="18"/>
              </w:rPr>
            </w:pPr>
            <w:r w:rsidRPr="00BD16B4">
              <w:rPr>
                <w:rFonts w:cs="Calibri"/>
                <w:szCs w:val="18"/>
              </w:rPr>
              <w:t>108.66</w:t>
            </w:r>
          </w:p>
        </w:tc>
        <w:tc>
          <w:tcPr>
            <w:tcW w:w="964" w:type="dxa"/>
            <w:tcBorders>
              <w:bottom w:val="single" w:sz="4" w:space="0" w:color="1B556B" w:themeColor="text2"/>
            </w:tcBorders>
          </w:tcPr>
          <w:p w14:paraId="41ACB3EF" w14:textId="77777777" w:rsidR="00ED2EBD" w:rsidRPr="00BD16B4" w:rsidRDefault="00ED2EBD" w:rsidP="004A205F">
            <w:pPr>
              <w:pStyle w:val="TableText"/>
              <w:spacing w:before="40" w:after="40"/>
              <w:jc w:val="right"/>
              <w:rPr>
                <w:rFonts w:cs="Calibri"/>
                <w:szCs w:val="18"/>
              </w:rPr>
            </w:pPr>
            <w:r w:rsidRPr="00BD16B4">
              <w:rPr>
                <w:rFonts w:cs="Calibri"/>
                <w:szCs w:val="18"/>
              </w:rPr>
              <w:t>105.31</w:t>
            </w:r>
          </w:p>
        </w:tc>
        <w:tc>
          <w:tcPr>
            <w:tcW w:w="964" w:type="dxa"/>
            <w:tcBorders>
              <w:bottom w:val="single" w:sz="4" w:space="0" w:color="1B556B" w:themeColor="text2"/>
            </w:tcBorders>
          </w:tcPr>
          <w:p w14:paraId="197FB616" w14:textId="77777777" w:rsidR="00ED2EBD" w:rsidRPr="00BD16B4" w:rsidRDefault="00ED2EBD" w:rsidP="004A205F">
            <w:pPr>
              <w:pStyle w:val="TableText"/>
              <w:spacing w:before="40" w:after="40"/>
              <w:jc w:val="right"/>
              <w:rPr>
                <w:rFonts w:cs="Calibri"/>
                <w:szCs w:val="18"/>
              </w:rPr>
            </w:pPr>
            <w:r w:rsidRPr="00BD16B4">
              <w:rPr>
                <w:rFonts w:cs="Calibri"/>
                <w:szCs w:val="18"/>
              </w:rPr>
              <w:t>105.57</w:t>
            </w:r>
          </w:p>
        </w:tc>
        <w:tc>
          <w:tcPr>
            <w:tcW w:w="964" w:type="dxa"/>
            <w:tcBorders>
              <w:bottom w:val="single" w:sz="4" w:space="0" w:color="1B556B" w:themeColor="text2"/>
            </w:tcBorders>
          </w:tcPr>
          <w:p w14:paraId="53793C43" w14:textId="77777777" w:rsidR="00ED2EBD" w:rsidRPr="00BD16B4" w:rsidRDefault="00ED2EBD" w:rsidP="004A205F">
            <w:pPr>
              <w:pStyle w:val="TableText"/>
              <w:spacing w:before="40" w:after="40"/>
              <w:jc w:val="right"/>
              <w:rPr>
                <w:rFonts w:cs="Calibri"/>
                <w:szCs w:val="18"/>
              </w:rPr>
            </w:pPr>
            <w:r w:rsidRPr="00BD16B4">
              <w:rPr>
                <w:rFonts w:cs="Calibri"/>
                <w:szCs w:val="18"/>
              </w:rPr>
              <w:t>102.91</w:t>
            </w:r>
          </w:p>
        </w:tc>
        <w:tc>
          <w:tcPr>
            <w:tcW w:w="964" w:type="dxa"/>
            <w:tcBorders>
              <w:bottom w:val="single" w:sz="4" w:space="0" w:color="1B556B" w:themeColor="text2"/>
            </w:tcBorders>
          </w:tcPr>
          <w:p w14:paraId="6D09C11C" w14:textId="77777777" w:rsidR="00ED2EBD" w:rsidRPr="00BD16B4" w:rsidRDefault="00ED2EBD" w:rsidP="004A205F">
            <w:pPr>
              <w:pStyle w:val="TableText"/>
              <w:spacing w:before="40" w:after="40"/>
              <w:jc w:val="right"/>
              <w:rPr>
                <w:rFonts w:cs="Calibri"/>
                <w:szCs w:val="18"/>
              </w:rPr>
            </w:pPr>
            <w:r w:rsidRPr="00BD16B4">
              <w:rPr>
                <w:rFonts w:cs="Calibri"/>
                <w:szCs w:val="18"/>
              </w:rPr>
              <w:t>102.98</w:t>
            </w:r>
          </w:p>
        </w:tc>
        <w:tc>
          <w:tcPr>
            <w:tcW w:w="964" w:type="dxa"/>
            <w:tcBorders>
              <w:bottom w:val="single" w:sz="4" w:space="0" w:color="1B556B" w:themeColor="text2"/>
            </w:tcBorders>
          </w:tcPr>
          <w:p w14:paraId="2A424928" w14:textId="77777777" w:rsidR="00ED2EBD" w:rsidRPr="00BD16B4" w:rsidRDefault="00ED2EBD" w:rsidP="004A205F">
            <w:pPr>
              <w:pStyle w:val="TableText"/>
              <w:spacing w:before="40" w:after="40"/>
              <w:jc w:val="right"/>
              <w:rPr>
                <w:rFonts w:cs="Calibri"/>
                <w:szCs w:val="18"/>
              </w:rPr>
            </w:pPr>
            <w:r w:rsidRPr="00BD16B4">
              <w:rPr>
                <w:rFonts w:cs="Calibri"/>
                <w:szCs w:val="18"/>
              </w:rPr>
              <w:t>100.34</w:t>
            </w:r>
          </w:p>
        </w:tc>
        <w:tc>
          <w:tcPr>
            <w:tcW w:w="964" w:type="dxa"/>
            <w:tcBorders>
              <w:bottom w:val="single" w:sz="4" w:space="0" w:color="1B556B" w:themeColor="text2"/>
            </w:tcBorders>
          </w:tcPr>
          <w:p w14:paraId="4BFD5248" w14:textId="77777777" w:rsidR="00ED2EBD" w:rsidRPr="00BD16B4" w:rsidRDefault="00ED2EBD" w:rsidP="004A205F">
            <w:pPr>
              <w:pStyle w:val="TableText"/>
              <w:spacing w:before="40" w:after="40"/>
              <w:jc w:val="right"/>
              <w:rPr>
                <w:rFonts w:cs="Calibri"/>
                <w:szCs w:val="18"/>
              </w:rPr>
            </w:pPr>
            <w:r w:rsidRPr="00BD16B4">
              <w:rPr>
                <w:rFonts w:cs="Calibri"/>
                <w:szCs w:val="18"/>
              </w:rPr>
              <w:t>100.78</w:t>
            </w:r>
          </w:p>
        </w:tc>
        <w:tc>
          <w:tcPr>
            <w:tcW w:w="964" w:type="dxa"/>
            <w:tcBorders>
              <w:bottom w:val="single" w:sz="4" w:space="0" w:color="1B556B" w:themeColor="text2"/>
            </w:tcBorders>
          </w:tcPr>
          <w:p w14:paraId="504A6A53" w14:textId="77777777" w:rsidR="00ED2EBD" w:rsidRPr="00BD16B4" w:rsidRDefault="00ED2EBD" w:rsidP="004A205F">
            <w:pPr>
              <w:pStyle w:val="TableText"/>
              <w:spacing w:before="40" w:after="40"/>
              <w:jc w:val="right"/>
              <w:rPr>
                <w:rFonts w:cs="Calibri"/>
                <w:szCs w:val="18"/>
              </w:rPr>
            </w:pPr>
            <w:r w:rsidRPr="00BD16B4">
              <w:rPr>
                <w:rFonts w:cs="Calibri"/>
                <w:szCs w:val="18"/>
              </w:rPr>
              <w:t>95.22</w:t>
            </w:r>
          </w:p>
        </w:tc>
        <w:tc>
          <w:tcPr>
            <w:tcW w:w="964" w:type="dxa"/>
            <w:tcBorders>
              <w:bottom w:val="single" w:sz="4" w:space="0" w:color="1B556B" w:themeColor="text2"/>
            </w:tcBorders>
          </w:tcPr>
          <w:p w14:paraId="51DDC7A5" w14:textId="77777777" w:rsidR="00ED2EBD" w:rsidRPr="00BD16B4" w:rsidRDefault="00ED2EBD" w:rsidP="004A205F">
            <w:pPr>
              <w:pStyle w:val="TableText"/>
              <w:spacing w:before="40" w:after="40"/>
              <w:jc w:val="right"/>
              <w:rPr>
                <w:rFonts w:cs="Calibri"/>
                <w:szCs w:val="18"/>
              </w:rPr>
            </w:pPr>
            <w:r w:rsidRPr="00BD16B4">
              <w:rPr>
                <w:rFonts w:cs="Calibri"/>
                <w:szCs w:val="18"/>
              </w:rPr>
              <w:t>92.42</w:t>
            </w:r>
          </w:p>
        </w:tc>
        <w:tc>
          <w:tcPr>
            <w:tcW w:w="964" w:type="dxa"/>
            <w:tcBorders>
              <w:bottom w:val="single" w:sz="4" w:space="0" w:color="1B556B" w:themeColor="text2"/>
            </w:tcBorders>
          </w:tcPr>
          <w:p w14:paraId="4440E872" w14:textId="77777777" w:rsidR="00ED2EBD" w:rsidRPr="00BD16B4" w:rsidRDefault="00ED2EBD" w:rsidP="004A205F">
            <w:pPr>
              <w:pStyle w:val="TableText"/>
              <w:spacing w:before="40" w:after="40"/>
              <w:jc w:val="right"/>
              <w:rPr>
                <w:rFonts w:cs="Calibri"/>
                <w:szCs w:val="18"/>
              </w:rPr>
            </w:pPr>
            <w:r w:rsidRPr="00BD16B4">
              <w:rPr>
                <w:rFonts w:cs="Calibri"/>
                <w:szCs w:val="18"/>
              </w:rPr>
              <w:t>90.26</w:t>
            </w:r>
          </w:p>
        </w:tc>
        <w:tc>
          <w:tcPr>
            <w:tcW w:w="964" w:type="dxa"/>
            <w:tcBorders>
              <w:bottom w:val="single" w:sz="4" w:space="0" w:color="1B556B" w:themeColor="text2"/>
            </w:tcBorders>
          </w:tcPr>
          <w:p w14:paraId="09223FA6" w14:textId="77777777" w:rsidR="00ED2EBD" w:rsidRPr="00BD16B4" w:rsidRDefault="00ED2EBD" w:rsidP="004A205F">
            <w:pPr>
              <w:pStyle w:val="TableText"/>
              <w:spacing w:before="40" w:after="40"/>
              <w:jc w:val="right"/>
              <w:rPr>
                <w:rFonts w:cs="Calibri"/>
                <w:szCs w:val="18"/>
              </w:rPr>
            </w:pPr>
            <w:r w:rsidRPr="00BD16B4">
              <w:rPr>
                <w:rFonts w:cs="Calibri"/>
                <w:szCs w:val="18"/>
              </w:rPr>
              <w:t>89.80</w:t>
            </w:r>
          </w:p>
        </w:tc>
      </w:tr>
      <w:tr w:rsidR="00ED2EBD" w:rsidRPr="00BD16B4" w14:paraId="3B8C4DDA" w14:textId="77777777" w:rsidTr="00D462E8">
        <w:tc>
          <w:tcPr>
            <w:tcW w:w="3397" w:type="dxa"/>
          </w:tcPr>
          <w:p w14:paraId="01CA3FAB" w14:textId="61B800E9" w:rsidR="00ED2EBD" w:rsidRPr="00BD16B4" w:rsidRDefault="00ED2EBD" w:rsidP="004A205F">
            <w:pPr>
              <w:pStyle w:val="TableText"/>
              <w:spacing w:before="40" w:after="40"/>
              <w:rPr>
                <w:rFonts w:cs="Calibri"/>
                <w:szCs w:val="18"/>
              </w:rPr>
            </w:pPr>
            <w:r w:rsidRPr="00BD16B4">
              <w:rPr>
                <w:rFonts w:cs="Calibri"/>
                <w:szCs w:val="18"/>
              </w:rPr>
              <w:t>D.</w:t>
            </w:r>
            <w:r w:rsidR="00280979" w:rsidRPr="00BD16B4">
              <w:rPr>
                <w:rFonts w:cs="Calibri"/>
                <w:szCs w:val="18"/>
              </w:rPr>
              <w:t xml:space="preserve"> </w:t>
            </w:r>
            <w:r w:rsidRPr="00BD16B4">
              <w:rPr>
                <w:rFonts w:cs="Calibri"/>
                <w:szCs w:val="18"/>
              </w:rPr>
              <w:t>Waste water treatment and discharge</w:t>
            </w:r>
          </w:p>
        </w:tc>
        <w:tc>
          <w:tcPr>
            <w:tcW w:w="964" w:type="dxa"/>
            <w:tcBorders>
              <w:top w:val="single" w:sz="4" w:space="0" w:color="1B556B" w:themeColor="text2"/>
            </w:tcBorders>
            <w:shd w:val="clear" w:color="auto" w:fill="D2DDE1" w:themeFill="background2"/>
          </w:tcPr>
          <w:p w14:paraId="46F92E95"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607CE217"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1FA67FE"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6E745ABB"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00C9A183"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245CF84"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B36EC3F"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65120467"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7F3FC33F"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4C32544D"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41D8F719"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r>
      <w:tr w:rsidR="00ED2EBD" w:rsidRPr="00BD16B4" w14:paraId="5F737ABC" w14:textId="77777777" w:rsidTr="00D462E8">
        <w:tc>
          <w:tcPr>
            <w:tcW w:w="3397" w:type="dxa"/>
          </w:tcPr>
          <w:p w14:paraId="109380E3" w14:textId="246E3632" w:rsidR="00ED2EBD" w:rsidRPr="00BD16B4" w:rsidRDefault="00ED2EBD" w:rsidP="004A205F">
            <w:pPr>
              <w:pStyle w:val="TableText"/>
              <w:spacing w:before="40" w:after="40"/>
              <w:rPr>
                <w:rFonts w:cs="Calibri"/>
                <w:szCs w:val="18"/>
              </w:rPr>
            </w:pPr>
            <w:r w:rsidRPr="00BD16B4">
              <w:rPr>
                <w:rFonts w:cs="Calibri"/>
                <w:szCs w:val="18"/>
              </w:rPr>
              <w:t>E.</w:t>
            </w:r>
            <w:r w:rsidR="00280979" w:rsidRPr="00BD16B4">
              <w:rPr>
                <w:rFonts w:cs="Calibri"/>
                <w:szCs w:val="18"/>
              </w:rPr>
              <w:t xml:space="preserve"> </w:t>
            </w:r>
            <w:r w:rsidRPr="00BD16B4">
              <w:rPr>
                <w:rFonts w:cs="Calibri"/>
                <w:szCs w:val="18"/>
              </w:rPr>
              <w:t xml:space="preserve">Other </w:t>
            </w:r>
          </w:p>
        </w:tc>
        <w:tc>
          <w:tcPr>
            <w:tcW w:w="964" w:type="dxa"/>
            <w:tcBorders>
              <w:top w:val="single" w:sz="4" w:space="0" w:color="1B556B" w:themeColor="text2"/>
            </w:tcBorders>
            <w:shd w:val="clear" w:color="auto" w:fill="D2DDE1" w:themeFill="background2"/>
          </w:tcPr>
          <w:p w14:paraId="05C42C08"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1D9DEC9"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2E44A17C"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9F3CB12"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8C22DC8"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0C632CFF"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3C1F639"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530FBC67"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1DBB9123"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3FBBBDC3"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c>
          <w:tcPr>
            <w:tcW w:w="964" w:type="dxa"/>
            <w:tcBorders>
              <w:top w:val="single" w:sz="4" w:space="0" w:color="1B556B" w:themeColor="text2"/>
            </w:tcBorders>
            <w:shd w:val="clear" w:color="auto" w:fill="D2DDE1" w:themeFill="background2"/>
          </w:tcPr>
          <w:p w14:paraId="206BB7B6" w14:textId="77777777" w:rsidR="00ED2EBD" w:rsidRPr="00BD16B4" w:rsidRDefault="00ED2EBD" w:rsidP="004A205F">
            <w:pPr>
              <w:pStyle w:val="TableText"/>
              <w:spacing w:before="40" w:after="40"/>
              <w:jc w:val="right"/>
              <w:rPr>
                <w:rFonts w:cs="Calibri"/>
                <w:szCs w:val="18"/>
              </w:rPr>
            </w:pPr>
            <w:r w:rsidRPr="00BD16B4">
              <w:rPr>
                <w:rFonts w:cs="Calibri"/>
                <w:color w:val="000000"/>
                <w:szCs w:val="18"/>
              </w:rPr>
              <w:t> </w:t>
            </w:r>
          </w:p>
        </w:tc>
      </w:tr>
      <w:tr w:rsidR="008E7C93" w:rsidRPr="00BD16B4" w14:paraId="7D8A4DBF" w14:textId="77777777" w:rsidTr="00D462E8">
        <w:tc>
          <w:tcPr>
            <w:tcW w:w="3397" w:type="dxa"/>
          </w:tcPr>
          <w:p w14:paraId="6C387249" w14:textId="347AC8FE" w:rsidR="00ED2EBD" w:rsidRPr="00BD16B4" w:rsidRDefault="00ED2EBD" w:rsidP="004A205F">
            <w:pPr>
              <w:pStyle w:val="TableText"/>
              <w:spacing w:before="40" w:after="40"/>
              <w:rPr>
                <w:rFonts w:cs="Calibri"/>
                <w:szCs w:val="18"/>
              </w:rPr>
            </w:pPr>
            <w:r w:rsidRPr="00BD16B4">
              <w:rPr>
                <w:rFonts w:cs="Calibri"/>
                <w:b/>
                <w:bCs/>
                <w:szCs w:val="18"/>
              </w:rPr>
              <w:t>6.</w:t>
            </w:r>
            <w:r w:rsidR="00280979" w:rsidRPr="00BD16B4">
              <w:rPr>
                <w:rFonts w:cs="Calibri"/>
                <w:b/>
                <w:bCs/>
                <w:szCs w:val="18"/>
              </w:rPr>
              <w:t xml:space="preserve"> </w:t>
            </w:r>
            <w:r w:rsidRPr="00BD16B4">
              <w:rPr>
                <w:rFonts w:cs="Calibri"/>
                <w:b/>
                <w:bCs/>
                <w:szCs w:val="18"/>
              </w:rPr>
              <w:t>Other (as specified in summary table A.1)</w:t>
            </w:r>
          </w:p>
        </w:tc>
        <w:tc>
          <w:tcPr>
            <w:tcW w:w="964" w:type="dxa"/>
          </w:tcPr>
          <w:p w14:paraId="4C853B40" w14:textId="77777777" w:rsidR="00ED2EBD" w:rsidRPr="00BD16B4" w:rsidRDefault="00ED2EBD" w:rsidP="004A205F">
            <w:pPr>
              <w:pStyle w:val="TableText"/>
              <w:spacing w:before="40" w:after="40"/>
              <w:jc w:val="right"/>
              <w:rPr>
                <w:rFonts w:cs="Calibri"/>
                <w:szCs w:val="18"/>
              </w:rPr>
            </w:pPr>
            <w:r w:rsidRPr="00BD16B4">
              <w:rPr>
                <w:rFonts w:cs="Calibri"/>
                <w:szCs w:val="18"/>
              </w:rPr>
              <w:t>2.52</w:t>
            </w:r>
          </w:p>
        </w:tc>
        <w:tc>
          <w:tcPr>
            <w:tcW w:w="964" w:type="dxa"/>
          </w:tcPr>
          <w:p w14:paraId="2E3EF346" w14:textId="77777777" w:rsidR="00ED2EBD" w:rsidRPr="00BD16B4" w:rsidRDefault="00ED2EBD" w:rsidP="004A205F">
            <w:pPr>
              <w:pStyle w:val="TableText"/>
              <w:spacing w:before="40" w:after="40"/>
              <w:jc w:val="right"/>
              <w:rPr>
                <w:rFonts w:cs="Calibri"/>
                <w:szCs w:val="18"/>
              </w:rPr>
            </w:pPr>
            <w:r w:rsidRPr="00BD16B4">
              <w:rPr>
                <w:rFonts w:cs="Calibri"/>
                <w:szCs w:val="18"/>
              </w:rPr>
              <w:t>2.54</w:t>
            </w:r>
          </w:p>
        </w:tc>
        <w:tc>
          <w:tcPr>
            <w:tcW w:w="964" w:type="dxa"/>
          </w:tcPr>
          <w:p w14:paraId="400782EC" w14:textId="77777777" w:rsidR="00ED2EBD" w:rsidRPr="00BD16B4" w:rsidRDefault="00ED2EBD" w:rsidP="004A205F">
            <w:pPr>
              <w:pStyle w:val="TableText"/>
              <w:spacing w:before="40" w:after="40"/>
              <w:jc w:val="right"/>
              <w:rPr>
                <w:rFonts w:cs="Calibri"/>
                <w:szCs w:val="18"/>
              </w:rPr>
            </w:pPr>
            <w:r w:rsidRPr="00BD16B4">
              <w:rPr>
                <w:rFonts w:cs="Calibri"/>
                <w:szCs w:val="18"/>
              </w:rPr>
              <w:t>2.32</w:t>
            </w:r>
          </w:p>
        </w:tc>
        <w:tc>
          <w:tcPr>
            <w:tcW w:w="964" w:type="dxa"/>
          </w:tcPr>
          <w:p w14:paraId="7B365DF0" w14:textId="77777777" w:rsidR="00ED2EBD" w:rsidRPr="00BD16B4" w:rsidRDefault="00ED2EBD" w:rsidP="004A205F">
            <w:pPr>
              <w:pStyle w:val="TableText"/>
              <w:spacing w:before="40" w:after="40"/>
              <w:jc w:val="right"/>
              <w:rPr>
                <w:rFonts w:cs="Calibri"/>
                <w:szCs w:val="18"/>
              </w:rPr>
            </w:pPr>
            <w:r w:rsidRPr="00BD16B4">
              <w:rPr>
                <w:rFonts w:cs="Calibri"/>
                <w:szCs w:val="18"/>
              </w:rPr>
              <w:t>1.62</w:t>
            </w:r>
          </w:p>
        </w:tc>
        <w:tc>
          <w:tcPr>
            <w:tcW w:w="964" w:type="dxa"/>
          </w:tcPr>
          <w:p w14:paraId="6FBEC7F4" w14:textId="77777777" w:rsidR="00ED2EBD" w:rsidRPr="00BD16B4" w:rsidRDefault="00ED2EBD" w:rsidP="004A205F">
            <w:pPr>
              <w:pStyle w:val="TableText"/>
              <w:spacing w:before="40" w:after="40"/>
              <w:jc w:val="right"/>
              <w:rPr>
                <w:rFonts w:cs="Calibri"/>
                <w:szCs w:val="18"/>
              </w:rPr>
            </w:pPr>
            <w:r w:rsidRPr="00BD16B4">
              <w:rPr>
                <w:rFonts w:cs="Calibri"/>
                <w:szCs w:val="18"/>
              </w:rPr>
              <w:t>1.64</w:t>
            </w:r>
          </w:p>
        </w:tc>
        <w:tc>
          <w:tcPr>
            <w:tcW w:w="964" w:type="dxa"/>
          </w:tcPr>
          <w:p w14:paraId="0509E0F1" w14:textId="77777777" w:rsidR="00ED2EBD" w:rsidRPr="00BD16B4" w:rsidRDefault="00ED2EBD" w:rsidP="004A205F">
            <w:pPr>
              <w:pStyle w:val="TableText"/>
              <w:spacing w:before="40" w:after="40"/>
              <w:jc w:val="right"/>
              <w:rPr>
                <w:rFonts w:cs="Calibri"/>
                <w:szCs w:val="18"/>
              </w:rPr>
            </w:pPr>
            <w:r w:rsidRPr="00BD16B4">
              <w:rPr>
                <w:rFonts w:cs="Calibri"/>
                <w:szCs w:val="18"/>
              </w:rPr>
              <w:t>1.63</w:t>
            </w:r>
          </w:p>
        </w:tc>
        <w:tc>
          <w:tcPr>
            <w:tcW w:w="964" w:type="dxa"/>
          </w:tcPr>
          <w:p w14:paraId="6707366B" w14:textId="77777777" w:rsidR="00ED2EBD" w:rsidRPr="00BD16B4" w:rsidRDefault="00ED2EBD" w:rsidP="004A205F">
            <w:pPr>
              <w:pStyle w:val="TableText"/>
              <w:spacing w:before="40" w:after="40"/>
              <w:jc w:val="right"/>
              <w:rPr>
                <w:rFonts w:cs="Calibri"/>
                <w:szCs w:val="18"/>
              </w:rPr>
            </w:pPr>
            <w:r w:rsidRPr="00BD16B4">
              <w:rPr>
                <w:rFonts w:cs="Calibri"/>
                <w:szCs w:val="18"/>
              </w:rPr>
              <w:t>1.71</w:t>
            </w:r>
          </w:p>
        </w:tc>
        <w:tc>
          <w:tcPr>
            <w:tcW w:w="964" w:type="dxa"/>
          </w:tcPr>
          <w:p w14:paraId="1ABFA1E8" w14:textId="77777777" w:rsidR="00ED2EBD" w:rsidRPr="00BD16B4" w:rsidRDefault="00ED2EBD" w:rsidP="004A205F">
            <w:pPr>
              <w:pStyle w:val="TableText"/>
              <w:spacing w:before="40" w:after="40"/>
              <w:jc w:val="right"/>
              <w:rPr>
                <w:rFonts w:cs="Calibri"/>
                <w:szCs w:val="18"/>
              </w:rPr>
            </w:pPr>
            <w:r w:rsidRPr="00BD16B4">
              <w:rPr>
                <w:rFonts w:cs="Calibri"/>
                <w:szCs w:val="18"/>
              </w:rPr>
              <w:t>1.79</w:t>
            </w:r>
          </w:p>
        </w:tc>
        <w:tc>
          <w:tcPr>
            <w:tcW w:w="964" w:type="dxa"/>
          </w:tcPr>
          <w:p w14:paraId="44B2FE7F" w14:textId="77777777" w:rsidR="00ED2EBD" w:rsidRPr="00BD16B4" w:rsidRDefault="00ED2EBD" w:rsidP="004A205F">
            <w:pPr>
              <w:pStyle w:val="TableText"/>
              <w:spacing w:before="40" w:after="40"/>
              <w:jc w:val="right"/>
              <w:rPr>
                <w:rFonts w:cs="Calibri"/>
                <w:szCs w:val="18"/>
              </w:rPr>
            </w:pPr>
            <w:r w:rsidRPr="00BD16B4">
              <w:rPr>
                <w:rFonts w:cs="Calibri"/>
                <w:szCs w:val="18"/>
              </w:rPr>
              <w:t>1.89</w:t>
            </w:r>
          </w:p>
        </w:tc>
        <w:tc>
          <w:tcPr>
            <w:tcW w:w="964" w:type="dxa"/>
          </w:tcPr>
          <w:p w14:paraId="21DA3757" w14:textId="77777777" w:rsidR="00ED2EBD" w:rsidRPr="00BD16B4" w:rsidRDefault="00ED2EBD" w:rsidP="004A205F">
            <w:pPr>
              <w:pStyle w:val="TableText"/>
              <w:spacing w:before="40" w:after="40"/>
              <w:jc w:val="right"/>
              <w:rPr>
                <w:rFonts w:cs="Calibri"/>
                <w:szCs w:val="18"/>
              </w:rPr>
            </w:pPr>
            <w:r w:rsidRPr="00BD16B4">
              <w:rPr>
                <w:rFonts w:cs="Calibri"/>
                <w:szCs w:val="18"/>
              </w:rPr>
              <w:t>2.54</w:t>
            </w:r>
          </w:p>
        </w:tc>
        <w:tc>
          <w:tcPr>
            <w:tcW w:w="964" w:type="dxa"/>
          </w:tcPr>
          <w:p w14:paraId="4B89B8FB" w14:textId="77777777" w:rsidR="00ED2EBD" w:rsidRPr="00BD16B4" w:rsidRDefault="00ED2EBD" w:rsidP="004A205F">
            <w:pPr>
              <w:pStyle w:val="TableText"/>
              <w:spacing w:before="40" w:after="40"/>
              <w:jc w:val="right"/>
              <w:rPr>
                <w:rFonts w:cs="Calibri"/>
                <w:szCs w:val="18"/>
              </w:rPr>
            </w:pPr>
            <w:r w:rsidRPr="00BD16B4">
              <w:rPr>
                <w:rFonts w:cs="Calibri"/>
                <w:szCs w:val="18"/>
              </w:rPr>
              <w:t>2.42</w:t>
            </w:r>
          </w:p>
        </w:tc>
      </w:tr>
    </w:tbl>
    <w:p w14:paraId="3DD58D0D" w14:textId="77777777" w:rsidR="00ED2EBD" w:rsidRPr="00BD16B4" w:rsidRDefault="00ED2EBD" w:rsidP="00ED2EBD">
      <w:pPr>
        <w:pStyle w:val="Note"/>
      </w:pPr>
      <w:r w:rsidRPr="00BD16B4">
        <w:rPr>
          <w:b/>
        </w:rPr>
        <w:t>Note:</w:t>
      </w:r>
      <w:r w:rsidRPr="00BD16B4">
        <w:tab/>
        <w:t>CO</w:t>
      </w:r>
      <w:r w:rsidRPr="00BD16B4">
        <w:rPr>
          <w:vertAlign w:val="subscript"/>
        </w:rPr>
        <w:t>2</w:t>
      </w:r>
      <w:r w:rsidRPr="00BD16B4">
        <w:t xml:space="preserve"> = carbon dioxide; kt = kilotonnes; NA = not applicable; NE = not estimated; NO = not occurring; ODS = ozone-depleting substance.</w:t>
      </w:r>
    </w:p>
    <w:p w14:paraId="4490FE85" w14:textId="77777777" w:rsidR="00ED2EBD" w:rsidRPr="00BD16B4" w:rsidRDefault="00ED2EBD" w:rsidP="00ED2EBD">
      <w:pPr>
        <w:spacing w:after="0"/>
      </w:pPr>
    </w:p>
    <w:p w14:paraId="5D58D8E6" w14:textId="77777777" w:rsidR="00D462E8" w:rsidRPr="00BD16B4" w:rsidRDefault="00D462E8" w:rsidP="00D462E8">
      <w:pPr>
        <w:pStyle w:val="BodyText"/>
      </w:pPr>
      <w:r w:rsidRPr="00BD16B4">
        <w:br w:type="page"/>
      </w:r>
    </w:p>
    <w:p w14:paraId="09810325" w14:textId="4579665D" w:rsidR="00ED2EBD" w:rsidRPr="00BD16B4" w:rsidRDefault="00ED2EBD" w:rsidP="00ED2EBD">
      <w:pPr>
        <w:pStyle w:val="Tableheading"/>
      </w:pPr>
      <w:bookmarkStart w:id="448" w:name="_Toc121773833"/>
      <w:r w:rsidRPr="00BD16B4">
        <w:lastRenderedPageBreak/>
        <w:t>Table A.3:</w:t>
      </w:r>
      <w:r w:rsidRPr="00BD16B4">
        <w:tab/>
        <w:t>Emissions trends (CH</w:t>
      </w:r>
      <w:r w:rsidRPr="00BD16B4">
        <w:rPr>
          <w:vertAlign w:val="subscript"/>
        </w:rPr>
        <w:t>4</w:t>
      </w:r>
      <w:r w:rsidRPr="00BD16B4">
        <w:t>) (CTF Table 1(b) (three parts)</w:t>
      </w:r>
      <w:bookmarkEnd w:id="448"/>
    </w:p>
    <w:p w14:paraId="35625937" w14:textId="77777777" w:rsidR="00ED2EBD" w:rsidRPr="00BD16B4" w:rsidRDefault="00ED2EBD" w:rsidP="00ED2EBD">
      <w:pPr>
        <w:pStyle w:val="CTFTableheading"/>
      </w:pPr>
      <w:r w:rsidRPr="00BD16B4">
        <w:t>Table A.3:</w:t>
      </w:r>
      <w:r w:rsidRPr="00BD16B4">
        <w:tab/>
        <w:t>Emissions trends (CH</w:t>
      </w:r>
      <w:r w:rsidRPr="00BD16B4">
        <w:rPr>
          <w:vertAlign w:val="subscript"/>
        </w:rPr>
        <w:t>4</w:t>
      </w:r>
      <w:r w:rsidRPr="00BD16B4">
        <w:t>) (CTF Table 1(b) (part 1 of 3)</w:t>
      </w:r>
    </w:p>
    <w:tbl>
      <w:tblPr>
        <w:tblStyle w:val="MinistryfortheEnvironment"/>
        <w:tblW w:w="14515" w:type="dxa"/>
        <w:tblInd w:w="113" w:type="dxa"/>
        <w:tblCellMar>
          <w:bottom w:w="0" w:type="dxa"/>
        </w:tblCellMar>
        <w:tblLook w:val="04A0" w:firstRow="1" w:lastRow="0" w:firstColumn="1" w:lastColumn="0" w:noHBand="0" w:noVBand="1"/>
      </w:tblPr>
      <w:tblGrid>
        <w:gridCol w:w="4552"/>
        <w:gridCol w:w="1107"/>
        <w:gridCol w:w="1107"/>
        <w:gridCol w:w="1107"/>
        <w:gridCol w:w="1107"/>
        <w:gridCol w:w="1107"/>
        <w:gridCol w:w="1107"/>
        <w:gridCol w:w="1107"/>
        <w:gridCol w:w="1107"/>
        <w:gridCol w:w="1107"/>
      </w:tblGrid>
      <w:tr w:rsidR="008E7C93" w:rsidRPr="00BD16B4" w14:paraId="27B50766" w14:textId="77777777" w:rsidTr="004625B0">
        <w:trPr>
          <w:cnfStyle w:val="100000000000" w:firstRow="1" w:lastRow="0" w:firstColumn="0" w:lastColumn="0" w:oddVBand="0" w:evenVBand="0" w:oddHBand="0" w:evenHBand="0" w:firstRowFirstColumn="0" w:firstRowLastColumn="0" w:lastRowFirstColumn="0" w:lastRowLastColumn="0"/>
          <w:tblHeader/>
        </w:trPr>
        <w:tc>
          <w:tcPr>
            <w:tcW w:w="3964" w:type="dxa"/>
            <w:tcBorders>
              <w:top w:val="single" w:sz="4" w:space="0" w:color="1B556B" w:themeColor="text2"/>
            </w:tcBorders>
            <w:vAlign w:val="bottom"/>
          </w:tcPr>
          <w:p w14:paraId="1905645B" w14:textId="77777777" w:rsidR="00ED2EBD" w:rsidRPr="00BD16B4" w:rsidRDefault="00ED2EBD" w:rsidP="004A205F">
            <w:pPr>
              <w:pStyle w:val="TableTextbold"/>
              <w:spacing w:before="40" w:after="40"/>
              <w:rPr>
                <w:b/>
                <w:bCs/>
                <w:szCs w:val="14"/>
              </w:rPr>
            </w:pPr>
            <w:r w:rsidRPr="00BD16B4">
              <w:rPr>
                <w:b/>
                <w:bCs/>
                <w:szCs w:val="14"/>
              </w:rPr>
              <w:t xml:space="preserve">Greenhouse gas source and sink categories </w:t>
            </w:r>
          </w:p>
        </w:tc>
        <w:tc>
          <w:tcPr>
            <w:tcW w:w="964" w:type="dxa"/>
            <w:tcBorders>
              <w:top w:val="single" w:sz="4" w:space="0" w:color="1B556B" w:themeColor="text2"/>
            </w:tcBorders>
            <w:vAlign w:val="bottom"/>
          </w:tcPr>
          <w:p w14:paraId="7EE7B492" w14:textId="542F50EA" w:rsidR="00ED2EBD" w:rsidRPr="00BD16B4" w:rsidRDefault="00ED2EBD" w:rsidP="004A205F">
            <w:pPr>
              <w:pStyle w:val="TableTextbold"/>
              <w:spacing w:before="40" w:after="40"/>
              <w:jc w:val="center"/>
              <w:rPr>
                <w:b/>
                <w:bCs/>
                <w:szCs w:val="14"/>
              </w:rPr>
            </w:pPr>
            <w:r w:rsidRPr="00BD16B4">
              <w:rPr>
                <w:b/>
                <w:bCs/>
                <w:szCs w:val="14"/>
              </w:rPr>
              <w:t xml:space="preserve">Base year </w:t>
            </w:r>
            <w:r w:rsidR="008E7C93" w:rsidRPr="00BD16B4">
              <w:rPr>
                <w:b/>
                <w:bCs/>
                <w:szCs w:val="14"/>
              </w:rPr>
              <w:br/>
            </w:r>
            <w:r w:rsidRPr="00BD16B4">
              <w:rPr>
                <w:b/>
                <w:bCs/>
                <w:szCs w:val="14"/>
              </w:rPr>
              <w:t>1990</w:t>
            </w:r>
            <w:r w:rsidR="008E7C93" w:rsidRPr="00BD16B4">
              <w:rPr>
                <w:b/>
                <w:bCs/>
                <w:szCs w:val="14"/>
              </w:rPr>
              <w:t xml:space="preserve"> </w:t>
            </w:r>
            <w:r w:rsidRPr="00BD16B4">
              <w:rPr>
                <w:b/>
                <w:bCs/>
                <w:szCs w:val="14"/>
              </w:rPr>
              <w:t>(kt)</w:t>
            </w:r>
          </w:p>
        </w:tc>
        <w:tc>
          <w:tcPr>
            <w:tcW w:w="964" w:type="dxa"/>
            <w:tcBorders>
              <w:top w:val="single" w:sz="4" w:space="0" w:color="1B556B" w:themeColor="text2"/>
            </w:tcBorders>
            <w:vAlign w:val="bottom"/>
          </w:tcPr>
          <w:p w14:paraId="1A074A1D" w14:textId="77777777" w:rsidR="00ED2EBD" w:rsidRPr="00BD16B4" w:rsidRDefault="00ED2EBD" w:rsidP="004A205F">
            <w:pPr>
              <w:pStyle w:val="TableTextbold"/>
              <w:spacing w:before="40" w:after="40"/>
              <w:jc w:val="center"/>
              <w:rPr>
                <w:b/>
                <w:bCs/>
                <w:szCs w:val="14"/>
              </w:rPr>
            </w:pPr>
            <w:r w:rsidRPr="00BD16B4">
              <w:rPr>
                <w:b/>
                <w:bCs/>
                <w:szCs w:val="14"/>
              </w:rPr>
              <w:t>1991</w:t>
            </w:r>
            <w:r w:rsidRPr="00BD16B4">
              <w:rPr>
                <w:b/>
                <w:bCs/>
                <w:szCs w:val="14"/>
              </w:rPr>
              <w:br/>
              <w:t>(kt)</w:t>
            </w:r>
          </w:p>
        </w:tc>
        <w:tc>
          <w:tcPr>
            <w:tcW w:w="964" w:type="dxa"/>
            <w:tcBorders>
              <w:top w:val="single" w:sz="4" w:space="0" w:color="1B556B" w:themeColor="text2"/>
            </w:tcBorders>
            <w:vAlign w:val="bottom"/>
          </w:tcPr>
          <w:p w14:paraId="24B304CB" w14:textId="77777777" w:rsidR="00ED2EBD" w:rsidRPr="00BD16B4" w:rsidRDefault="00ED2EBD" w:rsidP="004A205F">
            <w:pPr>
              <w:pStyle w:val="TableTextbold"/>
              <w:spacing w:before="40" w:after="40"/>
              <w:jc w:val="center"/>
              <w:rPr>
                <w:b/>
                <w:bCs/>
                <w:szCs w:val="14"/>
              </w:rPr>
            </w:pPr>
            <w:r w:rsidRPr="00BD16B4">
              <w:rPr>
                <w:b/>
                <w:bCs/>
                <w:szCs w:val="14"/>
              </w:rPr>
              <w:t>1992</w:t>
            </w:r>
            <w:r w:rsidRPr="00BD16B4">
              <w:rPr>
                <w:b/>
                <w:bCs/>
                <w:szCs w:val="14"/>
              </w:rPr>
              <w:br/>
              <w:t>(kt)</w:t>
            </w:r>
          </w:p>
        </w:tc>
        <w:tc>
          <w:tcPr>
            <w:tcW w:w="964" w:type="dxa"/>
            <w:tcBorders>
              <w:top w:val="single" w:sz="4" w:space="0" w:color="1B556B" w:themeColor="text2"/>
            </w:tcBorders>
            <w:vAlign w:val="bottom"/>
          </w:tcPr>
          <w:p w14:paraId="02CB9373" w14:textId="77777777" w:rsidR="00ED2EBD" w:rsidRPr="00BD16B4" w:rsidRDefault="00ED2EBD" w:rsidP="004A205F">
            <w:pPr>
              <w:pStyle w:val="TableTextbold"/>
              <w:spacing w:before="40" w:after="40"/>
              <w:jc w:val="center"/>
              <w:rPr>
                <w:b/>
                <w:bCs/>
                <w:szCs w:val="14"/>
              </w:rPr>
            </w:pPr>
            <w:r w:rsidRPr="00BD16B4">
              <w:rPr>
                <w:b/>
                <w:bCs/>
                <w:szCs w:val="14"/>
              </w:rPr>
              <w:t>1993</w:t>
            </w:r>
            <w:r w:rsidRPr="00BD16B4">
              <w:rPr>
                <w:b/>
                <w:bCs/>
                <w:szCs w:val="14"/>
              </w:rPr>
              <w:br/>
              <w:t>(kt)</w:t>
            </w:r>
          </w:p>
        </w:tc>
        <w:tc>
          <w:tcPr>
            <w:tcW w:w="964" w:type="dxa"/>
            <w:tcBorders>
              <w:top w:val="single" w:sz="4" w:space="0" w:color="1B556B" w:themeColor="text2"/>
            </w:tcBorders>
            <w:vAlign w:val="bottom"/>
          </w:tcPr>
          <w:p w14:paraId="56E462FD" w14:textId="77777777" w:rsidR="00ED2EBD" w:rsidRPr="00BD16B4" w:rsidRDefault="00ED2EBD" w:rsidP="004A205F">
            <w:pPr>
              <w:pStyle w:val="TableTextbold"/>
              <w:spacing w:before="40" w:after="40"/>
              <w:jc w:val="center"/>
              <w:rPr>
                <w:b/>
                <w:bCs/>
                <w:szCs w:val="14"/>
              </w:rPr>
            </w:pPr>
            <w:r w:rsidRPr="00BD16B4">
              <w:rPr>
                <w:b/>
                <w:bCs/>
                <w:szCs w:val="14"/>
              </w:rPr>
              <w:t>1994</w:t>
            </w:r>
            <w:r w:rsidRPr="00BD16B4">
              <w:rPr>
                <w:b/>
                <w:bCs/>
                <w:szCs w:val="14"/>
              </w:rPr>
              <w:br/>
              <w:t>(kt)</w:t>
            </w:r>
          </w:p>
        </w:tc>
        <w:tc>
          <w:tcPr>
            <w:tcW w:w="964" w:type="dxa"/>
            <w:tcBorders>
              <w:top w:val="single" w:sz="4" w:space="0" w:color="1B556B" w:themeColor="text2"/>
            </w:tcBorders>
            <w:vAlign w:val="bottom"/>
          </w:tcPr>
          <w:p w14:paraId="12B6774E" w14:textId="77777777" w:rsidR="00ED2EBD" w:rsidRPr="00BD16B4" w:rsidRDefault="00ED2EBD" w:rsidP="004A205F">
            <w:pPr>
              <w:pStyle w:val="TableTextbold"/>
              <w:spacing w:before="40" w:after="40"/>
              <w:jc w:val="center"/>
              <w:rPr>
                <w:b/>
                <w:bCs/>
                <w:szCs w:val="14"/>
              </w:rPr>
            </w:pPr>
            <w:r w:rsidRPr="00BD16B4">
              <w:rPr>
                <w:b/>
                <w:bCs/>
                <w:szCs w:val="14"/>
              </w:rPr>
              <w:t>1995</w:t>
            </w:r>
            <w:r w:rsidRPr="00BD16B4">
              <w:rPr>
                <w:b/>
                <w:bCs/>
                <w:szCs w:val="14"/>
              </w:rPr>
              <w:br/>
              <w:t>(kt)</w:t>
            </w:r>
          </w:p>
        </w:tc>
        <w:tc>
          <w:tcPr>
            <w:tcW w:w="964" w:type="dxa"/>
            <w:tcBorders>
              <w:top w:val="single" w:sz="4" w:space="0" w:color="1B556B" w:themeColor="text2"/>
            </w:tcBorders>
            <w:vAlign w:val="bottom"/>
          </w:tcPr>
          <w:p w14:paraId="7D0BAB52" w14:textId="77777777" w:rsidR="00ED2EBD" w:rsidRPr="00BD16B4" w:rsidRDefault="00ED2EBD" w:rsidP="004A205F">
            <w:pPr>
              <w:pStyle w:val="TableTextbold"/>
              <w:spacing w:before="40" w:after="40"/>
              <w:jc w:val="center"/>
              <w:rPr>
                <w:b/>
                <w:bCs/>
                <w:szCs w:val="14"/>
              </w:rPr>
            </w:pPr>
            <w:r w:rsidRPr="00BD16B4">
              <w:rPr>
                <w:b/>
                <w:bCs/>
                <w:szCs w:val="14"/>
              </w:rPr>
              <w:t>1996</w:t>
            </w:r>
            <w:r w:rsidRPr="00BD16B4">
              <w:rPr>
                <w:b/>
                <w:bCs/>
                <w:szCs w:val="14"/>
              </w:rPr>
              <w:br/>
              <w:t>(kt)</w:t>
            </w:r>
          </w:p>
        </w:tc>
        <w:tc>
          <w:tcPr>
            <w:tcW w:w="964" w:type="dxa"/>
            <w:tcBorders>
              <w:top w:val="single" w:sz="4" w:space="0" w:color="1B556B" w:themeColor="text2"/>
            </w:tcBorders>
            <w:vAlign w:val="bottom"/>
          </w:tcPr>
          <w:p w14:paraId="43B86DA3" w14:textId="77777777" w:rsidR="00ED2EBD" w:rsidRPr="00BD16B4" w:rsidRDefault="00ED2EBD" w:rsidP="004A205F">
            <w:pPr>
              <w:pStyle w:val="TableTextbold"/>
              <w:spacing w:before="40" w:after="40"/>
              <w:jc w:val="center"/>
              <w:rPr>
                <w:b/>
                <w:bCs/>
                <w:szCs w:val="14"/>
              </w:rPr>
            </w:pPr>
            <w:r w:rsidRPr="00BD16B4">
              <w:rPr>
                <w:b/>
                <w:bCs/>
                <w:szCs w:val="14"/>
              </w:rPr>
              <w:t>1997</w:t>
            </w:r>
            <w:r w:rsidRPr="00BD16B4">
              <w:rPr>
                <w:b/>
                <w:bCs/>
                <w:szCs w:val="14"/>
              </w:rPr>
              <w:br/>
              <w:t>(kt)</w:t>
            </w:r>
          </w:p>
        </w:tc>
        <w:tc>
          <w:tcPr>
            <w:tcW w:w="964" w:type="dxa"/>
            <w:tcBorders>
              <w:top w:val="single" w:sz="4" w:space="0" w:color="1B556B" w:themeColor="text2"/>
            </w:tcBorders>
            <w:vAlign w:val="bottom"/>
          </w:tcPr>
          <w:p w14:paraId="1552E201" w14:textId="77777777" w:rsidR="00ED2EBD" w:rsidRPr="00BD16B4" w:rsidRDefault="00ED2EBD" w:rsidP="004A205F">
            <w:pPr>
              <w:pStyle w:val="TableTextbold"/>
              <w:spacing w:before="40" w:after="40"/>
              <w:jc w:val="center"/>
              <w:rPr>
                <w:b/>
                <w:bCs/>
                <w:szCs w:val="14"/>
              </w:rPr>
            </w:pPr>
            <w:r w:rsidRPr="00BD16B4">
              <w:rPr>
                <w:b/>
                <w:bCs/>
                <w:szCs w:val="14"/>
              </w:rPr>
              <w:t>1998</w:t>
            </w:r>
            <w:r w:rsidRPr="00BD16B4">
              <w:rPr>
                <w:b/>
                <w:bCs/>
                <w:szCs w:val="14"/>
              </w:rPr>
              <w:br/>
              <w:t>(kt)</w:t>
            </w:r>
          </w:p>
        </w:tc>
      </w:tr>
      <w:tr w:rsidR="008E7C93" w:rsidRPr="00BD16B4" w14:paraId="3EE0BE3B" w14:textId="77777777" w:rsidTr="00F70C72">
        <w:tc>
          <w:tcPr>
            <w:tcW w:w="3964" w:type="dxa"/>
          </w:tcPr>
          <w:p w14:paraId="66E98F05" w14:textId="77777777" w:rsidR="00ED2EBD" w:rsidRPr="00BD16B4" w:rsidRDefault="00ED2EBD" w:rsidP="004A205F">
            <w:pPr>
              <w:pStyle w:val="TableText"/>
              <w:spacing w:before="40" w:after="40"/>
              <w:rPr>
                <w:szCs w:val="18"/>
              </w:rPr>
            </w:pPr>
            <w:r w:rsidRPr="00BD16B4">
              <w:rPr>
                <w:b/>
                <w:bCs/>
                <w:szCs w:val="18"/>
              </w:rPr>
              <w:t>1. Energy</w:t>
            </w:r>
          </w:p>
        </w:tc>
        <w:tc>
          <w:tcPr>
            <w:tcW w:w="964" w:type="dxa"/>
            <w:shd w:val="clear" w:color="auto" w:fill="auto"/>
          </w:tcPr>
          <w:p w14:paraId="2920B126" w14:textId="77777777" w:rsidR="00ED2EBD" w:rsidRPr="00BD16B4" w:rsidRDefault="00ED2EBD" w:rsidP="004A205F">
            <w:pPr>
              <w:pStyle w:val="TableText"/>
              <w:spacing w:before="40" w:after="40"/>
              <w:jc w:val="right"/>
              <w:rPr>
                <w:szCs w:val="18"/>
              </w:rPr>
            </w:pPr>
            <w:r w:rsidRPr="00BD16B4">
              <w:rPr>
                <w:szCs w:val="18"/>
              </w:rPr>
              <w:t>46.86</w:t>
            </w:r>
          </w:p>
        </w:tc>
        <w:tc>
          <w:tcPr>
            <w:tcW w:w="964" w:type="dxa"/>
            <w:shd w:val="clear" w:color="auto" w:fill="auto"/>
          </w:tcPr>
          <w:p w14:paraId="6638BBB8" w14:textId="77777777" w:rsidR="00ED2EBD" w:rsidRPr="00BD16B4" w:rsidRDefault="00ED2EBD" w:rsidP="004A205F">
            <w:pPr>
              <w:pStyle w:val="TableText"/>
              <w:spacing w:before="40" w:after="40"/>
              <w:jc w:val="right"/>
              <w:rPr>
                <w:szCs w:val="18"/>
              </w:rPr>
            </w:pPr>
            <w:r w:rsidRPr="00BD16B4">
              <w:rPr>
                <w:szCs w:val="18"/>
              </w:rPr>
              <w:t>46.20</w:t>
            </w:r>
          </w:p>
        </w:tc>
        <w:tc>
          <w:tcPr>
            <w:tcW w:w="964" w:type="dxa"/>
            <w:shd w:val="clear" w:color="auto" w:fill="auto"/>
          </w:tcPr>
          <w:p w14:paraId="29867589" w14:textId="77777777" w:rsidR="00ED2EBD" w:rsidRPr="00BD16B4" w:rsidRDefault="00ED2EBD" w:rsidP="004A205F">
            <w:pPr>
              <w:pStyle w:val="TableText"/>
              <w:spacing w:before="40" w:after="40"/>
              <w:jc w:val="right"/>
              <w:rPr>
                <w:szCs w:val="18"/>
              </w:rPr>
            </w:pPr>
            <w:r w:rsidRPr="00BD16B4">
              <w:rPr>
                <w:szCs w:val="18"/>
              </w:rPr>
              <w:t>45.37</w:t>
            </w:r>
          </w:p>
        </w:tc>
        <w:tc>
          <w:tcPr>
            <w:tcW w:w="964" w:type="dxa"/>
            <w:shd w:val="clear" w:color="auto" w:fill="auto"/>
          </w:tcPr>
          <w:p w14:paraId="2657CDA1" w14:textId="77777777" w:rsidR="00ED2EBD" w:rsidRPr="00BD16B4" w:rsidRDefault="00ED2EBD" w:rsidP="004A205F">
            <w:pPr>
              <w:pStyle w:val="TableText"/>
              <w:spacing w:before="40" w:after="40"/>
              <w:jc w:val="right"/>
              <w:rPr>
                <w:szCs w:val="18"/>
              </w:rPr>
            </w:pPr>
            <w:r w:rsidRPr="00BD16B4">
              <w:rPr>
                <w:szCs w:val="18"/>
              </w:rPr>
              <w:t>48.41</w:t>
            </w:r>
          </w:p>
        </w:tc>
        <w:tc>
          <w:tcPr>
            <w:tcW w:w="964" w:type="dxa"/>
            <w:shd w:val="clear" w:color="auto" w:fill="auto"/>
          </w:tcPr>
          <w:p w14:paraId="1178708F" w14:textId="77777777" w:rsidR="00ED2EBD" w:rsidRPr="00BD16B4" w:rsidRDefault="00ED2EBD" w:rsidP="004A205F">
            <w:pPr>
              <w:pStyle w:val="TableText"/>
              <w:spacing w:before="40" w:after="40"/>
              <w:jc w:val="right"/>
              <w:rPr>
                <w:szCs w:val="18"/>
              </w:rPr>
            </w:pPr>
            <w:r w:rsidRPr="00BD16B4">
              <w:rPr>
                <w:szCs w:val="18"/>
              </w:rPr>
              <w:t>51.51</w:t>
            </w:r>
          </w:p>
        </w:tc>
        <w:tc>
          <w:tcPr>
            <w:tcW w:w="964" w:type="dxa"/>
            <w:shd w:val="clear" w:color="auto" w:fill="auto"/>
          </w:tcPr>
          <w:p w14:paraId="5482D3F9" w14:textId="77777777" w:rsidR="00ED2EBD" w:rsidRPr="00BD16B4" w:rsidRDefault="00ED2EBD" w:rsidP="004A205F">
            <w:pPr>
              <w:pStyle w:val="TableText"/>
              <w:spacing w:before="40" w:after="40"/>
              <w:jc w:val="right"/>
              <w:rPr>
                <w:szCs w:val="18"/>
              </w:rPr>
            </w:pPr>
            <w:r w:rsidRPr="00BD16B4">
              <w:rPr>
                <w:szCs w:val="18"/>
              </w:rPr>
              <w:t>45.21</w:t>
            </w:r>
          </w:p>
        </w:tc>
        <w:tc>
          <w:tcPr>
            <w:tcW w:w="964" w:type="dxa"/>
            <w:shd w:val="clear" w:color="auto" w:fill="auto"/>
          </w:tcPr>
          <w:p w14:paraId="3A0ACFE0" w14:textId="77777777" w:rsidR="00ED2EBD" w:rsidRPr="00BD16B4" w:rsidRDefault="00ED2EBD" w:rsidP="004A205F">
            <w:pPr>
              <w:pStyle w:val="TableText"/>
              <w:spacing w:before="40" w:after="40"/>
              <w:jc w:val="right"/>
              <w:rPr>
                <w:szCs w:val="18"/>
              </w:rPr>
            </w:pPr>
            <w:r w:rsidRPr="00BD16B4">
              <w:rPr>
                <w:szCs w:val="18"/>
              </w:rPr>
              <w:t>55.67</w:t>
            </w:r>
          </w:p>
        </w:tc>
        <w:tc>
          <w:tcPr>
            <w:tcW w:w="964" w:type="dxa"/>
            <w:shd w:val="clear" w:color="auto" w:fill="auto"/>
          </w:tcPr>
          <w:p w14:paraId="4BD584BD" w14:textId="77777777" w:rsidR="00ED2EBD" w:rsidRPr="00BD16B4" w:rsidRDefault="00ED2EBD" w:rsidP="004A205F">
            <w:pPr>
              <w:pStyle w:val="TableText"/>
              <w:spacing w:before="40" w:after="40"/>
              <w:jc w:val="right"/>
              <w:rPr>
                <w:szCs w:val="18"/>
              </w:rPr>
            </w:pPr>
            <w:r w:rsidRPr="00BD16B4">
              <w:rPr>
                <w:szCs w:val="18"/>
              </w:rPr>
              <w:t>55.35</w:t>
            </w:r>
          </w:p>
        </w:tc>
        <w:tc>
          <w:tcPr>
            <w:tcW w:w="964" w:type="dxa"/>
            <w:shd w:val="clear" w:color="auto" w:fill="auto"/>
          </w:tcPr>
          <w:p w14:paraId="5952219F" w14:textId="77777777" w:rsidR="00ED2EBD" w:rsidRPr="00BD16B4" w:rsidRDefault="00ED2EBD" w:rsidP="004A205F">
            <w:pPr>
              <w:pStyle w:val="TableText"/>
              <w:spacing w:before="40" w:after="40"/>
              <w:jc w:val="right"/>
              <w:rPr>
                <w:szCs w:val="18"/>
              </w:rPr>
            </w:pPr>
            <w:r w:rsidRPr="00BD16B4">
              <w:rPr>
                <w:szCs w:val="18"/>
              </w:rPr>
              <w:t>54.73</w:t>
            </w:r>
          </w:p>
        </w:tc>
      </w:tr>
      <w:tr w:rsidR="008E7C93" w:rsidRPr="00BD16B4" w14:paraId="3DCA02BC" w14:textId="77777777" w:rsidTr="00F70C72">
        <w:tc>
          <w:tcPr>
            <w:tcW w:w="3964" w:type="dxa"/>
          </w:tcPr>
          <w:p w14:paraId="4EEEC5BC" w14:textId="77777777" w:rsidR="00ED2EBD" w:rsidRPr="00BD16B4" w:rsidRDefault="00ED2EBD" w:rsidP="004A205F">
            <w:pPr>
              <w:pStyle w:val="TableText"/>
              <w:spacing w:before="40" w:after="40"/>
              <w:rPr>
                <w:szCs w:val="18"/>
              </w:rPr>
            </w:pPr>
            <w:r w:rsidRPr="00BD16B4">
              <w:rPr>
                <w:szCs w:val="18"/>
              </w:rPr>
              <w:t>A. Fuel combustion (sectoral approach)</w:t>
            </w:r>
          </w:p>
        </w:tc>
        <w:tc>
          <w:tcPr>
            <w:tcW w:w="964" w:type="dxa"/>
            <w:shd w:val="clear" w:color="auto" w:fill="auto"/>
          </w:tcPr>
          <w:p w14:paraId="39249124" w14:textId="77777777" w:rsidR="00ED2EBD" w:rsidRPr="00BD16B4" w:rsidRDefault="00ED2EBD" w:rsidP="004A205F">
            <w:pPr>
              <w:pStyle w:val="TableText"/>
              <w:spacing w:before="40" w:after="40"/>
              <w:jc w:val="right"/>
              <w:rPr>
                <w:szCs w:val="18"/>
              </w:rPr>
            </w:pPr>
            <w:r w:rsidRPr="00BD16B4">
              <w:rPr>
                <w:szCs w:val="18"/>
              </w:rPr>
              <w:t>8.09</w:t>
            </w:r>
          </w:p>
        </w:tc>
        <w:tc>
          <w:tcPr>
            <w:tcW w:w="964" w:type="dxa"/>
            <w:shd w:val="clear" w:color="auto" w:fill="auto"/>
          </w:tcPr>
          <w:p w14:paraId="4AE0F5BB" w14:textId="77777777" w:rsidR="00ED2EBD" w:rsidRPr="00BD16B4" w:rsidRDefault="00ED2EBD" w:rsidP="004A205F">
            <w:pPr>
              <w:pStyle w:val="TableText"/>
              <w:spacing w:before="40" w:after="40"/>
              <w:jc w:val="right"/>
              <w:rPr>
                <w:szCs w:val="18"/>
              </w:rPr>
            </w:pPr>
            <w:r w:rsidRPr="00BD16B4">
              <w:rPr>
                <w:szCs w:val="18"/>
              </w:rPr>
              <w:t>7.65</w:t>
            </w:r>
          </w:p>
        </w:tc>
        <w:tc>
          <w:tcPr>
            <w:tcW w:w="964" w:type="dxa"/>
            <w:shd w:val="clear" w:color="auto" w:fill="auto"/>
          </w:tcPr>
          <w:p w14:paraId="333FF71A" w14:textId="77777777" w:rsidR="00ED2EBD" w:rsidRPr="00BD16B4" w:rsidRDefault="00ED2EBD" w:rsidP="004A205F">
            <w:pPr>
              <w:pStyle w:val="TableText"/>
              <w:spacing w:before="40" w:after="40"/>
              <w:jc w:val="right"/>
              <w:rPr>
                <w:szCs w:val="18"/>
              </w:rPr>
            </w:pPr>
            <w:r w:rsidRPr="00BD16B4">
              <w:rPr>
                <w:szCs w:val="18"/>
              </w:rPr>
              <w:t>7.34</w:t>
            </w:r>
          </w:p>
        </w:tc>
        <w:tc>
          <w:tcPr>
            <w:tcW w:w="964" w:type="dxa"/>
            <w:shd w:val="clear" w:color="auto" w:fill="auto"/>
          </w:tcPr>
          <w:p w14:paraId="37F77710" w14:textId="77777777" w:rsidR="00ED2EBD" w:rsidRPr="00BD16B4" w:rsidRDefault="00ED2EBD" w:rsidP="004A205F">
            <w:pPr>
              <w:pStyle w:val="TableText"/>
              <w:spacing w:before="40" w:after="40"/>
              <w:jc w:val="right"/>
              <w:rPr>
                <w:szCs w:val="18"/>
              </w:rPr>
            </w:pPr>
            <w:r w:rsidRPr="00BD16B4">
              <w:rPr>
                <w:szCs w:val="18"/>
              </w:rPr>
              <w:t>7.17</w:t>
            </w:r>
          </w:p>
        </w:tc>
        <w:tc>
          <w:tcPr>
            <w:tcW w:w="964" w:type="dxa"/>
            <w:shd w:val="clear" w:color="auto" w:fill="auto"/>
          </w:tcPr>
          <w:p w14:paraId="2B9F79C1" w14:textId="77777777" w:rsidR="00ED2EBD" w:rsidRPr="00BD16B4" w:rsidRDefault="00ED2EBD" w:rsidP="004A205F">
            <w:pPr>
              <w:pStyle w:val="TableText"/>
              <w:spacing w:before="40" w:after="40"/>
              <w:jc w:val="right"/>
              <w:rPr>
                <w:szCs w:val="18"/>
              </w:rPr>
            </w:pPr>
            <w:r w:rsidRPr="00BD16B4">
              <w:rPr>
                <w:szCs w:val="18"/>
              </w:rPr>
              <w:t>7.35</w:t>
            </w:r>
          </w:p>
        </w:tc>
        <w:tc>
          <w:tcPr>
            <w:tcW w:w="964" w:type="dxa"/>
            <w:shd w:val="clear" w:color="auto" w:fill="auto"/>
          </w:tcPr>
          <w:p w14:paraId="200EABE5" w14:textId="77777777" w:rsidR="00ED2EBD" w:rsidRPr="00BD16B4" w:rsidRDefault="00ED2EBD" w:rsidP="004A205F">
            <w:pPr>
              <w:pStyle w:val="TableText"/>
              <w:spacing w:before="40" w:after="40"/>
              <w:jc w:val="right"/>
              <w:rPr>
                <w:szCs w:val="18"/>
              </w:rPr>
            </w:pPr>
            <w:r w:rsidRPr="00BD16B4">
              <w:rPr>
                <w:szCs w:val="18"/>
              </w:rPr>
              <w:t>7.34</w:t>
            </w:r>
          </w:p>
        </w:tc>
        <w:tc>
          <w:tcPr>
            <w:tcW w:w="964" w:type="dxa"/>
            <w:shd w:val="clear" w:color="auto" w:fill="auto"/>
          </w:tcPr>
          <w:p w14:paraId="6DE52E4E" w14:textId="77777777" w:rsidR="00ED2EBD" w:rsidRPr="00BD16B4" w:rsidRDefault="00ED2EBD" w:rsidP="004A205F">
            <w:pPr>
              <w:pStyle w:val="TableText"/>
              <w:spacing w:before="40" w:after="40"/>
              <w:jc w:val="right"/>
              <w:rPr>
                <w:szCs w:val="18"/>
              </w:rPr>
            </w:pPr>
            <w:r w:rsidRPr="00BD16B4">
              <w:rPr>
                <w:szCs w:val="18"/>
              </w:rPr>
              <w:t>7.17</w:t>
            </w:r>
          </w:p>
        </w:tc>
        <w:tc>
          <w:tcPr>
            <w:tcW w:w="964" w:type="dxa"/>
            <w:shd w:val="clear" w:color="auto" w:fill="auto"/>
          </w:tcPr>
          <w:p w14:paraId="0C2E566F" w14:textId="77777777" w:rsidR="00ED2EBD" w:rsidRPr="00BD16B4" w:rsidRDefault="00ED2EBD" w:rsidP="004A205F">
            <w:pPr>
              <w:pStyle w:val="TableText"/>
              <w:spacing w:before="40" w:after="40"/>
              <w:jc w:val="right"/>
              <w:rPr>
                <w:szCs w:val="18"/>
              </w:rPr>
            </w:pPr>
            <w:r w:rsidRPr="00BD16B4">
              <w:rPr>
                <w:szCs w:val="18"/>
              </w:rPr>
              <w:t>6.96</w:t>
            </w:r>
          </w:p>
        </w:tc>
        <w:tc>
          <w:tcPr>
            <w:tcW w:w="964" w:type="dxa"/>
            <w:shd w:val="clear" w:color="auto" w:fill="auto"/>
          </w:tcPr>
          <w:p w14:paraId="68B6899C" w14:textId="77777777" w:rsidR="00ED2EBD" w:rsidRPr="00BD16B4" w:rsidRDefault="00ED2EBD" w:rsidP="004A205F">
            <w:pPr>
              <w:pStyle w:val="TableText"/>
              <w:spacing w:before="40" w:after="40"/>
              <w:jc w:val="right"/>
              <w:rPr>
                <w:szCs w:val="18"/>
              </w:rPr>
            </w:pPr>
            <w:r w:rsidRPr="00BD16B4">
              <w:rPr>
                <w:szCs w:val="18"/>
              </w:rPr>
              <w:t>6.78</w:t>
            </w:r>
          </w:p>
        </w:tc>
      </w:tr>
      <w:tr w:rsidR="008E7C93" w:rsidRPr="00BD16B4" w14:paraId="01A0DC83" w14:textId="77777777" w:rsidTr="00F70C72">
        <w:tc>
          <w:tcPr>
            <w:tcW w:w="3964" w:type="dxa"/>
          </w:tcPr>
          <w:p w14:paraId="09D7B0B4" w14:textId="196761BB" w:rsidR="00ED2EBD" w:rsidRPr="00BD16B4" w:rsidRDefault="00ED2EBD" w:rsidP="004A205F">
            <w:pPr>
              <w:pStyle w:val="TableText"/>
              <w:spacing w:before="40" w:after="40"/>
              <w:ind w:left="454" w:hanging="227"/>
              <w:rPr>
                <w:szCs w:val="18"/>
              </w:rPr>
            </w:pPr>
            <w:r w:rsidRPr="00BD16B4">
              <w:rPr>
                <w:szCs w:val="18"/>
              </w:rPr>
              <w:t>1.</w:t>
            </w:r>
            <w:r w:rsidR="00280979" w:rsidRPr="00BD16B4">
              <w:rPr>
                <w:szCs w:val="18"/>
              </w:rPr>
              <w:t xml:space="preserve"> </w:t>
            </w:r>
            <w:r w:rsidRPr="00BD16B4">
              <w:rPr>
                <w:szCs w:val="18"/>
              </w:rPr>
              <w:t xml:space="preserve">Energy </w:t>
            </w:r>
            <w:r w:rsidRPr="00BD16B4">
              <w:rPr>
                <w:rFonts w:cs="Calibri"/>
                <w:szCs w:val="18"/>
              </w:rPr>
              <w:t>industries</w:t>
            </w:r>
          </w:p>
        </w:tc>
        <w:tc>
          <w:tcPr>
            <w:tcW w:w="964" w:type="dxa"/>
            <w:shd w:val="clear" w:color="auto" w:fill="auto"/>
          </w:tcPr>
          <w:p w14:paraId="32A2AB07" w14:textId="77777777" w:rsidR="00ED2EBD" w:rsidRPr="00BD16B4" w:rsidRDefault="00ED2EBD" w:rsidP="004A205F">
            <w:pPr>
              <w:pStyle w:val="TableText"/>
              <w:spacing w:before="40" w:after="40"/>
              <w:jc w:val="right"/>
              <w:rPr>
                <w:szCs w:val="18"/>
              </w:rPr>
            </w:pPr>
            <w:r w:rsidRPr="00BD16B4">
              <w:rPr>
                <w:szCs w:val="18"/>
              </w:rPr>
              <w:t>0.10</w:t>
            </w:r>
          </w:p>
        </w:tc>
        <w:tc>
          <w:tcPr>
            <w:tcW w:w="964" w:type="dxa"/>
            <w:shd w:val="clear" w:color="auto" w:fill="auto"/>
          </w:tcPr>
          <w:p w14:paraId="258809E1" w14:textId="77777777" w:rsidR="00ED2EBD" w:rsidRPr="00BD16B4" w:rsidRDefault="00ED2EBD" w:rsidP="004A205F">
            <w:pPr>
              <w:pStyle w:val="TableText"/>
              <w:spacing w:before="40" w:after="40"/>
              <w:jc w:val="right"/>
              <w:rPr>
                <w:szCs w:val="18"/>
              </w:rPr>
            </w:pPr>
            <w:r w:rsidRPr="00BD16B4">
              <w:rPr>
                <w:szCs w:val="18"/>
              </w:rPr>
              <w:t>0.10</w:t>
            </w:r>
          </w:p>
        </w:tc>
        <w:tc>
          <w:tcPr>
            <w:tcW w:w="964" w:type="dxa"/>
            <w:shd w:val="clear" w:color="auto" w:fill="auto"/>
          </w:tcPr>
          <w:p w14:paraId="6EEFCA83" w14:textId="77777777" w:rsidR="00ED2EBD" w:rsidRPr="00BD16B4" w:rsidRDefault="00ED2EBD" w:rsidP="004A205F">
            <w:pPr>
              <w:pStyle w:val="TableText"/>
              <w:spacing w:before="40" w:after="40"/>
              <w:jc w:val="right"/>
              <w:rPr>
                <w:szCs w:val="18"/>
              </w:rPr>
            </w:pPr>
            <w:r w:rsidRPr="00BD16B4">
              <w:rPr>
                <w:szCs w:val="18"/>
              </w:rPr>
              <w:t>0.13</w:t>
            </w:r>
          </w:p>
        </w:tc>
        <w:tc>
          <w:tcPr>
            <w:tcW w:w="964" w:type="dxa"/>
            <w:shd w:val="clear" w:color="auto" w:fill="auto"/>
          </w:tcPr>
          <w:p w14:paraId="0038F243" w14:textId="77777777" w:rsidR="00ED2EBD" w:rsidRPr="00BD16B4" w:rsidRDefault="00ED2EBD" w:rsidP="004A205F">
            <w:pPr>
              <w:pStyle w:val="TableText"/>
              <w:spacing w:before="40" w:after="40"/>
              <w:jc w:val="right"/>
              <w:rPr>
                <w:szCs w:val="18"/>
              </w:rPr>
            </w:pPr>
            <w:r w:rsidRPr="00BD16B4">
              <w:rPr>
                <w:szCs w:val="18"/>
              </w:rPr>
              <w:t>0.11</w:t>
            </w:r>
          </w:p>
        </w:tc>
        <w:tc>
          <w:tcPr>
            <w:tcW w:w="964" w:type="dxa"/>
            <w:shd w:val="clear" w:color="auto" w:fill="auto"/>
          </w:tcPr>
          <w:p w14:paraId="23B2B2C2" w14:textId="77777777" w:rsidR="00ED2EBD" w:rsidRPr="00BD16B4" w:rsidRDefault="00ED2EBD" w:rsidP="004A205F">
            <w:pPr>
              <w:pStyle w:val="TableText"/>
              <w:spacing w:before="40" w:after="40"/>
              <w:jc w:val="right"/>
              <w:rPr>
                <w:szCs w:val="18"/>
              </w:rPr>
            </w:pPr>
            <w:r w:rsidRPr="00BD16B4">
              <w:rPr>
                <w:szCs w:val="18"/>
              </w:rPr>
              <w:t>0.09</w:t>
            </w:r>
          </w:p>
        </w:tc>
        <w:tc>
          <w:tcPr>
            <w:tcW w:w="964" w:type="dxa"/>
            <w:shd w:val="clear" w:color="auto" w:fill="auto"/>
          </w:tcPr>
          <w:p w14:paraId="19807BB8" w14:textId="77777777" w:rsidR="00ED2EBD" w:rsidRPr="00BD16B4" w:rsidRDefault="00ED2EBD" w:rsidP="004A205F">
            <w:pPr>
              <w:pStyle w:val="TableText"/>
              <w:spacing w:before="40" w:after="40"/>
              <w:jc w:val="right"/>
              <w:rPr>
                <w:szCs w:val="18"/>
              </w:rPr>
            </w:pPr>
            <w:r w:rsidRPr="00BD16B4">
              <w:rPr>
                <w:szCs w:val="18"/>
              </w:rPr>
              <w:t>0.08</w:t>
            </w:r>
          </w:p>
        </w:tc>
        <w:tc>
          <w:tcPr>
            <w:tcW w:w="964" w:type="dxa"/>
            <w:shd w:val="clear" w:color="auto" w:fill="auto"/>
          </w:tcPr>
          <w:p w14:paraId="71170F64" w14:textId="77777777" w:rsidR="00ED2EBD" w:rsidRPr="00BD16B4" w:rsidRDefault="00ED2EBD" w:rsidP="004A205F">
            <w:pPr>
              <w:pStyle w:val="TableText"/>
              <w:spacing w:before="40" w:after="40"/>
              <w:jc w:val="right"/>
              <w:rPr>
                <w:szCs w:val="18"/>
              </w:rPr>
            </w:pPr>
            <w:r w:rsidRPr="00BD16B4">
              <w:rPr>
                <w:szCs w:val="18"/>
              </w:rPr>
              <w:t>0.09</w:t>
            </w:r>
          </w:p>
        </w:tc>
        <w:tc>
          <w:tcPr>
            <w:tcW w:w="964" w:type="dxa"/>
            <w:shd w:val="clear" w:color="auto" w:fill="auto"/>
          </w:tcPr>
          <w:p w14:paraId="1CB66F75" w14:textId="77777777" w:rsidR="00ED2EBD" w:rsidRPr="00BD16B4" w:rsidRDefault="00ED2EBD" w:rsidP="004A205F">
            <w:pPr>
              <w:pStyle w:val="TableText"/>
              <w:spacing w:before="40" w:after="40"/>
              <w:jc w:val="right"/>
              <w:rPr>
                <w:szCs w:val="18"/>
              </w:rPr>
            </w:pPr>
            <w:r w:rsidRPr="00BD16B4">
              <w:rPr>
                <w:szCs w:val="18"/>
              </w:rPr>
              <w:t>0.12</w:t>
            </w:r>
          </w:p>
        </w:tc>
        <w:tc>
          <w:tcPr>
            <w:tcW w:w="964" w:type="dxa"/>
            <w:shd w:val="clear" w:color="auto" w:fill="auto"/>
          </w:tcPr>
          <w:p w14:paraId="1DDEA65C" w14:textId="77777777" w:rsidR="00ED2EBD" w:rsidRPr="00BD16B4" w:rsidRDefault="00ED2EBD" w:rsidP="004A205F">
            <w:pPr>
              <w:pStyle w:val="TableText"/>
              <w:spacing w:before="40" w:after="40"/>
              <w:jc w:val="right"/>
              <w:rPr>
                <w:szCs w:val="18"/>
              </w:rPr>
            </w:pPr>
            <w:r w:rsidRPr="00BD16B4">
              <w:rPr>
                <w:szCs w:val="18"/>
              </w:rPr>
              <w:t>0.09</w:t>
            </w:r>
          </w:p>
        </w:tc>
      </w:tr>
      <w:tr w:rsidR="008E7C93" w:rsidRPr="00BD16B4" w14:paraId="61B48B80" w14:textId="77777777" w:rsidTr="00F70C72">
        <w:tc>
          <w:tcPr>
            <w:tcW w:w="3964" w:type="dxa"/>
          </w:tcPr>
          <w:p w14:paraId="13382CD7" w14:textId="2CC076CB" w:rsidR="00ED2EBD" w:rsidRPr="00BD16B4" w:rsidRDefault="00ED2EBD" w:rsidP="004A205F">
            <w:pPr>
              <w:pStyle w:val="TableText"/>
              <w:spacing w:before="40" w:after="40"/>
              <w:ind w:left="454" w:hanging="227"/>
              <w:rPr>
                <w:szCs w:val="18"/>
              </w:rPr>
            </w:pPr>
            <w:r w:rsidRPr="00BD16B4">
              <w:rPr>
                <w:szCs w:val="18"/>
              </w:rPr>
              <w:t>2.</w:t>
            </w:r>
            <w:r w:rsidR="00280979" w:rsidRPr="00BD16B4">
              <w:rPr>
                <w:szCs w:val="18"/>
              </w:rPr>
              <w:t xml:space="preserve"> </w:t>
            </w:r>
            <w:r w:rsidRPr="00BD16B4">
              <w:rPr>
                <w:szCs w:val="18"/>
              </w:rPr>
              <w:t>Manufacturing industries and construction</w:t>
            </w:r>
          </w:p>
        </w:tc>
        <w:tc>
          <w:tcPr>
            <w:tcW w:w="964" w:type="dxa"/>
            <w:shd w:val="clear" w:color="auto" w:fill="auto"/>
          </w:tcPr>
          <w:p w14:paraId="6D1CDDC4" w14:textId="77777777" w:rsidR="00ED2EBD" w:rsidRPr="00BD16B4" w:rsidRDefault="00ED2EBD" w:rsidP="004A205F">
            <w:pPr>
              <w:pStyle w:val="TableText"/>
              <w:spacing w:before="40" w:after="40"/>
              <w:jc w:val="right"/>
              <w:rPr>
                <w:szCs w:val="18"/>
              </w:rPr>
            </w:pPr>
            <w:r w:rsidRPr="00BD16B4">
              <w:rPr>
                <w:szCs w:val="18"/>
              </w:rPr>
              <w:t>1.17</w:t>
            </w:r>
          </w:p>
        </w:tc>
        <w:tc>
          <w:tcPr>
            <w:tcW w:w="964" w:type="dxa"/>
            <w:shd w:val="clear" w:color="auto" w:fill="auto"/>
          </w:tcPr>
          <w:p w14:paraId="07748D3F" w14:textId="77777777" w:rsidR="00ED2EBD" w:rsidRPr="00BD16B4" w:rsidRDefault="00ED2EBD" w:rsidP="004A205F">
            <w:pPr>
              <w:pStyle w:val="TableText"/>
              <w:spacing w:before="40" w:after="40"/>
              <w:jc w:val="right"/>
              <w:rPr>
                <w:szCs w:val="18"/>
              </w:rPr>
            </w:pPr>
            <w:r w:rsidRPr="00BD16B4">
              <w:rPr>
                <w:szCs w:val="18"/>
              </w:rPr>
              <w:t>1.17</w:t>
            </w:r>
          </w:p>
        </w:tc>
        <w:tc>
          <w:tcPr>
            <w:tcW w:w="964" w:type="dxa"/>
            <w:shd w:val="clear" w:color="auto" w:fill="auto"/>
          </w:tcPr>
          <w:p w14:paraId="1D5B6E73" w14:textId="77777777" w:rsidR="00ED2EBD" w:rsidRPr="00BD16B4" w:rsidRDefault="00ED2EBD" w:rsidP="004A205F">
            <w:pPr>
              <w:pStyle w:val="TableText"/>
              <w:spacing w:before="40" w:after="40"/>
              <w:jc w:val="right"/>
              <w:rPr>
                <w:szCs w:val="18"/>
              </w:rPr>
            </w:pPr>
            <w:r w:rsidRPr="00BD16B4">
              <w:rPr>
                <w:szCs w:val="18"/>
              </w:rPr>
              <w:t>1.19</w:t>
            </w:r>
          </w:p>
        </w:tc>
        <w:tc>
          <w:tcPr>
            <w:tcW w:w="964" w:type="dxa"/>
            <w:shd w:val="clear" w:color="auto" w:fill="auto"/>
          </w:tcPr>
          <w:p w14:paraId="57A8ECF8" w14:textId="77777777" w:rsidR="00ED2EBD" w:rsidRPr="00BD16B4" w:rsidRDefault="00ED2EBD" w:rsidP="004A205F">
            <w:pPr>
              <w:pStyle w:val="TableText"/>
              <w:spacing w:before="40" w:after="40"/>
              <w:jc w:val="right"/>
              <w:rPr>
                <w:szCs w:val="18"/>
              </w:rPr>
            </w:pPr>
            <w:r w:rsidRPr="00BD16B4">
              <w:rPr>
                <w:szCs w:val="18"/>
              </w:rPr>
              <w:t>1.25</w:t>
            </w:r>
          </w:p>
        </w:tc>
        <w:tc>
          <w:tcPr>
            <w:tcW w:w="964" w:type="dxa"/>
            <w:shd w:val="clear" w:color="auto" w:fill="auto"/>
          </w:tcPr>
          <w:p w14:paraId="0697D2F8" w14:textId="77777777" w:rsidR="00ED2EBD" w:rsidRPr="00BD16B4" w:rsidRDefault="00ED2EBD" w:rsidP="004A205F">
            <w:pPr>
              <w:pStyle w:val="TableText"/>
              <w:spacing w:before="40" w:after="40"/>
              <w:jc w:val="right"/>
              <w:rPr>
                <w:szCs w:val="18"/>
              </w:rPr>
            </w:pPr>
            <w:r w:rsidRPr="00BD16B4">
              <w:rPr>
                <w:szCs w:val="18"/>
              </w:rPr>
              <w:t>1.28</w:t>
            </w:r>
          </w:p>
        </w:tc>
        <w:tc>
          <w:tcPr>
            <w:tcW w:w="964" w:type="dxa"/>
            <w:shd w:val="clear" w:color="auto" w:fill="auto"/>
          </w:tcPr>
          <w:p w14:paraId="098524A7" w14:textId="77777777" w:rsidR="00ED2EBD" w:rsidRPr="00BD16B4" w:rsidRDefault="00ED2EBD" w:rsidP="004A205F">
            <w:pPr>
              <w:pStyle w:val="TableText"/>
              <w:spacing w:before="40" w:after="40"/>
              <w:jc w:val="right"/>
              <w:rPr>
                <w:szCs w:val="18"/>
              </w:rPr>
            </w:pPr>
            <w:r w:rsidRPr="00BD16B4">
              <w:rPr>
                <w:szCs w:val="18"/>
              </w:rPr>
              <w:t>1.29</w:t>
            </w:r>
          </w:p>
        </w:tc>
        <w:tc>
          <w:tcPr>
            <w:tcW w:w="964" w:type="dxa"/>
            <w:shd w:val="clear" w:color="auto" w:fill="auto"/>
          </w:tcPr>
          <w:p w14:paraId="53DBC2C1" w14:textId="77777777" w:rsidR="00ED2EBD" w:rsidRPr="00BD16B4" w:rsidRDefault="00ED2EBD" w:rsidP="004A205F">
            <w:pPr>
              <w:pStyle w:val="TableText"/>
              <w:spacing w:before="40" w:after="40"/>
              <w:jc w:val="right"/>
              <w:rPr>
                <w:szCs w:val="18"/>
              </w:rPr>
            </w:pPr>
            <w:r w:rsidRPr="00BD16B4">
              <w:rPr>
                <w:szCs w:val="18"/>
              </w:rPr>
              <w:t>1.28</w:t>
            </w:r>
          </w:p>
        </w:tc>
        <w:tc>
          <w:tcPr>
            <w:tcW w:w="964" w:type="dxa"/>
            <w:shd w:val="clear" w:color="auto" w:fill="auto"/>
          </w:tcPr>
          <w:p w14:paraId="30CB46C6" w14:textId="77777777" w:rsidR="00ED2EBD" w:rsidRPr="00BD16B4" w:rsidRDefault="00ED2EBD" w:rsidP="004A205F">
            <w:pPr>
              <w:pStyle w:val="TableText"/>
              <w:spacing w:before="40" w:after="40"/>
              <w:jc w:val="right"/>
              <w:rPr>
                <w:szCs w:val="18"/>
              </w:rPr>
            </w:pPr>
            <w:r w:rsidRPr="00BD16B4">
              <w:rPr>
                <w:szCs w:val="18"/>
              </w:rPr>
              <w:t>1.11</w:t>
            </w:r>
          </w:p>
        </w:tc>
        <w:tc>
          <w:tcPr>
            <w:tcW w:w="964" w:type="dxa"/>
            <w:shd w:val="clear" w:color="auto" w:fill="auto"/>
          </w:tcPr>
          <w:p w14:paraId="0166D98C" w14:textId="77777777" w:rsidR="00ED2EBD" w:rsidRPr="00BD16B4" w:rsidRDefault="00ED2EBD" w:rsidP="004A205F">
            <w:pPr>
              <w:pStyle w:val="TableText"/>
              <w:spacing w:before="40" w:after="40"/>
              <w:jc w:val="right"/>
              <w:rPr>
                <w:szCs w:val="18"/>
              </w:rPr>
            </w:pPr>
            <w:r w:rsidRPr="00BD16B4">
              <w:rPr>
                <w:szCs w:val="18"/>
              </w:rPr>
              <w:t>1.04</w:t>
            </w:r>
          </w:p>
        </w:tc>
      </w:tr>
      <w:tr w:rsidR="008E7C93" w:rsidRPr="00BD16B4" w14:paraId="5BCFFF1A" w14:textId="77777777" w:rsidTr="00F70C72">
        <w:tc>
          <w:tcPr>
            <w:tcW w:w="3964" w:type="dxa"/>
          </w:tcPr>
          <w:p w14:paraId="66589DD1" w14:textId="2A0386C9" w:rsidR="00ED2EBD" w:rsidRPr="00BD16B4" w:rsidRDefault="00ED2EBD" w:rsidP="004A205F">
            <w:pPr>
              <w:pStyle w:val="TableText"/>
              <w:spacing w:before="40" w:after="40"/>
              <w:ind w:left="454" w:hanging="227"/>
              <w:rPr>
                <w:szCs w:val="18"/>
              </w:rPr>
            </w:pPr>
            <w:r w:rsidRPr="00BD16B4">
              <w:rPr>
                <w:szCs w:val="18"/>
              </w:rPr>
              <w:t>3.</w:t>
            </w:r>
            <w:r w:rsidR="00280979" w:rsidRPr="00BD16B4">
              <w:rPr>
                <w:szCs w:val="18"/>
              </w:rPr>
              <w:t xml:space="preserve"> </w:t>
            </w:r>
            <w:r w:rsidRPr="00BD16B4">
              <w:rPr>
                <w:szCs w:val="18"/>
              </w:rPr>
              <w:t>Transport</w:t>
            </w:r>
          </w:p>
        </w:tc>
        <w:tc>
          <w:tcPr>
            <w:tcW w:w="964" w:type="dxa"/>
            <w:shd w:val="clear" w:color="auto" w:fill="auto"/>
          </w:tcPr>
          <w:p w14:paraId="70AB4AF1" w14:textId="77777777" w:rsidR="00ED2EBD" w:rsidRPr="00BD16B4" w:rsidRDefault="00ED2EBD" w:rsidP="004A205F">
            <w:pPr>
              <w:pStyle w:val="TableText"/>
              <w:spacing w:before="40" w:after="40"/>
              <w:jc w:val="right"/>
              <w:rPr>
                <w:szCs w:val="18"/>
              </w:rPr>
            </w:pPr>
            <w:r w:rsidRPr="00BD16B4">
              <w:rPr>
                <w:szCs w:val="18"/>
              </w:rPr>
              <w:t>3.17</w:t>
            </w:r>
          </w:p>
        </w:tc>
        <w:tc>
          <w:tcPr>
            <w:tcW w:w="964" w:type="dxa"/>
            <w:shd w:val="clear" w:color="auto" w:fill="auto"/>
          </w:tcPr>
          <w:p w14:paraId="7666EE97" w14:textId="77777777" w:rsidR="00ED2EBD" w:rsidRPr="00BD16B4" w:rsidRDefault="00ED2EBD" w:rsidP="004A205F">
            <w:pPr>
              <w:pStyle w:val="TableText"/>
              <w:spacing w:before="40" w:after="40"/>
              <w:jc w:val="right"/>
              <w:rPr>
                <w:szCs w:val="18"/>
              </w:rPr>
            </w:pPr>
            <w:r w:rsidRPr="00BD16B4">
              <w:rPr>
                <w:szCs w:val="18"/>
              </w:rPr>
              <w:t>3.07</w:t>
            </w:r>
          </w:p>
        </w:tc>
        <w:tc>
          <w:tcPr>
            <w:tcW w:w="964" w:type="dxa"/>
            <w:shd w:val="clear" w:color="auto" w:fill="auto"/>
          </w:tcPr>
          <w:p w14:paraId="65DC1E8C" w14:textId="77777777" w:rsidR="00ED2EBD" w:rsidRPr="00BD16B4" w:rsidRDefault="00ED2EBD" w:rsidP="004A205F">
            <w:pPr>
              <w:pStyle w:val="TableText"/>
              <w:spacing w:before="40" w:after="40"/>
              <w:jc w:val="right"/>
              <w:rPr>
                <w:szCs w:val="18"/>
              </w:rPr>
            </w:pPr>
            <w:r w:rsidRPr="00BD16B4">
              <w:rPr>
                <w:szCs w:val="18"/>
              </w:rPr>
              <w:t>3.00</w:t>
            </w:r>
          </w:p>
        </w:tc>
        <w:tc>
          <w:tcPr>
            <w:tcW w:w="964" w:type="dxa"/>
            <w:shd w:val="clear" w:color="auto" w:fill="auto"/>
          </w:tcPr>
          <w:p w14:paraId="488CDF43" w14:textId="77777777" w:rsidR="00ED2EBD" w:rsidRPr="00BD16B4" w:rsidRDefault="00ED2EBD" w:rsidP="004A205F">
            <w:pPr>
              <w:pStyle w:val="TableText"/>
              <w:spacing w:before="40" w:after="40"/>
              <w:jc w:val="right"/>
              <w:rPr>
                <w:szCs w:val="18"/>
              </w:rPr>
            </w:pPr>
            <w:r w:rsidRPr="00BD16B4">
              <w:rPr>
                <w:szCs w:val="18"/>
              </w:rPr>
              <w:t>2.92</w:t>
            </w:r>
          </w:p>
        </w:tc>
        <w:tc>
          <w:tcPr>
            <w:tcW w:w="964" w:type="dxa"/>
            <w:shd w:val="clear" w:color="auto" w:fill="auto"/>
          </w:tcPr>
          <w:p w14:paraId="5F5DF796" w14:textId="77777777" w:rsidR="00ED2EBD" w:rsidRPr="00BD16B4" w:rsidRDefault="00ED2EBD" w:rsidP="004A205F">
            <w:pPr>
              <w:pStyle w:val="TableText"/>
              <w:spacing w:before="40" w:after="40"/>
              <w:jc w:val="right"/>
              <w:rPr>
                <w:szCs w:val="18"/>
              </w:rPr>
            </w:pPr>
            <w:r w:rsidRPr="00BD16B4">
              <w:rPr>
                <w:szCs w:val="18"/>
              </w:rPr>
              <w:t>2.87</w:t>
            </w:r>
          </w:p>
        </w:tc>
        <w:tc>
          <w:tcPr>
            <w:tcW w:w="964" w:type="dxa"/>
            <w:shd w:val="clear" w:color="auto" w:fill="auto"/>
          </w:tcPr>
          <w:p w14:paraId="32F02510" w14:textId="77777777" w:rsidR="00ED2EBD" w:rsidRPr="00BD16B4" w:rsidRDefault="00ED2EBD" w:rsidP="004A205F">
            <w:pPr>
              <w:pStyle w:val="TableText"/>
              <w:spacing w:before="40" w:after="40"/>
              <w:jc w:val="right"/>
              <w:rPr>
                <w:szCs w:val="18"/>
              </w:rPr>
            </w:pPr>
            <w:r w:rsidRPr="00BD16B4">
              <w:rPr>
                <w:szCs w:val="18"/>
              </w:rPr>
              <w:t>2.82</w:t>
            </w:r>
          </w:p>
        </w:tc>
        <w:tc>
          <w:tcPr>
            <w:tcW w:w="964" w:type="dxa"/>
            <w:shd w:val="clear" w:color="auto" w:fill="auto"/>
          </w:tcPr>
          <w:p w14:paraId="41CA9C0C" w14:textId="77777777" w:rsidR="00ED2EBD" w:rsidRPr="00BD16B4" w:rsidRDefault="00ED2EBD" w:rsidP="004A205F">
            <w:pPr>
              <w:pStyle w:val="TableText"/>
              <w:spacing w:before="40" w:after="40"/>
              <w:jc w:val="right"/>
              <w:rPr>
                <w:szCs w:val="18"/>
              </w:rPr>
            </w:pPr>
            <w:r w:rsidRPr="00BD16B4">
              <w:rPr>
                <w:szCs w:val="18"/>
              </w:rPr>
              <w:t>2.70</w:t>
            </w:r>
          </w:p>
        </w:tc>
        <w:tc>
          <w:tcPr>
            <w:tcW w:w="964" w:type="dxa"/>
            <w:shd w:val="clear" w:color="auto" w:fill="auto"/>
          </w:tcPr>
          <w:p w14:paraId="14D14BE8" w14:textId="77777777" w:rsidR="00ED2EBD" w:rsidRPr="00BD16B4" w:rsidRDefault="00ED2EBD" w:rsidP="004A205F">
            <w:pPr>
              <w:pStyle w:val="TableText"/>
              <w:spacing w:before="40" w:after="40"/>
              <w:jc w:val="right"/>
              <w:rPr>
                <w:szCs w:val="18"/>
              </w:rPr>
            </w:pPr>
            <w:r w:rsidRPr="00BD16B4">
              <w:rPr>
                <w:szCs w:val="18"/>
              </w:rPr>
              <w:t>2.62</w:t>
            </w:r>
          </w:p>
        </w:tc>
        <w:tc>
          <w:tcPr>
            <w:tcW w:w="964" w:type="dxa"/>
            <w:shd w:val="clear" w:color="auto" w:fill="auto"/>
          </w:tcPr>
          <w:p w14:paraId="3C59CB10" w14:textId="77777777" w:rsidR="00ED2EBD" w:rsidRPr="00BD16B4" w:rsidRDefault="00ED2EBD" w:rsidP="004A205F">
            <w:pPr>
              <w:pStyle w:val="TableText"/>
              <w:spacing w:before="40" w:after="40"/>
              <w:jc w:val="right"/>
              <w:rPr>
                <w:szCs w:val="18"/>
              </w:rPr>
            </w:pPr>
            <w:r w:rsidRPr="00BD16B4">
              <w:rPr>
                <w:szCs w:val="18"/>
              </w:rPr>
              <w:t>2.51</w:t>
            </w:r>
          </w:p>
        </w:tc>
      </w:tr>
      <w:tr w:rsidR="008E7C93" w:rsidRPr="00BD16B4" w14:paraId="76EACA15" w14:textId="77777777" w:rsidTr="00F70C72">
        <w:tc>
          <w:tcPr>
            <w:tcW w:w="3964" w:type="dxa"/>
          </w:tcPr>
          <w:p w14:paraId="557A5D90" w14:textId="6B4C1797" w:rsidR="00ED2EBD" w:rsidRPr="00BD16B4" w:rsidRDefault="00ED2EBD" w:rsidP="004A205F">
            <w:pPr>
              <w:pStyle w:val="TableText"/>
              <w:spacing w:before="40" w:after="40"/>
              <w:ind w:left="454" w:hanging="227"/>
              <w:rPr>
                <w:szCs w:val="18"/>
              </w:rPr>
            </w:pPr>
            <w:r w:rsidRPr="00BD16B4">
              <w:rPr>
                <w:szCs w:val="18"/>
              </w:rPr>
              <w:t>4.</w:t>
            </w:r>
            <w:r w:rsidR="00280979" w:rsidRPr="00BD16B4">
              <w:rPr>
                <w:szCs w:val="18"/>
              </w:rPr>
              <w:t xml:space="preserve"> </w:t>
            </w:r>
            <w:r w:rsidRPr="00BD16B4">
              <w:rPr>
                <w:szCs w:val="18"/>
              </w:rPr>
              <w:t>Other sectors</w:t>
            </w:r>
          </w:p>
        </w:tc>
        <w:tc>
          <w:tcPr>
            <w:tcW w:w="964" w:type="dxa"/>
            <w:shd w:val="clear" w:color="auto" w:fill="auto"/>
          </w:tcPr>
          <w:p w14:paraId="52644457" w14:textId="77777777" w:rsidR="00ED2EBD" w:rsidRPr="00BD16B4" w:rsidRDefault="00ED2EBD" w:rsidP="004A205F">
            <w:pPr>
              <w:pStyle w:val="TableText"/>
              <w:spacing w:before="40" w:after="40"/>
              <w:jc w:val="right"/>
              <w:rPr>
                <w:szCs w:val="18"/>
              </w:rPr>
            </w:pPr>
            <w:r w:rsidRPr="00BD16B4">
              <w:rPr>
                <w:szCs w:val="18"/>
              </w:rPr>
              <w:t>3.66</w:t>
            </w:r>
          </w:p>
        </w:tc>
        <w:tc>
          <w:tcPr>
            <w:tcW w:w="964" w:type="dxa"/>
            <w:shd w:val="clear" w:color="auto" w:fill="auto"/>
          </w:tcPr>
          <w:p w14:paraId="6B9E8E13" w14:textId="77777777" w:rsidR="00ED2EBD" w:rsidRPr="00BD16B4" w:rsidRDefault="00ED2EBD" w:rsidP="004A205F">
            <w:pPr>
              <w:pStyle w:val="TableText"/>
              <w:spacing w:before="40" w:after="40"/>
              <w:jc w:val="right"/>
              <w:rPr>
                <w:szCs w:val="18"/>
              </w:rPr>
            </w:pPr>
            <w:r w:rsidRPr="00BD16B4">
              <w:rPr>
                <w:szCs w:val="18"/>
              </w:rPr>
              <w:t>3.31</w:t>
            </w:r>
          </w:p>
        </w:tc>
        <w:tc>
          <w:tcPr>
            <w:tcW w:w="964" w:type="dxa"/>
            <w:shd w:val="clear" w:color="auto" w:fill="auto"/>
          </w:tcPr>
          <w:p w14:paraId="3CBD7241" w14:textId="77777777" w:rsidR="00ED2EBD" w:rsidRPr="00BD16B4" w:rsidRDefault="00ED2EBD" w:rsidP="004A205F">
            <w:pPr>
              <w:pStyle w:val="TableText"/>
              <w:spacing w:before="40" w:after="40"/>
              <w:jc w:val="right"/>
              <w:rPr>
                <w:szCs w:val="18"/>
              </w:rPr>
            </w:pPr>
            <w:r w:rsidRPr="00BD16B4">
              <w:rPr>
                <w:szCs w:val="18"/>
              </w:rPr>
              <w:t>3.02</w:t>
            </w:r>
          </w:p>
        </w:tc>
        <w:tc>
          <w:tcPr>
            <w:tcW w:w="964" w:type="dxa"/>
            <w:shd w:val="clear" w:color="auto" w:fill="auto"/>
          </w:tcPr>
          <w:p w14:paraId="4AD4EB20" w14:textId="77777777" w:rsidR="00ED2EBD" w:rsidRPr="00BD16B4" w:rsidRDefault="00ED2EBD" w:rsidP="004A205F">
            <w:pPr>
              <w:pStyle w:val="TableText"/>
              <w:spacing w:before="40" w:after="40"/>
              <w:jc w:val="right"/>
              <w:rPr>
                <w:szCs w:val="18"/>
              </w:rPr>
            </w:pPr>
            <w:r w:rsidRPr="00BD16B4">
              <w:rPr>
                <w:szCs w:val="18"/>
              </w:rPr>
              <w:t>2.89</w:t>
            </w:r>
          </w:p>
        </w:tc>
        <w:tc>
          <w:tcPr>
            <w:tcW w:w="964" w:type="dxa"/>
            <w:shd w:val="clear" w:color="auto" w:fill="auto"/>
          </w:tcPr>
          <w:p w14:paraId="654CF75A" w14:textId="77777777" w:rsidR="00ED2EBD" w:rsidRPr="00BD16B4" w:rsidRDefault="00ED2EBD" w:rsidP="004A205F">
            <w:pPr>
              <w:pStyle w:val="TableText"/>
              <w:spacing w:before="40" w:after="40"/>
              <w:jc w:val="right"/>
              <w:rPr>
                <w:szCs w:val="18"/>
              </w:rPr>
            </w:pPr>
            <w:r w:rsidRPr="00BD16B4">
              <w:rPr>
                <w:szCs w:val="18"/>
              </w:rPr>
              <w:t>3.11</w:t>
            </w:r>
          </w:p>
        </w:tc>
        <w:tc>
          <w:tcPr>
            <w:tcW w:w="964" w:type="dxa"/>
            <w:shd w:val="clear" w:color="auto" w:fill="auto"/>
          </w:tcPr>
          <w:p w14:paraId="54BA1189" w14:textId="77777777" w:rsidR="00ED2EBD" w:rsidRPr="00BD16B4" w:rsidRDefault="00ED2EBD" w:rsidP="004A205F">
            <w:pPr>
              <w:pStyle w:val="TableText"/>
              <w:spacing w:before="40" w:after="40"/>
              <w:jc w:val="right"/>
              <w:rPr>
                <w:szCs w:val="18"/>
              </w:rPr>
            </w:pPr>
            <w:r w:rsidRPr="00BD16B4">
              <w:rPr>
                <w:szCs w:val="18"/>
              </w:rPr>
              <w:t>3.14</w:t>
            </w:r>
          </w:p>
        </w:tc>
        <w:tc>
          <w:tcPr>
            <w:tcW w:w="964" w:type="dxa"/>
            <w:shd w:val="clear" w:color="auto" w:fill="auto"/>
          </w:tcPr>
          <w:p w14:paraId="013F8672" w14:textId="77777777" w:rsidR="00ED2EBD" w:rsidRPr="00BD16B4" w:rsidRDefault="00ED2EBD" w:rsidP="004A205F">
            <w:pPr>
              <w:pStyle w:val="TableText"/>
              <w:spacing w:before="40" w:after="40"/>
              <w:jc w:val="right"/>
              <w:rPr>
                <w:szCs w:val="18"/>
              </w:rPr>
            </w:pPr>
            <w:r w:rsidRPr="00BD16B4">
              <w:rPr>
                <w:szCs w:val="18"/>
              </w:rPr>
              <w:t>3.10</w:t>
            </w:r>
          </w:p>
        </w:tc>
        <w:tc>
          <w:tcPr>
            <w:tcW w:w="964" w:type="dxa"/>
            <w:shd w:val="clear" w:color="auto" w:fill="auto"/>
          </w:tcPr>
          <w:p w14:paraId="7D157670" w14:textId="77777777" w:rsidR="00ED2EBD" w:rsidRPr="00BD16B4" w:rsidRDefault="00ED2EBD" w:rsidP="004A205F">
            <w:pPr>
              <w:pStyle w:val="TableText"/>
              <w:spacing w:before="40" w:after="40"/>
              <w:jc w:val="right"/>
              <w:rPr>
                <w:szCs w:val="18"/>
              </w:rPr>
            </w:pPr>
            <w:r w:rsidRPr="00BD16B4">
              <w:rPr>
                <w:szCs w:val="18"/>
              </w:rPr>
              <w:t>3.12</w:t>
            </w:r>
          </w:p>
        </w:tc>
        <w:tc>
          <w:tcPr>
            <w:tcW w:w="964" w:type="dxa"/>
            <w:shd w:val="clear" w:color="auto" w:fill="auto"/>
          </w:tcPr>
          <w:p w14:paraId="3B6D9B47" w14:textId="77777777" w:rsidR="00ED2EBD" w:rsidRPr="00BD16B4" w:rsidRDefault="00ED2EBD" w:rsidP="004A205F">
            <w:pPr>
              <w:pStyle w:val="TableText"/>
              <w:spacing w:before="40" w:after="40"/>
              <w:jc w:val="right"/>
              <w:rPr>
                <w:szCs w:val="18"/>
              </w:rPr>
            </w:pPr>
            <w:r w:rsidRPr="00BD16B4">
              <w:rPr>
                <w:szCs w:val="18"/>
              </w:rPr>
              <w:t>3.13</w:t>
            </w:r>
          </w:p>
        </w:tc>
      </w:tr>
      <w:tr w:rsidR="008E7C93" w:rsidRPr="00BD16B4" w14:paraId="75A7D758" w14:textId="77777777" w:rsidTr="00F70C72">
        <w:tc>
          <w:tcPr>
            <w:tcW w:w="3964" w:type="dxa"/>
          </w:tcPr>
          <w:p w14:paraId="285778EC" w14:textId="558E5DF9" w:rsidR="00ED2EBD" w:rsidRPr="00BD16B4" w:rsidRDefault="00ED2EBD" w:rsidP="004A205F">
            <w:pPr>
              <w:pStyle w:val="TableText"/>
              <w:spacing w:before="40" w:after="40"/>
              <w:ind w:left="454" w:hanging="227"/>
              <w:rPr>
                <w:szCs w:val="18"/>
              </w:rPr>
            </w:pPr>
            <w:r w:rsidRPr="00BD16B4">
              <w:rPr>
                <w:szCs w:val="18"/>
              </w:rPr>
              <w:t>5.</w:t>
            </w:r>
            <w:r w:rsidR="00280979" w:rsidRPr="00BD16B4">
              <w:rPr>
                <w:szCs w:val="18"/>
              </w:rPr>
              <w:t xml:space="preserve"> </w:t>
            </w:r>
            <w:r w:rsidRPr="00BD16B4">
              <w:rPr>
                <w:szCs w:val="18"/>
              </w:rPr>
              <w:t>Other</w:t>
            </w:r>
          </w:p>
        </w:tc>
        <w:tc>
          <w:tcPr>
            <w:tcW w:w="964" w:type="dxa"/>
            <w:shd w:val="clear" w:color="auto" w:fill="auto"/>
          </w:tcPr>
          <w:p w14:paraId="3EC6C1C9" w14:textId="77777777" w:rsidR="00ED2EBD" w:rsidRPr="00BD16B4" w:rsidRDefault="00ED2EBD" w:rsidP="004A205F">
            <w:pPr>
              <w:pStyle w:val="TableText"/>
              <w:spacing w:before="40" w:after="40"/>
              <w:jc w:val="right"/>
              <w:rPr>
                <w:szCs w:val="18"/>
              </w:rPr>
            </w:pPr>
            <w:r w:rsidRPr="00BD16B4">
              <w:rPr>
                <w:szCs w:val="18"/>
              </w:rPr>
              <w:t>NO</w:t>
            </w:r>
          </w:p>
        </w:tc>
        <w:tc>
          <w:tcPr>
            <w:tcW w:w="964" w:type="dxa"/>
            <w:shd w:val="clear" w:color="auto" w:fill="auto"/>
          </w:tcPr>
          <w:p w14:paraId="6A0523DE" w14:textId="77777777" w:rsidR="00ED2EBD" w:rsidRPr="00BD16B4" w:rsidRDefault="00ED2EBD" w:rsidP="004A205F">
            <w:pPr>
              <w:pStyle w:val="TableText"/>
              <w:spacing w:before="40" w:after="40"/>
              <w:jc w:val="right"/>
              <w:rPr>
                <w:szCs w:val="18"/>
              </w:rPr>
            </w:pPr>
            <w:r w:rsidRPr="00BD16B4">
              <w:rPr>
                <w:szCs w:val="18"/>
              </w:rPr>
              <w:t>NO</w:t>
            </w:r>
          </w:p>
        </w:tc>
        <w:tc>
          <w:tcPr>
            <w:tcW w:w="964" w:type="dxa"/>
            <w:shd w:val="clear" w:color="auto" w:fill="auto"/>
          </w:tcPr>
          <w:p w14:paraId="623DF268" w14:textId="77777777" w:rsidR="00ED2EBD" w:rsidRPr="00BD16B4" w:rsidRDefault="00ED2EBD" w:rsidP="004A205F">
            <w:pPr>
              <w:pStyle w:val="TableText"/>
              <w:spacing w:before="40" w:after="40"/>
              <w:jc w:val="right"/>
              <w:rPr>
                <w:szCs w:val="18"/>
              </w:rPr>
            </w:pPr>
            <w:r w:rsidRPr="00BD16B4">
              <w:rPr>
                <w:szCs w:val="18"/>
              </w:rPr>
              <w:t>NO</w:t>
            </w:r>
          </w:p>
        </w:tc>
        <w:tc>
          <w:tcPr>
            <w:tcW w:w="964" w:type="dxa"/>
            <w:shd w:val="clear" w:color="auto" w:fill="auto"/>
          </w:tcPr>
          <w:p w14:paraId="7D897C29" w14:textId="77777777" w:rsidR="00ED2EBD" w:rsidRPr="00BD16B4" w:rsidRDefault="00ED2EBD" w:rsidP="004A205F">
            <w:pPr>
              <w:pStyle w:val="TableText"/>
              <w:spacing w:before="40" w:after="40"/>
              <w:jc w:val="right"/>
              <w:rPr>
                <w:szCs w:val="18"/>
              </w:rPr>
            </w:pPr>
            <w:r w:rsidRPr="00BD16B4">
              <w:rPr>
                <w:szCs w:val="18"/>
              </w:rPr>
              <w:t>NO</w:t>
            </w:r>
          </w:p>
        </w:tc>
        <w:tc>
          <w:tcPr>
            <w:tcW w:w="964" w:type="dxa"/>
            <w:shd w:val="clear" w:color="auto" w:fill="auto"/>
          </w:tcPr>
          <w:p w14:paraId="1E6D1ED1" w14:textId="77777777" w:rsidR="00ED2EBD" w:rsidRPr="00BD16B4" w:rsidRDefault="00ED2EBD" w:rsidP="004A205F">
            <w:pPr>
              <w:pStyle w:val="TableText"/>
              <w:spacing w:before="40" w:after="40"/>
              <w:jc w:val="right"/>
              <w:rPr>
                <w:szCs w:val="18"/>
              </w:rPr>
            </w:pPr>
            <w:r w:rsidRPr="00BD16B4">
              <w:rPr>
                <w:szCs w:val="18"/>
              </w:rPr>
              <w:t>NO</w:t>
            </w:r>
          </w:p>
        </w:tc>
        <w:tc>
          <w:tcPr>
            <w:tcW w:w="964" w:type="dxa"/>
            <w:shd w:val="clear" w:color="auto" w:fill="auto"/>
          </w:tcPr>
          <w:p w14:paraId="5B43FD62" w14:textId="77777777" w:rsidR="00ED2EBD" w:rsidRPr="00BD16B4" w:rsidRDefault="00ED2EBD" w:rsidP="004A205F">
            <w:pPr>
              <w:pStyle w:val="TableText"/>
              <w:spacing w:before="40" w:after="40"/>
              <w:jc w:val="right"/>
              <w:rPr>
                <w:szCs w:val="18"/>
              </w:rPr>
            </w:pPr>
            <w:r w:rsidRPr="00BD16B4">
              <w:rPr>
                <w:szCs w:val="18"/>
              </w:rPr>
              <w:t>NO</w:t>
            </w:r>
          </w:p>
        </w:tc>
        <w:tc>
          <w:tcPr>
            <w:tcW w:w="964" w:type="dxa"/>
            <w:shd w:val="clear" w:color="auto" w:fill="auto"/>
          </w:tcPr>
          <w:p w14:paraId="5A5C810D" w14:textId="77777777" w:rsidR="00ED2EBD" w:rsidRPr="00BD16B4" w:rsidRDefault="00ED2EBD" w:rsidP="004A205F">
            <w:pPr>
              <w:pStyle w:val="TableText"/>
              <w:spacing w:before="40" w:after="40"/>
              <w:jc w:val="right"/>
              <w:rPr>
                <w:szCs w:val="18"/>
              </w:rPr>
            </w:pPr>
            <w:r w:rsidRPr="00BD16B4">
              <w:rPr>
                <w:szCs w:val="18"/>
              </w:rPr>
              <w:t>NO</w:t>
            </w:r>
          </w:p>
        </w:tc>
        <w:tc>
          <w:tcPr>
            <w:tcW w:w="964" w:type="dxa"/>
            <w:shd w:val="clear" w:color="auto" w:fill="auto"/>
          </w:tcPr>
          <w:p w14:paraId="29CFB181" w14:textId="77777777" w:rsidR="00ED2EBD" w:rsidRPr="00BD16B4" w:rsidRDefault="00ED2EBD" w:rsidP="004A205F">
            <w:pPr>
              <w:pStyle w:val="TableText"/>
              <w:spacing w:before="40" w:after="40"/>
              <w:jc w:val="right"/>
              <w:rPr>
                <w:szCs w:val="18"/>
              </w:rPr>
            </w:pPr>
            <w:r w:rsidRPr="00BD16B4">
              <w:rPr>
                <w:szCs w:val="18"/>
              </w:rPr>
              <w:t>NO</w:t>
            </w:r>
          </w:p>
        </w:tc>
        <w:tc>
          <w:tcPr>
            <w:tcW w:w="964" w:type="dxa"/>
            <w:shd w:val="clear" w:color="auto" w:fill="auto"/>
          </w:tcPr>
          <w:p w14:paraId="1FD97D47" w14:textId="77777777" w:rsidR="00ED2EBD" w:rsidRPr="00BD16B4" w:rsidRDefault="00ED2EBD" w:rsidP="004A205F">
            <w:pPr>
              <w:pStyle w:val="TableText"/>
              <w:spacing w:before="40" w:after="40"/>
              <w:jc w:val="right"/>
              <w:rPr>
                <w:szCs w:val="18"/>
              </w:rPr>
            </w:pPr>
            <w:r w:rsidRPr="00BD16B4">
              <w:rPr>
                <w:szCs w:val="18"/>
              </w:rPr>
              <w:t>NO</w:t>
            </w:r>
          </w:p>
        </w:tc>
      </w:tr>
      <w:tr w:rsidR="008E7C93" w:rsidRPr="00BD16B4" w14:paraId="2EDD3B24" w14:textId="77777777" w:rsidTr="00F70C72">
        <w:tc>
          <w:tcPr>
            <w:tcW w:w="3964" w:type="dxa"/>
          </w:tcPr>
          <w:p w14:paraId="42FD40E8" w14:textId="77777777" w:rsidR="00ED2EBD" w:rsidRPr="00BD16B4" w:rsidRDefault="00ED2EBD" w:rsidP="004A205F">
            <w:pPr>
              <w:pStyle w:val="TableText"/>
              <w:spacing w:before="40" w:after="40"/>
              <w:rPr>
                <w:szCs w:val="18"/>
              </w:rPr>
            </w:pPr>
            <w:r w:rsidRPr="00BD16B4">
              <w:rPr>
                <w:szCs w:val="18"/>
              </w:rPr>
              <w:t>B. Fugitive emissions from fuels</w:t>
            </w:r>
          </w:p>
        </w:tc>
        <w:tc>
          <w:tcPr>
            <w:tcW w:w="964" w:type="dxa"/>
            <w:shd w:val="clear" w:color="auto" w:fill="auto"/>
          </w:tcPr>
          <w:p w14:paraId="08AFDA87" w14:textId="77777777" w:rsidR="00ED2EBD" w:rsidRPr="00BD16B4" w:rsidRDefault="00ED2EBD" w:rsidP="004A205F">
            <w:pPr>
              <w:pStyle w:val="TableText"/>
              <w:spacing w:before="40" w:after="40"/>
              <w:jc w:val="right"/>
              <w:rPr>
                <w:szCs w:val="18"/>
              </w:rPr>
            </w:pPr>
            <w:r w:rsidRPr="00BD16B4">
              <w:rPr>
                <w:szCs w:val="18"/>
              </w:rPr>
              <w:t>38.77</w:t>
            </w:r>
          </w:p>
        </w:tc>
        <w:tc>
          <w:tcPr>
            <w:tcW w:w="964" w:type="dxa"/>
            <w:shd w:val="clear" w:color="auto" w:fill="auto"/>
          </w:tcPr>
          <w:p w14:paraId="5D5F2324" w14:textId="77777777" w:rsidR="00ED2EBD" w:rsidRPr="00BD16B4" w:rsidRDefault="00ED2EBD" w:rsidP="004A205F">
            <w:pPr>
              <w:pStyle w:val="TableText"/>
              <w:spacing w:before="40" w:after="40"/>
              <w:jc w:val="right"/>
              <w:rPr>
                <w:szCs w:val="18"/>
              </w:rPr>
            </w:pPr>
            <w:r w:rsidRPr="00BD16B4">
              <w:rPr>
                <w:szCs w:val="18"/>
              </w:rPr>
              <w:t>38.55</w:t>
            </w:r>
          </w:p>
        </w:tc>
        <w:tc>
          <w:tcPr>
            <w:tcW w:w="964" w:type="dxa"/>
            <w:shd w:val="clear" w:color="auto" w:fill="auto"/>
          </w:tcPr>
          <w:p w14:paraId="25D3FB77" w14:textId="77777777" w:rsidR="00ED2EBD" w:rsidRPr="00BD16B4" w:rsidRDefault="00ED2EBD" w:rsidP="004A205F">
            <w:pPr>
              <w:pStyle w:val="TableText"/>
              <w:spacing w:before="40" w:after="40"/>
              <w:jc w:val="right"/>
              <w:rPr>
                <w:szCs w:val="18"/>
              </w:rPr>
            </w:pPr>
            <w:r w:rsidRPr="00BD16B4">
              <w:rPr>
                <w:szCs w:val="18"/>
              </w:rPr>
              <w:t>38.03</w:t>
            </w:r>
          </w:p>
        </w:tc>
        <w:tc>
          <w:tcPr>
            <w:tcW w:w="964" w:type="dxa"/>
            <w:shd w:val="clear" w:color="auto" w:fill="auto"/>
          </w:tcPr>
          <w:p w14:paraId="5062C079" w14:textId="77777777" w:rsidR="00ED2EBD" w:rsidRPr="00BD16B4" w:rsidRDefault="00ED2EBD" w:rsidP="004A205F">
            <w:pPr>
              <w:pStyle w:val="TableText"/>
              <w:spacing w:before="40" w:after="40"/>
              <w:jc w:val="right"/>
              <w:rPr>
                <w:szCs w:val="18"/>
              </w:rPr>
            </w:pPr>
            <w:r w:rsidRPr="00BD16B4">
              <w:rPr>
                <w:szCs w:val="18"/>
              </w:rPr>
              <w:t>41.24</w:t>
            </w:r>
          </w:p>
        </w:tc>
        <w:tc>
          <w:tcPr>
            <w:tcW w:w="964" w:type="dxa"/>
            <w:shd w:val="clear" w:color="auto" w:fill="auto"/>
          </w:tcPr>
          <w:p w14:paraId="777EBD4B" w14:textId="77777777" w:rsidR="00ED2EBD" w:rsidRPr="00BD16B4" w:rsidRDefault="00ED2EBD" w:rsidP="004A205F">
            <w:pPr>
              <w:pStyle w:val="TableText"/>
              <w:spacing w:before="40" w:after="40"/>
              <w:jc w:val="right"/>
              <w:rPr>
                <w:szCs w:val="18"/>
              </w:rPr>
            </w:pPr>
            <w:r w:rsidRPr="00BD16B4">
              <w:rPr>
                <w:szCs w:val="18"/>
              </w:rPr>
              <w:t>44.16</w:t>
            </w:r>
          </w:p>
        </w:tc>
        <w:tc>
          <w:tcPr>
            <w:tcW w:w="964" w:type="dxa"/>
            <w:shd w:val="clear" w:color="auto" w:fill="auto"/>
          </w:tcPr>
          <w:p w14:paraId="5430D032" w14:textId="77777777" w:rsidR="00ED2EBD" w:rsidRPr="00BD16B4" w:rsidRDefault="00ED2EBD" w:rsidP="004A205F">
            <w:pPr>
              <w:pStyle w:val="TableText"/>
              <w:spacing w:before="40" w:after="40"/>
              <w:jc w:val="right"/>
              <w:rPr>
                <w:szCs w:val="18"/>
              </w:rPr>
            </w:pPr>
            <w:r w:rsidRPr="00BD16B4">
              <w:rPr>
                <w:szCs w:val="18"/>
              </w:rPr>
              <w:t>37.87</w:t>
            </w:r>
          </w:p>
        </w:tc>
        <w:tc>
          <w:tcPr>
            <w:tcW w:w="964" w:type="dxa"/>
            <w:shd w:val="clear" w:color="auto" w:fill="auto"/>
          </w:tcPr>
          <w:p w14:paraId="6FAFE202" w14:textId="77777777" w:rsidR="00ED2EBD" w:rsidRPr="00BD16B4" w:rsidRDefault="00ED2EBD" w:rsidP="004A205F">
            <w:pPr>
              <w:pStyle w:val="TableText"/>
              <w:spacing w:before="40" w:after="40"/>
              <w:jc w:val="right"/>
              <w:rPr>
                <w:szCs w:val="18"/>
              </w:rPr>
            </w:pPr>
            <w:r w:rsidRPr="00BD16B4">
              <w:rPr>
                <w:szCs w:val="18"/>
              </w:rPr>
              <w:t>48.50</w:t>
            </w:r>
          </w:p>
        </w:tc>
        <w:tc>
          <w:tcPr>
            <w:tcW w:w="964" w:type="dxa"/>
            <w:shd w:val="clear" w:color="auto" w:fill="auto"/>
          </w:tcPr>
          <w:p w14:paraId="497E4A62" w14:textId="77777777" w:rsidR="00ED2EBD" w:rsidRPr="00BD16B4" w:rsidRDefault="00ED2EBD" w:rsidP="004A205F">
            <w:pPr>
              <w:pStyle w:val="TableText"/>
              <w:spacing w:before="40" w:after="40"/>
              <w:jc w:val="right"/>
              <w:rPr>
                <w:szCs w:val="18"/>
              </w:rPr>
            </w:pPr>
            <w:r w:rsidRPr="00BD16B4">
              <w:rPr>
                <w:szCs w:val="18"/>
              </w:rPr>
              <w:t>48.38</w:t>
            </w:r>
          </w:p>
        </w:tc>
        <w:tc>
          <w:tcPr>
            <w:tcW w:w="964" w:type="dxa"/>
            <w:shd w:val="clear" w:color="auto" w:fill="auto"/>
          </w:tcPr>
          <w:p w14:paraId="0CF85B8F" w14:textId="77777777" w:rsidR="00ED2EBD" w:rsidRPr="00BD16B4" w:rsidRDefault="00ED2EBD" w:rsidP="004A205F">
            <w:pPr>
              <w:pStyle w:val="TableText"/>
              <w:spacing w:before="40" w:after="40"/>
              <w:jc w:val="right"/>
              <w:rPr>
                <w:szCs w:val="18"/>
              </w:rPr>
            </w:pPr>
            <w:r w:rsidRPr="00BD16B4">
              <w:rPr>
                <w:szCs w:val="18"/>
              </w:rPr>
              <w:t>47.95</w:t>
            </w:r>
          </w:p>
        </w:tc>
      </w:tr>
      <w:tr w:rsidR="008E7C93" w:rsidRPr="00BD16B4" w14:paraId="4CBBC6C8" w14:textId="77777777" w:rsidTr="00F70C72">
        <w:tc>
          <w:tcPr>
            <w:tcW w:w="3964" w:type="dxa"/>
          </w:tcPr>
          <w:p w14:paraId="7832A4C6" w14:textId="78586430" w:rsidR="00ED2EBD" w:rsidRPr="00BD16B4" w:rsidRDefault="00ED2EBD" w:rsidP="004A205F">
            <w:pPr>
              <w:pStyle w:val="TableText"/>
              <w:spacing w:before="40" w:after="40"/>
              <w:ind w:left="454" w:hanging="227"/>
              <w:rPr>
                <w:szCs w:val="18"/>
              </w:rPr>
            </w:pPr>
            <w:r w:rsidRPr="00BD16B4">
              <w:rPr>
                <w:szCs w:val="18"/>
              </w:rPr>
              <w:t>1.</w:t>
            </w:r>
            <w:r w:rsidR="00280979" w:rsidRPr="00BD16B4">
              <w:rPr>
                <w:szCs w:val="18"/>
              </w:rPr>
              <w:t xml:space="preserve"> </w:t>
            </w:r>
            <w:r w:rsidR="006D3816" w:rsidRPr="00BD16B4">
              <w:rPr>
                <w:szCs w:val="18"/>
              </w:rPr>
              <w:tab/>
            </w:r>
            <w:r w:rsidRPr="00BD16B4">
              <w:rPr>
                <w:szCs w:val="18"/>
              </w:rPr>
              <w:t>Solid fuels</w:t>
            </w:r>
          </w:p>
        </w:tc>
        <w:tc>
          <w:tcPr>
            <w:tcW w:w="964" w:type="dxa"/>
            <w:shd w:val="clear" w:color="auto" w:fill="auto"/>
          </w:tcPr>
          <w:p w14:paraId="49E831D2" w14:textId="77777777" w:rsidR="00ED2EBD" w:rsidRPr="00BD16B4" w:rsidRDefault="00ED2EBD" w:rsidP="004A205F">
            <w:pPr>
              <w:pStyle w:val="TableText"/>
              <w:spacing w:before="40" w:after="40"/>
              <w:jc w:val="right"/>
              <w:rPr>
                <w:szCs w:val="18"/>
              </w:rPr>
            </w:pPr>
            <w:r w:rsidRPr="00BD16B4">
              <w:rPr>
                <w:szCs w:val="18"/>
              </w:rPr>
              <w:t>13.12</w:t>
            </w:r>
          </w:p>
        </w:tc>
        <w:tc>
          <w:tcPr>
            <w:tcW w:w="964" w:type="dxa"/>
            <w:shd w:val="clear" w:color="auto" w:fill="auto"/>
          </w:tcPr>
          <w:p w14:paraId="6BCC22B9" w14:textId="77777777" w:rsidR="00ED2EBD" w:rsidRPr="00BD16B4" w:rsidRDefault="00ED2EBD" w:rsidP="004A205F">
            <w:pPr>
              <w:pStyle w:val="TableText"/>
              <w:spacing w:before="40" w:after="40"/>
              <w:jc w:val="right"/>
              <w:rPr>
                <w:szCs w:val="18"/>
              </w:rPr>
            </w:pPr>
            <w:r w:rsidRPr="00BD16B4">
              <w:rPr>
                <w:szCs w:val="18"/>
              </w:rPr>
              <w:t>8.81</w:t>
            </w:r>
          </w:p>
        </w:tc>
        <w:tc>
          <w:tcPr>
            <w:tcW w:w="964" w:type="dxa"/>
            <w:shd w:val="clear" w:color="auto" w:fill="auto"/>
          </w:tcPr>
          <w:p w14:paraId="115D0075" w14:textId="77777777" w:rsidR="00ED2EBD" w:rsidRPr="00BD16B4" w:rsidRDefault="00ED2EBD" w:rsidP="004A205F">
            <w:pPr>
              <w:pStyle w:val="TableText"/>
              <w:spacing w:before="40" w:after="40"/>
              <w:jc w:val="right"/>
              <w:rPr>
                <w:szCs w:val="18"/>
              </w:rPr>
            </w:pPr>
            <w:r w:rsidRPr="00BD16B4">
              <w:rPr>
                <w:szCs w:val="18"/>
              </w:rPr>
              <w:t>9.03</w:t>
            </w:r>
          </w:p>
        </w:tc>
        <w:tc>
          <w:tcPr>
            <w:tcW w:w="964" w:type="dxa"/>
            <w:shd w:val="clear" w:color="auto" w:fill="auto"/>
          </w:tcPr>
          <w:p w14:paraId="37E735B0" w14:textId="77777777" w:rsidR="00ED2EBD" w:rsidRPr="00BD16B4" w:rsidRDefault="00ED2EBD" w:rsidP="004A205F">
            <w:pPr>
              <w:pStyle w:val="TableText"/>
              <w:spacing w:before="40" w:after="40"/>
              <w:jc w:val="right"/>
              <w:rPr>
                <w:szCs w:val="18"/>
              </w:rPr>
            </w:pPr>
            <w:r w:rsidRPr="00BD16B4">
              <w:rPr>
                <w:szCs w:val="18"/>
              </w:rPr>
              <w:t>8.94</w:t>
            </w:r>
          </w:p>
        </w:tc>
        <w:tc>
          <w:tcPr>
            <w:tcW w:w="964" w:type="dxa"/>
            <w:shd w:val="clear" w:color="auto" w:fill="auto"/>
          </w:tcPr>
          <w:p w14:paraId="3C0368B8" w14:textId="77777777" w:rsidR="00ED2EBD" w:rsidRPr="00BD16B4" w:rsidRDefault="00ED2EBD" w:rsidP="004A205F">
            <w:pPr>
              <w:pStyle w:val="TableText"/>
              <w:spacing w:before="40" w:after="40"/>
              <w:jc w:val="right"/>
              <w:rPr>
                <w:szCs w:val="18"/>
              </w:rPr>
            </w:pPr>
            <w:r w:rsidRPr="00BD16B4">
              <w:rPr>
                <w:szCs w:val="18"/>
              </w:rPr>
              <w:t>10.27</w:t>
            </w:r>
          </w:p>
        </w:tc>
        <w:tc>
          <w:tcPr>
            <w:tcW w:w="964" w:type="dxa"/>
            <w:shd w:val="clear" w:color="auto" w:fill="auto"/>
          </w:tcPr>
          <w:p w14:paraId="69D53521" w14:textId="77777777" w:rsidR="00ED2EBD" w:rsidRPr="00BD16B4" w:rsidRDefault="00ED2EBD" w:rsidP="004A205F">
            <w:pPr>
              <w:pStyle w:val="TableText"/>
              <w:spacing w:before="40" w:after="40"/>
              <w:jc w:val="right"/>
              <w:rPr>
                <w:szCs w:val="18"/>
              </w:rPr>
            </w:pPr>
            <w:r w:rsidRPr="00BD16B4">
              <w:rPr>
                <w:szCs w:val="18"/>
              </w:rPr>
              <w:t>13.11</w:t>
            </w:r>
          </w:p>
        </w:tc>
        <w:tc>
          <w:tcPr>
            <w:tcW w:w="964" w:type="dxa"/>
            <w:shd w:val="clear" w:color="auto" w:fill="auto"/>
          </w:tcPr>
          <w:p w14:paraId="33642E79" w14:textId="77777777" w:rsidR="00ED2EBD" w:rsidRPr="00BD16B4" w:rsidRDefault="00ED2EBD" w:rsidP="004A205F">
            <w:pPr>
              <w:pStyle w:val="TableText"/>
              <w:spacing w:before="40" w:after="40"/>
              <w:jc w:val="right"/>
              <w:rPr>
                <w:szCs w:val="18"/>
              </w:rPr>
            </w:pPr>
            <w:r w:rsidRPr="00BD16B4">
              <w:rPr>
                <w:szCs w:val="18"/>
              </w:rPr>
              <w:t>18.98</w:t>
            </w:r>
          </w:p>
        </w:tc>
        <w:tc>
          <w:tcPr>
            <w:tcW w:w="964" w:type="dxa"/>
            <w:shd w:val="clear" w:color="auto" w:fill="auto"/>
          </w:tcPr>
          <w:p w14:paraId="2557989F" w14:textId="77777777" w:rsidR="00ED2EBD" w:rsidRPr="00BD16B4" w:rsidRDefault="00ED2EBD" w:rsidP="004A205F">
            <w:pPr>
              <w:pStyle w:val="TableText"/>
              <w:spacing w:before="40" w:after="40"/>
              <w:jc w:val="right"/>
              <w:rPr>
                <w:szCs w:val="18"/>
              </w:rPr>
            </w:pPr>
            <w:r w:rsidRPr="00BD16B4">
              <w:rPr>
                <w:szCs w:val="18"/>
              </w:rPr>
              <w:t>13.89</w:t>
            </w:r>
          </w:p>
        </w:tc>
        <w:tc>
          <w:tcPr>
            <w:tcW w:w="964" w:type="dxa"/>
            <w:shd w:val="clear" w:color="auto" w:fill="auto"/>
          </w:tcPr>
          <w:p w14:paraId="2C86DC3C" w14:textId="77777777" w:rsidR="00ED2EBD" w:rsidRPr="00BD16B4" w:rsidRDefault="00ED2EBD" w:rsidP="004A205F">
            <w:pPr>
              <w:pStyle w:val="TableText"/>
              <w:spacing w:before="40" w:after="40"/>
              <w:jc w:val="right"/>
              <w:rPr>
                <w:szCs w:val="18"/>
              </w:rPr>
            </w:pPr>
            <w:r w:rsidRPr="00BD16B4">
              <w:rPr>
                <w:szCs w:val="18"/>
              </w:rPr>
              <w:t>15.47</w:t>
            </w:r>
          </w:p>
        </w:tc>
      </w:tr>
      <w:tr w:rsidR="008E7C93" w:rsidRPr="00BD16B4" w14:paraId="59333724" w14:textId="77777777" w:rsidTr="00F70C72">
        <w:tc>
          <w:tcPr>
            <w:tcW w:w="3964" w:type="dxa"/>
          </w:tcPr>
          <w:p w14:paraId="5AC5D074" w14:textId="62C345C4" w:rsidR="00ED2EBD" w:rsidRPr="00BD16B4" w:rsidRDefault="00ED2EBD" w:rsidP="004A205F">
            <w:pPr>
              <w:pStyle w:val="TableText"/>
              <w:spacing w:before="40" w:after="40"/>
              <w:ind w:left="454" w:hanging="227"/>
              <w:rPr>
                <w:szCs w:val="18"/>
              </w:rPr>
            </w:pPr>
            <w:r w:rsidRPr="00BD16B4">
              <w:rPr>
                <w:szCs w:val="18"/>
              </w:rPr>
              <w:t>2.</w:t>
            </w:r>
            <w:r w:rsidR="00280979" w:rsidRPr="00BD16B4">
              <w:rPr>
                <w:szCs w:val="18"/>
              </w:rPr>
              <w:t xml:space="preserve"> </w:t>
            </w:r>
            <w:r w:rsidR="006D3816" w:rsidRPr="00BD16B4">
              <w:rPr>
                <w:szCs w:val="18"/>
              </w:rPr>
              <w:tab/>
            </w:r>
            <w:r w:rsidRPr="00BD16B4">
              <w:rPr>
                <w:szCs w:val="18"/>
              </w:rPr>
              <w:t>Oil and natural gas and other emissions from energy production</w:t>
            </w:r>
          </w:p>
        </w:tc>
        <w:tc>
          <w:tcPr>
            <w:tcW w:w="964" w:type="dxa"/>
            <w:tcBorders>
              <w:bottom w:val="single" w:sz="4" w:space="0" w:color="1B556B" w:themeColor="text2"/>
            </w:tcBorders>
            <w:shd w:val="clear" w:color="auto" w:fill="auto"/>
          </w:tcPr>
          <w:p w14:paraId="71DADE42" w14:textId="77777777" w:rsidR="00ED2EBD" w:rsidRPr="00BD16B4" w:rsidRDefault="00ED2EBD" w:rsidP="004A205F">
            <w:pPr>
              <w:pStyle w:val="TableText"/>
              <w:spacing w:before="40" w:after="40"/>
              <w:jc w:val="right"/>
              <w:rPr>
                <w:szCs w:val="18"/>
              </w:rPr>
            </w:pPr>
            <w:r w:rsidRPr="00BD16B4">
              <w:rPr>
                <w:szCs w:val="18"/>
              </w:rPr>
              <w:t>25.64</w:t>
            </w:r>
          </w:p>
        </w:tc>
        <w:tc>
          <w:tcPr>
            <w:tcW w:w="964" w:type="dxa"/>
            <w:tcBorders>
              <w:bottom w:val="single" w:sz="4" w:space="0" w:color="1B556B" w:themeColor="text2"/>
            </w:tcBorders>
            <w:shd w:val="clear" w:color="auto" w:fill="auto"/>
          </w:tcPr>
          <w:p w14:paraId="748D8E4C" w14:textId="77777777" w:rsidR="00ED2EBD" w:rsidRPr="00BD16B4" w:rsidRDefault="00ED2EBD" w:rsidP="004A205F">
            <w:pPr>
              <w:pStyle w:val="TableText"/>
              <w:spacing w:before="40" w:after="40"/>
              <w:jc w:val="right"/>
              <w:rPr>
                <w:szCs w:val="18"/>
              </w:rPr>
            </w:pPr>
            <w:r w:rsidRPr="00BD16B4">
              <w:rPr>
                <w:szCs w:val="18"/>
              </w:rPr>
              <w:t>29.75</w:t>
            </w:r>
          </w:p>
        </w:tc>
        <w:tc>
          <w:tcPr>
            <w:tcW w:w="964" w:type="dxa"/>
            <w:tcBorders>
              <w:bottom w:val="single" w:sz="4" w:space="0" w:color="1B556B" w:themeColor="text2"/>
            </w:tcBorders>
            <w:shd w:val="clear" w:color="auto" w:fill="auto"/>
          </w:tcPr>
          <w:p w14:paraId="7598F16B" w14:textId="77777777" w:rsidR="00ED2EBD" w:rsidRPr="00BD16B4" w:rsidRDefault="00ED2EBD" w:rsidP="004A205F">
            <w:pPr>
              <w:pStyle w:val="TableText"/>
              <w:spacing w:before="40" w:after="40"/>
              <w:jc w:val="right"/>
              <w:rPr>
                <w:szCs w:val="18"/>
              </w:rPr>
            </w:pPr>
            <w:r w:rsidRPr="00BD16B4">
              <w:rPr>
                <w:szCs w:val="18"/>
              </w:rPr>
              <w:t>29.00</w:t>
            </w:r>
          </w:p>
        </w:tc>
        <w:tc>
          <w:tcPr>
            <w:tcW w:w="964" w:type="dxa"/>
            <w:tcBorders>
              <w:bottom w:val="single" w:sz="4" w:space="0" w:color="1B556B" w:themeColor="text2"/>
            </w:tcBorders>
            <w:shd w:val="clear" w:color="auto" w:fill="auto"/>
          </w:tcPr>
          <w:p w14:paraId="077280CC" w14:textId="77777777" w:rsidR="00ED2EBD" w:rsidRPr="00BD16B4" w:rsidRDefault="00ED2EBD" w:rsidP="004A205F">
            <w:pPr>
              <w:pStyle w:val="TableText"/>
              <w:spacing w:before="40" w:after="40"/>
              <w:jc w:val="right"/>
              <w:rPr>
                <w:szCs w:val="18"/>
              </w:rPr>
            </w:pPr>
            <w:r w:rsidRPr="00BD16B4">
              <w:rPr>
                <w:szCs w:val="18"/>
              </w:rPr>
              <w:t>32.30</w:t>
            </w:r>
          </w:p>
        </w:tc>
        <w:tc>
          <w:tcPr>
            <w:tcW w:w="964" w:type="dxa"/>
            <w:tcBorders>
              <w:bottom w:val="single" w:sz="4" w:space="0" w:color="1B556B" w:themeColor="text2"/>
            </w:tcBorders>
            <w:shd w:val="clear" w:color="auto" w:fill="auto"/>
          </w:tcPr>
          <w:p w14:paraId="4EC3CD61" w14:textId="77777777" w:rsidR="00ED2EBD" w:rsidRPr="00BD16B4" w:rsidRDefault="00ED2EBD" w:rsidP="004A205F">
            <w:pPr>
              <w:pStyle w:val="TableText"/>
              <w:spacing w:before="40" w:after="40"/>
              <w:jc w:val="right"/>
              <w:rPr>
                <w:szCs w:val="18"/>
              </w:rPr>
            </w:pPr>
            <w:r w:rsidRPr="00BD16B4">
              <w:rPr>
                <w:szCs w:val="18"/>
              </w:rPr>
              <w:t>33.89</w:t>
            </w:r>
          </w:p>
        </w:tc>
        <w:tc>
          <w:tcPr>
            <w:tcW w:w="964" w:type="dxa"/>
            <w:tcBorders>
              <w:bottom w:val="single" w:sz="4" w:space="0" w:color="1B556B" w:themeColor="text2"/>
            </w:tcBorders>
            <w:shd w:val="clear" w:color="auto" w:fill="auto"/>
          </w:tcPr>
          <w:p w14:paraId="48AACFB7" w14:textId="77777777" w:rsidR="00ED2EBD" w:rsidRPr="00BD16B4" w:rsidRDefault="00ED2EBD" w:rsidP="004A205F">
            <w:pPr>
              <w:pStyle w:val="TableText"/>
              <w:spacing w:before="40" w:after="40"/>
              <w:jc w:val="right"/>
              <w:rPr>
                <w:szCs w:val="18"/>
              </w:rPr>
            </w:pPr>
            <w:r w:rsidRPr="00BD16B4">
              <w:rPr>
                <w:szCs w:val="18"/>
              </w:rPr>
              <w:t>24.76</w:t>
            </w:r>
          </w:p>
        </w:tc>
        <w:tc>
          <w:tcPr>
            <w:tcW w:w="964" w:type="dxa"/>
            <w:tcBorders>
              <w:bottom w:val="single" w:sz="4" w:space="0" w:color="1B556B" w:themeColor="text2"/>
            </w:tcBorders>
            <w:shd w:val="clear" w:color="auto" w:fill="auto"/>
          </w:tcPr>
          <w:p w14:paraId="5BEF7246" w14:textId="77777777" w:rsidR="00ED2EBD" w:rsidRPr="00BD16B4" w:rsidRDefault="00ED2EBD" w:rsidP="004A205F">
            <w:pPr>
              <w:pStyle w:val="TableText"/>
              <w:spacing w:before="40" w:after="40"/>
              <w:jc w:val="right"/>
              <w:rPr>
                <w:szCs w:val="18"/>
              </w:rPr>
            </w:pPr>
            <w:r w:rsidRPr="00BD16B4">
              <w:rPr>
                <w:szCs w:val="18"/>
              </w:rPr>
              <w:t>29.52</w:t>
            </w:r>
          </w:p>
        </w:tc>
        <w:tc>
          <w:tcPr>
            <w:tcW w:w="964" w:type="dxa"/>
            <w:tcBorders>
              <w:bottom w:val="single" w:sz="4" w:space="0" w:color="1B556B" w:themeColor="text2"/>
            </w:tcBorders>
            <w:shd w:val="clear" w:color="auto" w:fill="auto"/>
          </w:tcPr>
          <w:p w14:paraId="0BFFDC9F" w14:textId="77777777" w:rsidR="00ED2EBD" w:rsidRPr="00BD16B4" w:rsidRDefault="00ED2EBD" w:rsidP="004A205F">
            <w:pPr>
              <w:pStyle w:val="TableText"/>
              <w:spacing w:before="40" w:after="40"/>
              <w:jc w:val="right"/>
              <w:rPr>
                <w:szCs w:val="18"/>
              </w:rPr>
            </w:pPr>
            <w:r w:rsidRPr="00BD16B4">
              <w:rPr>
                <w:szCs w:val="18"/>
              </w:rPr>
              <w:t>34.49</w:t>
            </w:r>
          </w:p>
        </w:tc>
        <w:tc>
          <w:tcPr>
            <w:tcW w:w="964" w:type="dxa"/>
            <w:tcBorders>
              <w:bottom w:val="single" w:sz="4" w:space="0" w:color="1B556B" w:themeColor="text2"/>
            </w:tcBorders>
            <w:shd w:val="clear" w:color="auto" w:fill="auto"/>
          </w:tcPr>
          <w:p w14:paraId="71BF7688" w14:textId="77777777" w:rsidR="00ED2EBD" w:rsidRPr="00BD16B4" w:rsidRDefault="00ED2EBD" w:rsidP="004A205F">
            <w:pPr>
              <w:pStyle w:val="TableText"/>
              <w:spacing w:before="40" w:after="40"/>
              <w:jc w:val="right"/>
              <w:rPr>
                <w:szCs w:val="18"/>
              </w:rPr>
            </w:pPr>
            <w:r w:rsidRPr="00BD16B4">
              <w:rPr>
                <w:szCs w:val="18"/>
              </w:rPr>
              <w:t>32.47</w:t>
            </w:r>
          </w:p>
        </w:tc>
      </w:tr>
      <w:tr w:rsidR="00ED2EBD" w:rsidRPr="00BD16B4" w14:paraId="30B3660F" w14:textId="77777777" w:rsidTr="00F70C72">
        <w:tc>
          <w:tcPr>
            <w:tcW w:w="3964" w:type="dxa"/>
          </w:tcPr>
          <w:p w14:paraId="1CD7441C" w14:textId="77777777" w:rsidR="00ED2EBD" w:rsidRPr="00BD16B4" w:rsidRDefault="00ED2EBD" w:rsidP="004A205F">
            <w:pPr>
              <w:pStyle w:val="TableText"/>
              <w:spacing w:before="40" w:after="40"/>
              <w:rPr>
                <w:szCs w:val="18"/>
              </w:rPr>
            </w:pPr>
            <w:r w:rsidRPr="00BD16B4">
              <w:rPr>
                <w:szCs w:val="18"/>
              </w:rPr>
              <w:t>C. CO</w:t>
            </w:r>
            <w:r w:rsidRPr="00BD16B4">
              <w:rPr>
                <w:szCs w:val="18"/>
                <w:vertAlign w:val="subscript"/>
              </w:rPr>
              <w:t>2</w:t>
            </w:r>
            <w:r w:rsidRPr="00BD16B4">
              <w:rPr>
                <w:szCs w:val="18"/>
              </w:rPr>
              <w:t xml:space="preserve"> transport and storage</w:t>
            </w:r>
          </w:p>
        </w:tc>
        <w:tc>
          <w:tcPr>
            <w:tcW w:w="964" w:type="dxa"/>
            <w:tcBorders>
              <w:top w:val="single" w:sz="4" w:space="0" w:color="1B556B" w:themeColor="text2"/>
            </w:tcBorders>
            <w:shd w:val="clear" w:color="auto" w:fill="D2DDE1" w:themeFill="background2"/>
          </w:tcPr>
          <w:p w14:paraId="095CAC7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350C68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CDC90C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4AA8EB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E32B2D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A03B53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B4B503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3518DB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AB6C514" w14:textId="77777777" w:rsidR="00ED2EBD" w:rsidRPr="00BD16B4" w:rsidRDefault="00ED2EBD" w:rsidP="004A205F">
            <w:pPr>
              <w:pStyle w:val="TableText"/>
              <w:spacing w:before="40" w:after="40"/>
              <w:jc w:val="right"/>
              <w:rPr>
                <w:szCs w:val="18"/>
              </w:rPr>
            </w:pPr>
            <w:r w:rsidRPr="00BD16B4">
              <w:rPr>
                <w:color w:val="000000"/>
                <w:szCs w:val="18"/>
              </w:rPr>
              <w:t> </w:t>
            </w:r>
          </w:p>
        </w:tc>
      </w:tr>
      <w:tr w:rsidR="008E7C93" w:rsidRPr="00BD16B4" w14:paraId="743225FE" w14:textId="77777777" w:rsidTr="00F70C72">
        <w:tc>
          <w:tcPr>
            <w:tcW w:w="3964" w:type="dxa"/>
          </w:tcPr>
          <w:p w14:paraId="6D5F2676" w14:textId="67092E41" w:rsidR="00ED2EBD" w:rsidRPr="00BD16B4" w:rsidRDefault="00ED2EBD" w:rsidP="004A205F">
            <w:pPr>
              <w:pStyle w:val="TableText"/>
              <w:spacing w:before="40" w:after="40"/>
              <w:rPr>
                <w:szCs w:val="18"/>
              </w:rPr>
            </w:pPr>
            <w:r w:rsidRPr="00BD16B4">
              <w:rPr>
                <w:b/>
                <w:bCs/>
                <w:szCs w:val="18"/>
              </w:rPr>
              <w:t>2.</w:t>
            </w:r>
            <w:r w:rsidR="00280979" w:rsidRPr="00BD16B4">
              <w:rPr>
                <w:b/>
                <w:bCs/>
                <w:szCs w:val="18"/>
              </w:rPr>
              <w:t xml:space="preserve"> </w:t>
            </w:r>
            <w:r w:rsidRPr="00BD16B4">
              <w:rPr>
                <w:b/>
                <w:bCs/>
                <w:szCs w:val="18"/>
              </w:rPr>
              <w:t>Industrial processes</w:t>
            </w:r>
          </w:p>
        </w:tc>
        <w:tc>
          <w:tcPr>
            <w:tcW w:w="964" w:type="dxa"/>
            <w:tcBorders>
              <w:bottom w:val="single" w:sz="4" w:space="0" w:color="1B556B" w:themeColor="text2"/>
            </w:tcBorders>
            <w:shd w:val="clear" w:color="auto" w:fill="auto"/>
          </w:tcPr>
          <w:p w14:paraId="765374F9" w14:textId="77777777" w:rsidR="00ED2EBD" w:rsidRPr="00BD16B4" w:rsidRDefault="00ED2EBD" w:rsidP="004A205F">
            <w:pPr>
              <w:pStyle w:val="TableText"/>
              <w:spacing w:before="40" w:after="40"/>
              <w:jc w:val="right"/>
              <w:rPr>
                <w:szCs w:val="18"/>
              </w:rPr>
            </w:pPr>
            <w:r w:rsidRPr="00BD16B4">
              <w:rPr>
                <w:szCs w:val="18"/>
              </w:rPr>
              <w:t>1.10</w:t>
            </w:r>
          </w:p>
        </w:tc>
        <w:tc>
          <w:tcPr>
            <w:tcW w:w="964" w:type="dxa"/>
            <w:tcBorders>
              <w:bottom w:val="single" w:sz="4" w:space="0" w:color="1B556B" w:themeColor="text2"/>
            </w:tcBorders>
            <w:shd w:val="clear" w:color="auto" w:fill="auto"/>
          </w:tcPr>
          <w:p w14:paraId="7ABB7B40" w14:textId="77777777" w:rsidR="00ED2EBD" w:rsidRPr="00BD16B4" w:rsidRDefault="00ED2EBD" w:rsidP="004A205F">
            <w:pPr>
              <w:pStyle w:val="TableText"/>
              <w:spacing w:before="40" w:after="40"/>
              <w:jc w:val="right"/>
              <w:rPr>
                <w:szCs w:val="18"/>
              </w:rPr>
            </w:pPr>
            <w:r w:rsidRPr="00BD16B4">
              <w:rPr>
                <w:szCs w:val="18"/>
              </w:rPr>
              <w:t>1.89</w:t>
            </w:r>
          </w:p>
        </w:tc>
        <w:tc>
          <w:tcPr>
            <w:tcW w:w="964" w:type="dxa"/>
            <w:tcBorders>
              <w:bottom w:val="single" w:sz="4" w:space="0" w:color="1B556B" w:themeColor="text2"/>
            </w:tcBorders>
            <w:shd w:val="clear" w:color="auto" w:fill="auto"/>
          </w:tcPr>
          <w:p w14:paraId="05743DC4" w14:textId="77777777" w:rsidR="00ED2EBD" w:rsidRPr="00BD16B4" w:rsidRDefault="00ED2EBD" w:rsidP="004A205F">
            <w:pPr>
              <w:pStyle w:val="TableText"/>
              <w:spacing w:before="40" w:after="40"/>
              <w:jc w:val="right"/>
              <w:rPr>
                <w:szCs w:val="18"/>
              </w:rPr>
            </w:pPr>
            <w:r w:rsidRPr="00BD16B4">
              <w:rPr>
                <w:szCs w:val="18"/>
              </w:rPr>
              <w:t>1.60</w:t>
            </w:r>
          </w:p>
        </w:tc>
        <w:tc>
          <w:tcPr>
            <w:tcW w:w="964" w:type="dxa"/>
            <w:tcBorders>
              <w:bottom w:val="single" w:sz="4" w:space="0" w:color="1B556B" w:themeColor="text2"/>
            </w:tcBorders>
            <w:shd w:val="clear" w:color="auto" w:fill="auto"/>
          </w:tcPr>
          <w:p w14:paraId="577230E3" w14:textId="77777777" w:rsidR="00ED2EBD" w:rsidRPr="00BD16B4" w:rsidRDefault="00ED2EBD" w:rsidP="004A205F">
            <w:pPr>
              <w:pStyle w:val="TableText"/>
              <w:spacing w:before="40" w:after="40"/>
              <w:jc w:val="right"/>
              <w:rPr>
                <w:szCs w:val="18"/>
              </w:rPr>
            </w:pPr>
            <w:r w:rsidRPr="00BD16B4">
              <w:rPr>
                <w:szCs w:val="18"/>
              </w:rPr>
              <w:t>1.79</w:t>
            </w:r>
          </w:p>
        </w:tc>
        <w:tc>
          <w:tcPr>
            <w:tcW w:w="964" w:type="dxa"/>
            <w:tcBorders>
              <w:bottom w:val="single" w:sz="4" w:space="0" w:color="1B556B" w:themeColor="text2"/>
            </w:tcBorders>
            <w:shd w:val="clear" w:color="auto" w:fill="auto"/>
          </w:tcPr>
          <w:p w14:paraId="52CA6681" w14:textId="77777777" w:rsidR="00ED2EBD" w:rsidRPr="00BD16B4" w:rsidRDefault="00ED2EBD" w:rsidP="004A205F">
            <w:pPr>
              <w:pStyle w:val="TableText"/>
              <w:spacing w:before="40" w:after="40"/>
              <w:jc w:val="right"/>
              <w:rPr>
                <w:szCs w:val="18"/>
              </w:rPr>
            </w:pPr>
            <w:r w:rsidRPr="00BD16B4">
              <w:rPr>
                <w:szCs w:val="18"/>
              </w:rPr>
              <w:t>2.25</w:t>
            </w:r>
          </w:p>
        </w:tc>
        <w:tc>
          <w:tcPr>
            <w:tcW w:w="964" w:type="dxa"/>
            <w:tcBorders>
              <w:bottom w:val="single" w:sz="4" w:space="0" w:color="1B556B" w:themeColor="text2"/>
            </w:tcBorders>
            <w:shd w:val="clear" w:color="auto" w:fill="auto"/>
          </w:tcPr>
          <w:p w14:paraId="39CB4E3C" w14:textId="77777777" w:rsidR="00ED2EBD" w:rsidRPr="00BD16B4" w:rsidRDefault="00ED2EBD" w:rsidP="004A205F">
            <w:pPr>
              <w:pStyle w:val="TableText"/>
              <w:spacing w:before="40" w:after="40"/>
              <w:jc w:val="right"/>
              <w:rPr>
                <w:szCs w:val="18"/>
              </w:rPr>
            </w:pPr>
            <w:r w:rsidRPr="00BD16B4">
              <w:rPr>
                <w:szCs w:val="18"/>
              </w:rPr>
              <w:t>3.16</w:t>
            </w:r>
          </w:p>
        </w:tc>
        <w:tc>
          <w:tcPr>
            <w:tcW w:w="964" w:type="dxa"/>
            <w:tcBorders>
              <w:bottom w:val="single" w:sz="4" w:space="0" w:color="1B556B" w:themeColor="text2"/>
            </w:tcBorders>
            <w:shd w:val="clear" w:color="auto" w:fill="auto"/>
          </w:tcPr>
          <w:p w14:paraId="478538CD" w14:textId="77777777" w:rsidR="00ED2EBD" w:rsidRPr="00BD16B4" w:rsidRDefault="00ED2EBD" w:rsidP="004A205F">
            <w:pPr>
              <w:pStyle w:val="TableText"/>
              <w:spacing w:before="40" w:after="40"/>
              <w:jc w:val="right"/>
              <w:rPr>
                <w:szCs w:val="18"/>
              </w:rPr>
            </w:pPr>
            <w:r w:rsidRPr="00BD16B4">
              <w:rPr>
                <w:szCs w:val="18"/>
              </w:rPr>
              <w:t>4.25</w:t>
            </w:r>
          </w:p>
        </w:tc>
        <w:tc>
          <w:tcPr>
            <w:tcW w:w="964" w:type="dxa"/>
            <w:tcBorders>
              <w:bottom w:val="single" w:sz="4" w:space="0" w:color="1B556B" w:themeColor="text2"/>
            </w:tcBorders>
            <w:shd w:val="clear" w:color="auto" w:fill="auto"/>
          </w:tcPr>
          <w:p w14:paraId="5CE0E49E" w14:textId="77777777" w:rsidR="00ED2EBD" w:rsidRPr="00BD16B4" w:rsidRDefault="00ED2EBD" w:rsidP="004A205F">
            <w:pPr>
              <w:pStyle w:val="TableText"/>
              <w:spacing w:before="40" w:after="40"/>
              <w:jc w:val="right"/>
              <w:rPr>
                <w:szCs w:val="18"/>
              </w:rPr>
            </w:pPr>
            <w:r w:rsidRPr="00BD16B4">
              <w:rPr>
                <w:szCs w:val="18"/>
              </w:rPr>
              <w:t>4.38</w:t>
            </w:r>
          </w:p>
        </w:tc>
        <w:tc>
          <w:tcPr>
            <w:tcW w:w="964" w:type="dxa"/>
            <w:tcBorders>
              <w:bottom w:val="single" w:sz="4" w:space="0" w:color="1B556B" w:themeColor="text2"/>
            </w:tcBorders>
            <w:shd w:val="clear" w:color="auto" w:fill="auto"/>
          </w:tcPr>
          <w:p w14:paraId="3AAF5A90" w14:textId="77777777" w:rsidR="00ED2EBD" w:rsidRPr="00BD16B4" w:rsidRDefault="00ED2EBD" w:rsidP="004A205F">
            <w:pPr>
              <w:pStyle w:val="TableText"/>
              <w:spacing w:before="40" w:after="40"/>
              <w:jc w:val="right"/>
              <w:rPr>
                <w:szCs w:val="18"/>
              </w:rPr>
            </w:pPr>
            <w:r w:rsidRPr="00BD16B4">
              <w:rPr>
                <w:szCs w:val="18"/>
              </w:rPr>
              <w:t>4.12</w:t>
            </w:r>
          </w:p>
        </w:tc>
      </w:tr>
      <w:tr w:rsidR="00ED2EBD" w:rsidRPr="00BD16B4" w14:paraId="38A61465" w14:textId="77777777" w:rsidTr="00F70C72">
        <w:tc>
          <w:tcPr>
            <w:tcW w:w="3964" w:type="dxa"/>
          </w:tcPr>
          <w:p w14:paraId="42E87FC1" w14:textId="4CBCE33E"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Mineral industry</w:t>
            </w:r>
          </w:p>
        </w:tc>
        <w:tc>
          <w:tcPr>
            <w:tcW w:w="964" w:type="dxa"/>
            <w:tcBorders>
              <w:top w:val="single" w:sz="4" w:space="0" w:color="1B556B" w:themeColor="text2"/>
            </w:tcBorders>
            <w:shd w:val="clear" w:color="auto" w:fill="D2DDE1" w:themeFill="background2"/>
          </w:tcPr>
          <w:p w14:paraId="6C79D9F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9ABC42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D91DE7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0107F8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3FA3C0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1DDE9C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95D6BB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FF9A30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6EFCD5D" w14:textId="77777777" w:rsidR="00ED2EBD" w:rsidRPr="00BD16B4" w:rsidRDefault="00ED2EBD" w:rsidP="004A205F">
            <w:pPr>
              <w:pStyle w:val="TableText"/>
              <w:spacing w:before="40" w:after="40"/>
              <w:jc w:val="right"/>
              <w:rPr>
                <w:szCs w:val="18"/>
              </w:rPr>
            </w:pPr>
            <w:r w:rsidRPr="00BD16B4">
              <w:rPr>
                <w:color w:val="000000"/>
                <w:szCs w:val="18"/>
              </w:rPr>
              <w:t> </w:t>
            </w:r>
          </w:p>
        </w:tc>
      </w:tr>
      <w:tr w:rsidR="008E7C93" w:rsidRPr="00BD16B4" w14:paraId="2BED5AA1" w14:textId="77777777" w:rsidTr="00F70C72">
        <w:tc>
          <w:tcPr>
            <w:tcW w:w="3964" w:type="dxa"/>
          </w:tcPr>
          <w:p w14:paraId="56693597" w14:textId="4C9C8DDF"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Chemical industry</w:t>
            </w:r>
          </w:p>
        </w:tc>
        <w:tc>
          <w:tcPr>
            <w:tcW w:w="964" w:type="dxa"/>
            <w:shd w:val="clear" w:color="auto" w:fill="auto"/>
          </w:tcPr>
          <w:p w14:paraId="1D39C5F6" w14:textId="77777777" w:rsidR="00ED2EBD" w:rsidRPr="00BD16B4" w:rsidRDefault="00ED2EBD" w:rsidP="004A205F">
            <w:pPr>
              <w:pStyle w:val="TableText"/>
              <w:spacing w:before="40" w:after="40"/>
              <w:jc w:val="right"/>
              <w:rPr>
                <w:szCs w:val="18"/>
              </w:rPr>
            </w:pPr>
            <w:r w:rsidRPr="00BD16B4">
              <w:rPr>
                <w:szCs w:val="18"/>
              </w:rPr>
              <w:t>1.10</w:t>
            </w:r>
          </w:p>
        </w:tc>
        <w:tc>
          <w:tcPr>
            <w:tcW w:w="964" w:type="dxa"/>
            <w:shd w:val="clear" w:color="auto" w:fill="auto"/>
          </w:tcPr>
          <w:p w14:paraId="4C6C3B9E" w14:textId="77777777" w:rsidR="00ED2EBD" w:rsidRPr="00BD16B4" w:rsidRDefault="00ED2EBD" w:rsidP="004A205F">
            <w:pPr>
              <w:pStyle w:val="TableText"/>
              <w:spacing w:before="40" w:after="40"/>
              <w:jc w:val="right"/>
              <w:rPr>
                <w:szCs w:val="18"/>
              </w:rPr>
            </w:pPr>
            <w:r w:rsidRPr="00BD16B4">
              <w:rPr>
                <w:szCs w:val="18"/>
              </w:rPr>
              <w:t>1.89</w:t>
            </w:r>
          </w:p>
        </w:tc>
        <w:tc>
          <w:tcPr>
            <w:tcW w:w="964" w:type="dxa"/>
            <w:shd w:val="clear" w:color="auto" w:fill="auto"/>
          </w:tcPr>
          <w:p w14:paraId="6F3800A6" w14:textId="77777777" w:rsidR="00ED2EBD" w:rsidRPr="00BD16B4" w:rsidRDefault="00ED2EBD" w:rsidP="004A205F">
            <w:pPr>
              <w:pStyle w:val="TableText"/>
              <w:spacing w:before="40" w:after="40"/>
              <w:jc w:val="right"/>
              <w:rPr>
                <w:szCs w:val="18"/>
              </w:rPr>
            </w:pPr>
            <w:r w:rsidRPr="00BD16B4">
              <w:rPr>
                <w:szCs w:val="18"/>
              </w:rPr>
              <w:t>1.60</w:t>
            </w:r>
          </w:p>
        </w:tc>
        <w:tc>
          <w:tcPr>
            <w:tcW w:w="964" w:type="dxa"/>
            <w:shd w:val="clear" w:color="auto" w:fill="auto"/>
          </w:tcPr>
          <w:p w14:paraId="527DE1DB" w14:textId="77777777" w:rsidR="00ED2EBD" w:rsidRPr="00BD16B4" w:rsidRDefault="00ED2EBD" w:rsidP="004A205F">
            <w:pPr>
              <w:pStyle w:val="TableText"/>
              <w:spacing w:before="40" w:after="40"/>
              <w:jc w:val="right"/>
              <w:rPr>
                <w:szCs w:val="18"/>
              </w:rPr>
            </w:pPr>
            <w:r w:rsidRPr="00BD16B4">
              <w:rPr>
                <w:szCs w:val="18"/>
              </w:rPr>
              <w:t>1.79</w:t>
            </w:r>
          </w:p>
        </w:tc>
        <w:tc>
          <w:tcPr>
            <w:tcW w:w="964" w:type="dxa"/>
            <w:shd w:val="clear" w:color="auto" w:fill="auto"/>
          </w:tcPr>
          <w:p w14:paraId="424E6AA5" w14:textId="77777777" w:rsidR="00ED2EBD" w:rsidRPr="00BD16B4" w:rsidRDefault="00ED2EBD" w:rsidP="004A205F">
            <w:pPr>
              <w:pStyle w:val="TableText"/>
              <w:spacing w:before="40" w:after="40"/>
              <w:jc w:val="right"/>
              <w:rPr>
                <w:szCs w:val="18"/>
              </w:rPr>
            </w:pPr>
            <w:r w:rsidRPr="00BD16B4">
              <w:rPr>
                <w:szCs w:val="18"/>
              </w:rPr>
              <w:t>2.25</w:t>
            </w:r>
          </w:p>
        </w:tc>
        <w:tc>
          <w:tcPr>
            <w:tcW w:w="964" w:type="dxa"/>
            <w:shd w:val="clear" w:color="auto" w:fill="auto"/>
          </w:tcPr>
          <w:p w14:paraId="555E1ED9" w14:textId="77777777" w:rsidR="00ED2EBD" w:rsidRPr="00BD16B4" w:rsidRDefault="00ED2EBD" w:rsidP="004A205F">
            <w:pPr>
              <w:pStyle w:val="TableText"/>
              <w:spacing w:before="40" w:after="40"/>
              <w:jc w:val="right"/>
              <w:rPr>
                <w:szCs w:val="18"/>
              </w:rPr>
            </w:pPr>
            <w:r w:rsidRPr="00BD16B4">
              <w:rPr>
                <w:szCs w:val="18"/>
              </w:rPr>
              <w:t>3.16</w:t>
            </w:r>
          </w:p>
        </w:tc>
        <w:tc>
          <w:tcPr>
            <w:tcW w:w="964" w:type="dxa"/>
            <w:shd w:val="clear" w:color="auto" w:fill="auto"/>
          </w:tcPr>
          <w:p w14:paraId="16D23BAF" w14:textId="77777777" w:rsidR="00ED2EBD" w:rsidRPr="00BD16B4" w:rsidRDefault="00ED2EBD" w:rsidP="004A205F">
            <w:pPr>
              <w:pStyle w:val="TableText"/>
              <w:spacing w:before="40" w:after="40"/>
              <w:jc w:val="right"/>
              <w:rPr>
                <w:szCs w:val="18"/>
              </w:rPr>
            </w:pPr>
            <w:r w:rsidRPr="00BD16B4">
              <w:rPr>
                <w:szCs w:val="18"/>
              </w:rPr>
              <w:t>4.25</w:t>
            </w:r>
          </w:p>
        </w:tc>
        <w:tc>
          <w:tcPr>
            <w:tcW w:w="964" w:type="dxa"/>
            <w:shd w:val="clear" w:color="auto" w:fill="auto"/>
          </w:tcPr>
          <w:p w14:paraId="1A485BAE" w14:textId="77777777" w:rsidR="00ED2EBD" w:rsidRPr="00BD16B4" w:rsidRDefault="00ED2EBD" w:rsidP="004A205F">
            <w:pPr>
              <w:pStyle w:val="TableText"/>
              <w:spacing w:before="40" w:after="40"/>
              <w:jc w:val="right"/>
              <w:rPr>
                <w:szCs w:val="18"/>
              </w:rPr>
            </w:pPr>
            <w:r w:rsidRPr="00BD16B4">
              <w:rPr>
                <w:szCs w:val="18"/>
              </w:rPr>
              <w:t>4.38</w:t>
            </w:r>
          </w:p>
        </w:tc>
        <w:tc>
          <w:tcPr>
            <w:tcW w:w="964" w:type="dxa"/>
            <w:shd w:val="clear" w:color="auto" w:fill="auto"/>
          </w:tcPr>
          <w:p w14:paraId="64F1D10A" w14:textId="77777777" w:rsidR="00ED2EBD" w:rsidRPr="00BD16B4" w:rsidRDefault="00ED2EBD" w:rsidP="004A205F">
            <w:pPr>
              <w:pStyle w:val="TableText"/>
              <w:spacing w:before="40" w:after="40"/>
              <w:jc w:val="right"/>
              <w:rPr>
                <w:szCs w:val="18"/>
              </w:rPr>
            </w:pPr>
            <w:r w:rsidRPr="00BD16B4">
              <w:rPr>
                <w:szCs w:val="18"/>
              </w:rPr>
              <w:t>4.12</w:t>
            </w:r>
          </w:p>
        </w:tc>
      </w:tr>
      <w:tr w:rsidR="008E7C93" w:rsidRPr="00BD16B4" w14:paraId="78CEE5EC" w14:textId="77777777" w:rsidTr="00F70C72">
        <w:tc>
          <w:tcPr>
            <w:tcW w:w="3964" w:type="dxa"/>
          </w:tcPr>
          <w:p w14:paraId="4BBA9ED7" w14:textId="462C3079"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Metal industry</w:t>
            </w:r>
          </w:p>
        </w:tc>
        <w:tc>
          <w:tcPr>
            <w:tcW w:w="964" w:type="dxa"/>
            <w:shd w:val="clear" w:color="auto" w:fill="auto"/>
          </w:tcPr>
          <w:p w14:paraId="516C7B77" w14:textId="77777777" w:rsidR="00ED2EBD" w:rsidRPr="00BD16B4" w:rsidRDefault="00ED2EBD" w:rsidP="004A205F">
            <w:pPr>
              <w:pStyle w:val="TableText"/>
              <w:spacing w:before="40" w:after="40"/>
              <w:jc w:val="right"/>
              <w:rPr>
                <w:szCs w:val="18"/>
              </w:rPr>
            </w:pPr>
            <w:r w:rsidRPr="00BD16B4">
              <w:rPr>
                <w:szCs w:val="18"/>
              </w:rPr>
              <w:t>NO, NA</w:t>
            </w:r>
          </w:p>
        </w:tc>
        <w:tc>
          <w:tcPr>
            <w:tcW w:w="964" w:type="dxa"/>
            <w:shd w:val="clear" w:color="auto" w:fill="auto"/>
          </w:tcPr>
          <w:p w14:paraId="49C96A82" w14:textId="77777777" w:rsidR="00ED2EBD" w:rsidRPr="00BD16B4" w:rsidRDefault="00ED2EBD" w:rsidP="004A205F">
            <w:pPr>
              <w:pStyle w:val="TableText"/>
              <w:spacing w:before="40" w:after="40"/>
              <w:jc w:val="right"/>
              <w:rPr>
                <w:szCs w:val="18"/>
              </w:rPr>
            </w:pPr>
            <w:r w:rsidRPr="00BD16B4">
              <w:rPr>
                <w:szCs w:val="18"/>
              </w:rPr>
              <w:t>NO, NA</w:t>
            </w:r>
          </w:p>
        </w:tc>
        <w:tc>
          <w:tcPr>
            <w:tcW w:w="964" w:type="dxa"/>
            <w:shd w:val="clear" w:color="auto" w:fill="auto"/>
          </w:tcPr>
          <w:p w14:paraId="4F07D4BE" w14:textId="77777777" w:rsidR="00ED2EBD" w:rsidRPr="00BD16B4" w:rsidRDefault="00ED2EBD" w:rsidP="004A205F">
            <w:pPr>
              <w:pStyle w:val="TableText"/>
              <w:spacing w:before="40" w:after="40"/>
              <w:jc w:val="right"/>
              <w:rPr>
                <w:szCs w:val="18"/>
              </w:rPr>
            </w:pPr>
            <w:r w:rsidRPr="00BD16B4">
              <w:rPr>
                <w:szCs w:val="18"/>
              </w:rPr>
              <w:t>NO, NA</w:t>
            </w:r>
          </w:p>
        </w:tc>
        <w:tc>
          <w:tcPr>
            <w:tcW w:w="964" w:type="dxa"/>
            <w:shd w:val="clear" w:color="auto" w:fill="auto"/>
          </w:tcPr>
          <w:p w14:paraId="7A795CDA" w14:textId="77777777" w:rsidR="00ED2EBD" w:rsidRPr="00BD16B4" w:rsidRDefault="00ED2EBD" w:rsidP="004A205F">
            <w:pPr>
              <w:pStyle w:val="TableText"/>
              <w:spacing w:before="40" w:after="40"/>
              <w:jc w:val="right"/>
              <w:rPr>
                <w:szCs w:val="18"/>
              </w:rPr>
            </w:pPr>
            <w:r w:rsidRPr="00BD16B4">
              <w:rPr>
                <w:szCs w:val="18"/>
              </w:rPr>
              <w:t>NO, NA</w:t>
            </w:r>
          </w:p>
        </w:tc>
        <w:tc>
          <w:tcPr>
            <w:tcW w:w="964" w:type="dxa"/>
            <w:shd w:val="clear" w:color="auto" w:fill="auto"/>
          </w:tcPr>
          <w:p w14:paraId="1CEC239D" w14:textId="77777777" w:rsidR="00ED2EBD" w:rsidRPr="00BD16B4" w:rsidRDefault="00ED2EBD" w:rsidP="004A205F">
            <w:pPr>
              <w:pStyle w:val="TableText"/>
              <w:spacing w:before="40" w:after="40"/>
              <w:jc w:val="right"/>
              <w:rPr>
                <w:szCs w:val="18"/>
              </w:rPr>
            </w:pPr>
            <w:r w:rsidRPr="00BD16B4">
              <w:rPr>
                <w:szCs w:val="18"/>
              </w:rPr>
              <w:t>NO, NA</w:t>
            </w:r>
          </w:p>
        </w:tc>
        <w:tc>
          <w:tcPr>
            <w:tcW w:w="964" w:type="dxa"/>
            <w:shd w:val="clear" w:color="auto" w:fill="auto"/>
          </w:tcPr>
          <w:p w14:paraId="2A1F00CC" w14:textId="77777777" w:rsidR="00ED2EBD" w:rsidRPr="00BD16B4" w:rsidRDefault="00ED2EBD" w:rsidP="004A205F">
            <w:pPr>
              <w:pStyle w:val="TableText"/>
              <w:spacing w:before="40" w:after="40"/>
              <w:jc w:val="right"/>
              <w:rPr>
                <w:szCs w:val="18"/>
              </w:rPr>
            </w:pPr>
            <w:r w:rsidRPr="00BD16B4">
              <w:rPr>
                <w:szCs w:val="18"/>
              </w:rPr>
              <w:t>NO, NA</w:t>
            </w:r>
          </w:p>
        </w:tc>
        <w:tc>
          <w:tcPr>
            <w:tcW w:w="964" w:type="dxa"/>
            <w:shd w:val="clear" w:color="auto" w:fill="auto"/>
          </w:tcPr>
          <w:p w14:paraId="026E65E2" w14:textId="77777777" w:rsidR="00ED2EBD" w:rsidRPr="00BD16B4" w:rsidRDefault="00ED2EBD" w:rsidP="004A205F">
            <w:pPr>
              <w:pStyle w:val="TableText"/>
              <w:spacing w:before="40" w:after="40"/>
              <w:jc w:val="right"/>
              <w:rPr>
                <w:szCs w:val="18"/>
              </w:rPr>
            </w:pPr>
            <w:r w:rsidRPr="00BD16B4">
              <w:rPr>
                <w:szCs w:val="18"/>
              </w:rPr>
              <w:t>NO, NA</w:t>
            </w:r>
          </w:p>
        </w:tc>
        <w:tc>
          <w:tcPr>
            <w:tcW w:w="964" w:type="dxa"/>
            <w:shd w:val="clear" w:color="auto" w:fill="auto"/>
          </w:tcPr>
          <w:p w14:paraId="6047456C" w14:textId="77777777" w:rsidR="00ED2EBD" w:rsidRPr="00BD16B4" w:rsidRDefault="00ED2EBD" w:rsidP="004A205F">
            <w:pPr>
              <w:pStyle w:val="TableText"/>
              <w:spacing w:before="40" w:after="40"/>
              <w:jc w:val="right"/>
              <w:rPr>
                <w:szCs w:val="18"/>
              </w:rPr>
            </w:pPr>
            <w:r w:rsidRPr="00BD16B4">
              <w:rPr>
                <w:szCs w:val="18"/>
              </w:rPr>
              <w:t>NO, NA</w:t>
            </w:r>
          </w:p>
        </w:tc>
        <w:tc>
          <w:tcPr>
            <w:tcW w:w="964" w:type="dxa"/>
            <w:shd w:val="clear" w:color="auto" w:fill="auto"/>
          </w:tcPr>
          <w:p w14:paraId="293F3487" w14:textId="77777777" w:rsidR="00ED2EBD" w:rsidRPr="00BD16B4" w:rsidRDefault="00ED2EBD" w:rsidP="004A205F">
            <w:pPr>
              <w:pStyle w:val="TableText"/>
              <w:spacing w:before="40" w:after="40"/>
              <w:jc w:val="right"/>
              <w:rPr>
                <w:szCs w:val="18"/>
              </w:rPr>
            </w:pPr>
            <w:r w:rsidRPr="00BD16B4">
              <w:rPr>
                <w:szCs w:val="18"/>
              </w:rPr>
              <w:t>NO, NA</w:t>
            </w:r>
          </w:p>
        </w:tc>
      </w:tr>
      <w:tr w:rsidR="008E7C93" w:rsidRPr="00BD16B4" w14:paraId="5856A138" w14:textId="77777777" w:rsidTr="00F70C72">
        <w:tc>
          <w:tcPr>
            <w:tcW w:w="3964" w:type="dxa"/>
          </w:tcPr>
          <w:p w14:paraId="3457887E" w14:textId="15A5503C" w:rsidR="00ED2EBD" w:rsidRPr="00BD16B4" w:rsidRDefault="00ED2EBD" w:rsidP="004A205F">
            <w:pPr>
              <w:pStyle w:val="TableText"/>
              <w:spacing w:before="40" w:after="40"/>
              <w:rPr>
                <w:szCs w:val="18"/>
              </w:rPr>
            </w:pPr>
            <w:r w:rsidRPr="00BD16B4">
              <w:rPr>
                <w:szCs w:val="18"/>
              </w:rPr>
              <w:t>D.</w:t>
            </w:r>
            <w:r w:rsidR="00280979" w:rsidRPr="00BD16B4">
              <w:rPr>
                <w:szCs w:val="18"/>
              </w:rPr>
              <w:t xml:space="preserve"> </w:t>
            </w:r>
            <w:r w:rsidRPr="00BD16B4">
              <w:rPr>
                <w:szCs w:val="18"/>
              </w:rPr>
              <w:t>Non-energy products from fuels and solvent use</w:t>
            </w:r>
          </w:p>
        </w:tc>
        <w:tc>
          <w:tcPr>
            <w:tcW w:w="964" w:type="dxa"/>
            <w:tcBorders>
              <w:bottom w:val="single" w:sz="4" w:space="0" w:color="1B556B" w:themeColor="text2"/>
            </w:tcBorders>
            <w:shd w:val="clear" w:color="auto" w:fill="auto"/>
          </w:tcPr>
          <w:p w14:paraId="1D1C2A0F"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shd w:val="clear" w:color="auto" w:fill="auto"/>
          </w:tcPr>
          <w:p w14:paraId="5C864495"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shd w:val="clear" w:color="auto" w:fill="auto"/>
          </w:tcPr>
          <w:p w14:paraId="2601FEBE"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shd w:val="clear" w:color="auto" w:fill="auto"/>
          </w:tcPr>
          <w:p w14:paraId="3596871B"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shd w:val="clear" w:color="auto" w:fill="auto"/>
          </w:tcPr>
          <w:p w14:paraId="6AC9E69B"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shd w:val="clear" w:color="auto" w:fill="auto"/>
          </w:tcPr>
          <w:p w14:paraId="5EA0B34E"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shd w:val="clear" w:color="auto" w:fill="auto"/>
          </w:tcPr>
          <w:p w14:paraId="560B9FDC"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shd w:val="clear" w:color="auto" w:fill="auto"/>
          </w:tcPr>
          <w:p w14:paraId="1700A3AD"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shd w:val="clear" w:color="auto" w:fill="auto"/>
          </w:tcPr>
          <w:p w14:paraId="0E93D4C7"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1EECD474" w14:textId="77777777" w:rsidTr="00F70C72">
        <w:tc>
          <w:tcPr>
            <w:tcW w:w="3964" w:type="dxa"/>
          </w:tcPr>
          <w:p w14:paraId="0E73D3C3" w14:textId="6606217F"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Electronic industry</w:t>
            </w:r>
          </w:p>
        </w:tc>
        <w:tc>
          <w:tcPr>
            <w:tcW w:w="964" w:type="dxa"/>
            <w:tcBorders>
              <w:top w:val="single" w:sz="4" w:space="0" w:color="1B556B" w:themeColor="text2"/>
            </w:tcBorders>
            <w:shd w:val="clear" w:color="auto" w:fill="D2DDE1" w:themeFill="background2"/>
          </w:tcPr>
          <w:p w14:paraId="0C8FA15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D2CE3E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E305E0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093FA1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7EE7CD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337B28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AC7980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62092A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AA7B58E"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60B508BC" w14:textId="77777777" w:rsidTr="00F70C72">
        <w:tc>
          <w:tcPr>
            <w:tcW w:w="3964" w:type="dxa"/>
          </w:tcPr>
          <w:p w14:paraId="7E9F296C" w14:textId="72627998" w:rsidR="00ED2EBD" w:rsidRPr="00BD16B4" w:rsidRDefault="00ED2EBD" w:rsidP="004A205F">
            <w:pPr>
              <w:pStyle w:val="TableText"/>
              <w:spacing w:before="40" w:after="40"/>
              <w:rPr>
                <w:szCs w:val="18"/>
              </w:rPr>
            </w:pPr>
            <w:r w:rsidRPr="00BD16B4">
              <w:rPr>
                <w:szCs w:val="18"/>
              </w:rPr>
              <w:t>F.</w:t>
            </w:r>
            <w:r w:rsidR="00280979" w:rsidRPr="00BD16B4">
              <w:rPr>
                <w:szCs w:val="18"/>
              </w:rPr>
              <w:t xml:space="preserve"> </w:t>
            </w:r>
            <w:r w:rsidRPr="00BD16B4">
              <w:rPr>
                <w:szCs w:val="18"/>
              </w:rPr>
              <w:t>Product uses as ODS substitutes</w:t>
            </w:r>
          </w:p>
        </w:tc>
        <w:tc>
          <w:tcPr>
            <w:tcW w:w="964" w:type="dxa"/>
            <w:tcBorders>
              <w:top w:val="single" w:sz="4" w:space="0" w:color="1B556B" w:themeColor="text2"/>
            </w:tcBorders>
            <w:shd w:val="clear" w:color="auto" w:fill="D2DDE1" w:themeFill="background2"/>
          </w:tcPr>
          <w:p w14:paraId="3B0518C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D9496E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86F265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B1EB77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47029B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DFE20A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936D30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74B584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086DC0F" w14:textId="77777777" w:rsidR="00ED2EBD" w:rsidRPr="00BD16B4" w:rsidRDefault="00ED2EBD" w:rsidP="004A205F">
            <w:pPr>
              <w:pStyle w:val="TableText"/>
              <w:spacing w:before="40" w:after="40"/>
              <w:jc w:val="right"/>
              <w:rPr>
                <w:szCs w:val="18"/>
              </w:rPr>
            </w:pPr>
            <w:r w:rsidRPr="00BD16B4">
              <w:rPr>
                <w:color w:val="000000"/>
                <w:szCs w:val="18"/>
              </w:rPr>
              <w:t> </w:t>
            </w:r>
          </w:p>
        </w:tc>
      </w:tr>
      <w:tr w:rsidR="008E7C93" w:rsidRPr="00BD16B4" w14:paraId="71F891B6" w14:textId="77777777" w:rsidTr="00F70C72">
        <w:tc>
          <w:tcPr>
            <w:tcW w:w="3964" w:type="dxa"/>
          </w:tcPr>
          <w:p w14:paraId="1C1CF39C" w14:textId="0F8BB593" w:rsidR="00ED2EBD" w:rsidRPr="00BD16B4" w:rsidRDefault="00ED2EBD" w:rsidP="004A205F">
            <w:pPr>
              <w:pStyle w:val="TableText"/>
              <w:spacing w:before="40" w:after="40"/>
              <w:rPr>
                <w:szCs w:val="18"/>
              </w:rPr>
            </w:pPr>
            <w:r w:rsidRPr="00BD16B4">
              <w:rPr>
                <w:szCs w:val="18"/>
              </w:rPr>
              <w:t>G.</w:t>
            </w:r>
            <w:r w:rsidR="00280979" w:rsidRPr="00BD16B4">
              <w:rPr>
                <w:szCs w:val="18"/>
              </w:rPr>
              <w:t xml:space="preserve"> </w:t>
            </w:r>
            <w:r w:rsidRPr="00BD16B4">
              <w:rPr>
                <w:szCs w:val="18"/>
              </w:rPr>
              <w:t xml:space="preserve">Other product manufacture and use </w:t>
            </w:r>
          </w:p>
        </w:tc>
        <w:tc>
          <w:tcPr>
            <w:tcW w:w="964" w:type="dxa"/>
            <w:tcBorders>
              <w:bottom w:val="single" w:sz="4" w:space="0" w:color="1B556B" w:themeColor="text2"/>
            </w:tcBorders>
            <w:shd w:val="clear" w:color="auto" w:fill="auto"/>
          </w:tcPr>
          <w:p w14:paraId="1DBA5CF3"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shd w:val="clear" w:color="auto" w:fill="auto"/>
          </w:tcPr>
          <w:p w14:paraId="118C8F60"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shd w:val="clear" w:color="auto" w:fill="auto"/>
          </w:tcPr>
          <w:p w14:paraId="58651916"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shd w:val="clear" w:color="auto" w:fill="auto"/>
          </w:tcPr>
          <w:p w14:paraId="39803836"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shd w:val="clear" w:color="auto" w:fill="auto"/>
          </w:tcPr>
          <w:p w14:paraId="06F93395"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shd w:val="clear" w:color="auto" w:fill="auto"/>
          </w:tcPr>
          <w:p w14:paraId="213C84F1"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shd w:val="clear" w:color="auto" w:fill="auto"/>
          </w:tcPr>
          <w:p w14:paraId="29C4D2AA"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shd w:val="clear" w:color="auto" w:fill="auto"/>
          </w:tcPr>
          <w:p w14:paraId="7ED297AD" w14:textId="77777777" w:rsidR="00ED2EBD" w:rsidRPr="00BD16B4" w:rsidRDefault="00ED2EBD" w:rsidP="004A205F">
            <w:pPr>
              <w:pStyle w:val="TableText"/>
              <w:spacing w:before="40" w:after="40"/>
              <w:jc w:val="right"/>
              <w:rPr>
                <w:szCs w:val="18"/>
              </w:rPr>
            </w:pPr>
            <w:r w:rsidRPr="00BD16B4">
              <w:rPr>
                <w:szCs w:val="18"/>
              </w:rPr>
              <w:t>NA</w:t>
            </w:r>
          </w:p>
        </w:tc>
        <w:tc>
          <w:tcPr>
            <w:tcW w:w="964" w:type="dxa"/>
            <w:tcBorders>
              <w:bottom w:val="single" w:sz="4" w:space="0" w:color="1B556B" w:themeColor="text2"/>
            </w:tcBorders>
            <w:shd w:val="clear" w:color="auto" w:fill="auto"/>
          </w:tcPr>
          <w:p w14:paraId="7011B278"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26F051E1" w14:textId="77777777" w:rsidTr="00F70C72">
        <w:tc>
          <w:tcPr>
            <w:tcW w:w="3964" w:type="dxa"/>
          </w:tcPr>
          <w:p w14:paraId="67FAF783" w14:textId="03CB4C21" w:rsidR="00ED2EBD" w:rsidRPr="00BD16B4" w:rsidRDefault="00ED2EBD" w:rsidP="004A205F">
            <w:pPr>
              <w:pStyle w:val="TableText"/>
              <w:spacing w:before="40" w:after="40"/>
              <w:rPr>
                <w:szCs w:val="18"/>
              </w:rPr>
            </w:pPr>
            <w:r w:rsidRPr="00BD16B4">
              <w:rPr>
                <w:szCs w:val="18"/>
              </w:rPr>
              <w:t>H.</w:t>
            </w:r>
            <w:r w:rsidR="00280979" w:rsidRPr="00BD16B4">
              <w:rPr>
                <w:szCs w:val="18"/>
              </w:rPr>
              <w:t xml:space="preserve"> </w:t>
            </w:r>
            <w:r w:rsidRPr="00BD16B4">
              <w:rPr>
                <w:szCs w:val="18"/>
              </w:rPr>
              <w:t xml:space="preserve">Other </w:t>
            </w:r>
          </w:p>
        </w:tc>
        <w:tc>
          <w:tcPr>
            <w:tcW w:w="964" w:type="dxa"/>
            <w:tcBorders>
              <w:top w:val="single" w:sz="4" w:space="0" w:color="1B556B" w:themeColor="text2"/>
            </w:tcBorders>
            <w:shd w:val="clear" w:color="auto" w:fill="D2DDE1" w:themeFill="background2"/>
          </w:tcPr>
          <w:p w14:paraId="21F65B4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3192C0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7BA017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5D65F8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C1B011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3070EF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0D66B7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CE52AC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EA76591" w14:textId="77777777" w:rsidR="00ED2EBD" w:rsidRPr="00BD16B4" w:rsidRDefault="00ED2EBD" w:rsidP="004A205F">
            <w:pPr>
              <w:pStyle w:val="TableText"/>
              <w:spacing w:before="40" w:after="40"/>
              <w:jc w:val="right"/>
              <w:rPr>
                <w:szCs w:val="18"/>
              </w:rPr>
            </w:pPr>
            <w:r w:rsidRPr="00BD16B4">
              <w:rPr>
                <w:color w:val="000000"/>
                <w:szCs w:val="18"/>
              </w:rPr>
              <w:t> </w:t>
            </w:r>
          </w:p>
        </w:tc>
      </w:tr>
      <w:tr w:rsidR="008E7C93" w:rsidRPr="00BD16B4" w14:paraId="607F60D5" w14:textId="77777777" w:rsidTr="00F70C72">
        <w:tc>
          <w:tcPr>
            <w:tcW w:w="3964" w:type="dxa"/>
          </w:tcPr>
          <w:p w14:paraId="6C81F549" w14:textId="53841221" w:rsidR="00ED2EBD" w:rsidRPr="00BD16B4" w:rsidRDefault="00ED2EBD" w:rsidP="004A205F">
            <w:pPr>
              <w:pStyle w:val="TableText"/>
              <w:spacing w:before="40" w:after="40"/>
              <w:rPr>
                <w:szCs w:val="18"/>
              </w:rPr>
            </w:pPr>
            <w:r w:rsidRPr="00BD16B4">
              <w:rPr>
                <w:b/>
                <w:bCs/>
                <w:szCs w:val="18"/>
              </w:rPr>
              <w:lastRenderedPageBreak/>
              <w:t>3.</w:t>
            </w:r>
            <w:r w:rsidR="00280979" w:rsidRPr="00BD16B4">
              <w:rPr>
                <w:b/>
                <w:bCs/>
                <w:szCs w:val="18"/>
              </w:rPr>
              <w:t xml:space="preserve"> </w:t>
            </w:r>
            <w:r w:rsidRPr="00BD16B4">
              <w:rPr>
                <w:b/>
                <w:bCs/>
                <w:szCs w:val="18"/>
              </w:rPr>
              <w:t>Agriculture</w:t>
            </w:r>
          </w:p>
        </w:tc>
        <w:tc>
          <w:tcPr>
            <w:tcW w:w="964" w:type="dxa"/>
            <w:shd w:val="clear" w:color="auto" w:fill="auto"/>
          </w:tcPr>
          <w:p w14:paraId="50ABD579" w14:textId="77777777" w:rsidR="00ED2EBD" w:rsidRPr="00BD16B4" w:rsidRDefault="00ED2EBD" w:rsidP="004A205F">
            <w:pPr>
              <w:pStyle w:val="TableText"/>
              <w:spacing w:before="40" w:after="40"/>
              <w:jc w:val="right"/>
              <w:rPr>
                <w:szCs w:val="18"/>
              </w:rPr>
            </w:pPr>
            <w:r w:rsidRPr="00BD16B4">
              <w:rPr>
                <w:szCs w:val="18"/>
              </w:rPr>
              <w:t>1,124.03</w:t>
            </w:r>
          </w:p>
        </w:tc>
        <w:tc>
          <w:tcPr>
            <w:tcW w:w="964" w:type="dxa"/>
            <w:shd w:val="clear" w:color="auto" w:fill="auto"/>
          </w:tcPr>
          <w:p w14:paraId="6B2968C8" w14:textId="77777777" w:rsidR="00ED2EBD" w:rsidRPr="00BD16B4" w:rsidRDefault="00ED2EBD" w:rsidP="004A205F">
            <w:pPr>
              <w:pStyle w:val="TableText"/>
              <w:spacing w:before="40" w:after="40"/>
              <w:jc w:val="right"/>
              <w:rPr>
                <w:szCs w:val="18"/>
              </w:rPr>
            </w:pPr>
            <w:r w:rsidRPr="00BD16B4">
              <w:rPr>
                <w:szCs w:val="18"/>
              </w:rPr>
              <w:t>1,128.97</w:t>
            </w:r>
          </w:p>
        </w:tc>
        <w:tc>
          <w:tcPr>
            <w:tcW w:w="964" w:type="dxa"/>
            <w:shd w:val="clear" w:color="auto" w:fill="auto"/>
          </w:tcPr>
          <w:p w14:paraId="2EA5BB17" w14:textId="77777777" w:rsidR="00ED2EBD" w:rsidRPr="00BD16B4" w:rsidRDefault="00ED2EBD" w:rsidP="004A205F">
            <w:pPr>
              <w:pStyle w:val="TableText"/>
              <w:spacing w:before="40" w:after="40"/>
              <w:jc w:val="right"/>
              <w:rPr>
                <w:szCs w:val="18"/>
              </w:rPr>
            </w:pPr>
            <w:r w:rsidRPr="00BD16B4">
              <w:rPr>
                <w:szCs w:val="18"/>
              </w:rPr>
              <w:t>1,109.41</w:t>
            </w:r>
          </w:p>
        </w:tc>
        <w:tc>
          <w:tcPr>
            <w:tcW w:w="964" w:type="dxa"/>
            <w:shd w:val="clear" w:color="auto" w:fill="auto"/>
          </w:tcPr>
          <w:p w14:paraId="270733B4" w14:textId="77777777" w:rsidR="00ED2EBD" w:rsidRPr="00BD16B4" w:rsidRDefault="00ED2EBD" w:rsidP="004A205F">
            <w:pPr>
              <w:pStyle w:val="TableText"/>
              <w:spacing w:before="40" w:after="40"/>
              <w:jc w:val="right"/>
              <w:rPr>
                <w:szCs w:val="18"/>
              </w:rPr>
            </w:pPr>
            <w:r w:rsidRPr="00BD16B4">
              <w:rPr>
                <w:szCs w:val="18"/>
              </w:rPr>
              <w:t>1,114.15</w:t>
            </w:r>
          </w:p>
        </w:tc>
        <w:tc>
          <w:tcPr>
            <w:tcW w:w="964" w:type="dxa"/>
            <w:shd w:val="clear" w:color="auto" w:fill="auto"/>
          </w:tcPr>
          <w:p w14:paraId="5A574BC4" w14:textId="77777777" w:rsidR="00ED2EBD" w:rsidRPr="00BD16B4" w:rsidRDefault="00ED2EBD" w:rsidP="004A205F">
            <w:pPr>
              <w:pStyle w:val="TableText"/>
              <w:spacing w:before="40" w:after="40"/>
              <w:jc w:val="right"/>
              <w:rPr>
                <w:szCs w:val="18"/>
              </w:rPr>
            </w:pPr>
            <w:r w:rsidRPr="00BD16B4">
              <w:rPr>
                <w:szCs w:val="18"/>
              </w:rPr>
              <w:t>1,150.26</w:t>
            </w:r>
          </w:p>
        </w:tc>
        <w:tc>
          <w:tcPr>
            <w:tcW w:w="964" w:type="dxa"/>
            <w:shd w:val="clear" w:color="auto" w:fill="auto"/>
          </w:tcPr>
          <w:p w14:paraId="62029410" w14:textId="77777777" w:rsidR="00ED2EBD" w:rsidRPr="00BD16B4" w:rsidRDefault="00ED2EBD" w:rsidP="004A205F">
            <w:pPr>
              <w:pStyle w:val="TableText"/>
              <w:spacing w:before="40" w:after="40"/>
              <w:jc w:val="right"/>
              <w:rPr>
                <w:szCs w:val="18"/>
              </w:rPr>
            </w:pPr>
            <w:r w:rsidRPr="00BD16B4">
              <w:rPr>
                <w:szCs w:val="18"/>
              </w:rPr>
              <w:t>1,161.79</w:t>
            </w:r>
          </w:p>
        </w:tc>
        <w:tc>
          <w:tcPr>
            <w:tcW w:w="964" w:type="dxa"/>
            <w:shd w:val="clear" w:color="auto" w:fill="auto"/>
          </w:tcPr>
          <w:p w14:paraId="17F71F4E" w14:textId="77777777" w:rsidR="00ED2EBD" w:rsidRPr="00BD16B4" w:rsidRDefault="00ED2EBD" w:rsidP="004A205F">
            <w:pPr>
              <w:pStyle w:val="TableText"/>
              <w:spacing w:before="40" w:after="40"/>
              <w:jc w:val="right"/>
              <w:rPr>
                <w:szCs w:val="18"/>
              </w:rPr>
            </w:pPr>
            <w:r w:rsidRPr="00BD16B4">
              <w:rPr>
                <w:szCs w:val="18"/>
              </w:rPr>
              <w:t>1,172.31</w:t>
            </w:r>
          </w:p>
        </w:tc>
        <w:tc>
          <w:tcPr>
            <w:tcW w:w="964" w:type="dxa"/>
            <w:shd w:val="clear" w:color="auto" w:fill="auto"/>
          </w:tcPr>
          <w:p w14:paraId="7E789F9D" w14:textId="77777777" w:rsidR="00ED2EBD" w:rsidRPr="00BD16B4" w:rsidRDefault="00ED2EBD" w:rsidP="004A205F">
            <w:pPr>
              <w:pStyle w:val="TableText"/>
              <w:spacing w:before="40" w:after="40"/>
              <w:jc w:val="right"/>
              <w:rPr>
                <w:szCs w:val="18"/>
              </w:rPr>
            </w:pPr>
            <w:r w:rsidRPr="00BD16B4">
              <w:rPr>
                <w:szCs w:val="18"/>
              </w:rPr>
              <w:t>1,202.30</w:t>
            </w:r>
          </w:p>
        </w:tc>
        <w:tc>
          <w:tcPr>
            <w:tcW w:w="964" w:type="dxa"/>
            <w:shd w:val="clear" w:color="auto" w:fill="auto"/>
          </w:tcPr>
          <w:p w14:paraId="749057A6" w14:textId="77777777" w:rsidR="00ED2EBD" w:rsidRPr="00BD16B4" w:rsidRDefault="00ED2EBD" w:rsidP="004A205F">
            <w:pPr>
              <w:pStyle w:val="TableText"/>
              <w:spacing w:before="40" w:after="40"/>
              <w:jc w:val="right"/>
              <w:rPr>
                <w:szCs w:val="18"/>
              </w:rPr>
            </w:pPr>
            <w:r w:rsidRPr="00BD16B4">
              <w:rPr>
                <w:szCs w:val="18"/>
              </w:rPr>
              <w:t>1,177.65</w:t>
            </w:r>
          </w:p>
        </w:tc>
      </w:tr>
      <w:tr w:rsidR="008E7C93" w:rsidRPr="00BD16B4" w14:paraId="1FD37733" w14:textId="77777777" w:rsidTr="00F70C72">
        <w:tc>
          <w:tcPr>
            <w:tcW w:w="3964" w:type="dxa"/>
          </w:tcPr>
          <w:p w14:paraId="11B2AA04" w14:textId="15A2049F"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Enteric fermentation</w:t>
            </w:r>
          </w:p>
        </w:tc>
        <w:tc>
          <w:tcPr>
            <w:tcW w:w="964" w:type="dxa"/>
            <w:shd w:val="clear" w:color="auto" w:fill="auto"/>
          </w:tcPr>
          <w:p w14:paraId="0E311EBE" w14:textId="77777777" w:rsidR="00ED2EBD" w:rsidRPr="00BD16B4" w:rsidRDefault="00ED2EBD" w:rsidP="004A205F">
            <w:pPr>
              <w:pStyle w:val="TableText"/>
              <w:spacing w:before="40" w:after="40"/>
              <w:jc w:val="right"/>
              <w:rPr>
                <w:szCs w:val="18"/>
              </w:rPr>
            </w:pPr>
            <w:r w:rsidRPr="00BD16B4">
              <w:rPr>
                <w:szCs w:val="18"/>
              </w:rPr>
              <w:t>1,094.01</w:t>
            </w:r>
          </w:p>
        </w:tc>
        <w:tc>
          <w:tcPr>
            <w:tcW w:w="964" w:type="dxa"/>
            <w:shd w:val="clear" w:color="auto" w:fill="auto"/>
          </w:tcPr>
          <w:p w14:paraId="0D7516D9" w14:textId="77777777" w:rsidR="00ED2EBD" w:rsidRPr="00BD16B4" w:rsidRDefault="00ED2EBD" w:rsidP="004A205F">
            <w:pPr>
              <w:pStyle w:val="TableText"/>
              <w:spacing w:before="40" w:after="40"/>
              <w:jc w:val="right"/>
              <w:rPr>
                <w:szCs w:val="18"/>
              </w:rPr>
            </w:pPr>
            <w:r w:rsidRPr="00BD16B4">
              <w:rPr>
                <w:szCs w:val="18"/>
              </w:rPr>
              <w:t>1,098.49</w:t>
            </w:r>
          </w:p>
        </w:tc>
        <w:tc>
          <w:tcPr>
            <w:tcW w:w="964" w:type="dxa"/>
            <w:shd w:val="clear" w:color="auto" w:fill="auto"/>
          </w:tcPr>
          <w:p w14:paraId="5FFA42AB" w14:textId="77777777" w:rsidR="00ED2EBD" w:rsidRPr="00BD16B4" w:rsidRDefault="00ED2EBD" w:rsidP="004A205F">
            <w:pPr>
              <w:pStyle w:val="TableText"/>
              <w:spacing w:before="40" w:after="40"/>
              <w:jc w:val="right"/>
              <w:rPr>
                <w:szCs w:val="18"/>
              </w:rPr>
            </w:pPr>
            <w:r w:rsidRPr="00BD16B4">
              <w:rPr>
                <w:szCs w:val="18"/>
              </w:rPr>
              <w:t>1,078.75</w:t>
            </w:r>
          </w:p>
        </w:tc>
        <w:tc>
          <w:tcPr>
            <w:tcW w:w="964" w:type="dxa"/>
            <w:shd w:val="clear" w:color="auto" w:fill="auto"/>
          </w:tcPr>
          <w:p w14:paraId="1EDC9109" w14:textId="77777777" w:rsidR="00ED2EBD" w:rsidRPr="00BD16B4" w:rsidRDefault="00ED2EBD" w:rsidP="004A205F">
            <w:pPr>
              <w:pStyle w:val="TableText"/>
              <w:spacing w:before="40" w:after="40"/>
              <w:jc w:val="right"/>
              <w:rPr>
                <w:szCs w:val="18"/>
              </w:rPr>
            </w:pPr>
            <w:r w:rsidRPr="00BD16B4">
              <w:rPr>
                <w:szCs w:val="18"/>
              </w:rPr>
              <w:t>1,082.83</w:t>
            </w:r>
          </w:p>
        </w:tc>
        <w:tc>
          <w:tcPr>
            <w:tcW w:w="964" w:type="dxa"/>
            <w:shd w:val="clear" w:color="auto" w:fill="auto"/>
          </w:tcPr>
          <w:p w14:paraId="0EB4C3DD" w14:textId="77777777" w:rsidR="00ED2EBD" w:rsidRPr="00BD16B4" w:rsidRDefault="00ED2EBD" w:rsidP="004A205F">
            <w:pPr>
              <w:pStyle w:val="TableText"/>
              <w:spacing w:before="40" w:after="40"/>
              <w:jc w:val="right"/>
              <w:rPr>
                <w:szCs w:val="18"/>
              </w:rPr>
            </w:pPr>
            <w:r w:rsidRPr="00BD16B4">
              <w:rPr>
                <w:szCs w:val="18"/>
              </w:rPr>
              <w:t>1,117.34</w:t>
            </w:r>
          </w:p>
        </w:tc>
        <w:tc>
          <w:tcPr>
            <w:tcW w:w="964" w:type="dxa"/>
            <w:shd w:val="clear" w:color="auto" w:fill="auto"/>
          </w:tcPr>
          <w:p w14:paraId="47CAB499" w14:textId="77777777" w:rsidR="00ED2EBD" w:rsidRPr="00BD16B4" w:rsidRDefault="00ED2EBD" w:rsidP="004A205F">
            <w:pPr>
              <w:pStyle w:val="TableText"/>
              <w:spacing w:before="40" w:after="40"/>
              <w:jc w:val="right"/>
              <w:rPr>
                <w:szCs w:val="18"/>
              </w:rPr>
            </w:pPr>
            <w:r w:rsidRPr="00BD16B4">
              <w:rPr>
                <w:szCs w:val="18"/>
              </w:rPr>
              <w:t>1,127.96</w:t>
            </w:r>
          </w:p>
        </w:tc>
        <w:tc>
          <w:tcPr>
            <w:tcW w:w="964" w:type="dxa"/>
            <w:shd w:val="clear" w:color="auto" w:fill="auto"/>
          </w:tcPr>
          <w:p w14:paraId="467F3E14" w14:textId="77777777" w:rsidR="00ED2EBD" w:rsidRPr="00BD16B4" w:rsidRDefault="00ED2EBD" w:rsidP="004A205F">
            <w:pPr>
              <w:pStyle w:val="TableText"/>
              <w:spacing w:before="40" w:after="40"/>
              <w:jc w:val="right"/>
              <w:rPr>
                <w:szCs w:val="18"/>
              </w:rPr>
            </w:pPr>
            <w:r w:rsidRPr="00BD16B4">
              <w:rPr>
                <w:szCs w:val="18"/>
              </w:rPr>
              <w:t>1,137.25</w:t>
            </w:r>
          </w:p>
        </w:tc>
        <w:tc>
          <w:tcPr>
            <w:tcW w:w="964" w:type="dxa"/>
            <w:shd w:val="clear" w:color="auto" w:fill="auto"/>
          </w:tcPr>
          <w:p w14:paraId="1A7D5FB5" w14:textId="77777777" w:rsidR="00ED2EBD" w:rsidRPr="00BD16B4" w:rsidRDefault="00ED2EBD" w:rsidP="004A205F">
            <w:pPr>
              <w:pStyle w:val="TableText"/>
              <w:spacing w:before="40" w:after="40"/>
              <w:jc w:val="right"/>
              <w:rPr>
                <w:szCs w:val="18"/>
              </w:rPr>
            </w:pPr>
            <w:r w:rsidRPr="00BD16B4">
              <w:rPr>
                <w:szCs w:val="18"/>
              </w:rPr>
              <w:t>1,165.94</w:t>
            </w:r>
          </w:p>
        </w:tc>
        <w:tc>
          <w:tcPr>
            <w:tcW w:w="964" w:type="dxa"/>
            <w:shd w:val="clear" w:color="auto" w:fill="auto"/>
          </w:tcPr>
          <w:p w14:paraId="56CD5F72" w14:textId="77777777" w:rsidR="00ED2EBD" w:rsidRPr="00BD16B4" w:rsidRDefault="00ED2EBD" w:rsidP="004A205F">
            <w:pPr>
              <w:pStyle w:val="TableText"/>
              <w:spacing w:before="40" w:after="40"/>
              <w:jc w:val="right"/>
              <w:rPr>
                <w:szCs w:val="18"/>
              </w:rPr>
            </w:pPr>
            <w:r w:rsidRPr="00BD16B4">
              <w:rPr>
                <w:szCs w:val="18"/>
              </w:rPr>
              <w:t>1,141.74</w:t>
            </w:r>
          </w:p>
        </w:tc>
      </w:tr>
      <w:tr w:rsidR="008E7C93" w:rsidRPr="00BD16B4" w14:paraId="659FB841" w14:textId="77777777" w:rsidTr="00F70C72">
        <w:tc>
          <w:tcPr>
            <w:tcW w:w="3964" w:type="dxa"/>
          </w:tcPr>
          <w:p w14:paraId="0E90B0C1" w14:textId="7CC13476"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Manure management</w:t>
            </w:r>
          </w:p>
        </w:tc>
        <w:tc>
          <w:tcPr>
            <w:tcW w:w="964" w:type="dxa"/>
            <w:shd w:val="clear" w:color="auto" w:fill="auto"/>
          </w:tcPr>
          <w:p w14:paraId="5FD98BB1" w14:textId="77777777" w:rsidR="00ED2EBD" w:rsidRPr="00BD16B4" w:rsidRDefault="00ED2EBD" w:rsidP="004A205F">
            <w:pPr>
              <w:pStyle w:val="TableText"/>
              <w:spacing w:before="40" w:after="40"/>
              <w:jc w:val="right"/>
              <w:rPr>
                <w:szCs w:val="18"/>
              </w:rPr>
            </w:pPr>
            <w:r w:rsidRPr="00BD16B4">
              <w:rPr>
                <w:szCs w:val="18"/>
              </w:rPr>
              <w:t>29.11</w:t>
            </w:r>
          </w:p>
        </w:tc>
        <w:tc>
          <w:tcPr>
            <w:tcW w:w="964" w:type="dxa"/>
            <w:shd w:val="clear" w:color="auto" w:fill="auto"/>
          </w:tcPr>
          <w:p w14:paraId="37D0EC41" w14:textId="77777777" w:rsidR="00ED2EBD" w:rsidRPr="00BD16B4" w:rsidRDefault="00ED2EBD" w:rsidP="004A205F">
            <w:pPr>
              <w:pStyle w:val="TableText"/>
              <w:spacing w:before="40" w:after="40"/>
              <w:jc w:val="right"/>
              <w:rPr>
                <w:szCs w:val="18"/>
              </w:rPr>
            </w:pPr>
            <w:r w:rsidRPr="00BD16B4">
              <w:rPr>
                <w:szCs w:val="18"/>
              </w:rPr>
              <w:t>29.68</w:t>
            </w:r>
          </w:p>
        </w:tc>
        <w:tc>
          <w:tcPr>
            <w:tcW w:w="964" w:type="dxa"/>
            <w:shd w:val="clear" w:color="auto" w:fill="auto"/>
          </w:tcPr>
          <w:p w14:paraId="6504431E" w14:textId="77777777" w:rsidR="00ED2EBD" w:rsidRPr="00BD16B4" w:rsidRDefault="00ED2EBD" w:rsidP="004A205F">
            <w:pPr>
              <w:pStyle w:val="TableText"/>
              <w:spacing w:before="40" w:after="40"/>
              <w:jc w:val="right"/>
              <w:rPr>
                <w:szCs w:val="18"/>
              </w:rPr>
            </w:pPr>
            <w:r w:rsidRPr="00BD16B4">
              <w:rPr>
                <w:szCs w:val="18"/>
              </w:rPr>
              <w:t>29.90</w:t>
            </w:r>
          </w:p>
        </w:tc>
        <w:tc>
          <w:tcPr>
            <w:tcW w:w="964" w:type="dxa"/>
            <w:shd w:val="clear" w:color="auto" w:fill="auto"/>
          </w:tcPr>
          <w:p w14:paraId="6F8FB701" w14:textId="77777777" w:rsidR="00ED2EBD" w:rsidRPr="00BD16B4" w:rsidRDefault="00ED2EBD" w:rsidP="004A205F">
            <w:pPr>
              <w:pStyle w:val="TableText"/>
              <w:spacing w:before="40" w:after="40"/>
              <w:jc w:val="right"/>
              <w:rPr>
                <w:szCs w:val="18"/>
              </w:rPr>
            </w:pPr>
            <w:r w:rsidRPr="00BD16B4">
              <w:rPr>
                <w:szCs w:val="18"/>
              </w:rPr>
              <w:t>30.45</w:t>
            </w:r>
          </w:p>
        </w:tc>
        <w:tc>
          <w:tcPr>
            <w:tcW w:w="964" w:type="dxa"/>
            <w:shd w:val="clear" w:color="auto" w:fill="auto"/>
          </w:tcPr>
          <w:p w14:paraId="776C8AC9" w14:textId="77777777" w:rsidR="00ED2EBD" w:rsidRPr="00BD16B4" w:rsidRDefault="00ED2EBD" w:rsidP="004A205F">
            <w:pPr>
              <w:pStyle w:val="TableText"/>
              <w:spacing w:before="40" w:after="40"/>
              <w:jc w:val="right"/>
              <w:rPr>
                <w:szCs w:val="18"/>
              </w:rPr>
            </w:pPr>
            <w:r w:rsidRPr="00BD16B4">
              <w:rPr>
                <w:szCs w:val="18"/>
              </w:rPr>
              <w:t>31.99</w:t>
            </w:r>
          </w:p>
        </w:tc>
        <w:tc>
          <w:tcPr>
            <w:tcW w:w="964" w:type="dxa"/>
            <w:shd w:val="clear" w:color="auto" w:fill="auto"/>
          </w:tcPr>
          <w:p w14:paraId="1A1530BE" w14:textId="77777777" w:rsidR="00ED2EBD" w:rsidRPr="00BD16B4" w:rsidRDefault="00ED2EBD" w:rsidP="004A205F">
            <w:pPr>
              <w:pStyle w:val="TableText"/>
              <w:spacing w:before="40" w:after="40"/>
              <w:jc w:val="right"/>
              <w:rPr>
                <w:szCs w:val="18"/>
              </w:rPr>
            </w:pPr>
            <w:r w:rsidRPr="00BD16B4">
              <w:rPr>
                <w:szCs w:val="18"/>
              </w:rPr>
              <w:t>33.04</w:t>
            </w:r>
          </w:p>
        </w:tc>
        <w:tc>
          <w:tcPr>
            <w:tcW w:w="964" w:type="dxa"/>
            <w:shd w:val="clear" w:color="auto" w:fill="auto"/>
          </w:tcPr>
          <w:p w14:paraId="39FB95E8" w14:textId="77777777" w:rsidR="00ED2EBD" w:rsidRPr="00BD16B4" w:rsidRDefault="00ED2EBD" w:rsidP="004A205F">
            <w:pPr>
              <w:pStyle w:val="TableText"/>
              <w:spacing w:before="40" w:after="40"/>
              <w:jc w:val="right"/>
              <w:rPr>
                <w:szCs w:val="18"/>
              </w:rPr>
            </w:pPr>
            <w:r w:rsidRPr="00BD16B4">
              <w:rPr>
                <w:szCs w:val="18"/>
              </w:rPr>
              <w:t>34.14</w:t>
            </w:r>
          </w:p>
        </w:tc>
        <w:tc>
          <w:tcPr>
            <w:tcW w:w="964" w:type="dxa"/>
            <w:shd w:val="clear" w:color="auto" w:fill="auto"/>
          </w:tcPr>
          <w:p w14:paraId="03B2B78E" w14:textId="77777777" w:rsidR="00ED2EBD" w:rsidRPr="00BD16B4" w:rsidRDefault="00ED2EBD" w:rsidP="004A205F">
            <w:pPr>
              <w:pStyle w:val="TableText"/>
              <w:spacing w:before="40" w:after="40"/>
              <w:jc w:val="right"/>
              <w:rPr>
                <w:szCs w:val="18"/>
              </w:rPr>
            </w:pPr>
            <w:r w:rsidRPr="00BD16B4">
              <w:rPr>
                <w:szCs w:val="18"/>
              </w:rPr>
              <w:t>35.30</w:t>
            </w:r>
          </w:p>
        </w:tc>
        <w:tc>
          <w:tcPr>
            <w:tcW w:w="964" w:type="dxa"/>
            <w:shd w:val="clear" w:color="auto" w:fill="auto"/>
          </w:tcPr>
          <w:p w14:paraId="7A3886FE" w14:textId="77777777" w:rsidR="00ED2EBD" w:rsidRPr="00BD16B4" w:rsidRDefault="00ED2EBD" w:rsidP="004A205F">
            <w:pPr>
              <w:pStyle w:val="TableText"/>
              <w:spacing w:before="40" w:after="40"/>
              <w:jc w:val="right"/>
              <w:rPr>
                <w:szCs w:val="18"/>
              </w:rPr>
            </w:pPr>
            <w:r w:rsidRPr="00BD16B4">
              <w:rPr>
                <w:szCs w:val="18"/>
              </w:rPr>
              <w:t>34.96</w:t>
            </w:r>
          </w:p>
        </w:tc>
      </w:tr>
      <w:tr w:rsidR="008E7C93" w:rsidRPr="00BD16B4" w14:paraId="7FCAABA6" w14:textId="77777777" w:rsidTr="00F70C72">
        <w:tc>
          <w:tcPr>
            <w:tcW w:w="3964" w:type="dxa"/>
          </w:tcPr>
          <w:p w14:paraId="3B6C8ABA" w14:textId="6530F7B3"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Rice cultivation</w:t>
            </w:r>
          </w:p>
        </w:tc>
        <w:tc>
          <w:tcPr>
            <w:tcW w:w="964" w:type="dxa"/>
            <w:shd w:val="clear" w:color="auto" w:fill="auto"/>
          </w:tcPr>
          <w:p w14:paraId="4E12D7BD" w14:textId="77777777" w:rsidR="00ED2EBD" w:rsidRPr="00BD16B4" w:rsidRDefault="00ED2EBD" w:rsidP="004A205F">
            <w:pPr>
              <w:pStyle w:val="TableText"/>
              <w:spacing w:before="40" w:after="40"/>
              <w:jc w:val="right"/>
              <w:rPr>
                <w:szCs w:val="18"/>
              </w:rPr>
            </w:pPr>
            <w:r w:rsidRPr="00BD16B4">
              <w:rPr>
                <w:szCs w:val="18"/>
              </w:rPr>
              <w:t>NO</w:t>
            </w:r>
          </w:p>
        </w:tc>
        <w:tc>
          <w:tcPr>
            <w:tcW w:w="964" w:type="dxa"/>
            <w:shd w:val="clear" w:color="auto" w:fill="auto"/>
          </w:tcPr>
          <w:p w14:paraId="43EB4327" w14:textId="77777777" w:rsidR="00ED2EBD" w:rsidRPr="00BD16B4" w:rsidRDefault="00ED2EBD" w:rsidP="004A205F">
            <w:pPr>
              <w:pStyle w:val="TableText"/>
              <w:spacing w:before="40" w:after="40"/>
              <w:jc w:val="right"/>
              <w:rPr>
                <w:szCs w:val="18"/>
              </w:rPr>
            </w:pPr>
            <w:r w:rsidRPr="00BD16B4">
              <w:rPr>
                <w:szCs w:val="18"/>
              </w:rPr>
              <w:t>NO</w:t>
            </w:r>
          </w:p>
        </w:tc>
        <w:tc>
          <w:tcPr>
            <w:tcW w:w="964" w:type="dxa"/>
            <w:shd w:val="clear" w:color="auto" w:fill="auto"/>
          </w:tcPr>
          <w:p w14:paraId="337C12AD" w14:textId="77777777" w:rsidR="00ED2EBD" w:rsidRPr="00BD16B4" w:rsidRDefault="00ED2EBD" w:rsidP="004A205F">
            <w:pPr>
              <w:pStyle w:val="TableText"/>
              <w:spacing w:before="40" w:after="40"/>
              <w:jc w:val="right"/>
              <w:rPr>
                <w:szCs w:val="18"/>
              </w:rPr>
            </w:pPr>
            <w:r w:rsidRPr="00BD16B4">
              <w:rPr>
                <w:szCs w:val="18"/>
              </w:rPr>
              <w:t>NO</w:t>
            </w:r>
          </w:p>
        </w:tc>
        <w:tc>
          <w:tcPr>
            <w:tcW w:w="964" w:type="dxa"/>
            <w:shd w:val="clear" w:color="auto" w:fill="auto"/>
          </w:tcPr>
          <w:p w14:paraId="39E532B7" w14:textId="77777777" w:rsidR="00ED2EBD" w:rsidRPr="00BD16B4" w:rsidRDefault="00ED2EBD" w:rsidP="004A205F">
            <w:pPr>
              <w:pStyle w:val="TableText"/>
              <w:spacing w:before="40" w:after="40"/>
              <w:jc w:val="right"/>
              <w:rPr>
                <w:szCs w:val="18"/>
              </w:rPr>
            </w:pPr>
            <w:r w:rsidRPr="00BD16B4">
              <w:rPr>
                <w:szCs w:val="18"/>
              </w:rPr>
              <w:t>NO</w:t>
            </w:r>
          </w:p>
        </w:tc>
        <w:tc>
          <w:tcPr>
            <w:tcW w:w="964" w:type="dxa"/>
            <w:shd w:val="clear" w:color="auto" w:fill="auto"/>
          </w:tcPr>
          <w:p w14:paraId="28D77557" w14:textId="77777777" w:rsidR="00ED2EBD" w:rsidRPr="00BD16B4" w:rsidRDefault="00ED2EBD" w:rsidP="004A205F">
            <w:pPr>
              <w:pStyle w:val="TableText"/>
              <w:spacing w:before="40" w:after="40"/>
              <w:jc w:val="right"/>
              <w:rPr>
                <w:szCs w:val="18"/>
              </w:rPr>
            </w:pPr>
            <w:r w:rsidRPr="00BD16B4">
              <w:rPr>
                <w:szCs w:val="18"/>
              </w:rPr>
              <w:t>NO</w:t>
            </w:r>
          </w:p>
        </w:tc>
        <w:tc>
          <w:tcPr>
            <w:tcW w:w="964" w:type="dxa"/>
            <w:shd w:val="clear" w:color="auto" w:fill="auto"/>
          </w:tcPr>
          <w:p w14:paraId="6CBD62CB" w14:textId="77777777" w:rsidR="00ED2EBD" w:rsidRPr="00BD16B4" w:rsidRDefault="00ED2EBD" w:rsidP="004A205F">
            <w:pPr>
              <w:pStyle w:val="TableText"/>
              <w:spacing w:before="40" w:after="40"/>
              <w:jc w:val="right"/>
              <w:rPr>
                <w:szCs w:val="18"/>
              </w:rPr>
            </w:pPr>
            <w:r w:rsidRPr="00BD16B4">
              <w:rPr>
                <w:szCs w:val="18"/>
              </w:rPr>
              <w:t>NO</w:t>
            </w:r>
          </w:p>
        </w:tc>
        <w:tc>
          <w:tcPr>
            <w:tcW w:w="964" w:type="dxa"/>
            <w:shd w:val="clear" w:color="auto" w:fill="auto"/>
          </w:tcPr>
          <w:p w14:paraId="3883FDEF" w14:textId="77777777" w:rsidR="00ED2EBD" w:rsidRPr="00BD16B4" w:rsidRDefault="00ED2EBD" w:rsidP="004A205F">
            <w:pPr>
              <w:pStyle w:val="TableText"/>
              <w:spacing w:before="40" w:after="40"/>
              <w:jc w:val="right"/>
              <w:rPr>
                <w:szCs w:val="18"/>
              </w:rPr>
            </w:pPr>
            <w:r w:rsidRPr="00BD16B4">
              <w:rPr>
                <w:szCs w:val="18"/>
              </w:rPr>
              <w:t>NO</w:t>
            </w:r>
          </w:p>
        </w:tc>
        <w:tc>
          <w:tcPr>
            <w:tcW w:w="964" w:type="dxa"/>
            <w:shd w:val="clear" w:color="auto" w:fill="auto"/>
          </w:tcPr>
          <w:p w14:paraId="3AB17ACA" w14:textId="77777777" w:rsidR="00ED2EBD" w:rsidRPr="00BD16B4" w:rsidRDefault="00ED2EBD" w:rsidP="004A205F">
            <w:pPr>
              <w:pStyle w:val="TableText"/>
              <w:spacing w:before="40" w:after="40"/>
              <w:jc w:val="right"/>
              <w:rPr>
                <w:szCs w:val="18"/>
              </w:rPr>
            </w:pPr>
            <w:r w:rsidRPr="00BD16B4">
              <w:rPr>
                <w:szCs w:val="18"/>
              </w:rPr>
              <w:t>NO</w:t>
            </w:r>
          </w:p>
        </w:tc>
        <w:tc>
          <w:tcPr>
            <w:tcW w:w="964" w:type="dxa"/>
            <w:shd w:val="clear" w:color="auto" w:fill="auto"/>
          </w:tcPr>
          <w:p w14:paraId="45C05D5E" w14:textId="77777777" w:rsidR="00ED2EBD" w:rsidRPr="00BD16B4" w:rsidRDefault="00ED2EBD" w:rsidP="004A205F">
            <w:pPr>
              <w:pStyle w:val="TableText"/>
              <w:spacing w:before="40" w:after="40"/>
              <w:jc w:val="right"/>
              <w:rPr>
                <w:szCs w:val="18"/>
              </w:rPr>
            </w:pPr>
            <w:r w:rsidRPr="00BD16B4">
              <w:rPr>
                <w:szCs w:val="18"/>
              </w:rPr>
              <w:t>NO</w:t>
            </w:r>
          </w:p>
        </w:tc>
      </w:tr>
      <w:tr w:rsidR="008E7C93" w:rsidRPr="00BD16B4" w14:paraId="3A661CD9" w14:textId="77777777" w:rsidTr="00F70C72">
        <w:tc>
          <w:tcPr>
            <w:tcW w:w="3964" w:type="dxa"/>
          </w:tcPr>
          <w:p w14:paraId="1D27EA9B" w14:textId="41B28161" w:rsidR="00ED2EBD" w:rsidRPr="00BD16B4" w:rsidRDefault="00ED2EBD" w:rsidP="004A205F">
            <w:pPr>
              <w:pStyle w:val="TableText"/>
              <w:spacing w:before="40" w:after="40"/>
              <w:rPr>
                <w:szCs w:val="18"/>
              </w:rPr>
            </w:pPr>
            <w:r w:rsidRPr="00BD16B4">
              <w:rPr>
                <w:szCs w:val="18"/>
              </w:rPr>
              <w:t>D.</w:t>
            </w:r>
            <w:r w:rsidR="00280979" w:rsidRPr="00BD16B4">
              <w:rPr>
                <w:szCs w:val="18"/>
              </w:rPr>
              <w:t xml:space="preserve"> </w:t>
            </w:r>
            <w:r w:rsidRPr="00BD16B4">
              <w:rPr>
                <w:szCs w:val="18"/>
              </w:rPr>
              <w:t>Agricultural soils</w:t>
            </w:r>
          </w:p>
        </w:tc>
        <w:tc>
          <w:tcPr>
            <w:tcW w:w="964" w:type="dxa"/>
            <w:shd w:val="clear" w:color="auto" w:fill="auto"/>
          </w:tcPr>
          <w:p w14:paraId="1F5FF3FC" w14:textId="77777777" w:rsidR="00ED2EBD" w:rsidRPr="00BD16B4" w:rsidRDefault="00ED2EBD" w:rsidP="004A205F">
            <w:pPr>
              <w:pStyle w:val="TableText"/>
              <w:spacing w:before="40" w:after="40"/>
              <w:jc w:val="right"/>
              <w:rPr>
                <w:szCs w:val="18"/>
              </w:rPr>
            </w:pPr>
            <w:r w:rsidRPr="00BD16B4">
              <w:rPr>
                <w:szCs w:val="18"/>
              </w:rPr>
              <w:t>NE</w:t>
            </w:r>
          </w:p>
        </w:tc>
        <w:tc>
          <w:tcPr>
            <w:tcW w:w="964" w:type="dxa"/>
            <w:shd w:val="clear" w:color="auto" w:fill="auto"/>
          </w:tcPr>
          <w:p w14:paraId="3F1FBC73" w14:textId="77777777" w:rsidR="00ED2EBD" w:rsidRPr="00BD16B4" w:rsidRDefault="00ED2EBD" w:rsidP="004A205F">
            <w:pPr>
              <w:pStyle w:val="TableText"/>
              <w:spacing w:before="40" w:after="40"/>
              <w:jc w:val="right"/>
              <w:rPr>
                <w:szCs w:val="18"/>
              </w:rPr>
            </w:pPr>
            <w:r w:rsidRPr="00BD16B4">
              <w:rPr>
                <w:szCs w:val="18"/>
              </w:rPr>
              <w:t>NE</w:t>
            </w:r>
          </w:p>
        </w:tc>
        <w:tc>
          <w:tcPr>
            <w:tcW w:w="964" w:type="dxa"/>
            <w:shd w:val="clear" w:color="auto" w:fill="auto"/>
          </w:tcPr>
          <w:p w14:paraId="3F8D6091" w14:textId="77777777" w:rsidR="00ED2EBD" w:rsidRPr="00BD16B4" w:rsidRDefault="00ED2EBD" w:rsidP="004A205F">
            <w:pPr>
              <w:pStyle w:val="TableText"/>
              <w:spacing w:before="40" w:after="40"/>
              <w:jc w:val="right"/>
              <w:rPr>
                <w:szCs w:val="18"/>
              </w:rPr>
            </w:pPr>
            <w:r w:rsidRPr="00BD16B4">
              <w:rPr>
                <w:szCs w:val="18"/>
              </w:rPr>
              <w:t>NE</w:t>
            </w:r>
          </w:p>
        </w:tc>
        <w:tc>
          <w:tcPr>
            <w:tcW w:w="964" w:type="dxa"/>
            <w:shd w:val="clear" w:color="auto" w:fill="auto"/>
          </w:tcPr>
          <w:p w14:paraId="2DBE7DE2" w14:textId="77777777" w:rsidR="00ED2EBD" w:rsidRPr="00BD16B4" w:rsidRDefault="00ED2EBD" w:rsidP="004A205F">
            <w:pPr>
              <w:pStyle w:val="TableText"/>
              <w:spacing w:before="40" w:after="40"/>
              <w:jc w:val="right"/>
              <w:rPr>
                <w:szCs w:val="18"/>
              </w:rPr>
            </w:pPr>
            <w:r w:rsidRPr="00BD16B4">
              <w:rPr>
                <w:szCs w:val="18"/>
              </w:rPr>
              <w:t>NE</w:t>
            </w:r>
          </w:p>
        </w:tc>
        <w:tc>
          <w:tcPr>
            <w:tcW w:w="964" w:type="dxa"/>
            <w:shd w:val="clear" w:color="auto" w:fill="auto"/>
          </w:tcPr>
          <w:p w14:paraId="7FF00D75" w14:textId="77777777" w:rsidR="00ED2EBD" w:rsidRPr="00BD16B4" w:rsidRDefault="00ED2EBD" w:rsidP="004A205F">
            <w:pPr>
              <w:pStyle w:val="TableText"/>
              <w:spacing w:before="40" w:after="40"/>
              <w:jc w:val="right"/>
              <w:rPr>
                <w:szCs w:val="18"/>
              </w:rPr>
            </w:pPr>
            <w:r w:rsidRPr="00BD16B4">
              <w:rPr>
                <w:szCs w:val="18"/>
              </w:rPr>
              <w:t>NE</w:t>
            </w:r>
          </w:p>
        </w:tc>
        <w:tc>
          <w:tcPr>
            <w:tcW w:w="964" w:type="dxa"/>
            <w:shd w:val="clear" w:color="auto" w:fill="auto"/>
          </w:tcPr>
          <w:p w14:paraId="374130D9" w14:textId="77777777" w:rsidR="00ED2EBD" w:rsidRPr="00BD16B4" w:rsidRDefault="00ED2EBD" w:rsidP="004A205F">
            <w:pPr>
              <w:pStyle w:val="TableText"/>
              <w:spacing w:before="40" w:after="40"/>
              <w:jc w:val="right"/>
              <w:rPr>
                <w:szCs w:val="18"/>
              </w:rPr>
            </w:pPr>
            <w:r w:rsidRPr="00BD16B4">
              <w:rPr>
                <w:szCs w:val="18"/>
              </w:rPr>
              <w:t>NE</w:t>
            </w:r>
          </w:p>
        </w:tc>
        <w:tc>
          <w:tcPr>
            <w:tcW w:w="964" w:type="dxa"/>
            <w:shd w:val="clear" w:color="auto" w:fill="auto"/>
          </w:tcPr>
          <w:p w14:paraId="5AFBCBAC" w14:textId="77777777" w:rsidR="00ED2EBD" w:rsidRPr="00BD16B4" w:rsidRDefault="00ED2EBD" w:rsidP="004A205F">
            <w:pPr>
              <w:pStyle w:val="TableText"/>
              <w:spacing w:before="40" w:after="40"/>
              <w:jc w:val="right"/>
              <w:rPr>
                <w:szCs w:val="18"/>
              </w:rPr>
            </w:pPr>
            <w:r w:rsidRPr="00BD16B4">
              <w:rPr>
                <w:szCs w:val="18"/>
              </w:rPr>
              <w:t>NE</w:t>
            </w:r>
          </w:p>
        </w:tc>
        <w:tc>
          <w:tcPr>
            <w:tcW w:w="964" w:type="dxa"/>
            <w:shd w:val="clear" w:color="auto" w:fill="auto"/>
          </w:tcPr>
          <w:p w14:paraId="08C17355" w14:textId="77777777" w:rsidR="00ED2EBD" w:rsidRPr="00BD16B4" w:rsidRDefault="00ED2EBD" w:rsidP="004A205F">
            <w:pPr>
              <w:pStyle w:val="TableText"/>
              <w:spacing w:before="40" w:after="40"/>
              <w:jc w:val="right"/>
              <w:rPr>
                <w:szCs w:val="18"/>
              </w:rPr>
            </w:pPr>
            <w:r w:rsidRPr="00BD16B4">
              <w:rPr>
                <w:szCs w:val="18"/>
              </w:rPr>
              <w:t>NE</w:t>
            </w:r>
          </w:p>
        </w:tc>
        <w:tc>
          <w:tcPr>
            <w:tcW w:w="964" w:type="dxa"/>
            <w:shd w:val="clear" w:color="auto" w:fill="auto"/>
          </w:tcPr>
          <w:p w14:paraId="0072424C" w14:textId="77777777" w:rsidR="00ED2EBD" w:rsidRPr="00BD16B4" w:rsidRDefault="00ED2EBD" w:rsidP="004A205F">
            <w:pPr>
              <w:pStyle w:val="TableText"/>
              <w:spacing w:before="40" w:after="40"/>
              <w:jc w:val="right"/>
              <w:rPr>
                <w:szCs w:val="18"/>
              </w:rPr>
            </w:pPr>
            <w:r w:rsidRPr="00BD16B4">
              <w:rPr>
                <w:szCs w:val="18"/>
              </w:rPr>
              <w:t>NE</w:t>
            </w:r>
          </w:p>
        </w:tc>
      </w:tr>
      <w:tr w:rsidR="008E7C93" w:rsidRPr="00BD16B4" w14:paraId="4256C6E1" w14:textId="77777777" w:rsidTr="00F70C72">
        <w:tc>
          <w:tcPr>
            <w:tcW w:w="3964" w:type="dxa"/>
          </w:tcPr>
          <w:p w14:paraId="7A6D965C" w14:textId="1EF71506"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Prescribed burning of savannas</w:t>
            </w:r>
          </w:p>
        </w:tc>
        <w:tc>
          <w:tcPr>
            <w:tcW w:w="964" w:type="dxa"/>
            <w:shd w:val="clear" w:color="auto" w:fill="auto"/>
          </w:tcPr>
          <w:p w14:paraId="592E3172" w14:textId="77777777" w:rsidR="00ED2EBD" w:rsidRPr="00BD16B4" w:rsidRDefault="00ED2EBD" w:rsidP="004A205F">
            <w:pPr>
              <w:pStyle w:val="TableText"/>
              <w:spacing w:before="40" w:after="40"/>
              <w:jc w:val="right"/>
              <w:rPr>
                <w:szCs w:val="18"/>
              </w:rPr>
            </w:pPr>
            <w:r w:rsidRPr="00BD16B4">
              <w:rPr>
                <w:szCs w:val="18"/>
              </w:rPr>
              <w:t>IE</w:t>
            </w:r>
          </w:p>
        </w:tc>
        <w:tc>
          <w:tcPr>
            <w:tcW w:w="964" w:type="dxa"/>
            <w:shd w:val="clear" w:color="auto" w:fill="auto"/>
          </w:tcPr>
          <w:p w14:paraId="5C2BBD27" w14:textId="77777777" w:rsidR="00ED2EBD" w:rsidRPr="00BD16B4" w:rsidRDefault="00ED2EBD" w:rsidP="004A205F">
            <w:pPr>
              <w:pStyle w:val="TableText"/>
              <w:spacing w:before="40" w:after="40"/>
              <w:jc w:val="right"/>
              <w:rPr>
                <w:szCs w:val="18"/>
              </w:rPr>
            </w:pPr>
            <w:r w:rsidRPr="00BD16B4">
              <w:rPr>
                <w:szCs w:val="18"/>
              </w:rPr>
              <w:t>IE</w:t>
            </w:r>
          </w:p>
        </w:tc>
        <w:tc>
          <w:tcPr>
            <w:tcW w:w="964" w:type="dxa"/>
            <w:shd w:val="clear" w:color="auto" w:fill="auto"/>
          </w:tcPr>
          <w:p w14:paraId="150459BC" w14:textId="77777777" w:rsidR="00ED2EBD" w:rsidRPr="00BD16B4" w:rsidRDefault="00ED2EBD" w:rsidP="004A205F">
            <w:pPr>
              <w:pStyle w:val="TableText"/>
              <w:spacing w:before="40" w:after="40"/>
              <w:jc w:val="right"/>
              <w:rPr>
                <w:szCs w:val="18"/>
              </w:rPr>
            </w:pPr>
            <w:r w:rsidRPr="00BD16B4">
              <w:rPr>
                <w:szCs w:val="18"/>
              </w:rPr>
              <w:t>IE</w:t>
            </w:r>
          </w:p>
        </w:tc>
        <w:tc>
          <w:tcPr>
            <w:tcW w:w="964" w:type="dxa"/>
            <w:shd w:val="clear" w:color="auto" w:fill="auto"/>
          </w:tcPr>
          <w:p w14:paraId="62F34F98" w14:textId="77777777" w:rsidR="00ED2EBD" w:rsidRPr="00BD16B4" w:rsidRDefault="00ED2EBD" w:rsidP="004A205F">
            <w:pPr>
              <w:pStyle w:val="TableText"/>
              <w:spacing w:before="40" w:after="40"/>
              <w:jc w:val="right"/>
              <w:rPr>
                <w:szCs w:val="18"/>
              </w:rPr>
            </w:pPr>
            <w:r w:rsidRPr="00BD16B4">
              <w:rPr>
                <w:szCs w:val="18"/>
              </w:rPr>
              <w:t>IE</w:t>
            </w:r>
          </w:p>
        </w:tc>
        <w:tc>
          <w:tcPr>
            <w:tcW w:w="964" w:type="dxa"/>
            <w:shd w:val="clear" w:color="auto" w:fill="auto"/>
          </w:tcPr>
          <w:p w14:paraId="2B41734E" w14:textId="77777777" w:rsidR="00ED2EBD" w:rsidRPr="00BD16B4" w:rsidRDefault="00ED2EBD" w:rsidP="004A205F">
            <w:pPr>
              <w:pStyle w:val="TableText"/>
              <w:spacing w:before="40" w:after="40"/>
              <w:jc w:val="right"/>
              <w:rPr>
                <w:szCs w:val="18"/>
              </w:rPr>
            </w:pPr>
            <w:r w:rsidRPr="00BD16B4">
              <w:rPr>
                <w:szCs w:val="18"/>
              </w:rPr>
              <w:t>IE</w:t>
            </w:r>
          </w:p>
        </w:tc>
        <w:tc>
          <w:tcPr>
            <w:tcW w:w="964" w:type="dxa"/>
            <w:shd w:val="clear" w:color="auto" w:fill="auto"/>
          </w:tcPr>
          <w:p w14:paraId="08F13F32" w14:textId="77777777" w:rsidR="00ED2EBD" w:rsidRPr="00BD16B4" w:rsidRDefault="00ED2EBD" w:rsidP="004A205F">
            <w:pPr>
              <w:pStyle w:val="TableText"/>
              <w:spacing w:before="40" w:after="40"/>
              <w:jc w:val="right"/>
              <w:rPr>
                <w:szCs w:val="18"/>
              </w:rPr>
            </w:pPr>
            <w:r w:rsidRPr="00BD16B4">
              <w:rPr>
                <w:szCs w:val="18"/>
              </w:rPr>
              <w:t>IE</w:t>
            </w:r>
          </w:p>
        </w:tc>
        <w:tc>
          <w:tcPr>
            <w:tcW w:w="964" w:type="dxa"/>
            <w:shd w:val="clear" w:color="auto" w:fill="auto"/>
          </w:tcPr>
          <w:p w14:paraId="2A121C0F" w14:textId="77777777" w:rsidR="00ED2EBD" w:rsidRPr="00BD16B4" w:rsidRDefault="00ED2EBD" w:rsidP="004A205F">
            <w:pPr>
              <w:pStyle w:val="TableText"/>
              <w:spacing w:before="40" w:after="40"/>
              <w:jc w:val="right"/>
              <w:rPr>
                <w:szCs w:val="18"/>
              </w:rPr>
            </w:pPr>
            <w:r w:rsidRPr="00BD16B4">
              <w:rPr>
                <w:szCs w:val="18"/>
              </w:rPr>
              <w:t>IE</w:t>
            </w:r>
          </w:p>
        </w:tc>
        <w:tc>
          <w:tcPr>
            <w:tcW w:w="964" w:type="dxa"/>
            <w:shd w:val="clear" w:color="auto" w:fill="auto"/>
          </w:tcPr>
          <w:p w14:paraId="13CB3C73" w14:textId="77777777" w:rsidR="00ED2EBD" w:rsidRPr="00BD16B4" w:rsidRDefault="00ED2EBD" w:rsidP="004A205F">
            <w:pPr>
              <w:pStyle w:val="TableText"/>
              <w:spacing w:before="40" w:after="40"/>
              <w:jc w:val="right"/>
              <w:rPr>
                <w:szCs w:val="18"/>
              </w:rPr>
            </w:pPr>
            <w:r w:rsidRPr="00BD16B4">
              <w:rPr>
                <w:szCs w:val="18"/>
              </w:rPr>
              <w:t>IE</w:t>
            </w:r>
          </w:p>
        </w:tc>
        <w:tc>
          <w:tcPr>
            <w:tcW w:w="964" w:type="dxa"/>
            <w:shd w:val="clear" w:color="auto" w:fill="auto"/>
          </w:tcPr>
          <w:p w14:paraId="76DAC8D0" w14:textId="77777777" w:rsidR="00ED2EBD" w:rsidRPr="00BD16B4" w:rsidRDefault="00ED2EBD" w:rsidP="004A205F">
            <w:pPr>
              <w:pStyle w:val="TableText"/>
              <w:spacing w:before="40" w:after="40"/>
              <w:jc w:val="right"/>
              <w:rPr>
                <w:szCs w:val="18"/>
              </w:rPr>
            </w:pPr>
            <w:r w:rsidRPr="00BD16B4">
              <w:rPr>
                <w:szCs w:val="18"/>
              </w:rPr>
              <w:t>IE</w:t>
            </w:r>
          </w:p>
        </w:tc>
      </w:tr>
      <w:tr w:rsidR="008E7C93" w:rsidRPr="00BD16B4" w14:paraId="2602B779" w14:textId="77777777" w:rsidTr="00F70C72">
        <w:tc>
          <w:tcPr>
            <w:tcW w:w="3964" w:type="dxa"/>
          </w:tcPr>
          <w:p w14:paraId="16186E32" w14:textId="5913934A" w:rsidR="00ED2EBD" w:rsidRPr="00BD16B4" w:rsidRDefault="00ED2EBD" w:rsidP="004A205F">
            <w:pPr>
              <w:pStyle w:val="TableText"/>
              <w:spacing w:before="40" w:after="40"/>
              <w:rPr>
                <w:szCs w:val="18"/>
              </w:rPr>
            </w:pPr>
            <w:r w:rsidRPr="00BD16B4">
              <w:rPr>
                <w:szCs w:val="18"/>
              </w:rPr>
              <w:t>F.</w:t>
            </w:r>
            <w:r w:rsidR="00280979" w:rsidRPr="00BD16B4">
              <w:rPr>
                <w:szCs w:val="18"/>
              </w:rPr>
              <w:t xml:space="preserve"> </w:t>
            </w:r>
            <w:r w:rsidRPr="00BD16B4">
              <w:rPr>
                <w:szCs w:val="18"/>
              </w:rPr>
              <w:t>Field burning of agricultural residues</w:t>
            </w:r>
          </w:p>
        </w:tc>
        <w:tc>
          <w:tcPr>
            <w:tcW w:w="964" w:type="dxa"/>
            <w:tcBorders>
              <w:bottom w:val="single" w:sz="4" w:space="0" w:color="1B556B" w:themeColor="text2"/>
            </w:tcBorders>
            <w:shd w:val="clear" w:color="auto" w:fill="auto"/>
          </w:tcPr>
          <w:p w14:paraId="42484071" w14:textId="77777777" w:rsidR="00ED2EBD" w:rsidRPr="00BD16B4" w:rsidRDefault="00ED2EBD" w:rsidP="004A205F">
            <w:pPr>
              <w:pStyle w:val="TableText"/>
              <w:spacing w:before="40" w:after="40"/>
              <w:jc w:val="right"/>
              <w:rPr>
                <w:szCs w:val="18"/>
              </w:rPr>
            </w:pPr>
            <w:r w:rsidRPr="00BD16B4">
              <w:rPr>
                <w:szCs w:val="18"/>
              </w:rPr>
              <w:t>0.90</w:t>
            </w:r>
          </w:p>
        </w:tc>
        <w:tc>
          <w:tcPr>
            <w:tcW w:w="964" w:type="dxa"/>
            <w:tcBorders>
              <w:bottom w:val="single" w:sz="4" w:space="0" w:color="1B556B" w:themeColor="text2"/>
            </w:tcBorders>
            <w:shd w:val="clear" w:color="auto" w:fill="auto"/>
          </w:tcPr>
          <w:p w14:paraId="68DD0571" w14:textId="77777777" w:rsidR="00ED2EBD" w:rsidRPr="00BD16B4" w:rsidRDefault="00ED2EBD" w:rsidP="004A205F">
            <w:pPr>
              <w:pStyle w:val="TableText"/>
              <w:spacing w:before="40" w:after="40"/>
              <w:jc w:val="right"/>
              <w:rPr>
                <w:szCs w:val="18"/>
              </w:rPr>
            </w:pPr>
            <w:r w:rsidRPr="00BD16B4">
              <w:rPr>
                <w:szCs w:val="18"/>
              </w:rPr>
              <w:t>0.80</w:t>
            </w:r>
          </w:p>
        </w:tc>
        <w:tc>
          <w:tcPr>
            <w:tcW w:w="964" w:type="dxa"/>
            <w:tcBorders>
              <w:bottom w:val="single" w:sz="4" w:space="0" w:color="1B556B" w:themeColor="text2"/>
            </w:tcBorders>
            <w:shd w:val="clear" w:color="auto" w:fill="auto"/>
          </w:tcPr>
          <w:p w14:paraId="0226AA74" w14:textId="77777777" w:rsidR="00ED2EBD" w:rsidRPr="00BD16B4" w:rsidRDefault="00ED2EBD" w:rsidP="004A205F">
            <w:pPr>
              <w:pStyle w:val="TableText"/>
              <w:spacing w:before="40" w:after="40"/>
              <w:jc w:val="right"/>
              <w:rPr>
                <w:szCs w:val="18"/>
              </w:rPr>
            </w:pPr>
            <w:r w:rsidRPr="00BD16B4">
              <w:rPr>
                <w:szCs w:val="18"/>
              </w:rPr>
              <w:t>0.76</w:t>
            </w:r>
          </w:p>
        </w:tc>
        <w:tc>
          <w:tcPr>
            <w:tcW w:w="964" w:type="dxa"/>
            <w:tcBorders>
              <w:bottom w:val="single" w:sz="4" w:space="0" w:color="1B556B" w:themeColor="text2"/>
            </w:tcBorders>
            <w:shd w:val="clear" w:color="auto" w:fill="auto"/>
          </w:tcPr>
          <w:p w14:paraId="2065D4EC" w14:textId="77777777" w:rsidR="00ED2EBD" w:rsidRPr="00BD16B4" w:rsidRDefault="00ED2EBD" w:rsidP="004A205F">
            <w:pPr>
              <w:pStyle w:val="TableText"/>
              <w:spacing w:before="40" w:after="40"/>
              <w:jc w:val="right"/>
              <w:rPr>
                <w:szCs w:val="18"/>
              </w:rPr>
            </w:pPr>
            <w:r w:rsidRPr="00BD16B4">
              <w:rPr>
                <w:szCs w:val="18"/>
              </w:rPr>
              <w:t>0.87</w:t>
            </w:r>
          </w:p>
        </w:tc>
        <w:tc>
          <w:tcPr>
            <w:tcW w:w="964" w:type="dxa"/>
            <w:tcBorders>
              <w:bottom w:val="single" w:sz="4" w:space="0" w:color="1B556B" w:themeColor="text2"/>
            </w:tcBorders>
            <w:shd w:val="clear" w:color="auto" w:fill="auto"/>
          </w:tcPr>
          <w:p w14:paraId="7DA61EBA" w14:textId="77777777" w:rsidR="00ED2EBD" w:rsidRPr="00BD16B4" w:rsidRDefault="00ED2EBD" w:rsidP="004A205F">
            <w:pPr>
              <w:pStyle w:val="TableText"/>
              <w:spacing w:before="40" w:after="40"/>
              <w:jc w:val="right"/>
              <w:rPr>
                <w:szCs w:val="18"/>
              </w:rPr>
            </w:pPr>
            <w:r w:rsidRPr="00BD16B4">
              <w:rPr>
                <w:szCs w:val="18"/>
              </w:rPr>
              <w:t>0.92</w:t>
            </w:r>
          </w:p>
        </w:tc>
        <w:tc>
          <w:tcPr>
            <w:tcW w:w="964" w:type="dxa"/>
            <w:tcBorders>
              <w:bottom w:val="single" w:sz="4" w:space="0" w:color="1B556B" w:themeColor="text2"/>
            </w:tcBorders>
            <w:shd w:val="clear" w:color="auto" w:fill="auto"/>
          </w:tcPr>
          <w:p w14:paraId="68F5B0DE" w14:textId="77777777" w:rsidR="00ED2EBD" w:rsidRPr="00BD16B4" w:rsidRDefault="00ED2EBD" w:rsidP="004A205F">
            <w:pPr>
              <w:pStyle w:val="TableText"/>
              <w:spacing w:before="40" w:after="40"/>
              <w:jc w:val="right"/>
              <w:rPr>
                <w:szCs w:val="18"/>
              </w:rPr>
            </w:pPr>
            <w:r w:rsidRPr="00BD16B4">
              <w:rPr>
                <w:szCs w:val="18"/>
              </w:rPr>
              <w:t>0.80</w:t>
            </w:r>
          </w:p>
        </w:tc>
        <w:tc>
          <w:tcPr>
            <w:tcW w:w="964" w:type="dxa"/>
            <w:tcBorders>
              <w:bottom w:val="single" w:sz="4" w:space="0" w:color="1B556B" w:themeColor="text2"/>
            </w:tcBorders>
            <w:shd w:val="clear" w:color="auto" w:fill="auto"/>
          </w:tcPr>
          <w:p w14:paraId="348F12AF" w14:textId="77777777" w:rsidR="00ED2EBD" w:rsidRPr="00BD16B4" w:rsidRDefault="00ED2EBD" w:rsidP="004A205F">
            <w:pPr>
              <w:pStyle w:val="TableText"/>
              <w:spacing w:before="40" w:after="40"/>
              <w:jc w:val="right"/>
              <w:rPr>
                <w:szCs w:val="18"/>
              </w:rPr>
            </w:pPr>
            <w:r w:rsidRPr="00BD16B4">
              <w:rPr>
                <w:szCs w:val="18"/>
              </w:rPr>
              <w:t>0.92</w:t>
            </w:r>
          </w:p>
        </w:tc>
        <w:tc>
          <w:tcPr>
            <w:tcW w:w="964" w:type="dxa"/>
            <w:tcBorders>
              <w:bottom w:val="single" w:sz="4" w:space="0" w:color="1B556B" w:themeColor="text2"/>
            </w:tcBorders>
            <w:shd w:val="clear" w:color="auto" w:fill="auto"/>
          </w:tcPr>
          <w:p w14:paraId="6FCC9BD6" w14:textId="77777777" w:rsidR="00ED2EBD" w:rsidRPr="00BD16B4" w:rsidRDefault="00ED2EBD" w:rsidP="004A205F">
            <w:pPr>
              <w:pStyle w:val="TableText"/>
              <w:spacing w:before="40" w:after="40"/>
              <w:jc w:val="right"/>
              <w:rPr>
                <w:szCs w:val="18"/>
              </w:rPr>
            </w:pPr>
            <w:r w:rsidRPr="00BD16B4">
              <w:rPr>
                <w:szCs w:val="18"/>
              </w:rPr>
              <w:t>1.05</w:t>
            </w:r>
          </w:p>
        </w:tc>
        <w:tc>
          <w:tcPr>
            <w:tcW w:w="964" w:type="dxa"/>
            <w:tcBorders>
              <w:bottom w:val="single" w:sz="4" w:space="0" w:color="1B556B" w:themeColor="text2"/>
            </w:tcBorders>
            <w:shd w:val="clear" w:color="auto" w:fill="auto"/>
          </w:tcPr>
          <w:p w14:paraId="17835FE6" w14:textId="77777777" w:rsidR="00ED2EBD" w:rsidRPr="00BD16B4" w:rsidRDefault="00ED2EBD" w:rsidP="004A205F">
            <w:pPr>
              <w:pStyle w:val="TableText"/>
              <w:spacing w:before="40" w:after="40"/>
              <w:jc w:val="right"/>
              <w:rPr>
                <w:szCs w:val="18"/>
              </w:rPr>
            </w:pPr>
            <w:r w:rsidRPr="00BD16B4">
              <w:rPr>
                <w:szCs w:val="18"/>
              </w:rPr>
              <w:t>0.94</w:t>
            </w:r>
          </w:p>
        </w:tc>
      </w:tr>
      <w:tr w:rsidR="00ED2EBD" w:rsidRPr="00BD16B4" w14:paraId="0945C9B4" w14:textId="77777777" w:rsidTr="00F70C72">
        <w:tc>
          <w:tcPr>
            <w:tcW w:w="3964" w:type="dxa"/>
          </w:tcPr>
          <w:p w14:paraId="51456A48" w14:textId="12295CD4" w:rsidR="00ED2EBD" w:rsidRPr="00BD16B4" w:rsidRDefault="00ED2EBD" w:rsidP="004A205F">
            <w:pPr>
              <w:pStyle w:val="TableText"/>
              <w:spacing w:before="40" w:after="40"/>
              <w:rPr>
                <w:szCs w:val="18"/>
              </w:rPr>
            </w:pPr>
            <w:r w:rsidRPr="00BD16B4">
              <w:rPr>
                <w:szCs w:val="18"/>
              </w:rPr>
              <w:t>G.</w:t>
            </w:r>
            <w:r w:rsidR="00280979" w:rsidRPr="00BD16B4">
              <w:rPr>
                <w:szCs w:val="18"/>
              </w:rPr>
              <w:t xml:space="preserve"> </w:t>
            </w:r>
            <w:r w:rsidRPr="00BD16B4">
              <w:rPr>
                <w:szCs w:val="18"/>
              </w:rPr>
              <w:t>Liming</w:t>
            </w:r>
          </w:p>
        </w:tc>
        <w:tc>
          <w:tcPr>
            <w:tcW w:w="964" w:type="dxa"/>
            <w:tcBorders>
              <w:top w:val="single" w:sz="4" w:space="0" w:color="1B556B" w:themeColor="text2"/>
            </w:tcBorders>
            <w:shd w:val="clear" w:color="auto" w:fill="D2DDE1" w:themeFill="background2"/>
          </w:tcPr>
          <w:p w14:paraId="6F0B376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C585B4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4B39BE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96FA05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A67EE4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02CA8D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C56A09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25BA23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069E367"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56C1E8F0" w14:textId="77777777" w:rsidTr="00F70C72">
        <w:tc>
          <w:tcPr>
            <w:tcW w:w="3964" w:type="dxa"/>
          </w:tcPr>
          <w:p w14:paraId="5557A55A" w14:textId="062E6869" w:rsidR="00ED2EBD" w:rsidRPr="00BD16B4" w:rsidRDefault="00ED2EBD" w:rsidP="004A205F">
            <w:pPr>
              <w:pStyle w:val="TableText"/>
              <w:spacing w:before="40" w:after="40"/>
              <w:rPr>
                <w:szCs w:val="18"/>
              </w:rPr>
            </w:pPr>
            <w:r w:rsidRPr="00BD16B4">
              <w:rPr>
                <w:szCs w:val="18"/>
              </w:rPr>
              <w:t>H.</w:t>
            </w:r>
            <w:r w:rsidR="00280979" w:rsidRPr="00BD16B4">
              <w:rPr>
                <w:szCs w:val="18"/>
              </w:rPr>
              <w:t xml:space="preserve"> </w:t>
            </w:r>
            <w:r w:rsidRPr="00BD16B4">
              <w:rPr>
                <w:szCs w:val="18"/>
              </w:rPr>
              <w:t>Urea application</w:t>
            </w:r>
          </w:p>
        </w:tc>
        <w:tc>
          <w:tcPr>
            <w:tcW w:w="964" w:type="dxa"/>
            <w:tcBorders>
              <w:top w:val="single" w:sz="4" w:space="0" w:color="1B556B" w:themeColor="text2"/>
            </w:tcBorders>
            <w:shd w:val="clear" w:color="auto" w:fill="D2DDE1" w:themeFill="background2"/>
          </w:tcPr>
          <w:p w14:paraId="1E6F58E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0B3067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F0AD31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D50585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E59022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7B46D2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FCB787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BD908C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0339AAF"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5B3F8063" w14:textId="77777777" w:rsidTr="00F70C72">
        <w:tc>
          <w:tcPr>
            <w:tcW w:w="3964" w:type="dxa"/>
          </w:tcPr>
          <w:p w14:paraId="68123653" w14:textId="635B52B9" w:rsidR="00ED2EBD" w:rsidRPr="00BD16B4" w:rsidRDefault="00ED2EBD" w:rsidP="004A205F">
            <w:pPr>
              <w:pStyle w:val="TableText"/>
              <w:spacing w:before="40" w:after="40"/>
              <w:rPr>
                <w:szCs w:val="18"/>
              </w:rPr>
            </w:pPr>
            <w:r w:rsidRPr="00BD16B4">
              <w:rPr>
                <w:szCs w:val="18"/>
              </w:rPr>
              <w:t>I.</w:t>
            </w:r>
            <w:r w:rsidR="00280979" w:rsidRPr="00BD16B4">
              <w:rPr>
                <w:szCs w:val="18"/>
              </w:rPr>
              <w:t xml:space="preserve"> </w:t>
            </w:r>
            <w:r w:rsidRPr="00BD16B4">
              <w:rPr>
                <w:szCs w:val="18"/>
              </w:rPr>
              <w:t>Other carbon-containing fertilizers</w:t>
            </w:r>
          </w:p>
        </w:tc>
        <w:tc>
          <w:tcPr>
            <w:tcW w:w="964" w:type="dxa"/>
            <w:tcBorders>
              <w:top w:val="single" w:sz="4" w:space="0" w:color="1B556B" w:themeColor="text2"/>
            </w:tcBorders>
            <w:shd w:val="clear" w:color="auto" w:fill="D2DDE1" w:themeFill="background2"/>
          </w:tcPr>
          <w:p w14:paraId="1DBAEF0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77100C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5381B0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471A69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711FBC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7F3D45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0269E9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49E160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FBF5C2A"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31C59B7D" w14:textId="77777777" w:rsidTr="00F70C72">
        <w:tc>
          <w:tcPr>
            <w:tcW w:w="3964" w:type="dxa"/>
          </w:tcPr>
          <w:p w14:paraId="2E2D3A98" w14:textId="1E50BF34" w:rsidR="00ED2EBD" w:rsidRPr="00BD16B4" w:rsidRDefault="00ED2EBD" w:rsidP="004A205F">
            <w:pPr>
              <w:pStyle w:val="TableText"/>
              <w:spacing w:before="40" w:after="40"/>
              <w:rPr>
                <w:szCs w:val="18"/>
              </w:rPr>
            </w:pPr>
            <w:r w:rsidRPr="00BD16B4">
              <w:rPr>
                <w:szCs w:val="18"/>
              </w:rPr>
              <w:t>J.</w:t>
            </w:r>
            <w:r w:rsidR="00280979" w:rsidRPr="00BD16B4">
              <w:rPr>
                <w:szCs w:val="18"/>
              </w:rPr>
              <w:t xml:space="preserve"> </w:t>
            </w:r>
            <w:r w:rsidRPr="00BD16B4">
              <w:rPr>
                <w:szCs w:val="18"/>
              </w:rPr>
              <w:t xml:space="preserve">Other </w:t>
            </w:r>
          </w:p>
        </w:tc>
        <w:tc>
          <w:tcPr>
            <w:tcW w:w="964" w:type="dxa"/>
            <w:tcBorders>
              <w:top w:val="single" w:sz="4" w:space="0" w:color="1B556B" w:themeColor="text2"/>
            </w:tcBorders>
            <w:shd w:val="clear" w:color="auto" w:fill="D2DDE1" w:themeFill="background2"/>
          </w:tcPr>
          <w:p w14:paraId="182DB0E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BE7BBE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41F37D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CAD5D0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1D6215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EC9098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18039F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F3DA1F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A7B284C" w14:textId="77777777" w:rsidR="00ED2EBD" w:rsidRPr="00BD16B4" w:rsidRDefault="00ED2EBD" w:rsidP="004A205F">
            <w:pPr>
              <w:pStyle w:val="TableText"/>
              <w:spacing w:before="40" w:after="40"/>
              <w:jc w:val="right"/>
              <w:rPr>
                <w:szCs w:val="18"/>
              </w:rPr>
            </w:pPr>
            <w:r w:rsidRPr="00BD16B4">
              <w:rPr>
                <w:color w:val="000000"/>
                <w:szCs w:val="18"/>
              </w:rPr>
              <w:t> </w:t>
            </w:r>
          </w:p>
        </w:tc>
      </w:tr>
      <w:tr w:rsidR="008E7C93" w:rsidRPr="00BD16B4" w14:paraId="79A8D44C" w14:textId="77777777" w:rsidTr="00F70C72">
        <w:tc>
          <w:tcPr>
            <w:tcW w:w="3964" w:type="dxa"/>
          </w:tcPr>
          <w:p w14:paraId="04EAE6E0" w14:textId="6719EB49" w:rsidR="00ED2EBD" w:rsidRPr="00BD16B4" w:rsidRDefault="00ED2EBD" w:rsidP="004A205F">
            <w:pPr>
              <w:pStyle w:val="TableText"/>
              <w:spacing w:before="40" w:after="40"/>
              <w:rPr>
                <w:szCs w:val="18"/>
              </w:rPr>
            </w:pPr>
            <w:r w:rsidRPr="00BD16B4">
              <w:rPr>
                <w:b/>
                <w:bCs/>
                <w:szCs w:val="18"/>
              </w:rPr>
              <w:t>4.</w:t>
            </w:r>
            <w:r w:rsidR="00280979" w:rsidRPr="00BD16B4">
              <w:rPr>
                <w:b/>
                <w:bCs/>
                <w:szCs w:val="18"/>
              </w:rPr>
              <w:t xml:space="preserve"> </w:t>
            </w:r>
            <w:r w:rsidRPr="00BD16B4">
              <w:rPr>
                <w:b/>
                <w:bCs/>
                <w:szCs w:val="18"/>
              </w:rPr>
              <w:t>Land Use, Land-Use Change and Forestry</w:t>
            </w:r>
          </w:p>
        </w:tc>
        <w:tc>
          <w:tcPr>
            <w:tcW w:w="964" w:type="dxa"/>
            <w:shd w:val="clear" w:color="auto" w:fill="auto"/>
          </w:tcPr>
          <w:p w14:paraId="42A7D865" w14:textId="77777777" w:rsidR="00ED2EBD" w:rsidRPr="00BD16B4" w:rsidRDefault="00ED2EBD" w:rsidP="004A205F">
            <w:pPr>
              <w:pStyle w:val="TableText"/>
              <w:spacing w:before="40" w:after="40"/>
              <w:jc w:val="right"/>
              <w:rPr>
                <w:szCs w:val="18"/>
              </w:rPr>
            </w:pPr>
            <w:r w:rsidRPr="00BD16B4">
              <w:rPr>
                <w:szCs w:val="18"/>
              </w:rPr>
              <w:t>2.75</w:t>
            </w:r>
          </w:p>
        </w:tc>
        <w:tc>
          <w:tcPr>
            <w:tcW w:w="964" w:type="dxa"/>
            <w:shd w:val="clear" w:color="auto" w:fill="auto"/>
          </w:tcPr>
          <w:p w14:paraId="3C257D4C" w14:textId="77777777" w:rsidR="00ED2EBD" w:rsidRPr="00BD16B4" w:rsidRDefault="00ED2EBD" w:rsidP="004A205F">
            <w:pPr>
              <w:pStyle w:val="TableText"/>
              <w:spacing w:before="40" w:after="40"/>
              <w:jc w:val="right"/>
              <w:rPr>
                <w:szCs w:val="18"/>
              </w:rPr>
            </w:pPr>
            <w:r w:rsidRPr="00BD16B4">
              <w:rPr>
                <w:szCs w:val="18"/>
              </w:rPr>
              <w:t>1.93</w:t>
            </w:r>
          </w:p>
        </w:tc>
        <w:tc>
          <w:tcPr>
            <w:tcW w:w="964" w:type="dxa"/>
            <w:shd w:val="clear" w:color="auto" w:fill="auto"/>
          </w:tcPr>
          <w:p w14:paraId="0544A7F3" w14:textId="77777777" w:rsidR="00ED2EBD" w:rsidRPr="00BD16B4" w:rsidRDefault="00ED2EBD" w:rsidP="004A205F">
            <w:pPr>
              <w:pStyle w:val="TableText"/>
              <w:spacing w:before="40" w:after="40"/>
              <w:jc w:val="right"/>
              <w:rPr>
                <w:szCs w:val="18"/>
              </w:rPr>
            </w:pPr>
            <w:r w:rsidRPr="00BD16B4">
              <w:rPr>
                <w:szCs w:val="18"/>
              </w:rPr>
              <w:t>2.27</w:t>
            </w:r>
          </w:p>
        </w:tc>
        <w:tc>
          <w:tcPr>
            <w:tcW w:w="964" w:type="dxa"/>
            <w:shd w:val="clear" w:color="auto" w:fill="auto"/>
          </w:tcPr>
          <w:p w14:paraId="35EBD8DD" w14:textId="77777777" w:rsidR="00ED2EBD" w:rsidRPr="00BD16B4" w:rsidRDefault="00ED2EBD" w:rsidP="004A205F">
            <w:pPr>
              <w:pStyle w:val="TableText"/>
              <w:spacing w:before="40" w:after="40"/>
              <w:jc w:val="right"/>
              <w:rPr>
                <w:szCs w:val="18"/>
              </w:rPr>
            </w:pPr>
            <w:r w:rsidRPr="00BD16B4">
              <w:rPr>
                <w:szCs w:val="18"/>
              </w:rPr>
              <w:t>2.93</w:t>
            </w:r>
          </w:p>
        </w:tc>
        <w:tc>
          <w:tcPr>
            <w:tcW w:w="964" w:type="dxa"/>
            <w:shd w:val="clear" w:color="auto" w:fill="auto"/>
          </w:tcPr>
          <w:p w14:paraId="33EB69FB" w14:textId="77777777" w:rsidR="00ED2EBD" w:rsidRPr="00BD16B4" w:rsidRDefault="00ED2EBD" w:rsidP="004A205F">
            <w:pPr>
              <w:pStyle w:val="TableText"/>
              <w:spacing w:before="40" w:after="40"/>
              <w:jc w:val="right"/>
              <w:rPr>
                <w:szCs w:val="18"/>
              </w:rPr>
            </w:pPr>
            <w:r w:rsidRPr="00BD16B4">
              <w:rPr>
                <w:szCs w:val="18"/>
              </w:rPr>
              <w:t>3.21</w:t>
            </w:r>
          </w:p>
        </w:tc>
        <w:tc>
          <w:tcPr>
            <w:tcW w:w="964" w:type="dxa"/>
            <w:shd w:val="clear" w:color="auto" w:fill="auto"/>
          </w:tcPr>
          <w:p w14:paraId="694D97E6" w14:textId="77777777" w:rsidR="00ED2EBD" w:rsidRPr="00BD16B4" w:rsidRDefault="00ED2EBD" w:rsidP="004A205F">
            <w:pPr>
              <w:pStyle w:val="TableText"/>
              <w:spacing w:before="40" w:after="40"/>
              <w:jc w:val="right"/>
              <w:rPr>
                <w:szCs w:val="18"/>
              </w:rPr>
            </w:pPr>
            <w:r w:rsidRPr="00BD16B4">
              <w:rPr>
                <w:szCs w:val="18"/>
              </w:rPr>
              <w:t>3.09</w:t>
            </w:r>
          </w:p>
        </w:tc>
        <w:tc>
          <w:tcPr>
            <w:tcW w:w="964" w:type="dxa"/>
            <w:shd w:val="clear" w:color="auto" w:fill="auto"/>
          </w:tcPr>
          <w:p w14:paraId="60C94AF6" w14:textId="77777777" w:rsidR="00ED2EBD" w:rsidRPr="00BD16B4" w:rsidRDefault="00ED2EBD" w:rsidP="004A205F">
            <w:pPr>
              <w:pStyle w:val="TableText"/>
              <w:spacing w:before="40" w:after="40"/>
              <w:jc w:val="right"/>
              <w:rPr>
                <w:szCs w:val="18"/>
              </w:rPr>
            </w:pPr>
            <w:r w:rsidRPr="00BD16B4">
              <w:rPr>
                <w:szCs w:val="18"/>
              </w:rPr>
              <w:t>3.53</w:t>
            </w:r>
          </w:p>
        </w:tc>
        <w:tc>
          <w:tcPr>
            <w:tcW w:w="964" w:type="dxa"/>
            <w:shd w:val="clear" w:color="auto" w:fill="auto"/>
          </w:tcPr>
          <w:p w14:paraId="254DBB9A" w14:textId="77777777" w:rsidR="00ED2EBD" w:rsidRPr="00BD16B4" w:rsidRDefault="00ED2EBD" w:rsidP="004A205F">
            <w:pPr>
              <w:pStyle w:val="TableText"/>
              <w:spacing w:before="40" w:after="40"/>
              <w:jc w:val="right"/>
              <w:rPr>
                <w:szCs w:val="18"/>
              </w:rPr>
            </w:pPr>
            <w:r w:rsidRPr="00BD16B4">
              <w:rPr>
                <w:szCs w:val="18"/>
              </w:rPr>
              <w:t>3.47</w:t>
            </w:r>
          </w:p>
        </w:tc>
        <w:tc>
          <w:tcPr>
            <w:tcW w:w="964" w:type="dxa"/>
            <w:shd w:val="clear" w:color="auto" w:fill="auto"/>
          </w:tcPr>
          <w:p w14:paraId="3222BC91" w14:textId="77777777" w:rsidR="00ED2EBD" w:rsidRPr="00BD16B4" w:rsidRDefault="00ED2EBD" w:rsidP="004A205F">
            <w:pPr>
              <w:pStyle w:val="TableText"/>
              <w:spacing w:before="40" w:after="40"/>
              <w:jc w:val="right"/>
              <w:rPr>
                <w:szCs w:val="18"/>
              </w:rPr>
            </w:pPr>
            <w:r w:rsidRPr="00BD16B4">
              <w:rPr>
                <w:szCs w:val="18"/>
              </w:rPr>
              <w:t>4.86</w:t>
            </w:r>
          </w:p>
        </w:tc>
      </w:tr>
      <w:tr w:rsidR="008E7C93" w:rsidRPr="00BD16B4" w14:paraId="46151830" w14:textId="77777777" w:rsidTr="00F70C72">
        <w:tc>
          <w:tcPr>
            <w:tcW w:w="3964" w:type="dxa"/>
          </w:tcPr>
          <w:p w14:paraId="5CE56EB4" w14:textId="67A4684C"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Forest land</w:t>
            </w:r>
          </w:p>
        </w:tc>
        <w:tc>
          <w:tcPr>
            <w:tcW w:w="964" w:type="dxa"/>
            <w:shd w:val="clear" w:color="auto" w:fill="auto"/>
          </w:tcPr>
          <w:p w14:paraId="68D4DC69" w14:textId="77777777" w:rsidR="00ED2EBD" w:rsidRPr="00BD16B4" w:rsidRDefault="00ED2EBD" w:rsidP="004A205F">
            <w:pPr>
              <w:pStyle w:val="TableText"/>
              <w:spacing w:before="40" w:after="40"/>
              <w:jc w:val="right"/>
              <w:rPr>
                <w:szCs w:val="18"/>
              </w:rPr>
            </w:pPr>
            <w:r w:rsidRPr="00BD16B4">
              <w:rPr>
                <w:szCs w:val="18"/>
              </w:rPr>
              <w:t>0.71</w:t>
            </w:r>
          </w:p>
        </w:tc>
        <w:tc>
          <w:tcPr>
            <w:tcW w:w="964" w:type="dxa"/>
            <w:shd w:val="clear" w:color="auto" w:fill="auto"/>
          </w:tcPr>
          <w:p w14:paraId="49188CFF" w14:textId="77777777" w:rsidR="00ED2EBD" w:rsidRPr="00BD16B4" w:rsidRDefault="00ED2EBD" w:rsidP="004A205F">
            <w:pPr>
              <w:pStyle w:val="TableText"/>
              <w:spacing w:before="40" w:after="40"/>
              <w:jc w:val="right"/>
              <w:rPr>
                <w:szCs w:val="18"/>
              </w:rPr>
            </w:pPr>
            <w:r w:rsidRPr="00BD16B4">
              <w:rPr>
                <w:szCs w:val="18"/>
              </w:rPr>
              <w:t>0.52</w:t>
            </w:r>
          </w:p>
        </w:tc>
        <w:tc>
          <w:tcPr>
            <w:tcW w:w="964" w:type="dxa"/>
            <w:shd w:val="clear" w:color="auto" w:fill="auto"/>
          </w:tcPr>
          <w:p w14:paraId="4DE5FF35" w14:textId="77777777" w:rsidR="00ED2EBD" w:rsidRPr="00BD16B4" w:rsidRDefault="00ED2EBD" w:rsidP="004A205F">
            <w:pPr>
              <w:pStyle w:val="TableText"/>
              <w:spacing w:before="40" w:after="40"/>
              <w:jc w:val="right"/>
              <w:rPr>
                <w:szCs w:val="18"/>
              </w:rPr>
            </w:pPr>
            <w:r w:rsidRPr="00BD16B4">
              <w:rPr>
                <w:szCs w:val="18"/>
              </w:rPr>
              <w:t>0.50</w:t>
            </w:r>
          </w:p>
        </w:tc>
        <w:tc>
          <w:tcPr>
            <w:tcW w:w="964" w:type="dxa"/>
            <w:shd w:val="clear" w:color="auto" w:fill="auto"/>
          </w:tcPr>
          <w:p w14:paraId="0B7C75AA" w14:textId="77777777" w:rsidR="00ED2EBD" w:rsidRPr="00BD16B4" w:rsidRDefault="00ED2EBD" w:rsidP="004A205F">
            <w:pPr>
              <w:pStyle w:val="TableText"/>
              <w:spacing w:before="40" w:after="40"/>
              <w:jc w:val="right"/>
              <w:rPr>
                <w:szCs w:val="18"/>
              </w:rPr>
            </w:pPr>
            <w:r w:rsidRPr="00BD16B4">
              <w:rPr>
                <w:szCs w:val="18"/>
              </w:rPr>
              <w:t>0.53</w:t>
            </w:r>
          </w:p>
        </w:tc>
        <w:tc>
          <w:tcPr>
            <w:tcW w:w="964" w:type="dxa"/>
            <w:shd w:val="clear" w:color="auto" w:fill="auto"/>
          </w:tcPr>
          <w:p w14:paraId="40BAB354" w14:textId="77777777" w:rsidR="00ED2EBD" w:rsidRPr="00BD16B4" w:rsidRDefault="00ED2EBD" w:rsidP="004A205F">
            <w:pPr>
              <w:pStyle w:val="TableText"/>
              <w:spacing w:before="40" w:after="40"/>
              <w:jc w:val="right"/>
              <w:rPr>
                <w:szCs w:val="18"/>
              </w:rPr>
            </w:pPr>
            <w:r w:rsidRPr="00BD16B4">
              <w:rPr>
                <w:szCs w:val="18"/>
              </w:rPr>
              <w:t>0.73</w:t>
            </w:r>
          </w:p>
        </w:tc>
        <w:tc>
          <w:tcPr>
            <w:tcW w:w="964" w:type="dxa"/>
            <w:shd w:val="clear" w:color="auto" w:fill="auto"/>
          </w:tcPr>
          <w:p w14:paraId="557E7CAC" w14:textId="77777777" w:rsidR="00ED2EBD" w:rsidRPr="00BD16B4" w:rsidRDefault="00ED2EBD" w:rsidP="004A205F">
            <w:pPr>
              <w:pStyle w:val="TableText"/>
              <w:spacing w:before="40" w:after="40"/>
              <w:jc w:val="right"/>
              <w:rPr>
                <w:szCs w:val="18"/>
              </w:rPr>
            </w:pPr>
            <w:r w:rsidRPr="00BD16B4">
              <w:rPr>
                <w:szCs w:val="18"/>
              </w:rPr>
              <w:t>0.73</w:t>
            </w:r>
          </w:p>
        </w:tc>
        <w:tc>
          <w:tcPr>
            <w:tcW w:w="964" w:type="dxa"/>
            <w:shd w:val="clear" w:color="auto" w:fill="auto"/>
          </w:tcPr>
          <w:p w14:paraId="7081C68C" w14:textId="77777777" w:rsidR="00ED2EBD" w:rsidRPr="00BD16B4" w:rsidRDefault="00ED2EBD" w:rsidP="004A205F">
            <w:pPr>
              <w:pStyle w:val="TableText"/>
              <w:spacing w:before="40" w:after="40"/>
              <w:jc w:val="right"/>
              <w:rPr>
                <w:szCs w:val="18"/>
              </w:rPr>
            </w:pPr>
            <w:r w:rsidRPr="00BD16B4">
              <w:rPr>
                <w:szCs w:val="18"/>
              </w:rPr>
              <w:t>0.89</w:t>
            </w:r>
          </w:p>
        </w:tc>
        <w:tc>
          <w:tcPr>
            <w:tcW w:w="964" w:type="dxa"/>
            <w:shd w:val="clear" w:color="auto" w:fill="auto"/>
          </w:tcPr>
          <w:p w14:paraId="3DAAD090" w14:textId="77777777" w:rsidR="00ED2EBD" w:rsidRPr="00BD16B4" w:rsidRDefault="00ED2EBD" w:rsidP="004A205F">
            <w:pPr>
              <w:pStyle w:val="TableText"/>
              <w:spacing w:before="40" w:after="40"/>
              <w:jc w:val="right"/>
              <w:rPr>
                <w:szCs w:val="18"/>
              </w:rPr>
            </w:pPr>
            <w:r w:rsidRPr="00BD16B4">
              <w:rPr>
                <w:szCs w:val="18"/>
              </w:rPr>
              <w:t>1.18</w:t>
            </w:r>
          </w:p>
        </w:tc>
        <w:tc>
          <w:tcPr>
            <w:tcW w:w="964" w:type="dxa"/>
            <w:shd w:val="clear" w:color="auto" w:fill="auto"/>
          </w:tcPr>
          <w:p w14:paraId="5D0FE6C6" w14:textId="77777777" w:rsidR="00ED2EBD" w:rsidRPr="00BD16B4" w:rsidRDefault="00ED2EBD" w:rsidP="004A205F">
            <w:pPr>
              <w:pStyle w:val="TableText"/>
              <w:spacing w:before="40" w:after="40"/>
              <w:jc w:val="right"/>
              <w:rPr>
                <w:szCs w:val="18"/>
              </w:rPr>
            </w:pPr>
            <w:r w:rsidRPr="00BD16B4">
              <w:rPr>
                <w:szCs w:val="18"/>
              </w:rPr>
              <w:t>0.77</w:t>
            </w:r>
          </w:p>
        </w:tc>
      </w:tr>
      <w:tr w:rsidR="008E7C93" w:rsidRPr="00BD16B4" w14:paraId="49F0E89F" w14:textId="77777777" w:rsidTr="00F70C72">
        <w:tc>
          <w:tcPr>
            <w:tcW w:w="3964" w:type="dxa"/>
          </w:tcPr>
          <w:p w14:paraId="324DD69C" w14:textId="661F8FB4"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Cropland</w:t>
            </w:r>
          </w:p>
        </w:tc>
        <w:tc>
          <w:tcPr>
            <w:tcW w:w="964" w:type="dxa"/>
            <w:shd w:val="clear" w:color="auto" w:fill="auto"/>
          </w:tcPr>
          <w:p w14:paraId="6F2EEB19" w14:textId="77777777" w:rsidR="00ED2EBD" w:rsidRPr="00BD16B4" w:rsidRDefault="00ED2EBD" w:rsidP="004A205F">
            <w:pPr>
              <w:pStyle w:val="TableText"/>
              <w:spacing w:before="40" w:after="40"/>
              <w:jc w:val="right"/>
              <w:rPr>
                <w:szCs w:val="18"/>
              </w:rPr>
            </w:pPr>
            <w:r w:rsidRPr="00BD16B4">
              <w:rPr>
                <w:szCs w:val="18"/>
              </w:rPr>
              <w:t>NE, IE</w:t>
            </w:r>
          </w:p>
        </w:tc>
        <w:tc>
          <w:tcPr>
            <w:tcW w:w="964" w:type="dxa"/>
            <w:shd w:val="clear" w:color="auto" w:fill="auto"/>
          </w:tcPr>
          <w:p w14:paraId="75FE0268" w14:textId="77777777" w:rsidR="00ED2EBD" w:rsidRPr="00BD16B4" w:rsidRDefault="00ED2EBD" w:rsidP="004A205F">
            <w:pPr>
              <w:pStyle w:val="TableText"/>
              <w:spacing w:before="40" w:after="40"/>
              <w:jc w:val="right"/>
              <w:rPr>
                <w:szCs w:val="18"/>
              </w:rPr>
            </w:pPr>
            <w:r w:rsidRPr="00BD16B4">
              <w:rPr>
                <w:szCs w:val="18"/>
              </w:rPr>
              <w:t>NE, IE</w:t>
            </w:r>
          </w:p>
        </w:tc>
        <w:tc>
          <w:tcPr>
            <w:tcW w:w="964" w:type="dxa"/>
            <w:shd w:val="clear" w:color="auto" w:fill="auto"/>
          </w:tcPr>
          <w:p w14:paraId="2CAF5861" w14:textId="77777777" w:rsidR="00ED2EBD" w:rsidRPr="00BD16B4" w:rsidRDefault="00ED2EBD" w:rsidP="004A205F">
            <w:pPr>
              <w:pStyle w:val="TableText"/>
              <w:spacing w:before="40" w:after="40"/>
              <w:jc w:val="right"/>
              <w:rPr>
                <w:szCs w:val="18"/>
              </w:rPr>
            </w:pPr>
            <w:r w:rsidRPr="00BD16B4">
              <w:rPr>
                <w:szCs w:val="18"/>
              </w:rPr>
              <w:t>NE, IE</w:t>
            </w:r>
          </w:p>
        </w:tc>
        <w:tc>
          <w:tcPr>
            <w:tcW w:w="964" w:type="dxa"/>
            <w:shd w:val="clear" w:color="auto" w:fill="auto"/>
          </w:tcPr>
          <w:p w14:paraId="5DDE39CF" w14:textId="77777777" w:rsidR="00ED2EBD" w:rsidRPr="00BD16B4" w:rsidRDefault="00ED2EBD" w:rsidP="004A205F">
            <w:pPr>
              <w:pStyle w:val="TableText"/>
              <w:spacing w:before="40" w:after="40"/>
              <w:jc w:val="right"/>
              <w:rPr>
                <w:szCs w:val="18"/>
              </w:rPr>
            </w:pPr>
            <w:r w:rsidRPr="00BD16B4">
              <w:rPr>
                <w:szCs w:val="18"/>
              </w:rPr>
              <w:t>NE, IE</w:t>
            </w:r>
          </w:p>
        </w:tc>
        <w:tc>
          <w:tcPr>
            <w:tcW w:w="964" w:type="dxa"/>
            <w:shd w:val="clear" w:color="auto" w:fill="auto"/>
          </w:tcPr>
          <w:p w14:paraId="315C995C" w14:textId="77777777" w:rsidR="00ED2EBD" w:rsidRPr="00BD16B4" w:rsidRDefault="00ED2EBD" w:rsidP="004A205F">
            <w:pPr>
              <w:pStyle w:val="TableText"/>
              <w:spacing w:before="40" w:after="40"/>
              <w:jc w:val="right"/>
              <w:rPr>
                <w:szCs w:val="18"/>
              </w:rPr>
            </w:pPr>
            <w:r w:rsidRPr="00BD16B4">
              <w:rPr>
                <w:szCs w:val="18"/>
              </w:rPr>
              <w:t>NE, IE</w:t>
            </w:r>
          </w:p>
        </w:tc>
        <w:tc>
          <w:tcPr>
            <w:tcW w:w="964" w:type="dxa"/>
            <w:shd w:val="clear" w:color="auto" w:fill="auto"/>
          </w:tcPr>
          <w:p w14:paraId="48742C1F" w14:textId="77777777" w:rsidR="00ED2EBD" w:rsidRPr="00BD16B4" w:rsidRDefault="00ED2EBD" w:rsidP="004A205F">
            <w:pPr>
              <w:pStyle w:val="TableText"/>
              <w:spacing w:before="40" w:after="40"/>
              <w:jc w:val="right"/>
              <w:rPr>
                <w:szCs w:val="18"/>
              </w:rPr>
            </w:pPr>
            <w:r w:rsidRPr="00BD16B4">
              <w:rPr>
                <w:szCs w:val="18"/>
              </w:rPr>
              <w:t>NE, IE</w:t>
            </w:r>
          </w:p>
        </w:tc>
        <w:tc>
          <w:tcPr>
            <w:tcW w:w="964" w:type="dxa"/>
            <w:shd w:val="clear" w:color="auto" w:fill="auto"/>
          </w:tcPr>
          <w:p w14:paraId="2BCD88F7" w14:textId="77777777" w:rsidR="00ED2EBD" w:rsidRPr="00BD16B4" w:rsidRDefault="00ED2EBD" w:rsidP="004A205F">
            <w:pPr>
              <w:pStyle w:val="TableText"/>
              <w:spacing w:before="40" w:after="40"/>
              <w:jc w:val="right"/>
              <w:rPr>
                <w:szCs w:val="18"/>
              </w:rPr>
            </w:pPr>
            <w:r w:rsidRPr="00BD16B4">
              <w:rPr>
                <w:szCs w:val="18"/>
              </w:rPr>
              <w:t>NE, IE</w:t>
            </w:r>
          </w:p>
        </w:tc>
        <w:tc>
          <w:tcPr>
            <w:tcW w:w="964" w:type="dxa"/>
            <w:shd w:val="clear" w:color="auto" w:fill="auto"/>
          </w:tcPr>
          <w:p w14:paraId="070C2E32" w14:textId="77777777" w:rsidR="00ED2EBD" w:rsidRPr="00BD16B4" w:rsidRDefault="00ED2EBD" w:rsidP="004A205F">
            <w:pPr>
              <w:pStyle w:val="TableText"/>
              <w:spacing w:before="40" w:after="40"/>
              <w:jc w:val="right"/>
              <w:rPr>
                <w:szCs w:val="18"/>
              </w:rPr>
            </w:pPr>
            <w:r w:rsidRPr="00BD16B4">
              <w:rPr>
                <w:szCs w:val="18"/>
              </w:rPr>
              <w:t>NE, IE</w:t>
            </w:r>
          </w:p>
        </w:tc>
        <w:tc>
          <w:tcPr>
            <w:tcW w:w="964" w:type="dxa"/>
            <w:shd w:val="clear" w:color="auto" w:fill="auto"/>
          </w:tcPr>
          <w:p w14:paraId="7954EC0F" w14:textId="77777777" w:rsidR="00ED2EBD" w:rsidRPr="00BD16B4" w:rsidRDefault="00ED2EBD" w:rsidP="004A205F">
            <w:pPr>
              <w:pStyle w:val="TableText"/>
              <w:spacing w:before="40" w:after="40"/>
              <w:jc w:val="right"/>
              <w:rPr>
                <w:szCs w:val="18"/>
              </w:rPr>
            </w:pPr>
            <w:r w:rsidRPr="00BD16B4">
              <w:rPr>
                <w:szCs w:val="18"/>
              </w:rPr>
              <w:t>NE, IE</w:t>
            </w:r>
          </w:p>
        </w:tc>
      </w:tr>
      <w:tr w:rsidR="008E7C93" w:rsidRPr="00BD16B4" w14:paraId="0D2880F5" w14:textId="77777777" w:rsidTr="00F70C72">
        <w:tc>
          <w:tcPr>
            <w:tcW w:w="3964" w:type="dxa"/>
          </w:tcPr>
          <w:p w14:paraId="3A18E844" w14:textId="127DE5F7"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Grassland</w:t>
            </w:r>
          </w:p>
        </w:tc>
        <w:tc>
          <w:tcPr>
            <w:tcW w:w="964" w:type="dxa"/>
            <w:shd w:val="clear" w:color="auto" w:fill="auto"/>
          </w:tcPr>
          <w:p w14:paraId="68933DA3" w14:textId="77777777" w:rsidR="00ED2EBD" w:rsidRPr="00BD16B4" w:rsidRDefault="00ED2EBD" w:rsidP="004A205F">
            <w:pPr>
              <w:pStyle w:val="TableText"/>
              <w:spacing w:before="40" w:after="40"/>
              <w:jc w:val="right"/>
              <w:rPr>
                <w:szCs w:val="18"/>
              </w:rPr>
            </w:pPr>
            <w:r w:rsidRPr="00BD16B4">
              <w:rPr>
                <w:szCs w:val="18"/>
              </w:rPr>
              <w:t>2.03</w:t>
            </w:r>
          </w:p>
        </w:tc>
        <w:tc>
          <w:tcPr>
            <w:tcW w:w="964" w:type="dxa"/>
            <w:shd w:val="clear" w:color="auto" w:fill="auto"/>
          </w:tcPr>
          <w:p w14:paraId="73B0743F" w14:textId="77777777" w:rsidR="00ED2EBD" w:rsidRPr="00BD16B4" w:rsidRDefault="00ED2EBD" w:rsidP="004A205F">
            <w:pPr>
              <w:pStyle w:val="TableText"/>
              <w:spacing w:before="40" w:after="40"/>
              <w:jc w:val="right"/>
              <w:rPr>
                <w:szCs w:val="18"/>
              </w:rPr>
            </w:pPr>
            <w:r w:rsidRPr="00BD16B4">
              <w:rPr>
                <w:szCs w:val="18"/>
              </w:rPr>
              <w:t>1.41</w:t>
            </w:r>
          </w:p>
        </w:tc>
        <w:tc>
          <w:tcPr>
            <w:tcW w:w="964" w:type="dxa"/>
            <w:shd w:val="clear" w:color="auto" w:fill="auto"/>
          </w:tcPr>
          <w:p w14:paraId="53689384" w14:textId="77777777" w:rsidR="00ED2EBD" w:rsidRPr="00BD16B4" w:rsidRDefault="00ED2EBD" w:rsidP="004A205F">
            <w:pPr>
              <w:pStyle w:val="TableText"/>
              <w:spacing w:before="40" w:after="40"/>
              <w:jc w:val="right"/>
              <w:rPr>
                <w:szCs w:val="18"/>
              </w:rPr>
            </w:pPr>
            <w:r w:rsidRPr="00BD16B4">
              <w:rPr>
                <w:szCs w:val="18"/>
              </w:rPr>
              <w:t>1.78</w:t>
            </w:r>
          </w:p>
        </w:tc>
        <w:tc>
          <w:tcPr>
            <w:tcW w:w="964" w:type="dxa"/>
            <w:shd w:val="clear" w:color="auto" w:fill="auto"/>
          </w:tcPr>
          <w:p w14:paraId="6DF007E4" w14:textId="77777777" w:rsidR="00ED2EBD" w:rsidRPr="00BD16B4" w:rsidRDefault="00ED2EBD" w:rsidP="004A205F">
            <w:pPr>
              <w:pStyle w:val="TableText"/>
              <w:spacing w:before="40" w:after="40"/>
              <w:jc w:val="right"/>
              <w:rPr>
                <w:szCs w:val="18"/>
              </w:rPr>
            </w:pPr>
            <w:r w:rsidRPr="00BD16B4">
              <w:rPr>
                <w:szCs w:val="18"/>
              </w:rPr>
              <w:t>2.40</w:t>
            </w:r>
          </w:p>
        </w:tc>
        <w:tc>
          <w:tcPr>
            <w:tcW w:w="964" w:type="dxa"/>
            <w:shd w:val="clear" w:color="auto" w:fill="auto"/>
          </w:tcPr>
          <w:p w14:paraId="2C6BA6F9" w14:textId="77777777" w:rsidR="00ED2EBD" w:rsidRPr="00BD16B4" w:rsidRDefault="00ED2EBD" w:rsidP="004A205F">
            <w:pPr>
              <w:pStyle w:val="TableText"/>
              <w:spacing w:before="40" w:after="40"/>
              <w:jc w:val="right"/>
              <w:rPr>
                <w:szCs w:val="18"/>
              </w:rPr>
            </w:pPr>
            <w:r w:rsidRPr="00BD16B4">
              <w:rPr>
                <w:szCs w:val="18"/>
              </w:rPr>
              <w:t>2.48</w:t>
            </w:r>
          </w:p>
        </w:tc>
        <w:tc>
          <w:tcPr>
            <w:tcW w:w="964" w:type="dxa"/>
            <w:shd w:val="clear" w:color="auto" w:fill="auto"/>
          </w:tcPr>
          <w:p w14:paraId="38F15CB9" w14:textId="77777777" w:rsidR="00ED2EBD" w:rsidRPr="00BD16B4" w:rsidRDefault="00ED2EBD" w:rsidP="004A205F">
            <w:pPr>
              <w:pStyle w:val="TableText"/>
              <w:spacing w:before="40" w:after="40"/>
              <w:jc w:val="right"/>
              <w:rPr>
                <w:szCs w:val="18"/>
              </w:rPr>
            </w:pPr>
            <w:r w:rsidRPr="00BD16B4">
              <w:rPr>
                <w:szCs w:val="18"/>
              </w:rPr>
              <w:t>2.36</w:t>
            </w:r>
          </w:p>
        </w:tc>
        <w:tc>
          <w:tcPr>
            <w:tcW w:w="964" w:type="dxa"/>
            <w:shd w:val="clear" w:color="auto" w:fill="auto"/>
          </w:tcPr>
          <w:p w14:paraId="1E7EFCE0" w14:textId="77777777" w:rsidR="00ED2EBD" w:rsidRPr="00BD16B4" w:rsidRDefault="00ED2EBD" w:rsidP="004A205F">
            <w:pPr>
              <w:pStyle w:val="TableText"/>
              <w:spacing w:before="40" w:after="40"/>
              <w:jc w:val="right"/>
              <w:rPr>
                <w:szCs w:val="18"/>
              </w:rPr>
            </w:pPr>
            <w:r w:rsidRPr="00BD16B4">
              <w:rPr>
                <w:szCs w:val="18"/>
              </w:rPr>
              <w:t>2.64</w:t>
            </w:r>
          </w:p>
        </w:tc>
        <w:tc>
          <w:tcPr>
            <w:tcW w:w="964" w:type="dxa"/>
            <w:shd w:val="clear" w:color="auto" w:fill="auto"/>
          </w:tcPr>
          <w:p w14:paraId="08B7E4C9" w14:textId="77777777" w:rsidR="00ED2EBD" w:rsidRPr="00BD16B4" w:rsidRDefault="00ED2EBD" w:rsidP="004A205F">
            <w:pPr>
              <w:pStyle w:val="TableText"/>
              <w:spacing w:before="40" w:after="40"/>
              <w:jc w:val="right"/>
              <w:rPr>
                <w:szCs w:val="18"/>
              </w:rPr>
            </w:pPr>
            <w:r w:rsidRPr="00BD16B4">
              <w:rPr>
                <w:szCs w:val="18"/>
              </w:rPr>
              <w:t>2.29</w:t>
            </w:r>
          </w:p>
        </w:tc>
        <w:tc>
          <w:tcPr>
            <w:tcW w:w="964" w:type="dxa"/>
            <w:shd w:val="clear" w:color="auto" w:fill="auto"/>
          </w:tcPr>
          <w:p w14:paraId="11D0AA78" w14:textId="77777777" w:rsidR="00ED2EBD" w:rsidRPr="00BD16B4" w:rsidRDefault="00ED2EBD" w:rsidP="004A205F">
            <w:pPr>
              <w:pStyle w:val="TableText"/>
              <w:spacing w:before="40" w:after="40"/>
              <w:jc w:val="right"/>
              <w:rPr>
                <w:szCs w:val="18"/>
              </w:rPr>
            </w:pPr>
            <w:r w:rsidRPr="00BD16B4">
              <w:rPr>
                <w:szCs w:val="18"/>
              </w:rPr>
              <w:t>4.08</w:t>
            </w:r>
          </w:p>
        </w:tc>
      </w:tr>
      <w:tr w:rsidR="008E7C93" w:rsidRPr="00BD16B4" w14:paraId="436B0509" w14:textId="77777777" w:rsidTr="00F70C72">
        <w:tc>
          <w:tcPr>
            <w:tcW w:w="3964" w:type="dxa"/>
          </w:tcPr>
          <w:p w14:paraId="65E7F5CB" w14:textId="302F3FCE" w:rsidR="00ED2EBD" w:rsidRPr="00BD16B4" w:rsidRDefault="00ED2EBD" w:rsidP="004A205F">
            <w:pPr>
              <w:pStyle w:val="TableText"/>
              <w:spacing w:before="40" w:after="40"/>
              <w:rPr>
                <w:szCs w:val="18"/>
              </w:rPr>
            </w:pPr>
            <w:r w:rsidRPr="00BD16B4">
              <w:rPr>
                <w:szCs w:val="18"/>
              </w:rPr>
              <w:t>D.</w:t>
            </w:r>
            <w:r w:rsidR="00280979" w:rsidRPr="00BD16B4">
              <w:rPr>
                <w:szCs w:val="18"/>
              </w:rPr>
              <w:t xml:space="preserve"> </w:t>
            </w:r>
            <w:r w:rsidRPr="00BD16B4">
              <w:rPr>
                <w:szCs w:val="18"/>
              </w:rPr>
              <w:t>Wetlands</w:t>
            </w:r>
          </w:p>
        </w:tc>
        <w:tc>
          <w:tcPr>
            <w:tcW w:w="964" w:type="dxa"/>
            <w:shd w:val="clear" w:color="auto" w:fill="auto"/>
          </w:tcPr>
          <w:p w14:paraId="0ECD4ED5" w14:textId="77777777" w:rsidR="00ED2EBD" w:rsidRPr="00BD16B4" w:rsidRDefault="00ED2EBD" w:rsidP="004A205F">
            <w:pPr>
              <w:pStyle w:val="TableText"/>
              <w:spacing w:before="40" w:after="40"/>
              <w:jc w:val="right"/>
              <w:rPr>
                <w:szCs w:val="18"/>
              </w:rPr>
            </w:pPr>
            <w:r w:rsidRPr="00BD16B4">
              <w:rPr>
                <w:szCs w:val="18"/>
              </w:rPr>
              <w:t>NE, NO</w:t>
            </w:r>
          </w:p>
        </w:tc>
        <w:tc>
          <w:tcPr>
            <w:tcW w:w="964" w:type="dxa"/>
            <w:shd w:val="clear" w:color="auto" w:fill="auto"/>
          </w:tcPr>
          <w:p w14:paraId="7555EBEF" w14:textId="77777777" w:rsidR="00ED2EBD" w:rsidRPr="00BD16B4" w:rsidRDefault="00ED2EBD" w:rsidP="004A205F">
            <w:pPr>
              <w:pStyle w:val="TableText"/>
              <w:spacing w:before="40" w:after="40"/>
              <w:jc w:val="right"/>
              <w:rPr>
                <w:szCs w:val="18"/>
              </w:rPr>
            </w:pPr>
            <w:r w:rsidRPr="00BD16B4">
              <w:rPr>
                <w:szCs w:val="18"/>
              </w:rPr>
              <w:t>NE, NO</w:t>
            </w:r>
          </w:p>
        </w:tc>
        <w:tc>
          <w:tcPr>
            <w:tcW w:w="964" w:type="dxa"/>
            <w:shd w:val="clear" w:color="auto" w:fill="auto"/>
          </w:tcPr>
          <w:p w14:paraId="7C49369E" w14:textId="77777777" w:rsidR="00ED2EBD" w:rsidRPr="00BD16B4" w:rsidRDefault="00ED2EBD" w:rsidP="004A205F">
            <w:pPr>
              <w:pStyle w:val="TableText"/>
              <w:spacing w:before="40" w:after="40"/>
              <w:jc w:val="right"/>
              <w:rPr>
                <w:szCs w:val="18"/>
              </w:rPr>
            </w:pPr>
            <w:r w:rsidRPr="00BD16B4">
              <w:rPr>
                <w:szCs w:val="18"/>
              </w:rPr>
              <w:t>NE, NO</w:t>
            </w:r>
          </w:p>
        </w:tc>
        <w:tc>
          <w:tcPr>
            <w:tcW w:w="964" w:type="dxa"/>
            <w:shd w:val="clear" w:color="auto" w:fill="auto"/>
          </w:tcPr>
          <w:p w14:paraId="1FC142E9" w14:textId="77777777" w:rsidR="00ED2EBD" w:rsidRPr="00BD16B4" w:rsidRDefault="00ED2EBD" w:rsidP="004A205F">
            <w:pPr>
              <w:pStyle w:val="TableText"/>
              <w:spacing w:before="40" w:after="40"/>
              <w:jc w:val="right"/>
              <w:rPr>
                <w:szCs w:val="18"/>
              </w:rPr>
            </w:pPr>
            <w:r w:rsidRPr="00BD16B4">
              <w:rPr>
                <w:szCs w:val="18"/>
              </w:rPr>
              <w:t>NE, NO</w:t>
            </w:r>
          </w:p>
        </w:tc>
        <w:tc>
          <w:tcPr>
            <w:tcW w:w="964" w:type="dxa"/>
            <w:shd w:val="clear" w:color="auto" w:fill="auto"/>
          </w:tcPr>
          <w:p w14:paraId="5430B3B1" w14:textId="77777777" w:rsidR="00ED2EBD" w:rsidRPr="00BD16B4" w:rsidRDefault="00ED2EBD" w:rsidP="004A205F">
            <w:pPr>
              <w:pStyle w:val="TableText"/>
              <w:spacing w:before="40" w:after="40"/>
              <w:jc w:val="right"/>
              <w:rPr>
                <w:szCs w:val="18"/>
              </w:rPr>
            </w:pPr>
            <w:r w:rsidRPr="00BD16B4">
              <w:rPr>
                <w:szCs w:val="18"/>
              </w:rPr>
              <w:t>NE, NO</w:t>
            </w:r>
          </w:p>
        </w:tc>
        <w:tc>
          <w:tcPr>
            <w:tcW w:w="964" w:type="dxa"/>
            <w:shd w:val="clear" w:color="auto" w:fill="auto"/>
          </w:tcPr>
          <w:p w14:paraId="6B6A7F57" w14:textId="77777777" w:rsidR="00ED2EBD" w:rsidRPr="00BD16B4" w:rsidRDefault="00ED2EBD" w:rsidP="004A205F">
            <w:pPr>
              <w:pStyle w:val="TableText"/>
              <w:spacing w:before="40" w:after="40"/>
              <w:jc w:val="right"/>
              <w:rPr>
                <w:szCs w:val="18"/>
              </w:rPr>
            </w:pPr>
            <w:r w:rsidRPr="00BD16B4">
              <w:rPr>
                <w:szCs w:val="18"/>
              </w:rPr>
              <w:t>NE, NO</w:t>
            </w:r>
          </w:p>
        </w:tc>
        <w:tc>
          <w:tcPr>
            <w:tcW w:w="964" w:type="dxa"/>
            <w:shd w:val="clear" w:color="auto" w:fill="auto"/>
          </w:tcPr>
          <w:p w14:paraId="6FA417FA" w14:textId="77777777" w:rsidR="00ED2EBD" w:rsidRPr="00BD16B4" w:rsidRDefault="00ED2EBD" w:rsidP="004A205F">
            <w:pPr>
              <w:pStyle w:val="TableText"/>
              <w:spacing w:before="40" w:after="40"/>
              <w:jc w:val="right"/>
              <w:rPr>
                <w:szCs w:val="18"/>
              </w:rPr>
            </w:pPr>
            <w:r w:rsidRPr="00BD16B4">
              <w:rPr>
                <w:szCs w:val="18"/>
              </w:rPr>
              <w:t>NE, NO</w:t>
            </w:r>
          </w:p>
        </w:tc>
        <w:tc>
          <w:tcPr>
            <w:tcW w:w="964" w:type="dxa"/>
            <w:shd w:val="clear" w:color="auto" w:fill="auto"/>
          </w:tcPr>
          <w:p w14:paraId="0538B6E7" w14:textId="77777777" w:rsidR="00ED2EBD" w:rsidRPr="00BD16B4" w:rsidRDefault="00ED2EBD" w:rsidP="004A205F">
            <w:pPr>
              <w:pStyle w:val="TableText"/>
              <w:spacing w:before="40" w:after="40"/>
              <w:jc w:val="right"/>
              <w:rPr>
                <w:szCs w:val="18"/>
              </w:rPr>
            </w:pPr>
            <w:r w:rsidRPr="00BD16B4">
              <w:rPr>
                <w:szCs w:val="18"/>
              </w:rPr>
              <w:t>NE, NO</w:t>
            </w:r>
          </w:p>
        </w:tc>
        <w:tc>
          <w:tcPr>
            <w:tcW w:w="964" w:type="dxa"/>
            <w:shd w:val="clear" w:color="auto" w:fill="auto"/>
          </w:tcPr>
          <w:p w14:paraId="6BCD70BD" w14:textId="77777777" w:rsidR="00ED2EBD" w:rsidRPr="00BD16B4" w:rsidRDefault="00ED2EBD" w:rsidP="004A205F">
            <w:pPr>
              <w:pStyle w:val="TableText"/>
              <w:spacing w:before="40" w:after="40"/>
              <w:jc w:val="right"/>
              <w:rPr>
                <w:szCs w:val="18"/>
              </w:rPr>
            </w:pPr>
            <w:r w:rsidRPr="00BD16B4">
              <w:rPr>
                <w:szCs w:val="18"/>
              </w:rPr>
              <w:t>NE, NO</w:t>
            </w:r>
          </w:p>
        </w:tc>
      </w:tr>
      <w:tr w:rsidR="008E7C93" w:rsidRPr="00BD16B4" w14:paraId="0F7F305E" w14:textId="77777777" w:rsidTr="00F70C72">
        <w:tc>
          <w:tcPr>
            <w:tcW w:w="3964" w:type="dxa"/>
          </w:tcPr>
          <w:p w14:paraId="7BAD0634" w14:textId="2D843514"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 xml:space="preserve">Settlements </w:t>
            </w:r>
          </w:p>
        </w:tc>
        <w:tc>
          <w:tcPr>
            <w:tcW w:w="964" w:type="dxa"/>
            <w:shd w:val="clear" w:color="auto" w:fill="auto"/>
          </w:tcPr>
          <w:p w14:paraId="37D3F439" w14:textId="77777777" w:rsidR="00ED2EBD" w:rsidRPr="00BD16B4" w:rsidRDefault="00ED2EBD" w:rsidP="004A205F">
            <w:pPr>
              <w:pStyle w:val="TableText"/>
              <w:spacing w:before="40" w:after="40"/>
              <w:jc w:val="right"/>
              <w:rPr>
                <w:szCs w:val="18"/>
              </w:rPr>
            </w:pPr>
            <w:r w:rsidRPr="00BD16B4">
              <w:rPr>
                <w:szCs w:val="18"/>
              </w:rPr>
              <w:t>NE, NA</w:t>
            </w:r>
          </w:p>
        </w:tc>
        <w:tc>
          <w:tcPr>
            <w:tcW w:w="964" w:type="dxa"/>
            <w:shd w:val="clear" w:color="auto" w:fill="auto"/>
          </w:tcPr>
          <w:p w14:paraId="594D07F2" w14:textId="77777777" w:rsidR="00ED2EBD" w:rsidRPr="00BD16B4" w:rsidRDefault="00ED2EBD" w:rsidP="004A205F">
            <w:pPr>
              <w:pStyle w:val="TableText"/>
              <w:spacing w:before="40" w:after="40"/>
              <w:jc w:val="right"/>
              <w:rPr>
                <w:szCs w:val="18"/>
              </w:rPr>
            </w:pPr>
            <w:r w:rsidRPr="00BD16B4">
              <w:rPr>
                <w:szCs w:val="18"/>
              </w:rPr>
              <w:t>NE, NA</w:t>
            </w:r>
          </w:p>
        </w:tc>
        <w:tc>
          <w:tcPr>
            <w:tcW w:w="964" w:type="dxa"/>
            <w:shd w:val="clear" w:color="auto" w:fill="auto"/>
          </w:tcPr>
          <w:p w14:paraId="7B36B590" w14:textId="77777777" w:rsidR="00ED2EBD" w:rsidRPr="00BD16B4" w:rsidRDefault="00ED2EBD" w:rsidP="004A205F">
            <w:pPr>
              <w:pStyle w:val="TableText"/>
              <w:spacing w:before="40" w:after="40"/>
              <w:jc w:val="right"/>
              <w:rPr>
                <w:szCs w:val="18"/>
              </w:rPr>
            </w:pPr>
            <w:r w:rsidRPr="00BD16B4">
              <w:rPr>
                <w:szCs w:val="18"/>
              </w:rPr>
              <w:t>NE, NA</w:t>
            </w:r>
          </w:p>
        </w:tc>
        <w:tc>
          <w:tcPr>
            <w:tcW w:w="964" w:type="dxa"/>
            <w:shd w:val="clear" w:color="auto" w:fill="auto"/>
          </w:tcPr>
          <w:p w14:paraId="7CE04FAB" w14:textId="77777777" w:rsidR="00ED2EBD" w:rsidRPr="00BD16B4" w:rsidRDefault="00ED2EBD" w:rsidP="004A205F">
            <w:pPr>
              <w:pStyle w:val="TableText"/>
              <w:spacing w:before="40" w:after="40"/>
              <w:jc w:val="right"/>
              <w:rPr>
                <w:szCs w:val="18"/>
              </w:rPr>
            </w:pPr>
            <w:r w:rsidRPr="00BD16B4">
              <w:rPr>
                <w:szCs w:val="18"/>
              </w:rPr>
              <w:t>NE, NA</w:t>
            </w:r>
          </w:p>
        </w:tc>
        <w:tc>
          <w:tcPr>
            <w:tcW w:w="964" w:type="dxa"/>
            <w:shd w:val="clear" w:color="auto" w:fill="auto"/>
          </w:tcPr>
          <w:p w14:paraId="445D44CA" w14:textId="77777777" w:rsidR="00ED2EBD" w:rsidRPr="00BD16B4" w:rsidRDefault="00ED2EBD" w:rsidP="004A205F">
            <w:pPr>
              <w:pStyle w:val="TableText"/>
              <w:spacing w:before="40" w:after="40"/>
              <w:jc w:val="right"/>
              <w:rPr>
                <w:szCs w:val="18"/>
              </w:rPr>
            </w:pPr>
            <w:r w:rsidRPr="00BD16B4">
              <w:rPr>
                <w:szCs w:val="18"/>
              </w:rPr>
              <w:t>NE, NA</w:t>
            </w:r>
          </w:p>
        </w:tc>
        <w:tc>
          <w:tcPr>
            <w:tcW w:w="964" w:type="dxa"/>
            <w:shd w:val="clear" w:color="auto" w:fill="auto"/>
          </w:tcPr>
          <w:p w14:paraId="4924C1FD" w14:textId="77777777" w:rsidR="00ED2EBD" w:rsidRPr="00BD16B4" w:rsidRDefault="00ED2EBD" w:rsidP="004A205F">
            <w:pPr>
              <w:pStyle w:val="TableText"/>
              <w:spacing w:before="40" w:after="40"/>
              <w:jc w:val="right"/>
              <w:rPr>
                <w:szCs w:val="18"/>
              </w:rPr>
            </w:pPr>
            <w:r w:rsidRPr="00BD16B4">
              <w:rPr>
                <w:szCs w:val="18"/>
              </w:rPr>
              <w:t>NE, NA</w:t>
            </w:r>
          </w:p>
        </w:tc>
        <w:tc>
          <w:tcPr>
            <w:tcW w:w="964" w:type="dxa"/>
            <w:shd w:val="clear" w:color="auto" w:fill="auto"/>
          </w:tcPr>
          <w:p w14:paraId="2232E120" w14:textId="77777777" w:rsidR="00ED2EBD" w:rsidRPr="00BD16B4" w:rsidRDefault="00ED2EBD" w:rsidP="004A205F">
            <w:pPr>
              <w:pStyle w:val="TableText"/>
              <w:spacing w:before="40" w:after="40"/>
              <w:jc w:val="right"/>
              <w:rPr>
                <w:szCs w:val="18"/>
              </w:rPr>
            </w:pPr>
            <w:r w:rsidRPr="00BD16B4">
              <w:rPr>
                <w:szCs w:val="18"/>
              </w:rPr>
              <w:t>NE, NA</w:t>
            </w:r>
          </w:p>
        </w:tc>
        <w:tc>
          <w:tcPr>
            <w:tcW w:w="964" w:type="dxa"/>
            <w:shd w:val="clear" w:color="auto" w:fill="auto"/>
          </w:tcPr>
          <w:p w14:paraId="14F356C7" w14:textId="77777777" w:rsidR="00ED2EBD" w:rsidRPr="00BD16B4" w:rsidRDefault="00ED2EBD" w:rsidP="004A205F">
            <w:pPr>
              <w:pStyle w:val="TableText"/>
              <w:spacing w:before="40" w:after="40"/>
              <w:jc w:val="right"/>
              <w:rPr>
                <w:szCs w:val="18"/>
              </w:rPr>
            </w:pPr>
            <w:r w:rsidRPr="00BD16B4">
              <w:rPr>
                <w:szCs w:val="18"/>
              </w:rPr>
              <w:t>NE, NA</w:t>
            </w:r>
          </w:p>
        </w:tc>
        <w:tc>
          <w:tcPr>
            <w:tcW w:w="964" w:type="dxa"/>
            <w:shd w:val="clear" w:color="auto" w:fill="auto"/>
          </w:tcPr>
          <w:p w14:paraId="5654D513" w14:textId="77777777" w:rsidR="00ED2EBD" w:rsidRPr="00BD16B4" w:rsidRDefault="00ED2EBD" w:rsidP="004A205F">
            <w:pPr>
              <w:pStyle w:val="TableText"/>
              <w:spacing w:before="40" w:after="40"/>
              <w:jc w:val="right"/>
              <w:rPr>
                <w:szCs w:val="18"/>
              </w:rPr>
            </w:pPr>
            <w:r w:rsidRPr="00BD16B4">
              <w:rPr>
                <w:szCs w:val="18"/>
              </w:rPr>
              <w:t>NE, NA</w:t>
            </w:r>
          </w:p>
        </w:tc>
      </w:tr>
      <w:tr w:rsidR="008E7C93" w:rsidRPr="00BD16B4" w14:paraId="3ACEBF02" w14:textId="77777777" w:rsidTr="00F70C72">
        <w:tc>
          <w:tcPr>
            <w:tcW w:w="3964" w:type="dxa"/>
          </w:tcPr>
          <w:p w14:paraId="1D6F404C" w14:textId="2A1A5076" w:rsidR="00ED2EBD" w:rsidRPr="00BD16B4" w:rsidRDefault="00ED2EBD" w:rsidP="004A205F">
            <w:pPr>
              <w:pStyle w:val="TableText"/>
              <w:spacing w:before="40" w:after="40"/>
              <w:rPr>
                <w:szCs w:val="18"/>
              </w:rPr>
            </w:pPr>
            <w:r w:rsidRPr="00BD16B4">
              <w:rPr>
                <w:szCs w:val="18"/>
              </w:rPr>
              <w:t>F.</w:t>
            </w:r>
            <w:r w:rsidR="00280979" w:rsidRPr="00BD16B4">
              <w:rPr>
                <w:szCs w:val="18"/>
              </w:rPr>
              <w:t xml:space="preserve"> </w:t>
            </w:r>
            <w:r w:rsidRPr="00BD16B4">
              <w:rPr>
                <w:szCs w:val="18"/>
              </w:rPr>
              <w:t>Other land</w:t>
            </w:r>
          </w:p>
        </w:tc>
        <w:tc>
          <w:tcPr>
            <w:tcW w:w="964" w:type="dxa"/>
            <w:tcBorders>
              <w:bottom w:val="single" w:sz="4" w:space="0" w:color="1B556B" w:themeColor="text2"/>
            </w:tcBorders>
            <w:shd w:val="clear" w:color="auto" w:fill="auto"/>
          </w:tcPr>
          <w:p w14:paraId="50025549" w14:textId="77777777" w:rsidR="00ED2EBD" w:rsidRPr="00BD16B4" w:rsidRDefault="00ED2EBD" w:rsidP="004A205F">
            <w:pPr>
              <w:pStyle w:val="TableText"/>
              <w:spacing w:before="40" w:after="40"/>
              <w:jc w:val="right"/>
              <w:rPr>
                <w:szCs w:val="18"/>
              </w:rPr>
            </w:pPr>
            <w:r w:rsidRPr="00BD16B4">
              <w:rPr>
                <w:szCs w:val="18"/>
              </w:rPr>
              <w:t>NE, NA</w:t>
            </w:r>
          </w:p>
        </w:tc>
        <w:tc>
          <w:tcPr>
            <w:tcW w:w="964" w:type="dxa"/>
            <w:tcBorders>
              <w:bottom w:val="single" w:sz="4" w:space="0" w:color="1B556B" w:themeColor="text2"/>
            </w:tcBorders>
            <w:shd w:val="clear" w:color="auto" w:fill="auto"/>
          </w:tcPr>
          <w:p w14:paraId="048EBBC6" w14:textId="77777777" w:rsidR="00ED2EBD" w:rsidRPr="00BD16B4" w:rsidRDefault="00ED2EBD" w:rsidP="004A205F">
            <w:pPr>
              <w:pStyle w:val="TableText"/>
              <w:spacing w:before="40" w:after="40"/>
              <w:jc w:val="right"/>
              <w:rPr>
                <w:szCs w:val="18"/>
              </w:rPr>
            </w:pPr>
            <w:r w:rsidRPr="00BD16B4">
              <w:rPr>
                <w:szCs w:val="18"/>
              </w:rPr>
              <w:t>NE, NA</w:t>
            </w:r>
          </w:p>
        </w:tc>
        <w:tc>
          <w:tcPr>
            <w:tcW w:w="964" w:type="dxa"/>
            <w:tcBorders>
              <w:bottom w:val="single" w:sz="4" w:space="0" w:color="1B556B" w:themeColor="text2"/>
            </w:tcBorders>
            <w:shd w:val="clear" w:color="auto" w:fill="auto"/>
          </w:tcPr>
          <w:p w14:paraId="72C63DC5" w14:textId="77777777" w:rsidR="00ED2EBD" w:rsidRPr="00BD16B4" w:rsidRDefault="00ED2EBD" w:rsidP="004A205F">
            <w:pPr>
              <w:pStyle w:val="TableText"/>
              <w:spacing w:before="40" w:after="40"/>
              <w:jc w:val="right"/>
              <w:rPr>
                <w:szCs w:val="18"/>
              </w:rPr>
            </w:pPr>
            <w:r w:rsidRPr="00BD16B4">
              <w:rPr>
                <w:szCs w:val="18"/>
              </w:rPr>
              <w:t>NE, NA</w:t>
            </w:r>
          </w:p>
        </w:tc>
        <w:tc>
          <w:tcPr>
            <w:tcW w:w="964" w:type="dxa"/>
            <w:tcBorders>
              <w:bottom w:val="single" w:sz="4" w:space="0" w:color="1B556B" w:themeColor="text2"/>
            </w:tcBorders>
            <w:shd w:val="clear" w:color="auto" w:fill="auto"/>
          </w:tcPr>
          <w:p w14:paraId="3A3C9A2A" w14:textId="77777777" w:rsidR="00ED2EBD" w:rsidRPr="00BD16B4" w:rsidRDefault="00ED2EBD" w:rsidP="004A205F">
            <w:pPr>
              <w:pStyle w:val="TableText"/>
              <w:spacing w:before="40" w:after="40"/>
              <w:jc w:val="right"/>
              <w:rPr>
                <w:szCs w:val="18"/>
              </w:rPr>
            </w:pPr>
            <w:r w:rsidRPr="00BD16B4">
              <w:rPr>
                <w:szCs w:val="18"/>
              </w:rPr>
              <w:t>NE, NA</w:t>
            </w:r>
          </w:p>
        </w:tc>
        <w:tc>
          <w:tcPr>
            <w:tcW w:w="964" w:type="dxa"/>
            <w:tcBorders>
              <w:bottom w:val="single" w:sz="4" w:space="0" w:color="1B556B" w:themeColor="text2"/>
            </w:tcBorders>
            <w:shd w:val="clear" w:color="auto" w:fill="auto"/>
          </w:tcPr>
          <w:p w14:paraId="41F310CE" w14:textId="77777777" w:rsidR="00ED2EBD" w:rsidRPr="00BD16B4" w:rsidRDefault="00ED2EBD" w:rsidP="004A205F">
            <w:pPr>
              <w:pStyle w:val="TableText"/>
              <w:spacing w:before="40" w:after="40"/>
              <w:jc w:val="right"/>
              <w:rPr>
                <w:szCs w:val="18"/>
              </w:rPr>
            </w:pPr>
            <w:r w:rsidRPr="00BD16B4">
              <w:rPr>
                <w:szCs w:val="18"/>
              </w:rPr>
              <w:t>NE, NA</w:t>
            </w:r>
          </w:p>
        </w:tc>
        <w:tc>
          <w:tcPr>
            <w:tcW w:w="964" w:type="dxa"/>
            <w:tcBorders>
              <w:bottom w:val="single" w:sz="4" w:space="0" w:color="1B556B" w:themeColor="text2"/>
            </w:tcBorders>
            <w:shd w:val="clear" w:color="auto" w:fill="auto"/>
          </w:tcPr>
          <w:p w14:paraId="24D8769F" w14:textId="77777777" w:rsidR="00ED2EBD" w:rsidRPr="00BD16B4" w:rsidRDefault="00ED2EBD" w:rsidP="004A205F">
            <w:pPr>
              <w:pStyle w:val="TableText"/>
              <w:spacing w:before="40" w:after="40"/>
              <w:jc w:val="right"/>
              <w:rPr>
                <w:szCs w:val="18"/>
              </w:rPr>
            </w:pPr>
            <w:r w:rsidRPr="00BD16B4">
              <w:rPr>
                <w:szCs w:val="18"/>
              </w:rPr>
              <w:t>NE, NA</w:t>
            </w:r>
          </w:p>
        </w:tc>
        <w:tc>
          <w:tcPr>
            <w:tcW w:w="964" w:type="dxa"/>
            <w:tcBorders>
              <w:bottom w:val="single" w:sz="4" w:space="0" w:color="1B556B" w:themeColor="text2"/>
            </w:tcBorders>
            <w:shd w:val="clear" w:color="auto" w:fill="auto"/>
          </w:tcPr>
          <w:p w14:paraId="1F4B65B0" w14:textId="77777777" w:rsidR="00ED2EBD" w:rsidRPr="00BD16B4" w:rsidRDefault="00ED2EBD" w:rsidP="004A205F">
            <w:pPr>
              <w:pStyle w:val="TableText"/>
              <w:spacing w:before="40" w:after="40"/>
              <w:jc w:val="right"/>
              <w:rPr>
                <w:szCs w:val="18"/>
              </w:rPr>
            </w:pPr>
            <w:r w:rsidRPr="00BD16B4">
              <w:rPr>
                <w:szCs w:val="18"/>
              </w:rPr>
              <w:t>NE, NA</w:t>
            </w:r>
          </w:p>
        </w:tc>
        <w:tc>
          <w:tcPr>
            <w:tcW w:w="964" w:type="dxa"/>
            <w:tcBorders>
              <w:bottom w:val="single" w:sz="4" w:space="0" w:color="1B556B" w:themeColor="text2"/>
            </w:tcBorders>
            <w:shd w:val="clear" w:color="auto" w:fill="auto"/>
          </w:tcPr>
          <w:p w14:paraId="2A88E60F" w14:textId="77777777" w:rsidR="00ED2EBD" w:rsidRPr="00BD16B4" w:rsidRDefault="00ED2EBD" w:rsidP="004A205F">
            <w:pPr>
              <w:pStyle w:val="TableText"/>
              <w:spacing w:before="40" w:after="40"/>
              <w:jc w:val="right"/>
              <w:rPr>
                <w:szCs w:val="18"/>
              </w:rPr>
            </w:pPr>
            <w:r w:rsidRPr="00BD16B4">
              <w:rPr>
                <w:szCs w:val="18"/>
              </w:rPr>
              <w:t>NE, NA</w:t>
            </w:r>
          </w:p>
        </w:tc>
        <w:tc>
          <w:tcPr>
            <w:tcW w:w="964" w:type="dxa"/>
            <w:tcBorders>
              <w:bottom w:val="single" w:sz="4" w:space="0" w:color="1B556B" w:themeColor="text2"/>
            </w:tcBorders>
            <w:shd w:val="clear" w:color="auto" w:fill="auto"/>
          </w:tcPr>
          <w:p w14:paraId="60EE8E1C" w14:textId="77777777" w:rsidR="00ED2EBD" w:rsidRPr="00BD16B4" w:rsidRDefault="00ED2EBD" w:rsidP="004A205F">
            <w:pPr>
              <w:pStyle w:val="TableText"/>
              <w:spacing w:before="40" w:after="40"/>
              <w:jc w:val="right"/>
              <w:rPr>
                <w:szCs w:val="18"/>
              </w:rPr>
            </w:pPr>
            <w:r w:rsidRPr="00BD16B4">
              <w:rPr>
                <w:szCs w:val="18"/>
              </w:rPr>
              <w:t>NE, NA</w:t>
            </w:r>
          </w:p>
        </w:tc>
      </w:tr>
      <w:tr w:rsidR="00ED2EBD" w:rsidRPr="00BD16B4" w14:paraId="299344D9" w14:textId="77777777" w:rsidTr="00F70C72">
        <w:tc>
          <w:tcPr>
            <w:tcW w:w="3964" w:type="dxa"/>
          </w:tcPr>
          <w:p w14:paraId="28828CB7" w14:textId="2598F26D" w:rsidR="00ED2EBD" w:rsidRPr="00BD16B4" w:rsidRDefault="00ED2EBD" w:rsidP="004A205F">
            <w:pPr>
              <w:pStyle w:val="TableText"/>
              <w:spacing w:before="40" w:after="40"/>
              <w:rPr>
                <w:szCs w:val="18"/>
              </w:rPr>
            </w:pPr>
            <w:r w:rsidRPr="00BD16B4">
              <w:rPr>
                <w:szCs w:val="18"/>
              </w:rPr>
              <w:t>G.</w:t>
            </w:r>
            <w:r w:rsidR="00280979" w:rsidRPr="00BD16B4">
              <w:rPr>
                <w:szCs w:val="18"/>
              </w:rPr>
              <w:t xml:space="preserve"> </w:t>
            </w:r>
            <w:r w:rsidRPr="00BD16B4">
              <w:rPr>
                <w:szCs w:val="18"/>
              </w:rPr>
              <w:t>Harvested wood products</w:t>
            </w:r>
          </w:p>
        </w:tc>
        <w:tc>
          <w:tcPr>
            <w:tcW w:w="964" w:type="dxa"/>
            <w:tcBorders>
              <w:top w:val="single" w:sz="4" w:space="0" w:color="1B556B" w:themeColor="text2"/>
            </w:tcBorders>
            <w:shd w:val="clear" w:color="auto" w:fill="D2DDE1" w:themeFill="background2"/>
          </w:tcPr>
          <w:p w14:paraId="335D0BE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39EFC2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53B5BF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1434A9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D90C65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614CDE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72B942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DDF33F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6DA8E56" w14:textId="77777777" w:rsidR="00ED2EBD" w:rsidRPr="00BD16B4" w:rsidRDefault="00ED2EBD" w:rsidP="004A205F">
            <w:pPr>
              <w:pStyle w:val="TableText"/>
              <w:spacing w:before="40" w:after="40"/>
              <w:jc w:val="right"/>
              <w:rPr>
                <w:szCs w:val="18"/>
              </w:rPr>
            </w:pPr>
            <w:r w:rsidRPr="00BD16B4">
              <w:rPr>
                <w:color w:val="000000"/>
                <w:szCs w:val="18"/>
              </w:rPr>
              <w:t> </w:t>
            </w:r>
          </w:p>
        </w:tc>
      </w:tr>
      <w:tr w:rsidR="008E7C93" w:rsidRPr="00BD16B4" w14:paraId="66C64466" w14:textId="77777777" w:rsidTr="00F70C72">
        <w:tc>
          <w:tcPr>
            <w:tcW w:w="3964" w:type="dxa"/>
          </w:tcPr>
          <w:p w14:paraId="11C4F6E0" w14:textId="5B79EEBA" w:rsidR="00ED2EBD" w:rsidRPr="00BD16B4" w:rsidRDefault="00ED2EBD" w:rsidP="004A205F">
            <w:pPr>
              <w:pStyle w:val="TableText"/>
              <w:spacing w:before="40" w:after="40"/>
              <w:rPr>
                <w:szCs w:val="18"/>
              </w:rPr>
            </w:pPr>
            <w:r w:rsidRPr="00BD16B4">
              <w:rPr>
                <w:szCs w:val="18"/>
              </w:rPr>
              <w:t>H.</w:t>
            </w:r>
            <w:r w:rsidR="00280979" w:rsidRPr="00BD16B4">
              <w:rPr>
                <w:szCs w:val="18"/>
              </w:rPr>
              <w:t xml:space="preserve"> </w:t>
            </w:r>
            <w:r w:rsidRPr="00BD16B4">
              <w:rPr>
                <w:szCs w:val="18"/>
              </w:rPr>
              <w:t>Other</w:t>
            </w:r>
            <w:r w:rsidR="00280979" w:rsidRPr="00BD16B4">
              <w:rPr>
                <w:szCs w:val="18"/>
              </w:rPr>
              <w:t xml:space="preserve"> </w:t>
            </w:r>
          </w:p>
        </w:tc>
        <w:tc>
          <w:tcPr>
            <w:tcW w:w="964" w:type="dxa"/>
            <w:shd w:val="clear" w:color="auto" w:fill="auto"/>
          </w:tcPr>
          <w:p w14:paraId="4C3FB223" w14:textId="77777777" w:rsidR="00ED2EBD" w:rsidRPr="00BD16B4" w:rsidRDefault="00ED2EBD" w:rsidP="004A205F">
            <w:pPr>
              <w:pStyle w:val="TableText"/>
              <w:spacing w:before="40" w:after="40"/>
              <w:jc w:val="right"/>
              <w:rPr>
                <w:szCs w:val="18"/>
              </w:rPr>
            </w:pPr>
            <w:r w:rsidRPr="00BD16B4">
              <w:rPr>
                <w:szCs w:val="18"/>
              </w:rPr>
              <w:t>NA</w:t>
            </w:r>
          </w:p>
        </w:tc>
        <w:tc>
          <w:tcPr>
            <w:tcW w:w="964" w:type="dxa"/>
            <w:shd w:val="clear" w:color="auto" w:fill="auto"/>
          </w:tcPr>
          <w:p w14:paraId="42A1BC7C" w14:textId="77777777" w:rsidR="00ED2EBD" w:rsidRPr="00BD16B4" w:rsidRDefault="00ED2EBD" w:rsidP="004A205F">
            <w:pPr>
              <w:pStyle w:val="TableText"/>
              <w:spacing w:before="40" w:after="40"/>
              <w:jc w:val="right"/>
              <w:rPr>
                <w:szCs w:val="18"/>
              </w:rPr>
            </w:pPr>
            <w:r w:rsidRPr="00BD16B4">
              <w:rPr>
                <w:szCs w:val="18"/>
              </w:rPr>
              <w:t>NA</w:t>
            </w:r>
          </w:p>
        </w:tc>
        <w:tc>
          <w:tcPr>
            <w:tcW w:w="964" w:type="dxa"/>
            <w:shd w:val="clear" w:color="auto" w:fill="auto"/>
          </w:tcPr>
          <w:p w14:paraId="51C8BDBB" w14:textId="77777777" w:rsidR="00ED2EBD" w:rsidRPr="00BD16B4" w:rsidRDefault="00ED2EBD" w:rsidP="004A205F">
            <w:pPr>
              <w:pStyle w:val="TableText"/>
              <w:spacing w:before="40" w:after="40"/>
              <w:jc w:val="right"/>
              <w:rPr>
                <w:szCs w:val="18"/>
              </w:rPr>
            </w:pPr>
            <w:r w:rsidRPr="00BD16B4">
              <w:rPr>
                <w:szCs w:val="18"/>
              </w:rPr>
              <w:t>NA</w:t>
            </w:r>
          </w:p>
        </w:tc>
        <w:tc>
          <w:tcPr>
            <w:tcW w:w="964" w:type="dxa"/>
            <w:shd w:val="clear" w:color="auto" w:fill="auto"/>
          </w:tcPr>
          <w:p w14:paraId="1D23A33A" w14:textId="77777777" w:rsidR="00ED2EBD" w:rsidRPr="00BD16B4" w:rsidRDefault="00ED2EBD" w:rsidP="004A205F">
            <w:pPr>
              <w:pStyle w:val="TableText"/>
              <w:spacing w:before="40" w:after="40"/>
              <w:jc w:val="right"/>
              <w:rPr>
                <w:szCs w:val="18"/>
              </w:rPr>
            </w:pPr>
            <w:r w:rsidRPr="00BD16B4">
              <w:rPr>
                <w:szCs w:val="18"/>
              </w:rPr>
              <w:t>NA</w:t>
            </w:r>
          </w:p>
        </w:tc>
        <w:tc>
          <w:tcPr>
            <w:tcW w:w="964" w:type="dxa"/>
            <w:shd w:val="clear" w:color="auto" w:fill="auto"/>
          </w:tcPr>
          <w:p w14:paraId="7B3997F2" w14:textId="77777777" w:rsidR="00ED2EBD" w:rsidRPr="00BD16B4" w:rsidRDefault="00ED2EBD" w:rsidP="004A205F">
            <w:pPr>
              <w:pStyle w:val="TableText"/>
              <w:spacing w:before="40" w:after="40"/>
              <w:jc w:val="right"/>
              <w:rPr>
                <w:szCs w:val="18"/>
              </w:rPr>
            </w:pPr>
            <w:r w:rsidRPr="00BD16B4">
              <w:rPr>
                <w:szCs w:val="18"/>
              </w:rPr>
              <w:t>NA</w:t>
            </w:r>
          </w:p>
        </w:tc>
        <w:tc>
          <w:tcPr>
            <w:tcW w:w="964" w:type="dxa"/>
            <w:shd w:val="clear" w:color="auto" w:fill="auto"/>
          </w:tcPr>
          <w:p w14:paraId="6B8721BD" w14:textId="77777777" w:rsidR="00ED2EBD" w:rsidRPr="00BD16B4" w:rsidRDefault="00ED2EBD" w:rsidP="004A205F">
            <w:pPr>
              <w:pStyle w:val="TableText"/>
              <w:spacing w:before="40" w:after="40"/>
              <w:jc w:val="right"/>
              <w:rPr>
                <w:szCs w:val="18"/>
              </w:rPr>
            </w:pPr>
            <w:r w:rsidRPr="00BD16B4">
              <w:rPr>
                <w:szCs w:val="18"/>
              </w:rPr>
              <w:t>NA</w:t>
            </w:r>
          </w:p>
        </w:tc>
        <w:tc>
          <w:tcPr>
            <w:tcW w:w="964" w:type="dxa"/>
            <w:shd w:val="clear" w:color="auto" w:fill="auto"/>
          </w:tcPr>
          <w:p w14:paraId="3A262F32" w14:textId="77777777" w:rsidR="00ED2EBD" w:rsidRPr="00BD16B4" w:rsidRDefault="00ED2EBD" w:rsidP="004A205F">
            <w:pPr>
              <w:pStyle w:val="TableText"/>
              <w:spacing w:before="40" w:after="40"/>
              <w:jc w:val="right"/>
              <w:rPr>
                <w:szCs w:val="18"/>
              </w:rPr>
            </w:pPr>
            <w:r w:rsidRPr="00BD16B4">
              <w:rPr>
                <w:szCs w:val="18"/>
              </w:rPr>
              <w:t>NA</w:t>
            </w:r>
          </w:p>
        </w:tc>
        <w:tc>
          <w:tcPr>
            <w:tcW w:w="964" w:type="dxa"/>
            <w:shd w:val="clear" w:color="auto" w:fill="auto"/>
          </w:tcPr>
          <w:p w14:paraId="65ED5B6A" w14:textId="77777777" w:rsidR="00ED2EBD" w:rsidRPr="00BD16B4" w:rsidRDefault="00ED2EBD" w:rsidP="004A205F">
            <w:pPr>
              <w:pStyle w:val="TableText"/>
              <w:spacing w:before="40" w:after="40"/>
              <w:jc w:val="right"/>
              <w:rPr>
                <w:szCs w:val="18"/>
              </w:rPr>
            </w:pPr>
            <w:r w:rsidRPr="00BD16B4">
              <w:rPr>
                <w:szCs w:val="18"/>
              </w:rPr>
              <w:t>NA</w:t>
            </w:r>
          </w:p>
        </w:tc>
        <w:tc>
          <w:tcPr>
            <w:tcW w:w="964" w:type="dxa"/>
            <w:shd w:val="clear" w:color="auto" w:fill="auto"/>
          </w:tcPr>
          <w:p w14:paraId="5DD8F1EF" w14:textId="77777777" w:rsidR="00ED2EBD" w:rsidRPr="00BD16B4" w:rsidRDefault="00ED2EBD" w:rsidP="004A205F">
            <w:pPr>
              <w:pStyle w:val="TableText"/>
              <w:spacing w:before="40" w:after="40"/>
              <w:jc w:val="right"/>
              <w:rPr>
                <w:szCs w:val="18"/>
              </w:rPr>
            </w:pPr>
            <w:r w:rsidRPr="00BD16B4">
              <w:rPr>
                <w:szCs w:val="18"/>
              </w:rPr>
              <w:t>NA</w:t>
            </w:r>
          </w:p>
        </w:tc>
      </w:tr>
      <w:tr w:rsidR="008E7C93" w:rsidRPr="00BD16B4" w14:paraId="5E437685" w14:textId="77777777" w:rsidTr="00F70C72">
        <w:tc>
          <w:tcPr>
            <w:tcW w:w="3964" w:type="dxa"/>
          </w:tcPr>
          <w:p w14:paraId="5F3AF071" w14:textId="32ADE614" w:rsidR="00ED2EBD" w:rsidRPr="00BD16B4" w:rsidRDefault="00ED2EBD" w:rsidP="004A205F">
            <w:pPr>
              <w:pStyle w:val="TableText"/>
              <w:spacing w:before="40" w:after="40"/>
              <w:rPr>
                <w:szCs w:val="18"/>
              </w:rPr>
            </w:pPr>
            <w:r w:rsidRPr="00BD16B4">
              <w:rPr>
                <w:b/>
                <w:bCs/>
                <w:szCs w:val="18"/>
              </w:rPr>
              <w:t>5.</w:t>
            </w:r>
            <w:r w:rsidR="00280979" w:rsidRPr="00BD16B4">
              <w:rPr>
                <w:b/>
                <w:bCs/>
                <w:szCs w:val="18"/>
              </w:rPr>
              <w:t xml:space="preserve"> </w:t>
            </w:r>
            <w:r w:rsidRPr="00BD16B4">
              <w:rPr>
                <w:b/>
                <w:bCs/>
                <w:szCs w:val="18"/>
              </w:rPr>
              <w:t>Waste</w:t>
            </w:r>
          </w:p>
        </w:tc>
        <w:tc>
          <w:tcPr>
            <w:tcW w:w="964" w:type="dxa"/>
            <w:shd w:val="clear" w:color="auto" w:fill="auto"/>
          </w:tcPr>
          <w:p w14:paraId="732714C3" w14:textId="77777777" w:rsidR="00ED2EBD" w:rsidRPr="00BD16B4" w:rsidRDefault="00ED2EBD" w:rsidP="004A205F">
            <w:pPr>
              <w:pStyle w:val="TableText"/>
              <w:spacing w:before="40" w:after="40"/>
              <w:jc w:val="right"/>
              <w:rPr>
                <w:szCs w:val="18"/>
              </w:rPr>
            </w:pPr>
            <w:r w:rsidRPr="00BD16B4">
              <w:rPr>
                <w:szCs w:val="18"/>
              </w:rPr>
              <w:t>146.83</w:t>
            </w:r>
          </w:p>
        </w:tc>
        <w:tc>
          <w:tcPr>
            <w:tcW w:w="964" w:type="dxa"/>
            <w:shd w:val="clear" w:color="auto" w:fill="auto"/>
          </w:tcPr>
          <w:p w14:paraId="3D546464" w14:textId="77777777" w:rsidR="00ED2EBD" w:rsidRPr="00BD16B4" w:rsidRDefault="00ED2EBD" w:rsidP="004A205F">
            <w:pPr>
              <w:pStyle w:val="TableText"/>
              <w:spacing w:before="40" w:after="40"/>
              <w:jc w:val="right"/>
              <w:rPr>
                <w:szCs w:val="18"/>
              </w:rPr>
            </w:pPr>
            <w:r w:rsidRPr="00BD16B4">
              <w:rPr>
                <w:szCs w:val="18"/>
              </w:rPr>
              <w:t>151.19</w:t>
            </w:r>
          </w:p>
        </w:tc>
        <w:tc>
          <w:tcPr>
            <w:tcW w:w="964" w:type="dxa"/>
            <w:shd w:val="clear" w:color="auto" w:fill="auto"/>
          </w:tcPr>
          <w:p w14:paraId="699C2B5D" w14:textId="77777777" w:rsidR="00ED2EBD" w:rsidRPr="00BD16B4" w:rsidRDefault="00ED2EBD" w:rsidP="004A205F">
            <w:pPr>
              <w:pStyle w:val="TableText"/>
              <w:spacing w:before="40" w:after="40"/>
              <w:jc w:val="right"/>
              <w:rPr>
                <w:szCs w:val="18"/>
              </w:rPr>
            </w:pPr>
            <w:r w:rsidRPr="00BD16B4">
              <w:rPr>
                <w:szCs w:val="18"/>
              </w:rPr>
              <w:t>155.30</w:t>
            </w:r>
          </w:p>
        </w:tc>
        <w:tc>
          <w:tcPr>
            <w:tcW w:w="964" w:type="dxa"/>
            <w:shd w:val="clear" w:color="auto" w:fill="auto"/>
          </w:tcPr>
          <w:p w14:paraId="2738833A" w14:textId="77777777" w:rsidR="00ED2EBD" w:rsidRPr="00BD16B4" w:rsidRDefault="00ED2EBD" w:rsidP="004A205F">
            <w:pPr>
              <w:pStyle w:val="TableText"/>
              <w:spacing w:before="40" w:after="40"/>
              <w:jc w:val="right"/>
              <w:rPr>
                <w:szCs w:val="18"/>
              </w:rPr>
            </w:pPr>
            <w:r w:rsidRPr="00BD16B4">
              <w:rPr>
                <w:szCs w:val="18"/>
              </w:rPr>
              <w:t>159.25</w:t>
            </w:r>
          </w:p>
        </w:tc>
        <w:tc>
          <w:tcPr>
            <w:tcW w:w="964" w:type="dxa"/>
            <w:shd w:val="clear" w:color="auto" w:fill="auto"/>
          </w:tcPr>
          <w:p w14:paraId="3E0F05E3" w14:textId="77777777" w:rsidR="00ED2EBD" w:rsidRPr="00BD16B4" w:rsidRDefault="00ED2EBD" w:rsidP="004A205F">
            <w:pPr>
              <w:pStyle w:val="TableText"/>
              <w:spacing w:before="40" w:after="40"/>
              <w:jc w:val="right"/>
              <w:rPr>
                <w:szCs w:val="18"/>
              </w:rPr>
            </w:pPr>
            <w:r w:rsidRPr="00BD16B4">
              <w:rPr>
                <w:szCs w:val="18"/>
              </w:rPr>
              <w:t>155.57</w:t>
            </w:r>
          </w:p>
        </w:tc>
        <w:tc>
          <w:tcPr>
            <w:tcW w:w="964" w:type="dxa"/>
            <w:shd w:val="clear" w:color="auto" w:fill="auto"/>
          </w:tcPr>
          <w:p w14:paraId="6161A9AF" w14:textId="77777777" w:rsidR="00ED2EBD" w:rsidRPr="00BD16B4" w:rsidRDefault="00ED2EBD" w:rsidP="004A205F">
            <w:pPr>
              <w:pStyle w:val="TableText"/>
              <w:spacing w:before="40" w:after="40"/>
              <w:jc w:val="right"/>
              <w:rPr>
                <w:szCs w:val="18"/>
              </w:rPr>
            </w:pPr>
            <w:r w:rsidRPr="00BD16B4">
              <w:rPr>
                <w:szCs w:val="18"/>
              </w:rPr>
              <w:t>159.25</w:t>
            </w:r>
          </w:p>
        </w:tc>
        <w:tc>
          <w:tcPr>
            <w:tcW w:w="964" w:type="dxa"/>
            <w:shd w:val="clear" w:color="auto" w:fill="auto"/>
          </w:tcPr>
          <w:p w14:paraId="7AB77EB4" w14:textId="77777777" w:rsidR="00ED2EBD" w:rsidRPr="00BD16B4" w:rsidRDefault="00ED2EBD" w:rsidP="004A205F">
            <w:pPr>
              <w:pStyle w:val="TableText"/>
              <w:spacing w:before="40" w:after="40"/>
              <w:jc w:val="right"/>
              <w:rPr>
                <w:szCs w:val="18"/>
              </w:rPr>
            </w:pPr>
            <w:r w:rsidRPr="00BD16B4">
              <w:rPr>
                <w:szCs w:val="18"/>
              </w:rPr>
              <w:t>162.95</w:t>
            </w:r>
          </w:p>
        </w:tc>
        <w:tc>
          <w:tcPr>
            <w:tcW w:w="964" w:type="dxa"/>
            <w:shd w:val="clear" w:color="auto" w:fill="auto"/>
          </w:tcPr>
          <w:p w14:paraId="6C84C150" w14:textId="77777777" w:rsidR="00ED2EBD" w:rsidRPr="00BD16B4" w:rsidRDefault="00ED2EBD" w:rsidP="004A205F">
            <w:pPr>
              <w:pStyle w:val="TableText"/>
              <w:spacing w:before="40" w:after="40"/>
              <w:jc w:val="right"/>
              <w:rPr>
                <w:szCs w:val="18"/>
              </w:rPr>
            </w:pPr>
            <w:r w:rsidRPr="00BD16B4">
              <w:rPr>
                <w:szCs w:val="18"/>
              </w:rPr>
              <w:t>164.95</w:t>
            </w:r>
          </w:p>
        </w:tc>
        <w:tc>
          <w:tcPr>
            <w:tcW w:w="964" w:type="dxa"/>
            <w:shd w:val="clear" w:color="auto" w:fill="auto"/>
          </w:tcPr>
          <w:p w14:paraId="3BF91911" w14:textId="77777777" w:rsidR="00ED2EBD" w:rsidRPr="00BD16B4" w:rsidRDefault="00ED2EBD" w:rsidP="004A205F">
            <w:pPr>
              <w:pStyle w:val="TableText"/>
              <w:spacing w:before="40" w:after="40"/>
              <w:jc w:val="right"/>
              <w:rPr>
                <w:szCs w:val="18"/>
              </w:rPr>
            </w:pPr>
            <w:r w:rsidRPr="00BD16B4">
              <w:rPr>
                <w:szCs w:val="18"/>
              </w:rPr>
              <w:t>164.38</w:t>
            </w:r>
          </w:p>
        </w:tc>
      </w:tr>
      <w:tr w:rsidR="008E7C93" w:rsidRPr="00BD16B4" w14:paraId="4C322800" w14:textId="77777777" w:rsidTr="00F70C72">
        <w:tc>
          <w:tcPr>
            <w:tcW w:w="3964" w:type="dxa"/>
          </w:tcPr>
          <w:p w14:paraId="5D26A1E2" w14:textId="1199C5E6"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 xml:space="preserve">Solid waste disposal </w:t>
            </w:r>
          </w:p>
        </w:tc>
        <w:tc>
          <w:tcPr>
            <w:tcW w:w="964" w:type="dxa"/>
            <w:shd w:val="clear" w:color="auto" w:fill="auto"/>
          </w:tcPr>
          <w:p w14:paraId="2E1D4593" w14:textId="77777777" w:rsidR="00ED2EBD" w:rsidRPr="00BD16B4" w:rsidRDefault="00ED2EBD" w:rsidP="004A205F">
            <w:pPr>
              <w:pStyle w:val="TableText"/>
              <w:spacing w:before="40" w:after="40"/>
              <w:jc w:val="right"/>
              <w:rPr>
                <w:szCs w:val="18"/>
              </w:rPr>
            </w:pPr>
            <w:r w:rsidRPr="00BD16B4">
              <w:rPr>
                <w:szCs w:val="18"/>
              </w:rPr>
              <w:t>132.73</w:t>
            </w:r>
          </w:p>
        </w:tc>
        <w:tc>
          <w:tcPr>
            <w:tcW w:w="964" w:type="dxa"/>
            <w:shd w:val="clear" w:color="auto" w:fill="auto"/>
          </w:tcPr>
          <w:p w14:paraId="3402F683" w14:textId="77777777" w:rsidR="00ED2EBD" w:rsidRPr="00BD16B4" w:rsidRDefault="00ED2EBD" w:rsidP="004A205F">
            <w:pPr>
              <w:pStyle w:val="TableText"/>
              <w:spacing w:before="40" w:after="40"/>
              <w:jc w:val="right"/>
              <w:rPr>
                <w:szCs w:val="18"/>
              </w:rPr>
            </w:pPr>
            <w:r w:rsidRPr="00BD16B4">
              <w:rPr>
                <w:szCs w:val="18"/>
              </w:rPr>
              <w:t>136.74</w:t>
            </w:r>
          </w:p>
        </w:tc>
        <w:tc>
          <w:tcPr>
            <w:tcW w:w="964" w:type="dxa"/>
            <w:shd w:val="clear" w:color="auto" w:fill="auto"/>
          </w:tcPr>
          <w:p w14:paraId="70B7DED2" w14:textId="77777777" w:rsidR="00ED2EBD" w:rsidRPr="00BD16B4" w:rsidRDefault="00ED2EBD" w:rsidP="004A205F">
            <w:pPr>
              <w:pStyle w:val="TableText"/>
              <w:spacing w:before="40" w:after="40"/>
              <w:jc w:val="right"/>
              <w:rPr>
                <w:szCs w:val="18"/>
              </w:rPr>
            </w:pPr>
            <w:r w:rsidRPr="00BD16B4">
              <w:rPr>
                <w:szCs w:val="18"/>
              </w:rPr>
              <w:t>140.70</w:t>
            </w:r>
          </w:p>
        </w:tc>
        <w:tc>
          <w:tcPr>
            <w:tcW w:w="964" w:type="dxa"/>
            <w:shd w:val="clear" w:color="auto" w:fill="auto"/>
          </w:tcPr>
          <w:p w14:paraId="58EC1952" w14:textId="77777777" w:rsidR="00ED2EBD" w:rsidRPr="00BD16B4" w:rsidRDefault="00ED2EBD" w:rsidP="004A205F">
            <w:pPr>
              <w:pStyle w:val="TableText"/>
              <w:spacing w:before="40" w:after="40"/>
              <w:jc w:val="right"/>
              <w:rPr>
                <w:szCs w:val="18"/>
              </w:rPr>
            </w:pPr>
            <w:r w:rsidRPr="00BD16B4">
              <w:rPr>
                <w:szCs w:val="18"/>
              </w:rPr>
              <w:t>144.68</w:t>
            </w:r>
          </w:p>
        </w:tc>
        <w:tc>
          <w:tcPr>
            <w:tcW w:w="964" w:type="dxa"/>
            <w:shd w:val="clear" w:color="auto" w:fill="auto"/>
          </w:tcPr>
          <w:p w14:paraId="74944284" w14:textId="77777777" w:rsidR="00ED2EBD" w:rsidRPr="00BD16B4" w:rsidRDefault="00ED2EBD" w:rsidP="004A205F">
            <w:pPr>
              <w:pStyle w:val="TableText"/>
              <w:spacing w:before="40" w:after="40"/>
              <w:jc w:val="right"/>
              <w:rPr>
                <w:szCs w:val="18"/>
              </w:rPr>
            </w:pPr>
            <w:r w:rsidRPr="00BD16B4">
              <w:rPr>
                <w:szCs w:val="18"/>
              </w:rPr>
              <w:t>141.49</w:t>
            </w:r>
          </w:p>
        </w:tc>
        <w:tc>
          <w:tcPr>
            <w:tcW w:w="964" w:type="dxa"/>
            <w:shd w:val="clear" w:color="auto" w:fill="auto"/>
          </w:tcPr>
          <w:p w14:paraId="76C8B916" w14:textId="77777777" w:rsidR="00ED2EBD" w:rsidRPr="00BD16B4" w:rsidRDefault="00ED2EBD" w:rsidP="004A205F">
            <w:pPr>
              <w:pStyle w:val="TableText"/>
              <w:spacing w:before="40" w:after="40"/>
              <w:jc w:val="right"/>
              <w:rPr>
                <w:szCs w:val="18"/>
              </w:rPr>
            </w:pPr>
            <w:r w:rsidRPr="00BD16B4">
              <w:rPr>
                <w:szCs w:val="18"/>
              </w:rPr>
              <w:t>145.01</w:t>
            </w:r>
          </w:p>
        </w:tc>
        <w:tc>
          <w:tcPr>
            <w:tcW w:w="964" w:type="dxa"/>
            <w:shd w:val="clear" w:color="auto" w:fill="auto"/>
          </w:tcPr>
          <w:p w14:paraId="0D717A01" w14:textId="77777777" w:rsidR="00ED2EBD" w:rsidRPr="00BD16B4" w:rsidRDefault="00ED2EBD" w:rsidP="004A205F">
            <w:pPr>
              <w:pStyle w:val="TableText"/>
              <w:spacing w:before="40" w:after="40"/>
              <w:jc w:val="right"/>
              <w:rPr>
                <w:szCs w:val="18"/>
              </w:rPr>
            </w:pPr>
            <w:r w:rsidRPr="00BD16B4">
              <w:rPr>
                <w:szCs w:val="18"/>
              </w:rPr>
              <w:t>148.71</w:t>
            </w:r>
          </w:p>
        </w:tc>
        <w:tc>
          <w:tcPr>
            <w:tcW w:w="964" w:type="dxa"/>
            <w:shd w:val="clear" w:color="auto" w:fill="auto"/>
          </w:tcPr>
          <w:p w14:paraId="55623953" w14:textId="77777777" w:rsidR="00ED2EBD" w:rsidRPr="00BD16B4" w:rsidRDefault="00ED2EBD" w:rsidP="004A205F">
            <w:pPr>
              <w:pStyle w:val="TableText"/>
              <w:spacing w:before="40" w:after="40"/>
              <w:jc w:val="right"/>
              <w:rPr>
                <w:szCs w:val="18"/>
              </w:rPr>
            </w:pPr>
            <w:r w:rsidRPr="00BD16B4">
              <w:rPr>
                <w:szCs w:val="18"/>
              </w:rPr>
              <w:t>150.32</w:t>
            </w:r>
          </w:p>
        </w:tc>
        <w:tc>
          <w:tcPr>
            <w:tcW w:w="964" w:type="dxa"/>
            <w:shd w:val="clear" w:color="auto" w:fill="auto"/>
          </w:tcPr>
          <w:p w14:paraId="343E1180" w14:textId="77777777" w:rsidR="00ED2EBD" w:rsidRPr="00BD16B4" w:rsidRDefault="00ED2EBD" w:rsidP="004A205F">
            <w:pPr>
              <w:pStyle w:val="TableText"/>
              <w:spacing w:before="40" w:after="40"/>
              <w:jc w:val="right"/>
              <w:rPr>
                <w:szCs w:val="18"/>
              </w:rPr>
            </w:pPr>
            <w:r w:rsidRPr="00BD16B4">
              <w:rPr>
                <w:szCs w:val="18"/>
              </w:rPr>
              <w:t>149.58</w:t>
            </w:r>
          </w:p>
        </w:tc>
      </w:tr>
      <w:tr w:rsidR="008E7C93" w:rsidRPr="00BD16B4" w14:paraId="4B3DFBE6" w14:textId="77777777" w:rsidTr="00F70C72">
        <w:tc>
          <w:tcPr>
            <w:tcW w:w="3964" w:type="dxa"/>
          </w:tcPr>
          <w:p w14:paraId="3B35734C" w14:textId="4DD39B2F"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Biological treatment of solid waste</w:t>
            </w:r>
          </w:p>
        </w:tc>
        <w:tc>
          <w:tcPr>
            <w:tcW w:w="964" w:type="dxa"/>
            <w:shd w:val="clear" w:color="auto" w:fill="auto"/>
          </w:tcPr>
          <w:p w14:paraId="0C9508A6" w14:textId="77777777" w:rsidR="00ED2EBD" w:rsidRPr="00BD16B4" w:rsidRDefault="00ED2EBD" w:rsidP="004A205F">
            <w:pPr>
              <w:pStyle w:val="TableText"/>
              <w:spacing w:before="40" w:after="40"/>
              <w:jc w:val="right"/>
              <w:rPr>
                <w:szCs w:val="18"/>
              </w:rPr>
            </w:pPr>
            <w:r w:rsidRPr="00BD16B4">
              <w:rPr>
                <w:szCs w:val="18"/>
              </w:rPr>
              <w:t>0.11</w:t>
            </w:r>
          </w:p>
        </w:tc>
        <w:tc>
          <w:tcPr>
            <w:tcW w:w="964" w:type="dxa"/>
            <w:shd w:val="clear" w:color="auto" w:fill="auto"/>
          </w:tcPr>
          <w:p w14:paraId="4C797A35" w14:textId="77777777" w:rsidR="00ED2EBD" w:rsidRPr="00BD16B4" w:rsidRDefault="00ED2EBD" w:rsidP="004A205F">
            <w:pPr>
              <w:pStyle w:val="TableText"/>
              <w:spacing w:before="40" w:after="40"/>
              <w:jc w:val="right"/>
              <w:rPr>
                <w:szCs w:val="18"/>
              </w:rPr>
            </w:pPr>
            <w:r w:rsidRPr="00BD16B4">
              <w:rPr>
                <w:szCs w:val="18"/>
              </w:rPr>
              <w:t>0.11</w:t>
            </w:r>
          </w:p>
        </w:tc>
        <w:tc>
          <w:tcPr>
            <w:tcW w:w="964" w:type="dxa"/>
            <w:shd w:val="clear" w:color="auto" w:fill="auto"/>
          </w:tcPr>
          <w:p w14:paraId="6B521C0B" w14:textId="77777777" w:rsidR="00ED2EBD" w:rsidRPr="00BD16B4" w:rsidRDefault="00ED2EBD" w:rsidP="004A205F">
            <w:pPr>
              <w:pStyle w:val="TableText"/>
              <w:spacing w:before="40" w:after="40"/>
              <w:jc w:val="right"/>
              <w:rPr>
                <w:szCs w:val="18"/>
              </w:rPr>
            </w:pPr>
            <w:r w:rsidRPr="00BD16B4">
              <w:rPr>
                <w:szCs w:val="18"/>
              </w:rPr>
              <w:t>0.11</w:t>
            </w:r>
          </w:p>
        </w:tc>
        <w:tc>
          <w:tcPr>
            <w:tcW w:w="964" w:type="dxa"/>
            <w:shd w:val="clear" w:color="auto" w:fill="auto"/>
          </w:tcPr>
          <w:p w14:paraId="480AB533" w14:textId="77777777" w:rsidR="00ED2EBD" w:rsidRPr="00BD16B4" w:rsidRDefault="00ED2EBD" w:rsidP="004A205F">
            <w:pPr>
              <w:pStyle w:val="TableText"/>
              <w:spacing w:before="40" w:after="40"/>
              <w:jc w:val="right"/>
              <w:rPr>
                <w:szCs w:val="18"/>
              </w:rPr>
            </w:pPr>
            <w:r w:rsidRPr="00BD16B4">
              <w:rPr>
                <w:szCs w:val="18"/>
              </w:rPr>
              <w:t>0.12</w:t>
            </w:r>
          </w:p>
        </w:tc>
        <w:tc>
          <w:tcPr>
            <w:tcW w:w="964" w:type="dxa"/>
            <w:shd w:val="clear" w:color="auto" w:fill="auto"/>
          </w:tcPr>
          <w:p w14:paraId="5DD6523F" w14:textId="77777777" w:rsidR="00ED2EBD" w:rsidRPr="00BD16B4" w:rsidRDefault="00ED2EBD" w:rsidP="004A205F">
            <w:pPr>
              <w:pStyle w:val="TableText"/>
              <w:spacing w:before="40" w:after="40"/>
              <w:jc w:val="right"/>
              <w:rPr>
                <w:szCs w:val="18"/>
              </w:rPr>
            </w:pPr>
            <w:r w:rsidRPr="00BD16B4">
              <w:rPr>
                <w:szCs w:val="18"/>
              </w:rPr>
              <w:t>0.12</w:t>
            </w:r>
          </w:p>
        </w:tc>
        <w:tc>
          <w:tcPr>
            <w:tcW w:w="964" w:type="dxa"/>
            <w:shd w:val="clear" w:color="auto" w:fill="auto"/>
          </w:tcPr>
          <w:p w14:paraId="021E2A3C" w14:textId="77777777" w:rsidR="00ED2EBD" w:rsidRPr="00BD16B4" w:rsidRDefault="00ED2EBD" w:rsidP="004A205F">
            <w:pPr>
              <w:pStyle w:val="TableText"/>
              <w:spacing w:before="40" w:after="40"/>
              <w:jc w:val="right"/>
              <w:rPr>
                <w:szCs w:val="18"/>
              </w:rPr>
            </w:pPr>
            <w:r w:rsidRPr="00BD16B4">
              <w:rPr>
                <w:szCs w:val="18"/>
              </w:rPr>
              <w:t>0.12</w:t>
            </w:r>
          </w:p>
        </w:tc>
        <w:tc>
          <w:tcPr>
            <w:tcW w:w="964" w:type="dxa"/>
            <w:shd w:val="clear" w:color="auto" w:fill="auto"/>
          </w:tcPr>
          <w:p w14:paraId="5A46F020" w14:textId="77777777" w:rsidR="00ED2EBD" w:rsidRPr="00BD16B4" w:rsidRDefault="00ED2EBD" w:rsidP="004A205F">
            <w:pPr>
              <w:pStyle w:val="TableText"/>
              <w:spacing w:before="40" w:after="40"/>
              <w:jc w:val="right"/>
              <w:rPr>
                <w:szCs w:val="18"/>
              </w:rPr>
            </w:pPr>
            <w:r w:rsidRPr="00BD16B4">
              <w:rPr>
                <w:szCs w:val="18"/>
              </w:rPr>
              <w:t>0.12</w:t>
            </w:r>
          </w:p>
        </w:tc>
        <w:tc>
          <w:tcPr>
            <w:tcW w:w="964" w:type="dxa"/>
            <w:shd w:val="clear" w:color="auto" w:fill="auto"/>
          </w:tcPr>
          <w:p w14:paraId="6E76DB88" w14:textId="77777777" w:rsidR="00ED2EBD" w:rsidRPr="00BD16B4" w:rsidRDefault="00ED2EBD" w:rsidP="004A205F">
            <w:pPr>
              <w:pStyle w:val="TableText"/>
              <w:spacing w:before="40" w:after="40"/>
              <w:jc w:val="right"/>
              <w:rPr>
                <w:szCs w:val="18"/>
              </w:rPr>
            </w:pPr>
            <w:r w:rsidRPr="00BD16B4">
              <w:rPr>
                <w:szCs w:val="18"/>
              </w:rPr>
              <w:t>0.13</w:t>
            </w:r>
          </w:p>
        </w:tc>
        <w:tc>
          <w:tcPr>
            <w:tcW w:w="964" w:type="dxa"/>
            <w:shd w:val="clear" w:color="auto" w:fill="auto"/>
          </w:tcPr>
          <w:p w14:paraId="60D0F46E" w14:textId="77777777" w:rsidR="00ED2EBD" w:rsidRPr="00BD16B4" w:rsidRDefault="00ED2EBD" w:rsidP="004A205F">
            <w:pPr>
              <w:pStyle w:val="TableText"/>
              <w:spacing w:before="40" w:after="40"/>
              <w:jc w:val="right"/>
              <w:rPr>
                <w:szCs w:val="18"/>
              </w:rPr>
            </w:pPr>
            <w:r w:rsidRPr="00BD16B4">
              <w:rPr>
                <w:szCs w:val="18"/>
              </w:rPr>
              <w:t>0.13</w:t>
            </w:r>
          </w:p>
        </w:tc>
      </w:tr>
      <w:tr w:rsidR="008E7C93" w:rsidRPr="00BD16B4" w14:paraId="202339DE" w14:textId="77777777" w:rsidTr="00F70C72">
        <w:tc>
          <w:tcPr>
            <w:tcW w:w="3964" w:type="dxa"/>
          </w:tcPr>
          <w:p w14:paraId="23F57B87" w14:textId="5DAA7721"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Incineration and open burning of waste</w:t>
            </w:r>
          </w:p>
        </w:tc>
        <w:tc>
          <w:tcPr>
            <w:tcW w:w="964" w:type="dxa"/>
            <w:shd w:val="clear" w:color="auto" w:fill="auto"/>
          </w:tcPr>
          <w:p w14:paraId="1B909CC6" w14:textId="77777777" w:rsidR="00ED2EBD" w:rsidRPr="00BD16B4" w:rsidRDefault="00ED2EBD" w:rsidP="004A205F">
            <w:pPr>
              <w:pStyle w:val="TableText"/>
              <w:spacing w:before="40" w:after="40"/>
              <w:jc w:val="right"/>
              <w:rPr>
                <w:szCs w:val="18"/>
              </w:rPr>
            </w:pPr>
            <w:r w:rsidRPr="00BD16B4">
              <w:rPr>
                <w:szCs w:val="18"/>
              </w:rPr>
              <w:t>5.09</w:t>
            </w:r>
          </w:p>
        </w:tc>
        <w:tc>
          <w:tcPr>
            <w:tcW w:w="964" w:type="dxa"/>
            <w:shd w:val="clear" w:color="auto" w:fill="auto"/>
          </w:tcPr>
          <w:p w14:paraId="15DB0A49" w14:textId="77777777" w:rsidR="00ED2EBD" w:rsidRPr="00BD16B4" w:rsidRDefault="00ED2EBD" w:rsidP="004A205F">
            <w:pPr>
              <w:pStyle w:val="TableText"/>
              <w:spacing w:before="40" w:after="40"/>
              <w:jc w:val="right"/>
              <w:rPr>
                <w:szCs w:val="18"/>
              </w:rPr>
            </w:pPr>
            <w:r w:rsidRPr="00BD16B4">
              <w:rPr>
                <w:szCs w:val="18"/>
              </w:rPr>
              <w:t>5.06</w:t>
            </w:r>
          </w:p>
        </w:tc>
        <w:tc>
          <w:tcPr>
            <w:tcW w:w="964" w:type="dxa"/>
            <w:shd w:val="clear" w:color="auto" w:fill="auto"/>
          </w:tcPr>
          <w:p w14:paraId="0F264865" w14:textId="77777777" w:rsidR="00ED2EBD" w:rsidRPr="00BD16B4" w:rsidRDefault="00ED2EBD" w:rsidP="004A205F">
            <w:pPr>
              <w:pStyle w:val="TableText"/>
              <w:spacing w:before="40" w:after="40"/>
              <w:jc w:val="right"/>
              <w:rPr>
                <w:szCs w:val="18"/>
              </w:rPr>
            </w:pPr>
            <w:r w:rsidRPr="00BD16B4">
              <w:rPr>
                <w:szCs w:val="18"/>
              </w:rPr>
              <w:t>5.00</w:t>
            </w:r>
          </w:p>
        </w:tc>
        <w:tc>
          <w:tcPr>
            <w:tcW w:w="964" w:type="dxa"/>
            <w:shd w:val="clear" w:color="auto" w:fill="auto"/>
          </w:tcPr>
          <w:p w14:paraId="4AB4152B" w14:textId="77777777" w:rsidR="00ED2EBD" w:rsidRPr="00BD16B4" w:rsidRDefault="00ED2EBD" w:rsidP="004A205F">
            <w:pPr>
              <w:pStyle w:val="TableText"/>
              <w:spacing w:before="40" w:after="40"/>
              <w:jc w:val="right"/>
              <w:rPr>
                <w:szCs w:val="18"/>
              </w:rPr>
            </w:pPr>
            <w:r w:rsidRPr="00BD16B4">
              <w:rPr>
                <w:szCs w:val="18"/>
              </w:rPr>
              <w:t>5.10</w:t>
            </w:r>
          </w:p>
        </w:tc>
        <w:tc>
          <w:tcPr>
            <w:tcW w:w="964" w:type="dxa"/>
            <w:shd w:val="clear" w:color="auto" w:fill="auto"/>
          </w:tcPr>
          <w:p w14:paraId="799D0196" w14:textId="77777777" w:rsidR="00ED2EBD" w:rsidRPr="00BD16B4" w:rsidRDefault="00ED2EBD" w:rsidP="004A205F">
            <w:pPr>
              <w:pStyle w:val="TableText"/>
              <w:spacing w:before="40" w:after="40"/>
              <w:jc w:val="right"/>
              <w:rPr>
                <w:szCs w:val="18"/>
              </w:rPr>
            </w:pPr>
            <w:r w:rsidRPr="00BD16B4">
              <w:rPr>
                <w:szCs w:val="18"/>
              </w:rPr>
              <w:t>4.35</w:t>
            </w:r>
          </w:p>
        </w:tc>
        <w:tc>
          <w:tcPr>
            <w:tcW w:w="964" w:type="dxa"/>
            <w:shd w:val="clear" w:color="auto" w:fill="auto"/>
          </w:tcPr>
          <w:p w14:paraId="1752D812" w14:textId="77777777" w:rsidR="00ED2EBD" w:rsidRPr="00BD16B4" w:rsidRDefault="00ED2EBD" w:rsidP="004A205F">
            <w:pPr>
              <w:pStyle w:val="TableText"/>
              <w:spacing w:before="40" w:after="40"/>
              <w:jc w:val="right"/>
              <w:rPr>
                <w:szCs w:val="18"/>
              </w:rPr>
            </w:pPr>
            <w:r w:rsidRPr="00BD16B4">
              <w:rPr>
                <w:szCs w:val="18"/>
              </w:rPr>
              <w:t>4.31</w:t>
            </w:r>
          </w:p>
        </w:tc>
        <w:tc>
          <w:tcPr>
            <w:tcW w:w="964" w:type="dxa"/>
            <w:shd w:val="clear" w:color="auto" w:fill="auto"/>
          </w:tcPr>
          <w:p w14:paraId="6037F8B0" w14:textId="77777777" w:rsidR="00ED2EBD" w:rsidRPr="00BD16B4" w:rsidRDefault="00ED2EBD" w:rsidP="004A205F">
            <w:pPr>
              <w:pStyle w:val="TableText"/>
              <w:spacing w:before="40" w:after="40"/>
              <w:jc w:val="right"/>
              <w:rPr>
                <w:szCs w:val="18"/>
              </w:rPr>
            </w:pPr>
            <w:r w:rsidRPr="00BD16B4">
              <w:rPr>
                <w:szCs w:val="18"/>
              </w:rPr>
              <w:t>4.14</w:t>
            </w:r>
          </w:p>
        </w:tc>
        <w:tc>
          <w:tcPr>
            <w:tcW w:w="964" w:type="dxa"/>
            <w:shd w:val="clear" w:color="auto" w:fill="auto"/>
          </w:tcPr>
          <w:p w14:paraId="5E4C6315" w14:textId="77777777" w:rsidR="00ED2EBD" w:rsidRPr="00BD16B4" w:rsidRDefault="00ED2EBD" w:rsidP="004A205F">
            <w:pPr>
              <w:pStyle w:val="TableText"/>
              <w:spacing w:before="40" w:after="40"/>
              <w:jc w:val="right"/>
              <w:rPr>
                <w:szCs w:val="18"/>
              </w:rPr>
            </w:pPr>
            <w:r w:rsidRPr="00BD16B4">
              <w:rPr>
                <w:szCs w:val="18"/>
              </w:rPr>
              <w:t>4.45</w:t>
            </w:r>
          </w:p>
        </w:tc>
        <w:tc>
          <w:tcPr>
            <w:tcW w:w="964" w:type="dxa"/>
            <w:shd w:val="clear" w:color="auto" w:fill="auto"/>
          </w:tcPr>
          <w:p w14:paraId="33821317" w14:textId="77777777" w:rsidR="00ED2EBD" w:rsidRPr="00BD16B4" w:rsidRDefault="00ED2EBD" w:rsidP="004A205F">
            <w:pPr>
              <w:pStyle w:val="TableText"/>
              <w:spacing w:before="40" w:after="40"/>
              <w:jc w:val="right"/>
              <w:rPr>
                <w:szCs w:val="18"/>
              </w:rPr>
            </w:pPr>
            <w:r w:rsidRPr="00BD16B4">
              <w:rPr>
                <w:szCs w:val="18"/>
              </w:rPr>
              <w:t>4.76</w:t>
            </w:r>
          </w:p>
        </w:tc>
      </w:tr>
      <w:tr w:rsidR="008E7C93" w:rsidRPr="00BD16B4" w14:paraId="617BF064" w14:textId="77777777" w:rsidTr="00F70C72">
        <w:tc>
          <w:tcPr>
            <w:tcW w:w="3964" w:type="dxa"/>
          </w:tcPr>
          <w:p w14:paraId="026FAB54" w14:textId="43637A15" w:rsidR="00ED2EBD" w:rsidRPr="00BD16B4" w:rsidRDefault="00ED2EBD" w:rsidP="004A205F">
            <w:pPr>
              <w:pStyle w:val="TableText"/>
              <w:spacing w:before="40" w:after="40"/>
              <w:rPr>
                <w:szCs w:val="18"/>
              </w:rPr>
            </w:pPr>
            <w:r w:rsidRPr="00BD16B4">
              <w:rPr>
                <w:szCs w:val="18"/>
              </w:rPr>
              <w:lastRenderedPageBreak/>
              <w:t>D.</w:t>
            </w:r>
            <w:r w:rsidR="00280979" w:rsidRPr="00BD16B4">
              <w:rPr>
                <w:szCs w:val="18"/>
              </w:rPr>
              <w:t xml:space="preserve"> </w:t>
            </w:r>
            <w:r w:rsidRPr="00BD16B4">
              <w:rPr>
                <w:szCs w:val="18"/>
              </w:rPr>
              <w:t>Waste water treatment and discharge</w:t>
            </w:r>
          </w:p>
        </w:tc>
        <w:tc>
          <w:tcPr>
            <w:tcW w:w="964" w:type="dxa"/>
            <w:tcBorders>
              <w:bottom w:val="single" w:sz="4" w:space="0" w:color="1B556B" w:themeColor="text2"/>
            </w:tcBorders>
            <w:shd w:val="clear" w:color="auto" w:fill="auto"/>
          </w:tcPr>
          <w:p w14:paraId="110C7967" w14:textId="77777777" w:rsidR="00ED2EBD" w:rsidRPr="00BD16B4" w:rsidRDefault="00ED2EBD" w:rsidP="004A205F">
            <w:pPr>
              <w:pStyle w:val="TableText"/>
              <w:spacing w:before="40" w:after="40"/>
              <w:jc w:val="right"/>
              <w:rPr>
                <w:szCs w:val="18"/>
              </w:rPr>
            </w:pPr>
            <w:r w:rsidRPr="00BD16B4">
              <w:rPr>
                <w:szCs w:val="18"/>
              </w:rPr>
              <w:t>8.90</w:t>
            </w:r>
          </w:p>
        </w:tc>
        <w:tc>
          <w:tcPr>
            <w:tcW w:w="964" w:type="dxa"/>
            <w:tcBorders>
              <w:bottom w:val="single" w:sz="4" w:space="0" w:color="1B556B" w:themeColor="text2"/>
            </w:tcBorders>
            <w:shd w:val="clear" w:color="auto" w:fill="auto"/>
          </w:tcPr>
          <w:p w14:paraId="269A2DA1" w14:textId="77777777" w:rsidR="00ED2EBD" w:rsidRPr="00BD16B4" w:rsidRDefault="00ED2EBD" w:rsidP="004A205F">
            <w:pPr>
              <w:pStyle w:val="TableText"/>
              <w:spacing w:before="40" w:after="40"/>
              <w:jc w:val="right"/>
              <w:rPr>
                <w:szCs w:val="18"/>
              </w:rPr>
            </w:pPr>
            <w:r w:rsidRPr="00BD16B4">
              <w:rPr>
                <w:szCs w:val="18"/>
              </w:rPr>
              <w:t>9.27</w:t>
            </w:r>
          </w:p>
        </w:tc>
        <w:tc>
          <w:tcPr>
            <w:tcW w:w="964" w:type="dxa"/>
            <w:tcBorders>
              <w:bottom w:val="single" w:sz="4" w:space="0" w:color="1B556B" w:themeColor="text2"/>
            </w:tcBorders>
            <w:shd w:val="clear" w:color="auto" w:fill="auto"/>
          </w:tcPr>
          <w:p w14:paraId="03D52F5E" w14:textId="77777777" w:rsidR="00ED2EBD" w:rsidRPr="00BD16B4" w:rsidRDefault="00ED2EBD" w:rsidP="004A205F">
            <w:pPr>
              <w:pStyle w:val="TableText"/>
              <w:spacing w:before="40" w:after="40"/>
              <w:jc w:val="right"/>
              <w:rPr>
                <w:szCs w:val="18"/>
              </w:rPr>
            </w:pPr>
            <w:r w:rsidRPr="00BD16B4">
              <w:rPr>
                <w:szCs w:val="18"/>
              </w:rPr>
              <w:t>9.49</w:t>
            </w:r>
          </w:p>
        </w:tc>
        <w:tc>
          <w:tcPr>
            <w:tcW w:w="964" w:type="dxa"/>
            <w:tcBorders>
              <w:bottom w:val="single" w:sz="4" w:space="0" w:color="1B556B" w:themeColor="text2"/>
            </w:tcBorders>
            <w:shd w:val="clear" w:color="auto" w:fill="auto"/>
          </w:tcPr>
          <w:p w14:paraId="2486CD44" w14:textId="77777777" w:rsidR="00ED2EBD" w:rsidRPr="00BD16B4" w:rsidRDefault="00ED2EBD" w:rsidP="004A205F">
            <w:pPr>
              <w:pStyle w:val="TableText"/>
              <w:spacing w:before="40" w:after="40"/>
              <w:jc w:val="right"/>
              <w:rPr>
                <w:szCs w:val="18"/>
              </w:rPr>
            </w:pPr>
            <w:r w:rsidRPr="00BD16B4">
              <w:rPr>
                <w:szCs w:val="18"/>
              </w:rPr>
              <w:t>9.35</w:t>
            </w:r>
          </w:p>
        </w:tc>
        <w:tc>
          <w:tcPr>
            <w:tcW w:w="964" w:type="dxa"/>
            <w:tcBorders>
              <w:bottom w:val="single" w:sz="4" w:space="0" w:color="1B556B" w:themeColor="text2"/>
            </w:tcBorders>
            <w:shd w:val="clear" w:color="auto" w:fill="auto"/>
          </w:tcPr>
          <w:p w14:paraId="627D724F" w14:textId="77777777" w:rsidR="00ED2EBD" w:rsidRPr="00BD16B4" w:rsidRDefault="00ED2EBD" w:rsidP="004A205F">
            <w:pPr>
              <w:pStyle w:val="TableText"/>
              <w:spacing w:before="40" w:after="40"/>
              <w:jc w:val="right"/>
              <w:rPr>
                <w:szCs w:val="18"/>
              </w:rPr>
            </w:pPr>
            <w:r w:rsidRPr="00BD16B4">
              <w:rPr>
                <w:szCs w:val="18"/>
              </w:rPr>
              <w:t>9.61</w:t>
            </w:r>
          </w:p>
        </w:tc>
        <w:tc>
          <w:tcPr>
            <w:tcW w:w="964" w:type="dxa"/>
            <w:tcBorders>
              <w:bottom w:val="single" w:sz="4" w:space="0" w:color="1B556B" w:themeColor="text2"/>
            </w:tcBorders>
            <w:shd w:val="clear" w:color="auto" w:fill="auto"/>
          </w:tcPr>
          <w:p w14:paraId="01971AEB" w14:textId="77777777" w:rsidR="00ED2EBD" w:rsidRPr="00BD16B4" w:rsidRDefault="00ED2EBD" w:rsidP="004A205F">
            <w:pPr>
              <w:pStyle w:val="TableText"/>
              <w:spacing w:before="40" w:after="40"/>
              <w:jc w:val="right"/>
              <w:rPr>
                <w:szCs w:val="18"/>
              </w:rPr>
            </w:pPr>
            <w:r w:rsidRPr="00BD16B4">
              <w:rPr>
                <w:szCs w:val="18"/>
              </w:rPr>
              <w:t>9.81</w:t>
            </w:r>
          </w:p>
        </w:tc>
        <w:tc>
          <w:tcPr>
            <w:tcW w:w="964" w:type="dxa"/>
            <w:tcBorders>
              <w:bottom w:val="single" w:sz="4" w:space="0" w:color="1B556B" w:themeColor="text2"/>
            </w:tcBorders>
            <w:shd w:val="clear" w:color="auto" w:fill="auto"/>
          </w:tcPr>
          <w:p w14:paraId="1CF05129" w14:textId="77777777" w:rsidR="00ED2EBD" w:rsidRPr="00BD16B4" w:rsidRDefault="00ED2EBD" w:rsidP="004A205F">
            <w:pPr>
              <w:pStyle w:val="TableText"/>
              <w:spacing w:before="40" w:after="40"/>
              <w:jc w:val="right"/>
              <w:rPr>
                <w:szCs w:val="18"/>
              </w:rPr>
            </w:pPr>
            <w:r w:rsidRPr="00BD16B4">
              <w:rPr>
                <w:szCs w:val="18"/>
              </w:rPr>
              <w:t>9.97</w:t>
            </w:r>
          </w:p>
        </w:tc>
        <w:tc>
          <w:tcPr>
            <w:tcW w:w="964" w:type="dxa"/>
            <w:tcBorders>
              <w:bottom w:val="single" w:sz="4" w:space="0" w:color="1B556B" w:themeColor="text2"/>
            </w:tcBorders>
            <w:shd w:val="clear" w:color="auto" w:fill="auto"/>
          </w:tcPr>
          <w:p w14:paraId="4A6656AE" w14:textId="77777777" w:rsidR="00ED2EBD" w:rsidRPr="00BD16B4" w:rsidRDefault="00ED2EBD" w:rsidP="004A205F">
            <w:pPr>
              <w:pStyle w:val="TableText"/>
              <w:spacing w:before="40" w:after="40"/>
              <w:jc w:val="right"/>
              <w:rPr>
                <w:szCs w:val="18"/>
              </w:rPr>
            </w:pPr>
            <w:r w:rsidRPr="00BD16B4">
              <w:rPr>
                <w:szCs w:val="18"/>
              </w:rPr>
              <w:t>10.05</w:t>
            </w:r>
          </w:p>
        </w:tc>
        <w:tc>
          <w:tcPr>
            <w:tcW w:w="964" w:type="dxa"/>
            <w:tcBorders>
              <w:bottom w:val="single" w:sz="4" w:space="0" w:color="1B556B" w:themeColor="text2"/>
            </w:tcBorders>
            <w:shd w:val="clear" w:color="auto" w:fill="auto"/>
          </w:tcPr>
          <w:p w14:paraId="53182CCF" w14:textId="77777777" w:rsidR="00ED2EBD" w:rsidRPr="00BD16B4" w:rsidRDefault="00ED2EBD" w:rsidP="004A205F">
            <w:pPr>
              <w:pStyle w:val="TableText"/>
              <w:spacing w:before="40" w:after="40"/>
              <w:jc w:val="right"/>
              <w:rPr>
                <w:szCs w:val="18"/>
              </w:rPr>
            </w:pPr>
            <w:r w:rsidRPr="00BD16B4">
              <w:rPr>
                <w:szCs w:val="18"/>
              </w:rPr>
              <w:t>9.91</w:t>
            </w:r>
          </w:p>
        </w:tc>
      </w:tr>
      <w:tr w:rsidR="00ED2EBD" w:rsidRPr="00BD16B4" w14:paraId="35916138" w14:textId="77777777" w:rsidTr="00F70C72">
        <w:tc>
          <w:tcPr>
            <w:tcW w:w="3964" w:type="dxa"/>
          </w:tcPr>
          <w:p w14:paraId="6AC21B72" w14:textId="30FDAE5E"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 xml:space="preserve">Other </w:t>
            </w:r>
          </w:p>
        </w:tc>
        <w:tc>
          <w:tcPr>
            <w:tcW w:w="964" w:type="dxa"/>
            <w:tcBorders>
              <w:top w:val="single" w:sz="4" w:space="0" w:color="1B556B" w:themeColor="text2"/>
            </w:tcBorders>
            <w:shd w:val="clear" w:color="auto" w:fill="D2DDE1" w:themeFill="background2"/>
          </w:tcPr>
          <w:p w14:paraId="33A3CC9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DEB9C9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2E2EC0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685919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D2F783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124BE5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9A5CA1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846DC0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174B6B0" w14:textId="77777777" w:rsidR="00ED2EBD" w:rsidRPr="00BD16B4" w:rsidRDefault="00ED2EBD" w:rsidP="004A205F">
            <w:pPr>
              <w:pStyle w:val="TableText"/>
              <w:spacing w:before="40" w:after="40"/>
              <w:jc w:val="right"/>
              <w:rPr>
                <w:szCs w:val="18"/>
              </w:rPr>
            </w:pPr>
            <w:r w:rsidRPr="00BD16B4">
              <w:rPr>
                <w:color w:val="000000"/>
                <w:szCs w:val="18"/>
              </w:rPr>
              <w:t> </w:t>
            </w:r>
          </w:p>
        </w:tc>
      </w:tr>
      <w:tr w:rsidR="008E7C93" w:rsidRPr="00BD16B4" w14:paraId="78EF5E16" w14:textId="77777777" w:rsidTr="00F70C72">
        <w:tc>
          <w:tcPr>
            <w:tcW w:w="3964" w:type="dxa"/>
          </w:tcPr>
          <w:p w14:paraId="254B6EAC" w14:textId="06B4659A" w:rsidR="00ED2EBD" w:rsidRPr="00BD16B4" w:rsidRDefault="00ED2EBD" w:rsidP="004A205F">
            <w:pPr>
              <w:pStyle w:val="TableText"/>
              <w:spacing w:before="40" w:after="40"/>
              <w:rPr>
                <w:szCs w:val="18"/>
              </w:rPr>
            </w:pPr>
            <w:r w:rsidRPr="00BD16B4">
              <w:rPr>
                <w:b/>
                <w:bCs/>
                <w:szCs w:val="18"/>
              </w:rPr>
              <w:t>6.</w:t>
            </w:r>
            <w:r w:rsidR="00280979" w:rsidRPr="00BD16B4">
              <w:rPr>
                <w:b/>
                <w:bCs/>
                <w:szCs w:val="18"/>
              </w:rPr>
              <w:t xml:space="preserve"> </w:t>
            </w:r>
            <w:r w:rsidRPr="00BD16B4">
              <w:rPr>
                <w:b/>
                <w:bCs/>
                <w:szCs w:val="18"/>
              </w:rPr>
              <w:t>Other (as specified in summary table A.1)</w:t>
            </w:r>
          </w:p>
        </w:tc>
        <w:tc>
          <w:tcPr>
            <w:tcW w:w="964" w:type="dxa"/>
            <w:shd w:val="clear" w:color="auto" w:fill="auto"/>
          </w:tcPr>
          <w:p w14:paraId="59E18158" w14:textId="77777777" w:rsidR="00ED2EBD" w:rsidRPr="00BD16B4" w:rsidRDefault="00ED2EBD" w:rsidP="004A205F">
            <w:pPr>
              <w:pStyle w:val="TableText"/>
              <w:spacing w:before="40" w:after="40"/>
              <w:jc w:val="right"/>
              <w:rPr>
                <w:szCs w:val="18"/>
              </w:rPr>
            </w:pPr>
            <w:r w:rsidRPr="00BD16B4">
              <w:rPr>
                <w:szCs w:val="18"/>
              </w:rPr>
              <w:t>0.07</w:t>
            </w:r>
          </w:p>
        </w:tc>
        <w:tc>
          <w:tcPr>
            <w:tcW w:w="964" w:type="dxa"/>
            <w:shd w:val="clear" w:color="auto" w:fill="auto"/>
          </w:tcPr>
          <w:p w14:paraId="3B2BE409" w14:textId="77777777" w:rsidR="00ED2EBD" w:rsidRPr="00BD16B4" w:rsidRDefault="00ED2EBD" w:rsidP="004A205F">
            <w:pPr>
              <w:pStyle w:val="TableText"/>
              <w:spacing w:before="40" w:after="40"/>
              <w:jc w:val="right"/>
              <w:rPr>
                <w:szCs w:val="18"/>
              </w:rPr>
            </w:pPr>
            <w:r w:rsidRPr="00BD16B4">
              <w:rPr>
                <w:szCs w:val="18"/>
              </w:rPr>
              <w:t>0.08</w:t>
            </w:r>
          </w:p>
        </w:tc>
        <w:tc>
          <w:tcPr>
            <w:tcW w:w="964" w:type="dxa"/>
            <w:shd w:val="clear" w:color="auto" w:fill="auto"/>
          </w:tcPr>
          <w:p w14:paraId="1DD809A9" w14:textId="77777777" w:rsidR="00ED2EBD" w:rsidRPr="00BD16B4" w:rsidRDefault="00ED2EBD" w:rsidP="004A205F">
            <w:pPr>
              <w:pStyle w:val="TableText"/>
              <w:spacing w:before="40" w:after="40"/>
              <w:jc w:val="right"/>
              <w:rPr>
                <w:szCs w:val="18"/>
              </w:rPr>
            </w:pPr>
            <w:r w:rsidRPr="00BD16B4">
              <w:rPr>
                <w:szCs w:val="18"/>
              </w:rPr>
              <w:t>0.07</w:t>
            </w:r>
          </w:p>
        </w:tc>
        <w:tc>
          <w:tcPr>
            <w:tcW w:w="964" w:type="dxa"/>
            <w:shd w:val="clear" w:color="auto" w:fill="auto"/>
          </w:tcPr>
          <w:p w14:paraId="03F74A73" w14:textId="77777777" w:rsidR="00ED2EBD" w:rsidRPr="00BD16B4" w:rsidRDefault="00ED2EBD" w:rsidP="004A205F">
            <w:pPr>
              <w:pStyle w:val="TableText"/>
              <w:spacing w:before="40" w:after="40"/>
              <w:jc w:val="right"/>
              <w:rPr>
                <w:szCs w:val="18"/>
              </w:rPr>
            </w:pPr>
            <w:r w:rsidRPr="00BD16B4">
              <w:rPr>
                <w:szCs w:val="18"/>
              </w:rPr>
              <w:t>0.07</w:t>
            </w:r>
          </w:p>
        </w:tc>
        <w:tc>
          <w:tcPr>
            <w:tcW w:w="964" w:type="dxa"/>
            <w:shd w:val="clear" w:color="auto" w:fill="auto"/>
          </w:tcPr>
          <w:p w14:paraId="40EFDE24" w14:textId="77777777" w:rsidR="00ED2EBD" w:rsidRPr="00BD16B4" w:rsidRDefault="00ED2EBD" w:rsidP="004A205F">
            <w:pPr>
              <w:pStyle w:val="TableText"/>
              <w:spacing w:before="40" w:after="40"/>
              <w:jc w:val="right"/>
              <w:rPr>
                <w:szCs w:val="18"/>
              </w:rPr>
            </w:pPr>
            <w:r w:rsidRPr="00BD16B4">
              <w:rPr>
                <w:szCs w:val="18"/>
              </w:rPr>
              <w:t>0.07</w:t>
            </w:r>
          </w:p>
        </w:tc>
        <w:tc>
          <w:tcPr>
            <w:tcW w:w="964" w:type="dxa"/>
            <w:shd w:val="clear" w:color="auto" w:fill="auto"/>
          </w:tcPr>
          <w:p w14:paraId="4D29E60A" w14:textId="77777777" w:rsidR="00ED2EBD" w:rsidRPr="00BD16B4" w:rsidRDefault="00ED2EBD" w:rsidP="004A205F">
            <w:pPr>
              <w:pStyle w:val="TableText"/>
              <w:spacing w:before="40" w:after="40"/>
              <w:jc w:val="right"/>
              <w:rPr>
                <w:szCs w:val="18"/>
              </w:rPr>
            </w:pPr>
            <w:r w:rsidRPr="00BD16B4">
              <w:rPr>
                <w:szCs w:val="18"/>
              </w:rPr>
              <w:t>0.07</w:t>
            </w:r>
          </w:p>
        </w:tc>
        <w:tc>
          <w:tcPr>
            <w:tcW w:w="964" w:type="dxa"/>
            <w:shd w:val="clear" w:color="auto" w:fill="auto"/>
          </w:tcPr>
          <w:p w14:paraId="5B6AFB1A" w14:textId="77777777" w:rsidR="00ED2EBD" w:rsidRPr="00BD16B4" w:rsidRDefault="00ED2EBD" w:rsidP="004A205F">
            <w:pPr>
              <w:pStyle w:val="TableText"/>
              <w:spacing w:before="40" w:after="40"/>
              <w:jc w:val="right"/>
              <w:rPr>
                <w:szCs w:val="18"/>
              </w:rPr>
            </w:pPr>
            <w:r w:rsidRPr="00BD16B4">
              <w:rPr>
                <w:szCs w:val="18"/>
              </w:rPr>
              <w:t>0.07</w:t>
            </w:r>
          </w:p>
        </w:tc>
        <w:tc>
          <w:tcPr>
            <w:tcW w:w="964" w:type="dxa"/>
            <w:shd w:val="clear" w:color="auto" w:fill="auto"/>
          </w:tcPr>
          <w:p w14:paraId="322FFCBF" w14:textId="77777777" w:rsidR="00ED2EBD" w:rsidRPr="00BD16B4" w:rsidRDefault="00ED2EBD" w:rsidP="004A205F">
            <w:pPr>
              <w:pStyle w:val="TableText"/>
              <w:spacing w:before="40" w:after="40"/>
              <w:jc w:val="right"/>
              <w:rPr>
                <w:szCs w:val="18"/>
              </w:rPr>
            </w:pPr>
            <w:r w:rsidRPr="00BD16B4">
              <w:rPr>
                <w:szCs w:val="18"/>
              </w:rPr>
              <w:t>0.07</w:t>
            </w:r>
          </w:p>
        </w:tc>
        <w:tc>
          <w:tcPr>
            <w:tcW w:w="964" w:type="dxa"/>
            <w:shd w:val="clear" w:color="auto" w:fill="auto"/>
          </w:tcPr>
          <w:p w14:paraId="75FFFF3A" w14:textId="77777777" w:rsidR="00ED2EBD" w:rsidRPr="00BD16B4" w:rsidRDefault="00ED2EBD" w:rsidP="004A205F">
            <w:pPr>
              <w:pStyle w:val="TableText"/>
              <w:spacing w:before="40" w:after="40"/>
              <w:jc w:val="right"/>
              <w:rPr>
                <w:szCs w:val="18"/>
              </w:rPr>
            </w:pPr>
            <w:r w:rsidRPr="00BD16B4">
              <w:rPr>
                <w:szCs w:val="18"/>
              </w:rPr>
              <w:t>0.07</w:t>
            </w:r>
          </w:p>
        </w:tc>
      </w:tr>
    </w:tbl>
    <w:p w14:paraId="11F96250" w14:textId="77777777" w:rsidR="00ED2EBD" w:rsidRPr="00BD16B4" w:rsidRDefault="00ED2EBD" w:rsidP="004625B0">
      <w:pPr>
        <w:pStyle w:val="BodyText"/>
        <w:spacing w:before="0" w:after="0"/>
      </w:pPr>
    </w:p>
    <w:p w14:paraId="273D5554" w14:textId="77777777" w:rsidR="00ED2EBD" w:rsidRPr="00BD16B4" w:rsidRDefault="00ED2EBD" w:rsidP="00ED2EBD">
      <w:pPr>
        <w:pStyle w:val="CTFTableheading"/>
      </w:pPr>
      <w:r w:rsidRPr="00BD16B4">
        <w:t>Table A.3:</w:t>
      </w:r>
      <w:r w:rsidRPr="00BD16B4">
        <w:tab/>
        <w:t>Emissions trends (CH</w:t>
      </w:r>
      <w:r w:rsidRPr="00BD16B4">
        <w:rPr>
          <w:vertAlign w:val="subscript"/>
        </w:rPr>
        <w:t>4</w:t>
      </w:r>
      <w:r w:rsidRPr="00BD16B4">
        <w:t>) (CTF Table 1(b) (part 2 of 3)</w:t>
      </w:r>
    </w:p>
    <w:tbl>
      <w:tblPr>
        <w:tblStyle w:val="MinistryfortheEnvironment"/>
        <w:tblW w:w="14572" w:type="dxa"/>
        <w:tblInd w:w="113" w:type="dxa"/>
        <w:tblCellMar>
          <w:bottom w:w="0" w:type="dxa"/>
        </w:tblCellMar>
        <w:tblLook w:val="04A0" w:firstRow="1" w:lastRow="0" w:firstColumn="1" w:lastColumn="0" w:noHBand="0" w:noVBand="1"/>
      </w:tblPr>
      <w:tblGrid>
        <w:gridCol w:w="3988"/>
        <w:gridCol w:w="963"/>
        <w:gridCol w:w="963"/>
        <w:gridCol w:w="962"/>
        <w:gridCol w:w="962"/>
        <w:gridCol w:w="962"/>
        <w:gridCol w:w="962"/>
        <w:gridCol w:w="962"/>
        <w:gridCol w:w="962"/>
        <w:gridCol w:w="962"/>
        <w:gridCol w:w="962"/>
        <w:gridCol w:w="962"/>
      </w:tblGrid>
      <w:tr w:rsidR="0092050F" w:rsidRPr="00BD16B4" w14:paraId="0E038B56" w14:textId="77777777" w:rsidTr="004625B0">
        <w:trPr>
          <w:cnfStyle w:val="100000000000" w:firstRow="1" w:lastRow="0" w:firstColumn="0" w:lastColumn="0" w:oddVBand="0" w:evenVBand="0" w:oddHBand="0" w:evenHBand="0" w:firstRowFirstColumn="0" w:firstRowLastColumn="0" w:lastRowFirstColumn="0" w:lastRowLastColumn="0"/>
          <w:tblHeader/>
        </w:trPr>
        <w:tc>
          <w:tcPr>
            <w:tcW w:w="3539" w:type="dxa"/>
            <w:tcBorders>
              <w:top w:val="single" w:sz="4" w:space="0" w:color="1B556B" w:themeColor="text2"/>
            </w:tcBorders>
            <w:vAlign w:val="bottom"/>
          </w:tcPr>
          <w:p w14:paraId="76FF4F2E" w14:textId="77777777" w:rsidR="00ED2EBD" w:rsidRPr="00BD16B4" w:rsidRDefault="00ED2EBD" w:rsidP="004A205F">
            <w:pPr>
              <w:pStyle w:val="TableTextbold"/>
              <w:spacing w:before="40" w:after="40"/>
              <w:rPr>
                <w:b/>
                <w:bCs/>
                <w:szCs w:val="14"/>
              </w:rPr>
            </w:pPr>
            <w:r w:rsidRPr="00BD16B4">
              <w:rPr>
                <w:b/>
                <w:bCs/>
                <w:szCs w:val="14"/>
              </w:rPr>
              <w:t xml:space="preserve">Greenhouse gas source and sink categories </w:t>
            </w:r>
          </w:p>
        </w:tc>
        <w:tc>
          <w:tcPr>
            <w:tcW w:w="794" w:type="dxa"/>
            <w:tcBorders>
              <w:top w:val="single" w:sz="4" w:space="0" w:color="1B556B" w:themeColor="text2"/>
            </w:tcBorders>
            <w:vAlign w:val="bottom"/>
          </w:tcPr>
          <w:p w14:paraId="3B8D857B" w14:textId="77777777" w:rsidR="00ED2EBD" w:rsidRPr="00BD16B4" w:rsidRDefault="00ED2EBD" w:rsidP="004A205F">
            <w:pPr>
              <w:pStyle w:val="TableTextbold"/>
              <w:spacing w:before="40" w:after="40"/>
              <w:jc w:val="center"/>
              <w:rPr>
                <w:b/>
                <w:bCs/>
                <w:szCs w:val="14"/>
              </w:rPr>
            </w:pPr>
            <w:r w:rsidRPr="00BD16B4">
              <w:rPr>
                <w:b/>
                <w:bCs/>
                <w:szCs w:val="14"/>
              </w:rPr>
              <w:t>1999</w:t>
            </w:r>
            <w:r w:rsidRPr="00BD16B4">
              <w:rPr>
                <w:b/>
                <w:bCs/>
                <w:szCs w:val="14"/>
              </w:rPr>
              <w:br/>
              <w:t>(kt)</w:t>
            </w:r>
          </w:p>
        </w:tc>
        <w:tc>
          <w:tcPr>
            <w:tcW w:w="794" w:type="dxa"/>
            <w:tcBorders>
              <w:top w:val="single" w:sz="4" w:space="0" w:color="1B556B" w:themeColor="text2"/>
            </w:tcBorders>
            <w:vAlign w:val="bottom"/>
          </w:tcPr>
          <w:p w14:paraId="3F469D92" w14:textId="77777777" w:rsidR="00ED2EBD" w:rsidRPr="00BD16B4" w:rsidRDefault="00ED2EBD" w:rsidP="004A205F">
            <w:pPr>
              <w:pStyle w:val="TableTextbold"/>
              <w:spacing w:before="40" w:after="40"/>
              <w:jc w:val="center"/>
              <w:rPr>
                <w:b/>
                <w:bCs/>
                <w:szCs w:val="14"/>
              </w:rPr>
            </w:pPr>
            <w:r w:rsidRPr="00BD16B4">
              <w:rPr>
                <w:b/>
                <w:bCs/>
                <w:szCs w:val="14"/>
              </w:rPr>
              <w:t>2000</w:t>
            </w:r>
            <w:r w:rsidRPr="00BD16B4">
              <w:rPr>
                <w:b/>
                <w:bCs/>
                <w:szCs w:val="14"/>
              </w:rPr>
              <w:br/>
              <w:t>(kt)</w:t>
            </w:r>
          </w:p>
        </w:tc>
        <w:tc>
          <w:tcPr>
            <w:tcW w:w="794" w:type="dxa"/>
            <w:tcBorders>
              <w:top w:val="single" w:sz="4" w:space="0" w:color="1B556B" w:themeColor="text2"/>
            </w:tcBorders>
            <w:vAlign w:val="bottom"/>
          </w:tcPr>
          <w:p w14:paraId="1317B45F" w14:textId="77777777" w:rsidR="00ED2EBD" w:rsidRPr="00BD16B4" w:rsidRDefault="00ED2EBD" w:rsidP="004A205F">
            <w:pPr>
              <w:pStyle w:val="TableTextbold"/>
              <w:spacing w:before="40" w:after="40"/>
              <w:jc w:val="center"/>
              <w:rPr>
                <w:b/>
                <w:bCs/>
                <w:szCs w:val="14"/>
              </w:rPr>
            </w:pPr>
            <w:r w:rsidRPr="00BD16B4">
              <w:rPr>
                <w:b/>
                <w:bCs/>
                <w:szCs w:val="14"/>
              </w:rPr>
              <w:t>2001</w:t>
            </w:r>
            <w:r w:rsidRPr="00BD16B4">
              <w:rPr>
                <w:b/>
                <w:bCs/>
                <w:szCs w:val="14"/>
              </w:rPr>
              <w:br/>
              <w:t>(kt)</w:t>
            </w:r>
          </w:p>
        </w:tc>
        <w:tc>
          <w:tcPr>
            <w:tcW w:w="794" w:type="dxa"/>
            <w:tcBorders>
              <w:top w:val="single" w:sz="4" w:space="0" w:color="1B556B" w:themeColor="text2"/>
            </w:tcBorders>
            <w:vAlign w:val="bottom"/>
          </w:tcPr>
          <w:p w14:paraId="0F6F5B2F" w14:textId="77777777" w:rsidR="00ED2EBD" w:rsidRPr="00BD16B4" w:rsidRDefault="00ED2EBD" w:rsidP="004A205F">
            <w:pPr>
              <w:pStyle w:val="TableTextbold"/>
              <w:spacing w:before="40" w:after="40"/>
              <w:jc w:val="center"/>
              <w:rPr>
                <w:b/>
                <w:bCs/>
                <w:szCs w:val="14"/>
              </w:rPr>
            </w:pPr>
            <w:r w:rsidRPr="00BD16B4">
              <w:rPr>
                <w:b/>
                <w:bCs/>
                <w:szCs w:val="14"/>
              </w:rPr>
              <w:t>2002</w:t>
            </w:r>
            <w:r w:rsidRPr="00BD16B4">
              <w:rPr>
                <w:b/>
                <w:bCs/>
                <w:szCs w:val="14"/>
              </w:rPr>
              <w:br/>
              <w:t>(kt)</w:t>
            </w:r>
          </w:p>
        </w:tc>
        <w:tc>
          <w:tcPr>
            <w:tcW w:w="794" w:type="dxa"/>
            <w:tcBorders>
              <w:top w:val="single" w:sz="4" w:space="0" w:color="1B556B" w:themeColor="text2"/>
            </w:tcBorders>
            <w:vAlign w:val="bottom"/>
          </w:tcPr>
          <w:p w14:paraId="3E09D62B" w14:textId="77777777" w:rsidR="00ED2EBD" w:rsidRPr="00BD16B4" w:rsidRDefault="00ED2EBD" w:rsidP="004A205F">
            <w:pPr>
              <w:pStyle w:val="TableTextbold"/>
              <w:spacing w:before="40" w:after="40"/>
              <w:jc w:val="center"/>
              <w:rPr>
                <w:b/>
                <w:bCs/>
                <w:szCs w:val="14"/>
              </w:rPr>
            </w:pPr>
            <w:r w:rsidRPr="00BD16B4">
              <w:rPr>
                <w:b/>
                <w:bCs/>
                <w:szCs w:val="14"/>
              </w:rPr>
              <w:t>2003</w:t>
            </w:r>
            <w:r w:rsidRPr="00BD16B4">
              <w:rPr>
                <w:b/>
                <w:bCs/>
                <w:szCs w:val="14"/>
              </w:rPr>
              <w:br/>
              <w:t>(kt)</w:t>
            </w:r>
          </w:p>
        </w:tc>
        <w:tc>
          <w:tcPr>
            <w:tcW w:w="794" w:type="dxa"/>
            <w:tcBorders>
              <w:top w:val="single" w:sz="4" w:space="0" w:color="1B556B" w:themeColor="text2"/>
            </w:tcBorders>
            <w:vAlign w:val="bottom"/>
          </w:tcPr>
          <w:p w14:paraId="1A69FD06" w14:textId="77777777" w:rsidR="00ED2EBD" w:rsidRPr="00BD16B4" w:rsidRDefault="00ED2EBD" w:rsidP="004A205F">
            <w:pPr>
              <w:pStyle w:val="TableTextbold"/>
              <w:spacing w:before="40" w:after="40"/>
              <w:jc w:val="center"/>
              <w:rPr>
                <w:b/>
                <w:bCs/>
                <w:szCs w:val="14"/>
              </w:rPr>
            </w:pPr>
            <w:r w:rsidRPr="00BD16B4">
              <w:rPr>
                <w:b/>
                <w:bCs/>
                <w:szCs w:val="14"/>
              </w:rPr>
              <w:t>2004</w:t>
            </w:r>
            <w:r w:rsidRPr="00BD16B4">
              <w:rPr>
                <w:b/>
                <w:bCs/>
                <w:szCs w:val="14"/>
              </w:rPr>
              <w:br/>
              <w:t>(kt)</w:t>
            </w:r>
          </w:p>
        </w:tc>
        <w:tc>
          <w:tcPr>
            <w:tcW w:w="794" w:type="dxa"/>
            <w:tcBorders>
              <w:top w:val="single" w:sz="4" w:space="0" w:color="1B556B" w:themeColor="text2"/>
            </w:tcBorders>
            <w:vAlign w:val="bottom"/>
          </w:tcPr>
          <w:p w14:paraId="6F1C9B01" w14:textId="77777777" w:rsidR="00ED2EBD" w:rsidRPr="00BD16B4" w:rsidRDefault="00ED2EBD" w:rsidP="004A205F">
            <w:pPr>
              <w:pStyle w:val="TableTextbold"/>
              <w:spacing w:before="40" w:after="40"/>
              <w:jc w:val="center"/>
              <w:rPr>
                <w:b/>
                <w:bCs/>
                <w:szCs w:val="14"/>
              </w:rPr>
            </w:pPr>
            <w:r w:rsidRPr="00BD16B4">
              <w:rPr>
                <w:b/>
                <w:bCs/>
                <w:szCs w:val="14"/>
              </w:rPr>
              <w:t>2005</w:t>
            </w:r>
            <w:r w:rsidRPr="00BD16B4">
              <w:rPr>
                <w:b/>
                <w:bCs/>
                <w:szCs w:val="14"/>
              </w:rPr>
              <w:br/>
              <w:t>(kt)</w:t>
            </w:r>
          </w:p>
        </w:tc>
        <w:tc>
          <w:tcPr>
            <w:tcW w:w="794" w:type="dxa"/>
            <w:tcBorders>
              <w:top w:val="single" w:sz="4" w:space="0" w:color="1B556B" w:themeColor="text2"/>
            </w:tcBorders>
            <w:vAlign w:val="bottom"/>
          </w:tcPr>
          <w:p w14:paraId="37736EAC" w14:textId="77777777" w:rsidR="00ED2EBD" w:rsidRPr="00BD16B4" w:rsidRDefault="00ED2EBD" w:rsidP="004A205F">
            <w:pPr>
              <w:pStyle w:val="TableTextbold"/>
              <w:spacing w:before="40" w:after="40"/>
              <w:jc w:val="center"/>
              <w:rPr>
                <w:b/>
                <w:bCs/>
                <w:szCs w:val="14"/>
              </w:rPr>
            </w:pPr>
            <w:r w:rsidRPr="00BD16B4">
              <w:rPr>
                <w:b/>
                <w:bCs/>
                <w:szCs w:val="14"/>
              </w:rPr>
              <w:t>2006</w:t>
            </w:r>
            <w:r w:rsidRPr="00BD16B4">
              <w:rPr>
                <w:b/>
                <w:bCs/>
                <w:szCs w:val="14"/>
              </w:rPr>
              <w:br/>
              <w:t>(kt)</w:t>
            </w:r>
          </w:p>
        </w:tc>
        <w:tc>
          <w:tcPr>
            <w:tcW w:w="794" w:type="dxa"/>
            <w:tcBorders>
              <w:top w:val="single" w:sz="4" w:space="0" w:color="1B556B" w:themeColor="text2"/>
            </w:tcBorders>
            <w:vAlign w:val="bottom"/>
          </w:tcPr>
          <w:p w14:paraId="62699952" w14:textId="77777777" w:rsidR="00ED2EBD" w:rsidRPr="00BD16B4" w:rsidRDefault="00ED2EBD" w:rsidP="004A205F">
            <w:pPr>
              <w:pStyle w:val="TableTextbold"/>
              <w:spacing w:before="40" w:after="40"/>
              <w:jc w:val="center"/>
              <w:rPr>
                <w:b/>
                <w:bCs/>
                <w:szCs w:val="14"/>
              </w:rPr>
            </w:pPr>
            <w:r w:rsidRPr="00BD16B4">
              <w:rPr>
                <w:b/>
                <w:bCs/>
                <w:szCs w:val="14"/>
              </w:rPr>
              <w:t>2007</w:t>
            </w:r>
            <w:r w:rsidRPr="00BD16B4">
              <w:rPr>
                <w:b/>
                <w:bCs/>
                <w:szCs w:val="14"/>
              </w:rPr>
              <w:br/>
              <w:t>(kt)</w:t>
            </w:r>
          </w:p>
        </w:tc>
        <w:tc>
          <w:tcPr>
            <w:tcW w:w="794" w:type="dxa"/>
            <w:tcBorders>
              <w:top w:val="single" w:sz="4" w:space="0" w:color="1B556B" w:themeColor="text2"/>
            </w:tcBorders>
            <w:vAlign w:val="bottom"/>
          </w:tcPr>
          <w:p w14:paraId="082BBAA8" w14:textId="77777777" w:rsidR="00ED2EBD" w:rsidRPr="00BD16B4" w:rsidRDefault="00ED2EBD" w:rsidP="004A205F">
            <w:pPr>
              <w:pStyle w:val="TableTextbold"/>
              <w:spacing w:before="40" w:after="40"/>
              <w:jc w:val="center"/>
              <w:rPr>
                <w:b/>
                <w:bCs/>
                <w:szCs w:val="14"/>
              </w:rPr>
            </w:pPr>
            <w:r w:rsidRPr="00BD16B4">
              <w:rPr>
                <w:b/>
                <w:bCs/>
                <w:szCs w:val="14"/>
              </w:rPr>
              <w:t>2008</w:t>
            </w:r>
            <w:r w:rsidRPr="00BD16B4">
              <w:rPr>
                <w:b/>
                <w:bCs/>
                <w:szCs w:val="14"/>
              </w:rPr>
              <w:br/>
              <w:t>(kt)</w:t>
            </w:r>
          </w:p>
        </w:tc>
        <w:tc>
          <w:tcPr>
            <w:tcW w:w="794" w:type="dxa"/>
            <w:tcBorders>
              <w:top w:val="single" w:sz="4" w:space="0" w:color="1B556B" w:themeColor="text2"/>
            </w:tcBorders>
            <w:vAlign w:val="bottom"/>
          </w:tcPr>
          <w:p w14:paraId="10A466AC" w14:textId="77777777" w:rsidR="00ED2EBD" w:rsidRPr="00BD16B4" w:rsidRDefault="00ED2EBD" w:rsidP="004A205F">
            <w:pPr>
              <w:pStyle w:val="TableTextbold"/>
              <w:spacing w:before="40" w:after="40"/>
              <w:jc w:val="center"/>
              <w:rPr>
                <w:b/>
                <w:bCs/>
                <w:szCs w:val="14"/>
              </w:rPr>
            </w:pPr>
            <w:r w:rsidRPr="00BD16B4">
              <w:rPr>
                <w:b/>
                <w:bCs/>
                <w:szCs w:val="14"/>
              </w:rPr>
              <w:t>2009</w:t>
            </w:r>
            <w:r w:rsidRPr="00BD16B4">
              <w:rPr>
                <w:b/>
                <w:bCs/>
                <w:szCs w:val="14"/>
              </w:rPr>
              <w:br/>
              <w:t>(kt)</w:t>
            </w:r>
          </w:p>
        </w:tc>
      </w:tr>
      <w:tr w:rsidR="00921D3E" w:rsidRPr="00BD16B4" w14:paraId="55AD8194" w14:textId="77777777" w:rsidTr="00F70C72">
        <w:tc>
          <w:tcPr>
            <w:tcW w:w="3539" w:type="dxa"/>
          </w:tcPr>
          <w:p w14:paraId="39051438" w14:textId="77777777" w:rsidR="00ED2EBD" w:rsidRPr="00BD16B4" w:rsidRDefault="00ED2EBD" w:rsidP="004A205F">
            <w:pPr>
              <w:pStyle w:val="TableText"/>
              <w:spacing w:before="40" w:after="40"/>
              <w:rPr>
                <w:szCs w:val="18"/>
              </w:rPr>
            </w:pPr>
            <w:r w:rsidRPr="00BD16B4">
              <w:rPr>
                <w:b/>
                <w:bCs/>
                <w:szCs w:val="18"/>
              </w:rPr>
              <w:t>1. Energy</w:t>
            </w:r>
          </w:p>
        </w:tc>
        <w:tc>
          <w:tcPr>
            <w:tcW w:w="794" w:type="dxa"/>
            <w:shd w:val="clear" w:color="auto" w:fill="auto"/>
          </w:tcPr>
          <w:p w14:paraId="12E5881B" w14:textId="77777777" w:rsidR="00ED2EBD" w:rsidRPr="00BD16B4" w:rsidRDefault="00ED2EBD" w:rsidP="004A205F">
            <w:pPr>
              <w:pStyle w:val="TableText"/>
              <w:spacing w:before="40" w:after="40"/>
              <w:jc w:val="right"/>
              <w:rPr>
                <w:szCs w:val="18"/>
              </w:rPr>
            </w:pPr>
            <w:r w:rsidRPr="00BD16B4">
              <w:rPr>
                <w:szCs w:val="18"/>
              </w:rPr>
              <w:t>55.05</w:t>
            </w:r>
          </w:p>
        </w:tc>
        <w:tc>
          <w:tcPr>
            <w:tcW w:w="794" w:type="dxa"/>
            <w:shd w:val="clear" w:color="auto" w:fill="auto"/>
          </w:tcPr>
          <w:p w14:paraId="0AA32C88" w14:textId="77777777" w:rsidR="00ED2EBD" w:rsidRPr="00BD16B4" w:rsidRDefault="00ED2EBD" w:rsidP="004A205F">
            <w:pPr>
              <w:pStyle w:val="TableText"/>
              <w:spacing w:before="40" w:after="40"/>
              <w:jc w:val="right"/>
              <w:rPr>
                <w:szCs w:val="18"/>
              </w:rPr>
            </w:pPr>
            <w:r w:rsidRPr="00BD16B4">
              <w:rPr>
                <w:szCs w:val="18"/>
              </w:rPr>
              <w:t>53.45</w:t>
            </w:r>
          </w:p>
        </w:tc>
        <w:tc>
          <w:tcPr>
            <w:tcW w:w="794" w:type="dxa"/>
            <w:shd w:val="clear" w:color="auto" w:fill="auto"/>
          </w:tcPr>
          <w:p w14:paraId="30F02424" w14:textId="77777777" w:rsidR="00ED2EBD" w:rsidRPr="00BD16B4" w:rsidRDefault="00ED2EBD" w:rsidP="004A205F">
            <w:pPr>
              <w:pStyle w:val="TableText"/>
              <w:spacing w:before="40" w:after="40"/>
              <w:jc w:val="right"/>
              <w:rPr>
                <w:szCs w:val="18"/>
              </w:rPr>
            </w:pPr>
            <w:r w:rsidRPr="00BD16B4">
              <w:rPr>
                <w:szCs w:val="18"/>
              </w:rPr>
              <w:t>55.39</w:t>
            </w:r>
          </w:p>
        </w:tc>
        <w:tc>
          <w:tcPr>
            <w:tcW w:w="794" w:type="dxa"/>
            <w:shd w:val="clear" w:color="auto" w:fill="auto"/>
          </w:tcPr>
          <w:p w14:paraId="07A73E8A" w14:textId="77777777" w:rsidR="00ED2EBD" w:rsidRPr="00BD16B4" w:rsidRDefault="00ED2EBD" w:rsidP="004A205F">
            <w:pPr>
              <w:pStyle w:val="TableText"/>
              <w:spacing w:before="40" w:after="40"/>
              <w:jc w:val="right"/>
              <w:rPr>
                <w:szCs w:val="18"/>
              </w:rPr>
            </w:pPr>
            <w:r w:rsidRPr="00BD16B4">
              <w:rPr>
                <w:szCs w:val="18"/>
              </w:rPr>
              <w:t>51.34</w:t>
            </w:r>
          </w:p>
        </w:tc>
        <w:tc>
          <w:tcPr>
            <w:tcW w:w="794" w:type="dxa"/>
            <w:shd w:val="clear" w:color="auto" w:fill="auto"/>
          </w:tcPr>
          <w:p w14:paraId="3616F638" w14:textId="77777777" w:rsidR="00ED2EBD" w:rsidRPr="00BD16B4" w:rsidRDefault="00ED2EBD" w:rsidP="004A205F">
            <w:pPr>
              <w:pStyle w:val="TableText"/>
              <w:spacing w:before="40" w:after="40"/>
              <w:jc w:val="right"/>
              <w:rPr>
                <w:szCs w:val="18"/>
              </w:rPr>
            </w:pPr>
            <w:r w:rsidRPr="00BD16B4">
              <w:rPr>
                <w:szCs w:val="18"/>
              </w:rPr>
              <w:t>44.67</w:t>
            </w:r>
          </w:p>
        </w:tc>
        <w:tc>
          <w:tcPr>
            <w:tcW w:w="794" w:type="dxa"/>
            <w:shd w:val="clear" w:color="auto" w:fill="auto"/>
          </w:tcPr>
          <w:p w14:paraId="29F0A420" w14:textId="77777777" w:rsidR="00ED2EBD" w:rsidRPr="00BD16B4" w:rsidRDefault="00ED2EBD" w:rsidP="004A205F">
            <w:pPr>
              <w:pStyle w:val="TableText"/>
              <w:spacing w:before="40" w:after="40"/>
              <w:jc w:val="right"/>
              <w:rPr>
                <w:szCs w:val="18"/>
              </w:rPr>
            </w:pPr>
            <w:r w:rsidRPr="00BD16B4">
              <w:rPr>
                <w:szCs w:val="18"/>
              </w:rPr>
              <w:t>45.45</w:t>
            </w:r>
          </w:p>
        </w:tc>
        <w:tc>
          <w:tcPr>
            <w:tcW w:w="794" w:type="dxa"/>
            <w:shd w:val="clear" w:color="auto" w:fill="auto"/>
          </w:tcPr>
          <w:p w14:paraId="0FD53B0A" w14:textId="77777777" w:rsidR="00ED2EBD" w:rsidRPr="00BD16B4" w:rsidRDefault="00ED2EBD" w:rsidP="004A205F">
            <w:pPr>
              <w:pStyle w:val="TableText"/>
              <w:spacing w:before="40" w:after="40"/>
              <w:jc w:val="right"/>
              <w:rPr>
                <w:szCs w:val="18"/>
              </w:rPr>
            </w:pPr>
            <w:r w:rsidRPr="00BD16B4">
              <w:rPr>
                <w:szCs w:val="18"/>
              </w:rPr>
              <w:t>50.69</w:t>
            </w:r>
          </w:p>
        </w:tc>
        <w:tc>
          <w:tcPr>
            <w:tcW w:w="794" w:type="dxa"/>
            <w:shd w:val="clear" w:color="auto" w:fill="auto"/>
          </w:tcPr>
          <w:p w14:paraId="0246B931" w14:textId="77777777" w:rsidR="00ED2EBD" w:rsidRPr="00BD16B4" w:rsidRDefault="00ED2EBD" w:rsidP="004A205F">
            <w:pPr>
              <w:pStyle w:val="TableText"/>
              <w:spacing w:before="40" w:after="40"/>
              <w:jc w:val="right"/>
              <w:rPr>
                <w:szCs w:val="18"/>
              </w:rPr>
            </w:pPr>
            <w:r w:rsidRPr="00BD16B4">
              <w:rPr>
                <w:szCs w:val="18"/>
              </w:rPr>
              <w:t>64.07</w:t>
            </w:r>
          </w:p>
        </w:tc>
        <w:tc>
          <w:tcPr>
            <w:tcW w:w="794" w:type="dxa"/>
            <w:shd w:val="clear" w:color="auto" w:fill="auto"/>
          </w:tcPr>
          <w:p w14:paraId="6E3B3602" w14:textId="77777777" w:rsidR="00ED2EBD" w:rsidRPr="00BD16B4" w:rsidRDefault="00ED2EBD" w:rsidP="004A205F">
            <w:pPr>
              <w:pStyle w:val="TableText"/>
              <w:spacing w:before="40" w:after="40"/>
              <w:jc w:val="right"/>
              <w:rPr>
                <w:szCs w:val="18"/>
              </w:rPr>
            </w:pPr>
            <w:r w:rsidRPr="00BD16B4">
              <w:rPr>
                <w:szCs w:val="18"/>
              </w:rPr>
              <w:t>55.40</w:t>
            </w:r>
          </w:p>
        </w:tc>
        <w:tc>
          <w:tcPr>
            <w:tcW w:w="794" w:type="dxa"/>
            <w:shd w:val="clear" w:color="auto" w:fill="auto"/>
          </w:tcPr>
          <w:p w14:paraId="7093E72F" w14:textId="77777777" w:rsidR="00ED2EBD" w:rsidRPr="00BD16B4" w:rsidRDefault="00ED2EBD" w:rsidP="004A205F">
            <w:pPr>
              <w:pStyle w:val="TableText"/>
              <w:spacing w:before="40" w:after="40"/>
              <w:jc w:val="right"/>
              <w:rPr>
                <w:szCs w:val="18"/>
              </w:rPr>
            </w:pPr>
            <w:r w:rsidRPr="00BD16B4">
              <w:rPr>
                <w:szCs w:val="18"/>
              </w:rPr>
              <w:t>46.08</w:t>
            </w:r>
          </w:p>
        </w:tc>
        <w:tc>
          <w:tcPr>
            <w:tcW w:w="794" w:type="dxa"/>
            <w:shd w:val="clear" w:color="auto" w:fill="auto"/>
          </w:tcPr>
          <w:p w14:paraId="7518DB99" w14:textId="77777777" w:rsidR="00ED2EBD" w:rsidRPr="00BD16B4" w:rsidRDefault="00ED2EBD" w:rsidP="004A205F">
            <w:pPr>
              <w:pStyle w:val="TableText"/>
              <w:spacing w:before="40" w:after="40"/>
              <w:jc w:val="right"/>
              <w:rPr>
                <w:szCs w:val="18"/>
              </w:rPr>
            </w:pPr>
            <w:r w:rsidRPr="00BD16B4">
              <w:rPr>
                <w:szCs w:val="18"/>
              </w:rPr>
              <w:t>50.38</w:t>
            </w:r>
          </w:p>
        </w:tc>
      </w:tr>
      <w:tr w:rsidR="00921D3E" w:rsidRPr="00BD16B4" w14:paraId="27892265" w14:textId="77777777" w:rsidTr="00F70C72">
        <w:tc>
          <w:tcPr>
            <w:tcW w:w="3539" w:type="dxa"/>
          </w:tcPr>
          <w:p w14:paraId="7C50F47C" w14:textId="77777777" w:rsidR="00ED2EBD" w:rsidRPr="00BD16B4" w:rsidRDefault="00ED2EBD" w:rsidP="004A205F">
            <w:pPr>
              <w:pStyle w:val="TableText"/>
              <w:spacing w:before="40" w:after="40"/>
              <w:rPr>
                <w:szCs w:val="18"/>
              </w:rPr>
            </w:pPr>
            <w:r w:rsidRPr="00BD16B4">
              <w:rPr>
                <w:szCs w:val="18"/>
              </w:rPr>
              <w:t>A. Fuel combustion (sectoral approach)</w:t>
            </w:r>
          </w:p>
        </w:tc>
        <w:tc>
          <w:tcPr>
            <w:tcW w:w="794" w:type="dxa"/>
            <w:shd w:val="clear" w:color="auto" w:fill="auto"/>
          </w:tcPr>
          <w:p w14:paraId="48C04490" w14:textId="77777777" w:rsidR="00ED2EBD" w:rsidRPr="00BD16B4" w:rsidRDefault="00ED2EBD" w:rsidP="004A205F">
            <w:pPr>
              <w:pStyle w:val="TableText"/>
              <w:spacing w:before="40" w:after="40"/>
              <w:jc w:val="right"/>
              <w:rPr>
                <w:szCs w:val="18"/>
              </w:rPr>
            </w:pPr>
            <w:r w:rsidRPr="00BD16B4">
              <w:rPr>
                <w:szCs w:val="18"/>
              </w:rPr>
              <w:t>6.69</w:t>
            </w:r>
          </w:p>
        </w:tc>
        <w:tc>
          <w:tcPr>
            <w:tcW w:w="794" w:type="dxa"/>
            <w:shd w:val="clear" w:color="auto" w:fill="auto"/>
          </w:tcPr>
          <w:p w14:paraId="13132A8C" w14:textId="77777777" w:rsidR="00ED2EBD" w:rsidRPr="00BD16B4" w:rsidRDefault="00ED2EBD" w:rsidP="004A205F">
            <w:pPr>
              <w:pStyle w:val="TableText"/>
              <w:spacing w:before="40" w:after="40"/>
              <w:jc w:val="right"/>
              <w:rPr>
                <w:szCs w:val="18"/>
              </w:rPr>
            </w:pPr>
            <w:r w:rsidRPr="00BD16B4">
              <w:rPr>
                <w:szCs w:val="18"/>
              </w:rPr>
              <w:t>6.68</w:t>
            </w:r>
          </w:p>
        </w:tc>
        <w:tc>
          <w:tcPr>
            <w:tcW w:w="794" w:type="dxa"/>
            <w:shd w:val="clear" w:color="auto" w:fill="auto"/>
          </w:tcPr>
          <w:p w14:paraId="6153F55B" w14:textId="77777777" w:rsidR="00ED2EBD" w:rsidRPr="00BD16B4" w:rsidRDefault="00ED2EBD" w:rsidP="004A205F">
            <w:pPr>
              <w:pStyle w:val="TableText"/>
              <w:spacing w:before="40" w:after="40"/>
              <w:jc w:val="right"/>
              <w:rPr>
                <w:szCs w:val="18"/>
              </w:rPr>
            </w:pPr>
            <w:r w:rsidRPr="00BD16B4">
              <w:rPr>
                <w:szCs w:val="18"/>
              </w:rPr>
              <w:t>6.58</w:t>
            </w:r>
          </w:p>
        </w:tc>
        <w:tc>
          <w:tcPr>
            <w:tcW w:w="794" w:type="dxa"/>
            <w:shd w:val="clear" w:color="auto" w:fill="auto"/>
          </w:tcPr>
          <w:p w14:paraId="6CF87C3F" w14:textId="77777777" w:rsidR="00ED2EBD" w:rsidRPr="00BD16B4" w:rsidRDefault="00ED2EBD" w:rsidP="004A205F">
            <w:pPr>
              <w:pStyle w:val="TableText"/>
              <w:spacing w:before="40" w:after="40"/>
              <w:jc w:val="right"/>
              <w:rPr>
                <w:szCs w:val="18"/>
              </w:rPr>
            </w:pPr>
            <w:r w:rsidRPr="00BD16B4">
              <w:rPr>
                <w:szCs w:val="18"/>
              </w:rPr>
              <w:t>6.56</w:t>
            </w:r>
          </w:p>
        </w:tc>
        <w:tc>
          <w:tcPr>
            <w:tcW w:w="794" w:type="dxa"/>
            <w:shd w:val="clear" w:color="auto" w:fill="auto"/>
          </w:tcPr>
          <w:p w14:paraId="13C37513" w14:textId="77777777" w:rsidR="00ED2EBD" w:rsidRPr="00BD16B4" w:rsidRDefault="00ED2EBD" w:rsidP="004A205F">
            <w:pPr>
              <w:pStyle w:val="TableText"/>
              <w:spacing w:before="40" w:after="40"/>
              <w:jc w:val="right"/>
              <w:rPr>
                <w:szCs w:val="18"/>
              </w:rPr>
            </w:pPr>
            <w:r w:rsidRPr="00BD16B4">
              <w:rPr>
                <w:szCs w:val="18"/>
              </w:rPr>
              <w:t>6.59</w:t>
            </w:r>
          </w:p>
        </w:tc>
        <w:tc>
          <w:tcPr>
            <w:tcW w:w="794" w:type="dxa"/>
            <w:shd w:val="clear" w:color="auto" w:fill="auto"/>
          </w:tcPr>
          <w:p w14:paraId="4C6F1ADD" w14:textId="77777777" w:rsidR="00ED2EBD" w:rsidRPr="00BD16B4" w:rsidRDefault="00ED2EBD" w:rsidP="004A205F">
            <w:pPr>
              <w:pStyle w:val="TableText"/>
              <w:spacing w:before="40" w:after="40"/>
              <w:jc w:val="right"/>
              <w:rPr>
                <w:szCs w:val="18"/>
              </w:rPr>
            </w:pPr>
            <w:r w:rsidRPr="00BD16B4">
              <w:rPr>
                <w:szCs w:val="18"/>
              </w:rPr>
              <w:t>6.52</w:t>
            </w:r>
          </w:p>
        </w:tc>
        <w:tc>
          <w:tcPr>
            <w:tcW w:w="794" w:type="dxa"/>
            <w:shd w:val="clear" w:color="auto" w:fill="auto"/>
          </w:tcPr>
          <w:p w14:paraId="5D667CA1" w14:textId="77777777" w:rsidR="00ED2EBD" w:rsidRPr="00BD16B4" w:rsidRDefault="00ED2EBD" w:rsidP="004A205F">
            <w:pPr>
              <w:pStyle w:val="TableText"/>
              <w:spacing w:before="40" w:after="40"/>
              <w:jc w:val="right"/>
              <w:rPr>
                <w:szCs w:val="18"/>
              </w:rPr>
            </w:pPr>
            <w:r w:rsidRPr="00BD16B4">
              <w:rPr>
                <w:szCs w:val="18"/>
              </w:rPr>
              <w:t>6.60</w:t>
            </w:r>
          </w:p>
        </w:tc>
        <w:tc>
          <w:tcPr>
            <w:tcW w:w="794" w:type="dxa"/>
            <w:shd w:val="clear" w:color="auto" w:fill="auto"/>
          </w:tcPr>
          <w:p w14:paraId="3FC81F5B" w14:textId="77777777" w:rsidR="00ED2EBD" w:rsidRPr="00BD16B4" w:rsidRDefault="00ED2EBD" w:rsidP="004A205F">
            <w:pPr>
              <w:pStyle w:val="TableText"/>
              <w:spacing w:before="40" w:after="40"/>
              <w:jc w:val="right"/>
              <w:rPr>
                <w:szCs w:val="18"/>
              </w:rPr>
            </w:pPr>
            <w:r w:rsidRPr="00BD16B4">
              <w:rPr>
                <w:szCs w:val="18"/>
              </w:rPr>
              <w:t>6.63</w:t>
            </w:r>
          </w:p>
        </w:tc>
        <w:tc>
          <w:tcPr>
            <w:tcW w:w="794" w:type="dxa"/>
            <w:shd w:val="clear" w:color="auto" w:fill="auto"/>
          </w:tcPr>
          <w:p w14:paraId="7B67AAFD" w14:textId="77777777" w:rsidR="00ED2EBD" w:rsidRPr="00BD16B4" w:rsidRDefault="00ED2EBD" w:rsidP="004A205F">
            <w:pPr>
              <w:pStyle w:val="TableText"/>
              <w:spacing w:before="40" w:after="40"/>
              <w:jc w:val="right"/>
              <w:rPr>
                <w:szCs w:val="18"/>
              </w:rPr>
            </w:pPr>
            <w:r w:rsidRPr="00BD16B4">
              <w:rPr>
                <w:szCs w:val="18"/>
              </w:rPr>
              <w:t>6.38</w:t>
            </w:r>
          </w:p>
        </w:tc>
        <w:tc>
          <w:tcPr>
            <w:tcW w:w="794" w:type="dxa"/>
            <w:shd w:val="clear" w:color="auto" w:fill="auto"/>
          </w:tcPr>
          <w:p w14:paraId="5317B04F" w14:textId="77777777" w:rsidR="00ED2EBD" w:rsidRPr="00BD16B4" w:rsidRDefault="00ED2EBD" w:rsidP="004A205F">
            <w:pPr>
              <w:pStyle w:val="TableText"/>
              <w:spacing w:before="40" w:after="40"/>
              <w:jc w:val="right"/>
              <w:rPr>
                <w:szCs w:val="18"/>
              </w:rPr>
            </w:pPr>
            <w:r w:rsidRPr="00BD16B4">
              <w:rPr>
                <w:szCs w:val="18"/>
              </w:rPr>
              <w:t>6.20</w:t>
            </w:r>
          </w:p>
        </w:tc>
        <w:tc>
          <w:tcPr>
            <w:tcW w:w="794" w:type="dxa"/>
            <w:shd w:val="clear" w:color="auto" w:fill="auto"/>
          </w:tcPr>
          <w:p w14:paraId="4ED39F0A" w14:textId="77777777" w:rsidR="00ED2EBD" w:rsidRPr="00BD16B4" w:rsidRDefault="00ED2EBD" w:rsidP="004A205F">
            <w:pPr>
              <w:pStyle w:val="TableText"/>
              <w:spacing w:before="40" w:after="40"/>
              <w:jc w:val="right"/>
              <w:rPr>
                <w:szCs w:val="18"/>
              </w:rPr>
            </w:pPr>
            <w:r w:rsidRPr="00BD16B4">
              <w:rPr>
                <w:szCs w:val="18"/>
              </w:rPr>
              <w:t>5.84</w:t>
            </w:r>
          </w:p>
        </w:tc>
      </w:tr>
      <w:tr w:rsidR="00921D3E" w:rsidRPr="00BD16B4" w14:paraId="098FBC77" w14:textId="77777777" w:rsidTr="00F70C72">
        <w:tc>
          <w:tcPr>
            <w:tcW w:w="3539" w:type="dxa"/>
          </w:tcPr>
          <w:p w14:paraId="52F93569" w14:textId="14EE8C7E" w:rsidR="00ED2EBD" w:rsidRPr="00BD16B4" w:rsidRDefault="00ED2EBD" w:rsidP="004A205F">
            <w:pPr>
              <w:pStyle w:val="TableText"/>
              <w:spacing w:before="40" w:after="40"/>
              <w:ind w:left="454" w:hanging="227"/>
              <w:rPr>
                <w:szCs w:val="18"/>
              </w:rPr>
            </w:pPr>
            <w:r w:rsidRPr="00BD16B4">
              <w:rPr>
                <w:szCs w:val="18"/>
              </w:rPr>
              <w:t>1.</w:t>
            </w:r>
            <w:r w:rsidR="00280979" w:rsidRPr="00BD16B4">
              <w:rPr>
                <w:szCs w:val="18"/>
              </w:rPr>
              <w:t xml:space="preserve"> </w:t>
            </w:r>
            <w:r w:rsidRPr="00BD16B4">
              <w:rPr>
                <w:szCs w:val="18"/>
              </w:rPr>
              <w:t xml:space="preserve">Energy </w:t>
            </w:r>
            <w:r w:rsidRPr="00BD16B4">
              <w:rPr>
                <w:rFonts w:cs="Calibri"/>
                <w:szCs w:val="18"/>
              </w:rPr>
              <w:t>industries</w:t>
            </w:r>
          </w:p>
        </w:tc>
        <w:tc>
          <w:tcPr>
            <w:tcW w:w="794" w:type="dxa"/>
            <w:shd w:val="clear" w:color="auto" w:fill="auto"/>
          </w:tcPr>
          <w:p w14:paraId="3D82EA3E" w14:textId="77777777" w:rsidR="00ED2EBD" w:rsidRPr="00BD16B4" w:rsidRDefault="00ED2EBD" w:rsidP="004A205F">
            <w:pPr>
              <w:pStyle w:val="TableText"/>
              <w:spacing w:before="40" w:after="40"/>
              <w:jc w:val="right"/>
              <w:rPr>
                <w:szCs w:val="18"/>
              </w:rPr>
            </w:pPr>
            <w:r w:rsidRPr="00BD16B4">
              <w:rPr>
                <w:szCs w:val="18"/>
              </w:rPr>
              <w:t>0.11</w:t>
            </w:r>
          </w:p>
        </w:tc>
        <w:tc>
          <w:tcPr>
            <w:tcW w:w="794" w:type="dxa"/>
            <w:shd w:val="clear" w:color="auto" w:fill="auto"/>
          </w:tcPr>
          <w:p w14:paraId="626111FB" w14:textId="77777777" w:rsidR="00ED2EBD" w:rsidRPr="00BD16B4" w:rsidRDefault="00ED2EBD" w:rsidP="004A205F">
            <w:pPr>
              <w:pStyle w:val="TableText"/>
              <w:spacing w:before="40" w:after="40"/>
              <w:jc w:val="right"/>
              <w:rPr>
                <w:szCs w:val="18"/>
              </w:rPr>
            </w:pPr>
            <w:r w:rsidRPr="00BD16B4">
              <w:rPr>
                <w:szCs w:val="18"/>
              </w:rPr>
              <w:t>0.11</w:t>
            </w:r>
          </w:p>
        </w:tc>
        <w:tc>
          <w:tcPr>
            <w:tcW w:w="794" w:type="dxa"/>
            <w:shd w:val="clear" w:color="auto" w:fill="auto"/>
          </w:tcPr>
          <w:p w14:paraId="40FBB2A2" w14:textId="77777777" w:rsidR="00ED2EBD" w:rsidRPr="00BD16B4" w:rsidRDefault="00ED2EBD" w:rsidP="004A205F">
            <w:pPr>
              <w:pStyle w:val="TableText"/>
              <w:spacing w:before="40" w:after="40"/>
              <w:jc w:val="right"/>
              <w:rPr>
                <w:szCs w:val="18"/>
              </w:rPr>
            </w:pPr>
            <w:r w:rsidRPr="00BD16B4">
              <w:rPr>
                <w:szCs w:val="18"/>
              </w:rPr>
              <w:t>0.13</w:t>
            </w:r>
          </w:p>
        </w:tc>
        <w:tc>
          <w:tcPr>
            <w:tcW w:w="794" w:type="dxa"/>
            <w:shd w:val="clear" w:color="auto" w:fill="auto"/>
          </w:tcPr>
          <w:p w14:paraId="1300D2A3" w14:textId="77777777" w:rsidR="00ED2EBD" w:rsidRPr="00BD16B4" w:rsidRDefault="00ED2EBD" w:rsidP="004A205F">
            <w:pPr>
              <w:pStyle w:val="TableText"/>
              <w:spacing w:before="40" w:after="40"/>
              <w:jc w:val="right"/>
              <w:rPr>
                <w:szCs w:val="18"/>
              </w:rPr>
            </w:pPr>
            <w:r w:rsidRPr="00BD16B4">
              <w:rPr>
                <w:szCs w:val="18"/>
              </w:rPr>
              <w:t>0.12</w:t>
            </w:r>
          </w:p>
        </w:tc>
        <w:tc>
          <w:tcPr>
            <w:tcW w:w="794" w:type="dxa"/>
            <w:shd w:val="clear" w:color="auto" w:fill="auto"/>
          </w:tcPr>
          <w:p w14:paraId="219D6C44" w14:textId="77777777" w:rsidR="00ED2EBD" w:rsidRPr="00BD16B4" w:rsidRDefault="00ED2EBD" w:rsidP="004A205F">
            <w:pPr>
              <w:pStyle w:val="TableText"/>
              <w:spacing w:before="40" w:after="40"/>
              <w:jc w:val="right"/>
              <w:rPr>
                <w:szCs w:val="18"/>
              </w:rPr>
            </w:pPr>
            <w:r w:rsidRPr="00BD16B4">
              <w:rPr>
                <w:szCs w:val="18"/>
              </w:rPr>
              <w:t>0.13</w:t>
            </w:r>
          </w:p>
        </w:tc>
        <w:tc>
          <w:tcPr>
            <w:tcW w:w="794" w:type="dxa"/>
            <w:shd w:val="clear" w:color="auto" w:fill="auto"/>
          </w:tcPr>
          <w:p w14:paraId="2F4F3742" w14:textId="77777777" w:rsidR="00ED2EBD" w:rsidRPr="00BD16B4" w:rsidRDefault="00ED2EBD" w:rsidP="004A205F">
            <w:pPr>
              <w:pStyle w:val="TableText"/>
              <w:spacing w:before="40" w:after="40"/>
              <w:jc w:val="right"/>
              <w:rPr>
                <w:szCs w:val="18"/>
              </w:rPr>
            </w:pPr>
            <w:r w:rsidRPr="00BD16B4">
              <w:rPr>
                <w:szCs w:val="18"/>
              </w:rPr>
              <w:t>0.12</w:t>
            </w:r>
          </w:p>
        </w:tc>
        <w:tc>
          <w:tcPr>
            <w:tcW w:w="794" w:type="dxa"/>
            <w:shd w:val="clear" w:color="auto" w:fill="auto"/>
          </w:tcPr>
          <w:p w14:paraId="0D07AE8E" w14:textId="77777777" w:rsidR="00ED2EBD" w:rsidRPr="00BD16B4" w:rsidRDefault="00ED2EBD" w:rsidP="004A205F">
            <w:pPr>
              <w:pStyle w:val="TableText"/>
              <w:spacing w:before="40" w:after="40"/>
              <w:jc w:val="right"/>
              <w:rPr>
                <w:szCs w:val="18"/>
              </w:rPr>
            </w:pPr>
            <w:r w:rsidRPr="00BD16B4">
              <w:rPr>
                <w:szCs w:val="18"/>
              </w:rPr>
              <w:t>0.14</w:t>
            </w:r>
          </w:p>
        </w:tc>
        <w:tc>
          <w:tcPr>
            <w:tcW w:w="794" w:type="dxa"/>
            <w:shd w:val="clear" w:color="auto" w:fill="auto"/>
          </w:tcPr>
          <w:p w14:paraId="7AC02D50" w14:textId="77777777" w:rsidR="00ED2EBD" w:rsidRPr="00BD16B4" w:rsidRDefault="00ED2EBD" w:rsidP="004A205F">
            <w:pPr>
              <w:pStyle w:val="TableText"/>
              <w:spacing w:before="40" w:after="40"/>
              <w:jc w:val="right"/>
              <w:rPr>
                <w:szCs w:val="18"/>
              </w:rPr>
            </w:pPr>
            <w:r w:rsidRPr="00BD16B4">
              <w:rPr>
                <w:szCs w:val="18"/>
              </w:rPr>
              <w:t>0.14</w:t>
            </w:r>
          </w:p>
        </w:tc>
        <w:tc>
          <w:tcPr>
            <w:tcW w:w="794" w:type="dxa"/>
            <w:shd w:val="clear" w:color="auto" w:fill="auto"/>
          </w:tcPr>
          <w:p w14:paraId="39974AF4" w14:textId="77777777" w:rsidR="00ED2EBD" w:rsidRPr="00BD16B4" w:rsidRDefault="00ED2EBD" w:rsidP="004A205F">
            <w:pPr>
              <w:pStyle w:val="TableText"/>
              <w:spacing w:before="40" w:after="40"/>
              <w:jc w:val="right"/>
              <w:rPr>
                <w:szCs w:val="18"/>
              </w:rPr>
            </w:pPr>
            <w:r w:rsidRPr="00BD16B4">
              <w:rPr>
                <w:szCs w:val="18"/>
              </w:rPr>
              <w:t>0.13</w:t>
            </w:r>
          </w:p>
        </w:tc>
        <w:tc>
          <w:tcPr>
            <w:tcW w:w="794" w:type="dxa"/>
            <w:shd w:val="clear" w:color="auto" w:fill="auto"/>
          </w:tcPr>
          <w:p w14:paraId="7C2333E6" w14:textId="77777777" w:rsidR="00ED2EBD" w:rsidRPr="00BD16B4" w:rsidRDefault="00ED2EBD" w:rsidP="004A205F">
            <w:pPr>
              <w:pStyle w:val="TableText"/>
              <w:spacing w:before="40" w:after="40"/>
              <w:jc w:val="right"/>
              <w:rPr>
                <w:szCs w:val="18"/>
              </w:rPr>
            </w:pPr>
            <w:r w:rsidRPr="00BD16B4">
              <w:rPr>
                <w:szCs w:val="18"/>
              </w:rPr>
              <w:t>0.14</w:t>
            </w:r>
          </w:p>
        </w:tc>
        <w:tc>
          <w:tcPr>
            <w:tcW w:w="794" w:type="dxa"/>
            <w:shd w:val="clear" w:color="auto" w:fill="auto"/>
          </w:tcPr>
          <w:p w14:paraId="6D8B06C6" w14:textId="77777777" w:rsidR="00ED2EBD" w:rsidRPr="00BD16B4" w:rsidRDefault="00ED2EBD" w:rsidP="004A205F">
            <w:pPr>
              <w:pStyle w:val="TableText"/>
              <w:spacing w:before="40" w:after="40"/>
              <w:jc w:val="right"/>
              <w:rPr>
                <w:szCs w:val="18"/>
              </w:rPr>
            </w:pPr>
            <w:r w:rsidRPr="00BD16B4">
              <w:rPr>
                <w:szCs w:val="18"/>
              </w:rPr>
              <w:t>0.11</w:t>
            </w:r>
          </w:p>
        </w:tc>
      </w:tr>
      <w:tr w:rsidR="00921D3E" w:rsidRPr="00BD16B4" w14:paraId="7B12363E" w14:textId="77777777" w:rsidTr="00F70C72">
        <w:tc>
          <w:tcPr>
            <w:tcW w:w="3539" w:type="dxa"/>
          </w:tcPr>
          <w:p w14:paraId="6A3DCF4F" w14:textId="2A38092D" w:rsidR="00ED2EBD" w:rsidRPr="00BD16B4" w:rsidRDefault="00ED2EBD" w:rsidP="004A205F">
            <w:pPr>
              <w:pStyle w:val="TableText"/>
              <w:spacing w:before="40" w:after="40"/>
              <w:ind w:left="454" w:hanging="227"/>
              <w:rPr>
                <w:szCs w:val="18"/>
              </w:rPr>
            </w:pPr>
            <w:r w:rsidRPr="00BD16B4">
              <w:rPr>
                <w:szCs w:val="18"/>
              </w:rPr>
              <w:t>2.</w:t>
            </w:r>
            <w:r w:rsidR="00280979" w:rsidRPr="00BD16B4">
              <w:rPr>
                <w:szCs w:val="18"/>
              </w:rPr>
              <w:t xml:space="preserve"> </w:t>
            </w:r>
            <w:r w:rsidRPr="00BD16B4">
              <w:rPr>
                <w:szCs w:val="18"/>
              </w:rPr>
              <w:t>Manufacturing industries and construction</w:t>
            </w:r>
          </w:p>
        </w:tc>
        <w:tc>
          <w:tcPr>
            <w:tcW w:w="794" w:type="dxa"/>
            <w:shd w:val="clear" w:color="auto" w:fill="auto"/>
          </w:tcPr>
          <w:p w14:paraId="6046FEBC" w14:textId="77777777" w:rsidR="00ED2EBD" w:rsidRPr="00BD16B4" w:rsidRDefault="00ED2EBD" w:rsidP="004A205F">
            <w:pPr>
              <w:pStyle w:val="TableText"/>
              <w:spacing w:before="40" w:after="40"/>
              <w:jc w:val="right"/>
              <w:rPr>
                <w:szCs w:val="18"/>
              </w:rPr>
            </w:pPr>
            <w:r w:rsidRPr="00BD16B4">
              <w:rPr>
                <w:szCs w:val="18"/>
              </w:rPr>
              <w:t>1.12</w:t>
            </w:r>
          </w:p>
        </w:tc>
        <w:tc>
          <w:tcPr>
            <w:tcW w:w="794" w:type="dxa"/>
            <w:shd w:val="clear" w:color="auto" w:fill="auto"/>
          </w:tcPr>
          <w:p w14:paraId="1EA767DD" w14:textId="77777777" w:rsidR="00ED2EBD" w:rsidRPr="00BD16B4" w:rsidRDefault="00ED2EBD" w:rsidP="004A205F">
            <w:pPr>
              <w:pStyle w:val="TableText"/>
              <w:spacing w:before="40" w:after="40"/>
              <w:jc w:val="right"/>
              <w:rPr>
                <w:szCs w:val="18"/>
              </w:rPr>
            </w:pPr>
            <w:r w:rsidRPr="00BD16B4">
              <w:rPr>
                <w:szCs w:val="18"/>
              </w:rPr>
              <w:t>1.19</w:t>
            </w:r>
          </w:p>
        </w:tc>
        <w:tc>
          <w:tcPr>
            <w:tcW w:w="794" w:type="dxa"/>
            <w:shd w:val="clear" w:color="auto" w:fill="auto"/>
          </w:tcPr>
          <w:p w14:paraId="17483C8A" w14:textId="77777777" w:rsidR="00ED2EBD" w:rsidRPr="00BD16B4" w:rsidRDefault="00ED2EBD" w:rsidP="004A205F">
            <w:pPr>
              <w:pStyle w:val="TableText"/>
              <w:spacing w:before="40" w:after="40"/>
              <w:jc w:val="right"/>
              <w:rPr>
                <w:szCs w:val="18"/>
              </w:rPr>
            </w:pPr>
            <w:r w:rsidRPr="00BD16B4">
              <w:rPr>
                <w:szCs w:val="18"/>
              </w:rPr>
              <w:t>1.24</w:t>
            </w:r>
          </w:p>
        </w:tc>
        <w:tc>
          <w:tcPr>
            <w:tcW w:w="794" w:type="dxa"/>
            <w:shd w:val="clear" w:color="auto" w:fill="auto"/>
          </w:tcPr>
          <w:p w14:paraId="494736E6" w14:textId="77777777" w:rsidR="00ED2EBD" w:rsidRPr="00BD16B4" w:rsidRDefault="00ED2EBD" w:rsidP="004A205F">
            <w:pPr>
              <w:pStyle w:val="TableText"/>
              <w:spacing w:before="40" w:after="40"/>
              <w:jc w:val="right"/>
              <w:rPr>
                <w:szCs w:val="18"/>
              </w:rPr>
            </w:pPr>
            <w:r w:rsidRPr="00BD16B4">
              <w:rPr>
                <w:szCs w:val="18"/>
              </w:rPr>
              <w:t>1.30</w:t>
            </w:r>
          </w:p>
        </w:tc>
        <w:tc>
          <w:tcPr>
            <w:tcW w:w="794" w:type="dxa"/>
            <w:shd w:val="clear" w:color="auto" w:fill="auto"/>
          </w:tcPr>
          <w:p w14:paraId="4C11FB4F" w14:textId="77777777" w:rsidR="00ED2EBD" w:rsidRPr="00BD16B4" w:rsidRDefault="00ED2EBD" w:rsidP="004A205F">
            <w:pPr>
              <w:pStyle w:val="TableText"/>
              <w:spacing w:before="40" w:after="40"/>
              <w:jc w:val="right"/>
              <w:rPr>
                <w:szCs w:val="18"/>
              </w:rPr>
            </w:pPr>
            <w:r w:rsidRPr="00BD16B4">
              <w:rPr>
                <w:szCs w:val="18"/>
              </w:rPr>
              <w:t>1.32</w:t>
            </w:r>
          </w:p>
        </w:tc>
        <w:tc>
          <w:tcPr>
            <w:tcW w:w="794" w:type="dxa"/>
            <w:shd w:val="clear" w:color="auto" w:fill="auto"/>
          </w:tcPr>
          <w:p w14:paraId="68E2D2CC" w14:textId="77777777" w:rsidR="00ED2EBD" w:rsidRPr="00BD16B4" w:rsidRDefault="00ED2EBD" w:rsidP="004A205F">
            <w:pPr>
              <w:pStyle w:val="TableText"/>
              <w:spacing w:before="40" w:after="40"/>
              <w:jc w:val="right"/>
              <w:rPr>
                <w:szCs w:val="18"/>
              </w:rPr>
            </w:pPr>
            <w:r w:rsidRPr="00BD16B4">
              <w:rPr>
                <w:szCs w:val="18"/>
              </w:rPr>
              <w:t>1.33</w:t>
            </w:r>
          </w:p>
        </w:tc>
        <w:tc>
          <w:tcPr>
            <w:tcW w:w="794" w:type="dxa"/>
            <w:shd w:val="clear" w:color="auto" w:fill="auto"/>
          </w:tcPr>
          <w:p w14:paraId="60BDD8CA" w14:textId="77777777" w:rsidR="00ED2EBD" w:rsidRPr="00BD16B4" w:rsidRDefault="00ED2EBD" w:rsidP="004A205F">
            <w:pPr>
              <w:pStyle w:val="TableText"/>
              <w:spacing w:before="40" w:after="40"/>
              <w:jc w:val="right"/>
              <w:rPr>
                <w:szCs w:val="18"/>
              </w:rPr>
            </w:pPr>
            <w:r w:rsidRPr="00BD16B4">
              <w:rPr>
                <w:szCs w:val="18"/>
              </w:rPr>
              <w:t>1.29</w:t>
            </w:r>
          </w:p>
        </w:tc>
        <w:tc>
          <w:tcPr>
            <w:tcW w:w="794" w:type="dxa"/>
            <w:shd w:val="clear" w:color="auto" w:fill="auto"/>
          </w:tcPr>
          <w:p w14:paraId="6E32A0CF" w14:textId="77777777" w:rsidR="00ED2EBD" w:rsidRPr="00BD16B4" w:rsidRDefault="00ED2EBD" w:rsidP="004A205F">
            <w:pPr>
              <w:pStyle w:val="TableText"/>
              <w:spacing w:before="40" w:after="40"/>
              <w:jc w:val="right"/>
              <w:rPr>
                <w:szCs w:val="18"/>
              </w:rPr>
            </w:pPr>
            <w:r w:rsidRPr="00BD16B4">
              <w:rPr>
                <w:szCs w:val="18"/>
              </w:rPr>
              <w:t>1.31</w:t>
            </w:r>
          </w:p>
        </w:tc>
        <w:tc>
          <w:tcPr>
            <w:tcW w:w="794" w:type="dxa"/>
            <w:shd w:val="clear" w:color="auto" w:fill="auto"/>
          </w:tcPr>
          <w:p w14:paraId="275026D4" w14:textId="77777777" w:rsidR="00ED2EBD" w:rsidRPr="00BD16B4" w:rsidRDefault="00ED2EBD" w:rsidP="004A205F">
            <w:pPr>
              <w:pStyle w:val="TableText"/>
              <w:spacing w:before="40" w:after="40"/>
              <w:jc w:val="right"/>
              <w:rPr>
                <w:szCs w:val="18"/>
              </w:rPr>
            </w:pPr>
            <w:r w:rsidRPr="00BD16B4">
              <w:rPr>
                <w:szCs w:val="18"/>
              </w:rPr>
              <w:t>1.33</w:t>
            </w:r>
          </w:p>
        </w:tc>
        <w:tc>
          <w:tcPr>
            <w:tcW w:w="794" w:type="dxa"/>
            <w:shd w:val="clear" w:color="auto" w:fill="auto"/>
          </w:tcPr>
          <w:p w14:paraId="48EE4FC8" w14:textId="77777777" w:rsidR="00ED2EBD" w:rsidRPr="00BD16B4" w:rsidRDefault="00ED2EBD" w:rsidP="004A205F">
            <w:pPr>
              <w:pStyle w:val="TableText"/>
              <w:spacing w:before="40" w:after="40"/>
              <w:jc w:val="right"/>
              <w:rPr>
                <w:szCs w:val="18"/>
              </w:rPr>
            </w:pPr>
            <w:r w:rsidRPr="00BD16B4">
              <w:rPr>
                <w:szCs w:val="18"/>
              </w:rPr>
              <w:t>1.26</w:t>
            </w:r>
          </w:p>
        </w:tc>
        <w:tc>
          <w:tcPr>
            <w:tcW w:w="794" w:type="dxa"/>
            <w:shd w:val="clear" w:color="auto" w:fill="auto"/>
          </w:tcPr>
          <w:p w14:paraId="79779168" w14:textId="77777777" w:rsidR="00ED2EBD" w:rsidRPr="00BD16B4" w:rsidRDefault="00ED2EBD" w:rsidP="004A205F">
            <w:pPr>
              <w:pStyle w:val="TableText"/>
              <w:spacing w:before="40" w:after="40"/>
              <w:jc w:val="right"/>
              <w:rPr>
                <w:szCs w:val="18"/>
              </w:rPr>
            </w:pPr>
            <w:r w:rsidRPr="00BD16B4">
              <w:rPr>
                <w:szCs w:val="18"/>
              </w:rPr>
              <w:t>1.14</w:t>
            </w:r>
          </w:p>
        </w:tc>
      </w:tr>
      <w:tr w:rsidR="00921D3E" w:rsidRPr="00BD16B4" w14:paraId="019CBEF0" w14:textId="77777777" w:rsidTr="00F70C72">
        <w:tc>
          <w:tcPr>
            <w:tcW w:w="3539" w:type="dxa"/>
          </w:tcPr>
          <w:p w14:paraId="04B7E548" w14:textId="145DD803" w:rsidR="00ED2EBD" w:rsidRPr="00BD16B4" w:rsidRDefault="00ED2EBD" w:rsidP="004A205F">
            <w:pPr>
              <w:pStyle w:val="TableText"/>
              <w:spacing w:before="40" w:after="40"/>
              <w:ind w:left="454" w:hanging="227"/>
              <w:rPr>
                <w:szCs w:val="18"/>
              </w:rPr>
            </w:pPr>
            <w:r w:rsidRPr="00BD16B4">
              <w:rPr>
                <w:szCs w:val="18"/>
              </w:rPr>
              <w:t>3.</w:t>
            </w:r>
            <w:r w:rsidR="00280979" w:rsidRPr="00BD16B4">
              <w:rPr>
                <w:szCs w:val="18"/>
              </w:rPr>
              <w:t xml:space="preserve"> </w:t>
            </w:r>
            <w:r w:rsidRPr="00BD16B4">
              <w:rPr>
                <w:szCs w:val="18"/>
              </w:rPr>
              <w:t>Transport</w:t>
            </w:r>
          </w:p>
        </w:tc>
        <w:tc>
          <w:tcPr>
            <w:tcW w:w="794" w:type="dxa"/>
            <w:shd w:val="clear" w:color="auto" w:fill="auto"/>
          </w:tcPr>
          <w:p w14:paraId="1DE3BF45" w14:textId="77777777" w:rsidR="00ED2EBD" w:rsidRPr="00BD16B4" w:rsidRDefault="00ED2EBD" w:rsidP="004A205F">
            <w:pPr>
              <w:pStyle w:val="TableText"/>
              <w:spacing w:before="40" w:after="40"/>
              <w:jc w:val="right"/>
              <w:rPr>
                <w:szCs w:val="18"/>
              </w:rPr>
            </w:pPr>
            <w:r w:rsidRPr="00BD16B4">
              <w:rPr>
                <w:szCs w:val="18"/>
              </w:rPr>
              <w:t>2.41</w:t>
            </w:r>
          </w:p>
        </w:tc>
        <w:tc>
          <w:tcPr>
            <w:tcW w:w="794" w:type="dxa"/>
            <w:shd w:val="clear" w:color="auto" w:fill="auto"/>
          </w:tcPr>
          <w:p w14:paraId="452D71D0" w14:textId="77777777" w:rsidR="00ED2EBD" w:rsidRPr="00BD16B4" w:rsidRDefault="00ED2EBD" w:rsidP="004A205F">
            <w:pPr>
              <w:pStyle w:val="TableText"/>
              <w:spacing w:before="40" w:after="40"/>
              <w:jc w:val="right"/>
              <w:rPr>
                <w:szCs w:val="18"/>
              </w:rPr>
            </w:pPr>
            <w:r w:rsidRPr="00BD16B4">
              <w:rPr>
                <w:szCs w:val="18"/>
              </w:rPr>
              <w:t>2.28</w:t>
            </w:r>
          </w:p>
        </w:tc>
        <w:tc>
          <w:tcPr>
            <w:tcW w:w="794" w:type="dxa"/>
            <w:shd w:val="clear" w:color="auto" w:fill="auto"/>
          </w:tcPr>
          <w:p w14:paraId="7B7417CB" w14:textId="77777777" w:rsidR="00ED2EBD" w:rsidRPr="00BD16B4" w:rsidRDefault="00ED2EBD" w:rsidP="004A205F">
            <w:pPr>
              <w:pStyle w:val="TableText"/>
              <w:spacing w:before="40" w:after="40"/>
              <w:jc w:val="right"/>
              <w:rPr>
                <w:szCs w:val="18"/>
              </w:rPr>
            </w:pPr>
            <w:r w:rsidRPr="00BD16B4">
              <w:rPr>
                <w:szCs w:val="18"/>
              </w:rPr>
              <w:t>2.18</w:t>
            </w:r>
          </w:p>
        </w:tc>
        <w:tc>
          <w:tcPr>
            <w:tcW w:w="794" w:type="dxa"/>
            <w:shd w:val="clear" w:color="auto" w:fill="auto"/>
          </w:tcPr>
          <w:p w14:paraId="2FC1C1C8" w14:textId="77777777" w:rsidR="00ED2EBD" w:rsidRPr="00BD16B4" w:rsidRDefault="00ED2EBD" w:rsidP="004A205F">
            <w:pPr>
              <w:pStyle w:val="TableText"/>
              <w:spacing w:before="40" w:after="40"/>
              <w:jc w:val="right"/>
              <w:rPr>
                <w:szCs w:val="18"/>
              </w:rPr>
            </w:pPr>
            <w:r w:rsidRPr="00BD16B4">
              <w:rPr>
                <w:szCs w:val="18"/>
              </w:rPr>
              <w:t>2.12</w:t>
            </w:r>
          </w:p>
        </w:tc>
        <w:tc>
          <w:tcPr>
            <w:tcW w:w="794" w:type="dxa"/>
            <w:shd w:val="clear" w:color="auto" w:fill="auto"/>
          </w:tcPr>
          <w:p w14:paraId="3733D306" w14:textId="77777777" w:rsidR="00ED2EBD" w:rsidRPr="00BD16B4" w:rsidRDefault="00ED2EBD" w:rsidP="004A205F">
            <w:pPr>
              <w:pStyle w:val="TableText"/>
              <w:spacing w:before="40" w:after="40"/>
              <w:jc w:val="right"/>
              <w:rPr>
                <w:szCs w:val="18"/>
              </w:rPr>
            </w:pPr>
            <w:r w:rsidRPr="00BD16B4">
              <w:rPr>
                <w:szCs w:val="18"/>
              </w:rPr>
              <w:t>2.04</w:t>
            </w:r>
          </w:p>
        </w:tc>
        <w:tc>
          <w:tcPr>
            <w:tcW w:w="794" w:type="dxa"/>
            <w:shd w:val="clear" w:color="auto" w:fill="auto"/>
          </w:tcPr>
          <w:p w14:paraId="5A335DF3" w14:textId="77777777" w:rsidR="00ED2EBD" w:rsidRPr="00BD16B4" w:rsidRDefault="00ED2EBD" w:rsidP="004A205F">
            <w:pPr>
              <w:pStyle w:val="TableText"/>
              <w:spacing w:before="40" w:after="40"/>
              <w:jc w:val="right"/>
              <w:rPr>
                <w:szCs w:val="18"/>
              </w:rPr>
            </w:pPr>
            <w:r w:rsidRPr="00BD16B4">
              <w:rPr>
                <w:szCs w:val="18"/>
              </w:rPr>
              <w:t>1.96</w:t>
            </w:r>
          </w:p>
        </w:tc>
        <w:tc>
          <w:tcPr>
            <w:tcW w:w="794" w:type="dxa"/>
            <w:shd w:val="clear" w:color="auto" w:fill="auto"/>
          </w:tcPr>
          <w:p w14:paraId="7FA82C22" w14:textId="77777777" w:rsidR="00ED2EBD" w:rsidRPr="00BD16B4" w:rsidRDefault="00ED2EBD" w:rsidP="004A205F">
            <w:pPr>
              <w:pStyle w:val="TableText"/>
              <w:spacing w:before="40" w:after="40"/>
              <w:jc w:val="right"/>
              <w:rPr>
                <w:szCs w:val="18"/>
              </w:rPr>
            </w:pPr>
            <w:r w:rsidRPr="00BD16B4">
              <w:rPr>
                <w:szCs w:val="18"/>
              </w:rPr>
              <w:t>1.84</w:t>
            </w:r>
          </w:p>
        </w:tc>
        <w:tc>
          <w:tcPr>
            <w:tcW w:w="794" w:type="dxa"/>
            <w:shd w:val="clear" w:color="auto" w:fill="auto"/>
          </w:tcPr>
          <w:p w14:paraId="71B21407" w14:textId="77777777" w:rsidR="00ED2EBD" w:rsidRPr="00BD16B4" w:rsidRDefault="00ED2EBD" w:rsidP="004A205F">
            <w:pPr>
              <w:pStyle w:val="TableText"/>
              <w:spacing w:before="40" w:after="40"/>
              <w:jc w:val="right"/>
              <w:rPr>
                <w:szCs w:val="18"/>
              </w:rPr>
            </w:pPr>
            <w:r w:rsidRPr="00BD16B4">
              <w:rPr>
                <w:szCs w:val="18"/>
              </w:rPr>
              <w:t>1.71</w:t>
            </w:r>
          </w:p>
        </w:tc>
        <w:tc>
          <w:tcPr>
            <w:tcW w:w="794" w:type="dxa"/>
            <w:shd w:val="clear" w:color="auto" w:fill="auto"/>
          </w:tcPr>
          <w:p w14:paraId="57B73E29" w14:textId="77777777" w:rsidR="00ED2EBD" w:rsidRPr="00BD16B4" w:rsidRDefault="00ED2EBD" w:rsidP="004A205F">
            <w:pPr>
              <w:pStyle w:val="TableText"/>
              <w:spacing w:before="40" w:after="40"/>
              <w:jc w:val="right"/>
              <w:rPr>
                <w:szCs w:val="18"/>
              </w:rPr>
            </w:pPr>
            <w:r w:rsidRPr="00BD16B4">
              <w:rPr>
                <w:szCs w:val="18"/>
              </w:rPr>
              <w:t>1.64</w:t>
            </w:r>
          </w:p>
        </w:tc>
        <w:tc>
          <w:tcPr>
            <w:tcW w:w="794" w:type="dxa"/>
            <w:shd w:val="clear" w:color="auto" w:fill="auto"/>
          </w:tcPr>
          <w:p w14:paraId="2BD8A135" w14:textId="77777777" w:rsidR="00ED2EBD" w:rsidRPr="00BD16B4" w:rsidRDefault="00ED2EBD" w:rsidP="004A205F">
            <w:pPr>
              <w:pStyle w:val="TableText"/>
              <w:spacing w:before="40" w:after="40"/>
              <w:jc w:val="right"/>
              <w:rPr>
                <w:szCs w:val="18"/>
              </w:rPr>
            </w:pPr>
            <w:r w:rsidRPr="00BD16B4">
              <w:rPr>
                <w:szCs w:val="18"/>
              </w:rPr>
              <w:t>1.52</w:t>
            </w:r>
          </w:p>
        </w:tc>
        <w:tc>
          <w:tcPr>
            <w:tcW w:w="794" w:type="dxa"/>
            <w:shd w:val="clear" w:color="auto" w:fill="auto"/>
          </w:tcPr>
          <w:p w14:paraId="30AD40D3" w14:textId="77777777" w:rsidR="00ED2EBD" w:rsidRPr="00BD16B4" w:rsidRDefault="00ED2EBD" w:rsidP="004A205F">
            <w:pPr>
              <w:pStyle w:val="TableText"/>
              <w:spacing w:before="40" w:after="40"/>
              <w:jc w:val="right"/>
              <w:rPr>
                <w:szCs w:val="18"/>
              </w:rPr>
            </w:pPr>
            <w:r w:rsidRPr="00BD16B4">
              <w:rPr>
                <w:szCs w:val="18"/>
              </w:rPr>
              <w:t>1.44</w:t>
            </w:r>
          </w:p>
        </w:tc>
      </w:tr>
      <w:tr w:rsidR="00921D3E" w:rsidRPr="00BD16B4" w14:paraId="57351E09" w14:textId="77777777" w:rsidTr="00F70C72">
        <w:tc>
          <w:tcPr>
            <w:tcW w:w="3539" w:type="dxa"/>
          </w:tcPr>
          <w:p w14:paraId="7555C052" w14:textId="4FF63AE2" w:rsidR="00ED2EBD" w:rsidRPr="00BD16B4" w:rsidRDefault="00ED2EBD" w:rsidP="004A205F">
            <w:pPr>
              <w:pStyle w:val="TableText"/>
              <w:spacing w:before="40" w:after="40"/>
              <w:ind w:left="454" w:hanging="227"/>
              <w:rPr>
                <w:szCs w:val="18"/>
              </w:rPr>
            </w:pPr>
            <w:r w:rsidRPr="00BD16B4">
              <w:rPr>
                <w:szCs w:val="18"/>
              </w:rPr>
              <w:t>4.</w:t>
            </w:r>
            <w:r w:rsidR="00280979" w:rsidRPr="00BD16B4">
              <w:rPr>
                <w:szCs w:val="18"/>
              </w:rPr>
              <w:t xml:space="preserve"> </w:t>
            </w:r>
            <w:r w:rsidRPr="00BD16B4">
              <w:rPr>
                <w:szCs w:val="18"/>
              </w:rPr>
              <w:t>Other sectors</w:t>
            </w:r>
          </w:p>
        </w:tc>
        <w:tc>
          <w:tcPr>
            <w:tcW w:w="794" w:type="dxa"/>
            <w:shd w:val="clear" w:color="auto" w:fill="auto"/>
          </w:tcPr>
          <w:p w14:paraId="75C00066" w14:textId="77777777" w:rsidR="00ED2EBD" w:rsidRPr="00BD16B4" w:rsidRDefault="00ED2EBD" w:rsidP="004A205F">
            <w:pPr>
              <w:pStyle w:val="TableText"/>
              <w:spacing w:before="40" w:after="40"/>
              <w:jc w:val="right"/>
              <w:rPr>
                <w:szCs w:val="18"/>
              </w:rPr>
            </w:pPr>
            <w:r w:rsidRPr="00BD16B4">
              <w:rPr>
                <w:szCs w:val="18"/>
              </w:rPr>
              <w:t>3.05</w:t>
            </w:r>
          </w:p>
        </w:tc>
        <w:tc>
          <w:tcPr>
            <w:tcW w:w="794" w:type="dxa"/>
            <w:shd w:val="clear" w:color="auto" w:fill="auto"/>
          </w:tcPr>
          <w:p w14:paraId="61DC431C" w14:textId="77777777" w:rsidR="00ED2EBD" w:rsidRPr="00BD16B4" w:rsidRDefault="00ED2EBD" w:rsidP="004A205F">
            <w:pPr>
              <w:pStyle w:val="TableText"/>
              <w:spacing w:before="40" w:after="40"/>
              <w:jc w:val="right"/>
              <w:rPr>
                <w:szCs w:val="18"/>
              </w:rPr>
            </w:pPr>
            <w:r w:rsidRPr="00BD16B4">
              <w:rPr>
                <w:szCs w:val="18"/>
              </w:rPr>
              <w:t>3.10</w:t>
            </w:r>
          </w:p>
        </w:tc>
        <w:tc>
          <w:tcPr>
            <w:tcW w:w="794" w:type="dxa"/>
            <w:shd w:val="clear" w:color="auto" w:fill="auto"/>
          </w:tcPr>
          <w:p w14:paraId="5A078554" w14:textId="77777777" w:rsidR="00ED2EBD" w:rsidRPr="00BD16B4" w:rsidRDefault="00ED2EBD" w:rsidP="004A205F">
            <w:pPr>
              <w:pStyle w:val="TableText"/>
              <w:spacing w:before="40" w:after="40"/>
              <w:jc w:val="right"/>
              <w:rPr>
                <w:szCs w:val="18"/>
              </w:rPr>
            </w:pPr>
            <w:r w:rsidRPr="00BD16B4">
              <w:rPr>
                <w:szCs w:val="18"/>
              </w:rPr>
              <w:t>3.03</w:t>
            </w:r>
          </w:p>
        </w:tc>
        <w:tc>
          <w:tcPr>
            <w:tcW w:w="794" w:type="dxa"/>
            <w:shd w:val="clear" w:color="auto" w:fill="auto"/>
          </w:tcPr>
          <w:p w14:paraId="6D92C087" w14:textId="77777777" w:rsidR="00ED2EBD" w:rsidRPr="00BD16B4" w:rsidRDefault="00ED2EBD" w:rsidP="004A205F">
            <w:pPr>
              <w:pStyle w:val="TableText"/>
              <w:spacing w:before="40" w:after="40"/>
              <w:jc w:val="right"/>
              <w:rPr>
                <w:szCs w:val="18"/>
              </w:rPr>
            </w:pPr>
            <w:r w:rsidRPr="00BD16B4">
              <w:rPr>
                <w:szCs w:val="18"/>
              </w:rPr>
              <w:t>3.02</w:t>
            </w:r>
          </w:p>
        </w:tc>
        <w:tc>
          <w:tcPr>
            <w:tcW w:w="794" w:type="dxa"/>
            <w:shd w:val="clear" w:color="auto" w:fill="auto"/>
          </w:tcPr>
          <w:p w14:paraId="31F0F327" w14:textId="77777777" w:rsidR="00ED2EBD" w:rsidRPr="00BD16B4" w:rsidRDefault="00ED2EBD" w:rsidP="004A205F">
            <w:pPr>
              <w:pStyle w:val="TableText"/>
              <w:spacing w:before="40" w:after="40"/>
              <w:jc w:val="right"/>
              <w:rPr>
                <w:szCs w:val="18"/>
              </w:rPr>
            </w:pPr>
            <w:r w:rsidRPr="00BD16B4">
              <w:rPr>
                <w:szCs w:val="18"/>
              </w:rPr>
              <w:t>3.09</w:t>
            </w:r>
          </w:p>
        </w:tc>
        <w:tc>
          <w:tcPr>
            <w:tcW w:w="794" w:type="dxa"/>
            <w:shd w:val="clear" w:color="auto" w:fill="auto"/>
          </w:tcPr>
          <w:p w14:paraId="03ACFF9B" w14:textId="77777777" w:rsidR="00ED2EBD" w:rsidRPr="00BD16B4" w:rsidRDefault="00ED2EBD" w:rsidP="004A205F">
            <w:pPr>
              <w:pStyle w:val="TableText"/>
              <w:spacing w:before="40" w:after="40"/>
              <w:jc w:val="right"/>
              <w:rPr>
                <w:szCs w:val="18"/>
              </w:rPr>
            </w:pPr>
            <w:r w:rsidRPr="00BD16B4">
              <w:rPr>
                <w:szCs w:val="18"/>
              </w:rPr>
              <w:t>3.12</w:t>
            </w:r>
          </w:p>
        </w:tc>
        <w:tc>
          <w:tcPr>
            <w:tcW w:w="794" w:type="dxa"/>
            <w:shd w:val="clear" w:color="auto" w:fill="auto"/>
          </w:tcPr>
          <w:p w14:paraId="1ED68805" w14:textId="77777777" w:rsidR="00ED2EBD" w:rsidRPr="00BD16B4" w:rsidRDefault="00ED2EBD" w:rsidP="004A205F">
            <w:pPr>
              <w:pStyle w:val="TableText"/>
              <w:spacing w:before="40" w:after="40"/>
              <w:jc w:val="right"/>
              <w:rPr>
                <w:szCs w:val="18"/>
              </w:rPr>
            </w:pPr>
            <w:r w:rsidRPr="00BD16B4">
              <w:rPr>
                <w:szCs w:val="18"/>
              </w:rPr>
              <w:t>3.32</w:t>
            </w:r>
          </w:p>
        </w:tc>
        <w:tc>
          <w:tcPr>
            <w:tcW w:w="794" w:type="dxa"/>
            <w:shd w:val="clear" w:color="auto" w:fill="auto"/>
          </w:tcPr>
          <w:p w14:paraId="272CEFD3" w14:textId="77777777" w:rsidR="00ED2EBD" w:rsidRPr="00BD16B4" w:rsidRDefault="00ED2EBD" w:rsidP="004A205F">
            <w:pPr>
              <w:pStyle w:val="TableText"/>
              <w:spacing w:before="40" w:after="40"/>
              <w:jc w:val="right"/>
              <w:rPr>
                <w:szCs w:val="18"/>
              </w:rPr>
            </w:pPr>
            <w:r w:rsidRPr="00BD16B4">
              <w:rPr>
                <w:szCs w:val="18"/>
              </w:rPr>
              <w:t>3.47</w:t>
            </w:r>
          </w:p>
        </w:tc>
        <w:tc>
          <w:tcPr>
            <w:tcW w:w="794" w:type="dxa"/>
            <w:shd w:val="clear" w:color="auto" w:fill="auto"/>
          </w:tcPr>
          <w:p w14:paraId="01F93A7D" w14:textId="77777777" w:rsidR="00ED2EBD" w:rsidRPr="00BD16B4" w:rsidRDefault="00ED2EBD" w:rsidP="004A205F">
            <w:pPr>
              <w:pStyle w:val="TableText"/>
              <w:spacing w:before="40" w:after="40"/>
              <w:jc w:val="right"/>
              <w:rPr>
                <w:szCs w:val="18"/>
              </w:rPr>
            </w:pPr>
            <w:r w:rsidRPr="00BD16B4">
              <w:rPr>
                <w:szCs w:val="18"/>
              </w:rPr>
              <w:t>3.28</w:t>
            </w:r>
          </w:p>
        </w:tc>
        <w:tc>
          <w:tcPr>
            <w:tcW w:w="794" w:type="dxa"/>
            <w:shd w:val="clear" w:color="auto" w:fill="auto"/>
          </w:tcPr>
          <w:p w14:paraId="51456FCD" w14:textId="77777777" w:rsidR="00ED2EBD" w:rsidRPr="00BD16B4" w:rsidRDefault="00ED2EBD" w:rsidP="004A205F">
            <w:pPr>
              <w:pStyle w:val="TableText"/>
              <w:spacing w:before="40" w:after="40"/>
              <w:jc w:val="right"/>
              <w:rPr>
                <w:szCs w:val="18"/>
              </w:rPr>
            </w:pPr>
            <w:r w:rsidRPr="00BD16B4">
              <w:rPr>
                <w:szCs w:val="18"/>
              </w:rPr>
              <w:t>3.29</w:t>
            </w:r>
          </w:p>
        </w:tc>
        <w:tc>
          <w:tcPr>
            <w:tcW w:w="794" w:type="dxa"/>
            <w:shd w:val="clear" w:color="auto" w:fill="auto"/>
          </w:tcPr>
          <w:p w14:paraId="6FDEF39F" w14:textId="77777777" w:rsidR="00ED2EBD" w:rsidRPr="00BD16B4" w:rsidRDefault="00ED2EBD" w:rsidP="004A205F">
            <w:pPr>
              <w:pStyle w:val="TableText"/>
              <w:spacing w:before="40" w:after="40"/>
              <w:jc w:val="right"/>
              <w:rPr>
                <w:szCs w:val="18"/>
              </w:rPr>
            </w:pPr>
            <w:r w:rsidRPr="00BD16B4">
              <w:rPr>
                <w:szCs w:val="18"/>
              </w:rPr>
              <w:t>3.15</w:t>
            </w:r>
          </w:p>
        </w:tc>
      </w:tr>
      <w:tr w:rsidR="00921D3E" w:rsidRPr="00BD16B4" w14:paraId="390D6D53" w14:textId="77777777" w:rsidTr="00F70C72">
        <w:tc>
          <w:tcPr>
            <w:tcW w:w="3539" w:type="dxa"/>
          </w:tcPr>
          <w:p w14:paraId="2BCE221A" w14:textId="41EBEF0D" w:rsidR="00ED2EBD" w:rsidRPr="00BD16B4" w:rsidRDefault="00ED2EBD" w:rsidP="004A205F">
            <w:pPr>
              <w:pStyle w:val="TableText"/>
              <w:spacing w:before="40" w:after="40"/>
              <w:ind w:left="454" w:hanging="227"/>
              <w:rPr>
                <w:szCs w:val="18"/>
              </w:rPr>
            </w:pPr>
            <w:r w:rsidRPr="00BD16B4">
              <w:rPr>
                <w:szCs w:val="18"/>
              </w:rPr>
              <w:t>5.</w:t>
            </w:r>
            <w:r w:rsidR="00280979" w:rsidRPr="00BD16B4">
              <w:rPr>
                <w:szCs w:val="18"/>
              </w:rPr>
              <w:t xml:space="preserve"> </w:t>
            </w:r>
            <w:r w:rsidRPr="00BD16B4">
              <w:rPr>
                <w:szCs w:val="18"/>
              </w:rPr>
              <w:t>Other</w:t>
            </w:r>
          </w:p>
        </w:tc>
        <w:tc>
          <w:tcPr>
            <w:tcW w:w="794" w:type="dxa"/>
            <w:shd w:val="clear" w:color="auto" w:fill="auto"/>
          </w:tcPr>
          <w:p w14:paraId="1DFF0954"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5C1592BD"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42AB317B"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3C9606D6"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629120B3"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74A04E83"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44F0EF7A"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6A1FE6C5"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64E51065"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42B2E40F"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63E3E678" w14:textId="77777777" w:rsidR="00ED2EBD" w:rsidRPr="00BD16B4" w:rsidRDefault="00ED2EBD" w:rsidP="004A205F">
            <w:pPr>
              <w:pStyle w:val="TableText"/>
              <w:spacing w:before="40" w:after="40"/>
              <w:jc w:val="right"/>
              <w:rPr>
                <w:szCs w:val="18"/>
              </w:rPr>
            </w:pPr>
            <w:r w:rsidRPr="00BD16B4">
              <w:rPr>
                <w:szCs w:val="18"/>
              </w:rPr>
              <w:t>NO</w:t>
            </w:r>
          </w:p>
        </w:tc>
      </w:tr>
      <w:tr w:rsidR="00921D3E" w:rsidRPr="00BD16B4" w14:paraId="20895EF3" w14:textId="77777777" w:rsidTr="00F70C72">
        <w:tc>
          <w:tcPr>
            <w:tcW w:w="3539" w:type="dxa"/>
          </w:tcPr>
          <w:p w14:paraId="5327D9ED" w14:textId="77777777" w:rsidR="00ED2EBD" w:rsidRPr="00BD16B4" w:rsidRDefault="00ED2EBD" w:rsidP="004A205F">
            <w:pPr>
              <w:pStyle w:val="TableText"/>
              <w:spacing w:before="40" w:after="40"/>
              <w:rPr>
                <w:szCs w:val="18"/>
              </w:rPr>
            </w:pPr>
            <w:r w:rsidRPr="00BD16B4">
              <w:rPr>
                <w:szCs w:val="18"/>
              </w:rPr>
              <w:t>B. Fugitive emissions from fuels</w:t>
            </w:r>
          </w:p>
        </w:tc>
        <w:tc>
          <w:tcPr>
            <w:tcW w:w="794" w:type="dxa"/>
            <w:shd w:val="clear" w:color="auto" w:fill="auto"/>
          </w:tcPr>
          <w:p w14:paraId="3AE02B98" w14:textId="77777777" w:rsidR="00ED2EBD" w:rsidRPr="00BD16B4" w:rsidRDefault="00ED2EBD" w:rsidP="004A205F">
            <w:pPr>
              <w:pStyle w:val="TableText"/>
              <w:spacing w:before="40" w:after="40"/>
              <w:jc w:val="right"/>
              <w:rPr>
                <w:szCs w:val="18"/>
              </w:rPr>
            </w:pPr>
            <w:r w:rsidRPr="00BD16B4">
              <w:rPr>
                <w:szCs w:val="18"/>
              </w:rPr>
              <w:t>48.36</w:t>
            </w:r>
          </w:p>
        </w:tc>
        <w:tc>
          <w:tcPr>
            <w:tcW w:w="794" w:type="dxa"/>
            <w:shd w:val="clear" w:color="auto" w:fill="auto"/>
          </w:tcPr>
          <w:p w14:paraId="44F53F89" w14:textId="77777777" w:rsidR="00ED2EBD" w:rsidRPr="00BD16B4" w:rsidRDefault="00ED2EBD" w:rsidP="004A205F">
            <w:pPr>
              <w:pStyle w:val="TableText"/>
              <w:spacing w:before="40" w:after="40"/>
              <w:jc w:val="right"/>
              <w:rPr>
                <w:szCs w:val="18"/>
              </w:rPr>
            </w:pPr>
            <w:r w:rsidRPr="00BD16B4">
              <w:rPr>
                <w:szCs w:val="18"/>
              </w:rPr>
              <w:t>46.77</w:t>
            </w:r>
          </w:p>
        </w:tc>
        <w:tc>
          <w:tcPr>
            <w:tcW w:w="794" w:type="dxa"/>
            <w:shd w:val="clear" w:color="auto" w:fill="auto"/>
          </w:tcPr>
          <w:p w14:paraId="0F933208" w14:textId="77777777" w:rsidR="00ED2EBD" w:rsidRPr="00BD16B4" w:rsidRDefault="00ED2EBD" w:rsidP="004A205F">
            <w:pPr>
              <w:pStyle w:val="TableText"/>
              <w:spacing w:before="40" w:after="40"/>
              <w:jc w:val="right"/>
              <w:rPr>
                <w:szCs w:val="18"/>
              </w:rPr>
            </w:pPr>
            <w:r w:rsidRPr="00BD16B4">
              <w:rPr>
                <w:szCs w:val="18"/>
              </w:rPr>
              <w:t>48.81</w:t>
            </w:r>
          </w:p>
        </w:tc>
        <w:tc>
          <w:tcPr>
            <w:tcW w:w="794" w:type="dxa"/>
            <w:shd w:val="clear" w:color="auto" w:fill="auto"/>
          </w:tcPr>
          <w:p w14:paraId="1CF3066B" w14:textId="77777777" w:rsidR="00ED2EBD" w:rsidRPr="00BD16B4" w:rsidRDefault="00ED2EBD" w:rsidP="004A205F">
            <w:pPr>
              <w:pStyle w:val="TableText"/>
              <w:spacing w:before="40" w:after="40"/>
              <w:jc w:val="right"/>
              <w:rPr>
                <w:szCs w:val="18"/>
              </w:rPr>
            </w:pPr>
            <w:r w:rsidRPr="00BD16B4">
              <w:rPr>
                <w:szCs w:val="18"/>
              </w:rPr>
              <w:t>44.78</w:t>
            </w:r>
          </w:p>
        </w:tc>
        <w:tc>
          <w:tcPr>
            <w:tcW w:w="794" w:type="dxa"/>
            <w:shd w:val="clear" w:color="auto" w:fill="auto"/>
          </w:tcPr>
          <w:p w14:paraId="324A027A" w14:textId="77777777" w:rsidR="00ED2EBD" w:rsidRPr="00BD16B4" w:rsidRDefault="00ED2EBD" w:rsidP="004A205F">
            <w:pPr>
              <w:pStyle w:val="TableText"/>
              <w:spacing w:before="40" w:after="40"/>
              <w:jc w:val="right"/>
              <w:rPr>
                <w:szCs w:val="18"/>
              </w:rPr>
            </w:pPr>
            <w:r w:rsidRPr="00BD16B4">
              <w:rPr>
                <w:szCs w:val="18"/>
              </w:rPr>
              <w:t>38.08</w:t>
            </w:r>
          </w:p>
        </w:tc>
        <w:tc>
          <w:tcPr>
            <w:tcW w:w="794" w:type="dxa"/>
            <w:shd w:val="clear" w:color="auto" w:fill="auto"/>
          </w:tcPr>
          <w:p w14:paraId="5C4DC05C" w14:textId="77777777" w:rsidR="00ED2EBD" w:rsidRPr="00BD16B4" w:rsidRDefault="00ED2EBD" w:rsidP="004A205F">
            <w:pPr>
              <w:pStyle w:val="TableText"/>
              <w:spacing w:before="40" w:after="40"/>
              <w:jc w:val="right"/>
              <w:rPr>
                <w:szCs w:val="18"/>
              </w:rPr>
            </w:pPr>
            <w:r w:rsidRPr="00BD16B4">
              <w:rPr>
                <w:szCs w:val="18"/>
              </w:rPr>
              <w:t>38.94</w:t>
            </w:r>
          </w:p>
        </w:tc>
        <w:tc>
          <w:tcPr>
            <w:tcW w:w="794" w:type="dxa"/>
            <w:shd w:val="clear" w:color="auto" w:fill="auto"/>
          </w:tcPr>
          <w:p w14:paraId="2DD9728C" w14:textId="77777777" w:rsidR="00ED2EBD" w:rsidRPr="00BD16B4" w:rsidRDefault="00ED2EBD" w:rsidP="004A205F">
            <w:pPr>
              <w:pStyle w:val="TableText"/>
              <w:spacing w:before="40" w:after="40"/>
              <w:jc w:val="right"/>
              <w:rPr>
                <w:szCs w:val="18"/>
              </w:rPr>
            </w:pPr>
            <w:r w:rsidRPr="00BD16B4">
              <w:rPr>
                <w:szCs w:val="18"/>
              </w:rPr>
              <w:t>44.08</w:t>
            </w:r>
          </w:p>
        </w:tc>
        <w:tc>
          <w:tcPr>
            <w:tcW w:w="794" w:type="dxa"/>
            <w:shd w:val="clear" w:color="auto" w:fill="auto"/>
          </w:tcPr>
          <w:p w14:paraId="0A0C38A2" w14:textId="77777777" w:rsidR="00ED2EBD" w:rsidRPr="00BD16B4" w:rsidRDefault="00ED2EBD" w:rsidP="004A205F">
            <w:pPr>
              <w:pStyle w:val="TableText"/>
              <w:spacing w:before="40" w:after="40"/>
              <w:jc w:val="right"/>
              <w:rPr>
                <w:szCs w:val="18"/>
              </w:rPr>
            </w:pPr>
            <w:r w:rsidRPr="00BD16B4">
              <w:rPr>
                <w:szCs w:val="18"/>
              </w:rPr>
              <w:t>57.44</w:t>
            </w:r>
          </w:p>
        </w:tc>
        <w:tc>
          <w:tcPr>
            <w:tcW w:w="794" w:type="dxa"/>
            <w:shd w:val="clear" w:color="auto" w:fill="auto"/>
          </w:tcPr>
          <w:p w14:paraId="11E5552D" w14:textId="77777777" w:rsidR="00ED2EBD" w:rsidRPr="00BD16B4" w:rsidRDefault="00ED2EBD" w:rsidP="004A205F">
            <w:pPr>
              <w:pStyle w:val="TableText"/>
              <w:spacing w:before="40" w:after="40"/>
              <w:jc w:val="right"/>
              <w:rPr>
                <w:szCs w:val="18"/>
              </w:rPr>
            </w:pPr>
            <w:r w:rsidRPr="00BD16B4">
              <w:rPr>
                <w:szCs w:val="18"/>
              </w:rPr>
              <w:t>49.02</w:t>
            </w:r>
          </w:p>
        </w:tc>
        <w:tc>
          <w:tcPr>
            <w:tcW w:w="794" w:type="dxa"/>
            <w:shd w:val="clear" w:color="auto" w:fill="auto"/>
          </w:tcPr>
          <w:p w14:paraId="26016D46" w14:textId="77777777" w:rsidR="00ED2EBD" w:rsidRPr="00BD16B4" w:rsidRDefault="00ED2EBD" w:rsidP="004A205F">
            <w:pPr>
              <w:pStyle w:val="TableText"/>
              <w:spacing w:before="40" w:after="40"/>
              <w:jc w:val="right"/>
              <w:rPr>
                <w:szCs w:val="18"/>
              </w:rPr>
            </w:pPr>
            <w:r w:rsidRPr="00BD16B4">
              <w:rPr>
                <w:szCs w:val="18"/>
              </w:rPr>
              <w:t>39.88</w:t>
            </w:r>
          </w:p>
        </w:tc>
        <w:tc>
          <w:tcPr>
            <w:tcW w:w="794" w:type="dxa"/>
            <w:shd w:val="clear" w:color="auto" w:fill="auto"/>
          </w:tcPr>
          <w:p w14:paraId="1FC9ECAD" w14:textId="77777777" w:rsidR="00ED2EBD" w:rsidRPr="00BD16B4" w:rsidRDefault="00ED2EBD" w:rsidP="004A205F">
            <w:pPr>
              <w:pStyle w:val="TableText"/>
              <w:spacing w:before="40" w:after="40"/>
              <w:jc w:val="right"/>
              <w:rPr>
                <w:szCs w:val="18"/>
              </w:rPr>
            </w:pPr>
            <w:r w:rsidRPr="00BD16B4">
              <w:rPr>
                <w:szCs w:val="18"/>
              </w:rPr>
              <w:t>44.54</w:t>
            </w:r>
          </w:p>
        </w:tc>
      </w:tr>
      <w:tr w:rsidR="00921D3E" w:rsidRPr="00BD16B4" w14:paraId="6E8BB117" w14:textId="77777777" w:rsidTr="00F70C72">
        <w:tc>
          <w:tcPr>
            <w:tcW w:w="3539" w:type="dxa"/>
          </w:tcPr>
          <w:p w14:paraId="510C494C" w14:textId="4D042A6D" w:rsidR="00ED2EBD" w:rsidRPr="00BD16B4" w:rsidRDefault="00ED2EBD" w:rsidP="004A205F">
            <w:pPr>
              <w:pStyle w:val="TableText"/>
              <w:spacing w:before="40" w:after="40"/>
              <w:ind w:left="454" w:hanging="227"/>
              <w:rPr>
                <w:szCs w:val="18"/>
              </w:rPr>
            </w:pPr>
            <w:r w:rsidRPr="00BD16B4">
              <w:rPr>
                <w:szCs w:val="18"/>
              </w:rPr>
              <w:t>1.</w:t>
            </w:r>
            <w:r w:rsidR="00280979" w:rsidRPr="00BD16B4">
              <w:rPr>
                <w:szCs w:val="18"/>
              </w:rPr>
              <w:t xml:space="preserve"> </w:t>
            </w:r>
            <w:r w:rsidR="006D3816" w:rsidRPr="00BD16B4">
              <w:rPr>
                <w:szCs w:val="18"/>
              </w:rPr>
              <w:tab/>
            </w:r>
            <w:r w:rsidRPr="00BD16B4">
              <w:rPr>
                <w:szCs w:val="18"/>
              </w:rPr>
              <w:t>Solid fuels</w:t>
            </w:r>
          </w:p>
        </w:tc>
        <w:tc>
          <w:tcPr>
            <w:tcW w:w="794" w:type="dxa"/>
            <w:shd w:val="clear" w:color="auto" w:fill="auto"/>
          </w:tcPr>
          <w:p w14:paraId="5F64CB37" w14:textId="77777777" w:rsidR="00ED2EBD" w:rsidRPr="00BD16B4" w:rsidRDefault="00ED2EBD" w:rsidP="004A205F">
            <w:pPr>
              <w:pStyle w:val="TableText"/>
              <w:spacing w:before="40" w:after="40"/>
              <w:jc w:val="right"/>
              <w:rPr>
                <w:szCs w:val="18"/>
              </w:rPr>
            </w:pPr>
            <w:r w:rsidRPr="00BD16B4">
              <w:rPr>
                <w:szCs w:val="18"/>
              </w:rPr>
              <w:t>17.14</w:t>
            </w:r>
          </w:p>
        </w:tc>
        <w:tc>
          <w:tcPr>
            <w:tcW w:w="794" w:type="dxa"/>
            <w:shd w:val="clear" w:color="auto" w:fill="auto"/>
          </w:tcPr>
          <w:p w14:paraId="38D4D852" w14:textId="77777777" w:rsidR="00ED2EBD" w:rsidRPr="00BD16B4" w:rsidRDefault="00ED2EBD" w:rsidP="004A205F">
            <w:pPr>
              <w:pStyle w:val="TableText"/>
              <w:spacing w:before="40" w:after="40"/>
              <w:jc w:val="right"/>
              <w:rPr>
                <w:szCs w:val="18"/>
              </w:rPr>
            </w:pPr>
            <w:r w:rsidRPr="00BD16B4">
              <w:rPr>
                <w:szCs w:val="18"/>
              </w:rPr>
              <w:t>16.72</w:t>
            </w:r>
          </w:p>
        </w:tc>
        <w:tc>
          <w:tcPr>
            <w:tcW w:w="794" w:type="dxa"/>
            <w:shd w:val="clear" w:color="auto" w:fill="auto"/>
          </w:tcPr>
          <w:p w14:paraId="587B8560" w14:textId="77777777" w:rsidR="00ED2EBD" w:rsidRPr="00BD16B4" w:rsidRDefault="00ED2EBD" w:rsidP="004A205F">
            <w:pPr>
              <w:pStyle w:val="TableText"/>
              <w:spacing w:before="40" w:after="40"/>
              <w:jc w:val="right"/>
              <w:rPr>
                <w:szCs w:val="18"/>
              </w:rPr>
            </w:pPr>
            <w:r w:rsidRPr="00BD16B4">
              <w:rPr>
                <w:szCs w:val="18"/>
              </w:rPr>
              <w:t>17.08</w:t>
            </w:r>
          </w:p>
        </w:tc>
        <w:tc>
          <w:tcPr>
            <w:tcW w:w="794" w:type="dxa"/>
            <w:shd w:val="clear" w:color="auto" w:fill="auto"/>
          </w:tcPr>
          <w:p w14:paraId="15B88793" w14:textId="77777777" w:rsidR="00ED2EBD" w:rsidRPr="00BD16B4" w:rsidRDefault="00ED2EBD" w:rsidP="004A205F">
            <w:pPr>
              <w:pStyle w:val="TableText"/>
              <w:spacing w:before="40" w:after="40"/>
              <w:jc w:val="right"/>
              <w:rPr>
                <w:szCs w:val="18"/>
              </w:rPr>
            </w:pPr>
            <w:r w:rsidRPr="00BD16B4">
              <w:rPr>
                <w:szCs w:val="18"/>
              </w:rPr>
              <w:t>16.98</w:t>
            </w:r>
          </w:p>
        </w:tc>
        <w:tc>
          <w:tcPr>
            <w:tcW w:w="794" w:type="dxa"/>
            <w:shd w:val="clear" w:color="auto" w:fill="auto"/>
          </w:tcPr>
          <w:p w14:paraId="6335C1C1" w14:textId="77777777" w:rsidR="00ED2EBD" w:rsidRPr="00BD16B4" w:rsidRDefault="00ED2EBD" w:rsidP="004A205F">
            <w:pPr>
              <w:pStyle w:val="TableText"/>
              <w:spacing w:before="40" w:after="40"/>
              <w:jc w:val="right"/>
              <w:rPr>
                <w:szCs w:val="18"/>
              </w:rPr>
            </w:pPr>
            <w:r w:rsidRPr="00BD16B4">
              <w:rPr>
                <w:szCs w:val="18"/>
              </w:rPr>
              <w:t>15.98</w:t>
            </w:r>
          </w:p>
        </w:tc>
        <w:tc>
          <w:tcPr>
            <w:tcW w:w="794" w:type="dxa"/>
            <w:shd w:val="clear" w:color="auto" w:fill="auto"/>
          </w:tcPr>
          <w:p w14:paraId="20570186" w14:textId="77777777" w:rsidR="00ED2EBD" w:rsidRPr="00BD16B4" w:rsidRDefault="00ED2EBD" w:rsidP="004A205F">
            <w:pPr>
              <w:pStyle w:val="TableText"/>
              <w:spacing w:before="40" w:after="40"/>
              <w:jc w:val="right"/>
              <w:rPr>
                <w:szCs w:val="18"/>
              </w:rPr>
            </w:pPr>
            <w:r w:rsidRPr="00BD16B4">
              <w:rPr>
                <w:szCs w:val="18"/>
              </w:rPr>
              <w:t>15.00</w:t>
            </w:r>
          </w:p>
        </w:tc>
        <w:tc>
          <w:tcPr>
            <w:tcW w:w="794" w:type="dxa"/>
            <w:shd w:val="clear" w:color="auto" w:fill="auto"/>
          </w:tcPr>
          <w:p w14:paraId="44E2478C" w14:textId="77777777" w:rsidR="00ED2EBD" w:rsidRPr="00BD16B4" w:rsidRDefault="00ED2EBD" w:rsidP="004A205F">
            <w:pPr>
              <w:pStyle w:val="TableText"/>
              <w:spacing w:before="40" w:after="40"/>
              <w:jc w:val="right"/>
              <w:rPr>
                <w:szCs w:val="18"/>
              </w:rPr>
            </w:pPr>
            <w:r w:rsidRPr="00BD16B4">
              <w:rPr>
                <w:szCs w:val="18"/>
              </w:rPr>
              <w:t>15.87</w:t>
            </w:r>
          </w:p>
        </w:tc>
        <w:tc>
          <w:tcPr>
            <w:tcW w:w="794" w:type="dxa"/>
            <w:shd w:val="clear" w:color="auto" w:fill="auto"/>
          </w:tcPr>
          <w:p w14:paraId="37DFA5D8" w14:textId="77777777" w:rsidR="00ED2EBD" w:rsidRPr="00BD16B4" w:rsidRDefault="00ED2EBD" w:rsidP="004A205F">
            <w:pPr>
              <w:pStyle w:val="TableText"/>
              <w:spacing w:before="40" w:after="40"/>
              <w:jc w:val="right"/>
              <w:rPr>
                <w:szCs w:val="18"/>
              </w:rPr>
            </w:pPr>
            <w:r w:rsidRPr="00BD16B4">
              <w:rPr>
                <w:szCs w:val="18"/>
              </w:rPr>
              <w:t>20.19</w:t>
            </w:r>
          </w:p>
        </w:tc>
        <w:tc>
          <w:tcPr>
            <w:tcW w:w="794" w:type="dxa"/>
            <w:shd w:val="clear" w:color="auto" w:fill="auto"/>
          </w:tcPr>
          <w:p w14:paraId="19EA1D19" w14:textId="77777777" w:rsidR="00ED2EBD" w:rsidRPr="00BD16B4" w:rsidRDefault="00ED2EBD" w:rsidP="004A205F">
            <w:pPr>
              <w:pStyle w:val="TableText"/>
              <w:spacing w:before="40" w:after="40"/>
              <w:jc w:val="right"/>
              <w:rPr>
                <w:szCs w:val="18"/>
              </w:rPr>
            </w:pPr>
            <w:r w:rsidRPr="00BD16B4">
              <w:rPr>
                <w:szCs w:val="18"/>
              </w:rPr>
              <w:t>12.93</w:t>
            </w:r>
          </w:p>
        </w:tc>
        <w:tc>
          <w:tcPr>
            <w:tcW w:w="794" w:type="dxa"/>
            <w:shd w:val="clear" w:color="auto" w:fill="auto"/>
          </w:tcPr>
          <w:p w14:paraId="456B0273" w14:textId="77777777" w:rsidR="00ED2EBD" w:rsidRPr="00BD16B4" w:rsidRDefault="00ED2EBD" w:rsidP="004A205F">
            <w:pPr>
              <w:pStyle w:val="TableText"/>
              <w:spacing w:before="40" w:after="40"/>
              <w:jc w:val="right"/>
              <w:rPr>
                <w:szCs w:val="18"/>
              </w:rPr>
            </w:pPr>
            <w:r w:rsidRPr="00BD16B4">
              <w:rPr>
                <w:szCs w:val="18"/>
              </w:rPr>
              <w:t>16.29</w:t>
            </w:r>
          </w:p>
        </w:tc>
        <w:tc>
          <w:tcPr>
            <w:tcW w:w="794" w:type="dxa"/>
            <w:shd w:val="clear" w:color="auto" w:fill="auto"/>
          </w:tcPr>
          <w:p w14:paraId="3549E2B9" w14:textId="77777777" w:rsidR="00ED2EBD" w:rsidRPr="00BD16B4" w:rsidRDefault="00ED2EBD" w:rsidP="004A205F">
            <w:pPr>
              <w:pStyle w:val="TableText"/>
              <w:spacing w:before="40" w:after="40"/>
              <w:jc w:val="right"/>
              <w:rPr>
                <w:szCs w:val="18"/>
              </w:rPr>
            </w:pPr>
            <w:r w:rsidRPr="00BD16B4">
              <w:rPr>
                <w:szCs w:val="18"/>
              </w:rPr>
              <w:t>19.52</w:t>
            </w:r>
          </w:p>
        </w:tc>
      </w:tr>
      <w:tr w:rsidR="00F70C72" w:rsidRPr="00BD16B4" w14:paraId="23392BDF" w14:textId="77777777" w:rsidTr="00F70C72">
        <w:tc>
          <w:tcPr>
            <w:tcW w:w="3539" w:type="dxa"/>
          </w:tcPr>
          <w:p w14:paraId="0015B00D" w14:textId="72088C88" w:rsidR="00ED2EBD" w:rsidRPr="00BD16B4" w:rsidRDefault="00ED2EBD" w:rsidP="004A205F">
            <w:pPr>
              <w:pStyle w:val="TableText"/>
              <w:spacing w:before="40" w:after="40"/>
              <w:ind w:left="454" w:hanging="227"/>
              <w:rPr>
                <w:szCs w:val="18"/>
              </w:rPr>
            </w:pPr>
            <w:r w:rsidRPr="00BD16B4">
              <w:rPr>
                <w:szCs w:val="18"/>
              </w:rPr>
              <w:t>2.</w:t>
            </w:r>
            <w:r w:rsidR="00280979" w:rsidRPr="00BD16B4">
              <w:rPr>
                <w:szCs w:val="18"/>
              </w:rPr>
              <w:t xml:space="preserve"> </w:t>
            </w:r>
            <w:r w:rsidR="006D3816" w:rsidRPr="00BD16B4">
              <w:rPr>
                <w:szCs w:val="18"/>
              </w:rPr>
              <w:tab/>
            </w:r>
            <w:r w:rsidRPr="00BD16B4">
              <w:rPr>
                <w:szCs w:val="18"/>
              </w:rPr>
              <w:t>Oil and natural gas and other emissions from energy production</w:t>
            </w:r>
          </w:p>
        </w:tc>
        <w:tc>
          <w:tcPr>
            <w:tcW w:w="794" w:type="dxa"/>
            <w:tcBorders>
              <w:bottom w:val="single" w:sz="4" w:space="0" w:color="1B556B" w:themeColor="text2"/>
            </w:tcBorders>
            <w:shd w:val="clear" w:color="auto" w:fill="auto"/>
          </w:tcPr>
          <w:p w14:paraId="5B0F9D64" w14:textId="77777777" w:rsidR="00ED2EBD" w:rsidRPr="00BD16B4" w:rsidRDefault="00ED2EBD" w:rsidP="004A205F">
            <w:pPr>
              <w:pStyle w:val="TableText"/>
              <w:spacing w:before="40" w:after="40"/>
              <w:jc w:val="right"/>
              <w:rPr>
                <w:szCs w:val="18"/>
              </w:rPr>
            </w:pPr>
            <w:r w:rsidRPr="00BD16B4">
              <w:rPr>
                <w:szCs w:val="18"/>
              </w:rPr>
              <w:t>31.22</w:t>
            </w:r>
          </w:p>
        </w:tc>
        <w:tc>
          <w:tcPr>
            <w:tcW w:w="794" w:type="dxa"/>
            <w:tcBorders>
              <w:bottom w:val="single" w:sz="4" w:space="0" w:color="1B556B" w:themeColor="text2"/>
            </w:tcBorders>
            <w:shd w:val="clear" w:color="auto" w:fill="auto"/>
          </w:tcPr>
          <w:p w14:paraId="0115E7CA" w14:textId="77777777" w:rsidR="00ED2EBD" w:rsidRPr="00BD16B4" w:rsidRDefault="00ED2EBD" w:rsidP="004A205F">
            <w:pPr>
              <w:pStyle w:val="TableText"/>
              <w:spacing w:before="40" w:after="40"/>
              <w:jc w:val="right"/>
              <w:rPr>
                <w:szCs w:val="18"/>
              </w:rPr>
            </w:pPr>
            <w:r w:rsidRPr="00BD16B4">
              <w:rPr>
                <w:szCs w:val="18"/>
              </w:rPr>
              <w:t>30.05</w:t>
            </w:r>
          </w:p>
        </w:tc>
        <w:tc>
          <w:tcPr>
            <w:tcW w:w="794" w:type="dxa"/>
            <w:tcBorders>
              <w:bottom w:val="single" w:sz="4" w:space="0" w:color="1B556B" w:themeColor="text2"/>
            </w:tcBorders>
            <w:shd w:val="clear" w:color="auto" w:fill="auto"/>
          </w:tcPr>
          <w:p w14:paraId="4069E50F" w14:textId="77777777" w:rsidR="00ED2EBD" w:rsidRPr="00BD16B4" w:rsidRDefault="00ED2EBD" w:rsidP="004A205F">
            <w:pPr>
              <w:pStyle w:val="TableText"/>
              <w:spacing w:before="40" w:after="40"/>
              <w:jc w:val="right"/>
              <w:rPr>
                <w:szCs w:val="18"/>
              </w:rPr>
            </w:pPr>
            <w:r w:rsidRPr="00BD16B4">
              <w:rPr>
                <w:szCs w:val="18"/>
              </w:rPr>
              <w:t>31.73</w:t>
            </w:r>
          </w:p>
        </w:tc>
        <w:tc>
          <w:tcPr>
            <w:tcW w:w="794" w:type="dxa"/>
            <w:tcBorders>
              <w:bottom w:val="single" w:sz="4" w:space="0" w:color="1B556B" w:themeColor="text2"/>
            </w:tcBorders>
            <w:shd w:val="clear" w:color="auto" w:fill="auto"/>
          </w:tcPr>
          <w:p w14:paraId="39853E87" w14:textId="77777777" w:rsidR="00ED2EBD" w:rsidRPr="00BD16B4" w:rsidRDefault="00ED2EBD" w:rsidP="004A205F">
            <w:pPr>
              <w:pStyle w:val="TableText"/>
              <w:spacing w:before="40" w:after="40"/>
              <w:jc w:val="right"/>
              <w:rPr>
                <w:szCs w:val="18"/>
              </w:rPr>
            </w:pPr>
            <w:r w:rsidRPr="00BD16B4">
              <w:rPr>
                <w:szCs w:val="18"/>
              </w:rPr>
              <w:t>27.80</w:t>
            </w:r>
          </w:p>
        </w:tc>
        <w:tc>
          <w:tcPr>
            <w:tcW w:w="794" w:type="dxa"/>
            <w:tcBorders>
              <w:bottom w:val="single" w:sz="4" w:space="0" w:color="1B556B" w:themeColor="text2"/>
            </w:tcBorders>
            <w:shd w:val="clear" w:color="auto" w:fill="auto"/>
          </w:tcPr>
          <w:p w14:paraId="47BC8A53" w14:textId="77777777" w:rsidR="00ED2EBD" w:rsidRPr="00BD16B4" w:rsidRDefault="00ED2EBD" w:rsidP="004A205F">
            <w:pPr>
              <w:pStyle w:val="TableText"/>
              <w:spacing w:before="40" w:after="40"/>
              <w:jc w:val="right"/>
              <w:rPr>
                <w:szCs w:val="18"/>
              </w:rPr>
            </w:pPr>
            <w:r w:rsidRPr="00BD16B4">
              <w:rPr>
                <w:szCs w:val="18"/>
              </w:rPr>
              <w:t>22.11</w:t>
            </w:r>
          </w:p>
        </w:tc>
        <w:tc>
          <w:tcPr>
            <w:tcW w:w="794" w:type="dxa"/>
            <w:tcBorders>
              <w:bottom w:val="single" w:sz="4" w:space="0" w:color="1B556B" w:themeColor="text2"/>
            </w:tcBorders>
            <w:shd w:val="clear" w:color="auto" w:fill="auto"/>
          </w:tcPr>
          <w:p w14:paraId="27135E5B" w14:textId="77777777" w:rsidR="00ED2EBD" w:rsidRPr="00BD16B4" w:rsidRDefault="00ED2EBD" w:rsidP="004A205F">
            <w:pPr>
              <w:pStyle w:val="TableText"/>
              <w:spacing w:before="40" w:after="40"/>
              <w:jc w:val="right"/>
              <w:rPr>
                <w:szCs w:val="18"/>
              </w:rPr>
            </w:pPr>
            <w:r w:rsidRPr="00BD16B4">
              <w:rPr>
                <w:szCs w:val="18"/>
              </w:rPr>
              <w:t>23.93</w:t>
            </w:r>
          </w:p>
        </w:tc>
        <w:tc>
          <w:tcPr>
            <w:tcW w:w="794" w:type="dxa"/>
            <w:tcBorders>
              <w:bottom w:val="single" w:sz="4" w:space="0" w:color="1B556B" w:themeColor="text2"/>
            </w:tcBorders>
            <w:shd w:val="clear" w:color="auto" w:fill="auto"/>
          </w:tcPr>
          <w:p w14:paraId="2D17987C" w14:textId="77777777" w:rsidR="00ED2EBD" w:rsidRPr="00BD16B4" w:rsidRDefault="00ED2EBD" w:rsidP="004A205F">
            <w:pPr>
              <w:pStyle w:val="TableText"/>
              <w:spacing w:before="40" w:after="40"/>
              <w:jc w:val="right"/>
              <w:rPr>
                <w:szCs w:val="18"/>
              </w:rPr>
            </w:pPr>
            <w:r w:rsidRPr="00BD16B4">
              <w:rPr>
                <w:szCs w:val="18"/>
              </w:rPr>
              <w:t>28.21</w:t>
            </w:r>
          </w:p>
        </w:tc>
        <w:tc>
          <w:tcPr>
            <w:tcW w:w="794" w:type="dxa"/>
            <w:tcBorders>
              <w:bottom w:val="single" w:sz="4" w:space="0" w:color="1B556B" w:themeColor="text2"/>
            </w:tcBorders>
            <w:shd w:val="clear" w:color="auto" w:fill="auto"/>
          </w:tcPr>
          <w:p w14:paraId="7D419533" w14:textId="77777777" w:rsidR="00ED2EBD" w:rsidRPr="00BD16B4" w:rsidRDefault="00ED2EBD" w:rsidP="004A205F">
            <w:pPr>
              <w:pStyle w:val="TableText"/>
              <w:spacing w:before="40" w:after="40"/>
              <w:jc w:val="right"/>
              <w:rPr>
                <w:szCs w:val="18"/>
              </w:rPr>
            </w:pPr>
            <w:r w:rsidRPr="00BD16B4">
              <w:rPr>
                <w:szCs w:val="18"/>
              </w:rPr>
              <w:t>37.24</w:t>
            </w:r>
          </w:p>
        </w:tc>
        <w:tc>
          <w:tcPr>
            <w:tcW w:w="794" w:type="dxa"/>
            <w:tcBorders>
              <w:bottom w:val="single" w:sz="4" w:space="0" w:color="1B556B" w:themeColor="text2"/>
            </w:tcBorders>
            <w:shd w:val="clear" w:color="auto" w:fill="auto"/>
          </w:tcPr>
          <w:p w14:paraId="5805C2A8" w14:textId="77777777" w:rsidR="00ED2EBD" w:rsidRPr="00BD16B4" w:rsidRDefault="00ED2EBD" w:rsidP="004A205F">
            <w:pPr>
              <w:pStyle w:val="TableText"/>
              <w:spacing w:before="40" w:after="40"/>
              <w:jc w:val="right"/>
              <w:rPr>
                <w:szCs w:val="18"/>
              </w:rPr>
            </w:pPr>
            <w:r w:rsidRPr="00BD16B4">
              <w:rPr>
                <w:szCs w:val="18"/>
              </w:rPr>
              <w:t>36.08</w:t>
            </w:r>
          </w:p>
        </w:tc>
        <w:tc>
          <w:tcPr>
            <w:tcW w:w="794" w:type="dxa"/>
            <w:tcBorders>
              <w:bottom w:val="single" w:sz="4" w:space="0" w:color="1B556B" w:themeColor="text2"/>
            </w:tcBorders>
            <w:shd w:val="clear" w:color="auto" w:fill="auto"/>
          </w:tcPr>
          <w:p w14:paraId="70098E0E" w14:textId="77777777" w:rsidR="00ED2EBD" w:rsidRPr="00BD16B4" w:rsidRDefault="00ED2EBD" w:rsidP="004A205F">
            <w:pPr>
              <w:pStyle w:val="TableText"/>
              <w:spacing w:before="40" w:after="40"/>
              <w:jc w:val="right"/>
              <w:rPr>
                <w:szCs w:val="18"/>
              </w:rPr>
            </w:pPr>
            <w:r w:rsidRPr="00BD16B4">
              <w:rPr>
                <w:szCs w:val="18"/>
              </w:rPr>
              <w:t>23.59</w:t>
            </w:r>
          </w:p>
        </w:tc>
        <w:tc>
          <w:tcPr>
            <w:tcW w:w="794" w:type="dxa"/>
            <w:tcBorders>
              <w:bottom w:val="single" w:sz="4" w:space="0" w:color="1B556B" w:themeColor="text2"/>
            </w:tcBorders>
            <w:shd w:val="clear" w:color="auto" w:fill="auto"/>
          </w:tcPr>
          <w:p w14:paraId="399BA5EC" w14:textId="77777777" w:rsidR="00ED2EBD" w:rsidRPr="00BD16B4" w:rsidRDefault="00ED2EBD" w:rsidP="004A205F">
            <w:pPr>
              <w:pStyle w:val="TableText"/>
              <w:spacing w:before="40" w:after="40"/>
              <w:jc w:val="right"/>
              <w:rPr>
                <w:szCs w:val="18"/>
              </w:rPr>
            </w:pPr>
            <w:r w:rsidRPr="00BD16B4">
              <w:rPr>
                <w:szCs w:val="18"/>
              </w:rPr>
              <w:t>25.02</w:t>
            </w:r>
          </w:p>
        </w:tc>
      </w:tr>
      <w:tr w:rsidR="0092050F" w:rsidRPr="00BD16B4" w14:paraId="10A8BF33" w14:textId="77777777" w:rsidTr="00F70C72">
        <w:tc>
          <w:tcPr>
            <w:tcW w:w="3539" w:type="dxa"/>
          </w:tcPr>
          <w:p w14:paraId="6354DB62" w14:textId="77777777" w:rsidR="00ED2EBD" w:rsidRPr="00BD16B4" w:rsidRDefault="00ED2EBD" w:rsidP="004A205F">
            <w:pPr>
              <w:pStyle w:val="TableText"/>
              <w:spacing w:before="40" w:after="40"/>
              <w:rPr>
                <w:szCs w:val="18"/>
              </w:rPr>
            </w:pPr>
            <w:r w:rsidRPr="00BD16B4">
              <w:rPr>
                <w:szCs w:val="18"/>
              </w:rPr>
              <w:t>C. CO</w:t>
            </w:r>
            <w:r w:rsidRPr="00BD16B4">
              <w:rPr>
                <w:szCs w:val="18"/>
                <w:vertAlign w:val="subscript"/>
              </w:rPr>
              <w:t>2</w:t>
            </w:r>
            <w:r w:rsidRPr="00BD16B4">
              <w:rPr>
                <w:szCs w:val="18"/>
              </w:rPr>
              <w:t xml:space="preserve"> transport and storage</w:t>
            </w:r>
          </w:p>
        </w:tc>
        <w:tc>
          <w:tcPr>
            <w:tcW w:w="794" w:type="dxa"/>
            <w:tcBorders>
              <w:top w:val="single" w:sz="4" w:space="0" w:color="1B556B" w:themeColor="text2"/>
            </w:tcBorders>
            <w:shd w:val="clear" w:color="auto" w:fill="D2DDE1" w:themeFill="background2"/>
          </w:tcPr>
          <w:p w14:paraId="4971227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444A76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28D697F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4B8FF8F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6D4F756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C57971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674BCFF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6276915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79B3C46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0082639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25322B02" w14:textId="77777777" w:rsidR="00ED2EBD" w:rsidRPr="00BD16B4" w:rsidRDefault="00ED2EBD" w:rsidP="004A205F">
            <w:pPr>
              <w:pStyle w:val="TableText"/>
              <w:spacing w:before="40" w:after="40"/>
              <w:jc w:val="right"/>
              <w:rPr>
                <w:szCs w:val="18"/>
              </w:rPr>
            </w:pPr>
            <w:r w:rsidRPr="00BD16B4">
              <w:rPr>
                <w:color w:val="000000"/>
                <w:szCs w:val="18"/>
              </w:rPr>
              <w:t> </w:t>
            </w:r>
          </w:p>
        </w:tc>
      </w:tr>
      <w:tr w:rsidR="00F70C72" w:rsidRPr="00BD16B4" w14:paraId="26010EC3" w14:textId="77777777" w:rsidTr="00F70C72">
        <w:tc>
          <w:tcPr>
            <w:tcW w:w="3539" w:type="dxa"/>
          </w:tcPr>
          <w:p w14:paraId="34BBD3D8" w14:textId="004BE1D8" w:rsidR="00ED2EBD" w:rsidRPr="00BD16B4" w:rsidRDefault="00ED2EBD" w:rsidP="004A205F">
            <w:pPr>
              <w:pStyle w:val="TableText"/>
              <w:spacing w:before="40" w:after="40"/>
              <w:rPr>
                <w:szCs w:val="18"/>
              </w:rPr>
            </w:pPr>
            <w:r w:rsidRPr="00BD16B4">
              <w:rPr>
                <w:b/>
                <w:bCs/>
                <w:szCs w:val="18"/>
              </w:rPr>
              <w:t>2.</w:t>
            </w:r>
            <w:r w:rsidR="00280979" w:rsidRPr="00BD16B4">
              <w:rPr>
                <w:b/>
                <w:bCs/>
                <w:szCs w:val="18"/>
              </w:rPr>
              <w:t xml:space="preserve"> </w:t>
            </w:r>
            <w:r w:rsidRPr="00BD16B4">
              <w:rPr>
                <w:b/>
                <w:bCs/>
                <w:szCs w:val="18"/>
              </w:rPr>
              <w:t>Industrial processes</w:t>
            </w:r>
          </w:p>
        </w:tc>
        <w:tc>
          <w:tcPr>
            <w:tcW w:w="794" w:type="dxa"/>
            <w:tcBorders>
              <w:bottom w:val="single" w:sz="4" w:space="0" w:color="1B556B" w:themeColor="text2"/>
            </w:tcBorders>
            <w:shd w:val="clear" w:color="auto" w:fill="auto"/>
          </w:tcPr>
          <w:p w14:paraId="24BACC2A" w14:textId="77777777" w:rsidR="00ED2EBD" w:rsidRPr="00BD16B4" w:rsidRDefault="00ED2EBD" w:rsidP="004A205F">
            <w:pPr>
              <w:pStyle w:val="TableText"/>
              <w:spacing w:before="40" w:after="40"/>
              <w:jc w:val="right"/>
              <w:rPr>
                <w:szCs w:val="18"/>
              </w:rPr>
            </w:pPr>
            <w:r w:rsidRPr="00BD16B4">
              <w:rPr>
                <w:szCs w:val="18"/>
              </w:rPr>
              <w:t>4.74</w:t>
            </w:r>
          </w:p>
        </w:tc>
        <w:tc>
          <w:tcPr>
            <w:tcW w:w="794" w:type="dxa"/>
            <w:tcBorders>
              <w:bottom w:val="single" w:sz="4" w:space="0" w:color="1B556B" w:themeColor="text2"/>
            </w:tcBorders>
            <w:shd w:val="clear" w:color="auto" w:fill="auto"/>
          </w:tcPr>
          <w:p w14:paraId="2D373C6A" w14:textId="77777777" w:rsidR="00ED2EBD" w:rsidRPr="00BD16B4" w:rsidRDefault="00ED2EBD" w:rsidP="004A205F">
            <w:pPr>
              <w:pStyle w:val="TableText"/>
              <w:spacing w:before="40" w:after="40"/>
              <w:jc w:val="right"/>
              <w:rPr>
                <w:szCs w:val="18"/>
              </w:rPr>
            </w:pPr>
            <w:r w:rsidRPr="00BD16B4">
              <w:rPr>
                <w:szCs w:val="18"/>
              </w:rPr>
              <w:t>5.54</w:t>
            </w:r>
          </w:p>
        </w:tc>
        <w:tc>
          <w:tcPr>
            <w:tcW w:w="794" w:type="dxa"/>
            <w:tcBorders>
              <w:bottom w:val="single" w:sz="4" w:space="0" w:color="1B556B" w:themeColor="text2"/>
            </w:tcBorders>
            <w:shd w:val="clear" w:color="auto" w:fill="auto"/>
          </w:tcPr>
          <w:p w14:paraId="3B1585D6" w14:textId="77777777" w:rsidR="00ED2EBD" w:rsidRPr="00BD16B4" w:rsidRDefault="00ED2EBD" w:rsidP="004A205F">
            <w:pPr>
              <w:pStyle w:val="TableText"/>
              <w:spacing w:before="40" w:after="40"/>
              <w:jc w:val="right"/>
              <w:rPr>
                <w:szCs w:val="18"/>
              </w:rPr>
            </w:pPr>
            <w:r w:rsidRPr="00BD16B4">
              <w:rPr>
                <w:szCs w:val="18"/>
              </w:rPr>
              <w:t>4.90</w:t>
            </w:r>
          </w:p>
        </w:tc>
        <w:tc>
          <w:tcPr>
            <w:tcW w:w="794" w:type="dxa"/>
            <w:tcBorders>
              <w:bottom w:val="single" w:sz="4" w:space="0" w:color="1B556B" w:themeColor="text2"/>
            </w:tcBorders>
            <w:shd w:val="clear" w:color="auto" w:fill="auto"/>
          </w:tcPr>
          <w:p w14:paraId="43BC4456" w14:textId="77777777" w:rsidR="00ED2EBD" w:rsidRPr="00BD16B4" w:rsidRDefault="00ED2EBD" w:rsidP="004A205F">
            <w:pPr>
              <w:pStyle w:val="TableText"/>
              <w:spacing w:before="40" w:after="40"/>
              <w:jc w:val="right"/>
              <w:rPr>
                <w:szCs w:val="18"/>
              </w:rPr>
            </w:pPr>
            <w:r w:rsidRPr="00BD16B4">
              <w:rPr>
                <w:szCs w:val="18"/>
              </w:rPr>
              <w:t>5.25</w:t>
            </w:r>
          </w:p>
        </w:tc>
        <w:tc>
          <w:tcPr>
            <w:tcW w:w="794" w:type="dxa"/>
            <w:tcBorders>
              <w:bottom w:val="single" w:sz="4" w:space="0" w:color="1B556B" w:themeColor="text2"/>
            </w:tcBorders>
            <w:shd w:val="clear" w:color="auto" w:fill="auto"/>
          </w:tcPr>
          <w:p w14:paraId="28967474" w14:textId="77777777" w:rsidR="00ED2EBD" w:rsidRPr="00BD16B4" w:rsidRDefault="00ED2EBD" w:rsidP="004A205F">
            <w:pPr>
              <w:pStyle w:val="TableText"/>
              <w:spacing w:before="40" w:after="40"/>
              <w:jc w:val="right"/>
              <w:rPr>
                <w:szCs w:val="18"/>
              </w:rPr>
            </w:pPr>
            <w:r w:rsidRPr="00BD16B4">
              <w:rPr>
                <w:szCs w:val="18"/>
              </w:rPr>
              <w:t>2.23</w:t>
            </w:r>
          </w:p>
        </w:tc>
        <w:tc>
          <w:tcPr>
            <w:tcW w:w="794" w:type="dxa"/>
            <w:tcBorders>
              <w:bottom w:val="single" w:sz="4" w:space="0" w:color="1B556B" w:themeColor="text2"/>
            </w:tcBorders>
            <w:shd w:val="clear" w:color="auto" w:fill="auto"/>
          </w:tcPr>
          <w:p w14:paraId="2EFE5E7C" w14:textId="77777777" w:rsidR="00ED2EBD" w:rsidRPr="00BD16B4" w:rsidRDefault="00ED2EBD" w:rsidP="004A205F">
            <w:pPr>
              <w:pStyle w:val="TableText"/>
              <w:spacing w:before="40" w:after="40"/>
              <w:jc w:val="right"/>
              <w:rPr>
                <w:szCs w:val="18"/>
              </w:rPr>
            </w:pPr>
            <w:r w:rsidRPr="00BD16B4">
              <w:rPr>
                <w:szCs w:val="18"/>
              </w:rPr>
              <w:t>2.50</w:t>
            </w:r>
          </w:p>
        </w:tc>
        <w:tc>
          <w:tcPr>
            <w:tcW w:w="794" w:type="dxa"/>
            <w:tcBorders>
              <w:bottom w:val="single" w:sz="4" w:space="0" w:color="1B556B" w:themeColor="text2"/>
            </w:tcBorders>
            <w:shd w:val="clear" w:color="auto" w:fill="auto"/>
          </w:tcPr>
          <w:p w14:paraId="6F7B7470" w14:textId="77777777" w:rsidR="00ED2EBD" w:rsidRPr="00BD16B4" w:rsidRDefault="00ED2EBD" w:rsidP="004A205F">
            <w:pPr>
              <w:pStyle w:val="TableText"/>
              <w:spacing w:before="40" w:after="40"/>
              <w:jc w:val="right"/>
              <w:rPr>
                <w:szCs w:val="18"/>
              </w:rPr>
            </w:pPr>
            <w:r w:rsidRPr="00BD16B4">
              <w:rPr>
                <w:szCs w:val="18"/>
              </w:rPr>
              <w:t>0.79</w:t>
            </w:r>
          </w:p>
        </w:tc>
        <w:tc>
          <w:tcPr>
            <w:tcW w:w="794" w:type="dxa"/>
            <w:tcBorders>
              <w:bottom w:val="single" w:sz="4" w:space="0" w:color="1B556B" w:themeColor="text2"/>
            </w:tcBorders>
            <w:shd w:val="clear" w:color="auto" w:fill="auto"/>
          </w:tcPr>
          <w:p w14:paraId="6E2EF222" w14:textId="77777777" w:rsidR="00ED2EBD" w:rsidRPr="00BD16B4" w:rsidRDefault="00ED2EBD" w:rsidP="004A205F">
            <w:pPr>
              <w:pStyle w:val="TableText"/>
              <w:spacing w:before="40" w:after="40"/>
              <w:jc w:val="right"/>
              <w:rPr>
                <w:szCs w:val="18"/>
              </w:rPr>
            </w:pPr>
            <w:r w:rsidRPr="00BD16B4">
              <w:rPr>
                <w:szCs w:val="18"/>
              </w:rPr>
              <w:t>0.93</w:t>
            </w:r>
          </w:p>
        </w:tc>
        <w:tc>
          <w:tcPr>
            <w:tcW w:w="794" w:type="dxa"/>
            <w:tcBorders>
              <w:bottom w:val="single" w:sz="4" w:space="0" w:color="1B556B" w:themeColor="text2"/>
            </w:tcBorders>
            <w:shd w:val="clear" w:color="auto" w:fill="auto"/>
          </w:tcPr>
          <w:p w14:paraId="1A0BEF86" w14:textId="77777777" w:rsidR="00ED2EBD" w:rsidRPr="00BD16B4" w:rsidRDefault="00ED2EBD" w:rsidP="004A205F">
            <w:pPr>
              <w:pStyle w:val="TableText"/>
              <w:spacing w:before="40" w:after="40"/>
              <w:jc w:val="right"/>
              <w:rPr>
                <w:szCs w:val="18"/>
              </w:rPr>
            </w:pPr>
            <w:r w:rsidRPr="00BD16B4">
              <w:rPr>
                <w:szCs w:val="18"/>
              </w:rPr>
              <w:t>1.00</w:t>
            </w:r>
          </w:p>
        </w:tc>
        <w:tc>
          <w:tcPr>
            <w:tcW w:w="794" w:type="dxa"/>
            <w:tcBorders>
              <w:bottom w:val="single" w:sz="4" w:space="0" w:color="1B556B" w:themeColor="text2"/>
            </w:tcBorders>
            <w:shd w:val="clear" w:color="auto" w:fill="auto"/>
          </w:tcPr>
          <w:p w14:paraId="56F0B42E" w14:textId="77777777" w:rsidR="00ED2EBD" w:rsidRPr="00BD16B4" w:rsidRDefault="00ED2EBD" w:rsidP="004A205F">
            <w:pPr>
              <w:pStyle w:val="TableText"/>
              <w:spacing w:before="40" w:after="40"/>
              <w:jc w:val="right"/>
              <w:rPr>
                <w:szCs w:val="18"/>
              </w:rPr>
            </w:pPr>
            <w:r w:rsidRPr="00BD16B4">
              <w:rPr>
                <w:szCs w:val="18"/>
              </w:rPr>
              <w:t>1.31</w:t>
            </w:r>
          </w:p>
        </w:tc>
        <w:tc>
          <w:tcPr>
            <w:tcW w:w="794" w:type="dxa"/>
            <w:tcBorders>
              <w:bottom w:val="single" w:sz="4" w:space="0" w:color="1B556B" w:themeColor="text2"/>
            </w:tcBorders>
            <w:shd w:val="clear" w:color="auto" w:fill="auto"/>
          </w:tcPr>
          <w:p w14:paraId="6B3D3402" w14:textId="77777777" w:rsidR="00ED2EBD" w:rsidRPr="00BD16B4" w:rsidRDefault="00ED2EBD" w:rsidP="004A205F">
            <w:pPr>
              <w:pStyle w:val="TableText"/>
              <w:spacing w:before="40" w:after="40"/>
              <w:jc w:val="right"/>
              <w:rPr>
                <w:szCs w:val="18"/>
              </w:rPr>
            </w:pPr>
            <w:r w:rsidRPr="00BD16B4">
              <w:rPr>
                <w:szCs w:val="18"/>
              </w:rPr>
              <w:t>1.89</w:t>
            </w:r>
          </w:p>
        </w:tc>
      </w:tr>
      <w:tr w:rsidR="0092050F" w:rsidRPr="00BD16B4" w14:paraId="7E06D797" w14:textId="77777777" w:rsidTr="00F70C72">
        <w:tc>
          <w:tcPr>
            <w:tcW w:w="3539" w:type="dxa"/>
          </w:tcPr>
          <w:p w14:paraId="11A0272F" w14:textId="4C3C9AC6"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Mineral industry</w:t>
            </w:r>
          </w:p>
        </w:tc>
        <w:tc>
          <w:tcPr>
            <w:tcW w:w="794" w:type="dxa"/>
            <w:tcBorders>
              <w:top w:val="single" w:sz="4" w:space="0" w:color="1B556B" w:themeColor="text2"/>
            </w:tcBorders>
            <w:shd w:val="clear" w:color="auto" w:fill="D2DDE1" w:themeFill="background2"/>
          </w:tcPr>
          <w:p w14:paraId="480BEF7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0CEEADA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3B89B2F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2CA2B36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78C82BF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324B5E2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067B34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755615C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028DF20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A8A805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4E6B1B65" w14:textId="77777777" w:rsidR="00ED2EBD" w:rsidRPr="00BD16B4" w:rsidRDefault="00ED2EBD" w:rsidP="004A205F">
            <w:pPr>
              <w:pStyle w:val="TableText"/>
              <w:spacing w:before="40" w:after="40"/>
              <w:jc w:val="right"/>
              <w:rPr>
                <w:szCs w:val="18"/>
              </w:rPr>
            </w:pPr>
            <w:r w:rsidRPr="00BD16B4">
              <w:rPr>
                <w:color w:val="000000"/>
                <w:szCs w:val="18"/>
              </w:rPr>
              <w:t> </w:t>
            </w:r>
          </w:p>
        </w:tc>
      </w:tr>
      <w:tr w:rsidR="00921D3E" w:rsidRPr="00BD16B4" w14:paraId="4E12A56C" w14:textId="77777777" w:rsidTr="00F70C72">
        <w:tc>
          <w:tcPr>
            <w:tcW w:w="3539" w:type="dxa"/>
          </w:tcPr>
          <w:p w14:paraId="6789BD41" w14:textId="4AEBF7DB"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Chemical industry</w:t>
            </w:r>
          </w:p>
        </w:tc>
        <w:tc>
          <w:tcPr>
            <w:tcW w:w="794" w:type="dxa"/>
            <w:shd w:val="clear" w:color="auto" w:fill="auto"/>
          </w:tcPr>
          <w:p w14:paraId="2A2E5B21" w14:textId="77777777" w:rsidR="00ED2EBD" w:rsidRPr="00BD16B4" w:rsidRDefault="00ED2EBD" w:rsidP="004A205F">
            <w:pPr>
              <w:pStyle w:val="TableText"/>
              <w:spacing w:before="40" w:after="40"/>
              <w:jc w:val="right"/>
              <w:rPr>
                <w:szCs w:val="18"/>
              </w:rPr>
            </w:pPr>
            <w:r w:rsidRPr="00BD16B4">
              <w:rPr>
                <w:szCs w:val="18"/>
              </w:rPr>
              <w:t>4.74</w:t>
            </w:r>
          </w:p>
        </w:tc>
        <w:tc>
          <w:tcPr>
            <w:tcW w:w="794" w:type="dxa"/>
            <w:shd w:val="clear" w:color="auto" w:fill="auto"/>
          </w:tcPr>
          <w:p w14:paraId="4F6AC5C6" w14:textId="77777777" w:rsidR="00ED2EBD" w:rsidRPr="00BD16B4" w:rsidRDefault="00ED2EBD" w:rsidP="004A205F">
            <w:pPr>
              <w:pStyle w:val="TableText"/>
              <w:spacing w:before="40" w:after="40"/>
              <w:jc w:val="right"/>
              <w:rPr>
                <w:szCs w:val="18"/>
              </w:rPr>
            </w:pPr>
            <w:r w:rsidRPr="00BD16B4">
              <w:rPr>
                <w:szCs w:val="18"/>
              </w:rPr>
              <w:t>5.54</w:t>
            </w:r>
          </w:p>
        </w:tc>
        <w:tc>
          <w:tcPr>
            <w:tcW w:w="794" w:type="dxa"/>
            <w:shd w:val="clear" w:color="auto" w:fill="auto"/>
          </w:tcPr>
          <w:p w14:paraId="4E320D07" w14:textId="77777777" w:rsidR="00ED2EBD" w:rsidRPr="00BD16B4" w:rsidRDefault="00ED2EBD" w:rsidP="004A205F">
            <w:pPr>
              <w:pStyle w:val="TableText"/>
              <w:spacing w:before="40" w:after="40"/>
              <w:jc w:val="right"/>
              <w:rPr>
                <w:szCs w:val="18"/>
              </w:rPr>
            </w:pPr>
            <w:r w:rsidRPr="00BD16B4">
              <w:rPr>
                <w:szCs w:val="18"/>
              </w:rPr>
              <w:t>4.90</w:t>
            </w:r>
          </w:p>
        </w:tc>
        <w:tc>
          <w:tcPr>
            <w:tcW w:w="794" w:type="dxa"/>
            <w:shd w:val="clear" w:color="auto" w:fill="auto"/>
          </w:tcPr>
          <w:p w14:paraId="712AA60C" w14:textId="77777777" w:rsidR="00ED2EBD" w:rsidRPr="00BD16B4" w:rsidRDefault="00ED2EBD" w:rsidP="004A205F">
            <w:pPr>
              <w:pStyle w:val="TableText"/>
              <w:spacing w:before="40" w:after="40"/>
              <w:jc w:val="right"/>
              <w:rPr>
                <w:szCs w:val="18"/>
              </w:rPr>
            </w:pPr>
            <w:r w:rsidRPr="00BD16B4">
              <w:rPr>
                <w:szCs w:val="18"/>
              </w:rPr>
              <w:t>5.25</w:t>
            </w:r>
          </w:p>
        </w:tc>
        <w:tc>
          <w:tcPr>
            <w:tcW w:w="794" w:type="dxa"/>
            <w:shd w:val="clear" w:color="auto" w:fill="auto"/>
          </w:tcPr>
          <w:p w14:paraId="0C3118C4" w14:textId="77777777" w:rsidR="00ED2EBD" w:rsidRPr="00BD16B4" w:rsidRDefault="00ED2EBD" w:rsidP="004A205F">
            <w:pPr>
              <w:pStyle w:val="TableText"/>
              <w:spacing w:before="40" w:after="40"/>
              <w:jc w:val="right"/>
              <w:rPr>
                <w:szCs w:val="18"/>
              </w:rPr>
            </w:pPr>
            <w:r w:rsidRPr="00BD16B4">
              <w:rPr>
                <w:szCs w:val="18"/>
              </w:rPr>
              <w:t>2.23</w:t>
            </w:r>
          </w:p>
        </w:tc>
        <w:tc>
          <w:tcPr>
            <w:tcW w:w="794" w:type="dxa"/>
            <w:shd w:val="clear" w:color="auto" w:fill="auto"/>
          </w:tcPr>
          <w:p w14:paraId="528FDB2A" w14:textId="77777777" w:rsidR="00ED2EBD" w:rsidRPr="00BD16B4" w:rsidRDefault="00ED2EBD" w:rsidP="004A205F">
            <w:pPr>
              <w:pStyle w:val="TableText"/>
              <w:spacing w:before="40" w:after="40"/>
              <w:jc w:val="right"/>
              <w:rPr>
                <w:szCs w:val="18"/>
              </w:rPr>
            </w:pPr>
            <w:r w:rsidRPr="00BD16B4">
              <w:rPr>
                <w:szCs w:val="18"/>
              </w:rPr>
              <w:t>2.50</w:t>
            </w:r>
          </w:p>
        </w:tc>
        <w:tc>
          <w:tcPr>
            <w:tcW w:w="794" w:type="dxa"/>
            <w:shd w:val="clear" w:color="auto" w:fill="auto"/>
          </w:tcPr>
          <w:p w14:paraId="73D7AA6E" w14:textId="77777777" w:rsidR="00ED2EBD" w:rsidRPr="00BD16B4" w:rsidRDefault="00ED2EBD" w:rsidP="004A205F">
            <w:pPr>
              <w:pStyle w:val="TableText"/>
              <w:spacing w:before="40" w:after="40"/>
              <w:jc w:val="right"/>
              <w:rPr>
                <w:szCs w:val="18"/>
              </w:rPr>
            </w:pPr>
            <w:r w:rsidRPr="00BD16B4">
              <w:rPr>
                <w:szCs w:val="18"/>
              </w:rPr>
              <w:t>0.79</w:t>
            </w:r>
          </w:p>
        </w:tc>
        <w:tc>
          <w:tcPr>
            <w:tcW w:w="794" w:type="dxa"/>
            <w:shd w:val="clear" w:color="auto" w:fill="auto"/>
          </w:tcPr>
          <w:p w14:paraId="33B22570" w14:textId="77777777" w:rsidR="00ED2EBD" w:rsidRPr="00BD16B4" w:rsidRDefault="00ED2EBD" w:rsidP="004A205F">
            <w:pPr>
              <w:pStyle w:val="TableText"/>
              <w:spacing w:before="40" w:after="40"/>
              <w:jc w:val="right"/>
              <w:rPr>
                <w:szCs w:val="18"/>
              </w:rPr>
            </w:pPr>
            <w:r w:rsidRPr="00BD16B4">
              <w:rPr>
                <w:szCs w:val="18"/>
              </w:rPr>
              <w:t>0.93</w:t>
            </w:r>
          </w:p>
        </w:tc>
        <w:tc>
          <w:tcPr>
            <w:tcW w:w="794" w:type="dxa"/>
            <w:shd w:val="clear" w:color="auto" w:fill="auto"/>
          </w:tcPr>
          <w:p w14:paraId="54530DAE" w14:textId="77777777" w:rsidR="00ED2EBD" w:rsidRPr="00BD16B4" w:rsidRDefault="00ED2EBD" w:rsidP="004A205F">
            <w:pPr>
              <w:pStyle w:val="TableText"/>
              <w:spacing w:before="40" w:after="40"/>
              <w:jc w:val="right"/>
              <w:rPr>
                <w:szCs w:val="18"/>
              </w:rPr>
            </w:pPr>
            <w:r w:rsidRPr="00BD16B4">
              <w:rPr>
                <w:szCs w:val="18"/>
              </w:rPr>
              <w:t>1.00</w:t>
            </w:r>
          </w:p>
        </w:tc>
        <w:tc>
          <w:tcPr>
            <w:tcW w:w="794" w:type="dxa"/>
            <w:shd w:val="clear" w:color="auto" w:fill="auto"/>
          </w:tcPr>
          <w:p w14:paraId="1140BDCE" w14:textId="77777777" w:rsidR="00ED2EBD" w:rsidRPr="00BD16B4" w:rsidRDefault="00ED2EBD" w:rsidP="004A205F">
            <w:pPr>
              <w:pStyle w:val="TableText"/>
              <w:spacing w:before="40" w:after="40"/>
              <w:jc w:val="right"/>
              <w:rPr>
                <w:szCs w:val="18"/>
              </w:rPr>
            </w:pPr>
            <w:r w:rsidRPr="00BD16B4">
              <w:rPr>
                <w:szCs w:val="18"/>
              </w:rPr>
              <w:t>1.31</w:t>
            </w:r>
          </w:p>
        </w:tc>
        <w:tc>
          <w:tcPr>
            <w:tcW w:w="794" w:type="dxa"/>
            <w:shd w:val="clear" w:color="auto" w:fill="auto"/>
          </w:tcPr>
          <w:p w14:paraId="7BBE4965" w14:textId="77777777" w:rsidR="00ED2EBD" w:rsidRPr="00BD16B4" w:rsidRDefault="00ED2EBD" w:rsidP="004A205F">
            <w:pPr>
              <w:pStyle w:val="TableText"/>
              <w:spacing w:before="40" w:after="40"/>
              <w:jc w:val="right"/>
              <w:rPr>
                <w:szCs w:val="18"/>
              </w:rPr>
            </w:pPr>
            <w:r w:rsidRPr="00BD16B4">
              <w:rPr>
                <w:szCs w:val="18"/>
              </w:rPr>
              <w:t>1.89</w:t>
            </w:r>
          </w:p>
        </w:tc>
      </w:tr>
      <w:tr w:rsidR="00921D3E" w:rsidRPr="00BD16B4" w14:paraId="43779F96" w14:textId="77777777" w:rsidTr="00F70C72">
        <w:tc>
          <w:tcPr>
            <w:tcW w:w="3539" w:type="dxa"/>
          </w:tcPr>
          <w:p w14:paraId="3C60F248" w14:textId="142263D1"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Metal industry</w:t>
            </w:r>
          </w:p>
        </w:tc>
        <w:tc>
          <w:tcPr>
            <w:tcW w:w="794" w:type="dxa"/>
            <w:shd w:val="clear" w:color="auto" w:fill="auto"/>
          </w:tcPr>
          <w:p w14:paraId="6E3B8A06"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7D2AE829"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721960F5"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52A97EC7"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4B718829"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5D816E00"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4965DF6D"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643921E0"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7ED580F0"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5FC06CF9"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74217AF9" w14:textId="77777777" w:rsidR="00ED2EBD" w:rsidRPr="00BD16B4" w:rsidRDefault="00ED2EBD" w:rsidP="004A205F">
            <w:pPr>
              <w:pStyle w:val="TableText"/>
              <w:spacing w:before="40" w:after="40"/>
              <w:jc w:val="right"/>
              <w:rPr>
                <w:szCs w:val="18"/>
              </w:rPr>
            </w:pPr>
            <w:r w:rsidRPr="00BD16B4">
              <w:rPr>
                <w:szCs w:val="18"/>
              </w:rPr>
              <w:t>NO, NA</w:t>
            </w:r>
          </w:p>
        </w:tc>
      </w:tr>
      <w:tr w:rsidR="00F70C72" w:rsidRPr="00BD16B4" w14:paraId="4995B4A7" w14:textId="77777777" w:rsidTr="00F70C72">
        <w:tc>
          <w:tcPr>
            <w:tcW w:w="3539" w:type="dxa"/>
          </w:tcPr>
          <w:p w14:paraId="5F322484" w14:textId="1164D34D" w:rsidR="00ED2EBD" w:rsidRPr="00BD16B4" w:rsidRDefault="00ED2EBD" w:rsidP="004A205F">
            <w:pPr>
              <w:pStyle w:val="TableText"/>
              <w:spacing w:before="40" w:after="40"/>
              <w:rPr>
                <w:szCs w:val="18"/>
              </w:rPr>
            </w:pPr>
            <w:r w:rsidRPr="00BD16B4">
              <w:rPr>
                <w:szCs w:val="18"/>
              </w:rPr>
              <w:t>D.</w:t>
            </w:r>
            <w:r w:rsidR="00280979" w:rsidRPr="00BD16B4">
              <w:rPr>
                <w:szCs w:val="18"/>
              </w:rPr>
              <w:t xml:space="preserve"> </w:t>
            </w:r>
            <w:r w:rsidRPr="00BD16B4">
              <w:rPr>
                <w:szCs w:val="18"/>
              </w:rPr>
              <w:t>Non-energy products from fuels and solvent use</w:t>
            </w:r>
          </w:p>
        </w:tc>
        <w:tc>
          <w:tcPr>
            <w:tcW w:w="794" w:type="dxa"/>
            <w:tcBorders>
              <w:bottom w:val="single" w:sz="4" w:space="0" w:color="1B556B" w:themeColor="text2"/>
            </w:tcBorders>
            <w:shd w:val="clear" w:color="auto" w:fill="auto"/>
          </w:tcPr>
          <w:p w14:paraId="21AFD2CB"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71366C5E"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4FE83BF2"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1B509F0A"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7EF1FA3A"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24197ABC"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008634EC"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37A9052C"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6A382EBE"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08661874"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4FC4BD0E" w14:textId="77777777" w:rsidR="00ED2EBD" w:rsidRPr="00BD16B4" w:rsidRDefault="00ED2EBD" w:rsidP="004A205F">
            <w:pPr>
              <w:pStyle w:val="TableText"/>
              <w:spacing w:before="40" w:after="40"/>
              <w:jc w:val="right"/>
              <w:rPr>
                <w:szCs w:val="18"/>
              </w:rPr>
            </w:pPr>
            <w:r w:rsidRPr="00BD16B4">
              <w:rPr>
                <w:szCs w:val="18"/>
              </w:rPr>
              <w:t>NA</w:t>
            </w:r>
          </w:p>
        </w:tc>
      </w:tr>
      <w:tr w:rsidR="0092050F" w:rsidRPr="00BD16B4" w14:paraId="44393808" w14:textId="77777777" w:rsidTr="00F70C72">
        <w:tc>
          <w:tcPr>
            <w:tcW w:w="3539" w:type="dxa"/>
          </w:tcPr>
          <w:p w14:paraId="0F403A18" w14:textId="11BF97E2" w:rsidR="00ED2EBD" w:rsidRPr="00BD16B4" w:rsidRDefault="00ED2EBD" w:rsidP="004A205F">
            <w:pPr>
              <w:pStyle w:val="TableText"/>
              <w:spacing w:before="40" w:after="40"/>
              <w:rPr>
                <w:szCs w:val="18"/>
              </w:rPr>
            </w:pPr>
            <w:r w:rsidRPr="00BD16B4">
              <w:rPr>
                <w:szCs w:val="18"/>
              </w:rPr>
              <w:lastRenderedPageBreak/>
              <w:t>E.</w:t>
            </w:r>
            <w:r w:rsidR="00280979" w:rsidRPr="00BD16B4">
              <w:rPr>
                <w:szCs w:val="18"/>
              </w:rPr>
              <w:t xml:space="preserve"> </w:t>
            </w:r>
            <w:r w:rsidRPr="00BD16B4">
              <w:rPr>
                <w:szCs w:val="18"/>
              </w:rPr>
              <w:t>Electronic industry</w:t>
            </w:r>
          </w:p>
        </w:tc>
        <w:tc>
          <w:tcPr>
            <w:tcW w:w="794" w:type="dxa"/>
            <w:tcBorders>
              <w:top w:val="single" w:sz="4" w:space="0" w:color="1B556B" w:themeColor="text2"/>
            </w:tcBorders>
            <w:shd w:val="clear" w:color="auto" w:fill="D2DDE1" w:themeFill="background2"/>
          </w:tcPr>
          <w:p w14:paraId="2E0172E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08A0D22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CAA95F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57479A8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7100855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3C09037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40D705E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40A840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7277C5D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77EE16B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03EA07C8" w14:textId="77777777" w:rsidR="00ED2EBD" w:rsidRPr="00BD16B4" w:rsidRDefault="00ED2EBD" w:rsidP="004A205F">
            <w:pPr>
              <w:pStyle w:val="TableText"/>
              <w:spacing w:before="40" w:after="40"/>
              <w:jc w:val="right"/>
              <w:rPr>
                <w:szCs w:val="18"/>
              </w:rPr>
            </w:pPr>
            <w:r w:rsidRPr="00BD16B4">
              <w:rPr>
                <w:color w:val="000000"/>
                <w:szCs w:val="18"/>
              </w:rPr>
              <w:t> </w:t>
            </w:r>
          </w:p>
        </w:tc>
      </w:tr>
      <w:tr w:rsidR="0092050F" w:rsidRPr="00BD16B4" w14:paraId="1AC64DDE" w14:textId="77777777" w:rsidTr="00F70C72">
        <w:tc>
          <w:tcPr>
            <w:tcW w:w="3539" w:type="dxa"/>
          </w:tcPr>
          <w:p w14:paraId="62276378" w14:textId="6FB5B8D9" w:rsidR="00ED2EBD" w:rsidRPr="00BD16B4" w:rsidRDefault="00ED2EBD" w:rsidP="004A205F">
            <w:pPr>
              <w:pStyle w:val="TableText"/>
              <w:spacing w:before="40" w:after="40"/>
              <w:rPr>
                <w:szCs w:val="18"/>
              </w:rPr>
            </w:pPr>
            <w:r w:rsidRPr="00BD16B4">
              <w:rPr>
                <w:szCs w:val="18"/>
              </w:rPr>
              <w:t>F.</w:t>
            </w:r>
            <w:r w:rsidR="00280979" w:rsidRPr="00BD16B4">
              <w:rPr>
                <w:szCs w:val="18"/>
              </w:rPr>
              <w:t xml:space="preserve"> </w:t>
            </w:r>
            <w:r w:rsidRPr="00BD16B4">
              <w:rPr>
                <w:szCs w:val="18"/>
              </w:rPr>
              <w:t>Product uses as ODS substitutes</w:t>
            </w:r>
          </w:p>
        </w:tc>
        <w:tc>
          <w:tcPr>
            <w:tcW w:w="794" w:type="dxa"/>
            <w:tcBorders>
              <w:top w:val="single" w:sz="4" w:space="0" w:color="1B556B" w:themeColor="text2"/>
            </w:tcBorders>
            <w:shd w:val="clear" w:color="auto" w:fill="D2DDE1" w:themeFill="background2"/>
          </w:tcPr>
          <w:p w14:paraId="1C1FE74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0EF7A1B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4D0317E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0AB81A5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53D80C6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22614C4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09B7E66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6F0E05F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080859D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436C012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2174D96F" w14:textId="77777777" w:rsidR="00ED2EBD" w:rsidRPr="00BD16B4" w:rsidRDefault="00ED2EBD" w:rsidP="004A205F">
            <w:pPr>
              <w:pStyle w:val="TableText"/>
              <w:spacing w:before="40" w:after="40"/>
              <w:jc w:val="right"/>
              <w:rPr>
                <w:szCs w:val="18"/>
              </w:rPr>
            </w:pPr>
            <w:r w:rsidRPr="00BD16B4">
              <w:rPr>
                <w:color w:val="000000"/>
                <w:szCs w:val="18"/>
              </w:rPr>
              <w:t> </w:t>
            </w:r>
          </w:p>
        </w:tc>
      </w:tr>
      <w:tr w:rsidR="00F70C72" w:rsidRPr="00BD16B4" w14:paraId="55527749" w14:textId="77777777" w:rsidTr="00F70C72">
        <w:tc>
          <w:tcPr>
            <w:tcW w:w="3539" w:type="dxa"/>
          </w:tcPr>
          <w:p w14:paraId="44A60F9F" w14:textId="61F4FE5C" w:rsidR="00ED2EBD" w:rsidRPr="00BD16B4" w:rsidRDefault="00ED2EBD" w:rsidP="004A205F">
            <w:pPr>
              <w:pStyle w:val="TableText"/>
              <w:spacing w:before="40" w:after="40"/>
              <w:rPr>
                <w:szCs w:val="18"/>
              </w:rPr>
            </w:pPr>
            <w:r w:rsidRPr="00BD16B4">
              <w:rPr>
                <w:szCs w:val="18"/>
              </w:rPr>
              <w:t>G.</w:t>
            </w:r>
            <w:r w:rsidR="00280979" w:rsidRPr="00BD16B4">
              <w:rPr>
                <w:szCs w:val="18"/>
              </w:rPr>
              <w:t xml:space="preserve"> </w:t>
            </w:r>
            <w:r w:rsidRPr="00BD16B4">
              <w:rPr>
                <w:szCs w:val="18"/>
              </w:rPr>
              <w:t xml:space="preserve">Other product manufacture and use </w:t>
            </w:r>
          </w:p>
        </w:tc>
        <w:tc>
          <w:tcPr>
            <w:tcW w:w="794" w:type="dxa"/>
            <w:tcBorders>
              <w:bottom w:val="single" w:sz="4" w:space="0" w:color="1B556B" w:themeColor="text2"/>
            </w:tcBorders>
            <w:shd w:val="clear" w:color="auto" w:fill="auto"/>
          </w:tcPr>
          <w:p w14:paraId="31B215AA"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17F5D880"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4D7F73C0"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2D887101"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66640E8D"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278F133D"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36E1C0BC"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0DABC145"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112226CC"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66371276" w14:textId="77777777" w:rsidR="00ED2EBD" w:rsidRPr="00BD16B4" w:rsidRDefault="00ED2EBD" w:rsidP="004A205F">
            <w:pPr>
              <w:pStyle w:val="TableText"/>
              <w:spacing w:before="40" w:after="40"/>
              <w:jc w:val="right"/>
              <w:rPr>
                <w:szCs w:val="18"/>
              </w:rPr>
            </w:pPr>
            <w:r w:rsidRPr="00BD16B4">
              <w:rPr>
                <w:szCs w:val="18"/>
              </w:rPr>
              <w:t>NA</w:t>
            </w:r>
          </w:p>
        </w:tc>
        <w:tc>
          <w:tcPr>
            <w:tcW w:w="794" w:type="dxa"/>
            <w:tcBorders>
              <w:bottom w:val="single" w:sz="4" w:space="0" w:color="1B556B" w:themeColor="text2"/>
            </w:tcBorders>
            <w:shd w:val="clear" w:color="auto" w:fill="auto"/>
          </w:tcPr>
          <w:p w14:paraId="69CC151A" w14:textId="77777777" w:rsidR="00ED2EBD" w:rsidRPr="00BD16B4" w:rsidRDefault="00ED2EBD" w:rsidP="004A205F">
            <w:pPr>
              <w:pStyle w:val="TableText"/>
              <w:spacing w:before="40" w:after="40"/>
              <w:jc w:val="right"/>
              <w:rPr>
                <w:szCs w:val="18"/>
              </w:rPr>
            </w:pPr>
            <w:r w:rsidRPr="00BD16B4">
              <w:rPr>
                <w:szCs w:val="18"/>
              </w:rPr>
              <w:t>NA</w:t>
            </w:r>
          </w:p>
        </w:tc>
      </w:tr>
      <w:tr w:rsidR="0092050F" w:rsidRPr="00BD16B4" w14:paraId="6AE5762F" w14:textId="77777777" w:rsidTr="00F70C72">
        <w:tc>
          <w:tcPr>
            <w:tcW w:w="3539" w:type="dxa"/>
          </w:tcPr>
          <w:p w14:paraId="57B71A7D" w14:textId="373B6E72" w:rsidR="00ED2EBD" w:rsidRPr="00BD16B4" w:rsidRDefault="00ED2EBD" w:rsidP="004A205F">
            <w:pPr>
              <w:pStyle w:val="TableText"/>
              <w:spacing w:before="40" w:after="40"/>
              <w:rPr>
                <w:szCs w:val="18"/>
              </w:rPr>
            </w:pPr>
            <w:r w:rsidRPr="00BD16B4">
              <w:rPr>
                <w:szCs w:val="18"/>
              </w:rPr>
              <w:t>H.</w:t>
            </w:r>
            <w:r w:rsidR="00280979" w:rsidRPr="00BD16B4">
              <w:rPr>
                <w:szCs w:val="18"/>
              </w:rPr>
              <w:t xml:space="preserve"> </w:t>
            </w:r>
            <w:r w:rsidRPr="00BD16B4">
              <w:rPr>
                <w:szCs w:val="18"/>
              </w:rPr>
              <w:t xml:space="preserve">Other </w:t>
            </w:r>
          </w:p>
        </w:tc>
        <w:tc>
          <w:tcPr>
            <w:tcW w:w="794" w:type="dxa"/>
            <w:tcBorders>
              <w:top w:val="single" w:sz="4" w:space="0" w:color="1B556B" w:themeColor="text2"/>
            </w:tcBorders>
            <w:shd w:val="clear" w:color="auto" w:fill="D2DDE1" w:themeFill="background2"/>
          </w:tcPr>
          <w:p w14:paraId="268007A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8B1534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65D48F9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2694F0D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3AE92EC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EB4F9C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FDF7E4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5BFBE64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69BDD0A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31FADD4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0008C11F" w14:textId="77777777" w:rsidR="00ED2EBD" w:rsidRPr="00BD16B4" w:rsidRDefault="00ED2EBD" w:rsidP="004A205F">
            <w:pPr>
              <w:pStyle w:val="TableText"/>
              <w:spacing w:before="40" w:after="40"/>
              <w:jc w:val="right"/>
              <w:rPr>
                <w:szCs w:val="18"/>
              </w:rPr>
            </w:pPr>
            <w:r w:rsidRPr="00BD16B4">
              <w:rPr>
                <w:color w:val="000000"/>
                <w:szCs w:val="18"/>
              </w:rPr>
              <w:t> </w:t>
            </w:r>
          </w:p>
        </w:tc>
      </w:tr>
      <w:tr w:rsidR="00921D3E" w:rsidRPr="00BD16B4" w14:paraId="205EF341" w14:textId="77777777" w:rsidTr="00F70C72">
        <w:tc>
          <w:tcPr>
            <w:tcW w:w="3539" w:type="dxa"/>
          </w:tcPr>
          <w:p w14:paraId="7FF3E48E" w14:textId="363BA131" w:rsidR="00ED2EBD" w:rsidRPr="00BD16B4" w:rsidRDefault="00ED2EBD" w:rsidP="004A205F">
            <w:pPr>
              <w:pStyle w:val="TableText"/>
              <w:spacing w:before="40" w:after="40"/>
              <w:rPr>
                <w:szCs w:val="18"/>
              </w:rPr>
            </w:pPr>
            <w:r w:rsidRPr="00BD16B4">
              <w:rPr>
                <w:b/>
                <w:bCs/>
                <w:szCs w:val="18"/>
              </w:rPr>
              <w:t>3.</w:t>
            </w:r>
            <w:r w:rsidR="00280979" w:rsidRPr="00BD16B4">
              <w:rPr>
                <w:b/>
                <w:bCs/>
                <w:szCs w:val="18"/>
              </w:rPr>
              <w:t xml:space="preserve"> </w:t>
            </w:r>
            <w:r w:rsidRPr="00BD16B4">
              <w:rPr>
                <w:b/>
                <w:bCs/>
                <w:szCs w:val="18"/>
              </w:rPr>
              <w:t>Agriculture</w:t>
            </w:r>
          </w:p>
        </w:tc>
        <w:tc>
          <w:tcPr>
            <w:tcW w:w="794" w:type="dxa"/>
            <w:shd w:val="clear" w:color="auto" w:fill="auto"/>
          </w:tcPr>
          <w:p w14:paraId="4A941066" w14:textId="77777777" w:rsidR="00ED2EBD" w:rsidRPr="00BD16B4" w:rsidRDefault="00ED2EBD" w:rsidP="004A205F">
            <w:pPr>
              <w:pStyle w:val="TableText"/>
              <w:spacing w:before="40" w:after="40"/>
              <w:jc w:val="right"/>
              <w:rPr>
                <w:szCs w:val="18"/>
              </w:rPr>
            </w:pPr>
            <w:r w:rsidRPr="00BD16B4">
              <w:rPr>
                <w:szCs w:val="18"/>
              </w:rPr>
              <w:t>1,180.30</w:t>
            </w:r>
          </w:p>
        </w:tc>
        <w:tc>
          <w:tcPr>
            <w:tcW w:w="794" w:type="dxa"/>
            <w:shd w:val="clear" w:color="auto" w:fill="auto"/>
          </w:tcPr>
          <w:p w14:paraId="2D45F9CA" w14:textId="77777777" w:rsidR="00ED2EBD" w:rsidRPr="00BD16B4" w:rsidRDefault="00ED2EBD" w:rsidP="004A205F">
            <w:pPr>
              <w:pStyle w:val="TableText"/>
              <w:spacing w:before="40" w:after="40"/>
              <w:jc w:val="right"/>
              <w:rPr>
                <w:szCs w:val="18"/>
              </w:rPr>
            </w:pPr>
            <w:r w:rsidRPr="00BD16B4">
              <w:rPr>
                <w:szCs w:val="18"/>
              </w:rPr>
              <w:t>1,212.76</w:t>
            </w:r>
          </w:p>
        </w:tc>
        <w:tc>
          <w:tcPr>
            <w:tcW w:w="794" w:type="dxa"/>
            <w:shd w:val="clear" w:color="auto" w:fill="auto"/>
          </w:tcPr>
          <w:p w14:paraId="708C80F6" w14:textId="77777777" w:rsidR="00ED2EBD" w:rsidRPr="00BD16B4" w:rsidRDefault="00ED2EBD" w:rsidP="004A205F">
            <w:pPr>
              <w:pStyle w:val="TableText"/>
              <w:spacing w:before="40" w:after="40"/>
              <w:jc w:val="right"/>
              <w:rPr>
                <w:szCs w:val="18"/>
              </w:rPr>
            </w:pPr>
            <w:r w:rsidRPr="00BD16B4">
              <w:rPr>
                <w:szCs w:val="18"/>
              </w:rPr>
              <w:t>1,226.91</w:t>
            </w:r>
          </w:p>
        </w:tc>
        <w:tc>
          <w:tcPr>
            <w:tcW w:w="794" w:type="dxa"/>
            <w:shd w:val="clear" w:color="auto" w:fill="auto"/>
          </w:tcPr>
          <w:p w14:paraId="593C619D" w14:textId="77777777" w:rsidR="00ED2EBD" w:rsidRPr="00BD16B4" w:rsidRDefault="00ED2EBD" w:rsidP="004A205F">
            <w:pPr>
              <w:pStyle w:val="TableText"/>
              <w:spacing w:before="40" w:after="40"/>
              <w:jc w:val="right"/>
              <w:rPr>
                <w:szCs w:val="18"/>
              </w:rPr>
            </w:pPr>
            <w:r w:rsidRPr="00BD16B4">
              <w:rPr>
                <w:szCs w:val="18"/>
              </w:rPr>
              <w:t>1,218.02</w:t>
            </w:r>
          </w:p>
        </w:tc>
        <w:tc>
          <w:tcPr>
            <w:tcW w:w="794" w:type="dxa"/>
            <w:shd w:val="clear" w:color="auto" w:fill="auto"/>
          </w:tcPr>
          <w:p w14:paraId="7C79B4CD" w14:textId="77777777" w:rsidR="00ED2EBD" w:rsidRPr="00BD16B4" w:rsidRDefault="00ED2EBD" w:rsidP="004A205F">
            <w:pPr>
              <w:pStyle w:val="TableText"/>
              <w:spacing w:before="40" w:after="40"/>
              <w:jc w:val="right"/>
              <w:rPr>
                <w:szCs w:val="18"/>
              </w:rPr>
            </w:pPr>
            <w:r w:rsidRPr="00BD16B4">
              <w:rPr>
                <w:szCs w:val="18"/>
              </w:rPr>
              <w:t>1,234.38</w:t>
            </w:r>
          </w:p>
        </w:tc>
        <w:tc>
          <w:tcPr>
            <w:tcW w:w="794" w:type="dxa"/>
            <w:shd w:val="clear" w:color="auto" w:fill="auto"/>
          </w:tcPr>
          <w:p w14:paraId="641A0479" w14:textId="77777777" w:rsidR="00ED2EBD" w:rsidRPr="00BD16B4" w:rsidRDefault="00ED2EBD" w:rsidP="004A205F">
            <w:pPr>
              <w:pStyle w:val="TableText"/>
              <w:spacing w:before="40" w:after="40"/>
              <w:jc w:val="right"/>
              <w:rPr>
                <w:szCs w:val="18"/>
              </w:rPr>
            </w:pPr>
            <w:r w:rsidRPr="00BD16B4">
              <w:rPr>
                <w:szCs w:val="18"/>
              </w:rPr>
              <w:t>1,235.03</w:t>
            </w:r>
          </w:p>
        </w:tc>
        <w:tc>
          <w:tcPr>
            <w:tcW w:w="794" w:type="dxa"/>
            <w:shd w:val="clear" w:color="auto" w:fill="auto"/>
          </w:tcPr>
          <w:p w14:paraId="552A744A" w14:textId="77777777" w:rsidR="00ED2EBD" w:rsidRPr="00BD16B4" w:rsidRDefault="00ED2EBD" w:rsidP="004A205F">
            <w:pPr>
              <w:pStyle w:val="TableText"/>
              <w:spacing w:before="40" w:after="40"/>
              <w:jc w:val="right"/>
              <w:rPr>
                <w:szCs w:val="18"/>
              </w:rPr>
            </w:pPr>
            <w:r w:rsidRPr="00BD16B4">
              <w:rPr>
                <w:szCs w:val="18"/>
              </w:rPr>
              <w:t>1,244.05</w:t>
            </w:r>
          </w:p>
        </w:tc>
        <w:tc>
          <w:tcPr>
            <w:tcW w:w="794" w:type="dxa"/>
            <w:shd w:val="clear" w:color="auto" w:fill="auto"/>
          </w:tcPr>
          <w:p w14:paraId="58BC2F05" w14:textId="77777777" w:rsidR="00ED2EBD" w:rsidRPr="00BD16B4" w:rsidRDefault="00ED2EBD" w:rsidP="004A205F">
            <w:pPr>
              <w:pStyle w:val="TableText"/>
              <w:spacing w:before="40" w:after="40"/>
              <w:jc w:val="right"/>
              <w:rPr>
                <w:szCs w:val="18"/>
              </w:rPr>
            </w:pPr>
            <w:r w:rsidRPr="00BD16B4">
              <w:rPr>
                <w:szCs w:val="18"/>
              </w:rPr>
              <w:t>1,251.47</w:t>
            </w:r>
          </w:p>
        </w:tc>
        <w:tc>
          <w:tcPr>
            <w:tcW w:w="794" w:type="dxa"/>
            <w:shd w:val="clear" w:color="auto" w:fill="auto"/>
          </w:tcPr>
          <w:p w14:paraId="4664C17C" w14:textId="77777777" w:rsidR="00ED2EBD" w:rsidRPr="00BD16B4" w:rsidRDefault="00ED2EBD" w:rsidP="004A205F">
            <w:pPr>
              <w:pStyle w:val="TableText"/>
              <w:spacing w:before="40" w:after="40"/>
              <w:jc w:val="right"/>
              <w:rPr>
                <w:szCs w:val="18"/>
              </w:rPr>
            </w:pPr>
            <w:r w:rsidRPr="00BD16B4">
              <w:rPr>
                <w:szCs w:val="18"/>
              </w:rPr>
              <w:t>1,219.22</w:t>
            </w:r>
          </w:p>
        </w:tc>
        <w:tc>
          <w:tcPr>
            <w:tcW w:w="794" w:type="dxa"/>
            <w:shd w:val="clear" w:color="auto" w:fill="auto"/>
          </w:tcPr>
          <w:p w14:paraId="225F96C1" w14:textId="77777777" w:rsidR="00ED2EBD" w:rsidRPr="00BD16B4" w:rsidRDefault="00ED2EBD" w:rsidP="004A205F">
            <w:pPr>
              <w:pStyle w:val="TableText"/>
              <w:spacing w:before="40" w:after="40"/>
              <w:jc w:val="right"/>
              <w:rPr>
                <w:szCs w:val="18"/>
              </w:rPr>
            </w:pPr>
            <w:r w:rsidRPr="00BD16B4">
              <w:rPr>
                <w:szCs w:val="18"/>
              </w:rPr>
              <w:t>1,174.42</w:t>
            </w:r>
          </w:p>
        </w:tc>
        <w:tc>
          <w:tcPr>
            <w:tcW w:w="794" w:type="dxa"/>
            <w:shd w:val="clear" w:color="auto" w:fill="auto"/>
          </w:tcPr>
          <w:p w14:paraId="48272262" w14:textId="77777777" w:rsidR="00ED2EBD" w:rsidRPr="00BD16B4" w:rsidRDefault="00ED2EBD" w:rsidP="004A205F">
            <w:pPr>
              <w:pStyle w:val="TableText"/>
              <w:spacing w:before="40" w:after="40"/>
              <w:jc w:val="right"/>
              <w:rPr>
                <w:szCs w:val="18"/>
              </w:rPr>
            </w:pPr>
            <w:r w:rsidRPr="00BD16B4">
              <w:rPr>
                <w:szCs w:val="18"/>
              </w:rPr>
              <w:t>1,180.87</w:t>
            </w:r>
          </w:p>
        </w:tc>
      </w:tr>
      <w:tr w:rsidR="00921D3E" w:rsidRPr="00BD16B4" w14:paraId="5EEA55D9" w14:textId="77777777" w:rsidTr="00F70C72">
        <w:tc>
          <w:tcPr>
            <w:tcW w:w="3539" w:type="dxa"/>
          </w:tcPr>
          <w:p w14:paraId="75A6BC6F" w14:textId="28F42C53"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Enteric fermentation</w:t>
            </w:r>
          </w:p>
        </w:tc>
        <w:tc>
          <w:tcPr>
            <w:tcW w:w="794" w:type="dxa"/>
            <w:shd w:val="clear" w:color="auto" w:fill="auto"/>
          </w:tcPr>
          <w:p w14:paraId="1897D487" w14:textId="77777777" w:rsidR="00ED2EBD" w:rsidRPr="00BD16B4" w:rsidRDefault="00ED2EBD" w:rsidP="004A205F">
            <w:pPr>
              <w:pStyle w:val="TableText"/>
              <w:spacing w:before="40" w:after="40"/>
              <w:jc w:val="right"/>
              <w:rPr>
                <w:szCs w:val="18"/>
              </w:rPr>
            </w:pPr>
            <w:r w:rsidRPr="00BD16B4">
              <w:rPr>
                <w:szCs w:val="18"/>
              </w:rPr>
              <w:t>1,144.58</w:t>
            </w:r>
          </w:p>
        </w:tc>
        <w:tc>
          <w:tcPr>
            <w:tcW w:w="794" w:type="dxa"/>
            <w:shd w:val="clear" w:color="auto" w:fill="auto"/>
          </w:tcPr>
          <w:p w14:paraId="13C10F98" w14:textId="77777777" w:rsidR="00ED2EBD" w:rsidRPr="00BD16B4" w:rsidRDefault="00ED2EBD" w:rsidP="004A205F">
            <w:pPr>
              <w:pStyle w:val="TableText"/>
              <w:spacing w:before="40" w:after="40"/>
              <w:jc w:val="right"/>
              <w:rPr>
                <w:szCs w:val="18"/>
              </w:rPr>
            </w:pPr>
            <w:r w:rsidRPr="00BD16B4">
              <w:rPr>
                <w:szCs w:val="18"/>
              </w:rPr>
              <w:t>1,175.14</w:t>
            </w:r>
          </w:p>
        </w:tc>
        <w:tc>
          <w:tcPr>
            <w:tcW w:w="794" w:type="dxa"/>
            <w:shd w:val="clear" w:color="auto" w:fill="auto"/>
          </w:tcPr>
          <w:p w14:paraId="707FF7CF" w14:textId="77777777" w:rsidR="00ED2EBD" w:rsidRPr="00BD16B4" w:rsidRDefault="00ED2EBD" w:rsidP="004A205F">
            <w:pPr>
              <w:pStyle w:val="TableText"/>
              <w:spacing w:before="40" w:after="40"/>
              <w:jc w:val="right"/>
              <w:rPr>
                <w:szCs w:val="18"/>
              </w:rPr>
            </w:pPr>
            <w:r w:rsidRPr="00BD16B4">
              <w:rPr>
                <w:szCs w:val="18"/>
              </w:rPr>
              <w:t>1,187.55</w:t>
            </w:r>
          </w:p>
        </w:tc>
        <w:tc>
          <w:tcPr>
            <w:tcW w:w="794" w:type="dxa"/>
            <w:shd w:val="clear" w:color="auto" w:fill="auto"/>
          </w:tcPr>
          <w:p w14:paraId="7852A5E0" w14:textId="77777777" w:rsidR="00ED2EBD" w:rsidRPr="00BD16B4" w:rsidRDefault="00ED2EBD" w:rsidP="004A205F">
            <w:pPr>
              <w:pStyle w:val="TableText"/>
              <w:spacing w:before="40" w:after="40"/>
              <w:jc w:val="right"/>
              <w:rPr>
                <w:szCs w:val="18"/>
              </w:rPr>
            </w:pPr>
            <w:r w:rsidRPr="00BD16B4">
              <w:rPr>
                <w:szCs w:val="18"/>
              </w:rPr>
              <w:t>1,177.89</w:t>
            </w:r>
          </w:p>
        </w:tc>
        <w:tc>
          <w:tcPr>
            <w:tcW w:w="794" w:type="dxa"/>
            <w:shd w:val="clear" w:color="auto" w:fill="auto"/>
          </w:tcPr>
          <w:p w14:paraId="15B26EF3" w14:textId="77777777" w:rsidR="00ED2EBD" w:rsidRPr="00BD16B4" w:rsidRDefault="00ED2EBD" w:rsidP="004A205F">
            <w:pPr>
              <w:pStyle w:val="TableText"/>
              <w:spacing w:before="40" w:after="40"/>
              <w:jc w:val="right"/>
              <w:rPr>
                <w:szCs w:val="18"/>
              </w:rPr>
            </w:pPr>
            <w:r w:rsidRPr="00BD16B4">
              <w:rPr>
                <w:szCs w:val="18"/>
              </w:rPr>
              <w:t>1,192.83</w:t>
            </w:r>
          </w:p>
        </w:tc>
        <w:tc>
          <w:tcPr>
            <w:tcW w:w="794" w:type="dxa"/>
            <w:shd w:val="clear" w:color="auto" w:fill="auto"/>
          </w:tcPr>
          <w:p w14:paraId="79571B65" w14:textId="77777777" w:rsidR="00ED2EBD" w:rsidRPr="00BD16B4" w:rsidRDefault="00ED2EBD" w:rsidP="004A205F">
            <w:pPr>
              <w:pStyle w:val="TableText"/>
              <w:spacing w:before="40" w:after="40"/>
              <w:jc w:val="right"/>
              <w:rPr>
                <w:szCs w:val="18"/>
              </w:rPr>
            </w:pPr>
            <w:r w:rsidRPr="00BD16B4">
              <w:rPr>
                <w:szCs w:val="18"/>
              </w:rPr>
              <w:t>1,192.84</w:t>
            </w:r>
          </w:p>
        </w:tc>
        <w:tc>
          <w:tcPr>
            <w:tcW w:w="794" w:type="dxa"/>
            <w:shd w:val="clear" w:color="auto" w:fill="auto"/>
          </w:tcPr>
          <w:p w14:paraId="1DC2D799" w14:textId="77777777" w:rsidR="00ED2EBD" w:rsidRPr="00BD16B4" w:rsidRDefault="00ED2EBD" w:rsidP="004A205F">
            <w:pPr>
              <w:pStyle w:val="TableText"/>
              <w:spacing w:before="40" w:after="40"/>
              <w:jc w:val="right"/>
              <w:rPr>
                <w:szCs w:val="18"/>
              </w:rPr>
            </w:pPr>
            <w:r w:rsidRPr="00BD16B4">
              <w:rPr>
                <w:szCs w:val="18"/>
              </w:rPr>
              <w:t>1,201.34</w:t>
            </w:r>
          </w:p>
        </w:tc>
        <w:tc>
          <w:tcPr>
            <w:tcW w:w="794" w:type="dxa"/>
            <w:shd w:val="clear" w:color="auto" w:fill="auto"/>
          </w:tcPr>
          <w:p w14:paraId="56D5BD41" w14:textId="77777777" w:rsidR="00ED2EBD" w:rsidRPr="00BD16B4" w:rsidRDefault="00ED2EBD" w:rsidP="004A205F">
            <w:pPr>
              <w:pStyle w:val="TableText"/>
              <w:spacing w:before="40" w:after="40"/>
              <w:jc w:val="right"/>
              <w:rPr>
                <w:szCs w:val="18"/>
              </w:rPr>
            </w:pPr>
            <w:r w:rsidRPr="00BD16B4">
              <w:rPr>
                <w:szCs w:val="18"/>
              </w:rPr>
              <w:t>1,207.76</w:t>
            </w:r>
          </w:p>
        </w:tc>
        <w:tc>
          <w:tcPr>
            <w:tcW w:w="794" w:type="dxa"/>
            <w:shd w:val="clear" w:color="auto" w:fill="auto"/>
          </w:tcPr>
          <w:p w14:paraId="60CA5B0D" w14:textId="77777777" w:rsidR="00ED2EBD" w:rsidRPr="00BD16B4" w:rsidRDefault="00ED2EBD" w:rsidP="004A205F">
            <w:pPr>
              <w:pStyle w:val="TableText"/>
              <w:spacing w:before="40" w:after="40"/>
              <w:jc w:val="right"/>
              <w:rPr>
                <w:szCs w:val="18"/>
              </w:rPr>
            </w:pPr>
            <w:r w:rsidRPr="00BD16B4">
              <w:rPr>
                <w:szCs w:val="18"/>
              </w:rPr>
              <w:t>1,174.99</w:t>
            </w:r>
          </w:p>
        </w:tc>
        <w:tc>
          <w:tcPr>
            <w:tcW w:w="794" w:type="dxa"/>
            <w:shd w:val="clear" w:color="auto" w:fill="auto"/>
          </w:tcPr>
          <w:p w14:paraId="4E13E5E7" w14:textId="77777777" w:rsidR="00ED2EBD" w:rsidRPr="00BD16B4" w:rsidRDefault="00ED2EBD" w:rsidP="004A205F">
            <w:pPr>
              <w:pStyle w:val="TableText"/>
              <w:spacing w:before="40" w:after="40"/>
              <w:jc w:val="right"/>
              <w:rPr>
                <w:szCs w:val="18"/>
              </w:rPr>
            </w:pPr>
            <w:r w:rsidRPr="00BD16B4">
              <w:rPr>
                <w:szCs w:val="18"/>
              </w:rPr>
              <w:t>1,129.56</w:t>
            </w:r>
          </w:p>
        </w:tc>
        <w:tc>
          <w:tcPr>
            <w:tcW w:w="794" w:type="dxa"/>
            <w:shd w:val="clear" w:color="auto" w:fill="auto"/>
          </w:tcPr>
          <w:p w14:paraId="6C67A323" w14:textId="77777777" w:rsidR="00ED2EBD" w:rsidRPr="00BD16B4" w:rsidRDefault="00ED2EBD" w:rsidP="004A205F">
            <w:pPr>
              <w:pStyle w:val="TableText"/>
              <w:spacing w:before="40" w:after="40"/>
              <w:jc w:val="right"/>
              <w:rPr>
                <w:szCs w:val="18"/>
              </w:rPr>
            </w:pPr>
            <w:r w:rsidRPr="00BD16B4">
              <w:rPr>
                <w:szCs w:val="18"/>
              </w:rPr>
              <w:t>1,133.28</w:t>
            </w:r>
          </w:p>
        </w:tc>
      </w:tr>
      <w:tr w:rsidR="00921D3E" w:rsidRPr="00BD16B4" w14:paraId="6F58802B" w14:textId="77777777" w:rsidTr="00F70C72">
        <w:tc>
          <w:tcPr>
            <w:tcW w:w="3539" w:type="dxa"/>
          </w:tcPr>
          <w:p w14:paraId="5EEC4178" w14:textId="6FA26A09"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Manure management</w:t>
            </w:r>
          </w:p>
        </w:tc>
        <w:tc>
          <w:tcPr>
            <w:tcW w:w="794" w:type="dxa"/>
            <w:shd w:val="clear" w:color="auto" w:fill="auto"/>
          </w:tcPr>
          <w:p w14:paraId="2898780E" w14:textId="77777777" w:rsidR="00ED2EBD" w:rsidRPr="00BD16B4" w:rsidRDefault="00ED2EBD" w:rsidP="004A205F">
            <w:pPr>
              <w:pStyle w:val="TableText"/>
              <w:spacing w:before="40" w:after="40"/>
              <w:jc w:val="right"/>
              <w:rPr>
                <w:szCs w:val="18"/>
              </w:rPr>
            </w:pPr>
            <w:r w:rsidRPr="00BD16B4">
              <w:rPr>
                <w:szCs w:val="18"/>
              </w:rPr>
              <w:t>34.77</w:t>
            </w:r>
          </w:p>
        </w:tc>
        <w:tc>
          <w:tcPr>
            <w:tcW w:w="794" w:type="dxa"/>
            <w:shd w:val="clear" w:color="auto" w:fill="auto"/>
          </w:tcPr>
          <w:p w14:paraId="7C42744B" w14:textId="77777777" w:rsidR="00ED2EBD" w:rsidRPr="00BD16B4" w:rsidRDefault="00ED2EBD" w:rsidP="004A205F">
            <w:pPr>
              <w:pStyle w:val="TableText"/>
              <w:spacing w:before="40" w:after="40"/>
              <w:jc w:val="right"/>
              <w:rPr>
                <w:szCs w:val="18"/>
              </w:rPr>
            </w:pPr>
            <w:r w:rsidRPr="00BD16B4">
              <w:rPr>
                <w:szCs w:val="18"/>
              </w:rPr>
              <w:t>36.69</w:t>
            </w:r>
          </w:p>
        </w:tc>
        <w:tc>
          <w:tcPr>
            <w:tcW w:w="794" w:type="dxa"/>
            <w:shd w:val="clear" w:color="auto" w:fill="auto"/>
          </w:tcPr>
          <w:p w14:paraId="1C745ED4" w14:textId="77777777" w:rsidR="00ED2EBD" w:rsidRPr="00BD16B4" w:rsidRDefault="00ED2EBD" w:rsidP="004A205F">
            <w:pPr>
              <w:pStyle w:val="TableText"/>
              <w:spacing w:before="40" w:after="40"/>
              <w:jc w:val="right"/>
              <w:rPr>
                <w:szCs w:val="18"/>
              </w:rPr>
            </w:pPr>
            <w:r w:rsidRPr="00BD16B4">
              <w:rPr>
                <w:szCs w:val="18"/>
              </w:rPr>
              <w:t>38.32</w:t>
            </w:r>
          </w:p>
        </w:tc>
        <w:tc>
          <w:tcPr>
            <w:tcW w:w="794" w:type="dxa"/>
            <w:shd w:val="clear" w:color="auto" w:fill="auto"/>
          </w:tcPr>
          <w:p w14:paraId="3766AEFA" w14:textId="77777777" w:rsidR="00ED2EBD" w:rsidRPr="00BD16B4" w:rsidRDefault="00ED2EBD" w:rsidP="004A205F">
            <w:pPr>
              <w:pStyle w:val="TableText"/>
              <w:spacing w:before="40" w:after="40"/>
              <w:jc w:val="right"/>
              <w:rPr>
                <w:szCs w:val="18"/>
              </w:rPr>
            </w:pPr>
            <w:r w:rsidRPr="00BD16B4">
              <w:rPr>
                <w:szCs w:val="18"/>
              </w:rPr>
              <w:t>39.11</w:t>
            </w:r>
          </w:p>
        </w:tc>
        <w:tc>
          <w:tcPr>
            <w:tcW w:w="794" w:type="dxa"/>
            <w:shd w:val="clear" w:color="auto" w:fill="auto"/>
          </w:tcPr>
          <w:p w14:paraId="79537CFE" w14:textId="77777777" w:rsidR="00ED2EBD" w:rsidRPr="00BD16B4" w:rsidRDefault="00ED2EBD" w:rsidP="004A205F">
            <w:pPr>
              <w:pStyle w:val="TableText"/>
              <w:spacing w:before="40" w:after="40"/>
              <w:jc w:val="right"/>
              <w:rPr>
                <w:szCs w:val="18"/>
              </w:rPr>
            </w:pPr>
            <w:r w:rsidRPr="00BD16B4">
              <w:rPr>
                <w:szCs w:val="18"/>
              </w:rPr>
              <w:t>40.57</w:t>
            </w:r>
          </w:p>
        </w:tc>
        <w:tc>
          <w:tcPr>
            <w:tcW w:w="794" w:type="dxa"/>
            <w:shd w:val="clear" w:color="auto" w:fill="auto"/>
          </w:tcPr>
          <w:p w14:paraId="12EF03C1" w14:textId="77777777" w:rsidR="00ED2EBD" w:rsidRPr="00BD16B4" w:rsidRDefault="00ED2EBD" w:rsidP="004A205F">
            <w:pPr>
              <w:pStyle w:val="TableText"/>
              <w:spacing w:before="40" w:after="40"/>
              <w:jc w:val="right"/>
              <w:rPr>
                <w:szCs w:val="18"/>
              </w:rPr>
            </w:pPr>
            <w:r w:rsidRPr="00BD16B4">
              <w:rPr>
                <w:szCs w:val="18"/>
              </w:rPr>
              <w:t>41.46</w:t>
            </w:r>
          </w:p>
        </w:tc>
        <w:tc>
          <w:tcPr>
            <w:tcW w:w="794" w:type="dxa"/>
            <w:shd w:val="clear" w:color="auto" w:fill="auto"/>
          </w:tcPr>
          <w:p w14:paraId="766FB0BE" w14:textId="77777777" w:rsidR="00ED2EBD" w:rsidRPr="00BD16B4" w:rsidRDefault="00ED2EBD" w:rsidP="004A205F">
            <w:pPr>
              <w:pStyle w:val="TableText"/>
              <w:spacing w:before="40" w:after="40"/>
              <w:jc w:val="right"/>
              <w:rPr>
                <w:szCs w:val="18"/>
              </w:rPr>
            </w:pPr>
            <w:r w:rsidRPr="00BD16B4">
              <w:rPr>
                <w:szCs w:val="18"/>
              </w:rPr>
              <w:t>41.84</w:t>
            </w:r>
          </w:p>
        </w:tc>
        <w:tc>
          <w:tcPr>
            <w:tcW w:w="794" w:type="dxa"/>
            <w:shd w:val="clear" w:color="auto" w:fill="auto"/>
          </w:tcPr>
          <w:p w14:paraId="35DC5A9E" w14:textId="77777777" w:rsidR="00ED2EBD" w:rsidRPr="00BD16B4" w:rsidRDefault="00ED2EBD" w:rsidP="004A205F">
            <w:pPr>
              <w:pStyle w:val="TableText"/>
              <w:spacing w:before="40" w:after="40"/>
              <w:jc w:val="right"/>
              <w:rPr>
                <w:szCs w:val="18"/>
              </w:rPr>
            </w:pPr>
            <w:r w:rsidRPr="00BD16B4">
              <w:rPr>
                <w:szCs w:val="18"/>
              </w:rPr>
              <w:t>42.89</w:t>
            </w:r>
          </w:p>
        </w:tc>
        <w:tc>
          <w:tcPr>
            <w:tcW w:w="794" w:type="dxa"/>
            <w:shd w:val="clear" w:color="auto" w:fill="auto"/>
          </w:tcPr>
          <w:p w14:paraId="618D20F5" w14:textId="77777777" w:rsidR="00ED2EBD" w:rsidRPr="00BD16B4" w:rsidRDefault="00ED2EBD" w:rsidP="004A205F">
            <w:pPr>
              <w:pStyle w:val="TableText"/>
              <w:spacing w:before="40" w:after="40"/>
              <w:jc w:val="right"/>
              <w:rPr>
                <w:szCs w:val="18"/>
              </w:rPr>
            </w:pPr>
            <w:r w:rsidRPr="00BD16B4">
              <w:rPr>
                <w:szCs w:val="18"/>
              </w:rPr>
              <w:t>43.20</w:t>
            </w:r>
          </w:p>
        </w:tc>
        <w:tc>
          <w:tcPr>
            <w:tcW w:w="794" w:type="dxa"/>
            <w:shd w:val="clear" w:color="auto" w:fill="auto"/>
          </w:tcPr>
          <w:p w14:paraId="7E3654BB" w14:textId="77777777" w:rsidR="00ED2EBD" w:rsidRPr="00BD16B4" w:rsidRDefault="00ED2EBD" w:rsidP="004A205F">
            <w:pPr>
              <w:pStyle w:val="TableText"/>
              <w:spacing w:before="40" w:after="40"/>
              <w:jc w:val="right"/>
              <w:rPr>
                <w:szCs w:val="18"/>
              </w:rPr>
            </w:pPr>
            <w:r w:rsidRPr="00BD16B4">
              <w:rPr>
                <w:szCs w:val="18"/>
              </w:rPr>
              <w:t>44.01</w:t>
            </w:r>
          </w:p>
        </w:tc>
        <w:tc>
          <w:tcPr>
            <w:tcW w:w="794" w:type="dxa"/>
            <w:shd w:val="clear" w:color="auto" w:fill="auto"/>
          </w:tcPr>
          <w:p w14:paraId="055D8233" w14:textId="77777777" w:rsidR="00ED2EBD" w:rsidRPr="00BD16B4" w:rsidRDefault="00ED2EBD" w:rsidP="004A205F">
            <w:pPr>
              <w:pStyle w:val="TableText"/>
              <w:spacing w:before="40" w:after="40"/>
              <w:jc w:val="right"/>
              <w:rPr>
                <w:szCs w:val="18"/>
              </w:rPr>
            </w:pPr>
            <w:r w:rsidRPr="00BD16B4">
              <w:rPr>
                <w:szCs w:val="18"/>
              </w:rPr>
              <w:t>46.76</w:t>
            </w:r>
          </w:p>
        </w:tc>
      </w:tr>
      <w:tr w:rsidR="00921D3E" w:rsidRPr="00BD16B4" w14:paraId="5C9EE657" w14:textId="77777777" w:rsidTr="00F70C72">
        <w:tc>
          <w:tcPr>
            <w:tcW w:w="3539" w:type="dxa"/>
          </w:tcPr>
          <w:p w14:paraId="3139E0D1" w14:textId="33E29342"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Rice cultivation</w:t>
            </w:r>
          </w:p>
        </w:tc>
        <w:tc>
          <w:tcPr>
            <w:tcW w:w="794" w:type="dxa"/>
            <w:shd w:val="clear" w:color="auto" w:fill="auto"/>
          </w:tcPr>
          <w:p w14:paraId="14727AAF"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06D94D5D"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5979AEB1"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2C2FA833"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3B547595"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322FB2CA"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6AEACB2B"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4C811E04"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106960CA"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35B2D6FC" w14:textId="77777777" w:rsidR="00ED2EBD" w:rsidRPr="00BD16B4" w:rsidRDefault="00ED2EBD" w:rsidP="004A205F">
            <w:pPr>
              <w:pStyle w:val="TableText"/>
              <w:spacing w:before="40" w:after="40"/>
              <w:jc w:val="right"/>
              <w:rPr>
                <w:szCs w:val="18"/>
              </w:rPr>
            </w:pPr>
            <w:r w:rsidRPr="00BD16B4">
              <w:rPr>
                <w:szCs w:val="18"/>
              </w:rPr>
              <w:t>NO</w:t>
            </w:r>
          </w:p>
        </w:tc>
        <w:tc>
          <w:tcPr>
            <w:tcW w:w="794" w:type="dxa"/>
            <w:shd w:val="clear" w:color="auto" w:fill="auto"/>
          </w:tcPr>
          <w:p w14:paraId="28EE64D4" w14:textId="77777777" w:rsidR="00ED2EBD" w:rsidRPr="00BD16B4" w:rsidRDefault="00ED2EBD" w:rsidP="004A205F">
            <w:pPr>
              <w:pStyle w:val="TableText"/>
              <w:spacing w:before="40" w:after="40"/>
              <w:jc w:val="right"/>
              <w:rPr>
                <w:szCs w:val="18"/>
              </w:rPr>
            </w:pPr>
            <w:r w:rsidRPr="00BD16B4">
              <w:rPr>
                <w:szCs w:val="18"/>
              </w:rPr>
              <w:t>NO</w:t>
            </w:r>
          </w:p>
        </w:tc>
      </w:tr>
      <w:tr w:rsidR="00921D3E" w:rsidRPr="00BD16B4" w14:paraId="2BDD000A" w14:textId="77777777" w:rsidTr="00F70C72">
        <w:tc>
          <w:tcPr>
            <w:tcW w:w="3539" w:type="dxa"/>
          </w:tcPr>
          <w:p w14:paraId="56F782D4" w14:textId="02735CE7" w:rsidR="00ED2EBD" w:rsidRPr="00BD16B4" w:rsidRDefault="00ED2EBD" w:rsidP="004A205F">
            <w:pPr>
              <w:pStyle w:val="TableText"/>
              <w:spacing w:before="40" w:after="40"/>
              <w:rPr>
                <w:szCs w:val="18"/>
              </w:rPr>
            </w:pPr>
            <w:r w:rsidRPr="00BD16B4">
              <w:rPr>
                <w:szCs w:val="18"/>
              </w:rPr>
              <w:t>D.</w:t>
            </w:r>
            <w:r w:rsidR="00280979" w:rsidRPr="00BD16B4">
              <w:rPr>
                <w:szCs w:val="18"/>
              </w:rPr>
              <w:t xml:space="preserve"> </w:t>
            </w:r>
            <w:r w:rsidRPr="00BD16B4">
              <w:rPr>
                <w:szCs w:val="18"/>
              </w:rPr>
              <w:t>Agricultural soils</w:t>
            </w:r>
          </w:p>
        </w:tc>
        <w:tc>
          <w:tcPr>
            <w:tcW w:w="794" w:type="dxa"/>
            <w:shd w:val="clear" w:color="auto" w:fill="auto"/>
          </w:tcPr>
          <w:p w14:paraId="7062D614" w14:textId="77777777" w:rsidR="00ED2EBD" w:rsidRPr="00BD16B4" w:rsidRDefault="00ED2EBD" w:rsidP="004A205F">
            <w:pPr>
              <w:pStyle w:val="TableText"/>
              <w:spacing w:before="40" w:after="40"/>
              <w:jc w:val="right"/>
              <w:rPr>
                <w:szCs w:val="18"/>
              </w:rPr>
            </w:pPr>
            <w:r w:rsidRPr="00BD16B4">
              <w:rPr>
                <w:szCs w:val="18"/>
              </w:rPr>
              <w:t>NE</w:t>
            </w:r>
          </w:p>
        </w:tc>
        <w:tc>
          <w:tcPr>
            <w:tcW w:w="794" w:type="dxa"/>
            <w:shd w:val="clear" w:color="auto" w:fill="auto"/>
          </w:tcPr>
          <w:p w14:paraId="1ABBC005" w14:textId="77777777" w:rsidR="00ED2EBD" w:rsidRPr="00BD16B4" w:rsidRDefault="00ED2EBD" w:rsidP="004A205F">
            <w:pPr>
              <w:pStyle w:val="TableText"/>
              <w:spacing w:before="40" w:after="40"/>
              <w:jc w:val="right"/>
              <w:rPr>
                <w:szCs w:val="18"/>
              </w:rPr>
            </w:pPr>
            <w:r w:rsidRPr="00BD16B4">
              <w:rPr>
                <w:szCs w:val="18"/>
              </w:rPr>
              <w:t>NE</w:t>
            </w:r>
          </w:p>
        </w:tc>
        <w:tc>
          <w:tcPr>
            <w:tcW w:w="794" w:type="dxa"/>
            <w:shd w:val="clear" w:color="auto" w:fill="auto"/>
          </w:tcPr>
          <w:p w14:paraId="2FC231F2" w14:textId="77777777" w:rsidR="00ED2EBD" w:rsidRPr="00BD16B4" w:rsidRDefault="00ED2EBD" w:rsidP="004A205F">
            <w:pPr>
              <w:pStyle w:val="TableText"/>
              <w:spacing w:before="40" w:after="40"/>
              <w:jc w:val="right"/>
              <w:rPr>
                <w:szCs w:val="18"/>
              </w:rPr>
            </w:pPr>
            <w:r w:rsidRPr="00BD16B4">
              <w:rPr>
                <w:szCs w:val="18"/>
              </w:rPr>
              <w:t>NE</w:t>
            </w:r>
          </w:p>
        </w:tc>
        <w:tc>
          <w:tcPr>
            <w:tcW w:w="794" w:type="dxa"/>
            <w:shd w:val="clear" w:color="auto" w:fill="auto"/>
          </w:tcPr>
          <w:p w14:paraId="4802D83F" w14:textId="77777777" w:rsidR="00ED2EBD" w:rsidRPr="00BD16B4" w:rsidRDefault="00ED2EBD" w:rsidP="004A205F">
            <w:pPr>
              <w:pStyle w:val="TableText"/>
              <w:spacing w:before="40" w:after="40"/>
              <w:jc w:val="right"/>
              <w:rPr>
                <w:szCs w:val="18"/>
              </w:rPr>
            </w:pPr>
            <w:r w:rsidRPr="00BD16B4">
              <w:rPr>
                <w:szCs w:val="18"/>
              </w:rPr>
              <w:t>NE</w:t>
            </w:r>
          </w:p>
        </w:tc>
        <w:tc>
          <w:tcPr>
            <w:tcW w:w="794" w:type="dxa"/>
            <w:shd w:val="clear" w:color="auto" w:fill="auto"/>
          </w:tcPr>
          <w:p w14:paraId="302EBFBB" w14:textId="77777777" w:rsidR="00ED2EBD" w:rsidRPr="00BD16B4" w:rsidRDefault="00ED2EBD" w:rsidP="004A205F">
            <w:pPr>
              <w:pStyle w:val="TableText"/>
              <w:spacing w:before="40" w:after="40"/>
              <w:jc w:val="right"/>
              <w:rPr>
                <w:szCs w:val="18"/>
              </w:rPr>
            </w:pPr>
            <w:r w:rsidRPr="00BD16B4">
              <w:rPr>
                <w:szCs w:val="18"/>
              </w:rPr>
              <w:t>NE</w:t>
            </w:r>
          </w:p>
        </w:tc>
        <w:tc>
          <w:tcPr>
            <w:tcW w:w="794" w:type="dxa"/>
            <w:shd w:val="clear" w:color="auto" w:fill="auto"/>
          </w:tcPr>
          <w:p w14:paraId="0C7E306B" w14:textId="77777777" w:rsidR="00ED2EBD" w:rsidRPr="00BD16B4" w:rsidRDefault="00ED2EBD" w:rsidP="004A205F">
            <w:pPr>
              <w:pStyle w:val="TableText"/>
              <w:spacing w:before="40" w:after="40"/>
              <w:jc w:val="right"/>
              <w:rPr>
                <w:szCs w:val="18"/>
              </w:rPr>
            </w:pPr>
            <w:r w:rsidRPr="00BD16B4">
              <w:rPr>
                <w:szCs w:val="18"/>
              </w:rPr>
              <w:t>NE</w:t>
            </w:r>
          </w:p>
        </w:tc>
        <w:tc>
          <w:tcPr>
            <w:tcW w:w="794" w:type="dxa"/>
            <w:shd w:val="clear" w:color="auto" w:fill="auto"/>
          </w:tcPr>
          <w:p w14:paraId="60143749" w14:textId="77777777" w:rsidR="00ED2EBD" w:rsidRPr="00BD16B4" w:rsidRDefault="00ED2EBD" w:rsidP="004A205F">
            <w:pPr>
              <w:pStyle w:val="TableText"/>
              <w:spacing w:before="40" w:after="40"/>
              <w:jc w:val="right"/>
              <w:rPr>
                <w:szCs w:val="18"/>
              </w:rPr>
            </w:pPr>
            <w:r w:rsidRPr="00BD16B4">
              <w:rPr>
                <w:szCs w:val="18"/>
              </w:rPr>
              <w:t>NE</w:t>
            </w:r>
          </w:p>
        </w:tc>
        <w:tc>
          <w:tcPr>
            <w:tcW w:w="794" w:type="dxa"/>
            <w:shd w:val="clear" w:color="auto" w:fill="auto"/>
          </w:tcPr>
          <w:p w14:paraId="0299D120" w14:textId="77777777" w:rsidR="00ED2EBD" w:rsidRPr="00BD16B4" w:rsidRDefault="00ED2EBD" w:rsidP="004A205F">
            <w:pPr>
              <w:pStyle w:val="TableText"/>
              <w:spacing w:before="40" w:after="40"/>
              <w:jc w:val="right"/>
              <w:rPr>
                <w:szCs w:val="18"/>
              </w:rPr>
            </w:pPr>
            <w:r w:rsidRPr="00BD16B4">
              <w:rPr>
                <w:szCs w:val="18"/>
              </w:rPr>
              <w:t>NE</w:t>
            </w:r>
          </w:p>
        </w:tc>
        <w:tc>
          <w:tcPr>
            <w:tcW w:w="794" w:type="dxa"/>
            <w:shd w:val="clear" w:color="auto" w:fill="auto"/>
          </w:tcPr>
          <w:p w14:paraId="61F877CA" w14:textId="77777777" w:rsidR="00ED2EBD" w:rsidRPr="00BD16B4" w:rsidRDefault="00ED2EBD" w:rsidP="004A205F">
            <w:pPr>
              <w:pStyle w:val="TableText"/>
              <w:spacing w:before="40" w:after="40"/>
              <w:jc w:val="right"/>
              <w:rPr>
                <w:szCs w:val="18"/>
              </w:rPr>
            </w:pPr>
            <w:r w:rsidRPr="00BD16B4">
              <w:rPr>
                <w:szCs w:val="18"/>
              </w:rPr>
              <w:t>NE</w:t>
            </w:r>
          </w:p>
        </w:tc>
        <w:tc>
          <w:tcPr>
            <w:tcW w:w="794" w:type="dxa"/>
            <w:shd w:val="clear" w:color="auto" w:fill="auto"/>
          </w:tcPr>
          <w:p w14:paraId="14185EF3" w14:textId="77777777" w:rsidR="00ED2EBD" w:rsidRPr="00BD16B4" w:rsidRDefault="00ED2EBD" w:rsidP="004A205F">
            <w:pPr>
              <w:pStyle w:val="TableText"/>
              <w:spacing w:before="40" w:after="40"/>
              <w:jc w:val="right"/>
              <w:rPr>
                <w:szCs w:val="18"/>
              </w:rPr>
            </w:pPr>
            <w:r w:rsidRPr="00BD16B4">
              <w:rPr>
                <w:szCs w:val="18"/>
              </w:rPr>
              <w:t>NE</w:t>
            </w:r>
          </w:p>
        </w:tc>
        <w:tc>
          <w:tcPr>
            <w:tcW w:w="794" w:type="dxa"/>
            <w:shd w:val="clear" w:color="auto" w:fill="auto"/>
          </w:tcPr>
          <w:p w14:paraId="05FF3D3D" w14:textId="77777777" w:rsidR="00ED2EBD" w:rsidRPr="00BD16B4" w:rsidRDefault="00ED2EBD" w:rsidP="004A205F">
            <w:pPr>
              <w:pStyle w:val="TableText"/>
              <w:spacing w:before="40" w:after="40"/>
              <w:jc w:val="right"/>
              <w:rPr>
                <w:szCs w:val="18"/>
              </w:rPr>
            </w:pPr>
            <w:r w:rsidRPr="00BD16B4">
              <w:rPr>
                <w:szCs w:val="18"/>
              </w:rPr>
              <w:t>NE</w:t>
            </w:r>
          </w:p>
        </w:tc>
      </w:tr>
      <w:tr w:rsidR="00921D3E" w:rsidRPr="00BD16B4" w14:paraId="697486BD" w14:textId="77777777" w:rsidTr="00F70C72">
        <w:tc>
          <w:tcPr>
            <w:tcW w:w="3539" w:type="dxa"/>
          </w:tcPr>
          <w:p w14:paraId="58573FEC" w14:textId="3F13635F"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Prescribed burning of savannas</w:t>
            </w:r>
          </w:p>
        </w:tc>
        <w:tc>
          <w:tcPr>
            <w:tcW w:w="794" w:type="dxa"/>
            <w:shd w:val="clear" w:color="auto" w:fill="auto"/>
          </w:tcPr>
          <w:p w14:paraId="263C14BB" w14:textId="77777777" w:rsidR="00ED2EBD" w:rsidRPr="00BD16B4" w:rsidRDefault="00ED2EBD" w:rsidP="004A205F">
            <w:pPr>
              <w:pStyle w:val="TableText"/>
              <w:spacing w:before="40" w:after="40"/>
              <w:jc w:val="right"/>
              <w:rPr>
                <w:szCs w:val="18"/>
              </w:rPr>
            </w:pPr>
            <w:r w:rsidRPr="00BD16B4">
              <w:rPr>
                <w:szCs w:val="18"/>
              </w:rPr>
              <w:t>IE</w:t>
            </w:r>
          </w:p>
        </w:tc>
        <w:tc>
          <w:tcPr>
            <w:tcW w:w="794" w:type="dxa"/>
            <w:shd w:val="clear" w:color="auto" w:fill="auto"/>
          </w:tcPr>
          <w:p w14:paraId="69F41529" w14:textId="77777777" w:rsidR="00ED2EBD" w:rsidRPr="00BD16B4" w:rsidRDefault="00ED2EBD" w:rsidP="004A205F">
            <w:pPr>
              <w:pStyle w:val="TableText"/>
              <w:spacing w:before="40" w:after="40"/>
              <w:jc w:val="right"/>
              <w:rPr>
                <w:szCs w:val="18"/>
              </w:rPr>
            </w:pPr>
            <w:r w:rsidRPr="00BD16B4">
              <w:rPr>
                <w:szCs w:val="18"/>
              </w:rPr>
              <w:t>IE</w:t>
            </w:r>
          </w:p>
        </w:tc>
        <w:tc>
          <w:tcPr>
            <w:tcW w:w="794" w:type="dxa"/>
            <w:shd w:val="clear" w:color="auto" w:fill="auto"/>
          </w:tcPr>
          <w:p w14:paraId="53DCADD2" w14:textId="77777777" w:rsidR="00ED2EBD" w:rsidRPr="00BD16B4" w:rsidRDefault="00ED2EBD" w:rsidP="004A205F">
            <w:pPr>
              <w:pStyle w:val="TableText"/>
              <w:spacing w:before="40" w:after="40"/>
              <w:jc w:val="right"/>
              <w:rPr>
                <w:szCs w:val="18"/>
              </w:rPr>
            </w:pPr>
            <w:r w:rsidRPr="00BD16B4">
              <w:rPr>
                <w:szCs w:val="18"/>
              </w:rPr>
              <w:t>IE</w:t>
            </w:r>
          </w:p>
        </w:tc>
        <w:tc>
          <w:tcPr>
            <w:tcW w:w="794" w:type="dxa"/>
            <w:shd w:val="clear" w:color="auto" w:fill="auto"/>
          </w:tcPr>
          <w:p w14:paraId="540528A8" w14:textId="77777777" w:rsidR="00ED2EBD" w:rsidRPr="00BD16B4" w:rsidRDefault="00ED2EBD" w:rsidP="004A205F">
            <w:pPr>
              <w:pStyle w:val="TableText"/>
              <w:spacing w:before="40" w:after="40"/>
              <w:jc w:val="right"/>
              <w:rPr>
                <w:szCs w:val="18"/>
              </w:rPr>
            </w:pPr>
            <w:r w:rsidRPr="00BD16B4">
              <w:rPr>
                <w:szCs w:val="18"/>
              </w:rPr>
              <w:t>IE</w:t>
            </w:r>
          </w:p>
        </w:tc>
        <w:tc>
          <w:tcPr>
            <w:tcW w:w="794" w:type="dxa"/>
            <w:shd w:val="clear" w:color="auto" w:fill="auto"/>
          </w:tcPr>
          <w:p w14:paraId="64F586ED" w14:textId="77777777" w:rsidR="00ED2EBD" w:rsidRPr="00BD16B4" w:rsidRDefault="00ED2EBD" w:rsidP="004A205F">
            <w:pPr>
              <w:pStyle w:val="TableText"/>
              <w:spacing w:before="40" w:after="40"/>
              <w:jc w:val="right"/>
              <w:rPr>
                <w:szCs w:val="18"/>
              </w:rPr>
            </w:pPr>
            <w:r w:rsidRPr="00BD16B4">
              <w:rPr>
                <w:szCs w:val="18"/>
              </w:rPr>
              <w:t>IE</w:t>
            </w:r>
          </w:p>
        </w:tc>
        <w:tc>
          <w:tcPr>
            <w:tcW w:w="794" w:type="dxa"/>
            <w:shd w:val="clear" w:color="auto" w:fill="auto"/>
          </w:tcPr>
          <w:p w14:paraId="3A462065" w14:textId="77777777" w:rsidR="00ED2EBD" w:rsidRPr="00BD16B4" w:rsidRDefault="00ED2EBD" w:rsidP="004A205F">
            <w:pPr>
              <w:pStyle w:val="TableText"/>
              <w:spacing w:before="40" w:after="40"/>
              <w:jc w:val="right"/>
              <w:rPr>
                <w:szCs w:val="18"/>
              </w:rPr>
            </w:pPr>
            <w:r w:rsidRPr="00BD16B4">
              <w:rPr>
                <w:szCs w:val="18"/>
              </w:rPr>
              <w:t>IE</w:t>
            </w:r>
          </w:p>
        </w:tc>
        <w:tc>
          <w:tcPr>
            <w:tcW w:w="794" w:type="dxa"/>
            <w:shd w:val="clear" w:color="auto" w:fill="auto"/>
          </w:tcPr>
          <w:p w14:paraId="2F55848E" w14:textId="77777777" w:rsidR="00ED2EBD" w:rsidRPr="00BD16B4" w:rsidRDefault="00ED2EBD" w:rsidP="004A205F">
            <w:pPr>
              <w:pStyle w:val="TableText"/>
              <w:spacing w:before="40" w:after="40"/>
              <w:jc w:val="right"/>
              <w:rPr>
                <w:szCs w:val="18"/>
              </w:rPr>
            </w:pPr>
            <w:r w:rsidRPr="00BD16B4">
              <w:rPr>
                <w:szCs w:val="18"/>
              </w:rPr>
              <w:t>IE</w:t>
            </w:r>
          </w:p>
        </w:tc>
        <w:tc>
          <w:tcPr>
            <w:tcW w:w="794" w:type="dxa"/>
            <w:shd w:val="clear" w:color="auto" w:fill="auto"/>
          </w:tcPr>
          <w:p w14:paraId="7ECB0875" w14:textId="77777777" w:rsidR="00ED2EBD" w:rsidRPr="00BD16B4" w:rsidRDefault="00ED2EBD" w:rsidP="004A205F">
            <w:pPr>
              <w:pStyle w:val="TableText"/>
              <w:spacing w:before="40" w:after="40"/>
              <w:jc w:val="right"/>
              <w:rPr>
                <w:szCs w:val="18"/>
              </w:rPr>
            </w:pPr>
            <w:r w:rsidRPr="00BD16B4">
              <w:rPr>
                <w:szCs w:val="18"/>
              </w:rPr>
              <w:t>IE</w:t>
            </w:r>
          </w:p>
        </w:tc>
        <w:tc>
          <w:tcPr>
            <w:tcW w:w="794" w:type="dxa"/>
            <w:shd w:val="clear" w:color="auto" w:fill="auto"/>
          </w:tcPr>
          <w:p w14:paraId="4E107EA4" w14:textId="77777777" w:rsidR="00ED2EBD" w:rsidRPr="00BD16B4" w:rsidRDefault="00ED2EBD" w:rsidP="004A205F">
            <w:pPr>
              <w:pStyle w:val="TableText"/>
              <w:spacing w:before="40" w:after="40"/>
              <w:jc w:val="right"/>
              <w:rPr>
                <w:szCs w:val="18"/>
              </w:rPr>
            </w:pPr>
            <w:r w:rsidRPr="00BD16B4">
              <w:rPr>
                <w:szCs w:val="18"/>
              </w:rPr>
              <w:t>IE</w:t>
            </w:r>
          </w:p>
        </w:tc>
        <w:tc>
          <w:tcPr>
            <w:tcW w:w="794" w:type="dxa"/>
            <w:shd w:val="clear" w:color="auto" w:fill="auto"/>
          </w:tcPr>
          <w:p w14:paraId="69D74972" w14:textId="77777777" w:rsidR="00ED2EBD" w:rsidRPr="00BD16B4" w:rsidRDefault="00ED2EBD" w:rsidP="004A205F">
            <w:pPr>
              <w:pStyle w:val="TableText"/>
              <w:spacing w:before="40" w:after="40"/>
              <w:jc w:val="right"/>
              <w:rPr>
                <w:szCs w:val="18"/>
              </w:rPr>
            </w:pPr>
            <w:r w:rsidRPr="00BD16B4">
              <w:rPr>
                <w:szCs w:val="18"/>
              </w:rPr>
              <w:t>IE</w:t>
            </w:r>
          </w:p>
        </w:tc>
        <w:tc>
          <w:tcPr>
            <w:tcW w:w="794" w:type="dxa"/>
            <w:shd w:val="clear" w:color="auto" w:fill="auto"/>
          </w:tcPr>
          <w:p w14:paraId="03297B86" w14:textId="77777777" w:rsidR="00ED2EBD" w:rsidRPr="00BD16B4" w:rsidRDefault="00ED2EBD" w:rsidP="004A205F">
            <w:pPr>
              <w:pStyle w:val="TableText"/>
              <w:spacing w:before="40" w:after="40"/>
              <w:jc w:val="right"/>
              <w:rPr>
                <w:szCs w:val="18"/>
              </w:rPr>
            </w:pPr>
            <w:r w:rsidRPr="00BD16B4">
              <w:rPr>
                <w:szCs w:val="18"/>
              </w:rPr>
              <w:t>IE</w:t>
            </w:r>
          </w:p>
        </w:tc>
      </w:tr>
      <w:tr w:rsidR="00F70C72" w:rsidRPr="00BD16B4" w14:paraId="2E5EA498" w14:textId="77777777" w:rsidTr="00F70C72">
        <w:tc>
          <w:tcPr>
            <w:tcW w:w="3539" w:type="dxa"/>
          </w:tcPr>
          <w:p w14:paraId="3661F04E" w14:textId="2C7F47A1" w:rsidR="00ED2EBD" w:rsidRPr="00BD16B4" w:rsidRDefault="00ED2EBD" w:rsidP="004A205F">
            <w:pPr>
              <w:pStyle w:val="TableText"/>
              <w:spacing w:before="40" w:after="40"/>
              <w:rPr>
                <w:szCs w:val="18"/>
              </w:rPr>
            </w:pPr>
            <w:r w:rsidRPr="00BD16B4">
              <w:rPr>
                <w:szCs w:val="18"/>
              </w:rPr>
              <w:t>F.</w:t>
            </w:r>
            <w:r w:rsidR="00280979" w:rsidRPr="00BD16B4">
              <w:rPr>
                <w:szCs w:val="18"/>
              </w:rPr>
              <w:t xml:space="preserve"> </w:t>
            </w:r>
            <w:r w:rsidRPr="00BD16B4">
              <w:rPr>
                <w:szCs w:val="18"/>
              </w:rPr>
              <w:t>Field burning of agricultural residues</w:t>
            </w:r>
          </w:p>
        </w:tc>
        <w:tc>
          <w:tcPr>
            <w:tcW w:w="794" w:type="dxa"/>
            <w:tcBorders>
              <w:bottom w:val="single" w:sz="4" w:space="0" w:color="1B556B" w:themeColor="text2"/>
            </w:tcBorders>
            <w:shd w:val="clear" w:color="auto" w:fill="auto"/>
          </w:tcPr>
          <w:p w14:paraId="664CC38A" w14:textId="77777777" w:rsidR="00ED2EBD" w:rsidRPr="00BD16B4" w:rsidRDefault="00ED2EBD" w:rsidP="004A205F">
            <w:pPr>
              <w:pStyle w:val="TableText"/>
              <w:spacing w:before="40" w:after="40"/>
              <w:jc w:val="right"/>
              <w:rPr>
                <w:szCs w:val="18"/>
              </w:rPr>
            </w:pPr>
            <w:r w:rsidRPr="00BD16B4">
              <w:rPr>
                <w:szCs w:val="18"/>
              </w:rPr>
              <w:t>0.94</w:t>
            </w:r>
          </w:p>
        </w:tc>
        <w:tc>
          <w:tcPr>
            <w:tcW w:w="794" w:type="dxa"/>
            <w:tcBorders>
              <w:bottom w:val="single" w:sz="4" w:space="0" w:color="1B556B" w:themeColor="text2"/>
            </w:tcBorders>
            <w:shd w:val="clear" w:color="auto" w:fill="auto"/>
          </w:tcPr>
          <w:p w14:paraId="29F671DB" w14:textId="77777777" w:rsidR="00ED2EBD" w:rsidRPr="00BD16B4" w:rsidRDefault="00ED2EBD" w:rsidP="004A205F">
            <w:pPr>
              <w:pStyle w:val="TableText"/>
              <w:spacing w:before="40" w:after="40"/>
              <w:jc w:val="right"/>
              <w:rPr>
                <w:szCs w:val="18"/>
              </w:rPr>
            </w:pPr>
            <w:r w:rsidRPr="00BD16B4">
              <w:rPr>
                <w:szCs w:val="18"/>
              </w:rPr>
              <w:t>0.94</w:t>
            </w:r>
          </w:p>
        </w:tc>
        <w:tc>
          <w:tcPr>
            <w:tcW w:w="794" w:type="dxa"/>
            <w:tcBorders>
              <w:bottom w:val="single" w:sz="4" w:space="0" w:color="1B556B" w:themeColor="text2"/>
            </w:tcBorders>
            <w:shd w:val="clear" w:color="auto" w:fill="auto"/>
          </w:tcPr>
          <w:p w14:paraId="6E7AA789" w14:textId="77777777" w:rsidR="00ED2EBD" w:rsidRPr="00BD16B4" w:rsidRDefault="00ED2EBD" w:rsidP="004A205F">
            <w:pPr>
              <w:pStyle w:val="TableText"/>
              <w:spacing w:before="40" w:after="40"/>
              <w:jc w:val="right"/>
              <w:rPr>
                <w:szCs w:val="18"/>
              </w:rPr>
            </w:pPr>
            <w:r w:rsidRPr="00BD16B4">
              <w:rPr>
                <w:szCs w:val="18"/>
              </w:rPr>
              <w:t>1.04</w:t>
            </w:r>
          </w:p>
        </w:tc>
        <w:tc>
          <w:tcPr>
            <w:tcW w:w="794" w:type="dxa"/>
            <w:tcBorders>
              <w:bottom w:val="single" w:sz="4" w:space="0" w:color="1B556B" w:themeColor="text2"/>
            </w:tcBorders>
            <w:shd w:val="clear" w:color="auto" w:fill="auto"/>
          </w:tcPr>
          <w:p w14:paraId="727A2FD2" w14:textId="77777777" w:rsidR="00ED2EBD" w:rsidRPr="00BD16B4" w:rsidRDefault="00ED2EBD" w:rsidP="004A205F">
            <w:pPr>
              <w:pStyle w:val="TableText"/>
              <w:spacing w:before="40" w:after="40"/>
              <w:jc w:val="right"/>
              <w:rPr>
                <w:szCs w:val="18"/>
              </w:rPr>
            </w:pPr>
            <w:r w:rsidRPr="00BD16B4">
              <w:rPr>
                <w:szCs w:val="18"/>
              </w:rPr>
              <w:t>1.03</w:t>
            </w:r>
          </w:p>
        </w:tc>
        <w:tc>
          <w:tcPr>
            <w:tcW w:w="794" w:type="dxa"/>
            <w:tcBorders>
              <w:bottom w:val="single" w:sz="4" w:space="0" w:color="1B556B" w:themeColor="text2"/>
            </w:tcBorders>
            <w:shd w:val="clear" w:color="auto" w:fill="auto"/>
          </w:tcPr>
          <w:p w14:paraId="548991A2" w14:textId="77777777" w:rsidR="00ED2EBD" w:rsidRPr="00BD16B4" w:rsidRDefault="00ED2EBD" w:rsidP="004A205F">
            <w:pPr>
              <w:pStyle w:val="TableText"/>
              <w:spacing w:before="40" w:after="40"/>
              <w:jc w:val="right"/>
              <w:rPr>
                <w:szCs w:val="18"/>
              </w:rPr>
            </w:pPr>
            <w:r w:rsidRPr="00BD16B4">
              <w:rPr>
                <w:szCs w:val="18"/>
              </w:rPr>
              <w:t>0.98</w:t>
            </w:r>
          </w:p>
        </w:tc>
        <w:tc>
          <w:tcPr>
            <w:tcW w:w="794" w:type="dxa"/>
            <w:tcBorders>
              <w:bottom w:val="single" w:sz="4" w:space="0" w:color="1B556B" w:themeColor="text2"/>
            </w:tcBorders>
            <w:shd w:val="clear" w:color="auto" w:fill="auto"/>
          </w:tcPr>
          <w:p w14:paraId="3CA4E7EA" w14:textId="77777777" w:rsidR="00ED2EBD" w:rsidRPr="00BD16B4" w:rsidRDefault="00ED2EBD" w:rsidP="004A205F">
            <w:pPr>
              <w:pStyle w:val="TableText"/>
              <w:spacing w:before="40" w:after="40"/>
              <w:jc w:val="right"/>
              <w:rPr>
                <w:szCs w:val="18"/>
              </w:rPr>
            </w:pPr>
            <w:r w:rsidRPr="00BD16B4">
              <w:rPr>
                <w:szCs w:val="18"/>
              </w:rPr>
              <w:t>0.73</w:t>
            </w:r>
          </w:p>
        </w:tc>
        <w:tc>
          <w:tcPr>
            <w:tcW w:w="794" w:type="dxa"/>
            <w:tcBorders>
              <w:bottom w:val="single" w:sz="4" w:space="0" w:color="1B556B" w:themeColor="text2"/>
            </w:tcBorders>
            <w:shd w:val="clear" w:color="auto" w:fill="auto"/>
          </w:tcPr>
          <w:p w14:paraId="1D61E3B6" w14:textId="77777777" w:rsidR="00ED2EBD" w:rsidRPr="00BD16B4" w:rsidRDefault="00ED2EBD" w:rsidP="004A205F">
            <w:pPr>
              <w:pStyle w:val="TableText"/>
              <w:spacing w:before="40" w:after="40"/>
              <w:jc w:val="right"/>
              <w:rPr>
                <w:szCs w:val="18"/>
              </w:rPr>
            </w:pPr>
            <w:r w:rsidRPr="00BD16B4">
              <w:rPr>
                <w:szCs w:val="18"/>
              </w:rPr>
              <w:t>0.88</w:t>
            </w:r>
          </w:p>
        </w:tc>
        <w:tc>
          <w:tcPr>
            <w:tcW w:w="794" w:type="dxa"/>
            <w:tcBorders>
              <w:bottom w:val="single" w:sz="4" w:space="0" w:color="1B556B" w:themeColor="text2"/>
            </w:tcBorders>
            <w:shd w:val="clear" w:color="auto" w:fill="auto"/>
          </w:tcPr>
          <w:p w14:paraId="4F697F94" w14:textId="77777777" w:rsidR="00ED2EBD" w:rsidRPr="00BD16B4" w:rsidRDefault="00ED2EBD" w:rsidP="004A205F">
            <w:pPr>
              <w:pStyle w:val="TableText"/>
              <w:spacing w:before="40" w:after="40"/>
              <w:jc w:val="right"/>
              <w:rPr>
                <w:szCs w:val="18"/>
              </w:rPr>
            </w:pPr>
            <w:r w:rsidRPr="00BD16B4">
              <w:rPr>
                <w:szCs w:val="18"/>
              </w:rPr>
              <w:t>0.83</w:t>
            </w:r>
          </w:p>
        </w:tc>
        <w:tc>
          <w:tcPr>
            <w:tcW w:w="794" w:type="dxa"/>
            <w:tcBorders>
              <w:bottom w:val="single" w:sz="4" w:space="0" w:color="1B556B" w:themeColor="text2"/>
            </w:tcBorders>
            <w:shd w:val="clear" w:color="auto" w:fill="auto"/>
          </w:tcPr>
          <w:p w14:paraId="1D502F07" w14:textId="77777777" w:rsidR="00ED2EBD" w:rsidRPr="00BD16B4" w:rsidRDefault="00ED2EBD" w:rsidP="004A205F">
            <w:pPr>
              <w:pStyle w:val="TableText"/>
              <w:spacing w:before="40" w:after="40"/>
              <w:jc w:val="right"/>
              <w:rPr>
                <w:szCs w:val="18"/>
              </w:rPr>
            </w:pPr>
            <w:r w:rsidRPr="00BD16B4">
              <w:rPr>
                <w:szCs w:val="18"/>
              </w:rPr>
              <w:t>1.03</w:t>
            </w:r>
          </w:p>
        </w:tc>
        <w:tc>
          <w:tcPr>
            <w:tcW w:w="794" w:type="dxa"/>
            <w:tcBorders>
              <w:bottom w:val="single" w:sz="4" w:space="0" w:color="1B556B" w:themeColor="text2"/>
            </w:tcBorders>
            <w:shd w:val="clear" w:color="auto" w:fill="auto"/>
          </w:tcPr>
          <w:p w14:paraId="2828E65A" w14:textId="77777777" w:rsidR="00ED2EBD" w:rsidRPr="00BD16B4" w:rsidRDefault="00ED2EBD" w:rsidP="004A205F">
            <w:pPr>
              <w:pStyle w:val="TableText"/>
              <w:spacing w:before="40" w:after="40"/>
              <w:jc w:val="right"/>
              <w:rPr>
                <w:szCs w:val="18"/>
              </w:rPr>
            </w:pPr>
            <w:r w:rsidRPr="00BD16B4">
              <w:rPr>
                <w:szCs w:val="18"/>
              </w:rPr>
              <w:t>0.85</w:t>
            </w:r>
          </w:p>
        </w:tc>
        <w:tc>
          <w:tcPr>
            <w:tcW w:w="794" w:type="dxa"/>
            <w:tcBorders>
              <w:bottom w:val="single" w:sz="4" w:space="0" w:color="1B556B" w:themeColor="text2"/>
            </w:tcBorders>
            <w:shd w:val="clear" w:color="auto" w:fill="auto"/>
          </w:tcPr>
          <w:p w14:paraId="4419D71F" w14:textId="77777777" w:rsidR="00ED2EBD" w:rsidRPr="00BD16B4" w:rsidRDefault="00ED2EBD" w:rsidP="004A205F">
            <w:pPr>
              <w:pStyle w:val="TableText"/>
              <w:spacing w:before="40" w:after="40"/>
              <w:jc w:val="right"/>
              <w:rPr>
                <w:szCs w:val="18"/>
              </w:rPr>
            </w:pPr>
            <w:r w:rsidRPr="00BD16B4">
              <w:rPr>
                <w:szCs w:val="18"/>
              </w:rPr>
              <w:t>0.84</w:t>
            </w:r>
          </w:p>
        </w:tc>
      </w:tr>
      <w:tr w:rsidR="0092050F" w:rsidRPr="00BD16B4" w14:paraId="4CB12681" w14:textId="77777777" w:rsidTr="00F70C72">
        <w:tc>
          <w:tcPr>
            <w:tcW w:w="3539" w:type="dxa"/>
          </w:tcPr>
          <w:p w14:paraId="7FDD1702" w14:textId="50692DF4" w:rsidR="00ED2EBD" w:rsidRPr="00BD16B4" w:rsidRDefault="00ED2EBD" w:rsidP="004A205F">
            <w:pPr>
              <w:pStyle w:val="TableText"/>
              <w:spacing w:before="40" w:after="40"/>
              <w:rPr>
                <w:szCs w:val="18"/>
              </w:rPr>
            </w:pPr>
            <w:r w:rsidRPr="00BD16B4">
              <w:rPr>
                <w:szCs w:val="18"/>
              </w:rPr>
              <w:t>G.</w:t>
            </w:r>
            <w:r w:rsidR="00280979" w:rsidRPr="00BD16B4">
              <w:rPr>
                <w:szCs w:val="18"/>
              </w:rPr>
              <w:t xml:space="preserve"> </w:t>
            </w:r>
            <w:r w:rsidRPr="00BD16B4">
              <w:rPr>
                <w:szCs w:val="18"/>
              </w:rPr>
              <w:t>Liming</w:t>
            </w:r>
          </w:p>
        </w:tc>
        <w:tc>
          <w:tcPr>
            <w:tcW w:w="794" w:type="dxa"/>
            <w:tcBorders>
              <w:top w:val="single" w:sz="4" w:space="0" w:color="1B556B" w:themeColor="text2"/>
            </w:tcBorders>
            <w:shd w:val="clear" w:color="auto" w:fill="D2DDE1" w:themeFill="background2"/>
          </w:tcPr>
          <w:p w14:paraId="5FC8A5F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2F946A9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6BC93B7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21FAB7D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2A6C9AB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2377200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2C13F74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501E64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04EC5EA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7AF8083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86097ED" w14:textId="77777777" w:rsidR="00ED2EBD" w:rsidRPr="00BD16B4" w:rsidRDefault="00ED2EBD" w:rsidP="004A205F">
            <w:pPr>
              <w:pStyle w:val="TableText"/>
              <w:spacing w:before="40" w:after="40"/>
              <w:jc w:val="right"/>
              <w:rPr>
                <w:szCs w:val="18"/>
              </w:rPr>
            </w:pPr>
            <w:r w:rsidRPr="00BD16B4">
              <w:rPr>
                <w:color w:val="000000"/>
                <w:szCs w:val="18"/>
              </w:rPr>
              <w:t> </w:t>
            </w:r>
          </w:p>
        </w:tc>
      </w:tr>
      <w:tr w:rsidR="0092050F" w:rsidRPr="00BD16B4" w14:paraId="0018B981" w14:textId="77777777" w:rsidTr="00F70C72">
        <w:tc>
          <w:tcPr>
            <w:tcW w:w="3539" w:type="dxa"/>
          </w:tcPr>
          <w:p w14:paraId="431F00AC" w14:textId="2C8DE383" w:rsidR="00ED2EBD" w:rsidRPr="00BD16B4" w:rsidRDefault="00ED2EBD" w:rsidP="004A205F">
            <w:pPr>
              <w:pStyle w:val="TableText"/>
              <w:spacing w:before="40" w:after="40"/>
              <w:rPr>
                <w:szCs w:val="18"/>
              </w:rPr>
            </w:pPr>
            <w:r w:rsidRPr="00BD16B4">
              <w:rPr>
                <w:szCs w:val="18"/>
              </w:rPr>
              <w:t>H.</w:t>
            </w:r>
            <w:r w:rsidR="00280979" w:rsidRPr="00BD16B4">
              <w:rPr>
                <w:szCs w:val="18"/>
              </w:rPr>
              <w:t xml:space="preserve"> </w:t>
            </w:r>
            <w:r w:rsidRPr="00BD16B4">
              <w:rPr>
                <w:szCs w:val="18"/>
              </w:rPr>
              <w:t>Urea application</w:t>
            </w:r>
          </w:p>
        </w:tc>
        <w:tc>
          <w:tcPr>
            <w:tcW w:w="794" w:type="dxa"/>
            <w:tcBorders>
              <w:top w:val="single" w:sz="4" w:space="0" w:color="1B556B" w:themeColor="text2"/>
            </w:tcBorders>
            <w:shd w:val="clear" w:color="auto" w:fill="D2DDE1" w:themeFill="background2"/>
          </w:tcPr>
          <w:p w14:paraId="1769B03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4C99C66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425D65D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419A03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3623F1B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BFBBE0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23B5411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7B8F24E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3D87EDC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22B93A1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36F56B0E" w14:textId="77777777" w:rsidR="00ED2EBD" w:rsidRPr="00BD16B4" w:rsidRDefault="00ED2EBD" w:rsidP="004A205F">
            <w:pPr>
              <w:pStyle w:val="TableText"/>
              <w:spacing w:before="40" w:after="40"/>
              <w:jc w:val="right"/>
              <w:rPr>
                <w:szCs w:val="18"/>
              </w:rPr>
            </w:pPr>
            <w:r w:rsidRPr="00BD16B4">
              <w:rPr>
                <w:color w:val="000000"/>
                <w:szCs w:val="18"/>
              </w:rPr>
              <w:t> </w:t>
            </w:r>
          </w:p>
        </w:tc>
      </w:tr>
      <w:tr w:rsidR="0092050F" w:rsidRPr="00BD16B4" w14:paraId="5178D1DE" w14:textId="77777777" w:rsidTr="00F70C72">
        <w:tc>
          <w:tcPr>
            <w:tcW w:w="3539" w:type="dxa"/>
          </w:tcPr>
          <w:p w14:paraId="4F912CEE" w14:textId="61A8B1F1" w:rsidR="00ED2EBD" w:rsidRPr="00BD16B4" w:rsidRDefault="00ED2EBD" w:rsidP="004A205F">
            <w:pPr>
              <w:pStyle w:val="TableText"/>
              <w:spacing w:before="40" w:after="40"/>
              <w:rPr>
                <w:szCs w:val="18"/>
              </w:rPr>
            </w:pPr>
            <w:r w:rsidRPr="00BD16B4">
              <w:rPr>
                <w:szCs w:val="18"/>
              </w:rPr>
              <w:t>I.</w:t>
            </w:r>
            <w:r w:rsidR="00280979" w:rsidRPr="00BD16B4">
              <w:rPr>
                <w:szCs w:val="18"/>
              </w:rPr>
              <w:t xml:space="preserve"> </w:t>
            </w:r>
            <w:r w:rsidRPr="00BD16B4">
              <w:rPr>
                <w:szCs w:val="18"/>
              </w:rPr>
              <w:t>Other carbon-containing fertilizers</w:t>
            </w:r>
          </w:p>
        </w:tc>
        <w:tc>
          <w:tcPr>
            <w:tcW w:w="794" w:type="dxa"/>
            <w:tcBorders>
              <w:top w:val="single" w:sz="4" w:space="0" w:color="1B556B" w:themeColor="text2"/>
            </w:tcBorders>
            <w:shd w:val="clear" w:color="auto" w:fill="D2DDE1" w:themeFill="background2"/>
          </w:tcPr>
          <w:p w14:paraId="0F75809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29D368C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2E66F25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3E6C6E0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60C56AF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0A4711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0F92B15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09AAC68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778EF40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4235436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066C3F9" w14:textId="77777777" w:rsidR="00ED2EBD" w:rsidRPr="00BD16B4" w:rsidRDefault="00ED2EBD" w:rsidP="004A205F">
            <w:pPr>
              <w:pStyle w:val="TableText"/>
              <w:spacing w:before="40" w:after="40"/>
              <w:jc w:val="right"/>
              <w:rPr>
                <w:szCs w:val="18"/>
              </w:rPr>
            </w:pPr>
            <w:r w:rsidRPr="00BD16B4">
              <w:rPr>
                <w:color w:val="000000"/>
                <w:szCs w:val="18"/>
              </w:rPr>
              <w:t> </w:t>
            </w:r>
          </w:p>
        </w:tc>
      </w:tr>
      <w:tr w:rsidR="0092050F" w:rsidRPr="00BD16B4" w14:paraId="26AECBD0" w14:textId="77777777" w:rsidTr="00F70C72">
        <w:tc>
          <w:tcPr>
            <w:tcW w:w="3539" w:type="dxa"/>
          </w:tcPr>
          <w:p w14:paraId="23180426" w14:textId="0930B0AD" w:rsidR="00ED2EBD" w:rsidRPr="00BD16B4" w:rsidRDefault="00ED2EBD" w:rsidP="004A205F">
            <w:pPr>
              <w:pStyle w:val="TableText"/>
              <w:spacing w:before="40" w:after="40"/>
              <w:rPr>
                <w:szCs w:val="18"/>
              </w:rPr>
            </w:pPr>
            <w:r w:rsidRPr="00BD16B4">
              <w:rPr>
                <w:szCs w:val="18"/>
              </w:rPr>
              <w:t>J.</w:t>
            </w:r>
            <w:r w:rsidR="00280979" w:rsidRPr="00BD16B4">
              <w:rPr>
                <w:szCs w:val="18"/>
              </w:rPr>
              <w:t xml:space="preserve"> </w:t>
            </w:r>
            <w:r w:rsidRPr="00BD16B4">
              <w:rPr>
                <w:szCs w:val="18"/>
              </w:rPr>
              <w:t xml:space="preserve">Other </w:t>
            </w:r>
          </w:p>
        </w:tc>
        <w:tc>
          <w:tcPr>
            <w:tcW w:w="794" w:type="dxa"/>
            <w:tcBorders>
              <w:top w:val="single" w:sz="4" w:space="0" w:color="1B556B" w:themeColor="text2"/>
            </w:tcBorders>
            <w:shd w:val="clear" w:color="auto" w:fill="D2DDE1" w:themeFill="background2"/>
          </w:tcPr>
          <w:p w14:paraId="6B63D8C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707F51B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5F6F693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5025688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462810A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0A13E26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37E1A6C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66C7982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223E52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061C029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7B9BE50B" w14:textId="77777777" w:rsidR="00ED2EBD" w:rsidRPr="00BD16B4" w:rsidRDefault="00ED2EBD" w:rsidP="004A205F">
            <w:pPr>
              <w:pStyle w:val="TableText"/>
              <w:spacing w:before="40" w:after="40"/>
              <w:jc w:val="right"/>
              <w:rPr>
                <w:szCs w:val="18"/>
              </w:rPr>
            </w:pPr>
            <w:r w:rsidRPr="00BD16B4">
              <w:rPr>
                <w:color w:val="000000"/>
                <w:szCs w:val="18"/>
              </w:rPr>
              <w:t> </w:t>
            </w:r>
          </w:p>
        </w:tc>
      </w:tr>
      <w:tr w:rsidR="00921D3E" w:rsidRPr="00BD16B4" w14:paraId="69D5FD61" w14:textId="77777777" w:rsidTr="00F70C72">
        <w:tc>
          <w:tcPr>
            <w:tcW w:w="3539" w:type="dxa"/>
          </w:tcPr>
          <w:p w14:paraId="1ACDA4EF" w14:textId="2AB5ACBA" w:rsidR="00ED2EBD" w:rsidRPr="00BD16B4" w:rsidRDefault="00ED2EBD" w:rsidP="004A205F">
            <w:pPr>
              <w:pStyle w:val="TableText"/>
              <w:spacing w:before="40" w:after="40"/>
              <w:rPr>
                <w:szCs w:val="18"/>
              </w:rPr>
            </w:pPr>
            <w:r w:rsidRPr="00BD16B4">
              <w:rPr>
                <w:b/>
                <w:bCs/>
                <w:szCs w:val="18"/>
              </w:rPr>
              <w:t>4.</w:t>
            </w:r>
            <w:r w:rsidR="00280979" w:rsidRPr="00BD16B4">
              <w:rPr>
                <w:b/>
                <w:bCs/>
                <w:szCs w:val="18"/>
              </w:rPr>
              <w:t xml:space="preserve"> </w:t>
            </w:r>
            <w:r w:rsidRPr="00BD16B4">
              <w:rPr>
                <w:b/>
                <w:bCs/>
                <w:szCs w:val="18"/>
              </w:rPr>
              <w:t>Land Use, Land-Use Change and Forestry</w:t>
            </w:r>
          </w:p>
        </w:tc>
        <w:tc>
          <w:tcPr>
            <w:tcW w:w="794" w:type="dxa"/>
            <w:shd w:val="clear" w:color="auto" w:fill="auto"/>
          </w:tcPr>
          <w:p w14:paraId="5E3D2B68" w14:textId="77777777" w:rsidR="00ED2EBD" w:rsidRPr="00BD16B4" w:rsidRDefault="00ED2EBD" w:rsidP="004A205F">
            <w:pPr>
              <w:pStyle w:val="TableText"/>
              <w:spacing w:before="40" w:after="40"/>
              <w:jc w:val="right"/>
              <w:rPr>
                <w:szCs w:val="18"/>
              </w:rPr>
            </w:pPr>
            <w:r w:rsidRPr="00BD16B4">
              <w:rPr>
                <w:szCs w:val="18"/>
              </w:rPr>
              <w:t>3.18</w:t>
            </w:r>
          </w:p>
        </w:tc>
        <w:tc>
          <w:tcPr>
            <w:tcW w:w="794" w:type="dxa"/>
            <w:shd w:val="clear" w:color="auto" w:fill="auto"/>
          </w:tcPr>
          <w:p w14:paraId="6BB712AA" w14:textId="77777777" w:rsidR="00ED2EBD" w:rsidRPr="00BD16B4" w:rsidRDefault="00ED2EBD" w:rsidP="004A205F">
            <w:pPr>
              <w:pStyle w:val="TableText"/>
              <w:spacing w:before="40" w:after="40"/>
              <w:jc w:val="right"/>
              <w:rPr>
                <w:szCs w:val="18"/>
              </w:rPr>
            </w:pPr>
            <w:r w:rsidRPr="00BD16B4">
              <w:rPr>
                <w:szCs w:val="18"/>
              </w:rPr>
              <w:t>2.80</w:t>
            </w:r>
          </w:p>
        </w:tc>
        <w:tc>
          <w:tcPr>
            <w:tcW w:w="794" w:type="dxa"/>
            <w:shd w:val="clear" w:color="auto" w:fill="auto"/>
          </w:tcPr>
          <w:p w14:paraId="6953F473" w14:textId="77777777" w:rsidR="00ED2EBD" w:rsidRPr="00BD16B4" w:rsidRDefault="00ED2EBD" w:rsidP="004A205F">
            <w:pPr>
              <w:pStyle w:val="TableText"/>
              <w:spacing w:before="40" w:after="40"/>
              <w:jc w:val="right"/>
              <w:rPr>
                <w:szCs w:val="18"/>
              </w:rPr>
            </w:pPr>
            <w:r w:rsidRPr="00BD16B4">
              <w:rPr>
                <w:szCs w:val="18"/>
              </w:rPr>
              <w:t>2.98</w:t>
            </w:r>
          </w:p>
        </w:tc>
        <w:tc>
          <w:tcPr>
            <w:tcW w:w="794" w:type="dxa"/>
            <w:shd w:val="clear" w:color="auto" w:fill="auto"/>
          </w:tcPr>
          <w:p w14:paraId="54D5C0CF" w14:textId="77777777" w:rsidR="00ED2EBD" w:rsidRPr="00BD16B4" w:rsidRDefault="00ED2EBD" w:rsidP="004A205F">
            <w:pPr>
              <w:pStyle w:val="TableText"/>
              <w:spacing w:before="40" w:after="40"/>
              <w:jc w:val="right"/>
              <w:rPr>
                <w:szCs w:val="18"/>
              </w:rPr>
            </w:pPr>
            <w:r w:rsidRPr="00BD16B4">
              <w:rPr>
                <w:szCs w:val="18"/>
              </w:rPr>
              <w:t>3.07</w:t>
            </w:r>
          </w:p>
        </w:tc>
        <w:tc>
          <w:tcPr>
            <w:tcW w:w="794" w:type="dxa"/>
            <w:shd w:val="clear" w:color="auto" w:fill="auto"/>
          </w:tcPr>
          <w:p w14:paraId="2752A7A8" w14:textId="77777777" w:rsidR="00ED2EBD" w:rsidRPr="00BD16B4" w:rsidRDefault="00ED2EBD" w:rsidP="004A205F">
            <w:pPr>
              <w:pStyle w:val="TableText"/>
              <w:spacing w:before="40" w:after="40"/>
              <w:jc w:val="right"/>
              <w:rPr>
                <w:szCs w:val="18"/>
              </w:rPr>
            </w:pPr>
            <w:r w:rsidRPr="00BD16B4">
              <w:rPr>
                <w:szCs w:val="18"/>
              </w:rPr>
              <w:t>3.28</w:t>
            </w:r>
          </w:p>
        </w:tc>
        <w:tc>
          <w:tcPr>
            <w:tcW w:w="794" w:type="dxa"/>
            <w:shd w:val="clear" w:color="auto" w:fill="auto"/>
          </w:tcPr>
          <w:p w14:paraId="28F6A56F" w14:textId="77777777" w:rsidR="00ED2EBD" w:rsidRPr="00BD16B4" w:rsidRDefault="00ED2EBD" w:rsidP="004A205F">
            <w:pPr>
              <w:pStyle w:val="TableText"/>
              <w:spacing w:before="40" w:after="40"/>
              <w:jc w:val="right"/>
              <w:rPr>
                <w:szCs w:val="18"/>
              </w:rPr>
            </w:pPr>
            <w:r w:rsidRPr="00BD16B4">
              <w:rPr>
                <w:szCs w:val="18"/>
              </w:rPr>
              <w:t>3.02</w:t>
            </w:r>
          </w:p>
        </w:tc>
        <w:tc>
          <w:tcPr>
            <w:tcW w:w="794" w:type="dxa"/>
            <w:shd w:val="clear" w:color="auto" w:fill="auto"/>
          </w:tcPr>
          <w:p w14:paraId="19355F28" w14:textId="77777777" w:rsidR="00ED2EBD" w:rsidRPr="00BD16B4" w:rsidRDefault="00ED2EBD" w:rsidP="004A205F">
            <w:pPr>
              <w:pStyle w:val="TableText"/>
              <w:spacing w:before="40" w:after="40"/>
              <w:jc w:val="right"/>
              <w:rPr>
                <w:szCs w:val="18"/>
              </w:rPr>
            </w:pPr>
            <w:r w:rsidRPr="00BD16B4">
              <w:rPr>
                <w:szCs w:val="18"/>
              </w:rPr>
              <w:t>4.44</w:t>
            </w:r>
          </w:p>
        </w:tc>
        <w:tc>
          <w:tcPr>
            <w:tcW w:w="794" w:type="dxa"/>
            <w:shd w:val="clear" w:color="auto" w:fill="auto"/>
          </w:tcPr>
          <w:p w14:paraId="2F902E1D" w14:textId="77777777" w:rsidR="00ED2EBD" w:rsidRPr="00BD16B4" w:rsidRDefault="00ED2EBD" w:rsidP="004A205F">
            <w:pPr>
              <w:pStyle w:val="TableText"/>
              <w:spacing w:before="40" w:after="40"/>
              <w:jc w:val="right"/>
              <w:rPr>
                <w:szCs w:val="18"/>
              </w:rPr>
            </w:pPr>
            <w:r w:rsidRPr="00BD16B4">
              <w:rPr>
                <w:szCs w:val="18"/>
              </w:rPr>
              <w:t>4.54</w:t>
            </w:r>
          </w:p>
        </w:tc>
        <w:tc>
          <w:tcPr>
            <w:tcW w:w="794" w:type="dxa"/>
            <w:shd w:val="clear" w:color="auto" w:fill="auto"/>
          </w:tcPr>
          <w:p w14:paraId="4945EB4C" w14:textId="77777777" w:rsidR="00ED2EBD" w:rsidRPr="00BD16B4" w:rsidRDefault="00ED2EBD" w:rsidP="004A205F">
            <w:pPr>
              <w:pStyle w:val="TableText"/>
              <w:spacing w:before="40" w:after="40"/>
              <w:jc w:val="right"/>
              <w:rPr>
                <w:szCs w:val="18"/>
              </w:rPr>
            </w:pPr>
            <w:r w:rsidRPr="00BD16B4">
              <w:rPr>
                <w:szCs w:val="18"/>
              </w:rPr>
              <w:t>6.00</w:t>
            </w:r>
          </w:p>
        </w:tc>
        <w:tc>
          <w:tcPr>
            <w:tcW w:w="794" w:type="dxa"/>
            <w:shd w:val="clear" w:color="auto" w:fill="auto"/>
          </w:tcPr>
          <w:p w14:paraId="1A609781" w14:textId="77777777" w:rsidR="00ED2EBD" w:rsidRPr="00BD16B4" w:rsidRDefault="00ED2EBD" w:rsidP="004A205F">
            <w:pPr>
              <w:pStyle w:val="TableText"/>
              <w:spacing w:before="40" w:after="40"/>
              <w:jc w:val="right"/>
              <w:rPr>
                <w:szCs w:val="18"/>
              </w:rPr>
            </w:pPr>
            <w:r w:rsidRPr="00BD16B4">
              <w:rPr>
                <w:szCs w:val="18"/>
              </w:rPr>
              <w:t>3.08</w:t>
            </w:r>
          </w:p>
        </w:tc>
        <w:tc>
          <w:tcPr>
            <w:tcW w:w="794" w:type="dxa"/>
            <w:shd w:val="clear" w:color="auto" w:fill="auto"/>
          </w:tcPr>
          <w:p w14:paraId="06A101FD" w14:textId="77777777" w:rsidR="00ED2EBD" w:rsidRPr="00BD16B4" w:rsidRDefault="00ED2EBD" w:rsidP="004A205F">
            <w:pPr>
              <w:pStyle w:val="TableText"/>
              <w:spacing w:before="40" w:after="40"/>
              <w:jc w:val="right"/>
              <w:rPr>
                <w:szCs w:val="18"/>
              </w:rPr>
            </w:pPr>
            <w:r w:rsidRPr="00BD16B4">
              <w:rPr>
                <w:szCs w:val="18"/>
              </w:rPr>
              <w:t>3.92</w:t>
            </w:r>
          </w:p>
        </w:tc>
      </w:tr>
      <w:tr w:rsidR="00921D3E" w:rsidRPr="00BD16B4" w14:paraId="1E81F47D" w14:textId="77777777" w:rsidTr="00F70C72">
        <w:tc>
          <w:tcPr>
            <w:tcW w:w="3539" w:type="dxa"/>
          </w:tcPr>
          <w:p w14:paraId="51667477" w14:textId="7D26BB0B"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Forest land</w:t>
            </w:r>
          </w:p>
        </w:tc>
        <w:tc>
          <w:tcPr>
            <w:tcW w:w="794" w:type="dxa"/>
            <w:shd w:val="clear" w:color="auto" w:fill="auto"/>
          </w:tcPr>
          <w:p w14:paraId="628EC73B" w14:textId="77777777" w:rsidR="00ED2EBD" w:rsidRPr="00BD16B4" w:rsidRDefault="00ED2EBD" w:rsidP="004A205F">
            <w:pPr>
              <w:pStyle w:val="TableText"/>
              <w:spacing w:before="40" w:after="40"/>
              <w:jc w:val="right"/>
              <w:rPr>
                <w:szCs w:val="18"/>
              </w:rPr>
            </w:pPr>
            <w:r w:rsidRPr="00BD16B4">
              <w:rPr>
                <w:szCs w:val="18"/>
              </w:rPr>
              <w:t>0.50</w:t>
            </w:r>
          </w:p>
        </w:tc>
        <w:tc>
          <w:tcPr>
            <w:tcW w:w="794" w:type="dxa"/>
            <w:shd w:val="clear" w:color="auto" w:fill="auto"/>
          </w:tcPr>
          <w:p w14:paraId="1A7DFFA6" w14:textId="77777777" w:rsidR="00ED2EBD" w:rsidRPr="00BD16B4" w:rsidRDefault="00ED2EBD" w:rsidP="004A205F">
            <w:pPr>
              <w:pStyle w:val="TableText"/>
              <w:spacing w:before="40" w:after="40"/>
              <w:jc w:val="right"/>
              <w:rPr>
                <w:szCs w:val="18"/>
              </w:rPr>
            </w:pPr>
            <w:r w:rsidRPr="00BD16B4">
              <w:rPr>
                <w:szCs w:val="18"/>
              </w:rPr>
              <w:t>0.58</w:t>
            </w:r>
          </w:p>
        </w:tc>
        <w:tc>
          <w:tcPr>
            <w:tcW w:w="794" w:type="dxa"/>
            <w:shd w:val="clear" w:color="auto" w:fill="auto"/>
          </w:tcPr>
          <w:p w14:paraId="6EC53548" w14:textId="77777777" w:rsidR="00ED2EBD" w:rsidRPr="00BD16B4" w:rsidRDefault="00ED2EBD" w:rsidP="004A205F">
            <w:pPr>
              <w:pStyle w:val="TableText"/>
              <w:spacing w:before="40" w:after="40"/>
              <w:jc w:val="right"/>
              <w:rPr>
                <w:szCs w:val="18"/>
              </w:rPr>
            </w:pPr>
            <w:r w:rsidRPr="00BD16B4">
              <w:rPr>
                <w:szCs w:val="18"/>
              </w:rPr>
              <w:t>0.52</w:t>
            </w:r>
          </w:p>
        </w:tc>
        <w:tc>
          <w:tcPr>
            <w:tcW w:w="794" w:type="dxa"/>
            <w:shd w:val="clear" w:color="auto" w:fill="auto"/>
          </w:tcPr>
          <w:p w14:paraId="1E99EAEB" w14:textId="77777777" w:rsidR="00ED2EBD" w:rsidRPr="00BD16B4" w:rsidRDefault="00ED2EBD" w:rsidP="004A205F">
            <w:pPr>
              <w:pStyle w:val="TableText"/>
              <w:spacing w:before="40" w:after="40"/>
              <w:jc w:val="right"/>
              <w:rPr>
                <w:szCs w:val="18"/>
              </w:rPr>
            </w:pPr>
            <w:r w:rsidRPr="00BD16B4">
              <w:rPr>
                <w:szCs w:val="18"/>
              </w:rPr>
              <w:t>0.58</w:t>
            </w:r>
          </w:p>
        </w:tc>
        <w:tc>
          <w:tcPr>
            <w:tcW w:w="794" w:type="dxa"/>
            <w:shd w:val="clear" w:color="auto" w:fill="auto"/>
          </w:tcPr>
          <w:p w14:paraId="11D5F23F" w14:textId="77777777" w:rsidR="00ED2EBD" w:rsidRPr="00BD16B4" w:rsidRDefault="00ED2EBD" w:rsidP="004A205F">
            <w:pPr>
              <w:pStyle w:val="TableText"/>
              <w:spacing w:before="40" w:after="40"/>
              <w:jc w:val="right"/>
              <w:rPr>
                <w:szCs w:val="18"/>
              </w:rPr>
            </w:pPr>
            <w:r w:rsidRPr="00BD16B4">
              <w:rPr>
                <w:szCs w:val="18"/>
              </w:rPr>
              <w:t>0.47</w:t>
            </w:r>
          </w:p>
        </w:tc>
        <w:tc>
          <w:tcPr>
            <w:tcW w:w="794" w:type="dxa"/>
            <w:shd w:val="clear" w:color="auto" w:fill="auto"/>
          </w:tcPr>
          <w:p w14:paraId="57BB0931" w14:textId="77777777" w:rsidR="00ED2EBD" w:rsidRPr="00BD16B4" w:rsidRDefault="00ED2EBD" w:rsidP="004A205F">
            <w:pPr>
              <w:pStyle w:val="TableText"/>
              <w:spacing w:before="40" w:after="40"/>
              <w:jc w:val="right"/>
              <w:rPr>
                <w:szCs w:val="18"/>
              </w:rPr>
            </w:pPr>
            <w:r w:rsidRPr="00BD16B4">
              <w:rPr>
                <w:szCs w:val="18"/>
              </w:rPr>
              <w:t>0.45</w:t>
            </w:r>
          </w:p>
        </w:tc>
        <w:tc>
          <w:tcPr>
            <w:tcW w:w="794" w:type="dxa"/>
            <w:shd w:val="clear" w:color="auto" w:fill="auto"/>
          </w:tcPr>
          <w:p w14:paraId="3D5C8062" w14:textId="77777777" w:rsidR="00ED2EBD" w:rsidRPr="00BD16B4" w:rsidRDefault="00ED2EBD" w:rsidP="004A205F">
            <w:pPr>
              <w:pStyle w:val="TableText"/>
              <w:spacing w:before="40" w:after="40"/>
              <w:jc w:val="right"/>
              <w:rPr>
                <w:szCs w:val="18"/>
              </w:rPr>
            </w:pPr>
            <w:r w:rsidRPr="00BD16B4">
              <w:rPr>
                <w:szCs w:val="18"/>
              </w:rPr>
              <w:t>0.43</w:t>
            </w:r>
          </w:p>
        </w:tc>
        <w:tc>
          <w:tcPr>
            <w:tcW w:w="794" w:type="dxa"/>
            <w:shd w:val="clear" w:color="auto" w:fill="auto"/>
          </w:tcPr>
          <w:p w14:paraId="20B5F271" w14:textId="77777777" w:rsidR="00ED2EBD" w:rsidRPr="00BD16B4" w:rsidRDefault="00ED2EBD" w:rsidP="004A205F">
            <w:pPr>
              <w:pStyle w:val="TableText"/>
              <w:spacing w:before="40" w:after="40"/>
              <w:jc w:val="right"/>
              <w:rPr>
                <w:szCs w:val="18"/>
              </w:rPr>
            </w:pPr>
            <w:r w:rsidRPr="00BD16B4">
              <w:rPr>
                <w:szCs w:val="18"/>
              </w:rPr>
              <w:t>0.48</w:t>
            </w:r>
          </w:p>
        </w:tc>
        <w:tc>
          <w:tcPr>
            <w:tcW w:w="794" w:type="dxa"/>
            <w:shd w:val="clear" w:color="auto" w:fill="auto"/>
          </w:tcPr>
          <w:p w14:paraId="7F228D6C" w14:textId="77777777" w:rsidR="00ED2EBD" w:rsidRPr="00BD16B4" w:rsidRDefault="00ED2EBD" w:rsidP="004A205F">
            <w:pPr>
              <w:pStyle w:val="TableText"/>
              <w:spacing w:before="40" w:after="40"/>
              <w:jc w:val="right"/>
              <w:rPr>
                <w:szCs w:val="18"/>
              </w:rPr>
            </w:pPr>
            <w:r w:rsidRPr="00BD16B4">
              <w:rPr>
                <w:szCs w:val="18"/>
              </w:rPr>
              <w:t>0.78</w:t>
            </w:r>
          </w:p>
        </w:tc>
        <w:tc>
          <w:tcPr>
            <w:tcW w:w="794" w:type="dxa"/>
            <w:shd w:val="clear" w:color="auto" w:fill="auto"/>
          </w:tcPr>
          <w:p w14:paraId="6B986729" w14:textId="77777777" w:rsidR="00ED2EBD" w:rsidRPr="00BD16B4" w:rsidRDefault="00ED2EBD" w:rsidP="004A205F">
            <w:pPr>
              <w:pStyle w:val="TableText"/>
              <w:spacing w:before="40" w:after="40"/>
              <w:jc w:val="right"/>
              <w:rPr>
                <w:szCs w:val="18"/>
              </w:rPr>
            </w:pPr>
            <w:r w:rsidRPr="00BD16B4">
              <w:rPr>
                <w:szCs w:val="18"/>
              </w:rPr>
              <w:t>0.59</w:t>
            </w:r>
          </w:p>
        </w:tc>
        <w:tc>
          <w:tcPr>
            <w:tcW w:w="794" w:type="dxa"/>
            <w:shd w:val="clear" w:color="auto" w:fill="auto"/>
          </w:tcPr>
          <w:p w14:paraId="50BA84B5" w14:textId="77777777" w:rsidR="00ED2EBD" w:rsidRPr="00BD16B4" w:rsidRDefault="00ED2EBD" w:rsidP="004A205F">
            <w:pPr>
              <w:pStyle w:val="TableText"/>
              <w:spacing w:before="40" w:after="40"/>
              <w:jc w:val="right"/>
              <w:rPr>
                <w:szCs w:val="18"/>
              </w:rPr>
            </w:pPr>
            <w:r w:rsidRPr="00BD16B4">
              <w:rPr>
                <w:szCs w:val="18"/>
              </w:rPr>
              <w:t>0.82</w:t>
            </w:r>
          </w:p>
        </w:tc>
      </w:tr>
      <w:tr w:rsidR="00921D3E" w:rsidRPr="00BD16B4" w14:paraId="397602AE" w14:textId="77777777" w:rsidTr="00F70C72">
        <w:tc>
          <w:tcPr>
            <w:tcW w:w="3539" w:type="dxa"/>
          </w:tcPr>
          <w:p w14:paraId="7A8D25FD" w14:textId="7AF02960"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Cropland</w:t>
            </w:r>
          </w:p>
        </w:tc>
        <w:tc>
          <w:tcPr>
            <w:tcW w:w="794" w:type="dxa"/>
            <w:shd w:val="clear" w:color="auto" w:fill="auto"/>
          </w:tcPr>
          <w:p w14:paraId="13F75F29" w14:textId="77777777" w:rsidR="00ED2EBD" w:rsidRPr="00BD16B4" w:rsidRDefault="00ED2EBD" w:rsidP="004A205F">
            <w:pPr>
              <w:pStyle w:val="TableText"/>
              <w:spacing w:before="40" w:after="40"/>
              <w:jc w:val="right"/>
              <w:rPr>
                <w:szCs w:val="18"/>
              </w:rPr>
            </w:pPr>
            <w:r w:rsidRPr="00BD16B4">
              <w:rPr>
                <w:szCs w:val="18"/>
              </w:rPr>
              <w:t>NE, IE</w:t>
            </w:r>
          </w:p>
        </w:tc>
        <w:tc>
          <w:tcPr>
            <w:tcW w:w="794" w:type="dxa"/>
            <w:shd w:val="clear" w:color="auto" w:fill="auto"/>
          </w:tcPr>
          <w:p w14:paraId="140A724D" w14:textId="77777777" w:rsidR="00ED2EBD" w:rsidRPr="00BD16B4" w:rsidRDefault="00ED2EBD" w:rsidP="004A205F">
            <w:pPr>
              <w:pStyle w:val="TableText"/>
              <w:spacing w:before="40" w:after="40"/>
              <w:jc w:val="right"/>
              <w:rPr>
                <w:szCs w:val="18"/>
              </w:rPr>
            </w:pPr>
            <w:r w:rsidRPr="00BD16B4">
              <w:rPr>
                <w:szCs w:val="18"/>
              </w:rPr>
              <w:t>NE, IE</w:t>
            </w:r>
          </w:p>
        </w:tc>
        <w:tc>
          <w:tcPr>
            <w:tcW w:w="794" w:type="dxa"/>
            <w:shd w:val="clear" w:color="auto" w:fill="auto"/>
          </w:tcPr>
          <w:p w14:paraId="6FCFB59B" w14:textId="77777777" w:rsidR="00ED2EBD" w:rsidRPr="00BD16B4" w:rsidRDefault="00ED2EBD" w:rsidP="004A205F">
            <w:pPr>
              <w:pStyle w:val="TableText"/>
              <w:spacing w:before="40" w:after="40"/>
              <w:jc w:val="right"/>
              <w:rPr>
                <w:szCs w:val="18"/>
              </w:rPr>
            </w:pPr>
            <w:r w:rsidRPr="00BD16B4">
              <w:rPr>
                <w:szCs w:val="18"/>
              </w:rPr>
              <w:t>NE, IE</w:t>
            </w:r>
          </w:p>
        </w:tc>
        <w:tc>
          <w:tcPr>
            <w:tcW w:w="794" w:type="dxa"/>
            <w:shd w:val="clear" w:color="auto" w:fill="auto"/>
          </w:tcPr>
          <w:p w14:paraId="0E770003" w14:textId="77777777" w:rsidR="00ED2EBD" w:rsidRPr="00BD16B4" w:rsidRDefault="00ED2EBD" w:rsidP="004A205F">
            <w:pPr>
              <w:pStyle w:val="TableText"/>
              <w:spacing w:before="40" w:after="40"/>
              <w:jc w:val="right"/>
              <w:rPr>
                <w:szCs w:val="18"/>
              </w:rPr>
            </w:pPr>
            <w:r w:rsidRPr="00BD16B4">
              <w:rPr>
                <w:szCs w:val="18"/>
              </w:rPr>
              <w:t>NE, IE</w:t>
            </w:r>
          </w:p>
        </w:tc>
        <w:tc>
          <w:tcPr>
            <w:tcW w:w="794" w:type="dxa"/>
            <w:shd w:val="clear" w:color="auto" w:fill="auto"/>
          </w:tcPr>
          <w:p w14:paraId="06481A95" w14:textId="77777777" w:rsidR="00ED2EBD" w:rsidRPr="00BD16B4" w:rsidRDefault="00ED2EBD" w:rsidP="004A205F">
            <w:pPr>
              <w:pStyle w:val="TableText"/>
              <w:spacing w:before="40" w:after="40"/>
              <w:jc w:val="right"/>
              <w:rPr>
                <w:szCs w:val="18"/>
              </w:rPr>
            </w:pPr>
            <w:r w:rsidRPr="00BD16B4">
              <w:rPr>
                <w:szCs w:val="18"/>
              </w:rPr>
              <w:t>NE, IE</w:t>
            </w:r>
          </w:p>
        </w:tc>
        <w:tc>
          <w:tcPr>
            <w:tcW w:w="794" w:type="dxa"/>
            <w:shd w:val="clear" w:color="auto" w:fill="auto"/>
          </w:tcPr>
          <w:p w14:paraId="17306F0B" w14:textId="77777777" w:rsidR="00ED2EBD" w:rsidRPr="00BD16B4" w:rsidRDefault="00ED2EBD" w:rsidP="004A205F">
            <w:pPr>
              <w:pStyle w:val="TableText"/>
              <w:spacing w:before="40" w:after="40"/>
              <w:jc w:val="right"/>
              <w:rPr>
                <w:szCs w:val="18"/>
              </w:rPr>
            </w:pPr>
            <w:r w:rsidRPr="00BD16B4">
              <w:rPr>
                <w:szCs w:val="18"/>
              </w:rPr>
              <w:t>NE, IE</w:t>
            </w:r>
          </w:p>
        </w:tc>
        <w:tc>
          <w:tcPr>
            <w:tcW w:w="794" w:type="dxa"/>
            <w:shd w:val="clear" w:color="auto" w:fill="auto"/>
          </w:tcPr>
          <w:p w14:paraId="3820B337" w14:textId="77777777" w:rsidR="00ED2EBD" w:rsidRPr="00BD16B4" w:rsidRDefault="00ED2EBD" w:rsidP="004A205F">
            <w:pPr>
              <w:pStyle w:val="TableText"/>
              <w:spacing w:before="40" w:after="40"/>
              <w:jc w:val="right"/>
              <w:rPr>
                <w:szCs w:val="18"/>
              </w:rPr>
            </w:pPr>
            <w:r w:rsidRPr="00BD16B4">
              <w:rPr>
                <w:szCs w:val="18"/>
              </w:rPr>
              <w:t>NE, IE</w:t>
            </w:r>
          </w:p>
        </w:tc>
        <w:tc>
          <w:tcPr>
            <w:tcW w:w="794" w:type="dxa"/>
            <w:shd w:val="clear" w:color="auto" w:fill="auto"/>
          </w:tcPr>
          <w:p w14:paraId="598823FD" w14:textId="77777777" w:rsidR="00ED2EBD" w:rsidRPr="00BD16B4" w:rsidRDefault="00ED2EBD" w:rsidP="004A205F">
            <w:pPr>
              <w:pStyle w:val="TableText"/>
              <w:spacing w:before="40" w:after="40"/>
              <w:jc w:val="right"/>
              <w:rPr>
                <w:szCs w:val="18"/>
              </w:rPr>
            </w:pPr>
            <w:r w:rsidRPr="00BD16B4">
              <w:rPr>
                <w:szCs w:val="18"/>
              </w:rPr>
              <w:t>NE, IE</w:t>
            </w:r>
          </w:p>
        </w:tc>
        <w:tc>
          <w:tcPr>
            <w:tcW w:w="794" w:type="dxa"/>
            <w:shd w:val="clear" w:color="auto" w:fill="auto"/>
          </w:tcPr>
          <w:p w14:paraId="56D98709" w14:textId="77777777" w:rsidR="00ED2EBD" w:rsidRPr="00BD16B4" w:rsidRDefault="00ED2EBD" w:rsidP="004A205F">
            <w:pPr>
              <w:pStyle w:val="TableText"/>
              <w:spacing w:before="40" w:after="40"/>
              <w:jc w:val="right"/>
              <w:rPr>
                <w:szCs w:val="18"/>
              </w:rPr>
            </w:pPr>
            <w:r w:rsidRPr="00BD16B4">
              <w:rPr>
                <w:szCs w:val="18"/>
              </w:rPr>
              <w:t>NE, IE</w:t>
            </w:r>
          </w:p>
        </w:tc>
        <w:tc>
          <w:tcPr>
            <w:tcW w:w="794" w:type="dxa"/>
            <w:shd w:val="clear" w:color="auto" w:fill="auto"/>
          </w:tcPr>
          <w:p w14:paraId="721E5436" w14:textId="77777777" w:rsidR="00ED2EBD" w:rsidRPr="00BD16B4" w:rsidRDefault="00ED2EBD" w:rsidP="004A205F">
            <w:pPr>
              <w:pStyle w:val="TableText"/>
              <w:spacing w:before="40" w:after="40"/>
              <w:jc w:val="right"/>
              <w:rPr>
                <w:szCs w:val="18"/>
              </w:rPr>
            </w:pPr>
            <w:r w:rsidRPr="00BD16B4">
              <w:rPr>
                <w:szCs w:val="18"/>
              </w:rPr>
              <w:t>NE, IE</w:t>
            </w:r>
          </w:p>
        </w:tc>
        <w:tc>
          <w:tcPr>
            <w:tcW w:w="794" w:type="dxa"/>
            <w:shd w:val="clear" w:color="auto" w:fill="auto"/>
          </w:tcPr>
          <w:p w14:paraId="109183B2" w14:textId="77777777" w:rsidR="00ED2EBD" w:rsidRPr="00BD16B4" w:rsidRDefault="00ED2EBD" w:rsidP="004A205F">
            <w:pPr>
              <w:pStyle w:val="TableText"/>
              <w:spacing w:before="40" w:after="40"/>
              <w:jc w:val="right"/>
              <w:rPr>
                <w:szCs w:val="18"/>
              </w:rPr>
            </w:pPr>
            <w:r w:rsidRPr="00BD16B4">
              <w:rPr>
                <w:szCs w:val="18"/>
              </w:rPr>
              <w:t>NE, IE</w:t>
            </w:r>
          </w:p>
        </w:tc>
      </w:tr>
      <w:tr w:rsidR="00921D3E" w:rsidRPr="00BD16B4" w14:paraId="2F54C110" w14:textId="77777777" w:rsidTr="00F70C72">
        <w:tc>
          <w:tcPr>
            <w:tcW w:w="3539" w:type="dxa"/>
          </w:tcPr>
          <w:p w14:paraId="7F519DD5" w14:textId="71BD8B3F"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Grassland</w:t>
            </w:r>
          </w:p>
        </w:tc>
        <w:tc>
          <w:tcPr>
            <w:tcW w:w="794" w:type="dxa"/>
            <w:shd w:val="clear" w:color="auto" w:fill="auto"/>
          </w:tcPr>
          <w:p w14:paraId="7920DF4C" w14:textId="77777777" w:rsidR="00ED2EBD" w:rsidRPr="00BD16B4" w:rsidRDefault="00ED2EBD" w:rsidP="004A205F">
            <w:pPr>
              <w:pStyle w:val="TableText"/>
              <w:spacing w:before="40" w:after="40"/>
              <w:jc w:val="right"/>
              <w:rPr>
                <w:szCs w:val="18"/>
              </w:rPr>
            </w:pPr>
            <w:r w:rsidRPr="00BD16B4">
              <w:rPr>
                <w:szCs w:val="18"/>
              </w:rPr>
              <w:t>2.68</w:t>
            </w:r>
          </w:p>
        </w:tc>
        <w:tc>
          <w:tcPr>
            <w:tcW w:w="794" w:type="dxa"/>
            <w:shd w:val="clear" w:color="auto" w:fill="auto"/>
          </w:tcPr>
          <w:p w14:paraId="7D236E9A" w14:textId="77777777" w:rsidR="00ED2EBD" w:rsidRPr="00BD16B4" w:rsidRDefault="00ED2EBD" w:rsidP="004A205F">
            <w:pPr>
              <w:pStyle w:val="TableText"/>
              <w:spacing w:before="40" w:after="40"/>
              <w:jc w:val="right"/>
              <w:rPr>
                <w:szCs w:val="18"/>
              </w:rPr>
            </w:pPr>
            <w:r w:rsidRPr="00BD16B4">
              <w:rPr>
                <w:szCs w:val="18"/>
              </w:rPr>
              <w:t>2.22</w:t>
            </w:r>
          </w:p>
        </w:tc>
        <w:tc>
          <w:tcPr>
            <w:tcW w:w="794" w:type="dxa"/>
            <w:shd w:val="clear" w:color="auto" w:fill="auto"/>
          </w:tcPr>
          <w:p w14:paraId="5356FDDC" w14:textId="77777777" w:rsidR="00ED2EBD" w:rsidRPr="00BD16B4" w:rsidRDefault="00ED2EBD" w:rsidP="004A205F">
            <w:pPr>
              <w:pStyle w:val="TableText"/>
              <w:spacing w:before="40" w:after="40"/>
              <w:jc w:val="right"/>
              <w:rPr>
                <w:szCs w:val="18"/>
              </w:rPr>
            </w:pPr>
            <w:r w:rsidRPr="00BD16B4">
              <w:rPr>
                <w:szCs w:val="18"/>
              </w:rPr>
              <w:t>2.45</w:t>
            </w:r>
          </w:p>
        </w:tc>
        <w:tc>
          <w:tcPr>
            <w:tcW w:w="794" w:type="dxa"/>
            <w:shd w:val="clear" w:color="auto" w:fill="auto"/>
          </w:tcPr>
          <w:p w14:paraId="4B55BAC3" w14:textId="77777777" w:rsidR="00ED2EBD" w:rsidRPr="00BD16B4" w:rsidRDefault="00ED2EBD" w:rsidP="004A205F">
            <w:pPr>
              <w:pStyle w:val="TableText"/>
              <w:spacing w:before="40" w:after="40"/>
              <w:jc w:val="right"/>
              <w:rPr>
                <w:szCs w:val="18"/>
              </w:rPr>
            </w:pPr>
            <w:r w:rsidRPr="00BD16B4">
              <w:rPr>
                <w:szCs w:val="18"/>
              </w:rPr>
              <w:t>2.49</w:t>
            </w:r>
          </w:p>
        </w:tc>
        <w:tc>
          <w:tcPr>
            <w:tcW w:w="794" w:type="dxa"/>
            <w:shd w:val="clear" w:color="auto" w:fill="auto"/>
          </w:tcPr>
          <w:p w14:paraId="32EA9C83" w14:textId="77777777" w:rsidR="00ED2EBD" w:rsidRPr="00BD16B4" w:rsidRDefault="00ED2EBD" w:rsidP="004A205F">
            <w:pPr>
              <w:pStyle w:val="TableText"/>
              <w:spacing w:before="40" w:after="40"/>
              <w:jc w:val="right"/>
              <w:rPr>
                <w:szCs w:val="18"/>
              </w:rPr>
            </w:pPr>
            <w:r w:rsidRPr="00BD16B4">
              <w:rPr>
                <w:szCs w:val="18"/>
              </w:rPr>
              <w:t>2.81</w:t>
            </w:r>
          </w:p>
        </w:tc>
        <w:tc>
          <w:tcPr>
            <w:tcW w:w="794" w:type="dxa"/>
            <w:shd w:val="clear" w:color="auto" w:fill="auto"/>
          </w:tcPr>
          <w:p w14:paraId="6D8326FA" w14:textId="77777777" w:rsidR="00ED2EBD" w:rsidRPr="00BD16B4" w:rsidRDefault="00ED2EBD" w:rsidP="004A205F">
            <w:pPr>
              <w:pStyle w:val="TableText"/>
              <w:spacing w:before="40" w:after="40"/>
              <w:jc w:val="right"/>
              <w:rPr>
                <w:szCs w:val="18"/>
              </w:rPr>
            </w:pPr>
            <w:r w:rsidRPr="00BD16B4">
              <w:rPr>
                <w:szCs w:val="18"/>
              </w:rPr>
              <w:t>2.57</w:t>
            </w:r>
          </w:p>
        </w:tc>
        <w:tc>
          <w:tcPr>
            <w:tcW w:w="794" w:type="dxa"/>
            <w:shd w:val="clear" w:color="auto" w:fill="auto"/>
          </w:tcPr>
          <w:p w14:paraId="5B7B3968" w14:textId="77777777" w:rsidR="00ED2EBD" w:rsidRPr="00BD16B4" w:rsidRDefault="00ED2EBD" w:rsidP="004A205F">
            <w:pPr>
              <w:pStyle w:val="TableText"/>
              <w:spacing w:before="40" w:after="40"/>
              <w:jc w:val="right"/>
              <w:rPr>
                <w:szCs w:val="18"/>
              </w:rPr>
            </w:pPr>
            <w:r w:rsidRPr="00BD16B4">
              <w:rPr>
                <w:szCs w:val="18"/>
              </w:rPr>
              <w:t>4.00</w:t>
            </w:r>
          </w:p>
        </w:tc>
        <w:tc>
          <w:tcPr>
            <w:tcW w:w="794" w:type="dxa"/>
            <w:shd w:val="clear" w:color="auto" w:fill="auto"/>
          </w:tcPr>
          <w:p w14:paraId="21563CE6" w14:textId="77777777" w:rsidR="00ED2EBD" w:rsidRPr="00BD16B4" w:rsidRDefault="00ED2EBD" w:rsidP="004A205F">
            <w:pPr>
              <w:pStyle w:val="TableText"/>
              <w:spacing w:before="40" w:after="40"/>
              <w:jc w:val="right"/>
              <w:rPr>
                <w:szCs w:val="18"/>
              </w:rPr>
            </w:pPr>
            <w:r w:rsidRPr="00BD16B4">
              <w:rPr>
                <w:szCs w:val="18"/>
              </w:rPr>
              <w:t>4.06</w:t>
            </w:r>
          </w:p>
        </w:tc>
        <w:tc>
          <w:tcPr>
            <w:tcW w:w="794" w:type="dxa"/>
            <w:shd w:val="clear" w:color="auto" w:fill="auto"/>
          </w:tcPr>
          <w:p w14:paraId="046B0F89" w14:textId="77777777" w:rsidR="00ED2EBD" w:rsidRPr="00BD16B4" w:rsidRDefault="00ED2EBD" w:rsidP="004A205F">
            <w:pPr>
              <w:pStyle w:val="TableText"/>
              <w:spacing w:before="40" w:after="40"/>
              <w:jc w:val="right"/>
              <w:rPr>
                <w:szCs w:val="18"/>
              </w:rPr>
            </w:pPr>
            <w:r w:rsidRPr="00BD16B4">
              <w:rPr>
                <w:szCs w:val="18"/>
              </w:rPr>
              <w:t>5.22</w:t>
            </w:r>
          </w:p>
        </w:tc>
        <w:tc>
          <w:tcPr>
            <w:tcW w:w="794" w:type="dxa"/>
            <w:shd w:val="clear" w:color="auto" w:fill="auto"/>
          </w:tcPr>
          <w:p w14:paraId="1A3FB54B" w14:textId="77777777" w:rsidR="00ED2EBD" w:rsidRPr="00BD16B4" w:rsidRDefault="00ED2EBD" w:rsidP="004A205F">
            <w:pPr>
              <w:pStyle w:val="TableText"/>
              <w:spacing w:before="40" w:after="40"/>
              <w:jc w:val="right"/>
              <w:rPr>
                <w:szCs w:val="18"/>
              </w:rPr>
            </w:pPr>
            <w:r w:rsidRPr="00BD16B4">
              <w:rPr>
                <w:szCs w:val="18"/>
              </w:rPr>
              <w:t>2.49</w:t>
            </w:r>
          </w:p>
        </w:tc>
        <w:tc>
          <w:tcPr>
            <w:tcW w:w="794" w:type="dxa"/>
            <w:shd w:val="clear" w:color="auto" w:fill="auto"/>
          </w:tcPr>
          <w:p w14:paraId="191AAC68" w14:textId="77777777" w:rsidR="00ED2EBD" w:rsidRPr="00BD16B4" w:rsidRDefault="00ED2EBD" w:rsidP="004A205F">
            <w:pPr>
              <w:pStyle w:val="TableText"/>
              <w:spacing w:before="40" w:after="40"/>
              <w:jc w:val="right"/>
              <w:rPr>
                <w:szCs w:val="18"/>
              </w:rPr>
            </w:pPr>
            <w:r w:rsidRPr="00BD16B4">
              <w:rPr>
                <w:szCs w:val="18"/>
              </w:rPr>
              <w:t>3.10</w:t>
            </w:r>
          </w:p>
        </w:tc>
      </w:tr>
      <w:tr w:rsidR="00921D3E" w:rsidRPr="00BD16B4" w14:paraId="78B35702" w14:textId="77777777" w:rsidTr="00F70C72">
        <w:tc>
          <w:tcPr>
            <w:tcW w:w="3539" w:type="dxa"/>
          </w:tcPr>
          <w:p w14:paraId="617F4DE4" w14:textId="389C9D9E" w:rsidR="00ED2EBD" w:rsidRPr="00BD16B4" w:rsidRDefault="00ED2EBD" w:rsidP="004A205F">
            <w:pPr>
              <w:pStyle w:val="TableText"/>
              <w:spacing w:before="40" w:after="40"/>
              <w:rPr>
                <w:szCs w:val="18"/>
              </w:rPr>
            </w:pPr>
            <w:r w:rsidRPr="00BD16B4">
              <w:rPr>
                <w:szCs w:val="18"/>
              </w:rPr>
              <w:t>D.</w:t>
            </w:r>
            <w:r w:rsidR="00280979" w:rsidRPr="00BD16B4">
              <w:rPr>
                <w:szCs w:val="18"/>
              </w:rPr>
              <w:t xml:space="preserve"> </w:t>
            </w:r>
            <w:r w:rsidRPr="00BD16B4">
              <w:rPr>
                <w:szCs w:val="18"/>
              </w:rPr>
              <w:t>Wetlands</w:t>
            </w:r>
          </w:p>
        </w:tc>
        <w:tc>
          <w:tcPr>
            <w:tcW w:w="794" w:type="dxa"/>
            <w:shd w:val="clear" w:color="auto" w:fill="auto"/>
          </w:tcPr>
          <w:p w14:paraId="6BDBFDD1" w14:textId="77777777" w:rsidR="00ED2EBD" w:rsidRPr="00BD16B4" w:rsidRDefault="00ED2EBD" w:rsidP="004A205F">
            <w:pPr>
              <w:pStyle w:val="TableText"/>
              <w:spacing w:before="40" w:after="40"/>
              <w:jc w:val="right"/>
              <w:rPr>
                <w:szCs w:val="18"/>
              </w:rPr>
            </w:pPr>
            <w:r w:rsidRPr="00BD16B4">
              <w:rPr>
                <w:szCs w:val="18"/>
              </w:rPr>
              <w:t>NE, NO</w:t>
            </w:r>
          </w:p>
        </w:tc>
        <w:tc>
          <w:tcPr>
            <w:tcW w:w="794" w:type="dxa"/>
            <w:shd w:val="clear" w:color="auto" w:fill="auto"/>
          </w:tcPr>
          <w:p w14:paraId="71A51A88" w14:textId="77777777" w:rsidR="00ED2EBD" w:rsidRPr="00BD16B4" w:rsidRDefault="00ED2EBD" w:rsidP="004A205F">
            <w:pPr>
              <w:pStyle w:val="TableText"/>
              <w:spacing w:before="40" w:after="40"/>
              <w:jc w:val="right"/>
              <w:rPr>
                <w:szCs w:val="18"/>
              </w:rPr>
            </w:pPr>
            <w:r w:rsidRPr="00BD16B4">
              <w:rPr>
                <w:szCs w:val="18"/>
              </w:rPr>
              <w:t>NE, NO</w:t>
            </w:r>
          </w:p>
        </w:tc>
        <w:tc>
          <w:tcPr>
            <w:tcW w:w="794" w:type="dxa"/>
            <w:shd w:val="clear" w:color="auto" w:fill="auto"/>
          </w:tcPr>
          <w:p w14:paraId="65F7CAEA" w14:textId="77777777" w:rsidR="00ED2EBD" w:rsidRPr="00BD16B4" w:rsidRDefault="00ED2EBD" w:rsidP="004A205F">
            <w:pPr>
              <w:pStyle w:val="TableText"/>
              <w:spacing w:before="40" w:after="40"/>
              <w:jc w:val="right"/>
              <w:rPr>
                <w:szCs w:val="18"/>
              </w:rPr>
            </w:pPr>
            <w:r w:rsidRPr="00BD16B4">
              <w:rPr>
                <w:szCs w:val="18"/>
              </w:rPr>
              <w:t>NE, NO</w:t>
            </w:r>
          </w:p>
        </w:tc>
        <w:tc>
          <w:tcPr>
            <w:tcW w:w="794" w:type="dxa"/>
            <w:shd w:val="clear" w:color="auto" w:fill="auto"/>
          </w:tcPr>
          <w:p w14:paraId="6E30686B" w14:textId="77777777" w:rsidR="00ED2EBD" w:rsidRPr="00BD16B4" w:rsidRDefault="00ED2EBD" w:rsidP="004A205F">
            <w:pPr>
              <w:pStyle w:val="TableText"/>
              <w:spacing w:before="40" w:after="40"/>
              <w:jc w:val="right"/>
              <w:rPr>
                <w:szCs w:val="18"/>
              </w:rPr>
            </w:pPr>
            <w:r w:rsidRPr="00BD16B4">
              <w:rPr>
                <w:szCs w:val="18"/>
              </w:rPr>
              <w:t>NE, NO</w:t>
            </w:r>
          </w:p>
        </w:tc>
        <w:tc>
          <w:tcPr>
            <w:tcW w:w="794" w:type="dxa"/>
            <w:shd w:val="clear" w:color="auto" w:fill="auto"/>
          </w:tcPr>
          <w:p w14:paraId="5222C2E9" w14:textId="77777777" w:rsidR="00ED2EBD" w:rsidRPr="00BD16B4" w:rsidRDefault="00ED2EBD" w:rsidP="004A205F">
            <w:pPr>
              <w:pStyle w:val="TableText"/>
              <w:spacing w:before="40" w:after="40"/>
              <w:jc w:val="right"/>
              <w:rPr>
                <w:szCs w:val="18"/>
              </w:rPr>
            </w:pPr>
            <w:r w:rsidRPr="00BD16B4">
              <w:rPr>
                <w:szCs w:val="18"/>
              </w:rPr>
              <w:t>NE, NO</w:t>
            </w:r>
          </w:p>
        </w:tc>
        <w:tc>
          <w:tcPr>
            <w:tcW w:w="794" w:type="dxa"/>
            <w:shd w:val="clear" w:color="auto" w:fill="auto"/>
          </w:tcPr>
          <w:p w14:paraId="1A9C502B" w14:textId="77777777" w:rsidR="00ED2EBD" w:rsidRPr="00BD16B4" w:rsidRDefault="00ED2EBD" w:rsidP="004A205F">
            <w:pPr>
              <w:pStyle w:val="TableText"/>
              <w:spacing w:before="40" w:after="40"/>
              <w:jc w:val="right"/>
              <w:rPr>
                <w:szCs w:val="18"/>
              </w:rPr>
            </w:pPr>
            <w:r w:rsidRPr="00BD16B4">
              <w:rPr>
                <w:szCs w:val="18"/>
              </w:rPr>
              <w:t>NE, NO</w:t>
            </w:r>
          </w:p>
        </w:tc>
        <w:tc>
          <w:tcPr>
            <w:tcW w:w="794" w:type="dxa"/>
            <w:shd w:val="clear" w:color="auto" w:fill="auto"/>
          </w:tcPr>
          <w:p w14:paraId="79BC4E32" w14:textId="77777777" w:rsidR="00ED2EBD" w:rsidRPr="00BD16B4" w:rsidRDefault="00ED2EBD" w:rsidP="004A205F">
            <w:pPr>
              <w:pStyle w:val="TableText"/>
              <w:spacing w:before="40" w:after="40"/>
              <w:jc w:val="right"/>
              <w:rPr>
                <w:szCs w:val="18"/>
              </w:rPr>
            </w:pPr>
            <w:r w:rsidRPr="00BD16B4">
              <w:rPr>
                <w:szCs w:val="18"/>
              </w:rPr>
              <w:t>NE, NO</w:t>
            </w:r>
          </w:p>
        </w:tc>
        <w:tc>
          <w:tcPr>
            <w:tcW w:w="794" w:type="dxa"/>
            <w:shd w:val="clear" w:color="auto" w:fill="auto"/>
          </w:tcPr>
          <w:p w14:paraId="4810C66E" w14:textId="77777777" w:rsidR="00ED2EBD" w:rsidRPr="00BD16B4" w:rsidRDefault="00ED2EBD" w:rsidP="004A205F">
            <w:pPr>
              <w:pStyle w:val="TableText"/>
              <w:spacing w:before="40" w:after="40"/>
              <w:jc w:val="right"/>
              <w:rPr>
                <w:szCs w:val="18"/>
              </w:rPr>
            </w:pPr>
            <w:r w:rsidRPr="00BD16B4">
              <w:rPr>
                <w:szCs w:val="18"/>
              </w:rPr>
              <w:t>NE, NO</w:t>
            </w:r>
          </w:p>
        </w:tc>
        <w:tc>
          <w:tcPr>
            <w:tcW w:w="794" w:type="dxa"/>
            <w:shd w:val="clear" w:color="auto" w:fill="auto"/>
          </w:tcPr>
          <w:p w14:paraId="469943F3" w14:textId="77777777" w:rsidR="00ED2EBD" w:rsidRPr="00BD16B4" w:rsidRDefault="00ED2EBD" w:rsidP="004A205F">
            <w:pPr>
              <w:pStyle w:val="TableText"/>
              <w:spacing w:before="40" w:after="40"/>
              <w:jc w:val="right"/>
              <w:rPr>
                <w:szCs w:val="18"/>
              </w:rPr>
            </w:pPr>
            <w:r w:rsidRPr="00BD16B4">
              <w:rPr>
                <w:szCs w:val="18"/>
              </w:rPr>
              <w:t>NE, NO</w:t>
            </w:r>
          </w:p>
        </w:tc>
        <w:tc>
          <w:tcPr>
            <w:tcW w:w="794" w:type="dxa"/>
            <w:shd w:val="clear" w:color="auto" w:fill="auto"/>
          </w:tcPr>
          <w:p w14:paraId="00D0A0E4" w14:textId="77777777" w:rsidR="00ED2EBD" w:rsidRPr="00BD16B4" w:rsidRDefault="00ED2EBD" w:rsidP="004A205F">
            <w:pPr>
              <w:pStyle w:val="TableText"/>
              <w:spacing w:before="40" w:after="40"/>
              <w:jc w:val="right"/>
              <w:rPr>
                <w:szCs w:val="18"/>
              </w:rPr>
            </w:pPr>
            <w:r w:rsidRPr="00BD16B4">
              <w:rPr>
                <w:szCs w:val="18"/>
              </w:rPr>
              <w:t>NE, NO</w:t>
            </w:r>
          </w:p>
        </w:tc>
        <w:tc>
          <w:tcPr>
            <w:tcW w:w="794" w:type="dxa"/>
            <w:shd w:val="clear" w:color="auto" w:fill="auto"/>
          </w:tcPr>
          <w:p w14:paraId="5EB8F59C" w14:textId="77777777" w:rsidR="00ED2EBD" w:rsidRPr="00BD16B4" w:rsidRDefault="00ED2EBD" w:rsidP="004A205F">
            <w:pPr>
              <w:pStyle w:val="TableText"/>
              <w:spacing w:before="40" w:after="40"/>
              <w:jc w:val="right"/>
              <w:rPr>
                <w:szCs w:val="18"/>
              </w:rPr>
            </w:pPr>
            <w:r w:rsidRPr="00BD16B4">
              <w:rPr>
                <w:szCs w:val="18"/>
              </w:rPr>
              <w:t>NE, NO</w:t>
            </w:r>
          </w:p>
        </w:tc>
      </w:tr>
      <w:tr w:rsidR="00921D3E" w:rsidRPr="00BD16B4" w14:paraId="0AAE01BD" w14:textId="77777777" w:rsidTr="00F70C72">
        <w:tc>
          <w:tcPr>
            <w:tcW w:w="3539" w:type="dxa"/>
          </w:tcPr>
          <w:p w14:paraId="131DDE44" w14:textId="1A61D908"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 xml:space="preserve">Settlements </w:t>
            </w:r>
          </w:p>
        </w:tc>
        <w:tc>
          <w:tcPr>
            <w:tcW w:w="794" w:type="dxa"/>
            <w:shd w:val="clear" w:color="auto" w:fill="auto"/>
          </w:tcPr>
          <w:p w14:paraId="7BE497F6" w14:textId="77777777" w:rsidR="00ED2EBD" w:rsidRPr="00BD16B4" w:rsidRDefault="00ED2EBD" w:rsidP="004A205F">
            <w:pPr>
              <w:pStyle w:val="TableText"/>
              <w:spacing w:before="40" w:after="40"/>
              <w:jc w:val="right"/>
              <w:rPr>
                <w:szCs w:val="18"/>
              </w:rPr>
            </w:pPr>
            <w:r w:rsidRPr="00BD16B4">
              <w:rPr>
                <w:szCs w:val="18"/>
              </w:rPr>
              <w:t>NE, NA</w:t>
            </w:r>
          </w:p>
        </w:tc>
        <w:tc>
          <w:tcPr>
            <w:tcW w:w="794" w:type="dxa"/>
            <w:shd w:val="clear" w:color="auto" w:fill="auto"/>
          </w:tcPr>
          <w:p w14:paraId="0BA6C097" w14:textId="77777777" w:rsidR="00ED2EBD" w:rsidRPr="00BD16B4" w:rsidRDefault="00ED2EBD" w:rsidP="004A205F">
            <w:pPr>
              <w:pStyle w:val="TableText"/>
              <w:spacing w:before="40" w:after="40"/>
              <w:jc w:val="right"/>
              <w:rPr>
                <w:szCs w:val="18"/>
              </w:rPr>
            </w:pPr>
            <w:r w:rsidRPr="00BD16B4">
              <w:rPr>
                <w:szCs w:val="18"/>
              </w:rPr>
              <w:t>NE, NA</w:t>
            </w:r>
          </w:p>
        </w:tc>
        <w:tc>
          <w:tcPr>
            <w:tcW w:w="794" w:type="dxa"/>
            <w:shd w:val="clear" w:color="auto" w:fill="auto"/>
          </w:tcPr>
          <w:p w14:paraId="17371D07" w14:textId="77777777" w:rsidR="00ED2EBD" w:rsidRPr="00BD16B4" w:rsidRDefault="00ED2EBD" w:rsidP="004A205F">
            <w:pPr>
              <w:pStyle w:val="TableText"/>
              <w:spacing w:before="40" w:after="40"/>
              <w:jc w:val="right"/>
              <w:rPr>
                <w:szCs w:val="18"/>
              </w:rPr>
            </w:pPr>
            <w:r w:rsidRPr="00BD16B4">
              <w:rPr>
                <w:szCs w:val="18"/>
              </w:rPr>
              <w:t>NE, NA</w:t>
            </w:r>
          </w:p>
        </w:tc>
        <w:tc>
          <w:tcPr>
            <w:tcW w:w="794" w:type="dxa"/>
            <w:shd w:val="clear" w:color="auto" w:fill="auto"/>
          </w:tcPr>
          <w:p w14:paraId="3861438D" w14:textId="77777777" w:rsidR="00ED2EBD" w:rsidRPr="00BD16B4" w:rsidRDefault="00ED2EBD" w:rsidP="004A205F">
            <w:pPr>
              <w:pStyle w:val="TableText"/>
              <w:spacing w:before="40" w:after="40"/>
              <w:jc w:val="right"/>
              <w:rPr>
                <w:szCs w:val="18"/>
              </w:rPr>
            </w:pPr>
            <w:r w:rsidRPr="00BD16B4">
              <w:rPr>
                <w:szCs w:val="18"/>
              </w:rPr>
              <w:t>NE, NA</w:t>
            </w:r>
          </w:p>
        </w:tc>
        <w:tc>
          <w:tcPr>
            <w:tcW w:w="794" w:type="dxa"/>
            <w:shd w:val="clear" w:color="auto" w:fill="auto"/>
          </w:tcPr>
          <w:p w14:paraId="06693FEF" w14:textId="77777777" w:rsidR="00ED2EBD" w:rsidRPr="00BD16B4" w:rsidRDefault="00ED2EBD" w:rsidP="004A205F">
            <w:pPr>
              <w:pStyle w:val="TableText"/>
              <w:spacing w:before="40" w:after="40"/>
              <w:jc w:val="right"/>
              <w:rPr>
                <w:szCs w:val="18"/>
              </w:rPr>
            </w:pPr>
            <w:r w:rsidRPr="00BD16B4">
              <w:rPr>
                <w:szCs w:val="18"/>
              </w:rPr>
              <w:t>NE, NA</w:t>
            </w:r>
          </w:p>
        </w:tc>
        <w:tc>
          <w:tcPr>
            <w:tcW w:w="794" w:type="dxa"/>
            <w:shd w:val="clear" w:color="auto" w:fill="auto"/>
          </w:tcPr>
          <w:p w14:paraId="0EC660C9" w14:textId="77777777" w:rsidR="00ED2EBD" w:rsidRPr="00BD16B4" w:rsidRDefault="00ED2EBD" w:rsidP="004A205F">
            <w:pPr>
              <w:pStyle w:val="TableText"/>
              <w:spacing w:before="40" w:after="40"/>
              <w:jc w:val="right"/>
              <w:rPr>
                <w:szCs w:val="18"/>
              </w:rPr>
            </w:pPr>
            <w:r w:rsidRPr="00BD16B4">
              <w:rPr>
                <w:szCs w:val="18"/>
              </w:rPr>
              <w:t>NE, NA</w:t>
            </w:r>
          </w:p>
        </w:tc>
        <w:tc>
          <w:tcPr>
            <w:tcW w:w="794" w:type="dxa"/>
            <w:shd w:val="clear" w:color="auto" w:fill="auto"/>
          </w:tcPr>
          <w:p w14:paraId="6B7BB1E5" w14:textId="77777777" w:rsidR="00ED2EBD" w:rsidRPr="00BD16B4" w:rsidRDefault="00ED2EBD" w:rsidP="004A205F">
            <w:pPr>
              <w:pStyle w:val="TableText"/>
              <w:spacing w:before="40" w:after="40"/>
              <w:jc w:val="right"/>
              <w:rPr>
                <w:szCs w:val="18"/>
              </w:rPr>
            </w:pPr>
            <w:r w:rsidRPr="00BD16B4">
              <w:rPr>
                <w:szCs w:val="18"/>
              </w:rPr>
              <w:t>NE, NA</w:t>
            </w:r>
          </w:p>
        </w:tc>
        <w:tc>
          <w:tcPr>
            <w:tcW w:w="794" w:type="dxa"/>
            <w:shd w:val="clear" w:color="auto" w:fill="auto"/>
          </w:tcPr>
          <w:p w14:paraId="036484D9" w14:textId="77777777" w:rsidR="00ED2EBD" w:rsidRPr="00BD16B4" w:rsidRDefault="00ED2EBD" w:rsidP="004A205F">
            <w:pPr>
              <w:pStyle w:val="TableText"/>
              <w:spacing w:before="40" w:after="40"/>
              <w:jc w:val="right"/>
              <w:rPr>
                <w:szCs w:val="18"/>
              </w:rPr>
            </w:pPr>
            <w:r w:rsidRPr="00BD16B4">
              <w:rPr>
                <w:szCs w:val="18"/>
              </w:rPr>
              <w:t>NE, NA</w:t>
            </w:r>
          </w:p>
        </w:tc>
        <w:tc>
          <w:tcPr>
            <w:tcW w:w="794" w:type="dxa"/>
            <w:shd w:val="clear" w:color="auto" w:fill="auto"/>
          </w:tcPr>
          <w:p w14:paraId="4249269D" w14:textId="77777777" w:rsidR="00ED2EBD" w:rsidRPr="00BD16B4" w:rsidRDefault="00ED2EBD" w:rsidP="004A205F">
            <w:pPr>
              <w:pStyle w:val="TableText"/>
              <w:spacing w:before="40" w:after="40"/>
              <w:jc w:val="right"/>
              <w:rPr>
                <w:szCs w:val="18"/>
              </w:rPr>
            </w:pPr>
            <w:r w:rsidRPr="00BD16B4">
              <w:rPr>
                <w:szCs w:val="18"/>
              </w:rPr>
              <w:t>NE, NA</w:t>
            </w:r>
          </w:p>
        </w:tc>
        <w:tc>
          <w:tcPr>
            <w:tcW w:w="794" w:type="dxa"/>
            <w:shd w:val="clear" w:color="auto" w:fill="auto"/>
          </w:tcPr>
          <w:p w14:paraId="0B5B2E34" w14:textId="77777777" w:rsidR="00ED2EBD" w:rsidRPr="00BD16B4" w:rsidRDefault="00ED2EBD" w:rsidP="004A205F">
            <w:pPr>
              <w:pStyle w:val="TableText"/>
              <w:spacing w:before="40" w:after="40"/>
              <w:jc w:val="right"/>
              <w:rPr>
                <w:szCs w:val="18"/>
              </w:rPr>
            </w:pPr>
            <w:r w:rsidRPr="00BD16B4">
              <w:rPr>
                <w:szCs w:val="18"/>
              </w:rPr>
              <w:t>NE, NA</w:t>
            </w:r>
          </w:p>
        </w:tc>
        <w:tc>
          <w:tcPr>
            <w:tcW w:w="794" w:type="dxa"/>
            <w:shd w:val="clear" w:color="auto" w:fill="auto"/>
          </w:tcPr>
          <w:p w14:paraId="44083A36" w14:textId="77777777" w:rsidR="00ED2EBD" w:rsidRPr="00BD16B4" w:rsidRDefault="00ED2EBD" w:rsidP="004A205F">
            <w:pPr>
              <w:pStyle w:val="TableText"/>
              <w:spacing w:before="40" w:after="40"/>
              <w:jc w:val="right"/>
              <w:rPr>
                <w:szCs w:val="18"/>
              </w:rPr>
            </w:pPr>
            <w:r w:rsidRPr="00BD16B4">
              <w:rPr>
                <w:szCs w:val="18"/>
              </w:rPr>
              <w:t>NE, NA</w:t>
            </w:r>
          </w:p>
        </w:tc>
      </w:tr>
      <w:tr w:rsidR="00F70C72" w:rsidRPr="00BD16B4" w14:paraId="48EC6AC2" w14:textId="77777777" w:rsidTr="00F70C72">
        <w:tc>
          <w:tcPr>
            <w:tcW w:w="3539" w:type="dxa"/>
          </w:tcPr>
          <w:p w14:paraId="50855426" w14:textId="5C5F98BC" w:rsidR="00ED2EBD" w:rsidRPr="00BD16B4" w:rsidRDefault="00ED2EBD" w:rsidP="004A205F">
            <w:pPr>
              <w:pStyle w:val="TableText"/>
              <w:spacing w:before="40" w:after="40"/>
              <w:rPr>
                <w:szCs w:val="18"/>
              </w:rPr>
            </w:pPr>
            <w:r w:rsidRPr="00BD16B4">
              <w:rPr>
                <w:szCs w:val="18"/>
              </w:rPr>
              <w:t>F.</w:t>
            </w:r>
            <w:r w:rsidR="00280979" w:rsidRPr="00BD16B4">
              <w:rPr>
                <w:szCs w:val="18"/>
              </w:rPr>
              <w:t xml:space="preserve"> </w:t>
            </w:r>
            <w:r w:rsidRPr="00BD16B4">
              <w:rPr>
                <w:szCs w:val="18"/>
              </w:rPr>
              <w:t>Other land</w:t>
            </w:r>
          </w:p>
        </w:tc>
        <w:tc>
          <w:tcPr>
            <w:tcW w:w="794" w:type="dxa"/>
            <w:tcBorders>
              <w:bottom w:val="single" w:sz="4" w:space="0" w:color="1B556B" w:themeColor="text2"/>
            </w:tcBorders>
            <w:shd w:val="clear" w:color="auto" w:fill="auto"/>
          </w:tcPr>
          <w:p w14:paraId="25FA2141" w14:textId="77777777" w:rsidR="00ED2EBD" w:rsidRPr="00BD16B4" w:rsidRDefault="00ED2EBD" w:rsidP="004A205F">
            <w:pPr>
              <w:pStyle w:val="TableText"/>
              <w:spacing w:before="40" w:after="40"/>
              <w:jc w:val="right"/>
              <w:rPr>
                <w:szCs w:val="18"/>
              </w:rPr>
            </w:pPr>
            <w:r w:rsidRPr="00BD16B4">
              <w:rPr>
                <w:szCs w:val="18"/>
              </w:rPr>
              <w:t>NE, NA</w:t>
            </w:r>
          </w:p>
        </w:tc>
        <w:tc>
          <w:tcPr>
            <w:tcW w:w="794" w:type="dxa"/>
            <w:tcBorders>
              <w:bottom w:val="single" w:sz="4" w:space="0" w:color="1B556B" w:themeColor="text2"/>
            </w:tcBorders>
            <w:shd w:val="clear" w:color="auto" w:fill="auto"/>
          </w:tcPr>
          <w:p w14:paraId="07DA803A" w14:textId="77777777" w:rsidR="00ED2EBD" w:rsidRPr="00BD16B4" w:rsidRDefault="00ED2EBD" w:rsidP="004A205F">
            <w:pPr>
              <w:pStyle w:val="TableText"/>
              <w:spacing w:before="40" w:after="40"/>
              <w:jc w:val="right"/>
              <w:rPr>
                <w:szCs w:val="18"/>
              </w:rPr>
            </w:pPr>
            <w:r w:rsidRPr="00BD16B4">
              <w:rPr>
                <w:szCs w:val="18"/>
              </w:rPr>
              <w:t>NE, NA</w:t>
            </w:r>
          </w:p>
        </w:tc>
        <w:tc>
          <w:tcPr>
            <w:tcW w:w="794" w:type="dxa"/>
            <w:tcBorders>
              <w:bottom w:val="single" w:sz="4" w:space="0" w:color="1B556B" w:themeColor="text2"/>
            </w:tcBorders>
            <w:shd w:val="clear" w:color="auto" w:fill="auto"/>
          </w:tcPr>
          <w:p w14:paraId="6475DABB" w14:textId="77777777" w:rsidR="00ED2EBD" w:rsidRPr="00BD16B4" w:rsidRDefault="00ED2EBD" w:rsidP="004A205F">
            <w:pPr>
              <w:pStyle w:val="TableText"/>
              <w:spacing w:before="40" w:after="40"/>
              <w:jc w:val="right"/>
              <w:rPr>
                <w:szCs w:val="18"/>
              </w:rPr>
            </w:pPr>
            <w:r w:rsidRPr="00BD16B4">
              <w:rPr>
                <w:szCs w:val="18"/>
              </w:rPr>
              <w:t>NE, NA</w:t>
            </w:r>
          </w:p>
        </w:tc>
        <w:tc>
          <w:tcPr>
            <w:tcW w:w="794" w:type="dxa"/>
            <w:tcBorders>
              <w:bottom w:val="single" w:sz="4" w:space="0" w:color="1B556B" w:themeColor="text2"/>
            </w:tcBorders>
            <w:shd w:val="clear" w:color="auto" w:fill="auto"/>
          </w:tcPr>
          <w:p w14:paraId="1855117A" w14:textId="77777777" w:rsidR="00ED2EBD" w:rsidRPr="00BD16B4" w:rsidRDefault="00ED2EBD" w:rsidP="004A205F">
            <w:pPr>
              <w:pStyle w:val="TableText"/>
              <w:spacing w:before="40" w:after="40"/>
              <w:jc w:val="right"/>
              <w:rPr>
                <w:szCs w:val="18"/>
              </w:rPr>
            </w:pPr>
            <w:r w:rsidRPr="00BD16B4">
              <w:rPr>
                <w:szCs w:val="18"/>
              </w:rPr>
              <w:t>NE, NA</w:t>
            </w:r>
          </w:p>
        </w:tc>
        <w:tc>
          <w:tcPr>
            <w:tcW w:w="794" w:type="dxa"/>
            <w:tcBorders>
              <w:bottom w:val="single" w:sz="4" w:space="0" w:color="1B556B" w:themeColor="text2"/>
            </w:tcBorders>
            <w:shd w:val="clear" w:color="auto" w:fill="auto"/>
          </w:tcPr>
          <w:p w14:paraId="128C2B1F" w14:textId="77777777" w:rsidR="00ED2EBD" w:rsidRPr="00BD16B4" w:rsidRDefault="00ED2EBD" w:rsidP="004A205F">
            <w:pPr>
              <w:pStyle w:val="TableText"/>
              <w:spacing w:before="40" w:after="40"/>
              <w:jc w:val="right"/>
              <w:rPr>
                <w:szCs w:val="18"/>
              </w:rPr>
            </w:pPr>
            <w:r w:rsidRPr="00BD16B4">
              <w:rPr>
                <w:szCs w:val="18"/>
              </w:rPr>
              <w:t>NE, NA</w:t>
            </w:r>
          </w:p>
        </w:tc>
        <w:tc>
          <w:tcPr>
            <w:tcW w:w="794" w:type="dxa"/>
            <w:tcBorders>
              <w:bottom w:val="single" w:sz="4" w:space="0" w:color="1B556B" w:themeColor="text2"/>
            </w:tcBorders>
            <w:shd w:val="clear" w:color="auto" w:fill="auto"/>
          </w:tcPr>
          <w:p w14:paraId="265F07C6" w14:textId="77777777" w:rsidR="00ED2EBD" w:rsidRPr="00BD16B4" w:rsidRDefault="00ED2EBD" w:rsidP="004A205F">
            <w:pPr>
              <w:pStyle w:val="TableText"/>
              <w:spacing w:before="40" w:after="40"/>
              <w:jc w:val="right"/>
              <w:rPr>
                <w:szCs w:val="18"/>
              </w:rPr>
            </w:pPr>
            <w:r w:rsidRPr="00BD16B4">
              <w:rPr>
                <w:szCs w:val="18"/>
              </w:rPr>
              <w:t>NE, NA</w:t>
            </w:r>
          </w:p>
        </w:tc>
        <w:tc>
          <w:tcPr>
            <w:tcW w:w="794" w:type="dxa"/>
            <w:tcBorders>
              <w:bottom w:val="single" w:sz="4" w:space="0" w:color="1B556B" w:themeColor="text2"/>
            </w:tcBorders>
            <w:shd w:val="clear" w:color="auto" w:fill="auto"/>
          </w:tcPr>
          <w:p w14:paraId="26BA03A8" w14:textId="77777777" w:rsidR="00ED2EBD" w:rsidRPr="00BD16B4" w:rsidRDefault="00ED2EBD" w:rsidP="004A205F">
            <w:pPr>
              <w:pStyle w:val="TableText"/>
              <w:spacing w:before="40" w:after="40"/>
              <w:jc w:val="right"/>
              <w:rPr>
                <w:szCs w:val="18"/>
              </w:rPr>
            </w:pPr>
            <w:r w:rsidRPr="00BD16B4">
              <w:rPr>
                <w:szCs w:val="18"/>
              </w:rPr>
              <w:t>NE, NA</w:t>
            </w:r>
          </w:p>
        </w:tc>
        <w:tc>
          <w:tcPr>
            <w:tcW w:w="794" w:type="dxa"/>
            <w:tcBorders>
              <w:bottom w:val="single" w:sz="4" w:space="0" w:color="1B556B" w:themeColor="text2"/>
            </w:tcBorders>
            <w:shd w:val="clear" w:color="auto" w:fill="auto"/>
          </w:tcPr>
          <w:p w14:paraId="492B1DDF" w14:textId="77777777" w:rsidR="00ED2EBD" w:rsidRPr="00BD16B4" w:rsidRDefault="00ED2EBD" w:rsidP="004A205F">
            <w:pPr>
              <w:pStyle w:val="TableText"/>
              <w:spacing w:before="40" w:after="40"/>
              <w:jc w:val="right"/>
              <w:rPr>
                <w:szCs w:val="18"/>
              </w:rPr>
            </w:pPr>
            <w:r w:rsidRPr="00BD16B4">
              <w:rPr>
                <w:szCs w:val="18"/>
              </w:rPr>
              <w:t>NE, NA</w:t>
            </w:r>
          </w:p>
        </w:tc>
        <w:tc>
          <w:tcPr>
            <w:tcW w:w="794" w:type="dxa"/>
            <w:tcBorders>
              <w:bottom w:val="single" w:sz="4" w:space="0" w:color="1B556B" w:themeColor="text2"/>
            </w:tcBorders>
            <w:shd w:val="clear" w:color="auto" w:fill="auto"/>
          </w:tcPr>
          <w:p w14:paraId="1625C5B0" w14:textId="77777777" w:rsidR="00ED2EBD" w:rsidRPr="00BD16B4" w:rsidRDefault="00ED2EBD" w:rsidP="004A205F">
            <w:pPr>
              <w:pStyle w:val="TableText"/>
              <w:spacing w:before="40" w:after="40"/>
              <w:jc w:val="right"/>
              <w:rPr>
                <w:szCs w:val="18"/>
              </w:rPr>
            </w:pPr>
            <w:r w:rsidRPr="00BD16B4">
              <w:rPr>
                <w:szCs w:val="18"/>
              </w:rPr>
              <w:t>NE, NA</w:t>
            </w:r>
          </w:p>
        </w:tc>
        <w:tc>
          <w:tcPr>
            <w:tcW w:w="794" w:type="dxa"/>
            <w:tcBorders>
              <w:bottom w:val="single" w:sz="4" w:space="0" w:color="1B556B" w:themeColor="text2"/>
            </w:tcBorders>
            <w:shd w:val="clear" w:color="auto" w:fill="auto"/>
          </w:tcPr>
          <w:p w14:paraId="421DA3F7" w14:textId="77777777" w:rsidR="00ED2EBD" w:rsidRPr="00BD16B4" w:rsidRDefault="00ED2EBD" w:rsidP="004A205F">
            <w:pPr>
              <w:pStyle w:val="TableText"/>
              <w:spacing w:before="40" w:after="40"/>
              <w:jc w:val="right"/>
              <w:rPr>
                <w:szCs w:val="18"/>
              </w:rPr>
            </w:pPr>
            <w:r w:rsidRPr="00BD16B4">
              <w:rPr>
                <w:szCs w:val="18"/>
              </w:rPr>
              <w:t>NE, NA</w:t>
            </w:r>
          </w:p>
        </w:tc>
        <w:tc>
          <w:tcPr>
            <w:tcW w:w="794" w:type="dxa"/>
            <w:tcBorders>
              <w:bottom w:val="single" w:sz="4" w:space="0" w:color="1B556B" w:themeColor="text2"/>
            </w:tcBorders>
            <w:shd w:val="clear" w:color="auto" w:fill="auto"/>
          </w:tcPr>
          <w:p w14:paraId="062808F6" w14:textId="77777777" w:rsidR="00ED2EBD" w:rsidRPr="00BD16B4" w:rsidRDefault="00ED2EBD" w:rsidP="004A205F">
            <w:pPr>
              <w:pStyle w:val="TableText"/>
              <w:spacing w:before="40" w:after="40"/>
              <w:jc w:val="right"/>
              <w:rPr>
                <w:szCs w:val="18"/>
              </w:rPr>
            </w:pPr>
            <w:r w:rsidRPr="00BD16B4">
              <w:rPr>
                <w:szCs w:val="18"/>
              </w:rPr>
              <w:t>NE, NA</w:t>
            </w:r>
          </w:p>
        </w:tc>
      </w:tr>
      <w:tr w:rsidR="0092050F" w:rsidRPr="00BD16B4" w14:paraId="2AA12B74" w14:textId="77777777" w:rsidTr="00F70C72">
        <w:tc>
          <w:tcPr>
            <w:tcW w:w="3539" w:type="dxa"/>
          </w:tcPr>
          <w:p w14:paraId="30C86075" w14:textId="14A7796C" w:rsidR="00ED2EBD" w:rsidRPr="00BD16B4" w:rsidRDefault="00ED2EBD" w:rsidP="004A205F">
            <w:pPr>
              <w:pStyle w:val="TableText"/>
              <w:spacing w:before="40" w:after="40"/>
              <w:rPr>
                <w:szCs w:val="18"/>
              </w:rPr>
            </w:pPr>
            <w:r w:rsidRPr="00BD16B4">
              <w:rPr>
                <w:szCs w:val="18"/>
              </w:rPr>
              <w:t>G.</w:t>
            </w:r>
            <w:r w:rsidR="00280979" w:rsidRPr="00BD16B4">
              <w:rPr>
                <w:szCs w:val="18"/>
              </w:rPr>
              <w:t xml:space="preserve"> </w:t>
            </w:r>
            <w:r w:rsidRPr="00BD16B4">
              <w:rPr>
                <w:szCs w:val="18"/>
              </w:rPr>
              <w:t>Harvested wood products</w:t>
            </w:r>
          </w:p>
        </w:tc>
        <w:tc>
          <w:tcPr>
            <w:tcW w:w="794" w:type="dxa"/>
            <w:tcBorders>
              <w:top w:val="single" w:sz="4" w:space="0" w:color="1B556B" w:themeColor="text2"/>
            </w:tcBorders>
            <w:shd w:val="clear" w:color="auto" w:fill="D2DDE1" w:themeFill="background2"/>
          </w:tcPr>
          <w:p w14:paraId="1229230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4F3171B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36E3B5A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58BD529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7215384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331DC19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798424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47336CC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AE0864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328C1AE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43F1B45D" w14:textId="77777777" w:rsidR="00ED2EBD" w:rsidRPr="00BD16B4" w:rsidRDefault="00ED2EBD" w:rsidP="004A205F">
            <w:pPr>
              <w:pStyle w:val="TableText"/>
              <w:spacing w:before="40" w:after="40"/>
              <w:jc w:val="right"/>
              <w:rPr>
                <w:szCs w:val="18"/>
              </w:rPr>
            </w:pPr>
            <w:r w:rsidRPr="00BD16B4">
              <w:rPr>
                <w:color w:val="000000"/>
                <w:szCs w:val="18"/>
              </w:rPr>
              <w:t> </w:t>
            </w:r>
          </w:p>
        </w:tc>
      </w:tr>
      <w:tr w:rsidR="00921D3E" w:rsidRPr="00BD16B4" w14:paraId="5541D483" w14:textId="77777777" w:rsidTr="00F70C72">
        <w:tc>
          <w:tcPr>
            <w:tcW w:w="3539" w:type="dxa"/>
          </w:tcPr>
          <w:p w14:paraId="040CC88D" w14:textId="72366E1E" w:rsidR="00ED2EBD" w:rsidRPr="00BD16B4" w:rsidRDefault="00ED2EBD" w:rsidP="004A205F">
            <w:pPr>
              <w:pStyle w:val="TableText"/>
              <w:spacing w:before="40" w:after="40"/>
              <w:rPr>
                <w:szCs w:val="18"/>
              </w:rPr>
            </w:pPr>
            <w:r w:rsidRPr="00BD16B4">
              <w:rPr>
                <w:szCs w:val="18"/>
              </w:rPr>
              <w:t>H.</w:t>
            </w:r>
            <w:r w:rsidR="00280979" w:rsidRPr="00BD16B4">
              <w:rPr>
                <w:szCs w:val="18"/>
              </w:rPr>
              <w:t xml:space="preserve"> </w:t>
            </w:r>
            <w:r w:rsidRPr="00BD16B4">
              <w:rPr>
                <w:szCs w:val="18"/>
              </w:rPr>
              <w:t>Other</w:t>
            </w:r>
            <w:r w:rsidR="00280979" w:rsidRPr="00BD16B4">
              <w:rPr>
                <w:szCs w:val="18"/>
              </w:rPr>
              <w:t xml:space="preserve"> </w:t>
            </w:r>
          </w:p>
        </w:tc>
        <w:tc>
          <w:tcPr>
            <w:tcW w:w="794" w:type="dxa"/>
            <w:shd w:val="clear" w:color="auto" w:fill="auto"/>
          </w:tcPr>
          <w:p w14:paraId="797680AB"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23309D8"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0B0D88B3"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2141FDB7"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7BAF2247"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08C304F8"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CA24548"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848B4EC"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8518C70"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B858233"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BE0AC60" w14:textId="77777777" w:rsidR="00ED2EBD" w:rsidRPr="00BD16B4" w:rsidRDefault="00ED2EBD" w:rsidP="004A205F">
            <w:pPr>
              <w:pStyle w:val="TableText"/>
              <w:spacing w:before="40" w:after="40"/>
              <w:jc w:val="right"/>
              <w:rPr>
                <w:szCs w:val="18"/>
              </w:rPr>
            </w:pPr>
            <w:r w:rsidRPr="00BD16B4">
              <w:rPr>
                <w:szCs w:val="18"/>
              </w:rPr>
              <w:t>NA</w:t>
            </w:r>
          </w:p>
        </w:tc>
      </w:tr>
      <w:tr w:rsidR="00921D3E" w:rsidRPr="00BD16B4" w14:paraId="443F863A" w14:textId="77777777" w:rsidTr="00F70C72">
        <w:tc>
          <w:tcPr>
            <w:tcW w:w="3539" w:type="dxa"/>
          </w:tcPr>
          <w:p w14:paraId="5982862C" w14:textId="12835AEA" w:rsidR="00ED2EBD" w:rsidRPr="00BD16B4" w:rsidRDefault="00ED2EBD" w:rsidP="004A205F">
            <w:pPr>
              <w:pStyle w:val="TableText"/>
              <w:spacing w:before="40" w:after="40"/>
              <w:rPr>
                <w:szCs w:val="18"/>
              </w:rPr>
            </w:pPr>
            <w:r w:rsidRPr="00BD16B4">
              <w:rPr>
                <w:b/>
                <w:bCs/>
                <w:szCs w:val="18"/>
              </w:rPr>
              <w:lastRenderedPageBreak/>
              <w:t>5.</w:t>
            </w:r>
            <w:r w:rsidR="00280979" w:rsidRPr="00BD16B4">
              <w:rPr>
                <w:b/>
                <w:bCs/>
                <w:szCs w:val="18"/>
              </w:rPr>
              <w:t xml:space="preserve"> </w:t>
            </w:r>
            <w:r w:rsidRPr="00BD16B4">
              <w:rPr>
                <w:b/>
                <w:bCs/>
                <w:szCs w:val="18"/>
              </w:rPr>
              <w:t>Waste</w:t>
            </w:r>
          </w:p>
        </w:tc>
        <w:tc>
          <w:tcPr>
            <w:tcW w:w="794" w:type="dxa"/>
            <w:shd w:val="clear" w:color="auto" w:fill="auto"/>
          </w:tcPr>
          <w:p w14:paraId="7F6224FD" w14:textId="77777777" w:rsidR="00ED2EBD" w:rsidRPr="00BD16B4" w:rsidRDefault="00ED2EBD" w:rsidP="004A205F">
            <w:pPr>
              <w:pStyle w:val="TableText"/>
              <w:spacing w:before="40" w:after="40"/>
              <w:jc w:val="right"/>
              <w:rPr>
                <w:szCs w:val="18"/>
              </w:rPr>
            </w:pPr>
            <w:r w:rsidRPr="00BD16B4">
              <w:rPr>
                <w:szCs w:val="18"/>
              </w:rPr>
              <w:t>164.95</w:t>
            </w:r>
          </w:p>
        </w:tc>
        <w:tc>
          <w:tcPr>
            <w:tcW w:w="794" w:type="dxa"/>
            <w:shd w:val="clear" w:color="auto" w:fill="auto"/>
          </w:tcPr>
          <w:p w14:paraId="73320A66" w14:textId="77777777" w:rsidR="00ED2EBD" w:rsidRPr="00BD16B4" w:rsidRDefault="00ED2EBD" w:rsidP="004A205F">
            <w:pPr>
              <w:pStyle w:val="TableText"/>
              <w:spacing w:before="40" w:after="40"/>
              <w:jc w:val="right"/>
              <w:rPr>
                <w:szCs w:val="18"/>
              </w:rPr>
            </w:pPr>
            <w:r w:rsidRPr="00BD16B4">
              <w:rPr>
                <w:szCs w:val="18"/>
              </w:rPr>
              <w:t>166.23</w:t>
            </w:r>
          </w:p>
        </w:tc>
        <w:tc>
          <w:tcPr>
            <w:tcW w:w="794" w:type="dxa"/>
            <w:shd w:val="clear" w:color="auto" w:fill="auto"/>
          </w:tcPr>
          <w:p w14:paraId="61C5DB12" w14:textId="77777777" w:rsidR="00ED2EBD" w:rsidRPr="00BD16B4" w:rsidRDefault="00ED2EBD" w:rsidP="004A205F">
            <w:pPr>
              <w:pStyle w:val="TableText"/>
              <w:spacing w:before="40" w:after="40"/>
              <w:jc w:val="right"/>
              <w:rPr>
                <w:szCs w:val="18"/>
              </w:rPr>
            </w:pPr>
            <w:r w:rsidRPr="00BD16B4">
              <w:rPr>
                <w:szCs w:val="18"/>
              </w:rPr>
              <w:t>167.54</w:t>
            </w:r>
          </w:p>
        </w:tc>
        <w:tc>
          <w:tcPr>
            <w:tcW w:w="794" w:type="dxa"/>
            <w:shd w:val="clear" w:color="auto" w:fill="auto"/>
          </w:tcPr>
          <w:p w14:paraId="7E7230A7" w14:textId="77777777" w:rsidR="00ED2EBD" w:rsidRPr="00BD16B4" w:rsidRDefault="00ED2EBD" w:rsidP="004A205F">
            <w:pPr>
              <w:pStyle w:val="TableText"/>
              <w:spacing w:before="40" w:after="40"/>
              <w:jc w:val="right"/>
              <w:rPr>
                <w:szCs w:val="18"/>
              </w:rPr>
            </w:pPr>
            <w:r w:rsidRPr="00BD16B4">
              <w:rPr>
                <w:szCs w:val="18"/>
              </w:rPr>
              <w:t>168.50</w:t>
            </w:r>
          </w:p>
        </w:tc>
        <w:tc>
          <w:tcPr>
            <w:tcW w:w="794" w:type="dxa"/>
            <w:shd w:val="clear" w:color="auto" w:fill="auto"/>
          </w:tcPr>
          <w:p w14:paraId="7DC1852E" w14:textId="77777777" w:rsidR="00ED2EBD" w:rsidRPr="00BD16B4" w:rsidRDefault="00ED2EBD" w:rsidP="004A205F">
            <w:pPr>
              <w:pStyle w:val="TableText"/>
              <w:spacing w:before="40" w:after="40"/>
              <w:jc w:val="right"/>
              <w:rPr>
                <w:szCs w:val="18"/>
              </w:rPr>
            </w:pPr>
            <w:r w:rsidRPr="00BD16B4">
              <w:rPr>
                <w:szCs w:val="18"/>
              </w:rPr>
              <w:t>165.07</w:t>
            </w:r>
          </w:p>
        </w:tc>
        <w:tc>
          <w:tcPr>
            <w:tcW w:w="794" w:type="dxa"/>
            <w:shd w:val="clear" w:color="auto" w:fill="auto"/>
          </w:tcPr>
          <w:p w14:paraId="041F2223" w14:textId="77777777" w:rsidR="00ED2EBD" w:rsidRPr="00BD16B4" w:rsidRDefault="00ED2EBD" w:rsidP="004A205F">
            <w:pPr>
              <w:pStyle w:val="TableText"/>
              <w:spacing w:before="40" w:after="40"/>
              <w:jc w:val="right"/>
              <w:rPr>
                <w:szCs w:val="18"/>
              </w:rPr>
            </w:pPr>
            <w:r w:rsidRPr="00BD16B4">
              <w:rPr>
                <w:szCs w:val="18"/>
              </w:rPr>
              <w:t>165.55</w:t>
            </w:r>
          </w:p>
        </w:tc>
        <w:tc>
          <w:tcPr>
            <w:tcW w:w="794" w:type="dxa"/>
            <w:shd w:val="clear" w:color="auto" w:fill="auto"/>
          </w:tcPr>
          <w:p w14:paraId="396D45E6" w14:textId="77777777" w:rsidR="00ED2EBD" w:rsidRPr="00BD16B4" w:rsidRDefault="00ED2EBD" w:rsidP="004A205F">
            <w:pPr>
              <w:pStyle w:val="TableText"/>
              <w:spacing w:before="40" w:after="40"/>
              <w:jc w:val="right"/>
              <w:rPr>
                <w:szCs w:val="18"/>
              </w:rPr>
            </w:pPr>
            <w:r w:rsidRPr="00BD16B4">
              <w:rPr>
                <w:szCs w:val="18"/>
              </w:rPr>
              <w:t>165.31</w:t>
            </w:r>
          </w:p>
        </w:tc>
        <w:tc>
          <w:tcPr>
            <w:tcW w:w="794" w:type="dxa"/>
            <w:shd w:val="clear" w:color="auto" w:fill="auto"/>
          </w:tcPr>
          <w:p w14:paraId="301F5056" w14:textId="77777777" w:rsidR="00ED2EBD" w:rsidRPr="00BD16B4" w:rsidRDefault="00ED2EBD" w:rsidP="004A205F">
            <w:pPr>
              <w:pStyle w:val="TableText"/>
              <w:spacing w:before="40" w:after="40"/>
              <w:jc w:val="right"/>
              <w:rPr>
                <w:szCs w:val="18"/>
              </w:rPr>
            </w:pPr>
            <w:r w:rsidRPr="00BD16B4">
              <w:rPr>
                <w:szCs w:val="18"/>
              </w:rPr>
              <w:t>157.46</w:t>
            </w:r>
          </w:p>
        </w:tc>
        <w:tc>
          <w:tcPr>
            <w:tcW w:w="794" w:type="dxa"/>
            <w:shd w:val="clear" w:color="auto" w:fill="auto"/>
          </w:tcPr>
          <w:p w14:paraId="3C59CD88" w14:textId="77777777" w:rsidR="00ED2EBD" w:rsidRPr="00BD16B4" w:rsidRDefault="00ED2EBD" w:rsidP="004A205F">
            <w:pPr>
              <w:pStyle w:val="TableText"/>
              <w:spacing w:before="40" w:after="40"/>
              <w:jc w:val="right"/>
              <w:rPr>
                <w:szCs w:val="18"/>
              </w:rPr>
            </w:pPr>
            <w:r w:rsidRPr="00BD16B4">
              <w:rPr>
                <w:szCs w:val="18"/>
              </w:rPr>
              <w:t>156.08</w:t>
            </w:r>
          </w:p>
        </w:tc>
        <w:tc>
          <w:tcPr>
            <w:tcW w:w="794" w:type="dxa"/>
            <w:shd w:val="clear" w:color="auto" w:fill="auto"/>
          </w:tcPr>
          <w:p w14:paraId="5C2EAF86" w14:textId="77777777" w:rsidR="00ED2EBD" w:rsidRPr="00BD16B4" w:rsidRDefault="00ED2EBD" w:rsidP="004A205F">
            <w:pPr>
              <w:pStyle w:val="TableText"/>
              <w:spacing w:before="40" w:after="40"/>
              <w:jc w:val="right"/>
              <w:rPr>
                <w:szCs w:val="18"/>
              </w:rPr>
            </w:pPr>
            <w:r w:rsidRPr="00BD16B4">
              <w:rPr>
                <w:szCs w:val="18"/>
              </w:rPr>
              <w:t>152.90</w:t>
            </w:r>
          </w:p>
        </w:tc>
        <w:tc>
          <w:tcPr>
            <w:tcW w:w="794" w:type="dxa"/>
            <w:shd w:val="clear" w:color="auto" w:fill="auto"/>
          </w:tcPr>
          <w:p w14:paraId="06108EB6" w14:textId="77777777" w:rsidR="00ED2EBD" w:rsidRPr="00BD16B4" w:rsidRDefault="00ED2EBD" w:rsidP="004A205F">
            <w:pPr>
              <w:pStyle w:val="TableText"/>
              <w:spacing w:before="40" w:after="40"/>
              <w:jc w:val="right"/>
              <w:rPr>
                <w:szCs w:val="18"/>
              </w:rPr>
            </w:pPr>
            <w:r w:rsidRPr="00BD16B4">
              <w:rPr>
                <w:szCs w:val="18"/>
              </w:rPr>
              <w:t>147.67</w:t>
            </w:r>
          </w:p>
        </w:tc>
      </w:tr>
      <w:tr w:rsidR="00921D3E" w:rsidRPr="00BD16B4" w14:paraId="2272FB0E" w14:textId="77777777" w:rsidTr="00F70C72">
        <w:tc>
          <w:tcPr>
            <w:tcW w:w="3539" w:type="dxa"/>
          </w:tcPr>
          <w:p w14:paraId="540D3C0E" w14:textId="3C58D6E2"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 xml:space="preserve">Solid waste disposal </w:t>
            </w:r>
          </w:p>
        </w:tc>
        <w:tc>
          <w:tcPr>
            <w:tcW w:w="794" w:type="dxa"/>
            <w:shd w:val="clear" w:color="auto" w:fill="auto"/>
          </w:tcPr>
          <w:p w14:paraId="1AC5CEE3" w14:textId="77777777" w:rsidR="00ED2EBD" w:rsidRPr="00BD16B4" w:rsidRDefault="00ED2EBD" w:rsidP="004A205F">
            <w:pPr>
              <w:pStyle w:val="TableText"/>
              <w:spacing w:before="40" w:after="40"/>
              <w:jc w:val="right"/>
              <w:rPr>
                <w:szCs w:val="18"/>
              </w:rPr>
            </w:pPr>
            <w:r w:rsidRPr="00BD16B4">
              <w:rPr>
                <w:szCs w:val="18"/>
              </w:rPr>
              <w:t>150.37</w:t>
            </w:r>
          </w:p>
        </w:tc>
        <w:tc>
          <w:tcPr>
            <w:tcW w:w="794" w:type="dxa"/>
            <w:shd w:val="clear" w:color="auto" w:fill="auto"/>
          </w:tcPr>
          <w:p w14:paraId="319EA039" w14:textId="77777777" w:rsidR="00ED2EBD" w:rsidRPr="00BD16B4" w:rsidRDefault="00ED2EBD" w:rsidP="004A205F">
            <w:pPr>
              <w:pStyle w:val="TableText"/>
              <w:spacing w:before="40" w:after="40"/>
              <w:jc w:val="right"/>
              <w:rPr>
                <w:szCs w:val="18"/>
              </w:rPr>
            </w:pPr>
            <w:r w:rsidRPr="00BD16B4">
              <w:rPr>
                <w:szCs w:val="18"/>
              </w:rPr>
              <w:t>151.88</w:t>
            </w:r>
          </w:p>
        </w:tc>
        <w:tc>
          <w:tcPr>
            <w:tcW w:w="794" w:type="dxa"/>
            <w:shd w:val="clear" w:color="auto" w:fill="auto"/>
          </w:tcPr>
          <w:p w14:paraId="2D7588AB" w14:textId="77777777" w:rsidR="00ED2EBD" w:rsidRPr="00BD16B4" w:rsidRDefault="00ED2EBD" w:rsidP="004A205F">
            <w:pPr>
              <w:pStyle w:val="TableText"/>
              <w:spacing w:before="40" w:after="40"/>
              <w:jc w:val="right"/>
              <w:rPr>
                <w:szCs w:val="18"/>
              </w:rPr>
            </w:pPr>
            <w:r w:rsidRPr="00BD16B4">
              <w:rPr>
                <w:szCs w:val="18"/>
              </w:rPr>
              <w:t>153.55</w:t>
            </w:r>
          </w:p>
        </w:tc>
        <w:tc>
          <w:tcPr>
            <w:tcW w:w="794" w:type="dxa"/>
            <w:shd w:val="clear" w:color="auto" w:fill="auto"/>
          </w:tcPr>
          <w:p w14:paraId="1108D96C" w14:textId="77777777" w:rsidR="00ED2EBD" w:rsidRPr="00BD16B4" w:rsidRDefault="00ED2EBD" w:rsidP="004A205F">
            <w:pPr>
              <w:pStyle w:val="TableText"/>
              <w:spacing w:before="40" w:after="40"/>
              <w:jc w:val="right"/>
              <w:rPr>
                <w:szCs w:val="18"/>
              </w:rPr>
            </w:pPr>
            <w:r w:rsidRPr="00BD16B4">
              <w:rPr>
                <w:szCs w:val="18"/>
              </w:rPr>
              <w:t>154.90</w:t>
            </w:r>
          </w:p>
        </w:tc>
        <w:tc>
          <w:tcPr>
            <w:tcW w:w="794" w:type="dxa"/>
            <w:shd w:val="clear" w:color="auto" w:fill="auto"/>
          </w:tcPr>
          <w:p w14:paraId="1B89BAC9" w14:textId="77777777" w:rsidR="00ED2EBD" w:rsidRPr="00BD16B4" w:rsidRDefault="00ED2EBD" w:rsidP="004A205F">
            <w:pPr>
              <w:pStyle w:val="TableText"/>
              <w:spacing w:before="40" w:after="40"/>
              <w:jc w:val="right"/>
              <w:rPr>
                <w:szCs w:val="18"/>
              </w:rPr>
            </w:pPr>
            <w:r w:rsidRPr="00BD16B4">
              <w:rPr>
                <w:szCs w:val="18"/>
              </w:rPr>
              <w:t>151.62</w:t>
            </w:r>
          </w:p>
        </w:tc>
        <w:tc>
          <w:tcPr>
            <w:tcW w:w="794" w:type="dxa"/>
            <w:shd w:val="clear" w:color="auto" w:fill="auto"/>
          </w:tcPr>
          <w:p w14:paraId="0DCF6D7D" w14:textId="77777777" w:rsidR="00ED2EBD" w:rsidRPr="00BD16B4" w:rsidRDefault="00ED2EBD" w:rsidP="004A205F">
            <w:pPr>
              <w:pStyle w:val="TableText"/>
              <w:spacing w:before="40" w:after="40"/>
              <w:jc w:val="right"/>
              <w:rPr>
                <w:szCs w:val="18"/>
              </w:rPr>
            </w:pPr>
            <w:r w:rsidRPr="00BD16B4">
              <w:rPr>
                <w:szCs w:val="18"/>
              </w:rPr>
              <w:t>152.01</w:t>
            </w:r>
          </w:p>
        </w:tc>
        <w:tc>
          <w:tcPr>
            <w:tcW w:w="794" w:type="dxa"/>
            <w:shd w:val="clear" w:color="auto" w:fill="auto"/>
          </w:tcPr>
          <w:p w14:paraId="69A81E4A" w14:textId="77777777" w:rsidR="00ED2EBD" w:rsidRPr="00BD16B4" w:rsidRDefault="00ED2EBD" w:rsidP="004A205F">
            <w:pPr>
              <w:pStyle w:val="TableText"/>
              <w:spacing w:before="40" w:after="40"/>
              <w:jc w:val="right"/>
              <w:rPr>
                <w:szCs w:val="18"/>
              </w:rPr>
            </w:pPr>
            <w:r w:rsidRPr="00BD16B4">
              <w:rPr>
                <w:szCs w:val="18"/>
              </w:rPr>
              <w:t>151.95</w:t>
            </w:r>
          </w:p>
        </w:tc>
        <w:tc>
          <w:tcPr>
            <w:tcW w:w="794" w:type="dxa"/>
            <w:shd w:val="clear" w:color="auto" w:fill="auto"/>
          </w:tcPr>
          <w:p w14:paraId="719EDA77" w14:textId="77777777" w:rsidR="00ED2EBD" w:rsidRPr="00BD16B4" w:rsidRDefault="00ED2EBD" w:rsidP="004A205F">
            <w:pPr>
              <w:pStyle w:val="TableText"/>
              <w:spacing w:before="40" w:after="40"/>
              <w:jc w:val="right"/>
              <w:rPr>
                <w:szCs w:val="18"/>
              </w:rPr>
            </w:pPr>
            <w:r w:rsidRPr="00BD16B4">
              <w:rPr>
                <w:szCs w:val="18"/>
              </w:rPr>
              <w:t>144.23</w:t>
            </w:r>
          </w:p>
        </w:tc>
        <w:tc>
          <w:tcPr>
            <w:tcW w:w="794" w:type="dxa"/>
            <w:shd w:val="clear" w:color="auto" w:fill="auto"/>
          </w:tcPr>
          <w:p w14:paraId="76300269" w14:textId="77777777" w:rsidR="00ED2EBD" w:rsidRPr="00BD16B4" w:rsidRDefault="00ED2EBD" w:rsidP="004A205F">
            <w:pPr>
              <w:pStyle w:val="TableText"/>
              <w:spacing w:before="40" w:after="40"/>
              <w:jc w:val="right"/>
              <w:rPr>
                <w:szCs w:val="18"/>
              </w:rPr>
            </w:pPr>
            <w:r w:rsidRPr="00BD16B4">
              <w:rPr>
                <w:szCs w:val="18"/>
              </w:rPr>
              <w:t>142.85</w:t>
            </w:r>
          </w:p>
        </w:tc>
        <w:tc>
          <w:tcPr>
            <w:tcW w:w="794" w:type="dxa"/>
            <w:shd w:val="clear" w:color="auto" w:fill="auto"/>
          </w:tcPr>
          <w:p w14:paraId="2AD967AA" w14:textId="77777777" w:rsidR="00ED2EBD" w:rsidRPr="00BD16B4" w:rsidRDefault="00ED2EBD" w:rsidP="004A205F">
            <w:pPr>
              <w:pStyle w:val="TableText"/>
              <w:spacing w:before="40" w:after="40"/>
              <w:jc w:val="right"/>
              <w:rPr>
                <w:szCs w:val="18"/>
              </w:rPr>
            </w:pPr>
            <w:r w:rsidRPr="00BD16B4">
              <w:rPr>
                <w:szCs w:val="18"/>
              </w:rPr>
              <w:t>139.76</w:t>
            </w:r>
          </w:p>
        </w:tc>
        <w:tc>
          <w:tcPr>
            <w:tcW w:w="794" w:type="dxa"/>
            <w:shd w:val="clear" w:color="auto" w:fill="auto"/>
          </w:tcPr>
          <w:p w14:paraId="716A9F6D" w14:textId="77777777" w:rsidR="00ED2EBD" w:rsidRPr="00BD16B4" w:rsidRDefault="00ED2EBD" w:rsidP="004A205F">
            <w:pPr>
              <w:pStyle w:val="TableText"/>
              <w:spacing w:before="40" w:after="40"/>
              <w:jc w:val="right"/>
              <w:rPr>
                <w:szCs w:val="18"/>
              </w:rPr>
            </w:pPr>
            <w:r w:rsidRPr="00BD16B4">
              <w:rPr>
                <w:szCs w:val="18"/>
              </w:rPr>
              <w:t>134.69</w:t>
            </w:r>
          </w:p>
        </w:tc>
      </w:tr>
      <w:tr w:rsidR="00921D3E" w:rsidRPr="00BD16B4" w14:paraId="401DA096" w14:textId="77777777" w:rsidTr="00F70C72">
        <w:tc>
          <w:tcPr>
            <w:tcW w:w="3539" w:type="dxa"/>
          </w:tcPr>
          <w:p w14:paraId="301615A3" w14:textId="0928F1B9"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Biological treatment of solid waste</w:t>
            </w:r>
          </w:p>
        </w:tc>
        <w:tc>
          <w:tcPr>
            <w:tcW w:w="794" w:type="dxa"/>
            <w:shd w:val="clear" w:color="auto" w:fill="auto"/>
          </w:tcPr>
          <w:p w14:paraId="5A48E7FA" w14:textId="77777777" w:rsidR="00ED2EBD" w:rsidRPr="00BD16B4" w:rsidRDefault="00ED2EBD" w:rsidP="004A205F">
            <w:pPr>
              <w:pStyle w:val="TableText"/>
              <w:spacing w:before="40" w:after="40"/>
              <w:jc w:val="right"/>
              <w:rPr>
                <w:szCs w:val="18"/>
              </w:rPr>
            </w:pPr>
            <w:r w:rsidRPr="00BD16B4">
              <w:rPr>
                <w:szCs w:val="18"/>
              </w:rPr>
              <w:t>0.13</w:t>
            </w:r>
          </w:p>
        </w:tc>
        <w:tc>
          <w:tcPr>
            <w:tcW w:w="794" w:type="dxa"/>
            <w:shd w:val="clear" w:color="auto" w:fill="auto"/>
          </w:tcPr>
          <w:p w14:paraId="39F852E3" w14:textId="77777777" w:rsidR="00ED2EBD" w:rsidRPr="00BD16B4" w:rsidRDefault="00ED2EBD" w:rsidP="004A205F">
            <w:pPr>
              <w:pStyle w:val="TableText"/>
              <w:spacing w:before="40" w:after="40"/>
              <w:jc w:val="right"/>
              <w:rPr>
                <w:szCs w:val="18"/>
              </w:rPr>
            </w:pPr>
            <w:r w:rsidRPr="00BD16B4">
              <w:rPr>
                <w:szCs w:val="18"/>
              </w:rPr>
              <w:t>0.13</w:t>
            </w:r>
          </w:p>
        </w:tc>
        <w:tc>
          <w:tcPr>
            <w:tcW w:w="794" w:type="dxa"/>
            <w:shd w:val="clear" w:color="auto" w:fill="auto"/>
          </w:tcPr>
          <w:p w14:paraId="0690ABFB" w14:textId="77777777" w:rsidR="00ED2EBD" w:rsidRPr="00BD16B4" w:rsidRDefault="00ED2EBD" w:rsidP="004A205F">
            <w:pPr>
              <w:pStyle w:val="TableText"/>
              <w:spacing w:before="40" w:after="40"/>
              <w:jc w:val="right"/>
              <w:rPr>
                <w:szCs w:val="18"/>
              </w:rPr>
            </w:pPr>
            <w:r w:rsidRPr="00BD16B4">
              <w:rPr>
                <w:szCs w:val="18"/>
              </w:rPr>
              <w:t>0.14</w:t>
            </w:r>
          </w:p>
        </w:tc>
        <w:tc>
          <w:tcPr>
            <w:tcW w:w="794" w:type="dxa"/>
            <w:shd w:val="clear" w:color="auto" w:fill="auto"/>
          </w:tcPr>
          <w:p w14:paraId="772263AB" w14:textId="77777777" w:rsidR="00ED2EBD" w:rsidRPr="00BD16B4" w:rsidRDefault="00ED2EBD" w:rsidP="004A205F">
            <w:pPr>
              <w:pStyle w:val="TableText"/>
              <w:spacing w:before="40" w:after="40"/>
              <w:jc w:val="right"/>
              <w:rPr>
                <w:szCs w:val="18"/>
              </w:rPr>
            </w:pPr>
            <w:r w:rsidRPr="00BD16B4">
              <w:rPr>
                <w:szCs w:val="18"/>
              </w:rPr>
              <w:t>0.14</w:t>
            </w:r>
          </w:p>
        </w:tc>
        <w:tc>
          <w:tcPr>
            <w:tcW w:w="794" w:type="dxa"/>
            <w:shd w:val="clear" w:color="auto" w:fill="auto"/>
          </w:tcPr>
          <w:p w14:paraId="7D568CC1" w14:textId="77777777" w:rsidR="00ED2EBD" w:rsidRPr="00BD16B4" w:rsidRDefault="00ED2EBD" w:rsidP="004A205F">
            <w:pPr>
              <w:pStyle w:val="TableText"/>
              <w:spacing w:before="40" w:after="40"/>
              <w:jc w:val="right"/>
              <w:rPr>
                <w:szCs w:val="18"/>
              </w:rPr>
            </w:pPr>
            <w:r w:rsidRPr="00BD16B4">
              <w:rPr>
                <w:szCs w:val="18"/>
              </w:rPr>
              <w:t>0.14</w:t>
            </w:r>
          </w:p>
        </w:tc>
        <w:tc>
          <w:tcPr>
            <w:tcW w:w="794" w:type="dxa"/>
            <w:shd w:val="clear" w:color="auto" w:fill="auto"/>
          </w:tcPr>
          <w:p w14:paraId="7C62CF35" w14:textId="77777777" w:rsidR="00ED2EBD" w:rsidRPr="00BD16B4" w:rsidRDefault="00ED2EBD" w:rsidP="004A205F">
            <w:pPr>
              <w:pStyle w:val="TableText"/>
              <w:spacing w:before="40" w:after="40"/>
              <w:jc w:val="right"/>
              <w:rPr>
                <w:szCs w:val="18"/>
              </w:rPr>
            </w:pPr>
            <w:r w:rsidRPr="00BD16B4">
              <w:rPr>
                <w:szCs w:val="18"/>
              </w:rPr>
              <w:t>0.14</w:t>
            </w:r>
          </w:p>
        </w:tc>
        <w:tc>
          <w:tcPr>
            <w:tcW w:w="794" w:type="dxa"/>
            <w:shd w:val="clear" w:color="auto" w:fill="auto"/>
          </w:tcPr>
          <w:p w14:paraId="75B41146" w14:textId="77777777" w:rsidR="00ED2EBD" w:rsidRPr="00BD16B4" w:rsidRDefault="00ED2EBD" w:rsidP="004A205F">
            <w:pPr>
              <w:pStyle w:val="TableText"/>
              <w:spacing w:before="40" w:after="40"/>
              <w:jc w:val="right"/>
              <w:rPr>
                <w:szCs w:val="18"/>
              </w:rPr>
            </w:pPr>
            <w:r w:rsidRPr="00BD16B4">
              <w:rPr>
                <w:szCs w:val="18"/>
              </w:rPr>
              <w:t>0.15</w:t>
            </w:r>
          </w:p>
        </w:tc>
        <w:tc>
          <w:tcPr>
            <w:tcW w:w="794" w:type="dxa"/>
            <w:shd w:val="clear" w:color="auto" w:fill="auto"/>
          </w:tcPr>
          <w:p w14:paraId="18078F5C" w14:textId="77777777" w:rsidR="00ED2EBD" w:rsidRPr="00BD16B4" w:rsidRDefault="00ED2EBD" w:rsidP="004A205F">
            <w:pPr>
              <w:pStyle w:val="TableText"/>
              <w:spacing w:before="40" w:after="40"/>
              <w:jc w:val="right"/>
              <w:rPr>
                <w:szCs w:val="18"/>
              </w:rPr>
            </w:pPr>
            <w:r w:rsidRPr="00BD16B4">
              <w:rPr>
                <w:szCs w:val="18"/>
              </w:rPr>
              <w:t>0.15</w:t>
            </w:r>
          </w:p>
        </w:tc>
        <w:tc>
          <w:tcPr>
            <w:tcW w:w="794" w:type="dxa"/>
            <w:shd w:val="clear" w:color="auto" w:fill="auto"/>
          </w:tcPr>
          <w:p w14:paraId="751389AC" w14:textId="77777777" w:rsidR="00ED2EBD" w:rsidRPr="00BD16B4" w:rsidRDefault="00ED2EBD" w:rsidP="004A205F">
            <w:pPr>
              <w:pStyle w:val="TableText"/>
              <w:spacing w:before="40" w:after="40"/>
              <w:jc w:val="right"/>
              <w:rPr>
                <w:szCs w:val="18"/>
              </w:rPr>
            </w:pPr>
            <w:r w:rsidRPr="00BD16B4">
              <w:rPr>
                <w:szCs w:val="18"/>
              </w:rPr>
              <w:t>0.15</w:t>
            </w:r>
          </w:p>
        </w:tc>
        <w:tc>
          <w:tcPr>
            <w:tcW w:w="794" w:type="dxa"/>
            <w:shd w:val="clear" w:color="auto" w:fill="auto"/>
          </w:tcPr>
          <w:p w14:paraId="09956FBE" w14:textId="77777777" w:rsidR="00ED2EBD" w:rsidRPr="00BD16B4" w:rsidRDefault="00ED2EBD" w:rsidP="004A205F">
            <w:pPr>
              <w:pStyle w:val="TableText"/>
              <w:spacing w:before="40" w:after="40"/>
              <w:jc w:val="right"/>
              <w:rPr>
                <w:szCs w:val="18"/>
              </w:rPr>
            </w:pPr>
            <w:r w:rsidRPr="00BD16B4">
              <w:rPr>
                <w:szCs w:val="18"/>
              </w:rPr>
              <w:t>0.16</w:t>
            </w:r>
          </w:p>
        </w:tc>
        <w:tc>
          <w:tcPr>
            <w:tcW w:w="794" w:type="dxa"/>
            <w:shd w:val="clear" w:color="auto" w:fill="auto"/>
          </w:tcPr>
          <w:p w14:paraId="44EC80FF" w14:textId="77777777" w:rsidR="00ED2EBD" w:rsidRPr="00BD16B4" w:rsidRDefault="00ED2EBD" w:rsidP="004A205F">
            <w:pPr>
              <w:pStyle w:val="TableText"/>
              <w:spacing w:before="40" w:after="40"/>
              <w:jc w:val="right"/>
              <w:rPr>
                <w:szCs w:val="18"/>
              </w:rPr>
            </w:pPr>
            <w:r w:rsidRPr="00BD16B4">
              <w:rPr>
                <w:szCs w:val="18"/>
              </w:rPr>
              <w:t>0.20</w:t>
            </w:r>
          </w:p>
        </w:tc>
      </w:tr>
      <w:tr w:rsidR="00921D3E" w:rsidRPr="00BD16B4" w14:paraId="25589F2A" w14:textId="77777777" w:rsidTr="00F70C72">
        <w:tc>
          <w:tcPr>
            <w:tcW w:w="3539" w:type="dxa"/>
          </w:tcPr>
          <w:p w14:paraId="4BA66E30" w14:textId="31D9ACCB"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Incineration and open burning of waste</w:t>
            </w:r>
          </w:p>
        </w:tc>
        <w:tc>
          <w:tcPr>
            <w:tcW w:w="794" w:type="dxa"/>
            <w:shd w:val="clear" w:color="auto" w:fill="auto"/>
          </w:tcPr>
          <w:p w14:paraId="4ADDFD28" w14:textId="77777777" w:rsidR="00ED2EBD" w:rsidRPr="00BD16B4" w:rsidRDefault="00ED2EBD" w:rsidP="004A205F">
            <w:pPr>
              <w:pStyle w:val="TableText"/>
              <w:spacing w:before="40" w:after="40"/>
              <w:jc w:val="right"/>
              <w:rPr>
                <w:szCs w:val="18"/>
              </w:rPr>
            </w:pPr>
            <w:r w:rsidRPr="00BD16B4">
              <w:rPr>
                <w:szCs w:val="18"/>
              </w:rPr>
              <w:t>5.07</w:t>
            </w:r>
          </w:p>
        </w:tc>
        <w:tc>
          <w:tcPr>
            <w:tcW w:w="794" w:type="dxa"/>
            <w:shd w:val="clear" w:color="auto" w:fill="auto"/>
          </w:tcPr>
          <w:p w14:paraId="4145B994" w14:textId="77777777" w:rsidR="00ED2EBD" w:rsidRPr="00BD16B4" w:rsidRDefault="00ED2EBD" w:rsidP="004A205F">
            <w:pPr>
              <w:pStyle w:val="TableText"/>
              <w:spacing w:before="40" w:after="40"/>
              <w:jc w:val="right"/>
              <w:rPr>
                <w:szCs w:val="18"/>
              </w:rPr>
            </w:pPr>
            <w:r w:rsidRPr="00BD16B4">
              <w:rPr>
                <w:szCs w:val="18"/>
              </w:rPr>
              <w:t>4.85</w:t>
            </w:r>
          </w:p>
        </w:tc>
        <w:tc>
          <w:tcPr>
            <w:tcW w:w="794" w:type="dxa"/>
            <w:shd w:val="clear" w:color="auto" w:fill="auto"/>
          </w:tcPr>
          <w:p w14:paraId="2AED38A3" w14:textId="77777777" w:rsidR="00ED2EBD" w:rsidRPr="00BD16B4" w:rsidRDefault="00ED2EBD" w:rsidP="004A205F">
            <w:pPr>
              <w:pStyle w:val="TableText"/>
              <w:spacing w:before="40" w:after="40"/>
              <w:jc w:val="right"/>
              <w:rPr>
                <w:szCs w:val="18"/>
              </w:rPr>
            </w:pPr>
            <w:r w:rsidRPr="00BD16B4">
              <w:rPr>
                <w:szCs w:val="18"/>
              </w:rPr>
              <w:t>4.63</w:t>
            </w:r>
          </w:p>
        </w:tc>
        <w:tc>
          <w:tcPr>
            <w:tcW w:w="794" w:type="dxa"/>
            <w:shd w:val="clear" w:color="auto" w:fill="auto"/>
          </w:tcPr>
          <w:p w14:paraId="69A27ED5" w14:textId="77777777" w:rsidR="00ED2EBD" w:rsidRPr="00BD16B4" w:rsidRDefault="00ED2EBD" w:rsidP="004A205F">
            <w:pPr>
              <w:pStyle w:val="TableText"/>
              <w:spacing w:before="40" w:after="40"/>
              <w:jc w:val="right"/>
              <w:rPr>
                <w:szCs w:val="18"/>
              </w:rPr>
            </w:pPr>
            <w:r w:rsidRPr="00BD16B4">
              <w:rPr>
                <w:szCs w:val="18"/>
              </w:rPr>
              <w:t>4.40</w:t>
            </w:r>
          </w:p>
        </w:tc>
        <w:tc>
          <w:tcPr>
            <w:tcW w:w="794" w:type="dxa"/>
            <w:shd w:val="clear" w:color="auto" w:fill="auto"/>
          </w:tcPr>
          <w:p w14:paraId="19E8A55F" w14:textId="77777777" w:rsidR="00ED2EBD" w:rsidRPr="00BD16B4" w:rsidRDefault="00ED2EBD" w:rsidP="004A205F">
            <w:pPr>
              <w:pStyle w:val="TableText"/>
              <w:spacing w:before="40" w:after="40"/>
              <w:jc w:val="right"/>
              <w:rPr>
                <w:szCs w:val="18"/>
              </w:rPr>
            </w:pPr>
            <w:r w:rsidRPr="00BD16B4">
              <w:rPr>
                <w:szCs w:val="18"/>
              </w:rPr>
              <w:t>4.14</w:t>
            </w:r>
          </w:p>
        </w:tc>
        <w:tc>
          <w:tcPr>
            <w:tcW w:w="794" w:type="dxa"/>
            <w:shd w:val="clear" w:color="auto" w:fill="auto"/>
          </w:tcPr>
          <w:p w14:paraId="0D1CE7E2" w14:textId="77777777" w:rsidR="00ED2EBD" w:rsidRPr="00BD16B4" w:rsidRDefault="00ED2EBD" w:rsidP="004A205F">
            <w:pPr>
              <w:pStyle w:val="TableText"/>
              <w:spacing w:before="40" w:after="40"/>
              <w:jc w:val="right"/>
              <w:rPr>
                <w:szCs w:val="18"/>
              </w:rPr>
            </w:pPr>
            <w:r w:rsidRPr="00BD16B4">
              <w:rPr>
                <w:szCs w:val="18"/>
              </w:rPr>
              <w:t>4.17</w:t>
            </w:r>
          </w:p>
        </w:tc>
        <w:tc>
          <w:tcPr>
            <w:tcW w:w="794" w:type="dxa"/>
            <w:shd w:val="clear" w:color="auto" w:fill="auto"/>
          </w:tcPr>
          <w:p w14:paraId="28F88FB0" w14:textId="77777777" w:rsidR="00ED2EBD" w:rsidRPr="00BD16B4" w:rsidRDefault="00ED2EBD" w:rsidP="004A205F">
            <w:pPr>
              <w:pStyle w:val="TableText"/>
              <w:spacing w:before="40" w:after="40"/>
              <w:jc w:val="right"/>
              <w:rPr>
                <w:szCs w:val="18"/>
              </w:rPr>
            </w:pPr>
            <w:r w:rsidRPr="00BD16B4">
              <w:rPr>
                <w:szCs w:val="18"/>
              </w:rPr>
              <w:t>4.04</w:t>
            </w:r>
          </w:p>
        </w:tc>
        <w:tc>
          <w:tcPr>
            <w:tcW w:w="794" w:type="dxa"/>
            <w:shd w:val="clear" w:color="auto" w:fill="auto"/>
          </w:tcPr>
          <w:p w14:paraId="62AD0A75" w14:textId="77777777" w:rsidR="00ED2EBD" w:rsidRPr="00BD16B4" w:rsidRDefault="00ED2EBD" w:rsidP="004A205F">
            <w:pPr>
              <w:pStyle w:val="TableText"/>
              <w:spacing w:before="40" w:after="40"/>
              <w:jc w:val="right"/>
              <w:rPr>
                <w:szCs w:val="18"/>
              </w:rPr>
            </w:pPr>
            <w:r w:rsidRPr="00BD16B4">
              <w:rPr>
                <w:szCs w:val="18"/>
              </w:rPr>
              <w:t>4.05</w:t>
            </w:r>
          </w:p>
        </w:tc>
        <w:tc>
          <w:tcPr>
            <w:tcW w:w="794" w:type="dxa"/>
            <w:shd w:val="clear" w:color="auto" w:fill="auto"/>
          </w:tcPr>
          <w:p w14:paraId="23771B33" w14:textId="77777777" w:rsidR="00ED2EBD" w:rsidRPr="00BD16B4" w:rsidRDefault="00ED2EBD" w:rsidP="004A205F">
            <w:pPr>
              <w:pStyle w:val="TableText"/>
              <w:spacing w:before="40" w:after="40"/>
              <w:jc w:val="right"/>
              <w:rPr>
                <w:szCs w:val="18"/>
              </w:rPr>
            </w:pPr>
            <w:r w:rsidRPr="00BD16B4">
              <w:rPr>
                <w:szCs w:val="18"/>
              </w:rPr>
              <w:t>3.97</w:t>
            </w:r>
          </w:p>
        </w:tc>
        <w:tc>
          <w:tcPr>
            <w:tcW w:w="794" w:type="dxa"/>
            <w:shd w:val="clear" w:color="auto" w:fill="auto"/>
          </w:tcPr>
          <w:p w14:paraId="2B5B2E33" w14:textId="77777777" w:rsidR="00ED2EBD" w:rsidRPr="00BD16B4" w:rsidRDefault="00ED2EBD" w:rsidP="004A205F">
            <w:pPr>
              <w:pStyle w:val="TableText"/>
              <w:spacing w:before="40" w:after="40"/>
              <w:jc w:val="right"/>
              <w:rPr>
                <w:szCs w:val="18"/>
              </w:rPr>
            </w:pPr>
            <w:r w:rsidRPr="00BD16B4">
              <w:rPr>
                <w:szCs w:val="18"/>
              </w:rPr>
              <w:t>3.80</w:t>
            </w:r>
          </w:p>
        </w:tc>
        <w:tc>
          <w:tcPr>
            <w:tcW w:w="794" w:type="dxa"/>
            <w:shd w:val="clear" w:color="auto" w:fill="auto"/>
          </w:tcPr>
          <w:p w14:paraId="6408169E" w14:textId="77777777" w:rsidR="00ED2EBD" w:rsidRPr="00BD16B4" w:rsidRDefault="00ED2EBD" w:rsidP="004A205F">
            <w:pPr>
              <w:pStyle w:val="TableText"/>
              <w:spacing w:before="40" w:after="40"/>
              <w:jc w:val="right"/>
              <w:rPr>
                <w:szCs w:val="18"/>
              </w:rPr>
            </w:pPr>
            <w:r w:rsidRPr="00BD16B4">
              <w:rPr>
                <w:szCs w:val="18"/>
              </w:rPr>
              <w:t>3.72</w:t>
            </w:r>
          </w:p>
        </w:tc>
      </w:tr>
      <w:tr w:rsidR="00F70C72" w:rsidRPr="00BD16B4" w14:paraId="75DA50D5" w14:textId="77777777" w:rsidTr="00F70C72">
        <w:tc>
          <w:tcPr>
            <w:tcW w:w="3539" w:type="dxa"/>
          </w:tcPr>
          <w:p w14:paraId="53DEDA16" w14:textId="0E96875B" w:rsidR="00ED2EBD" w:rsidRPr="00BD16B4" w:rsidRDefault="00ED2EBD" w:rsidP="004A205F">
            <w:pPr>
              <w:pStyle w:val="TableText"/>
              <w:spacing w:before="40" w:after="40"/>
              <w:rPr>
                <w:szCs w:val="18"/>
              </w:rPr>
            </w:pPr>
            <w:r w:rsidRPr="00BD16B4">
              <w:rPr>
                <w:szCs w:val="18"/>
              </w:rPr>
              <w:t>D.</w:t>
            </w:r>
            <w:r w:rsidR="00280979" w:rsidRPr="00BD16B4">
              <w:rPr>
                <w:szCs w:val="18"/>
              </w:rPr>
              <w:t xml:space="preserve"> </w:t>
            </w:r>
            <w:r w:rsidRPr="00BD16B4">
              <w:rPr>
                <w:szCs w:val="18"/>
              </w:rPr>
              <w:t>Waste water treatment and discharge</w:t>
            </w:r>
          </w:p>
        </w:tc>
        <w:tc>
          <w:tcPr>
            <w:tcW w:w="794" w:type="dxa"/>
            <w:tcBorders>
              <w:bottom w:val="single" w:sz="4" w:space="0" w:color="1B556B" w:themeColor="text2"/>
            </w:tcBorders>
            <w:shd w:val="clear" w:color="auto" w:fill="auto"/>
          </w:tcPr>
          <w:p w14:paraId="276150F1" w14:textId="77777777" w:rsidR="00ED2EBD" w:rsidRPr="00BD16B4" w:rsidRDefault="00ED2EBD" w:rsidP="004A205F">
            <w:pPr>
              <w:pStyle w:val="TableText"/>
              <w:spacing w:before="40" w:after="40"/>
              <w:jc w:val="right"/>
              <w:rPr>
                <w:szCs w:val="18"/>
              </w:rPr>
            </w:pPr>
            <w:r w:rsidRPr="00BD16B4">
              <w:rPr>
                <w:szCs w:val="18"/>
              </w:rPr>
              <w:t>9.38</w:t>
            </w:r>
          </w:p>
        </w:tc>
        <w:tc>
          <w:tcPr>
            <w:tcW w:w="794" w:type="dxa"/>
            <w:tcBorders>
              <w:bottom w:val="single" w:sz="4" w:space="0" w:color="1B556B" w:themeColor="text2"/>
            </w:tcBorders>
            <w:shd w:val="clear" w:color="auto" w:fill="auto"/>
          </w:tcPr>
          <w:p w14:paraId="5B6AE3F3" w14:textId="77777777" w:rsidR="00ED2EBD" w:rsidRPr="00BD16B4" w:rsidRDefault="00ED2EBD" w:rsidP="004A205F">
            <w:pPr>
              <w:pStyle w:val="TableText"/>
              <w:spacing w:before="40" w:after="40"/>
              <w:jc w:val="right"/>
              <w:rPr>
                <w:szCs w:val="18"/>
              </w:rPr>
            </w:pPr>
            <w:r w:rsidRPr="00BD16B4">
              <w:rPr>
                <w:szCs w:val="18"/>
              </w:rPr>
              <w:t>9.36</w:t>
            </w:r>
          </w:p>
        </w:tc>
        <w:tc>
          <w:tcPr>
            <w:tcW w:w="794" w:type="dxa"/>
            <w:tcBorders>
              <w:bottom w:val="single" w:sz="4" w:space="0" w:color="1B556B" w:themeColor="text2"/>
            </w:tcBorders>
            <w:shd w:val="clear" w:color="auto" w:fill="auto"/>
          </w:tcPr>
          <w:p w14:paraId="2EB7B62C" w14:textId="77777777" w:rsidR="00ED2EBD" w:rsidRPr="00BD16B4" w:rsidRDefault="00ED2EBD" w:rsidP="004A205F">
            <w:pPr>
              <w:pStyle w:val="TableText"/>
              <w:spacing w:before="40" w:after="40"/>
              <w:jc w:val="right"/>
              <w:rPr>
                <w:szCs w:val="18"/>
              </w:rPr>
            </w:pPr>
            <w:r w:rsidRPr="00BD16B4">
              <w:rPr>
                <w:szCs w:val="18"/>
              </w:rPr>
              <w:t>9.23</w:t>
            </w:r>
          </w:p>
        </w:tc>
        <w:tc>
          <w:tcPr>
            <w:tcW w:w="794" w:type="dxa"/>
            <w:tcBorders>
              <w:bottom w:val="single" w:sz="4" w:space="0" w:color="1B556B" w:themeColor="text2"/>
            </w:tcBorders>
            <w:shd w:val="clear" w:color="auto" w:fill="auto"/>
          </w:tcPr>
          <w:p w14:paraId="58D4881B" w14:textId="77777777" w:rsidR="00ED2EBD" w:rsidRPr="00BD16B4" w:rsidRDefault="00ED2EBD" w:rsidP="004A205F">
            <w:pPr>
              <w:pStyle w:val="TableText"/>
              <w:spacing w:before="40" w:after="40"/>
              <w:jc w:val="right"/>
              <w:rPr>
                <w:szCs w:val="18"/>
              </w:rPr>
            </w:pPr>
            <w:r w:rsidRPr="00BD16B4">
              <w:rPr>
                <w:szCs w:val="18"/>
              </w:rPr>
              <w:t>9.06</w:t>
            </w:r>
          </w:p>
        </w:tc>
        <w:tc>
          <w:tcPr>
            <w:tcW w:w="794" w:type="dxa"/>
            <w:tcBorders>
              <w:bottom w:val="single" w:sz="4" w:space="0" w:color="1B556B" w:themeColor="text2"/>
            </w:tcBorders>
            <w:shd w:val="clear" w:color="auto" w:fill="auto"/>
          </w:tcPr>
          <w:p w14:paraId="6C7650A4" w14:textId="77777777" w:rsidR="00ED2EBD" w:rsidRPr="00BD16B4" w:rsidRDefault="00ED2EBD" w:rsidP="004A205F">
            <w:pPr>
              <w:pStyle w:val="TableText"/>
              <w:spacing w:before="40" w:after="40"/>
              <w:jc w:val="right"/>
              <w:rPr>
                <w:szCs w:val="18"/>
              </w:rPr>
            </w:pPr>
            <w:r w:rsidRPr="00BD16B4">
              <w:rPr>
                <w:szCs w:val="18"/>
              </w:rPr>
              <w:t>9.16</w:t>
            </w:r>
          </w:p>
        </w:tc>
        <w:tc>
          <w:tcPr>
            <w:tcW w:w="794" w:type="dxa"/>
            <w:tcBorders>
              <w:bottom w:val="single" w:sz="4" w:space="0" w:color="1B556B" w:themeColor="text2"/>
            </w:tcBorders>
            <w:shd w:val="clear" w:color="auto" w:fill="auto"/>
          </w:tcPr>
          <w:p w14:paraId="1200A5CE" w14:textId="77777777" w:rsidR="00ED2EBD" w:rsidRPr="00BD16B4" w:rsidRDefault="00ED2EBD" w:rsidP="004A205F">
            <w:pPr>
              <w:pStyle w:val="TableText"/>
              <w:spacing w:before="40" w:after="40"/>
              <w:jc w:val="right"/>
              <w:rPr>
                <w:szCs w:val="18"/>
              </w:rPr>
            </w:pPr>
            <w:r w:rsidRPr="00BD16B4">
              <w:rPr>
                <w:szCs w:val="18"/>
              </w:rPr>
              <w:t>9.22</w:t>
            </w:r>
          </w:p>
        </w:tc>
        <w:tc>
          <w:tcPr>
            <w:tcW w:w="794" w:type="dxa"/>
            <w:tcBorders>
              <w:bottom w:val="single" w:sz="4" w:space="0" w:color="1B556B" w:themeColor="text2"/>
            </w:tcBorders>
            <w:shd w:val="clear" w:color="auto" w:fill="auto"/>
          </w:tcPr>
          <w:p w14:paraId="3DE59DFD" w14:textId="77777777" w:rsidR="00ED2EBD" w:rsidRPr="00BD16B4" w:rsidRDefault="00ED2EBD" w:rsidP="004A205F">
            <w:pPr>
              <w:pStyle w:val="TableText"/>
              <w:spacing w:before="40" w:after="40"/>
              <w:jc w:val="right"/>
              <w:rPr>
                <w:szCs w:val="18"/>
              </w:rPr>
            </w:pPr>
            <w:r w:rsidRPr="00BD16B4">
              <w:rPr>
                <w:szCs w:val="18"/>
              </w:rPr>
              <w:t>9.18</w:t>
            </w:r>
          </w:p>
        </w:tc>
        <w:tc>
          <w:tcPr>
            <w:tcW w:w="794" w:type="dxa"/>
            <w:tcBorders>
              <w:bottom w:val="single" w:sz="4" w:space="0" w:color="1B556B" w:themeColor="text2"/>
            </w:tcBorders>
            <w:shd w:val="clear" w:color="auto" w:fill="auto"/>
          </w:tcPr>
          <w:p w14:paraId="2CEAB7B2" w14:textId="77777777" w:rsidR="00ED2EBD" w:rsidRPr="00BD16B4" w:rsidRDefault="00ED2EBD" w:rsidP="004A205F">
            <w:pPr>
              <w:pStyle w:val="TableText"/>
              <w:spacing w:before="40" w:after="40"/>
              <w:jc w:val="right"/>
              <w:rPr>
                <w:szCs w:val="18"/>
              </w:rPr>
            </w:pPr>
            <w:r w:rsidRPr="00BD16B4">
              <w:rPr>
                <w:szCs w:val="18"/>
              </w:rPr>
              <w:t>9.03</w:t>
            </w:r>
          </w:p>
        </w:tc>
        <w:tc>
          <w:tcPr>
            <w:tcW w:w="794" w:type="dxa"/>
            <w:tcBorders>
              <w:bottom w:val="single" w:sz="4" w:space="0" w:color="1B556B" w:themeColor="text2"/>
            </w:tcBorders>
            <w:shd w:val="clear" w:color="auto" w:fill="auto"/>
          </w:tcPr>
          <w:p w14:paraId="4395F7C3" w14:textId="77777777" w:rsidR="00ED2EBD" w:rsidRPr="00BD16B4" w:rsidRDefault="00ED2EBD" w:rsidP="004A205F">
            <w:pPr>
              <w:pStyle w:val="TableText"/>
              <w:spacing w:before="40" w:after="40"/>
              <w:jc w:val="right"/>
              <w:rPr>
                <w:szCs w:val="18"/>
              </w:rPr>
            </w:pPr>
            <w:r w:rsidRPr="00BD16B4">
              <w:rPr>
                <w:szCs w:val="18"/>
              </w:rPr>
              <w:t>9.11</w:t>
            </w:r>
          </w:p>
        </w:tc>
        <w:tc>
          <w:tcPr>
            <w:tcW w:w="794" w:type="dxa"/>
            <w:tcBorders>
              <w:bottom w:val="single" w:sz="4" w:space="0" w:color="1B556B" w:themeColor="text2"/>
            </w:tcBorders>
            <w:shd w:val="clear" w:color="auto" w:fill="auto"/>
          </w:tcPr>
          <w:p w14:paraId="6B4ED458" w14:textId="77777777" w:rsidR="00ED2EBD" w:rsidRPr="00BD16B4" w:rsidRDefault="00ED2EBD" w:rsidP="004A205F">
            <w:pPr>
              <w:pStyle w:val="TableText"/>
              <w:spacing w:before="40" w:after="40"/>
              <w:jc w:val="right"/>
              <w:rPr>
                <w:szCs w:val="18"/>
              </w:rPr>
            </w:pPr>
            <w:r w:rsidRPr="00BD16B4">
              <w:rPr>
                <w:szCs w:val="18"/>
              </w:rPr>
              <w:t>9.19</w:t>
            </w:r>
          </w:p>
        </w:tc>
        <w:tc>
          <w:tcPr>
            <w:tcW w:w="794" w:type="dxa"/>
            <w:tcBorders>
              <w:bottom w:val="single" w:sz="4" w:space="0" w:color="1B556B" w:themeColor="text2"/>
            </w:tcBorders>
            <w:shd w:val="clear" w:color="auto" w:fill="auto"/>
          </w:tcPr>
          <w:p w14:paraId="4A35325F" w14:textId="77777777" w:rsidR="00ED2EBD" w:rsidRPr="00BD16B4" w:rsidRDefault="00ED2EBD" w:rsidP="004A205F">
            <w:pPr>
              <w:pStyle w:val="TableText"/>
              <w:spacing w:before="40" w:after="40"/>
              <w:jc w:val="right"/>
              <w:rPr>
                <w:szCs w:val="18"/>
              </w:rPr>
            </w:pPr>
            <w:r w:rsidRPr="00BD16B4">
              <w:rPr>
                <w:szCs w:val="18"/>
              </w:rPr>
              <w:t>9.05</w:t>
            </w:r>
          </w:p>
        </w:tc>
      </w:tr>
      <w:tr w:rsidR="0092050F" w:rsidRPr="00BD16B4" w14:paraId="0A2EA8E8" w14:textId="77777777" w:rsidTr="00F70C72">
        <w:tc>
          <w:tcPr>
            <w:tcW w:w="3539" w:type="dxa"/>
          </w:tcPr>
          <w:p w14:paraId="535BF1EA" w14:textId="2D0C4287"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 xml:space="preserve">Other </w:t>
            </w:r>
          </w:p>
        </w:tc>
        <w:tc>
          <w:tcPr>
            <w:tcW w:w="794" w:type="dxa"/>
            <w:tcBorders>
              <w:top w:val="single" w:sz="4" w:space="0" w:color="1B556B" w:themeColor="text2"/>
            </w:tcBorders>
            <w:shd w:val="clear" w:color="auto" w:fill="D2DDE1" w:themeFill="background2"/>
          </w:tcPr>
          <w:p w14:paraId="095C85A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3D7F79B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5E6CF72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1551C02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7C4541C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07F85BB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5DE2290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484C02C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27143A7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4E14498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794" w:type="dxa"/>
            <w:tcBorders>
              <w:top w:val="single" w:sz="4" w:space="0" w:color="1B556B" w:themeColor="text2"/>
            </w:tcBorders>
            <w:shd w:val="clear" w:color="auto" w:fill="D2DDE1" w:themeFill="background2"/>
          </w:tcPr>
          <w:p w14:paraId="7B5515B5" w14:textId="77777777" w:rsidR="00ED2EBD" w:rsidRPr="00BD16B4" w:rsidRDefault="00ED2EBD" w:rsidP="004A205F">
            <w:pPr>
              <w:pStyle w:val="TableText"/>
              <w:spacing w:before="40" w:after="40"/>
              <w:jc w:val="right"/>
              <w:rPr>
                <w:szCs w:val="18"/>
              </w:rPr>
            </w:pPr>
            <w:r w:rsidRPr="00BD16B4">
              <w:rPr>
                <w:color w:val="000000"/>
                <w:szCs w:val="18"/>
              </w:rPr>
              <w:t> </w:t>
            </w:r>
          </w:p>
        </w:tc>
      </w:tr>
      <w:tr w:rsidR="00921D3E" w:rsidRPr="00BD16B4" w14:paraId="2B2C3ADC" w14:textId="77777777" w:rsidTr="00F70C72">
        <w:tc>
          <w:tcPr>
            <w:tcW w:w="3539" w:type="dxa"/>
          </w:tcPr>
          <w:p w14:paraId="3B129257" w14:textId="05546A81" w:rsidR="00ED2EBD" w:rsidRPr="00BD16B4" w:rsidRDefault="00ED2EBD" w:rsidP="004A205F">
            <w:pPr>
              <w:pStyle w:val="TableText"/>
              <w:spacing w:before="40" w:after="40"/>
              <w:rPr>
                <w:szCs w:val="18"/>
              </w:rPr>
            </w:pPr>
            <w:r w:rsidRPr="00BD16B4">
              <w:rPr>
                <w:b/>
                <w:bCs/>
                <w:szCs w:val="18"/>
              </w:rPr>
              <w:t>6.</w:t>
            </w:r>
            <w:r w:rsidR="00280979" w:rsidRPr="00BD16B4">
              <w:rPr>
                <w:b/>
                <w:bCs/>
                <w:szCs w:val="18"/>
              </w:rPr>
              <w:t xml:space="preserve"> </w:t>
            </w:r>
            <w:r w:rsidRPr="00BD16B4">
              <w:rPr>
                <w:b/>
                <w:bCs/>
                <w:szCs w:val="18"/>
              </w:rPr>
              <w:t>Other (as specified in summary table A.1)</w:t>
            </w:r>
          </w:p>
        </w:tc>
        <w:tc>
          <w:tcPr>
            <w:tcW w:w="794" w:type="dxa"/>
            <w:shd w:val="clear" w:color="auto" w:fill="auto"/>
          </w:tcPr>
          <w:p w14:paraId="5284E713" w14:textId="77777777" w:rsidR="00ED2EBD" w:rsidRPr="00BD16B4" w:rsidRDefault="00ED2EBD" w:rsidP="004A205F">
            <w:pPr>
              <w:pStyle w:val="TableText"/>
              <w:spacing w:before="40" w:after="40"/>
              <w:jc w:val="right"/>
              <w:rPr>
                <w:szCs w:val="18"/>
              </w:rPr>
            </w:pPr>
            <w:r w:rsidRPr="00BD16B4">
              <w:rPr>
                <w:szCs w:val="18"/>
              </w:rPr>
              <w:t>0.08</w:t>
            </w:r>
          </w:p>
        </w:tc>
        <w:tc>
          <w:tcPr>
            <w:tcW w:w="794" w:type="dxa"/>
            <w:shd w:val="clear" w:color="auto" w:fill="auto"/>
          </w:tcPr>
          <w:p w14:paraId="4FA1AB14" w14:textId="77777777" w:rsidR="00ED2EBD" w:rsidRPr="00BD16B4" w:rsidRDefault="00ED2EBD" w:rsidP="004A205F">
            <w:pPr>
              <w:pStyle w:val="TableText"/>
              <w:spacing w:before="40" w:after="40"/>
              <w:jc w:val="right"/>
              <w:rPr>
                <w:szCs w:val="18"/>
              </w:rPr>
            </w:pPr>
            <w:r w:rsidRPr="00BD16B4">
              <w:rPr>
                <w:szCs w:val="18"/>
              </w:rPr>
              <w:t>0.08</w:t>
            </w:r>
          </w:p>
        </w:tc>
        <w:tc>
          <w:tcPr>
            <w:tcW w:w="794" w:type="dxa"/>
            <w:shd w:val="clear" w:color="auto" w:fill="auto"/>
          </w:tcPr>
          <w:p w14:paraId="082CFCAE" w14:textId="77777777" w:rsidR="00ED2EBD" w:rsidRPr="00BD16B4" w:rsidRDefault="00ED2EBD" w:rsidP="004A205F">
            <w:pPr>
              <w:pStyle w:val="TableText"/>
              <w:spacing w:before="40" w:after="40"/>
              <w:jc w:val="right"/>
              <w:rPr>
                <w:szCs w:val="18"/>
              </w:rPr>
            </w:pPr>
            <w:r w:rsidRPr="00BD16B4">
              <w:rPr>
                <w:szCs w:val="18"/>
              </w:rPr>
              <w:t>0.08</w:t>
            </w:r>
          </w:p>
        </w:tc>
        <w:tc>
          <w:tcPr>
            <w:tcW w:w="794" w:type="dxa"/>
            <w:shd w:val="clear" w:color="auto" w:fill="auto"/>
          </w:tcPr>
          <w:p w14:paraId="40E64D98" w14:textId="77777777" w:rsidR="00ED2EBD" w:rsidRPr="00BD16B4" w:rsidRDefault="00ED2EBD" w:rsidP="004A205F">
            <w:pPr>
              <w:pStyle w:val="TableText"/>
              <w:spacing w:before="40" w:after="40"/>
              <w:jc w:val="right"/>
              <w:rPr>
                <w:szCs w:val="18"/>
              </w:rPr>
            </w:pPr>
            <w:r w:rsidRPr="00BD16B4">
              <w:rPr>
                <w:szCs w:val="18"/>
              </w:rPr>
              <w:t>0.08</w:t>
            </w:r>
          </w:p>
        </w:tc>
        <w:tc>
          <w:tcPr>
            <w:tcW w:w="794" w:type="dxa"/>
            <w:shd w:val="clear" w:color="auto" w:fill="auto"/>
          </w:tcPr>
          <w:p w14:paraId="5E3B8467" w14:textId="77777777" w:rsidR="00ED2EBD" w:rsidRPr="00BD16B4" w:rsidRDefault="00ED2EBD" w:rsidP="004A205F">
            <w:pPr>
              <w:pStyle w:val="TableText"/>
              <w:spacing w:before="40" w:after="40"/>
              <w:jc w:val="right"/>
              <w:rPr>
                <w:szCs w:val="18"/>
              </w:rPr>
            </w:pPr>
            <w:r w:rsidRPr="00BD16B4">
              <w:rPr>
                <w:szCs w:val="18"/>
              </w:rPr>
              <w:t>0.08</w:t>
            </w:r>
          </w:p>
        </w:tc>
        <w:tc>
          <w:tcPr>
            <w:tcW w:w="794" w:type="dxa"/>
            <w:shd w:val="clear" w:color="auto" w:fill="auto"/>
          </w:tcPr>
          <w:p w14:paraId="2C53487F" w14:textId="77777777" w:rsidR="00ED2EBD" w:rsidRPr="00BD16B4" w:rsidRDefault="00ED2EBD" w:rsidP="004A205F">
            <w:pPr>
              <w:pStyle w:val="TableText"/>
              <w:spacing w:before="40" w:after="40"/>
              <w:jc w:val="right"/>
              <w:rPr>
                <w:szCs w:val="18"/>
              </w:rPr>
            </w:pPr>
            <w:r w:rsidRPr="00BD16B4">
              <w:rPr>
                <w:szCs w:val="18"/>
              </w:rPr>
              <w:t>0.08</w:t>
            </w:r>
          </w:p>
        </w:tc>
        <w:tc>
          <w:tcPr>
            <w:tcW w:w="794" w:type="dxa"/>
            <w:shd w:val="clear" w:color="auto" w:fill="auto"/>
          </w:tcPr>
          <w:p w14:paraId="12110B41" w14:textId="77777777" w:rsidR="00ED2EBD" w:rsidRPr="00BD16B4" w:rsidRDefault="00ED2EBD" w:rsidP="004A205F">
            <w:pPr>
              <w:pStyle w:val="TableText"/>
              <w:spacing w:before="40" w:after="40"/>
              <w:jc w:val="right"/>
              <w:rPr>
                <w:szCs w:val="18"/>
              </w:rPr>
            </w:pPr>
            <w:r w:rsidRPr="00BD16B4">
              <w:rPr>
                <w:szCs w:val="18"/>
              </w:rPr>
              <w:t>0.08</w:t>
            </w:r>
          </w:p>
        </w:tc>
        <w:tc>
          <w:tcPr>
            <w:tcW w:w="794" w:type="dxa"/>
            <w:shd w:val="clear" w:color="auto" w:fill="auto"/>
          </w:tcPr>
          <w:p w14:paraId="32E96B4B" w14:textId="77777777" w:rsidR="00ED2EBD" w:rsidRPr="00BD16B4" w:rsidRDefault="00ED2EBD" w:rsidP="004A205F">
            <w:pPr>
              <w:pStyle w:val="TableText"/>
              <w:spacing w:before="40" w:after="40"/>
              <w:jc w:val="right"/>
              <w:rPr>
                <w:szCs w:val="18"/>
              </w:rPr>
            </w:pPr>
            <w:r w:rsidRPr="00BD16B4">
              <w:rPr>
                <w:szCs w:val="18"/>
              </w:rPr>
              <w:t>0.08</w:t>
            </w:r>
          </w:p>
        </w:tc>
        <w:tc>
          <w:tcPr>
            <w:tcW w:w="794" w:type="dxa"/>
            <w:shd w:val="clear" w:color="auto" w:fill="auto"/>
          </w:tcPr>
          <w:p w14:paraId="3FC5FC4E" w14:textId="77777777" w:rsidR="00ED2EBD" w:rsidRPr="00BD16B4" w:rsidRDefault="00ED2EBD" w:rsidP="004A205F">
            <w:pPr>
              <w:pStyle w:val="TableText"/>
              <w:spacing w:before="40" w:after="40"/>
              <w:jc w:val="right"/>
              <w:rPr>
                <w:szCs w:val="18"/>
              </w:rPr>
            </w:pPr>
            <w:r w:rsidRPr="00BD16B4">
              <w:rPr>
                <w:szCs w:val="18"/>
              </w:rPr>
              <w:t>0.07</w:t>
            </w:r>
          </w:p>
        </w:tc>
        <w:tc>
          <w:tcPr>
            <w:tcW w:w="794" w:type="dxa"/>
            <w:shd w:val="clear" w:color="auto" w:fill="auto"/>
          </w:tcPr>
          <w:p w14:paraId="296D10EF" w14:textId="77777777" w:rsidR="00ED2EBD" w:rsidRPr="00BD16B4" w:rsidRDefault="00ED2EBD" w:rsidP="004A205F">
            <w:pPr>
              <w:pStyle w:val="TableText"/>
              <w:spacing w:before="40" w:after="40"/>
              <w:jc w:val="right"/>
              <w:rPr>
                <w:szCs w:val="18"/>
              </w:rPr>
            </w:pPr>
            <w:r w:rsidRPr="00BD16B4">
              <w:rPr>
                <w:szCs w:val="18"/>
              </w:rPr>
              <w:t>0.07</w:t>
            </w:r>
          </w:p>
        </w:tc>
        <w:tc>
          <w:tcPr>
            <w:tcW w:w="794" w:type="dxa"/>
            <w:shd w:val="clear" w:color="auto" w:fill="auto"/>
          </w:tcPr>
          <w:p w14:paraId="582F5712" w14:textId="77777777" w:rsidR="00ED2EBD" w:rsidRPr="00BD16B4" w:rsidRDefault="00ED2EBD" w:rsidP="004A205F">
            <w:pPr>
              <w:pStyle w:val="TableText"/>
              <w:spacing w:before="40" w:after="40"/>
              <w:jc w:val="right"/>
              <w:rPr>
                <w:szCs w:val="18"/>
              </w:rPr>
            </w:pPr>
            <w:r w:rsidRPr="00BD16B4">
              <w:rPr>
                <w:szCs w:val="18"/>
              </w:rPr>
              <w:t>0.07</w:t>
            </w:r>
          </w:p>
        </w:tc>
      </w:tr>
    </w:tbl>
    <w:p w14:paraId="5ADAE449" w14:textId="77777777" w:rsidR="00ED2EBD" w:rsidRPr="00BD16B4" w:rsidRDefault="00ED2EBD" w:rsidP="00ED2EBD">
      <w:pPr>
        <w:pStyle w:val="BodyText"/>
      </w:pPr>
    </w:p>
    <w:p w14:paraId="1A74A09C" w14:textId="77777777" w:rsidR="00ED2EBD" w:rsidRPr="00BD16B4" w:rsidRDefault="00ED2EBD" w:rsidP="00ED2EBD">
      <w:pPr>
        <w:pStyle w:val="CTFTableheading"/>
        <w:spacing w:before="0"/>
      </w:pPr>
      <w:r w:rsidRPr="00BD16B4">
        <w:t>Table A.3:</w:t>
      </w:r>
      <w:r w:rsidRPr="00BD16B4">
        <w:tab/>
        <w:t>Emissions trends (CH</w:t>
      </w:r>
      <w:r w:rsidRPr="00BD16B4">
        <w:rPr>
          <w:vertAlign w:val="subscript"/>
        </w:rPr>
        <w:t>4</w:t>
      </w:r>
      <w:r w:rsidRPr="00BD16B4">
        <w:t>) (CTF Table 1(b) (part 3 of 3)</w:t>
      </w:r>
    </w:p>
    <w:tbl>
      <w:tblPr>
        <w:tblStyle w:val="MinistryfortheEnvironment"/>
        <w:tblW w:w="14572" w:type="dxa"/>
        <w:tblInd w:w="113" w:type="dxa"/>
        <w:tblCellMar>
          <w:bottom w:w="0" w:type="dxa"/>
        </w:tblCellMar>
        <w:tblLook w:val="04A0" w:firstRow="1" w:lastRow="0" w:firstColumn="1" w:lastColumn="0" w:noHBand="0" w:noVBand="1"/>
      </w:tblPr>
      <w:tblGrid>
        <w:gridCol w:w="4063"/>
        <w:gridCol w:w="956"/>
        <w:gridCol w:w="956"/>
        <w:gridCol w:w="956"/>
        <w:gridCol w:w="956"/>
        <w:gridCol w:w="955"/>
        <w:gridCol w:w="955"/>
        <w:gridCol w:w="955"/>
        <w:gridCol w:w="955"/>
        <w:gridCol w:w="955"/>
        <w:gridCol w:w="955"/>
        <w:gridCol w:w="955"/>
      </w:tblGrid>
      <w:tr w:rsidR="00ED2EBD" w:rsidRPr="00BD16B4" w14:paraId="10E249CA" w14:textId="77777777" w:rsidTr="004625B0">
        <w:trPr>
          <w:cnfStyle w:val="100000000000" w:firstRow="1" w:lastRow="0" w:firstColumn="0" w:lastColumn="0" w:oddVBand="0" w:evenVBand="0" w:oddHBand="0" w:evenHBand="0" w:firstRowFirstColumn="0" w:firstRowLastColumn="0" w:lastRowFirstColumn="0" w:lastRowLastColumn="0"/>
          <w:tblHeader/>
        </w:trPr>
        <w:tc>
          <w:tcPr>
            <w:tcW w:w="3856" w:type="dxa"/>
            <w:tcBorders>
              <w:top w:val="single" w:sz="4" w:space="0" w:color="1B556B" w:themeColor="text2"/>
            </w:tcBorders>
            <w:vAlign w:val="bottom"/>
          </w:tcPr>
          <w:p w14:paraId="07423D38" w14:textId="77777777" w:rsidR="00ED2EBD" w:rsidRPr="00BD16B4" w:rsidRDefault="00ED2EBD" w:rsidP="004A205F">
            <w:pPr>
              <w:pStyle w:val="TableTextbold"/>
              <w:spacing w:before="40" w:after="40"/>
              <w:rPr>
                <w:b/>
                <w:bCs/>
                <w:szCs w:val="14"/>
              </w:rPr>
            </w:pPr>
            <w:r w:rsidRPr="00BD16B4">
              <w:rPr>
                <w:b/>
                <w:bCs/>
                <w:szCs w:val="14"/>
              </w:rPr>
              <w:t xml:space="preserve">Greenhouse gas source and sink categories </w:t>
            </w:r>
          </w:p>
        </w:tc>
        <w:tc>
          <w:tcPr>
            <w:tcW w:w="907" w:type="dxa"/>
            <w:tcBorders>
              <w:top w:val="single" w:sz="4" w:space="0" w:color="1B556B" w:themeColor="text2"/>
            </w:tcBorders>
            <w:vAlign w:val="bottom"/>
          </w:tcPr>
          <w:p w14:paraId="133337D5" w14:textId="77777777" w:rsidR="00ED2EBD" w:rsidRPr="00BD16B4" w:rsidRDefault="00ED2EBD" w:rsidP="004A205F">
            <w:pPr>
              <w:pStyle w:val="TableTextbold"/>
              <w:spacing w:before="40" w:after="40"/>
              <w:jc w:val="center"/>
              <w:rPr>
                <w:b/>
                <w:bCs/>
                <w:szCs w:val="14"/>
              </w:rPr>
            </w:pPr>
            <w:r w:rsidRPr="00BD16B4">
              <w:rPr>
                <w:b/>
                <w:bCs/>
                <w:szCs w:val="14"/>
              </w:rPr>
              <w:t>2010</w:t>
            </w:r>
            <w:r w:rsidRPr="00BD16B4">
              <w:rPr>
                <w:b/>
                <w:bCs/>
                <w:szCs w:val="14"/>
              </w:rPr>
              <w:br/>
              <w:t>(kt)</w:t>
            </w:r>
          </w:p>
        </w:tc>
        <w:tc>
          <w:tcPr>
            <w:tcW w:w="907" w:type="dxa"/>
            <w:tcBorders>
              <w:top w:val="single" w:sz="4" w:space="0" w:color="1B556B" w:themeColor="text2"/>
            </w:tcBorders>
            <w:vAlign w:val="bottom"/>
          </w:tcPr>
          <w:p w14:paraId="2EF1997B" w14:textId="77777777" w:rsidR="00ED2EBD" w:rsidRPr="00BD16B4" w:rsidRDefault="00ED2EBD" w:rsidP="004A205F">
            <w:pPr>
              <w:pStyle w:val="TableTextbold"/>
              <w:spacing w:before="40" w:after="40"/>
              <w:jc w:val="center"/>
              <w:rPr>
                <w:b/>
                <w:bCs/>
                <w:szCs w:val="14"/>
              </w:rPr>
            </w:pPr>
            <w:r w:rsidRPr="00BD16B4">
              <w:rPr>
                <w:b/>
                <w:bCs/>
                <w:szCs w:val="14"/>
              </w:rPr>
              <w:t>2011</w:t>
            </w:r>
            <w:r w:rsidRPr="00BD16B4">
              <w:rPr>
                <w:b/>
                <w:bCs/>
                <w:szCs w:val="14"/>
              </w:rPr>
              <w:br/>
              <w:t>(kt)</w:t>
            </w:r>
          </w:p>
        </w:tc>
        <w:tc>
          <w:tcPr>
            <w:tcW w:w="907" w:type="dxa"/>
            <w:tcBorders>
              <w:top w:val="single" w:sz="4" w:space="0" w:color="1B556B" w:themeColor="text2"/>
            </w:tcBorders>
            <w:vAlign w:val="bottom"/>
          </w:tcPr>
          <w:p w14:paraId="0599D8E2" w14:textId="77777777" w:rsidR="00ED2EBD" w:rsidRPr="00BD16B4" w:rsidRDefault="00ED2EBD" w:rsidP="004A205F">
            <w:pPr>
              <w:pStyle w:val="TableTextbold"/>
              <w:spacing w:before="40" w:after="40"/>
              <w:jc w:val="center"/>
              <w:rPr>
                <w:b/>
                <w:bCs/>
                <w:szCs w:val="14"/>
              </w:rPr>
            </w:pPr>
            <w:r w:rsidRPr="00BD16B4">
              <w:rPr>
                <w:b/>
                <w:bCs/>
                <w:szCs w:val="14"/>
              </w:rPr>
              <w:t>2012</w:t>
            </w:r>
            <w:r w:rsidRPr="00BD16B4">
              <w:rPr>
                <w:b/>
                <w:bCs/>
                <w:szCs w:val="14"/>
              </w:rPr>
              <w:br/>
              <w:t>(kt)</w:t>
            </w:r>
          </w:p>
        </w:tc>
        <w:tc>
          <w:tcPr>
            <w:tcW w:w="907" w:type="dxa"/>
            <w:tcBorders>
              <w:top w:val="single" w:sz="4" w:space="0" w:color="1B556B" w:themeColor="text2"/>
            </w:tcBorders>
            <w:vAlign w:val="bottom"/>
          </w:tcPr>
          <w:p w14:paraId="7A21F75E" w14:textId="77777777" w:rsidR="00ED2EBD" w:rsidRPr="00BD16B4" w:rsidRDefault="00ED2EBD" w:rsidP="004A205F">
            <w:pPr>
              <w:pStyle w:val="TableTextbold"/>
              <w:spacing w:before="40" w:after="40"/>
              <w:jc w:val="center"/>
              <w:rPr>
                <w:b/>
                <w:bCs/>
                <w:szCs w:val="14"/>
              </w:rPr>
            </w:pPr>
            <w:r w:rsidRPr="00BD16B4">
              <w:rPr>
                <w:b/>
                <w:bCs/>
                <w:szCs w:val="14"/>
              </w:rPr>
              <w:t>2013</w:t>
            </w:r>
            <w:r w:rsidRPr="00BD16B4">
              <w:rPr>
                <w:b/>
                <w:bCs/>
                <w:szCs w:val="14"/>
              </w:rPr>
              <w:br/>
              <w:t>(kt)</w:t>
            </w:r>
          </w:p>
        </w:tc>
        <w:tc>
          <w:tcPr>
            <w:tcW w:w="907" w:type="dxa"/>
            <w:tcBorders>
              <w:top w:val="single" w:sz="4" w:space="0" w:color="1B556B" w:themeColor="text2"/>
            </w:tcBorders>
            <w:vAlign w:val="bottom"/>
          </w:tcPr>
          <w:p w14:paraId="041BC3DE" w14:textId="77777777" w:rsidR="00ED2EBD" w:rsidRPr="00BD16B4" w:rsidRDefault="00ED2EBD" w:rsidP="004A205F">
            <w:pPr>
              <w:pStyle w:val="TableTextbold"/>
              <w:spacing w:before="40" w:after="40"/>
              <w:jc w:val="center"/>
              <w:rPr>
                <w:b/>
                <w:bCs/>
                <w:szCs w:val="14"/>
              </w:rPr>
            </w:pPr>
            <w:r w:rsidRPr="00BD16B4">
              <w:rPr>
                <w:b/>
                <w:bCs/>
                <w:szCs w:val="14"/>
              </w:rPr>
              <w:t>2014</w:t>
            </w:r>
            <w:r w:rsidRPr="00BD16B4">
              <w:rPr>
                <w:b/>
                <w:bCs/>
                <w:szCs w:val="14"/>
              </w:rPr>
              <w:br/>
              <w:t>(kt)</w:t>
            </w:r>
          </w:p>
        </w:tc>
        <w:tc>
          <w:tcPr>
            <w:tcW w:w="907" w:type="dxa"/>
            <w:tcBorders>
              <w:top w:val="single" w:sz="4" w:space="0" w:color="1B556B" w:themeColor="text2"/>
            </w:tcBorders>
            <w:vAlign w:val="bottom"/>
          </w:tcPr>
          <w:p w14:paraId="3835D2B9" w14:textId="77777777" w:rsidR="00ED2EBD" w:rsidRPr="00BD16B4" w:rsidRDefault="00ED2EBD" w:rsidP="004A205F">
            <w:pPr>
              <w:pStyle w:val="TableTextbold"/>
              <w:spacing w:before="40" w:after="40"/>
              <w:jc w:val="center"/>
              <w:rPr>
                <w:b/>
                <w:bCs/>
                <w:szCs w:val="14"/>
              </w:rPr>
            </w:pPr>
            <w:r w:rsidRPr="00BD16B4">
              <w:rPr>
                <w:b/>
                <w:bCs/>
                <w:szCs w:val="14"/>
              </w:rPr>
              <w:t>2015</w:t>
            </w:r>
            <w:r w:rsidRPr="00BD16B4">
              <w:rPr>
                <w:b/>
                <w:bCs/>
                <w:szCs w:val="14"/>
              </w:rPr>
              <w:br/>
              <w:t>(kt)</w:t>
            </w:r>
          </w:p>
        </w:tc>
        <w:tc>
          <w:tcPr>
            <w:tcW w:w="907" w:type="dxa"/>
            <w:tcBorders>
              <w:top w:val="single" w:sz="4" w:space="0" w:color="1B556B" w:themeColor="text2"/>
            </w:tcBorders>
            <w:vAlign w:val="bottom"/>
          </w:tcPr>
          <w:p w14:paraId="03E1CA18" w14:textId="77777777" w:rsidR="00ED2EBD" w:rsidRPr="00BD16B4" w:rsidRDefault="00ED2EBD" w:rsidP="004A205F">
            <w:pPr>
              <w:pStyle w:val="TableTextbold"/>
              <w:spacing w:before="40" w:after="40"/>
              <w:jc w:val="center"/>
              <w:rPr>
                <w:b/>
                <w:bCs/>
                <w:szCs w:val="14"/>
              </w:rPr>
            </w:pPr>
            <w:r w:rsidRPr="00BD16B4">
              <w:rPr>
                <w:b/>
                <w:bCs/>
                <w:szCs w:val="14"/>
              </w:rPr>
              <w:t>2016</w:t>
            </w:r>
            <w:r w:rsidRPr="00BD16B4">
              <w:rPr>
                <w:b/>
                <w:bCs/>
                <w:szCs w:val="14"/>
              </w:rPr>
              <w:br/>
              <w:t>(kt)</w:t>
            </w:r>
          </w:p>
        </w:tc>
        <w:tc>
          <w:tcPr>
            <w:tcW w:w="907" w:type="dxa"/>
            <w:tcBorders>
              <w:top w:val="single" w:sz="4" w:space="0" w:color="1B556B" w:themeColor="text2"/>
            </w:tcBorders>
            <w:vAlign w:val="bottom"/>
          </w:tcPr>
          <w:p w14:paraId="0812A7C1" w14:textId="77777777" w:rsidR="00ED2EBD" w:rsidRPr="00BD16B4" w:rsidRDefault="00ED2EBD" w:rsidP="004A205F">
            <w:pPr>
              <w:pStyle w:val="TableTextbold"/>
              <w:spacing w:before="40" w:after="40"/>
              <w:jc w:val="center"/>
              <w:rPr>
                <w:b/>
                <w:bCs/>
                <w:szCs w:val="14"/>
              </w:rPr>
            </w:pPr>
            <w:r w:rsidRPr="00BD16B4">
              <w:rPr>
                <w:b/>
                <w:bCs/>
                <w:szCs w:val="14"/>
              </w:rPr>
              <w:t>2017</w:t>
            </w:r>
            <w:r w:rsidRPr="00BD16B4">
              <w:rPr>
                <w:b/>
                <w:bCs/>
                <w:szCs w:val="14"/>
              </w:rPr>
              <w:br/>
              <w:t>(kt)</w:t>
            </w:r>
          </w:p>
        </w:tc>
        <w:tc>
          <w:tcPr>
            <w:tcW w:w="907" w:type="dxa"/>
            <w:tcBorders>
              <w:top w:val="single" w:sz="4" w:space="0" w:color="1B556B" w:themeColor="text2"/>
            </w:tcBorders>
            <w:vAlign w:val="bottom"/>
          </w:tcPr>
          <w:p w14:paraId="4EBA50F5" w14:textId="77777777" w:rsidR="00ED2EBD" w:rsidRPr="00BD16B4" w:rsidRDefault="00ED2EBD" w:rsidP="004A205F">
            <w:pPr>
              <w:pStyle w:val="TableTextbold"/>
              <w:spacing w:before="40" w:after="40"/>
              <w:jc w:val="center"/>
              <w:rPr>
                <w:bCs/>
                <w:szCs w:val="14"/>
              </w:rPr>
            </w:pPr>
            <w:r w:rsidRPr="00BD16B4">
              <w:rPr>
                <w:b/>
                <w:bCs/>
                <w:szCs w:val="14"/>
              </w:rPr>
              <w:t>2018</w:t>
            </w:r>
            <w:r w:rsidRPr="00BD16B4">
              <w:rPr>
                <w:b/>
                <w:bCs/>
                <w:szCs w:val="14"/>
              </w:rPr>
              <w:br/>
              <w:t>(kt)</w:t>
            </w:r>
          </w:p>
        </w:tc>
        <w:tc>
          <w:tcPr>
            <w:tcW w:w="907" w:type="dxa"/>
            <w:tcBorders>
              <w:top w:val="single" w:sz="4" w:space="0" w:color="1B556B" w:themeColor="text2"/>
            </w:tcBorders>
            <w:vAlign w:val="bottom"/>
          </w:tcPr>
          <w:p w14:paraId="5CC0A988" w14:textId="77777777" w:rsidR="00ED2EBD" w:rsidRPr="00BD16B4" w:rsidRDefault="00ED2EBD" w:rsidP="004A205F">
            <w:pPr>
              <w:pStyle w:val="TableTextbold"/>
              <w:spacing w:before="40" w:after="40"/>
              <w:jc w:val="center"/>
              <w:rPr>
                <w:bCs/>
                <w:szCs w:val="14"/>
              </w:rPr>
            </w:pPr>
            <w:r w:rsidRPr="00BD16B4">
              <w:rPr>
                <w:b/>
                <w:bCs/>
                <w:szCs w:val="14"/>
              </w:rPr>
              <w:t>2019</w:t>
            </w:r>
            <w:r w:rsidRPr="00BD16B4">
              <w:rPr>
                <w:b/>
                <w:bCs/>
                <w:szCs w:val="14"/>
              </w:rPr>
              <w:br/>
              <w:t>(kt)</w:t>
            </w:r>
          </w:p>
        </w:tc>
        <w:tc>
          <w:tcPr>
            <w:tcW w:w="907" w:type="dxa"/>
            <w:tcBorders>
              <w:top w:val="single" w:sz="4" w:space="0" w:color="1B556B" w:themeColor="text2"/>
            </w:tcBorders>
            <w:vAlign w:val="bottom"/>
          </w:tcPr>
          <w:p w14:paraId="6634C123" w14:textId="77777777" w:rsidR="00ED2EBD" w:rsidRPr="00BD16B4" w:rsidRDefault="00ED2EBD" w:rsidP="004A205F">
            <w:pPr>
              <w:pStyle w:val="TableTextbold"/>
              <w:spacing w:before="40" w:after="40"/>
              <w:jc w:val="center"/>
              <w:rPr>
                <w:b/>
                <w:bCs/>
                <w:szCs w:val="14"/>
              </w:rPr>
            </w:pPr>
            <w:r w:rsidRPr="00BD16B4">
              <w:rPr>
                <w:b/>
                <w:bCs/>
                <w:szCs w:val="14"/>
              </w:rPr>
              <w:t>2020</w:t>
            </w:r>
            <w:r w:rsidRPr="00BD16B4">
              <w:rPr>
                <w:b/>
                <w:bCs/>
                <w:szCs w:val="14"/>
              </w:rPr>
              <w:br/>
              <w:t>(kt)</w:t>
            </w:r>
          </w:p>
        </w:tc>
      </w:tr>
      <w:tr w:rsidR="00F70C72" w:rsidRPr="00BD16B4" w14:paraId="2F8315A6" w14:textId="77777777" w:rsidTr="00F70C72">
        <w:tc>
          <w:tcPr>
            <w:tcW w:w="3856" w:type="dxa"/>
          </w:tcPr>
          <w:p w14:paraId="54357757" w14:textId="77777777" w:rsidR="00ED2EBD" w:rsidRPr="00BD16B4" w:rsidRDefault="00ED2EBD" w:rsidP="004A205F">
            <w:pPr>
              <w:pStyle w:val="TableText"/>
              <w:spacing w:before="40" w:after="40"/>
              <w:rPr>
                <w:szCs w:val="18"/>
              </w:rPr>
            </w:pPr>
            <w:r w:rsidRPr="00BD16B4">
              <w:rPr>
                <w:b/>
                <w:bCs/>
                <w:szCs w:val="18"/>
              </w:rPr>
              <w:t>1. Energy</w:t>
            </w:r>
          </w:p>
        </w:tc>
        <w:tc>
          <w:tcPr>
            <w:tcW w:w="907" w:type="dxa"/>
            <w:shd w:val="clear" w:color="auto" w:fill="auto"/>
          </w:tcPr>
          <w:p w14:paraId="22301DD9" w14:textId="77777777" w:rsidR="00ED2EBD" w:rsidRPr="00BD16B4" w:rsidRDefault="00ED2EBD" w:rsidP="004A205F">
            <w:pPr>
              <w:pStyle w:val="TableText"/>
              <w:spacing w:before="40" w:after="40"/>
              <w:jc w:val="right"/>
              <w:rPr>
                <w:szCs w:val="18"/>
              </w:rPr>
            </w:pPr>
            <w:r w:rsidRPr="00BD16B4">
              <w:rPr>
                <w:szCs w:val="18"/>
              </w:rPr>
              <w:t>61.23</w:t>
            </w:r>
          </w:p>
        </w:tc>
        <w:tc>
          <w:tcPr>
            <w:tcW w:w="907" w:type="dxa"/>
            <w:shd w:val="clear" w:color="auto" w:fill="auto"/>
          </w:tcPr>
          <w:p w14:paraId="2AF5CE1F" w14:textId="77777777" w:rsidR="00ED2EBD" w:rsidRPr="00BD16B4" w:rsidRDefault="00ED2EBD" w:rsidP="004A205F">
            <w:pPr>
              <w:pStyle w:val="TableText"/>
              <w:spacing w:before="40" w:after="40"/>
              <w:jc w:val="right"/>
              <w:rPr>
                <w:szCs w:val="18"/>
              </w:rPr>
            </w:pPr>
            <w:r w:rsidRPr="00BD16B4">
              <w:rPr>
                <w:szCs w:val="18"/>
              </w:rPr>
              <w:t>57.36</w:t>
            </w:r>
          </w:p>
        </w:tc>
        <w:tc>
          <w:tcPr>
            <w:tcW w:w="907" w:type="dxa"/>
            <w:shd w:val="clear" w:color="auto" w:fill="auto"/>
          </w:tcPr>
          <w:p w14:paraId="32F14F42" w14:textId="77777777" w:rsidR="00ED2EBD" w:rsidRPr="00BD16B4" w:rsidRDefault="00ED2EBD" w:rsidP="004A205F">
            <w:pPr>
              <w:pStyle w:val="TableText"/>
              <w:spacing w:before="40" w:after="40"/>
              <w:jc w:val="right"/>
              <w:rPr>
                <w:szCs w:val="18"/>
              </w:rPr>
            </w:pPr>
            <w:r w:rsidRPr="00BD16B4">
              <w:rPr>
                <w:szCs w:val="18"/>
              </w:rPr>
              <w:t>45.29</w:t>
            </w:r>
          </w:p>
        </w:tc>
        <w:tc>
          <w:tcPr>
            <w:tcW w:w="907" w:type="dxa"/>
            <w:shd w:val="clear" w:color="auto" w:fill="auto"/>
          </w:tcPr>
          <w:p w14:paraId="6E7A6234" w14:textId="77777777" w:rsidR="00ED2EBD" w:rsidRPr="00BD16B4" w:rsidRDefault="00ED2EBD" w:rsidP="004A205F">
            <w:pPr>
              <w:pStyle w:val="TableText"/>
              <w:spacing w:before="40" w:after="40"/>
              <w:jc w:val="right"/>
              <w:rPr>
                <w:szCs w:val="18"/>
              </w:rPr>
            </w:pPr>
            <w:r w:rsidRPr="00BD16B4">
              <w:rPr>
                <w:szCs w:val="18"/>
              </w:rPr>
              <w:t>37.89</w:t>
            </w:r>
          </w:p>
        </w:tc>
        <w:tc>
          <w:tcPr>
            <w:tcW w:w="907" w:type="dxa"/>
            <w:shd w:val="clear" w:color="auto" w:fill="auto"/>
          </w:tcPr>
          <w:p w14:paraId="68164CD0" w14:textId="77777777" w:rsidR="00ED2EBD" w:rsidRPr="00BD16B4" w:rsidRDefault="00ED2EBD" w:rsidP="004A205F">
            <w:pPr>
              <w:pStyle w:val="TableText"/>
              <w:spacing w:before="40" w:after="40"/>
              <w:jc w:val="right"/>
              <w:rPr>
                <w:szCs w:val="18"/>
              </w:rPr>
            </w:pPr>
            <w:r w:rsidRPr="00BD16B4">
              <w:rPr>
                <w:szCs w:val="18"/>
              </w:rPr>
              <w:t>37.61</w:t>
            </w:r>
          </w:p>
        </w:tc>
        <w:tc>
          <w:tcPr>
            <w:tcW w:w="907" w:type="dxa"/>
            <w:shd w:val="clear" w:color="auto" w:fill="auto"/>
          </w:tcPr>
          <w:p w14:paraId="3A8DC55E" w14:textId="77777777" w:rsidR="00ED2EBD" w:rsidRPr="00BD16B4" w:rsidRDefault="00ED2EBD" w:rsidP="004A205F">
            <w:pPr>
              <w:pStyle w:val="TableText"/>
              <w:spacing w:before="40" w:after="40"/>
              <w:jc w:val="right"/>
              <w:rPr>
                <w:szCs w:val="18"/>
              </w:rPr>
            </w:pPr>
            <w:r w:rsidRPr="00BD16B4">
              <w:rPr>
                <w:szCs w:val="18"/>
              </w:rPr>
              <w:t>39.11</w:t>
            </w:r>
          </w:p>
        </w:tc>
        <w:tc>
          <w:tcPr>
            <w:tcW w:w="907" w:type="dxa"/>
            <w:shd w:val="clear" w:color="auto" w:fill="auto"/>
          </w:tcPr>
          <w:p w14:paraId="6BD98003" w14:textId="77777777" w:rsidR="00ED2EBD" w:rsidRPr="00BD16B4" w:rsidRDefault="00ED2EBD" w:rsidP="004A205F">
            <w:pPr>
              <w:pStyle w:val="TableText"/>
              <w:spacing w:before="40" w:after="40"/>
              <w:jc w:val="right"/>
              <w:rPr>
                <w:szCs w:val="18"/>
              </w:rPr>
            </w:pPr>
            <w:r w:rsidRPr="00BD16B4">
              <w:rPr>
                <w:szCs w:val="18"/>
              </w:rPr>
              <w:t>35.64</w:t>
            </w:r>
          </w:p>
        </w:tc>
        <w:tc>
          <w:tcPr>
            <w:tcW w:w="907" w:type="dxa"/>
            <w:shd w:val="clear" w:color="auto" w:fill="auto"/>
          </w:tcPr>
          <w:p w14:paraId="1210DD44" w14:textId="77777777" w:rsidR="00ED2EBD" w:rsidRPr="00BD16B4" w:rsidRDefault="00ED2EBD" w:rsidP="004A205F">
            <w:pPr>
              <w:pStyle w:val="TableText"/>
              <w:spacing w:before="40" w:after="40"/>
              <w:jc w:val="right"/>
              <w:rPr>
                <w:szCs w:val="18"/>
              </w:rPr>
            </w:pPr>
            <w:r w:rsidRPr="00BD16B4">
              <w:rPr>
                <w:szCs w:val="18"/>
              </w:rPr>
              <w:t>31.59</w:t>
            </w:r>
          </w:p>
        </w:tc>
        <w:tc>
          <w:tcPr>
            <w:tcW w:w="907" w:type="dxa"/>
            <w:shd w:val="clear" w:color="auto" w:fill="auto"/>
          </w:tcPr>
          <w:p w14:paraId="2C053C04" w14:textId="77777777" w:rsidR="00ED2EBD" w:rsidRPr="00BD16B4" w:rsidRDefault="00ED2EBD" w:rsidP="004A205F">
            <w:pPr>
              <w:pStyle w:val="TableText"/>
              <w:spacing w:before="40" w:after="40"/>
              <w:jc w:val="right"/>
              <w:rPr>
                <w:szCs w:val="18"/>
              </w:rPr>
            </w:pPr>
            <w:r w:rsidRPr="00BD16B4">
              <w:rPr>
                <w:szCs w:val="18"/>
              </w:rPr>
              <w:t>30.53</w:t>
            </w:r>
          </w:p>
        </w:tc>
        <w:tc>
          <w:tcPr>
            <w:tcW w:w="907" w:type="dxa"/>
            <w:shd w:val="clear" w:color="auto" w:fill="auto"/>
          </w:tcPr>
          <w:p w14:paraId="5FDC35C6" w14:textId="77777777" w:rsidR="00ED2EBD" w:rsidRPr="00BD16B4" w:rsidRDefault="00ED2EBD" w:rsidP="004A205F">
            <w:pPr>
              <w:pStyle w:val="TableText"/>
              <w:spacing w:before="40" w:after="40"/>
              <w:jc w:val="right"/>
              <w:rPr>
                <w:szCs w:val="18"/>
              </w:rPr>
            </w:pPr>
            <w:r w:rsidRPr="00BD16B4">
              <w:rPr>
                <w:szCs w:val="18"/>
              </w:rPr>
              <w:t>29.45</w:t>
            </w:r>
          </w:p>
        </w:tc>
        <w:tc>
          <w:tcPr>
            <w:tcW w:w="907" w:type="dxa"/>
            <w:shd w:val="clear" w:color="auto" w:fill="auto"/>
          </w:tcPr>
          <w:p w14:paraId="1E07E258" w14:textId="77777777" w:rsidR="00ED2EBD" w:rsidRPr="00BD16B4" w:rsidRDefault="00ED2EBD" w:rsidP="004A205F">
            <w:pPr>
              <w:pStyle w:val="TableText"/>
              <w:spacing w:before="40" w:after="40"/>
              <w:jc w:val="right"/>
              <w:rPr>
                <w:szCs w:val="18"/>
              </w:rPr>
            </w:pPr>
            <w:r w:rsidRPr="00BD16B4">
              <w:rPr>
                <w:szCs w:val="18"/>
              </w:rPr>
              <w:t>27.66</w:t>
            </w:r>
          </w:p>
        </w:tc>
      </w:tr>
      <w:tr w:rsidR="00F70C72" w:rsidRPr="00BD16B4" w14:paraId="7B10DD9A" w14:textId="77777777" w:rsidTr="00F70C72">
        <w:tc>
          <w:tcPr>
            <w:tcW w:w="3856" w:type="dxa"/>
          </w:tcPr>
          <w:p w14:paraId="52E24650" w14:textId="77777777" w:rsidR="00ED2EBD" w:rsidRPr="00BD16B4" w:rsidRDefault="00ED2EBD" w:rsidP="004A205F">
            <w:pPr>
              <w:pStyle w:val="TableText"/>
              <w:spacing w:before="40" w:after="40"/>
              <w:rPr>
                <w:szCs w:val="18"/>
              </w:rPr>
            </w:pPr>
            <w:r w:rsidRPr="00BD16B4">
              <w:rPr>
                <w:szCs w:val="18"/>
              </w:rPr>
              <w:t>A. Fuel combustion (sectoral approach)</w:t>
            </w:r>
          </w:p>
        </w:tc>
        <w:tc>
          <w:tcPr>
            <w:tcW w:w="907" w:type="dxa"/>
            <w:shd w:val="clear" w:color="auto" w:fill="auto"/>
          </w:tcPr>
          <w:p w14:paraId="4DB05011" w14:textId="77777777" w:rsidR="00ED2EBD" w:rsidRPr="00BD16B4" w:rsidRDefault="00ED2EBD" w:rsidP="004A205F">
            <w:pPr>
              <w:pStyle w:val="TableText"/>
              <w:spacing w:before="40" w:after="40"/>
              <w:jc w:val="right"/>
              <w:rPr>
                <w:szCs w:val="18"/>
              </w:rPr>
            </w:pPr>
            <w:r w:rsidRPr="00BD16B4">
              <w:rPr>
                <w:szCs w:val="18"/>
              </w:rPr>
              <w:t>6.07</w:t>
            </w:r>
          </w:p>
        </w:tc>
        <w:tc>
          <w:tcPr>
            <w:tcW w:w="907" w:type="dxa"/>
            <w:shd w:val="clear" w:color="auto" w:fill="auto"/>
          </w:tcPr>
          <w:p w14:paraId="7FFC7051" w14:textId="77777777" w:rsidR="00ED2EBD" w:rsidRPr="00BD16B4" w:rsidRDefault="00ED2EBD" w:rsidP="004A205F">
            <w:pPr>
              <w:pStyle w:val="TableText"/>
              <w:spacing w:before="40" w:after="40"/>
              <w:jc w:val="right"/>
              <w:rPr>
                <w:szCs w:val="18"/>
              </w:rPr>
            </w:pPr>
            <w:r w:rsidRPr="00BD16B4">
              <w:rPr>
                <w:szCs w:val="18"/>
              </w:rPr>
              <w:t>6.06</w:t>
            </w:r>
          </w:p>
        </w:tc>
        <w:tc>
          <w:tcPr>
            <w:tcW w:w="907" w:type="dxa"/>
            <w:shd w:val="clear" w:color="auto" w:fill="auto"/>
          </w:tcPr>
          <w:p w14:paraId="126DD2F5" w14:textId="77777777" w:rsidR="00ED2EBD" w:rsidRPr="00BD16B4" w:rsidRDefault="00ED2EBD" w:rsidP="004A205F">
            <w:pPr>
              <w:pStyle w:val="TableText"/>
              <w:spacing w:before="40" w:after="40"/>
              <w:jc w:val="right"/>
              <w:rPr>
                <w:szCs w:val="18"/>
              </w:rPr>
            </w:pPr>
            <w:r w:rsidRPr="00BD16B4">
              <w:rPr>
                <w:szCs w:val="18"/>
              </w:rPr>
              <w:t>6.38</w:t>
            </w:r>
          </w:p>
        </w:tc>
        <w:tc>
          <w:tcPr>
            <w:tcW w:w="907" w:type="dxa"/>
            <w:shd w:val="clear" w:color="auto" w:fill="auto"/>
          </w:tcPr>
          <w:p w14:paraId="1A42BA7A" w14:textId="77777777" w:rsidR="00ED2EBD" w:rsidRPr="00BD16B4" w:rsidRDefault="00ED2EBD" w:rsidP="004A205F">
            <w:pPr>
              <w:pStyle w:val="TableText"/>
              <w:spacing w:before="40" w:after="40"/>
              <w:jc w:val="right"/>
              <w:rPr>
                <w:szCs w:val="18"/>
              </w:rPr>
            </w:pPr>
            <w:r w:rsidRPr="00BD16B4">
              <w:rPr>
                <w:szCs w:val="18"/>
              </w:rPr>
              <w:t>6.22</w:t>
            </w:r>
          </w:p>
        </w:tc>
        <w:tc>
          <w:tcPr>
            <w:tcW w:w="907" w:type="dxa"/>
            <w:shd w:val="clear" w:color="auto" w:fill="auto"/>
          </w:tcPr>
          <w:p w14:paraId="0CF89A03" w14:textId="77777777" w:rsidR="00ED2EBD" w:rsidRPr="00BD16B4" w:rsidRDefault="00ED2EBD" w:rsidP="004A205F">
            <w:pPr>
              <w:pStyle w:val="TableText"/>
              <w:spacing w:before="40" w:after="40"/>
              <w:jc w:val="right"/>
              <w:rPr>
                <w:szCs w:val="18"/>
              </w:rPr>
            </w:pPr>
            <w:r w:rsidRPr="00BD16B4">
              <w:rPr>
                <w:szCs w:val="18"/>
              </w:rPr>
              <w:t>5.66</w:t>
            </w:r>
          </w:p>
        </w:tc>
        <w:tc>
          <w:tcPr>
            <w:tcW w:w="907" w:type="dxa"/>
            <w:shd w:val="clear" w:color="auto" w:fill="auto"/>
          </w:tcPr>
          <w:p w14:paraId="383927B4" w14:textId="77777777" w:rsidR="00ED2EBD" w:rsidRPr="00BD16B4" w:rsidRDefault="00ED2EBD" w:rsidP="004A205F">
            <w:pPr>
              <w:pStyle w:val="TableText"/>
              <w:spacing w:before="40" w:after="40"/>
              <w:jc w:val="right"/>
              <w:rPr>
                <w:szCs w:val="18"/>
              </w:rPr>
            </w:pPr>
            <w:r w:rsidRPr="00BD16B4">
              <w:rPr>
                <w:szCs w:val="18"/>
              </w:rPr>
              <w:t>5.76</w:t>
            </w:r>
          </w:p>
        </w:tc>
        <w:tc>
          <w:tcPr>
            <w:tcW w:w="907" w:type="dxa"/>
            <w:shd w:val="clear" w:color="auto" w:fill="auto"/>
          </w:tcPr>
          <w:p w14:paraId="03B4EA3A" w14:textId="77777777" w:rsidR="00ED2EBD" w:rsidRPr="00BD16B4" w:rsidRDefault="00ED2EBD" w:rsidP="004A205F">
            <w:pPr>
              <w:pStyle w:val="TableText"/>
              <w:spacing w:before="40" w:after="40"/>
              <w:jc w:val="right"/>
              <w:rPr>
                <w:szCs w:val="18"/>
              </w:rPr>
            </w:pPr>
            <w:r w:rsidRPr="00BD16B4">
              <w:rPr>
                <w:szCs w:val="18"/>
              </w:rPr>
              <w:t>5.42</w:t>
            </w:r>
          </w:p>
        </w:tc>
        <w:tc>
          <w:tcPr>
            <w:tcW w:w="907" w:type="dxa"/>
            <w:shd w:val="clear" w:color="auto" w:fill="auto"/>
          </w:tcPr>
          <w:p w14:paraId="4E8A71A3" w14:textId="77777777" w:rsidR="00ED2EBD" w:rsidRPr="00BD16B4" w:rsidRDefault="00ED2EBD" w:rsidP="004A205F">
            <w:pPr>
              <w:pStyle w:val="TableText"/>
              <w:spacing w:before="40" w:after="40"/>
              <w:jc w:val="right"/>
              <w:rPr>
                <w:szCs w:val="18"/>
              </w:rPr>
            </w:pPr>
            <w:r w:rsidRPr="00BD16B4">
              <w:rPr>
                <w:szCs w:val="18"/>
              </w:rPr>
              <w:t>5.61</w:t>
            </w:r>
          </w:p>
        </w:tc>
        <w:tc>
          <w:tcPr>
            <w:tcW w:w="907" w:type="dxa"/>
            <w:shd w:val="clear" w:color="auto" w:fill="auto"/>
          </w:tcPr>
          <w:p w14:paraId="30364764" w14:textId="77777777" w:rsidR="00ED2EBD" w:rsidRPr="00BD16B4" w:rsidRDefault="00ED2EBD" w:rsidP="004A205F">
            <w:pPr>
              <w:pStyle w:val="TableText"/>
              <w:spacing w:before="40" w:after="40"/>
              <w:jc w:val="right"/>
              <w:rPr>
                <w:szCs w:val="18"/>
              </w:rPr>
            </w:pPr>
            <w:r w:rsidRPr="00BD16B4">
              <w:rPr>
                <w:szCs w:val="18"/>
              </w:rPr>
              <w:t>5.34</w:t>
            </w:r>
          </w:p>
        </w:tc>
        <w:tc>
          <w:tcPr>
            <w:tcW w:w="907" w:type="dxa"/>
            <w:shd w:val="clear" w:color="auto" w:fill="auto"/>
          </w:tcPr>
          <w:p w14:paraId="2D5DA49E" w14:textId="77777777" w:rsidR="00ED2EBD" w:rsidRPr="00BD16B4" w:rsidRDefault="00ED2EBD" w:rsidP="004A205F">
            <w:pPr>
              <w:pStyle w:val="TableText"/>
              <w:spacing w:before="40" w:after="40"/>
              <w:jc w:val="right"/>
              <w:rPr>
                <w:szCs w:val="18"/>
              </w:rPr>
            </w:pPr>
            <w:r w:rsidRPr="00BD16B4">
              <w:rPr>
                <w:szCs w:val="18"/>
              </w:rPr>
              <w:t>5.35</w:t>
            </w:r>
          </w:p>
        </w:tc>
        <w:tc>
          <w:tcPr>
            <w:tcW w:w="907" w:type="dxa"/>
            <w:shd w:val="clear" w:color="auto" w:fill="auto"/>
          </w:tcPr>
          <w:p w14:paraId="7C80FA57" w14:textId="77777777" w:rsidR="00ED2EBD" w:rsidRPr="00BD16B4" w:rsidRDefault="00ED2EBD" w:rsidP="004A205F">
            <w:pPr>
              <w:pStyle w:val="TableText"/>
              <w:spacing w:before="40" w:after="40"/>
              <w:jc w:val="right"/>
              <w:rPr>
                <w:szCs w:val="18"/>
              </w:rPr>
            </w:pPr>
            <w:r w:rsidRPr="00BD16B4">
              <w:rPr>
                <w:szCs w:val="18"/>
              </w:rPr>
              <w:t>4.99</w:t>
            </w:r>
          </w:p>
        </w:tc>
      </w:tr>
      <w:tr w:rsidR="00F70C72" w:rsidRPr="00BD16B4" w14:paraId="0EE9B61D" w14:textId="77777777" w:rsidTr="00F70C72">
        <w:tc>
          <w:tcPr>
            <w:tcW w:w="3856" w:type="dxa"/>
          </w:tcPr>
          <w:p w14:paraId="511262D7" w14:textId="51501C6E" w:rsidR="00ED2EBD" w:rsidRPr="00BD16B4" w:rsidRDefault="00ED2EBD" w:rsidP="004A205F">
            <w:pPr>
              <w:pStyle w:val="TableText"/>
              <w:spacing w:before="40" w:after="40"/>
              <w:ind w:left="454" w:hanging="227"/>
              <w:rPr>
                <w:szCs w:val="18"/>
              </w:rPr>
            </w:pPr>
            <w:r w:rsidRPr="00BD16B4">
              <w:rPr>
                <w:szCs w:val="18"/>
              </w:rPr>
              <w:t>1.</w:t>
            </w:r>
            <w:r w:rsidR="00280979" w:rsidRPr="00BD16B4">
              <w:rPr>
                <w:szCs w:val="18"/>
              </w:rPr>
              <w:t xml:space="preserve"> </w:t>
            </w:r>
            <w:r w:rsidRPr="00BD16B4">
              <w:rPr>
                <w:szCs w:val="18"/>
              </w:rPr>
              <w:t xml:space="preserve">Energy </w:t>
            </w:r>
            <w:r w:rsidRPr="00BD16B4">
              <w:rPr>
                <w:rFonts w:cs="Calibri"/>
                <w:szCs w:val="18"/>
              </w:rPr>
              <w:t>industries</w:t>
            </w:r>
          </w:p>
        </w:tc>
        <w:tc>
          <w:tcPr>
            <w:tcW w:w="907" w:type="dxa"/>
            <w:shd w:val="clear" w:color="auto" w:fill="auto"/>
          </w:tcPr>
          <w:p w14:paraId="4966C2B9" w14:textId="77777777" w:rsidR="00ED2EBD" w:rsidRPr="00BD16B4" w:rsidRDefault="00ED2EBD" w:rsidP="004A205F">
            <w:pPr>
              <w:pStyle w:val="TableText"/>
              <w:spacing w:before="40" w:after="40"/>
              <w:jc w:val="right"/>
              <w:rPr>
                <w:szCs w:val="18"/>
              </w:rPr>
            </w:pPr>
            <w:r w:rsidRPr="00BD16B4">
              <w:rPr>
                <w:szCs w:val="18"/>
              </w:rPr>
              <w:t>0.11</w:t>
            </w:r>
          </w:p>
        </w:tc>
        <w:tc>
          <w:tcPr>
            <w:tcW w:w="907" w:type="dxa"/>
            <w:shd w:val="clear" w:color="auto" w:fill="auto"/>
          </w:tcPr>
          <w:p w14:paraId="06490D46" w14:textId="77777777" w:rsidR="00ED2EBD" w:rsidRPr="00BD16B4" w:rsidRDefault="00ED2EBD" w:rsidP="004A205F">
            <w:pPr>
              <w:pStyle w:val="TableText"/>
              <w:spacing w:before="40" w:after="40"/>
              <w:jc w:val="right"/>
              <w:rPr>
                <w:szCs w:val="18"/>
              </w:rPr>
            </w:pPr>
            <w:r w:rsidRPr="00BD16B4">
              <w:rPr>
                <w:szCs w:val="18"/>
              </w:rPr>
              <w:t>0.10</w:t>
            </w:r>
          </w:p>
        </w:tc>
        <w:tc>
          <w:tcPr>
            <w:tcW w:w="907" w:type="dxa"/>
            <w:shd w:val="clear" w:color="auto" w:fill="auto"/>
          </w:tcPr>
          <w:p w14:paraId="3B8EF6A5" w14:textId="77777777" w:rsidR="00ED2EBD" w:rsidRPr="00BD16B4" w:rsidRDefault="00ED2EBD" w:rsidP="004A205F">
            <w:pPr>
              <w:pStyle w:val="TableText"/>
              <w:spacing w:before="40" w:after="40"/>
              <w:jc w:val="right"/>
              <w:rPr>
                <w:szCs w:val="18"/>
              </w:rPr>
            </w:pPr>
            <w:r w:rsidRPr="00BD16B4">
              <w:rPr>
                <w:szCs w:val="18"/>
              </w:rPr>
              <w:t>0.12</w:t>
            </w:r>
          </w:p>
        </w:tc>
        <w:tc>
          <w:tcPr>
            <w:tcW w:w="907" w:type="dxa"/>
            <w:shd w:val="clear" w:color="auto" w:fill="auto"/>
          </w:tcPr>
          <w:p w14:paraId="7698E4F7" w14:textId="77777777" w:rsidR="00ED2EBD" w:rsidRPr="00BD16B4" w:rsidRDefault="00ED2EBD" w:rsidP="004A205F">
            <w:pPr>
              <w:pStyle w:val="TableText"/>
              <w:spacing w:before="40" w:after="40"/>
              <w:jc w:val="right"/>
              <w:rPr>
                <w:szCs w:val="18"/>
              </w:rPr>
            </w:pPr>
            <w:r w:rsidRPr="00BD16B4">
              <w:rPr>
                <w:szCs w:val="18"/>
              </w:rPr>
              <w:t>0.10</w:t>
            </w:r>
          </w:p>
        </w:tc>
        <w:tc>
          <w:tcPr>
            <w:tcW w:w="907" w:type="dxa"/>
            <w:shd w:val="clear" w:color="auto" w:fill="auto"/>
          </w:tcPr>
          <w:p w14:paraId="6294CD71" w14:textId="77777777" w:rsidR="00ED2EBD" w:rsidRPr="00BD16B4" w:rsidRDefault="00ED2EBD" w:rsidP="004A205F">
            <w:pPr>
              <w:pStyle w:val="TableText"/>
              <w:spacing w:before="40" w:after="40"/>
              <w:jc w:val="right"/>
              <w:rPr>
                <w:szCs w:val="18"/>
              </w:rPr>
            </w:pPr>
            <w:r w:rsidRPr="00BD16B4">
              <w:rPr>
                <w:szCs w:val="18"/>
              </w:rPr>
              <w:t>0.09</w:t>
            </w:r>
          </w:p>
        </w:tc>
        <w:tc>
          <w:tcPr>
            <w:tcW w:w="907" w:type="dxa"/>
            <w:shd w:val="clear" w:color="auto" w:fill="auto"/>
          </w:tcPr>
          <w:p w14:paraId="019A4FAE" w14:textId="77777777" w:rsidR="00ED2EBD" w:rsidRPr="00BD16B4" w:rsidRDefault="00ED2EBD" w:rsidP="004A205F">
            <w:pPr>
              <w:pStyle w:val="TableText"/>
              <w:spacing w:before="40" w:after="40"/>
              <w:jc w:val="right"/>
              <w:rPr>
                <w:szCs w:val="18"/>
              </w:rPr>
            </w:pPr>
            <w:r w:rsidRPr="00BD16B4">
              <w:rPr>
                <w:szCs w:val="18"/>
              </w:rPr>
              <w:t>0.09</w:t>
            </w:r>
          </w:p>
        </w:tc>
        <w:tc>
          <w:tcPr>
            <w:tcW w:w="907" w:type="dxa"/>
            <w:shd w:val="clear" w:color="auto" w:fill="auto"/>
          </w:tcPr>
          <w:p w14:paraId="17EF81B5" w14:textId="77777777" w:rsidR="00ED2EBD" w:rsidRPr="00BD16B4" w:rsidRDefault="00ED2EBD" w:rsidP="004A205F">
            <w:pPr>
              <w:pStyle w:val="TableText"/>
              <w:spacing w:before="40" w:after="40"/>
              <w:jc w:val="right"/>
              <w:rPr>
                <w:szCs w:val="18"/>
              </w:rPr>
            </w:pPr>
            <w:r w:rsidRPr="00BD16B4">
              <w:rPr>
                <w:szCs w:val="18"/>
              </w:rPr>
              <w:t>0.07</w:t>
            </w:r>
          </w:p>
        </w:tc>
        <w:tc>
          <w:tcPr>
            <w:tcW w:w="907" w:type="dxa"/>
            <w:shd w:val="clear" w:color="auto" w:fill="auto"/>
          </w:tcPr>
          <w:p w14:paraId="5A4FB8C5" w14:textId="77777777" w:rsidR="00ED2EBD" w:rsidRPr="00BD16B4" w:rsidRDefault="00ED2EBD" w:rsidP="004A205F">
            <w:pPr>
              <w:pStyle w:val="TableText"/>
              <w:spacing w:before="40" w:after="40"/>
              <w:jc w:val="right"/>
              <w:rPr>
                <w:szCs w:val="18"/>
              </w:rPr>
            </w:pPr>
            <w:r w:rsidRPr="00BD16B4">
              <w:rPr>
                <w:szCs w:val="18"/>
              </w:rPr>
              <w:t>0.08</w:t>
            </w:r>
          </w:p>
        </w:tc>
        <w:tc>
          <w:tcPr>
            <w:tcW w:w="907" w:type="dxa"/>
            <w:shd w:val="clear" w:color="auto" w:fill="auto"/>
          </w:tcPr>
          <w:p w14:paraId="3F7055DD" w14:textId="77777777" w:rsidR="00ED2EBD" w:rsidRPr="00BD16B4" w:rsidRDefault="00ED2EBD" w:rsidP="004A205F">
            <w:pPr>
              <w:pStyle w:val="TableText"/>
              <w:spacing w:before="40" w:after="40"/>
              <w:jc w:val="right"/>
              <w:rPr>
                <w:szCs w:val="18"/>
              </w:rPr>
            </w:pPr>
            <w:r w:rsidRPr="00BD16B4">
              <w:rPr>
                <w:szCs w:val="18"/>
              </w:rPr>
              <w:t>0.08</w:t>
            </w:r>
          </w:p>
        </w:tc>
        <w:tc>
          <w:tcPr>
            <w:tcW w:w="907" w:type="dxa"/>
            <w:shd w:val="clear" w:color="auto" w:fill="auto"/>
          </w:tcPr>
          <w:p w14:paraId="539ADDD8" w14:textId="77777777" w:rsidR="00ED2EBD" w:rsidRPr="00BD16B4" w:rsidRDefault="00ED2EBD" w:rsidP="004A205F">
            <w:pPr>
              <w:pStyle w:val="TableText"/>
              <w:spacing w:before="40" w:after="40"/>
              <w:jc w:val="right"/>
              <w:rPr>
                <w:szCs w:val="18"/>
              </w:rPr>
            </w:pPr>
            <w:r w:rsidRPr="00BD16B4">
              <w:rPr>
                <w:szCs w:val="18"/>
              </w:rPr>
              <w:t>0.09</w:t>
            </w:r>
          </w:p>
        </w:tc>
        <w:tc>
          <w:tcPr>
            <w:tcW w:w="907" w:type="dxa"/>
            <w:shd w:val="clear" w:color="auto" w:fill="auto"/>
          </w:tcPr>
          <w:p w14:paraId="773D8A25" w14:textId="77777777" w:rsidR="00ED2EBD" w:rsidRPr="00BD16B4" w:rsidRDefault="00ED2EBD" w:rsidP="004A205F">
            <w:pPr>
              <w:pStyle w:val="TableText"/>
              <w:spacing w:before="40" w:after="40"/>
              <w:jc w:val="right"/>
              <w:rPr>
                <w:szCs w:val="18"/>
              </w:rPr>
            </w:pPr>
            <w:r w:rsidRPr="00BD16B4">
              <w:rPr>
                <w:szCs w:val="18"/>
              </w:rPr>
              <w:t>0.09</w:t>
            </w:r>
          </w:p>
        </w:tc>
      </w:tr>
      <w:tr w:rsidR="00F70C72" w:rsidRPr="00BD16B4" w14:paraId="2DAE3534" w14:textId="77777777" w:rsidTr="00F70C72">
        <w:tc>
          <w:tcPr>
            <w:tcW w:w="3856" w:type="dxa"/>
          </w:tcPr>
          <w:p w14:paraId="36FC3600" w14:textId="2E4E7ACE" w:rsidR="00ED2EBD" w:rsidRPr="00BD16B4" w:rsidRDefault="00ED2EBD" w:rsidP="004A205F">
            <w:pPr>
              <w:pStyle w:val="TableText"/>
              <w:spacing w:before="40" w:after="40"/>
              <w:ind w:left="454" w:hanging="227"/>
              <w:rPr>
                <w:szCs w:val="18"/>
              </w:rPr>
            </w:pPr>
            <w:r w:rsidRPr="00BD16B4">
              <w:rPr>
                <w:szCs w:val="18"/>
              </w:rPr>
              <w:t>2.</w:t>
            </w:r>
            <w:r w:rsidR="00280979" w:rsidRPr="00BD16B4">
              <w:rPr>
                <w:szCs w:val="18"/>
              </w:rPr>
              <w:t xml:space="preserve"> </w:t>
            </w:r>
            <w:r w:rsidRPr="00BD16B4">
              <w:rPr>
                <w:szCs w:val="18"/>
              </w:rPr>
              <w:t>Manufacturing industries and construction</w:t>
            </w:r>
          </w:p>
        </w:tc>
        <w:tc>
          <w:tcPr>
            <w:tcW w:w="907" w:type="dxa"/>
            <w:shd w:val="clear" w:color="auto" w:fill="auto"/>
          </w:tcPr>
          <w:p w14:paraId="04B07213" w14:textId="77777777" w:rsidR="00ED2EBD" w:rsidRPr="00BD16B4" w:rsidRDefault="00ED2EBD" w:rsidP="004A205F">
            <w:pPr>
              <w:pStyle w:val="TableText"/>
              <w:spacing w:before="40" w:after="40"/>
              <w:jc w:val="right"/>
              <w:rPr>
                <w:szCs w:val="18"/>
              </w:rPr>
            </w:pPr>
            <w:r w:rsidRPr="00BD16B4">
              <w:rPr>
                <w:szCs w:val="18"/>
              </w:rPr>
              <w:t>1.24</w:t>
            </w:r>
          </w:p>
        </w:tc>
        <w:tc>
          <w:tcPr>
            <w:tcW w:w="907" w:type="dxa"/>
            <w:shd w:val="clear" w:color="auto" w:fill="auto"/>
          </w:tcPr>
          <w:p w14:paraId="0014EEBD" w14:textId="77777777" w:rsidR="00ED2EBD" w:rsidRPr="00BD16B4" w:rsidRDefault="00ED2EBD" w:rsidP="004A205F">
            <w:pPr>
              <w:pStyle w:val="TableText"/>
              <w:spacing w:before="40" w:after="40"/>
              <w:jc w:val="right"/>
              <w:rPr>
                <w:szCs w:val="18"/>
              </w:rPr>
            </w:pPr>
            <w:r w:rsidRPr="00BD16B4">
              <w:rPr>
                <w:szCs w:val="18"/>
              </w:rPr>
              <w:t>1.22</w:t>
            </w:r>
          </w:p>
        </w:tc>
        <w:tc>
          <w:tcPr>
            <w:tcW w:w="907" w:type="dxa"/>
            <w:shd w:val="clear" w:color="auto" w:fill="auto"/>
          </w:tcPr>
          <w:p w14:paraId="3E17861A" w14:textId="77777777" w:rsidR="00ED2EBD" w:rsidRPr="00BD16B4" w:rsidRDefault="00ED2EBD" w:rsidP="004A205F">
            <w:pPr>
              <w:pStyle w:val="TableText"/>
              <w:spacing w:before="40" w:after="40"/>
              <w:jc w:val="right"/>
              <w:rPr>
                <w:szCs w:val="18"/>
              </w:rPr>
            </w:pPr>
            <w:r w:rsidRPr="00BD16B4">
              <w:rPr>
                <w:szCs w:val="18"/>
              </w:rPr>
              <w:t>1.24</w:t>
            </w:r>
          </w:p>
        </w:tc>
        <w:tc>
          <w:tcPr>
            <w:tcW w:w="907" w:type="dxa"/>
            <w:shd w:val="clear" w:color="auto" w:fill="auto"/>
          </w:tcPr>
          <w:p w14:paraId="27806B31" w14:textId="77777777" w:rsidR="00ED2EBD" w:rsidRPr="00BD16B4" w:rsidRDefault="00ED2EBD" w:rsidP="004A205F">
            <w:pPr>
              <w:pStyle w:val="TableText"/>
              <w:spacing w:before="40" w:after="40"/>
              <w:jc w:val="right"/>
              <w:rPr>
                <w:szCs w:val="18"/>
              </w:rPr>
            </w:pPr>
            <w:r w:rsidRPr="00BD16B4">
              <w:rPr>
                <w:szCs w:val="18"/>
              </w:rPr>
              <w:t>1.24</w:t>
            </w:r>
          </w:p>
        </w:tc>
        <w:tc>
          <w:tcPr>
            <w:tcW w:w="907" w:type="dxa"/>
            <w:shd w:val="clear" w:color="auto" w:fill="auto"/>
          </w:tcPr>
          <w:p w14:paraId="049CEC74" w14:textId="77777777" w:rsidR="00ED2EBD" w:rsidRPr="00BD16B4" w:rsidRDefault="00ED2EBD" w:rsidP="004A205F">
            <w:pPr>
              <w:pStyle w:val="TableText"/>
              <w:spacing w:before="40" w:after="40"/>
              <w:jc w:val="right"/>
              <w:rPr>
                <w:szCs w:val="18"/>
              </w:rPr>
            </w:pPr>
            <w:r w:rsidRPr="00BD16B4">
              <w:rPr>
                <w:szCs w:val="18"/>
              </w:rPr>
              <w:t>1.25</w:t>
            </w:r>
          </w:p>
        </w:tc>
        <w:tc>
          <w:tcPr>
            <w:tcW w:w="907" w:type="dxa"/>
            <w:shd w:val="clear" w:color="auto" w:fill="auto"/>
          </w:tcPr>
          <w:p w14:paraId="1327D3B8" w14:textId="77777777" w:rsidR="00ED2EBD" w:rsidRPr="00BD16B4" w:rsidRDefault="00ED2EBD" w:rsidP="004A205F">
            <w:pPr>
              <w:pStyle w:val="TableText"/>
              <w:spacing w:before="40" w:after="40"/>
              <w:jc w:val="right"/>
              <w:rPr>
                <w:szCs w:val="18"/>
              </w:rPr>
            </w:pPr>
            <w:r w:rsidRPr="00BD16B4">
              <w:rPr>
                <w:szCs w:val="18"/>
              </w:rPr>
              <w:t>1.28</w:t>
            </w:r>
          </w:p>
        </w:tc>
        <w:tc>
          <w:tcPr>
            <w:tcW w:w="907" w:type="dxa"/>
            <w:shd w:val="clear" w:color="auto" w:fill="auto"/>
          </w:tcPr>
          <w:p w14:paraId="79F1E872" w14:textId="77777777" w:rsidR="00ED2EBD" w:rsidRPr="00BD16B4" w:rsidRDefault="00ED2EBD" w:rsidP="004A205F">
            <w:pPr>
              <w:pStyle w:val="TableText"/>
              <w:spacing w:before="40" w:after="40"/>
              <w:jc w:val="right"/>
              <w:rPr>
                <w:szCs w:val="18"/>
              </w:rPr>
            </w:pPr>
            <w:r w:rsidRPr="00BD16B4">
              <w:rPr>
                <w:szCs w:val="18"/>
              </w:rPr>
              <w:t>1.28</w:t>
            </w:r>
          </w:p>
        </w:tc>
        <w:tc>
          <w:tcPr>
            <w:tcW w:w="907" w:type="dxa"/>
            <w:shd w:val="clear" w:color="auto" w:fill="auto"/>
          </w:tcPr>
          <w:p w14:paraId="506F5CDE" w14:textId="77777777" w:rsidR="00ED2EBD" w:rsidRPr="00BD16B4" w:rsidRDefault="00ED2EBD" w:rsidP="004A205F">
            <w:pPr>
              <w:pStyle w:val="TableText"/>
              <w:spacing w:before="40" w:after="40"/>
              <w:jc w:val="right"/>
              <w:rPr>
                <w:szCs w:val="18"/>
              </w:rPr>
            </w:pPr>
            <w:r w:rsidRPr="00BD16B4">
              <w:rPr>
                <w:szCs w:val="18"/>
              </w:rPr>
              <w:t>1.24</w:t>
            </w:r>
          </w:p>
        </w:tc>
        <w:tc>
          <w:tcPr>
            <w:tcW w:w="907" w:type="dxa"/>
            <w:shd w:val="clear" w:color="auto" w:fill="auto"/>
          </w:tcPr>
          <w:p w14:paraId="5B4A8970" w14:textId="77777777" w:rsidR="00ED2EBD" w:rsidRPr="00BD16B4" w:rsidRDefault="00ED2EBD" w:rsidP="004A205F">
            <w:pPr>
              <w:pStyle w:val="TableText"/>
              <w:spacing w:before="40" w:after="40"/>
              <w:jc w:val="right"/>
              <w:rPr>
                <w:szCs w:val="18"/>
              </w:rPr>
            </w:pPr>
            <w:r w:rsidRPr="00BD16B4">
              <w:rPr>
                <w:szCs w:val="18"/>
              </w:rPr>
              <w:t>1.24</w:t>
            </w:r>
          </w:p>
        </w:tc>
        <w:tc>
          <w:tcPr>
            <w:tcW w:w="907" w:type="dxa"/>
            <w:shd w:val="clear" w:color="auto" w:fill="auto"/>
          </w:tcPr>
          <w:p w14:paraId="558770E4" w14:textId="77777777" w:rsidR="00ED2EBD" w:rsidRPr="00BD16B4" w:rsidRDefault="00ED2EBD" w:rsidP="004A205F">
            <w:pPr>
              <w:pStyle w:val="TableText"/>
              <w:spacing w:before="40" w:after="40"/>
              <w:jc w:val="right"/>
              <w:rPr>
                <w:szCs w:val="18"/>
              </w:rPr>
            </w:pPr>
            <w:r w:rsidRPr="00BD16B4">
              <w:rPr>
                <w:szCs w:val="18"/>
              </w:rPr>
              <w:t>1.23</w:t>
            </w:r>
          </w:p>
        </w:tc>
        <w:tc>
          <w:tcPr>
            <w:tcW w:w="907" w:type="dxa"/>
            <w:shd w:val="clear" w:color="auto" w:fill="auto"/>
          </w:tcPr>
          <w:p w14:paraId="4802C78D" w14:textId="77777777" w:rsidR="00ED2EBD" w:rsidRPr="00BD16B4" w:rsidRDefault="00ED2EBD" w:rsidP="004A205F">
            <w:pPr>
              <w:pStyle w:val="TableText"/>
              <w:spacing w:before="40" w:after="40"/>
              <w:jc w:val="right"/>
              <w:rPr>
                <w:szCs w:val="18"/>
              </w:rPr>
            </w:pPr>
            <w:r w:rsidRPr="00BD16B4">
              <w:rPr>
                <w:szCs w:val="18"/>
              </w:rPr>
              <w:t>1.09</w:t>
            </w:r>
          </w:p>
        </w:tc>
      </w:tr>
      <w:tr w:rsidR="00F70C72" w:rsidRPr="00BD16B4" w14:paraId="1A72B484" w14:textId="77777777" w:rsidTr="00F70C72">
        <w:tc>
          <w:tcPr>
            <w:tcW w:w="3856" w:type="dxa"/>
          </w:tcPr>
          <w:p w14:paraId="0F3BE296" w14:textId="451A4DC9" w:rsidR="00ED2EBD" w:rsidRPr="00BD16B4" w:rsidRDefault="00ED2EBD" w:rsidP="004A205F">
            <w:pPr>
              <w:pStyle w:val="TableText"/>
              <w:spacing w:before="40" w:after="40"/>
              <w:ind w:left="454" w:hanging="227"/>
              <w:rPr>
                <w:szCs w:val="18"/>
              </w:rPr>
            </w:pPr>
            <w:r w:rsidRPr="00BD16B4">
              <w:rPr>
                <w:szCs w:val="18"/>
              </w:rPr>
              <w:t>3.</w:t>
            </w:r>
            <w:r w:rsidR="00280979" w:rsidRPr="00BD16B4">
              <w:rPr>
                <w:szCs w:val="18"/>
              </w:rPr>
              <w:t xml:space="preserve"> </w:t>
            </w:r>
            <w:r w:rsidRPr="00BD16B4">
              <w:rPr>
                <w:szCs w:val="18"/>
              </w:rPr>
              <w:t>Transport</w:t>
            </w:r>
          </w:p>
        </w:tc>
        <w:tc>
          <w:tcPr>
            <w:tcW w:w="907" w:type="dxa"/>
            <w:shd w:val="clear" w:color="auto" w:fill="auto"/>
          </w:tcPr>
          <w:p w14:paraId="07704E0A" w14:textId="77777777" w:rsidR="00ED2EBD" w:rsidRPr="00BD16B4" w:rsidRDefault="00ED2EBD" w:rsidP="004A205F">
            <w:pPr>
              <w:pStyle w:val="TableText"/>
              <w:spacing w:before="40" w:after="40"/>
              <w:jc w:val="right"/>
              <w:rPr>
                <w:szCs w:val="18"/>
              </w:rPr>
            </w:pPr>
            <w:r w:rsidRPr="00BD16B4">
              <w:rPr>
                <w:szCs w:val="18"/>
              </w:rPr>
              <w:t>1.37</w:t>
            </w:r>
          </w:p>
        </w:tc>
        <w:tc>
          <w:tcPr>
            <w:tcW w:w="907" w:type="dxa"/>
            <w:shd w:val="clear" w:color="auto" w:fill="auto"/>
          </w:tcPr>
          <w:p w14:paraId="7A6E9C49" w14:textId="77777777" w:rsidR="00ED2EBD" w:rsidRPr="00BD16B4" w:rsidRDefault="00ED2EBD" w:rsidP="004A205F">
            <w:pPr>
              <w:pStyle w:val="TableText"/>
              <w:spacing w:before="40" w:after="40"/>
              <w:jc w:val="right"/>
              <w:rPr>
                <w:szCs w:val="18"/>
              </w:rPr>
            </w:pPr>
            <w:r w:rsidRPr="00BD16B4">
              <w:rPr>
                <w:szCs w:val="18"/>
              </w:rPr>
              <w:t>1.29</w:t>
            </w:r>
          </w:p>
        </w:tc>
        <w:tc>
          <w:tcPr>
            <w:tcW w:w="907" w:type="dxa"/>
            <w:shd w:val="clear" w:color="auto" w:fill="auto"/>
          </w:tcPr>
          <w:p w14:paraId="006EA7BE" w14:textId="77777777" w:rsidR="00ED2EBD" w:rsidRPr="00BD16B4" w:rsidRDefault="00ED2EBD" w:rsidP="004A205F">
            <w:pPr>
              <w:pStyle w:val="TableText"/>
              <w:spacing w:before="40" w:after="40"/>
              <w:jc w:val="right"/>
              <w:rPr>
                <w:szCs w:val="18"/>
              </w:rPr>
            </w:pPr>
            <w:r w:rsidRPr="00BD16B4">
              <w:rPr>
                <w:szCs w:val="18"/>
              </w:rPr>
              <w:t>1.22</w:t>
            </w:r>
          </w:p>
        </w:tc>
        <w:tc>
          <w:tcPr>
            <w:tcW w:w="907" w:type="dxa"/>
            <w:shd w:val="clear" w:color="auto" w:fill="auto"/>
          </w:tcPr>
          <w:p w14:paraId="3025C405" w14:textId="77777777" w:rsidR="00ED2EBD" w:rsidRPr="00BD16B4" w:rsidRDefault="00ED2EBD" w:rsidP="004A205F">
            <w:pPr>
              <w:pStyle w:val="TableText"/>
              <w:spacing w:before="40" w:after="40"/>
              <w:jc w:val="right"/>
              <w:rPr>
                <w:szCs w:val="18"/>
              </w:rPr>
            </w:pPr>
            <w:r w:rsidRPr="00BD16B4">
              <w:rPr>
                <w:szCs w:val="18"/>
              </w:rPr>
              <w:t>1.19</w:t>
            </w:r>
          </w:p>
        </w:tc>
        <w:tc>
          <w:tcPr>
            <w:tcW w:w="907" w:type="dxa"/>
            <w:shd w:val="clear" w:color="auto" w:fill="auto"/>
          </w:tcPr>
          <w:p w14:paraId="33DDBCCC" w14:textId="77777777" w:rsidR="00ED2EBD" w:rsidRPr="00BD16B4" w:rsidRDefault="00ED2EBD" w:rsidP="004A205F">
            <w:pPr>
              <w:pStyle w:val="TableText"/>
              <w:spacing w:before="40" w:after="40"/>
              <w:jc w:val="right"/>
              <w:rPr>
                <w:szCs w:val="18"/>
              </w:rPr>
            </w:pPr>
            <w:r w:rsidRPr="00BD16B4">
              <w:rPr>
                <w:szCs w:val="18"/>
              </w:rPr>
              <w:t>1.15</w:t>
            </w:r>
          </w:p>
        </w:tc>
        <w:tc>
          <w:tcPr>
            <w:tcW w:w="907" w:type="dxa"/>
            <w:shd w:val="clear" w:color="auto" w:fill="auto"/>
          </w:tcPr>
          <w:p w14:paraId="5CA0C04D" w14:textId="77777777" w:rsidR="00ED2EBD" w:rsidRPr="00BD16B4" w:rsidRDefault="00ED2EBD" w:rsidP="004A205F">
            <w:pPr>
              <w:pStyle w:val="TableText"/>
              <w:spacing w:before="40" w:after="40"/>
              <w:jc w:val="right"/>
              <w:rPr>
                <w:szCs w:val="18"/>
              </w:rPr>
            </w:pPr>
            <w:r w:rsidRPr="00BD16B4">
              <w:rPr>
                <w:szCs w:val="18"/>
              </w:rPr>
              <w:t>1.11</w:t>
            </w:r>
          </w:p>
        </w:tc>
        <w:tc>
          <w:tcPr>
            <w:tcW w:w="907" w:type="dxa"/>
            <w:shd w:val="clear" w:color="auto" w:fill="auto"/>
          </w:tcPr>
          <w:p w14:paraId="1DFE3888" w14:textId="77777777" w:rsidR="00ED2EBD" w:rsidRPr="00BD16B4" w:rsidRDefault="00ED2EBD" w:rsidP="004A205F">
            <w:pPr>
              <w:pStyle w:val="TableText"/>
              <w:spacing w:before="40" w:after="40"/>
              <w:jc w:val="right"/>
              <w:rPr>
                <w:szCs w:val="18"/>
              </w:rPr>
            </w:pPr>
            <w:r w:rsidRPr="00BD16B4">
              <w:rPr>
                <w:szCs w:val="18"/>
              </w:rPr>
              <w:t>1.07</w:t>
            </w:r>
          </w:p>
        </w:tc>
        <w:tc>
          <w:tcPr>
            <w:tcW w:w="907" w:type="dxa"/>
            <w:shd w:val="clear" w:color="auto" w:fill="auto"/>
          </w:tcPr>
          <w:p w14:paraId="3CCB8070" w14:textId="77777777" w:rsidR="00ED2EBD" w:rsidRPr="00BD16B4" w:rsidRDefault="00ED2EBD" w:rsidP="004A205F">
            <w:pPr>
              <w:pStyle w:val="TableText"/>
              <w:spacing w:before="40" w:after="40"/>
              <w:jc w:val="right"/>
              <w:rPr>
                <w:szCs w:val="18"/>
              </w:rPr>
            </w:pPr>
            <w:r w:rsidRPr="00BD16B4">
              <w:rPr>
                <w:szCs w:val="18"/>
              </w:rPr>
              <w:t>0.90</w:t>
            </w:r>
          </w:p>
        </w:tc>
        <w:tc>
          <w:tcPr>
            <w:tcW w:w="907" w:type="dxa"/>
            <w:shd w:val="clear" w:color="auto" w:fill="auto"/>
          </w:tcPr>
          <w:p w14:paraId="660B2A04" w14:textId="77777777" w:rsidR="00ED2EBD" w:rsidRPr="00BD16B4" w:rsidRDefault="00ED2EBD" w:rsidP="004A205F">
            <w:pPr>
              <w:pStyle w:val="TableText"/>
              <w:spacing w:before="40" w:after="40"/>
              <w:jc w:val="right"/>
              <w:rPr>
                <w:szCs w:val="18"/>
              </w:rPr>
            </w:pPr>
            <w:r w:rsidRPr="00BD16B4">
              <w:rPr>
                <w:szCs w:val="18"/>
              </w:rPr>
              <w:t>0.83</w:t>
            </w:r>
          </w:p>
        </w:tc>
        <w:tc>
          <w:tcPr>
            <w:tcW w:w="907" w:type="dxa"/>
            <w:shd w:val="clear" w:color="auto" w:fill="auto"/>
          </w:tcPr>
          <w:p w14:paraId="5557D9C8" w14:textId="77777777" w:rsidR="00ED2EBD" w:rsidRPr="00BD16B4" w:rsidRDefault="00ED2EBD" w:rsidP="004A205F">
            <w:pPr>
              <w:pStyle w:val="TableText"/>
              <w:spacing w:before="40" w:after="40"/>
              <w:jc w:val="right"/>
              <w:rPr>
                <w:szCs w:val="18"/>
              </w:rPr>
            </w:pPr>
            <w:r w:rsidRPr="00BD16B4">
              <w:rPr>
                <w:szCs w:val="18"/>
              </w:rPr>
              <w:t>0.77</w:t>
            </w:r>
          </w:p>
        </w:tc>
        <w:tc>
          <w:tcPr>
            <w:tcW w:w="907" w:type="dxa"/>
            <w:shd w:val="clear" w:color="auto" w:fill="auto"/>
          </w:tcPr>
          <w:p w14:paraId="264AB0F0" w14:textId="77777777" w:rsidR="00ED2EBD" w:rsidRPr="00BD16B4" w:rsidRDefault="00ED2EBD" w:rsidP="004A205F">
            <w:pPr>
              <w:pStyle w:val="TableText"/>
              <w:spacing w:before="40" w:after="40"/>
              <w:jc w:val="right"/>
              <w:rPr>
                <w:szCs w:val="18"/>
              </w:rPr>
            </w:pPr>
            <w:r w:rsidRPr="00BD16B4">
              <w:rPr>
                <w:szCs w:val="18"/>
              </w:rPr>
              <w:t>0.62</w:t>
            </w:r>
          </w:p>
        </w:tc>
      </w:tr>
      <w:tr w:rsidR="00F70C72" w:rsidRPr="00BD16B4" w14:paraId="472F7997" w14:textId="77777777" w:rsidTr="00F70C72">
        <w:tc>
          <w:tcPr>
            <w:tcW w:w="3856" w:type="dxa"/>
          </w:tcPr>
          <w:p w14:paraId="3D83F0D0" w14:textId="77B7F202" w:rsidR="00ED2EBD" w:rsidRPr="00BD16B4" w:rsidRDefault="00ED2EBD" w:rsidP="004A205F">
            <w:pPr>
              <w:pStyle w:val="TableText"/>
              <w:spacing w:before="40" w:after="40"/>
              <w:ind w:left="454" w:hanging="227"/>
              <w:rPr>
                <w:szCs w:val="18"/>
              </w:rPr>
            </w:pPr>
            <w:r w:rsidRPr="00BD16B4">
              <w:rPr>
                <w:szCs w:val="18"/>
              </w:rPr>
              <w:t>4.</w:t>
            </w:r>
            <w:r w:rsidR="00280979" w:rsidRPr="00BD16B4">
              <w:rPr>
                <w:szCs w:val="18"/>
              </w:rPr>
              <w:t xml:space="preserve"> </w:t>
            </w:r>
            <w:r w:rsidRPr="00BD16B4">
              <w:rPr>
                <w:szCs w:val="18"/>
              </w:rPr>
              <w:t>Other sectors</w:t>
            </w:r>
          </w:p>
        </w:tc>
        <w:tc>
          <w:tcPr>
            <w:tcW w:w="907" w:type="dxa"/>
            <w:shd w:val="clear" w:color="auto" w:fill="auto"/>
          </w:tcPr>
          <w:p w14:paraId="09BA32A2" w14:textId="77777777" w:rsidR="00ED2EBD" w:rsidRPr="00BD16B4" w:rsidRDefault="00ED2EBD" w:rsidP="004A205F">
            <w:pPr>
              <w:pStyle w:val="TableText"/>
              <w:spacing w:before="40" w:after="40"/>
              <w:jc w:val="right"/>
              <w:rPr>
                <w:szCs w:val="18"/>
              </w:rPr>
            </w:pPr>
            <w:r w:rsidRPr="00BD16B4">
              <w:rPr>
                <w:szCs w:val="18"/>
              </w:rPr>
              <w:t>3.35</w:t>
            </w:r>
          </w:p>
        </w:tc>
        <w:tc>
          <w:tcPr>
            <w:tcW w:w="907" w:type="dxa"/>
            <w:shd w:val="clear" w:color="auto" w:fill="auto"/>
          </w:tcPr>
          <w:p w14:paraId="473526E0" w14:textId="77777777" w:rsidR="00ED2EBD" w:rsidRPr="00BD16B4" w:rsidRDefault="00ED2EBD" w:rsidP="004A205F">
            <w:pPr>
              <w:pStyle w:val="TableText"/>
              <w:spacing w:before="40" w:after="40"/>
              <w:jc w:val="right"/>
              <w:rPr>
                <w:szCs w:val="18"/>
              </w:rPr>
            </w:pPr>
            <w:r w:rsidRPr="00BD16B4">
              <w:rPr>
                <w:szCs w:val="18"/>
              </w:rPr>
              <w:t>3.46</w:t>
            </w:r>
          </w:p>
        </w:tc>
        <w:tc>
          <w:tcPr>
            <w:tcW w:w="907" w:type="dxa"/>
            <w:shd w:val="clear" w:color="auto" w:fill="auto"/>
          </w:tcPr>
          <w:p w14:paraId="5D2137CA" w14:textId="77777777" w:rsidR="00ED2EBD" w:rsidRPr="00BD16B4" w:rsidRDefault="00ED2EBD" w:rsidP="004A205F">
            <w:pPr>
              <w:pStyle w:val="TableText"/>
              <w:spacing w:before="40" w:after="40"/>
              <w:jc w:val="right"/>
              <w:rPr>
                <w:szCs w:val="18"/>
              </w:rPr>
            </w:pPr>
            <w:r w:rsidRPr="00BD16B4">
              <w:rPr>
                <w:szCs w:val="18"/>
              </w:rPr>
              <w:t>3.81</w:t>
            </w:r>
          </w:p>
        </w:tc>
        <w:tc>
          <w:tcPr>
            <w:tcW w:w="907" w:type="dxa"/>
            <w:shd w:val="clear" w:color="auto" w:fill="auto"/>
          </w:tcPr>
          <w:p w14:paraId="5E66271C" w14:textId="77777777" w:rsidR="00ED2EBD" w:rsidRPr="00BD16B4" w:rsidRDefault="00ED2EBD" w:rsidP="004A205F">
            <w:pPr>
              <w:pStyle w:val="TableText"/>
              <w:spacing w:before="40" w:after="40"/>
              <w:jc w:val="right"/>
              <w:rPr>
                <w:szCs w:val="18"/>
              </w:rPr>
            </w:pPr>
            <w:r w:rsidRPr="00BD16B4">
              <w:rPr>
                <w:szCs w:val="18"/>
              </w:rPr>
              <w:t>3.69</w:t>
            </w:r>
          </w:p>
        </w:tc>
        <w:tc>
          <w:tcPr>
            <w:tcW w:w="907" w:type="dxa"/>
            <w:shd w:val="clear" w:color="auto" w:fill="auto"/>
          </w:tcPr>
          <w:p w14:paraId="0FF73823" w14:textId="77777777" w:rsidR="00ED2EBD" w:rsidRPr="00BD16B4" w:rsidRDefault="00ED2EBD" w:rsidP="004A205F">
            <w:pPr>
              <w:pStyle w:val="TableText"/>
              <w:spacing w:before="40" w:after="40"/>
              <w:jc w:val="right"/>
              <w:rPr>
                <w:szCs w:val="18"/>
              </w:rPr>
            </w:pPr>
            <w:r w:rsidRPr="00BD16B4">
              <w:rPr>
                <w:szCs w:val="18"/>
              </w:rPr>
              <w:t>3.17</w:t>
            </w:r>
          </w:p>
        </w:tc>
        <w:tc>
          <w:tcPr>
            <w:tcW w:w="907" w:type="dxa"/>
            <w:shd w:val="clear" w:color="auto" w:fill="auto"/>
          </w:tcPr>
          <w:p w14:paraId="1A315DD3" w14:textId="77777777" w:rsidR="00ED2EBD" w:rsidRPr="00BD16B4" w:rsidRDefault="00ED2EBD" w:rsidP="004A205F">
            <w:pPr>
              <w:pStyle w:val="TableText"/>
              <w:spacing w:before="40" w:after="40"/>
              <w:jc w:val="right"/>
              <w:rPr>
                <w:szCs w:val="18"/>
              </w:rPr>
            </w:pPr>
            <w:r w:rsidRPr="00BD16B4">
              <w:rPr>
                <w:szCs w:val="18"/>
              </w:rPr>
              <w:t>3.29</w:t>
            </w:r>
          </w:p>
        </w:tc>
        <w:tc>
          <w:tcPr>
            <w:tcW w:w="907" w:type="dxa"/>
            <w:shd w:val="clear" w:color="auto" w:fill="auto"/>
          </w:tcPr>
          <w:p w14:paraId="72E92996" w14:textId="77777777" w:rsidR="00ED2EBD" w:rsidRPr="00BD16B4" w:rsidRDefault="00ED2EBD" w:rsidP="004A205F">
            <w:pPr>
              <w:pStyle w:val="TableText"/>
              <w:spacing w:before="40" w:after="40"/>
              <w:jc w:val="right"/>
              <w:rPr>
                <w:szCs w:val="18"/>
              </w:rPr>
            </w:pPr>
            <w:r w:rsidRPr="00BD16B4">
              <w:rPr>
                <w:szCs w:val="18"/>
              </w:rPr>
              <w:t>3.00</w:t>
            </w:r>
          </w:p>
        </w:tc>
        <w:tc>
          <w:tcPr>
            <w:tcW w:w="907" w:type="dxa"/>
            <w:shd w:val="clear" w:color="auto" w:fill="auto"/>
          </w:tcPr>
          <w:p w14:paraId="75ED59B3" w14:textId="77777777" w:rsidR="00ED2EBD" w:rsidRPr="00BD16B4" w:rsidRDefault="00ED2EBD" w:rsidP="004A205F">
            <w:pPr>
              <w:pStyle w:val="TableText"/>
              <w:spacing w:before="40" w:after="40"/>
              <w:jc w:val="right"/>
              <w:rPr>
                <w:szCs w:val="18"/>
              </w:rPr>
            </w:pPr>
            <w:r w:rsidRPr="00BD16B4">
              <w:rPr>
                <w:szCs w:val="18"/>
              </w:rPr>
              <w:t>3.39</w:t>
            </w:r>
          </w:p>
        </w:tc>
        <w:tc>
          <w:tcPr>
            <w:tcW w:w="907" w:type="dxa"/>
            <w:shd w:val="clear" w:color="auto" w:fill="auto"/>
          </w:tcPr>
          <w:p w14:paraId="2D970BC2" w14:textId="77777777" w:rsidR="00ED2EBD" w:rsidRPr="00BD16B4" w:rsidRDefault="00ED2EBD" w:rsidP="004A205F">
            <w:pPr>
              <w:pStyle w:val="TableText"/>
              <w:spacing w:before="40" w:after="40"/>
              <w:jc w:val="right"/>
              <w:rPr>
                <w:szCs w:val="18"/>
              </w:rPr>
            </w:pPr>
            <w:r w:rsidRPr="00BD16B4">
              <w:rPr>
                <w:szCs w:val="18"/>
              </w:rPr>
              <w:t>3.20</w:t>
            </w:r>
          </w:p>
        </w:tc>
        <w:tc>
          <w:tcPr>
            <w:tcW w:w="907" w:type="dxa"/>
            <w:shd w:val="clear" w:color="auto" w:fill="auto"/>
          </w:tcPr>
          <w:p w14:paraId="16AAE254" w14:textId="77777777" w:rsidR="00ED2EBD" w:rsidRPr="00BD16B4" w:rsidRDefault="00ED2EBD" w:rsidP="004A205F">
            <w:pPr>
              <w:pStyle w:val="TableText"/>
              <w:spacing w:before="40" w:after="40"/>
              <w:jc w:val="right"/>
              <w:rPr>
                <w:szCs w:val="18"/>
              </w:rPr>
            </w:pPr>
            <w:r w:rsidRPr="00BD16B4">
              <w:rPr>
                <w:szCs w:val="18"/>
              </w:rPr>
              <w:t>3.26</w:t>
            </w:r>
          </w:p>
        </w:tc>
        <w:tc>
          <w:tcPr>
            <w:tcW w:w="907" w:type="dxa"/>
            <w:shd w:val="clear" w:color="auto" w:fill="auto"/>
          </w:tcPr>
          <w:p w14:paraId="34B9639E" w14:textId="77777777" w:rsidR="00ED2EBD" w:rsidRPr="00BD16B4" w:rsidRDefault="00ED2EBD" w:rsidP="004A205F">
            <w:pPr>
              <w:pStyle w:val="TableText"/>
              <w:spacing w:before="40" w:after="40"/>
              <w:jc w:val="right"/>
              <w:rPr>
                <w:szCs w:val="18"/>
              </w:rPr>
            </w:pPr>
            <w:r w:rsidRPr="00BD16B4">
              <w:rPr>
                <w:szCs w:val="18"/>
              </w:rPr>
              <w:t>3.19</w:t>
            </w:r>
          </w:p>
        </w:tc>
      </w:tr>
      <w:tr w:rsidR="00F70C72" w:rsidRPr="00BD16B4" w14:paraId="4B889033" w14:textId="77777777" w:rsidTr="00F70C72">
        <w:tc>
          <w:tcPr>
            <w:tcW w:w="3856" w:type="dxa"/>
          </w:tcPr>
          <w:p w14:paraId="035883DB" w14:textId="420569FC" w:rsidR="00ED2EBD" w:rsidRPr="00BD16B4" w:rsidRDefault="00ED2EBD" w:rsidP="004A205F">
            <w:pPr>
              <w:pStyle w:val="TableText"/>
              <w:spacing w:before="40" w:after="40"/>
              <w:ind w:left="454" w:hanging="227"/>
              <w:rPr>
                <w:szCs w:val="18"/>
              </w:rPr>
            </w:pPr>
            <w:r w:rsidRPr="00BD16B4">
              <w:rPr>
                <w:szCs w:val="18"/>
              </w:rPr>
              <w:t>5.</w:t>
            </w:r>
            <w:r w:rsidR="00280979" w:rsidRPr="00BD16B4">
              <w:rPr>
                <w:szCs w:val="18"/>
              </w:rPr>
              <w:t xml:space="preserve"> </w:t>
            </w:r>
            <w:r w:rsidRPr="00BD16B4">
              <w:rPr>
                <w:szCs w:val="18"/>
              </w:rPr>
              <w:t>Other</w:t>
            </w:r>
          </w:p>
        </w:tc>
        <w:tc>
          <w:tcPr>
            <w:tcW w:w="907" w:type="dxa"/>
            <w:shd w:val="clear" w:color="auto" w:fill="auto"/>
          </w:tcPr>
          <w:p w14:paraId="75C70E8B"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7085EE38"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5D10C0C5"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66C02B18"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75421646"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035D847A"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35AFF857"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3AD6E80A"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61909794"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031401B4"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31921050" w14:textId="77777777" w:rsidR="00ED2EBD" w:rsidRPr="00BD16B4" w:rsidRDefault="00ED2EBD" w:rsidP="004A205F">
            <w:pPr>
              <w:pStyle w:val="TableText"/>
              <w:spacing w:before="40" w:after="40"/>
              <w:jc w:val="right"/>
              <w:rPr>
                <w:szCs w:val="18"/>
              </w:rPr>
            </w:pPr>
            <w:r w:rsidRPr="00BD16B4">
              <w:rPr>
                <w:szCs w:val="18"/>
              </w:rPr>
              <w:t>NO</w:t>
            </w:r>
          </w:p>
        </w:tc>
      </w:tr>
      <w:tr w:rsidR="00F70C72" w:rsidRPr="00BD16B4" w14:paraId="03360DEF" w14:textId="77777777" w:rsidTr="00F70C72">
        <w:tc>
          <w:tcPr>
            <w:tcW w:w="3856" w:type="dxa"/>
          </w:tcPr>
          <w:p w14:paraId="5110DBC7" w14:textId="77777777" w:rsidR="00ED2EBD" w:rsidRPr="00BD16B4" w:rsidRDefault="00ED2EBD" w:rsidP="004A205F">
            <w:pPr>
              <w:pStyle w:val="TableText"/>
              <w:spacing w:before="40" w:after="40"/>
              <w:rPr>
                <w:szCs w:val="18"/>
              </w:rPr>
            </w:pPr>
            <w:r w:rsidRPr="00BD16B4">
              <w:rPr>
                <w:szCs w:val="18"/>
              </w:rPr>
              <w:t>B. Fugitive emissions from fuels</w:t>
            </w:r>
          </w:p>
        </w:tc>
        <w:tc>
          <w:tcPr>
            <w:tcW w:w="907" w:type="dxa"/>
            <w:shd w:val="clear" w:color="auto" w:fill="auto"/>
          </w:tcPr>
          <w:p w14:paraId="0ECC46AD" w14:textId="77777777" w:rsidR="00ED2EBD" w:rsidRPr="00BD16B4" w:rsidRDefault="00ED2EBD" w:rsidP="004A205F">
            <w:pPr>
              <w:pStyle w:val="TableText"/>
              <w:spacing w:before="40" w:after="40"/>
              <w:jc w:val="right"/>
              <w:rPr>
                <w:szCs w:val="18"/>
              </w:rPr>
            </w:pPr>
            <w:r w:rsidRPr="00BD16B4">
              <w:rPr>
                <w:szCs w:val="18"/>
              </w:rPr>
              <w:t>55.16</w:t>
            </w:r>
          </w:p>
        </w:tc>
        <w:tc>
          <w:tcPr>
            <w:tcW w:w="907" w:type="dxa"/>
            <w:shd w:val="clear" w:color="auto" w:fill="auto"/>
          </w:tcPr>
          <w:p w14:paraId="4DC0051B" w14:textId="77777777" w:rsidR="00ED2EBD" w:rsidRPr="00BD16B4" w:rsidRDefault="00ED2EBD" w:rsidP="004A205F">
            <w:pPr>
              <w:pStyle w:val="TableText"/>
              <w:spacing w:before="40" w:after="40"/>
              <w:jc w:val="right"/>
              <w:rPr>
                <w:szCs w:val="18"/>
              </w:rPr>
            </w:pPr>
            <w:r w:rsidRPr="00BD16B4">
              <w:rPr>
                <w:szCs w:val="18"/>
              </w:rPr>
              <w:t>51.30</w:t>
            </w:r>
          </w:p>
        </w:tc>
        <w:tc>
          <w:tcPr>
            <w:tcW w:w="907" w:type="dxa"/>
            <w:shd w:val="clear" w:color="auto" w:fill="auto"/>
          </w:tcPr>
          <w:p w14:paraId="5A90C7BB" w14:textId="77777777" w:rsidR="00ED2EBD" w:rsidRPr="00BD16B4" w:rsidRDefault="00ED2EBD" w:rsidP="004A205F">
            <w:pPr>
              <w:pStyle w:val="TableText"/>
              <w:spacing w:before="40" w:after="40"/>
              <w:jc w:val="right"/>
              <w:rPr>
                <w:szCs w:val="18"/>
              </w:rPr>
            </w:pPr>
            <w:r w:rsidRPr="00BD16B4">
              <w:rPr>
                <w:szCs w:val="18"/>
              </w:rPr>
              <w:t>38.91</w:t>
            </w:r>
          </w:p>
        </w:tc>
        <w:tc>
          <w:tcPr>
            <w:tcW w:w="907" w:type="dxa"/>
            <w:shd w:val="clear" w:color="auto" w:fill="auto"/>
          </w:tcPr>
          <w:p w14:paraId="7F4B327D" w14:textId="77777777" w:rsidR="00ED2EBD" w:rsidRPr="00BD16B4" w:rsidRDefault="00ED2EBD" w:rsidP="004A205F">
            <w:pPr>
              <w:pStyle w:val="TableText"/>
              <w:spacing w:before="40" w:after="40"/>
              <w:jc w:val="right"/>
              <w:rPr>
                <w:szCs w:val="18"/>
              </w:rPr>
            </w:pPr>
            <w:r w:rsidRPr="00BD16B4">
              <w:rPr>
                <w:szCs w:val="18"/>
              </w:rPr>
              <w:t>31.67</w:t>
            </w:r>
          </w:p>
        </w:tc>
        <w:tc>
          <w:tcPr>
            <w:tcW w:w="907" w:type="dxa"/>
            <w:shd w:val="clear" w:color="auto" w:fill="auto"/>
          </w:tcPr>
          <w:p w14:paraId="02DCD249" w14:textId="77777777" w:rsidR="00ED2EBD" w:rsidRPr="00BD16B4" w:rsidRDefault="00ED2EBD" w:rsidP="004A205F">
            <w:pPr>
              <w:pStyle w:val="TableText"/>
              <w:spacing w:before="40" w:after="40"/>
              <w:jc w:val="right"/>
              <w:rPr>
                <w:szCs w:val="18"/>
              </w:rPr>
            </w:pPr>
            <w:r w:rsidRPr="00BD16B4">
              <w:rPr>
                <w:szCs w:val="18"/>
              </w:rPr>
              <w:t>31.95</w:t>
            </w:r>
          </w:p>
        </w:tc>
        <w:tc>
          <w:tcPr>
            <w:tcW w:w="907" w:type="dxa"/>
            <w:shd w:val="clear" w:color="auto" w:fill="auto"/>
          </w:tcPr>
          <w:p w14:paraId="6C7BEB25" w14:textId="77777777" w:rsidR="00ED2EBD" w:rsidRPr="00BD16B4" w:rsidRDefault="00ED2EBD" w:rsidP="004A205F">
            <w:pPr>
              <w:pStyle w:val="TableText"/>
              <w:spacing w:before="40" w:after="40"/>
              <w:jc w:val="right"/>
              <w:rPr>
                <w:szCs w:val="18"/>
              </w:rPr>
            </w:pPr>
            <w:r w:rsidRPr="00BD16B4">
              <w:rPr>
                <w:szCs w:val="18"/>
              </w:rPr>
              <w:t>33.34</w:t>
            </w:r>
          </w:p>
        </w:tc>
        <w:tc>
          <w:tcPr>
            <w:tcW w:w="907" w:type="dxa"/>
            <w:shd w:val="clear" w:color="auto" w:fill="auto"/>
          </w:tcPr>
          <w:p w14:paraId="68F8E639" w14:textId="77777777" w:rsidR="00ED2EBD" w:rsidRPr="00BD16B4" w:rsidRDefault="00ED2EBD" w:rsidP="004A205F">
            <w:pPr>
              <w:pStyle w:val="TableText"/>
              <w:spacing w:before="40" w:after="40"/>
              <w:jc w:val="right"/>
              <w:rPr>
                <w:szCs w:val="18"/>
              </w:rPr>
            </w:pPr>
            <w:r w:rsidRPr="00BD16B4">
              <w:rPr>
                <w:szCs w:val="18"/>
              </w:rPr>
              <w:t>30.21</w:t>
            </w:r>
          </w:p>
        </w:tc>
        <w:tc>
          <w:tcPr>
            <w:tcW w:w="907" w:type="dxa"/>
            <w:shd w:val="clear" w:color="auto" w:fill="auto"/>
          </w:tcPr>
          <w:p w14:paraId="2FA50C53" w14:textId="77777777" w:rsidR="00ED2EBD" w:rsidRPr="00BD16B4" w:rsidRDefault="00ED2EBD" w:rsidP="004A205F">
            <w:pPr>
              <w:pStyle w:val="TableText"/>
              <w:spacing w:before="40" w:after="40"/>
              <w:jc w:val="right"/>
              <w:rPr>
                <w:szCs w:val="18"/>
              </w:rPr>
            </w:pPr>
            <w:r w:rsidRPr="00BD16B4">
              <w:rPr>
                <w:szCs w:val="18"/>
              </w:rPr>
              <w:t>25.98</w:t>
            </w:r>
          </w:p>
        </w:tc>
        <w:tc>
          <w:tcPr>
            <w:tcW w:w="907" w:type="dxa"/>
            <w:shd w:val="clear" w:color="auto" w:fill="auto"/>
          </w:tcPr>
          <w:p w14:paraId="69D68A0A" w14:textId="77777777" w:rsidR="00ED2EBD" w:rsidRPr="00BD16B4" w:rsidRDefault="00ED2EBD" w:rsidP="004A205F">
            <w:pPr>
              <w:pStyle w:val="TableText"/>
              <w:spacing w:before="40" w:after="40"/>
              <w:jc w:val="right"/>
              <w:rPr>
                <w:szCs w:val="18"/>
              </w:rPr>
            </w:pPr>
            <w:r w:rsidRPr="00BD16B4">
              <w:rPr>
                <w:szCs w:val="18"/>
              </w:rPr>
              <w:t>25.18</w:t>
            </w:r>
          </w:p>
        </w:tc>
        <w:tc>
          <w:tcPr>
            <w:tcW w:w="907" w:type="dxa"/>
            <w:shd w:val="clear" w:color="auto" w:fill="auto"/>
          </w:tcPr>
          <w:p w14:paraId="667AA32F" w14:textId="77777777" w:rsidR="00ED2EBD" w:rsidRPr="00BD16B4" w:rsidRDefault="00ED2EBD" w:rsidP="004A205F">
            <w:pPr>
              <w:pStyle w:val="TableText"/>
              <w:spacing w:before="40" w:after="40"/>
              <w:jc w:val="right"/>
              <w:rPr>
                <w:szCs w:val="18"/>
              </w:rPr>
            </w:pPr>
            <w:r w:rsidRPr="00BD16B4">
              <w:rPr>
                <w:szCs w:val="18"/>
              </w:rPr>
              <w:t>24.10</w:t>
            </w:r>
          </w:p>
        </w:tc>
        <w:tc>
          <w:tcPr>
            <w:tcW w:w="907" w:type="dxa"/>
            <w:shd w:val="clear" w:color="auto" w:fill="auto"/>
          </w:tcPr>
          <w:p w14:paraId="09D31E17" w14:textId="77777777" w:rsidR="00ED2EBD" w:rsidRPr="00BD16B4" w:rsidRDefault="00ED2EBD" w:rsidP="004A205F">
            <w:pPr>
              <w:pStyle w:val="TableText"/>
              <w:spacing w:before="40" w:after="40"/>
              <w:jc w:val="right"/>
              <w:rPr>
                <w:szCs w:val="18"/>
              </w:rPr>
            </w:pPr>
            <w:r w:rsidRPr="00BD16B4">
              <w:rPr>
                <w:szCs w:val="18"/>
              </w:rPr>
              <w:t>22.67</w:t>
            </w:r>
          </w:p>
        </w:tc>
      </w:tr>
      <w:tr w:rsidR="00F70C72" w:rsidRPr="00BD16B4" w14:paraId="317767B6" w14:textId="77777777" w:rsidTr="00F70C72">
        <w:tc>
          <w:tcPr>
            <w:tcW w:w="3856" w:type="dxa"/>
          </w:tcPr>
          <w:p w14:paraId="4BC1386E" w14:textId="40115922" w:rsidR="00ED2EBD" w:rsidRPr="00BD16B4" w:rsidRDefault="00ED2EBD" w:rsidP="004A205F">
            <w:pPr>
              <w:pStyle w:val="TableText"/>
              <w:spacing w:before="40" w:after="40"/>
              <w:ind w:left="454" w:hanging="227"/>
              <w:rPr>
                <w:szCs w:val="18"/>
              </w:rPr>
            </w:pPr>
            <w:r w:rsidRPr="00BD16B4">
              <w:rPr>
                <w:szCs w:val="18"/>
              </w:rPr>
              <w:t>1.</w:t>
            </w:r>
            <w:r w:rsidR="00280979" w:rsidRPr="00BD16B4">
              <w:rPr>
                <w:szCs w:val="18"/>
              </w:rPr>
              <w:t xml:space="preserve"> </w:t>
            </w:r>
            <w:r w:rsidR="00326446" w:rsidRPr="00BD16B4">
              <w:rPr>
                <w:szCs w:val="18"/>
              </w:rPr>
              <w:tab/>
            </w:r>
            <w:r w:rsidRPr="00BD16B4">
              <w:rPr>
                <w:szCs w:val="18"/>
              </w:rPr>
              <w:t>Solid fuels</w:t>
            </w:r>
          </w:p>
        </w:tc>
        <w:tc>
          <w:tcPr>
            <w:tcW w:w="907" w:type="dxa"/>
            <w:shd w:val="clear" w:color="auto" w:fill="auto"/>
          </w:tcPr>
          <w:p w14:paraId="4E9EAD0D" w14:textId="77777777" w:rsidR="00ED2EBD" w:rsidRPr="00BD16B4" w:rsidRDefault="00ED2EBD" w:rsidP="004A205F">
            <w:pPr>
              <w:pStyle w:val="TableText"/>
              <w:spacing w:before="40" w:after="40"/>
              <w:jc w:val="right"/>
              <w:rPr>
                <w:szCs w:val="18"/>
              </w:rPr>
            </w:pPr>
            <w:r w:rsidRPr="00BD16B4">
              <w:rPr>
                <w:szCs w:val="18"/>
              </w:rPr>
              <w:t>23.65</w:t>
            </w:r>
          </w:p>
        </w:tc>
        <w:tc>
          <w:tcPr>
            <w:tcW w:w="907" w:type="dxa"/>
            <w:shd w:val="clear" w:color="auto" w:fill="auto"/>
          </w:tcPr>
          <w:p w14:paraId="3861BB71" w14:textId="77777777" w:rsidR="00ED2EBD" w:rsidRPr="00BD16B4" w:rsidRDefault="00ED2EBD" w:rsidP="004A205F">
            <w:pPr>
              <w:pStyle w:val="TableText"/>
              <w:spacing w:before="40" w:after="40"/>
              <w:jc w:val="right"/>
              <w:rPr>
                <w:szCs w:val="18"/>
              </w:rPr>
            </w:pPr>
            <w:r w:rsidRPr="00BD16B4">
              <w:rPr>
                <w:szCs w:val="18"/>
              </w:rPr>
              <w:t>16.52</w:t>
            </w:r>
          </w:p>
        </w:tc>
        <w:tc>
          <w:tcPr>
            <w:tcW w:w="907" w:type="dxa"/>
            <w:shd w:val="clear" w:color="auto" w:fill="auto"/>
          </w:tcPr>
          <w:p w14:paraId="1860B139" w14:textId="77777777" w:rsidR="00ED2EBD" w:rsidRPr="00BD16B4" w:rsidRDefault="00ED2EBD" w:rsidP="004A205F">
            <w:pPr>
              <w:pStyle w:val="TableText"/>
              <w:spacing w:before="40" w:after="40"/>
              <w:jc w:val="right"/>
              <w:rPr>
                <w:szCs w:val="18"/>
              </w:rPr>
            </w:pPr>
            <w:r w:rsidRPr="00BD16B4">
              <w:rPr>
                <w:szCs w:val="18"/>
              </w:rPr>
              <w:t>11.52</w:t>
            </w:r>
          </w:p>
        </w:tc>
        <w:tc>
          <w:tcPr>
            <w:tcW w:w="907" w:type="dxa"/>
            <w:shd w:val="clear" w:color="auto" w:fill="auto"/>
          </w:tcPr>
          <w:p w14:paraId="507BA302" w14:textId="77777777" w:rsidR="00ED2EBD" w:rsidRPr="00BD16B4" w:rsidRDefault="00ED2EBD" w:rsidP="004A205F">
            <w:pPr>
              <w:pStyle w:val="TableText"/>
              <w:spacing w:before="40" w:after="40"/>
              <w:jc w:val="right"/>
              <w:rPr>
                <w:szCs w:val="18"/>
              </w:rPr>
            </w:pPr>
            <w:r w:rsidRPr="00BD16B4">
              <w:rPr>
                <w:szCs w:val="18"/>
              </w:rPr>
              <w:t>10.83</w:t>
            </w:r>
          </w:p>
        </w:tc>
        <w:tc>
          <w:tcPr>
            <w:tcW w:w="907" w:type="dxa"/>
            <w:shd w:val="clear" w:color="auto" w:fill="auto"/>
          </w:tcPr>
          <w:p w14:paraId="3229729F" w14:textId="77777777" w:rsidR="00ED2EBD" w:rsidRPr="00BD16B4" w:rsidRDefault="00ED2EBD" w:rsidP="004A205F">
            <w:pPr>
              <w:pStyle w:val="TableText"/>
              <w:spacing w:before="40" w:after="40"/>
              <w:jc w:val="right"/>
              <w:rPr>
                <w:szCs w:val="18"/>
              </w:rPr>
            </w:pPr>
            <w:r w:rsidRPr="00BD16B4">
              <w:rPr>
                <w:szCs w:val="18"/>
              </w:rPr>
              <w:t>9.01</w:t>
            </w:r>
          </w:p>
        </w:tc>
        <w:tc>
          <w:tcPr>
            <w:tcW w:w="907" w:type="dxa"/>
            <w:shd w:val="clear" w:color="auto" w:fill="auto"/>
          </w:tcPr>
          <w:p w14:paraId="7B1F1101" w14:textId="77777777" w:rsidR="00ED2EBD" w:rsidRPr="00BD16B4" w:rsidRDefault="00ED2EBD" w:rsidP="004A205F">
            <w:pPr>
              <w:pStyle w:val="TableText"/>
              <w:spacing w:before="40" w:after="40"/>
              <w:jc w:val="right"/>
              <w:rPr>
                <w:szCs w:val="18"/>
              </w:rPr>
            </w:pPr>
            <w:r w:rsidRPr="00BD16B4">
              <w:rPr>
                <w:szCs w:val="18"/>
              </w:rPr>
              <w:t>7.61</w:t>
            </w:r>
          </w:p>
        </w:tc>
        <w:tc>
          <w:tcPr>
            <w:tcW w:w="907" w:type="dxa"/>
            <w:shd w:val="clear" w:color="auto" w:fill="auto"/>
          </w:tcPr>
          <w:p w14:paraId="71DC4BFF" w14:textId="77777777" w:rsidR="00ED2EBD" w:rsidRPr="00BD16B4" w:rsidRDefault="00ED2EBD" w:rsidP="004A205F">
            <w:pPr>
              <w:pStyle w:val="TableText"/>
              <w:spacing w:before="40" w:after="40"/>
              <w:jc w:val="right"/>
              <w:rPr>
                <w:szCs w:val="18"/>
              </w:rPr>
            </w:pPr>
            <w:r w:rsidRPr="00BD16B4">
              <w:rPr>
                <w:szCs w:val="18"/>
              </w:rPr>
              <w:t>6.96</w:t>
            </w:r>
          </w:p>
        </w:tc>
        <w:tc>
          <w:tcPr>
            <w:tcW w:w="907" w:type="dxa"/>
            <w:shd w:val="clear" w:color="auto" w:fill="auto"/>
          </w:tcPr>
          <w:p w14:paraId="2B5C6090" w14:textId="77777777" w:rsidR="00ED2EBD" w:rsidRPr="00BD16B4" w:rsidRDefault="00ED2EBD" w:rsidP="004A205F">
            <w:pPr>
              <w:pStyle w:val="TableText"/>
              <w:spacing w:before="40" w:after="40"/>
              <w:jc w:val="right"/>
              <w:rPr>
                <w:szCs w:val="18"/>
              </w:rPr>
            </w:pPr>
            <w:r w:rsidRPr="00BD16B4">
              <w:rPr>
                <w:szCs w:val="18"/>
              </w:rPr>
              <w:t>2.54</w:t>
            </w:r>
          </w:p>
        </w:tc>
        <w:tc>
          <w:tcPr>
            <w:tcW w:w="907" w:type="dxa"/>
            <w:shd w:val="clear" w:color="auto" w:fill="auto"/>
          </w:tcPr>
          <w:p w14:paraId="11F12F95" w14:textId="77777777" w:rsidR="00ED2EBD" w:rsidRPr="00BD16B4" w:rsidRDefault="00ED2EBD" w:rsidP="004A205F">
            <w:pPr>
              <w:pStyle w:val="TableText"/>
              <w:spacing w:before="40" w:after="40"/>
              <w:jc w:val="right"/>
              <w:rPr>
                <w:szCs w:val="18"/>
              </w:rPr>
            </w:pPr>
            <w:r w:rsidRPr="00BD16B4">
              <w:rPr>
                <w:szCs w:val="18"/>
              </w:rPr>
              <w:t>2.81</w:t>
            </w:r>
          </w:p>
        </w:tc>
        <w:tc>
          <w:tcPr>
            <w:tcW w:w="907" w:type="dxa"/>
            <w:shd w:val="clear" w:color="auto" w:fill="auto"/>
          </w:tcPr>
          <w:p w14:paraId="6CBB349A" w14:textId="77777777" w:rsidR="00ED2EBD" w:rsidRPr="00BD16B4" w:rsidRDefault="00ED2EBD" w:rsidP="004A205F">
            <w:pPr>
              <w:pStyle w:val="TableText"/>
              <w:spacing w:before="40" w:after="40"/>
              <w:jc w:val="right"/>
              <w:rPr>
                <w:szCs w:val="18"/>
              </w:rPr>
            </w:pPr>
            <w:r w:rsidRPr="00BD16B4">
              <w:rPr>
                <w:szCs w:val="18"/>
              </w:rPr>
              <w:t>2.64</w:t>
            </w:r>
          </w:p>
        </w:tc>
        <w:tc>
          <w:tcPr>
            <w:tcW w:w="907" w:type="dxa"/>
            <w:shd w:val="clear" w:color="auto" w:fill="auto"/>
          </w:tcPr>
          <w:p w14:paraId="64DDF11A" w14:textId="77777777" w:rsidR="00ED2EBD" w:rsidRPr="00BD16B4" w:rsidRDefault="00ED2EBD" w:rsidP="004A205F">
            <w:pPr>
              <w:pStyle w:val="TableText"/>
              <w:spacing w:before="40" w:after="40"/>
              <w:jc w:val="right"/>
              <w:rPr>
                <w:szCs w:val="18"/>
              </w:rPr>
            </w:pPr>
            <w:r w:rsidRPr="00BD16B4">
              <w:rPr>
                <w:szCs w:val="18"/>
              </w:rPr>
              <w:t>2.46</w:t>
            </w:r>
          </w:p>
        </w:tc>
      </w:tr>
      <w:tr w:rsidR="00F70C72" w:rsidRPr="00BD16B4" w14:paraId="35ABE16F" w14:textId="77777777" w:rsidTr="00F70C72">
        <w:tc>
          <w:tcPr>
            <w:tcW w:w="3856" w:type="dxa"/>
          </w:tcPr>
          <w:p w14:paraId="4CD26EDC" w14:textId="6347443A" w:rsidR="00ED2EBD" w:rsidRPr="00BD16B4" w:rsidRDefault="00ED2EBD" w:rsidP="004A205F">
            <w:pPr>
              <w:pStyle w:val="TableText"/>
              <w:spacing w:before="40" w:after="40"/>
              <w:ind w:left="454" w:hanging="227"/>
              <w:rPr>
                <w:szCs w:val="18"/>
              </w:rPr>
            </w:pPr>
            <w:r w:rsidRPr="00BD16B4">
              <w:rPr>
                <w:szCs w:val="18"/>
              </w:rPr>
              <w:t>2.</w:t>
            </w:r>
            <w:r w:rsidR="00280979" w:rsidRPr="00BD16B4">
              <w:rPr>
                <w:szCs w:val="18"/>
              </w:rPr>
              <w:t xml:space="preserve"> </w:t>
            </w:r>
            <w:r w:rsidR="00326446" w:rsidRPr="00BD16B4">
              <w:rPr>
                <w:szCs w:val="18"/>
              </w:rPr>
              <w:tab/>
            </w:r>
            <w:r w:rsidRPr="00BD16B4">
              <w:rPr>
                <w:szCs w:val="18"/>
              </w:rPr>
              <w:t>Oil and natural gas and other emissions from energy production</w:t>
            </w:r>
          </w:p>
        </w:tc>
        <w:tc>
          <w:tcPr>
            <w:tcW w:w="907" w:type="dxa"/>
            <w:tcBorders>
              <w:bottom w:val="single" w:sz="4" w:space="0" w:color="1B556B" w:themeColor="text2"/>
            </w:tcBorders>
            <w:shd w:val="clear" w:color="auto" w:fill="auto"/>
          </w:tcPr>
          <w:p w14:paraId="3FF3BB2C" w14:textId="77777777" w:rsidR="00ED2EBD" w:rsidRPr="00BD16B4" w:rsidRDefault="00ED2EBD" w:rsidP="004A205F">
            <w:pPr>
              <w:pStyle w:val="TableText"/>
              <w:spacing w:before="40" w:after="40"/>
              <w:jc w:val="right"/>
              <w:rPr>
                <w:szCs w:val="18"/>
              </w:rPr>
            </w:pPr>
            <w:r w:rsidRPr="00BD16B4">
              <w:rPr>
                <w:szCs w:val="18"/>
              </w:rPr>
              <w:t>31.51</w:t>
            </w:r>
          </w:p>
        </w:tc>
        <w:tc>
          <w:tcPr>
            <w:tcW w:w="907" w:type="dxa"/>
            <w:tcBorders>
              <w:bottom w:val="single" w:sz="4" w:space="0" w:color="1B556B" w:themeColor="text2"/>
            </w:tcBorders>
            <w:shd w:val="clear" w:color="auto" w:fill="auto"/>
          </w:tcPr>
          <w:p w14:paraId="04606B3E" w14:textId="77777777" w:rsidR="00ED2EBD" w:rsidRPr="00BD16B4" w:rsidRDefault="00ED2EBD" w:rsidP="004A205F">
            <w:pPr>
              <w:pStyle w:val="TableText"/>
              <w:spacing w:before="40" w:after="40"/>
              <w:jc w:val="right"/>
              <w:rPr>
                <w:szCs w:val="18"/>
              </w:rPr>
            </w:pPr>
            <w:r w:rsidRPr="00BD16B4">
              <w:rPr>
                <w:szCs w:val="18"/>
              </w:rPr>
              <w:t>34.78</w:t>
            </w:r>
          </w:p>
        </w:tc>
        <w:tc>
          <w:tcPr>
            <w:tcW w:w="907" w:type="dxa"/>
            <w:tcBorders>
              <w:bottom w:val="single" w:sz="4" w:space="0" w:color="1B556B" w:themeColor="text2"/>
            </w:tcBorders>
            <w:shd w:val="clear" w:color="auto" w:fill="auto"/>
          </w:tcPr>
          <w:p w14:paraId="01FEDE5A" w14:textId="77777777" w:rsidR="00ED2EBD" w:rsidRPr="00BD16B4" w:rsidRDefault="00ED2EBD" w:rsidP="004A205F">
            <w:pPr>
              <w:pStyle w:val="TableText"/>
              <w:spacing w:before="40" w:after="40"/>
              <w:jc w:val="right"/>
              <w:rPr>
                <w:szCs w:val="18"/>
              </w:rPr>
            </w:pPr>
            <w:r w:rsidRPr="00BD16B4">
              <w:rPr>
                <w:szCs w:val="18"/>
              </w:rPr>
              <w:t>27.39</w:t>
            </w:r>
          </w:p>
        </w:tc>
        <w:tc>
          <w:tcPr>
            <w:tcW w:w="907" w:type="dxa"/>
            <w:tcBorders>
              <w:bottom w:val="single" w:sz="4" w:space="0" w:color="1B556B" w:themeColor="text2"/>
            </w:tcBorders>
            <w:shd w:val="clear" w:color="auto" w:fill="auto"/>
          </w:tcPr>
          <w:p w14:paraId="29A4D858" w14:textId="77777777" w:rsidR="00ED2EBD" w:rsidRPr="00BD16B4" w:rsidRDefault="00ED2EBD" w:rsidP="004A205F">
            <w:pPr>
              <w:pStyle w:val="TableText"/>
              <w:spacing w:before="40" w:after="40"/>
              <w:jc w:val="right"/>
              <w:rPr>
                <w:szCs w:val="18"/>
              </w:rPr>
            </w:pPr>
            <w:r w:rsidRPr="00BD16B4">
              <w:rPr>
                <w:szCs w:val="18"/>
              </w:rPr>
              <w:t>20.84</w:t>
            </w:r>
          </w:p>
        </w:tc>
        <w:tc>
          <w:tcPr>
            <w:tcW w:w="907" w:type="dxa"/>
            <w:tcBorders>
              <w:bottom w:val="single" w:sz="4" w:space="0" w:color="1B556B" w:themeColor="text2"/>
            </w:tcBorders>
            <w:shd w:val="clear" w:color="auto" w:fill="auto"/>
          </w:tcPr>
          <w:p w14:paraId="340C83E9" w14:textId="77777777" w:rsidR="00ED2EBD" w:rsidRPr="00BD16B4" w:rsidRDefault="00ED2EBD" w:rsidP="004A205F">
            <w:pPr>
              <w:pStyle w:val="TableText"/>
              <w:spacing w:before="40" w:after="40"/>
              <w:jc w:val="right"/>
              <w:rPr>
                <w:szCs w:val="18"/>
              </w:rPr>
            </w:pPr>
            <w:r w:rsidRPr="00BD16B4">
              <w:rPr>
                <w:szCs w:val="18"/>
              </w:rPr>
              <w:t>22.94</w:t>
            </w:r>
          </w:p>
        </w:tc>
        <w:tc>
          <w:tcPr>
            <w:tcW w:w="907" w:type="dxa"/>
            <w:tcBorders>
              <w:bottom w:val="single" w:sz="4" w:space="0" w:color="1B556B" w:themeColor="text2"/>
            </w:tcBorders>
            <w:shd w:val="clear" w:color="auto" w:fill="auto"/>
          </w:tcPr>
          <w:p w14:paraId="5F2D4740" w14:textId="77777777" w:rsidR="00ED2EBD" w:rsidRPr="00BD16B4" w:rsidRDefault="00ED2EBD" w:rsidP="004A205F">
            <w:pPr>
              <w:pStyle w:val="TableText"/>
              <w:spacing w:before="40" w:after="40"/>
              <w:jc w:val="right"/>
              <w:rPr>
                <w:szCs w:val="18"/>
              </w:rPr>
            </w:pPr>
            <w:r w:rsidRPr="00BD16B4">
              <w:rPr>
                <w:szCs w:val="18"/>
              </w:rPr>
              <w:t>25.73</w:t>
            </w:r>
          </w:p>
        </w:tc>
        <w:tc>
          <w:tcPr>
            <w:tcW w:w="907" w:type="dxa"/>
            <w:tcBorders>
              <w:bottom w:val="single" w:sz="4" w:space="0" w:color="1B556B" w:themeColor="text2"/>
            </w:tcBorders>
            <w:shd w:val="clear" w:color="auto" w:fill="auto"/>
          </w:tcPr>
          <w:p w14:paraId="671358A2" w14:textId="77777777" w:rsidR="00ED2EBD" w:rsidRPr="00BD16B4" w:rsidRDefault="00ED2EBD" w:rsidP="004A205F">
            <w:pPr>
              <w:pStyle w:val="TableText"/>
              <w:spacing w:before="40" w:after="40"/>
              <w:jc w:val="right"/>
              <w:rPr>
                <w:szCs w:val="18"/>
              </w:rPr>
            </w:pPr>
            <w:r w:rsidRPr="00BD16B4">
              <w:rPr>
                <w:szCs w:val="18"/>
              </w:rPr>
              <w:t>23.25</w:t>
            </w:r>
          </w:p>
        </w:tc>
        <w:tc>
          <w:tcPr>
            <w:tcW w:w="907" w:type="dxa"/>
            <w:tcBorders>
              <w:bottom w:val="single" w:sz="4" w:space="0" w:color="1B556B" w:themeColor="text2"/>
            </w:tcBorders>
            <w:shd w:val="clear" w:color="auto" w:fill="auto"/>
          </w:tcPr>
          <w:p w14:paraId="6C3C3EC0" w14:textId="77777777" w:rsidR="00ED2EBD" w:rsidRPr="00BD16B4" w:rsidRDefault="00ED2EBD" w:rsidP="004A205F">
            <w:pPr>
              <w:pStyle w:val="TableText"/>
              <w:spacing w:before="40" w:after="40"/>
              <w:jc w:val="right"/>
              <w:rPr>
                <w:szCs w:val="18"/>
              </w:rPr>
            </w:pPr>
            <w:r w:rsidRPr="00BD16B4">
              <w:rPr>
                <w:szCs w:val="18"/>
              </w:rPr>
              <w:t>23.44</w:t>
            </w:r>
          </w:p>
        </w:tc>
        <w:tc>
          <w:tcPr>
            <w:tcW w:w="907" w:type="dxa"/>
            <w:tcBorders>
              <w:bottom w:val="single" w:sz="4" w:space="0" w:color="1B556B" w:themeColor="text2"/>
            </w:tcBorders>
            <w:shd w:val="clear" w:color="auto" w:fill="auto"/>
          </w:tcPr>
          <w:p w14:paraId="5E404E46" w14:textId="77777777" w:rsidR="00ED2EBD" w:rsidRPr="00BD16B4" w:rsidRDefault="00ED2EBD" w:rsidP="004A205F">
            <w:pPr>
              <w:pStyle w:val="TableText"/>
              <w:spacing w:before="40" w:after="40"/>
              <w:jc w:val="right"/>
              <w:rPr>
                <w:szCs w:val="18"/>
              </w:rPr>
            </w:pPr>
            <w:r w:rsidRPr="00BD16B4">
              <w:rPr>
                <w:szCs w:val="18"/>
              </w:rPr>
              <w:t>22.37</w:t>
            </w:r>
          </w:p>
        </w:tc>
        <w:tc>
          <w:tcPr>
            <w:tcW w:w="907" w:type="dxa"/>
            <w:tcBorders>
              <w:bottom w:val="single" w:sz="4" w:space="0" w:color="1B556B" w:themeColor="text2"/>
            </w:tcBorders>
            <w:shd w:val="clear" w:color="auto" w:fill="auto"/>
          </w:tcPr>
          <w:p w14:paraId="6407BD74" w14:textId="77777777" w:rsidR="00ED2EBD" w:rsidRPr="00BD16B4" w:rsidRDefault="00ED2EBD" w:rsidP="004A205F">
            <w:pPr>
              <w:pStyle w:val="TableText"/>
              <w:spacing w:before="40" w:after="40"/>
              <w:jc w:val="right"/>
              <w:rPr>
                <w:szCs w:val="18"/>
              </w:rPr>
            </w:pPr>
            <w:r w:rsidRPr="00BD16B4">
              <w:rPr>
                <w:szCs w:val="18"/>
              </w:rPr>
              <w:t>21.46</w:t>
            </w:r>
          </w:p>
        </w:tc>
        <w:tc>
          <w:tcPr>
            <w:tcW w:w="907" w:type="dxa"/>
            <w:tcBorders>
              <w:bottom w:val="single" w:sz="4" w:space="0" w:color="1B556B" w:themeColor="text2"/>
            </w:tcBorders>
            <w:shd w:val="clear" w:color="auto" w:fill="auto"/>
          </w:tcPr>
          <w:p w14:paraId="17FBE5CE" w14:textId="77777777" w:rsidR="00ED2EBD" w:rsidRPr="00BD16B4" w:rsidRDefault="00ED2EBD" w:rsidP="004A205F">
            <w:pPr>
              <w:pStyle w:val="TableText"/>
              <w:spacing w:before="40" w:after="40"/>
              <w:jc w:val="right"/>
              <w:rPr>
                <w:szCs w:val="18"/>
              </w:rPr>
            </w:pPr>
            <w:r w:rsidRPr="00BD16B4">
              <w:rPr>
                <w:szCs w:val="18"/>
              </w:rPr>
              <w:t>20.21</w:t>
            </w:r>
          </w:p>
        </w:tc>
      </w:tr>
      <w:tr w:rsidR="00ED2EBD" w:rsidRPr="00BD16B4" w14:paraId="31D3AD1E" w14:textId="77777777" w:rsidTr="00F70C72">
        <w:tc>
          <w:tcPr>
            <w:tcW w:w="3856" w:type="dxa"/>
          </w:tcPr>
          <w:p w14:paraId="1DF431BF" w14:textId="77777777" w:rsidR="00ED2EBD" w:rsidRPr="00BD16B4" w:rsidRDefault="00ED2EBD" w:rsidP="004A205F">
            <w:pPr>
              <w:pStyle w:val="TableText"/>
              <w:spacing w:before="40" w:after="40"/>
              <w:rPr>
                <w:szCs w:val="18"/>
              </w:rPr>
            </w:pPr>
            <w:r w:rsidRPr="00BD16B4">
              <w:rPr>
                <w:szCs w:val="18"/>
              </w:rPr>
              <w:t>C. CO</w:t>
            </w:r>
            <w:r w:rsidRPr="00BD16B4">
              <w:rPr>
                <w:szCs w:val="18"/>
                <w:vertAlign w:val="subscript"/>
              </w:rPr>
              <w:t>2</w:t>
            </w:r>
            <w:r w:rsidRPr="00BD16B4">
              <w:rPr>
                <w:szCs w:val="18"/>
              </w:rPr>
              <w:t xml:space="preserve"> transport and storage</w:t>
            </w:r>
          </w:p>
        </w:tc>
        <w:tc>
          <w:tcPr>
            <w:tcW w:w="907" w:type="dxa"/>
            <w:tcBorders>
              <w:top w:val="single" w:sz="4" w:space="0" w:color="1B556B" w:themeColor="text2"/>
            </w:tcBorders>
            <w:shd w:val="clear" w:color="auto" w:fill="D2DDE1" w:themeFill="background2"/>
          </w:tcPr>
          <w:p w14:paraId="3C253EB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BE47DA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7B6255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1C3968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772B90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730D7F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7D944B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52F011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749C81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48CFF8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034BA15" w14:textId="77777777" w:rsidR="00ED2EBD" w:rsidRPr="00BD16B4" w:rsidRDefault="00ED2EBD" w:rsidP="004A205F">
            <w:pPr>
              <w:pStyle w:val="TableText"/>
              <w:spacing w:before="40" w:after="40"/>
              <w:jc w:val="right"/>
              <w:rPr>
                <w:szCs w:val="18"/>
              </w:rPr>
            </w:pPr>
            <w:r w:rsidRPr="00BD16B4">
              <w:rPr>
                <w:color w:val="000000"/>
                <w:szCs w:val="18"/>
              </w:rPr>
              <w:t> </w:t>
            </w:r>
          </w:p>
        </w:tc>
      </w:tr>
      <w:tr w:rsidR="00F70C72" w:rsidRPr="00BD16B4" w14:paraId="71407FDB" w14:textId="77777777" w:rsidTr="00F70C72">
        <w:tc>
          <w:tcPr>
            <w:tcW w:w="3856" w:type="dxa"/>
          </w:tcPr>
          <w:p w14:paraId="20A52A8C" w14:textId="18407878" w:rsidR="00ED2EBD" w:rsidRPr="00BD16B4" w:rsidRDefault="00ED2EBD" w:rsidP="004A205F">
            <w:pPr>
              <w:pStyle w:val="TableText"/>
              <w:spacing w:before="40" w:after="40"/>
              <w:rPr>
                <w:szCs w:val="18"/>
              </w:rPr>
            </w:pPr>
            <w:r w:rsidRPr="00BD16B4">
              <w:rPr>
                <w:b/>
                <w:bCs/>
                <w:szCs w:val="18"/>
              </w:rPr>
              <w:lastRenderedPageBreak/>
              <w:t>2.</w:t>
            </w:r>
            <w:r w:rsidR="00280979" w:rsidRPr="00BD16B4">
              <w:rPr>
                <w:b/>
                <w:bCs/>
                <w:szCs w:val="18"/>
              </w:rPr>
              <w:t xml:space="preserve"> </w:t>
            </w:r>
            <w:r w:rsidRPr="00BD16B4">
              <w:rPr>
                <w:b/>
                <w:bCs/>
                <w:szCs w:val="18"/>
              </w:rPr>
              <w:t>Industrial processes</w:t>
            </w:r>
          </w:p>
        </w:tc>
        <w:tc>
          <w:tcPr>
            <w:tcW w:w="907" w:type="dxa"/>
            <w:tcBorders>
              <w:bottom w:val="single" w:sz="4" w:space="0" w:color="1B556B" w:themeColor="text2"/>
            </w:tcBorders>
            <w:shd w:val="clear" w:color="auto" w:fill="auto"/>
          </w:tcPr>
          <w:p w14:paraId="7B5DFDBE" w14:textId="77777777" w:rsidR="00ED2EBD" w:rsidRPr="00BD16B4" w:rsidRDefault="00ED2EBD" w:rsidP="004A205F">
            <w:pPr>
              <w:pStyle w:val="TableText"/>
              <w:spacing w:before="40" w:after="40"/>
              <w:jc w:val="right"/>
              <w:rPr>
                <w:szCs w:val="18"/>
              </w:rPr>
            </w:pPr>
            <w:r w:rsidRPr="00BD16B4">
              <w:rPr>
                <w:szCs w:val="18"/>
              </w:rPr>
              <w:t>1.91</w:t>
            </w:r>
          </w:p>
        </w:tc>
        <w:tc>
          <w:tcPr>
            <w:tcW w:w="907" w:type="dxa"/>
            <w:tcBorders>
              <w:bottom w:val="single" w:sz="4" w:space="0" w:color="1B556B" w:themeColor="text2"/>
            </w:tcBorders>
            <w:shd w:val="clear" w:color="auto" w:fill="auto"/>
          </w:tcPr>
          <w:p w14:paraId="5FDC6DC3" w14:textId="77777777" w:rsidR="00ED2EBD" w:rsidRPr="00BD16B4" w:rsidRDefault="00ED2EBD" w:rsidP="004A205F">
            <w:pPr>
              <w:pStyle w:val="TableText"/>
              <w:spacing w:before="40" w:after="40"/>
              <w:jc w:val="right"/>
              <w:rPr>
                <w:szCs w:val="18"/>
              </w:rPr>
            </w:pPr>
            <w:r w:rsidRPr="00BD16B4">
              <w:rPr>
                <w:szCs w:val="18"/>
              </w:rPr>
              <w:t>1.92</w:t>
            </w:r>
          </w:p>
        </w:tc>
        <w:tc>
          <w:tcPr>
            <w:tcW w:w="907" w:type="dxa"/>
            <w:tcBorders>
              <w:bottom w:val="single" w:sz="4" w:space="0" w:color="1B556B" w:themeColor="text2"/>
            </w:tcBorders>
            <w:shd w:val="clear" w:color="auto" w:fill="auto"/>
          </w:tcPr>
          <w:p w14:paraId="266BC8E7" w14:textId="77777777" w:rsidR="00ED2EBD" w:rsidRPr="00BD16B4" w:rsidRDefault="00ED2EBD" w:rsidP="004A205F">
            <w:pPr>
              <w:pStyle w:val="TableText"/>
              <w:spacing w:before="40" w:after="40"/>
              <w:jc w:val="right"/>
              <w:rPr>
                <w:szCs w:val="18"/>
              </w:rPr>
            </w:pPr>
            <w:r w:rsidRPr="00BD16B4">
              <w:rPr>
                <w:szCs w:val="18"/>
              </w:rPr>
              <w:t>2.55</w:t>
            </w:r>
          </w:p>
        </w:tc>
        <w:tc>
          <w:tcPr>
            <w:tcW w:w="907" w:type="dxa"/>
            <w:tcBorders>
              <w:bottom w:val="single" w:sz="4" w:space="0" w:color="1B556B" w:themeColor="text2"/>
            </w:tcBorders>
            <w:shd w:val="clear" w:color="auto" w:fill="auto"/>
          </w:tcPr>
          <w:p w14:paraId="10071173" w14:textId="77777777" w:rsidR="00ED2EBD" w:rsidRPr="00BD16B4" w:rsidRDefault="00ED2EBD" w:rsidP="004A205F">
            <w:pPr>
              <w:pStyle w:val="TableText"/>
              <w:spacing w:before="40" w:after="40"/>
              <w:jc w:val="right"/>
              <w:rPr>
                <w:szCs w:val="18"/>
              </w:rPr>
            </w:pPr>
            <w:r w:rsidRPr="00BD16B4">
              <w:rPr>
                <w:szCs w:val="18"/>
              </w:rPr>
              <w:t>3.27</w:t>
            </w:r>
          </w:p>
        </w:tc>
        <w:tc>
          <w:tcPr>
            <w:tcW w:w="907" w:type="dxa"/>
            <w:tcBorders>
              <w:bottom w:val="single" w:sz="4" w:space="0" w:color="1B556B" w:themeColor="text2"/>
            </w:tcBorders>
            <w:shd w:val="clear" w:color="auto" w:fill="auto"/>
          </w:tcPr>
          <w:p w14:paraId="7A351FD9" w14:textId="77777777" w:rsidR="00ED2EBD" w:rsidRPr="00BD16B4" w:rsidRDefault="00ED2EBD" w:rsidP="004A205F">
            <w:pPr>
              <w:pStyle w:val="TableText"/>
              <w:spacing w:before="40" w:after="40"/>
              <w:jc w:val="right"/>
              <w:rPr>
                <w:szCs w:val="18"/>
              </w:rPr>
            </w:pPr>
            <w:r w:rsidRPr="00BD16B4">
              <w:rPr>
                <w:szCs w:val="18"/>
              </w:rPr>
              <w:t>5.06</w:t>
            </w:r>
          </w:p>
        </w:tc>
        <w:tc>
          <w:tcPr>
            <w:tcW w:w="907" w:type="dxa"/>
            <w:tcBorders>
              <w:bottom w:val="single" w:sz="4" w:space="0" w:color="1B556B" w:themeColor="text2"/>
            </w:tcBorders>
            <w:shd w:val="clear" w:color="auto" w:fill="auto"/>
          </w:tcPr>
          <w:p w14:paraId="6313B513" w14:textId="77777777" w:rsidR="00ED2EBD" w:rsidRPr="00BD16B4" w:rsidRDefault="00ED2EBD" w:rsidP="004A205F">
            <w:pPr>
              <w:pStyle w:val="TableText"/>
              <w:spacing w:before="40" w:after="40"/>
              <w:jc w:val="right"/>
              <w:rPr>
                <w:szCs w:val="18"/>
              </w:rPr>
            </w:pPr>
            <w:r w:rsidRPr="00BD16B4">
              <w:rPr>
                <w:szCs w:val="18"/>
              </w:rPr>
              <w:t>4.27</w:t>
            </w:r>
          </w:p>
        </w:tc>
        <w:tc>
          <w:tcPr>
            <w:tcW w:w="907" w:type="dxa"/>
            <w:tcBorders>
              <w:bottom w:val="single" w:sz="4" w:space="0" w:color="1B556B" w:themeColor="text2"/>
            </w:tcBorders>
            <w:shd w:val="clear" w:color="auto" w:fill="auto"/>
          </w:tcPr>
          <w:p w14:paraId="061693D1" w14:textId="77777777" w:rsidR="00ED2EBD" w:rsidRPr="00BD16B4" w:rsidRDefault="00ED2EBD" w:rsidP="004A205F">
            <w:pPr>
              <w:pStyle w:val="TableText"/>
              <w:spacing w:before="40" w:after="40"/>
              <w:jc w:val="right"/>
              <w:rPr>
                <w:szCs w:val="18"/>
              </w:rPr>
            </w:pPr>
            <w:r w:rsidRPr="00BD16B4">
              <w:rPr>
                <w:szCs w:val="18"/>
              </w:rPr>
              <w:t>5.01</w:t>
            </w:r>
          </w:p>
        </w:tc>
        <w:tc>
          <w:tcPr>
            <w:tcW w:w="907" w:type="dxa"/>
            <w:tcBorders>
              <w:bottom w:val="single" w:sz="4" w:space="0" w:color="1B556B" w:themeColor="text2"/>
            </w:tcBorders>
            <w:shd w:val="clear" w:color="auto" w:fill="auto"/>
          </w:tcPr>
          <w:p w14:paraId="2B315A58" w14:textId="77777777" w:rsidR="00ED2EBD" w:rsidRPr="00BD16B4" w:rsidRDefault="00ED2EBD" w:rsidP="004A205F">
            <w:pPr>
              <w:pStyle w:val="TableText"/>
              <w:spacing w:before="40" w:after="40"/>
              <w:jc w:val="right"/>
              <w:rPr>
                <w:szCs w:val="18"/>
              </w:rPr>
            </w:pPr>
            <w:r w:rsidRPr="00BD16B4">
              <w:rPr>
                <w:szCs w:val="18"/>
              </w:rPr>
              <w:t>4.48</w:t>
            </w:r>
          </w:p>
        </w:tc>
        <w:tc>
          <w:tcPr>
            <w:tcW w:w="907" w:type="dxa"/>
            <w:tcBorders>
              <w:bottom w:val="single" w:sz="4" w:space="0" w:color="1B556B" w:themeColor="text2"/>
            </w:tcBorders>
            <w:shd w:val="clear" w:color="auto" w:fill="auto"/>
          </w:tcPr>
          <w:p w14:paraId="1F63BC42" w14:textId="77777777" w:rsidR="00ED2EBD" w:rsidRPr="00BD16B4" w:rsidRDefault="00ED2EBD" w:rsidP="004A205F">
            <w:pPr>
              <w:pStyle w:val="TableText"/>
              <w:spacing w:before="40" w:after="40"/>
              <w:jc w:val="right"/>
              <w:rPr>
                <w:szCs w:val="18"/>
              </w:rPr>
            </w:pPr>
            <w:r w:rsidRPr="00BD16B4">
              <w:rPr>
                <w:szCs w:val="18"/>
              </w:rPr>
              <w:t>3.69</w:t>
            </w:r>
          </w:p>
        </w:tc>
        <w:tc>
          <w:tcPr>
            <w:tcW w:w="907" w:type="dxa"/>
            <w:tcBorders>
              <w:bottom w:val="single" w:sz="4" w:space="0" w:color="1B556B" w:themeColor="text2"/>
            </w:tcBorders>
            <w:shd w:val="clear" w:color="auto" w:fill="auto"/>
          </w:tcPr>
          <w:p w14:paraId="503A0518" w14:textId="77777777" w:rsidR="00ED2EBD" w:rsidRPr="00BD16B4" w:rsidRDefault="00ED2EBD" w:rsidP="004A205F">
            <w:pPr>
              <w:pStyle w:val="TableText"/>
              <w:spacing w:before="40" w:after="40"/>
              <w:jc w:val="right"/>
              <w:rPr>
                <w:szCs w:val="18"/>
              </w:rPr>
            </w:pPr>
            <w:r w:rsidRPr="00BD16B4">
              <w:rPr>
                <w:szCs w:val="18"/>
              </w:rPr>
              <w:t>4.29</w:t>
            </w:r>
          </w:p>
        </w:tc>
        <w:tc>
          <w:tcPr>
            <w:tcW w:w="907" w:type="dxa"/>
            <w:tcBorders>
              <w:bottom w:val="single" w:sz="4" w:space="0" w:color="1B556B" w:themeColor="text2"/>
            </w:tcBorders>
            <w:shd w:val="clear" w:color="auto" w:fill="auto"/>
          </w:tcPr>
          <w:p w14:paraId="5CE250BE" w14:textId="77777777" w:rsidR="00ED2EBD" w:rsidRPr="00BD16B4" w:rsidRDefault="00ED2EBD" w:rsidP="004A205F">
            <w:pPr>
              <w:pStyle w:val="TableText"/>
              <w:spacing w:before="40" w:after="40"/>
              <w:jc w:val="right"/>
              <w:rPr>
                <w:szCs w:val="18"/>
              </w:rPr>
            </w:pPr>
            <w:r w:rsidRPr="00BD16B4">
              <w:rPr>
                <w:szCs w:val="18"/>
              </w:rPr>
              <w:t>3.85</w:t>
            </w:r>
          </w:p>
        </w:tc>
      </w:tr>
      <w:tr w:rsidR="00ED2EBD" w:rsidRPr="00BD16B4" w14:paraId="597BE593" w14:textId="77777777" w:rsidTr="00F70C72">
        <w:tc>
          <w:tcPr>
            <w:tcW w:w="3856" w:type="dxa"/>
          </w:tcPr>
          <w:p w14:paraId="5275F7E8" w14:textId="2ECCCA8E"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Mineral industry</w:t>
            </w:r>
          </w:p>
        </w:tc>
        <w:tc>
          <w:tcPr>
            <w:tcW w:w="907" w:type="dxa"/>
            <w:tcBorders>
              <w:top w:val="single" w:sz="4" w:space="0" w:color="1B556B" w:themeColor="text2"/>
            </w:tcBorders>
            <w:shd w:val="clear" w:color="auto" w:fill="D2DDE1" w:themeFill="background2"/>
          </w:tcPr>
          <w:p w14:paraId="12B4692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E32F04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337EDD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3AB3C9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B40932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758E86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8D9611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66F3BE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459C06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236B45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7B22D2E" w14:textId="77777777" w:rsidR="00ED2EBD" w:rsidRPr="00BD16B4" w:rsidRDefault="00ED2EBD" w:rsidP="004A205F">
            <w:pPr>
              <w:pStyle w:val="TableText"/>
              <w:spacing w:before="40" w:after="40"/>
              <w:jc w:val="right"/>
              <w:rPr>
                <w:szCs w:val="18"/>
              </w:rPr>
            </w:pPr>
            <w:r w:rsidRPr="00BD16B4">
              <w:rPr>
                <w:color w:val="000000"/>
                <w:szCs w:val="18"/>
              </w:rPr>
              <w:t> </w:t>
            </w:r>
          </w:p>
        </w:tc>
      </w:tr>
      <w:tr w:rsidR="00F70C72" w:rsidRPr="00BD16B4" w14:paraId="6D333391" w14:textId="77777777" w:rsidTr="00F70C72">
        <w:tc>
          <w:tcPr>
            <w:tcW w:w="3856" w:type="dxa"/>
          </w:tcPr>
          <w:p w14:paraId="01231B27" w14:textId="2E0DB5FE"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Chemical industry</w:t>
            </w:r>
          </w:p>
        </w:tc>
        <w:tc>
          <w:tcPr>
            <w:tcW w:w="907" w:type="dxa"/>
            <w:shd w:val="clear" w:color="auto" w:fill="auto"/>
          </w:tcPr>
          <w:p w14:paraId="3AD55ACB" w14:textId="77777777" w:rsidR="00ED2EBD" w:rsidRPr="00BD16B4" w:rsidRDefault="00ED2EBD" w:rsidP="004A205F">
            <w:pPr>
              <w:pStyle w:val="TableText"/>
              <w:spacing w:before="40" w:after="40"/>
              <w:jc w:val="right"/>
              <w:rPr>
                <w:szCs w:val="18"/>
              </w:rPr>
            </w:pPr>
            <w:r w:rsidRPr="00BD16B4">
              <w:rPr>
                <w:szCs w:val="18"/>
              </w:rPr>
              <w:t>1.91</w:t>
            </w:r>
          </w:p>
        </w:tc>
        <w:tc>
          <w:tcPr>
            <w:tcW w:w="907" w:type="dxa"/>
            <w:shd w:val="clear" w:color="auto" w:fill="auto"/>
          </w:tcPr>
          <w:p w14:paraId="2608FD5C" w14:textId="77777777" w:rsidR="00ED2EBD" w:rsidRPr="00BD16B4" w:rsidRDefault="00ED2EBD" w:rsidP="004A205F">
            <w:pPr>
              <w:pStyle w:val="TableText"/>
              <w:spacing w:before="40" w:after="40"/>
              <w:jc w:val="right"/>
              <w:rPr>
                <w:szCs w:val="18"/>
              </w:rPr>
            </w:pPr>
            <w:r w:rsidRPr="00BD16B4">
              <w:rPr>
                <w:szCs w:val="18"/>
              </w:rPr>
              <w:t>1.92</w:t>
            </w:r>
          </w:p>
        </w:tc>
        <w:tc>
          <w:tcPr>
            <w:tcW w:w="907" w:type="dxa"/>
            <w:shd w:val="clear" w:color="auto" w:fill="auto"/>
          </w:tcPr>
          <w:p w14:paraId="41EC68AC" w14:textId="77777777" w:rsidR="00ED2EBD" w:rsidRPr="00BD16B4" w:rsidRDefault="00ED2EBD" w:rsidP="004A205F">
            <w:pPr>
              <w:pStyle w:val="TableText"/>
              <w:spacing w:before="40" w:after="40"/>
              <w:jc w:val="right"/>
              <w:rPr>
                <w:szCs w:val="18"/>
              </w:rPr>
            </w:pPr>
            <w:r w:rsidRPr="00BD16B4">
              <w:rPr>
                <w:szCs w:val="18"/>
              </w:rPr>
              <w:t>2.55</w:t>
            </w:r>
          </w:p>
        </w:tc>
        <w:tc>
          <w:tcPr>
            <w:tcW w:w="907" w:type="dxa"/>
            <w:shd w:val="clear" w:color="auto" w:fill="auto"/>
          </w:tcPr>
          <w:p w14:paraId="25785572" w14:textId="77777777" w:rsidR="00ED2EBD" w:rsidRPr="00BD16B4" w:rsidRDefault="00ED2EBD" w:rsidP="004A205F">
            <w:pPr>
              <w:pStyle w:val="TableText"/>
              <w:spacing w:before="40" w:after="40"/>
              <w:jc w:val="right"/>
              <w:rPr>
                <w:szCs w:val="18"/>
              </w:rPr>
            </w:pPr>
            <w:r w:rsidRPr="00BD16B4">
              <w:rPr>
                <w:szCs w:val="18"/>
              </w:rPr>
              <w:t>3.27</w:t>
            </w:r>
          </w:p>
        </w:tc>
        <w:tc>
          <w:tcPr>
            <w:tcW w:w="907" w:type="dxa"/>
            <w:shd w:val="clear" w:color="auto" w:fill="auto"/>
          </w:tcPr>
          <w:p w14:paraId="1472AA6B" w14:textId="77777777" w:rsidR="00ED2EBD" w:rsidRPr="00BD16B4" w:rsidRDefault="00ED2EBD" w:rsidP="004A205F">
            <w:pPr>
              <w:pStyle w:val="TableText"/>
              <w:spacing w:before="40" w:after="40"/>
              <w:jc w:val="right"/>
              <w:rPr>
                <w:szCs w:val="18"/>
              </w:rPr>
            </w:pPr>
            <w:r w:rsidRPr="00BD16B4">
              <w:rPr>
                <w:szCs w:val="18"/>
              </w:rPr>
              <w:t>5.06</w:t>
            </w:r>
          </w:p>
        </w:tc>
        <w:tc>
          <w:tcPr>
            <w:tcW w:w="907" w:type="dxa"/>
            <w:shd w:val="clear" w:color="auto" w:fill="auto"/>
          </w:tcPr>
          <w:p w14:paraId="0E008099" w14:textId="77777777" w:rsidR="00ED2EBD" w:rsidRPr="00BD16B4" w:rsidRDefault="00ED2EBD" w:rsidP="004A205F">
            <w:pPr>
              <w:pStyle w:val="TableText"/>
              <w:spacing w:before="40" w:after="40"/>
              <w:jc w:val="right"/>
              <w:rPr>
                <w:szCs w:val="18"/>
              </w:rPr>
            </w:pPr>
            <w:r w:rsidRPr="00BD16B4">
              <w:rPr>
                <w:szCs w:val="18"/>
              </w:rPr>
              <w:t>4.27</w:t>
            </w:r>
          </w:p>
        </w:tc>
        <w:tc>
          <w:tcPr>
            <w:tcW w:w="907" w:type="dxa"/>
            <w:shd w:val="clear" w:color="auto" w:fill="auto"/>
          </w:tcPr>
          <w:p w14:paraId="44522A20" w14:textId="77777777" w:rsidR="00ED2EBD" w:rsidRPr="00BD16B4" w:rsidRDefault="00ED2EBD" w:rsidP="004A205F">
            <w:pPr>
              <w:pStyle w:val="TableText"/>
              <w:spacing w:before="40" w:after="40"/>
              <w:jc w:val="right"/>
              <w:rPr>
                <w:szCs w:val="18"/>
              </w:rPr>
            </w:pPr>
            <w:r w:rsidRPr="00BD16B4">
              <w:rPr>
                <w:szCs w:val="18"/>
              </w:rPr>
              <w:t>5.01</w:t>
            </w:r>
          </w:p>
        </w:tc>
        <w:tc>
          <w:tcPr>
            <w:tcW w:w="907" w:type="dxa"/>
            <w:shd w:val="clear" w:color="auto" w:fill="auto"/>
          </w:tcPr>
          <w:p w14:paraId="1F26DE7A" w14:textId="77777777" w:rsidR="00ED2EBD" w:rsidRPr="00BD16B4" w:rsidRDefault="00ED2EBD" w:rsidP="004A205F">
            <w:pPr>
              <w:pStyle w:val="TableText"/>
              <w:spacing w:before="40" w:after="40"/>
              <w:jc w:val="right"/>
              <w:rPr>
                <w:szCs w:val="18"/>
              </w:rPr>
            </w:pPr>
            <w:r w:rsidRPr="00BD16B4">
              <w:rPr>
                <w:szCs w:val="18"/>
              </w:rPr>
              <w:t>4.48</w:t>
            </w:r>
          </w:p>
        </w:tc>
        <w:tc>
          <w:tcPr>
            <w:tcW w:w="907" w:type="dxa"/>
            <w:shd w:val="clear" w:color="auto" w:fill="auto"/>
          </w:tcPr>
          <w:p w14:paraId="3131A16C" w14:textId="77777777" w:rsidR="00ED2EBD" w:rsidRPr="00BD16B4" w:rsidRDefault="00ED2EBD" w:rsidP="004A205F">
            <w:pPr>
              <w:pStyle w:val="TableText"/>
              <w:spacing w:before="40" w:after="40"/>
              <w:jc w:val="right"/>
              <w:rPr>
                <w:szCs w:val="18"/>
              </w:rPr>
            </w:pPr>
            <w:r w:rsidRPr="00BD16B4">
              <w:rPr>
                <w:szCs w:val="18"/>
              </w:rPr>
              <w:t>3.69</w:t>
            </w:r>
          </w:p>
        </w:tc>
        <w:tc>
          <w:tcPr>
            <w:tcW w:w="907" w:type="dxa"/>
            <w:shd w:val="clear" w:color="auto" w:fill="auto"/>
          </w:tcPr>
          <w:p w14:paraId="580A816D" w14:textId="77777777" w:rsidR="00ED2EBD" w:rsidRPr="00BD16B4" w:rsidRDefault="00ED2EBD" w:rsidP="004A205F">
            <w:pPr>
              <w:pStyle w:val="TableText"/>
              <w:spacing w:before="40" w:after="40"/>
              <w:jc w:val="right"/>
              <w:rPr>
                <w:szCs w:val="18"/>
              </w:rPr>
            </w:pPr>
            <w:r w:rsidRPr="00BD16B4">
              <w:rPr>
                <w:szCs w:val="18"/>
              </w:rPr>
              <w:t>4.29</w:t>
            </w:r>
          </w:p>
        </w:tc>
        <w:tc>
          <w:tcPr>
            <w:tcW w:w="907" w:type="dxa"/>
            <w:shd w:val="clear" w:color="auto" w:fill="auto"/>
          </w:tcPr>
          <w:p w14:paraId="26142098" w14:textId="77777777" w:rsidR="00ED2EBD" w:rsidRPr="00BD16B4" w:rsidRDefault="00ED2EBD" w:rsidP="004A205F">
            <w:pPr>
              <w:pStyle w:val="TableText"/>
              <w:spacing w:before="40" w:after="40"/>
              <w:jc w:val="right"/>
              <w:rPr>
                <w:szCs w:val="18"/>
              </w:rPr>
            </w:pPr>
            <w:r w:rsidRPr="00BD16B4">
              <w:rPr>
                <w:szCs w:val="18"/>
              </w:rPr>
              <w:t>3.85</w:t>
            </w:r>
          </w:p>
        </w:tc>
      </w:tr>
      <w:tr w:rsidR="00F70C72" w:rsidRPr="00BD16B4" w14:paraId="65CC5FBF" w14:textId="77777777" w:rsidTr="00F70C72">
        <w:tc>
          <w:tcPr>
            <w:tcW w:w="3856" w:type="dxa"/>
          </w:tcPr>
          <w:p w14:paraId="604E4566" w14:textId="5E570D35"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Metal industry</w:t>
            </w:r>
          </w:p>
        </w:tc>
        <w:tc>
          <w:tcPr>
            <w:tcW w:w="907" w:type="dxa"/>
            <w:shd w:val="clear" w:color="auto" w:fill="auto"/>
          </w:tcPr>
          <w:p w14:paraId="35C9407C"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04BB9424"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2B2EDA4F"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3F79C923"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3E2625A6"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587F144A"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1E3A438F"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3C3E9546"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47F16D7B"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1401D35D"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25165BCC" w14:textId="77777777" w:rsidR="00ED2EBD" w:rsidRPr="00BD16B4" w:rsidRDefault="00ED2EBD" w:rsidP="004A205F">
            <w:pPr>
              <w:pStyle w:val="TableText"/>
              <w:spacing w:before="40" w:after="40"/>
              <w:jc w:val="right"/>
              <w:rPr>
                <w:szCs w:val="18"/>
              </w:rPr>
            </w:pPr>
            <w:r w:rsidRPr="00BD16B4">
              <w:rPr>
                <w:szCs w:val="18"/>
              </w:rPr>
              <w:t>NO, NA</w:t>
            </w:r>
          </w:p>
        </w:tc>
      </w:tr>
      <w:tr w:rsidR="00F70C72" w:rsidRPr="00BD16B4" w14:paraId="17928E0A" w14:textId="77777777" w:rsidTr="00F70C72">
        <w:tc>
          <w:tcPr>
            <w:tcW w:w="3856" w:type="dxa"/>
          </w:tcPr>
          <w:p w14:paraId="6C821CE4" w14:textId="127E7536" w:rsidR="00ED2EBD" w:rsidRPr="00BD16B4" w:rsidRDefault="00ED2EBD" w:rsidP="004A205F">
            <w:pPr>
              <w:pStyle w:val="TableText"/>
              <w:spacing w:before="40" w:after="40"/>
              <w:rPr>
                <w:szCs w:val="18"/>
              </w:rPr>
            </w:pPr>
            <w:r w:rsidRPr="00BD16B4">
              <w:rPr>
                <w:szCs w:val="18"/>
              </w:rPr>
              <w:t>D.</w:t>
            </w:r>
            <w:r w:rsidR="00280979" w:rsidRPr="00BD16B4">
              <w:rPr>
                <w:szCs w:val="18"/>
              </w:rPr>
              <w:t xml:space="preserve"> </w:t>
            </w:r>
            <w:r w:rsidRPr="00BD16B4">
              <w:rPr>
                <w:szCs w:val="18"/>
              </w:rPr>
              <w:t>Non-energy products from fuels and solvent use</w:t>
            </w:r>
          </w:p>
        </w:tc>
        <w:tc>
          <w:tcPr>
            <w:tcW w:w="907" w:type="dxa"/>
            <w:tcBorders>
              <w:bottom w:val="single" w:sz="4" w:space="0" w:color="1B556B" w:themeColor="text2"/>
            </w:tcBorders>
            <w:shd w:val="clear" w:color="auto" w:fill="auto"/>
          </w:tcPr>
          <w:p w14:paraId="569B565B"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204CC0E5"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3B90D0E2"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3DAA30B7"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451BA250"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502EBBFE"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2BEECC73"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03263511"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6BCE861E"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6CFC2EE6"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21A02405"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3F810C66" w14:textId="77777777" w:rsidTr="00F70C72">
        <w:tc>
          <w:tcPr>
            <w:tcW w:w="3856" w:type="dxa"/>
          </w:tcPr>
          <w:p w14:paraId="6C5FCE47" w14:textId="367ECE77"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Electronic industry</w:t>
            </w:r>
          </w:p>
        </w:tc>
        <w:tc>
          <w:tcPr>
            <w:tcW w:w="907" w:type="dxa"/>
            <w:tcBorders>
              <w:top w:val="single" w:sz="4" w:space="0" w:color="1B556B" w:themeColor="text2"/>
            </w:tcBorders>
            <w:shd w:val="clear" w:color="auto" w:fill="D2DDE1" w:themeFill="background2"/>
          </w:tcPr>
          <w:p w14:paraId="32795FE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561AA6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ED2870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D92390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DA3CC6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FE5E1C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113CFB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0143DF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39A76E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7CFBED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7D9899D"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08F15779" w14:textId="77777777" w:rsidTr="00F70C72">
        <w:tc>
          <w:tcPr>
            <w:tcW w:w="3856" w:type="dxa"/>
          </w:tcPr>
          <w:p w14:paraId="54C58004" w14:textId="1D7E6D95" w:rsidR="00ED2EBD" w:rsidRPr="00BD16B4" w:rsidRDefault="00ED2EBD" w:rsidP="004A205F">
            <w:pPr>
              <w:pStyle w:val="TableText"/>
              <w:spacing w:before="40" w:after="40"/>
              <w:rPr>
                <w:szCs w:val="18"/>
              </w:rPr>
            </w:pPr>
            <w:r w:rsidRPr="00BD16B4">
              <w:rPr>
                <w:szCs w:val="18"/>
              </w:rPr>
              <w:t>F.</w:t>
            </w:r>
            <w:r w:rsidR="00280979" w:rsidRPr="00BD16B4">
              <w:rPr>
                <w:szCs w:val="18"/>
              </w:rPr>
              <w:t xml:space="preserve"> </w:t>
            </w:r>
            <w:r w:rsidRPr="00BD16B4">
              <w:rPr>
                <w:szCs w:val="18"/>
              </w:rPr>
              <w:t>Product uses as ODS substitutes</w:t>
            </w:r>
          </w:p>
        </w:tc>
        <w:tc>
          <w:tcPr>
            <w:tcW w:w="907" w:type="dxa"/>
            <w:tcBorders>
              <w:top w:val="single" w:sz="4" w:space="0" w:color="1B556B" w:themeColor="text2"/>
            </w:tcBorders>
            <w:shd w:val="clear" w:color="auto" w:fill="D2DDE1" w:themeFill="background2"/>
          </w:tcPr>
          <w:p w14:paraId="37CD06E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F8F740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D63511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62BA93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406869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966BF0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5BA42E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5A5AB4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FA98DD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6B2C43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31EA01D" w14:textId="77777777" w:rsidR="00ED2EBD" w:rsidRPr="00BD16B4" w:rsidRDefault="00ED2EBD" w:rsidP="004A205F">
            <w:pPr>
              <w:pStyle w:val="TableText"/>
              <w:spacing w:before="40" w:after="40"/>
              <w:jc w:val="right"/>
              <w:rPr>
                <w:szCs w:val="18"/>
              </w:rPr>
            </w:pPr>
            <w:r w:rsidRPr="00BD16B4">
              <w:rPr>
                <w:color w:val="000000"/>
                <w:szCs w:val="18"/>
              </w:rPr>
              <w:t> </w:t>
            </w:r>
          </w:p>
        </w:tc>
      </w:tr>
      <w:tr w:rsidR="00F70C72" w:rsidRPr="00BD16B4" w14:paraId="640C8F27" w14:textId="77777777" w:rsidTr="00F70C72">
        <w:tc>
          <w:tcPr>
            <w:tcW w:w="3856" w:type="dxa"/>
          </w:tcPr>
          <w:p w14:paraId="2DB575C1" w14:textId="7F6160E9" w:rsidR="00ED2EBD" w:rsidRPr="00BD16B4" w:rsidRDefault="00ED2EBD" w:rsidP="004A205F">
            <w:pPr>
              <w:pStyle w:val="TableText"/>
              <w:spacing w:before="40" w:after="40"/>
              <w:rPr>
                <w:szCs w:val="18"/>
              </w:rPr>
            </w:pPr>
            <w:r w:rsidRPr="00BD16B4">
              <w:rPr>
                <w:szCs w:val="18"/>
              </w:rPr>
              <w:t>G.</w:t>
            </w:r>
            <w:r w:rsidR="00280979" w:rsidRPr="00BD16B4">
              <w:rPr>
                <w:szCs w:val="18"/>
              </w:rPr>
              <w:t xml:space="preserve"> </w:t>
            </w:r>
            <w:r w:rsidRPr="00BD16B4">
              <w:rPr>
                <w:szCs w:val="18"/>
              </w:rPr>
              <w:t xml:space="preserve">Other product manufacture and use </w:t>
            </w:r>
          </w:p>
        </w:tc>
        <w:tc>
          <w:tcPr>
            <w:tcW w:w="907" w:type="dxa"/>
            <w:tcBorders>
              <w:bottom w:val="single" w:sz="4" w:space="0" w:color="1B556B" w:themeColor="text2"/>
            </w:tcBorders>
            <w:shd w:val="clear" w:color="auto" w:fill="auto"/>
          </w:tcPr>
          <w:p w14:paraId="25733AD1"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50A42543"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4436642A"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75AD7D84"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1BB51E20"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0E517E21"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67607CEC"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7BA547C4"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0EBF28D6"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568E4C51"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2C12B092"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57E9F17C" w14:textId="77777777" w:rsidTr="00F70C72">
        <w:tc>
          <w:tcPr>
            <w:tcW w:w="3856" w:type="dxa"/>
          </w:tcPr>
          <w:p w14:paraId="50DCBB43" w14:textId="20E4CA4D" w:rsidR="00ED2EBD" w:rsidRPr="00BD16B4" w:rsidRDefault="00ED2EBD" w:rsidP="004A205F">
            <w:pPr>
              <w:pStyle w:val="TableText"/>
              <w:spacing w:before="40" w:after="40"/>
              <w:rPr>
                <w:szCs w:val="18"/>
              </w:rPr>
            </w:pPr>
            <w:r w:rsidRPr="00BD16B4">
              <w:rPr>
                <w:szCs w:val="18"/>
              </w:rPr>
              <w:t>H.</w:t>
            </w:r>
            <w:r w:rsidR="00280979" w:rsidRPr="00BD16B4">
              <w:rPr>
                <w:szCs w:val="18"/>
              </w:rPr>
              <w:t xml:space="preserve"> </w:t>
            </w:r>
            <w:r w:rsidRPr="00BD16B4">
              <w:rPr>
                <w:szCs w:val="18"/>
              </w:rPr>
              <w:t xml:space="preserve">Other </w:t>
            </w:r>
          </w:p>
        </w:tc>
        <w:tc>
          <w:tcPr>
            <w:tcW w:w="907" w:type="dxa"/>
            <w:tcBorders>
              <w:top w:val="single" w:sz="4" w:space="0" w:color="1B556B" w:themeColor="text2"/>
            </w:tcBorders>
            <w:shd w:val="clear" w:color="auto" w:fill="D2DDE1" w:themeFill="background2"/>
          </w:tcPr>
          <w:p w14:paraId="3F08C8F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F136EF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79510D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CB4AFE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ACDCF1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48DB36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B27D2A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1CA1E7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1FFE9E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1BC92D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A591E3D" w14:textId="77777777" w:rsidR="00ED2EBD" w:rsidRPr="00BD16B4" w:rsidRDefault="00ED2EBD" w:rsidP="004A205F">
            <w:pPr>
              <w:pStyle w:val="TableText"/>
              <w:spacing w:before="40" w:after="40"/>
              <w:jc w:val="right"/>
              <w:rPr>
                <w:szCs w:val="18"/>
              </w:rPr>
            </w:pPr>
            <w:r w:rsidRPr="00BD16B4">
              <w:rPr>
                <w:color w:val="000000"/>
                <w:szCs w:val="18"/>
              </w:rPr>
              <w:t> </w:t>
            </w:r>
          </w:p>
        </w:tc>
      </w:tr>
      <w:tr w:rsidR="00F70C72" w:rsidRPr="00BD16B4" w14:paraId="388018D5" w14:textId="77777777" w:rsidTr="00F70C72">
        <w:tc>
          <w:tcPr>
            <w:tcW w:w="3856" w:type="dxa"/>
          </w:tcPr>
          <w:p w14:paraId="44E20E65" w14:textId="01345422" w:rsidR="00ED2EBD" w:rsidRPr="00BD16B4" w:rsidRDefault="00ED2EBD" w:rsidP="004A205F">
            <w:pPr>
              <w:pStyle w:val="TableText"/>
              <w:spacing w:before="40" w:after="40"/>
              <w:rPr>
                <w:szCs w:val="18"/>
              </w:rPr>
            </w:pPr>
            <w:r w:rsidRPr="00BD16B4">
              <w:rPr>
                <w:b/>
                <w:bCs/>
                <w:szCs w:val="18"/>
              </w:rPr>
              <w:t>3.</w:t>
            </w:r>
            <w:r w:rsidR="00280979" w:rsidRPr="00BD16B4">
              <w:rPr>
                <w:b/>
                <w:bCs/>
                <w:szCs w:val="18"/>
              </w:rPr>
              <w:t xml:space="preserve"> </w:t>
            </w:r>
            <w:r w:rsidRPr="00BD16B4">
              <w:rPr>
                <w:b/>
                <w:bCs/>
                <w:szCs w:val="18"/>
              </w:rPr>
              <w:t>Agriculture</w:t>
            </w:r>
          </w:p>
        </w:tc>
        <w:tc>
          <w:tcPr>
            <w:tcW w:w="907" w:type="dxa"/>
            <w:shd w:val="clear" w:color="auto" w:fill="auto"/>
          </w:tcPr>
          <w:p w14:paraId="2F4F0532" w14:textId="77777777" w:rsidR="00ED2EBD" w:rsidRPr="00BD16B4" w:rsidRDefault="00ED2EBD" w:rsidP="004A205F">
            <w:pPr>
              <w:pStyle w:val="TableText"/>
              <w:spacing w:before="40" w:after="40"/>
              <w:jc w:val="right"/>
              <w:rPr>
                <w:szCs w:val="18"/>
              </w:rPr>
            </w:pPr>
            <w:r w:rsidRPr="00BD16B4">
              <w:rPr>
                <w:szCs w:val="18"/>
              </w:rPr>
              <w:t>1,182.08</w:t>
            </w:r>
          </w:p>
        </w:tc>
        <w:tc>
          <w:tcPr>
            <w:tcW w:w="907" w:type="dxa"/>
            <w:shd w:val="clear" w:color="auto" w:fill="auto"/>
          </w:tcPr>
          <w:p w14:paraId="0587141A" w14:textId="77777777" w:rsidR="00ED2EBD" w:rsidRPr="00BD16B4" w:rsidRDefault="00ED2EBD" w:rsidP="004A205F">
            <w:pPr>
              <w:pStyle w:val="TableText"/>
              <w:spacing w:before="40" w:after="40"/>
              <w:jc w:val="right"/>
              <w:rPr>
                <w:szCs w:val="18"/>
              </w:rPr>
            </w:pPr>
            <w:r w:rsidRPr="00BD16B4">
              <w:rPr>
                <w:szCs w:val="18"/>
              </w:rPr>
              <w:t>1,198.51</w:t>
            </w:r>
          </w:p>
        </w:tc>
        <w:tc>
          <w:tcPr>
            <w:tcW w:w="907" w:type="dxa"/>
            <w:shd w:val="clear" w:color="auto" w:fill="auto"/>
          </w:tcPr>
          <w:p w14:paraId="2A1AE11E" w14:textId="77777777" w:rsidR="00ED2EBD" w:rsidRPr="00BD16B4" w:rsidRDefault="00ED2EBD" w:rsidP="004A205F">
            <w:pPr>
              <w:pStyle w:val="TableText"/>
              <w:spacing w:before="40" w:after="40"/>
              <w:jc w:val="right"/>
              <w:rPr>
                <w:szCs w:val="18"/>
              </w:rPr>
            </w:pPr>
            <w:r w:rsidRPr="00BD16B4">
              <w:rPr>
                <w:szCs w:val="18"/>
              </w:rPr>
              <w:t>1,226.50</w:t>
            </w:r>
          </w:p>
        </w:tc>
        <w:tc>
          <w:tcPr>
            <w:tcW w:w="907" w:type="dxa"/>
            <w:shd w:val="clear" w:color="auto" w:fill="auto"/>
          </w:tcPr>
          <w:p w14:paraId="643B1429" w14:textId="77777777" w:rsidR="00ED2EBD" w:rsidRPr="00BD16B4" w:rsidRDefault="00ED2EBD" w:rsidP="004A205F">
            <w:pPr>
              <w:pStyle w:val="TableText"/>
              <w:spacing w:before="40" w:after="40"/>
              <w:jc w:val="right"/>
              <w:rPr>
                <w:szCs w:val="18"/>
              </w:rPr>
            </w:pPr>
            <w:r w:rsidRPr="00BD16B4">
              <w:rPr>
                <w:szCs w:val="18"/>
              </w:rPr>
              <w:t>1,233.12</w:t>
            </w:r>
          </w:p>
        </w:tc>
        <w:tc>
          <w:tcPr>
            <w:tcW w:w="907" w:type="dxa"/>
            <w:shd w:val="clear" w:color="auto" w:fill="auto"/>
          </w:tcPr>
          <w:p w14:paraId="4981680C" w14:textId="77777777" w:rsidR="00ED2EBD" w:rsidRPr="00BD16B4" w:rsidRDefault="00ED2EBD" w:rsidP="004A205F">
            <w:pPr>
              <w:pStyle w:val="TableText"/>
              <w:spacing w:before="40" w:after="40"/>
              <w:jc w:val="right"/>
              <w:rPr>
                <w:szCs w:val="18"/>
              </w:rPr>
            </w:pPr>
            <w:r w:rsidRPr="00BD16B4">
              <w:rPr>
                <w:szCs w:val="18"/>
              </w:rPr>
              <w:t>1,245.51</w:t>
            </w:r>
          </w:p>
        </w:tc>
        <w:tc>
          <w:tcPr>
            <w:tcW w:w="907" w:type="dxa"/>
            <w:shd w:val="clear" w:color="auto" w:fill="auto"/>
          </w:tcPr>
          <w:p w14:paraId="04817792" w14:textId="77777777" w:rsidR="00ED2EBD" w:rsidRPr="00BD16B4" w:rsidRDefault="00ED2EBD" w:rsidP="004A205F">
            <w:pPr>
              <w:pStyle w:val="TableText"/>
              <w:spacing w:before="40" w:after="40"/>
              <w:jc w:val="right"/>
              <w:rPr>
                <w:szCs w:val="18"/>
              </w:rPr>
            </w:pPr>
            <w:r w:rsidRPr="00BD16B4">
              <w:rPr>
                <w:szCs w:val="18"/>
              </w:rPr>
              <w:t>1,226.51</w:t>
            </w:r>
          </w:p>
        </w:tc>
        <w:tc>
          <w:tcPr>
            <w:tcW w:w="907" w:type="dxa"/>
            <w:shd w:val="clear" w:color="auto" w:fill="auto"/>
          </w:tcPr>
          <w:p w14:paraId="75D4BC08" w14:textId="77777777" w:rsidR="00ED2EBD" w:rsidRPr="00BD16B4" w:rsidRDefault="00ED2EBD" w:rsidP="004A205F">
            <w:pPr>
              <w:pStyle w:val="TableText"/>
              <w:spacing w:before="40" w:after="40"/>
              <w:jc w:val="right"/>
              <w:rPr>
                <w:szCs w:val="18"/>
              </w:rPr>
            </w:pPr>
            <w:r w:rsidRPr="00BD16B4">
              <w:rPr>
                <w:szCs w:val="18"/>
              </w:rPr>
              <w:t>1,212.53</w:t>
            </w:r>
          </w:p>
        </w:tc>
        <w:tc>
          <w:tcPr>
            <w:tcW w:w="907" w:type="dxa"/>
            <w:shd w:val="clear" w:color="auto" w:fill="auto"/>
          </w:tcPr>
          <w:p w14:paraId="7D3E6E3F" w14:textId="77777777" w:rsidR="00ED2EBD" w:rsidRPr="00BD16B4" w:rsidRDefault="00ED2EBD" w:rsidP="004A205F">
            <w:pPr>
              <w:pStyle w:val="TableText"/>
              <w:spacing w:before="40" w:after="40"/>
              <w:jc w:val="right"/>
              <w:rPr>
                <w:szCs w:val="18"/>
              </w:rPr>
            </w:pPr>
            <w:r w:rsidRPr="00BD16B4">
              <w:rPr>
                <w:szCs w:val="18"/>
              </w:rPr>
              <w:t>1,213.68</w:t>
            </w:r>
          </w:p>
        </w:tc>
        <w:tc>
          <w:tcPr>
            <w:tcW w:w="907" w:type="dxa"/>
            <w:shd w:val="clear" w:color="auto" w:fill="auto"/>
          </w:tcPr>
          <w:p w14:paraId="5F186417" w14:textId="77777777" w:rsidR="00ED2EBD" w:rsidRPr="00BD16B4" w:rsidRDefault="00ED2EBD" w:rsidP="004A205F">
            <w:pPr>
              <w:pStyle w:val="TableText"/>
              <w:spacing w:before="40" w:after="40"/>
              <w:jc w:val="right"/>
              <w:rPr>
                <w:szCs w:val="18"/>
              </w:rPr>
            </w:pPr>
            <w:r w:rsidRPr="00BD16B4">
              <w:rPr>
                <w:szCs w:val="18"/>
              </w:rPr>
              <w:t>1,219.31</w:t>
            </w:r>
          </w:p>
        </w:tc>
        <w:tc>
          <w:tcPr>
            <w:tcW w:w="907" w:type="dxa"/>
            <w:shd w:val="clear" w:color="auto" w:fill="auto"/>
          </w:tcPr>
          <w:p w14:paraId="45C4B446" w14:textId="77777777" w:rsidR="00ED2EBD" w:rsidRPr="00BD16B4" w:rsidRDefault="00ED2EBD" w:rsidP="004A205F">
            <w:pPr>
              <w:pStyle w:val="TableText"/>
              <w:spacing w:before="40" w:after="40"/>
              <w:jc w:val="right"/>
              <w:rPr>
                <w:szCs w:val="18"/>
              </w:rPr>
            </w:pPr>
            <w:r w:rsidRPr="00BD16B4">
              <w:rPr>
                <w:szCs w:val="18"/>
              </w:rPr>
              <w:t>1,224.30</w:t>
            </w:r>
          </w:p>
        </w:tc>
        <w:tc>
          <w:tcPr>
            <w:tcW w:w="907" w:type="dxa"/>
            <w:shd w:val="clear" w:color="auto" w:fill="auto"/>
          </w:tcPr>
          <w:p w14:paraId="2644CD2E" w14:textId="77777777" w:rsidR="00ED2EBD" w:rsidRPr="00BD16B4" w:rsidRDefault="00ED2EBD" w:rsidP="004A205F">
            <w:pPr>
              <w:pStyle w:val="TableText"/>
              <w:spacing w:before="40" w:after="40"/>
              <w:jc w:val="right"/>
              <w:rPr>
                <w:szCs w:val="18"/>
              </w:rPr>
            </w:pPr>
            <w:r w:rsidRPr="00BD16B4">
              <w:rPr>
                <w:szCs w:val="18"/>
              </w:rPr>
              <w:t>1,218.88</w:t>
            </w:r>
          </w:p>
        </w:tc>
      </w:tr>
      <w:tr w:rsidR="00F70C72" w:rsidRPr="00BD16B4" w14:paraId="6976A256" w14:textId="77777777" w:rsidTr="00F70C72">
        <w:tc>
          <w:tcPr>
            <w:tcW w:w="3856" w:type="dxa"/>
          </w:tcPr>
          <w:p w14:paraId="254562EC" w14:textId="51C8CD41"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Enteric fermentation</w:t>
            </w:r>
          </w:p>
        </w:tc>
        <w:tc>
          <w:tcPr>
            <w:tcW w:w="907" w:type="dxa"/>
            <w:shd w:val="clear" w:color="auto" w:fill="auto"/>
          </w:tcPr>
          <w:p w14:paraId="71F0AC68" w14:textId="77777777" w:rsidR="00ED2EBD" w:rsidRPr="00BD16B4" w:rsidRDefault="00ED2EBD" w:rsidP="004A205F">
            <w:pPr>
              <w:pStyle w:val="TableText"/>
              <w:spacing w:before="40" w:after="40"/>
              <w:jc w:val="right"/>
              <w:rPr>
                <w:szCs w:val="18"/>
              </w:rPr>
            </w:pPr>
            <w:r w:rsidRPr="00BD16B4">
              <w:rPr>
                <w:szCs w:val="18"/>
              </w:rPr>
              <w:t>1,131.59</w:t>
            </w:r>
          </w:p>
        </w:tc>
        <w:tc>
          <w:tcPr>
            <w:tcW w:w="907" w:type="dxa"/>
            <w:shd w:val="clear" w:color="auto" w:fill="auto"/>
          </w:tcPr>
          <w:p w14:paraId="39130638" w14:textId="77777777" w:rsidR="00ED2EBD" w:rsidRPr="00BD16B4" w:rsidRDefault="00ED2EBD" w:rsidP="004A205F">
            <w:pPr>
              <w:pStyle w:val="TableText"/>
              <w:spacing w:before="40" w:after="40"/>
              <w:jc w:val="right"/>
              <w:rPr>
                <w:szCs w:val="18"/>
              </w:rPr>
            </w:pPr>
            <w:r w:rsidRPr="00BD16B4">
              <w:rPr>
                <w:szCs w:val="18"/>
              </w:rPr>
              <w:t>1,144.55</w:t>
            </w:r>
          </w:p>
        </w:tc>
        <w:tc>
          <w:tcPr>
            <w:tcW w:w="907" w:type="dxa"/>
            <w:shd w:val="clear" w:color="auto" w:fill="auto"/>
          </w:tcPr>
          <w:p w14:paraId="29E276AD" w14:textId="77777777" w:rsidR="00ED2EBD" w:rsidRPr="00BD16B4" w:rsidRDefault="00ED2EBD" w:rsidP="004A205F">
            <w:pPr>
              <w:pStyle w:val="TableText"/>
              <w:spacing w:before="40" w:after="40"/>
              <w:jc w:val="right"/>
              <w:rPr>
                <w:szCs w:val="18"/>
              </w:rPr>
            </w:pPr>
            <w:r w:rsidRPr="00BD16B4">
              <w:rPr>
                <w:szCs w:val="18"/>
              </w:rPr>
              <w:t>1,167.90</w:t>
            </w:r>
          </w:p>
        </w:tc>
        <w:tc>
          <w:tcPr>
            <w:tcW w:w="907" w:type="dxa"/>
            <w:shd w:val="clear" w:color="auto" w:fill="auto"/>
          </w:tcPr>
          <w:p w14:paraId="6FEF86A3" w14:textId="77777777" w:rsidR="00ED2EBD" w:rsidRPr="00BD16B4" w:rsidRDefault="00ED2EBD" w:rsidP="004A205F">
            <w:pPr>
              <w:pStyle w:val="TableText"/>
              <w:spacing w:before="40" w:after="40"/>
              <w:jc w:val="right"/>
              <w:rPr>
                <w:szCs w:val="18"/>
              </w:rPr>
            </w:pPr>
            <w:r w:rsidRPr="00BD16B4">
              <w:rPr>
                <w:szCs w:val="18"/>
              </w:rPr>
              <w:t>1,170.50</w:t>
            </w:r>
          </w:p>
        </w:tc>
        <w:tc>
          <w:tcPr>
            <w:tcW w:w="907" w:type="dxa"/>
            <w:shd w:val="clear" w:color="auto" w:fill="auto"/>
          </w:tcPr>
          <w:p w14:paraId="530D1978" w14:textId="77777777" w:rsidR="00ED2EBD" w:rsidRPr="00BD16B4" w:rsidRDefault="00ED2EBD" w:rsidP="004A205F">
            <w:pPr>
              <w:pStyle w:val="TableText"/>
              <w:spacing w:before="40" w:after="40"/>
              <w:jc w:val="right"/>
              <w:rPr>
                <w:szCs w:val="18"/>
              </w:rPr>
            </w:pPr>
            <w:r w:rsidRPr="00BD16B4">
              <w:rPr>
                <w:szCs w:val="18"/>
              </w:rPr>
              <w:t>1,179.24</w:t>
            </w:r>
          </w:p>
        </w:tc>
        <w:tc>
          <w:tcPr>
            <w:tcW w:w="907" w:type="dxa"/>
            <w:shd w:val="clear" w:color="auto" w:fill="auto"/>
          </w:tcPr>
          <w:p w14:paraId="3896ECFB" w14:textId="77777777" w:rsidR="00ED2EBD" w:rsidRPr="00BD16B4" w:rsidRDefault="00ED2EBD" w:rsidP="004A205F">
            <w:pPr>
              <w:pStyle w:val="TableText"/>
              <w:spacing w:before="40" w:after="40"/>
              <w:jc w:val="right"/>
              <w:rPr>
                <w:szCs w:val="18"/>
              </w:rPr>
            </w:pPr>
            <w:r w:rsidRPr="00BD16B4">
              <w:rPr>
                <w:szCs w:val="18"/>
              </w:rPr>
              <w:t>1,160.90</w:t>
            </w:r>
          </w:p>
        </w:tc>
        <w:tc>
          <w:tcPr>
            <w:tcW w:w="907" w:type="dxa"/>
            <w:shd w:val="clear" w:color="auto" w:fill="auto"/>
          </w:tcPr>
          <w:p w14:paraId="110E319A" w14:textId="77777777" w:rsidR="00ED2EBD" w:rsidRPr="00BD16B4" w:rsidRDefault="00ED2EBD" w:rsidP="004A205F">
            <w:pPr>
              <w:pStyle w:val="TableText"/>
              <w:spacing w:before="40" w:after="40"/>
              <w:jc w:val="right"/>
              <w:rPr>
                <w:szCs w:val="18"/>
              </w:rPr>
            </w:pPr>
            <w:r w:rsidRPr="00BD16B4">
              <w:rPr>
                <w:szCs w:val="18"/>
              </w:rPr>
              <w:t>1,147.10</w:t>
            </w:r>
          </w:p>
        </w:tc>
        <w:tc>
          <w:tcPr>
            <w:tcW w:w="907" w:type="dxa"/>
            <w:shd w:val="clear" w:color="auto" w:fill="auto"/>
          </w:tcPr>
          <w:p w14:paraId="6891A14E" w14:textId="77777777" w:rsidR="00ED2EBD" w:rsidRPr="00BD16B4" w:rsidRDefault="00ED2EBD" w:rsidP="004A205F">
            <w:pPr>
              <w:pStyle w:val="TableText"/>
              <w:spacing w:before="40" w:after="40"/>
              <w:jc w:val="right"/>
              <w:rPr>
                <w:szCs w:val="18"/>
              </w:rPr>
            </w:pPr>
            <w:r w:rsidRPr="00BD16B4">
              <w:rPr>
                <w:szCs w:val="18"/>
              </w:rPr>
              <w:t>1,148.26</w:t>
            </w:r>
          </w:p>
        </w:tc>
        <w:tc>
          <w:tcPr>
            <w:tcW w:w="907" w:type="dxa"/>
            <w:shd w:val="clear" w:color="auto" w:fill="auto"/>
          </w:tcPr>
          <w:p w14:paraId="35E62EAA" w14:textId="77777777" w:rsidR="00ED2EBD" w:rsidRPr="00BD16B4" w:rsidRDefault="00ED2EBD" w:rsidP="004A205F">
            <w:pPr>
              <w:pStyle w:val="TableText"/>
              <w:spacing w:before="40" w:after="40"/>
              <w:jc w:val="right"/>
              <w:rPr>
                <w:szCs w:val="18"/>
              </w:rPr>
            </w:pPr>
            <w:r w:rsidRPr="00BD16B4">
              <w:rPr>
                <w:szCs w:val="18"/>
              </w:rPr>
              <w:t>1,153.69</w:t>
            </w:r>
          </w:p>
        </w:tc>
        <w:tc>
          <w:tcPr>
            <w:tcW w:w="907" w:type="dxa"/>
            <w:shd w:val="clear" w:color="auto" w:fill="auto"/>
          </w:tcPr>
          <w:p w14:paraId="5A98F6DD" w14:textId="77777777" w:rsidR="00ED2EBD" w:rsidRPr="00BD16B4" w:rsidRDefault="00ED2EBD" w:rsidP="004A205F">
            <w:pPr>
              <w:pStyle w:val="TableText"/>
              <w:spacing w:before="40" w:after="40"/>
              <w:jc w:val="right"/>
              <w:rPr>
                <w:szCs w:val="18"/>
              </w:rPr>
            </w:pPr>
            <w:r w:rsidRPr="00BD16B4">
              <w:rPr>
                <w:szCs w:val="18"/>
              </w:rPr>
              <w:t>1,158.60</w:t>
            </w:r>
          </w:p>
        </w:tc>
        <w:tc>
          <w:tcPr>
            <w:tcW w:w="907" w:type="dxa"/>
            <w:shd w:val="clear" w:color="auto" w:fill="auto"/>
          </w:tcPr>
          <w:p w14:paraId="39436496" w14:textId="77777777" w:rsidR="00ED2EBD" w:rsidRPr="00BD16B4" w:rsidRDefault="00ED2EBD" w:rsidP="004A205F">
            <w:pPr>
              <w:pStyle w:val="TableText"/>
              <w:spacing w:before="40" w:after="40"/>
              <w:jc w:val="right"/>
              <w:rPr>
                <w:szCs w:val="18"/>
              </w:rPr>
            </w:pPr>
            <w:r w:rsidRPr="00BD16B4">
              <w:rPr>
                <w:szCs w:val="18"/>
              </w:rPr>
              <w:t>1,153.26</w:t>
            </w:r>
          </w:p>
        </w:tc>
      </w:tr>
      <w:tr w:rsidR="00F70C72" w:rsidRPr="00BD16B4" w14:paraId="2413B6F1" w14:textId="77777777" w:rsidTr="00F70C72">
        <w:tc>
          <w:tcPr>
            <w:tcW w:w="3856" w:type="dxa"/>
          </w:tcPr>
          <w:p w14:paraId="073EA0E7" w14:textId="34C20F32"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Manure management</w:t>
            </w:r>
          </w:p>
        </w:tc>
        <w:tc>
          <w:tcPr>
            <w:tcW w:w="907" w:type="dxa"/>
            <w:shd w:val="clear" w:color="auto" w:fill="auto"/>
          </w:tcPr>
          <w:p w14:paraId="08AF615D" w14:textId="77777777" w:rsidR="00ED2EBD" w:rsidRPr="00BD16B4" w:rsidRDefault="00ED2EBD" w:rsidP="004A205F">
            <w:pPr>
              <w:pStyle w:val="TableText"/>
              <w:spacing w:before="40" w:after="40"/>
              <w:jc w:val="right"/>
              <w:rPr>
                <w:szCs w:val="18"/>
              </w:rPr>
            </w:pPr>
            <w:r w:rsidRPr="00BD16B4">
              <w:rPr>
                <w:szCs w:val="18"/>
              </w:rPr>
              <w:t>49.53</w:t>
            </w:r>
          </w:p>
        </w:tc>
        <w:tc>
          <w:tcPr>
            <w:tcW w:w="907" w:type="dxa"/>
            <w:shd w:val="clear" w:color="auto" w:fill="auto"/>
          </w:tcPr>
          <w:p w14:paraId="4B36DD0A" w14:textId="77777777" w:rsidR="00ED2EBD" w:rsidRPr="00BD16B4" w:rsidRDefault="00ED2EBD" w:rsidP="004A205F">
            <w:pPr>
              <w:pStyle w:val="TableText"/>
              <w:spacing w:before="40" w:after="40"/>
              <w:jc w:val="right"/>
              <w:rPr>
                <w:szCs w:val="18"/>
              </w:rPr>
            </w:pPr>
            <w:r w:rsidRPr="00BD16B4">
              <w:rPr>
                <w:szCs w:val="18"/>
              </w:rPr>
              <w:t>53.31</w:t>
            </w:r>
          </w:p>
        </w:tc>
        <w:tc>
          <w:tcPr>
            <w:tcW w:w="907" w:type="dxa"/>
            <w:shd w:val="clear" w:color="auto" w:fill="auto"/>
          </w:tcPr>
          <w:p w14:paraId="12CAA193" w14:textId="77777777" w:rsidR="00ED2EBD" w:rsidRPr="00BD16B4" w:rsidRDefault="00ED2EBD" w:rsidP="004A205F">
            <w:pPr>
              <w:pStyle w:val="TableText"/>
              <w:spacing w:before="40" w:after="40"/>
              <w:jc w:val="right"/>
              <w:rPr>
                <w:szCs w:val="18"/>
              </w:rPr>
            </w:pPr>
            <w:r w:rsidRPr="00BD16B4">
              <w:rPr>
                <w:szCs w:val="18"/>
              </w:rPr>
              <w:t>57.56</w:t>
            </w:r>
          </w:p>
        </w:tc>
        <w:tc>
          <w:tcPr>
            <w:tcW w:w="907" w:type="dxa"/>
            <w:shd w:val="clear" w:color="auto" w:fill="auto"/>
          </w:tcPr>
          <w:p w14:paraId="02A54F2F" w14:textId="77777777" w:rsidR="00ED2EBD" w:rsidRPr="00BD16B4" w:rsidRDefault="00ED2EBD" w:rsidP="004A205F">
            <w:pPr>
              <w:pStyle w:val="TableText"/>
              <w:spacing w:before="40" w:after="40"/>
              <w:jc w:val="right"/>
              <w:rPr>
                <w:szCs w:val="18"/>
              </w:rPr>
            </w:pPr>
            <w:r w:rsidRPr="00BD16B4">
              <w:rPr>
                <w:szCs w:val="18"/>
              </w:rPr>
              <w:t>61.54</w:t>
            </w:r>
          </w:p>
        </w:tc>
        <w:tc>
          <w:tcPr>
            <w:tcW w:w="907" w:type="dxa"/>
            <w:shd w:val="clear" w:color="auto" w:fill="auto"/>
          </w:tcPr>
          <w:p w14:paraId="1ADB7C31" w14:textId="77777777" w:rsidR="00ED2EBD" w:rsidRPr="00BD16B4" w:rsidRDefault="00ED2EBD" w:rsidP="004A205F">
            <w:pPr>
              <w:pStyle w:val="TableText"/>
              <w:spacing w:before="40" w:after="40"/>
              <w:jc w:val="right"/>
              <w:rPr>
                <w:szCs w:val="18"/>
              </w:rPr>
            </w:pPr>
            <w:r w:rsidRPr="00BD16B4">
              <w:rPr>
                <w:szCs w:val="18"/>
              </w:rPr>
              <w:t>65.37</w:t>
            </w:r>
          </w:p>
        </w:tc>
        <w:tc>
          <w:tcPr>
            <w:tcW w:w="907" w:type="dxa"/>
            <w:shd w:val="clear" w:color="auto" w:fill="auto"/>
          </w:tcPr>
          <w:p w14:paraId="71382D88" w14:textId="77777777" w:rsidR="00ED2EBD" w:rsidRPr="00BD16B4" w:rsidRDefault="00ED2EBD" w:rsidP="004A205F">
            <w:pPr>
              <w:pStyle w:val="TableText"/>
              <w:spacing w:before="40" w:after="40"/>
              <w:jc w:val="right"/>
              <w:rPr>
                <w:szCs w:val="18"/>
              </w:rPr>
            </w:pPr>
            <w:r w:rsidRPr="00BD16B4">
              <w:rPr>
                <w:szCs w:val="18"/>
              </w:rPr>
              <w:t>65.00</w:t>
            </w:r>
          </w:p>
        </w:tc>
        <w:tc>
          <w:tcPr>
            <w:tcW w:w="907" w:type="dxa"/>
            <w:shd w:val="clear" w:color="auto" w:fill="auto"/>
          </w:tcPr>
          <w:p w14:paraId="1337A110" w14:textId="77777777" w:rsidR="00ED2EBD" w:rsidRPr="00BD16B4" w:rsidRDefault="00ED2EBD" w:rsidP="004A205F">
            <w:pPr>
              <w:pStyle w:val="TableText"/>
              <w:spacing w:before="40" w:after="40"/>
              <w:jc w:val="right"/>
              <w:rPr>
                <w:szCs w:val="18"/>
              </w:rPr>
            </w:pPr>
            <w:r w:rsidRPr="00BD16B4">
              <w:rPr>
                <w:szCs w:val="18"/>
              </w:rPr>
              <w:t>64.63</w:t>
            </w:r>
          </w:p>
        </w:tc>
        <w:tc>
          <w:tcPr>
            <w:tcW w:w="907" w:type="dxa"/>
            <w:shd w:val="clear" w:color="auto" w:fill="auto"/>
          </w:tcPr>
          <w:p w14:paraId="582A9098" w14:textId="77777777" w:rsidR="00ED2EBD" w:rsidRPr="00BD16B4" w:rsidRDefault="00ED2EBD" w:rsidP="004A205F">
            <w:pPr>
              <w:pStyle w:val="TableText"/>
              <w:spacing w:before="40" w:after="40"/>
              <w:jc w:val="right"/>
              <w:rPr>
                <w:szCs w:val="18"/>
              </w:rPr>
            </w:pPr>
            <w:r w:rsidRPr="00BD16B4">
              <w:rPr>
                <w:szCs w:val="18"/>
              </w:rPr>
              <w:t>64.65</w:t>
            </w:r>
          </w:p>
        </w:tc>
        <w:tc>
          <w:tcPr>
            <w:tcW w:w="907" w:type="dxa"/>
            <w:shd w:val="clear" w:color="auto" w:fill="auto"/>
          </w:tcPr>
          <w:p w14:paraId="73F9F061" w14:textId="77777777" w:rsidR="00ED2EBD" w:rsidRPr="00BD16B4" w:rsidRDefault="00ED2EBD" w:rsidP="004A205F">
            <w:pPr>
              <w:pStyle w:val="TableText"/>
              <w:spacing w:before="40" w:after="40"/>
              <w:jc w:val="right"/>
              <w:rPr>
                <w:szCs w:val="18"/>
              </w:rPr>
            </w:pPr>
            <w:r w:rsidRPr="00BD16B4">
              <w:rPr>
                <w:szCs w:val="18"/>
              </w:rPr>
              <w:t>64.99</w:t>
            </w:r>
          </w:p>
        </w:tc>
        <w:tc>
          <w:tcPr>
            <w:tcW w:w="907" w:type="dxa"/>
            <w:shd w:val="clear" w:color="auto" w:fill="auto"/>
          </w:tcPr>
          <w:p w14:paraId="5687BF49" w14:textId="77777777" w:rsidR="00ED2EBD" w:rsidRPr="00BD16B4" w:rsidRDefault="00ED2EBD" w:rsidP="004A205F">
            <w:pPr>
              <w:pStyle w:val="TableText"/>
              <w:spacing w:before="40" w:after="40"/>
              <w:jc w:val="right"/>
              <w:rPr>
                <w:szCs w:val="18"/>
              </w:rPr>
            </w:pPr>
            <w:r w:rsidRPr="00BD16B4">
              <w:rPr>
                <w:szCs w:val="18"/>
              </w:rPr>
              <w:t>64.89</w:t>
            </w:r>
          </w:p>
        </w:tc>
        <w:tc>
          <w:tcPr>
            <w:tcW w:w="907" w:type="dxa"/>
            <w:shd w:val="clear" w:color="auto" w:fill="auto"/>
          </w:tcPr>
          <w:p w14:paraId="30C22BB6" w14:textId="77777777" w:rsidR="00ED2EBD" w:rsidRPr="00BD16B4" w:rsidRDefault="00ED2EBD" w:rsidP="004A205F">
            <w:pPr>
              <w:pStyle w:val="TableText"/>
              <w:spacing w:before="40" w:after="40"/>
              <w:jc w:val="right"/>
              <w:rPr>
                <w:szCs w:val="18"/>
              </w:rPr>
            </w:pPr>
            <w:r w:rsidRPr="00BD16B4">
              <w:rPr>
                <w:szCs w:val="18"/>
              </w:rPr>
              <w:t>64.82</w:t>
            </w:r>
          </w:p>
        </w:tc>
      </w:tr>
      <w:tr w:rsidR="00F70C72" w:rsidRPr="00BD16B4" w14:paraId="6369BA8A" w14:textId="77777777" w:rsidTr="00F70C72">
        <w:tc>
          <w:tcPr>
            <w:tcW w:w="3856" w:type="dxa"/>
          </w:tcPr>
          <w:p w14:paraId="235DFC84" w14:textId="55BB9C05"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Rice cultivation</w:t>
            </w:r>
          </w:p>
        </w:tc>
        <w:tc>
          <w:tcPr>
            <w:tcW w:w="907" w:type="dxa"/>
            <w:shd w:val="clear" w:color="auto" w:fill="auto"/>
          </w:tcPr>
          <w:p w14:paraId="67AD19EF"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76C8D8B0"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122DC33D"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00A7B2D6"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3C846DA5"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3F6F2BBC"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26ED939B"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03445FA7"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711641F0"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7DEC7DD6"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74A47001" w14:textId="77777777" w:rsidR="00ED2EBD" w:rsidRPr="00BD16B4" w:rsidRDefault="00ED2EBD" w:rsidP="004A205F">
            <w:pPr>
              <w:pStyle w:val="TableText"/>
              <w:spacing w:before="40" w:after="40"/>
              <w:jc w:val="right"/>
              <w:rPr>
                <w:szCs w:val="18"/>
              </w:rPr>
            </w:pPr>
            <w:r w:rsidRPr="00BD16B4">
              <w:rPr>
                <w:szCs w:val="18"/>
              </w:rPr>
              <w:t>NO</w:t>
            </w:r>
          </w:p>
        </w:tc>
      </w:tr>
      <w:tr w:rsidR="00F70C72" w:rsidRPr="00BD16B4" w14:paraId="5BBCC37B" w14:textId="77777777" w:rsidTr="00F70C72">
        <w:tc>
          <w:tcPr>
            <w:tcW w:w="3856" w:type="dxa"/>
          </w:tcPr>
          <w:p w14:paraId="6A263ACA" w14:textId="2E5C60A1" w:rsidR="00ED2EBD" w:rsidRPr="00BD16B4" w:rsidRDefault="00ED2EBD" w:rsidP="004A205F">
            <w:pPr>
              <w:pStyle w:val="TableText"/>
              <w:spacing w:before="40" w:after="40"/>
              <w:rPr>
                <w:szCs w:val="18"/>
              </w:rPr>
            </w:pPr>
            <w:r w:rsidRPr="00BD16B4">
              <w:rPr>
                <w:szCs w:val="18"/>
              </w:rPr>
              <w:t>D.</w:t>
            </w:r>
            <w:r w:rsidR="00280979" w:rsidRPr="00BD16B4">
              <w:rPr>
                <w:szCs w:val="18"/>
              </w:rPr>
              <w:t xml:space="preserve"> </w:t>
            </w:r>
            <w:r w:rsidRPr="00BD16B4">
              <w:rPr>
                <w:szCs w:val="18"/>
              </w:rPr>
              <w:t>Agricultural soils</w:t>
            </w:r>
          </w:p>
        </w:tc>
        <w:tc>
          <w:tcPr>
            <w:tcW w:w="907" w:type="dxa"/>
            <w:shd w:val="clear" w:color="auto" w:fill="auto"/>
          </w:tcPr>
          <w:p w14:paraId="57AA3E7C" w14:textId="77777777" w:rsidR="00ED2EBD" w:rsidRPr="00BD16B4" w:rsidRDefault="00ED2EBD" w:rsidP="004A205F">
            <w:pPr>
              <w:pStyle w:val="TableText"/>
              <w:spacing w:before="40" w:after="40"/>
              <w:jc w:val="right"/>
              <w:rPr>
                <w:szCs w:val="18"/>
              </w:rPr>
            </w:pPr>
            <w:r w:rsidRPr="00BD16B4">
              <w:rPr>
                <w:szCs w:val="18"/>
              </w:rPr>
              <w:t>NE</w:t>
            </w:r>
          </w:p>
        </w:tc>
        <w:tc>
          <w:tcPr>
            <w:tcW w:w="907" w:type="dxa"/>
            <w:shd w:val="clear" w:color="auto" w:fill="auto"/>
          </w:tcPr>
          <w:p w14:paraId="392BF27D" w14:textId="77777777" w:rsidR="00ED2EBD" w:rsidRPr="00BD16B4" w:rsidRDefault="00ED2EBD" w:rsidP="004A205F">
            <w:pPr>
              <w:pStyle w:val="TableText"/>
              <w:spacing w:before="40" w:after="40"/>
              <w:jc w:val="right"/>
              <w:rPr>
                <w:szCs w:val="18"/>
              </w:rPr>
            </w:pPr>
            <w:r w:rsidRPr="00BD16B4">
              <w:rPr>
                <w:szCs w:val="18"/>
              </w:rPr>
              <w:t>NE</w:t>
            </w:r>
          </w:p>
        </w:tc>
        <w:tc>
          <w:tcPr>
            <w:tcW w:w="907" w:type="dxa"/>
            <w:shd w:val="clear" w:color="auto" w:fill="auto"/>
          </w:tcPr>
          <w:p w14:paraId="66027E46" w14:textId="77777777" w:rsidR="00ED2EBD" w:rsidRPr="00BD16B4" w:rsidRDefault="00ED2EBD" w:rsidP="004A205F">
            <w:pPr>
              <w:pStyle w:val="TableText"/>
              <w:spacing w:before="40" w:after="40"/>
              <w:jc w:val="right"/>
              <w:rPr>
                <w:szCs w:val="18"/>
              </w:rPr>
            </w:pPr>
            <w:r w:rsidRPr="00BD16B4">
              <w:rPr>
                <w:szCs w:val="18"/>
              </w:rPr>
              <w:t>NE</w:t>
            </w:r>
          </w:p>
        </w:tc>
        <w:tc>
          <w:tcPr>
            <w:tcW w:w="907" w:type="dxa"/>
            <w:shd w:val="clear" w:color="auto" w:fill="auto"/>
          </w:tcPr>
          <w:p w14:paraId="08B32D9B" w14:textId="77777777" w:rsidR="00ED2EBD" w:rsidRPr="00BD16B4" w:rsidRDefault="00ED2EBD" w:rsidP="004A205F">
            <w:pPr>
              <w:pStyle w:val="TableText"/>
              <w:spacing w:before="40" w:after="40"/>
              <w:jc w:val="right"/>
              <w:rPr>
                <w:szCs w:val="18"/>
              </w:rPr>
            </w:pPr>
            <w:r w:rsidRPr="00BD16B4">
              <w:rPr>
                <w:szCs w:val="18"/>
              </w:rPr>
              <w:t>NE</w:t>
            </w:r>
          </w:p>
        </w:tc>
        <w:tc>
          <w:tcPr>
            <w:tcW w:w="907" w:type="dxa"/>
            <w:shd w:val="clear" w:color="auto" w:fill="auto"/>
          </w:tcPr>
          <w:p w14:paraId="5CE9558B" w14:textId="77777777" w:rsidR="00ED2EBD" w:rsidRPr="00BD16B4" w:rsidRDefault="00ED2EBD" w:rsidP="004A205F">
            <w:pPr>
              <w:pStyle w:val="TableText"/>
              <w:spacing w:before="40" w:after="40"/>
              <w:jc w:val="right"/>
              <w:rPr>
                <w:szCs w:val="18"/>
              </w:rPr>
            </w:pPr>
            <w:r w:rsidRPr="00BD16B4">
              <w:rPr>
                <w:szCs w:val="18"/>
              </w:rPr>
              <w:t>NE</w:t>
            </w:r>
          </w:p>
        </w:tc>
        <w:tc>
          <w:tcPr>
            <w:tcW w:w="907" w:type="dxa"/>
            <w:shd w:val="clear" w:color="auto" w:fill="auto"/>
          </w:tcPr>
          <w:p w14:paraId="7E83A536" w14:textId="77777777" w:rsidR="00ED2EBD" w:rsidRPr="00BD16B4" w:rsidRDefault="00ED2EBD" w:rsidP="004A205F">
            <w:pPr>
              <w:pStyle w:val="TableText"/>
              <w:spacing w:before="40" w:after="40"/>
              <w:jc w:val="right"/>
              <w:rPr>
                <w:szCs w:val="18"/>
              </w:rPr>
            </w:pPr>
            <w:r w:rsidRPr="00BD16B4">
              <w:rPr>
                <w:szCs w:val="18"/>
              </w:rPr>
              <w:t>NE</w:t>
            </w:r>
          </w:p>
        </w:tc>
        <w:tc>
          <w:tcPr>
            <w:tcW w:w="907" w:type="dxa"/>
            <w:shd w:val="clear" w:color="auto" w:fill="auto"/>
          </w:tcPr>
          <w:p w14:paraId="1B660227" w14:textId="77777777" w:rsidR="00ED2EBD" w:rsidRPr="00BD16B4" w:rsidRDefault="00ED2EBD" w:rsidP="004A205F">
            <w:pPr>
              <w:pStyle w:val="TableText"/>
              <w:spacing w:before="40" w:after="40"/>
              <w:jc w:val="right"/>
              <w:rPr>
                <w:szCs w:val="18"/>
              </w:rPr>
            </w:pPr>
            <w:r w:rsidRPr="00BD16B4">
              <w:rPr>
                <w:szCs w:val="18"/>
              </w:rPr>
              <w:t>NE</w:t>
            </w:r>
          </w:p>
        </w:tc>
        <w:tc>
          <w:tcPr>
            <w:tcW w:w="907" w:type="dxa"/>
            <w:shd w:val="clear" w:color="auto" w:fill="auto"/>
          </w:tcPr>
          <w:p w14:paraId="336D5D9F" w14:textId="77777777" w:rsidR="00ED2EBD" w:rsidRPr="00BD16B4" w:rsidRDefault="00ED2EBD" w:rsidP="004A205F">
            <w:pPr>
              <w:pStyle w:val="TableText"/>
              <w:spacing w:before="40" w:after="40"/>
              <w:jc w:val="right"/>
              <w:rPr>
                <w:szCs w:val="18"/>
              </w:rPr>
            </w:pPr>
            <w:r w:rsidRPr="00BD16B4">
              <w:rPr>
                <w:szCs w:val="18"/>
              </w:rPr>
              <w:t>NE</w:t>
            </w:r>
          </w:p>
        </w:tc>
        <w:tc>
          <w:tcPr>
            <w:tcW w:w="907" w:type="dxa"/>
            <w:shd w:val="clear" w:color="auto" w:fill="auto"/>
          </w:tcPr>
          <w:p w14:paraId="05AD733C" w14:textId="77777777" w:rsidR="00ED2EBD" w:rsidRPr="00BD16B4" w:rsidRDefault="00ED2EBD" w:rsidP="004A205F">
            <w:pPr>
              <w:pStyle w:val="TableText"/>
              <w:spacing w:before="40" w:after="40"/>
              <w:jc w:val="right"/>
              <w:rPr>
                <w:szCs w:val="18"/>
              </w:rPr>
            </w:pPr>
            <w:r w:rsidRPr="00BD16B4">
              <w:rPr>
                <w:szCs w:val="18"/>
              </w:rPr>
              <w:t>NE</w:t>
            </w:r>
          </w:p>
        </w:tc>
        <w:tc>
          <w:tcPr>
            <w:tcW w:w="907" w:type="dxa"/>
            <w:shd w:val="clear" w:color="auto" w:fill="auto"/>
          </w:tcPr>
          <w:p w14:paraId="6A2A696F" w14:textId="77777777" w:rsidR="00ED2EBD" w:rsidRPr="00BD16B4" w:rsidRDefault="00ED2EBD" w:rsidP="004A205F">
            <w:pPr>
              <w:pStyle w:val="TableText"/>
              <w:spacing w:before="40" w:after="40"/>
              <w:jc w:val="right"/>
              <w:rPr>
                <w:szCs w:val="18"/>
              </w:rPr>
            </w:pPr>
            <w:r w:rsidRPr="00BD16B4">
              <w:rPr>
                <w:szCs w:val="18"/>
              </w:rPr>
              <w:t>NE</w:t>
            </w:r>
          </w:p>
        </w:tc>
        <w:tc>
          <w:tcPr>
            <w:tcW w:w="907" w:type="dxa"/>
            <w:shd w:val="clear" w:color="auto" w:fill="auto"/>
          </w:tcPr>
          <w:p w14:paraId="781BC0B4" w14:textId="77777777" w:rsidR="00ED2EBD" w:rsidRPr="00BD16B4" w:rsidRDefault="00ED2EBD" w:rsidP="004A205F">
            <w:pPr>
              <w:pStyle w:val="TableText"/>
              <w:spacing w:before="40" w:after="40"/>
              <w:jc w:val="right"/>
              <w:rPr>
                <w:szCs w:val="18"/>
              </w:rPr>
            </w:pPr>
            <w:r w:rsidRPr="00BD16B4">
              <w:rPr>
                <w:szCs w:val="18"/>
              </w:rPr>
              <w:t>NE</w:t>
            </w:r>
          </w:p>
        </w:tc>
      </w:tr>
      <w:tr w:rsidR="00F70C72" w:rsidRPr="00BD16B4" w14:paraId="225E366F" w14:textId="77777777" w:rsidTr="00F70C72">
        <w:tc>
          <w:tcPr>
            <w:tcW w:w="3856" w:type="dxa"/>
          </w:tcPr>
          <w:p w14:paraId="73A43CE4" w14:textId="2D64E1B1"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Prescribed burning of savannas</w:t>
            </w:r>
          </w:p>
        </w:tc>
        <w:tc>
          <w:tcPr>
            <w:tcW w:w="907" w:type="dxa"/>
            <w:shd w:val="clear" w:color="auto" w:fill="auto"/>
          </w:tcPr>
          <w:p w14:paraId="7EC0F6A7"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4BC36060"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21551885"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589A7165"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37FD09AE"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016937D3"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3C8F4470"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5F414BA9"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670088EE"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1A91F9F1"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6D2E401B" w14:textId="77777777" w:rsidR="00ED2EBD" w:rsidRPr="00BD16B4" w:rsidRDefault="00ED2EBD" w:rsidP="004A205F">
            <w:pPr>
              <w:pStyle w:val="TableText"/>
              <w:spacing w:before="40" w:after="40"/>
              <w:jc w:val="right"/>
              <w:rPr>
                <w:szCs w:val="18"/>
              </w:rPr>
            </w:pPr>
            <w:r w:rsidRPr="00BD16B4">
              <w:rPr>
                <w:szCs w:val="18"/>
              </w:rPr>
              <w:t>IE</w:t>
            </w:r>
          </w:p>
        </w:tc>
      </w:tr>
      <w:tr w:rsidR="00F70C72" w:rsidRPr="00BD16B4" w14:paraId="34F17339" w14:textId="77777777" w:rsidTr="00F70C72">
        <w:tc>
          <w:tcPr>
            <w:tcW w:w="3856" w:type="dxa"/>
          </w:tcPr>
          <w:p w14:paraId="135B0616" w14:textId="4973F37B" w:rsidR="00ED2EBD" w:rsidRPr="00BD16B4" w:rsidRDefault="00ED2EBD" w:rsidP="004A205F">
            <w:pPr>
              <w:pStyle w:val="TableText"/>
              <w:spacing w:before="40" w:after="40"/>
              <w:rPr>
                <w:szCs w:val="18"/>
              </w:rPr>
            </w:pPr>
            <w:r w:rsidRPr="00BD16B4">
              <w:rPr>
                <w:szCs w:val="18"/>
              </w:rPr>
              <w:t>F.</w:t>
            </w:r>
            <w:r w:rsidR="00280979" w:rsidRPr="00BD16B4">
              <w:rPr>
                <w:szCs w:val="18"/>
              </w:rPr>
              <w:t xml:space="preserve"> </w:t>
            </w:r>
            <w:r w:rsidRPr="00BD16B4">
              <w:rPr>
                <w:szCs w:val="18"/>
              </w:rPr>
              <w:t>Field burning of agricultural residues</w:t>
            </w:r>
          </w:p>
        </w:tc>
        <w:tc>
          <w:tcPr>
            <w:tcW w:w="907" w:type="dxa"/>
            <w:tcBorders>
              <w:bottom w:val="single" w:sz="4" w:space="0" w:color="1B556B" w:themeColor="text2"/>
            </w:tcBorders>
            <w:shd w:val="clear" w:color="auto" w:fill="auto"/>
          </w:tcPr>
          <w:p w14:paraId="26053197" w14:textId="77777777" w:rsidR="00ED2EBD" w:rsidRPr="00BD16B4" w:rsidRDefault="00ED2EBD" w:rsidP="004A205F">
            <w:pPr>
              <w:pStyle w:val="TableText"/>
              <w:spacing w:before="40" w:after="40"/>
              <w:jc w:val="right"/>
              <w:rPr>
                <w:szCs w:val="18"/>
              </w:rPr>
            </w:pPr>
            <w:r w:rsidRPr="00BD16B4">
              <w:rPr>
                <w:szCs w:val="18"/>
              </w:rPr>
              <w:t>0.96</w:t>
            </w:r>
          </w:p>
        </w:tc>
        <w:tc>
          <w:tcPr>
            <w:tcW w:w="907" w:type="dxa"/>
            <w:tcBorders>
              <w:bottom w:val="single" w:sz="4" w:space="0" w:color="1B556B" w:themeColor="text2"/>
            </w:tcBorders>
            <w:shd w:val="clear" w:color="auto" w:fill="auto"/>
          </w:tcPr>
          <w:p w14:paraId="304C3F27" w14:textId="77777777" w:rsidR="00ED2EBD" w:rsidRPr="00BD16B4" w:rsidRDefault="00ED2EBD" w:rsidP="004A205F">
            <w:pPr>
              <w:pStyle w:val="TableText"/>
              <w:spacing w:before="40" w:after="40"/>
              <w:jc w:val="right"/>
              <w:rPr>
                <w:szCs w:val="18"/>
              </w:rPr>
            </w:pPr>
            <w:r w:rsidRPr="00BD16B4">
              <w:rPr>
                <w:szCs w:val="18"/>
              </w:rPr>
              <w:t>0.65</w:t>
            </w:r>
          </w:p>
        </w:tc>
        <w:tc>
          <w:tcPr>
            <w:tcW w:w="907" w:type="dxa"/>
            <w:tcBorders>
              <w:bottom w:val="single" w:sz="4" w:space="0" w:color="1B556B" w:themeColor="text2"/>
            </w:tcBorders>
            <w:shd w:val="clear" w:color="auto" w:fill="auto"/>
          </w:tcPr>
          <w:p w14:paraId="781F9813" w14:textId="77777777" w:rsidR="00ED2EBD" w:rsidRPr="00BD16B4" w:rsidRDefault="00ED2EBD" w:rsidP="004A205F">
            <w:pPr>
              <w:pStyle w:val="TableText"/>
              <w:spacing w:before="40" w:after="40"/>
              <w:jc w:val="right"/>
              <w:rPr>
                <w:szCs w:val="18"/>
              </w:rPr>
            </w:pPr>
            <w:r w:rsidRPr="00BD16B4">
              <w:rPr>
                <w:szCs w:val="18"/>
              </w:rPr>
              <w:t>1.04</w:t>
            </w:r>
          </w:p>
        </w:tc>
        <w:tc>
          <w:tcPr>
            <w:tcW w:w="907" w:type="dxa"/>
            <w:tcBorders>
              <w:bottom w:val="single" w:sz="4" w:space="0" w:color="1B556B" w:themeColor="text2"/>
            </w:tcBorders>
            <w:shd w:val="clear" w:color="auto" w:fill="auto"/>
          </w:tcPr>
          <w:p w14:paraId="6F1A1A18" w14:textId="77777777" w:rsidR="00ED2EBD" w:rsidRPr="00BD16B4" w:rsidRDefault="00ED2EBD" w:rsidP="004A205F">
            <w:pPr>
              <w:pStyle w:val="TableText"/>
              <w:spacing w:before="40" w:after="40"/>
              <w:jc w:val="right"/>
              <w:rPr>
                <w:szCs w:val="18"/>
              </w:rPr>
            </w:pPr>
            <w:r w:rsidRPr="00BD16B4">
              <w:rPr>
                <w:szCs w:val="18"/>
              </w:rPr>
              <w:t>1.08</w:t>
            </w:r>
          </w:p>
        </w:tc>
        <w:tc>
          <w:tcPr>
            <w:tcW w:w="907" w:type="dxa"/>
            <w:tcBorders>
              <w:bottom w:val="single" w:sz="4" w:space="0" w:color="1B556B" w:themeColor="text2"/>
            </w:tcBorders>
            <w:shd w:val="clear" w:color="auto" w:fill="auto"/>
          </w:tcPr>
          <w:p w14:paraId="5767FB09" w14:textId="77777777" w:rsidR="00ED2EBD" w:rsidRPr="00BD16B4" w:rsidRDefault="00ED2EBD" w:rsidP="004A205F">
            <w:pPr>
              <w:pStyle w:val="TableText"/>
              <w:spacing w:before="40" w:after="40"/>
              <w:jc w:val="right"/>
              <w:rPr>
                <w:szCs w:val="18"/>
              </w:rPr>
            </w:pPr>
            <w:r w:rsidRPr="00BD16B4">
              <w:rPr>
                <w:szCs w:val="18"/>
              </w:rPr>
              <w:t>0.90</w:t>
            </w:r>
          </w:p>
        </w:tc>
        <w:tc>
          <w:tcPr>
            <w:tcW w:w="907" w:type="dxa"/>
            <w:tcBorders>
              <w:bottom w:val="single" w:sz="4" w:space="0" w:color="1B556B" w:themeColor="text2"/>
            </w:tcBorders>
            <w:shd w:val="clear" w:color="auto" w:fill="auto"/>
          </w:tcPr>
          <w:p w14:paraId="4B166CE6" w14:textId="77777777" w:rsidR="00ED2EBD" w:rsidRPr="00BD16B4" w:rsidRDefault="00ED2EBD" w:rsidP="004A205F">
            <w:pPr>
              <w:pStyle w:val="TableText"/>
              <w:spacing w:before="40" w:after="40"/>
              <w:jc w:val="right"/>
              <w:rPr>
                <w:szCs w:val="18"/>
              </w:rPr>
            </w:pPr>
            <w:r w:rsidRPr="00BD16B4">
              <w:rPr>
                <w:szCs w:val="18"/>
              </w:rPr>
              <w:t>0.61</w:t>
            </w:r>
          </w:p>
        </w:tc>
        <w:tc>
          <w:tcPr>
            <w:tcW w:w="907" w:type="dxa"/>
            <w:tcBorders>
              <w:bottom w:val="single" w:sz="4" w:space="0" w:color="1B556B" w:themeColor="text2"/>
            </w:tcBorders>
            <w:shd w:val="clear" w:color="auto" w:fill="auto"/>
          </w:tcPr>
          <w:p w14:paraId="365C8B39" w14:textId="77777777" w:rsidR="00ED2EBD" w:rsidRPr="00BD16B4" w:rsidRDefault="00ED2EBD" w:rsidP="004A205F">
            <w:pPr>
              <w:pStyle w:val="TableText"/>
              <w:spacing w:before="40" w:after="40"/>
              <w:jc w:val="right"/>
              <w:rPr>
                <w:szCs w:val="18"/>
              </w:rPr>
            </w:pPr>
            <w:r w:rsidRPr="00BD16B4">
              <w:rPr>
                <w:szCs w:val="18"/>
              </w:rPr>
              <w:t>0.80</w:t>
            </w:r>
          </w:p>
        </w:tc>
        <w:tc>
          <w:tcPr>
            <w:tcW w:w="907" w:type="dxa"/>
            <w:tcBorders>
              <w:bottom w:val="single" w:sz="4" w:space="0" w:color="1B556B" w:themeColor="text2"/>
            </w:tcBorders>
            <w:shd w:val="clear" w:color="auto" w:fill="auto"/>
          </w:tcPr>
          <w:p w14:paraId="1755D11E" w14:textId="77777777" w:rsidR="00ED2EBD" w:rsidRPr="00BD16B4" w:rsidRDefault="00ED2EBD" w:rsidP="004A205F">
            <w:pPr>
              <w:pStyle w:val="TableText"/>
              <w:spacing w:before="40" w:after="40"/>
              <w:jc w:val="right"/>
              <w:rPr>
                <w:szCs w:val="18"/>
              </w:rPr>
            </w:pPr>
            <w:r w:rsidRPr="00BD16B4">
              <w:rPr>
                <w:szCs w:val="18"/>
              </w:rPr>
              <w:t>0.77</w:t>
            </w:r>
          </w:p>
        </w:tc>
        <w:tc>
          <w:tcPr>
            <w:tcW w:w="907" w:type="dxa"/>
            <w:tcBorders>
              <w:bottom w:val="single" w:sz="4" w:space="0" w:color="1B556B" w:themeColor="text2"/>
            </w:tcBorders>
            <w:shd w:val="clear" w:color="auto" w:fill="auto"/>
          </w:tcPr>
          <w:p w14:paraId="52442358" w14:textId="77777777" w:rsidR="00ED2EBD" w:rsidRPr="00BD16B4" w:rsidRDefault="00ED2EBD" w:rsidP="004A205F">
            <w:pPr>
              <w:pStyle w:val="TableText"/>
              <w:spacing w:before="40" w:after="40"/>
              <w:jc w:val="right"/>
              <w:rPr>
                <w:szCs w:val="18"/>
              </w:rPr>
            </w:pPr>
            <w:r w:rsidRPr="00BD16B4">
              <w:rPr>
                <w:szCs w:val="18"/>
              </w:rPr>
              <w:t>0.63</w:t>
            </w:r>
          </w:p>
        </w:tc>
        <w:tc>
          <w:tcPr>
            <w:tcW w:w="907" w:type="dxa"/>
            <w:tcBorders>
              <w:bottom w:val="single" w:sz="4" w:space="0" w:color="1B556B" w:themeColor="text2"/>
            </w:tcBorders>
            <w:shd w:val="clear" w:color="auto" w:fill="auto"/>
          </w:tcPr>
          <w:p w14:paraId="1B0CD0B2" w14:textId="77777777" w:rsidR="00ED2EBD" w:rsidRPr="00BD16B4" w:rsidRDefault="00ED2EBD" w:rsidP="004A205F">
            <w:pPr>
              <w:pStyle w:val="TableText"/>
              <w:spacing w:before="40" w:after="40"/>
              <w:jc w:val="right"/>
              <w:rPr>
                <w:szCs w:val="18"/>
              </w:rPr>
            </w:pPr>
            <w:r w:rsidRPr="00BD16B4">
              <w:rPr>
                <w:szCs w:val="18"/>
              </w:rPr>
              <w:t>0.80</w:t>
            </w:r>
          </w:p>
        </w:tc>
        <w:tc>
          <w:tcPr>
            <w:tcW w:w="907" w:type="dxa"/>
            <w:tcBorders>
              <w:bottom w:val="single" w:sz="4" w:space="0" w:color="1B556B" w:themeColor="text2"/>
            </w:tcBorders>
            <w:shd w:val="clear" w:color="auto" w:fill="auto"/>
          </w:tcPr>
          <w:p w14:paraId="55AEFB74" w14:textId="77777777" w:rsidR="00ED2EBD" w:rsidRPr="00BD16B4" w:rsidRDefault="00ED2EBD" w:rsidP="004A205F">
            <w:pPr>
              <w:pStyle w:val="TableText"/>
              <w:spacing w:before="40" w:after="40"/>
              <w:jc w:val="right"/>
              <w:rPr>
                <w:szCs w:val="18"/>
              </w:rPr>
            </w:pPr>
            <w:r w:rsidRPr="00BD16B4">
              <w:rPr>
                <w:szCs w:val="18"/>
              </w:rPr>
              <w:t>0.80</w:t>
            </w:r>
          </w:p>
        </w:tc>
      </w:tr>
      <w:tr w:rsidR="00ED2EBD" w:rsidRPr="00BD16B4" w14:paraId="3B5DE1B4" w14:textId="77777777" w:rsidTr="00F70C72">
        <w:tc>
          <w:tcPr>
            <w:tcW w:w="3856" w:type="dxa"/>
          </w:tcPr>
          <w:p w14:paraId="2DDE22A2" w14:textId="2D5F9C33" w:rsidR="00ED2EBD" w:rsidRPr="00BD16B4" w:rsidRDefault="00ED2EBD" w:rsidP="004A205F">
            <w:pPr>
              <w:pStyle w:val="TableText"/>
              <w:spacing w:before="40" w:after="40"/>
              <w:rPr>
                <w:szCs w:val="18"/>
              </w:rPr>
            </w:pPr>
            <w:r w:rsidRPr="00BD16B4">
              <w:rPr>
                <w:szCs w:val="18"/>
              </w:rPr>
              <w:t>G.</w:t>
            </w:r>
            <w:r w:rsidR="00280979" w:rsidRPr="00BD16B4">
              <w:rPr>
                <w:szCs w:val="18"/>
              </w:rPr>
              <w:t xml:space="preserve"> </w:t>
            </w:r>
            <w:r w:rsidRPr="00BD16B4">
              <w:rPr>
                <w:szCs w:val="18"/>
              </w:rPr>
              <w:t>Liming</w:t>
            </w:r>
          </w:p>
        </w:tc>
        <w:tc>
          <w:tcPr>
            <w:tcW w:w="907" w:type="dxa"/>
            <w:tcBorders>
              <w:top w:val="single" w:sz="4" w:space="0" w:color="1B556B" w:themeColor="text2"/>
            </w:tcBorders>
            <w:shd w:val="clear" w:color="auto" w:fill="D2DDE1" w:themeFill="background2"/>
          </w:tcPr>
          <w:p w14:paraId="3DE35AE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623E0C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9742D3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8F7131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9A3FBB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2FDB68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A50923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005354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2D97F6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CF90BA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941C637"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0678D616" w14:textId="77777777" w:rsidTr="00F70C72">
        <w:tc>
          <w:tcPr>
            <w:tcW w:w="3856" w:type="dxa"/>
          </w:tcPr>
          <w:p w14:paraId="1BA8994C" w14:textId="12C3E325" w:rsidR="00ED2EBD" w:rsidRPr="00BD16B4" w:rsidRDefault="00ED2EBD" w:rsidP="004A205F">
            <w:pPr>
              <w:pStyle w:val="TableText"/>
              <w:spacing w:before="40" w:after="40"/>
              <w:rPr>
                <w:szCs w:val="18"/>
              </w:rPr>
            </w:pPr>
            <w:r w:rsidRPr="00BD16B4">
              <w:rPr>
                <w:szCs w:val="18"/>
              </w:rPr>
              <w:t>H.</w:t>
            </w:r>
            <w:r w:rsidR="00280979" w:rsidRPr="00BD16B4">
              <w:rPr>
                <w:szCs w:val="18"/>
              </w:rPr>
              <w:t xml:space="preserve"> </w:t>
            </w:r>
            <w:r w:rsidRPr="00BD16B4">
              <w:rPr>
                <w:szCs w:val="18"/>
              </w:rPr>
              <w:t>Urea application</w:t>
            </w:r>
          </w:p>
        </w:tc>
        <w:tc>
          <w:tcPr>
            <w:tcW w:w="907" w:type="dxa"/>
            <w:tcBorders>
              <w:top w:val="single" w:sz="4" w:space="0" w:color="1B556B" w:themeColor="text2"/>
            </w:tcBorders>
            <w:shd w:val="clear" w:color="auto" w:fill="D2DDE1" w:themeFill="background2"/>
          </w:tcPr>
          <w:p w14:paraId="2E0DC97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1F666F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4D90D4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5DF978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DC46F4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3EEE0B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E2EF31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A309EE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64C22A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1DA901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8D60B36"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461A6447" w14:textId="77777777" w:rsidTr="00F70C72">
        <w:tc>
          <w:tcPr>
            <w:tcW w:w="3856" w:type="dxa"/>
          </w:tcPr>
          <w:p w14:paraId="64B9CEB3" w14:textId="6070E720" w:rsidR="00ED2EBD" w:rsidRPr="00BD16B4" w:rsidRDefault="00ED2EBD" w:rsidP="004A205F">
            <w:pPr>
              <w:pStyle w:val="TableText"/>
              <w:spacing w:before="40" w:after="40"/>
              <w:rPr>
                <w:szCs w:val="18"/>
              </w:rPr>
            </w:pPr>
            <w:r w:rsidRPr="00BD16B4">
              <w:rPr>
                <w:szCs w:val="18"/>
              </w:rPr>
              <w:t>I.</w:t>
            </w:r>
            <w:r w:rsidR="00280979" w:rsidRPr="00BD16B4">
              <w:rPr>
                <w:szCs w:val="18"/>
              </w:rPr>
              <w:t xml:space="preserve"> </w:t>
            </w:r>
            <w:r w:rsidRPr="00BD16B4">
              <w:rPr>
                <w:szCs w:val="18"/>
              </w:rPr>
              <w:t>Other carbon-containing fertilizers</w:t>
            </w:r>
          </w:p>
        </w:tc>
        <w:tc>
          <w:tcPr>
            <w:tcW w:w="907" w:type="dxa"/>
            <w:tcBorders>
              <w:top w:val="single" w:sz="4" w:space="0" w:color="1B556B" w:themeColor="text2"/>
            </w:tcBorders>
            <w:shd w:val="clear" w:color="auto" w:fill="D2DDE1" w:themeFill="background2"/>
          </w:tcPr>
          <w:p w14:paraId="473B988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4570AF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A4BBD9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6B4C48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FE4999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FE4AC7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2BA1C9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8E6A26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2F0CD9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B0CE07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80C2CAB"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723EEE08" w14:textId="77777777" w:rsidTr="00F70C72">
        <w:tc>
          <w:tcPr>
            <w:tcW w:w="3856" w:type="dxa"/>
          </w:tcPr>
          <w:p w14:paraId="7D85CE8E" w14:textId="7B1EF7EF" w:rsidR="00ED2EBD" w:rsidRPr="00BD16B4" w:rsidRDefault="00ED2EBD" w:rsidP="004A205F">
            <w:pPr>
              <w:pStyle w:val="TableText"/>
              <w:spacing w:before="40" w:after="40"/>
              <w:rPr>
                <w:szCs w:val="18"/>
              </w:rPr>
            </w:pPr>
            <w:r w:rsidRPr="00BD16B4">
              <w:rPr>
                <w:szCs w:val="18"/>
              </w:rPr>
              <w:t>J.</w:t>
            </w:r>
            <w:r w:rsidR="00280979" w:rsidRPr="00BD16B4">
              <w:rPr>
                <w:szCs w:val="18"/>
              </w:rPr>
              <w:t xml:space="preserve"> </w:t>
            </w:r>
            <w:r w:rsidRPr="00BD16B4">
              <w:rPr>
                <w:szCs w:val="18"/>
              </w:rPr>
              <w:t xml:space="preserve">Other </w:t>
            </w:r>
          </w:p>
        </w:tc>
        <w:tc>
          <w:tcPr>
            <w:tcW w:w="907" w:type="dxa"/>
            <w:tcBorders>
              <w:top w:val="single" w:sz="4" w:space="0" w:color="1B556B" w:themeColor="text2"/>
            </w:tcBorders>
            <w:shd w:val="clear" w:color="auto" w:fill="D2DDE1" w:themeFill="background2"/>
          </w:tcPr>
          <w:p w14:paraId="11522AD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841C9A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EE0EB5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5B08DB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139990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9B0321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77EEEC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B9A3DC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73FCE4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5D990B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690F620" w14:textId="77777777" w:rsidR="00ED2EBD" w:rsidRPr="00BD16B4" w:rsidRDefault="00ED2EBD" w:rsidP="004A205F">
            <w:pPr>
              <w:pStyle w:val="TableText"/>
              <w:spacing w:before="40" w:after="40"/>
              <w:jc w:val="right"/>
              <w:rPr>
                <w:szCs w:val="18"/>
              </w:rPr>
            </w:pPr>
            <w:r w:rsidRPr="00BD16B4">
              <w:rPr>
                <w:color w:val="000000"/>
                <w:szCs w:val="18"/>
              </w:rPr>
              <w:t> </w:t>
            </w:r>
          </w:p>
        </w:tc>
      </w:tr>
      <w:tr w:rsidR="00F70C72" w:rsidRPr="00BD16B4" w14:paraId="577F5944" w14:textId="77777777" w:rsidTr="00F70C72">
        <w:tc>
          <w:tcPr>
            <w:tcW w:w="3856" w:type="dxa"/>
          </w:tcPr>
          <w:p w14:paraId="733EA2E3" w14:textId="0A9A8461" w:rsidR="00ED2EBD" w:rsidRPr="00BD16B4" w:rsidRDefault="00ED2EBD" w:rsidP="004A205F">
            <w:pPr>
              <w:pStyle w:val="TableText"/>
              <w:spacing w:before="40" w:after="40"/>
              <w:rPr>
                <w:szCs w:val="18"/>
              </w:rPr>
            </w:pPr>
            <w:r w:rsidRPr="00BD16B4">
              <w:rPr>
                <w:b/>
                <w:bCs/>
                <w:szCs w:val="18"/>
              </w:rPr>
              <w:t>4.</w:t>
            </w:r>
            <w:r w:rsidR="00280979" w:rsidRPr="00BD16B4">
              <w:rPr>
                <w:b/>
                <w:bCs/>
                <w:szCs w:val="18"/>
              </w:rPr>
              <w:t xml:space="preserve"> </w:t>
            </w:r>
            <w:r w:rsidRPr="00BD16B4">
              <w:rPr>
                <w:b/>
                <w:bCs/>
                <w:szCs w:val="18"/>
              </w:rPr>
              <w:t>Land Use, Land-Use Change and Forestry</w:t>
            </w:r>
          </w:p>
        </w:tc>
        <w:tc>
          <w:tcPr>
            <w:tcW w:w="907" w:type="dxa"/>
            <w:shd w:val="clear" w:color="auto" w:fill="auto"/>
          </w:tcPr>
          <w:p w14:paraId="44FBD394" w14:textId="77777777" w:rsidR="00ED2EBD" w:rsidRPr="00BD16B4" w:rsidRDefault="00ED2EBD" w:rsidP="004A205F">
            <w:pPr>
              <w:pStyle w:val="TableText"/>
              <w:spacing w:before="40" w:after="40"/>
              <w:jc w:val="right"/>
              <w:rPr>
                <w:szCs w:val="18"/>
              </w:rPr>
            </w:pPr>
            <w:r w:rsidRPr="00BD16B4">
              <w:rPr>
                <w:szCs w:val="18"/>
              </w:rPr>
              <w:t>3.70</w:t>
            </w:r>
          </w:p>
        </w:tc>
        <w:tc>
          <w:tcPr>
            <w:tcW w:w="907" w:type="dxa"/>
            <w:shd w:val="clear" w:color="auto" w:fill="auto"/>
          </w:tcPr>
          <w:p w14:paraId="0BF0AB03" w14:textId="77777777" w:rsidR="00ED2EBD" w:rsidRPr="00BD16B4" w:rsidRDefault="00ED2EBD" w:rsidP="004A205F">
            <w:pPr>
              <w:pStyle w:val="TableText"/>
              <w:spacing w:before="40" w:after="40"/>
              <w:jc w:val="right"/>
              <w:rPr>
                <w:szCs w:val="18"/>
              </w:rPr>
            </w:pPr>
            <w:r w:rsidRPr="00BD16B4">
              <w:rPr>
                <w:szCs w:val="18"/>
              </w:rPr>
              <w:t>2.59</w:t>
            </w:r>
          </w:p>
        </w:tc>
        <w:tc>
          <w:tcPr>
            <w:tcW w:w="907" w:type="dxa"/>
            <w:shd w:val="clear" w:color="auto" w:fill="auto"/>
          </w:tcPr>
          <w:p w14:paraId="2ADD4831" w14:textId="77777777" w:rsidR="00ED2EBD" w:rsidRPr="00BD16B4" w:rsidRDefault="00ED2EBD" w:rsidP="004A205F">
            <w:pPr>
              <w:pStyle w:val="TableText"/>
              <w:spacing w:before="40" w:after="40"/>
              <w:jc w:val="right"/>
              <w:rPr>
                <w:szCs w:val="18"/>
              </w:rPr>
            </w:pPr>
            <w:r w:rsidRPr="00BD16B4">
              <w:rPr>
                <w:szCs w:val="18"/>
              </w:rPr>
              <w:t>3.06</w:t>
            </w:r>
          </w:p>
        </w:tc>
        <w:tc>
          <w:tcPr>
            <w:tcW w:w="907" w:type="dxa"/>
            <w:shd w:val="clear" w:color="auto" w:fill="auto"/>
          </w:tcPr>
          <w:p w14:paraId="062738D3" w14:textId="77777777" w:rsidR="00ED2EBD" w:rsidRPr="00BD16B4" w:rsidRDefault="00ED2EBD" w:rsidP="004A205F">
            <w:pPr>
              <w:pStyle w:val="TableText"/>
              <w:spacing w:before="40" w:after="40"/>
              <w:jc w:val="right"/>
              <w:rPr>
                <w:szCs w:val="18"/>
              </w:rPr>
            </w:pPr>
            <w:r w:rsidRPr="00BD16B4">
              <w:rPr>
                <w:szCs w:val="18"/>
              </w:rPr>
              <w:t>3.02</w:t>
            </w:r>
          </w:p>
        </w:tc>
        <w:tc>
          <w:tcPr>
            <w:tcW w:w="907" w:type="dxa"/>
            <w:shd w:val="clear" w:color="auto" w:fill="auto"/>
          </w:tcPr>
          <w:p w14:paraId="29BBB2E5" w14:textId="77777777" w:rsidR="00ED2EBD" w:rsidRPr="00BD16B4" w:rsidRDefault="00ED2EBD" w:rsidP="004A205F">
            <w:pPr>
              <w:pStyle w:val="TableText"/>
              <w:spacing w:before="40" w:after="40"/>
              <w:jc w:val="right"/>
              <w:rPr>
                <w:szCs w:val="18"/>
              </w:rPr>
            </w:pPr>
            <w:r w:rsidRPr="00BD16B4">
              <w:rPr>
                <w:szCs w:val="18"/>
              </w:rPr>
              <w:t>2.75</w:t>
            </w:r>
          </w:p>
        </w:tc>
        <w:tc>
          <w:tcPr>
            <w:tcW w:w="907" w:type="dxa"/>
            <w:shd w:val="clear" w:color="auto" w:fill="auto"/>
          </w:tcPr>
          <w:p w14:paraId="20CAD688" w14:textId="77777777" w:rsidR="00ED2EBD" w:rsidRPr="00BD16B4" w:rsidRDefault="00ED2EBD" w:rsidP="004A205F">
            <w:pPr>
              <w:pStyle w:val="TableText"/>
              <w:spacing w:before="40" w:after="40"/>
              <w:jc w:val="right"/>
              <w:rPr>
                <w:szCs w:val="18"/>
              </w:rPr>
            </w:pPr>
            <w:r w:rsidRPr="00BD16B4">
              <w:rPr>
                <w:szCs w:val="18"/>
              </w:rPr>
              <w:t>3.09</w:t>
            </w:r>
          </w:p>
        </w:tc>
        <w:tc>
          <w:tcPr>
            <w:tcW w:w="907" w:type="dxa"/>
            <w:shd w:val="clear" w:color="auto" w:fill="auto"/>
          </w:tcPr>
          <w:p w14:paraId="2094E2FE" w14:textId="77777777" w:rsidR="00ED2EBD" w:rsidRPr="00BD16B4" w:rsidRDefault="00ED2EBD" w:rsidP="004A205F">
            <w:pPr>
              <w:pStyle w:val="TableText"/>
              <w:spacing w:before="40" w:after="40"/>
              <w:jc w:val="right"/>
              <w:rPr>
                <w:szCs w:val="18"/>
              </w:rPr>
            </w:pPr>
            <w:r w:rsidRPr="00BD16B4">
              <w:rPr>
                <w:szCs w:val="18"/>
              </w:rPr>
              <w:t>4.31</w:t>
            </w:r>
          </w:p>
        </w:tc>
        <w:tc>
          <w:tcPr>
            <w:tcW w:w="907" w:type="dxa"/>
            <w:shd w:val="clear" w:color="auto" w:fill="auto"/>
          </w:tcPr>
          <w:p w14:paraId="0AD4FDF9" w14:textId="77777777" w:rsidR="00ED2EBD" w:rsidRPr="00BD16B4" w:rsidRDefault="00ED2EBD" w:rsidP="004A205F">
            <w:pPr>
              <w:pStyle w:val="TableText"/>
              <w:spacing w:before="40" w:after="40"/>
              <w:jc w:val="right"/>
              <w:rPr>
                <w:szCs w:val="18"/>
              </w:rPr>
            </w:pPr>
            <w:r w:rsidRPr="00BD16B4">
              <w:rPr>
                <w:szCs w:val="18"/>
              </w:rPr>
              <w:t>3.67</w:t>
            </w:r>
          </w:p>
        </w:tc>
        <w:tc>
          <w:tcPr>
            <w:tcW w:w="907" w:type="dxa"/>
            <w:shd w:val="clear" w:color="auto" w:fill="auto"/>
          </w:tcPr>
          <w:p w14:paraId="281FE8D0" w14:textId="77777777" w:rsidR="00ED2EBD" w:rsidRPr="00BD16B4" w:rsidRDefault="00ED2EBD" w:rsidP="004A205F">
            <w:pPr>
              <w:pStyle w:val="TableText"/>
              <w:spacing w:before="40" w:after="40"/>
              <w:jc w:val="right"/>
              <w:rPr>
                <w:szCs w:val="18"/>
              </w:rPr>
            </w:pPr>
            <w:r w:rsidRPr="00BD16B4">
              <w:rPr>
                <w:szCs w:val="18"/>
              </w:rPr>
              <w:t>2.67</w:t>
            </w:r>
          </w:p>
        </w:tc>
        <w:tc>
          <w:tcPr>
            <w:tcW w:w="907" w:type="dxa"/>
            <w:shd w:val="clear" w:color="auto" w:fill="auto"/>
          </w:tcPr>
          <w:p w14:paraId="6B33459B" w14:textId="77777777" w:rsidR="00ED2EBD" w:rsidRPr="00BD16B4" w:rsidRDefault="00ED2EBD" w:rsidP="004A205F">
            <w:pPr>
              <w:pStyle w:val="TableText"/>
              <w:spacing w:before="40" w:after="40"/>
              <w:jc w:val="right"/>
              <w:rPr>
                <w:szCs w:val="18"/>
              </w:rPr>
            </w:pPr>
            <w:r w:rsidRPr="00BD16B4">
              <w:rPr>
                <w:szCs w:val="18"/>
              </w:rPr>
              <w:t>3.35</w:t>
            </w:r>
          </w:p>
        </w:tc>
        <w:tc>
          <w:tcPr>
            <w:tcW w:w="907" w:type="dxa"/>
            <w:shd w:val="clear" w:color="auto" w:fill="auto"/>
          </w:tcPr>
          <w:p w14:paraId="2902478B" w14:textId="77777777" w:rsidR="00ED2EBD" w:rsidRPr="00BD16B4" w:rsidRDefault="00ED2EBD" w:rsidP="004A205F">
            <w:pPr>
              <w:pStyle w:val="TableText"/>
              <w:spacing w:before="40" w:after="40"/>
              <w:jc w:val="right"/>
              <w:rPr>
                <w:szCs w:val="18"/>
              </w:rPr>
            </w:pPr>
            <w:r w:rsidRPr="00BD16B4">
              <w:rPr>
                <w:szCs w:val="18"/>
              </w:rPr>
              <w:t>3.27</w:t>
            </w:r>
          </w:p>
        </w:tc>
      </w:tr>
      <w:tr w:rsidR="00F70C72" w:rsidRPr="00BD16B4" w14:paraId="79D55FF1" w14:textId="77777777" w:rsidTr="00F70C72">
        <w:tc>
          <w:tcPr>
            <w:tcW w:w="3856" w:type="dxa"/>
          </w:tcPr>
          <w:p w14:paraId="4B906144" w14:textId="64E549AE"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Forest land</w:t>
            </w:r>
          </w:p>
        </w:tc>
        <w:tc>
          <w:tcPr>
            <w:tcW w:w="907" w:type="dxa"/>
            <w:shd w:val="clear" w:color="auto" w:fill="auto"/>
          </w:tcPr>
          <w:p w14:paraId="7CF04631" w14:textId="77777777" w:rsidR="00ED2EBD" w:rsidRPr="00BD16B4" w:rsidRDefault="00ED2EBD" w:rsidP="004A205F">
            <w:pPr>
              <w:pStyle w:val="TableText"/>
              <w:spacing w:before="40" w:after="40"/>
              <w:jc w:val="right"/>
              <w:rPr>
                <w:szCs w:val="18"/>
              </w:rPr>
            </w:pPr>
            <w:r w:rsidRPr="00BD16B4">
              <w:rPr>
                <w:szCs w:val="18"/>
              </w:rPr>
              <w:t>0.67</w:t>
            </w:r>
          </w:p>
        </w:tc>
        <w:tc>
          <w:tcPr>
            <w:tcW w:w="907" w:type="dxa"/>
            <w:shd w:val="clear" w:color="auto" w:fill="auto"/>
          </w:tcPr>
          <w:p w14:paraId="28C1B37F" w14:textId="77777777" w:rsidR="00ED2EBD" w:rsidRPr="00BD16B4" w:rsidRDefault="00ED2EBD" w:rsidP="004A205F">
            <w:pPr>
              <w:pStyle w:val="TableText"/>
              <w:spacing w:before="40" w:after="40"/>
              <w:jc w:val="right"/>
              <w:rPr>
                <w:szCs w:val="18"/>
              </w:rPr>
            </w:pPr>
            <w:r w:rsidRPr="00BD16B4">
              <w:rPr>
                <w:szCs w:val="18"/>
              </w:rPr>
              <w:t>0.57</w:t>
            </w:r>
          </w:p>
        </w:tc>
        <w:tc>
          <w:tcPr>
            <w:tcW w:w="907" w:type="dxa"/>
            <w:shd w:val="clear" w:color="auto" w:fill="auto"/>
          </w:tcPr>
          <w:p w14:paraId="2A0FE5FB" w14:textId="77777777" w:rsidR="00ED2EBD" w:rsidRPr="00BD16B4" w:rsidRDefault="00ED2EBD" w:rsidP="004A205F">
            <w:pPr>
              <w:pStyle w:val="TableText"/>
              <w:spacing w:before="40" w:after="40"/>
              <w:jc w:val="right"/>
              <w:rPr>
                <w:szCs w:val="18"/>
              </w:rPr>
            </w:pPr>
            <w:r w:rsidRPr="00BD16B4">
              <w:rPr>
                <w:szCs w:val="18"/>
              </w:rPr>
              <w:t>0.56</w:t>
            </w:r>
          </w:p>
        </w:tc>
        <w:tc>
          <w:tcPr>
            <w:tcW w:w="907" w:type="dxa"/>
            <w:shd w:val="clear" w:color="auto" w:fill="auto"/>
          </w:tcPr>
          <w:p w14:paraId="3EF695AA" w14:textId="77777777" w:rsidR="00ED2EBD" w:rsidRPr="00BD16B4" w:rsidRDefault="00ED2EBD" w:rsidP="004A205F">
            <w:pPr>
              <w:pStyle w:val="TableText"/>
              <w:spacing w:before="40" w:after="40"/>
              <w:jc w:val="right"/>
              <w:rPr>
                <w:szCs w:val="18"/>
              </w:rPr>
            </w:pPr>
            <w:r w:rsidRPr="00BD16B4">
              <w:rPr>
                <w:szCs w:val="18"/>
              </w:rPr>
              <w:t>0.44</w:t>
            </w:r>
          </w:p>
        </w:tc>
        <w:tc>
          <w:tcPr>
            <w:tcW w:w="907" w:type="dxa"/>
            <w:shd w:val="clear" w:color="auto" w:fill="auto"/>
          </w:tcPr>
          <w:p w14:paraId="14D87F8A" w14:textId="77777777" w:rsidR="00ED2EBD" w:rsidRPr="00BD16B4" w:rsidRDefault="00ED2EBD" w:rsidP="004A205F">
            <w:pPr>
              <w:pStyle w:val="TableText"/>
              <w:spacing w:before="40" w:after="40"/>
              <w:jc w:val="right"/>
              <w:rPr>
                <w:szCs w:val="18"/>
              </w:rPr>
            </w:pPr>
            <w:r w:rsidRPr="00BD16B4">
              <w:rPr>
                <w:szCs w:val="18"/>
              </w:rPr>
              <w:t>0.54</w:t>
            </w:r>
          </w:p>
        </w:tc>
        <w:tc>
          <w:tcPr>
            <w:tcW w:w="907" w:type="dxa"/>
            <w:shd w:val="clear" w:color="auto" w:fill="auto"/>
          </w:tcPr>
          <w:p w14:paraId="50A1905F" w14:textId="77777777" w:rsidR="00ED2EBD" w:rsidRPr="00BD16B4" w:rsidRDefault="00ED2EBD" w:rsidP="004A205F">
            <w:pPr>
              <w:pStyle w:val="TableText"/>
              <w:spacing w:before="40" w:after="40"/>
              <w:jc w:val="right"/>
              <w:rPr>
                <w:szCs w:val="18"/>
              </w:rPr>
            </w:pPr>
            <w:r w:rsidRPr="00BD16B4">
              <w:rPr>
                <w:szCs w:val="18"/>
              </w:rPr>
              <w:t>1.27</w:t>
            </w:r>
          </w:p>
        </w:tc>
        <w:tc>
          <w:tcPr>
            <w:tcW w:w="907" w:type="dxa"/>
            <w:shd w:val="clear" w:color="auto" w:fill="auto"/>
          </w:tcPr>
          <w:p w14:paraId="612C720A" w14:textId="77777777" w:rsidR="00ED2EBD" w:rsidRPr="00BD16B4" w:rsidRDefault="00ED2EBD" w:rsidP="004A205F">
            <w:pPr>
              <w:pStyle w:val="TableText"/>
              <w:spacing w:before="40" w:after="40"/>
              <w:jc w:val="right"/>
              <w:rPr>
                <w:szCs w:val="18"/>
              </w:rPr>
            </w:pPr>
            <w:r w:rsidRPr="00BD16B4">
              <w:rPr>
                <w:szCs w:val="18"/>
              </w:rPr>
              <w:t>1.08</w:t>
            </w:r>
          </w:p>
        </w:tc>
        <w:tc>
          <w:tcPr>
            <w:tcW w:w="907" w:type="dxa"/>
            <w:shd w:val="clear" w:color="auto" w:fill="auto"/>
          </w:tcPr>
          <w:p w14:paraId="011FC832" w14:textId="77777777" w:rsidR="00ED2EBD" w:rsidRPr="00BD16B4" w:rsidRDefault="00ED2EBD" w:rsidP="004A205F">
            <w:pPr>
              <w:pStyle w:val="TableText"/>
              <w:spacing w:before="40" w:after="40"/>
              <w:jc w:val="right"/>
              <w:rPr>
                <w:szCs w:val="18"/>
              </w:rPr>
            </w:pPr>
            <w:r w:rsidRPr="00BD16B4">
              <w:rPr>
                <w:szCs w:val="18"/>
              </w:rPr>
              <w:t>0.55</w:t>
            </w:r>
          </w:p>
        </w:tc>
        <w:tc>
          <w:tcPr>
            <w:tcW w:w="907" w:type="dxa"/>
            <w:shd w:val="clear" w:color="auto" w:fill="auto"/>
          </w:tcPr>
          <w:p w14:paraId="3B4FE27B" w14:textId="77777777" w:rsidR="00ED2EBD" w:rsidRPr="00BD16B4" w:rsidRDefault="00ED2EBD" w:rsidP="004A205F">
            <w:pPr>
              <w:pStyle w:val="TableText"/>
              <w:spacing w:before="40" w:after="40"/>
              <w:jc w:val="right"/>
              <w:rPr>
                <w:szCs w:val="18"/>
              </w:rPr>
            </w:pPr>
            <w:r w:rsidRPr="00BD16B4">
              <w:rPr>
                <w:szCs w:val="18"/>
              </w:rPr>
              <w:t>0.67</w:t>
            </w:r>
          </w:p>
        </w:tc>
        <w:tc>
          <w:tcPr>
            <w:tcW w:w="907" w:type="dxa"/>
            <w:shd w:val="clear" w:color="auto" w:fill="auto"/>
          </w:tcPr>
          <w:p w14:paraId="02B06AFF" w14:textId="77777777" w:rsidR="00ED2EBD" w:rsidRPr="00BD16B4" w:rsidRDefault="00ED2EBD" w:rsidP="004A205F">
            <w:pPr>
              <w:pStyle w:val="TableText"/>
              <w:spacing w:before="40" w:after="40"/>
              <w:jc w:val="right"/>
              <w:rPr>
                <w:szCs w:val="18"/>
              </w:rPr>
            </w:pPr>
            <w:r w:rsidRPr="00BD16B4">
              <w:rPr>
                <w:szCs w:val="18"/>
              </w:rPr>
              <w:t>2.19</w:t>
            </w:r>
          </w:p>
        </w:tc>
        <w:tc>
          <w:tcPr>
            <w:tcW w:w="907" w:type="dxa"/>
            <w:shd w:val="clear" w:color="auto" w:fill="auto"/>
          </w:tcPr>
          <w:p w14:paraId="45055D34" w14:textId="77777777" w:rsidR="00ED2EBD" w:rsidRPr="00BD16B4" w:rsidRDefault="00ED2EBD" w:rsidP="004A205F">
            <w:pPr>
              <w:pStyle w:val="TableText"/>
              <w:spacing w:before="40" w:after="40"/>
              <w:jc w:val="right"/>
              <w:rPr>
                <w:szCs w:val="18"/>
              </w:rPr>
            </w:pPr>
            <w:r w:rsidRPr="00BD16B4">
              <w:rPr>
                <w:szCs w:val="18"/>
              </w:rPr>
              <w:t>2.37</w:t>
            </w:r>
          </w:p>
        </w:tc>
      </w:tr>
      <w:tr w:rsidR="00F70C72" w:rsidRPr="00BD16B4" w14:paraId="32FD34A7" w14:textId="77777777" w:rsidTr="00F70C72">
        <w:tc>
          <w:tcPr>
            <w:tcW w:w="3856" w:type="dxa"/>
          </w:tcPr>
          <w:p w14:paraId="09CE9F68" w14:textId="394B805B"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Cropland</w:t>
            </w:r>
          </w:p>
        </w:tc>
        <w:tc>
          <w:tcPr>
            <w:tcW w:w="907" w:type="dxa"/>
            <w:shd w:val="clear" w:color="auto" w:fill="auto"/>
          </w:tcPr>
          <w:p w14:paraId="56C62030" w14:textId="77777777" w:rsidR="00ED2EBD" w:rsidRPr="00BD16B4" w:rsidRDefault="00ED2EBD" w:rsidP="004A205F">
            <w:pPr>
              <w:pStyle w:val="TableText"/>
              <w:spacing w:before="40" w:after="40"/>
              <w:jc w:val="right"/>
              <w:rPr>
                <w:szCs w:val="18"/>
              </w:rPr>
            </w:pPr>
            <w:r w:rsidRPr="00BD16B4">
              <w:rPr>
                <w:szCs w:val="18"/>
              </w:rPr>
              <w:t>NE, IE</w:t>
            </w:r>
          </w:p>
        </w:tc>
        <w:tc>
          <w:tcPr>
            <w:tcW w:w="907" w:type="dxa"/>
            <w:shd w:val="clear" w:color="auto" w:fill="auto"/>
          </w:tcPr>
          <w:p w14:paraId="09CDAF40" w14:textId="77777777" w:rsidR="00ED2EBD" w:rsidRPr="00BD16B4" w:rsidRDefault="00ED2EBD" w:rsidP="004A205F">
            <w:pPr>
              <w:pStyle w:val="TableText"/>
              <w:spacing w:before="40" w:after="40"/>
              <w:jc w:val="right"/>
              <w:rPr>
                <w:szCs w:val="18"/>
              </w:rPr>
            </w:pPr>
            <w:r w:rsidRPr="00BD16B4">
              <w:rPr>
                <w:szCs w:val="18"/>
              </w:rPr>
              <w:t>NE, IE</w:t>
            </w:r>
          </w:p>
        </w:tc>
        <w:tc>
          <w:tcPr>
            <w:tcW w:w="907" w:type="dxa"/>
            <w:shd w:val="clear" w:color="auto" w:fill="auto"/>
          </w:tcPr>
          <w:p w14:paraId="32C8ED9D" w14:textId="77777777" w:rsidR="00ED2EBD" w:rsidRPr="00BD16B4" w:rsidRDefault="00ED2EBD" w:rsidP="004A205F">
            <w:pPr>
              <w:pStyle w:val="TableText"/>
              <w:spacing w:before="40" w:after="40"/>
              <w:jc w:val="right"/>
              <w:rPr>
                <w:szCs w:val="18"/>
              </w:rPr>
            </w:pPr>
            <w:r w:rsidRPr="00BD16B4">
              <w:rPr>
                <w:szCs w:val="18"/>
              </w:rPr>
              <w:t>NE, IE</w:t>
            </w:r>
          </w:p>
        </w:tc>
        <w:tc>
          <w:tcPr>
            <w:tcW w:w="907" w:type="dxa"/>
            <w:shd w:val="clear" w:color="auto" w:fill="auto"/>
          </w:tcPr>
          <w:p w14:paraId="61505ED3" w14:textId="77777777" w:rsidR="00ED2EBD" w:rsidRPr="00BD16B4" w:rsidRDefault="00ED2EBD" w:rsidP="004A205F">
            <w:pPr>
              <w:pStyle w:val="TableText"/>
              <w:spacing w:before="40" w:after="40"/>
              <w:jc w:val="right"/>
              <w:rPr>
                <w:szCs w:val="18"/>
              </w:rPr>
            </w:pPr>
            <w:r w:rsidRPr="00BD16B4">
              <w:rPr>
                <w:szCs w:val="18"/>
              </w:rPr>
              <w:t>NE, IE</w:t>
            </w:r>
          </w:p>
        </w:tc>
        <w:tc>
          <w:tcPr>
            <w:tcW w:w="907" w:type="dxa"/>
            <w:shd w:val="clear" w:color="auto" w:fill="auto"/>
          </w:tcPr>
          <w:p w14:paraId="6352A6BB" w14:textId="77777777" w:rsidR="00ED2EBD" w:rsidRPr="00BD16B4" w:rsidRDefault="00ED2EBD" w:rsidP="004A205F">
            <w:pPr>
              <w:pStyle w:val="TableText"/>
              <w:spacing w:before="40" w:after="40"/>
              <w:jc w:val="right"/>
              <w:rPr>
                <w:szCs w:val="18"/>
              </w:rPr>
            </w:pPr>
            <w:r w:rsidRPr="00BD16B4">
              <w:rPr>
                <w:szCs w:val="18"/>
              </w:rPr>
              <w:t>NE, IE</w:t>
            </w:r>
          </w:p>
        </w:tc>
        <w:tc>
          <w:tcPr>
            <w:tcW w:w="907" w:type="dxa"/>
            <w:shd w:val="clear" w:color="auto" w:fill="auto"/>
          </w:tcPr>
          <w:p w14:paraId="74D34B37" w14:textId="77777777" w:rsidR="00ED2EBD" w:rsidRPr="00BD16B4" w:rsidRDefault="00ED2EBD" w:rsidP="004A205F">
            <w:pPr>
              <w:pStyle w:val="TableText"/>
              <w:spacing w:before="40" w:after="40"/>
              <w:jc w:val="right"/>
              <w:rPr>
                <w:szCs w:val="18"/>
              </w:rPr>
            </w:pPr>
            <w:r w:rsidRPr="00BD16B4">
              <w:rPr>
                <w:szCs w:val="18"/>
              </w:rPr>
              <w:t>NE, IE</w:t>
            </w:r>
          </w:p>
        </w:tc>
        <w:tc>
          <w:tcPr>
            <w:tcW w:w="907" w:type="dxa"/>
            <w:shd w:val="clear" w:color="auto" w:fill="auto"/>
          </w:tcPr>
          <w:p w14:paraId="68F983C6" w14:textId="77777777" w:rsidR="00ED2EBD" w:rsidRPr="00BD16B4" w:rsidRDefault="00ED2EBD" w:rsidP="004A205F">
            <w:pPr>
              <w:pStyle w:val="TableText"/>
              <w:spacing w:before="40" w:after="40"/>
              <w:jc w:val="right"/>
              <w:rPr>
                <w:szCs w:val="18"/>
              </w:rPr>
            </w:pPr>
            <w:r w:rsidRPr="00BD16B4">
              <w:rPr>
                <w:szCs w:val="18"/>
              </w:rPr>
              <w:t>NE, IE</w:t>
            </w:r>
          </w:p>
        </w:tc>
        <w:tc>
          <w:tcPr>
            <w:tcW w:w="907" w:type="dxa"/>
            <w:shd w:val="clear" w:color="auto" w:fill="auto"/>
          </w:tcPr>
          <w:p w14:paraId="47413A71" w14:textId="77777777" w:rsidR="00ED2EBD" w:rsidRPr="00BD16B4" w:rsidRDefault="00ED2EBD" w:rsidP="004A205F">
            <w:pPr>
              <w:pStyle w:val="TableText"/>
              <w:spacing w:before="40" w:after="40"/>
              <w:jc w:val="right"/>
              <w:rPr>
                <w:szCs w:val="18"/>
              </w:rPr>
            </w:pPr>
            <w:r w:rsidRPr="00BD16B4">
              <w:rPr>
                <w:szCs w:val="18"/>
              </w:rPr>
              <w:t>NE, IE</w:t>
            </w:r>
          </w:p>
        </w:tc>
        <w:tc>
          <w:tcPr>
            <w:tcW w:w="907" w:type="dxa"/>
            <w:shd w:val="clear" w:color="auto" w:fill="auto"/>
          </w:tcPr>
          <w:p w14:paraId="2C6BD007" w14:textId="77777777" w:rsidR="00ED2EBD" w:rsidRPr="00BD16B4" w:rsidRDefault="00ED2EBD" w:rsidP="004A205F">
            <w:pPr>
              <w:pStyle w:val="TableText"/>
              <w:spacing w:before="40" w:after="40"/>
              <w:jc w:val="right"/>
              <w:rPr>
                <w:szCs w:val="18"/>
              </w:rPr>
            </w:pPr>
            <w:r w:rsidRPr="00BD16B4">
              <w:rPr>
                <w:szCs w:val="18"/>
              </w:rPr>
              <w:t>NE, IE</w:t>
            </w:r>
          </w:p>
        </w:tc>
        <w:tc>
          <w:tcPr>
            <w:tcW w:w="907" w:type="dxa"/>
            <w:shd w:val="clear" w:color="auto" w:fill="auto"/>
          </w:tcPr>
          <w:p w14:paraId="3F186141" w14:textId="77777777" w:rsidR="00ED2EBD" w:rsidRPr="00BD16B4" w:rsidRDefault="00ED2EBD" w:rsidP="004A205F">
            <w:pPr>
              <w:pStyle w:val="TableText"/>
              <w:spacing w:before="40" w:after="40"/>
              <w:jc w:val="right"/>
              <w:rPr>
                <w:szCs w:val="18"/>
              </w:rPr>
            </w:pPr>
            <w:r w:rsidRPr="00BD16B4">
              <w:rPr>
                <w:szCs w:val="18"/>
              </w:rPr>
              <w:t>NE, IE</w:t>
            </w:r>
          </w:p>
        </w:tc>
        <w:tc>
          <w:tcPr>
            <w:tcW w:w="907" w:type="dxa"/>
            <w:shd w:val="clear" w:color="auto" w:fill="auto"/>
          </w:tcPr>
          <w:p w14:paraId="2557C3BF" w14:textId="77777777" w:rsidR="00ED2EBD" w:rsidRPr="00BD16B4" w:rsidRDefault="00ED2EBD" w:rsidP="004A205F">
            <w:pPr>
              <w:pStyle w:val="TableText"/>
              <w:spacing w:before="40" w:after="40"/>
              <w:jc w:val="right"/>
              <w:rPr>
                <w:szCs w:val="18"/>
              </w:rPr>
            </w:pPr>
            <w:r w:rsidRPr="00BD16B4">
              <w:rPr>
                <w:szCs w:val="18"/>
              </w:rPr>
              <w:t>NE, IE</w:t>
            </w:r>
          </w:p>
        </w:tc>
      </w:tr>
      <w:tr w:rsidR="00F70C72" w:rsidRPr="00BD16B4" w14:paraId="0646AE1A" w14:textId="77777777" w:rsidTr="00F70C72">
        <w:tc>
          <w:tcPr>
            <w:tcW w:w="3856" w:type="dxa"/>
          </w:tcPr>
          <w:p w14:paraId="36D9C256" w14:textId="1A88260B"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Grassland</w:t>
            </w:r>
          </w:p>
        </w:tc>
        <w:tc>
          <w:tcPr>
            <w:tcW w:w="907" w:type="dxa"/>
            <w:shd w:val="clear" w:color="auto" w:fill="auto"/>
          </w:tcPr>
          <w:p w14:paraId="5B0124A6" w14:textId="77777777" w:rsidR="00ED2EBD" w:rsidRPr="00BD16B4" w:rsidRDefault="00ED2EBD" w:rsidP="004A205F">
            <w:pPr>
              <w:pStyle w:val="TableText"/>
              <w:spacing w:before="40" w:after="40"/>
              <w:jc w:val="right"/>
              <w:rPr>
                <w:szCs w:val="18"/>
              </w:rPr>
            </w:pPr>
            <w:r w:rsidRPr="00BD16B4">
              <w:rPr>
                <w:szCs w:val="18"/>
              </w:rPr>
              <w:t>3.02</w:t>
            </w:r>
          </w:p>
        </w:tc>
        <w:tc>
          <w:tcPr>
            <w:tcW w:w="907" w:type="dxa"/>
            <w:shd w:val="clear" w:color="auto" w:fill="auto"/>
          </w:tcPr>
          <w:p w14:paraId="55E7D21D" w14:textId="77777777" w:rsidR="00ED2EBD" w:rsidRPr="00BD16B4" w:rsidRDefault="00ED2EBD" w:rsidP="004A205F">
            <w:pPr>
              <w:pStyle w:val="TableText"/>
              <w:spacing w:before="40" w:after="40"/>
              <w:jc w:val="right"/>
              <w:rPr>
                <w:szCs w:val="18"/>
              </w:rPr>
            </w:pPr>
            <w:r w:rsidRPr="00BD16B4">
              <w:rPr>
                <w:szCs w:val="18"/>
              </w:rPr>
              <w:t>2.01</w:t>
            </w:r>
          </w:p>
        </w:tc>
        <w:tc>
          <w:tcPr>
            <w:tcW w:w="907" w:type="dxa"/>
            <w:shd w:val="clear" w:color="auto" w:fill="auto"/>
          </w:tcPr>
          <w:p w14:paraId="39748C42" w14:textId="77777777" w:rsidR="00ED2EBD" w:rsidRPr="00BD16B4" w:rsidRDefault="00ED2EBD" w:rsidP="004A205F">
            <w:pPr>
              <w:pStyle w:val="TableText"/>
              <w:spacing w:before="40" w:after="40"/>
              <w:jc w:val="right"/>
              <w:rPr>
                <w:szCs w:val="18"/>
              </w:rPr>
            </w:pPr>
            <w:r w:rsidRPr="00BD16B4">
              <w:rPr>
                <w:szCs w:val="18"/>
              </w:rPr>
              <w:t>2.49</w:t>
            </w:r>
          </w:p>
        </w:tc>
        <w:tc>
          <w:tcPr>
            <w:tcW w:w="907" w:type="dxa"/>
            <w:shd w:val="clear" w:color="auto" w:fill="auto"/>
          </w:tcPr>
          <w:p w14:paraId="4735A521" w14:textId="77777777" w:rsidR="00ED2EBD" w:rsidRPr="00BD16B4" w:rsidRDefault="00ED2EBD" w:rsidP="004A205F">
            <w:pPr>
              <w:pStyle w:val="TableText"/>
              <w:spacing w:before="40" w:after="40"/>
              <w:jc w:val="right"/>
              <w:rPr>
                <w:szCs w:val="18"/>
              </w:rPr>
            </w:pPr>
            <w:r w:rsidRPr="00BD16B4">
              <w:rPr>
                <w:szCs w:val="18"/>
              </w:rPr>
              <w:t>2.59</w:t>
            </w:r>
          </w:p>
        </w:tc>
        <w:tc>
          <w:tcPr>
            <w:tcW w:w="907" w:type="dxa"/>
            <w:shd w:val="clear" w:color="auto" w:fill="auto"/>
          </w:tcPr>
          <w:p w14:paraId="700CC511" w14:textId="77777777" w:rsidR="00ED2EBD" w:rsidRPr="00BD16B4" w:rsidRDefault="00ED2EBD" w:rsidP="004A205F">
            <w:pPr>
              <w:pStyle w:val="TableText"/>
              <w:spacing w:before="40" w:after="40"/>
              <w:jc w:val="right"/>
              <w:rPr>
                <w:szCs w:val="18"/>
              </w:rPr>
            </w:pPr>
            <w:r w:rsidRPr="00BD16B4">
              <w:rPr>
                <w:szCs w:val="18"/>
              </w:rPr>
              <w:t>2.21</w:t>
            </w:r>
          </w:p>
        </w:tc>
        <w:tc>
          <w:tcPr>
            <w:tcW w:w="907" w:type="dxa"/>
            <w:shd w:val="clear" w:color="auto" w:fill="auto"/>
          </w:tcPr>
          <w:p w14:paraId="34F11476" w14:textId="77777777" w:rsidR="00ED2EBD" w:rsidRPr="00BD16B4" w:rsidRDefault="00ED2EBD" w:rsidP="004A205F">
            <w:pPr>
              <w:pStyle w:val="TableText"/>
              <w:spacing w:before="40" w:after="40"/>
              <w:jc w:val="right"/>
              <w:rPr>
                <w:szCs w:val="18"/>
              </w:rPr>
            </w:pPr>
            <w:r w:rsidRPr="00BD16B4">
              <w:rPr>
                <w:szCs w:val="18"/>
              </w:rPr>
              <w:t>1.82</w:t>
            </w:r>
          </w:p>
        </w:tc>
        <w:tc>
          <w:tcPr>
            <w:tcW w:w="907" w:type="dxa"/>
            <w:shd w:val="clear" w:color="auto" w:fill="auto"/>
          </w:tcPr>
          <w:p w14:paraId="1FAAD34D" w14:textId="77777777" w:rsidR="00ED2EBD" w:rsidRPr="00BD16B4" w:rsidRDefault="00ED2EBD" w:rsidP="004A205F">
            <w:pPr>
              <w:pStyle w:val="TableText"/>
              <w:spacing w:before="40" w:after="40"/>
              <w:jc w:val="right"/>
              <w:rPr>
                <w:szCs w:val="18"/>
              </w:rPr>
            </w:pPr>
            <w:r w:rsidRPr="00BD16B4">
              <w:rPr>
                <w:szCs w:val="18"/>
              </w:rPr>
              <w:t>3.23</w:t>
            </w:r>
          </w:p>
        </w:tc>
        <w:tc>
          <w:tcPr>
            <w:tcW w:w="907" w:type="dxa"/>
            <w:shd w:val="clear" w:color="auto" w:fill="auto"/>
          </w:tcPr>
          <w:p w14:paraId="7779020B" w14:textId="77777777" w:rsidR="00ED2EBD" w:rsidRPr="00BD16B4" w:rsidRDefault="00ED2EBD" w:rsidP="004A205F">
            <w:pPr>
              <w:pStyle w:val="TableText"/>
              <w:spacing w:before="40" w:after="40"/>
              <w:jc w:val="right"/>
              <w:rPr>
                <w:szCs w:val="18"/>
              </w:rPr>
            </w:pPr>
            <w:r w:rsidRPr="00BD16B4">
              <w:rPr>
                <w:szCs w:val="18"/>
              </w:rPr>
              <w:t>3.12</w:t>
            </w:r>
          </w:p>
        </w:tc>
        <w:tc>
          <w:tcPr>
            <w:tcW w:w="907" w:type="dxa"/>
            <w:shd w:val="clear" w:color="auto" w:fill="auto"/>
          </w:tcPr>
          <w:p w14:paraId="78504E5D" w14:textId="77777777" w:rsidR="00ED2EBD" w:rsidRPr="00BD16B4" w:rsidRDefault="00ED2EBD" w:rsidP="004A205F">
            <w:pPr>
              <w:pStyle w:val="TableText"/>
              <w:spacing w:before="40" w:after="40"/>
              <w:jc w:val="right"/>
              <w:rPr>
                <w:szCs w:val="18"/>
              </w:rPr>
            </w:pPr>
            <w:r w:rsidRPr="00BD16B4">
              <w:rPr>
                <w:szCs w:val="18"/>
              </w:rPr>
              <w:t>2.00</w:t>
            </w:r>
          </w:p>
        </w:tc>
        <w:tc>
          <w:tcPr>
            <w:tcW w:w="907" w:type="dxa"/>
            <w:shd w:val="clear" w:color="auto" w:fill="auto"/>
          </w:tcPr>
          <w:p w14:paraId="3BDB350E" w14:textId="77777777" w:rsidR="00ED2EBD" w:rsidRPr="00BD16B4" w:rsidRDefault="00ED2EBD" w:rsidP="004A205F">
            <w:pPr>
              <w:pStyle w:val="TableText"/>
              <w:spacing w:before="40" w:after="40"/>
              <w:jc w:val="right"/>
              <w:rPr>
                <w:szCs w:val="18"/>
              </w:rPr>
            </w:pPr>
            <w:r w:rsidRPr="00BD16B4">
              <w:rPr>
                <w:szCs w:val="18"/>
              </w:rPr>
              <w:t>1.16</w:t>
            </w:r>
          </w:p>
        </w:tc>
        <w:tc>
          <w:tcPr>
            <w:tcW w:w="907" w:type="dxa"/>
            <w:shd w:val="clear" w:color="auto" w:fill="auto"/>
          </w:tcPr>
          <w:p w14:paraId="638F29E2" w14:textId="77777777" w:rsidR="00ED2EBD" w:rsidRPr="00BD16B4" w:rsidRDefault="00ED2EBD" w:rsidP="004A205F">
            <w:pPr>
              <w:pStyle w:val="TableText"/>
              <w:spacing w:before="40" w:after="40"/>
              <w:jc w:val="right"/>
              <w:rPr>
                <w:szCs w:val="18"/>
              </w:rPr>
            </w:pPr>
            <w:r w:rsidRPr="00BD16B4">
              <w:rPr>
                <w:szCs w:val="18"/>
              </w:rPr>
              <w:t>0.90</w:t>
            </w:r>
          </w:p>
        </w:tc>
      </w:tr>
      <w:tr w:rsidR="00F70C72" w:rsidRPr="00BD16B4" w14:paraId="7A24C1FF" w14:textId="77777777" w:rsidTr="00F70C72">
        <w:tc>
          <w:tcPr>
            <w:tcW w:w="3856" w:type="dxa"/>
          </w:tcPr>
          <w:p w14:paraId="6091DD9B" w14:textId="433A21BC" w:rsidR="00ED2EBD" w:rsidRPr="00BD16B4" w:rsidRDefault="00ED2EBD" w:rsidP="004A205F">
            <w:pPr>
              <w:pStyle w:val="TableText"/>
              <w:spacing w:before="40" w:after="40"/>
              <w:rPr>
                <w:szCs w:val="18"/>
              </w:rPr>
            </w:pPr>
            <w:r w:rsidRPr="00BD16B4">
              <w:rPr>
                <w:szCs w:val="18"/>
              </w:rPr>
              <w:lastRenderedPageBreak/>
              <w:t>D.</w:t>
            </w:r>
            <w:r w:rsidR="00280979" w:rsidRPr="00BD16B4">
              <w:rPr>
                <w:szCs w:val="18"/>
              </w:rPr>
              <w:t xml:space="preserve"> </w:t>
            </w:r>
            <w:r w:rsidRPr="00BD16B4">
              <w:rPr>
                <w:szCs w:val="18"/>
              </w:rPr>
              <w:t>Wetlands</w:t>
            </w:r>
          </w:p>
        </w:tc>
        <w:tc>
          <w:tcPr>
            <w:tcW w:w="907" w:type="dxa"/>
            <w:shd w:val="clear" w:color="auto" w:fill="auto"/>
          </w:tcPr>
          <w:p w14:paraId="56EF6C0F" w14:textId="77777777" w:rsidR="00ED2EBD" w:rsidRPr="00BD16B4" w:rsidRDefault="00ED2EBD" w:rsidP="004A205F">
            <w:pPr>
              <w:pStyle w:val="TableText"/>
              <w:spacing w:before="40" w:after="40"/>
              <w:jc w:val="right"/>
              <w:rPr>
                <w:szCs w:val="18"/>
              </w:rPr>
            </w:pPr>
            <w:r w:rsidRPr="00BD16B4">
              <w:rPr>
                <w:szCs w:val="18"/>
              </w:rPr>
              <w:t>NE, NO</w:t>
            </w:r>
          </w:p>
        </w:tc>
        <w:tc>
          <w:tcPr>
            <w:tcW w:w="907" w:type="dxa"/>
            <w:shd w:val="clear" w:color="auto" w:fill="auto"/>
          </w:tcPr>
          <w:p w14:paraId="3A1152BE" w14:textId="77777777" w:rsidR="00ED2EBD" w:rsidRPr="00BD16B4" w:rsidRDefault="00ED2EBD" w:rsidP="004A205F">
            <w:pPr>
              <w:pStyle w:val="TableText"/>
              <w:spacing w:before="40" w:after="40"/>
              <w:jc w:val="right"/>
              <w:rPr>
                <w:szCs w:val="18"/>
              </w:rPr>
            </w:pPr>
            <w:r w:rsidRPr="00BD16B4">
              <w:rPr>
                <w:szCs w:val="18"/>
              </w:rPr>
              <w:t>NE, NO</w:t>
            </w:r>
          </w:p>
        </w:tc>
        <w:tc>
          <w:tcPr>
            <w:tcW w:w="907" w:type="dxa"/>
            <w:shd w:val="clear" w:color="auto" w:fill="auto"/>
          </w:tcPr>
          <w:p w14:paraId="45A00DF4" w14:textId="77777777" w:rsidR="00ED2EBD" w:rsidRPr="00BD16B4" w:rsidRDefault="00ED2EBD" w:rsidP="004A205F">
            <w:pPr>
              <w:pStyle w:val="TableText"/>
              <w:spacing w:before="40" w:after="40"/>
              <w:jc w:val="right"/>
              <w:rPr>
                <w:szCs w:val="18"/>
              </w:rPr>
            </w:pPr>
            <w:r w:rsidRPr="00BD16B4">
              <w:rPr>
                <w:szCs w:val="18"/>
              </w:rPr>
              <w:t>NE, NO</w:t>
            </w:r>
          </w:p>
        </w:tc>
        <w:tc>
          <w:tcPr>
            <w:tcW w:w="907" w:type="dxa"/>
            <w:shd w:val="clear" w:color="auto" w:fill="auto"/>
          </w:tcPr>
          <w:p w14:paraId="284415B2" w14:textId="77777777" w:rsidR="00ED2EBD" w:rsidRPr="00BD16B4" w:rsidRDefault="00ED2EBD" w:rsidP="004A205F">
            <w:pPr>
              <w:pStyle w:val="TableText"/>
              <w:spacing w:before="40" w:after="40"/>
              <w:jc w:val="right"/>
              <w:rPr>
                <w:szCs w:val="18"/>
              </w:rPr>
            </w:pPr>
            <w:r w:rsidRPr="00BD16B4">
              <w:rPr>
                <w:szCs w:val="18"/>
              </w:rPr>
              <w:t>NE, NO</w:t>
            </w:r>
          </w:p>
        </w:tc>
        <w:tc>
          <w:tcPr>
            <w:tcW w:w="907" w:type="dxa"/>
            <w:shd w:val="clear" w:color="auto" w:fill="auto"/>
          </w:tcPr>
          <w:p w14:paraId="57010F26" w14:textId="77777777" w:rsidR="00ED2EBD" w:rsidRPr="00BD16B4" w:rsidRDefault="00ED2EBD" w:rsidP="004A205F">
            <w:pPr>
              <w:pStyle w:val="TableText"/>
              <w:spacing w:before="40" w:after="40"/>
              <w:jc w:val="right"/>
              <w:rPr>
                <w:szCs w:val="18"/>
              </w:rPr>
            </w:pPr>
            <w:r w:rsidRPr="00BD16B4">
              <w:rPr>
                <w:szCs w:val="18"/>
              </w:rPr>
              <w:t>NE, NO</w:t>
            </w:r>
          </w:p>
        </w:tc>
        <w:tc>
          <w:tcPr>
            <w:tcW w:w="907" w:type="dxa"/>
            <w:shd w:val="clear" w:color="auto" w:fill="auto"/>
          </w:tcPr>
          <w:p w14:paraId="5EAF1B91" w14:textId="77777777" w:rsidR="00ED2EBD" w:rsidRPr="00BD16B4" w:rsidRDefault="00ED2EBD" w:rsidP="004A205F">
            <w:pPr>
              <w:pStyle w:val="TableText"/>
              <w:spacing w:before="40" w:after="40"/>
              <w:jc w:val="right"/>
              <w:rPr>
                <w:szCs w:val="18"/>
              </w:rPr>
            </w:pPr>
            <w:r w:rsidRPr="00BD16B4">
              <w:rPr>
                <w:szCs w:val="18"/>
              </w:rPr>
              <w:t>NE, NO</w:t>
            </w:r>
          </w:p>
        </w:tc>
        <w:tc>
          <w:tcPr>
            <w:tcW w:w="907" w:type="dxa"/>
            <w:shd w:val="clear" w:color="auto" w:fill="auto"/>
          </w:tcPr>
          <w:p w14:paraId="7EC15FB1" w14:textId="77777777" w:rsidR="00ED2EBD" w:rsidRPr="00BD16B4" w:rsidRDefault="00ED2EBD" w:rsidP="004A205F">
            <w:pPr>
              <w:pStyle w:val="TableText"/>
              <w:spacing w:before="40" w:after="40"/>
              <w:jc w:val="right"/>
              <w:rPr>
                <w:szCs w:val="18"/>
              </w:rPr>
            </w:pPr>
            <w:r w:rsidRPr="00BD16B4">
              <w:rPr>
                <w:szCs w:val="18"/>
              </w:rPr>
              <w:t>NO, NE</w:t>
            </w:r>
          </w:p>
        </w:tc>
        <w:tc>
          <w:tcPr>
            <w:tcW w:w="907" w:type="dxa"/>
            <w:shd w:val="clear" w:color="auto" w:fill="auto"/>
          </w:tcPr>
          <w:p w14:paraId="5B80F738" w14:textId="77777777" w:rsidR="00ED2EBD" w:rsidRPr="00BD16B4" w:rsidRDefault="00ED2EBD" w:rsidP="004A205F">
            <w:pPr>
              <w:pStyle w:val="TableText"/>
              <w:spacing w:before="40" w:after="40"/>
              <w:jc w:val="right"/>
              <w:rPr>
                <w:szCs w:val="18"/>
              </w:rPr>
            </w:pPr>
            <w:r w:rsidRPr="00BD16B4">
              <w:rPr>
                <w:szCs w:val="18"/>
              </w:rPr>
              <w:t>NO, NE</w:t>
            </w:r>
          </w:p>
        </w:tc>
        <w:tc>
          <w:tcPr>
            <w:tcW w:w="907" w:type="dxa"/>
            <w:shd w:val="clear" w:color="auto" w:fill="auto"/>
          </w:tcPr>
          <w:p w14:paraId="7D990B2A" w14:textId="77777777" w:rsidR="00ED2EBD" w:rsidRPr="00BD16B4" w:rsidRDefault="00ED2EBD" w:rsidP="004A205F">
            <w:pPr>
              <w:pStyle w:val="TableText"/>
              <w:spacing w:before="40" w:after="40"/>
              <w:jc w:val="right"/>
              <w:rPr>
                <w:szCs w:val="18"/>
              </w:rPr>
            </w:pPr>
            <w:r w:rsidRPr="00BD16B4">
              <w:rPr>
                <w:szCs w:val="18"/>
              </w:rPr>
              <w:t>NO, NE</w:t>
            </w:r>
          </w:p>
        </w:tc>
        <w:tc>
          <w:tcPr>
            <w:tcW w:w="907" w:type="dxa"/>
            <w:shd w:val="clear" w:color="auto" w:fill="auto"/>
          </w:tcPr>
          <w:p w14:paraId="734E32B4" w14:textId="77777777" w:rsidR="00ED2EBD" w:rsidRPr="00BD16B4" w:rsidRDefault="00ED2EBD" w:rsidP="004A205F">
            <w:pPr>
              <w:pStyle w:val="TableText"/>
              <w:spacing w:before="40" w:after="40"/>
              <w:jc w:val="right"/>
              <w:rPr>
                <w:szCs w:val="18"/>
              </w:rPr>
            </w:pPr>
            <w:r w:rsidRPr="00BD16B4">
              <w:rPr>
                <w:szCs w:val="18"/>
              </w:rPr>
              <w:t>NO, NE</w:t>
            </w:r>
          </w:p>
        </w:tc>
        <w:tc>
          <w:tcPr>
            <w:tcW w:w="907" w:type="dxa"/>
            <w:shd w:val="clear" w:color="auto" w:fill="auto"/>
          </w:tcPr>
          <w:p w14:paraId="19FC2BB0" w14:textId="77777777" w:rsidR="00ED2EBD" w:rsidRPr="00BD16B4" w:rsidRDefault="00ED2EBD" w:rsidP="004A205F">
            <w:pPr>
              <w:pStyle w:val="TableText"/>
              <w:spacing w:before="40" w:after="40"/>
              <w:jc w:val="right"/>
              <w:rPr>
                <w:szCs w:val="18"/>
              </w:rPr>
            </w:pPr>
            <w:r w:rsidRPr="00BD16B4">
              <w:rPr>
                <w:szCs w:val="18"/>
              </w:rPr>
              <w:t>NO, NE</w:t>
            </w:r>
          </w:p>
        </w:tc>
      </w:tr>
      <w:tr w:rsidR="00F70C72" w:rsidRPr="00BD16B4" w14:paraId="26D0F1D8" w14:textId="77777777" w:rsidTr="00F70C72">
        <w:tc>
          <w:tcPr>
            <w:tcW w:w="3856" w:type="dxa"/>
          </w:tcPr>
          <w:p w14:paraId="6F334347" w14:textId="5F65C3D6"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 xml:space="preserve">Settlements </w:t>
            </w:r>
          </w:p>
        </w:tc>
        <w:tc>
          <w:tcPr>
            <w:tcW w:w="907" w:type="dxa"/>
            <w:shd w:val="clear" w:color="auto" w:fill="auto"/>
          </w:tcPr>
          <w:p w14:paraId="1CA8ED83" w14:textId="77777777" w:rsidR="00ED2EBD" w:rsidRPr="00BD16B4" w:rsidRDefault="00ED2EBD" w:rsidP="004A205F">
            <w:pPr>
              <w:pStyle w:val="TableText"/>
              <w:spacing w:before="40" w:after="40"/>
              <w:jc w:val="right"/>
              <w:rPr>
                <w:szCs w:val="18"/>
              </w:rPr>
            </w:pPr>
            <w:r w:rsidRPr="00BD16B4">
              <w:rPr>
                <w:szCs w:val="18"/>
              </w:rPr>
              <w:t>NE, NA</w:t>
            </w:r>
          </w:p>
        </w:tc>
        <w:tc>
          <w:tcPr>
            <w:tcW w:w="907" w:type="dxa"/>
            <w:shd w:val="clear" w:color="auto" w:fill="auto"/>
          </w:tcPr>
          <w:p w14:paraId="17AC71AA" w14:textId="77777777" w:rsidR="00ED2EBD" w:rsidRPr="00BD16B4" w:rsidRDefault="00ED2EBD" w:rsidP="004A205F">
            <w:pPr>
              <w:pStyle w:val="TableText"/>
              <w:spacing w:before="40" w:after="40"/>
              <w:jc w:val="right"/>
              <w:rPr>
                <w:szCs w:val="18"/>
              </w:rPr>
            </w:pPr>
            <w:r w:rsidRPr="00BD16B4">
              <w:rPr>
                <w:szCs w:val="18"/>
              </w:rPr>
              <w:t>NE, NA</w:t>
            </w:r>
          </w:p>
        </w:tc>
        <w:tc>
          <w:tcPr>
            <w:tcW w:w="907" w:type="dxa"/>
            <w:shd w:val="clear" w:color="auto" w:fill="auto"/>
          </w:tcPr>
          <w:p w14:paraId="4D914DA4" w14:textId="77777777" w:rsidR="00ED2EBD" w:rsidRPr="00BD16B4" w:rsidRDefault="00ED2EBD" w:rsidP="004A205F">
            <w:pPr>
              <w:pStyle w:val="TableText"/>
              <w:spacing w:before="40" w:after="40"/>
              <w:jc w:val="right"/>
              <w:rPr>
                <w:szCs w:val="18"/>
              </w:rPr>
            </w:pPr>
            <w:r w:rsidRPr="00BD16B4">
              <w:rPr>
                <w:szCs w:val="18"/>
              </w:rPr>
              <w:t>NE, NA</w:t>
            </w:r>
          </w:p>
        </w:tc>
        <w:tc>
          <w:tcPr>
            <w:tcW w:w="907" w:type="dxa"/>
            <w:shd w:val="clear" w:color="auto" w:fill="auto"/>
          </w:tcPr>
          <w:p w14:paraId="5A5C5FF9" w14:textId="77777777" w:rsidR="00ED2EBD" w:rsidRPr="00BD16B4" w:rsidRDefault="00ED2EBD" w:rsidP="004A205F">
            <w:pPr>
              <w:pStyle w:val="TableText"/>
              <w:spacing w:before="40" w:after="40"/>
              <w:jc w:val="right"/>
              <w:rPr>
                <w:szCs w:val="18"/>
              </w:rPr>
            </w:pPr>
            <w:r w:rsidRPr="00BD16B4">
              <w:rPr>
                <w:szCs w:val="18"/>
              </w:rPr>
              <w:t>NE, NA</w:t>
            </w:r>
          </w:p>
        </w:tc>
        <w:tc>
          <w:tcPr>
            <w:tcW w:w="907" w:type="dxa"/>
            <w:shd w:val="clear" w:color="auto" w:fill="auto"/>
          </w:tcPr>
          <w:p w14:paraId="24DAB3AB" w14:textId="77777777" w:rsidR="00ED2EBD" w:rsidRPr="00BD16B4" w:rsidRDefault="00ED2EBD" w:rsidP="004A205F">
            <w:pPr>
              <w:pStyle w:val="TableText"/>
              <w:spacing w:before="40" w:after="40"/>
              <w:jc w:val="right"/>
              <w:rPr>
                <w:szCs w:val="18"/>
              </w:rPr>
            </w:pPr>
            <w:r w:rsidRPr="00BD16B4">
              <w:rPr>
                <w:szCs w:val="18"/>
              </w:rPr>
              <w:t>NE, NA</w:t>
            </w:r>
          </w:p>
        </w:tc>
        <w:tc>
          <w:tcPr>
            <w:tcW w:w="907" w:type="dxa"/>
            <w:shd w:val="clear" w:color="auto" w:fill="auto"/>
          </w:tcPr>
          <w:p w14:paraId="752B6349" w14:textId="77777777" w:rsidR="00ED2EBD" w:rsidRPr="00BD16B4" w:rsidRDefault="00ED2EBD" w:rsidP="004A205F">
            <w:pPr>
              <w:pStyle w:val="TableText"/>
              <w:spacing w:before="40" w:after="40"/>
              <w:jc w:val="right"/>
              <w:rPr>
                <w:szCs w:val="18"/>
              </w:rPr>
            </w:pPr>
            <w:r w:rsidRPr="00BD16B4">
              <w:rPr>
                <w:szCs w:val="18"/>
              </w:rPr>
              <w:t>NE, NA</w:t>
            </w:r>
          </w:p>
        </w:tc>
        <w:tc>
          <w:tcPr>
            <w:tcW w:w="907" w:type="dxa"/>
            <w:shd w:val="clear" w:color="auto" w:fill="auto"/>
          </w:tcPr>
          <w:p w14:paraId="1C8CE241" w14:textId="77777777" w:rsidR="00ED2EBD" w:rsidRPr="00BD16B4" w:rsidRDefault="00ED2EBD" w:rsidP="004A205F">
            <w:pPr>
              <w:pStyle w:val="TableText"/>
              <w:spacing w:before="40" w:after="40"/>
              <w:jc w:val="right"/>
              <w:rPr>
                <w:szCs w:val="18"/>
              </w:rPr>
            </w:pPr>
            <w:r w:rsidRPr="00BD16B4">
              <w:rPr>
                <w:szCs w:val="18"/>
              </w:rPr>
              <w:t>NE, NA</w:t>
            </w:r>
          </w:p>
        </w:tc>
        <w:tc>
          <w:tcPr>
            <w:tcW w:w="907" w:type="dxa"/>
            <w:shd w:val="clear" w:color="auto" w:fill="auto"/>
          </w:tcPr>
          <w:p w14:paraId="63D09F78" w14:textId="77777777" w:rsidR="00ED2EBD" w:rsidRPr="00BD16B4" w:rsidRDefault="00ED2EBD" w:rsidP="004A205F">
            <w:pPr>
              <w:pStyle w:val="TableText"/>
              <w:spacing w:before="40" w:after="40"/>
              <w:jc w:val="right"/>
              <w:rPr>
                <w:szCs w:val="18"/>
              </w:rPr>
            </w:pPr>
            <w:r w:rsidRPr="00BD16B4">
              <w:rPr>
                <w:szCs w:val="18"/>
              </w:rPr>
              <w:t>NE, NA</w:t>
            </w:r>
          </w:p>
        </w:tc>
        <w:tc>
          <w:tcPr>
            <w:tcW w:w="907" w:type="dxa"/>
            <w:shd w:val="clear" w:color="auto" w:fill="auto"/>
          </w:tcPr>
          <w:p w14:paraId="55829FDA" w14:textId="77777777" w:rsidR="00ED2EBD" w:rsidRPr="00BD16B4" w:rsidRDefault="00ED2EBD" w:rsidP="004A205F">
            <w:pPr>
              <w:pStyle w:val="TableText"/>
              <w:spacing w:before="40" w:after="40"/>
              <w:jc w:val="right"/>
              <w:rPr>
                <w:szCs w:val="18"/>
              </w:rPr>
            </w:pPr>
            <w:r w:rsidRPr="00BD16B4">
              <w:rPr>
                <w:szCs w:val="18"/>
              </w:rPr>
              <w:t>NE, NA</w:t>
            </w:r>
          </w:p>
        </w:tc>
        <w:tc>
          <w:tcPr>
            <w:tcW w:w="907" w:type="dxa"/>
            <w:shd w:val="clear" w:color="auto" w:fill="auto"/>
          </w:tcPr>
          <w:p w14:paraId="0F3B3F32" w14:textId="77777777" w:rsidR="00ED2EBD" w:rsidRPr="00BD16B4" w:rsidRDefault="00ED2EBD" w:rsidP="004A205F">
            <w:pPr>
              <w:pStyle w:val="TableText"/>
              <w:spacing w:before="40" w:after="40"/>
              <w:jc w:val="right"/>
              <w:rPr>
                <w:szCs w:val="18"/>
              </w:rPr>
            </w:pPr>
            <w:r w:rsidRPr="00BD16B4">
              <w:rPr>
                <w:szCs w:val="18"/>
              </w:rPr>
              <w:t>NE, NA</w:t>
            </w:r>
          </w:p>
        </w:tc>
        <w:tc>
          <w:tcPr>
            <w:tcW w:w="907" w:type="dxa"/>
            <w:shd w:val="clear" w:color="auto" w:fill="auto"/>
          </w:tcPr>
          <w:p w14:paraId="6EF42233" w14:textId="77777777" w:rsidR="00ED2EBD" w:rsidRPr="00BD16B4" w:rsidRDefault="00ED2EBD" w:rsidP="004A205F">
            <w:pPr>
              <w:pStyle w:val="TableText"/>
              <w:spacing w:before="40" w:after="40"/>
              <w:jc w:val="right"/>
              <w:rPr>
                <w:szCs w:val="18"/>
              </w:rPr>
            </w:pPr>
            <w:r w:rsidRPr="00BD16B4">
              <w:rPr>
                <w:szCs w:val="18"/>
              </w:rPr>
              <w:t>NE, NA</w:t>
            </w:r>
          </w:p>
        </w:tc>
      </w:tr>
      <w:tr w:rsidR="00F70C72" w:rsidRPr="00BD16B4" w14:paraId="0A997B9E" w14:textId="77777777" w:rsidTr="00F70C72">
        <w:tc>
          <w:tcPr>
            <w:tcW w:w="3856" w:type="dxa"/>
          </w:tcPr>
          <w:p w14:paraId="38DAB3ED" w14:textId="2DC5B6AD" w:rsidR="00ED2EBD" w:rsidRPr="00BD16B4" w:rsidRDefault="00ED2EBD" w:rsidP="004A205F">
            <w:pPr>
              <w:pStyle w:val="TableText"/>
              <w:spacing w:before="40" w:after="40"/>
              <w:rPr>
                <w:szCs w:val="18"/>
              </w:rPr>
            </w:pPr>
            <w:r w:rsidRPr="00BD16B4">
              <w:rPr>
                <w:szCs w:val="18"/>
              </w:rPr>
              <w:t>F.</w:t>
            </w:r>
            <w:r w:rsidR="00280979" w:rsidRPr="00BD16B4">
              <w:rPr>
                <w:szCs w:val="18"/>
              </w:rPr>
              <w:t xml:space="preserve"> </w:t>
            </w:r>
            <w:r w:rsidRPr="00BD16B4">
              <w:rPr>
                <w:szCs w:val="18"/>
              </w:rPr>
              <w:t>Other land</w:t>
            </w:r>
          </w:p>
        </w:tc>
        <w:tc>
          <w:tcPr>
            <w:tcW w:w="907" w:type="dxa"/>
            <w:tcBorders>
              <w:bottom w:val="single" w:sz="4" w:space="0" w:color="1B556B" w:themeColor="text2"/>
            </w:tcBorders>
            <w:shd w:val="clear" w:color="auto" w:fill="auto"/>
          </w:tcPr>
          <w:p w14:paraId="39355760" w14:textId="77777777" w:rsidR="00ED2EBD" w:rsidRPr="00BD16B4" w:rsidRDefault="00ED2EBD" w:rsidP="004A205F">
            <w:pPr>
              <w:pStyle w:val="TableText"/>
              <w:spacing w:before="40" w:after="40"/>
              <w:jc w:val="right"/>
              <w:rPr>
                <w:szCs w:val="18"/>
              </w:rPr>
            </w:pPr>
            <w:r w:rsidRPr="00BD16B4">
              <w:rPr>
                <w:szCs w:val="18"/>
              </w:rPr>
              <w:t>NE, NA</w:t>
            </w:r>
          </w:p>
        </w:tc>
        <w:tc>
          <w:tcPr>
            <w:tcW w:w="907" w:type="dxa"/>
            <w:tcBorders>
              <w:bottom w:val="single" w:sz="4" w:space="0" w:color="1B556B" w:themeColor="text2"/>
            </w:tcBorders>
            <w:shd w:val="clear" w:color="auto" w:fill="auto"/>
          </w:tcPr>
          <w:p w14:paraId="4E65D444" w14:textId="77777777" w:rsidR="00ED2EBD" w:rsidRPr="00BD16B4" w:rsidRDefault="00ED2EBD" w:rsidP="004A205F">
            <w:pPr>
              <w:pStyle w:val="TableText"/>
              <w:spacing w:before="40" w:after="40"/>
              <w:jc w:val="right"/>
              <w:rPr>
                <w:szCs w:val="18"/>
              </w:rPr>
            </w:pPr>
            <w:r w:rsidRPr="00BD16B4">
              <w:rPr>
                <w:szCs w:val="18"/>
              </w:rPr>
              <w:t>NE, NA</w:t>
            </w:r>
          </w:p>
        </w:tc>
        <w:tc>
          <w:tcPr>
            <w:tcW w:w="907" w:type="dxa"/>
            <w:tcBorders>
              <w:bottom w:val="single" w:sz="4" w:space="0" w:color="1B556B" w:themeColor="text2"/>
            </w:tcBorders>
            <w:shd w:val="clear" w:color="auto" w:fill="auto"/>
          </w:tcPr>
          <w:p w14:paraId="338D1F1A" w14:textId="77777777" w:rsidR="00ED2EBD" w:rsidRPr="00BD16B4" w:rsidRDefault="00ED2EBD" w:rsidP="004A205F">
            <w:pPr>
              <w:pStyle w:val="TableText"/>
              <w:spacing w:before="40" w:after="40"/>
              <w:jc w:val="right"/>
              <w:rPr>
                <w:szCs w:val="18"/>
              </w:rPr>
            </w:pPr>
            <w:r w:rsidRPr="00BD16B4">
              <w:rPr>
                <w:szCs w:val="18"/>
              </w:rPr>
              <w:t>NE, NA</w:t>
            </w:r>
          </w:p>
        </w:tc>
        <w:tc>
          <w:tcPr>
            <w:tcW w:w="907" w:type="dxa"/>
            <w:tcBorders>
              <w:bottom w:val="single" w:sz="4" w:space="0" w:color="1B556B" w:themeColor="text2"/>
            </w:tcBorders>
            <w:shd w:val="clear" w:color="auto" w:fill="auto"/>
          </w:tcPr>
          <w:p w14:paraId="47EEFF96" w14:textId="77777777" w:rsidR="00ED2EBD" w:rsidRPr="00BD16B4" w:rsidRDefault="00ED2EBD" w:rsidP="004A205F">
            <w:pPr>
              <w:pStyle w:val="TableText"/>
              <w:spacing w:before="40" w:after="40"/>
              <w:jc w:val="right"/>
              <w:rPr>
                <w:szCs w:val="18"/>
              </w:rPr>
            </w:pPr>
            <w:r w:rsidRPr="00BD16B4">
              <w:rPr>
                <w:szCs w:val="18"/>
              </w:rPr>
              <w:t>NE, NA</w:t>
            </w:r>
          </w:p>
        </w:tc>
        <w:tc>
          <w:tcPr>
            <w:tcW w:w="907" w:type="dxa"/>
            <w:tcBorders>
              <w:bottom w:val="single" w:sz="4" w:space="0" w:color="1B556B" w:themeColor="text2"/>
            </w:tcBorders>
            <w:shd w:val="clear" w:color="auto" w:fill="auto"/>
          </w:tcPr>
          <w:p w14:paraId="36D000D9" w14:textId="77777777" w:rsidR="00ED2EBD" w:rsidRPr="00BD16B4" w:rsidRDefault="00ED2EBD" w:rsidP="004A205F">
            <w:pPr>
              <w:pStyle w:val="TableText"/>
              <w:spacing w:before="40" w:after="40"/>
              <w:jc w:val="right"/>
              <w:rPr>
                <w:szCs w:val="18"/>
              </w:rPr>
            </w:pPr>
            <w:r w:rsidRPr="00BD16B4">
              <w:rPr>
                <w:szCs w:val="18"/>
              </w:rPr>
              <w:t>NE, NA</w:t>
            </w:r>
          </w:p>
        </w:tc>
        <w:tc>
          <w:tcPr>
            <w:tcW w:w="907" w:type="dxa"/>
            <w:tcBorders>
              <w:bottom w:val="single" w:sz="4" w:space="0" w:color="1B556B" w:themeColor="text2"/>
            </w:tcBorders>
            <w:shd w:val="clear" w:color="auto" w:fill="auto"/>
          </w:tcPr>
          <w:p w14:paraId="64BD5920" w14:textId="77777777" w:rsidR="00ED2EBD" w:rsidRPr="00BD16B4" w:rsidRDefault="00ED2EBD" w:rsidP="004A205F">
            <w:pPr>
              <w:pStyle w:val="TableText"/>
              <w:spacing w:before="40" w:after="40"/>
              <w:jc w:val="right"/>
              <w:rPr>
                <w:szCs w:val="18"/>
              </w:rPr>
            </w:pPr>
            <w:r w:rsidRPr="00BD16B4">
              <w:rPr>
                <w:szCs w:val="18"/>
              </w:rPr>
              <w:t>NE, NA</w:t>
            </w:r>
          </w:p>
        </w:tc>
        <w:tc>
          <w:tcPr>
            <w:tcW w:w="907" w:type="dxa"/>
            <w:tcBorders>
              <w:bottom w:val="single" w:sz="4" w:space="0" w:color="1B556B" w:themeColor="text2"/>
            </w:tcBorders>
            <w:shd w:val="clear" w:color="auto" w:fill="auto"/>
          </w:tcPr>
          <w:p w14:paraId="4F1107BA" w14:textId="77777777" w:rsidR="00ED2EBD" w:rsidRPr="00BD16B4" w:rsidRDefault="00ED2EBD" w:rsidP="004A205F">
            <w:pPr>
              <w:pStyle w:val="TableText"/>
              <w:spacing w:before="40" w:after="40"/>
              <w:jc w:val="right"/>
              <w:rPr>
                <w:szCs w:val="18"/>
              </w:rPr>
            </w:pPr>
            <w:r w:rsidRPr="00BD16B4">
              <w:rPr>
                <w:szCs w:val="18"/>
              </w:rPr>
              <w:t>NE, NA</w:t>
            </w:r>
          </w:p>
        </w:tc>
        <w:tc>
          <w:tcPr>
            <w:tcW w:w="907" w:type="dxa"/>
            <w:tcBorders>
              <w:bottom w:val="single" w:sz="4" w:space="0" w:color="1B556B" w:themeColor="text2"/>
            </w:tcBorders>
            <w:shd w:val="clear" w:color="auto" w:fill="auto"/>
          </w:tcPr>
          <w:p w14:paraId="5B624203" w14:textId="77777777" w:rsidR="00ED2EBD" w:rsidRPr="00BD16B4" w:rsidRDefault="00ED2EBD" w:rsidP="004A205F">
            <w:pPr>
              <w:pStyle w:val="TableText"/>
              <w:spacing w:before="40" w:after="40"/>
              <w:jc w:val="right"/>
              <w:rPr>
                <w:szCs w:val="18"/>
              </w:rPr>
            </w:pPr>
            <w:r w:rsidRPr="00BD16B4">
              <w:rPr>
                <w:szCs w:val="18"/>
              </w:rPr>
              <w:t>NE, NA</w:t>
            </w:r>
          </w:p>
        </w:tc>
        <w:tc>
          <w:tcPr>
            <w:tcW w:w="907" w:type="dxa"/>
            <w:tcBorders>
              <w:bottom w:val="single" w:sz="4" w:space="0" w:color="1B556B" w:themeColor="text2"/>
            </w:tcBorders>
            <w:shd w:val="clear" w:color="auto" w:fill="auto"/>
          </w:tcPr>
          <w:p w14:paraId="638B45F4" w14:textId="77777777" w:rsidR="00ED2EBD" w:rsidRPr="00BD16B4" w:rsidRDefault="00ED2EBD" w:rsidP="004A205F">
            <w:pPr>
              <w:pStyle w:val="TableText"/>
              <w:spacing w:before="40" w:after="40"/>
              <w:jc w:val="right"/>
              <w:rPr>
                <w:szCs w:val="18"/>
              </w:rPr>
            </w:pPr>
            <w:r w:rsidRPr="00BD16B4">
              <w:rPr>
                <w:szCs w:val="18"/>
              </w:rPr>
              <w:t>NE, NA</w:t>
            </w:r>
          </w:p>
        </w:tc>
        <w:tc>
          <w:tcPr>
            <w:tcW w:w="907" w:type="dxa"/>
            <w:tcBorders>
              <w:bottom w:val="single" w:sz="4" w:space="0" w:color="1B556B" w:themeColor="text2"/>
            </w:tcBorders>
            <w:shd w:val="clear" w:color="auto" w:fill="auto"/>
          </w:tcPr>
          <w:p w14:paraId="71078BD0" w14:textId="77777777" w:rsidR="00ED2EBD" w:rsidRPr="00BD16B4" w:rsidRDefault="00ED2EBD" w:rsidP="004A205F">
            <w:pPr>
              <w:pStyle w:val="TableText"/>
              <w:spacing w:before="40" w:after="40"/>
              <w:jc w:val="right"/>
              <w:rPr>
                <w:szCs w:val="18"/>
              </w:rPr>
            </w:pPr>
            <w:r w:rsidRPr="00BD16B4">
              <w:rPr>
                <w:szCs w:val="18"/>
              </w:rPr>
              <w:t>NE, NA</w:t>
            </w:r>
          </w:p>
        </w:tc>
        <w:tc>
          <w:tcPr>
            <w:tcW w:w="907" w:type="dxa"/>
            <w:tcBorders>
              <w:bottom w:val="single" w:sz="4" w:space="0" w:color="1B556B" w:themeColor="text2"/>
            </w:tcBorders>
            <w:shd w:val="clear" w:color="auto" w:fill="auto"/>
          </w:tcPr>
          <w:p w14:paraId="498B932A" w14:textId="77777777" w:rsidR="00ED2EBD" w:rsidRPr="00BD16B4" w:rsidRDefault="00ED2EBD" w:rsidP="004A205F">
            <w:pPr>
              <w:pStyle w:val="TableText"/>
              <w:spacing w:before="40" w:after="40"/>
              <w:jc w:val="right"/>
              <w:rPr>
                <w:szCs w:val="18"/>
              </w:rPr>
            </w:pPr>
            <w:r w:rsidRPr="00BD16B4">
              <w:rPr>
                <w:szCs w:val="18"/>
              </w:rPr>
              <w:t>NE, NA</w:t>
            </w:r>
          </w:p>
        </w:tc>
      </w:tr>
      <w:tr w:rsidR="00ED2EBD" w:rsidRPr="00BD16B4" w14:paraId="1B9BEFAD" w14:textId="77777777" w:rsidTr="00F70C72">
        <w:tc>
          <w:tcPr>
            <w:tcW w:w="3856" w:type="dxa"/>
          </w:tcPr>
          <w:p w14:paraId="3D280935" w14:textId="6A3E10FD" w:rsidR="00ED2EBD" w:rsidRPr="00BD16B4" w:rsidRDefault="00ED2EBD" w:rsidP="004A205F">
            <w:pPr>
              <w:pStyle w:val="TableText"/>
              <w:spacing w:before="40" w:after="40"/>
              <w:rPr>
                <w:szCs w:val="18"/>
              </w:rPr>
            </w:pPr>
            <w:r w:rsidRPr="00BD16B4">
              <w:rPr>
                <w:szCs w:val="18"/>
              </w:rPr>
              <w:t>G.</w:t>
            </w:r>
            <w:r w:rsidR="00280979" w:rsidRPr="00BD16B4">
              <w:rPr>
                <w:szCs w:val="18"/>
              </w:rPr>
              <w:t xml:space="preserve"> </w:t>
            </w:r>
            <w:r w:rsidRPr="00BD16B4">
              <w:rPr>
                <w:szCs w:val="18"/>
              </w:rPr>
              <w:t>Harvested wood products</w:t>
            </w:r>
          </w:p>
        </w:tc>
        <w:tc>
          <w:tcPr>
            <w:tcW w:w="907" w:type="dxa"/>
            <w:tcBorders>
              <w:top w:val="single" w:sz="4" w:space="0" w:color="1B556B" w:themeColor="text2"/>
            </w:tcBorders>
            <w:shd w:val="clear" w:color="auto" w:fill="D2DDE1" w:themeFill="background2"/>
          </w:tcPr>
          <w:p w14:paraId="43F6018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FA6937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474A8E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A8184B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5CDE4B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6CBC76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2AC7C9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E35DC4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350FEE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54F3BE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BBA0D46" w14:textId="77777777" w:rsidR="00ED2EBD" w:rsidRPr="00BD16B4" w:rsidRDefault="00ED2EBD" w:rsidP="004A205F">
            <w:pPr>
              <w:pStyle w:val="TableText"/>
              <w:spacing w:before="40" w:after="40"/>
              <w:jc w:val="right"/>
              <w:rPr>
                <w:szCs w:val="18"/>
              </w:rPr>
            </w:pPr>
            <w:r w:rsidRPr="00BD16B4">
              <w:rPr>
                <w:color w:val="000000"/>
                <w:szCs w:val="18"/>
              </w:rPr>
              <w:t> </w:t>
            </w:r>
          </w:p>
        </w:tc>
      </w:tr>
      <w:tr w:rsidR="00F70C72" w:rsidRPr="00BD16B4" w14:paraId="750E26E2" w14:textId="77777777" w:rsidTr="00F70C72">
        <w:tc>
          <w:tcPr>
            <w:tcW w:w="3856" w:type="dxa"/>
          </w:tcPr>
          <w:p w14:paraId="484690FF" w14:textId="768BBFF3" w:rsidR="00ED2EBD" w:rsidRPr="00BD16B4" w:rsidRDefault="00ED2EBD" w:rsidP="004A205F">
            <w:pPr>
              <w:pStyle w:val="TableText"/>
              <w:spacing w:before="40" w:after="40"/>
              <w:rPr>
                <w:szCs w:val="18"/>
              </w:rPr>
            </w:pPr>
            <w:r w:rsidRPr="00BD16B4">
              <w:rPr>
                <w:szCs w:val="18"/>
              </w:rPr>
              <w:t>H.</w:t>
            </w:r>
            <w:r w:rsidR="00280979" w:rsidRPr="00BD16B4">
              <w:rPr>
                <w:szCs w:val="18"/>
              </w:rPr>
              <w:t xml:space="preserve"> </w:t>
            </w:r>
            <w:r w:rsidRPr="00BD16B4">
              <w:rPr>
                <w:szCs w:val="18"/>
              </w:rPr>
              <w:t>Other</w:t>
            </w:r>
            <w:r w:rsidR="00280979" w:rsidRPr="00BD16B4">
              <w:rPr>
                <w:szCs w:val="18"/>
              </w:rPr>
              <w:t xml:space="preserve"> </w:t>
            </w:r>
          </w:p>
        </w:tc>
        <w:tc>
          <w:tcPr>
            <w:tcW w:w="907" w:type="dxa"/>
            <w:shd w:val="clear" w:color="auto" w:fill="auto"/>
          </w:tcPr>
          <w:p w14:paraId="5635559C"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7222CBE"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51B6484"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16EC0096"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76DF2BCB"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A9FF884"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160DBDD7"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838AB70"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115A25C"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6025F83"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3417185B" w14:textId="77777777" w:rsidR="00ED2EBD" w:rsidRPr="00BD16B4" w:rsidRDefault="00ED2EBD" w:rsidP="004A205F">
            <w:pPr>
              <w:pStyle w:val="TableText"/>
              <w:spacing w:before="40" w:after="40"/>
              <w:jc w:val="right"/>
              <w:rPr>
                <w:szCs w:val="18"/>
              </w:rPr>
            </w:pPr>
            <w:r w:rsidRPr="00BD16B4">
              <w:rPr>
                <w:szCs w:val="18"/>
              </w:rPr>
              <w:t>NA</w:t>
            </w:r>
          </w:p>
        </w:tc>
      </w:tr>
      <w:tr w:rsidR="00F70C72" w:rsidRPr="00BD16B4" w14:paraId="797DFE76" w14:textId="77777777" w:rsidTr="00F70C72">
        <w:tc>
          <w:tcPr>
            <w:tcW w:w="3856" w:type="dxa"/>
          </w:tcPr>
          <w:p w14:paraId="3AF6A569" w14:textId="3EB1D43D" w:rsidR="00ED2EBD" w:rsidRPr="00BD16B4" w:rsidRDefault="00ED2EBD" w:rsidP="004A205F">
            <w:pPr>
              <w:pStyle w:val="TableText"/>
              <w:spacing w:before="40" w:after="40"/>
              <w:rPr>
                <w:szCs w:val="18"/>
              </w:rPr>
            </w:pPr>
            <w:r w:rsidRPr="00BD16B4">
              <w:rPr>
                <w:b/>
                <w:bCs/>
                <w:szCs w:val="18"/>
              </w:rPr>
              <w:t>5.</w:t>
            </w:r>
            <w:r w:rsidR="00280979" w:rsidRPr="00BD16B4">
              <w:rPr>
                <w:b/>
                <w:bCs/>
                <w:szCs w:val="18"/>
              </w:rPr>
              <w:t xml:space="preserve"> </w:t>
            </w:r>
            <w:r w:rsidRPr="00BD16B4">
              <w:rPr>
                <w:b/>
                <w:bCs/>
                <w:szCs w:val="18"/>
              </w:rPr>
              <w:t>Waste</w:t>
            </w:r>
          </w:p>
        </w:tc>
        <w:tc>
          <w:tcPr>
            <w:tcW w:w="907" w:type="dxa"/>
            <w:shd w:val="clear" w:color="auto" w:fill="auto"/>
          </w:tcPr>
          <w:p w14:paraId="233489FC" w14:textId="77777777" w:rsidR="00ED2EBD" w:rsidRPr="00BD16B4" w:rsidRDefault="00ED2EBD" w:rsidP="004A205F">
            <w:pPr>
              <w:pStyle w:val="TableText"/>
              <w:spacing w:before="40" w:after="40"/>
              <w:jc w:val="right"/>
              <w:rPr>
                <w:szCs w:val="18"/>
              </w:rPr>
            </w:pPr>
            <w:r w:rsidRPr="00BD16B4">
              <w:rPr>
                <w:szCs w:val="18"/>
              </w:rPr>
              <w:t>145.28</w:t>
            </w:r>
          </w:p>
        </w:tc>
        <w:tc>
          <w:tcPr>
            <w:tcW w:w="907" w:type="dxa"/>
            <w:shd w:val="clear" w:color="auto" w:fill="auto"/>
          </w:tcPr>
          <w:p w14:paraId="319E3E0C" w14:textId="77777777" w:rsidR="00ED2EBD" w:rsidRPr="00BD16B4" w:rsidRDefault="00ED2EBD" w:rsidP="004A205F">
            <w:pPr>
              <w:pStyle w:val="TableText"/>
              <w:spacing w:before="40" w:after="40"/>
              <w:jc w:val="right"/>
              <w:rPr>
                <w:szCs w:val="18"/>
              </w:rPr>
            </w:pPr>
            <w:r w:rsidRPr="00BD16B4">
              <w:rPr>
                <w:szCs w:val="18"/>
              </w:rPr>
              <w:t>139.46</w:t>
            </w:r>
          </w:p>
        </w:tc>
        <w:tc>
          <w:tcPr>
            <w:tcW w:w="907" w:type="dxa"/>
            <w:shd w:val="clear" w:color="auto" w:fill="auto"/>
          </w:tcPr>
          <w:p w14:paraId="1EBF205D" w14:textId="77777777" w:rsidR="00ED2EBD" w:rsidRPr="00BD16B4" w:rsidRDefault="00ED2EBD" w:rsidP="004A205F">
            <w:pPr>
              <w:pStyle w:val="TableText"/>
              <w:spacing w:before="40" w:after="40"/>
              <w:jc w:val="right"/>
              <w:rPr>
                <w:szCs w:val="18"/>
              </w:rPr>
            </w:pPr>
            <w:r w:rsidRPr="00BD16B4">
              <w:rPr>
                <w:szCs w:val="18"/>
              </w:rPr>
              <w:t>135.11</w:t>
            </w:r>
          </w:p>
        </w:tc>
        <w:tc>
          <w:tcPr>
            <w:tcW w:w="907" w:type="dxa"/>
            <w:shd w:val="clear" w:color="auto" w:fill="auto"/>
          </w:tcPr>
          <w:p w14:paraId="254946A2" w14:textId="77777777" w:rsidR="00ED2EBD" w:rsidRPr="00BD16B4" w:rsidRDefault="00ED2EBD" w:rsidP="004A205F">
            <w:pPr>
              <w:pStyle w:val="TableText"/>
              <w:spacing w:before="40" w:after="40"/>
              <w:jc w:val="right"/>
              <w:rPr>
                <w:szCs w:val="18"/>
              </w:rPr>
            </w:pPr>
            <w:r w:rsidRPr="00BD16B4">
              <w:rPr>
                <w:szCs w:val="18"/>
              </w:rPr>
              <w:t>133.13</w:t>
            </w:r>
          </w:p>
        </w:tc>
        <w:tc>
          <w:tcPr>
            <w:tcW w:w="907" w:type="dxa"/>
            <w:shd w:val="clear" w:color="auto" w:fill="auto"/>
          </w:tcPr>
          <w:p w14:paraId="07278D32" w14:textId="77777777" w:rsidR="00ED2EBD" w:rsidRPr="00BD16B4" w:rsidRDefault="00ED2EBD" w:rsidP="004A205F">
            <w:pPr>
              <w:pStyle w:val="TableText"/>
              <w:spacing w:before="40" w:after="40"/>
              <w:jc w:val="right"/>
              <w:rPr>
                <w:szCs w:val="18"/>
              </w:rPr>
            </w:pPr>
            <w:r w:rsidRPr="00BD16B4">
              <w:rPr>
                <w:szCs w:val="18"/>
              </w:rPr>
              <w:t>131.21</w:t>
            </w:r>
          </w:p>
        </w:tc>
        <w:tc>
          <w:tcPr>
            <w:tcW w:w="907" w:type="dxa"/>
            <w:shd w:val="clear" w:color="auto" w:fill="auto"/>
          </w:tcPr>
          <w:p w14:paraId="13607090" w14:textId="77777777" w:rsidR="00ED2EBD" w:rsidRPr="00BD16B4" w:rsidRDefault="00ED2EBD" w:rsidP="004A205F">
            <w:pPr>
              <w:pStyle w:val="TableText"/>
              <w:spacing w:before="40" w:after="40"/>
              <w:jc w:val="right"/>
              <w:rPr>
                <w:szCs w:val="18"/>
              </w:rPr>
            </w:pPr>
            <w:r w:rsidRPr="00BD16B4">
              <w:rPr>
                <w:szCs w:val="18"/>
              </w:rPr>
              <w:t>129.62</w:t>
            </w:r>
          </w:p>
        </w:tc>
        <w:tc>
          <w:tcPr>
            <w:tcW w:w="907" w:type="dxa"/>
            <w:shd w:val="clear" w:color="auto" w:fill="auto"/>
          </w:tcPr>
          <w:p w14:paraId="75CAFD08" w14:textId="77777777" w:rsidR="00ED2EBD" w:rsidRPr="00BD16B4" w:rsidRDefault="00ED2EBD" w:rsidP="004A205F">
            <w:pPr>
              <w:pStyle w:val="TableText"/>
              <w:spacing w:before="40" w:after="40"/>
              <w:jc w:val="right"/>
              <w:rPr>
                <w:szCs w:val="18"/>
              </w:rPr>
            </w:pPr>
            <w:r w:rsidRPr="00BD16B4">
              <w:rPr>
                <w:szCs w:val="18"/>
              </w:rPr>
              <w:t>128.30</w:t>
            </w:r>
          </w:p>
        </w:tc>
        <w:tc>
          <w:tcPr>
            <w:tcW w:w="907" w:type="dxa"/>
            <w:shd w:val="clear" w:color="auto" w:fill="auto"/>
          </w:tcPr>
          <w:p w14:paraId="075A0901" w14:textId="77777777" w:rsidR="00ED2EBD" w:rsidRPr="00BD16B4" w:rsidRDefault="00ED2EBD" w:rsidP="004A205F">
            <w:pPr>
              <w:pStyle w:val="TableText"/>
              <w:spacing w:before="40" w:after="40"/>
              <w:jc w:val="right"/>
              <w:rPr>
                <w:szCs w:val="18"/>
              </w:rPr>
            </w:pPr>
            <w:r w:rsidRPr="00BD16B4">
              <w:rPr>
                <w:szCs w:val="18"/>
              </w:rPr>
              <w:t>126.83</w:t>
            </w:r>
          </w:p>
        </w:tc>
        <w:tc>
          <w:tcPr>
            <w:tcW w:w="907" w:type="dxa"/>
            <w:shd w:val="clear" w:color="auto" w:fill="auto"/>
          </w:tcPr>
          <w:p w14:paraId="241830D3" w14:textId="77777777" w:rsidR="00ED2EBD" w:rsidRPr="00BD16B4" w:rsidRDefault="00ED2EBD" w:rsidP="004A205F">
            <w:pPr>
              <w:pStyle w:val="TableText"/>
              <w:spacing w:before="40" w:after="40"/>
              <w:jc w:val="right"/>
              <w:rPr>
                <w:szCs w:val="18"/>
              </w:rPr>
            </w:pPr>
            <w:r w:rsidRPr="00BD16B4">
              <w:rPr>
                <w:szCs w:val="18"/>
              </w:rPr>
              <w:t>124.24</w:t>
            </w:r>
          </w:p>
        </w:tc>
        <w:tc>
          <w:tcPr>
            <w:tcW w:w="907" w:type="dxa"/>
            <w:shd w:val="clear" w:color="auto" w:fill="auto"/>
          </w:tcPr>
          <w:p w14:paraId="4F15D0BD" w14:textId="77777777" w:rsidR="00ED2EBD" w:rsidRPr="00BD16B4" w:rsidRDefault="00ED2EBD" w:rsidP="004A205F">
            <w:pPr>
              <w:pStyle w:val="TableText"/>
              <w:spacing w:before="40" w:after="40"/>
              <w:jc w:val="right"/>
              <w:rPr>
                <w:szCs w:val="18"/>
              </w:rPr>
            </w:pPr>
            <w:r w:rsidRPr="00BD16B4">
              <w:rPr>
                <w:szCs w:val="18"/>
              </w:rPr>
              <w:t>122.32</w:t>
            </w:r>
          </w:p>
        </w:tc>
        <w:tc>
          <w:tcPr>
            <w:tcW w:w="907" w:type="dxa"/>
            <w:shd w:val="clear" w:color="auto" w:fill="auto"/>
          </w:tcPr>
          <w:p w14:paraId="12F5C472" w14:textId="77777777" w:rsidR="00ED2EBD" w:rsidRPr="00BD16B4" w:rsidRDefault="00ED2EBD" w:rsidP="004A205F">
            <w:pPr>
              <w:pStyle w:val="TableText"/>
              <w:spacing w:before="40" w:after="40"/>
              <w:jc w:val="right"/>
              <w:rPr>
                <w:szCs w:val="18"/>
              </w:rPr>
            </w:pPr>
            <w:r w:rsidRPr="00BD16B4">
              <w:rPr>
                <w:szCs w:val="18"/>
              </w:rPr>
              <w:t>120.48</w:t>
            </w:r>
          </w:p>
        </w:tc>
      </w:tr>
      <w:tr w:rsidR="00F70C72" w:rsidRPr="00BD16B4" w14:paraId="477C125A" w14:textId="77777777" w:rsidTr="00F70C72">
        <w:tc>
          <w:tcPr>
            <w:tcW w:w="3856" w:type="dxa"/>
          </w:tcPr>
          <w:p w14:paraId="7197E5C8" w14:textId="63D077F5"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 xml:space="preserve">Solid waste disposal </w:t>
            </w:r>
          </w:p>
        </w:tc>
        <w:tc>
          <w:tcPr>
            <w:tcW w:w="907" w:type="dxa"/>
            <w:shd w:val="clear" w:color="auto" w:fill="auto"/>
          </w:tcPr>
          <w:p w14:paraId="6B571FAA" w14:textId="77777777" w:rsidR="00ED2EBD" w:rsidRPr="00BD16B4" w:rsidRDefault="00ED2EBD" w:rsidP="004A205F">
            <w:pPr>
              <w:pStyle w:val="TableText"/>
              <w:spacing w:before="40" w:after="40"/>
              <w:jc w:val="right"/>
              <w:rPr>
                <w:szCs w:val="18"/>
              </w:rPr>
            </w:pPr>
            <w:r w:rsidRPr="00BD16B4">
              <w:rPr>
                <w:szCs w:val="18"/>
              </w:rPr>
              <w:t>132.18</w:t>
            </w:r>
          </w:p>
        </w:tc>
        <w:tc>
          <w:tcPr>
            <w:tcW w:w="907" w:type="dxa"/>
            <w:shd w:val="clear" w:color="auto" w:fill="auto"/>
          </w:tcPr>
          <w:p w14:paraId="0866C043" w14:textId="77777777" w:rsidR="00ED2EBD" w:rsidRPr="00BD16B4" w:rsidRDefault="00ED2EBD" w:rsidP="004A205F">
            <w:pPr>
              <w:pStyle w:val="TableText"/>
              <w:spacing w:before="40" w:after="40"/>
              <w:jc w:val="right"/>
              <w:rPr>
                <w:szCs w:val="18"/>
              </w:rPr>
            </w:pPr>
            <w:r w:rsidRPr="00BD16B4">
              <w:rPr>
                <w:szCs w:val="18"/>
              </w:rPr>
              <w:t>126.30</w:t>
            </w:r>
          </w:p>
        </w:tc>
        <w:tc>
          <w:tcPr>
            <w:tcW w:w="907" w:type="dxa"/>
            <w:shd w:val="clear" w:color="auto" w:fill="auto"/>
          </w:tcPr>
          <w:p w14:paraId="68EA756C" w14:textId="77777777" w:rsidR="00ED2EBD" w:rsidRPr="00BD16B4" w:rsidRDefault="00ED2EBD" w:rsidP="004A205F">
            <w:pPr>
              <w:pStyle w:val="TableText"/>
              <w:spacing w:before="40" w:after="40"/>
              <w:jc w:val="right"/>
              <w:rPr>
                <w:szCs w:val="18"/>
              </w:rPr>
            </w:pPr>
            <w:r w:rsidRPr="00BD16B4">
              <w:rPr>
                <w:szCs w:val="18"/>
              </w:rPr>
              <w:t>121.85</w:t>
            </w:r>
          </w:p>
        </w:tc>
        <w:tc>
          <w:tcPr>
            <w:tcW w:w="907" w:type="dxa"/>
            <w:shd w:val="clear" w:color="auto" w:fill="auto"/>
          </w:tcPr>
          <w:p w14:paraId="05A79B16" w14:textId="77777777" w:rsidR="00ED2EBD" w:rsidRPr="00BD16B4" w:rsidRDefault="00ED2EBD" w:rsidP="004A205F">
            <w:pPr>
              <w:pStyle w:val="TableText"/>
              <w:spacing w:before="40" w:after="40"/>
              <w:jc w:val="right"/>
              <w:rPr>
                <w:szCs w:val="18"/>
              </w:rPr>
            </w:pPr>
            <w:r w:rsidRPr="00BD16B4">
              <w:rPr>
                <w:szCs w:val="18"/>
              </w:rPr>
              <w:t>119.73</w:t>
            </w:r>
          </w:p>
        </w:tc>
        <w:tc>
          <w:tcPr>
            <w:tcW w:w="907" w:type="dxa"/>
            <w:shd w:val="clear" w:color="auto" w:fill="auto"/>
          </w:tcPr>
          <w:p w14:paraId="09F54F39" w14:textId="77777777" w:rsidR="00ED2EBD" w:rsidRPr="00BD16B4" w:rsidRDefault="00ED2EBD" w:rsidP="004A205F">
            <w:pPr>
              <w:pStyle w:val="TableText"/>
              <w:spacing w:before="40" w:after="40"/>
              <w:jc w:val="right"/>
              <w:rPr>
                <w:szCs w:val="18"/>
              </w:rPr>
            </w:pPr>
            <w:r w:rsidRPr="00BD16B4">
              <w:rPr>
                <w:szCs w:val="18"/>
              </w:rPr>
              <w:t>117.56</w:t>
            </w:r>
          </w:p>
        </w:tc>
        <w:tc>
          <w:tcPr>
            <w:tcW w:w="907" w:type="dxa"/>
            <w:shd w:val="clear" w:color="auto" w:fill="auto"/>
          </w:tcPr>
          <w:p w14:paraId="22ECE1F9" w14:textId="77777777" w:rsidR="00ED2EBD" w:rsidRPr="00BD16B4" w:rsidRDefault="00ED2EBD" w:rsidP="004A205F">
            <w:pPr>
              <w:pStyle w:val="TableText"/>
              <w:spacing w:before="40" w:after="40"/>
              <w:jc w:val="right"/>
              <w:rPr>
                <w:szCs w:val="18"/>
              </w:rPr>
            </w:pPr>
            <w:r w:rsidRPr="00BD16B4">
              <w:rPr>
                <w:szCs w:val="18"/>
              </w:rPr>
              <w:t>115.70</w:t>
            </w:r>
          </w:p>
        </w:tc>
        <w:tc>
          <w:tcPr>
            <w:tcW w:w="907" w:type="dxa"/>
            <w:shd w:val="clear" w:color="auto" w:fill="auto"/>
          </w:tcPr>
          <w:p w14:paraId="74A5E3FF" w14:textId="77777777" w:rsidR="00ED2EBD" w:rsidRPr="00BD16B4" w:rsidRDefault="00ED2EBD" w:rsidP="004A205F">
            <w:pPr>
              <w:pStyle w:val="TableText"/>
              <w:spacing w:before="40" w:after="40"/>
              <w:jc w:val="right"/>
              <w:rPr>
                <w:szCs w:val="18"/>
              </w:rPr>
            </w:pPr>
            <w:r w:rsidRPr="00BD16B4">
              <w:rPr>
                <w:szCs w:val="18"/>
              </w:rPr>
              <w:t>114.11</w:t>
            </w:r>
          </w:p>
        </w:tc>
        <w:tc>
          <w:tcPr>
            <w:tcW w:w="907" w:type="dxa"/>
            <w:shd w:val="clear" w:color="auto" w:fill="auto"/>
          </w:tcPr>
          <w:p w14:paraId="1B28A5F9" w14:textId="77777777" w:rsidR="00ED2EBD" w:rsidRPr="00BD16B4" w:rsidRDefault="00ED2EBD" w:rsidP="004A205F">
            <w:pPr>
              <w:pStyle w:val="TableText"/>
              <w:spacing w:before="40" w:after="40"/>
              <w:jc w:val="right"/>
              <w:rPr>
                <w:szCs w:val="18"/>
              </w:rPr>
            </w:pPr>
            <w:r w:rsidRPr="00BD16B4">
              <w:rPr>
                <w:szCs w:val="18"/>
              </w:rPr>
              <w:t>112.50</w:t>
            </w:r>
          </w:p>
        </w:tc>
        <w:tc>
          <w:tcPr>
            <w:tcW w:w="907" w:type="dxa"/>
            <w:shd w:val="clear" w:color="auto" w:fill="auto"/>
          </w:tcPr>
          <w:p w14:paraId="01741083" w14:textId="77777777" w:rsidR="00ED2EBD" w:rsidRPr="00BD16B4" w:rsidRDefault="00ED2EBD" w:rsidP="004A205F">
            <w:pPr>
              <w:pStyle w:val="TableText"/>
              <w:spacing w:before="40" w:after="40"/>
              <w:jc w:val="right"/>
              <w:rPr>
                <w:szCs w:val="18"/>
              </w:rPr>
            </w:pPr>
            <w:r w:rsidRPr="00BD16B4">
              <w:rPr>
                <w:szCs w:val="18"/>
              </w:rPr>
              <w:t>109.71</w:t>
            </w:r>
          </w:p>
        </w:tc>
        <w:tc>
          <w:tcPr>
            <w:tcW w:w="907" w:type="dxa"/>
            <w:shd w:val="clear" w:color="auto" w:fill="auto"/>
          </w:tcPr>
          <w:p w14:paraId="5CAA16E7" w14:textId="77777777" w:rsidR="00ED2EBD" w:rsidRPr="00BD16B4" w:rsidRDefault="00ED2EBD" w:rsidP="004A205F">
            <w:pPr>
              <w:pStyle w:val="TableText"/>
              <w:spacing w:before="40" w:after="40"/>
              <w:jc w:val="right"/>
              <w:rPr>
                <w:szCs w:val="18"/>
              </w:rPr>
            </w:pPr>
            <w:r w:rsidRPr="00BD16B4">
              <w:rPr>
                <w:szCs w:val="18"/>
              </w:rPr>
              <w:t>107.55</w:t>
            </w:r>
          </w:p>
        </w:tc>
        <w:tc>
          <w:tcPr>
            <w:tcW w:w="907" w:type="dxa"/>
            <w:shd w:val="clear" w:color="auto" w:fill="auto"/>
          </w:tcPr>
          <w:p w14:paraId="043D874C" w14:textId="77777777" w:rsidR="00ED2EBD" w:rsidRPr="00BD16B4" w:rsidRDefault="00ED2EBD" w:rsidP="004A205F">
            <w:pPr>
              <w:pStyle w:val="TableText"/>
              <w:spacing w:before="40" w:after="40"/>
              <w:jc w:val="right"/>
              <w:rPr>
                <w:szCs w:val="18"/>
              </w:rPr>
            </w:pPr>
            <w:r w:rsidRPr="00BD16B4">
              <w:rPr>
                <w:szCs w:val="18"/>
              </w:rPr>
              <w:t>105.51</w:t>
            </w:r>
          </w:p>
        </w:tc>
      </w:tr>
      <w:tr w:rsidR="00F70C72" w:rsidRPr="00BD16B4" w14:paraId="446D44EC" w14:textId="77777777" w:rsidTr="00F70C72">
        <w:tc>
          <w:tcPr>
            <w:tcW w:w="3856" w:type="dxa"/>
          </w:tcPr>
          <w:p w14:paraId="7DD8D2D2" w14:textId="68338256"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Biological treatment of solid waste</w:t>
            </w:r>
          </w:p>
        </w:tc>
        <w:tc>
          <w:tcPr>
            <w:tcW w:w="907" w:type="dxa"/>
            <w:shd w:val="clear" w:color="auto" w:fill="auto"/>
          </w:tcPr>
          <w:p w14:paraId="021CB11D" w14:textId="77777777" w:rsidR="00ED2EBD" w:rsidRPr="00BD16B4" w:rsidRDefault="00ED2EBD" w:rsidP="004A205F">
            <w:pPr>
              <w:pStyle w:val="TableText"/>
              <w:spacing w:before="40" w:after="40"/>
              <w:jc w:val="right"/>
              <w:rPr>
                <w:szCs w:val="18"/>
              </w:rPr>
            </w:pPr>
            <w:r w:rsidRPr="00BD16B4">
              <w:rPr>
                <w:szCs w:val="18"/>
              </w:rPr>
              <w:t>0.28</w:t>
            </w:r>
          </w:p>
        </w:tc>
        <w:tc>
          <w:tcPr>
            <w:tcW w:w="907" w:type="dxa"/>
            <w:shd w:val="clear" w:color="auto" w:fill="auto"/>
          </w:tcPr>
          <w:p w14:paraId="21C34B87" w14:textId="77777777" w:rsidR="00ED2EBD" w:rsidRPr="00BD16B4" w:rsidRDefault="00ED2EBD" w:rsidP="004A205F">
            <w:pPr>
              <w:pStyle w:val="TableText"/>
              <w:spacing w:before="40" w:after="40"/>
              <w:jc w:val="right"/>
              <w:rPr>
                <w:szCs w:val="18"/>
              </w:rPr>
            </w:pPr>
            <w:r w:rsidRPr="00BD16B4">
              <w:rPr>
                <w:szCs w:val="18"/>
              </w:rPr>
              <w:t>0.40</w:t>
            </w:r>
          </w:p>
        </w:tc>
        <w:tc>
          <w:tcPr>
            <w:tcW w:w="907" w:type="dxa"/>
            <w:shd w:val="clear" w:color="auto" w:fill="auto"/>
          </w:tcPr>
          <w:p w14:paraId="5C35310B" w14:textId="77777777" w:rsidR="00ED2EBD" w:rsidRPr="00BD16B4" w:rsidRDefault="00ED2EBD" w:rsidP="004A205F">
            <w:pPr>
              <w:pStyle w:val="TableText"/>
              <w:spacing w:before="40" w:after="40"/>
              <w:jc w:val="right"/>
              <w:rPr>
                <w:szCs w:val="18"/>
              </w:rPr>
            </w:pPr>
            <w:r w:rsidRPr="00BD16B4">
              <w:rPr>
                <w:szCs w:val="18"/>
              </w:rPr>
              <w:t>0.50</w:t>
            </w:r>
          </w:p>
        </w:tc>
        <w:tc>
          <w:tcPr>
            <w:tcW w:w="907" w:type="dxa"/>
            <w:shd w:val="clear" w:color="auto" w:fill="auto"/>
          </w:tcPr>
          <w:p w14:paraId="7FA749E9" w14:textId="77777777" w:rsidR="00ED2EBD" w:rsidRPr="00BD16B4" w:rsidRDefault="00ED2EBD" w:rsidP="004A205F">
            <w:pPr>
              <w:pStyle w:val="TableText"/>
              <w:spacing w:before="40" w:after="40"/>
              <w:jc w:val="right"/>
              <w:rPr>
                <w:szCs w:val="18"/>
              </w:rPr>
            </w:pPr>
            <w:r w:rsidRPr="00BD16B4">
              <w:rPr>
                <w:szCs w:val="18"/>
              </w:rPr>
              <w:t>0.62</w:t>
            </w:r>
          </w:p>
        </w:tc>
        <w:tc>
          <w:tcPr>
            <w:tcW w:w="907" w:type="dxa"/>
            <w:shd w:val="clear" w:color="auto" w:fill="auto"/>
          </w:tcPr>
          <w:p w14:paraId="4FCB6475" w14:textId="77777777" w:rsidR="00ED2EBD" w:rsidRPr="00BD16B4" w:rsidRDefault="00ED2EBD" w:rsidP="004A205F">
            <w:pPr>
              <w:pStyle w:val="TableText"/>
              <w:spacing w:before="40" w:after="40"/>
              <w:jc w:val="right"/>
              <w:rPr>
                <w:szCs w:val="18"/>
              </w:rPr>
            </w:pPr>
            <w:r w:rsidRPr="00BD16B4">
              <w:rPr>
                <w:szCs w:val="18"/>
              </w:rPr>
              <w:t>0.75</w:t>
            </w:r>
          </w:p>
        </w:tc>
        <w:tc>
          <w:tcPr>
            <w:tcW w:w="907" w:type="dxa"/>
            <w:shd w:val="clear" w:color="auto" w:fill="auto"/>
          </w:tcPr>
          <w:p w14:paraId="48D9BD3C" w14:textId="77777777" w:rsidR="00ED2EBD" w:rsidRPr="00BD16B4" w:rsidRDefault="00ED2EBD" w:rsidP="004A205F">
            <w:pPr>
              <w:pStyle w:val="TableText"/>
              <w:spacing w:before="40" w:after="40"/>
              <w:jc w:val="right"/>
              <w:rPr>
                <w:szCs w:val="18"/>
              </w:rPr>
            </w:pPr>
            <w:r w:rsidRPr="00BD16B4">
              <w:rPr>
                <w:szCs w:val="18"/>
              </w:rPr>
              <w:t>0.90</w:t>
            </w:r>
          </w:p>
        </w:tc>
        <w:tc>
          <w:tcPr>
            <w:tcW w:w="907" w:type="dxa"/>
            <w:shd w:val="clear" w:color="auto" w:fill="auto"/>
          </w:tcPr>
          <w:p w14:paraId="643D93BE" w14:textId="77777777" w:rsidR="00ED2EBD" w:rsidRPr="00BD16B4" w:rsidRDefault="00ED2EBD" w:rsidP="004A205F">
            <w:pPr>
              <w:pStyle w:val="TableText"/>
              <w:spacing w:before="40" w:after="40"/>
              <w:jc w:val="right"/>
              <w:rPr>
                <w:szCs w:val="18"/>
              </w:rPr>
            </w:pPr>
            <w:r w:rsidRPr="00BD16B4">
              <w:rPr>
                <w:szCs w:val="18"/>
              </w:rPr>
              <w:t>1.08</w:t>
            </w:r>
          </w:p>
        </w:tc>
        <w:tc>
          <w:tcPr>
            <w:tcW w:w="907" w:type="dxa"/>
            <w:shd w:val="clear" w:color="auto" w:fill="auto"/>
          </w:tcPr>
          <w:p w14:paraId="2959BDE9" w14:textId="77777777" w:rsidR="00ED2EBD" w:rsidRPr="00BD16B4" w:rsidRDefault="00ED2EBD" w:rsidP="004A205F">
            <w:pPr>
              <w:pStyle w:val="TableText"/>
              <w:spacing w:before="40" w:after="40"/>
              <w:jc w:val="right"/>
              <w:rPr>
                <w:szCs w:val="18"/>
              </w:rPr>
            </w:pPr>
            <w:r w:rsidRPr="00BD16B4">
              <w:rPr>
                <w:szCs w:val="18"/>
              </w:rPr>
              <w:t>1.24</w:t>
            </w:r>
          </w:p>
        </w:tc>
        <w:tc>
          <w:tcPr>
            <w:tcW w:w="907" w:type="dxa"/>
            <w:shd w:val="clear" w:color="auto" w:fill="auto"/>
          </w:tcPr>
          <w:p w14:paraId="72D75DF8" w14:textId="77777777" w:rsidR="00ED2EBD" w:rsidRPr="00BD16B4" w:rsidRDefault="00ED2EBD" w:rsidP="004A205F">
            <w:pPr>
              <w:pStyle w:val="TableText"/>
              <w:spacing w:before="40" w:after="40"/>
              <w:jc w:val="right"/>
              <w:rPr>
                <w:szCs w:val="18"/>
              </w:rPr>
            </w:pPr>
            <w:r w:rsidRPr="00BD16B4">
              <w:rPr>
                <w:szCs w:val="18"/>
              </w:rPr>
              <w:t>1.36</w:t>
            </w:r>
          </w:p>
        </w:tc>
        <w:tc>
          <w:tcPr>
            <w:tcW w:w="907" w:type="dxa"/>
            <w:shd w:val="clear" w:color="auto" w:fill="auto"/>
          </w:tcPr>
          <w:p w14:paraId="4B3CFA7D" w14:textId="77777777" w:rsidR="00ED2EBD" w:rsidRPr="00BD16B4" w:rsidRDefault="00ED2EBD" w:rsidP="004A205F">
            <w:pPr>
              <w:pStyle w:val="TableText"/>
              <w:spacing w:before="40" w:after="40"/>
              <w:jc w:val="right"/>
              <w:rPr>
                <w:szCs w:val="18"/>
              </w:rPr>
            </w:pPr>
            <w:r w:rsidRPr="00BD16B4">
              <w:rPr>
                <w:szCs w:val="18"/>
              </w:rPr>
              <w:t>1.52</w:t>
            </w:r>
          </w:p>
        </w:tc>
        <w:tc>
          <w:tcPr>
            <w:tcW w:w="907" w:type="dxa"/>
            <w:shd w:val="clear" w:color="auto" w:fill="auto"/>
          </w:tcPr>
          <w:p w14:paraId="7D626FF0" w14:textId="77777777" w:rsidR="00ED2EBD" w:rsidRPr="00BD16B4" w:rsidRDefault="00ED2EBD" w:rsidP="004A205F">
            <w:pPr>
              <w:pStyle w:val="TableText"/>
              <w:spacing w:before="40" w:after="40"/>
              <w:jc w:val="right"/>
              <w:rPr>
                <w:szCs w:val="18"/>
              </w:rPr>
            </w:pPr>
            <w:r w:rsidRPr="00BD16B4">
              <w:rPr>
                <w:szCs w:val="18"/>
              </w:rPr>
              <w:t>1.60</w:t>
            </w:r>
          </w:p>
        </w:tc>
      </w:tr>
      <w:tr w:rsidR="00F70C72" w:rsidRPr="00BD16B4" w14:paraId="0796AA98" w14:textId="77777777" w:rsidTr="00F70C72">
        <w:tc>
          <w:tcPr>
            <w:tcW w:w="3856" w:type="dxa"/>
          </w:tcPr>
          <w:p w14:paraId="2EF9D998" w14:textId="1CEAFAE5"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Incineration and open burning of waste</w:t>
            </w:r>
          </w:p>
        </w:tc>
        <w:tc>
          <w:tcPr>
            <w:tcW w:w="907" w:type="dxa"/>
            <w:shd w:val="clear" w:color="auto" w:fill="auto"/>
          </w:tcPr>
          <w:p w14:paraId="421D571D" w14:textId="77777777" w:rsidR="00ED2EBD" w:rsidRPr="00BD16B4" w:rsidRDefault="00ED2EBD" w:rsidP="004A205F">
            <w:pPr>
              <w:pStyle w:val="TableText"/>
              <w:spacing w:before="40" w:after="40"/>
              <w:jc w:val="right"/>
              <w:rPr>
                <w:szCs w:val="18"/>
              </w:rPr>
            </w:pPr>
            <w:r w:rsidRPr="00BD16B4">
              <w:rPr>
                <w:szCs w:val="18"/>
              </w:rPr>
              <w:t>3.76</w:t>
            </w:r>
          </w:p>
        </w:tc>
        <w:tc>
          <w:tcPr>
            <w:tcW w:w="907" w:type="dxa"/>
            <w:shd w:val="clear" w:color="auto" w:fill="auto"/>
          </w:tcPr>
          <w:p w14:paraId="7AA3C488" w14:textId="77777777" w:rsidR="00ED2EBD" w:rsidRPr="00BD16B4" w:rsidRDefault="00ED2EBD" w:rsidP="004A205F">
            <w:pPr>
              <w:pStyle w:val="TableText"/>
              <w:spacing w:before="40" w:after="40"/>
              <w:jc w:val="right"/>
              <w:rPr>
                <w:szCs w:val="18"/>
              </w:rPr>
            </w:pPr>
            <w:r w:rsidRPr="00BD16B4">
              <w:rPr>
                <w:szCs w:val="18"/>
              </w:rPr>
              <w:t>3.64</w:t>
            </w:r>
          </w:p>
        </w:tc>
        <w:tc>
          <w:tcPr>
            <w:tcW w:w="907" w:type="dxa"/>
            <w:shd w:val="clear" w:color="auto" w:fill="auto"/>
          </w:tcPr>
          <w:p w14:paraId="77B77CCE" w14:textId="77777777" w:rsidR="00ED2EBD" w:rsidRPr="00BD16B4" w:rsidRDefault="00ED2EBD" w:rsidP="004A205F">
            <w:pPr>
              <w:pStyle w:val="TableText"/>
              <w:spacing w:before="40" w:after="40"/>
              <w:jc w:val="right"/>
              <w:rPr>
                <w:szCs w:val="18"/>
              </w:rPr>
            </w:pPr>
            <w:r w:rsidRPr="00BD16B4">
              <w:rPr>
                <w:szCs w:val="18"/>
              </w:rPr>
              <w:t>3.65</w:t>
            </w:r>
          </w:p>
        </w:tc>
        <w:tc>
          <w:tcPr>
            <w:tcW w:w="907" w:type="dxa"/>
            <w:shd w:val="clear" w:color="auto" w:fill="auto"/>
          </w:tcPr>
          <w:p w14:paraId="553BDE26" w14:textId="77777777" w:rsidR="00ED2EBD" w:rsidRPr="00BD16B4" w:rsidRDefault="00ED2EBD" w:rsidP="004A205F">
            <w:pPr>
              <w:pStyle w:val="TableText"/>
              <w:spacing w:before="40" w:after="40"/>
              <w:jc w:val="right"/>
              <w:rPr>
                <w:szCs w:val="18"/>
              </w:rPr>
            </w:pPr>
            <w:r w:rsidRPr="00BD16B4">
              <w:rPr>
                <w:szCs w:val="18"/>
              </w:rPr>
              <w:t>3.55</w:t>
            </w:r>
          </w:p>
        </w:tc>
        <w:tc>
          <w:tcPr>
            <w:tcW w:w="907" w:type="dxa"/>
            <w:shd w:val="clear" w:color="auto" w:fill="auto"/>
          </w:tcPr>
          <w:p w14:paraId="74C6469F" w14:textId="77777777" w:rsidR="00ED2EBD" w:rsidRPr="00BD16B4" w:rsidRDefault="00ED2EBD" w:rsidP="004A205F">
            <w:pPr>
              <w:pStyle w:val="TableText"/>
              <w:spacing w:before="40" w:after="40"/>
              <w:jc w:val="right"/>
              <w:rPr>
                <w:szCs w:val="18"/>
              </w:rPr>
            </w:pPr>
            <w:r w:rsidRPr="00BD16B4">
              <w:rPr>
                <w:szCs w:val="18"/>
              </w:rPr>
              <w:t>3.56</w:t>
            </w:r>
          </w:p>
        </w:tc>
        <w:tc>
          <w:tcPr>
            <w:tcW w:w="907" w:type="dxa"/>
            <w:shd w:val="clear" w:color="auto" w:fill="auto"/>
          </w:tcPr>
          <w:p w14:paraId="75903466" w14:textId="77777777" w:rsidR="00ED2EBD" w:rsidRPr="00BD16B4" w:rsidRDefault="00ED2EBD" w:rsidP="004A205F">
            <w:pPr>
              <w:pStyle w:val="TableText"/>
              <w:spacing w:before="40" w:after="40"/>
              <w:jc w:val="right"/>
              <w:rPr>
                <w:szCs w:val="18"/>
              </w:rPr>
            </w:pPr>
            <w:r w:rsidRPr="00BD16B4">
              <w:rPr>
                <w:szCs w:val="18"/>
              </w:rPr>
              <w:t>3.46</w:t>
            </w:r>
          </w:p>
        </w:tc>
        <w:tc>
          <w:tcPr>
            <w:tcW w:w="907" w:type="dxa"/>
            <w:shd w:val="clear" w:color="auto" w:fill="auto"/>
          </w:tcPr>
          <w:p w14:paraId="383729F6" w14:textId="77777777" w:rsidR="00ED2EBD" w:rsidRPr="00BD16B4" w:rsidRDefault="00ED2EBD" w:rsidP="004A205F">
            <w:pPr>
              <w:pStyle w:val="TableText"/>
              <w:spacing w:before="40" w:after="40"/>
              <w:jc w:val="right"/>
              <w:rPr>
                <w:szCs w:val="18"/>
              </w:rPr>
            </w:pPr>
            <w:r w:rsidRPr="00BD16B4">
              <w:rPr>
                <w:szCs w:val="18"/>
              </w:rPr>
              <w:t>3.48</w:t>
            </w:r>
          </w:p>
        </w:tc>
        <w:tc>
          <w:tcPr>
            <w:tcW w:w="907" w:type="dxa"/>
            <w:shd w:val="clear" w:color="auto" w:fill="auto"/>
          </w:tcPr>
          <w:p w14:paraId="3751946A" w14:textId="77777777" w:rsidR="00ED2EBD" w:rsidRPr="00BD16B4" w:rsidRDefault="00ED2EBD" w:rsidP="004A205F">
            <w:pPr>
              <w:pStyle w:val="TableText"/>
              <w:spacing w:before="40" w:after="40"/>
              <w:jc w:val="right"/>
              <w:rPr>
                <w:szCs w:val="18"/>
              </w:rPr>
            </w:pPr>
            <w:r w:rsidRPr="00BD16B4">
              <w:rPr>
                <w:szCs w:val="18"/>
              </w:rPr>
              <w:t>3.29</w:t>
            </w:r>
          </w:p>
        </w:tc>
        <w:tc>
          <w:tcPr>
            <w:tcW w:w="907" w:type="dxa"/>
            <w:shd w:val="clear" w:color="auto" w:fill="auto"/>
          </w:tcPr>
          <w:p w14:paraId="4FB77C60" w14:textId="77777777" w:rsidR="00ED2EBD" w:rsidRPr="00BD16B4" w:rsidRDefault="00ED2EBD" w:rsidP="004A205F">
            <w:pPr>
              <w:pStyle w:val="TableText"/>
              <w:spacing w:before="40" w:after="40"/>
              <w:jc w:val="right"/>
              <w:rPr>
                <w:szCs w:val="18"/>
              </w:rPr>
            </w:pPr>
            <w:r w:rsidRPr="00BD16B4">
              <w:rPr>
                <w:szCs w:val="18"/>
              </w:rPr>
              <w:t>3.19</w:t>
            </w:r>
          </w:p>
        </w:tc>
        <w:tc>
          <w:tcPr>
            <w:tcW w:w="907" w:type="dxa"/>
            <w:shd w:val="clear" w:color="auto" w:fill="auto"/>
          </w:tcPr>
          <w:p w14:paraId="4D2B4EDC" w14:textId="77777777" w:rsidR="00ED2EBD" w:rsidRPr="00BD16B4" w:rsidRDefault="00ED2EBD" w:rsidP="004A205F">
            <w:pPr>
              <w:pStyle w:val="TableText"/>
              <w:spacing w:before="40" w:after="40"/>
              <w:jc w:val="right"/>
              <w:rPr>
                <w:szCs w:val="18"/>
              </w:rPr>
            </w:pPr>
            <w:r w:rsidRPr="00BD16B4">
              <w:rPr>
                <w:szCs w:val="18"/>
              </w:rPr>
              <w:t>3.11</w:t>
            </w:r>
          </w:p>
        </w:tc>
        <w:tc>
          <w:tcPr>
            <w:tcW w:w="907" w:type="dxa"/>
            <w:shd w:val="clear" w:color="auto" w:fill="auto"/>
          </w:tcPr>
          <w:p w14:paraId="117D1B8D" w14:textId="77777777" w:rsidR="00ED2EBD" w:rsidRPr="00BD16B4" w:rsidRDefault="00ED2EBD" w:rsidP="004A205F">
            <w:pPr>
              <w:pStyle w:val="TableText"/>
              <w:spacing w:before="40" w:after="40"/>
              <w:jc w:val="right"/>
              <w:rPr>
                <w:szCs w:val="18"/>
              </w:rPr>
            </w:pPr>
            <w:r w:rsidRPr="00BD16B4">
              <w:rPr>
                <w:szCs w:val="18"/>
              </w:rPr>
              <w:t>3.10</w:t>
            </w:r>
          </w:p>
        </w:tc>
      </w:tr>
      <w:tr w:rsidR="00F70C72" w:rsidRPr="00BD16B4" w14:paraId="1487466B" w14:textId="77777777" w:rsidTr="00F70C72">
        <w:tc>
          <w:tcPr>
            <w:tcW w:w="3856" w:type="dxa"/>
          </w:tcPr>
          <w:p w14:paraId="3A1B4FCD" w14:textId="2E052BB6" w:rsidR="00ED2EBD" w:rsidRPr="00BD16B4" w:rsidRDefault="00ED2EBD" w:rsidP="004A205F">
            <w:pPr>
              <w:pStyle w:val="TableText"/>
              <w:spacing w:before="40" w:after="40"/>
              <w:rPr>
                <w:szCs w:val="18"/>
              </w:rPr>
            </w:pPr>
            <w:r w:rsidRPr="00BD16B4">
              <w:rPr>
                <w:szCs w:val="18"/>
              </w:rPr>
              <w:t>D.</w:t>
            </w:r>
            <w:r w:rsidR="00280979" w:rsidRPr="00BD16B4">
              <w:rPr>
                <w:szCs w:val="18"/>
              </w:rPr>
              <w:t xml:space="preserve"> </w:t>
            </w:r>
            <w:r w:rsidRPr="00BD16B4">
              <w:rPr>
                <w:szCs w:val="18"/>
              </w:rPr>
              <w:t>Waste water treatment and discharge</w:t>
            </w:r>
          </w:p>
        </w:tc>
        <w:tc>
          <w:tcPr>
            <w:tcW w:w="907" w:type="dxa"/>
            <w:tcBorders>
              <w:bottom w:val="single" w:sz="4" w:space="0" w:color="1B556B" w:themeColor="text2"/>
            </w:tcBorders>
            <w:shd w:val="clear" w:color="auto" w:fill="auto"/>
          </w:tcPr>
          <w:p w14:paraId="44D1495C" w14:textId="77777777" w:rsidR="00ED2EBD" w:rsidRPr="00BD16B4" w:rsidRDefault="00ED2EBD" w:rsidP="004A205F">
            <w:pPr>
              <w:pStyle w:val="TableText"/>
              <w:spacing w:before="40" w:after="40"/>
              <w:jc w:val="right"/>
              <w:rPr>
                <w:szCs w:val="18"/>
              </w:rPr>
            </w:pPr>
            <w:r w:rsidRPr="00BD16B4">
              <w:rPr>
                <w:szCs w:val="18"/>
              </w:rPr>
              <w:t>9.06</w:t>
            </w:r>
          </w:p>
        </w:tc>
        <w:tc>
          <w:tcPr>
            <w:tcW w:w="907" w:type="dxa"/>
            <w:tcBorders>
              <w:bottom w:val="single" w:sz="4" w:space="0" w:color="1B556B" w:themeColor="text2"/>
            </w:tcBorders>
            <w:shd w:val="clear" w:color="auto" w:fill="auto"/>
          </w:tcPr>
          <w:p w14:paraId="2BF818C1" w14:textId="77777777" w:rsidR="00ED2EBD" w:rsidRPr="00BD16B4" w:rsidRDefault="00ED2EBD" w:rsidP="004A205F">
            <w:pPr>
              <w:pStyle w:val="TableText"/>
              <w:spacing w:before="40" w:after="40"/>
              <w:jc w:val="right"/>
              <w:rPr>
                <w:szCs w:val="18"/>
              </w:rPr>
            </w:pPr>
            <w:r w:rsidRPr="00BD16B4">
              <w:rPr>
                <w:szCs w:val="18"/>
              </w:rPr>
              <w:t>9.12</w:t>
            </w:r>
          </w:p>
        </w:tc>
        <w:tc>
          <w:tcPr>
            <w:tcW w:w="907" w:type="dxa"/>
            <w:tcBorders>
              <w:bottom w:val="single" w:sz="4" w:space="0" w:color="1B556B" w:themeColor="text2"/>
            </w:tcBorders>
            <w:shd w:val="clear" w:color="auto" w:fill="auto"/>
          </w:tcPr>
          <w:p w14:paraId="67DA5EC8" w14:textId="77777777" w:rsidR="00ED2EBD" w:rsidRPr="00BD16B4" w:rsidRDefault="00ED2EBD" w:rsidP="004A205F">
            <w:pPr>
              <w:pStyle w:val="TableText"/>
              <w:spacing w:before="40" w:after="40"/>
              <w:jc w:val="right"/>
              <w:rPr>
                <w:szCs w:val="18"/>
              </w:rPr>
            </w:pPr>
            <w:r w:rsidRPr="00BD16B4">
              <w:rPr>
                <w:szCs w:val="18"/>
              </w:rPr>
              <w:t>9.12</w:t>
            </w:r>
          </w:p>
        </w:tc>
        <w:tc>
          <w:tcPr>
            <w:tcW w:w="907" w:type="dxa"/>
            <w:tcBorders>
              <w:bottom w:val="single" w:sz="4" w:space="0" w:color="1B556B" w:themeColor="text2"/>
            </w:tcBorders>
            <w:shd w:val="clear" w:color="auto" w:fill="auto"/>
          </w:tcPr>
          <w:p w14:paraId="3F73011D" w14:textId="77777777" w:rsidR="00ED2EBD" w:rsidRPr="00BD16B4" w:rsidRDefault="00ED2EBD" w:rsidP="004A205F">
            <w:pPr>
              <w:pStyle w:val="TableText"/>
              <w:spacing w:before="40" w:after="40"/>
              <w:jc w:val="right"/>
              <w:rPr>
                <w:szCs w:val="18"/>
              </w:rPr>
            </w:pPr>
            <w:r w:rsidRPr="00BD16B4">
              <w:rPr>
                <w:szCs w:val="18"/>
              </w:rPr>
              <w:t>9.23</w:t>
            </w:r>
          </w:p>
        </w:tc>
        <w:tc>
          <w:tcPr>
            <w:tcW w:w="907" w:type="dxa"/>
            <w:tcBorders>
              <w:bottom w:val="single" w:sz="4" w:space="0" w:color="1B556B" w:themeColor="text2"/>
            </w:tcBorders>
            <w:shd w:val="clear" w:color="auto" w:fill="auto"/>
          </w:tcPr>
          <w:p w14:paraId="39FE82F0" w14:textId="77777777" w:rsidR="00ED2EBD" w:rsidRPr="00BD16B4" w:rsidRDefault="00ED2EBD" w:rsidP="004A205F">
            <w:pPr>
              <w:pStyle w:val="TableText"/>
              <w:spacing w:before="40" w:after="40"/>
              <w:jc w:val="right"/>
              <w:rPr>
                <w:szCs w:val="18"/>
              </w:rPr>
            </w:pPr>
            <w:r w:rsidRPr="00BD16B4">
              <w:rPr>
                <w:szCs w:val="18"/>
              </w:rPr>
              <w:t>9.35</w:t>
            </w:r>
          </w:p>
        </w:tc>
        <w:tc>
          <w:tcPr>
            <w:tcW w:w="907" w:type="dxa"/>
            <w:tcBorders>
              <w:bottom w:val="single" w:sz="4" w:space="0" w:color="1B556B" w:themeColor="text2"/>
            </w:tcBorders>
            <w:shd w:val="clear" w:color="auto" w:fill="auto"/>
          </w:tcPr>
          <w:p w14:paraId="73F1FD03" w14:textId="77777777" w:rsidR="00ED2EBD" w:rsidRPr="00BD16B4" w:rsidRDefault="00ED2EBD" w:rsidP="004A205F">
            <w:pPr>
              <w:pStyle w:val="TableText"/>
              <w:spacing w:before="40" w:after="40"/>
              <w:jc w:val="right"/>
              <w:rPr>
                <w:szCs w:val="18"/>
              </w:rPr>
            </w:pPr>
            <w:r w:rsidRPr="00BD16B4">
              <w:rPr>
                <w:szCs w:val="18"/>
              </w:rPr>
              <w:t>9.56</w:t>
            </w:r>
          </w:p>
        </w:tc>
        <w:tc>
          <w:tcPr>
            <w:tcW w:w="907" w:type="dxa"/>
            <w:tcBorders>
              <w:bottom w:val="single" w:sz="4" w:space="0" w:color="1B556B" w:themeColor="text2"/>
            </w:tcBorders>
            <w:shd w:val="clear" w:color="auto" w:fill="auto"/>
          </w:tcPr>
          <w:p w14:paraId="25845567" w14:textId="77777777" w:rsidR="00ED2EBD" w:rsidRPr="00BD16B4" w:rsidRDefault="00ED2EBD" w:rsidP="004A205F">
            <w:pPr>
              <w:pStyle w:val="TableText"/>
              <w:spacing w:before="40" w:after="40"/>
              <w:jc w:val="right"/>
              <w:rPr>
                <w:szCs w:val="18"/>
              </w:rPr>
            </w:pPr>
            <w:r w:rsidRPr="00BD16B4">
              <w:rPr>
                <w:szCs w:val="18"/>
              </w:rPr>
              <w:t>9.63</w:t>
            </w:r>
          </w:p>
        </w:tc>
        <w:tc>
          <w:tcPr>
            <w:tcW w:w="907" w:type="dxa"/>
            <w:tcBorders>
              <w:bottom w:val="single" w:sz="4" w:space="0" w:color="1B556B" w:themeColor="text2"/>
            </w:tcBorders>
            <w:shd w:val="clear" w:color="auto" w:fill="auto"/>
          </w:tcPr>
          <w:p w14:paraId="60CD06E4" w14:textId="77777777" w:rsidR="00ED2EBD" w:rsidRPr="00BD16B4" w:rsidRDefault="00ED2EBD" w:rsidP="004A205F">
            <w:pPr>
              <w:pStyle w:val="TableText"/>
              <w:spacing w:before="40" w:after="40"/>
              <w:jc w:val="right"/>
              <w:rPr>
                <w:szCs w:val="18"/>
              </w:rPr>
            </w:pPr>
            <w:r w:rsidRPr="00BD16B4">
              <w:rPr>
                <w:szCs w:val="18"/>
              </w:rPr>
              <w:t>9.81</w:t>
            </w:r>
          </w:p>
        </w:tc>
        <w:tc>
          <w:tcPr>
            <w:tcW w:w="907" w:type="dxa"/>
            <w:tcBorders>
              <w:bottom w:val="single" w:sz="4" w:space="0" w:color="1B556B" w:themeColor="text2"/>
            </w:tcBorders>
            <w:shd w:val="clear" w:color="auto" w:fill="auto"/>
          </w:tcPr>
          <w:p w14:paraId="348E34B1" w14:textId="77777777" w:rsidR="00ED2EBD" w:rsidRPr="00BD16B4" w:rsidRDefault="00ED2EBD" w:rsidP="004A205F">
            <w:pPr>
              <w:pStyle w:val="TableText"/>
              <w:spacing w:before="40" w:after="40"/>
              <w:jc w:val="right"/>
              <w:rPr>
                <w:szCs w:val="18"/>
              </w:rPr>
            </w:pPr>
            <w:r w:rsidRPr="00BD16B4">
              <w:rPr>
                <w:szCs w:val="18"/>
              </w:rPr>
              <w:t>9.99</w:t>
            </w:r>
          </w:p>
        </w:tc>
        <w:tc>
          <w:tcPr>
            <w:tcW w:w="907" w:type="dxa"/>
            <w:tcBorders>
              <w:bottom w:val="single" w:sz="4" w:space="0" w:color="1B556B" w:themeColor="text2"/>
            </w:tcBorders>
            <w:shd w:val="clear" w:color="auto" w:fill="auto"/>
          </w:tcPr>
          <w:p w14:paraId="4E88384D" w14:textId="77777777" w:rsidR="00ED2EBD" w:rsidRPr="00BD16B4" w:rsidRDefault="00ED2EBD" w:rsidP="004A205F">
            <w:pPr>
              <w:pStyle w:val="TableText"/>
              <w:spacing w:before="40" w:after="40"/>
              <w:jc w:val="right"/>
              <w:rPr>
                <w:szCs w:val="18"/>
              </w:rPr>
            </w:pPr>
            <w:r w:rsidRPr="00BD16B4">
              <w:rPr>
                <w:szCs w:val="18"/>
              </w:rPr>
              <w:t>10.14</w:t>
            </w:r>
          </w:p>
        </w:tc>
        <w:tc>
          <w:tcPr>
            <w:tcW w:w="907" w:type="dxa"/>
            <w:tcBorders>
              <w:bottom w:val="single" w:sz="4" w:space="0" w:color="1B556B" w:themeColor="text2"/>
            </w:tcBorders>
            <w:shd w:val="clear" w:color="auto" w:fill="auto"/>
          </w:tcPr>
          <w:p w14:paraId="5AE4BF2F" w14:textId="77777777" w:rsidR="00ED2EBD" w:rsidRPr="00BD16B4" w:rsidRDefault="00ED2EBD" w:rsidP="004A205F">
            <w:pPr>
              <w:pStyle w:val="TableText"/>
              <w:spacing w:before="40" w:after="40"/>
              <w:jc w:val="right"/>
              <w:rPr>
                <w:szCs w:val="18"/>
              </w:rPr>
            </w:pPr>
            <w:r w:rsidRPr="00BD16B4">
              <w:rPr>
                <w:szCs w:val="18"/>
              </w:rPr>
              <w:t>10.28</w:t>
            </w:r>
          </w:p>
        </w:tc>
      </w:tr>
      <w:tr w:rsidR="00ED2EBD" w:rsidRPr="00BD16B4" w14:paraId="660D870E" w14:textId="77777777" w:rsidTr="00F70C72">
        <w:tc>
          <w:tcPr>
            <w:tcW w:w="3856" w:type="dxa"/>
          </w:tcPr>
          <w:p w14:paraId="24A53045" w14:textId="75494D61"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 xml:space="preserve">Other </w:t>
            </w:r>
          </w:p>
        </w:tc>
        <w:tc>
          <w:tcPr>
            <w:tcW w:w="907" w:type="dxa"/>
            <w:tcBorders>
              <w:top w:val="single" w:sz="4" w:space="0" w:color="1B556B" w:themeColor="text2"/>
            </w:tcBorders>
            <w:shd w:val="clear" w:color="auto" w:fill="D2DDE1" w:themeFill="background2"/>
          </w:tcPr>
          <w:p w14:paraId="70397FC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8E82F1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E64575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A78268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E6A2B0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A00C72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AE47AA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A41686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A4FF3D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84A5B9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7A7A910" w14:textId="77777777" w:rsidR="00ED2EBD" w:rsidRPr="00BD16B4" w:rsidRDefault="00ED2EBD" w:rsidP="004A205F">
            <w:pPr>
              <w:pStyle w:val="TableText"/>
              <w:spacing w:before="40" w:after="40"/>
              <w:jc w:val="right"/>
              <w:rPr>
                <w:szCs w:val="18"/>
              </w:rPr>
            </w:pPr>
            <w:r w:rsidRPr="00BD16B4">
              <w:rPr>
                <w:color w:val="000000"/>
                <w:szCs w:val="18"/>
              </w:rPr>
              <w:t> </w:t>
            </w:r>
          </w:p>
        </w:tc>
      </w:tr>
      <w:tr w:rsidR="00F70C72" w:rsidRPr="00BD16B4" w14:paraId="51FCA895" w14:textId="77777777" w:rsidTr="00F70C72">
        <w:tc>
          <w:tcPr>
            <w:tcW w:w="3856" w:type="dxa"/>
          </w:tcPr>
          <w:p w14:paraId="3002FF6D" w14:textId="315C807D" w:rsidR="00ED2EBD" w:rsidRPr="00BD16B4" w:rsidRDefault="00ED2EBD" w:rsidP="004A205F">
            <w:pPr>
              <w:pStyle w:val="TableText"/>
              <w:spacing w:before="40" w:after="40"/>
              <w:rPr>
                <w:szCs w:val="18"/>
              </w:rPr>
            </w:pPr>
            <w:r w:rsidRPr="00BD16B4">
              <w:rPr>
                <w:b/>
                <w:bCs/>
                <w:szCs w:val="18"/>
              </w:rPr>
              <w:t>6.</w:t>
            </w:r>
            <w:r w:rsidR="00280979" w:rsidRPr="00BD16B4">
              <w:rPr>
                <w:b/>
                <w:bCs/>
                <w:szCs w:val="18"/>
              </w:rPr>
              <w:t xml:space="preserve"> </w:t>
            </w:r>
            <w:r w:rsidRPr="00BD16B4">
              <w:rPr>
                <w:b/>
                <w:bCs/>
                <w:szCs w:val="18"/>
              </w:rPr>
              <w:t>Other (as specified in summary table A.1)</w:t>
            </w:r>
          </w:p>
        </w:tc>
        <w:tc>
          <w:tcPr>
            <w:tcW w:w="907" w:type="dxa"/>
            <w:shd w:val="clear" w:color="auto" w:fill="auto"/>
          </w:tcPr>
          <w:p w14:paraId="7E0DBC2E" w14:textId="77777777" w:rsidR="00ED2EBD" w:rsidRPr="00BD16B4" w:rsidRDefault="00ED2EBD" w:rsidP="004A205F">
            <w:pPr>
              <w:pStyle w:val="TableText"/>
              <w:spacing w:before="40" w:after="40"/>
              <w:jc w:val="right"/>
              <w:rPr>
                <w:szCs w:val="18"/>
              </w:rPr>
            </w:pPr>
            <w:r w:rsidRPr="00BD16B4">
              <w:rPr>
                <w:szCs w:val="18"/>
              </w:rPr>
              <w:t>0.07</w:t>
            </w:r>
          </w:p>
        </w:tc>
        <w:tc>
          <w:tcPr>
            <w:tcW w:w="907" w:type="dxa"/>
            <w:shd w:val="clear" w:color="auto" w:fill="auto"/>
          </w:tcPr>
          <w:p w14:paraId="6FF92AC4" w14:textId="77777777" w:rsidR="00ED2EBD" w:rsidRPr="00BD16B4" w:rsidRDefault="00ED2EBD" w:rsidP="004A205F">
            <w:pPr>
              <w:pStyle w:val="TableText"/>
              <w:spacing w:before="40" w:after="40"/>
              <w:jc w:val="right"/>
              <w:rPr>
                <w:szCs w:val="18"/>
              </w:rPr>
            </w:pPr>
            <w:r w:rsidRPr="00BD16B4">
              <w:rPr>
                <w:szCs w:val="18"/>
              </w:rPr>
              <w:t>0.07</w:t>
            </w:r>
          </w:p>
        </w:tc>
        <w:tc>
          <w:tcPr>
            <w:tcW w:w="907" w:type="dxa"/>
            <w:shd w:val="clear" w:color="auto" w:fill="auto"/>
          </w:tcPr>
          <w:p w14:paraId="44EA9D5C" w14:textId="77777777" w:rsidR="00ED2EBD" w:rsidRPr="00BD16B4" w:rsidRDefault="00ED2EBD" w:rsidP="004A205F">
            <w:pPr>
              <w:pStyle w:val="TableText"/>
              <w:spacing w:before="40" w:after="40"/>
              <w:jc w:val="right"/>
              <w:rPr>
                <w:szCs w:val="18"/>
              </w:rPr>
            </w:pPr>
            <w:r w:rsidRPr="00BD16B4">
              <w:rPr>
                <w:szCs w:val="18"/>
              </w:rPr>
              <w:t>0.07</w:t>
            </w:r>
          </w:p>
        </w:tc>
        <w:tc>
          <w:tcPr>
            <w:tcW w:w="907" w:type="dxa"/>
            <w:shd w:val="clear" w:color="auto" w:fill="auto"/>
          </w:tcPr>
          <w:p w14:paraId="77A3AB82" w14:textId="77777777" w:rsidR="00ED2EBD" w:rsidRPr="00BD16B4" w:rsidRDefault="00ED2EBD" w:rsidP="004A205F">
            <w:pPr>
              <w:pStyle w:val="TableText"/>
              <w:spacing w:before="40" w:after="40"/>
              <w:jc w:val="right"/>
              <w:rPr>
                <w:szCs w:val="18"/>
              </w:rPr>
            </w:pPr>
            <w:r w:rsidRPr="00BD16B4">
              <w:rPr>
                <w:szCs w:val="18"/>
              </w:rPr>
              <w:t>0.07</w:t>
            </w:r>
          </w:p>
        </w:tc>
        <w:tc>
          <w:tcPr>
            <w:tcW w:w="907" w:type="dxa"/>
            <w:shd w:val="clear" w:color="auto" w:fill="auto"/>
          </w:tcPr>
          <w:p w14:paraId="5CF7994E" w14:textId="77777777" w:rsidR="00ED2EBD" w:rsidRPr="00BD16B4" w:rsidRDefault="00ED2EBD" w:rsidP="004A205F">
            <w:pPr>
              <w:pStyle w:val="TableText"/>
              <w:spacing w:before="40" w:after="40"/>
              <w:jc w:val="right"/>
              <w:rPr>
                <w:szCs w:val="18"/>
              </w:rPr>
            </w:pPr>
            <w:r w:rsidRPr="00BD16B4">
              <w:rPr>
                <w:szCs w:val="18"/>
              </w:rPr>
              <w:t>0.06</w:t>
            </w:r>
          </w:p>
        </w:tc>
        <w:tc>
          <w:tcPr>
            <w:tcW w:w="907" w:type="dxa"/>
            <w:shd w:val="clear" w:color="auto" w:fill="auto"/>
          </w:tcPr>
          <w:p w14:paraId="21C12193" w14:textId="77777777" w:rsidR="00ED2EBD" w:rsidRPr="00BD16B4" w:rsidRDefault="00ED2EBD" w:rsidP="004A205F">
            <w:pPr>
              <w:pStyle w:val="TableText"/>
              <w:spacing w:before="40" w:after="40"/>
              <w:jc w:val="right"/>
              <w:rPr>
                <w:szCs w:val="18"/>
              </w:rPr>
            </w:pPr>
            <w:r w:rsidRPr="00BD16B4">
              <w:rPr>
                <w:szCs w:val="18"/>
              </w:rPr>
              <w:t>0.06</w:t>
            </w:r>
          </w:p>
        </w:tc>
        <w:tc>
          <w:tcPr>
            <w:tcW w:w="907" w:type="dxa"/>
            <w:shd w:val="clear" w:color="auto" w:fill="auto"/>
          </w:tcPr>
          <w:p w14:paraId="0931CEE2" w14:textId="77777777" w:rsidR="00ED2EBD" w:rsidRPr="00BD16B4" w:rsidRDefault="00ED2EBD" w:rsidP="004A205F">
            <w:pPr>
              <w:pStyle w:val="TableText"/>
              <w:spacing w:before="40" w:after="40"/>
              <w:jc w:val="right"/>
              <w:rPr>
                <w:szCs w:val="18"/>
              </w:rPr>
            </w:pPr>
            <w:r w:rsidRPr="00BD16B4">
              <w:rPr>
                <w:szCs w:val="18"/>
              </w:rPr>
              <w:t>0.06</w:t>
            </w:r>
          </w:p>
        </w:tc>
        <w:tc>
          <w:tcPr>
            <w:tcW w:w="907" w:type="dxa"/>
            <w:shd w:val="clear" w:color="auto" w:fill="auto"/>
          </w:tcPr>
          <w:p w14:paraId="56DA7CB5" w14:textId="77777777" w:rsidR="00ED2EBD" w:rsidRPr="00BD16B4" w:rsidRDefault="00ED2EBD" w:rsidP="004A205F">
            <w:pPr>
              <w:pStyle w:val="TableText"/>
              <w:spacing w:before="40" w:after="40"/>
              <w:jc w:val="right"/>
              <w:rPr>
                <w:szCs w:val="18"/>
              </w:rPr>
            </w:pPr>
            <w:r w:rsidRPr="00BD16B4">
              <w:rPr>
                <w:szCs w:val="18"/>
              </w:rPr>
              <w:t>0.06</w:t>
            </w:r>
          </w:p>
        </w:tc>
        <w:tc>
          <w:tcPr>
            <w:tcW w:w="907" w:type="dxa"/>
            <w:shd w:val="clear" w:color="auto" w:fill="auto"/>
          </w:tcPr>
          <w:p w14:paraId="16EF05F8" w14:textId="77777777" w:rsidR="00ED2EBD" w:rsidRPr="00BD16B4" w:rsidRDefault="00ED2EBD" w:rsidP="004A205F">
            <w:pPr>
              <w:pStyle w:val="TableText"/>
              <w:spacing w:before="40" w:after="40"/>
              <w:jc w:val="right"/>
              <w:rPr>
                <w:szCs w:val="18"/>
              </w:rPr>
            </w:pPr>
            <w:r w:rsidRPr="00BD16B4">
              <w:rPr>
                <w:szCs w:val="18"/>
              </w:rPr>
              <w:t>0.06</w:t>
            </w:r>
          </w:p>
        </w:tc>
        <w:tc>
          <w:tcPr>
            <w:tcW w:w="907" w:type="dxa"/>
            <w:shd w:val="clear" w:color="auto" w:fill="auto"/>
          </w:tcPr>
          <w:p w14:paraId="6AC4C93E" w14:textId="77777777" w:rsidR="00ED2EBD" w:rsidRPr="00BD16B4" w:rsidRDefault="00ED2EBD" w:rsidP="004A205F">
            <w:pPr>
              <w:pStyle w:val="TableText"/>
              <w:spacing w:before="40" w:after="40"/>
              <w:jc w:val="right"/>
              <w:rPr>
                <w:szCs w:val="18"/>
              </w:rPr>
            </w:pPr>
            <w:r w:rsidRPr="00BD16B4">
              <w:rPr>
                <w:szCs w:val="18"/>
              </w:rPr>
              <w:t>0.06</w:t>
            </w:r>
          </w:p>
        </w:tc>
        <w:tc>
          <w:tcPr>
            <w:tcW w:w="907" w:type="dxa"/>
            <w:shd w:val="clear" w:color="auto" w:fill="auto"/>
          </w:tcPr>
          <w:p w14:paraId="1A693AAC" w14:textId="77777777" w:rsidR="00ED2EBD" w:rsidRPr="00BD16B4" w:rsidRDefault="00ED2EBD" w:rsidP="004A205F">
            <w:pPr>
              <w:pStyle w:val="TableText"/>
              <w:spacing w:before="40" w:after="40"/>
              <w:jc w:val="right"/>
              <w:rPr>
                <w:szCs w:val="18"/>
              </w:rPr>
            </w:pPr>
            <w:r w:rsidRPr="00BD16B4">
              <w:rPr>
                <w:szCs w:val="18"/>
              </w:rPr>
              <w:t>0.06</w:t>
            </w:r>
          </w:p>
        </w:tc>
      </w:tr>
    </w:tbl>
    <w:p w14:paraId="64DC3CA2" w14:textId="77777777" w:rsidR="00ED2EBD" w:rsidRPr="00BD16B4" w:rsidRDefault="00ED2EBD" w:rsidP="00ED2EBD">
      <w:pPr>
        <w:pStyle w:val="Note"/>
      </w:pPr>
      <w:r w:rsidRPr="00BD16B4">
        <w:rPr>
          <w:b/>
        </w:rPr>
        <w:t>Note:</w:t>
      </w:r>
      <w:r w:rsidRPr="00BD16B4">
        <w:tab/>
        <w:t>CO</w:t>
      </w:r>
      <w:r w:rsidRPr="00BD16B4">
        <w:rPr>
          <w:vertAlign w:val="subscript"/>
        </w:rPr>
        <w:t>2</w:t>
      </w:r>
      <w:r w:rsidRPr="00BD16B4">
        <w:t xml:space="preserve"> = carbon dioxide; CH</w:t>
      </w:r>
      <w:r w:rsidRPr="00BD16B4">
        <w:rPr>
          <w:vertAlign w:val="subscript"/>
        </w:rPr>
        <w:t>4</w:t>
      </w:r>
      <w:r w:rsidRPr="00BD16B4">
        <w:t xml:space="preserve"> = methane; IE = included elsewhere; kt = kilotonnes; NA = not applicable; NE = not estimated; NO = not occurring; ODS = ozone-depleting substances.</w:t>
      </w:r>
    </w:p>
    <w:p w14:paraId="700F1141" w14:textId="77777777" w:rsidR="00ED2EBD" w:rsidRPr="00BD16B4" w:rsidRDefault="00ED2EBD" w:rsidP="00ED2EBD">
      <w:pPr>
        <w:spacing w:after="0"/>
      </w:pPr>
    </w:p>
    <w:p w14:paraId="1D948190" w14:textId="77777777" w:rsidR="002A2A69" w:rsidRPr="00BD16B4" w:rsidRDefault="002A2A69" w:rsidP="002A2A69">
      <w:pPr>
        <w:pStyle w:val="BodyText"/>
      </w:pPr>
      <w:r w:rsidRPr="00BD16B4">
        <w:br w:type="page"/>
      </w:r>
    </w:p>
    <w:p w14:paraId="0D15D4DD" w14:textId="4D930E32" w:rsidR="00ED2EBD" w:rsidRPr="00BD16B4" w:rsidRDefault="00ED2EBD" w:rsidP="00ED2EBD">
      <w:pPr>
        <w:pStyle w:val="Tableheading"/>
      </w:pPr>
      <w:bookmarkStart w:id="449" w:name="_Toc121773834"/>
      <w:r w:rsidRPr="00BD16B4">
        <w:lastRenderedPageBreak/>
        <w:t>Table A.4:</w:t>
      </w:r>
      <w:r w:rsidRPr="00BD16B4">
        <w:tab/>
        <w:t>Emissions trends (N</w:t>
      </w:r>
      <w:r w:rsidRPr="00BD16B4">
        <w:rPr>
          <w:vertAlign w:val="subscript"/>
        </w:rPr>
        <w:t>2</w:t>
      </w:r>
      <w:r w:rsidRPr="00BD16B4">
        <w:t>O) (CTF Table 1(c)) (three parts)</w:t>
      </w:r>
      <w:bookmarkEnd w:id="449"/>
    </w:p>
    <w:p w14:paraId="1993EBA5" w14:textId="77777777" w:rsidR="00ED2EBD" w:rsidRPr="00BD16B4" w:rsidRDefault="00ED2EBD" w:rsidP="00ED2EBD">
      <w:pPr>
        <w:pStyle w:val="CTFTableheading"/>
      </w:pPr>
      <w:r w:rsidRPr="00BD16B4">
        <w:t>Table A.4:</w:t>
      </w:r>
      <w:r w:rsidRPr="00BD16B4">
        <w:tab/>
        <w:t>Emissions trends (N</w:t>
      </w:r>
      <w:r w:rsidRPr="00BD16B4">
        <w:rPr>
          <w:vertAlign w:val="subscript"/>
        </w:rPr>
        <w:t>2</w:t>
      </w:r>
      <w:r w:rsidRPr="00BD16B4">
        <w:t>O) (CTF Table 1(c)) (part 1 of 3)</w:t>
      </w:r>
    </w:p>
    <w:tbl>
      <w:tblPr>
        <w:tblStyle w:val="MinistryfortheEnvironment"/>
        <w:tblW w:w="14515" w:type="dxa"/>
        <w:tblInd w:w="113" w:type="dxa"/>
        <w:tblCellMar>
          <w:bottom w:w="0" w:type="dxa"/>
        </w:tblCellMar>
        <w:tblLook w:val="04A0" w:firstRow="1" w:lastRow="0" w:firstColumn="1" w:lastColumn="0" w:noHBand="0" w:noVBand="1"/>
      </w:tblPr>
      <w:tblGrid>
        <w:gridCol w:w="4084"/>
        <w:gridCol w:w="1159"/>
        <w:gridCol w:w="1159"/>
        <w:gridCol w:w="1159"/>
        <w:gridCol w:w="1159"/>
        <w:gridCol w:w="1159"/>
        <w:gridCol w:w="1159"/>
        <w:gridCol w:w="1159"/>
        <w:gridCol w:w="1159"/>
        <w:gridCol w:w="1159"/>
      </w:tblGrid>
      <w:tr w:rsidR="002A2A69" w:rsidRPr="00BD16B4" w14:paraId="77C59C9A" w14:textId="77777777" w:rsidTr="004625B0">
        <w:trPr>
          <w:cnfStyle w:val="100000000000" w:firstRow="1" w:lastRow="0" w:firstColumn="0" w:lastColumn="0" w:oddVBand="0" w:evenVBand="0" w:oddHBand="0" w:evenHBand="0" w:firstRowFirstColumn="0" w:firstRowLastColumn="0" w:lastRowFirstColumn="0" w:lastRowLastColumn="0"/>
          <w:tblHeader/>
        </w:trPr>
        <w:tc>
          <w:tcPr>
            <w:tcW w:w="3397" w:type="dxa"/>
            <w:tcBorders>
              <w:top w:val="single" w:sz="4" w:space="0" w:color="1B556B" w:themeColor="text2"/>
            </w:tcBorders>
            <w:vAlign w:val="bottom"/>
          </w:tcPr>
          <w:p w14:paraId="5AC3C5BF" w14:textId="77777777" w:rsidR="00ED2EBD" w:rsidRPr="00BD16B4" w:rsidRDefault="00ED2EBD" w:rsidP="004A205F">
            <w:pPr>
              <w:pStyle w:val="TableTextbold"/>
              <w:keepNext/>
              <w:spacing w:before="40"/>
              <w:rPr>
                <w:b/>
                <w:bCs/>
                <w:szCs w:val="18"/>
              </w:rPr>
            </w:pPr>
            <w:r w:rsidRPr="00BD16B4">
              <w:rPr>
                <w:b/>
                <w:bCs/>
                <w:szCs w:val="18"/>
              </w:rPr>
              <w:t xml:space="preserve">Greenhouse gas source and sink categories </w:t>
            </w:r>
          </w:p>
        </w:tc>
        <w:tc>
          <w:tcPr>
            <w:tcW w:w="964" w:type="dxa"/>
            <w:tcBorders>
              <w:top w:val="single" w:sz="4" w:space="0" w:color="1B556B" w:themeColor="text2"/>
            </w:tcBorders>
            <w:vAlign w:val="bottom"/>
          </w:tcPr>
          <w:p w14:paraId="2386220E" w14:textId="51E5A704" w:rsidR="00ED2EBD" w:rsidRPr="00BD16B4" w:rsidRDefault="00ED2EBD" w:rsidP="004A205F">
            <w:pPr>
              <w:pStyle w:val="TableTextbold"/>
              <w:keepNext/>
              <w:spacing w:before="40"/>
              <w:jc w:val="center"/>
              <w:rPr>
                <w:b/>
                <w:bCs/>
                <w:szCs w:val="18"/>
              </w:rPr>
            </w:pPr>
            <w:r w:rsidRPr="00BD16B4">
              <w:rPr>
                <w:b/>
                <w:bCs/>
                <w:szCs w:val="18"/>
              </w:rPr>
              <w:t xml:space="preserve">Base year </w:t>
            </w:r>
            <w:r w:rsidR="002A2A69" w:rsidRPr="00BD16B4">
              <w:rPr>
                <w:b/>
                <w:bCs/>
                <w:szCs w:val="18"/>
              </w:rPr>
              <w:br/>
            </w:r>
            <w:r w:rsidRPr="00BD16B4">
              <w:rPr>
                <w:b/>
                <w:bCs/>
                <w:szCs w:val="18"/>
              </w:rPr>
              <w:t>1990</w:t>
            </w:r>
            <w:r w:rsidR="002A2A69" w:rsidRPr="00BD16B4">
              <w:rPr>
                <w:b/>
                <w:bCs/>
                <w:szCs w:val="18"/>
              </w:rPr>
              <w:t xml:space="preserve"> </w:t>
            </w:r>
            <w:r w:rsidRPr="00BD16B4">
              <w:rPr>
                <w:b/>
                <w:bCs/>
                <w:szCs w:val="18"/>
              </w:rPr>
              <w:t>(kt)</w:t>
            </w:r>
          </w:p>
        </w:tc>
        <w:tc>
          <w:tcPr>
            <w:tcW w:w="964" w:type="dxa"/>
            <w:tcBorders>
              <w:top w:val="single" w:sz="4" w:space="0" w:color="1B556B" w:themeColor="text2"/>
            </w:tcBorders>
            <w:vAlign w:val="bottom"/>
          </w:tcPr>
          <w:p w14:paraId="6BD53B9D" w14:textId="77777777" w:rsidR="00ED2EBD" w:rsidRPr="00BD16B4" w:rsidRDefault="00ED2EBD" w:rsidP="004A205F">
            <w:pPr>
              <w:pStyle w:val="TableTextbold"/>
              <w:keepNext/>
              <w:spacing w:before="40"/>
              <w:jc w:val="center"/>
              <w:rPr>
                <w:b/>
                <w:bCs/>
                <w:szCs w:val="18"/>
              </w:rPr>
            </w:pPr>
            <w:r w:rsidRPr="00BD16B4">
              <w:rPr>
                <w:b/>
                <w:bCs/>
                <w:szCs w:val="18"/>
              </w:rPr>
              <w:t>1991</w:t>
            </w:r>
            <w:r w:rsidRPr="00BD16B4">
              <w:rPr>
                <w:b/>
                <w:bCs/>
                <w:szCs w:val="18"/>
              </w:rPr>
              <w:br/>
              <w:t>(kt)</w:t>
            </w:r>
          </w:p>
        </w:tc>
        <w:tc>
          <w:tcPr>
            <w:tcW w:w="964" w:type="dxa"/>
            <w:tcBorders>
              <w:top w:val="single" w:sz="4" w:space="0" w:color="1B556B" w:themeColor="text2"/>
            </w:tcBorders>
            <w:vAlign w:val="bottom"/>
          </w:tcPr>
          <w:p w14:paraId="6E5CEFA4" w14:textId="77777777" w:rsidR="00ED2EBD" w:rsidRPr="00BD16B4" w:rsidRDefault="00ED2EBD" w:rsidP="004A205F">
            <w:pPr>
              <w:pStyle w:val="TableTextbold"/>
              <w:keepNext/>
              <w:spacing w:before="40"/>
              <w:jc w:val="center"/>
              <w:rPr>
                <w:b/>
                <w:bCs/>
                <w:szCs w:val="18"/>
              </w:rPr>
            </w:pPr>
            <w:r w:rsidRPr="00BD16B4">
              <w:rPr>
                <w:b/>
                <w:bCs/>
                <w:szCs w:val="18"/>
              </w:rPr>
              <w:t>1992</w:t>
            </w:r>
            <w:r w:rsidRPr="00BD16B4">
              <w:rPr>
                <w:b/>
                <w:bCs/>
                <w:szCs w:val="18"/>
              </w:rPr>
              <w:br/>
              <w:t>(kt)</w:t>
            </w:r>
          </w:p>
        </w:tc>
        <w:tc>
          <w:tcPr>
            <w:tcW w:w="964" w:type="dxa"/>
            <w:tcBorders>
              <w:top w:val="single" w:sz="4" w:space="0" w:color="1B556B" w:themeColor="text2"/>
            </w:tcBorders>
            <w:vAlign w:val="bottom"/>
          </w:tcPr>
          <w:p w14:paraId="7E625F49" w14:textId="77777777" w:rsidR="00ED2EBD" w:rsidRPr="00BD16B4" w:rsidRDefault="00ED2EBD" w:rsidP="004A205F">
            <w:pPr>
              <w:pStyle w:val="TableTextbold"/>
              <w:keepNext/>
              <w:spacing w:before="40"/>
              <w:jc w:val="center"/>
              <w:rPr>
                <w:b/>
                <w:bCs/>
                <w:szCs w:val="18"/>
              </w:rPr>
            </w:pPr>
            <w:r w:rsidRPr="00BD16B4">
              <w:rPr>
                <w:b/>
                <w:bCs/>
                <w:szCs w:val="18"/>
              </w:rPr>
              <w:t>1993</w:t>
            </w:r>
            <w:r w:rsidRPr="00BD16B4">
              <w:rPr>
                <w:b/>
                <w:bCs/>
                <w:szCs w:val="18"/>
              </w:rPr>
              <w:br/>
              <w:t>(kt)</w:t>
            </w:r>
          </w:p>
        </w:tc>
        <w:tc>
          <w:tcPr>
            <w:tcW w:w="964" w:type="dxa"/>
            <w:tcBorders>
              <w:top w:val="single" w:sz="4" w:space="0" w:color="1B556B" w:themeColor="text2"/>
            </w:tcBorders>
            <w:vAlign w:val="bottom"/>
          </w:tcPr>
          <w:p w14:paraId="1EEE6557" w14:textId="77777777" w:rsidR="00ED2EBD" w:rsidRPr="00BD16B4" w:rsidRDefault="00ED2EBD" w:rsidP="004A205F">
            <w:pPr>
              <w:pStyle w:val="TableTextbold"/>
              <w:keepNext/>
              <w:spacing w:before="40"/>
              <w:jc w:val="center"/>
              <w:rPr>
                <w:b/>
                <w:bCs/>
                <w:szCs w:val="18"/>
              </w:rPr>
            </w:pPr>
            <w:r w:rsidRPr="00BD16B4">
              <w:rPr>
                <w:b/>
                <w:bCs/>
                <w:szCs w:val="18"/>
              </w:rPr>
              <w:t>1994</w:t>
            </w:r>
            <w:r w:rsidRPr="00BD16B4">
              <w:rPr>
                <w:b/>
                <w:bCs/>
                <w:szCs w:val="18"/>
              </w:rPr>
              <w:br/>
              <w:t>(kt)</w:t>
            </w:r>
          </w:p>
        </w:tc>
        <w:tc>
          <w:tcPr>
            <w:tcW w:w="964" w:type="dxa"/>
            <w:tcBorders>
              <w:top w:val="single" w:sz="4" w:space="0" w:color="1B556B" w:themeColor="text2"/>
            </w:tcBorders>
            <w:vAlign w:val="bottom"/>
          </w:tcPr>
          <w:p w14:paraId="3AB26AC9" w14:textId="77777777" w:rsidR="00ED2EBD" w:rsidRPr="00BD16B4" w:rsidRDefault="00ED2EBD" w:rsidP="004A205F">
            <w:pPr>
              <w:pStyle w:val="TableTextbold"/>
              <w:keepNext/>
              <w:spacing w:before="40"/>
              <w:jc w:val="center"/>
              <w:rPr>
                <w:b/>
                <w:bCs/>
                <w:szCs w:val="18"/>
              </w:rPr>
            </w:pPr>
            <w:r w:rsidRPr="00BD16B4">
              <w:rPr>
                <w:b/>
                <w:bCs/>
                <w:szCs w:val="18"/>
              </w:rPr>
              <w:t>1995</w:t>
            </w:r>
            <w:r w:rsidRPr="00BD16B4">
              <w:rPr>
                <w:b/>
                <w:bCs/>
                <w:szCs w:val="18"/>
              </w:rPr>
              <w:br/>
              <w:t>(kt)</w:t>
            </w:r>
          </w:p>
        </w:tc>
        <w:tc>
          <w:tcPr>
            <w:tcW w:w="964" w:type="dxa"/>
            <w:tcBorders>
              <w:top w:val="single" w:sz="4" w:space="0" w:color="1B556B" w:themeColor="text2"/>
            </w:tcBorders>
            <w:vAlign w:val="bottom"/>
          </w:tcPr>
          <w:p w14:paraId="69B772FD" w14:textId="77777777" w:rsidR="00ED2EBD" w:rsidRPr="00BD16B4" w:rsidRDefault="00ED2EBD" w:rsidP="004A205F">
            <w:pPr>
              <w:pStyle w:val="TableTextbold"/>
              <w:keepNext/>
              <w:spacing w:before="40"/>
              <w:jc w:val="center"/>
              <w:rPr>
                <w:b/>
                <w:bCs/>
                <w:szCs w:val="18"/>
              </w:rPr>
            </w:pPr>
            <w:r w:rsidRPr="00BD16B4">
              <w:rPr>
                <w:b/>
                <w:bCs/>
                <w:szCs w:val="18"/>
              </w:rPr>
              <w:t>1996</w:t>
            </w:r>
            <w:r w:rsidRPr="00BD16B4">
              <w:rPr>
                <w:b/>
                <w:bCs/>
                <w:szCs w:val="18"/>
              </w:rPr>
              <w:br/>
              <w:t>(kt)</w:t>
            </w:r>
          </w:p>
        </w:tc>
        <w:tc>
          <w:tcPr>
            <w:tcW w:w="964" w:type="dxa"/>
            <w:tcBorders>
              <w:top w:val="single" w:sz="4" w:space="0" w:color="1B556B" w:themeColor="text2"/>
            </w:tcBorders>
            <w:vAlign w:val="bottom"/>
          </w:tcPr>
          <w:p w14:paraId="3DC3492C" w14:textId="77777777" w:rsidR="00ED2EBD" w:rsidRPr="00BD16B4" w:rsidRDefault="00ED2EBD" w:rsidP="004A205F">
            <w:pPr>
              <w:pStyle w:val="TableTextbold"/>
              <w:keepNext/>
              <w:spacing w:before="40"/>
              <w:jc w:val="center"/>
              <w:rPr>
                <w:b/>
                <w:bCs/>
                <w:szCs w:val="18"/>
              </w:rPr>
            </w:pPr>
            <w:r w:rsidRPr="00BD16B4">
              <w:rPr>
                <w:b/>
                <w:bCs/>
                <w:szCs w:val="18"/>
              </w:rPr>
              <w:t>1997</w:t>
            </w:r>
            <w:r w:rsidRPr="00BD16B4">
              <w:rPr>
                <w:b/>
                <w:bCs/>
                <w:szCs w:val="18"/>
              </w:rPr>
              <w:br/>
              <w:t>(kt)</w:t>
            </w:r>
          </w:p>
        </w:tc>
        <w:tc>
          <w:tcPr>
            <w:tcW w:w="964" w:type="dxa"/>
            <w:tcBorders>
              <w:top w:val="single" w:sz="4" w:space="0" w:color="1B556B" w:themeColor="text2"/>
            </w:tcBorders>
            <w:vAlign w:val="bottom"/>
          </w:tcPr>
          <w:p w14:paraId="07DB0118" w14:textId="77777777" w:rsidR="00ED2EBD" w:rsidRPr="00BD16B4" w:rsidRDefault="00ED2EBD" w:rsidP="004A205F">
            <w:pPr>
              <w:pStyle w:val="TableTextbold"/>
              <w:keepNext/>
              <w:spacing w:before="40"/>
              <w:jc w:val="center"/>
              <w:rPr>
                <w:b/>
                <w:bCs/>
                <w:szCs w:val="18"/>
              </w:rPr>
            </w:pPr>
            <w:r w:rsidRPr="00BD16B4">
              <w:rPr>
                <w:b/>
                <w:bCs/>
                <w:szCs w:val="18"/>
              </w:rPr>
              <w:t>1998</w:t>
            </w:r>
            <w:r w:rsidRPr="00BD16B4">
              <w:rPr>
                <w:b/>
                <w:bCs/>
                <w:szCs w:val="18"/>
              </w:rPr>
              <w:br/>
              <w:t>(kt)</w:t>
            </w:r>
          </w:p>
        </w:tc>
      </w:tr>
      <w:tr w:rsidR="00ED2EBD" w:rsidRPr="00BD16B4" w14:paraId="3EB17D34" w14:textId="77777777" w:rsidTr="002A2A69">
        <w:tc>
          <w:tcPr>
            <w:tcW w:w="3397" w:type="dxa"/>
          </w:tcPr>
          <w:p w14:paraId="7315CA8F" w14:textId="77777777" w:rsidR="00ED2EBD" w:rsidRPr="00BD16B4" w:rsidRDefault="00ED2EBD" w:rsidP="004A205F">
            <w:pPr>
              <w:pStyle w:val="TableText"/>
              <w:spacing w:before="40"/>
              <w:rPr>
                <w:szCs w:val="18"/>
              </w:rPr>
            </w:pPr>
            <w:r w:rsidRPr="00BD16B4">
              <w:rPr>
                <w:b/>
                <w:bCs/>
                <w:szCs w:val="18"/>
              </w:rPr>
              <w:t>1. Energy</w:t>
            </w:r>
          </w:p>
        </w:tc>
        <w:tc>
          <w:tcPr>
            <w:tcW w:w="964" w:type="dxa"/>
            <w:shd w:val="clear" w:color="auto" w:fill="auto"/>
          </w:tcPr>
          <w:p w14:paraId="2608D1A7" w14:textId="77777777" w:rsidR="00ED2EBD" w:rsidRPr="00BD16B4" w:rsidRDefault="00ED2EBD" w:rsidP="004A205F">
            <w:pPr>
              <w:pStyle w:val="TableText"/>
              <w:spacing w:before="40"/>
              <w:jc w:val="right"/>
              <w:rPr>
                <w:szCs w:val="18"/>
              </w:rPr>
            </w:pPr>
            <w:r w:rsidRPr="00BD16B4">
              <w:rPr>
                <w:szCs w:val="18"/>
              </w:rPr>
              <w:t>0.74</w:t>
            </w:r>
          </w:p>
        </w:tc>
        <w:tc>
          <w:tcPr>
            <w:tcW w:w="964" w:type="dxa"/>
            <w:shd w:val="clear" w:color="auto" w:fill="auto"/>
          </w:tcPr>
          <w:p w14:paraId="3B5FB754" w14:textId="77777777" w:rsidR="00ED2EBD" w:rsidRPr="00BD16B4" w:rsidRDefault="00ED2EBD" w:rsidP="004A205F">
            <w:pPr>
              <w:pStyle w:val="TableText"/>
              <w:spacing w:before="40"/>
              <w:jc w:val="right"/>
              <w:rPr>
                <w:szCs w:val="18"/>
              </w:rPr>
            </w:pPr>
            <w:r w:rsidRPr="00BD16B4">
              <w:rPr>
                <w:szCs w:val="18"/>
              </w:rPr>
              <w:t>0.74</w:t>
            </w:r>
          </w:p>
        </w:tc>
        <w:tc>
          <w:tcPr>
            <w:tcW w:w="964" w:type="dxa"/>
            <w:shd w:val="clear" w:color="auto" w:fill="auto"/>
          </w:tcPr>
          <w:p w14:paraId="6208EC2D" w14:textId="77777777" w:rsidR="00ED2EBD" w:rsidRPr="00BD16B4" w:rsidRDefault="00ED2EBD" w:rsidP="004A205F">
            <w:pPr>
              <w:pStyle w:val="TableText"/>
              <w:spacing w:before="40"/>
              <w:jc w:val="right"/>
              <w:rPr>
                <w:szCs w:val="18"/>
              </w:rPr>
            </w:pPr>
            <w:r w:rsidRPr="00BD16B4">
              <w:rPr>
                <w:szCs w:val="18"/>
              </w:rPr>
              <w:t>0.80</w:t>
            </w:r>
          </w:p>
        </w:tc>
        <w:tc>
          <w:tcPr>
            <w:tcW w:w="964" w:type="dxa"/>
            <w:shd w:val="clear" w:color="auto" w:fill="auto"/>
          </w:tcPr>
          <w:p w14:paraId="0B597250" w14:textId="77777777" w:rsidR="00ED2EBD" w:rsidRPr="00BD16B4" w:rsidRDefault="00ED2EBD" w:rsidP="004A205F">
            <w:pPr>
              <w:pStyle w:val="TableText"/>
              <w:spacing w:before="40"/>
              <w:jc w:val="right"/>
              <w:rPr>
                <w:szCs w:val="18"/>
              </w:rPr>
            </w:pPr>
            <w:r w:rsidRPr="00BD16B4">
              <w:rPr>
                <w:szCs w:val="18"/>
              </w:rPr>
              <w:t>0.81</w:t>
            </w:r>
          </w:p>
        </w:tc>
        <w:tc>
          <w:tcPr>
            <w:tcW w:w="964" w:type="dxa"/>
            <w:shd w:val="clear" w:color="auto" w:fill="auto"/>
          </w:tcPr>
          <w:p w14:paraId="01831320" w14:textId="77777777" w:rsidR="00ED2EBD" w:rsidRPr="00BD16B4" w:rsidRDefault="00ED2EBD" w:rsidP="004A205F">
            <w:pPr>
              <w:pStyle w:val="TableText"/>
              <w:spacing w:before="40"/>
              <w:jc w:val="right"/>
              <w:rPr>
                <w:szCs w:val="18"/>
              </w:rPr>
            </w:pPr>
            <w:r w:rsidRPr="00BD16B4">
              <w:rPr>
                <w:szCs w:val="18"/>
              </w:rPr>
              <w:t>0.87</w:t>
            </w:r>
          </w:p>
        </w:tc>
        <w:tc>
          <w:tcPr>
            <w:tcW w:w="964" w:type="dxa"/>
            <w:shd w:val="clear" w:color="auto" w:fill="auto"/>
          </w:tcPr>
          <w:p w14:paraId="1C815E9C" w14:textId="77777777" w:rsidR="00ED2EBD" w:rsidRPr="00BD16B4" w:rsidRDefault="00ED2EBD" w:rsidP="004A205F">
            <w:pPr>
              <w:pStyle w:val="TableText"/>
              <w:spacing w:before="40"/>
              <w:jc w:val="right"/>
              <w:rPr>
                <w:szCs w:val="18"/>
              </w:rPr>
            </w:pPr>
            <w:r w:rsidRPr="00BD16B4">
              <w:rPr>
                <w:szCs w:val="18"/>
              </w:rPr>
              <w:t>0.89</w:t>
            </w:r>
          </w:p>
        </w:tc>
        <w:tc>
          <w:tcPr>
            <w:tcW w:w="964" w:type="dxa"/>
            <w:shd w:val="clear" w:color="auto" w:fill="auto"/>
          </w:tcPr>
          <w:p w14:paraId="2A17520D" w14:textId="77777777" w:rsidR="00ED2EBD" w:rsidRPr="00BD16B4" w:rsidRDefault="00ED2EBD" w:rsidP="004A205F">
            <w:pPr>
              <w:pStyle w:val="TableText"/>
              <w:spacing w:before="40"/>
              <w:jc w:val="right"/>
              <w:rPr>
                <w:szCs w:val="18"/>
              </w:rPr>
            </w:pPr>
            <w:r w:rsidRPr="00BD16B4">
              <w:rPr>
                <w:szCs w:val="18"/>
              </w:rPr>
              <w:t>0.89</w:t>
            </w:r>
          </w:p>
        </w:tc>
        <w:tc>
          <w:tcPr>
            <w:tcW w:w="964" w:type="dxa"/>
            <w:shd w:val="clear" w:color="auto" w:fill="auto"/>
          </w:tcPr>
          <w:p w14:paraId="5BB397B9" w14:textId="77777777" w:rsidR="00ED2EBD" w:rsidRPr="00BD16B4" w:rsidRDefault="00ED2EBD" w:rsidP="004A205F">
            <w:pPr>
              <w:pStyle w:val="TableText"/>
              <w:spacing w:before="40"/>
              <w:jc w:val="right"/>
              <w:rPr>
                <w:szCs w:val="18"/>
              </w:rPr>
            </w:pPr>
            <w:r w:rsidRPr="00BD16B4">
              <w:rPr>
                <w:szCs w:val="18"/>
              </w:rPr>
              <w:t>0.92</w:t>
            </w:r>
          </w:p>
        </w:tc>
        <w:tc>
          <w:tcPr>
            <w:tcW w:w="964" w:type="dxa"/>
            <w:shd w:val="clear" w:color="auto" w:fill="auto"/>
          </w:tcPr>
          <w:p w14:paraId="13D071FC" w14:textId="77777777" w:rsidR="00ED2EBD" w:rsidRPr="00BD16B4" w:rsidRDefault="00ED2EBD" w:rsidP="004A205F">
            <w:pPr>
              <w:pStyle w:val="TableText"/>
              <w:spacing w:before="40"/>
              <w:jc w:val="right"/>
              <w:rPr>
                <w:szCs w:val="18"/>
              </w:rPr>
            </w:pPr>
            <w:r w:rsidRPr="00BD16B4">
              <w:rPr>
                <w:szCs w:val="18"/>
              </w:rPr>
              <w:t>0.91</w:t>
            </w:r>
          </w:p>
        </w:tc>
      </w:tr>
      <w:tr w:rsidR="00ED2EBD" w:rsidRPr="00BD16B4" w14:paraId="197E9555" w14:textId="77777777" w:rsidTr="002A2A69">
        <w:tc>
          <w:tcPr>
            <w:tcW w:w="3397" w:type="dxa"/>
          </w:tcPr>
          <w:p w14:paraId="3A1D179F" w14:textId="77777777" w:rsidR="00ED2EBD" w:rsidRPr="00BD16B4" w:rsidRDefault="00ED2EBD" w:rsidP="004A205F">
            <w:pPr>
              <w:pStyle w:val="TableText"/>
              <w:spacing w:before="40"/>
              <w:rPr>
                <w:szCs w:val="18"/>
              </w:rPr>
            </w:pPr>
            <w:r w:rsidRPr="00BD16B4">
              <w:rPr>
                <w:szCs w:val="18"/>
              </w:rPr>
              <w:t>A. Fuel combustion (sectoral approach)</w:t>
            </w:r>
          </w:p>
        </w:tc>
        <w:tc>
          <w:tcPr>
            <w:tcW w:w="964" w:type="dxa"/>
            <w:shd w:val="clear" w:color="auto" w:fill="auto"/>
          </w:tcPr>
          <w:p w14:paraId="091FFF8A" w14:textId="77777777" w:rsidR="00ED2EBD" w:rsidRPr="00BD16B4" w:rsidRDefault="00ED2EBD" w:rsidP="004A205F">
            <w:pPr>
              <w:pStyle w:val="TableText"/>
              <w:spacing w:before="40"/>
              <w:jc w:val="right"/>
              <w:rPr>
                <w:szCs w:val="18"/>
              </w:rPr>
            </w:pPr>
            <w:r w:rsidRPr="00BD16B4">
              <w:rPr>
                <w:szCs w:val="18"/>
              </w:rPr>
              <w:t>0.74</w:t>
            </w:r>
          </w:p>
        </w:tc>
        <w:tc>
          <w:tcPr>
            <w:tcW w:w="964" w:type="dxa"/>
            <w:shd w:val="clear" w:color="auto" w:fill="auto"/>
          </w:tcPr>
          <w:p w14:paraId="2B9AFD44" w14:textId="77777777" w:rsidR="00ED2EBD" w:rsidRPr="00BD16B4" w:rsidRDefault="00ED2EBD" w:rsidP="004A205F">
            <w:pPr>
              <w:pStyle w:val="TableText"/>
              <w:spacing w:before="40"/>
              <w:jc w:val="right"/>
              <w:rPr>
                <w:szCs w:val="18"/>
              </w:rPr>
            </w:pPr>
            <w:r w:rsidRPr="00BD16B4">
              <w:rPr>
                <w:szCs w:val="18"/>
              </w:rPr>
              <w:t>0.74</w:t>
            </w:r>
          </w:p>
        </w:tc>
        <w:tc>
          <w:tcPr>
            <w:tcW w:w="964" w:type="dxa"/>
            <w:shd w:val="clear" w:color="auto" w:fill="auto"/>
          </w:tcPr>
          <w:p w14:paraId="73F2F304" w14:textId="77777777" w:rsidR="00ED2EBD" w:rsidRPr="00BD16B4" w:rsidRDefault="00ED2EBD" w:rsidP="004A205F">
            <w:pPr>
              <w:pStyle w:val="TableText"/>
              <w:spacing w:before="40"/>
              <w:jc w:val="right"/>
              <w:rPr>
                <w:szCs w:val="18"/>
              </w:rPr>
            </w:pPr>
            <w:r w:rsidRPr="00BD16B4">
              <w:rPr>
                <w:szCs w:val="18"/>
              </w:rPr>
              <w:t>0.80</w:t>
            </w:r>
          </w:p>
        </w:tc>
        <w:tc>
          <w:tcPr>
            <w:tcW w:w="964" w:type="dxa"/>
            <w:shd w:val="clear" w:color="auto" w:fill="auto"/>
          </w:tcPr>
          <w:p w14:paraId="4A61CE13" w14:textId="77777777" w:rsidR="00ED2EBD" w:rsidRPr="00BD16B4" w:rsidRDefault="00ED2EBD" w:rsidP="004A205F">
            <w:pPr>
              <w:pStyle w:val="TableText"/>
              <w:spacing w:before="40"/>
              <w:jc w:val="right"/>
              <w:rPr>
                <w:szCs w:val="18"/>
              </w:rPr>
            </w:pPr>
            <w:r w:rsidRPr="00BD16B4">
              <w:rPr>
                <w:szCs w:val="18"/>
              </w:rPr>
              <w:t>0.81</w:t>
            </w:r>
          </w:p>
        </w:tc>
        <w:tc>
          <w:tcPr>
            <w:tcW w:w="964" w:type="dxa"/>
            <w:shd w:val="clear" w:color="auto" w:fill="auto"/>
          </w:tcPr>
          <w:p w14:paraId="252B7EDA" w14:textId="77777777" w:rsidR="00ED2EBD" w:rsidRPr="00BD16B4" w:rsidRDefault="00ED2EBD" w:rsidP="004A205F">
            <w:pPr>
              <w:pStyle w:val="TableText"/>
              <w:spacing w:before="40"/>
              <w:jc w:val="right"/>
              <w:rPr>
                <w:szCs w:val="18"/>
              </w:rPr>
            </w:pPr>
            <w:r w:rsidRPr="00BD16B4">
              <w:rPr>
                <w:szCs w:val="18"/>
              </w:rPr>
              <w:t>0.87</w:t>
            </w:r>
          </w:p>
        </w:tc>
        <w:tc>
          <w:tcPr>
            <w:tcW w:w="964" w:type="dxa"/>
            <w:shd w:val="clear" w:color="auto" w:fill="auto"/>
          </w:tcPr>
          <w:p w14:paraId="10AE43C5" w14:textId="77777777" w:rsidR="00ED2EBD" w:rsidRPr="00BD16B4" w:rsidRDefault="00ED2EBD" w:rsidP="004A205F">
            <w:pPr>
              <w:pStyle w:val="TableText"/>
              <w:spacing w:before="40"/>
              <w:jc w:val="right"/>
              <w:rPr>
                <w:szCs w:val="18"/>
              </w:rPr>
            </w:pPr>
            <w:r w:rsidRPr="00BD16B4">
              <w:rPr>
                <w:szCs w:val="18"/>
              </w:rPr>
              <w:t>0.89</w:t>
            </w:r>
          </w:p>
        </w:tc>
        <w:tc>
          <w:tcPr>
            <w:tcW w:w="964" w:type="dxa"/>
            <w:shd w:val="clear" w:color="auto" w:fill="auto"/>
          </w:tcPr>
          <w:p w14:paraId="086A967D" w14:textId="77777777" w:rsidR="00ED2EBD" w:rsidRPr="00BD16B4" w:rsidRDefault="00ED2EBD" w:rsidP="004A205F">
            <w:pPr>
              <w:pStyle w:val="TableText"/>
              <w:spacing w:before="40"/>
              <w:jc w:val="right"/>
              <w:rPr>
                <w:szCs w:val="18"/>
              </w:rPr>
            </w:pPr>
            <w:r w:rsidRPr="00BD16B4">
              <w:rPr>
                <w:szCs w:val="18"/>
              </w:rPr>
              <w:t>0.89</w:t>
            </w:r>
          </w:p>
        </w:tc>
        <w:tc>
          <w:tcPr>
            <w:tcW w:w="964" w:type="dxa"/>
            <w:shd w:val="clear" w:color="auto" w:fill="auto"/>
          </w:tcPr>
          <w:p w14:paraId="7C1BFC8B" w14:textId="77777777" w:rsidR="00ED2EBD" w:rsidRPr="00BD16B4" w:rsidRDefault="00ED2EBD" w:rsidP="004A205F">
            <w:pPr>
              <w:pStyle w:val="TableText"/>
              <w:spacing w:before="40"/>
              <w:jc w:val="right"/>
              <w:rPr>
                <w:szCs w:val="18"/>
              </w:rPr>
            </w:pPr>
            <w:r w:rsidRPr="00BD16B4">
              <w:rPr>
                <w:szCs w:val="18"/>
              </w:rPr>
              <w:t>0.92</w:t>
            </w:r>
          </w:p>
        </w:tc>
        <w:tc>
          <w:tcPr>
            <w:tcW w:w="964" w:type="dxa"/>
            <w:shd w:val="clear" w:color="auto" w:fill="auto"/>
          </w:tcPr>
          <w:p w14:paraId="58B4571B" w14:textId="77777777" w:rsidR="00ED2EBD" w:rsidRPr="00BD16B4" w:rsidRDefault="00ED2EBD" w:rsidP="004A205F">
            <w:pPr>
              <w:pStyle w:val="TableText"/>
              <w:spacing w:before="40"/>
              <w:jc w:val="right"/>
              <w:rPr>
                <w:szCs w:val="18"/>
              </w:rPr>
            </w:pPr>
            <w:r w:rsidRPr="00BD16B4">
              <w:rPr>
                <w:szCs w:val="18"/>
              </w:rPr>
              <w:t>0.91</w:t>
            </w:r>
          </w:p>
        </w:tc>
      </w:tr>
      <w:tr w:rsidR="00ED2EBD" w:rsidRPr="00BD16B4" w14:paraId="65E2BCF8" w14:textId="77777777" w:rsidTr="002A2A69">
        <w:tc>
          <w:tcPr>
            <w:tcW w:w="3397" w:type="dxa"/>
          </w:tcPr>
          <w:p w14:paraId="28338E49" w14:textId="3135B0C7" w:rsidR="00ED2EBD" w:rsidRPr="00BD16B4" w:rsidRDefault="00ED2EBD" w:rsidP="004A205F">
            <w:pPr>
              <w:pStyle w:val="TableText"/>
              <w:spacing w:before="40"/>
              <w:ind w:left="454" w:hanging="227"/>
              <w:rPr>
                <w:szCs w:val="18"/>
              </w:rPr>
            </w:pPr>
            <w:r w:rsidRPr="00BD16B4">
              <w:rPr>
                <w:szCs w:val="18"/>
              </w:rPr>
              <w:t>1.</w:t>
            </w:r>
            <w:r w:rsidR="00280979" w:rsidRPr="00BD16B4">
              <w:rPr>
                <w:szCs w:val="18"/>
              </w:rPr>
              <w:t xml:space="preserve"> </w:t>
            </w:r>
            <w:r w:rsidRPr="00BD16B4">
              <w:rPr>
                <w:szCs w:val="18"/>
              </w:rPr>
              <w:t xml:space="preserve">Energy </w:t>
            </w:r>
            <w:r w:rsidRPr="00BD16B4">
              <w:rPr>
                <w:rFonts w:cs="Calibri"/>
                <w:szCs w:val="18"/>
              </w:rPr>
              <w:t>industries</w:t>
            </w:r>
          </w:p>
        </w:tc>
        <w:tc>
          <w:tcPr>
            <w:tcW w:w="964" w:type="dxa"/>
            <w:shd w:val="clear" w:color="auto" w:fill="auto"/>
          </w:tcPr>
          <w:p w14:paraId="5CE64708" w14:textId="77777777" w:rsidR="00ED2EBD" w:rsidRPr="00BD16B4" w:rsidRDefault="00ED2EBD" w:rsidP="004A205F">
            <w:pPr>
              <w:pStyle w:val="TableText"/>
              <w:spacing w:before="40"/>
              <w:jc w:val="right"/>
              <w:rPr>
                <w:szCs w:val="18"/>
              </w:rPr>
            </w:pPr>
            <w:r w:rsidRPr="00BD16B4">
              <w:rPr>
                <w:szCs w:val="18"/>
              </w:rPr>
              <w:t>0.02</w:t>
            </w:r>
          </w:p>
        </w:tc>
        <w:tc>
          <w:tcPr>
            <w:tcW w:w="964" w:type="dxa"/>
            <w:shd w:val="clear" w:color="auto" w:fill="auto"/>
          </w:tcPr>
          <w:p w14:paraId="093FE6CF" w14:textId="77777777" w:rsidR="00ED2EBD" w:rsidRPr="00BD16B4" w:rsidRDefault="00ED2EBD" w:rsidP="004A205F">
            <w:pPr>
              <w:pStyle w:val="TableText"/>
              <w:spacing w:before="40"/>
              <w:jc w:val="right"/>
              <w:rPr>
                <w:szCs w:val="18"/>
              </w:rPr>
            </w:pPr>
            <w:r w:rsidRPr="00BD16B4">
              <w:rPr>
                <w:szCs w:val="18"/>
              </w:rPr>
              <w:t>0.01</w:t>
            </w:r>
          </w:p>
        </w:tc>
        <w:tc>
          <w:tcPr>
            <w:tcW w:w="964" w:type="dxa"/>
            <w:shd w:val="clear" w:color="auto" w:fill="auto"/>
          </w:tcPr>
          <w:p w14:paraId="73865210" w14:textId="77777777" w:rsidR="00ED2EBD" w:rsidRPr="00BD16B4" w:rsidRDefault="00ED2EBD" w:rsidP="004A205F">
            <w:pPr>
              <w:pStyle w:val="TableText"/>
              <w:spacing w:before="40"/>
              <w:jc w:val="right"/>
              <w:rPr>
                <w:szCs w:val="18"/>
              </w:rPr>
            </w:pPr>
            <w:r w:rsidRPr="00BD16B4">
              <w:rPr>
                <w:szCs w:val="18"/>
              </w:rPr>
              <w:t>0.03</w:t>
            </w:r>
          </w:p>
        </w:tc>
        <w:tc>
          <w:tcPr>
            <w:tcW w:w="964" w:type="dxa"/>
            <w:shd w:val="clear" w:color="auto" w:fill="auto"/>
          </w:tcPr>
          <w:p w14:paraId="030718DE" w14:textId="77777777" w:rsidR="00ED2EBD" w:rsidRPr="00BD16B4" w:rsidRDefault="00ED2EBD" w:rsidP="004A205F">
            <w:pPr>
              <w:pStyle w:val="TableText"/>
              <w:spacing w:before="40"/>
              <w:jc w:val="right"/>
              <w:rPr>
                <w:szCs w:val="18"/>
              </w:rPr>
            </w:pPr>
            <w:r w:rsidRPr="00BD16B4">
              <w:rPr>
                <w:szCs w:val="18"/>
              </w:rPr>
              <w:t>0.02</w:t>
            </w:r>
          </w:p>
        </w:tc>
        <w:tc>
          <w:tcPr>
            <w:tcW w:w="964" w:type="dxa"/>
            <w:shd w:val="clear" w:color="auto" w:fill="auto"/>
          </w:tcPr>
          <w:p w14:paraId="4251A33D" w14:textId="77777777" w:rsidR="00ED2EBD" w:rsidRPr="00BD16B4" w:rsidRDefault="00ED2EBD" w:rsidP="004A205F">
            <w:pPr>
              <w:pStyle w:val="TableText"/>
              <w:spacing w:before="40"/>
              <w:jc w:val="right"/>
              <w:rPr>
                <w:szCs w:val="18"/>
              </w:rPr>
            </w:pPr>
            <w:r w:rsidRPr="00BD16B4">
              <w:rPr>
                <w:szCs w:val="18"/>
              </w:rPr>
              <w:t>0.02</w:t>
            </w:r>
          </w:p>
        </w:tc>
        <w:tc>
          <w:tcPr>
            <w:tcW w:w="964" w:type="dxa"/>
            <w:shd w:val="clear" w:color="auto" w:fill="auto"/>
          </w:tcPr>
          <w:p w14:paraId="50F0238B" w14:textId="77777777" w:rsidR="00ED2EBD" w:rsidRPr="00BD16B4" w:rsidRDefault="00ED2EBD" w:rsidP="004A205F">
            <w:pPr>
              <w:pStyle w:val="TableText"/>
              <w:spacing w:before="40"/>
              <w:jc w:val="right"/>
              <w:rPr>
                <w:szCs w:val="18"/>
              </w:rPr>
            </w:pPr>
            <w:r w:rsidRPr="00BD16B4">
              <w:rPr>
                <w:szCs w:val="18"/>
              </w:rPr>
              <w:t>0.02</w:t>
            </w:r>
          </w:p>
        </w:tc>
        <w:tc>
          <w:tcPr>
            <w:tcW w:w="964" w:type="dxa"/>
            <w:shd w:val="clear" w:color="auto" w:fill="auto"/>
          </w:tcPr>
          <w:p w14:paraId="279067CF" w14:textId="77777777" w:rsidR="00ED2EBD" w:rsidRPr="00BD16B4" w:rsidRDefault="00ED2EBD" w:rsidP="004A205F">
            <w:pPr>
              <w:pStyle w:val="TableText"/>
              <w:spacing w:before="40"/>
              <w:jc w:val="right"/>
              <w:rPr>
                <w:szCs w:val="18"/>
              </w:rPr>
            </w:pPr>
            <w:r w:rsidRPr="00BD16B4">
              <w:rPr>
                <w:szCs w:val="18"/>
              </w:rPr>
              <w:t>0.02</w:t>
            </w:r>
          </w:p>
        </w:tc>
        <w:tc>
          <w:tcPr>
            <w:tcW w:w="964" w:type="dxa"/>
            <w:shd w:val="clear" w:color="auto" w:fill="auto"/>
          </w:tcPr>
          <w:p w14:paraId="69EB41A5" w14:textId="77777777" w:rsidR="00ED2EBD" w:rsidRPr="00BD16B4" w:rsidRDefault="00ED2EBD" w:rsidP="004A205F">
            <w:pPr>
              <w:pStyle w:val="TableText"/>
              <w:spacing w:before="40"/>
              <w:jc w:val="right"/>
              <w:rPr>
                <w:szCs w:val="18"/>
              </w:rPr>
            </w:pPr>
            <w:r w:rsidRPr="00BD16B4">
              <w:rPr>
                <w:szCs w:val="18"/>
              </w:rPr>
              <w:t>0.03</w:t>
            </w:r>
          </w:p>
        </w:tc>
        <w:tc>
          <w:tcPr>
            <w:tcW w:w="964" w:type="dxa"/>
            <w:shd w:val="clear" w:color="auto" w:fill="auto"/>
          </w:tcPr>
          <w:p w14:paraId="014241CB" w14:textId="77777777" w:rsidR="00ED2EBD" w:rsidRPr="00BD16B4" w:rsidRDefault="00ED2EBD" w:rsidP="004A205F">
            <w:pPr>
              <w:pStyle w:val="TableText"/>
              <w:spacing w:before="40"/>
              <w:jc w:val="right"/>
              <w:rPr>
                <w:szCs w:val="18"/>
              </w:rPr>
            </w:pPr>
            <w:r w:rsidRPr="00BD16B4">
              <w:rPr>
                <w:szCs w:val="18"/>
              </w:rPr>
              <w:t>0.02</w:t>
            </w:r>
          </w:p>
        </w:tc>
      </w:tr>
      <w:tr w:rsidR="00ED2EBD" w:rsidRPr="00BD16B4" w14:paraId="061B9481" w14:textId="77777777" w:rsidTr="002A2A69">
        <w:tc>
          <w:tcPr>
            <w:tcW w:w="3397" w:type="dxa"/>
          </w:tcPr>
          <w:p w14:paraId="46786716" w14:textId="635D0B1A" w:rsidR="00ED2EBD" w:rsidRPr="00BD16B4" w:rsidRDefault="00ED2EBD" w:rsidP="004A205F">
            <w:pPr>
              <w:pStyle w:val="TableText"/>
              <w:spacing w:before="40"/>
              <w:ind w:left="454" w:hanging="227"/>
              <w:rPr>
                <w:szCs w:val="18"/>
              </w:rPr>
            </w:pPr>
            <w:r w:rsidRPr="00BD16B4">
              <w:rPr>
                <w:szCs w:val="18"/>
              </w:rPr>
              <w:t>2.</w:t>
            </w:r>
            <w:r w:rsidR="00280979" w:rsidRPr="00BD16B4">
              <w:rPr>
                <w:szCs w:val="18"/>
              </w:rPr>
              <w:t xml:space="preserve"> </w:t>
            </w:r>
            <w:r w:rsidRPr="00BD16B4">
              <w:rPr>
                <w:szCs w:val="18"/>
              </w:rPr>
              <w:t>Manufacturing industries and construction</w:t>
            </w:r>
          </w:p>
        </w:tc>
        <w:tc>
          <w:tcPr>
            <w:tcW w:w="964" w:type="dxa"/>
            <w:shd w:val="clear" w:color="auto" w:fill="auto"/>
          </w:tcPr>
          <w:p w14:paraId="14179900" w14:textId="77777777" w:rsidR="00ED2EBD" w:rsidRPr="00BD16B4" w:rsidRDefault="00ED2EBD" w:rsidP="004A205F">
            <w:pPr>
              <w:pStyle w:val="TableText"/>
              <w:spacing w:before="40"/>
              <w:jc w:val="right"/>
              <w:rPr>
                <w:szCs w:val="18"/>
              </w:rPr>
            </w:pPr>
            <w:r w:rsidRPr="00BD16B4">
              <w:rPr>
                <w:szCs w:val="18"/>
              </w:rPr>
              <w:t>0.17</w:t>
            </w:r>
          </w:p>
        </w:tc>
        <w:tc>
          <w:tcPr>
            <w:tcW w:w="964" w:type="dxa"/>
            <w:shd w:val="clear" w:color="auto" w:fill="auto"/>
          </w:tcPr>
          <w:p w14:paraId="68555EF4" w14:textId="77777777" w:rsidR="00ED2EBD" w:rsidRPr="00BD16B4" w:rsidRDefault="00ED2EBD" w:rsidP="004A205F">
            <w:pPr>
              <w:pStyle w:val="TableText"/>
              <w:spacing w:before="40"/>
              <w:jc w:val="right"/>
              <w:rPr>
                <w:szCs w:val="18"/>
              </w:rPr>
            </w:pPr>
            <w:r w:rsidRPr="00BD16B4">
              <w:rPr>
                <w:szCs w:val="18"/>
              </w:rPr>
              <w:t>0.17</w:t>
            </w:r>
          </w:p>
        </w:tc>
        <w:tc>
          <w:tcPr>
            <w:tcW w:w="964" w:type="dxa"/>
            <w:shd w:val="clear" w:color="auto" w:fill="auto"/>
          </w:tcPr>
          <w:p w14:paraId="2E289B32" w14:textId="77777777" w:rsidR="00ED2EBD" w:rsidRPr="00BD16B4" w:rsidRDefault="00ED2EBD" w:rsidP="004A205F">
            <w:pPr>
              <w:pStyle w:val="TableText"/>
              <w:spacing w:before="40"/>
              <w:jc w:val="right"/>
              <w:rPr>
                <w:szCs w:val="18"/>
              </w:rPr>
            </w:pPr>
            <w:r w:rsidRPr="00BD16B4">
              <w:rPr>
                <w:szCs w:val="18"/>
              </w:rPr>
              <w:t>0.18</w:t>
            </w:r>
          </w:p>
        </w:tc>
        <w:tc>
          <w:tcPr>
            <w:tcW w:w="964" w:type="dxa"/>
            <w:shd w:val="clear" w:color="auto" w:fill="auto"/>
          </w:tcPr>
          <w:p w14:paraId="66D69DDC" w14:textId="77777777" w:rsidR="00ED2EBD" w:rsidRPr="00BD16B4" w:rsidRDefault="00ED2EBD" w:rsidP="004A205F">
            <w:pPr>
              <w:pStyle w:val="TableText"/>
              <w:spacing w:before="40"/>
              <w:jc w:val="right"/>
              <w:rPr>
                <w:szCs w:val="18"/>
              </w:rPr>
            </w:pPr>
            <w:r w:rsidRPr="00BD16B4">
              <w:rPr>
                <w:szCs w:val="18"/>
              </w:rPr>
              <w:t>0.19</w:t>
            </w:r>
          </w:p>
        </w:tc>
        <w:tc>
          <w:tcPr>
            <w:tcW w:w="964" w:type="dxa"/>
            <w:shd w:val="clear" w:color="auto" w:fill="auto"/>
          </w:tcPr>
          <w:p w14:paraId="5272F2D0" w14:textId="77777777" w:rsidR="00ED2EBD" w:rsidRPr="00BD16B4" w:rsidRDefault="00ED2EBD" w:rsidP="004A205F">
            <w:pPr>
              <w:pStyle w:val="TableText"/>
              <w:spacing w:before="40"/>
              <w:jc w:val="right"/>
              <w:rPr>
                <w:szCs w:val="18"/>
              </w:rPr>
            </w:pPr>
            <w:r w:rsidRPr="00BD16B4">
              <w:rPr>
                <w:szCs w:val="18"/>
              </w:rPr>
              <w:t>0.19</w:t>
            </w:r>
          </w:p>
        </w:tc>
        <w:tc>
          <w:tcPr>
            <w:tcW w:w="964" w:type="dxa"/>
            <w:shd w:val="clear" w:color="auto" w:fill="auto"/>
          </w:tcPr>
          <w:p w14:paraId="1ED9F300" w14:textId="77777777" w:rsidR="00ED2EBD" w:rsidRPr="00BD16B4" w:rsidRDefault="00ED2EBD" w:rsidP="004A205F">
            <w:pPr>
              <w:pStyle w:val="TableText"/>
              <w:spacing w:before="40"/>
              <w:jc w:val="right"/>
              <w:rPr>
                <w:szCs w:val="18"/>
              </w:rPr>
            </w:pPr>
            <w:r w:rsidRPr="00BD16B4">
              <w:rPr>
                <w:szCs w:val="18"/>
              </w:rPr>
              <w:t>0.19</w:t>
            </w:r>
          </w:p>
        </w:tc>
        <w:tc>
          <w:tcPr>
            <w:tcW w:w="964" w:type="dxa"/>
            <w:shd w:val="clear" w:color="auto" w:fill="auto"/>
          </w:tcPr>
          <w:p w14:paraId="2A4C0DE2" w14:textId="77777777" w:rsidR="00ED2EBD" w:rsidRPr="00BD16B4" w:rsidRDefault="00ED2EBD" w:rsidP="004A205F">
            <w:pPr>
              <w:pStyle w:val="TableText"/>
              <w:spacing w:before="40"/>
              <w:jc w:val="right"/>
              <w:rPr>
                <w:szCs w:val="18"/>
              </w:rPr>
            </w:pPr>
            <w:r w:rsidRPr="00BD16B4">
              <w:rPr>
                <w:szCs w:val="18"/>
              </w:rPr>
              <w:t>0.19</w:t>
            </w:r>
          </w:p>
        </w:tc>
        <w:tc>
          <w:tcPr>
            <w:tcW w:w="964" w:type="dxa"/>
            <w:shd w:val="clear" w:color="auto" w:fill="auto"/>
          </w:tcPr>
          <w:p w14:paraId="42BD6A7F" w14:textId="77777777" w:rsidR="00ED2EBD" w:rsidRPr="00BD16B4" w:rsidRDefault="00ED2EBD" w:rsidP="004A205F">
            <w:pPr>
              <w:pStyle w:val="TableText"/>
              <w:spacing w:before="40"/>
              <w:jc w:val="right"/>
              <w:rPr>
                <w:szCs w:val="18"/>
              </w:rPr>
            </w:pPr>
            <w:r w:rsidRPr="00BD16B4">
              <w:rPr>
                <w:szCs w:val="18"/>
              </w:rPr>
              <w:t>0.18</w:t>
            </w:r>
          </w:p>
        </w:tc>
        <w:tc>
          <w:tcPr>
            <w:tcW w:w="964" w:type="dxa"/>
            <w:shd w:val="clear" w:color="auto" w:fill="auto"/>
          </w:tcPr>
          <w:p w14:paraId="77AB6A57" w14:textId="77777777" w:rsidR="00ED2EBD" w:rsidRPr="00BD16B4" w:rsidRDefault="00ED2EBD" w:rsidP="004A205F">
            <w:pPr>
              <w:pStyle w:val="TableText"/>
              <w:spacing w:before="40"/>
              <w:jc w:val="right"/>
              <w:rPr>
                <w:szCs w:val="18"/>
              </w:rPr>
            </w:pPr>
            <w:r w:rsidRPr="00BD16B4">
              <w:rPr>
                <w:szCs w:val="18"/>
              </w:rPr>
              <w:t>0.17</w:t>
            </w:r>
          </w:p>
        </w:tc>
      </w:tr>
      <w:tr w:rsidR="00ED2EBD" w:rsidRPr="00BD16B4" w14:paraId="07071F79" w14:textId="77777777" w:rsidTr="002A2A69">
        <w:tc>
          <w:tcPr>
            <w:tcW w:w="3397" w:type="dxa"/>
          </w:tcPr>
          <w:p w14:paraId="6B1CC6F1" w14:textId="5993A715" w:rsidR="00ED2EBD" w:rsidRPr="00BD16B4" w:rsidRDefault="00ED2EBD" w:rsidP="004A205F">
            <w:pPr>
              <w:pStyle w:val="TableText"/>
              <w:spacing w:before="40"/>
              <w:ind w:left="454" w:hanging="227"/>
              <w:rPr>
                <w:szCs w:val="18"/>
              </w:rPr>
            </w:pPr>
            <w:r w:rsidRPr="00BD16B4">
              <w:rPr>
                <w:szCs w:val="18"/>
              </w:rPr>
              <w:t>3.</w:t>
            </w:r>
            <w:r w:rsidR="00280979" w:rsidRPr="00BD16B4">
              <w:rPr>
                <w:szCs w:val="18"/>
              </w:rPr>
              <w:t xml:space="preserve"> </w:t>
            </w:r>
            <w:r w:rsidRPr="00BD16B4">
              <w:rPr>
                <w:szCs w:val="18"/>
              </w:rPr>
              <w:t>Transport</w:t>
            </w:r>
          </w:p>
        </w:tc>
        <w:tc>
          <w:tcPr>
            <w:tcW w:w="964" w:type="dxa"/>
            <w:shd w:val="clear" w:color="auto" w:fill="auto"/>
          </w:tcPr>
          <w:p w14:paraId="4A090097" w14:textId="77777777" w:rsidR="00ED2EBD" w:rsidRPr="00BD16B4" w:rsidRDefault="00ED2EBD" w:rsidP="004A205F">
            <w:pPr>
              <w:pStyle w:val="TableText"/>
              <w:spacing w:before="40"/>
              <w:jc w:val="right"/>
              <w:rPr>
                <w:szCs w:val="18"/>
              </w:rPr>
            </w:pPr>
            <w:r w:rsidRPr="00BD16B4">
              <w:rPr>
                <w:szCs w:val="18"/>
              </w:rPr>
              <w:t>0.37</w:t>
            </w:r>
          </w:p>
        </w:tc>
        <w:tc>
          <w:tcPr>
            <w:tcW w:w="964" w:type="dxa"/>
            <w:shd w:val="clear" w:color="auto" w:fill="auto"/>
          </w:tcPr>
          <w:p w14:paraId="56687034" w14:textId="77777777" w:rsidR="00ED2EBD" w:rsidRPr="00BD16B4" w:rsidRDefault="00ED2EBD" w:rsidP="004A205F">
            <w:pPr>
              <w:pStyle w:val="TableText"/>
              <w:spacing w:before="40"/>
              <w:jc w:val="right"/>
              <w:rPr>
                <w:szCs w:val="18"/>
              </w:rPr>
            </w:pPr>
            <w:r w:rsidRPr="00BD16B4">
              <w:rPr>
                <w:szCs w:val="18"/>
              </w:rPr>
              <w:t>0.39</w:t>
            </w:r>
          </w:p>
        </w:tc>
        <w:tc>
          <w:tcPr>
            <w:tcW w:w="964" w:type="dxa"/>
            <w:shd w:val="clear" w:color="auto" w:fill="auto"/>
          </w:tcPr>
          <w:p w14:paraId="7FA56270" w14:textId="77777777" w:rsidR="00ED2EBD" w:rsidRPr="00BD16B4" w:rsidRDefault="00ED2EBD" w:rsidP="004A205F">
            <w:pPr>
              <w:pStyle w:val="TableText"/>
              <w:spacing w:before="40"/>
              <w:jc w:val="right"/>
              <w:rPr>
                <w:szCs w:val="18"/>
              </w:rPr>
            </w:pPr>
            <w:r w:rsidRPr="00BD16B4">
              <w:rPr>
                <w:szCs w:val="18"/>
              </w:rPr>
              <w:t>0.41</w:t>
            </w:r>
          </w:p>
        </w:tc>
        <w:tc>
          <w:tcPr>
            <w:tcW w:w="964" w:type="dxa"/>
            <w:shd w:val="clear" w:color="auto" w:fill="auto"/>
          </w:tcPr>
          <w:p w14:paraId="06BE63F1" w14:textId="77777777" w:rsidR="00ED2EBD" w:rsidRPr="00BD16B4" w:rsidRDefault="00ED2EBD" w:rsidP="004A205F">
            <w:pPr>
              <w:pStyle w:val="TableText"/>
              <w:spacing w:before="40"/>
              <w:jc w:val="right"/>
              <w:rPr>
                <w:szCs w:val="18"/>
              </w:rPr>
            </w:pPr>
            <w:r w:rsidRPr="00BD16B4">
              <w:rPr>
                <w:szCs w:val="18"/>
              </w:rPr>
              <w:t>0.43</w:t>
            </w:r>
          </w:p>
        </w:tc>
        <w:tc>
          <w:tcPr>
            <w:tcW w:w="964" w:type="dxa"/>
            <w:shd w:val="clear" w:color="auto" w:fill="auto"/>
          </w:tcPr>
          <w:p w14:paraId="510CD4C3" w14:textId="77777777" w:rsidR="00ED2EBD" w:rsidRPr="00BD16B4" w:rsidRDefault="00ED2EBD" w:rsidP="004A205F">
            <w:pPr>
              <w:pStyle w:val="TableText"/>
              <w:spacing w:before="40"/>
              <w:jc w:val="right"/>
              <w:rPr>
                <w:szCs w:val="18"/>
              </w:rPr>
            </w:pPr>
            <w:r w:rsidRPr="00BD16B4">
              <w:rPr>
                <w:szCs w:val="18"/>
              </w:rPr>
              <w:t>0.46</w:t>
            </w:r>
          </w:p>
        </w:tc>
        <w:tc>
          <w:tcPr>
            <w:tcW w:w="964" w:type="dxa"/>
            <w:shd w:val="clear" w:color="auto" w:fill="auto"/>
          </w:tcPr>
          <w:p w14:paraId="744B303A" w14:textId="77777777" w:rsidR="00ED2EBD" w:rsidRPr="00BD16B4" w:rsidRDefault="00ED2EBD" w:rsidP="004A205F">
            <w:pPr>
              <w:pStyle w:val="TableText"/>
              <w:spacing w:before="40"/>
              <w:jc w:val="right"/>
              <w:rPr>
                <w:szCs w:val="18"/>
              </w:rPr>
            </w:pPr>
            <w:r w:rsidRPr="00BD16B4">
              <w:rPr>
                <w:szCs w:val="18"/>
              </w:rPr>
              <w:t>0.49</w:t>
            </w:r>
          </w:p>
        </w:tc>
        <w:tc>
          <w:tcPr>
            <w:tcW w:w="964" w:type="dxa"/>
            <w:shd w:val="clear" w:color="auto" w:fill="auto"/>
          </w:tcPr>
          <w:p w14:paraId="038616C9" w14:textId="77777777" w:rsidR="00ED2EBD" w:rsidRPr="00BD16B4" w:rsidRDefault="00ED2EBD" w:rsidP="004A205F">
            <w:pPr>
              <w:pStyle w:val="TableText"/>
              <w:spacing w:before="40"/>
              <w:jc w:val="right"/>
              <w:rPr>
                <w:szCs w:val="18"/>
              </w:rPr>
            </w:pPr>
            <w:r w:rsidRPr="00BD16B4">
              <w:rPr>
                <w:szCs w:val="18"/>
              </w:rPr>
              <w:t>0.50</w:t>
            </w:r>
          </w:p>
        </w:tc>
        <w:tc>
          <w:tcPr>
            <w:tcW w:w="964" w:type="dxa"/>
            <w:shd w:val="clear" w:color="auto" w:fill="auto"/>
          </w:tcPr>
          <w:p w14:paraId="4A24DE48" w14:textId="77777777" w:rsidR="00ED2EBD" w:rsidRPr="00BD16B4" w:rsidRDefault="00ED2EBD" w:rsidP="004A205F">
            <w:pPr>
              <w:pStyle w:val="TableText"/>
              <w:spacing w:before="40"/>
              <w:jc w:val="right"/>
              <w:rPr>
                <w:szCs w:val="18"/>
              </w:rPr>
            </w:pPr>
            <w:r w:rsidRPr="00BD16B4">
              <w:rPr>
                <w:szCs w:val="18"/>
              </w:rPr>
              <w:t>0.52</w:t>
            </w:r>
          </w:p>
        </w:tc>
        <w:tc>
          <w:tcPr>
            <w:tcW w:w="964" w:type="dxa"/>
            <w:shd w:val="clear" w:color="auto" w:fill="auto"/>
          </w:tcPr>
          <w:p w14:paraId="03705204" w14:textId="77777777" w:rsidR="00ED2EBD" w:rsidRPr="00BD16B4" w:rsidRDefault="00ED2EBD" w:rsidP="004A205F">
            <w:pPr>
              <w:pStyle w:val="TableText"/>
              <w:spacing w:before="40"/>
              <w:jc w:val="right"/>
              <w:rPr>
                <w:szCs w:val="18"/>
              </w:rPr>
            </w:pPr>
            <w:r w:rsidRPr="00BD16B4">
              <w:rPr>
                <w:szCs w:val="18"/>
              </w:rPr>
              <w:t>0.54</w:t>
            </w:r>
          </w:p>
        </w:tc>
      </w:tr>
      <w:tr w:rsidR="00ED2EBD" w:rsidRPr="00BD16B4" w14:paraId="4F0BFDC3" w14:textId="77777777" w:rsidTr="002A2A69">
        <w:tc>
          <w:tcPr>
            <w:tcW w:w="3397" w:type="dxa"/>
          </w:tcPr>
          <w:p w14:paraId="374F2B64" w14:textId="42D02EEF" w:rsidR="00ED2EBD" w:rsidRPr="00BD16B4" w:rsidRDefault="00ED2EBD" w:rsidP="004A205F">
            <w:pPr>
              <w:pStyle w:val="TableText"/>
              <w:spacing w:before="40"/>
              <w:ind w:left="454" w:hanging="227"/>
              <w:rPr>
                <w:szCs w:val="18"/>
              </w:rPr>
            </w:pPr>
            <w:r w:rsidRPr="00BD16B4">
              <w:rPr>
                <w:szCs w:val="18"/>
              </w:rPr>
              <w:t>4.</w:t>
            </w:r>
            <w:r w:rsidR="00280979" w:rsidRPr="00BD16B4">
              <w:rPr>
                <w:szCs w:val="18"/>
              </w:rPr>
              <w:t xml:space="preserve"> </w:t>
            </w:r>
            <w:r w:rsidRPr="00BD16B4">
              <w:rPr>
                <w:szCs w:val="18"/>
              </w:rPr>
              <w:t>Other sectors</w:t>
            </w:r>
          </w:p>
        </w:tc>
        <w:tc>
          <w:tcPr>
            <w:tcW w:w="964" w:type="dxa"/>
            <w:shd w:val="clear" w:color="auto" w:fill="auto"/>
          </w:tcPr>
          <w:p w14:paraId="73406B46" w14:textId="77777777" w:rsidR="00ED2EBD" w:rsidRPr="00BD16B4" w:rsidRDefault="00ED2EBD" w:rsidP="004A205F">
            <w:pPr>
              <w:pStyle w:val="TableText"/>
              <w:spacing w:before="40"/>
              <w:jc w:val="right"/>
              <w:rPr>
                <w:szCs w:val="18"/>
              </w:rPr>
            </w:pPr>
            <w:r w:rsidRPr="00BD16B4">
              <w:rPr>
                <w:szCs w:val="18"/>
              </w:rPr>
              <w:t>0.17</w:t>
            </w:r>
          </w:p>
        </w:tc>
        <w:tc>
          <w:tcPr>
            <w:tcW w:w="964" w:type="dxa"/>
            <w:shd w:val="clear" w:color="auto" w:fill="auto"/>
          </w:tcPr>
          <w:p w14:paraId="0960555E" w14:textId="77777777" w:rsidR="00ED2EBD" w:rsidRPr="00BD16B4" w:rsidRDefault="00ED2EBD" w:rsidP="004A205F">
            <w:pPr>
              <w:pStyle w:val="TableText"/>
              <w:spacing w:before="40"/>
              <w:jc w:val="right"/>
              <w:rPr>
                <w:szCs w:val="18"/>
              </w:rPr>
            </w:pPr>
            <w:r w:rsidRPr="00BD16B4">
              <w:rPr>
                <w:szCs w:val="18"/>
              </w:rPr>
              <w:t>0.17</w:t>
            </w:r>
          </w:p>
        </w:tc>
        <w:tc>
          <w:tcPr>
            <w:tcW w:w="964" w:type="dxa"/>
            <w:shd w:val="clear" w:color="auto" w:fill="auto"/>
          </w:tcPr>
          <w:p w14:paraId="4FB7B138" w14:textId="77777777" w:rsidR="00ED2EBD" w:rsidRPr="00BD16B4" w:rsidRDefault="00ED2EBD" w:rsidP="004A205F">
            <w:pPr>
              <w:pStyle w:val="TableText"/>
              <w:spacing w:before="40"/>
              <w:jc w:val="right"/>
              <w:rPr>
                <w:szCs w:val="18"/>
              </w:rPr>
            </w:pPr>
            <w:r w:rsidRPr="00BD16B4">
              <w:rPr>
                <w:szCs w:val="18"/>
              </w:rPr>
              <w:t>0.18</w:t>
            </w:r>
          </w:p>
        </w:tc>
        <w:tc>
          <w:tcPr>
            <w:tcW w:w="964" w:type="dxa"/>
            <w:shd w:val="clear" w:color="auto" w:fill="auto"/>
          </w:tcPr>
          <w:p w14:paraId="5516826A" w14:textId="77777777" w:rsidR="00ED2EBD" w:rsidRPr="00BD16B4" w:rsidRDefault="00ED2EBD" w:rsidP="004A205F">
            <w:pPr>
              <w:pStyle w:val="TableText"/>
              <w:spacing w:before="40"/>
              <w:jc w:val="right"/>
              <w:rPr>
                <w:szCs w:val="18"/>
              </w:rPr>
            </w:pPr>
            <w:r w:rsidRPr="00BD16B4">
              <w:rPr>
                <w:szCs w:val="18"/>
              </w:rPr>
              <w:t>0.17</w:t>
            </w:r>
          </w:p>
        </w:tc>
        <w:tc>
          <w:tcPr>
            <w:tcW w:w="964" w:type="dxa"/>
            <w:shd w:val="clear" w:color="auto" w:fill="auto"/>
          </w:tcPr>
          <w:p w14:paraId="5B960AE0" w14:textId="77777777" w:rsidR="00ED2EBD" w:rsidRPr="00BD16B4" w:rsidRDefault="00ED2EBD" w:rsidP="004A205F">
            <w:pPr>
              <w:pStyle w:val="TableText"/>
              <w:spacing w:before="40"/>
              <w:jc w:val="right"/>
              <w:rPr>
                <w:szCs w:val="18"/>
              </w:rPr>
            </w:pPr>
            <w:r w:rsidRPr="00BD16B4">
              <w:rPr>
                <w:szCs w:val="18"/>
              </w:rPr>
              <w:t>0.20</w:t>
            </w:r>
          </w:p>
        </w:tc>
        <w:tc>
          <w:tcPr>
            <w:tcW w:w="964" w:type="dxa"/>
            <w:shd w:val="clear" w:color="auto" w:fill="auto"/>
          </w:tcPr>
          <w:p w14:paraId="262C2292" w14:textId="77777777" w:rsidR="00ED2EBD" w:rsidRPr="00BD16B4" w:rsidRDefault="00ED2EBD" w:rsidP="004A205F">
            <w:pPr>
              <w:pStyle w:val="TableText"/>
              <w:spacing w:before="40"/>
              <w:jc w:val="right"/>
              <w:rPr>
                <w:szCs w:val="18"/>
              </w:rPr>
            </w:pPr>
            <w:r w:rsidRPr="00BD16B4">
              <w:rPr>
                <w:szCs w:val="18"/>
              </w:rPr>
              <w:t>0.19</w:t>
            </w:r>
          </w:p>
        </w:tc>
        <w:tc>
          <w:tcPr>
            <w:tcW w:w="964" w:type="dxa"/>
            <w:shd w:val="clear" w:color="auto" w:fill="auto"/>
          </w:tcPr>
          <w:p w14:paraId="063703CC" w14:textId="77777777" w:rsidR="00ED2EBD" w:rsidRPr="00BD16B4" w:rsidRDefault="00ED2EBD" w:rsidP="004A205F">
            <w:pPr>
              <w:pStyle w:val="TableText"/>
              <w:spacing w:before="40"/>
              <w:jc w:val="right"/>
              <w:rPr>
                <w:szCs w:val="18"/>
              </w:rPr>
            </w:pPr>
            <w:r w:rsidRPr="00BD16B4">
              <w:rPr>
                <w:szCs w:val="18"/>
              </w:rPr>
              <w:t>0.18</w:t>
            </w:r>
          </w:p>
        </w:tc>
        <w:tc>
          <w:tcPr>
            <w:tcW w:w="964" w:type="dxa"/>
            <w:shd w:val="clear" w:color="auto" w:fill="auto"/>
          </w:tcPr>
          <w:p w14:paraId="07996AE6" w14:textId="77777777" w:rsidR="00ED2EBD" w:rsidRPr="00BD16B4" w:rsidRDefault="00ED2EBD" w:rsidP="004A205F">
            <w:pPr>
              <w:pStyle w:val="TableText"/>
              <w:spacing w:before="40"/>
              <w:jc w:val="right"/>
              <w:rPr>
                <w:szCs w:val="18"/>
              </w:rPr>
            </w:pPr>
            <w:r w:rsidRPr="00BD16B4">
              <w:rPr>
                <w:szCs w:val="18"/>
              </w:rPr>
              <w:t>0.18</w:t>
            </w:r>
          </w:p>
        </w:tc>
        <w:tc>
          <w:tcPr>
            <w:tcW w:w="964" w:type="dxa"/>
            <w:shd w:val="clear" w:color="auto" w:fill="auto"/>
          </w:tcPr>
          <w:p w14:paraId="23A6BF77" w14:textId="77777777" w:rsidR="00ED2EBD" w:rsidRPr="00BD16B4" w:rsidRDefault="00ED2EBD" w:rsidP="004A205F">
            <w:pPr>
              <w:pStyle w:val="TableText"/>
              <w:spacing w:before="40"/>
              <w:jc w:val="right"/>
              <w:rPr>
                <w:szCs w:val="18"/>
              </w:rPr>
            </w:pPr>
            <w:r w:rsidRPr="00BD16B4">
              <w:rPr>
                <w:szCs w:val="18"/>
              </w:rPr>
              <w:t>0.19</w:t>
            </w:r>
          </w:p>
        </w:tc>
      </w:tr>
      <w:tr w:rsidR="00ED2EBD" w:rsidRPr="00BD16B4" w14:paraId="46CD13E1" w14:textId="77777777" w:rsidTr="002A2A69">
        <w:tc>
          <w:tcPr>
            <w:tcW w:w="3397" w:type="dxa"/>
          </w:tcPr>
          <w:p w14:paraId="1A131143" w14:textId="2F3DA2A3" w:rsidR="00ED2EBD" w:rsidRPr="00BD16B4" w:rsidRDefault="00ED2EBD" w:rsidP="004A205F">
            <w:pPr>
              <w:pStyle w:val="TableText"/>
              <w:spacing w:before="40"/>
              <w:ind w:left="454" w:hanging="227"/>
              <w:rPr>
                <w:szCs w:val="18"/>
              </w:rPr>
            </w:pPr>
            <w:r w:rsidRPr="00BD16B4">
              <w:rPr>
                <w:szCs w:val="18"/>
              </w:rPr>
              <w:t>5.</w:t>
            </w:r>
            <w:r w:rsidR="00280979" w:rsidRPr="00BD16B4">
              <w:rPr>
                <w:szCs w:val="18"/>
              </w:rPr>
              <w:t xml:space="preserve"> </w:t>
            </w:r>
            <w:r w:rsidRPr="00BD16B4">
              <w:rPr>
                <w:szCs w:val="18"/>
              </w:rPr>
              <w:t>Other</w:t>
            </w:r>
          </w:p>
        </w:tc>
        <w:tc>
          <w:tcPr>
            <w:tcW w:w="964" w:type="dxa"/>
            <w:shd w:val="clear" w:color="auto" w:fill="auto"/>
          </w:tcPr>
          <w:p w14:paraId="6889EEA3" w14:textId="77777777" w:rsidR="00ED2EBD" w:rsidRPr="00BD16B4" w:rsidRDefault="00ED2EBD" w:rsidP="004A205F">
            <w:pPr>
              <w:pStyle w:val="TableText"/>
              <w:spacing w:before="40"/>
              <w:jc w:val="right"/>
              <w:rPr>
                <w:szCs w:val="18"/>
              </w:rPr>
            </w:pPr>
            <w:r w:rsidRPr="00BD16B4">
              <w:rPr>
                <w:szCs w:val="18"/>
              </w:rPr>
              <w:t>NO</w:t>
            </w:r>
          </w:p>
        </w:tc>
        <w:tc>
          <w:tcPr>
            <w:tcW w:w="964" w:type="dxa"/>
            <w:shd w:val="clear" w:color="auto" w:fill="auto"/>
          </w:tcPr>
          <w:p w14:paraId="0E94BF01" w14:textId="77777777" w:rsidR="00ED2EBD" w:rsidRPr="00BD16B4" w:rsidRDefault="00ED2EBD" w:rsidP="004A205F">
            <w:pPr>
              <w:pStyle w:val="TableText"/>
              <w:spacing w:before="40"/>
              <w:jc w:val="right"/>
              <w:rPr>
                <w:szCs w:val="18"/>
              </w:rPr>
            </w:pPr>
            <w:r w:rsidRPr="00BD16B4">
              <w:rPr>
                <w:szCs w:val="18"/>
              </w:rPr>
              <w:t>NO</w:t>
            </w:r>
          </w:p>
        </w:tc>
        <w:tc>
          <w:tcPr>
            <w:tcW w:w="964" w:type="dxa"/>
            <w:shd w:val="clear" w:color="auto" w:fill="auto"/>
          </w:tcPr>
          <w:p w14:paraId="7B705064" w14:textId="77777777" w:rsidR="00ED2EBD" w:rsidRPr="00BD16B4" w:rsidRDefault="00ED2EBD" w:rsidP="004A205F">
            <w:pPr>
              <w:pStyle w:val="TableText"/>
              <w:spacing w:before="40"/>
              <w:jc w:val="right"/>
              <w:rPr>
                <w:szCs w:val="18"/>
              </w:rPr>
            </w:pPr>
            <w:r w:rsidRPr="00BD16B4">
              <w:rPr>
                <w:szCs w:val="18"/>
              </w:rPr>
              <w:t>NO</w:t>
            </w:r>
          </w:p>
        </w:tc>
        <w:tc>
          <w:tcPr>
            <w:tcW w:w="964" w:type="dxa"/>
            <w:shd w:val="clear" w:color="auto" w:fill="auto"/>
          </w:tcPr>
          <w:p w14:paraId="1EC91407" w14:textId="77777777" w:rsidR="00ED2EBD" w:rsidRPr="00BD16B4" w:rsidRDefault="00ED2EBD" w:rsidP="004A205F">
            <w:pPr>
              <w:pStyle w:val="TableText"/>
              <w:spacing w:before="40"/>
              <w:jc w:val="right"/>
              <w:rPr>
                <w:szCs w:val="18"/>
              </w:rPr>
            </w:pPr>
            <w:r w:rsidRPr="00BD16B4">
              <w:rPr>
                <w:szCs w:val="18"/>
              </w:rPr>
              <w:t>NO</w:t>
            </w:r>
          </w:p>
        </w:tc>
        <w:tc>
          <w:tcPr>
            <w:tcW w:w="964" w:type="dxa"/>
            <w:shd w:val="clear" w:color="auto" w:fill="auto"/>
          </w:tcPr>
          <w:p w14:paraId="23120239" w14:textId="77777777" w:rsidR="00ED2EBD" w:rsidRPr="00BD16B4" w:rsidRDefault="00ED2EBD" w:rsidP="004A205F">
            <w:pPr>
              <w:pStyle w:val="TableText"/>
              <w:spacing w:before="40"/>
              <w:jc w:val="right"/>
              <w:rPr>
                <w:szCs w:val="18"/>
              </w:rPr>
            </w:pPr>
            <w:r w:rsidRPr="00BD16B4">
              <w:rPr>
                <w:szCs w:val="18"/>
              </w:rPr>
              <w:t>NO</w:t>
            </w:r>
          </w:p>
        </w:tc>
        <w:tc>
          <w:tcPr>
            <w:tcW w:w="964" w:type="dxa"/>
            <w:shd w:val="clear" w:color="auto" w:fill="auto"/>
          </w:tcPr>
          <w:p w14:paraId="04EC0899" w14:textId="77777777" w:rsidR="00ED2EBD" w:rsidRPr="00BD16B4" w:rsidRDefault="00ED2EBD" w:rsidP="004A205F">
            <w:pPr>
              <w:pStyle w:val="TableText"/>
              <w:spacing w:before="40"/>
              <w:jc w:val="right"/>
              <w:rPr>
                <w:szCs w:val="18"/>
              </w:rPr>
            </w:pPr>
            <w:r w:rsidRPr="00BD16B4">
              <w:rPr>
                <w:szCs w:val="18"/>
              </w:rPr>
              <w:t>NO</w:t>
            </w:r>
          </w:p>
        </w:tc>
        <w:tc>
          <w:tcPr>
            <w:tcW w:w="964" w:type="dxa"/>
            <w:shd w:val="clear" w:color="auto" w:fill="auto"/>
          </w:tcPr>
          <w:p w14:paraId="6E12786C" w14:textId="77777777" w:rsidR="00ED2EBD" w:rsidRPr="00BD16B4" w:rsidRDefault="00ED2EBD" w:rsidP="004A205F">
            <w:pPr>
              <w:pStyle w:val="TableText"/>
              <w:spacing w:before="40"/>
              <w:jc w:val="right"/>
              <w:rPr>
                <w:szCs w:val="18"/>
              </w:rPr>
            </w:pPr>
            <w:r w:rsidRPr="00BD16B4">
              <w:rPr>
                <w:szCs w:val="18"/>
              </w:rPr>
              <w:t>NO</w:t>
            </w:r>
          </w:p>
        </w:tc>
        <w:tc>
          <w:tcPr>
            <w:tcW w:w="964" w:type="dxa"/>
            <w:shd w:val="clear" w:color="auto" w:fill="auto"/>
          </w:tcPr>
          <w:p w14:paraId="55A2B2D5" w14:textId="77777777" w:rsidR="00ED2EBD" w:rsidRPr="00BD16B4" w:rsidRDefault="00ED2EBD" w:rsidP="004A205F">
            <w:pPr>
              <w:pStyle w:val="TableText"/>
              <w:spacing w:before="40"/>
              <w:jc w:val="right"/>
              <w:rPr>
                <w:szCs w:val="18"/>
              </w:rPr>
            </w:pPr>
            <w:r w:rsidRPr="00BD16B4">
              <w:rPr>
                <w:szCs w:val="18"/>
              </w:rPr>
              <w:t>NO</w:t>
            </w:r>
          </w:p>
        </w:tc>
        <w:tc>
          <w:tcPr>
            <w:tcW w:w="964" w:type="dxa"/>
            <w:shd w:val="clear" w:color="auto" w:fill="auto"/>
          </w:tcPr>
          <w:p w14:paraId="5DB368EC" w14:textId="77777777" w:rsidR="00ED2EBD" w:rsidRPr="00BD16B4" w:rsidRDefault="00ED2EBD" w:rsidP="004A205F">
            <w:pPr>
              <w:pStyle w:val="TableText"/>
              <w:spacing w:before="40"/>
              <w:jc w:val="right"/>
              <w:rPr>
                <w:szCs w:val="18"/>
              </w:rPr>
            </w:pPr>
            <w:r w:rsidRPr="00BD16B4">
              <w:rPr>
                <w:szCs w:val="18"/>
              </w:rPr>
              <w:t>NO</w:t>
            </w:r>
          </w:p>
        </w:tc>
      </w:tr>
      <w:tr w:rsidR="00ED2EBD" w:rsidRPr="00BD16B4" w14:paraId="7F43947B" w14:textId="77777777" w:rsidTr="002A2A69">
        <w:tc>
          <w:tcPr>
            <w:tcW w:w="3397" w:type="dxa"/>
          </w:tcPr>
          <w:p w14:paraId="44807907" w14:textId="77777777" w:rsidR="00ED2EBD" w:rsidRPr="00BD16B4" w:rsidRDefault="00ED2EBD" w:rsidP="004A205F">
            <w:pPr>
              <w:pStyle w:val="TableText"/>
              <w:spacing w:before="40"/>
              <w:rPr>
                <w:szCs w:val="18"/>
              </w:rPr>
            </w:pPr>
            <w:r w:rsidRPr="00BD16B4">
              <w:rPr>
                <w:szCs w:val="18"/>
              </w:rPr>
              <w:t>B. Fugitive emissions from fuels</w:t>
            </w:r>
          </w:p>
        </w:tc>
        <w:tc>
          <w:tcPr>
            <w:tcW w:w="964" w:type="dxa"/>
            <w:shd w:val="clear" w:color="auto" w:fill="auto"/>
          </w:tcPr>
          <w:p w14:paraId="0FAFD6AA"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67CAF86B"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70A917B4"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21FF57BE"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5BD5D788"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35BA6F7F"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4C5434FA"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55812C7E"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5794B729" w14:textId="77777777" w:rsidR="00ED2EBD" w:rsidRPr="00BD16B4" w:rsidRDefault="00ED2EBD" w:rsidP="004A205F">
            <w:pPr>
              <w:pStyle w:val="TableText"/>
              <w:spacing w:before="40"/>
              <w:jc w:val="right"/>
              <w:rPr>
                <w:szCs w:val="18"/>
              </w:rPr>
            </w:pPr>
            <w:r w:rsidRPr="00BD16B4">
              <w:rPr>
                <w:szCs w:val="18"/>
              </w:rPr>
              <w:t>0.00</w:t>
            </w:r>
          </w:p>
        </w:tc>
      </w:tr>
      <w:tr w:rsidR="00ED2EBD" w:rsidRPr="00BD16B4" w14:paraId="60381243" w14:textId="77777777" w:rsidTr="002A2A69">
        <w:tc>
          <w:tcPr>
            <w:tcW w:w="3397" w:type="dxa"/>
          </w:tcPr>
          <w:p w14:paraId="5EA424CC" w14:textId="2CA21438" w:rsidR="00ED2EBD" w:rsidRPr="00BD16B4" w:rsidRDefault="00ED2EBD" w:rsidP="004A205F">
            <w:pPr>
              <w:pStyle w:val="TableText"/>
              <w:spacing w:before="40"/>
              <w:ind w:left="454" w:hanging="227"/>
              <w:rPr>
                <w:szCs w:val="18"/>
              </w:rPr>
            </w:pPr>
            <w:r w:rsidRPr="00BD16B4">
              <w:rPr>
                <w:szCs w:val="18"/>
              </w:rPr>
              <w:t>1.</w:t>
            </w:r>
            <w:r w:rsidR="00280979" w:rsidRPr="00BD16B4">
              <w:rPr>
                <w:szCs w:val="18"/>
              </w:rPr>
              <w:t xml:space="preserve"> </w:t>
            </w:r>
            <w:r w:rsidR="006D3816" w:rsidRPr="00BD16B4">
              <w:rPr>
                <w:szCs w:val="18"/>
              </w:rPr>
              <w:tab/>
            </w:r>
            <w:r w:rsidRPr="00BD16B4">
              <w:rPr>
                <w:szCs w:val="18"/>
              </w:rPr>
              <w:t>Solid fuels</w:t>
            </w:r>
          </w:p>
        </w:tc>
        <w:tc>
          <w:tcPr>
            <w:tcW w:w="964" w:type="dxa"/>
            <w:shd w:val="clear" w:color="auto" w:fill="auto"/>
          </w:tcPr>
          <w:p w14:paraId="5A249886" w14:textId="77777777" w:rsidR="00ED2EBD" w:rsidRPr="00BD16B4" w:rsidRDefault="00ED2EBD" w:rsidP="004A205F">
            <w:pPr>
              <w:pStyle w:val="TableText"/>
              <w:spacing w:before="40"/>
              <w:jc w:val="right"/>
              <w:rPr>
                <w:szCs w:val="18"/>
              </w:rPr>
            </w:pPr>
            <w:r w:rsidRPr="00BD16B4">
              <w:rPr>
                <w:szCs w:val="18"/>
              </w:rPr>
              <w:t>NO</w:t>
            </w:r>
          </w:p>
        </w:tc>
        <w:tc>
          <w:tcPr>
            <w:tcW w:w="964" w:type="dxa"/>
            <w:shd w:val="clear" w:color="auto" w:fill="auto"/>
          </w:tcPr>
          <w:p w14:paraId="48FC3488" w14:textId="77777777" w:rsidR="00ED2EBD" w:rsidRPr="00BD16B4" w:rsidRDefault="00ED2EBD" w:rsidP="004A205F">
            <w:pPr>
              <w:pStyle w:val="TableText"/>
              <w:spacing w:before="40"/>
              <w:jc w:val="right"/>
              <w:rPr>
                <w:szCs w:val="18"/>
              </w:rPr>
            </w:pPr>
            <w:r w:rsidRPr="00BD16B4">
              <w:rPr>
                <w:szCs w:val="18"/>
              </w:rPr>
              <w:t>NO</w:t>
            </w:r>
          </w:p>
        </w:tc>
        <w:tc>
          <w:tcPr>
            <w:tcW w:w="964" w:type="dxa"/>
            <w:shd w:val="clear" w:color="auto" w:fill="auto"/>
          </w:tcPr>
          <w:p w14:paraId="0E7815CF" w14:textId="77777777" w:rsidR="00ED2EBD" w:rsidRPr="00BD16B4" w:rsidRDefault="00ED2EBD" w:rsidP="004A205F">
            <w:pPr>
              <w:pStyle w:val="TableText"/>
              <w:spacing w:before="40"/>
              <w:jc w:val="right"/>
              <w:rPr>
                <w:szCs w:val="18"/>
              </w:rPr>
            </w:pPr>
            <w:r w:rsidRPr="00BD16B4">
              <w:rPr>
                <w:szCs w:val="18"/>
              </w:rPr>
              <w:t>NO</w:t>
            </w:r>
          </w:p>
        </w:tc>
        <w:tc>
          <w:tcPr>
            <w:tcW w:w="964" w:type="dxa"/>
            <w:shd w:val="clear" w:color="auto" w:fill="auto"/>
          </w:tcPr>
          <w:p w14:paraId="2FE955DB" w14:textId="77777777" w:rsidR="00ED2EBD" w:rsidRPr="00BD16B4" w:rsidRDefault="00ED2EBD" w:rsidP="004A205F">
            <w:pPr>
              <w:pStyle w:val="TableText"/>
              <w:spacing w:before="40"/>
              <w:jc w:val="right"/>
              <w:rPr>
                <w:szCs w:val="18"/>
              </w:rPr>
            </w:pPr>
            <w:r w:rsidRPr="00BD16B4">
              <w:rPr>
                <w:szCs w:val="18"/>
              </w:rPr>
              <w:t>NO</w:t>
            </w:r>
          </w:p>
        </w:tc>
        <w:tc>
          <w:tcPr>
            <w:tcW w:w="964" w:type="dxa"/>
            <w:shd w:val="clear" w:color="auto" w:fill="auto"/>
          </w:tcPr>
          <w:p w14:paraId="258F7A1E" w14:textId="77777777" w:rsidR="00ED2EBD" w:rsidRPr="00BD16B4" w:rsidRDefault="00ED2EBD" w:rsidP="004A205F">
            <w:pPr>
              <w:pStyle w:val="TableText"/>
              <w:spacing w:before="40"/>
              <w:jc w:val="right"/>
              <w:rPr>
                <w:szCs w:val="18"/>
              </w:rPr>
            </w:pPr>
            <w:r w:rsidRPr="00BD16B4">
              <w:rPr>
                <w:szCs w:val="18"/>
              </w:rPr>
              <w:t>NO</w:t>
            </w:r>
          </w:p>
        </w:tc>
        <w:tc>
          <w:tcPr>
            <w:tcW w:w="964" w:type="dxa"/>
            <w:shd w:val="clear" w:color="auto" w:fill="auto"/>
          </w:tcPr>
          <w:p w14:paraId="0C4C9649" w14:textId="77777777" w:rsidR="00ED2EBD" w:rsidRPr="00BD16B4" w:rsidRDefault="00ED2EBD" w:rsidP="004A205F">
            <w:pPr>
              <w:pStyle w:val="TableText"/>
              <w:spacing w:before="40"/>
              <w:jc w:val="right"/>
              <w:rPr>
                <w:szCs w:val="18"/>
              </w:rPr>
            </w:pPr>
            <w:r w:rsidRPr="00BD16B4">
              <w:rPr>
                <w:szCs w:val="18"/>
              </w:rPr>
              <w:t>NO</w:t>
            </w:r>
          </w:p>
        </w:tc>
        <w:tc>
          <w:tcPr>
            <w:tcW w:w="964" w:type="dxa"/>
            <w:shd w:val="clear" w:color="auto" w:fill="auto"/>
          </w:tcPr>
          <w:p w14:paraId="712E29A3" w14:textId="77777777" w:rsidR="00ED2EBD" w:rsidRPr="00BD16B4" w:rsidRDefault="00ED2EBD" w:rsidP="004A205F">
            <w:pPr>
              <w:pStyle w:val="TableText"/>
              <w:spacing w:before="40"/>
              <w:jc w:val="right"/>
              <w:rPr>
                <w:szCs w:val="18"/>
              </w:rPr>
            </w:pPr>
            <w:r w:rsidRPr="00BD16B4">
              <w:rPr>
                <w:szCs w:val="18"/>
              </w:rPr>
              <w:t>NO</w:t>
            </w:r>
          </w:p>
        </w:tc>
        <w:tc>
          <w:tcPr>
            <w:tcW w:w="964" w:type="dxa"/>
            <w:shd w:val="clear" w:color="auto" w:fill="auto"/>
          </w:tcPr>
          <w:p w14:paraId="1300381F" w14:textId="77777777" w:rsidR="00ED2EBD" w:rsidRPr="00BD16B4" w:rsidRDefault="00ED2EBD" w:rsidP="004A205F">
            <w:pPr>
              <w:pStyle w:val="TableText"/>
              <w:spacing w:before="40"/>
              <w:jc w:val="right"/>
              <w:rPr>
                <w:szCs w:val="18"/>
              </w:rPr>
            </w:pPr>
            <w:r w:rsidRPr="00BD16B4">
              <w:rPr>
                <w:szCs w:val="18"/>
              </w:rPr>
              <w:t>NO</w:t>
            </w:r>
          </w:p>
        </w:tc>
        <w:tc>
          <w:tcPr>
            <w:tcW w:w="964" w:type="dxa"/>
            <w:shd w:val="clear" w:color="auto" w:fill="auto"/>
          </w:tcPr>
          <w:p w14:paraId="0A75B1F1" w14:textId="77777777" w:rsidR="00ED2EBD" w:rsidRPr="00BD16B4" w:rsidRDefault="00ED2EBD" w:rsidP="004A205F">
            <w:pPr>
              <w:pStyle w:val="TableText"/>
              <w:spacing w:before="40"/>
              <w:jc w:val="right"/>
              <w:rPr>
                <w:szCs w:val="18"/>
              </w:rPr>
            </w:pPr>
            <w:r w:rsidRPr="00BD16B4">
              <w:rPr>
                <w:szCs w:val="18"/>
              </w:rPr>
              <w:t>NO</w:t>
            </w:r>
          </w:p>
        </w:tc>
      </w:tr>
      <w:tr w:rsidR="00ED2EBD" w:rsidRPr="00BD16B4" w14:paraId="46ED208D" w14:textId="77777777" w:rsidTr="002A2A69">
        <w:tc>
          <w:tcPr>
            <w:tcW w:w="3397" w:type="dxa"/>
          </w:tcPr>
          <w:p w14:paraId="62217884" w14:textId="33DC7C87" w:rsidR="00ED2EBD" w:rsidRPr="00BD16B4" w:rsidRDefault="00ED2EBD" w:rsidP="004A205F">
            <w:pPr>
              <w:pStyle w:val="TableText"/>
              <w:spacing w:before="40"/>
              <w:ind w:left="454" w:hanging="227"/>
              <w:rPr>
                <w:szCs w:val="18"/>
              </w:rPr>
            </w:pPr>
            <w:r w:rsidRPr="00BD16B4">
              <w:rPr>
                <w:szCs w:val="18"/>
              </w:rPr>
              <w:t>2.</w:t>
            </w:r>
            <w:r w:rsidR="00280979" w:rsidRPr="00BD16B4">
              <w:rPr>
                <w:szCs w:val="18"/>
              </w:rPr>
              <w:t xml:space="preserve"> </w:t>
            </w:r>
            <w:r w:rsidR="006D3816" w:rsidRPr="00BD16B4">
              <w:rPr>
                <w:szCs w:val="18"/>
              </w:rPr>
              <w:tab/>
            </w:r>
            <w:r w:rsidRPr="00BD16B4">
              <w:rPr>
                <w:szCs w:val="18"/>
              </w:rPr>
              <w:t>Oil and natural gas and other emissions from energy production</w:t>
            </w:r>
          </w:p>
        </w:tc>
        <w:tc>
          <w:tcPr>
            <w:tcW w:w="964" w:type="dxa"/>
            <w:tcBorders>
              <w:bottom w:val="single" w:sz="4" w:space="0" w:color="1B556B" w:themeColor="text2"/>
            </w:tcBorders>
            <w:shd w:val="clear" w:color="auto" w:fill="auto"/>
          </w:tcPr>
          <w:p w14:paraId="39195A89" w14:textId="77777777" w:rsidR="00ED2EBD" w:rsidRPr="00BD16B4" w:rsidRDefault="00ED2EBD" w:rsidP="004A205F">
            <w:pPr>
              <w:pStyle w:val="TableText"/>
              <w:spacing w:before="40"/>
              <w:jc w:val="right"/>
              <w:rPr>
                <w:szCs w:val="18"/>
              </w:rPr>
            </w:pPr>
            <w:r w:rsidRPr="00BD16B4">
              <w:rPr>
                <w:szCs w:val="18"/>
              </w:rPr>
              <w:t>0.00</w:t>
            </w:r>
          </w:p>
        </w:tc>
        <w:tc>
          <w:tcPr>
            <w:tcW w:w="964" w:type="dxa"/>
            <w:tcBorders>
              <w:bottom w:val="single" w:sz="4" w:space="0" w:color="1B556B" w:themeColor="text2"/>
            </w:tcBorders>
            <w:shd w:val="clear" w:color="auto" w:fill="auto"/>
          </w:tcPr>
          <w:p w14:paraId="1CB319E8" w14:textId="77777777" w:rsidR="00ED2EBD" w:rsidRPr="00BD16B4" w:rsidRDefault="00ED2EBD" w:rsidP="004A205F">
            <w:pPr>
              <w:pStyle w:val="TableText"/>
              <w:spacing w:before="40"/>
              <w:jc w:val="right"/>
              <w:rPr>
                <w:szCs w:val="18"/>
              </w:rPr>
            </w:pPr>
            <w:r w:rsidRPr="00BD16B4">
              <w:rPr>
                <w:szCs w:val="18"/>
              </w:rPr>
              <w:t>0.00</w:t>
            </w:r>
          </w:p>
        </w:tc>
        <w:tc>
          <w:tcPr>
            <w:tcW w:w="964" w:type="dxa"/>
            <w:tcBorders>
              <w:bottom w:val="single" w:sz="4" w:space="0" w:color="1B556B" w:themeColor="text2"/>
            </w:tcBorders>
            <w:shd w:val="clear" w:color="auto" w:fill="auto"/>
          </w:tcPr>
          <w:p w14:paraId="1DF58E7C" w14:textId="77777777" w:rsidR="00ED2EBD" w:rsidRPr="00BD16B4" w:rsidRDefault="00ED2EBD" w:rsidP="004A205F">
            <w:pPr>
              <w:pStyle w:val="TableText"/>
              <w:spacing w:before="40"/>
              <w:jc w:val="right"/>
              <w:rPr>
                <w:szCs w:val="18"/>
              </w:rPr>
            </w:pPr>
            <w:r w:rsidRPr="00BD16B4">
              <w:rPr>
                <w:szCs w:val="18"/>
              </w:rPr>
              <w:t>0.00</w:t>
            </w:r>
          </w:p>
        </w:tc>
        <w:tc>
          <w:tcPr>
            <w:tcW w:w="964" w:type="dxa"/>
            <w:tcBorders>
              <w:bottom w:val="single" w:sz="4" w:space="0" w:color="1B556B" w:themeColor="text2"/>
            </w:tcBorders>
            <w:shd w:val="clear" w:color="auto" w:fill="auto"/>
          </w:tcPr>
          <w:p w14:paraId="7067DD2C" w14:textId="77777777" w:rsidR="00ED2EBD" w:rsidRPr="00BD16B4" w:rsidRDefault="00ED2EBD" w:rsidP="004A205F">
            <w:pPr>
              <w:pStyle w:val="TableText"/>
              <w:spacing w:before="40"/>
              <w:jc w:val="right"/>
              <w:rPr>
                <w:szCs w:val="18"/>
              </w:rPr>
            </w:pPr>
            <w:r w:rsidRPr="00BD16B4">
              <w:rPr>
                <w:szCs w:val="18"/>
              </w:rPr>
              <w:t>0.00</w:t>
            </w:r>
          </w:p>
        </w:tc>
        <w:tc>
          <w:tcPr>
            <w:tcW w:w="964" w:type="dxa"/>
            <w:tcBorders>
              <w:bottom w:val="single" w:sz="4" w:space="0" w:color="1B556B" w:themeColor="text2"/>
            </w:tcBorders>
            <w:shd w:val="clear" w:color="auto" w:fill="auto"/>
          </w:tcPr>
          <w:p w14:paraId="5B9CCEAE" w14:textId="77777777" w:rsidR="00ED2EBD" w:rsidRPr="00BD16B4" w:rsidRDefault="00ED2EBD" w:rsidP="004A205F">
            <w:pPr>
              <w:pStyle w:val="TableText"/>
              <w:spacing w:before="40"/>
              <w:jc w:val="right"/>
              <w:rPr>
                <w:szCs w:val="18"/>
              </w:rPr>
            </w:pPr>
            <w:r w:rsidRPr="00BD16B4">
              <w:rPr>
                <w:szCs w:val="18"/>
              </w:rPr>
              <w:t>0.00</w:t>
            </w:r>
          </w:p>
        </w:tc>
        <w:tc>
          <w:tcPr>
            <w:tcW w:w="964" w:type="dxa"/>
            <w:tcBorders>
              <w:bottom w:val="single" w:sz="4" w:space="0" w:color="1B556B" w:themeColor="text2"/>
            </w:tcBorders>
            <w:shd w:val="clear" w:color="auto" w:fill="auto"/>
          </w:tcPr>
          <w:p w14:paraId="29B1C00E" w14:textId="77777777" w:rsidR="00ED2EBD" w:rsidRPr="00BD16B4" w:rsidRDefault="00ED2EBD" w:rsidP="004A205F">
            <w:pPr>
              <w:pStyle w:val="TableText"/>
              <w:spacing w:before="40"/>
              <w:jc w:val="right"/>
              <w:rPr>
                <w:szCs w:val="18"/>
              </w:rPr>
            </w:pPr>
            <w:r w:rsidRPr="00BD16B4">
              <w:rPr>
                <w:szCs w:val="18"/>
              </w:rPr>
              <w:t>0.00</w:t>
            </w:r>
          </w:p>
        </w:tc>
        <w:tc>
          <w:tcPr>
            <w:tcW w:w="964" w:type="dxa"/>
            <w:tcBorders>
              <w:bottom w:val="single" w:sz="4" w:space="0" w:color="1B556B" w:themeColor="text2"/>
            </w:tcBorders>
            <w:shd w:val="clear" w:color="auto" w:fill="auto"/>
          </w:tcPr>
          <w:p w14:paraId="2321A092" w14:textId="77777777" w:rsidR="00ED2EBD" w:rsidRPr="00BD16B4" w:rsidRDefault="00ED2EBD" w:rsidP="004A205F">
            <w:pPr>
              <w:pStyle w:val="TableText"/>
              <w:spacing w:before="40"/>
              <w:jc w:val="right"/>
              <w:rPr>
                <w:szCs w:val="18"/>
              </w:rPr>
            </w:pPr>
            <w:r w:rsidRPr="00BD16B4">
              <w:rPr>
                <w:szCs w:val="18"/>
              </w:rPr>
              <w:t>0.00</w:t>
            </w:r>
          </w:p>
        </w:tc>
        <w:tc>
          <w:tcPr>
            <w:tcW w:w="964" w:type="dxa"/>
            <w:tcBorders>
              <w:bottom w:val="single" w:sz="4" w:space="0" w:color="1B556B" w:themeColor="text2"/>
            </w:tcBorders>
            <w:shd w:val="clear" w:color="auto" w:fill="auto"/>
          </w:tcPr>
          <w:p w14:paraId="5C19BF74" w14:textId="77777777" w:rsidR="00ED2EBD" w:rsidRPr="00BD16B4" w:rsidRDefault="00ED2EBD" w:rsidP="004A205F">
            <w:pPr>
              <w:pStyle w:val="TableText"/>
              <w:spacing w:before="40"/>
              <w:jc w:val="right"/>
              <w:rPr>
                <w:szCs w:val="18"/>
              </w:rPr>
            </w:pPr>
            <w:r w:rsidRPr="00BD16B4">
              <w:rPr>
                <w:szCs w:val="18"/>
              </w:rPr>
              <w:t>0.00</w:t>
            </w:r>
          </w:p>
        </w:tc>
        <w:tc>
          <w:tcPr>
            <w:tcW w:w="964" w:type="dxa"/>
            <w:tcBorders>
              <w:bottom w:val="single" w:sz="4" w:space="0" w:color="1B556B" w:themeColor="text2"/>
            </w:tcBorders>
            <w:shd w:val="clear" w:color="auto" w:fill="auto"/>
          </w:tcPr>
          <w:p w14:paraId="62D2AABE" w14:textId="77777777" w:rsidR="00ED2EBD" w:rsidRPr="00BD16B4" w:rsidRDefault="00ED2EBD" w:rsidP="004A205F">
            <w:pPr>
              <w:pStyle w:val="TableText"/>
              <w:spacing w:before="40"/>
              <w:jc w:val="right"/>
              <w:rPr>
                <w:szCs w:val="18"/>
              </w:rPr>
            </w:pPr>
            <w:r w:rsidRPr="00BD16B4">
              <w:rPr>
                <w:szCs w:val="18"/>
              </w:rPr>
              <w:t>0.00</w:t>
            </w:r>
          </w:p>
        </w:tc>
      </w:tr>
      <w:tr w:rsidR="00ED2EBD" w:rsidRPr="00BD16B4" w14:paraId="004E3811" w14:textId="77777777" w:rsidTr="002A2A69">
        <w:tc>
          <w:tcPr>
            <w:tcW w:w="3397" w:type="dxa"/>
          </w:tcPr>
          <w:p w14:paraId="12069FC9" w14:textId="77777777" w:rsidR="00ED2EBD" w:rsidRPr="00BD16B4" w:rsidRDefault="00ED2EBD" w:rsidP="004A205F">
            <w:pPr>
              <w:pStyle w:val="TableText"/>
              <w:spacing w:before="40"/>
              <w:rPr>
                <w:szCs w:val="18"/>
              </w:rPr>
            </w:pPr>
            <w:r w:rsidRPr="00BD16B4">
              <w:rPr>
                <w:szCs w:val="18"/>
              </w:rPr>
              <w:t>C. CO</w:t>
            </w:r>
            <w:r w:rsidRPr="00BD16B4">
              <w:rPr>
                <w:szCs w:val="18"/>
                <w:vertAlign w:val="subscript"/>
              </w:rPr>
              <w:t>2</w:t>
            </w:r>
            <w:r w:rsidRPr="00BD16B4">
              <w:rPr>
                <w:szCs w:val="18"/>
              </w:rPr>
              <w:t xml:space="preserve"> transport and storage</w:t>
            </w:r>
          </w:p>
        </w:tc>
        <w:tc>
          <w:tcPr>
            <w:tcW w:w="964" w:type="dxa"/>
            <w:tcBorders>
              <w:top w:val="single" w:sz="4" w:space="0" w:color="1B556B" w:themeColor="text2"/>
            </w:tcBorders>
            <w:shd w:val="clear" w:color="auto" w:fill="D2DDE1" w:themeFill="background2"/>
          </w:tcPr>
          <w:p w14:paraId="232C9E57"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1C32B8D"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76A7FB0"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BB15703"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D63D0ED"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952EED5"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DA1604F"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2F88500"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31323B9"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45E4549B" w14:textId="77777777" w:rsidTr="002A2A69">
        <w:tc>
          <w:tcPr>
            <w:tcW w:w="3397" w:type="dxa"/>
          </w:tcPr>
          <w:p w14:paraId="53C99F12" w14:textId="30C5EA04" w:rsidR="00ED2EBD" w:rsidRPr="00BD16B4" w:rsidRDefault="00ED2EBD" w:rsidP="004A205F">
            <w:pPr>
              <w:pStyle w:val="TableText"/>
              <w:spacing w:before="40"/>
              <w:rPr>
                <w:szCs w:val="18"/>
              </w:rPr>
            </w:pPr>
            <w:r w:rsidRPr="00BD16B4">
              <w:rPr>
                <w:b/>
                <w:bCs/>
                <w:szCs w:val="18"/>
              </w:rPr>
              <w:t>2.</w:t>
            </w:r>
            <w:r w:rsidR="00280979" w:rsidRPr="00BD16B4">
              <w:rPr>
                <w:b/>
                <w:bCs/>
                <w:szCs w:val="18"/>
              </w:rPr>
              <w:t xml:space="preserve"> </w:t>
            </w:r>
            <w:r w:rsidRPr="00BD16B4">
              <w:rPr>
                <w:b/>
                <w:bCs/>
                <w:szCs w:val="18"/>
              </w:rPr>
              <w:t>Industrial processes</w:t>
            </w:r>
          </w:p>
        </w:tc>
        <w:tc>
          <w:tcPr>
            <w:tcW w:w="964" w:type="dxa"/>
            <w:tcBorders>
              <w:bottom w:val="single" w:sz="4" w:space="0" w:color="1B556B" w:themeColor="text2"/>
            </w:tcBorders>
            <w:shd w:val="clear" w:color="auto" w:fill="auto"/>
          </w:tcPr>
          <w:p w14:paraId="78E84689" w14:textId="77777777" w:rsidR="00ED2EBD" w:rsidRPr="00BD16B4" w:rsidRDefault="00ED2EBD" w:rsidP="004A205F">
            <w:pPr>
              <w:pStyle w:val="TableText"/>
              <w:spacing w:before="40"/>
              <w:jc w:val="right"/>
              <w:rPr>
                <w:szCs w:val="18"/>
              </w:rPr>
            </w:pPr>
            <w:r w:rsidRPr="00BD16B4">
              <w:rPr>
                <w:szCs w:val="18"/>
              </w:rPr>
              <w:t>0.34</w:t>
            </w:r>
          </w:p>
        </w:tc>
        <w:tc>
          <w:tcPr>
            <w:tcW w:w="964" w:type="dxa"/>
            <w:tcBorders>
              <w:bottom w:val="single" w:sz="4" w:space="0" w:color="1B556B" w:themeColor="text2"/>
            </w:tcBorders>
            <w:shd w:val="clear" w:color="auto" w:fill="auto"/>
          </w:tcPr>
          <w:p w14:paraId="01E6EB90" w14:textId="77777777" w:rsidR="00ED2EBD" w:rsidRPr="00BD16B4" w:rsidRDefault="00ED2EBD" w:rsidP="004A205F">
            <w:pPr>
              <w:pStyle w:val="TableText"/>
              <w:spacing w:before="40"/>
              <w:jc w:val="right"/>
              <w:rPr>
                <w:szCs w:val="18"/>
              </w:rPr>
            </w:pPr>
            <w:r w:rsidRPr="00BD16B4">
              <w:rPr>
                <w:szCs w:val="18"/>
              </w:rPr>
              <w:t>0.33</w:t>
            </w:r>
          </w:p>
        </w:tc>
        <w:tc>
          <w:tcPr>
            <w:tcW w:w="964" w:type="dxa"/>
            <w:tcBorders>
              <w:bottom w:val="single" w:sz="4" w:space="0" w:color="1B556B" w:themeColor="text2"/>
            </w:tcBorders>
            <w:shd w:val="clear" w:color="auto" w:fill="auto"/>
          </w:tcPr>
          <w:p w14:paraId="12E7951C" w14:textId="77777777" w:rsidR="00ED2EBD" w:rsidRPr="00BD16B4" w:rsidRDefault="00ED2EBD" w:rsidP="004A205F">
            <w:pPr>
              <w:pStyle w:val="TableText"/>
              <w:spacing w:before="40"/>
              <w:jc w:val="right"/>
              <w:rPr>
                <w:szCs w:val="18"/>
              </w:rPr>
            </w:pPr>
            <w:r w:rsidRPr="00BD16B4">
              <w:rPr>
                <w:szCs w:val="18"/>
              </w:rPr>
              <w:t>0.31</w:t>
            </w:r>
          </w:p>
        </w:tc>
        <w:tc>
          <w:tcPr>
            <w:tcW w:w="964" w:type="dxa"/>
            <w:tcBorders>
              <w:bottom w:val="single" w:sz="4" w:space="0" w:color="1B556B" w:themeColor="text2"/>
            </w:tcBorders>
            <w:shd w:val="clear" w:color="auto" w:fill="auto"/>
          </w:tcPr>
          <w:p w14:paraId="59500394" w14:textId="77777777" w:rsidR="00ED2EBD" w:rsidRPr="00BD16B4" w:rsidRDefault="00ED2EBD" w:rsidP="004A205F">
            <w:pPr>
              <w:pStyle w:val="TableText"/>
              <w:spacing w:before="40"/>
              <w:jc w:val="right"/>
              <w:rPr>
                <w:szCs w:val="18"/>
              </w:rPr>
            </w:pPr>
            <w:r w:rsidRPr="00BD16B4">
              <w:rPr>
                <w:szCs w:val="18"/>
              </w:rPr>
              <w:t>0.29</w:t>
            </w:r>
          </w:p>
        </w:tc>
        <w:tc>
          <w:tcPr>
            <w:tcW w:w="964" w:type="dxa"/>
            <w:tcBorders>
              <w:bottom w:val="single" w:sz="4" w:space="0" w:color="1B556B" w:themeColor="text2"/>
            </w:tcBorders>
            <w:shd w:val="clear" w:color="auto" w:fill="auto"/>
          </w:tcPr>
          <w:p w14:paraId="6DA61C48" w14:textId="77777777" w:rsidR="00ED2EBD" w:rsidRPr="00BD16B4" w:rsidRDefault="00ED2EBD" w:rsidP="004A205F">
            <w:pPr>
              <w:pStyle w:val="TableText"/>
              <w:spacing w:before="40"/>
              <w:jc w:val="right"/>
              <w:rPr>
                <w:szCs w:val="18"/>
              </w:rPr>
            </w:pPr>
            <w:r w:rsidRPr="00BD16B4">
              <w:rPr>
                <w:szCs w:val="18"/>
              </w:rPr>
              <w:t>0.28</w:t>
            </w:r>
          </w:p>
        </w:tc>
        <w:tc>
          <w:tcPr>
            <w:tcW w:w="964" w:type="dxa"/>
            <w:tcBorders>
              <w:bottom w:val="single" w:sz="4" w:space="0" w:color="1B556B" w:themeColor="text2"/>
            </w:tcBorders>
            <w:shd w:val="clear" w:color="auto" w:fill="auto"/>
          </w:tcPr>
          <w:p w14:paraId="1897D5FE" w14:textId="77777777" w:rsidR="00ED2EBD" w:rsidRPr="00BD16B4" w:rsidRDefault="00ED2EBD" w:rsidP="004A205F">
            <w:pPr>
              <w:pStyle w:val="TableText"/>
              <w:spacing w:before="40"/>
              <w:jc w:val="right"/>
              <w:rPr>
                <w:szCs w:val="18"/>
              </w:rPr>
            </w:pPr>
            <w:r w:rsidRPr="00BD16B4">
              <w:rPr>
                <w:szCs w:val="18"/>
              </w:rPr>
              <w:t>0.27</w:t>
            </w:r>
          </w:p>
        </w:tc>
        <w:tc>
          <w:tcPr>
            <w:tcW w:w="964" w:type="dxa"/>
            <w:tcBorders>
              <w:bottom w:val="single" w:sz="4" w:space="0" w:color="1B556B" w:themeColor="text2"/>
            </w:tcBorders>
            <w:shd w:val="clear" w:color="auto" w:fill="auto"/>
          </w:tcPr>
          <w:p w14:paraId="13F9310A" w14:textId="77777777" w:rsidR="00ED2EBD" w:rsidRPr="00BD16B4" w:rsidRDefault="00ED2EBD" w:rsidP="004A205F">
            <w:pPr>
              <w:pStyle w:val="TableText"/>
              <w:spacing w:before="40"/>
              <w:jc w:val="right"/>
              <w:rPr>
                <w:szCs w:val="18"/>
              </w:rPr>
            </w:pPr>
            <w:r w:rsidRPr="00BD16B4">
              <w:rPr>
                <w:szCs w:val="18"/>
              </w:rPr>
              <w:t>0.25</w:t>
            </w:r>
          </w:p>
        </w:tc>
        <w:tc>
          <w:tcPr>
            <w:tcW w:w="964" w:type="dxa"/>
            <w:tcBorders>
              <w:bottom w:val="single" w:sz="4" w:space="0" w:color="1B556B" w:themeColor="text2"/>
            </w:tcBorders>
            <w:shd w:val="clear" w:color="auto" w:fill="auto"/>
          </w:tcPr>
          <w:p w14:paraId="59DB1636" w14:textId="77777777" w:rsidR="00ED2EBD" w:rsidRPr="00BD16B4" w:rsidRDefault="00ED2EBD" w:rsidP="004A205F">
            <w:pPr>
              <w:pStyle w:val="TableText"/>
              <w:spacing w:before="40"/>
              <w:jc w:val="right"/>
              <w:rPr>
                <w:szCs w:val="18"/>
              </w:rPr>
            </w:pPr>
            <w:r w:rsidRPr="00BD16B4">
              <w:rPr>
                <w:szCs w:val="18"/>
              </w:rPr>
              <w:t>0.24</w:t>
            </w:r>
          </w:p>
        </w:tc>
        <w:tc>
          <w:tcPr>
            <w:tcW w:w="964" w:type="dxa"/>
            <w:tcBorders>
              <w:bottom w:val="single" w:sz="4" w:space="0" w:color="1B556B" w:themeColor="text2"/>
            </w:tcBorders>
            <w:shd w:val="clear" w:color="auto" w:fill="auto"/>
          </w:tcPr>
          <w:p w14:paraId="44EFFDB1" w14:textId="77777777" w:rsidR="00ED2EBD" w:rsidRPr="00BD16B4" w:rsidRDefault="00ED2EBD" w:rsidP="004A205F">
            <w:pPr>
              <w:pStyle w:val="TableText"/>
              <w:spacing w:before="40"/>
              <w:jc w:val="right"/>
              <w:rPr>
                <w:szCs w:val="18"/>
              </w:rPr>
            </w:pPr>
            <w:r w:rsidRPr="00BD16B4">
              <w:rPr>
                <w:szCs w:val="18"/>
              </w:rPr>
              <w:t>0.23</w:t>
            </w:r>
          </w:p>
        </w:tc>
      </w:tr>
      <w:tr w:rsidR="00ED2EBD" w:rsidRPr="00BD16B4" w14:paraId="3FED182C" w14:textId="77777777" w:rsidTr="002A2A69">
        <w:tc>
          <w:tcPr>
            <w:tcW w:w="3397" w:type="dxa"/>
          </w:tcPr>
          <w:p w14:paraId="638E87F6" w14:textId="69177F40" w:rsidR="00ED2EBD" w:rsidRPr="00BD16B4" w:rsidRDefault="00ED2EBD" w:rsidP="004A205F">
            <w:pPr>
              <w:pStyle w:val="TableText"/>
              <w:spacing w:before="40"/>
              <w:rPr>
                <w:szCs w:val="18"/>
              </w:rPr>
            </w:pPr>
            <w:r w:rsidRPr="00BD16B4">
              <w:rPr>
                <w:szCs w:val="18"/>
              </w:rPr>
              <w:t>A.</w:t>
            </w:r>
            <w:r w:rsidR="00280979" w:rsidRPr="00BD16B4">
              <w:rPr>
                <w:szCs w:val="18"/>
              </w:rPr>
              <w:t xml:space="preserve"> </w:t>
            </w:r>
            <w:r w:rsidRPr="00BD16B4">
              <w:rPr>
                <w:szCs w:val="18"/>
              </w:rPr>
              <w:t>Mineral industry</w:t>
            </w:r>
          </w:p>
        </w:tc>
        <w:tc>
          <w:tcPr>
            <w:tcW w:w="964" w:type="dxa"/>
            <w:tcBorders>
              <w:top w:val="single" w:sz="4" w:space="0" w:color="1B556B" w:themeColor="text2"/>
            </w:tcBorders>
            <w:shd w:val="clear" w:color="auto" w:fill="D2DDE1" w:themeFill="background2"/>
          </w:tcPr>
          <w:p w14:paraId="6E02D769"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E0EB853"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5C2389F"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702F7F6"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7EF8E28"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C2D5CB0"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349A2B4"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AF3BA45"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33DAB9B"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3200D571" w14:textId="77777777" w:rsidTr="002A2A69">
        <w:tc>
          <w:tcPr>
            <w:tcW w:w="3397" w:type="dxa"/>
          </w:tcPr>
          <w:p w14:paraId="05C5390A" w14:textId="65F373DA" w:rsidR="00ED2EBD" w:rsidRPr="00BD16B4" w:rsidRDefault="00ED2EBD" w:rsidP="004A205F">
            <w:pPr>
              <w:pStyle w:val="TableText"/>
              <w:spacing w:before="40"/>
              <w:rPr>
                <w:szCs w:val="18"/>
              </w:rPr>
            </w:pPr>
            <w:r w:rsidRPr="00BD16B4">
              <w:rPr>
                <w:szCs w:val="18"/>
              </w:rPr>
              <w:t>B.</w:t>
            </w:r>
            <w:r w:rsidR="00280979" w:rsidRPr="00BD16B4">
              <w:rPr>
                <w:szCs w:val="18"/>
              </w:rPr>
              <w:t xml:space="preserve"> </w:t>
            </w:r>
            <w:r w:rsidRPr="00BD16B4">
              <w:rPr>
                <w:szCs w:val="18"/>
              </w:rPr>
              <w:t>Chemical industry</w:t>
            </w:r>
          </w:p>
        </w:tc>
        <w:tc>
          <w:tcPr>
            <w:tcW w:w="964" w:type="dxa"/>
            <w:tcBorders>
              <w:bottom w:val="single" w:sz="4" w:space="0" w:color="1B556B" w:themeColor="text2"/>
            </w:tcBorders>
            <w:shd w:val="clear" w:color="auto" w:fill="auto"/>
          </w:tcPr>
          <w:p w14:paraId="7A29DB11" w14:textId="77777777" w:rsidR="00ED2EBD" w:rsidRPr="00BD16B4" w:rsidRDefault="00ED2EBD" w:rsidP="004A205F">
            <w:pPr>
              <w:pStyle w:val="TableText"/>
              <w:spacing w:before="40"/>
              <w:jc w:val="right"/>
              <w:rPr>
                <w:szCs w:val="18"/>
              </w:rPr>
            </w:pPr>
            <w:r w:rsidRPr="00BD16B4">
              <w:rPr>
                <w:szCs w:val="18"/>
              </w:rPr>
              <w:t>NO, NA</w:t>
            </w:r>
          </w:p>
        </w:tc>
        <w:tc>
          <w:tcPr>
            <w:tcW w:w="964" w:type="dxa"/>
            <w:tcBorders>
              <w:bottom w:val="single" w:sz="4" w:space="0" w:color="1B556B" w:themeColor="text2"/>
            </w:tcBorders>
            <w:shd w:val="clear" w:color="auto" w:fill="auto"/>
          </w:tcPr>
          <w:p w14:paraId="32C62259" w14:textId="77777777" w:rsidR="00ED2EBD" w:rsidRPr="00BD16B4" w:rsidRDefault="00ED2EBD" w:rsidP="004A205F">
            <w:pPr>
              <w:pStyle w:val="TableText"/>
              <w:spacing w:before="40"/>
              <w:jc w:val="right"/>
              <w:rPr>
                <w:szCs w:val="18"/>
              </w:rPr>
            </w:pPr>
            <w:r w:rsidRPr="00BD16B4">
              <w:rPr>
                <w:szCs w:val="18"/>
              </w:rPr>
              <w:t>NO, NA</w:t>
            </w:r>
          </w:p>
        </w:tc>
        <w:tc>
          <w:tcPr>
            <w:tcW w:w="964" w:type="dxa"/>
            <w:tcBorders>
              <w:bottom w:val="single" w:sz="4" w:space="0" w:color="1B556B" w:themeColor="text2"/>
            </w:tcBorders>
            <w:shd w:val="clear" w:color="auto" w:fill="auto"/>
          </w:tcPr>
          <w:p w14:paraId="76207DE1" w14:textId="77777777" w:rsidR="00ED2EBD" w:rsidRPr="00BD16B4" w:rsidRDefault="00ED2EBD" w:rsidP="004A205F">
            <w:pPr>
              <w:pStyle w:val="TableText"/>
              <w:spacing w:before="40"/>
              <w:jc w:val="right"/>
              <w:rPr>
                <w:szCs w:val="18"/>
              </w:rPr>
            </w:pPr>
            <w:r w:rsidRPr="00BD16B4">
              <w:rPr>
                <w:szCs w:val="18"/>
              </w:rPr>
              <w:t>NO, NA</w:t>
            </w:r>
          </w:p>
        </w:tc>
        <w:tc>
          <w:tcPr>
            <w:tcW w:w="964" w:type="dxa"/>
            <w:tcBorders>
              <w:bottom w:val="single" w:sz="4" w:space="0" w:color="1B556B" w:themeColor="text2"/>
            </w:tcBorders>
            <w:shd w:val="clear" w:color="auto" w:fill="auto"/>
          </w:tcPr>
          <w:p w14:paraId="578A20DD" w14:textId="77777777" w:rsidR="00ED2EBD" w:rsidRPr="00BD16B4" w:rsidRDefault="00ED2EBD" w:rsidP="004A205F">
            <w:pPr>
              <w:pStyle w:val="TableText"/>
              <w:spacing w:before="40"/>
              <w:jc w:val="right"/>
              <w:rPr>
                <w:szCs w:val="18"/>
              </w:rPr>
            </w:pPr>
            <w:r w:rsidRPr="00BD16B4">
              <w:rPr>
                <w:szCs w:val="18"/>
              </w:rPr>
              <w:t>NO, NA</w:t>
            </w:r>
          </w:p>
        </w:tc>
        <w:tc>
          <w:tcPr>
            <w:tcW w:w="964" w:type="dxa"/>
            <w:tcBorders>
              <w:bottom w:val="single" w:sz="4" w:space="0" w:color="1B556B" w:themeColor="text2"/>
            </w:tcBorders>
            <w:shd w:val="clear" w:color="auto" w:fill="auto"/>
          </w:tcPr>
          <w:p w14:paraId="691BAF80" w14:textId="77777777" w:rsidR="00ED2EBD" w:rsidRPr="00BD16B4" w:rsidRDefault="00ED2EBD" w:rsidP="004A205F">
            <w:pPr>
              <w:pStyle w:val="TableText"/>
              <w:spacing w:before="40"/>
              <w:jc w:val="right"/>
              <w:rPr>
                <w:szCs w:val="18"/>
              </w:rPr>
            </w:pPr>
            <w:r w:rsidRPr="00BD16B4">
              <w:rPr>
                <w:szCs w:val="18"/>
              </w:rPr>
              <w:t>NO, NA</w:t>
            </w:r>
          </w:p>
        </w:tc>
        <w:tc>
          <w:tcPr>
            <w:tcW w:w="964" w:type="dxa"/>
            <w:tcBorders>
              <w:bottom w:val="single" w:sz="4" w:space="0" w:color="1B556B" w:themeColor="text2"/>
            </w:tcBorders>
            <w:shd w:val="clear" w:color="auto" w:fill="auto"/>
          </w:tcPr>
          <w:p w14:paraId="6628ACF2" w14:textId="77777777" w:rsidR="00ED2EBD" w:rsidRPr="00BD16B4" w:rsidRDefault="00ED2EBD" w:rsidP="004A205F">
            <w:pPr>
              <w:pStyle w:val="TableText"/>
              <w:spacing w:before="40"/>
              <w:jc w:val="right"/>
              <w:rPr>
                <w:szCs w:val="18"/>
              </w:rPr>
            </w:pPr>
            <w:r w:rsidRPr="00BD16B4">
              <w:rPr>
                <w:szCs w:val="18"/>
              </w:rPr>
              <w:t>NO, NA</w:t>
            </w:r>
          </w:p>
        </w:tc>
        <w:tc>
          <w:tcPr>
            <w:tcW w:w="964" w:type="dxa"/>
            <w:tcBorders>
              <w:bottom w:val="single" w:sz="4" w:space="0" w:color="1B556B" w:themeColor="text2"/>
            </w:tcBorders>
            <w:shd w:val="clear" w:color="auto" w:fill="auto"/>
          </w:tcPr>
          <w:p w14:paraId="417FABE3" w14:textId="77777777" w:rsidR="00ED2EBD" w:rsidRPr="00BD16B4" w:rsidRDefault="00ED2EBD" w:rsidP="004A205F">
            <w:pPr>
              <w:pStyle w:val="TableText"/>
              <w:spacing w:before="40"/>
              <w:jc w:val="right"/>
              <w:rPr>
                <w:szCs w:val="18"/>
              </w:rPr>
            </w:pPr>
            <w:r w:rsidRPr="00BD16B4">
              <w:rPr>
                <w:szCs w:val="18"/>
              </w:rPr>
              <w:t>NO, NA</w:t>
            </w:r>
          </w:p>
        </w:tc>
        <w:tc>
          <w:tcPr>
            <w:tcW w:w="964" w:type="dxa"/>
            <w:tcBorders>
              <w:bottom w:val="single" w:sz="4" w:space="0" w:color="1B556B" w:themeColor="text2"/>
            </w:tcBorders>
            <w:shd w:val="clear" w:color="auto" w:fill="auto"/>
          </w:tcPr>
          <w:p w14:paraId="59F1F37D" w14:textId="77777777" w:rsidR="00ED2EBD" w:rsidRPr="00BD16B4" w:rsidRDefault="00ED2EBD" w:rsidP="004A205F">
            <w:pPr>
              <w:pStyle w:val="TableText"/>
              <w:spacing w:before="40"/>
              <w:jc w:val="right"/>
              <w:rPr>
                <w:szCs w:val="18"/>
              </w:rPr>
            </w:pPr>
            <w:r w:rsidRPr="00BD16B4">
              <w:rPr>
                <w:szCs w:val="18"/>
              </w:rPr>
              <w:t>NO, NA</w:t>
            </w:r>
          </w:p>
        </w:tc>
        <w:tc>
          <w:tcPr>
            <w:tcW w:w="964" w:type="dxa"/>
            <w:tcBorders>
              <w:bottom w:val="single" w:sz="4" w:space="0" w:color="1B556B" w:themeColor="text2"/>
            </w:tcBorders>
            <w:shd w:val="clear" w:color="auto" w:fill="auto"/>
          </w:tcPr>
          <w:p w14:paraId="3216DBF3" w14:textId="77777777" w:rsidR="00ED2EBD" w:rsidRPr="00BD16B4" w:rsidRDefault="00ED2EBD" w:rsidP="004A205F">
            <w:pPr>
              <w:pStyle w:val="TableText"/>
              <w:spacing w:before="40"/>
              <w:jc w:val="right"/>
              <w:rPr>
                <w:szCs w:val="18"/>
              </w:rPr>
            </w:pPr>
            <w:r w:rsidRPr="00BD16B4">
              <w:rPr>
                <w:szCs w:val="18"/>
              </w:rPr>
              <w:t>NO, NA</w:t>
            </w:r>
          </w:p>
        </w:tc>
      </w:tr>
      <w:tr w:rsidR="00ED2EBD" w:rsidRPr="00BD16B4" w14:paraId="39C34986" w14:textId="77777777" w:rsidTr="002A2A69">
        <w:tc>
          <w:tcPr>
            <w:tcW w:w="3397" w:type="dxa"/>
          </w:tcPr>
          <w:p w14:paraId="6509138F" w14:textId="52B4F7AE" w:rsidR="00ED2EBD" w:rsidRPr="00BD16B4" w:rsidRDefault="00ED2EBD" w:rsidP="004A205F">
            <w:pPr>
              <w:pStyle w:val="TableText"/>
              <w:spacing w:before="40"/>
              <w:rPr>
                <w:szCs w:val="18"/>
              </w:rPr>
            </w:pPr>
            <w:r w:rsidRPr="00BD16B4">
              <w:rPr>
                <w:szCs w:val="18"/>
              </w:rPr>
              <w:t>C.</w:t>
            </w:r>
            <w:r w:rsidR="00280979" w:rsidRPr="00BD16B4">
              <w:rPr>
                <w:szCs w:val="18"/>
              </w:rPr>
              <w:t xml:space="preserve"> </w:t>
            </w:r>
            <w:r w:rsidRPr="00BD16B4">
              <w:rPr>
                <w:szCs w:val="18"/>
              </w:rPr>
              <w:t>Metal industry</w:t>
            </w:r>
          </w:p>
        </w:tc>
        <w:tc>
          <w:tcPr>
            <w:tcW w:w="964" w:type="dxa"/>
            <w:tcBorders>
              <w:top w:val="single" w:sz="4" w:space="0" w:color="1B556B" w:themeColor="text2"/>
            </w:tcBorders>
            <w:shd w:val="clear" w:color="auto" w:fill="D2DDE1" w:themeFill="background2"/>
          </w:tcPr>
          <w:p w14:paraId="2840480A"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5188179"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82BD0A1"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3EF89E1"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7894AF7"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90DB17C"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D5EAE07"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446FD11"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2672355"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7EB8A974" w14:textId="77777777" w:rsidTr="002A2A69">
        <w:tc>
          <w:tcPr>
            <w:tcW w:w="3397" w:type="dxa"/>
          </w:tcPr>
          <w:p w14:paraId="13E864C3" w14:textId="149DB7B5" w:rsidR="00ED2EBD" w:rsidRPr="00BD16B4" w:rsidRDefault="00ED2EBD" w:rsidP="004A205F">
            <w:pPr>
              <w:pStyle w:val="TableText"/>
              <w:spacing w:before="40"/>
              <w:rPr>
                <w:szCs w:val="18"/>
              </w:rPr>
            </w:pPr>
            <w:r w:rsidRPr="00BD16B4">
              <w:rPr>
                <w:szCs w:val="18"/>
              </w:rPr>
              <w:t>D.</w:t>
            </w:r>
            <w:r w:rsidR="00280979" w:rsidRPr="00BD16B4">
              <w:rPr>
                <w:szCs w:val="18"/>
              </w:rPr>
              <w:t xml:space="preserve"> </w:t>
            </w:r>
            <w:r w:rsidRPr="00BD16B4">
              <w:rPr>
                <w:szCs w:val="18"/>
              </w:rPr>
              <w:t>Non-energy products from fuels and solvent use</w:t>
            </w:r>
          </w:p>
        </w:tc>
        <w:tc>
          <w:tcPr>
            <w:tcW w:w="964" w:type="dxa"/>
            <w:tcBorders>
              <w:bottom w:val="single" w:sz="4" w:space="0" w:color="1B556B" w:themeColor="text2"/>
            </w:tcBorders>
            <w:shd w:val="clear" w:color="auto" w:fill="auto"/>
          </w:tcPr>
          <w:p w14:paraId="556E4077" w14:textId="77777777" w:rsidR="00ED2EBD" w:rsidRPr="00BD16B4" w:rsidRDefault="00ED2EBD" w:rsidP="004A205F">
            <w:pPr>
              <w:pStyle w:val="TableText"/>
              <w:spacing w:before="40"/>
              <w:jc w:val="right"/>
              <w:rPr>
                <w:szCs w:val="18"/>
              </w:rPr>
            </w:pPr>
            <w:r w:rsidRPr="00BD16B4">
              <w:rPr>
                <w:szCs w:val="18"/>
              </w:rPr>
              <w:t>NA</w:t>
            </w:r>
          </w:p>
        </w:tc>
        <w:tc>
          <w:tcPr>
            <w:tcW w:w="964" w:type="dxa"/>
            <w:tcBorders>
              <w:bottom w:val="single" w:sz="4" w:space="0" w:color="1B556B" w:themeColor="text2"/>
            </w:tcBorders>
            <w:shd w:val="clear" w:color="auto" w:fill="auto"/>
          </w:tcPr>
          <w:p w14:paraId="01ABF4D8" w14:textId="77777777" w:rsidR="00ED2EBD" w:rsidRPr="00BD16B4" w:rsidRDefault="00ED2EBD" w:rsidP="004A205F">
            <w:pPr>
              <w:pStyle w:val="TableText"/>
              <w:spacing w:before="40"/>
              <w:jc w:val="right"/>
              <w:rPr>
                <w:szCs w:val="18"/>
              </w:rPr>
            </w:pPr>
            <w:r w:rsidRPr="00BD16B4">
              <w:rPr>
                <w:szCs w:val="18"/>
              </w:rPr>
              <w:t>NA</w:t>
            </w:r>
          </w:p>
        </w:tc>
        <w:tc>
          <w:tcPr>
            <w:tcW w:w="964" w:type="dxa"/>
            <w:tcBorders>
              <w:bottom w:val="single" w:sz="4" w:space="0" w:color="1B556B" w:themeColor="text2"/>
            </w:tcBorders>
            <w:shd w:val="clear" w:color="auto" w:fill="auto"/>
          </w:tcPr>
          <w:p w14:paraId="3CDCAD41" w14:textId="77777777" w:rsidR="00ED2EBD" w:rsidRPr="00BD16B4" w:rsidRDefault="00ED2EBD" w:rsidP="004A205F">
            <w:pPr>
              <w:pStyle w:val="TableText"/>
              <w:spacing w:before="40"/>
              <w:jc w:val="right"/>
              <w:rPr>
                <w:szCs w:val="18"/>
              </w:rPr>
            </w:pPr>
            <w:r w:rsidRPr="00BD16B4">
              <w:rPr>
                <w:szCs w:val="18"/>
              </w:rPr>
              <w:t>NA</w:t>
            </w:r>
          </w:p>
        </w:tc>
        <w:tc>
          <w:tcPr>
            <w:tcW w:w="964" w:type="dxa"/>
            <w:tcBorders>
              <w:bottom w:val="single" w:sz="4" w:space="0" w:color="1B556B" w:themeColor="text2"/>
            </w:tcBorders>
            <w:shd w:val="clear" w:color="auto" w:fill="auto"/>
          </w:tcPr>
          <w:p w14:paraId="78EF6596" w14:textId="77777777" w:rsidR="00ED2EBD" w:rsidRPr="00BD16B4" w:rsidRDefault="00ED2EBD" w:rsidP="004A205F">
            <w:pPr>
              <w:pStyle w:val="TableText"/>
              <w:spacing w:before="40"/>
              <w:jc w:val="right"/>
              <w:rPr>
                <w:szCs w:val="18"/>
              </w:rPr>
            </w:pPr>
            <w:r w:rsidRPr="00BD16B4">
              <w:rPr>
                <w:szCs w:val="18"/>
              </w:rPr>
              <w:t>NA</w:t>
            </w:r>
          </w:p>
        </w:tc>
        <w:tc>
          <w:tcPr>
            <w:tcW w:w="964" w:type="dxa"/>
            <w:tcBorders>
              <w:bottom w:val="single" w:sz="4" w:space="0" w:color="1B556B" w:themeColor="text2"/>
            </w:tcBorders>
            <w:shd w:val="clear" w:color="auto" w:fill="auto"/>
          </w:tcPr>
          <w:p w14:paraId="13192D92" w14:textId="77777777" w:rsidR="00ED2EBD" w:rsidRPr="00BD16B4" w:rsidRDefault="00ED2EBD" w:rsidP="004A205F">
            <w:pPr>
              <w:pStyle w:val="TableText"/>
              <w:spacing w:before="40"/>
              <w:jc w:val="right"/>
              <w:rPr>
                <w:szCs w:val="18"/>
              </w:rPr>
            </w:pPr>
            <w:r w:rsidRPr="00BD16B4">
              <w:rPr>
                <w:szCs w:val="18"/>
              </w:rPr>
              <w:t>NA</w:t>
            </w:r>
          </w:p>
        </w:tc>
        <w:tc>
          <w:tcPr>
            <w:tcW w:w="964" w:type="dxa"/>
            <w:tcBorders>
              <w:bottom w:val="single" w:sz="4" w:space="0" w:color="1B556B" w:themeColor="text2"/>
            </w:tcBorders>
            <w:shd w:val="clear" w:color="auto" w:fill="auto"/>
          </w:tcPr>
          <w:p w14:paraId="47F5FA1A" w14:textId="77777777" w:rsidR="00ED2EBD" w:rsidRPr="00BD16B4" w:rsidRDefault="00ED2EBD" w:rsidP="004A205F">
            <w:pPr>
              <w:pStyle w:val="TableText"/>
              <w:spacing w:before="40"/>
              <w:jc w:val="right"/>
              <w:rPr>
                <w:szCs w:val="18"/>
              </w:rPr>
            </w:pPr>
            <w:r w:rsidRPr="00BD16B4">
              <w:rPr>
                <w:szCs w:val="18"/>
              </w:rPr>
              <w:t>NA</w:t>
            </w:r>
          </w:p>
        </w:tc>
        <w:tc>
          <w:tcPr>
            <w:tcW w:w="964" w:type="dxa"/>
            <w:tcBorders>
              <w:bottom w:val="single" w:sz="4" w:space="0" w:color="1B556B" w:themeColor="text2"/>
            </w:tcBorders>
            <w:shd w:val="clear" w:color="auto" w:fill="auto"/>
          </w:tcPr>
          <w:p w14:paraId="42889CE6" w14:textId="77777777" w:rsidR="00ED2EBD" w:rsidRPr="00BD16B4" w:rsidRDefault="00ED2EBD" w:rsidP="004A205F">
            <w:pPr>
              <w:pStyle w:val="TableText"/>
              <w:spacing w:before="40"/>
              <w:jc w:val="right"/>
              <w:rPr>
                <w:szCs w:val="18"/>
              </w:rPr>
            </w:pPr>
            <w:r w:rsidRPr="00BD16B4">
              <w:rPr>
                <w:szCs w:val="18"/>
              </w:rPr>
              <w:t>NA</w:t>
            </w:r>
          </w:p>
        </w:tc>
        <w:tc>
          <w:tcPr>
            <w:tcW w:w="964" w:type="dxa"/>
            <w:tcBorders>
              <w:bottom w:val="single" w:sz="4" w:space="0" w:color="1B556B" w:themeColor="text2"/>
            </w:tcBorders>
            <w:shd w:val="clear" w:color="auto" w:fill="auto"/>
          </w:tcPr>
          <w:p w14:paraId="0DF7FB26" w14:textId="77777777" w:rsidR="00ED2EBD" w:rsidRPr="00BD16B4" w:rsidRDefault="00ED2EBD" w:rsidP="004A205F">
            <w:pPr>
              <w:pStyle w:val="TableText"/>
              <w:spacing w:before="40"/>
              <w:jc w:val="right"/>
              <w:rPr>
                <w:szCs w:val="18"/>
              </w:rPr>
            </w:pPr>
            <w:r w:rsidRPr="00BD16B4">
              <w:rPr>
                <w:szCs w:val="18"/>
              </w:rPr>
              <w:t>NA</w:t>
            </w:r>
          </w:p>
        </w:tc>
        <w:tc>
          <w:tcPr>
            <w:tcW w:w="964" w:type="dxa"/>
            <w:tcBorders>
              <w:bottom w:val="single" w:sz="4" w:space="0" w:color="1B556B" w:themeColor="text2"/>
            </w:tcBorders>
            <w:shd w:val="clear" w:color="auto" w:fill="auto"/>
          </w:tcPr>
          <w:p w14:paraId="7D6AA13D" w14:textId="77777777" w:rsidR="00ED2EBD" w:rsidRPr="00BD16B4" w:rsidRDefault="00ED2EBD" w:rsidP="004A205F">
            <w:pPr>
              <w:pStyle w:val="TableText"/>
              <w:spacing w:before="40"/>
              <w:jc w:val="right"/>
              <w:rPr>
                <w:szCs w:val="18"/>
              </w:rPr>
            </w:pPr>
            <w:r w:rsidRPr="00BD16B4">
              <w:rPr>
                <w:szCs w:val="18"/>
              </w:rPr>
              <w:t>NA</w:t>
            </w:r>
          </w:p>
        </w:tc>
      </w:tr>
      <w:tr w:rsidR="00ED2EBD" w:rsidRPr="00BD16B4" w14:paraId="3340B08A" w14:textId="77777777" w:rsidTr="002A2A69">
        <w:tc>
          <w:tcPr>
            <w:tcW w:w="3397" w:type="dxa"/>
          </w:tcPr>
          <w:p w14:paraId="0D49B091" w14:textId="09A9CC4D" w:rsidR="00ED2EBD" w:rsidRPr="00BD16B4" w:rsidRDefault="00ED2EBD" w:rsidP="004A205F">
            <w:pPr>
              <w:pStyle w:val="TableText"/>
              <w:spacing w:before="40"/>
              <w:rPr>
                <w:szCs w:val="18"/>
              </w:rPr>
            </w:pPr>
            <w:r w:rsidRPr="00BD16B4">
              <w:rPr>
                <w:szCs w:val="18"/>
              </w:rPr>
              <w:t>E.</w:t>
            </w:r>
            <w:r w:rsidR="00280979" w:rsidRPr="00BD16B4">
              <w:rPr>
                <w:szCs w:val="18"/>
              </w:rPr>
              <w:t xml:space="preserve"> </w:t>
            </w:r>
            <w:r w:rsidRPr="00BD16B4">
              <w:rPr>
                <w:szCs w:val="18"/>
              </w:rPr>
              <w:t>Electronic industry</w:t>
            </w:r>
          </w:p>
        </w:tc>
        <w:tc>
          <w:tcPr>
            <w:tcW w:w="964" w:type="dxa"/>
            <w:tcBorders>
              <w:top w:val="single" w:sz="4" w:space="0" w:color="1B556B" w:themeColor="text2"/>
            </w:tcBorders>
            <w:shd w:val="clear" w:color="auto" w:fill="D2DDE1" w:themeFill="background2"/>
          </w:tcPr>
          <w:p w14:paraId="5F077407"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BFB2A14"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D8A0C92"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4110592"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C0F8549"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A7913CB"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1F91728"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BFA2D26"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7A2FFEB"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7D7AF383" w14:textId="77777777" w:rsidTr="002A2A69">
        <w:tc>
          <w:tcPr>
            <w:tcW w:w="3397" w:type="dxa"/>
          </w:tcPr>
          <w:p w14:paraId="53C173A0" w14:textId="3196F193" w:rsidR="00ED2EBD" w:rsidRPr="00BD16B4" w:rsidRDefault="00ED2EBD" w:rsidP="004A205F">
            <w:pPr>
              <w:pStyle w:val="TableText"/>
              <w:spacing w:before="40"/>
              <w:rPr>
                <w:szCs w:val="18"/>
              </w:rPr>
            </w:pPr>
            <w:r w:rsidRPr="00BD16B4">
              <w:rPr>
                <w:szCs w:val="18"/>
              </w:rPr>
              <w:t>F.</w:t>
            </w:r>
            <w:r w:rsidR="00280979" w:rsidRPr="00BD16B4">
              <w:rPr>
                <w:szCs w:val="18"/>
              </w:rPr>
              <w:t xml:space="preserve"> </w:t>
            </w:r>
            <w:r w:rsidRPr="00BD16B4">
              <w:rPr>
                <w:szCs w:val="18"/>
              </w:rPr>
              <w:t>Product uses as ODS substitutes</w:t>
            </w:r>
          </w:p>
        </w:tc>
        <w:tc>
          <w:tcPr>
            <w:tcW w:w="964" w:type="dxa"/>
            <w:tcBorders>
              <w:top w:val="single" w:sz="4" w:space="0" w:color="1B556B" w:themeColor="text2"/>
            </w:tcBorders>
            <w:shd w:val="clear" w:color="auto" w:fill="D2DDE1" w:themeFill="background2"/>
          </w:tcPr>
          <w:p w14:paraId="3F7DA4A1"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22196B8"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D9FEFB3"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BBBA495"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8A5BA06"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8DE6679"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70E182F"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2C28FF4"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D19450D"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4F2BD060" w14:textId="77777777" w:rsidTr="002A2A69">
        <w:tc>
          <w:tcPr>
            <w:tcW w:w="3397" w:type="dxa"/>
          </w:tcPr>
          <w:p w14:paraId="70DCE917" w14:textId="4F031B73" w:rsidR="00ED2EBD" w:rsidRPr="00BD16B4" w:rsidRDefault="00ED2EBD" w:rsidP="004A205F">
            <w:pPr>
              <w:pStyle w:val="TableText"/>
              <w:spacing w:before="40"/>
              <w:rPr>
                <w:szCs w:val="18"/>
              </w:rPr>
            </w:pPr>
            <w:r w:rsidRPr="00BD16B4">
              <w:rPr>
                <w:szCs w:val="18"/>
              </w:rPr>
              <w:t>G.</w:t>
            </w:r>
            <w:r w:rsidR="00280979" w:rsidRPr="00BD16B4">
              <w:rPr>
                <w:szCs w:val="18"/>
              </w:rPr>
              <w:t xml:space="preserve"> </w:t>
            </w:r>
            <w:r w:rsidRPr="00BD16B4">
              <w:rPr>
                <w:szCs w:val="18"/>
              </w:rPr>
              <w:t xml:space="preserve">Other product manufacture and use </w:t>
            </w:r>
          </w:p>
        </w:tc>
        <w:tc>
          <w:tcPr>
            <w:tcW w:w="964" w:type="dxa"/>
            <w:tcBorders>
              <w:bottom w:val="single" w:sz="4" w:space="0" w:color="1B556B" w:themeColor="text2"/>
            </w:tcBorders>
            <w:shd w:val="clear" w:color="auto" w:fill="auto"/>
          </w:tcPr>
          <w:p w14:paraId="65E704F9" w14:textId="77777777" w:rsidR="00ED2EBD" w:rsidRPr="00BD16B4" w:rsidRDefault="00ED2EBD" w:rsidP="004A205F">
            <w:pPr>
              <w:pStyle w:val="TableText"/>
              <w:spacing w:before="40"/>
              <w:jc w:val="right"/>
              <w:rPr>
                <w:szCs w:val="18"/>
              </w:rPr>
            </w:pPr>
            <w:r w:rsidRPr="00BD16B4">
              <w:rPr>
                <w:szCs w:val="18"/>
              </w:rPr>
              <w:t>0.34</w:t>
            </w:r>
          </w:p>
        </w:tc>
        <w:tc>
          <w:tcPr>
            <w:tcW w:w="964" w:type="dxa"/>
            <w:tcBorders>
              <w:bottom w:val="single" w:sz="4" w:space="0" w:color="1B556B" w:themeColor="text2"/>
            </w:tcBorders>
            <w:shd w:val="clear" w:color="auto" w:fill="auto"/>
          </w:tcPr>
          <w:p w14:paraId="6AB6BAC4" w14:textId="77777777" w:rsidR="00ED2EBD" w:rsidRPr="00BD16B4" w:rsidRDefault="00ED2EBD" w:rsidP="004A205F">
            <w:pPr>
              <w:pStyle w:val="TableText"/>
              <w:spacing w:before="40"/>
              <w:jc w:val="right"/>
              <w:rPr>
                <w:szCs w:val="18"/>
              </w:rPr>
            </w:pPr>
            <w:r w:rsidRPr="00BD16B4">
              <w:rPr>
                <w:szCs w:val="18"/>
              </w:rPr>
              <w:t>0.33</w:t>
            </w:r>
          </w:p>
        </w:tc>
        <w:tc>
          <w:tcPr>
            <w:tcW w:w="964" w:type="dxa"/>
            <w:tcBorders>
              <w:bottom w:val="single" w:sz="4" w:space="0" w:color="1B556B" w:themeColor="text2"/>
            </w:tcBorders>
            <w:shd w:val="clear" w:color="auto" w:fill="auto"/>
          </w:tcPr>
          <w:p w14:paraId="7F27EA22" w14:textId="77777777" w:rsidR="00ED2EBD" w:rsidRPr="00BD16B4" w:rsidRDefault="00ED2EBD" w:rsidP="004A205F">
            <w:pPr>
              <w:pStyle w:val="TableText"/>
              <w:spacing w:before="40"/>
              <w:jc w:val="right"/>
              <w:rPr>
                <w:szCs w:val="18"/>
              </w:rPr>
            </w:pPr>
            <w:r w:rsidRPr="00BD16B4">
              <w:rPr>
                <w:szCs w:val="18"/>
              </w:rPr>
              <w:t>0.31</w:t>
            </w:r>
          </w:p>
        </w:tc>
        <w:tc>
          <w:tcPr>
            <w:tcW w:w="964" w:type="dxa"/>
            <w:tcBorders>
              <w:bottom w:val="single" w:sz="4" w:space="0" w:color="1B556B" w:themeColor="text2"/>
            </w:tcBorders>
            <w:shd w:val="clear" w:color="auto" w:fill="auto"/>
          </w:tcPr>
          <w:p w14:paraId="394E2100" w14:textId="77777777" w:rsidR="00ED2EBD" w:rsidRPr="00BD16B4" w:rsidRDefault="00ED2EBD" w:rsidP="004A205F">
            <w:pPr>
              <w:pStyle w:val="TableText"/>
              <w:spacing w:before="40"/>
              <w:jc w:val="right"/>
              <w:rPr>
                <w:szCs w:val="18"/>
              </w:rPr>
            </w:pPr>
            <w:r w:rsidRPr="00BD16B4">
              <w:rPr>
                <w:szCs w:val="18"/>
              </w:rPr>
              <w:t>0.29</w:t>
            </w:r>
          </w:p>
        </w:tc>
        <w:tc>
          <w:tcPr>
            <w:tcW w:w="964" w:type="dxa"/>
            <w:tcBorders>
              <w:bottom w:val="single" w:sz="4" w:space="0" w:color="1B556B" w:themeColor="text2"/>
            </w:tcBorders>
            <w:shd w:val="clear" w:color="auto" w:fill="auto"/>
          </w:tcPr>
          <w:p w14:paraId="0554C037" w14:textId="77777777" w:rsidR="00ED2EBD" w:rsidRPr="00BD16B4" w:rsidRDefault="00ED2EBD" w:rsidP="004A205F">
            <w:pPr>
              <w:pStyle w:val="TableText"/>
              <w:spacing w:before="40"/>
              <w:jc w:val="right"/>
              <w:rPr>
                <w:szCs w:val="18"/>
              </w:rPr>
            </w:pPr>
            <w:r w:rsidRPr="00BD16B4">
              <w:rPr>
                <w:szCs w:val="18"/>
              </w:rPr>
              <w:t>0.28</w:t>
            </w:r>
          </w:p>
        </w:tc>
        <w:tc>
          <w:tcPr>
            <w:tcW w:w="964" w:type="dxa"/>
            <w:tcBorders>
              <w:bottom w:val="single" w:sz="4" w:space="0" w:color="1B556B" w:themeColor="text2"/>
            </w:tcBorders>
            <w:shd w:val="clear" w:color="auto" w:fill="auto"/>
          </w:tcPr>
          <w:p w14:paraId="1F5EAED6" w14:textId="77777777" w:rsidR="00ED2EBD" w:rsidRPr="00BD16B4" w:rsidRDefault="00ED2EBD" w:rsidP="004A205F">
            <w:pPr>
              <w:pStyle w:val="TableText"/>
              <w:spacing w:before="40"/>
              <w:jc w:val="right"/>
              <w:rPr>
                <w:szCs w:val="18"/>
              </w:rPr>
            </w:pPr>
            <w:r w:rsidRPr="00BD16B4">
              <w:rPr>
                <w:szCs w:val="18"/>
              </w:rPr>
              <w:t>0.27</w:t>
            </w:r>
          </w:p>
        </w:tc>
        <w:tc>
          <w:tcPr>
            <w:tcW w:w="964" w:type="dxa"/>
            <w:tcBorders>
              <w:bottom w:val="single" w:sz="4" w:space="0" w:color="1B556B" w:themeColor="text2"/>
            </w:tcBorders>
            <w:shd w:val="clear" w:color="auto" w:fill="auto"/>
          </w:tcPr>
          <w:p w14:paraId="0E660BB5" w14:textId="77777777" w:rsidR="00ED2EBD" w:rsidRPr="00BD16B4" w:rsidRDefault="00ED2EBD" w:rsidP="004A205F">
            <w:pPr>
              <w:pStyle w:val="TableText"/>
              <w:spacing w:before="40"/>
              <w:jc w:val="right"/>
              <w:rPr>
                <w:szCs w:val="18"/>
              </w:rPr>
            </w:pPr>
            <w:r w:rsidRPr="00BD16B4">
              <w:rPr>
                <w:szCs w:val="18"/>
              </w:rPr>
              <w:t>0.25</w:t>
            </w:r>
          </w:p>
        </w:tc>
        <w:tc>
          <w:tcPr>
            <w:tcW w:w="964" w:type="dxa"/>
            <w:tcBorders>
              <w:bottom w:val="single" w:sz="4" w:space="0" w:color="1B556B" w:themeColor="text2"/>
            </w:tcBorders>
            <w:shd w:val="clear" w:color="auto" w:fill="auto"/>
          </w:tcPr>
          <w:p w14:paraId="7BDBC890" w14:textId="77777777" w:rsidR="00ED2EBD" w:rsidRPr="00BD16B4" w:rsidRDefault="00ED2EBD" w:rsidP="004A205F">
            <w:pPr>
              <w:pStyle w:val="TableText"/>
              <w:spacing w:before="40"/>
              <w:jc w:val="right"/>
              <w:rPr>
                <w:szCs w:val="18"/>
              </w:rPr>
            </w:pPr>
            <w:r w:rsidRPr="00BD16B4">
              <w:rPr>
                <w:szCs w:val="18"/>
              </w:rPr>
              <w:t>0.24</w:t>
            </w:r>
          </w:p>
        </w:tc>
        <w:tc>
          <w:tcPr>
            <w:tcW w:w="964" w:type="dxa"/>
            <w:tcBorders>
              <w:bottom w:val="single" w:sz="4" w:space="0" w:color="1B556B" w:themeColor="text2"/>
            </w:tcBorders>
            <w:shd w:val="clear" w:color="auto" w:fill="auto"/>
          </w:tcPr>
          <w:p w14:paraId="39AA23CA" w14:textId="77777777" w:rsidR="00ED2EBD" w:rsidRPr="00BD16B4" w:rsidRDefault="00ED2EBD" w:rsidP="004A205F">
            <w:pPr>
              <w:pStyle w:val="TableText"/>
              <w:spacing w:before="40"/>
              <w:jc w:val="right"/>
              <w:rPr>
                <w:szCs w:val="18"/>
              </w:rPr>
            </w:pPr>
            <w:r w:rsidRPr="00BD16B4">
              <w:rPr>
                <w:szCs w:val="18"/>
              </w:rPr>
              <w:t>0.23</w:t>
            </w:r>
          </w:p>
        </w:tc>
      </w:tr>
      <w:tr w:rsidR="00ED2EBD" w:rsidRPr="00BD16B4" w14:paraId="52732DD8" w14:textId="77777777" w:rsidTr="002A2A69">
        <w:tc>
          <w:tcPr>
            <w:tcW w:w="3397" w:type="dxa"/>
          </w:tcPr>
          <w:p w14:paraId="5EE5E477" w14:textId="6707E220" w:rsidR="00ED2EBD" w:rsidRPr="00BD16B4" w:rsidRDefault="00ED2EBD" w:rsidP="004A205F">
            <w:pPr>
              <w:pStyle w:val="TableText"/>
              <w:spacing w:before="40"/>
              <w:rPr>
                <w:szCs w:val="18"/>
              </w:rPr>
            </w:pPr>
            <w:r w:rsidRPr="00BD16B4">
              <w:rPr>
                <w:szCs w:val="18"/>
              </w:rPr>
              <w:lastRenderedPageBreak/>
              <w:t>H.</w:t>
            </w:r>
            <w:r w:rsidR="00280979" w:rsidRPr="00BD16B4">
              <w:rPr>
                <w:szCs w:val="18"/>
              </w:rPr>
              <w:t xml:space="preserve"> </w:t>
            </w:r>
            <w:r w:rsidRPr="00BD16B4">
              <w:rPr>
                <w:szCs w:val="18"/>
              </w:rPr>
              <w:t xml:space="preserve">Other </w:t>
            </w:r>
          </w:p>
        </w:tc>
        <w:tc>
          <w:tcPr>
            <w:tcW w:w="964" w:type="dxa"/>
            <w:tcBorders>
              <w:top w:val="single" w:sz="4" w:space="0" w:color="1B556B" w:themeColor="text2"/>
            </w:tcBorders>
            <w:shd w:val="clear" w:color="auto" w:fill="D2DDE1" w:themeFill="background2"/>
          </w:tcPr>
          <w:p w14:paraId="347A9128"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D1F82E5"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CED8374"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ED8C112"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C73B7C4"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E5DA714"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9DF920B"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0F2796E"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12924BC"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5E45D8CC" w14:textId="77777777" w:rsidTr="002A2A69">
        <w:tc>
          <w:tcPr>
            <w:tcW w:w="3397" w:type="dxa"/>
          </w:tcPr>
          <w:p w14:paraId="27B28BEA" w14:textId="69542D3F" w:rsidR="00ED2EBD" w:rsidRPr="00BD16B4" w:rsidRDefault="00ED2EBD" w:rsidP="004A205F">
            <w:pPr>
              <w:pStyle w:val="TableText"/>
              <w:spacing w:before="40"/>
              <w:rPr>
                <w:szCs w:val="18"/>
              </w:rPr>
            </w:pPr>
            <w:r w:rsidRPr="00BD16B4">
              <w:rPr>
                <w:b/>
                <w:bCs/>
                <w:szCs w:val="18"/>
              </w:rPr>
              <w:t>3.</w:t>
            </w:r>
            <w:r w:rsidR="00280979" w:rsidRPr="00BD16B4">
              <w:rPr>
                <w:b/>
                <w:bCs/>
                <w:szCs w:val="18"/>
              </w:rPr>
              <w:t xml:space="preserve"> </w:t>
            </w:r>
            <w:r w:rsidRPr="00BD16B4">
              <w:rPr>
                <w:b/>
                <w:bCs/>
                <w:szCs w:val="18"/>
              </w:rPr>
              <w:t>Agriculture</w:t>
            </w:r>
          </w:p>
        </w:tc>
        <w:tc>
          <w:tcPr>
            <w:tcW w:w="964" w:type="dxa"/>
            <w:tcBorders>
              <w:bottom w:val="single" w:sz="4" w:space="0" w:color="1B556B" w:themeColor="text2"/>
            </w:tcBorders>
            <w:shd w:val="clear" w:color="auto" w:fill="auto"/>
          </w:tcPr>
          <w:p w14:paraId="07AE5EB0" w14:textId="77777777" w:rsidR="00ED2EBD" w:rsidRPr="00BD16B4" w:rsidRDefault="00ED2EBD" w:rsidP="004A205F">
            <w:pPr>
              <w:pStyle w:val="TableText"/>
              <w:spacing w:before="40"/>
              <w:jc w:val="right"/>
              <w:rPr>
                <w:szCs w:val="18"/>
              </w:rPr>
            </w:pPr>
            <w:r w:rsidRPr="00BD16B4">
              <w:rPr>
                <w:szCs w:val="18"/>
              </w:rPr>
              <w:t>17.97</w:t>
            </w:r>
          </w:p>
        </w:tc>
        <w:tc>
          <w:tcPr>
            <w:tcW w:w="964" w:type="dxa"/>
            <w:tcBorders>
              <w:bottom w:val="single" w:sz="4" w:space="0" w:color="1B556B" w:themeColor="text2"/>
            </w:tcBorders>
            <w:shd w:val="clear" w:color="auto" w:fill="auto"/>
          </w:tcPr>
          <w:p w14:paraId="47732EC6" w14:textId="77777777" w:rsidR="00ED2EBD" w:rsidRPr="00BD16B4" w:rsidRDefault="00ED2EBD" w:rsidP="004A205F">
            <w:pPr>
              <w:pStyle w:val="TableText"/>
              <w:spacing w:before="40"/>
              <w:jc w:val="right"/>
              <w:rPr>
                <w:szCs w:val="18"/>
              </w:rPr>
            </w:pPr>
            <w:r w:rsidRPr="00BD16B4">
              <w:rPr>
                <w:szCs w:val="18"/>
              </w:rPr>
              <w:t>18.21</w:t>
            </w:r>
          </w:p>
        </w:tc>
        <w:tc>
          <w:tcPr>
            <w:tcW w:w="964" w:type="dxa"/>
            <w:tcBorders>
              <w:bottom w:val="single" w:sz="4" w:space="0" w:color="1B556B" w:themeColor="text2"/>
            </w:tcBorders>
            <w:shd w:val="clear" w:color="auto" w:fill="auto"/>
          </w:tcPr>
          <w:p w14:paraId="28D63B8C" w14:textId="77777777" w:rsidR="00ED2EBD" w:rsidRPr="00BD16B4" w:rsidRDefault="00ED2EBD" w:rsidP="004A205F">
            <w:pPr>
              <w:pStyle w:val="TableText"/>
              <w:spacing w:before="40"/>
              <w:jc w:val="right"/>
              <w:rPr>
                <w:szCs w:val="18"/>
              </w:rPr>
            </w:pPr>
            <w:r w:rsidRPr="00BD16B4">
              <w:rPr>
                <w:szCs w:val="18"/>
              </w:rPr>
              <w:t>18.26</w:t>
            </w:r>
          </w:p>
        </w:tc>
        <w:tc>
          <w:tcPr>
            <w:tcW w:w="964" w:type="dxa"/>
            <w:tcBorders>
              <w:bottom w:val="single" w:sz="4" w:space="0" w:color="1B556B" w:themeColor="text2"/>
            </w:tcBorders>
            <w:shd w:val="clear" w:color="auto" w:fill="auto"/>
          </w:tcPr>
          <w:p w14:paraId="3DB726A0" w14:textId="77777777" w:rsidR="00ED2EBD" w:rsidRPr="00BD16B4" w:rsidRDefault="00ED2EBD" w:rsidP="004A205F">
            <w:pPr>
              <w:pStyle w:val="TableText"/>
              <w:spacing w:before="40"/>
              <w:jc w:val="right"/>
              <w:rPr>
                <w:szCs w:val="18"/>
              </w:rPr>
            </w:pPr>
            <w:r w:rsidRPr="00BD16B4">
              <w:rPr>
                <w:szCs w:val="18"/>
              </w:rPr>
              <w:t>18.99</w:t>
            </w:r>
          </w:p>
        </w:tc>
        <w:tc>
          <w:tcPr>
            <w:tcW w:w="964" w:type="dxa"/>
            <w:tcBorders>
              <w:bottom w:val="single" w:sz="4" w:space="0" w:color="1B556B" w:themeColor="text2"/>
            </w:tcBorders>
            <w:shd w:val="clear" w:color="auto" w:fill="auto"/>
          </w:tcPr>
          <w:p w14:paraId="3651ADE1" w14:textId="77777777" w:rsidR="00ED2EBD" w:rsidRPr="00BD16B4" w:rsidRDefault="00ED2EBD" w:rsidP="004A205F">
            <w:pPr>
              <w:pStyle w:val="TableText"/>
              <w:spacing w:before="40"/>
              <w:jc w:val="right"/>
              <w:rPr>
                <w:szCs w:val="18"/>
              </w:rPr>
            </w:pPr>
            <w:r w:rsidRPr="00BD16B4">
              <w:rPr>
                <w:szCs w:val="18"/>
              </w:rPr>
              <w:t>19.72</w:t>
            </w:r>
          </w:p>
        </w:tc>
        <w:tc>
          <w:tcPr>
            <w:tcW w:w="964" w:type="dxa"/>
            <w:tcBorders>
              <w:bottom w:val="single" w:sz="4" w:space="0" w:color="1B556B" w:themeColor="text2"/>
            </w:tcBorders>
            <w:shd w:val="clear" w:color="auto" w:fill="auto"/>
          </w:tcPr>
          <w:p w14:paraId="76885DD6" w14:textId="77777777" w:rsidR="00ED2EBD" w:rsidRPr="00BD16B4" w:rsidRDefault="00ED2EBD" w:rsidP="004A205F">
            <w:pPr>
              <w:pStyle w:val="TableText"/>
              <w:spacing w:before="40"/>
              <w:jc w:val="right"/>
              <w:rPr>
                <w:szCs w:val="18"/>
              </w:rPr>
            </w:pPr>
            <w:r w:rsidRPr="00BD16B4">
              <w:rPr>
                <w:szCs w:val="18"/>
              </w:rPr>
              <w:t>20.49</w:t>
            </w:r>
          </w:p>
        </w:tc>
        <w:tc>
          <w:tcPr>
            <w:tcW w:w="964" w:type="dxa"/>
            <w:tcBorders>
              <w:bottom w:val="single" w:sz="4" w:space="0" w:color="1B556B" w:themeColor="text2"/>
            </w:tcBorders>
            <w:shd w:val="clear" w:color="auto" w:fill="auto"/>
          </w:tcPr>
          <w:p w14:paraId="6884D76C" w14:textId="77777777" w:rsidR="00ED2EBD" w:rsidRPr="00BD16B4" w:rsidRDefault="00ED2EBD" w:rsidP="004A205F">
            <w:pPr>
              <w:pStyle w:val="TableText"/>
              <w:spacing w:before="40"/>
              <w:jc w:val="right"/>
              <w:rPr>
                <w:szCs w:val="18"/>
              </w:rPr>
            </w:pPr>
            <w:r w:rsidRPr="00BD16B4">
              <w:rPr>
                <w:szCs w:val="18"/>
              </w:rPr>
              <w:t>20.77</w:t>
            </w:r>
          </w:p>
        </w:tc>
        <w:tc>
          <w:tcPr>
            <w:tcW w:w="964" w:type="dxa"/>
            <w:tcBorders>
              <w:bottom w:val="single" w:sz="4" w:space="0" w:color="1B556B" w:themeColor="text2"/>
            </w:tcBorders>
            <w:shd w:val="clear" w:color="auto" w:fill="auto"/>
          </w:tcPr>
          <w:p w14:paraId="4B492DAA" w14:textId="77777777" w:rsidR="00ED2EBD" w:rsidRPr="00BD16B4" w:rsidRDefault="00ED2EBD" w:rsidP="004A205F">
            <w:pPr>
              <w:pStyle w:val="TableText"/>
              <w:spacing w:before="40"/>
              <w:jc w:val="right"/>
              <w:rPr>
                <w:szCs w:val="18"/>
              </w:rPr>
            </w:pPr>
            <w:r w:rsidRPr="00BD16B4">
              <w:rPr>
                <w:szCs w:val="18"/>
              </w:rPr>
              <w:t>21.03</w:t>
            </w:r>
          </w:p>
        </w:tc>
        <w:tc>
          <w:tcPr>
            <w:tcW w:w="964" w:type="dxa"/>
            <w:tcBorders>
              <w:bottom w:val="single" w:sz="4" w:space="0" w:color="1B556B" w:themeColor="text2"/>
            </w:tcBorders>
            <w:shd w:val="clear" w:color="auto" w:fill="auto"/>
          </w:tcPr>
          <w:p w14:paraId="5169AE05" w14:textId="77777777" w:rsidR="00ED2EBD" w:rsidRPr="00BD16B4" w:rsidRDefault="00ED2EBD" w:rsidP="004A205F">
            <w:pPr>
              <w:pStyle w:val="TableText"/>
              <w:spacing w:before="40"/>
              <w:jc w:val="right"/>
              <w:rPr>
                <w:szCs w:val="18"/>
              </w:rPr>
            </w:pPr>
            <w:r w:rsidRPr="00BD16B4">
              <w:rPr>
                <w:szCs w:val="18"/>
              </w:rPr>
              <w:t>20.81</w:t>
            </w:r>
          </w:p>
        </w:tc>
      </w:tr>
      <w:tr w:rsidR="00ED2EBD" w:rsidRPr="00BD16B4" w14:paraId="05680F58" w14:textId="77777777" w:rsidTr="002A2A69">
        <w:tc>
          <w:tcPr>
            <w:tcW w:w="3397" w:type="dxa"/>
          </w:tcPr>
          <w:p w14:paraId="389AE1ED" w14:textId="300BE006" w:rsidR="00ED2EBD" w:rsidRPr="00BD16B4" w:rsidRDefault="00ED2EBD" w:rsidP="004A205F">
            <w:pPr>
              <w:pStyle w:val="TableText"/>
              <w:spacing w:before="40"/>
              <w:rPr>
                <w:szCs w:val="18"/>
              </w:rPr>
            </w:pPr>
            <w:r w:rsidRPr="00BD16B4">
              <w:rPr>
                <w:szCs w:val="18"/>
              </w:rPr>
              <w:t>A.</w:t>
            </w:r>
            <w:r w:rsidR="00280979" w:rsidRPr="00BD16B4">
              <w:rPr>
                <w:szCs w:val="18"/>
              </w:rPr>
              <w:t xml:space="preserve"> </w:t>
            </w:r>
            <w:r w:rsidRPr="00BD16B4">
              <w:rPr>
                <w:szCs w:val="18"/>
              </w:rPr>
              <w:t>Enteric fermentation</w:t>
            </w:r>
          </w:p>
        </w:tc>
        <w:tc>
          <w:tcPr>
            <w:tcW w:w="964" w:type="dxa"/>
            <w:tcBorders>
              <w:top w:val="single" w:sz="4" w:space="0" w:color="1B556B" w:themeColor="text2"/>
            </w:tcBorders>
            <w:shd w:val="clear" w:color="auto" w:fill="D2DDE1" w:themeFill="background2"/>
          </w:tcPr>
          <w:p w14:paraId="28DA1671"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19BC29E"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F8611DF"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568761F"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3886280"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23776CF"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4D5A06A"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277EBB5"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D9A597E"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702A6AA5" w14:textId="77777777" w:rsidTr="002A2A69">
        <w:tc>
          <w:tcPr>
            <w:tcW w:w="3397" w:type="dxa"/>
          </w:tcPr>
          <w:p w14:paraId="04214AE9" w14:textId="14D52D4C" w:rsidR="00ED2EBD" w:rsidRPr="00BD16B4" w:rsidRDefault="00ED2EBD" w:rsidP="004A205F">
            <w:pPr>
              <w:pStyle w:val="TableText"/>
              <w:spacing w:before="40"/>
              <w:rPr>
                <w:szCs w:val="18"/>
              </w:rPr>
            </w:pPr>
            <w:r w:rsidRPr="00BD16B4">
              <w:rPr>
                <w:szCs w:val="18"/>
              </w:rPr>
              <w:t>B.</w:t>
            </w:r>
            <w:r w:rsidR="00280979" w:rsidRPr="00BD16B4">
              <w:rPr>
                <w:szCs w:val="18"/>
              </w:rPr>
              <w:t xml:space="preserve"> </w:t>
            </w:r>
            <w:r w:rsidRPr="00BD16B4">
              <w:rPr>
                <w:szCs w:val="18"/>
              </w:rPr>
              <w:t>Manure management</w:t>
            </w:r>
          </w:p>
        </w:tc>
        <w:tc>
          <w:tcPr>
            <w:tcW w:w="964" w:type="dxa"/>
            <w:tcBorders>
              <w:bottom w:val="single" w:sz="4" w:space="0" w:color="1B556B" w:themeColor="text2"/>
            </w:tcBorders>
            <w:shd w:val="clear" w:color="auto" w:fill="auto"/>
          </w:tcPr>
          <w:p w14:paraId="0C437901" w14:textId="77777777" w:rsidR="00ED2EBD" w:rsidRPr="00BD16B4" w:rsidRDefault="00ED2EBD" w:rsidP="004A205F">
            <w:pPr>
              <w:pStyle w:val="TableText"/>
              <w:spacing w:before="40"/>
              <w:jc w:val="right"/>
              <w:rPr>
                <w:szCs w:val="18"/>
              </w:rPr>
            </w:pPr>
            <w:r w:rsidRPr="00BD16B4">
              <w:rPr>
                <w:szCs w:val="18"/>
              </w:rPr>
              <w:t>0.17</w:t>
            </w:r>
          </w:p>
        </w:tc>
        <w:tc>
          <w:tcPr>
            <w:tcW w:w="964" w:type="dxa"/>
            <w:tcBorders>
              <w:bottom w:val="single" w:sz="4" w:space="0" w:color="1B556B" w:themeColor="text2"/>
            </w:tcBorders>
            <w:shd w:val="clear" w:color="auto" w:fill="auto"/>
          </w:tcPr>
          <w:p w14:paraId="1385E339" w14:textId="77777777" w:rsidR="00ED2EBD" w:rsidRPr="00BD16B4" w:rsidRDefault="00ED2EBD" w:rsidP="004A205F">
            <w:pPr>
              <w:pStyle w:val="TableText"/>
              <w:spacing w:before="40"/>
              <w:jc w:val="right"/>
              <w:rPr>
                <w:szCs w:val="18"/>
              </w:rPr>
            </w:pPr>
            <w:r w:rsidRPr="00BD16B4">
              <w:rPr>
                <w:szCs w:val="18"/>
              </w:rPr>
              <w:t>0.18</w:t>
            </w:r>
          </w:p>
        </w:tc>
        <w:tc>
          <w:tcPr>
            <w:tcW w:w="964" w:type="dxa"/>
            <w:tcBorders>
              <w:bottom w:val="single" w:sz="4" w:space="0" w:color="1B556B" w:themeColor="text2"/>
            </w:tcBorders>
            <w:shd w:val="clear" w:color="auto" w:fill="auto"/>
          </w:tcPr>
          <w:p w14:paraId="126ABC9B" w14:textId="77777777" w:rsidR="00ED2EBD" w:rsidRPr="00BD16B4" w:rsidRDefault="00ED2EBD" w:rsidP="004A205F">
            <w:pPr>
              <w:pStyle w:val="TableText"/>
              <w:spacing w:before="40"/>
              <w:jc w:val="right"/>
              <w:rPr>
                <w:szCs w:val="18"/>
              </w:rPr>
            </w:pPr>
            <w:r w:rsidRPr="00BD16B4">
              <w:rPr>
                <w:szCs w:val="18"/>
              </w:rPr>
              <w:t>0.18</w:t>
            </w:r>
          </w:p>
        </w:tc>
        <w:tc>
          <w:tcPr>
            <w:tcW w:w="964" w:type="dxa"/>
            <w:tcBorders>
              <w:bottom w:val="single" w:sz="4" w:space="0" w:color="1B556B" w:themeColor="text2"/>
            </w:tcBorders>
            <w:shd w:val="clear" w:color="auto" w:fill="auto"/>
          </w:tcPr>
          <w:p w14:paraId="23D230F2" w14:textId="77777777" w:rsidR="00ED2EBD" w:rsidRPr="00BD16B4" w:rsidRDefault="00ED2EBD" w:rsidP="004A205F">
            <w:pPr>
              <w:pStyle w:val="TableText"/>
              <w:spacing w:before="40"/>
              <w:jc w:val="right"/>
              <w:rPr>
                <w:szCs w:val="18"/>
              </w:rPr>
            </w:pPr>
            <w:r w:rsidRPr="00BD16B4">
              <w:rPr>
                <w:szCs w:val="18"/>
              </w:rPr>
              <w:t>0.18</w:t>
            </w:r>
          </w:p>
        </w:tc>
        <w:tc>
          <w:tcPr>
            <w:tcW w:w="964" w:type="dxa"/>
            <w:tcBorders>
              <w:bottom w:val="single" w:sz="4" w:space="0" w:color="1B556B" w:themeColor="text2"/>
            </w:tcBorders>
            <w:shd w:val="clear" w:color="auto" w:fill="auto"/>
          </w:tcPr>
          <w:p w14:paraId="51AC74F3" w14:textId="77777777" w:rsidR="00ED2EBD" w:rsidRPr="00BD16B4" w:rsidRDefault="00ED2EBD" w:rsidP="004A205F">
            <w:pPr>
              <w:pStyle w:val="TableText"/>
              <w:spacing w:before="40"/>
              <w:jc w:val="right"/>
              <w:rPr>
                <w:szCs w:val="18"/>
              </w:rPr>
            </w:pPr>
            <w:r w:rsidRPr="00BD16B4">
              <w:rPr>
                <w:szCs w:val="18"/>
              </w:rPr>
              <w:t>0.19</w:t>
            </w:r>
          </w:p>
        </w:tc>
        <w:tc>
          <w:tcPr>
            <w:tcW w:w="964" w:type="dxa"/>
            <w:tcBorders>
              <w:bottom w:val="single" w:sz="4" w:space="0" w:color="1B556B" w:themeColor="text2"/>
            </w:tcBorders>
            <w:shd w:val="clear" w:color="auto" w:fill="auto"/>
          </w:tcPr>
          <w:p w14:paraId="600F8197" w14:textId="77777777" w:rsidR="00ED2EBD" w:rsidRPr="00BD16B4" w:rsidRDefault="00ED2EBD" w:rsidP="004A205F">
            <w:pPr>
              <w:pStyle w:val="TableText"/>
              <w:spacing w:before="40"/>
              <w:jc w:val="right"/>
              <w:rPr>
                <w:szCs w:val="18"/>
              </w:rPr>
            </w:pPr>
            <w:r w:rsidRPr="00BD16B4">
              <w:rPr>
                <w:szCs w:val="18"/>
              </w:rPr>
              <w:t>0.20</w:t>
            </w:r>
          </w:p>
        </w:tc>
        <w:tc>
          <w:tcPr>
            <w:tcW w:w="964" w:type="dxa"/>
            <w:tcBorders>
              <w:bottom w:val="single" w:sz="4" w:space="0" w:color="1B556B" w:themeColor="text2"/>
            </w:tcBorders>
            <w:shd w:val="clear" w:color="auto" w:fill="auto"/>
          </w:tcPr>
          <w:p w14:paraId="4DEB6C99" w14:textId="77777777" w:rsidR="00ED2EBD" w:rsidRPr="00BD16B4" w:rsidRDefault="00ED2EBD" w:rsidP="004A205F">
            <w:pPr>
              <w:pStyle w:val="TableText"/>
              <w:spacing w:before="40"/>
              <w:jc w:val="right"/>
              <w:rPr>
                <w:szCs w:val="18"/>
              </w:rPr>
            </w:pPr>
            <w:r w:rsidRPr="00BD16B4">
              <w:rPr>
                <w:szCs w:val="18"/>
              </w:rPr>
              <w:t>0.21</w:t>
            </w:r>
          </w:p>
        </w:tc>
        <w:tc>
          <w:tcPr>
            <w:tcW w:w="964" w:type="dxa"/>
            <w:tcBorders>
              <w:bottom w:val="single" w:sz="4" w:space="0" w:color="1B556B" w:themeColor="text2"/>
            </w:tcBorders>
            <w:shd w:val="clear" w:color="auto" w:fill="auto"/>
          </w:tcPr>
          <w:p w14:paraId="5BB21541" w14:textId="77777777" w:rsidR="00ED2EBD" w:rsidRPr="00BD16B4" w:rsidRDefault="00ED2EBD" w:rsidP="004A205F">
            <w:pPr>
              <w:pStyle w:val="TableText"/>
              <w:spacing w:before="40"/>
              <w:jc w:val="right"/>
              <w:rPr>
                <w:szCs w:val="18"/>
              </w:rPr>
            </w:pPr>
            <w:r w:rsidRPr="00BD16B4">
              <w:rPr>
                <w:szCs w:val="18"/>
              </w:rPr>
              <w:t>0.22</w:t>
            </w:r>
          </w:p>
        </w:tc>
        <w:tc>
          <w:tcPr>
            <w:tcW w:w="964" w:type="dxa"/>
            <w:tcBorders>
              <w:bottom w:val="single" w:sz="4" w:space="0" w:color="1B556B" w:themeColor="text2"/>
            </w:tcBorders>
            <w:shd w:val="clear" w:color="auto" w:fill="auto"/>
          </w:tcPr>
          <w:p w14:paraId="59E63920" w14:textId="77777777" w:rsidR="00ED2EBD" w:rsidRPr="00BD16B4" w:rsidRDefault="00ED2EBD" w:rsidP="004A205F">
            <w:pPr>
              <w:pStyle w:val="TableText"/>
              <w:spacing w:before="40"/>
              <w:jc w:val="right"/>
              <w:rPr>
                <w:szCs w:val="18"/>
              </w:rPr>
            </w:pPr>
            <w:r w:rsidRPr="00BD16B4">
              <w:rPr>
                <w:szCs w:val="18"/>
              </w:rPr>
              <w:t>0.22</w:t>
            </w:r>
          </w:p>
        </w:tc>
      </w:tr>
      <w:tr w:rsidR="00ED2EBD" w:rsidRPr="00BD16B4" w14:paraId="28118108" w14:textId="77777777" w:rsidTr="002A2A69">
        <w:tc>
          <w:tcPr>
            <w:tcW w:w="3397" w:type="dxa"/>
          </w:tcPr>
          <w:p w14:paraId="264A3CF8" w14:textId="574F681A" w:rsidR="00ED2EBD" w:rsidRPr="00BD16B4" w:rsidRDefault="00ED2EBD" w:rsidP="004A205F">
            <w:pPr>
              <w:pStyle w:val="TableText"/>
              <w:spacing w:before="40"/>
              <w:rPr>
                <w:szCs w:val="18"/>
              </w:rPr>
            </w:pPr>
            <w:r w:rsidRPr="00BD16B4">
              <w:rPr>
                <w:szCs w:val="18"/>
              </w:rPr>
              <w:t>C.</w:t>
            </w:r>
            <w:r w:rsidR="00280979" w:rsidRPr="00BD16B4">
              <w:rPr>
                <w:szCs w:val="18"/>
              </w:rPr>
              <w:t xml:space="preserve"> </w:t>
            </w:r>
            <w:r w:rsidRPr="00BD16B4">
              <w:rPr>
                <w:szCs w:val="18"/>
              </w:rPr>
              <w:t>Rice cultivation</w:t>
            </w:r>
          </w:p>
        </w:tc>
        <w:tc>
          <w:tcPr>
            <w:tcW w:w="964" w:type="dxa"/>
            <w:tcBorders>
              <w:top w:val="single" w:sz="4" w:space="0" w:color="1B556B" w:themeColor="text2"/>
            </w:tcBorders>
            <w:shd w:val="clear" w:color="auto" w:fill="D2DDE1" w:themeFill="background2"/>
          </w:tcPr>
          <w:p w14:paraId="0911C7D8"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A2C6378"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3F09655"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FC42D5F"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40D5DF8"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FDABF5F"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5EC75E8"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B740951"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D963F92"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421D9C98" w14:textId="77777777" w:rsidTr="002A2A69">
        <w:tc>
          <w:tcPr>
            <w:tcW w:w="3397" w:type="dxa"/>
          </w:tcPr>
          <w:p w14:paraId="428FE433" w14:textId="33C714C0" w:rsidR="00ED2EBD" w:rsidRPr="00BD16B4" w:rsidRDefault="00ED2EBD" w:rsidP="004A205F">
            <w:pPr>
              <w:pStyle w:val="TableText"/>
              <w:spacing w:before="40"/>
              <w:rPr>
                <w:szCs w:val="18"/>
              </w:rPr>
            </w:pPr>
            <w:r w:rsidRPr="00BD16B4">
              <w:rPr>
                <w:szCs w:val="18"/>
              </w:rPr>
              <w:t>D.</w:t>
            </w:r>
            <w:r w:rsidR="00280979" w:rsidRPr="00BD16B4">
              <w:rPr>
                <w:szCs w:val="18"/>
              </w:rPr>
              <w:t xml:space="preserve"> </w:t>
            </w:r>
            <w:r w:rsidRPr="00BD16B4">
              <w:rPr>
                <w:szCs w:val="18"/>
              </w:rPr>
              <w:t>Agricultural soils</w:t>
            </w:r>
          </w:p>
        </w:tc>
        <w:tc>
          <w:tcPr>
            <w:tcW w:w="964" w:type="dxa"/>
            <w:shd w:val="clear" w:color="auto" w:fill="auto"/>
          </w:tcPr>
          <w:p w14:paraId="25325FA1" w14:textId="77777777" w:rsidR="00ED2EBD" w:rsidRPr="00BD16B4" w:rsidRDefault="00ED2EBD" w:rsidP="004A205F">
            <w:pPr>
              <w:pStyle w:val="TableText"/>
              <w:spacing w:before="40"/>
              <w:jc w:val="right"/>
              <w:rPr>
                <w:szCs w:val="18"/>
              </w:rPr>
            </w:pPr>
            <w:r w:rsidRPr="00BD16B4">
              <w:rPr>
                <w:szCs w:val="18"/>
              </w:rPr>
              <w:t>17.79</w:t>
            </w:r>
          </w:p>
        </w:tc>
        <w:tc>
          <w:tcPr>
            <w:tcW w:w="964" w:type="dxa"/>
            <w:shd w:val="clear" w:color="auto" w:fill="auto"/>
          </w:tcPr>
          <w:p w14:paraId="188B7AEF" w14:textId="77777777" w:rsidR="00ED2EBD" w:rsidRPr="00BD16B4" w:rsidRDefault="00ED2EBD" w:rsidP="004A205F">
            <w:pPr>
              <w:pStyle w:val="TableText"/>
              <w:spacing w:before="40"/>
              <w:jc w:val="right"/>
              <w:rPr>
                <w:szCs w:val="18"/>
              </w:rPr>
            </w:pPr>
            <w:r w:rsidRPr="00BD16B4">
              <w:rPr>
                <w:szCs w:val="18"/>
              </w:rPr>
              <w:t>18.02</w:t>
            </w:r>
          </w:p>
        </w:tc>
        <w:tc>
          <w:tcPr>
            <w:tcW w:w="964" w:type="dxa"/>
            <w:shd w:val="clear" w:color="auto" w:fill="auto"/>
          </w:tcPr>
          <w:p w14:paraId="39F7D554" w14:textId="77777777" w:rsidR="00ED2EBD" w:rsidRPr="00BD16B4" w:rsidRDefault="00ED2EBD" w:rsidP="004A205F">
            <w:pPr>
              <w:pStyle w:val="TableText"/>
              <w:spacing w:before="40"/>
              <w:jc w:val="right"/>
              <w:rPr>
                <w:szCs w:val="18"/>
              </w:rPr>
            </w:pPr>
            <w:r w:rsidRPr="00BD16B4">
              <w:rPr>
                <w:szCs w:val="18"/>
              </w:rPr>
              <w:t>18.06</w:t>
            </w:r>
          </w:p>
        </w:tc>
        <w:tc>
          <w:tcPr>
            <w:tcW w:w="964" w:type="dxa"/>
            <w:shd w:val="clear" w:color="auto" w:fill="auto"/>
          </w:tcPr>
          <w:p w14:paraId="73BFBB53" w14:textId="77777777" w:rsidR="00ED2EBD" w:rsidRPr="00BD16B4" w:rsidRDefault="00ED2EBD" w:rsidP="004A205F">
            <w:pPr>
              <w:pStyle w:val="TableText"/>
              <w:spacing w:before="40"/>
              <w:jc w:val="right"/>
              <w:rPr>
                <w:szCs w:val="18"/>
              </w:rPr>
            </w:pPr>
            <w:r w:rsidRPr="00BD16B4">
              <w:rPr>
                <w:szCs w:val="18"/>
              </w:rPr>
              <w:t>18.79</w:t>
            </w:r>
          </w:p>
        </w:tc>
        <w:tc>
          <w:tcPr>
            <w:tcW w:w="964" w:type="dxa"/>
            <w:shd w:val="clear" w:color="auto" w:fill="auto"/>
          </w:tcPr>
          <w:p w14:paraId="1D8247C1" w14:textId="77777777" w:rsidR="00ED2EBD" w:rsidRPr="00BD16B4" w:rsidRDefault="00ED2EBD" w:rsidP="004A205F">
            <w:pPr>
              <w:pStyle w:val="TableText"/>
              <w:spacing w:before="40"/>
              <w:jc w:val="right"/>
              <w:rPr>
                <w:szCs w:val="18"/>
              </w:rPr>
            </w:pPr>
            <w:r w:rsidRPr="00BD16B4">
              <w:rPr>
                <w:szCs w:val="18"/>
              </w:rPr>
              <w:t>19.51</w:t>
            </w:r>
          </w:p>
        </w:tc>
        <w:tc>
          <w:tcPr>
            <w:tcW w:w="964" w:type="dxa"/>
            <w:shd w:val="clear" w:color="auto" w:fill="auto"/>
          </w:tcPr>
          <w:p w14:paraId="2A078078" w14:textId="77777777" w:rsidR="00ED2EBD" w:rsidRPr="00BD16B4" w:rsidRDefault="00ED2EBD" w:rsidP="004A205F">
            <w:pPr>
              <w:pStyle w:val="TableText"/>
              <w:spacing w:before="40"/>
              <w:jc w:val="right"/>
              <w:rPr>
                <w:szCs w:val="18"/>
              </w:rPr>
            </w:pPr>
            <w:r w:rsidRPr="00BD16B4">
              <w:rPr>
                <w:szCs w:val="18"/>
              </w:rPr>
              <w:t>20.28</w:t>
            </w:r>
          </w:p>
        </w:tc>
        <w:tc>
          <w:tcPr>
            <w:tcW w:w="964" w:type="dxa"/>
            <w:shd w:val="clear" w:color="auto" w:fill="auto"/>
          </w:tcPr>
          <w:p w14:paraId="7CD84EC3" w14:textId="77777777" w:rsidR="00ED2EBD" w:rsidRPr="00BD16B4" w:rsidRDefault="00ED2EBD" w:rsidP="004A205F">
            <w:pPr>
              <w:pStyle w:val="TableText"/>
              <w:spacing w:before="40"/>
              <w:jc w:val="right"/>
              <w:rPr>
                <w:szCs w:val="18"/>
              </w:rPr>
            </w:pPr>
            <w:r w:rsidRPr="00BD16B4">
              <w:rPr>
                <w:szCs w:val="18"/>
              </w:rPr>
              <w:t>20.54</w:t>
            </w:r>
          </w:p>
        </w:tc>
        <w:tc>
          <w:tcPr>
            <w:tcW w:w="964" w:type="dxa"/>
            <w:shd w:val="clear" w:color="auto" w:fill="auto"/>
          </w:tcPr>
          <w:p w14:paraId="11528082" w14:textId="77777777" w:rsidR="00ED2EBD" w:rsidRPr="00BD16B4" w:rsidRDefault="00ED2EBD" w:rsidP="004A205F">
            <w:pPr>
              <w:pStyle w:val="TableText"/>
              <w:spacing w:before="40"/>
              <w:jc w:val="right"/>
              <w:rPr>
                <w:szCs w:val="18"/>
              </w:rPr>
            </w:pPr>
            <w:r w:rsidRPr="00BD16B4">
              <w:rPr>
                <w:szCs w:val="18"/>
              </w:rPr>
              <w:t>20.80</w:t>
            </w:r>
          </w:p>
        </w:tc>
        <w:tc>
          <w:tcPr>
            <w:tcW w:w="964" w:type="dxa"/>
            <w:shd w:val="clear" w:color="auto" w:fill="auto"/>
          </w:tcPr>
          <w:p w14:paraId="2518C3D6" w14:textId="77777777" w:rsidR="00ED2EBD" w:rsidRPr="00BD16B4" w:rsidRDefault="00ED2EBD" w:rsidP="004A205F">
            <w:pPr>
              <w:pStyle w:val="TableText"/>
              <w:spacing w:before="40"/>
              <w:jc w:val="right"/>
              <w:rPr>
                <w:szCs w:val="18"/>
              </w:rPr>
            </w:pPr>
            <w:r w:rsidRPr="00BD16B4">
              <w:rPr>
                <w:szCs w:val="18"/>
              </w:rPr>
              <w:t>20.58</w:t>
            </w:r>
          </w:p>
        </w:tc>
      </w:tr>
      <w:tr w:rsidR="00ED2EBD" w:rsidRPr="00BD16B4" w14:paraId="25DAE608" w14:textId="77777777" w:rsidTr="002A2A69">
        <w:tc>
          <w:tcPr>
            <w:tcW w:w="3397" w:type="dxa"/>
          </w:tcPr>
          <w:p w14:paraId="050D415F" w14:textId="32201E5A" w:rsidR="00ED2EBD" w:rsidRPr="00BD16B4" w:rsidRDefault="00ED2EBD" w:rsidP="004A205F">
            <w:pPr>
              <w:pStyle w:val="TableText"/>
              <w:spacing w:before="40"/>
              <w:rPr>
                <w:szCs w:val="18"/>
              </w:rPr>
            </w:pPr>
            <w:r w:rsidRPr="00BD16B4">
              <w:rPr>
                <w:szCs w:val="18"/>
              </w:rPr>
              <w:t>E.</w:t>
            </w:r>
            <w:r w:rsidR="00280979" w:rsidRPr="00BD16B4">
              <w:rPr>
                <w:szCs w:val="18"/>
              </w:rPr>
              <w:t xml:space="preserve"> </w:t>
            </w:r>
            <w:r w:rsidRPr="00BD16B4">
              <w:rPr>
                <w:szCs w:val="18"/>
              </w:rPr>
              <w:t>Prescribed burning of savannas</w:t>
            </w:r>
          </w:p>
        </w:tc>
        <w:tc>
          <w:tcPr>
            <w:tcW w:w="964" w:type="dxa"/>
            <w:shd w:val="clear" w:color="auto" w:fill="auto"/>
          </w:tcPr>
          <w:p w14:paraId="68919E4B" w14:textId="77777777" w:rsidR="00ED2EBD" w:rsidRPr="00BD16B4" w:rsidRDefault="00ED2EBD" w:rsidP="004A205F">
            <w:pPr>
              <w:pStyle w:val="TableText"/>
              <w:spacing w:before="40"/>
              <w:jc w:val="right"/>
              <w:rPr>
                <w:szCs w:val="18"/>
              </w:rPr>
            </w:pPr>
            <w:r w:rsidRPr="00BD16B4">
              <w:rPr>
                <w:szCs w:val="18"/>
              </w:rPr>
              <w:t>IE</w:t>
            </w:r>
          </w:p>
        </w:tc>
        <w:tc>
          <w:tcPr>
            <w:tcW w:w="964" w:type="dxa"/>
            <w:shd w:val="clear" w:color="auto" w:fill="auto"/>
          </w:tcPr>
          <w:p w14:paraId="357299B5" w14:textId="77777777" w:rsidR="00ED2EBD" w:rsidRPr="00BD16B4" w:rsidRDefault="00ED2EBD" w:rsidP="004A205F">
            <w:pPr>
              <w:pStyle w:val="TableText"/>
              <w:spacing w:before="40"/>
              <w:jc w:val="right"/>
              <w:rPr>
                <w:szCs w:val="18"/>
              </w:rPr>
            </w:pPr>
            <w:r w:rsidRPr="00BD16B4">
              <w:rPr>
                <w:szCs w:val="18"/>
              </w:rPr>
              <w:t>IE</w:t>
            </w:r>
          </w:p>
        </w:tc>
        <w:tc>
          <w:tcPr>
            <w:tcW w:w="964" w:type="dxa"/>
            <w:shd w:val="clear" w:color="auto" w:fill="auto"/>
          </w:tcPr>
          <w:p w14:paraId="087F9544" w14:textId="77777777" w:rsidR="00ED2EBD" w:rsidRPr="00BD16B4" w:rsidRDefault="00ED2EBD" w:rsidP="004A205F">
            <w:pPr>
              <w:pStyle w:val="TableText"/>
              <w:spacing w:before="40"/>
              <w:jc w:val="right"/>
              <w:rPr>
                <w:szCs w:val="18"/>
              </w:rPr>
            </w:pPr>
            <w:r w:rsidRPr="00BD16B4">
              <w:rPr>
                <w:szCs w:val="18"/>
              </w:rPr>
              <w:t>IE</w:t>
            </w:r>
          </w:p>
        </w:tc>
        <w:tc>
          <w:tcPr>
            <w:tcW w:w="964" w:type="dxa"/>
            <w:shd w:val="clear" w:color="auto" w:fill="auto"/>
          </w:tcPr>
          <w:p w14:paraId="218E0362" w14:textId="77777777" w:rsidR="00ED2EBD" w:rsidRPr="00BD16B4" w:rsidRDefault="00ED2EBD" w:rsidP="004A205F">
            <w:pPr>
              <w:pStyle w:val="TableText"/>
              <w:spacing w:before="40"/>
              <w:jc w:val="right"/>
              <w:rPr>
                <w:szCs w:val="18"/>
              </w:rPr>
            </w:pPr>
            <w:r w:rsidRPr="00BD16B4">
              <w:rPr>
                <w:szCs w:val="18"/>
              </w:rPr>
              <w:t>IE</w:t>
            </w:r>
          </w:p>
        </w:tc>
        <w:tc>
          <w:tcPr>
            <w:tcW w:w="964" w:type="dxa"/>
            <w:shd w:val="clear" w:color="auto" w:fill="auto"/>
          </w:tcPr>
          <w:p w14:paraId="60248A7C" w14:textId="77777777" w:rsidR="00ED2EBD" w:rsidRPr="00BD16B4" w:rsidRDefault="00ED2EBD" w:rsidP="004A205F">
            <w:pPr>
              <w:pStyle w:val="TableText"/>
              <w:spacing w:before="40"/>
              <w:jc w:val="right"/>
              <w:rPr>
                <w:szCs w:val="18"/>
              </w:rPr>
            </w:pPr>
            <w:r w:rsidRPr="00BD16B4">
              <w:rPr>
                <w:szCs w:val="18"/>
              </w:rPr>
              <w:t>IE</w:t>
            </w:r>
          </w:p>
        </w:tc>
        <w:tc>
          <w:tcPr>
            <w:tcW w:w="964" w:type="dxa"/>
            <w:shd w:val="clear" w:color="auto" w:fill="auto"/>
          </w:tcPr>
          <w:p w14:paraId="74E1A69D" w14:textId="77777777" w:rsidR="00ED2EBD" w:rsidRPr="00BD16B4" w:rsidRDefault="00ED2EBD" w:rsidP="004A205F">
            <w:pPr>
              <w:pStyle w:val="TableText"/>
              <w:spacing w:before="40"/>
              <w:jc w:val="right"/>
              <w:rPr>
                <w:szCs w:val="18"/>
              </w:rPr>
            </w:pPr>
            <w:r w:rsidRPr="00BD16B4">
              <w:rPr>
                <w:szCs w:val="18"/>
              </w:rPr>
              <w:t>IE</w:t>
            </w:r>
          </w:p>
        </w:tc>
        <w:tc>
          <w:tcPr>
            <w:tcW w:w="964" w:type="dxa"/>
            <w:shd w:val="clear" w:color="auto" w:fill="auto"/>
          </w:tcPr>
          <w:p w14:paraId="0FC1C0A3" w14:textId="77777777" w:rsidR="00ED2EBD" w:rsidRPr="00BD16B4" w:rsidRDefault="00ED2EBD" w:rsidP="004A205F">
            <w:pPr>
              <w:pStyle w:val="TableText"/>
              <w:spacing w:before="40"/>
              <w:jc w:val="right"/>
              <w:rPr>
                <w:szCs w:val="18"/>
              </w:rPr>
            </w:pPr>
            <w:r w:rsidRPr="00BD16B4">
              <w:rPr>
                <w:szCs w:val="18"/>
              </w:rPr>
              <w:t>IE</w:t>
            </w:r>
          </w:p>
        </w:tc>
        <w:tc>
          <w:tcPr>
            <w:tcW w:w="964" w:type="dxa"/>
            <w:shd w:val="clear" w:color="auto" w:fill="auto"/>
          </w:tcPr>
          <w:p w14:paraId="1707DA66" w14:textId="77777777" w:rsidR="00ED2EBD" w:rsidRPr="00BD16B4" w:rsidRDefault="00ED2EBD" w:rsidP="004A205F">
            <w:pPr>
              <w:pStyle w:val="TableText"/>
              <w:spacing w:before="40"/>
              <w:jc w:val="right"/>
              <w:rPr>
                <w:szCs w:val="18"/>
              </w:rPr>
            </w:pPr>
            <w:r w:rsidRPr="00BD16B4">
              <w:rPr>
                <w:szCs w:val="18"/>
              </w:rPr>
              <w:t>IE</w:t>
            </w:r>
          </w:p>
        </w:tc>
        <w:tc>
          <w:tcPr>
            <w:tcW w:w="964" w:type="dxa"/>
            <w:shd w:val="clear" w:color="auto" w:fill="auto"/>
          </w:tcPr>
          <w:p w14:paraId="235242D7" w14:textId="77777777" w:rsidR="00ED2EBD" w:rsidRPr="00BD16B4" w:rsidRDefault="00ED2EBD" w:rsidP="004A205F">
            <w:pPr>
              <w:pStyle w:val="TableText"/>
              <w:spacing w:before="40"/>
              <w:jc w:val="right"/>
              <w:rPr>
                <w:szCs w:val="18"/>
              </w:rPr>
            </w:pPr>
            <w:r w:rsidRPr="00BD16B4">
              <w:rPr>
                <w:szCs w:val="18"/>
              </w:rPr>
              <w:t>IE</w:t>
            </w:r>
          </w:p>
        </w:tc>
      </w:tr>
      <w:tr w:rsidR="00ED2EBD" w:rsidRPr="00BD16B4" w14:paraId="39FFEC87" w14:textId="77777777" w:rsidTr="002A2A69">
        <w:tc>
          <w:tcPr>
            <w:tcW w:w="3397" w:type="dxa"/>
          </w:tcPr>
          <w:p w14:paraId="59B79606" w14:textId="4BB814C6" w:rsidR="00ED2EBD" w:rsidRPr="00BD16B4" w:rsidRDefault="00ED2EBD" w:rsidP="004A205F">
            <w:pPr>
              <w:pStyle w:val="TableText"/>
              <w:spacing w:before="40"/>
              <w:rPr>
                <w:szCs w:val="18"/>
              </w:rPr>
            </w:pPr>
            <w:r w:rsidRPr="00BD16B4">
              <w:rPr>
                <w:szCs w:val="18"/>
              </w:rPr>
              <w:t>F.</w:t>
            </w:r>
            <w:r w:rsidR="00280979" w:rsidRPr="00BD16B4">
              <w:rPr>
                <w:szCs w:val="18"/>
              </w:rPr>
              <w:t xml:space="preserve"> </w:t>
            </w:r>
            <w:r w:rsidRPr="00BD16B4">
              <w:rPr>
                <w:szCs w:val="18"/>
              </w:rPr>
              <w:t>Field burning of agricultural residues</w:t>
            </w:r>
          </w:p>
        </w:tc>
        <w:tc>
          <w:tcPr>
            <w:tcW w:w="964" w:type="dxa"/>
            <w:tcBorders>
              <w:bottom w:val="single" w:sz="4" w:space="0" w:color="1B556B" w:themeColor="text2"/>
            </w:tcBorders>
            <w:shd w:val="clear" w:color="auto" w:fill="auto"/>
          </w:tcPr>
          <w:p w14:paraId="73034B34" w14:textId="77777777" w:rsidR="00ED2EBD" w:rsidRPr="00BD16B4" w:rsidRDefault="00ED2EBD" w:rsidP="004A205F">
            <w:pPr>
              <w:pStyle w:val="TableText"/>
              <w:spacing w:before="40"/>
              <w:jc w:val="right"/>
              <w:rPr>
                <w:szCs w:val="18"/>
              </w:rPr>
            </w:pPr>
            <w:r w:rsidRPr="00BD16B4">
              <w:rPr>
                <w:szCs w:val="18"/>
              </w:rPr>
              <w:t>0.02</w:t>
            </w:r>
          </w:p>
        </w:tc>
        <w:tc>
          <w:tcPr>
            <w:tcW w:w="964" w:type="dxa"/>
            <w:tcBorders>
              <w:bottom w:val="single" w:sz="4" w:space="0" w:color="1B556B" w:themeColor="text2"/>
            </w:tcBorders>
            <w:shd w:val="clear" w:color="auto" w:fill="auto"/>
          </w:tcPr>
          <w:p w14:paraId="606900BA" w14:textId="77777777" w:rsidR="00ED2EBD" w:rsidRPr="00BD16B4" w:rsidRDefault="00ED2EBD" w:rsidP="004A205F">
            <w:pPr>
              <w:pStyle w:val="TableText"/>
              <w:spacing w:before="40"/>
              <w:jc w:val="right"/>
              <w:rPr>
                <w:szCs w:val="18"/>
              </w:rPr>
            </w:pPr>
            <w:r w:rsidRPr="00BD16B4">
              <w:rPr>
                <w:szCs w:val="18"/>
              </w:rPr>
              <w:t>0.01</w:t>
            </w:r>
          </w:p>
        </w:tc>
        <w:tc>
          <w:tcPr>
            <w:tcW w:w="964" w:type="dxa"/>
            <w:tcBorders>
              <w:bottom w:val="single" w:sz="4" w:space="0" w:color="1B556B" w:themeColor="text2"/>
            </w:tcBorders>
            <w:shd w:val="clear" w:color="auto" w:fill="auto"/>
          </w:tcPr>
          <w:p w14:paraId="374DBCB5" w14:textId="77777777" w:rsidR="00ED2EBD" w:rsidRPr="00BD16B4" w:rsidRDefault="00ED2EBD" w:rsidP="004A205F">
            <w:pPr>
              <w:pStyle w:val="TableText"/>
              <w:spacing w:before="40"/>
              <w:jc w:val="right"/>
              <w:rPr>
                <w:szCs w:val="18"/>
              </w:rPr>
            </w:pPr>
            <w:r w:rsidRPr="00BD16B4">
              <w:rPr>
                <w:szCs w:val="18"/>
              </w:rPr>
              <w:t>0.01</w:t>
            </w:r>
          </w:p>
        </w:tc>
        <w:tc>
          <w:tcPr>
            <w:tcW w:w="964" w:type="dxa"/>
            <w:tcBorders>
              <w:bottom w:val="single" w:sz="4" w:space="0" w:color="1B556B" w:themeColor="text2"/>
            </w:tcBorders>
            <w:shd w:val="clear" w:color="auto" w:fill="auto"/>
          </w:tcPr>
          <w:p w14:paraId="3C4D3D20" w14:textId="77777777" w:rsidR="00ED2EBD" w:rsidRPr="00BD16B4" w:rsidRDefault="00ED2EBD" w:rsidP="004A205F">
            <w:pPr>
              <w:pStyle w:val="TableText"/>
              <w:spacing w:before="40"/>
              <w:jc w:val="right"/>
              <w:rPr>
                <w:szCs w:val="18"/>
              </w:rPr>
            </w:pPr>
            <w:r w:rsidRPr="00BD16B4">
              <w:rPr>
                <w:szCs w:val="18"/>
              </w:rPr>
              <w:t>0.02</w:t>
            </w:r>
          </w:p>
        </w:tc>
        <w:tc>
          <w:tcPr>
            <w:tcW w:w="964" w:type="dxa"/>
            <w:tcBorders>
              <w:bottom w:val="single" w:sz="4" w:space="0" w:color="1B556B" w:themeColor="text2"/>
            </w:tcBorders>
            <w:shd w:val="clear" w:color="auto" w:fill="auto"/>
          </w:tcPr>
          <w:p w14:paraId="7A2ED880" w14:textId="77777777" w:rsidR="00ED2EBD" w:rsidRPr="00BD16B4" w:rsidRDefault="00ED2EBD" w:rsidP="004A205F">
            <w:pPr>
              <w:pStyle w:val="TableText"/>
              <w:spacing w:before="40"/>
              <w:jc w:val="right"/>
              <w:rPr>
                <w:szCs w:val="18"/>
              </w:rPr>
            </w:pPr>
            <w:r w:rsidRPr="00BD16B4">
              <w:rPr>
                <w:szCs w:val="18"/>
              </w:rPr>
              <w:t>0.02</w:t>
            </w:r>
          </w:p>
        </w:tc>
        <w:tc>
          <w:tcPr>
            <w:tcW w:w="964" w:type="dxa"/>
            <w:tcBorders>
              <w:bottom w:val="single" w:sz="4" w:space="0" w:color="1B556B" w:themeColor="text2"/>
            </w:tcBorders>
            <w:shd w:val="clear" w:color="auto" w:fill="auto"/>
          </w:tcPr>
          <w:p w14:paraId="7234AB92" w14:textId="77777777" w:rsidR="00ED2EBD" w:rsidRPr="00BD16B4" w:rsidRDefault="00ED2EBD" w:rsidP="004A205F">
            <w:pPr>
              <w:pStyle w:val="TableText"/>
              <w:spacing w:before="40"/>
              <w:jc w:val="right"/>
              <w:rPr>
                <w:szCs w:val="18"/>
              </w:rPr>
            </w:pPr>
            <w:r w:rsidRPr="00BD16B4">
              <w:rPr>
                <w:szCs w:val="18"/>
              </w:rPr>
              <w:t>0.01</w:t>
            </w:r>
          </w:p>
        </w:tc>
        <w:tc>
          <w:tcPr>
            <w:tcW w:w="964" w:type="dxa"/>
            <w:tcBorders>
              <w:bottom w:val="single" w:sz="4" w:space="0" w:color="1B556B" w:themeColor="text2"/>
            </w:tcBorders>
            <w:shd w:val="clear" w:color="auto" w:fill="auto"/>
          </w:tcPr>
          <w:p w14:paraId="69A6F0A7" w14:textId="77777777" w:rsidR="00ED2EBD" w:rsidRPr="00BD16B4" w:rsidRDefault="00ED2EBD" w:rsidP="004A205F">
            <w:pPr>
              <w:pStyle w:val="TableText"/>
              <w:spacing w:before="40"/>
              <w:jc w:val="right"/>
              <w:rPr>
                <w:szCs w:val="18"/>
              </w:rPr>
            </w:pPr>
            <w:r w:rsidRPr="00BD16B4">
              <w:rPr>
                <w:szCs w:val="18"/>
              </w:rPr>
              <w:t>0.02</w:t>
            </w:r>
          </w:p>
        </w:tc>
        <w:tc>
          <w:tcPr>
            <w:tcW w:w="964" w:type="dxa"/>
            <w:tcBorders>
              <w:bottom w:val="single" w:sz="4" w:space="0" w:color="1B556B" w:themeColor="text2"/>
            </w:tcBorders>
            <w:shd w:val="clear" w:color="auto" w:fill="auto"/>
          </w:tcPr>
          <w:p w14:paraId="446B372C" w14:textId="77777777" w:rsidR="00ED2EBD" w:rsidRPr="00BD16B4" w:rsidRDefault="00ED2EBD" w:rsidP="004A205F">
            <w:pPr>
              <w:pStyle w:val="TableText"/>
              <w:spacing w:before="40"/>
              <w:jc w:val="right"/>
              <w:rPr>
                <w:szCs w:val="18"/>
              </w:rPr>
            </w:pPr>
            <w:r w:rsidRPr="00BD16B4">
              <w:rPr>
                <w:szCs w:val="18"/>
              </w:rPr>
              <w:t>0.02</w:t>
            </w:r>
          </w:p>
        </w:tc>
        <w:tc>
          <w:tcPr>
            <w:tcW w:w="964" w:type="dxa"/>
            <w:tcBorders>
              <w:bottom w:val="single" w:sz="4" w:space="0" w:color="1B556B" w:themeColor="text2"/>
            </w:tcBorders>
            <w:shd w:val="clear" w:color="auto" w:fill="auto"/>
          </w:tcPr>
          <w:p w14:paraId="60305A2A" w14:textId="77777777" w:rsidR="00ED2EBD" w:rsidRPr="00BD16B4" w:rsidRDefault="00ED2EBD" w:rsidP="004A205F">
            <w:pPr>
              <w:pStyle w:val="TableText"/>
              <w:spacing w:before="40"/>
              <w:jc w:val="right"/>
              <w:rPr>
                <w:szCs w:val="18"/>
              </w:rPr>
            </w:pPr>
            <w:r w:rsidRPr="00BD16B4">
              <w:rPr>
                <w:szCs w:val="18"/>
              </w:rPr>
              <w:t>0.02</w:t>
            </w:r>
          </w:p>
        </w:tc>
      </w:tr>
      <w:tr w:rsidR="00ED2EBD" w:rsidRPr="00BD16B4" w14:paraId="3718A7B4" w14:textId="77777777" w:rsidTr="002A2A69">
        <w:tc>
          <w:tcPr>
            <w:tcW w:w="3397" w:type="dxa"/>
          </w:tcPr>
          <w:p w14:paraId="2A21C6C5" w14:textId="1166C811" w:rsidR="00ED2EBD" w:rsidRPr="00BD16B4" w:rsidRDefault="00ED2EBD" w:rsidP="004A205F">
            <w:pPr>
              <w:pStyle w:val="TableText"/>
              <w:spacing w:before="40"/>
              <w:rPr>
                <w:szCs w:val="18"/>
              </w:rPr>
            </w:pPr>
            <w:r w:rsidRPr="00BD16B4">
              <w:rPr>
                <w:szCs w:val="18"/>
              </w:rPr>
              <w:t>G.</w:t>
            </w:r>
            <w:r w:rsidR="00280979" w:rsidRPr="00BD16B4">
              <w:rPr>
                <w:szCs w:val="18"/>
              </w:rPr>
              <w:t xml:space="preserve"> </w:t>
            </w:r>
            <w:r w:rsidRPr="00BD16B4">
              <w:rPr>
                <w:szCs w:val="18"/>
              </w:rPr>
              <w:t>Liming</w:t>
            </w:r>
          </w:p>
        </w:tc>
        <w:tc>
          <w:tcPr>
            <w:tcW w:w="964" w:type="dxa"/>
            <w:tcBorders>
              <w:top w:val="single" w:sz="4" w:space="0" w:color="1B556B" w:themeColor="text2"/>
            </w:tcBorders>
            <w:shd w:val="clear" w:color="auto" w:fill="D2DDE1" w:themeFill="background2"/>
          </w:tcPr>
          <w:p w14:paraId="6CD3313B"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D149114"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90E94CB"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F6EF235"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E4EB984"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D2FC3C2"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C75DC44"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0900109"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F847211"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42ACD8CC" w14:textId="77777777" w:rsidTr="002A2A69">
        <w:tc>
          <w:tcPr>
            <w:tcW w:w="3397" w:type="dxa"/>
          </w:tcPr>
          <w:p w14:paraId="47E680B4" w14:textId="77BDB3D1" w:rsidR="00ED2EBD" w:rsidRPr="00BD16B4" w:rsidRDefault="00ED2EBD" w:rsidP="004A205F">
            <w:pPr>
              <w:pStyle w:val="TableText"/>
              <w:spacing w:before="40"/>
              <w:rPr>
                <w:szCs w:val="18"/>
              </w:rPr>
            </w:pPr>
            <w:r w:rsidRPr="00BD16B4">
              <w:rPr>
                <w:szCs w:val="18"/>
              </w:rPr>
              <w:t>H.</w:t>
            </w:r>
            <w:r w:rsidR="00280979" w:rsidRPr="00BD16B4">
              <w:rPr>
                <w:szCs w:val="18"/>
              </w:rPr>
              <w:t xml:space="preserve"> </w:t>
            </w:r>
            <w:r w:rsidRPr="00BD16B4">
              <w:rPr>
                <w:szCs w:val="18"/>
              </w:rPr>
              <w:t>Urea application</w:t>
            </w:r>
          </w:p>
        </w:tc>
        <w:tc>
          <w:tcPr>
            <w:tcW w:w="964" w:type="dxa"/>
            <w:tcBorders>
              <w:top w:val="single" w:sz="4" w:space="0" w:color="1B556B" w:themeColor="text2"/>
            </w:tcBorders>
            <w:shd w:val="clear" w:color="auto" w:fill="D2DDE1" w:themeFill="background2"/>
          </w:tcPr>
          <w:p w14:paraId="70E44AD6"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117DE98"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BC32199"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7EC9CC9"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B47A4D3"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68AEDB1"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ACDA499"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E3060D1"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0FF0699"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5C309E8F" w14:textId="77777777" w:rsidTr="002A2A69">
        <w:tc>
          <w:tcPr>
            <w:tcW w:w="3397" w:type="dxa"/>
          </w:tcPr>
          <w:p w14:paraId="7C05F34E" w14:textId="2CFFD245" w:rsidR="00ED2EBD" w:rsidRPr="00BD16B4" w:rsidRDefault="00ED2EBD" w:rsidP="004A205F">
            <w:pPr>
              <w:pStyle w:val="TableText"/>
              <w:spacing w:before="40"/>
              <w:rPr>
                <w:szCs w:val="18"/>
              </w:rPr>
            </w:pPr>
            <w:r w:rsidRPr="00BD16B4">
              <w:rPr>
                <w:szCs w:val="18"/>
              </w:rPr>
              <w:t>I.</w:t>
            </w:r>
            <w:r w:rsidR="00280979" w:rsidRPr="00BD16B4">
              <w:rPr>
                <w:szCs w:val="18"/>
              </w:rPr>
              <w:t xml:space="preserve"> </w:t>
            </w:r>
            <w:r w:rsidRPr="00BD16B4">
              <w:rPr>
                <w:szCs w:val="18"/>
              </w:rPr>
              <w:t>Other carbon-containing fertilizers</w:t>
            </w:r>
          </w:p>
        </w:tc>
        <w:tc>
          <w:tcPr>
            <w:tcW w:w="964" w:type="dxa"/>
            <w:tcBorders>
              <w:top w:val="single" w:sz="4" w:space="0" w:color="1B556B" w:themeColor="text2"/>
            </w:tcBorders>
            <w:shd w:val="clear" w:color="auto" w:fill="D2DDE1" w:themeFill="background2"/>
          </w:tcPr>
          <w:p w14:paraId="0B53F871"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F6EB954"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5C8A0C9"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CCD0D9F"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19054FF"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9197202"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037997C"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007ECF6"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B1A54B7"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647785EA" w14:textId="77777777" w:rsidTr="002A2A69">
        <w:tc>
          <w:tcPr>
            <w:tcW w:w="3397" w:type="dxa"/>
          </w:tcPr>
          <w:p w14:paraId="503FC8FD" w14:textId="4379D546" w:rsidR="00ED2EBD" w:rsidRPr="00BD16B4" w:rsidRDefault="00ED2EBD" w:rsidP="004A205F">
            <w:pPr>
              <w:pStyle w:val="TableText"/>
              <w:spacing w:before="40"/>
              <w:rPr>
                <w:szCs w:val="18"/>
              </w:rPr>
            </w:pPr>
            <w:r w:rsidRPr="00BD16B4">
              <w:rPr>
                <w:szCs w:val="18"/>
              </w:rPr>
              <w:t>J.</w:t>
            </w:r>
            <w:r w:rsidR="00280979" w:rsidRPr="00BD16B4">
              <w:rPr>
                <w:szCs w:val="18"/>
              </w:rPr>
              <w:t xml:space="preserve"> </w:t>
            </w:r>
            <w:r w:rsidRPr="00BD16B4">
              <w:rPr>
                <w:szCs w:val="18"/>
              </w:rPr>
              <w:t xml:space="preserve">Other </w:t>
            </w:r>
          </w:p>
        </w:tc>
        <w:tc>
          <w:tcPr>
            <w:tcW w:w="964" w:type="dxa"/>
            <w:tcBorders>
              <w:top w:val="single" w:sz="4" w:space="0" w:color="1B556B" w:themeColor="text2"/>
            </w:tcBorders>
            <w:shd w:val="clear" w:color="auto" w:fill="D2DDE1" w:themeFill="background2"/>
          </w:tcPr>
          <w:p w14:paraId="3A0E611C"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4B048C9"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9E52A27"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78ED98F"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E3D100C"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79D990B"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404F810"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DAD5914"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E3F10E2"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769CA589" w14:textId="77777777" w:rsidTr="002A2A69">
        <w:tc>
          <w:tcPr>
            <w:tcW w:w="3397" w:type="dxa"/>
          </w:tcPr>
          <w:p w14:paraId="58595DB7" w14:textId="41B57D1E" w:rsidR="00ED2EBD" w:rsidRPr="00BD16B4" w:rsidRDefault="00ED2EBD" w:rsidP="004A205F">
            <w:pPr>
              <w:pStyle w:val="TableText"/>
              <w:spacing w:before="40"/>
              <w:rPr>
                <w:szCs w:val="18"/>
              </w:rPr>
            </w:pPr>
            <w:r w:rsidRPr="00BD16B4">
              <w:rPr>
                <w:b/>
                <w:bCs/>
                <w:szCs w:val="18"/>
              </w:rPr>
              <w:t>4.</w:t>
            </w:r>
            <w:r w:rsidR="00280979" w:rsidRPr="00BD16B4">
              <w:rPr>
                <w:b/>
                <w:bCs/>
                <w:szCs w:val="18"/>
              </w:rPr>
              <w:t xml:space="preserve"> </w:t>
            </w:r>
            <w:r w:rsidRPr="00BD16B4">
              <w:rPr>
                <w:b/>
                <w:bCs/>
                <w:szCs w:val="18"/>
              </w:rPr>
              <w:t>Land Use, Land-Use Change and Forestry</w:t>
            </w:r>
          </w:p>
        </w:tc>
        <w:tc>
          <w:tcPr>
            <w:tcW w:w="964" w:type="dxa"/>
            <w:shd w:val="clear" w:color="auto" w:fill="auto"/>
          </w:tcPr>
          <w:p w14:paraId="776D0B0C" w14:textId="77777777" w:rsidR="00ED2EBD" w:rsidRPr="00BD16B4" w:rsidRDefault="00ED2EBD" w:rsidP="004A205F">
            <w:pPr>
              <w:pStyle w:val="TableText"/>
              <w:spacing w:before="40"/>
              <w:jc w:val="right"/>
              <w:rPr>
                <w:szCs w:val="18"/>
              </w:rPr>
            </w:pPr>
            <w:r w:rsidRPr="00BD16B4">
              <w:rPr>
                <w:szCs w:val="18"/>
              </w:rPr>
              <w:t>1.09</w:t>
            </w:r>
          </w:p>
        </w:tc>
        <w:tc>
          <w:tcPr>
            <w:tcW w:w="964" w:type="dxa"/>
            <w:shd w:val="clear" w:color="auto" w:fill="auto"/>
          </w:tcPr>
          <w:p w14:paraId="2D4DB5D5" w14:textId="77777777" w:rsidR="00ED2EBD" w:rsidRPr="00BD16B4" w:rsidRDefault="00ED2EBD" w:rsidP="004A205F">
            <w:pPr>
              <w:pStyle w:val="TableText"/>
              <w:spacing w:before="40"/>
              <w:jc w:val="right"/>
              <w:rPr>
                <w:szCs w:val="18"/>
              </w:rPr>
            </w:pPr>
            <w:r w:rsidRPr="00BD16B4">
              <w:rPr>
                <w:szCs w:val="18"/>
              </w:rPr>
              <w:t>1.07</w:t>
            </w:r>
          </w:p>
        </w:tc>
        <w:tc>
          <w:tcPr>
            <w:tcW w:w="964" w:type="dxa"/>
            <w:shd w:val="clear" w:color="auto" w:fill="auto"/>
          </w:tcPr>
          <w:p w14:paraId="19458A91" w14:textId="77777777" w:rsidR="00ED2EBD" w:rsidRPr="00BD16B4" w:rsidRDefault="00ED2EBD" w:rsidP="004A205F">
            <w:pPr>
              <w:pStyle w:val="TableText"/>
              <w:spacing w:before="40"/>
              <w:jc w:val="right"/>
              <w:rPr>
                <w:szCs w:val="18"/>
              </w:rPr>
            </w:pPr>
            <w:r w:rsidRPr="00BD16B4">
              <w:rPr>
                <w:szCs w:val="18"/>
              </w:rPr>
              <w:t>1.11</w:t>
            </w:r>
          </w:p>
        </w:tc>
        <w:tc>
          <w:tcPr>
            <w:tcW w:w="964" w:type="dxa"/>
            <w:shd w:val="clear" w:color="auto" w:fill="auto"/>
          </w:tcPr>
          <w:p w14:paraId="1BE19C84" w14:textId="77777777" w:rsidR="00ED2EBD" w:rsidRPr="00BD16B4" w:rsidRDefault="00ED2EBD" w:rsidP="004A205F">
            <w:pPr>
              <w:pStyle w:val="TableText"/>
              <w:spacing w:before="40"/>
              <w:jc w:val="right"/>
              <w:rPr>
                <w:szCs w:val="18"/>
              </w:rPr>
            </w:pPr>
            <w:r w:rsidRPr="00BD16B4">
              <w:rPr>
                <w:szCs w:val="18"/>
              </w:rPr>
              <w:t>1.15</w:t>
            </w:r>
          </w:p>
        </w:tc>
        <w:tc>
          <w:tcPr>
            <w:tcW w:w="964" w:type="dxa"/>
            <w:shd w:val="clear" w:color="auto" w:fill="auto"/>
          </w:tcPr>
          <w:p w14:paraId="393E4480" w14:textId="77777777" w:rsidR="00ED2EBD" w:rsidRPr="00BD16B4" w:rsidRDefault="00ED2EBD" w:rsidP="004A205F">
            <w:pPr>
              <w:pStyle w:val="TableText"/>
              <w:spacing w:before="40"/>
              <w:jc w:val="right"/>
              <w:rPr>
                <w:szCs w:val="18"/>
              </w:rPr>
            </w:pPr>
            <w:r w:rsidRPr="00BD16B4">
              <w:rPr>
                <w:szCs w:val="18"/>
              </w:rPr>
              <w:t>1.23</w:t>
            </w:r>
          </w:p>
        </w:tc>
        <w:tc>
          <w:tcPr>
            <w:tcW w:w="964" w:type="dxa"/>
            <w:shd w:val="clear" w:color="auto" w:fill="auto"/>
          </w:tcPr>
          <w:p w14:paraId="24D6C675" w14:textId="77777777" w:rsidR="00ED2EBD" w:rsidRPr="00BD16B4" w:rsidRDefault="00ED2EBD" w:rsidP="004A205F">
            <w:pPr>
              <w:pStyle w:val="TableText"/>
              <w:spacing w:before="40"/>
              <w:jc w:val="right"/>
              <w:rPr>
                <w:szCs w:val="18"/>
              </w:rPr>
            </w:pPr>
            <w:r w:rsidRPr="00BD16B4">
              <w:rPr>
                <w:szCs w:val="18"/>
              </w:rPr>
              <w:t>1.27</w:t>
            </w:r>
          </w:p>
        </w:tc>
        <w:tc>
          <w:tcPr>
            <w:tcW w:w="964" w:type="dxa"/>
            <w:shd w:val="clear" w:color="auto" w:fill="auto"/>
          </w:tcPr>
          <w:p w14:paraId="5E8835D1" w14:textId="77777777" w:rsidR="00ED2EBD" w:rsidRPr="00BD16B4" w:rsidRDefault="00ED2EBD" w:rsidP="004A205F">
            <w:pPr>
              <w:pStyle w:val="TableText"/>
              <w:spacing w:before="40"/>
              <w:jc w:val="right"/>
              <w:rPr>
                <w:szCs w:val="18"/>
              </w:rPr>
            </w:pPr>
            <w:r w:rsidRPr="00BD16B4">
              <w:rPr>
                <w:szCs w:val="18"/>
              </w:rPr>
              <w:t>1.32</w:t>
            </w:r>
          </w:p>
        </w:tc>
        <w:tc>
          <w:tcPr>
            <w:tcW w:w="964" w:type="dxa"/>
            <w:shd w:val="clear" w:color="auto" w:fill="auto"/>
          </w:tcPr>
          <w:p w14:paraId="2A857F6C" w14:textId="77777777" w:rsidR="00ED2EBD" w:rsidRPr="00BD16B4" w:rsidRDefault="00ED2EBD" w:rsidP="004A205F">
            <w:pPr>
              <w:pStyle w:val="TableText"/>
              <w:spacing w:before="40"/>
              <w:jc w:val="right"/>
              <w:rPr>
                <w:szCs w:val="18"/>
              </w:rPr>
            </w:pPr>
            <w:r w:rsidRPr="00BD16B4">
              <w:rPr>
                <w:szCs w:val="18"/>
              </w:rPr>
              <w:t>1.37</w:t>
            </w:r>
          </w:p>
        </w:tc>
        <w:tc>
          <w:tcPr>
            <w:tcW w:w="964" w:type="dxa"/>
            <w:shd w:val="clear" w:color="auto" w:fill="auto"/>
          </w:tcPr>
          <w:p w14:paraId="5E762CAC" w14:textId="77777777" w:rsidR="00ED2EBD" w:rsidRPr="00BD16B4" w:rsidRDefault="00ED2EBD" w:rsidP="004A205F">
            <w:pPr>
              <w:pStyle w:val="TableText"/>
              <w:spacing w:before="40"/>
              <w:jc w:val="right"/>
              <w:rPr>
                <w:szCs w:val="18"/>
              </w:rPr>
            </w:pPr>
            <w:r w:rsidRPr="00BD16B4">
              <w:rPr>
                <w:szCs w:val="18"/>
              </w:rPr>
              <w:t>1.38</w:t>
            </w:r>
          </w:p>
        </w:tc>
      </w:tr>
      <w:tr w:rsidR="00ED2EBD" w:rsidRPr="00BD16B4" w14:paraId="1855E8A6" w14:textId="77777777" w:rsidTr="002A2A69">
        <w:tc>
          <w:tcPr>
            <w:tcW w:w="3397" w:type="dxa"/>
          </w:tcPr>
          <w:p w14:paraId="72877DEA" w14:textId="5B3182A0" w:rsidR="00ED2EBD" w:rsidRPr="00BD16B4" w:rsidRDefault="00ED2EBD" w:rsidP="004A205F">
            <w:pPr>
              <w:pStyle w:val="TableText"/>
              <w:spacing w:before="40"/>
              <w:rPr>
                <w:szCs w:val="18"/>
              </w:rPr>
            </w:pPr>
            <w:r w:rsidRPr="00BD16B4">
              <w:rPr>
                <w:szCs w:val="18"/>
              </w:rPr>
              <w:t>A.</w:t>
            </w:r>
            <w:r w:rsidR="00280979" w:rsidRPr="00BD16B4">
              <w:rPr>
                <w:szCs w:val="18"/>
              </w:rPr>
              <w:t xml:space="preserve"> </w:t>
            </w:r>
            <w:r w:rsidRPr="00BD16B4">
              <w:rPr>
                <w:szCs w:val="18"/>
              </w:rPr>
              <w:t>Forest land</w:t>
            </w:r>
          </w:p>
        </w:tc>
        <w:tc>
          <w:tcPr>
            <w:tcW w:w="964" w:type="dxa"/>
            <w:shd w:val="clear" w:color="auto" w:fill="auto"/>
          </w:tcPr>
          <w:p w14:paraId="52F671AB" w14:textId="77777777" w:rsidR="00ED2EBD" w:rsidRPr="00BD16B4" w:rsidRDefault="00ED2EBD" w:rsidP="004A205F">
            <w:pPr>
              <w:pStyle w:val="TableText"/>
              <w:spacing w:before="40"/>
              <w:jc w:val="right"/>
              <w:rPr>
                <w:szCs w:val="18"/>
              </w:rPr>
            </w:pPr>
            <w:r w:rsidRPr="00BD16B4">
              <w:rPr>
                <w:szCs w:val="18"/>
              </w:rPr>
              <w:t>0.72</w:t>
            </w:r>
          </w:p>
        </w:tc>
        <w:tc>
          <w:tcPr>
            <w:tcW w:w="964" w:type="dxa"/>
            <w:shd w:val="clear" w:color="auto" w:fill="auto"/>
          </w:tcPr>
          <w:p w14:paraId="53738A1B" w14:textId="77777777" w:rsidR="00ED2EBD" w:rsidRPr="00BD16B4" w:rsidRDefault="00ED2EBD" w:rsidP="004A205F">
            <w:pPr>
              <w:pStyle w:val="TableText"/>
              <w:spacing w:before="40"/>
              <w:jc w:val="right"/>
              <w:rPr>
                <w:szCs w:val="18"/>
              </w:rPr>
            </w:pPr>
            <w:r w:rsidRPr="00BD16B4">
              <w:rPr>
                <w:szCs w:val="18"/>
              </w:rPr>
              <w:t>0.72</w:t>
            </w:r>
          </w:p>
        </w:tc>
        <w:tc>
          <w:tcPr>
            <w:tcW w:w="964" w:type="dxa"/>
            <w:shd w:val="clear" w:color="auto" w:fill="auto"/>
          </w:tcPr>
          <w:p w14:paraId="1286179C" w14:textId="77777777" w:rsidR="00ED2EBD" w:rsidRPr="00BD16B4" w:rsidRDefault="00ED2EBD" w:rsidP="004A205F">
            <w:pPr>
              <w:pStyle w:val="TableText"/>
              <w:spacing w:before="40"/>
              <w:jc w:val="right"/>
              <w:rPr>
                <w:szCs w:val="18"/>
              </w:rPr>
            </w:pPr>
            <w:r w:rsidRPr="00BD16B4">
              <w:rPr>
                <w:szCs w:val="18"/>
              </w:rPr>
              <w:t>0.76</w:t>
            </w:r>
          </w:p>
        </w:tc>
        <w:tc>
          <w:tcPr>
            <w:tcW w:w="964" w:type="dxa"/>
            <w:shd w:val="clear" w:color="auto" w:fill="auto"/>
          </w:tcPr>
          <w:p w14:paraId="3D44816E" w14:textId="77777777" w:rsidR="00ED2EBD" w:rsidRPr="00BD16B4" w:rsidRDefault="00ED2EBD" w:rsidP="004A205F">
            <w:pPr>
              <w:pStyle w:val="TableText"/>
              <w:spacing w:before="40"/>
              <w:jc w:val="right"/>
              <w:rPr>
                <w:szCs w:val="18"/>
              </w:rPr>
            </w:pPr>
            <w:r w:rsidRPr="00BD16B4">
              <w:rPr>
                <w:szCs w:val="18"/>
              </w:rPr>
              <w:t>0.81</w:t>
            </w:r>
          </w:p>
        </w:tc>
        <w:tc>
          <w:tcPr>
            <w:tcW w:w="964" w:type="dxa"/>
            <w:shd w:val="clear" w:color="auto" w:fill="auto"/>
          </w:tcPr>
          <w:p w14:paraId="082636ED" w14:textId="77777777" w:rsidR="00ED2EBD" w:rsidRPr="00BD16B4" w:rsidRDefault="00ED2EBD" w:rsidP="004A205F">
            <w:pPr>
              <w:pStyle w:val="TableText"/>
              <w:spacing w:before="40"/>
              <w:jc w:val="right"/>
              <w:rPr>
                <w:szCs w:val="18"/>
              </w:rPr>
            </w:pPr>
            <w:r w:rsidRPr="00BD16B4">
              <w:rPr>
                <w:szCs w:val="18"/>
              </w:rPr>
              <w:t>0.90</w:t>
            </w:r>
          </w:p>
        </w:tc>
        <w:tc>
          <w:tcPr>
            <w:tcW w:w="964" w:type="dxa"/>
            <w:shd w:val="clear" w:color="auto" w:fill="auto"/>
          </w:tcPr>
          <w:p w14:paraId="3D15CD08" w14:textId="77777777" w:rsidR="00ED2EBD" w:rsidRPr="00BD16B4" w:rsidRDefault="00ED2EBD" w:rsidP="004A205F">
            <w:pPr>
              <w:pStyle w:val="TableText"/>
              <w:spacing w:before="40"/>
              <w:jc w:val="right"/>
              <w:rPr>
                <w:szCs w:val="18"/>
              </w:rPr>
            </w:pPr>
            <w:r w:rsidRPr="00BD16B4">
              <w:rPr>
                <w:szCs w:val="18"/>
              </w:rPr>
              <w:t>0.93</w:t>
            </w:r>
          </w:p>
        </w:tc>
        <w:tc>
          <w:tcPr>
            <w:tcW w:w="964" w:type="dxa"/>
            <w:shd w:val="clear" w:color="auto" w:fill="auto"/>
          </w:tcPr>
          <w:p w14:paraId="086788D2" w14:textId="77777777" w:rsidR="00ED2EBD" w:rsidRPr="00BD16B4" w:rsidRDefault="00ED2EBD" w:rsidP="004A205F">
            <w:pPr>
              <w:pStyle w:val="TableText"/>
              <w:spacing w:before="40"/>
              <w:jc w:val="right"/>
              <w:rPr>
                <w:szCs w:val="18"/>
              </w:rPr>
            </w:pPr>
            <w:r w:rsidRPr="00BD16B4">
              <w:rPr>
                <w:szCs w:val="18"/>
              </w:rPr>
              <w:t>0.98</w:t>
            </w:r>
          </w:p>
        </w:tc>
        <w:tc>
          <w:tcPr>
            <w:tcW w:w="964" w:type="dxa"/>
            <w:shd w:val="clear" w:color="auto" w:fill="auto"/>
          </w:tcPr>
          <w:p w14:paraId="06F89CC3" w14:textId="77777777" w:rsidR="00ED2EBD" w:rsidRPr="00BD16B4" w:rsidRDefault="00ED2EBD" w:rsidP="004A205F">
            <w:pPr>
              <w:pStyle w:val="TableText"/>
              <w:spacing w:before="40"/>
              <w:jc w:val="right"/>
              <w:rPr>
                <w:szCs w:val="18"/>
              </w:rPr>
            </w:pPr>
            <w:r w:rsidRPr="00BD16B4">
              <w:rPr>
                <w:szCs w:val="18"/>
              </w:rPr>
              <w:t>1.03</w:t>
            </w:r>
          </w:p>
        </w:tc>
        <w:tc>
          <w:tcPr>
            <w:tcW w:w="964" w:type="dxa"/>
            <w:shd w:val="clear" w:color="auto" w:fill="auto"/>
          </w:tcPr>
          <w:p w14:paraId="0AA2885C" w14:textId="77777777" w:rsidR="00ED2EBD" w:rsidRPr="00BD16B4" w:rsidRDefault="00ED2EBD" w:rsidP="004A205F">
            <w:pPr>
              <w:pStyle w:val="TableText"/>
              <w:spacing w:before="40"/>
              <w:jc w:val="right"/>
              <w:rPr>
                <w:szCs w:val="18"/>
              </w:rPr>
            </w:pPr>
            <w:r w:rsidRPr="00BD16B4">
              <w:rPr>
                <w:szCs w:val="18"/>
              </w:rPr>
              <w:t>1.02</w:t>
            </w:r>
          </w:p>
        </w:tc>
      </w:tr>
      <w:tr w:rsidR="00ED2EBD" w:rsidRPr="00BD16B4" w14:paraId="024A3C0D" w14:textId="77777777" w:rsidTr="002A2A69">
        <w:tc>
          <w:tcPr>
            <w:tcW w:w="3397" w:type="dxa"/>
          </w:tcPr>
          <w:p w14:paraId="32CAD6C3" w14:textId="14198A44" w:rsidR="00ED2EBD" w:rsidRPr="00BD16B4" w:rsidRDefault="00ED2EBD" w:rsidP="004A205F">
            <w:pPr>
              <w:pStyle w:val="TableText"/>
              <w:spacing w:before="40"/>
              <w:rPr>
                <w:szCs w:val="18"/>
              </w:rPr>
            </w:pPr>
            <w:r w:rsidRPr="00BD16B4">
              <w:rPr>
                <w:szCs w:val="18"/>
              </w:rPr>
              <w:t>B.</w:t>
            </w:r>
            <w:r w:rsidR="00280979" w:rsidRPr="00BD16B4">
              <w:rPr>
                <w:szCs w:val="18"/>
              </w:rPr>
              <w:t xml:space="preserve"> </w:t>
            </w:r>
            <w:r w:rsidRPr="00BD16B4">
              <w:rPr>
                <w:szCs w:val="18"/>
              </w:rPr>
              <w:t>Cropland</w:t>
            </w:r>
          </w:p>
        </w:tc>
        <w:tc>
          <w:tcPr>
            <w:tcW w:w="964" w:type="dxa"/>
            <w:shd w:val="clear" w:color="auto" w:fill="auto"/>
          </w:tcPr>
          <w:p w14:paraId="2A9DC1FF" w14:textId="77777777" w:rsidR="00ED2EBD" w:rsidRPr="00BD16B4" w:rsidRDefault="00ED2EBD" w:rsidP="004A205F">
            <w:pPr>
              <w:pStyle w:val="TableText"/>
              <w:spacing w:before="40"/>
              <w:jc w:val="right"/>
              <w:rPr>
                <w:szCs w:val="18"/>
              </w:rPr>
            </w:pPr>
            <w:r w:rsidRPr="00BD16B4">
              <w:rPr>
                <w:szCs w:val="18"/>
              </w:rPr>
              <w:t>0.03</w:t>
            </w:r>
          </w:p>
        </w:tc>
        <w:tc>
          <w:tcPr>
            <w:tcW w:w="964" w:type="dxa"/>
            <w:shd w:val="clear" w:color="auto" w:fill="auto"/>
          </w:tcPr>
          <w:p w14:paraId="01280E3C" w14:textId="77777777" w:rsidR="00ED2EBD" w:rsidRPr="00BD16B4" w:rsidRDefault="00ED2EBD" w:rsidP="004A205F">
            <w:pPr>
              <w:pStyle w:val="TableText"/>
              <w:spacing w:before="40"/>
              <w:jc w:val="right"/>
              <w:rPr>
                <w:szCs w:val="18"/>
              </w:rPr>
            </w:pPr>
            <w:r w:rsidRPr="00BD16B4">
              <w:rPr>
                <w:szCs w:val="18"/>
              </w:rPr>
              <w:t>0.03</w:t>
            </w:r>
          </w:p>
        </w:tc>
        <w:tc>
          <w:tcPr>
            <w:tcW w:w="964" w:type="dxa"/>
            <w:shd w:val="clear" w:color="auto" w:fill="auto"/>
          </w:tcPr>
          <w:p w14:paraId="78B6C8EB" w14:textId="77777777" w:rsidR="00ED2EBD" w:rsidRPr="00BD16B4" w:rsidRDefault="00ED2EBD" w:rsidP="004A205F">
            <w:pPr>
              <w:pStyle w:val="TableText"/>
              <w:spacing w:before="40"/>
              <w:jc w:val="right"/>
              <w:rPr>
                <w:szCs w:val="18"/>
              </w:rPr>
            </w:pPr>
            <w:r w:rsidRPr="00BD16B4">
              <w:rPr>
                <w:szCs w:val="18"/>
              </w:rPr>
              <w:t>0.03</w:t>
            </w:r>
          </w:p>
        </w:tc>
        <w:tc>
          <w:tcPr>
            <w:tcW w:w="964" w:type="dxa"/>
            <w:shd w:val="clear" w:color="auto" w:fill="auto"/>
          </w:tcPr>
          <w:p w14:paraId="1746D743" w14:textId="77777777" w:rsidR="00ED2EBD" w:rsidRPr="00BD16B4" w:rsidRDefault="00ED2EBD" w:rsidP="004A205F">
            <w:pPr>
              <w:pStyle w:val="TableText"/>
              <w:spacing w:before="40"/>
              <w:jc w:val="right"/>
              <w:rPr>
                <w:szCs w:val="18"/>
              </w:rPr>
            </w:pPr>
            <w:r w:rsidRPr="00BD16B4">
              <w:rPr>
                <w:szCs w:val="18"/>
              </w:rPr>
              <w:t>0.03</w:t>
            </w:r>
          </w:p>
        </w:tc>
        <w:tc>
          <w:tcPr>
            <w:tcW w:w="964" w:type="dxa"/>
            <w:shd w:val="clear" w:color="auto" w:fill="auto"/>
          </w:tcPr>
          <w:p w14:paraId="13BCD5F9" w14:textId="77777777" w:rsidR="00ED2EBD" w:rsidRPr="00BD16B4" w:rsidRDefault="00ED2EBD" w:rsidP="004A205F">
            <w:pPr>
              <w:pStyle w:val="TableText"/>
              <w:spacing w:before="40"/>
              <w:jc w:val="right"/>
              <w:rPr>
                <w:szCs w:val="18"/>
              </w:rPr>
            </w:pPr>
            <w:r w:rsidRPr="00BD16B4">
              <w:rPr>
                <w:szCs w:val="18"/>
              </w:rPr>
              <w:t>0.03</w:t>
            </w:r>
          </w:p>
        </w:tc>
        <w:tc>
          <w:tcPr>
            <w:tcW w:w="964" w:type="dxa"/>
            <w:shd w:val="clear" w:color="auto" w:fill="auto"/>
          </w:tcPr>
          <w:p w14:paraId="4E696083" w14:textId="77777777" w:rsidR="00ED2EBD" w:rsidRPr="00BD16B4" w:rsidRDefault="00ED2EBD" w:rsidP="004A205F">
            <w:pPr>
              <w:pStyle w:val="TableText"/>
              <w:spacing w:before="40"/>
              <w:jc w:val="right"/>
              <w:rPr>
                <w:szCs w:val="18"/>
              </w:rPr>
            </w:pPr>
            <w:r w:rsidRPr="00BD16B4">
              <w:rPr>
                <w:szCs w:val="18"/>
              </w:rPr>
              <w:t>0.03</w:t>
            </w:r>
          </w:p>
        </w:tc>
        <w:tc>
          <w:tcPr>
            <w:tcW w:w="964" w:type="dxa"/>
            <w:shd w:val="clear" w:color="auto" w:fill="auto"/>
          </w:tcPr>
          <w:p w14:paraId="3BA85E20" w14:textId="77777777" w:rsidR="00ED2EBD" w:rsidRPr="00BD16B4" w:rsidRDefault="00ED2EBD" w:rsidP="004A205F">
            <w:pPr>
              <w:pStyle w:val="TableText"/>
              <w:spacing w:before="40"/>
              <w:jc w:val="right"/>
              <w:rPr>
                <w:szCs w:val="18"/>
              </w:rPr>
            </w:pPr>
            <w:r w:rsidRPr="00BD16B4">
              <w:rPr>
                <w:szCs w:val="18"/>
              </w:rPr>
              <w:t>0.03</w:t>
            </w:r>
          </w:p>
        </w:tc>
        <w:tc>
          <w:tcPr>
            <w:tcW w:w="964" w:type="dxa"/>
            <w:shd w:val="clear" w:color="auto" w:fill="auto"/>
          </w:tcPr>
          <w:p w14:paraId="452FD7FA" w14:textId="77777777" w:rsidR="00ED2EBD" w:rsidRPr="00BD16B4" w:rsidRDefault="00ED2EBD" w:rsidP="004A205F">
            <w:pPr>
              <w:pStyle w:val="TableText"/>
              <w:spacing w:before="40"/>
              <w:jc w:val="right"/>
              <w:rPr>
                <w:szCs w:val="18"/>
              </w:rPr>
            </w:pPr>
            <w:r w:rsidRPr="00BD16B4">
              <w:rPr>
                <w:szCs w:val="18"/>
              </w:rPr>
              <w:t>0.04</w:t>
            </w:r>
          </w:p>
        </w:tc>
        <w:tc>
          <w:tcPr>
            <w:tcW w:w="964" w:type="dxa"/>
            <w:shd w:val="clear" w:color="auto" w:fill="auto"/>
          </w:tcPr>
          <w:p w14:paraId="577D704E" w14:textId="77777777" w:rsidR="00ED2EBD" w:rsidRPr="00BD16B4" w:rsidRDefault="00ED2EBD" w:rsidP="004A205F">
            <w:pPr>
              <w:pStyle w:val="TableText"/>
              <w:spacing w:before="40"/>
              <w:jc w:val="right"/>
              <w:rPr>
                <w:szCs w:val="18"/>
              </w:rPr>
            </w:pPr>
            <w:r w:rsidRPr="00BD16B4">
              <w:rPr>
                <w:szCs w:val="18"/>
              </w:rPr>
              <w:t>0.04</w:t>
            </w:r>
          </w:p>
        </w:tc>
      </w:tr>
      <w:tr w:rsidR="00ED2EBD" w:rsidRPr="00BD16B4" w14:paraId="40A51A71" w14:textId="77777777" w:rsidTr="002A2A69">
        <w:tc>
          <w:tcPr>
            <w:tcW w:w="3397" w:type="dxa"/>
          </w:tcPr>
          <w:p w14:paraId="74EE7EC9" w14:textId="74567FE9" w:rsidR="00ED2EBD" w:rsidRPr="00BD16B4" w:rsidRDefault="00ED2EBD" w:rsidP="004A205F">
            <w:pPr>
              <w:pStyle w:val="TableText"/>
              <w:spacing w:before="40"/>
              <w:rPr>
                <w:szCs w:val="18"/>
              </w:rPr>
            </w:pPr>
            <w:r w:rsidRPr="00BD16B4">
              <w:rPr>
                <w:szCs w:val="18"/>
              </w:rPr>
              <w:t>C.</w:t>
            </w:r>
            <w:r w:rsidR="00280979" w:rsidRPr="00BD16B4">
              <w:rPr>
                <w:szCs w:val="18"/>
              </w:rPr>
              <w:t xml:space="preserve"> </w:t>
            </w:r>
            <w:r w:rsidRPr="00BD16B4">
              <w:rPr>
                <w:szCs w:val="18"/>
              </w:rPr>
              <w:t>Grassland</w:t>
            </w:r>
          </w:p>
        </w:tc>
        <w:tc>
          <w:tcPr>
            <w:tcW w:w="964" w:type="dxa"/>
            <w:shd w:val="clear" w:color="auto" w:fill="auto"/>
          </w:tcPr>
          <w:p w14:paraId="7C82CA79" w14:textId="77777777" w:rsidR="00ED2EBD" w:rsidRPr="00BD16B4" w:rsidRDefault="00ED2EBD" w:rsidP="004A205F">
            <w:pPr>
              <w:pStyle w:val="TableText"/>
              <w:spacing w:before="40"/>
              <w:jc w:val="right"/>
              <w:rPr>
                <w:szCs w:val="18"/>
              </w:rPr>
            </w:pPr>
            <w:r w:rsidRPr="00BD16B4">
              <w:rPr>
                <w:szCs w:val="18"/>
              </w:rPr>
              <w:t>0.21</w:t>
            </w:r>
          </w:p>
        </w:tc>
        <w:tc>
          <w:tcPr>
            <w:tcW w:w="964" w:type="dxa"/>
            <w:shd w:val="clear" w:color="auto" w:fill="auto"/>
          </w:tcPr>
          <w:p w14:paraId="409E72A0" w14:textId="77777777" w:rsidR="00ED2EBD" w:rsidRPr="00BD16B4" w:rsidRDefault="00ED2EBD" w:rsidP="004A205F">
            <w:pPr>
              <w:pStyle w:val="TableText"/>
              <w:spacing w:before="40"/>
              <w:jc w:val="right"/>
              <w:rPr>
                <w:szCs w:val="18"/>
              </w:rPr>
            </w:pPr>
            <w:r w:rsidRPr="00BD16B4">
              <w:rPr>
                <w:szCs w:val="18"/>
              </w:rPr>
              <w:t>0.19</w:t>
            </w:r>
          </w:p>
        </w:tc>
        <w:tc>
          <w:tcPr>
            <w:tcW w:w="964" w:type="dxa"/>
            <w:shd w:val="clear" w:color="auto" w:fill="auto"/>
          </w:tcPr>
          <w:p w14:paraId="19A048E8" w14:textId="77777777" w:rsidR="00ED2EBD" w:rsidRPr="00BD16B4" w:rsidRDefault="00ED2EBD" w:rsidP="004A205F">
            <w:pPr>
              <w:pStyle w:val="TableText"/>
              <w:spacing w:before="40"/>
              <w:jc w:val="right"/>
              <w:rPr>
                <w:szCs w:val="18"/>
              </w:rPr>
            </w:pPr>
            <w:r w:rsidRPr="00BD16B4">
              <w:rPr>
                <w:szCs w:val="18"/>
              </w:rPr>
              <w:t>0.18</w:t>
            </w:r>
          </w:p>
        </w:tc>
        <w:tc>
          <w:tcPr>
            <w:tcW w:w="964" w:type="dxa"/>
            <w:shd w:val="clear" w:color="auto" w:fill="auto"/>
          </w:tcPr>
          <w:p w14:paraId="3519AB86" w14:textId="77777777" w:rsidR="00ED2EBD" w:rsidRPr="00BD16B4" w:rsidRDefault="00ED2EBD" w:rsidP="004A205F">
            <w:pPr>
              <w:pStyle w:val="TableText"/>
              <w:spacing w:before="40"/>
              <w:jc w:val="right"/>
              <w:rPr>
                <w:szCs w:val="18"/>
              </w:rPr>
            </w:pPr>
            <w:r w:rsidRPr="00BD16B4">
              <w:rPr>
                <w:szCs w:val="18"/>
              </w:rPr>
              <w:t>0.17</w:t>
            </w:r>
          </w:p>
        </w:tc>
        <w:tc>
          <w:tcPr>
            <w:tcW w:w="964" w:type="dxa"/>
            <w:shd w:val="clear" w:color="auto" w:fill="auto"/>
          </w:tcPr>
          <w:p w14:paraId="34D5F2D8" w14:textId="77777777" w:rsidR="00ED2EBD" w:rsidRPr="00BD16B4" w:rsidRDefault="00ED2EBD" w:rsidP="004A205F">
            <w:pPr>
              <w:pStyle w:val="TableText"/>
              <w:spacing w:before="40"/>
              <w:jc w:val="right"/>
              <w:rPr>
                <w:szCs w:val="18"/>
              </w:rPr>
            </w:pPr>
            <w:r w:rsidRPr="00BD16B4">
              <w:rPr>
                <w:szCs w:val="18"/>
              </w:rPr>
              <w:t>0.15</w:t>
            </w:r>
          </w:p>
        </w:tc>
        <w:tc>
          <w:tcPr>
            <w:tcW w:w="964" w:type="dxa"/>
            <w:shd w:val="clear" w:color="auto" w:fill="auto"/>
          </w:tcPr>
          <w:p w14:paraId="0ED22708" w14:textId="77777777" w:rsidR="00ED2EBD" w:rsidRPr="00BD16B4" w:rsidRDefault="00ED2EBD" w:rsidP="004A205F">
            <w:pPr>
              <w:pStyle w:val="TableText"/>
              <w:spacing w:before="40"/>
              <w:jc w:val="right"/>
              <w:rPr>
                <w:szCs w:val="18"/>
              </w:rPr>
            </w:pPr>
            <w:r w:rsidRPr="00BD16B4">
              <w:rPr>
                <w:szCs w:val="18"/>
              </w:rPr>
              <w:t>0.15</w:t>
            </w:r>
          </w:p>
        </w:tc>
        <w:tc>
          <w:tcPr>
            <w:tcW w:w="964" w:type="dxa"/>
            <w:shd w:val="clear" w:color="auto" w:fill="auto"/>
          </w:tcPr>
          <w:p w14:paraId="2F301A3A" w14:textId="77777777" w:rsidR="00ED2EBD" w:rsidRPr="00BD16B4" w:rsidRDefault="00ED2EBD" w:rsidP="004A205F">
            <w:pPr>
              <w:pStyle w:val="TableText"/>
              <w:spacing w:before="40"/>
              <w:jc w:val="right"/>
              <w:rPr>
                <w:szCs w:val="18"/>
              </w:rPr>
            </w:pPr>
            <w:r w:rsidRPr="00BD16B4">
              <w:rPr>
                <w:szCs w:val="18"/>
              </w:rPr>
              <w:t>0.15</w:t>
            </w:r>
          </w:p>
        </w:tc>
        <w:tc>
          <w:tcPr>
            <w:tcW w:w="964" w:type="dxa"/>
            <w:shd w:val="clear" w:color="auto" w:fill="auto"/>
          </w:tcPr>
          <w:p w14:paraId="636ADF03" w14:textId="77777777" w:rsidR="00ED2EBD" w:rsidRPr="00BD16B4" w:rsidRDefault="00ED2EBD" w:rsidP="004A205F">
            <w:pPr>
              <w:pStyle w:val="TableText"/>
              <w:spacing w:before="40"/>
              <w:jc w:val="right"/>
              <w:rPr>
                <w:szCs w:val="18"/>
              </w:rPr>
            </w:pPr>
            <w:r w:rsidRPr="00BD16B4">
              <w:rPr>
                <w:szCs w:val="18"/>
              </w:rPr>
              <w:t>0.14</w:t>
            </w:r>
          </w:p>
        </w:tc>
        <w:tc>
          <w:tcPr>
            <w:tcW w:w="964" w:type="dxa"/>
            <w:shd w:val="clear" w:color="auto" w:fill="auto"/>
          </w:tcPr>
          <w:p w14:paraId="15FA5BEC" w14:textId="77777777" w:rsidR="00ED2EBD" w:rsidRPr="00BD16B4" w:rsidRDefault="00ED2EBD" w:rsidP="004A205F">
            <w:pPr>
              <w:pStyle w:val="TableText"/>
              <w:spacing w:before="40"/>
              <w:jc w:val="right"/>
              <w:rPr>
                <w:szCs w:val="18"/>
              </w:rPr>
            </w:pPr>
            <w:r w:rsidRPr="00BD16B4">
              <w:rPr>
                <w:szCs w:val="18"/>
              </w:rPr>
              <w:t>0.16</w:t>
            </w:r>
          </w:p>
        </w:tc>
      </w:tr>
      <w:tr w:rsidR="00ED2EBD" w:rsidRPr="00BD16B4" w14:paraId="0CB014A7" w14:textId="77777777" w:rsidTr="002A2A69">
        <w:tc>
          <w:tcPr>
            <w:tcW w:w="3397" w:type="dxa"/>
          </w:tcPr>
          <w:p w14:paraId="18F43340" w14:textId="0B3DA3C2" w:rsidR="00ED2EBD" w:rsidRPr="00BD16B4" w:rsidRDefault="00ED2EBD" w:rsidP="004A205F">
            <w:pPr>
              <w:pStyle w:val="TableText"/>
              <w:spacing w:before="40"/>
              <w:rPr>
                <w:szCs w:val="18"/>
              </w:rPr>
            </w:pPr>
            <w:r w:rsidRPr="00BD16B4">
              <w:rPr>
                <w:szCs w:val="18"/>
              </w:rPr>
              <w:t>D.</w:t>
            </w:r>
            <w:r w:rsidR="00280979" w:rsidRPr="00BD16B4">
              <w:rPr>
                <w:szCs w:val="18"/>
              </w:rPr>
              <w:t xml:space="preserve"> </w:t>
            </w:r>
            <w:r w:rsidRPr="00BD16B4">
              <w:rPr>
                <w:szCs w:val="18"/>
              </w:rPr>
              <w:t>Wetlands</w:t>
            </w:r>
          </w:p>
        </w:tc>
        <w:tc>
          <w:tcPr>
            <w:tcW w:w="964" w:type="dxa"/>
            <w:shd w:val="clear" w:color="auto" w:fill="auto"/>
          </w:tcPr>
          <w:p w14:paraId="6B5EDBB0"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311EED0B"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0A788D73"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4DD72F12"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5335AB84"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4D01C8F5"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58874F52"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59FAE157"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08A3BDAC" w14:textId="77777777" w:rsidR="00ED2EBD" w:rsidRPr="00BD16B4" w:rsidRDefault="00ED2EBD" w:rsidP="004A205F">
            <w:pPr>
              <w:pStyle w:val="TableText"/>
              <w:spacing w:before="40"/>
              <w:jc w:val="right"/>
              <w:rPr>
                <w:szCs w:val="18"/>
              </w:rPr>
            </w:pPr>
            <w:r w:rsidRPr="00BD16B4">
              <w:rPr>
                <w:szCs w:val="18"/>
              </w:rPr>
              <w:t>0.00</w:t>
            </w:r>
          </w:p>
        </w:tc>
      </w:tr>
      <w:tr w:rsidR="00ED2EBD" w:rsidRPr="00BD16B4" w14:paraId="3A25044E" w14:textId="77777777" w:rsidTr="002A2A69">
        <w:tc>
          <w:tcPr>
            <w:tcW w:w="3397" w:type="dxa"/>
          </w:tcPr>
          <w:p w14:paraId="5A1501BD" w14:textId="1DED931A" w:rsidR="00ED2EBD" w:rsidRPr="00BD16B4" w:rsidRDefault="00ED2EBD" w:rsidP="004A205F">
            <w:pPr>
              <w:pStyle w:val="TableText"/>
              <w:spacing w:before="40"/>
              <w:rPr>
                <w:szCs w:val="18"/>
              </w:rPr>
            </w:pPr>
            <w:r w:rsidRPr="00BD16B4">
              <w:rPr>
                <w:szCs w:val="18"/>
              </w:rPr>
              <w:t>E.</w:t>
            </w:r>
            <w:r w:rsidR="00280979" w:rsidRPr="00BD16B4">
              <w:rPr>
                <w:szCs w:val="18"/>
              </w:rPr>
              <w:t xml:space="preserve"> </w:t>
            </w:r>
            <w:r w:rsidRPr="00BD16B4">
              <w:rPr>
                <w:szCs w:val="18"/>
              </w:rPr>
              <w:t xml:space="preserve">Settlements </w:t>
            </w:r>
          </w:p>
        </w:tc>
        <w:tc>
          <w:tcPr>
            <w:tcW w:w="964" w:type="dxa"/>
            <w:shd w:val="clear" w:color="auto" w:fill="auto"/>
          </w:tcPr>
          <w:p w14:paraId="72F09CE7"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13C043AE"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51F12421"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2B03EF7D"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51075EA8"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22C7417A"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5127B51E"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7B5C2AE5"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19E67BB8" w14:textId="77777777" w:rsidR="00ED2EBD" w:rsidRPr="00BD16B4" w:rsidRDefault="00ED2EBD" w:rsidP="004A205F">
            <w:pPr>
              <w:pStyle w:val="TableText"/>
              <w:spacing w:before="40"/>
              <w:jc w:val="right"/>
              <w:rPr>
                <w:szCs w:val="18"/>
              </w:rPr>
            </w:pPr>
            <w:r w:rsidRPr="00BD16B4">
              <w:rPr>
                <w:szCs w:val="18"/>
              </w:rPr>
              <w:t>0.00</w:t>
            </w:r>
          </w:p>
        </w:tc>
      </w:tr>
      <w:tr w:rsidR="00ED2EBD" w:rsidRPr="00BD16B4" w14:paraId="2A29146C" w14:textId="77777777" w:rsidTr="002A2A69">
        <w:tc>
          <w:tcPr>
            <w:tcW w:w="3397" w:type="dxa"/>
          </w:tcPr>
          <w:p w14:paraId="39230299" w14:textId="78A034DC" w:rsidR="00ED2EBD" w:rsidRPr="00BD16B4" w:rsidRDefault="00ED2EBD" w:rsidP="004A205F">
            <w:pPr>
              <w:pStyle w:val="TableText"/>
              <w:spacing w:before="40"/>
              <w:rPr>
                <w:szCs w:val="18"/>
              </w:rPr>
            </w:pPr>
            <w:r w:rsidRPr="00BD16B4">
              <w:rPr>
                <w:szCs w:val="18"/>
              </w:rPr>
              <w:t>F.</w:t>
            </w:r>
            <w:r w:rsidR="00280979" w:rsidRPr="00BD16B4">
              <w:rPr>
                <w:szCs w:val="18"/>
              </w:rPr>
              <w:t xml:space="preserve"> </w:t>
            </w:r>
            <w:r w:rsidRPr="00BD16B4">
              <w:rPr>
                <w:szCs w:val="18"/>
              </w:rPr>
              <w:t>Other land</w:t>
            </w:r>
          </w:p>
        </w:tc>
        <w:tc>
          <w:tcPr>
            <w:tcW w:w="964" w:type="dxa"/>
            <w:tcBorders>
              <w:bottom w:val="single" w:sz="4" w:space="0" w:color="1B556B" w:themeColor="text2"/>
            </w:tcBorders>
            <w:shd w:val="clear" w:color="auto" w:fill="auto"/>
          </w:tcPr>
          <w:p w14:paraId="0F276E64" w14:textId="77777777" w:rsidR="00ED2EBD" w:rsidRPr="00BD16B4" w:rsidRDefault="00ED2EBD" w:rsidP="004A205F">
            <w:pPr>
              <w:pStyle w:val="TableText"/>
              <w:spacing w:before="40"/>
              <w:jc w:val="right"/>
              <w:rPr>
                <w:szCs w:val="18"/>
              </w:rPr>
            </w:pPr>
            <w:r w:rsidRPr="00BD16B4">
              <w:rPr>
                <w:szCs w:val="18"/>
              </w:rPr>
              <w:t>0.00</w:t>
            </w:r>
          </w:p>
        </w:tc>
        <w:tc>
          <w:tcPr>
            <w:tcW w:w="964" w:type="dxa"/>
            <w:tcBorders>
              <w:bottom w:val="single" w:sz="4" w:space="0" w:color="1B556B" w:themeColor="text2"/>
            </w:tcBorders>
            <w:shd w:val="clear" w:color="auto" w:fill="auto"/>
          </w:tcPr>
          <w:p w14:paraId="76C2BEC1" w14:textId="77777777" w:rsidR="00ED2EBD" w:rsidRPr="00BD16B4" w:rsidRDefault="00ED2EBD" w:rsidP="004A205F">
            <w:pPr>
              <w:pStyle w:val="TableText"/>
              <w:spacing w:before="40"/>
              <w:jc w:val="right"/>
              <w:rPr>
                <w:szCs w:val="18"/>
              </w:rPr>
            </w:pPr>
            <w:r w:rsidRPr="00BD16B4">
              <w:rPr>
                <w:szCs w:val="18"/>
              </w:rPr>
              <w:t>0.00</w:t>
            </w:r>
          </w:p>
        </w:tc>
        <w:tc>
          <w:tcPr>
            <w:tcW w:w="964" w:type="dxa"/>
            <w:tcBorders>
              <w:bottom w:val="single" w:sz="4" w:space="0" w:color="1B556B" w:themeColor="text2"/>
            </w:tcBorders>
            <w:shd w:val="clear" w:color="auto" w:fill="auto"/>
          </w:tcPr>
          <w:p w14:paraId="281CD672" w14:textId="77777777" w:rsidR="00ED2EBD" w:rsidRPr="00BD16B4" w:rsidRDefault="00ED2EBD" w:rsidP="004A205F">
            <w:pPr>
              <w:pStyle w:val="TableText"/>
              <w:spacing w:before="40"/>
              <w:jc w:val="right"/>
              <w:rPr>
                <w:szCs w:val="18"/>
              </w:rPr>
            </w:pPr>
            <w:r w:rsidRPr="00BD16B4">
              <w:rPr>
                <w:szCs w:val="18"/>
              </w:rPr>
              <w:t>0.00</w:t>
            </w:r>
          </w:p>
        </w:tc>
        <w:tc>
          <w:tcPr>
            <w:tcW w:w="964" w:type="dxa"/>
            <w:tcBorders>
              <w:bottom w:val="single" w:sz="4" w:space="0" w:color="1B556B" w:themeColor="text2"/>
            </w:tcBorders>
            <w:shd w:val="clear" w:color="auto" w:fill="auto"/>
          </w:tcPr>
          <w:p w14:paraId="755B8F47" w14:textId="77777777" w:rsidR="00ED2EBD" w:rsidRPr="00BD16B4" w:rsidRDefault="00ED2EBD" w:rsidP="004A205F">
            <w:pPr>
              <w:pStyle w:val="TableText"/>
              <w:spacing w:before="40"/>
              <w:jc w:val="right"/>
              <w:rPr>
                <w:szCs w:val="18"/>
              </w:rPr>
            </w:pPr>
            <w:r w:rsidRPr="00BD16B4">
              <w:rPr>
                <w:szCs w:val="18"/>
              </w:rPr>
              <w:t>0.00</w:t>
            </w:r>
          </w:p>
        </w:tc>
        <w:tc>
          <w:tcPr>
            <w:tcW w:w="964" w:type="dxa"/>
            <w:tcBorders>
              <w:bottom w:val="single" w:sz="4" w:space="0" w:color="1B556B" w:themeColor="text2"/>
            </w:tcBorders>
            <w:shd w:val="clear" w:color="auto" w:fill="auto"/>
          </w:tcPr>
          <w:p w14:paraId="54949C04" w14:textId="77777777" w:rsidR="00ED2EBD" w:rsidRPr="00BD16B4" w:rsidRDefault="00ED2EBD" w:rsidP="004A205F">
            <w:pPr>
              <w:pStyle w:val="TableText"/>
              <w:spacing w:before="40"/>
              <w:jc w:val="right"/>
              <w:rPr>
                <w:szCs w:val="18"/>
              </w:rPr>
            </w:pPr>
            <w:r w:rsidRPr="00BD16B4">
              <w:rPr>
                <w:szCs w:val="18"/>
              </w:rPr>
              <w:t>0.00</w:t>
            </w:r>
          </w:p>
        </w:tc>
        <w:tc>
          <w:tcPr>
            <w:tcW w:w="964" w:type="dxa"/>
            <w:tcBorders>
              <w:bottom w:val="single" w:sz="4" w:space="0" w:color="1B556B" w:themeColor="text2"/>
            </w:tcBorders>
            <w:shd w:val="clear" w:color="auto" w:fill="auto"/>
          </w:tcPr>
          <w:p w14:paraId="64321DCB" w14:textId="77777777" w:rsidR="00ED2EBD" w:rsidRPr="00BD16B4" w:rsidRDefault="00ED2EBD" w:rsidP="004A205F">
            <w:pPr>
              <w:pStyle w:val="TableText"/>
              <w:spacing w:before="40"/>
              <w:jc w:val="right"/>
              <w:rPr>
                <w:szCs w:val="18"/>
              </w:rPr>
            </w:pPr>
            <w:r w:rsidRPr="00BD16B4">
              <w:rPr>
                <w:szCs w:val="18"/>
              </w:rPr>
              <w:t>0.00</w:t>
            </w:r>
          </w:p>
        </w:tc>
        <w:tc>
          <w:tcPr>
            <w:tcW w:w="964" w:type="dxa"/>
            <w:tcBorders>
              <w:bottom w:val="single" w:sz="4" w:space="0" w:color="1B556B" w:themeColor="text2"/>
            </w:tcBorders>
            <w:shd w:val="clear" w:color="auto" w:fill="auto"/>
          </w:tcPr>
          <w:p w14:paraId="71ADD480" w14:textId="77777777" w:rsidR="00ED2EBD" w:rsidRPr="00BD16B4" w:rsidRDefault="00ED2EBD" w:rsidP="004A205F">
            <w:pPr>
              <w:pStyle w:val="TableText"/>
              <w:spacing w:before="40"/>
              <w:jc w:val="right"/>
              <w:rPr>
                <w:szCs w:val="18"/>
              </w:rPr>
            </w:pPr>
            <w:r w:rsidRPr="00BD16B4">
              <w:rPr>
                <w:szCs w:val="18"/>
              </w:rPr>
              <w:t>0.00</w:t>
            </w:r>
          </w:p>
        </w:tc>
        <w:tc>
          <w:tcPr>
            <w:tcW w:w="964" w:type="dxa"/>
            <w:tcBorders>
              <w:bottom w:val="single" w:sz="4" w:space="0" w:color="1B556B" w:themeColor="text2"/>
            </w:tcBorders>
            <w:shd w:val="clear" w:color="auto" w:fill="auto"/>
          </w:tcPr>
          <w:p w14:paraId="34BE37F3" w14:textId="77777777" w:rsidR="00ED2EBD" w:rsidRPr="00BD16B4" w:rsidRDefault="00ED2EBD" w:rsidP="004A205F">
            <w:pPr>
              <w:pStyle w:val="TableText"/>
              <w:spacing w:before="40"/>
              <w:jc w:val="right"/>
              <w:rPr>
                <w:szCs w:val="18"/>
              </w:rPr>
            </w:pPr>
            <w:r w:rsidRPr="00BD16B4">
              <w:rPr>
                <w:szCs w:val="18"/>
              </w:rPr>
              <w:t>0.00</w:t>
            </w:r>
          </w:p>
        </w:tc>
        <w:tc>
          <w:tcPr>
            <w:tcW w:w="964" w:type="dxa"/>
            <w:tcBorders>
              <w:bottom w:val="single" w:sz="4" w:space="0" w:color="1B556B" w:themeColor="text2"/>
            </w:tcBorders>
            <w:shd w:val="clear" w:color="auto" w:fill="auto"/>
          </w:tcPr>
          <w:p w14:paraId="00752C17" w14:textId="77777777" w:rsidR="00ED2EBD" w:rsidRPr="00BD16B4" w:rsidRDefault="00ED2EBD" w:rsidP="004A205F">
            <w:pPr>
              <w:pStyle w:val="TableText"/>
              <w:spacing w:before="40"/>
              <w:jc w:val="right"/>
              <w:rPr>
                <w:szCs w:val="18"/>
              </w:rPr>
            </w:pPr>
            <w:r w:rsidRPr="00BD16B4">
              <w:rPr>
                <w:szCs w:val="18"/>
              </w:rPr>
              <w:t>0.00</w:t>
            </w:r>
          </w:p>
        </w:tc>
      </w:tr>
      <w:tr w:rsidR="00ED2EBD" w:rsidRPr="00BD16B4" w14:paraId="0AC0553F" w14:textId="77777777" w:rsidTr="002A2A69">
        <w:tc>
          <w:tcPr>
            <w:tcW w:w="3397" w:type="dxa"/>
          </w:tcPr>
          <w:p w14:paraId="05013135" w14:textId="15ECA782" w:rsidR="00ED2EBD" w:rsidRPr="00BD16B4" w:rsidRDefault="00ED2EBD" w:rsidP="004A205F">
            <w:pPr>
              <w:pStyle w:val="TableText"/>
              <w:spacing w:before="40"/>
              <w:rPr>
                <w:szCs w:val="18"/>
              </w:rPr>
            </w:pPr>
            <w:r w:rsidRPr="00BD16B4">
              <w:rPr>
                <w:szCs w:val="18"/>
              </w:rPr>
              <w:t>G.</w:t>
            </w:r>
            <w:r w:rsidR="00280979" w:rsidRPr="00BD16B4">
              <w:rPr>
                <w:szCs w:val="18"/>
              </w:rPr>
              <w:t xml:space="preserve"> </w:t>
            </w:r>
            <w:r w:rsidRPr="00BD16B4">
              <w:rPr>
                <w:szCs w:val="18"/>
              </w:rPr>
              <w:t>Harvested wood products</w:t>
            </w:r>
          </w:p>
        </w:tc>
        <w:tc>
          <w:tcPr>
            <w:tcW w:w="964" w:type="dxa"/>
            <w:tcBorders>
              <w:top w:val="single" w:sz="4" w:space="0" w:color="1B556B" w:themeColor="text2"/>
            </w:tcBorders>
            <w:shd w:val="clear" w:color="auto" w:fill="D2DDE1" w:themeFill="background2"/>
          </w:tcPr>
          <w:p w14:paraId="19C95F30"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5D55749D"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26787C3"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8D00208"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EEABD9A"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E78AED6"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6D8252E"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D171C98"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AB0C69E"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3B8419D8" w14:textId="77777777" w:rsidTr="002A2A69">
        <w:tc>
          <w:tcPr>
            <w:tcW w:w="3397" w:type="dxa"/>
          </w:tcPr>
          <w:p w14:paraId="0F930E0F" w14:textId="105472FC" w:rsidR="00ED2EBD" w:rsidRPr="00BD16B4" w:rsidRDefault="00ED2EBD" w:rsidP="004A205F">
            <w:pPr>
              <w:pStyle w:val="TableText"/>
              <w:spacing w:before="40"/>
              <w:rPr>
                <w:szCs w:val="18"/>
              </w:rPr>
            </w:pPr>
            <w:r w:rsidRPr="00BD16B4">
              <w:rPr>
                <w:szCs w:val="18"/>
              </w:rPr>
              <w:t>H.</w:t>
            </w:r>
            <w:r w:rsidR="00280979" w:rsidRPr="00BD16B4">
              <w:rPr>
                <w:szCs w:val="18"/>
              </w:rPr>
              <w:t xml:space="preserve"> </w:t>
            </w:r>
            <w:r w:rsidRPr="00BD16B4">
              <w:rPr>
                <w:szCs w:val="18"/>
              </w:rPr>
              <w:t>Other</w:t>
            </w:r>
            <w:r w:rsidR="00280979" w:rsidRPr="00BD16B4">
              <w:rPr>
                <w:szCs w:val="18"/>
              </w:rPr>
              <w:t xml:space="preserve"> </w:t>
            </w:r>
          </w:p>
        </w:tc>
        <w:tc>
          <w:tcPr>
            <w:tcW w:w="964" w:type="dxa"/>
            <w:shd w:val="clear" w:color="auto" w:fill="auto"/>
          </w:tcPr>
          <w:p w14:paraId="178F0375" w14:textId="77777777" w:rsidR="00ED2EBD" w:rsidRPr="00BD16B4" w:rsidRDefault="00ED2EBD" w:rsidP="004A205F">
            <w:pPr>
              <w:pStyle w:val="TableText"/>
              <w:spacing w:before="40"/>
              <w:jc w:val="right"/>
              <w:rPr>
                <w:szCs w:val="18"/>
              </w:rPr>
            </w:pPr>
            <w:r w:rsidRPr="00BD16B4">
              <w:rPr>
                <w:szCs w:val="18"/>
              </w:rPr>
              <w:t>NA</w:t>
            </w:r>
          </w:p>
        </w:tc>
        <w:tc>
          <w:tcPr>
            <w:tcW w:w="964" w:type="dxa"/>
            <w:shd w:val="clear" w:color="auto" w:fill="auto"/>
          </w:tcPr>
          <w:p w14:paraId="64846735" w14:textId="77777777" w:rsidR="00ED2EBD" w:rsidRPr="00BD16B4" w:rsidRDefault="00ED2EBD" w:rsidP="004A205F">
            <w:pPr>
              <w:pStyle w:val="TableText"/>
              <w:spacing w:before="40"/>
              <w:jc w:val="right"/>
              <w:rPr>
                <w:szCs w:val="18"/>
              </w:rPr>
            </w:pPr>
            <w:r w:rsidRPr="00BD16B4">
              <w:rPr>
                <w:szCs w:val="18"/>
              </w:rPr>
              <w:t>NA</w:t>
            </w:r>
          </w:p>
        </w:tc>
        <w:tc>
          <w:tcPr>
            <w:tcW w:w="964" w:type="dxa"/>
            <w:shd w:val="clear" w:color="auto" w:fill="auto"/>
          </w:tcPr>
          <w:p w14:paraId="467855F0" w14:textId="77777777" w:rsidR="00ED2EBD" w:rsidRPr="00BD16B4" w:rsidRDefault="00ED2EBD" w:rsidP="004A205F">
            <w:pPr>
              <w:pStyle w:val="TableText"/>
              <w:spacing w:before="40"/>
              <w:jc w:val="right"/>
              <w:rPr>
                <w:szCs w:val="18"/>
              </w:rPr>
            </w:pPr>
            <w:r w:rsidRPr="00BD16B4">
              <w:rPr>
                <w:szCs w:val="18"/>
              </w:rPr>
              <w:t>NA</w:t>
            </w:r>
          </w:p>
        </w:tc>
        <w:tc>
          <w:tcPr>
            <w:tcW w:w="964" w:type="dxa"/>
            <w:shd w:val="clear" w:color="auto" w:fill="auto"/>
          </w:tcPr>
          <w:p w14:paraId="1185B16E" w14:textId="77777777" w:rsidR="00ED2EBD" w:rsidRPr="00BD16B4" w:rsidRDefault="00ED2EBD" w:rsidP="004A205F">
            <w:pPr>
              <w:pStyle w:val="TableText"/>
              <w:spacing w:before="40"/>
              <w:jc w:val="right"/>
              <w:rPr>
                <w:szCs w:val="18"/>
              </w:rPr>
            </w:pPr>
            <w:r w:rsidRPr="00BD16B4">
              <w:rPr>
                <w:szCs w:val="18"/>
              </w:rPr>
              <w:t>NA</w:t>
            </w:r>
          </w:p>
        </w:tc>
        <w:tc>
          <w:tcPr>
            <w:tcW w:w="964" w:type="dxa"/>
            <w:shd w:val="clear" w:color="auto" w:fill="auto"/>
          </w:tcPr>
          <w:p w14:paraId="50F48940" w14:textId="77777777" w:rsidR="00ED2EBD" w:rsidRPr="00BD16B4" w:rsidRDefault="00ED2EBD" w:rsidP="004A205F">
            <w:pPr>
              <w:pStyle w:val="TableText"/>
              <w:spacing w:before="40"/>
              <w:jc w:val="right"/>
              <w:rPr>
                <w:szCs w:val="18"/>
              </w:rPr>
            </w:pPr>
            <w:r w:rsidRPr="00BD16B4">
              <w:rPr>
                <w:szCs w:val="18"/>
              </w:rPr>
              <w:t>NA</w:t>
            </w:r>
          </w:p>
        </w:tc>
        <w:tc>
          <w:tcPr>
            <w:tcW w:w="964" w:type="dxa"/>
            <w:shd w:val="clear" w:color="auto" w:fill="auto"/>
          </w:tcPr>
          <w:p w14:paraId="5042303E" w14:textId="77777777" w:rsidR="00ED2EBD" w:rsidRPr="00BD16B4" w:rsidRDefault="00ED2EBD" w:rsidP="004A205F">
            <w:pPr>
              <w:pStyle w:val="TableText"/>
              <w:spacing w:before="40"/>
              <w:jc w:val="right"/>
              <w:rPr>
                <w:szCs w:val="18"/>
              </w:rPr>
            </w:pPr>
            <w:r w:rsidRPr="00BD16B4">
              <w:rPr>
                <w:szCs w:val="18"/>
              </w:rPr>
              <w:t>NA</w:t>
            </w:r>
          </w:p>
        </w:tc>
        <w:tc>
          <w:tcPr>
            <w:tcW w:w="964" w:type="dxa"/>
            <w:shd w:val="clear" w:color="auto" w:fill="auto"/>
          </w:tcPr>
          <w:p w14:paraId="1641AC1E" w14:textId="77777777" w:rsidR="00ED2EBD" w:rsidRPr="00BD16B4" w:rsidRDefault="00ED2EBD" w:rsidP="004A205F">
            <w:pPr>
              <w:pStyle w:val="TableText"/>
              <w:spacing w:before="40"/>
              <w:jc w:val="right"/>
              <w:rPr>
                <w:szCs w:val="18"/>
              </w:rPr>
            </w:pPr>
            <w:r w:rsidRPr="00BD16B4">
              <w:rPr>
                <w:szCs w:val="18"/>
              </w:rPr>
              <w:t>NA</w:t>
            </w:r>
          </w:p>
        </w:tc>
        <w:tc>
          <w:tcPr>
            <w:tcW w:w="964" w:type="dxa"/>
            <w:shd w:val="clear" w:color="auto" w:fill="auto"/>
          </w:tcPr>
          <w:p w14:paraId="7074BC75" w14:textId="77777777" w:rsidR="00ED2EBD" w:rsidRPr="00BD16B4" w:rsidRDefault="00ED2EBD" w:rsidP="004A205F">
            <w:pPr>
              <w:pStyle w:val="TableText"/>
              <w:spacing w:before="40"/>
              <w:jc w:val="right"/>
              <w:rPr>
                <w:szCs w:val="18"/>
              </w:rPr>
            </w:pPr>
            <w:r w:rsidRPr="00BD16B4">
              <w:rPr>
                <w:szCs w:val="18"/>
              </w:rPr>
              <w:t>NA</w:t>
            </w:r>
          </w:p>
        </w:tc>
        <w:tc>
          <w:tcPr>
            <w:tcW w:w="964" w:type="dxa"/>
            <w:shd w:val="clear" w:color="auto" w:fill="auto"/>
          </w:tcPr>
          <w:p w14:paraId="496ED23C" w14:textId="77777777" w:rsidR="00ED2EBD" w:rsidRPr="00BD16B4" w:rsidRDefault="00ED2EBD" w:rsidP="004A205F">
            <w:pPr>
              <w:pStyle w:val="TableText"/>
              <w:spacing w:before="40"/>
              <w:jc w:val="right"/>
              <w:rPr>
                <w:szCs w:val="18"/>
              </w:rPr>
            </w:pPr>
            <w:r w:rsidRPr="00BD16B4">
              <w:rPr>
                <w:szCs w:val="18"/>
              </w:rPr>
              <w:t>NA</w:t>
            </w:r>
          </w:p>
        </w:tc>
      </w:tr>
      <w:tr w:rsidR="00ED2EBD" w:rsidRPr="00BD16B4" w14:paraId="405E7F9E" w14:textId="77777777" w:rsidTr="002A2A69">
        <w:tc>
          <w:tcPr>
            <w:tcW w:w="3397" w:type="dxa"/>
          </w:tcPr>
          <w:p w14:paraId="55E04956" w14:textId="3AF5E68B" w:rsidR="00ED2EBD" w:rsidRPr="00BD16B4" w:rsidRDefault="00ED2EBD" w:rsidP="004625B0">
            <w:pPr>
              <w:pStyle w:val="TableText"/>
              <w:keepNext/>
              <w:spacing w:before="40"/>
              <w:rPr>
                <w:szCs w:val="18"/>
              </w:rPr>
            </w:pPr>
            <w:r w:rsidRPr="00BD16B4">
              <w:rPr>
                <w:b/>
                <w:bCs/>
                <w:szCs w:val="18"/>
              </w:rPr>
              <w:lastRenderedPageBreak/>
              <w:t>5.</w:t>
            </w:r>
            <w:r w:rsidR="00280979" w:rsidRPr="00BD16B4">
              <w:rPr>
                <w:b/>
                <w:bCs/>
                <w:szCs w:val="18"/>
              </w:rPr>
              <w:t xml:space="preserve"> </w:t>
            </w:r>
            <w:r w:rsidRPr="00BD16B4">
              <w:rPr>
                <w:b/>
                <w:bCs/>
                <w:szCs w:val="18"/>
              </w:rPr>
              <w:t>Waste</w:t>
            </w:r>
          </w:p>
        </w:tc>
        <w:tc>
          <w:tcPr>
            <w:tcW w:w="964" w:type="dxa"/>
            <w:tcBorders>
              <w:bottom w:val="single" w:sz="4" w:space="0" w:color="1B556B" w:themeColor="text2"/>
            </w:tcBorders>
            <w:shd w:val="clear" w:color="auto" w:fill="auto"/>
          </w:tcPr>
          <w:p w14:paraId="186A483A" w14:textId="77777777" w:rsidR="00ED2EBD" w:rsidRPr="00BD16B4" w:rsidRDefault="00ED2EBD" w:rsidP="004A205F">
            <w:pPr>
              <w:pStyle w:val="TableText"/>
              <w:spacing w:before="40"/>
              <w:jc w:val="right"/>
              <w:rPr>
                <w:szCs w:val="18"/>
              </w:rPr>
            </w:pPr>
            <w:r w:rsidRPr="00BD16B4">
              <w:rPr>
                <w:szCs w:val="18"/>
              </w:rPr>
              <w:t>0.38</w:t>
            </w:r>
          </w:p>
        </w:tc>
        <w:tc>
          <w:tcPr>
            <w:tcW w:w="964" w:type="dxa"/>
            <w:tcBorders>
              <w:bottom w:val="single" w:sz="4" w:space="0" w:color="1B556B" w:themeColor="text2"/>
            </w:tcBorders>
            <w:shd w:val="clear" w:color="auto" w:fill="auto"/>
          </w:tcPr>
          <w:p w14:paraId="4061A6B2" w14:textId="77777777" w:rsidR="00ED2EBD" w:rsidRPr="00BD16B4" w:rsidRDefault="00ED2EBD" w:rsidP="004A205F">
            <w:pPr>
              <w:pStyle w:val="TableText"/>
              <w:spacing w:before="40"/>
              <w:jc w:val="right"/>
              <w:rPr>
                <w:szCs w:val="18"/>
              </w:rPr>
            </w:pPr>
            <w:r w:rsidRPr="00BD16B4">
              <w:rPr>
                <w:szCs w:val="18"/>
              </w:rPr>
              <w:t>0.39</w:t>
            </w:r>
          </w:p>
        </w:tc>
        <w:tc>
          <w:tcPr>
            <w:tcW w:w="964" w:type="dxa"/>
            <w:tcBorders>
              <w:bottom w:val="single" w:sz="4" w:space="0" w:color="1B556B" w:themeColor="text2"/>
            </w:tcBorders>
            <w:shd w:val="clear" w:color="auto" w:fill="auto"/>
          </w:tcPr>
          <w:p w14:paraId="7D44DB65" w14:textId="77777777" w:rsidR="00ED2EBD" w:rsidRPr="00BD16B4" w:rsidRDefault="00ED2EBD" w:rsidP="004A205F">
            <w:pPr>
              <w:pStyle w:val="TableText"/>
              <w:spacing w:before="40"/>
              <w:jc w:val="right"/>
              <w:rPr>
                <w:szCs w:val="18"/>
              </w:rPr>
            </w:pPr>
            <w:r w:rsidRPr="00BD16B4">
              <w:rPr>
                <w:szCs w:val="18"/>
              </w:rPr>
              <w:t>0.39</w:t>
            </w:r>
          </w:p>
        </w:tc>
        <w:tc>
          <w:tcPr>
            <w:tcW w:w="964" w:type="dxa"/>
            <w:tcBorders>
              <w:bottom w:val="single" w:sz="4" w:space="0" w:color="1B556B" w:themeColor="text2"/>
            </w:tcBorders>
            <w:shd w:val="clear" w:color="auto" w:fill="auto"/>
          </w:tcPr>
          <w:p w14:paraId="55A19EA3" w14:textId="77777777" w:rsidR="00ED2EBD" w:rsidRPr="00BD16B4" w:rsidRDefault="00ED2EBD" w:rsidP="004A205F">
            <w:pPr>
              <w:pStyle w:val="TableText"/>
              <w:spacing w:before="40"/>
              <w:jc w:val="right"/>
              <w:rPr>
                <w:szCs w:val="18"/>
              </w:rPr>
            </w:pPr>
            <w:r w:rsidRPr="00BD16B4">
              <w:rPr>
                <w:szCs w:val="18"/>
              </w:rPr>
              <w:t>0.40</w:t>
            </w:r>
          </w:p>
        </w:tc>
        <w:tc>
          <w:tcPr>
            <w:tcW w:w="964" w:type="dxa"/>
            <w:tcBorders>
              <w:bottom w:val="single" w:sz="4" w:space="0" w:color="1B556B" w:themeColor="text2"/>
            </w:tcBorders>
            <w:shd w:val="clear" w:color="auto" w:fill="auto"/>
          </w:tcPr>
          <w:p w14:paraId="344FB140" w14:textId="77777777" w:rsidR="00ED2EBD" w:rsidRPr="00BD16B4" w:rsidRDefault="00ED2EBD" w:rsidP="004A205F">
            <w:pPr>
              <w:pStyle w:val="TableText"/>
              <w:spacing w:before="40"/>
              <w:jc w:val="right"/>
              <w:rPr>
                <w:szCs w:val="18"/>
              </w:rPr>
            </w:pPr>
            <w:r w:rsidRPr="00BD16B4">
              <w:rPr>
                <w:szCs w:val="18"/>
              </w:rPr>
              <w:t>0.39</w:t>
            </w:r>
          </w:p>
        </w:tc>
        <w:tc>
          <w:tcPr>
            <w:tcW w:w="964" w:type="dxa"/>
            <w:tcBorders>
              <w:bottom w:val="single" w:sz="4" w:space="0" w:color="1B556B" w:themeColor="text2"/>
            </w:tcBorders>
            <w:shd w:val="clear" w:color="auto" w:fill="auto"/>
          </w:tcPr>
          <w:p w14:paraId="704FBC83" w14:textId="77777777" w:rsidR="00ED2EBD" w:rsidRPr="00BD16B4" w:rsidRDefault="00ED2EBD" w:rsidP="004A205F">
            <w:pPr>
              <w:pStyle w:val="TableText"/>
              <w:spacing w:before="40"/>
              <w:jc w:val="right"/>
              <w:rPr>
                <w:szCs w:val="18"/>
              </w:rPr>
            </w:pPr>
            <w:r w:rsidRPr="00BD16B4">
              <w:rPr>
                <w:szCs w:val="18"/>
              </w:rPr>
              <w:t>0.39</w:t>
            </w:r>
          </w:p>
        </w:tc>
        <w:tc>
          <w:tcPr>
            <w:tcW w:w="964" w:type="dxa"/>
            <w:tcBorders>
              <w:bottom w:val="single" w:sz="4" w:space="0" w:color="1B556B" w:themeColor="text2"/>
            </w:tcBorders>
            <w:shd w:val="clear" w:color="auto" w:fill="auto"/>
          </w:tcPr>
          <w:p w14:paraId="3DFFECBE" w14:textId="77777777" w:rsidR="00ED2EBD" w:rsidRPr="00BD16B4" w:rsidRDefault="00ED2EBD" w:rsidP="004A205F">
            <w:pPr>
              <w:pStyle w:val="TableText"/>
              <w:spacing w:before="40"/>
              <w:jc w:val="right"/>
              <w:rPr>
                <w:szCs w:val="18"/>
              </w:rPr>
            </w:pPr>
            <w:r w:rsidRPr="00BD16B4">
              <w:rPr>
                <w:szCs w:val="18"/>
              </w:rPr>
              <w:t>0.39</w:t>
            </w:r>
          </w:p>
        </w:tc>
        <w:tc>
          <w:tcPr>
            <w:tcW w:w="964" w:type="dxa"/>
            <w:tcBorders>
              <w:bottom w:val="single" w:sz="4" w:space="0" w:color="1B556B" w:themeColor="text2"/>
            </w:tcBorders>
            <w:shd w:val="clear" w:color="auto" w:fill="auto"/>
          </w:tcPr>
          <w:p w14:paraId="1E2A184E" w14:textId="77777777" w:rsidR="00ED2EBD" w:rsidRPr="00BD16B4" w:rsidRDefault="00ED2EBD" w:rsidP="004A205F">
            <w:pPr>
              <w:pStyle w:val="TableText"/>
              <w:spacing w:before="40"/>
              <w:jc w:val="right"/>
              <w:rPr>
                <w:szCs w:val="18"/>
              </w:rPr>
            </w:pPr>
            <w:r w:rsidRPr="00BD16B4">
              <w:rPr>
                <w:szCs w:val="18"/>
              </w:rPr>
              <w:t>0.40</w:t>
            </w:r>
          </w:p>
        </w:tc>
        <w:tc>
          <w:tcPr>
            <w:tcW w:w="964" w:type="dxa"/>
            <w:tcBorders>
              <w:bottom w:val="single" w:sz="4" w:space="0" w:color="1B556B" w:themeColor="text2"/>
            </w:tcBorders>
            <w:shd w:val="clear" w:color="auto" w:fill="auto"/>
          </w:tcPr>
          <w:p w14:paraId="4FF335A9" w14:textId="77777777" w:rsidR="00ED2EBD" w:rsidRPr="00BD16B4" w:rsidRDefault="00ED2EBD" w:rsidP="004A205F">
            <w:pPr>
              <w:pStyle w:val="TableText"/>
              <w:spacing w:before="40"/>
              <w:jc w:val="right"/>
              <w:rPr>
                <w:szCs w:val="18"/>
              </w:rPr>
            </w:pPr>
            <w:r w:rsidRPr="00BD16B4">
              <w:rPr>
                <w:szCs w:val="18"/>
              </w:rPr>
              <w:t>0.42</w:t>
            </w:r>
          </w:p>
        </w:tc>
      </w:tr>
      <w:tr w:rsidR="00ED2EBD" w:rsidRPr="00BD16B4" w14:paraId="1EEF27B5" w14:textId="77777777" w:rsidTr="002A2A69">
        <w:tc>
          <w:tcPr>
            <w:tcW w:w="3397" w:type="dxa"/>
          </w:tcPr>
          <w:p w14:paraId="0452A778" w14:textId="67B00DE7" w:rsidR="00ED2EBD" w:rsidRPr="00BD16B4" w:rsidRDefault="00ED2EBD" w:rsidP="004A205F">
            <w:pPr>
              <w:pStyle w:val="TableText"/>
              <w:spacing w:before="40"/>
              <w:rPr>
                <w:szCs w:val="18"/>
              </w:rPr>
            </w:pPr>
            <w:r w:rsidRPr="00BD16B4">
              <w:rPr>
                <w:szCs w:val="18"/>
              </w:rPr>
              <w:t>A.</w:t>
            </w:r>
            <w:r w:rsidR="00280979" w:rsidRPr="00BD16B4">
              <w:rPr>
                <w:szCs w:val="18"/>
              </w:rPr>
              <w:t xml:space="preserve"> </w:t>
            </w:r>
            <w:r w:rsidRPr="00BD16B4">
              <w:rPr>
                <w:szCs w:val="18"/>
              </w:rPr>
              <w:t xml:space="preserve">Solid waste disposal </w:t>
            </w:r>
          </w:p>
        </w:tc>
        <w:tc>
          <w:tcPr>
            <w:tcW w:w="964" w:type="dxa"/>
            <w:tcBorders>
              <w:top w:val="single" w:sz="4" w:space="0" w:color="1B556B" w:themeColor="text2"/>
            </w:tcBorders>
            <w:shd w:val="clear" w:color="auto" w:fill="D2DDE1" w:themeFill="background2"/>
          </w:tcPr>
          <w:p w14:paraId="71EF5C9D"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6C0F1D1"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3099F4A"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330B4D9"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E96AFF0"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5E8727E"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17CF941"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72731644"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42A1EDF"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30C6BB9C" w14:textId="77777777" w:rsidTr="002A2A69">
        <w:tc>
          <w:tcPr>
            <w:tcW w:w="3397" w:type="dxa"/>
          </w:tcPr>
          <w:p w14:paraId="57D3044C" w14:textId="1E07A717" w:rsidR="00ED2EBD" w:rsidRPr="00BD16B4" w:rsidRDefault="00ED2EBD" w:rsidP="004A205F">
            <w:pPr>
              <w:pStyle w:val="TableText"/>
              <w:spacing w:before="40"/>
              <w:rPr>
                <w:szCs w:val="18"/>
              </w:rPr>
            </w:pPr>
            <w:r w:rsidRPr="00BD16B4">
              <w:rPr>
                <w:szCs w:val="18"/>
              </w:rPr>
              <w:t>B.</w:t>
            </w:r>
            <w:r w:rsidR="00280979" w:rsidRPr="00BD16B4">
              <w:rPr>
                <w:szCs w:val="18"/>
              </w:rPr>
              <w:t xml:space="preserve"> </w:t>
            </w:r>
            <w:r w:rsidRPr="00BD16B4">
              <w:rPr>
                <w:szCs w:val="18"/>
              </w:rPr>
              <w:t>Biological treatment of solid waste</w:t>
            </w:r>
          </w:p>
        </w:tc>
        <w:tc>
          <w:tcPr>
            <w:tcW w:w="964" w:type="dxa"/>
            <w:shd w:val="clear" w:color="auto" w:fill="auto"/>
          </w:tcPr>
          <w:p w14:paraId="5558C4A1" w14:textId="77777777" w:rsidR="00ED2EBD" w:rsidRPr="00BD16B4" w:rsidRDefault="00ED2EBD" w:rsidP="004A205F">
            <w:pPr>
              <w:pStyle w:val="TableText"/>
              <w:spacing w:before="40"/>
              <w:jc w:val="right"/>
              <w:rPr>
                <w:szCs w:val="18"/>
              </w:rPr>
            </w:pPr>
            <w:r w:rsidRPr="00BD16B4">
              <w:rPr>
                <w:szCs w:val="18"/>
              </w:rPr>
              <w:t>0.01</w:t>
            </w:r>
          </w:p>
        </w:tc>
        <w:tc>
          <w:tcPr>
            <w:tcW w:w="964" w:type="dxa"/>
            <w:shd w:val="clear" w:color="auto" w:fill="auto"/>
          </w:tcPr>
          <w:p w14:paraId="497C3957" w14:textId="77777777" w:rsidR="00ED2EBD" w:rsidRPr="00BD16B4" w:rsidRDefault="00ED2EBD" w:rsidP="004A205F">
            <w:pPr>
              <w:pStyle w:val="TableText"/>
              <w:spacing w:before="40"/>
              <w:jc w:val="right"/>
              <w:rPr>
                <w:szCs w:val="18"/>
              </w:rPr>
            </w:pPr>
            <w:r w:rsidRPr="00BD16B4">
              <w:rPr>
                <w:szCs w:val="18"/>
              </w:rPr>
              <w:t>0.01</w:t>
            </w:r>
          </w:p>
        </w:tc>
        <w:tc>
          <w:tcPr>
            <w:tcW w:w="964" w:type="dxa"/>
            <w:shd w:val="clear" w:color="auto" w:fill="auto"/>
          </w:tcPr>
          <w:p w14:paraId="3DB0AB2D" w14:textId="77777777" w:rsidR="00ED2EBD" w:rsidRPr="00BD16B4" w:rsidRDefault="00ED2EBD" w:rsidP="004A205F">
            <w:pPr>
              <w:pStyle w:val="TableText"/>
              <w:spacing w:before="40"/>
              <w:jc w:val="right"/>
              <w:rPr>
                <w:szCs w:val="18"/>
              </w:rPr>
            </w:pPr>
            <w:r w:rsidRPr="00BD16B4">
              <w:rPr>
                <w:szCs w:val="18"/>
              </w:rPr>
              <w:t>0.01</w:t>
            </w:r>
          </w:p>
        </w:tc>
        <w:tc>
          <w:tcPr>
            <w:tcW w:w="964" w:type="dxa"/>
            <w:shd w:val="clear" w:color="auto" w:fill="auto"/>
          </w:tcPr>
          <w:p w14:paraId="3DA3BEC1" w14:textId="77777777" w:rsidR="00ED2EBD" w:rsidRPr="00BD16B4" w:rsidRDefault="00ED2EBD" w:rsidP="004A205F">
            <w:pPr>
              <w:pStyle w:val="TableText"/>
              <w:spacing w:before="40"/>
              <w:jc w:val="right"/>
              <w:rPr>
                <w:szCs w:val="18"/>
              </w:rPr>
            </w:pPr>
            <w:r w:rsidRPr="00BD16B4">
              <w:rPr>
                <w:szCs w:val="18"/>
              </w:rPr>
              <w:t>0.01</w:t>
            </w:r>
          </w:p>
        </w:tc>
        <w:tc>
          <w:tcPr>
            <w:tcW w:w="964" w:type="dxa"/>
            <w:shd w:val="clear" w:color="auto" w:fill="auto"/>
          </w:tcPr>
          <w:p w14:paraId="4DD9D10C" w14:textId="77777777" w:rsidR="00ED2EBD" w:rsidRPr="00BD16B4" w:rsidRDefault="00ED2EBD" w:rsidP="004A205F">
            <w:pPr>
              <w:pStyle w:val="TableText"/>
              <w:spacing w:before="40"/>
              <w:jc w:val="right"/>
              <w:rPr>
                <w:szCs w:val="18"/>
              </w:rPr>
            </w:pPr>
            <w:r w:rsidRPr="00BD16B4">
              <w:rPr>
                <w:szCs w:val="18"/>
              </w:rPr>
              <w:t>0.01</w:t>
            </w:r>
          </w:p>
        </w:tc>
        <w:tc>
          <w:tcPr>
            <w:tcW w:w="964" w:type="dxa"/>
            <w:shd w:val="clear" w:color="auto" w:fill="auto"/>
          </w:tcPr>
          <w:p w14:paraId="38359885" w14:textId="77777777" w:rsidR="00ED2EBD" w:rsidRPr="00BD16B4" w:rsidRDefault="00ED2EBD" w:rsidP="004A205F">
            <w:pPr>
              <w:pStyle w:val="TableText"/>
              <w:spacing w:before="40"/>
              <w:jc w:val="right"/>
              <w:rPr>
                <w:szCs w:val="18"/>
              </w:rPr>
            </w:pPr>
            <w:r w:rsidRPr="00BD16B4">
              <w:rPr>
                <w:szCs w:val="18"/>
              </w:rPr>
              <w:t>0.01</w:t>
            </w:r>
          </w:p>
        </w:tc>
        <w:tc>
          <w:tcPr>
            <w:tcW w:w="964" w:type="dxa"/>
            <w:shd w:val="clear" w:color="auto" w:fill="auto"/>
          </w:tcPr>
          <w:p w14:paraId="7B28F404" w14:textId="77777777" w:rsidR="00ED2EBD" w:rsidRPr="00BD16B4" w:rsidRDefault="00ED2EBD" w:rsidP="004A205F">
            <w:pPr>
              <w:pStyle w:val="TableText"/>
              <w:spacing w:before="40"/>
              <w:jc w:val="right"/>
              <w:rPr>
                <w:szCs w:val="18"/>
              </w:rPr>
            </w:pPr>
            <w:r w:rsidRPr="00BD16B4">
              <w:rPr>
                <w:szCs w:val="18"/>
              </w:rPr>
              <w:t>0.01</w:t>
            </w:r>
          </w:p>
        </w:tc>
        <w:tc>
          <w:tcPr>
            <w:tcW w:w="964" w:type="dxa"/>
            <w:shd w:val="clear" w:color="auto" w:fill="auto"/>
          </w:tcPr>
          <w:p w14:paraId="6D262527" w14:textId="77777777" w:rsidR="00ED2EBD" w:rsidRPr="00BD16B4" w:rsidRDefault="00ED2EBD" w:rsidP="004A205F">
            <w:pPr>
              <w:pStyle w:val="TableText"/>
              <w:spacing w:before="40"/>
              <w:jc w:val="right"/>
              <w:rPr>
                <w:szCs w:val="18"/>
              </w:rPr>
            </w:pPr>
            <w:r w:rsidRPr="00BD16B4">
              <w:rPr>
                <w:szCs w:val="18"/>
              </w:rPr>
              <w:t>0.01</w:t>
            </w:r>
          </w:p>
        </w:tc>
        <w:tc>
          <w:tcPr>
            <w:tcW w:w="964" w:type="dxa"/>
            <w:shd w:val="clear" w:color="auto" w:fill="auto"/>
          </w:tcPr>
          <w:p w14:paraId="6B6C31FE" w14:textId="77777777" w:rsidR="00ED2EBD" w:rsidRPr="00BD16B4" w:rsidRDefault="00ED2EBD" w:rsidP="004A205F">
            <w:pPr>
              <w:pStyle w:val="TableText"/>
              <w:spacing w:before="40"/>
              <w:jc w:val="right"/>
              <w:rPr>
                <w:szCs w:val="18"/>
              </w:rPr>
            </w:pPr>
            <w:r w:rsidRPr="00BD16B4">
              <w:rPr>
                <w:szCs w:val="18"/>
              </w:rPr>
              <w:t>0.01</w:t>
            </w:r>
          </w:p>
        </w:tc>
      </w:tr>
      <w:tr w:rsidR="00ED2EBD" w:rsidRPr="00BD16B4" w14:paraId="2BA6E975" w14:textId="77777777" w:rsidTr="002A2A69">
        <w:tc>
          <w:tcPr>
            <w:tcW w:w="3397" w:type="dxa"/>
          </w:tcPr>
          <w:p w14:paraId="53181D86" w14:textId="29A163DF" w:rsidR="00ED2EBD" w:rsidRPr="00BD16B4" w:rsidRDefault="00ED2EBD" w:rsidP="004A205F">
            <w:pPr>
              <w:pStyle w:val="TableText"/>
              <w:spacing w:before="40"/>
              <w:rPr>
                <w:szCs w:val="18"/>
              </w:rPr>
            </w:pPr>
            <w:r w:rsidRPr="00BD16B4">
              <w:rPr>
                <w:szCs w:val="18"/>
              </w:rPr>
              <w:t>C.</w:t>
            </w:r>
            <w:r w:rsidR="00280979" w:rsidRPr="00BD16B4">
              <w:rPr>
                <w:szCs w:val="18"/>
              </w:rPr>
              <w:t xml:space="preserve"> </w:t>
            </w:r>
            <w:r w:rsidRPr="00BD16B4">
              <w:rPr>
                <w:szCs w:val="18"/>
              </w:rPr>
              <w:t>Incineration and open burning of waste</w:t>
            </w:r>
          </w:p>
        </w:tc>
        <w:tc>
          <w:tcPr>
            <w:tcW w:w="964" w:type="dxa"/>
            <w:shd w:val="clear" w:color="auto" w:fill="auto"/>
          </w:tcPr>
          <w:p w14:paraId="5F316CF4" w14:textId="77777777" w:rsidR="00ED2EBD" w:rsidRPr="00BD16B4" w:rsidRDefault="00ED2EBD" w:rsidP="004A205F">
            <w:pPr>
              <w:pStyle w:val="TableText"/>
              <w:spacing w:before="40"/>
              <w:jc w:val="right"/>
              <w:rPr>
                <w:szCs w:val="18"/>
              </w:rPr>
            </w:pPr>
            <w:r w:rsidRPr="00BD16B4">
              <w:rPr>
                <w:szCs w:val="18"/>
              </w:rPr>
              <w:t>0.10</w:t>
            </w:r>
          </w:p>
        </w:tc>
        <w:tc>
          <w:tcPr>
            <w:tcW w:w="964" w:type="dxa"/>
            <w:shd w:val="clear" w:color="auto" w:fill="auto"/>
          </w:tcPr>
          <w:p w14:paraId="062DAD3A" w14:textId="77777777" w:rsidR="00ED2EBD" w:rsidRPr="00BD16B4" w:rsidRDefault="00ED2EBD" w:rsidP="004A205F">
            <w:pPr>
              <w:pStyle w:val="TableText"/>
              <w:spacing w:before="40"/>
              <w:jc w:val="right"/>
              <w:rPr>
                <w:szCs w:val="18"/>
              </w:rPr>
            </w:pPr>
            <w:r w:rsidRPr="00BD16B4">
              <w:rPr>
                <w:szCs w:val="18"/>
              </w:rPr>
              <w:t>0.10</w:t>
            </w:r>
          </w:p>
        </w:tc>
        <w:tc>
          <w:tcPr>
            <w:tcW w:w="964" w:type="dxa"/>
            <w:shd w:val="clear" w:color="auto" w:fill="auto"/>
          </w:tcPr>
          <w:p w14:paraId="215B42B8" w14:textId="77777777" w:rsidR="00ED2EBD" w:rsidRPr="00BD16B4" w:rsidRDefault="00ED2EBD" w:rsidP="004A205F">
            <w:pPr>
              <w:pStyle w:val="TableText"/>
              <w:spacing w:before="40"/>
              <w:jc w:val="right"/>
              <w:rPr>
                <w:szCs w:val="18"/>
              </w:rPr>
            </w:pPr>
            <w:r w:rsidRPr="00BD16B4">
              <w:rPr>
                <w:szCs w:val="18"/>
              </w:rPr>
              <w:t>0.10</w:t>
            </w:r>
          </w:p>
        </w:tc>
        <w:tc>
          <w:tcPr>
            <w:tcW w:w="964" w:type="dxa"/>
            <w:shd w:val="clear" w:color="auto" w:fill="auto"/>
          </w:tcPr>
          <w:p w14:paraId="451B4C9C" w14:textId="77777777" w:rsidR="00ED2EBD" w:rsidRPr="00BD16B4" w:rsidRDefault="00ED2EBD" w:rsidP="004A205F">
            <w:pPr>
              <w:pStyle w:val="TableText"/>
              <w:spacing w:before="40"/>
              <w:jc w:val="right"/>
              <w:rPr>
                <w:szCs w:val="18"/>
              </w:rPr>
            </w:pPr>
            <w:r w:rsidRPr="00BD16B4">
              <w:rPr>
                <w:szCs w:val="18"/>
              </w:rPr>
              <w:t>0.10</w:t>
            </w:r>
          </w:p>
        </w:tc>
        <w:tc>
          <w:tcPr>
            <w:tcW w:w="964" w:type="dxa"/>
            <w:shd w:val="clear" w:color="auto" w:fill="auto"/>
          </w:tcPr>
          <w:p w14:paraId="4356C640" w14:textId="77777777" w:rsidR="00ED2EBD" w:rsidRPr="00BD16B4" w:rsidRDefault="00ED2EBD" w:rsidP="004A205F">
            <w:pPr>
              <w:pStyle w:val="TableText"/>
              <w:spacing w:before="40"/>
              <w:jc w:val="right"/>
              <w:rPr>
                <w:szCs w:val="18"/>
              </w:rPr>
            </w:pPr>
            <w:r w:rsidRPr="00BD16B4">
              <w:rPr>
                <w:szCs w:val="18"/>
              </w:rPr>
              <w:t>0.09</w:t>
            </w:r>
          </w:p>
        </w:tc>
        <w:tc>
          <w:tcPr>
            <w:tcW w:w="964" w:type="dxa"/>
            <w:shd w:val="clear" w:color="auto" w:fill="auto"/>
          </w:tcPr>
          <w:p w14:paraId="73006D53" w14:textId="77777777" w:rsidR="00ED2EBD" w:rsidRPr="00BD16B4" w:rsidRDefault="00ED2EBD" w:rsidP="004A205F">
            <w:pPr>
              <w:pStyle w:val="TableText"/>
              <w:spacing w:before="40"/>
              <w:jc w:val="right"/>
              <w:rPr>
                <w:szCs w:val="18"/>
              </w:rPr>
            </w:pPr>
            <w:r w:rsidRPr="00BD16B4">
              <w:rPr>
                <w:szCs w:val="18"/>
              </w:rPr>
              <w:t>0.08</w:t>
            </w:r>
          </w:p>
        </w:tc>
        <w:tc>
          <w:tcPr>
            <w:tcW w:w="964" w:type="dxa"/>
            <w:shd w:val="clear" w:color="auto" w:fill="auto"/>
          </w:tcPr>
          <w:p w14:paraId="726EEE74" w14:textId="77777777" w:rsidR="00ED2EBD" w:rsidRPr="00BD16B4" w:rsidRDefault="00ED2EBD" w:rsidP="004A205F">
            <w:pPr>
              <w:pStyle w:val="TableText"/>
              <w:spacing w:before="40"/>
              <w:jc w:val="right"/>
              <w:rPr>
                <w:szCs w:val="18"/>
              </w:rPr>
            </w:pPr>
            <w:r w:rsidRPr="00BD16B4">
              <w:rPr>
                <w:szCs w:val="18"/>
              </w:rPr>
              <w:t>0.08</w:t>
            </w:r>
          </w:p>
        </w:tc>
        <w:tc>
          <w:tcPr>
            <w:tcW w:w="964" w:type="dxa"/>
            <w:shd w:val="clear" w:color="auto" w:fill="auto"/>
          </w:tcPr>
          <w:p w14:paraId="24BEC829" w14:textId="77777777" w:rsidR="00ED2EBD" w:rsidRPr="00BD16B4" w:rsidRDefault="00ED2EBD" w:rsidP="004A205F">
            <w:pPr>
              <w:pStyle w:val="TableText"/>
              <w:spacing w:before="40"/>
              <w:jc w:val="right"/>
              <w:rPr>
                <w:szCs w:val="18"/>
              </w:rPr>
            </w:pPr>
            <w:r w:rsidRPr="00BD16B4">
              <w:rPr>
                <w:szCs w:val="18"/>
              </w:rPr>
              <w:t>0.09</w:t>
            </w:r>
          </w:p>
        </w:tc>
        <w:tc>
          <w:tcPr>
            <w:tcW w:w="964" w:type="dxa"/>
            <w:shd w:val="clear" w:color="auto" w:fill="auto"/>
          </w:tcPr>
          <w:p w14:paraId="461195A6" w14:textId="77777777" w:rsidR="00ED2EBD" w:rsidRPr="00BD16B4" w:rsidRDefault="00ED2EBD" w:rsidP="004A205F">
            <w:pPr>
              <w:pStyle w:val="TableText"/>
              <w:spacing w:before="40"/>
              <w:jc w:val="right"/>
              <w:rPr>
                <w:szCs w:val="18"/>
              </w:rPr>
            </w:pPr>
            <w:r w:rsidRPr="00BD16B4">
              <w:rPr>
                <w:szCs w:val="18"/>
              </w:rPr>
              <w:t>0.09</w:t>
            </w:r>
          </w:p>
        </w:tc>
      </w:tr>
      <w:tr w:rsidR="00ED2EBD" w:rsidRPr="00BD16B4" w14:paraId="06C04516" w14:textId="77777777" w:rsidTr="002A2A69">
        <w:tc>
          <w:tcPr>
            <w:tcW w:w="3397" w:type="dxa"/>
          </w:tcPr>
          <w:p w14:paraId="3D56F36A" w14:textId="0835F629" w:rsidR="00ED2EBD" w:rsidRPr="00BD16B4" w:rsidRDefault="00ED2EBD" w:rsidP="004A205F">
            <w:pPr>
              <w:pStyle w:val="TableText"/>
              <w:spacing w:before="40"/>
              <w:rPr>
                <w:szCs w:val="18"/>
              </w:rPr>
            </w:pPr>
            <w:r w:rsidRPr="00BD16B4">
              <w:rPr>
                <w:szCs w:val="18"/>
              </w:rPr>
              <w:t>D.</w:t>
            </w:r>
            <w:r w:rsidR="00280979" w:rsidRPr="00BD16B4">
              <w:rPr>
                <w:szCs w:val="18"/>
              </w:rPr>
              <w:t xml:space="preserve"> </w:t>
            </w:r>
            <w:r w:rsidRPr="00BD16B4">
              <w:rPr>
                <w:szCs w:val="18"/>
              </w:rPr>
              <w:t>Waste water treatment and discharge</w:t>
            </w:r>
          </w:p>
        </w:tc>
        <w:tc>
          <w:tcPr>
            <w:tcW w:w="964" w:type="dxa"/>
            <w:tcBorders>
              <w:bottom w:val="single" w:sz="4" w:space="0" w:color="1B556B" w:themeColor="text2"/>
            </w:tcBorders>
            <w:shd w:val="clear" w:color="auto" w:fill="auto"/>
          </w:tcPr>
          <w:p w14:paraId="4BC4EF0A" w14:textId="77777777" w:rsidR="00ED2EBD" w:rsidRPr="00BD16B4" w:rsidRDefault="00ED2EBD" w:rsidP="004A205F">
            <w:pPr>
              <w:pStyle w:val="TableText"/>
              <w:spacing w:before="40"/>
              <w:jc w:val="right"/>
              <w:rPr>
                <w:szCs w:val="18"/>
              </w:rPr>
            </w:pPr>
            <w:r w:rsidRPr="00BD16B4">
              <w:rPr>
                <w:szCs w:val="18"/>
              </w:rPr>
              <w:t>0.28</w:t>
            </w:r>
          </w:p>
        </w:tc>
        <w:tc>
          <w:tcPr>
            <w:tcW w:w="964" w:type="dxa"/>
            <w:tcBorders>
              <w:bottom w:val="single" w:sz="4" w:space="0" w:color="1B556B" w:themeColor="text2"/>
            </w:tcBorders>
            <w:shd w:val="clear" w:color="auto" w:fill="auto"/>
          </w:tcPr>
          <w:p w14:paraId="5D13420D" w14:textId="77777777" w:rsidR="00ED2EBD" w:rsidRPr="00BD16B4" w:rsidRDefault="00ED2EBD" w:rsidP="004A205F">
            <w:pPr>
              <w:pStyle w:val="TableText"/>
              <w:spacing w:before="40"/>
              <w:jc w:val="right"/>
              <w:rPr>
                <w:szCs w:val="18"/>
              </w:rPr>
            </w:pPr>
            <w:r w:rsidRPr="00BD16B4">
              <w:rPr>
                <w:szCs w:val="18"/>
              </w:rPr>
              <w:t>0.28</w:t>
            </w:r>
          </w:p>
        </w:tc>
        <w:tc>
          <w:tcPr>
            <w:tcW w:w="964" w:type="dxa"/>
            <w:tcBorders>
              <w:bottom w:val="single" w:sz="4" w:space="0" w:color="1B556B" w:themeColor="text2"/>
            </w:tcBorders>
            <w:shd w:val="clear" w:color="auto" w:fill="auto"/>
          </w:tcPr>
          <w:p w14:paraId="46D9CA62" w14:textId="77777777" w:rsidR="00ED2EBD" w:rsidRPr="00BD16B4" w:rsidRDefault="00ED2EBD" w:rsidP="004A205F">
            <w:pPr>
              <w:pStyle w:val="TableText"/>
              <w:spacing w:before="40"/>
              <w:jc w:val="right"/>
              <w:rPr>
                <w:szCs w:val="18"/>
              </w:rPr>
            </w:pPr>
            <w:r w:rsidRPr="00BD16B4">
              <w:rPr>
                <w:szCs w:val="18"/>
              </w:rPr>
              <w:t>0.29</w:t>
            </w:r>
          </w:p>
        </w:tc>
        <w:tc>
          <w:tcPr>
            <w:tcW w:w="964" w:type="dxa"/>
            <w:tcBorders>
              <w:bottom w:val="single" w:sz="4" w:space="0" w:color="1B556B" w:themeColor="text2"/>
            </w:tcBorders>
            <w:shd w:val="clear" w:color="auto" w:fill="auto"/>
          </w:tcPr>
          <w:p w14:paraId="2C35ED64" w14:textId="77777777" w:rsidR="00ED2EBD" w:rsidRPr="00BD16B4" w:rsidRDefault="00ED2EBD" w:rsidP="004A205F">
            <w:pPr>
              <w:pStyle w:val="TableText"/>
              <w:spacing w:before="40"/>
              <w:jc w:val="right"/>
              <w:rPr>
                <w:szCs w:val="18"/>
              </w:rPr>
            </w:pPr>
            <w:r w:rsidRPr="00BD16B4">
              <w:rPr>
                <w:szCs w:val="18"/>
              </w:rPr>
              <w:t>0.29</w:t>
            </w:r>
          </w:p>
        </w:tc>
        <w:tc>
          <w:tcPr>
            <w:tcW w:w="964" w:type="dxa"/>
            <w:tcBorders>
              <w:bottom w:val="single" w:sz="4" w:space="0" w:color="1B556B" w:themeColor="text2"/>
            </w:tcBorders>
            <w:shd w:val="clear" w:color="auto" w:fill="auto"/>
          </w:tcPr>
          <w:p w14:paraId="2BE0DC5D" w14:textId="77777777" w:rsidR="00ED2EBD" w:rsidRPr="00BD16B4" w:rsidRDefault="00ED2EBD" w:rsidP="004A205F">
            <w:pPr>
              <w:pStyle w:val="TableText"/>
              <w:spacing w:before="40"/>
              <w:jc w:val="right"/>
              <w:rPr>
                <w:szCs w:val="18"/>
              </w:rPr>
            </w:pPr>
            <w:r w:rsidRPr="00BD16B4">
              <w:rPr>
                <w:szCs w:val="18"/>
              </w:rPr>
              <w:t>0.30</w:t>
            </w:r>
          </w:p>
        </w:tc>
        <w:tc>
          <w:tcPr>
            <w:tcW w:w="964" w:type="dxa"/>
            <w:tcBorders>
              <w:bottom w:val="single" w:sz="4" w:space="0" w:color="1B556B" w:themeColor="text2"/>
            </w:tcBorders>
            <w:shd w:val="clear" w:color="auto" w:fill="auto"/>
          </w:tcPr>
          <w:p w14:paraId="6C7296C0" w14:textId="77777777" w:rsidR="00ED2EBD" w:rsidRPr="00BD16B4" w:rsidRDefault="00ED2EBD" w:rsidP="004A205F">
            <w:pPr>
              <w:pStyle w:val="TableText"/>
              <w:spacing w:before="40"/>
              <w:jc w:val="right"/>
              <w:rPr>
                <w:szCs w:val="18"/>
              </w:rPr>
            </w:pPr>
            <w:r w:rsidRPr="00BD16B4">
              <w:rPr>
                <w:szCs w:val="18"/>
              </w:rPr>
              <w:t>0.30</w:t>
            </w:r>
          </w:p>
        </w:tc>
        <w:tc>
          <w:tcPr>
            <w:tcW w:w="964" w:type="dxa"/>
            <w:tcBorders>
              <w:bottom w:val="single" w:sz="4" w:space="0" w:color="1B556B" w:themeColor="text2"/>
            </w:tcBorders>
            <w:shd w:val="clear" w:color="auto" w:fill="auto"/>
          </w:tcPr>
          <w:p w14:paraId="030E4215" w14:textId="77777777" w:rsidR="00ED2EBD" w:rsidRPr="00BD16B4" w:rsidRDefault="00ED2EBD" w:rsidP="004A205F">
            <w:pPr>
              <w:pStyle w:val="TableText"/>
              <w:spacing w:before="40"/>
              <w:jc w:val="right"/>
              <w:rPr>
                <w:szCs w:val="18"/>
              </w:rPr>
            </w:pPr>
            <w:r w:rsidRPr="00BD16B4">
              <w:rPr>
                <w:szCs w:val="18"/>
              </w:rPr>
              <w:t>0.31</w:t>
            </w:r>
          </w:p>
        </w:tc>
        <w:tc>
          <w:tcPr>
            <w:tcW w:w="964" w:type="dxa"/>
            <w:tcBorders>
              <w:bottom w:val="single" w:sz="4" w:space="0" w:color="1B556B" w:themeColor="text2"/>
            </w:tcBorders>
            <w:shd w:val="clear" w:color="auto" w:fill="auto"/>
          </w:tcPr>
          <w:p w14:paraId="5509DCB2" w14:textId="77777777" w:rsidR="00ED2EBD" w:rsidRPr="00BD16B4" w:rsidRDefault="00ED2EBD" w:rsidP="004A205F">
            <w:pPr>
              <w:pStyle w:val="TableText"/>
              <w:spacing w:before="40"/>
              <w:jc w:val="right"/>
              <w:rPr>
                <w:szCs w:val="18"/>
              </w:rPr>
            </w:pPr>
            <w:r w:rsidRPr="00BD16B4">
              <w:rPr>
                <w:szCs w:val="18"/>
              </w:rPr>
              <w:t>0.31</w:t>
            </w:r>
          </w:p>
        </w:tc>
        <w:tc>
          <w:tcPr>
            <w:tcW w:w="964" w:type="dxa"/>
            <w:tcBorders>
              <w:bottom w:val="single" w:sz="4" w:space="0" w:color="1B556B" w:themeColor="text2"/>
            </w:tcBorders>
            <w:shd w:val="clear" w:color="auto" w:fill="auto"/>
          </w:tcPr>
          <w:p w14:paraId="766473ED" w14:textId="77777777" w:rsidR="00ED2EBD" w:rsidRPr="00BD16B4" w:rsidRDefault="00ED2EBD" w:rsidP="004A205F">
            <w:pPr>
              <w:pStyle w:val="TableText"/>
              <w:spacing w:before="40"/>
              <w:jc w:val="right"/>
              <w:rPr>
                <w:szCs w:val="18"/>
              </w:rPr>
            </w:pPr>
            <w:r w:rsidRPr="00BD16B4">
              <w:rPr>
                <w:szCs w:val="18"/>
              </w:rPr>
              <w:t>0.32</w:t>
            </w:r>
          </w:p>
        </w:tc>
      </w:tr>
      <w:tr w:rsidR="00ED2EBD" w:rsidRPr="00BD16B4" w14:paraId="27DB7F26" w14:textId="77777777" w:rsidTr="002A2A69">
        <w:tc>
          <w:tcPr>
            <w:tcW w:w="3397" w:type="dxa"/>
          </w:tcPr>
          <w:p w14:paraId="19270562" w14:textId="10A9448E" w:rsidR="00ED2EBD" w:rsidRPr="00BD16B4" w:rsidRDefault="00ED2EBD" w:rsidP="004A205F">
            <w:pPr>
              <w:pStyle w:val="TableText"/>
              <w:spacing w:before="40"/>
              <w:rPr>
                <w:szCs w:val="18"/>
              </w:rPr>
            </w:pPr>
            <w:r w:rsidRPr="00BD16B4">
              <w:rPr>
                <w:szCs w:val="18"/>
              </w:rPr>
              <w:t>E.</w:t>
            </w:r>
            <w:r w:rsidR="00280979" w:rsidRPr="00BD16B4">
              <w:rPr>
                <w:szCs w:val="18"/>
              </w:rPr>
              <w:t xml:space="preserve"> </w:t>
            </w:r>
            <w:r w:rsidRPr="00BD16B4">
              <w:rPr>
                <w:szCs w:val="18"/>
              </w:rPr>
              <w:t xml:space="preserve">Other </w:t>
            </w:r>
          </w:p>
        </w:tc>
        <w:tc>
          <w:tcPr>
            <w:tcW w:w="964" w:type="dxa"/>
            <w:tcBorders>
              <w:top w:val="single" w:sz="4" w:space="0" w:color="1B556B" w:themeColor="text2"/>
            </w:tcBorders>
            <w:shd w:val="clear" w:color="auto" w:fill="D2DDE1" w:themeFill="background2"/>
          </w:tcPr>
          <w:p w14:paraId="09063069"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4D7BDB46"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397EFF0"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16DC860F"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250FA5F2"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45E0D1A"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072996A2"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618485D0" w14:textId="77777777" w:rsidR="00ED2EBD" w:rsidRPr="00BD16B4" w:rsidRDefault="00ED2EBD" w:rsidP="004A205F">
            <w:pPr>
              <w:pStyle w:val="TableText"/>
              <w:spacing w:before="40"/>
              <w:jc w:val="right"/>
              <w:rPr>
                <w:szCs w:val="18"/>
              </w:rPr>
            </w:pPr>
            <w:r w:rsidRPr="00BD16B4">
              <w:rPr>
                <w:color w:val="000000"/>
                <w:szCs w:val="18"/>
              </w:rPr>
              <w:t> </w:t>
            </w:r>
          </w:p>
        </w:tc>
        <w:tc>
          <w:tcPr>
            <w:tcW w:w="964" w:type="dxa"/>
            <w:tcBorders>
              <w:top w:val="single" w:sz="4" w:space="0" w:color="1B556B" w:themeColor="text2"/>
            </w:tcBorders>
            <w:shd w:val="clear" w:color="auto" w:fill="D2DDE1" w:themeFill="background2"/>
          </w:tcPr>
          <w:p w14:paraId="340E68E9"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54194AF4" w14:textId="77777777" w:rsidTr="002A2A69">
        <w:tc>
          <w:tcPr>
            <w:tcW w:w="3397" w:type="dxa"/>
          </w:tcPr>
          <w:p w14:paraId="2AA999BE" w14:textId="4D80FF6B" w:rsidR="00ED2EBD" w:rsidRPr="00BD16B4" w:rsidRDefault="00ED2EBD" w:rsidP="004A205F">
            <w:pPr>
              <w:pStyle w:val="TableText"/>
              <w:spacing w:before="40"/>
              <w:rPr>
                <w:szCs w:val="18"/>
              </w:rPr>
            </w:pPr>
            <w:r w:rsidRPr="00BD16B4">
              <w:rPr>
                <w:b/>
                <w:bCs/>
                <w:szCs w:val="18"/>
              </w:rPr>
              <w:t>6.</w:t>
            </w:r>
            <w:r w:rsidR="00280979" w:rsidRPr="00BD16B4">
              <w:rPr>
                <w:b/>
                <w:bCs/>
                <w:szCs w:val="18"/>
              </w:rPr>
              <w:t xml:space="preserve"> </w:t>
            </w:r>
            <w:r w:rsidRPr="00BD16B4">
              <w:rPr>
                <w:b/>
                <w:bCs/>
                <w:szCs w:val="18"/>
              </w:rPr>
              <w:t>Other (as specified in summary table A.1)</w:t>
            </w:r>
          </w:p>
        </w:tc>
        <w:tc>
          <w:tcPr>
            <w:tcW w:w="964" w:type="dxa"/>
            <w:shd w:val="clear" w:color="auto" w:fill="auto"/>
          </w:tcPr>
          <w:p w14:paraId="477BC5B2"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725C15ED"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51C22440"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1FF58E88"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2A69C4BC"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36AD2528"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2B774699"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19DC37F9" w14:textId="77777777" w:rsidR="00ED2EBD" w:rsidRPr="00BD16B4" w:rsidRDefault="00ED2EBD" w:rsidP="004A205F">
            <w:pPr>
              <w:pStyle w:val="TableText"/>
              <w:spacing w:before="40"/>
              <w:jc w:val="right"/>
              <w:rPr>
                <w:szCs w:val="18"/>
              </w:rPr>
            </w:pPr>
            <w:r w:rsidRPr="00BD16B4">
              <w:rPr>
                <w:szCs w:val="18"/>
              </w:rPr>
              <w:t>0.00</w:t>
            </w:r>
          </w:p>
        </w:tc>
        <w:tc>
          <w:tcPr>
            <w:tcW w:w="964" w:type="dxa"/>
            <w:shd w:val="clear" w:color="auto" w:fill="auto"/>
          </w:tcPr>
          <w:p w14:paraId="305BFD83" w14:textId="77777777" w:rsidR="00ED2EBD" w:rsidRPr="00BD16B4" w:rsidRDefault="00ED2EBD" w:rsidP="004A205F">
            <w:pPr>
              <w:pStyle w:val="TableText"/>
              <w:spacing w:before="40"/>
              <w:jc w:val="right"/>
              <w:rPr>
                <w:szCs w:val="18"/>
              </w:rPr>
            </w:pPr>
            <w:r w:rsidRPr="00BD16B4">
              <w:rPr>
                <w:szCs w:val="18"/>
              </w:rPr>
              <w:t>0.00</w:t>
            </w:r>
          </w:p>
        </w:tc>
      </w:tr>
    </w:tbl>
    <w:p w14:paraId="695D4D9A" w14:textId="77777777" w:rsidR="00ED2EBD" w:rsidRPr="00BD16B4" w:rsidRDefault="00ED2EBD" w:rsidP="00242F1F">
      <w:pPr>
        <w:pStyle w:val="BodyText"/>
        <w:spacing w:after="0"/>
      </w:pPr>
    </w:p>
    <w:p w14:paraId="3B76FA6B" w14:textId="77777777" w:rsidR="00ED2EBD" w:rsidRPr="00BD16B4" w:rsidRDefault="00ED2EBD" w:rsidP="00ED2EBD">
      <w:pPr>
        <w:pStyle w:val="CTFTableheading"/>
      </w:pPr>
      <w:r w:rsidRPr="00BD16B4">
        <w:t>Table A.4:</w:t>
      </w:r>
      <w:r w:rsidRPr="00BD16B4">
        <w:tab/>
        <w:t>Emissions trends (N</w:t>
      </w:r>
      <w:r w:rsidRPr="00BD16B4">
        <w:rPr>
          <w:vertAlign w:val="subscript"/>
        </w:rPr>
        <w:t>2</w:t>
      </w:r>
      <w:r w:rsidRPr="00BD16B4">
        <w:t>O) (CTF Table 1(c)) (part 2 of 3)</w:t>
      </w:r>
    </w:p>
    <w:tbl>
      <w:tblPr>
        <w:tblStyle w:val="MinistryfortheEnvironment"/>
        <w:tblW w:w="14515" w:type="dxa"/>
        <w:tblInd w:w="113" w:type="dxa"/>
        <w:tblLayout w:type="fixed"/>
        <w:tblCellMar>
          <w:bottom w:w="0" w:type="dxa"/>
        </w:tblCellMar>
        <w:tblLook w:val="04A0" w:firstRow="1" w:lastRow="0" w:firstColumn="1" w:lastColumn="0" w:noHBand="0" w:noVBand="1"/>
      </w:tblPr>
      <w:tblGrid>
        <w:gridCol w:w="4231"/>
        <w:gridCol w:w="934"/>
        <w:gridCol w:w="935"/>
        <w:gridCol w:w="935"/>
        <w:gridCol w:w="935"/>
        <w:gridCol w:w="935"/>
        <w:gridCol w:w="935"/>
        <w:gridCol w:w="935"/>
        <w:gridCol w:w="935"/>
        <w:gridCol w:w="935"/>
        <w:gridCol w:w="935"/>
        <w:gridCol w:w="935"/>
      </w:tblGrid>
      <w:tr w:rsidR="00ED2EBD" w:rsidRPr="00BD16B4" w14:paraId="49096028" w14:textId="77777777" w:rsidTr="004625B0">
        <w:trPr>
          <w:cnfStyle w:val="100000000000" w:firstRow="1" w:lastRow="0" w:firstColumn="0" w:lastColumn="0" w:oddVBand="0" w:evenVBand="0" w:oddHBand="0" w:evenHBand="0" w:firstRowFirstColumn="0" w:firstRowLastColumn="0" w:lastRowFirstColumn="0" w:lastRowLastColumn="0"/>
          <w:tblHeader/>
        </w:trPr>
        <w:tc>
          <w:tcPr>
            <w:tcW w:w="4106" w:type="dxa"/>
            <w:tcBorders>
              <w:top w:val="single" w:sz="4" w:space="0" w:color="1B556B" w:themeColor="text2"/>
            </w:tcBorders>
            <w:vAlign w:val="bottom"/>
          </w:tcPr>
          <w:p w14:paraId="5E719CCE" w14:textId="77777777" w:rsidR="00ED2EBD" w:rsidRPr="00BD16B4" w:rsidRDefault="00ED2EBD" w:rsidP="004A205F">
            <w:pPr>
              <w:pStyle w:val="TableTextbold"/>
              <w:spacing w:before="40" w:after="40"/>
              <w:rPr>
                <w:b/>
                <w:bCs/>
                <w:szCs w:val="18"/>
              </w:rPr>
            </w:pPr>
            <w:r w:rsidRPr="00BD16B4">
              <w:rPr>
                <w:b/>
                <w:bCs/>
                <w:szCs w:val="18"/>
              </w:rPr>
              <w:t xml:space="preserve">Greenhouse gas source and sink categories </w:t>
            </w:r>
          </w:p>
        </w:tc>
        <w:tc>
          <w:tcPr>
            <w:tcW w:w="907" w:type="dxa"/>
            <w:tcBorders>
              <w:top w:val="single" w:sz="4" w:space="0" w:color="1B556B" w:themeColor="text2"/>
            </w:tcBorders>
            <w:vAlign w:val="bottom"/>
          </w:tcPr>
          <w:p w14:paraId="4799850B" w14:textId="77777777" w:rsidR="00ED2EBD" w:rsidRPr="00BD16B4" w:rsidRDefault="00ED2EBD" w:rsidP="004A205F">
            <w:pPr>
              <w:pStyle w:val="TableTextbold"/>
              <w:spacing w:before="40" w:after="40"/>
              <w:jc w:val="center"/>
              <w:rPr>
                <w:b/>
                <w:bCs/>
                <w:szCs w:val="18"/>
              </w:rPr>
            </w:pPr>
            <w:r w:rsidRPr="00BD16B4">
              <w:rPr>
                <w:b/>
                <w:bCs/>
                <w:szCs w:val="18"/>
              </w:rPr>
              <w:t>1999</w:t>
            </w:r>
            <w:r w:rsidRPr="00BD16B4">
              <w:rPr>
                <w:b/>
                <w:bCs/>
                <w:szCs w:val="18"/>
              </w:rPr>
              <w:br/>
              <w:t>(kt)</w:t>
            </w:r>
          </w:p>
        </w:tc>
        <w:tc>
          <w:tcPr>
            <w:tcW w:w="907" w:type="dxa"/>
            <w:tcBorders>
              <w:top w:val="single" w:sz="4" w:space="0" w:color="1B556B" w:themeColor="text2"/>
            </w:tcBorders>
            <w:vAlign w:val="bottom"/>
          </w:tcPr>
          <w:p w14:paraId="6791DAA6" w14:textId="77777777" w:rsidR="00ED2EBD" w:rsidRPr="00BD16B4" w:rsidRDefault="00ED2EBD" w:rsidP="004A205F">
            <w:pPr>
              <w:pStyle w:val="TableTextbold"/>
              <w:spacing w:before="40" w:after="40"/>
              <w:jc w:val="center"/>
              <w:rPr>
                <w:b/>
                <w:bCs/>
                <w:szCs w:val="18"/>
              </w:rPr>
            </w:pPr>
            <w:r w:rsidRPr="00BD16B4">
              <w:rPr>
                <w:b/>
                <w:bCs/>
                <w:szCs w:val="18"/>
              </w:rPr>
              <w:t>2000</w:t>
            </w:r>
            <w:r w:rsidRPr="00BD16B4">
              <w:rPr>
                <w:b/>
                <w:bCs/>
                <w:szCs w:val="18"/>
              </w:rPr>
              <w:br/>
              <w:t>(kt)</w:t>
            </w:r>
          </w:p>
        </w:tc>
        <w:tc>
          <w:tcPr>
            <w:tcW w:w="907" w:type="dxa"/>
            <w:tcBorders>
              <w:top w:val="single" w:sz="4" w:space="0" w:color="1B556B" w:themeColor="text2"/>
            </w:tcBorders>
            <w:vAlign w:val="bottom"/>
          </w:tcPr>
          <w:p w14:paraId="617E0278" w14:textId="77777777" w:rsidR="00ED2EBD" w:rsidRPr="00BD16B4" w:rsidRDefault="00ED2EBD" w:rsidP="004A205F">
            <w:pPr>
              <w:pStyle w:val="TableTextbold"/>
              <w:spacing w:before="40" w:after="40"/>
              <w:jc w:val="center"/>
              <w:rPr>
                <w:b/>
                <w:bCs/>
                <w:szCs w:val="18"/>
              </w:rPr>
            </w:pPr>
            <w:r w:rsidRPr="00BD16B4">
              <w:rPr>
                <w:b/>
                <w:bCs/>
                <w:szCs w:val="18"/>
              </w:rPr>
              <w:t>2001</w:t>
            </w:r>
            <w:r w:rsidRPr="00BD16B4">
              <w:rPr>
                <w:b/>
                <w:bCs/>
                <w:szCs w:val="18"/>
              </w:rPr>
              <w:br/>
              <w:t>(kt)</w:t>
            </w:r>
          </w:p>
        </w:tc>
        <w:tc>
          <w:tcPr>
            <w:tcW w:w="907" w:type="dxa"/>
            <w:tcBorders>
              <w:top w:val="single" w:sz="4" w:space="0" w:color="1B556B" w:themeColor="text2"/>
            </w:tcBorders>
            <w:vAlign w:val="bottom"/>
          </w:tcPr>
          <w:p w14:paraId="3A31B293" w14:textId="77777777" w:rsidR="00ED2EBD" w:rsidRPr="00BD16B4" w:rsidRDefault="00ED2EBD" w:rsidP="004A205F">
            <w:pPr>
              <w:pStyle w:val="TableTextbold"/>
              <w:spacing w:before="40" w:after="40"/>
              <w:jc w:val="center"/>
              <w:rPr>
                <w:b/>
                <w:bCs/>
                <w:szCs w:val="18"/>
              </w:rPr>
            </w:pPr>
            <w:r w:rsidRPr="00BD16B4">
              <w:rPr>
                <w:b/>
                <w:bCs/>
                <w:szCs w:val="18"/>
              </w:rPr>
              <w:t>2002</w:t>
            </w:r>
            <w:r w:rsidRPr="00BD16B4">
              <w:rPr>
                <w:b/>
                <w:bCs/>
                <w:szCs w:val="18"/>
              </w:rPr>
              <w:br/>
              <w:t>(kt)</w:t>
            </w:r>
          </w:p>
        </w:tc>
        <w:tc>
          <w:tcPr>
            <w:tcW w:w="907" w:type="dxa"/>
            <w:tcBorders>
              <w:top w:val="single" w:sz="4" w:space="0" w:color="1B556B" w:themeColor="text2"/>
            </w:tcBorders>
            <w:vAlign w:val="bottom"/>
          </w:tcPr>
          <w:p w14:paraId="1F9C8A58" w14:textId="77777777" w:rsidR="00ED2EBD" w:rsidRPr="00BD16B4" w:rsidRDefault="00ED2EBD" w:rsidP="004A205F">
            <w:pPr>
              <w:pStyle w:val="TableTextbold"/>
              <w:spacing w:before="40" w:after="40"/>
              <w:jc w:val="center"/>
              <w:rPr>
                <w:b/>
                <w:bCs/>
                <w:szCs w:val="18"/>
              </w:rPr>
            </w:pPr>
            <w:r w:rsidRPr="00BD16B4">
              <w:rPr>
                <w:b/>
                <w:bCs/>
                <w:szCs w:val="18"/>
              </w:rPr>
              <w:t>2003</w:t>
            </w:r>
            <w:r w:rsidRPr="00BD16B4">
              <w:rPr>
                <w:b/>
                <w:bCs/>
                <w:szCs w:val="18"/>
              </w:rPr>
              <w:br/>
              <w:t>(kt)</w:t>
            </w:r>
          </w:p>
        </w:tc>
        <w:tc>
          <w:tcPr>
            <w:tcW w:w="907" w:type="dxa"/>
            <w:tcBorders>
              <w:top w:val="single" w:sz="4" w:space="0" w:color="1B556B" w:themeColor="text2"/>
            </w:tcBorders>
            <w:vAlign w:val="bottom"/>
          </w:tcPr>
          <w:p w14:paraId="53741CBF" w14:textId="77777777" w:rsidR="00ED2EBD" w:rsidRPr="00BD16B4" w:rsidRDefault="00ED2EBD" w:rsidP="004A205F">
            <w:pPr>
              <w:pStyle w:val="TableTextbold"/>
              <w:spacing w:before="40" w:after="40"/>
              <w:jc w:val="center"/>
              <w:rPr>
                <w:b/>
                <w:bCs/>
                <w:szCs w:val="18"/>
              </w:rPr>
            </w:pPr>
            <w:r w:rsidRPr="00BD16B4">
              <w:rPr>
                <w:b/>
                <w:bCs/>
                <w:szCs w:val="18"/>
              </w:rPr>
              <w:t>2004</w:t>
            </w:r>
            <w:r w:rsidRPr="00BD16B4">
              <w:rPr>
                <w:b/>
                <w:bCs/>
                <w:szCs w:val="18"/>
              </w:rPr>
              <w:br/>
              <w:t>(kt)</w:t>
            </w:r>
          </w:p>
        </w:tc>
        <w:tc>
          <w:tcPr>
            <w:tcW w:w="907" w:type="dxa"/>
            <w:tcBorders>
              <w:top w:val="single" w:sz="4" w:space="0" w:color="1B556B" w:themeColor="text2"/>
            </w:tcBorders>
            <w:vAlign w:val="bottom"/>
          </w:tcPr>
          <w:p w14:paraId="287FAFDE" w14:textId="77777777" w:rsidR="00ED2EBD" w:rsidRPr="00BD16B4" w:rsidRDefault="00ED2EBD" w:rsidP="004A205F">
            <w:pPr>
              <w:pStyle w:val="TableTextbold"/>
              <w:spacing w:before="40" w:after="40"/>
              <w:jc w:val="center"/>
              <w:rPr>
                <w:b/>
                <w:bCs/>
                <w:szCs w:val="18"/>
              </w:rPr>
            </w:pPr>
            <w:r w:rsidRPr="00BD16B4">
              <w:rPr>
                <w:b/>
                <w:bCs/>
                <w:szCs w:val="18"/>
              </w:rPr>
              <w:t>2005</w:t>
            </w:r>
            <w:r w:rsidRPr="00BD16B4">
              <w:rPr>
                <w:b/>
                <w:bCs/>
                <w:szCs w:val="18"/>
              </w:rPr>
              <w:br/>
              <w:t>(kt)</w:t>
            </w:r>
          </w:p>
        </w:tc>
        <w:tc>
          <w:tcPr>
            <w:tcW w:w="907" w:type="dxa"/>
            <w:tcBorders>
              <w:top w:val="single" w:sz="4" w:space="0" w:color="1B556B" w:themeColor="text2"/>
            </w:tcBorders>
            <w:vAlign w:val="bottom"/>
          </w:tcPr>
          <w:p w14:paraId="458AA161" w14:textId="77777777" w:rsidR="00ED2EBD" w:rsidRPr="00BD16B4" w:rsidRDefault="00ED2EBD" w:rsidP="004A205F">
            <w:pPr>
              <w:pStyle w:val="TableTextbold"/>
              <w:spacing w:before="40" w:after="40"/>
              <w:jc w:val="center"/>
              <w:rPr>
                <w:b/>
                <w:bCs/>
                <w:szCs w:val="18"/>
              </w:rPr>
            </w:pPr>
            <w:r w:rsidRPr="00BD16B4">
              <w:rPr>
                <w:b/>
                <w:bCs/>
                <w:szCs w:val="18"/>
              </w:rPr>
              <w:t>2006</w:t>
            </w:r>
            <w:r w:rsidRPr="00BD16B4">
              <w:rPr>
                <w:b/>
                <w:bCs/>
                <w:szCs w:val="18"/>
              </w:rPr>
              <w:br/>
              <w:t>(kt)</w:t>
            </w:r>
          </w:p>
        </w:tc>
        <w:tc>
          <w:tcPr>
            <w:tcW w:w="907" w:type="dxa"/>
            <w:tcBorders>
              <w:top w:val="single" w:sz="4" w:space="0" w:color="1B556B" w:themeColor="text2"/>
            </w:tcBorders>
          </w:tcPr>
          <w:p w14:paraId="725DD5E2" w14:textId="77777777" w:rsidR="00ED2EBD" w:rsidRPr="00BD16B4" w:rsidRDefault="00ED2EBD" w:rsidP="004A205F">
            <w:pPr>
              <w:pStyle w:val="TableTextbold"/>
              <w:spacing w:before="40" w:after="40"/>
              <w:jc w:val="center"/>
              <w:rPr>
                <w:b/>
                <w:bCs/>
                <w:szCs w:val="18"/>
              </w:rPr>
            </w:pPr>
            <w:r w:rsidRPr="00BD16B4">
              <w:rPr>
                <w:b/>
                <w:bCs/>
                <w:szCs w:val="18"/>
              </w:rPr>
              <w:t>2007</w:t>
            </w:r>
            <w:r w:rsidRPr="00BD16B4">
              <w:rPr>
                <w:b/>
                <w:bCs/>
                <w:szCs w:val="18"/>
              </w:rPr>
              <w:br/>
              <w:t>(kt)</w:t>
            </w:r>
          </w:p>
        </w:tc>
        <w:tc>
          <w:tcPr>
            <w:tcW w:w="907" w:type="dxa"/>
            <w:tcBorders>
              <w:top w:val="single" w:sz="4" w:space="0" w:color="1B556B" w:themeColor="text2"/>
            </w:tcBorders>
          </w:tcPr>
          <w:p w14:paraId="14E34287" w14:textId="77777777" w:rsidR="00ED2EBD" w:rsidRPr="00BD16B4" w:rsidRDefault="00ED2EBD" w:rsidP="004A205F">
            <w:pPr>
              <w:pStyle w:val="TableTextbold"/>
              <w:spacing w:before="40" w:after="40"/>
              <w:jc w:val="center"/>
              <w:rPr>
                <w:b/>
                <w:bCs/>
                <w:szCs w:val="18"/>
              </w:rPr>
            </w:pPr>
            <w:r w:rsidRPr="00BD16B4">
              <w:rPr>
                <w:b/>
                <w:bCs/>
                <w:szCs w:val="18"/>
              </w:rPr>
              <w:t>2008</w:t>
            </w:r>
            <w:r w:rsidRPr="00BD16B4">
              <w:rPr>
                <w:b/>
                <w:bCs/>
                <w:szCs w:val="18"/>
              </w:rPr>
              <w:br/>
              <w:t>(kt)</w:t>
            </w:r>
          </w:p>
        </w:tc>
        <w:tc>
          <w:tcPr>
            <w:tcW w:w="907" w:type="dxa"/>
            <w:tcBorders>
              <w:top w:val="single" w:sz="4" w:space="0" w:color="1B556B" w:themeColor="text2"/>
            </w:tcBorders>
          </w:tcPr>
          <w:p w14:paraId="6D7BFF98" w14:textId="77777777" w:rsidR="00ED2EBD" w:rsidRPr="00BD16B4" w:rsidRDefault="00ED2EBD" w:rsidP="004A205F">
            <w:pPr>
              <w:pStyle w:val="TableTextbold"/>
              <w:spacing w:before="40" w:after="40"/>
              <w:jc w:val="center"/>
              <w:rPr>
                <w:b/>
                <w:bCs/>
                <w:szCs w:val="18"/>
              </w:rPr>
            </w:pPr>
            <w:r w:rsidRPr="00BD16B4">
              <w:rPr>
                <w:b/>
                <w:bCs/>
                <w:szCs w:val="18"/>
              </w:rPr>
              <w:t>2009</w:t>
            </w:r>
            <w:r w:rsidRPr="00BD16B4">
              <w:rPr>
                <w:b/>
                <w:bCs/>
                <w:szCs w:val="18"/>
              </w:rPr>
              <w:br/>
              <w:t>(kt)</w:t>
            </w:r>
          </w:p>
        </w:tc>
      </w:tr>
      <w:tr w:rsidR="002A2A69" w:rsidRPr="00BD16B4" w14:paraId="4B54E5C2" w14:textId="77777777" w:rsidTr="004625B0">
        <w:tc>
          <w:tcPr>
            <w:tcW w:w="4106" w:type="dxa"/>
          </w:tcPr>
          <w:p w14:paraId="07BAB4C7" w14:textId="77777777" w:rsidR="00ED2EBD" w:rsidRPr="00BD16B4" w:rsidRDefault="00ED2EBD" w:rsidP="004A205F">
            <w:pPr>
              <w:pStyle w:val="TableText"/>
              <w:spacing w:before="40" w:after="40"/>
              <w:rPr>
                <w:szCs w:val="18"/>
              </w:rPr>
            </w:pPr>
            <w:r w:rsidRPr="00BD16B4">
              <w:rPr>
                <w:b/>
                <w:bCs/>
                <w:szCs w:val="18"/>
              </w:rPr>
              <w:t>1. Energy</w:t>
            </w:r>
          </w:p>
        </w:tc>
        <w:tc>
          <w:tcPr>
            <w:tcW w:w="907" w:type="dxa"/>
            <w:shd w:val="clear" w:color="auto" w:fill="auto"/>
          </w:tcPr>
          <w:p w14:paraId="20B5EC65" w14:textId="77777777" w:rsidR="00ED2EBD" w:rsidRPr="00BD16B4" w:rsidRDefault="00ED2EBD" w:rsidP="004A205F">
            <w:pPr>
              <w:pStyle w:val="TableText"/>
              <w:spacing w:before="40" w:after="40"/>
              <w:jc w:val="right"/>
              <w:rPr>
                <w:szCs w:val="18"/>
              </w:rPr>
            </w:pPr>
            <w:r w:rsidRPr="00BD16B4">
              <w:rPr>
                <w:szCs w:val="18"/>
              </w:rPr>
              <w:t>0.96</w:t>
            </w:r>
          </w:p>
        </w:tc>
        <w:tc>
          <w:tcPr>
            <w:tcW w:w="907" w:type="dxa"/>
            <w:shd w:val="clear" w:color="auto" w:fill="auto"/>
          </w:tcPr>
          <w:p w14:paraId="7E3A97B5" w14:textId="77777777" w:rsidR="00ED2EBD" w:rsidRPr="00BD16B4" w:rsidRDefault="00ED2EBD" w:rsidP="004A205F">
            <w:pPr>
              <w:pStyle w:val="TableText"/>
              <w:spacing w:before="40" w:after="40"/>
              <w:jc w:val="right"/>
              <w:rPr>
                <w:szCs w:val="18"/>
              </w:rPr>
            </w:pPr>
            <w:r w:rsidRPr="00BD16B4">
              <w:rPr>
                <w:szCs w:val="18"/>
              </w:rPr>
              <w:t>1.01</w:t>
            </w:r>
          </w:p>
        </w:tc>
        <w:tc>
          <w:tcPr>
            <w:tcW w:w="907" w:type="dxa"/>
            <w:shd w:val="clear" w:color="auto" w:fill="auto"/>
          </w:tcPr>
          <w:p w14:paraId="28DB03B9" w14:textId="77777777" w:rsidR="00ED2EBD" w:rsidRPr="00BD16B4" w:rsidRDefault="00ED2EBD" w:rsidP="004A205F">
            <w:pPr>
              <w:pStyle w:val="TableText"/>
              <w:spacing w:before="40" w:after="40"/>
              <w:jc w:val="right"/>
              <w:rPr>
                <w:szCs w:val="18"/>
              </w:rPr>
            </w:pPr>
            <w:r w:rsidRPr="00BD16B4">
              <w:rPr>
                <w:szCs w:val="18"/>
              </w:rPr>
              <w:t>1.02</w:t>
            </w:r>
          </w:p>
        </w:tc>
        <w:tc>
          <w:tcPr>
            <w:tcW w:w="907" w:type="dxa"/>
            <w:shd w:val="clear" w:color="auto" w:fill="auto"/>
          </w:tcPr>
          <w:p w14:paraId="752AAB8B" w14:textId="77777777" w:rsidR="00ED2EBD" w:rsidRPr="00BD16B4" w:rsidRDefault="00ED2EBD" w:rsidP="004A205F">
            <w:pPr>
              <w:pStyle w:val="TableText"/>
              <w:spacing w:before="40" w:after="40"/>
              <w:jc w:val="right"/>
              <w:rPr>
                <w:szCs w:val="18"/>
              </w:rPr>
            </w:pPr>
            <w:r w:rsidRPr="00BD16B4">
              <w:rPr>
                <w:szCs w:val="18"/>
              </w:rPr>
              <w:t>1.06</w:t>
            </w:r>
          </w:p>
        </w:tc>
        <w:tc>
          <w:tcPr>
            <w:tcW w:w="907" w:type="dxa"/>
            <w:shd w:val="clear" w:color="auto" w:fill="auto"/>
          </w:tcPr>
          <w:p w14:paraId="0103DD73" w14:textId="77777777" w:rsidR="00ED2EBD" w:rsidRPr="00BD16B4" w:rsidRDefault="00ED2EBD" w:rsidP="004A205F">
            <w:pPr>
              <w:pStyle w:val="TableText"/>
              <w:spacing w:before="40" w:after="40"/>
              <w:jc w:val="right"/>
              <w:rPr>
                <w:szCs w:val="18"/>
              </w:rPr>
            </w:pPr>
            <w:r w:rsidRPr="00BD16B4">
              <w:rPr>
                <w:szCs w:val="18"/>
              </w:rPr>
              <w:t>1.12</w:t>
            </w:r>
          </w:p>
        </w:tc>
        <w:tc>
          <w:tcPr>
            <w:tcW w:w="907" w:type="dxa"/>
            <w:shd w:val="clear" w:color="auto" w:fill="auto"/>
          </w:tcPr>
          <w:p w14:paraId="0C533243" w14:textId="77777777" w:rsidR="00ED2EBD" w:rsidRPr="00BD16B4" w:rsidRDefault="00ED2EBD" w:rsidP="004A205F">
            <w:pPr>
              <w:pStyle w:val="TableText"/>
              <w:spacing w:before="40" w:after="40"/>
              <w:jc w:val="right"/>
              <w:rPr>
                <w:szCs w:val="18"/>
              </w:rPr>
            </w:pPr>
            <w:r w:rsidRPr="00BD16B4">
              <w:rPr>
                <w:szCs w:val="18"/>
              </w:rPr>
              <w:t>1.17</w:t>
            </w:r>
          </w:p>
        </w:tc>
        <w:tc>
          <w:tcPr>
            <w:tcW w:w="907" w:type="dxa"/>
            <w:shd w:val="clear" w:color="auto" w:fill="auto"/>
          </w:tcPr>
          <w:p w14:paraId="6EBBF1A1" w14:textId="77777777" w:rsidR="00ED2EBD" w:rsidRPr="00BD16B4" w:rsidRDefault="00ED2EBD" w:rsidP="004A205F">
            <w:pPr>
              <w:pStyle w:val="TableText"/>
              <w:spacing w:before="40" w:after="40"/>
              <w:jc w:val="right"/>
              <w:rPr>
                <w:szCs w:val="18"/>
              </w:rPr>
            </w:pPr>
            <w:r w:rsidRPr="00BD16B4">
              <w:rPr>
                <w:szCs w:val="18"/>
              </w:rPr>
              <w:t>1.19</w:t>
            </w:r>
          </w:p>
        </w:tc>
        <w:tc>
          <w:tcPr>
            <w:tcW w:w="907" w:type="dxa"/>
            <w:shd w:val="clear" w:color="auto" w:fill="auto"/>
          </w:tcPr>
          <w:p w14:paraId="3B31A928" w14:textId="77777777" w:rsidR="00ED2EBD" w:rsidRPr="00BD16B4" w:rsidRDefault="00ED2EBD" w:rsidP="004A205F">
            <w:pPr>
              <w:pStyle w:val="TableText"/>
              <w:spacing w:before="40" w:after="40"/>
              <w:jc w:val="right"/>
              <w:rPr>
                <w:szCs w:val="18"/>
              </w:rPr>
            </w:pPr>
            <w:r w:rsidRPr="00BD16B4">
              <w:rPr>
                <w:szCs w:val="18"/>
              </w:rPr>
              <w:t>1.17</w:t>
            </w:r>
          </w:p>
        </w:tc>
        <w:tc>
          <w:tcPr>
            <w:tcW w:w="907" w:type="dxa"/>
            <w:shd w:val="clear" w:color="auto" w:fill="auto"/>
          </w:tcPr>
          <w:p w14:paraId="7B3348E8" w14:textId="77777777" w:rsidR="00ED2EBD" w:rsidRPr="00BD16B4" w:rsidRDefault="00ED2EBD" w:rsidP="004A205F">
            <w:pPr>
              <w:pStyle w:val="TableText"/>
              <w:spacing w:before="40" w:after="40"/>
              <w:jc w:val="right"/>
              <w:rPr>
                <w:szCs w:val="18"/>
              </w:rPr>
            </w:pPr>
            <w:r w:rsidRPr="00BD16B4">
              <w:rPr>
                <w:szCs w:val="18"/>
              </w:rPr>
              <w:t>1.12</w:t>
            </w:r>
          </w:p>
        </w:tc>
        <w:tc>
          <w:tcPr>
            <w:tcW w:w="907" w:type="dxa"/>
            <w:shd w:val="clear" w:color="auto" w:fill="auto"/>
          </w:tcPr>
          <w:p w14:paraId="7980E344" w14:textId="77777777" w:rsidR="00ED2EBD" w:rsidRPr="00BD16B4" w:rsidRDefault="00ED2EBD" w:rsidP="004A205F">
            <w:pPr>
              <w:pStyle w:val="TableText"/>
              <w:spacing w:before="40" w:after="40"/>
              <w:jc w:val="right"/>
              <w:rPr>
                <w:szCs w:val="18"/>
              </w:rPr>
            </w:pPr>
            <w:r w:rsidRPr="00BD16B4">
              <w:rPr>
                <w:szCs w:val="18"/>
              </w:rPr>
              <w:t>1.10</w:t>
            </w:r>
          </w:p>
        </w:tc>
        <w:tc>
          <w:tcPr>
            <w:tcW w:w="907" w:type="dxa"/>
            <w:shd w:val="clear" w:color="auto" w:fill="auto"/>
          </w:tcPr>
          <w:p w14:paraId="609B92A0" w14:textId="77777777" w:rsidR="00ED2EBD" w:rsidRPr="00BD16B4" w:rsidRDefault="00ED2EBD" w:rsidP="004A205F">
            <w:pPr>
              <w:pStyle w:val="TableText"/>
              <w:spacing w:before="40" w:after="40"/>
              <w:jc w:val="right"/>
              <w:rPr>
                <w:szCs w:val="18"/>
              </w:rPr>
            </w:pPr>
            <w:r w:rsidRPr="00BD16B4">
              <w:rPr>
                <w:szCs w:val="18"/>
              </w:rPr>
              <w:t>1.04</w:t>
            </w:r>
          </w:p>
        </w:tc>
      </w:tr>
      <w:tr w:rsidR="002A2A69" w:rsidRPr="00BD16B4" w14:paraId="6D45C269" w14:textId="77777777" w:rsidTr="004625B0">
        <w:tc>
          <w:tcPr>
            <w:tcW w:w="4106" w:type="dxa"/>
          </w:tcPr>
          <w:p w14:paraId="12FF10F5" w14:textId="77777777" w:rsidR="00ED2EBD" w:rsidRPr="00BD16B4" w:rsidRDefault="00ED2EBD" w:rsidP="004A205F">
            <w:pPr>
              <w:pStyle w:val="TableText"/>
              <w:spacing w:before="40" w:after="40"/>
              <w:rPr>
                <w:szCs w:val="18"/>
              </w:rPr>
            </w:pPr>
            <w:r w:rsidRPr="00BD16B4">
              <w:rPr>
                <w:szCs w:val="18"/>
              </w:rPr>
              <w:t>A. Fuel combustion (sectoral approach)</w:t>
            </w:r>
          </w:p>
        </w:tc>
        <w:tc>
          <w:tcPr>
            <w:tcW w:w="907" w:type="dxa"/>
            <w:shd w:val="clear" w:color="auto" w:fill="auto"/>
          </w:tcPr>
          <w:p w14:paraId="5E3A336F" w14:textId="77777777" w:rsidR="00ED2EBD" w:rsidRPr="00BD16B4" w:rsidRDefault="00ED2EBD" w:rsidP="004A205F">
            <w:pPr>
              <w:pStyle w:val="TableText"/>
              <w:spacing w:before="40" w:after="40"/>
              <w:jc w:val="right"/>
              <w:rPr>
                <w:szCs w:val="18"/>
              </w:rPr>
            </w:pPr>
            <w:r w:rsidRPr="00BD16B4">
              <w:rPr>
                <w:szCs w:val="18"/>
              </w:rPr>
              <w:t>0.96</w:t>
            </w:r>
          </w:p>
        </w:tc>
        <w:tc>
          <w:tcPr>
            <w:tcW w:w="907" w:type="dxa"/>
            <w:shd w:val="clear" w:color="auto" w:fill="auto"/>
          </w:tcPr>
          <w:p w14:paraId="79D41E82" w14:textId="77777777" w:rsidR="00ED2EBD" w:rsidRPr="00BD16B4" w:rsidRDefault="00ED2EBD" w:rsidP="004A205F">
            <w:pPr>
              <w:pStyle w:val="TableText"/>
              <w:spacing w:before="40" w:after="40"/>
              <w:jc w:val="right"/>
              <w:rPr>
                <w:szCs w:val="18"/>
              </w:rPr>
            </w:pPr>
            <w:r w:rsidRPr="00BD16B4">
              <w:rPr>
                <w:szCs w:val="18"/>
              </w:rPr>
              <w:t>1.01</w:t>
            </w:r>
          </w:p>
        </w:tc>
        <w:tc>
          <w:tcPr>
            <w:tcW w:w="907" w:type="dxa"/>
            <w:shd w:val="clear" w:color="auto" w:fill="auto"/>
          </w:tcPr>
          <w:p w14:paraId="59A364B9" w14:textId="77777777" w:rsidR="00ED2EBD" w:rsidRPr="00BD16B4" w:rsidRDefault="00ED2EBD" w:rsidP="004A205F">
            <w:pPr>
              <w:pStyle w:val="TableText"/>
              <w:spacing w:before="40" w:after="40"/>
              <w:jc w:val="right"/>
              <w:rPr>
                <w:szCs w:val="18"/>
              </w:rPr>
            </w:pPr>
            <w:r w:rsidRPr="00BD16B4">
              <w:rPr>
                <w:szCs w:val="18"/>
              </w:rPr>
              <w:t>1.02</w:t>
            </w:r>
          </w:p>
        </w:tc>
        <w:tc>
          <w:tcPr>
            <w:tcW w:w="907" w:type="dxa"/>
            <w:shd w:val="clear" w:color="auto" w:fill="auto"/>
          </w:tcPr>
          <w:p w14:paraId="6C5C0504" w14:textId="77777777" w:rsidR="00ED2EBD" w:rsidRPr="00BD16B4" w:rsidRDefault="00ED2EBD" w:rsidP="004A205F">
            <w:pPr>
              <w:pStyle w:val="TableText"/>
              <w:spacing w:before="40" w:after="40"/>
              <w:jc w:val="right"/>
              <w:rPr>
                <w:szCs w:val="18"/>
              </w:rPr>
            </w:pPr>
            <w:r w:rsidRPr="00BD16B4">
              <w:rPr>
                <w:szCs w:val="18"/>
              </w:rPr>
              <w:t>1.06</w:t>
            </w:r>
          </w:p>
        </w:tc>
        <w:tc>
          <w:tcPr>
            <w:tcW w:w="907" w:type="dxa"/>
            <w:shd w:val="clear" w:color="auto" w:fill="auto"/>
          </w:tcPr>
          <w:p w14:paraId="2139554E" w14:textId="77777777" w:rsidR="00ED2EBD" w:rsidRPr="00BD16B4" w:rsidRDefault="00ED2EBD" w:rsidP="004A205F">
            <w:pPr>
              <w:pStyle w:val="TableText"/>
              <w:spacing w:before="40" w:after="40"/>
              <w:jc w:val="right"/>
              <w:rPr>
                <w:szCs w:val="18"/>
              </w:rPr>
            </w:pPr>
            <w:r w:rsidRPr="00BD16B4">
              <w:rPr>
                <w:szCs w:val="18"/>
              </w:rPr>
              <w:t>1.12</w:t>
            </w:r>
          </w:p>
        </w:tc>
        <w:tc>
          <w:tcPr>
            <w:tcW w:w="907" w:type="dxa"/>
            <w:shd w:val="clear" w:color="auto" w:fill="auto"/>
          </w:tcPr>
          <w:p w14:paraId="2F8A45B6" w14:textId="77777777" w:rsidR="00ED2EBD" w:rsidRPr="00BD16B4" w:rsidRDefault="00ED2EBD" w:rsidP="004A205F">
            <w:pPr>
              <w:pStyle w:val="TableText"/>
              <w:spacing w:before="40" w:after="40"/>
              <w:jc w:val="right"/>
              <w:rPr>
                <w:szCs w:val="18"/>
              </w:rPr>
            </w:pPr>
            <w:r w:rsidRPr="00BD16B4">
              <w:rPr>
                <w:szCs w:val="18"/>
              </w:rPr>
              <w:t>1.17</w:t>
            </w:r>
          </w:p>
        </w:tc>
        <w:tc>
          <w:tcPr>
            <w:tcW w:w="907" w:type="dxa"/>
            <w:shd w:val="clear" w:color="auto" w:fill="auto"/>
          </w:tcPr>
          <w:p w14:paraId="66A12FAE" w14:textId="77777777" w:rsidR="00ED2EBD" w:rsidRPr="00BD16B4" w:rsidRDefault="00ED2EBD" w:rsidP="004A205F">
            <w:pPr>
              <w:pStyle w:val="TableText"/>
              <w:spacing w:before="40" w:after="40"/>
              <w:jc w:val="right"/>
              <w:rPr>
                <w:szCs w:val="18"/>
              </w:rPr>
            </w:pPr>
            <w:r w:rsidRPr="00BD16B4">
              <w:rPr>
                <w:szCs w:val="18"/>
              </w:rPr>
              <w:t>1.19</w:t>
            </w:r>
          </w:p>
        </w:tc>
        <w:tc>
          <w:tcPr>
            <w:tcW w:w="907" w:type="dxa"/>
            <w:shd w:val="clear" w:color="auto" w:fill="auto"/>
          </w:tcPr>
          <w:p w14:paraId="50AF1AE0" w14:textId="77777777" w:rsidR="00ED2EBD" w:rsidRPr="00BD16B4" w:rsidRDefault="00ED2EBD" w:rsidP="004A205F">
            <w:pPr>
              <w:pStyle w:val="TableText"/>
              <w:spacing w:before="40" w:after="40"/>
              <w:jc w:val="right"/>
              <w:rPr>
                <w:szCs w:val="18"/>
              </w:rPr>
            </w:pPr>
            <w:r w:rsidRPr="00BD16B4">
              <w:rPr>
                <w:szCs w:val="18"/>
              </w:rPr>
              <w:t>1.17</w:t>
            </w:r>
          </w:p>
        </w:tc>
        <w:tc>
          <w:tcPr>
            <w:tcW w:w="907" w:type="dxa"/>
            <w:shd w:val="clear" w:color="auto" w:fill="auto"/>
          </w:tcPr>
          <w:p w14:paraId="68A6D618" w14:textId="77777777" w:rsidR="00ED2EBD" w:rsidRPr="00BD16B4" w:rsidRDefault="00ED2EBD" w:rsidP="004A205F">
            <w:pPr>
              <w:pStyle w:val="TableText"/>
              <w:spacing w:before="40" w:after="40"/>
              <w:jc w:val="right"/>
              <w:rPr>
                <w:szCs w:val="18"/>
              </w:rPr>
            </w:pPr>
            <w:r w:rsidRPr="00BD16B4">
              <w:rPr>
                <w:szCs w:val="18"/>
              </w:rPr>
              <w:t>1.12</w:t>
            </w:r>
          </w:p>
        </w:tc>
        <w:tc>
          <w:tcPr>
            <w:tcW w:w="907" w:type="dxa"/>
            <w:shd w:val="clear" w:color="auto" w:fill="auto"/>
          </w:tcPr>
          <w:p w14:paraId="637044F0" w14:textId="77777777" w:rsidR="00ED2EBD" w:rsidRPr="00BD16B4" w:rsidRDefault="00ED2EBD" w:rsidP="004A205F">
            <w:pPr>
              <w:pStyle w:val="TableText"/>
              <w:spacing w:before="40" w:after="40"/>
              <w:jc w:val="right"/>
              <w:rPr>
                <w:szCs w:val="18"/>
              </w:rPr>
            </w:pPr>
            <w:r w:rsidRPr="00BD16B4">
              <w:rPr>
                <w:szCs w:val="18"/>
              </w:rPr>
              <w:t>1.10</w:t>
            </w:r>
          </w:p>
        </w:tc>
        <w:tc>
          <w:tcPr>
            <w:tcW w:w="907" w:type="dxa"/>
            <w:shd w:val="clear" w:color="auto" w:fill="auto"/>
          </w:tcPr>
          <w:p w14:paraId="65118C71" w14:textId="77777777" w:rsidR="00ED2EBD" w:rsidRPr="00BD16B4" w:rsidRDefault="00ED2EBD" w:rsidP="004A205F">
            <w:pPr>
              <w:pStyle w:val="TableText"/>
              <w:spacing w:before="40" w:after="40"/>
              <w:jc w:val="right"/>
              <w:rPr>
                <w:szCs w:val="18"/>
              </w:rPr>
            </w:pPr>
            <w:r w:rsidRPr="00BD16B4">
              <w:rPr>
                <w:szCs w:val="18"/>
              </w:rPr>
              <w:t>1.04</w:t>
            </w:r>
          </w:p>
        </w:tc>
      </w:tr>
      <w:tr w:rsidR="002A2A69" w:rsidRPr="00BD16B4" w14:paraId="531BEBA5" w14:textId="77777777" w:rsidTr="004625B0">
        <w:tc>
          <w:tcPr>
            <w:tcW w:w="4106" w:type="dxa"/>
          </w:tcPr>
          <w:p w14:paraId="28401D8C" w14:textId="16FC7A70" w:rsidR="00ED2EBD" w:rsidRPr="00BD16B4" w:rsidRDefault="00ED2EBD" w:rsidP="004A205F">
            <w:pPr>
              <w:pStyle w:val="TableText"/>
              <w:spacing w:before="40" w:after="40"/>
              <w:ind w:left="454" w:hanging="227"/>
              <w:rPr>
                <w:szCs w:val="18"/>
              </w:rPr>
            </w:pPr>
            <w:r w:rsidRPr="00BD16B4">
              <w:rPr>
                <w:szCs w:val="18"/>
              </w:rPr>
              <w:t>1.</w:t>
            </w:r>
            <w:r w:rsidR="00280979" w:rsidRPr="00BD16B4">
              <w:rPr>
                <w:szCs w:val="18"/>
              </w:rPr>
              <w:t xml:space="preserve"> </w:t>
            </w:r>
            <w:r w:rsidRPr="00BD16B4">
              <w:rPr>
                <w:szCs w:val="18"/>
              </w:rPr>
              <w:t xml:space="preserve">Energy </w:t>
            </w:r>
            <w:r w:rsidRPr="00BD16B4">
              <w:rPr>
                <w:rFonts w:cs="Calibri"/>
                <w:szCs w:val="18"/>
              </w:rPr>
              <w:t>industries</w:t>
            </w:r>
          </w:p>
        </w:tc>
        <w:tc>
          <w:tcPr>
            <w:tcW w:w="907" w:type="dxa"/>
            <w:shd w:val="clear" w:color="auto" w:fill="auto"/>
          </w:tcPr>
          <w:p w14:paraId="3EBA50D0" w14:textId="77777777" w:rsidR="00ED2EBD" w:rsidRPr="00BD16B4" w:rsidRDefault="00ED2EBD" w:rsidP="004A205F">
            <w:pPr>
              <w:pStyle w:val="TableText"/>
              <w:spacing w:before="40" w:after="40"/>
              <w:jc w:val="right"/>
              <w:rPr>
                <w:szCs w:val="18"/>
              </w:rPr>
            </w:pPr>
            <w:r w:rsidRPr="00BD16B4">
              <w:rPr>
                <w:szCs w:val="18"/>
              </w:rPr>
              <w:t>0.03</w:t>
            </w:r>
          </w:p>
        </w:tc>
        <w:tc>
          <w:tcPr>
            <w:tcW w:w="907" w:type="dxa"/>
            <w:shd w:val="clear" w:color="auto" w:fill="auto"/>
          </w:tcPr>
          <w:p w14:paraId="0CBB03F2" w14:textId="77777777" w:rsidR="00ED2EBD" w:rsidRPr="00BD16B4" w:rsidRDefault="00ED2EBD" w:rsidP="004A205F">
            <w:pPr>
              <w:pStyle w:val="TableText"/>
              <w:spacing w:before="40" w:after="40"/>
              <w:jc w:val="right"/>
              <w:rPr>
                <w:szCs w:val="18"/>
              </w:rPr>
            </w:pPr>
            <w:r w:rsidRPr="00BD16B4">
              <w:rPr>
                <w:szCs w:val="18"/>
              </w:rPr>
              <w:t>0.02</w:t>
            </w:r>
          </w:p>
        </w:tc>
        <w:tc>
          <w:tcPr>
            <w:tcW w:w="907" w:type="dxa"/>
            <w:shd w:val="clear" w:color="auto" w:fill="auto"/>
          </w:tcPr>
          <w:p w14:paraId="7D932038" w14:textId="77777777" w:rsidR="00ED2EBD" w:rsidRPr="00BD16B4" w:rsidRDefault="00ED2EBD" w:rsidP="004A205F">
            <w:pPr>
              <w:pStyle w:val="TableText"/>
              <w:spacing w:before="40" w:after="40"/>
              <w:jc w:val="right"/>
              <w:rPr>
                <w:szCs w:val="18"/>
              </w:rPr>
            </w:pPr>
            <w:r w:rsidRPr="00BD16B4">
              <w:rPr>
                <w:szCs w:val="18"/>
              </w:rPr>
              <w:t>0.03</w:t>
            </w:r>
          </w:p>
        </w:tc>
        <w:tc>
          <w:tcPr>
            <w:tcW w:w="907" w:type="dxa"/>
            <w:shd w:val="clear" w:color="auto" w:fill="auto"/>
          </w:tcPr>
          <w:p w14:paraId="10480539" w14:textId="77777777" w:rsidR="00ED2EBD" w:rsidRPr="00BD16B4" w:rsidRDefault="00ED2EBD" w:rsidP="004A205F">
            <w:pPr>
              <w:pStyle w:val="TableText"/>
              <w:spacing w:before="40" w:after="40"/>
              <w:jc w:val="right"/>
              <w:rPr>
                <w:szCs w:val="18"/>
              </w:rPr>
            </w:pPr>
            <w:r w:rsidRPr="00BD16B4">
              <w:rPr>
                <w:szCs w:val="18"/>
              </w:rPr>
              <w:t>0.03</w:t>
            </w:r>
          </w:p>
        </w:tc>
        <w:tc>
          <w:tcPr>
            <w:tcW w:w="907" w:type="dxa"/>
            <w:shd w:val="clear" w:color="auto" w:fill="auto"/>
          </w:tcPr>
          <w:p w14:paraId="35FD1F5E" w14:textId="77777777" w:rsidR="00ED2EBD" w:rsidRPr="00BD16B4" w:rsidRDefault="00ED2EBD" w:rsidP="004A205F">
            <w:pPr>
              <w:pStyle w:val="TableText"/>
              <w:spacing w:before="40" w:after="40"/>
              <w:jc w:val="right"/>
              <w:rPr>
                <w:szCs w:val="18"/>
              </w:rPr>
            </w:pPr>
            <w:r w:rsidRPr="00BD16B4">
              <w:rPr>
                <w:szCs w:val="18"/>
              </w:rPr>
              <w:t>0.06</w:t>
            </w:r>
          </w:p>
        </w:tc>
        <w:tc>
          <w:tcPr>
            <w:tcW w:w="907" w:type="dxa"/>
            <w:shd w:val="clear" w:color="auto" w:fill="auto"/>
          </w:tcPr>
          <w:p w14:paraId="4AA933D0" w14:textId="77777777" w:rsidR="00ED2EBD" w:rsidRPr="00BD16B4" w:rsidRDefault="00ED2EBD" w:rsidP="004A205F">
            <w:pPr>
              <w:pStyle w:val="TableText"/>
              <w:spacing w:before="40" w:after="40"/>
              <w:jc w:val="right"/>
              <w:rPr>
                <w:szCs w:val="18"/>
              </w:rPr>
            </w:pPr>
            <w:r w:rsidRPr="00BD16B4">
              <w:rPr>
                <w:szCs w:val="18"/>
              </w:rPr>
              <w:t>0.07</w:t>
            </w:r>
          </w:p>
        </w:tc>
        <w:tc>
          <w:tcPr>
            <w:tcW w:w="907" w:type="dxa"/>
            <w:shd w:val="clear" w:color="auto" w:fill="auto"/>
          </w:tcPr>
          <w:p w14:paraId="58358429" w14:textId="77777777" w:rsidR="00ED2EBD" w:rsidRPr="00BD16B4" w:rsidRDefault="00ED2EBD" w:rsidP="004A205F">
            <w:pPr>
              <w:pStyle w:val="TableText"/>
              <w:spacing w:before="40" w:after="40"/>
              <w:jc w:val="right"/>
              <w:rPr>
                <w:szCs w:val="18"/>
              </w:rPr>
            </w:pPr>
            <w:r w:rsidRPr="00BD16B4">
              <w:rPr>
                <w:szCs w:val="18"/>
              </w:rPr>
              <w:t>0.09</w:t>
            </w:r>
          </w:p>
        </w:tc>
        <w:tc>
          <w:tcPr>
            <w:tcW w:w="907" w:type="dxa"/>
            <w:shd w:val="clear" w:color="auto" w:fill="auto"/>
          </w:tcPr>
          <w:p w14:paraId="181BEB52" w14:textId="77777777" w:rsidR="00ED2EBD" w:rsidRPr="00BD16B4" w:rsidRDefault="00ED2EBD" w:rsidP="004A205F">
            <w:pPr>
              <w:pStyle w:val="TableText"/>
              <w:spacing w:before="40" w:after="40"/>
              <w:jc w:val="right"/>
              <w:rPr>
                <w:szCs w:val="18"/>
              </w:rPr>
            </w:pPr>
            <w:r w:rsidRPr="00BD16B4">
              <w:rPr>
                <w:szCs w:val="18"/>
              </w:rPr>
              <w:t>0.08</w:t>
            </w:r>
          </w:p>
        </w:tc>
        <w:tc>
          <w:tcPr>
            <w:tcW w:w="907" w:type="dxa"/>
            <w:shd w:val="clear" w:color="auto" w:fill="auto"/>
          </w:tcPr>
          <w:p w14:paraId="021F54C7" w14:textId="77777777" w:rsidR="00ED2EBD" w:rsidRPr="00BD16B4" w:rsidRDefault="00ED2EBD" w:rsidP="004A205F">
            <w:pPr>
              <w:pStyle w:val="TableText"/>
              <w:spacing w:before="40" w:after="40"/>
              <w:jc w:val="right"/>
              <w:rPr>
                <w:szCs w:val="18"/>
              </w:rPr>
            </w:pPr>
            <w:r w:rsidRPr="00BD16B4">
              <w:rPr>
                <w:szCs w:val="18"/>
              </w:rPr>
              <w:t>0.05</w:t>
            </w:r>
          </w:p>
        </w:tc>
        <w:tc>
          <w:tcPr>
            <w:tcW w:w="907" w:type="dxa"/>
            <w:shd w:val="clear" w:color="auto" w:fill="auto"/>
          </w:tcPr>
          <w:p w14:paraId="0703FB50" w14:textId="77777777" w:rsidR="00ED2EBD" w:rsidRPr="00BD16B4" w:rsidRDefault="00ED2EBD" w:rsidP="004A205F">
            <w:pPr>
              <w:pStyle w:val="TableText"/>
              <w:spacing w:before="40" w:after="40"/>
              <w:jc w:val="right"/>
              <w:rPr>
                <w:szCs w:val="18"/>
              </w:rPr>
            </w:pPr>
            <w:r w:rsidRPr="00BD16B4">
              <w:rPr>
                <w:szCs w:val="18"/>
              </w:rPr>
              <w:t>0.07</w:t>
            </w:r>
          </w:p>
        </w:tc>
        <w:tc>
          <w:tcPr>
            <w:tcW w:w="907" w:type="dxa"/>
            <w:shd w:val="clear" w:color="auto" w:fill="auto"/>
          </w:tcPr>
          <w:p w14:paraId="3ECCD533" w14:textId="77777777" w:rsidR="00ED2EBD" w:rsidRPr="00BD16B4" w:rsidRDefault="00ED2EBD" w:rsidP="004A205F">
            <w:pPr>
              <w:pStyle w:val="TableText"/>
              <w:spacing w:before="40" w:after="40"/>
              <w:jc w:val="right"/>
              <w:rPr>
                <w:szCs w:val="18"/>
              </w:rPr>
            </w:pPr>
            <w:r w:rsidRPr="00BD16B4">
              <w:rPr>
                <w:szCs w:val="18"/>
              </w:rPr>
              <w:t>0.05</w:t>
            </w:r>
          </w:p>
        </w:tc>
      </w:tr>
      <w:tr w:rsidR="002A2A69" w:rsidRPr="00BD16B4" w14:paraId="0C08E495" w14:textId="77777777" w:rsidTr="004625B0">
        <w:tc>
          <w:tcPr>
            <w:tcW w:w="4106" w:type="dxa"/>
          </w:tcPr>
          <w:p w14:paraId="712BF999" w14:textId="4DDDCEA9" w:rsidR="00ED2EBD" w:rsidRPr="00BD16B4" w:rsidRDefault="00ED2EBD" w:rsidP="004A205F">
            <w:pPr>
              <w:pStyle w:val="TableText"/>
              <w:spacing w:before="40" w:after="40"/>
              <w:ind w:left="454" w:hanging="227"/>
              <w:rPr>
                <w:szCs w:val="18"/>
              </w:rPr>
            </w:pPr>
            <w:r w:rsidRPr="00BD16B4">
              <w:rPr>
                <w:szCs w:val="18"/>
              </w:rPr>
              <w:t>2.</w:t>
            </w:r>
            <w:r w:rsidR="00280979" w:rsidRPr="00BD16B4">
              <w:rPr>
                <w:szCs w:val="18"/>
              </w:rPr>
              <w:t xml:space="preserve"> </w:t>
            </w:r>
            <w:r w:rsidRPr="00BD16B4">
              <w:rPr>
                <w:szCs w:val="18"/>
              </w:rPr>
              <w:t>Manufacturing industries and construction</w:t>
            </w:r>
          </w:p>
        </w:tc>
        <w:tc>
          <w:tcPr>
            <w:tcW w:w="907" w:type="dxa"/>
            <w:shd w:val="clear" w:color="auto" w:fill="auto"/>
          </w:tcPr>
          <w:p w14:paraId="3F13488F" w14:textId="77777777" w:rsidR="00ED2EBD" w:rsidRPr="00BD16B4" w:rsidRDefault="00ED2EBD" w:rsidP="004A205F">
            <w:pPr>
              <w:pStyle w:val="TableText"/>
              <w:spacing w:before="40" w:after="40"/>
              <w:jc w:val="right"/>
              <w:rPr>
                <w:szCs w:val="18"/>
              </w:rPr>
            </w:pPr>
            <w:r w:rsidRPr="00BD16B4">
              <w:rPr>
                <w:szCs w:val="18"/>
              </w:rPr>
              <w:t>0.18</w:t>
            </w:r>
          </w:p>
        </w:tc>
        <w:tc>
          <w:tcPr>
            <w:tcW w:w="907" w:type="dxa"/>
            <w:shd w:val="clear" w:color="auto" w:fill="auto"/>
          </w:tcPr>
          <w:p w14:paraId="61D37807" w14:textId="77777777" w:rsidR="00ED2EBD" w:rsidRPr="00BD16B4" w:rsidRDefault="00ED2EBD" w:rsidP="004A205F">
            <w:pPr>
              <w:pStyle w:val="TableText"/>
              <w:spacing w:before="40" w:after="40"/>
              <w:jc w:val="right"/>
              <w:rPr>
                <w:szCs w:val="18"/>
              </w:rPr>
            </w:pPr>
            <w:r w:rsidRPr="00BD16B4">
              <w:rPr>
                <w:szCs w:val="18"/>
              </w:rPr>
              <w:t>0.19</w:t>
            </w:r>
          </w:p>
        </w:tc>
        <w:tc>
          <w:tcPr>
            <w:tcW w:w="907" w:type="dxa"/>
            <w:shd w:val="clear" w:color="auto" w:fill="auto"/>
          </w:tcPr>
          <w:p w14:paraId="08B09BD5" w14:textId="77777777" w:rsidR="00ED2EBD" w:rsidRPr="00BD16B4" w:rsidRDefault="00ED2EBD" w:rsidP="004A205F">
            <w:pPr>
              <w:pStyle w:val="TableText"/>
              <w:spacing w:before="40" w:after="40"/>
              <w:jc w:val="right"/>
              <w:rPr>
                <w:szCs w:val="18"/>
              </w:rPr>
            </w:pPr>
            <w:r w:rsidRPr="00BD16B4">
              <w:rPr>
                <w:szCs w:val="18"/>
              </w:rPr>
              <w:t>0.20</w:t>
            </w:r>
          </w:p>
        </w:tc>
        <w:tc>
          <w:tcPr>
            <w:tcW w:w="907" w:type="dxa"/>
            <w:shd w:val="clear" w:color="auto" w:fill="auto"/>
          </w:tcPr>
          <w:p w14:paraId="7A56F472" w14:textId="77777777" w:rsidR="00ED2EBD" w:rsidRPr="00BD16B4" w:rsidRDefault="00ED2EBD" w:rsidP="004A205F">
            <w:pPr>
              <w:pStyle w:val="TableText"/>
              <w:spacing w:before="40" w:after="40"/>
              <w:jc w:val="right"/>
              <w:rPr>
                <w:szCs w:val="18"/>
              </w:rPr>
            </w:pPr>
            <w:r w:rsidRPr="00BD16B4">
              <w:rPr>
                <w:szCs w:val="18"/>
              </w:rPr>
              <w:t>0.21</w:t>
            </w:r>
          </w:p>
        </w:tc>
        <w:tc>
          <w:tcPr>
            <w:tcW w:w="907" w:type="dxa"/>
            <w:shd w:val="clear" w:color="auto" w:fill="auto"/>
          </w:tcPr>
          <w:p w14:paraId="74ECB0D9" w14:textId="77777777" w:rsidR="00ED2EBD" w:rsidRPr="00BD16B4" w:rsidRDefault="00ED2EBD" w:rsidP="004A205F">
            <w:pPr>
              <w:pStyle w:val="TableText"/>
              <w:spacing w:before="40" w:after="40"/>
              <w:jc w:val="right"/>
              <w:rPr>
                <w:szCs w:val="18"/>
              </w:rPr>
            </w:pPr>
            <w:r w:rsidRPr="00BD16B4">
              <w:rPr>
                <w:szCs w:val="18"/>
              </w:rPr>
              <w:t>0.21</w:t>
            </w:r>
          </w:p>
        </w:tc>
        <w:tc>
          <w:tcPr>
            <w:tcW w:w="907" w:type="dxa"/>
            <w:shd w:val="clear" w:color="auto" w:fill="auto"/>
          </w:tcPr>
          <w:p w14:paraId="3749635A" w14:textId="77777777" w:rsidR="00ED2EBD" w:rsidRPr="00BD16B4" w:rsidRDefault="00ED2EBD" w:rsidP="004A205F">
            <w:pPr>
              <w:pStyle w:val="TableText"/>
              <w:spacing w:before="40" w:after="40"/>
              <w:jc w:val="right"/>
              <w:rPr>
                <w:szCs w:val="18"/>
              </w:rPr>
            </w:pPr>
            <w:r w:rsidRPr="00BD16B4">
              <w:rPr>
                <w:szCs w:val="18"/>
              </w:rPr>
              <w:t>0.22</w:t>
            </w:r>
          </w:p>
        </w:tc>
        <w:tc>
          <w:tcPr>
            <w:tcW w:w="907" w:type="dxa"/>
            <w:shd w:val="clear" w:color="auto" w:fill="auto"/>
          </w:tcPr>
          <w:p w14:paraId="15754A8A" w14:textId="77777777" w:rsidR="00ED2EBD" w:rsidRPr="00BD16B4" w:rsidRDefault="00ED2EBD" w:rsidP="004A205F">
            <w:pPr>
              <w:pStyle w:val="TableText"/>
              <w:spacing w:before="40" w:after="40"/>
              <w:jc w:val="right"/>
              <w:rPr>
                <w:szCs w:val="18"/>
              </w:rPr>
            </w:pPr>
            <w:r w:rsidRPr="00BD16B4">
              <w:rPr>
                <w:szCs w:val="18"/>
              </w:rPr>
              <w:t>0.22</w:t>
            </w:r>
          </w:p>
        </w:tc>
        <w:tc>
          <w:tcPr>
            <w:tcW w:w="907" w:type="dxa"/>
            <w:shd w:val="clear" w:color="auto" w:fill="auto"/>
          </w:tcPr>
          <w:p w14:paraId="4FB9579D" w14:textId="77777777" w:rsidR="00ED2EBD" w:rsidRPr="00BD16B4" w:rsidRDefault="00ED2EBD" w:rsidP="004A205F">
            <w:pPr>
              <w:pStyle w:val="TableText"/>
              <w:spacing w:before="40" w:after="40"/>
              <w:jc w:val="right"/>
              <w:rPr>
                <w:szCs w:val="18"/>
              </w:rPr>
            </w:pPr>
            <w:r w:rsidRPr="00BD16B4">
              <w:rPr>
                <w:szCs w:val="18"/>
              </w:rPr>
              <w:t>0.22</w:t>
            </w:r>
          </w:p>
        </w:tc>
        <w:tc>
          <w:tcPr>
            <w:tcW w:w="907" w:type="dxa"/>
            <w:shd w:val="clear" w:color="auto" w:fill="auto"/>
          </w:tcPr>
          <w:p w14:paraId="146306D1" w14:textId="77777777" w:rsidR="00ED2EBD" w:rsidRPr="00BD16B4" w:rsidRDefault="00ED2EBD" w:rsidP="004A205F">
            <w:pPr>
              <w:pStyle w:val="TableText"/>
              <w:spacing w:before="40" w:after="40"/>
              <w:jc w:val="right"/>
              <w:rPr>
                <w:szCs w:val="18"/>
              </w:rPr>
            </w:pPr>
            <w:r w:rsidRPr="00BD16B4">
              <w:rPr>
                <w:szCs w:val="18"/>
              </w:rPr>
              <w:t>0.22</w:t>
            </w:r>
          </w:p>
        </w:tc>
        <w:tc>
          <w:tcPr>
            <w:tcW w:w="907" w:type="dxa"/>
            <w:shd w:val="clear" w:color="auto" w:fill="auto"/>
          </w:tcPr>
          <w:p w14:paraId="36093F2B" w14:textId="77777777" w:rsidR="00ED2EBD" w:rsidRPr="00BD16B4" w:rsidRDefault="00ED2EBD" w:rsidP="004A205F">
            <w:pPr>
              <w:pStyle w:val="TableText"/>
              <w:spacing w:before="40" w:after="40"/>
              <w:jc w:val="right"/>
              <w:rPr>
                <w:szCs w:val="18"/>
              </w:rPr>
            </w:pPr>
            <w:r w:rsidRPr="00BD16B4">
              <w:rPr>
                <w:szCs w:val="18"/>
              </w:rPr>
              <w:t>0.21</w:t>
            </w:r>
          </w:p>
        </w:tc>
        <w:tc>
          <w:tcPr>
            <w:tcW w:w="907" w:type="dxa"/>
            <w:shd w:val="clear" w:color="auto" w:fill="auto"/>
          </w:tcPr>
          <w:p w14:paraId="1BC913CA" w14:textId="77777777" w:rsidR="00ED2EBD" w:rsidRPr="00BD16B4" w:rsidRDefault="00ED2EBD" w:rsidP="004A205F">
            <w:pPr>
              <w:pStyle w:val="TableText"/>
              <w:spacing w:before="40" w:after="40"/>
              <w:jc w:val="right"/>
              <w:rPr>
                <w:szCs w:val="18"/>
              </w:rPr>
            </w:pPr>
            <w:r w:rsidRPr="00BD16B4">
              <w:rPr>
                <w:szCs w:val="18"/>
              </w:rPr>
              <w:t>0.20</w:t>
            </w:r>
          </w:p>
        </w:tc>
      </w:tr>
      <w:tr w:rsidR="002A2A69" w:rsidRPr="00BD16B4" w14:paraId="58B196A6" w14:textId="77777777" w:rsidTr="004625B0">
        <w:tc>
          <w:tcPr>
            <w:tcW w:w="4106" w:type="dxa"/>
          </w:tcPr>
          <w:p w14:paraId="4C35E472" w14:textId="3B6E48FC" w:rsidR="00ED2EBD" w:rsidRPr="00BD16B4" w:rsidRDefault="00ED2EBD" w:rsidP="004A205F">
            <w:pPr>
              <w:pStyle w:val="TableText"/>
              <w:spacing w:before="40" w:after="40"/>
              <w:ind w:left="454" w:hanging="227"/>
              <w:rPr>
                <w:szCs w:val="18"/>
              </w:rPr>
            </w:pPr>
            <w:r w:rsidRPr="00BD16B4">
              <w:rPr>
                <w:szCs w:val="18"/>
              </w:rPr>
              <w:t>3.</w:t>
            </w:r>
            <w:r w:rsidR="00280979" w:rsidRPr="00BD16B4">
              <w:rPr>
                <w:szCs w:val="18"/>
              </w:rPr>
              <w:t xml:space="preserve"> </w:t>
            </w:r>
            <w:r w:rsidRPr="00BD16B4">
              <w:rPr>
                <w:szCs w:val="18"/>
              </w:rPr>
              <w:t>Transport</w:t>
            </w:r>
          </w:p>
        </w:tc>
        <w:tc>
          <w:tcPr>
            <w:tcW w:w="907" w:type="dxa"/>
            <w:shd w:val="clear" w:color="auto" w:fill="auto"/>
          </w:tcPr>
          <w:p w14:paraId="4A89CBB8" w14:textId="77777777" w:rsidR="00ED2EBD" w:rsidRPr="00BD16B4" w:rsidRDefault="00ED2EBD" w:rsidP="004A205F">
            <w:pPr>
              <w:pStyle w:val="TableText"/>
              <w:spacing w:before="40" w:after="40"/>
              <w:jc w:val="right"/>
              <w:rPr>
                <w:szCs w:val="18"/>
              </w:rPr>
            </w:pPr>
            <w:r w:rsidRPr="00BD16B4">
              <w:rPr>
                <w:szCs w:val="18"/>
              </w:rPr>
              <w:t>0.56</w:t>
            </w:r>
          </w:p>
        </w:tc>
        <w:tc>
          <w:tcPr>
            <w:tcW w:w="907" w:type="dxa"/>
            <w:shd w:val="clear" w:color="auto" w:fill="auto"/>
          </w:tcPr>
          <w:p w14:paraId="235937AC" w14:textId="77777777" w:rsidR="00ED2EBD" w:rsidRPr="00BD16B4" w:rsidRDefault="00ED2EBD" w:rsidP="004A205F">
            <w:pPr>
              <w:pStyle w:val="TableText"/>
              <w:spacing w:before="40" w:after="40"/>
              <w:jc w:val="right"/>
              <w:rPr>
                <w:szCs w:val="18"/>
              </w:rPr>
            </w:pPr>
            <w:r w:rsidRPr="00BD16B4">
              <w:rPr>
                <w:szCs w:val="18"/>
              </w:rPr>
              <w:t>0.61</w:t>
            </w:r>
          </w:p>
        </w:tc>
        <w:tc>
          <w:tcPr>
            <w:tcW w:w="907" w:type="dxa"/>
            <w:shd w:val="clear" w:color="auto" w:fill="auto"/>
          </w:tcPr>
          <w:p w14:paraId="30B9958E" w14:textId="77777777" w:rsidR="00ED2EBD" w:rsidRPr="00BD16B4" w:rsidRDefault="00ED2EBD" w:rsidP="004A205F">
            <w:pPr>
              <w:pStyle w:val="TableText"/>
              <w:spacing w:before="40" w:after="40"/>
              <w:jc w:val="right"/>
              <w:rPr>
                <w:szCs w:val="18"/>
              </w:rPr>
            </w:pPr>
            <w:r w:rsidRPr="00BD16B4">
              <w:rPr>
                <w:szCs w:val="18"/>
              </w:rPr>
              <w:t>0.60</w:t>
            </w:r>
          </w:p>
        </w:tc>
        <w:tc>
          <w:tcPr>
            <w:tcW w:w="907" w:type="dxa"/>
            <w:shd w:val="clear" w:color="auto" w:fill="auto"/>
          </w:tcPr>
          <w:p w14:paraId="5AAB3AC8" w14:textId="77777777" w:rsidR="00ED2EBD" w:rsidRPr="00BD16B4" w:rsidRDefault="00ED2EBD" w:rsidP="004A205F">
            <w:pPr>
              <w:pStyle w:val="TableText"/>
              <w:spacing w:before="40" w:after="40"/>
              <w:jc w:val="right"/>
              <w:rPr>
                <w:szCs w:val="18"/>
              </w:rPr>
            </w:pPr>
            <w:r w:rsidRPr="00BD16B4">
              <w:rPr>
                <w:szCs w:val="18"/>
              </w:rPr>
              <w:t>0.62</w:t>
            </w:r>
          </w:p>
        </w:tc>
        <w:tc>
          <w:tcPr>
            <w:tcW w:w="907" w:type="dxa"/>
            <w:shd w:val="clear" w:color="auto" w:fill="auto"/>
          </w:tcPr>
          <w:p w14:paraId="75FAEE75" w14:textId="77777777" w:rsidR="00ED2EBD" w:rsidRPr="00BD16B4" w:rsidRDefault="00ED2EBD" w:rsidP="004A205F">
            <w:pPr>
              <w:pStyle w:val="TableText"/>
              <w:spacing w:before="40" w:after="40"/>
              <w:jc w:val="right"/>
              <w:rPr>
                <w:szCs w:val="18"/>
              </w:rPr>
            </w:pPr>
            <w:r w:rsidRPr="00BD16B4">
              <w:rPr>
                <w:szCs w:val="18"/>
              </w:rPr>
              <w:t>0.65</w:t>
            </w:r>
          </w:p>
        </w:tc>
        <w:tc>
          <w:tcPr>
            <w:tcW w:w="907" w:type="dxa"/>
            <w:shd w:val="clear" w:color="auto" w:fill="auto"/>
          </w:tcPr>
          <w:p w14:paraId="369AFC9C" w14:textId="77777777" w:rsidR="00ED2EBD" w:rsidRPr="00BD16B4" w:rsidRDefault="00ED2EBD" w:rsidP="004A205F">
            <w:pPr>
              <w:pStyle w:val="TableText"/>
              <w:spacing w:before="40" w:after="40"/>
              <w:jc w:val="right"/>
              <w:rPr>
                <w:szCs w:val="18"/>
              </w:rPr>
            </w:pPr>
            <w:r w:rsidRPr="00BD16B4">
              <w:rPr>
                <w:szCs w:val="18"/>
              </w:rPr>
              <w:t>0.67</w:t>
            </w:r>
          </w:p>
        </w:tc>
        <w:tc>
          <w:tcPr>
            <w:tcW w:w="907" w:type="dxa"/>
            <w:shd w:val="clear" w:color="auto" w:fill="auto"/>
          </w:tcPr>
          <w:p w14:paraId="72D9BB1E" w14:textId="77777777" w:rsidR="00ED2EBD" w:rsidRPr="00BD16B4" w:rsidRDefault="00ED2EBD" w:rsidP="004A205F">
            <w:pPr>
              <w:pStyle w:val="TableText"/>
              <w:spacing w:before="40" w:after="40"/>
              <w:jc w:val="right"/>
              <w:rPr>
                <w:szCs w:val="18"/>
              </w:rPr>
            </w:pPr>
            <w:r w:rsidRPr="00BD16B4">
              <w:rPr>
                <w:szCs w:val="18"/>
              </w:rPr>
              <w:t>0.67</w:t>
            </w:r>
          </w:p>
        </w:tc>
        <w:tc>
          <w:tcPr>
            <w:tcW w:w="907" w:type="dxa"/>
            <w:shd w:val="clear" w:color="auto" w:fill="auto"/>
          </w:tcPr>
          <w:p w14:paraId="25EC74EC" w14:textId="77777777" w:rsidR="00ED2EBD" w:rsidRPr="00BD16B4" w:rsidRDefault="00ED2EBD" w:rsidP="004A205F">
            <w:pPr>
              <w:pStyle w:val="TableText"/>
              <w:spacing w:before="40" w:after="40"/>
              <w:jc w:val="right"/>
              <w:rPr>
                <w:szCs w:val="18"/>
              </w:rPr>
            </w:pPr>
            <w:r w:rsidRPr="00BD16B4">
              <w:rPr>
                <w:szCs w:val="18"/>
              </w:rPr>
              <w:t>0.65</w:t>
            </w:r>
          </w:p>
        </w:tc>
        <w:tc>
          <w:tcPr>
            <w:tcW w:w="907" w:type="dxa"/>
            <w:shd w:val="clear" w:color="auto" w:fill="auto"/>
          </w:tcPr>
          <w:p w14:paraId="7B4E417F" w14:textId="77777777" w:rsidR="00ED2EBD" w:rsidRPr="00BD16B4" w:rsidRDefault="00ED2EBD" w:rsidP="004A205F">
            <w:pPr>
              <w:pStyle w:val="TableText"/>
              <w:spacing w:before="40" w:after="40"/>
              <w:jc w:val="right"/>
              <w:rPr>
                <w:szCs w:val="18"/>
              </w:rPr>
            </w:pPr>
            <w:r w:rsidRPr="00BD16B4">
              <w:rPr>
                <w:szCs w:val="18"/>
              </w:rPr>
              <w:t>0.64</w:t>
            </w:r>
          </w:p>
        </w:tc>
        <w:tc>
          <w:tcPr>
            <w:tcW w:w="907" w:type="dxa"/>
            <w:shd w:val="clear" w:color="auto" w:fill="auto"/>
          </w:tcPr>
          <w:p w14:paraId="04339515" w14:textId="77777777" w:rsidR="00ED2EBD" w:rsidRPr="00BD16B4" w:rsidRDefault="00ED2EBD" w:rsidP="004A205F">
            <w:pPr>
              <w:pStyle w:val="TableText"/>
              <w:spacing w:before="40" w:after="40"/>
              <w:jc w:val="right"/>
              <w:rPr>
                <w:szCs w:val="18"/>
              </w:rPr>
            </w:pPr>
            <w:r w:rsidRPr="00BD16B4">
              <w:rPr>
                <w:szCs w:val="18"/>
              </w:rPr>
              <w:t>0.61</w:t>
            </w:r>
          </w:p>
        </w:tc>
        <w:tc>
          <w:tcPr>
            <w:tcW w:w="907" w:type="dxa"/>
            <w:shd w:val="clear" w:color="auto" w:fill="auto"/>
          </w:tcPr>
          <w:p w14:paraId="49EB087E" w14:textId="77777777" w:rsidR="00ED2EBD" w:rsidRPr="00BD16B4" w:rsidRDefault="00ED2EBD" w:rsidP="004A205F">
            <w:pPr>
              <w:pStyle w:val="TableText"/>
              <w:spacing w:before="40" w:after="40"/>
              <w:jc w:val="right"/>
              <w:rPr>
                <w:szCs w:val="18"/>
              </w:rPr>
            </w:pPr>
            <w:r w:rsidRPr="00BD16B4">
              <w:rPr>
                <w:szCs w:val="18"/>
              </w:rPr>
              <w:t>0.60</w:t>
            </w:r>
          </w:p>
        </w:tc>
      </w:tr>
      <w:tr w:rsidR="002A2A69" w:rsidRPr="00BD16B4" w14:paraId="7FAB44CD" w14:textId="77777777" w:rsidTr="004625B0">
        <w:tc>
          <w:tcPr>
            <w:tcW w:w="4106" w:type="dxa"/>
          </w:tcPr>
          <w:p w14:paraId="2FED4615" w14:textId="49A59A01" w:rsidR="00ED2EBD" w:rsidRPr="00BD16B4" w:rsidRDefault="00ED2EBD" w:rsidP="004A205F">
            <w:pPr>
              <w:pStyle w:val="TableText"/>
              <w:spacing w:before="40" w:after="40"/>
              <w:ind w:left="454" w:hanging="227"/>
              <w:rPr>
                <w:szCs w:val="18"/>
              </w:rPr>
            </w:pPr>
            <w:r w:rsidRPr="00BD16B4">
              <w:rPr>
                <w:szCs w:val="18"/>
              </w:rPr>
              <w:t>4.</w:t>
            </w:r>
            <w:r w:rsidR="00280979" w:rsidRPr="00BD16B4">
              <w:rPr>
                <w:szCs w:val="18"/>
              </w:rPr>
              <w:t xml:space="preserve"> </w:t>
            </w:r>
            <w:r w:rsidRPr="00BD16B4">
              <w:rPr>
                <w:szCs w:val="18"/>
              </w:rPr>
              <w:t>Other sectors</w:t>
            </w:r>
          </w:p>
        </w:tc>
        <w:tc>
          <w:tcPr>
            <w:tcW w:w="907" w:type="dxa"/>
            <w:shd w:val="clear" w:color="auto" w:fill="auto"/>
          </w:tcPr>
          <w:p w14:paraId="3CA65D0F" w14:textId="77777777" w:rsidR="00ED2EBD" w:rsidRPr="00BD16B4" w:rsidRDefault="00ED2EBD" w:rsidP="004A205F">
            <w:pPr>
              <w:pStyle w:val="TableText"/>
              <w:spacing w:before="40" w:after="40"/>
              <w:jc w:val="right"/>
              <w:rPr>
                <w:szCs w:val="18"/>
              </w:rPr>
            </w:pPr>
            <w:r w:rsidRPr="00BD16B4">
              <w:rPr>
                <w:szCs w:val="18"/>
              </w:rPr>
              <w:t>0.19</w:t>
            </w:r>
          </w:p>
        </w:tc>
        <w:tc>
          <w:tcPr>
            <w:tcW w:w="907" w:type="dxa"/>
            <w:shd w:val="clear" w:color="auto" w:fill="auto"/>
          </w:tcPr>
          <w:p w14:paraId="554CE296" w14:textId="77777777" w:rsidR="00ED2EBD" w:rsidRPr="00BD16B4" w:rsidRDefault="00ED2EBD" w:rsidP="004A205F">
            <w:pPr>
              <w:pStyle w:val="TableText"/>
              <w:spacing w:before="40" w:after="40"/>
              <w:jc w:val="right"/>
              <w:rPr>
                <w:szCs w:val="18"/>
              </w:rPr>
            </w:pPr>
            <w:r w:rsidRPr="00BD16B4">
              <w:rPr>
                <w:szCs w:val="18"/>
              </w:rPr>
              <w:t>0.19</w:t>
            </w:r>
          </w:p>
        </w:tc>
        <w:tc>
          <w:tcPr>
            <w:tcW w:w="907" w:type="dxa"/>
            <w:shd w:val="clear" w:color="auto" w:fill="auto"/>
          </w:tcPr>
          <w:p w14:paraId="019D820B" w14:textId="77777777" w:rsidR="00ED2EBD" w:rsidRPr="00BD16B4" w:rsidRDefault="00ED2EBD" w:rsidP="004A205F">
            <w:pPr>
              <w:pStyle w:val="TableText"/>
              <w:spacing w:before="40" w:after="40"/>
              <w:jc w:val="right"/>
              <w:rPr>
                <w:szCs w:val="18"/>
              </w:rPr>
            </w:pPr>
            <w:r w:rsidRPr="00BD16B4">
              <w:rPr>
                <w:szCs w:val="18"/>
              </w:rPr>
              <w:t>0.19</w:t>
            </w:r>
          </w:p>
        </w:tc>
        <w:tc>
          <w:tcPr>
            <w:tcW w:w="907" w:type="dxa"/>
            <w:shd w:val="clear" w:color="auto" w:fill="auto"/>
          </w:tcPr>
          <w:p w14:paraId="1292828B" w14:textId="77777777" w:rsidR="00ED2EBD" w:rsidRPr="00BD16B4" w:rsidRDefault="00ED2EBD" w:rsidP="004A205F">
            <w:pPr>
              <w:pStyle w:val="TableText"/>
              <w:spacing w:before="40" w:after="40"/>
              <w:jc w:val="right"/>
              <w:rPr>
                <w:szCs w:val="18"/>
              </w:rPr>
            </w:pPr>
            <w:r w:rsidRPr="00BD16B4">
              <w:rPr>
                <w:szCs w:val="18"/>
              </w:rPr>
              <w:t>0.20</w:t>
            </w:r>
          </w:p>
        </w:tc>
        <w:tc>
          <w:tcPr>
            <w:tcW w:w="907" w:type="dxa"/>
            <w:shd w:val="clear" w:color="auto" w:fill="auto"/>
          </w:tcPr>
          <w:p w14:paraId="19A6B7DC" w14:textId="77777777" w:rsidR="00ED2EBD" w:rsidRPr="00BD16B4" w:rsidRDefault="00ED2EBD" w:rsidP="004A205F">
            <w:pPr>
              <w:pStyle w:val="TableText"/>
              <w:spacing w:before="40" w:after="40"/>
              <w:jc w:val="right"/>
              <w:rPr>
                <w:szCs w:val="18"/>
              </w:rPr>
            </w:pPr>
            <w:r w:rsidRPr="00BD16B4">
              <w:rPr>
                <w:szCs w:val="18"/>
              </w:rPr>
              <w:t>0.21</w:t>
            </w:r>
          </w:p>
        </w:tc>
        <w:tc>
          <w:tcPr>
            <w:tcW w:w="907" w:type="dxa"/>
            <w:shd w:val="clear" w:color="auto" w:fill="auto"/>
          </w:tcPr>
          <w:p w14:paraId="2BE83C17" w14:textId="77777777" w:rsidR="00ED2EBD" w:rsidRPr="00BD16B4" w:rsidRDefault="00ED2EBD" w:rsidP="004A205F">
            <w:pPr>
              <w:pStyle w:val="TableText"/>
              <w:spacing w:before="40" w:after="40"/>
              <w:jc w:val="right"/>
              <w:rPr>
                <w:szCs w:val="18"/>
              </w:rPr>
            </w:pPr>
            <w:r w:rsidRPr="00BD16B4">
              <w:rPr>
                <w:szCs w:val="18"/>
              </w:rPr>
              <w:t>0.21</w:t>
            </w:r>
          </w:p>
        </w:tc>
        <w:tc>
          <w:tcPr>
            <w:tcW w:w="907" w:type="dxa"/>
            <w:shd w:val="clear" w:color="auto" w:fill="auto"/>
          </w:tcPr>
          <w:p w14:paraId="0756134A" w14:textId="77777777" w:rsidR="00ED2EBD" w:rsidRPr="00BD16B4" w:rsidRDefault="00ED2EBD" w:rsidP="004A205F">
            <w:pPr>
              <w:pStyle w:val="TableText"/>
              <w:spacing w:before="40" w:after="40"/>
              <w:jc w:val="right"/>
              <w:rPr>
                <w:szCs w:val="18"/>
              </w:rPr>
            </w:pPr>
            <w:r w:rsidRPr="00BD16B4">
              <w:rPr>
                <w:szCs w:val="18"/>
              </w:rPr>
              <w:t>0.21</w:t>
            </w:r>
          </w:p>
        </w:tc>
        <w:tc>
          <w:tcPr>
            <w:tcW w:w="907" w:type="dxa"/>
            <w:shd w:val="clear" w:color="auto" w:fill="auto"/>
          </w:tcPr>
          <w:p w14:paraId="0C2EC04F" w14:textId="77777777" w:rsidR="00ED2EBD" w:rsidRPr="00BD16B4" w:rsidRDefault="00ED2EBD" w:rsidP="004A205F">
            <w:pPr>
              <w:pStyle w:val="TableText"/>
              <w:spacing w:before="40" w:after="40"/>
              <w:jc w:val="right"/>
              <w:rPr>
                <w:szCs w:val="18"/>
              </w:rPr>
            </w:pPr>
            <w:r w:rsidRPr="00BD16B4">
              <w:rPr>
                <w:szCs w:val="18"/>
              </w:rPr>
              <w:t>0.21</w:t>
            </w:r>
          </w:p>
        </w:tc>
        <w:tc>
          <w:tcPr>
            <w:tcW w:w="907" w:type="dxa"/>
            <w:shd w:val="clear" w:color="auto" w:fill="auto"/>
          </w:tcPr>
          <w:p w14:paraId="78945E4A" w14:textId="77777777" w:rsidR="00ED2EBD" w:rsidRPr="00BD16B4" w:rsidRDefault="00ED2EBD" w:rsidP="004A205F">
            <w:pPr>
              <w:pStyle w:val="TableText"/>
              <w:spacing w:before="40" w:after="40"/>
              <w:jc w:val="right"/>
              <w:rPr>
                <w:szCs w:val="18"/>
              </w:rPr>
            </w:pPr>
            <w:r w:rsidRPr="00BD16B4">
              <w:rPr>
                <w:szCs w:val="18"/>
              </w:rPr>
              <w:t>0.21</w:t>
            </w:r>
          </w:p>
        </w:tc>
        <w:tc>
          <w:tcPr>
            <w:tcW w:w="907" w:type="dxa"/>
            <w:shd w:val="clear" w:color="auto" w:fill="auto"/>
          </w:tcPr>
          <w:p w14:paraId="6EF23F4B" w14:textId="77777777" w:rsidR="00ED2EBD" w:rsidRPr="00BD16B4" w:rsidRDefault="00ED2EBD" w:rsidP="004A205F">
            <w:pPr>
              <w:pStyle w:val="TableText"/>
              <w:spacing w:before="40" w:after="40"/>
              <w:jc w:val="right"/>
              <w:rPr>
                <w:szCs w:val="18"/>
              </w:rPr>
            </w:pPr>
            <w:r w:rsidRPr="00BD16B4">
              <w:rPr>
                <w:szCs w:val="18"/>
              </w:rPr>
              <w:t>0.20</w:t>
            </w:r>
          </w:p>
        </w:tc>
        <w:tc>
          <w:tcPr>
            <w:tcW w:w="907" w:type="dxa"/>
            <w:shd w:val="clear" w:color="auto" w:fill="auto"/>
          </w:tcPr>
          <w:p w14:paraId="5E7312F6" w14:textId="77777777" w:rsidR="00ED2EBD" w:rsidRPr="00BD16B4" w:rsidRDefault="00ED2EBD" w:rsidP="004A205F">
            <w:pPr>
              <w:pStyle w:val="TableText"/>
              <w:spacing w:before="40" w:after="40"/>
              <w:jc w:val="right"/>
              <w:rPr>
                <w:szCs w:val="18"/>
              </w:rPr>
            </w:pPr>
            <w:r w:rsidRPr="00BD16B4">
              <w:rPr>
                <w:szCs w:val="18"/>
              </w:rPr>
              <w:t>0.20</w:t>
            </w:r>
          </w:p>
        </w:tc>
      </w:tr>
      <w:tr w:rsidR="002A2A69" w:rsidRPr="00BD16B4" w14:paraId="4FB415CA" w14:textId="77777777" w:rsidTr="004625B0">
        <w:tc>
          <w:tcPr>
            <w:tcW w:w="4106" w:type="dxa"/>
          </w:tcPr>
          <w:p w14:paraId="687B59B7" w14:textId="56D09A38" w:rsidR="00ED2EBD" w:rsidRPr="00BD16B4" w:rsidRDefault="00ED2EBD" w:rsidP="004A205F">
            <w:pPr>
              <w:pStyle w:val="TableText"/>
              <w:spacing w:before="40" w:after="40"/>
              <w:ind w:left="454" w:hanging="227"/>
              <w:rPr>
                <w:szCs w:val="18"/>
              </w:rPr>
            </w:pPr>
            <w:r w:rsidRPr="00BD16B4">
              <w:rPr>
                <w:szCs w:val="18"/>
              </w:rPr>
              <w:t>5.</w:t>
            </w:r>
            <w:r w:rsidR="00280979" w:rsidRPr="00BD16B4">
              <w:rPr>
                <w:szCs w:val="18"/>
              </w:rPr>
              <w:t xml:space="preserve"> </w:t>
            </w:r>
            <w:r w:rsidRPr="00BD16B4">
              <w:rPr>
                <w:szCs w:val="18"/>
              </w:rPr>
              <w:t>Other</w:t>
            </w:r>
          </w:p>
        </w:tc>
        <w:tc>
          <w:tcPr>
            <w:tcW w:w="907" w:type="dxa"/>
            <w:shd w:val="clear" w:color="auto" w:fill="auto"/>
          </w:tcPr>
          <w:p w14:paraId="5F2DBB63"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787AB31B"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16361377"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33956B10"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06390C73"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559F3DC4"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59116590"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0B722B98"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35FF175F"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16307759"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5C5F5105" w14:textId="77777777" w:rsidR="00ED2EBD" w:rsidRPr="00BD16B4" w:rsidRDefault="00ED2EBD" w:rsidP="004A205F">
            <w:pPr>
              <w:pStyle w:val="TableText"/>
              <w:spacing w:before="40" w:after="40"/>
              <w:jc w:val="right"/>
              <w:rPr>
                <w:szCs w:val="18"/>
              </w:rPr>
            </w:pPr>
            <w:r w:rsidRPr="00BD16B4">
              <w:rPr>
                <w:szCs w:val="18"/>
              </w:rPr>
              <w:t>NO</w:t>
            </w:r>
          </w:p>
        </w:tc>
      </w:tr>
      <w:tr w:rsidR="002A2A69" w:rsidRPr="00BD16B4" w14:paraId="3792CBF2" w14:textId="77777777" w:rsidTr="004625B0">
        <w:tc>
          <w:tcPr>
            <w:tcW w:w="4106" w:type="dxa"/>
          </w:tcPr>
          <w:p w14:paraId="4AB4D294" w14:textId="77777777" w:rsidR="00ED2EBD" w:rsidRPr="00BD16B4" w:rsidRDefault="00ED2EBD" w:rsidP="004A205F">
            <w:pPr>
              <w:pStyle w:val="TableText"/>
              <w:spacing w:before="40" w:after="40"/>
              <w:rPr>
                <w:szCs w:val="18"/>
              </w:rPr>
            </w:pPr>
            <w:r w:rsidRPr="00BD16B4">
              <w:rPr>
                <w:szCs w:val="18"/>
              </w:rPr>
              <w:t>B. Fugitive emissions from fuels</w:t>
            </w:r>
          </w:p>
        </w:tc>
        <w:tc>
          <w:tcPr>
            <w:tcW w:w="907" w:type="dxa"/>
            <w:shd w:val="clear" w:color="auto" w:fill="auto"/>
          </w:tcPr>
          <w:p w14:paraId="15FF5CB2"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0093E5D8"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44E54664"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2ACA49A4"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2D77D951"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69D8CFDD"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3DAB5084"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703C9BC3"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60307070"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3D566868"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36F030F4" w14:textId="77777777" w:rsidR="00ED2EBD" w:rsidRPr="00BD16B4" w:rsidRDefault="00ED2EBD" w:rsidP="004A205F">
            <w:pPr>
              <w:pStyle w:val="TableText"/>
              <w:spacing w:before="40" w:after="40"/>
              <w:jc w:val="right"/>
              <w:rPr>
                <w:szCs w:val="18"/>
              </w:rPr>
            </w:pPr>
            <w:r w:rsidRPr="00BD16B4">
              <w:rPr>
                <w:szCs w:val="18"/>
              </w:rPr>
              <w:t>0.00</w:t>
            </w:r>
          </w:p>
        </w:tc>
      </w:tr>
      <w:tr w:rsidR="002A2A69" w:rsidRPr="00BD16B4" w14:paraId="4316B7A0" w14:textId="77777777" w:rsidTr="004625B0">
        <w:tc>
          <w:tcPr>
            <w:tcW w:w="4106" w:type="dxa"/>
          </w:tcPr>
          <w:p w14:paraId="15A6CB73" w14:textId="398950CC" w:rsidR="00ED2EBD" w:rsidRPr="00BD16B4" w:rsidRDefault="00ED2EBD" w:rsidP="004A205F">
            <w:pPr>
              <w:pStyle w:val="TableText"/>
              <w:spacing w:before="40" w:after="40"/>
              <w:ind w:left="454" w:hanging="227"/>
              <w:rPr>
                <w:szCs w:val="18"/>
              </w:rPr>
            </w:pPr>
            <w:r w:rsidRPr="00BD16B4">
              <w:rPr>
                <w:szCs w:val="18"/>
              </w:rPr>
              <w:t>1.</w:t>
            </w:r>
            <w:r w:rsidR="00280979" w:rsidRPr="00BD16B4">
              <w:rPr>
                <w:szCs w:val="18"/>
              </w:rPr>
              <w:t xml:space="preserve"> </w:t>
            </w:r>
            <w:r w:rsidR="006D3816" w:rsidRPr="00BD16B4">
              <w:rPr>
                <w:szCs w:val="18"/>
              </w:rPr>
              <w:tab/>
            </w:r>
            <w:r w:rsidRPr="00BD16B4">
              <w:rPr>
                <w:szCs w:val="18"/>
              </w:rPr>
              <w:t>Solid fuels</w:t>
            </w:r>
          </w:p>
        </w:tc>
        <w:tc>
          <w:tcPr>
            <w:tcW w:w="907" w:type="dxa"/>
            <w:shd w:val="clear" w:color="auto" w:fill="auto"/>
          </w:tcPr>
          <w:p w14:paraId="3AD7A7A9"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7E47D0AA"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241CF488"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05DDD91B"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2ADE902A"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374D6D4E"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30671F34"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7F24EDDF"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46C67800"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46F678BB" w14:textId="77777777" w:rsidR="00ED2EBD" w:rsidRPr="00BD16B4" w:rsidRDefault="00ED2EBD" w:rsidP="004A205F">
            <w:pPr>
              <w:pStyle w:val="TableText"/>
              <w:spacing w:before="40" w:after="40"/>
              <w:jc w:val="right"/>
              <w:rPr>
                <w:szCs w:val="18"/>
              </w:rPr>
            </w:pPr>
            <w:r w:rsidRPr="00BD16B4">
              <w:rPr>
                <w:szCs w:val="18"/>
              </w:rPr>
              <w:t>NO</w:t>
            </w:r>
          </w:p>
        </w:tc>
        <w:tc>
          <w:tcPr>
            <w:tcW w:w="907" w:type="dxa"/>
            <w:shd w:val="clear" w:color="auto" w:fill="auto"/>
          </w:tcPr>
          <w:p w14:paraId="78828AE0" w14:textId="77777777" w:rsidR="00ED2EBD" w:rsidRPr="00BD16B4" w:rsidRDefault="00ED2EBD" w:rsidP="004A205F">
            <w:pPr>
              <w:pStyle w:val="TableText"/>
              <w:spacing w:before="40" w:after="40"/>
              <w:jc w:val="right"/>
              <w:rPr>
                <w:szCs w:val="18"/>
              </w:rPr>
            </w:pPr>
            <w:r w:rsidRPr="00BD16B4">
              <w:rPr>
                <w:szCs w:val="18"/>
              </w:rPr>
              <w:t>NO</w:t>
            </w:r>
          </w:p>
        </w:tc>
      </w:tr>
      <w:tr w:rsidR="002A2A69" w:rsidRPr="00BD16B4" w14:paraId="08993582" w14:textId="77777777" w:rsidTr="004625B0">
        <w:tc>
          <w:tcPr>
            <w:tcW w:w="4106" w:type="dxa"/>
          </w:tcPr>
          <w:p w14:paraId="598F3F87" w14:textId="60EE85A1" w:rsidR="00ED2EBD" w:rsidRPr="00BD16B4" w:rsidRDefault="00ED2EBD" w:rsidP="004A205F">
            <w:pPr>
              <w:pStyle w:val="TableText"/>
              <w:spacing w:before="40" w:after="40"/>
              <w:ind w:left="454" w:hanging="227"/>
              <w:rPr>
                <w:szCs w:val="18"/>
              </w:rPr>
            </w:pPr>
            <w:r w:rsidRPr="00BD16B4">
              <w:rPr>
                <w:szCs w:val="18"/>
              </w:rPr>
              <w:t>2.</w:t>
            </w:r>
            <w:r w:rsidR="00280979" w:rsidRPr="00BD16B4">
              <w:rPr>
                <w:szCs w:val="18"/>
              </w:rPr>
              <w:t xml:space="preserve"> </w:t>
            </w:r>
            <w:r w:rsidR="006D3816" w:rsidRPr="00BD16B4">
              <w:rPr>
                <w:szCs w:val="18"/>
              </w:rPr>
              <w:tab/>
            </w:r>
            <w:r w:rsidRPr="00BD16B4">
              <w:rPr>
                <w:szCs w:val="18"/>
              </w:rPr>
              <w:t>Oil and natural gas and other emissions from energy production</w:t>
            </w:r>
          </w:p>
        </w:tc>
        <w:tc>
          <w:tcPr>
            <w:tcW w:w="907" w:type="dxa"/>
            <w:tcBorders>
              <w:bottom w:val="single" w:sz="4" w:space="0" w:color="1B556B" w:themeColor="text2"/>
            </w:tcBorders>
            <w:shd w:val="clear" w:color="auto" w:fill="auto"/>
          </w:tcPr>
          <w:p w14:paraId="6785060B" w14:textId="77777777" w:rsidR="00ED2EBD" w:rsidRPr="00BD16B4" w:rsidRDefault="00ED2EBD" w:rsidP="004A205F">
            <w:pPr>
              <w:pStyle w:val="TableText"/>
              <w:spacing w:before="40" w:after="40"/>
              <w:jc w:val="right"/>
              <w:rPr>
                <w:szCs w:val="18"/>
              </w:rPr>
            </w:pPr>
            <w:r w:rsidRPr="00BD16B4">
              <w:rPr>
                <w:szCs w:val="18"/>
              </w:rPr>
              <w:t>0.00</w:t>
            </w:r>
          </w:p>
        </w:tc>
        <w:tc>
          <w:tcPr>
            <w:tcW w:w="907" w:type="dxa"/>
            <w:tcBorders>
              <w:bottom w:val="single" w:sz="4" w:space="0" w:color="1B556B" w:themeColor="text2"/>
            </w:tcBorders>
            <w:shd w:val="clear" w:color="auto" w:fill="auto"/>
          </w:tcPr>
          <w:p w14:paraId="7545B254" w14:textId="77777777" w:rsidR="00ED2EBD" w:rsidRPr="00BD16B4" w:rsidRDefault="00ED2EBD" w:rsidP="004A205F">
            <w:pPr>
              <w:pStyle w:val="TableText"/>
              <w:spacing w:before="40" w:after="40"/>
              <w:jc w:val="right"/>
              <w:rPr>
                <w:szCs w:val="18"/>
              </w:rPr>
            </w:pPr>
            <w:r w:rsidRPr="00BD16B4">
              <w:rPr>
                <w:szCs w:val="18"/>
              </w:rPr>
              <w:t>0.00</w:t>
            </w:r>
          </w:p>
        </w:tc>
        <w:tc>
          <w:tcPr>
            <w:tcW w:w="907" w:type="dxa"/>
            <w:tcBorders>
              <w:bottom w:val="single" w:sz="4" w:space="0" w:color="1B556B" w:themeColor="text2"/>
            </w:tcBorders>
            <w:shd w:val="clear" w:color="auto" w:fill="auto"/>
          </w:tcPr>
          <w:p w14:paraId="0DD734A8" w14:textId="77777777" w:rsidR="00ED2EBD" w:rsidRPr="00BD16B4" w:rsidRDefault="00ED2EBD" w:rsidP="004A205F">
            <w:pPr>
              <w:pStyle w:val="TableText"/>
              <w:spacing w:before="40" w:after="40"/>
              <w:jc w:val="right"/>
              <w:rPr>
                <w:szCs w:val="18"/>
              </w:rPr>
            </w:pPr>
            <w:r w:rsidRPr="00BD16B4">
              <w:rPr>
                <w:szCs w:val="18"/>
              </w:rPr>
              <w:t>0.00</w:t>
            </w:r>
          </w:p>
        </w:tc>
        <w:tc>
          <w:tcPr>
            <w:tcW w:w="907" w:type="dxa"/>
            <w:tcBorders>
              <w:bottom w:val="single" w:sz="4" w:space="0" w:color="1B556B" w:themeColor="text2"/>
            </w:tcBorders>
            <w:shd w:val="clear" w:color="auto" w:fill="auto"/>
          </w:tcPr>
          <w:p w14:paraId="140BD97D" w14:textId="77777777" w:rsidR="00ED2EBD" w:rsidRPr="00BD16B4" w:rsidRDefault="00ED2EBD" w:rsidP="004A205F">
            <w:pPr>
              <w:pStyle w:val="TableText"/>
              <w:spacing w:before="40" w:after="40"/>
              <w:jc w:val="right"/>
              <w:rPr>
                <w:szCs w:val="18"/>
              </w:rPr>
            </w:pPr>
            <w:r w:rsidRPr="00BD16B4">
              <w:rPr>
                <w:szCs w:val="18"/>
              </w:rPr>
              <w:t>0.00</w:t>
            </w:r>
          </w:p>
        </w:tc>
        <w:tc>
          <w:tcPr>
            <w:tcW w:w="907" w:type="dxa"/>
            <w:tcBorders>
              <w:bottom w:val="single" w:sz="4" w:space="0" w:color="1B556B" w:themeColor="text2"/>
            </w:tcBorders>
            <w:shd w:val="clear" w:color="auto" w:fill="auto"/>
          </w:tcPr>
          <w:p w14:paraId="25A35CB0" w14:textId="77777777" w:rsidR="00ED2EBD" w:rsidRPr="00BD16B4" w:rsidRDefault="00ED2EBD" w:rsidP="004A205F">
            <w:pPr>
              <w:pStyle w:val="TableText"/>
              <w:spacing w:before="40" w:after="40"/>
              <w:jc w:val="right"/>
              <w:rPr>
                <w:szCs w:val="18"/>
              </w:rPr>
            </w:pPr>
            <w:r w:rsidRPr="00BD16B4">
              <w:rPr>
                <w:szCs w:val="18"/>
              </w:rPr>
              <w:t>0.00</w:t>
            </w:r>
          </w:p>
        </w:tc>
        <w:tc>
          <w:tcPr>
            <w:tcW w:w="907" w:type="dxa"/>
            <w:tcBorders>
              <w:bottom w:val="single" w:sz="4" w:space="0" w:color="1B556B" w:themeColor="text2"/>
            </w:tcBorders>
            <w:shd w:val="clear" w:color="auto" w:fill="auto"/>
          </w:tcPr>
          <w:p w14:paraId="0727A255" w14:textId="77777777" w:rsidR="00ED2EBD" w:rsidRPr="00BD16B4" w:rsidRDefault="00ED2EBD" w:rsidP="004A205F">
            <w:pPr>
              <w:pStyle w:val="TableText"/>
              <w:spacing w:before="40" w:after="40"/>
              <w:jc w:val="right"/>
              <w:rPr>
                <w:szCs w:val="18"/>
              </w:rPr>
            </w:pPr>
            <w:r w:rsidRPr="00BD16B4">
              <w:rPr>
                <w:szCs w:val="18"/>
              </w:rPr>
              <w:t>0.00</w:t>
            </w:r>
          </w:p>
        </w:tc>
        <w:tc>
          <w:tcPr>
            <w:tcW w:w="907" w:type="dxa"/>
            <w:tcBorders>
              <w:bottom w:val="single" w:sz="4" w:space="0" w:color="1B556B" w:themeColor="text2"/>
            </w:tcBorders>
            <w:shd w:val="clear" w:color="auto" w:fill="auto"/>
          </w:tcPr>
          <w:p w14:paraId="168B5AEB" w14:textId="77777777" w:rsidR="00ED2EBD" w:rsidRPr="00BD16B4" w:rsidRDefault="00ED2EBD" w:rsidP="004A205F">
            <w:pPr>
              <w:pStyle w:val="TableText"/>
              <w:spacing w:before="40" w:after="40"/>
              <w:jc w:val="right"/>
              <w:rPr>
                <w:szCs w:val="18"/>
              </w:rPr>
            </w:pPr>
            <w:r w:rsidRPr="00BD16B4">
              <w:rPr>
                <w:szCs w:val="18"/>
              </w:rPr>
              <w:t>0.00</w:t>
            </w:r>
          </w:p>
        </w:tc>
        <w:tc>
          <w:tcPr>
            <w:tcW w:w="907" w:type="dxa"/>
            <w:tcBorders>
              <w:bottom w:val="single" w:sz="4" w:space="0" w:color="1B556B" w:themeColor="text2"/>
            </w:tcBorders>
            <w:shd w:val="clear" w:color="auto" w:fill="auto"/>
          </w:tcPr>
          <w:p w14:paraId="7B2B9A25" w14:textId="77777777" w:rsidR="00ED2EBD" w:rsidRPr="00BD16B4" w:rsidRDefault="00ED2EBD" w:rsidP="004A205F">
            <w:pPr>
              <w:pStyle w:val="TableText"/>
              <w:spacing w:before="40" w:after="40"/>
              <w:jc w:val="right"/>
              <w:rPr>
                <w:szCs w:val="18"/>
              </w:rPr>
            </w:pPr>
            <w:r w:rsidRPr="00BD16B4">
              <w:rPr>
                <w:szCs w:val="18"/>
              </w:rPr>
              <w:t>0.00</w:t>
            </w:r>
          </w:p>
        </w:tc>
        <w:tc>
          <w:tcPr>
            <w:tcW w:w="907" w:type="dxa"/>
            <w:tcBorders>
              <w:bottom w:val="single" w:sz="4" w:space="0" w:color="1B556B" w:themeColor="text2"/>
            </w:tcBorders>
            <w:shd w:val="clear" w:color="auto" w:fill="auto"/>
          </w:tcPr>
          <w:p w14:paraId="52C58729" w14:textId="77777777" w:rsidR="00ED2EBD" w:rsidRPr="00BD16B4" w:rsidRDefault="00ED2EBD" w:rsidP="004A205F">
            <w:pPr>
              <w:pStyle w:val="TableText"/>
              <w:spacing w:before="40" w:after="40"/>
              <w:jc w:val="right"/>
              <w:rPr>
                <w:szCs w:val="18"/>
              </w:rPr>
            </w:pPr>
            <w:r w:rsidRPr="00BD16B4">
              <w:rPr>
                <w:szCs w:val="18"/>
              </w:rPr>
              <w:t>0.00</w:t>
            </w:r>
          </w:p>
        </w:tc>
        <w:tc>
          <w:tcPr>
            <w:tcW w:w="907" w:type="dxa"/>
            <w:tcBorders>
              <w:bottom w:val="single" w:sz="4" w:space="0" w:color="1B556B" w:themeColor="text2"/>
            </w:tcBorders>
            <w:shd w:val="clear" w:color="auto" w:fill="auto"/>
          </w:tcPr>
          <w:p w14:paraId="7EDF0456" w14:textId="77777777" w:rsidR="00ED2EBD" w:rsidRPr="00BD16B4" w:rsidRDefault="00ED2EBD" w:rsidP="004A205F">
            <w:pPr>
              <w:pStyle w:val="TableText"/>
              <w:spacing w:before="40" w:after="40"/>
              <w:jc w:val="right"/>
              <w:rPr>
                <w:szCs w:val="18"/>
              </w:rPr>
            </w:pPr>
            <w:r w:rsidRPr="00BD16B4">
              <w:rPr>
                <w:szCs w:val="18"/>
              </w:rPr>
              <w:t>0.00</w:t>
            </w:r>
          </w:p>
        </w:tc>
        <w:tc>
          <w:tcPr>
            <w:tcW w:w="907" w:type="dxa"/>
            <w:tcBorders>
              <w:bottom w:val="single" w:sz="4" w:space="0" w:color="1B556B" w:themeColor="text2"/>
            </w:tcBorders>
            <w:shd w:val="clear" w:color="auto" w:fill="auto"/>
          </w:tcPr>
          <w:p w14:paraId="4CB64C48"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14CB1020" w14:textId="77777777" w:rsidTr="004625B0">
        <w:tc>
          <w:tcPr>
            <w:tcW w:w="4106" w:type="dxa"/>
          </w:tcPr>
          <w:p w14:paraId="78A67D69" w14:textId="77777777" w:rsidR="00ED2EBD" w:rsidRPr="00BD16B4" w:rsidRDefault="00ED2EBD" w:rsidP="004A205F">
            <w:pPr>
              <w:pStyle w:val="TableText"/>
              <w:spacing w:before="40" w:after="40"/>
              <w:rPr>
                <w:szCs w:val="18"/>
              </w:rPr>
            </w:pPr>
            <w:r w:rsidRPr="00BD16B4">
              <w:rPr>
                <w:szCs w:val="18"/>
              </w:rPr>
              <w:t>C. CO</w:t>
            </w:r>
            <w:r w:rsidRPr="00BD16B4">
              <w:rPr>
                <w:szCs w:val="18"/>
                <w:vertAlign w:val="subscript"/>
              </w:rPr>
              <w:t>2</w:t>
            </w:r>
            <w:r w:rsidRPr="00BD16B4">
              <w:rPr>
                <w:szCs w:val="18"/>
              </w:rPr>
              <w:t xml:space="preserve"> transport and storage</w:t>
            </w:r>
          </w:p>
        </w:tc>
        <w:tc>
          <w:tcPr>
            <w:tcW w:w="907" w:type="dxa"/>
            <w:tcBorders>
              <w:top w:val="single" w:sz="4" w:space="0" w:color="1B556B" w:themeColor="text2"/>
            </w:tcBorders>
            <w:shd w:val="clear" w:color="auto" w:fill="D2DDE1" w:themeFill="background2"/>
          </w:tcPr>
          <w:p w14:paraId="2626266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09BD74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59E3F1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2E74B1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E37B2B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9D0649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AB082B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094BD9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53937E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F222C5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D0B47B7" w14:textId="77777777" w:rsidR="00ED2EBD" w:rsidRPr="00BD16B4" w:rsidRDefault="00ED2EBD" w:rsidP="004A205F">
            <w:pPr>
              <w:pStyle w:val="TableText"/>
              <w:spacing w:before="40" w:after="40"/>
              <w:jc w:val="right"/>
              <w:rPr>
                <w:szCs w:val="18"/>
              </w:rPr>
            </w:pPr>
            <w:r w:rsidRPr="00BD16B4">
              <w:rPr>
                <w:color w:val="000000"/>
                <w:szCs w:val="18"/>
              </w:rPr>
              <w:t> </w:t>
            </w:r>
          </w:p>
        </w:tc>
      </w:tr>
      <w:tr w:rsidR="002A2A69" w:rsidRPr="00BD16B4" w14:paraId="74BFA4DD" w14:textId="77777777" w:rsidTr="004625B0">
        <w:tc>
          <w:tcPr>
            <w:tcW w:w="4106" w:type="dxa"/>
          </w:tcPr>
          <w:p w14:paraId="4D364A88" w14:textId="17A4F12D" w:rsidR="00ED2EBD" w:rsidRPr="00BD16B4" w:rsidRDefault="00ED2EBD" w:rsidP="004A205F">
            <w:pPr>
              <w:pStyle w:val="TableText"/>
              <w:spacing w:before="40" w:after="40"/>
              <w:rPr>
                <w:szCs w:val="18"/>
              </w:rPr>
            </w:pPr>
            <w:r w:rsidRPr="00BD16B4">
              <w:rPr>
                <w:b/>
                <w:bCs/>
                <w:szCs w:val="18"/>
              </w:rPr>
              <w:lastRenderedPageBreak/>
              <w:t>2.</w:t>
            </w:r>
            <w:r w:rsidR="00280979" w:rsidRPr="00BD16B4">
              <w:rPr>
                <w:b/>
                <w:bCs/>
                <w:szCs w:val="18"/>
              </w:rPr>
              <w:t xml:space="preserve"> </w:t>
            </w:r>
            <w:r w:rsidRPr="00BD16B4">
              <w:rPr>
                <w:b/>
                <w:bCs/>
                <w:szCs w:val="18"/>
              </w:rPr>
              <w:t>Industrial processes</w:t>
            </w:r>
          </w:p>
        </w:tc>
        <w:tc>
          <w:tcPr>
            <w:tcW w:w="907" w:type="dxa"/>
            <w:tcBorders>
              <w:bottom w:val="single" w:sz="4" w:space="0" w:color="1B556B" w:themeColor="text2"/>
            </w:tcBorders>
            <w:shd w:val="clear" w:color="auto" w:fill="auto"/>
          </w:tcPr>
          <w:p w14:paraId="36D61202" w14:textId="77777777" w:rsidR="00ED2EBD" w:rsidRPr="00BD16B4" w:rsidRDefault="00ED2EBD" w:rsidP="004A205F">
            <w:pPr>
              <w:pStyle w:val="TableText"/>
              <w:spacing w:before="40" w:after="40"/>
              <w:jc w:val="right"/>
              <w:rPr>
                <w:szCs w:val="18"/>
              </w:rPr>
            </w:pPr>
            <w:r w:rsidRPr="00BD16B4">
              <w:rPr>
                <w:szCs w:val="18"/>
              </w:rPr>
              <w:t>0.22</w:t>
            </w:r>
          </w:p>
        </w:tc>
        <w:tc>
          <w:tcPr>
            <w:tcW w:w="907" w:type="dxa"/>
            <w:tcBorders>
              <w:bottom w:val="single" w:sz="4" w:space="0" w:color="1B556B" w:themeColor="text2"/>
            </w:tcBorders>
            <w:shd w:val="clear" w:color="auto" w:fill="auto"/>
          </w:tcPr>
          <w:p w14:paraId="4D7D9EF5" w14:textId="77777777" w:rsidR="00ED2EBD" w:rsidRPr="00BD16B4" w:rsidRDefault="00ED2EBD" w:rsidP="004A205F">
            <w:pPr>
              <w:pStyle w:val="TableText"/>
              <w:spacing w:before="40" w:after="40"/>
              <w:jc w:val="right"/>
              <w:rPr>
                <w:szCs w:val="18"/>
              </w:rPr>
            </w:pPr>
            <w:r w:rsidRPr="00BD16B4">
              <w:rPr>
                <w:szCs w:val="18"/>
              </w:rPr>
              <w:t>0.21</w:t>
            </w:r>
          </w:p>
        </w:tc>
        <w:tc>
          <w:tcPr>
            <w:tcW w:w="907" w:type="dxa"/>
            <w:tcBorders>
              <w:bottom w:val="single" w:sz="4" w:space="0" w:color="1B556B" w:themeColor="text2"/>
            </w:tcBorders>
            <w:shd w:val="clear" w:color="auto" w:fill="auto"/>
          </w:tcPr>
          <w:p w14:paraId="6747FABD" w14:textId="77777777" w:rsidR="00ED2EBD" w:rsidRPr="00BD16B4" w:rsidRDefault="00ED2EBD" w:rsidP="004A205F">
            <w:pPr>
              <w:pStyle w:val="TableText"/>
              <w:spacing w:before="40" w:after="40"/>
              <w:jc w:val="right"/>
              <w:rPr>
                <w:szCs w:val="18"/>
              </w:rPr>
            </w:pPr>
            <w:r w:rsidRPr="00BD16B4">
              <w:rPr>
                <w:szCs w:val="18"/>
              </w:rPr>
              <w:t>0.20</w:t>
            </w:r>
          </w:p>
        </w:tc>
        <w:tc>
          <w:tcPr>
            <w:tcW w:w="907" w:type="dxa"/>
            <w:tcBorders>
              <w:bottom w:val="single" w:sz="4" w:space="0" w:color="1B556B" w:themeColor="text2"/>
            </w:tcBorders>
            <w:shd w:val="clear" w:color="auto" w:fill="auto"/>
          </w:tcPr>
          <w:p w14:paraId="4F6B076A" w14:textId="77777777" w:rsidR="00ED2EBD" w:rsidRPr="00BD16B4" w:rsidRDefault="00ED2EBD" w:rsidP="004A205F">
            <w:pPr>
              <w:pStyle w:val="TableText"/>
              <w:spacing w:before="40" w:after="40"/>
              <w:jc w:val="right"/>
              <w:rPr>
                <w:szCs w:val="18"/>
              </w:rPr>
            </w:pPr>
            <w:r w:rsidRPr="00BD16B4">
              <w:rPr>
                <w:szCs w:val="18"/>
              </w:rPr>
              <w:t>0.19</w:t>
            </w:r>
          </w:p>
        </w:tc>
        <w:tc>
          <w:tcPr>
            <w:tcW w:w="907" w:type="dxa"/>
            <w:tcBorders>
              <w:bottom w:val="single" w:sz="4" w:space="0" w:color="1B556B" w:themeColor="text2"/>
            </w:tcBorders>
            <w:shd w:val="clear" w:color="auto" w:fill="auto"/>
          </w:tcPr>
          <w:p w14:paraId="580856C8" w14:textId="77777777" w:rsidR="00ED2EBD" w:rsidRPr="00BD16B4" w:rsidRDefault="00ED2EBD" w:rsidP="004A205F">
            <w:pPr>
              <w:pStyle w:val="TableText"/>
              <w:spacing w:before="40" w:after="40"/>
              <w:jc w:val="right"/>
              <w:rPr>
                <w:szCs w:val="18"/>
              </w:rPr>
            </w:pPr>
            <w:r w:rsidRPr="00BD16B4">
              <w:rPr>
                <w:szCs w:val="18"/>
              </w:rPr>
              <w:t>0.18</w:t>
            </w:r>
          </w:p>
        </w:tc>
        <w:tc>
          <w:tcPr>
            <w:tcW w:w="907" w:type="dxa"/>
            <w:tcBorders>
              <w:bottom w:val="single" w:sz="4" w:space="0" w:color="1B556B" w:themeColor="text2"/>
            </w:tcBorders>
            <w:shd w:val="clear" w:color="auto" w:fill="auto"/>
          </w:tcPr>
          <w:p w14:paraId="52F6185D" w14:textId="77777777" w:rsidR="00ED2EBD" w:rsidRPr="00BD16B4" w:rsidRDefault="00ED2EBD" w:rsidP="004A205F">
            <w:pPr>
              <w:pStyle w:val="TableText"/>
              <w:spacing w:before="40" w:after="40"/>
              <w:jc w:val="right"/>
              <w:rPr>
                <w:szCs w:val="18"/>
              </w:rPr>
            </w:pPr>
            <w:r w:rsidRPr="00BD16B4">
              <w:rPr>
                <w:szCs w:val="18"/>
              </w:rPr>
              <w:t>0.16</w:t>
            </w:r>
          </w:p>
        </w:tc>
        <w:tc>
          <w:tcPr>
            <w:tcW w:w="907" w:type="dxa"/>
            <w:tcBorders>
              <w:bottom w:val="single" w:sz="4" w:space="0" w:color="1B556B" w:themeColor="text2"/>
            </w:tcBorders>
            <w:shd w:val="clear" w:color="auto" w:fill="auto"/>
          </w:tcPr>
          <w:p w14:paraId="46117C3B" w14:textId="77777777" w:rsidR="00ED2EBD" w:rsidRPr="00BD16B4" w:rsidRDefault="00ED2EBD" w:rsidP="004A205F">
            <w:pPr>
              <w:pStyle w:val="TableText"/>
              <w:spacing w:before="40" w:after="40"/>
              <w:jc w:val="right"/>
              <w:rPr>
                <w:szCs w:val="18"/>
              </w:rPr>
            </w:pPr>
            <w:r w:rsidRPr="00BD16B4">
              <w:rPr>
                <w:szCs w:val="18"/>
              </w:rPr>
              <w:t>0.15</w:t>
            </w:r>
          </w:p>
        </w:tc>
        <w:tc>
          <w:tcPr>
            <w:tcW w:w="907" w:type="dxa"/>
            <w:tcBorders>
              <w:bottom w:val="single" w:sz="4" w:space="0" w:color="1B556B" w:themeColor="text2"/>
            </w:tcBorders>
            <w:shd w:val="clear" w:color="auto" w:fill="auto"/>
          </w:tcPr>
          <w:p w14:paraId="27D7B21C" w14:textId="77777777" w:rsidR="00ED2EBD" w:rsidRPr="00BD16B4" w:rsidRDefault="00ED2EBD" w:rsidP="004A205F">
            <w:pPr>
              <w:pStyle w:val="TableText"/>
              <w:spacing w:before="40" w:after="40"/>
              <w:jc w:val="right"/>
              <w:rPr>
                <w:szCs w:val="18"/>
              </w:rPr>
            </w:pPr>
            <w:r w:rsidRPr="00BD16B4">
              <w:rPr>
                <w:szCs w:val="18"/>
              </w:rPr>
              <w:t>0.14</w:t>
            </w:r>
          </w:p>
        </w:tc>
        <w:tc>
          <w:tcPr>
            <w:tcW w:w="907" w:type="dxa"/>
            <w:tcBorders>
              <w:bottom w:val="single" w:sz="4" w:space="0" w:color="1B556B" w:themeColor="text2"/>
            </w:tcBorders>
            <w:shd w:val="clear" w:color="auto" w:fill="auto"/>
          </w:tcPr>
          <w:p w14:paraId="18D8AB60" w14:textId="77777777" w:rsidR="00ED2EBD" w:rsidRPr="00BD16B4" w:rsidRDefault="00ED2EBD" w:rsidP="004A205F">
            <w:pPr>
              <w:pStyle w:val="TableText"/>
              <w:spacing w:before="40" w:after="40"/>
              <w:jc w:val="right"/>
              <w:rPr>
                <w:szCs w:val="18"/>
              </w:rPr>
            </w:pPr>
            <w:r w:rsidRPr="00BD16B4">
              <w:rPr>
                <w:szCs w:val="18"/>
              </w:rPr>
              <w:t>0.15</w:t>
            </w:r>
          </w:p>
        </w:tc>
        <w:tc>
          <w:tcPr>
            <w:tcW w:w="907" w:type="dxa"/>
            <w:tcBorders>
              <w:bottom w:val="single" w:sz="4" w:space="0" w:color="1B556B" w:themeColor="text2"/>
            </w:tcBorders>
            <w:shd w:val="clear" w:color="auto" w:fill="auto"/>
          </w:tcPr>
          <w:p w14:paraId="4B333520" w14:textId="77777777" w:rsidR="00ED2EBD" w:rsidRPr="00BD16B4" w:rsidRDefault="00ED2EBD" w:rsidP="004A205F">
            <w:pPr>
              <w:pStyle w:val="TableText"/>
              <w:spacing w:before="40" w:after="40"/>
              <w:jc w:val="right"/>
              <w:rPr>
                <w:szCs w:val="18"/>
              </w:rPr>
            </w:pPr>
            <w:r w:rsidRPr="00BD16B4">
              <w:rPr>
                <w:szCs w:val="18"/>
              </w:rPr>
              <w:t>0.18</w:t>
            </w:r>
          </w:p>
        </w:tc>
        <w:tc>
          <w:tcPr>
            <w:tcW w:w="907" w:type="dxa"/>
            <w:tcBorders>
              <w:bottom w:val="single" w:sz="4" w:space="0" w:color="1B556B" w:themeColor="text2"/>
            </w:tcBorders>
            <w:shd w:val="clear" w:color="auto" w:fill="auto"/>
          </w:tcPr>
          <w:p w14:paraId="0689EFC2" w14:textId="77777777" w:rsidR="00ED2EBD" w:rsidRPr="00BD16B4" w:rsidRDefault="00ED2EBD" w:rsidP="004A205F">
            <w:pPr>
              <w:pStyle w:val="TableText"/>
              <w:spacing w:before="40" w:after="40"/>
              <w:jc w:val="right"/>
              <w:rPr>
                <w:szCs w:val="18"/>
              </w:rPr>
            </w:pPr>
            <w:r w:rsidRPr="00BD16B4">
              <w:rPr>
                <w:szCs w:val="18"/>
              </w:rPr>
              <w:t>0.18</w:t>
            </w:r>
          </w:p>
        </w:tc>
      </w:tr>
      <w:tr w:rsidR="00ED2EBD" w:rsidRPr="00BD16B4" w14:paraId="297F3AE6" w14:textId="77777777" w:rsidTr="004625B0">
        <w:tc>
          <w:tcPr>
            <w:tcW w:w="4106" w:type="dxa"/>
          </w:tcPr>
          <w:p w14:paraId="7724A5BF" w14:textId="7A8A69A6"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Mineral industry</w:t>
            </w:r>
          </w:p>
        </w:tc>
        <w:tc>
          <w:tcPr>
            <w:tcW w:w="907" w:type="dxa"/>
            <w:tcBorders>
              <w:top w:val="single" w:sz="4" w:space="0" w:color="1B556B" w:themeColor="text2"/>
            </w:tcBorders>
            <w:shd w:val="clear" w:color="auto" w:fill="D2DDE1" w:themeFill="background2"/>
          </w:tcPr>
          <w:p w14:paraId="53F78D2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AEE888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BF9675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9FE071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163B83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99E86A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19F528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82E244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D321E0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6B66D1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F8341C7" w14:textId="77777777" w:rsidR="00ED2EBD" w:rsidRPr="00BD16B4" w:rsidRDefault="00ED2EBD" w:rsidP="004A205F">
            <w:pPr>
              <w:pStyle w:val="TableText"/>
              <w:spacing w:before="40" w:after="40"/>
              <w:jc w:val="right"/>
              <w:rPr>
                <w:szCs w:val="18"/>
              </w:rPr>
            </w:pPr>
            <w:r w:rsidRPr="00BD16B4">
              <w:rPr>
                <w:color w:val="000000"/>
                <w:szCs w:val="18"/>
              </w:rPr>
              <w:t> </w:t>
            </w:r>
          </w:p>
        </w:tc>
      </w:tr>
      <w:tr w:rsidR="002A2A69" w:rsidRPr="00BD16B4" w14:paraId="313B9E6B" w14:textId="77777777" w:rsidTr="004625B0">
        <w:tc>
          <w:tcPr>
            <w:tcW w:w="4106" w:type="dxa"/>
          </w:tcPr>
          <w:p w14:paraId="11034799" w14:textId="513AC1AB"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Chemical industry</w:t>
            </w:r>
          </w:p>
        </w:tc>
        <w:tc>
          <w:tcPr>
            <w:tcW w:w="907" w:type="dxa"/>
            <w:tcBorders>
              <w:bottom w:val="single" w:sz="4" w:space="0" w:color="1B556B" w:themeColor="text2"/>
            </w:tcBorders>
            <w:shd w:val="clear" w:color="auto" w:fill="auto"/>
          </w:tcPr>
          <w:p w14:paraId="45DE7B58"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Borders>
              <w:bottom w:val="single" w:sz="4" w:space="0" w:color="1B556B" w:themeColor="text2"/>
            </w:tcBorders>
            <w:shd w:val="clear" w:color="auto" w:fill="auto"/>
          </w:tcPr>
          <w:p w14:paraId="032EB2BE"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Borders>
              <w:bottom w:val="single" w:sz="4" w:space="0" w:color="1B556B" w:themeColor="text2"/>
            </w:tcBorders>
            <w:shd w:val="clear" w:color="auto" w:fill="auto"/>
          </w:tcPr>
          <w:p w14:paraId="318BD959"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Borders>
              <w:bottom w:val="single" w:sz="4" w:space="0" w:color="1B556B" w:themeColor="text2"/>
            </w:tcBorders>
            <w:shd w:val="clear" w:color="auto" w:fill="auto"/>
          </w:tcPr>
          <w:p w14:paraId="5D1DF942"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Borders>
              <w:bottom w:val="single" w:sz="4" w:space="0" w:color="1B556B" w:themeColor="text2"/>
            </w:tcBorders>
            <w:shd w:val="clear" w:color="auto" w:fill="auto"/>
          </w:tcPr>
          <w:p w14:paraId="61F04638"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Borders>
              <w:bottom w:val="single" w:sz="4" w:space="0" w:color="1B556B" w:themeColor="text2"/>
            </w:tcBorders>
            <w:shd w:val="clear" w:color="auto" w:fill="auto"/>
          </w:tcPr>
          <w:p w14:paraId="59C2CC1A"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Borders>
              <w:bottom w:val="single" w:sz="4" w:space="0" w:color="1B556B" w:themeColor="text2"/>
            </w:tcBorders>
            <w:shd w:val="clear" w:color="auto" w:fill="auto"/>
          </w:tcPr>
          <w:p w14:paraId="211CE1A8"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Borders>
              <w:bottom w:val="single" w:sz="4" w:space="0" w:color="1B556B" w:themeColor="text2"/>
            </w:tcBorders>
            <w:shd w:val="clear" w:color="auto" w:fill="auto"/>
          </w:tcPr>
          <w:p w14:paraId="6C09A632"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Borders>
              <w:bottom w:val="single" w:sz="4" w:space="0" w:color="1B556B" w:themeColor="text2"/>
            </w:tcBorders>
            <w:shd w:val="clear" w:color="auto" w:fill="auto"/>
          </w:tcPr>
          <w:p w14:paraId="4939C6E5"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Borders>
              <w:bottom w:val="single" w:sz="4" w:space="0" w:color="1B556B" w:themeColor="text2"/>
            </w:tcBorders>
            <w:shd w:val="clear" w:color="auto" w:fill="auto"/>
          </w:tcPr>
          <w:p w14:paraId="48902D69"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Borders>
              <w:bottom w:val="single" w:sz="4" w:space="0" w:color="1B556B" w:themeColor="text2"/>
            </w:tcBorders>
            <w:shd w:val="clear" w:color="auto" w:fill="auto"/>
          </w:tcPr>
          <w:p w14:paraId="5E2AF666"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7A4C3397" w14:textId="77777777" w:rsidTr="004625B0">
        <w:tc>
          <w:tcPr>
            <w:tcW w:w="4106" w:type="dxa"/>
          </w:tcPr>
          <w:p w14:paraId="57392FE8" w14:textId="53B4D911"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Metal industry</w:t>
            </w:r>
          </w:p>
        </w:tc>
        <w:tc>
          <w:tcPr>
            <w:tcW w:w="907" w:type="dxa"/>
            <w:tcBorders>
              <w:top w:val="single" w:sz="4" w:space="0" w:color="1B556B" w:themeColor="text2"/>
            </w:tcBorders>
            <w:shd w:val="clear" w:color="auto" w:fill="D2DDE1" w:themeFill="background2"/>
          </w:tcPr>
          <w:p w14:paraId="47EFCA9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53C17F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D70240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2236E2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4456B7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6388EE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2CEB8C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F93EFC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963842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9D2CA8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6B07383" w14:textId="77777777" w:rsidR="00ED2EBD" w:rsidRPr="00BD16B4" w:rsidRDefault="00ED2EBD" w:rsidP="004A205F">
            <w:pPr>
              <w:pStyle w:val="TableText"/>
              <w:spacing w:before="40" w:after="40"/>
              <w:jc w:val="right"/>
              <w:rPr>
                <w:szCs w:val="18"/>
              </w:rPr>
            </w:pPr>
            <w:r w:rsidRPr="00BD16B4">
              <w:rPr>
                <w:color w:val="000000"/>
                <w:szCs w:val="18"/>
              </w:rPr>
              <w:t> </w:t>
            </w:r>
          </w:p>
        </w:tc>
      </w:tr>
      <w:tr w:rsidR="002A2A69" w:rsidRPr="00BD16B4" w14:paraId="6CF6083A" w14:textId="77777777" w:rsidTr="004625B0">
        <w:tc>
          <w:tcPr>
            <w:tcW w:w="4106" w:type="dxa"/>
          </w:tcPr>
          <w:p w14:paraId="5864213D" w14:textId="5CDD3B8C" w:rsidR="00ED2EBD" w:rsidRPr="00BD16B4" w:rsidRDefault="00ED2EBD" w:rsidP="004A205F">
            <w:pPr>
              <w:pStyle w:val="TableText"/>
              <w:spacing w:before="40" w:after="40"/>
              <w:rPr>
                <w:szCs w:val="18"/>
              </w:rPr>
            </w:pPr>
            <w:r w:rsidRPr="00BD16B4">
              <w:rPr>
                <w:szCs w:val="18"/>
              </w:rPr>
              <w:t>D.</w:t>
            </w:r>
            <w:r w:rsidR="00280979" w:rsidRPr="00BD16B4">
              <w:rPr>
                <w:szCs w:val="18"/>
              </w:rPr>
              <w:t xml:space="preserve"> </w:t>
            </w:r>
            <w:r w:rsidRPr="00BD16B4">
              <w:rPr>
                <w:szCs w:val="18"/>
              </w:rPr>
              <w:t>Non-energy products from fuels and solvent use</w:t>
            </w:r>
          </w:p>
        </w:tc>
        <w:tc>
          <w:tcPr>
            <w:tcW w:w="907" w:type="dxa"/>
            <w:tcBorders>
              <w:bottom w:val="single" w:sz="4" w:space="0" w:color="1B556B" w:themeColor="text2"/>
            </w:tcBorders>
            <w:shd w:val="clear" w:color="auto" w:fill="auto"/>
          </w:tcPr>
          <w:p w14:paraId="145C04E5"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29346F9A"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5BAA3971"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2C6A7D5E"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0C584669"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3191D3A8"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42719FA2"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1C05EE42"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2A921CBD"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4265526E" w14:textId="77777777" w:rsidR="00ED2EBD" w:rsidRPr="00BD16B4" w:rsidRDefault="00ED2EBD" w:rsidP="004A205F">
            <w:pPr>
              <w:pStyle w:val="TableText"/>
              <w:spacing w:before="40" w:after="40"/>
              <w:jc w:val="right"/>
              <w:rPr>
                <w:szCs w:val="18"/>
              </w:rPr>
            </w:pPr>
            <w:r w:rsidRPr="00BD16B4">
              <w:rPr>
                <w:szCs w:val="18"/>
              </w:rPr>
              <w:t>NA</w:t>
            </w:r>
          </w:p>
        </w:tc>
        <w:tc>
          <w:tcPr>
            <w:tcW w:w="907" w:type="dxa"/>
            <w:tcBorders>
              <w:bottom w:val="single" w:sz="4" w:space="0" w:color="1B556B" w:themeColor="text2"/>
            </w:tcBorders>
            <w:shd w:val="clear" w:color="auto" w:fill="auto"/>
          </w:tcPr>
          <w:p w14:paraId="441822A6"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4031D55E" w14:textId="77777777" w:rsidTr="004625B0">
        <w:tc>
          <w:tcPr>
            <w:tcW w:w="4106" w:type="dxa"/>
          </w:tcPr>
          <w:p w14:paraId="35A695AD" w14:textId="40261073"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Electronic industry</w:t>
            </w:r>
          </w:p>
        </w:tc>
        <w:tc>
          <w:tcPr>
            <w:tcW w:w="907" w:type="dxa"/>
            <w:tcBorders>
              <w:top w:val="single" w:sz="4" w:space="0" w:color="1B556B" w:themeColor="text2"/>
            </w:tcBorders>
            <w:shd w:val="clear" w:color="auto" w:fill="D2DDE1" w:themeFill="background2"/>
          </w:tcPr>
          <w:p w14:paraId="52C8EA6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0D497F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6D64A1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5E6895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82F9A3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53BC7A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167612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6070F4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7E2D9A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4C4F65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32A7E07"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76C278A4" w14:textId="77777777" w:rsidTr="004625B0">
        <w:tc>
          <w:tcPr>
            <w:tcW w:w="4106" w:type="dxa"/>
          </w:tcPr>
          <w:p w14:paraId="52D356AE" w14:textId="51D4A7BC" w:rsidR="00ED2EBD" w:rsidRPr="00BD16B4" w:rsidRDefault="00ED2EBD" w:rsidP="004A205F">
            <w:pPr>
              <w:pStyle w:val="TableText"/>
              <w:keepNext/>
              <w:spacing w:before="40" w:after="40"/>
              <w:rPr>
                <w:szCs w:val="18"/>
              </w:rPr>
            </w:pPr>
            <w:r w:rsidRPr="00BD16B4">
              <w:rPr>
                <w:szCs w:val="18"/>
              </w:rPr>
              <w:t>F.</w:t>
            </w:r>
            <w:r w:rsidR="00280979" w:rsidRPr="00BD16B4">
              <w:rPr>
                <w:szCs w:val="18"/>
              </w:rPr>
              <w:t xml:space="preserve"> </w:t>
            </w:r>
            <w:r w:rsidRPr="00BD16B4">
              <w:rPr>
                <w:szCs w:val="18"/>
              </w:rPr>
              <w:t>Product uses as ODS substitutes</w:t>
            </w:r>
          </w:p>
        </w:tc>
        <w:tc>
          <w:tcPr>
            <w:tcW w:w="907" w:type="dxa"/>
            <w:tcBorders>
              <w:top w:val="single" w:sz="4" w:space="0" w:color="1B556B" w:themeColor="text2"/>
            </w:tcBorders>
            <w:shd w:val="clear" w:color="auto" w:fill="D2DDE1" w:themeFill="background2"/>
          </w:tcPr>
          <w:p w14:paraId="10B141C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B345C3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2C247F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24F284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1C9981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DDD8CB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76B3B5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7CF7B2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DB544A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E17128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62DD148" w14:textId="77777777" w:rsidR="00ED2EBD" w:rsidRPr="00BD16B4" w:rsidRDefault="00ED2EBD" w:rsidP="004A205F">
            <w:pPr>
              <w:pStyle w:val="TableText"/>
              <w:spacing w:before="40" w:after="40"/>
              <w:jc w:val="right"/>
              <w:rPr>
                <w:szCs w:val="18"/>
              </w:rPr>
            </w:pPr>
            <w:r w:rsidRPr="00BD16B4">
              <w:rPr>
                <w:color w:val="000000"/>
                <w:szCs w:val="18"/>
              </w:rPr>
              <w:t> </w:t>
            </w:r>
          </w:p>
        </w:tc>
      </w:tr>
      <w:tr w:rsidR="002A2A69" w:rsidRPr="00BD16B4" w14:paraId="7F3B8EC2" w14:textId="77777777" w:rsidTr="004625B0">
        <w:tc>
          <w:tcPr>
            <w:tcW w:w="4106" w:type="dxa"/>
          </w:tcPr>
          <w:p w14:paraId="1D9B2258" w14:textId="6BD6D294" w:rsidR="00ED2EBD" w:rsidRPr="00BD16B4" w:rsidRDefault="00ED2EBD" w:rsidP="004A205F">
            <w:pPr>
              <w:pStyle w:val="TableText"/>
              <w:spacing w:before="40" w:after="40"/>
              <w:rPr>
                <w:szCs w:val="18"/>
              </w:rPr>
            </w:pPr>
            <w:r w:rsidRPr="00BD16B4">
              <w:rPr>
                <w:szCs w:val="18"/>
              </w:rPr>
              <w:t>G.</w:t>
            </w:r>
            <w:r w:rsidR="00280979" w:rsidRPr="00BD16B4">
              <w:rPr>
                <w:szCs w:val="18"/>
              </w:rPr>
              <w:t xml:space="preserve"> </w:t>
            </w:r>
            <w:r w:rsidRPr="00BD16B4">
              <w:rPr>
                <w:szCs w:val="18"/>
              </w:rPr>
              <w:t xml:space="preserve">Other product manufacture and use </w:t>
            </w:r>
          </w:p>
        </w:tc>
        <w:tc>
          <w:tcPr>
            <w:tcW w:w="907" w:type="dxa"/>
            <w:tcBorders>
              <w:bottom w:val="single" w:sz="4" w:space="0" w:color="1B556B" w:themeColor="text2"/>
            </w:tcBorders>
            <w:shd w:val="clear" w:color="auto" w:fill="auto"/>
          </w:tcPr>
          <w:p w14:paraId="638139B2" w14:textId="77777777" w:rsidR="00ED2EBD" w:rsidRPr="00BD16B4" w:rsidRDefault="00ED2EBD" w:rsidP="004A205F">
            <w:pPr>
              <w:pStyle w:val="TableText"/>
              <w:spacing w:before="40" w:after="40"/>
              <w:jc w:val="right"/>
              <w:rPr>
                <w:szCs w:val="18"/>
              </w:rPr>
            </w:pPr>
            <w:r w:rsidRPr="00BD16B4">
              <w:rPr>
                <w:szCs w:val="18"/>
              </w:rPr>
              <w:t>0.22</w:t>
            </w:r>
          </w:p>
        </w:tc>
        <w:tc>
          <w:tcPr>
            <w:tcW w:w="907" w:type="dxa"/>
            <w:tcBorders>
              <w:bottom w:val="single" w:sz="4" w:space="0" w:color="1B556B" w:themeColor="text2"/>
            </w:tcBorders>
            <w:shd w:val="clear" w:color="auto" w:fill="auto"/>
          </w:tcPr>
          <w:p w14:paraId="6F8F568D" w14:textId="77777777" w:rsidR="00ED2EBD" w:rsidRPr="00BD16B4" w:rsidRDefault="00ED2EBD" w:rsidP="004A205F">
            <w:pPr>
              <w:pStyle w:val="TableText"/>
              <w:spacing w:before="40" w:after="40"/>
              <w:jc w:val="right"/>
              <w:rPr>
                <w:szCs w:val="18"/>
              </w:rPr>
            </w:pPr>
            <w:r w:rsidRPr="00BD16B4">
              <w:rPr>
                <w:szCs w:val="18"/>
              </w:rPr>
              <w:t>0.21</w:t>
            </w:r>
          </w:p>
        </w:tc>
        <w:tc>
          <w:tcPr>
            <w:tcW w:w="907" w:type="dxa"/>
            <w:tcBorders>
              <w:bottom w:val="single" w:sz="4" w:space="0" w:color="1B556B" w:themeColor="text2"/>
            </w:tcBorders>
            <w:shd w:val="clear" w:color="auto" w:fill="auto"/>
          </w:tcPr>
          <w:p w14:paraId="68F846D9" w14:textId="77777777" w:rsidR="00ED2EBD" w:rsidRPr="00BD16B4" w:rsidRDefault="00ED2EBD" w:rsidP="004A205F">
            <w:pPr>
              <w:pStyle w:val="TableText"/>
              <w:spacing w:before="40" w:after="40"/>
              <w:jc w:val="right"/>
              <w:rPr>
                <w:szCs w:val="18"/>
              </w:rPr>
            </w:pPr>
            <w:r w:rsidRPr="00BD16B4">
              <w:rPr>
                <w:szCs w:val="18"/>
              </w:rPr>
              <w:t>0.20</w:t>
            </w:r>
          </w:p>
        </w:tc>
        <w:tc>
          <w:tcPr>
            <w:tcW w:w="907" w:type="dxa"/>
            <w:tcBorders>
              <w:bottom w:val="single" w:sz="4" w:space="0" w:color="1B556B" w:themeColor="text2"/>
            </w:tcBorders>
            <w:shd w:val="clear" w:color="auto" w:fill="auto"/>
          </w:tcPr>
          <w:p w14:paraId="17C2D4C4" w14:textId="77777777" w:rsidR="00ED2EBD" w:rsidRPr="00BD16B4" w:rsidRDefault="00ED2EBD" w:rsidP="004A205F">
            <w:pPr>
              <w:pStyle w:val="TableText"/>
              <w:spacing w:before="40" w:after="40"/>
              <w:jc w:val="right"/>
              <w:rPr>
                <w:szCs w:val="18"/>
              </w:rPr>
            </w:pPr>
            <w:r w:rsidRPr="00BD16B4">
              <w:rPr>
                <w:szCs w:val="18"/>
              </w:rPr>
              <w:t>0.19</w:t>
            </w:r>
          </w:p>
        </w:tc>
        <w:tc>
          <w:tcPr>
            <w:tcW w:w="907" w:type="dxa"/>
            <w:tcBorders>
              <w:bottom w:val="single" w:sz="4" w:space="0" w:color="1B556B" w:themeColor="text2"/>
            </w:tcBorders>
            <w:shd w:val="clear" w:color="auto" w:fill="auto"/>
          </w:tcPr>
          <w:p w14:paraId="28692631" w14:textId="77777777" w:rsidR="00ED2EBD" w:rsidRPr="00BD16B4" w:rsidRDefault="00ED2EBD" w:rsidP="004A205F">
            <w:pPr>
              <w:pStyle w:val="TableText"/>
              <w:spacing w:before="40" w:after="40"/>
              <w:jc w:val="right"/>
              <w:rPr>
                <w:szCs w:val="18"/>
              </w:rPr>
            </w:pPr>
            <w:r w:rsidRPr="00BD16B4">
              <w:rPr>
                <w:szCs w:val="18"/>
              </w:rPr>
              <w:t>0.18</w:t>
            </w:r>
          </w:p>
        </w:tc>
        <w:tc>
          <w:tcPr>
            <w:tcW w:w="907" w:type="dxa"/>
            <w:tcBorders>
              <w:bottom w:val="single" w:sz="4" w:space="0" w:color="1B556B" w:themeColor="text2"/>
            </w:tcBorders>
            <w:shd w:val="clear" w:color="auto" w:fill="auto"/>
          </w:tcPr>
          <w:p w14:paraId="64EAE81C" w14:textId="77777777" w:rsidR="00ED2EBD" w:rsidRPr="00BD16B4" w:rsidRDefault="00ED2EBD" w:rsidP="004A205F">
            <w:pPr>
              <w:pStyle w:val="TableText"/>
              <w:spacing w:before="40" w:after="40"/>
              <w:jc w:val="right"/>
              <w:rPr>
                <w:szCs w:val="18"/>
              </w:rPr>
            </w:pPr>
            <w:r w:rsidRPr="00BD16B4">
              <w:rPr>
                <w:szCs w:val="18"/>
              </w:rPr>
              <w:t>0.16</w:t>
            </w:r>
          </w:p>
        </w:tc>
        <w:tc>
          <w:tcPr>
            <w:tcW w:w="907" w:type="dxa"/>
            <w:tcBorders>
              <w:bottom w:val="single" w:sz="4" w:space="0" w:color="1B556B" w:themeColor="text2"/>
            </w:tcBorders>
            <w:shd w:val="clear" w:color="auto" w:fill="auto"/>
          </w:tcPr>
          <w:p w14:paraId="22D770DC" w14:textId="77777777" w:rsidR="00ED2EBD" w:rsidRPr="00BD16B4" w:rsidRDefault="00ED2EBD" w:rsidP="004A205F">
            <w:pPr>
              <w:pStyle w:val="TableText"/>
              <w:spacing w:before="40" w:after="40"/>
              <w:jc w:val="right"/>
              <w:rPr>
                <w:szCs w:val="18"/>
              </w:rPr>
            </w:pPr>
            <w:r w:rsidRPr="00BD16B4">
              <w:rPr>
                <w:szCs w:val="18"/>
              </w:rPr>
              <w:t>0.15</w:t>
            </w:r>
          </w:p>
        </w:tc>
        <w:tc>
          <w:tcPr>
            <w:tcW w:w="907" w:type="dxa"/>
            <w:tcBorders>
              <w:bottom w:val="single" w:sz="4" w:space="0" w:color="1B556B" w:themeColor="text2"/>
            </w:tcBorders>
            <w:shd w:val="clear" w:color="auto" w:fill="auto"/>
          </w:tcPr>
          <w:p w14:paraId="3E1176F9" w14:textId="77777777" w:rsidR="00ED2EBD" w:rsidRPr="00BD16B4" w:rsidRDefault="00ED2EBD" w:rsidP="004A205F">
            <w:pPr>
              <w:pStyle w:val="TableText"/>
              <w:spacing w:before="40" w:after="40"/>
              <w:jc w:val="right"/>
              <w:rPr>
                <w:szCs w:val="18"/>
              </w:rPr>
            </w:pPr>
            <w:r w:rsidRPr="00BD16B4">
              <w:rPr>
                <w:szCs w:val="18"/>
              </w:rPr>
              <w:t>0.14</w:t>
            </w:r>
          </w:p>
        </w:tc>
        <w:tc>
          <w:tcPr>
            <w:tcW w:w="907" w:type="dxa"/>
            <w:tcBorders>
              <w:bottom w:val="single" w:sz="4" w:space="0" w:color="1B556B" w:themeColor="text2"/>
            </w:tcBorders>
            <w:shd w:val="clear" w:color="auto" w:fill="auto"/>
          </w:tcPr>
          <w:p w14:paraId="3F0DFA23" w14:textId="77777777" w:rsidR="00ED2EBD" w:rsidRPr="00BD16B4" w:rsidRDefault="00ED2EBD" w:rsidP="004A205F">
            <w:pPr>
              <w:pStyle w:val="TableText"/>
              <w:spacing w:before="40" w:after="40"/>
              <w:jc w:val="right"/>
              <w:rPr>
                <w:szCs w:val="18"/>
              </w:rPr>
            </w:pPr>
            <w:r w:rsidRPr="00BD16B4">
              <w:rPr>
                <w:szCs w:val="18"/>
              </w:rPr>
              <w:t>0.15</w:t>
            </w:r>
          </w:p>
        </w:tc>
        <w:tc>
          <w:tcPr>
            <w:tcW w:w="907" w:type="dxa"/>
            <w:tcBorders>
              <w:bottom w:val="single" w:sz="4" w:space="0" w:color="1B556B" w:themeColor="text2"/>
            </w:tcBorders>
            <w:shd w:val="clear" w:color="auto" w:fill="auto"/>
          </w:tcPr>
          <w:p w14:paraId="1641D5BA" w14:textId="77777777" w:rsidR="00ED2EBD" w:rsidRPr="00BD16B4" w:rsidRDefault="00ED2EBD" w:rsidP="004A205F">
            <w:pPr>
              <w:pStyle w:val="TableText"/>
              <w:spacing w:before="40" w:after="40"/>
              <w:jc w:val="right"/>
              <w:rPr>
                <w:szCs w:val="18"/>
              </w:rPr>
            </w:pPr>
            <w:r w:rsidRPr="00BD16B4">
              <w:rPr>
                <w:szCs w:val="18"/>
              </w:rPr>
              <w:t>0.18</w:t>
            </w:r>
          </w:p>
        </w:tc>
        <w:tc>
          <w:tcPr>
            <w:tcW w:w="907" w:type="dxa"/>
            <w:tcBorders>
              <w:bottom w:val="single" w:sz="4" w:space="0" w:color="1B556B" w:themeColor="text2"/>
            </w:tcBorders>
            <w:shd w:val="clear" w:color="auto" w:fill="auto"/>
          </w:tcPr>
          <w:p w14:paraId="76B0FF35" w14:textId="77777777" w:rsidR="00ED2EBD" w:rsidRPr="00BD16B4" w:rsidRDefault="00ED2EBD" w:rsidP="004A205F">
            <w:pPr>
              <w:pStyle w:val="TableText"/>
              <w:spacing w:before="40" w:after="40"/>
              <w:jc w:val="right"/>
              <w:rPr>
                <w:szCs w:val="18"/>
              </w:rPr>
            </w:pPr>
            <w:r w:rsidRPr="00BD16B4">
              <w:rPr>
                <w:szCs w:val="18"/>
              </w:rPr>
              <w:t>0.18</w:t>
            </w:r>
          </w:p>
        </w:tc>
      </w:tr>
      <w:tr w:rsidR="00ED2EBD" w:rsidRPr="00BD16B4" w14:paraId="1B740F91" w14:textId="77777777" w:rsidTr="004625B0">
        <w:tc>
          <w:tcPr>
            <w:tcW w:w="4106" w:type="dxa"/>
          </w:tcPr>
          <w:p w14:paraId="2AE0A815" w14:textId="1F17BC67" w:rsidR="00ED2EBD" w:rsidRPr="00BD16B4" w:rsidRDefault="00ED2EBD" w:rsidP="004A205F">
            <w:pPr>
              <w:pStyle w:val="TableText"/>
              <w:spacing w:before="40" w:after="40"/>
              <w:rPr>
                <w:szCs w:val="18"/>
              </w:rPr>
            </w:pPr>
            <w:r w:rsidRPr="00BD16B4">
              <w:rPr>
                <w:szCs w:val="18"/>
              </w:rPr>
              <w:t>H.</w:t>
            </w:r>
            <w:r w:rsidR="00280979" w:rsidRPr="00BD16B4">
              <w:rPr>
                <w:szCs w:val="18"/>
              </w:rPr>
              <w:t xml:space="preserve"> </w:t>
            </w:r>
            <w:r w:rsidRPr="00BD16B4">
              <w:rPr>
                <w:szCs w:val="18"/>
              </w:rPr>
              <w:t xml:space="preserve">Other </w:t>
            </w:r>
          </w:p>
        </w:tc>
        <w:tc>
          <w:tcPr>
            <w:tcW w:w="907" w:type="dxa"/>
            <w:tcBorders>
              <w:top w:val="single" w:sz="4" w:space="0" w:color="1B556B" w:themeColor="text2"/>
            </w:tcBorders>
            <w:shd w:val="clear" w:color="auto" w:fill="D2DDE1" w:themeFill="background2"/>
          </w:tcPr>
          <w:p w14:paraId="079CEDF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A63043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3A65F4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0A19C0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2EAA63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EF722E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A030E7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24E286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B7083A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676A8A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1300D1E" w14:textId="77777777" w:rsidR="00ED2EBD" w:rsidRPr="00BD16B4" w:rsidRDefault="00ED2EBD" w:rsidP="004A205F">
            <w:pPr>
              <w:pStyle w:val="TableText"/>
              <w:spacing w:before="40" w:after="40"/>
              <w:jc w:val="right"/>
              <w:rPr>
                <w:szCs w:val="18"/>
              </w:rPr>
            </w:pPr>
            <w:r w:rsidRPr="00BD16B4">
              <w:rPr>
                <w:color w:val="000000"/>
                <w:szCs w:val="18"/>
              </w:rPr>
              <w:t> </w:t>
            </w:r>
          </w:p>
        </w:tc>
      </w:tr>
      <w:tr w:rsidR="002A2A69" w:rsidRPr="00BD16B4" w14:paraId="3F8FB2CA" w14:textId="77777777" w:rsidTr="004625B0">
        <w:tc>
          <w:tcPr>
            <w:tcW w:w="4106" w:type="dxa"/>
          </w:tcPr>
          <w:p w14:paraId="4E85F515" w14:textId="564F2870" w:rsidR="00ED2EBD" w:rsidRPr="00BD16B4" w:rsidRDefault="00ED2EBD" w:rsidP="004A205F">
            <w:pPr>
              <w:pStyle w:val="TableText"/>
              <w:spacing w:before="40" w:after="40"/>
              <w:rPr>
                <w:szCs w:val="18"/>
              </w:rPr>
            </w:pPr>
            <w:r w:rsidRPr="00BD16B4">
              <w:rPr>
                <w:b/>
                <w:bCs/>
                <w:szCs w:val="18"/>
              </w:rPr>
              <w:t>3.</w:t>
            </w:r>
            <w:r w:rsidR="00280979" w:rsidRPr="00BD16B4">
              <w:rPr>
                <w:b/>
                <w:bCs/>
                <w:szCs w:val="18"/>
              </w:rPr>
              <w:t xml:space="preserve"> </w:t>
            </w:r>
            <w:r w:rsidRPr="00BD16B4">
              <w:rPr>
                <w:b/>
                <w:bCs/>
                <w:szCs w:val="18"/>
              </w:rPr>
              <w:t>Agriculture</w:t>
            </w:r>
          </w:p>
        </w:tc>
        <w:tc>
          <w:tcPr>
            <w:tcW w:w="907" w:type="dxa"/>
            <w:tcBorders>
              <w:bottom w:val="single" w:sz="4" w:space="0" w:color="1B556B" w:themeColor="text2"/>
            </w:tcBorders>
            <w:shd w:val="clear" w:color="auto" w:fill="auto"/>
          </w:tcPr>
          <w:p w14:paraId="04180471" w14:textId="77777777" w:rsidR="00ED2EBD" w:rsidRPr="00BD16B4" w:rsidRDefault="00ED2EBD" w:rsidP="004A205F">
            <w:pPr>
              <w:pStyle w:val="TableText"/>
              <w:spacing w:before="40" w:after="40"/>
              <w:jc w:val="right"/>
              <w:rPr>
                <w:szCs w:val="18"/>
              </w:rPr>
            </w:pPr>
            <w:r w:rsidRPr="00BD16B4">
              <w:rPr>
                <w:szCs w:val="18"/>
              </w:rPr>
              <w:t>20.86</w:t>
            </w:r>
          </w:p>
        </w:tc>
        <w:tc>
          <w:tcPr>
            <w:tcW w:w="907" w:type="dxa"/>
            <w:tcBorders>
              <w:bottom w:val="single" w:sz="4" w:space="0" w:color="1B556B" w:themeColor="text2"/>
            </w:tcBorders>
            <w:shd w:val="clear" w:color="auto" w:fill="auto"/>
          </w:tcPr>
          <w:p w14:paraId="286F266A" w14:textId="77777777" w:rsidR="00ED2EBD" w:rsidRPr="00BD16B4" w:rsidRDefault="00ED2EBD" w:rsidP="004A205F">
            <w:pPr>
              <w:pStyle w:val="TableText"/>
              <w:spacing w:before="40" w:after="40"/>
              <w:jc w:val="right"/>
              <w:rPr>
                <w:szCs w:val="18"/>
              </w:rPr>
            </w:pPr>
            <w:r w:rsidRPr="00BD16B4">
              <w:rPr>
                <w:szCs w:val="18"/>
              </w:rPr>
              <w:t>21.83</w:t>
            </w:r>
          </w:p>
        </w:tc>
        <w:tc>
          <w:tcPr>
            <w:tcW w:w="907" w:type="dxa"/>
            <w:tcBorders>
              <w:bottom w:val="single" w:sz="4" w:space="0" w:color="1B556B" w:themeColor="text2"/>
            </w:tcBorders>
            <w:shd w:val="clear" w:color="auto" w:fill="auto"/>
          </w:tcPr>
          <w:p w14:paraId="4B216F4C" w14:textId="77777777" w:rsidR="00ED2EBD" w:rsidRPr="00BD16B4" w:rsidRDefault="00ED2EBD" w:rsidP="004A205F">
            <w:pPr>
              <w:pStyle w:val="TableText"/>
              <w:spacing w:before="40" w:after="40"/>
              <w:jc w:val="right"/>
              <w:rPr>
                <w:szCs w:val="18"/>
              </w:rPr>
            </w:pPr>
            <w:r w:rsidRPr="00BD16B4">
              <w:rPr>
                <w:szCs w:val="18"/>
              </w:rPr>
              <w:t>23.06</w:t>
            </w:r>
          </w:p>
        </w:tc>
        <w:tc>
          <w:tcPr>
            <w:tcW w:w="907" w:type="dxa"/>
            <w:tcBorders>
              <w:bottom w:val="single" w:sz="4" w:space="0" w:color="1B556B" w:themeColor="text2"/>
            </w:tcBorders>
            <w:shd w:val="clear" w:color="auto" w:fill="auto"/>
          </w:tcPr>
          <w:p w14:paraId="5CB798B0" w14:textId="77777777" w:rsidR="00ED2EBD" w:rsidRPr="00BD16B4" w:rsidRDefault="00ED2EBD" w:rsidP="004A205F">
            <w:pPr>
              <w:pStyle w:val="TableText"/>
              <w:spacing w:before="40" w:after="40"/>
              <w:jc w:val="right"/>
              <w:rPr>
                <w:szCs w:val="18"/>
              </w:rPr>
            </w:pPr>
            <w:r w:rsidRPr="00BD16B4">
              <w:rPr>
                <w:szCs w:val="18"/>
              </w:rPr>
              <w:t>23.38</w:t>
            </w:r>
          </w:p>
        </w:tc>
        <w:tc>
          <w:tcPr>
            <w:tcW w:w="907" w:type="dxa"/>
            <w:tcBorders>
              <w:bottom w:val="single" w:sz="4" w:space="0" w:color="1B556B" w:themeColor="text2"/>
            </w:tcBorders>
            <w:shd w:val="clear" w:color="auto" w:fill="auto"/>
          </w:tcPr>
          <w:p w14:paraId="0A698F3A" w14:textId="77777777" w:rsidR="00ED2EBD" w:rsidRPr="00BD16B4" w:rsidRDefault="00ED2EBD" w:rsidP="004A205F">
            <w:pPr>
              <w:pStyle w:val="TableText"/>
              <w:spacing w:before="40" w:after="40"/>
              <w:jc w:val="right"/>
              <w:rPr>
                <w:szCs w:val="18"/>
              </w:rPr>
            </w:pPr>
            <w:r w:rsidRPr="00BD16B4">
              <w:rPr>
                <w:szCs w:val="18"/>
              </w:rPr>
              <w:t>24.21</w:t>
            </w:r>
          </w:p>
        </w:tc>
        <w:tc>
          <w:tcPr>
            <w:tcW w:w="907" w:type="dxa"/>
            <w:tcBorders>
              <w:bottom w:val="single" w:sz="4" w:space="0" w:color="1B556B" w:themeColor="text2"/>
            </w:tcBorders>
            <w:shd w:val="clear" w:color="auto" w:fill="auto"/>
          </w:tcPr>
          <w:p w14:paraId="0EA85E25" w14:textId="77777777" w:rsidR="00ED2EBD" w:rsidRPr="00BD16B4" w:rsidRDefault="00ED2EBD" w:rsidP="004A205F">
            <w:pPr>
              <w:pStyle w:val="TableText"/>
              <w:spacing w:before="40" w:after="40"/>
              <w:jc w:val="right"/>
              <w:rPr>
                <w:szCs w:val="18"/>
              </w:rPr>
            </w:pPr>
            <w:r w:rsidRPr="00BD16B4">
              <w:rPr>
                <w:szCs w:val="18"/>
              </w:rPr>
              <w:t>24.62</w:t>
            </w:r>
          </w:p>
        </w:tc>
        <w:tc>
          <w:tcPr>
            <w:tcW w:w="907" w:type="dxa"/>
            <w:tcBorders>
              <w:bottom w:val="single" w:sz="4" w:space="0" w:color="1B556B" w:themeColor="text2"/>
            </w:tcBorders>
            <w:shd w:val="clear" w:color="auto" w:fill="auto"/>
          </w:tcPr>
          <w:p w14:paraId="6C305C26" w14:textId="77777777" w:rsidR="00ED2EBD" w:rsidRPr="00BD16B4" w:rsidRDefault="00ED2EBD" w:rsidP="004A205F">
            <w:pPr>
              <w:pStyle w:val="TableText"/>
              <w:spacing w:before="40" w:after="40"/>
              <w:jc w:val="right"/>
              <w:rPr>
                <w:szCs w:val="18"/>
              </w:rPr>
            </w:pPr>
            <w:r w:rsidRPr="00BD16B4">
              <w:rPr>
                <w:szCs w:val="18"/>
              </w:rPr>
              <w:t>24.85</w:t>
            </w:r>
          </w:p>
        </w:tc>
        <w:tc>
          <w:tcPr>
            <w:tcW w:w="907" w:type="dxa"/>
            <w:tcBorders>
              <w:bottom w:val="single" w:sz="4" w:space="0" w:color="1B556B" w:themeColor="text2"/>
            </w:tcBorders>
            <w:shd w:val="clear" w:color="auto" w:fill="auto"/>
          </w:tcPr>
          <w:p w14:paraId="164C0C2D" w14:textId="77777777" w:rsidR="00ED2EBD" w:rsidRPr="00BD16B4" w:rsidRDefault="00ED2EBD" w:rsidP="004A205F">
            <w:pPr>
              <w:pStyle w:val="TableText"/>
              <w:spacing w:before="40" w:after="40"/>
              <w:jc w:val="right"/>
              <w:rPr>
                <w:szCs w:val="18"/>
              </w:rPr>
            </w:pPr>
            <w:r w:rsidRPr="00BD16B4">
              <w:rPr>
                <w:szCs w:val="18"/>
              </w:rPr>
              <w:t>24.20</w:t>
            </w:r>
          </w:p>
        </w:tc>
        <w:tc>
          <w:tcPr>
            <w:tcW w:w="907" w:type="dxa"/>
            <w:tcBorders>
              <w:bottom w:val="single" w:sz="4" w:space="0" w:color="1B556B" w:themeColor="text2"/>
            </w:tcBorders>
            <w:shd w:val="clear" w:color="auto" w:fill="auto"/>
          </w:tcPr>
          <w:p w14:paraId="7E7BE340" w14:textId="77777777" w:rsidR="00ED2EBD" w:rsidRPr="00BD16B4" w:rsidRDefault="00ED2EBD" w:rsidP="004A205F">
            <w:pPr>
              <w:pStyle w:val="TableText"/>
              <w:spacing w:before="40" w:after="40"/>
              <w:jc w:val="right"/>
              <w:rPr>
                <w:szCs w:val="18"/>
              </w:rPr>
            </w:pPr>
            <w:r w:rsidRPr="00BD16B4">
              <w:rPr>
                <w:szCs w:val="18"/>
              </w:rPr>
              <w:t>23.60</w:t>
            </w:r>
          </w:p>
        </w:tc>
        <w:tc>
          <w:tcPr>
            <w:tcW w:w="907" w:type="dxa"/>
            <w:tcBorders>
              <w:bottom w:val="single" w:sz="4" w:space="0" w:color="1B556B" w:themeColor="text2"/>
            </w:tcBorders>
            <w:shd w:val="clear" w:color="auto" w:fill="auto"/>
          </w:tcPr>
          <w:p w14:paraId="71CA0456" w14:textId="77777777" w:rsidR="00ED2EBD" w:rsidRPr="00BD16B4" w:rsidRDefault="00ED2EBD" w:rsidP="004A205F">
            <w:pPr>
              <w:pStyle w:val="TableText"/>
              <w:spacing w:before="40" w:after="40"/>
              <w:jc w:val="right"/>
              <w:rPr>
                <w:szCs w:val="18"/>
              </w:rPr>
            </w:pPr>
            <w:r w:rsidRPr="00BD16B4">
              <w:rPr>
                <w:szCs w:val="18"/>
              </w:rPr>
              <w:t>23.59</w:t>
            </w:r>
          </w:p>
        </w:tc>
        <w:tc>
          <w:tcPr>
            <w:tcW w:w="907" w:type="dxa"/>
            <w:tcBorders>
              <w:bottom w:val="single" w:sz="4" w:space="0" w:color="1B556B" w:themeColor="text2"/>
            </w:tcBorders>
            <w:shd w:val="clear" w:color="auto" w:fill="auto"/>
          </w:tcPr>
          <w:p w14:paraId="6E153B45" w14:textId="77777777" w:rsidR="00ED2EBD" w:rsidRPr="00BD16B4" w:rsidRDefault="00ED2EBD" w:rsidP="004A205F">
            <w:pPr>
              <w:pStyle w:val="TableText"/>
              <w:spacing w:before="40" w:after="40"/>
              <w:jc w:val="right"/>
              <w:rPr>
                <w:szCs w:val="18"/>
              </w:rPr>
            </w:pPr>
            <w:r w:rsidRPr="00BD16B4">
              <w:rPr>
                <w:szCs w:val="18"/>
              </w:rPr>
              <w:t>23.65</w:t>
            </w:r>
          </w:p>
        </w:tc>
      </w:tr>
      <w:tr w:rsidR="00ED2EBD" w:rsidRPr="00BD16B4" w14:paraId="0FFE53F4" w14:textId="77777777" w:rsidTr="004625B0">
        <w:tc>
          <w:tcPr>
            <w:tcW w:w="4106" w:type="dxa"/>
          </w:tcPr>
          <w:p w14:paraId="06CAB871" w14:textId="699EF7B1"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Enteric fermentation</w:t>
            </w:r>
          </w:p>
        </w:tc>
        <w:tc>
          <w:tcPr>
            <w:tcW w:w="907" w:type="dxa"/>
            <w:tcBorders>
              <w:top w:val="single" w:sz="4" w:space="0" w:color="1B556B" w:themeColor="text2"/>
            </w:tcBorders>
            <w:shd w:val="clear" w:color="auto" w:fill="D2DDE1" w:themeFill="background2"/>
          </w:tcPr>
          <w:p w14:paraId="2A127E5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285F81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88C844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1BC129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7218FB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D93DC3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C73F76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7E6366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5C2ECE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2075D0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F8943E4" w14:textId="77777777" w:rsidR="00ED2EBD" w:rsidRPr="00BD16B4" w:rsidRDefault="00ED2EBD" w:rsidP="004A205F">
            <w:pPr>
              <w:pStyle w:val="TableText"/>
              <w:spacing w:before="40" w:after="40"/>
              <w:jc w:val="right"/>
              <w:rPr>
                <w:szCs w:val="18"/>
              </w:rPr>
            </w:pPr>
            <w:r w:rsidRPr="00BD16B4">
              <w:rPr>
                <w:color w:val="000000"/>
                <w:szCs w:val="18"/>
              </w:rPr>
              <w:t> </w:t>
            </w:r>
          </w:p>
        </w:tc>
      </w:tr>
      <w:tr w:rsidR="002A2A69" w:rsidRPr="00BD16B4" w14:paraId="2E701CCB" w14:textId="77777777" w:rsidTr="004625B0">
        <w:tc>
          <w:tcPr>
            <w:tcW w:w="4106" w:type="dxa"/>
          </w:tcPr>
          <w:p w14:paraId="2AE76E1D" w14:textId="68C74C54"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Manure management</w:t>
            </w:r>
          </w:p>
        </w:tc>
        <w:tc>
          <w:tcPr>
            <w:tcW w:w="907" w:type="dxa"/>
            <w:tcBorders>
              <w:bottom w:val="single" w:sz="4" w:space="0" w:color="1B556B" w:themeColor="text2"/>
            </w:tcBorders>
            <w:shd w:val="clear" w:color="auto" w:fill="auto"/>
          </w:tcPr>
          <w:p w14:paraId="0B782A67" w14:textId="77777777" w:rsidR="00ED2EBD" w:rsidRPr="00BD16B4" w:rsidRDefault="00ED2EBD" w:rsidP="004A205F">
            <w:pPr>
              <w:pStyle w:val="TableText"/>
              <w:spacing w:before="40" w:after="40"/>
              <w:jc w:val="right"/>
              <w:rPr>
                <w:szCs w:val="18"/>
              </w:rPr>
            </w:pPr>
            <w:r w:rsidRPr="00BD16B4">
              <w:rPr>
                <w:szCs w:val="18"/>
              </w:rPr>
              <w:t>0.21</w:t>
            </w:r>
          </w:p>
        </w:tc>
        <w:tc>
          <w:tcPr>
            <w:tcW w:w="907" w:type="dxa"/>
            <w:tcBorders>
              <w:bottom w:val="single" w:sz="4" w:space="0" w:color="1B556B" w:themeColor="text2"/>
            </w:tcBorders>
            <w:shd w:val="clear" w:color="auto" w:fill="auto"/>
          </w:tcPr>
          <w:p w14:paraId="1BFF590F" w14:textId="77777777" w:rsidR="00ED2EBD" w:rsidRPr="00BD16B4" w:rsidRDefault="00ED2EBD" w:rsidP="004A205F">
            <w:pPr>
              <w:pStyle w:val="TableText"/>
              <w:spacing w:before="40" w:after="40"/>
              <w:jc w:val="right"/>
              <w:rPr>
                <w:szCs w:val="18"/>
              </w:rPr>
            </w:pPr>
            <w:r w:rsidRPr="00BD16B4">
              <w:rPr>
                <w:szCs w:val="18"/>
              </w:rPr>
              <w:t>0.22</w:t>
            </w:r>
          </w:p>
        </w:tc>
        <w:tc>
          <w:tcPr>
            <w:tcW w:w="907" w:type="dxa"/>
            <w:tcBorders>
              <w:bottom w:val="single" w:sz="4" w:space="0" w:color="1B556B" w:themeColor="text2"/>
            </w:tcBorders>
            <w:shd w:val="clear" w:color="auto" w:fill="auto"/>
          </w:tcPr>
          <w:p w14:paraId="2E084B4C" w14:textId="77777777" w:rsidR="00ED2EBD" w:rsidRPr="00BD16B4" w:rsidRDefault="00ED2EBD" w:rsidP="004A205F">
            <w:pPr>
              <w:pStyle w:val="TableText"/>
              <w:spacing w:before="40" w:after="40"/>
              <w:jc w:val="right"/>
              <w:rPr>
                <w:szCs w:val="18"/>
              </w:rPr>
            </w:pPr>
            <w:r w:rsidRPr="00BD16B4">
              <w:rPr>
                <w:szCs w:val="18"/>
              </w:rPr>
              <w:t>0.23</w:t>
            </w:r>
          </w:p>
        </w:tc>
        <w:tc>
          <w:tcPr>
            <w:tcW w:w="907" w:type="dxa"/>
            <w:tcBorders>
              <w:bottom w:val="single" w:sz="4" w:space="0" w:color="1B556B" w:themeColor="text2"/>
            </w:tcBorders>
            <w:shd w:val="clear" w:color="auto" w:fill="auto"/>
          </w:tcPr>
          <w:p w14:paraId="0F3D7AF4" w14:textId="77777777" w:rsidR="00ED2EBD" w:rsidRPr="00BD16B4" w:rsidRDefault="00ED2EBD" w:rsidP="004A205F">
            <w:pPr>
              <w:pStyle w:val="TableText"/>
              <w:spacing w:before="40" w:after="40"/>
              <w:jc w:val="right"/>
              <w:rPr>
                <w:szCs w:val="18"/>
              </w:rPr>
            </w:pPr>
            <w:r w:rsidRPr="00BD16B4">
              <w:rPr>
                <w:szCs w:val="18"/>
              </w:rPr>
              <w:t>0.23</w:t>
            </w:r>
          </w:p>
        </w:tc>
        <w:tc>
          <w:tcPr>
            <w:tcW w:w="907" w:type="dxa"/>
            <w:tcBorders>
              <w:bottom w:val="single" w:sz="4" w:space="0" w:color="1B556B" w:themeColor="text2"/>
            </w:tcBorders>
            <w:shd w:val="clear" w:color="auto" w:fill="auto"/>
          </w:tcPr>
          <w:p w14:paraId="44A29C09" w14:textId="77777777" w:rsidR="00ED2EBD" w:rsidRPr="00BD16B4" w:rsidRDefault="00ED2EBD" w:rsidP="004A205F">
            <w:pPr>
              <w:pStyle w:val="TableText"/>
              <w:spacing w:before="40" w:after="40"/>
              <w:jc w:val="right"/>
              <w:rPr>
                <w:szCs w:val="18"/>
              </w:rPr>
            </w:pPr>
            <w:r w:rsidRPr="00BD16B4">
              <w:rPr>
                <w:szCs w:val="18"/>
              </w:rPr>
              <w:t>0.25</w:t>
            </w:r>
          </w:p>
        </w:tc>
        <w:tc>
          <w:tcPr>
            <w:tcW w:w="907" w:type="dxa"/>
            <w:tcBorders>
              <w:bottom w:val="single" w:sz="4" w:space="0" w:color="1B556B" w:themeColor="text2"/>
            </w:tcBorders>
            <w:shd w:val="clear" w:color="auto" w:fill="auto"/>
          </w:tcPr>
          <w:p w14:paraId="2D48E45B" w14:textId="77777777" w:rsidR="00ED2EBD" w:rsidRPr="00BD16B4" w:rsidRDefault="00ED2EBD" w:rsidP="004A205F">
            <w:pPr>
              <w:pStyle w:val="TableText"/>
              <w:spacing w:before="40" w:after="40"/>
              <w:jc w:val="right"/>
              <w:rPr>
                <w:szCs w:val="18"/>
              </w:rPr>
            </w:pPr>
            <w:r w:rsidRPr="00BD16B4">
              <w:rPr>
                <w:szCs w:val="18"/>
              </w:rPr>
              <w:t>0.26</w:t>
            </w:r>
          </w:p>
        </w:tc>
        <w:tc>
          <w:tcPr>
            <w:tcW w:w="907" w:type="dxa"/>
            <w:tcBorders>
              <w:bottom w:val="single" w:sz="4" w:space="0" w:color="1B556B" w:themeColor="text2"/>
            </w:tcBorders>
            <w:shd w:val="clear" w:color="auto" w:fill="auto"/>
          </w:tcPr>
          <w:p w14:paraId="606D3DCA" w14:textId="77777777" w:rsidR="00ED2EBD" w:rsidRPr="00BD16B4" w:rsidRDefault="00ED2EBD" w:rsidP="004A205F">
            <w:pPr>
              <w:pStyle w:val="TableText"/>
              <w:spacing w:before="40" w:after="40"/>
              <w:jc w:val="right"/>
              <w:rPr>
                <w:szCs w:val="18"/>
              </w:rPr>
            </w:pPr>
            <w:r w:rsidRPr="00BD16B4">
              <w:rPr>
                <w:szCs w:val="18"/>
              </w:rPr>
              <w:t>0.26</w:t>
            </w:r>
          </w:p>
        </w:tc>
        <w:tc>
          <w:tcPr>
            <w:tcW w:w="907" w:type="dxa"/>
            <w:tcBorders>
              <w:bottom w:val="single" w:sz="4" w:space="0" w:color="1B556B" w:themeColor="text2"/>
            </w:tcBorders>
            <w:shd w:val="clear" w:color="auto" w:fill="auto"/>
          </w:tcPr>
          <w:p w14:paraId="59E85A34" w14:textId="77777777" w:rsidR="00ED2EBD" w:rsidRPr="00BD16B4" w:rsidRDefault="00ED2EBD" w:rsidP="004A205F">
            <w:pPr>
              <w:pStyle w:val="TableText"/>
              <w:spacing w:before="40" w:after="40"/>
              <w:jc w:val="right"/>
              <w:rPr>
                <w:szCs w:val="18"/>
              </w:rPr>
            </w:pPr>
            <w:r w:rsidRPr="00BD16B4">
              <w:rPr>
                <w:szCs w:val="18"/>
              </w:rPr>
              <w:t>0.26</w:t>
            </w:r>
          </w:p>
        </w:tc>
        <w:tc>
          <w:tcPr>
            <w:tcW w:w="907" w:type="dxa"/>
            <w:tcBorders>
              <w:bottom w:val="single" w:sz="4" w:space="0" w:color="1B556B" w:themeColor="text2"/>
            </w:tcBorders>
            <w:shd w:val="clear" w:color="auto" w:fill="auto"/>
          </w:tcPr>
          <w:p w14:paraId="41D96557" w14:textId="77777777" w:rsidR="00ED2EBD" w:rsidRPr="00BD16B4" w:rsidRDefault="00ED2EBD" w:rsidP="004A205F">
            <w:pPr>
              <w:pStyle w:val="TableText"/>
              <w:spacing w:before="40" w:after="40"/>
              <w:jc w:val="right"/>
              <w:rPr>
                <w:szCs w:val="18"/>
              </w:rPr>
            </w:pPr>
            <w:r w:rsidRPr="00BD16B4">
              <w:rPr>
                <w:szCs w:val="18"/>
              </w:rPr>
              <w:t>0.27</w:t>
            </w:r>
          </w:p>
        </w:tc>
        <w:tc>
          <w:tcPr>
            <w:tcW w:w="907" w:type="dxa"/>
            <w:tcBorders>
              <w:bottom w:val="single" w:sz="4" w:space="0" w:color="1B556B" w:themeColor="text2"/>
            </w:tcBorders>
            <w:shd w:val="clear" w:color="auto" w:fill="auto"/>
          </w:tcPr>
          <w:p w14:paraId="4C119C63" w14:textId="77777777" w:rsidR="00ED2EBD" w:rsidRPr="00BD16B4" w:rsidRDefault="00ED2EBD" w:rsidP="004A205F">
            <w:pPr>
              <w:pStyle w:val="TableText"/>
              <w:spacing w:before="40" w:after="40"/>
              <w:jc w:val="right"/>
              <w:rPr>
                <w:szCs w:val="18"/>
              </w:rPr>
            </w:pPr>
            <w:r w:rsidRPr="00BD16B4">
              <w:rPr>
                <w:szCs w:val="18"/>
              </w:rPr>
              <w:t>0.27</w:t>
            </w:r>
          </w:p>
        </w:tc>
        <w:tc>
          <w:tcPr>
            <w:tcW w:w="907" w:type="dxa"/>
            <w:tcBorders>
              <w:bottom w:val="single" w:sz="4" w:space="0" w:color="1B556B" w:themeColor="text2"/>
            </w:tcBorders>
            <w:shd w:val="clear" w:color="auto" w:fill="auto"/>
          </w:tcPr>
          <w:p w14:paraId="5AA95D60" w14:textId="77777777" w:rsidR="00ED2EBD" w:rsidRPr="00BD16B4" w:rsidRDefault="00ED2EBD" w:rsidP="004A205F">
            <w:pPr>
              <w:pStyle w:val="TableText"/>
              <w:spacing w:before="40" w:after="40"/>
              <w:jc w:val="right"/>
              <w:rPr>
                <w:szCs w:val="18"/>
              </w:rPr>
            </w:pPr>
            <w:r w:rsidRPr="00BD16B4">
              <w:rPr>
                <w:szCs w:val="18"/>
              </w:rPr>
              <w:t>0.29</w:t>
            </w:r>
          </w:p>
        </w:tc>
      </w:tr>
      <w:tr w:rsidR="00ED2EBD" w:rsidRPr="00BD16B4" w14:paraId="13820846" w14:textId="77777777" w:rsidTr="004625B0">
        <w:tc>
          <w:tcPr>
            <w:tcW w:w="4106" w:type="dxa"/>
          </w:tcPr>
          <w:p w14:paraId="1E0D6753" w14:textId="573DFD55"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Rice cultivation</w:t>
            </w:r>
          </w:p>
        </w:tc>
        <w:tc>
          <w:tcPr>
            <w:tcW w:w="907" w:type="dxa"/>
            <w:tcBorders>
              <w:top w:val="single" w:sz="4" w:space="0" w:color="1B556B" w:themeColor="text2"/>
            </w:tcBorders>
            <w:shd w:val="clear" w:color="auto" w:fill="D2DDE1" w:themeFill="background2"/>
          </w:tcPr>
          <w:p w14:paraId="03418AE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479CEA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FF8B7C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3AE399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DE492F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4E745F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7747AC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A9656B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48A90F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2E71FD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7BCDD49" w14:textId="77777777" w:rsidR="00ED2EBD" w:rsidRPr="00BD16B4" w:rsidRDefault="00ED2EBD" w:rsidP="004A205F">
            <w:pPr>
              <w:pStyle w:val="TableText"/>
              <w:spacing w:before="40" w:after="40"/>
              <w:jc w:val="right"/>
              <w:rPr>
                <w:szCs w:val="18"/>
              </w:rPr>
            </w:pPr>
            <w:r w:rsidRPr="00BD16B4">
              <w:rPr>
                <w:color w:val="000000"/>
                <w:szCs w:val="18"/>
              </w:rPr>
              <w:t> </w:t>
            </w:r>
          </w:p>
        </w:tc>
      </w:tr>
      <w:tr w:rsidR="002A2A69" w:rsidRPr="00BD16B4" w14:paraId="297DDB6C" w14:textId="77777777" w:rsidTr="004625B0">
        <w:tc>
          <w:tcPr>
            <w:tcW w:w="4106" w:type="dxa"/>
          </w:tcPr>
          <w:p w14:paraId="7E84153B" w14:textId="45748FCB" w:rsidR="00ED2EBD" w:rsidRPr="00BD16B4" w:rsidRDefault="00ED2EBD" w:rsidP="004A205F">
            <w:pPr>
              <w:pStyle w:val="TableText"/>
              <w:spacing w:before="40" w:after="40"/>
              <w:rPr>
                <w:szCs w:val="18"/>
              </w:rPr>
            </w:pPr>
            <w:r w:rsidRPr="00BD16B4">
              <w:rPr>
                <w:szCs w:val="18"/>
              </w:rPr>
              <w:t>D.</w:t>
            </w:r>
            <w:r w:rsidR="00280979" w:rsidRPr="00BD16B4">
              <w:rPr>
                <w:szCs w:val="18"/>
              </w:rPr>
              <w:t xml:space="preserve"> </w:t>
            </w:r>
            <w:r w:rsidRPr="00BD16B4">
              <w:rPr>
                <w:szCs w:val="18"/>
              </w:rPr>
              <w:t>Agricultural soils</w:t>
            </w:r>
          </w:p>
        </w:tc>
        <w:tc>
          <w:tcPr>
            <w:tcW w:w="907" w:type="dxa"/>
            <w:shd w:val="clear" w:color="auto" w:fill="auto"/>
          </w:tcPr>
          <w:p w14:paraId="2C2F744B" w14:textId="77777777" w:rsidR="00ED2EBD" w:rsidRPr="00BD16B4" w:rsidRDefault="00ED2EBD" w:rsidP="004A205F">
            <w:pPr>
              <w:pStyle w:val="TableText"/>
              <w:spacing w:before="40" w:after="40"/>
              <w:jc w:val="right"/>
              <w:rPr>
                <w:szCs w:val="18"/>
              </w:rPr>
            </w:pPr>
            <w:r w:rsidRPr="00BD16B4">
              <w:rPr>
                <w:szCs w:val="18"/>
              </w:rPr>
              <w:t>20.64</w:t>
            </w:r>
          </w:p>
        </w:tc>
        <w:tc>
          <w:tcPr>
            <w:tcW w:w="907" w:type="dxa"/>
            <w:shd w:val="clear" w:color="auto" w:fill="auto"/>
          </w:tcPr>
          <w:p w14:paraId="338D1E77" w14:textId="77777777" w:rsidR="00ED2EBD" w:rsidRPr="00BD16B4" w:rsidRDefault="00ED2EBD" w:rsidP="004A205F">
            <w:pPr>
              <w:pStyle w:val="TableText"/>
              <w:spacing w:before="40" w:after="40"/>
              <w:jc w:val="right"/>
              <w:rPr>
                <w:szCs w:val="18"/>
              </w:rPr>
            </w:pPr>
            <w:r w:rsidRPr="00BD16B4">
              <w:rPr>
                <w:szCs w:val="18"/>
              </w:rPr>
              <w:t>21.59</w:t>
            </w:r>
          </w:p>
        </w:tc>
        <w:tc>
          <w:tcPr>
            <w:tcW w:w="907" w:type="dxa"/>
            <w:shd w:val="clear" w:color="auto" w:fill="auto"/>
          </w:tcPr>
          <w:p w14:paraId="47D67E11" w14:textId="77777777" w:rsidR="00ED2EBD" w:rsidRPr="00BD16B4" w:rsidRDefault="00ED2EBD" w:rsidP="004A205F">
            <w:pPr>
              <w:pStyle w:val="TableText"/>
              <w:spacing w:before="40" w:after="40"/>
              <w:jc w:val="right"/>
              <w:rPr>
                <w:szCs w:val="18"/>
              </w:rPr>
            </w:pPr>
            <w:r w:rsidRPr="00BD16B4">
              <w:rPr>
                <w:szCs w:val="18"/>
              </w:rPr>
              <w:t>22.81</w:t>
            </w:r>
          </w:p>
        </w:tc>
        <w:tc>
          <w:tcPr>
            <w:tcW w:w="907" w:type="dxa"/>
            <w:shd w:val="clear" w:color="auto" w:fill="auto"/>
          </w:tcPr>
          <w:p w14:paraId="0AAF2CEB" w14:textId="77777777" w:rsidR="00ED2EBD" w:rsidRPr="00BD16B4" w:rsidRDefault="00ED2EBD" w:rsidP="004A205F">
            <w:pPr>
              <w:pStyle w:val="TableText"/>
              <w:spacing w:before="40" w:after="40"/>
              <w:jc w:val="right"/>
              <w:rPr>
                <w:szCs w:val="18"/>
              </w:rPr>
            </w:pPr>
            <w:r w:rsidRPr="00BD16B4">
              <w:rPr>
                <w:szCs w:val="18"/>
              </w:rPr>
              <w:t>23.13</w:t>
            </w:r>
          </w:p>
        </w:tc>
        <w:tc>
          <w:tcPr>
            <w:tcW w:w="907" w:type="dxa"/>
            <w:shd w:val="clear" w:color="auto" w:fill="auto"/>
          </w:tcPr>
          <w:p w14:paraId="7D5AE592" w14:textId="77777777" w:rsidR="00ED2EBD" w:rsidRPr="00BD16B4" w:rsidRDefault="00ED2EBD" w:rsidP="004A205F">
            <w:pPr>
              <w:pStyle w:val="TableText"/>
              <w:spacing w:before="40" w:after="40"/>
              <w:jc w:val="right"/>
              <w:rPr>
                <w:szCs w:val="18"/>
              </w:rPr>
            </w:pPr>
            <w:r w:rsidRPr="00BD16B4">
              <w:rPr>
                <w:szCs w:val="18"/>
              </w:rPr>
              <w:t>23.94</w:t>
            </w:r>
          </w:p>
        </w:tc>
        <w:tc>
          <w:tcPr>
            <w:tcW w:w="907" w:type="dxa"/>
            <w:shd w:val="clear" w:color="auto" w:fill="auto"/>
          </w:tcPr>
          <w:p w14:paraId="232606B4" w14:textId="77777777" w:rsidR="00ED2EBD" w:rsidRPr="00BD16B4" w:rsidRDefault="00ED2EBD" w:rsidP="004A205F">
            <w:pPr>
              <w:pStyle w:val="TableText"/>
              <w:spacing w:before="40" w:after="40"/>
              <w:jc w:val="right"/>
              <w:rPr>
                <w:szCs w:val="18"/>
              </w:rPr>
            </w:pPr>
            <w:r w:rsidRPr="00BD16B4">
              <w:rPr>
                <w:szCs w:val="18"/>
              </w:rPr>
              <w:t>24.35</w:t>
            </w:r>
          </w:p>
        </w:tc>
        <w:tc>
          <w:tcPr>
            <w:tcW w:w="907" w:type="dxa"/>
            <w:shd w:val="clear" w:color="auto" w:fill="auto"/>
          </w:tcPr>
          <w:p w14:paraId="04DBFA31" w14:textId="77777777" w:rsidR="00ED2EBD" w:rsidRPr="00BD16B4" w:rsidRDefault="00ED2EBD" w:rsidP="004A205F">
            <w:pPr>
              <w:pStyle w:val="TableText"/>
              <w:spacing w:before="40" w:after="40"/>
              <w:jc w:val="right"/>
              <w:rPr>
                <w:szCs w:val="18"/>
              </w:rPr>
            </w:pPr>
            <w:r w:rsidRPr="00BD16B4">
              <w:rPr>
                <w:szCs w:val="18"/>
              </w:rPr>
              <w:t>24.58</w:t>
            </w:r>
          </w:p>
        </w:tc>
        <w:tc>
          <w:tcPr>
            <w:tcW w:w="907" w:type="dxa"/>
            <w:shd w:val="clear" w:color="auto" w:fill="auto"/>
          </w:tcPr>
          <w:p w14:paraId="0619D244" w14:textId="77777777" w:rsidR="00ED2EBD" w:rsidRPr="00BD16B4" w:rsidRDefault="00ED2EBD" w:rsidP="004A205F">
            <w:pPr>
              <w:pStyle w:val="TableText"/>
              <w:spacing w:before="40" w:after="40"/>
              <w:jc w:val="right"/>
              <w:rPr>
                <w:szCs w:val="18"/>
              </w:rPr>
            </w:pPr>
            <w:r w:rsidRPr="00BD16B4">
              <w:rPr>
                <w:szCs w:val="18"/>
              </w:rPr>
              <w:t>23.92</w:t>
            </w:r>
          </w:p>
        </w:tc>
        <w:tc>
          <w:tcPr>
            <w:tcW w:w="907" w:type="dxa"/>
            <w:shd w:val="clear" w:color="auto" w:fill="auto"/>
          </w:tcPr>
          <w:p w14:paraId="27A4317A" w14:textId="77777777" w:rsidR="00ED2EBD" w:rsidRPr="00BD16B4" w:rsidRDefault="00ED2EBD" w:rsidP="004A205F">
            <w:pPr>
              <w:pStyle w:val="TableText"/>
              <w:spacing w:before="40" w:after="40"/>
              <w:jc w:val="right"/>
              <w:rPr>
                <w:szCs w:val="18"/>
              </w:rPr>
            </w:pPr>
            <w:r w:rsidRPr="00BD16B4">
              <w:rPr>
                <w:szCs w:val="18"/>
              </w:rPr>
              <w:t>23.31</w:t>
            </w:r>
          </w:p>
        </w:tc>
        <w:tc>
          <w:tcPr>
            <w:tcW w:w="907" w:type="dxa"/>
            <w:shd w:val="clear" w:color="auto" w:fill="auto"/>
          </w:tcPr>
          <w:p w14:paraId="610AE6B1" w14:textId="77777777" w:rsidR="00ED2EBD" w:rsidRPr="00BD16B4" w:rsidRDefault="00ED2EBD" w:rsidP="004A205F">
            <w:pPr>
              <w:pStyle w:val="TableText"/>
              <w:spacing w:before="40" w:after="40"/>
              <w:jc w:val="right"/>
              <w:rPr>
                <w:szCs w:val="18"/>
              </w:rPr>
            </w:pPr>
            <w:r w:rsidRPr="00BD16B4">
              <w:rPr>
                <w:szCs w:val="18"/>
              </w:rPr>
              <w:t>23.30</w:t>
            </w:r>
          </w:p>
        </w:tc>
        <w:tc>
          <w:tcPr>
            <w:tcW w:w="907" w:type="dxa"/>
            <w:shd w:val="clear" w:color="auto" w:fill="auto"/>
          </w:tcPr>
          <w:p w14:paraId="7A40F82D" w14:textId="77777777" w:rsidR="00ED2EBD" w:rsidRPr="00BD16B4" w:rsidRDefault="00ED2EBD" w:rsidP="004A205F">
            <w:pPr>
              <w:pStyle w:val="TableText"/>
              <w:spacing w:before="40" w:after="40"/>
              <w:jc w:val="right"/>
              <w:rPr>
                <w:szCs w:val="18"/>
              </w:rPr>
            </w:pPr>
            <w:r w:rsidRPr="00BD16B4">
              <w:rPr>
                <w:szCs w:val="18"/>
              </w:rPr>
              <w:t>23.35</w:t>
            </w:r>
          </w:p>
        </w:tc>
      </w:tr>
      <w:tr w:rsidR="002A2A69" w:rsidRPr="00BD16B4" w14:paraId="60B5C3BB" w14:textId="77777777" w:rsidTr="004625B0">
        <w:tc>
          <w:tcPr>
            <w:tcW w:w="4106" w:type="dxa"/>
          </w:tcPr>
          <w:p w14:paraId="5C57887D" w14:textId="2C677B9B"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Prescribed burning of savannas</w:t>
            </w:r>
          </w:p>
        </w:tc>
        <w:tc>
          <w:tcPr>
            <w:tcW w:w="907" w:type="dxa"/>
            <w:shd w:val="clear" w:color="auto" w:fill="auto"/>
          </w:tcPr>
          <w:p w14:paraId="251BFD7A"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3DD7F189"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2059E1CC"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33381E76"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0AF5560F"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00F331FA"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0CD103F6"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4991BA6D"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76A9C691"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6A339E76" w14:textId="77777777" w:rsidR="00ED2EBD" w:rsidRPr="00BD16B4" w:rsidRDefault="00ED2EBD" w:rsidP="004A205F">
            <w:pPr>
              <w:pStyle w:val="TableText"/>
              <w:spacing w:before="40" w:after="40"/>
              <w:jc w:val="right"/>
              <w:rPr>
                <w:szCs w:val="18"/>
              </w:rPr>
            </w:pPr>
            <w:r w:rsidRPr="00BD16B4">
              <w:rPr>
                <w:szCs w:val="18"/>
              </w:rPr>
              <w:t>IE</w:t>
            </w:r>
          </w:p>
        </w:tc>
        <w:tc>
          <w:tcPr>
            <w:tcW w:w="907" w:type="dxa"/>
            <w:shd w:val="clear" w:color="auto" w:fill="auto"/>
          </w:tcPr>
          <w:p w14:paraId="59530363" w14:textId="77777777" w:rsidR="00ED2EBD" w:rsidRPr="00BD16B4" w:rsidRDefault="00ED2EBD" w:rsidP="004A205F">
            <w:pPr>
              <w:pStyle w:val="TableText"/>
              <w:spacing w:before="40" w:after="40"/>
              <w:jc w:val="right"/>
              <w:rPr>
                <w:szCs w:val="18"/>
              </w:rPr>
            </w:pPr>
            <w:r w:rsidRPr="00BD16B4">
              <w:rPr>
                <w:szCs w:val="18"/>
              </w:rPr>
              <w:t>IE</w:t>
            </w:r>
          </w:p>
        </w:tc>
      </w:tr>
      <w:tr w:rsidR="002A2A69" w:rsidRPr="00BD16B4" w14:paraId="18185992" w14:textId="77777777" w:rsidTr="004625B0">
        <w:tc>
          <w:tcPr>
            <w:tcW w:w="4106" w:type="dxa"/>
          </w:tcPr>
          <w:p w14:paraId="3822C3D0" w14:textId="56A80358" w:rsidR="00ED2EBD" w:rsidRPr="00BD16B4" w:rsidRDefault="00ED2EBD" w:rsidP="004A205F">
            <w:pPr>
              <w:pStyle w:val="TableText"/>
              <w:spacing w:before="40" w:after="40"/>
              <w:rPr>
                <w:szCs w:val="18"/>
              </w:rPr>
            </w:pPr>
            <w:r w:rsidRPr="00BD16B4">
              <w:rPr>
                <w:szCs w:val="18"/>
              </w:rPr>
              <w:t>F.</w:t>
            </w:r>
            <w:r w:rsidR="00280979" w:rsidRPr="00BD16B4">
              <w:rPr>
                <w:szCs w:val="18"/>
              </w:rPr>
              <w:t xml:space="preserve"> </w:t>
            </w:r>
            <w:r w:rsidRPr="00BD16B4">
              <w:rPr>
                <w:szCs w:val="18"/>
              </w:rPr>
              <w:t>Field burning of agricultural residues</w:t>
            </w:r>
          </w:p>
        </w:tc>
        <w:tc>
          <w:tcPr>
            <w:tcW w:w="907" w:type="dxa"/>
            <w:tcBorders>
              <w:bottom w:val="single" w:sz="4" w:space="0" w:color="1B556B" w:themeColor="text2"/>
            </w:tcBorders>
            <w:shd w:val="clear" w:color="auto" w:fill="auto"/>
          </w:tcPr>
          <w:p w14:paraId="28BEC51A" w14:textId="77777777" w:rsidR="00ED2EBD" w:rsidRPr="00BD16B4" w:rsidRDefault="00ED2EBD" w:rsidP="004A205F">
            <w:pPr>
              <w:pStyle w:val="TableText"/>
              <w:spacing w:before="40" w:after="40"/>
              <w:jc w:val="right"/>
              <w:rPr>
                <w:szCs w:val="18"/>
              </w:rPr>
            </w:pPr>
            <w:r w:rsidRPr="00BD16B4">
              <w:rPr>
                <w:szCs w:val="18"/>
              </w:rPr>
              <w:t>0.02</w:t>
            </w:r>
          </w:p>
        </w:tc>
        <w:tc>
          <w:tcPr>
            <w:tcW w:w="907" w:type="dxa"/>
            <w:tcBorders>
              <w:bottom w:val="single" w:sz="4" w:space="0" w:color="1B556B" w:themeColor="text2"/>
            </w:tcBorders>
            <w:shd w:val="clear" w:color="auto" w:fill="auto"/>
          </w:tcPr>
          <w:p w14:paraId="399C3550" w14:textId="77777777" w:rsidR="00ED2EBD" w:rsidRPr="00BD16B4" w:rsidRDefault="00ED2EBD" w:rsidP="004A205F">
            <w:pPr>
              <w:pStyle w:val="TableText"/>
              <w:spacing w:before="40" w:after="40"/>
              <w:jc w:val="right"/>
              <w:rPr>
                <w:szCs w:val="18"/>
              </w:rPr>
            </w:pPr>
            <w:r w:rsidRPr="00BD16B4">
              <w:rPr>
                <w:szCs w:val="18"/>
              </w:rPr>
              <w:t>0.02</w:t>
            </w:r>
          </w:p>
        </w:tc>
        <w:tc>
          <w:tcPr>
            <w:tcW w:w="907" w:type="dxa"/>
            <w:tcBorders>
              <w:bottom w:val="single" w:sz="4" w:space="0" w:color="1B556B" w:themeColor="text2"/>
            </w:tcBorders>
            <w:shd w:val="clear" w:color="auto" w:fill="auto"/>
          </w:tcPr>
          <w:p w14:paraId="38B600C0" w14:textId="77777777" w:rsidR="00ED2EBD" w:rsidRPr="00BD16B4" w:rsidRDefault="00ED2EBD" w:rsidP="004A205F">
            <w:pPr>
              <w:pStyle w:val="TableText"/>
              <w:spacing w:before="40" w:after="40"/>
              <w:jc w:val="right"/>
              <w:rPr>
                <w:szCs w:val="18"/>
              </w:rPr>
            </w:pPr>
            <w:r w:rsidRPr="00BD16B4">
              <w:rPr>
                <w:szCs w:val="18"/>
              </w:rPr>
              <w:t>0.02</w:t>
            </w:r>
          </w:p>
        </w:tc>
        <w:tc>
          <w:tcPr>
            <w:tcW w:w="907" w:type="dxa"/>
            <w:tcBorders>
              <w:bottom w:val="single" w:sz="4" w:space="0" w:color="1B556B" w:themeColor="text2"/>
            </w:tcBorders>
            <w:shd w:val="clear" w:color="auto" w:fill="auto"/>
          </w:tcPr>
          <w:p w14:paraId="3947928D" w14:textId="77777777" w:rsidR="00ED2EBD" w:rsidRPr="00BD16B4" w:rsidRDefault="00ED2EBD" w:rsidP="004A205F">
            <w:pPr>
              <w:pStyle w:val="TableText"/>
              <w:spacing w:before="40" w:after="40"/>
              <w:jc w:val="right"/>
              <w:rPr>
                <w:szCs w:val="18"/>
              </w:rPr>
            </w:pPr>
            <w:r w:rsidRPr="00BD16B4">
              <w:rPr>
                <w:szCs w:val="18"/>
              </w:rPr>
              <w:t>0.02</w:t>
            </w:r>
          </w:p>
        </w:tc>
        <w:tc>
          <w:tcPr>
            <w:tcW w:w="907" w:type="dxa"/>
            <w:tcBorders>
              <w:bottom w:val="single" w:sz="4" w:space="0" w:color="1B556B" w:themeColor="text2"/>
            </w:tcBorders>
            <w:shd w:val="clear" w:color="auto" w:fill="auto"/>
          </w:tcPr>
          <w:p w14:paraId="09CE0C09" w14:textId="77777777" w:rsidR="00ED2EBD" w:rsidRPr="00BD16B4" w:rsidRDefault="00ED2EBD" w:rsidP="004A205F">
            <w:pPr>
              <w:pStyle w:val="TableText"/>
              <w:spacing w:before="40" w:after="40"/>
              <w:jc w:val="right"/>
              <w:rPr>
                <w:szCs w:val="18"/>
              </w:rPr>
            </w:pPr>
            <w:r w:rsidRPr="00BD16B4">
              <w:rPr>
                <w:szCs w:val="18"/>
              </w:rPr>
              <w:t>0.02</w:t>
            </w:r>
          </w:p>
        </w:tc>
        <w:tc>
          <w:tcPr>
            <w:tcW w:w="907" w:type="dxa"/>
            <w:tcBorders>
              <w:bottom w:val="single" w:sz="4" w:space="0" w:color="1B556B" w:themeColor="text2"/>
            </w:tcBorders>
            <w:shd w:val="clear" w:color="auto" w:fill="auto"/>
          </w:tcPr>
          <w:p w14:paraId="40B05C75" w14:textId="77777777" w:rsidR="00ED2EBD" w:rsidRPr="00BD16B4" w:rsidRDefault="00ED2EBD" w:rsidP="004A205F">
            <w:pPr>
              <w:pStyle w:val="TableText"/>
              <w:spacing w:before="40" w:after="40"/>
              <w:jc w:val="right"/>
              <w:rPr>
                <w:szCs w:val="18"/>
              </w:rPr>
            </w:pPr>
            <w:r w:rsidRPr="00BD16B4">
              <w:rPr>
                <w:szCs w:val="18"/>
              </w:rPr>
              <w:t>0.01</w:t>
            </w:r>
          </w:p>
        </w:tc>
        <w:tc>
          <w:tcPr>
            <w:tcW w:w="907" w:type="dxa"/>
            <w:tcBorders>
              <w:bottom w:val="single" w:sz="4" w:space="0" w:color="1B556B" w:themeColor="text2"/>
            </w:tcBorders>
            <w:shd w:val="clear" w:color="auto" w:fill="auto"/>
          </w:tcPr>
          <w:p w14:paraId="48D7CE45" w14:textId="77777777" w:rsidR="00ED2EBD" w:rsidRPr="00BD16B4" w:rsidRDefault="00ED2EBD" w:rsidP="004A205F">
            <w:pPr>
              <w:pStyle w:val="TableText"/>
              <w:spacing w:before="40" w:after="40"/>
              <w:jc w:val="right"/>
              <w:rPr>
                <w:szCs w:val="18"/>
              </w:rPr>
            </w:pPr>
            <w:r w:rsidRPr="00BD16B4">
              <w:rPr>
                <w:szCs w:val="18"/>
              </w:rPr>
              <w:t>0.02</w:t>
            </w:r>
          </w:p>
        </w:tc>
        <w:tc>
          <w:tcPr>
            <w:tcW w:w="907" w:type="dxa"/>
            <w:tcBorders>
              <w:bottom w:val="single" w:sz="4" w:space="0" w:color="1B556B" w:themeColor="text2"/>
            </w:tcBorders>
            <w:shd w:val="clear" w:color="auto" w:fill="auto"/>
          </w:tcPr>
          <w:p w14:paraId="1A10F7C6" w14:textId="77777777" w:rsidR="00ED2EBD" w:rsidRPr="00BD16B4" w:rsidRDefault="00ED2EBD" w:rsidP="004A205F">
            <w:pPr>
              <w:pStyle w:val="TableText"/>
              <w:spacing w:before="40" w:after="40"/>
              <w:jc w:val="right"/>
              <w:rPr>
                <w:szCs w:val="18"/>
              </w:rPr>
            </w:pPr>
            <w:r w:rsidRPr="00BD16B4">
              <w:rPr>
                <w:szCs w:val="18"/>
              </w:rPr>
              <w:t>0.01</w:t>
            </w:r>
          </w:p>
        </w:tc>
        <w:tc>
          <w:tcPr>
            <w:tcW w:w="907" w:type="dxa"/>
            <w:tcBorders>
              <w:bottom w:val="single" w:sz="4" w:space="0" w:color="1B556B" w:themeColor="text2"/>
            </w:tcBorders>
            <w:shd w:val="clear" w:color="auto" w:fill="auto"/>
          </w:tcPr>
          <w:p w14:paraId="17FE1E14" w14:textId="77777777" w:rsidR="00ED2EBD" w:rsidRPr="00BD16B4" w:rsidRDefault="00ED2EBD" w:rsidP="004A205F">
            <w:pPr>
              <w:pStyle w:val="TableText"/>
              <w:spacing w:before="40" w:after="40"/>
              <w:jc w:val="right"/>
              <w:rPr>
                <w:szCs w:val="18"/>
              </w:rPr>
            </w:pPr>
            <w:r w:rsidRPr="00BD16B4">
              <w:rPr>
                <w:szCs w:val="18"/>
              </w:rPr>
              <w:t>0.02</w:t>
            </w:r>
          </w:p>
        </w:tc>
        <w:tc>
          <w:tcPr>
            <w:tcW w:w="907" w:type="dxa"/>
            <w:tcBorders>
              <w:bottom w:val="single" w:sz="4" w:space="0" w:color="1B556B" w:themeColor="text2"/>
            </w:tcBorders>
            <w:shd w:val="clear" w:color="auto" w:fill="auto"/>
          </w:tcPr>
          <w:p w14:paraId="0AD4B31F" w14:textId="77777777" w:rsidR="00ED2EBD" w:rsidRPr="00BD16B4" w:rsidRDefault="00ED2EBD" w:rsidP="004A205F">
            <w:pPr>
              <w:pStyle w:val="TableText"/>
              <w:spacing w:before="40" w:after="40"/>
              <w:jc w:val="right"/>
              <w:rPr>
                <w:szCs w:val="18"/>
              </w:rPr>
            </w:pPr>
            <w:r w:rsidRPr="00BD16B4">
              <w:rPr>
                <w:szCs w:val="18"/>
              </w:rPr>
              <w:t>0.01</w:t>
            </w:r>
          </w:p>
        </w:tc>
        <w:tc>
          <w:tcPr>
            <w:tcW w:w="907" w:type="dxa"/>
            <w:tcBorders>
              <w:bottom w:val="single" w:sz="4" w:space="0" w:color="1B556B" w:themeColor="text2"/>
            </w:tcBorders>
            <w:shd w:val="clear" w:color="auto" w:fill="auto"/>
          </w:tcPr>
          <w:p w14:paraId="1CE8552D" w14:textId="77777777" w:rsidR="00ED2EBD" w:rsidRPr="00BD16B4" w:rsidRDefault="00ED2EBD" w:rsidP="004A205F">
            <w:pPr>
              <w:pStyle w:val="TableText"/>
              <w:spacing w:before="40" w:after="40"/>
              <w:jc w:val="right"/>
              <w:rPr>
                <w:szCs w:val="18"/>
              </w:rPr>
            </w:pPr>
            <w:r w:rsidRPr="00BD16B4">
              <w:rPr>
                <w:szCs w:val="18"/>
              </w:rPr>
              <w:t>0.01</w:t>
            </w:r>
          </w:p>
        </w:tc>
      </w:tr>
      <w:tr w:rsidR="00ED2EBD" w:rsidRPr="00BD16B4" w14:paraId="251BC2E0" w14:textId="77777777" w:rsidTr="004625B0">
        <w:tc>
          <w:tcPr>
            <w:tcW w:w="4106" w:type="dxa"/>
          </w:tcPr>
          <w:p w14:paraId="7930EEAF" w14:textId="21B6BB45" w:rsidR="00ED2EBD" w:rsidRPr="00BD16B4" w:rsidRDefault="00ED2EBD" w:rsidP="004A205F">
            <w:pPr>
              <w:pStyle w:val="TableText"/>
              <w:spacing w:before="40" w:after="40"/>
              <w:rPr>
                <w:szCs w:val="18"/>
              </w:rPr>
            </w:pPr>
            <w:r w:rsidRPr="00BD16B4">
              <w:rPr>
                <w:szCs w:val="18"/>
              </w:rPr>
              <w:t>G.</w:t>
            </w:r>
            <w:r w:rsidR="00280979" w:rsidRPr="00BD16B4">
              <w:rPr>
                <w:szCs w:val="18"/>
              </w:rPr>
              <w:t xml:space="preserve"> </w:t>
            </w:r>
            <w:r w:rsidRPr="00BD16B4">
              <w:rPr>
                <w:szCs w:val="18"/>
              </w:rPr>
              <w:t>Liming</w:t>
            </w:r>
          </w:p>
        </w:tc>
        <w:tc>
          <w:tcPr>
            <w:tcW w:w="907" w:type="dxa"/>
            <w:tcBorders>
              <w:top w:val="single" w:sz="4" w:space="0" w:color="1B556B" w:themeColor="text2"/>
            </w:tcBorders>
            <w:shd w:val="clear" w:color="auto" w:fill="D2DDE1" w:themeFill="background2"/>
          </w:tcPr>
          <w:p w14:paraId="654195B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018E40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5F1690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95785D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DB56D0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424980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AE959B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52400E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1443B1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19BEDFF"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606273B"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266A875A" w14:textId="77777777" w:rsidTr="004625B0">
        <w:tc>
          <w:tcPr>
            <w:tcW w:w="4106" w:type="dxa"/>
          </w:tcPr>
          <w:p w14:paraId="350FC6F2" w14:textId="4732F0C0" w:rsidR="00ED2EBD" w:rsidRPr="00BD16B4" w:rsidRDefault="00ED2EBD" w:rsidP="004A205F">
            <w:pPr>
              <w:pStyle w:val="TableText"/>
              <w:spacing w:before="40" w:after="40"/>
              <w:rPr>
                <w:szCs w:val="18"/>
              </w:rPr>
            </w:pPr>
            <w:r w:rsidRPr="00BD16B4">
              <w:rPr>
                <w:szCs w:val="18"/>
              </w:rPr>
              <w:t>H.</w:t>
            </w:r>
            <w:r w:rsidR="00280979" w:rsidRPr="00BD16B4">
              <w:rPr>
                <w:szCs w:val="18"/>
              </w:rPr>
              <w:t xml:space="preserve"> </w:t>
            </w:r>
            <w:r w:rsidRPr="00BD16B4">
              <w:rPr>
                <w:szCs w:val="18"/>
              </w:rPr>
              <w:t>Urea application</w:t>
            </w:r>
          </w:p>
        </w:tc>
        <w:tc>
          <w:tcPr>
            <w:tcW w:w="907" w:type="dxa"/>
            <w:tcBorders>
              <w:top w:val="single" w:sz="4" w:space="0" w:color="1B556B" w:themeColor="text2"/>
            </w:tcBorders>
            <w:shd w:val="clear" w:color="auto" w:fill="D2DDE1" w:themeFill="background2"/>
          </w:tcPr>
          <w:p w14:paraId="394FF4E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B73043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6761BC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C13B08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A67F6B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170DC3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1BD0EF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CF4ADB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1B8387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35B0CE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70B4534"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4C5CDB5D" w14:textId="77777777" w:rsidTr="004625B0">
        <w:tc>
          <w:tcPr>
            <w:tcW w:w="4106" w:type="dxa"/>
          </w:tcPr>
          <w:p w14:paraId="5FD748A8" w14:textId="37A63591" w:rsidR="00ED2EBD" w:rsidRPr="00BD16B4" w:rsidRDefault="00ED2EBD" w:rsidP="004A205F">
            <w:pPr>
              <w:pStyle w:val="TableText"/>
              <w:spacing w:before="40" w:after="40"/>
              <w:rPr>
                <w:szCs w:val="18"/>
              </w:rPr>
            </w:pPr>
            <w:r w:rsidRPr="00BD16B4">
              <w:rPr>
                <w:szCs w:val="18"/>
              </w:rPr>
              <w:t>I.</w:t>
            </w:r>
            <w:r w:rsidR="00280979" w:rsidRPr="00BD16B4">
              <w:rPr>
                <w:szCs w:val="18"/>
              </w:rPr>
              <w:t xml:space="preserve"> </w:t>
            </w:r>
            <w:r w:rsidRPr="00BD16B4">
              <w:rPr>
                <w:szCs w:val="18"/>
              </w:rPr>
              <w:t>Other carbon-containing fertilizers</w:t>
            </w:r>
          </w:p>
        </w:tc>
        <w:tc>
          <w:tcPr>
            <w:tcW w:w="907" w:type="dxa"/>
            <w:tcBorders>
              <w:top w:val="single" w:sz="4" w:space="0" w:color="1B556B" w:themeColor="text2"/>
            </w:tcBorders>
            <w:shd w:val="clear" w:color="auto" w:fill="D2DDE1" w:themeFill="background2"/>
          </w:tcPr>
          <w:p w14:paraId="610B416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7D7F2B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28827F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C71C00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2E117E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05EC25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E52AA7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462AB2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84C4CF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2322F4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A4C4E19" w14:textId="77777777" w:rsidR="00ED2EBD" w:rsidRPr="00BD16B4" w:rsidRDefault="00ED2EBD" w:rsidP="004A205F">
            <w:pPr>
              <w:pStyle w:val="TableText"/>
              <w:spacing w:before="40" w:after="40"/>
              <w:jc w:val="right"/>
              <w:rPr>
                <w:szCs w:val="18"/>
              </w:rPr>
            </w:pPr>
            <w:r w:rsidRPr="00BD16B4">
              <w:rPr>
                <w:color w:val="000000"/>
                <w:szCs w:val="18"/>
              </w:rPr>
              <w:t> </w:t>
            </w:r>
          </w:p>
        </w:tc>
      </w:tr>
      <w:tr w:rsidR="00ED2EBD" w:rsidRPr="00BD16B4" w14:paraId="37649085" w14:textId="77777777" w:rsidTr="004625B0">
        <w:tc>
          <w:tcPr>
            <w:tcW w:w="4106" w:type="dxa"/>
          </w:tcPr>
          <w:p w14:paraId="2158672A" w14:textId="064F6869" w:rsidR="00ED2EBD" w:rsidRPr="00BD16B4" w:rsidRDefault="00ED2EBD" w:rsidP="004A205F">
            <w:pPr>
              <w:pStyle w:val="TableText"/>
              <w:spacing w:before="40" w:after="40"/>
              <w:rPr>
                <w:szCs w:val="18"/>
              </w:rPr>
            </w:pPr>
            <w:r w:rsidRPr="00BD16B4">
              <w:rPr>
                <w:szCs w:val="18"/>
              </w:rPr>
              <w:t>J.</w:t>
            </w:r>
            <w:r w:rsidR="00280979" w:rsidRPr="00BD16B4">
              <w:rPr>
                <w:szCs w:val="18"/>
              </w:rPr>
              <w:t xml:space="preserve"> </w:t>
            </w:r>
            <w:r w:rsidRPr="00BD16B4">
              <w:rPr>
                <w:szCs w:val="18"/>
              </w:rPr>
              <w:t xml:space="preserve">Other </w:t>
            </w:r>
          </w:p>
        </w:tc>
        <w:tc>
          <w:tcPr>
            <w:tcW w:w="907" w:type="dxa"/>
            <w:tcBorders>
              <w:top w:val="single" w:sz="4" w:space="0" w:color="1B556B" w:themeColor="text2"/>
            </w:tcBorders>
            <w:shd w:val="clear" w:color="auto" w:fill="D2DDE1" w:themeFill="background2"/>
          </w:tcPr>
          <w:p w14:paraId="577A6AB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E5C814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DD8BE1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F003EE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77A34F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64F4DD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B69DD9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767A5D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E518F07"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9E8F7A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971A21A" w14:textId="77777777" w:rsidR="00ED2EBD" w:rsidRPr="00BD16B4" w:rsidRDefault="00ED2EBD" w:rsidP="004A205F">
            <w:pPr>
              <w:pStyle w:val="TableText"/>
              <w:spacing w:before="40" w:after="40"/>
              <w:jc w:val="right"/>
              <w:rPr>
                <w:szCs w:val="18"/>
              </w:rPr>
            </w:pPr>
            <w:r w:rsidRPr="00BD16B4">
              <w:rPr>
                <w:color w:val="000000"/>
                <w:szCs w:val="18"/>
              </w:rPr>
              <w:t> </w:t>
            </w:r>
          </w:p>
        </w:tc>
      </w:tr>
      <w:tr w:rsidR="002A2A69" w:rsidRPr="00BD16B4" w14:paraId="728847BB" w14:textId="77777777" w:rsidTr="004625B0">
        <w:tc>
          <w:tcPr>
            <w:tcW w:w="4106" w:type="dxa"/>
          </w:tcPr>
          <w:p w14:paraId="28090653" w14:textId="592A9F66" w:rsidR="00ED2EBD" w:rsidRPr="00BD16B4" w:rsidRDefault="00ED2EBD" w:rsidP="004A205F">
            <w:pPr>
              <w:pStyle w:val="TableText"/>
              <w:spacing w:before="40" w:after="40"/>
              <w:rPr>
                <w:szCs w:val="18"/>
              </w:rPr>
            </w:pPr>
            <w:r w:rsidRPr="00BD16B4">
              <w:rPr>
                <w:b/>
                <w:bCs/>
                <w:szCs w:val="18"/>
              </w:rPr>
              <w:t>4.</w:t>
            </w:r>
            <w:r w:rsidR="00280979" w:rsidRPr="00BD16B4">
              <w:rPr>
                <w:b/>
                <w:bCs/>
                <w:szCs w:val="18"/>
              </w:rPr>
              <w:t xml:space="preserve"> </w:t>
            </w:r>
            <w:r w:rsidRPr="00BD16B4">
              <w:rPr>
                <w:b/>
                <w:bCs/>
                <w:szCs w:val="18"/>
              </w:rPr>
              <w:t>Land Use, Land-Use Change and Forestry</w:t>
            </w:r>
          </w:p>
        </w:tc>
        <w:tc>
          <w:tcPr>
            <w:tcW w:w="907" w:type="dxa"/>
            <w:shd w:val="clear" w:color="auto" w:fill="auto"/>
          </w:tcPr>
          <w:p w14:paraId="7D4466FB" w14:textId="77777777" w:rsidR="00ED2EBD" w:rsidRPr="00BD16B4" w:rsidRDefault="00ED2EBD" w:rsidP="004A205F">
            <w:pPr>
              <w:pStyle w:val="TableText"/>
              <w:spacing w:before="40" w:after="40"/>
              <w:jc w:val="right"/>
              <w:rPr>
                <w:szCs w:val="18"/>
              </w:rPr>
            </w:pPr>
            <w:r w:rsidRPr="00BD16B4">
              <w:rPr>
                <w:szCs w:val="18"/>
              </w:rPr>
              <w:t>1.36</w:t>
            </w:r>
          </w:p>
        </w:tc>
        <w:tc>
          <w:tcPr>
            <w:tcW w:w="907" w:type="dxa"/>
            <w:shd w:val="clear" w:color="auto" w:fill="auto"/>
          </w:tcPr>
          <w:p w14:paraId="442F9A4D" w14:textId="77777777" w:rsidR="00ED2EBD" w:rsidRPr="00BD16B4" w:rsidRDefault="00ED2EBD" w:rsidP="004A205F">
            <w:pPr>
              <w:pStyle w:val="TableText"/>
              <w:spacing w:before="40" w:after="40"/>
              <w:jc w:val="right"/>
              <w:rPr>
                <w:szCs w:val="18"/>
              </w:rPr>
            </w:pPr>
            <w:r w:rsidRPr="00BD16B4">
              <w:rPr>
                <w:szCs w:val="18"/>
              </w:rPr>
              <w:t>1.38</w:t>
            </w:r>
          </w:p>
        </w:tc>
        <w:tc>
          <w:tcPr>
            <w:tcW w:w="907" w:type="dxa"/>
            <w:shd w:val="clear" w:color="auto" w:fill="auto"/>
          </w:tcPr>
          <w:p w14:paraId="713F6432" w14:textId="77777777" w:rsidR="00ED2EBD" w:rsidRPr="00BD16B4" w:rsidRDefault="00ED2EBD" w:rsidP="004A205F">
            <w:pPr>
              <w:pStyle w:val="TableText"/>
              <w:spacing w:before="40" w:after="40"/>
              <w:jc w:val="right"/>
              <w:rPr>
                <w:szCs w:val="18"/>
              </w:rPr>
            </w:pPr>
            <w:r w:rsidRPr="00BD16B4">
              <w:rPr>
                <w:szCs w:val="18"/>
              </w:rPr>
              <w:t>1.37</w:t>
            </w:r>
          </w:p>
        </w:tc>
        <w:tc>
          <w:tcPr>
            <w:tcW w:w="907" w:type="dxa"/>
            <w:shd w:val="clear" w:color="auto" w:fill="auto"/>
          </w:tcPr>
          <w:p w14:paraId="27F3C568" w14:textId="77777777" w:rsidR="00ED2EBD" w:rsidRPr="00BD16B4" w:rsidRDefault="00ED2EBD" w:rsidP="004A205F">
            <w:pPr>
              <w:pStyle w:val="TableText"/>
              <w:spacing w:before="40" w:after="40"/>
              <w:jc w:val="right"/>
              <w:rPr>
                <w:szCs w:val="18"/>
              </w:rPr>
            </w:pPr>
            <w:r w:rsidRPr="00BD16B4">
              <w:rPr>
                <w:szCs w:val="18"/>
              </w:rPr>
              <w:t>1.36</w:t>
            </w:r>
          </w:p>
        </w:tc>
        <w:tc>
          <w:tcPr>
            <w:tcW w:w="907" w:type="dxa"/>
            <w:shd w:val="clear" w:color="auto" w:fill="auto"/>
          </w:tcPr>
          <w:p w14:paraId="4DE8E858" w14:textId="77777777" w:rsidR="00ED2EBD" w:rsidRPr="00BD16B4" w:rsidRDefault="00ED2EBD" w:rsidP="004A205F">
            <w:pPr>
              <w:pStyle w:val="TableText"/>
              <w:spacing w:before="40" w:after="40"/>
              <w:jc w:val="right"/>
              <w:rPr>
                <w:szCs w:val="18"/>
              </w:rPr>
            </w:pPr>
            <w:r w:rsidRPr="00BD16B4">
              <w:rPr>
                <w:szCs w:val="18"/>
              </w:rPr>
              <w:t>1.34</w:t>
            </w:r>
          </w:p>
        </w:tc>
        <w:tc>
          <w:tcPr>
            <w:tcW w:w="907" w:type="dxa"/>
            <w:shd w:val="clear" w:color="auto" w:fill="auto"/>
          </w:tcPr>
          <w:p w14:paraId="7B264F55" w14:textId="77777777" w:rsidR="00ED2EBD" w:rsidRPr="00BD16B4" w:rsidRDefault="00ED2EBD" w:rsidP="004A205F">
            <w:pPr>
              <w:pStyle w:val="TableText"/>
              <w:spacing w:before="40" w:after="40"/>
              <w:jc w:val="right"/>
              <w:rPr>
                <w:szCs w:val="18"/>
              </w:rPr>
            </w:pPr>
            <w:r w:rsidRPr="00BD16B4">
              <w:rPr>
                <w:szCs w:val="18"/>
              </w:rPr>
              <w:t>1.33</w:t>
            </w:r>
          </w:p>
        </w:tc>
        <w:tc>
          <w:tcPr>
            <w:tcW w:w="907" w:type="dxa"/>
            <w:shd w:val="clear" w:color="auto" w:fill="auto"/>
          </w:tcPr>
          <w:p w14:paraId="07BE6825" w14:textId="77777777" w:rsidR="00ED2EBD" w:rsidRPr="00BD16B4" w:rsidRDefault="00ED2EBD" w:rsidP="004A205F">
            <w:pPr>
              <w:pStyle w:val="TableText"/>
              <w:spacing w:before="40" w:after="40"/>
              <w:jc w:val="right"/>
              <w:rPr>
                <w:szCs w:val="18"/>
              </w:rPr>
            </w:pPr>
            <w:r w:rsidRPr="00BD16B4">
              <w:rPr>
                <w:szCs w:val="18"/>
              </w:rPr>
              <w:t>1.33</w:t>
            </w:r>
          </w:p>
        </w:tc>
        <w:tc>
          <w:tcPr>
            <w:tcW w:w="907" w:type="dxa"/>
            <w:shd w:val="clear" w:color="auto" w:fill="auto"/>
          </w:tcPr>
          <w:p w14:paraId="2EADF516" w14:textId="77777777" w:rsidR="00ED2EBD" w:rsidRPr="00BD16B4" w:rsidRDefault="00ED2EBD" w:rsidP="004A205F">
            <w:pPr>
              <w:pStyle w:val="TableText"/>
              <w:spacing w:before="40" w:after="40"/>
              <w:jc w:val="right"/>
              <w:rPr>
                <w:szCs w:val="18"/>
              </w:rPr>
            </w:pPr>
            <w:r w:rsidRPr="00BD16B4">
              <w:rPr>
                <w:szCs w:val="18"/>
              </w:rPr>
              <w:t>1.33</w:t>
            </w:r>
          </w:p>
        </w:tc>
        <w:tc>
          <w:tcPr>
            <w:tcW w:w="907" w:type="dxa"/>
            <w:shd w:val="clear" w:color="auto" w:fill="auto"/>
          </w:tcPr>
          <w:p w14:paraId="62A015D2" w14:textId="77777777" w:rsidR="00ED2EBD" w:rsidRPr="00BD16B4" w:rsidRDefault="00ED2EBD" w:rsidP="004A205F">
            <w:pPr>
              <w:pStyle w:val="TableText"/>
              <w:spacing w:before="40" w:after="40"/>
              <w:jc w:val="right"/>
              <w:rPr>
                <w:szCs w:val="18"/>
              </w:rPr>
            </w:pPr>
            <w:r w:rsidRPr="00BD16B4">
              <w:rPr>
                <w:szCs w:val="18"/>
              </w:rPr>
              <w:t>1.38</w:t>
            </w:r>
          </w:p>
        </w:tc>
        <w:tc>
          <w:tcPr>
            <w:tcW w:w="907" w:type="dxa"/>
            <w:shd w:val="clear" w:color="auto" w:fill="auto"/>
          </w:tcPr>
          <w:p w14:paraId="32720869" w14:textId="77777777" w:rsidR="00ED2EBD" w:rsidRPr="00BD16B4" w:rsidRDefault="00ED2EBD" w:rsidP="004A205F">
            <w:pPr>
              <w:pStyle w:val="TableText"/>
              <w:spacing w:before="40" w:after="40"/>
              <w:jc w:val="right"/>
              <w:rPr>
                <w:szCs w:val="18"/>
              </w:rPr>
            </w:pPr>
            <w:r w:rsidRPr="00BD16B4">
              <w:rPr>
                <w:szCs w:val="18"/>
              </w:rPr>
              <w:t>1.22</w:t>
            </w:r>
          </w:p>
        </w:tc>
        <w:tc>
          <w:tcPr>
            <w:tcW w:w="907" w:type="dxa"/>
            <w:shd w:val="clear" w:color="auto" w:fill="auto"/>
          </w:tcPr>
          <w:p w14:paraId="5BB965EE" w14:textId="77777777" w:rsidR="00ED2EBD" w:rsidRPr="00BD16B4" w:rsidRDefault="00ED2EBD" w:rsidP="004A205F">
            <w:pPr>
              <w:pStyle w:val="TableText"/>
              <w:spacing w:before="40" w:after="40"/>
              <w:jc w:val="right"/>
              <w:rPr>
                <w:szCs w:val="18"/>
              </w:rPr>
            </w:pPr>
            <w:r w:rsidRPr="00BD16B4">
              <w:rPr>
                <w:szCs w:val="18"/>
              </w:rPr>
              <w:t>1.22</w:t>
            </w:r>
          </w:p>
        </w:tc>
      </w:tr>
      <w:tr w:rsidR="002A2A69" w:rsidRPr="00BD16B4" w14:paraId="1C127A96" w14:textId="77777777" w:rsidTr="004625B0">
        <w:tc>
          <w:tcPr>
            <w:tcW w:w="4106" w:type="dxa"/>
          </w:tcPr>
          <w:p w14:paraId="7134BCD4" w14:textId="3D0B0B54"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Forest land</w:t>
            </w:r>
          </w:p>
        </w:tc>
        <w:tc>
          <w:tcPr>
            <w:tcW w:w="907" w:type="dxa"/>
            <w:shd w:val="clear" w:color="auto" w:fill="auto"/>
          </w:tcPr>
          <w:p w14:paraId="0F3D0070" w14:textId="77777777" w:rsidR="00ED2EBD" w:rsidRPr="00BD16B4" w:rsidRDefault="00ED2EBD" w:rsidP="004A205F">
            <w:pPr>
              <w:pStyle w:val="TableText"/>
              <w:spacing w:before="40" w:after="40"/>
              <w:jc w:val="right"/>
              <w:rPr>
                <w:szCs w:val="18"/>
              </w:rPr>
            </w:pPr>
            <w:r w:rsidRPr="00BD16B4">
              <w:rPr>
                <w:szCs w:val="18"/>
              </w:rPr>
              <w:t>1.01</w:t>
            </w:r>
          </w:p>
        </w:tc>
        <w:tc>
          <w:tcPr>
            <w:tcW w:w="907" w:type="dxa"/>
            <w:shd w:val="clear" w:color="auto" w:fill="auto"/>
          </w:tcPr>
          <w:p w14:paraId="32468010" w14:textId="77777777" w:rsidR="00ED2EBD" w:rsidRPr="00BD16B4" w:rsidRDefault="00ED2EBD" w:rsidP="004A205F">
            <w:pPr>
              <w:pStyle w:val="TableText"/>
              <w:spacing w:before="40" w:after="40"/>
              <w:jc w:val="right"/>
              <w:rPr>
                <w:szCs w:val="18"/>
              </w:rPr>
            </w:pPr>
            <w:r w:rsidRPr="00BD16B4">
              <w:rPr>
                <w:szCs w:val="18"/>
              </w:rPr>
              <w:t>1.02</w:t>
            </w:r>
          </w:p>
        </w:tc>
        <w:tc>
          <w:tcPr>
            <w:tcW w:w="907" w:type="dxa"/>
            <w:shd w:val="clear" w:color="auto" w:fill="auto"/>
          </w:tcPr>
          <w:p w14:paraId="55ABA234" w14:textId="77777777" w:rsidR="00ED2EBD" w:rsidRPr="00BD16B4" w:rsidRDefault="00ED2EBD" w:rsidP="004A205F">
            <w:pPr>
              <w:pStyle w:val="TableText"/>
              <w:spacing w:before="40" w:after="40"/>
              <w:jc w:val="right"/>
              <w:rPr>
                <w:szCs w:val="18"/>
              </w:rPr>
            </w:pPr>
            <w:r w:rsidRPr="00BD16B4">
              <w:rPr>
                <w:szCs w:val="18"/>
              </w:rPr>
              <w:t>1.01</w:t>
            </w:r>
          </w:p>
        </w:tc>
        <w:tc>
          <w:tcPr>
            <w:tcW w:w="907" w:type="dxa"/>
            <w:shd w:val="clear" w:color="auto" w:fill="auto"/>
          </w:tcPr>
          <w:p w14:paraId="347A8E2A" w14:textId="77777777" w:rsidR="00ED2EBD" w:rsidRPr="00BD16B4" w:rsidRDefault="00ED2EBD" w:rsidP="004A205F">
            <w:pPr>
              <w:pStyle w:val="TableText"/>
              <w:spacing w:before="40" w:after="40"/>
              <w:jc w:val="right"/>
              <w:rPr>
                <w:szCs w:val="18"/>
              </w:rPr>
            </w:pPr>
            <w:r w:rsidRPr="00BD16B4">
              <w:rPr>
                <w:szCs w:val="18"/>
              </w:rPr>
              <w:t>1.00</w:t>
            </w:r>
          </w:p>
        </w:tc>
        <w:tc>
          <w:tcPr>
            <w:tcW w:w="907" w:type="dxa"/>
            <w:shd w:val="clear" w:color="auto" w:fill="auto"/>
          </w:tcPr>
          <w:p w14:paraId="5CACC2F6" w14:textId="77777777" w:rsidR="00ED2EBD" w:rsidRPr="00BD16B4" w:rsidRDefault="00ED2EBD" w:rsidP="004A205F">
            <w:pPr>
              <w:pStyle w:val="TableText"/>
              <w:spacing w:before="40" w:after="40"/>
              <w:jc w:val="right"/>
              <w:rPr>
                <w:szCs w:val="18"/>
              </w:rPr>
            </w:pPr>
            <w:r w:rsidRPr="00BD16B4">
              <w:rPr>
                <w:szCs w:val="18"/>
              </w:rPr>
              <w:t>0.98</w:t>
            </w:r>
          </w:p>
        </w:tc>
        <w:tc>
          <w:tcPr>
            <w:tcW w:w="907" w:type="dxa"/>
            <w:shd w:val="clear" w:color="auto" w:fill="auto"/>
          </w:tcPr>
          <w:p w14:paraId="6AC0522C" w14:textId="77777777" w:rsidR="00ED2EBD" w:rsidRPr="00BD16B4" w:rsidRDefault="00ED2EBD" w:rsidP="004A205F">
            <w:pPr>
              <w:pStyle w:val="TableText"/>
              <w:spacing w:before="40" w:after="40"/>
              <w:jc w:val="right"/>
              <w:rPr>
                <w:szCs w:val="18"/>
              </w:rPr>
            </w:pPr>
            <w:r w:rsidRPr="00BD16B4">
              <w:rPr>
                <w:szCs w:val="18"/>
              </w:rPr>
              <w:t>0.95</w:t>
            </w:r>
          </w:p>
        </w:tc>
        <w:tc>
          <w:tcPr>
            <w:tcW w:w="907" w:type="dxa"/>
            <w:shd w:val="clear" w:color="auto" w:fill="auto"/>
          </w:tcPr>
          <w:p w14:paraId="6F1D5705" w14:textId="77777777" w:rsidR="00ED2EBD" w:rsidRPr="00BD16B4" w:rsidRDefault="00ED2EBD" w:rsidP="004A205F">
            <w:pPr>
              <w:pStyle w:val="TableText"/>
              <w:spacing w:before="40" w:after="40"/>
              <w:jc w:val="right"/>
              <w:rPr>
                <w:szCs w:val="18"/>
              </w:rPr>
            </w:pPr>
            <w:r w:rsidRPr="00BD16B4">
              <w:rPr>
                <w:szCs w:val="18"/>
              </w:rPr>
              <w:t>0.92</w:t>
            </w:r>
          </w:p>
        </w:tc>
        <w:tc>
          <w:tcPr>
            <w:tcW w:w="907" w:type="dxa"/>
            <w:shd w:val="clear" w:color="auto" w:fill="auto"/>
          </w:tcPr>
          <w:p w14:paraId="53A05061" w14:textId="77777777" w:rsidR="00ED2EBD" w:rsidRPr="00BD16B4" w:rsidRDefault="00ED2EBD" w:rsidP="004A205F">
            <w:pPr>
              <w:pStyle w:val="TableText"/>
              <w:spacing w:before="40" w:after="40"/>
              <w:jc w:val="right"/>
              <w:rPr>
                <w:szCs w:val="18"/>
              </w:rPr>
            </w:pPr>
            <w:r w:rsidRPr="00BD16B4">
              <w:rPr>
                <w:szCs w:val="18"/>
              </w:rPr>
              <w:t>0.90</w:t>
            </w:r>
          </w:p>
        </w:tc>
        <w:tc>
          <w:tcPr>
            <w:tcW w:w="907" w:type="dxa"/>
            <w:shd w:val="clear" w:color="auto" w:fill="auto"/>
          </w:tcPr>
          <w:p w14:paraId="483872ED" w14:textId="77777777" w:rsidR="00ED2EBD" w:rsidRPr="00BD16B4" w:rsidRDefault="00ED2EBD" w:rsidP="004A205F">
            <w:pPr>
              <w:pStyle w:val="TableText"/>
              <w:spacing w:before="40" w:after="40"/>
              <w:jc w:val="right"/>
              <w:rPr>
                <w:szCs w:val="18"/>
              </w:rPr>
            </w:pPr>
            <w:r w:rsidRPr="00BD16B4">
              <w:rPr>
                <w:szCs w:val="18"/>
              </w:rPr>
              <w:t>0.89</w:t>
            </w:r>
          </w:p>
        </w:tc>
        <w:tc>
          <w:tcPr>
            <w:tcW w:w="907" w:type="dxa"/>
            <w:shd w:val="clear" w:color="auto" w:fill="auto"/>
          </w:tcPr>
          <w:p w14:paraId="389DD832" w14:textId="77777777" w:rsidR="00ED2EBD" w:rsidRPr="00BD16B4" w:rsidRDefault="00ED2EBD" w:rsidP="004A205F">
            <w:pPr>
              <w:pStyle w:val="TableText"/>
              <w:spacing w:before="40" w:after="40"/>
              <w:jc w:val="right"/>
              <w:rPr>
                <w:szCs w:val="18"/>
              </w:rPr>
            </w:pPr>
            <w:r w:rsidRPr="00BD16B4">
              <w:rPr>
                <w:szCs w:val="18"/>
              </w:rPr>
              <w:t>0.87</w:t>
            </w:r>
          </w:p>
        </w:tc>
        <w:tc>
          <w:tcPr>
            <w:tcW w:w="907" w:type="dxa"/>
            <w:shd w:val="clear" w:color="auto" w:fill="auto"/>
          </w:tcPr>
          <w:p w14:paraId="1A7BD7CC" w14:textId="77777777" w:rsidR="00ED2EBD" w:rsidRPr="00BD16B4" w:rsidRDefault="00ED2EBD" w:rsidP="004A205F">
            <w:pPr>
              <w:pStyle w:val="TableText"/>
              <w:spacing w:before="40" w:after="40"/>
              <w:jc w:val="right"/>
              <w:rPr>
                <w:szCs w:val="18"/>
              </w:rPr>
            </w:pPr>
            <w:r w:rsidRPr="00BD16B4">
              <w:rPr>
                <w:szCs w:val="18"/>
              </w:rPr>
              <w:t>0.87</w:t>
            </w:r>
          </w:p>
        </w:tc>
      </w:tr>
      <w:tr w:rsidR="002A2A69" w:rsidRPr="00BD16B4" w14:paraId="49338673" w14:textId="77777777" w:rsidTr="004625B0">
        <w:tc>
          <w:tcPr>
            <w:tcW w:w="4106" w:type="dxa"/>
          </w:tcPr>
          <w:p w14:paraId="0BF59F4B" w14:textId="032D4E76"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Cropland</w:t>
            </w:r>
          </w:p>
        </w:tc>
        <w:tc>
          <w:tcPr>
            <w:tcW w:w="907" w:type="dxa"/>
            <w:shd w:val="clear" w:color="auto" w:fill="auto"/>
          </w:tcPr>
          <w:p w14:paraId="68ECA8B5" w14:textId="77777777" w:rsidR="00ED2EBD" w:rsidRPr="00BD16B4" w:rsidRDefault="00ED2EBD" w:rsidP="004A205F">
            <w:pPr>
              <w:pStyle w:val="TableText"/>
              <w:spacing w:before="40" w:after="40"/>
              <w:jc w:val="right"/>
              <w:rPr>
                <w:szCs w:val="18"/>
              </w:rPr>
            </w:pPr>
            <w:r w:rsidRPr="00BD16B4">
              <w:rPr>
                <w:szCs w:val="18"/>
              </w:rPr>
              <w:t>0.04</w:t>
            </w:r>
          </w:p>
        </w:tc>
        <w:tc>
          <w:tcPr>
            <w:tcW w:w="907" w:type="dxa"/>
            <w:shd w:val="clear" w:color="auto" w:fill="auto"/>
          </w:tcPr>
          <w:p w14:paraId="5A1104E3" w14:textId="77777777" w:rsidR="00ED2EBD" w:rsidRPr="00BD16B4" w:rsidRDefault="00ED2EBD" w:rsidP="004A205F">
            <w:pPr>
              <w:pStyle w:val="TableText"/>
              <w:spacing w:before="40" w:after="40"/>
              <w:jc w:val="right"/>
              <w:rPr>
                <w:szCs w:val="18"/>
              </w:rPr>
            </w:pPr>
            <w:r w:rsidRPr="00BD16B4">
              <w:rPr>
                <w:szCs w:val="18"/>
              </w:rPr>
              <w:t>0.04</w:t>
            </w:r>
          </w:p>
        </w:tc>
        <w:tc>
          <w:tcPr>
            <w:tcW w:w="907" w:type="dxa"/>
            <w:shd w:val="clear" w:color="auto" w:fill="auto"/>
          </w:tcPr>
          <w:p w14:paraId="59F57033" w14:textId="77777777" w:rsidR="00ED2EBD" w:rsidRPr="00BD16B4" w:rsidRDefault="00ED2EBD" w:rsidP="004A205F">
            <w:pPr>
              <w:pStyle w:val="TableText"/>
              <w:spacing w:before="40" w:after="40"/>
              <w:jc w:val="right"/>
              <w:rPr>
                <w:szCs w:val="18"/>
              </w:rPr>
            </w:pPr>
            <w:r w:rsidRPr="00BD16B4">
              <w:rPr>
                <w:szCs w:val="18"/>
              </w:rPr>
              <w:t>0.04</w:t>
            </w:r>
          </w:p>
        </w:tc>
        <w:tc>
          <w:tcPr>
            <w:tcW w:w="907" w:type="dxa"/>
            <w:shd w:val="clear" w:color="auto" w:fill="auto"/>
          </w:tcPr>
          <w:p w14:paraId="37DE3868" w14:textId="77777777" w:rsidR="00ED2EBD" w:rsidRPr="00BD16B4" w:rsidRDefault="00ED2EBD" w:rsidP="004A205F">
            <w:pPr>
              <w:pStyle w:val="TableText"/>
              <w:spacing w:before="40" w:after="40"/>
              <w:jc w:val="right"/>
              <w:rPr>
                <w:szCs w:val="18"/>
              </w:rPr>
            </w:pPr>
            <w:r w:rsidRPr="00BD16B4">
              <w:rPr>
                <w:szCs w:val="18"/>
              </w:rPr>
              <w:t>0.04</w:t>
            </w:r>
          </w:p>
        </w:tc>
        <w:tc>
          <w:tcPr>
            <w:tcW w:w="907" w:type="dxa"/>
            <w:shd w:val="clear" w:color="auto" w:fill="auto"/>
          </w:tcPr>
          <w:p w14:paraId="6326CC7D" w14:textId="77777777" w:rsidR="00ED2EBD" w:rsidRPr="00BD16B4" w:rsidRDefault="00ED2EBD" w:rsidP="004A205F">
            <w:pPr>
              <w:pStyle w:val="TableText"/>
              <w:spacing w:before="40" w:after="40"/>
              <w:jc w:val="right"/>
              <w:rPr>
                <w:szCs w:val="18"/>
              </w:rPr>
            </w:pPr>
            <w:r w:rsidRPr="00BD16B4">
              <w:rPr>
                <w:szCs w:val="18"/>
              </w:rPr>
              <w:t>0.04</w:t>
            </w:r>
          </w:p>
        </w:tc>
        <w:tc>
          <w:tcPr>
            <w:tcW w:w="907" w:type="dxa"/>
            <w:shd w:val="clear" w:color="auto" w:fill="auto"/>
          </w:tcPr>
          <w:p w14:paraId="627FC807" w14:textId="77777777" w:rsidR="00ED2EBD" w:rsidRPr="00BD16B4" w:rsidRDefault="00ED2EBD" w:rsidP="004A205F">
            <w:pPr>
              <w:pStyle w:val="TableText"/>
              <w:spacing w:before="40" w:after="40"/>
              <w:jc w:val="right"/>
              <w:rPr>
                <w:szCs w:val="18"/>
              </w:rPr>
            </w:pPr>
            <w:r w:rsidRPr="00BD16B4">
              <w:rPr>
                <w:szCs w:val="18"/>
              </w:rPr>
              <w:t>0.05</w:t>
            </w:r>
          </w:p>
        </w:tc>
        <w:tc>
          <w:tcPr>
            <w:tcW w:w="907" w:type="dxa"/>
            <w:shd w:val="clear" w:color="auto" w:fill="auto"/>
          </w:tcPr>
          <w:p w14:paraId="5B298E9B" w14:textId="77777777" w:rsidR="00ED2EBD" w:rsidRPr="00BD16B4" w:rsidRDefault="00ED2EBD" w:rsidP="004A205F">
            <w:pPr>
              <w:pStyle w:val="TableText"/>
              <w:spacing w:before="40" w:after="40"/>
              <w:jc w:val="right"/>
              <w:rPr>
                <w:szCs w:val="18"/>
              </w:rPr>
            </w:pPr>
            <w:r w:rsidRPr="00BD16B4">
              <w:rPr>
                <w:szCs w:val="18"/>
              </w:rPr>
              <w:t>0.05</w:t>
            </w:r>
          </w:p>
        </w:tc>
        <w:tc>
          <w:tcPr>
            <w:tcW w:w="907" w:type="dxa"/>
            <w:shd w:val="clear" w:color="auto" w:fill="auto"/>
          </w:tcPr>
          <w:p w14:paraId="6450B6E2" w14:textId="77777777" w:rsidR="00ED2EBD" w:rsidRPr="00BD16B4" w:rsidRDefault="00ED2EBD" w:rsidP="004A205F">
            <w:pPr>
              <w:pStyle w:val="TableText"/>
              <w:spacing w:before="40" w:after="40"/>
              <w:jc w:val="right"/>
              <w:rPr>
                <w:szCs w:val="18"/>
              </w:rPr>
            </w:pPr>
            <w:r w:rsidRPr="00BD16B4">
              <w:rPr>
                <w:szCs w:val="18"/>
              </w:rPr>
              <w:t>0.05</w:t>
            </w:r>
          </w:p>
        </w:tc>
        <w:tc>
          <w:tcPr>
            <w:tcW w:w="907" w:type="dxa"/>
            <w:shd w:val="clear" w:color="auto" w:fill="auto"/>
          </w:tcPr>
          <w:p w14:paraId="0784EF7F" w14:textId="77777777" w:rsidR="00ED2EBD" w:rsidRPr="00BD16B4" w:rsidRDefault="00ED2EBD" w:rsidP="004A205F">
            <w:pPr>
              <w:pStyle w:val="TableText"/>
              <w:spacing w:before="40" w:after="40"/>
              <w:jc w:val="right"/>
              <w:rPr>
                <w:szCs w:val="18"/>
              </w:rPr>
            </w:pPr>
            <w:r w:rsidRPr="00BD16B4">
              <w:rPr>
                <w:szCs w:val="18"/>
              </w:rPr>
              <w:t>0.05</w:t>
            </w:r>
          </w:p>
        </w:tc>
        <w:tc>
          <w:tcPr>
            <w:tcW w:w="907" w:type="dxa"/>
            <w:shd w:val="clear" w:color="auto" w:fill="auto"/>
          </w:tcPr>
          <w:p w14:paraId="11E48420" w14:textId="77777777" w:rsidR="00ED2EBD" w:rsidRPr="00BD16B4" w:rsidRDefault="00ED2EBD" w:rsidP="004A205F">
            <w:pPr>
              <w:pStyle w:val="TableText"/>
              <w:spacing w:before="40" w:after="40"/>
              <w:jc w:val="right"/>
              <w:rPr>
                <w:szCs w:val="18"/>
              </w:rPr>
            </w:pPr>
            <w:r w:rsidRPr="00BD16B4">
              <w:rPr>
                <w:szCs w:val="18"/>
              </w:rPr>
              <w:t>0.05</w:t>
            </w:r>
          </w:p>
        </w:tc>
        <w:tc>
          <w:tcPr>
            <w:tcW w:w="907" w:type="dxa"/>
            <w:shd w:val="clear" w:color="auto" w:fill="auto"/>
          </w:tcPr>
          <w:p w14:paraId="06AD80D1" w14:textId="77777777" w:rsidR="00ED2EBD" w:rsidRPr="00BD16B4" w:rsidRDefault="00ED2EBD" w:rsidP="004A205F">
            <w:pPr>
              <w:pStyle w:val="TableText"/>
              <w:spacing w:before="40" w:after="40"/>
              <w:jc w:val="right"/>
              <w:rPr>
                <w:szCs w:val="18"/>
              </w:rPr>
            </w:pPr>
            <w:r w:rsidRPr="00BD16B4">
              <w:rPr>
                <w:szCs w:val="18"/>
              </w:rPr>
              <w:t>0.05</w:t>
            </w:r>
          </w:p>
        </w:tc>
      </w:tr>
      <w:tr w:rsidR="002A2A69" w:rsidRPr="00BD16B4" w14:paraId="673D669D" w14:textId="77777777" w:rsidTr="004625B0">
        <w:tc>
          <w:tcPr>
            <w:tcW w:w="4106" w:type="dxa"/>
          </w:tcPr>
          <w:p w14:paraId="58B9D047" w14:textId="186AF594"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Grassland</w:t>
            </w:r>
          </w:p>
        </w:tc>
        <w:tc>
          <w:tcPr>
            <w:tcW w:w="907" w:type="dxa"/>
            <w:shd w:val="clear" w:color="auto" w:fill="auto"/>
          </w:tcPr>
          <w:p w14:paraId="6B782036" w14:textId="77777777" w:rsidR="00ED2EBD" w:rsidRPr="00BD16B4" w:rsidRDefault="00ED2EBD" w:rsidP="004A205F">
            <w:pPr>
              <w:pStyle w:val="TableText"/>
              <w:spacing w:before="40" w:after="40"/>
              <w:jc w:val="right"/>
              <w:rPr>
                <w:szCs w:val="18"/>
              </w:rPr>
            </w:pPr>
            <w:r w:rsidRPr="00BD16B4">
              <w:rPr>
                <w:szCs w:val="18"/>
              </w:rPr>
              <w:t>0.14</w:t>
            </w:r>
          </w:p>
        </w:tc>
        <w:tc>
          <w:tcPr>
            <w:tcW w:w="907" w:type="dxa"/>
            <w:shd w:val="clear" w:color="auto" w:fill="auto"/>
          </w:tcPr>
          <w:p w14:paraId="7A78B173" w14:textId="77777777" w:rsidR="00ED2EBD" w:rsidRPr="00BD16B4" w:rsidRDefault="00ED2EBD" w:rsidP="004A205F">
            <w:pPr>
              <w:pStyle w:val="TableText"/>
              <w:spacing w:before="40" w:after="40"/>
              <w:jc w:val="right"/>
              <w:rPr>
                <w:szCs w:val="18"/>
              </w:rPr>
            </w:pPr>
            <w:r w:rsidRPr="00BD16B4">
              <w:rPr>
                <w:szCs w:val="18"/>
              </w:rPr>
              <w:t>0.16</w:t>
            </w:r>
          </w:p>
        </w:tc>
        <w:tc>
          <w:tcPr>
            <w:tcW w:w="907" w:type="dxa"/>
            <w:shd w:val="clear" w:color="auto" w:fill="auto"/>
          </w:tcPr>
          <w:p w14:paraId="033C701C" w14:textId="77777777" w:rsidR="00ED2EBD" w:rsidRPr="00BD16B4" w:rsidRDefault="00ED2EBD" w:rsidP="004A205F">
            <w:pPr>
              <w:pStyle w:val="TableText"/>
              <w:spacing w:before="40" w:after="40"/>
              <w:jc w:val="right"/>
              <w:rPr>
                <w:szCs w:val="18"/>
              </w:rPr>
            </w:pPr>
            <w:r w:rsidRPr="00BD16B4">
              <w:rPr>
                <w:szCs w:val="18"/>
              </w:rPr>
              <w:t>0.16</w:t>
            </w:r>
          </w:p>
        </w:tc>
        <w:tc>
          <w:tcPr>
            <w:tcW w:w="907" w:type="dxa"/>
            <w:shd w:val="clear" w:color="auto" w:fill="auto"/>
          </w:tcPr>
          <w:p w14:paraId="40A581DE" w14:textId="77777777" w:rsidR="00ED2EBD" w:rsidRPr="00BD16B4" w:rsidRDefault="00ED2EBD" w:rsidP="004A205F">
            <w:pPr>
              <w:pStyle w:val="TableText"/>
              <w:spacing w:before="40" w:after="40"/>
              <w:jc w:val="right"/>
              <w:rPr>
                <w:szCs w:val="18"/>
              </w:rPr>
            </w:pPr>
            <w:r w:rsidRPr="00BD16B4">
              <w:rPr>
                <w:szCs w:val="18"/>
              </w:rPr>
              <w:t>0.15</w:t>
            </w:r>
          </w:p>
        </w:tc>
        <w:tc>
          <w:tcPr>
            <w:tcW w:w="907" w:type="dxa"/>
            <w:shd w:val="clear" w:color="auto" w:fill="auto"/>
          </w:tcPr>
          <w:p w14:paraId="2873F51F" w14:textId="77777777" w:rsidR="00ED2EBD" w:rsidRPr="00BD16B4" w:rsidRDefault="00ED2EBD" w:rsidP="004A205F">
            <w:pPr>
              <w:pStyle w:val="TableText"/>
              <w:spacing w:before="40" w:after="40"/>
              <w:jc w:val="right"/>
              <w:rPr>
                <w:szCs w:val="18"/>
              </w:rPr>
            </w:pPr>
            <w:r w:rsidRPr="00BD16B4">
              <w:rPr>
                <w:szCs w:val="18"/>
              </w:rPr>
              <w:t>0.17</w:t>
            </w:r>
          </w:p>
        </w:tc>
        <w:tc>
          <w:tcPr>
            <w:tcW w:w="907" w:type="dxa"/>
            <w:shd w:val="clear" w:color="auto" w:fill="auto"/>
          </w:tcPr>
          <w:p w14:paraId="038F7E15" w14:textId="77777777" w:rsidR="00ED2EBD" w:rsidRPr="00BD16B4" w:rsidRDefault="00ED2EBD" w:rsidP="004A205F">
            <w:pPr>
              <w:pStyle w:val="TableText"/>
              <w:spacing w:before="40" w:after="40"/>
              <w:jc w:val="right"/>
              <w:rPr>
                <w:szCs w:val="18"/>
              </w:rPr>
            </w:pPr>
            <w:r w:rsidRPr="00BD16B4">
              <w:rPr>
                <w:szCs w:val="18"/>
              </w:rPr>
              <w:t>0.18</w:t>
            </w:r>
          </w:p>
        </w:tc>
        <w:tc>
          <w:tcPr>
            <w:tcW w:w="907" w:type="dxa"/>
            <w:shd w:val="clear" w:color="auto" w:fill="auto"/>
          </w:tcPr>
          <w:p w14:paraId="32E49A9C" w14:textId="77777777" w:rsidR="00ED2EBD" w:rsidRPr="00BD16B4" w:rsidRDefault="00ED2EBD" w:rsidP="004A205F">
            <w:pPr>
              <w:pStyle w:val="TableText"/>
              <w:spacing w:before="40" w:after="40"/>
              <w:jc w:val="right"/>
              <w:rPr>
                <w:szCs w:val="18"/>
              </w:rPr>
            </w:pPr>
            <w:r w:rsidRPr="00BD16B4">
              <w:rPr>
                <w:szCs w:val="18"/>
              </w:rPr>
              <w:t>0.22</w:t>
            </w:r>
          </w:p>
        </w:tc>
        <w:tc>
          <w:tcPr>
            <w:tcW w:w="907" w:type="dxa"/>
            <w:shd w:val="clear" w:color="auto" w:fill="auto"/>
          </w:tcPr>
          <w:p w14:paraId="070C283E" w14:textId="77777777" w:rsidR="00ED2EBD" w:rsidRPr="00BD16B4" w:rsidRDefault="00ED2EBD" w:rsidP="004A205F">
            <w:pPr>
              <w:pStyle w:val="TableText"/>
              <w:spacing w:before="40" w:after="40"/>
              <w:jc w:val="right"/>
              <w:rPr>
                <w:szCs w:val="18"/>
              </w:rPr>
            </w:pPr>
            <w:r w:rsidRPr="00BD16B4">
              <w:rPr>
                <w:szCs w:val="18"/>
              </w:rPr>
              <w:t>0.24</w:t>
            </w:r>
          </w:p>
        </w:tc>
        <w:tc>
          <w:tcPr>
            <w:tcW w:w="907" w:type="dxa"/>
            <w:shd w:val="clear" w:color="auto" w:fill="auto"/>
          </w:tcPr>
          <w:p w14:paraId="787096A1" w14:textId="77777777" w:rsidR="00ED2EBD" w:rsidRPr="00BD16B4" w:rsidRDefault="00ED2EBD" w:rsidP="004A205F">
            <w:pPr>
              <w:pStyle w:val="TableText"/>
              <w:spacing w:before="40" w:after="40"/>
              <w:jc w:val="right"/>
              <w:rPr>
                <w:szCs w:val="18"/>
              </w:rPr>
            </w:pPr>
            <w:r w:rsidRPr="00BD16B4">
              <w:rPr>
                <w:szCs w:val="18"/>
              </w:rPr>
              <w:t>0.30</w:t>
            </w:r>
          </w:p>
        </w:tc>
        <w:tc>
          <w:tcPr>
            <w:tcW w:w="907" w:type="dxa"/>
            <w:shd w:val="clear" w:color="auto" w:fill="auto"/>
          </w:tcPr>
          <w:p w14:paraId="124FA2F7" w14:textId="77777777" w:rsidR="00ED2EBD" w:rsidRPr="00BD16B4" w:rsidRDefault="00ED2EBD" w:rsidP="004A205F">
            <w:pPr>
              <w:pStyle w:val="TableText"/>
              <w:spacing w:before="40" w:after="40"/>
              <w:jc w:val="right"/>
              <w:rPr>
                <w:szCs w:val="18"/>
              </w:rPr>
            </w:pPr>
            <w:r w:rsidRPr="00BD16B4">
              <w:rPr>
                <w:szCs w:val="18"/>
              </w:rPr>
              <w:t>0.17</w:t>
            </w:r>
          </w:p>
        </w:tc>
        <w:tc>
          <w:tcPr>
            <w:tcW w:w="907" w:type="dxa"/>
            <w:shd w:val="clear" w:color="auto" w:fill="auto"/>
          </w:tcPr>
          <w:p w14:paraId="142B969B" w14:textId="77777777" w:rsidR="00ED2EBD" w:rsidRPr="00BD16B4" w:rsidRDefault="00ED2EBD" w:rsidP="004A205F">
            <w:pPr>
              <w:pStyle w:val="TableText"/>
              <w:spacing w:before="40" w:after="40"/>
              <w:jc w:val="right"/>
              <w:rPr>
                <w:szCs w:val="18"/>
              </w:rPr>
            </w:pPr>
            <w:r w:rsidRPr="00BD16B4">
              <w:rPr>
                <w:szCs w:val="18"/>
              </w:rPr>
              <w:t>0.17</w:t>
            </w:r>
          </w:p>
        </w:tc>
      </w:tr>
      <w:tr w:rsidR="002A2A69" w:rsidRPr="00BD16B4" w14:paraId="68B419F7" w14:textId="77777777" w:rsidTr="004625B0">
        <w:tc>
          <w:tcPr>
            <w:tcW w:w="4106" w:type="dxa"/>
          </w:tcPr>
          <w:p w14:paraId="3996789E" w14:textId="169241B1" w:rsidR="00ED2EBD" w:rsidRPr="00BD16B4" w:rsidRDefault="00ED2EBD" w:rsidP="004A205F">
            <w:pPr>
              <w:pStyle w:val="TableText"/>
              <w:spacing w:before="40" w:after="40"/>
              <w:rPr>
                <w:szCs w:val="18"/>
              </w:rPr>
            </w:pPr>
            <w:r w:rsidRPr="00BD16B4">
              <w:rPr>
                <w:szCs w:val="18"/>
              </w:rPr>
              <w:lastRenderedPageBreak/>
              <w:t>D.</w:t>
            </w:r>
            <w:r w:rsidR="00280979" w:rsidRPr="00BD16B4">
              <w:rPr>
                <w:szCs w:val="18"/>
              </w:rPr>
              <w:t xml:space="preserve"> </w:t>
            </w:r>
            <w:r w:rsidRPr="00BD16B4">
              <w:rPr>
                <w:szCs w:val="18"/>
              </w:rPr>
              <w:t>Wetlands</w:t>
            </w:r>
          </w:p>
        </w:tc>
        <w:tc>
          <w:tcPr>
            <w:tcW w:w="907" w:type="dxa"/>
            <w:shd w:val="clear" w:color="auto" w:fill="auto"/>
          </w:tcPr>
          <w:p w14:paraId="5C9E083C"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35AEC089"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0C1D2057"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546E518B"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273B1438"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20837034"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6D7435C8"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1E403105"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1FA54DEE"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23AB7762"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040FAEDD" w14:textId="77777777" w:rsidR="00ED2EBD" w:rsidRPr="00BD16B4" w:rsidRDefault="00ED2EBD" w:rsidP="004A205F">
            <w:pPr>
              <w:pStyle w:val="TableText"/>
              <w:spacing w:before="40" w:after="40"/>
              <w:jc w:val="right"/>
              <w:rPr>
                <w:szCs w:val="18"/>
              </w:rPr>
            </w:pPr>
            <w:r w:rsidRPr="00BD16B4">
              <w:rPr>
                <w:szCs w:val="18"/>
              </w:rPr>
              <w:t>0.00</w:t>
            </w:r>
          </w:p>
        </w:tc>
      </w:tr>
      <w:tr w:rsidR="002A2A69" w:rsidRPr="00BD16B4" w14:paraId="72D5AF56" w14:textId="77777777" w:rsidTr="004625B0">
        <w:tc>
          <w:tcPr>
            <w:tcW w:w="4106" w:type="dxa"/>
          </w:tcPr>
          <w:p w14:paraId="60551615" w14:textId="7EDA4921"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 xml:space="preserve">Settlements </w:t>
            </w:r>
          </w:p>
        </w:tc>
        <w:tc>
          <w:tcPr>
            <w:tcW w:w="907" w:type="dxa"/>
            <w:shd w:val="clear" w:color="auto" w:fill="auto"/>
          </w:tcPr>
          <w:p w14:paraId="3B3D1F69"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32EADBAF"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76FA888F"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0455DACD"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6CB79FE5"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5B7E0196"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0C0FB8D4"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52324E9E"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6EFEE6AD"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43E46E89"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2D7168FE" w14:textId="77777777" w:rsidR="00ED2EBD" w:rsidRPr="00BD16B4" w:rsidRDefault="00ED2EBD" w:rsidP="004A205F">
            <w:pPr>
              <w:pStyle w:val="TableText"/>
              <w:spacing w:before="40" w:after="40"/>
              <w:jc w:val="right"/>
              <w:rPr>
                <w:szCs w:val="18"/>
              </w:rPr>
            </w:pPr>
            <w:r w:rsidRPr="00BD16B4">
              <w:rPr>
                <w:szCs w:val="18"/>
              </w:rPr>
              <w:t>0.00</w:t>
            </w:r>
          </w:p>
        </w:tc>
      </w:tr>
      <w:tr w:rsidR="002A2A69" w:rsidRPr="00BD16B4" w14:paraId="210A2AB9" w14:textId="77777777" w:rsidTr="004625B0">
        <w:tc>
          <w:tcPr>
            <w:tcW w:w="4106" w:type="dxa"/>
          </w:tcPr>
          <w:p w14:paraId="0AB478FF" w14:textId="54E40C7E" w:rsidR="00ED2EBD" w:rsidRPr="00BD16B4" w:rsidRDefault="00ED2EBD" w:rsidP="004A205F">
            <w:pPr>
              <w:pStyle w:val="TableText"/>
              <w:spacing w:before="40" w:after="40"/>
              <w:rPr>
                <w:szCs w:val="18"/>
              </w:rPr>
            </w:pPr>
            <w:r w:rsidRPr="00BD16B4">
              <w:rPr>
                <w:szCs w:val="18"/>
              </w:rPr>
              <w:t>F.</w:t>
            </w:r>
            <w:r w:rsidR="00280979" w:rsidRPr="00BD16B4">
              <w:rPr>
                <w:szCs w:val="18"/>
              </w:rPr>
              <w:t xml:space="preserve"> </w:t>
            </w:r>
            <w:r w:rsidRPr="00BD16B4">
              <w:rPr>
                <w:szCs w:val="18"/>
              </w:rPr>
              <w:t>Other land</w:t>
            </w:r>
          </w:p>
        </w:tc>
        <w:tc>
          <w:tcPr>
            <w:tcW w:w="907" w:type="dxa"/>
            <w:tcBorders>
              <w:bottom w:val="single" w:sz="4" w:space="0" w:color="1B556B" w:themeColor="text2"/>
            </w:tcBorders>
            <w:shd w:val="clear" w:color="auto" w:fill="auto"/>
          </w:tcPr>
          <w:p w14:paraId="489280C3" w14:textId="77777777" w:rsidR="00ED2EBD" w:rsidRPr="00BD16B4" w:rsidRDefault="00ED2EBD" w:rsidP="004A205F">
            <w:pPr>
              <w:pStyle w:val="TableText"/>
              <w:spacing w:before="40" w:after="40"/>
              <w:jc w:val="right"/>
              <w:rPr>
                <w:szCs w:val="18"/>
              </w:rPr>
            </w:pPr>
            <w:r w:rsidRPr="00BD16B4">
              <w:rPr>
                <w:szCs w:val="18"/>
              </w:rPr>
              <w:t>0.00</w:t>
            </w:r>
          </w:p>
        </w:tc>
        <w:tc>
          <w:tcPr>
            <w:tcW w:w="907" w:type="dxa"/>
            <w:tcBorders>
              <w:bottom w:val="single" w:sz="4" w:space="0" w:color="1B556B" w:themeColor="text2"/>
            </w:tcBorders>
            <w:shd w:val="clear" w:color="auto" w:fill="auto"/>
          </w:tcPr>
          <w:p w14:paraId="3762A689" w14:textId="77777777" w:rsidR="00ED2EBD" w:rsidRPr="00BD16B4" w:rsidRDefault="00ED2EBD" w:rsidP="004A205F">
            <w:pPr>
              <w:pStyle w:val="TableText"/>
              <w:spacing w:before="40" w:after="40"/>
              <w:jc w:val="right"/>
              <w:rPr>
                <w:szCs w:val="18"/>
              </w:rPr>
            </w:pPr>
            <w:r w:rsidRPr="00BD16B4">
              <w:rPr>
                <w:szCs w:val="18"/>
              </w:rPr>
              <w:t>0.00</w:t>
            </w:r>
          </w:p>
        </w:tc>
        <w:tc>
          <w:tcPr>
            <w:tcW w:w="907" w:type="dxa"/>
            <w:tcBorders>
              <w:bottom w:val="single" w:sz="4" w:space="0" w:color="1B556B" w:themeColor="text2"/>
            </w:tcBorders>
            <w:shd w:val="clear" w:color="auto" w:fill="auto"/>
          </w:tcPr>
          <w:p w14:paraId="5E9BAC9C" w14:textId="77777777" w:rsidR="00ED2EBD" w:rsidRPr="00BD16B4" w:rsidRDefault="00ED2EBD" w:rsidP="004A205F">
            <w:pPr>
              <w:pStyle w:val="TableText"/>
              <w:spacing w:before="40" w:after="40"/>
              <w:jc w:val="right"/>
              <w:rPr>
                <w:szCs w:val="18"/>
              </w:rPr>
            </w:pPr>
            <w:r w:rsidRPr="00BD16B4">
              <w:rPr>
                <w:szCs w:val="18"/>
              </w:rPr>
              <w:t>0.01</w:t>
            </w:r>
          </w:p>
        </w:tc>
        <w:tc>
          <w:tcPr>
            <w:tcW w:w="907" w:type="dxa"/>
            <w:tcBorders>
              <w:bottom w:val="single" w:sz="4" w:space="0" w:color="1B556B" w:themeColor="text2"/>
            </w:tcBorders>
            <w:shd w:val="clear" w:color="auto" w:fill="auto"/>
          </w:tcPr>
          <w:p w14:paraId="1539CA85" w14:textId="77777777" w:rsidR="00ED2EBD" w:rsidRPr="00BD16B4" w:rsidRDefault="00ED2EBD" w:rsidP="004A205F">
            <w:pPr>
              <w:pStyle w:val="TableText"/>
              <w:spacing w:before="40" w:after="40"/>
              <w:jc w:val="right"/>
              <w:rPr>
                <w:szCs w:val="18"/>
              </w:rPr>
            </w:pPr>
            <w:r w:rsidRPr="00BD16B4">
              <w:rPr>
                <w:szCs w:val="18"/>
              </w:rPr>
              <w:t>0.01</w:t>
            </w:r>
          </w:p>
        </w:tc>
        <w:tc>
          <w:tcPr>
            <w:tcW w:w="907" w:type="dxa"/>
            <w:tcBorders>
              <w:bottom w:val="single" w:sz="4" w:space="0" w:color="1B556B" w:themeColor="text2"/>
            </w:tcBorders>
            <w:shd w:val="clear" w:color="auto" w:fill="auto"/>
          </w:tcPr>
          <w:p w14:paraId="651B0EBB" w14:textId="77777777" w:rsidR="00ED2EBD" w:rsidRPr="00BD16B4" w:rsidRDefault="00ED2EBD" w:rsidP="004A205F">
            <w:pPr>
              <w:pStyle w:val="TableText"/>
              <w:spacing w:before="40" w:after="40"/>
              <w:jc w:val="right"/>
              <w:rPr>
                <w:szCs w:val="18"/>
              </w:rPr>
            </w:pPr>
            <w:r w:rsidRPr="00BD16B4">
              <w:rPr>
                <w:szCs w:val="18"/>
              </w:rPr>
              <w:t>0.01</w:t>
            </w:r>
          </w:p>
        </w:tc>
        <w:tc>
          <w:tcPr>
            <w:tcW w:w="907" w:type="dxa"/>
            <w:tcBorders>
              <w:bottom w:val="single" w:sz="4" w:space="0" w:color="1B556B" w:themeColor="text2"/>
            </w:tcBorders>
            <w:shd w:val="clear" w:color="auto" w:fill="auto"/>
          </w:tcPr>
          <w:p w14:paraId="5A110189" w14:textId="77777777" w:rsidR="00ED2EBD" w:rsidRPr="00BD16B4" w:rsidRDefault="00ED2EBD" w:rsidP="004A205F">
            <w:pPr>
              <w:pStyle w:val="TableText"/>
              <w:spacing w:before="40" w:after="40"/>
              <w:jc w:val="right"/>
              <w:rPr>
                <w:szCs w:val="18"/>
              </w:rPr>
            </w:pPr>
            <w:r w:rsidRPr="00BD16B4">
              <w:rPr>
                <w:szCs w:val="18"/>
              </w:rPr>
              <w:t>0.01</w:t>
            </w:r>
          </w:p>
        </w:tc>
        <w:tc>
          <w:tcPr>
            <w:tcW w:w="907" w:type="dxa"/>
            <w:tcBorders>
              <w:bottom w:val="single" w:sz="4" w:space="0" w:color="1B556B" w:themeColor="text2"/>
            </w:tcBorders>
            <w:shd w:val="clear" w:color="auto" w:fill="auto"/>
          </w:tcPr>
          <w:p w14:paraId="5974CA4C" w14:textId="77777777" w:rsidR="00ED2EBD" w:rsidRPr="00BD16B4" w:rsidRDefault="00ED2EBD" w:rsidP="004A205F">
            <w:pPr>
              <w:pStyle w:val="TableText"/>
              <w:spacing w:before="40" w:after="40"/>
              <w:jc w:val="right"/>
              <w:rPr>
                <w:szCs w:val="18"/>
              </w:rPr>
            </w:pPr>
            <w:r w:rsidRPr="00BD16B4">
              <w:rPr>
                <w:szCs w:val="18"/>
              </w:rPr>
              <w:t>0.01</w:t>
            </w:r>
          </w:p>
        </w:tc>
        <w:tc>
          <w:tcPr>
            <w:tcW w:w="907" w:type="dxa"/>
            <w:tcBorders>
              <w:bottom w:val="single" w:sz="4" w:space="0" w:color="1B556B" w:themeColor="text2"/>
            </w:tcBorders>
            <w:shd w:val="clear" w:color="auto" w:fill="auto"/>
          </w:tcPr>
          <w:p w14:paraId="7081A42B" w14:textId="77777777" w:rsidR="00ED2EBD" w:rsidRPr="00BD16B4" w:rsidRDefault="00ED2EBD" w:rsidP="004A205F">
            <w:pPr>
              <w:pStyle w:val="TableText"/>
              <w:spacing w:before="40" w:after="40"/>
              <w:jc w:val="right"/>
              <w:rPr>
                <w:szCs w:val="18"/>
              </w:rPr>
            </w:pPr>
            <w:r w:rsidRPr="00BD16B4">
              <w:rPr>
                <w:szCs w:val="18"/>
              </w:rPr>
              <w:t>0.01</w:t>
            </w:r>
          </w:p>
        </w:tc>
        <w:tc>
          <w:tcPr>
            <w:tcW w:w="907" w:type="dxa"/>
            <w:tcBorders>
              <w:bottom w:val="single" w:sz="4" w:space="0" w:color="1B556B" w:themeColor="text2"/>
            </w:tcBorders>
            <w:shd w:val="clear" w:color="auto" w:fill="auto"/>
          </w:tcPr>
          <w:p w14:paraId="3883E84D" w14:textId="77777777" w:rsidR="00ED2EBD" w:rsidRPr="00BD16B4" w:rsidRDefault="00ED2EBD" w:rsidP="004A205F">
            <w:pPr>
              <w:pStyle w:val="TableText"/>
              <w:spacing w:before="40" w:after="40"/>
              <w:jc w:val="right"/>
              <w:rPr>
                <w:szCs w:val="18"/>
              </w:rPr>
            </w:pPr>
            <w:r w:rsidRPr="00BD16B4">
              <w:rPr>
                <w:szCs w:val="18"/>
              </w:rPr>
              <w:t>0.01</w:t>
            </w:r>
          </w:p>
        </w:tc>
        <w:tc>
          <w:tcPr>
            <w:tcW w:w="907" w:type="dxa"/>
            <w:tcBorders>
              <w:bottom w:val="single" w:sz="4" w:space="0" w:color="1B556B" w:themeColor="text2"/>
            </w:tcBorders>
            <w:shd w:val="clear" w:color="auto" w:fill="auto"/>
          </w:tcPr>
          <w:p w14:paraId="3773B45B" w14:textId="77777777" w:rsidR="00ED2EBD" w:rsidRPr="00BD16B4" w:rsidRDefault="00ED2EBD" w:rsidP="004A205F">
            <w:pPr>
              <w:pStyle w:val="TableText"/>
              <w:spacing w:before="40" w:after="40"/>
              <w:jc w:val="right"/>
              <w:rPr>
                <w:szCs w:val="18"/>
              </w:rPr>
            </w:pPr>
            <w:r w:rsidRPr="00BD16B4">
              <w:rPr>
                <w:szCs w:val="18"/>
              </w:rPr>
              <w:t>0.01</w:t>
            </w:r>
          </w:p>
        </w:tc>
        <w:tc>
          <w:tcPr>
            <w:tcW w:w="907" w:type="dxa"/>
            <w:tcBorders>
              <w:bottom w:val="single" w:sz="4" w:space="0" w:color="1B556B" w:themeColor="text2"/>
            </w:tcBorders>
            <w:shd w:val="clear" w:color="auto" w:fill="auto"/>
          </w:tcPr>
          <w:p w14:paraId="6CDACD7D" w14:textId="77777777" w:rsidR="00ED2EBD" w:rsidRPr="00BD16B4" w:rsidRDefault="00ED2EBD" w:rsidP="004A205F">
            <w:pPr>
              <w:pStyle w:val="TableText"/>
              <w:spacing w:before="40" w:after="40"/>
              <w:jc w:val="right"/>
              <w:rPr>
                <w:szCs w:val="18"/>
              </w:rPr>
            </w:pPr>
            <w:r w:rsidRPr="00BD16B4">
              <w:rPr>
                <w:szCs w:val="18"/>
              </w:rPr>
              <w:t>0.01</w:t>
            </w:r>
          </w:p>
        </w:tc>
      </w:tr>
      <w:tr w:rsidR="00ED2EBD" w:rsidRPr="00BD16B4" w14:paraId="17303B97" w14:textId="77777777" w:rsidTr="004625B0">
        <w:tc>
          <w:tcPr>
            <w:tcW w:w="4106" w:type="dxa"/>
          </w:tcPr>
          <w:p w14:paraId="1E15CDDB" w14:textId="246D872A" w:rsidR="00ED2EBD" w:rsidRPr="00BD16B4" w:rsidRDefault="00ED2EBD" w:rsidP="004A205F">
            <w:pPr>
              <w:pStyle w:val="TableText"/>
              <w:spacing w:before="40" w:after="40"/>
              <w:rPr>
                <w:szCs w:val="18"/>
              </w:rPr>
            </w:pPr>
            <w:r w:rsidRPr="00BD16B4">
              <w:rPr>
                <w:szCs w:val="18"/>
              </w:rPr>
              <w:t>G.</w:t>
            </w:r>
            <w:r w:rsidR="00280979" w:rsidRPr="00BD16B4">
              <w:rPr>
                <w:szCs w:val="18"/>
              </w:rPr>
              <w:t xml:space="preserve"> </w:t>
            </w:r>
            <w:r w:rsidRPr="00BD16B4">
              <w:rPr>
                <w:szCs w:val="18"/>
              </w:rPr>
              <w:t>Harvested wood products</w:t>
            </w:r>
          </w:p>
        </w:tc>
        <w:tc>
          <w:tcPr>
            <w:tcW w:w="907" w:type="dxa"/>
            <w:tcBorders>
              <w:top w:val="single" w:sz="4" w:space="0" w:color="1B556B" w:themeColor="text2"/>
            </w:tcBorders>
            <w:shd w:val="clear" w:color="auto" w:fill="D2DDE1" w:themeFill="background2"/>
          </w:tcPr>
          <w:p w14:paraId="45870B7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8CEF9C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751B15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40E4E12"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3D5EA1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082879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A9882D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7E0945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DA717A8"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E436A4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B506B46" w14:textId="77777777" w:rsidR="00ED2EBD" w:rsidRPr="00BD16B4" w:rsidRDefault="00ED2EBD" w:rsidP="004A205F">
            <w:pPr>
              <w:pStyle w:val="TableText"/>
              <w:spacing w:before="40" w:after="40"/>
              <w:jc w:val="right"/>
              <w:rPr>
                <w:szCs w:val="18"/>
              </w:rPr>
            </w:pPr>
            <w:r w:rsidRPr="00BD16B4">
              <w:rPr>
                <w:color w:val="000000"/>
                <w:szCs w:val="18"/>
              </w:rPr>
              <w:t> </w:t>
            </w:r>
          </w:p>
        </w:tc>
      </w:tr>
      <w:tr w:rsidR="002A2A69" w:rsidRPr="00BD16B4" w14:paraId="296B0C78" w14:textId="77777777" w:rsidTr="004625B0">
        <w:tc>
          <w:tcPr>
            <w:tcW w:w="4106" w:type="dxa"/>
          </w:tcPr>
          <w:p w14:paraId="306ADD8F" w14:textId="357872D7" w:rsidR="00ED2EBD" w:rsidRPr="00BD16B4" w:rsidRDefault="00ED2EBD" w:rsidP="004A205F">
            <w:pPr>
              <w:pStyle w:val="TableText"/>
              <w:spacing w:before="40" w:after="40"/>
              <w:rPr>
                <w:szCs w:val="18"/>
              </w:rPr>
            </w:pPr>
            <w:r w:rsidRPr="00BD16B4">
              <w:rPr>
                <w:szCs w:val="18"/>
              </w:rPr>
              <w:t>H.</w:t>
            </w:r>
            <w:r w:rsidR="00280979" w:rsidRPr="00BD16B4">
              <w:rPr>
                <w:szCs w:val="18"/>
              </w:rPr>
              <w:t xml:space="preserve"> </w:t>
            </w:r>
            <w:r w:rsidRPr="00BD16B4">
              <w:rPr>
                <w:szCs w:val="18"/>
              </w:rPr>
              <w:t>Other</w:t>
            </w:r>
            <w:r w:rsidR="00280979" w:rsidRPr="00BD16B4">
              <w:rPr>
                <w:szCs w:val="18"/>
              </w:rPr>
              <w:t xml:space="preserve"> </w:t>
            </w:r>
          </w:p>
        </w:tc>
        <w:tc>
          <w:tcPr>
            <w:tcW w:w="907" w:type="dxa"/>
            <w:shd w:val="clear" w:color="auto" w:fill="auto"/>
          </w:tcPr>
          <w:p w14:paraId="0EC2784A"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58D7158"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E421B3B"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391B6D3E"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C3AAFF3"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27CE19C"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BE7D98B"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789161FD"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7C692576"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8CF1820"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BDD71FE" w14:textId="77777777" w:rsidR="00ED2EBD" w:rsidRPr="00BD16B4" w:rsidRDefault="00ED2EBD" w:rsidP="004A205F">
            <w:pPr>
              <w:pStyle w:val="TableText"/>
              <w:spacing w:before="40" w:after="40"/>
              <w:jc w:val="right"/>
              <w:rPr>
                <w:szCs w:val="18"/>
              </w:rPr>
            </w:pPr>
            <w:r w:rsidRPr="00BD16B4">
              <w:rPr>
                <w:szCs w:val="18"/>
              </w:rPr>
              <w:t>NA</w:t>
            </w:r>
          </w:p>
        </w:tc>
      </w:tr>
      <w:tr w:rsidR="002A2A69" w:rsidRPr="00BD16B4" w14:paraId="7436B940" w14:textId="77777777" w:rsidTr="004625B0">
        <w:tc>
          <w:tcPr>
            <w:tcW w:w="4106" w:type="dxa"/>
          </w:tcPr>
          <w:p w14:paraId="0ACA205A" w14:textId="5BA323F7" w:rsidR="00ED2EBD" w:rsidRPr="00BD16B4" w:rsidRDefault="00ED2EBD" w:rsidP="004A205F">
            <w:pPr>
              <w:pStyle w:val="TableText"/>
              <w:spacing w:before="40" w:after="40"/>
              <w:rPr>
                <w:szCs w:val="18"/>
              </w:rPr>
            </w:pPr>
            <w:r w:rsidRPr="00BD16B4">
              <w:rPr>
                <w:b/>
                <w:bCs/>
                <w:szCs w:val="18"/>
              </w:rPr>
              <w:t>5.</w:t>
            </w:r>
            <w:r w:rsidR="00280979" w:rsidRPr="00BD16B4">
              <w:rPr>
                <w:b/>
                <w:bCs/>
                <w:szCs w:val="18"/>
              </w:rPr>
              <w:t xml:space="preserve"> </w:t>
            </w:r>
            <w:r w:rsidRPr="00BD16B4">
              <w:rPr>
                <w:b/>
                <w:bCs/>
                <w:szCs w:val="18"/>
              </w:rPr>
              <w:t>Waste</w:t>
            </w:r>
          </w:p>
        </w:tc>
        <w:tc>
          <w:tcPr>
            <w:tcW w:w="907" w:type="dxa"/>
            <w:shd w:val="clear" w:color="auto" w:fill="auto"/>
          </w:tcPr>
          <w:p w14:paraId="0747DE7C" w14:textId="77777777" w:rsidR="00ED2EBD" w:rsidRPr="00BD16B4" w:rsidRDefault="00ED2EBD" w:rsidP="004A205F">
            <w:pPr>
              <w:pStyle w:val="TableText"/>
              <w:spacing w:before="40" w:after="40"/>
              <w:jc w:val="right"/>
              <w:rPr>
                <w:szCs w:val="18"/>
              </w:rPr>
            </w:pPr>
            <w:r w:rsidRPr="00BD16B4">
              <w:rPr>
                <w:szCs w:val="18"/>
              </w:rPr>
              <w:t>0.43</w:t>
            </w:r>
          </w:p>
        </w:tc>
        <w:tc>
          <w:tcPr>
            <w:tcW w:w="907" w:type="dxa"/>
            <w:shd w:val="clear" w:color="auto" w:fill="auto"/>
          </w:tcPr>
          <w:p w14:paraId="6B2F00F4" w14:textId="77777777" w:rsidR="00ED2EBD" w:rsidRPr="00BD16B4" w:rsidRDefault="00ED2EBD" w:rsidP="004A205F">
            <w:pPr>
              <w:pStyle w:val="TableText"/>
              <w:spacing w:before="40" w:after="40"/>
              <w:jc w:val="right"/>
              <w:rPr>
                <w:szCs w:val="18"/>
              </w:rPr>
            </w:pPr>
            <w:r w:rsidRPr="00BD16B4">
              <w:rPr>
                <w:szCs w:val="18"/>
              </w:rPr>
              <w:t>0.43</w:t>
            </w:r>
          </w:p>
        </w:tc>
        <w:tc>
          <w:tcPr>
            <w:tcW w:w="907" w:type="dxa"/>
            <w:shd w:val="clear" w:color="auto" w:fill="auto"/>
          </w:tcPr>
          <w:p w14:paraId="05447C8B" w14:textId="77777777" w:rsidR="00ED2EBD" w:rsidRPr="00BD16B4" w:rsidRDefault="00ED2EBD" w:rsidP="004A205F">
            <w:pPr>
              <w:pStyle w:val="TableText"/>
              <w:spacing w:before="40" w:after="40"/>
              <w:jc w:val="right"/>
              <w:rPr>
                <w:szCs w:val="18"/>
              </w:rPr>
            </w:pPr>
            <w:r w:rsidRPr="00BD16B4">
              <w:rPr>
                <w:szCs w:val="18"/>
              </w:rPr>
              <w:t>0.44</w:t>
            </w:r>
          </w:p>
        </w:tc>
        <w:tc>
          <w:tcPr>
            <w:tcW w:w="907" w:type="dxa"/>
            <w:shd w:val="clear" w:color="auto" w:fill="auto"/>
          </w:tcPr>
          <w:p w14:paraId="2F6A8330" w14:textId="77777777" w:rsidR="00ED2EBD" w:rsidRPr="00BD16B4" w:rsidRDefault="00ED2EBD" w:rsidP="004A205F">
            <w:pPr>
              <w:pStyle w:val="TableText"/>
              <w:spacing w:before="40" w:after="40"/>
              <w:jc w:val="right"/>
              <w:rPr>
                <w:szCs w:val="18"/>
              </w:rPr>
            </w:pPr>
            <w:r w:rsidRPr="00BD16B4">
              <w:rPr>
                <w:szCs w:val="18"/>
              </w:rPr>
              <w:t>0.42</w:t>
            </w:r>
          </w:p>
        </w:tc>
        <w:tc>
          <w:tcPr>
            <w:tcW w:w="907" w:type="dxa"/>
            <w:shd w:val="clear" w:color="auto" w:fill="auto"/>
          </w:tcPr>
          <w:p w14:paraId="2437A61A" w14:textId="77777777" w:rsidR="00ED2EBD" w:rsidRPr="00BD16B4" w:rsidRDefault="00ED2EBD" w:rsidP="004A205F">
            <w:pPr>
              <w:pStyle w:val="TableText"/>
              <w:spacing w:before="40" w:after="40"/>
              <w:jc w:val="right"/>
              <w:rPr>
                <w:szCs w:val="18"/>
              </w:rPr>
            </w:pPr>
            <w:r w:rsidRPr="00BD16B4">
              <w:rPr>
                <w:szCs w:val="18"/>
              </w:rPr>
              <w:t>0.42</w:t>
            </w:r>
          </w:p>
        </w:tc>
        <w:tc>
          <w:tcPr>
            <w:tcW w:w="907" w:type="dxa"/>
            <w:shd w:val="clear" w:color="auto" w:fill="auto"/>
          </w:tcPr>
          <w:p w14:paraId="05EBE8E0" w14:textId="77777777" w:rsidR="00ED2EBD" w:rsidRPr="00BD16B4" w:rsidRDefault="00ED2EBD" w:rsidP="004A205F">
            <w:pPr>
              <w:pStyle w:val="TableText"/>
              <w:spacing w:before="40" w:after="40"/>
              <w:jc w:val="right"/>
              <w:rPr>
                <w:szCs w:val="18"/>
              </w:rPr>
            </w:pPr>
            <w:r w:rsidRPr="00BD16B4">
              <w:rPr>
                <w:szCs w:val="18"/>
              </w:rPr>
              <w:t>0.42</w:t>
            </w:r>
          </w:p>
        </w:tc>
        <w:tc>
          <w:tcPr>
            <w:tcW w:w="907" w:type="dxa"/>
            <w:shd w:val="clear" w:color="auto" w:fill="auto"/>
          </w:tcPr>
          <w:p w14:paraId="46517A0B" w14:textId="77777777" w:rsidR="00ED2EBD" w:rsidRPr="00BD16B4" w:rsidRDefault="00ED2EBD" w:rsidP="004A205F">
            <w:pPr>
              <w:pStyle w:val="TableText"/>
              <w:spacing w:before="40" w:after="40"/>
              <w:jc w:val="right"/>
              <w:rPr>
                <w:szCs w:val="18"/>
              </w:rPr>
            </w:pPr>
            <w:r w:rsidRPr="00BD16B4">
              <w:rPr>
                <w:szCs w:val="18"/>
              </w:rPr>
              <w:t>0.42</w:t>
            </w:r>
          </w:p>
        </w:tc>
        <w:tc>
          <w:tcPr>
            <w:tcW w:w="907" w:type="dxa"/>
            <w:shd w:val="clear" w:color="auto" w:fill="auto"/>
          </w:tcPr>
          <w:p w14:paraId="3EC3D954" w14:textId="77777777" w:rsidR="00ED2EBD" w:rsidRPr="00BD16B4" w:rsidRDefault="00ED2EBD" w:rsidP="004A205F">
            <w:pPr>
              <w:pStyle w:val="TableText"/>
              <w:spacing w:before="40" w:after="40"/>
              <w:jc w:val="right"/>
              <w:rPr>
                <w:szCs w:val="18"/>
              </w:rPr>
            </w:pPr>
            <w:r w:rsidRPr="00BD16B4">
              <w:rPr>
                <w:szCs w:val="18"/>
              </w:rPr>
              <w:t>0.43</w:t>
            </w:r>
          </w:p>
        </w:tc>
        <w:tc>
          <w:tcPr>
            <w:tcW w:w="907" w:type="dxa"/>
            <w:shd w:val="clear" w:color="auto" w:fill="auto"/>
          </w:tcPr>
          <w:p w14:paraId="7A75437A" w14:textId="77777777" w:rsidR="00ED2EBD" w:rsidRPr="00BD16B4" w:rsidRDefault="00ED2EBD" w:rsidP="004A205F">
            <w:pPr>
              <w:pStyle w:val="TableText"/>
              <w:spacing w:before="40" w:after="40"/>
              <w:jc w:val="right"/>
              <w:rPr>
                <w:szCs w:val="18"/>
              </w:rPr>
            </w:pPr>
            <w:r w:rsidRPr="00BD16B4">
              <w:rPr>
                <w:szCs w:val="18"/>
              </w:rPr>
              <w:t>0.43</w:t>
            </w:r>
          </w:p>
        </w:tc>
        <w:tc>
          <w:tcPr>
            <w:tcW w:w="907" w:type="dxa"/>
            <w:shd w:val="clear" w:color="auto" w:fill="auto"/>
          </w:tcPr>
          <w:p w14:paraId="7FAAA8F6" w14:textId="77777777" w:rsidR="00ED2EBD" w:rsidRPr="00BD16B4" w:rsidRDefault="00ED2EBD" w:rsidP="004A205F">
            <w:pPr>
              <w:pStyle w:val="TableText"/>
              <w:spacing w:before="40" w:after="40"/>
              <w:jc w:val="right"/>
              <w:rPr>
                <w:szCs w:val="18"/>
              </w:rPr>
            </w:pPr>
            <w:r w:rsidRPr="00BD16B4">
              <w:rPr>
                <w:szCs w:val="18"/>
              </w:rPr>
              <w:t>0.43</w:t>
            </w:r>
          </w:p>
        </w:tc>
        <w:tc>
          <w:tcPr>
            <w:tcW w:w="907" w:type="dxa"/>
            <w:shd w:val="clear" w:color="auto" w:fill="auto"/>
          </w:tcPr>
          <w:p w14:paraId="5120D921" w14:textId="77777777" w:rsidR="00ED2EBD" w:rsidRPr="00BD16B4" w:rsidRDefault="00ED2EBD" w:rsidP="004A205F">
            <w:pPr>
              <w:pStyle w:val="TableText"/>
              <w:spacing w:before="40" w:after="40"/>
              <w:jc w:val="right"/>
              <w:rPr>
                <w:szCs w:val="18"/>
              </w:rPr>
            </w:pPr>
            <w:r w:rsidRPr="00BD16B4">
              <w:rPr>
                <w:szCs w:val="18"/>
              </w:rPr>
              <w:t>0.43</w:t>
            </w:r>
          </w:p>
        </w:tc>
      </w:tr>
      <w:tr w:rsidR="002A2A69" w:rsidRPr="00BD16B4" w14:paraId="0AC78039" w14:textId="77777777" w:rsidTr="004625B0">
        <w:tc>
          <w:tcPr>
            <w:tcW w:w="4106" w:type="dxa"/>
          </w:tcPr>
          <w:p w14:paraId="726DCC86" w14:textId="671D72A0" w:rsidR="00ED2EBD" w:rsidRPr="00BD16B4" w:rsidRDefault="00ED2EBD" w:rsidP="004A205F">
            <w:pPr>
              <w:pStyle w:val="TableText"/>
              <w:spacing w:before="40" w:after="40"/>
              <w:rPr>
                <w:szCs w:val="18"/>
              </w:rPr>
            </w:pPr>
            <w:r w:rsidRPr="00BD16B4">
              <w:rPr>
                <w:szCs w:val="18"/>
              </w:rPr>
              <w:t>A.</w:t>
            </w:r>
            <w:r w:rsidR="00280979" w:rsidRPr="00BD16B4">
              <w:rPr>
                <w:szCs w:val="18"/>
              </w:rPr>
              <w:t xml:space="preserve"> </w:t>
            </w:r>
            <w:r w:rsidRPr="00BD16B4">
              <w:rPr>
                <w:szCs w:val="18"/>
              </w:rPr>
              <w:t xml:space="preserve">Solid waste disposal </w:t>
            </w:r>
          </w:p>
        </w:tc>
        <w:tc>
          <w:tcPr>
            <w:tcW w:w="907" w:type="dxa"/>
            <w:shd w:val="clear" w:color="auto" w:fill="auto"/>
          </w:tcPr>
          <w:p w14:paraId="794C2FAE"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shd w:val="clear" w:color="auto" w:fill="auto"/>
          </w:tcPr>
          <w:p w14:paraId="7ACE21EA"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shd w:val="clear" w:color="auto" w:fill="auto"/>
          </w:tcPr>
          <w:p w14:paraId="50F80A0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shd w:val="clear" w:color="auto" w:fill="auto"/>
          </w:tcPr>
          <w:p w14:paraId="56A5069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shd w:val="clear" w:color="auto" w:fill="auto"/>
          </w:tcPr>
          <w:p w14:paraId="13FB494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shd w:val="clear" w:color="auto" w:fill="auto"/>
          </w:tcPr>
          <w:p w14:paraId="2A369131"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shd w:val="clear" w:color="auto" w:fill="auto"/>
          </w:tcPr>
          <w:p w14:paraId="0A6CD65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shd w:val="clear" w:color="auto" w:fill="auto"/>
          </w:tcPr>
          <w:p w14:paraId="0C66F99C"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shd w:val="clear" w:color="auto" w:fill="auto"/>
          </w:tcPr>
          <w:p w14:paraId="658285C6"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shd w:val="clear" w:color="auto" w:fill="auto"/>
          </w:tcPr>
          <w:p w14:paraId="5B52EE4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shd w:val="clear" w:color="auto" w:fill="auto"/>
          </w:tcPr>
          <w:p w14:paraId="178CACA2" w14:textId="77777777" w:rsidR="00ED2EBD" w:rsidRPr="00BD16B4" w:rsidRDefault="00ED2EBD" w:rsidP="004A205F">
            <w:pPr>
              <w:pStyle w:val="TableText"/>
              <w:spacing w:before="40" w:after="40"/>
              <w:jc w:val="right"/>
              <w:rPr>
                <w:szCs w:val="18"/>
              </w:rPr>
            </w:pPr>
            <w:r w:rsidRPr="00BD16B4">
              <w:rPr>
                <w:color w:val="000000"/>
                <w:szCs w:val="18"/>
              </w:rPr>
              <w:t> </w:t>
            </w:r>
          </w:p>
        </w:tc>
      </w:tr>
      <w:tr w:rsidR="002A2A69" w:rsidRPr="00BD16B4" w14:paraId="2F8CE550" w14:textId="77777777" w:rsidTr="004625B0">
        <w:tc>
          <w:tcPr>
            <w:tcW w:w="4106" w:type="dxa"/>
          </w:tcPr>
          <w:p w14:paraId="228EB51E" w14:textId="36069B06" w:rsidR="00ED2EBD" w:rsidRPr="00BD16B4" w:rsidRDefault="00ED2EBD" w:rsidP="004A205F">
            <w:pPr>
              <w:pStyle w:val="TableText"/>
              <w:spacing w:before="40" w:after="40"/>
              <w:rPr>
                <w:szCs w:val="18"/>
              </w:rPr>
            </w:pPr>
            <w:r w:rsidRPr="00BD16B4">
              <w:rPr>
                <w:szCs w:val="18"/>
              </w:rPr>
              <w:t>B.</w:t>
            </w:r>
            <w:r w:rsidR="00280979" w:rsidRPr="00BD16B4">
              <w:rPr>
                <w:szCs w:val="18"/>
              </w:rPr>
              <w:t xml:space="preserve"> </w:t>
            </w:r>
            <w:r w:rsidRPr="00BD16B4">
              <w:rPr>
                <w:szCs w:val="18"/>
              </w:rPr>
              <w:t>Biological treatment of solid waste</w:t>
            </w:r>
          </w:p>
        </w:tc>
        <w:tc>
          <w:tcPr>
            <w:tcW w:w="907" w:type="dxa"/>
            <w:shd w:val="clear" w:color="auto" w:fill="auto"/>
          </w:tcPr>
          <w:p w14:paraId="57C71265" w14:textId="77777777" w:rsidR="00ED2EBD" w:rsidRPr="00BD16B4" w:rsidRDefault="00ED2EBD" w:rsidP="004A205F">
            <w:pPr>
              <w:pStyle w:val="TableText"/>
              <w:spacing w:before="40" w:after="40"/>
              <w:jc w:val="right"/>
              <w:rPr>
                <w:szCs w:val="18"/>
              </w:rPr>
            </w:pPr>
            <w:r w:rsidRPr="00BD16B4">
              <w:rPr>
                <w:szCs w:val="18"/>
              </w:rPr>
              <w:t>0.01</w:t>
            </w:r>
          </w:p>
        </w:tc>
        <w:tc>
          <w:tcPr>
            <w:tcW w:w="907" w:type="dxa"/>
            <w:shd w:val="clear" w:color="auto" w:fill="auto"/>
          </w:tcPr>
          <w:p w14:paraId="0B198602" w14:textId="77777777" w:rsidR="00ED2EBD" w:rsidRPr="00BD16B4" w:rsidRDefault="00ED2EBD" w:rsidP="004A205F">
            <w:pPr>
              <w:pStyle w:val="TableText"/>
              <w:spacing w:before="40" w:after="40"/>
              <w:jc w:val="right"/>
              <w:rPr>
                <w:szCs w:val="18"/>
              </w:rPr>
            </w:pPr>
            <w:r w:rsidRPr="00BD16B4">
              <w:rPr>
                <w:szCs w:val="18"/>
              </w:rPr>
              <w:t>0.01</w:t>
            </w:r>
          </w:p>
        </w:tc>
        <w:tc>
          <w:tcPr>
            <w:tcW w:w="907" w:type="dxa"/>
            <w:shd w:val="clear" w:color="auto" w:fill="auto"/>
          </w:tcPr>
          <w:p w14:paraId="6D36C1FB" w14:textId="77777777" w:rsidR="00ED2EBD" w:rsidRPr="00BD16B4" w:rsidRDefault="00ED2EBD" w:rsidP="004A205F">
            <w:pPr>
              <w:pStyle w:val="TableText"/>
              <w:spacing w:before="40" w:after="40"/>
              <w:jc w:val="right"/>
              <w:rPr>
                <w:szCs w:val="18"/>
              </w:rPr>
            </w:pPr>
            <w:r w:rsidRPr="00BD16B4">
              <w:rPr>
                <w:szCs w:val="18"/>
              </w:rPr>
              <w:t>0.01</w:t>
            </w:r>
          </w:p>
        </w:tc>
        <w:tc>
          <w:tcPr>
            <w:tcW w:w="907" w:type="dxa"/>
            <w:shd w:val="clear" w:color="auto" w:fill="auto"/>
          </w:tcPr>
          <w:p w14:paraId="68BCB06B" w14:textId="77777777" w:rsidR="00ED2EBD" w:rsidRPr="00BD16B4" w:rsidRDefault="00ED2EBD" w:rsidP="004A205F">
            <w:pPr>
              <w:pStyle w:val="TableText"/>
              <w:spacing w:before="40" w:after="40"/>
              <w:jc w:val="right"/>
              <w:rPr>
                <w:szCs w:val="18"/>
              </w:rPr>
            </w:pPr>
            <w:r w:rsidRPr="00BD16B4">
              <w:rPr>
                <w:szCs w:val="18"/>
              </w:rPr>
              <w:t>0.01</w:t>
            </w:r>
          </w:p>
        </w:tc>
        <w:tc>
          <w:tcPr>
            <w:tcW w:w="907" w:type="dxa"/>
            <w:shd w:val="clear" w:color="auto" w:fill="auto"/>
          </w:tcPr>
          <w:p w14:paraId="29C8EAFD" w14:textId="77777777" w:rsidR="00ED2EBD" w:rsidRPr="00BD16B4" w:rsidRDefault="00ED2EBD" w:rsidP="004A205F">
            <w:pPr>
              <w:pStyle w:val="TableText"/>
              <w:spacing w:before="40" w:after="40"/>
              <w:jc w:val="right"/>
              <w:rPr>
                <w:szCs w:val="18"/>
              </w:rPr>
            </w:pPr>
            <w:r w:rsidRPr="00BD16B4">
              <w:rPr>
                <w:szCs w:val="18"/>
              </w:rPr>
              <w:t>0.01</w:t>
            </w:r>
          </w:p>
        </w:tc>
        <w:tc>
          <w:tcPr>
            <w:tcW w:w="907" w:type="dxa"/>
            <w:shd w:val="clear" w:color="auto" w:fill="auto"/>
          </w:tcPr>
          <w:p w14:paraId="1BEBB7E4" w14:textId="77777777" w:rsidR="00ED2EBD" w:rsidRPr="00BD16B4" w:rsidRDefault="00ED2EBD" w:rsidP="004A205F">
            <w:pPr>
              <w:pStyle w:val="TableText"/>
              <w:spacing w:before="40" w:after="40"/>
              <w:jc w:val="right"/>
              <w:rPr>
                <w:szCs w:val="18"/>
              </w:rPr>
            </w:pPr>
            <w:r w:rsidRPr="00BD16B4">
              <w:rPr>
                <w:szCs w:val="18"/>
              </w:rPr>
              <w:t>0.01</w:t>
            </w:r>
          </w:p>
        </w:tc>
        <w:tc>
          <w:tcPr>
            <w:tcW w:w="907" w:type="dxa"/>
            <w:shd w:val="clear" w:color="auto" w:fill="auto"/>
          </w:tcPr>
          <w:p w14:paraId="3CFA6059" w14:textId="77777777" w:rsidR="00ED2EBD" w:rsidRPr="00BD16B4" w:rsidRDefault="00ED2EBD" w:rsidP="004A205F">
            <w:pPr>
              <w:pStyle w:val="TableText"/>
              <w:spacing w:before="40" w:after="40"/>
              <w:jc w:val="right"/>
              <w:rPr>
                <w:szCs w:val="18"/>
              </w:rPr>
            </w:pPr>
            <w:r w:rsidRPr="00BD16B4">
              <w:rPr>
                <w:szCs w:val="18"/>
              </w:rPr>
              <w:t>0.01</w:t>
            </w:r>
          </w:p>
        </w:tc>
        <w:tc>
          <w:tcPr>
            <w:tcW w:w="907" w:type="dxa"/>
            <w:shd w:val="clear" w:color="auto" w:fill="auto"/>
          </w:tcPr>
          <w:p w14:paraId="6C4F0AD9" w14:textId="77777777" w:rsidR="00ED2EBD" w:rsidRPr="00BD16B4" w:rsidRDefault="00ED2EBD" w:rsidP="004A205F">
            <w:pPr>
              <w:pStyle w:val="TableText"/>
              <w:spacing w:before="40" w:after="40"/>
              <w:jc w:val="right"/>
              <w:rPr>
                <w:szCs w:val="18"/>
              </w:rPr>
            </w:pPr>
            <w:r w:rsidRPr="00BD16B4">
              <w:rPr>
                <w:szCs w:val="18"/>
              </w:rPr>
              <w:t>0.01</w:t>
            </w:r>
          </w:p>
        </w:tc>
        <w:tc>
          <w:tcPr>
            <w:tcW w:w="907" w:type="dxa"/>
            <w:shd w:val="clear" w:color="auto" w:fill="auto"/>
          </w:tcPr>
          <w:p w14:paraId="2F6022D7" w14:textId="77777777" w:rsidR="00ED2EBD" w:rsidRPr="00BD16B4" w:rsidRDefault="00ED2EBD" w:rsidP="004A205F">
            <w:pPr>
              <w:pStyle w:val="TableText"/>
              <w:spacing w:before="40" w:after="40"/>
              <w:jc w:val="right"/>
              <w:rPr>
                <w:szCs w:val="18"/>
              </w:rPr>
            </w:pPr>
            <w:r w:rsidRPr="00BD16B4">
              <w:rPr>
                <w:szCs w:val="18"/>
              </w:rPr>
              <w:t>0.01</w:t>
            </w:r>
          </w:p>
        </w:tc>
        <w:tc>
          <w:tcPr>
            <w:tcW w:w="907" w:type="dxa"/>
            <w:shd w:val="clear" w:color="auto" w:fill="auto"/>
          </w:tcPr>
          <w:p w14:paraId="16255D43" w14:textId="77777777" w:rsidR="00ED2EBD" w:rsidRPr="00BD16B4" w:rsidRDefault="00ED2EBD" w:rsidP="004A205F">
            <w:pPr>
              <w:pStyle w:val="TableText"/>
              <w:spacing w:before="40" w:after="40"/>
              <w:jc w:val="right"/>
              <w:rPr>
                <w:szCs w:val="18"/>
              </w:rPr>
            </w:pPr>
            <w:r w:rsidRPr="00BD16B4">
              <w:rPr>
                <w:szCs w:val="18"/>
              </w:rPr>
              <w:t>0.01</w:t>
            </w:r>
          </w:p>
        </w:tc>
        <w:tc>
          <w:tcPr>
            <w:tcW w:w="907" w:type="dxa"/>
            <w:shd w:val="clear" w:color="auto" w:fill="auto"/>
          </w:tcPr>
          <w:p w14:paraId="32778DEF" w14:textId="77777777" w:rsidR="00ED2EBD" w:rsidRPr="00BD16B4" w:rsidRDefault="00ED2EBD" w:rsidP="004A205F">
            <w:pPr>
              <w:pStyle w:val="TableText"/>
              <w:spacing w:before="40" w:after="40"/>
              <w:jc w:val="right"/>
              <w:rPr>
                <w:szCs w:val="18"/>
              </w:rPr>
            </w:pPr>
            <w:r w:rsidRPr="00BD16B4">
              <w:rPr>
                <w:szCs w:val="18"/>
              </w:rPr>
              <w:t>0.01</w:t>
            </w:r>
          </w:p>
        </w:tc>
      </w:tr>
      <w:tr w:rsidR="002A2A69" w:rsidRPr="00BD16B4" w14:paraId="0ED854E1" w14:textId="77777777" w:rsidTr="004625B0">
        <w:tc>
          <w:tcPr>
            <w:tcW w:w="4106" w:type="dxa"/>
          </w:tcPr>
          <w:p w14:paraId="4B45FF96" w14:textId="6A4D82EF" w:rsidR="00ED2EBD" w:rsidRPr="00BD16B4" w:rsidRDefault="00ED2EBD" w:rsidP="004A205F">
            <w:pPr>
              <w:pStyle w:val="TableText"/>
              <w:spacing w:before="40" w:after="40"/>
              <w:rPr>
                <w:szCs w:val="18"/>
              </w:rPr>
            </w:pPr>
            <w:r w:rsidRPr="00BD16B4">
              <w:rPr>
                <w:szCs w:val="18"/>
              </w:rPr>
              <w:t>C.</w:t>
            </w:r>
            <w:r w:rsidR="00280979" w:rsidRPr="00BD16B4">
              <w:rPr>
                <w:szCs w:val="18"/>
              </w:rPr>
              <w:t xml:space="preserve"> </w:t>
            </w:r>
            <w:r w:rsidRPr="00BD16B4">
              <w:rPr>
                <w:szCs w:val="18"/>
              </w:rPr>
              <w:t>Incineration and open burning of waste</w:t>
            </w:r>
          </w:p>
        </w:tc>
        <w:tc>
          <w:tcPr>
            <w:tcW w:w="907" w:type="dxa"/>
            <w:shd w:val="clear" w:color="auto" w:fill="auto"/>
          </w:tcPr>
          <w:p w14:paraId="576AE8F2" w14:textId="77777777" w:rsidR="00ED2EBD" w:rsidRPr="00BD16B4" w:rsidRDefault="00ED2EBD" w:rsidP="004A205F">
            <w:pPr>
              <w:pStyle w:val="TableText"/>
              <w:spacing w:before="40" w:after="40"/>
              <w:jc w:val="right"/>
              <w:rPr>
                <w:szCs w:val="18"/>
              </w:rPr>
            </w:pPr>
            <w:r w:rsidRPr="00BD16B4">
              <w:rPr>
                <w:szCs w:val="18"/>
              </w:rPr>
              <w:t>0.10</w:t>
            </w:r>
          </w:p>
        </w:tc>
        <w:tc>
          <w:tcPr>
            <w:tcW w:w="907" w:type="dxa"/>
            <w:shd w:val="clear" w:color="auto" w:fill="auto"/>
          </w:tcPr>
          <w:p w14:paraId="3B776262" w14:textId="77777777" w:rsidR="00ED2EBD" w:rsidRPr="00BD16B4" w:rsidRDefault="00ED2EBD" w:rsidP="004A205F">
            <w:pPr>
              <w:pStyle w:val="TableText"/>
              <w:spacing w:before="40" w:after="40"/>
              <w:jc w:val="right"/>
              <w:rPr>
                <w:szCs w:val="18"/>
              </w:rPr>
            </w:pPr>
            <w:r w:rsidRPr="00BD16B4">
              <w:rPr>
                <w:szCs w:val="18"/>
              </w:rPr>
              <w:t>0.09</w:t>
            </w:r>
          </w:p>
        </w:tc>
        <w:tc>
          <w:tcPr>
            <w:tcW w:w="907" w:type="dxa"/>
            <w:shd w:val="clear" w:color="auto" w:fill="auto"/>
          </w:tcPr>
          <w:p w14:paraId="6E06149A" w14:textId="77777777" w:rsidR="00ED2EBD" w:rsidRPr="00BD16B4" w:rsidRDefault="00ED2EBD" w:rsidP="004A205F">
            <w:pPr>
              <w:pStyle w:val="TableText"/>
              <w:spacing w:before="40" w:after="40"/>
              <w:jc w:val="right"/>
              <w:rPr>
                <w:szCs w:val="18"/>
              </w:rPr>
            </w:pPr>
            <w:r w:rsidRPr="00BD16B4">
              <w:rPr>
                <w:szCs w:val="18"/>
              </w:rPr>
              <w:t>0.09</w:t>
            </w:r>
          </w:p>
        </w:tc>
        <w:tc>
          <w:tcPr>
            <w:tcW w:w="907" w:type="dxa"/>
            <w:shd w:val="clear" w:color="auto" w:fill="auto"/>
          </w:tcPr>
          <w:p w14:paraId="7A515153" w14:textId="77777777" w:rsidR="00ED2EBD" w:rsidRPr="00BD16B4" w:rsidRDefault="00ED2EBD" w:rsidP="004A205F">
            <w:pPr>
              <w:pStyle w:val="TableText"/>
              <w:spacing w:before="40" w:after="40"/>
              <w:jc w:val="right"/>
              <w:rPr>
                <w:szCs w:val="18"/>
              </w:rPr>
            </w:pPr>
            <w:r w:rsidRPr="00BD16B4">
              <w:rPr>
                <w:szCs w:val="18"/>
              </w:rPr>
              <w:t>0.09</w:t>
            </w:r>
          </w:p>
        </w:tc>
        <w:tc>
          <w:tcPr>
            <w:tcW w:w="907" w:type="dxa"/>
            <w:shd w:val="clear" w:color="auto" w:fill="auto"/>
          </w:tcPr>
          <w:p w14:paraId="1CA9E73F" w14:textId="77777777" w:rsidR="00ED2EBD" w:rsidRPr="00BD16B4" w:rsidRDefault="00ED2EBD" w:rsidP="004A205F">
            <w:pPr>
              <w:pStyle w:val="TableText"/>
              <w:spacing w:before="40" w:after="40"/>
              <w:jc w:val="right"/>
              <w:rPr>
                <w:szCs w:val="18"/>
              </w:rPr>
            </w:pPr>
            <w:r w:rsidRPr="00BD16B4">
              <w:rPr>
                <w:szCs w:val="18"/>
              </w:rPr>
              <w:t>0.08</w:t>
            </w:r>
          </w:p>
        </w:tc>
        <w:tc>
          <w:tcPr>
            <w:tcW w:w="907" w:type="dxa"/>
            <w:shd w:val="clear" w:color="auto" w:fill="auto"/>
          </w:tcPr>
          <w:p w14:paraId="3D192CBC" w14:textId="77777777" w:rsidR="00ED2EBD" w:rsidRPr="00BD16B4" w:rsidRDefault="00ED2EBD" w:rsidP="004A205F">
            <w:pPr>
              <w:pStyle w:val="TableText"/>
              <w:spacing w:before="40" w:after="40"/>
              <w:jc w:val="right"/>
              <w:rPr>
                <w:szCs w:val="18"/>
              </w:rPr>
            </w:pPr>
            <w:r w:rsidRPr="00BD16B4">
              <w:rPr>
                <w:szCs w:val="18"/>
              </w:rPr>
              <w:t>0.08</w:t>
            </w:r>
          </w:p>
        </w:tc>
        <w:tc>
          <w:tcPr>
            <w:tcW w:w="907" w:type="dxa"/>
            <w:shd w:val="clear" w:color="auto" w:fill="auto"/>
          </w:tcPr>
          <w:p w14:paraId="09D601C4" w14:textId="77777777" w:rsidR="00ED2EBD" w:rsidRPr="00BD16B4" w:rsidRDefault="00ED2EBD" w:rsidP="004A205F">
            <w:pPr>
              <w:pStyle w:val="TableText"/>
              <w:spacing w:before="40" w:after="40"/>
              <w:jc w:val="right"/>
              <w:rPr>
                <w:szCs w:val="18"/>
              </w:rPr>
            </w:pPr>
            <w:r w:rsidRPr="00BD16B4">
              <w:rPr>
                <w:szCs w:val="18"/>
              </w:rPr>
              <w:t>0.08</w:t>
            </w:r>
          </w:p>
        </w:tc>
        <w:tc>
          <w:tcPr>
            <w:tcW w:w="907" w:type="dxa"/>
            <w:shd w:val="clear" w:color="auto" w:fill="auto"/>
          </w:tcPr>
          <w:p w14:paraId="720E6B08" w14:textId="77777777" w:rsidR="00ED2EBD" w:rsidRPr="00BD16B4" w:rsidRDefault="00ED2EBD" w:rsidP="004A205F">
            <w:pPr>
              <w:pStyle w:val="TableText"/>
              <w:spacing w:before="40" w:after="40"/>
              <w:jc w:val="right"/>
              <w:rPr>
                <w:szCs w:val="18"/>
              </w:rPr>
            </w:pPr>
            <w:r w:rsidRPr="00BD16B4">
              <w:rPr>
                <w:szCs w:val="18"/>
              </w:rPr>
              <w:t>0.08</w:t>
            </w:r>
          </w:p>
        </w:tc>
        <w:tc>
          <w:tcPr>
            <w:tcW w:w="907" w:type="dxa"/>
            <w:shd w:val="clear" w:color="auto" w:fill="auto"/>
          </w:tcPr>
          <w:p w14:paraId="2E2CFFE7" w14:textId="77777777" w:rsidR="00ED2EBD" w:rsidRPr="00BD16B4" w:rsidRDefault="00ED2EBD" w:rsidP="004A205F">
            <w:pPr>
              <w:pStyle w:val="TableText"/>
              <w:spacing w:before="40" w:after="40"/>
              <w:jc w:val="right"/>
              <w:rPr>
                <w:szCs w:val="18"/>
              </w:rPr>
            </w:pPr>
            <w:r w:rsidRPr="00BD16B4">
              <w:rPr>
                <w:szCs w:val="18"/>
              </w:rPr>
              <w:t>0.08</w:t>
            </w:r>
          </w:p>
        </w:tc>
        <w:tc>
          <w:tcPr>
            <w:tcW w:w="907" w:type="dxa"/>
            <w:shd w:val="clear" w:color="auto" w:fill="auto"/>
          </w:tcPr>
          <w:p w14:paraId="0F620D46" w14:textId="77777777" w:rsidR="00ED2EBD" w:rsidRPr="00BD16B4" w:rsidRDefault="00ED2EBD" w:rsidP="004A205F">
            <w:pPr>
              <w:pStyle w:val="TableText"/>
              <w:spacing w:before="40" w:after="40"/>
              <w:jc w:val="right"/>
              <w:rPr>
                <w:szCs w:val="18"/>
              </w:rPr>
            </w:pPr>
            <w:r w:rsidRPr="00BD16B4">
              <w:rPr>
                <w:szCs w:val="18"/>
              </w:rPr>
              <w:t>0.07</w:t>
            </w:r>
          </w:p>
        </w:tc>
        <w:tc>
          <w:tcPr>
            <w:tcW w:w="907" w:type="dxa"/>
            <w:shd w:val="clear" w:color="auto" w:fill="auto"/>
          </w:tcPr>
          <w:p w14:paraId="3FA3ED6D" w14:textId="77777777" w:rsidR="00ED2EBD" w:rsidRPr="00BD16B4" w:rsidRDefault="00ED2EBD" w:rsidP="004A205F">
            <w:pPr>
              <w:pStyle w:val="TableText"/>
              <w:spacing w:before="40" w:after="40"/>
              <w:jc w:val="right"/>
              <w:rPr>
                <w:szCs w:val="18"/>
              </w:rPr>
            </w:pPr>
            <w:r w:rsidRPr="00BD16B4">
              <w:rPr>
                <w:szCs w:val="18"/>
              </w:rPr>
              <w:t>0.07</w:t>
            </w:r>
          </w:p>
        </w:tc>
      </w:tr>
      <w:tr w:rsidR="002A2A69" w:rsidRPr="00BD16B4" w14:paraId="2AFA8057" w14:textId="77777777" w:rsidTr="004625B0">
        <w:tc>
          <w:tcPr>
            <w:tcW w:w="4106" w:type="dxa"/>
          </w:tcPr>
          <w:p w14:paraId="1C3CECE5" w14:textId="66EA3121" w:rsidR="00ED2EBD" w:rsidRPr="00BD16B4" w:rsidRDefault="00ED2EBD" w:rsidP="004A205F">
            <w:pPr>
              <w:pStyle w:val="TableText"/>
              <w:spacing w:before="40" w:after="40"/>
              <w:rPr>
                <w:szCs w:val="18"/>
              </w:rPr>
            </w:pPr>
            <w:r w:rsidRPr="00BD16B4">
              <w:rPr>
                <w:szCs w:val="18"/>
              </w:rPr>
              <w:t>D.</w:t>
            </w:r>
            <w:r w:rsidR="00280979" w:rsidRPr="00BD16B4">
              <w:rPr>
                <w:szCs w:val="18"/>
              </w:rPr>
              <w:t xml:space="preserve"> </w:t>
            </w:r>
            <w:r w:rsidRPr="00BD16B4">
              <w:rPr>
                <w:szCs w:val="18"/>
              </w:rPr>
              <w:t>Waste water treatment and discharge</w:t>
            </w:r>
          </w:p>
        </w:tc>
        <w:tc>
          <w:tcPr>
            <w:tcW w:w="907" w:type="dxa"/>
            <w:tcBorders>
              <w:bottom w:val="single" w:sz="4" w:space="0" w:color="1B556B" w:themeColor="text2"/>
            </w:tcBorders>
            <w:shd w:val="clear" w:color="auto" w:fill="auto"/>
          </w:tcPr>
          <w:p w14:paraId="6858C6A9" w14:textId="77777777" w:rsidR="00ED2EBD" w:rsidRPr="00BD16B4" w:rsidRDefault="00ED2EBD" w:rsidP="004A205F">
            <w:pPr>
              <w:pStyle w:val="TableText"/>
              <w:spacing w:before="40" w:after="40"/>
              <w:jc w:val="right"/>
              <w:rPr>
                <w:szCs w:val="18"/>
              </w:rPr>
            </w:pPr>
            <w:r w:rsidRPr="00BD16B4">
              <w:rPr>
                <w:szCs w:val="18"/>
              </w:rPr>
              <w:t>0.32</w:t>
            </w:r>
          </w:p>
        </w:tc>
        <w:tc>
          <w:tcPr>
            <w:tcW w:w="907" w:type="dxa"/>
            <w:tcBorders>
              <w:bottom w:val="single" w:sz="4" w:space="0" w:color="1B556B" w:themeColor="text2"/>
            </w:tcBorders>
            <w:shd w:val="clear" w:color="auto" w:fill="auto"/>
          </w:tcPr>
          <w:p w14:paraId="30CA2773" w14:textId="77777777" w:rsidR="00ED2EBD" w:rsidRPr="00BD16B4" w:rsidRDefault="00ED2EBD" w:rsidP="004A205F">
            <w:pPr>
              <w:pStyle w:val="TableText"/>
              <w:spacing w:before="40" w:after="40"/>
              <w:jc w:val="right"/>
              <w:rPr>
                <w:szCs w:val="18"/>
              </w:rPr>
            </w:pPr>
            <w:r w:rsidRPr="00BD16B4">
              <w:rPr>
                <w:szCs w:val="18"/>
              </w:rPr>
              <w:t>0.33</w:t>
            </w:r>
          </w:p>
        </w:tc>
        <w:tc>
          <w:tcPr>
            <w:tcW w:w="907" w:type="dxa"/>
            <w:tcBorders>
              <w:bottom w:val="single" w:sz="4" w:space="0" w:color="1B556B" w:themeColor="text2"/>
            </w:tcBorders>
            <w:shd w:val="clear" w:color="auto" w:fill="auto"/>
          </w:tcPr>
          <w:p w14:paraId="56582963" w14:textId="77777777" w:rsidR="00ED2EBD" w:rsidRPr="00BD16B4" w:rsidRDefault="00ED2EBD" w:rsidP="004A205F">
            <w:pPr>
              <w:pStyle w:val="TableText"/>
              <w:spacing w:before="40" w:after="40"/>
              <w:jc w:val="right"/>
              <w:rPr>
                <w:szCs w:val="18"/>
              </w:rPr>
            </w:pPr>
            <w:r w:rsidRPr="00BD16B4">
              <w:rPr>
                <w:szCs w:val="18"/>
              </w:rPr>
              <w:t>0.34</w:t>
            </w:r>
          </w:p>
        </w:tc>
        <w:tc>
          <w:tcPr>
            <w:tcW w:w="907" w:type="dxa"/>
            <w:tcBorders>
              <w:bottom w:val="single" w:sz="4" w:space="0" w:color="1B556B" w:themeColor="text2"/>
            </w:tcBorders>
            <w:shd w:val="clear" w:color="auto" w:fill="auto"/>
          </w:tcPr>
          <w:p w14:paraId="0F38A72A" w14:textId="77777777" w:rsidR="00ED2EBD" w:rsidRPr="00BD16B4" w:rsidRDefault="00ED2EBD" w:rsidP="004A205F">
            <w:pPr>
              <w:pStyle w:val="TableText"/>
              <w:spacing w:before="40" w:after="40"/>
              <w:jc w:val="right"/>
              <w:rPr>
                <w:szCs w:val="18"/>
              </w:rPr>
            </w:pPr>
            <w:r w:rsidRPr="00BD16B4">
              <w:rPr>
                <w:szCs w:val="18"/>
              </w:rPr>
              <w:t>0.33</w:t>
            </w:r>
          </w:p>
        </w:tc>
        <w:tc>
          <w:tcPr>
            <w:tcW w:w="907" w:type="dxa"/>
            <w:tcBorders>
              <w:bottom w:val="single" w:sz="4" w:space="0" w:color="1B556B" w:themeColor="text2"/>
            </w:tcBorders>
            <w:shd w:val="clear" w:color="auto" w:fill="auto"/>
          </w:tcPr>
          <w:p w14:paraId="0B71B4D4" w14:textId="77777777" w:rsidR="00ED2EBD" w:rsidRPr="00BD16B4" w:rsidRDefault="00ED2EBD" w:rsidP="004A205F">
            <w:pPr>
              <w:pStyle w:val="TableText"/>
              <w:spacing w:before="40" w:after="40"/>
              <w:jc w:val="right"/>
              <w:rPr>
                <w:szCs w:val="18"/>
              </w:rPr>
            </w:pPr>
            <w:r w:rsidRPr="00BD16B4">
              <w:rPr>
                <w:szCs w:val="18"/>
              </w:rPr>
              <w:t>0.33</w:t>
            </w:r>
          </w:p>
        </w:tc>
        <w:tc>
          <w:tcPr>
            <w:tcW w:w="907" w:type="dxa"/>
            <w:tcBorders>
              <w:bottom w:val="single" w:sz="4" w:space="0" w:color="1B556B" w:themeColor="text2"/>
            </w:tcBorders>
            <w:shd w:val="clear" w:color="auto" w:fill="auto"/>
          </w:tcPr>
          <w:p w14:paraId="2432CFD5" w14:textId="77777777" w:rsidR="00ED2EBD" w:rsidRPr="00BD16B4" w:rsidRDefault="00ED2EBD" w:rsidP="004A205F">
            <w:pPr>
              <w:pStyle w:val="TableText"/>
              <w:spacing w:before="40" w:after="40"/>
              <w:jc w:val="right"/>
              <w:rPr>
                <w:szCs w:val="18"/>
              </w:rPr>
            </w:pPr>
            <w:r w:rsidRPr="00BD16B4">
              <w:rPr>
                <w:szCs w:val="18"/>
              </w:rPr>
              <w:t>0.33</w:t>
            </w:r>
          </w:p>
        </w:tc>
        <w:tc>
          <w:tcPr>
            <w:tcW w:w="907" w:type="dxa"/>
            <w:tcBorders>
              <w:bottom w:val="single" w:sz="4" w:space="0" w:color="1B556B" w:themeColor="text2"/>
            </w:tcBorders>
            <w:shd w:val="clear" w:color="auto" w:fill="auto"/>
          </w:tcPr>
          <w:p w14:paraId="4C5BD54D" w14:textId="77777777" w:rsidR="00ED2EBD" w:rsidRPr="00BD16B4" w:rsidRDefault="00ED2EBD" w:rsidP="004A205F">
            <w:pPr>
              <w:pStyle w:val="TableText"/>
              <w:spacing w:before="40" w:after="40"/>
              <w:jc w:val="right"/>
              <w:rPr>
                <w:szCs w:val="18"/>
              </w:rPr>
            </w:pPr>
            <w:r w:rsidRPr="00BD16B4">
              <w:rPr>
                <w:szCs w:val="18"/>
              </w:rPr>
              <w:t>0.34</w:t>
            </w:r>
          </w:p>
        </w:tc>
        <w:tc>
          <w:tcPr>
            <w:tcW w:w="907" w:type="dxa"/>
            <w:tcBorders>
              <w:bottom w:val="single" w:sz="4" w:space="0" w:color="1B556B" w:themeColor="text2"/>
            </w:tcBorders>
            <w:shd w:val="clear" w:color="auto" w:fill="auto"/>
          </w:tcPr>
          <w:p w14:paraId="7A12CA47" w14:textId="77777777" w:rsidR="00ED2EBD" w:rsidRPr="00BD16B4" w:rsidRDefault="00ED2EBD" w:rsidP="004A205F">
            <w:pPr>
              <w:pStyle w:val="TableText"/>
              <w:spacing w:before="40" w:after="40"/>
              <w:jc w:val="right"/>
              <w:rPr>
                <w:szCs w:val="18"/>
              </w:rPr>
            </w:pPr>
            <w:r w:rsidRPr="00BD16B4">
              <w:rPr>
                <w:szCs w:val="18"/>
              </w:rPr>
              <w:t>0.34</w:t>
            </w:r>
          </w:p>
        </w:tc>
        <w:tc>
          <w:tcPr>
            <w:tcW w:w="907" w:type="dxa"/>
            <w:tcBorders>
              <w:bottom w:val="single" w:sz="4" w:space="0" w:color="1B556B" w:themeColor="text2"/>
            </w:tcBorders>
            <w:shd w:val="clear" w:color="auto" w:fill="auto"/>
          </w:tcPr>
          <w:p w14:paraId="3DE707CB" w14:textId="77777777" w:rsidR="00ED2EBD" w:rsidRPr="00BD16B4" w:rsidRDefault="00ED2EBD" w:rsidP="004A205F">
            <w:pPr>
              <w:pStyle w:val="TableText"/>
              <w:spacing w:before="40" w:after="40"/>
              <w:jc w:val="right"/>
              <w:rPr>
                <w:szCs w:val="18"/>
              </w:rPr>
            </w:pPr>
            <w:r w:rsidRPr="00BD16B4">
              <w:rPr>
                <w:szCs w:val="18"/>
              </w:rPr>
              <w:t>0.34</w:t>
            </w:r>
          </w:p>
        </w:tc>
        <w:tc>
          <w:tcPr>
            <w:tcW w:w="907" w:type="dxa"/>
            <w:tcBorders>
              <w:bottom w:val="single" w:sz="4" w:space="0" w:color="1B556B" w:themeColor="text2"/>
            </w:tcBorders>
            <w:shd w:val="clear" w:color="auto" w:fill="auto"/>
          </w:tcPr>
          <w:p w14:paraId="6322D647" w14:textId="77777777" w:rsidR="00ED2EBD" w:rsidRPr="00BD16B4" w:rsidRDefault="00ED2EBD" w:rsidP="004A205F">
            <w:pPr>
              <w:pStyle w:val="TableText"/>
              <w:spacing w:before="40" w:after="40"/>
              <w:jc w:val="right"/>
              <w:rPr>
                <w:szCs w:val="18"/>
              </w:rPr>
            </w:pPr>
            <w:r w:rsidRPr="00BD16B4">
              <w:rPr>
                <w:szCs w:val="18"/>
              </w:rPr>
              <w:t>0.34</w:t>
            </w:r>
          </w:p>
        </w:tc>
        <w:tc>
          <w:tcPr>
            <w:tcW w:w="907" w:type="dxa"/>
            <w:tcBorders>
              <w:bottom w:val="single" w:sz="4" w:space="0" w:color="1B556B" w:themeColor="text2"/>
            </w:tcBorders>
            <w:shd w:val="clear" w:color="auto" w:fill="auto"/>
          </w:tcPr>
          <w:p w14:paraId="4A835256" w14:textId="77777777" w:rsidR="00ED2EBD" w:rsidRPr="00BD16B4" w:rsidRDefault="00ED2EBD" w:rsidP="004A205F">
            <w:pPr>
              <w:pStyle w:val="TableText"/>
              <w:spacing w:before="40" w:after="40"/>
              <w:jc w:val="right"/>
              <w:rPr>
                <w:szCs w:val="18"/>
              </w:rPr>
            </w:pPr>
            <w:r w:rsidRPr="00BD16B4">
              <w:rPr>
                <w:szCs w:val="18"/>
              </w:rPr>
              <w:t>0.35</w:t>
            </w:r>
          </w:p>
        </w:tc>
      </w:tr>
      <w:tr w:rsidR="00ED2EBD" w:rsidRPr="00BD16B4" w14:paraId="2CB66EEB" w14:textId="77777777" w:rsidTr="004625B0">
        <w:tc>
          <w:tcPr>
            <w:tcW w:w="4106" w:type="dxa"/>
          </w:tcPr>
          <w:p w14:paraId="671A4DF0" w14:textId="5AE0AB82" w:rsidR="00ED2EBD" w:rsidRPr="00BD16B4" w:rsidRDefault="00ED2EBD" w:rsidP="004A205F">
            <w:pPr>
              <w:pStyle w:val="TableText"/>
              <w:spacing w:before="40" w:after="40"/>
              <w:rPr>
                <w:szCs w:val="18"/>
              </w:rPr>
            </w:pPr>
            <w:r w:rsidRPr="00BD16B4">
              <w:rPr>
                <w:szCs w:val="18"/>
              </w:rPr>
              <w:t>E.</w:t>
            </w:r>
            <w:r w:rsidR="00280979" w:rsidRPr="00BD16B4">
              <w:rPr>
                <w:szCs w:val="18"/>
              </w:rPr>
              <w:t xml:space="preserve"> </w:t>
            </w:r>
            <w:r w:rsidRPr="00BD16B4">
              <w:rPr>
                <w:szCs w:val="18"/>
              </w:rPr>
              <w:t xml:space="preserve">Other </w:t>
            </w:r>
          </w:p>
        </w:tc>
        <w:tc>
          <w:tcPr>
            <w:tcW w:w="907" w:type="dxa"/>
            <w:tcBorders>
              <w:top w:val="single" w:sz="4" w:space="0" w:color="1B556B" w:themeColor="text2"/>
            </w:tcBorders>
            <w:shd w:val="clear" w:color="auto" w:fill="D2DDE1" w:themeFill="background2"/>
          </w:tcPr>
          <w:p w14:paraId="772CE333"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01514C4"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3CA52C9"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3D6A99B"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D358F2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AC2927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5795590"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AD464F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131D735"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019DBAD" w14:textId="77777777" w:rsidR="00ED2EBD" w:rsidRPr="00BD16B4" w:rsidRDefault="00ED2EBD" w:rsidP="004A205F">
            <w:pPr>
              <w:pStyle w:val="TableText"/>
              <w:spacing w:before="40" w:after="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B0D6A5E" w14:textId="77777777" w:rsidR="00ED2EBD" w:rsidRPr="00BD16B4" w:rsidRDefault="00ED2EBD" w:rsidP="004A205F">
            <w:pPr>
              <w:pStyle w:val="TableText"/>
              <w:spacing w:before="40" w:after="40"/>
              <w:jc w:val="right"/>
              <w:rPr>
                <w:szCs w:val="18"/>
              </w:rPr>
            </w:pPr>
            <w:r w:rsidRPr="00BD16B4">
              <w:rPr>
                <w:color w:val="000000"/>
                <w:szCs w:val="18"/>
              </w:rPr>
              <w:t> </w:t>
            </w:r>
          </w:p>
        </w:tc>
      </w:tr>
      <w:tr w:rsidR="002A2A69" w:rsidRPr="00BD16B4" w14:paraId="41031847" w14:textId="77777777" w:rsidTr="004625B0">
        <w:tc>
          <w:tcPr>
            <w:tcW w:w="4106" w:type="dxa"/>
          </w:tcPr>
          <w:p w14:paraId="6DC9EDE2" w14:textId="147E0EE5" w:rsidR="00ED2EBD" w:rsidRPr="00BD16B4" w:rsidRDefault="00ED2EBD" w:rsidP="004A205F">
            <w:pPr>
              <w:pStyle w:val="TableText"/>
              <w:spacing w:before="40" w:after="40"/>
              <w:rPr>
                <w:szCs w:val="18"/>
              </w:rPr>
            </w:pPr>
            <w:r w:rsidRPr="00BD16B4">
              <w:rPr>
                <w:b/>
                <w:bCs/>
                <w:szCs w:val="18"/>
              </w:rPr>
              <w:t>6.</w:t>
            </w:r>
            <w:r w:rsidR="00280979" w:rsidRPr="00BD16B4">
              <w:rPr>
                <w:b/>
                <w:bCs/>
                <w:szCs w:val="18"/>
              </w:rPr>
              <w:t xml:space="preserve"> </w:t>
            </w:r>
            <w:r w:rsidRPr="00BD16B4">
              <w:rPr>
                <w:b/>
                <w:bCs/>
                <w:szCs w:val="18"/>
              </w:rPr>
              <w:t>Other (as specified in summary table A.1)</w:t>
            </w:r>
          </w:p>
        </w:tc>
        <w:tc>
          <w:tcPr>
            <w:tcW w:w="907" w:type="dxa"/>
            <w:shd w:val="clear" w:color="auto" w:fill="auto"/>
          </w:tcPr>
          <w:p w14:paraId="76B7E000"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0719453B"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6F81AB31"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5C9170EF"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52A65DA9"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5363F841"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3D37C9FA"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204C5909"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2C006040"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257930A6"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354C0907" w14:textId="77777777" w:rsidR="00ED2EBD" w:rsidRPr="00BD16B4" w:rsidRDefault="00ED2EBD" w:rsidP="004A205F">
            <w:pPr>
              <w:pStyle w:val="TableText"/>
              <w:spacing w:before="40" w:after="40"/>
              <w:jc w:val="right"/>
              <w:rPr>
                <w:szCs w:val="18"/>
              </w:rPr>
            </w:pPr>
            <w:r w:rsidRPr="00BD16B4">
              <w:rPr>
                <w:szCs w:val="18"/>
              </w:rPr>
              <w:t>0.00</w:t>
            </w:r>
          </w:p>
        </w:tc>
      </w:tr>
    </w:tbl>
    <w:p w14:paraId="2EC72141" w14:textId="77777777" w:rsidR="00ED2EBD" w:rsidRPr="00BD16B4" w:rsidRDefault="00ED2EBD" w:rsidP="00AB4526">
      <w:pPr>
        <w:spacing w:before="0"/>
      </w:pPr>
    </w:p>
    <w:p w14:paraId="28537CB4" w14:textId="77777777" w:rsidR="00ED2EBD" w:rsidRPr="00BD16B4" w:rsidRDefault="00ED2EBD" w:rsidP="00ED2EBD">
      <w:pPr>
        <w:pStyle w:val="CTFTableheading"/>
      </w:pPr>
      <w:r w:rsidRPr="00BD16B4">
        <w:t>Table A.4:</w:t>
      </w:r>
      <w:r w:rsidRPr="00BD16B4">
        <w:tab/>
        <w:t>Emissions trends (N</w:t>
      </w:r>
      <w:r w:rsidRPr="00BD16B4">
        <w:rPr>
          <w:vertAlign w:val="subscript"/>
        </w:rPr>
        <w:t>2</w:t>
      </w:r>
      <w:r w:rsidRPr="00BD16B4">
        <w:t>O) (CTF Table 1(c)) (part 3 of 3)</w:t>
      </w:r>
    </w:p>
    <w:tbl>
      <w:tblPr>
        <w:tblStyle w:val="MinistryfortheEnvironment"/>
        <w:tblW w:w="14515" w:type="dxa"/>
        <w:tblInd w:w="113" w:type="dxa"/>
        <w:tblCellMar>
          <w:bottom w:w="0" w:type="dxa"/>
        </w:tblCellMar>
        <w:tblLook w:val="04A0" w:firstRow="1" w:lastRow="0" w:firstColumn="1" w:lastColumn="0" w:noHBand="0" w:noVBand="1"/>
      </w:tblPr>
      <w:tblGrid>
        <w:gridCol w:w="4128"/>
        <w:gridCol w:w="945"/>
        <w:gridCol w:w="945"/>
        <w:gridCol w:w="945"/>
        <w:gridCol w:w="944"/>
        <w:gridCol w:w="944"/>
        <w:gridCol w:w="944"/>
        <w:gridCol w:w="944"/>
        <w:gridCol w:w="944"/>
        <w:gridCol w:w="944"/>
        <w:gridCol w:w="944"/>
        <w:gridCol w:w="944"/>
      </w:tblGrid>
      <w:tr w:rsidR="00ED2EBD" w:rsidRPr="00BD16B4" w14:paraId="7897D975" w14:textId="77777777" w:rsidTr="004625B0">
        <w:trPr>
          <w:cnfStyle w:val="100000000000" w:firstRow="1" w:lastRow="0" w:firstColumn="0" w:lastColumn="0" w:oddVBand="0" w:evenVBand="0" w:oddHBand="0" w:evenHBand="0" w:firstRowFirstColumn="0" w:firstRowLastColumn="0" w:lastRowFirstColumn="0" w:lastRowLastColumn="0"/>
          <w:tblHeader/>
        </w:trPr>
        <w:tc>
          <w:tcPr>
            <w:tcW w:w="3964" w:type="dxa"/>
            <w:tcBorders>
              <w:top w:val="single" w:sz="4" w:space="0" w:color="1B556B" w:themeColor="text2"/>
            </w:tcBorders>
            <w:vAlign w:val="bottom"/>
          </w:tcPr>
          <w:p w14:paraId="25E3C0D0" w14:textId="77777777" w:rsidR="00ED2EBD" w:rsidRPr="00BD16B4" w:rsidRDefault="00ED2EBD" w:rsidP="004A205F">
            <w:pPr>
              <w:pStyle w:val="TableTextbold"/>
              <w:spacing w:before="40"/>
              <w:rPr>
                <w:b/>
                <w:bCs/>
                <w:szCs w:val="18"/>
              </w:rPr>
            </w:pPr>
            <w:r w:rsidRPr="00BD16B4">
              <w:rPr>
                <w:b/>
                <w:bCs/>
                <w:szCs w:val="18"/>
              </w:rPr>
              <w:t xml:space="preserve">Greenhouse gas source and sink categories </w:t>
            </w:r>
          </w:p>
        </w:tc>
        <w:tc>
          <w:tcPr>
            <w:tcW w:w="907" w:type="dxa"/>
            <w:tcBorders>
              <w:top w:val="single" w:sz="4" w:space="0" w:color="1B556B" w:themeColor="text2"/>
            </w:tcBorders>
            <w:vAlign w:val="bottom"/>
          </w:tcPr>
          <w:p w14:paraId="2D68A09D" w14:textId="77777777" w:rsidR="00ED2EBD" w:rsidRPr="00BD16B4" w:rsidRDefault="00ED2EBD" w:rsidP="004A205F">
            <w:pPr>
              <w:pStyle w:val="TableTextbold"/>
              <w:spacing w:before="40"/>
              <w:jc w:val="center"/>
              <w:rPr>
                <w:b/>
                <w:bCs/>
                <w:szCs w:val="18"/>
              </w:rPr>
            </w:pPr>
            <w:r w:rsidRPr="00BD16B4">
              <w:rPr>
                <w:b/>
                <w:bCs/>
                <w:szCs w:val="18"/>
              </w:rPr>
              <w:t>2010</w:t>
            </w:r>
            <w:r w:rsidRPr="00BD16B4">
              <w:rPr>
                <w:b/>
                <w:bCs/>
                <w:szCs w:val="18"/>
              </w:rPr>
              <w:br/>
              <w:t>(kt)</w:t>
            </w:r>
          </w:p>
        </w:tc>
        <w:tc>
          <w:tcPr>
            <w:tcW w:w="907" w:type="dxa"/>
            <w:tcBorders>
              <w:top w:val="single" w:sz="4" w:space="0" w:color="1B556B" w:themeColor="text2"/>
            </w:tcBorders>
            <w:vAlign w:val="bottom"/>
          </w:tcPr>
          <w:p w14:paraId="21E67197" w14:textId="77777777" w:rsidR="00ED2EBD" w:rsidRPr="00BD16B4" w:rsidRDefault="00ED2EBD" w:rsidP="004A205F">
            <w:pPr>
              <w:pStyle w:val="TableTextbold"/>
              <w:spacing w:before="40"/>
              <w:jc w:val="center"/>
              <w:rPr>
                <w:b/>
                <w:bCs/>
                <w:szCs w:val="18"/>
              </w:rPr>
            </w:pPr>
            <w:r w:rsidRPr="00BD16B4">
              <w:rPr>
                <w:b/>
                <w:bCs/>
                <w:szCs w:val="18"/>
              </w:rPr>
              <w:t>2011</w:t>
            </w:r>
            <w:r w:rsidRPr="00BD16B4">
              <w:rPr>
                <w:b/>
                <w:bCs/>
                <w:szCs w:val="18"/>
              </w:rPr>
              <w:br/>
              <w:t>(kt)</w:t>
            </w:r>
          </w:p>
        </w:tc>
        <w:tc>
          <w:tcPr>
            <w:tcW w:w="907" w:type="dxa"/>
            <w:tcBorders>
              <w:top w:val="single" w:sz="4" w:space="0" w:color="1B556B" w:themeColor="text2"/>
            </w:tcBorders>
            <w:vAlign w:val="bottom"/>
          </w:tcPr>
          <w:p w14:paraId="20A07D6E" w14:textId="77777777" w:rsidR="00ED2EBD" w:rsidRPr="00BD16B4" w:rsidRDefault="00ED2EBD" w:rsidP="004A205F">
            <w:pPr>
              <w:pStyle w:val="TableTextbold"/>
              <w:spacing w:before="40"/>
              <w:jc w:val="center"/>
              <w:rPr>
                <w:b/>
                <w:bCs/>
                <w:szCs w:val="18"/>
              </w:rPr>
            </w:pPr>
            <w:r w:rsidRPr="00BD16B4">
              <w:rPr>
                <w:b/>
                <w:bCs/>
                <w:szCs w:val="18"/>
              </w:rPr>
              <w:t>2012</w:t>
            </w:r>
            <w:r w:rsidRPr="00BD16B4">
              <w:rPr>
                <w:b/>
                <w:bCs/>
                <w:szCs w:val="18"/>
              </w:rPr>
              <w:br/>
              <w:t>(kt)</w:t>
            </w:r>
          </w:p>
        </w:tc>
        <w:tc>
          <w:tcPr>
            <w:tcW w:w="907" w:type="dxa"/>
            <w:tcBorders>
              <w:top w:val="single" w:sz="4" w:space="0" w:color="1B556B" w:themeColor="text2"/>
            </w:tcBorders>
            <w:vAlign w:val="bottom"/>
          </w:tcPr>
          <w:p w14:paraId="47F8BB0E" w14:textId="77777777" w:rsidR="00ED2EBD" w:rsidRPr="00BD16B4" w:rsidRDefault="00ED2EBD" w:rsidP="004A205F">
            <w:pPr>
              <w:pStyle w:val="TableTextbold"/>
              <w:spacing w:before="40"/>
              <w:jc w:val="center"/>
              <w:rPr>
                <w:b/>
                <w:bCs/>
                <w:szCs w:val="18"/>
              </w:rPr>
            </w:pPr>
            <w:r w:rsidRPr="00BD16B4">
              <w:rPr>
                <w:b/>
                <w:bCs/>
                <w:szCs w:val="18"/>
              </w:rPr>
              <w:t>2013</w:t>
            </w:r>
            <w:r w:rsidRPr="00BD16B4">
              <w:rPr>
                <w:b/>
                <w:bCs/>
                <w:szCs w:val="18"/>
              </w:rPr>
              <w:br/>
              <w:t>(kt)</w:t>
            </w:r>
          </w:p>
        </w:tc>
        <w:tc>
          <w:tcPr>
            <w:tcW w:w="907" w:type="dxa"/>
            <w:tcBorders>
              <w:top w:val="single" w:sz="4" w:space="0" w:color="1B556B" w:themeColor="text2"/>
            </w:tcBorders>
            <w:vAlign w:val="bottom"/>
          </w:tcPr>
          <w:p w14:paraId="2C2CD69D" w14:textId="77777777" w:rsidR="00ED2EBD" w:rsidRPr="00BD16B4" w:rsidRDefault="00ED2EBD" w:rsidP="004A205F">
            <w:pPr>
              <w:pStyle w:val="TableTextbold"/>
              <w:spacing w:before="40"/>
              <w:jc w:val="center"/>
              <w:rPr>
                <w:b/>
                <w:bCs/>
                <w:szCs w:val="18"/>
              </w:rPr>
            </w:pPr>
            <w:r w:rsidRPr="00BD16B4">
              <w:rPr>
                <w:b/>
                <w:bCs/>
                <w:szCs w:val="18"/>
              </w:rPr>
              <w:t>2014</w:t>
            </w:r>
            <w:r w:rsidRPr="00BD16B4">
              <w:rPr>
                <w:b/>
                <w:bCs/>
                <w:szCs w:val="18"/>
              </w:rPr>
              <w:br/>
              <w:t>(kt)</w:t>
            </w:r>
          </w:p>
        </w:tc>
        <w:tc>
          <w:tcPr>
            <w:tcW w:w="907" w:type="dxa"/>
            <w:tcBorders>
              <w:top w:val="single" w:sz="4" w:space="0" w:color="1B556B" w:themeColor="text2"/>
            </w:tcBorders>
            <w:vAlign w:val="bottom"/>
          </w:tcPr>
          <w:p w14:paraId="4F32064C" w14:textId="77777777" w:rsidR="00ED2EBD" w:rsidRPr="00BD16B4" w:rsidRDefault="00ED2EBD" w:rsidP="004A205F">
            <w:pPr>
              <w:pStyle w:val="TableTextbold"/>
              <w:spacing w:before="40"/>
              <w:jc w:val="center"/>
              <w:rPr>
                <w:b/>
                <w:bCs/>
                <w:szCs w:val="18"/>
              </w:rPr>
            </w:pPr>
            <w:r w:rsidRPr="00BD16B4">
              <w:rPr>
                <w:b/>
                <w:bCs/>
                <w:szCs w:val="18"/>
              </w:rPr>
              <w:t>2015</w:t>
            </w:r>
            <w:r w:rsidRPr="00BD16B4">
              <w:rPr>
                <w:b/>
                <w:bCs/>
                <w:szCs w:val="18"/>
              </w:rPr>
              <w:br/>
              <w:t>(kt)</w:t>
            </w:r>
          </w:p>
        </w:tc>
        <w:tc>
          <w:tcPr>
            <w:tcW w:w="907" w:type="dxa"/>
            <w:tcBorders>
              <w:top w:val="single" w:sz="4" w:space="0" w:color="1B556B" w:themeColor="text2"/>
            </w:tcBorders>
            <w:vAlign w:val="bottom"/>
          </w:tcPr>
          <w:p w14:paraId="4D287377" w14:textId="77777777" w:rsidR="00ED2EBD" w:rsidRPr="00BD16B4" w:rsidRDefault="00ED2EBD" w:rsidP="004A205F">
            <w:pPr>
              <w:pStyle w:val="TableTextbold"/>
              <w:spacing w:before="40"/>
              <w:jc w:val="center"/>
              <w:rPr>
                <w:b/>
                <w:bCs/>
                <w:szCs w:val="18"/>
              </w:rPr>
            </w:pPr>
            <w:r w:rsidRPr="00BD16B4">
              <w:rPr>
                <w:b/>
                <w:bCs/>
                <w:szCs w:val="18"/>
              </w:rPr>
              <w:t>2016</w:t>
            </w:r>
            <w:r w:rsidRPr="00BD16B4">
              <w:rPr>
                <w:b/>
                <w:bCs/>
                <w:szCs w:val="18"/>
              </w:rPr>
              <w:br/>
              <w:t>(kt)</w:t>
            </w:r>
          </w:p>
        </w:tc>
        <w:tc>
          <w:tcPr>
            <w:tcW w:w="907" w:type="dxa"/>
            <w:tcBorders>
              <w:top w:val="single" w:sz="4" w:space="0" w:color="1B556B" w:themeColor="text2"/>
            </w:tcBorders>
            <w:vAlign w:val="bottom"/>
          </w:tcPr>
          <w:p w14:paraId="23E27E9D" w14:textId="77777777" w:rsidR="00ED2EBD" w:rsidRPr="00BD16B4" w:rsidRDefault="00ED2EBD" w:rsidP="004A205F">
            <w:pPr>
              <w:pStyle w:val="TableTextbold"/>
              <w:spacing w:before="40"/>
              <w:jc w:val="center"/>
              <w:rPr>
                <w:b/>
                <w:bCs/>
                <w:szCs w:val="18"/>
              </w:rPr>
            </w:pPr>
            <w:r w:rsidRPr="00BD16B4">
              <w:rPr>
                <w:b/>
                <w:bCs/>
                <w:szCs w:val="18"/>
              </w:rPr>
              <w:t>2017</w:t>
            </w:r>
            <w:r w:rsidRPr="00BD16B4">
              <w:rPr>
                <w:b/>
                <w:bCs/>
                <w:szCs w:val="18"/>
              </w:rPr>
              <w:br/>
              <w:t>(kt)</w:t>
            </w:r>
          </w:p>
        </w:tc>
        <w:tc>
          <w:tcPr>
            <w:tcW w:w="907" w:type="dxa"/>
            <w:tcBorders>
              <w:top w:val="single" w:sz="4" w:space="0" w:color="1B556B" w:themeColor="text2"/>
            </w:tcBorders>
          </w:tcPr>
          <w:p w14:paraId="43201378" w14:textId="77777777" w:rsidR="00ED2EBD" w:rsidRPr="00BD16B4" w:rsidRDefault="00ED2EBD" w:rsidP="004A205F">
            <w:pPr>
              <w:pStyle w:val="TableTextbold"/>
              <w:spacing w:before="40"/>
              <w:jc w:val="center"/>
              <w:rPr>
                <w:bCs/>
                <w:szCs w:val="18"/>
              </w:rPr>
            </w:pPr>
            <w:r w:rsidRPr="00BD16B4">
              <w:rPr>
                <w:b/>
                <w:bCs/>
                <w:szCs w:val="18"/>
              </w:rPr>
              <w:t>2018</w:t>
            </w:r>
            <w:r w:rsidRPr="00BD16B4">
              <w:rPr>
                <w:b/>
                <w:bCs/>
                <w:szCs w:val="18"/>
              </w:rPr>
              <w:br/>
              <w:t>(kt)</w:t>
            </w:r>
          </w:p>
        </w:tc>
        <w:tc>
          <w:tcPr>
            <w:tcW w:w="907" w:type="dxa"/>
            <w:tcBorders>
              <w:top w:val="single" w:sz="4" w:space="0" w:color="1B556B" w:themeColor="text2"/>
            </w:tcBorders>
          </w:tcPr>
          <w:p w14:paraId="4097B28B" w14:textId="77777777" w:rsidR="00ED2EBD" w:rsidRPr="00BD16B4" w:rsidRDefault="00ED2EBD" w:rsidP="004A205F">
            <w:pPr>
              <w:pStyle w:val="TableTextbold"/>
              <w:spacing w:before="40"/>
              <w:jc w:val="center"/>
              <w:rPr>
                <w:bCs/>
                <w:szCs w:val="18"/>
              </w:rPr>
            </w:pPr>
            <w:r w:rsidRPr="00BD16B4">
              <w:rPr>
                <w:b/>
                <w:bCs/>
                <w:szCs w:val="18"/>
              </w:rPr>
              <w:t>2019</w:t>
            </w:r>
            <w:r w:rsidRPr="00BD16B4">
              <w:rPr>
                <w:b/>
                <w:bCs/>
                <w:szCs w:val="18"/>
              </w:rPr>
              <w:br/>
              <w:t>(kt)</w:t>
            </w:r>
          </w:p>
        </w:tc>
        <w:tc>
          <w:tcPr>
            <w:tcW w:w="907" w:type="dxa"/>
            <w:tcBorders>
              <w:top w:val="single" w:sz="4" w:space="0" w:color="1B556B" w:themeColor="text2"/>
            </w:tcBorders>
            <w:vAlign w:val="bottom"/>
          </w:tcPr>
          <w:p w14:paraId="16A95112" w14:textId="77777777" w:rsidR="00ED2EBD" w:rsidRPr="00BD16B4" w:rsidRDefault="00ED2EBD" w:rsidP="004A205F">
            <w:pPr>
              <w:pStyle w:val="TableTextbold"/>
              <w:spacing w:before="40"/>
              <w:jc w:val="center"/>
              <w:rPr>
                <w:b/>
                <w:bCs/>
                <w:szCs w:val="18"/>
              </w:rPr>
            </w:pPr>
            <w:r w:rsidRPr="00BD16B4">
              <w:rPr>
                <w:b/>
                <w:bCs/>
                <w:szCs w:val="18"/>
              </w:rPr>
              <w:t>2020</w:t>
            </w:r>
            <w:r w:rsidRPr="00BD16B4">
              <w:rPr>
                <w:b/>
                <w:bCs/>
                <w:szCs w:val="18"/>
              </w:rPr>
              <w:br/>
              <w:t>(kt)</w:t>
            </w:r>
          </w:p>
        </w:tc>
      </w:tr>
      <w:tr w:rsidR="00AA2930" w:rsidRPr="00BD16B4" w14:paraId="12314C31" w14:textId="77777777" w:rsidTr="004625B0">
        <w:tc>
          <w:tcPr>
            <w:tcW w:w="3964" w:type="dxa"/>
          </w:tcPr>
          <w:p w14:paraId="747E4700" w14:textId="77777777" w:rsidR="00ED2EBD" w:rsidRPr="00BD16B4" w:rsidRDefault="00ED2EBD" w:rsidP="004A205F">
            <w:pPr>
              <w:pStyle w:val="TableText"/>
              <w:spacing w:before="40"/>
              <w:rPr>
                <w:szCs w:val="18"/>
              </w:rPr>
            </w:pPr>
            <w:r w:rsidRPr="00BD16B4">
              <w:rPr>
                <w:b/>
                <w:bCs/>
                <w:szCs w:val="18"/>
              </w:rPr>
              <w:t>1. Energy</w:t>
            </w:r>
          </w:p>
        </w:tc>
        <w:tc>
          <w:tcPr>
            <w:tcW w:w="907" w:type="dxa"/>
            <w:shd w:val="clear" w:color="auto" w:fill="auto"/>
          </w:tcPr>
          <w:p w14:paraId="2B76C19D" w14:textId="77777777" w:rsidR="00ED2EBD" w:rsidRPr="00BD16B4" w:rsidRDefault="00ED2EBD" w:rsidP="004A205F">
            <w:pPr>
              <w:pStyle w:val="TableText"/>
              <w:spacing w:before="40"/>
              <w:jc w:val="right"/>
              <w:rPr>
                <w:szCs w:val="18"/>
              </w:rPr>
            </w:pPr>
            <w:r w:rsidRPr="00BD16B4">
              <w:rPr>
                <w:szCs w:val="18"/>
              </w:rPr>
              <w:t>1.00</w:t>
            </w:r>
          </w:p>
        </w:tc>
        <w:tc>
          <w:tcPr>
            <w:tcW w:w="907" w:type="dxa"/>
            <w:shd w:val="clear" w:color="auto" w:fill="auto"/>
          </w:tcPr>
          <w:p w14:paraId="05EE6C32" w14:textId="77777777" w:rsidR="00ED2EBD" w:rsidRPr="00BD16B4" w:rsidRDefault="00ED2EBD" w:rsidP="004A205F">
            <w:pPr>
              <w:pStyle w:val="TableText"/>
              <w:spacing w:before="40"/>
              <w:jc w:val="right"/>
              <w:rPr>
                <w:szCs w:val="18"/>
              </w:rPr>
            </w:pPr>
            <w:r w:rsidRPr="00BD16B4">
              <w:rPr>
                <w:szCs w:val="18"/>
              </w:rPr>
              <w:t>0.99</w:t>
            </w:r>
          </w:p>
        </w:tc>
        <w:tc>
          <w:tcPr>
            <w:tcW w:w="907" w:type="dxa"/>
            <w:shd w:val="clear" w:color="auto" w:fill="auto"/>
          </w:tcPr>
          <w:p w14:paraId="26B96A92" w14:textId="77777777" w:rsidR="00ED2EBD" w:rsidRPr="00BD16B4" w:rsidRDefault="00ED2EBD" w:rsidP="004A205F">
            <w:pPr>
              <w:pStyle w:val="TableText"/>
              <w:spacing w:before="40"/>
              <w:jc w:val="right"/>
              <w:rPr>
                <w:szCs w:val="18"/>
              </w:rPr>
            </w:pPr>
            <w:r w:rsidRPr="00BD16B4">
              <w:rPr>
                <w:szCs w:val="18"/>
              </w:rPr>
              <w:t>0.99</w:t>
            </w:r>
          </w:p>
        </w:tc>
        <w:tc>
          <w:tcPr>
            <w:tcW w:w="907" w:type="dxa"/>
            <w:shd w:val="clear" w:color="auto" w:fill="auto"/>
          </w:tcPr>
          <w:p w14:paraId="323A238E" w14:textId="77777777" w:rsidR="00ED2EBD" w:rsidRPr="00BD16B4" w:rsidRDefault="00ED2EBD" w:rsidP="004A205F">
            <w:pPr>
              <w:pStyle w:val="TableText"/>
              <w:spacing w:before="40"/>
              <w:jc w:val="right"/>
              <w:rPr>
                <w:szCs w:val="18"/>
              </w:rPr>
            </w:pPr>
            <w:r w:rsidRPr="00BD16B4">
              <w:rPr>
                <w:szCs w:val="18"/>
              </w:rPr>
              <w:t>0.98</w:t>
            </w:r>
          </w:p>
        </w:tc>
        <w:tc>
          <w:tcPr>
            <w:tcW w:w="907" w:type="dxa"/>
            <w:shd w:val="clear" w:color="auto" w:fill="auto"/>
          </w:tcPr>
          <w:p w14:paraId="7B72C11E" w14:textId="77777777" w:rsidR="00ED2EBD" w:rsidRPr="00BD16B4" w:rsidRDefault="00ED2EBD" w:rsidP="004A205F">
            <w:pPr>
              <w:pStyle w:val="TableText"/>
              <w:spacing w:before="40"/>
              <w:jc w:val="right"/>
              <w:rPr>
                <w:szCs w:val="18"/>
              </w:rPr>
            </w:pPr>
            <w:r w:rsidRPr="00BD16B4">
              <w:rPr>
                <w:szCs w:val="18"/>
              </w:rPr>
              <w:t>0.94</w:t>
            </w:r>
          </w:p>
        </w:tc>
        <w:tc>
          <w:tcPr>
            <w:tcW w:w="907" w:type="dxa"/>
            <w:shd w:val="clear" w:color="auto" w:fill="auto"/>
          </w:tcPr>
          <w:p w14:paraId="7C67A77D" w14:textId="77777777" w:rsidR="00ED2EBD" w:rsidRPr="00BD16B4" w:rsidRDefault="00ED2EBD" w:rsidP="004A205F">
            <w:pPr>
              <w:pStyle w:val="TableText"/>
              <w:spacing w:before="40"/>
              <w:jc w:val="right"/>
              <w:rPr>
                <w:szCs w:val="18"/>
              </w:rPr>
            </w:pPr>
            <w:r w:rsidRPr="00BD16B4">
              <w:rPr>
                <w:szCs w:val="18"/>
              </w:rPr>
              <w:t>0.93</w:t>
            </w:r>
          </w:p>
        </w:tc>
        <w:tc>
          <w:tcPr>
            <w:tcW w:w="907" w:type="dxa"/>
            <w:shd w:val="clear" w:color="auto" w:fill="auto"/>
          </w:tcPr>
          <w:p w14:paraId="2F914F89" w14:textId="77777777" w:rsidR="00ED2EBD" w:rsidRPr="00BD16B4" w:rsidRDefault="00ED2EBD" w:rsidP="004A205F">
            <w:pPr>
              <w:pStyle w:val="TableText"/>
              <w:spacing w:before="40"/>
              <w:jc w:val="right"/>
              <w:rPr>
                <w:szCs w:val="18"/>
              </w:rPr>
            </w:pPr>
            <w:r w:rsidRPr="00BD16B4">
              <w:rPr>
                <w:szCs w:val="18"/>
              </w:rPr>
              <w:t>0.91</w:t>
            </w:r>
          </w:p>
        </w:tc>
        <w:tc>
          <w:tcPr>
            <w:tcW w:w="907" w:type="dxa"/>
            <w:shd w:val="clear" w:color="auto" w:fill="auto"/>
          </w:tcPr>
          <w:p w14:paraId="74A50E9D" w14:textId="77777777" w:rsidR="00ED2EBD" w:rsidRPr="00BD16B4" w:rsidRDefault="00ED2EBD" w:rsidP="004A205F">
            <w:pPr>
              <w:pStyle w:val="TableText"/>
              <w:spacing w:before="40"/>
              <w:jc w:val="right"/>
              <w:rPr>
                <w:szCs w:val="18"/>
              </w:rPr>
            </w:pPr>
            <w:r w:rsidRPr="00BD16B4">
              <w:rPr>
                <w:szCs w:val="18"/>
              </w:rPr>
              <w:t>0.85</w:t>
            </w:r>
          </w:p>
        </w:tc>
        <w:tc>
          <w:tcPr>
            <w:tcW w:w="907" w:type="dxa"/>
            <w:shd w:val="clear" w:color="auto" w:fill="auto"/>
          </w:tcPr>
          <w:p w14:paraId="7B2E80B0" w14:textId="77777777" w:rsidR="00ED2EBD" w:rsidRPr="00BD16B4" w:rsidRDefault="00ED2EBD" w:rsidP="004A205F">
            <w:pPr>
              <w:pStyle w:val="TableText"/>
              <w:spacing w:before="40"/>
              <w:jc w:val="right"/>
              <w:rPr>
                <w:szCs w:val="18"/>
              </w:rPr>
            </w:pPr>
            <w:r w:rsidRPr="00BD16B4">
              <w:rPr>
                <w:szCs w:val="18"/>
              </w:rPr>
              <w:t>0.85</w:t>
            </w:r>
          </w:p>
        </w:tc>
        <w:tc>
          <w:tcPr>
            <w:tcW w:w="907" w:type="dxa"/>
            <w:shd w:val="clear" w:color="auto" w:fill="auto"/>
          </w:tcPr>
          <w:p w14:paraId="420BD041" w14:textId="77777777" w:rsidR="00ED2EBD" w:rsidRPr="00BD16B4" w:rsidRDefault="00ED2EBD" w:rsidP="004A205F">
            <w:pPr>
              <w:pStyle w:val="TableText"/>
              <w:spacing w:before="40"/>
              <w:jc w:val="right"/>
              <w:rPr>
                <w:szCs w:val="18"/>
              </w:rPr>
            </w:pPr>
            <w:r w:rsidRPr="00BD16B4">
              <w:rPr>
                <w:szCs w:val="18"/>
              </w:rPr>
              <w:t>0.88</w:t>
            </w:r>
          </w:p>
        </w:tc>
        <w:tc>
          <w:tcPr>
            <w:tcW w:w="907" w:type="dxa"/>
            <w:shd w:val="clear" w:color="auto" w:fill="auto"/>
          </w:tcPr>
          <w:p w14:paraId="5A41323E" w14:textId="77777777" w:rsidR="00ED2EBD" w:rsidRPr="00BD16B4" w:rsidRDefault="00ED2EBD" w:rsidP="004A205F">
            <w:pPr>
              <w:pStyle w:val="TableText"/>
              <w:spacing w:before="40"/>
              <w:jc w:val="right"/>
              <w:rPr>
                <w:szCs w:val="18"/>
              </w:rPr>
            </w:pPr>
            <w:r w:rsidRPr="00BD16B4">
              <w:rPr>
                <w:szCs w:val="18"/>
              </w:rPr>
              <w:t>0.74</w:t>
            </w:r>
          </w:p>
        </w:tc>
      </w:tr>
      <w:tr w:rsidR="00AA2930" w:rsidRPr="00BD16B4" w14:paraId="231916A3" w14:textId="77777777" w:rsidTr="004625B0">
        <w:tc>
          <w:tcPr>
            <w:tcW w:w="3964" w:type="dxa"/>
          </w:tcPr>
          <w:p w14:paraId="0844BB36" w14:textId="77777777" w:rsidR="00ED2EBD" w:rsidRPr="00BD16B4" w:rsidRDefault="00ED2EBD" w:rsidP="004A205F">
            <w:pPr>
              <w:pStyle w:val="TableText"/>
              <w:spacing w:before="40"/>
              <w:rPr>
                <w:szCs w:val="18"/>
              </w:rPr>
            </w:pPr>
            <w:r w:rsidRPr="00BD16B4">
              <w:rPr>
                <w:szCs w:val="18"/>
              </w:rPr>
              <w:t>A. Fuel combustion (sectoral approach)</w:t>
            </w:r>
          </w:p>
        </w:tc>
        <w:tc>
          <w:tcPr>
            <w:tcW w:w="907" w:type="dxa"/>
            <w:shd w:val="clear" w:color="auto" w:fill="auto"/>
          </w:tcPr>
          <w:p w14:paraId="4FCEBE10" w14:textId="77777777" w:rsidR="00ED2EBD" w:rsidRPr="00BD16B4" w:rsidRDefault="00ED2EBD" w:rsidP="004A205F">
            <w:pPr>
              <w:pStyle w:val="TableText"/>
              <w:spacing w:before="40"/>
              <w:jc w:val="right"/>
              <w:rPr>
                <w:szCs w:val="18"/>
              </w:rPr>
            </w:pPr>
            <w:r w:rsidRPr="00BD16B4">
              <w:rPr>
                <w:szCs w:val="18"/>
              </w:rPr>
              <w:t>1.00</w:t>
            </w:r>
          </w:p>
        </w:tc>
        <w:tc>
          <w:tcPr>
            <w:tcW w:w="907" w:type="dxa"/>
            <w:shd w:val="clear" w:color="auto" w:fill="auto"/>
          </w:tcPr>
          <w:p w14:paraId="495E5589" w14:textId="77777777" w:rsidR="00ED2EBD" w:rsidRPr="00BD16B4" w:rsidRDefault="00ED2EBD" w:rsidP="004A205F">
            <w:pPr>
              <w:pStyle w:val="TableText"/>
              <w:spacing w:before="40"/>
              <w:jc w:val="right"/>
              <w:rPr>
                <w:szCs w:val="18"/>
              </w:rPr>
            </w:pPr>
            <w:r w:rsidRPr="00BD16B4">
              <w:rPr>
                <w:szCs w:val="18"/>
              </w:rPr>
              <w:t>0.98</w:t>
            </w:r>
          </w:p>
        </w:tc>
        <w:tc>
          <w:tcPr>
            <w:tcW w:w="907" w:type="dxa"/>
            <w:shd w:val="clear" w:color="auto" w:fill="auto"/>
          </w:tcPr>
          <w:p w14:paraId="43044DEC" w14:textId="77777777" w:rsidR="00ED2EBD" w:rsidRPr="00BD16B4" w:rsidRDefault="00ED2EBD" w:rsidP="004A205F">
            <w:pPr>
              <w:pStyle w:val="TableText"/>
              <w:spacing w:before="40"/>
              <w:jc w:val="right"/>
              <w:rPr>
                <w:szCs w:val="18"/>
              </w:rPr>
            </w:pPr>
            <w:r w:rsidRPr="00BD16B4">
              <w:rPr>
                <w:szCs w:val="18"/>
              </w:rPr>
              <w:t>0.99</w:t>
            </w:r>
          </w:p>
        </w:tc>
        <w:tc>
          <w:tcPr>
            <w:tcW w:w="907" w:type="dxa"/>
            <w:shd w:val="clear" w:color="auto" w:fill="auto"/>
          </w:tcPr>
          <w:p w14:paraId="172E38D1" w14:textId="77777777" w:rsidR="00ED2EBD" w:rsidRPr="00BD16B4" w:rsidRDefault="00ED2EBD" w:rsidP="004A205F">
            <w:pPr>
              <w:pStyle w:val="TableText"/>
              <w:spacing w:before="40"/>
              <w:jc w:val="right"/>
              <w:rPr>
                <w:szCs w:val="18"/>
              </w:rPr>
            </w:pPr>
            <w:r w:rsidRPr="00BD16B4">
              <w:rPr>
                <w:szCs w:val="18"/>
              </w:rPr>
              <w:t>0.98</w:t>
            </w:r>
          </w:p>
        </w:tc>
        <w:tc>
          <w:tcPr>
            <w:tcW w:w="907" w:type="dxa"/>
            <w:shd w:val="clear" w:color="auto" w:fill="auto"/>
          </w:tcPr>
          <w:p w14:paraId="63467AD9" w14:textId="77777777" w:rsidR="00ED2EBD" w:rsidRPr="00BD16B4" w:rsidRDefault="00ED2EBD" w:rsidP="004A205F">
            <w:pPr>
              <w:pStyle w:val="TableText"/>
              <w:spacing w:before="40"/>
              <w:jc w:val="right"/>
              <w:rPr>
                <w:szCs w:val="18"/>
              </w:rPr>
            </w:pPr>
            <w:r w:rsidRPr="00BD16B4">
              <w:rPr>
                <w:szCs w:val="18"/>
              </w:rPr>
              <w:t>0.94</w:t>
            </w:r>
          </w:p>
        </w:tc>
        <w:tc>
          <w:tcPr>
            <w:tcW w:w="907" w:type="dxa"/>
            <w:shd w:val="clear" w:color="auto" w:fill="auto"/>
          </w:tcPr>
          <w:p w14:paraId="21E3B744" w14:textId="77777777" w:rsidR="00ED2EBD" w:rsidRPr="00BD16B4" w:rsidRDefault="00ED2EBD" w:rsidP="004A205F">
            <w:pPr>
              <w:pStyle w:val="TableText"/>
              <w:spacing w:before="40"/>
              <w:jc w:val="right"/>
              <w:rPr>
                <w:szCs w:val="18"/>
              </w:rPr>
            </w:pPr>
            <w:r w:rsidRPr="00BD16B4">
              <w:rPr>
                <w:szCs w:val="18"/>
              </w:rPr>
              <w:t>0.93</w:t>
            </w:r>
          </w:p>
        </w:tc>
        <w:tc>
          <w:tcPr>
            <w:tcW w:w="907" w:type="dxa"/>
            <w:shd w:val="clear" w:color="auto" w:fill="auto"/>
          </w:tcPr>
          <w:p w14:paraId="37FA7CC7" w14:textId="77777777" w:rsidR="00ED2EBD" w:rsidRPr="00BD16B4" w:rsidRDefault="00ED2EBD" w:rsidP="004A205F">
            <w:pPr>
              <w:pStyle w:val="TableText"/>
              <w:spacing w:before="40"/>
              <w:jc w:val="right"/>
              <w:rPr>
                <w:szCs w:val="18"/>
              </w:rPr>
            </w:pPr>
            <w:r w:rsidRPr="00BD16B4">
              <w:rPr>
                <w:szCs w:val="18"/>
              </w:rPr>
              <w:t>0.91</w:t>
            </w:r>
          </w:p>
        </w:tc>
        <w:tc>
          <w:tcPr>
            <w:tcW w:w="907" w:type="dxa"/>
            <w:shd w:val="clear" w:color="auto" w:fill="auto"/>
          </w:tcPr>
          <w:p w14:paraId="1F91A64D" w14:textId="77777777" w:rsidR="00ED2EBD" w:rsidRPr="00BD16B4" w:rsidRDefault="00ED2EBD" w:rsidP="004A205F">
            <w:pPr>
              <w:pStyle w:val="TableText"/>
              <w:spacing w:before="40"/>
              <w:jc w:val="right"/>
              <w:rPr>
                <w:szCs w:val="18"/>
              </w:rPr>
            </w:pPr>
            <w:r w:rsidRPr="00BD16B4">
              <w:rPr>
                <w:szCs w:val="18"/>
              </w:rPr>
              <w:t>0.85</w:t>
            </w:r>
          </w:p>
        </w:tc>
        <w:tc>
          <w:tcPr>
            <w:tcW w:w="907" w:type="dxa"/>
            <w:shd w:val="clear" w:color="auto" w:fill="auto"/>
          </w:tcPr>
          <w:p w14:paraId="31A5A0CE" w14:textId="77777777" w:rsidR="00ED2EBD" w:rsidRPr="00BD16B4" w:rsidRDefault="00ED2EBD" w:rsidP="004A205F">
            <w:pPr>
              <w:pStyle w:val="TableText"/>
              <w:spacing w:before="40"/>
              <w:jc w:val="right"/>
              <w:rPr>
                <w:szCs w:val="18"/>
              </w:rPr>
            </w:pPr>
            <w:r w:rsidRPr="00BD16B4">
              <w:rPr>
                <w:szCs w:val="18"/>
              </w:rPr>
              <w:t>0.85</w:t>
            </w:r>
          </w:p>
        </w:tc>
        <w:tc>
          <w:tcPr>
            <w:tcW w:w="907" w:type="dxa"/>
            <w:shd w:val="clear" w:color="auto" w:fill="auto"/>
          </w:tcPr>
          <w:p w14:paraId="3A16C798" w14:textId="77777777" w:rsidR="00ED2EBD" w:rsidRPr="00BD16B4" w:rsidRDefault="00ED2EBD" w:rsidP="004A205F">
            <w:pPr>
              <w:pStyle w:val="TableText"/>
              <w:spacing w:before="40"/>
              <w:jc w:val="right"/>
              <w:rPr>
                <w:szCs w:val="18"/>
              </w:rPr>
            </w:pPr>
            <w:r w:rsidRPr="00BD16B4">
              <w:rPr>
                <w:szCs w:val="18"/>
              </w:rPr>
              <w:t>0.88</w:t>
            </w:r>
          </w:p>
        </w:tc>
        <w:tc>
          <w:tcPr>
            <w:tcW w:w="907" w:type="dxa"/>
            <w:shd w:val="clear" w:color="auto" w:fill="auto"/>
          </w:tcPr>
          <w:p w14:paraId="16F3D402" w14:textId="77777777" w:rsidR="00ED2EBD" w:rsidRPr="00BD16B4" w:rsidRDefault="00ED2EBD" w:rsidP="004A205F">
            <w:pPr>
              <w:pStyle w:val="TableText"/>
              <w:spacing w:before="40"/>
              <w:jc w:val="right"/>
              <w:rPr>
                <w:szCs w:val="18"/>
              </w:rPr>
            </w:pPr>
            <w:r w:rsidRPr="00BD16B4">
              <w:rPr>
                <w:szCs w:val="18"/>
              </w:rPr>
              <w:t>0.74</w:t>
            </w:r>
          </w:p>
        </w:tc>
      </w:tr>
      <w:tr w:rsidR="00AA2930" w:rsidRPr="00BD16B4" w14:paraId="69CF4B0E" w14:textId="77777777" w:rsidTr="004625B0">
        <w:tc>
          <w:tcPr>
            <w:tcW w:w="3964" w:type="dxa"/>
          </w:tcPr>
          <w:p w14:paraId="148630C0" w14:textId="12F337D3" w:rsidR="00ED2EBD" w:rsidRPr="00BD16B4" w:rsidRDefault="00ED2EBD" w:rsidP="004A205F">
            <w:pPr>
              <w:pStyle w:val="TableText"/>
              <w:spacing w:before="40"/>
              <w:ind w:left="454" w:hanging="227"/>
              <w:rPr>
                <w:szCs w:val="18"/>
              </w:rPr>
            </w:pPr>
            <w:r w:rsidRPr="00BD16B4">
              <w:rPr>
                <w:szCs w:val="18"/>
              </w:rPr>
              <w:t>1.</w:t>
            </w:r>
            <w:r w:rsidR="00280979" w:rsidRPr="00BD16B4">
              <w:rPr>
                <w:szCs w:val="18"/>
              </w:rPr>
              <w:t xml:space="preserve"> </w:t>
            </w:r>
            <w:r w:rsidRPr="00BD16B4">
              <w:rPr>
                <w:szCs w:val="18"/>
              </w:rPr>
              <w:t xml:space="preserve">Energy </w:t>
            </w:r>
            <w:r w:rsidRPr="00BD16B4">
              <w:rPr>
                <w:rFonts w:cs="Calibri"/>
                <w:szCs w:val="18"/>
              </w:rPr>
              <w:t>industries</w:t>
            </w:r>
          </w:p>
        </w:tc>
        <w:tc>
          <w:tcPr>
            <w:tcW w:w="907" w:type="dxa"/>
            <w:shd w:val="clear" w:color="auto" w:fill="auto"/>
          </w:tcPr>
          <w:p w14:paraId="7B08FECD" w14:textId="77777777" w:rsidR="00ED2EBD" w:rsidRPr="00BD16B4" w:rsidRDefault="00ED2EBD" w:rsidP="004A205F">
            <w:pPr>
              <w:pStyle w:val="TableText"/>
              <w:spacing w:before="40"/>
              <w:jc w:val="right"/>
              <w:rPr>
                <w:szCs w:val="18"/>
              </w:rPr>
            </w:pPr>
            <w:r w:rsidRPr="00BD16B4">
              <w:rPr>
                <w:szCs w:val="18"/>
              </w:rPr>
              <w:t>0.03</w:t>
            </w:r>
          </w:p>
        </w:tc>
        <w:tc>
          <w:tcPr>
            <w:tcW w:w="907" w:type="dxa"/>
            <w:shd w:val="clear" w:color="auto" w:fill="auto"/>
          </w:tcPr>
          <w:p w14:paraId="23240280" w14:textId="77777777" w:rsidR="00ED2EBD" w:rsidRPr="00BD16B4" w:rsidRDefault="00ED2EBD" w:rsidP="004A205F">
            <w:pPr>
              <w:pStyle w:val="TableText"/>
              <w:spacing w:before="40"/>
              <w:jc w:val="right"/>
              <w:rPr>
                <w:szCs w:val="18"/>
              </w:rPr>
            </w:pPr>
            <w:r w:rsidRPr="00BD16B4">
              <w:rPr>
                <w:szCs w:val="18"/>
              </w:rPr>
              <w:t>0.03</w:t>
            </w:r>
          </w:p>
        </w:tc>
        <w:tc>
          <w:tcPr>
            <w:tcW w:w="907" w:type="dxa"/>
            <w:shd w:val="clear" w:color="auto" w:fill="auto"/>
          </w:tcPr>
          <w:p w14:paraId="37809E13" w14:textId="77777777" w:rsidR="00ED2EBD" w:rsidRPr="00BD16B4" w:rsidRDefault="00ED2EBD" w:rsidP="004A205F">
            <w:pPr>
              <w:pStyle w:val="TableText"/>
              <w:spacing w:before="40"/>
              <w:jc w:val="right"/>
              <w:rPr>
                <w:szCs w:val="18"/>
              </w:rPr>
            </w:pPr>
            <w:r w:rsidRPr="00BD16B4">
              <w:rPr>
                <w:szCs w:val="18"/>
              </w:rPr>
              <w:t>0.05</w:t>
            </w:r>
          </w:p>
        </w:tc>
        <w:tc>
          <w:tcPr>
            <w:tcW w:w="907" w:type="dxa"/>
            <w:shd w:val="clear" w:color="auto" w:fill="auto"/>
          </w:tcPr>
          <w:p w14:paraId="5C3D13DF" w14:textId="77777777" w:rsidR="00ED2EBD" w:rsidRPr="00BD16B4" w:rsidRDefault="00ED2EBD" w:rsidP="004A205F">
            <w:pPr>
              <w:pStyle w:val="TableText"/>
              <w:spacing w:before="40"/>
              <w:jc w:val="right"/>
              <w:rPr>
                <w:szCs w:val="18"/>
              </w:rPr>
            </w:pPr>
            <w:r w:rsidRPr="00BD16B4">
              <w:rPr>
                <w:szCs w:val="18"/>
              </w:rPr>
              <w:t>0.03</w:t>
            </w:r>
          </w:p>
        </w:tc>
        <w:tc>
          <w:tcPr>
            <w:tcW w:w="907" w:type="dxa"/>
            <w:shd w:val="clear" w:color="auto" w:fill="auto"/>
          </w:tcPr>
          <w:p w14:paraId="2E302B1A" w14:textId="77777777" w:rsidR="00ED2EBD" w:rsidRPr="00BD16B4" w:rsidRDefault="00ED2EBD" w:rsidP="004A205F">
            <w:pPr>
              <w:pStyle w:val="TableText"/>
              <w:spacing w:before="40"/>
              <w:jc w:val="right"/>
              <w:rPr>
                <w:szCs w:val="18"/>
              </w:rPr>
            </w:pPr>
            <w:r w:rsidRPr="00BD16B4">
              <w:rPr>
                <w:szCs w:val="18"/>
              </w:rPr>
              <w:t>0.03</w:t>
            </w:r>
          </w:p>
        </w:tc>
        <w:tc>
          <w:tcPr>
            <w:tcW w:w="907" w:type="dxa"/>
            <w:shd w:val="clear" w:color="auto" w:fill="auto"/>
          </w:tcPr>
          <w:p w14:paraId="08F25D2A" w14:textId="77777777" w:rsidR="00ED2EBD" w:rsidRPr="00BD16B4" w:rsidRDefault="00ED2EBD" w:rsidP="004A205F">
            <w:pPr>
              <w:pStyle w:val="TableText"/>
              <w:spacing w:before="40"/>
              <w:jc w:val="right"/>
              <w:rPr>
                <w:szCs w:val="18"/>
              </w:rPr>
            </w:pPr>
            <w:r w:rsidRPr="00BD16B4">
              <w:rPr>
                <w:szCs w:val="18"/>
              </w:rPr>
              <w:t>0.03</w:t>
            </w:r>
          </w:p>
        </w:tc>
        <w:tc>
          <w:tcPr>
            <w:tcW w:w="907" w:type="dxa"/>
            <w:shd w:val="clear" w:color="auto" w:fill="auto"/>
          </w:tcPr>
          <w:p w14:paraId="54ECCA21" w14:textId="77777777" w:rsidR="00ED2EBD" w:rsidRPr="00BD16B4" w:rsidRDefault="00ED2EBD" w:rsidP="004A205F">
            <w:pPr>
              <w:pStyle w:val="TableText"/>
              <w:spacing w:before="40"/>
              <w:jc w:val="right"/>
              <w:rPr>
                <w:szCs w:val="18"/>
              </w:rPr>
            </w:pPr>
            <w:r w:rsidRPr="00BD16B4">
              <w:rPr>
                <w:szCs w:val="18"/>
              </w:rPr>
              <w:t>0.01</w:t>
            </w:r>
          </w:p>
        </w:tc>
        <w:tc>
          <w:tcPr>
            <w:tcW w:w="907" w:type="dxa"/>
            <w:shd w:val="clear" w:color="auto" w:fill="auto"/>
          </w:tcPr>
          <w:p w14:paraId="1B1344D5" w14:textId="77777777" w:rsidR="00ED2EBD" w:rsidRPr="00BD16B4" w:rsidRDefault="00ED2EBD" w:rsidP="004A205F">
            <w:pPr>
              <w:pStyle w:val="TableText"/>
              <w:spacing w:before="40"/>
              <w:jc w:val="right"/>
              <w:rPr>
                <w:szCs w:val="18"/>
              </w:rPr>
            </w:pPr>
            <w:r w:rsidRPr="00BD16B4">
              <w:rPr>
                <w:szCs w:val="18"/>
              </w:rPr>
              <w:t>0.02</w:t>
            </w:r>
          </w:p>
        </w:tc>
        <w:tc>
          <w:tcPr>
            <w:tcW w:w="907" w:type="dxa"/>
            <w:shd w:val="clear" w:color="auto" w:fill="auto"/>
          </w:tcPr>
          <w:p w14:paraId="4D4467FC" w14:textId="77777777" w:rsidR="00ED2EBD" w:rsidRPr="00BD16B4" w:rsidRDefault="00ED2EBD" w:rsidP="004A205F">
            <w:pPr>
              <w:pStyle w:val="TableText"/>
              <w:spacing w:before="40"/>
              <w:jc w:val="right"/>
              <w:rPr>
                <w:szCs w:val="18"/>
              </w:rPr>
            </w:pPr>
            <w:r w:rsidRPr="00BD16B4">
              <w:rPr>
                <w:szCs w:val="18"/>
              </w:rPr>
              <w:t>0.02</w:t>
            </w:r>
          </w:p>
        </w:tc>
        <w:tc>
          <w:tcPr>
            <w:tcW w:w="907" w:type="dxa"/>
            <w:shd w:val="clear" w:color="auto" w:fill="auto"/>
          </w:tcPr>
          <w:p w14:paraId="545608C2" w14:textId="77777777" w:rsidR="00ED2EBD" w:rsidRPr="00BD16B4" w:rsidRDefault="00ED2EBD" w:rsidP="004A205F">
            <w:pPr>
              <w:pStyle w:val="TableText"/>
              <w:spacing w:before="40"/>
              <w:jc w:val="right"/>
              <w:rPr>
                <w:szCs w:val="18"/>
              </w:rPr>
            </w:pPr>
            <w:r w:rsidRPr="00BD16B4">
              <w:rPr>
                <w:szCs w:val="18"/>
              </w:rPr>
              <w:t>0.03</w:t>
            </w:r>
          </w:p>
        </w:tc>
        <w:tc>
          <w:tcPr>
            <w:tcW w:w="907" w:type="dxa"/>
            <w:shd w:val="clear" w:color="auto" w:fill="auto"/>
          </w:tcPr>
          <w:p w14:paraId="039AEEFE" w14:textId="77777777" w:rsidR="00ED2EBD" w:rsidRPr="00BD16B4" w:rsidRDefault="00ED2EBD" w:rsidP="004A205F">
            <w:pPr>
              <w:pStyle w:val="TableText"/>
              <w:spacing w:before="40"/>
              <w:jc w:val="right"/>
              <w:rPr>
                <w:szCs w:val="18"/>
              </w:rPr>
            </w:pPr>
            <w:r w:rsidRPr="00BD16B4">
              <w:rPr>
                <w:szCs w:val="18"/>
              </w:rPr>
              <w:t>0.04</w:t>
            </w:r>
          </w:p>
        </w:tc>
      </w:tr>
      <w:tr w:rsidR="00AA2930" w:rsidRPr="00BD16B4" w14:paraId="0EF74A76" w14:textId="77777777" w:rsidTr="004625B0">
        <w:tc>
          <w:tcPr>
            <w:tcW w:w="3964" w:type="dxa"/>
          </w:tcPr>
          <w:p w14:paraId="507F4E8C" w14:textId="0A94DDE2" w:rsidR="00ED2EBD" w:rsidRPr="00BD16B4" w:rsidRDefault="00ED2EBD" w:rsidP="004A205F">
            <w:pPr>
              <w:pStyle w:val="TableText"/>
              <w:spacing w:before="40"/>
              <w:ind w:left="454" w:hanging="227"/>
              <w:rPr>
                <w:szCs w:val="18"/>
              </w:rPr>
            </w:pPr>
            <w:r w:rsidRPr="00BD16B4">
              <w:rPr>
                <w:szCs w:val="18"/>
              </w:rPr>
              <w:t>2.</w:t>
            </w:r>
            <w:r w:rsidR="00280979" w:rsidRPr="00BD16B4">
              <w:rPr>
                <w:szCs w:val="18"/>
              </w:rPr>
              <w:t xml:space="preserve"> </w:t>
            </w:r>
            <w:r w:rsidRPr="00BD16B4">
              <w:rPr>
                <w:szCs w:val="18"/>
              </w:rPr>
              <w:t>Manufacturing industries and construction</w:t>
            </w:r>
          </w:p>
        </w:tc>
        <w:tc>
          <w:tcPr>
            <w:tcW w:w="907" w:type="dxa"/>
            <w:shd w:val="clear" w:color="auto" w:fill="auto"/>
          </w:tcPr>
          <w:p w14:paraId="3EF5315E" w14:textId="77777777" w:rsidR="00ED2EBD" w:rsidRPr="00BD16B4" w:rsidRDefault="00ED2EBD" w:rsidP="004A205F">
            <w:pPr>
              <w:pStyle w:val="TableText"/>
              <w:spacing w:before="40"/>
              <w:jc w:val="right"/>
              <w:rPr>
                <w:szCs w:val="18"/>
              </w:rPr>
            </w:pPr>
            <w:r w:rsidRPr="00BD16B4">
              <w:rPr>
                <w:szCs w:val="18"/>
              </w:rPr>
              <w:t>0.21</w:t>
            </w:r>
          </w:p>
        </w:tc>
        <w:tc>
          <w:tcPr>
            <w:tcW w:w="907" w:type="dxa"/>
            <w:shd w:val="clear" w:color="auto" w:fill="auto"/>
          </w:tcPr>
          <w:p w14:paraId="5F73BB30" w14:textId="77777777" w:rsidR="00ED2EBD" w:rsidRPr="00BD16B4" w:rsidRDefault="00ED2EBD" w:rsidP="004A205F">
            <w:pPr>
              <w:pStyle w:val="TableText"/>
              <w:spacing w:before="40"/>
              <w:jc w:val="right"/>
              <w:rPr>
                <w:szCs w:val="18"/>
              </w:rPr>
            </w:pPr>
            <w:r w:rsidRPr="00BD16B4">
              <w:rPr>
                <w:szCs w:val="18"/>
              </w:rPr>
              <w:t>0.21</w:t>
            </w:r>
          </w:p>
        </w:tc>
        <w:tc>
          <w:tcPr>
            <w:tcW w:w="907" w:type="dxa"/>
            <w:shd w:val="clear" w:color="auto" w:fill="auto"/>
          </w:tcPr>
          <w:p w14:paraId="75E10AAF" w14:textId="77777777" w:rsidR="00ED2EBD" w:rsidRPr="00BD16B4" w:rsidRDefault="00ED2EBD" w:rsidP="004A205F">
            <w:pPr>
              <w:pStyle w:val="TableText"/>
              <w:spacing w:before="40"/>
              <w:jc w:val="right"/>
              <w:rPr>
                <w:szCs w:val="18"/>
              </w:rPr>
            </w:pPr>
            <w:r w:rsidRPr="00BD16B4">
              <w:rPr>
                <w:szCs w:val="18"/>
              </w:rPr>
              <w:t>0.21</w:t>
            </w:r>
          </w:p>
        </w:tc>
        <w:tc>
          <w:tcPr>
            <w:tcW w:w="907" w:type="dxa"/>
            <w:shd w:val="clear" w:color="auto" w:fill="auto"/>
          </w:tcPr>
          <w:p w14:paraId="5563CB24" w14:textId="77777777" w:rsidR="00ED2EBD" w:rsidRPr="00BD16B4" w:rsidRDefault="00ED2EBD" w:rsidP="004A205F">
            <w:pPr>
              <w:pStyle w:val="TableText"/>
              <w:spacing w:before="40"/>
              <w:jc w:val="right"/>
              <w:rPr>
                <w:szCs w:val="18"/>
              </w:rPr>
            </w:pPr>
            <w:r w:rsidRPr="00BD16B4">
              <w:rPr>
                <w:szCs w:val="18"/>
              </w:rPr>
              <w:t>0.21</w:t>
            </w:r>
          </w:p>
        </w:tc>
        <w:tc>
          <w:tcPr>
            <w:tcW w:w="907" w:type="dxa"/>
            <w:shd w:val="clear" w:color="auto" w:fill="auto"/>
          </w:tcPr>
          <w:p w14:paraId="70750FBF" w14:textId="77777777" w:rsidR="00ED2EBD" w:rsidRPr="00BD16B4" w:rsidRDefault="00ED2EBD" w:rsidP="004A205F">
            <w:pPr>
              <w:pStyle w:val="TableText"/>
              <w:spacing w:before="40"/>
              <w:jc w:val="right"/>
              <w:rPr>
                <w:szCs w:val="18"/>
              </w:rPr>
            </w:pPr>
            <w:r w:rsidRPr="00BD16B4">
              <w:rPr>
                <w:szCs w:val="18"/>
              </w:rPr>
              <w:t>0.21</w:t>
            </w:r>
          </w:p>
        </w:tc>
        <w:tc>
          <w:tcPr>
            <w:tcW w:w="907" w:type="dxa"/>
            <w:shd w:val="clear" w:color="auto" w:fill="auto"/>
          </w:tcPr>
          <w:p w14:paraId="55EA1343" w14:textId="77777777" w:rsidR="00ED2EBD" w:rsidRPr="00BD16B4" w:rsidRDefault="00ED2EBD" w:rsidP="004A205F">
            <w:pPr>
              <w:pStyle w:val="TableText"/>
              <w:spacing w:before="40"/>
              <w:jc w:val="right"/>
              <w:rPr>
                <w:szCs w:val="18"/>
              </w:rPr>
            </w:pPr>
            <w:r w:rsidRPr="00BD16B4">
              <w:rPr>
                <w:szCs w:val="18"/>
              </w:rPr>
              <w:t>0.21</w:t>
            </w:r>
          </w:p>
        </w:tc>
        <w:tc>
          <w:tcPr>
            <w:tcW w:w="907" w:type="dxa"/>
            <w:shd w:val="clear" w:color="auto" w:fill="auto"/>
          </w:tcPr>
          <w:p w14:paraId="0FF1DB5E" w14:textId="77777777" w:rsidR="00ED2EBD" w:rsidRPr="00BD16B4" w:rsidRDefault="00ED2EBD" w:rsidP="004A205F">
            <w:pPr>
              <w:pStyle w:val="TableText"/>
              <w:spacing w:before="40"/>
              <w:jc w:val="right"/>
              <w:rPr>
                <w:szCs w:val="18"/>
              </w:rPr>
            </w:pPr>
            <w:r w:rsidRPr="00BD16B4">
              <w:rPr>
                <w:szCs w:val="18"/>
              </w:rPr>
              <w:t>0.22</w:t>
            </w:r>
          </w:p>
        </w:tc>
        <w:tc>
          <w:tcPr>
            <w:tcW w:w="907" w:type="dxa"/>
            <w:shd w:val="clear" w:color="auto" w:fill="auto"/>
          </w:tcPr>
          <w:p w14:paraId="4C795973" w14:textId="77777777" w:rsidR="00ED2EBD" w:rsidRPr="00BD16B4" w:rsidRDefault="00ED2EBD" w:rsidP="004A205F">
            <w:pPr>
              <w:pStyle w:val="TableText"/>
              <w:spacing w:before="40"/>
              <w:jc w:val="right"/>
              <w:rPr>
                <w:szCs w:val="18"/>
              </w:rPr>
            </w:pPr>
            <w:r w:rsidRPr="00BD16B4">
              <w:rPr>
                <w:szCs w:val="18"/>
              </w:rPr>
              <w:t>0.21</w:t>
            </w:r>
          </w:p>
        </w:tc>
        <w:tc>
          <w:tcPr>
            <w:tcW w:w="907" w:type="dxa"/>
            <w:shd w:val="clear" w:color="auto" w:fill="auto"/>
          </w:tcPr>
          <w:p w14:paraId="6669625F" w14:textId="77777777" w:rsidR="00ED2EBD" w:rsidRPr="00BD16B4" w:rsidRDefault="00ED2EBD" w:rsidP="004A205F">
            <w:pPr>
              <w:pStyle w:val="TableText"/>
              <w:spacing w:before="40"/>
              <w:jc w:val="right"/>
              <w:rPr>
                <w:szCs w:val="18"/>
              </w:rPr>
            </w:pPr>
            <w:r w:rsidRPr="00BD16B4">
              <w:rPr>
                <w:szCs w:val="18"/>
              </w:rPr>
              <w:t>0.22</w:t>
            </w:r>
          </w:p>
        </w:tc>
        <w:tc>
          <w:tcPr>
            <w:tcW w:w="907" w:type="dxa"/>
            <w:shd w:val="clear" w:color="auto" w:fill="auto"/>
          </w:tcPr>
          <w:p w14:paraId="73EFCF4B" w14:textId="77777777" w:rsidR="00ED2EBD" w:rsidRPr="00BD16B4" w:rsidRDefault="00ED2EBD" w:rsidP="004A205F">
            <w:pPr>
              <w:pStyle w:val="TableText"/>
              <w:spacing w:before="40"/>
              <w:jc w:val="right"/>
              <w:rPr>
                <w:szCs w:val="18"/>
              </w:rPr>
            </w:pPr>
            <w:r w:rsidRPr="00BD16B4">
              <w:rPr>
                <w:szCs w:val="18"/>
              </w:rPr>
              <w:t>0.22</w:t>
            </w:r>
          </w:p>
        </w:tc>
        <w:tc>
          <w:tcPr>
            <w:tcW w:w="907" w:type="dxa"/>
            <w:shd w:val="clear" w:color="auto" w:fill="auto"/>
          </w:tcPr>
          <w:p w14:paraId="51F068F4" w14:textId="77777777" w:rsidR="00ED2EBD" w:rsidRPr="00BD16B4" w:rsidRDefault="00ED2EBD" w:rsidP="004A205F">
            <w:pPr>
              <w:pStyle w:val="TableText"/>
              <w:spacing w:before="40"/>
              <w:jc w:val="right"/>
              <w:rPr>
                <w:szCs w:val="18"/>
              </w:rPr>
            </w:pPr>
            <w:r w:rsidRPr="00BD16B4">
              <w:rPr>
                <w:szCs w:val="18"/>
              </w:rPr>
              <w:t>0.20</w:t>
            </w:r>
          </w:p>
        </w:tc>
      </w:tr>
      <w:tr w:rsidR="00AA2930" w:rsidRPr="00BD16B4" w14:paraId="254B8FEE" w14:textId="77777777" w:rsidTr="004625B0">
        <w:tc>
          <w:tcPr>
            <w:tcW w:w="3964" w:type="dxa"/>
          </w:tcPr>
          <w:p w14:paraId="3FF040F9" w14:textId="000B1582" w:rsidR="00ED2EBD" w:rsidRPr="00BD16B4" w:rsidRDefault="00ED2EBD" w:rsidP="004A205F">
            <w:pPr>
              <w:pStyle w:val="TableText"/>
              <w:spacing w:before="40"/>
              <w:ind w:left="454" w:hanging="227"/>
              <w:rPr>
                <w:szCs w:val="18"/>
              </w:rPr>
            </w:pPr>
            <w:r w:rsidRPr="00BD16B4">
              <w:rPr>
                <w:szCs w:val="18"/>
              </w:rPr>
              <w:t>3.</w:t>
            </w:r>
            <w:r w:rsidR="00280979" w:rsidRPr="00BD16B4">
              <w:rPr>
                <w:szCs w:val="18"/>
              </w:rPr>
              <w:t xml:space="preserve"> </w:t>
            </w:r>
            <w:r w:rsidRPr="00BD16B4">
              <w:rPr>
                <w:szCs w:val="18"/>
              </w:rPr>
              <w:t>Transport</w:t>
            </w:r>
          </w:p>
        </w:tc>
        <w:tc>
          <w:tcPr>
            <w:tcW w:w="907" w:type="dxa"/>
            <w:shd w:val="clear" w:color="auto" w:fill="auto"/>
          </w:tcPr>
          <w:p w14:paraId="7EF95B75" w14:textId="77777777" w:rsidR="00ED2EBD" w:rsidRPr="00BD16B4" w:rsidRDefault="00ED2EBD" w:rsidP="004A205F">
            <w:pPr>
              <w:pStyle w:val="TableText"/>
              <w:spacing w:before="40"/>
              <w:jc w:val="right"/>
              <w:rPr>
                <w:szCs w:val="18"/>
              </w:rPr>
            </w:pPr>
            <w:r w:rsidRPr="00BD16B4">
              <w:rPr>
                <w:szCs w:val="18"/>
              </w:rPr>
              <w:t>0.57</w:t>
            </w:r>
          </w:p>
        </w:tc>
        <w:tc>
          <w:tcPr>
            <w:tcW w:w="907" w:type="dxa"/>
            <w:shd w:val="clear" w:color="auto" w:fill="auto"/>
          </w:tcPr>
          <w:p w14:paraId="3F3690E3" w14:textId="77777777" w:rsidR="00ED2EBD" w:rsidRPr="00BD16B4" w:rsidRDefault="00ED2EBD" w:rsidP="004A205F">
            <w:pPr>
              <w:pStyle w:val="TableText"/>
              <w:spacing w:before="40"/>
              <w:jc w:val="right"/>
              <w:rPr>
                <w:szCs w:val="18"/>
              </w:rPr>
            </w:pPr>
            <w:r w:rsidRPr="00BD16B4">
              <w:rPr>
                <w:szCs w:val="18"/>
              </w:rPr>
              <w:t>0.55</w:t>
            </w:r>
          </w:p>
        </w:tc>
        <w:tc>
          <w:tcPr>
            <w:tcW w:w="907" w:type="dxa"/>
            <w:shd w:val="clear" w:color="auto" w:fill="auto"/>
          </w:tcPr>
          <w:p w14:paraId="2B613832" w14:textId="77777777" w:rsidR="00ED2EBD" w:rsidRPr="00BD16B4" w:rsidRDefault="00ED2EBD" w:rsidP="004A205F">
            <w:pPr>
              <w:pStyle w:val="TableText"/>
              <w:spacing w:before="40"/>
              <w:jc w:val="right"/>
              <w:rPr>
                <w:szCs w:val="18"/>
              </w:rPr>
            </w:pPr>
            <w:r w:rsidRPr="00BD16B4">
              <w:rPr>
                <w:szCs w:val="18"/>
              </w:rPr>
              <w:t>0.52</w:t>
            </w:r>
          </w:p>
        </w:tc>
        <w:tc>
          <w:tcPr>
            <w:tcW w:w="907" w:type="dxa"/>
            <w:shd w:val="clear" w:color="auto" w:fill="auto"/>
          </w:tcPr>
          <w:p w14:paraId="4BB5A6F0" w14:textId="77777777" w:rsidR="00ED2EBD" w:rsidRPr="00BD16B4" w:rsidRDefault="00ED2EBD" w:rsidP="004A205F">
            <w:pPr>
              <w:pStyle w:val="TableText"/>
              <w:spacing w:before="40"/>
              <w:jc w:val="right"/>
              <w:rPr>
                <w:szCs w:val="18"/>
              </w:rPr>
            </w:pPr>
            <w:r w:rsidRPr="00BD16B4">
              <w:rPr>
                <w:szCs w:val="18"/>
              </w:rPr>
              <w:t>0.51</w:t>
            </w:r>
          </w:p>
        </w:tc>
        <w:tc>
          <w:tcPr>
            <w:tcW w:w="907" w:type="dxa"/>
            <w:shd w:val="clear" w:color="auto" w:fill="auto"/>
          </w:tcPr>
          <w:p w14:paraId="12D217B0" w14:textId="77777777" w:rsidR="00ED2EBD" w:rsidRPr="00BD16B4" w:rsidRDefault="00ED2EBD" w:rsidP="004A205F">
            <w:pPr>
              <w:pStyle w:val="TableText"/>
              <w:spacing w:before="40"/>
              <w:jc w:val="right"/>
              <w:rPr>
                <w:szCs w:val="18"/>
              </w:rPr>
            </w:pPr>
            <w:r w:rsidRPr="00BD16B4">
              <w:rPr>
                <w:szCs w:val="18"/>
              </w:rPr>
              <w:t>0.50</w:t>
            </w:r>
          </w:p>
        </w:tc>
        <w:tc>
          <w:tcPr>
            <w:tcW w:w="907" w:type="dxa"/>
            <w:shd w:val="clear" w:color="auto" w:fill="auto"/>
          </w:tcPr>
          <w:p w14:paraId="20E36DE4" w14:textId="77777777" w:rsidR="00ED2EBD" w:rsidRPr="00BD16B4" w:rsidRDefault="00ED2EBD" w:rsidP="004A205F">
            <w:pPr>
              <w:pStyle w:val="TableText"/>
              <w:spacing w:before="40"/>
              <w:jc w:val="right"/>
              <w:rPr>
                <w:szCs w:val="18"/>
              </w:rPr>
            </w:pPr>
            <w:r w:rsidRPr="00BD16B4">
              <w:rPr>
                <w:szCs w:val="18"/>
              </w:rPr>
              <w:t>0.48</w:t>
            </w:r>
          </w:p>
        </w:tc>
        <w:tc>
          <w:tcPr>
            <w:tcW w:w="907" w:type="dxa"/>
            <w:shd w:val="clear" w:color="auto" w:fill="auto"/>
          </w:tcPr>
          <w:p w14:paraId="4FFB8B16" w14:textId="77777777" w:rsidR="00ED2EBD" w:rsidRPr="00BD16B4" w:rsidRDefault="00ED2EBD" w:rsidP="004A205F">
            <w:pPr>
              <w:pStyle w:val="TableText"/>
              <w:spacing w:before="40"/>
              <w:jc w:val="right"/>
              <w:rPr>
                <w:szCs w:val="18"/>
              </w:rPr>
            </w:pPr>
            <w:r w:rsidRPr="00BD16B4">
              <w:rPr>
                <w:szCs w:val="18"/>
              </w:rPr>
              <w:t>0.47</w:t>
            </w:r>
          </w:p>
        </w:tc>
        <w:tc>
          <w:tcPr>
            <w:tcW w:w="907" w:type="dxa"/>
            <w:shd w:val="clear" w:color="auto" w:fill="auto"/>
          </w:tcPr>
          <w:p w14:paraId="00139ADF" w14:textId="77777777" w:rsidR="00ED2EBD" w:rsidRPr="00BD16B4" w:rsidRDefault="00ED2EBD" w:rsidP="004A205F">
            <w:pPr>
              <w:pStyle w:val="TableText"/>
              <w:spacing w:before="40"/>
              <w:jc w:val="right"/>
              <w:rPr>
                <w:szCs w:val="18"/>
              </w:rPr>
            </w:pPr>
            <w:r w:rsidRPr="00BD16B4">
              <w:rPr>
                <w:szCs w:val="18"/>
              </w:rPr>
              <w:t>0.41</w:t>
            </w:r>
          </w:p>
        </w:tc>
        <w:tc>
          <w:tcPr>
            <w:tcW w:w="907" w:type="dxa"/>
            <w:shd w:val="clear" w:color="auto" w:fill="auto"/>
          </w:tcPr>
          <w:p w14:paraId="0B290241" w14:textId="77777777" w:rsidR="00ED2EBD" w:rsidRPr="00BD16B4" w:rsidRDefault="00ED2EBD" w:rsidP="004A205F">
            <w:pPr>
              <w:pStyle w:val="TableText"/>
              <w:spacing w:before="40"/>
              <w:jc w:val="right"/>
              <w:rPr>
                <w:szCs w:val="18"/>
              </w:rPr>
            </w:pPr>
            <w:r w:rsidRPr="00BD16B4">
              <w:rPr>
                <w:szCs w:val="18"/>
              </w:rPr>
              <w:t>0.40</w:t>
            </w:r>
          </w:p>
        </w:tc>
        <w:tc>
          <w:tcPr>
            <w:tcW w:w="907" w:type="dxa"/>
            <w:shd w:val="clear" w:color="auto" w:fill="auto"/>
          </w:tcPr>
          <w:p w14:paraId="3F4835A8" w14:textId="77777777" w:rsidR="00ED2EBD" w:rsidRPr="00BD16B4" w:rsidRDefault="00ED2EBD" w:rsidP="004A205F">
            <w:pPr>
              <w:pStyle w:val="TableText"/>
              <w:spacing w:before="40"/>
              <w:jc w:val="right"/>
              <w:rPr>
                <w:szCs w:val="18"/>
              </w:rPr>
            </w:pPr>
            <w:r w:rsidRPr="00BD16B4">
              <w:rPr>
                <w:szCs w:val="18"/>
              </w:rPr>
              <w:t>0.40</w:t>
            </w:r>
          </w:p>
        </w:tc>
        <w:tc>
          <w:tcPr>
            <w:tcW w:w="907" w:type="dxa"/>
            <w:shd w:val="clear" w:color="auto" w:fill="auto"/>
          </w:tcPr>
          <w:p w14:paraId="503F3E73" w14:textId="77777777" w:rsidR="00ED2EBD" w:rsidRPr="00BD16B4" w:rsidRDefault="00ED2EBD" w:rsidP="004A205F">
            <w:pPr>
              <w:pStyle w:val="TableText"/>
              <w:spacing w:before="40"/>
              <w:jc w:val="right"/>
              <w:rPr>
                <w:szCs w:val="18"/>
              </w:rPr>
            </w:pPr>
            <w:r w:rsidRPr="00BD16B4">
              <w:rPr>
                <w:szCs w:val="18"/>
              </w:rPr>
              <w:t>0.28</w:t>
            </w:r>
          </w:p>
        </w:tc>
      </w:tr>
      <w:tr w:rsidR="00AA2930" w:rsidRPr="00BD16B4" w14:paraId="1492BD4A" w14:textId="77777777" w:rsidTr="004625B0">
        <w:tc>
          <w:tcPr>
            <w:tcW w:w="3964" w:type="dxa"/>
          </w:tcPr>
          <w:p w14:paraId="5EDD623E" w14:textId="1DA4CC4B" w:rsidR="00ED2EBD" w:rsidRPr="00BD16B4" w:rsidRDefault="00ED2EBD" w:rsidP="004A205F">
            <w:pPr>
              <w:pStyle w:val="TableText"/>
              <w:spacing w:before="40"/>
              <w:ind w:left="454" w:hanging="227"/>
              <w:rPr>
                <w:szCs w:val="18"/>
              </w:rPr>
            </w:pPr>
            <w:r w:rsidRPr="00BD16B4">
              <w:rPr>
                <w:szCs w:val="18"/>
              </w:rPr>
              <w:t>4.</w:t>
            </w:r>
            <w:r w:rsidR="00280979" w:rsidRPr="00BD16B4">
              <w:rPr>
                <w:szCs w:val="18"/>
              </w:rPr>
              <w:t xml:space="preserve"> </w:t>
            </w:r>
            <w:r w:rsidRPr="00BD16B4">
              <w:rPr>
                <w:szCs w:val="18"/>
              </w:rPr>
              <w:t>Other sectors</w:t>
            </w:r>
          </w:p>
        </w:tc>
        <w:tc>
          <w:tcPr>
            <w:tcW w:w="907" w:type="dxa"/>
            <w:shd w:val="clear" w:color="auto" w:fill="auto"/>
          </w:tcPr>
          <w:p w14:paraId="6E0EDAFC" w14:textId="77777777" w:rsidR="00ED2EBD" w:rsidRPr="00BD16B4" w:rsidRDefault="00ED2EBD" w:rsidP="004A205F">
            <w:pPr>
              <w:pStyle w:val="TableText"/>
              <w:spacing w:before="40"/>
              <w:jc w:val="right"/>
              <w:rPr>
                <w:szCs w:val="18"/>
              </w:rPr>
            </w:pPr>
            <w:r w:rsidRPr="00BD16B4">
              <w:rPr>
                <w:szCs w:val="18"/>
              </w:rPr>
              <w:t>0.19</w:t>
            </w:r>
          </w:p>
        </w:tc>
        <w:tc>
          <w:tcPr>
            <w:tcW w:w="907" w:type="dxa"/>
            <w:shd w:val="clear" w:color="auto" w:fill="auto"/>
          </w:tcPr>
          <w:p w14:paraId="4AF3D60E" w14:textId="77777777" w:rsidR="00ED2EBD" w:rsidRPr="00BD16B4" w:rsidRDefault="00ED2EBD" w:rsidP="004A205F">
            <w:pPr>
              <w:pStyle w:val="TableText"/>
              <w:spacing w:before="40"/>
              <w:jc w:val="right"/>
              <w:rPr>
                <w:szCs w:val="18"/>
              </w:rPr>
            </w:pPr>
            <w:r w:rsidRPr="00BD16B4">
              <w:rPr>
                <w:szCs w:val="18"/>
              </w:rPr>
              <w:t>0.20</w:t>
            </w:r>
          </w:p>
        </w:tc>
        <w:tc>
          <w:tcPr>
            <w:tcW w:w="907" w:type="dxa"/>
            <w:shd w:val="clear" w:color="auto" w:fill="auto"/>
          </w:tcPr>
          <w:p w14:paraId="0767AF21" w14:textId="77777777" w:rsidR="00ED2EBD" w:rsidRPr="00BD16B4" w:rsidRDefault="00ED2EBD" w:rsidP="004A205F">
            <w:pPr>
              <w:pStyle w:val="TableText"/>
              <w:spacing w:before="40"/>
              <w:jc w:val="right"/>
              <w:rPr>
                <w:szCs w:val="18"/>
              </w:rPr>
            </w:pPr>
            <w:r w:rsidRPr="00BD16B4">
              <w:rPr>
                <w:szCs w:val="18"/>
              </w:rPr>
              <w:t>0.21</w:t>
            </w:r>
          </w:p>
        </w:tc>
        <w:tc>
          <w:tcPr>
            <w:tcW w:w="907" w:type="dxa"/>
            <w:shd w:val="clear" w:color="auto" w:fill="auto"/>
          </w:tcPr>
          <w:p w14:paraId="2FB648E0" w14:textId="77777777" w:rsidR="00ED2EBD" w:rsidRPr="00BD16B4" w:rsidRDefault="00ED2EBD" w:rsidP="004A205F">
            <w:pPr>
              <w:pStyle w:val="TableText"/>
              <w:spacing w:before="40"/>
              <w:jc w:val="right"/>
              <w:rPr>
                <w:szCs w:val="18"/>
              </w:rPr>
            </w:pPr>
            <w:r w:rsidRPr="00BD16B4">
              <w:rPr>
                <w:szCs w:val="18"/>
              </w:rPr>
              <w:t>0.22</w:t>
            </w:r>
          </w:p>
        </w:tc>
        <w:tc>
          <w:tcPr>
            <w:tcW w:w="907" w:type="dxa"/>
            <w:shd w:val="clear" w:color="auto" w:fill="auto"/>
          </w:tcPr>
          <w:p w14:paraId="7F168294" w14:textId="77777777" w:rsidR="00ED2EBD" w:rsidRPr="00BD16B4" w:rsidRDefault="00ED2EBD" w:rsidP="004A205F">
            <w:pPr>
              <w:pStyle w:val="TableText"/>
              <w:spacing w:before="40"/>
              <w:jc w:val="right"/>
              <w:rPr>
                <w:szCs w:val="18"/>
              </w:rPr>
            </w:pPr>
            <w:r w:rsidRPr="00BD16B4">
              <w:rPr>
                <w:szCs w:val="18"/>
              </w:rPr>
              <w:t>0.21</w:t>
            </w:r>
          </w:p>
        </w:tc>
        <w:tc>
          <w:tcPr>
            <w:tcW w:w="907" w:type="dxa"/>
            <w:shd w:val="clear" w:color="auto" w:fill="auto"/>
          </w:tcPr>
          <w:p w14:paraId="1D9C535D" w14:textId="77777777" w:rsidR="00ED2EBD" w:rsidRPr="00BD16B4" w:rsidRDefault="00ED2EBD" w:rsidP="004A205F">
            <w:pPr>
              <w:pStyle w:val="TableText"/>
              <w:spacing w:before="40"/>
              <w:jc w:val="right"/>
              <w:rPr>
                <w:szCs w:val="18"/>
              </w:rPr>
            </w:pPr>
            <w:r w:rsidRPr="00BD16B4">
              <w:rPr>
                <w:szCs w:val="18"/>
              </w:rPr>
              <w:t>0.21</w:t>
            </w:r>
          </w:p>
        </w:tc>
        <w:tc>
          <w:tcPr>
            <w:tcW w:w="907" w:type="dxa"/>
            <w:shd w:val="clear" w:color="auto" w:fill="auto"/>
          </w:tcPr>
          <w:p w14:paraId="1136EA55" w14:textId="77777777" w:rsidR="00ED2EBD" w:rsidRPr="00BD16B4" w:rsidRDefault="00ED2EBD" w:rsidP="004A205F">
            <w:pPr>
              <w:pStyle w:val="TableText"/>
              <w:spacing w:before="40"/>
              <w:jc w:val="right"/>
              <w:rPr>
                <w:szCs w:val="18"/>
              </w:rPr>
            </w:pPr>
            <w:r w:rsidRPr="00BD16B4">
              <w:rPr>
                <w:szCs w:val="18"/>
              </w:rPr>
              <w:t>0.21</w:t>
            </w:r>
          </w:p>
        </w:tc>
        <w:tc>
          <w:tcPr>
            <w:tcW w:w="907" w:type="dxa"/>
            <w:shd w:val="clear" w:color="auto" w:fill="auto"/>
          </w:tcPr>
          <w:p w14:paraId="02C886AA" w14:textId="77777777" w:rsidR="00ED2EBD" w:rsidRPr="00BD16B4" w:rsidRDefault="00ED2EBD" w:rsidP="004A205F">
            <w:pPr>
              <w:pStyle w:val="TableText"/>
              <w:spacing w:before="40"/>
              <w:jc w:val="right"/>
              <w:rPr>
                <w:szCs w:val="18"/>
              </w:rPr>
            </w:pPr>
            <w:r w:rsidRPr="00BD16B4">
              <w:rPr>
                <w:szCs w:val="18"/>
              </w:rPr>
              <w:t>0.21</w:t>
            </w:r>
          </w:p>
        </w:tc>
        <w:tc>
          <w:tcPr>
            <w:tcW w:w="907" w:type="dxa"/>
            <w:shd w:val="clear" w:color="auto" w:fill="auto"/>
          </w:tcPr>
          <w:p w14:paraId="61E2DBAE" w14:textId="77777777" w:rsidR="00ED2EBD" w:rsidRPr="00BD16B4" w:rsidRDefault="00ED2EBD" w:rsidP="004A205F">
            <w:pPr>
              <w:pStyle w:val="TableText"/>
              <w:spacing w:before="40"/>
              <w:jc w:val="right"/>
              <w:rPr>
                <w:szCs w:val="18"/>
              </w:rPr>
            </w:pPr>
            <w:r w:rsidRPr="00BD16B4">
              <w:rPr>
                <w:szCs w:val="18"/>
              </w:rPr>
              <w:t>0.21</w:t>
            </w:r>
          </w:p>
        </w:tc>
        <w:tc>
          <w:tcPr>
            <w:tcW w:w="907" w:type="dxa"/>
            <w:shd w:val="clear" w:color="auto" w:fill="auto"/>
          </w:tcPr>
          <w:p w14:paraId="57129DB2" w14:textId="77777777" w:rsidR="00ED2EBD" w:rsidRPr="00BD16B4" w:rsidRDefault="00ED2EBD" w:rsidP="004A205F">
            <w:pPr>
              <w:pStyle w:val="TableText"/>
              <w:spacing w:before="40"/>
              <w:jc w:val="right"/>
              <w:rPr>
                <w:szCs w:val="18"/>
              </w:rPr>
            </w:pPr>
            <w:r w:rsidRPr="00BD16B4">
              <w:rPr>
                <w:szCs w:val="18"/>
              </w:rPr>
              <w:t>0.23</w:t>
            </w:r>
          </w:p>
        </w:tc>
        <w:tc>
          <w:tcPr>
            <w:tcW w:w="907" w:type="dxa"/>
            <w:shd w:val="clear" w:color="auto" w:fill="auto"/>
          </w:tcPr>
          <w:p w14:paraId="00388D56" w14:textId="77777777" w:rsidR="00ED2EBD" w:rsidRPr="00BD16B4" w:rsidRDefault="00ED2EBD" w:rsidP="004A205F">
            <w:pPr>
              <w:pStyle w:val="TableText"/>
              <w:spacing w:before="40"/>
              <w:jc w:val="right"/>
              <w:rPr>
                <w:szCs w:val="18"/>
              </w:rPr>
            </w:pPr>
            <w:r w:rsidRPr="00BD16B4">
              <w:rPr>
                <w:szCs w:val="18"/>
              </w:rPr>
              <w:t>0.23</w:t>
            </w:r>
          </w:p>
        </w:tc>
      </w:tr>
      <w:tr w:rsidR="00AA2930" w:rsidRPr="00BD16B4" w14:paraId="234D3356" w14:textId="77777777" w:rsidTr="004625B0">
        <w:tc>
          <w:tcPr>
            <w:tcW w:w="3964" w:type="dxa"/>
          </w:tcPr>
          <w:p w14:paraId="5C747754" w14:textId="26669C47" w:rsidR="00ED2EBD" w:rsidRPr="00BD16B4" w:rsidRDefault="00ED2EBD" w:rsidP="004A205F">
            <w:pPr>
              <w:pStyle w:val="TableText"/>
              <w:spacing w:before="40"/>
              <w:ind w:left="454" w:hanging="227"/>
              <w:rPr>
                <w:szCs w:val="18"/>
              </w:rPr>
            </w:pPr>
            <w:r w:rsidRPr="00BD16B4">
              <w:rPr>
                <w:szCs w:val="18"/>
              </w:rPr>
              <w:t>5.</w:t>
            </w:r>
            <w:r w:rsidR="00280979" w:rsidRPr="00BD16B4">
              <w:rPr>
                <w:szCs w:val="18"/>
              </w:rPr>
              <w:t xml:space="preserve"> </w:t>
            </w:r>
            <w:r w:rsidRPr="00BD16B4">
              <w:rPr>
                <w:szCs w:val="18"/>
              </w:rPr>
              <w:t>Other</w:t>
            </w:r>
          </w:p>
        </w:tc>
        <w:tc>
          <w:tcPr>
            <w:tcW w:w="907" w:type="dxa"/>
            <w:shd w:val="clear" w:color="auto" w:fill="auto"/>
          </w:tcPr>
          <w:p w14:paraId="7B12C99B"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1ACD2789"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4B727FB8"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029AA498"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01A8FA2B"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4A91F7C6"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5CDB4196"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626FFC58"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7D30A889"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4EBE978A"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00C86812" w14:textId="77777777" w:rsidR="00ED2EBD" w:rsidRPr="00BD16B4" w:rsidRDefault="00ED2EBD" w:rsidP="004A205F">
            <w:pPr>
              <w:pStyle w:val="TableText"/>
              <w:spacing w:before="40"/>
              <w:jc w:val="right"/>
              <w:rPr>
                <w:szCs w:val="18"/>
              </w:rPr>
            </w:pPr>
            <w:r w:rsidRPr="00BD16B4">
              <w:rPr>
                <w:szCs w:val="18"/>
              </w:rPr>
              <w:t>NO</w:t>
            </w:r>
          </w:p>
        </w:tc>
      </w:tr>
      <w:tr w:rsidR="00AA2930" w:rsidRPr="00BD16B4" w14:paraId="1CA9D8B8" w14:textId="77777777" w:rsidTr="004625B0">
        <w:tc>
          <w:tcPr>
            <w:tcW w:w="3964" w:type="dxa"/>
          </w:tcPr>
          <w:p w14:paraId="63B737F1" w14:textId="77777777" w:rsidR="00ED2EBD" w:rsidRPr="00BD16B4" w:rsidRDefault="00ED2EBD" w:rsidP="004A205F">
            <w:pPr>
              <w:pStyle w:val="TableText"/>
              <w:spacing w:before="40"/>
              <w:rPr>
                <w:szCs w:val="18"/>
              </w:rPr>
            </w:pPr>
            <w:r w:rsidRPr="00BD16B4">
              <w:rPr>
                <w:szCs w:val="18"/>
              </w:rPr>
              <w:lastRenderedPageBreak/>
              <w:t>B. Fugitive emissions from fuels</w:t>
            </w:r>
          </w:p>
        </w:tc>
        <w:tc>
          <w:tcPr>
            <w:tcW w:w="907" w:type="dxa"/>
            <w:shd w:val="clear" w:color="auto" w:fill="auto"/>
          </w:tcPr>
          <w:p w14:paraId="06EA0BC2"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5BD1BC2F"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182D4572"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1BCDEF3F"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46600CA4"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6DD1D7BA"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264DE6D8"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159DB214"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5DC5794A"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7BCAE56B"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31D03C66" w14:textId="77777777" w:rsidR="00ED2EBD" w:rsidRPr="00BD16B4" w:rsidRDefault="00ED2EBD" w:rsidP="004A205F">
            <w:pPr>
              <w:pStyle w:val="TableText"/>
              <w:spacing w:before="40"/>
              <w:jc w:val="right"/>
              <w:rPr>
                <w:szCs w:val="18"/>
              </w:rPr>
            </w:pPr>
            <w:r w:rsidRPr="00BD16B4">
              <w:rPr>
                <w:szCs w:val="18"/>
              </w:rPr>
              <w:t>0.00</w:t>
            </w:r>
          </w:p>
        </w:tc>
      </w:tr>
      <w:tr w:rsidR="00AA2930" w:rsidRPr="00BD16B4" w14:paraId="7011EC9C" w14:textId="77777777" w:rsidTr="004625B0">
        <w:tc>
          <w:tcPr>
            <w:tcW w:w="3964" w:type="dxa"/>
          </w:tcPr>
          <w:p w14:paraId="3AEBBF25" w14:textId="51539297" w:rsidR="00ED2EBD" w:rsidRPr="00BD16B4" w:rsidRDefault="00ED2EBD" w:rsidP="004A205F">
            <w:pPr>
              <w:pStyle w:val="TableText"/>
              <w:spacing w:before="40"/>
              <w:ind w:left="454" w:hanging="227"/>
              <w:rPr>
                <w:szCs w:val="18"/>
              </w:rPr>
            </w:pPr>
            <w:r w:rsidRPr="00BD16B4">
              <w:rPr>
                <w:szCs w:val="18"/>
              </w:rPr>
              <w:t>1.</w:t>
            </w:r>
            <w:r w:rsidR="00280979" w:rsidRPr="00BD16B4">
              <w:rPr>
                <w:szCs w:val="18"/>
              </w:rPr>
              <w:t xml:space="preserve"> </w:t>
            </w:r>
            <w:r w:rsidR="00AB4526" w:rsidRPr="00BD16B4">
              <w:rPr>
                <w:szCs w:val="18"/>
              </w:rPr>
              <w:tab/>
            </w:r>
            <w:r w:rsidRPr="00BD16B4">
              <w:rPr>
                <w:szCs w:val="18"/>
              </w:rPr>
              <w:t>Solid fuels</w:t>
            </w:r>
          </w:p>
        </w:tc>
        <w:tc>
          <w:tcPr>
            <w:tcW w:w="907" w:type="dxa"/>
            <w:shd w:val="clear" w:color="auto" w:fill="auto"/>
          </w:tcPr>
          <w:p w14:paraId="0110C00B"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7AA4120D"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03557570"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0086FA52"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553DCAD8"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3E9B9D02"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72E3212D"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0E7CB82E"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61B287DD"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19130A3F" w14:textId="77777777" w:rsidR="00ED2EBD" w:rsidRPr="00BD16B4" w:rsidRDefault="00ED2EBD" w:rsidP="004A205F">
            <w:pPr>
              <w:pStyle w:val="TableText"/>
              <w:spacing w:before="40"/>
              <w:jc w:val="right"/>
              <w:rPr>
                <w:szCs w:val="18"/>
              </w:rPr>
            </w:pPr>
            <w:r w:rsidRPr="00BD16B4">
              <w:rPr>
                <w:szCs w:val="18"/>
              </w:rPr>
              <w:t>NO</w:t>
            </w:r>
          </w:p>
        </w:tc>
        <w:tc>
          <w:tcPr>
            <w:tcW w:w="907" w:type="dxa"/>
            <w:shd w:val="clear" w:color="auto" w:fill="auto"/>
          </w:tcPr>
          <w:p w14:paraId="0A7CC804" w14:textId="77777777" w:rsidR="00ED2EBD" w:rsidRPr="00BD16B4" w:rsidRDefault="00ED2EBD" w:rsidP="004A205F">
            <w:pPr>
              <w:pStyle w:val="TableText"/>
              <w:spacing w:before="40"/>
              <w:jc w:val="right"/>
              <w:rPr>
                <w:szCs w:val="18"/>
              </w:rPr>
            </w:pPr>
            <w:r w:rsidRPr="00BD16B4">
              <w:rPr>
                <w:szCs w:val="18"/>
              </w:rPr>
              <w:t>NO</w:t>
            </w:r>
          </w:p>
        </w:tc>
      </w:tr>
      <w:tr w:rsidR="00AA2930" w:rsidRPr="00BD16B4" w14:paraId="1A842D9A" w14:textId="77777777" w:rsidTr="004625B0">
        <w:tc>
          <w:tcPr>
            <w:tcW w:w="3964" w:type="dxa"/>
          </w:tcPr>
          <w:p w14:paraId="7AAF0E7C" w14:textId="49DD7EBA" w:rsidR="00ED2EBD" w:rsidRPr="00BD16B4" w:rsidRDefault="00ED2EBD" w:rsidP="004A205F">
            <w:pPr>
              <w:pStyle w:val="TableText"/>
              <w:spacing w:before="40"/>
              <w:ind w:left="454" w:hanging="227"/>
              <w:rPr>
                <w:szCs w:val="18"/>
              </w:rPr>
            </w:pPr>
            <w:r w:rsidRPr="00BD16B4">
              <w:rPr>
                <w:szCs w:val="18"/>
              </w:rPr>
              <w:t>2.</w:t>
            </w:r>
            <w:r w:rsidR="00280979" w:rsidRPr="00BD16B4">
              <w:rPr>
                <w:szCs w:val="18"/>
              </w:rPr>
              <w:t xml:space="preserve"> </w:t>
            </w:r>
            <w:r w:rsidR="00AB4526" w:rsidRPr="00BD16B4">
              <w:rPr>
                <w:szCs w:val="18"/>
              </w:rPr>
              <w:tab/>
            </w:r>
            <w:r w:rsidRPr="00BD16B4">
              <w:rPr>
                <w:szCs w:val="18"/>
              </w:rPr>
              <w:t>Oil and natural gas and other emissions from energy production</w:t>
            </w:r>
          </w:p>
        </w:tc>
        <w:tc>
          <w:tcPr>
            <w:tcW w:w="907" w:type="dxa"/>
            <w:tcBorders>
              <w:bottom w:val="single" w:sz="4" w:space="0" w:color="1B556B" w:themeColor="text2"/>
            </w:tcBorders>
            <w:shd w:val="clear" w:color="auto" w:fill="auto"/>
          </w:tcPr>
          <w:p w14:paraId="28CBA7F4" w14:textId="77777777" w:rsidR="00ED2EBD" w:rsidRPr="00BD16B4" w:rsidRDefault="00ED2EBD" w:rsidP="004A205F">
            <w:pPr>
              <w:pStyle w:val="TableText"/>
              <w:spacing w:before="40"/>
              <w:jc w:val="right"/>
              <w:rPr>
                <w:szCs w:val="18"/>
              </w:rPr>
            </w:pPr>
            <w:r w:rsidRPr="00BD16B4">
              <w:rPr>
                <w:szCs w:val="18"/>
              </w:rPr>
              <w:t>0.00</w:t>
            </w:r>
          </w:p>
        </w:tc>
        <w:tc>
          <w:tcPr>
            <w:tcW w:w="907" w:type="dxa"/>
            <w:tcBorders>
              <w:bottom w:val="single" w:sz="4" w:space="0" w:color="1B556B" w:themeColor="text2"/>
            </w:tcBorders>
            <w:shd w:val="clear" w:color="auto" w:fill="auto"/>
          </w:tcPr>
          <w:p w14:paraId="27F70DB0" w14:textId="77777777" w:rsidR="00ED2EBD" w:rsidRPr="00BD16B4" w:rsidRDefault="00ED2EBD" w:rsidP="004A205F">
            <w:pPr>
              <w:pStyle w:val="TableText"/>
              <w:spacing w:before="40"/>
              <w:jc w:val="right"/>
              <w:rPr>
                <w:szCs w:val="18"/>
              </w:rPr>
            </w:pPr>
            <w:r w:rsidRPr="00BD16B4">
              <w:rPr>
                <w:szCs w:val="18"/>
              </w:rPr>
              <w:t>0.00</w:t>
            </w:r>
          </w:p>
        </w:tc>
        <w:tc>
          <w:tcPr>
            <w:tcW w:w="907" w:type="dxa"/>
            <w:tcBorders>
              <w:bottom w:val="single" w:sz="4" w:space="0" w:color="1B556B" w:themeColor="text2"/>
            </w:tcBorders>
            <w:shd w:val="clear" w:color="auto" w:fill="auto"/>
          </w:tcPr>
          <w:p w14:paraId="4BD4EECE" w14:textId="77777777" w:rsidR="00ED2EBD" w:rsidRPr="00BD16B4" w:rsidRDefault="00ED2EBD" w:rsidP="004A205F">
            <w:pPr>
              <w:pStyle w:val="TableText"/>
              <w:spacing w:before="40"/>
              <w:jc w:val="right"/>
              <w:rPr>
                <w:szCs w:val="18"/>
              </w:rPr>
            </w:pPr>
            <w:r w:rsidRPr="00BD16B4">
              <w:rPr>
                <w:szCs w:val="18"/>
              </w:rPr>
              <w:t>0.00</w:t>
            </w:r>
          </w:p>
        </w:tc>
        <w:tc>
          <w:tcPr>
            <w:tcW w:w="907" w:type="dxa"/>
            <w:tcBorders>
              <w:bottom w:val="single" w:sz="4" w:space="0" w:color="1B556B" w:themeColor="text2"/>
            </w:tcBorders>
            <w:shd w:val="clear" w:color="auto" w:fill="auto"/>
          </w:tcPr>
          <w:p w14:paraId="42DA34D2" w14:textId="77777777" w:rsidR="00ED2EBD" w:rsidRPr="00BD16B4" w:rsidRDefault="00ED2EBD" w:rsidP="004A205F">
            <w:pPr>
              <w:pStyle w:val="TableText"/>
              <w:spacing w:before="40"/>
              <w:jc w:val="right"/>
              <w:rPr>
                <w:szCs w:val="18"/>
              </w:rPr>
            </w:pPr>
            <w:r w:rsidRPr="00BD16B4">
              <w:rPr>
                <w:szCs w:val="18"/>
              </w:rPr>
              <w:t>0.00</w:t>
            </w:r>
          </w:p>
        </w:tc>
        <w:tc>
          <w:tcPr>
            <w:tcW w:w="907" w:type="dxa"/>
            <w:tcBorders>
              <w:bottom w:val="single" w:sz="4" w:space="0" w:color="1B556B" w:themeColor="text2"/>
            </w:tcBorders>
            <w:shd w:val="clear" w:color="auto" w:fill="auto"/>
          </w:tcPr>
          <w:p w14:paraId="482929EA" w14:textId="77777777" w:rsidR="00ED2EBD" w:rsidRPr="00BD16B4" w:rsidRDefault="00ED2EBD" w:rsidP="004A205F">
            <w:pPr>
              <w:pStyle w:val="TableText"/>
              <w:spacing w:before="40"/>
              <w:jc w:val="right"/>
              <w:rPr>
                <w:szCs w:val="18"/>
              </w:rPr>
            </w:pPr>
            <w:r w:rsidRPr="00BD16B4">
              <w:rPr>
                <w:szCs w:val="18"/>
              </w:rPr>
              <w:t>0.00</w:t>
            </w:r>
          </w:p>
        </w:tc>
        <w:tc>
          <w:tcPr>
            <w:tcW w:w="907" w:type="dxa"/>
            <w:tcBorders>
              <w:bottom w:val="single" w:sz="4" w:space="0" w:color="1B556B" w:themeColor="text2"/>
            </w:tcBorders>
            <w:shd w:val="clear" w:color="auto" w:fill="auto"/>
          </w:tcPr>
          <w:p w14:paraId="6E39D6BD" w14:textId="77777777" w:rsidR="00ED2EBD" w:rsidRPr="00BD16B4" w:rsidRDefault="00ED2EBD" w:rsidP="004A205F">
            <w:pPr>
              <w:pStyle w:val="TableText"/>
              <w:spacing w:before="40"/>
              <w:jc w:val="right"/>
              <w:rPr>
                <w:szCs w:val="18"/>
              </w:rPr>
            </w:pPr>
            <w:r w:rsidRPr="00BD16B4">
              <w:rPr>
                <w:szCs w:val="18"/>
              </w:rPr>
              <w:t>0.00</w:t>
            </w:r>
          </w:p>
        </w:tc>
        <w:tc>
          <w:tcPr>
            <w:tcW w:w="907" w:type="dxa"/>
            <w:tcBorders>
              <w:bottom w:val="single" w:sz="4" w:space="0" w:color="1B556B" w:themeColor="text2"/>
            </w:tcBorders>
            <w:shd w:val="clear" w:color="auto" w:fill="auto"/>
          </w:tcPr>
          <w:p w14:paraId="3BEFFD9B" w14:textId="77777777" w:rsidR="00ED2EBD" w:rsidRPr="00BD16B4" w:rsidRDefault="00ED2EBD" w:rsidP="004A205F">
            <w:pPr>
              <w:pStyle w:val="TableText"/>
              <w:spacing w:before="40"/>
              <w:jc w:val="right"/>
              <w:rPr>
                <w:szCs w:val="18"/>
              </w:rPr>
            </w:pPr>
            <w:r w:rsidRPr="00BD16B4">
              <w:rPr>
                <w:szCs w:val="18"/>
              </w:rPr>
              <w:t>0.00</w:t>
            </w:r>
          </w:p>
        </w:tc>
        <w:tc>
          <w:tcPr>
            <w:tcW w:w="907" w:type="dxa"/>
            <w:tcBorders>
              <w:bottom w:val="single" w:sz="4" w:space="0" w:color="1B556B" w:themeColor="text2"/>
            </w:tcBorders>
            <w:shd w:val="clear" w:color="auto" w:fill="auto"/>
          </w:tcPr>
          <w:p w14:paraId="00E10159" w14:textId="77777777" w:rsidR="00ED2EBD" w:rsidRPr="00BD16B4" w:rsidRDefault="00ED2EBD" w:rsidP="004A205F">
            <w:pPr>
              <w:pStyle w:val="TableText"/>
              <w:spacing w:before="40"/>
              <w:jc w:val="right"/>
              <w:rPr>
                <w:szCs w:val="18"/>
              </w:rPr>
            </w:pPr>
            <w:r w:rsidRPr="00BD16B4">
              <w:rPr>
                <w:szCs w:val="18"/>
              </w:rPr>
              <w:t>0.00</w:t>
            </w:r>
          </w:p>
        </w:tc>
        <w:tc>
          <w:tcPr>
            <w:tcW w:w="907" w:type="dxa"/>
            <w:tcBorders>
              <w:bottom w:val="single" w:sz="4" w:space="0" w:color="1B556B" w:themeColor="text2"/>
            </w:tcBorders>
            <w:shd w:val="clear" w:color="auto" w:fill="auto"/>
          </w:tcPr>
          <w:p w14:paraId="52FD653C" w14:textId="77777777" w:rsidR="00ED2EBD" w:rsidRPr="00BD16B4" w:rsidRDefault="00ED2EBD" w:rsidP="004A205F">
            <w:pPr>
              <w:pStyle w:val="TableText"/>
              <w:spacing w:before="40"/>
              <w:jc w:val="right"/>
              <w:rPr>
                <w:szCs w:val="18"/>
              </w:rPr>
            </w:pPr>
            <w:r w:rsidRPr="00BD16B4">
              <w:rPr>
                <w:szCs w:val="18"/>
              </w:rPr>
              <w:t>0.00</w:t>
            </w:r>
          </w:p>
        </w:tc>
        <w:tc>
          <w:tcPr>
            <w:tcW w:w="907" w:type="dxa"/>
            <w:tcBorders>
              <w:bottom w:val="single" w:sz="4" w:space="0" w:color="1B556B" w:themeColor="text2"/>
            </w:tcBorders>
            <w:shd w:val="clear" w:color="auto" w:fill="auto"/>
          </w:tcPr>
          <w:p w14:paraId="5E218796" w14:textId="77777777" w:rsidR="00ED2EBD" w:rsidRPr="00BD16B4" w:rsidRDefault="00ED2EBD" w:rsidP="004A205F">
            <w:pPr>
              <w:pStyle w:val="TableText"/>
              <w:spacing w:before="40"/>
              <w:jc w:val="right"/>
              <w:rPr>
                <w:szCs w:val="18"/>
              </w:rPr>
            </w:pPr>
            <w:r w:rsidRPr="00BD16B4">
              <w:rPr>
                <w:szCs w:val="18"/>
              </w:rPr>
              <w:t>0.00</w:t>
            </w:r>
          </w:p>
        </w:tc>
        <w:tc>
          <w:tcPr>
            <w:tcW w:w="907" w:type="dxa"/>
            <w:tcBorders>
              <w:bottom w:val="single" w:sz="4" w:space="0" w:color="1B556B" w:themeColor="text2"/>
            </w:tcBorders>
            <w:shd w:val="clear" w:color="auto" w:fill="auto"/>
          </w:tcPr>
          <w:p w14:paraId="475B7429" w14:textId="77777777" w:rsidR="00ED2EBD" w:rsidRPr="00BD16B4" w:rsidRDefault="00ED2EBD" w:rsidP="004A205F">
            <w:pPr>
              <w:pStyle w:val="TableText"/>
              <w:spacing w:before="40"/>
              <w:jc w:val="right"/>
              <w:rPr>
                <w:szCs w:val="18"/>
              </w:rPr>
            </w:pPr>
            <w:r w:rsidRPr="00BD16B4">
              <w:rPr>
                <w:szCs w:val="18"/>
              </w:rPr>
              <w:t>0.00</w:t>
            </w:r>
          </w:p>
        </w:tc>
      </w:tr>
      <w:tr w:rsidR="00ED2EBD" w:rsidRPr="00BD16B4" w14:paraId="6661D5A5" w14:textId="77777777" w:rsidTr="004625B0">
        <w:tc>
          <w:tcPr>
            <w:tcW w:w="3964" w:type="dxa"/>
          </w:tcPr>
          <w:p w14:paraId="5BD62537" w14:textId="77777777" w:rsidR="00ED2EBD" w:rsidRPr="00BD16B4" w:rsidRDefault="00ED2EBD" w:rsidP="004A205F">
            <w:pPr>
              <w:pStyle w:val="TableText"/>
              <w:spacing w:before="40"/>
              <w:rPr>
                <w:szCs w:val="18"/>
              </w:rPr>
            </w:pPr>
            <w:r w:rsidRPr="00BD16B4">
              <w:rPr>
                <w:szCs w:val="18"/>
              </w:rPr>
              <w:t>C. CO</w:t>
            </w:r>
            <w:r w:rsidRPr="00BD16B4">
              <w:rPr>
                <w:szCs w:val="18"/>
                <w:vertAlign w:val="subscript"/>
              </w:rPr>
              <w:t>2</w:t>
            </w:r>
            <w:r w:rsidRPr="00BD16B4">
              <w:rPr>
                <w:szCs w:val="18"/>
              </w:rPr>
              <w:t xml:space="preserve"> transport and storage</w:t>
            </w:r>
          </w:p>
        </w:tc>
        <w:tc>
          <w:tcPr>
            <w:tcW w:w="907" w:type="dxa"/>
            <w:tcBorders>
              <w:top w:val="single" w:sz="4" w:space="0" w:color="1B556B" w:themeColor="text2"/>
            </w:tcBorders>
            <w:shd w:val="clear" w:color="auto" w:fill="D2DDE1" w:themeFill="background2"/>
          </w:tcPr>
          <w:p w14:paraId="415E98A1"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51236AC"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6C84AB1"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CE6127C"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1600301"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B5FFCAD"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C6D6558"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BD5BB68"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18367D6"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9335B88"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24B1B45" w14:textId="77777777" w:rsidR="00ED2EBD" w:rsidRPr="00BD16B4" w:rsidRDefault="00ED2EBD" w:rsidP="004A205F">
            <w:pPr>
              <w:pStyle w:val="TableText"/>
              <w:spacing w:before="40"/>
              <w:jc w:val="right"/>
              <w:rPr>
                <w:szCs w:val="18"/>
              </w:rPr>
            </w:pPr>
            <w:r w:rsidRPr="00BD16B4">
              <w:rPr>
                <w:color w:val="000000"/>
                <w:szCs w:val="18"/>
              </w:rPr>
              <w:t> </w:t>
            </w:r>
          </w:p>
        </w:tc>
      </w:tr>
      <w:tr w:rsidR="00AA2930" w:rsidRPr="00BD16B4" w14:paraId="2BAC7E5B" w14:textId="77777777" w:rsidTr="004625B0">
        <w:tc>
          <w:tcPr>
            <w:tcW w:w="3964" w:type="dxa"/>
          </w:tcPr>
          <w:p w14:paraId="524E01E4" w14:textId="1B79B347" w:rsidR="00ED2EBD" w:rsidRPr="00BD16B4" w:rsidRDefault="00ED2EBD" w:rsidP="004A205F">
            <w:pPr>
              <w:pStyle w:val="TableText"/>
              <w:spacing w:before="40"/>
              <w:rPr>
                <w:szCs w:val="18"/>
              </w:rPr>
            </w:pPr>
            <w:r w:rsidRPr="00BD16B4">
              <w:rPr>
                <w:b/>
                <w:bCs/>
                <w:szCs w:val="18"/>
              </w:rPr>
              <w:t>2.</w:t>
            </w:r>
            <w:r w:rsidR="00280979" w:rsidRPr="00BD16B4">
              <w:rPr>
                <w:b/>
                <w:bCs/>
                <w:szCs w:val="18"/>
              </w:rPr>
              <w:t xml:space="preserve"> </w:t>
            </w:r>
            <w:r w:rsidRPr="00BD16B4">
              <w:rPr>
                <w:b/>
                <w:bCs/>
                <w:szCs w:val="18"/>
              </w:rPr>
              <w:t>Industrial processes</w:t>
            </w:r>
          </w:p>
        </w:tc>
        <w:tc>
          <w:tcPr>
            <w:tcW w:w="907" w:type="dxa"/>
            <w:tcBorders>
              <w:bottom w:val="single" w:sz="4" w:space="0" w:color="1B556B" w:themeColor="text2"/>
            </w:tcBorders>
            <w:shd w:val="clear" w:color="auto" w:fill="auto"/>
          </w:tcPr>
          <w:p w14:paraId="15AB77B3" w14:textId="77777777" w:rsidR="00ED2EBD" w:rsidRPr="00BD16B4" w:rsidRDefault="00ED2EBD" w:rsidP="004A205F">
            <w:pPr>
              <w:pStyle w:val="TableText"/>
              <w:spacing w:before="40"/>
              <w:jc w:val="right"/>
              <w:rPr>
                <w:szCs w:val="18"/>
              </w:rPr>
            </w:pPr>
            <w:r w:rsidRPr="00BD16B4">
              <w:rPr>
                <w:szCs w:val="18"/>
              </w:rPr>
              <w:t>0.18</w:t>
            </w:r>
          </w:p>
        </w:tc>
        <w:tc>
          <w:tcPr>
            <w:tcW w:w="907" w:type="dxa"/>
            <w:tcBorders>
              <w:bottom w:val="single" w:sz="4" w:space="0" w:color="1B556B" w:themeColor="text2"/>
            </w:tcBorders>
            <w:shd w:val="clear" w:color="auto" w:fill="auto"/>
          </w:tcPr>
          <w:p w14:paraId="6E1BC8C5" w14:textId="77777777" w:rsidR="00ED2EBD" w:rsidRPr="00BD16B4" w:rsidRDefault="00ED2EBD" w:rsidP="004A205F">
            <w:pPr>
              <w:pStyle w:val="TableText"/>
              <w:spacing w:before="40"/>
              <w:jc w:val="right"/>
              <w:rPr>
                <w:szCs w:val="18"/>
              </w:rPr>
            </w:pPr>
            <w:r w:rsidRPr="00BD16B4">
              <w:rPr>
                <w:szCs w:val="18"/>
              </w:rPr>
              <w:t>0.18</w:t>
            </w:r>
          </w:p>
        </w:tc>
        <w:tc>
          <w:tcPr>
            <w:tcW w:w="907" w:type="dxa"/>
            <w:tcBorders>
              <w:bottom w:val="single" w:sz="4" w:space="0" w:color="1B556B" w:themeColor="text2"/>
            </w:tcBorders>
            <w:shd w:val="clear" w:color="auto" w:fill="auto"/>
          </w:tcPr>
          <w:p w14:paraId="3AF216FE" w14:textId="77777777" w:rsidR="00ED2EBD" w:rsidRPr="00BD16B4" w:rsidRDefault="00ED2EBD" w:rsidP="004A205F">
            <w:pPr>
              <w:pStyle w:val="TableText"/>
              <w:spacing w:before="40"/>
              <w:jc w:val="right"/>
              <w:rPr>
                <w:szCs w:val="18"/>
              </w:rPr>
            </w:pPr>
            <w:r w:rsidRPr="00BD16B4">
              <w:rPr>
                <w:szCs w:val="18"/>
              </w:rPr>
              <w:t>0.18</w:t>
            </w:r>
          </w:p>
        </w:tc>
        <w:tc>
          <w:tcPr>
            <w:tcW w:w="907" w:type="dxa"/>
            <w:tcBorders>
              <w:bottom w:val="single" w:sz="4" w:space="0" w:color="1B556B" w:themeColor="text2"/>
            </w:tcBorders>
            <w:shd w:val="clear" w:color="auto" w:fill="auto"/>
          </w:tcPr>
          <w:p w14:paraId="7468D7A0" w14:textId="77777777" w:rsidR="00ED2EBD" w:rsidRPr="00BD16B4" w:rsidRDefault="00ED2EBD" w:rsidP="004A205F">
            <w:pPr>
              <w:pStyle w:val="TableText"/>
              <w:spacing w:before="40"/>
              <w:jc w:val="right"/>
              <w:rPr>
                <w:szCs w:val="18"/>
              </w:rPr>
            </w:pPr>
            <w:r w:rsidRPr="00BD16B4">
              <w:rPr>
                <w:szCs w:val="18"/>
              </w:rPr>
              <w:t>0.20</w:t>
            </w:r>
          </w:p>
        </w:tc>
        <w:tc>
          <w:tcPr>
            <w:tcW w:w="907" w:type="dxa"/>
            <w:tcBorders>
              <w:bottom w:val="single" w:sz="4" w:space="0" w:color="1B556B" w:themeColor="text2"/>
            </w:tcBorders>
            <w:shd w:val="clear" w:color="auto" w:fill="auto"/>
          </w:tcPr>
          <w:p w14:paraId="75250EA8" w14:textId="77777777" w:rsidR="00ED2EBD" w:rsidRPr="00BD16B4" w:rsidRDefault="00ED2EBD" w:rsidP="004A205F">
            <w:pPr>
              <w:pStyle w:val="TableText"/>
              <w:spacing w:before="40"/>
              <w:jc w:val="right"/>
              <w:rPr>
                <w:szCs w:val="18"/>
              </w:rPr>
            </w:pPr>
            <w:r w:rsidRPr="00BD16B4">
              <w:rPr>
                <w:szCs w:val="18"/>
              </w:rPr>
              <w:t>0.20</w:t>
            </w:r>
          </w:p>
        </w:tc>
        <w:tc>
          <w:tcPr>
            <w:tcW w:w="907" w:type="dxa"/>
            <w:tcBorders>
              <w:bottom w:val="single" w:sz="4" w:space="0" w:color="1B556B" w:themeColor="text2"/>
            </w:tcBorders>
            <w:shd w:val="clear" w:color="auto" w:fill="auto"/>
          </w:tcPr>
          <w:p w14:paraId="29B034D9" w14:textId="77777777" w:rsidR="00ED2EBD" w:rsidRPr="00BD16B4" w:rsidRDefault="00ED2EBD" w:rsidP="004A205F">
            <w:pPr>
              <w:pStyle w:val="TableText"/>
              <w:spacing w:before="40"/>
              <w:jc w:val="right"/>
              <w:rPr>
                <w:szCs w:val="18"/>
              </w:rPr>
            </w:pPr>
            <w:r w:rsidRPr="00BD16B4">
              <w:rPr>
                <w:szCs w:val="18"/>
              </w:rPr>
              <w:t>0.20</w:t>
            </w:r>
          </w:p>
        </w:tc>
        <w:tc>
          <w:tcPr>
            <w:tcW w:w="907" w:type="dxa"/>
            <w:tcBorders>
              <w:bottom w:val="single" w:sz="4" w:space="0" w:color="1B556B" w:themeColor="text2"/>
            </w:tcBorders>
            <w:shd w:val="clear" w:color="auto" w:fill="auto"/>
          </w:tcPr>
          <w:p w14:paraId="67E83F5F" w14:textId="77777777" w:rsidR="00ED2EBD" w:rsidRPr="00BD16B4" w:rsidRDefault="00ED2EBD" w:rsidP="004A205F">
            <w:pPr>
              <w:pStyle w:val="TableText"/>
              <w:spacing w:before="40"/>
              <w:jc w:val="right"/>
              <w:rPr>
                <w:szCs w:val="18"/>
              </w:rPr>
            </w:pPr>
            <w:r w:rsidRPr="00BD16B4">
              <w:rPr>
                <w:szCs w:val="18"/>
              </w:rPr>
              <w:t>0.20</w:t>
            </w:r>
          </w:p>
        </w:tc>
        <w:tc>
          <w:tcPr>
            <w:tcW w:w="907" w:type="dxa"/>
            <w:tcBorders>
              <w:bottom w:val="single" w:sz="4" w:space="0" w:color="1B556B" w:themeColor="text2"/>
            </w:tcBorders>
            <w:shd w:val="clear" w:color="auto" w:fill="auto"/>
          </w:tcPr>
          <w:p w14:paraId="53D417D8" w14:textId="77777777" w:rsidR="00ED2EBD" w:rsidRPr="00BD16B4" w:rsidRDefault="00ED2EBD" w:rsidP="004A205F">
            <w:pPr>
              <w:pStyle w:val="TableText"/>
              <w:spacing w:before="40"/>
              <w:jc w:val="right"/>
              <w:rPr>
                <w:szCs w:val="18"/>
              </w:rPr>
            </w:pPr>
            <w:r w:rsidRPr="00BD16B4">
              <w:rPr>
                <w:szCs w:val="18"/>
              </w:rPr>
              <w:t>0.21</w:t>
            </w:r>
          </w:p>
        </w:tc>
        <w:tc>
          <w:tcPr>
            <w:tcW w:w="907" w:type="dxa"/>
            <w:tcBorders>
              <w:bottom w:val="single" w:sz="4" w:space="0" w:color="1B556B" w:themeColor="text2"/>
            </w:tcBorders>
            <w:shd w:val="clear" w:color="auto" w:fill="auto"/>
          </w:tcPr>
          <w:p w14:paraId="0AA3AEBC" w14:textId="77777777" w:rsidR="00ED2EBD" w:rsidRPr="00BD16B4" w:rsidRDefault="00ED2EBD" w:rsidP="004A205F">
            <w:pPr>
              <w:pStyle w:val="TableText"/>
              <w:spacing w:before="40"/>
              <w:jc w:val="right"/>
              <w:rPr>
                <w:szCs w:val="18"/>
              </w:rPr>
            </w:pPr>
            <w:r w:rsidRPr="00BD16B4">
              <w:rPr>
                <w:szCs w:val="18"/>
              </w:rPr>
              <w:t>0.27</w:t>
            </w:r>
          </w:p>
        </w:tc>
        <w:tc>
          <w:tcPr>
            <w:tcW w:w="907" w:type="dxa"/>
            <w:tcBorders>
              <w:bottom w:val="single" w:sz="4" w:space="0" w:color="1B556B" w:themeColor="text2"/>
            </w:tcBorders>
            <w:shd w:val="clear" w:color="auto" w:fill="auto"/>
          </w:tcPr>
          <w:p w14:paraId="4473200A" w14:textId="77777777" w:rsidR="00ED2EBD" w:rsidRPr="00BD16B4" w:rsidRDefault="00ED2EBD" w:rsidP="004A205F">
            <w:pPr>
              <w:pStyle w:val="TableText"/>
              <w:spacing w:before="40"/>
              <w:jc w:val="right"/>
              <w:rPr>
                <w:szCs w:val="18"/>
              </w:rPr>
            </w:pPr>
            <w:r w:rsidRPr="00BD16B4">
              <w:rPr>
                <w:szCs w:val="18"/>
              </w:rPr>
              <w:t>0.28</w:t>
            </w:r>
          </w:p>
        </w:tc>
        <w:tc>
          <w:tcPr>
            <w:tcW w:w="907" w:type="dxa"/>
            <w:tcBorders>
              <w:bottom w:val="single" w:sz="4" w:space="0" w:color="1B556B" w:themeColor="text2"/>
            </w:tcBorders>
            <w:shd w:val="clear" w:color="auto" w:fill="auto"/>
          </w:tcPr>
          <w:p w14:paraId="0FA0ECE3" w14:textId="77777777" w:rsidR="00ED2EBD" w:rsidRPr="00BD16B4" w:rsidRDefault="00ED2EBD" w:rsidP="004A205F">
            <w:pPr>
              <w:pStyle w:val="TableText"/>
              <w:spacing w:before="40"/>
              <w:jc w:val="right"/>
              <w:rPr>
                <w:szCs w:val="18"/>
              </w:rPr>
            </w:pPr>
            <w:r w:rsidRPr="00BD16B4">
              <w:rPr>
                <w:szCs w:val="18"/>
              </w:rPr>
              <w:t>0.25</w:t>
            </w:r>
          </w:p>
        </w:tc>
      </w:tr>
      <w:tr w:rsidR="00ED2EBD" w:rsidRPr="00BD16B4" w14:paraId="67EDCAF4" w14:textId="77777777" w:rsidTr="004625B0">
        <w:tc>
          <w:tcPr>
            <w:tcW w:w="3964" w:type="dxa"/>
          </w:tcPr>
          <w:p w14:paraId="13784440" w14:textId="6618A1BB" w:rsidR="00ED2EBD" w:rsidRPr="00BD16B4" w:rsidRDefault="00ED2EBD" w:rsidP="004A205F">
            <w:pPr>
              <w:pStyle w:val="TableText"/>
              <w:spacing w:before="40"/>
              <w:rPr>
                <w:szCs w:val="18"/>
              </w:rPr>
            </w:pPr>
            <w:r w:rsidRPr="00BD16B4">
              <w:rPr>
                <w:szCs w:val="18"/>
              </w:rPr>
              <w:t>A.</w:t>
            </w:r>
            <w:r w:rsidR="00280979" w:rsidRPr="00BD16B4">
              <w:rPr>
                <w:szCs w:val="18"/>
              </w:rPr>
              <w:t xml:space="preserve"> </w:t>
            </w:r>
            <w:r w:rsidRPr="00BD16B4">
              <w:rPr>
                <w:szCs w:val="18"/>
              </w:rPr>
              <w:t>Mineral industry</w:t>
            </w:r>
          </w:p>
        </w:tc>
        <w:tc>
          <w:tcPr>
            <w:tcW w:w="907" w:type="dxa"/>
            <w:tcBorders>
              <w:top w:val="single" w:sz="4" w:space="0" w:color="1B556B" w:themeColor="text2"/>
            </w:tcBorders>
            <w:shd w:val="clear" w:color="auto" w:fill="D2DDE1" w:themeFill="background2"/>
          </w:tcPr>
          <w:p w14:paraId="07DF00E7"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132537F"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2B9DDBE"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F7C9B1D"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A578040"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9DFF37C"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F8CCCE4"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79D0F95"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F6BAF47"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1302337"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EC3C873" w14:textId="77777777" w:rsidR="00ED2EBD" w:rsidRPr="00BD16B4" w:rsidRDefault="00ED2EBD" w:rsidP="004A205F">
            <w:pPr>
              <w:pStyle w:val="TableText"/>
              <w:spacing w:before="40"/>
              <w:jc w:val="right"/>
              <w:rPr>
                <w:szCs w:val="18"/>
              </w:rPr>
            </w:pPr>
            <w:r w:rsidRPr="00BD16B4">
              <w:rPr>
                <w:color w:val="000000"/>
                <w:szCs w:val="18"/>
              </w:rPr>
              <w:t> </w:t>
            </w:r>
          </w:p>
        </w:tc>
      </w:tr>
      <w:tr w:rsidR="00AA2930" w:rsidRPr="00BD16B4" w14:paraId="5216947B" w14:textId="77777777" w:rsidTr="004625B0">
        <w:tc>
          <w:tcPr>
            <w:tcW w:w="3964" w:type="dxa"/>
          </w:tcPr>
          <w:p w14:paraId="288FD121" w14:textId="04CC0184" w:rsidR="00ED2EBD" w:rsidRPr="00BD16B4" w:rsidRDefault="00ED2EBD" w:rsidP="004A205F">
            <w:pPr>
              <w:pStyle w:val="TableText"/>
              <w:spacing w:before="40"/>
              <w:rPr>
                <w:szCs w:val="18"/>
              </w:rPr>
            </w:pPr>
            <w:r w:rsidRPr="00BD16B4">
              <w:rPr>
                <w:szCs w:val="18"/>
              </w:rPr>
              <w:t>B.</w:t>
            </w:r>
            <w:r w:rsidR="00280979" w:rsidRPr="00BD16B4">
              <w:rPr>
                <w:szCs w:val="18"/>
              </w:rPr>
              <w:t xml:space="preserve"> </w:t>
            </w:r>
            <w:r w:rsidRPr="00BD16B4">
              <w:rPr>
                <w:szCs w:val="18"/>
              </w:rPr>
              <w:t>Chemical industry</w:t>
            </w:r>
          </w:p>
        </w:tc>
        <w:tc>
          <w:tcPr>
            <w:tcW w:w="907" w:type="dxa"/>
            <w:tcBorders>
              <w:bottom w:val="single" w:sz="4" w:space="0" w:color="1B556B" w:themeColor="text2"/>
            </w:tcBorders>
            <w:shd w:val="clear" w:color="auto" w:fill="auto"/>
          </w:tcPr>
          <w:p w14:paraId="30569457" w14:textId="77777777" w:rsidR="00ED2EBD" w:rsidRPr="00BD16B4" w:rsidRDefault="00ED2EBD" w:rsidP="004A205F">
            <w:pPr>
              <w:pStyle w:val="TableText"/>
              <w:spacing w:before="40"/>
              <w:jc w:val="right"/>
              <w:rPr>
                <w:szCs w:val="18"/>
              </w:rPr>
            </w:pPr>
            <w:r w:rsidRPr="00BD16B4">
              <w:rPr>
                <w:szCs w:val="18"/>
              </w:rPr>
              <w:t>NO, NA</w:t>
            </w:r>
          </w:p>
        </w:tc>
        <w:tc>
          <w:tcPr>
            <w:tcW w:w="907" w:type="dxa"/>
            <w:tcBorders>
              <w:bottom w:val="single" w:sz="4" w:space="0" w:color="1B556B" w:themeColor="text2"/>
            </w:tcBorders>
            <w:shd w:val="clear" w:color="auto" w:fill="auto"/>
          </w:tcPr>
          <w:p w14:paraId="04858DAC" w14:textId="77777777" w:rsidR="00ED2EBD" w:rsidRPr="00BD16B4" w:rsidRDefault="00ED2EBD" w:rsidP="004A205F">
            <w:pPr>
              <w:pStyle w:val="TableText"/>
              <w:spacing w:before="40"/>
              <w:jc w:val="right"/>
              <w:rPr>
                <w:szCs w:val="18"/>
              </w:rPr>
            </w:pPr>
            <w:r w:rsidRPr="00BD16B4">
              <w:rPr>
                <w:szCs w:val="18"/>
              </w:rPr>
              <w:t>NO, NA</w:t>
            </w:r>
          </w:p>
        </w:tc>
        <w:tc>
          <w:tcPr>
            <w:tcW w:w="907" w:type="dxa"/>
            <w:tcBorders>
              <w:bottom w:val="single" w:sz="4" w:space="0" w:color="1B556B" w:themeColor="text2"/>
            </w:tcBorders>
            <w:shd w:val="clear" w:color="auto" w:fill="auto"/>
          </w:tcPr>
          <w:p w14:paraId="1298BE94" w14:textId="77777777" w:rsidR="00ED2EBD" w:rsidRPr="00BD16B4" w:rsidRDefault="00ED2EBD" w:rsidP="004A205F">
            <w:pPr>
              <w:pStyle w:val="TableText"/>
              <w:spacing w:before="40"/>
              <w:jc w:val="right"/>
              <w:rPr>
                <w:szCs w:val="18"/>
              </w:rPr>
            </w:pPr>
            <w:r w:rsidRPr="00BD16B4">
              <w:rPr>
                <w:szCs w:val="18"/>
              </w:rPr>
              <w:t>NO, NA</w:t>
            </w:r>
          </w:p>
        </w:tc>
        <w:tc>
          <w:tcPr>
            <w:tcW w:w="907" w:type="dxa"/>
            <w:tcBorders>
              <w:bottom w:val="single" w:sz="4" w:space="0" w:color="1B556B" w:themeColor="text2"/>
            </w:tcBorders>
            <w:shd w:val="clear" w:color="auto" w:fill="auto"/>
          </w:tcPr>
          <w:p w14:paraId="08D3E4FF" w14:textId="77777777" w:rsidR="00ED2EBD" w:rsidRPr="00BD16B4" w:rsidRDefault="00ED2EBD" w:rsidP="004A205F">
            <w:pPr>
              <w:pStyle w:val="TableText"/>
              <w:spacing w:before="40"/>
              <w:jc w:val="right"/>
              <w:rPr>
                <w:szCs w:val="18"/>
              </w:rPr>
            </w:pPr>
            <w:r w:rsidRPr="00BD16B4">
              <w:rPr>
                <w:szCs w:val="18"/>
              </w:rPr>
              <w:t>NO, NA</w:t>
            </w:r>
          </w:p>
        </w:tc>
        <w:tc>
          <w:tcPr>
            <w:tcW w:w="907" w:type="dxa"/>
            <w:tcBorders>
              <w:bottom w:val="single" w:sz="4" w:space="0" w:color="1B556B" w:themeColor="text2"/>
            </w:tcBorders>
            <w:shd w:val="clear" w:color="auto" w:fill="auto"/>
          </w:tcPr>
          <w:p w14:paraId="4404CB13" w14:textId="77777777" w:rsidR="00ED2EBD" w:rsidRPr="00BD16B4" w:rsidRDefault="00ED2EBD" w:rsidP="004A205F">
            <w:pPr>
              <w:pStyle w:val="TableText"/>
              <w:spacing w:before="40"/>
              <w:jc w:val="right"/>
              <w:rPr>
                <w:szCs w:val="18"/>
              </w:rPr>
            </w:pPr>
            <w:r w:rsidRPr="00BD16B4">
              <w:rPr>
                <w:szCs w:val="18"/>
              </w:rPr>
              <w:t>NO, NA</w:t>
            </w:r>
          </w:p>
        </w:tc>
        <w:tc>
          <w:tcPr>
            <w:tcW w:w="907" w:type="dxa"/>
            <w:tcBorders>
              <w:bottom w:val="single" w:sz="4" w:space="0" w:color="1B556B" w:themeColor="text2"/>
            </w:tcBorders>
            <w:shd w:val="clear" w:color="auto" w:fill="auto"/>
          </w:tcPr>
          <w:p w14:paraId="06EF79D6" w14:textId="77777777" w:rsidR="00ED2EBD" w:rsidRPr="00BD16B4" w:rsidRDefault="00ED2EBD" w:rsidP="004A205F">
            <w:pPr>
              <w:pStyle w:val="TableText"/>
              <w:spacing w:before="40"/>
              <w:jc w:val="right"/>
              <w:rPr>
                <w:szCs w:val="18"/>
              </w:rPr>
            </w:pPr>
            <w:r w:rsidRPr="00BD16B4">
              <w:rPr>
                <w:szCs w:val="18"/>
              </w:rPr>
              <w:t>NO, NA</w:t>
            </w:r>
          </w:p>
        </w:tc>
        <w:tc>
          <w:tcPr>
            <w:tcW w:w="907" w:type="dxa"/>
            <w:tcBorders>
              <w:bottom w:val="single" w:sz="4" w:space="0" w:color="1B556B" w:themeColor="text2"/>
            </w:tcBorders>
            <w:shd w:val="clear" w:color="auto" w:fill="auto"/>
          </w:tcPr>
          <w:p w14:paraId="2C21C9BB" w14:textId="77777777" w:rsidR="00ED2EBD" w:rsidRPr="00BD16B4" w:rsidRDefault="00ED2EBD" w:rsidP="004A205F">
            <w:pPr>
              <w:pStyle w:val="TableText"/>
              <w:spacing w:before="40"/>
              <w:jc w:val="right"/>
              <w:rPr>
                <w:szCs w:val="18"/>
              </w:rPr>
            </w:pPr>
            <w:r w:rsidRPr="00BD16B4">
              <w:rPr>
                <w:szCs w:val="18"/>
              </w:rPr>
              <w:t>NO, NA</w:t>
            </w:r>
          </w:p>
        </w:tc>
        <w:tc>
          <w:tcPr>
            <w:tcW w:w="907" w:type="dxa"/>
            <w:tcBorders>
              <w:bottom w:val="single" w:sz="4" w:space="0" w:color="1B556B" w:themeColor="text2"/>
            </w:tcBorders>
            <w:shd w:val="clear" w:color="auto" w:fill="auto"/>
          </w:tcPr>
          <w:p w14:paraId="2744CD3F" w14:textId="77777777" w:rsidR="00ED2EBD" w:rsidRPr="00BD16B4" w:rsidRDefault="00ED2EBD" w:rsidP="004A205F">
            <w:pPr>
              <w:pStyle w:val="TableText"/>
              <w:spacing w:before="40"/>
              <w:jc w:val="right"/>
              <w:rPr>
                <w:szCs w:val="18"/>
              </w:rPr>
            </w:pPr>
            <w:r w:rsidRPr="00BD16B4">
              <w:rPr>
                <w:szCs w:val="18"/>
              </w:rPr>
              <w:t>NO, NA</w:t>
            </w:r>
          </w:p>
        </w:tc>
        <w:tc>
          <w:tcPr>
            <w:tcW w:w="907" w:type="dxa"/>
            <w:tcBorders>
              <w:bottom w:val="single" w:sz="4" w:space="0" w:color="1B556B" w:themeColor="text2"/>
            </w:tcBorders>
            <w:shd w:val="clear" w:color="auto" w:fill="auto"/>
          </w:tcPr>
          <w:p w14:paraId="1582BA36" w14:textId="77777777" w:rsidR="00ED2EBD" w:rsidRPr="00BD16B4" w:rsidRDefault="00ED2EBD" w:rsidP="004A205F">
            <w:pPr>
              <w:pStyle w:val="TableText"/>
              <w:spacing w:before="40"/>
              <w:jc w:val="right"/>
              <w:rPr>
                <w:szCs w:val="18"/>
              </w:rPr>
            </w:pPr>
            <w:r w:rsidRPr="00BD16B4">
              <w:rPr>
                <w:szCs w:val="18"/>
              </w:rPr>
              <w:t>NO, NA</w:t>
            </w:r>
          </w:p>
        </w:tc>
        <w:tc>
          <w:tcPr>
            <w:tcW w:w="907" w:type="dxa"/>
            <w:tcBorders>
              <w:bottom w:val="single" w:sz="4" w:space="0" w:color="1B556B" w:themeColor="text2"/>
            </w:tcBorders>
            <w:shd w:val="clear" w:color="auto" w:fill="auto"/>
          </w:tcPr>
          <w:p w14:paraId="532E78AA" w14:textId="77777777" w:rsidR="00ED2EBD" w:rsidRPr="00BD16B4" w:rsidRDefault="00ED2EBD" w:rsidP="004A205F">
            <w:pPr>
              <w:pStyle w:val="TableText"/>
              <w:spacing w:before="40"/>
              <w:jc w:val="right"/>
              <w:rPr>
                <w:szCs w:val="18"/>
              </w:rPr>
            </w:pPr>
            <w:r w:rsidRPr="00BD16B4">
              <w:rPr>
                <w:szCs w:val="18"/>
              </w:rPr>
              <w:t>NO, NA</w:t>
            </w:r>
          </w:p>
        </w:tc>
        <w:tc>
          <w:tcPr>
            <w:tcW w:w="907" w:type="dxa"/>
            <w:tcBorders>
              <w:bottom w:val="single" w:sz="4" w:space="0" w:color="1B556B" w:themeColor="text2"/>
            </w:tcBorders>
            <w:shd w:val="clear" w:color="auto" w:fill="auto"/>
          </w:tcPr>
          <w:p w14:paraId="38D803CD" w14:textId="77777777" w:rsidR="00ED2EBD" w:rsidRPr="00BD16B4" w:rsidRDefault="00ED2EBD" w:rsidP="004A205F">
            <w:pPr>
              <w:pStyle w:val="TableText"/>
              <w:spacing w:before="40"/>
              <w:jc w:val="right"/>
              <w:rPr>
                <w:szCs w:val="18"/>
              </w:rPr>
            </w:pPr>
            <w:r w:rsidRPr="00BD16B4">
              <w:rPr>
                <w:szCs w:val="18"/>
              </w:rPr>
              <w:t>NO, NA</w:t>
            </w:r>
          </w:p>
        </w:tc>
      </w:tr>
      <w:tr w:rsidR="00ED2EBD" w:rsidRPr="00BD16B4" w14:paraId="511D8500" w14:textId="77777777" w:rsidTr="004625B0">
        <w:tc>
          <w:tcPr>
            <w:tcW w:w="3964" w:type="dxa"/>
          </w:tcPr>
          <w:p w14:paraId="474B17B0" w14:textId="6649DA53" w:rsidR="00ED2EBD" w:rsidRPr="00BD16B4" w:rsidRDefault="00ED2EBD" w:rsidP="004A205F">
            <w:pPr>
              <w:pStyle w:val="TableText"/>
              <w:spacing w:before="40"/>
              <w:rPr>
                <w:szCs w:val="18"/>
              </w:rPr>
            </w:pPr>
            <w:r w:rsidRPr="00BD16B4">
              <w:rPr>
                <w:szCs w:val="18"/>
              </w:rPr>
              <w:t>C.</w:t>
            </w:r>
            <w:r w:rsidR="00280979" w:rsidRPr="00BD16B4">
              <w:rPr>
                <w:szCs w:val="18"/>
              </w:rPr>
              <w:t xml:space="preserve"> </w:t>
            </w:r>
            <w:r w:rsidRPr="00BD16B4">
              <w:rPr>
                <w:szCs w:val="18"/>
              </w:rPr>
              <w:t>Metal industry</w:t>
            </w:r>
          </w:p>
        </w:tc>
        <w:tc>
          <w:tcPr>
            <w:tcW w:w="907" w:type="dxa"/>
            <w:tcBorders>
              <w:top w:val="single" w:sz="4" w:space="0" w:color="1B556B" w:themeColor="text2"/>
            </w:tcBorders>
            <w:shd w:val="clear" w:color="auto" w:fill="D2DDE1" w:themeFill="background2"/>
          </w:tcPr>
          <w:p w14:paraId="26D88F15"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CF5F1CB"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249D86E"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600CC14"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7A1E61F"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905F859"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51533F1"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9767493"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06304F1"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1C16DB6"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49AC8FD" w14:textId="77777777" w:rsidR="00ED2EBD" w:rsidRPr="00BD16B4" w:rsidRDefault="00ED2EBD" w:rsidP="004A205F">
            <w:pPr>
              <w:pStyle w:val="TableText"/>
              <w:spacing w:before="40"/>
              <w:jc w:val="right"/>
              <w:rPr>
                <w:szCs w:val="18"/>
              </w:rPr>
            </w:pPr>
            <w:r w:rsidRPr="00BD16B4">
              <w:rPr>
                <w:color w:val="000000"/>
                <w:szCs w:val="18"/>
              </w:rPr>
              <w:t> </w:t>
            </w:r>
          </w:p>
        </w:tc>
      </w:tr>
      <w:tr w:rsidR="00AA2930" w:rsidRPr="00BD16B4" w14:paraId="43757DB4" w14:textId="77777777" w:rsidTr="004625B0">
        <w:tc>
          <w:tcPr>
            <w:tcW w:w="3964" w:type="dxa"/>
          </w:tcPr>
          <w:p w14:paraId="74842AD6" w14:textId="3129454F" w:rsidR="00ED2EBD" w:rsidRPr="00BD16B4" w:rsidRDefault="00ED2EBD" w:rsidP="004A205F">
            <w:pPr>
              <w:pStyle w:val="TableText"/>
              <w:spacing w:before="40"/>
              <w:rPr>
                <w:szCs w:val="18"/>
              </w:rPr>
            </w:pPr>
            <w:r w:rsidRPr="00BD16B4">
              <w:rPr>
                <w:szCs w:val="18"/>
              </w:rPr>
              <w:t>D.</w:t>
            </w:r>
            <w:r w:rsidR="00280979" w:rsidRPr="00BD16B4">
              <w:rPr>
                <w:szCs w:val="18"/>
              </w:rPr>
              <w:t xml:space="preserve"> </w:t>
            </w:r>
            <w:r w:rsidRPr="00BD16B4">
              <w:rPr>
                <w:szCs w:val="18"/>
              </w:rPr>
              <w:t>Non-energy products from fuels and solvent use</w:t>
            </w:r>
          </w:p>
        </w:tc>
        <w:tc>
          <w:tcPr>
            <w:tcW w:w="907" w:type="dxa"/>
            <w:tcBorders>
              <w:bottom w:val="single" w:sz="4" w:space="0" w:color="1B556B" w:themeColor="text2"/>
            </w:tcBorders>
            <w:shd w:val="clear" w:color="auto" w:fill="auto"/>
          </w:tcPr>
          <w:p w14:paraId="0D6C4BC8" w14:textId="77777777" w:rsidR="00ED2EBD" w:rsidRPr="00BD16B4" w:rsidRDefault="00ED2EBD" w:rsidP="004A205F">
            <w:pPr>
              <w:pStyle w:val="TableText"/>
              <w:spacing w:before="40"/>
              <w:jc w:val="right"/>
              <w:rPr>
                <w:szCs w:val="18"/>
              </w:rPr>
            </w:pPr>
            <w:r w:rsidRPr="00BD16B4">
              <w:rPr>
                <w:szCs w:val="18"/>
              </w:rPr>
              <w:t>NA</w:t>
            </w:r>
          </w:p>
        </w:tc>
        <w:tc>
          <w:tcPr>
            <w:tcW w:w="907" w:type="dxa"/>
            <w:tcBorders>
              <w:bottom w:val="single" w:sz="4" w:space="0" w:color="1B556B" w:themeColor="text2"/>
            </w:tcBorders>
            <w:shd w:val="clear" w:color="auto" w:fill="auto"/>
          </w:tcPr>
          <w:p w14:paraId="0EA3EAD6" w14:textId="77777777" w:rsidR="00ED2EBD" w:rsidRPr="00BD16B4" w:rsidRDefault="00ED2EBD" w:rsidP="004A205F">
            <w:pPr>
              <w:pStyle w:val="TableText"/>
              <w:spacing w:before="40"/>
              <w:jc w:val="right"/>
              <w:rPr>
                <w:szCs w:val="18"/>
              </w:rPr>
            </w:pPr>
            <w:r w:rsidRPr="00BD16B4">
              <w:rPr>
                <w:szCs w:val="18"/>
              </w:rPr>
              <w:t>NA</w:t>
            </w:r>
          </w:p>
        </w:tc>
        <w:tc>
          <w:tcPr>
            <w:tcW w:w="907" w:type="dxa"/>
            <w:tcBorders>
              <w:bottom w:val="single" w:sz="4" w:space="0" w:color="1B556B" w:themeColor="text2"/>
            </w:tcBorders>
            <w:shd w:val="clear" w:color="auto" w:fill="auto"/>
          </w:tcPr>
          <w:p w14:paraId="4174C98A" w14:textId="77777777" w:rsidR="00ED2EBD" w:rsidRPr="00BD16B4" w:rsidRDefault="00ED2EBD" w:rsidP="004A205F">
            <w:pPr>
              <w:pStyle w:val="TableText"/>
              <w:spacing w:before="40"/>
              <w:jc w:val="right"/>
              <w:rPr>
                <w:szCs w:val="18"/>
              </w:rPr>
            </w:pPr>
            <w:r w:rsidRPr="00BD16B4">
              <w:rPr>
                <w:szCs w:val="18"/>
              </w:rPr>
              <w:t>NA</w:t>
            </w:r>
          </w:p>
        </w:tc>
        <w:tc>
          <w:tcPr>
            <w:tcW w:w="907" w:type="dxa"/>
            <w:tcBorders>
              <w:bottom w:val="single" w:sz="4" w:space="0" w:color="1B556B" w:themeColor="text2"/>
            </w:tcBorders>
            <w:shd w:val="clear" w:color="auto" w:fill="auto"/>
          </w:tcPr>
          <w:p w14:paraId="38649D02" w14:textId="77777777" w:rsidR="00ED2EBD" w:rsidRPr="00BD16B4" w:rsidRDefault="00ED2EBD" w:rsidP="004A205F">
            <w:pPr>
              <w:pStyle w:val="TableText"/>
              <w:spacing w:before="40"/>
              <w:jc w:val="right"/>
              <w:rPr>
                <w:szCs w:val="18"/>
              </w:rPr>
            </w:pPr>
            <w:r w:rsidRPr="00BD16B4">
              <w:rPr>
                <w:szCs w:val="18"/>
              </w:rPr>
              <w:t>NA</w:t>
            </w:r>
          </w:p>
        </w:tc>
        <w:tc>
          <w:tcPr>
            <w:tcW w:w="907" w:type="dxa"/>
            <w:tcBorders>
              <w:bottom w:val="single" w:sz="4" w:space="0" w:color="1B556B" w:themeColor="text2"/>
            </w:tcBorders>
            <w:shd w:val="clear" w:color="auto" w:fill="auto"/>
          </w:tcPr>
          <w:p w14:paraId="06E82275" w14:textId="77777777" w:rsidR="00ED2EBD" w:rsidRPr="00BD16B4" w:rsidRDefault="00ED2EBD" w:rsidP="004A205F">
            <w:pPr>
              <w:pStyle w:val="TableText"/>
              <w:spacing w:before="40"/>
              <w:jc w:val="right"/>
              <w:rPr>
                <w:szCs w:val="18"/>
              </w:rPr>
            </w:pPr>
            <w:r w:rsidRPr="00BD16B4">
              <w:rPr>
                <w:szCs w:val="18"/>
              </w:rPr>
              <w:t>NA</w:t>
            </w:r>
          </w:p>
        </w:tc>
        <w:tc>
          <w:tcPr>
            <w:tcW w:w="907" w:type="dxa"/>
            <w:tcBorders>
              <w:bottom w:val="single" w:sz="4" w:space="0" w:color="1B556B" w:themeColor="text2"/>
            </w:tcBorders>
            <w:shd w:val="clear" w:color="auto" w:fill="auto"/>
          </w:tcPr>
          <w:p w14:paraId="127E95FC" w14:textId="77777777" w:rsidR="00ED2EBD" w:rsidRPr="00BD16B4" w:rsidRDefault="00ED2EBD" w:rsidP="004A205F">
            <w:pPr>
              <w:pStyle w:val="TableText"/>
              <w:spacing w:before="40"/>
              <w:jc w:val="right"/>
              <w:rPr>
                <w:szCs w:val="18"/>
              </w:rPr>
            </w:pPr>
            <w:r w:rsidRPr="00BD16B4">
              <w:rPr>
                <w:szCs w:val="18"/>
              </w:rPr>
              <w:t>NA</w:t>
            </w:r>
          </w:p>
        </w:tc>
        <w:tc>
          <w:tcPr>
            <w:tcW w:w="907" w:type="dxa"/>
            <w:tcBorders>
              <w:bottom w:val="single" w:sz="4" w:space="0" w:color="1B556B" w:themeColor="text2"/>
            </w:tcBorders>
            <w:shd w:val="clear" w:color="auto" w:fill="auto"/>
          </w:tcPr>
          <w:p w14:paraId="1D4C8FDC" w14:textId="77777777" w:rsidR="00ED2EBD" w:rsidRPr="00BD16B4" w:rsidRDefault="00ED2EBD" w:rsidP="004A205F">
            <w:pPr>
              <w:pStyle w:val="TableText"/>
              <w:spacing w:before="40"/>
              <w:jc w:val="right"/>
              <w:rPr>
                <w:szCs w:val="18"/>
              </w:rPr>
            </w:pPr>
            <w:r w:rsidRPr="00BD16B4">
              <w:rPr>
                <w:szCs w:val="18"/>
              </w:rPr>
              <w:t>NA</w:t>
            </w:r>
          </w:p>
        </w:tc>
        <w:tc>
          <w:tcPr>
            <w:tcW w:w="907" w:type="dxa"/>
            <w:tcBorders>
              <w:bottom w:val="single" w:sz="4" w:space="0" w:color="1B556B" w:themeColor="text2"/>
            </w:tcBorders>
            <w:shd w:val="clear" w:color="auto" w:fill="auto"/>
          </w:tcPr>
          <w:p w14:paraId="1D379DF3" w14:textId="77777777" w:rsidR="00ED2EBD" w:rsidRPr="00BD16B4" w:rsidRDefault="00ED2EBD" w:rsidP="004A205F">
            <w:pPr>
              <w:pStyle w:val="TableText"/>
              <w:spacing w:before="40"/>
              <w:jc w:val="right"/>
              <w:rPr>
                <w:szCs w:val="18"/>
              </w:rPr>
            </w:pPr>
            <w:r w:rsidRPr="00BD16B4">
              <w:rPr>
                <w:szCs w:val="18"/>
              </w:rPr>
              <w:t>NA</w:t>
            </w:r>
          </w:p>
        </w:tc>
        <w:tc>
          <w:tcPr>
            <w:tcW w:w="907" w:type="dxa"/>
            <w:tcBorders>
              <w:bottom w:val="single" w:sz="4" w:space="0" w:color="1B556B" w:themeColor="text2"/>
            </w:tcBorders>
            <w:shd w:val="clear" w:color="auto" w:fill="auto"/>
          </w:tcPr>
          <w:p w14:paraId="79B34180" w14:textId="77777777" w:rsidR="00ED2EBD" w:rsidRPr="00BD16B4" w:rsidRDefault="00ED2EBD" w:rsidP="004A205F">
            <w:pPr>
              <w:pStyle w:val="TableText"/>
              <w:spacing w:before="40"/>
              <w:jc w:val="right"/>
              <w:rPr>
                <w:szCs w:val="18"/>
              </w:rPr>
            </w:pPr>
            <w:r w:rsidRPr="00BD16B4">
              <w:rPr>
                <w:szCs w:val="18"/>
              </w:rPr>
              <w:t>NA</w:t>
            </w:r>
          </w:p>
        </w:tc>
        <w:tc>
          <w:tcPr>
            <w:tcW w:w="907" w:type="dxa"/>
            <w:tcBorders>
              <w:bottom w:val="single" w:sz="4" w:space="0" w:color="1B556B" w:themeColor="text2"/>
            </w:tcBorders>
            <w:shd w:val="clear" w:color="auto" w:fill="auto"/>
          </w:tcPr>
          <w:p w14:paraId="6CE4BD9D" w14:textId="77777777" w:rsidR="00ED2EBD" w:rsidRPr="00BD16B4" w:rsidRDefault="00ED2EBD" w:rsidP="004A205F">
            <w:pPr>
              <w:pStyle w:val="TableText"/>
              <w:spacing w:before="40"/>
              <w:jc w:val="right"/>
              <w:rPr>
                <w:szCs w:val="18"/>
              </w:rPr>
            </w:pPr>
            <w:r w:rsidRPr="00BD16B4">
              <w:rPr>
                <w:szCs w:val="18"/>
              </w:rPr>
              <w:t>NA</w:t>
            </w:r>
          </w:p>
        </w:tc>
        <w:tc>
          <w:tcPr>
            <w:tcW w:w="907" w:type="dxa"/>
            <w:tcBorders>
              <w:bottom w:val="single" w:sz="4" w:space="0" w:color="1B556B" w:themeColor="text2"/>
            </w:tcBorders>
            <w:shd w:val="clear" w:color="auto" w:fill="auto"/>
          </w:tcPr>
          <w:p w14:paraId="1E4B2274" w14:textId="77777777" w:rsidR="00ED2EBD" w:rsidRPr="00BD16B4" w:rsidRDefault="00ED2EBD" w:rsidP="004A205F">
            <w:pPr>
              <w:pStyle w:val="TableText"/>
              <w:spacing w:before="40"/>
              <w:jc w:val="right"/>
              <w:rPr>
                <w:szCs w:val="18"/>
              </w:rPr>
            </w:pPr>
            <w:r w:rsidRPr="00BD16B4">
              <w:rPr>
                <w:szCs w:val="18"/>
              </w:rPr>
              <w:t>NA</w:t>
            </w:r>
          </w:p>
        </w:tc>
      </w:tr>
      <w:tr w:rsidR="00ED2EBD" w:rsidRPr="00BD16B4" w14:paraId="7432026D" w14:textId="77777777" w:rsidTr="004625B0">
        <w:tc>
          <w:tcPr>
            <w:tcW w:w="3964" w:type="dxa"/>
          </w:tcPr>
          <w:p w14:paraId="0D6439C3" w14:textId="25A949D0" w:rsidR="00ED2EBD" w:rsidRPr="00BD16B4" w:rsidRDefault="00ED2EBD" w:rsidP="004A205F">
            <w:pPr>
              <w:pStyle w:val="TableText"/>
              <w:spacing w:before="40"/>
              <w:rPr>
                <w:szCs w:val="18"/>
              </w:rPr>
            </w:pPr>
            <w:r w:rsidRPr="00BD16B4">
              <w:rPr>
                <w:szCs w:val="18"/>
              </w:rPr>
              <w:t>E.</w:t>
            </w:r>
            <w:r w:rsidR="00280979" w:rsidRPr="00BD16B4">
              <w:rPr>
                <w:szCs w:val="18"/>
              </w:rPr>
              <w:t xml:space="preserve"> </w:t>
            </w:r>
            <w:r w:rsidRPr="00BD16B4">
              <w:rPr>
                <w:szCs w:val="18"/>
              </w:rPr>
              <w:t>Electronic industry</w:t>
            </w:r>
          </w:p>
        </w:tc>
        <w:tc>
          <w:tcPr>
            <w:tcW w:w="907" w:type="dxa"/>
            <w:tcBorders>
              <w:top w:val="single" w:sz="4" w:space="0" w:color="1B556B" w:themeColor="text2"/>
            </w:tcBorders>
            <w:shd w:val="clear" w:color="auto" w:fill="D2DDE1" w:themeFill="background2"/>
          </w:tcPr>
          <w:p w14:paraId="5908995F"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9F0BFCF"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3FB2A0F"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58974B1"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54E6BB6"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C8714E9"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53A08C9"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E6FCE33"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24669CD"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25586D5"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6227D6A"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45F0DA9A" w14:textId="77777777" w:rsidTr="004625B0">
        <w:tc>
          <w:tcPr>
            <w:tcW w:w="3964" w:type="dxa"/>
          </w:tcPr>
          <w:p w14:paraId="3D941545" w14:textId="0309CCBD" w:rsidR="00ED2EBD" w:rsidRPr="00BD16B4" w:rsidRDefault="00ED2EBD" w:rsidP="004A205F">
            <w:pPr>
              <w:pStyle w:val="TableText"/>
              <w:spacing w:before="40"/>
              <w:rPr>
                <w:szCs w:val="18"/>
              </w:rPr>
            </w:pPr>
            <w:r w:rsidRPr="00BD16B4">
              <w:rPr>
                <w:szCs w:val="18"/>
              </w:rPr>
              <w:t>F.</w:t>
            </w:r>
            <w:r w:rsidR="00280979" w:rsidRPr="00BD16B4">
              <w:rPr>
                <w:szCs w:val="18"/>
              </w:rPr>
              <w:t xml:space="preserve"> </w:t>
            </w:r>
            <w:r w:rsidRPr="00BD16B4">
              <w:rPr>
                <w:szCs w:val="18"/>
              </w:rPr>
              <w:t>Product uses as ODS substitutes</w:t>
            </w:r>
          </w:p>
        </w:tc>
        <w:tc>
          <w:tcPr>
            <w:tcW w:w="907" w:type="dxa"/>
            <w:tcBorders>
              <w:top w:val="single" w:sz="4" w:space="0" w:color="1B556B" w:themeColor="text2"/>
            </w:tcBorders>
            <w:shd w:val="clear" w:color="auto" w:fill="D2DDE1" w:themeFill="background2"/>
          </w:tcPr>
          <w:p w14:paraId="7500D3B3"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BC67FDA"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923918E"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493D9BC"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71509BD"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D238F06"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8329A38"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853234B"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87DE2FE"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079EF95"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0E901A4" w14:textId="77777777" w:rsidR="00ED2EBD" w:rsidRPr="00BD16B4" w:rsidRDefault="00ED2EBD" w:rsidP="004A205F">
            <w:pPr>
              <w:pStyle w:val="TableText"/>
              <w:spacing w:before="40"/>
              <w:jc w:val="right"/>
              <w:rPr>
                <w:szCs w:val="18"/>
              </w:rPr>
            </w:pPr>
            <w:r w:rsidRPr="00BD16B4">
              <w:rPr>
                <w:color w:val="000000"/>
                <w:szCs w:val="18"/>
              </w:rPr>
              <w:t> </w:t>
            </w:r>
          </w:p>
        </w:tc>
      </w:tr>
      <w:tr w:rsidR="00AA2930" w:rsidRPr="00BD16B4" w14:paraId="53175234" w14:textId="77777777" w:rsidTr="004625B0">
        <w:tc>
          <w:tcPr>
            <w:tcW w:w="3964" w:type="dxa"/>
          </w:tcPr>
          <w:p w14:paraId="43FF209C" w14:textId="5FBD8652" w:rsidR="00ED2EBD" w:rsidRPr="00BD16B4" w:rsidRDefault="00ED2EBD" w:rsidP="004A205F">
            <w:pPr>
              <w:pStyle w:val="TableText"/>
              <w:spacing w:before="40"/>
              <w:rPr>
                <w:szCs w:val="18"/>
              </w:rPr>
            </w:pPr>
            <w:r w:rsidRPr="00BD16B4">
              <w:rPr>
                <w:szCs w:val="18"/>
              </w:rPr>
              <w:t>G.</w:t>
            </w:r>
            <w:r w:rsidR="00280979" w:rsidRPr="00BD16B4">
              <w:rPr>
                <w:szCs w:val="18"/>
              </w:rPr>
              <w:t xml:space="preserve"> </w:t>
            </w:r>
            <w:r w:rsidRPr="00BD16B4">
              <w:rPr>
                <w:szCs w:val="18"/>
              </w:rPr>
              <w:t xml:space="preserve">Other product manufacture and use </w:t>
            </w:r>
          </w:p>
        </w:tc>
        <w:tc>
          <w:tcPr>
            <w:tcW w:w="907" w:type="dxa"/>
            <w:tcBorders>
              <w:bottom w:val="single" w:sz="4" w:space="0" w:color="1B556B" w:themeColor="text2"/>
            </w:tcBorders>
            <w:shd w:val="clear" w:color="auto" w:fill="auto"/>
          </w:tcPr>
          <w:p w14:paraId="2D92D245" w14:textId="77777777" w:rsidR="00ED2EBD" w:rsidRPr="00BD16B4" w:rsidRDefault="00ED2EBD" w:rsidP="004A205F">
            <w:pPr>
              <w:pStyle w:val="TableText"/>
              <w:spacing w:before="40"/>
              <w:jc w:val="right"/>
              <w:rPr>
                <w:szCs w:val="18"/>
              </w:rPr>
            </w:pPr>
            <w:r w:rsidRPr="00BD16B4">
              <w:rPr>
                <w:szCs w:val="18"/>
              </w:rPr>
              <w:t>0.18</w:t>
            </w:r>
          </w:p>
        </w:tc>
        <w:tc>
          <w:tcPr>
            <w:tcW w:w="907" w:type="dxa"/>
            <w:tcBorders>
              <w:bottom w:val="single" w:sz="4" w:space="0" w:color="1B556B" w:themeColor="text2"/>
            </w:tcBorders>
            <w:shd w:val="clear" w:color="auto" w:fill="auto"/>
          </w:tcPr>
          <w:p w14:paraId="7499737C" w14:textId="77777777" w:rsidR="00ED2EBD" w:rsidRPr="00BD16B4" w:rsidRDefault="00ED2EBD" w:rsidP="004A205F">
            <w:pPr>
              <w:pStyle w:val="TableText"/>
              <w:spacing w:before="40"/>
              <w:jc w:val="right"/>
              <w:rPr>
                <w:szCs w:val="18"/>
              </w:rPr>
            </w:pPr>
            <w:r w:rsidRPr="00BD16B4">
              <w:rPr>
                <w:szCs w:val="18"/>
              </w:rPr>
              <w:t>0.18</w:t>
            </w:r>
          </w:p>
        </w:tc>
        <w:tc>
          <w:tcPr>
            <w:tcW w:w="907" w:type="dxa"/>
            <w:tcBorders>
              <w:bottom w:val="single" w:sz="4" w:space="0" w:color="1B556B" w:themeColor="text2"/>
            </w:tcBorders>
            <w:shd w:val="clear" w:color="auto" w:fill="auto"/>
          </w:tcPr>
          <w:p w14:paraId="3DF054C2" w14:textId="77777777" w:rsidR="00ED2EBD" w:rsidRPr="00BD16B4" w:rsidRDefault="00ED2EBD" w:rsidP="004A205F">
            <w:pPr>
              <w:pStyle w:val="TableText"/>
              <w:spacing w:before="40"/>
              <w:jc w:val="right"/>
              <w:rPr>
                <w:szCs w:val="18"/>
              </w:rPr>
            </w:pPr>
            <w:r w:rsidRPr="00BD16B4">
              <w:rPr>
                <w:szCs w:val="18"/>
              </w:rPr>
              <w:t>0.18</w:t>
            </w:r>
          </w:p>
        </w:tc>
        <w:tc>
          <w:tcPr>
            <w:tcW w:w="907" w:type="dxa"/>
            <w:tcBorders>
              <w:bottom w:val="single" w:sz="4" w:space="0" w:color="1B556B" w:themeColor="text2"/>
            </w:tcBorders>
            <w:shd w:val="clear" w:color="auto" w:fill="auto"/>
          </w:tcPr>
          <w:p w14:paraId="47F061EE" w14:textId="77777777" w:rsidR="00ED2EBD" w:rsidRPr="00BD16B4" w:rsidRDefault="00ED2EBD" w:rsidP="004A205F">
            <w:pPr>
              <w:pStyle w:val="TableText"/>
              <w:spacing w:before="40"/>
              <w:jc w:val="right"/>
              <w:rPr>
                <w:szCs w:val="18"/>
              </w:rPr>
            </w:pPr>
            <w:r w:rsidRPr="00BD16B4">
              <w:rPr>
                <w:szCs w:val="18"/>
              </w:rPr>
              <w:t>0.20</w:t>
            </w:r>
          </w:p>
        </w:tc>
        <w:tc>
          <w:tcPr>
            <w:tcW w:w="907" w:type="dxa"/>
            <w:tcBorders>
              <w:bottom w:val="single" w:sz="4" w:space="0" w:color="1B556B" w:themeColor="text2"/>
            </w:tcBorders>
            <w:shd w:val="clear" w:color="auto" w:fill="auto"/>
          </w:tcPr>
          <w:p w14:paraId="6BE9BDED" w14:textId="77777777" w:rsidR="00ED2EBD" w:rsidRPr="00BD16B4" w:rsidRDefault="00ED2EBD" w:rsidP="004A205F">
            <w:pPr>
              <w:pStyle w:val="TableText"/>
              <w:spacing w:before="40"/>
              <w:jc w:val="right"/>
              <w:rPr>
                <w:szCs w:val="18"/>
              </w:rPr>
            </w:pPr>
            <w:r w:rsidRPr="00BD16B4">
              <w:rPr>
                <w:szCs w:val="18"/>
              </w:rPr>
              <w:t>0.20</w:t>
            </w:r>
          </w:p>
        </w:tc>
        <w:tc>
          <w:tcPr>
            <w:tcW w:w="907" w:type="dxa"/>
            <w:tcBorders>
              <w:bottom w:val="single" w:sz="4" w:space="0" w:color="1B556B" w:themeColor="text2"/>
            </w:tcBorders>
            <w:shd w:val="clear" w:color="auto" w:fill="auto"/>
          </w:tcPr>
          <w:p w14:paraId="01281E78" w14:textId="77777777" w:rsidR="00ED2EBD" w:rsidRPr="00BD16B4" w:rsidRDefault="00ED2EBD" w:rsidP="004A205F">
            <w:pPr>
              <w:pStyle w:val="TableText"/>
              <w:spacing w:before="40"/>
              <w:jc w:val="right"/>
              <w:rPr>
                <w:szCs w:val="18"/>
              </w:rPr>
            </w:pPr>
            <w:r w:rsidRPr="00BD16B4">
              <w:rPr>
                <w:szCs w:val="18"/>
              </w:rPr>
              <w:t>0.20</w:t>
            </w:r>
          </w:p>
        </w:tc>
        <w:tc>
          <w:tcPr>
            <w:tcW w:w="907" w:type="dxa"/>
            <w:tcBorders>
              <w:bottom w:val="single" w:sz="4" w:space="0" w:color="1B556B" w:themeColor="text2"/>
            </w:tcBorders>
            <w:shd w:val="clear" w:color="auto" w:fill="auto"/>
          </w:tcPr>
          <w:p w14:paraId="7B258E53" w14:textId="77777777" w:rsidR="00ED2EBD" w:rsidRPr="00BD16B4" w:rsidRDefault="00ED2EBD" w:rsidP="004A205F">
            <w:pPr>
              <w:pStyle w:val="TableText"/>
              <w:spacing w:before="40"/>
              <w:jc w:val="right"/>
              <w:rPr>
                <w:szCs w:val="18"/>
              </w:rPr>
            </w:pPr>
            <w:r w:rsidRPr="00BD16B4">
              <w:rPr>
                <w:szCs w:val="18"/>
              </w:rPr>
              <w:t>0.20</w:t>
            </w:r>
          </w:p>
        </w:tc>
        <w:tc>
          <w:tcPr>
            <w:tcW w:w="907" w:type="dxa"/>
            <w:tcBorders>
              <w:bottom w:val="single" w:sz="4" w:space="0" w:color="1B556B" w:themeColor="text2"/>
            </w:tcBorders>
            <w:shd w:val="clear" w:color="auto" w:fill="auto"/>
          </w:tcPr>
          <w:p w14:paraId="6AD1F0D9" w14:textId="77777777" w:rsidR="00ED2EBD" w:rsidRPr="00BD16B4" w:rsidRDefault="00ED2EBD" w:rsidP="004A205F">
            <w:pPr>
              <w:pStyle w:val="TableText"/>
              <w:spacing w:before="40"/>
              <w:jc w:val="right"/>
              <w:rPr>
                <w:szCs w:val="18"/>
              </w:rPr>
            </w:pPr>
            <w:r w:rsidRPr="00BD16B4">
              <w:rPr>
                <w:szCs w:val="18"/>
              </w:rPr>
              <w:t>0.21</w:t>
            </w:r>
          </w:p>
        </w:tc>
        <w:tc>
          <w:tcPr>
            <w:tcW w:w="907" w:type="dxa"/>
            <w:tcBorders>
              <w:bottom w:val="single" w:sz="4" w:space="0" w:color="1B556B" w:themeColor="text2"/>
            </w:tcBorders>
            <w:shd w:val="clear" w:color="auto" w:fill="auto"/>
          </w:tcPr>
          <w:p w14:paraId="1311B364" w14:textId="77777777" w:rsidR="00ED2EBD" w:rsidRPr="00BD16B4" w:rsidRDefault="00ED2EBD" w:rsidP="004A205F">
            <w:pPr>
              <w:pStyle w:val="TableText"/>
              <w:spacing w:before="40"/>
              <w:jc w:val="right"/>
              <w:rPr>
                <w:szCs w:val="18"/>
              </w:rPr>
            </w:pPr>
            <w:r w:rsidRPr="00BD16B4">
              <w:rPr>
                <w:szCs w:val="18"/>
              </w:rPr>
              <w:t>0.27</w:t>
            </w:r>
          </w:p>
        </w:tc>
        <w:tc>
          <w:tcPr>
            <w:tcW w:w="907" w:type="dxa"/>
            <w:tcBorders>
              <w:bottom w:val="single" w:sz="4" w:space="0" w:color="1B556B" w:themeColor="text2"/>
            </w:tcBorders>
            <w:shd w:val="clear" w:color="auto" w:fill="auto"/>
          </w:tcPr>
          <w:p w14:paraId="291BAEDD" w14:textId="77777777" w:rsidR="00ED2EBD" w:rsidRPr="00BD16B4" w:rsidRDefault="00ED2EBD" w:rsidP="004A205F">
            <w:pPr>
              <w:pStyle w:val="TableText"/>
              <w:spacing w:before="40"/>
              <w:jc w:val="right"/>
              <w:rPr>
                <w:szCs w:val="18"/>
              </w:rPr>
            </w:pPr>
            <w:r w:rsidRPr="00BD16B4">
              <w:rPr>
                <w:szCs w:val="18"/>
              </w:rPr>
              <w:t>0.28</w:t>
            </w:r>
          </w:p>
        </w:tc>
        <w:tc>
          <w:tcPr>
            <w:tcW w:w="907" w:type="dxa"/>
            <w:tcBorders>
              <w:bottom w:val="single" w:sz="4" w:space="0" w:color="1B556B" w:themeColor="text2"/>
            </w:tcBorders>
            <w:shd w:val="clear" w:color="auto" w:fill="auto"/>
          </w:tcPr>
          <w:p w14:paraId="26101C38" w14:textId="77777777" w:rsidR="00ED2EBD" w:rsidRPr="00BD16B4" w:rsidRDefault="00ED2EBD" w:rsidP="004A205F">
            <w:pPr>
              <w:pStyle w:val="TableText"/>
              <w:spacing w:before="40"/>
              <w:jc w:val="right"/>
              <w:rPr>
                <w:szCs w:val="18"/>
              </w:rPr>
            </w:pPr>
            <w:r w:rsidRPr="00BD16B4">
              <w:rPr>
                <w:szCs w:val="18"/>
              </w:rPr>
              <w:t>0.25</w:t>
            </w:r>
          </w:p>
        </w:tc>
      </w:tr>
      <w:tr w:rsidR="00ED2EBD" w:rsidRPr="00BD16B4" w14:paraId="410FCBE5" w14:textId="77777777" w:rsidTr="004625B0">
        <w:tc>
          <w:tcPr>
            <w:tcW w:w="3964" w:type="dxa"/>
          </w:tcPr>
          <w:p w14:paraId="40B98821" w14:textId="44C10AC8" w:rsidR="00ED2EBD" w:rsidRPr="00BD16B4" w:rsidRDefault="00ED2EBD" w:rsidP="004A205F">
            <w:pPr>
              <w:pStyle w:val="TableText"/>
              <w:spacing w:before="40"/>
              <w:rPr>
                <w:szCs w:val="18"/>
              </w:rPr>
            </w:pPr>
            <w:r w:rsidRPr="00BD16B4">
              <w:rPr>
                <w:szCs w:val="18"/>
              </w:rPr>
              <w:t>H.</w:t>
            </w:r>
            <w:r w:rsidR="00280979" w:rsidRPr="00BD16B4">
              <w:rPr>
                <w:szCs w:val="18"/>
              </w:rPr>
              <w:t xml:space="preserve"> </w:t>
            </w:r>
            <w:r w:rsidRPr="00BD16B4">
              <w:rPr>
                <w:szCs w:val="18"/>
              </w:rPr>
              <w:t xml:space="preserve">Other </w:t>
            </w:r>
          </w:p>
        </w:tc>
        <w:tc>
          <w:tcPr>
            <w:tcW w:w="907" w:type="dxa"/>
            <w:tcBorders>
              <w:top w:val="single" w:sz="4" w:space="0" w:color="1B556B" w:themeColor="text2"/>
            </w:tcBorders>
            <w:shd w:val="clear" w:color="auto" w:fill="D2DDE1" w:themeFill="background2"/>
          </w:tcPr>
          <w:p w14:paraId="28A841C4"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9EFC5A2"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E7DB1FD"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7222475"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3DD656A"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F883CDF"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893F4AE"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F1E7D7D"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FC13326"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1D413B1"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00453CF" w14:textId="77777777" w:rsidR="00ED2EBD" w:rsidRPr="00BD16B4" w:rsidRDefault="00ED2EBD" w:rsidP="004A205F">
            <w:pPr>
              <w:pStyle w:val="TableText"/>
              <w:spacing w:before="40"/>
              <w:jc w:val="right"/>
              <w:rPr>
                <w:szCs w:val="18"/>
              </w:rPr>
            </w:pPr>
            <w:r w:rsidRPr="00BD16B4">
              <w:rPr>
                <w:color w:val="000000"/>
                <w:szCs w:val="18"/>
              </w:rPr>
              <w:t> </w:t>
            </w:r>
          </w:p>
        </w:tc>
      </w:tr>
      <w:tr w:rsidR="00AA2930" w:rsidRPr="00BD16B4" w14:paraId="1EAEE9FB" w14:textId="77777777" w:rsidTr="004625B0">
        <w:tc>
          <w:tcPr>
            <w:tcW w:w="3964" w:type="dxa"/>
          </w:tcPr>
          <w:p w14:paraId="160DE3AA" w14:textId="4D92FDDD" w:rsidR="00ED2EBD" w:rsidRPr="00BD16B4" w:rsidRDefault="00ED2EBD" w:rsidP="004A205F">
            <w:pPr>
              <w:pStyle w:val="TableText"/>
              <w:spacing w:before="40"/>
              <w:rPr>
                <w:szCs w:val="18"/>
              </w:rPr>
            </w:pPr>
            <w:r w:rsidRPr="00BD16B4">
              <w:rPr>
                <w:b/>
                <w:bCs/>
                <w:szCs w:val="18"/>
              </w:rPr>
              <w:t>3.</w:t>
            </w:r>
            <w:r w:rsidR="00280979" w:rsidRPr="00BD16B4">
              <w:rPr>
                <w:b/>
                <w:bCs/>
                <w:szCs w:val="18"/>
              </w:rPr>
              <w:t xml:space="preserve"> </w:t>
            </w:r>
            <w:r w:rsidRPr="00BD16B4">
              <w:rPr>
                <w:b/>
                <w:bCs/>
                <w:szCs w:val="18"/>
              </w:rPr>
              <w:t>Agriculture</w:t>
            </w:r>
          </w:p>
        </w:tc>
        <w:tc>
          <w:tcPr>
            <w:tcW w:w="907" w:type="dxa"/>
            <w:tcBorders>
              <w:bottom w:val="single" w:sz="4" w:space="0" w:color="1B556B" w:themeColor="text2"/>
            </w:tcBorders>
            <w:shd w:val="clear" w:color="auto" w:fill="auto"/>
          </w:tcPr>
          <w:p w14:paraId="2DE3BF6F" w14:textId="77777777" w:rsidR="00ED2EBD" w:rsidRPr="00BD16B4" w:rsidRDefault="00ED2EBD" w:rsidP="004A205F">
            <w:pPr>
              <w:pStyle w:val="TableText"/>
              <w:spacing w:before="40"/>
              <w:jc w:val="right"/>
              <w:rPr>
                <w:szCs w:val="18"/>
              </w:rPr>
            </w:pPr>
            <w:r w:rsidRPr="00BD16B4">
              <w:rPr>
                <w:szCs w:val="18"/>
              </w:rPr>
              <w:t>24.16</w:t>
            </w:r>
          </w:p>
        </w:tc>
        <w:tc>
          <w:tcPr>
            <w:tcW w:w="907" w:type="dxa"/>
            <w:tcBorders>
              <w:bottom w:val="single" w:sz="4" w:space="0" w:color="1B556B" w:themeColor="text2"/>
            </w:tcBorders>
            <w:shd w:val="clear" w:color="auto" w:fill="auto"/>
          </w:tcPr>
          <w:p w14:paraId="1533D487" w14:textId="77777777" w:rsidR="00ED2EBD" w:rsidRPr="00BD16B4" w:rsidRDefault="00ED2EBD" w:rsidP="004A205F">
            <w:pPr>
              <w:pStyle w:val="TableText"/>
              <w:spacing w:before="40"/>
              <w:jc w:val="right"/>
              <w:rPr>
                <w:szCs w:val="18"/>
              </w:rPr>
            </w:pPr>
            <w:r w:rsidRPr="00BD16B4">
              <w:rPr>
                <w:szCs w:val="18"/>
              </w:rPr>
              <w:t>24.76</w:t>
            </w:r>
          </w:p>
        </w:tc>
        <w:tc>
          <w:tcPr>
            <w:tcW w:w="907" w:type="dxa"/>
            <w:tcBorders>
              <w:bottom w:val="single" w:sz="4" w:space="0" w:color="1B556B" w:themeColor="text2"/>
            </w:tcBorders>
            <w:shd w:val="clear" w:color="auto" w:fill="auto"/>
          </w:tcPr>
          <w:p w14:paraId="006CF24C" w14:textId="77777777" w:rsidR="00ED2EBD" w:rsidRPr="00BD16B4" w:rsidRDefault="00ED2EBD" w:rsidP="004A205F">
            <w:pPr>
              <w:pStyle w:val="TableText"/>
              <w:spacing w:before="40"/>
              <w:jc w:val="right"/>
              <w:rPr>
                <w:szCs w:val="18"/>
              </w:rPr>
            </w:pPr>
            <w:r w:rsidRPr="00BD16B4">
              <w:rPr>
                <w:szCs w:val="18"/>
              </w:rPr>
              <w:t>25.11</w:t>
            </w:r>
          </w:p>
        </w:tc>
        <w:tc>
          <w:tcPr>
            <w:tcW w:w="907" w:type="dxa"/>
            <w:tcBorders>
              <w:bottom w:val="single" w:sz="4" w:space="0" w:color="1B556B" w:themeColor="text2"/>
            </w:tcBorders>
            <w:shd w:val="clear" w:color="auto" w:fill="auto"/>
          </w:tcPr>
          <w:p w14:paraId="6E980A60" w14:textId="77777777" w:rsidR="00ED2EBD" w:rsidRPr="00BD16B4" w:rsidRDefault="00ED2EBD" w:rsidP="004A205F">
            <w:pPr>
              <w:pStyle w:val="TableText"/>
              <w:spacing w:before="40"/>
              <w:jc w:val="right"/>
              <w:rPr>
                <w:szCs w:val="18"/>
              </w:rPr>
            </w:pPr>
            <w:r w:rsidRPr="00BD16B4">
              <w:rPr>
                <w:szCs w:val="18"/>
              </w:rPr>
              <w:t>25.21</w:t>
            </w:r>
          </w:p>
        </w:tc>
        <w:tc>
          <w:tcPr>
            <w:tcW w:w="907" w:type="dxa"/>
            <w:tcBorders>
              <w:bottom w:val="single" w:sz="4" w:space="0" w:color="1B556B" w:themeColor="text2"/>
            </w:tcBorders>
            <w:shd w:val="clear" w:color="auto" w:fill="auto"/>
          </w:tcPr>
          <w:p w14:paraId="59D2EAA1" w14:textId="77777777" w:rsidR="00ED2EBD" w:rsidRPr="00BD16B4" w:rsidRDefault="00ED2EBD" w:rsidP="004A205F">
            <w:pPr>
              <w:pStyle w:val="TableText"/>
              <w:spacing w:before="40"/>
              <w:jc w:val="right"/>
              <w:rPr>
                <w:szCs w:val="18"/>
              </w:rPr>
            </w:pPr>
            <w:r w:rsidRPr="00BD16B4">
              <w:rPr>
                <w:szCs w:val="18"/>
              </w:rPr>
              <w:t>26.13</w:t>
            </w:r>
          </w:p>
        </w:tc>
        <w:tc>
          <w:tcPr>
            <w:tcW w:w="907" w:type="dxa"/>
            <w:tcBorders>
              <w:bottom w:val="single" w:sz="4" w:space="0" w:color="1B556B" w:themeColor="text2"/>
            </w:tcBorders>
            <w:shd w:val="clear" w:color="auto" w:fill="auto"/>
          </w:tcPr>
          <w:p w14:paraId="0B7FFB22" w14:textId="77777777" w:rsidR="00ED2EBD" w:rsidRPr="00BD16B4" w:rsidRDefault="00ED2EBD" w:rsidP="004A205F">
            <w:pPr>
              <w:pStyle w:val="TableText"/>
              <w:spacing w:before="40"/>
              <w:jc w:val="right"/>
              <w:rPr>
                <w:szCs w:val="18"/>
              </w:rPr>
            </w:pPr>
            <w:r w:rsidRPr="00BD16B4">
              <w:rPr>
                <w:szCs w:val="18"/>
              </w:rPr>
              <w:t>25.85</w:t>
            </w:r>
          </w:p>
        </w:tc>
        <w:tc>
          <w:tcPr>
            <w:tcW w:w="907" w:type="dxa"/>
            <w:tcBorders>
              <w:bottom w:val="single" w:sz="4" w:space="0" w:color="1B556B" w:themeColor="text2"/>
            </w:tcBorders>
            <w:shd w:val="clear" w:color="auto" w:fill="auto"/>
          </w:tcPr>
          <w:p w14:paraId="47D1F642" w14:textId="77777777" w:rsidR="00ED2EBD" w:rsidRPr="00BD16B4" w:rsidRDefault="00ED2EBD" w:rsidP="004A205F">
            <w:pPr>
              <w:pStyle w:val="TableText"/>
              <w:spacing w:before="40"/>
              <w:jc w:val="right"/>
              <w:rPr>
                <w:szCs w:val="18"/>
              </w:rPr>
            </w:pPr>
            <w:r w:rsidRPr="00BD16B4">
              <w:rPr>
                <w:szCs w:val="18"/>
              </w:rPr>
              <w:t>25.94</w:t>
            </w:r>
          </w:p>
        </w:tc>
        <w:tc>
          <w:tcPr>
            <w:tcW w:w="907" w:type="dxa"/>
            <w:tcBorders>
              <w:bottom w:val="single" w:sz="4" w:space="0" w:color="1B556B" w:themeColor="text2"/>
            </w:tcBorders>
            <w:shd w:val="clear" w:color="auto" w:fill="auto"/>
          </w:tcPr>
          <w:p w14:paraId="5CE11093" w14:textId="77777777" w:rsidR="00ED2EBD" w:rsidRPr="00BD16B4" w:rsidRDefault="00ED2EBD" w:rsidP="004A205F">
            <w:pPr>
              <w:pStyle w:val="TableText"/>
              <w:spacing w:before="40"/>
              <w:jc w:val="right"/>
              <w:rPr>
                <w:szCs w:val="18"/>
              </w:rPr>
            </w:pPr>
            <w:r w:rsidRPr="00BD16B4">
              <w:rPr>
                <w:szCs w:val="18"/>
              </w:rPr>
              <w:t>26.09</w:t>
            </w:r>
          </w:p>
        </w:tc>
        <w:tc>
          <w:tcPr>
            <w:tcW w:w="907" w:type="dxa"/>
            <w:tcBorders>
              <w:bottom w:val="single" w:sz="4" w:space="0" w:color="1B556B" w:themeColor="text2"/>
            </w:tcBorders>
            <w:shd w:val="clear" w:color="auto" w:fill="auto"/>
          </w:tcPr>
          <w:p w14:paraId="4145C5FF" w14:textId="77777777" w:rsidR="00ED2EBD" w:rsidRPr="00BD16B4" w:rsidRDefault="00ED2EBD" w:rsidP="004A205F">
            <w:pPr>
              <w:pStyle w:val="TableText"/>
              <w:spacing w:before="40"/>
              <w:jc w:val="right"/>
              <w:rPr>
                <w:szCs w:val="18"/>
              </w:rPr>
            </w:pPr>
            <w:r w:rsidRPr="00BD16B4">
              <w:rPr>
                <w:szCs w:val="18"/>
              </w:rPr>
              <w:t>26.41</w:t>
            </w:r>
          </w:p>
        </w:tc>
        <w:tc>
          <w:tcPr>
            <w:tcW w:w="907" w:type="dxa"/>
            <w:tcBorders>
              <w:bottom w:val="single" w:sz="4" w:space="0" w:color="1B556B" w:themeColor="text2"/>
            </w:tcBorders>
            <w:shd w:val="clear" w:color="auto" w:fill="auto"/>
          </w:tcPr>
          <w:p w14:paraId="2CC9A560" w14:textId="77777777" w:rsidR="00ED2EBD" w:rsidRPr="00BD16B4" w:rsidRDefault="00ED2EBD" w:rsidP="004A205F">
            <w:pPr>
              <w:pStyle w:val="TableText"/>
              <w:spacing w:before="40"/>
              <w:jc w:val="right"/>
              <w:rPr>
                <w:szCs w:val="18"/>
              </w:rPr>
            </w:pPr>
            <w:r w:rsidRPr="00BD16B4">
              <w:rPr>
                <w:szCs w:val="18"/>
              </w:rPr>
              <w:t>26.48</w:t>
            </w:r>
          </w:p>
        </w:tc>
        <w:tc>
          <w:tcPr>
            <w:tcW w:w="907" w:type="dxa"/>
            <w:tcBorders>
              <w:bottom w:val="single" w:sz="4" w:space="0" w:color="1B556B" w:themeColor="text2"/>
            </w:tcBorders>
            <w:shd w:val="clear" w:color="auto" w:fill="auto"/>
          </w:tcPr>
          <w:p w14:paraId="4EDA1044" w14:textId="77777777" w:rsidR="00ED2EBD" w:rsidRPr="00BD16B4" w:rsidRDefault="00ED2EBD" w:rsidP="004A205F">
            <w:pPr>
              <w:pStyle w:val="TableText"/>
              <w:spacing w:before="40"/>
              <w:jc w:val="right"/>
              <w:rPr>
                <w:szCs w:val="18"/>
              </w:rPr>
            </w:pPr>
            <w:r w:rsidRPr="00BD16B4">
              <w:rPr>
                <w:szCs w:val="18"/>
              </w:rPr>
              <w:t>26.85</w:t>
            </w:r>
          </w:p>
        </w:tc>
      </w:tr>
      <w:tr w:rsidR="00ED2EBD" w:rsidRPr="00BD16B4" w14:paraId="4B104C2C" w14:textId="77777777" w:rsidTr="004625B0">
        <w:tc>
          <w:tcPr>
            <w:tcW w:w="3964" w:type="dxa"/>
          </w:tcPr>
          <w:p w14:paraId="3752FD87" w14:textId="00641C2B" w:rsidR="00ED2EBD" w:rsidRPr="00BD16B4" w:rsidRDefault="00ED2EBD" w:rsidP="004A205F">
            <w:pPr>
              <w:pStyle w:val="TableText"/>
              <w:spacing w:before="40"/>
              <w:rPr>
                <w:szCs w:val="18"/>
              </w:rPr>
            </w:pPr>
            <w:r w:rsidRPr="00BD16B4">
              <w:rPr>
                <w:szCs w:val="18"/>
              </w:rPr>
              <w:t>A.</w:t>
            </w:r>
            <w:r w:rsidR="00280979" w:rsidRPr="00BD16B4">
              <w:rPr>
                <w:szCs w:val="18"/>
              </w:rPr>
              <w:t xml:space="preserve"> </w:t>
            </w:r>
            <w:r w:rsidRPr="00BD16B4">
              <w:rPr>
                <w:szCs w:val="18"/>
              </w:rPr>
              <w:t>Enteric fermentation</w:t>
            </w:r>
          </w:p>
        </w:tc>
        <w:tc>
          <w:tcPr>
            <w:tcW w:w="907" w:type="dxa"/>
            <w:tcBorders>
              <w:top w:val="single" w:sz="4" w:space="0" w:color="1B556B" w:themeColor="text2"/>
            </w:tcBorders>
            <w:shd w:val="clear" w:color="auto" w:fill="D2DDE1" w:themeFill="background2"/>
          </w:tcPr>
          <w:p w14:paraId="05D4F87E"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64DA215"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B4FF530"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57E326A"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560EFA4"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2D625F8"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C7B6832"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5591C7C"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6A67E1E"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C40F9CD"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3BBEA17" w14:textId="77777777" w:rsidR="00ED2EBD" w:rsidRPr="00BD16B4" w:rsidRDefault="00ED2EBD" w:rsidP="004A205F">
            <w:pPr>
              <w:pStyle w:val="TableText"/>
              <w:spacing w:before="40"/>
              <w:jc w:val="right"/>
              <w:rPr>
                <w:szCs w:val="18"/>
              </w:rPr>
            </w:pPr>
            <w:r w:rsidRPr="00BD16B4">
              <w:rPr>
                <w:color w:val="000000"/>
                <w:szCs w:val="18"/>
              </w:rPr>
              <w:t> </w:t>
            </w:r>
          </w:p>
        </w:tc>
      </w:tr>
      <w:tr w:rsidR="00AA2930" w:rsidRPr="00BD16B4" w14:paraId="06B25191" w14:textId="77777777" w:rsidTr="004625B0">
        <w:tc>
          <w:tcPr>
            <w:tcW w:w="3964" w:type="dxa"/>
          </w:tcPr>
          <w:p w14:paraId="4B470954" w14:textId="638CA078" w:rsidR="00ED2EBD" w:rsidRPr="00BD16B4" w:rsidRDefault="00ED2EBD" w:rsidP="004A205F">
            <w:pPr>
              <w:pStyle w:val="TableText"/>
              <w:spacing w:before="40"/>
              <w:rPr>
                <w:szCs w:val="18"/>
              </w:rPr>
            </w:pPr>
            <w:r w:rsidRPr="00BD16B4">
              <w:rPr>
                <w:szCs w:val="18"/>
              </w:rPr>
              <w:t>B.</w:t>
            </w:r>
            <w:r w:rsidR="00280979" w:rsidRPr="00BD16B4">
              <w:rPr>
                <w:szCs w:val="18"/>
              </w:rPr>
              <w:t xml:space="preserve"> </w:t>
            </w:r>
            <w:r w:rsidRPr="00BD16B4">
              <w:rPr>
                <w:szCs w:val="18"/>
              </w:rPr>
              <w:t>Manure management</w:t>
            </w:r>
          </w:p>
        </w:tc>
        <w:tc>
          <w:tcPr>
            <w:tcW w:w="907" w:type="dxa"/>
            <w:tcBorders>
              <w:bottom w:val="single" w:sz="4" w:space="0" w:color="1B556B" w:themeColor="text2"/>
            </w:tcBorders>
            <w:shd w:val="clear" w:color="auto" w:fill="auto"/>
          </w:tcPr>
          <w:p w14:paraId="7F3DB115" w14:textId="77777777" w:rsidR="00ED2EBD" w:rsidRPr="00BD16B4" w:rsidRDefault="00ED2EBD" w:rsidP="004A205F">
            <w:pPr>
              <w:pStyle w:val="TableText"/>
              <w:spacing w:before="40"/>
              <w:jc w:val="right"/>
              <w:rPr>
                <w:szCs w:val="18"/>
              </w:rPr>
            </w:pPr>
            <w:r w:rsidRPr="00BD16B4">
              <w:rPr>
                <w:szCs w:val="18"/>
              </w:rPr>
              <w:t>0.31</w:t>
            </w:r>
          </w:p>
        </w:tc>
        <w:tc>
          <w:tcPr>
            <w:tcW w:w="907" w:type="dxa"/>
            <w:tcBorders>
              <w:bottom w:val="single" w:sz="4" w:space="0" w:color="1B556B" w:themeColor="text2"/>
            </w:tcBorders>
            <w:shd w:val="clear" w:color="auto" w:fill="auto"/>
          </w:tcPr>
          <w:p w14:paraId="7CBF5D19" w14:textId="77777777" w:rsidR="00ED2EBD" w:rsidRPr="00BD16B4" w:rsidRDefault="00ED2EBD" w:rsidP="004A205F">
            <w:pPr>
              <w:pStyle w:val="TableText"/>
              <w:spacing w:before="40"/>
              <w:jc w:val="right"/>
              <w:rPr>
                <w:szCs w:val="18"/>
              </w:rPr>
            </w:pPr>
            <w:r w:rsidRPr="00BD16B4">
              <w:rPr>
                <w:szCs w:val="18"/>
              </w:rPr>
              <w:t>0.33</w:t>
            </w:r>
          </w:p>
        </w:tc>
        <w:tc>
          <w:tcPr>
            <w:tcW w:w="907" w:type="dxa"/>
            <w:tcBorders>
              <w:bottom w:val="single" w:sz="4" w:space="0" w:color="1B556B" w:themeColor="text2"/>
            </w:tcBorders>
            <w:shd w:val="clear" w:color="auto" w:fill="auto"/>
          </w:tcPr>
          <w:p w14:paraId="54638CA1" w14:textId="77777777" w:rsidR="00ED2EBD" w:rsidRPr="00BD16B4" w:rsidRDefault="00ED2EBD" w:rsidP="004A205F">
            <w:pPr>
              <w:pStyle w:val="TableText"/>
              <w:spacing w:before="40"/>
              <w:jc w:val="right"/>
              <w:rPr>
                <w:szCs w:val="18"/>
              </w:rPr>
            </w:pPr>
            <w:r w:rsidRPr="00BD16B4">
              <w:rPr>
                <w:szCs w:val="18"/>
              </w:rPr>
              <w:t>0.36</w:t>
            </w:r>
          </w:p>
        </w:tc>
        <w:tc>
          <w:tcPr>
            <w:tcW w:w="907" w:type="dxa"/>
            <w:tcBorders>
              <w:bottom w:val="single" w:sz="4" w:space="0" w:color="1B556B" w:themeColor="text2"/>
            </w:tcBorders>
            <w:shd w:val="clear" w:color="auto" w:fill="auto"/>
          </w:tcPr>
          <w:p w14:paraId="0A16E2C5" w14:textId="77777777" w:rsidR="00ED2EBD" w:rsidRPr="00BD16B4" w:rsidRDefault="00ED2EBD" w:rsidP="004A205F">
            <w:pPr>
              <w:pStyle w:val="TableText"/>
              <w:spacing w:before="40"/>
              <w:jc w:val="right"/>
              <w:rPr>
                <w:szCs w:val="18"/>
              </w:rPr>
            </w:pPr>
            <w:r w:rsidRPr="00BD16B4">
              <w:rPr>
                <w:szCs w:val="18"/>
              </w:rPr>
              <w:t>0.38</w:t>
            </w:r>
          </w:p>
        </w:tc>
        <w:tc>
          <w:tcPr>
            <w:tcW w:w="907" w:type="dxa"/>
            <w:tcBorders>
              <w:bottom w:val="single" w:sz="4" w:space="0" w:color="1B556B" w:themeColor="text2"/>
            </w:tcBorders>
            <w:shd w:val="clear" w:color="auto" w:fill="auto"/>
          </w:tcPr>
          <w:p w14:paraId="2B0650B9" w14:textId="77777777" w:rsidR="00ED2EBD" w:rsidRPr="00BD16B4" w:rsidRDefault="00ED2EBD" w:rsidP="004A205F">
            <w:pPr>
              <w:pStyle w:val="TableText"/>
              <w:spacing w:before="40"/>
              <w:jc w:val="right"/>
              <w:rPr>
                <w:szCs w:val="18"/>
              </w:rPr>
            </w:pPr>
            <w:r w:rsidRPr="00BD16B4">
              <w:rPr>
                <w:szCs w:val="18"/>
              </w:rPr>
              <w:t>0.39</w:t>
            </w:r>
          </w:p>
        </w:tc>
        <w:tc>
          <w:tcPr>
            <w:tcW w:w="907" w:type="dxa"/>
            <w:tcBorders>
              <w:bottom w:val="single" w:sz="4" w:space="0" w:color="1B556B" w:themeColor="text2"/>
            </w:tcBorders>
            <w:shd w:val="clear" w:color="auto" w:fill="auto"/>
          </w:tcPr>
          <w:p w14:paraId="2C5382AE" w14:textId="77777777" w:rsidR="00ED2EBD" w:rsidRPr="00BD16B4" w:rsidRDefault="00ED2EBD" w:rsidP="004A205F">
            <w:pPr>
              <w:pStyle w:val="TableText"/>
              <w:spacing w:before="40"/>
              <w:jc w:val="right"/>
              <w:rPr>
                <w:szCs w:val="18"/>
              </w:rPr>
            </w:pPr>
            <w:r w:rsidRPr="00BD16B4">
              <w:rPr>
                <w:szCs w:val="18"/>
              </w:rPr>
              <w:t>0.39</w:t>
            </w:r>
          </w:p>
        </w:tc>
        <w:tc>
          <w:tcPr>
            <w:tcW w:w="907" w:type="dxa"/>
            <w:tcBorders>
              <w:bottom w:val="single" w:sz="4" w:space="0" w:color="1B556B" w:themeColor="text2"/>
            </w:tcBorders>
            <w:shd w:val="clear" w:color="auto" w:fill="auto"/>
          </w:tcPr>
          <w:p w14:paraId="1AC90CE7" w14:textId="77777777" w:rsidR="00ED2EBD" w:rsidRPr="00BD16B4" w:rsidRDefault="00ED2EBD" w:rsidP="004A205F">
            <w:pPr>
              <w:pStyle w:val="TableText"/>
              <w:spacing w:before="40"/>
              <w:jc w:val="right"/>
              <w:rPr>
                <w:szCs w:val="18"/>
              </w:rPr>
            </w:pPr>
            <w:r w:rsidRPr="00BD16B4">
              <w:rPr>
                <w:szCs w:val="18"/>
              </w:rPr>
              <w:t>0.39</w:t>
            </w:r>
          </w:p>
        </w:tc>
        <w:tc>
          <w:tcPr>
            <w:tcW w:w="907" w:type="dxa"/>
            <w:tcBorders>
              <w:bottom w:val="single" w:sz="4" w:space="0" w:color="1B556B" w:themeColor="text2"/>
            </w:tcBorders>
            <w:shd w:val="clear" w:color="auto" w:fill="auto"/>
          </w:tcPr>
          <w:p w14:paraId="2E00BC88" w14:textId="77777777" w:rsidR="00ED2EBD" w:rsidRPr="00BD16B4" w:rsidRDefault="00ED2EBD" w:rsidP="004A205F">
            <w:pPr>
              <w:pStyle w:val="TableText"/>
              <w:spacing w:before="40"/>
              <w:jc w:val="right"/>
              <w:rPr>
                <w:szCs w:val="18"/>
              </w:rPr>
            </w:pPr>
            <w:r w:rsidRPr="00BD16B4">
              <w:rPr>
                <w:szCs w:val="18"/>
              </w:rPr>
              <w:t>0.39</w:t>
            </w:r>
          </w:p>
        </w:tc>
        <w:tc>
          <w:tcPr>
            <w:tcW w:w="907" w:type="dxa"/>
            <w:tcBorders>
              <w:bottom w:val="single" w:sz="4" w:space="0" w:color="1B556B" w:themeColor="text2"/>
            </w:tcBorders>
            <w:shd w:val="clear" w:color="auto" w:fill="auto"/>
          </w:tcPr>
          <w:p w14:paraId="6D4D733D" w14:textId="77777777" w:rsidR="00ED2EBD" w:rsidRPr="00BD16B4" w:rsidRDefault="00ED2EBD" w:rsidP="004A205F">
            <w:pPr>
              <w:pStyle w:val="TableText"/>
              <w:spacing w:before="40"/>
              <w:jc w:val="right"/>
              <w:rPr>
                <w:szCs w:val="18"/>
              </w:rPr>
            </w:pPr>
            <w:r w:rsidRPr="00BD16B4">
              <w:rPr>
                <w:szCs w:val="18"/>
              </w:rPr>
              <w:t>0.40</w:t>
            </w:r>
          </w:p>
        </w:tc>
        <w:tc>
          <w:tcPr>
            <w:tcW w:w="907" w:type="dxa"/>
            <w:tcBorders>
              <w:bottom w:val="single" w:sz="4" w:space="0" w:color="1B556B" w:themeColor="text2"/>
            </w:tcBorders>
            <w:shd w:val="clear" w:color="auto" w:fill="auto"/>
          </w:tcPr>
          <w:p w14:paraId="4F4AD017" w14:textId="77777777" w:rsidR="00ED2EBD" w:rsidRPr="00BD16B4" w:rsidRDefault="00ED2EBD" w:rsidP="004A205F">
            <w:pPr>
              <w:pStyle w:val="TableText"/>
              <w:spacing w:before="40"/>
              <w:jc w:val="right"/>
              <w:rPr>
                <w:szCs w:val="18"/>
              </w:rPr>
            </w:pPr>
            <w:r w:rsidRPr="00BD16B4">
              <w:rPr>
                <w:szCs w:val="18"/>
              </w:rPr>
              <w:t>0.39</w:t>
            </w:r>
          </w:p>
        </w:tc>
        <w:tc>
          <w:tcPr>
            <w:tcW w:w="907" w:type="dxa"/>
            <w:tcBorders>
              <w:bottom w:val="single" w:sz="4" w:space="0" w:color="1B556B" w:themeColor="text2"/>
            </w:tcBorders>
            <w:shd w:val="clear" w:color="auto" w:fill="auto"/>
          </w:tcPr>
          <w:p w14:paraId="041DCF9C" w14:textId="77777777" w:rsidR="00ED2EBD" w:rsidRPr="00BD16B4" w:rsidRDefault="00ED2EBD" w:rsidP="004A205F">
            <w:pPr>
              <w:pStyle w:val="TableText"/>
              <w:spacing w:before="40"/>
              <w:jc w:val="right"/>
              <w:rPr>
                <w:szCs w:val="18"/>
              </w:rPr>
            </w:pPr>
            <w:r w:rsidRPr="00BD16B4">
              <w:rPr>
                <w:szCs w:val="18"/>
              </w:rPr>
              <w:t>0.39</w:t>
            </w:r>
          </w:p>
        </w:tc>
      </w:tr>
      <w:tr w:rsidR="00ED2EBD" w:rsidRPr="00BD16B4" w14:paraId="06E767CD" w14:textId="77777777" w:rsidTr="004625B0">
        <w:tc>
          <w:tcPr>
            <w:tcW w:w="3964" w:type="dxa"/>
          </w:tcPr>
          <w:p w14:paraId="01EFDC81" w14:textId="6807ABFF" w:rsidR="00ED2EBD" w:rsidRPr="00BD16B4" w:rsidRDefault="00ED2EBD" w:rsidP="004A205F">
            <w:pPr>
              <w:pStyle w:val="TableText"/>
              <w:spacing w:before="40"/>
              <w:rPr>
                <w:szCs w:val="18"/>
              </w:rPr>
            </w:pPr>
            <w:r w:rsidRPr="00BD16B4">
              <w:rPr>
                <w:szCs w:val="18"/>
              </w:rPr>
              <w:t>C.</w:t>
            </w:r>
            <w:r w:rsidR="00280979" w:rsidRPr="00BD16B4">
              <w:rPr>
                <w:szCs w:val="18"/>
              </w:rPr>
              <w:t xml:space="preserve"> </w:t>
            </w:r>
            <w:r w:rsidRPr="00BD16B4">
              <w:rPr>
                <w:szCs w:val="18"/>
              </w:rPr>
              <w:t>Rice cultivation</w:t>
            </w:r>
          </w:p>
        </w:tc>
        <w:tc>
          <w:tcPr>
            <w:tcW w:w="907" w:type="dxa"/>
            <w:tcBorders>
              <w:top w:val="single" w:sz="4" w:space="0" w:color="1B556B" w:themeColor="text2"/>
            </w:tcBorders>
            <w:shd w:val="clear" w:color="auto" w:fill="D2DDE1" w:themeFill="background2"/>
          </w:tcPr>
          <w:p w14:paraId="69EAF682"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5FFDB87"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395B603"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174878D"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E810CCD"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7D519D9"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54D599A"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3730C2A"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FA668F8"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E15D765"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6F52DB7" w14:textId="77777777" w:rsidR="00ED2EBD" w:rsidRPr="00BD16B4" w:rsidRDefault="00ED2EBD" w:rsidP="004A205F">
            <w:pPr>
              <w:pStyle w:val="TableText"/>
              <w:spacing w:before="40"/>
              <w:jc w:val="right"/>
              <w:rPr>
                <w:szCs w:val="18"/>
              </w:rPr>
            </w:pPr>
            <w:r w:rsidRPr="00BD16B4">
              <w:rPr>
                <w:color w:val="000000"/>
                <w:szCs w:val="18"/>
              </w:rPr>
              <w:t> </w:t>
            </w:r>
          </w:p>
        </w:tc>
      </w:tr>
      <w:tr w:rsidR="00AA2930" w:rsidRPr="00BD16B4" w14:paraId="71D29B98" w14:textId="77777777" w:rsidTr="004625B0">
        <w:tc>
          <w:tcPr>
            <w:tcW w:w="3964" w:type="dxa"/>
          </w:tcPr>
          <w:p w14:paraId="7685DE4A" w14:textId="02B10F0D" w:rsidR="00ED2EBD" w:rsidRPr="00BD16B4" w:rsidRDefault="00ED2EBD" w:rsidP="004A205F">
            <w:pPr>
              <w:pStyle w:val="TableText"/>
              <w:spacing w:before="40"/>
              <w:rPr>
                <w:szCs w:val="18"/>
              </w:rPr>
            </w:pPr>
            <w:r w:rsidRPr="00BD16B4">
              <w:rPr>
                <w:szCs w:val="18"/>
              </w:rPr>
              <w:t>D.</w:t>
            </w:r>
            <w:r w:rsidR="00280979" w:rsidRPr="00BD16B4">
              <w:rPr>
                <w:szCs w:val="18"/>
              </w:rPr>
              <w:t xml:space="preserve"> </w:t>
            </w:r>
            <w:r w:rsidRPr="00BD16B4">
              <w:rPr>
                <w:szCs w:val="18"/>
              </w:rPr>
              <w:t>Agricultural soils</w:t>
            </w:r>
          </w:p>
        </w:tc>
        <w:tc>
          <w:tcPr>
            <w:tcW w:w="907" w:type="dxa"/>
            <w:shd w:val="clear" w:color="auto" w:fill="auto"/>
          </w:tcPr>
          <w:p w14:paraId="08ADAD47" w14:textId="77777777" w:rsidR="00ED2EBD" w:rsidRPr="00BD16B4" w:rsidRDefault="00ED2EBD" w:rsidP="004A205F">
            <w:pPr>
              <w:pStyle w:val="TableText"/>
              <w:spacing w:before="40"/>
              <w:jc w:val="right"/>
              <w:rPr>
                <w:szCs w:val="18"/>
              </w:rPr>
            </w:pPr>
            <w:r w:rsidRPr="00BD16B4">
              <w:rPr>
                <w:szCs w:val="18"/>
              </w:rPr>
              <w:t>23.83</w:t>
            </w:r>
          </w:p>
        </w:tc>
        <w:tc>
          <w:tcPr>
            <w:tcW w:w="907" w:type="dxa"/>
            <w:shd w:val="clear" w:color="auto" w:fill="auto"/>
          </w:tcPr>
          <w:p w14:paraId="09DD41F5" w14:textId="77777777" w:rsidR="00ED2EBD" w:rsidRPr="00BD16B4" w:rsidRDefault="00ED2EBD" w:rsidP="004A205F">
            <w:pPr>
              <w:pStyle w:val="TableText"/>
              <w:spacing w:before="40"/>
              <w:jc w:val="right"/>
              <w:rPr>
                <w:szCs w:val="18"/>
              </w:rPr>
            </w:pPr>
            <w:r w:rsidRPr="00BD16B4">
              <w:rPr>
                <w:szCs w:val="18"/>
              </w:rPr>
              <w:t>24.42</w:t>
            </w:r>
          </w:p>
        </w:tc>
        <w:tc>
          <w:tcPr>
            <w:tcW w:w="907" w:type="dxa"/>
            <w:shd w:val="clear" w:color="auto" w:fill="auto"/>
          </w:tcPr>
          <w:p w14:paraId="0837FA39" w14:textId="77777777" w:rsidR="00ED2EBD" w:rsidRPr="00BD16B4" w:rsidRDefault="00ED2EBD" w:rsidP="004A205F">
            <w:pPr>
              <w:pStyle w:val="TableText"/>
              <w:spacing w:before="40"/>
              <w:jc w:val="right"/>
              <w:rPr>
                <w:szCs w:val="18"/>
              </w:rPr>
            </w:pPr>
            <w:r w:rsidRPr="00BD16B4">
              <w:rPr>
                <w:szCs w:val="18"/>
              </w:rPr>
              <w:t>24.74</w:t>
            </w:r>
          </w:p>
        </w:tc>
        <w:tc>
          <w:tcPr>
            <w:tcW w:w="907" w:type="dxa"/>
            <w:shd w:val="clear" w:color="auto" w:fill="auto"/>
          </w:tcPr>
          <w:p w14:paraId="6687023E" w14:textId="77777777" w:rsidR="00ED2EBD" w:rsidRPr="00BD16B4" w:rsidRDefault="00ED2EBD" w:rsidP="004A205F">
            <w:pPr>
              <w:pStyle w:val="TableText"/>
              <w:spacing w:before="40"/>
              <w:jc w:val="right"/>
              <w:rPr>
                <w:szCs w:val="18"/>
              </w:rPr>
            </w:pPr>
            <w:r w:rsidRPr="00BD16B4">
              <w:rPr>
                <w:szCs w:val="18"/>
              </w:rPr>
              <w:t>24.81</w:t>
            </w:r>
          </w:p>
        </w:tc>
        <w:tc>
          <w:tcPr>
            <w:tcW w:w="907" w:type="dxa"/>
            <w:shd w:val="clear" w:color="auto" w:fill="auto"/>
          </w:tcPr>
          <w:p w14:paraId="646E04CC" w14:textId="77777777" w:rsidR="00ED2EBD" w:rsidRPr="00BD16B4" w:rsidRDefault="00ED2EBD" w:rsidP="004A205F">
            <w:pPr>
              <w:pStyle w:val="TableText"/>
              <w:spacing w:before="40"/>
              <w:jc w:val="right"/>
              <w:rPr>
                <w:szCs w:val="18"/>
              </w:rPr>
            </w:pPr>
            <w:r w:rsidRPr="00BD16B4">
              <w:rPr>
                <w:szCs w:val="18"/>
              </w:rPr>
              <w:t>25.72</w:t>
            </w:r>
          </w:p>
        </w:tc>
        <w:tc>
          <w:tcPr>
            <w:tcW w:w="907" w:type="dxa"/>
            <w:shd w:val="clear" w:color="auto" w:fill="auto"/>
          </w:tcPr>
          <w:p w14:paraId="6BBB051C" w14:textId="77777777" w:rsidR="00ED2EBD" w:rsidRPr="00BD16B4" w:rsidRDefault="00ED2EBD" w:rsidP="004A205F">
            <w:pPr>
              <w:pStyle w:val="TableText"/>
              <w:spacing w:before="40"/>
              <w:jc w:val="right"/>
              <w:rPr>
                <w:szCs w:val="18"/>
              </w:rPr>
            </w:pPr>
            <w:r w:rsidRPr="00BD16B4">
              <w:rPr>
                <w:szCs w:val="18"/>
              </w:rPr>
              <w:t>25.45</w:t>
            </w:r>
          </w:p>
        </w:tc>
        <w:tc>
          <w:tcPr>
            <w:tcW w:w="907" w:type="dxa"/>
            <w:shd w:val="clear" w:color="auto" w:fill="auto"/>
          </w:tcPr>
          <w:p w14:paraId="00BFFECF" w14:textId="77777777" w:rsidR="00ED2EBD" w:rsidRPr="00BD16B4" w:rsidRDefault="00ED2EBD" w:rsidP="004A205F">
            <w:pPr>
              <w:pStyle w:val="TableText"/>
              <w:spacing w:before="40"/>
              <w:jc w:val="right"/>
              <w:rPr>
                <w:szCs w:val="18"/>
              </w:rPr>
            </w:pPr>
            <w:r w:rsidRPr="00BD16B4">
              <w:rPr>
                <w:szCs w:val="18"/>
              </w:rPr>
              <w:t>25.54</w:t>
            </w:r>
          </w:p>
        </w:tc>
        <w:tc>
          <w:tcPr>
            <w:tcW w:w="907" w:type="dxa"/>
            <w:shd w:val="clear" w:color="auto" w:fill="auto"/>
          </w:tcPr>
          <w:p w14:paraId="609EF395" w14:textId="77777777" w:rsidR="00ED2EBD" w:rsidRPr="00BD16B4" w:rsidRDefault="00ED2EBD" w:rsidP="004A205F">
            <w:pPr>
              <w:pStyle w:val="TableText"/>
              <w:spacing w:before="40"/>
              <w:jc w:val="right"/>
              <w:rPr>
                <w:szCs w:val="18"/>
              </w:rPr>
            </w:pPr>
            <w:r w:rsidRPr="00BD16B4">
              <w:rPr>
                <w:szCs w:val="18"/>
              </w:rPr>
              <w:t>25.68</w:t>
            </w:r>
          </w:p>
        </w:tc>
        <w:tc>
          <w:tcPr>
            <w:tcW w:w="907" w:type="dxa"/>
            <w:shd w:val="clear" w:color="auto" w:fill="auto"/>
          </w:tcPr>
          <w:p w14:paraId="4CF397A9" w14:textId="77777777" w:rsidR="00ED2EBD" w:rsidRPr="00BD16B4" w:rsidRDefault="00ED2EBD" w:rsidP="004A205F">
            <w:pPr>
              <w:pStyle w:val="TableText"/>
              <w:spacing w:before="40"/>
              <w:jc w:val="right"/>
              <w:rPr>
                <w:szCs w:val="18"/>
              </w:rPr>
            </w:pPr>
            <w:r w:rsidRPr="00BD16B4">
              <w:rPr>
                <w:szCs w:val="18"/>
              </w:rPr>
              <w:t>26.00</w:t>
            </w:r>
          </w:p>
        </w:tc>
        <w:tc>
          <w:tcPr>
            <w:tcW w:w="907" w:type="dxa"/>
            <w:shd w:val="clear" w:color="auto" w:fill="auto"/>
          </w:tcPr>
          <w:p w14:paraId="380E0F5A" w14:textId="77777777" w:rsidR="00ED2EBD" w:rsidRPr="00BD16B4" w:rsidRDefault="00ED2EBD" w:rsidP="004A205F">
            <w:pPr>
              <w:pStyle w:val="TableText"/>
              <w:spacing w:before="40"/>
              <w:jc w:val="right"/>
              <w:rPr>
                <w:szCs w:val="18"/>
              </w:rPr>
            </w:pPr>
            <w:r w:rsidRPr="00BD16B4">
              <w:rPr>
                <w:szCs w:val="18"/>
              </w:rPr>
              <w:t>26.07</w:t>
            </w:r>
          </w:p>
        </w:tc>
        <w:tc>
          <w:tcPr>
            <w:tcW w:w="907" w:type="dxa"/>
            <w:shd w:val="clear" w:color="auto" w:fill="auto"/>
          </w:tcPr>
          <w:p w14:paraId="0E6FCB30" w14:textId="77777777" w:rsidR="00ED2EBD" w:rsidRPr="00BD16B4" w:rsidRDefault="00ED2EBD" w:rsidP="004A205F">
            <w:pPr>
              <w:pStyle w:val="TableText"/>
              <w:spacing w:before="40"/>
              <w:jc w:val="right"/>
              <w:rPr>
                <w:szCs w:val="18"/>
              </w:rPr>
            </w:pPr>
            <w:r w:rsidRPr="00BD16B4">
              <w:rPr>
                <w:szCs w:val="18"/>
              </w:rPr>
              <w:t>26.45</w:t>
            </w:r>
          </w:p>
        </w:tc>
      </w:tr>
      <w:tr w:rsidR="00AA2930" w:rsidRPr="00BD16B4" w14:paraId="44C01883" w14:textId="77777777" w:rsidTr="004625B0">
        <w:tc>
          <w:tcPr>
            <w:tcW w:w="3964" w:type="dxa"/>
          </w:tcPr>
          <w:p w14:paraId="37A80809" w14:textId="1F738A1D" w:rsidR="00ED2EBD" w:rsidRPr="00BD16B4" w:rsidRDefault="00ED2EBD" w:rsidP="004A205F">
            <w:pPr>
              <w:pStyle w:val="TableText"/>
              <w:spacing w:before="40"/>
              <w:rPr>
                <w:szCs w:val="18"/>
              </w:rPr>
            </w:pPr>
            <w:r w:rsidRPr="00BD16B4">
              <w:rPr>
                <w:szCs w:val="18"/>
              </w:rPr>
              <w:t>E.</w:t>
            </w:r>
            <w:r w:rsidR="00280979" w:rsidRPr="00BD16B4">
              <w:rPr>
                <w:szCs w:val="18"/>
              </w:rPr>
              <w:t xml:space="preserve"> </w:t>
            </w:r>
            <w:r w:rsidRPr="00BD16B4">
              <w:rPr>
                <w:szCs w:val="18"/>
              </w:rPr>
              <w:t>Prescribed burning of savannas</w:t>
            </w:r>
          </w:p>
        </w:tc>
        <w:tc>
          <w:tcPr>
            <w:tcW w:w="907" w:type="dxa"/>
            <w:shd w:val="clear" w:color="auto" w:fill="auto"/>
          </w:tcPr>
          <w:p w14:paraId="444917D0" w14:textId="77777777" w:rsidR="00ED2EBD" w:rsidRPr="00BD16B4" w:rsidRDefault="00ED2EBD" w:rsidP="004A205F">
            <w:pPr>
              <w:pStyle w:val="TableText"/>
              <w:spacing w:before="40"/>
              <w:jc w:val="right"/>
              <w:rPr>
                <w:szCs w:val="18"/>
              </w:rPr>
            </w:pPr>
            <w:r w:rsidRPr="00BD16B4">
              <w:rPr>
                <w:szCs w:val="18"/>
              </w:rPr>
              <w:t>IE</w:t>
            </w:r>
          </w:p>
        </w:tc>
        <w:tc>
          <w:tcPr>
            <w:tcW w:w="907" w:type="dxa"/>
            <w:shd w:val="clear" w:color="auto" w:fill="auto"/>
          </w:tcPr>
          <w:p w14:paraId="43235889" w14:textId="77777777" w:rsidR="00ED2EBD" w:rsidRPr="00BD16B4" w:rsidRDefault="00ED2EBD" w:rsidP="004A205F">
            <w:pPr>
              <w:pStyle w:val="TableText"/>
              <w:spacing w:before="40"/>
              <w:jc w:val="right"/>
              <w:rPr>
                <w:szCs w:val="18"/>
              </w:rPr>
            </w:pPr>
            <w:r w:rsidRPr="00BD16B4">
              <w:rPr>
                <w:szCs w:val="18"/>
              </w:rPr>
              <w:t>IE</w:t>
            </w:r>
          </w:p>
        </w:tc>
        <w:tc>
          <w:tcPr>
            <w:tcW w:w="907" w:type="dxa"/>
            <w:shd w:val="clear" w:color="auto" w:fill="auto"/>
          </w:tcPr>
          <w:p w14:paraId="3E084EAB" w14:textId="77777777" w:rsidR="00ED2EBD" w:rsidRPr="00BD16B4" w:rsidRDefault="00ED2EBD" w:rsidP="004A205F">
            <w:pPr>
              <w:pStyle w:val="TableText"/>
              <w:spacing w:before="40"/>
              <w:jc w:val="right"/>
              <w:rPr>
                <w:szCs w:val="18"/>
              </w:rPr>
            </w:pPr>
            <w:r w:rsidRPr="00BD16B4">
              <w:rPr>
                <w:szCs w:val="18"/>
              </w:rPr>
              <w:t>IE</w:t>
            </w:r>
          </w:p>
        </w:tc>
        <w:tc>
          <w:tcPr>
            <w:tcW w:w="907" w:type="dxa"/>
            <w:shd w:val="clear" w:color="auto" w:fill="auto"/>
          </w:tcPr>
          <w:p w14:paraId="5FBEDA39" w14:textId="77777777" w:rsidR="00ED2EBD" w:rsidRPr="00BD16B4" w:rsidRDefault="00ED2EBD" w:rsidP="004A205F">
            <w:pPr>
              <w:pStyle w:val="TableText"/>
              <w:spacing w:before="40"/>
              <w:jc w:val="right"/>
              <w:rPr>
                <w:szCs w:val="18"/>
              </w:rPr>
            </w:pPr>
            <w:r w:rsidRPr="00BD16B4">
              <w:rPr>
                <w:szCs w:val="18"/>
              </w:rPr>
              <w:t>IE</w:t>
            </w:r>
          </w:p>
        </w:tc>
        <w:tc>
          <w:tcPr>
            <w:tcW w:w="907" w:type="dxa"/>
            <w:shd w:val="clear" w:color="auto" w:fill="auto"/>
          </w:tcPr>
          <w:p w14:paraId="37C6B052" w14:textId="77777777" w:rsidR="00ED2EBD" w:rsidRPr="00BD16B4" w:rsidRDefault="00ED2EBD" w:rsidP="004A205F">
            <w:pPr>
              <w:pStyle w:val="TableText"/>
              <w:spacing w:before="40"/>
              <w:jc w:val="right"/>
              <w:rPr>
                <w:szCs w:val="18"/>
              </w:rPr>
            </w:pPr>
            <w:r w:rsidRPr="00BD16B4">
              <w:rPr>
                <w:szCs w:val="18"/>
              </w:rPr>
              <w:t>IE</w:t>
            </w:r>
          </w:p>
        </w:tc>
        <w:tc>
          <w:tcPr>
            <w:tcW w:w="907" w:type="dxa"/>
            <w:shd w:val="clear" w:color="auto" w:fill="auto"/>
          </w:tcPr>
          <w:p w14:paraId="5C671E0B" w14:textId="77777777" w:rsidR="00ED2EBD" w:rsidRPr="00BD16B4" w:rsidRDefault="00ED2EBD" w:rsidP="004A205F">
            <w:pPr>
              <w:pStyle w:val="TableText"/>
              <w:spacing w:before="40"/>
              <w:jc w:val="right"/>
              <w:rPr>
                <w:szCs w:val="18"/>
              </w:rPr>
            </w:pPr>
            <w:r w:rsidRPr="00BD16B4">
              <w:rPr>
                <w:szCs w:val="18"/>
              </w:rPr>
              <w:t>IE</w:t>
            </w:r>
          </w:p>
        </w:tc>
        <w:tc>
          <w:tcPr>
            <w:tcW w:w="907" w:type="dxa"/>
            <w:shd w:val="clear" w:color="auto" w:fill="auto"/>
          </w:tcPr>
          <w:p w14:paraId="7AF8672E" w14:textId="77777777" w:rsidR="00ED2EBD" w:rsidRPr="00BD16B4" w:rsidRDefault="00ED2EBD" w:rsidP="004A205F">
            <w:pPr>
              <w:pStyle w:val="TableText"/>
              <w:spacing w:before="40"/>
              <w:jc w:val="right"/>
              <w:rPr>
                <w:szCs w:val="18"/>
              </w:rPr>
            </w:pPr>
            <w:r w:rsidRPr="00BD16B4">
              <w:rPr>
                <w:szCs w:val="18"/>
              </w:rPr>
              <w:t>IE</w:t>
            </w:r>
          </w:p>
        </w:tc>
        <w:tc>
          <w:tcPr>
            <w:tcW w:w="907" w:type="dxa"/>
            <w:shd w:val="clear" w:color="auto" w:fill="auto"/>
          </w:tcPr>
          <w:p w14:paraId="269B5217" w14:textId="77777777" w:rsidR="00ED2EBD" w:rsidRPr="00BD16B4" w:rsidRDefault="00ED2EBD" w:rsidP="004A205F">
            <w:pPr>
              <w:pStyle w:val="TableText"/>
              <w:spacing w:before="40"/>
              <w:jc w:val="right"/>
              <w:rPr>
                <w:szCs w:val="18"/>
              </w:rPr>
            </w:pPr>
            <w:r w:rsidRPr="00BD16B4">
              <w:rPr>
                <w:szCs w:val="18"/>
              </w:rPr>
              <w:t>IE</w:t>
            </w:r>
          </w:p>
        </w:tc>
        <w:tc>
          <w:tcPr>
            <w:tcW w:w="907" w:type="dxa"/>
            <w:shd w:val="clear" w:color="auto" w:fill="auto"/>
          </w:tcPr>
          <w:p w14:paraId="2FA8F1EE" w14:textId="77777777" w:rsidR="00ED2EBD" w:rsidRPr="00BD16B4" w:rsidRDefault="00ED2EBD" w:rsidP="004A205F">
            <w:pPr>
              <w:pStyle w:val="TableText"/>
              <w:spacing w:before="40"/>
              <w:jc w:val="right"/>
              <w:rPr>
                <w:szCs w:val="18"/>
              </w:rPr>
            </w:pPr>
            <w:r w:rsidRPr="00BD16B4">
              <w:rPr>
                <w:szCs w:val="18"/>
              </w:rPr>
              <w:t>IE</w:t>
            </w:r>
          </w:p>
        </w:tc>
        <w:tc>
          <w:tcPr>
            <w:tcW w:w="907" w:type="dxa"/>
            <w:shd w:val="clear" w:color="auto" w:fill="auto"/>
          </w:tcPr>
          <w:p w14:paraId="7F560C6D" w14:textId="77777777" w:rsidR="00ED2EBD" w:rsidRPr="00BD16B4" w:rsidRDefault="00ED2EBD" w:rsidP="004A205F">
            <w:pPr>
              <w:pStyle w:val="TableText"/>
              <w:spacing w:before="40"/>
              <w:jc w:val="right"/>
              <w:rPr>
                <w:szCs w:val="18"/>
              </w:rPr>
            </w:pPr>
            <w:r w:rsidRPr="00BD16B4">
              <w:rPr>
                <w:szCs w:val="18"/>
              </w:rPr>
              <w:t>IE</w:t>
            </w:r>
          </w:p>
        </w:tc>
        <w:tc>
          <w:tcPr>
            <w:tcW w:w="907" w:type="dxa"/>
            <w:shd w:val="clear" w:color="auto" w:fill="auto"/>
          </w:tcPr>
          <w:p w14:paraId="2327B10E" w14:textId="77777777" w:rsidR="00ED2EBD" w:rsidRPr="00BD16B4" w:rsidRDefault="00ED2EBD" w:rsidP="004A205F">
            <w:pPr>
              <w:pStyle w:val="TableText"/>
              <w:spacing w:before="40"/>
              <w:jc w:val="right"/>
              <w:rPr>
                <w:szCs w:val="18"/>
              </w:rPr>
            </w:pPr>
            <w:r w:rsidRPr="00BD16B4">
              <w:rPr>
                <w:szCs w:val="18"/>
              </w:rPr>
              <w:t>IE</w:t>
            </w:r>
          </w:p>
        </w:tc>
      </w:tr>
      <w:tr w:rsidR="00AA2930" w:rsidRPr="00BD16B4" w14:paraId="4426C4EF" w14:textId="77777777" w:rsidTr="004625B0">
        <w:tc>
          <w:tcPr>
            <w:tcW w:w="3964" w:type="dxa"/>
          </w:tcPr>
          <w:p w14:paraId="18793CCC" w14:textId="6E21296E" w:rsidR="00ED2EBD" w:rsidRPr="00BD16B4" w:rsidRDefault="00ED2EBD" w:rsidP="004A205F">
            <w:pPr>
              <w:pStyle w:val="TableText"/>
              <w:spacing w:before="40"/>
              <w:rPr>
                <w:szCs w:val="18"/>
              </w:rPr>
            </w:pPr>
            <w:r w:rsidRPr="00BD16B4">
              <w:rPr>
                <w:szCs w:val="18"/>
              </w:rPr>
              <w:t>F.</w:t>
            </w:r>
            <w:r w:rsidR="00280979" w:rsidRPr="00BD16B4">
              <w:rPr>
                <w:szCs w:val="18"/>
              </w:rPr>
              <w:t xml:space="preserve"> </w:t>
            </w:r>
            <w:r w:rsidRPr="00BD16B4">
              <w:rPr>
                <w:szCs w:val="18"/>
              </w:rPr>
              <w:t>Field burning of agricultural residues</w:t>
            </w:r>
          </w:p>
        </w:tc>
        <w:tc>
          <w:tcPr>
            <w:tcW w:w="907" w:type="dxa"/>
            <w:tcBorders>
              <w:bottom w:val="single" w:sz="4" w:space="0" w:color="1B556B" w:themeColor="text2"/>
            </w:tcBorders>
            <w:shd w:val="clear" w:color="auto" w:fill="auto"/>
          </w:tcPr>
          <w:p w14:paraId="7E1E2477" w14:textId="77777777" w:rsidR="00ED2EBD" w:rsidRPr="00BD16B4" w:rsidRDefault="00ED2EBD" w:rsidP="004A205F">
            <w:pPr>
              <w:pStyle w:val="TableText"/>
              <w:spacing w:before="40"/>
              <w:jc w:val="right"/>
              <w:rPr>
                <w:szCs w:val="18"/>
              </w:rPr>
            </w:pPr>
            <w:r w:rsidRPr="00BD16B4">
              <w:rPr>
                <w:szCs w:val="18"/>
              </w:rPr>
              <w:t>0.02</w:t>
            </w:r>
          </w:p>
        </w:tc>
        <w:tc>
          <w:tcPr>
            <w:tcW w:w="907" w:type="dxa"/>
            <w:tcBorders>
              <w:bottom w:val="single" w:sz="4" w:space="0" w:color="1B556B" w:themeColor="text2"/>
            </w:tcBorders>
            <w:shd w:val="clear" w:color="auto" w:fill="auto"/>
          </w:tcPr>
          <w:p w14:paraId="6569D892" w14:textId="77777777" w:rsidR="00ED2EBD" w:rsidRPr="00BD16B4" w:rsidRDefault="00ED2EBD" w:rsidP="004A205F">
            <w:pPr>
              <w:pStyle w:val="TableText"/>
              <w:spacing w:before="40"/>
              <w:jc w:val="right"/>
              <w:rPr>
                <w:szCs w:val="18"/>
              </w:rPr>
            </w:pPr>
            <w:r w:rsidRPr="00BD16B4">
              <w:rPr>
                <w:szCs w:val="18"/>
              </w:rPr>
              <w:t>0.01</w:t>
            </w:r>
          </w:p>
        </w:tc>
        <w:tc>
          <w:tcPr>
            <w:tcW w:w="907" w:type="dxa"/>
            <w:tcBorders>
              <w:bottom w:val="single" w:sz="4" w:space="0" w:color="1B556B" w:themeColor="text2"/>
            </w:tcBorders>
            <w:shd w:val="clear" w:color="auto" w:fill="auto"/>
          </w:tcPr>
          <w:p w14:paraId="28A6563F" w14:textId="77777777" w:rsidR="00ED2EBD" w:rsidRPr="00BD16B4" w:rsidRDefault="00ED2EBD" w:rsidP="004A205F">
            <w:pPr>
              <w:pStyle w:val="TableText"/>
              <w:spacing w:before="40"/>
              <w:jc w:val="right"/>
              <w:rPr>
                <w:szCs w:val="18"/>
              </w:rPr>
            </w:pPr>
            <w:r w:rsidRPr="00BD16B4">
              <w:rPr>
                <w:szCs w:val="18"/>
              </w:rPr>
              <w:t>0.02</w:t>
            </w:r>
          </w:p>
        </w:tc>
        <w:tc>
          <w:tcPr>
            <w:tcW w:w="907" w:type="dxa"/>
            <w:tcBorders>
              <w:bottom w:val="single" w:sz="4" w:space="0" w:color="1B556B" w:themeColor="text2"/>
            </w:tcBorders>
            <w:shd w:val="clear" w:color="auto" w:fill="auto"/>
          </w:tcPr>
          <w:p w14:paraId="1047765F" w14:textId="77777777" w:rsidR="00ED2EBD" w:rsidRPr="00BD16B4" w:rsidRDefault="00ED2EBD" w:rsidP="004A205F">
            <w:pPr>
              <w:pStyle w:val="TableText"/>
              <w:spacing w:before="40"/>
              <w:jc w:val="right"/>
              <w:rPr>
                <w:szCs w:val="18"/>
              </w:rPr>
            </w:pPr>
            <w:r w:rsidRPr="00BD16B4">
              <w:rPr>
                <w:szCs w:val="18"/>
              </w:rPr>
              <w:t>0.02</w:t>
            </w:r>
          </w:p>
        </w:tc>
        <w:tc>
          <w:tcPr>
            <w:tcW w:w="907" w:type="dxa"/>
            <w:tcBorders>
              <w:bottom w:val="single" w:sz="4" w:space="0" w:color="1B556B" w:themeColor="text2"/>
            </w:tcBorders>
            <w:shd w:val="clear" w:color="auto" w:fill="auto"/>
          </w:tcPr>
          <w:p w14:paraId="2094D8EE" w14:textId="77777777" w:rsidR="00ED2EBD" w:rsidRPr="00BD16B4" w:rsidRDefault="00ED2EBD" w:rsidP="004A205F">
            <w:pPr>
              <w:pStyle w:val="TableText"/>
              <w:spacing w:before="40"/>
              <w:jc w:val="right"/>
              <w:rPr>
                <w:szCs w:val="18"/>
              </w:rPr>
            </w:pPr>
            <w:r w:rsidRPr="00BD16B4">
              <w:rPr>
                <w:szCs w:val="18"/>
              </w:rPr>
              <w:t>0.02</w:t>
            </w:r>
          </w:p>
        </w:tc>
        <w:tc>
          <w:tcPr>
            <w:tcW w:w="907" w:type="dxa"/>
            <w:tcBorders>
              <w:bottom w:val="single" w:sz="4" w:space="0" w:color="1B556B" w:themeColor="text2"/>
            </w:tcBorders>
            <w:shd w:val="clear" w:color="auto" w:fill="auto"/>
          </w:tcPr>
          <w:p w14:paraId="0952E1B4" w14:textId="77777777" w:rsidR="00ED2EBD" w:rsidRPr="00BD16B4" w:rsidRDefault="00ED2EBD" w:rsidP="004A205F">
            <w:pPr>
              <w:pStyle w:val="TableText"/>
              <w:spacing w:before="40"/>
              <w:jc w:val="right"/>
              <w:rPr>
                <w:szCs w:val="18"/>
              </w:rPr>
            </w:pPr>
            <w:r w:rsidRPr="00BD16B4">
              <w:rPr>
                <w:szCs w:val="18"/>
              </w:rPr>
              <w:t>0.01</w:t>
            </w:r>
          </w:p>
        </w:tc>
        <w:tc>
          <w:tcPr>
            <w:tcW w:w="907" w:type="dxa"/>
            <w:tcBorders>
              <w:bottom w:val="single" w:sz="4" w:space="0" w:color="1B556B" w:themeColor="text2"/>
            </w:tcBorders>
            <w:shd w:val="clear" w:color="auto" w:fill="auto"/>
          </w:tcPr>
          <w:p w14:paraId="4BA9758E" w14:textId="77777777" w:rsidR="00ED2EBD" w:rsidRPr="00BD16B4" w:rsidRDefault="00ED2EBD" w:rsidP="004A205F">
            <w:pPr>
              <w:pStyle w:val="TableText"/>
              <w:spacing w:before="40"/>
              <w:jc w:val="right"/>
              <w:rPr>
                <w:szCs w:val="18"/>
              </w:rPr>
            </w:pPr>
            <w:r w:rsidRPr="00BD16B4">
              <w:rPr>
                <w:szCs w:val="18"/>
              </w:rPr>
              <w:t>0.01</w:t>
            </w:r>
          </w:p>
        </w:tc>
        <w:tc>
          <w:tcPr>
            <w:tcW w:w="907" w:type="dxa"/>
            <w:tcBorders>
              <w:bottom w:val="single" w:sz="4" w:space="0" w:color="1B556B" w:themeColor="text2"/>
            </w:tcBorders>
            <w:shd w:val="clear" w:color="auto" w:fill="auto"/>
          </w:tcPr>
          <w:p w14:paraId="3F0FA725" w14:textId="77777777" w:rsidR="00ED2EBD" w:rsidRPr="00BD16B4" w:rsidRDefault="00ED2EBD" w:rsidP="004A205F">
            <w:pPr>
              <w:pStyle w:val="TableText"/>
              <w:spacing w:before="40"/>
              <w:jc w:val="right"/>
              <w:rPr>
                <w:szCs w:val="18"/>
              </w:rPr>
            </w:pPr>
            <w:r w:rsidRPr="00BD16B4">
              <w:rPr>
                <w:szCs w:val="18"/>
              </w:rPr>
              <w:t>0.01</w:t>
            </w:r>
          </w:p>
        </w:tc>
        <w:tc>
          <w:tcPr>
            <w:tcW w:w="907" w:type="dxa"/>
            <w:tcBorders>
              <w:bottom w:val="single" w:sz="4" w:space="0" w:color="1B556B" w:themeColor="text2"/>
            </w:tcBorders>
            <w:shd w:val="clear" w:color="auto" w:fill="auto"/>
          </w:tcPr>
          <w:p w14:paraId="568C191F" w14:textId="77777777" w:rsidR="00ED2EBD" w:rsidRPr="00BD16B4" w:rsidRDefault="00ED2EBD" w:rsidP="004A205F">
            <w:pPr>
              <w:pStyle w:val="TableText"/>
              <w:spacing w:before="40"/>
              <w:jc w:val="right"/>
              <w:rPr>
                <w:szCs w:val="18"/>
              </w:rPr>
            </w:pPr>
            <w:r w:rsidRPr="00BD16B4">
              <w:rPr>
                <w:szCs w:val="18"/>
              </w:rPr>
              <w:t>0.01</w:t>
            </w:r>
          </w:p>
        </w:tc>
        <w:tc>
          <w:tcPr>
            <w:tcW w:w="907" w:type="dxa"/>
            <w:tcBorders>
              <w:bottom w:val="single" w:sz="4" w:space="0" w:color="1B556B" w:themeColor="text2"/>
            </w:tcBorders>
            <w:shd w:val="clear" w:color="auto" w:fill="auto"/>
          </w:tcPr>
          <w:p w14:paraId="57AC9C91" w14:textId="77777777" w:rsidR="00ED2EBD" w:rsidRPr="00BD16B4" w:rsidRDefault="00ED2EBD" w:rsidP="004A205F">
            <w:pPr>
              <w:pStyle w:val="TableText"/>
              <w:spacing w:before="40"/>
              <w:jc w:val="right"/>
              <w:rPr>
                <w:szCs w:val="18"/>
              </w:rPr>
            </w:pPr>
            <w:r w:rsidRPr="00BD16B4">
              <w:rPr>
                <w:szCs w:val="18"/>
              </w:rPr>
              <w:t>0.01</w:t>
            </w:r>
          </w:p>
        </w:tc>
        <w:tc>
          <w:tcPr>
            <w:tcW w:w="907" w:type="dxa"/>
            <w:tcBorders>
              <w:bottom w:val="single" w:sz="4" w:space="0" w:color="1B556B" w:themeColor="text2"/>
            </w:tcBorders>
            <w:shd w:val="clear" w:color="auto" w:fill="auto"/>
          </w:tcPr>
          <w:p w14:paraId="13FF4C82" w14:textId="77777777" w:rsidR="00ED2EBD" w:rsidRPr="00BD16B4" w:rsidRDefault="00ED2EBD" w:rsidP="004A205F">
            <w:pPr>
              <w:pStyle w:val="TableText"/>
              <w:spacing w:before="40"/>
              <w:jc w:val="right"/>
              <w:rPr>
                <w:szCs w:val="18"/>
              </w:rPr>
            </w:pPr>
            <w:r w:rsidRPr="00BD16B4">
              <w:rPr>
                <w:szCs w:val="18"/>
              </w:rPr>
              <w:t>0.01</w:t>
            </w:r>
          </w:p>
        </w:tc>
      </w:tr>
      <w:tr w:rsidR="00ED2EBD" w:rsidRPr="00BD16B4" w14:paraId="6A749F16" w14:textId="77777777" w:rsidTr="004625B0">
        <w:tc>
          <w:tcPr>
            <w:tcW w:w="3964" w:type="dxa"/>
          </w:tcPr>
          <w:p w14:paraId="1E5DD706" w14:textId="5D2974E7" w:rsidR="00ED2EBD" w:rsidRPr="00BD16B4" w:rsidRDefault="00ED2EBD" w:rsidP="004A205F">
            <w:pPr>
              <w:pStyle w:val="TableText"/>
              <w:spacing w:before="40"/>
              <w:rPr>
                <w:szCs w:val="18"/>
              </w:rPr>
            </w:pPr>
            <w:r w:rsidRPr="00BD16B4">
              <w:rPr>
                <w:szCs w:val="18"/>
              </w:rPr>
              <w:t>G.</w:t>
            </w:r>
            <w:r w:rsidR="00280979" w:rsidRPr="00BD16B4">
              <w:rPr>
                <w:szCs w:val="18"/>
              </w:rPr>
              <w:t xml:space="preserve"> </w:t>
            </w:r>
            <w:r w:rsidRPr="00BD16B4">
              <w:rPr>
                <w:szCs w:val="18"/>
              </w:rPr>
              <w:t>Liming</w:t>
            </w:r>
          </w:p>
        </w:tc>
        <w:tc>
          <w:tcPr>
            <w:tcW w:w="907" w:type="dxa"/>
            <w:tcBorders>
              <w:top w:val="single" w:sz="4" w:space="0" w:color="1B556B" w:themeColor="text2"/>
            </w:tcBorders>
            <w:shd w:val="clear" w:color="auto" w:fill="D2DDE1" w:themeFill="background2"/>
          </w:tcPr>
          <w:p w14:paraId="110EBEA0"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DB3B180"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1AD703C"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5B7AE00"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29B07C0"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0850ABE"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AFA0B7D"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597ACE7"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6D0E25F"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6894927"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BC833B6"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5DB95CD9" w14:textId="77777777" w:rsidTr="004625B0">
        <w:tc>
          <w:tcPr>
            <w:tcW w:w="3964" w:type="dxa"/>
          </w:tcPr>
          <w:p w14:paraId="17080442" w14:textId="56363122" w:rsidR="00ED2EBD" w:rsidRPr="00BD16B4" w:rsidRDefault="00ED2EBD" w:rsidP="004A205F">
            <w:pPr>
              <w:pStyle w:val="TableText"/>
              <w:spacing w:before="40"/>
              <w:rPr>
                <w:szCs w:val="18"/>
              </w:rPr>
            </w:pPr>
            <w:r w:rsidRPr="00BD16B4">
              <w:rPr>
                <w:szCs w:val="18"/>
              </w:rPr>
              <w:lastRenderedPageBreak/>
              <w:t>H.</w:t>
            </w:r>
            <w:r w:rsidR="00280979" w:rsidRPr="00BD16B4">
              <w:rPr>
                <w:szCs w:val="18"/>
              </w:rPr>
              <w:t xml:space="preserve"> </w:t>
            </w:r>
            <w:r w:rsidRPr="00BD16B4">
              <w:rPr>
                <w:szCs w:val="18"/>
              </w:rPr>
              <w:t>Urea application</w:t>
            </w:r>
          </w:p>
        </w:tc>
        <w:tc>
          <w:tcPr>
            <w:tcW w:w="907" w:type="dxa"/>
            <w:tcBorders>
              <w:top w:val="single" w:sz="4" w:space="0" w:color="1B556B" w:themeColor="text2"/>
            </w:tcBorders>
            <w:shd w:val="clear" w:color="auto" w:fill="D2DDE1" w:themeFill="background2"/>
          </w:tcPr>
          <w:p w14:paraId="299815B8"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A860118"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1E4D9FA"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38B00A6"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6A495F4"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3198D95"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6593BBD"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8557464"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15EE9AC"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13755C5"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2E2468D"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479077CC" w14:textId="77777777" w:rsidTr="004625B0">
        <w:tc>
          <w:tcPr>
            <w:tcW w:w="3964" w:type="dxa"/>
          </w:tcPr>
          <w:p w14:paraId="2B2BD191" w14:textId="607A3BB7" w:rsidR="00ED2EBD" w:rsidRPr="00BD16B4" w:rsidRDefault="00ED2EBD" w:rsidP="004A205F">
            <w:pPr>
              <w:pStyle w:val="TableText"/>
              <w:spacing w:before="40"/>
              <w:rPr>
                <w:szCs w:val="18"/>
              </w:rPr>
            </w:pPr>
            <w:r w:rsidRPr="00BD16B4">
              <w:rPr>
                <w:szCs w:val="18"/>
              </w:rPr>
              <w:t>I.</w:t>
            </w:r>
            <w:r w:rsidR="00280979" w:rsidRPr="00BD16B4">
              <w:rPr>
                <w:szCs w:val="18"/>
              </w:rPr>
              <w:t xml:space="preserve"> </w:t>
            </w:r>
            <w:r w:rsidRPr="00BD16B4">
              <w:rPr>
                <w:szCs w:val="18"/>
              </w:rPr>
              <w:t>Other carbon-containing fertilizers</w:t>
            </w:r>
          </w:p>
        </w:tc>
        <w:tc>
          <w:tcPr>
            <w:tcW w:w="907" w:type="dxa"/>
            <w:tcBorders>
              <w:top w:val="single" w:sz="4" w:space="0" w:color="1B556B" w:themeColor="text2"/>
            </w:tcBorders>
            <w:shd w:val="clear" w:color="auto" w:fill="D2DDE1" w:themeFill="background2"/>
          </w:tcPr>
          <w:p w14:paraId="4B136E42"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379B7DD"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F8F639E"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AED5F12"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F64F1A1"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E96A141"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3B50684"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2C7CFDF"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67E504B"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6DAFC28"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A0832C5" w14:textId="77777777" w:rsidR="00ED2EBD" w:rsidRPr="00BD16B4" w:rsidRDefault="00ED2EBD" w:rsidP="004A205F">
            <w:pPr>
              <w:pStyle w:val="TableText"/>
              <w:spacing w:before="40"/>
              <w:jc w:val="right"/>
              <w:rPr>
                <w:szCs w:val="18"/>
              </w:rPr>
            </w:pPr>
            <w:r w:rsidRPr="00BD16B4">
              <w:rPr>
                <w:color w:val="000000"/>
                <w:szCs w:val="18"/>
              </w:rPr>
              <w:t> </w:t>
            </w:r>
          </w:p>
        </w:tc>
      </w:tr>
      <w:tr w:rsidR="00ED2EBD" w:rsidRPr="00BD16B4" w14:paraId="4FC87A86" w14:textId="77777777" w:rsidTr="004625B0">
        <w:tc>
          <w:tcPr>
            <w:tcW w:w="3964" w:type="dxa"/>
          </w:tcPr>
          <w:p w14:paraId="0C50AAD9" w14:textId="787A3BDE" w:rsidR="00ED2EBD" w:rsidRPr="00BD16B4" w:rsidRDefault="00ED2EBD" w:rsidP="004A205F">
            <w:pPr>
              <w:pStyle w:val="TableText"/>
              <w:spacing w:before="40"/>
              <w:rPr>
                <w:szCs w:val="18"/>
              </w:rPr>
            </w:pPr>
            <w:r w:rsidRPr="00BD16B4">
              <w:rPr>
                <w:szCs w:val="18"/>
              </w:rPr>
              <w:t>J.</w:t>
            </w:r>
            <w:r w:rsidR="00280979" w:rsidRPr="00BD16B4">
              <w:rPr>
                <w:szCs w:val="18"/>
              </w:rPr>
              <w:t xml:space="preserve"> </w:t>
            </w:r>
            <w:r w:rsidRPr="00BD16B4">
              <w:rPr>
                <w:szCs w:val="18"/>
              </w:rPr>
              <w:t xml:space="preserve">Other </w:t>
            </w:r>
          </w:p>
        </w:tc>
        <w:tc>
          <w:tcPr>
            <w:tcW w:w="907" w:type="dxa"/>
            <w:tcBorders>
              <w:top w:val="single" w:sz="4" w:space="0" w:color="1B556B" w:themeColor="text2"/>
            </w:tcBorders>
            <w:shd w:val="clear" w:color="auto" w:fill="D2DDE1" w:themeFill="background2"/>
          </w:tcPr>
          <w:p w14:paraId="0DB7033A"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1038AFB"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FF7A0E4"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9E41F46"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F908F1A"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7CECE02"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3C1FC57"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3FA78BD"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AF6AA0C"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3E681D3"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D0F51F7" w14:textId="77777777" w:rsidR="00ED2EBD" w:rsidRPr="00BD16B4" w:rsidRDefault="00ED2EBD" w:rsidP="004A205F">
            <w:pPr>
              <w:pStyle w:val="TableText"/>
              <w:spacing w:before="40"/>
              <w:jc w:val="right"/>
              <w:rPr>
                <w:szCs w:val="18"/>
              </w:rPr>
            </w:pPr>
            <w:r w:rsidRPr="00BD16B4">
              <w:rPr>
                <w:color w:val="000000"/>
                <w:szCs w:val="18"/>
              </w:rPr>
              <w:t> </w:t>
            </w:r>
          </w:p>
        </w:tc>
      </w:tr>
      <w:tr w:rsidR="00AA2930" w:rsidRPr="00BD16B4" w14:paraId="0248C431" w14:textId="77777777" w:rsidTr="004625B0">
        <w:tc>
          <w:tcPr>
            <w:tcW w:w="3964" w:type="dxa"/>
          </w:tcPr>
          <w:p w14:paraId="59114204" w14:textId="3322C960" w:rsidR="00ED2EBD" w:rsidRPr="00BD16B4" w:rsidRDefault="00ED2EBD" w:rsidP="004A205F">
            <w:pPr>
              <w:pStyle w:val="TableText"/>
              <w:spacing w:before="40"/>
              <w:rPr>
                <w:szCs w:val="18"/>
              </w:rPr>
            </w:pPr>
            <w:r w:rsidRPr="00BD16B4">
              <w:rPr>
                <w:b/>
                <w:bCs/>
                <w:szCs w:val="18"/>
              </w:rPr>
              <w:t>4.</w:t>
            </w:r>
            <w:r w:rsidR="00280979" w:rsidRPr="00BD16B4">
              <w:rPr>
                <w:b/>
                <w:bCs/>
                <w:szCs w:val="18"/>
              </w:rPr>
              <w:t xml:space="preserve"> </w:t>
            </w:r>
            <w:r w:rsidRPr="00BD16B4">
              <w:rPr>
                <w:b/>
                <w:bCs/>
                <w:szCs w:val="18"/>
              </w:rPr>
              <w:t>Land Use, Land-Use Change and Forestry</w:t>
            </w:r>
          </w:p>
        </w:tc>
        <w:tc>
          <w:tcPr>
            <w:tcW w:w="907" w:type="dxa"/>
            <w:shd w:val="clear" w:color="auto" w:fill="auto"/>
          </w:tcPr>
          <w:p w14:paraId="061E7D68" w14:textId="77777777" w:rsidR="00ED2EBD" w:rsidRPr="00BD16B4" w:rsidRDefault="00ED2EBD" w:rsidP="004A205F">
            <w:pPr>
              <w:pStyle w:val="TableText"/>
              <w:spacing w:before="40"/>
              <w:jc w:val="right"/>
              <w:rPr>
                <w:szCs w:val="18"/>
              </w:rPr>
            </w:pPr>
            <w:r w:rsidRPr="00BD16B4">
              <w:rPr>
                <w:szCs w:val="18"/>
              </w:rPr>
              <w:t>1.20</w:t>
            </w:r>
          </w:p>
        </w:tc>
        <w:tc>
          <w:tcPr>
            <w:tcW w:w="907" w:type="dxa"/>
            <w:shd w:val="clear" w:color="auto" w:fill="auto"/>
          </w:tcPr>
          <w:p w14:paraId="5ABDAC1D" w14:textId="77777777" w:rsidR="00ED2EBD" w:rsidRPr="00BD16B4" w:rsidRDefault="00ED2EBD" w:rsidP="004A205F">
            <w:pPr>
              <w:pStyle w:val="TableText"/>
              <w:spacing w:before="40"/>
              <w:jc w:val="right"/>
              <w:rPr>
                <w:szCs w:val="18"/>
              </w:rPr>
            </w:pPr>
            <w:r w:rsidRPr="00BD16B4">
              <w:rPr>
                <w:szCs w:val="18"/>
              </w:rPr>
              <w:t>1.18</w:t>
            </w:r>
          </w:p>
        </w:tc>
        <w:tc>
          <w:tcPr>
            <w:tcW w:w="907" w:type="dxa"/>
            <w:shd w:val="clear" w:color="auto" w:fill="auto"/>
          </w:tcPr>
          <w:p w14:paraId="3980AA41" w14:textId="77777777" w:rsidR="00ED2EBD" w:rsidRPr="00BD16B4" w:rsidRDefault="00ED2EBD" w:rsidP="004A205F">
            <w:pPr>
              <w:pStyle w:val="TableText"/>
              <w:spacing w:before="40"/>
              <w:jc w:val="right"/>
              <w:rPr>
                <w:szCs w:val="18"/>
              </w:rPr>
            </w:pPr>
            <w:r w:rsidRPr="00BD16B4">
              <w:rPr>
                <w:szCs w:val="18"/>
              </w:rPr>
              <w:t>1.17</w:t>
            </w:r>
          </w:p>
        </w:tc>
        <w:tc>
          <w:tcPr>
            <w:tcW w:w="907" w:type="dxa"/>
            <w:shd w:val="clear" w:color="auto" w:fill="auto"/>
          </w:tcPr>
          <w:p w14:paraId="181051AA" w14:textId="77777777" w:rsidR="00ED2EBD" w:rsidRPr="00BD16B4" w:rsidRDefault="00ED2EBD" w:rsidP="004A205F">
            <w:pPr>
              <w:pStyle w:val="TableText"/>
              <w:spacing w:before="40"/>
              <w:jc w:val="right"/>
              <w:rPr>
                <w:szCs w:val="18"/>
              </w:rPr>
            </w:pPr>
            <w:r w:rsidRPr="00BD16B4">
              <w:rPr>
                <w:szCs w:val="18"/>
              </w:rPr>
              <w:t>1.13</w:t>
            </w:r>
          </w:p>
        </w:tc>
        <w:tc>
          <w:tcPr>
            <w:tcW w:w="907" w:type="dxa"/>
            <w:shd w:val="clear" w:color="auto" w:fill="auto"/>
          </w:tcPr>
          <w:p w14:paraId="45199643" w14:textId="77777777" w:rsidR="00ED2EBD" w:rsidRPr="00BD16B4" w:rsidRDefault="00ED2EBD" w:rsidP="004A205F">
            <w:pPr>
              <w:pStyle w:val="TableText"/>
              <w:spacing w:before="40"/>
              <w:jc w:val="right"/>
              <w:rPr>
                <w:szCs w:val="18"/>
              </w:rPr>
            </w:pPr>
            <w:r w:rsidRPr="00BD16B4">
              <w:rPr>
                <w:szCs w:val="18"/>
              </w:rPr>
              <w:t>1.04</w:t>
            </w:r>
          </w:p>
        </w:tc>
        <w:tc>
          <w:tcPr>
            <w:tcW w:w="907" w:type="dxa"/>
            <w:shd w:val="clear" w:color="auto" w:fill="auto"/>
          </w:tcPr>
          <w:p w14:paraId="01A66854" w14:textId="77777777" w:rsidR="00ED2EBD" w:rsidRPr="00BD16B4" w:rsidRDefault="00ED2EBD" w:rsidP="004A205F">
            <w:pPr>
              <w:pStyle w:val="TableText"/>
              <w:spacing w:before="40"/>
              <w:jc w:val="right"/>
              <w:rPr>
                <w:szCs w:val="18"/>
              </w:rPr>
            </w:pPr>
            <w:r w:rsidRPr="00BD16B4">
              <w:rPr>
                <w:szCs w:val="18"/>
              </w:rPr>
              <w:t>1.00</w:t>
            </w:r>
          </w:p>
        </w:tc>
        <w:tc>
          <w:tcPr>
            <w:tcW w:w="907" w:type="dxa"/>
            <w:shd w:val="clear" w:color="auto" w:fill="auto"/>
          </w:tcPr>
          <w:p w14:paraId="67FD05C7" w14:textId="77777777" w:rsidR="00ED2EBD" w:rsidRPr="00BD16B4" w:rsidRDefault="00ED2EBD" w:rsidP="004A205F">
            <w:pPr>
              <w:pStyle w:val="TableText"/>
              <w:spacing w:before="40"/>
              <w:jc w:val="right"/>
              <w:rPr>
                <w:szCs w:val="18"/>
              </w:rPr>
            </w:pPr>
            <w:r w:rsidRPr="00BD16B4">
              <w:rPr>
                <w:szCs w:val="18"/>
              </w:rPr>
              <w:t>0.94</w:t>
            </w:r>
          </w:p>
        </w:tc>
        <w:tc>
          <w:tcPr>
            <w:tcW w:w="907" w:type="dxa"/>
            <w:shd w:val="clear" w:color="auto" w:fill="auto"/>
          </w:tcPr>
          <w:p w14:paraId="70D38406" w14:textId="77777777" w:rsidR="00ED2EBD" w:rsidRPr="00BD16B4" w:rsidRDefault="00ED2EBD" w:rsidP="004A205F">
            <w:pPr>
              <w:pStyle w:val="TableText"/>
              <w:spacing w:before="40"/>
              <w:jc w:val="right"/>
              <w:rPr>
                <w:szCs w:val="18"/>
              </w:rPr>
            </w:pPr>
            <w:r w:rsidRPr="00BD16B4">
              <w:rPr>
                <w:szCs w:val="18"/>
              </w:rPr>
              <w:t>0.86</w:t>
            </w:r>
          </w:p>
        </w:tc>
        <w:tc>
          <w:tcPr>
            <w:tcW w:w="907" w:type="dxa"/>
            <w:shd w:val="clear" w:color="auto" w:fill="auto"/>
          </w:tcPr>
          <w:p w14:paraId="7D7CD296" w14:textId="77777777" w:rsidR="00ED2EBD" w:rsidRPr="00BD16B4" w:rsidRDefault="00ED2EBD" w:rsidP="004A205F">
            <w:pPr>
              <w:pStyle w:val="TableText"/>
              <w:spacing w:before="40"/>
              <w:jc w:val="right"/>
              <w:rPr>
                <w:szCs w:val="18"/>
              </w:rPr>
            </w:pPr>
            <w:r w:rsidRPr="00BD16B4">
              <w:rPr>
                <w:szCs w:val="18"/>
              </w:rPr>
              <w:t>0.82</w:t>
            </w:r>
          </w:p>
        </w:tc>
        <w:tc>
          <w:tcPr>
            <w:tcW w:w="907" w:type="dxa"/>
            <w:shd w:val="clear" w:color="auto" w:fill="auto"/>
          </w:tcPr>
          <w:p w14:paraId="38A7C0CD" w14:textId="77777777" w:rsidR="00ED2EBD" w:rsidRPr="00BD16B4" w:rsidRDefault="00ED2EBD" w:rsidP="004A205F">
            <w:pPr>
              <w:pStyle w:val="TableText"/>
              <w:spacing w:before="40"/>
              <w:jc w:val="right"/>
              <w:rPr>
                <w:szCs w:val="18"/>
              </w:rPr>
            </w:pPr>
            <w:r w:rsidRPr="00BD16B4">
              <w:rPr>
                <w:szCs w:val="18"/>
              </w:rPr>
              <w:t>0.89</w:t>
            </w:r>
          </w:p>
        </w:tc>
        <w:tc>
          <w:tcPr>
            <w:tcW w:w="907" w:type="dxa"/>
            <w:shd w:val="clear" w:color="auto" w:fill="auto"/>
          </w:tcPr>
          <w:p w14:paraId="169C3923" w14:textId="77777777" w:rsidR="00ED2EBD" w:rsidRPr="00BD16B4" w:rsidRDefault="00ED2EBD" w:rsidP="004A205F">
            <w:pPr>
              <w:pStyle w:val="TableText"/>
              <w:spacing w:before="40"/>
              <w:jc w:val="right"/>
              <w:rPr>
                <w:szCs w:val="18"/>
              </w:rPr>
            </w:pPr>
            <w:r w:rsidRPr="00BD16B4">
              <w:rPr>
                <w:szCs w:val="18"/>
              </w:rPr>
              <w:t>0.91</w:t>
            </w:r>
          </w:p>
        </w:tc>
      </w:tr>
      <w:tr w:rsidR="00AA2930" w:rsidRPr="00BD16B4" w14:paraId="2E382390" w14:textId="77777777" w:rsidTr="004625B0">
        <w:tc>
          <w:tcPr>
            <w:tcW w:w="3964" w:type="dxa"/>
          </w:tcPr>
          <w:p w14:paraId="3C9B426D" w14:textId="48D5503B" w:rsidR="00ED2EBD" w:rsidRPr="00BD16B4" w:rsidRDefault="00ED2EBD" w:rsidP="004A205F">
            <w:pPr>
              <w:pStyle w:val="TableText"/>
              <w:spacing w:before="40"/>
              <w:rPr>
                <w:szCs w:val="18"/>
              </w:rPr>
            </w:pPr>
            <w:r w:rsidRPr="00BD16B4">
              <w:rPr>
                <w:szCs w:val="18"/>
              </w:rPr>
              <w:t>A.</w:t>
            </w:r>
            <w:r w:rsidR="00280979" w:rsidRPr="00BD16B4">
              <w:rPr>
                <w:szCs w:val="18"/>
              </w:rPr>
              <w:t xml:space="preserve"> </w:t>
            </w:r>
            <w:r w:rsidRPr="00BD16B4">
              <w:rPr>
                <w:szCs w:val="18"/>
              </w:rPr>
              <w:t>Forest land</w:t>
            </w:r>
          </w:p>
        </w:tc>
        <w:tc>
          <w:tcPr>
            <w:tcW w:w="907" w:type="dxa"/>
            <w:shd w:val="clear" w:color="auto" w:fill="auto"/>
          </w:tcPr>
          <w:p w14:paraId="2B501309" w14:textId="77777777" w:rsidR="00ED2EBD" w:rsidRPr="00BD16B4" w:rsidRDefault="00ED2EBD" w:rsidP="004A205F">
            <w:pPr>
              <w:pStyle w:val="TableText"/>
              <w:spacing w:before="40"/>
              <w:jc w:val="right"/>
              <w:rPr>
                <w:szCs w:val="18"/>
              </w:rPr>
            </w:pPr>
            <w:r w:rsidRPr="00BD16B4">
              <w:rPr>
                <w:szCs w:val="18"/>
              </w:rPr>
              <w:t>0.86</w:t>
            </w:r>
          </w:p>
        </w:tc>
        <w:tc>
          <w:tcPr>
            <w:tcW w:w="907" w:type="dxa"/>
            <w:shd w:val="clear" w:color="auto" w:fill="auto"/>
          </w:tcPr>
          <w:p w14:paraId="39F71D08" w14:textId="77777777" w:rsidR="00ED2EBD" w:rsidRPr="00BD16B4" w:rsidRDefault="00ED2EBD" w:rsidP="004A205F">
            <w:pPr>
              <w:pStyle w:val="TableText"/>
              <w:spacing w:before="40"/>
              <w:jc w:val="right"/>
              <w:rPr>
                <w:szCs w:val="18"/>
              </w:rPr>
            </w:pPr>
            <w:r w:rsidRPr="00BD16B4">
              <w:rPr>
                <w:szCs w:val="18"/>
              </w:rPr>
              <w:t>0.86</w:t>
            </w:r>
          </w:p>
        </w:tc>
        <w:tc>
          <w:tcPr>
            <w:tcW w:w="907" w:type="dxa"/>
            <w:shd w:val="clear" w:color="auto" w:fill="auto"/>
          </w:tcPr>
          <w:p w14:paraId="582190CD" w14:textId="77777777" w:rsidR="00ED2EBD" w:rsidRPr="00BD16B4" w:rsidRDefault="00ED2EBD" w:rsidP="004A205F">
            <w:pPr>
              <w:pStyle w:val="TableText"/>
              <w:spacing w:before="40"/>
              <w:jc w:val="right"/>
              <w:rPr>
                <w:szCs w:val="18"/>
              </w:rPr>
            </w:pPr>
            <w:r w:rsidRPr="00BD16B4">
              <w:rPr>
                <w:szCs w:val="18"/>
              </w:rPr>
              <w:t>0.84</w:t>
            </w:r>
          </w:p>
        </w:tc>
        <w:tc>
          <w:tcPr>
            <w:tcW w:w="907" w:type="dxa"/>
            <w:shd w:val="clear" w:color="auto" w:fill="auto"/>
          </w:tcPr>
          <w:p w14:paraId="1ABCDA99" w14:textId="77777777" w:rsidR="00ED2EBD" w:rsidRPr="00BD16B4" w:rsidRDefault="00ED2EBD" w:rsidP="004A205F">
            <w:pPr>
              <w:pStyle w:val="TableText"/>
              <w:spacing w:before="40"/>
              <w:jc w:val="right"/>
              <w:rPr>
                <w:szCs w:val="18"/>
              </w:rPr>
            </w:pPr>
            <w:r w:rsidRPr="00BD16B4">
              <w:rPr>
                <w:szCs w:val="18"/>
              </w:rPr>
              <w:t>0.80</w:t>
            </w:r>
          </w:p>
        </w:tc>
        <w:tc>
          <w:tcPr>
            <w:tcW w:w="907" w:type="dxa"/>
            <w:shd w:val="clear" w:color="auto" w:fill="auto"/>
          </w:tcPr>
          <w:p w14:paraId="5A1AD60E" w14:textId="77777777" w:rsidR="00ED2EBD" w:rsidRPr="00BD16B4" w:rsidRDefault="00ED2EBD" w:rsidP="004A205F">
            <w:pPr>
              <w:pStyle w:val="TableText"/>
              <w:spacing w:before="40"/>
              <w:jc w:val="right"/>
              <w:rPr>
                <w:szCs w:val="18"/>
              </w:rPr>
            </w:pPr>
            <w:r w:rsidRPr="00BD16B4">
              <w:rPr>
                <w:szCs w:val="18"/>
              </w:rPr>
              <w:t>0.75</w:t>
            </w:r>
          </w:p>
        </w:tc>
        <w:tc>
          <w:tcPr>
            <w:tcW w:w="907" w:type="dxa"/>
            <w:shd w:val="clear" w:color="auto" w:fill="auto"/>
          </w:tcPr>
          <w:p w14:paraId="5292B2F2" w14:textId="77777777" w:rsidR="00ED2EBD" w:rsidRPr="00BD16B4" w:rsidRDefault="00ED2EBD" w:rsidP="004A205F">
            <w:pPr>
              <w:pStyle w:val="TableText"/>
              <w:spacing w:before="40"/>
              <w:jc w:val="right"/>
              <w:rPr>
                <w:szCs w:val="18"/>
              </w:rPr>
            </w:pPr>
            <w:r w:rsidRPr="00BD16B4">
              <w:rPr>
                <w:szCs w:val="18"/>
              </w:rPr>
              <w:t>0.75</w:t>
            </w:r>
          </w:p>
        </w:tc>
        <w:tc>
          <w:tcPr>
            <w:tcW w:w="907" w:type="dxa"/>
            <w:shd w:val="clear" w:color="auto" w:fill="auto"/>
          </w:tcPr>
          <w:p w14:paraId="60E7E247" w14:textId="77777777" w:rsidR="00ED2EBD" w:rsidRPr="00BD16B4" w:rsidRDefault="00ED2EBD" w:rsidP="004A205F">
            <w:pPr>
              <w:pStyle w:val="TableText"/>
              <w:spacing w:before="40"/>
              <w:jc w:val="right"/>
              <w:rPr>
                <w:szCs w:val="18"/>
              </w:rPr>
            </w:pPr>
            <w:r w:rsidRPr="00BD16B4">
              <w:rPr>
                <w:szCs w:val="18"/>
              </w:rPr>
              <w:t>0.70</w:t>
            </w:r>
          </w:p>
        </w:tc>
        <w:tc>
          <w:tcPr>
            <w:tcW w:w="907" w:type="dxa"/>
            <w:shd w:val="clear" w:color="auto" w:fill="auto"/>
          </w:tcPr>
          <w:p w14:paraId="3AE09B01" w14:textId="77777777" w:rsidR="00ED2EBD" w:rsidRPr="00BD16B4" w:rsidRDefault="00ED2EBD" w:rsidP="004A205F">
            <w:pPr>
              <w:pStyle w:val="TableText"/>
              <w:spacing w:before="40"/>
              <w:jc w:val="right"/>
              <w:rPr>
                <w:szCs w:val="18"/>
              </w:rPr>
            </w:pPr>
            <w:r w:rsidRPr="00BD16B4">
              <w:rPr>
                <w:szCs w:val="18"/>
              </w:rPr>
              <w:t>0.64</w:t>
            </w:r>
          </w:p>
        </w:tc>
        <w:tc>
          <w:tcPr>
            <w:tcW w:w="907" w:type="dxa"/>
            <w:shd w:val="clear" w:color="auto" w:fill="auto"/>
          </w:tcPr>
          <w:p w14:paraId="55A74DB4" w14:textId="77777777" w:rsidR="00ED2EBD" w:rsidRPr="00BD16B4" w:rsidRDefault="00ED2EBD" w:rsidP="004A205F">
            <w:pPr>
              <w:pStyle w:val="TableText"/>
              <w:spacing w:before="40"/>
              <w:jc w:val="right"/>
              <w:rPr>
                <w:szCs w:val="18"/>
              </w:rPr>
            </w:pPr>
            <w:r w:rsidRPr="00BD16B4">
              <w:rPr>
                <w:szCs w:val="18"/>
              </w:rPr>
              <w:t>0.63</w:t>
            </w:r>
          </w:p>
        </w:tc>
        <w:tc>
          <w:tcPr>
            <w:tcW w:w="907" w:type="dxa"/>
            <w:shd w:val="clear" w:color="auto" w:fill="auto"/>
          </w:tcPr>
          <w:p w14:paraId="0E5CD227" w14:textId="77777777" w:rsidR="00ED2EBD" w:rsidRPr="00BD16B4" w:rsidRDefault="00ED2EBD" w:rsidP="004A205F">
            <w:pPr>
              <w:pStyle w:val="TableText"/>
              <w:spacing w:before="40"/>
              <w:jc w:val="right"/>
              <w:rPr>
                <w:szCs w:val="18"/>
              </w:rPr>
            </w:pPr>
            <w:r w:rsidRPr="00BD16B4">
              <w:rPr>
                <w:szCs w:val="18"/>
              </w:rPr>
              <w:t>0.71</w:t>
            </w:r>
          </w:p>
        </w:tc>
        <w:tc>
          <w:tcPr>
            <w:tcW w:w="907" w:type="dxa"/>
            <w:shd w:val="clear" w:color="auto" w:fill="auto"/>
          </w:tcPr>
          <w:p w14:paraId="19F6DAE4" w14:textId="77777777" w:rsidR="00ED2EBD" w:rsidRPr="00BD16B4" w:rsidRDefault="00ED2EBD" w:rsidP="004A205F">
            <w:pPr>
              <w:pStyle w:val="TableText"/>
              <w:spacing w:before="40"/>
              <w:jc w:val="right"/>
              <w:rPr>
                <w:szCs w:val="18"/>
              </w:rPr>
            </w:pPr>
            <w:r w:rsidRPr="00BD16B4">
              <w:rPr>
                <w:szCs w:val="18"/>
              </w:rPr>
              <w:t>0.74</w:t>
            </w:r>
          </w:p>
        </w:tc>
      </w:tr>
      <w:tr w:rsidR="00AA2930" w:rsidRPr="00BD16B4" w14:paraId="65A5B0AC" w14:textId="77777777" w:rsidTr="004625B0">
        <w:tc>
          <w:tcPr>
            <w:tcW w:w="3964" w:type="dxa"/>
          </w:tcPr>
          <w:p w14:paraId="3AB910C6" w14:textId="08A76B21" w:rsidR="00ED2EBD" w:rsidRPr="00BD16B4" w:rsidRDefault="00ED2EBD" w:rsidP="004A205F">
            <w:pPr>
              <w:pStyle w:val="TableText"/>
              <w:spacing w:before="40"/>
              <w:rPr>
                <w:szCs w:val="18"/>
              </w:rPr>
            </w:pPr>
            <w:r w:rsidRPr="00BD16B4">
              <w:rPr>
                <w:szCs w:val="18"/>
              </w:rPr>
              <w:t>B.</w:t>
            </w:r>
            <w:r w:rsidR="00280979" w:rsidRPr="00BD16B4">
              <w:rPr>
                <w:szCs w:val="18"/>
              </w:rPr>
              <w:t xml:space="preserve"> </w:t>
            </w:r>
            <w:r w:rsidRPr="00BD16B4">
              <w:rPr>
                <w:szCs w:val="18"/>
              </w:rPr>
              <w:t>Cropland</w:t>
            </w:r>
          </w:p>
        </w:tc>
        <w:tc>
          <w:tcPr>
            <w:tcW w:w="907" w:type="dxa"/>
            <w:shd w:val="clear" w:color="auto" w:fill="auto"/>
          </w:tcPr>
          <w:p w14:paraId="68C53E04" w14:textId="77777777" w:rsidR="00ED2EBD" w:rsidRPr="00BD16B4" w:rsidRDefault="00ED2EBD" w:rsidP="004A205F">
            <w:pPr>
              <w:pStyle w:val="TableText"/>
              <w:spacing w:before="40"/>
              <w:jc w:val="right"/>
              <w:rPr>
                <w:szCs w:val="18"/>
              </w:rPr>
            </w:pPr>
            <w:r w:rsidRPr="00BD16B4">
              <w:rPr>
                <w:szCs w:val="18"/>
              </w:rPr>
              <w:t>0.05</w:t>
            </w:r>
          </w:p>
        </w:tc>
        <w:tc>
          <w:tcPr>
            <w:tcW w:w="907" w:type="dxa"/>
            <w:shd w:val="clear" w:color="auto" w:fill="auto"/>
          </w:tcPr>
          <w:p w14:paraId="71E9013B" w14:textId="77777777" w:rsidR="00ED2EBD" w:rsidRPr="00BD16B4" w:rsidRDefault="00ED2EBD" w:rsidP="004A205F">
            <w:pPr>
              <w:pStyle w:val="TableText"/>
              <w:spacing w:before="40"/>
              <w:jc w:val="right"/>
              <w:rPr>
                <w:szCs w:val="18"/>
              </w:rPr>
            </w:pPr>
            <w:r w:rsidRPr="00BD16B4">
              <w:rPr>
                <w:szCs w:val="18"/>
              </w:rPr>
              <w:t>0.04</w:t>
            </w:r>
          </w:p>
        </w:tc>
        <w:tc>
          <w:tcPr>
            <w:tcW w:w="907" w:type="dxa"/>
            <w:shd w:val="clear" w:color="auto" w:fill="auto"/>
          </w:tcPr>
          <w:p w14:paraId="12E13636" w14:textId="77777777" w:rsidR="00ED2EBD" w:rsidRPr="00BD16B4" w:rsidRDefault="00ED2EBD" w:rsidP="004A205F">
            <w:pPr>
              <w:pStyle w:val="TableText"/>
              <w:spacing w:before="40"/>
              <w:jc w:val="right"/>
              <w:rPr>
                <w:szCs w:val="18"/>
              </w:rPr>
            </w:pPr>
            <w:r w:rsidRPr="00BD16B4">
              <w:rPr>
                <w:szCs w:val="18"/>
              </w:rPr>
              <w:t>0.04</w:t>
            </w:r>
          </w:p>
        </w:tc>
        <w:tc>
          <w:tcPr>
            <w:tcW w:w="907" w:type="dxa"/>
            <w:shd w:val="clear" w:color="auto" w:fill="auto"/>
          </w:tcPr>
          <w:p w14:paraId="64E9802B" w14:textId="77777777" w:rsidR="00ED2EBD" w:rsidRPr="00BD16B4" w:rsidRDefault="00ED2EBD" w:rsidP="004A205F">
            <w:pPr>
              <w:pStyle w:val="TableText"/>
              <w:spacing w:before="40"/>
              <w:jc w:val="right"/>
              <w:rPr>
                <w:szCs w:val="18"/>
              </w:rPr>
            </w:pPr>
            <w:r w:rsidRPr="00BD16B4">
              <w:rPr>
                <w:szCs w:val="18"/>
              </w:rPr>
              <w:t>0.04</w:t>
            </w:r>
          </w:p>
        </w:tc>
        <w:tc>
          <w:tcPr>
            <w:tcW w:w="907" w:type="dxa"/>
            <w:shd w:val="clear" w:color="auto" w:fill="auto"/>
          </w:tcPr>
          <w:p w14:paraId="6CE6E78E" w14:textId="77777777" w:rsidR="00ED2EBD" w:rsidRPr="00BD16B4" w:rsidRDefault="00ED2EBD" w:rsidP="004A205F">
            <w:pPr>
              <w:pStyle w:val="TableText"/>
              <w:spacing w:before="40"/>
              <w:jc w:val="right"/>
              <w:rPr>
                <w:szCs w:val="18"/>
              </w:rPr>
            </w:pPr>
            <w:r w:rsidRPr="00BD16B4">
              <w:rPr>
                <w:szCs w:val="18"/>
              </w:rPr>
              <w:t>0.04</w:t>
            </w:r>
          </w:p>
        </w:tc>
        <w:tc>
          <w:tcPr>
            <w:tcW w:w="907" w:type="dxa"/>
            <w:shd w:val="clear" w:color="auto" w:fill="auto"/>
          </w:tcPr>
          <w:p w14:paraId="714E2F0A" w14:textId="77777777" w:rsidR="00ED2EBD" w:rsidRPr="00BD16B4" w:rsidRDefault="00ED2EBD" w:rsidP="004A205F">
            <w:pPr>
              <w:pStyle w:val="TableText"/>
              <w:spacing w:before="40"/>
              <w:jc w:val="right"/>
              <w:rPr>
                <w:szCs w:val="18"/>
              </w:rPr>
            </w:pPr>
            <w:r w:rsidRPr="00BD16B4">
              <w:rPr>
                <w:szCs w:val="18"/>
              </w:rPr>
              <w:t>0.03</w:t>
            </w:r>
          </w:p>
        </w:tc>
        <w:tc>
          <w:tcPr>
            <w:tcW w:w="907" w:type="dxa"/>
            <w:shd w:val="clear" w:color="auto" w:fill="auto"/>
          </w:tcPr>
          <w:p w14:paraId="5F6F8798" w14:textId="77777777" w:rsidR="00ED2EBD" w:rsidRPr="00BD16B4" w:rsidRDefault="00ED2EBD" w:rsidP="004A205F">
            <w:pPr>
              <w:pStyle w:val="TableText"/>
              <w:spacing w:before="40"/>
              <w:jc w:val="right"/>
              <w:rPr>
                <w:szCs w:val="18"/>
              </w:rPr>
            </w:pPr>
            <w:r w:rsidRPr="00BD16B4">
              <w:rPr>
                <w:szCs w:val="18"/>
              </w:rPr>
              <w:t>0.03</w:t>
            </w:r>
          </w:p>
        </w:tc>
        <w:tc>
          <w:tcPr>
            <w:tcW w:w="907" w:type="dxa"/>
            <w:shd w:val="clear" w:color="auto" w:fill="auto"/>
          </w:tcPr>
          <w:p w14:paraId="54B1C0E3" w14:textId="77777777" w:rsidR="00ED2EBD" w:rsidRPr="00BD16B4" w:rsidRDefault="00ED2EBD" w:rsidP="004A205F">
            <w:pPr>
              <w:pStyle w:val="TableText"/>
              <w:spacing w:before="40"/>
              <w:jc w:val="right"/>
              <w:rPr>
                <w:szCs w:val="18"/>
              </w:rPr>
            </w:pPr>
            <w:r w:rsidRPr="00BD16B4">
              <w:rPr>
                <w:szCs w:val="18"/>
              </w:rPr>
              <w:t>0.03</w:t>
            </w:r>
          </w:p>
        </w:tc>
        <w:tc>
          <w:tcPr>
            <w:tcW w:w="907" w:type="dxa"/>
            <w:shd w:val="clear" w:color="auto" w:fill="auto"/>
          </w:tcPr>
          <w:p w14:paraId="4241A92B" w14:textId="77777777" w:rsidR="00ED2EBD" w:rsidRPr="00BD16B4" w:rsidRDefault="00ED2EBD" w:rsidP="004A205F">
            <w:pPr>
              <w:pStyle w:val="TableText"/>
              <w:spacing w:before="40"/>
              <w:jc w:val="right"/>
              <w:rPr>
                <w:szCs w:val="18"/>
              </w:rPr>
            </w:pPr>
            <w:r w:rsidRPr="00BD16B4">
              <w:rPr>
                <w:szCs w:val="18"/>
              </w:rPr>
              <w:t>0.03</w:t>
            </w:r>
          </w:p>
        </w:tc>
        <w:tc>
          <w:tcPr>
            <w:tcW w:w="907" w:type="dxa"/>
            <w:shd w:val="clear" w:color="auto" w:fill="auto"/>
          </w:tcPr>
          <w:p w14:paraId="6C03B541" w14:textId="77777777" w:rsidR="00ED2EBD" w:rsidRPr="00BD16B4" w:rsidRDefault="00ED2EBD" w:rsidP="004A205F">
            <w:pPr>
              <w:pStyle w:val="TableText"/>
              <w:spacing w:before="40"/>
              <w:jc w:val="right"/>
              <w:rPr>
                <w:szCs w:val="18"/>
              </w:rPr>
            </w:pPr>
            <w:r w:rsidRPr="00BD16B4">
              <w:rPr>
                <w:szCs w:val="18"/>
              </w:rPr>
              <w:t>0.03</w:t>
            </w:r>
          </w:p>
        </w:tc>
        <w:tc>
          <w:tcPr>
            <w:tcW w:w="907" w:type="dxa"/>
            <w:shd w:val="clear" w:color="auto" w:fill="auto"/>
          </w:tcPr>
          <w:p w14:paraId="654D6843" w14:textId="77777777" w:rsidR="00ED2EBD" w:rsidRPr="00BD16B4" w:rsidRDefault="00ED2EBD" w:rsidP="004A205F">
            <w:pPr>
              <w:pStyle w:val="TableText"/>
              <w:spacing w:before="40"/>
              <w:jc w:val="right"/>
              <w:rPr>
                <w:szCs w:val="18"/>
              </w:rPr>
            </w:pPr>
            <w:r w:rsidRPr="00BD16B4">
              <w:rPr>
                <w:szCs w:val="18"/>
              </w:rPr>
              <w:t>0.02</w:t>
            </w:r>
          </w:p>
        </w:tc>
      </w:tr>
      <w:tr w:rsidR="00AA2930" w:rsidRPr="00BD16B4" w14:paraId="65E690E2" w14:textId="77777777" w:rsidTr="004625B0">
        <w:tc>
          <w:tcPr>
            <w:tcW w:w="3964" w:type="dxa"/>
          </w:tcPr>
          <w:p w14:paraId="2077AAA0" w14:textId="472495AC" w:rsidR="00ED2EBD" w:rsidRPr="00BD16B4" w:rsidRDefault="00ED2EBD" w:rsidP="004A205F">
            <w:pPr>
              <w:pStyle w:val="TableText"/>
              <w:spacing w:before="40"/>
              <w:rPr>
                <w:szCs w:val="18"/>
              </w:rPr>
            </w:pPr>
            <w:r w:rsidRPr="00BD16B4">
              <w:rPr>
                <w:szCs w:val="18"/>
              </w:rPr>
              <w:t>C.</w:t>
            </w:r>
            <w:r w:rsidR="00280979" w:rsidRPr="00BD16B4">
              <w:rPr>
                <w:szCs w:val="18"/>
              </w:rPr>
              <w:t xml:space="preserve"> </w:t>
            </w:r>
            <w:r w:rsidRPr="00BD16B4">
              <w:rPr>
                <w:szCs w:val="18"/>
              </w:rPr>
              <w:t>Grassland</w:t>
            </w:r>
          </w:p>
        </w:tc>
        <w:tc>
          <w:tcPr>
            <w:tcW w:w="907" w:type="dxa"/>
            <w:shd w:val="clear" w:color="auto" w:fill="auto"/>
          </w:tcPr>
          <w:p w14:paraId="29D9846F" w14:textId="77777777" w:rsidR="00ED2EBD" w:rsidRPr="00BD16B4" w:rsidRDefault="00ED2EBD" w:rsidP="004A205F">
            <w:pPr>
              <w:pStyle w:val="TableText"/>
              <w:spacing w:before="40"/>
              <w:jc w:val="right"/>
              <w:rPr>
                <w:szCs w:val="18"/>
              </w:rPr>
            </w:pPr>
            <w:r w:rsidRPr="00BD16B4">
              <w:rPr>
                <w:szCs w:val="18"/>
              </w:rPr>
              <w:t>0.16</w:t>
            </w:r>
          </w:p>
        </w:tc>
        <w:tc>
          <w:tcPr>
            <w:tcW w:w="907" w:type="dxa"/>
            <w:shd w:val="clear" w:color="auto" w:fill="auto"/>
          </w:tcPr>
          <w:p w14:paraId="18BA54AB" w14:textId="77777777" w:rsidR="00ED2EBD" w:rsidRPr="00BD16B4" w:rsidRDefault="00ED2EBD" w:rsidP="004A205F">
            <w:pPr>
              <w:pStyle w:val="TableText"/>
              <w:spacing w:before="40"/>
              <w:jc w:val="right"/>
              <w:rPr>
                <w:szCs w:val="18"/>
              </w:rPr>
            </w:pPr>
            <w:r w:rsidRPr="00BD16B4">
              <w:rPr>
                <w:szCs w:val="18"/>
              </w:rPr>
              <w:t>0.15</w:t>
            </w:r>
          </w:p>
        </w:tc>
        <w:tc>
          <w:tcPr>
            <w:tcW w:w="907" w:type="dxa"/>
            <w:shd w:val="clear" w:color="auto" w:fill="auto"/>
          </w:tcPr>
          <w:p w14:paraId="3F4EDC65" w14:textId="77777777" w:rsidR="00ED2EBD" w:rsidRPr="00BD16B4" w:rsidRDefault="00ED2EBD" w:rsidP="004A205F">
            <w:pPr>
              <w:pStyle w:val="TableText"/>
              <w:spacing w:before="40"/>
              <w:jc w:val="right"/>
              <w:rPr>
                <w:szCs w:val="18"/>
              </w:rPr>
            </w:pPr>
            <w:r w:rsidRPr="00BD16B4">
              <w:rPr>
                <w:szCs w:val="18"/>
              </w:rPr>
              <w:t>0.17</w:t>
            </w:r>
          </w:p>
        </w:tc>
        <w:tc>
          <w:tcPr>
            <w:tcW w:w="907" w:type="dxa"/>
            <w:shd w:val="clear" w:color="auto" w:fill="auto"/>
          </w:tcPr>
          <w:p w14:paraId="4F69D1FA" w14:textId="77777777" w:rsidR="00ED2EBD" w:rsidRPr="00BD16B4" w:rsidRDefault="00ED2EBD" w:rsidP="004A205F">
            <w:pPr>
              <w:pStyle w:val="TableText"/>
              <w:spacing w:before="40"/>
              <w:jc w:val="right"/>
              <w:rPr>
                <w:szCs w:val="18"/>
              </w:rPr>
            </w:pPr>
            <w:r w:rsidRPr="00BD16B4">
              <w:rPr>
                <w:szCs w:val="18"/>
              </w:rPr>
              <w:t>0.17</w:t>
            </w:r>
          </w:p>
        </w:tc>
        <w:tc>
          <w:tcPr>
            <w:tcW w:w="907" w:type="dxa"/>
            <w:shd w:val="clear" w:color="auto" w:fill="auto"/>
          </w:tcPr>
          <w:p w14:paraId="29A94202" w14:textId="77777777" w:rsidR="00ED2EBD" w:rsidRPr="00BD16B4" w:rsidRDefault="00ED2EBD" w:rsidP="004A205F">
            <w:pPr>
              <w:pStyle w:val="TableText"/>
              <w:spacing w:before="40"/>
              <w:jc w:val="right"/>
              <w:rPr>
                <w:szCs w:val="18"/>
              </w:rPr>
            </w:pPr>
            <w:r w:rsidRPr="00BD16B4">
              <w:rPr>
                <w:szCs w:val="18"/>
              </w:rPr>
              <w:t>0.15</w:t>
            </w:r>
          </w:p>
        </w:tc>
        <w:tc>
          <w:tcPr>
            <w:tcW w:w="907" w:type="dxa"/>
            <w:shd w:val="clear" w:color="auto" w:fill="auto"/>
          </w:tcPr>
          <w:p w14:paraId="5D560690" w14:textId="77777777" w:rsidR="00ED2EBD" w:rsidRPr="00BD16B4" w:rsidRDefault="00ED2EBD" w:rsidP="004A205F">
            <w:pPr>
              <w:pStyle w:val="TableText"/>
              <w:spacing w:before="40"/>
              <w:jc w:val="right"/>
              <w:rPr>
                <w:szCs w:val="18"/>
              </w:rPr>
            </w:pPr>
            <w:r w:rsidRPr="00BD16B4">
              <w:rPr>
                <w:szCs w:val="18"/>
              </w:rPr>
              <w:t>0.12</w:t>
            </w:r>
          </w:p>
        </w:tc>
        <w:tc>
          <w:tcPr>
            <w:tcW w:w="907" w:type="dxa"/>
            <w:shd w:val="clear" w:color="auto" w:fill="auto"/>
          </w:tcPr>
          <w:p w14:paraId="4846B939" w14:textId="77777777" w:rsidR="00ED2EBD" w:rsidRPr="00BD16B4" w:rsidRDefault="00ED2EBD" w:rsidP="004A205F">
            <w:pPr>
              <w:pStyle w:val="TableText"/>
              <w:spacing w:before="40"/>
              <w:jc w:val="right"/>
              <w:rPr>
                <w:szCs w:val="18"/>
              </w:rPr>
            </w:pPr>
            <w:r w:rsidRPr="00BD16B4">
              <w:rPr>
                <w:szCs w:val="18"/>
              </w:rPr>
              <w:t>0.13</w:t>
            </w:r>
          </w:p>
        </w:tc>
        <w:tc>
          <w:tcPr>
            <w:tcW w:w="907" w:type="dxa"/>
            <w:shd w:val="clear" w:color="auto" w:fill="auto"/>
          </w:tcPr>
          <w:p w14:paraId="5C3CA3A9" w14:textId="77777777" w:rsidR="00ED2EBD" w:rsidRPr="00BD16B4" w:rsidRDefault="00ED2EBD" w:rsidP="004A205F">
            <w:pPr>
              <w:pStyle w:val="TableText"/>
              <w:spacing w:before="40"/>
              <w:jc w:val="right"/>
              <w:rPr>
                <w:szCs w:val="18"/>
              </w:rPr>
            </w:pPr>
            <w:r w:rsidRPr="00BD16B4">
              <w:rPr>
                <w:szCs w:val="18"/>
              </w:rPr>
              <w:t>0.11</w:t>
            </w:r>
          </w:p>
        </w:tc>
        <w:tc>
          <w:tcPr>
            <w:tcW w:w="907" w:type="dxa"/>
            <w:shd w:val="clear" w:color="auto" w:fill="auto"/>
          </w:tcPr>
          <w:p w14:paraId="1D5F7013" w14:textId="77777777" w:rsidR="00ED2EBD" w:rsidRPr="00BD16B4" w:rsidRDefault="00ED2EBD" w:rsidP="004A205F">
            <w:pPr>
              <w:pStyle w:val="TableText"/>
              <w:spacing w:before="40"/>
              <w:jc w:val="right"/>
              <w:rPr>
                <w:szCs w:val="18"/>
              </w:rPr>
            </w:pPr>
            <w:r w:rsidRPr="00BD16B4">
              <w:rPr>
                <w:szCs w:val="18"/>
              </w:rPr>
              <w:t>0.09</w:t>
            </w:r>
          </w:p>
        </w:tc>
        <w:tc>
          <w:tcPr>
            <w:tcW w:w="907" w:type="dxa"/>
            <w:shd w:val="clear" w:color="auto" w:fill="auto"/>
          </w:tcPr>
          <w:p w14:paraId="715B4F08" w14:textId="77777777" w:rsidR="00ED2EBD" w:rsidRPr="00BD16B4" w:rsidRDefault="00ED2EBD" w:rsidP="004A205F">
            <w:pPr>
              <w:pStyle w:val="TableText"/>
              <w:spacing w:before="40"/>
              <w:jc w:val="right"/>
              <w:rPr>
                <w:szCs w:val="18"/>
              </w:rPr>
            </w:pPr>
            <w:r w:rsidRPr="00BD16B4">
              <w:rPr>
                <w:szCs w:val="18"/>
              </w:rPr>
              <w:t>0.08</w:t>
            </w:r>
          </w:p>
        </w:tc>
        <w:tc>
          <w:tcPr>
            <w:tcW w:w="907" w:type="dxa"/>
            <w:shd w:val="clear" w:color="auto" w:fill="auto"/>
          </w:tcPr>
          <w:p w14:paraId="56F3E6B5" w14:textId="77777777" w:rsidR="00ED2EBD" w:rsidRPr="00BD16B4" w:rsidRDefault="00ED2EBD" w:rsidP="004A205F">
            <w:pPr>
              <w:pStyle w:val="TableText"/>
              <w:spacing w:before="40"/>
              <w:jc w:val="right"/>
              <w:rPr>
                <w:szCs w:val="18"/>
              </w:rPr>
            </w:pPr>
            <w:r w:rsidRPr="00BD16B4">
              <w:rPr>
                <w:szCs w:val="18"/>
              </w:rPr>
              <w:t>0.08</w:t>
            </w:r>
          </w:p>
        </w:tc>
      </w:tr>
      <w:tr w:rsidR="00AA2930" w:rsidRPr="00BD16B4" w14:paraId="5CAFAE28" w14:textId="77777777" w:rsidTr="004625B0">
        <w:tc>
          <w:tcPr>
            <w:tcW w:w="3964" w:type="dxa"/>
          </w:tcPr>
          <w:p w14:paraId="595113DA" w14:textId="3DE5EFF4" w:rsidR="00ED2EBD" w:rsidRPr="00BD16B4" w:rsidRDefault="00ED2EBD" w:rsidP="004A205F">
            <w:pPr>
              <w:pStyle w:val="TableText"/>
              <w:spacing w:before="40"/>
              <w:rPr>
                <w:szCs w:val="18"/>
              </w:rPr>
            </w:pPr>
            <w:r w:rsidRPr="00BD16B4">
              <w:rPr>
                <w:szCs w:val="18"/>
              </w:rPr>
              <w:t>D.</w:t>
            </w:r>
            <w:r w:rsidR="00280979" w:rsidRPr="00BD16B4">
              <w:rPr>
                <w:szCs w:val="18"/>
              </w:rPr>
              <w:t xml:space="preserve"> </w:t>
            </w:r>
            <w:r w:rsidRPr="00BD16B4">
              <w:rPr>
                <w:szCs w:val="18"/>
              </w:rPr>
              <w:t>Wetlands</w:t>
            </w:r>
          </w:p>
        </w:tc>
        <w:tc>
          <w:tcPr>
            <w:tcW w:w="907" w:type="dxa"/>
            <w:shd w:val="clear" w:color="auto" w:fill="auto"/>
          </w:tcPr>
          <w:p w14:paraId="167385AA"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68DB7AB6"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46FF7B8C"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5233851F"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1D86D93F"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5948F757"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5F4599F2"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0C2FD4D9"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22054CF2"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406597A9"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14780DA2" w14:textId="77777777" w:rsidR="00ED2EBD" w:rsidRPr="00BD16B4" w:rsidRDefault="00ED2EBD" w:rsidP="004A205F">
            <w:pPr>
              <w:pStyle w:val="TableText"/>
              <w:spacing w:before="40"/>
              <w:jc w:val="right"/>
              <w:rPr>
                <w:szCs w:val="18"/>
              </w:rPr>
            </w:pPr>
            <w:r w:rsidRPr="00BD16B4">
              <w:rPr>
                <w:szCs w:val="18"/>
              </w:rPr>
              <w:t>0.00</w:t>
            </w:r>
          </w:p>
        </w:tc>
      </w:tr>
      <w:tr w:rsidR="00AA2930" w:rsidRPr="00BD16B4" w14:paraId="540F48EB" w14:textId="77777777" w:rsidTr="004625B0">
        <w:tc>
          <w:tcPr>
            <w:tcW w:w="3964" w:type="dxa"/>
          </w:tcPr>
          <w:p w14:paraId="5AB9181C" w14:textId="7BB0E189" w:rsidR="00ED2EBD" w:rsidRPr="00BD16B4" w:rsidRDefault="00ED2EBD" w:rsidP="004A205F">
            <w:pPr>
              <w:pStyle w:val="TableText"/>
              <w:spacing w:before="40"/>
              <w:rPr>
                <w:szCs w:val="18"/>
              </w:rPr>
            </w:pPr>
            <w:r w:rsidRPr="00BD16B4">
              <w:rPr>
                <w:szCs w:val="18"/>
              </w:rPr>
              <w:t>E.</w:t>
            </w:r>
            <w:r w:rsidR="00280979" w:rsidRPr="00BD16B4">
              <w:rPr>
                <w:szCs w:val="18"/>
              </w:rPr>
              <w:t xml:space="preserve"> </w:t>
            </w:r>
            <w:r w:rsidRPr="00BD16B4">
              <w:rPr>
                <w:szCs w:val="18"/>
              </w:rPr>
              <w:t xml:space="preserve">Settlements </w:t>
            </w:r>
          </w:p>
        </w:tc>
        <w:tc>
          <w:tcPr>
            <w:tcW w:w="907" w:type="dxa"/>
            <w:shd w:val="clear" w:color="auto" w:fill="auto"/>
          </w:tcPr>
          <w:p w14:paraId="09DED360"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445FBE40"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281275D1"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673EA139"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68BC00CA"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0F77339B"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6B037C33"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7FC0A7E2"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1CF596F1"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14AC6F8C"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36401917" w14:textId="77777777" w:rsidR="00ED2EBD" w:rsidRPr="00BD16B4" w:rsidRDefault="00ED2EBD" w:rsidP="004A205F">
            <w:pPr>
              <w:pStyle w:val="TableText"/>
              <w:spacing w:before="40"/>
              <w:jc w:val="right"/>
              <w:rPr>
                <w:szCs w:val="18"/>
              </w:rPr>
            </w:pPr>
            <w:r w:rsidRPr="00BD16B4">
              <w:rPr>
                <w:szCs w:val="18"/>
              </w:rPr>
              <w:t>0.00</w:t>
            </w:r>
          </w:p>
        </w:tc>
      </w:tr>
      <w:tr w:rsidR="00AA2930" w:rsidRPr="00BD16B4" w14:paraId="5D824BE1" w14:textId="77777777" w:rsidTr="004625B0">
        <w:tc>
          <w:tcPr>
            <w:tcW w:w="3964" w:type="dxa"/>
          </w:tcPr>
          <w:p w14:paraId="696D36BC" w14:textId="03D7F13D" w:rsidR="00ED2EBD" w:rsidRPr="00BD16B4" w:rsidRDefault="00ED2EBD" w:rsidP="004A205F">
            <w:pPr>
              <w:pStyle w:val="TableText"/>
              <w:spacing w:before="40"/>
              <w:rPr>
                <w:szCs w:val="18"/>
              </w:rPr>
            </w:pPr>
            <w:r w:rsidRPr="00BD16B4">
              <w:rPr>
                <w:szCs w:val="18"/>
              </w:rPr>
              <w:t>F.</w:t>
            </w:r>
            <w:r w:rsidR="00280979" w:rsidRPr="00BD16B4">
              <w:rPr>
                <w:szCs w:val="18"/>
              </w:rPr>
              <w:t xml:space="preserve"> </w:t>
            </w:r>
            <w:r w:rsidRPr="00BD16B4">
              <w:rPr>
                <w:szCs w:val="18"/>
              </w:rPr>
              <w:t>Other land</w:t>
            </w:r>
          </w:p>
        </w:tc>
        <w:tc>
          <w:tcPr>
            <w:tcW w:w="907" w:type="dxa"/>
            <w:tcBorders>
              <w:bottom w:val="single" w:sz="4" w:space="0" w:color="1B556B" w:themeColor="text2"/>
            </w:tcBorders>
            <w:shd w:val="clear" w:color="auto" w:fill="auto"/>
          </w:tcPr>
          <w:p w14:paraId="1DD9C28F" w14:textId="77777777" w:rsidR="00ED2EBD" w:rsidRPr="00BD16B4" w:rsidRDefault="00ED2EBD" w:rsidP="004A205F">
            <w:pPr>
              <w:pStyle w:val="TableText"/>
              <w:spacing w:before="40"/>
              <w:jc w:val="right"/>
              <w:rPr>
                <w:szCs w:val="18"/>
              </w:rPr>
            </w:pPr>
            <w:r w:rsidRPr="00BD16B4">
              <w:rPr>
                <w:szCs w:val="18"/>
              </w:rPr>
              <w:t>0.01</w:t>
            </w:r>
          </w:p>
        </w:tc>
        <w:tc>
          <w:tcPr>
            <w:tcW w:w="907" w:type="dxa"/>
            <w:tcBorders>
              <w:bottom w:val="single" w:sz="4" w:space="0" w:color="1B556B" w:themeColor="text2"/>
            </w:tcBorders>
            <w:shd w:val="clear" w:color="auto" w:fill="auto"/>
          </w:tcPr>
          <w:p w14:paraId="4609AFE1" w14:textId="77777777" w:rsidR="00ED2EBD" w:rsidRPr="00BD16B4" w:rsidRDefault="00ED2EBD" w:rsidP="004A205F">
            <w:pPr>
              <w:pStyle w:val="TableText"/>
              <w:spacing w:before="40"/>
              <w:jc w:val="right"/>
              <w:rPr>
                <w:szCs w:val="18"/>
              </w:rPr>
            </w:pPr>
            <w:r w:rsidRPr="00BD16B4">
              <w:rPr>
                <w:szCs w:val="18"/>
              </w:rPr>
              <w:t>0.01</w:t>
            </w:r>
          </w:p>
        </w:tc>
        <w:tc>
          <w:tcPr>
            <w:tcW w:w="907" w:type="dxa"/>
            <w:tcBorders>
              <w:bottom w:val="single" w:sz="4" w:space="0" w:color="1B556B" w:themeColor="text2"/>
            </w:tcBorders>
            <w:shd w:val="clear" w:color="auto" w:fill="auto"/>
          </w:tcPr>
          <w:p w14:paraId="7CAD32F6" w14:textId="77777777" w:rsidR="00ED2EBD" w:rsidRPr="00BD16B4" w:rsidRDefault="00ED2EBD" w:rsidP="004A205F">
            <w:pPr>
              <w:pStyle w:val="TableText"/>
              <w:spacing w:before="40"/>
              <w:jc w:val="right"/>
              <w:rPr>
                <w:szCs w:val="18"/>
              </w:rPr>
            </w:pPr>
            <w:r w:rsidRPr="00BD16B4">
              <w:rPr>
                <w:szCs w:val="18"/>
              </w:rPr>
              <w:t>0.01</w:t>
            </w:r>
          </w:p>
        </w:tc>
        <w:tc>
          <w:tcPr>
            <w:tcW w:w="907" w:type="dxa"/>
            <w:tcBorders>
              <w:bottom w:val="single" w:sz="4" w:space="0" w:color="1B556B" w:themeColor="text2"/>
            </w:tcBorders>
            <w:shd w:val="clear" w:color="auto" w:fill="auto"/>
          </w:tcPr>
          <w:p w14:paraId="1B88FA9C" w14:textId="77777777" w:rsidR="00ED2EBD" w:rsidRPr="00BD16B4" w:rsidRDefault="00ED2EBD" w:rsidP="004A205F">
            <w:pPr>
              <w:pStyle w:val="TableText"/>
              <w:spacing w:before="40"/>
              <w:jc w:val="right"/>
              <w:rPr>
                <w:szCs w:val="18"/>
              </w:rPr>
            </w:pPr>
            <w:r w:rsidRPr="00BD16B4">
              <w:rPr>
                <w:szCs w:val="18"/>
              </w:rPr>
              <w:t>0.01</w:t>
            </w:r>
          </w:p>
        </w:tc>
        <w:tc>
          <w:tcPr>
            <w:tcW w:w="907" w:type="dxa"/>
            <w:tcBorders>
              <w:bottom w:val="single" w:sz="4" w:space="0" w:color="1B556B" w:themeColor="text2"/>
            </w:tcBorders>
            <w:shd w:val="clear" w:color="auto" w:fill="auto"/>
          </w:tcPr>
          <w:p w14:paraId="7102F43B" w14:textId="77777777" w:rsidR="00ED2EBD" w:rsidRPr="00BD16B4" w:rsidRDefault="00ED2EBD" w:rsidP="004A205F">
            <w:pPr>
              <w:pStyle w:val="TableText"/>
              <w:spacing w:before="40"/>
              <w:jc w:val="right"/>
              <w:rPr>
                <w:szCs w:val="18"/>
              </w:rPr>
            </w:pPr>
            <w:r w:rsidRPr="00BD16B4">
              <w:rPr>
                <w:szCs w:val="18"/>
              </w:rPr>
              <w:t>0.01</w:t>
            </w:r>
          </w:p>
        </w:tc>
        <w:tc>
          <w:tcPr>
            <w:tcW w:w="907" w:type="dxa"/>
            <w:tcBorders>
              <w:bottom w:val="single" w:sz="4" w:space="0" w:color="1B556B" w:themeColor="text2"/>
            </w:tcBorders>
            <w:shd w:val="clear" w:color="auto" w:fill="auto"/>
          </w:tcPr>
          <w:p w14:paraId="1960792A" w14:textId="77777777" w:rsidR="00ED2EBD" w:rsidRPr="00BD16B4" w:rsidRDefault="00ED2EBD" w:rsidP="004A205F">
            <w:pPr>
              <w:pStyle w:val="TableText"/>
              <w:spacing w:before="40"/>
              <w:jc w:val="right"/>
              <w:rPr>
                <w:szCs w:val="18"/>
              </w:rPr>
            </w:pPr>
            <w:r w:rsidRPr="00BD16B4">
              <w:rPr>
                <w:szCs w:val="18"/>
              </w:rPr>
              <w:t>0.01</w:t>
            </w:r>
          </w:p>
        </w:tc>
        <w:tc>
          <w:tcPr>
            <w:tcW w:w="907" w:type="dxa"/>
            <w:tcBorders>
              <w:bottom w:val="single" w:sz="4" w:space="0" w:color="1B556B" w:themeColor="text2"/>
            </w:tcBorders>
            <w:shd w:val="clear" w:color="auto" w:fill="auto"/>
          </w:tcPr>
          <w:p w14:paraId="2515124E" w14:textId="77777777" w:rsidR="00ED2EBD" w:rsidRPr="00BD16B4" w:rsidRDefault="00ED2EBD" w:rsidP="004A205F">
            <w:pPr>
              <w:pStyle w:val="TableText"/>
              <w:spacing w:before="40"/>
              <w:jc w:val="right"/>
              <w:rPr>
                <w:szCs w:val="18"/>
              </w:rPr>
            </w:pPr>
            <w:r w:rsidRPr="00BD16B4">
              <w:rPr>
                <w:szCs w:val="18"/>
              </w:rPr>
              <w:t>0.01</w:t>
            </w:r>
          </w:p>
        </w:tc>
        <w:tc>
          <w:tcPr>
            <w:tcW w:w="907" w:type="dxa"/>
            <w:tcBorders>
              <w:bottom w:val="single" w:sz="4" w:space="0" w:color="1B556B" w:themeColor="text2"/>
            </w:tcBorders>
            <w:shd w:val="clear" w:color="auto" w:fill="auto"/>
          </w:tcPr>
          <w:p w14:paraId="346C1034" w14:textId="77777777" w:rsidR="00ED2EBD" w:rsidRPr="00BD16B4" w:rsidRDefault="00ED2EBD" w:rsidP="004A205F">
            <w:pPr>
              <w:pStyle w:val="TableText"/>
              <w:spacing w:before="40"/>
              <w:jc w:val="right"/>
              <w:rPr>
                <w:szCs w:val="18"/>
              </w:rPr>
            </w:pPr>
            <w:r w:rsidRPr="00BD16B4">
              <w:rPr>
                <w:szCs w:val="18"/>
              </w:rPr>
              <w:t>0.01</w:t>
            </w:r>
          </w:p>
        </w:tc>
        <w:tc>
          <w:tcPr>
            <w:tcW w:w="907" w:type="dxa"/>
            <w:tcBorders>
              <w:bottom w:val="single" w:sz="4" w:space="0" w:color="1B556B" w:themeColor="text2"/>
            </w:tcBorders>
            <w:shd w:val="clear" w:color="auto" w:fill="auto"/>
          </w:tcPr>
          <w:p w14:paraId="30B67AE0" w14:textId="77777777" w:rsidR="00ED2EBD" w:rsidRPr="00BD16B4" w:rsidRDefault="00ED2EBD" w:rsidP="004A205F">
            <w:pPr>
              <w:pStyle w:val="TableText"/>
              <w:spacing w:before="40"/>
              <w:jc w:val="right"/>
              <w:rPr>
                <w:szCs w:val="18"/>
              </w:rPr>
            </w:pPr>
            <w:r w:rsidRPr="00BD16B4">
              <w:rPr>
                <w:szCs w:val="18"/>
              </w:rPr>
              <w:t>0.01</w:t>
            </w:r>
          </w:p>
        </w:tc>
        <w:tc>
          <w:tcPr>
            <w:tcW w:w="907" w:type="dxa"/>
            <w:tcBorders>
              <w:bottom w:val="single" w:sz="4" w:space="0" w:color="1B556B" w:themeColor="text2"/>
            </w:tcBorders>
            <w:shd w:val="clear" w:color="auto" w:fill="auto"/>
          </w:tcPr>
          <w:p w14:paraId="6394B100" w14:textId="77777777" w:rsidR="00ED2EBD" w:rsidRPr="00BD16B4" w:rsidRDefault="00ED2EBD" w:rsidP="004A205F">
            <w:pPr>
              <w:pStyle w:val="TableText"/>
              <w:spacing w:before="40"/>
              <w:jc w:val="right"/>
              <w:rPr>
                <w:szCs w:val="18"/>
              </w:rPr>
            </w:pPr>
            <w:r w:rsidRPr="00BD16B4">
              <w:rPr>
                <w:szCs w:val="18"/>
              </w:rPr>
              <w:t>0.01</w:t>
            </w:r>
          </w:p>
        </w:tc>
        <w:tc>
          <w:tcPr>
            <w:tcW w:w="907" w:type="dxa"/>
            <w:tcBorders>
              <w:bottom w:val="single" w:sz="4" w:space="0" w:color="1B556B" w:themeColor="text2"/>
            </w:tcBorders>
            <w:shd w:val="clear" w:color="auto" w:fill="auto"/>
          </w:tcPr>
          <w:p w14:paraId="5A572DBB" w14:textId="77777777" w:rsidR="00ED2EBD" w:rsidRPr="00BD16B4" w:rsidRDefault="00ED2EBD" w:rsidP="004A205F">
            <w:pPr>
              <w:pStyle w:val="TableText"/>
              <w:spacing w:before="40"/>
              <w:jc w:val="right"/>
              <w:rPr>
                <w:szCs w:val="18"/>
              </w:rPr>
            </w:pPr>
            <w:r w:rsidRPr="00BD16B4">
              <w:rPr>
                <w:szCs w:val="18"/>
              </w:rPr>
              <w:t>0.01</w:t>
            </w:r>
          </w:p>
        </w:tc>
      </w:tr>
      <w:tr w:rsidR="00ED2EBD" w:rsidRPr="00BD16B4" w14:paraId="2D6EB929" w14:textId="77777777" w:rsidTr="004625B0">
        <w:tc>
          <w:tcPr>
            <w:tcW w:w="3964" w:type="dxa"/>
          </w:tcPr>
          <w:p w14:paraId="6AA5D49F" w14:textId="71662826" w:rsidR="00ED2EBD" w:rsidRPr="00BD16B4" w:rsidRDefault="00ED2EBD" w:rsidP="004A205F">
            <w:pPr>
              <w:pStyle w:val="TableText"/>
              <w:spacing w:before="40"/>
              <w:rPr>
                <w:szCs w:val="18"/>
              </w:rPr>
            </w:pPr>
            <w:r w:rsidRPr="00BD16B4">
              <w:rPr>
                <w:szCs w:val="18"/>
              </w:rPr>
              <w:t>G.</w:t>
            </w:r>
            <w:r w:rsidR="00280979" w:rsidRPr="00BD16B4">
              <w:rPr>
                <w:szCs w:val="18"/>
              </w:rPr>
              <w:t xml:space="preserve"> </w:t>
            </w:r>
            <w:r w:rsidRPr="00BD16B4">
              <w:rPr>
                <w:szCs w:val="18"/>
              </w:rPr>
              <w:t>Harvested wood products</w:t>
            </w:r>
          </w:p>
        </w:tc>
        <w:tc>
          <w:tcPr>
            <w:tcW w:w="907" w:type="dxa"/>
            <w:tcBorders>
              <w:top w:val="single" w:sz="4" w:space="0" w:color="1B556B" w:themeColor="text2"/>
            </w:tcBorders>
            <w:shd w:val="clear" w:color="auto" w:fill="D2DDE1" w:themeFill="background2"/>
          </w:tcPr>
          <w:p w14:paraId="76DAC873"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248EB2C"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272D985"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B0F7153"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A7B44DC"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60D963D"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249630D"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469A8BC"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47B2B49"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4385414"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FFE64D3" w14:textId="77777777" w:rsidR="00ED2EBD" w:rsidRPr="00BD16B4" w:rsidRDefault="00ED2EBD" w:rsidP="004A205F">
            <w:pPr>
              <w:pStyle w:val="TableText"/>
              <w:spacing w:before="40"/>
              <w:jc w:val="right"/>
              <w:rPr>
                <w:szCs w:val="18"/>
              </w:rPr>
            </w:pPr>
            <w:r w:rsidRPr="00BD16B4">
              <w:rPr>
                <w:color w:val="000000"/>
                <w:szCs w:val="18"/>
              </w:rPr>
              <w:t> </w:t>
            </w:r>
          </w:p>
        </w:tc>
      </w:tr>
      <w:tr w:rsidR="00AA2930" w:rsidRPr="00BD16B4" w14:paraId="0C0EB804" w14:textId="77777777" w:rsidTr="004625B0">
        <w:tc>
          <w:tcPr>
            <w:tcW w:w="3964" w:type="dxa"/>
          </w:tcPr>
          <w:p w14:paraId="0BC230D1" w14:textId="1F4DB60C" w:rsidR="00ED2EBD" w:rsidRPr="00BD16B4" w:rsidRDefault="00ED2EBD" w:rsidP="004A205F">
            <w:pPr>
              <w:pStyle w:val="TableText"/>
              <w:spacing w:before="40"/>
              <w:rPr>
                <w:szCs w:val="18"/>
              </w:rPr>
            </w:pPr>
            <w:r w:rsidRPr="00BD16B4">
              <w:rPr>
                <w:szCs w:val="18"/>
              </w:rPr>
              <w:t>H.</w:t>
            </w:r>
            <w:r w:rsidR="00280979" w:rsidRPr="00BD16B4">
              <w:rPr>
                <w:szCs w:val="18"/>
              </w:rPr>
              <w:t xml:space="preserve"> </w:t>
            </w:r>
            <w:r w:rsidRPr="00BD16B4">
              <w:rPr>
                <w:szCs w:val="18"/>
              </w:rPr>
              <w:t>Other</w:t>
            </w:r>
            <w:r w:rsidR="00280979" w:rsidRPr="00BD16B4">
              <w:rPr>
                <w:szCs w:val="18"/>
              </w:rPr>
              <w:t xml:space="preserve"> </w:t>
            </w:r>
          </w:p>
        </w:tc>
        <w:tc>
          <w:tcPr>
            <w:tcW w:w="907" w:type="dxa"/>
            <w:shd w:val="clear" w:color="auto" w:fill="auto"/>
          </w:tcPr>
          <w:p w14:paraId="33D76A03" w14:textId="77777777" w:rsidR="00ED2EBD" w:rsidRPr="00BD16B4" w:rsidRDefault="00ED2EBD" w:rsidP="004A205F">
            <w:pPr>
              <w:pStyle w:val="TableText"/>
              <w:spacing w:before="40"/>
              <w:jc w:val="right"/>
              <w:rPr>
                <w:szCs w:val="18"/>
              </w:rPr>
            </w:pPr>
            <w:r w:rsidRPr="00BD16B4">
              <w:rPr>
                <w:szCs w:val="18"/>
              </w:rPr>
              <w:t>NA</w:t>
            </w:r>
          </w:p>
        </w:tc>
        <w:tc>
          <w:tcPr>
            <w:tcW w:w="907" w:type="dxa"/>
            <w:shd w:val="clear" w:color="auto" w:fill="auto"/>
          </w:tcPr>
          <w:p w14:paraId="6A0AD5BF" w14:textId="77777777" w:rsidR="00ED2EBD" w:rsidRPr="00BD16B4" w:rsidRDefault="00ED2EBD" w:rsidP="004A205F">
            <w:pPr>
              <w:pStyle w:val="TableText"/>
              <w:spacing w:before="40"/>
              <w:jc w:val="right"/>
              <w:rPr>
                <w:szCs w:val="18"/>
              </w:rPr>
            </w:pPr>
            <w:r w:rsidRPr="00BD16B4">
              <w:rPr>
                <w:szCs w:val="18"/>
              </w:rPr>
              <w:t>NA</w:t>
            </w:r>
          </w:p>
        </w:tc>
        <w:tc>
          <w:tcPr>
            <w:tcW w:w="907" w:type="dxa"/>
            <w:shd w:val="clear" w:color="auto" w:fill="auto"/>
          </w:tcPr>
          <w:p w14:paraId="3CB6E65D" w14:textId="77777777" w:rsidR="00ED2EBD" w:rsidRPr="00BD16B4" w:rsidRDefault="00ED2EBD" w:rsidP="004A205F">
            <w:pPr>
              <w:pStyle w:val="TableText"/>
              <w:spacing w:before="40"/>
              <w:jc w:val="right"/>
              <w:rPr>
                <w:szCs w:val="18"/>
              </w:rPr>
            </w:pPr>
            <w:r w:rsidRPr="00BD16B4">
              <w:rPr>
                <w:szCs w:val="18"/>
              </w:rPr>
              <w:t>NA</w:t>
            </w:r>
          </w:p>
        </w:tc>
        <w:tc>
          <w:tcPr>
            <w:tcW w:w="907" w:type="dxa"/>
            <w:shd w:val="clear" w:color="auto" w:fill="auto"/>
          </w:tcPr>
          <w:p w14:paraId="4FB05FCA" w14:textId="77777777" w:rsidR="00ED2EBD" w:rsidRPr="00BD16B4" w:rsidRDefault="00ED2EBD" w:rsidP="004A205F">
            <w:pPr>
              <w:pStyle w:val="TableText"/>
              <w:spacing w:before="40"/>
              <w:jc w:val="right"/>
              <w:rPr>
                <w:szCs w:val="18"/>
              </w:rPr>
            </w:pPr>
            <w:r w:rsidRPr="00BD16B4">
              <w:rPr>
                <w:szCs w:val="18"/>
              </w:rPr>
              <w:t>NA</w:t>
            </w:r>
          </w:p>
        </w:tc>
        <w:tc>
          <w:tcPr>
            <w:tcW w:w="907" w:type="dxa"/>
            <w:shd w:val="clear" w:color="auto" w:fill="auto"/>
          </w:tcPr>
          <w:p w14:paraId="3C57B8B3" w14:textId="77777777" w:rsidR="00ED2EBD" w:rsidRPr="00BD16B4" w:rsidRDefault="00ED2EBD" w:rsidP="004A205F">
            <w:pPr>
              <w:pStyle w:val="TableText"/>
              <w:spacing w:before="40"/>
              <w:jc w:val="right"/>
              <w:rPr>
                <w:szCs w:val="18"/>
              </w:rPr>
            </w:pPr>
            <w:r w:rsidRPr="00BD16B4">
              <w:rPr>
                <w:szCs w:val="18"/>
              </w:rPr>
              <w:t>NA</w:t>
            </w:r>
          </w:p>
        </w:tc>
        <w:tc>
          <w:tcPr>
            <w:tcW w:w="907" w:type="dxa"/>
            <w:shd w:val="clear" w:color="auto" w:fill="auto"/>
          </w:tcPr>
          <w:p w14:paraId="0C558F96" w14:textId="77777777" w:rsidR="00ED2EBD" w:rsidRPr="00BD16B4" w:rsidRDefault="00ED2EBD" w:rsidP="004A205F">
            <w:pPr>
              <w:pStyle w:val="TableText"/>
              <w:spacing w:before="40"/>
              <w:jc w:val="right"/>
              <w:rPr>
                <w:szCs w:val="18"/>
              </w:rPr>
            </w:pPr>
            <w:r w:rsidRPr="00BD16B4">
              <w:rPr>
                <w:szCs w:val="18"/>
              </w:rPr>
              <w:t>NA</w:t>
            </w:r>
          </w:p>
        </w:tc>
        <w:tc>
          <w:tcPr>
            <w:tcW w:w="907" w:type="dxa"/>
            <w:shd w:val="clear" w:color="auto" w:fill="auto"/>
          </w:tcPr>
          <w:p w14:paraId="497217D4" w14:textId="77777777" w:rsidR="00ED2EBD" w:rsidRPr="00BD16B4" w:rsidRDefault="00ED2EBD" w:rsidP="004A205F">
            <w:pPr>
              <w:pStyle w:val="TableText"/>
              <w:spacing w:before="40"/>
              <w:jc w:val="right"/>
              <w:rPr>
                <w:szCs w:val="18"/>
              </w:rPr>
            </w:pPr>
            <w:r w:rsidRPr="00BD16B4">
              <w:rPr>
                <w:szCs w:val="18"/>
              </w:rPr>
              <w:t>NA</w:t>
            </w:r>
          </w:p>
        </w:tc>
        <w:tc>
          <w:tcPr>
            <w:tcW w:w="907" w:type="dxa"/>
            <w:shd w:val="clear" w:color="auto" w:fill="auto"/>
          </w:tcPr>
          <w:p w14:paraId="3908EB8B" w14:textId="77777777" w:rsidR="00ED2EBD" w:rsidRPr="00BD16B4" w:rsidRDefault="00ED2EBD" w:rsidP="004A205F">
            <w:pPr>
              <w:pStyle w:val="TableText"/>
              <w:spacing w:before="40"/>
              <w:jc w:val="right"/>
              <w:rPr>
                <w:szCs w:val="18"/>
              </w:rPr>
            </w:pPr>
            <w:r w:rsidRPr="00BD16B4">
              <w:rPr>
                <w:szCs w:val="18"/>
              </w:rPr>
              <w:t>NA</w:t>
            </w:r>
          </w:p>
        </w:tc>
        <w:tc>
          <w:tcPr>
            <w:tcW w:w="907" w:type="dxa"/>
            <w:shd w:val="clear" w:color="auto" w:fill="auto"/>
          </w:tcPr>
          <w:p w14:paraId="264110EF" w14:textId="77777777" w:rsidR="00ED2EBD" w:rsidRPr="00BD16B4" w:rsidRDefault="00ED2EBD" w:rsidP="004A205F">
            <w:pPr>
              <w:pStyle w:val="TableText"/>
              <w:spacing w:before="40"/>
              <w:jc w:val="right"/>
              <w:rPr>
                <w:szCs w:val="18"/>
              </w:rPr>
            </w:pPr>
            <w:r w:rsidRPr="00BD16B4">
              <w:rPr>
                <w:szCs w:val="18"/>
              </w:rPr>
              <w:t>NA</w:t>
            </w:r>
          </w:p>
        </w:tc>
        <w:tc>
          <w:tcPr>
            <w:tcW w:w="907" w:type="dxa"/>
            <w:shd w:val="clear" w:color="auto" w:fill="auto"/>
          </w:tcPr>
          <w:p w14:paraId="293367B5" w14:textId="77777777" w:rsidR="00ED2EBD" w:rsidRPr="00BD16B4" w:rsidRDefault="00ED2EBD" w:rsidP="004A205F">
            <w:pPr>
              <w:pStyle w:val="TableText"/>
              <w:spacing w:before="40"/>
              <w:jc w:val="right"/>
              <w:rPr>
                <w:szCs w:val="18"/>
              </w:rPr>
            </w:pPr>
            <w:r w:rsidRPr="00BD16B4">
              <w:rPr>
                <w:szCs w:val="18"/>
              </w:rPr>
              <w:t>NA</w:t>
            </w:r>
          </w:p>
        </w:tc>
        <w:tc>
          <w:tcPr>
            <w:tcW w:w="907" w:type="dxa"/>
            <w:shd w:val="clear" w:color="auto" w:fill="auto"/>
          </w:tcPr>
          <w:p w14:paraId="341E5E26" w14:textId="77777777" w:rsidR="00ED2EBD" w:rsidRPr="00BD16B4" w:rsidRDefault="00ED2EBD" w:rsidP="004A205F">
            <w:pPr>
              <w:pStyle w:val="TableText"/>
              <w:spacing w:before="40"/>
              <w:jc w:val="right"/>
              <w:rPr>
                <w:szCs w:val="18"/>
              </w:rPr>
            </w:pPr>
            <w:r w:rsidRPr="00BD16B4">
              <w:rPr>
                <w:szCs w:val="18"/>
              </w:rPr>
              <w:t>NA</w:t>
            </w:r>
          </w:p>
        </w:tc>
      </w:tr>
      <w:tr w:rsidR="00AA2930" w:rsidRPr="00BD16B4" w14:paraId="3C29E8AA" w14:textId="77777777" w:rsidTr="004625B0">
        <w:tc>
          <w:tcPr>
            <w:tcW w:w="3964" w:type="dxa"/>
          </w:tcPr>
          <w:p w14:paraId="2BB62D9F" w14:textId="54D9E989" w:rsidR="00ED2EBD" w:rsidRPr="00BD16B4" w:rsidRDefault="00ED2EBD" w:rsidP="004A205F">
            <w:pPr>
              <w:pStyle w:val="TableText"/>
              <w:spacing w:before="40"/>
              <w:rPr>
                <w:szCs w:val="18"/>
              </w:rPr>
            </w:pPr>
            <w:r w:rsidRPr="00BD16B4">
              <w:rPr>
                <w:b/>
                <w:bCs/>
                <w:szCs w:val="18"/>
              </w:rPr>
              <w:t>5.</w:t>
            </w:r>
            <w:r w:rsidR="00280979" w:rsidRPr="00BD16B4">
              <w:rPr>
                <w:b/>
                <w:bCs/>
                <w:szCs w:val="18"/>
              </w:rPr>
              <w:t xml:space="preserve"> </w:t>
            </w:r>
            <w:r w:rsidRPr="00BD16B4">
              <w:rPr>
                <w:b/>
                <w:bCs/>
                <w:szCs w:val="18"/>
              </w:rPr>
              <w:t>Waste</w:t>
            </w:r>
          </w:p>
        </w:tc>
        <w:tc>
          <w:tcPr>
            <w:tcW w:w="907" w:type="dxa"/>
            <w:tcBorders>
              <w:bottom w:val="single" w:sz="4" w:space="0" w:color="1B556B" w:themeColor="text2"/>
            </w:tcBorders>
            <w:shd w:val="clear" w:color="auto" w:fill="auto"/>
          </w:tcPr>
          <w:p w14:paraId="07010123" w14:textId="77777777" w:rsidR="00ED2EBD" w:rsidRPr="00BD16B4" w:rsidRDefault="00ED2EBD" w:rsidP="004A205F">
            <w:pPr>
              <w:pStyle w:val="TableText"/>
              <w:spacing w:before="40"/>
              <w:jc w:val="right"/>
              <w:rPr>
                <w:szCs w:val="18"/>
              </w:rPr>
            </w:pPr>
            <w:r w:rsidRPr="00BD16B4">
              <w:rPr>
                <w:szCs w:val="18"/>
              </w:rPr>
              <w:t>0.44</w:t>
            </w:r>
          </w:p>
        </w:tc>
        <w:tc>
          <w:tcPr>
            <w:tcW w:w="907" w:type="dxa"/>
            <w:tcBorders>
              <w:bottom w:val="single" w:sz="4" w:space="0" w:color="1B556B" w:themeColor="text2"/>
            </w:tcBorders>
            <w:shd w:val="clear" w:color="auto" w:fill="auto"/>
          </w:tcPr>
          <w:p w14:paraId="4C953D0F" w14:textId="77777777" w:rsidR="00ED2EBD" w:rsidRPr="00BD16B4" w:rsidRDefault="00ED2EBD" w:rsidP="004A205F">
            <w:pPr>
              <w:pStyle w:val="TableText"/>
              <w:spacing w:before="40"/>
              <w:jc w:val="right"/>
              <w:rPr>
                <w:szCs w:val="18"/>
              </w:rPr>
            </w:pPr>
            <w:r w:rsidRPr="00BD16B4">
              <w:rPr>
                <w:szCs w:val="18"/>
              </w:rPr>
              <w:t>0.45</w:t>
            </w:r>
          </w:p>
        </w:tc>
        <w:tc>
          <w:tcPr>
            <w:tcW w:w="907" w:type="dxa"/>
            <w:tcBorders>
              <w:bottom w:val="single" w:sz="4" w:space="0" w:color="1B556B" w:themeColor="text2"/>
            </w:tcBorders>
            <w:shd w:val="clear" w:color="auto" w:fill="auto"/>
          </w:tcPr>
          <w:p w14:paraId="14543BC6" w14:textId="77777777" w:rsidR="00ED2EBD" w:rsidRPr="00BD16B4" w:rsidRDefault="00ED2EBD" w:rsidP="004A205F">
            <w:pPr>
              <w:pStyle w:val="TableText"/>
              <w:spacing w:before="40"/>
              <w:jc w:val="right"/>
              <w:rPr>
                <w:szCs w:val="18"/>
              </w:rPr>
            </w:pPr>
            <w:r w:rsidRPr="00BD16B4">
              <w:rPr>
                <w:szCs w:val="18"/>
              </w:rPr>
              <w:t>0.45</w:t>
            </w:r>
          </w:p>
        </w:tc>
        <w:tc>
          <w:tcPr>
            <w:tcW w:w="907" w:type="dxa"/>
            <w:tcBorders>
              <w:bottom w:val="single" w:sz="4" w:space="0" w:color="1B556B" w:themeColor="text2"/>
            </w:tcBorders>
            <w:shd w:val="clear" w:color="auto" w:fill="auto"/>
          </w:tcPr>
          <w:p w14:paraId="7E85CDCD" w14:textId="77777777" w:rsidR="00ED2EBD" w:rsidRPr="00BD16B4" w:rsidRDefault="00ED2EBD" w:rsidP="004A205F">
            <w:pPr>
              <w:pStyle w:val="TableText"/>
              <w:spacing w:before="40"/>
              <w:jc w:val="right"/>
              <w:rPr>
                <w:szCs w:val="18"/>
              </w:rPr>
            </w:pPr>
            <w:r w:rsidRPr="00BD16B4">
              <w:rPr>
                <w:szCs w:val="18"/>
              </w:rPr>
              <w:t>0.46</w:t>
            </w:r>
          </w:p>
        </w:tc>
        <w:tc>
          <w:tcPr>
            <w:tcW w:w="907" w:type="dxa"/>
            <w:tcBorders>
              <w:bottom w:val="single" w:sz="4" w:space="0" w:color="1B556B" w:themeColor="text2"/>
            </w:tcBorders>
            <w:shd w:val="clear" w:color="auto" w:fill="auto"/>
          </w:tcPr>
          <w:p w14:paraId="6E353E7C" w14:textId="77777777" w:rsidR="00ED2EBD" w:rsidRPr="00BD16B4" w:rsidRDefault="00ED2EBD" w:rsidP="004A205F">
            <w:pPr>
              <w:pStyle w:val="TableText"/>
              <w:spacing w:before="40"/>
              <w:jc w:val="right"/>
              <w:rPr>
                <w:szCs w:val="18"/>
              </w:rPr>
            </w:pPr>
            <w:r w:rsidRPr="00BD16B4">
              <w:rPr>
                <w:szCs w:val="18"/>
              </w:rPr>
              <w:t>0.48</w:t>
            </w:r>
          </w:p>
        </w:tc>
        <w:tc>
          <w:tcPr>
            <w:tcW w:w="907" w:type="dxa"/>
            <w:tcBorders>
              <w:bottom w:val="single" w:sz="4" w:space="0" w:color="1B556B" w:themeColor="text2"/>
            </w:tcBorders>
            <w:shd w:val="clear" w:color="auto" w:fill="auto"/>
          </w:tcPr>
          <w:p w14:paraId="0BAB158F" w14:textId="77777777" w:rsidR="00ED2EBD" w:rsidRPr="00BD16B4" w:rsidRDefault="00ED2EBD" w:rsidP="004A205F">
            <w:pPr>
              <w:pStyle w:val="TableText"/>
              <w:spacing w:before="40"/>
              <w:jc w:val="right"/>
              <w:rPr>
                <w:szCs w:val="18"/>
              </w:rPr>
            </w:pPr>
            <w:r w:rsidRPr="00BD16B4">
              <w:rPr>
                <w:szCs w:val="18"/>
              </w:rPr>
              <w:t>0.49</w:t>
            </w:r>
          </w:p>
        </w:tc>
        <w:tc>
          <w:tcPr>
            <w:tcW w:w="907" w:type="dxa"/>
            <w:tcBorders>
              <w:bottom w:val="single" w:sz="4" w:space="0" w:color="1B556B" w:themeColor="text2"/>
            </w:tcBorders>
            <w:shd w:val="clear" w:color="auto" w:fill="auto"/>
          </w:tcPr>
          <w:p w14:paraId="3D66C1D3" w14:textId="77777777" w:rsidR="00ED2EBD" w:rsidRPr="00BD16B4" w:rsidRDefault="00ED2EBD" w:rsidP="004A205F">
            <w:pPr>
              <w:pStyle w:val="TableText"/>
              <w:spacing w:before="40"/>
              <w:jc w:val="right"/>
              <w:rPr>
                <w:szCs w:val="18"/>
              </w:rPr>
            </w:pPr>
            <w:r w:rsidRPr="00BD16B4">
              <w:rPr>
                <w:szCs w:val="18"/>
              </w:rPr>
              <w:t>0.51</w:t>
            </w:r>
          </w:p>
        </w:tc>
        <w:tc>
          <w:tcPr>
            <w:tcW w:w="907" w:type="dxa"/>
            <w:tcBorders>
              <w:bottom w:val="single" w:sz="4" w:space="0" w:color="1B556B" w:themeColor="text2"/>
            </w:tcBorders>
            <w:shd w:val="clear" w:color="auto" w:fill="auto"/>
          </w:tcPr>
          <w:p w14:paraId="2A26A24E" w14:textId="77777777" w:rsidR="00ED2EBD" w:rsidRPr="00BD16B4" w:rsidRDefault="00ED2EBD" w:rsidP="004A205F">
            <w:pPr>
              <w:pStyle w:val="TableText"/>
              <w:spacing w:before="40"/>
              <w:jc w:val="right"/>
              <w:rPr>
                <w:szCs w:val="18"/>
              </w:rPr>
            </w:pPr>
            <w:r w:rsidRPr="00BD16B4">
              <w:rPr>
                <w:szCs w:val="18"/>
              </w:rPr>
              <w:t>0.52</w:t>
            </w:r>
          </w:p>
        </w:tc>
        <w:tc>
          <w:tcPr>
            <w:tcW w:w="907" w:type="dxa"/>
            <w:tcBorders>
              <w:bottom w:val="single" w:sz="4" w:space="0" w:color="1B556B" w:themeColor="text2"/>
            </w:tcBorders>
            <w:shd w:val="clear" w:color="auto" w:fill="auto"/>
          </w:tcPr>
          <w:p w14:paraId="272D5E55" w14:textId="77777777" w:rsidR="00ED2EBD" w:rsidRPr="00BD16B4" w:rsidRDefault="00ED2EBD" w:rsidP="004A205F">
            <w:pPr>
              <w:pStyle w:val="TableText"/>
              <w:spacing w:before="40"/>
              <w:jc w:val="right"/>
              <w:rPr>
                <w:szCs w:val="18"/>
              </w:rPr>
            </w:pPr>
            <w:r w:rsidRPr="00BD16B4">
              <w:rPr>
                <w:szCs w:val="18"/>
              </w:rPr>
              <w:t>0.54</w:t>
            </w:r>
          </w:p>
        </w:tc>
        <w:tc>
          <w:tcPr>
            <w:tcW w:w="907" w:type="dxa"/>
            <w:tcBorders>
              <w:bottom w:val="single" w:sz="4" w:space="0" w:color="1B556B" w:themeColor="text2"/>
            </w:tcBorders>
            <w:shd w:val="clear" w:color="auto" w:fill="auto"/>
          </w:tcPr>
          <w:p w14:paraId="1288AE1C" w14:textId="77777777" w:rsidR="00ED2EBD" w:rsidRPr="00BD16B4" w:rsidRDefault="00ED2EBD" w:rsidP="004A205F">
            <w:pPr>
              <w:pStyle w:val="TableText"/>
              <w:spacing w:before="40"/>
              <w:jc w:val="right"/>
              <w:rPr>
                <w:szCs w:val="18"/>
              </w:rPr>
            </w:pPr>
            <w:r w:rsidRPr="00BD16B4">
              <w:rPr>
                <w:szCs w:val="18"/>
              </w:rPr>
              <w:t>0.55</w:t>
            </w:r>
          </w:p>
        </w:tc>
        <w:tc>
          <w:tcPr>
            <w:tcW w:w="907" w:type="dxa"/>
            <w:tcBorders>
              <w:bottom w:val="single" w:sz="4" w:space="0" w:color="1B556B" w:themeColor="text2"/>
            </w:tcBorders>
            <w:shd w:val="clear" w:color="auto" w:fill="auto"/>
          </w:tcPr>
          <w:p w14:paraId="208C29BD" w14:textId="77777777" w:rsidR="00ED2EBD" w:rsidRPr="00BD16B4" w:rsidRDefault="00ED2EBD" w:rsidP="004A205F">
            <w:pPr>
              <w:pStyle w:val="TableText"/>
              <w:spacing w:before="40"/>
              <w:jc w:val="right"/>
              <w:rPr>
                <w:szCs w:val="18"/>
              </w:rPr>
            </w:pPr>
            <w:r w:rsidRPr="00BD16B4">
              <w:rPr>
                <w:szCs w:val="18"/>
              </w:rPr>
              <w:t>0.56</w:t>
            </w:r>
          </w:p>
        </w:tc>
      </w:tr>
      <w:tr w:rsidR="00ED2EBD" w:rsidRPr="00BD16B4" w14:paraId="10E88CD3" w14:textId="77777777" w:rsidTr="004625B0">
        <w:tc>
          <w:tcPr>
            <w:tcW w:w="3964" w:type="dxa"/>
          </w:tcPr>
          <w:p w14:paraId="2ECF93A8" w14:textId="4106C902" w:rsidR="00ED2EBD" w:rsidRPr="00BD16B4" w:rsidRDefault="00ED2EBD" w:rsidP="004A205F">
            <w:pPr>
              <w:pStyle w:val="TableText"/>
              <w:spacing w:before="40"/>
              <w:rPr>
                <w:szCs w:val="18"/>
              </w:rPr>
            </w:pPr>
            <w:r w:rsidRPr="00BD16B4">
              <w:rPr>
                <w:szCs w:val="18"/>
              </w:rPr>
              <w:t>A.</w:t>
            </w:r>
            <w:r w:rsidR="00280979" w:rsidRPr="00BD16B4">
              <w:rPr>
                <w:szCs w:val="18"/>
              </w:rPr>
              <w:t xml:space="preserve"> </w:t>
            </w:r>
            <w:r w:rsidRPr="00BD16B4">
              <w:rPr>
                <w:szCs w:val="18"/>
              </w:rPr>
              <w:t xml:space="preserve">Solid waste disposal </w:t>
            </w:r>
          </w:p>
        </w:tc>
        <w:tc>
          <w:tcPr>
            <w:tcW w:w="907" w:type="dxa"/>
            <w:tcBorders>
              <w:top w:val="single" w:sz="4" w:space="0" w:color="1B556B" w:themeColor="text2"/>
            </w:tcBorders>
            <w:shd w:val="clear" w:color="auto" w:fill="D2DDE1" w:themeFill="background2"/>
          </w:tcPr>
          <w:p w14:paraId="6C605BF6"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7B4D498"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F4C982B"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876985E"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8C0139C"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BBD09C2"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E2C3942"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19D7463"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086EAE1"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02EDAFAE"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3795616" w14:textId="77777777" w:rsidR="00ED2EBD" w:rsidRPr="00BD16B4" w:rsidRDefault="00ED2EBD" w:rsidP="004A205F">
            <w:pPr>
              <w:pStyle w:val="TableText"/>
              <w:spacing w:before="40"/>
              <w:jc w:val="right"/>
              <w:rPr>
                <w:szCs w:val="18"/>
              </w:rPr>
            </w:pPr>
            <w:r w:rsidRPr="00BD16B4">
              <w:rPr>
                <w:color w:val="000000"/>
                <w:szCs w:val="18"/>
              </w:rPr>
              <w:t> </w:t>
            </w:r>
          </w:p>
        </w:tc>
      </w:tr>
      <w:tr w:rsidR="00AA2930" w:rsidRPr="00BD16B4" w14:paraId="6A410D0D" w14:textId="77777777" w:rsidTr="004625B0">
        <w:tc>
          <w:tcPr>
            <w:tcW w:w="3964" w:type="dxa"/>
          </w:tcPr>
          <w:p w14:paraId="446F2463" w14:textId="6B573F0F" w:rsidR="00ED2EBD" w:rsidRPr="00BD16B4" w:rsidRDefault="00ED2EBD" w:rsidP="004A205F">
            <w:pPr>
              <w:pStyle w:val="TableText"/>
              <w:spacing w:before="40"/>
              <w:rPr>
                <w:szCs w:val="18"/>
              </w:rPr>
            </w:pPr>
            <w:r w:rsidRPr="00BD16B4">
              <w:rPr>
                <w:szCs w:val="18"/>
              </w:rPr>
              <w:t>B.</w:t>
            </w:r>
            <w:r w:rsidR="00280979" w:rsidRPr="00BD16B4">
              <w:rPr>
                <w:szCs w:val="18"/>
              </w:rPr>
              <w:t xml:space="preserve"> </w:t>
            </w:r>
            <w:r w:rsidRPr="00BD16B4">
              <w:rPr>
                <w:szCs w:val="18"/>
              </w:rPr>
              <w:t>Biological treatment of solid waste</w:t>
            </w:r>
          </w:p>
        </w:tc>
        <w:tc>
          <w:tcPr>
            <w:tcW w:w="907" w:type="dxa"/>
            <w:shd w:val="clear" w:color="auto" w:fill="auto"/>
          </w:tcPr>
          <w:p w14:paraId="76D3CA78" w14:textId="77777777" w:rsidR="00ED2EBD" w:rsidRPr="00BD16B4" w:rsidRDefault="00ED2EBD" w:rsidP="004A205F">
            <w:pPr>
              <w:pStyle w:val="TableText"/>
              <w:spacing w:before="40"/>
              <w:jc w:val="right"/>
              <w:rPr>
                <w:szCs w:val="18"/>
              </w:rPr>
            </w:pPr>
            <w:r w:rsidRPr="00BD16B4">
              <w:rPr>
                <w:szCs w:val="18"/>
              </w:rPr>
              <w:t>0.02</w:t>
            </w:r>
          </w:p>
        </w:tc>
        <w:tc>
          <w:tcPr>
            <w:tcW w:w="907" w:type="dxa"/>
            <w:shd w:val="clear" w:color="auto" w:fill="auto"/>
          </w:tcPr>
          <w:p w14:paraId="360B5C00" w14:textId="77777777" w:rsidR="00ED2EBD" w:rsidRPr="00BD16B4" w:rsidRDefault="00ED2EBD" w:rsidP="004A205F">
            <w:pPr>
              <w:pStyle w:val="TableText"/>
              <w:spacing w:before="40"/>
              <w:jc w:val="right"/>
              <w:rPr>
                <w:szCs w:val="18"/>
              </w:rPr>
            </w:pPr>
            <w:r w:rsidRPr="00BD16B4">
              <w:rPr>
                <w:szCs w:val="18"/>
              </w:rPr>
              <w:t>0.02</w:t>
            </w:r>
          </w:p>
        </w:tc>
        <w:tc>
          <w:tcPr>
            <w:tcW w:w="907" w:type="dxa"/>
            <w:shd w:val="clear" w:color="auto" w:fill="auto"/>
          </w:tcPr>
          <w:p w14:paraId="6CD52FF5" w14:textId="77777777" w:rsidR="00ED2EBD" w:rsidRPr="00BD16B4" w:rsidRDefault="00ED2EBD" w:rsidP="004A205F">
            <w:pPr>
              <w:pStyle w:val="TableText"/>
              <w:spacing w:before="40"/>
              <w:jc w:val="right"/>
              <w:rPr>
                <w:szCs w:val="18"/>
              </w:rPr>
            </w:pPr>
            <w:r w:rsidRPr="00BD16B4">
              <w:rPr>
                <w:szCs w:val="18"/>
              </w:rPr>
              <w:t>0.03</w:t>
            </w:r>
          </w:p>
        </w:tc>
        <w:tc>
          <w:tcPr>
            <w:tcW w:w="907" w:type="dxa"/>
            <w:shd w:val="clear" w:color="auto" w:fill="auto"/>
          </w:tcPr>
          <w:p w14:paraId="499DC08A" w14:textId="77777777" w:rsidR="00ED2EBD" w:rsidRPr="00BD16B4" w:rsidRDefault="00ED2EBD" w:rsidP="004A205F">
            <w:pPr>
              <w:pStyle w:val="TableText"/>
              <w:spacing w:before="40"/>
              <w:jc w:val="right"/>
              <w:rPr>
                <w:szCs w:val="18"/>
              </w:rPr>
            </w:pPr>
            <w:r w:rsidRPr="00BD16B4">
              <w:rPr>
                <w:szCs w:val="18"/>
              </w:rPr>
              <w:t>0.04</w:t>
            </w:r>
          </w:p>
        </w:tc>
        <w:tc>
          <w:tcPr>
            <w:tcW w:w="907" w:type="dxa"/>
            <w:shd w:val="clear" w:color="auto" w:fill="auto"/>
          </w:tcPr>
          <w:p w14:paraId="43F055C2" w14:textId="77777777" w:rsidR="00ED2EBD" w:rsidRPr="00BD16B4" w:rsidRDefault="00ED2EBD" w:rsidP="004A205F">
            <w:pPr>
              <w:pStyle w:val="TableText"/>
              <w:spacing w:before="40"/>
              <w:jc w:val="right"/>
              <w:rPr>
                <w:szCs w:val="18"/>
              </w:rPr>
            </w:pPr>
            <w:r w:rsidRPr="00BD16B4">
              <w:rPr>
                <w:szCs w:val="18"/>
              </w:rPr>
              <w:t>0.04</w:t>
            </w:r>
          </w:p>
        </w:tc>
        <w:tc>
          <w:tcPr>
            <w:tcW w:w="907" w:type="dxa"/>
            <w:shd w:val="clear" w:color="auto" w:fill="auto"/>
          </w:tcPr>
          <w:p w14:paraId="7616D554" w14:textId="77777777" w:rsidR="00ED2EBD" w:rsidRPr="00BD16B4" w:rsidRDefault="00ED2EBD" w:rsidP="004A205F">
            <w:pPr>
              <w:pStyle w:val="TableText"/>
              <w:spacing w:before="40"/>
              <w:jc w:val="right"/>
              <w:rPr>
                <w:szCs w:val="18"/>
              </w:rPr>
            </w:pPr>
            <w:r w:rsidRPr="00BD16B4">
              <w:rPr>
                <w:szCs w:val="18"/>
              </w:rPr>
              <w:t>0.05</w:t>
            </w:r>
          </w:p>
        </w:tc>
        <w:tc>
          <w:tcPr>
            <w:tcW w:w="907" w:type="dxa"/>
            <w:shd w:val="clear" w:color="auto" w:fill="auto"/>
          </w:tcPr>
          <w:p w14:paraId="65030042" w14:textId="77777777" w:rsidR="00ED2EBD" w:rsidRPr="00BD16B4" w:rsidRDefault="00ED2EBD" w:rsidP="004A205F">
            <w:pPr>
              <w:pStyle w:val="TableText"/>
              <w:spacing w:before="40"/>
              <w:jc w:val="right"/>
              <w:rPr>
                <w:szCs w:val="18"/>
              </w:rPr>
            </w:pPr>
            <w:r w:rsidRPr="00BD16B4">
              <w:rPr>
                <w:szCs w:val="18"/>
              </w:rPr>
              <w:t>0.06</w:t>
            </w:r>
          </w:p>
        </w:tc>
        <w:tc>
          <w:tcPr>
            <w:tcW w:w="907" w:type="dxa"/>
            <w:shd w:val="clear" w:color="auto" w:fill="auto"/>
          </w:tcPr>
          <w:p w14:paraId="3F2DD0D9" w14:textId="77777777" w:rsidR="00ED2EBD" w:rsidRPr="00BD16B4" w:rsidRDefault="00ED2EBD" w:rsidP="004A205F">
            <w:pPr>
              <w:pStyle w:val="TableText"/>
              <w:spacing w:before="40"/>
              <w:jc w:val="right"/>
              <w:rPr>
                <w:szCs w:val="18"/>
              </w:rPr>
            </w:pPr>
            <w:r w:rsidRPr="00BD16B4">
              <w:rPr>
                <w:szCs w:val="18"/>
              </w:rPr>
              <w:t>0.07</w:t>
            </w:r>
          </w:p>
        </w:tc>
        <w:tc>
          <w:tcPr>
            <w:tcW w:w="907" w:type="dxa"/>
            <w:shd w:val="clear" w:color="auto" w:fill="auto"/>
          </w:tcPr>
          <w:p w14:paraId="5BB1EBBF" w14:textId="77777777" w:rsidR="00ED2EBD" w:rsidRPr="00BD16B4" w:rsidRDefault="00ED2EBD" w:rsidP="004A205F">
            <w:pPr>
              <w:pStyle w:val="TableText"/>
              <w:spacing w:before="40"/>
              <w:jc w:val="right"/>
              <w:rPr>
                <w:szCs w:val="18"/>
              </w:rPr>
            </w:pPr>
            <w:r w:rsidRPr="00BD16B4">
              <w:rPr>
                <w:szCs w:val="18"/>
              </w:rPr>
              <w:t>0.08</w:t>
            </w:r>
          </w:p>
        </w:tc>
        <w:tc>
          <w:tcPr>
            <w:tcW w:w="907" w:type="dxa"/>
            <w:shd w:val="clear" w:color="auto" w:fill="auto"/>
          </w:tcPr>
          <w:p w14:paraId="53ADF333" w14:textId="77777777" w:rsidR="00ED2EBD" w:rsidRPr="00BD16B4" w:rsidRDefault="00ED2EBD" w:rsidP="004A205F">
            <w:pPr>
              <w:pStyle w:val="TableText"/>
              <w:spacing w:before="40"/>
              <w:jc w:val="right"/>
              <w:rPr>
                <w:szCs w:val="18"/>
              </w:rPr>
            </w:pPr>
            <w:r w:rsidRPr="00BD16B4">
              <w:rPr>
                <w:szCs w:val="18"/>
              </w:rPr>
              <w:t>0.09</w:t>
            </w:r>
          </w:p>
        </w:tc>
        <w:tc>
          <w:tcPr>
            <w:tcW w:w="907" w:type="dxa"/>
            <w:shd w:val="clear" w:color="auto" w:fill="auto"/>
          </w:tcPr>
          <w:p w14:paraId="5357CC2F" w14:textId="77777777" w:rsidR="00ED2EBD" w:rsidRPr="00BD16B4" w:rsidRDefault="00ED2EBD" w:rsidP="004A205F">
            <w:pPr>
              <w:pStyle w:val="TableText"/>
              <w:spacing w:before="40"/>
              <w:jc w:val="right"/>
              <w:rPr>
                <w:szCs w:val="18"/>
              </w:rPr>
            </w:pPr>
            <w:r w:rsidRPr="00BD16B4">
              <w:rPr>
                <w:szCs w:val="18"/>
              </w:rPr>
              <w:t>0.10</w:t>
            </w:r>
          </w:p>
        </w:tc>
      </w:tr>
      <w:tr w:rsidR="00AA2930" w:rsidRPr="00BD16B4" w14:paraId="48C6BBF1" w14:textId="77777777" w:rsidTr="004625B0">
        <w:tc>
          <w:tcPr>
            <w:tcW w:w="3964" w:type="dxa"/>
          </w:tcPr>
          <w:p w14:paraId="5C9E8DBA" w14:textId="63CE20B1" w:rsidR="00ED2EBD" w:rsidRPr="00BD16B4" w:rsidRDefault="00ED2EBD" w:rsidP="004A205F">
            <w:pPr>
              <w:pStyle w:val="TableText"/>
              <w:spacing w:before="40"/>
              <w:rPr>
                <w:szCs w:val="18"/>
              </w:rPr>
            </w:pPr>
            <w:r w:rsidRPr="00BD16B4">
              <w:rPr>
                <w:szCs w:val="18"/>
              </w:rPr>
              <w:t>C.</w:t>
            </w:r>
            <w:r w:rsidR="00280979" w:rsidRPr="00BD16B4">
              <w:rPr>
                <w:szCs w:val="18"/>
              </w:rPr>
              <w:t xml:space="preserve"> </w:t>
            </w:r>
            <w:r w:rsidRPr="00BD16B4">
              <w:rPr>
                <w:szCs w:val="18"/>
              </w:rPr>
              <w:t>Incineration and open burning of waste</w:t>
            </w:r>
          </w:p>
        </w:tc>
        <w:tc>
          <w:tcPr>
            <w:tcW w:w="907" w:type="dxa"/>
            <w:shd w:val="clear" w:color="auto" w:fill="auto"/>
          </w:tcPr>
          <w:p w14:paraId="49B008E3" w14:textId="77777777" w:rsidR="00ED2EBD" w:rsidRPr="00BD16B4" w:rsidRDefault="00ED2EBD" w:rsidP="004A205F">
            <w:pPr>
              <w:pStyle w:val="TableText"/>
              <w:spacing w:before="40"/>
              <w:jc w:val="right"/>
              <w:rPr>
                <w:szCs w:val="18"/>
              </w:rPr>
            </w:pPr>
            <w:r w:rsidRPr="00BD16B4">
              <w:rPr>
                <w:szCs w:val="18"/>
              </w:rPr>
              <w:t>0.07</w:t>
            </w:r>
          </w:p>
        </w:tc>
        <w:tc>
          <w:tcPr>
            <w:tcW w:w="907" w:type="dxa"/>
            <w:shd w:val="clear" w:color="auto" w:fill="auto"/>
          </w:tcPr>
          <w:p w14:paraId="0151D106" w14:textId="77777777" w:rsidR="00ED2EBD" w:rsidRPr="00BD16B4" w:rsidRDefault="00ED2EBD" w:rsidP="004A205F">
            <w:pPr>
              <w:pStyle w:val="TableText"/>
              <w:spacing w:before="40"/>
              <w:jc w:val="right"/>
              <w:rPr>
                <w:szCs w:val="18"/>
              </w:rPr>
            </w:pPr>
            <w:r w:rsidRPr="00BD16B4">
              <w:rPr>
                <w:szCs w:val="18"/>
              </w:rPr>
              <w:t>0.07</w:t>
            </w:r>
          </w:p>
        </w:tc>
        <w:tc>
          <w:tcPr>
            <w:tcW w:w="907" w:type="dxa"/>
            <w:shd w:val="clear" w:color="auto" w:fill="auto"/>
          </w:tcPr>
          <w:p w14:paraId="3ACC7D84" w14:textId="77777777" w:rsidR="00ED2EBD" w:rsidRPr="00BD16B4" w:rsidRDefault="00ED2EBD" w:rsidP="004A205F">
            <w:pPr>
              <w:pStyle w:val="TableText"/>
              <w:spacing w:before="40"/>
              <w:jc w:val="right"/>
              <w:rPr>
                <w:szCs w:val="18"/>
              </w:rPr>
            </w:pPr>
            <w:r w:rsidRPr="00BD16B4">
              <w:rPr>
                <w:szCs w:val="18"/>
              </w:rPr>
              <w:t>0.07</w:t>
            </w:r>
          </w:p>
        </w:tc>
        <w:tc>
          <w:tcPr>
            <w:tcW w:w="907" w:type="dxa"/>
            <w:shd w:val="clear" w:color="auto" w:fill="auto"/>
          </w:tcPr>
          <w:p w14:paraId="51F7FC7B" w14:textId="77777777" w:rsidR="00ED2EBD" w:rsidRPr="00BD16B4" w:rsidRDefault="00ED2EBD" w:rsidP="004A205F">
            <w:pPr>
              <w:pStyle w:val="TableText"/>
              <w:spacing w:before="40"/>
              <w:jc w:val="right"/>
              <w:rPr>
                <w:szCs w:val="18"/>
              </w:rPr>
            </w:pPr>
            <w:r w:rsidRPr="00BD16B4">
              <w:rPr>
                <w:szCs w:val="18"/>
              </w:rPr>
              <w:t>0.07</w:t>
            </w:r>
          </w:p>
        </w:tc>
        <w:tc>
          <w:tcPr>
            <w:tcW w:w="907" w:type="dxa"/>
            <w:shd w:val="clear" w:color="auto" w:fill="auto"/>
          </w:tcPr>
          <w:p w14:paraId="319DE396" w14:textId="77777777" w:rsidR="00ED2EBD" w:rsidRPr="00BD16B4" w:rsidRDefault="00ED2EBD" w:rsidP="004A205F">
            <w:pPr>
              <w:pStyle w:val="TableText"/>
              <w:spacing w:before="40"/>
              <w:jc w:val="right"/>
              <w:rPr>
                <w:szCs w:val="18"/>
              </w:rPr>
            </w:pPr>
            <w:r w:rsidRPr="00BD16B4">
              <w:rPr>
                <w:szCs w:val="18"/>
              </w:rPr>
              <w:t>0.07</w:t>
            </w:r>
          </w:p>
        </w:tc>
        <w:tc>
          <w:tcPr>
            <w:tcW w:w="907" w:type="dxa"/>
            <w:shd w:val="clear" w:color="auto" w:fill="auto"/>
          </w:tcPr>
          <w:p w14:paraId="1130B05C" w14:textId="77777777" w:rsidR="00ED2EBD" w:rsidRPr="00BD16B4" w:rsidRDefault="00ED2EBD" w:rsidP="004A205F">
            <w:pPr>
              <w:pStyle w:val="TableText"/>
              <w:spacing w:before="40"/>
              <w:jc w:val="right"/>
              <w:rPr>
                <w:szCs w:val="18"/>
              </w:rPr>
            </w:pPr>
            <w:r w:rsidRPr="00BD16B4">
              <w:rPr>
                <w:szCs w:val="18"/>
              </w:rPr>
              <w:t>0.07</w:t>
            </w:r>
          </w:p>
        </w:tc>
        <w:tc>
          <w:tcPr>
            <w:tcW w:w="907" w:type="dxa"/>
            <w:shd w:val="clear" w:color="auto" w:fill="auto"/>
          </w:tcPr>
          <w:p w14:paraId="13EA7C1C" w14:textId="77777777" w:rsidR="00ED2EBD" w:rsidRPr="00BD16B4" w:rsidRDefault="00ED2EBD" w:rsidP="004A205F">
            <w:pPr>
              <w:pStyle w:val="TableText"/>
              <w:spacing w:before="40"/>
              <w:jc w:val="right"/>
              <w:rPr>
                <w:szCs w:val="18"/>
              </w:rPr>
            </w:pPr>
            <w:r w:rsidRPr="00BD16B4">
              <w:rPr>
                <w:szCs w:val="18"/>
              </w:rPr>
              <w:t>0.07</w:t>
            </w:r>
          </w:p>
        </w:tc>
        <w:tc>
          <w:tcPr>
            <w:tcW w:w="907" w:type="dxa"/>
            <w:shd w:val="clear" w:color="auto" w:fill="auto"/>
          </w:tcPr>
          <w:p w14:paraId="25A80AFA" w14:textId="77777777" w:rsidR="00ED2EBD" w:rsidRPr="00BD16B4" w:rsidRDefault="00ED2EBD" w:rsidP="004A205F">
            <w:pPr>
              <w:pStyle w:val="TableText"/>
              <w:spacing w:before="40"/>
              <w:jc w:val="right"/>
              <w:rPr>
                <w:szCs w:val="18"/>
              </w:rPr>
            </w:pPr>
            <w:r w:rsidRPr="00BD16B4">
              <w:rPr>
                <w:szCs w:val="18"/>
              </w:rPr>
              <w:t>0.06</w:t>
            </w:r>
          </w:p>
        </w:tc>
        <w:tc>
          <w:tcPr>
            <w:tcW w:w="907" w:type="dxa"/>
            <w:shd w:val="clear" w:color="auto" w:fill="auto"/>
          </w:tcPr>
          <w:p w14:paraId="3AB9D344" w14:textId="77777777" w:rsidR="00ED2EBD" w:rsidRPr="00BD16B4" w:rsidRDefault="00ED2EBD" w:rsidP="004A205F">
            <w:pPr>
              <w:pStyle w:val="TableText"/>
              <w:spacing w:before="40"/>
              <w:jc w:val="right"/>
              <w:rPr>
                <w:szCs w:val="18"/>
              </w:rPr>
            </w:pPr>
            <w:r w:rsidRPr="00BD16B4">
              <w:rPr>
                <w:szCs w:val="18"/>
              </w:rPr>
              <w:t>0.06</w:t>
            </w:r>
          </w:p>
        </w:tc>
        <w:tc>
          <w:tcPr>
            <w:tcW w:w="907" w:type="dxa"/>
            <w:shd w:val="clear" w:color="auto" w:fill="auto"/>
          </w:tcPr>
          <w:p w14:paraId="05EAA542" w14:textId="77777777" w:rsidR="00ED2EBD" w:rsidRPr="00BD16B4" w:rsidRDefault="00ED2EBD" w:rsidP="004A205F">
            <w:pPr>
              <w:pStyle w:val="TableText"/>
              <w:spacing w:before="40"/>
              <w:jc w:val="right"/>
              <w:rPr>
                <w:szCs w:val="18"/>
              </w:rPr>
            </w:pPr>
            <w:r w:rsidRPr="00BD16B4">
              <w:rPr>
                <w:szCs w:val="18"/>
              </w:rPr>
              <w:t>0.06</w:t>
            </w:r>
          </w:p>
        </w:tc>
        <w:tc>
          <w:tcPr>
            <w:tcW w:w="907" w:type="dxa"/>
            <w:shd w:val="clear" w:color="auto" w:fill="auto"/>
          </w:tcPr>
          <w:p w14:paraId="15D28861" w14:textId="77777777" w:rsidR="00ED2EBD" w:rsidRPr="00BD16B4" w:rsidRDefault="00ED2EBD" w:rsidP="004A205F">
            <w:pPr>
              <w:pStyle w:val="TableText"/>
              <w:spacing w:before="40"/>
              <w:jc w:val="right"/>
              <w:rPr>
                <w:szCs w:val="18"/>
              </w:rPr>
            </w:pPr>
            <w:r w:rsidRPr="00BD16B4">
              <w:rPr>
                <w:szCs w:val="18"/>
              </w:rPr>
              <w:t>0.06</w:t>
            </w:r>
          </w:p>
        </w:tc>
      </w:tr>
      <w:tr w:rsidR="00AA2930" w:rsidRPr="00BD16B4" w14:paraId="21B6DC9E" w14:textId="77777777" w:rsidTr="004625B0">
        <w:tc>
          <w:tcPr>
            <w:tcW w:w="3964" w:type="dxa"/>
          </w:tcPr>
          <w:p w14:paraId="0B24EA11" w14:textId="40559A5B" w:rsidR="00ED2EBD" w:rsidRPr="00BD16B4" w:rsidRDefault="00ED2EBD" w:rsidP="004A205F">
            <w:pPr>
              <w:pStyle w:val="TableText"/>
              <w:spacing w:before="40"/>
              <w:rPr>
                <w:szCs w:val="18"/>
              </w:rPr>
            </w:pPr>
            <w:r w:rsidRPr="00BD16B4">
              <w:rPr>
                <w:szCs w:val="18"/>
              </w:rPr>
              <w:t>D.</w:t>
            </w:r>
            <w:r w:rsidR="00280979" w:rsidRPr="00BD16B4">
              <w:rPr>
                <w:szCs w:val="18"/>
              </w:rPr>
              <w:t xml:space="preserve"> </w:t>
            </w:r>
            <w:r w:rsidRPr="00BD16B4">
              <w:rPr>
                <w:szCs w:val="18"/>
              </w:rPr>
              <w:t>Waste water treatment and discharge</w:t>
            </w:r>
          </w:p>
        </w:tc>
        <w:tc>
          <w:tcPr>
            <w:tcW w:w="907" w:type="dxa"/>
            <w:tcBorders>
              <w:bottom w:val="single" w:sz="4" w:space="0" w:color="1B556B" w:themeColor="text2"/>
            </w:tcBorders>
            <w:shd w:val="clear" w:color="auto" w:fill="auto"/>
          </w:tcPr>
          <w:p w14:paraId="223435AA" w14:textId="77777777" w:rsidR="00ED2EBD" w:rsidRPr="00BD16B4" w:rsidRDefault="00ED2EBD" w:rsidP="004A205F">
            <w:pPr>
              <w:pStyle w:val="TableText"/>
              <w:spacing w:before="40"/>
              <w:jc w:val="right"/>
              <w:rPr>
                <w:szCs w:val="18"/>
              </w:rPr>
            </w:pPr>
            <w:r w:rsidRPr="00BD16B4">
              <w:rPr>
                <w:szCs w:val="18"/>
              </w:rPr>
              <w:t>0.35</w:t>
            </w:r>
          </w:p>
        </w:tc>
        <w:tc>
          <w:tcPr>
            <w:tcW w:w="907" w:type="dxa"/>
            <w:tcBorders>
              <w:bottom w:val="single" w:sz="4" w:space="0" w:color="1B556B" w:themeColor="text2"/>
            </w:tcBorders>
            <w:shd w:val="clear" w:color="auto" w:fill="auto"/>
          </w:tcPr>
          <w:p w14:paraId="47FB8A08" w14:textId="77777777" w:rsidR="00ED2EBD" w:rsidRPr="00BD16B4" w:rsidRDefault="00ED2EBD" w:rsidP="004A205F">
            <w:pPr>
              <w:pStyle w:val="TableText"/>
              <w:spacing w:before="40"/>
              <w:jc w:val="right"/>
              <w:rPr>
                <w:szCs w:val="18"/>
              </w:rPr>
            </w:pPr>
            <w:r w:rsidRPr="00BD16B4">
              <w:rPr>
                <w:szCs w:val="18"/>
              </w:rPr>
              <w:t>0.35</w:t>
            </w:r>
          </w:p>
        </w:tc>
        <w:tc>
          <w:tcPr>
            <w:tcW w:w="907" w:type="dxa"/>
            <w:tcBorders>
              <w:bottom w:val="single" w:sz="4" w:space="0" w:color="1B556B" w:themeColor="text2"/>
            </w:tcBorders>
            <w:shd w:val="clear" w:color="auto" w:fill="auto"/>
          </w:tcPr>
          <w:p w14:paraId="17EB357E" w14:textId="77777777" w:rsidR="00ED2EBD" w:rsidRPr="00BD16B4" w:rsidRDefault="00ED2EBD" w:rsidP="004A205F">
            <w:pPr>
              <w:pStyle w:val="TableText"/>
              <w:spacing w:before="40"/>
              <w:jc w:val="right"/>
              <w:rPr>
                <w:szCs w:val="18"/>
              </w:rPr>
            </w:pPr>
            <w:r w:rsidRPr="00BD16B4">
              <w:rPr>
                <w:szCs w:val="18"/>
              </w:rPr>
              <w:t>0.35</w:t>
            </w:r>
          </w:p>
        </w:tc>
        <w:tc>
          <w:tcPr>
            <w:tcW w:w="907" w:type="dxa"/>
            <w:tcBorders>
              <w:bottom w:val="single" w:sz="4" w:space="0" w:color="1B556B" w:themeColor="text2"/>
            </w:tcBorders>
            <w:shd w:val="clear" w:color="auto" w:fill="auto"/>
          </w:tcPr>
          <w:p w14:paraId="356FDB6C" w14:textId="77777777" w:rsidR="00ED2EBD" w:rsidRPr="00BD16B4" w:rsidRDefault="00ED2EBD" w:rsidP="004A205F">
            <w:pPr>
              <w:pStyle w:val="TableText"/>
              <w:spacing w:before="40"/>
              <w:jc w:val="right"/>
              <w:rPr>
                <w:szCs w:val="18"/>
              </w:rPr>
            </w:pPr>
            <w:r w:rsidRPr="00BD16B4">
              <w:rPr>
                <w:szCs w:val="18"/>
              </w:rPr>
              <w:t>0.36</w:t>
            </w:r>
          </w:p>
        </w:tc>
        <w:tc>
          <w:tcPr>
            <w:tcW w:w="907" w:type="dxa"/>
            <w:tcBorders>
              <w:bottom w:val="single" w:sz="4" w:space="0" w:color="1B556B" w:themeColor="text2"/>
            </w:tcBorders>
            <w:shd w:val="clear" w:color="auto" w:fill="auto"/>
          </w:tcPr>
          <w:p w14:paraId="1F417E00" w14:textId="77777777" w:rsidR="00ED2EBD" w:rsidRPr="00BD16B4" w:rsidRDefault="00ED2EBD" w:rsidP="004A205F">
            <w:pPr>
              <w:pStyle w:val="TableText"/>
              <w:spacing w:before="40"/>
              <w:jc w:val="right"/>
              <w:rPr>
                <w:szCs w:val="18"/>
              </w:rPr>
            </w:pPr>
            <w:r w:rsidRPr="00BD16B4">
              <w:rPr>
                <w:szCs w:val="18"/>
              </w:rPr>
              <w:t>0.36</w:t>
            </w:r>
          </w:p>
        </w:tc>
        <w:tc>
          <w:tcPr>
            <w:tcW w:w="907" w:type="dxa"/>
            <w:tcBorders>
              <w:bottom w:val="single" w:sz="4" w:space="0" w:color="1B556B" w:themeColor="text2"/>
            </w:tcBorders>
            <w:shd w:val="clear" w:color="auto" w:fill="auto"/>
          </w:tcPr>
          <w:p w14:paraId="2E8B8F95" w14:textId="77777777" w:rsidR="00ED2EBD" w:rsidRPr="00BD16B4" w:rsidRDefault="00ED2EBD" w:rsidP="004A205F">
            <w:pPr>
              <w:pStyle w:val="TableText"/>
              <w:spacing w:before="40"/>
              <w:jc w:val="right"/>
              <w:rPr>
                <w:szCs w:val="18"/>
              </w:rPr>
            </w:pPr>
            <w:r w:rsidRPr="00BD16B4">
              <w:rPr>
                <w:szCs w:val="18"/>
              </w:rPr>
              <w:t>0.37</w:t>
            </w:r>
          </w:p>
        </w:tc>
        <w:tc>
          <w:tcPr>
            <w:tcW w:w="907" w:type="dxa"/>
            <w:tcBorders>
              <w:bottom w:val="single" w:sz="4" w:space="0" w:color="1B556B" w:themeColor="text2"/>
            </w:tcBorders>
            <w:shd w:val="clear" w:color="auto" w:fill="auto"/>
          </w:tcPr>
          <w:p w14:paraId="3B1008D7" w14:textId="77777777" w:rsidR="00ED2EBD" w:rsidRPr="00BD16B4" w:rsidRDefault="00ED2EBD" w:rsidP="004A205F">
            <w:pPr>
              <w:pStyle w:val="TableText"/>
              <w:spacing w:before="40"/>
              <w:jc w:val="right"/>
              <w:rPr>
                <w:szCs w:val="18"/>
              </w:rPr>
            </w:pPr>
            <w:r w:rsidRPr="00BD16B4">
              <w:rPr>
                <w:szCs w:val="18"/>
              </w:rPr>
              <w:t>0.38</w:t>
            </w:r>
          </w:p>
        </w:tc>
        <w:tc>
          <w:tcPr>
            <w:tcW w:w="907" w:type="dxa"/>
            <w:tcBorders>
              <w:bottom w:val="single" w:sz="4" w:space="0" w:color="1B556B" w:themeColor="text2"/>
            </w:tcBorders>
            <w:shd w:val="clear" w:color="auto" w:fill="auto"/>
          </w:tcPr>
          <w:p w14:paraId="71300568" w14:textId="77777777" w:rsidR="00ED2EBD" w:rsidRPr="00BD16B4" w:rsidRDefault="00ED2EBD" w:rsidP="004A205F">
            <w:pPr>
              <w:pStyle w:val="TableText"/>
              <w:spacing w:before="40"/>
              <w:jc w:val="right"/>
              <w:rPr>
                <w:szCs w:val="18"/>
              </w:rPr>
            </w:pPr>
            <w:r w:rsidRPr="00BD16B4">
              <w:rPr>
                <w:szCs w:val="18"/>
              </w:rPr>
              <w:t>0.39</w:t>
            </w:r>
          </w:p>
        </w:tc>
        <w:tc>
          <w:tcPr>
            <w:tcW w:w="907" w:type="dxa"/>
            <w:tcBorders>
              <w:bottom w:val="single" w:sz="4" w:space="0" w:color="1B556B" w:themeColor="text2"/>
            </w:tcBorders>
            <w:shd w:val="clear" w:color="auto" w:fill="auto"/>
          </w:tcPr>
          <w:p w14:paraId="5A4C56CC" w14:textId="77777777" w:rsidR="00ED2EBD" w:rsidRPr="00BD16B4" w:rsidRDefault="00ED2EBD" w:rsidP="004A205F">
            <w:pPr>
              <w:pStyle w:val="TableText"/>
              <w:spacing w:before="40"/>
              <w:jc w:val="right"/>
              <w:rPr>
                <w:szCs w:val="18"/>
              </w:rPr>
            </w:pPr>
            <w:r w:rsidRPr="00BD16B4">
              <w:rPr>
                <w:szCs w:val="18"/>
              </w:rPr>
              <w:t>0.39</w:t>
            </w:r>
          </w:p>
        </w:tc>
        <w:tc>
          <w:tcPr>
            <w:tcW w:w="907" w:type="dxa"/>
            <w:tcBorders>
              <w:bottom w:val="single" w:sz="4" w:space="0" w:color="1B556B" w:themeColor="text2"/>
            </w:tcBorders>
            <w:shd w:val="clear" w:color="auto" w:fill="auto"/>
          </w:tcPr>
          <w:p w14:paraId="3DAABF3A" w14:textId="77777777" w:rsidR="00ED2EBD" w:rsidRPr="00BD16B4" w:rsidRDefault="00ED2EBD" w:rsidP="004A205F">
            <w:pPr>
              <w:pStyle w:val="TableText"/>
              <w:spacing w:before="40"/>
              <w:jc w:val="right"/>
              <w:rPr>
                <w:szCs w:val="18"/>
              </w:rPr>
            </w:pPr>
            <w:r w:rsidRPr="00BD16B4">
              <w:rPr>
                <w:szCs w:val="18"/>
              </w:rPr>
              <w:t>0.40</w:t>
            </w:r>
          </w:p>
        </w:tc>
        <w:tc>
          <w:tcPr>
            <w:tcW w:w="907" w:type="dxa"/>
            <w:tcBorders>
              <w:bottom w:val="single" w:sz="4" w:space="0" w:color="1B556B" w:themeColor="text2"/>
            </w:tcBorders>
            <w:shd w:val="clear" w:color="auto" w:fill="auto"/>
          </w:tcPr>
          <w:p w14:paraId="5A76FC38" w14:textId="77777777" w:rsidR="00ED2EBD" w:rsidRPr="00BD16B4" w:rsidRDefault="00ED2EBD" w:rsidP="004A205F">
            <w:pPr>
              <w:pStyle w:val="TableText"/>
              <w:spacing w:before="40"/>
              <w:jc w:val="right"/>
              <w:rPr>
                <w:szCs w:val="18"/>
              </w:rPr>
            </w:pPr>
            <w:r w:rsidRPr="00BD16B4">
              <w:rPr>
                <w:szCs w:val="18"/>
              </w:rPr>
              <w:t>0.40</w:t>
            </w:r>
          </w:p>
        </w:tc>
      </w:tr>
      <w:tr w:rsidR="00ED2EBD" w:rsidRPr="00BD16B4" w14:paraId="0326F86A" w14:textId="77777777" w:rsidTr="004625B0">
        <w:tc>
          <w:tcPr>
            <w:tcW w:w="3964" w:type="dxa"/>
          </w:tcPr>
          <w:p w14:paraId="7F3A5EEE" w14:textId="7D1B8ADD" w:rsidR="00ED2EBD" w:rsidRPr="00BD16B4" w:rsidRDefault="00ED2EBD" w:rsidP="004A205F">
            <w:pPr>
              <w:pStyle w:val="TableText"/>
              <w:spacing w:before="40"/>
              <w:rPr>
                <w:szCs w:val="18"/>
              </w:rPr>
            </w:pPr>
            <w:r w:rsidRPr="00BD16B4">
              <w:rPr>
                <w:szCs w:val="18"/>
              </w:rPr>
              <w:t>E.</w:t>
            </w:r>
            <w:r w:rsidR="00280979" w:rsidRPr="00BD16B4">
              <w:rPr>
                <w:szCs w:val="18"/>
              </w:rPr>
              <w:t xml:space="preserve"> </w:t>
            </w:r>
            <w:r w:rsidRPr="00BD16B4">
              <w:rPr>
                <w:szCs w:val="18"/>
              </w:rPr>
              <w:t xml:space="preserve">Other </w:t>
            </w:r>
          </w:p>
        </w:tc>
        <w:tc>
          <w:tcPr>
            <w:tcW w:w="907" w:type="dxa"/>
            <w:tcBorders>
              <w:top w:val="single" w:sz="4" w:space="0" w:color="1B556B" w:themeColor="text2"/>
            </w:tcBorders>
            <w:shd w:val="clear" w:color="auto" w:fill="D2DDE1" w:themeFill="background2"/>
          </w:tcPr>
          <w:p w14:paraId="7D58BFE0"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0C5F879"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55DA1CC9"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B8F3B44"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30E156ED"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FD096EA"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103A8087"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2F6175A3"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48EAC9B4"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7248CFE9" w14:textId="77777777" w:rsidR="00ED2EBD" w:rsidRPr="00BD16B4" w:rsidRDefault="00ED2EBD" w:rsidP="004A205F">
            <w:pPr>
              <w:pStyle w:val="TableText"/>
              <w:spacing w:before="40"/>
              <w:jc w:val="right"/>
              <w:rPr>
                <w:szCs w:val="18"/>
              </w:rPr>
            </w:pPr>
            <w:r w:rsidRPr="00BD16B4">
              <w:rPr>
                <w:color w:val="000000"/>
                <w:szCs w:val="18"/>
              </w:rPr>
              <w:t> </w:t>
            </w:r>
          </w:p>
        </w:tc>
        <w:tc>
          <w:tcPr>
            <w:tcW w:w="907" w:type="dxa"/>
            <w:tcBorders>
              <w:top w:val="single" w:sz="4" w:space="0" w:color="1B556B" w:themeColor="text2"/>
            </w:tcBorders>
            <w:shd w:val="clear" w:color="auto" w:fill="D2DDE1" w:themeFill="background2"/>
          </w:tcPr>
          <w:p w14:paraId="6E5D0F75" w14:textId="77777777" w:rsidR="00ED2EBD" w:rsidRPr="00BD16B4" w:rsidRDefault="00ED2EBD" w:rsidP="004A205F">
            <w:pPr>
              <w:pStyle w:val="TableText"/>
              <w:spacing w:before="40"/>
              <w:jc w:val="right"/>
              <w:rPr>
                <w:szCs w:val="18"/>
              </w:rPr>
            </w:pPr>
            <w:r w:rsidRPr="00BD16B4">
              <w:rPr>
                <w:color w:val="000000"/>
                <w:szCs w:val="18"/>
              </w:rPr>
              <w:t> </w:t>
            </w:r>
          </w:p>
        </w:tc>
      </w:tr>
      <w:tr w:rsidR="00AA2930" w:rsidRPr="00BD16B4" w14:paraId="2F455A17" w14:textId="77777777" w:rsidTr="004625B0">
        <w:tc>
          <w:tcPr>
            <w:tcW w:w="3964" w:type="dxa"/>
          </w:tcPr>
          <w:p w14:paraId="0914A632" w14:textId="56DBE3EB" w:rsidR="00ED2EBD" w:rsidRPr="00BD16B4" w:rsidRDefault="00ED2EBD" w:rsidP="004A205F">
            <w:pPr>
              <w:pStyle w:val="TableText"/>
              <w:spacing w:before="40"/>
              <w:rPr>
                <w:szCs w:val="18"/>
              </w:rPr>
            </w:pPr>
            <w:r w:rsidRPr="00BD16B4">
              <w:rPr>
                <w:b/>
                <w:bCs/>
                <w:szCs w:val="18"/>
              </w:rPr>
              <w:t>6.</w:t>
            </w:r>
            <w:r w:rsidR="00280979" w:rsidRPr="00BD16B4">
              <w:rPr>
                <w:b/>
                <w:bCs/>
                <w:szCs w:val="18"/>
              </w:rPr>
              <w:t xml:space="preserve"> </w:t>
            </w:r>
            <w:r w:rsidRPr="00BD16B4">
              <w:rPr>
                <w:b/>
                <w:bCs/>
                <w:szCs w:val="18"/>
              </w:rPr>
              <w:t>Other (as specified in summary table A.1)</w:t>
            </w:r>
          </w:p>
        </w:tc>
        <w:tc>
          <w:tcPr>
            <w:tcW w:w="907" w:type="dxa"/>
            <w:shd w:val="clear" w:color="auto" w:fill="auto"/>
          </w:tcPr>
          <w:p w14:paraId="78387BAB"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29ED4619"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0EA708DF"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390C1A0B"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204FF955"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371CE37B"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6A4FC8F6"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11DD790F"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7879F94E"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7A5E22C3" w14:textId="77777777" w:rsidR="00ED2EBD" w:rsidRPr="00BD16B4" w:rsidRDefault="00ED2EBD" w:rsidP="004A205F">
            <w:pPr>
              <w:pStyle w:val="TableText"/>
              <w:spacing w:before="40"/>
              <w:jc w:val="right"/>
              <w:rPr>
                <w:szCs w:val="18"/>
              </w:rPr>
            </w:pPr>
            <w:r w:rsidRPr="00BD16B4">
              <w:rPr>
                <w:szCs w:val="18"/>
              </w:rPr>
              <w:t>0.00</w:t>
            </w:r>
          </w:p>
        </w:tc>
        <w:tc>
          <w:tcPr>
            <w:tcW w:w="907" w:type="dxa"/>
            <w:shd w:val="clear" w:color="auto" w:fill="auto"/>
          </w:tcPr>
          <w:p w14:paraId="086895BE" w14:textId="77777777" w:rsidR="00ED2EBD" w:rsidRPr="00BD16B4" w:rsidRDefault="00ED2EBD" w:rsidP="004A205F">
            <w:pPr>
              <w:pStyle w:val="TableText"/>
              <w:spacing w:before="40"/>
              <w:jc w:val="right"/>
              <w:rPr>
                <w:szCs w:val="18"/>
              </w:rPr>
            </w:pPr>
            <w:r w:rsidRPr="00BD16B4">
              <w:rPr>
                <w:szCs w:val="18"/>
              </w:rPr>
              <w:t>0.00</w:t>
            </w:r>
          </w:p>
        </w:tc>
      </w:tr>
    </w:tbl>
    <w:p w14:paraId="129DE373" w14:textId="77777777" w:rsidR="00ED2EBD" w:rsidRPr="00BD16B4" w:rsidRDefault="00ED2EBD" w:rsidP="00ED2EBD">
      <w:pPr>
        <w:pStyle w:val="Note"/>
      </w:pPr>
      <w:r w:rsidRPr="00BD16B4">
        <w:rPr>
          <w:b/>
        </w:rPr>
        <w:t>Note:</w:t>
      </w:r>
      <w:r w:rsidRPr="00BD16B4">
        <w:tab/>
        <w:t>CO</w:t>
      </w:r>
      <w:r w:rsidRPr="00BD16B4">
        <w:rPr>
          <w:vertAlign w:val="subscript"/>
        </w:rPr>
        <w:t>2</w:t>
      </w:r>
      <w:r w:rsidRPr="00BD16B4">
        <w:t xml:space="preserve"> = carbon dioxide; CH</w:t>
      </w:r>
      <w:r w:rsidRPr="00BD16B4">
        <w:rPr>
          <w:vertAlign w:val="subscript"/>
        </w:rPr>
        <w:t>4</w:t>
      </w:r>
      <w:r w:rsidRPr="00BD16B4">
        <w:t xml:space="preserve"> = methane; IE = included elsewhere; kt = kilotonnes; N</w:t>
      </w:r>
      <w:r w:rsidRPr="00BD16B4">
        <w:rPr>
          <w:vertAlign w:val="subscript"/>
        </w:rPr>
        <w:t>2</w:t>
      </w:r>
      <w:r w:rsidRPr="00BD16B4">
        <w:t>O = nitrous oxide; NA = not applicable; NO = not occurring; ODS = ozone-depleting substances.</w:t>
      </w:r>
    </w:p>
    <w:p w14:paraId="4E2B6401" w14:textId="77777777" w:rsidR="00ED2EBD" w:rsidRPr="00BD16B4" w:rsidRDefault="00ED2EBD" w:rsidP="00ED2EBD">
      <w:pPr>
        <w:pStyle w:val="Tableheading"/>
      </w:pPr>
      <w:bookmarkStart w:id="450" w:name="_Toc121773835"/>
      <w:r w:rsidRPr="00BD16B4">
        <w:lastRenderedPageBreak/>
        <w:t>Table A.5:</w:t>
      </w:r>
      <w:r w:rsidRPr="00BD16B4">
        <w:tab/>
        <w:t>Emissions trends (HFCs, PFCs and SF</w:t>
      </w:r>
      <w:r w:rsidRPr="00BD16B4">
        <w:rPr>
          <w:vertAlign w:val="subscript"/>
        </w:rPr>
        <w:t>6</w:t>
      </w:r>
      <w:r w:rsidRPr="00BD16B4">
        <w:t>) (CTF Table 1(d)) (three parts)</w:t>
      </w:r>
      <w:bookmarkEnd w:id="450"/>
    </w:p>
    <w:p w14:paraId="71A8612A" w14:textId="77777777" w:rsidR="00ED2EBD" w:rsidRPr="00BD16B4" w:rsidRDefault="00ED2EBD" w:rsidP="00ED2EBD">
      <w:pPr>
        <w:pStyle w:val="CTFTableheading"/>
      </w:pPr>
      <w:r w:rsidRPr="00BD16B4">
        <w:t>Table A.5:</w:t>
      </w:r>
      <w:r w:rsidRPr="00BD16B4">
        <w:tab/>
        <w:t>Emissions trends (HFCs, PFCs and SF</w:t>
      </w:r>
      <w:r w:rsidRPr="00BD16B4">
        <w:rPr>
          <w:vertAlign w:val="subscript"/>
        </w:rPr>
        <w:t>6</w:t>
      </w:r>
      <w:r w:rsidRPr="00BD16B4">
        <w:t>) (CTF Table 1(d)) (part 1 of 3)</w:t>
      </w:r>
    </w:p>
    <w:tbl>
      <w:tblPr>
        <w:tblStyle w:val="MinistryfortheEnvironment"/>
        <w:tblW w:w="14515" w:type="dxa"/>
        <w:tblInd w:w="113" w:type="dxa"/>
        <w:tblCellMar>
          <w:bottom w:w="0" w:type="dxa"/>
        </w:tblCellMar>
        <w:tblLook w:val="04A0" w:firstRow="1" w:lastRow="0" w:firstColumn="1" w:lastColumn="0" w:noHBand="0" w:noVBand="1"/>
      </w:tblPr>
      <w:tblGrid>
        <w:gridCol w:w="4271"/>
        <w:gridCol w:w="1139"/>
        <w:gridCol w:w="1139"/>
        <w:gridCol w:w="1138"/>
        <w:gridCol w:w="1138"/>
        <w:gridCol w:w="1138"/>
        <w:gridCol w:w="1138"/>
        <w:gridCol w:w="1138"/>
        <w:gridCol w:w="1138"/>
        <w:gridCol w:w="1138"/>
      </w:tblGrid>
      <w:tr w:rsidR="00AA2930" w:rsidRPr="00BD16B4" w14:paraId="1628FB74" w14:textId="77777777" w:rsidTr="004625B0">
        <w:trPr>
          <w:cnfStyle w:val="100000000000" w:firstRow="1" w:lastRow="0" w:firstColumn="0" w:lastColumn="0" w:oddVBand="0" w:evenVBand="0" w:oddHBand="0" w:evenHBand="0" w:firstRowFirstColumn="0" w:firstRowLastColumn="0" w:lastRowFirstColumn="0" w:lastRowLastColumn="0"/>
          <w:tblHeader/>
        </w:trPr>
        <w:tc>
          <w:tcPr>
            <w:tcW w:w="3402" w:type="dxa"/>
            <w:tcBorders>
              <w:top w:val="single" w:sz="4" w:space="0" w:color="1B556B" w:themeColor="text2"/>
            </w:tcBorders>
            <w:vAlign w:val="bottom"/>
          </w:tcPr>
          <w:p w14:paraId="63A46A30" w14:textId="77777777" w:rsidR="00ED2EBD" w:rsidRPr="00BD16B4" w:rsidRDefault="00ED2EBD" w:rsidP="004A205F">
            <w:pPr>
              <w:pStyle w:val="TableTextbold"/>
              <w:spacing w:before="40" w:after="40"/>
              <w:rPr>
                <w:b/>
                <w:bCs/>
                <w:szCs w:val="18"/>
              </w:rPr>
            </w:pPr>
            <w:r w:rsidRPr="00BD16B4">
              <w:rPr>
                <w:b/>
                <w:bCs/>
                <w:szCs w:val="18"/>
              </w:rPr>
              <w:t xml:space="preserve">Greenhouse gas source and sink categories </w:t>
            </w:r>
          </w:p>
        </w:tc>
        <w:tc>
          <w:tcPr>
            <w:tcW w:w="907" w:type="dxa"/>
            <w:tcBorders>
              <w:top w:val="single" w:sz="4" w:space="0" w:color="1B556B" w:themeColor="text2"/>
            </w:tcBorders>
            <w:vAlign w:val="bottom"/>
          </w:tcPr>
          <w:p w14:paraId="358A9CDD" w14:textId="6AB8C459" w:rsidR="00ED2EBD" w:rsidRPr="00BD16B4" w:rsidRDefault="00ED2EBD" w:rsidP="004A205F">
            <w:pPr>
              <w:pStyle w:val="TableTextbold"/>
              <w:spacing w:before="40" w:after="40"/>
              <w:jc w:val="center"/>
              <w:rPr>
                <w:b/>
                <w:bCs/>
                <w:szCs w:val="18"/>
              </w:rPr>
            </w:pPr>
            <w:r w:rsidRPr="00BD16B4">
              <w:rPr>
                <w:b/>
                <w:bCs/>
                <w:szCs w:val="18"/>
              </w:rPr>
              <w:t xml:space="preserve">Base year </w:t>
            </w:r>
            <w:r w:rsidR="00AA2930" w:rsidRPr="00BD16B4">
              <w:rPr>
                <w:b/>
                <w:bCs/>
                <w:szCs w:val="18"/>
              </w:rPr>
              <w:br/>
            </w:r>
            <w:r w:rsidRPr="00BD16B4">
              <w:rPr>
                <w:b/>
                <w:bCs/>
                <w:szCs w:val="18"/>
              </w:rPr>
              <w:t>1990</w:t>
            </w:r>
            <w:r w:rsidR="00AA2930" w:rsidRPr="00BD16B4">
              <w:rPr>
                <w:b/>
                <w:bCs/>
                <w:szCs w:val="18"/>
              </w:rPr>
              <w:t xml:space="preserve"> </w:t>
            </w:r>
            <w:r w:rsidRPr="00BD16B4">
              <w:rPr>
                <w:b/>
                <w:bCs/>
                <w:szCs w:val="18"/>
              </w:rPr>
              <w:t>(kt)</w:t>
            </w:r>
          </w:p>
        </w:tc>
        <w:tc>
          <w:tcPr>
            <w:tcW w:w="907" w:type="dxa"/>
            <w:tcBorders>
              <w:top w:val="single" w:sz="4" w:space="0" w:color="1B556B" w:themeColor="text2"/>
            </w:tcBorders>
            <w:vAlign w:val="bottom"/>
          </w:tcPr>
          <w:p w14:paraId="21B09391" w14:textId="77777777" w:rsidR="00ED2EBD" w:rsidRPr="00BD16B4" w:rsidRDefault="00ED2EBD" w:rsidP="004A205F">
            <w:pPr>
              <w:pStyle w:val="TableTextbold"/>
              <w:spacing w:before="40" w:after="40"/>
              <w:jc w:val="center"/>
              <w:rPr>
                <w:b/>
                <w:bCs/>
                <w:szCs w:val="18"/>
              </w:rPr>
            </w:pPr>
            <w:r w:rsidRPr="00BD16B4">
              <w:rPr>
                <w:b/>
                <w:bCs/>
                <w:szCs w:val="18"/>
              </w:rPr>
              <w:t>1991</w:t>
            </w:r>
            <w:r w:rsidRPr="00BD16B4">
              <w:rPr>
                <w:b/>
                <w:bCs/>
                <w:szCs w:val="18"/>
              </w:rPr>
              <w:br/>
              <w:t>(kt)</w:t>
            </w:r>
          </w:p>
        </w:tc>
        <w:tc>
          <w:tcPr>
            <w:tcW w:w="907" w:type="dxa"/>
            <w:tcBorders>
              <w:top w:val="single" w:sz="4" w:space="0" w:color="1B556B" w:themeColor="text2"/>
            </w:tcBorders>
            <w:vAlign w:val="bottom"/>
          </w:tcPr>
          <w:p w14:paraId="0E19EDE2" w14:textId="77777777" w:rsidR="00ED2EBD" w:rsidRPr="00BD16B4" w:rsidRDefault="00ED2EBD" w:rsidP="004A205F">
            <w:pPr>
              <w:pStyle w:val="TableTextbold"/>
              <w:spacing w:before="40" w:after="40"/>
              <w:jc w:val="center"/>
              <w:rPr>
                <w:b/>
                <w:bCs/>
                <w:szCs w:val="18"/>
              </w:rPr>
            </w:pPr>
            <w:r w:rsidRPr="00BD16B4">
              <w:rPr>
                <w:b/>
                <w:bCs/>
                <w:szCs w:val="18"/>
              </w:rPr>
              <w:t>1992</w:t>
            </w:r>
            <w:r w:rsidRPr="00BD16B4">
              <w:rPr>
                <w:b/>
                <w:bCs/>
                <w:szCs w:val="18"/>
              </w:rPr>
              <w:br/>
              <w:t>(kt)</w:t>
            </w:r>
          </w:p>
        </w:tc>
        <w:tc>
          <w:tcPr>
            <w:tcW w:w="907" w:type="dxa"/>
            <w:tcBorders>
              <w:top w:val="single" w:sz="4" w:space="0" w:color="1B556B" w:themeColor="text2"/>
            </w:tcBorders>
            <w:vAlign w:val="bottom"/>
          </w:tcPr>
          <w:p w14:paraId="13C7A02A" w14:textId="77777777" w:rsidR="00ED2EBD" w:rsidRPr="00BD16B4" w:rsidRDefault="00ED2EBD" w:rsidP="004A205F">
            <w:pPr>
              <w:pStyle w:val="TableTextbold"/>
              <w:spacing w:before="40" w:after="40"/>
              <w:jc w:val="center"/>
              <w:rPr>
                <w:b/>
                <w:bCs/>
                <w:szCs w:val="18"/>
              </w:rPr>
            </w:pPr>
            <w:r w:rsidRPr="00BD16B4">
              <w:rPr>
                <w:b/>
                <w:bCs/>
                <w:szCs w:val="18"/>
              </w:rPr>
              <w:t>1993</w:t>
            </w:r>
            <w:r w:rsidRPr="00BD16B4">
              <w:rPr>
                <w:b/>
                <w:bCs/>
                <w:szCs w:val="18"/>
              </w:rPr>
              <w:br/>
              <w:t>(kt)</w:t>
            </w:r>
          </w:p>
        </w:tc>
        <w:tc>
          <w:tcPr>
            <w:tcW w:w="907" w:type="dxa"/>
            <w:tcBorders>
              <w:top w:val="single" w:sz="4" w:space="0" w:color="1B556B" w:themeColor="text2"/>
            </w:tcBorders>
            <w:vAlign w:val="bottom"/>
          </w:tcPr>
          <w:p w14:paraId="6C583369" w14:textId="77777777" w:rsidR="00ED2EBD" w:rsidRPr="00BD16B4" w:rsidRDefault="00ED2EBD" w:rsidP="004A205F">
            <w:pPr>
              <w:pStyle w:val="TableTextbold"/>
              <w:spacing w:before="40" w:after="40"/>
              <w:jc w:val="center"/>
              <w:rPr>
                <w:b/>
                <w:bCs/>
                <w:szCs w:val="18"/>
              </w:rPr>
            </w:pPr>
            <w:r w:rsidRPr="00BD16B4">
              <w:rPr>
                <w:b/>
                <w:bCs/>
                <w:szCs w:val="18"/>
              </w:rPr>
              <w:t>1994</w:t>
            </w:r>
            <w:r w:rsidRPr="00BD16B4">
              <w:rPr>
                <w:b/>
                <w:bCs/>
                <w:szCs w:val="18"/>
              </w:rPr>
              <w:br/>
              <w:t>(kt)</w:t>
            </w:r>
          </w:p>
        </w:tc>
        <w:tc>
          <w:tcPr>
            <w:tcW w:w="907" w:type="dxa"/>
            <w:tcBorders>
              <w:top w:val="single" w:sz="4" w:space="0" w:color="1B556B" w:themeColor="text2"/>
            </w:tcBorders>
            <w:vAlign w:val="bottom"/>
          </w:tcPr>
          <w:p w14:paraId="0EB94047" w14:textId="77777777" w:rsidR="00ED2EBD" w:rsidRPr="00BD16B4" w:rsidRDefault="00ED2EBD" w:rsidP="004A205F">
            <w:pPr>
              <w:pStyle w:val="TableTextbold"/>
              <w:spacing w:before="40" w:after="40"/>
              <w:jc w:val="center"/>
              <w:rPr>
                <w:b/>
                <w:bCs/>
                <w:szCs w:val="18"/>
              </w:rPr>
            </w:pPr>
            <w:r w:rsidRPr="00BD16B4">
              <w:rPr>
                <w:b/>
                <w:bCs/>
                <w:szCs w:val="18"/>
              </w:rPr>
              <w:t>1995</w:t>
            </w:r>
            <w:r w:rsidRPr="00BD16B4">
              <w:rPr>
                <w:b/>
                <w:bCs/>
                <w:szCs w:val="18"/>
              </w:rPr>
              <w:br/>
              <w:t>(kt)</w:t>
            </w:r>
          </w:p>
        </w:tc>
        <w:tc>
          <w:tcPr>
            <w:tcW w:w="907" w:type="dxa"/>
            <w:tcBorders>
              <w:top w:val="single" w:sz="4" w:space="0" w:color="1B556B" w:themeColor="text2"/>
            </w:tcBorders>
            <w:vAlign w:val="bottom"/>
          </w:tcPr>
          <w:p w14:paraId="73E3A474" w14:textId="77777777" w:rsidR="00ED2EBD" w:rsidRPr="00BD16B4" w:rsidRDefault="00ED2EBD" w:rsidP="004A205F">
            <w:pPr>
              <w:pStyle w:val="TableTextbold"/>
              <w:spacing w:before="40" w:after="40"/>
              <w:jc w:val="center"/>
              <w:rPr>
                <w:b/>
                <w:bCs/>
                <w:szCs w:val="18"/>
              </w:rPr>
            </w:pPr>
            <w:r w:rsidRPr="00BD16B4">
              <w:rPr>
                <w:b/>
                <w:bCs/>
                <w:szCs w:val="18"/>
              </w:rPr>
              <w:t>1996</w:t>
            </w:r>
            <w:r w:rsidRPr="00BD16B4">
              <w:rPr>
                <w:b/>
                <w:bCs/>
                <w:szCs w:val="18"/>
              </w:rPr>
              <w:br/>
              <w:t>(kt)</w:t>
            </w:r>
          </w:p>
        </w:tc>
        <w:tc>
          <w:tcPr>
            <w:tcW w:w="907" w:type="dxa"/>
            <w:tcBorders>
              <w:top w:val="single" w:sz="4" w:space="0" w:color="1B556B" w:themeColor="text2"/>
            </w:tcBorders>
            <w:vAlign w:val="bottom"/>
          </w:tcPr>
          <w:p w14:paraId="7F28ECF9" w14:textId="77777777" w:rsidR="00ED2EBD" w:rsidRPr="00BD16B4" w:rsidRDefault="00ED2EBD" w:rsidP="004A205F">
            <w:pPr>
              <w:pStyle w:val="TableTextbold"/>
              <w:spacing w:before="40" w:after="40"/>
              <w:jc w:val="center"/>
              <w:rPr>
                <w:b/>
                <w:bCs/>
                <w:szCs w:val="18"/>
              </w:rPr>
            </w:pPr>
            <w:r w:rsidRPr="00BD16B4">
              <w:rPr>
                <w:b/>
                <w:bCs/>
                <w:szCs w:val="18"/>
              </w:rPr>
              <w:t>1997</w:t>
            </w:r>
            <w:r w:rsidRPr="00BD16B4">
              <w:rPr>
                <w:b/>
                <w:bCs/>
                <w:szCs w:val="18"/>
              </w:rPr>
              <w:br/>
              <w:t>(kt)</w:t>
            </w:r>
          </w:p>
        </w:tc>
        <w:tc>
          <w:tcPr>
            <w:tcW w:w="907" w:type="dxa"/>
            <w:tcBorders>
              <w:top w:val="single" w:sz="4" w:space="0" w:color="1B556B" w:themeColor="text2"/>
            </w:tcBorders>
            <w:vAlign w:val="bottom"/>
          </w:tcPr>
          <w:p w14:paraId="60180FF4" w14:textId="77777777" w:rsidR="00ED2EBD" w:rsidRPr="00BD16B4" w:rsidRDefault="00ED2EBD" w:rsidP="004A205F">
            <w:pPr>
              <w:pStyle w:val="TableTextbold"/>
              <w:spacing w:before="40" w:after="40"/>
              <w:jc w:val="center"/>
              <w:rPr>
                <w:b/>
                <w:bCs/>
                <w:szCs w:val="18"/>
              </w:rPr>
            </w:pPr>
            <w:r w:rsidRPr="00BD16B4">
              <w:rPr>
                <w:b/>
                <w:bCs/>
                <w:szCs w:val="18"/>
              </w:rPr>
              <w:t>1998</w:t>
            </w:r>
            <w:r w:rsidRPr="00BD16B4">
              <w:rPr>
                <w:b/>
                <w:bCs/>
                <w:szCs w:val="18"/>
              </w:rPr>
              <w:br/>
              <w:t>(kt)</w:t>
            </w:r>
          </w:p>
        </w:tc>
      </w:tr>
      <w:tr w:rsidR="00ED2EBD" w:rsidRPr="00BD16B4" w14:paraId="62D2B870" w14:textId="77777777" w:rsidTr="00AA2930">
        <w:tc>
          <w:tcPr>
            <w:tcW w:w="3402" w:type="dxa"/>
          </w:tcPr>
          <w:p w14:paraId="3D4355A0" w14:textId="77777777" w:rsidR="00ED2EBD" w:rsidRPr="00BD16B4" w:rsidRDefault="00ED2EBD" w:rsidP="004A205F">
            <w:pPr>
              <w:pStyle w:val="TableText"/>
              <w:spacing w:before="40" w:after="40"/>
              <w:rPr>
                <w:szCs w:val="18"/>
              </w:rPr>
            </w:pPr>
            <w:r w:rsidRPr="00BD16B4">
              <w:rPr>
                <w:b/>
                <w:bCs/>
                <w:szCs w:val="18"/>
              </w:rPr>
              <w:t>Emissions of HFCs and PFCs (kt CO</w:t>
            </w:r>
            <w:r w:rsidRPr="00BD16B4">
              <w:rPr>
                <w:b/>
                <w:bCs/>
                <w:szCs w:val="18"/>
                <w:vertAlign w:val="subscript"/>
              </w:rPr>
              <w:t>2</w:t>
            </w:r>
            <w:r w:rsidRPr="00BD16B4">
              <w:rPr>
                <w:b/>
                <w:bCs/>
                <w:szCs w:val="18"/>
              </w:rPr>
              <w:t xml:space="preserve">-equivalent) </w:t>
            </w:r>
          </w:p>
        </w:tc>
        <w:tc>
          <w:tcPr>
            <w:tcW w:w="907" w:type="dxa"/>
            <w:shd w:val="clear" w:color="auto" w:fill="auto"/>
          </w:tcPr>
          <w:p w14:paraId="5B38B5B6" w14:textId="77777777" w:rsidR="00ED2EBD" w:rsidRPr="00BD16B4" w:rsidRDefault="00ED2EBD" w:rsidP="004A205F">
            <w:pPr>
              <w:pStyle w:val="TableText"/>
              <w:spacing w:before="40" w:after="40"/>
              <w:jc w:val="right"/>
              <w:rPr>
                <w:szCs w:val="18"/>
              </w:rPr>
            </w:pPr>
            <w:r w:rsidRPr="00BD16B4">
              <w:rPr>
                <w:szCs w:val="18"/>
              </w:rPr>
              <w:t>909.95</w:t>
            </w:r>
          </w:p>
        </w:tc>
        <w:tc>
          <w:tcPr>
            <w:tcW w:w="907" w:type="dxa"/>
            <w:shd w:val="clear" w:color="auto" w:fill="auto"/>
          </w:tcPr>
          <w:p w14:paraId="299FF81C" w14:textId="77777777" w:rsidR="00ED2EBD" w:rsidRPr="00BD16B4" w:rsidRDefault="00ED2EBD" w:rsidP="004A205F">
            <w:pPr>
              <w:pStyle w:val="TableText"/>
              <w:spacing w:before="40" w:after="40"/>
              <w:jc w:val="right"/>
              <w:rPr>
                <w:szCs w:val="18"/>
              </w:rPr>
            </w:pPr>
            <w:r w:rsidRPr="00BD16B4">
              <w:rPr>
                <w:szCs w:val="18"/>
              </w:rPr>
              <w:t>903.79</w:t>
            </w:r>
          </w:p>
        </w:tc>
        <w:tc>
          <w:tcPr>
            <w:tcW w:w="907" w:type="dxa"/>
            <w:shd w:val="clear" w:color="auto" w:fill="auto"/>
          </w:tcPr>
          <w:p w14:paraId="78FE20B6" w14:textId="77777777" w:rsidR="00ED2EBD" w:rsidRPr="00BD16B4" w:rsidRDefault="00ED2EBD" w:rsidP="004A205F">
            <w:pPr>
              <w:pStyle w:val="TableText"/>
              <w:spacing w:before="40" w:after="40"/>
              <w:jc w:val="right"/>
              <w:rPr>
                <w:szCs w:val="18"/>
              </w:rPr>
            </w:pPr>
            <w:r w:rsidRPr="00BD16B4">
              <w:rPr>
                <w:szCs w:val="18"/>
              </w:rPr>
              <w:t>462.17</w:t>
            </w:r>
          </w:p>
        </w:tc>
        <w:tc>
          <w:tcPr>
            <w:tcW w:w="907" w:type="dxa"/>
            <w:shd w:val="clear" w:color="auto" w:fill="auto"/>
          </w:tcPr>
          <w:p w14:paraId="4839DE74" w14:textId="77777777" w:rsidR="00ED2EBD" w:rsidRPr="00BD16B4" w:rsidRDefault="00ED2EBD" w:rsidP="004A205F">
            <w:pPr>
              <w:pStyle w:val="TableText"/>
              <w:spacing w:before="40" w:after="40"/>
              <w:jc w:val="right"/>
              <w:rPr>
                <w:szCs w:val="18"/>
              </w:rPr>
            </w:pPr>
            <w:r w:rsidRPr="00BD16B4">
              <w:rPr>
                <w:szCs w:val="18"/>
              </w:rPr>
              <w:t>210.51</w:t>
            </w:r>
          </w:p>
        </w:tc>
        <w:tc>
          <w:tcPr>
            <w:tcW w:w="907" w:type="dxa"/>
            <w:shd w:val="clear" w:color="auto" w:fill="auto"/>
          </w:tcPr>
          <w:p w14:paraId="6F17D730" w14:textId="77777777" w:rsidR="00ED2EBD" w:rsidRPr="00BD16B4" w:rsidRDefault="00ED2EBD" w:rsidP="004A205F">
            <w:pPr>
              <w:pStyle w:val="TableText"/>
              <w:spacing w:before="40" w:after="40"/>
              <w:jc w:val="right"/>
              <w:rPr>
                <w:szCs w:val="18"/>
              </w:rPr>
            </w:pPr>
            <w:r w:rsidRPr="00BD16B4">
              <w:rPr>
                <w:szCs w:val="18"/>
              </w:rPr>
              <w:t>194.08</w:t>
            </w:r>
          </w:p>
        </w:tc>
        <w:tc>
          <w:tcPr>
            <w:tcW w:w="907" w:type="dxa"/>
            <w:shd w:val="clear" w:color="auto" w:fill="auto"/>
          </w:tcPr>
          <w:p w14:paraId="00A73E7C" w14:textId="77777777" w:rsidR="00ED2EBD" w:rsidRPr="00BD16B4" w:rsidRDefault="00ED2EBD" w:rsidP="004A205F">
            <w:pPr>
              <w:pStyle w:val="TableText"/>
              <w:spacing w:before="40" w:after="40"/>
              <w:jc w:val="right"/>
              <w:rPr>
                <w:szCs w:val="18"/>
              </w:rPr>
            </w:pPr>
            <w:r w:rsidRPr="00BD16B4">
              <w:rPr>
                <w:szCs w:val="18"/>
              </w:rPr>
              <w:t>177.80</w:t>
            </w:r>
          </w:p>
        </w:tc>
        <w:tc>
          <w:tcPr>
            <w:tcW w:w="907" w:type="dxa"/>
            <w:shd w:val="clear" w:color="auto" w:fill="auto"/>
          </w:tcPr>
          <w:p w14:paraId="2B14B9D8" w14:textId="77777777" w:rsidR="00ED2EBD" w:rsidRPr="00BD16B4" w:rsidRDefault="00ED2EBD" w:rsidP="004A205F">
            <w:pPr>
              <w:pStyle w:val="TableText"/>
              <w:spacing w:before="40" w:after="40"/>
              <w:jc w:val="right"/>
              <w:rPr>
                <w:szCs w:val="18"/>
              </w:rPr>
            </w:pPr>
            <w:r w:rsidRPr="00BD16B4">
              <w:rPr>
                <w:szCs w:val="18"/>
              </w:rPr>
              <w:t>333.34</w:t>
            </w:r>
          </w:p>
        </w:tc>
        <w:tc>
          <w:tcPr>
            <w:tcW w:w="907" w:type="dxa"/>
            <w:shd w:val="clear" w:color="auto" w:fill="auto"/>
          </w:tcPr>
          <w:p w14:paraId="552A600C" w14:textId="77777777" w:rsidR="00ED2EBD" w:rsidRPr="00BD16B4" w:rsidRDefault="00ED2EBD" w:rsidP="004A205F">
            <w:pPr>
              <w:pStyle w:val="TableText"/>
              <w:spacing w:before="40" w:after="40"/>
              <w:jc w:val="right"/>
              <w:rPr>
                <w:szCs w:val="18"/>
              </w:rPr>
            </w:pPr>
            <w:r w:rsidRPr="00BD16B4">
              <w:rPr>
                <w:szCs w:val="18"/>
              </w:rPr>
              <w:t>314.53</w:t>
            </w:r>
          </w:p>
        </w:tc>
        <w:tc>
          <w:tcPr>
            <w:tcW w:w="907" w:type="dxa"/>
            <w:shd w:val="clear" w:color="auto" w:fill="auto"/>
          </w:tcPr>
          <w:p w14:paraId="55B383C3" w14:textId="77777777" w:rsidR="00ED2EBD" w:rsidRPr="00BD16B4" w:rsidRDefault="00ED2EBD" w:rsidP="004A205F">
            <w:pPr>
              <w:pStyle w:val="TableText"/>
              <w:spacing w:before="40" w:after="40"/>
              <w:jc w:val="right"/>
              <w:rPr>
                <w:szCs w:val="18"/>
              </w:rPr>
            </w:pPr>
            <w:r w:rsidRPr="00BD16B4">
              <w:rPr>
                <w:szCs w:val="18"/>
              </w:rPr>
              <w:t>248.90</w:t>
            </w:r>
          </w:p>
        </w:tc>
      </w:tr>
      <w:tr w:rsidR="00ED2EBD" w:rsidRPr="00BD16B4" w14:paraId="321E9D54" w14:textId="77777777" w:rsidTr="00AA2930">
        <w:tc>
          <w:tcPr>
            <w:tcW w:w="3402" w:type="dxa"/>
          </w:tcPr>
          <w:p w14:paraId="48FA9068" w14:textId="77777777" w:rsidR="00ED2EBD" w:rsidRPr="00BD16B4" w:rsidRDefault="00ED2EBD" w:rsidP="004A205F">
            <w:pPr>
              <w:pStyle w:val="TableText"/>
              <w:spacing w:before="40" w:after="40"/>
              <w:rPr>
                <w:szCs w:val="18"/>
              </w:rPr>
            </w:pPr>
            <w:r w:rsidRPr="00BD16B4">
              <w:rPr>
                <w:b/>
                <w:bCs/>
                <w:szCs w:val="18"/>
              </w:rPr>
              <w:t>Emissions of HFCs (kt CO</w:t>
            </w:r>
            <w:r w:rsidRPr="00BD16B4">
              <w:rPr>
                <w:b/>
                <w:bCs/>
                <w:szCs w:val="18"/>
                <w:vertAlign w:val="subscript"/>
              </w:rPr>
              <w:t>2</w:t>
            </w:r>
            <w:r w:rsidRPr="00BD16B4">
              <w:rPr>
                <w:b/>
                <w:bCs/>
                <w:szCs w:val="18"/>
              </w:rPr>
              <w:t>-equivalent)</w:t>
            </w:r>
          </w:p>
        </w:tc>
        <w:tc>
          <w:tcPr>
            <w:tcW w:w="907" w:type="dxa"/>
            <w:shd w:val="clear" w:color="auto" w:fill="auto"/>
          </w:tcPr>
          <w:p w14:paraId="4F82B8F3"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64FE33F1"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071B9373" w14:textId="77777777" w:rsidR="00ED2EBD" w:rsidRPr="00BD16B4" w:rsidRDefault="00ED2EBD" w:rsidP="004A205F">
            <w:pPr>
              <w:pStyle w:val="TableText"/>
              <w:spacing w:before="40" w:after="40"/>
              <w:jc w:val="right"/>
              <w:rPr>
                <w:szCs w:val="18"/>
              </w:rPr>
            </w:pPr>
            <w:r w:rsidRPr="00BD16B4">
              <w:rPr>
                <w:szCs w:val="18"/>
              </w:rPr>
              <w:t>0.29</w:t>
            </w:r>
          </w:p>
        </w:tc>
        <w:tc>
          <w:tcPr>
            <w:tcW w:w="907" w:type="dxa"/>
            <w:shd w:val="clear" w:color="auto" w:fill="auto"/>
          </w:tcPr>
          <w:p w14:paraId="47F44FA9" w14:textId="77777777" w:rsidR="00ED2EBD" w:rsidRPr="00BD16B4" w:rsidRDefault="00ED2EBD" w:rsidP="004A205F">
            <w:pPr>
              <w:pStyle w:val="TableText"/>
              <w:spacing w:before="40" w:after="40"/>
              <w:jc w:val="right"/>
              <w:rPr>
                <w:szCs w:val="18"/>
              </w:rPr>
            </w:pPr>
            <w:r w:rsidRPr="00BD16B4">
              <w:rPr>
                <w:szCs w:val="18"/>
              </w:rPr>
              <w:t>0.36</w:t>
            </w:r>
          </w:p>
        </w:tc>
        <w:tc>
          <w:tcPr>
            <w:tcW w:w="907" w:type="dxa"/>
            <w:shd w:val="clear" w:color="auto" w:fill="auto"/>
          </w:tcPr>
          <w:p w14:paraId="02A0D8AB" w14:textId="77777777" w:rsidR="00ED2EBD" w:rsidRPr="00BD16B4" w:rsidRDefault="00ED2EBD" w:rsidP="004A205F">
            <w:pPr>
              <w:pStyle w:val="TableText"/>
              <w:spacing w:before="40" w:after="40"/>
              <w:jc w:val="right"/>
              <w:rPr>
                <w:szCs w:val="18"/>
              </w:rPr>
            </w:pPr>
            <w:r w:rsidRPr="00BD16B4">
              <w:rPr>
                <w:szCs w:val="18"/>
              </w:rPr>
              <w:t>7.91</w:t>
            </w:r>
          </w:p>
        </w:tc>
        <w:tc>
          <w:tcPr>
            <w:tcW w:w="907" w:type="dxa"/>
            <w:shd w:val="clear" w:color="auto" w:fill="auto"/>
          </w:tcPr>
          <w:p w14:paraId="6FA4DC87" w14:textId="77777777" w:rsidR="00ED2EBD" w:rsidRPr="00BD16B4" w:rsidRDefault="00ED2EBD" w:rsidP="004A205F">
            <w:pPr>
              <w:pStyle w:val="TableText"/>
              <w:spacing w:before="40" w:after="40"/>
              <w:jc w:val="right"/>
              <w:rPr>
                <w:szCs w:val="18"/>
              </w:rPr>
            </w:pPr>
            <w:r w:rsidRPr="00BD16B4">
              <w:rPr>
                <w:szCs w:val="18"/>
              </w:rPr>
              <w:t>24.52</w:t>
            </w:r>
          </w:p>
        </w:tc>
        <w:tc>
          <w:tcPr>
            <w:tcW w:w="907" w:type="dxa"/>
            <w:shd w:val="clear" w:color="auto" w:fill="auto"/>
          </w:tcPr>
          <w:p w14:paraId="22AD2108" w14:textId="77777777" w:rsidR="00ED2EBD" w:rsidRPr="00BD16B4" w:rsidRDefault="00ED2EBD" w:rsidP="004A205F">
            <w:pPr>
              <w:pStyle w:val="TableText"/>
              <w:spacing w:before="40" w:after="40"/>
              <w:jc w:val="right"/>
              <w:rPr>
                <w:szCs w:val="18"/>
              </w:rPr>
            </w:pPr>
            <w:r w:rsidRPr="00BD16B4">
              <w:rPr>
                <w:szCs w:val="18"/>
              </w:rPr>
              <w:t>54.36</w:t>
            </w:r>
          </w:p>
        </w:tc>
        <w:tc>
          <w:tcPr>
            <w:tcW w:w="907" w:type="dxa"/>
            <w:shd w:val="clear" w:color="auto" w:fill="auto"/>
          </w:tcPr>
          <w:p w14:paraId="66D8EF5E" w14:textId="77777777" w:rsidR="00ED2EBD" w:rsidRPr="00BD16B4" w:rsidRDefault="00ED2EBD" w:rsidP="004A205F">
            <w:pPr>
              <w:pStyle w:val="TableText"/>
              <w:spacing w:before="40" w:after="40"/>
              <w:jc w:val="right"/>
              <w:rPr>
                <w:szCs w:val="18"/>
              </w:rPr>
            </w:pPr>
            <w:r w:rsidRPr="00BD16B4">
              <w:rPr>
                <w:szCs w:val="18"/>
              </w:rPr>
              <w:t>113.42</w:t>
            </w:r>
          </w:p>
        </w:tc>
        <w:tc>
          <w:tcPr>
            <w:tcW w:w="907" w:type="dxa"/>
            <w:shd w:val="clear" w:color="auto" w:fill="auto"/>
          </w:tcPr>
          <w:p w14:paraId="2B63E395" w14:textId="77777777" w:rsidR="00ED2EBD" w:rsidRPr="00BD16B4" w:rsidRDefault="00ED2EBD" w:rsidP="004A205F">
            <w:pPr>
              <w:pStyle w:val="TableText"/>
              <w:spacing w:before="40" w:after="40"/>
              <w:jc w:val="right"/>
              <w:rPr>
                <w:szCs w:val="18"/>
              </w:rPr>
            </w:pPr>
            <w:r w:rsidRPr="00BD16B4">
              <w:rPr>
                <w:szCs w:val="18"/>
              </w:rPr>
              <w:t>97.52</w:t>
            </w:r>
          </w:p>
        </w:tc>
      </w:tr>
      <w:tr w:rsidR="00ED2EBD" w:rsidRPr="00BD16B4" w14:paraId="1DFFACD6" w14:textId="77777777" w:rsidTr="00AA2930">
        <w:tc>
          <w:tcPr>
            <w:tcW w:w="3402" w:type="dxa"/>
          </w:tcPr>
          <w:p w14:paraId="5B865CF5" w14:textId="77777777" w:rsidR="00ED2EBD" w:rsidRPr="00BD16B4" w:rsidRDefault="00ED2EBD" w:rsidP="004A205F">
            <w:pPr>
              <w:pStyle w:val="TableText"/>
              <w:spacing w:before="40" w:after="40"/>
              <w:rPr>
                <w:szCs w:val="18"/>
              </w:rPr>
            </w:pPr>
            <w:r w:rsidRPr="00BD16B4">
              <w:rPr>
                <w:szCs w:val="18"/>
              </w:rPr>
              <w:t>HFC-23</w:t>
            </w:r>
          </w:p>
        </w:tc>
        <w:tc>
          <w:tcPr>
            <w:tcW w:w="907" w:type="dxa"/>
            <w:shd w:val="clear" w:color="auto" w:fill="auto"/>
          </w:tcPr>
          <w:p w14:paraId="4CA8FABF"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09A83FC4"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16A2F588"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04B22625"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416E14B6"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371D5798"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7BB63503"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181CA948"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1E96E5EE"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144CC9A2" w14:textId="77777777" w:rsidTr="00AA2930">
        <w:tc>
          <w:tcPr>
            <w:tcW w:w="3402" w:type="dxa"/>
          </w:tcPr>
          <w:p w14:paraId="74964B41" w14:textId="77777777" w:rsidR="00ED2EBD" w:rsidRPr="00BD16B4" w:rsidRDefault="00ED2EBD" w:rsidP="004A205F">
            <w:pPr>
              <w:pStyle w:val="TableText"/>
              <w:spacing w:before="40" w:after="40"/>
              <w:rPr>
                <w:szCs w:val="18"/>
              </w:rPr>
            </w:pPr>
            <w:r w:rsidRPr="00BD16B4">
              <w:rPr>
                <w:szCs w:val="18"/>
              </w:rPr>
              <w:t>HFC-32</w:t>
            </w:r>
          </w:p>
        </w:tc>
        <w:tc>
          <w:tcPr>
            <w:tcW w:w="907" w:type="dxa"/>
            <w:shd w:val="clear" w:color="auto" w:fill="auto"/>
          </w:tcPr>
          <w:p w14:paraId="44D201B0"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47978731"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1B2A3CDE"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3E6DD0DD"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15F27B50"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12717B6A"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269852B3"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3CA9518D"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46AA74B9"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59B332C4" w14:textId="77777777" w:rsidTr="00AA2930">
        <w:tc>
          <w:tcPr>
            <w:tcW w:w="3402" w:type="dxa"/>
          </w:tcPr>
          <w:p w14:paraId="60DFF8F5" w14:textId="77777777" w:rsidR="00ED2EBD" w:rsidRPr="00BD16B4" w:rsidRDefault="00ED2EBD" w:rsidP="004A205F">
            <w:pPr>
              <w:pStyle w:val="TableText"/>
              <w:spacing w:before="40" w:after="40"/>
              <w:rPr>
                <w:szCs w:val="18"/>
              </w:rPr>
            </w:pPr>
            <w:r w:rsidRPr="00BD16B4">
              <w:rPr>
                <w:szCs w:val="18"/>
              </w:rPr>
              <w:t>HFC-41</w:t>
            </w:r>
          </w:p>
        </w:tc>
        <w:tc>
          <w:tcPr>
            <w:tcW w:w="907" w:type="dxa"/>
            <w:shd w:val="clear" w:color="auto" w:fill="auto"/>
          </w:tcPr>
          <w:p w14:paraId="0B5EB62F"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4B7FE11F"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03EC3702"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18070BEA"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160CEB9"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9E76A52"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1DE6A0D6"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33B4EB70"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3EB8FC48"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78911125" w14:textId="77777777" w:rsidTr="00AA2930">
        <w:tc>
          <w:tcPr>
            <w:tcW w:w="3402" w:type="dxa"/>
          </w:tcPr>
          <w:p w14:paraId="4AAF7686" w14:textId="77777777" w:rsidR="00ED2EBD" w:rsidRPr="00BD16B4" w:rsidRDefault="00ED2EBD" w:rsidP="004A205F">
            <w:pPr>
              <w:pStyle w:val="TableText"/>
              <w:spacing w:before="40" w:after="40"/>
              <w:rPr>
                <w:szCs w:val="18"/>
              </w:rPr>
            </w:pPr>
            <w:r w:rsidRPr="00BD16B4">
              <w:rPr>
                <w:szCs w:val="18"/>
              </w:rPr>
              <w:t>HFC-43-10mee</w:t>
            </w:r>
          </w:p>
        </w:tc>
        <w:tc>
          <w:tcPr>
            <w:tcW w:w="907" w:type="dxa"/>
            <w:shd w:val="clear" w:color="auto" w:fill="auto"/>
          </w:tcPr>
          <w:p w14:paraId="4862CD0B"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1160FB16"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508D3789"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5498539E"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72CCADDC"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3136CC7B"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1E4F5264"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641899A6"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1ECB4E8C"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2B823975" w14:textId="77777777" w:rsidTr="00AA2930">
        <w:tc>
          <w:tcPr>
            <w:tcW w:w="3402" w:type="dxa"/>
          </w:tcPr>
          <w:p w14:paraId="704BB2CC" w14:textId="77777777" w:rsidR="00ED2EBD" w:rsidRPr="00BD16B4" w:rsidRDefault="00ED2EBD" w:rsidP="004A205F">
            <w:pPr>
              <w:pStyle w:val="TableText"/>
              <w:spacing w:before="40" w:after="40"/>
              <w:rPr>
                <w:szCs w:val="18"/>
              </w:rPr>
            </w:pPr>
            <w:r w:rsidRPr="00BD16B4">
              <w:rPr>
                <w:szCs w:val="18"/>
              </w:rPr>
              <w:t>HFC-125</w:t>
            </w:r>
          </w:p>
        </w:tc>
        <w:tc>
          <w:tcPr>
            <w:tcW w:w="907" w:type="dxa"/>
            <w:shd w:val="clear" w:color="auto" w:fill="auto"/>
          </w:tcPr>
          <w:p w14:paraId="23172DC7"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4B43F3E6"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08F098C6"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11218BB8"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4EF9D6A1"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61ABAE96"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12559101"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77A8850A" w14:textId="77777777" w:rsidR="00ED2EBD" w:rsidRPr="00BD16B4" w:rsidRDefault="00ED2EBD" w:rsidP="004A205F">
            <w:pPr>
              <w:pStyle w:val="TableText"/>
              <w:spacing w:before="40" w:after="40"/>
              <w:jc w:val="right"/>
              <w:rPr>
                <w:szCs w:val="18"/>
              </w:rPr>
            </w:pPr>
            <w:r w:rsidRPr="00BD16B4">
              <w:rPr>
                <w:szCs w:val="18"/>
              </w:rPr>
              <w:t>0.01</w:t>
            </w:r>
          </w:p>
        </w:tc>
        <w:tc>
          <w:tcPr>
            <w:tcW w:w="907" w:type="dxa"/>
            <w:shd w:val="clear" w:color="auto" w:fill="auto"/>
          </w:tcPr>
          <w:p w14:paraId="1704BAE2"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71567462" w14:textId="77777777" w:rsidTr="00AA2930">
        <w:tc>
          <w:tcPr>
            <w:tcW w:w="3402" w:type="dxa"/>
          </w:tcPr>
          <w:p w14:paraId="3DE310AD" w14:textId="77777777" w:rsidR="00ED2EBD" w:rsidRPr="00BD16B4" w:rsidRDefault="00ED2EBD" w:rsidP="004A205F">
            <w:pPr>
              <w:pStyle w:val="TableText"/>
              <w:spacing w:before="40" w:after="40"/>
              <w:rPr>
                <w:szCs w:val="18"/>
              </w:rPr>
            </w:pPr>
            <w:r w:rsidRPr="00BD16B4">
              <w:rPr>
                <w:szCs w:val="18"/>
              </w:rPr>
              <w:t>HFC-134</w:t>
            </w:r>
          </w:p>
        </w:tc>
        <w:tc>
          <w:tcPr>
            <w:tcW w:w="907" w:type="dxa"/>
            <w:shd w:val="clear" w:color="auto" w:fill="auto"/>
          </w:tcPr>
          <w:p w14:paraId="4B038826"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18B08B2"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DD98E46"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0E33E5B4"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77FFEECC"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30790218"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D522178"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42DACEC3"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F3AE455"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490FBA6B" w14:textId="77777777" w:rsidTr="00AA2930">
        <w:tc>
          <w:tcPr>
            <w:tcW w:w="3402" w:type="dxa"/>
          </w:tcPr>
          <w:p w14:paraId="1CBBB5D6" w14:textId="77777777" w:rsidR="00ED2EBD" w:rsidRPr="00BD16B4" w:rsidRDefault="00ED2EBD" w:rsidP="004A205F">
            <w:pPr>
              <w:pStyle w:val="TableText"/>
              <w:spacing w:before="40" w:after="40"/>
              <w:rPr>
                <w:szCs w:val="18"/>
              </w:rPr>
            </w:pPr>
            <w:r w:rsidRPr="00BD16B4">
              <w:rPr>
                <w:szCs w:val="18"/>
              </w:rPr>
              <w:t>HFC-134a</w:t>
            </w:r>
          </w:p>
        </w:tc>
        <w:tc>
          <w:tcPr>
            <w:tcW w:w="907" w:type="dxa"/>
            <w:shd w:val="clear" w:color="auto" w:fill="auto"/>
          </w:tcPr>
          <w:p w14:paraId="683B8B50"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4F5C5B39"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25246769"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009FE87C"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11A69F83"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40421C7D" w14:textId="77777777" w:rsidR="00ED2EBD" w:rsidRPr="00BD16B4" w:rsidRDefault="00ED2EBD" w:rsidP="004A205F">
            <w:pPr>
              <w:pStyle w:val="TableText"/>
              <w:spacing w:before="40" w:after="40"/>
              <w:jc w:val="right"/>
              <w:rPr>
                <w:szCs w:val="18"/>
              </w:rPr>
            </w:pPr>
            <w:r w:rsidRPr="00BD16B4">
              <w:rPr>
                <w:szCs w:val="18"/>
              </w:rPr>
              <w:t>0.01</w:t>
            </w:r>
          </w:p>
        </w:tc>
        <w:tc>
          <w:tcPr>
            <w:tcW w:w="907" w:type="dxa"/>
            <w:shd w:val="clear" w:color="auto" w:fill="auto"/>
          </w:tcPr>
          <w:p w14:paraId="434BB9B8" w14:textId="77777777" w:rsidR="00ED2EBD" w:rsidRPr="00BD16B4" w:rsidRDefault="00ED2EBD" w:rsidP="004A205F">
            <w:pPr>
              <w:pStyle w:val="TableText"/>
              <w:spacing w:before="40" w:after="40"/>
              <w:jc w:val="right"/>
              <w:rPr>
                <w:szCs w:val="18"/>
              </w:rPr>
            </w:pPr>
            <w:r w:rsidRPr="00BD16B4">
              <w:rPr>
                <w:szCs w:val="18"/>
              </w:rPr>
              <w:t>0.02</w:t>
            </w:r>
          </w:p>
        </w:tc>
        <w:tc>
          <w:tcPr>
            <w:tcW w:w="907" w:type="dxa"/>
            <w:shd w:val="clear" w:color="auto" w:fill="auto"/>
          </w:tcPr>
          <w:p w14:paraId="4B20A2F5" w14:textId="77777777" w:rsidR="00ED2EBD" w:rsidRPr="00BD16B4" w:rsidRDefault="00ED2EBD" w:rsidP="004A205F">
            <w:pPr>
              <w:pStyle w:val="TableText"/>
              <w:spacing w:before="40" w:after="40"/>
              <w:jc w:val="right"/>
              <w:rPr>
                <w:szCs w:val="18"/>
              </w:rPr>
            </w:pPr>
            <w:r w:rsidRPr="00BD16B4">
              <w:rPr>
                <w:szCs w:val="18"/>
              </w:rPr>
              <w:t>0.06</w:t>
            </w:r>
          </w:p>
        </w:tc>
        <w:tc>
          <w:tcPr>
            <w:tcW w:w="907" w:type="dxa"/>
            <w:shd w:val="clear" w:color="auto" w:fill="auto"/>
          </w:tcPr>
          <w:p w14:paraId="3E18660C" w14:textId="77777777" w:rsidR="00ED2EBD" w:rsidRPr="00BD16B4" w:rsidRDefault="00ED2EBD" w:rsidP="004A205F">
            <w:pPr>
              <w:pStyle w:val="TableText"/>
              <w:spacing w:before="40" w:after="40"/>
              <w:jc w:val="right"/>
              <w:rPr>
                <w:szCs w:val="18"/>
              </w:rPr>
            </w:pPr>
            <w:r w:rsidRPr="00BD16B4">
              <w:rPr>
                <w:szCs w:val="18"/>
              </w:rPr>
              <w:t>0.04</w:t>
            </w:r>
          </w:p>
        </w:tc>
      </w:tr>
      <w:tr w:rsidR="00ED2EBD" w:rsidRPr="00BD16B4" w14:paraId="48D91959" w14:textId="77777777" w:rsidTr="00AA2930">
        <w:tc>
          <w:tcPr>
            <w:tcW w:w="3402" w:type="dxa"/>
          </w:tcPr>
          <w:p w14:paraId="7B6F6F76" w14:textId="77777777" w:rsidR="00ED2EBD" w:rsidRPr="00BD16B4" w:rsidRDefault="00ED2EBD" w:rsidP="004A205F">
            <w:pPr>
              <w:pStyle w:val="TableText"/>
              <w:spacing w:before="40" w:after="40"/>
              <w:rPr>
                <w:szCs w:val="18"/>
              </w:rPr>
            </w:pPr>
            <w:r w:rsidRPr="00BD16B4">
              <w:rPr>
                <w:szCs w:val="18"/>
              </w:rPr>
              <w:t>HFC-143</w:t>
            </w:r>
          </w:p>
        </w:tc>
        <w:tc>
          <w:tcPr>
            <w:tcW w:w="907" w:type="dxa"/>
            <w:shd w:val="clear" w:color="auto" w:fill="auto"/>
          </w:tcPr>
          <w:p w14:paraId="7D1404D7"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040A996E"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5ACC50A"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700FCD52"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944C7F0"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4EB7137C"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07358F5"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442891D6"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36F889F"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6B0678C0" w14:textId="77777777" w:rsidTr="00AA2930">
        <w:tc>
          <w:tcPr>
            <w:tcW w:w="3402" w:type="dxa"/>
          </w:tcPr>
          <w:p w14:paraId="4BAE4027" w14:textId="77777777" w:rsidR="00ED2EBD" w:rsidRPr="00BD16B4" w:rsidRDefault="00ED2EBD" w:rsidP="004A205F">
            <w:pPr>
              <w:pStyle w:val="TableText"/>
              <w:spacing w:before="40" w:after="40"/>
              <w:rPr>
                <w:szCs w:val="18"/>
              </w:rPr>
            </w:pPr>
            <w:r w:rsidRPr="00BD16B4">
              <w:rPr>
                <w:szCs w:val="18"/>
              </w:rPr>
              <w:t>HFC-143a</w:t>
            </w:r>
          </w:p>
        </w:tc>
        <w:tc>
          <w:tcPr>
            <w:tcW w:w="907" w:type="dxa"/>
            <w:shd w:val="clear" w:color="auto" w:fill="auto"/>
          </w:tcPr>
          <w:p w14:paraId="76DFE351"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0620A1C0"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2CE9F807"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26DCDDA4"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022F9FCB"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7811DF99"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60BBDAE8"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21C9DD76"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5841AFEA" w14:textId="77777777" w:rsidR="00ED2EBD" w:rsidRPr="00BD16B4" w:rsidRDefault="00ED2EBD" w:rsidP="004A205F">
            <w:pPr>
              <w:pStyle w:val="TableText"/>
              <w:spacing w:before="40" w:after="40"/>
              <w:jc w:val="right"/>
              <w:rPr>
                <w:szCs w:val="18"/>
              </w:rPr>
            </w:pPr>
            <w:r w:rsidRPr="00BD16B4">
              <w:rPr>
                <w:szCs w:val="18"/>
              </w:rPr>
              <w:t>0.01</w:t>
            </w:r>
          </w:p>
        </w:tc>
      </w:tr>
      <w:tr w:rsidR="00ED2EBD" w:rsidRPr="00BD16B4" w14:paraId="72B31933" w14:textId="77777777" w:rsidTr="00AA2930">
        <w:tc>
          <w:tcPr>
            <w:tcW w:w="3402" w:type="dxa"/>
          </w:tcPr>
          <w:p w14:paraId="7253484C" w14:textId="77777777" w:rsidR="00ED2EBD" w:rsidRPr="00BD16B4" w:rsidRDefault="00ED2EBD" w:rsidP="004A205F">
            <w:pPr>
              <w:pStyle w:val="TableText"/>
              <w:spacing w:before="40" w:after="40"/>
              <w:rPr>
                <w:szCs w:val="18"/>
              </w:rPr>
            </w:pPr>
            <w:r w:rsidRPr="00BD16B4">
              <w:rPr>
                <w:szCs w:val="18"/>
              </w:rPr>
              <w:t>HFC-152</w:t>
            </w:r>
          </w:p>
        </w:tc>
        <w:tc>
          <w:tcPr>
            <w:tcW w:w="907" w:type="dxa"/>
            <w:shd w:val="clear" w:color="auto" w:fill="auto"/>
          </w:tcPr>
          <w:p w14:paraId="000970D7"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053AAADF"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36B9DA6C"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12FD2537"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1489774A"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78B21038"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2253957"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4915A854"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EE783AB"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78EEF3A6" w14:textId="77777777" w:rsidTr="00AA2930">
        <w:tc>
          <w:tcPr>
            <w:tcW w:w="3402" w:type="dxa"/>
          </w:tcPr>
          <w:p w14:paraId="5BDAB0D0" w14:textId="77777777" w:rsidR="00ED2EBD" w:rsidRPr="00BD16B4" w:rsidRDefault="00ED2EBD" w:rsidP="004A205F">
            <w:pPr>
              <w:pStyle w:val="TableText"/>
              <w:spacing w:before="40" w:after="40"/>
              <w:rPr>
                <w:szCs w:val="18"/>
              </w:rPr>
            </w:pPr>
            <w:r w:rsidRPr="00BD16B4">
              <w:rPr>
                <w:szCs w:val="18"/>
              </w:rPr>
              <w:t>HFC-152a</w:t>
            </w:r>
          </w:p>
        </w:tc>
        <w:tc>
          <w:tcPr>
            <w:tcW w:w="907" w:type="dxa"/>
            <w:shd w:val="clear" w:color="auto" w:fill="auto"/>
          </w:tcPr>
          <w:p w14:paraId="6FBDFBFE"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667936B5"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5334AC46"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26C1D033"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745CF50A"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2D316989"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5BAA6BA2"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33F00EE7"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1B7880B9"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350E0874" w14:textId="77777777" w:rsidTr="00AA2930">
        <w:tc>
          <w:tcPr>
            <w:tcW w:w="3402" w:type="dxa"/>
          </w:tcPr>
          <w:p w14:paraId="02061B39" w14:textId="77777777" w:rsidR="00ED2EBD" w:rsidRPr="00BD16B4" w:rsidRDefault="00ED2EBD" w:rsidP="004A205F">
            <w:pPr>
              <w:pStyle w:val="TableText"/>
              <w:spacing w:before="40" w:after="40"/>
              <w:rPr>
                <w:szCs w:val="18"/>
              </w:rPr>
            </w:pPr>
            <w:r w:rsidRPr="00BD16B4">
              <w:rPr>
                <w:szCs w:val="18"/>
              </w:rPr>
              <w:t>HFC-161</w:t>
            </w:r>
          </w:p>
        </w:tc>
        <w:tc>
          <w:tcPr>
            <w:tcW w:w="907" w:type="dxa"/>
            <w:shd w:val="clear" w:color="auto" w:fill="auto"/>
          </w:tcPr>
          <w:p w14:paraId="3F4F0D2F"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6B995BF"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8B2B0C8"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A34ADD0"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01FCF782"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0AFDBC4"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58EC81E"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1A0168A"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58D9EB2"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76997898" w14:textId="77777777" w:rsidTr="00AA2930">
        <w:tc>
          <w:tcPr>
            <w:tcW w:w="3402" w:type="dxa"/>
          </w:tcPr>
          <w:p w14:paraId="7667124B" w14:textId="77777777" w:rsidR="00ED2EBD" w:rsidRPr="00BD16B4" w:rsidRDefault="00ED2EBD" w:rsidP="004A205F">
            <w:pPr>
              <w:pStyle w:val="TableText"/>
              <w:spacing w:before="40" w:after="40"/>
              <w:rPr>
                <w:szCs w:val="18"/>
              </w:rPr>
            </w:pPr>
            <w:r w:rsidRPr="00BD16B4">
              <w:rPr>
                <w:szCs w:val="18"/>
              </w:rPr>
              <w:t>HFC-227ea</w:t>
            </w:r>
          </w:p>
        </w:tc>
        <w:tc>
          <w:tcPr>
            <w:tcW w:w="907" w:type="dxa"/>
            <w:shd w:val="clear" w:color="auto" w:fill="auto"/>
          </w:tcPr>
          <w:p w14:paraId="6B35C460"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08BB7DE8"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1BD9D778"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0F2BD430"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1F77F4C1"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57F5563F"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79FA8952"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1B731836"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29748831"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5F0C5169" w14:textId="77777777" w:rsidTr="00AA2930">
        <w:tc>
          <w:tcPr>
            <w:tcW w:w="3402" w:type="dxa"/>
          </w:tcPr>
          <w:p w14:paraId="78B45348" w14:textId="77777777" w:rsidR="00ED2EBD" w:rsidRPr="00BD16B4" w:rsidRDefault="00ED2EBD" w:rsidP="004A205F">
            <w:pPr>
              <w:pStyle w:val="TableText"/>
              <w:spacing w:before="40" w:after="40"/>
              <w:rPr>
                <w:szCs w:val="18"/>
              </w:rPr>
            </w:pPr>
            <w:r w:rsidRPr="00BD16B4">
              <w:rPr>
                <w:szCs w:val="18"/>
              </w:rPr>
              <w:t>HFC-236cb</w:t>
            </w:r>
          </w:p>
        </w:tc>
        <w:tc>
          <w:tcPr>
            <w:tcW w:w="907" w:type="dxa"/>
            <w:shd w:val="clear" w:color="auto" w:fill="auto"/>
          </w:tcPr>
          <w:p w14:paraId="38EBD8EF"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4AEE1254"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A4201A0"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41451A30"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130A6CB8"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11F99B0D"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FBDEAC9"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3E4E92D"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1FD23A1E"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62C3803A" w14:textId="77777777" w:rsidTr="00AA2930">
        <w:tc>
          <w:tcPr>
            <w:tcW w:w="3402" w:type="dxa"/>
          </w:tcPr>
          <w:p w14:paraId="769C120B" w14:textId="77777777" w:rsidR="00ED2EBD" w:rsidRPr="00BD16B4" w:rsidRDefault="00ED2EBD" w:rsidP="004A205F">
            <w:pPr>
              <w:pStyle w:val="TableText"/>
              <w:spacing w:before="40" w:after="40"/>
              <w:rPr>
                <w:szCs w:val="18"/>
              </w:rPr>
            </w:pPr>
            <w:r w:rsidRPr="00BD16B4">
              <w:rPr>
                <w:szCs w:val="18"/>
              </w:rPr>
              <w:t>HFC-236ea</w:t>
            </w:r>
          </w:p>
        </w:tc>
        <w:tc>
          <w:tcPr>
            <w:tcW w:w="907" w:type="dxa"/>
            <w:shd w:val="clear" w:color="auto" w:fill="auto"/>
          </w:tcPr>
          <w:p w14:paraId="5C6D1539"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FD414D4"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6300326"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AF5A57D"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1CDAA0B4"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0A53C946"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4B5D3887"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24E726D"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688A235"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6C12FFA6" w14:textId="77777777" w:rsidTr="00AA2930">
        <w:tc>
          <w:tcPr>
            <w:tcW w:w="3402" w:type="dxa"/>
          </w:tcPr>
          <w:p w14:paraId="011B1B06" w14:textId="77777777" w:rsidR="00ED2EBD" w:rsidRPr="00BD16B4" w:rsidRDefault="00ED2EBD" w:rsidP="004A205F">
            <w:pPr>
              <w:pStyle w:val="TableText"/>
              <w:spacing w:before="40" w:after="40"/>
              <w:rPr>
                <w:szCs w:val="18"/>
              </w:rPr>
            </w:pPr>
            <w:r w:rsidRPr="00BD16B4">
              <w:rPr>
                <w:szCs w:val="18"/>
              </w:rPr>
              <w:t>HFC-236fa</w:t>
            </w:r>
          </w:p>
        </w:tc>
        <w:tc>
          <w:tcPr>
            <w:tcW w:w="907" w:type="dxa"/>
            <w:shd w:val="clear" w:color="auto" w:fill="auto"/>
          </w:tcPr>
          <w:p w14:paraId="07E86284"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7918114E"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B5CE140"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53A1284"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3FE5299F"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57A802B"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793CF6E"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C8998AF"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5B356BB"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1B55416E" w14:textId="77777777" w:rsidTr="00AA2930">
        <w:tc>
          <w:tcPr>
            <w:tcW w:w="3402" w:type="dxa"/>
          </w:tcPr>
          <w:p w14:paraId="2FE67A98" w14:textId="77777777" w:rsidR="00ED2EBD" w:rsidRPr="00BD16B4" w:rsidRDefault="00ED2EBD" w:rsidP="004A205F">
            <w:pPr>
              <w:pStyle w:val="TableText"/>
              <w:spacing w:before="40" w:after="40"/>
              <w:rPr>
                <w:szCs w:val="18"/>
              </w:rPr>
            </w:pPr>
            <w:r w:rsidRPr="00BD16B4">
              <w:rPr>
                <w:szCs w:val="18"/>
              </w:rPr>
              <w:t>HFC-245ca</w:t>
            </w:r>
          </w:p>
        </w:tc>
        <w:tc>
          <w:tcPr>
            <w:tcW w:w="907" w:type="dxa"/>
            <w:shd w:val="clear" w:color="auto" w:fill="auto"/>
          </w:tcPr>
          <w:p w14:paraId="37F9D34A"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062B8EF6"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0181502"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46EADCEC"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3B2A127E"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8142D8F"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1924B339"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FFC573E"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7EABAE93"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42A4B377" w14:textId="77777777" w:rsidTr="00AA2930">
        <w:tc>
          <w:tcPr>
            <w:tcW w:w="3402" w:type="dxa"/>
          </w:tcPr>
          <w:p w14:paraId="30BBCE89" w14:textId="77777777" w:rsidR="00ED2EBD" w:rsidRPr="00BD16B4" w:rsidRDefault="00ED2EBD" w:rsidP="004A205F">
            <w:pPr>
              <w:pStyle w:val="TableText"/>
              <w:spacing w:before="40" w:after="40"/>
              <w:rPr>
                <w:szCs w:val="18"/>
              </w:rPr>
            </w:pPr>
            <w:r w:rsidRPr="00BD16B4">
              <w:rPr>
                <w:szCs w:val="18"/>
              </w:rPr>
              <w:t>HFC-245fa</w:t>
            </w:r>
          </w:p>
        </w:tc>
        <w:tc>
          <w:tcPr>
            <w:tcW w:w="907" w:type="dxa"/>
            <w:shd w:val="clear" w:color="auto" w:fill="auto"/>
          </w:tcPr>
          <w:p w14:paraId="2FEF32BD"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067A55C1"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1E387F78"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787ED477"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34A9CA13"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70BA03A8"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2B2B2C2F"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324ACD22"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7AAC64D2"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379209AE" w14:textId="77777777" w:rsidTr="00AA2930">
        <w:tc>
          <w:tcPr>
            <w:tcW w:w="3402" w:type="dxa"/>
          </w:tcPr>
          <w:p w14:paraId="4385BAB7" w14:textId="77777777" w:rsidR="00ED2EBD" w:rsidRPr="00BD16B4" w:rsidRDefault="00ED2EBD" w:rsidP="004A205F">
            <w:pPr>
              <w:pStyle w:val="TableText"/>
              <w:spacing w:before="40" w:after="40"/>
              <w:rPr>
                <w:szCs w:val="18"/>
              </w:rPr>
            </w:pPr>
            <w:r w:rsidRPr="00BD16B4">
              <w:rPr>
                <w:szCs w:val="18"/>
              </w:rPr>
              <w:t>HFC-365mfc</w:t>
            </w:r>
          </w:p>
        </w:tc>
        <w:tc>
          <w:tcPr>
            <w:tcW w:w="907" w:type="dxa"/>
            <w:shd w:val="clear" w:color="auto" w:fill="auto"/>
          </w:tcPr>
          <w:p w14:paraId="7C58DA30"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77B7703A"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53594699"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22F63A38"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5B2439A1"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17C3B3AD"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49D0B3B0"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668A377C"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5F7F7400"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50289E5A" w14:textId="77777777" w:rsidTr="00AA2930">
        <w:tc>
          <w:tcPr>
            <w:tcW w:w="3402" w:type="dxa"/>
          </w:tcPr>
          <w:p w14:paraId="788A1E57" w14:textId="77777777" w:rsidR="00ED2EBD" w:rsidRPr="00BD16B4" w:rsidRDefault="00ED2EBD" w:rsidP="004A205F">
            <w:pPr>
              <w:pStyle w:val="TableText"/>
              <w:spacing w:before="40" w:after="40"/>
              <w:rPr>
                <w:szCs w:val="18"/>
              </w:rPr>
            </w:pPr>
            <w:r w:rsidRPr="00BD16B4">
              <w:rPr>
                <w:szCs w:val="18"/>
              </w:rPr>
              <w:lastRenderedPageBreak/>
              <w:t>Unspecified mix of HFCs (kt CO</w:t>
            </w:r>
            <w:r w:rsidRPr="00BD16B4">
              <w:rPr>
                <w:szCs w:val="18"/>
                <w:vertAlign w:val="subscript"/>
              </w:rPr>
              <w:t>2</w:t>
            </w:r>
            <w:r w:rsidRPr="00BD16B4">
              <w:rPr>
                <w:szCs w:val="18"/>
              </w:rPr>
              <w:t>-equivalent)</w:t>
            </w:r>
          </w:p>
        </w:tc>
        <w:tc>
          <w:tcPr>
            <w:tcW w:w="907" w:type="dxa"/>
            <w:shd w:val="clear" w:color="auto" w:fill="auto"/>
          </w:tcPr>
          <w:p w14:paraId="65BAF068"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4FA5A8E9"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14DD866"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42738E28"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6216AD9"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B0CEA43"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983E79B"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4458E1ED"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0E018EA"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0D035E7F" w14:textId="77777777" w:rsidTr="00AA2930">
        <w:tc>
          <w:tcPr>
            <w:tcW w:w="3402" w:type="dxa"/>
          </w:tcPr>
          <w:p w14:paraId="414FB843" w14:textId="77777777" w:rsidR="00ED2EBD" w:rsidRPr="00BD16B4" w:rsidRDefault="00ED2EBD" w:rsidP="004A205F">
            <w:pPr>
              <w:pStyle w:val="TableText"/>
              <w:spacing w:before="40" w:after="40"/>
              <w:rPr>
                <w:szCs w:val="18"/>
              </w:rPr>
            </w:pPr>
            <w:r w:rsidRPr="00BD16B4">
              <w:rPr>
                <w:b/>
                <w:bCs/>
                <w:szCs w:val="18"/>
              </w:rPr>
              <w:t>Emissions of PFCs (kt CO</w:t>
            </w:r>
            <w:r w:rsidRPr="00BD16B4">
              <w:rPr>
                <w:b/>
                <w:bCs/>
                <w:szCs w:val="18"/>
                <w:vertAlign w:val="subscript"/>
              </w:rPr>
              <w:t>2</w:t>
            </w:r>
            <w:r w:rsidRPr="00BD16B4">
              <w:rPr>
                <w:b/>
                <w:bCs/>
                <w:szCs w:val="18"/>
              </w:rPr>
              <w:t>-equivalent)</w:t>
            </w:r>
          </w:p>
        </w:tc>
        <w:tc>
          <w:tcPr>
            <w:tcW w:w="907" w:type="dxa"/>
            <w:shd w:val="clear" w:color="auto" w:fill="auto"/>
          </w:tcPr>
          <w:p w14:paraId="2A5CCCD1" w14:textId="77777777" w:rsidR="00ED2EBD" w:rsidRPr="00BD16B4" w:rsidRDefault="00ED2EBD" w:rsidP="004A205F">
            <w:pPr>
              <w:pStyle w:val="TableText"/>
              <w:spacing w:before="40" w:after="40"/>
              <w:jc w:val="right"/>
              <w:rPr>
                <w:szCs w:val="18"/>
              </w:rPr>
            </w:pPr>
            <w:r w:rsidRPr="00BD16B4">
              <w:rPr>
                <w:szCs w:val="18"/>
              </w:rPr>
              <w:t>909.95</w:t>
            </w:r>
          </w:p>
        </w:tc>
        <w:tc>
          <w:tcPr>
            <w:tcW w:w="907" w:type="dxa"/>
            <w:shd w:val="clear" w:color="auto" w:fill="auto"/>
          </w:tcPr>
          <w:p w14:paraId="452A25AC" w14:textId="77777777" w:rsidR="00ED2EBD" w:rsidRPr="00BD16B4" w:rsidRDefault="00ED2EBD" w:rsidP="004A205F">
            <w:pPr>
              <w:pStyle w:val="TableText"/>
              <w:spacing w:before="40" w:after="40"/>
              <w:jc w:val="right"/>
              <w:rPr>
                <w:szCs w:val="18"/>
              </w:rPr>
            </w:pPr>
            <w:r w:rsidRPr="00BD16B4">
              <w:rPr>
                <w:szCs w:val="18"/>
              </w:rPr>
              <w:t>903.79</w:t>
            </w:r>
          </w:p>
        </w:tc>
        <w:tc>
          <w:tcPr>
            <w:tcW w:w="907" w:type="dxa"/>
            <w:shd w:val="clear" w:color="auto" w:fill="auto"/>
          </w:tcPr>
          <w:p w14:paraId="7CF416B7" w14:textId="77777777" w:rsidR="00ED2EBD" w:rsidRPr="00BD16B4" w:rsidRDefault="00ED2EBD" w:rsidP="004A205F">
            <w:pPr>
              <w:pStyle w:val="TableText"/>
              <w:spacing w:before="40" w:after="40"/>
              <w:jc w:val="right"/>
              <w:rPr>
                <w:szCs w:val="18"/>
              </w:rPr>
            </w:pPr>
            <w:r w:rsidRPr="00BD16B4">
              <w:rPr>
                <w:szCs w:val="18"/>
              </w:rPr>
              <w:t>461.88</w:t>
            </w:r>
          </w:p>
        </w:tc>
        <w:tc>
          <w:tcPr>
            <w:tcW w:w="907" w:type="dxa"/>
            <w:shd w:val="clear" w:color="auto" w:fill="auto"/>
          </w:tcPr>
          <w:p w14:paraId="3B186583" w14:textId="77777777" w:rsidR="00ED2EBD" w:rsidRPr="00BD16B4" w:rsidRDefault="00ED2EBD" w:rsidP="004A205F">
            <w:pPr>
              <w:pStyle w:val="TableText"/>
              <w:spacing w:before="40" w:after="40"/>
              <w:jc w:val="right"/>
              <w:rPr>
                <w:szCs w:val="18"/>
              </w:rPr>
            </w:pPr>
            <w:r w:rsidRPr="00BD16B4">
              <w:rPr>
                <w:szCs w:val="18"/>
              </w:rPr>
              <w:t>210.16</w:t>
            </w:r>
          </w:p>
        </w:tc>
        <w:tc>
          <w:tcPr>
            <w:tcW w:w="907" w:type="dxa"/>
            <w:shd w:val="clear" w:color="auto" w:fill="auto"/>
          </w:tcPr>
          <w:p w14:paraId="31FB3652" w14:textId="77777777" w:rsidR="00ED2EBD" w:rsidRPr="00BD16B4" w:rsidRDefault="00ED2EBD" w:rsidP="004A205F">
            <w:pPr>
              <w:pStyle w:val="TableText"/>
              <w:spacing w:before="40" w:after="40"/>
              <w:jc w:val="right"/>
              <w:rPr>
                <w:szCs w:val="18"/>
              </w:rPr>
            </w:pPr>
            <w:r w:rsidRPr="00BD16B4">
              <w:rPr>
                <w:szCs w:val="18"/>
              </w:rPr>
              <w:t>186.18</w:t>
            </w:r>
          </w:p>
        </w:tc>
        <w:tc>
          <w:tcPr>
            <w:tcW w:w="907" w:type="dxa"/>
            <w:shd w:val="clear" w:color="auto" w:fill="auto"/>
          </w:tcPr>
          <w:p w14:paraId="0D5FB891" w14:textId="77777777" w:rsidR="00ED2EBD" w:rsidRPr="00BD16B4" w:rsidRDefault="00ED2EBD" w:rsidP="004A205F">
            <w:pPr>
              <w:pStyle w:val="TableText"/>
              <w:spacing w:before="40" w:after="40"/>
              <w:jc w:val="right"/>
              <w:rPr>
                <w:szCs w:val="18"/>
              </w:rPr>
            </w:pPr>
            <w:r w:rsidRPr="00BD16B4">
              <w:rPr>
                <w:szCs w:val="18"/>
              </w:rPr>
              <w:t>153.28</w:t>
            </w:r>
          </w:p>
        </w:tc>
        <w:tc>
          <w:tcPr>
            <w:tcW w:w="907" w:type="dxa"/>
            <w:shd w:val="clear" w:color="auto" w:fill="auto"/>
          </w:tcPr>
          <w:p w14:paraId="2C383ECF" w14:textId="77777777" w:rsidR="00ED2EBD" w:rsidRPr="00BD16B4" w:rsidRDefault="00ED2EBD" w:rsidP="004A205F">
            <w:pPr>
              <w:pStyle w:val="TableText"/>
              <w:spacing w:before="40" w:after="40"/>
              <w:jc w:val="right"/>
              <w:rPr>
                <w:szCs w:val="18"/>
              </w:rPr>
            </w:pPr>
            <w:r w:rsidRPr="00BD16B4">
              <w:rPr>
                <w:szCs w:val="18"/>
              </w:rPr>
              <w:t>278.98</w:t>
            </w:r>
          </w:p>
        </w:tc>
        <w:tc>
          <w:tcPr>
            <w:tcW w:w="907" w:type="dxa"/>
            <w:shd w:val="clear" w:color="auto" w:fill="auto"/>
          </w:tcPr>
          <w:p w14:paraId="04CE6485" w14:textId="77777777" w:rsidR="00ED2EBD" w:rsidRPr="00BD16B4" w:rsidRDefault="00ED2EBD" w:rsidP="004A205F">
            <w:pPr>
              <w:pStyle w:val="TableText"/>
              <w:spacing w:before="40" w:after="40"/>
              <w:jc w:val="right"/>
              <w:rPr>
                <w:szCs w:val="18"/>
              </w:rPr>
            </w:pPr>
            <w:r w:rsidRPr="00BD16B4">
              <w:rPr>
                <w:szCs w:val="18"/>
              </w:rPr>
              <w:t>201.11</w:t>
            </w:r>
          </w:p>
        </w:tc>
        <w:tc>
          <w:tcPr>
            <w:tcW w:w="907" w:type="dxa"/>
            <w:shd w:val="clear" w:color="auto" w:fill="auto"/>
          </w:tcPr>
          <w:p w14:paraId="7CF2E335" w14:textId="77777777" w:rsidR="00ED2EBD" w:rsidRPr="00BD16B4" w:rsidRDefault="00ED2EBD" w:rsidP="004A205F">
            <w:pPr>
              <w:pStyle w:val="TableText"/>
              <w:spacing w:before="40" w:after="40"/>
              <w:jc w:val="right"/>
              <w:rPr>
                <w:szCs w:val="18"/>
              </w:rPr>
            </w:pPr>
            <w:r w:rsidRPr="00BD16B4">
              <w:rPr>
                <w:szCs w:val="18"/>
              </w:rPr>
              <w:t>151.38</w:t>
            </w:r>
          </w:p>
        </w:tc>
      </w:tr>
      <w:tr w:rsidR="00ED2EBD" w:rsidRPr="00BD16B4" w14:paraId="48612E0F" w14:textId="77777777" w:rsidTr="00AA2930">
        <w:tc>
          <w:tcPr>
            <w:tcW w:w="3402" w:type="dxa"/>
          </w:tcPr>
          <w:p w14:paraId="554CD386" w14:textId="77777777" w:rsidR="00ED2EBD" w:rsidRPr="00BD16B4" w:rsidRDefault="00ED2EBD" w:rsidP="004A205F">
            <w:pPr>
              <w:pStyle w:val="TableText"/>
              <w:spacing w:before="40" w:after="40"/>
              <w:rPr>
                <w:szCs w:val="18"/>
              </w:rPr>
            </w:pPr>
            <w:r w:rsidRPr="00BD16B4">
              <w:rPr>
                <w:szCs w:val="18"/>
              </w:rPr>
              <w:t>CF</w:t>
            </w:r>
            <w:r w:rsidRPr="00BD16B4">
              <w:rPr>
                <w:color w:val="000000"/>
                <w:szCs w:val="18"/>
                <w:vertAlign w:val="subscript"/>
              </w:rPr>
              <w:t>4</w:t>
            </w:r>
          </w:p>
        </w:tc>
        <w:tc>
          <w:tcPr>
            <w:tcW w:w="907" w:type="dxa"/>
            <w:shd w:val="clear" w:color="auto" w:fill="auto"/>
          </w:tcPr>
          <w:p w14:paraId="7F5BAE04" w14:textId="77777777" w:rsidR="00ED2EBD" w:rsidRPr="00BD16B4" w:rsidRDefault="00ED2EBD" w:rsidP="004A205F">
            <w:pPr>
              <w:pStyle w:val="TableText"/>
              <w:spacing w:before="40" w:after="40"/>
              <w:jc w:val="right"/>
              <w:rPr>
                <w:szCs w:val="18"/>
              </w:rPr>
            </w:pPr>
            <w:r w:rsidRPr="00BD16B4">
              <w:rPr>
                <w:szCs w:val="18"/>
              </w:rPr>
              <w:t>0.11</w:t>
            </w:r>
          </w:p>
        </w:tc>
        <w:tc>
          <w:tcPr>
            <w:tcW w:w="907" w:type="dxa"/>
            <w:shd w:val="clear" w:color="auto" w:fill="auto"/>
          </w:tcPr>
          <w:p w14:paraId="7B2FD6B2" w14:textId="77777777" w:rsidR="00ED2EBD" w:rsidRPr="00BD16B4" w:rsidRDefault="00ED2EBD" w:rsidP="004A205F">
            <w:pPr>
              <w:pStyle w:val="TableText"/>
              <w:spacing w:before="40" w:after="40"/>
              <w:jc w:val="right"/>
              <w:rPr>
                <w:szCs w:val="18"/>
              </w:rPr>
            </w:pPr>
            <w:r w:rsidRPr="00BD16B4">
              <w:rPr>
                <w:szCs w:val="18"/>
              </w:rPr>
              <w:t>0.10</w:t>
            </w:r>
          </w:p>
        </w:tc>
        <w:tc>
          <w:tcPr>
            <w:tcW w:w="907" w:type="dxa"/>
            <w:shd w:val="clear" w:color="auto" w:fill="auto"/>
          </w:tcPr>
          <w:p w14:paraId="754C659E" w14:textId="77777777" w:rsidR="00ED2EBD" w:rsidRPr="00BD16B4" w:rsidRDefault="00ED2EBD" w:rsidP="004A205F">
            <w:pPr>
              <w:pStyle w:val="TableText"/>
              <w:spacing w:before="40" w:after="40"/>
              <w:jc w:val="right"/>
              <w:rPr>
                <w:szCs w:val="18"/>
              </w:rPr>
            </w:pPr>
            <w:r w:rsidRPr="00BD16B4">
              <w:rPr>
                <w:szCs w:val="18"/>
              </w:rPr>
              <w:t>0.05</w:t>
            </w:r>
          </w:p>
        </w:tc>
        <w:tc>
          <w:tcPr>
            <w:tcW w:w="907" w:type="dxa"/>
            <w:shd w:val="clear" w:color="auto" w:fill="auto"/>
          </w:tcPr>
          <w:p w14:paraId="0EE36174" w14:textId="77777777" w:rsidR="00ED2EBD" w:rsidRPr="00BD16B4" w:rsidRDefault="00ED2EBD" w:rsidP="004A205F">
            <w:pPr>
              <w:pStyle w:val="TableText"/>
              <w:spacing w:before="40" w:after="40"/>
              <w:jc w:val="right"/>
              <w:rPr>
                <w:szCs w:val="18"/>
              </w:rPr>
            </w:pPr>
            <w:r w:rsidRPr="00BD16B4">
              <w:rPr>
                <w:szCs w:val="18"/>
              </w:rPr>
              <w:t>0.02</w:t>
            </w:r>
          </w:p>
        </w:tc>
        <w:tc>
          <w:tcPr>
            <w:tcW w:w="907" w:type="dxa"/>
            <w:shd w:val="clear" w:color="auto" w:fill="auto"/>
          </w:tcPr>
          <w:p w14:paraId="441E46C7" w14:textId="77777777" w:rsidR="00ED2EBD" w:rsidRPr="00BD16B4" w:rsidRDefault="00ED2EBD" w:rsidP="004A205F">
            <w:pPr>
              <w:pStyle w:val="TableText"/>
              <w:spacing w:before="40" w:after="40"/>
              <w:jc w:val="right"/>
              <w:rPr>
                <w:szCs w:val="18"/>
              </w:rPr>
            </w:pPr>
            <w:r w:rsidRPr="00BD16B4">
              <w:rPr>
                <w:szCs w:val="18"/>
              </w:rPr>
              <w:t>0.02</w:t>
            </w:r>
          </w:p>
        </w:tc>
        <w:tc>
          <w:tcPr>
            <w:tcW w:w="907" w:type="dxa"/>
            <w:shd w:val="clear" w:color="auto" w:fill="auto"/>
          </w:tcPr>
          <w:p w14:paraId="588E1D81" w14:textId="77777777" w:rsidR="00ED2EBD" w:rsidRPr="00BD16B4" w:rsidRDefault="00ED2EBD" w:rsidP="004A205F">
            <w:pPr>
              <w:pStyle w:val="TableText"/>
              <w:spacing w:before="40" w:after="40"/>
              <w:jc w:val="right"/>
              <w:rPr>
                <w:szCs w:val="18"/>
              </w:rPr>
            </w:pPr>
            <w:r w:rsidRPr="00BD16B4">
              <w:rPr>
                <w:szCs w:val="18"/>
              </w:rPr>
              <w:t>0.02</w:t>
            </w:r>
          </w:p>
        </w:tc>
        <w:tc>
          <w:tcPr>
            <w:tcW w:w="907" w:type="dxa"/>
            <w:shd w:val="clear" w:color="auto" w:fill="auto"/>
          </w:tcPr>
          <w:p w14:paraId="5F0EB634" w14:textId="77777777" w:rsidR="00ED2EBD" w:rsidRPr="00BD16B4" w:rsidRDefault="00ED2EBD" w:rsidP="004A205F">
            <w:pPr>
              <w:pStyle w:val="TableText"/>
              <w:spacing w:before="40" w:after="40"/>
              <w:jc w:val="right"/>
              <w:rPr>
                <w:szCs w:val="18"/>
              </w:rPr>
            </w:pPr>
            <w:r w:rsidRPr="00BD16B4">
              <w:rPr>
                <w:szCs w:val="18"/>
              </w:rPr>
              <w:t>0.03</w:t>
            </w:r>
          </w:p>
        </w:tc>
        <w:tc>
          <w:tcPr>
            <w:tcW w:w="907" w:type="dxa"/>
            <w:shd w:val="clear" w:color="auto" w:fill="auto"/>
          </w:tcPr>
          <w:p w14:paraId="5270C8A6" w14:textId="77777777" w:rsidR="00ED2EBD" w:rsidRPr="00BD16B4" w:rsidRDefault="00ED2EBD" w:rsidP="004A205F">
            <w:pPr>
              <w:pStyle w:val="TableText"/>
              <w:spacing w:before="40" w:after="40"/>
              <w:jc w:val="right"/>
              <w:rPr>
                <w:szCs w:val="18"/>
              </w:rPr>
            </w:pPr>
            <w:r w:rsidRPr="00BD16B4">
              <w:rPr>
                <w:szCs w:val="18"/>
              </w:rPr>
              <w:t>0.02</w:t>
            </w:r>
          </w:p>
        </w:tc>
        <w:tc>
          <w:tcPr>
            <w:tcW w:w="907" w:type="dxa"/>
            <w:shd w:val="clear" w:color="auto" w:fill="auto"/>
          </w:tcPr>
          <w:p w14:paraId="4BCE6763" w14:textId="77777777" w:rsidR="00ED2EBD" w:rsidRPr="00BD16B4" w:rsidRDefault="00ED2EBD" w:rsidP="004A205F">
            <w:pPr>
              <w:pStyle w:val="TableText"/>
              <w:spacing w:before="40" w:after="40"/>
              <w:jc w:val="right"/>
              <w:rPr>
                <w:szCs w:val="18"/>
              </w:rPr>
            </w:pPr>
            <w:r w:rsidRPr="00BD16B4">
              <w:rPr>
                <w:szCs w:val="18"/>
              </w:rPr>
              <w:t>0.01</w:t>
            </w:r>
          </w:p>
        </w:tc>
      </w:tr>
      <w:tr w:rsidR="00ED2EBD" w:rsidRPr="00BD16B4" w14:paraId="0258F345" w14:textId="77777777" w:rsidTr="00AA2930">
        <w:tc>
          <w:tcPr>
            <w:tcW w:w="3402" w:type="dxa"/>
          </w:tcPr>
          <w:p w14:paraId="5330E145" w14:textId="77777777" w:rsidR="00ED2EBD" w:rsidRPr="00BD16B4" w:rsidRDefault="00ED2EBD" w:rsidP="004A205F">
            <w:pPr>
              <w:pStyle w:val="TableText"/>
              <w:spacing w:before="40" w:after="40"/>
              <w:rPr>
                <w:szCs w:val="18"/>
              </w:rPr>
            </w:pPr>
            <w:r w:rsidRPr="00BD16B4">
              <w:rPr>
                <w:szCs w:val="18"/>
              </w:rPr>
              <w:t>C</w:t>
            </w:r>
            <w:r w:rsidRPr="00BD16B4">
              <w:rPr>
                <w:color w:val="000000"/>
                <w:szCs w:val="18"/>
                <w:vertAlign w:val="subscript"/>
              </w:rPr>
              <w:t>2</w:t>
            </w:r>
            <w:r w:rsidRPr="00BD16B4">
              <w:rPr>
                <w:color w:val="000000"/>
                <w:szCs w:val="18"/>
              </w:rPr>
              <w:t>F</w:t>
            </w:r>
            <w:r w:rsidRPr="00BD16B4">
              <w:rPr>
                <w:color w:val="000000"/>
                <w:szCs w:val="18"/>
                <w:vertAlign w:val="subscript"/>
              </w:rPr>
              <w:t>6</w:t>
            </w:r>
          </w:p>
        </w:tc>
        <w:tc>
          <w:tcPr>
            <w:tcW w:w="907" w:type="dxa"/>
            <w:shd w:val="clear" w:color="auto" w:fill="auto"/>
          </w:tcPr>
          <w:p w14:paraId="153EFC85" w14:textId="77777777" w:rsidR="00ED2EBD" w:rsidRPr="00BD16B4" w:rsidRDefault="00ED2EBD" w:rsidP="004A205F">
            <w:pPr>
              <w:pStyle w:val="TableText"/>
              <w:spacing w:before="40" w:after="40"/>
              <w:jc w:val="right"/>
              <w:rPr>
                <w:szCs w:val="18"/>
              </w:rPr>
            </w:pPr>
            <w:r w:rsidRPr="00BD16B4">
              <w:rPr>
                <w:szCs w:val="18"/>
              </w:rPr>
              <w:t>0.01</w:t>
            </w:r>
          </w:p>
        </w:tc>
        <w:tc>
          <w:tcPr>
            <w:tcW w:w="907" w:type="dxa"/>
            <w:shd w:val="clear" w:color="auto" w:fill="auto"/>
          </w:tcPr>
          <w:p w14:paraId="2C6A35BC" w14:textId="77777777" w:rsidR="00ED2EBD" w:rsidRPr="00BD16B4" w:rsidRDefault="00ED2EBD" w:rsidP="004A205F">
            <w:pPr>
              <w:pStyle w:val="TableText"/>
              <w:spacing w:before="40" w:after="40"/>
              <w:jc w:val="right"/>
              <w:rPr>
                <w:szCs w:val="18"/>
              </w:rPr>
            </w:pPr>
            <w:r w:rsidRPr="00BD16B4">
              <w:rPr>
                <w:szCs w:val="18"/>
              </w:rPr>
              <w:t>0.01</w:t>
            </w:r>
          </w:p>
        </w:tc>
        <w:tc>
          <w:tcPr>
            <w:tcW w:w="907" w:type="dxa"/>
            <w:shd w:val="clear" w:color="auto" w:fill="auto"/>
          </w:tcPr>
          <w:p w14:paraId="019C48B7" w14:textId="77777777" w:rsidR="00ED2EBD" w:rsidRPr="00BD16B4" w:rsidRDefault="00ED2EBD" w:rsidP="004A205F">
            <w:pPr>
              <w:pStyle w:val="TableText"/>
              <w:spacing w:before="40" w:after="40"/>
              <w:jc w:val="right"/>
              <w:rPr>
                <w:szCs w:val="18"/>
              </w:rPr>
            </w:pPr>
            <w:r w:rsidRPr="00BD16B4">
              <w:rPr>
                <w:szCs w:val="18"/>
              </w:rPr>
              <w:t>0.01</w:t>
            </w:r>
          </w:p>
        </w:tc>
        <w:tc>
          <w:tcPr>
            <w:tcW w:w="907" w:type="dxa"/>
            <w:shd w:val="clear" w:color="auto" w:fill="auto"/>
          </w:tcPr>
          <w:p w14:paraId="639E38AB"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47F0EE0F"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00E99703"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1C52EE3D"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348A4AB7"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3861286F"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0F64D21F" w14:textId="77777777" w:rsidTr="00AA2930">
        <w:tc>
          <w:tcPr>
            <w:tcW w:w="3402" w:type="dxa"/>
          </w:tcPr>
          <w:p w14:paraId="29795E0F" w14:textId="77777777" w:rsidR="00ED2EBD" w:rsidRPr="00BD16B4" w:rsidRDefault="00ED2EBD" w:rsidP="004A205F">
            <w:pPr>
              <w:pStyle w:val="TableText"/>
              <w:spacing w:before="40" w:after="40"/>
              <w:rPr>
                <w:szCs w:val="18"/>
              </w:rPr>
            </w:pPr>
            <w:r w:rsidRPr="00BD16B4">
              <w:rPr>
                <w:szCs w:val="18"/>
              </w:rPr>
              <w:t>C</w:t>
            </w:r>
            <w:r w:rsidRPr="00BD16B4">
              <w:rPr>
                <w:color w:val="000000"/>
                <w:szCs w:val="18"/>
                <w:vertAlign w:val="subscript"/>
              </w:rPr>
              <w:t>3</w:t>
            </w:r>
            <w:r w:rsidRPr="00BD16B4">
              <w:rPr>
                <w:color w:val="000000"/>
                <w:szCs w:val="18"/>
              </w:rPr>
              <w:t>F</w:t>
            </w:r>
            <w:r w:rsidRPr="00BD16B4">
              <w:rPr>
                <w:color w:val="000000"/>
                <w:szCs w:val="18"/>
                <w:vertAlign w:val="subscript"/>
              </w:rPr>
              <w:t>8</w:t>
            </w:r>
          </w:p>
        </w:tc>
        <w:tc>
          <w:tcPr>
            <w:tcW w:w="907" w:type="dxa"/>
            <w:shd w:val="clear" w:color="auto" w:fill="auto"/>
          </w:tcPr>
          <w:p w14:paraId="301A1D93"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74ED5CC0"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510C3579"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5C6C4962"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41481A0E" w14:textId="77777777" w:rsidR="00ED2EBD" w:rsidRPr="00BD16B4" w:rsidRDefault="00ED2EBD" w:rsidP="004A205F">
            <w:pPr>
              <w:pStyle w:val="TableText"/>
              <w:spacing w:before="40" w:after="40"/>
              <w:jc w:val="right"/>
              <w:rPr>
                <w:szCs w:val="18"/>
              </w:rPr>
            </w:pPr>
            <w:r w:rsidRPr="00BD16B4">
              <w:rPr>
                <w:szCs w:val="18"/>
              </w:rPr>
              <w:t>NO, NA</w:t>
            </w:r>
          </w:p>
        </w:tc>
        <w:tc>
          <w:tcPr>
            <w:tcW w:w="907" w:type="dxa"/>
            <w:shd w:val="clear" w:color="auto" w:fill="auto"/>
          </w:tcPr>
          <w:p w14:paraId="061C62AE"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0A026DA7"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1A355B3D" w14:textId="77777777" w:rsidR="00ED2EBD" w:rsidRPr="00BD16B4" w:rsidRDefault="00ED2EBD" w:rsidP="004A205F">
            <w:pPr>
              <w:pStyle w:val="TableText"/>
              <w:spacing w:before="40" w:after="40"/>
              <w:jc w:val="right"/>
              <w:rPr>
                <w:szCs w:val="18"/>
              </w:rPr>
            </w:pPr>
            <w:r w:rsidRPr="00BD16B4">
              <w:rPr>
                <w:szCs w:val="18"/>
              </w:rPr>
              <w:t>0.00</w:t>
            </w:r>
          </w:p>
        </w:tc>
        <w:tc>
          <w:tcPr>
            <w:tcW w:w="907" w:type="dxa"/>
            <w:shd w:val="clear" w:color="auto" w:fill="auto"/>
          </w:tcPr>
          <w:p w14:paraId="0BF9F626" w14:textId="77777777" w:rsidR="00ED2EBD" w:rsidRPr="00BD16B4" w:rsidRDefault="00ED2EBD" w:rsidP="004A205F">
            <w:pPr>
              <w:pStyle w:val="TableText"/>
              <w:spacing w:before="40" w:after="40"/>
              <w:jc w:val="right"/>
              <w:rPr>
                <w:szCs w:val="18"/>
              </w:rPr>
            </w:pPr>
            <w:r w:rsidRPr="00BD16B4">
              <w:rPr>
                <w:szCs w:val="18"/>
              </w:rPr>
              <w:t>0.01</w:t>
            </w:r>
          </w:p>
        </w:tc>
      </w:tr>
      <w:tr w:rsidR="00ED2EBD" w:rsidRPr="00BD16B4" w14:paraId="2109B378" w14:textId="77777777" w:rsidTr="00AA2930">
        <w:tc>
          <w:tcPr>
            <w:tcW w:w="3402" w:type="dxa"/>
          </w:tcPr>
          <w:p w14:paraId="29DD9939" w14:textId="77777777" w:rsidR="00ED2EBD" w:rsidRPr="00BD16B4" w:rsidRDefault="00ED2EBD" w:rsidP="004A205F">
            <w:pPr>
              <w:pStyle w:val="TableText"/>
              <w:spacing w:before="40" w:after="40"/>
              <w:rPr>
                <w:szCs w:val="18"/>
              </w:rPr>
            </w:pPr>
            <w:r w:rsidRPr="00BD16B4">
              <w:rPr>
                <w:szCs w:val="18"/>
              </w:rPr>
              <w:t>C</w:t>
            </w:r>
            <w:r w:rsidRPr="00BD16B4">
              <w:rPr>
                <w:color w:val="000000"/>
                <w:szCs w:val="18"/>
                <w:vertAlign w:val="subscript"/>
              </w:rPr>
              <w:t>4</w:t>
            </w:r>
            <w:r w:rsidRPr="00BD16B4">
              <w:rPr>
                <w:color w:val="000000"/>
                <w:szCs w:val="18"/>
              </w:rPr>
              <w:t>F</w:t>
            </w:r>
            <w:r w:rsidRPr="00BD16B4">
              <w:rPr>
                <w:color w:val="000000"/>
                <w:szCs w:val="18"/>
                <w:vertAlign w:val="subscript"/>
              </w:rPr>
              <w:t>10</w:t>
            </w:r>
          </w:p>
        </w:tc>
        <w:tc>
          <w:tcPr>
            <w:tcW w:w="907" w:type="dxa"/>
            <w:shd w:val="clear" w:color="auto" w:fill="auto"/>
          </w:tcPr>
          <w:p w14:paraId="354BEEC2"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3D135428"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990478B"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1F155E23"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11C938DD"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F972915"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151010AE"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45C950A"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0ECE7275"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217C0242" w14:textId="77777777" w:rsidTr="00AA2930">
        <w:tc>
          <w:tcPr>
            <w:tcW w:w="3402" w:type="dxa"/>
          </w:tcPr>
          <w:p w14:paraId="0C36C895" w14:textId="77777777" w:rsidR="00ED2EBD" w:rsidRPr="00BD16B4" w:rsidRDefault="00ED2EBD" w:rsidP="004A205F">
            <w:pPr>
              <w:pStyle w:val="TableText"/>
              <w:spacing w:before="40" w:after="40"/>
              <w:rPr>
                <w:szCs w:val="18"/>
              </w:rPr>
            </w:pPr>
            <w:r w:rsidRPr="00BD16B4">
              <w:rPr>
                <w:szCs w:val="18"/>
              </w:rPr>
              <w:t>c-C</w:t>
            </w:r>
            <w:r w:rsidRPr="00BD16B4">
              <w:rPr>
                <w:color w:val="000000"/>
                <w:szCs w:val="18"/>
                <w:vertAlign w:val="subscript"/>
              </w:rPr>
              <w:t>4</w:t>
            </w:r>
            <w:r w:rsidRPr="00BD16B4">
              <w:rPr>
                <w:color w:val="000000"/>
                <w:szCs w:val="18"/>
              </w:rPr>
              <w:t>F</w:t>
            </w:r>
            <w:r w:rsidRPr="00BD16B4">
              <w:rPr>
                <w:color w:val="000000"/>
                <w:szCs w:val="18"/>
                <w:vertAlign w:val="subscript"/>
              </w:rPr>
              <w:t>8</w:t>
            </w:r>
          </w:p>
        </w:tc>
        <w:tc>
          <w:tcPr>
            <w:tcW w:w="907" w:type="dxa"/>
            <w:shd w:val="clear" w:color="auto" w:fill="auto"/>
          </w:tcPr>
          <w:p w14:paraId="2CB9A245"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892F600"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8F43C08"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7CAFFD88"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069E4990"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0178D63C"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13BF62C3"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303C97B4"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1F949099"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2572D56E" w14:textId="77777777" w:rsidTr="00AA2930">
        <w:tc>
          <w:tcPr>
            <w:tcW w:w="3402" w:type="dxa"/>
          </w:tcPr>
          <w:p w14:paraId="2D6F5071" w14:textId="77777777" w:rsidR="00ED2EBD" w:rsidRPr="00BD16B4" w:rsidRDefault="00ED2EBD" w:rsidP="004A205F">
            <w:pPr>
              <w:pStyle w:val="TableText"/>
              <w:spacing w:before="40" w:after="40"/>
              <w:rPr>
                <w:szCs w:val="18"/>
              </w:rPr>
            </w:pPr>
            <w:r w:rsidRPr="00BD16B4">
              <w:rPr>
                <w:szCs w:val="18"/>
              </w:rPr>
              <w:t>C</w:t>
            </w:r>
            <w:r w:rsidRPr="00BD16B4">
              <w:rPr>
                <w:color w:val="000000"/>
                <w:szCs w:val="18"/>
                <w:vertAlign w:val="subscript"/>
              </w:rPr>
              <w:t>5</w:t>
            </w:r>
            <w:r w:rsidRPr="00BD16B4">
              <w:rPr>
                <w:color w:val="000000"/>
                <w:szCs w:val="18"/>
              </w:rPr>
              <w:t>F</w:t>
            </w:r>
            <w:r w:rsidRPr="00BD16B4">
              <w:rPr>
                <w:color w:val="000000"/>
                <w:szCs w:val="18"/>
                <w:vertAlign w:val="subscript"/>
              </w:rPr>
              <w:t>12</w:t>
            </w:r>
          </w:p>
        </w:tc>
        <w:tc>
          <w:tcPr>
            <w:tcW w:w="907" w:type="dxa"/>
            <w:shd w:val="clear" w:color="auto" w:fill="auto"/>
          </w:tcPr>
          <w:p w14:paraId="226DD28F"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A338F6D"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7123821"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71001EF4"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CB07618"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08AF4F83"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488A116E"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73CB95AE"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43A238D"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28C8AD7E" w14:textId="77777777" w:rsidTr="00AA2930">
        <w:tc>
          <w:tcPr>
            <w:tcW w:w="3402" w:type="dxa"/>
          </w:tcPr>
          <w:p w14:paraId="4172A471" w14:textId="77777777" w:rsidR="00ED2EBD" w:rsidRPr="00BD16B4" w:rsidRDefault="00ED2EBD" w:rsidP="004A205F">
            <w:pPr>
              <w:pStyle w:val="TableText"/>
              <w:spacing w:before="40" w:after="40"/>
              <w:rPr>
                <w:szCs w:val="18"/>
              </w:rPr>
            </w:pPr>
            <w:r w:rsidRPr="00BD16B4">
              <w:rPr>
                <w:szCs w:val="18"/>
              </w:rPr>
              <w:t>C</w:t>
            </w:r>
            <w:r w:rsidRPr="00BD16B4">
              <w:rPr>
                <w:color w:val="000000"/>
                <w:szCs w:val="18"/>
                <w:vertAlign w:val="subscript"/>
              </w:rPr>
              <w:t>6</w:t>
            </w:r>
            <w:r w:rsidRPr="00BD16B4">
              <w:rPr>
                <w:color w:val="000000"/>
                <w:szCs w:val="18"/>
              </w:rPr>
              <w:t>F</w:t>
            </w:r>
            <w:r w:rsidRPr="00BD16B4">
              <w:rPr>
                <w:color w:val="000000"/>
                <w:szCs w:val="18"/>
                <w:vertAlign w:val="subscript"/>
              </w:rPr>
              <w:t>14</w:t>
            </w:r>
          </w:p>
        </w:tc>
        <w:tc>
          <w:tcPr>
            <w:tcW w:w="907" w:type="dxa"/>
            <w:shd w:val="clear" w:color="auto" w:fill="auto"/>
          </w:tcPr>
          <w:p w14:paraId="661B67D4"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446B159E"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B2933ED"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6B9E9A8"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3545B4B6"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4E328C6C"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0441F111"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70C9C6E1"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07DF9E4D"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5254DC7C" w14:textId="77777777" w:rsidTr="00AA2930">
        <w:tc>
          <w:tcPr>
            <w:tcW w:w="3402" w:type="dxa"/>
          </w:tcPr>
          <w:p w14:paraId="35B4731F" w14:textId="77777777" w:rsidR="00ED2EBD" w:rsidRPr="00BD16B4" w:rsidRDefault="00ED2EBD" w:rsidP="004A205F">
            <w:pPr>
              <w:pStyle w:val="TableText"/>
              <w:spacing w:before="40" w:after="40"/>
              <w:rPr>
                <w:szCs w:val="18"/>
              </w:rPr>
            </w:pPr>
            <w:r w:rsidRPr="00BD16B4">
              <w:rPr>
                <w:szCs w:val="18"/>
              </w:rPr>
              <w:t>C10F18</w:t>
            </w:r>
          </w:p>
        </w:tc>
        <w:tc>
          <w:tcPr>
            <w:tcW w:w="907" w:type="dxa"/>
            <w:shd w:val="clear" w:color="auto" w:fill="auto"/>
          </w:tcPr>
          <w:p w14:paraId="66B13683"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37854005"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0DF5C009"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7D4BFEF"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7D4032D"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0B8A968A"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EBDE0A8"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35607389"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503D14D4"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0D1CEE0A" w14:textId="77777777" w:rsidTr="00AA2930">
        <w:tc>
          <w:tcPr>
            <w:tcW w:w="3402" w:type="dxa"/>
          </w:tcPr>
          <w:p w14:paraId="1C9B683A" w14:textId="77777777" w:rsidR="00ED2EBD" w:rsidRPr="00BD16B4" w:rsidRDefault="00ED2EBD" w:rsidP="004A205F">
            <w:pPr>
              <w:pStyle w:val="TableText"/>
              <w:spacing w:before="40" w:after="40"/>
              <w:rPr>
                <w:szCs w:val="18"/>
              </w:rPr>
            </w:pPr>
            <w:r w:rsidRPr="00BD16B4">
              <w:rPr>
                <w:szCs w:val="18"/>
              </w:rPr>
              <w:t>c-C3F6</w:t>
            </w:r>
          </w:p>
        </w:tc>
        <w:tc>
          <w:tcPr>
            <w:tcW w:w="907" w:type="dxa"/>
            <w:shd w:val="clear" w:color="auto" w:fill="auto"/>
          </w:tcPr>
          <w:p w14:paraId="10FA311F"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93B20A4"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1C601E21"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E7096B4"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30525281"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133F3E8"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2120EB57"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06F13D34" w14:textId="77777777" w:rsidR="00ED2EBD" w:rsidRPr="00BD16B4" w:rsidRDefault="00ED2EBD" w:rsidP="004A205F">
            <w:pPr>
              <w:pStyle w:val="TableText"/>
              <w:spacing w:before="40" w:after="40"/>
              <w:jc w:val="right"/>
              <w:rPr>
                <w:szCs w:val="18"/>
              </w:rPr>
            </w:pPr>
            <w:r w:rsidRPr="00BD16B4">
              <w:rPr>
                <w:szCs w:val="18"/>
              </w:rPr>
              <w:t>NA</w:t>
            </w:r>
          </w:p>
        </w:tc>
        <w:tc>
          <w:tcPr>
            <w:tcW w:w="907" w:type="dxa"/>
            <w:shd w:val="clear" w:color="auto" w:fill="auto"/>
          </w:tcPr>
          <w:p w14:paraId="6FC5AA23"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3E2D035F" w14:textId="77777777" w:rsidTr="00AA2930">
        <w:tc>
          <w:tcPr>
            <w:tcW w:w="3402" w:type="dxa"/>
          </w:tcPr>
          <w:p w14:paraId="29E4A9B6" w14:textId="77777777" w:rsidR="00ED2EBD" w:rsidRPr="00BD16B4" w:rsidRDefault="00ED2EBD" w:rsidP="004A205F">
            <w:pPr>
              <w:pStyle w:val="TableText"/>
              <w:spacing w:before="40" w:after="40"/>
              <w:rPr>
                <w:szCs w:val="18"/>
              </w:rPr>
            </w:pPr>
            <w:r w:rsidRPr="00BD16B4">
              <w:rPr>
                <w:szCs w:val="18"/>
              </w:rPr>
              <w:t>Unspecified mix of PFCs (kt CO</w:t>
            </w:r>
            <w:r w:rsidRPr="00BD16B4">
              <w:rPr>
                <w:szCs w:val="18"/>
                <w:vertAlign w:val="subscript"/>
              </w:rPr>
              <w:t>2</w:t>
            </w:r>
            <w:r w:rsidRPr="00BD16B4">
              <w:rPr>
                <w:szCs w:val="18"/>
              </w:rPr>
              <w:t>-equivalent)</w:t>
            </w:r>
          </w:p>
        </w:tc>
        <w:tc>
          <w:tcPr>
            <w:tcW w:w="907" w:type="dxa"/>
          </w:tcPr>
          <w:p w14:paraId="444F67CF" w14:textId="77777777" w:rsidR="00ED2EBD" w:rsidRPr="00BD16B4" w:rsidRDefault="00ED2EBD" w:rsidP="004A205F">
            <w:pPr>
              <w:pStyle w:val="TableText"/>
              <w:spacing w:before="40" w:after="40"/>
              <w:jc w:val="right"/>
              <w:rPr>
                <w:szCs w:val="18"/>
              </w:rPr>
            </w:pPr>
            <w:r w:rsidRPr="00BD16B4">
              <w:rPr>
                <w:szCs w:val="18"/>
              </w:rPr>
              <w:t>NA</w:t>
            </w:r>
          </w:p>
        </w:tc>
        <w:tc>
          <w:tcPr>
            <w:tcW w:w="907" w:type="dxa"/>
          </w:tcPr>
          <w:p w14:paraId="354E4EFC" w14:textId="77777777" w:rsidR="00ED2EBD" w:rsidRPr="00BD16B4" w:rsidRDefault="00ED2EBD" w:rsidP="004A205F">
            <w:pPr>
              <w:pStyle w:val="TableText"/>
              <w:spacing w:before="40" w:after="40"/>
              <w:jc w:val="right"/>
              <w:rPr>
                <w:szCs w:val="18"/>
              </w:rPr>
            </w:pPr>
            <w:r w:rsidRPr="00BD16B4">
              <w:rPr>
                <w:szCs w:val="18"/>
              </w:rPr>
              <w:t>NA</w:t>
            </w:r>
          </w:p>
        </w:tc>
        <w:tc>
          <w:tcPr>
            <w:tcW w:w="907" w:type="dxa"/>
          </w:tcPr>
          <w:p w14:paraId="1838EAC6" w14:textId="77777777" w:rsidR="00ED2EBD" w:rsidRPr="00BD16B4" w:rsidRDefault="00ED2EBD" w:rsidP="004A205F">
            <w:pPr>
              <w:pStyle w:val="TableText"/>
              <w:spacing w:before="40" w:after="40"/>
              <w:jc w:val="right"/>
              <w:rPr>
                <w:szCs w:val="18"/>
              </w:rPr>
            </w:pPr>
            <w:r w:rsidRPr="00BD16B4">
              <w:rPr>
                <w:szCs w:val="18"/>
              </w:rPr>
              <w:t>NA</w:t>
            </w:r>
          </w:p>
        </w:tc>
        <w:tc>
          <w:tcPr>
            <w:tcW w:w="907" w:type="dxa"/>
          </w:tcPr>
          <w:p w14:paraId="5A935D82" w14:textId="77777777" w:rsidR="00ED2EBD" w:rsidRPr="00BD16B4" w:rsidRDefault="00ED2EBD" w:rsidP="004A205F">
            <w:pPr>
              <w:pStyle w:val="TableText"/>
              <w:spacing w:before="40" w:after="40"/>
              <w:jc w:val="right"/>
              <w:rPr>
                <w:szCs w:val="18"/>
              </w:rPr>
            </w:pPr>
            <w:r w:rsidRPr="00BD16B4">
              <w:rPr>
                <w:szCs w:val="18"/>
              </w:rPr>
              <w:t>NA</w:t>
            </w:r>
          </w:p>
        </w:tc>
        <w:tc>
          <w:tcPr>
            <w:tcW w:w="907" w:type="dxa"/>
          </w:tcPr>
          <w:p w14:paraId="62772B2D" w14:textId="77777777" w:rsidR="00ED2EBD" w:rsidRPr="00BD16B4" w:rsidRDefault="00ED2EBD" w:rsidP="004A205F">
            <w:pPr>
              <w:pStyle w:val="TableText"/>
              <w:spacing w:before="40" w:after="40"/>
              <w:jc w:val="right"/>
              <w:rPr>
                <w:szCs w:val="18"/>
              </w:rPr>
            </w:pPr>
            <w:r w:rsidRPr="00BD16B4">
              <w:rPr>
                <w:szCs w:val="18"/>
              </w:rPr>
              <w:t>NA</w:t>
            </w:r>
          </w:p>
        </w:tc>
        <w:tc>
          <w:tcPr>
            <w:tcW w:w="907" w:type="dxa"/>
          </w:tcPr>
          <w:p w14:paraId="10C04D38" w14:textId="77777777" w:rsidR="00ED2EBD" w:rsidRPr="00BD16B4" w:rsidRDefault="00ED2EBD" w:rsidP="004A205F">
            <w:pPr>
              <w:pStyle w:val="TableText"/>
              <w:spacing w:before="40" w:after="40"/>
              <w:jc w:val="right"/>
              <w:rPr>
                <w:szCs w:val="18"/>
              </w:rPr>
            </w:pPr>
            <w:r w:rsidRPr="00BD16B4">
              <w:rPr>
                <w:szCs w:val="18"/>
              </w:rPr>
              <w:t>NA</w:t>
            </w:r>
          </w:p>
        </w:tc>
        <w:tc>
          <w:tcPr>
            <w:tcW w:w="907" w:type="dxa"/>
          </w:tcPr>
          <w:p w14:paraId="3C5F1817" w14:textId="77777777" w:rsidR="00ED2EBD" w:rsidRPr="00BD16B4" w:rsidRDefault="00ED2EBD" w:rsidP="004A205F">
            <w:pPr>
              <w:pStyle w:val="TableText"/>
              <w:spacing w:before="40" w:after="40"/>
              <w:jc w:val="right"/>
              <w:rPr>
                <w:szCs w:val="18"/>
              </w:rPr>
            </w:pPr>
            <w:r w:rsidRPr="00BD16B4">
              <w:rPr>
                <w:szCs w:val="18"/>
              </w:rPr>
              <w:t>NA</w:t>
            </w:r>
          </w:p>
        </w:tc>
        <w:tc>
          <w:tcPr>
            <w:tcW w:w="907" w:type="dxa"/>
          </w:tcPr>
          <w:p w14:paraId="272BED6B" w14:textId="77777777" w:rsidR="00ED2EBD" w:rsidRPr="00BD16B4" w:rsidRDefault="00ED2EBD" w:rsidP="004A205F">
            <w:pPr>
              <w:pStyle w:val="TableText"/>
              <w:spacing w:before="40" w:after="40"/>
              <w:jc w:val="right"/>
              <w:rPr>
                <w:szCs w:val="18"/>
              </w:rPr>
            </w:pPr>
            <w:r w:rsidRPr="00BD16B4">
              <w:rPr>
                <w:szCs w:val="18"/>
              </w:rPr>
              <w:t>NA</w:t>
            </w:r>
          </w:p>
        </w:tc>
        <w:tc>
          <w:tcPr>
            <w:tcW w:w="907" w:type="dxa"/>
          </w:tcPr>
          <w:p w14:paraId="5B3FEB26"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1D0FFEE6" w14:textId="77777777" w:rsidTr="00AA2930">
        <w:tc>
          <w:tcPr>
            <w:tcW w:w="3402" w:type="dxa"/>
          </w:tcPr>
          <w:p w14:paraId="5FE722EF" w14:textId="77777777" w:rsidR="00ED2EBD" w:rsidRPr="00BD16B4" w:rsidRDefault="00ED2EBD" w:rsidP="004A205F">
            <w:pPr>
              <w:pStyle w:val="TableText"/>
              <w:spacing w:before="40" w:after="40"/>
              <w:rPr>
                <w:szCs w:val="18"/>
              </w:rPr>
            </w:pPr>
            <w:r w:rsidRPr="00BD16B4">
              <w:rPr>
                <w:b/>
                <w:bCs/>
                <w:szCs w:val="18"/>
              </w:rPr>
              <w:t>Unspecified mix of HFCs and PFCs (kt CO</w:t>
            </w:r>
            <w:r w:rsidRPr="00BD16B4">
              <w:rPr>
                <w:b/>
                <w:bCs/>
                <w:szCs w:val="18"/>
                <w:vertAlign w:val="subscript"/>
              </w:rPr>
              <w:t>2</w:t>
            </w:r>
            <w:r w:rsidRPr="00BD16B4">
              <w:rPr>
                <w:b/>
                <w:bCs/>
                <w:szCs w:val="18"/>
              </w:rPr>
              <w:t>-equivalent)</w:t>
            </w:r>
          </w:p>
        </w:tc>
        <w:tc>
          <w:tcPr>
            <w:tcW w:w="907" w:type="dxa"/>
          </w:tcPr>
          <w:p w14:paraId="41341958"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06BD1BBD"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1FDDE22D"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1E3A9AE3"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4954B554"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51BD4090"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6462C77A"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3C8B7421"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4CF2E38A"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4D7249ED" w14:textId="77777777" w:rsidTr="00AA2930">
        <w:tc>
          <w:tcPr>
            <w:tcW w:w="3402" w:type="dxa"/>
          </w:tcPr>
          <w:p w14:paraId="09B28843" w14:textId="77777777" w:rsidR="00ED2EBD" w:rsidRPr="00BD16B4" w:rsidRDefault="00ED2EBD" w:rsidP="004A205F">
            <w:pPr>
              <w:pStyle w:val="TableText"/>
              <w:spacing w:before="40" w:after="40"/>
              <w:rPr>
                <w:szCs w:val="18"/>
              </w:rPr>
            </w:pPr>
            <w:r w:rsidRPr="00BD16B4">
              <w:rPr>
                <w:b/>
                <w:bCs/>
                <w:szCs w:val="18"/>
              </w:rPr>
              <w:t>Emissions of SF</w:t>
            </w:r>
            <w:r w:rsidRPr="00BD16B4">
              <w:rPr>
                <w:b/>
                <w:bCs/>
                <w:szCs w:val="18"/>
                <w:vertAlign w:val="subscript"/>
              </w:rPr>
              <w:t>6</w:t>
            </w:r>
            <w:r w:rsidRPr="00BD16B4">
              <w:rPr>
                <w:b/>
                <w:bCs/>
                <w:szCs w:val="18"/>
              </w:rPr>
              <w:t xml:space="preserve"> (kt CO</w:t>
            </w:r>
            <w:r w:rsidRPr="00BD16B4">
              <w:rPr>
                <w:b/>
                <w:bCs/>
                <w:szCs w:val="18"/>
                <w:vertAlign w:val="subscript"/>
              </w:rPr>
              <w:t>2</w:t>
            </w:r>
            <w:r w:rsidRPr="00BD16B4">
              <w:rPr>
                <w:b/>
                <w:bCs/>
                <w:szCs w:val="18"/>
              </w:rPr>
              <w:t>-equivalent)</w:t>
            </w:r>
          </w:p>
        </w:tc>
        <w:tc>
          <w:tcPr>
            <w:tcW w:w="907" w:type="dxa"/>
          </w:tcPr>
          <w:p w14:paraId="2122297D" w14:textId="77777777" w:rsidR="00ED2EBD" w:rsidRPr="00BD16B4" w:rsidRDefault="00ED2EBD" w:rsidP="004A205F">
            <w:pPr>
              <w:pStyle w:val="TableText"/>
              <w:spacing w:before="40" w:after="40"/>
              <w:jc w:val="right"/>
              <w:rPr>
                <w:szCs w:val="18"/>
              </w:rPr>
            </w:pPr>
            <w:r w:rsidRPr="00BD16B4">
              <w:rPr>
                <w:szCs w:val="18"/>
              </w:rPr>
              <w:t>19.97</w:t>
            </w:r>
          </w:p>
        </w:tc>
        <w:tc>
          <w:tcPr>
            <w:tcW w:w="907" w:type="dxa"/>
          </w:tcPr>
          <w:p w14:paraId="369E6E43" w14:textId="77777777" w:rsidR="00ED2EBD" w:rsidRPr="00BD16B4" w:rsidRDefault="00ED2EBD" w:rsidP="004A205F">
            <w:pPr>
              <w:pStyle w:val="TableText"/>
              <w:spacing w:before="40" w:after="40"/>
              <w:jc w:val="right"/>
              <w:rPr>
                <w:szCs w:val="18"/>
              </w:rPr>
            </w:pPr>
            <w:r w:rsidRPr="00BD16B4">
              <w:rPr>
                <w:szCs w:val="18"/>
              </w:rPr>
              <w:t>20.86</w:t>
            </w:r>
          </w:p>
        </w:tc>
        <w:tc>
          <w:tcPr>
            <w:tcW w:w="907" w:type="dxa"/>
          </w:tcPr>
          <w:p w14:paraId="76F8CF9C" w14:textId="77777777" w:rsidR="00ED2EBD" w:rsidRPr="00BD16B4" w:rsidRDefault="00ED2EBD" w:rsidP="004A205F">
            <w:pPr>
              <w:pStyle w:val="TableText"/>
              <w:spacing w:before="40" w:after="40"/>
              <w:jc w:val="right"/>
              <w:rPr>
                <w:szCs w:val="18"/>
              </w:rPr>
            </w:pPr>
            <w:r w:rsidRPr="00BD16B4">
              <w:rPr>
                <w:szCs w:val="18"/>
              </w:rPr>
              <w:t>21.91</w:t>
            </w:r>
          </w:p>
        </w:tc>
        <w:tc>
          <w:tcPr>
            <w:tcW w:w="907" w:type="dxa"/>
          </w:tcPr>
          <w:p w14:paraId="42419A9E" w14:textId="77777777" w:rsidR="00ED2EBD" w:rsidRPr="00BD16B4" w:rsidRDefault="00ED2EBD" w:rsidP="004A205F">
            <w:pPr>
              <w:pStyle w:val="TableText"/>
              <w:spacing w:before="40" w:after="40"/>
              <w:jc w:val="right"/>
              <w:rPr>
                <w:szCs w:val="18"/>
              </w:rPr>
            </w:pPr>
            <w:r w:rsidRPr="00BD16B4">
              <w:rPr>
                <w:szCs w:val="18"/>
              </w:rPr>
              <w:t>22.69</w:t>
            </w:r>
          </w:p>
        </w:tc>
        <w:tc>
          <w:tcPr>
            <w:tcW w:w="907" w:type="dxa"/>
          </w:tcPr>
          <w:p w14:paraId="69D57E7B" w14:textId="77777777" w:rsidR="00ED2EBD" w:rsidRPr="00BD16B4" w:rsidRDefault="00ED2EBD" w:rsidP="004A205F">
            <w:pPr>
              <w:pStyle w:val="TableText"/>
              <w:spacing w:before="40" w:after="40"/>
              <w:jc w:val="right"/>
              <w:rPr>
                <w:szCs w:val="18"/>
              </w:rPr>
            </w:pPr>
            <w:r w:rsidRPr="00BD16B4">
              <w:rPr>
                <w:szCs w:val="18"/>
              </w:rPr>
              <w:t>23.43</w:t>
            </w:r>
          </w:p>
        </w:tc>
        <w:tc>
          <w:tcPr>
            <w:tcW w:w="907" w:type="dxa"/>
          </w:tcPr>
          <w:p w14:paraId="3E6221C8" w14:textId="77777777" w:rsidR="00ED2EBD" w:rsidRPr="00BD16B4" w:rsidRDefault="00ED2EBD" w:rsidP="004A205F">
            <w:pPr>
              <w:pStyle w:val="TableText"/>
              <w:spacing w:before="40" w:after="40"/>
              <w:jc w:val="right"/>
              <w:rPr>
                <w:szCs w:val="18"/>
              </w:rPr>
            </w:pPr>
            <w:r w:rsidRPr="00BD16B4">
              <w:rPr>
                <w:szCs w:val="18"/>
              </w:rPr>
              <w:t>24.42</w:t>
            </w:r>
          </w:p>
        </w:tc>
        <w:tc>
          <w:tcPr>
            <w:tcW w:w="907" w:type="dxa"/>
          </w:tcPr>
          <w:p w14:paraId="55B6BB1D" w14:textId="77777777" w:rsidR="00ED2EBD" w:rsidRPr="00BD16B4" w:rsidRDefault="00ED2EBD" w:rsidP="004A205F">
            <w:pPr>
              <w:pStyle w:val="TableText"/>
              <w:spacing w:before="40" w:after="40"/>
              <w:jc w:val="right"/>
              <w:rPr>
                <w:szCs w:val="18"/>
              </w:rPr>
            </w:pPr>
            <w:r w:rsidRPr="00BD16B4">
              <w:rPr>
                <w:szCs w:val="18"/>
              </w:rPr>
              <w:t>24.65</w:t>
            </w:r>
          </w:p>
        </w:tc>
        <w:tc>
          <w:tcPr>
            <w:tcW w:w="907" w:type="dxa"/>
          </w:tcPr>
          <w:p w14:paraId="5E352FFC" w14:textId="77777777" w:rsidR="00ED2EBD" w:rsidRPr="00BD16B4" w:rsidRDefault="00ED2EBD" w:rsidP="004A205F">
            <w:pPr>
              <w:pStyle w:val="TableText"/>
              <w:spacing w:before="40" w:after="40"/>
              <w:jc w:val="right"/>
              <w:rPr>
                <w:szCs w:val="18"/>
              </w:rPr>
            </w:pPr>
            <w:r w:rsidRPr="00BD16B4">
              <w:rPr>
                <w:szCs w:val="18"/>
              </w:rPr>
              <w:t>25.58</w:t>
            </w:r>
          </w:p>
        </w:tc>
        <w:tc>
          <w:tcPr>
            <w:tcW w:w="907" w:type="dxa"/>
          </w:tcPr>
          <w:p w14:paraId="397EB854" w14:textId="77777777" w:rsidR="00ED2EBD" w:rsidRPr="00BD16B4" w:rsidRDefault="00ED2EBD" w:rsidP="004A205F">
            <w:pPr>
              <w:pStyle w:val="TableText"/>
              <w:spacing w:before="40" w:after="40"/>
              <w:jc w:val="right"/>
              <w:rPr>
                <w:szCs w:val="18"/>
              </w:rPr>
            </w:pPr>
            <w:r w:rsidRPr="00BD16B4">
              <w:rPr>
                <w:szCs w:val="18"/>
              </w:rPr>
              <w:t>24.86</w:t>
            </w:r>
          </w:p>
        </w:tc>
      </w:tr>
      <w:tr w:rsidR="00ED2EBD" w:rsidRPr="00BD16B4" w14:paraId="374B4551" w14:textId="77777777" w:rsidTr="00AA2930">
        <w:tc>
          <w:tcPr>
            <w:tcW w:w="3402" w:type="dxa"/>
          </w:tcPr>
          <w:p w14:paraId="348AFA04" w14:textId="77777777" w:rsidR="00ED2EBD" w:rsidRPr="00BD16B4" w:rsidRDefault="00ED2EBD" w:rsidP="004A205F">
            <w:pPr>
              <w:pStyle w:val="TableText"/>
              <w:spacing w:before="40" w:after="40"/>
              <w:rPr>
                <w:szCs w:val="18"/>
              </w:rPr>
            </w:pPr>
            <w:r w:rsidRPr="00BD16B4">
              <w:rPr>
                <w:szCs w:val="18"/>
              </w:rPr>
              <w:t>SF</w:t>
            </w:r>
            <w:r w:rsidRPr="00BD16B4">
              <w:rPr>
                <w:color w:val="000000"/>
                <w:szCs w:val="18"/>
                <w:vertAlign w:val="subscript"/>
              </w:rPr>
              <w:t>6</w:t>
            </w:r>
          </w:p>
        </w:tc>
        <w:tc>
          <w:tcPr>
            <w:tcW w:w="907" w:type="dxa"/>
          </w:tcPr>
          <w:p w14:paraId="52A63B07" w14:textId="77777777" w:rsidR="00ED2EBD" w:rsidRPr="00BD16B4" w:rsidRDefault="00ED2EBD" w:rsidP="004A205F">
            <w:pPr>
              <w:pStyle w:val="TableText"/>
              <w:spacing w:before="40" w:after="40"/>
              <w:jc w:val="right"/>
              <w:rPr>
                <w:szCs w:val="18"/>
              </w:rPr>
            </w:pPr>
            <w:r w:rsidRPr="00BD16B4">
              <w:rPr>
                <w:szCs w:val="18"/>
              </w:rPr>
              <w:t>0.00</w:t>
            </w:r>
          </w:p>
        </w:tc>
        <w:tc>
          <w:tcPr>
            <w:tcW w:w="907" w:type="dxa"/>
          </w:tcPr>
          <w:p w14:paraId="4E3351A3" w14:textId="77777777" w:rsidR="00ED2EBD" w:rsidRPr="00BD16B4" w:rsidRDefault="00ED2EBD" w:rsidP="004A205F">
            <w:pPr>
              <w:pStyle w:val="TableText"/>
              <w:spacing w:before="40" w:after="40"/>
              <w:jc w:val="right"/>
              <w:rPr>
                <w:szCs w:val="18"/>
              </w:rPr>
            </w:pPr>
            <w:r w:rsidRPr="00BD16B4">
              <w:rPr>
                <w:szCs w:val="18"/>
              </w:rPr>
              <w:t>0.00</w:t>
            </w:r>
          </w:p>
        </w:tc>
        <w:tc>
          <w:tcPr>
            <w:tcW w:w="907" w:type="dxa"/>
          </w:tcPr>
          <w:p w14:paraId="21CFA8BE" w14:textId="77777777" w:rsidR="00ED2EBD" w:rsidRPr="00BD16B4" w:rsidRDefault="00ED2EBD" w:rsidP="004A205F">
            <w:pPr>
              <w:pStyle w:val="TableText"/>
              <w:spacing w:before="40" w:after="40"/>
              <w:jc w:val="right"/>
              <w:rPr>
                <w:szCs w:val="18"/>
              </w:rPr>
            </w:pPr>
            <w:r w:rsidRPr="00BD16B4">
              <w:rPr>
                <w:szCs w:val="18"/>
              </w:rPr>
              <w:t>0.00</w:t>
            </w:r>
          </w:p>
        </w:tc>
        <w:tc>
          <w:tcPr>
            <w:tcW w:w="907" w:type="dxa"/>
          </w:tcPr>
          <w:p w14:paraId="36894249" w14:textId="77777777" w:rsidR="00ED2EBD" w:rsidRPr="00BD16B4" w:rsidRDefault="00ED2EBD" w:rsidP="004A205F">
            <w:pPr>
              <w:pStyle w:val="TableText"/>
              <w:spacing w:before="40" w:after="40"/>
              <w:jc w:val="right"/>
              <w:rPr>
                <w:szCs w:val="18"/>
              </w:rPr>
            </w:pPr>
            <w:r w:rsidRPr="00BD16B4">
              <w:rPr>
                <w:szCs w:val="18"/>
              </w:rPr>
              <w:t>0.00</w:t>
            </w:r>
          </w:p>
        </w:tc>
        <w:tc>
          <w:tcPr>
            <w:tcW w:w="907" w:type="dxa"/>
          </w:tcPr>
          <w:p w14:paraId="4AC0CC60" w14:textId="77777777" w:rsidR="00ED2EBD" w:rsidRPr="00BD16B4" w:rsidRDefault="00ED2EBD" w:rsidP="004A205F">
            <w:pPr>
              <w:pStyle w:val="TableText"/>
              <w:spacing w:before="40" w:after="40"/>
              <w:jc w:val="right"/>
              <w:rPr>
                <w:szCs w:val="18"/>
              </w:rPr>
            </w:pPr>
            <w:r w:rsidRPr="00BD16B4">
              <w:rPr>
                <w:szCs w:val="18"/>
              </w:rPr>
              <w:t>0.00</w:t>
            </w:r>
          </w:p>
        </w:tc>
        <w:tc>
          <w:tcPr>
            <w:tcW w:w="907" w:type="dxa"/>
          </w:tcPr>
          <w:p w14:paraId="616D6141" w14:textId="77777777" w:rsidR="00ED2EBD" w:rsidRPr="00BD16B4" w:rsidRDefault="00ED2EBD" w:rsidP="004A205F">
            <w:pPr>
              <w:pStyle w:val="TableText"/>
              <w:spacing w:before="40" w:after="40"/>
              <w:jc w:val="right"/>
              <w:rPr>
                <w:szCs w:val="18"/>
              </w:rPr>
            </w:pPr>
            <w:r w:rsidRPr="00BD16B4">
              <w:rPr>
                <w:szCs w:val="18"/>
              </w:rPr>
              <w:t>0.00</w:t>
            </w:r>
          </w:p>
        </w:tc>
        <w:tc>
          <w:tcPr>
            <w:tcW w:w="907" w:type="dxa"/>
          </w:tcPr>
          <w:p w14:paraId="3C38E769" w14:textId="77777777" w:rsidR="00ED2EBD" w:rsidRPr="00BD16B4" w:rsidRDefault="00ED2EBD" w:rsidP="004A205F">
            <w:pPr>
              <w:pStyle w:val="TableText"/>
              <w:spacing w:before="40" w:after="40"/>
              <w:jc w:val="right"/>
              <w:rPr>
                <w:szCs w:val="18"/>
              </w:rPr>
            </w:pPr>
            <w:r w:rsidRPr="00BD16B4">
              <w:rPr>
                <w:szCs w:val="18"/>
              </w:rPr>
              <w:t>0.00</w:t>
            </w:r>
          </w:p>
        </w:tc>
        <w:tc>
          <w:tcPr>
            <w:tcW w:w="907" w:type="dxa"/>
          </w:tcPr>
          <w:p w14:paraId="6E127717" w14:textId="77777777" w:rsidR="00ED2EBD" w:rsidRPr="00BD16B4" w:rsidRDefault="00ED2EBD" w:rsidP="004A205F">
            <w:pPr>
              <w:pStyle w:val="TableText"/>
              <w:spacing w:before="40" w:after="40"/>
              <w:jc w:val="right"/>
              <w:rPr>
                <w:szCs w:val="18"/>
              </w:rPr>
            </w:pPr>
            <w:r w:rsidRPr="00BD16B4">
              <w:rPr>
                <w:szCs w:val="18"/>
              </w:rPr>
              <w:t>0.00</w:t>
            </w:r>
          </w:p>
        </w:tc>
        <w:tc>
          <w:tcPr>
            <w:tcW w:w="907" w:type="dxa"/>
          </w:tcPr>
          <w:p w14:paraId="556FA64A"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1DE30303" w14:textId="77777777" w:rsidTr="00AA2930">
        <w:tc>
          <w:tcPr>
            <w:tcW w:w="3402" w:type="dxa"/>
          </w:tcPr>
          <w:p w14:paraId="5DAF057F" w14:textId="77777777" w:rsidR="00ED2EBD" w:rsidRPr="00BD16B4" w:rsidRDefault="00ED2EBD" w:rsidP="004A205F">
            <w:pPr>
              <w:pStyle w:val="TableText"/>
              <w:spacing w:before="40" w:after="40"/>
              <w:rPr>
                <w:szCs w:val="18"/>
              </w:rPr>
            </w:pPr>
            <w:r w:rsidRPr="00BD16B4">
              <w:rPr>
                <w:b/>
                <w:bCs/>
                <w:szCs w:val="18"/>
              </w:rPr>
              <w:t>Emissions of NF</w:t>
            </w:r>
            <w:r w:rsidRPr="00BD16B4">
              <w:rPr>
                <w:b/>
                <w:bCs/>
                <w:szCs w:val="18"/>
                <w:vertAlign w:val="subscript"/>
              </w:rPr>
              <w:t>3</w:t>
            </w:r>
            <w:r w:rsidRPr="00BD16B4">
              <w:rPr>
                <w:b/>
                <w:bCs/>
                <w:szCs w:val="18"/>
              </w:rPr>
              <w:t xml:space="preserve"> (kt CO</w:t>
            </w:r>
            <w:r w:rsidRPr="00BD16B4">
              <w:rPr>
                <w:b/>
                <w:bCs/>
                <w:szCs w:val="18"/>
                <w:vertAlign w:val="subscript"/>
              </w:rPr>
              <w:t>2</w:t>
            </w:r>
            <w:r w:rsidRPr="00BD16B4">
              <w:rPr>
                <w:b/>
                <w:bCs/>
                <w:szCs w:val="18"/>
              </w:rPr>
              <w:t>-equivalent)</w:t>
            </w:r>
          </w:p>
        </w:tc>
        <w:tc>
          <w:tcPr>
            <w:tcW w:w="907" w:type="dxa"/>
          </w:tcPr>
          <w:p w14:paraId="1E72C782"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345C8F0F"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5DE8FB34"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4DF9E20A"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066185E8"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665ADAD0"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46894CFB"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1C5B16D9"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6D883841"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5EA2F2EC" w14:textId="77777777" w:rsidTr="00AA2930">
        <w:tc>
          <w:tcPr>
            <w:tcW w:w="3402" w:type="dxa"/>
          </w:tcPr>
          <w:p w14:paraId="28F7450F" w14:textId="77777777" w:rsidR="00ED2EBD" w:rsidRPr="00BD16B4" w:rsidRDefault="00ED2EBD" w:rsidP="004A205F">
            <w:pPr>
              <w:pStyle w:val="TableText"/>
              <w:spacing w:before="40" w:after="40"/>
              <w:rPr>
                <w:szCs w:val="18"/>
              </w:rPr>
            </w:pPr>
            <w:r w:rsidRPr="00BD16B4">
              <w:rPr>
                <w:szCs w:val="18"/>
              </w:rPr>
              <w:t>NF</w:t>
            </w:r>
            <w:r w:rsidRPr="00BD16B4">
              <w:rPr>
                <w:szCs w:val="18"/>
                <w:vertAlign w:val="subscript"/>
              </w:rPr>
              <w:t>3</w:t>
            </w:r>
          </w:p>
        </w:tc>
        <w:tc>
          <w:tcPr>
            <w:tcW w:w="907" w:type="dxa"/>
          </w:tcPr>
          <w:p w14:paraId="3121286B"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60184DC9"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1F6D0BB6"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356709FA"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4CF692E3"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2A6DEADA"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55D7859C"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482D9866" w14:textId="77777777" w:rsidR="00ED2EBD" w:rsidRPr="00BD16B4" w:rsidRDefault="00ED2EBD" w:rsidP="004A205F">
            <w:pPr>
              <w:pStyle w:val="TableText"/>
              <w:spacing w:before="40" w:after="40"/>
              <w:jc w:val="right"/>
              <w:rPr>
                <w:szCs w:val="18"/>
              </w:rPr>
            </w:pPr>
            <w:r w:rsidRPr="00BD16B4">
              <w:rPr>
                <w:szCs w:val="18"/>
              </w:rPr>
              <w:t>NO, NA</w:t>
            </w:r>
          </w:p>
        </w:tc>
        <w:tc>
          <w:tcPr>
            <w:tcW w:w="907" w:type="dxa"/>
          </w:tcPr>
          <w:p w14:paraId="183C5C05" w14:textId="77777777" w:rsidR="00ED2EBD" w:rsidRPr="00BD16B4" w:rsidRDefault="00ED2EBD" w:rsidP="004A205F">
            <w:pPr>
              <w:pStyle w:val="TableText"/>
              <w:spacing w:before="40" w:after="40"/>
              <w:jc w:val="right"/>
              <w:rPr>
                <w:szCs w:val="18"/>
              </w:rPr>
            </w:pPr>
            <w:r w:rsidRPr="00BD16B4">
              <w:rPr>
                <w:szCs w:val="18"/>
              </w:rPr>
              <w:t>NO, NA</w:t>
            </w:r>
          </w:p>
        </w:tc>
      </w:tr>
    </w:tbl>
    <w:p w14:paraId="2C4E3009" w14:textId="77777777" w:rsidR="00ED2EBD" w:rsidRPr="00BD16B4" w:rsidRDefault="00ED2EBD" w:rsidP="00ED2EBD">
      <w:pPr>
        <w:pStyle w:val="BodyText"/>
      </w:pPr>
    </w:p>
    <w:p w14:paraId="14D87E40" w14:textId="77777777" w:rsidR="00184956" w:rsidRPr="00BD16B4" w:rsidRDefault="00184956" w:rsidP="00184956">
      <w:pPr>
        <w:pStyle w:val="BodyText"/>
      </w:pPr>
      <w:r w:rsidRPr="00BD16B4">
        <w:br w:type="page"/>
      </w:r>
    </w:p>
    <w:p w14:paraId="4E959D1D" w14:textId="77A8768A" w:rsidR="00ED2EBD" w:rsidRPr="00BD16B4" w:rsidRDefault="00ED2EBD" w:rsidP="00ED2EBD">
      <w:pPr>
        <w:pStyle w:val="CTFTableheading"/>
      </w:pPr>
      <w:r w:rsidRPr="00BD16B4">
        <w:lastRenderedPageBreak/>
        <w:t>Table A.5:</w:t>
      </w:r>
      <w:r w:rsidRPr="00BD16B4">
        <w:tab/>
        <w:t>Emissions trends (HFCs, PFCs and SF</w:t>
      </w:r>
      <w:r w:rsidRPr="00BD16B4">
        <w:rPr>
          <w:vertAlign w:val="subscript"/>
        </w:rPr>
        <w:t>6</w:t>
      </w:r>
      <w:r w:rsidRPr="00BD16B4">
        <w:t>) (CTF Table 1(d)) (part 2 of 3)</w:t>
      </w:r>
    </w:p>
    <w:tbl>
      <w:tblPr>
        <w:tblStyle w:val="MinistryfortheEnvironment"/>
        <w:tblW w:w="14515" w:type="dxa"/>
        <w:tblInd w:w="113" w:type="dxa"/>
        <w:tblLayout w:type="fixed"/>
        <w:tblCellMar>
          <w:bottom w:w="0" w:type="dxa"/>
        </w:tblCellMar>
        <w:tblLook w:val="04A0" w:firstRow="1" w:lastRow="0" w:firstColumn="1" w:lastColumn="0" w:noHBand="0" w:noVBand="1"/>
      </w:tblPr>
      <w:tblGrid>
        <w:gridCol w:w="4063"/>
        <w:gridCol w:w="950"/>
        <w:gridCol w:w="951"/>
        <w:gridCol w:w="951"/>
        <w:gridCol w:w="950"/>
        <w:gridCol w:w="950"/>
        <w:gridCol w:w="950"/>
        <w:gridCol w:w="950"/>
        <w:gridCol w:w="950"/>
        <w:gridCol w:w="950"/>
        <w:gridCol w:w="950"/>
        <w:gridCol w:w="950"/>
      </w:tblGrid>
      <w:tr w:rsidR="00ED2EBD" w:rsidRPr="00BD16B4" w14:paraId="204A5140" w14:textId="77777777" w:rsidTr="004625B0">
        <w:trPr>
          <w:cnfStyle w:val="100000000000" w:firstRow="1" w:lastRow="0" w:firstColumn="0" w:lastColumn="0" w:oddVBand="0" w:evenVBand="0" w:oddHBand="0" w:evenHBand="0" w:firstRowFirstColumn="0" w:firstRowLastColumn="0" w:lastRowFirstColumn="0" w:lastRowLastColumn="0"/>
          <w:tblHeader/>
        </w:trPr>
        <w:tc>
          <w:tcPr>
            <w:tcW w:w="4248" w:type="dxa"/>
            <w:tcBorders>
              <w:top w:val="single" w:sz="4" w:space="0" w:color="1B556B" w:themeColor="text2"/>
            </w:tcBorders>
            <w:vAlign w:val="bottom"/>
          </w:tcPr>
          <w:p w14:paraId="5CB94530" w14:textId="77777777" w:rsidR="00ED2EBD" w:rsidRPr="00BD16B4" w:rsidRDefault="00ED2EBD" w:rsidP="004A205F">
            <w:pPr>
              <w:pStyle w:val="TableTextbold"/>
              <w:spacing w:before="40" w:after="40"/>
              <w:rPr>
                <w:b/>
                <w:bCs/>
                <w:szCs w:val="14"/>
              </w:rPr>
            </w:pPr>
            <w:r w:rsidRPr="00BD16B4">
              <w:rPr>
                <w:b/>
                <w:bCs/>
                <w:szCs w:val="14"/>
              </w:rPr>
              <w:t xml:space="preserve">Greenhouse gas source and sink categories </w:t>
            </w:r>
          </w:p>
        </w:tc>
        <w:tc>
          <w:tcPr>
            <w:tcW w:w="985" w:type="dxa"/>
            <w:tcBorders>
              <w:top w:val="single" w:sz="4" w:space="0" w:color="1B556B" w:themeColor="text2"/>
            </w:tcBorders>
            <w:vAlign w:val="bottom"/>
          </w:tcPr>
          <w:p w14:paraId="4AA0329B" w14:textId="77777777" w:rsidR="00ED2EBD" w:rsidRPr="00BD16B4" w:rsidRDefault="00ED2EBD" w:rsidP="004A205F">
            <w:pPr>
              <w:pStyle w:val="TableTextbold"/>
              <w:spacing w:before="40" w:after="40"/>
              <w:jc w:val="center"/>
              <w:rPr>
                <w:b/>
                <w:bCs/>
                <w:szCs w:val="14"/>
              </w:rPr>
            </w:pPr>
            <w:r w:rsidRPr="00BD16B4">
              <w:rPr>
                <w:b/>
                <w:bCs/>
                <w:szCs w:val="14"/>
              </w:rPr>
              <w:t>1999</w:t>
            </w:r>
            <w:r w:rsidRPr="00BD16B4">
              <w:rPr>
                <w:b/>
                <w:bCs/>
                <w:szCs w:val="14"/>
              </w:rPr>
              <w:br/>
              <w:t>(kt)</w:t>
            </w:r>
          </w:p>
        </w:tc>
        <w:tc>
          <w:tcPr>
            <w:tcW w:w="985" w:type="dxa"/>
            <w:tcBorders>
              <w:top w:val="single" w:sz="4" w:space="0" w:color="1B556B" w:themeColor="text2"/>
            </w:tcBorders>
            <w:vAlign w:val="bottom"/>
          </w:tcPr>
          <w:p w14:paraId="7EC23AEC" w14:textId="77777777" w:rsidR="00ED2EBD" w:rsidRPr="00BD16B4" w:rsidRDefault="00ED2EBD" w:rsidP="004A205F">
            <w:pPr>
              <w:pStyle w:val="TableTextbold"/>
              <w:spacing w:before="40" w:after="40"/>
              <w:jc w:val="center"/>
              <w:rPr>
                <w:b/>
                <w:bCs/>
                <w:szCs w:val="14"/>
              </w:rPr>
            </w:pPr>
            <w:r w:rsidRPr="00BD16B4">
              <w:rPr>
                <w:b/>
                <w:bCs/>
                <w:szCs w:val="14"/>
              </w:rPr>
              <w:t>2000</w:t>
            </w:r>
            <w:r w:rsidRPr="00BD16B4">
              <w:rPr>
                <w:b/>
                <w:bCs/>
                <w:szCs w:val="14"/>
              </w:rPr>
              <w:br/>
              <w:t>(kt)</w:t>
            </w:r>
          </w:p>
        </w:tc>
        <w:tc>
          <w:tcPr>
            <w:tcW w:w="985" w:type="dxa"/>
            <w:tcBorders>
              <w:top w:val="single" w:sz="4" w:space="0" w:color="1B556B" w:themeColor="text2"/>
            </w:tcBorders>
            <w:vAlign w:val="bottom"/>
          </w:tcPr>
          <w:p w14:paraId="7C5B6F09" w14:textId="77777777" w:rsidR="00ED2EBD" w:rsidRPr="00BD16B4" w:rsidRDefault="00ED2EBD" w:rsidP="004A205F">
            <w:pPr>
              <w:pStyle w:val="TableTextbold"/>
              <w:spacing w:before="40" w:after="40"/>
              <w:jc w:val="center"/>
              <w:rPr>
                <w:b/>
                <w:bCs/>
                <w:szCs w:val="14"/>
              </w:rPr>
            </w:pPr>
            <w:r w:rsidRPr="00BD16B4">
              <w:rPr>
                <w:b/>
                <w:bCs/>
                <w:szCs w:val="14"/>
              </w:rPr>
              <w:t>2001</w:t>
            </w:r>
            <w:r w:rsidRPr="00BD16B4">
              <w:rPr>
                <w:b/>
                <w:bCs/>
                <w:szCs w:val="14"/>
              </w:rPr>
              <w:br/>
              <w:t>(kt)</w:t>
            </w:r>
          </w:p>
        </w:tc>
        <w:tc>
          <w:tcPr>
            <w:tcW w:w="984" w:type="dxa"/>
            <w:tcBorders>
              <w:top w:val="single" w:sz="4" w:space="0" w:color="1B556B" w:themeColor="text2"/>
            </w:tcBorders>
            <w:vAlign w:val="bottom"/>
          </w:tcPr>
          <w:p w14:paraId="5ABF9D7C" w14:textId="77777777" w:rsidR="00ED2EBD" w:rsidRPr="00BD16B4" w:rsidRDefault="00ED2EBD" w:rsidP="004A205F">
            <w:pPr>
              <w:pStyle w:val="TableTextbold"/>
              <w:spacing w:before="40" w:after="40"/>
              <w:jc w:val="center"/>
              <w:rPr>
                <w:b/>
                <w:bCs/>
                <w:szCs w:val="14"/>
              </w:rPr>
            </w:pPr>
            <w:r w:rsidRPr="00BD16B4">
              <w:rPr>
                <w:b/>
                <w:bCs/>
                <w:szCs w:val="14"/>
              </w:rPr>
              <w:t>2002</w:t>
            </w:r>
            <w:r w:rsidRPr="00BD16B4">
              <w:rPr>
                <w:b/>
                <w:bCs/>
                <w:szCs w:val="14"/>
              </w:rPr>
              <w:br/>
              <w:t>(kt)</w:t>
            </w:r>
          </w:p>
        </w:tc>
        <w:tc>
          <w:tcPr>
            <w:tcW w:w="984" w:type="dxa"/>
            <w:tcBorders>
              <w:top w:val="single" w:sz="4" w:space="0" w:color="1B556B" w:themeColor="text2"/>
            </w:tcBorders>
            <w:vAlign w:val="bottom"/>
          </w:tcPr>
          <w:p w14:paraId="04098993" w14:textId="77777777" w:rsidR="00ED2EBD" w:rsidRPr="00BD16B4" w:rsidRDefault="00ED2EBD" w:rsidP="004A205F">
            <w:pPr>
              <w:pStyle w:val="TableTextbold"/>
              <w:spacing w:before="40" w:after="40"/>
              <w:jc w:val="center"/>
              <w:rPr>
                <w:b/>
                <w:bCs/>
                <w:szCs w:val="14"/>
              </w:rPr>
            </w:pPr>
            <w:r w:rsidRPr="00BD16B4">
              <w:rPr>
                <w:b/>
                <w:bCs/>
                <w:szCs w:val="14"/>
              </w:rPr>
              <w:t>2003</w:t>
            </w:r>
            <w:r w:rsidRPr="00BD16B4">
              <w:rPr>
                <w:b/>
                <w:bCs/>
                <w:szCs w:val="14"/>
              </w:rPr>
              <w:br/>
              <w:t>(kt)</w:t>
            </w:r>
          </w:p>
        </w:tc>
        <w:tc>
          <w:tcPr>
            <w:tcW w:w="984" w:type="dxa"/>
            <w:tcBorders>
              <w:top w:val="single" w:sz="4" w:space="0" w:color="1B556B" w:themeColor="text2"/>
            </w:tcBorders>
            <w:vAlign w:val="bottom"/>
          </w:tcPr>
          <w:p w14:paraId="7CEF729D" w14:textId="77777777" w:rsidR="00ED2EBD" w:rsidRPr="00BD16B4" w:rsidRDefault="00ED2EBD" w:rsidP="004A205F">
            <w:pPr>
              <w:pStyle w:val="TableTextbold"/>
              <w:spacing w:before="40" w:after="40"/>
              <w:jc w:val="center"/>
              <w:rPr>
                <w:b/>
                <w:bCs/>
                <w:szCs w:val="14"/>
              </w:rPr>
            </w:pPr>
            <w:r w:rsidRPr="00BD16B4">
              <w:rPr>
                <w:b/>
                <w:bCs/>
                <w:szCs w:val="14"/>
              </w:rPr>
              <w:t>2004</w:t>
            </w:r>
            <w:r w:rsidRPr="00BD16B4">
              <w:rPr>
                <w:b/>
                <w:bCs/>
                <w:szCs w:val="14"/>
              </w:rPr>
              <w:br/>
              <w:t>(kt)</w:t>
            </w:r>
          </w:p>
        </w:tc>
        <w:tc>
          <w:tcPr>
            <w:tcW w:w="984" w:type="dxa"/>
            <w:tcBorders>
              <w:top w:val="single" w:sz="4" w:space="0" w:color="1B556B" w:themeColor="text2"/>
            </w:tcBorders>
            <w:vAlign w:val="bottom"/>
          </w:tcPr>
          <w:p w14:paraId="090CE34E" w14:textId="77777777" w:rsidR="00ED2EBD" w:rsidRPr="00BD16B4" w:rsidRDefault="00ED2EBD" w:rsidP="004A205F">
            <w:pPr>
              <w:pStyle w:val="TableTextbold"/>
              <w:spacing w:before="40" w:after="40"/>
              <w:jc w:val="center"/>
              <w:rPr>
                <w:b/>
                <w:bCs/>
                <w:szCs w:val="14"/>
              </w:rPr>
            </w:pPr>
            <w:r w:rsidRPr="00BD16B4">
              <w:rPr>
                <w:b/>
                <w:bCs/>
                <w:szCs w:val="14"/>
              </w:rPr>
              <w:t>2005</w:t>
            </w:r>
            <w:r w:rsidRPr="00BD16B4">
              <w:rPr>
                <w:b/>
                <w:bCs/>
                <w:szCs w:val="14"/>
              </w:rPr>
              <w:br/>
              <w:t>(kt)</w:t>
            </w:r>
          </w:p>
        </w:tc>
        <w:tc>
          <w:tcPr>
            <w:tcW w:w="984" w:type="dxa"/>
            <w:tcBorders>
              <w:top w:val="single" w:sz="4" w:space="0" w:color="1B556B" w:themeColor="text2"/>
            </w:tcBorders>
            <w:vAlign w:val="bottom"/>
          </w:tcPr>
          <w:p w14:paraId="4E78DAF6" w14:textId="77777777" w:rsidR="00ED2EBD" w:rsidRPr="00BD16B4" w:rsidRDefault="00ED2EBD" w:rsidP="004A205F">
            <w:pPr>
              <w:pStyle w:val="TableTextbold"/>
              <w:spacing w:before="40" w:after="40"/>
              <w:jc w:val="center"/>
              <w:rPr>
                <w:b/>
                <w:bCs/>
                <w:szCs w:val="14"/>
              </w:rPr>
            </w:pPr>
            <w:r w:rsidRPr="00BD16B4">
              <w:rPr>
                <w:b/>
                <w:bCs/>
                <w:szCs w:val="14"/>
              </w:rPr>
              <w:t>2006</w:t>
            </w:r>
            <w:r w:rsidRPr="00BD16B4">
              <w:rPr>
                <w:b/>
                <w:bCs/>
                <w:szCs w:val="14"/>
              </w:rPr>
              <w:br/>
              <w:t>(kt)</w:t>
            </w:r>
          </w:p>
        </w:tc>
        <w:tc>
          <w:tcPr>
            <w:tcW w:w="984" w:type="dxa"/>
            <w:tcBorders>
              <w:top w:val="single" w:sz="4" w:space="0" w:color="1B556B" w:themeColor="text2"/>
            </w:tcBorders>
          </w:tcPr>
          <w:p w14:paraId="0D74EEFB" w14:textId="77777777" w:rsidR="00ED2EBD" w:rsidRPr="00BD16B4" w:rsidRDefault="00ED2EBD" w:rsidP="004A205F">
            <w:pPr>
              <w:pStyle w:val="TableTextbold"/>
              <w:spacing w:before="40" w:after="40"/>
              <w:jc w:val="center"/>
              <w:rPr>
                <w:b/>
                <w:bCs/>
                <w:szCs w:val="14"/>
              </w:rPr>
            </w:pPr>
            <w:r w:rsidRPr="00BD16B4">
              <w:rPr>
                <w:b/>
                <w:bCs/>
                <w:szCs w:val="14"/>
              </w:rPr>
              <w:t>2007</w:t>
            </w:r>
            <w:r w:rsidRPr="00BD16B4">
              <w:rPr>
                <w:b/>
                <w:bCs/>
                <w:szCs w:val="14"/>
              </w:rPr>
              <w:br/>
              <w:t>(kt)</w:t>
            </w:r>
          </w:p>
        </w:tc>
        <w:tc>
          <w:tcPr>
            <w:tcW w:w="984" w:type="dxa"/>
            <w:tcBorders>
              <w:top w:val="single" w:sz="4" w:space="0" w:color="1B556B" w:themeColor="text2"/>
            </w:tcBorders>
          </w:tcPr>
          <w:p w14:paraId="5A00BDF7" w14:textId="77777777" w:rsidR="00ED2EBD" w:rsidRPr="00BD16B4" w:rsidRDefault="00ED2EBD" w:rsidP="004A205F">
            <w:pPr>
              <w:pStyle w:val="TableTextbold"/>
              <w:spacing w:before="40" w:after="40"/>
              <w:jc w:val="center"/>
              <w:rPr>
                <w:b/>
                <w:bCs/>
                <w:szCs w:val="14"/>
              </w:rPr>
            </w:pPr>
            <w:r w:rsidRPr="00BD16B4">
              <w:rPr>
                <w:b/>
                <w:bCs/>
                <w:szCs w:val="14"/>
              </w:rPr>
              <w:t>2008</w:t>
            </w:r>
            <w:r w:rsidRPr="00BD16B4">
              <w:rPr>
                <w:b/>
                <w:bCs/>
                <w:szCs w:val="14"/>
              </w:rPr>
              <w:br/>
              <w:t>(kt)</w:t>
            </w:r>
          </w:p>
        </w:tc>
        <w:tc>
          <w:tcPr>
            <w:tcW w:w="984" w:type="dxa"/>
            <w:tcBorders>
              <w:top w:val="single" w:sz="4" w:space="0" w:color="1B556B" w:themeColor="text2"/>
            </w:tcBorders>
          </w:tcPr>
          <w:p w14:paraId="6984A211" w14:textId="77777777" w:rsidR="00ED2EBD" w:rsidRPr="00BD16B4" w:rsidRDefault="00ED2EBD" w:rsidP="004A205F">
            <w:pPr>
              <w:pStyle w:val="TableTextbold"/>
              <w:spacing w:before="40" w:after="40"/>
              <w:jc w:val="center"/>
              <w:rPr>
                <w:b/>
                <w:bCs/>
                <w:szCs w:val="14"/>
              </w:rPr>
            </w:pPr>
            <w:r w:rsidRPr="00BD16B4">
              <w:rPr>
                <w:b/>
                <w:bCs/>
                <w:szCs w:val="14"/>
              </w:rPr>
              <w:t>2009</w:t>
            </w:r>
            <w:r w:rsidRPr="00BD16B4">
              <w:rPr>
                <w:b/>
                <w:bCs/>
                <w:szCs w:val="14"/>
              </w:rPr>
              <w:br/>
              <w:t>(kt)</w:t>
            </w:r>
          </w:p>
        </w:tc>
      </w:tr>
      <w:tr w:rsidR="00ED2EBD" w:rsidRPr="00BD16B4" w14:paraId="67209EC4" w14:textId="77777777" w:rsidTr="00AA2930">
        <w:tc>
          <w:tcPr>
            <w:tcW w:w="4248" w:type="dxa"/>
          </w:tcPr>
          <w:p w14:paraId="5E1BCD61" w14:textId="77777777" w:rsidR="00ED2EBD" w:rsidRPr="00BD16B4" w:rsidRDefault="00ED2EBD" w:rsidP="004A205F">
            <w:pPr>
              <w:pStyle w:val="TableText"/>
              <w:spacing w:before="40" w:after="40"/>
              <w:rPr>
                <w:szCs w:val="18"/>
              </w:rPr>
            </w:pPr>
            <w:r w:rsidRPr="00BD16B4">
              <w:rPr>
                <w:b/>
                <w:bCs/>
                <w:szCs w:val="18"/>
              </w:rPr>
              <w:t>Emissions of HFCs and PFCs (kt CO</w:t>
            </w:r>
            <w:r w:rsidRPr="00BD16B4">
              <w:rPr>
                <w:b/>
                <w:bCs/>
                <w:szCs w:val="18"/>
                <w:vertAlign w:val="subscript"/>
              </w:rPr>
              <w:t>2</w:t>
            </w:r>
            <w:r w:rsidRPr="00BD16B4">
              <w:rPr>
                <w:b/>
                <w:bCs/>
                <w:szCs w:val="18"/>
              </w:rPr>
              <w:t xml:space="preserve">-equivalent) </w:t>
            </w:r>
          </w:p>
        </w:tc>
        <w:tc>
          <w:tcPr>
            <w:tcW w:w="985" w:type="dxa"/>
            <w:shd w:val="clear" w:color="auto" w:fill="auto"/>
          </w:tcPr>
          <w:p w14:paraId="6BA2E6DD" w14:textId="77777777" w:rsidR="00ED2EBD" w:rsidRPr="00BD16B4" w:rsidRDefault="00ED2EBD" w:rsidP="004A205F">
            <w:pPr>
              <w:pStyle w:val="TableText"/>
              <w:spacing w:before="40" w:after="40"/>
              <w:jc w:val="right"/>
              <w:rPr>
                <w:szCs w:val="18"/>
              </w:rPr>
            </w:pPr>
            <w:r w:rsidRPr="00BD16B4">
              <w:rPr>
                <w:szCs w:val="18"/>
              </w:rPr>
              <w:t>260.95</w:t>
            </w:r>
          </w:p>
        </w:tc>
        <w:tc>
          <w:tcPr>
            <w:tcW w:w="985" w:type="dxa"/>
            <w:shd w:val="clear" w:color="auto" w:fill="auto"/>
          </w:tcPr>
          <w:p w14:paraId="637FAA50" w14:textId="77777777" w:rsidR="00ED2EBD" w:rsidRPr="00BD16B4" w:rsidRDefault="00ED2EBD" w:rsidP="004A205F">
            <w:pPr>
              <w:pStyle w:val="TableText"/>
              <w:spacing w:before="40" w:after="40"/>
              <w:jc w:val="right"/>
              <w:rPr>
                <w:szCs w:val="18"/>
              </w:rPr>
            </w:pPr>
            <w:r w:rsidRPr="00BD16B4">
              <w:rPr>
                <w:szCs w:val="18"/>
              </w:rPr>
              <w:t>301.26</w:t>
            </w:r>
          </w:p>
        </w:tc>
        <w:tc>
          <w:tcPr>
            <w:tcW w:w="985" w:type="dxa"/>
            <w:shd w:val="clear" w:color="auto" w:fill="auto"/>
          </w:tcPr>
          <w:p w14:paraId="33B5ACFC" w14:textId="77777777" w:rsidR="00ED2EBD" w:rsidRPr="00BD16B4" w:rsidRDefault="00ED2EBD" w:rsidP="004A205F">
            <w:pPr>
              <w:pStyle w:val="TableText"/>
              <w:spacing w:before="40" w:after="40"/>
              <w:jc w:val="right"/>
              <w:rPr>
                <w:szCs w:val="18"/>
              </w:rPr>
            </w:pPr>
            <w:r w:rsidRPr="00BD16B4">
              <w:rPr>
                <w:szCs w:val="18"/>
              </w:rPr>
              <w:t>370.71</w:t>
            </w:r>
          </w:p>
        </w:tc>
        <w:tc>
          <w:tcPr>
            <w:tcW w:w="984" w:type="dxa"/>
            <w:shd w:val="clear" w:color="auto" w:fill="auto"/>
          </w:tcPr>
          <w:p w14:paraId="5BBA04EE" w14:textId="77777777" w:rsidR="00ED2EBD" w:rsidRPr="00BD16B4" w:rsidRDefault="00ED2EBD" w:rsidP="004A205F">
            <w:pPr>
              <w:pStyle w:val="TableText"/>
              <w:spacing w:before="40" w:after="40"/>
              <w:jc w:val="right"/>
              <w:rPr>
                <w:szCs w:val="18"/>
              </w:rPr>
            </w:pPr>
            <w:r w:rsidRPr="00BD16B4">
              <w:rPr>
                <w:szCs w:val="18"/>
              </w:rPr>
              <w:t>485.85</w:t>
            </w:r>
          </w:p>
        </w:tc>
        <w:tc>
          <w:tcPr>
            <w:tcW w:w="984" w:type="dxa"/>
            <w:shd w:val="clear" w:color="auto" w:fill="auto"/>
          </w:tcPr>
          <w:p w14:paraId="0A5BFFF2" w14:textId="77777777" w:rsidR="00ED2EBD" w:rsidRPr="00BD16B4" w:rsidRDefault="00ED2EBD" w:rsidP="004A205F">
            <w:pPr>
              <w:pStyle w:val="TableText"/>
              <w:spacing w:before="40" w:after="40"/>
              <w:jc w:val="right"/>
              <w:rPr>
                <w:szCs w:val="18"/>
              </w:rPr>
            </w:pPr>
            <w:r w:rsidRPr="00BD16B4">
              <w:rPr>
                <w:szCs w:val="18"/>
              </w:rPr>
              <w:t>630.66</w:t>
            </w:r>
          </w:p>
        </w:tc>
        <w:tc>
          <w:tcPr>
            <w:tcW w:w="984" w:type="dxa"/>
            <w:shd w:val="clear" w:color="auto" w:fill="auto"/>
          </w:tcPr>
          <w:p w14:paraId="0676A675" w14:textId="77777777" w:rsidR="00ED2EBD" w:rsidRPr="00BD16B4" w:rsidRDefault="00ED2EBD" w:rsidP="004A205F">
            <w:pPr>
              <w:pStyle w:val="TableText"/>
              <w:spacing w:before="40" w:after="40"/>
              <w:jc w:val="right"/>
              <w:rPr>
                <w:szCs w:val="18"/>
              </w:rPr>
            </w:pPr>
            <w:r w:rsidRPr="00BD16B4">
              <w:rPr>
                <w:szCs w:val="18"/>
              </w:rPr>
              <w:t>681.69</w:t>
            </w:r>
          </w:p>
        </w:tc>
        <w:tc>
          <w:tcPr>
            <w:tcW w:w="984" w:type="dxa"/>
            <w:shd w:val="clear" w:color="auto" w:fill="auto"/>
          </w:tcPr>
          <w:p w14:paraId="10DC8B2F" w14:textId="77777777" w:rsidR="00ED2EBD" w:rsidRPr="00BD16B4" w:rsidRDefault="00ED2EBD" w:rsidP="004A205F">
            <w:pPr>
              <w:pStyle w:val="TableText"/>
              <w:spacing w:before="40" w:after="40"/>
              <w:jc w:val="right"/>
              <w:rPr>
                <w:szCs w:val="18"/>
              </w:rPr>
            </w:pPr>
            <w:r w:rsidRPr="00BD16B4">
              <w:rPr>
                <w:szCs w:val="18"/>
              </w:rPr>
              <w:t>763.39</w:t>
            </w:r>
          </w:p>
        </w:tc>
        <w:tc>
          <w:tcPr>
            <w:tcW w:w="984" w:type="dxa"/>
            <w:shd w:val="clear" w:color="auto" w:fill="auto"/>
          </w:tcPr>
          <w:p w14:paraId="77D431C8" w14:textId="77777777" w:rsidR="00ED2EBD" w:rsidRPr="00BD16B4" w:rsidRDefault="00ED2EBD" w:rsidP="004A205F">
            <w:pPr>
              <w:pStyle w:val="TableText"/>
              <w:spacing w:before="40" w:after="40"/>
              <w:jc w:val="right"/>
              <w:rPr>
                <w:szCs w:val="18"/>
              </w:rPr>
            </w:pPr>
            <w:r w:rsidRPr="00BD16B4">
              <w:rPr>
                <w:szCs w:val="18"/>
              </w:rPr>
              <w:t>905.41</w:t>
            </w:r>
          </w:p>
        </w:tc>
        <w:tc>
          <w:tcPr>
            <w:tcW w:w="984" w:type="dxa"/>
          </w:tcPr>
          <w:p w14:paraId="2286D033" w14:textId="77777777" w:rsidR="00ED2EBD" w:rsidRPr="00BD16B4" w:rsidRDefault="00ED2EBD" w:rsidP="004A205F">
            <w:pPr>
              <w:pStyle w:val="TableText"/>
              <w:spacing w:before="40" w:after="40"/>
              <w:jc w:val="right"/>
              <w:rPr>
                <w:szCs w:val="18"/>
              </w:rPr>
            </w:pPr>
            <w:r w:rsidRPr="00BD16B4">
              <w:rPr>
                <w:szCs w:val="18"/>
              </w:rPr>
              <w:t>965.49</w:t>
            </w:r>
          </w:p>
        </w:tc>
        <w:tc>
          <w:tcPr>
            <w:tcW w:w="984" w:type="dxa"/>
          </w:tcPr>
          <w:p w14:paraId="28EE08D3" w14:textId="77777777" w:rsidR="00ED2EBD" w:rsidRPr="00BD16B4" w:rsidRDefault="00ED2EBD" w:rsidP="004A205F">
            <w:pPr>
              <w:pStyle w:val="TableText"/>
              <w:spacing w:before="40" w:after="40"/>
              <w:jc w:val="right"/>
              <w:rPr>
                <w:szCs w:val="18"/>
              </w:rPr>
            </w:pPr>
            <w:r w:rsidRPr="00BD16B4">
              <w:rPr>
                <w:szCs w:val="18"/>
              </w:rPr>
              <w:t>1,058.77</w:t>
            </w:r>
          </w:p>
        </w:tc>
        <w:tc>
          <w:tcPr>
            <w:tcW w:w="984" w:type="dxa"/>
            <w:shd w:val="clear" w:color="auto" w:fill="auto"/>
          </w:tcPr>
          <w:p w14:paraId="4ED54764" w14:textId="77777777" w:rsidR="00ED2EBD" w:rsidRPr="00BD16B4" w:rsidRDefault="00ED2EBD" w:rsidP="004A205F">
            <w:pPr>
              <w:pStyle w:val="TableText"/>
              <w:spacing w:before="40" w:after="40"/>
              <w:jc w:val="right"/>
              <w:rPr>
                <w:szCs w:val="18"/>
              </w:rPr>
            </w:pPr>
            <w:r w:rsidRPr="00BD16B4">
              <w:rPr>
                <w:szCs w:val="18"/>
              </w:rPr>
              <w:t>1,129.46</w:t>
            </w:r>
          </w:p>
        </w:tc>
      </w:tr>
      <w:tr w:rsidR="00ED2EBD" w:rsidRPr="00BD16B4" w14:paraId="52E8B7F2" w14:textId="77777777" w:rsidTr="00AA2930">
        <w:tc>
          <w:tcPr>
            <w:tcW w:w="4248" w:type="dxa"/>
          </w:tcPr>
          <w:p w14:paraId="6977C46E" w14:textId="77777777" w:rsidR="00ED2EBD" w:rsidRPr="00BD16B4" w:rsidRDefault="00ED2EBD" w:rsidP="004A205F">
            <w:pPr>
              <w:pStyle w:val="TableText"/>
              <w:spacing w:before="40" w:after="40"/>
              <w:rPr>
                <w:szCs w:val="18"/>
              </w:rPr>
            </w:pPr>
            <w:r w:rsidRPr="00BD16B4">
              <w:rPr>
                <w:b/>
                <w:bCs/>
                <w:szCs w:val="18"/>
              </w:rPr>
              <w:t>Emissions of HFCs (kt CO</w:t>
            </w:r>
            <w:r w:rsidRPr="00BD16B4">
              <w:rPr>
                <w:b/>
                <w:bCs/>
                <w:szCs w:val="18"/>
                <w:vertAlign w:val="subscript"/>
              </w:rPr>
              <w:t>2</w:t>
            </w:r>
            <w:r w:rsidRPr="00BD16B4">
              <w:rPr>
                <w:b/>
                <w:bCs/>
                <w:szCs w:val="18"/>
              </w:rPr>
              <w:t>-equivalent)</w:t>
            </w:r>
          </w:p>
        </w:tc>
        <w:tc>
          <w:tcPr>
            <w:tcW w:w="985" w:type="dxa"/>
            <w:shd w:val="clear" w:color="auto" w:fill="auto"/>
          </w:tcPr>
          <w:p w14:paraId="32B79A23" w14:textId="77777777" w:rsidR="00ED2EBD" w:rsidRPr="00BD16B4" w:rsidRDefault="00ED2EBD" w:rsidP="004A205F">
            <w:pPr>
              <w:pStyle w:val="TableText"/>
              <w:spacing w:before="40" w:after="40"/>
              <w:jc w:val="right"/>
              <w:rPr>
                <w:szCs w:val="18"/>
              </w:rPr>
            </w:pPr>
            <w:r w:rsidRPr="00BD16B4">
              <w:rPr>
                <w:szCs w:val="18"/>
              </w:rPr>
              <w:t>192.28</w:t>
            </w:r>
          </w:p>
        </w:tc>
        <w:tc>
          <w:tcPr>
            <w:tcW w:w="985" w:type="dxa"/>
            <w:shd w:val="clear" w:color="auto" w:fill="auto"/>
          </w:tcPr>
          <w:p w14:paraId="48A0F2F4" w14:textId="77777777" w:rsidR="00ED2EBD" w:rsidRPr="00BD16B4" w:rsidRDefault="00ED2EBD" w:rsidP="004A205F">
            <w:pPr>
              <w:pStyle w:val="TableText"/>
              <w:spacing w:before="40" w:after="40"/>
              <w:jc w:val="right"/>
              <w:rPr>
                <w:szCs w:val="18"/>
              </w:rPr>
            </w:pPr>
            <w:r w:rsidRPr="00BD16B4">
              <w:rPr>
                <w:szCs w:val="18"/>
              </w:rPr>
              <w:t>233.65</w:t>
            </w:r>
          </w:p>
        </w:tc>
        <w:tc>
          <w:tcPr>
            <w:tcW w:w="985" w:type="dxa"/>
            <w:shd w:val="clear" w:color="auto" w:fill="auto"/>
          </w:tcPr>
          <w:p w14:paraId="619543FE" w14:textId="77777777" w:rsidR="00ED2EBD" w:rsidRPr="00BD16B4" w:rsidRDefault="00ED2EBD" w:rsidP="004A205F">
            <w:pPr>
              <w:pStyle w:val="TableText"/>
              <w:spacing w:before="40" w:after="40"/>
              <w:jc w:val="right"/>
              <w:rPr>
                <w:szCs w:val="18"/>
              </w:rPr>
            </w:pPr>
            <w:r w:rsidRPr="00BD16B4">
              <w:rPr>
                <w:szCs w:val="18"/>
              </w:rPr>
              <w:t>300.10</w:t>
            </w:r>
          </w:p>
        </w:tc>
        <w:tc>
          <w:tcPr>
            <w:tcW w:w="984" w:type="dxa"/>
            <w:shd w:val="clear" w:color="auto" w:fill="auto"/>
          </w:tcPr>
          <w:p w14:paraId="365E60CF" w14:textId="77777777" w:rsidR="00ED2EBD" w:rsidRPr="00BD16B4" w:rsidRDefault="00ED2EBD" w:rsidP="004A205F">
            <w:pPr>
              <w:pStyle w:val="TableText"/>
              <w:spacing w:before="40" w:after="40"/>
              <w:jc w:val="right"/>
              <w:rPr>
                <w:szCs w:val="18"/>
              </w:rPr>
            </w:pPr>
            <w:r w:rsidRPr="00BD16B4">
              <w:rPr>
                <w:szCs w:val="18"/>
              </w:rPr>
              <w:t>401.36</w:t>
            </w:r>
          </w:p>
        </w:tc>
        <w:tc>
          <w:tcPr>
            <w:tcW w:w="984" w:type="dxa"/>
            <w:shd w:val="clear" w:color="auto" w:fill="auto"/>
          </w:tcPr>
          <w:p w14:paraId="5DB4B080" w14:textId="77777777" w:rsidR="00ED2EBD" w:rsidRPr="00BD16B4" w:rsidRDefault="00ED2EBD" w:rsidP="004A205F">
            <w:pPr>
              <w:pStyle w:val="TableText"/>
              <w:spacing w:before="40" w:after="40"/>
              <w:jc w:val="right"/>
              <w:rPr>
                <w:szCs w:val="18"/>
              </w:rPr>
            </w:pPr>
            <w:r w:rsidRPr="00BD16B4">
              <w:rPr>
                <w:szCs w:val="18"/>
              </w:rPr>
              <w:t>503.85</w:t>
            </w:r>
          </w:p>
        </w:tc>
        <w:tc>
          <w:tcPr>
            <w:tcW w:w="984" w:type="dxa"/>
            <w:shd w:val="clear" w:color="auto" w:fill="auto"/>
          </w:tcPr>
          <w:p w14:paraId="77E40D64" w14:textId="77777777" w:rsidR="00ED2EBD" w:rsidRPr="00BD16B4" w:rsidRDefault="00ED2EBD" w:rsidP="004A205F">
            <w:pPr>
              <w:pStyle w:val="TableText"/>
              <w:spacing w:before="40" w:after="40"/>
              <w:jc w:val="right"/>
              <w:rPr>
                <w:szCs w:val="18"/>
              </w:rPr>
            </w:pPr>
            <w:r w:rsidRPr="00BD16B4">
              <w:rPr>
                <w:szCs w:val="18"/>
              </w:rPr>
              <w:t>582.58</w:t>
            </w:r>
          </w:p>
        </w:tc>
        <w:tc>
          <w:tcPr>
            <w:tcW w:w="984" w:type="dxa"/>
            <w:shd w:val="clear" w:color="auto" w:fill="auto"/>
          </w:tcPr>
          <w:p w14:paraId="02E2AEF1" w14:textId="77777777" w:rsidR="00ED2EBD" w:rsidRPr="00BD16B4" w:rsidRDefault="00ED2EBD" w:rsidP="004A205F">
            <w:pPr>
              <w:pStyle w:val="TableText"/>
              <w:spacing w:before="40" w:after="40"/>
              <w:jc w:val="right"/>
              <w:rPr>
                <w:szCs w:val="18"/>
              </w:rPr>
            </w:pPr>
            <w:r w:rsidRPr="00BD16B4">
              <w:rPr>
                <w:szCs w:val="18"/>
              </w:rPr>
              <w:t>694.01</w:t>
            </w:r>
          </w:p>
        </w:tc>
        <w:tc>
          <w:tcPr>
            <w:tcW w:w="984" w:type="dxa"/>
            <w:shd w:val="clear" w:color="auto" w:fill="auto"/>
          </w:tcPr>
          <w:p w14:paraId="4D5DFF89" w14:textId="77777777" w:rsidR="00ED2EBD" w:rsidRPr="00BD16B4" w:rsidRDefault="00ED2EBD" w:rsidP="004A205F">
            <w:pPr>
              <w:pStyle w:val="TableText"/>
              <w:spacing w:before="40" w:after="40"/>
              <w:jc w:val="right"/>
              <w:rPr>
                <w:szCs w:val="18"/>
              </w:rPr>
            </w:pPr>
            <w:r w:rsidRPr="00BD16B4">
              <w:rPr>
                <w:szCs w:val="18"/>
              </w:rPr>
              <w:t>798.68</w:t>
            </w:r>
          </w:p>
        </w:tc>
        <w:tc>
          <w:tcPr>
            <w:tcW w:w="984" w:type="dxa"/>
          </w:tcPr>
          <w:p w14:paraId="2A20F627" w14:textId="77777777" w:rsidR="00ED2EBD" w:rsidRPr="00BD16B4" w:rsidRDefault="00ED2EBD" w:rsidP="004A205F">
            <w:pPr>
              <w:pStyle w:val="TableText"/>
              <w:spacing w:before="40" w:after="40"/>
              <w:jc w:val="right"/>
              <w:rPr>
                <w:szCs w:val="18"/>
              </w:rPr>
            </w:pPr>
            <w:r w:rsidRPr="00BD16B4">
              <w:rPr>
                <w:szCs w:val="18"/>
              </w:rPr>
              <w:t>917.09</w:t>
            </w:r>
          </w:p>
        </w:tc>
        <w:tc>
          <w:tcPr>
            <w:tcW w:w="984" w:type="dxa"/>
          </w:tcPr>
          <w:p w14:paraId="4D8FF64E" w14:textId="77777777" w:rsidR="00ED2EBD" w:rsidRPr="00BD16B4" w:rsidRDefault="00ED2EBD" w:rsidP="004A205F">
            <w:pPr>
              <w:pStyle w:val="TableText"/>
              <w:spacing w:before="40" w:after="40"/>
              <w:jc w:val="right"/>
              <w:rPr>
                <w:szCs w:val="18"/>
              </w:rPr>
            </w:pPr>
            <w:r w:rsidRPr="00BD16B4">
              <w:rPr>
                <w:szCs w:val="18"/>
              </w:rPr>
              <w:t>1,013.31</w:t>
            </w:r>
          </w:p>
        </w:tc>
        <w:tc>
          <w:tcPr>
            <w:tcW w:w="984" w:type="dxa"/>
            <w:shd w:val="clear" w:color="auto" w:fill="auto"/>
          </w:tcPr>
          <w:p w14:paraId="26E8FAC2" w14:textId="77777777" w:rsidR="00ED2EBD" w:rsidRPr="00BD16B4" w:rsidRDefault="00ED2EBD" w:rsidP="004A205F">
            <w:pPr>
              <w:pStyle w:val="TableText"/>
              <w:spacing w:before="40" w:after="40"/>
              <w:jc w:val="right"/>
              <w:rPr>
                <w:szCs w:val="18"/>
              </w:rPr>
            </w:pPr>
            <w:r w:rsidRPr="00BD16B4">
              <w:rPr>
                <w:szCs w:val="18"/>
              </w:rPr>
              <w:t>1,075.61</w:t>
            </w:r>
          </w:p>
        </w:tc>
      </w:tr>
      <w:tr w:rsidR="00ED2EBD" w:rsidRPr="00BD16B4" w14:paraId="321A95EA" w14:textId="77777777" w:rsidTr="00AA2930">
        <w:tc>
          <w:tcPr>
            <w:tcW w:w="4248" w:type="dxa"/>
          </w:tcPr>
          <w:p w14:paraId="44E5A617" w14:textId="77777777" w:rsidR="00ED2EBD" w:rsidRPr="00BD16B4" w:rsidRDefault="00ED2EBD" w:rsidP="004A205F">
            <w:pPr>
              <w:pStyle w:val="TableText"/>
              <w:spacing w:before="40" w:after="40"/>
              <w:rPr>
                <w:szCs w:val="18"/>
              </w:rPr>
            </w:pPr>
            <w:r w:rsidRPr="00BD16B4">
              <w:rPr>
                <w:szCs w:val="18"/>
              </w:rPr>
              <w:t>HFC-23</w:t>
            </w:r>
          </w:p>
        </w:tc>
        <w:tc>
          <w:tcPr>
            <w:tcW w:w="985" w:type="dxa"/>
            <w:shd w:val="clear" w:color="auto" w:fill="auto"/>
          </w:tcPr>
          <w:p w14:paraId="39219EC4" w14:textId="77777777" w:rsidR="00ED2EBD" w:rsidRPr="00BD16B4" w:rsidRDefault="00ED2EBD" w:rsidP="004A205F">
            <w:pPr>
              <w:pStyle w:val="TableText"/>
              <w:spacing w:before="40" w:after="40"/>
              <w:jc w:val="right"/>
              <w:rPr>
                <w:szCs w:val="18"/>
              </w:rPr>
            </w:pPr>
            <w:r w:rsidRPr="00BD16B4">
              <w:rPr>
                <w:szCs w:val="18"/>
              </w:rPr>
              <w:t>NO, NA</w:t>
            </w:r>
          </w:p>
        </w:tc>
        <w:tc>
          <w:tcPr>
            <w:tcW w:w="985" w:type="dxa"/>
            <w:shd w:val="clear" w:color="auto" w:fill="auto"/>
          </w:tcPr>
          <w:p w14:paraId="59D499F2" w14:textId="77777777" w:rsidR="00ED2EBD" w:rsidRPr="00BD16B4" w:rsidRDefault="00ED2EBD" w:rsidP="004A205F">
            <w:pPr>
              <w:pStyle w:val="TableText"/>
              <w:spacing w:before="40" w:after="40"/>
              <w:jc w:val="right"/>
              <w:rPr>
                <w:szCs w:val="18"/>
              </w:rPr>
            </w:pPr>
            <w:r w:rsidRPr="00BD16B4">
              <w:rPr>
                <w:szCs w:val="18"/>
              </w:rPr>
              <w:t>NO, NA</w:t>
            </w:r>
          </w:p>
        </w:tc>
        <w:tc>
          <w:tcPr>
            <w:tcW w:w="985" w:type="dxa"/>
            <w:shd w:val="clear" w:color="auto" w:fill="auto"/>
          </w:tcPr>
          <w:p w14:paraId="4C22C376"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6CB16AF1"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6D60A106"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2F0E5E97"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554F80A0"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660655AF"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1C12196E"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7D66584A"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5A560C16"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036E1BBB" w14:textId="77777777" w:rsidTr="00AA2930">
        <w:tc>
          <w:tcPr>
            <w:tcW w:w="4248" w:type="dxa"/>
          </w:tcPr>
          <w:p w14:paraId="40F5F764" w14:textId="77777777" w:rsidR="00ED2EBD" w:rsidRPr="00BD16B4" w:rsidRDefault="00ED2EBD" w:rsidP="004A205F">
            <w:pPr>
              <w:pStyle w:val="TableText"/>
              <w:spacing w:before="40" w:after="40"/>
              <w:rPr>
                <w:szCs w:val="18"/>
              </w:rPr>
            </w:pPr>
            <w:r w:rsidRPr="00BD16B4">
              <w:rPr>
                <w:szCs w:val="18"/>
              </w:rPr>
              <w:t>HFC-32</w:t>
            </w:r>
          </w:p>
        </w:tc>
        <w:tc>
          <w:tcPr>
            <w:tcW w:w="985" w:type="dxa"/>
            <w:shd w:val="clear" w:color="auto" w:fill="auto"/>
          </w:tcPr>
          <w:p w14:paraId="372098D0" w14:textId="77777777" w:rsidR="00ED2EBD" w:rsidRPr="00BD16B4" w:rsidRDefault="00ED2EBD" w:rsidP="004A205F">
            <w:pPr>
              <w:pStyle w:val="TableText"/>
              <w:spacing w:before="40" w:after="40"/>
              <w:jc w:val="right"/>
              <w:rPr>
                <w:szCs w:val="18"/>
              </w:rPr>
            </w:pPr>
            <w:r w:rsidRPr="00BD16B4">
              <w:rPr>
                <w:szCs w:val="18"/>
              </w:rPr>
              <w:t>0.00</w:t>
            </w:r>
          </w:p>
        </w:tc>
        <w:tc>
          <w:tcPr>
            <w:tcW w:w="985" w:type="dxa"/>
            <w:shd w:val="clear" w:color="auto" w:fill="auto"/>
          </w:tcPr>
          <w:p w14:paraId="78932319" w14:textId="77777777" w:rsidR="00ED2EBD" w:rsidRPr="00BD16B4" w:rsidRDefault="00ED2EBD" w:rsidP="004A205F">
            <w:pPr>
              <w:pStyle w:val="TableText"/>
              <w:spacing w:before="40" w:after="40"/>
              <w:jc w:val="right"/>
              <w:rPr>
                <w:szCs w:val="18"/>
              </w:rPr>
            </w:pPr>
            <w:r w:rsidRPr="00BD16B4">
              <w:rPr>
                <w:szCs w:val="18"/>
              </w:rPr>
              <w:t>0.00</w:t>
            </w:r>
          </w:p>
        </w:tc>
        <w:tc>
          <w:tcPr>
            <w:tcW w:w="985" w:type="dxa"/>
            <w:shd w:val="clear" w:color="auto" w:fill="auto"/>
          </w:tcPr>
          <w:p w14:paraId="3FB6777C"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56129E32"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234BCF50"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2E5D002A" w14:textId="77777777" w:rsidR="00ED2EBD" w:rsidRPr="00BD16B4" w:rsidRDefault="00ED2EBD" w:rsidP="004A205F">
            <w:pPr>
              <w:pStyle w:val="TableText"/>
              <w:spacing w:before="40" w:after="40"/>
              <w:jc w:val="right"/>
              <w:rPr>
                <w:szCs w:val="18"/>
              </w:rPr>
            </w:pPr>
            <w:r w:rsidRPr="00BD16B4">
              <w:rPr>
                <w:szCs w:val="18"/>
              </w:rPr>
              <w:t>0.01</w:t>
            </w:r>
          </w:p>
        </w:tc>
        <w:tc>
          <w:tcPr>
            <w:tcW w:w="984" w:type="dxa"/>
            <w:shd w:val="clear" w:color="auto" w:fill="auto"/>
          </w:tcPr>
          <w:p w14:paraId="40DC0567" w14:textId="77777777" w:rsidR="00ED2EBD" w:rsidRPr="00BD16B4" w:rsidRDefault="00ED2EBD" w:rsidP="004A205F">
            <w:pPr>
              <w:pStyle w:val="TableText"/>
              <w:spacing w:before="40" w:after="40"/>
              <w:jc w:val="right"/>
              <w:rPr>
                <w:szCs w:val="18"/>
              </w:rPr>
            </w:pPr>
            <w:r w:rsidRPr="00BD16B4">
              <w:rPr>
                <w:szCs w:val="18"/>
              </w:rPr>
              <w:t>0.01</w:t>
            </w:r>
          </w:p>
        </w:tc>
        <w:tc>
          <w:tcPr>
            <w:tcW w:w="984" w:type="dxa"/>
            <w:shd w:val="clear" w:color="auto" w:fill="auto"/>
          </w:tcPr>
          <w:p w14:paraId="53C81875" w14:textId="77777777" w:rsidR="00ED2EBD" w:rsidRPr="00BD16B4" w:rsidRDefault="00ED2EBD" w:rsidP="004A205F">
            <w:pPr>
              <w:pStyle w:val="TableText"/>
              <w:spacing w:before="40" w:after="40"/>
              <w:jc w:val="right"/>
              <w:rPr>
                <w:szCs w:val="18"/>
              </w:rPr>
            </w:pPr>
            <w:r w:rsidRPr="00BD16B4">
              <w:rPr>
                <w:szCs w:val="18"/>
              </w:rPr>
              <w:t>0.01</w:t>
            </w:r>
          </w:p>
        </w:tc>
        <w:tc>
          <w:tcPr>
            <w:tcW w:w="984" w:type="dxa"/>
          </w:tcPr>
          <w:p w14:paraId="3E5F2AC1" w14:textId="77777777" w:rsidR="00ED2EBD" w:rsidRPr="00BD16B4" w:rsidRDefault="00ED2EBD" w:rsidP="004A205F">
            <w:pPr>
              <w:pStyle w:val="TableText"/>
              <w:spacing w:before="40" w:after="40"/>
              <w:jc w:val="right"/>
              <w:rPr>
                <w:szCs w:val="18"/>
              </w:rPr>
            </w:pPr>
            <w:r w:rsidRPr="00BD16B4">
              <w:rPr>
                <w:szCs w:val="18"/>
              </w:rPr>
              <w:t>0.01</w:t>
            </w:r>
          </w:p>
        </w:tc>
        <w:tc>
          <w:tcPr>
            <w:tcW w:w="984" w:type="dxa"/>
          </w:tcPr>
          <w:p w14:paraId="63F7F751" w14:textId="77777777" w:rsidR="00ED2EBD" w:rsidRPr="00BD16B4" w:rsidRDefault="00ED2EBD" w:rsidP="004A205F">
            <w:pPr>
              <w:pStyle w:val="TableText"/>
              <w:spacing w:before="40" w:after="40"/>
              <w:jc w:val="right"/>
              <w:rPr>
                <w:szCs w:val="18"/>
              </w:rPr>
            </w:pPr>
            <w:r w:rsidRPr="00BD16B4">
              <w:rPr>
                <w:szCs w:val="18"/>
              </w:rPr>
              <w:t>0.02</w:t>
            </w:r>
          </w:p>
        </w:tc>
        <w:tc>
          <w:tcPr>
            <w:tcW w:w="984" w:type="dxa"/>
            <w:shd w:val="clear" w:color="auto" w:fill="auto"/>
          </w:tcPr>
          <w:p w14:paraId="3AD7CA06" w14:textId="77777777" w:rsidR="00ED2EBD" w:rsidRPr="00BD16B4" w:rsidRDefault="00ED2EBD" w:rsidP="004A205F">
            <w:pPr>
              <w:pStyle w:val="TableText"/>
              <w:spacing w:before="40" w:after="40"/>
              <w:jc w:val="right"/>
              <w:rPr>
                <w:szCs w:val="18"/>
              </w:rPr>
            </w:pPr>
            <w:r w:rsidRPr="00BD16B4">
              <w:rPr>
                <w:szCs w:val="18"/>
              </w:rPr>
              <w:t>0.02</w:t>
            </w:r>
          </w:p>
        </w:tc>
      </w:tr>
      <w:tr w:rsidR="00ED2EBD" w:rsidRPr="00BD16B4" w14:paraId="5DC30E89" w14:textId="77777777" w:rsidTr="00AA2930">
        <w:tc>
          <w:tcPr>
            <w:tcW w:w="4248" w:type="dxa"/>
          </w:tcPr>
          <w:p w14:paraId="322A765A" w14:textId="77777777" w:rsidR="00ED2EBD" w:rsidRPr="00BD16B4" w:rsidRDefault="00ED2EBD" w:rsidP="004A205F">
            <w:pPr>
              <w:pStyle w:val="TableText"/>
              <w:spacing w:before="40" w:after="40"/>
              <w:rPr>
                <w:szCs w:val="18"/>
              </w:rPr>
            </w:pPr>
            <w:r w:rsidRPr="00BD16B4">
              <w:rPr>
                <w:szCs w:val="18"/>
              </w:rPr>
              <w:t>HFC-41</w:t>
            </w:r>
          </w:p>
        </w:tc>
        <w:tc>
          <w:tcPr>
            <w:tcW w:w="985" w:type="dxa"/>
            <w:shd w:val="clear" w:color="auto" w:fill="auto"/>
          </w:tcPr>
          <w:p w14:paraId="220B34FC"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22FC7CAB"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4B476CC9"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0E252B7F"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3025DC2"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CD3C546"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7343FA8C"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11EFD130"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3838C986"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7597DE29"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5E32CBD8"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35D6BCF7" w14:textId="77777777" w:rsidTr="00AA2930">
        <w:tc>
          <w:tcPr>
            <w:tcW w:w="4248" w:type="dxa"/>
          </w:tcPr>
          <w:p w14:paraId="1F117B48" w14:textId="77777777" w:rsidR="00ED2EBD" w:rsidRPr="00BD16B4" w:rsidRDefault="00ED2EBD" w:rsidP="004A205F">
            <w:pPr>
              <w:pStyle w:val="TableText"/>
              <w:spacing w:before="40" w:after="40"/>
              <w:rPr>
                <w:szCs w:val="18"/>
              </w:rPr>
            </w:pPr>
            <w:r w:rsidRPr="00BD16B4">
              <w:rPr>
                <w:szCs w:val="18"/>
              </w:rPr>
              <w:t>HFC-43-10mee</w:t>
            </w:r>
          </w:p>
        </w:tc>
        <w:tc>
          <w:tcPr>
            <w:tcW w:w="985" w:type="dxa"/>
            <w:shd w:val="clear" w:color="auto" w:fill="auto"/>
          </w:tcPr>
          <w:p w14:paraId="7CB34701" w14:textId="77777777" w:rsidR="00ED2EBD" w:rsidRPr="00BD16B4" w:rsidRDefault="00ED2EBD" w:rsidP="004A205F">
            <w:pPr>
              <w:pStyle w:val="TableText"/>
              <w:spacing w:before="40" w:after="40"/>
              <w:jc w:val="right"/>
              <w:rPr>
                <w:szCs w:val="18"/>
              </w:rPr>
            </w:pPr>
            <w:r w:rsidRPr="00BD16B4">
              <w:rPr>
                <w:szCs w:val="18"/>
              </w:rPr>
              <w:t>NO, NA</w:t>
            </w:r>
          </w:p>
        </w:tc>
        <w:tc>
          <w:tcPr>
            <w:tcW w:w="985" w:type="dxa"/>
            <w:shd w:val="clear" w:color="auto" w:fill="auto"/>
          </w:tcPr>
          <w:p w14:paraId="04B7E701" w14:textId="77777777" w:rsidR="00ED2EBD" w:rsidRPr="00BD16B4" w:rsidRDefault="00ED2EBD" w:rsidP="004A205F">
            <w:pPr>
              <w:pStyle w:val="TableText"/>
              <w:spacing w:before="40" w:after="40"/>
              <w:jc w:val="right"/>
              <w:rPr>
                <w:szCs w:val="18"/>
              </w:rPr>
            </w:pPr>
            <w:r w:rsidRPr="00BD16B4">
              <w:rPr>
                <w:szCs w:val="18"/>
              </w:rPr>
              <w:t>NO, NA</w:t>
            </w:r>
          </w:p>
        </w:tc>
        <w:tc>
          <w:tcPr>
            <w:tcW w:w="985" w:type="dxa"/>
            <w:shd w:val="clear" w:color="auto" w:fill="auto"/>
          </w:tcPr>
          <w:p w14:paraId="1E25CBBC"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2B05B1E2"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1485E2A0"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6F53DE74"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7F89E92B"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68C31F83"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209CDF66"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3D331ABB"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6C954721"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45B48D75" w14:textId="77777777" w:rsidTr="00AA2930">
        <w:tc>
          <w:tcPr>
            <w:tcW w:w="4248" w:type="dxa"/>
          </w:tcPr>
          <w:p w14:paraId="0A1C32DD" w14:textId="77777777" w:rsidR="00ED2EBD" w:rsidRPr="00BD16B4" w:rsidRDefault="00ED2EBD" w:rsidP="004A205F">
            <w:pPr>
              <w:pStyle w:val="TableText"/>
              <w:spacing w:before="40" w:after="40"/>
              <w:rPr>
                <w:szCs w:val="18"/>
              </w:rPr>
            </w:pPr>
            <w:r w:rsidRPr="00BD16B4">
              <w:rPr>
                <w:szCs w:val="18"/>
              </w:rPr>
              <w:t>HFC-125</w:t>
            </w:r>
          </w:p>
        </w:tc>
        <w:tc>
          <w:tcPr>
            <w:tcW w:w="985" w:type="dxa"/>
            <w:shd w:val="clear" w:color="auto" w:fill="auto"/>
          </w:tcPr>
          <w:p w14:paraId="76D807AC" w14:textId="77777777" w:rsidR="00ED2EBD" w:rsidRPr="00BD16B4" w:rsidRDefault="00ED2EBD" w:rsidP="004A205F">
            <w:pPr>
              <w:pStyle w:val="TableText"/>
              <w:spacing w:before="40" w:after="40"/>
              <w:jc w:val="right"/>
              <w:rPr>
                <w:szCs w:val="18"/>
              </w:rPr>
            </w:pPr>
            <w:r w:rsidRPr="00BD16B4">
              <w:rPr>
                <w:szCs w:val="18"/>
              </w:rPr>
              <w:t>0.00</w:t>
            </w:r>
          </w:p>
        </w:tc>
        <w:tc>
          <w:tcPr>
            <w:tcW w:w="985" w:type="dxa"/>
            <w:shd w:val="clear" w:color="auto" w:fill="auto"/>
          </w:tcPr>
          <w:p w14:paraId="58AB44F3" w14:textId="77777777" w:rsidR="00ED2EBD" w:rsidRPr="00BD16B4" w:rsidRDefault="00ED2EBD" w:rsidP="004A205F">
            <w:pPr>
              <w:pStyle w:val="TableText"/>
              <w:spacing w:before="40" w:after="40"/>
              <w:jc w:val="right"/>
              <w:rPr>
                <w:szCs w:val="18"/>
              </w:rPr>
            </w:pPr>
            <w:r w:rsidRPr="00BD16B4">
              <w:rPr>
                <w:szCs w:val="18"/>
              </w:rPr>
              <w:t>0.01</w:t>
            </w:r>
          </w:p>
        </w:tc>
        <w:tc>
          <w:tcPr>
            <w:tcW w:w="985" w:type="dxa"/>
            <w:shd w:val="clear" w:color="auto" w:fill="auto"/>
          </w:tcPr>
          <w:p w14:paraId="3D80F4AC" w14:textId="77777777" w:rsidR="00ED2EBD" w:rsidRPr="00BD16B4" w:rsidRDefault="00ED2EBD" w:rsidP="004A205F">
            <w:pPr>
              <w:pStyle w:val="TableText"/>
              <w:spacing w:before="40" w:after="40"/>
              <w:jc w:val="right"/>
              <w:rPr>
                <w:szCs w:val="18"/>
              </w:rPr>
            </w:pPr>
            <w:r w:rsidRPr="00BD16B4">
              <w:rPr>
                <w:szCs w:val="18"/>
              </w:rPr>
              <w:t>0.02</w:t>
            </w:r>
          </w:p>
        </w:tc>
        <w:tc>
          <w:tcPr>
            <w:tcW w:w="984" w:type="dxa"/>
            <w:shd w:val="clear" w:color="auto" w:fill="auto"/>
          </w:tcPr>
          <w:p w14:paraId="17372E86" w14:textId="77777777" w:rsidR="00ED2EBD" w:rsidRPr="00BD16B4" w:rsidRDefault="00ED2EBD" w:rsidP="004A205F">
            <w:pPr>
              <w:pStyle w:val="TableText"/>
              <w:spacing w:before="40" w:after="40"/>
              <w:jc w:val="right"/>
              <w:rPr>
                <w:szCs w:val="18"/>
              </w:rPr>
            </w:pPr>
            <w:r w:rsidRPr="00BD16B4">
              <w:rPr>
                <w:szCs w:val="18"/>
              </w:rPr>
              <w:t>0.02</w:t>
            </w:r>
          </w:p>
        </w:tc>
        <w:tc>
          <w:tcPr>
            <w:tcW w:w="984" w:type="dxa"/>
            <w:shd w:val="clear" w:color="auto" w:fill="auto"/>
          </w:tcPr>
          <w:p w14:paraId="3B007B75" w14:textId="77777777" w:rsidR="00ED2EBD" w:rsidRPr="00BD16B4" w:rsidRDefault="00ED2EBD" w:rsidP="004A205F">
            <w:pPr>
              <w:pStyle w:val="TableText"/>
              <w:spacing w:before="40" w:after="40"/>
              <w:jc w:val="right"/>
              <w:rPr>
                <w:szCs w:val="18"/>
              </w:rPr>
            </w:pPr>
            <w:r w:rsidRPr="00BD16B4">
              <w:rPr>
                <w:szCs w:val="18"/>
              </w:rPr>
              <w:t>0.03</w:t>
            </w:r>
          </w:p>
        </w:tc>
        <w:tc>
          <w:tcPr>
            <w:tcW w:w="984" w:type="dxa"/>
            <w:shd w:val="clear" w:color="auto" w:fill="auto"/>
          </w:tcPr>
          <w:p w14:paraId="1C8D1ADC" w14:textId="77777777" w:rsidR="00ED2EBD" w:rsidRPr="00BD16B4" w:rsidRDefault="00ED2EBD" w:rsidP="004A205F">
            <w:pPr>
              <w:pStyle w:val="TableText"/>
              <w:spacing w:before="40" w:after="40"/>
              <w:jc w:val="right"/>
              <w:rPr>
                <w:szCs w:val="18"/>
              </w:rPr>
            </w:pPr>
            <w:r w:rsidRPr="00BD16B4">
              <w:rPr>
                <w:szCs w:val="18"/>
              </w:rPr>
              <w:t>0.04</w:t>
            </w:r>
          </w:p>
        </w:tc>
        <w:tc>
          <w:tcPr>
            <w:tcW w:w="984" w:type="dxa"/>
            <w:shd w:val="clear" w:color="auto" w:fill="auto"/>
          </w:tcPr>
          <w:p w14:paraId="6C4C3E37" w14:textId="77777777" w:rsidR="00ED2EBD" w:rsidRPr="00BD16B4" w:rsidRDefault="00ED2EBD" w:rsidP="004A205F">
            <w:pPr>
              <w:pStyle w:val="TableText"/>
              <w:spacing w:before="40" w:after="40"/>
              <w:jc w:val="right"/>
              <w:rPr>
                <w:szCs w:val="18"/>
              </w:rPr>
            </w:pPr>
            <w:r w:rsidRPr="00BD16B4">
              <w:rPr>
                <w:szCs w:val="18"/>
              </w:rPr>
              <w:t>0.05</w:t>
            </w:r>
          </w:p>
        </w:tc>
        <w:tc>
          <w:tcPr>
            <w:tcW w:w="984" w:type="dxa"/>
            <w:shd w:val="clear" w:color="auto" w:fill="auto"/>
          </w:tcPr>
          <w:p w14:paraId="43FBAB15" w14:textId="77777777" w:rsidR="00ED2EBD" w:rsidRPr="00BD16B4" w:rsidRDefault="00ED2EBD" w:rsidP="004A205F">
            <w:pPr>
              <w:pStyle w:val="TableText"/>
              <w:spacing w:before="40" w:after="40"/>
              <w:jc w:val="right"/>
              <w:rPr>
                <w:szCs w:val="18"/>
              </w:rPr>
            </w:pPr>
            <w:r w:rsidRPr="00BD16B4">
              <w:rPr>
                <w:szCs w:val="18"/>
              </w:rPr>
              <w:t>0.05</w:t>
            </w:r>
          </w:p>
        </w:tc>
        <w:tc>
          <w:tcPr>
            <w:tcW w:w="984" w:type="dxa"/>
          </w:tcPr>
          <w:p w14:paraId="28DF1C12" w14:textId="77777777" w:rsidR="00ED2EBD" w:rsidRPr="00BD16B4" w:rsidRDefault="00ED2EBD" w:rsidP="004A205F">
            <w:pPr>
              <w:pStyle w:val="TableText"/>
              <w:spacing w:before="40" w:after="40"/>
              <w:jc w:val="right"/>
              <w:rPr>
                <w:szCs w:val="18"/>
              </w:rPr>
            </w:pPr>
            <w:r w:rsidRPr="00BD16B4">
              <w:rPr>
                <w:szCs w:val="18"/>
              </w:rPr>
              <w:t>0.07</w:t>
            </w:r>
          </w:p>
        </w:tc>
        <w:tc>
          <w:tcPr>
            <w:tcW w:w="984" w:type="dxa"/>
          </w:tcPr>
          <w:p w14:paraId="1244B768" w14:textId="77777777" w:rsidR="00ED2EBD" w:rsidRPr="00BD16B4" w:rsidRDefault="00ED2EBD" w:rsidP="004A205F">
            <w:pPr>
              <w:pStyle w:val="TableText"/>
              <w:spacing w:before="40" w:after="40"/>
              <w:jc w:val="right"/>
              <w:rPr>
                <w:szCs w:val="18"/>
              </w:rPr>
            </w:pPr>
            <w:r w:rsidRPr="00BD16B4">
              <w:rPr>
                <w:szCs w:val="18"/>
              </w:rPr>
              <w:t>0.08</w:t>
            </w:r>
          </w:p>
        </w:tc>
        <w:tc>
          <w:tcPr>
            <w:tcW w:w="984" w:type="dxa"/>
            <w:shd w:val="clear" w:color="auto" w:fill="auto"/>
          </w:tcPr>
          <w:p w14:paraId="713CD497" w14:textId="77777777" w:rsidR="00ED2EBD" w:rsidRPr="00BD16B4" w:rsidRDefault="00ED2EBD" w:rsidP="004A205F">
            <w:pPr>
              <w:pStyle w:val="TableText"/>
              <w:spacing w:before="40" w:after="40"/>
              <w:jc w:val="right"/>
              <w:rPr>
                <w:szCs w:val="18"/>
              </w:rPr>
            </w:pPr>
            <w:r w:rsidRPr="00BD16B4">
              <w:rPr>
                <w:szCs w:val="18"/>
              </w:rPr>
              <w:t>0.09</w:t>
            </w:r>
          </w:p>
        </w:tc>
      </w:tr>
      <w:tr w:rsidR="00ED2EBD" w:rsidRPr="00BD16B4" w14:paraId="43F6E2B9" w14:textId="77777777" w:rsidTr="00AA2930">
        <w:tc>
          <w:tcPr>
            <w:tcW w:w="4248" w:type="dxa"/>
          </w:tcPr>
          <w:p w14:paraId="3AA38ADC" w14:textId="77777777" w:rsidR="00ED2EBD" w:rsidRPr="00BD16B4" w:rsidRDefault="00ED2EBD" w:rsidP="004A205F">
            <w:pPr>
              <w:pStyle w:val="TableText"/>
              <w:spacing w:before="40" w:after="40"/>
              <w:rPr>
                <w:szCs w:val="18"/>
              </w:rPr>
            </w:pPr>
            <w:r w:rsidRPr="00BD16B4">
              <w:rPr>
                <w:szCs w:val="18"/>
              </w:rPr>
              <w:t>HFC-134</w:t>
            </w:r>
          </w:p>
        </w:tc>
        <w:tc>
          <w:tcPr>
            <w:tcW w:w="985" w:type="dxa"/>
            <w:shd w:val="clear" w:color="auto" w:fill="auto"/>
          </w:tcPr>
          <w:p w14:paraId="2F12ED18"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041E7D07"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20AF17B6"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782D745C"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02D5E60F"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62E79202"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68D93849"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70512607"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742CCEC1"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7604B7D3"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2E0D0148"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73483598" w14:textId="77777777" w:rsidTr="00AA2930">
        <w:tc>
          <w:tcPr>
            <w:tcW w:w="4248" w:type="dxa"/>
          </w:tcPr>
          <w:p w14:paraId="7164BC8E" w14:textId="77777777" w:rsidR="00ED2EBD" w:rsidRPr="00BD16B4" w:rsidRDefault="00ED2EBD" w:rsidP="004A205F">
            <w:pPr>
              <w:pStyle w:val="TableText"/>
              <w:spacing w:before="40" w:after="40"/>
              <w:rPr>
                <w:szCs w:val="18"/>
              </w:rPr>
            </w:pPr>
            <w:r w:rsidRPr="00BD16B4">
              <w:rPr>
                <w:szCs w:val="18"/>
              </w:rPr>
              <w:t>HFC-134a</w:t>
            </w:r>
          </w:p>
        </w:tc>
        <w:tc>
          <w:tcPr>
            <w:tcW w:w="985" w:type="dxa"/>
            <w:shd w:val="clear" w:color="auto" w:fill="auto"/>
          </w:tcPr>
          <w:p w14:paraId="40A27C43" w14:textId="77777777" w:rsidR="00ED2EBD" w:rsidRPr="00BD16B4" w:rsidRDefault="00ED2EBD" w:rsidP="004A205F">
            <w:pPr>
              <w:pStyle w:val="TableText"/>
              <w:spacing w:before="40" w:after="40"/>
              <w:jc w:val="right"/>
              <w:rPr>
                <w:szCs w:val="18"/>
              </w:rPr>
            </w:pPr>
            <w:r w:rsidRPr="00BD16B4">
              <w:rPr>
                <w:szCs w:val="18"/>
              </w:rPr>
              <w:t>0.09</w:t>
            </w:r>
          </w:p>
        </w:tc>
        <w:tc>
          <w:tcPr>
            <w:tcW w:w="985" w:type="dxa"/>
            <w:shd w:val="clear" w:color="auto" w:fill="auto"/>
          </w:tcPr>
          <w:p w14:paraId="3485E6BD" w14:textId="77777777" w:rsidR="00ED2EBD" w:rsidRPr="00BD16B4" w:rsidRDefault="00ED2EBD" w:rsidP="004A205F">
            <w:pPr>
              <w:pStyle w:val="TableText"/>
              <w:spacing w:before="40" w:after="40"/>
              <w:jc w:val="right"/>
              <w:rPr>
                <w:szCs w:val="18"/>
              </w:rPr>
            </w:pPr>
            <w:r w:rsidRPr="00BD16B4">
              <w:rPr>
                <w:szCs w:val="18"/>
              </w:rPr>
              <w:t>0.11</w:t>
            </w:r>
          </w:p>
        </w:tc>
        <w:tc>
          <w:tcPr>
            <w:tcW w:w="985" w:type="dxa"/>
            <w:shd w:val="clear" w:color="auto" w:fill="auto"/>
          </w:tcPr>
          <w:p w14:paraId="0FF1B6AE" w14:textId="77777777" w:rsidR="00ED2EBD" w:rsidRPr="00BD16B4" w:rsidRDefault="00ED2EBD" w:rsidP="004A205F">
            <w:pPr>
              <w:pStyle w:val="TableText"/>
              <w:spacing w:before="40" w:after="40"/>
              <w:jc w:val="right"/>
              <w:rPr>
                <w:szCs w:val="18"/>
              </w:rPr>
            </w:pPr>
            <w:r w:rsidRPr="00BD16B4">
              <w:rPr>
                <w:szCs w:val="18"/>
              </w:rPr>
              <w:t>0.13</w:t>
            </w:r>
          </w:p>
        </w:tc>
        <w:tc>
          <w:tcPr>
            <w:tcW w:w="984" w:type="dxa"/>
            <w:shd w:val="clear" w:color="auto" w:fill="auto"/>
          </w:tcPr>
          <w:p w14:paraId="46F9F8C4" w14:textId="77777777" w:rsidR="00ED2EBD" w:rsidRPr="00BD16B4" w:rsidRDefault="00ED2EBD" w:rsidP="004A205F">
            <w:pPr>
              <w:pStyle w:val="TableText"/>
              <w:spacing w:before="40" w:after="40"/>
              <w:jc w:val="right"/>
              <w:rPr>
                <w:szCs w:val="18"/>
              </w:rPr>
            </w:pPr>
            <w:r w:rsidRPr="00BD16B4">
              <w:rPr>
                <w:szCs w:val="18"/>
              </w:rPr>
              <w:t>0.17</w:t>
            </w:r>
          </w:p>
        </w:tc>
        <w:tc>
          <w:tcPr>
            <w:tcW w:w="984" w:type="dxa"/>
            <w:shd w:val="clear" w:color="auto" w:fill="auto"/>
          </w:tcPr>
          <w:p w14:paraId="7EC962F2" w14:textId="77777777" w:rsidR="00ED2EBD" w:rsidRPr="00BD16B4" w:rsidRDefault="00ED2EBD" w:rsidP="004A205F">
            <w:pPr>
              <w:pStyle w:val="TableText"/>
              <w:spacing w:before="40" w:after="40"/>
              <w:jc w:val="right"/>
              <w:rPr>
                <w:szCs w:val="18"/>
              </w:rPr>
            </w:pPr>
            <w:r w:rsidRPr="00BD16B4">
              <w:rPr>
                <w:szCs w:val="18"/>
              </w:rPr>
              <w:t>0.20</w:t>
            </w:r>
          </w:p>
        </w:tc>
        <w:tc>
          <w:tcPr>
            <w:tcW w:w="984" w:type="dxa"/>
            <w:shd w:val="clear" w:color="auto" w:fill="auto"/>
          </w:tcPr>
          <w:p w14:paraId="0EE5E5C3" w14:textId="77777777" w:rsidR="00ED2EBD" w:rsidRPr="00BD16B4" w:rsidRDefault="00ED2EBD" w:rsidP="004A205F">
            <w:pPr>
              <w:pStyle w:val="TableText"/>
              <w:spacing w:before="40" w:after="40"/>
              <w:jc w:val="right"/>
              <w:rPr>
                <w:szCs w:val="18"/>
              </w:rPr>
            </w:pPr>
            <w:r w:rsidRPr="00BD16B4">
              <w:rPr>
                <w:szCs w:val="18"/>
              </w:rPr>
              <w:t>0.21</w:t>
            </w:r>
          </w:p>
        </w:tc>
        <w:tc>
          <w:tcPr>
            <w:tcW w:w="984" w:type="dxa"/>
            <w:shd w:val="clear" w:color="auto" w:fill="auto"/>
          </w:tcPr>
          <w:p w14:paraId="24AC2975" w14:textId="77777777" w:rsidR="00ED2EBD" w:rsidRPr="00BD16B4" w:rsidRDefault="00ED2EBD" w:rsidP="004A205F">
            <w:pPr>
              <w:pStyle w:val="TableText"/>
              <w:spacing w:before="40" w:after="40"/>
              <w:jc w:val="right"/>
              <w:rPr>
                <w:szCs w:val="18"/>
              </w:rPr>
            </w:pPr>
            <w:r w:rsidRPr="00BD16B4">
              <w:rPr>
                <w:szCs w:val="18"/>
              </w:rPr>
              <w:t>0.24</w:t>
            </w:r>
          </w:p>
        </w:tc>
        <w:tc>
          <w:tcPr>
            <w:tcW w:w="984" w:type="dxa"/>
            <w:shd w:val="clear" w:color="auto" w:fill="auto"/>
          </w:tcPr>
          <w:p w14:paraId="7BBF2925" w14:textId="77777777" w:rsidR="00ED2EBD" w:rsidRPr="00BD16B4" w:rsidRDefault="00ED2EBD" w:rsidP="004A205F">
            <w:pPr>
              <w:pStyle w:val="TableText"/>
              <w:spacing w:before="40" w:after="40"/>
              <w:jc w:val="right"/>
              <w:rPr>
                <w:szCs w:val="18"/>
              </w:rPr>
            </w:pPr>
            <w:r w:rsidRPr="00BD16B4">
              <w:rPr>
                <w:szCs w:val="18"/>
              </w:rPr>
              <w:t>0.26</w:t>
            </w:r>
          </w:p>
        </w:tc>
        <w:tc>
          <w:tcPr>
            <w:tcW w:w="984" w:type="dxa"/>
          </w:tcPr>
          <w:p w14:paraId="6F9A60C2" w14:textId="77777777" w:rsidR="00ED2EBD" w:rsidRPr="00BD16B4" w:rsidRDefault="00ED2EBD" w:rsidP="004A205F">
            <w:pPr>
              <w:pStyle w:val="TableText"/>
              <w:spacing w:before="40" w:after="40"/>
              <w:jc w:val="right"/>
              <w:rPr>
                <w:szCs w:val="18"/>
              </w:rPr>
            </w:pPr>
            <w:r w:rsidRPr="00BD16B4">
              <w:rPr>
                <w:szCs w:val="18"/>
              </w:rPr>
              <w:t>0.26</w:t>
            </w:r>
          </w:p>
        </w:tc>
        <w:tc>
          <w:tcPr>
            <w:tcW w:w="984" w:type="dxa"/>
          </w:tcPr>
          <w:p w14:paraId="107ED71C" w14:textId="77777777" w:rsidR="00ED2EBD" w:rsidRPr="00BD16B4" w:rsidRDefault="00ED2EBD" w:rsidP="004A205F">
            <w:pPr>
              <w:pStyle w:val="TableText"/>
              <w:spacing w:before="40" w:after="40"/>
              <w:jc w:val="right"/>
              <w:rPr>
                <w:szCs w:val="18"/>
              </w:rPr>
            </w:pPr>
            <w:r w:rsidRPr="00BD16B4">
              <w:rPr>
                <w:szCs w:val="18"/>
              </w:rPr>
              <w:t>0.29</w:t>
            </w:r>
          </w:p>
        </w:tc>
        <w:tc>
          <w:tcPr>
            <w:tcW w:w="984" w:type="dxa"/>
            <w:shd w:val="clear" w:color="auto" w:fill="auto"/>
          </w:tcPr>
          <w:p w14:paraId="6D0EFE8C" w14:textId="77777777" w:rsidR="00ED2EBD" w:rsidRPr="00BD16B4" w:rsidRDefault="00ED2EBD" w:rsidP="004A205F">
            <w:pPr>
              <w:pStyle w:val="TableText"/>
              <w:spacing w:before="40" w:after="40"/>
              <w:jc w:val="right"/>
              <w:rPr>
                <w:szCs w:val="18"/>
              </w:rPr>
            </w:pPr>
            <w:r w:rsidRPr="00BD16B4">
              <w:rPr>
                <w:szCs w:val="18"/>
              </w:rPr>
              <w:t>0.27</w:t>
            </w:r>
          </w:p>
        </w:tc>
      </w:tr>
      <w:tr w:rsidR="00ED2EBD" w:rsidRPr="00BD16B4" w14:paraId="338595D5" w14:textId="77777777" w:rsidTr="00AA2930">
        <w:tc>
          <w:tcPr>
            <w:tcW w:w="4248" w:type="dxa"/>
          </w:tcPr>
          <w:p w14:paraId="343D086C" w14:textId="77777777" w:rsidR="00ED2EBD" w:rsidRPr="00BD16B4" w:rsidRDefault="00ED2EBD" w:rsidP="004A205F">
            <w:pPr>
              <w:pStyle w:val="TableText"/>
              <w:spacing w:before="40" w:after="40"/>
              <w:rPr>
                <w:szCs w:val="18"/>
              </w:rPr>
            </w:pPr>
            <w:r w:rsidRPr="00BD16B4">
              <w:rPr>
                <w:szCs w:val="18"/>
              </w:rPr>
              <w:t>HFC-143</w:t>
            </w:r>
          </w:p>
        </w:tc>
        <w:tc>
          <w:tcPr>
            <w:tcW w:w="985" w:type="dxa"/>
            <w:shd w:val="clear" w:color="auto" w:fill="auto"/>
          </w:tcPr>
          <w:p w14:paraId="2478E8FC"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4D8EC58A"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793D2F99"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3B57F313"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3814E85C"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1522DDB4"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759FF26B"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1423DD46"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3EEC7735"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10A60F9D"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DB1A7F7"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7DEB3044" w14:textId="77777777" w:rsidTr="00AA2930">
        <w:tc>
          <w:tcPr>
            <w:tcW w:w="4248" w:type="dxa"/>
          </w:tcPr>
          <w:p w14:paraId="26D1E3D2" w14:textId="77777777" w:rsidR="00ED2EBD" w:rsidRPr="00BD16B4" w:rsidRDefault="00ED2EBD" w:rsidP="004A205F">
            <w:pPr>
              <w:pStyle w:val="TableText"/>
              <w:spacing w:before="40" w:after="40"/>
              <w:rPr>
                <w:szCs w:val="18"/>
              </w:rPr>
            </w:pPr>
            <w:r w:rsidRPr="00BD16B4">
              <w:rPr>
                <w:szCs w:val="18"/>
              </w:rPr>
              <w:t>HFC-143a</w:t>
            </w:r>
          </w:p>
        </w:tc>
        <w:tc>
          <w:tcPr>
            <w:tcW w:w="985" w:type="dxa"/>
            <w:shd w:val="clear" w:color="auto" w:fill="auto"/>
          </w:tcPr>
          <w:p w14:paraId="5D1DC827" w14:textId="77777777" w:rsidR="00ED2EBD" w:rsidRPr="00BD16B4" w:rsidRDefault="00ED2EBD" w:rsidP="004A205F">
            <w:pPr>
              <w:pStyle w:val="TableText"/>
              <w:spacing w:before="40" w:after="40"/>
              <w:jc w:val="right"/>
              <w:rPr>
                <w:szCs w:val="18"/>
              </w:rPr>
            </w:pPr>
            <w:r w:rsidRPr="00BD16B4">
              <w:rPr>
                <w:szCs w:val="18"/>
              </w:rPr>
              <w:t>0.01</w:t>
            </w:r>
          </w:p>
        </w:tc>
        <w:tc>
          <w:tcPr>
            <w:tcW w:w="985" w:type="dxa"/>
            <w:shd w:val="clear" w:color="auto" w:fill="auto"/>
          </w:tcPr>
          <w:p w14:paraId="5A946A57" w14:textId="77777777" w:rsidR="00ED2EBD" w:rsidRPr="00BD16B4" w:rsidRDefault="00ED2EBD" w:rsidP="004A205F">
            <w:pPr>
              <w:pStyle w:val="TableText"/>
              <w:spacing w:before="40" w:after="40"/>
              <w:jc w:val="right"/>
              <w:rPr>
                <w:szCs w:val="18"/>
              </w:rPr>
            </w:pPr>
            <w:r w:rsidRPr="00BD16B4">
              <w:rPr>
                <w:szCs w:val="18"/>
              </w:rPr>
              <w:t>0.01</w:t>
            </w:r>
          </w:p>
        </w:tc>
        <w:tc>
          <w:tcPr>
            <w:tcW w:w="985" w:type="dxa"/>
            <w:shd w:val="clear" w:color="auto" w:fill="auto"/>
          </w:tcPr>
          <w:p w14:paraId="0AC07435" w14:textId="77777777" w:rsidR="00ED2EBD" w:rsidRPr="00BD16B4" w:rsidRDefault="00ED2EBD" w:rsidP="004A205F">
            <w:pPr>
              <w:pStyle w:val="TableText"/>
              <w:spacing w:before="40" w:after="40"/>
              <w:jc w:val="right"/>
              <w:rPr>
                <w:szCs w:val="18"/>
              </w:rPr>
            </w:pPr>
            <w:r w:rsidRPr="00BD16B4">
              <w:rPr>
                <w:szCs w:val="18"/>
              </w:rPr>
              <w:t>0.01</w:t>
            </w:r>
          </w:p>
        </w:tc>
        <w:tc>
          <w:tcPr>
            <w:tcW w:w="984" w:type="dxa"/>
            <w:shd w:val="clear" w:color="auto" w:fill="auto"/>
          </w:tcPr>
          <w:p w14:paraId="1436DE9D" w14:textId="77777777" w:rsidR="00ED2EBD" w:rsidRPr="00BD16B4" w:rsidRDefault="00ED2EBD" w:rsidP="004A205F">
            <w:pPr>
              <w:pStyle w:val="TableText"/>
              <w:spacing w:before="40" w:after="40"/>
              <w:jc w:val="right"/>
              <w:rPr>
                <w:szCs w:val="18"/>
              </w:rPr>
            </w:pPr>
            <w:r w:rsidRPr="00BD16B4">
              <w:rPr>
                <w:szCs w:val="18"/>
              </w:rPr>
              <w:t>0.02</w:t>
            </w:r>
          </w:p>
        </w:tc>
        <w:tc>
          <w:tcPr>
            <w:tcW w:w="984" w:type="dxa"/>
            <w:shd w:val="clear" w:color="auto" w:fill="auto"/>
          </w:tcPr>
          <w:p w14:paraId="1806D9D8" w14:textId="77777777" w:rsidR="00ED2EBD" w:rsidRPr="00BD16B4" w:rsidRDefault="00ED2EBD" w:rsidP="004A205F">
            <w:pPr>
              <w:pStyle w:val="TableText"/>
              <w:spacing w:before="40" w:after="40"/>
              <w:jc w:val="right"/>
              <w:rPr>
                <w:szCs w:val="18"/>
              </w:rPr>
            </w:pPr>
            <w:r w:rsidRPr="00BD16B4">
              <w:rPr>
                <w:szCs w:val="18"/>
              </w:rPr>
              <w:t>0.03</w:t>
            </w:r>
          </w:p>
        </w:tc>
        <w:tc>
          <w:tcPr>
            <w:tcW w:w="984" w:type="dxa"/>
            <w:shd w:val="clear" w:color="auto" w:fill="auto"/>
          </w:tcPr>
          <w:p w14:paraId="59DFFEC5" w14:textId="77777777" w:rsidR="00ED2EBD" w:rsidRPr="00BD16B4" w:rsidRDefault="00ED2EBD" w:rsidP="004A205F">
            <w:pPr>
              <w:pStyle w:val="TableText"/>
              <w:spacing w:before="40" w:after="40"/>
              <w:jc w:val="right"/>
              <w:rPr>
                <w:szCs w:val="18"/>
              </w:rPr>
            </w:pPr>
            <w:r w:rsidRPr="00BD16B4">
              <w:rPr>
                <w:szCs w:val="18"/>
              </w:rPr>
              <w:t>0.03</w:t>
            </w:r>
          </w:p>
        </w:tc>
        <w:tc>
          <w:tcPr>
            <w:tcW w:w="984" w:type="dxa"/>
            <w:shd w:val="clear" w:color="auto" w:fill="auto"/>
          </w:tcPr>
          <w:p w14:paraId="013DBA77" w14:textId="77777777" w:rsidR="00ED2EBD" w:rsidRPr="00BD16B4" w:rsidRDefault="00ED2EBD" w:rsidP="004A205F">
            <w:pPr>
              <w:pStyle w:val="TableText"/>
              <w:spacing w:before="40" w:after="40"/>
              <w:jc w:val="right"/>
              <w:rPr>
                <w:szCs w:val="18"/>
              </w:rPr>
            </w:pPr>
            <w:r w:rsidRPr="00BD16B4">
              <w:rPr>
                <w:szCs w:val="18"/>
              </w:rPr>
              <w:t>0.04</w:t>
            </w:r>
          </w:p>
        </w:tc>
        <w:tc>
          <w:tcPr>
            <w:tcW w:w="984" w:type="dxa"/>
            <w:shd w:val="clear" w:color="auto" w:fill="auto"/>
          </w:tcPr>
          <w:p w14:paraId="3827141D" w14:textId="77777777" w:rsidR="00ED2EBD" w:rsidRPr="00BD16B4" w:rsidRDefault="00ED2EBD" w:rsidP="004A205F">
            <w:pPr>
              <w:pStyle w:val="TableText"/>
              <w:spacing w:before="40" w:after="40"/>
              <w:jc w:val="right"/>
              <w:rPr>
                <w:szCs w:val="18"/>
              </w:rPr>
            </w:pPr>
            <w:r w:rsidRPr="00BD16B4">
              <w:rPr>
                <w:szCs w:val="18"/>
              </w:rPr>
              <w:t>0.05</w:t>
            </w:r>
          </w:p>
        </w:tc>
        <w:tc>
          <w:tcPr>
            <w:tcW w:w="984" w:type="dxa"/>
          </w:tcPr>
          <w:p w14:paraId="4E3B6ECF" w14:textId="77777777" w:rsidR="00ED2EBD" w:rsidRPr="00BD16B4" w:rsidRDefault="00ED2EBD" w:rsidP="004A205F">
            <w:pPr>
              <w:pStyle w:val="TableText"/>
              <w:spacing w:before="40" w:after="40"/>
              <w:jc w:val="right"/>
              <w:rPr>
                <w:szCs w:val="18"/>
              </w:rPr>
            </w:pPr>
            <w:r w:rsidRPr="00BD16B4">
              <w:rPr>
                <w:szCs w:val="18"/>
              </w:rPr>
              <w:t>0.06</w:t>
            </w:r>
          </w:p>
        </w:tc>
        <w:tc>
          <w:tcPr>
            <w:tcW w:w="984" w:type="dxa"/>
          </w:tcPr>
          <w:p w14:paraId="5916CB12" w14:textId="77777777" w:rsidR="00ED2EBD" w:rsidRPr="00BD16B4" w:rsidRDefault="00ED2EBD" w:rsidP="004A205F">
            <w:pPr>
              <w:pStyle w:val="TableText"/>
              <w:spacing w:before="40" w:after="40"/>
              <w:jc w:val="right"/>
              <w:rPr>
                <w:szCs w:val="18"/>
              </w:rPr>
            </w:pPr>
            <w:r w:rsidRPr="00BD16B4">
              <w:rPr>
                <w:szCs w:val="18"/>
              </w:rPr>
              <w:t>0.07</w:t>
            </w:r>
          </w:p>
        </w:tc>
        <w:tc>
          <w:tcPr>
            <w:tcW w:w="984" w:type="dxa"/>
            <w:shd w:val="clear" w:color="auto" w:fill="auto"/>
          </w:tcPr>
          <w:p w14:paraId="5A796381" w14:textId="77777777" w:rsidR="00ED2EBD" w:rsidRPr="00BD16B4" w:rsidRDefault="00ED2EBD" w:rsidP="004A205F">
            <w:pPr>
              <w:pStyle w:val="TableText"/>
              <w:spacing w:before="40" w:after="40"/>
              <w:jc w:val="right"/>
              <w:rPr>
                <w:szCs w:val="18"/>
              </w:rPr>
            </w:pPr>
            <w:r w:rsidRPr="00BD16B4">
              <w:rPr>
                <w:szCs w:val="18"/>
              </w:rPr>
              <w:t>0.08</w:t>
            </w:r>
          </w:p>
        </w:tc>
      </w:tr>
      <w:tr w:rsidR="00ED2EBD" w:rsidRPr="00BD16B4" w14:paraId="467E295D" w14:textId="77777777" w:rsidTr="00AA2930">
        <w:tc>
          <w:tcPr>
            <w:tcW w:w="4248" w:type="dxa"/>
          </w:tcPr>
          <w:p w14:paraId="42A789D4" w14:textId="77777777" w:rsidR="00ED2EBD" w:rsidRPr="00BD16B4" w:rsidRDefault="00ED2EBD" w:rsidP="004A205F">
            <w:pPr>
              <w:pStyle w:val="TableText"/>
              <w:spacing w:before="40" w:after="40"/>
              <w:rPr>
                <w:szCs w:val="18"/>
              </w:rPr>
            </w:pPr>
            <w:r w:rsidRPr="00BD16B4">
              <w:rPr>
                <w:szCs w:val="18"/>
              </w:rPr>
              <w:t>HFC-152</w:t>
            </w:r>
          </w:p>
        </w:tc>
        <w:tc>
          <w:tcPr>
            <w:tcW w:w="985" w:type="dxa"/>
            <w:shd w:val="clear" w:color="auto" w:fill="auto"/>
          </w:tcPr>
          <w:p w14:paraId="305F5DDD"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55A0A493"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0ED68B93"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57B536A8"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5DFEA3F8"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0CE5523D"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5490AC46"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D2DE986"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75648953"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2CF53894"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56885051"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71718D69" w14:textId="77777777" w:rsidTr="00AA2930">
        <w:tc>
          <w:tcPr>
            <w:tcW w:w="4248" w:type="dxa"/>
          </w:tcPr>
          <w:p w14:paraId="7105AAE0" w14:textId="77777777" w:rsidR="00ED2EBD" w:rsidRPr="00BD16B4" w:rsidRDefault="00ED2EBD" w:rsidP="004A205F">
            <w:pPr>
              <w:pStyle w:val="TableText"/>
              <w:spacing w:before="40" w:after="40"/>
              <w:rPr>
                <w:szCs w:val="18"/>
              </w:rPr>
            </w:pPr>
            <w:r w:rsidRPr="00BD16B4">
              <w:rPr>
                <w:szCs w:val="18"/>
              </w:rPr>
              <w:t>HFC-152a</w:t>
            </w:r>
          </w:p>
        </w:tc>
        <w:tc>
          <w:tcPr>
            <w:tcW w:w="985" w:type="dxa"/>
            <w:shd w:val="clear" w:color="auto" w:fill="auto"/>
          </w:tcPr>
          <w:p w14:paraId="01794844" w14:textId="77777777" w:rsidR="00ED2EBD" w:rsidRPr="00BD16B4" w:rsidRDefault="00ED2EBD" w:rsidP="004A205F">
            <w:pPr>
              <w:pStyle w:val="TableText"/>
              <w:spacing w:before="40" w:after="40"/>
              <w:jc w:val="right"/>
              <w:rPr>
                <w:szCs w:val="18"/>
              </w:rPr>
            </w:pPr>
            <w:r w:rsidRPr="00BD16B4">
              <w:rPr>
                <w:szCs w:val="18"/>
              </w:rPr>
              <w:t>0.00</w:t>
            </w:r>
          </w:p>
        </w:tc>
        <w:tc>
          <w:tcPr>
            <w:tcW w:w="985" w:type="dxa"/>
            <w:shd w:val="clear" w:color="auto" w:fill="auto"/>
          </w:tcPr>
          <w:p w14:paraId="24D619F8" w14:textId="77777777" w:rsidR="00ED2EBD" w:rsidRPr="00BD16B4" w:rsidRDefault="00ED2EBD" w:rsidP="004A205F">
            <w:pPr>
              <w:pStyle w:val="TableText"/>
              <w:spacing w:before="40" w:after="40"/>
              <w:jc w:val="right"/>
              <w:rPr>
                <w:szCs w:val="18"/>
              </w:rPr>
            </w:pPr>
            <w:r w:rsidRPr="00BD16B4">
              <w:rPr>
                <w:szCs w:val="18"/>
              </w:rPr>
              <w:t>NO, NA</w:t>
            </w:r>
          </w:p>
        </w:tc>
        <w:tc>
          <w:tcPr>
            <w:tcW w:w="985" w:type="dxa"/>
            <w:shd w:val="clear" w:color="auto" w:fill="auto"/>
          </w:tcPr>
          <w:p w14:paraId="44AEFA97"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07D03A61"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5A5C49FE"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218F7C4D"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18A06673"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5C870066"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422732DB"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74D6C150"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6DC31E62"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174B0CBE" w14:textId="77777777" w:rsidTr="00AA2930">
        <w:tc>
          <w:tcPr>
            <w:tcW w:w="4248" w:type="dxa"/>
          </w:tcPr>
          <w:p w14:paraId="2C4AE012" w14:textId="77777777" w:rsidR="00ED2EBD" w:rsidRPr="00BD16B4" w:rsidRDefault="00ED2EBD" w:rsidP="004A205F">
            <w:pPr>
              <w:pStyle w:val="TableText"/>
              <w:spacing w:before="40" w:after="40"/>
              <w:rPr>
                <w:szCs w:val="18"/>
              </w:rPr>
            </w:pPr>
            <w:r w:rsidRPr="00BD16B4">
              <w:rPr>
                <w:szCs w:val="18"/>
              </w:rPr>
              <w:t>HFC-161</w:t>
            </w:r>
          </w:p>
        </w:tc>
        <w:tc>
          <w:tcPr>
            <w:tcW w:w="985" w:type="dxa"/>
            <w:shd w:val="clear" w:color="auto" w:fill="auto"/>
          </w:tcPr>
          <w:p w14:paraId="4F82CDCF"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681E4BAC"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6D49FEA4"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ABACEC4"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7B9B1256"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071B64FB"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0FDAEDA"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5F29A77A"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5C0ADBB2"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279B167B"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03BA25DC"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6CC3C098" w14:textId="77777777" w:rsidTr="00AA2930">
        <w:tc>
          <w:tcPr>
            <w:tcW w:w="4248" w:type="dxa"/>
          </w:tcPr>
          <w:p w14:paraId="353481C2" w14:textId="77777777" w:rsidR="00ED2EBD" w:rsidRPr="00BD16B4" w:rsidRDefault="00ED2EBD" w:rsidP="004A205F">
            <w:pPr>
              <w:pStyle w:val="TableText"/>
              <w:spacing w:before="40" w:after="40"/>
              <w:rPr>
                <w:szCs w:val="18"/>
              </w:rPr>
            </w:pPr>
            <w:r w:rsidRPr="00BD16B4">
              <w:rPr>
                <w:szCs w:val="18"/>
              </w:rPr>
              <w:t>HFC-227ea</w:t>
            </w:r>
          </w:p>
        </w:tc>
        <w:tc>
          <w:tcPr>
            <w:tcW w:w="985" w:type="dxa"/>
            <w:shd w:val="clear" w:color="auto" w:fill="auto"/>
          </w:tcPr>
          <w:p w14:paraId="3A62B3D0" w14:textId="77777777" w:rsidR="00ED2EBD" w:rsidRPr="00BD16B4" w:rsidRDefault="00ED2EBD" w:rsidP="004A205F">
            <w:pPr>
              <w:pStyle w:val="TableText"/>
              <w:spacing w:before="40" w:after="40"/>
              <w:jc w:val="right"/>
              <w:rPr>
                <w:szCs w:val="18"/>
              </w:rPr>
            </w:pPr>
            <w:r w:rsidRPr="00BD16B4">
              <w:rPr>
                <w:szCs w:val="18"/>
              </w:rPr>
              <w:t>0.00</w:t>
            </w:r>
          </w:p>
        </w:tc>
        <w:tc>
          <w:tcPr>
            <w:tcW w:w="985" w:type="dxa"/>
            <w:shd w:val="clear" w:color="auto" w:fill="auto"/>
          </w:tcPr>
          <w:p w14:paraId="7798FF36" w14:textId="77777777" w:rsidR="00ED2EBD" w:rsidRPr="00BD16B4" w:rsidRDefault="00ED2EBD" w:rsidP="004A205F">
            <w:pPr>
              <w:pStyle w:val="TableText"/>
              <w:spacing w:before="40" w:after="40"/>
              <w:jc w:val="right"/>
              <w:rPr>
                <w:szCs w:val="18"/>
              </w:rPr>
            </w:pPr>
            <w:r w:rsidRPr="00BD16B4">
              <w:rPr>
                <w:szCs w:val="18"/>
              </w:rPr>
              <w:t>0.00</w:t>
            </w:r>
          </w:p>
        </w:tc>
        <w:tc>
          <w:tcPr>
            <w:tcW w:w="985" w:type="dxa"/>
            <w:shd w:val="clear" w:color="auto" w:fill="auto"/>
          </w:tcPr>
          <w:p w14:paraId="4383B3DA"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2E978824"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064E8DAC"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0E9DA2A1"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5074B53B"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285981DC"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0CD79E35"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46DCFD18"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26E65125"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70D91CCB" w14:textId="77777777" w:rsidTr="00AA2930">
        <w:tc>
          <w:tcPr>
            <w:tcW w:w="4248" w:type="dxa"/>
          </w:tcPr>
          <w:p w14:paraId="2CC0845A" w14:textId="77777777" w:rsidR="00ED2EBD" w:rsidRPr="00BD16B4" w:rsidRDefault="00ED2EBD" w:rsidP="004A205F">
            <w:pPr>
              <w:pStyle w:val="TableText"/>
              <w:spacing w:before="40" w:after="40"/>
              <w:rPr>
                <w:szCs w:val="18"/>
              </w:rPr>
            </w:pPr>
            <w:r w:rsidRPr="00BD16B4">
              <w:rPr>
                <w:szCs w:val="18"/>
              </w:rPr>
              <w:t>HFC-236cb</w:t>
            </w:r>
          </w:p>
        </w:tc>
        <w:tc>
          <w:tcPr>
            <w:tcW w:w="985" w:type="dxa"/>
            <w:shd w:val="clear" w:color="auto" w:fill="auto"/>
          </w:tcPr>
          <w:p w14:paraId="70A2315B"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194C66E6"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23143C54"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5A5B33E3"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77E26F57"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4D661AE"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6F6E1A76"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6DFA214B"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2FDC20F9"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2AE9CB7F"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66309536"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1F2F01E6" w14:textId="77777777" w:rsidTr="00AA2930">
        <w:tc>
          <w:tcPr>
            <w:tcW w:w="4248" w:type="dxa"/>
          </w:tcPr>
          <w:p w14:paraId="54329254" w14:textId="77777777" w:rsidR="00ED2EBD" w:rsidRPr="00BD16B4" w:rsidRDefault="00ED2EBD" w:rsidP="004A205F">
            <w:pPr>
              <w:pStyle w:val="TableText"/>
              <w:spacing w:before="40" w:after="40"/>
              <w:rPr>
                <w:szCs w:val="18"/>
              </w:rPr>
            </w:pPr>
            <w:r w:rsidRPr="00BD16B4">
              <w:rPr>
                <w:szCs w:val="18"/>
              </w:rPr>
              <w:t>HFC-236ea</w:t>
            </w:r>
          </w:p>
        </w:tc>
        <w:tc>
          <w:tcPr>
            <w:tcW w:w="985" w:type="dxa"/>
            <w:shd w:val="clear" w:color="auto" w:fill="auto"/>
          </w:tcPr>
          <w:p w14:paraId="332480A6"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1A683BDF"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2BCD8C24"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0786086A"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3BFD7AFD"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06640365"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5E2F81B"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2F55096A"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6C56E6AC"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5CDC330B"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069F0FD5"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3BA51F48" w14:textId="77777777" w:rsidTr="00AA2930">
        <w:tc>
          <w:tcPr>
            <w:tcW w:w="4248" w:type="dxa"/>
          </w:tcPr>
          <w:p w14:paraId="69688BC6" w14:textId="77777777" w:rsidR="00ED2EBD" w:rsidRPr="00BD16B4" w:rsidRDefault="00ED2EBD" w:rsidP="004A205F">
            <w:pPr>
              <w:pStyle w:val="TableText"/>
              <w:spacing w:before="40" w:after="40"/>
              <w:rPr>
                <w:szCs w:val="18"/>
              </w:rPr>
            </w:pPr>
            <w:r w:rsidRPr="00BD16B4">
              <w:rPr>
                <w:szCs w:val="18"/>
              </w:rPr>
              <w:t>HFC-236fa</w:t>
            </w:r>
          </w:p>
        </w:tc>
        <w:tc>
          <w:tcPr>
            <w:tcW w:w="985" w:type="dxa"/>
            <w:shd w:val="clear" w:color="auto" w:fill="auto"/>
          </w:tcPr>
          <w:p w14:paraId="6AC7261C"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750DF1AF"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32FDCDF9"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DD385A0"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6BA1F7F"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6D5712D7"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07ABBCA"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3F830D9F"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21AE736A"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3C8E7D81"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1718917"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17CE53F2" w14:textId="77777777" w:rsidTr="00AA2930">
        <w:tc>
          <w:tcPr>
            <w:tcW w:w="4248" w:type="dxa"/>
          </w:tcPr>
          <w:p w14:paraId="48ADE486" w14:textId="77777777" w:rsidR="00ED2EBD" w:rsidRPr="00BD16B4" w:rsidRDefault="00ED2EBD" w:rsidP="004A205F">
            <w:pPr>
              <w:pStyle w:val="TableText"/>
              <w:spacing w:before="40" w:after="40"/>
              <w:rPr>
                <w:szCs w:val="18"/>
              </w:rPr>
            </w:pPr>
            <w:r w:rsidRPr="00BD16B4">
              <w:rPr>
                <w:szCs w:val="18"/>
              </w:rPr>
              <w:t>HFC-245ca</w:t>
            </w:r>
          </w:p>
        </w:tc>
        <w:tc>
          <w:tcPr>
            <w:tcW w:w="985" w:type="dxa"/>
            <w:shd w:val="clear" w:color="auto" w:fill="auto"/>
          </w:tcPr>
          <w:p w14:paraId="5224BA93"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661687B2"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09609FE5"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5AE2BAB4"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721732B"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694C020C"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23F786DD"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69FD9377"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400F2B80"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21049D3A"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91077BC"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558B7C8E" w14:textId="77777777" w:rsidTr="00AA2930">
        <w:tc>
          <w:tcPr>
            <w:tcW w:w="4248" w:type="dxa"/>
          </w:tcPr>
          <w:p w14:paraId="61772CED" w14:textId="77777777" w:rsidR="00ED2EBD" w:rsidRPr="00BD16B4" w:rsidRDefault="00ED2EBD" w:rsidP="004A205F">
            <w:pPr>
              <w:pStyle w:val="TableText"/>
              <w:spacing w:before="40" w:after="40"/>
              <w:rPr>
                <w:szCs w:val="18"/>
              </w:rPr>
            </w:pPr>
            <w:r w:rsidRPr="00BD16B4">
              <w:rPr>
                <w:szCs w:val="18"/>
              </w:rPr>
              <w:t>HFC-245fa</w:t>
            </w:r>
          </w:p>
        </w:tc>
        <w:tc>
          <w:tcPr>
            <w:tcW w:w="985" w:type="dxa"/>
            <w:shd w:val="clear" w:color="auto" w:fill="auto"/>
          </w:tcPr>
          <w:p w14:paraId="34035AE9" w14:textId="77777777" w:rsidR="00ED2EBD" w:rsidRPr="00BD16B4" w:rsidRDefault="00ED2EBD" w:rsidP="004A205F">
            <w:pPr>
              <w:pStyle w:val="TableText"/>
              <w:spacing w:before="40" w:after="40"/>
              <w:jc w:val="right"/>
              <w:rPr>
                <w:szCs w:val="18"/>
              </w:rPr>
            </w:pPr>
            <w:r w:rsidRPr="00BD16B4">
              <w:rPr>
                <w:szCs w:val="18"/>
              </w:rPr>
              <w:t>NO, NA</w:t>
            </w:r>
          </w:p>
        </w:tc>
        <w:tc>
          <w:tcPr>
            <w:tcW w:w="985" w:type="dxa"/>
            <w:shd w:val="clear" w:color="auto" w:fill="auto"/>
          </w:tcPr>
          <w:p w14:paraId="7FC37C2D" w14:textId="77777777" w:rsidR="00ED2EBD" w:rsidRPr="00BD16B4" w:rsidRDefault="00ED2EBD" w:rsidP="004A205F">
            <w:pPr>
              <w:pStyle w:val="TableText"/>
              <w:spacing w:before="40" w:after="40"/>
              <w:jc w:val="right"/>
              <w:rPr>
                <w:szCs w:val="18"/>
              </w:rPr>
            </w:pPr>
            <w:r w:rsidRPr="00BD16B4">
              <w:rPr>
                <w:szCs w:val="18"/>
              </w:rPr>
              <w:t>NO, NA</w:t>
            </w:r>
          </w:p>
        </w:tc>
        <w:tc>
          <w:tcPr>
            <w:tcW w:w="985" w:type="dxa"/>
            <w:shd w:val="clear" w:color="auto" w:fill="auto"/>
          </w:tcPr>
          <w:p w14:paraId="097FBAE5"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04319014"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7C70FB2C"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1560B1C3"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3990332C"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6C07F4B3"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08436F71"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1E16F1A2"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71409470"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57F8CF08" w14:textId="77777777" w:rsidTr="00AA2930">
        <w:tc>
          <w:tcPr>
            <w:tcW w:w="4248" w:type="dxa"/>
          </w:tcPr>
          <w:p w14:paraId="633634C4" w14:textId="77777777" w:rsidR="00ED2EBD" w:rsidRPr="00BD16B4" w:rsidRDefault="00ED2EBD" w:rsidP="004A205F">
            <w:pPr>
              <w:pStyle w:val="TableText"/>
              <w:spacing w:before="40" w:after="40"/>
              <w:rPr>
                <w:szCs w:val="18"/>
              </w:rPr>
            </w:pPr>
            <w:r w:rsidRPr="00BD16B4">
              <w:rPr>
                <w:szCs w:val="18"/>
              </w:rPr>
              <w:t>HFC-365mfc</w:t>
            </w:r>
          </w:p>
        </w:tc>
        <w:tc>
          <w:tcPr>
            <w:tcW w:w="985" w:type="dxa"/>
            <w:shd w:val="clear" w:color="auto" w:fill="auto"/>
          </w:tcPr>
          <w:p w14:paraId="31933399" w14:textId="77777777" w:rsidR="00ED2EBD" w:rsidRPr="00BD16B4" w:rsidRDefault="00ED2EBD" w:rsidP="004A205F">
            <w:pPr>
              <w:pStyle w:val="TableText"/>
              <w:spacing w:before="40" w:after="40"/>
              <w:jc w:val="right"/>
              <w:rPr>
                <w:szCs w:val="18"/>
              </w:rPr>
            </w:pPr>
            <w:r w:rsidRPr="00BD16B4">
              <w:rPr>
                <w:szCs w:val="18"/>
              </w:rPr>
              <w:t>NO, NA</w:t>
            </w:r>
          </w:p>
        </w:tc>
        <w:tc>
          <w:tcPr>
            <w:tcW w:w="985" w:type="dxa"/>
            <w:shd w:val="clear" w:color="auto" w:fill="auto"/>
          </w:tcPr>
          <w:p w14:paraId="772F39BD" w14:textId="77777777" w:rsidR="00ED2EBD" w:rsidRPr="00BD16B4" w:rsidRDefault="00ED2EBD" w:rsidP="004A205F">
            <w:pPr>
              <w:pStyle w:val="TableText"/>
              <w:spacing w:before="40" w:after="40"/>
              <w:jc w:val="right"/>
              <w:rPr>
                <w:szCs w:val="18"/>
              </w:rPr>
            </w:pPr>
            <w:r w:rsidRPr="00BD16B4">
              <w:rPr>
                <w:szCs w:val="18"/>
              </w:rPr>
              <w:t>NO, NA</w:t>
            </w:r>
          </w:p>
        </w:tc>
        <w:tc>
          <w:tcPr>
            <w:tcW w:w="985" w:type="dxa"/>
            <w:shd w:val="clear" w:color="auto" w:fill="auto"/>
          </w:tcPr>
          <w:p w14:paraId="69C6FA99"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1188B200"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44216B7D"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51256ACF"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237F5D38"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6827F4E6"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5FEB074D"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5683F674"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1F92A60C"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3196CE27" w14:textId="77777777" w:rsidTr="00AA2930">
        <w:tc>
          <w:tcPr>
            <w:tcW w:w="4248" w:type="dxa"/>
          </w:tcPr>
          <w:p w14:paraId="7F2B5A57" w14:textId="77777777" w:rsidR="00ED2EBD" w:rsidRPr="00BD16B4" w:rsidRDefault="00ED2EBD" w:rsidP="004A205F">
            <w:pPr>
              <w:pStyle w:val="TableText"/>
              <w:spacing w:before="40" w:after="40"/>
              <w:rPr>
                <w:szCs w:val="18"/>
              </w:rPr>
            </w:pPr>
            <w:r w:rsidRPr="00BD16B4">
              <w:rPr>
                <w:szCs w:val="18"/>
              </w:rPr>
              <w:t>Unspecified mix of HFCs (kt CO</w:t>
            </w:r>
            <w:r w:rsidRPr="00BD16B4">
              <w:rPr>
                <w:szCs w:val="18"/>
                <w:vertAlign w:val="subscript"/>
              </w:rPr>
              <w:t>2</w:t>
            </w:r>
            <w:r w:rsidRPr="00BD16B4">
              <w:rPr>
                <w:szCs w:val="18"/>
              </w:rPr>
              <w:t>-equivalent)</w:t>
            </w:r>
          </w:p>
        </w:tc>
        <w:tc>
          <w:tcPr>
            <w:tcW w:w="985" w:type="dxa"/>
            <w:shd w:val="clear" w:color="auto" w:fill="auto"/>
          </w:tcPr>
          <w:p w14:paraId="3D35C626"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52FF7419"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2D15CA2F"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37FA4484"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172354D2"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179C019"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76CB67AE"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74556DED"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0C6716B6"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69DEF019"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28ADE0D3"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463AA7F2" w14:textId="77777777" w:rsidTr="00AA2930">
        <w:tc>
          <w:tcPr>
            <w:tcW w:w="4248" w:type="dxa"/>
          </w:tcPr>
          <w:p w14:paraId="016F7D4C" w14:textId="77777777" w:rsidR="00ED2EBD" w:rsidRPr="00BD16B4" w:rsidRDefault="00ED2EBD" w:rsidP="004A205F">
            <w:pPr>
              <w:pStyle w:val="TableText"/>
              <w:spacing w:before="40" w:after="40"/>
              <w:rPr>
                <w:szCs w:val="18"/>
              </w:rPr>
            </w:pPr>
            <w:r w:rsidRPr="00BD16B4">
              <w:rPr>
                <w:b/>
                <w:bCs/>
                <w:szCs w:val="18"/>
              </w:rPr>
              <w:lastRenderedPageBreak/>
              <w:t>Emissions of PFCs (kt CO</w:t>
            </w:r>
            <w:r w:rsidRPr="00BD16B4">
              <w:rPr>
                <w:b/>
                <w:bCs/>
                <w:szCs w:val="18"/>
                <w:vertAlign w:val="subscript"/>
              </w:rPr>
              <w:t>2</w:t>
            </w:r>
            <w:r w:rsidRPr="00BD16B4">
              <w:rPr>
                <w:b/>
                <w:bCs/>
                <w:szCs w:val="18"/>
              </w:rPr>
              <w:t>-equivalent)</w:t>
            </w:r>
          </w:p>
        </w:tc>
        <w:tc>
          <w:tcPr>
            <w:tcW w:w="985" w:type="dxa"/>
            <w:shd w:val="clear" w:color="auto" w:fill="auto"/>
          </w:tcPr>
          <w:p w14:paraId="2D2678E5" w14:textId="77777777" w:rsidR="00ED2EBD" w:rsidRPr="00BD16B4" w:rsidRDefault="00ED2EBD" w:rsidP="004A205F">
            <w:pPr>
              <w:pStyle w:val="TableText"/>
              <w:spacing w:before="40" w:after="40"/>
              <w:jc w:val="right"/>
              <w:rPr>
                <w:szCs w:val="18"/>
              </w:rPr>
            </w:pPr>
            <w:r w:rsidRPr="00BD16B4">
              <w:rPr>
                <w:szCs w:val="18"/>
              </w:rPr>
              <w:t>68.67</w:t>
            </w:r>
          </w:p>
        </w:tc>
        <w:tc>
          <w:tcPr>
            <w:tcW w:w="985" w:type="dxa"/>
            <w:shd w:val="clear" w:color="auto" w:fill="auto"/>
          </w:tcPr>
          <w:p w14:paraId="37F8AA15" w14:textId="77777777" w:rsidR="00ED2EBD" w:rsidRPr="00BD16B4" w:rsidRDefault="00ED2EBD" w:rsidP="004A205F">
            <w:pPr>
              <w:pStyle w:val="TableText"/>
              <w:spacing w:before="40" w:after="40"/>
              <w:jc w:val="right"/>
              <w:rPr>
                <w:szCs w:val="18"/>
              </w:rPr>
            </w:pPr>
            <w:r w:rsidRPr="00BD16B4">
              <w:rPr>
                <w:szCs w:val="18"/>
              </w:rPr>
              <w:t>67.61</w:t>
            </w:r>
          </w:p>
        </w:tc>
        <w:tc>
          <w:tcPr>
            <w:tcW w:w="985" w:type="dxa"/>
            <w:shd w:val="clear" w:color="auto" w:fill="auto"/>
          </w:tcPr>
          <w:p w14:paraId="59A1B225" w14:textId="77777777" w:rsidR="00ED2EBD" w:rsidRPr="00BD16B4" w:rsidRDefault="00ED2EBD" w:rsidP="004A205F">
            <w:pPr>
              <w:pStyle w:val="TableText"/>
              <w:spacing w:before="40" w:after="40"/>
              <w:jc w:val="right"/>
              <w:rPr>
                <w:szCs w:val="18"/>
              </w:rPr>
            </w:pPr>
            <w:r w:rsidRPr="00BD16B4">
              <w:rPr>
                <w:szCs w:val="18"/>
              </w:rPr>
              <w:t>70.61</w:t>
            </w:r>
          </w:p>
        </w:tc>
        <w:tc>
          <w:tcPr>
            <w:tcW w:w="984" w:type="dxa"/>
            <w:shd w:val="clear" w:color="auto" w:fill="auto"/>
          </w:tcPr>
          <w:p w14:paraId="2B3C14C0" w14:textId="77777777" w:rsidR="00ED2EBD" w:rsidRPr="00BD16B4" w:rsidRDefault="00ED2EBD" w:rsidP="004A205F">
            <w:pPr>
              <w:pStyle w:val="TableText"/>
              <w:spacing w:before="40" w:after="40"/>
              <w:jc w:val="right"/>
              <w:rPr>
                <w:szCs w:val="18"/>
              </w:rPr>
            </w:pPr>
            <w:r w:rsidRPr="00BD16B4">
              <w:rPr>
                <w:szCs w:val="18"/>
              </w:rPr>
              <w:t>84.48</w:t>
            </w:r>
          </w:p>
        </w:tc>
        <w:tc>
          <w:tcPr>
            <w:tcW w:w="984" w:type="dxa"/>
            <w:shd w:val="clear" w:color="auto" w:fill="auto"/>
          </w:tcPr>
          <w:p w14:paraId="3AF4E563" w14:textId="77777777" w:rsidR="00ED2EBD" w:rsidRPr="00BD16B4" w:rsidRDefault="00ED2EBD" w:rsidP="004A205F">
            <w:pPr>
              <w:pStyle w:val="TableText"/>
              <w:spacing w:before="40" w:after="40"/>
              <w:jc w:val="right"/>
              <w:rPr>
                <w:szCs w:val="18"/>
              </w:rPr>
            </w:pPr>
            <w:r w:rsidRPr="00BD16B4">
              <w:rPr>
                <w:szCs w:val="18"/>
              </w:rPr>
              <w:t>126.81</w:t>
            </w:r>
          </w:p>
        </w:tc>
        <w:tc>
          <w:tcPr>
            <w:tcW w:w="984" w:type="dxa"/>
            <w:shd w:val="clear" w:color="auto" w:fill="auto"/>
          </w:tcPr>
          <w:p w14:paraId="6010E66C" w14:textId="77777777" w:rsidR="00ED2EBD" w:rsidRPr="00BD16B4" w:rsidRDefault="00ED2EBD" w:rsidP="004A205F">
            <w:pPr>
              <w:pStyle w:val="TableText"/>
              <w:spacing w:before="40" w:after="40"/>
              <w:jc w:val="right"/>
              <w:rPr>
                <w:szCs w:val="18"/>
              </w:rPr>
            </w:pPr>
            <w:r w:rsidRPr="00BD16B4">
              <w:rPr>
                <w:szCs w:val="18"/>
              </w:rPr>
              <w:t>99.12</w:t>
            </w:r>
          </w:p>
        </w:tc>
        <w:tc>
          <w:tcPr>
            <w:tcW w:w="984" w:type="dxa"/>
            <w:shd w:val="clear" w:color="auto" w:fill="auto"/>
          </w:tcPr>
          <w:p w14:paraId="0364A6D0" w14:textId="77777777" w:rsidR="00ED2EBD" w:rsidRPr="00BD16B4" w:rsidRDefault="00ED2EBD" w:rsidP="004A205F">
            <w:pPr>
              <w:pStyle w:val="TableText"/>
              <w:spacing w:before="40" w:after="40"/>
              <w:jc w:val="right"/>
              <w:rPr>
                <w:szCs w:val="18"/>
              </w:rPr>
            </w:pPr>
            <w:r w:rsidRPr="00BD16B4">
              <w:rPr>
                <w:szCs w:val="18"/>
              </w:rPr>
              <w:t>69.38</w:t>
            </w:r>
          </w:p>
        </w:tc>
        <w:tc>
          <w:tcPr>
            <w:tcW w:w="984" w:type="dxa"/>
            <w:shd w:val="clear" w:color="auto" w:fill="auto"/>
          </w:tcPr>
          <w:p w14:paraId="47602A6A" w14:textId="77777777" w:rsidR="00ED2EBD" w:rsidRPr="00BD16B4" w:rsidRDefault="00ED2EBD" w:rsidP="004A205F">
            <w:pPr>
              <w:pStyle w:val="TableText"/>
              <w:spacing w:before="40" w:after="40"/>
              <w:jc w:val="right"/>
              <w:rPr>
                <w:szCs w:val="18"/>
              </w:rPr>
            </w:pPr>
            <w:r w:rsidRPr="00BD16B4">
              <w:rPr>
                <w:szCs w:val="18"/>
              </w:rPr>
              <w:t>106.73</w:t>
            </w:r>
          </w:p>
        </w:tc>
        <w:tc>
          <w:tcPr>
            <w:tcW w:w="984" w:type="dxa"/>
          </w:tcPr>
          <w:p w14:paraId="4F480ED5" w14:textId="77777777" w:rsidR="00ED2EBD" w:rsidRPr="00BD16B4" w:rsidRDefault="00ED2EBD" w:rsidP="004A205F">
            <w:pPr>
              <w:pStyle w:val="TableText"/>
              <w:spacing w:before="40" w:after="40"/>
              <w:jc w:val="right"/>
              <w:rPr>
                <w:szCs w:val="18"/>
              </w:rPr>
            </w:pPr>
            <w:r w:rsidRPr="00BD16B4">
              <w:rPr>
                <w:szCs w:val="18"/>
              </w:rPr>
              <w:t>48.41</w:t>
            </w:r>
          </w:p>
        </w:tc>
        <w:tc>
          <w:tcPr>
            <w:tcW w:w="984" w:type="dxa"/>
          </w:tcPr>
          <w:p w14:paraId="1A6DD18E" w14:textId="77777777" w:rsidR="00ED2EBD" w:rsidRPr="00BD16B4" w:rsidRDefault="00ED2EBD" w:rsidP="004A205F">
            <w:pPr>
              <w:pStyle w:val="TableText"/>
              <w:spacing w:before="40" w:after="40"/>
              <w:jc w:val="right"/>
              <w:rPr>
                <w:szCs w:val="18"/>
              </w:rPr>
            </w:pPr>
            <w:r w:rsidRPr="00BD16B4">
              <w:rPr>
                <w:szCs w:val="18"/>
              </w:rPr>
              <w:t>45.47</w:t>
            </w:r>
          </w:p>
        </w:tc>
        <w:tc>
          <w:tcPr>
            <w:tcW w:w="984" w:type="dxa"/>
            <w:shd w:val="clear" w:color="auto" w:fill="auto"/>
          </w:tcPr>
          <w:p w14:paraId="020CF5B4" w14:textId="77777777" w:rsidR="00ED2EBD" w:rsidRPr="00BD16B4" w:rsidRDefault="00ED2EBD" w:rsidP="004A205F">
            <w:pPr>
              <w:pStyle w:val="TableText"/>
              <w:spacing w:before="40" w:after="40"/>
              <w:jc w:val="right"/>
              <w:rPr>
                <w:szCs w:val="18"/>
              </w:rPr>
            </w:pPr>
            <w:r w:rsidRPr="00BD16B4">
              <w:rPr>
                <w:szCs w:val="18"/>
              </w:rPr>
              <w:t>53.86</w:t>
            </w:r>
          </w:p>
        </w:tc>
      </w:tr>
      <w:tr w:rsidR="00ED2EBD" w:rsidRPr="00BD16B4" w14:paraId="2ADBC066" w14:textId="77777777" w:rsidTr="00AA2930">
        <w:tc>
          <w:tcPr>
            <w:tcW w:w="4248" w:type="dxa"/>
          </w:tcPr>
          <w:p w14:paraId="5349D98A" w14:textId="77777777" w:rsidR="00ED2EBD" w:rsidRPr="00BD16B4" w:rsidRDefault="00ED2EBD" w:rsidP="004A205F">
            <w:pPr>
              <w:pStyle w:val="TableText"/>
              <w:spacing w:before="40" w:after="40"/>
              <w:rPr>
                <w:szCs w:val="18"/>
              </w:rPr>
            </w:pPr>
            <w:r w:rsidRPr="00BD16B4">
              <w:rPr>
                <w:szCs w:val="18"/>
              </w:rPr>
              <w:t>CF</w:t>
            </w:r>
            <w:r w:rsidRPr="00BD16B4">
              <w:rPr>
                <w:color w:val="000000"/>
                <w:szCs w:val="18"/>
                <w:vertAlign w:val="subscript"/>
              </w:rPr>
              <w:t>4</w:t>
            </w:r>
          </w:p>
        </w:tc>
        <w:tc>
          <w:tcPr>
            <w:tcW w:w="985" w:type="dxa"/>
            <w:shd w:val="clear" w:color="auto" w:fill="auto"/>
          </w:tcPr>
          <w:p w14:paraId="532B5FD1" w14:textId="77777777" w:rsidR="00ED2EBD" w:rsidRPr="00BD16B4" w:rsidRDefault="00ED2EBD" w:rsidP="004A205F">
            <w:pPr>
              <w:pStyle w:val="TableText"/>
              <w:spacing w:before="40" w:after="40"/>
              <w:jc w:val="right"/>
              <w:rPr>
                <w:szCs w:val="18"/>
              </w:rPr>
            </w:pPr>
            <w:r w:rsidRPr="00BD16B4">
              <w:rPr>
                <w:szCs w:val="18"/>
              </w:rPr>
              <w:t>0.01</w:t>
            </w:r>
          </w:p>
        </w:tc>
        <w:tc>
          <w:tcPr>
            <w:tcW w:w="985" w:type="dxa"/>
            <w:shd w:val="clear" w:color="auto" w:fill="auto"/>
          </w:tcPr>
          <w:p w14:paraId="4207C937" w14:textId="77777777" w:rsidR="00ED2EBD" w:rsidRPr="00BD16B4" w:rsidRDefault="00ED2EBD" w:rsidP="004A205F">
            <w:pPr>
              <w:pStyle w:val="TableText"/>
              <w:spacing w:before="40" w:after="40"/>
              <w:jc w:val="right"/>
              <w:rPr>
                <w:szCs w:val="18"/>
              </w:rPr>
            </w:pPr>
            <w:r w:rsidRPr="00BD16B4">
              <w:rPr>
                <w:szCs w:val="18"/>
              </w:rPr>
              <w:t>0.01</w:t>
            </w:r>
          </w:p>
        </w:tc>
        <w:tc>
          <w:tcPr>
            <w:tcW w:w="985" w:type="dxa"/>
            <w:shd w:val="clear" w:color="auto" w:fill="auto"/>
          </w:tcPr>
          <w:p w14:paraId="3FBF1939" w14:textId="77777777" w:rsidR="00ED2EBD" w:rsidRPr="00BD16B4" w:rsidRDefault="00ED2EBD" w:rsidP="004A205F">
            <w:pPr>
              <w:pStyle w:val="TableText"/>
              <w:spacing w:before="40" w:after="40"/>
              <w:jc w:val="right"/>
              <w:rPr>
                <w:szCs w:val="18"/>
              </w:rPr>
            </w:pPr>
            <w:r w:rsidRPr="00BD16B4">
              <w:rPr>
                <w:szCs w:val="18"/>
              </w:rPr>
              <w:t>0.01</w:t>
            </w:r>
          </w:p>
        </w:tc>
        <w:tc>
          <w:tcPr>
            <w:tcW w:w="984" w:type="dxa"/>
            <w:shd w:val="clear" w:color="auto" w:fill="auto"/>
          </w:tcPr>
          <w:p w14:paraId="21377C2C" w14:textId="77777777" w:rsidR="00ED2EBD" w:rsidRPr="00BD16B4" w:rsidRDefault="00ED2EBD" w:rsidP="004A205F">
            <w:pPr>
              <w:pStyle w:val="TableText"/>
              <w:spacing w:before="40" w:after="40"/>
              <w:jc w:val="right"/>
              <w:rPr>
                <w:szCs w:val="18"/>
              </w:rPr>
            </w:pPr>
            <w:r w:rsidRPr="00BD16B4">
              <w:rPr>
                <w:szCs w:val="18"/>
              </w:rPr>
              <w:t>0.01</w:t>
            </w:r>
          </w:p>
        </w:tc>
        <w:tc>
          <w:tcPr>
            <w:tcW w:w="984" w:type="dxa"/>
            <w:shd w:val="clear" w:color="auto" w:fill="auto"/>
          </w:tcPr>
          <w:p w14:paraId="68A35D01" w14:textId="77777777" w:rsidR="00ED2EBD" w:rsidRPr="00BD16B4" w:rsidRDefault="00ED2EBD" w:rsidP="004A205F">
            <w:pPr>
              <w:pStyle w:val="TableText"/>
              <w:spacing w:before="40" w:after="40"/>
              <w:jc w:val="right"/>
              <w:rPr>
                <w:szCs w:val="18"/>
              </w:rPr>
            </w:pPr>
            <w:r w:rsidRPr="00BD16B4">
              <w:rPr>
                <w:szCs w:val="18"/>
              </w:rPr>
              <w:t>0.01</w:t>
            </w:r>
          </w:p>
        </w:tc>
        <w:tc>
          <w:tcPr>
            <w:tcW w:w="984" w:type="dxa"/>
            <w:shd w:val="clear" w:color="auto" w:fill="auto"/>
          </w:tcPr>
          <w:p w14:paraId="5E33D1F8" w14:textId="77777777" w:rsidR="00ED2EBD" w:rsidRPr="00BD16B4" w:rsidRDefault="00ED2EBD" w:rsidP="004A205F">
            <w:pPr>
              <w:pStyle w:val="TableText"/>
              <w:spacing w:before="40" w:after="40"/>
              <w:jc w:val="right"/>
              <w:rPr>
                <w:szCs w:val="18"/>
              </w:rPr>
            </w:pPr>
            <w:r w:rsidRPr="00BD16B4">
              <w:rPr>
                <w:szCs w:val="18"/>
              </w:rPr>
              <w:t>0.01</w:t>
            </w:r>
          </w:p>
        </w:tc>
        <w:tc>
          <w:tcPr>
            <w:tcW w:w="984" w:type="dxa"/>
            <w:shd w:val="clear" w:color="auto" w:fill="auto"/>
          </w:tcPr>
          <w:p w14:paraId="050AF26F" w14:textId="77777777" w:rsidR="00ED2EBD" w:rsidRPr="00BD16B4" w:rsidRDefault="00ED2EBD" w:rsidP="004A205F">
            <w:pPr>
              <w:pStyle w:val="TableText"/>
              <w:spacing w:before="40" w:after="40"/>
              <w:jc w:val="right"/>
              <w:rPr>
                <w:szCs w:val="18"/>
              </w:rPr>
            </w:pPr>
            <w:r w:rsidRPr="00BD16B4">
              <w:rPr>
                <w:szCs w:val="18"/>
              </w:rPr>
              <w:t>0.01</w:t>
            </w:r>
          </w:p>
        </w:tc>
        <w:tc>
          <w:tcPr>
            <w:tcW w:w="984" w:type="dxa"/>
            <w:shd w:val="clear" w:color="auto" w:fill="auto"/>
          </w:tcPr>
          <w:p w14:paraId="10034FEA" w14:textId="77777777" w:rsidR="00ED2EBD" w:rsidRPr="00BD16B4" w:rsidRDefault="00ED2EBD" w:rsidP="004A205F">
            <w:pPr>
              <w:pStyle w:val="TableText"/>
              <w:spacing w:before="40" w:after="40"/>
              <w:jc w:val="right"/>
              <w:rPr>
                <w:szCs w:val="18"/>
              </w:rPr>
            </w:pPr>
            <w:r w:rsidRPr="00BD16B4">
              <w:rPr>
                <w:szCs w:val="18"/>
              </w:rPr>
              <w:t>0.01</w:t>
            </w:r>
          </w:p>
        </w:tc>
        <w:tc>
          <w:tcPr>
            <w:tcW w:w="984" w:type="dxa"/>
          </w:tcPr>
          <w:p w14:paraId="6A1D7156" w14:textId="77777777" w:rsidR="00ED2EBD" w:rsidRPr="00BD16B4" w:rsidRDefault="00ED2EBD" w:rsidP="004A205F">
            <w:pPr>
              <w:pStyle w:val="TableText"/>
              <w:spacing w:before="40" w:after="40"/>
              <w:jc w:val="right"/>
              <w:rPr>
                <w:szCs w:val="18"/>
              </w:rPr>
            </w:pPr>
            <w:r w:rsidRPr="00BD16B4">
              <w:rPr>
                <w:szCs w:val="18"/>
              </w:rPr>
              <w:t>0.01</w:t>
            </w:r>
          </w:p>
        </w:tc>
        <w:tc>
          <w:tcPr>
            <w:tcW w:w="984" w:type="dxa"/>
          </w:tcPr>
          <w:p w14:paraId="0691EC54"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2723FE33" w14:textId="77777777" w:rsidR="00ED2EBD" w:rsidRPr="00BD16B4" w:rsidRDefault="00ED2EBD" w:rsidP="004A205F">
            <w:pPr>
              <w:pStyle w:val="TableText"/>
              <w:spacing w:before="40" w:after="40"/>
              <w:jc w:val="right"/>
              <w:rPr>
                <w:szCs w:val="18"/>
              </w:rPr>
            </w:pPr>
            <w:r w:rsidRPr="00BD16B4">
              <w:rPr>
                <w:szCs w:val="18"/>
              </w:rPr>
              <w:t>0.01</w:t>
            </w:r>
          </w:p>
        </w:tc>
      </w:tr>
      <w:tr w:rsidR="00ED2EBD" w:rsidRPr="00BD16B4" w14:paraId="2545D1F3" w14:textId="77777777" w:rsidTr="00AA2930">
        <w:tc>
          <w:tcPr>
            <w:tcW w:w="4248" w:type="dxa"/>
          </w:tcPr>
          <w:p w14:paraId="4B70C2AD" w14:textId="77777777" w:rsidR="00ED2EBD" w:rsidRPr="00BD16B4" w:rsidRDefault="00ED2EBD" w:rsidP="004A205F">
            <w:pPr>
              <w:pStyle w:val="TableText"/>
              <w:spacing w:before="40" w:after="40"/>
              <w:rPr>
                <w:szCs w:val="18"/>
              </w:rPr>
            </w:pPr>
            <w:r w:rsidRPr="00BD16B4">
              <w:rPr>
                <w:szCs w:val="18"/>
              </w:rPr>
              <w:t>C</w:t>
            </w:r>
            <w:r w:rsidRPr="00BD16B4">
              <w:rPr>
                <w:color w:val="000000"/>
                <w:szCs w:val="18"/>
                <w:vertAlign w:val="subscript"/>
              </w:rPr>
              <w:t>2</w:t>
            </w:r>
            <w:r w:rsidRPr="00BD16B4">
              <w:rPr>
                <w:color w:val="000000"/>
                <w:szCs w:val="18"/>
              </w:rPr>
              <w:t>F</w:t>
            </w:r>
            <w:r w:rsidRPr="00BD16B4">
              <w:rPr>
                <w:color w:val="000000"/>
                <w:szCs w:val="18"/>
                <w:vertAlign w:val="subscript"/>
              </w:rPr>
              <w:t>6</w:t>
            </w:r>
          </w:p>
        </w:tc>
        <w:tc>
          <w:tcPr>
            <w:tcW w:w="985" w:type="dxa"/>
            <w:shd w:val="clear" w:color="auto" w:fill="auto"/>
          </w:tcPr>
          <w:p w14:paraId="3FE93479" w14:textId="77777777" w:rsidR="00ED2EBD" w:rsidRPr="00BD16B4" w:rsidRDefault="00ED2EBD" w:rsidP="004A205F">
            <w:pPr>
              <w:pStyle w:val="TableText"/>
              <w:spacing w:before="40" w:after="40"/>
              <w:jc w:val="right"/>
              <w:rPr>
                <w:szCs w:val="18"/>
              </w:rPr>
            </w:pPr>
            <w:r w:rsidRPr="00BD16B4">
              <w:rPr>
                <w:szCs w:val="18"/>
              </w:rPr>
              <w:t>0.00</w:t>
            </w:r>
          </w:p>
        </w:tc>
        <w:tc>
          <w:tcPr>
            <w:tcW w:w="985" w:type="dxa"/>
            <w:shd w:val="clear" w:color="auto" w:fill="auto"/>
          </w:tcPr>
          <w:p w14:paraId="708EE6B0" w14:textId="77777777" w:rsidR="00ED2EBD" w:rsidRPr="00BD16B4" w:rsidRDefault="00ED2EBD" w:rsidP="004A205F">
            <w:pPr>
              <w:pStyle w:val="TableText"/>
              <w:spacing w:before="40" w:after="40"/>
              <w:jc w:val="right"/>
              <w:rPr>
                <w:szCs w:val="18"/>
              </w:rPr>
            </w:pPr>
            <w:r w:rsidRPr="00BD16B4">
              <w:rPr>
                <w:szCs w:val="18"/>
              </w:rPr>
              <w:t>0.00</w:t>
            </w:r>
          </w:p>
        </w:tc>
        <w:tc>
          <w:tcPr>
            <w:tcW w:w="985" w:type="dxa"/>
            <w:shd w:val="clear" w:color="auto" w:fill="auto"/>
          </w:tcPr>
          <w:p w14:paraId="3534DAE2"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47BDEE23"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5C658CFB"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3EDE51F9"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71FBA0A9"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5D4F601D"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492727F4"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7E34994C"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42E9FAC3"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217489E7" w14:textId="77777777" w:rsidTr="00AA2930">
        <w:tc>
          <w:tcPr>
            <w:tcW w:w="4248" w:type="dxa"/>
          </w:tcPr>
          <w:p w14:paraId="02941938" w14:textId="77777777" w:rsidR="00ED2EBD" w:rsidRPr="00BD16B4" w:rsidRDefault="00ED2EBD" w:rsidP="004A205F">
            <w:pPr>
              <w:pStyle w:val="TableText"/>
              <w:spacing w:before="40" w:after="40"/>
              <w:rPr>
                <w:szCs w:val="18"/>
              </w:rPr>
            </w:pPr>
            <w:r w:rsidRPr="00BD16B4">
              <w:rPr>
                <w:szCs w:val="18"/>
              </w:rPr>
              <w:t>C</w:t>
            </w:r>
            <w:r w:rsidRPr="00BD16B4">
              <w:rPr>
                <w:color w:val="000000"/>
                <w:szCs w:val="18"/>
                <w:vertAlign w:val="subscript"/>
              </w:rPr>
              <w:t>3</w:t>
            </w:r>
            <w:r w:rsidRPr="00BD16B4">
              <w:rPr>
                <w:color w:val="000000"/>
                <w:szCs w:val="18"/>
              </w:rPr>
              <w:t>F</w:t>
            </w:r>
            <w:r w:rsidRPr="00BD16B4">
              <w:rPr>
                <w:color w:val="000000"/>
                <w:szCs w:val="18"/>
                <w:vertAlign w:val="subscript"/>
              </w:rPr>
              <w:t>8</w:t>
            </w:r>
          </w:p>
        </w:tc>
        <w:tc>
          <w:tcPr>
            <w:tcW w:w="985" w:type="dxa"/>
            <w:shd w:val="clear" w:color="auto" w:fill="auto"/>
          </w:tcPr>
          <w:p w14:paraId="069826D4" w14:textId="77777777" w:rsidR="00ED2EBD" w:rsidRPr="00BD16B4" w:rsidRDefault="00ED2EBD" w:rsidP="004A205F">
            <w:pPr>
              <w:pStyle w:val="TableText"/>
              <w:spacing w:before="40" w:after="40"/>
              <w:jc w:val="right"/>
              <w:rPr>
                <w:szCs w:val="18"/>
              </w:rPr>
            </w:pPr>
            <w:r w:rsidRPr="00BD16B4">
              <w:rPr>
                <w:szCs w:val="18"/>
              </w:rPr>
              <w:t>NO, NA</w:t>
            </w:r>
          </w:p>
        </w:tc>
        <w:tc>
          <w:tcPr>
            <w:tcW w:w="985" w:type="dxa"/>
            <w:shd w:val="clear" w:color="auto" w:fill="auto"/>
          </w:tcPr>
          <w:p w14:paraId="16165050" w14:textId="77777777" w:rsidR="00ED2EBD" w:rsidRPr="00BD16B4" w:rsidRDefault="00ED2EBD" w:rsidP="004A205F">
            <w:pPr>
              <w:pStyle w:val="TableText"/>
              <w:spacing w:before="40" w:after="40"/>
              <w:jc w:val="right"/>
              <w:rPr>
                <w:szCs w:val="18"/>
              </w:rPr>
            </w:pPr>
            <w:r w:rsidRPr="00BD16B4">
              <w:rPr>
                <w:szCs w:val="18"/>
              </w:rPr>
              <w:t>NO, NA</w:t>
            </w:r>
          </w:p>
        </w:tc>
        <w:tc>
          <w:tcPr>
            <w:tcW w:w="985" w:type="dxa"/>
            <w:shd w:val="clear" w:color="auto" w:fill="auto"/>
          </w:tcPr>
          <w:p w14:paraId="7113C77F"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1ED937CE"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0E3EA1D8"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13D3A44D"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3952E6BB" w14:textId="77777777" w:rsidR="00ED2EBD" w:rsidRPr="00BD16B4" w:rsidRDefault="00ED2EBD" w:rsidP="004A205F">
            <w:pPr>
              <w:pStyle w:val="TableText"/>
              <w:spacing w:before="40" w:after="40"/>
              <w:jc w:val="right"/>
              <w:rPr>
                <w:szCs w:val="18"/>
              </w:rPr>
            </w:pPr>
            <w:r w:rsidRPr="00BD16B4">
              <w:rPr>
                <w:szCs w:val="18"/>
              </w:rPr>
              <w:t>NO, NA</w:t>
            </w:r>
          </w:p>
        </w:tc>
        <w:tc>
          <w:tcPr>
            <w:tcW w:w="984" w:type="dxa"/>
            <w:shd w:val="clear" w:color="auto" w:fill="auto"/>
          </w:tcPr>
          <w:p w14:paraId="3C6A55B9"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5667601D"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56DF246E" w14:textId="77777777" w:rsidR="00ED2EBD" w:rsidRPr="00BD16B4" w:rsidRDefault="00ED2EBD" w:rsidP="004A205F">
            <w:pPr>
              <w:pStyle w:val="TableText"/>
              <w:spacing w:before="40" w:after="40"/>
              <w:jc w:val="right"/>
              <w:rPr>
                <w:szCs w:val="18"/>
              </w:rPr>
            </w:pPr>
            <w:r w:rsidRPr="00BD16B4">
              <w:rPr>
                <w:szCs w:val="18"/>
              </w:rPr>
              <w:t>0.00</w:t>
            </w:r>
          </w:p>
        </w:tc>
        <w:tc>
          <w:tcPr>
            <w:tcW w:w="984" w:type="dxa"/>
            <w:shd w:val="clear" w:color="auto" w:fill="auto"/>
          </w:tcPr>
          <w:p w14:paraId="49857F61"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5AF1C8A2" w14:textId="77777777" w:rsidTr="00AA2930">
        <w:tc>
          <w:tcPr>
            <w:tcW w:w="4248" w:type="dxa"/>
          </w:tcPr>
          <w:p w14:paraId="0EDB1858" w14:textId="77777777" w:rsidR="00ED2EBD" w:rsidRPr="00BD16B4" w:rsidRDefault="00ED2EBD" w:rsidP="004A205F">
            <w:pPr>
              <w:pStyle w:val="TableText"/>
              <w:spacing w:before="40" w:after="40"/>
              <w:rPr>
                <w:szCs w:val="18"/>
              </w:rPr>
            </w:pPr>
            <w:r w:rsidRPr="00BD16B4">
              <w:rPr>
                <w:szCs w:val="18"/>
              </w:rPr>
              <w:t>C</w:t>
            </w:r>
            <w:r w:rsidRPr="00BD16B4">
              <w:rPr>
                <w:color w:val="000000"/>
                <w:szCs w:val="18"/>
                <w:vertAlign w:val="subscript"/>
              </w:rPr>
              <w:t>4</w:t>
            </w:r>
            <w:r w:rsidRPr="00BD16B4">
              <w:rPr>
                <w:color w:val="000000"/>
                <w:szCs w:val="18"/>
              </w:rPr>
              <w:t>F</w:t>
            </w:r>
            <w:r w:rsidRPr="00BD16B4">
              <w:rPr>
                <w:color w:val="000000"/>
                <w:szCs w:val="18"/>
                <w:vertAlign w:val="subscript"/>
              </w:rPr>
              <w:t>10</w:t>
            </w:r>
          </w:p>
        </w:tc>
        <w:tc>
          <w:tcPr>
            <w:tcW w:w="985" w:type="dxa"/>
            <w:shd w:val="clear" w:color="auto" w:fill="auto"/>
          </w:tcPr>
          <w:p w14:paraId="0641AF01"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20E37456"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50F2B8D8"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0AAA19C1"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3AAAA814"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3FFECC20"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2CE9BEB1"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1E4568B1"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67CE005A"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64F0636C"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75230132"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71D53634" w14:textId="77777777" w:rsidTr="00AA2930">
        <w:tc>
          <w:tcPr>
            <w:tcW w:w="4248" w:type="dxa"/>
          </w:tcPr>
          <w:p w14:paraId="08AAD73B" w14:textId="77777777" w:rsidR="00ED2EBD" w:rsidRPr="00BD16B4" w:rsidRDefault="00ED2EBD" w:rsidP="004A205F">
            <w:pPr>
              <w:pStyle w:val="TableText"/>
              <w:spacing w:before="40" w:after="40"/>
              <w:rPr>
                <w:szCs w:val="18"/>
              </w:rPr>
            </w:pPr>
            <w:r w:rsidRPr="00BD16B4">
              <w:rPr>
                <w:szCs w:val="18"/>
              </w:rPr>
              <w:t>c-C</w:t>
            </w:r>
            <w:r w:rsidRPr="00BD16B4">
              <w:rPr>
                <w:color w:val="000000"/>
                <w:szCs w:val="18"/>
                <w:vertAlign w:val="subscript"/>
              </w:rPr>
              <w:t>4</w:t>
            </w:r>
            <w:r w:rsidRPr="00BD16B4">
              <w:rPr>
                <w:color w:val="000000"/>
                <w:szCs w:val="18"/>
              </w:rPr>
              <w:t>F</w:t>
            </w:r>
            <w:r w:rsidRPr="00BD16B4">
              <w:rPr>
                <w:color w:val="000000"/>
                <w:szCs w:val="18"/>
                <w:vertAlign w:val="subscript"/>
              </w:rPr>
              <w:t>8</w:t>
            </w:r>
          </w:p>
        </w:tc>
        <w:tc>
          <w:tcPr>
            <w:tcW w:w="985" w:type="dxa"/>
            <w:shd w:val="clear" w:color="auto" w:fill="auto"/>
          </w:tcPr>
          <w:p w14:paraId="1D0FA6E3"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7C820BA2"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24053665"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770493EF"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05AC3076"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39CBE36D"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5DE0AE27"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0F85FB0B"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21FC858D"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6F9C40AC"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5869E724"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5B224157" w14:textId="77777777" w:rsidTr="00AA2930">
        <w:tc>
          <w:tcPr>
            <w:tcW w:w="4248" w:type="dxa"/>
          </w:tcPr>
          <w:p w14:paraId="1B8D58D6" w14:textId="77777777" w:rsidR="00ED2EBD" w:rsidRPr="00BD16B4" w:rsidRDefault="00ED2EBD" w:rsidP="004A205F">
            <w:pPr>
              <w:pStyle w:val="TableText"/>
              <w:spacing w:before="40" w:after="40"/>
              <w:rPr>
                <w:szCs w:val="18"/>
              </w:rPr>
            </w:pPr>
            <w:r w:rsidRPr="00BD16B4">
              <w:rPr>
                <w:szCs w:val="18"/>
              </w:rPr>
              <w:t>C</w:t>
            </w:r>
            <w:r w:rsidRPr="00BD16B4">
              <w:rPr>
                <w:color w:val="000000"/>
                <w:szCs w:val="18"/>
                <w:vertAlign w:val="subscript"/>
              </w:rPr>
              <w:t>5</w:t>
            </w:r>
            <w:r w:rsidRPr="00BD16B4">
              <w:rPr>
                <w:color w:val="000000"/>
                <w:szCs w:val="18"/>
              </w:rPr>
              <w:t>F</w:t>
            </w:r>
            <w:r w:rsidRPr="00BD16B4">
              <w:rPr>
                <w:color w:val="000000"/>
                <w:szCs w:val="18"/>
                <w:vertAlign w:val="subscript"/>
              </w:rPr>
              <w:t>12</w:t>
            </w:r>
          </w:p>
        </w:tc>
        <w:tc>
          <w:tcPr>
            <w:tcW w:w="985" w:type="dxa"/>
            <w:shd w:val="clear" w:color="auto" w:fill="auto"/>
          </w:tcPr>
          <w:p w14:paraId="1895CB9B"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45B0C62F"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29AFE0DA"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5B51D4A0"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6D56D843"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37B36FE3"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79D82084"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73646BF9"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6E8F31C1"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0674B486"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63E3273"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3305AA4E" w14:textId="77777777" w:rsidTr="00AA2930">
        <w:tc>
          <w:tcPr>
            <w:tcW w:w="4248" w:type="dxa"/>
          </w:tcPr>
          <w:p w14:paraId="4C317F18" w14:textId="77777777" w:rsidR="00ED2EBD" w:rsidRPr="00BD16B4" w:rsidRDefault="00ED2EBD" w:rsidP="004A205F">
            <w:pPr>
              <w:pStyle w:val="TableText"/>
              <w:spacing w:before="40" w:after="40"/>
              <w:rPr>
                <w:szCs w:val="18"/>
              </w:rPr>
            </w:pPr>
            <w:r w:rsidRPr="00BD16B4">
              <w:rPr>
                <w:szCs w:val="18"/>
              </w:rPr>
              <w:t>C</w:t>
            </w:r>
            <w:r w:rsidRPr="00BD16B4">
              <w:rPr>
                <w:color w:val="000000"/>
                <w:szCs w:val="18"/>
                <w:vertAlign w:val="subscript"/>
              </w:rPr>
              <w:t>6</w:t>
            </w:r>
            <w:r w:rsidRPr="00BD16B4">
              <w:rPr>
                <w:color w:val="000000"/>
                <w:szCs w:val="18"/>
              </w:rPr>
              <w:t>F</w:t>
            </w:r>
            <w:r w:rsidRPr="00BD16B4">
              <w:rPr>
                <w:color w:val="000000"/>
                <w:szCs w:val="18"/>
                <w:vertAlign w:val="subscript"/>
              </w:rPr>
              <w:t>14</w:t>
            </w:r>
          </w:p>
        </w:tc>
        <w:tc>
          <w:tcPr>
            <w:tcW w:w="985" w:type="dxa"/>
            <w:shd w:val="clear" w:color="auto" w:fill="auto"/>
          </w:tcPr>
          <w:p w14:paraId="21E5A96A"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02A11E5B"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7A162A2C"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3F5CE521"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69CEF93B"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43C28E5"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52F9B893"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512AC202"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7061A210"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6C9329C2"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64B5F1AF"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58CFAA5D" w14:textId="77777777" w:rsidTr="00AA2930">
        <w:tc>
          <w:tcPr>
            <w:tcW w:w="4248" w:type="dxa"/>
          </w:tcPr>
          <w:p w14:paraId="7B63431B" w14:textId="77777777" w:rsidR="00ED2EBD" w:rsidRPr="00BD16B4" w:rsidRDefault="00ED2EBD" w:rsidP="004A205F">
            <w:pPr>
              <w:pStyle w:val="TableText"/>
              <w:spacing w:before="40" w:after="40"/>
              <w:rPr>
                <w:szCs w:val="18"/>
              </w:rPr>
            </w:pPr>
            <w:r w:rsidRPr="00BD16B4">
              <w:rPr>
                <w:szCs w:val="18"/>
              </w:rPr>
              <w:t>C10F18</w:t>
            </w:r>
          </w:p>
        </w:tc>
        <w:tc>
          <w:tcPr>
            <w:tcW w:w="985" w:type="dxa"/>
            <w:shd w:val="clear" w:color="auto" w:fill="auto"/>
          </w:tcPr>
          <w:p w14:paraId="2A125BAB"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1D538883"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28A8D7D1"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706C38AD"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02C73731"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2F9D0D79"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371A970E"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1221B221"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31BB5EC0"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7C2EBF84"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28762E01"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0BE0DC71" w14:textId="77777777" w:rsidTr="00AA2930">
        <w:tc>
          <w:tcPr>
            <w:tcW w:w="4248" w:type="dxa"/>
          </w:tcPr>
          <w:p w14:paraId="31C78EFF" w14:textId="77777777" w:rsidR="00ED2EBD" w:rsidRPr="00BD16B4" w:rsidRDefault="00ED2EBD" w:rsidP="004A205F">
            <w:pPr>
              <w:pStyle w:val="TableText"/>
              <w:spacing w:before="40" w:after="40"/>
              <w:rPr>
                <w:szCs w:val="18"/>
              </w:rPr>
            </w:pPr>
            <w:r w:rsidRPr="00BD16B4">
              <w:rPr>
                <w:szCs w:val="18"/>
              </w:rPr>
              <w:t>c-C3F6</w:t>
            </w:r>
          </w:p>
        </w:tc>
        <w:tc>
          <w:tcPr>
            <w:tcW w:w="985" w:type="dxa"/>
            <w:shd w:val="clear" w:color="auto" w:fill="auto"/>
          </w:tcPr>
          <w:p w14:paraId="4FC5A4FA"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6C56EA94" w14:textId="77777777" w:rsidR="00ED2EBD" w:rsidRPr="00BD16B4" w:rsidRDefault="00ED2EBD" w:rsidP="004A205F">
            <w:pPr>
              <w:pStyle w:val="TableText"/>
              <w:spacing w:before="40" w:after="40"/>
              <w:jc w:val="right"/>
              <w:rPr>
                <w:szCs w:val="18"/>
              </w:rPr>
            </w:pPr>
            <w:r w:rsidRPr="00BD16B4">
              <w:rPr>
                <w:szCs w:val="18"/>
              </w:rPr>
              <w:t>NA</w:t>
            </w:r>
          </w:p>
        </w:tc>
        <w:tc>
          <w:tcPr>
            <w:tcW w:w="985" w:type="dxa"/>
            <w:shd w:val="clear" w:color="auto" w:fill="auto"/>
          </w:tcPr>
          <w:p w14:paraId="5D720ED9"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7BB08800"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3E5E5ACA"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44CDDBB6"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2872B746"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53EDD052"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655DB619"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571FD4E4" w14:textId="77777777" w:rsidR="00ED2EBD" w:rsidRPr="00BD16B4" w:rsidRDefault="00ED2EBD" w:rsidP="004A205F">
            <w:pPr>
              <w:pStyle w:val="TableText"/>
              <w:spacing w:before="40" w:after="40"/>
              <w:jc w:val="right"/>
              <w:rPr>
                <w:szCs w:val="18"/>
              </w:rPr>
            </w:pPr>
            <w:r w:rsidRPr="00BD16B4">
              <w:rPr>
                <w:szCs w:val="18"/>
              </w:rPr>
              <w:t>NA</w:t>
            </w:r>
          </w:p>
        </w:tc>
        <w:tc>
          <w:tcPr>
            <w:tcW w:w="984" w:type="dxa"/>
            <w:shd w:val="clear" w:color="auto" w:fill="auto"/>
          </w:tcPr>
          <w:p w14:paraId="7B3719AC"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4ADB164F" w14:textId="77777777" w:rsidTr="00AA2930">
        <w:tc>
          <w:tcPr>
            <w:tcW w:w="4248" w:type="dxa"/>
          </w:tcPr>
          <w:p w14:paraId="4C757F64" w14:textId="77777777" w:rsidR="00ED2EBD" w:rsidRPr="00BD16B4" w:rsidRDefault="00ED2EBD" w:rsidP="004A205F">
            <w:pPr>
              <w:pStyle w:val="TableText"/>
              <w:spacing w:before="40" w:after="40"/>
              <w:rPr>
                <w:szCs w:val="18"/>
              </w:rPr>
            </w:pPr>
            <w:r w:rsidRPr="00BD16B4">
              <w:rPr>
                <w:szCs w:val="18"/>
              </w:rPr>
              <w:t>Unspecified mix of PFCs (kt CO</w:t>
            </w:r>
            <w:r w:rsidRPr="00BD16B4">
              <w:rPr>
                <w:szCs w:val="18"/>
                <w:vertAlign w:val="subscript"/>
              </w:rPr>
              <w:t>2</w:t>
            </w:r>
            <w:r w:rsidRPr="00BD16B4">
              <w:rPr>
                <w:szCs w:val="18"/>
              </w:rPr>
              <w:t>-equivalent)</w:t>
            </w:r>
          </w:p>
        </w:tc>
        <w:tc>
          <w:tcPr>
            <w:tcW w:w="985" w:type="dxa"/>
          </w:tcPr>
          <w:p w14:paraId="52A4FCD6" w14:textId="77777777" w:rsidR="00ED2EBD" w:rsidRPr="00BD16B4" w:rsidRDefault="00ED2EBD" w:rsidP="004A205F">
            <w:pPr>
              <w:pStyle w:val="TableText"/>
              <w:spacing w:before="40" w:after="40"/>
              <w:jc w:val="right"/>
              <w:rPr>
                <w:szCs w:val="18"/>
              </w:rPr>
            </w:pPr>
            <w:r w:rsidRPr="00BD16B4">
              <w:rPr>
                <w:szCs w:val="18"/>
              </w:rPr>
              <w:t>NA</w:t>
            </w:r>
          </w:p>
        </w:tc>
        <w:tc>
          <w:tcPr>
            <w:tcW w:w="985" w:type="dxa"/>
          </w:tcPr>
          <w:p w14:paraId="1E8491F5" w14:textId="77777777" w:rsidR="00ED2EBD" w:rsidRPr="00BD16B4" w:rsidRDefault="00ED2EBD" w:rsidP="004A205F">
            <w:pPr>
              <w:pStyle w:val="TableText"/>
              <w:spacing w:before="40" w:after="40"/>
              <w:jc w:val="right"/>
              <w:rPr>
                <w:szCs w:val="18"/>
              </w:rPr>
            </w:pPr>
            <w:r w:rsidRPr="00BD16B4">
              <w:rPr>
                <w:szCs w:val="18"/>
              </w:rPr>
              <w:t>NA</w:t>
            </w:r>
          </w:p>
        </w:tc>
        <w:tc>
          <w:tcPr>
            <w:tcW w:w="985" w:type="dxa"/>
          </w:tcPr>
          <w:p w14:paraId="5EE03347"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5A1C0B60"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00ED40E3"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28DF043B"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0EB21505"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60DD07AA"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1A7BF8B6"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21012826" w14:textId="77777777" w:rsidR="00ED2EBD" w:rsidRPr="00BD16B4" w:rsidRDefault="00ED2EBD" w:rsidP="004A205F">
            <w:pPr>
              <w:pStyle w:val="TableText"/>
              <w:spacing w:before="40" w:after="40"/>
              <w:jc w:val="right"/>
              <w:rPr>
                <w:szCs w:val="18"/>
              </w:rPr>
            </w:pPr>
            <w:r w:rsidRPr="00BD16B4">
              <w:rPr>
                <w:szCs w:val="18"/>
              </w:rPr>
              <w:t>NA</w:t>
            </w:r>
          </w:p>
        </w:tc>
        <w:tc>
          <w:tcPr>
            <w:tcW w:w="984" w:type="dxa"/>
          </w:tcPr>
          <w:p w14:paraId="446DFEF7"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37E19D97" w14:textId="77777777" w:rsidTr="00AA2930">
        <w:tc>
          <w:tcPr>
            <w:tcW w:w="4248" w:type="dxa"/>
          </w:tcPr>
          <w:p w14:paraId="51F3A09A" w14:textId="77777777" w:rsidR="00ED2EBD" w:rsidRPr="00BD16B4" w:rsidRDefault="00ED2EBD" w:rsidP="004A205F">
            <w:pPr>
              <w:pStyle w:val="TableText"/>
              <w:spacing w:before="40" w:after="40"/>
              <w:rPr>
                <w:szCs w:val="18"/>
              </w:rPr>
            </w:pPr>
            <w:r w:rsidRPr="00BD16B4">
              <w:rPr>
                <w:b/>
                <w:bCs/>
                <w:szCs w:val="18"/>
              </w:rPr>
              <w:t>Unspecified mix of HFCs and PFCs (kt CO</w:t>
            </w:r>
            <w:r w:rsidRPr="00BD16B4">
              <w:rPr>
                <w:b/>
                <w:bCs/>
                <w:szCs w:val="18"/>
                <w:vertAlign w:val="subscript"/>
              </w:rPr>
              <w:t>2</w:t>
            </w:r>
            <w:r w:rsidRPr="00BD16B4">
              <w:rPr>
                <w:b/>
                <w:bCs/>
                <w:szCs w:val="18"/>
              </w:rPr>
              <w:t>-equivalent)</w:t>
            </w:r>
          </w:p>
        </w:tc>
        <w:tc>
          <w:tcPr>
            <w:tcW w:w="985" w:type="dxa"/>
          </w:tcPr>
          <w:p w14:paraId="0A650DDD" w14:textId="77777777" w:rsidR="00ED2EBD" w:rsidRPr="00BD16B4" w:rsidRDefault="00ED2EBD" w:rsidP="004A205F">
            <w:pPr>
              <w:pStyle w:val="TableText"/>
              <w:spacing w:before="40" w:after="40"/>
              <w:jc w:val="right"/>
              <w:rPr>
                <w:szCs w:val="18"/>
              </w:rPr>
            </w:pPr>
            <w:r w:rsidRPr="00BD16B4">
              <w:rPr>
                <w:szCs w:val="18"/>
              </w:rPr>
              <w:t>NO, NA</w:t>
            </w:r>
          </w:p>
        </w:tc>
        <w:tc>
          <w:tcPr>
            <w:tcW w:w="985" w:type="dxa"/>
          </w:tcPr>
          <w:p w14:paraId="61D1898F" w14:textId="77777777" w:rsidR="00ED2EBD" w:rsidRPr="00BD16B4" w:rsidRDefault="00ED2EBD" w:rsidP="004A205F">
            <w:pPr>
              <w:pStyle w:val="TableText"/>
              <w:spacing w:before="40" w:after="40"/>
              <w:jc w:val="right"/>
              <w:rPr>
                <w:szCs w:val="18"/>
              </w:rPr>
            </w:pPr>
            <w:r w:rsidRPr="00BD16B4">
              <w:rPr>
                <w:szCs w:val="18"/>
              </w:rPr>
              <w:t>NO, NA</w:t>
            </w:r>
          </w:p>
        </w:tc>
        <w:tc>
          <w:tcPr>
            <w:tcW w:w="985" w:type="dxa"/>
          </w:tcPr>
          <w:p w14:paraId="3E972E95"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48E2D8BA"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41A1462A"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630D96FE"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1B667108"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440B02D1"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7577EDA1"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14E4344C"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11B7165D"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2D6BE6D8" w14:textId="77777777" w:rsidTr="00AA2930">
        <w:tc>
          <w:tcPr>
            <w:tcW w:w="4248" w:type="dxa"/>
          </w:tcPr>
          <w:p w14:paraId="65677F59" w14:textId="77777777" w:rsidR="00ED2EBD" w:rsidRPr="00BD16B4" w:rsidRDefault="00ED2EBD" w:rsidP="004A205F">
            <w:pPr>
              <w:pStyle w:val="TableText"/>
              <w:spacing w:before="40" w:after="40"/>
              <w:rPr>
                <w:szCs w:val="18"/>
              </w:rPr>
            </w:pPr>
            <w:r w:rsidRPr="00BD16B4">
              <w:rPr>
                <w:b/>
                <w:bCs/>
                <w:szCs w:val="18"/>
              </w:rPr>
              <w:t>Emissions of SF</w:t>
            </w:r>
            <w:r w:rsidRPr="00BD16B4">
              <w:rPr>
                <w:b/>
                <w:bCs/>
                <w:szCs w:val="18"/>
                <w:vertAlign w:val="subscript"/>
              </w:rPr>
              <w:t>6</w:t>
            </w:r>
            <w:r w:rsidRPr="00BD16B4">
              <w:rPr>
                <w:b/>
                <w:bCs/>
                <w:szCs w:val="18"/>
              </w:rPr>
              <w:t xml:space="preserve"> (kt CO</w:t>
            </w:r>
            <w:r w:rsidRPr="00BD16B4">
              <w:rPr>
                <w:b/>
                <w:bCs/>
                <w:szCs w:val="18"/>
                <w:vertAlign w:val="subscript"/>
              </w:rPr>
              <w:t>2</w:t>
            </w:r>
            <w:r w:rsidRPr="00BD16B4">
              <w:rPr>
                <w:b/>
                <w:bCs/>
                <w:szCs w:val="18"/>
              </w:rPr>
              <w:t>-equivalent)</w:t>
            </w:r>
          </w:p>
        </w:tc>
        <w:tc>
          <w:tcPr>
            <w:tcW w:w="985" w:type="dxa"/>
          </w:tcPr>
          <w:p w14:paraId="4E8D5CD6" w14:textId="77777777" w:rsidR="00ED2EBD" w:rsidRPr="00BD16B4" w:rsidRDefault="00ED2EBD" w:rsidP="004A205F">
            <w:pPr>
              <w:pStyle w:val="TableText"/>
              <w:spacing w:before="40" w:after="40"/>
              <w:jc w:val="right"/>
              <w:rPr>
                <w:szCs w:val="18"/>
              </w:rPr>
            </w:pPr>
            <w:r w:rsidRPr="00BD16B4">
              <w:rPr>
                <w:szCs w:val="18"/>
              </w:rPr>
              <w:t>24.56</w:t>
            </w:r>
          </w:p>
        </w:tc>
        <w:tc>
          <w:tcPr>
            <w:tcW w:w="985" w:type="dxa"/>
          </w:tcPr>
          <w:p w14:paraId="202F5FFA" w14:textId="77777777" w:rsidR="00ED2EBD" w:rsidRPr="00BD16B4" w:rsidRDefault="00ED2EBD" w:rsidP="004A205F">
            <w:pPr>
              <w:pStyle w:val="TableText"/>
              <w:spacing w:before="40" w:after="40"/>
              <w:jc w:val="right"/>
              <w:rPr>
                <w:szCs w:val="18"/>
              </w:rPr>
            </w:pPr>
            <w:r w:rsidRPr="00BD16B4">
              <w:rPr>
                <w:szCs w:val="18"/>
              </w:rPr>
              <w:t>19.56</w:t>
            </w:r>
          </w:p>
        </w:tc>
        <w:tc>
          <w:tcPr>
            <w:tcW w:w="985" w:type="dxa"/>
          </w:tcPr>
          <w:p w14:paraId="5481B251" w14:textId="77777777" w:rsidR="00ED2EBD" w:rsidRPr="00BD16B4" w:rsidRDefault="00ED2EBD" w:rsidP="004A205F">
            <w:pPr>
              <w:pStyle w:val="TableText"/>
              <w:spacing w:before="40" w:after="40"/>
              <w:jc w:val="right"/>
              <w:rPr>
                <w:szCs w:val="18"/>
              </w:rPr>
            </w:pPr>
            <w:r w:rsidRPr="00BD16B4">
              <w:rPr>
                <w:szCs w:val="18"/>
              </w:rPr>
              <w:t>20.04</w:t>
            </w:r>
          </w:p>
        </w:tc>
        <w:tc>
          <w:tcPr>
            <w:tcW w:w="984" w:type="dxa"/>
          </w:tcPr>
          <w:p w14:paraId="0EA2A59F" w14:textId="77777777" w:rsidR="00ED2EBD" w:rsidRPr="00BD16B4" w:rsidRDefault="00ED2EBD" w:rsidP="004A205F">
            <w:pPr>
              <w:pStyle w:val="TableText"/>
              <w:spacing w:before="40" w:after="40"/>
              <w:jc w:val="right"/>
              <w:rPr>
                <w:szCs w:val="18"/>
              </w:rPr>
            </w:pPr>
            <w:r w:rsidRPr="00BD16B4">
              <w:rPr>
                <w:szCs w:val="18"/>
              </w:rPr>
              <w:t>23.32</w:t>
            </w:r>
          </w:p>
        </w:tc>
        <w:tc>
          <w:tcPr>
            <w:tcW w:w="984" w:type="dxa"/>
          </w:tcPr>
          <w:p w14:paraId="10B87039" w14:textId="77777777" w:rsidR="00ED2EBD" w:rsidRPr="00BD16B4" w:rsidRDefault="00ED2EBD" w:rsidP="004A205F">
            <w:pPr>
              <w:pStyle w:val="TableText"/>
              <w:spacing w:before="40" w:after="40"/>
              <w:jc w:val="right"/>
              <w:rPr>
                <w:szCs w:val="18"/>
              </w:rPr>
            </w:pPr>
            <w:r w:rsidRPr="00BD16B4">
              <w:rPr>
                <w:szCs w:val="18"/>
              </w:rPr>
              <w:t>25.19</w:t>
            </w:r>
          </w:p>
        </w:tc>
        <w:tc>
          <w:tcPr>
            <w:tcW w:w="984" w:type="dxa"/>
          </w:tcPr>
          <w:p w14:paraId="0EB5FBAC" w14:textId="77777777" w:rsidR="00ED2EBD" w:rsidRPr="00BD16B4" w:rsidRDefault="00ED2EBD" w:rsidP="004A205F">
            <w:pPr>
              <w:pStyle w:val="TableText"/>
              <w:spacing w:before="40" w:after="40"/>
              <w:jc w:val="right"/>
              <w:rPr>
                <w:szCs w:val="18"/>
              </w:rPr>
            </w:pPr>
            <w:r w:rsidRPr="00BD16B4">
              <w:rPr>
                <w:szCs w:val="18"/>
              </w:rPr>
              <w:t>28.92</w:t>
            </w:r>
          </w:p>
        </w:tc>
        <w:tc>
          <w:tcPr>
            <w:tcW w:w="984" w:type="dxa"/>
          </w:tcPr>
          <w:p w14:paraId="7684BB77" w14:textId="77777777" w:rsidR="00ED2EBD" w:rsidRPr="00BD16B4" w:rsidRDefault="00ED2EBD" w:rsidP="004A205F">
            <w:pPr>
              <w:pStyle w:val="TableText"/>
              <w:spacing w:before="40" w:after="40"/>
              <w:jc w:val="right"/>
              <w:rPr>
                <w:szCs w:val="18"/>
              </w:rPr>
            </w:pPr>
            <w:r w:rsidRPr="00BD16B4">
              <w:rPr>
                <w:szCs w:val="18"/>
              </w:rPr>
              <w:t>25.41</w:t>
            </w:r>
          </w:p>
        </w:tc>
        <w:tc>
          <w:tcPr>
            <w:tcW w:w="984" w:type="dxa"/>
          </w:tcPr>
          <w:p w14:paraId="5D18B718" w14:textId="77777777" w:rsidR="00ED2EBD" w:rsidRPr="00BD16B4" w:rsidRDefault="00ED2EBD" w:rsidP="004A205F">
            <w:pPr>
              <w:pStyle w:val="TableText"/>
              <w:spacing w:before="40" w:after="40"/>
              <w:jc w:val="right"/>
              <w:rPr>
                <w:szCs w:val="18"/>
              </w:rPr>
            </w:pPr>
            <w:r w:rsidRPr="00BD16B4">
              <w:rPr>
                <w:szCs w:val="18"/>
              </w:rPr>
              <w:t>21.05</w:t>
            </w:r>
          </w:p>
        </w:tc>
        <w:tc>
          <w:tcPr>
            <w:tcW w:w="984" w:type="dxa"/>
          </w:tcPr>
          <w:p w14:paraId="1834FF18" w14:textId="77777777" w:rsidR="00ED2EBD" w:rsidRPr="00BD16B4" w:rsidRDefault="00ED2EBD" w:rsidP="004A205F">
            <w:pPr>
              <w:pStyle w:val="TableText"/>
              <w:spacing w:before="40" w:after="40"/>
              <w:jc w:val="right"/>
              <w:rPr>
                <w:szCs w:val="18"/>
              </w:rPr>
            </w:pPr>
            <w:r w:rsidRPr="00BD16B4">
              <w:rPr>
                <w:szCs w:val="18"/>
              </w:rPr>
              <w:t>19.87</w:t>
            </w:r>
          </w:p>
        </w:tc>
        <w:tc>
          <w:tcPr>
            <w:tcW w:w="984" w:type="dxa"/>
          </w:tcPr>
          <w:p w14:paraId="442AFA5C" w14:textId="77777777" w:rsidR="00ED2EBD" w:rsidRPr="00BD16B4" w:rsidRDefault="00ED2EBD" w:rsidP="004A205F">
            <w:pPr>
              <w:pStyle w:val="TableText"/>
              <w:spacing w:before="40" w:after="40"/>
              <w:jc w:val="right"/>
              <w:rPr>
                <w:szCs w:val="18"/>
              </w:rPr>
            </w:pPr>
            <w:r w:rsidRPr="00BD16B4">
              <w:rPr>
                <w:szCs w:val="18"/>
              </w:rPr>
              <w:t>19.34</w:t>
            </w:r>
          </w:p>
        </w:tc>
        <w:tc>
          <w:tcPr>
            <w:tcW w:w="984" w:type="dxa"/>
          </w:tcPr>
          <w:p w14:paraId="3FD36F91" w14:textId="77777777" w:rsidR="00ED2EBD" w:rsidRPr="00BD16B4" w:rsidRDefault="00ED2EBD" w:rsidP="004A205F">
            <w:pPr>
              <w:pStyle w:val="TableText"/>
              <w:spacing w:before="40" w:after="40"/>
              <w:jc w:val="right"/>
              <w:rPr>
                <w:szCs w:val="18"/>
              </w:rPr>
            </w:pPr>
            <w:r w:rsidRPr="00BD16B4">
              <w:rPr>
                <w:szCs w:val="18"/>
              </w:rPr>
              <w:t>22.54</w:t>
            </w:r>
          </w:p>
        </w:tc>
      </w:tr>
      <w:tr w:rsidR="00ED2EBD" w:rsidRPr="00BD16B4" w14:paraId="31DE785A" w14:textId="77777777" w:rsidTr="00AA2930">
        <w:tc>
          <w:tcPr>
            <w:tcW w:w="4248" w:type="dxa"/>
          </w:tcPr>
          <w:p w14:paraId="1F83A5CB" w14:textId="77777777" w:rsidR="00ED2EBD" w:rsidRPr="00BD16B4" w:rsidRDefault="00ED2EBD" w:rsidP="004A205F">
            <w:pPr>
              <w:pStyle w:val="TableText"/>
              <w:spacing w:before="40" w:after="40"/>
              <w:rPr>
                <w:szCs w:val="18"/>
              </w:rPr>
            </w:pPr>
            <w:r w:rsidRPr="00BD16B4">
              <w:rPr>
                <w:szCs w:val="18"/>
              </w:rPr>
              <w:t>SF</w:t>
            </w:r>
            <w:r w:rsidRPr="00BD16B4">
              <w:rPr>
                <w:color w:val="000000"/>
                <w:szCs w:val="18"/>
                <w:vertAlign w:val="subscript"/>
              </w:rPr>
              <w:t>6</w:t>
            </w:r>
          </w:p>
        </w:tc>
        <w:tc>
          <w:tcPr>
            <w:tcW w:w="985" w:type="dxa"/>
          </w:tcPr>
          <w:p w14:paraId="187C0E80" w14:textId="77777777" w:rsidR="00ED2EBD" w:rsidRPr="00BD16B4" w:rsidRDefault="00ED2EBD" w:rsidP="004A205F">
            <w:pPr>
              <w:pStyle w:val="TableText"/>
              <w:spacing w:before="40" w:after="40"/>
              <w:jc w:val="right"/>
              <w:rPr>
                <w:szCs w:val="18"/>
              </w:rPr>
            </w:pPr>
            <w:r w:rsidRPr="00BD16B4">
              <w:rPr>
                <w:szCs w:val="18"/>
              </w:rPr>
              <w:t>0.00</w:t>
            </w:r>
          </w:p>
        </w:tc>
        <w:tc>
          <w:tcPr>
            <w:tcW w:w="985" w:type="dxa"/>
          </w:tcPr>
          <w:p w14:paraId="6A450F5A" w14:textId="77777777" w:rsidR="00ED2EBD" w:rsidRPr="00BD16B4" w:rsidRDefault="00ED2EBD" w:rsidP="004A205F">
            <w:pPr>
              <w:pStyle w:val="TableText"/>
              <w:spacing w:before="40" w:after="40"/>
              <w:jc w:val="right"/>
              <w:rPr>
                <w:szCs w:val="18"/>
              </w:rPr>
            </w:pPr>
            <w:r w:rsidRPr="00BD16B4">
              <w:rPr>
                <w:szCs w:val="18"/>
              </w:rPr>
              <w:t>0.00</w:t>
            </w:r>
          </w:p>
        </w:tc>
        <w:tc>
          <w:tcPr>
            <w:tcW w:w="985" w:type="dxa"/>
          </w:tcPr>
          <w:p w14:paraId="766ADB24"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7C65E00C"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6B5122D2"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22B1B2E0"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1627F419"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15CC29D1"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546CFC62"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741B240C" w14:textId="77777777" w:rsidR="00ED2EBD" w:rsidRPr="00BD16B4" w:rsidRDefault="00ED2EBD" w:rsidP="004A205F">
            <w:pPr>
              <w:pStyle w:val="TableText"/>
              <w:spacing w:before="40" w:after="40"/>
              <w:jc w:val="right"/>
              <w:rPr>
                <w:szCs w:val="18"/>
              </w:rPr>
            </w:pPr>
            <w:r w:rsidRPr="00BD16B4">
              <w:rPr>
                <w:szCs w:val="18"/>
              </w:rPr>
              <w:t>0.00</w:t>
            </w:r>
          </w:p>
        </w:tc>
        <w:tc>
          <w:tcPr>
            <w:tcW w:w="984" w:type="dxa"/>
          </w:tcPr>
          <w:p w14:paraId="5042E881"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2793CF4E" w14:textId="77777777" w:rsidTr="00AA2930">
        <w:tc>
          <w:tcPr>
            <w:tcW w:w="4248" w:type="dxa"/>
          </w:tcPr>
          <w:p w14:paraId="3EBBE638" w14:textId="77777777" w:rsidR="00ED2EBD" w:rsidRPr="00BD16B4" w:rsidRDefault="00ED2EBD" w:rsidP="004A205F">
            <w:pPr>
              <w:pStyle w:val="TableText"/>
              <w:spacing w:before="40" w:after="40"/>
              <w:rPr>
                <w:szCs w:val="18"/>
              </w:rPr>
            </w:pPr>
            <w:r w:rsidRPr="00BD16B4">
              <w:rPr>
                <w:b/>
                <w:bCs/>
                <w:szCs w:val="18"/>
              </w:rPr>
              <w:t>Emissions of NF</w:t>
            </w:r>
            <w:r w:rsidRPr="00BD16B4">
              <w:rPr>
                <w:b/>
                <w:bCs/>
                <w:szCs w:val="18"/>
                <w:vertAlign w:val="subscript"/>
              </w:rPr>
              <w:t>3</w:t>
            </w:r>
            <w:r w:rsidRPr="00BD16B4">
              <w:rPr>
                <w:b/>
                <w:bCs/>
                <w:szCs w:val="18"/>
              </w:rPr>
              <w:t xml:space="preserve"> (kt CO</w:t>
            </w:r>
            <w:r w:rsidRPr="00BD16B4">
              <w:rPr>
                <w:b/>
                <w:bCs/>
                <w:szCs w:val="18"/>
                <w:vertAlign w:val="subscript"/>
              </w:rPr>
              <w:t>2</w:t>
            </w:r>
            <w:r w:rsidRPr="00BD16B4">
              <w:rPr>
                <w:b/>
                <w:bCs/>
                <w:szCs w:val="18"/>
              </w:rPr>
              <w:t>-equivalent)</w:t>
            </w:r>
          </w:p>
        </w:tc>
        <w:tc>
          <w:tcPr>
            <w:tcW w:w="985" w:type="dxa"/>
          </w:tcPr>
          <w:p w14:paraId="497BBDCC" w14:textId="77777777" w:rsidR="00ED2EBD" w:rsidRPr="00BD16B4" w:rsidRDefault="00ED2EBD" w:rsidP="004A205F">
            <w:pPr>
              <w:pStyle w:val="TableText"/>
              <w:spacing w:before="40" w:after="40"/>
              <w:jc w:val="right"/>
              <w:rPr>
                <w:szCs w:val="18"/>
              </w:rPr>
            </w:pPr>
            <w:r w:rsidRPr="00BD16B4">
              <w:rPr>
                <w:szCs w:val="18"/>
              </w:rPr>
              <w:t>NO, NA</w:t>
            </w:r>
          </w:p>
        </w:tc>
        <w:tc>
          <w:tcPr>
            <w:tcW w:w="985" w:type="dxa"/>
          </w:tcPr>
          <w:p w14:paraId="2B2D1194" w14:textId="77777777" w:rsidR="00ED2EBD" w:rsidRPr="00BD16B4" w:rsidRDefault="00ED2EBD" w:rsidP="004A205F">
            <w:pPr>
              <w:pStyle w:val="TableText"/>
              <w:spacing w:before="40" w:after="40"/>
              <w:jc w:val="right"/>
              <w:rPr>
                <w:szCs w:val="18"/>
              </w:rPr>
            </w:pPr>
            <w:r w:rsidRPr="00BD16B4">
              <w:rPr>
                <w:szCs w:val="18"/>
              </w:rPr>
              <w:t>NO, NA</w:t>
            </w:r>
          </w:p>
        </w:tc>
        <w:tc>
          <w:tcPr>
            <w:tcW w:w="985" w:type="dxa"/>
          </w:tcPr>
          <w:p w14:paraId="7B0825C4"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029DC997"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7A4B6338"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392A527C"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27AB2242"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6B4E1531"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2D8FE320"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040912E1"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6B25E374"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39DE1AFA" w14:textId="77777777" w:rsidTr="00AA2930">
        <w:tc>
          <w:tcPr>
            <w:tcW w:w="4248" w:type="dxa"/>
          </w:tcPr>
          <w:p w14:paraId="6C84A80B" w14:textId="77777777" w:rsidR="00ED2EBD" w:rsidRPr="00BD16B4" w:rsidRDefault="00ED2EBD" w:rsidP="004A205F">
            <w:pPr>
              <w:pStyle w:val="TableText"/>
              <w:spacing w:before="40" w:after="40"/>
              <w:rPr>
                <w:szCs w:val="18"/>
              </w:rPr>
            </w:pPr>
            <w:r w:rsidRPr="00BD16B4">
              <w:rPr>
                <w:szCs w:val="18"/>
              </w:rPr>
              <w:t>NF</w:t>
            </w:r>
            <w:r w:rsidRPr="00BD16B4">
              <w:rPr>
                <w:szCs w:val="18"/>
                <w:vertAlign w:val="subscript"/>
              </w:rPr>
              <w:t>3</w:t>
            </w:r>
          </w:p>
        </w:tc>
        <w:tc>
          <w:tcPr>
            <w:tcW w:w="985" w:type="dxa"/>
          </w:tcPr>
          <w:p w14:paraId="382F9D7D" w14:textId="77777777" w:rsidR="00ED2EBD" w:rsidRPr="00BD16B4" w:rsidRDefault="00ED2EBD" w:rsidP="004A205F">
            <w:pPr>
              <w:pStyle w:val="TableText"/>
              <w:spacing w:before="40" w:after="40"/>
              <w:jc w:val="right"/>
              <w:rPr>
                <w:szCs w:val="18"/>
              </w:rPr>
            </w:pPr>
            <w:r w:rsidRPr="00BD16B4">
              <w:rPr>
                <w:szCs w:val="18"/>
              </w:rPr>
              <w:t>NO, NA</w:t>
            </w:r>
          </w:p>
        </w:tc>
        <w:tc>
          <w:tcPr>
            <w:tcW w:w="985" w:type="dxa"/>
          </w:tcPr>
          <w:p w14:paraId="15B9A90B" w14:textId="77777777" w:rsidR="00ED2EBD" w:rsidRPr="00BD16B4" w:rsidRDefault="00ED2EBD" w:rsidP="004A205F">
            <w:pPr>
              <w:pStyle w:val="TableText"/>
              <w:spacing w:before="40" w:after="40"/>
              <w:jc w:val="right"/>
              <w:rPr>
                <w:szCs w:val="18"/>
              </w:rPr>
            </w:pPr>
            <w:r w:rsidRPr="00BD16B4">
              <w:rPr>
                <w:szCs w:val="18"/>
              </w:rPr>
              <w:t>NO, NA</w:t>
            </w:r>
          </w:p>
        </w:tc>
        <w:tc>
          <w:tcPr>
            <w:tcW w:w="985" w:type="dxa"/>
          </w:tcPr>
          <w:p w14:paraId="0E96BC4D"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47C29D61"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101C700D"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2E036616"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537018C8"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0E7392BE"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02D12D96"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2DCE8D90" w14:textId="77777777" w:rsidR="00ED2EBD" w:rsidRPr="00BD16B4" w:rsidRDefault="00ED2EBD" w:rsidP="004A205F">
            <w:pPr>
              <w:pStyle w:val="TableText"/>
              <w:spacing w:before="40" w:after="40"/>
              <w:jc w:val="right"/>
              <w:rPr>
                <w:szCs w:val="18"/>
              </w:rPr>
            </w:pPr>
            <w:r w:rsidRPr="00BD16B4">
              <w:rPr>
                <w:szCs w:val="18"/>
              </w:rPr>
              <w:t>NO, NA</w:t>
            </w:r>
          </w:p>
        </w:tc>
        <w:tc>
          <w:tcPr>
            <w:tcW w:w="984" w:type="dxa"/>
          </w:tcPr>
          <w:p w14:paraId="68199E63" w14:textId="77777777" w:rsidR="00ED2EBD" w:rsidRPr="00BD16B4" w:rsidRDefault="00ED2EBD" w:rsidP="004A205F">
            <w:pPr>
              <w:pStyle w:val="TableText"/>
              <w:spacing w:before="40" w:after="40"/>
              <w:jc w:val="right"/>
              <w:rPr>
                <w:szCs w:val="18"/>
              </w:rPr>
            </w:pPr>
            <w:r w:rsidRPr="00BD16B4">
              <w:rPr>
                <w:szCs w:val="18"/>
              </w:rPr>
              <w:t>NO, NA</w:t>
            </w:r>
          </w:p>
        </w:tc>
      </w:tr>
    </w:tbl>
    <w:p w14:paraId="18BDA896" w14:textId="77777777" w:rsidR="00ED2EBD" w:rsidRPr="00BD16B4" w:rsidRDefault="00ED2EBD" w:rsidP="00ED2EBD">
      <w:pPr>
        <w:pStyle w:val="BodyText"/>
      </w:pPr>
    </w:p>
    <w:p w14:paraId="1CDB04DC" w14:textId="77777777" w:rsidR="00184956" w:rsidRPr="00BD16B4" w:rsidRDefault="00184956" w:rsidP="00184956">
      <w:pPr>
        <w:pStyle w:val="BodyText"/>
      </w:pPr>
      <w:r w:rsidRPr="00BD16B4">
        <w:br w:type="page"/>
      </w:r>
    </w:p>
    <w:p w14:paraId="3EF94C12" w14:textId="4F80D793" w:rsidR="00ED2EBD" w:rsidRPr="00BD16B4" w:rsidRDefault="00ED2EBD" w:rsidP="00ED2EBD">
      <w:pPr>
        <w:pStyle w:val="CTFTableheading"/>
      </w:pPr>
      <w:r w:rsidRPr="00BD16B4">
        <w:lastRenderedPageBreak/>
        <w:t>Table A.5:</w:t>
      </w:r>
      <w:r w:rsidRPr="00BD16B4">
        <w:tab/>
        <w:t>Emissions trends (HFCs, PFCs and SF</w:t>
      </w:r>
      <w:r w:rsidRPr="00BD16B4">
        <w:rPr>
          <w:vertAlign w:val="subscript"/>
        </w:rPr>
        <w:t>6</w:t>
      </w:r>
      <w:r w:rsidRPr="00BD16B4">
        <w:t>) (CTF Table 1(d)) (part 3 of 3)</w:t>
      </w:r>
    </w:p>
    <w:tbl>
      <w:tblPr>
        <w:tblStyle w:val="MinistryfortheEnvironment"/>
        <w:tblW w:w="14515" w:type="dxa"/>
        <w:tblInd w:w="113" w:type="dxa"/>
        <w:tblCellMar>
          <w:bottom w:w="0" w:type="dxa"/>
        </w:tblCellMar>
        <w:tblLook w:val="04A0" w:firstRow="1" w:lastRow="0" w:firstColumn="1" w:lastColumn="0" w:noHBand="0" w:noVBand="1"/>
      </w:tblPr>
      <w:tblGrid>
        <w:gridCol w:w="3858"/>
        <w:gridCol w:w="968"/>
        <w:gridCol w:w="968"/>
        <w:gridCol w:w="969"/>
        <w:gridCol w:w="969"/>
        <w:gridCol w:w="969"/>
        <w:gridCol w:w="969"/>
        <w:gridCol w:w="969"/>
        <w:gridCol w:w="969"/>
        <w:gridCol w:w="969"/>
        <w:gridCol w:w="969"/>
        <w:gridCol w:w="969"/>
      </w:tblGrid>
      <w:tr w:rsidR="00ED2EBD" w:rsidRPr="00BD16B4" w14:paraId="6FB24996" w14:textId="77777777" w:rsidTr="004625B0">
        <w:trPr>
          <w:cnfStyle w:val="100000000000" w:firstRow="1" w:lastRow="0" w:firstColumn="0" w:lastColumn="0" w:oddVBand="0" w:evenVBand="0" w:oddHBand="0" w:evenHBand="0" w:firstRowFirstColumn="0" w:firstRowLastColumn="0" w:lastRowFirstColumn="0" w:lastRowLastColumn="0"/>
          <w:tblHeader/>
        </w:trPr>
        <w:tc>
          <w:tcPr>
            <w:tcW w:w="3402" w:type="dxa"/>
            <w:tcBorders>
              <w:top w:val="single" w:sz="4" w:space="0" w:color="1B556B" w:themeColor="text2"/>
            </w:tcBorders>
            <w:vAlign w:val="bottom"/>
          </w:tcPr>
          <w:p w14:paraId="7CE8369C" w14:textId="77777777" w:rsidR="00ED2EBD" w:rsidRPr="00BD16B4" w:rsidRDefault="00ED2EBD" w:rsidP="004A205F">
            <w:pPr>
              <w:pStyle w:val="TableTextbold"/>
              <w:keepNext/>
              <w:spacing w:before="40" w:after="40"/>
              <w:rPr>
                <w:b/>
                <w:bCs/>
                <w:szCs w:val="18"/>
              </w:rPr>
            </w:pPr>
            <w:r w:rsidRPr="00BD16B4">
              <w:rPr>
                <w:b/>
                <w:bCs/>
                <w:szCs w:val="18"/>
              </w:rPr>
              <w:t xml:space="preserve">Greenhouse gas source and sink categories </w:t>
            </w:r>
          </w:p>
        </w:tc>
        <w:tc>
          <w:tcPr>
            <w:tcW w:w="794" w:type="dxa"/>
            <w:tcBorders>
              <w:top w:val="single" w:sz="4" w:space="0" w:color="1B556B" w:themeColor="text2"/>
            </w:tcBorders>
            <w:vAlign w:val="bottom"/>
          </w:tcPr>
          <w:p w14:paraId="73840A56" w14:textId="77777777" w:rsidR="00ED2EBD" w:rsidRPr="00BD16B4" w:rsidRDefault="00ED2EBD" w:rsidP="004A205F">
            <w:pPr>
              <w:pStyle w:val="TableTextbold"/>
              <w:keepNext/>
              <w:spacing w:before="40" w:after="40"/>
              <w:jc w:val="center"/>
              <w:rPr>
                <w:b/>
                <w:bCs/>
                <w:szCs w:val="18"/>
              </w:rPr>
            </w:pPr>
            <w:r w:rsidRPr="00BD16B4">
              <w:rPr>
                <w:b/>
                <w:bCs/>
                <w:szCs w:val="18"/>
              </w:rPr>
              <w:t>2010</w:t>
            </w:r>
            <w:r w:rsidRPr="00BD16B4">
              <w:rPr>
                <w:b/>
                <w:bCs/>
                <w:szCs w:val="18"/>
              </w:rPr>
              <w:br/>
              <w:t>(kt)</w:t>
            </w:r>
          </w:p>
        </w:tc>
        <w:tc>
          <w:tcPr>
            <w:tcW w:w="794" w:type="dxa"/>
            <w:tcBorders>
              <w:top w:val="single" w:sz="4" w:space="0" w:color="1B556B" w:themeColor="text2"/>
            </w:tcBorders>
            <w:vAlign w:val="bottom"/>
          </w:tcPr>
          <w:p w14:paraId="2B8D7543" w14:textId="77777777" w:rsidR="00ED2EBD" w:rsidRPr="00BD16B4" w:rsidRDefault="00ED2EBD" w:rsidP="004A205F">
            <w:pPr>
              <w:pStyle w:val="TableTextbold"/>
              <w:keepNext/>
              <w:spacing w:before="40" w:after="40"/>
              <w:jc w:val="center"/>
              <w:rPr>
                <w:b/>
                <w:bCs/>
                <w:szCs w:val="18"/>
              </w:rPr>
            </w:pPr>
            <w:r w:rsidRPr="00BD16B4">
              <w:rPr>
                <w:b/>
                <w:bCs/>
                <w:szCs w:val="18"/>
              </w:rPr>
              <w:t>2011</w:t>
            </w:r>
            <w:r w:rsidRPr="00BD16B4">
              <w:rPr>
                <w:b/>
                <w:bCs/>
                <w:szCs w:val="18"/>
              </w:rPr>
              <w:br/>
              <w:t>(kt)</w:t>
            </w:r>
          </w:p>
        </w:tc>
        <w:tc>
          <w:tcPr>
            <w:tcW w:w="794" w:type="dxa"/>
            <w:tcBorders>
              <w:top w:val="single" w:sz="4" w:space="0" w:color="1B556B" w:themeColor="text2"/>
            </w:tcBorders>
            <w:vAlign w:val="bottom"/>
          </w:tcPr>
          <w:p w14:paraId="6CD85418" w14:textId="77777777" w:rsidR="00ED2EBD" w:rsidRPr="00BD16B4" w:rsidRDefault="00ED2EBD" w:rsidP="004A205F">
            <w:pPr>
              <w:pStyle w:val="TableTextbold"/>
              <w:keepNext/>
              <w:spacing w:before="40" w:after="40"/>
              <w:jc w:val="center"/>
              <w:rPr>
                <w:b/>
                <w:bCs/>
                <w:szCs w:val="18"/>
              </w:rPr>
            </w:pPr>
            <w:r w:rsidRPr="00BD16B4">
              <w:rPr>
                <w:b/>
                <w:bCs/>
                <w:szCs w:val="18"/>
              </w:rPr>
              <w:t>2012</w:t>
            </w:r>
            <w:r w:rsidRPr="00BD16B4">
              <w:rPr>
                <w:b/>
                <w:bCs/>
                <w:szCs w:val="18"/>
              </w:rPr>
              <w:br/>
              <w:t>(kt)</w:t>
            </w:r>
          </w:p>
        </w:tc>
        <w:tc>
          <w:tcPr>
            <w:tcW w:w="794" w:type="dxa"/>
            <w:tcBorders>
              <w:top w:val="single" w:sz="4" w:space="0" w:color="1B556B" w:themeColor="text2"/>
            </w:tcBorders>
            <w:vAlign w:val="bottom"/>
          </w:tcPr>
          <w:p w14:paraId="421F04DF" w14:textId="77777777" w:rsidR="00ED2EBD" w:rsidRPr="00BD16B4" w:rsidRDefault="00ED2EBD" w:rsidP="004A205F">
            <w:pPr>
              <w:pStyle w:val="TableTextbold"/>
              <w:keepNext/>
              <w:spacing w:before="40" w:after="40"/>
              <w:jc w:val="center"/>
              <w:rPr>
                <w:b/>
                <w:bCs/>
                <w:szCs w:val="18"/>
              </w:rPr>
            </w:pPr>
            <w:r w:rsidRPr="00BD16B4">
              <w:rPr>
                <w:b/>
                <w:bCs/>
                <w:szCs w:val="18"/>
              </w:rPr>
              <w:t>2013</w:t>
            </w:r>
            <w:r w:rsidRPr="00BD16B4">
              <w:rPr>
                <w:b/>
                <w:bCs/>
                <w:szCs w:val="18"/>
              </w:rPr>
              <w:br/>
              <w:t>(kt)</w:t>
            </w:r>
          </w:p>
        </w:tc>
        <w:tc>
          <w:tcPr>
            <w:tcW w:w="794" w:type="dxa"/>
            <w:tcBorders>
              <w:top w:val="single" w:sz="4" w:space="0" w:color="1B556B" w:themeColor="text2"/>
            </w:tcBorders>
            <w:vAlign w:val="bottom"/>
          </w:tcPr>
          <w:p w14:paraId="3B0AA512" w14:textId="77777777" w:rsidR="00ED2EBD" w:rsidRPr="00BD16B4" w:rsidRDefault="00ED2EBD" w:rsidP="004A205F">
            <w:pPr>
              <w:pStyle w:val="TableTextbold"/>
              <w:keepNext/>
              <w:spacing w:before="40" w:after="40"/>
              <w:jc w:val="center"/>
              <w:rPr>
                <w:b/>
                <w:bCs/>
                <w:szCs w:val="18"/>
              </w:rPr>
            </w:pPr>
            <w:r w:rsidRPr="00BD16B4">
              <w:rPr>
                <w:b/>
                <w:bCs/>
                <w:szCs w:val="18"/>
              </w:rPr>
              <w:t>2014</w:t>
            </w:r>
            <w:r w:rsidRPr="00BD16B4">
              <w:rPr>
                <w:b/>
                <w:bCs/>
                <w:szCs w:val="18"/>
              </w:rPr>
              <w:br/>
              <w:t>(kt)</w:t>
            </w:r>
          </w:p>
        </w:tc>
        <w:tc>
          <w:tcPr>
            <w:tcW w:w="794" w:type="dxa"/>
            <w:tcBorders>
              <w:top w:val="single" w:sz="4" w:space="0" w:color="1B556B" w:themeColor="text2"/>
            </w:tcBorders>
            <w:vAlign w:val="bottom"/>
          </w:tcPr>
          <w:p w14:paraId="226B7703" w14:textId="77777777" w:rsidR="00ED2EBD" w:rsidRPr="00BD16B4" w:rsidRDefault="00ED2EBD" w:rsidP="004A205F">
            <w:pPr>
              <w:pStyle w:val="TableTextbold"/>
              <w:keepNext/>
              <w:spacing w:before="40" w:after="40"/>
              <w:jc w:val="center"/>
              <w:rPr>
                <w:b/>
                <w:bCs/>
                <w:szCs w:val="18"/>
              </w:rPr>
            </w:pPr>
            <w:r w:rsidRPr="00BD16B4">
              <w:rPr>
                <w:b/>
                <w:bCs/>
                <w:szCs w:val="18"/>
              </w:rPr>
              <w:t>2015</w:t>
            </w:r>
            <w:r w:rsidRPr="00BD16B4">
              <w:rPr>
                <w:b/>
                <w:bCs/>
                <w:szCs w:val="18"/>
              </w:rPr>
              <w:br/>
              <w:t>(kt)</w:t>
            </w:r>
          </w:p>
        </w:tc>
        <w:tc>
          <w:tcPr>
            <w:tcW w:w="794" w:type="dxa"/>
            <w:tcBorders>
              <w:top w:val="single" w:sz="4" w:space="0" w:color="1B556B" w:themeColor="text2"/>
            </w:tcBorders>
            <w:vAlign w:val="bottom"/>
          </w:tcPr>
          <w:p w14:paraId="0FC16EE8" w14:textId="77777777" w:rsidR="00ED2EBD" w:rsidRPr="00BD16B4" w:rsidRDefault="00ED2EBD" w:rsidP="004A205F">
            <w:pPr>
              <w:pStyle w:val="TableTextbold"/>
              <w:keepNext/>
              <w:spacing w:before="40" w:after="40"/>
              <w:jc w:val="center"/>
              <w:rPr>
                <w:b/>
                <w:bCs/>
                <w:szCs w:val="18"/>
              </w:rPr>
            </w:pPr>
            <w:r w:rsidRPr="00BD16B4">
              <w:rPr>
                <w:b/>
                <w:bCs/>
                <w:szCs w:val="18"/>
              </w:rPr>
              <w:t>2016</w:t>
            </w:r>
            <w:r w:rsidRPr="00BD16B4">
              <w:rPr>
                <w:b/>
                <w:bCs/>
                <w:szCs w:val="18"/>
              </w:rPr>
              <w:br/>
              <w:t>(kt)</w:t>
            </w:r>
          </w:p>
        </w:tc>
        <w:tc>
          <w:tcPr>
            <w:tcW w:w="794" w:type="dxa"/>
            <w:tcBorders>
              <w:top w:val="single" w:sz="4" w:space="0" w:color="1B556B" w:themeColor="text2"/>
            </w:tcBorders>
            <w:vAlign w:val="bottom"/>
          </w:tcPr>
          <w:p w14:paraId="0AC87255" w14:textId="77777777" w:rsidR="00ED2EBD" w:rsidRPr="00BD16B4" w:rsidRDefault="00ED2EBD" w:rsidP="004A205F">
            <w:pPr>
              <w:pStyle w:val="TableTextbold"/>
              <w:keepNext/>
              <w:spacing w:before="40" w:after="40"/>
              <w:jc w:val="center"/>
              <w:rPr>
                <w:b/>
                <w:bCs/>
                <w:szCs w:val="18"/>
              </w:rPr>
            </w:pPr>
            <w:r w:rsidRPr="00BD16B4">
              <w:rPr>
                <w:b/>
                <w:bCs/>
                <w:szCs w:val="18"/>
              </w:rPr>
              <w:t>2017</w:t>
            </w:r>
            <w:r w:rsidRPr="00BD16B4">
              <w:rPr>
                <w:b/>
                <w:bCs/>
                <w:szCs w:val="18"/>
              </w:rPr>
              <w:br/>
              <w:t>(kt)</w:t>
            </w:r>
          </w:p>
        </w:tc>
        <w:tc>
          <w:tcPr>
            <w:tcW w:w="794" w:type="dxa"/>
            <w:tcBorders>
              <w:top w:val="single" w:sz="4" w:space="0" w:color="1B556B" w:themeColor="text2"/>
            </w:tcBorders>
          </w:tcPr>
          <w:p w14:paraId="46D6D542" w14:textId="77777777" w:rsidR="00ED2EBD" w:rsidRPr="00BD16B4" w:rsidRDefault="00ED2EBD" w:rsidP="004A205F">
            <w:pPr>
              <w:pStyle w:val="TableTextbold"/>
              <w:keepNext/>
              <w:spacing w:before="40" w:after="40"/>
              <w:jc w:val="center"/>
              <w:rPr>
                <w:b/>
                <w:bCs/>
                <w:szCs w:val="18"/>
              </w:rPr>
            </w:pPr>
            <w:r w:rsidRPr="00BD16B4">
              <w:rPr>
                <w:b/>
                <w:bCs/>
                <w:szCs w:val="18"/>
              </w:rPr>
              <w:t>2018</w:t>
            </w:r>
            <w:r w:rsidRPr="00BD16B4">
              <w:rPr>
                <w:b/>
                <w:bCs/>
                <w:szCs w:val="18"/>
              </w:rPr>
              <w:br/>
              <w:t>(kt)</w:t>
            </w:r>
          </w:p>
        </w:tc>
        <w:tc>
          <w:tcPr>
            <w:tcW w:w="794" w:type="dxa"/>
            <w:tcBorders>
              <w:top w:val="single" w:sz="4" w:space="0" w:color="1B556B" w:themeColor="text2"/>
            </w:tcBorders>
          </w:tcPr>
          <w:p w14:paraId="3AC02F86" w14:textId="77777777" w:rsidR="00ED2EBD" w:rsidRPr="00BD16B4" w:rsidRDefault="00ED2EBD" w:rsidP="004A205F">
            <w:pPr>
              <w:pStyle w:val="TableTextbold"/>
              <w:keepNext/>
              <w:spacing w:before="40" w:after="40"/>
              <w:jc w:val="center"/>
              <w:rPr>
                <w:b/>
                <w:bCs/>
                <w:szCs w:val="18"/>
              </w:rPr>
            </w:pPr>
            <w:r w:rsidRPr="00BD16B4">
              <w:rPr>
                <w:b/>
                <w:bCs/>
                <w:szCs w:val="18"/>
              </w:rPr>
              <w:t>2019</w:t>
            </w:r>
            <w:r w:rsidRPr="00BD16B4">
              <w:rPr>
                <w:b/>
                <w:bCs/>
                <w:szCs w:val="18"/>
              </w:rPr>
              <w:br/>
              <w:t>(kt)</w:t>
            </w:r>
          </w:p>
        </w:tc>
        <w:tc>
          <w:tcPr>
            <w:tcW w:w="794" w:type="dxa"/>
            <w:tcBorders>
              <w:top w:val="single" w:sz="4" w:space="0" w:color="1B556B" w:themeColor="text2"/>
            </w:tcBorders>
            <w:vAlign w:val="bottom"/>
          </w:tcPr>
          <w:p w14:paraId="79EC0CC1" w14:textId="77777777" w:rsidR="00ED2EBD" w:rsidRPr="00BD16B4" w:rsidRDefault="00ED2EBD" w:rsidP="004A205F">
            <w:pPr>
              <w:pStyle w:val="TableTextbold"/>
              <w:keepNext/>
              <w:spacing w:before="40" w:after="40"/>
              <w:jc w:val="center"/>
              <w:rPr>
                <w:b/>
                <w:bCs/>
                <w:szCs w:val="18"/>
              </w:rPr>
            </w:pPr>
            <w:r w:rsidRPr="00BD16B4">
              <w:rPr>
                <w:b/>
                <w:bCs/>
                <w:szCs w:val="18"/>
              </w:rPr>
              <w:t>2020</w:t>
            </w:r>
            <w:r w:rsidRPr="00BD16B4">
              <w:rPr>
                <w:b/>
                <w:bCs/>
                <w:szCs w:val="18"/>
              </w:rPr>
              <w:br/>
              <w:t>(kt)</w:t>
            </w:r>
          </w:p>
        </w:tc>
      </w:tr>
      <w:tr w:rsidR="00ED2EBD" w:rsidRPr="00BD16B4" w14:paraId="779FB465" w14:textId="77777777" w:rsidTr="00184956">
        <w:tc>
          <w:tcPr>
            <w:tcW w:w="3402" w:type="dxa"/>
          </w:tcPr>
          <w:p w14:paraId="25BDFAE7" w14:textId="77777777" w:rsidR="00ED2EBD" w:rsidRPr="00BD16B4" w:rsidRDefault="00ED2EBD" w:rsidP="004A205F">
            <w:pPr>
              <w:pStyle w:val="TableText"/>
              <w:keepNext/>
              <w:spacing w:before="40" w:after="40"/>
              <w:rPr>
                <w:szCs w:val="18"/>
              </w:rPr>
            </w:pPr>
            <w:r w:rsidRPr="00BD16B4">
              <w:rPr>
                <w:b/>
                <w:bCs/>
                <w:szCs w:val="18"/>
              </w:rPr>
              <w:t>Emissions of HFCs and PFCs (kt CO</w:t>
            </w:r>
            <w:r w:rsidRPr="00BD16B4">
              <w:rPr>
                <w:b/>
                <w:bCs/>
                <w:szCs w:val="18"/>
                <w:vertAlign w:val="subscript"/>
              </w:rPr>
              <w:t>2</w:t>
            </w:r>
            <w:r w:rsidRPr="00BD16B4">
              <w:rPr>
                <w:b/>
                <w:bCs/>
                <w:szCs w:val="18"/>
              </w:rPr>
              <w:t xml:space="preserve">-equivalent) </w:t>
            </w:r>
          </w:p>
        </w:tc>
        <w:tc>
          <w:tcPr>
            <w:tcW w:w="794" w:type="dxa"/>
            <w:shd w:val="clear" w:color="auto" w:fill="auto"/>
          </w:tcPr>
          <w:p w14:paraId="044F29B1" w14:textId="77777777" w:rsidR="00ED2EBD" w:rsidRPr="00BD16B4" w:rsidRDefault="00ED2EBD" w:rsidP="004A205F">
            <w:pPr>
              <w:pStyle w:val="TableText"/>
              <w:keepNext/>
              <w:spacing w:before="40" w:after="40"/>
              <w:jc w:val="right"/>
              <w:rPr>
                <w:szCs w:val="18"/>
              </w:rPr>
            </w:pPr>
            <w:r w:rsidRPr="00BD16B4">
              <w:rPr>
                <w:szCs w:val="18"/>
              </w:rPr>
              <w:t>1,148.37</w:t>
            </w:r>
          </w:p>
        </w:tc>
        <w:tc>
          <w:tcPr>
            <w:tcW w:w="794" w:type="dxa"/>
            <w:shd w:val="clear" w:color="auto" w:fill="auto"/>
          </w:tcPr>
          <w:p w14:paraId="6BFF207F" w14:textId="77777777" w:rsidR="00ED2EBD" w:rsidRPr="00BD16B4" w:rsidRDefault="00ED2EBD" w:rsidP="004A205F">
            <w:pPr>
              <w:pStyle w:val="TableText"/>
              <w:keepNext/>
              <w:spacing w:before="40" w:after="40"/>
              <w:jc w:val="right"/>
              <w:rPr>
                <w:szCs w:val="18"/>
              </w:rPr>
            </w:pPr>
            <w:r w:rsidRPr="00BD16B4">
              <w:rPr>
                <w:szCs w:val="18"/>
              </w:rPr>
              <w:t>1,212.99</w:t>
            </w:r>
          </w:p>
        </w:tc>
        <w:tc>
          <w:tcPr>
            <w:tcW w:w="794" w:type="dxa"/>
            <w:shd w:val="clear" w:color="auto" w:fill="auto"/>
          </w:tcPr>
          <w:p w14:paraId="358EA6FE" w14:textId="77777777" w:rsidR="00ED2EBD" w:rsidRPr="00BD16B4" w:rsidRDefault="00ED2EBD" w:rsidP="004A205F">
            <w:pPr>
              <w:pStyle w:val="TableText"/>
              <w:keepNext/>
              <w:spacing w:before="40" w:after="40"/>
              <w:jc w:val="right"/>
              <w:rPr>
                <w:szCs w:val="18"/>
              </w:rPr>
            </w:pPr>
            <w:r w:rsidRPr="00BD16B4">
              <w:rPr>
                <w:szCs w:val="18"/>
              </w:rPr>
              <w:t>1,309.81</w:t>
            </w:r>
          </w:p>
        </w:tc>
        <w:tc>
          <w:tcPr>
            <w:tcW w:w="794" w:type="dxa"/>
            <w:shd w:val="clear" w:color="auto" w:fill="auto"/>
          </w:tcPr>
          <w:p w14:paraId="3CA925AE" w14:textId="77777777" w:rsidR="00ED2EBD" w:rsidRPr="00BD16B4" w:rsidRDefault="00ED2EBD" w:rsidP="004A205F">
            <w:pPr>
              <w:pStyle w:val="TableText"/>
              <w:keepNext/>
              <w:spacing w:before="40" w:after="40"/>
              <w:jc w:val="right"/>
              <w:rPr>
                <w:szCs w:val="18"/>
              </w:rPr>
            </w:pPr>
            <w:r w:rsidRPr="00BD16B4">
              <w:rPr>
                <w:szCs w:val="18"/>
              </w:rPr>
              <w:t>1,359.18</w:t>
            </w:r>
          </w:p>
        </w:tc>
        <w:tc>
          <w:tcPr>
            <w:tcW w:w="794" w:type="dxa"/>
            <w:shd w:val="clear" w:color="auto" w:fill="auto"/>
          </w:tcPr>
          <w:p w14:paraId="40176205" w14:textId="77777777" w:rsidR="00ED2EBD" w:rsidRPr="00BD16B4" w:rsidRDefault="00ED2EBD" w:rsidP="004A205F">
            <w:pPr>
              <w:pStyle w:val="TableText"/>
              <w:keepNext/>
              <w:spacing w:before="40" w:after="40"/>
              <w:jc w:val="right"/>
              <w:rPr>
                <w:szCs w:val="18"/>
              </w:rPr>
            </w:pPr>
            <w:r w:rsidRPr="00BD16B4">
              <w:rPr>
                <w:szCs w:val="18"/>
              </w:rPr>
              <w:t>1,409.20</w:t>
            </w:r>
          </w:p>
        </w:tc>
        <w:tc>
          <w:tcPr>
            <w:tcW w:w="794" w:type="dxa"/>
            <w:shd w:val="clear" w:color="auto" w:fill="auto"/>
          </w:tcPr>
          <w:p w14:paraId="5C18438A" w14:textId="77777777" w:rsidR="00ED2EBD" w:rsidRPr="00BD16B4" w:rsidRDefault="00ED2EBD" w:rsidP="004A205F">
            <w:pPr>
              <w:pStyle w:val="TableText"/>
              <w:keepNext/>
              <w:spacing w:before="40" w:after="40"/>
              <w:jc w:val="right"/>
              <w:rPr>
                <w:szCs w:val="18"/>
              </w:rPr>
            </w:pPr>
            <w:r w:rsidRPr="00BD16B4">
              <w:rPr>
                <w:szCs w:val="18"/>
              </w:rPr>
              <w:t>1,444.76</w:t>
            </w:r>
          </w:p>
        </w:tc>
        <w:tc>
          <w:tcPr>
            <w:tcW w:w="794" w:type="dxa"/>
            <w:shd w:val="clear" w:color="auto" w:fill="auto"/>
          </w:tcPr>
          <w:p w14:paraId="29E3EA4A" w14:textId="77777777" w:rsidR="00ED2EBD" w:rsidRPr="00BD16B4" w:rsidRDefault="00ED2EBD" w:rsidP="004A205F">
            <w:pPr>
              <w:pStyle w:val="TableText"/>
              <w:keepNext/>
              <w:spacing w:before="40" w:after="40"/>
              <w:jc w:val="right"/>
              <w:rPr>
                <w:szCs w:val="18"/>
              </w:rPr>
            </w:pPr>
            <w:r w:rsidRPr="00BD16B4">
              <w:rPr>
                <w:szCs w:val="18"/>
              </w:rPr>
              <w:t>1,468.24</w:t>
            </w:r>
          </w:p>
        </w:tc>
        <w:tc>
          <w:tcPr>
            <w:tcW w:w="794" w:type="dxa"/>
            <w:shd w:val="clear" w:color="auto" w:fill="auto"/>
          </w:tcPr>
          <w:p w14:paraId="279FD49A" w14:textId="77777777" w:rsidR="00ED2EBD" w:rsidRPr="00BD16B4" w:rsidRDefault="00ED2EBD" w:rsidP="004A205F">
            <w:pPr>
              <w:pStyle w:val="TableText"/>
              <w:keepNext/>
              <w:spacing w:before="40" w:after="40"/>
              <w:jc w:val="right"/>
              <w:rPr>
                <w:szCs w:val="18"/>
              </w:rPr>
            </w:pPr>
            <w:r w:rsidRPr="00BD16B4">
              <w:rPr>
                <w:szCs w:val="18"/>
              </w:rPr>
              <w:t>1,526.43</w:t>
            </w:r>
          </w:p>
        </w:tc>
        <w:tc>
          <w:tcPr>
            <w:tcW w:w="794" w:type="dxa"/>
          </w:tcPr>
          <w:p w14:paraId="39ABE8DE" w14:textId="77777777" w:rsidR="00ED2EBD" w:rsidRPr="00BD16B4" w:rsidRDefault="00ED2EBD" w:rsidP="004A205F">
            <w:pPr>
              <w:pStyle w:val="TableText"/>
              <w:keepNext/>
              <w:spacing w:before="40" w:after="40"/>
              <w:jc w:val="right"/>
              <w:rPr>
                <w:szCs w:val="18"/>
              </w:rPr>
            </w:pPr>
            <w:r w:rsidRPr="00BD16B4">
              <w:rPr>
                <w:szCs w:val="18"/>
              </w:rPr>
              <w:t>1,551.43</w:t>
            </w:r>
          </w:p>
        </w:tc>
        <w:tc>
          <w:tcPr>
            <w:tcW w:w="794" w:type="dxa"/>
          </w:tcPr>
          <w:p w14:paraId="13116D16" w14:textId="77777777" w:rsidR="00ED2EBD" w:rsidRPr="00BD16B4" w:rsidRDefault="00ED2EBD" w:rsidP="004A205F">
            <w:pPr>
              <w:pStyle w:val="TableText"/>
              <w:keepNext/>
              <w:spacing w:before="40" w:after="40"/>
              <w:jc w:val="right"/>
              <w:rPr>
                <w:szCs w:val="18"/>
              </w:rPr>
            </w:pPr>
            <w:r w:rsidRPr="00BD16B4">
              <w:rPr>
                <w:szCs w:val="18"/>
              </w:rPr>
              <w:t>1,570.13</w:t>
            </w:r>
          </w:p>
        </w:tc>
        <w:tc>
          <w:tcPr>
            <w:tcW w:w="794" w:type="dxa"/>
            <w:shd w:val="clear" w:color="auto" w:fill="auto"/>
          </w:tcPr>
          <w:p w14:paraId="1E928FB4" w14:textId="77777777" w:rsidR="00ED2EBD" w:rsidRPr="00BD16B4" w:rsidRDefault="00ED2EBD" w:rsidP="004A205F">
            <w:pPr>
              <w:pStyle w:val="TableText"/>
              <w:keepNext/>
              <w:spacing w:before="40" w:after="40"/>
              <w:jc w:val="right"/>
              <w:rPr>
                <w:szCs w:val="18"/>
              </w:rPr>
            </w:pPr>
            <w:r w:rsidRPr="00BD16B4">
              <w:rPr>
                <w:szCs w:val="18"/>
              </w:rPr>
              <w:t>1,568.21</w:t>
            </w:r>
          </w:p>
        </w:tc>
      </w:tr>
      <w:tr w:rsidR="00ED2EBD" w:rsidRPr="00BD16B4" w14:paraId="409E812E" w14:textId="77777777" w:rsidTr="00184956">
        <w:tc>
          <w:tcPr>
            <w:tcW w:w="3402" w:type="dxa"/>
          </w:tcPr>
          <w:p w14:paraId="44D875E3" w14:textId="77777777" w:rsidR="00ED2EBD" w:rsidRPr="00BD16B4" w:rsidRDefault="00ED2EBD" w:rsidP="004A205F">
            <w:pPr>
              <w:pStyle w:val="TableText"/>
              <w:spacing w:before="40" w:after="40"/>
              <w:rPr>
                <w:szCs w:val="18"/>
              </w:rPr>
            </w:pPr>
            <w:r w:rsidRPr="00BD16B4">
              <w:rPr>
                <w:b/>
                <w:bCs/>
                <w:szCs w:val="18"/>
              </w:rPr>
              <w:t>Emissions of HFCs (kt CO</w:t>
            </w:r>
            <w:r w:rsidRPr="00BD16B4">
              <w:rPr>
                <w:b/>
                <w:bCs/>
                <w:szCs w:val="18"/>
                <w:vertAlign w:val="subscript"/>
              </w:rPr>
              <w:t>2</w:t>
            </w:r>
            <w:r w:rsidRPr="00BD16B4">
              <w:rPr>
                <w:b/>
                <w:bCs/>
                <w:szCs w:val="18"/>
              </w:rPr>
              <w:t>-equivalent)</w:t>
            </w:r>
          </w:p>
        </w:tc>
        <w:tc>
          <w:tcPr>
            <w:tcW w:w="794" w:type="dxa"/>
            <w:shd w:val="clear" w:color="auto" w:fill="auto"/>
          </w:tcPr>
          <w:p w14:paraId="3F2F4E38" w14:textId="77777777" w:rsidR="00ED2EBD" w:rsidRPr="00BD16B4" w:rsidRDefault="00ED2EBD" w:rsidP="004A205F">
            <w:pPr>
              <w:pStyle w:val="TableText"/>
              <w:spacing w:before="40" w:after="40"/>
              <w:jc w:val="right"/>
              <w:rPr>
                <w:szCs w:val="18"/>
              </w:rPr>
            </w:pPr>
            <w:r w:rsidRPr="00BD16B4">
              <w:rPr>
                <w:szCs w:val="18"/>
              </w:rPr>
              <w:t>1,100.81</w:t>
            </w:r>
          </w:p>
        </w:tc>
        <w:tc>
          <w:tcPr>
            <w:tcW w:w="794" w:type="dxa"/>
            <w:shd w:val="clear" w:color="auto" w:fill="auto"/>
          </w:tcPr>
          <w:p w14:paraId="14D8A27F" w14:textId="77777777" w:rsidR="00ED2EBD" w:rsidRPr="00BD16B4" w:rsidRDefault="00ED2EBD" w:rsidP="004A205F">
            <w:pPr>
              <w:pStyle w:val="TableText"/>
              <w:spacing w:before="40" w:after="40"/>
              <w:jc w:val="right"/>
              <w:rPr>
                <w:szCs w:val="18"/>
              </w:rPr>
            </w:pPr>
            <w:r w:rsidRPr="00BD16B4">
              <w:rPr>
                <w:szCs w:val="18"/>
              </w:rPr>
              <w:t>1,177.84</w:t>
            </w:r>
          </w:p>
        </w:tc>
        <w:tc>
          <w:tcPr>
            <w:tcW w:w="794" w:type="dxa"/>
            <w:shd w:val="clear" w:color="auto" w:fill="auto"/>
          </w:tcPr>
          <w:p w14:paraId="55DEA80B" w14:textId="77777777" w:rsidR="00ED2EBD" w:rsidRPr="00BD16B4" w:rsidRDefault="00ED2EBD" w:rsidP="004A205F">
            <w:pPr>
              <w:pStyle w:val="TableText"/>
              <w:spacing w:before="40" w:after="40"/>
              <w:jc w:val="right"/>
              <w:rPr>
                <w:szCs w:val="18"/>
              </w:rPr>
            </w:pPr>
            <w:r w:rsidRPr="00BD16B4">
              <w:rPr>
                <w:szCs w:val="18"/>
              </w:rPr>
              <w:t>1,262.35</w:t>
            </w:r>
          </w:p>
        </w:tc>
        <w:tc>
          <w:tcPr>
            <w:tcW w:w="794" w:type="dxa"/>
            <w:shd w:val="clear" w:color="auto" w:fill="auto"/>
          </w:tcPr>
          <w:p w14:paraId="59E199E4" w14:textId="77777777" w:rsidR="00ED2EBD" w:rsidRPr="00BD16B4" w:rsidRDefault="00ED2EBD" w:rsidP="004A205F">
            <w:pPr>
              <w:pStyle w:val="TableText"/>
              <w:spacing w:before="40" w:after="40"/>
              <w:jc w:val="right"/>
              <w:rPr>
                <w:szCs w:val="18"/>
              </w:rPr>
            </w:pPr>
            <w:r w:rsidRPr="00BD16B4">
              <w:rPr>
                <w:szCs w:val="18"/>
              </w:rPr>
              <w:t>1,311.05</w:t>
            </w:r>
          </w:p>
        </w:tc>
        <w:tc>
          <w:tcPr>
            <w:tcW w:w="794" w:type="dxa"/>
            <w:shd w:val="clear" w:color="auto" w:fill="auto"/>
          </w:tcPr>
          <w:p w14:paraId="3ED9AF3F" w14:textId="77777777" w:rsidR="00ED2EBD" w:rsidRPr="00BD16B4" w:rsidRDefault="00ED2EBD" w:rsidP="004A205F">
            <w:pPr>
              <w:pStyle w:val="TableText"/>
              <w:spacing w:before="40" w:after="40"/>
              <w:jc w:val="right"/>
              <w:rPr>
                <w:szCs w:val="18"/>
              </w:rPr>
            </w:pPr>
            <w:r w:rsidRPr="00BD16B4">
              <w:rPr>
                <w:szCs w:val="18"/>
              </w:rPr>
              <w:t>1,335.79</w:t>
            </w:r>
          </w:p>
        </w:tc>
        <w:tc>
          <w:tcPr>
            <w:tcW w:w="794" w:type="dxa"/>
            <w:shd w:val="clear" w:color="auto" w:fill="auto"/>
          </w:tcPr>
          <w:p w14:paraId="4024E18C" w14:textId="77777777" w:rsidR="00ED2EBD" w:rsidRPr="00BD16B4" w:rsidRDefault="00ED2EBD" w:rsidP="004A205F">
            <w:pPr>
              <w:pStyle w:val="TableText"/>
              <w:spacing w:before="40" w:after="40"/>
              <w:jc w:val="right"/>
              <w:rPr>
                <w:szCs w:val="18"/>
              </w:rPr>
            </w:pPr>
            <w:r w:rsidRPr="00BD16B4">
              <w:rPr>
                <w:szCs w:val="18"/>
              </w:rPr>
              <w:t>1,386.17</w:t>
            </w:r>
          </w:p>
        </w:tc>
        <w:tc>
          <w:tcPr>
            <w:tcW w:w="794" w:type="dxa"/>
            <w:shd w:val="clear" w:color="auto" w:fill="auto"/>
          </w:tcPr>
          <w:p w14:paraId="61ED93A5" w14:textId="77777777" w:rsidR="00ED2EBD" w:rsidRPr="00BD16B4" w:rsidRDefault="00ED2EBD" w:rsidP="004A205F">
            <w:pPr>
              <w:pStyle w:val="TableText"/>
              <w:spacing w:before="40" w:after="40"/>
              <w:jc w:val="right"/>
              <w:rPr>
                <w:szCs w:val="18"/>
              </w:rPr>
            </w:pPr>
            <w:r w:rsidRPr="00BD16B4">
              <w:rPr>
                <w:szCs w:val="18"/>
              </w:rPr>
              <w:t>1,419.55</w:t>
            </w:r>
          </w:p>
        </w:tc>
        <w:tc>
          <w:tcPr>
            <w:tcW w:w="794" w:type="dxa"/>
            <w:shd w:val="clear" w:color="auto" w:fill="auto"/>
          </w:tcPr>
          <w:p w14:paraId="72460E55" w14:textId="77777777" w:rsidR="00ED2EBD" w:rsidRPr="00BD16B4" w:rsidRDefault="00ED2EBD" w:rsidP="004A205F">
            <w:pPr>
              <w:pStyle w:val="TableText"/>
              <w:spacing w:before="40" w:after="40"/>
              <w:jc w:val="right"/>
              <w:rPr>
                <w:szCs w:val="18"/>
              </w:rPr>
            </w:pPr>
            <w:r w:rsidRPr="00BD16B4">
              <w:rPr>
                <w:szCs w:val="18"/>
              </w:rPr>
              <w:t>1,465.97</w:t>
            </w:r>
          </w:p>
        </w:tc>
        <w:tc>
          <w:tcPr>
            <w:tcW w:w="794" w:type="dxa"/>
          </w:tcPr>
          <w:p w14:paraId="04A0DA94" w14:textId="77777777" w:rsidR="00ED2EBD" w:rsidRPr="00BD16B4" w:rsidRDefault="00ED2EBD" w:rsidP="004A205F">
            <w:pPr>
              <w:pStyle w:val="TableText"/>
              <w:spacing w:before="40" w:after="40"/>
              <w:jc w:val="right"/>
              <w:rPr>
                <w:szCs w:val="18"/>
              </w:rPr>
            </w:pPr>
            <w:r w:rsidRPr="00BD16B4">
              <w:rPr>
                <w:szCs w:val="18"/>
              </w:rPr>
              <w:t>1,479.03</w:t>
            </w:r>
          </w:p>
        </w:tc>
        <w:tc>
          <w:tcPr>
            <w:tcW w:w="794" w:type="dxa"/>
          </w:tcPr>
          <w:p w14:paraId="29EE1172" w14:textId="77777777" w:rsidR="00ED2EBD" w:rsidRPr="00BD16B4" w:rsidRDefault="00ED2EBD" w:rsidP="004A205F">
            <w:pPr>
              <w:pStyle w:val="TableText"/>
              <w:spacing w:before="40" w:after="40"/>
              <w:jc w:val="right"/>
              <w:rPr>
                <w:szCs w:val="18"/>
              </w:rPr>
            </w:pPr>
            <w:r w:rsidRPr="00BD16B4">
              <w:rPr>
                <w:szCs w:val="18"/>
              </w:rPr>
              <w:t>1,481.00</w:t>
            </w:r>
          </w:p>
        </w:tc>
        <w:tc>
          <w:tcPr>
            <w:tcW w:w="794" w:type="dxa"/>
            <w:shd w:val="clear" w:color="auto" w:fill="auto"/>
          </w:tcPr>
          <w:p w14:paraId="2D20064D" w14:textId="77777777" w:rsidR="00ED2EBD" w:rsidRPr="00BD16B4" w:rsidRDefault="00ED2EBD" w:rsidP="004A205F">
            <w:pPr>
              <w:pStyle w:val="TableText"/>
              <w:spacing w:before="40" w:after="40"/>
              <w:jc w:val="right"/>
              <w:rPr>
                <w:szCs w:val="18"/>
              </w:rPr>
            </w:pPr>
            <w:r w:rsidRPr="00BD16B4">
              <w:rPr>
                <w:szCs w:val="18"/>
              </w:rPr>
              <w:t>1,480.29</w:t>
            </w:r>
          </w:p>
        </w:tc>
      </w:tr>
      <w:tr w:rsidR="00ED2EBD" w:rsidRPr="00BD16B4" w14:paraId="6160DAAB" w14:textId="77777777" w:rsidTr="00184956">
        <w:tc>
          <w:tcPr>
            <w:tcW w:w="3402" w:type="dxa"/>
          </w:tcPr>
          <w:p w14:paraId="1BCE86F2" w14:textId="77777777" w:rsidR="00ED2EBD" w:rsidRPr="00BD16B4" w:rsidRDefault="00ED2EBD" w:rsidP="004A205F">
            <w:pPr>
              <w:pStyle w:val="TableText"/>
              <w:spacing w:before="40" w:after="40"/>
              <w:rPr>
                <w:szCs w:val="18"/>
              </w:rPr>
            </w:pPr>
            <w:r w:rsidRPr="00BD16B4">
              <w:rPr>
                <w:szCs w:val="18"/>
              </w:rPr>
              <w:t>HFC-23</w:t>
            </w:r>
          </w:p>
        </w:tc>
        <w:tc>
          <w:tcPr>
            <w:tcW w:w="794" w:type="dxa"/>
            <w:shd w:val="clear" w:color="auto" w:fill="auto"/>
          </w:tcPr>
          <w:p w14:paraId="5D1BC575"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0D7307A7"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10F94599"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45EFAD56"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16D9A345"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36595E8A"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1D8CB11F"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3973B5B3"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270E59CA"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6C9751FA"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0430DB7C"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4424FE92" w14:textId="77777777" w:rsidTr="00184956">
        <w:tc>
          <w:tcPr>
            <w:tcW w:w="3402" w:type="dxa"/>
          </w:tcPr>
          <w:p w14:paraId="5BB1BBEB" w14:textId="77777777" w:rsidR="00ED2EBD" w:rsidRPr="00BD16B4" w:rsidRDefault="00ED2EBD" w:rsidP="004A205F">
            <w:pPr>
              <w:pStyle w:val="TableText"/>
              <w:spacing w:before="40" w:after="40"/>
              <w:rPr>
                <w:szCs w:val="18"/>
              </w:rPr>
            </w:pPr>
            <w:r w:rsidRPr="00BD16B4">
              <w:rPr>
                <w:szCs w:val="18"/>
              </w:rPr>
              <w:t>HFC-32</w:t>
            </w:r>
          </w:p>
        </w:tc>
        <w:tc>
          <w:tcPr>
            <w:tcW w:w="794" w:type="dxa"/>
            <w:shd w:val="clear" w:color="auto" w:fill="auto"/>
          </w:tcPr>
          <w:p w14:paraId="4C83127E" w14:textId="77777777" w:rsidR="00ED2EBD" w:rsidRPr="00BD16B4" w:rsidRDefault="00ED2EBD" w:rsidP="004A205F">
            <w:pPr>
              <w:pStyle w:val="TableText"/>
              <w:spacing w:before="40" w:after="40"/>
              <w:jc w:val="right"/>
              <w:rPr>
                <w:szCs w:val="18"/>
              </w:rPr>
            </w:pPr>
            <w:r w:rsidRPr="00BD16B4">
              <w:rPr>
                <w:szCs w:val="18"/>
              </w:rPr>
              <w:t>0.02</w:t>
            </w:r>
          </w:p>
        </w:tc>
        <w:tc>
          <w:tcPr>
            <w:tcW w:w="794" w:type="dxa"/>
            <w:shd w:val="clear" w:color="auto" w:fill="auto"/>
          </w:tcPr>
          <w:p w14:paraId="5B6949BB" w14:textId="77777777" w:rsidR="00ED2EBD" w:rsidRPr="00BD16B4" w:rsidRDefault="00ED2EBD" w:rsidP="004A205F">
            <w:pPr>
              <w:pStyle w:val="TableText"/>
              <w:spacing w:before="40" w:after="40"/>
              <w:jc w:val="right"/>
              <w:rPr>
                <w:szCs w:val="18"/>
              </w:rPr>
            </w:pPr>
            <w:r w:rsidRPr="00BD16B4">
              <w:rPr>
                <w:szCs w:val="18"/>
              </w:rPr>
              <w:t>0.04</w:t>
            </w:r>
          </w:p>
        </w:tc>
        <w:tc>
          <w:tcPr>
            <w:tcW w:w="794" w:type="dxa"/>
            <w:shd w:val="clear" w:color="auto" w:fill="auto"/>
          </w:tcPr>
          <w:p w14:paraId="713E8297" w14:textId="77777777" w:rsidR="00ED2EBD" w:rsidRPr="00BD16B4" w:rsidRDefault="00ED2EBD" w:rsidP="004A205F">
            <w:pPr>
              <w:pStyle w:val="TableText"/>
              <w:spacing w:before="40" w:after="40"/>
              <w:jc w:val="right"/>
              <w:rPr>
                <w:szCs w:val="18"/>
              </w:rPr>
            </w:pPr>
            <w:r w:rsidRPr="00BD16B4">
              <w:rPr>
                <w:szCs w:val="18"/>
              </w:rPr>
              <w:t>0.04</w:t>
            </w:r>
          </w:p>
        </w:tc>
        <w:tc>
          <w:tcPr>
            <w:tcW w:w="794" w:type="dxa"/>
            <w:shd w:val="clear" w:color="auto" w:fill="auto"/>
          </w:tcPr>
          <w:p w14:paraId="0624DE22" w14:textId="77777777" w:rsidR="00ED2EBD" w:rsidRPr="00BD16B4" w:rsidRDefault="00ED2EBD" w:rsidP="004A205F">
            <w:pPr>
              <w:pStyle w:val="TableText"/>
              <w:spacing w:before="40" w:after="40"/>
              <w:jc w:val="right"/>
              <w:rPr>
                <w:szCs w:val="18"/>
              </w:rPr>
            </w:pPr>
            <w:r w:rsidRPr="00BD16B4">
              <w:rPr>
                <w:szCs w:val="18"/>
              </w:rPr>
              <w:t>0.04</w:t>
            </w:r>
          </w:p>
        </w:tc>
        <w:tc>
          <w:tcPr>
            <w:tcW w:w="794" w:type="dxa"/>
            <w:shd w:val="clear" w:color="auto" w:fill="auto"/>
          </w:tcPr>
          <w:p w14:paraId="4F6A7AD1" w14:textId="77777777" w:rsidR="00ED2EBD" w:rsidRPr="00BD16B4" w:rsidRDefault="00ED2EBD" w:rsidP="004A205F">
            <w:pPr>
              <w:pStyle w:val="TableText"/>
              <w:spacing w:before="40" w:after="40"/>
              <w:jc w:val="right"/>
              <w:rPr>
                <w:szCs w:val="18"/>
              </w:rPr>
            </w:pPr>
            <w:r w:rsidRPr="00BD16B4">
              <w:rPr>
                <w:szCs w:val="18"/>
              </w:rPr>
              <w:t>0.04</w:t>
            </w:r>
          </w:p>
        </w:tc>
        <w:tc>
          <w:tcPr>
            <w:tcW w:w="794" w:type="dxa"/>
            <w:shd w:val="clear" w:color="auto" w:fill="auto"/>
          </w:tcPr>
          <w:p w14:paraId="42F6942B" w14:textId="77777777" w:rsidR="00ED2EBD" w:rsidRPr="00BD16B4" w:rsidRDefault="00ED2EBD" w:rsidP="004A205F">
            <w:pPr>
              <w:pStyle w:val="TableText"/>
              <w:spacing w:before="40" w:after="40"/>
              <w:jc w:val="right"/>
              <w:rPr>
                <w:szCs w:val="18"/>
              </w:rPr>
            </w:pPr>
            <w:r w:rsidRPr="00BD16B4">
              <w:rPr>
                <w:szCs w:val="18"/>
              </w:rPr>
              <w:t>0.05</w:t>
            </w:r>
          </w:p>
        </w:tc>
        <w:tc>
          <w:tcPr>
            <w:tcW w:w="794" w:type="dxa"/>
            <w:shd w:val="clear" w:color="auto" w:fill="auto"/>
          </w:tcPr>
          <w:p w14:paraId="089F1336" w14:textId="77777777" w:rsidR="00ED2EBD" w:rsidRPr="00BD16B4" w:rsidRDefault="00ED2EBD" w:rsidP="004A205F">
            <w:pPr>
              <w:pStyle w:val="TableText"/>
              <w:spacing w:before="40" w:after="40"/>
              <w:jc w:val="right"/>
              <w:rPr>
                <w:szCs w:val="18"/>
              </w:rPr>
            </w:pPr>
            <w:r w:rsidRPr="00BD16B4">
              <w:rPr>
                <w:szCs w:val="18"/>
              </w:rPr>
              <w:t>0.07</w:t>
            </w:r>
          </w:p>
        </w:tc>
        <w:tc>
          <w:tcPr>
            <w:tcW w:w="794" w:type="dxa"/>
            <w:shd w:val="clear" w:color="auto" w:fill="auto"/>
          </w:tcPr>
          <w:p w14:paraId="59B0AD12" w14:textId="77777777" w:rsidR="00ED2EBD" w:rsidRPr="00BD16B4" w:rsidRDefault="00ED2EBD" w:rsidP="004A205F">
            <w:pPr>
              <w:pStyle w:val="TableText"/>
              <w:spacing w:before="40" w:after="40"/>
              <w:jc w:val="right"/>
              <w:rPr>
                <w:szCs w:val="18"/>
              </w:rPr>
            </w:pPr>
            <w:r w:rsidRPr="00BD16B4">
              <w:rPr>
                <w:szCs w:val="18"/>
              </w:rPr>
              <w:t>0.08</w:t>
            </w:r>
          </w:p>
        </w:tc>
        <w:tc>
          <w:tcPr>
            <w:tcW w:w="794" w:type="dxa"/>
          </w:tcPr>
          <w:p w14:paraId="69EC7D0E" w14:textId="77777777" w:rsidR="00ED2EBD" w:rsidRPr="00BD16B4" w:rsidRDefault="00ED2EBD" w:rsidP="004A205F">
            <w:pPr>
              <w:pStyle w:val="TableText"/>
              <w:spacing w:before="40" w:after="40"/>
              <w:jc w:val="right"/>
              <w:rPr>
                <w:szCs w:val="18"/>
              </w:rPr>
            </w:pPr>
            <w:r w:rsidRPr="00BD16B4">
              <w:rPr>
                <w:szCs w:val="18"/>
              </w:rPr>
              <w:t>0.10</w:t>
            </w:r>
          </w:p>
        </w:tc>
        <w:tc>
          <w:tcPr>
            <w:tcW w:w="794" w:type="dxa"/>
          </w:tcPr>
          <w:p w14:paraId="3086630B" w14:textId="77777777" w:rsidR="00ED2EBD" w:rsidRPr="00BD16B4" w:rsidRDefault="00ED2EBD" w:rsidP="004A205F">
            <w:pPr>
              <w:pStyle w:val="TableText"/>
              <w:spacing w:before="40" w:after="40"/>
              <w:jc w:val="right"/>
              <w:rPr>
                <w:szCs w:val="18"/>
              </w:rPr>
            </w:pPr>
            <w:r w:rsidRPr="00BD16B4">
              <w:rPr>
                <w:szCs w:val="18"/>
              </w:rPr>
              <w:t>0.12</w:t>
            </w:r>
          </w:p>
        </w:tc>
        <w:tc>
          <w:tcPr>
            <w:tcW w:w="794" w:type="dxa"/>
            <w:shd w:val="clear" w:color="auto" w:fill="auto"/>
          </w:tcPr>
          <w:p w14:paraId="2E92787C" w14:textId="77777777" w:rsidR="00ED2EBD" w:rsidRPr="00BD16B4" w:rsidRDefault="00ED2EBD" w:rsidP="004A205F">
            <w:pPr>
              <w:pStyle w:val="TableText"/>
              <w:spacing w:before="40" w:after="40"/>
              <w:jc w:val="right"/>
              <w:rPr>
                <w:szCs w:val="18"/>
              </w:rPr>
            </w:pPr>
            <w:r w:rsidRPr="00BD16B4">
              <w:rPr>
                <w:szCs w:val="18"/>
              </w:rPr>
              <w:t>0.10</w:t>
            </w:r>
          </w:p>
        </w:tc>
      </w:tr>
      <w:tr w:rsidR="00ED2EBD" w:rsidRPr="00BD16B4" w14:paraId="5F8F03F1" w14:textId="77777777" w:rsidTr="00184956">
        <w:tc>
          <w:tcPr>
            <w:tcW w:w="3402" w:type="dxa"/>
          </w:tcPr>
          <w:p w14:paraId="5A46F27E" w14:textId="77777777" w:rsidR="00ED2EBD" w:rsidRPr="00BD16B4" w:rsidRDefault="00ED2EBD" w:rsidP="004A205F">
            <w:pPr>
              <w:pStyle w:val="TableText"/>
              <w:spacing w:before="40" w:after="40"/>
              <w:rPr>
                <w:szCs w:val="18"/>
              </w:rPr>
            </w:pPr>
            <w:r w:rsidRPr="00BD16B4">
              <w:rPr>
                <w:szCs w:val="18"/>
              </w:rPr>
              <w:t>HFC-41</w:t>
            </w:r>
          </w:p>
        </w:tc>
        <w:tc>
          <w:tcPr>
            <w:tcW w:w="794" w:type="dxa"/>
            <w:shd w:val="clear" w:color="auto" w:fill="auto"/>
          </w:tcPr>
          <w:p w14:paraId="6ED1A23D"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7B49EF86"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E76E123"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1A7E67E"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71421D07"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0608AA9"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62B42546"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406CAE4"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03A26C37"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091E363A"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6713040B"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1BBCC6B5" w14:textId="77777777" w:rsidTr="00184956">
        <w:tc>
          <w:tcPr>
            <w:tcW w:w="3402" w:type="dxa"/>
          </w:tcPr>
          <w:p w14:paraId="0C972E9D" w14:textId="77777777" w:rsidR="00ED2EBD" w:rsidRPr="00BD16B4" w:rsidRDefault="00ED2EBD" w:rsidP="004A205F">
            <w:pPr>
              <w:pStyle w:val="TableText"/>
              <w:spacing w:before="40" w:after="40"/>
              <w:rPr>
                <w:szCs w:val="18"/>
              </w:rPr>
            </w:pPr>
            <w:r w:rsidRPr="00BD16B4">
              <w:rPr>
                <w:szCs w:val="18"/>
              </w:rPr>
              <w:t>HFC-43-10mee</w:t>
            </w:r>
          </w:p>
        </w:tc>
        <w:tc>
          <w:tcPr>
            <w:tcW w:w="794" w:type="dxa"/>
            <w:shd w:val="clear" w:color="auto" w:fill="auto"/>
          </w:tcPr>
          <w:p w14:paraId="1EE3EC64"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28F08A60"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2EF95ABF"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2F1B0B02"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3B82195A"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0913726E"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4A19AC8B"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55FD2E61"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6CE92FEE"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48E09E7E"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6C2D2A4D"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1405E8A4" w14:textId="77777777" w:rsidTr="00184956">
        <w:tc>
          <w:tcPr>
            <w:tcW w:w="3402" w:type="dxa"/>
          </w:tcPr>
          <w:p w14:paraId="341FD59C" w14:textId="77777777" w:rsidR="00ED2EBD" w:rsidRPr="00BD16B4" w:rsidRDefault="00ED2EBD" w:rsidP="004A205F">
            <w:pPr>
              <w:pStyle w:val="TableText"/>
              <w:spacing w:before="40" w:after="40"/>
              <w:rPr>
                <w:szCs w:val="18"/>
              </w:rPr>
            </w:pPr>
            <w:r w:rsidRPr="00BD16B4">
              <w:rPr>
                <w:szCs w:val="18"/>
              </w:rPr>
              <w:t>HFC-125</w:t>
            </w:r>
          </w:p>
        </w:tc>
        <w:tc>
          <w:tcPr>
            <w:tcW w:w="794" w:type="dxa"/>
            <w:shd w:val="clear" w:color="auto" w:fill="auto"/>
          </w:tcPr>
          <w:p w14:paraId="4452A2EE" w14:textId="77777777" w:rsidR="00ED2EBD" w:rsidRPr="00BD16B4" w:rsidRDefault="00ED2EBD" w:rsidP="004A205F">
            <w:pPr>
              <w:pStyle w:val="TableText"/>
              <w:spacing w:before="40" w:after="40"/>
              <w:jc w:val="right"/>
              <w:rPr>
                <w:szCs w:val="18"/>
              </w:rPr>
            </w:pPr>
            <w:r w:rsidRPr="00BD16B4">
              <w:rPr>
                <w:szCs w:val="18"/>
              </w:rPr>
              <w:t>0.09</w:t>
            </w:r>
          </w:p>
        </w:tc>
        <w:tc>
          <w:tcPr>
            <w:tcW w:w="794" w:type="dxa"/>
            <w:shd w:val="clear" w:color="auto" w:fill="auto"/>
          </w:tcPr>
          <w:p w14:paraId="31415576" w14:textId="77777777" w:rsidR="00ED2EBD" w:rsidRPr="00BD16B4" w:rsidRDefault="00ED2EBD" w:rsidP="004A205F">
            <w:pPr>
              <w:pStyle w:val="TableText"/>
              <w:spacing w:before="40" w:after="40"/>
              <w:jc w:val="right"/>
              <w:rPr>
                <w:szCs w:val="18"/>
              </w:rPr>
            </w:pPr>
            <w:r w:rsidRPr="00BD16B4">
              <w:rPr>
                <w:szCs w:val="18"/>
              </w:rPr>
              <w:t>0.10</w:t>
            </w:r>
          </w:p>
        </w:tc>
        <w:tc>
          <w:tcPr>
            <w:tcW w:w="794" w:type="dxa"/>
            <w:shd w:val="clear" w:color="auto" w:fill="auto"/>
          </w:tcPr>
          <w:p w14:paraId="327850E8" w14:textId="77777777" w:rsidR="00ED2EBD" w:rsidRPr="00BD16B4" w:rsidRDefault="00ED2EBD" w:rsidP="004A205F">
            <w:pPr>
              <w:pStyle w:val="TableText"/>
              <w:spacing w:before="40" w:after="40"/>
              <w:jc w:val="right"/>
              <w:rPr>
                <w:szCs w:val="18"/>
              </w:rPr>
            </w:pPr>
            <w:r w:rsidRPr="00BD16B4">
              <w:rPr>
                <w:szCs w:val="18"/>
              </w:rPr>
              <w:t>0.11</w:t>
            </w:r>
          </w:p>
        </w:tc>
        <w:tc>
          <w:tcPr>
            <w:tcW w:w="794" w:type="dxa"/>
            <w:shd w:val="clear" w:color="auto" w:fill="auto"/>
          </w:tcPr>
          <w:p w14:paraId="4CC4A13B" w14:textId="77777777" w:rsidR="00ED2EBD" w:rsidRPr="00BD16B4" w:rsidRDefault="00ED2EBD" w:rsidP="004A205F">
            <w:pPr>
              <w:pStyle w:val="TableText"/>
              <w:spacing w:before="40" w:after="40"/>
              <w:jc w:val="right"/>
              <w:rPr>
                <w:szCs w:val="18"/>
              </w:rPr>
            </w:pPr>
            <w:r w:rsidRPr="00BD16B4">
              <w:rPr>
                <w:szCs w:val="18"/>
              </w:rPr>
              <w:t>0.12</w:t>
            </w:r>
          </w:p>
        </w:tc>
        <w:tc>
          <w:tcPr>
            <w:tcW w:w="794" w:type="dxa"/>
            <w:shd w:val="clear" w:color="auto" w:fill="auto"/>
          </w:tcPr>
          <w:p w14:paraId="2E6A432E" w14:textId="77777777" w:rsidR="00ED2EBD" w:rsidRPr="00BD16B4" w:rsidRDefault="00ED2EBD" w:rsidP="004A205F">
            <w:pPr>
              <w:pStyle w:val="TableText"/>
              <w:spacing w:before="40" w:after="40"/>
              <w:jc w:val="right"/>
              <w:rPr>
                <w:szCs w:val="18"/>
              </w:rPr>
            </w:pPr>
            <w:r w:rsidRPr="00BD16B4">
              <w:rPr>
                <w:szCs w:val="18"/>
              </w:rPr>
              <w:t>0.11</w:t>
            </w:r>
          </w:p>
        </w:tc>
        <w:tc>
          <w:tcPr>
            <w:tcW w:w="794" w:type="dxa"/>
            <w:shd w:val="clear" w:color="auto" w:fill="auto"/>
          </w:tcPr>
          <w:p w14:paraId="3DA00105" w14:textId="77777777" w:rsidR="00ED2EBD" w:rsidRPr="00BD16B4" w:rsidRDefault="00ED2EBD" w:rsidP="004A205F">
            <w:pPr>
              <w:pStyle w:val="TableText"/>
              <w:spacing w:before="40" w:after="40"/>
              <w:jc w:val="right"/>
              <w:rPr>
                <w:szCs w:val="18"/>
              </w:rPr>
            </w:pPr>
            <w:r w:rsidRPr="00BD16B4">
              <w:rPr>
                <w:szCs w:val="18"/>
              </w:rPr>
              <w:t>0.13</w:t>
            </w:r>
          </w:p>
        </w:tc>
        <w:tc>
          <w:tcPr>
            <w:tcW w:w="794" w:type="dxa"/>
            <w:shd w:val="clear" w:color="auto" w:fill="auto"/>
          </w:tcPr>
          <w:p w14:paraId="3E53F755" w14:textId="77777777" w:rsidR="00ED2EBD" w:rsidRPr="00BD16B4" w:rsidRDefault="00ED2EBD" w:rsidP="004A205F">
            <w:pPr>
              <w:pStyle w:val="TableText"/>
              <w:spacing w:before="40" w:after="40"/>
              <w:jc w:val="right"/>
              <w:rPr>
                <w:szCs w:val="18"/>
              </w:rPr>
            </w:pPr>
            <w:r w:rsidRPr="00BD16B4">
              <w:rPr>
                <w:szCs w:val="18"/>
              </w:rPr>
              <w:t>0.15</w:t>
            </w:r>
          </w:p>
        </w:tc>
        <w:tc>
          <w:tcPr>
            <w:tcW w:w="794" w:type="dxa"/>
            <w:shd w:val="clear" w:color="auto" w:fill="auto"/>
          </w:tcPr>
          <w:p w14:paraId="36443B8A" w14:textId="77777777" w:rsidR="00ED2EBD" w:rsidRPr="00BD16B4" w:rsidRDefault="00ED2EBD" w:rsidP="004A205F">
            <w:pPr>
              <w:pStyle w:val="TableText"/>
              <w:spacing w:before="40" w:after="40"/>
              <w:jc w:val="right"/>
              <w:rPr>
                <w:szCs w:val="18"/>
              </w:rPr>
            </w:pPr>
            <w:r w:rsidRPr="00BD16B4">
              <w:rPr>
                <w:szCs w:val="18"/>
              </w:rPr>
              <w:t>0.15</w:t>
            </w:r>
          </w:p>
        </w:tc>
        <w:tc>
          <w:tcPr>
            <w:tcW w:w="794" w:type="dxa"/>
          </w:tcPr>
          <w:p w14:paraId="72ACF7CB" w14:textId="77777777" w:rsidR="00ED2EBD" w:rsidRPr="00BD16B4" w:rsidRDefault="00ED2EBD" w:rsidP="004A205F">
            <w:pPr>
              <w:pStyle w:val="TableText"/>
              <w:spacing w:before="40" w:after="40"/>
              <w:jc w:val="right"/>
              <w:rPr>
                <w:szCs w:val="18"/>
              </w:rPr>
            </w:pPr>
            <w:r w:rsidRPr="00BD16B4">
              <w:rPr>
                <w:szCs w:val="18"/>
              </w:rPr>
              <w:t>0.16</w:t>
            </w:r>
          </w:p>
        </w:tc>
        <w:tc>
          <w:tcPr>
            <w:tcW w:w="794" w:type="dxa"/>
          </w:tcPr>
          <w:p w14:paraId="70AB1EB4" w14:textId="77777777" w:rsidR="00ED2EBD" w:rsidRPr="00BD16B4" w:rsidRDefault="00ED2EBD" w:rsidP="004A205F">
            <w:pPr>
              <w:pStyle w:val="TableText"/>
              <w:spacing w:before="40" w:after="40"/>
              <w:jc w:val="right"/>
              <w:rPr>
                <w:szCs w:val="18"/>
              </w:rPr>
            </w:pPr>
            <w:r w:rsidRPr="00BD16B4">
              <w:rPr>
                <w:szCs w:val="18"/>
              </w:rPr>
              <w:t>0.17</w:t>
            </w:r>
          </w:p>
        </w:tc>
        <w:tc>
          <w:tcPr>
            <w:tcW w:w="794" w:type="dxa"/>
            <w:shd w:val="clear" w:color="auto" w:fill="auto"/>
          </w:tcPr>
          <w:p w14:paraId="6FC5D83F" w14:textId="77777777" w:rsidR="00ED2EBD" w:rsidRPr="00BD16B4" w:rsidRDefault="00ED2EBD" w:rsidP="004A205F">
            <w:pPr>
              <w:pStyle w:val="TableText"/>
              <w:spacing w:before="40" w:after="40"/>
              <w:jc w:val="right"/>
              <w:rPr>
                <w:szCs w:val="18"/>
              </w:rPr>
            </w:pPr>
            <w:r w:rsidRPr="00BD16B4">
              <w:rPr>
                <w:szCs w:val="18"/>
              </w:rPr>
              <w:t>0.16</w:t>
            </w:r>
          </w:p>
        </w:tc>
      </w:tr>
      <w:tr w:rsidR="00ED2EBD" w:rsidRPr="00BD16B4" w14:paraId="47F0459A" w14:textId="77777777" w:rsidTr="00184956">
        <w:tc>
          <w:tcPr>
            <w:tcW w:w="3402" w:type="dxa"/>
          </w:tcPr>
          <w:p w14:paraId="41BAA9E1" w14:textId="77777777" w:rsidR="00ED2EBD" w:rsidRPr="00BD16B4" w:rsidRDefault="00ED2EBD" w:rsidP="004A205F">
            <w:pPr>
              <w:pStyle w:val="TableText"/>
              <w:spacing w:before="40" w:after="40"/>
              <w:rPr>
                <w:szCs w:val="18"/>
              </w:rPr>
            </w:pPr>
            <w:r w:rsidRPr="00BD16B4">
              <w:rPr>
                <w:szCs w:val="18"/>
              </w:rPr>
              <w:t>HFC-134</w:t>
            </w:r>
          </w:p>
        </w:tc>
        <w:tc>
          <w:tcPr>
            <w:tcW w:w="794" w:type="dxa"/>
            <w:shd w:val="clear" w:color="auto" w:fill="auto"/>
          </w:tcPr>
          <w:p w14:paraId="3113EF76"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64D649B9"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0BD71F78"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6DEE93A"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0A63D79"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49117E9"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0D4F0E07"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2CD9E7DA"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3EA070B6"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2C10B9C7"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8B3E1F5"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6151BD43" w14:textId="77777777" w:rsidTr="00184956">
        <w:tc>
          <w:tcPr>
            <w:tcW w:w="3402" w:type="dxa"/>
          </w:tcPr>
          <w:p w14:paraId="67AAF75D" w14:textId="77777777" w:rsidR="00ED2EBD" w:rsidRPr="00BD16B4" w:rsidRDefault="00ED2EBD" w:rsidP="004A205F">
            <w:pPr>
              <w:pStyle w:val="TableText"/>
              <w:spacing w:before="40" w:after="40"/>
              <w:rPr>
                <w:szCs w:val="18"/>
              </w:rPr>
            </w:pPr>
            <w:r w:rsidRPr="00BD16B4">
              <w:rPr>
                <w:szCs w:val="18"/>
              </w:rPr>
              <w:t>HFC-134a</w:t>
            </w:r>
          </w:p>
        </w:tc>
        <w:tc>
          <w:tcPr>
            <w:tcW w:w="794" w:type="dxa"/>
            <w:shd w:val="clear" w:color="auto" w:fill="auto"/>
          </w:tcPr>
          <w:p w14:paraId="24E0A37F" w14:textId="77777777" w:rsidR="00ED2EBD" w:rsidRPr="00BD16B4" w:rsidRDefault="00ED2EBD" w:rsidP="004A205F">
            <w:pPr>
              <w:pStyle w:val="TableText"/>
              <w:spacing w:before="40" w:after="40"/>
              <w:jc w:val="right"/>
              <w:rPr>
                <w:szCs w:val="18"/>
              </w:rPr>
            </w:pPr>
            <w:r w:rsidRPr="00BD16B4">
              <w:rPr>
                <w:szCs w:val="18"/>
              </w:rPr>
              <w:t>0.31</w:t>
            </w:r>
          </w:p>
        </w:tc>
        <w:tc>
          <w:tcPr>
            <w:tcW w:w="794" w:type="dxa"/>
            <w:shd w:val="clear" w:color="auto" w:fill="auto"/>
          </w:tcPr>
          <w:p w14:paraId="58ED0A83" w14:textId="77777777" w:rsidR="00ED2EBD" w:rsidRPr="00BD16B4" w:rsidRDefault="00ED2EBD" w:rsidP="004A205F">
            <w:pPr>
              <w:pStyle w:val="TableText"/>
              <w:spacing w:before="40" w:after="40"/>
              <w:jc w:val="right"/>
              <w:rPr>
                <w:szCs w:val="18"/>
              </w:rPr>
            </w:pPr>
            <w:r w:rsidRPr="00BD16B4">
              <w:rPr>
                <w:szCs w:val="18"/>
              </w:rPr>
              <w:t>0.31</w:t>
            </w:r>
          </w:p>
        </w:tc>
        <w:tc>
          <w:tcPr>
            <w:tcW w:w="794" w:type="dxa"/>
            <w:shd w:val="clear" w:color="auto" w:fill="auto"/>
          </w:tcPr>
          <w:p w14:paraId="18B93974" w14:textId="77777777" w:rsidR="00ED2EBD" w:rsidRPr="00BD16B4" w:rsidRDefault="00ED2EBD" w:rsidP="004A205F">
            <w:pPr>
              <w:pStyle w:val="TableText"/>
              <w:spacing w:before="40" w:after="40"/>
              <w:jc w:val="right"/>
              <w:rPr>
                <w:szCs w:val="18"/>
              </w:rPr>
            </w:pPr>
            <w:r w:rsidRPr="00BD16B4">
              <w:rPr>
                <w:szCs w:val="18"/>
              </w:rPr>
              <w:t>0.34</w:t>
            </w:r>
          </w:p>
        </w:tc>
        <w:tc>
          <w:tcPr>
            <w:tcW w:w="794" w:type="dxa"/>
            <w:shd w:val="clear" w:color="auto" w:fill="auto"/>
          </w:tcPr>
          <w:p w14:paraId="14DDE645" w14:textId="77777777" w:rsidR="00ED2EBD" w:rsidRPr="00BD16B4" w:rsidRDefault="00ED2EBD" w:rsidP="004A205F">
            <w:pPr>
              <w:pStyle w:val="TableText"/>
              <w:spacing w:before="40" w:after="40"/>
              <w:jc w:val="right"/>
              <w:rPr>
                <w:szCs w:val="18"/>
              </w:rPr>
            </w:pPr>
            <w:r w:rsidRPr="00BD16B4">
              <w:rPr>
                <w:szCs w:val="18"/>
              </w:rPr>
              <w:t>0.34</w:t>
            </w:r>
          </w:p>
        </w:tc>
        <w:tc>
          <w:tcPr>
            <w:tcW w:w="794" w:type="dxa"/>
            <w:shd w:val="clear" w:color="auto" w:fill="auto"/>
          </w:tcPr>
          <w:p w14:paraId="1FD7915A" w14:textId="77777777" w:rsidR="00ED2EBD" w:rsidRPr="00BD16B4" w:rsidRDefault="00ED2EBD" w:rsidP="004A205F">
            <w:pPr>
              <w:pStyle w:val="TableText"/>
              <w:spacing w:before="40" w:after="40"/>
              <w:jc w:val="right"/>
              <w:rPr>
                <w:szCs w:val="18"/>
              </w:rPr>
            </w:pPr>
            <w:r w:rsidRPr="00BD16B4">
              <w:rPr>
                <w:szCs w:val="18"/>
              </w:rPr>
              <w:t>0.36</w:t>
            </w:r>
          </w:p>
        </w:tc>
        <w:tc>
          <w:tcPr>
            <w:tcW w:w="794" w:type="dxa"/>
            <w:shd w:val="clear" w:color="auto" w:fill="auto"/>
          </w:tcPr>
          <w:p w14:paraId="2BEFEA96" w14:textId="77777777" w:rsidR="00ED2EBD" w:rsidRPr="00BD16B4" w:rsidRDefault="00ED2EBD" w:rsidP="004A205F">
            <w:pPr>
              <w:pStyle w:val="TableText"/>
              <w:spacing w:before="40" w:after="40"/>
              <w:jc w:val="right"/>
              <w:rPr>
                <w:szCs w:val="18"/>
              </w:rPr>
            </w:pPr>
            <w:r w:rsidRPr="00BD16B4">
              <w:rPr>
                <w:szCs w:val="18"/>
              </w:rPr>
              <w:t>0.36</w:t>
            </w:r>
          </w:p>
        </w:tc>
        <w:tc>
          <w:tcPr>
            <w:tcW w:w="794" w:type="dxa"/>
            <w:shd w:val="clear" w:color="auto" w:fill="auto"/>
          </w:tcPr>
          <w:p w14:paraId="2E073B82" w14:textId="77777777" w:rsidR="00ED2EBD" w:rsidRPr="00BD16B4" w:rsidRDefault="00ED2EBD" w:rsidP="004A205F">
            <w:pPr>
              <w:pStyle w:val="TableText"/>
              <w:spacing w:before="40" w:after="40"/>
              <w:jc w:val="right"/>
              <w:rPr>
                <w:szCs w:val="18"/>
              </w:rPr>
            </w:pPr>
            <w:r w:rsidRPr="00BD16B4">
              <w:rPr>
                <w:szCs w:val="18"/>
              </w:rPr>
              <w:t>0.33</w:t>
            </w:r>
          </w:p>
        </w:tc>
        <w:tc>
          <w:tcPr>
            <w:tcW w:w="794" w:type="dxa"/>
            <w:shd w:val="clear" w:color="auto" w:fill="auto"/>
          </w:tcPr>
          <w:p w14:paraId="6682BAD9" w14:textId="77777777" w:rsidR="00ED2EBD" w:rsidRPr="00BD16B4" w:rsidRDefault="00ED2EBD" w:rsidP="004A205F">
            <w:pPr>
              <w:pStyle w:val="TableText"/>
              <w:spacing w:before="40" w:after="40"/>
              <w:jc w:val="right"/>
              <w:rPr>
                <w:szCs w:val="18"/>
              </w:rPr>
            </w:pPr>
            <w:r w:rsidRPr="00BD16B4">
              <w:rPr>
                <w:szCs w:val="18"/>
              </w:rPr>
              <w:t>0.34</w:t>
            </w:r>
          </w:p>
        </w:tc>
        <w:tc>
          <w:tcPr>
            <w:tcW w:w="794" w:type="dxa"/>
          </w:tcPr>
          <w:p w14:paraId="404701C1" w14:textId="77777777" w:rsidR="00ED2EBD" w:rsidRPr="00BD16B4" w:rsidRDefault="00ED2EBD" w:rsidP="004A205F">
            <w:pPr>
              <w:pStyle w:val="TableText"/>
              <w:spacing w:before="40" w:after="40"/>
              <w:jc w:val="right"/>
              <w:rPr>
                <w:szCs w:val="18"/>
              </w:rPr>
            </w:pPr>
            <w:r w:rsidRPr="00BD16B4">
              <w:rPr>
                <w:szCs w:val="18"/>
              </w:rPr>
              <w:t>0.37</w:t>
            </w:r>
          </w:p>
        </w:tc>
        <w:tc>
          <w:tcPr>
            <w:tcW w:w="794" w:type="dxa"/>
          </w:tcPr>
          <w:p w14:paraId="7F1B2AAB" w14:textId="77777777" w:rsidR="00ED2EBD" w:rsidRPr="00BD16B4" w:rsidRDefault="00ED2EBD" w:rsidP="004A205F">
            <w:pPr>
              <w:pStyle w:val="TableText"/>
              <w:spacing w:before="40" w:after="40"/>
              <w:jc w:val="right"/>
              <w:rPr>
                <w:szCs w:val="18"/>
              </w:rPr>
            </w:pPr>
            <w:r w:rsidRPr="00BD16B4">
              <w:rPr>
                <w:szCs w:val="18"/>
              </w:rPr>
              <w:t>0.34</w:t>
            </w:r>
          </w:p>
        </w:tc>
        <w:tc>
          <w:tcPr>
            <w:tcW w:w="794" w:type="dxa"/>
            <w:shd w:val="clear" w:color="auto" w:fill="auto"/>
          </w:tcPr>
          <w:p w14:paraId="5040CEFE" w14:textId="77777777" w:rsidR="00ED2EBD" w:rsidRPr="00BD16B4" w:rsidRDefault="00ED2EBD" w:rsidP="004A205F">
            <w:pPr>
              <w:pStyle w:val="TableText"/>
              <w:spacing w:before="40" w:after="40"/>
              <w:jc w:val="right"/>
              <w:rPr>
                <w:szCs w:val="18"/>
              </w:rPr>
            </w:pPr>
            <w:r w:rsidRPr="00BD16B4">
              <w:rPr>
                <w:szCs w:val="18"/>
              </w:rPr>
              <w:t>0.36</w:t>
            </w:r>
          </w:p>
        </w:tc>
      </w:tr>
      <w:tr w:rsidR="00ED2EBD" w:rsidRPr="00BD16B4" w14:paraId="073D2E89" w14:textId="77777777" w:rsidTr="00184956">
        <w:tc>
          <w:tcPr>
            <w:tcW w:w="3402" w:type="dxa"/>
          </w:tcPr>
          <w:p w14:paraId="17D6AF20" w14:textId="77777777" w:rsidR="00ED2EBD" w:rsidRPr="00BD16B4" w:rsidRDefault="00ED2EBD" w:rsidP="004A205F">
            <w:pPr>
              <w:pStyle w:val="TableText"/>
              <w:spacing w:before="40" w:after="40"/>
              <w:rPr>
                <w:szCs w:val="18"/>
              </w:rPr>
            </w:pPr>
            <w:r w:rsidRPr="00BD16B4">
              <w:rPr>
                <w:szCs w:val="18"/>
              </w:rPr>
              <w:t>HFC-143</w:t>
            </w:r>
          </w:p>
        </w:tc>
        <w:tc>
          <w:tcPr>
            <w:tcW w:w="794" w:type="dxa"/>
            <w:shd w:val="clear" w:color="auto" w:fill="auto"/>
          </w:tcPr>
          <w:p w14:paraId="220914CD"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16FBC76"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69DD95A"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0A82D69"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EE2D535"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F1A37B6"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BD7F258"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67900C5"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5B1F677F"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5ED25C7C"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732E9B9"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3A2D9F62" w14:textId="77777777" w:rsidTr="00184956">
        <w:tc>
          <w:tcPr>
            <w:tcW w:w="3402" w:type="dxa"/>
          </w:tcPr>
          <w:p w14:paraId="512EE674" w14:textId="77777777" w:rsidR="00ED2EBD" w:rsidRPr="00BD16B4" w:rsidRDefault="00ED2EBD" w:rsidP="004A205F">
            <w:pPr>
              <w:pStyle w:val="TableText"/>
              <w:spacing w:before="40" w:after="40"/>
              <w:rPr>
                <w:szCs w:val="18"/>
              </w:rPr>
            </w:pPr>
            <w:r w:rsidRPr="00BD16B4">
              <w:rPr>
                <w:szCs w:val="18"/>
              </w:rPr>
              <w:t>HFC-143a</w:t>
            </w:r>
          </w:p>
        </w:tc>
        <w:tc>
          <w:tcPr>
            <w:tcW w:w="794" w:type="dxa"/>
            <w:shd w:val="clear" w:color="auto" w:fill="auto"/>
          </w:tcPr>
          <w:p w14:paraId="0F4BE22F" w14:textId="77777777" w:rsidR="00ED2EBD" w:rsidRPr="00BD16B4" w:rsidRDefault="00ED2EBD" w:rsidP="004A205F">
            <w:pPr>
              <w:pStyle w:val="TableText"/>
              <w:spacing w:before="40" w:after="40"/>
              <w:jc w:val="right"/>
              <w:rPr>
                <w:szCs w:val="18"/>
              </w:rPr>
            </w:pPr>
            <w:r w:rsidRPr="00BD16B4">
              <w:rPr>
                <w:szCs w:val="18"/>
              </w:rPr>
              <w:t>0.07</w:t>
            </w:r>
          </w:p>
        </w:tc>
        <w:tc>
          <w:tcPr>
            <w:tcW w:w="794" w:type="dxa"/>
            <w:shd w:val="clear" w:color="auto" w:fill="auto"/>
          </w:tcPr>
          <w:p w14:paraId="6D30EA15" w14:textId="77777777" w:rsidR="00ED2EBD" w:rsidRPr="00BD16B4" w:rsidRDefault="00ED2EBD" w:rsidP="004A205F">
            <w:pPr>
              <w:pStyle w:val="TableText"/>
              <w:spacing w:before="40" w:after="40"/>
              <w:jc w:val="right"/>
              <w:rPr>
                <w:szCs w:val="18"/>
              </w:rPr>
            </w:pPr>
            <w:r w:rsidRPr="00BD16B4">
              <w:rPr>
                <w:szCs w:val="18"/>
              </w:rPr>
              <w:t>0.07</w:t>
            </w:r>
          </w:p>
        </w:tc>
        <w:tc>
          <w:tcPr>
            <w:tcW w:w="794" w:type="dxa"/>
            <w:shd w:val="clear" w:color="auto" w:fill="auto"/>
          </w:tcPr>
          <w:p w14:paraId="08910CA3" w14:textId="77777777" w:rsidR="00ED2EBD" w:rsidRPr="00BD16B4" w:rsidRDefault="00ED2EBD" w:rsidP="004A205F">
            <w:pPr>
              <w:pStyle w:val="TableText"/>
              <w:spacing w:before="40" w:after="40"/>
              <w:jc w:val="right"/>
              <w:rPr>
                <w:szCs w:val="18"/>
              </w:rPr>
            </w:pPr>
            <w:r w:rsidRPr="00BD16B4">
              <w:rPr>
                <w:szCs w:val="18"/>
              </w:rPr>
              <w:t>0.08</w:t>
            </w:r>
          </w:p>
        </w:tc>
        <w:tc>
          <w:tcPr>
            <w:tcW w:w="794" w:type="dxa"/>
            <w:shd w:val="clear" w:color="auto" w:fill="auto"/>
          </w:tcPr>
          <w:p w14:paraId="3F9E76FF" w14:textId="77777777" w:rsidR="00ED2EBD" w:rsidRPr="00BD16B4" w:rsidRDefault="00ED2EBD" w:rsidP="004A205F">
            <w:pPr>
              <w:pStyle w:val="TableText"/>
              <w:spacing w:before="40" w:after="40"/>
              <w:jc w:val="right"/>
              <w:rPr>
                <w:szCs w:val="18"/>
              </w:rPr>
            </w:pPr>
            <w:r w:rsidRPr="00BD16B4">
              <w:rPr>
                <w:szCs w:val="18"/>
              </w:rPr>
              <w:t>0.08</w:t>
            </w:r>
          </w:p>
        </w:tc>
        <w:tc>
          <w:tcPr>
            <w:tcW w:w="794" w:type="dxa"/>
            <w:shd w:val="clear" w:color="auto" w:fill="auto"/>
          </w:tcPr>
          <w:p w14:paraId="3D47EDCD" w14:textId="77777777" w:rsidR="00ED2EBD" w:rsidRPr="00BD16B4" w:rsidRDefault="00ED2EBD" w:rsidP="004A205F">
            <w:pPr>
              <w:pStyle w:val="TableText"/>
              <w:spacing w:before="40" w:after="40"/>
              <w:jc w:val="right"/>
              <w:rPr>
                <w:szCs w:val="18"/>
              </w:rPr>
            </w:pPr>
            <w:r w:rsidRPr="00BD16B4">
              <w:rPr>
                <w:szCs w:val="18"/>
              </w:rPr>
              <w:t>0.09</w:t>
            </w:r>
          </w:p>
        </w:tc>
        <w:tc>
          <w:tcPr>
            <w:tcW w:w="794" w:type="dxa"/>
            <w:shd w:val="clear" w:color="auto" w:fill="auto"/>
          </w:tcPr>
          <w:p w14:paraId="0B7AB129" w14:textId="77777777" w:rsidR="00ED2EBD" w:rsidRPr="00BD16B4" w:rsidRDefault="00ED2EBD" w:rsidP="004A205F">
            <w:pPr>
              <w:pStyle w:val="TableText"/>
              <w:spacing w:before="40" w:after="40"/>
              <w:jc w:val="right"/>
              <w:rPr>
                <w:szCs w:val="18"/>
              </w:rPr>
            </w:pPr>
            <w:r w:rsidRPr="00BD16B4">
              <w:rPr>
                <w:szCs w:val="18"/>
              </w:rPr>
              <w:t>0.08</w:t>
            </w:r>
          </w:p>
        </w:tc>
        <w:tc>
          <w:tcPr>
            <w:tcW w:w="794" w:type="dxa"/>
            <w:shd w:val="clear" w:color="auto" w:fill="auto"/>
          </w:tcPr>
          <w:p w14:paraId="7CEB23A5" w14:textId="77777777" w:rsidR="00ED2EBD" w:rsidRPr="00BD16B4" w:rsidRDefault="00ED2EBD" w:rsidP="004A205F">
            <w:pPr>
              <w:pStyle w:val="TableText"/>
              <w:spacing w:before="40" w:after="40"/>
              <w:jc w:val="right"/>
              <w:rPr>
                <w:szCs w:val="18"/>
              </w:rPr>
            </w:pPr>
            <w:r w:rsidRPr="00BD16B4">
              <w:rPr>
                <w:szCs w:val="18"/>
              </w:rPr>
              <w:t>0.08</w:t>
            </w:r>
          </w:p>
        </w:tc>
        <w:tc>
          <w:tcPr>
            <w:tcW w:w="794" w:type="dxa"/>
            <w:shd w:val="clear" w:color="auto" w:fill="auto"/>
          </w:tcPr>
          <w:p w14:paraId="63C36228" w14:textId="77777777" w:rsidR="00ED2EBD" w:rsidRPr="00BD16B4" w:rsidRDefault="00ED2EBD" w:rsidP="004A205F">
            <w:pPr>
              <w:pStyle w:val="TableText"/>
              <w:spacing w:before="40" w:after="40"/>
              <w:jc w:val="right"/>
              <w:rPr>
                <w:szCs w:val="18"/>
              </w:rPr>
            </w:pPr>
            <w:r w:rsidRPr="00BD16B4">
              <w:rPr>
                <w:szCs w:val="18"/>
              </w:rPr>
              <w:t>0.08</w:t>
            </w:r>
          </w:p>
        </w:tc>
        <w:tc>
          <w:tcPr>
            <w:tcW w:w="794" w:type="dxa"/>
          </w:tcPr>
          <w:p w14:paraId="5999840D" w14:textId="77777777" w:rsidR="00ED2EBD" w:rsidRPr="00BD16B4" w:rsidRDefault="00ED2EBD" w:rsidP="004A205F">
            <w:pPr>
              <w:pStyle w:val="TableText"/>
              <w:spacing w:before="40" w:after="40"/>
              <w:jc w:val="right"/>
              <w:rPr>
                <w:szCs w:val="18"/>
              </w:rPr>
            </w:pPr>
            <w:r w:rsidRPr="00BD16B4">
              <w:rPr>
                <w:szCs w:val="18"/>
              </w:rPr>
              <w:t>0.07</w:t>
            </w:r>
          </w:p>
        </w:tc>
        <w:tc>
          <w:tcPr>
            <w:tcW w:w="794" w:type="dxa"/>
          </w:tcPr>
          <w:p w14:paraId="716BD9A9" w14:textId="77777777" w:rsidR="00ED2EBD" w:rsidRPr="00BD16B4" w:rsidRDefault="00ED2EBD" w:rsidP="004A205F">
            <w:pPr>
              <w:pStyle w:val="TableText"/>
              <w:spacing w:before="40" w:after="40"/>
              <w:jc w:val="right"/>
              <w:rPr>
                <w:szCs w:val="18"/>
              </w:rPr>
            </w:pPr>
            <w:r w:rsidRPr="00BD16B4">
              <w:rPr>
                <w:szCs w:val="18"/>
              </w:rPr>
              <w:t>0.07</w:t>
            </w:r>
          </w:p>
        </w:tc>
        <w:tc>
          <w:tcPr>
            <w:tcW w:w="794" w:type="dxa"/>
            <w:shd w:val="clear" w:color="auto" w:fill="auto"/>
          </w:tcPr>
          <w:p w14:paraId="518A1AA9" w14:textId="77777777" w:rsidR="00ED2EBD" w:rsidRPr="00BD16B4" w:rsidRDefault="00ED2EBD" w:rsidP="004A205F">
            <w:pPr>
              <w:pStyle w:val="TableText"/>
              <w:spacing w:before="40" w:after="40"/>
              <w:jc w:val="right"/>
              <w:rPr>
                <w:szCs w:val="18"/>
              </w:rPr>
            </w:pPr>
            <w:r w:rsidRPr="00BD16B4">
              <w:rPr>
                <w:szCs w:val="18"/>
              </w:rPr>
              <w:t>0.07</w:t>
            </w:r>
          </w:p>
        </w:tc>
      </w:tr>
      <w:tr w:rsidR="00ED2EBD" w:rsidRPr="00BD16B4" w14:paraId="1CD0EA65" w14:textId="77777777" w:rsidTr="00184956">
        <w:tc>
          <w:tcPr>
            <w:tcW w:w="3402" w:type="dxa"/>
          </w:tcPr>
          <w:p w14:paraId="03485237" w14:textId="77777777" w:rsidR="00ED2EBD" w:rsidRPr="00BD16B4" w:rsidRDefault="00ED2EBD" w:rsidP="004A205F">
            <w:pPr>
              <w:pStyle w:val="TableText"/>
              <w:spacing w:before="40" w:after="40"/>
              <w:rPr>
                <w:szCs w:val="18"/>
              </w:rPr>
            </w:pPr>
            <w:r w:rsidRPr="00BD16B4">
              <w:rPr>
                <w:szCs w:val="18"/>
              </w:rPr>
              <w:t>HFC-152</w:t>
            </w:r>
          </w:p>
        </w:tc>
        <w:tc>
          <w:tcPr>
            <w:tcW w:w="794" w:type="dxa"/>
            <w:shd w:val="clear" w:color="auto" w:fill="auto"/>
          </w:tcPr>
          <w:p w14:paraId="0886B2C5"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284D82E"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2D66386A"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58F11B0"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CA66099"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5D48CAC"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6257A14"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6C911B4"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7AB90852"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27811B24"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EFAF68B"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76466F0A" w14:textId="77777777" w:rsidTr="00184956">
        <w:tc>
          <w:tcPr>
            <w:tcW w:w="3402" w:type="dxa"/>
          </w:tcPr>
          <w:p w14:paraId="15BCEB80" w14:textId="77777777" w:rsidR="00ED2EBD" w:rsidRPr="00BD16B4" w:rsidRDefault="00ED2EBD" w:rsidP="004A205F">
            <w:pPr>
              <w:pStyle w:val="TableText"/>
              <w:spacing w:before="40" w:after="40"/>
              <w:rPr>
                <w:szCs w:val="18"/>
              </w:rPr>
            </w:pPr>
            <w:r w:rsidRPr="00BD16B4">
              <w:rPr>
                <w:szCs w:val="18"/>
              </w:rPr>
              <w:t>HFC-152a</w:t>
            </w:r>
          </w:p>
        </w:tc>
        <w:tc>
          <w:tcPr>
            <w:tcW w:w="794" w:type="dxa"/>
            <w:shd w:val="clear" w:color="auto" w:fill="auto"/>
          </w:tcPr>
          <w:p w14:paraId="0BA359EE"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14BDBD6E"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4E18E0C1"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2B732401"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7B3916AC"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5827BC4B"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076F742C"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59C8772D"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7A90E637"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23DCC943"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6821DDCA"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2F9DA1C2" w14:textId="77777777" w:rsidTr="00184956">
        <w:tc>
          <w:tcPr>
            <w:tcW w:w="3402" w:type="dxa"/>
          </w:tcPr>
          <w:p w14:paraId="071EB89D" w14:textId="77777777" w:rsidR="00ED2EBD" w:rsidRPr="00BD16B4" w:rsidRDefault="00ED2EBD" w:rsidP="004A205F">
            <w:pPr>
              <w:pStyle w:val="TableText"/>
              <w:spacing w:before="40" w:after="40"/>
              <w:rPr>
                <w:szCs w:val="18"/>
              </w:rPr>
            </w:pPr>
            <w:r w:rsidRPr="00BD16B4">
              <w:rPr>
                <w:szCs w:val="18"/>
              </w:rPr>
              <w:t>HFC-161</w:t>
            </w:r>
          </w:p>
        </w:tc>
        <w:tc>
          <w:tcPr>
            <w:tcW w:w="794" w:type="dxa"/>
            <w:shd w:val="clear" w:color="auto" w:fill="auto"/>
          </w:tcPr>
          <w:p w14:paraId="409D1AC1"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66182F09"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8D14CB4"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20786677"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5FFAB3D"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7C590BFD"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7F2DD806"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CC56CC5"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5CEA8E84"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2D6A4CB3"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620D3456"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25F0EB5E" w14:textId="77777777" w:rsidTr="00184956">
        <w:tc>
          <w:tcPr>
            <w:tcW w:w="3402" w:type="dxa"/>
          </w:tcPr>
          <w:p w14:paraId="4D535323" w14:textId="77777777" w:rsidR="00ED2EBD" w:rsidRPr="00BD16B4" w:rsidRDefault="00ED2EBD" w:rsidP="004A205F">
            <w:pPr>
              <w:pStyle w:val="TableText"/>
              <w:spacing w:before="40" w:after="40"/>
              <w:rPr>
                <w:szCs w:val="18"/>
              </w:rPr>
            </w:pPr>
            <w:r w:rsidRPr="00BD16B4">
              <w:rPr>
                <w:szCs w:val="18"/>
              </w:rPr>
              <w:t>HFC-227ea</w:t>
            </w:r>
          </w:p>
        </w:tc>
        <w:tc>
          <w:tcPr>
            <w:tcW w:w="794" w:type="dxa"/>
            <w:shd w:val="clear" w:color="auto" w:fill="auto"/>
          </w:tcPr>
          <w:p w14:paraId="10A94062"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48179AD6"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4C9BD62A"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1173DB9B"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24BC94B0"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71A0F36F"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46A7DED0"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311BA436"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0C776C82"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5C8A763D"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46E6F925"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05C1106E" w14:textId="77777777" w:rsidTr="00184956">
        <w:tc>
          <w:tcPr>
            <w:tcW w:w="3402" w:type="dxa"/>
          </w:tcPr>
          <w:p w14:paraId="26823058" w14:textId="77777777" w:rsidR="00ED2EBD" w:rsidRPr="00BD16B4" w:rsidRDefault="00ED2EBD" w:rsidP="004A205F">
            <w:pPr>
              <w:pStyle w:val="TableText"/>
              <w:spacing w:before="40" w:after="40"/>
              <w:rPr>
                <w:szCs w:val="18"/>
              </w:rPr>
            </w:pPr>
            <w:r w:rsidRPr="00BD16B4">
              <w:rPr>
                <w:szCs w:val="18"/>
              </w:rPr>
              <w:t>HFC-236cb</w:t>
            </w:r>
          </w:p>
        </w:tc>
        <w:tc>
          <w:tcPr>
            <w:tcW w:w="794" w:type="dxa"/>
            <w:shd w:val="clear" w:color="auto" w:fill="auto"/>
          </w:tcPr>
          <w:p w14:paraId="6B856679"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77B92D3C"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6094B9D"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7DA68067"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7798DC5C"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E4AB9D2"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3C785A1"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285E5140"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455FBCF9"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04E16331"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5A71442"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770112A4" w14:textId="77777777" w:rsidTr="00184956">
        <w:tc>
          <w:tcPr>
            <w:tcW w:w="3402" w:type="dxa"/>
          </w:tcPr>
          <w:p w14:paraId="5AA00761" w14:textId="77777777" w:rsidR="00ED2EBD" w:rsidRPr="00BD16B4" w:rsidRDefault="00ED2EBD" w:rsidP="004A205F">
            <w:pPr>
              <w:pStyle w:val="TableText"/>
              <w:spacing w:before="40" w:after="40"/>
              <w:rPr>
                <w:szCs w:val="18"/>
              </w:rPr>
            </w:pPr>
            <w:r w:rsidRPr="00BD16B4">
              <w:rPr>
                <w:szCs w:val="18"/>
              </w:rPr>
              <w:t>HFC-236ea</w:t>
            </w:r>
          </w:p>
        </w:tc>
        <w:tc>
          <w:tcPr>
            <w:tcW w:w="794" w:type="dxa"/>
            <w:shd w:val="clear" w:color="auto" w:fill="auto"/>
          </w:tcPr>
          <w:p w14:paraId="4847EFA7"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0AC1A43A"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1C5EE48"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6153163F"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B8963C6"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70C58A8E"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65614B71"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60981094"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44C0F880"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3A0A0E35"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2ECFDA93"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21B83D5D" w14:textId="77777777" w:rsidTr="00184956">
        <w:tc>
          <w:tcPr>
            <w:tcW w:w="3402" w:type="dxa"/>
          </w:tcPr>
          <w:p w14:paraId="7F35043A" w14:textId="77777777" w:rsidR="00ED2EBD" w:rsidRPr="00BD16B4" w:rsidRDefault="00ED2EBD" w:rsidP="004A205F">
            <w:pPr>
              <w:pStyle w:val="TableText"/>
              <w:spacing w:before="40" w:after="40"/>
              <w:rPr>
                <w:szCs w:val="18"/>
              </w:rPr>
            </w:pPr>
            <w:r w:rsidRPr="00BD16B4">
              <w:rPr>
                <w:szCs w:val="18"/>
              </w:rPr>
              <w:t>HFC-236fa</w:t>
            </w:r>
          </w:p>
        </w:tc>
        <w:tc>
          <w:tcPr>
            <w:tcW w:w="794" w:type="dxa"/>
            <w:shd w:val="clear" w:color="auto" w:fill="auto"/>
          </w:tcPr>
          <w:p w14:paraId="2FF01F94"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29F84A02"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53BEF04"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74D4072"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9AE4701"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DE6D94A"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C2AC33F"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6F914025"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3256B9BD"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44204986"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25B1668F"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008AEDA6" w14:textId="77777777" w:rsidTr="00184956">
        <w:tc>
          <w:tcPr>
            <w:tcW w:w="3402" w:type="dxa"/>
          </w:tcPr>
          <w:p w14:paraId="3416E237" w14:textId="77777777" w:rsidR="00ED2EBD" w:rsidRPr="00BD16B4" w:rsidRDefault="00ED2EBD" w:rsidP="004A205F">
            <w:pPr>
              <w:pStyle w:val="TableText"/>
              <w:spacing w:before="40" w:after="40"/>
              <w:rPr>
                <w:szCs w:val="18"/>
              </w:rPr>
            </w:pPr>
            <w:r w:rsidRPr="00BD16B4">
              <w:rPr>
                <w:szCs w:val="18"/>
              </w:rPr>
              <w:t>HFC-245ca</w:t>
            </w:r>
          </w:p>
        </w:tc>
        <w:tc>
          <w:tcPr>
            <w:tcW w:w="794" w:type="dxa"/>
            <w:shd w:val="clear" w:color="auto" w:fill="auto"/>
          </w:tcPr>
          <w:p w14:paraId="6CF1321E"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7C1C9671"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6FC45C77"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B1C4554"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669C8A58"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E744237"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6D1CEF33"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0A1172B7"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5A6A7B45"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4207E706"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436ACAB"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22D9A8AE" w14:textId="77777777" w:rsidTr="00184956">
        <w:tc>
          <w:tcPr>
            <w:tcW w:w="3402" w:type="dxa"/>
          </w:tcPr>
          <w:p w14:paraId="6CCB9E64" w14:textId="77777777" w:rsidR="00ED2EBD" w:rsidRPr="00BD16B4" w:rsidRDefault="00ED2EBD" w:rsidP="004A205F">
            <w:pPr>
              <w:pStyle w:val="TableText"/>
              <w:spacing w:before="40" w:after="40"/>
              <w:rPr>
                <w:szCs w:val="18"/>
              </w:rPr>
            </w:pPr>
            <w:r w:rsidRPr="00BD16B4">
              <w:rPr>
                <w:szCs w:val="18"/>
              </w:rPr>
              <w:t>HFC-245fa</w:t>
            </w:r>
          </w:p>
        </w:tc>
        <w:tc>
          <w:tcPr>
            <w:tcW w:w="794" w:type="dxa"/>
            <w:shd w:val="clear" w:color="auto" w:fill="auto"/>
          </w:tcPr>
          <w:p w14:paraId="5A885F29"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3CB77E70"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667A60A8"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7FDB024A"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0FF3DB5B"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1932D8F3"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4EB9A02B"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42426CCF"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09551D37"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214E7C8E"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5B0D288E"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4C88DFE1" w14:textId="77777777" w:rsidTr="00184956">
        <w:tc>
          <w:tcPr>
            <w:tcW w:w="3402" w:type="dxa"/>
          </w:tcPr>
          <w:p w14:paraId="1328CD91" w14:textId="77777777" w:rsidR="00ED2EBD" w:rsidRPr="00BD16B4" w:rsidRDefault="00ED2EBD" w:rsidP="004A205F">
            <w:pPr>
              <w:pStyle w:val="TableText"/>
              <w:spacing w:before="40" w:after="40"/>
              <w:rPr>
                <w:szCs w:val="18"/>
              </w:rPr>
            </w:pPr>
            <w:r w:rsidRPr="00BD16B4">
              <w:rPr>
                <w:szCs w:val="18"/>
              </w:rPr>
              <w:t>HFC-365mfc</w:t>
            </w:r>
          </w:p>
        </w:tc>
        <w:tc>
          <w:tcPr>
            <w:tcW w:w="794" w:type="dxa"/>
            <w:shd w:val="clear" w:color="auto" w:fill="auto"/>
          </w:tcPr>
          <w:p w14:paraId="1F62E98D"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30A690B4"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010A1200"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7A613DD9"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7F8EA258"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1DF700BC"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27E3DC07"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6B7CC711"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2CEDBECE"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37BDA068"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00BF78C5"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3E3F00F4" w14:textId="77777777" w:rsidTr="00184956">
        <w:tc>
          <w:tcPr>
            <w:tcW w:w="3402" w:type="dxa"/>
          </w:tcPr>
          <w:p w14:paraId="3A018B10" w14:textId="77777777" w:rsidR="00ED2EBD" w:rsidRPr="00BD16B4" w:rsidRDefault="00ED2EBD" w:rsidP="004A205F">
            <w:pPr>
              <w:pStyle w:val="TableText"/>
              <w:spacing w:before="40" w:after="40"/>
              <w:rPr>
                <w:szCs w:val="18"/>
              </w:rPr>
            </w:pPr>
            <w:r w:rsidRPr="00BD16B4">
              <w:rPr>
                <w:szCs w:val="18"/>
              </w:rPr>
              <w:t>Unspecified mix of HFCs (kt CO</w:t>
            </w:r>
            <w:r w:rsidRPr="00BD16B4">
              <w:rPr>
                <w:szCs w:val="18"/>
                <w:vertAlign w:val="subscript"/>
              </w:rPr>
              <w:t>2</w:t>
            </w:r>
            <w:r w:rsidRPr="00BD16B4">
              <w:rPr>
                <w:szCs w:val="18"/>
              </w:rPr>
              <w:t>-equivalent)</w:t>
            </w:r>
          </w:p>
        </w:tc>
        <w:tc>
          <w:tcPr>
            <w:tcW w:w="794" w:type="dxa"/>
            <w:shd w:val="clear" w:color="auto" w:fill="auto"/>
          </w:tcPr>
          <w:p w14:paraId="6840BF53"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6F8BD2E"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F7E4202"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09B73EB1"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5ECB85C"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756973C4"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698B17F1"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8226E91"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7BF8675F"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03A29848"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0FB8C3DF"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70EAF890" w14:textId="77777777" w:rsidTr="00184956">
        <w:tc>
          <w:tcPr>
            <w:tcW w:w="3402" w:type="dxa"/>
          </w:tcPr>
          <w:p w14:paraId="12145A4C" w14:textId="77777777" w:rsidR="00ED2EBD" w:rsidRPr="00BD16B4" w:rsidRDefault="00ED2EBD" w:rsidP="004A205F">
            <w:pPr>
              <w:pStyle w:val="TableText"/>
              <w:spacing w:before="40" w:after="40"/>
              <w:rPr>
                <w:szCs w:val="18"/>
              </w:rPr>
            </w:pPr>
            <w:r w:rsidRPr="00BD16B4">
              <w:rPr>
                <w:b/>
                <w:bCs/>
                <w:szCs w:val="18"/>
              </w:rPr>
              <w:lastRenderedPageBreak/>
              <w:t>Emissions of PFCs (kt CO</w:t>
            </w:r>
            <w:r w:rsidRPr="00BD16B4">
              <w:rPr>
                <w:b/>
                <w:bCs/>
                <w:szCs w:val="18"/>
                <w:vertAlign w:val="subscript"/>
              </w:rPr>
              <w:t>2</w:t>
            </w:r>
            <w:r w:rsidRPr="00BD16B4">
              <w:rPr>
                <w:b/>
                <w:bCs/>
                <w:szCs w:val="18"/>
              </w:rPr>
              <w:t>-equivalent)</w:t>
            </w:r>
          </w:p>
        </w:tc>
        <w:tc>
          <w:tcPr>
            <w:tcW w:w="794" w:type="dxa"/>
            <w:shd w:val="clear" w:color="auto" w:fill="auto"/>
          </w:tcPr>
          <w:p w14:paraId="31D8DE4A" w14:textId="77777777" w:rsidR="00ED2EBD" w:rsidRPr="00BD16B4" w:rsidRDefault="00ED2EBD" w:rsidP="004A205F">
            <w:pPr>
              <w:pStyle w:val="TableText"/>
              <w:spacing w:before="40" w:after="40"/>
              <w:jc w:val="right"/>
              <w:rPr>
                <w:szCs w:val="18"/>
              </w:rPr>
            </w:pPr>
            <w:r w:rsidRPr="00BD16B4">
              <w:rPr>
                <w:szCs w:val="18"/>
              </w:rPr>
              <w:t>47.56</w:t>
            </w:r>
          </w:p>
        </w:tc>
        <w:tc>
          <w:tcPr>
            <w:tcW w:w="794" w:type="dxa"/>
            <w:shd w:val="clear" w:color="auto" w:fill="auto"/>
          </w:tcPr>
          <w:p w14:paraId="67D49E10" w14:textId="77777777" w:rsidR="00ED2EBD" w:rsidRPr="00BD16B4" w:rsidRDefault="00ED2EBD" w:rsidP="004A205F">
            <w:pPr>
              <w:pStyle w:val="TableText"/>
              <w:spacing w:before="40" w:after="40"/>
              <w:jc w:val="right"/>
              <w:rPr>
                <w:szCs w:val="18"/>
              </w:rPr>
            </w:pPr>
            <w:r w:rsidRPr="00BD16B4">
              <w:rPr>
                <w:szCs w:val="18"/>
              </w:rPr>
              <w:t>35.15</w:t>
            </w:r>
          </w:p>
        </w:tc>
        <w:tc>
          <w:tcPr>
            <w:tcW w:w="794" w:type="dxa"/>
            <w:shd w:val="clear" w:color="auto" w:fill="auto"/>
          </w:tcPr>
          <w:p w14:paraId="62C0BC34" w14:textId="77777777" w:rsidR="00ED2EBD" w:rsidRPr="00BD16B4" w:rsidRDefault="00ED2EBD" w:rsidP="004A205F">
            <w:pPr>
              <w:pStyle w:val="TableText"/>
              <w:spacing w:before="40" w:after="40"/>
              <w:jc w:val="right"/>
              <w:rPr>
                <w:szCs w:val="18"/>
              </w:rPr>
            </w:pPr>
            <w:r w:rsidRPr="00BD16B4">
              <w:rPr>
                <w:szCs w:val="18"/>
              </w:rPr>
              <w:t>47.46</w:t>
            </w:r>
          </w:p>
        </w:tc>
        <w:tc>
          <w:tcPr>
            <w:tcW w:w="794" w:type="dxa"/>
            <w:shd w:val="clear" w:color="auto" w:fill="auto"/>
          </w:tcPr>
          <w:p w14:paraId="1701026A" w14:textId="77777777" w:rsidR="00ED2EBD" w:rsidRPr="00BD16B4" w:rsidRDefault="00ED2EBD" w:rsidP="004A205F">
            <w:pPr>
              <w:pStyle w:val="TableText"/>
              <w:spacing w:before="40" w:after="40"/>
              <w:jc w:val="right"/>
              <w:rPr>
                <w:szCs w:val="18"/>
              </w:rPr>
            </w:pPr>
            <w:r w:rsidRPr="00BD16B4">
              <w:rPr>
                <w:szCs w:val="18"/>
              </w:rPr>
              <w:t>48.13</w:t>
            </w:r>
          </w:p>
        </w:tc>
        <w:tc>
          <w:tcPr>
            <w:tcW w:w="794" w:type="dxa"/>
            <w:shd w:val="clear" w:color="auto" w:fill="auto"/>
          </w:tcPr>
          <w:p w14:paraId="1CC66916" w14:textId="77777777" w:rsidR="00ED2EBD" w:rsidRPr="00BD16B4" w:rsidRDefault="00ED2EBD" w:rsidP="004A205F">
            <w:pPr>
              <w:pStyle w:val="TableText"/>
              <w:spacing w:before="40" w:after="40"/>
              <w:jc w:val="right"/>
              <w:rPr>
                <w:szCs w:val="18"/>
              </w:rPr>
            </w:pPr>
            <w:r w:rsidRPr="00BD16B4">
              <w:rPr>
                <w:szCs w:val="18"/>
              </w:rPr>
              <w:t>73.41</w:t>
            </w:r>
          </w:p>
        </w:tc>
        <w:tc>
          <w:tcPr>
            <w:tcW w:w="794" w:type="dxa"/>
            <w:shd w:val="clear" w:color="auto" w:fill="auto"/>
          </w:tcPr>
          <w:p w14:paraId="02BA3CE6" w14:textId="77777777" w:rsidR="00ED2EBD" w:rsidRPr="00BD16B4" w:rsidRDefault="00ED2EBD" w:rsidP="004A205F">
            <w:pPr>
              <w:pStyle w:val="TableText"/>
              <w:spacing w:before="40" w:after="40"/>
              <w:jc w:val="right"/>
              <w:rPr>
                <w:szCs w:val="18"/>
              </w:rPr>
            </w:pPr>
            <w:r w:rsidRPr="00BD16B4">
              <w:rPr>
                <w:szCs w:val="18"/>
              </w:rPr>
              <w:t>58.59</w:t>
            </w:r>
          </w:p>
        </w:tc>
        <w:tc>
          <w:tcPr>
            <w:tcW w:w="794" w:type="dxa"/>
            <w:shd w:val="clear" w:color="auto" w:fill="auto"/>
          </w:tcPr>
          <w:p w14:paraId="3DBEF71B" w14:textId="77777777" w:rsidR="00ED2EBD" w:rsidRPr="00BD16B4" w:rsidRDefault="00ED2EBD" w:rsidP="004A205F">
            <w:pPr>
              <w:pStyle w:val="TableText"/>
              <w:spacing w:before="40" w:after="40"/>
              <w:jc w:val="right"/>
              <w:rPr>
                <w:szCs w:val="18"/>
              </w:rPr>
            </w:pPr>
            <w:r w:rsidRPr="00BD16B4">
              <w:rPr>
                <w:szCs w:val="18"/>
              </w:rPr>
              <w:t>48.69</w:t>
            </w:r>
          </w:p>
        </w:tc>
        <w:tc>
          <w:tcPr>
            <w:tcW w:w="794" w:type="dxa"/>
            <w:shd w:val="clear" w:color="auto" w:fill="auto"/>
          </w:tcPr>
          <w:p w14:paraId="621A9F73" w14:textId="77777777" w:rsidR="00ED2EBD" w:rsidRPr="00BD16B4" w:rsidRDefault="00ED2EBD" w:rsidP="004A205F">
            <w:pPr>
              <w:pStyle w:val="TableText"/>
              <w:spacing w:before="40" w:after="40"/>
              <w:jc w:val="right"/>
              <w:rPr>
                <w:szCs w:val="18"/>
              </w:rPr>
            </w:pPr>
            <w:r w:rsidRPr="00BD16B4">
              <w:rPr>
                <w:szCs w:val="18"/>
              </w:rPr>
              <w:t>60.46</w:t>
            </w:r>
          </w:p>
        </w:tc>
        <w:tc>
          <w:tcPr>
            <w:tcW w:w="794" w:type="dxa"/>
          </w:tcPr>
          <w:p w14:paraId="3263EB0D" w14:textId="77777777" w:rsidR="00ED2EBD" w:rsidRPr="00BD16B4" w:rsidRDefault="00ED2EBD" w:rsidP="004A205F">
            <w:pPr>
              <w:pStyle w:val="TableText"/>
              <w:spacing w:before="40" w:after="40"/>
              <w:jc w:val="right"/>
              <w:rPr>
                <w:szCs w:val="18"/>
              </w:rPr>
            </w:pPr>
            <w:r w:rsidRPr="00BD16B4">
              <w:rPr>
                <w:szCs w:val="18"/>
              </w:rPr>
              <w:t>72.40</w:t>
            </w:r>
          </w:p>
        </w:tc>
        <w:tc>
          <w:tcPr>
            <w:tcW w:w="794" w:type="dxa"/>
          </w:tcPr>
          <w:p w14:paraId="3E3D1742" w14:textId="77777777" w:rsidR="00ED2EBD" w:rsidRPr="00BD16B4" w:rsidRDefault="00ED2EBD" w:rsidP="004A205F">
            <w:pPr>
              <w:pStyle w:val="TableText"/>
              <w:spacing w:before="40" w:after="40"/>
              <w:jc w:val="right"/>
              <w:rPr>
                <w:szCs w:val="18"/>
              </w:rPr>
            </w:pPr>
            <w:r w:rsidRPr="00BD16B4">
              <w:rPr>
                <w:szCs w:val="18"/>
              </w:rPr>
              <w:t>89.13</w:t>
            </w:r>
          </w:p>
        </w:tc>
        <w:tc>
          <w:tcPr>
            <w:tcW w:w="794" w:type="dxa"/>
            <w:shd w:val="clear" w:color="auto" w:fill="auto"/>
          </w:tcPr>
          <w:p w14:paraId="48B20808" w14:textId="77777777" w:rsidR="00ED2EBD" w:rsidRPr="00BD16B4" w:rsidRDefault="00ED2EBD" w:rsidP="004A205F">
            <w:pPr>
              <w:pStyle w:val="TableText"/>
              <w:spacing w:before="40" w:after="40"/>
              <w:jc w:val="right"/>
              <w:rPr>
                <w:szCs w:val="18"/>
              </w:rPr>
            </w:pPr>
            <w:r w:rsidRPr="00BD16B4">
              <w:rPr>
                <w:szCs w:val="18"/>
              </w:rPr>
              <w:t>87.92</w:t>
            </w:r>
          </w:p>
        </w:tc>
      </w:tr>
      <w:tr w:rsidR="00ED2EBD" w:rsidRPr="00BD16B4" w14:paraId="305F1D4C" w14:textId="77777777" w:rsidTr="00184956">
        <w:tc>
          <w:tcPr>
            <w:tcW w:w="3402" w:type="dxa"/>
          </w:tcPr>
          <w:p w14:paraId="014EAE78" w14:textId="77777777" w:rsidR="00ED2EBD" w:rsidRPr="00BD16B4" w:rsidRDefault="00ED2EBD" w:rsidP="004A205F">
            <w:pPr>
              <w:pStyle w:val="TableText"/>
              <w:spacing w:before="40" w:after="40"/>
              <w:rPr>
                <w:szCs w:val="18"/>
              </w:rPr>
            </w:pPr>
            <w:r w:rsidRPr="00BD16B4">
              <w:rPr>
                <w:szCs w:val="18"/>
              </w:rPr>
              <w:t>CF</w:t>
            </w:r>
            <w:r w:rsidRPr="00BD16B4">
              <w:rPr>
                <w:color w:val="000000"/>
                <w:szCs w:val="18"/>
                <w:vertAlign w:val="subscript"/>
              </w:rPr>
              <w:t>4</w:t>
            </w:r>
          </w:p>
        </w:tc>
        <w:tc>
          <w:tcPr>
            <w:tcW w:w="794" w:type="dxa"/>
            <w:shd w:val="clear" w:color="auto" w:fill="auto"/>
          </w:tcPr>
          <w:p w14:paraId="4287D256" w14:textId="77777777" w:rsidR="00ED2EBD" w:rsidRPr="00BD16B4" w:rsidRDefault="00ED2EBD" w:rsidP="004A205F">
            <w:pPr>
              <w:pStyle w:val="TableText"/>
              <w:spacing w:before="40" w:after="40"/>
              <w:jc w:val="right"/>
              <w:rPr>
                <w:szCs w:val="18"/>
              </w:rPr>
            </w:pPr>
            <w:r w:rsidRPr="00BD16B4">
              <w:rPr>
                <w:szCs w:val="18"/>
              </w:rPr>
              <w:t>0.01</w:t>
            </w:r>
          </w:p>
        </w:tc>
        <w:tc>
          <w:tcPr>
            <w:tcW w:w="794" w:type="dxa"/>
            <w:shd w:val="clear" w:color="auto" w:fill="auto"/>
          </w:tcPr>
          <w:p w14:paraId="6F9D158A"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785054CD" w14:textId="77777777" w:rsidR="00ED2EBD" w:rsidRPr="00BD16B4" w:rsidRDefault="00ED2EBD" w:rsidP="004A205F">
            <w:pPr>
              <w:pStyle w:val="TableText"/>
              <w:spacing w:before="40" w:after="40"/>
              <w:jc w:val="right"/>
              <w:rPr>
                <w:szCs w:val="18"/>
              </w:rPr>
            </w:pPr>
            <w:r w:rsidRPr="00BD16B4">
              <w:rPr>
                <w:szCs w:val="18"/>
              </w:rPr>
              <w:t>0.01</w:t>
            </w:r>
          </w:p>
        </w:tc>
        <w:tc>
          <w:tcPr>
            <w:tcW w:w="794" w:type="dxa"/>
            <w:shd w:val="clear" w:color="auto" w:fill="auto"/>
          </w:tcPr>
          <w:p w14:paraId="3CD23E79" w14:textId="77777777" w:rsidR="00ED2EBD" w:rsidRPr="00BD16B4" w:rsidRDefault="00ED2EBD" w:rsidP="004A205F">
            <w:pPr>
              <w:pStyle w:val="TableText"/>
              <w:spacing w:before="40" w:after="40"/>
              <w:jc w:val="right"/>
              <w:rPr>
                <w:szCs w:val="18"/>
              </w:rPr>
            </w:pPr>
            <w:r w:rsidRPr="00BD16B4">
              <w:rPr>
                <w:szCs w:val="18"/>
              </w:rPr>
              <w:t>0.01</w:t>
            </w:r>
          </w:p>
        </w:tc>
        <w:tc>
          <w:tcPr>
            <w:tcW w:w="794" w:type="dxa"/>
            <w:shd w:val="clear" w:color="auto" w:fill="auto"/>
          </w:tcPr>
          <w:p w14:paraId="68B3877D" w14:textId="77777777" w:rsidR="00ED2EBD" w:rsidRPr="00BD16B4" w:rsidRDefault="00ED2EBD" w:rsidP="004A205F">
            <w:pPr>
              <w:pStyle w:val="TableText"/>
              <w:spacing w:before="40" w:after="40"/>
              <w:jc w:val="right"/>
              <w:rPr>
                <w:szCs w:val="18"/>
              </w:rPr>
            </w:pPr>
            <w:r w:rsidRPr="00BD16B4">
              <w:rPr>
                <w:szCs w:val="18"/>
              </w:rPr>
              <w:t>0.01</w:t>
            </w:r>
          </w:p>
        </w:tc>
        <w:tc>
          <w:tcPr>
            <w:tcW w:w="794" w:type="dxa"/>
            <w:shd w:val="clear" w:color="auto" w:fill="auto"/>
          </w:tcPr>
          <w:p w14:paraId="4A61B6F4" w14:textId="77777777" w:rsidR="00ED2EBD" w:rsidRPr="00BD16B4" w:rsidRDefault="00ED2EBD" w:rsidP="004A205F">
            <w:pPr>
              <w:pStyle w:val="TableText"/>
              <w:spacing w:before="40" w:after="40"/>
              <w:jc w:val="right"/>
              <w:rPr>
                <w:szCs w:val="18"/>
              </w:rPr>
            </w:pPr>
            <w:r w:rsidRPr="00BD16B4">
              <w:rPr>
                <w:szCs w:val="18"/>
              </w:rPr>
              <w:t>0.01</w:t>
            </w:r>
          </w:p>
        </w:tc>
        <w:tc>
          <w:tcPr>
            <w:tcW w:w="794" w:type="dxa"/>
            <w:shd w:val="clear" w:color="auto" w:fill="auto"/>
          </w:tcPr>
          <w:p w14:paraId="21B481BD" w14:textId="77777777" w:rsidR="00ED2EBD" w:rsidRPr="00BD16B4" w:rsidRDefault="00ED2EBD" w:rsidP="004A205F">
            <w:pPr>
              <w:pStyle w:val="TableText"/>
              <w:spacing w:before="40" w:after="40"/>
              <w:jc w:val="right"/>
              <w:rPr>
                <w:szCs w:val="18"/>
              </w:rPr>
            </w:pPr>
            <w:r w:rsidRPr="00BD16B4">
              <w:rPr>
                <w:szCs w:val="18"/>
              </w:rPr>
              <w:t>0.01</w:t>
            </w:r>
          </w:p>
        </w:tc>
        <w:tc>
          <w:tcPr>
            <w:tcW w:w="794" w:type="dxa"/>
            <w:shd w:val="clear" w:color="auto" w:fill="auto"/>
          </w:tcPr>
          <w:p w14:paraId="24E1F3FF" w14:textId="77777777" w:rsidR="00ED2EBD" w:rsidRPr="00BD16B4" w:rsidRDefault="00ED2EBD" w:rsidP="004A205F">
            <w:pPr>
              <w:pStyle w:val="TableText"/>
              <w:spacing w:before="40" w:after="40"/>
              <w:jc w:val="right"/>
              <w:rPr>
                <w:szCs w:val="18"/>
              </w:rPr>
            </w:pPr>
            <w:r w:rsidRPr="00BD16B4">
              <w:rPr>
                <w:szCs w:val="18"/>
              </w:rPr>
              <w:t>0.01</w:t>
            </w:r>
          </w:p>
        </w:tc>
        <w:tc>
          <w:tcPr>
            <w:tcW w:w="794" w:type="dxa"/>
          </w:tcPr>
          <w:p w14:paraId="0B5A4A4B" w14:textId="77777777" w:rsidR="00ED2EBD" w:rsidRPr="00BD16B4" w:rsidRDefault="00ED2EBD" w:rsidP="004A205F">
            <w:pPr>
              <w:pStyle w:val="TableText"/>
              <w:spacing w:before="40" w:after="40"/>
              <w:jc w:val="right"/>
              <w:rPr>
                <w:szCs w:val="18"/>
              </w:rPr>
            </w:pPr>
            <w:r w:rsidRPr="00BD16B4">
              <w:rPr>
                <w:szCs w:val="18"/>
              </w:rPr>
              <w:t>0.01</w:t>
            </w:r>
          </w:p>
        </w:tc>
        <w:tc>
          <w:tcPr>
            <w:tcW w:w="794" w:type="dxa"/>
          </w:tcPr>
          <w:p w14:paraId="21E0CBC1" w14:textId="77777777" w:rsidR="00ED2EBD" w:rsidRPr="00BD16B4" w:rsidRDefault="00ED2EBD" w:rsidP="004A205F">
            <w:pPr>
              <w:pStyle w:val="TableText"/>
              <w:spacing w:before="40" w:after="40"/>
              <w:jc w:val="right"/>
              <w:rPr>
                <w:szCs w:val="18"/>
              </w:rPr>
            </w:pPr>
            <w:r w:rsidRPr="00BD16B4">
              <w:rPr>
                <w:szCs w:val="18"/>
              </w:rPr>
              <w:t>0.01</w:t>
            </w:r>
          </w:p>
        </w:tc>
        <w:tc>
          <w:tcPr>
            <w:tcW w:w="794" w:type="dxa"/>
            <w:shd w:val="clear" w:color="auto" w:fill="auto"/>
          </w:tcPr>
          <w:p w14:paraId="47F580E8" w14:textId="77777777" w:rsidR="00ED2EBD" w:rsidRPr="00BD16B4" w:rsidRDefault="00ED2EBD" w:rsidP="004A205F">
            <w:pPr>
              <w:pStyle w:val="TableText"/>
              <w:spacing w:before="40" w:after="40"/>
              <w:jc w:val="right"/>
              <w:rPr>
                <w:szCs w:val="18"/>
              </w:rPr>
            </w:pPr>
            <w:r w:rsidRPr="00BD16B4">
              <w:rPr>
                <w:szCs w:val="18"/>
              </w:rPr>
              <w:t>0.01</w:t>
            </w:r>
          </w:p>
        </w:tc>
      </w:tr>
      <w:tr w:rsidR="00ED2EBD" w:rsidRPr="00BD16B4" w14:paraId="45D0D332" w14:textId="77777777" w:rsidTr="00184956">
        <w:tc>
          <w:tcPr>
            <w:tcW w:w="3402" w:type="dxa"/>
          </w:tcPr>
          <w:p w14:paraId="4BF3BE5B" w14:textId="77777777" w:rsidR="00ED2EBD" w:rsidRPr="00BD16B4" w:rsidRDefault="00ED2EBD" w:rsidP="004A205F">
            <w:pPr>
              <w:pStyle w:val="TableText"/>
              <w:spacing w:before="40" w:after="40"/>
              <w:rPr>
                <w:szCs w:val="18"/>
              </w:rPr>
            </w:pPr>
            <w:r w:rsidRPr="00BD16B4">
              <w:rPr>
                <w:szCs w:val="18"/>
              </w:rPr>
              <w:t>C</w:t>
            </w:r>
            <w:r w:rsidRPr="00BD16B4">
              <w:rPr>
                <w:color w:val="000000"/>
                <w:szCs w:val="18"/>
                <w:vertAlign w:val="subscript"/>
              </w:rPr>
              <w:t>2</w:t>
            </w:r>
            <w:r w:rsidRPr="00BD16B4">
              <w:rPr>
                <w:color w:val="000000"/>
                <w:szCs w:val="18"/>
              </w:rPr>
              <w:t>F</w:t>
            </w:r>
            <w:r w:rsidRPr="00BD16B4">
              <w:rPr>
                <w:color w:val="000000"/>
                <w:szCs w:val="18"/>
                <w:vertAlign w:val="subscript"/>
              </w:rPr>
              <w:t>6</w:t>
            </w:r>
          </w:p>
        </w:tc>
        <w:tc>
          <w:tcPr>
            <w:tcW w:w="794" w:type="dxa"/>
            <w:shd w:val="clear" w:color="auto" w:fill="auto"/>
          </w:tcPr>
          <w:p w14:paraId="60DA896A"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3AD697FA"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55911DF2"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3B36BBBC"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3DCCE793"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78DCC8CB"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490FFE25"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0595A896"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59713F7C"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689D4C57"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75868CB4"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16C6AD96" w14:textId="77777777" w:rsidTr="00184956">
        <w:tc>
          <w:tcPr>
            <w:tcW w:w="3402" w:type="dxa"/>
          </w:tcPr>
          <w:p w14:paraId="7742FE1A" w14:textId="77777777" w:rsidR="00ED2EBD" w:rsidRPr="00BD16B4" w:rsidRDefault="00ED2EBD" w:rsidP="004A205F">
            <w:pPr>
              <w:pStyle w:val="TableText"/>
              <w:spacing w:before="40" w:after="40"/>
              <w:rPr>
                <w:szCs w:val="18"/>
              </w:rPr>
            </w:pPr>
            <w:r w:rsidRPr="00BD16B4">
              <w:rPr>
                <w:szCs w:val="18"/>
              </w:rPr>
              <w:t>C</w:t>
            </w:r>
            <w:r w:rsidRPr="00BD16B4">
              <w:rPr>
                <w:color w:val="000000"/>
                <w:szCs w:val="18"/>
                <w:vertAlign w:val="subscript"/>
              </w:rPr>
              <w:t>3</w:t>
            </w:r>
            <w:r w:rsidRPr="00BD16B4">
              <w:rPr>
                <w:color w:val="000000"/>
                <w:szCs w:val="18"/>
              </w:rPr>
              <w:t>F</w:t>
            </w:r>
            <w:r w:rsidRPr="00BD16B4">
              <w:rPr>
                <w:color w:val="000000"/>
                <w:szCs w:val="18"/>
                <w:vertAlign w:val="subscript"/>
              </w:rPr>
              <w:t>8</w:t>
            </w:r>
          </w:p>
        </w:tc>
        <w:tc>
          <w:tcPr>
            <w:tcW w:w="794" w:type="dxa"/>
            <w:shd w:val="clear" w:color="auto" w:fill="auto"/>
          </w:tcPr>
          <w:p w14:paraId="601B1C96" w14:textId="77777777" w:rsidR="00ED2EBD" w:rsidRPr="00BD16B4" w:rsidRDefault="00ED2EBD" w:rsidP="004A205F">
            <w:pPr>
              <w:pStyle w:val="TableText"/>
              <w:spacing w:before="40" w:after="40"/>
              <w:jc w:val="right"/>
              <w:rPr>
                <w:szCs w:val="18"/>
              </w:rPr>
            </w:pPr>
            <w:r w:rsidRPr="00BD16B4">
              <w:rPr>
                <w:szCs w:val="18"/>
              </w:rPr>
              <w:t>NO, NA</w:t>
            </w:r>
          </w:p>
        </w:tc>
        <w:tc>
          <w:tcPr>
            <w:tcW w:w="794" w:type="dxa"/>
            <w:shd w:val="clear" w:color="auto" w:fill="auto"/>
          </w:tcPr>
          <w:p w14:paraId="0B248B20"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13F9FBEE"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7842A0DD"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2F224276"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505C6C3A"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04B0D23A"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0E7DB6CB"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07DA344F"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591574C4" w14:textId="77777777" w:rsidR="00ED2EBD" w:rsidRPr="00BD16B4" w:rsidRDefault="00ED2EBD" w:rsidP="004A205F">
            <w:pPr>
              <w:pStyle w:val="TableText"/>
              <w:spacing w:before="40" w:after="40"/>
              <w:jc w:val="right"/>
              <w:rPr>
                <w:szCs w:val="18"/>
              </w:rPr>
            </w:pPr>
            <w:r w:rsidRPr="00BD16B4">
              <w:rPr>
                <w:szCs w:val="18"/>
              </w:rPr>
              <w:t>0.00</w:t>
            </w:r>
          </w:p>
        </w:tc>
        <w:tc>
          <w:tcPr>
            <w:tcW w:w="794" w:type="dxa"/>
            <w:shd w:val="clear" w:color="auto" w:fill="auto"/>
          </w:tcPr>
          <w:p w14:paraId="272D7AA4"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1B296EBB" w14:textId="77777777" w:rsidTr="00184956">
        <w:tc>
          <w:tcPr>
            <w:tcW w:w="3402" w:type="dxa"/>
          </w:tcPr>
          <w:p w14:paraId="5EFE1C52" w14:textId="77777777" w:rsidR="00ED2EBD" w:rsidRPr="00BD16B4" w:rsidRDefault="00ED2EBD" w:rsidP="004A205F">
            <w:pPr>
              <w:pStyle w:val="TableText"/>
              <w:spacing w:before="40" w:after="40"/>
              <w:rPr>
                <w:szCs w:val="18"/>
              </w:rPr>
            </w:pPr>
            <w:r w:rsidRPr="00BD16B4">
              <w:rPr>
                <w:szCs w:val="18"/>
              </w:rPr>
              <w:t>C</w:t>
            </w:r>
            <w:r w:rsidRPr="00BD16B4">
              <w:rPr>
                <w:color w:val="000000"/>
                <w:szCs w:val="18"/>
                <w:vertAlign w:val="subscript"/>
              </w:rPr>
              <w:t>4</w:t>
            </w:r>
            <w:r w:rsidRPr="00BD16B4">
              <w:rPr>
                <w:color w:val="000000"/>
                <w:szCs w:val="18"/>
              </w:rPr>
              <w:t>F</w:t>
            </w:r>
            <w:r w:rsidRPr="00BD16B4">
              <w:rPr>
                <w:color w:val="000000"/>
                <w:szCs w:val="18"/>
                <w:vertAlign w:val="subscript"/>
              </w:rPr>
              <w:t>10</w:t>
            </w:r>
          </w:p>
        </w:tc>
        <w:tc>
          <w:tcPr>
            <w:tcW w:w="794" w:type="dxa"/>
            <w:shd w:val="clear" w:color="auto" w:fill="auto"/>
          </w:tcPr>
          <w:p w14:paraId="559164E8"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5D9006E"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0F2683C"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E958B54"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2A0F04F0"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D3D227D"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D60CAD5"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5523AC7"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0EA59F44"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02DBA54F"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F61849E"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5430CDA1" w14:textId="77777777" w:rsidTr="00184956">
        <w:tc>
          <w:tcPr>
            <w:tcW w:w="3402" w:type="dxa"/>
          </w:tcPr>
          <w:p w14:paraId="1F89B16F" w14:textId="77777777" w:rsidR="00ED2EBD" w:rsidRPr="00BD16B4" w:rsidRDefault="00ED2EBD" w:rsidP="004A205F">
            <w:pPr>
              <w:pStyle w:val="TableText"/>
              <w:spacing w:before="40" w:after="40"/>
              <w:rPr>
                <w:szCs w:val="18"/>
              </w:rPr>
            </w:pPr>
            <w:r w:rsidRPr="00BD16B4">
              <w:rPr>
                <w:szCs w:val="18"/>
              </w:rPr>
              <w:t>c-C</w:t>
            </w:r>
            <w:r w:rsidRPr="00BD16B4">
              <w:rPr>
                <w:color w:val="000000"/>
                <w:szCs w:val="18"/>
                <w:vertAlign w:val="subscript"/>
              </w:rPr>
              <w:t>4</w:t>
            </w:r>
            <w:r w:rsidRPr="00BD16B4">
              <w:rPr>
                <w:color w:val="000000"/>
                <w:szCs w:val="18"/>
              </w:rPr>
              <w:t>F</w:t>
            </w:r>
            <w:r w:rsidRPr="00BD16B4">
              <w:rPr>
                <w:color w:val="000000"/>
                <w:szCs w:val="18"/>
                <w:vertAlign w:val="subscript"/>
              </w:rPr>
              <w:t>8</w:t>
            </w:r>
          </w:p>
        </w:tc>
        <w:tc>
          <w:tcPr>
            <w:tcW w:w="794" w:type="dxa"/>
            <w:shd w:val="clear" w:color="auto" w:fill="auto"/>
          </w:tcPr>
          <w:p w14:paraId="0068BD54"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D33F65D"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D7F2620"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71E687C4"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3F36ADB"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C5728C1"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6C33BBE"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AD7DABE"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65EF6205"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2B904018"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7F7B03C"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08A87770" w14:textId="77777777" w:rsidTr="00184956">
        <w:tc>
          <w:tcPr>
            <w:tcW w:w="3402" w:type="dxa"/>
          </w:tcPr>
          <w:p w14:paraId="6F4D7F8A" w14:textId="77777777" w:rsidR="00ED2EBD" w:rsidRPr="00BD16B4" w:rsidRDefault="00ED2EBD" w:rsidP="004A205F">
            <w:pPr>
              <w:pStyle w:val="TableText"/>
              <w:spacing w:before="40" w:after="40"/>
              <w:rPr>
                <w:szCs w:val="18"/>
              </w:rPr>
            </w:pPr>
            <w:r w:rsidRPr="00BD16B4">
              <w:rPr>
                <w:szCs w:val="18"/>
              </w:rPr>
              <w:t>C</w:t>
            </w:r>
            <w:r w:rsidRPr="00BD16B4">
              <w:rPr>
                <w:color w:val="000000"/>
                <w:szCs w:val="18"/>
                <w:vertAlign w:val="subscript"/>
              </w:rPr>
              <w:t>5</w:t>
            </w:r>
            <w:r w:rsidRPr="00BD16B4">
              <w:rPr>
                <w:color w:val="000000"/>
                <w:szCs w:val="18"/>
              </w:rPr>
              <w:t>F</w:t>
            </w:r>
            <w:r w:rsidRPr="00BD16B4">
              <w:rPr>
                <w:color w:val="000000"/>
                <w:szCs w:val="18"/>
                <w:vertAlign w:val="subscript"/>
              </w:rPr>
              <w:t>12</w:t>
            </w:r>
          </w:p>
        </w:tc>
        <w:tc>
          <w:tcPr>
            <w:tcW w:w="794" w:type="dxa"/>
            <w:shd w:val="clear" w:color="auto" w:fill="auto"/>
          </w:tcPr>
          <w:p w14:paraId="0B22BA1C"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E4A8A14"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CA00D2A"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4325CD50"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C4253BA"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792BBFF"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342ECAC"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097E3D75"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4B08631B"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1BCEE617"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6B5DCDAE"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38078F3F" w14:textId="77777777" w:rsidTr="00184956">
        <w:tc>
          <w:tcPr>
            <w:tcW w:w="3402" w:type="dxa"/>
          </w:tcPr>
          <w:p w14:paraId="41FAB477" w14:textId="77777777" w:rsidR="00ED2EBD" w:rsidRPr="00BD16B4" w:rsidRDefault="00ED2EBD" w:rsidP="004A205F">
            <w:pPr>
              <w:pStyle w:val="TableText"/>
              <w:spacing w:before="40" w:after="40"/>
              <w:rPr>
                <w:szCs w:val="18"/>
              </w:rPr>
            </w:pPr>
            <w:r w:rsidRPr="00BD16B4">
              <w:rPr>
                <w:szCs w:val="18"/>
              </w:rPr>
              <w:t>C</w:t>
            </w:r>
            <w:r w:rsidRPr="00BD16B4">
              <w:rPr>
                <w:color w:val="000000"/>
                <w:szCs w:val="18"/>
                <w:vertAlign w:val="subscript"/>
              </w:rPr>
              <w:t>6</w:t>
            </w:r>
            <w:r w:rsidRPr="00BD16B4">
              <w:rPr>
                <w:color w:val="000000"/>
                <w:szCs w:val="18"/>
              </w:rPr>
              <w:t>F</w:t>
            </w:r>
            <w:r w:rsidRPr="00BD16B4">
              <w:rPr>
                <w:color w:val="000000"/>
                <w:szCs w:val="18"/>
                <w:vertAlign w:val="subscript"/>
              </w:rPr>
              <w:t>14</w:t>
            </w:r>
          </w:p>
        </w:tc>
        <w:tc>
          <w:tcPr>
            <w:tcW w:w="794" w:type="dxa"/>
            <w:shd w:val="clear" w:color="auto" w:fill="auto"/>
          </w:tcPr>
          <w:p w14:paraId="49EA1C96"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5577ACA"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780E581E"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95774B4"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0B24F656"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240AE5A9"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1194282"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1196552"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5650CA70"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747307BF"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7BFD1B27"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47F33095" w14:textId="77777777" w:rsidTr="00184956">
        <w:tc>
          <w:tcPr>
            <w:tcW w:w="3402" w:type="dxa"/>
          </w:tcPr>
          <w:p w14:paraId="150F22E8" w14:textId="77777777" w:rsidR="00ED2EBD" w:rsidRPr="00BD16B4" w:rsidRDefault="00ED2EBD" w:rsidP="004A205F">
            <w:pPr>
              <w:pStyle w:val="TableText"/>
              <w:spacing w:before="40" w:after="40"/>
              <w:rPr>
                <w:szCs w:val="18"/>
              </w:rPr>
            </w:pPr>
            <w:r w:rsidRPr="00BD16B4">
              <w:rPr>
                <w:szCs w:val="18"/>
              </w:rPr>
              <w:t>C10F18</w:t>
            </w:r>
          </w:p>
        </w:tc>
        <w:tc>
          <w:tcPr>
            <w:tcW w:w="794" w:type="dxa"/>
            <w:shd w:val="clear" w:color="auto" w:fill="auto"/>
          </w:tcPr>
          <w:p w14:paraId="00BAC88C"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8AC410F"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234897A5"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2EE66F4"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7EF05DD7"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664CF654"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192E86E"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6BEB9DB9"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490EB346"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54006204"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2DBD0846"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54841C1D" w14:textId="77777777" w:rsidTr="00184956">
        <w:tc>
          <w:tcPr>
            <w:tcW w:w="3402" w:type="dxa"/>
          </w:tcPr>
          <w:p w14:paraId="579BA516" w14:textId="77777777" w:rsidR="00ED2EBD" w:rsidRPr="00BD16B4" w:rsidRDefault="00ED2EBD" w:rsidP="004A205F">
            <w:pPr>
              <w:pStyle w:val="TableText"/>
              <w:spacing w:before="40" w:after="40"/>
              <w:rPr>
                <w:szCs w:val="18"/>
              </w:rPr>
            </w:pPr>
            <w:r w:rsidRPr="00BD16B4">
              <w:rPr>
                <w:szCs w:val="18"/>
              </w:rPr>
              <w:t>c-C3F6</w:t>
            </w:r>
          </w:p>
        </w:tc>
        <w:tc>
          <w:tcPr>
            <w:tcW w:w="794" w:type="dxa"/>
            <w:shd w:val="clear" w:color="auto" w:fill="auto"/>
          </w:tcPr>
          <w:p w14:paraId="0919187C"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22CCF835"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2C5AD4B5"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339EFA39"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74F227B5"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08EA4424"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E44D672"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51E3A430"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251E97EF"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21B78524" w14:textId="77777777" w:rsidR="00ED2EBD" w:rsidRPr="00BD16B4" w:rsidRDefault="00ED2EBD" w:rsidP="004A205F">
            <w:pPr>
              <w:pStyle w:val="TableText"/>
              <w:spacing w:before="40" w:after="40"/>
              <w:jc w:val="right"/>
              <w:rPr>
                <w:szCs w:val="18"/>
              </w:rPr>
            </w:pPr>
            <w:r w:rsidRPr="00BD16B4">
              <w:rPr>
                <w:szCs w:val="18"/>
              </w:rPr>
              <w:t>NA</w:t>
            </w:r>
          </w:p>
        </w:tc>
        <w:tc>
          <w:tcPr>
            <w:tcW w:w="794" w:type="dxa"/>
            <w:shd w:val="clear" w:color="auto" w:fill="auto"/>
          </w:tcPr>
          <w:p w14:paraId="187B7D56"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0D24DB67" w14:textId="77777777" w:rsidTr="00184956">
        <w:tc>
          <w:tcPr>
            <w:tcW w:w="3402" w:type="dxa"/>
          </w:tcPr>
          <w:p w14:paraId="6B377680" w14:textId="77777777" w:rsidR="00ED2EBD" w:rsidRPr="00BD16B4" w:rsidRDefault="00ED2EBD" w:rsidP="004A205F">
            <w:pPr>
              <w:pStyle w:val="TableText"/>
              <w:spacing w:before="40" w:after="40"/>
              <w:rPr>
                <w:szCs w:val="18"/>
              </w:rPr>
            </w:pPr>
            <w:r w:rsidRPr="00BD16B4">
              <w:rPr>
                <w:szCs w:val="18"/>
              </w:rPr>
              <w:t>Unspecified mix of PFCs (kt CO</w:t>
            </w:r>
            <w:r w:rsidRPr="00BD16B4">
              <w:rPr>
                <w:szCs w:val="18"/>
                <w:vertAlign w:val="subscript"/>
              </w:rPr>
              <w:t>2</w:t>
            </w:r>
            <w:r w:rsidRPr="00BD16B4">
              <w:rPr>
                <w:szCs w:val="18"/>
              </w:rPr>
              <w:t>-equivalent)</w:t>
            </w:r>
          </w:p>
        </w:tc>
        <w:tc>
          <w:tcPr>
            <w:tcW w:w="794" w:type="dxa"/>
          </w:tcPr>
          <w:p w14:paraId="49C9F0E7"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632BB70A"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1F19F4C5"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41CFDFE4"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5ECCFBC1"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78E2F15A"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35520C85"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27B729DA"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38CD5A60"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3910E7F9" w14:textId="77777777" w:rsidR="00ED2EBD" w:rsidRPr="00BD16B4" w:rsidRDefault="00ED2EBD" w:rsidP="004A205F">
            <w:pPr>
              <w:pStyle w:val="TableText"/>
              <w:spacing w:before="40" w:after="40"/>
              <w:jc w:val="right"/>
              <w:rPr>
                <w:szCs w:val="18"/>
              </w:rPr>
            </w:pPr>
            <w:r w:rsidRPr="00BD16B4">
              <w:rPr>
                <w:szCs w:val="18"/>
              </w:rPr>
              <w:t>NA</w:t>
            </w:r>
          </w:p>
        </w:tc>
        <w:tc>
          <w:tcPr>
            <w:tcW w:w="794" w:type="dxa"/>
          </w:tcPr>
          <w:p w14:paraId="589FFFCA" w14:textId="77777777" w:rsidR="00ED2EBD" w:rsidRPr="00BD16B4" w:rsidRDefault="00ED2EBD" w:rsidP="004A205F">
            <w:pPr>
              <w:pStyle w:val="TableText"/>
              <w:spacing w:before="40" w:after="40"/>
              <w:jc w:val="right"/>
              <w:rPr>
                <w:szCs w:val="18"/>
              </w:rPr>
            </w:pPr>
            <w:r w:rsidRPr="00BD16B4">
              <w:rPr>
                <w:szCs w:val="18"/>
              </w:rPr>
              <w:t>NA</w:t>
            </w:r>
          </w:p>
        </w:tc>
      </w:tr>
      <w:tr w:rsidR="00ED2EBD" w:rsidRPr="00BD16B4" w14:paraId="350599FB" w14:textId="77777777" w:rsidTr="00184956">
        <w:tc>
          <w:tcPr>
            <w:tcW w:w="3402" w:type="dxa"/>
          </w:tcPr>
          <w:p w14:paraId="5A01AAED" w14:textId="77777777" w:rsidR="00ED2EBD" w:rsidRPr="00BD16B4" w:rsidRDefault="00ED2EBD" w:rsidP="004A205F">
            <w:pPr>
              <w:pStyle w:val="TableText"/>
              <w:spacing w:before="40" w:after="40"/>
              <w:rPr>
                <w:szCs w:val="18"/>
              </w:rPr>
            </w:pPr>
            <w:r w:rsidRPr="00BD16B4">
              <w:rPr>
                <w:b/>
                <w:bCs/>
                <w:szCs w:val="18"/>
              </w:rPr>
              <w:t>Unspecified mix of HFCs and PFCs (kt CO</w:t>
            </w:r>
            <w:r w:rsidRPr="00BD16B4">
              <w:rPr>
                <w:b/>
                <w:bCs/>
                <w:szCs w:val="18"/>
                <w:vertAlign w:val="subscript"/>
              </w:rPr>
              <w:t>2</w:t>
            </w:r>
            <w:r w:rsidRPr="00BD16B4">
              <w:rPr>
                <w:b/>
                <w:bCs/>
                <w:szCs w:val="18"/>
              </w:rPr>
              <w:t>-equivalent)</w:t>
            </w:r>
          </w:p>
        </w:tc>
        <w:tc>
          <w:tcPr>
            <w:tcW w:w="794" w:type="dxa"/>
          </w:tcPr>
          <w:p w14:paraId="0D071BE5"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64C5D2D7"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14367A38"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08FB7058"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311183B6"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07F6A940"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1CC79E58"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3112623F"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294FE148"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78824B30"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398B6DF1"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0E9EC8DC" w14:textId="77777777" w:rsidTr="00184956">
        <w:tc>
          <w:tcPr>
            <w:tcW w:w="3402" w:type="dxa"/>
          </w:tcPr>
          <w:p w14:paraId="32F10D73" w14:textId="77777777" w:rsidR="00ED2EBD" w:rsidRPr="00BD16B4" w:rsidRDefault="00ED2EBD" w:rsidP="004A205F">
            <w:pPr>
              <w:pStyle w:val="TableText"/>
              <w:spacing w:before="40" w:after="40"/>
              <w:rPr>
                <w:szCs w:val="18"/>
              </w:rPr>
            </w:pPr>
            <w:r w:rsidRPr="00BD16B4">
              <w:rPr>
                <w:b/>
                <w:bCs/>
                <w:szCs w:val="18"/>
              </w:rPr>
              <w:t>Emissions of SF</w:t>
            </w:r>
            <w:r w:rsidRPr="00BD16B4">
              <w:rPr>
                <w:b/>
                <w:bCs/>
                <w:szCs w:val="18"/>
                <w:vertAlign w:val="subscript"/>
              </w:rPr>
              <w:t>6</w:t>
            </w:r>
            <w:r w:rsidRPr="00BD16B4">
              <w:rPr>
                <w:b/>
                <w:bCs/>
                <w:szCs w:val="18"/>
              </w:rPr>
              <w:t xml:space="preserve"> (kt CO</w:t>
            </w:r>
            <w:r w:rsidRPr="00BD16B4">
              <w:rPr>
                <w:b/>
                <w:bCs/>
                <w:szCs w:val="18"/>
                <w:vertAlign w:val="subscript"/>
              </w:rPr>
              <w:t>2</w:t>
            </w:r>
            <w:r w:rsidRPr="00BD16B4">
              <w:rPr>
                <w:b/>
                <w:bCs/>
                <w:szCs w:val="18"/>
              </w:rPr>
              <w:t>-equivalent)</w:t>
            </w:r>
          </w:p>
        </w:tc>
        <w:tc>
          <w:tcPr>
            <w:tcW w:w="794" w:type="dxa"/>
          </w:tcPr>
          <w:p w14:paraId="649DB164" w14:textId="77777777" w:rsidR="00ED2EBD" w:rsidRPr="00BD16B4" w:rsidRDefault="00ED2EBD" w:rsidP="004A205F">
            <w:pPr>
              <w:pStyle w:val="TableText"/>
              <w:spacing w:before="40" w:after="40"/>
              <w:jc w:val="right"/>
              <w:rPr>
                <w:szCs w:val="18"/>
              </w:rPr>
            </w:pPr>
            <w:r w:rsidRPr="00BD16B4">
              <w:rPr>
                <w:szCs w:val="18"/>
              </w:rPr>
              <w:t>22.84</w:t>
            </w:r>
          </w:p>
        </w:tc>
        <w:tc>
          <w:tcPr>
            <w:tcW w:w="794" w:type="dxa"/>
          </w:tcPr>
          <w:p w14:paraId="10AB4783" w14:textId="77777777" w:rsidR="00ED2EBD" w:rsidRPr="00BD16B4" w:rsidRDefault="00ED2EBD" w:rsidP="004A205F">
            <w:pPr>
              <w:pStyle w:val="TableText"/>
              <w:spacing w:before="40" w:after="40"/>
              <w:jc w:val="right"/>
              <w:rPr>
                <w:szCs w:val="18"/>
              </w:rPr>
            </w:pPr>
            <w:r w:rsidRPr="00BD16B4">
              <w:rPr>
                <w:szCs w:val="18"/>
              </w:rPr>
              <w:t>18.94</w:t>
            </w:r>
          </w:p>
        </w:tc>
        <w:tc>
          <w:tcPr>
            <w:tcW w:w="794" w:type="dxa"/>
          </w:tcPr>
          <w:p w14:paraId="15E31B93" w14:textId="77777777" w:rsidR="00ED2EBD" w:rsidRPr="00BD16B4" w:rsidRDefault="00ED2EBD" w:rsidP="004A205F">
            <w:pPr>
              <w:pStyle w:val="TableText"/>
              <w:spacing w:before="40" w:after="40"/>
              <w:jc w:val="right"/>
              <w:rPr>
                <w:szCs w:val="18"/>
              </w:rPr>
            </w:pPr>
            <w:r w:rsidRPr="00BD16B4">
              <w:rPr>
                <w:szCs w:val="18"/>
              </w:rPr>
              <w:t>20.90</w:t>
            </w:r>
          </w:p>
        </w:tc>
        <w:tc>
          <w:tcPr>
            <w:tcW w:w="794" w:type="dxa"/>
          </w:tcPr>
          <w:p w14:paraId="44A5859B" w14:textId="77777777" w:rsidR="00ED2EBD" w:rsidRPr="00BD16B4" w:rsidRDefault="00ED2EBD" w:rsidP="004A205F">
            <w:pPr>
              <w:pStyle w:val="TableText"/>
              <w:spacing w:before="40" w:after="40"/>
              <w:jc w:val="right"/>
              <w:rPr>
                <w:szCs w:val="18"/>
              </w:rPr>
            </w:pPr>
            <w:r w:rsidRPr="00BD16B4">
              <w:rPr>
                <w:szCs w:val="18"/>
              </w:rPr>
              <w:t>18.18</w:t>
            </w:r>
          </w:p>
        </w:tc>
        <w:tc>
          <w:tcPr>
            <w:tcW w:w="794" w:type="dxa"/>
          </w:tcPr>
          <w:p w14:paraId="1D0375C9" w14:textId="77777777" w:rsidR="00ED2EBD" w:rsidRPr="00BD16B4" w:rsidRDefault="00ED2EBD" w:rsidP="004A205F">
            <w:pPr>
              <w:pStyle w:val="TableText"/>
              <w:spacing w:before="40" w:after="40"/>
              <w:jc w:val="right"/>
              <w:rPr>
                <w:szCs w:val="18"/>
              </w:rPr>
            </w:pPr>
            <w:r w:rsidRPr="00BD16B4">
              <w:rPr>
                <w:szCs w:val="18"/>
              </w:rPr>
              <w:t>16.80</w:t>
            </w:r>
          </w:p>
        </w:tc>
        <w:tc>
          <w:tcPr>
            <w:tcW w:w="794" w:type="dxa"/>
          </w:tcPr>
          <w:p w14:paraId="28CA57C5" w14:textId="77777777" w:rsidR="00ED2EBD" w:rsidRPr="00BD16B4" w:rsidRDefault="00ED2EBD" w:rsidP="004A205F">
            <w:pPr>
              <w:pStyle w:val="TableText"/>
              <w:spacing w:before="40" w:after="40"/>
              <w:jc w:val="right"/>
              <w:rPr>
                <w:szCs w:val="18"/>
              </w:rPr>
            </w:pPr>
            <w:r w:rsidRPr="00BD16B4">
              <w:rPr>
                <w:szCs w:val="18"/>
              </w:rPr>
              <w:t>16.46</w:t>
            </w:r>
          </w:p>
        </w:tc>
        <w:tc>
          <w:tcPr>
            <w:tcW w:w="794" w:type="dxa"/>
          </w:tcPr>
          <w:p w14:paraId="7595D96F" w14:textId="77777777" w:rsidR="00ED2EBD" w:rsidRPr="00BD16B4" w:rsidRDefault="00ED2EBD" w:rsidP="004A205F">
            <w:pPr>
              <w:pStyle w:val="TableText"/>
              <w:spacing w:before="40" w:after="40"/>
              <w:jc w:val="right"/>
              <w:rPr>
                <w:szCs w:val="18"/>
              </w:rPr>
            </w:pPr>
            <w:r w:rsidRPr="00BD16B4">
              <w:rPr>
                <w:szCs w:val="18"/>
              </w:rPr>
              <w:t>17.36</w:t>
            </w:r>
          </w:p>
        </w:tc>
        <w:tc>
          <w:tcPr>
            <w:tcW w:w="794" w:type="dxa"/>
          </w:tcPr>
          <w:p w14:paraId="10C3725C" w14:textId="77777777" w:rsidR="00ED2EBD" w:rsidRPr="00BD16B4" w:rsidRDefault="00ED2EBD" w:rsidP="004A205F">
            <w:pPr>
              <w:pStyle w:val="TableText"/>
              <w:spacing w:before="40" w:after="40"/>
              <w:jc w:val="right"/>
              <w:rPr>
                <w:szCs w:val="18"/>
              </w:rPr>
            </w:pPr>
            <w:r w:rsidRPr="00BD16B4">
              <w:rPr>
                <w:szCs w:val="18"/>
              </w:rPr>
              <w:t>14.79</w:t>
            </w:r>
          </w:p>
        </w:tc>
        <w:tc>
          <w:tcPr>
            <w:tcW w:w="794" w:type="dxa"/>
          </w:tcPr>
          <w:p w14:paraId="3506F0CA" w14:textId="77777777" w:rsidR="00ED2EBD" w:rsidRPr="00BD16B4" w:rsidRDefault="00ED2EBD" w:rsidP="004A205F">
            <w:pPr>
              <w:pStyle w:val="TableText"/>
              <w:spacing w:before="40" w:after="40"/>
              <w:jc w:val="right"/>
              <w:rPr>
                <w:szCs w:val="18"/>
              </w:rPr>
            </w:pPr>
            <w:r w:rsidRPr="00BD16B4">
              <w:rPr>
                <w:szCs w:val="18"/>
              </w:rPr>
              <w:t>14.71</w:t>
            </w:r>
          </w:p>
        </w:tc>
        <w:tc>
          <w:tcPr>
            <w:tcW w:w="794" w:type="dxa"/>
          </w:tcPr>
          <w:p w14:paraId="66504627" w14:textId="77777777" w:rsidR="00ED2EBD" w:rsidRPr="00BD16B4" w:rsidRDefault="00ED2EBD" w:rsidP="004A205F">
            <w:pPr>
              <w:pStyle w:val="TableText"/>
              <w:spacing w:before="40" w:after="40"/>
              <w:jc w:val="right"/>
              <w:rPr>
                <w:szCs w:val="18"/>
              </w:rPr>
            </w:pPr>
            <w:r w:rsidRPr="00BD16B4">
              <w:rPr>
                <w:szCs w:val="18"/>
              </w:rPr>
              <w:t>15.98</w:t>
            </w:r>
          </w:p>
        </w:tc>
        <w:tc>
          <w:tcPr>
            <w:tcW w:w="794" w:type="dxa"/>
          </w:tcPr>
          <w:p w14:paraId="30A03F07" w14:textId="77777777" w:rsidR="00ED2EBD" w:rsidRPr="00BD16B4" w:rsidRDefault="00ED2EBD" w:rsidP="004A205F">
            <w:pPr>
              <w:pStyle w:val="TableText"/>
              <w:spacing w:before="40" w:after="40"/>
              <w:jc w:val="right"/>
              <w:rPr>
                <w:szCs w:val="18"/>
              </w:rPr>
            </w:pPr>
            <w:r w:rsidRPr="00BD16B4">
              <w:rPr>
                <w:szCs w:val="18"/>
              </w:rPr>
              <w:t>16.69</w:t>
            </w:r>
          </w:p>
        </w:tc>
      </w:tr>
      <w:tr w:rsidR="00ED2EBD" w:rsidRPr="00BD16B4" w14:paraId="3013C8D2" w14:textId="77777777" w:rsidTr="00184956">
        <w:tc>
          <w:tcPr>
            <w:tcW w:w="3402" w:type="dxa"/>
          </w:tcPr>
          <w:p w14:paraId="7C8C672D" w14:textId="77777777" w:rsidR="00ED2EBD" w:rsidRPr="00BD16B4" w:rsidRDefault="00ED2EBD" w:rsidP="004A205F">
            <w:pPr>
              <w:pStyle w:val="TableText"/>
              <w:spacing w:before="40" w:after="40"/>
              <w:rPr>
                <w:szCs w:val="18"/>
              </w:rPr>
            </w:pPr>
            <w:r w:rsidRPr="00BD16B4">
              <w:rPr>
                <w:szCs w:val="18"/>
              </w:rPr>
              <w:t>SF</w:t>
            </w:r>
            <w:r w:rsidRPr="00BD16B4">
              <w:rPr>
                <w:color w:val="000000"/>
                <w:szCs w:val="18"/>
                <w:vertAlign w:val="subscript"/>
              </w:rPr>
              <w:t>6</w:t>
            </w:r>
          </w:p>
        </w:tc>
        <w:tc>
          <w:tcPr>
            <w:tcW w:w="794" w:type="dxa"/>
          </w:tcPr>
          <w:p w14:paraId="315F1F96"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294B893F"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51DD01DD"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269D5C2B"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7DE5B223"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6FEFE4B8"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6126585C"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1718A275"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271D1E99"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232BA0FC" w14:textId="77777777" w:rsidR="00ED2EBD" w:rsidRPr="00BD16B4" w:rsidRDefault="00ED2EBD" w:rsidP="004A205F">
            <w:pPr>
              <w:pStyle w:val="TableText"/>
              <w:spacing w:before="40" w:after="40"/>
              <w:jc w:val="right"/>
              <w:rPr>
                <w:szCs w:val="18"/>
              </w:rPr>
            </w:pPr>
            <w:r w:rsidRPr="00BD16B4">
              <w:rPr>
                <w:szCs w:val="18"/>
              </w:rPr>
              <w:t>0.00</w:t>
            </w:r>
          </w:p>
        </w:tc>
        <w:tc>
          <w:tcPr>
            <w:tcW w:w="794" w:type="dxa"/>
          </w:tcPr>
          <w:p w14:paraId="5BCBAF5F" w14:textId="77777777" w:rsidR="00ED2EBD" w:rsidRPr="00BD16B4" w:rsidRDefault="00ED2EBD" w:rsidP="004A205F">
            <w:pPr>
              <w:pStyle w:val="TableText"/>
              <w:spacing w:before="40" w:after="40"/>
              <w:jc w:val="right"/>
              <w:rPr>
                <w:szCs w:val="18"/>
              </w:rPr>
            </w:pPr>
            <w:r w:rsidRPr="00BD16B4">
              <w:rPr>
                <w:szCs w:val="18"/>
              </w:rPr>
              <w:t>0.00</w:t>
            </w:r>
          </w:p>
        </w:tc>
      </w:tr>
      <w:tr w:rsidR="00ED2EBD" w:rsidRPr="00BD16B4" w14:paraId="230F2D2D" w14:textId="77777777" w:rsidTr="00184956">
        <w:tc>
          <w:tcPr>
            <w:tcW w:w="3402" w:type="dxa"/>
          </w:tcPr>
          <w:p w14:paraId="020BFD0E" w14:textId="77777777" w:rsidR="00ED2EBD" w:rsidRPr="00BD16B4" w:rsidRDefault="00ED2EBD" w:rsidP="004A205F">
            <w:pPr>
              <w:pStyle w:val="TableText"/>
              <w:spacing w:before="40" w:after="40"/>
              <w:rPr>
                <w:szCs w:val="18"/>
              </w:rPr>
            </w:pPr>
            <w:r w:rsidRPr="00BD16B4">
              <w:rPr>
                <w:b/>
                <w:bCs/>
                <w:szCs w:val="18"/>
              </w:rPr>
              <w:t>Emissions of NF</w:t>
            </w:r>
            <w:r w:rsidRPr="00BD16B4">
              <w:rPr>
                <w:b/>
                <w:bCs/>
                <w:szCs w:val="18"/>
                <w:vertAlign w:val="subscript"/>
              </w:rPr>
              <w:t>3</w:t>
            </w:r>
            <w:r w:rsidRPr="00BD16B4">
              <w:rPr>
                <w:b/>
                <w:bCs/>
                <w:szCs w:val="18"/>
              </w:rPr>
              <w:t xml:space="preserve"> (kt CO</w:t>
            </w:r>
            <w:r w:rsidRPr="00BD16B4">
              <w:rPr>
                <w:b/>
                <w:bCs/>
                <w:szCs w:val="18"/>
                <w:vertAlign w:val="subscript"/>
              </w:rPr>
              <w:t>2</w:t>
            </w:r>
            <w:r w:rsidRPr="00BD16B4">
              <w:rPr>
                <w:b/>
                <w:bCs/>
                <w:szCs w:val="18"/>
              </w:rPr>
              <w:t>-equivalent)</w:t>
            </w:r>
          </w:p>
        </w:tc>
        <w:tc>
          <w:tcPr>
            <w:tcW w:w="794" w:type="dxa"/>
          </w:tcPr>
          <w:p w14:paraId="20F7B09E"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593F6F85"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71A63527"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10521255"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3795EF6A"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0E0E999E"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6127E949"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532D79C6"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12A57C1F"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719766E8"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5853D495" w14:textId="77777777" w:rsidR="00ED2EBD" w:rsidRPr="00BD16B4" w:rsidRDefault="00ED2EBD" w:rsidP="004A205F">
            <w:pPr>
              <w:pStyle w:val="TableText"/>
              <w:spacing w:before="40" w:after="40"/>
              <w:jc w:val="right"/>
              <w:rPr>
                <w:szCs w:val="18"/>
              </w:rPr>
            </w:pPr>
            <w:r w:rsidRPr="00BD16B4">
              <w:rPr>
                <w:szCs w:val="18"/>
              </w:rPr>
              <w:t>NO, NA</w:t>
            </w:r>
          </w:p>
        </w:tc>
      </w:tr>
      <w:tr w:rsidR="00ED2EBD" w:rsidRPr="00BD16B4" w14:paraId="5AEB5412" w14:textId="77777777" w:rsidTr="00184956">
        <w:tc>
          <w:tcPr>
            <w:tcW w:w="3402" w:type="dxa"/>
          </w:tcPr>
          <w:p w14:paraId="1844D10C" w14:textId="77777777" w:rsidR="00ED2EBD" w:rsidRPr="00BD16B4" w:rsidRDefault="00ED2EBD" w:rsidP="004A205F">
            <w:pPr>
              <w:pStyle w:val="TableText"/>
              <w:spacing w:before="40" w:after="40"/>
              <w:rPr>
                <w:szCs w:val="18"/>
              </w:rPr>
            </w:pPr>
            <w:r w:rsidRPr="00BD16B4">
              <w:rPr>
                <w:szCs w:val="18"/>
              </w:rPr>
              <w:t>NF</w:t>
            </w:r>
            <w:r w:rsidRPr="00BD16B4">
              <w:rPr>
                <w:szCs w:val="18"/>
                <w:vertAlign w:val="subscript"/>
              </w:rPr>
              <w:t>3</w:t>
            </w:r>
          </w:p>
        </w:tc>
        <w:tc>
          <w:tcPr>
            <w:tcW w:w="794" w:type="dxa"/>
          </w:tcPr>
          <w:p w14:paraId="23146798"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60D6E877"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2FA10A8D"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501E9D96"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41905F94"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5AAF93AB"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1CC0FE56"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32E9DC58"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50B6F129"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154E9FE4" w14:textId="77777777" w:rsidR="00ED2EBD" w:rsidRPr="00BD16B4" w:rsidRDefault="00ED2EBD" w:rsidP="004A205F">
            <w:pPr>
              <w:pStyle w:val="TableText"/>
              <w:spacing w:before="40" w:after="40"/>
              <w:jc w:val="right"/>
              <w:rPr>
                <w:szCs w:val="18"/>
              </w:rPr>
            </w:pPr>
            <w:r w:rsidRPr="00BD16B4">
              <w:rPr>
                <w:szCs w:val="18"/>
              </w:rPr>
              <w:t>NO, NA</w:t>
            </w:r>
          </w:p>
        </w:tc>
        <w:tc>
          <w:tcPr>
            <w:tcW w:w="794" w:type="dxa"/>
          </w:tcPr>
          <w:p w14:paraId="0458BA2F" w14:textId="77777777" w:rsidR="00ED2EBD" w:rsidRPr="00BD16B4" w:rsidRDefault="00ED2EBD" w:rsidP="004A205F">
            <w:pPr>
              <w:pStyle w:val="TableText"/>
              <w:spacing w:before="40" w:after="40"/>
              <w:jc w:val="right"/>
              <w:rPr>
                <w:szCs w:val="18"/>
              </w:rPr>
            </w:pPr>
            <w:r w:rsidRPr="00BD16B4">
              <w:rPr>
                <w:szCs w:val="18"/>
              </w:rPr>
              <w:t>NO, NA</w:t>
            </w:r>
          </w:p>
        </w:tc>
      </w:tr>
    </w:tbl>
    <w:p w14:paraId="11051CD2" w14:textId="77777777" w:rsidR="00ED2EBD" w:rsidRPr="00BD16B4" w:rsidRDefault="00ED2EBD" w:rsidP="00ED2EBD">
      <w:pPr>
        <w:pStyle w:val="Note"/>
      </w:pPr>
      <w:r w:rsidRPr="00BD16B4">
        <w:rPr>
          <w:b/>
        </w:rPr>
        <w:t>Note:</w:t>
      </w:r>
      <w:r w:rsidRPr="00BD16B4">
        <w:t xml:space="preserve"> HFCs = hydrofluorocarbons; kt = kilotonnes; kt CO</w:t>
      </w:r>
      <w:r w:rsidRPr="00BD16B4">
        <w:rPr>
          <w:vertAlign w:val="subscript"/>
        </w:rPr>
        <w:t>2</w:t>
      </w:r>
      <w:r w:rsidRPr="00BD16B4">
        <w:t>-equivalent = kilotonnes of carbon dioxide equivalent; NA = not applicable; NF</w:t>
      </w:r>
      <w:r w:rsidRPr="00BD16B4">
        <w:rPr>
          <w:vertAlign w:val="subscript"/>
        </w:rPr>
        <w:t>3</w:t>
      </w:r>
      <w:r w:rsidRPr="00BD16B4">
        <w:t xml:space="preserve"> = nitrogen trifluoride; NO = not occurring; </w:t>
      </w:r>
      <w:r w:rsidRPr="00BD16B4">
        <w:br/>
        <w:t>PFCs = perfluorocarbons; SF</w:t>
      </w:r>
      <w:r w:rsidRPr="00BD16B4">
        <w:rPr>
          <w:vertAlign w:val="subscript"/>
        </w:rPr>
        <w:t xml:space="preserve">6 </w:t>
      </w:r>
      <w:r w:rsidRPr="00BD16B4">
        <w:t>= sulphur hexafluoride.</w:t>
      </w:r>
    </w:p>
    <w:p w14:paraId="5A785BC9" w14:textId="77777777" w:rsidR="00511778" w:rsidRPr="00BD16B4" w:rsidRDefault="00511778" w:rsidP="003F0361">
      <w:pPr>
        <w:pStyle w:val="BodyText"/>
        <w:spacing w:before="0"/>
      </w:pPr>
    </w:p>
    <w:p w14:paraId="5EF2CE90" w14:textId="77777777" w:rsidR="00A66D07" w:rsidRPr="00BD16B4" w:rsidRDefault="00A66D07" w:rsidP="003F0361">
      <w:pPr>
        <w:pStyle w:val="BodyText"/>
        <w:spacing w:before="0"/>
        <w:sectPr w:rsidR="00A66D07" w:rsidRPr="00BD16B4" w:rsidSect="00375DB1">
          <w:footerReference w:type="default" r:id="rId130"/>
          <w:pgSz w:w="16840" w:h="11907" w:orient="landscape" w:code="9"/>
          <w:pgMar w:top="1701" w:right="1134" w:bottom="1701" w:left="1134" w:header="567" w:footer="567" w:gutter="0"/>
          <w:cols w:space="720"/>
          <w:docGrid w:linePitch="299"/>
        </w:sectPr>
      </w:pPr>
    </w:p>
    <w:p w14:paraId="4BFD7D95" w14:textId="23FF93CF" w:rsidR="009C7728" w:rsidRPr="00BD16B4" w:rsidRDefault="009C7728" w:rsidP="009C7728">
      <w:pPr>
        <w:pStyle w:val="Heading1"/>
      </w:pPr>
      <w:bookmarkStart w:id="451" w:name="_Toc491435438"/>
      <w:bookmarkStart w:id="452" w:name="_Toc497392890"/>
      <w:bookmarkStart w:id="453" w:name="_Toc497740313"/>
      <w:bookmarkStart w:id="454" w:name="_Toc498516771"/>
      <w:bookmarkStart w:id="455" w:name="_Toc500796182"/>
      <w:bookmarkStart w:id="456" w:name="_Toc121774675"/>
      <w:r w:rsidRPr="00BD16B4">
        <w:lastRenderedPageBreak/>
        <w:t>A</w:t>
      </w:r>
      <w:r w:rsidR="00145B2B" w:rsidRPr="00BD16B4">
        <w:t>ppendix</w:t>
      </w:r>
      <w:r w:rsidRPr="00BD16B4">
        <w:t xml:space="preserve"> B: Supplementary information under Article 7.2 of the Kyoto Protocol</w:t>
      </w:r>
      <w:bookmarkEnd w:id="451"/>
      <w:bookmarkEnd w:id="452"/>
      <w:bookmarkEnd w:id="453"/>
      <w:bookmarkEnd w:id="454"/>
      <w:bookmarkEnd w:id="455"/>
      <w:bookmarkEnd w:id="456"/>
    </w:p>
    <w:p w14:paraId="56C7A1C2" w14:textId="77777777" w:rsidR="009C7728" w:rsidRPr="00BD16B4" w:rsidRDefault="009C7728" w:rsidP="009C7728">
      <w:pPr>
        <w:pStyle w:val="Heading2notTOC"/>
        <w:spacing w:before="240"/>
      </w:pPr>
      <w:bookmarkStart w:id="457" w:name="_Toc372551773"/>
      <w:bookmarkStart w:id="458" w:name="_Toc374520391"/>
      <w:bookmarkStart w:id="459" w:name="_Toc499993062"/>
      <w:r w:rsidRPr="00BD16B4">
        <w:t>Aotearoa New Zealand’s national inventory system</w:t>
      </w:r>
      <w:bookmarkEnd w:id="457"/>
      <w:bookmarkEnd w:id="458"/>
      <w:r w:rsidRPr="00BD16B4">
        <w:t>: Supplementary information under Article 7.2 of the Kyoto Protocol</w:t>
      </w:r>
      <w:bookmarkEnd w:id="459"/>
    </w:p>
    <w:p w14:paraId="43956725" w14:textId="77777777" w:rsidR="009C7728" w:rsidRPr="00BD16B4" w:rsidRDefault="009C7728" w:rsidP="009C7728">
      <w:pPr>
        <w:pStyle w:val="Heading3"/>
        <w:spacing w:before="240"/>
      </w:pPr>
      <w:r w:rsidRPr="00BD16B4">
        <w:t>Overview</w:t>
      </w:r>
    </w:p>
    <w:p w14:paraId="55A2BDD9" w14:textId="77777777" w:rsidR="009C7728" w:rsidRPr="00BD16B4" w:rsidRDefault="009C7728" w:rsidP="009C7728">
      <w:pPr>
        <w:pStyle w:val="BodyText"/>
        <w:spacing w:before="100" w:after="100"/>
      </w:pPr>
      <w:r w:rsidRPr="00BD16B4">
        <w:t>The Climate Change Response Act 2002 was enacted to enable Aotearoa New Zealand to meet its international obligations under the United Nations Framework Convention on Climate Change (UNFCCC) and the Kyoto Protocol. According to the UNFCCC definition, a national system includes all institutional, legal and procedural arrangements made within a Party included in Annex I for estimating anthropogenic emissions by sources and removals by sinks of all greenhouse gases not controlled by the Montreal Protocol, and for reporting and archiving inventory information. Essentially, a Party’s national inventory system is the basis on which a country inventories its greenhouse gas emissions.</w:t>
      </w:r>
    </w:p>
    <w:p w14:paraId="5F5A0BA4" w14:textId="77777777" w:rsidR="009C7728" w:rsidRPr="00BD16B4" w:rsidRDefault="009C7728" w:rsidP="00091841">
      <w:pPr>
        <w:pStyle w:val="BodyText"/>
        <w:spacing w:before="100" w:after="0"/>
        <w:rPr>
          <w:rFonts w:ascii="TimesNewRomanPSMT" w:eastAsia="Calibri" w:hAnsi="TimesNewRomanPSMT" w:cs="TimesNewRomanPSMT"/>
          <w:sz w:val="24"/>
          <w:szCs w:val="24"/>
        </w:rPr>
      </w:pPr>
      <w:r w:rsidRPr="00BD16B4">
        <w:t xml:space="preserve">A prime ministerial directive for the administration of the Climate Change Response Act 2002 names the Ministry for the Environment (MfE) as New Zealand’s ‘inventory agency’. MfE is responsible for the overall development, compilation and submission of the national greenhouse gas inventory (the inventory) to the UNFCCC secretariat. </w:t>
      </w:r>
    </w:p>
    <w:p w14:paraId="1C7D7C4E" w14:textId="77777777" w:rsidR="009C7728" w:rsidRPr="00BD16B4" w:rsidRDefault="009C7728" w:rsidP="00091841">
      <w:pPr>
        <w:pStyle w:val="Heading4"/>
        <w:spacing w:after="180"/>
      </w:pPr>
      <w:r w:rsidRPr="00BD16B4">
        <w:t>National entity contact</w:t>
      </w:r>
    </w:p>
    <w:tbl>
      <w:tblPr>
        <w:tblW w:w="8505" w:type="dxa"/>
        <w:tblInd w:w="108" w:type="dxa"/>
        <w:tblBorders>
          <w:top w:val="single" w:sz="4" w:space="0" w:color="1C556C"/>
          <w:bottom w:val="single" w:sz="4" w:space="0" w:color="1C556C"/>
          <w:insideH w:val="single" w:sz="4" w:space="0" w:color="1C556C"/>
          <w:insideV w:val="single" w:sz="4" w:space="0" w:color="1C556C"/>
        </w:tblBorders>
        <w:tblLook w:val="01E0" w:firstRow="1" w:lastRow="1" w:firstColumn="1" w:lastColumn="1" w:noHBand="0" w:noVBand="0"/>
      </w:tblPr>
      <w:tblGrid>
        <w:gridCol w:w="2841"/>
        <w:gridCol w:w="5664"/>
      </w:tblGrid>
      <w:tr w:rsidR="009C7728" w:rsidRPr="00BD16B4" w14:paraId="7CB75CAC" w14:textId="77777777" w:rsidTr="004A205F">
        <w:tc>
          <w:tcPr>
            <w:tcW w:w="2017" w:type="dxa"/>
          </w:tcPr>
          <w:p w14:paraId="15167B21" w14:textId="77777777" w:rsidR="009C7728" w:rsidRPr="00BD16B4" w:rsidRDefault="009C7728" w:rsidP="004A205F">
            <w:pPr>
              <w:pStyle w:val="TableTextbold"/>
              <w:spacing w:before="50"/>
            </w:pPr>
            <w:r w:rsidRPr="00BD16B4">
              <w:t>Title</w:t>
            </w:r>
          </w:p>
        </w:tc>
        <w:tc>
          <w:tcPr>
            <w:tcW w:w="4022" w:type="dxa"/>
          </w:tcPr>
          <w:p w14:paraId="1A7E5CB5" w14:textId="77777777" w:rsidR="009C7728" w:rsidRPr="00BD16B4" w:rsidRDefault="009C7728" w:rsidP="004A205F">
            <w:pPr>
              <w:pStyle w:val="TableTextbold"/>
              <w:spacing w:before="50"/>
            </w:pPr>
            <w:r w:rsidRPr="00BD16B4">
              <w:t>National inventory focal point and National Inventory Compiler</w:t>
            </w:r>
          </w:p>
        </w:tc>
      </w:tr>
      <w:tr w:rsidR="009C7728" w:rsidRPr="00BD16B4" w14:paraId="60F28F4F" w14:textId="77777777" w:rsidTr="004A205F">
        <w:tc>
          <w:tcPr>
            <w:tcW w:w="2017" w:type="dxa"/>
          </w:tcPr>
          <w:p w14:paraId="216B3948" w14:textId="77777777" w:rsidR="009C7728" w:rsidRPr="00BD16B4" w:rsidRDefault="009C7728" w:rsidP="004A205F">
            <w:pPr>
              <w:pStyle w:val="TableTextbold"/>
              <w:spacing w:before="50"/>
            </w:pPr>
            <w:r w:rsidRPr="00BD16B4">
              <w:t>Name</w:t>
            </w:r>
          </w:p>
        </w:tc>
        <w:tc>
          <w:tcPr>
            <w:tcW w:w="4022" w:type="dxa"/>
          </w:tcPr>
          <w:p w14:paraId="2981504E" w14:textId="77777777" w:rsidR="009C7728" w:rsidRPr="00BD16B4" w:rsidRDefault="009C7728" w:rsidP="004A205F">
            <w:pPr>
              <w:pStyle w:val="TableText"/>
              <w:spacing w:before="50"/>
            </w:pPr>
            <w:r w:rsidRPr="00BD16B4">
              <w:t>Andrea Brandon</w:t>
            </w:r>
          </w:p>
        </w:tc>
      </w:tr>
      <w:tr w:rsidR="009C7728" w:rsidRPr="00BD16B4" w14:paraId="143AF915" w14:textId="77777777" w:rsidTr="004A205F">
        <w:tc>
          <w:tcPr>
            <w:tcW w:w="2017" w:type="dxa"/>
          </w:tcPr>
          <w:p w14:paraId="5470B4C5" w14:textId="77777777" w:rsidR="009C7728" w:rsidRPr="00BD16B4" w:rsidRDefault="009C7728" w:rsidP="004A205F">
            <w:pPr>
              <w:pStyle w:val="TableTextbold"/>
              <w:spacing w:before="50"/>
            </w:pPr>
            <w:r w:rsidRPr="00BD16B4">
              <w:t>Organisation</w:t>
            </w:r>
          </w:p>
        </w:tc>
        <w:tc>
          <w:tcPr>
            <w:tcW w:w="4022" w:type="dxa"/>
          </w:tcPr>
          <w:p w14:paraId="02D3D910" w14:textId="77777777" w:rsidR="009C7728" w:rsidRPr="00BD16B4" w:rsidRDefault="009C7728" w:rsidP="004A205F">
            <w:pPr>
              <w:pStyle w:val="TableText"/>
              <w:spacing w:before="50"/>
            </w:pPr>
            <w:r w:rsidRPr="00BD16B4">
              <w:t>Ministry for the Environment</w:t>
            </w:r>
          </w:p>
        </w:tc>
      </w:tr>
      <w:tr w:rsidR="009C7728" w:rsidRPr="00BD16B4" w14:paraId="68774AE3" w14:textId="77777777" w:rsidTr="004A205F">
        <w:tc>
          <w:tcPr>
            <w:tcW w:w="2017" w:type="dxa"/>
          </w:tcPr>
          <w:p w14:paraId="35724BEF" w14:textId="77777777" w:rsidR="009C7728" w:rsidRPr="00BD16B4" w:rsidRDefault="009C7728" w:rsidP="004A205F">
            <w:pPr>
              <w:pStyle w:val="TableTextbold"/>
              <w:spacing w:before="40"/>
            </w:pPr>
            <w:r w:rsidRPr="00BD16B4">
              <w:t>Address</w:t>
            </w:r>
          </w:p>
        </w:tc>
        <w:tc>
          <w:tcPr>
            <w:tcW w:w="4022" w:type="dxa"/>
          </w:tcPr>
          <w:p w14:paraId="7CD7EE3B" w14:textId="77777777" w:rsidR="009C7728" w:rsidRPr="00BD16B4" w:rsidRDefault="009C7728" w:rsidP="004A205F">
            <w:pPr>
              <w:pStyle w:val="TableText"/>
              <w:spacing w:before="40" w:after="0"/>
              <w:rPr>
                <w:szCs w:val="18"/>
              </w:rPr>
            </w:pPr>
            <w:r w:rsidRPr="00BD16B4">
              <w:rPr>
                <w:szCs w:val="18"/>
              </w:rPr>
              <w:t>8 Willis Street</w:t>
            </w:r>
          </w:p>
          <w:p w14:paraId="02DB488B" w14:textId="77777777" w:rsidR="009C7728" w:rsidRPr="00BD16B4" w:rsidRDefault="009C7728" w:rsidP="004A205F">
            <w:pPr>
              <w:pStyle w:val="TableText"/>
              <w:spacing w:before="40" w:after="0"/>
              <w:rPr>
                <w:szCs w:val="18"/>
              </w:rPr>
            </w:pPr>
            <w:r w:rsidRPr="00BD16B4">
              <w:rPr>
                <w:szCs w:val="18"/>
              </w:rPr>
              <w:t>PO Box 10362</w:t>
            </w:r>
          </w:p>
          <w:p w14:paraId="317AC0C2" w14:textId="77777777" w:rsidR="009C7728" w:rsidRPr="00BD16B4" w:rsidRDefault="009C7728" w:rsidP="004A205F">
            <w:pPr>
              <w:pStyle w:val="TableText"/>
              <w:spacing w:before="40" w:after="0"/>
              <w:rPr>
                <w:szCs w:val="18"/>
              </w:rPr>
            </w:pPr>
            <w:r w:rsidRPr="00BD16B4">
              <w:rPr>
                <w:szCs w:val="18"/>
              </w:rPr>
              <w:t>Wellington</w:t>
            </w:r>
          </w:p>
          <w:p w14:paraId="4D419829" w14:textId="77777777" w:rsidR="009C7728" w:rsidRPr="00BD16B4" w:rsidRDefault="009C7728" w:rsidP="004A205F">
            <w:pPr>
              <w:pStyle w:val="TableText"/>
              <w:spacing w:before="40" w:after="40"/>
              <w:rPr>
                <w:szCs w:val="18"/>
              </w:rPr>
            </w:pPr>
            <w:r w:rsidRPr="00BD16B4">
              <w:rPr>
                <w:szCs w:val="18"/>
              </w:rPr>
              <w:t>New Zealand</w:t>
            </w:r>
          </w:p>
        </w:tc>
      </w:tr>
      <w:tr w:rsidR="009C7728" w:rsidRPr="00BD16B4" w14:paraId="676873D0" w14:textId="77777777" w:rsidTr="004A205F">
        <w:tc>
          <w:tcPr>
            <w:tcW w:w="2017" w:type="dxa"/>
          </w:tcPr>
          <w:p w14:paraId="4380D92E" w14:textId="77777777" w:rsidR="009C7728" w:rsidRPr="00BD16B4" w:rsidRDefault="009C7728" w:rsidP="004A205F">
            <w:pPr>
              <w:pStyle w:val="TableTextbold"/>
              <w:spacing w:before="50" w:after="50"/>
            </w:pPr>
            <w:r w:rsidRPr="00BD16B4">
              <w:t>Email</w:t>
            </w:r>
          </w:p>
        </w:tc>
        <w:tc>
          <w:tcPr>
            <w:tcW w:w="4022" w:type="dxa"/>
          </w:tcPr>
          <w:p w14:paraId="41189712" w14:textId="77777777" w:rsidR="009C7728" w:rsidRPr="00BD16B4" w:rsidRDefault="00FC49D2" w:rsidP="004A205F">
            <w:pPr>
              <w:pStyle w:val="TableText"/>
              <w:spacing w:before="50" w:after="50"/>
              <w:rPr>
                <w:rStyle w:val="Hyperlink"/>
              </w:rPr>
            </w:pPr>
            <w:hyperlink r:id="rId131" w:history="1">
              <w:r w:rsidR="009C7728" w:rsidRPr="00BD16B4">
                <w:rPr>
                  <w:rStyle w:val="Hyperlink"/>
                </w:rPr>
                <w:t>andrea.brandon1@mfe.govt.nz</w:t>
              </w:r>
            </w:hyperlink>
          </w:p>
        </w:tc>
      </w:tr>
      <w:tr w:rsidR="009C7728" w:rsidRPr="00BD16B4" w14:paraId="506A0A27" w14:textId="77777777" w:rsidTr="004A205F">
        <w:tc>
          <w:tcPr>
            <w:tcW w:w="2017" w:type="dxa"/>
          </w:tcPr>
          <w:p w14:paraId="2D2FF072" w14:textId="77777777" w:rsidR="009C7728" w:rsidRPr="00BD16B4" w:rsidRDefault="009C7728" w:rsidP="004A205F">
            <w:pPr>
              <w:pStyle w:val="TableTextbold"/>
              <w:spacing w:before="50" w:after="50"/>
            </w:pPr>
            <w:r w:rsidRPr="00BD16B4">
              <w:t>Website</w:t>
            </w:r>
          </w:p>
        </w:tc>
        <w:tc>
          <w:tcPr>
            <w:tcW w:w="4022" w:type="dxa"/>
          </w:tcPr>
          <w:p w14:paraId="2327FEE3" w14:textId="77777777" w:rsidR="009C7728" w:rsidRPr="00BD16B4" w:rsidRDefault="00FC49D2" w:rsidP="004A205F">
            <w:pPr>
              <w:pStyle w:val="TableText"/>
              <w:spacing w:before="50" w:after="50"/>
              <w:rPr>
                <w:color w:val="000000"/>
                <w:szCs w:val="18"/>
              </w:rPr>
            </w:pPr>
            <w:hyperlink r:id="rId132" w:history="1">
              <w:r w:rsidR="009C7728" w:rsidRPr="00BD16B4">
                <w:rPr>
                  <w:rStyle w:val="Hyperlink"/>
                  <w:rFonts w:asciiTheme="minorHAnsi" w:hAnsiTheme="minorHAnsi" w:cstheme="minorHAnsi"/>
                  <w:szCs w:val="18"/>
                </w:rPr>
                <w:t>www.mfe.govt.nz</w:t>
              </w:r>
            </w:hyperlink>
          </w:p>
        </w:tc>
      </w:tr>
    </w:tbl>
    <w:p w14:paraId="0F146325" w14:textId="77777777" w:rsidR="009C7728" w:rsidRPr="00BD16B4" w:rsidRDefault="009C7728" w:rsidP="009C7728">
      <w:pPr>
        <w:pStyle w:val="Heading3"/>
      </w:pPr>
      <w:r w:rsidRPr="00BD16B4">
        <w:t>Inventory roles and responsibilities</w:t>
      </w:r>
    </w:p>
    <w:p w14:paraId="1C2C4847" w14:textId="77777777" w:rsidR="009C7728" w:rsidRPr="00BD16B4" w:rsidRDefault="009C7728" w:rsidP="009C7728">
      <w:pPr>
        <w:pStyle w:val="BodyText"/>
        <w:spacing w:before="100" w:after="100"/>
      </w:pPr>
      <w:r w:rsidRPr="00BD16B4">
        <w:t>New Zealand uses a hybrid (both centralised and distributed) approach to managing the inventory programme. Management and coordination of the inventory programme, as well as compilation, publication and submission of the inventory, are carried out by the inventory agency, MfE, in a centralised manner. Sector-specific work, which includes obtaining and processing activity data, estimating emissions, preparing sectoral common reporting format (CRF) tables and writing sectoral inventory chapters, is carried out by designated agencies across New Zealand’s natural resources sector.</w:t>
      </w:r>
    </w:p>
    <w:p w14:paraId="69DD8A5B" w14:textId="77777777" w:rsidR="009C7728" w:rsidRPr="00BD16B4" w:rsidRDefault="009C7728" w:rsidP="009C7728">
      <w:pPr>
        <w:pStyle w:val="BodyText"/>
      </w:pPr>
      <w:r w:rsidRPr="00BD16B4">
        <w:lastRenderedPageBreak/>
        <w:t>Inventory governance within each sector, as well as sectoral quality control, is managed by the agency responsible for the sector. A Reporting Governance Group (RGG) provides cross</w:t>
      </w:r>
      <w:r w:rsidRPr="00BD16B4">
        <w:noBreakHyphen/>
        <w:t>agency governance over the climate change reporting, modelling and projections of greenhouse gas emissions and removals. The RGG is chaired by MfE, and its membership includes representation from MfE, the</w:t>
      </w:r>
      <w:bookmarkStart w:id="460" w:name="_Hlk117188381"/>
      <w:r w:rsidRPr="00BD16B4">
        <w:t xml:space="preserve"> Environmental Protection Authority – Te Mana Rauhī Taiao (EPA), the Ministry for Primary Industries (MPI) and the Ministry of Business, Innovation and Employment (MBIE)</w:t>
      </w:r>
      <w:bookmarkEnd w:id="460"/>
      <w:r w:rsidRPr="00BD16B4">
        <w:t>. The main roles and expectations of RGG are to:</w:t>
      </w:r>
    </w:p>
    <w:p w14:paraId="7311B898" w14:textId="77777777" w:rsidR="009C7728" w:rsidRPr="00BD16B4" w:rsidRDefault="009C7728" w:rsidP="009C7728">
      <w:pPr>
        <w:pStyle w:val="Bullet"/>
      </w:pPr>
      <w:r w:rsidRPr="00BD16B4">
        <w:t>guide, confer and approve (on the basis of advice from technical experts) major inventory recalculations and improvements; greenhouse gas emissions projections and their assumptions; analytical systems and tools for climate change reporting; planning and priorities; key messages; and management of stakeholders and risks </w:t>
      </w:r>
    </w:p>
    <w:p w14:paraId="09E3A2DF" w14:textId="77777777" w:rsidR="009C7728" w:rsidRPr="00BD16B4" w:rsidRDefault="009C7728" w:rsidP="009C7728">
      <w:pPr>
        <w:pStyle w:val="Bullet"/>
      </w:pPr>
      <w:r w:rsidRPr="00BD16B4">
        <w:t xml:space="preserve">focus on delivery of reporting commitments to meet national and international requirements </w:t>
      </w:r>
    </w:p>
    <w:p w14:paraId="7CEBFE07" w14:textId="77777777" w:rsidR="009C7728" w:rsidRPr="00BD16B4" w:rsidRDefault="009C7728" w:rsidP="009C7728">
      <w:pPr>
        <w:pStyle w:val="Bullet"/>
      </w:pPr>
      <w:r w:rsidRPr="00BD16B4">
        <w:t>provide reporting leadership and guidance to analysts and technical specialists involved in this work </w:t>
      </w:r>
    </w:p>
    <w:p w14:paraId="047D5B84" w14:textId="77777777" w:rsidR="009C7728" w:rsidRPr="00BD16B4" w:rsidRDefault="009C7728" w:rsidP="009C7728">
      <w:pPr>
        <w:pStyle w:val="Bullet"/>
      </w:pPr>
      <w:r w:rsidRPr="00BD16B4">
        <w:t>share information, provide feedback and resolve any differences between departments that impact on the delivery of the work programme </w:t>
      </w:r>
    </w:p>
    <w:p w14:paraId="582C8BED" w14:textId="77777777" w:rsidR="009C7728" w:rsidRPr="00BD16B4" w:rsidRDefault="009C7728" w:rsidP="009C7728">
      <w:pPr>
        <w:pStyle w:val="Bullet"/>
        <w:rPr>
          <w:szCs w:val="22"/>
        </w:rPr>
      </w:pPr>
      <w:r w:rsidRPr="00BD16B4">
        <w:t>keep the Climate Change Directors’ Group informed of the ‘big picture’ of the reporting work programme, including its direction, progress in delivery and capability to deliver.</w:t>
      </w:r>
      <w:r w:rsidRPr="00BD16B4">
        <w:rPr>
          <w:szCs w:val="22"/>
        </w:rPr>
        <w:t> </w:t>
      </w:r>
    </w:p>
    <w:p w14:paraId="4000ED0C" w14:textId="77777777" w:rsidR="009C7728" w:rsidRPr="00BD16B4" w:rsidRDefault="009C7728" w:rsidP="009C7728">
      <w:pPr>
        <w:pStyle w:val="BodyText"/>
      </w:pPr>
      <w:r w:rsidRPr="00BD16B4">
        <w:t>As New Zealand’s single national inventory</w:t>
      </w:r>
      <w:r w:rsidRPr="00BD16B4" w:rsidDel="00F9170D">
        <w:t xml:space="preserve"> </w:t>
      </w:r>
      <w:r w:rsidRPr="00BD16B4">
        <w:t xml:space="preserve">agency, MfE is responsible for the overall coordination, compilation and submission of the inventory to the UNFCCC secretariat. The National Inventory Compiler is based at MfE. Arrangements with other government agencies have evolved as resources and capacity have allowed, and as MfE has developed a greater understanding of the reporting requirements. </w:t>
      </w:r>
    </w:p>
    <w:p w14:paraId="7E92B90D" w14:textId="556A9D59" w:rsidR="009C7728" w:rsidRPr="00BD16B4" w:rsidRDefault="009C7728" w:rsidP="009C7728">
      <w:pPr>
        <w:pStyle w:val="BodyText"/>
      </w:pPr>
      <w:r w:rsidRPr="00BD16B4">
        <w:t>As well as fulfilling its overall inventory coordination role, MfE compiles emissions estimates for the</w:t>
      </w:r>
      <w:bookmarkStart w:id="461" w:name="_Hlk117189657"/>
      <w:r w:rsidRPr="00BD16B4">
        <w:t xml:space="preserve"> industrial processes and product use (IPPU)</w:t>
      </w:r>
      <w:bookmarkEnd w:id="461"/>
      <w:r w:rsidRPr="00BD16B4">
        <w:t xml:space="preserve"> sector (with</w:t>
      </w:r>
      <w:bookmarkStart w:id="462" w:name="_Hlk117189678"/>
      <w:r w:rsidRPr="00BD16B4">
        <w:t xml:space="preserve"> carbon dioxide (CO</w:t>
      </w:r>
      <w:r w:rsidRPr="00BD16B4">
        <w:rPr>
          <w:vertAlign w:val="subscript"/>
        </w:rPr>
        <w:t>2</w:t>
      </w:r>
      <w:bookmarkEnd w:id="462"/>
      <w:r w:rsidRPr="00BD16B4">
        <w:t>) data provided by MBIE and data on non-CO</w:t>
      </w:r>
      <w:r w:rsidRPr="00BD16B4">
        <w:rPr>
          <w:vertAlign w:val="subscript"/>
        </w:rPr>
        <w:t>2</w:t>
      </w:r>
      <w:r w:rsidRPr="00BD16B4">
        <w:t xml:space="preserve"> gases obtained through industry surveys), waste sector, emissions and removals for the</w:t>
      </w:r>
      <w:bookmarkStart w:id="463" w:name="_Hlk117189773"/>
      <w:r w:rsidRPr="00BD16B4">
        <w:t xml:space="preserve"> land use, land-use change and forestry (LULUCF) </w:t>
      </w:r>
      <w:bookmarkEnd w:id="463"/>
      <w:r w:rsidRPr="00BD16B4">
        <w:t>sector</w:t>
      </w:r>
      <w:r w:rsidR="003F7AD7" w:rsidRPr="00BD16B4">
        <w:t> </w:t>
      </w:r>
      <w:r w:rsidRPr="00BD16B4">
        <w:t xml:space="preserve">and Article 3.3 and Article 3.4 activities under the Kyoto Protocol. </w:t>
      </w:r>
    </w:p>
    <w:p w14:paraId="5DD223CD" w14:textId="77777777" w:rsidR="009C7728" w:rsidRPr="00BD16B4" w:rsidRDefault="009C7728" w:rsidP="009C7728">
      <w:pPr>
        <w:pStyle w:val="BodyText"/>
      </w:pPr>
      <w:r w:rsidRPr="00BD16B4">
        <w:t>MfE conducts field measurement programmes, land-use mapping and research to contribute towards emissions estimates within the LULUCF sector and Article 3.3 and Article 3.4 activities under the Kyoto Protocol. This is supplemented with data on harvested wood products production and non-CO</w:t>
      </w:r>
      <w:r w:rsidRPr="00BD16B4">
        <w:rPr>
          <w:vertAlign w:val="subscript"/>
        </w:rPr>
        <w:t>2</w:t>
      </w:r>
      <w:r w:rsidRPr="00BD16B4">
        <w:t xml:space="preserve"> emissions collected through surveys of the sector. </w:t>
      </w:r>
    </w:p>
    <w:p w14:paraId="61B467E1" w14:textId="77777777" w:rsidR="009C7728" w:rsidRPr="00BD16B4" w:rsidRDefault="009C7728" w:rsidP="009C7728">
      <w:pPr>
        <w:pStyle w:val="BodyText"/>
      </w:pPr>
      <w:r w:rsidRPr="00BD16B4">
        <w:t>MBIE estimates all emissions from the energy sector and CO</w:t>
      </w:r>
      <w:r w:rsidRPr="00BD16B4">
        <w:rPr>
          <w:vertAlign w:val="subscript"/>
        </w:rPr>
        <w:t>2</w:t>
      </w:r>
      <w:r w:rsidRPr="00BD16B4">
        <w:t xml:space="preserve"> emissions from the IPPU sector. </w:t>
      </w:r>
    </w:p>
    <w:p w14:paraId="61021EF8" w14:textId="77777777" w:rsidR="009C7728" w:rsidRPr="00BD16B4" w:rsidRDefault="009C7728" w:rsidP="009C7728">
      <w:pPr>
        <w:pStyle w:val="BodyText"/>
      </w:pPr>
      <w:r w:rsidRPr="00BD16B4">
        <w:t xml:space="preserve">MPI estimates emissions from the agriculture sector. The estimates are underpinned by research and modelling undertaken at New Zealand’s Crown research institutes, universities and private research companies and survey data collected by the national statistics agency, Stats NZ. </w:t>
      </w:r>
    </w:p>
    <w:p w14:paraId="296AF014" w14:textId="77777777" w:rsidR="009C7728" w:rsidRPr="00BD16B4" w:rsidRDefault="009C7728" w:rsidP="009C7728">
      <w:pPr>
        <w:pStyle w:val="BodyText"/>
      </w:pPr>
      <w:r w:rsidRPr="00BD16B4">
        <w:t>The Ministry of Foreign Affairs and Trade provides information on the minimisation of adverse impacts reported in chapter 15 of the inventory.</w:t>
      </w:r>
    </w:p>
    <w:p w14:paraId="0688FCE5" w14:textId="0802584F" w:rsidR="009C7728" w:rsidRPr="00BD16B4" w:rsidRDefault="009C7728" w:rsidP="009C7728">
      <w:pPr>
        <w:pStyle w:val="BodyText"/>
      </w:pPr>
      <w:r w:rsidRPr="00BD16B4">
        <w:t xml:space="preserve">The Climate Change Response Act 2002 establishes the requirement for a registry and a registrar. The EPA is designated as the agency responsible for the implementation and operation of New Zealand’s national registry under the Kyoto Protocol, the New Zealand </w:t>
      </w:r>
      <w:r w:rsidRPr="00BD16B4">
        <w:lastRenderedPageBreak/>
        <w:t>Emissions Trading Register. The registry is electronic and accessible via the internet.</w:t>
      </w:r>
      <w:r w:rsidRPr="00BD16B4">
        <w:rPr>
          <w:rStyle w:val="FootnoteReference"/>
        </w:rPr>
        <w:footnoteReference w:id="577"/>
      </w:r>
      <w:r w:rsidRPr="00BD16B4">
        <w:t xml:space="preserve"> Refer</w:t>
      </w:r>
      <w:r w:rsidR="003F7AD7" w:rsidRPr="00BD16B4">
        <w:t> </w:t>
      </w:r>
      <w:r w:rsidRPr="00BD16B4">
        <w:t>to</w:t>
      </w:r>
      <w:r w:rsidR="003F7AD7" w:rsidRPr="00BD16B4">
        <w:t> </w:t>
      </w:r>
      <w:r w:rsidRPr="00BD16B4">
        <w:t>chapter 12 of the latest inventory</w:t>
      </w:r>
      <w:r w:rsidRPr="00BD16B4">
        <w:rPr>
          <w:rStyle w:val="FootnoteReference"/>
        </w:rPr>
        <w:footnoteReference w:id="578"/>
      </w:r>
      <w:r w:rsidRPr="00BD16B4">
        <w:t xml:space="preserve"> for further information.</w:t>
      </w:r>
    </w:p>
    <w:p w14:paraId="505A978F" w14:textId="77777777" w:rsidR="009C7728" w:rsidRPr="00BD16B4" w:rsidRDefault="009C7728" w:rsidP="009C7728">
      <w:pPr>
        <w:pStyle w:val="BodyText"/>
      </w:pPr>
      <w:r w:rsidRPr="00BD16B4">
        <w:t>Stats NZ provides many of the official statistics for the agricultural sector through regular agricultural censuses and surveys. Population (human) census data from Stats NZ are used in the waste and</w:t>
      </w:r>
      <w:r w:rsidRPr="00BD16B4" w:rsidDel="009F007E">
        <w:t xml:space="preserve"> </w:t>
      </w:r>
      <w:r w:rsidRPr="00BD16B4">
        <w:t>IPPU sectors.</w:t>
      </w:r>
    </w:p>
    <w:p w14:paraId="3E7535E5" w14:textId="77777777" w:rsidR="009C7728" w:rsidRPr="00BD16B4" w:rsidRDefault="009C7728" w:rsidP="009C7728">
      <w:pPr>
        <w:pStyle w:val="BodyText"/>
      </w:pPr>
      <w:r w:rsidRPr="00BD16B4">
        <w:t xml:space="preserve">Consultants are used to provide essential data for the IPPU, waste, agriculture and LULUCF sectors of the inventory as needed. </w:t>
      </w:r>
    </w:p>
    <w:p w14:paraId="31A17014" w14:textId="77777777" w:rsidR="009C7728" w:rsidRPr="00BD16B4" w:rsidRDefault="009C7728" w:rsidP="009C7728">
      <w:pPr>
        <w:pStyle w:val="BodyText"/>
      </w:pPr>
      <w:r w:rsidRPr="00BD16B4">
        <w:t>Where an expert in a relevant sector is identified outside MfE or any of the other key contributing government departments, a contract is established to ensure the inventory can be completed in an accurate and timely manner and to a standard that meets the satisfaction of the Minister of Climate Change. The contracts are legally binding and require transparency in their work and processes. Legislation relating to the public sector accountability framework is extensive and includes the:</w:t>
      </w:r>
    </w:p>
    <w:p w14:paraId="19557999" w14:textId="77777777" w:rsidR="009C7728" w:rsidRPr="00BD16B4" w:rsidRDefault="009C7728" w:rsidP="009C7728">
      <w:pPr>
        <w:pStyle w:val="Bullet"/>
      </w:pPr>
      <w:r w:rsidRPr="00BD16B4">
        <w:t>Public Finance Act 1989</w:t>
      </w:r>
    </w:p>
    <w:p w14:paraId="7F269D3F" w14:textId="77777777" w:rsidR="009C7728" w:rsidRPr="00BD16B4" w:rsidRDefault="009C7728" w:rsidP="003F7AD7">
      <w:pPr>
        <w:pStyle w:val="Bullet"/>
      </w:pPr>
      <w:r w:rsidRPr="00BD16B4">
        <w:t>Public Audit Act 2001</w:t>
      </w:r>
    </w:p>
    <w:p w14:paraId="076B82B6" w14:textId="77777777" w:rsidR="009C7728" w:rsidRPr="00BD16B4" w:rsidRDefault="009C7728" w:rsidP="009C7728">
      <w:pPr>
        <w:pStyle w:val="Bullet"/>
      </w:pPr>
      <w:r w:rsidRPr="00BD16B4">
        <w:t>Official Information Act 1982</w:t>
      </w:r>
    </w:p>
    <w:p w14:paraId="4282274E" w14:textId="77777777" w:rsidR="009C7728" w:rsidRPr="00BD16B4" w:rsidRDefault="009C7728" w:rsidP="009C7728">
      <w:pPr>
        <w:pStyle w:val="Bullet"/>
      </w:pPr>
      <w:r w:rsidRPr="00BD16B4">
        <w:t>Ombudsmen Act 1975</w:t>
      </w:r>
    </w:p>
    <w:p w14:paraId="162AB51A" w14:textId="77777777" w:rsidR="009C7728" w:rsidRPr="00BD16B4" w:rsidRDefault="009C7728" w:rsidP="009C7728">
      <w:pPr>
        <w:pStyle w:val="Bullet"/>
      </w:pPr>
      <w:r w:rsidRPr="00BD16B4">
        <w:t>Public Records Act 2005</w:t>
      </w:r>
    </w:p>
    <w:p w14:paraId="7F727125" w14:textId="77777777" w:rsidR="009C7728" w:rsidRPr="00BD16B4" w:rsidRDefault="009C7728" w:rsidP="009C7728">
      <w:pPr>
        <w:pStyle w:val="Bullet"/>
      </w:pPr>
      <w:r w:rsidRPr="00BD16B4">
        <w:t>Crown Entities Act 2004.</w:t>
      </w:r>
    </w:p>
    <w:p w14:paraId="646B9C50" w14:textId="77777777" w:rsidR="009C7728" w:rsidRPr="00BD16B4" w:rsidRDefault="009C7728" w:rsidP="009C7728">
      <w:pPr>
        <w:pStyle w:val="BodyText"/>
      </w:pPr>
      <w:r w:rsidRPr="00BD16B4">
        <w:t xml:space="preserve">Contractors for the annual inventory are selected for being experts in their fields. They must also understand the relevant UNFCCC reporting requirements and their resulting products must be in line with the appropriate </w:t>
      </w:r>
      <w:bookmarkStart w:id="464" w:name="_Hlk117191214"/>
      <w:r w:rsidRPr="00BD16B4">
        <w:t>Intergovernmental Panel on Climate Change</w:t>
      </w:r>
      <w:bookmarkEnd w:id="464"/>
      <w:r w:rsidRPr="00BD16B4">
        <w:t xml:space="preserve"> (IPCC) methodological guidelines. Although it is preferable to use the same contractor each year, contractors are reviewed regularly, with the precise timeframe depending on the terms of each specific contract. Through this competitive process, the best contractor is selected, ensuring inventory data are of the highest quality and will meet our reporting obligations.</w:t>
      </w:r>
    </w:p>
    <w:p w14:paraId="0F589D48" w14:textId="77777777" w:rsidR="009C7728" w:rsidRPr="00BD16B4" w:rsidRDefault="009C7728" w:rsidP="009C7728">
      <w:pPr>
        <w:pStyle w:val="BodyText"/>
      </w:pPr>
      <w:r w:rsidRPr="00BD16B4">
        <w:t>Figure B.1 shows the specific responsibilities of different agencies involved in the inventory production as well as their contribution to the inventory submission.</w:t>
      </w:r>
    </w:p>
    <w:p w14:paraId="55967C11" w14:textId="19C2B2F5" w:rsidR="009C7728" w:rsidRPr="00BD16B4" w:rsidRDefault="009C7728" w:rsidP="009C7728">
      <w:pPr>
        <w:pStyle w:val="Figureheading"/>
      </w:pPr>
      <w:bookmarkStart w:id="465" w:name="_Toc447275653"/>
      <w:bookmarkStart w:id="466" w:name="_Toc481751970"/>
      <w:bookmarkStart w:id="467" w:name="_Toc498519470"/>
      <w:bookmarkStart w:id="468" w:name="_Toc500767143"/>
      <w:bookmarkStart w:id="469" w:name="_Toc121494411"/>
      <w:r w:rsidRPr="00BD16B4">
        <w:lastRenderedPageBreak/>
        <w:t>Figure B.</w:t>
      </w:r>
      <w:r w:rsidRPr="00BD16B4">
        <w:fldChar w:fldCharType="begin"/>
      </w:r>
      <w:r w:rsidRPr="00BD16B4">
        <w:instrText>SEQ Figure_B. \* ARABIC</w:instrText>
      </w:r>
      <w:r w:rsidRPr="00BD16B4">
        <w:fldChar w:fldCharType="separate"/>
      </w:r>
      <w:r w:rsidR="00A60C35">
        <w:rPr>
          <w:noProof/>
        </w:rPr>
        <w:t>1</w:t>
      </w:r>
      <w:r w:rsidRPr="00BD16B4">
        <w:fldChar w:fldCharType="end"/>
      </w:r>
      <w:r w:rsidRPr="00BD16B4">
        <w:t>:</w:t>
      </w:r>
      <w:r w:rsidRPr="00BD16B4">
        <w:tab/>
        <w:t>New Zealand’s inventory system at a glance: how different agencies are involved</w:t>
      </w:r>
      <w:bookmarkEnd w:id="465"/>
      <w:bookmarkEnd w:id="466"/>
      <w:bookmarkEnd w:id="467"/>
      <w:bookmarkEnd w:id="468"/>
      <w:bookmarkEnd w:id="469"/>
    </w:p>
    <w:p w14:paraId="092278C3" w14:textId="77777777" w:rsidR="009C7728" w:rsidRPr="00BD16B4" w:rsidRDefault="009C7728" w:rsidP="009C7728">
      <w:pPr>
        <w:pStyle w:val="BodyText"/>
        <w:jc w:val="center"/>
      </w:pPr>
      <w:r w:rsidRPr="00BD16B4">
        <w:rPr>
          <w:noProof/>
        </w:rPr>
        <w:drawing>
          <wp:inline distT="0" distB="0" distL="0" distR="0" wp14:anchorId="586EF80E" wp14:editId="342F06CE">
            <wp:extent cx="5120640" cy="5388624"/>
            <wp:effectExtent l="0" t="0" r="3810" b="2540"/>
            <wp:docPr id="971881736" name="Picture 9718817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40444" cy="5409464"/>
                    </a:xfrm>
                    <a:prstGeom prst="rect">
                      <a:avLst/>
                    </a:prstGeom>
                    <a:noFill/>
                    <a:ln>
                      <a:noFill/>
                    </a:ln>
                  </pic:spPr>
                </pic:pic>
              </a:graphicData>
            </a:graphic>
          </wp:inline>
        </w:drawing>
      </w:r>
    </w:p>
    <w:p w14:paraId="0A7F897D" w14:textId="77777777" w:rsidR="009C7728" w:rsidRPr="00BD16B4" w:rsidRDefault="009C7728" w:rsidP="001F1E7E">
      <w:pPr>
        <w:pStyle w:val="Note"/>
      </w:pPr>
      <w:r w:rsidRPr="00BD16B4">
        <w:rPr>
          <w:b/>
          <w:bCs/>
        </w:rPr>
        <w:t>Note:</w:t>
      </w:r>
      <w:r w:rsidRPr="00BD16B4">
        <w:t xml:space="preserve"> EPA = Environmental Protection Authority; ETS = Emissions Trading Scheme; IPPU = industrial processes and product use; KP-LULUCF = land use, land-use change and forestry activities under the Kyoto Protocol; LULUCF = land use, land-use change and forestry; MBIE = Ministry of Business, Innovation and Employment; MFAT = Ministry of Foreign Affairs and Trade; MfE = Ministry for the Environment; MiCORE = Ministry of Climate, Oceans and Resilience (Tokelau); MPI = Ministry for Primary Industries; QC = quality control.</w:t>
      </w:r>
    </w:p>
    <w:p w14:paraId="59CA402C" w14:textId="77777777" w:rsidR="009C7728" w:rsidRPr="00BD16B4" w:rsidRDefault="009C7728" w:rsidP="001F1E7E">
      <w:pPr>
        <w:pStyle w:val="Source"/>
      </w:pPr>
      <w:r w:rsidRPr="00BD16B4">
        <w:rPr>
          <w:bCs/>
        </w:rPr>
        <w:t>Source:</w:t>
      </w:r>
      <w:r w:rsidRPr="00BD16B4">
        <w:rPr>
          <w:b/>
        </w:rPr>
        <w:t xml:space="preserve"> </w:t>
      </w:r>
      <w:r w:rsidRPr="00BD16B4">
        <w:t xml:space="preserve">Ministry for the Environment. 2022. </w:t>
      </w:r>
      <w:r w:rsidRPr="00BD16B4">
        <w:rPr>
          <w:i/>
        </w:rPr>
        <w:t xml:space="preserve">New Zealand’s Greenhouse Gas Inventory 1990–2022. </w:t>
      </w:r>
      <w:r w:rsidRPr="00BD16B4">
        <w:t>Wellington: Ministry for the Environment</w:t>
      </w:r>
      <w:r w:rsidRPr="00BD16B4">
        <w:rPr>
          <w:sz w:val="20"/>
        </w:rPr>
        <w:t>.</w:t>
      </w:r>
    </w:p>
    <w:p w14:paraId="3F0CC7ED" w14:textId="77777777" w:rsidR="009C7728" w:rsidRPr="00BD16B4" w:rsidRDefault="009C7728" w:rsidP="009C7728">
      <w:pPr>
        <w:pStyle w:val="Heading3"/>
        <w:spacing w:before="320"/>
      </w:pPr>
      <w:r w:rsidRPr="00BD16B4">
        <w:t>Changes to arrangements</w:t>
      </w:r>
    </w:p>
    <w:p w14:paraId="685EB72C" w14:textId="77777777" w:rsidR="009C7728" w:rsidRPr="00BD16B4" w:rsidRDefault="009C7728" w:rsidP="009C7728">
      <w:pPr>
        <w:pStyle w:val="Heading5"/>
      </w:pPr>
      <w:r w:rsidRPr="00BD16B4">
        <w:t>Inclusion of Tokelau in New Zealand’s inventory system</w:t>
      </w:r>
    </w:p>
    <w:p w14:paraId="14A5F84A" w14:textId="77777777" w:rsidR="009C7728" w:rsidRPr="00BD16B4" w:rsidRDefault="009C7728" w:rsidP="009C7728">
      <w:pPr>
        <w:pStyle w:val="BodyText"/>
      </w:pPr>
      <w:r w:rsidRPr="00BD16B4">
        <w:t xml:space="preserve">Changes have been made to the national inventory system since the </w:t>
      </w:r>
      <w:r w:rsidRPr="00BD16B4">
        <w:rPr>
          <w:i/>
          <w:iCs/>
        </w:rPr>
        <w:t>Seventh National Communication</w:t>
      </w:r>
      <w:r w:rsidRPr="00BD16B4">
        <w:t xml:space="preserve"> was submitted in December 2017. These were reported in the </w:t>
      </w:r>
      <w:r w:rsidRPr="00BD16B4">
        <w:rPr>
          <w:i/>
          <w:iCs/>
        </w:rPr>
        <w:t xml:space="preserve">Fourth Biennial </w:t>
      </w:r>
      <w:r w:rsidRPr="00BD16B4">
        <w:rPr>
          <w:i/>
          <w:iCs/>
          <w:spacing w:val="-2"/>
        </w:rPr>
        <w:t>Report</w:t>
      </w:r>
      <w:r w:rsidRPr="00BD16B4">
        <w:rPr>
          <w:spacing w:val="-2"/>
        </w:rPr>
        <w:t xml:space="preserve"> submitted in December 2019. Specifically New Zealand’s inventory system now includes</w:t>
      </w:r>
      <w:r w:rsidRPr="00BD16B4">
        <w:t xml:space="preserve"> Tokelau and reports on its greenhouse gas emissions. In November 2017 New Zealand extended its ratification of the UNFCCC and the Paris Agreement to include Tokelau, and as a result Tokelau is now included in the obligatory climate change reporting managed by the Ministry for the Environment. </w:t>
      </w:r>
    </w:p>
    <w:p w14:paraId="3E32F88A" w14:textId="77777777" w:rsidR="009C7728" w:rsidRPr="00BD16B4" w:rsidRDefault="009C7728" w:rsidP="009C7728">
      <w:pPr>
        <w:pStyle w:val="BodyText"/>
      </w:pPr>
      <w:r w:rsidRPr="00BD16B4">
        <w:lastRenderedPageBreak/>
        <w:t xml:space="preserve">New Zealand and Tokelau signed a Memorandum of Understanding (MoU) for the inclusion of Tokelau in New Zealand’s inventory. According to the MoU, both New Zealand’s central inventory agency, the Ministry for the Environment, and the Tokelau Department for Climate Change have roles in inventory reporting. </w:t>
      </w:r>
    </w:p>
    <w:p w14:paraId="44758ED0" w14:textId="77777777" w:rsidR="009C7728" w:rsidRPr="00BD16B4" w:rsidRDefault="009C7728" w:rsidP="009C7728">
      <w:pPr>
        <w:pStyle w:val="BodyText"/>
      </w:pPr>
      <w:r w:rsidRPr="00BD16B4">
        <w:t xml:space="preserve">MfE is responsible for coordinating the overall inclusion of Tokelau in New Zealand’s inventory system. Part of this responsibility is to develop the reporting system and the reporting guidelines for Tokelau to use. MfE is also responsible for supporting the emissions estimates prepared by Tokelau, and integrating the emissions estimates with New Zealand’s main CRF data, as well as including Tokelau in the inventory report. For further details on how Tokelau’s data and information are incorporated, see chapter 8 of </w:t>
      </w:r>
      <w:r w:rsidRPr="00BD16B4">
        <w:rPr>
          <w:i/>
        </w:rPr>
        <w:t xml:space="preserve">New Zealand’s </w:t>
      </w:r>
      <w:r w:rsidRPr="00BD16B4">
        <w:rPr>
          <w:i/>
          <w:iCs/>
        </w:rPr>
        <w:t>Greenhouse Gas Inventory 1990–2020</w:t>
      </w:r>
      <w:r w:rsidRPr="00BD16B4">
        <w:t xml:space="preserve">, published in 2022. </w:t>
      </w:r>
    </w:p>
    <w:p w14:paraId="6CF4A2BE" w14:textId="77777777" w:rsidR="009C7728" w:rsidRPr="00BD16B4" w:rsidRDefault="009C7728" w:rsidP="009C7728">
      <w:pPr>
        <w:pStyle w:val="BodyText"/>
      </w:pPr>
      <w:r w:rsidRPr="00BD16B4">
        <w:t xml:space="preserve">The Tokelau Ministry for Climate, Oceans and Resilience is responsible for collecting activity data, providing the written content and emissions estimates where possible and advising on Tokelau’s national circumstances and specific cultural aspects for consideration. </w:t>
      </w:r>
    </w:p>
    <w:p w14:paraId="0014436C" w14:textId="77777777" w:rsidR="009C7728" w:rsidRPr="00BD16B4" w:rsidRDefault="009C7728" w:rsidP="009C7728">
      <w:pPr>
        <w:pStyle w:val="BodyText"/>
      </w:pPr>
      <w:r w:rsidRPr="00BD16B4">
        <w:t>Both New Zealand’s Ministry for the Environment and the Tokelau Ministry for Climate, Oceans and Resilience are responsible for adhering to the principles and protocols for producers of Tier 1 statistics under the New Zealand official statistics system.</w:t>
      </w:r>
    </w:p>
    <w:p w14:paraId="246B2508" w14:textId="77777777" w:rsidR="009C7728" w:rsidRPr="00BD16B4" w:rsidRDefault="009C7728" w:rsidP="009C7728">
      <w:pPr>
        <w:pStyle w:val="Heading5"/>
      </w:pPr>
      <w:r w:rsidRPr="00BD16B4">
        <w:t>Operational and programme improvements</w:t>
      </w:r>
    </w:p>
    <w:p w14:paraId="3D78707C" w14:textId="77777777" w:rsidR="009C7728" w:rsidRPr="00BD16B4" w:rsidRDefault="009C7728" w:rsidP="009C7728">
      <w:pPr>
        <w:pStyle w:val="BodyText"/>
      </w:pPr>
      <w:r w:rsidRPr="00BD16B4">
        <w:t xml:space="preserve">Improvements designed to improve the quality and efficiency of the National Inventory System have occurred during the past two years. The focus of this work was on making the National Inventory System more robust, and achieving better transparency, comparability, consistency, completeness and accuracy in the inventory. Since New Zealand’s </w:t>
      </w:r>
      <w:r w:rsidRPr="00BD16B4">
        <w:rPr>
          <w:i/>
          <w:iCs/>
        </w:rPr>
        <w:t>Fourth Biennial Report</w:t>
      </w:r>
      <w:r w:rsidRPr="00BD16B4">
        <w:t xml:space="preserve"> and </w:t>
      </w:r>
      <w:r w:rsidRPr="00BD16B4">
        <w:rPr>
          <w:i/>
          <w:iCs/>
        </w:rPr>
        <w:t>Seventh National Communication</w:t>
      </w:r>
      <w:r w:rsidRPr="00BD16B4">
        <w:t xml:space="preserve"> were submitted, improvements in the inventory have focused on increasing the quality and efficiency of the inventory production. They include:</w:t>
      </w:r>
    </w:p>
    <w:p w14:paraId="50801E96" w14:textId="77777777" w:rsidR="009C7728" w:rsidRPr="00BD16B4" w:rsidRDefault="009C7728" w:rsidP="009C7728">
      <w:pPr>
        <w:pStyle w:val="Bullet"/>
      </w:pPr>
      <w:r w:rsidRPr="00BD16B4">
        <w:t>continuing to develop automated methods for the National Inventory Report production, especially where large quantities of reported data are within several different source documents</w:t>
      </w:r>
    </w:p>
    <w:p w14:paraId="5E223CA7" w14:textId="77777777" w:rsidR="009C7728" w:rsidRPr="00BD16B4" w:rsidRDefault="009C7728" w:rsidP="009C7728">
      <w:pPr>
        <w:pStyle w:val="Bullet"/>
      </w:pPr>
      <w:r w:rsidRPr="00BD16B4">
        <w:t>continuing to develop the expertise of inventory contributors through coaching and structured training courses</w:t>
      </w:r>
    </w:p>
    <w:p w14:paraId="627DBC8A" w14:textId="77777777" w:rsidR="009C7728" w:rsidRPr="00BD16B4" w:rsidRDefault="009C7728" w:rsidP="009C7728">
      <w:pPr>
        <w:pStyle w:val="Bullet"/>
      </w:pPr>
      <w:r w:rsidRPr="00BD16B4">
        <w:t>securing project management and quality control staff resources within the central inventory agency (MfE).</w:t>
      </w:r>
    </w:p>
    <w:p w14:paraId="0CB6ED3A" w14:textId="77777777" w:rsidR="009C7728" w:rsidRPr="00BD16B4" w:rsidRDefault="009C7728" w:rsidP="009C7728">
      <w:pPr>
        <w:pStyle w:val="BodyText"/>
      </w:pPr>
      <w:r w:rsidRPr="00BD16B4">
        <w:t xml:space="preserve">These programme and operational improvements are expected to enhance the functioning of the national system and, in doing so, ensure continuous improvement of national inventory submissions into the future. </w:t>
      </w:r>
    </w:p>
    <w:p w14:paraId="60B77D8B" w14:textId="77777777" w:rsidR="009C7728" w:rsidRPr="00BD16B4" w:rsidRDefault="009C7728" w:rsidP="009C7728">
      <w:pPr>
        <w:pStyle w:val="Heading3"/>
      </w:pPr>
      <w:r w:rsidRPr="00BD16B4">
        <w:t>Inventory preparation process</w:t>
      </w:r>
    </w:p>
    <w:p w14:paraId="7A583587" w14:textId="77777777" w:rsidR="009C7728" w:rsidRPr="00BD16B4" w:rsidRDefault="009C7728" w:rsidP="009C7728">
      <w:pPr>
        <w:pStyle w:val="BodyText"/>
      </w:pPr>
      <w:r w:rsidRPr="00BD16B4">
        <w:t>Consistent with the UNFCCC’s reporting guidelines, each inventory report is published 15 months in arrears of the calendar year reported, allowing time for collecting and analysing data. Figure B.2 summarises New Zealand’s inventory preparation cycle.</w:t>
      </w:r>
    </w:p>
    <w:p w14:paraId="250A7BCC" w14:textId="4B710A1E" w:rsidR="009C7728" w:rsidRPr="00BD16B4" w:rsidRDefault="009C7728" w:rsidP="009C7728">
      <w:pPr>
        <w:pStyle w:val="Figureheading"/>
      </w:pPr>
      <w:bookmarkStart w:id="470" w:name="_Toc447275654"/>
      <w:bookmarkStart w:id="471" w:name="_Toc481751971"/>
      <w:bookmarkStart w:id="472" w:name="_Toc498519471"/>
      <w:bookmarkStart w:id="473" w:name="_Toc500767144"/>
      <w:bookmarkStart w:id="474" w:name="_Toc121494412"/>
      <w:r w:rsidRPr="00BD16B4">
        <w:lastRenderedPageBreak/>
        <w:t>Figure B.</w:t>
      </w:r>
      <w:r w:rsidRPr="00BD16B4">
        <w:fldChar w:fldCharType="begin"/>
      </w:r>
      <w:r w:rsidRPr="00BD16B4">
        <w:instrText>SEQ Figure_B. \* ARABIC</w:instrText>
      </w:r>
      <w:r w:rsidRPr="00BD16B4">
        <w:fldChar w:fldCharType="separate"/>
      </w:r>
      <w:r w:rsidR="00A60C35">
        <w:rPr>
          <w:noProof/>
        </w:rPr>
        <w:t>2</w:t>
      </w:r>
      <w:r w:rsidRPr="00BD16B4">
        <w:fldChar w:fldCharType="end"/>
      </w:r>
      <w:r w:rsidRPr="00BD16B4">
        <w:t>:</w:t>
      </w:r>
      <w:r w:rsidRPr="00BD16B4">
        <w:tab/>
        <w:t>Summary of New Zealand’s inventory planning and preparation</w:t>
      </w:r>
      <w:bookmarkEnd w:id="470"/>
      <w:bookmarkEnd w:id="471"/>
      <w:bookmarkEnd w:id="472"/>
      <w:bookmarkEnd w:id="473"/>
      <w:bookmarkEnd w:id="474"/>
    </w:p>
    <w:p w14:paraId="1E3C0F69" w14:textId="77777777" w:rsidR="009C7728" w:rsidRPr="00BD16B4" w:rsidRDefault="009C7728" w:rsidP="009C7728">
      <w:pPr>
        <w:pStyle w:val="BodyText"/>
        <w:spacing w:before="0" w:after="60"/>
        <w:jc w:val="center"/>
        <w:rPr>
          <w:highlight w:val="yellow"/>
        </w:rPr>
      </w:pPr>
      <w:r w:rsidRPr="00BD16B4">
        <w:object w:dxaOrig="9624" w:dyaOrig="11377" w14:anchorId="46C609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495pt" o:ole="">
            <v:imagedata r:id="rId134" o:title=""/>
          </v:shape>
          <o:OLEObject Type="Embed" ProgID="Visio.Drawing.15" ShapeID="_x0000_i1025" DrawAspect="Content" ObjectID="_1733208428" r:id="rId135"/>
        </w:object>
      </w:r>
    </w:p>
    <w:p w14:paraId="012801DF" w14:textId="77777777" w:rsidR="009C7728" w:rsidRPr="00BD16B4" w:rsidRDefault="009C7728" w:rsidP="009C7728">
      <w:pPr>
        <w:pStyle w:val="Note"/>
      </w:pPr>
      <w:r w:rsidRPr="00BD16B4">
        <w:rPr>
          <w:b/>
          <w:bCs/>
        </w:rPr>
        <w:t>Note:</w:t>
      </w:r>
      <w:r w:rsidRPr="00BD16B4">
        <w:t xml:space="preserve"> CRF = common reporting format; NIR = National Inventory Report; PR = peer review; QC = quality control.</w:t>
      </w:r>
    </w:p>
    <w:p w14:paraId="76DC6980" w14:textId="77777777" w:rsidR="009C7728" w:rsidRPr="00BD16B4" w:rsidRDefault="009C7728" w:rsidP="001F1E7E">
      <w:pPr>
        <w:pStyle w:val="Source"/>
      </w:pPr>
      <w:r w:rsidRPr="00BD16B4">
        <w:rPr>
          <w:bCs/>
        </w:rPr>
        <w:t>Source:</w:t>
      </w:r>
      <w:r w:rsidRPr="00BD16B4">
        <w:rPr>
          <w:b/>
        </w:rPr>
        <w:t xml:space="preserve"> </w:t>
      </w:r>
      <w:r w:rsidRPr="00BD16B4">
        <w:t xml:space="preserve">Ministry for the Environment. 2022. </w:t>
      </w:r>
      <w:r w:rsidRPr="00BD16B4">
        <w:rPr>
          <w:i/>
        </w:rPr>
        <w:t xml:space="preserve">New Zealand’s Greenhouse Gas Inventory 1990–2020. </w:t>
      </w:r>
      <w:r w:rsidRPr="00BD16B4">
        <w:t>Wellington: Ministry for the Environment</w:t>
      </w:r>
      <w:r w:rsidRPr="00BD16B4">
        <w:rPr>
          <w:sz w:val="20"/>
        </w:rPr>
        <w:t>.</w:t>
      </w:r>
    </w:p>
    <w:p w14:paraId="00C85B20" w14:textId="77777777" w:rsidR="009C7728" w:rsidRPr="00BD16B4" w:rsidRDefault="009C7728" w:rsidP="009C7728">
      <w:pPr>
        <w:pStyle w:val="BodyText"/>
      </w:pPr>
      <w:r w:rsidRPr="00BD16B4">
        <w:t>Inventory planning is a two-phase process. The first phase, intrinsic sectoral planning, involves planning for the inventory compilation at the sector level. This includes planning for technical projects, actions and procedures that are specific to each sector. The second phase, national compilation and publication planning, involves planning for the cross-sectoral compilation.</w:t>
      </w:r>
    </w:p>
    <w:p w14:paraId="215C90CD" w14:textId="77777777" w:rsidR="009C7728" w:rsidRPr="00BD16B4" w:rsidRDefault="009C7728" w:rsidP="009C7728">
      <w:pPr>
        <w:pStyle w:val="BodyText"/>
      </w:pPr>
      <w:r w:rsidRPr="00BD16B4">
        <w:rPr>
          <w:spacing w:val="-2"/>
        </w:rPr>
        <w:t>Once the intrinsic sectoral planning is complete, the plans are coordinated between the agencie</w:t>
      </w:r>
      <w:r w:rsidRPr="00BD16B4">
        <w:t>s and adjustments made as necessary. This usually happens through a lessons learned workshop and a production planning workshop. The lessons learned workshop is dedicated to analysing what worked well and what did not in the previous inventory cycle. During the production planning workshop, the following are discussed and agreed:</w:t>
      </w:r>
    </w:p>
    <w:p w14:paraId="772BC876" w14:textId="77777777" w:rsidR="009C7728" w:rsidRPr="00BD16B4" w:rsidRDefault="009C7728" w:rsidP="009C7728">
      <w:pPr>
        <w:pStyle w:val="Bullet"/>
      </w:pPr>
      <w:r w:rsidRPr="00BD16B4">
        <w:lastRenderedPageBreak/>
        <w:t>inventory deliverables</w:t>
      </w:r>
    </w:p>
    <w:p w14:paraId="65B640DA" w14:textId="77777777" w:rsidR="009C7728" w:rsidRPr="00BD16B4" w:rsidRDefault="009C7728" w:rsidP="009C7728">
      <w:pPr>
        <w:pStyle w:val="Bullet"/>
      </w:pPr>
      <w:r w:rsidRPr="00BD16B4">
        <w:t>quality control (QC) deliverables</w:t>
      </w:r>
    </w:p>
    <w:p w14:paraId="1BE2D5AC" w14:textId="77777777" w:rsidR="009C7728" w:rsidRPr="00BD16B4" w:rsidRDefault="009C7728" w:rsidP="009C7728">
      <w:pPr>
        <w:pStyle w:val="Bullet"/>
      </w:pPr>
      <w:r w:rsidRPr="00BD16B4">
        <w:t>schedule of major milestones</w:t>
      </w:r>
    </w:p>
    <w:p w14:paraId="682BDF3B" w14:textId="77777777" w:rsidR="009C7728" w:rsidRPr="00BD16B4" w:rsidRDefault="009C7728" w:rsidP="009C7728">
      <w:pPr>
        <w:pStyle w:val="Bullet"/>
      </w:pPr>
      <w:r w:rsidRPr="00BD16B4">
        <w:t>changes to chapter structure</w:t>
      </w:r>
    </w:p>
    <w:p w14:paraId="761FB9AA" w14:textId="77777777" w:rsidR="009C7728" w:rsidRPr="00BD16B4" w:rsidRDefault="009C7728" w:rsidP="009C7728">
      <w:pPr>
        <w:pStyle w:val="Bullet"/>
      </w:pPr>
      <w:r w:rsidRPr="00BD16B4">
        <w:t>approach for solving problems during inventory preparation.</w:t>
      </w:r>
    </w:p>
    <w:p w14:paraId="3A22A9CA" w14:textId="77777777" w:rsidR="009C7728" w:rsidRPr="00BD16B4" w:rsidRDefault="009C7728" w:rsidP="009C7728">
      <w:pPr>
        <w:pStyle w:val="BodyText"/>
      </w:pPr>
      <w:r w:rsidRPr="00BD16B4">
        <w:t>The second phase of inventory planning, the national compilation and publication planning, is comprised of two workshops. The first workshop, scheduled towards the end of each calendar year, is dedicated to cross-sectoral compilation and publication planning. Participants include MfE’s publication and public liaison teams as well as the inventory production team. They discuss different aspects of the compilation process and agree on a detailed plan for the cross</w:t>
      </w:r>
      <w:r w:rsidRPr="00BD16B4">
        <w:noBreakHyphen/>
        <w:t>sectoral compilation and publication. Timelines discussed and agreed cover:</w:t>
      </w:r>
    </w:p>
    <w:p w14:paraId="5ED88E1C" w14:textId="77777777" w:rsidR="009C7728" w:rsidRPr="00BD16B4" w:rsidRDefault="009C7728" w:rsidP="009C7728">
      <w:pPr>
        <w:pStyle w:val="Bullet"/>
      </w:pPr>
      <w:r w:rsidRPr="00BD16B4">
        <w:t xml:space="preserve">national compilation </w:t>
      </w:r>
    </w:p>
    <w:p w14:paraId="34D0BF4F" w14:textId="77777777" w:rsidR="009C7728" w:rsidRPr="00BD16B4" w:rsidRDefault="009C7728" w:rsidP="009C7728">
      <w:pPr>
        <w:pStyle w:val="Bullet"/>
      </w:pPr>
      <w:r w:rsidRPr="00BD16B4">
        <w:t xml:space="preserve">publication </w:t>
      </w:r>
    </w:p>
    <w:p w14:paraId="47480C32" w14:textId="77777777" w:rsidR="009C7728" w:rsidRPr="00BD16B4" w:rsidRDefault="009C7728" w:rsidP="009C7728">
      <w:pPr>
        <w:pStyle w:val="Bullet"/>
      </w:pPr>
      <w:r w:rsidRPr="00BD16B4">
        <w:t>public relations.</w:t>
      </w:r>
    </w:p>
    <w:p w14:paraId="3208B37B" w14:textId="77777777" w:rsidR="009C7728" w:rsidRPr="00BD16B4" w:rsidRDefault="009C7728" w:rsidP="009C7728">
      <w:pPr>
        <w:pStyle w:val="BodyText"/>
      </w:pPr>
      <w:r w:rsidRPr="00BD16B4">
        <w:t>Lessons learned are also considered in developing the plan.</w:t>
      </w:r>
    </w:p>
    <w:p w14:paraId="12DA3CF2" w14:textId="77777777" w:rsidR="009C7728" w:rsidRPr="00BD16B4" w:rsidRDefault="009C7728" w:rsidP="009C7728">
      <w:pPr>
        <w:pStyle w:val="BodyText"/>
      </w:pPr>
      <w:r w:rsidRPr="00BD16B4">
        <w:t>The second workshop in the second phase of the inventory planning is dedicated to key messages for the inventory, which is an integral part of the cross-sectoral compilation. The workshop’s output is the set of key inventory messages agreed among the sector leads, National Inventory Compiler and primary peer reviewers. The key messages are used for both the National Inventory Report and the inventory summary on MfE’s website, which presents a brief description of the inventory findings.</w:t>
      </w:r>
    </w:p>
    <w:p w14:paraId="5960B96C" w14:textId="77777777" w:rsidR="009C7728" w:rsidRPr="00BD16B4" w:rsidRDefault="009C7728" w:rsidP="009C7728">
      <w:pPr>
        <w:pStyle w:val="BodyText"/>
      </w:pPr>
      <w:r w:rsidRPr="00BD16B4">
        <w:t xml:space="preserve">The inventory planning process for Tokelau is governed by the MoU between New Zealand and Tokelau. </w:t>
      </w:r>
    </w:p>
    <w:p w14:paraId="6EB65633" w14:textId="77777777" w:rsidR="009C7728" w:rsidRPr="00BD16B4" w:rsidRDefault="009C7728" w:rsidP="009C7728">
      <w:pPr>
        <w:pStyle w:val="Heading3"/>
      </w:pPr>
      <w:r w:rsidRPr="00BD16B4">
        <w:t>Activity data, emission factors and methods</w:t>
      </w:r>
    </w:p>
    <w:p w14:paraId="6415C6EE" w14:textId="77777777" w:rsidR="009C7728" w:rsidRPr="00BD16B4" w:rsidRDefault="009C7728" w:rsidP="009C7728">
      <w:pPr>
        <w:pStyle w:val="BodyText"/>
      </w:pPr>
      <w:r w:rsidRPr="00BD16B4">
        <w:t xml:space="preserve">The guiding documents in the inventory’s preparation are the: </w:t>
      </w:r>
    </w:p>
    <w:p w14:paraId="327D8196" w14:textId="77777777" w:rsidR="009C7728" w:rsidRPr="00BD16B4" w:rsidRDefault="009C7728" w:rsidP="009C7728">
      <w:pPr>
        <w:pStyle w:val="Bullet"/>
        <w:rPr>
          <w:szCs w:val="22"/>
        </w:rPr>
      </w:pPr>
      <w:r w:rsidRPr="00BD16B4">
        <w:rPr>
          <w:i/>
          <w:szCs w:val="22"/>
        </w:rPr>
        <w:t>2006 IPCC Guidelines for National Greenhouse Gas Inventories</w:t>
      </w:r>
      <w:r w:rsidRPr="00BD16B4">
        <w:rPr>
          <w:szCs w:val="22"/>
        </w:rPr>
        <w:t xml:space="preserve"> (2006 IPCC Guidelines)</w:t>
      </w:r>
      <w:r w:rsidRPr="00BD16B4">
        <w:rPr>
          <w:szCs w:val="22"/>
          <w:vertAlign w:val="superscript"/>
        </w:rPr>
        <w:footnoteReference w:id="579"/>
      </w:r>
    </w:p>
    <w:p w14:paraId="13E12B44" w14:textId="77777777" w:rsidR="009C7728" w:rsidRPr="00BD16B4" w:rsidRDefault="009C7728" w:rsidP="009C7728">
      <w:pPr>
        <w:pStyle w:val="Bullet"/>
        <w:rPr>
          <w:szCs w:val="22"/>
        </w:rPr>
      </w:pPr>
      <w:r w:rsidRPr="00BD16B4">
        <w:rPr>
          <w:i/>
          <w:szCs w:val="22"/>
        </w:rPr>
        <w:t>Revised Supplementary Methods and Good Practice Guidance Arising from the Kyoto Protocol</w:t>
      </w:r>
      <w:r w:rsidRPr="00BD16B4">
        <w:rPr>
          <w:szCs w:val="22"/>
          <w:vertAlign w:val="superscript"/>
        </w:rPr>
        <w:footnoteReference w:id="580"/>
      </w:r>
    </w:p>
    <w:p w14:paraId="40458607" w14:textId="77777777" w:rsidR="009C7728" w:rsidRPr="00BD16B4" w:rsidRDefault="009C7728" w:rsidP="009C7728">
      <w:pPr>
        <w:pStyle w:val="Bullet"/>
        <w:rPr>
          <w:szCs w:val="22"/>
        </w:rPr>
      </w:pPr>
      <w:r w:rsidRPr="00BD16B4">
        <w:rPr>
          <w:szCs w:val="22"/>
        </w:rPr>
        <w:t xml:space="preserve">revised </w:t>
      </w:r>
      <w:r w:rsidRPr="00BD16B4">
        <w:rPr>
          <w:i/>
          <w:szCs w:val="22"/>
        </w:rPr>
        <w:t>UNFCCC reporting guidelines on annual inventories for Parties included in Annex I to the Convention</w:t>
      </w:r>
      <w:r w:rsidRPr="00BD16B4">
        <w:rPr>
          <w:szCs w:val="22"/>
          <w:vertAlign w:val="superscript"/>
        </w:rPr>
        <w:footnoteReference w:id="581"/>
      </w:r>
      <w:r w:rsidRPr="00BD16B4">
        <w:rPr>
          <w:szCs w:val="22"/>
        </w:rPr>
        <w:t xml:space="preserve"> </w:t>
      </w:r>
    </w:p>
    <w:p w14:paraId="46338878" w14:textId="77777777" w:rsidR="009C7728" w:rsidRPr="00BD16B4" w:rsidRDefault="009C7728" w:rsidP="00317A53">
      <w:pPr>
        <w:pStyle w:val="Bullet"/>
        <w:keepNext/>
        <w:spacing w:after="100"/>
        <w:rPr>
          <w:szCs w:val="22"/>
        </w:rPr>
      </w:pPr>
      <w:r w:rsidRPr="00BD16B4">
        <w:rPr>
          <w:szCs w:val="22"/>
        </w:rPr>
        <w:lastRenderedPageBreak/>
        <w:t>Kyoto Protocol</w:t>
      </w:r>
      <w:r w:rsidRPr="00BD16B4">
        <w:rPr>
          <w:szCs w:val="22"/>
          <w:vertAlign w:val="superscript"/>
        </w:rPr>
        <w:footnoteReference w:id="582"/>
      </w:r>
      <w:r w:rsidRPr="00BD16B4">
        <w:rPr>
          <w:szCs w:val="22"/>
          <w:vertAlign w:val="superscript"/>
        </w:rPr>
        <w:t xml:space="preserve">, </w:t>
      </w:r>
      <w:r w:rsidRPr="00BD16B4">
        <w:rPr>
          <w:szCs w:val="22"/>
          <w:vertAlign w:val="superscript"/>
        </w:rPr>
        <w:footnoteReference w:id="583"/>
      </w:r>
    </w:p>
    <w:p w14:paraId="420739D6" w14:textId="77777777" w:rsidR="009C7728" w:rsidRPr="00BD16B4" w:rsidRDefault="009C7728" w:rsidP="009C7728">
      <w:pPr>
        <w:pStyle w:val="Bullet"/>
        <w:spacing w:after="100"/>
      </w:pPr>
      <w:r w:rsidRPr="00BD16B4">
        <w:t>decisions 3/CMP.11 and 4/CMP.11 that cover a range of reporting and review issues</w:t>
      </w:r>
      <w:r w:rsidRPr="00BD16B4">
        <w:rPr>
          <w:vertAlign w:val="superscript"/>
        </w:rPr>
        <w:footnoteReference w:id="584"/>
      </w:r>
      <w:r w:rsidRPr="00BD16B4">
        <w:rPr>
          <w:vertAlign w:val="superscript"/>
        </w:rPr>
        <w:t xml:space="preserve">, </w:t>
      </w:r>
      <w:r w:rsidRPr="00BD16B4">
        <w:rPr>
          <w:vertAlign w:val="superscript"/>
        </w:rPr>
        <w:footnoteReference w:id="585"/>
      </w:r>
      <w:r w:rsidRPr="00BD16B4">
        <w:t xml:space="preserve"> </w:t>
      </w:r>
    </w:p>
    <w:p w14:paraId="2A42A335" w14:textId="77777777" w:rsidR="009C7728" w:rsidRPr="00BD16B4" w:rsidRDefault="009C7728" w:rsidP="009C7728">
      <w:pPr>
        <w:pStyle w:val="Bullet"/>
        <w:spacing w:after="100"/>
        <w:rPr>
          <w:szCs w:val="22"/>
        </w:rPr>
      </w:pPr>
      <w:r w:rsidRPr="00BD16B4">
        <w:rPr>
          <w:szCs w:val="22"/>
        </w:rPr>
        <w:t>guidelines on reporting and review.</w:t>
      </w:r>
      <w:r w:rsidRPr="00BD16B4">
        <w:rPr>
          <w:szCs w:val="22"/>
          <w:vertAlign w:val="superscript"/>
        </w:rPr>
        <w:footnoteReference w:id="586"/>
      </w:r>
    </w:p>
    <w:p w14:paraId="597BE146" w14:textId="77777777" w:rsidR="009C7728" w:rsidRPr="00BD16B4" w:rsidRDefault="009C7728" w:rsidP="009C7728">
      <w:pPr>
        <w:pStyle w:val="BodyText"/>
        <w:spacing w:after="100"/>
      </w:pPr>
      <w:r w:rsidRPr="00BD16B4">
        <w:t>The concepts contained in the 2006 IPCC Guidelines are implemented in stages, according to sector priorities and national circumstances.</w:t>
      </w:r>
    </w:p>
    <w:p w14:paraId="007E1D0A" w14:textId="77777777" w:rsidR="009C7728" w:rsidRPr="00BD16B4" w:rsidRDefault="009C7728" w:rsidP="009C7728">
      <w:pPr>
        <w:pStyle w:val="BodyText"/>
        <w:spacing w:after="100"/>
      </w:pPr>
      <w:r w:rsidRPr="00BD16B4">
        <w:t xml:space="preserve">The 2006 IPCC Guidelines provide a number of possible methodologies for calculating emissions or removals from a given category. In most cases, these possibilities represent calculations of the same form where the differences are in the level of detail at which the calculations are carried out. The methodologies are provided in a structure of three tiers that describe and connect the various levels of detail at which estimates can be made. </w:t>
      </w:r>
    </w:p>
    <w:p w14:paraId="012CBD9C" w14:textId="77777777" w:rsidR="009C7728" w:rsidRPr="00BD16B4" w:rsidRDefault="009C7728" w:rsidP="009C7728">
      <w:pPr>
        <w:pStyle w:val="BodyText"/>
        <w:spacing w:after="100"/>
      </w:pPr>
      <w:r w:rsidRPr="00BD16B4">
        <w:t>The choice of method depends on factors such as the importance of the source category and availability of data. The tiered structure ensures that estimates calculated at a highly detailed level can be aggregated up to a common minimum level of detail for comparison with all other reporting countries. The methods for estimating emissions and/or removals are distinguished between the tiers as follows.</w:t>
      </w:r>
    </w:p>
    <w:p w14:paraId="2C72CD43" w14:textId="77777777" w:rsidR="009C7728" w:rsidRPr="00BD16B4" w:rsidRDefault="009C7728" w:rsidP="009C7728">
      <w:pPr>
        <w:pStyle w:val="Bullet"/>
      </w:pPr>
      <w:r w:rsidRPr="00BD16B4">
        <w:lastRenderedPageBreak/>
        <w:t>Tier 1 methods apply IPCC default emission factors and use IPCC default methods.</w:t>
      </w:r>
    </w:p>
    <w:p w14:paraId="4B393C2C" w14:textId="77777777" w:rsidR="009C7728" w:rsidRPr="00BD16B4" w:rsidRDefault="009C7728" w:rsidP="009C7728">
      <w:pPr>
        <w:pStyle w:val="Bullet"/>
      </w:pPr>
      <w:r w:rsidRPr="00BD16B4">
        <w:t>Tier 2 methods apply country-specific emission factors and use IPCC default methods.</w:t>
      </w:r>
    </w:p>
    <w:p w14:paraId="6DC63158" w14:textId="77777777" w:rsidR="009C7728" w:rsidRPr="00BD16B4" w:rsidRDefault="009C7728" w:rsidP="009C7728">
      <w:pPr>
        <w:pStyle w:val="Bullet"/>
      </w:pPr>
      <w:r w:rsidRPr="00BD16B4">
        <w:t>Tier 3 methods apply country-specific emission factors and use country-specific methods.</w:t>
      </w:r>
    </w:p>
    <w:p w14:paraId="675FFEE4" w14:textId="77777777" w:rsidR="009C7728" w:rsidRPr="00BD16B4" w:rsidRDefault="009C7728" w:rsidP="009C7728">
      <w:pPr>
        <w:pStyle w:val="BodyText"/>
      </w:pPr>
      <w:r w:rsidRPr="00BD16B4">
        <w:t>Methodology for each sector in the inventory is described briefly in the sections below. Refer to each sector chapter in the inventory</w:t>
      </w:r>
      <w:r w:rsidRPr="00BD16B4">
        <w:rPr>
          <w:rStyle w:val="FootnoteReference"/>
        </w:rPr>
        <w:footnoteReference w:id="587"/>
      </w:r>
      <w:r w:rsidRPr="00BD16B4">
        <w:t xml:space="preserve"> for more detail.</w:t>
      </w:r>
    </w:p>
    <w:p w14:paraId="68C26FD4" w14:textId="77777777" w:rsidR="009C7728" w:rsidRPr="00BD16B4" w:rsidRDefault="009C7728" w:rsidP="004E1B8C">
      <w:pPr>
        <w:pStyle w:val="Heading4"/>
        <w:rPr>
          <w:highlight w:val="yellow"/>
        </w:rPr>
      </w:pPr>
      <w:r w:rsidRPr="00BD16B4">
        <w:t>Energy</w:t>
      </w:r>
    </w:p>
    <w:p w14:paraId="064913A7" w14:textId="77777777" w:rsidR="009C7728" w:rsidRPr="00BD16B4" w:rsidRDefault="009C7728" w:rsidP="009C7728">
      <w:pPr>
        <w:pStyle w:val="BodyText"/>
        <w:spacing w:before="100" w:after="100"/>
        <w:rPr>
          <w:lang w:eastAsia="en-GB"/>
        </w:rPr>
      </w:pPr>
      <w:r w:rsidRPr="00BD16B4">
        <w:rPr>
          <w:rFonts w:cs="Calibri"/>
          <w:lang w:eastAsia="en-GB"/>
        </w:rPr>
        <w:t>Greenhouse gas emissions from the energy sector are calculated using a detailed sectoral approach. This bottom-up approach is demand based; it involves processing energy data collected on a regular basis through various surveys. For verification, New Zealand also applies the reference approach, as described in the 2006 IPCC Guidelines, to estimate CO</w:t>
      </w:r>
      <w:r w:rsidRPr="00BD16B4">
        <w:rPr>
          <w:rFonts w:cs="Calibri"/>
          <w:vertAlign w:val="subscript"/>
          <w:lang w:eastAsia="en-GB"/>
        </w:rPr>
        <w:t>2</w:t>
      </w:r>
      <w:r w:rsidRPr="00BD16B4">
        <w:rPr>
          <w:rFonts w:cs="Calibri"/>
          <w:lang w:eastAsia="en-GB"/>
        </w:rPr>
        <w:t xml:space="preserve"> emissions from fuel combustion for the time series 1990–</w:t>
      </w:r>
      <w:r w:rsidRPr="00BD16B4">
        <w:rPr>
          <w:rFonts w:cs="Calibri"/>
        </w:rPr>
        <w:t xml:space="preserve">2020 </w:t>
      </w:r>
      <w:r w:rsidRPr="00BD16B4">
        <w:rPr>
          <w:lang w:eastAsia="en-GB"/>
        </w:rPr>
        <w:t>(see annex 4 in the inventory report).</w:t>
      </w:r>
      <w:r w:rsidRPr="00BD16B4">
        <w:rPr>
          <w:rStyle w:val="FootnoteReference"/>
          <w:lang w:eastAsia="en-GB"/>
        </w:rPr>
        <w:footnoteReference w:id="588"/>
      </w:r>
      <w:r w:rsidRPr="00BD16B4">
        <w:rPr>
          <w:lang w:eastAsia="en-GB"/>
        </w:rPr>
        <w:t xml:space="preserve"> </w:t>
      </w:r>
    </w:p>
    <w:p w14:paraId="3C8395E8" w14:textId="77777777" w:rsidR="009C7728" w:rsidRPr="00BD16B4" w:rsidRDefault="009C7728" w:rsidP="009C7728">
      <w:pPr>
        <w:pStyle w:val="BodyText"/>
        <w:spacing w:before="100" w:after="100"/>
        <w:rPr>
          <w:lang w:eastAsia="en-GB"/>
        </w:rPr>
      </w:pPr>
      <w:r w:rsidRPr="00BD16B4">
        <w:rPr>
          <w:rFonts w:cs="Calibri"/>
          <w:lang w:eastAsia="en-GB"/>
        </w:rPr>
        <w:t xml:space="preserve">The activity data used for the sectoral approach are referred to as ‘observed’ energy-use figures. These are based on surveys and questionnaires administered by MBIE. The differences between ‘calculated’ and ‘observed’ figures are reported as statistical differences in the energy balance tables released along with </w:t>
      </w:r>
      <w:r w:rsidRPr="00BD16B4">
        <w:rPr>
          <w:rFonts w:cs="Calibri"/>
          <w:i/>
          <w:iCs/>
          <w:lang w:eastAsia="en-GB"/>
        </w:rPr>
        <w:t>Energy in New Zealand</w:t>
      </w:r>
      <w:r w:rsidRPr="00BD16B4">
        <w:rPr>
          <w:rFonts w:cs="Calibri"/>
          <w:lang w:eastAsia="en-GB"/>
        </w:rPr>
        <w:t>.</w:t>
      </w:r>
      <w:r w:rsidRPr="00BD16B4">
        <w:rPr>
          <w:rStyle w:val="FootnoteReference"/>
          <w:rFonts w:cs="Calibri"/>
          <w:lang w:eastAsia="en-GB"/>
        </w:rPr>
        <w:footnoteReference w:id="589"/>
      </w:r>
      <w:r w:rsidRPr="00BD16B4">
        <w:rPr>
          <w:lang w:eastAsia="en-GB"/>
        </w:rPr>
        <w:t xml:space="preserve"> See chapter 3 of the inventory report</w:t>
      </w:r>
      <w:r w:rsidRPr="00BD16B4">
        <w:rPr>
          <w:rStyle w:val="FootnoteReference"/>
          <w:lang w:eastAsia="en-GB"/>
        </w:rPr>
        <w:footnoteReference w:id="590"/>
      </w:r>
      <w:r w:rsidRPr="00BD16B4">
        <w:rPr>
          <w:lang w:eastAsia="en-GB"/>
        </w:rPr>
        <w:t xml:space="preserve"> for further details on methodologies applied in the energy sector and a description of the sources for activity data for the inventory.</w:t>
      </w:r>
    </w:p>
    <w:p w14:paraId="1F1AAD84" w14:textId="77777777" w:rsidR="009C7728" w:rsidRPr="00BD16B4" w:rsidRDefault="009C7728" w:rsidP="004E1B8C">
      <w:pPr>
        <w:pStyle w:val="Heading4"/>
      </w:pPr>
      <w:r w:rsidRPr="00BD16B4">
        <w:t>Industrial processes and product use</w:t>
      </w:r>
    </w:p>
    <w:p w14:paraId="5D7F5853" w14:textId="77777777" w:rsidR="009C7728" w:rsidRPr="00BD16B4" w:rsidRDefault="009C7728" w:rsidP="009C7728">
      <w:pPr>
        <w:pStyle w:val="BodyText"/>
        <w:rPr>
          <w:rFonts w:eastAsia="+mn-ea"/>
        </w:rPr>
      </w:pPr>
      <w:r w:rsidRPr="00BD16B4">
        <w:rPr>
          <w:rFonts w:eastAsia="+mn-ea"/>
        </w:rPr>
        <w:t xml:space="preserve">Activity data in the IPPU sector have been derived from a variety of sources. In the </w:t>
      </w:r>
      <w:r w:rsidRPr="00BD16B4">
        <w:rPr>
          <w:rFonts w:eastAsia="+mn-ea"/>
          <w:i/>
        </w:rPr>
        <w:t>Mineral industry</w:t>
      </w:r>
      <w:r w:rsidRPr="00BD16B4">
        <w:rPr>
          <w:rFonts w:eastAsia="+mn-ea"/>
        </w:rPr>
        <w:t xml:space="preserve"> category, the primary data source is emissions data reported under the New Zealand Emissions Trading Scheme (NZ ETS). For the </w:t>
      </w:r>
      <w:r w:rsidRPr="00BD16B4">
        <w:rPr>
          <w:rFonts w:eastAsia="+mn-ea"/>
          <w:i/>
        </w:rPr>
        <w:t>Chemical industry</w:t>
      </w:r>
      <w:r w:rsidRPr="00BD16B4">
        <w:rPr>
          <w:rFonts w:eastAsia="+mn-ea"/>
        </w:rPr>
        <w:t xml:space="preserve"> and </w:t>
      </w:r>
      <w:r w:rsidRPr="00BD16B4">
        <w:rPr>
          <w:rFonts w:eastAsia="+mn-ea"/>
          <w:i/>
        </w:rPr>
        <w:t>Metal industry</w:t>
      </w:r>
      <w:r w:rsidRPr="00BD16B4">
        <w:rPr>
          <w:rFonts w:eastAsia="+mn-ea"/>
        </w:rPr>
        <w:t xml:space="preserve"> categories, data (including activity data) are provided to MBIE in response to an annual survey. </w:t>
      </w:r>
    </w:p>
    <w:p w14:paraId="796C4AE8" w14:textId="77777777" w:rsidR="009C7728" w:rsidRPr="00BD16B4" w:rsidRDefault="009C7728" w:rsidP="009C7728">
      <w:pPr>
        <w:pStyle w:val="BodyText"/>
        <w:rPr>
          <w:rFonts w:eastAsia="+mn-ea"/>
        </w:rPr>
      </w:pPr>
      <w:r w:rsidRPr="00BD16B4">
        <w:rPr>
          <w:rFonts w:eastAsia="+mn-ea"/>
        </w:rPr>
        <w:t xml:space="preserve">For some large-scale activities in the </w:t>
      </w:r>
      <w:r w:rsidRPr="00BD16B4">
        <w:rPr>
          <w:rFonts w:eastAsia="+mn-ea"/>
          <w:i/>
        </w:rPr>
        <w:t>Mineral industry</w:t>
      </w:r>
      <w:r w:rsidRPr="00BD16B4">
        <w:rPr>
          <w:rFonts w:eastAsia="+mn-ea"/>
        </w:rPr>
        <w:t xml:space="preserve">, </w:t>
      </w:r>
      <w:r w:rsidRPr="00BD16B4">
        <w:rPr>
          <w:rFonts w:eastAsia="+mn-ea"/>
          <w:i/>
        </w:rPr>
        <w:t>Chemical industry</w:t>
      </w:r>
      <w:r w:rsidRPr="00BD16B4">
        <w:rPr>
          <w:rFonts w:eastAsia="+mn-ea"/>
        </w:rPr>
        <w:t xml:space="preserve"> and </w:t>
      </w:r>
      <w:r w:rsidRPr="00BD16B4">
        <w:rPr>
          <w:rFonts w:eastAsia="+mn-ea"/>
          <w:i/>
        </w:rPr>
        <w:t>Metal industry</w:t>
      </w:r>
      <w:r w:rsidRPr="00BD16B4">
        <w:rPr>
          <w:rFonts w:eastAsia="+mn-ea"/>
        </w:rPr>
        <w:t xml:space="preserve"> categories, which are carried out by only one or two companies in New Zealand, activity data are reported as confidential in the CRF tables. </w:t>
      </w:r>
    </w:p>
    <w:p w14:paraId="4A828F8E" w14:textId="77777777" w:rsidR="009C7728" w:rsidRPr="00BD16B4" w:rsidRDefault="009C7728" w:rsidP="009C7728">
      <w:pPr>
        <w:pStyle w:val="BodyText"/>
        <w:rPr>
          <w:rFonts w:eastAsia="+mn-ea"/>
        </w:rPr>
      </w:pPr>
      <w:r w:rsidRPr="00BD16B4">
        <w:rPr>
          <w:rFonts w:eastAsia="+mn-ea"/>
        </w:rPr>
        <w:t xml:space="preserve">Emissions data for glass production (2.A.3) are reported in 2.A.4 to aggregate the data with other sources and preserve confidentiality. Also, data on emissions from hydrogen making at the Marsden Point oil refinery are reported in the </w:t>
      </w:r>
      <w:r w:rsidRPr="00BD16B4">
        <w:rPr>
          <w:rFonts w:eastAsia="+mn-ea"/>
          <w:i/>
        </w:rPr>
        <w:t>Chemical industry</w:t>
      </w:r>
      <w:r w:rsidRPr="00BD16B4">
        <w:rPr>
          <w:rFonts w:eastAsia="+mn-ea"/>
        </w:rPr>
        <w:t xml:space="preserve"> category. This allows data from the country’s only industrial hydrogen-making process, which is smaller in scale than refining, to be aggregated and kept confidential.</w:t>
      </w:r>
    </w:p>
    <w:p w14:paraId="0DCA1C5F" w14:textId="77777777" w:rsidR="009C7728" w:rsidRPr="00BD16B4" w:rsidRDefault="009C7728" w:rsidP="009C7728">
      <w:pPr>
        <w:pStyle w:val="BodyText"/>
        <w:rPr>
          <w:rFonts w:eastAsia="+mn-ea"/>
        </w:rPr>
      </w:pPr>
      <w:r w:rsidRPr="00BD16B4">
        <w:rPr>
          <w:rFonts w:eastAsia="+mn-ea"/>
        </w:rPr>
        <w:lastRenderedPageBreak/>
        <w:t xml:space="preserve">For the </w:t>
      </w:r>
      <w:r w:rsidRPr="00BD16B4">
        <w:rPr>
          <w:rFonts w:eastAsia="+mn-ea"/>
          <w:i/>
        </w:rPr>
        <w:t>Product uses as substitutes for ODS</w:t>
      </w:r>
      <w:r w:rsidRPr="00BD16B4">
        <w:rPr>
          <w:rFonts w:eastAsia="+mn-ea"/>
        </w:rPr>
        <w:t xml:space="preserve"> category, updated activity data have been obtained </w:t>
      </w:r>
      <w:r w:rsidRPr="00BD16B4">
        <w:rPr>
          <w:rFonts w:eastAsia="+mn-ea"/>
          <w:spacing w:val="-2"/>
        </w:rPr>
        <w:t>by a detailed annual survey covering electrical, refrigeration and other industry participants</w:t>
      </w:r>
      <w:r w:rsidRPr="00BD16B4">
        <w:rPr>
          <w:rStyle w:val="FootnoteReference"/>
          <w:rFonts w:eastAsia="+mn-ea"/>
          <w:spacing w:val="-2"/>
        </w:rPr>
        <w:footnoteReference w:id="591"/>
      </w:r>
      <w:r w:rsidRPr="00BD16B4">
        <w:rPr>
          <w:rFonts w:eastAsia="+mn-ea"/>
          <w:spacing w:val="-2"/>
        </w:rPr>
        <w:t xml:space="preserve"> as well as importers of </w:t>
      </w:r>
      <w:r w:rsidRPr="00BD16B4">
        <w:t>hydrofluorocarbons</w:t>
      </w:r>
      <w:r w:rsidRPr="00BD16B4">
        <w:rPr>
          <w:rFonts w:eastAsia="+mn-ea"/>
          <w:spacing w:val="-2"/>
        </w:rPr>
        <w:t xml:space="preserve"> (HFCs) and other substances in this category.</w:t>
      </w:r>
      <w:r w:rsidRPr="00BD16B4">
        <w:rPr>
          <w:rFonts w:eastAsia="+mn-ea"/>
        </w:rPr>
        <w:t xml:space="preserve"> </w:t>
      </w:r>
    </w:p>
    <w:p w14:paraId="1DAF1D90" w14:textId="77777777" w:rsidR="009C7728" w:rsidRPr="00BD16B4" w:rsidRDefault="009C7728" w:rsidP="009C7728">
      <w:pPr>
        <w:pStyle w:val="BodyText"/>
      </w:pPr>
      <w:r w:rsidRPr="00BD16B4">
        <w:t xml:space="preserve">New Zealand uses a combination of Tier 1 and Tier 2 methods for the IPPU sector. Tier 2 methods are used for all key categories. </w:t>
      </w:r>
    </w:p>
    <w:p w14:paraId="620DE7DD" w14:textId="77777777" w:rsidR="009C7728" w:rsidRPr="00BD16B4" w:rsidRDefault="009C7728" w:rsidP="009C7728">
      <w:pPr>
        <w:pStyle w:val="BodyText"/>
        <w:rPr>
          <w:rFonts w:eastAsia="+mn-ea"/>
        </w:rPr>
      </w:pPr>
      <w:r w:rsidRPr="00BD16B4">
        <w:rPr>
          <w:rFonts w:eastAsia="+mn-ea"/>
        </w:rPr>
        <w:t xml:space="preserve">For small amounts of indirect greenhouse gas emissions reported in the </w:t>
      </w:r>
      <w:r w:rsidRPr="00BD16B4">
        <w:rPr>
          <w:rFonts w:eastAsia="+mn-ea"/>
          <w:i/>
        </w:rPr>
        <w:t>Chemical industry</w:t>
      </w:r>
      <w:r w:rsidRPr="00BD16B4">
        <w:rPr>
          <w:rFonts w:eastAsia="+mn-ea"/>
        </w:rPr>
        <w:t xml:space="preserve"> category and the </w:t>
      </w:r>
      <w:r w:rsidRPr="00BD16B4">
        <w:rPr>
          <w:rFonts w:eastAsia="+mn-ea"/>
          <w:i/>
        </w:rPr>
        <w:t>Other product manufacture and use</w:t>
      </w:r>
      <w:r w:rsidRPr="00BD16B4">
        <w:rPr>
          <w:rFonts w:eastAsia="+mn-ea"/>
        </w:rPr>
        <w:t xml:space="preserve"> category, data were obtained by a detailed industry survey and analysis in 2006.</w:t>
      </w:r>
      <w:r w:rsidRPr="00BD16B4">
        <w:rPr>
          <w:rStyle w:val="FootnoteReference"/>
          <w:rFonts w:eastAsia="+mn-ea"/>
        </w:rPr>
        <w:footnoteReference w:id="592"/>
      </w:r>
      <w:r w:rsidRPr="00BD16B4">
        <w:rPr>
          <w:rFonts w:eastAsia="+mn-ea"/>
        </w:rPr>
        <w:t xml:space="preserve"> Emissions and activity data have been extrapolated for the years since that time. </w:t>
      </w:r>
    </w:p>
    <w:p w14:paraId="4A84FF39" w14:textId="77777777" w:rsidR="009C7728" w:rsidRPr="00BD16B4" w:rsidRDefault="009C7728" w:rsidP="009C7728">
      <w:pPr>
        <w:pStyle w:val="BodyText"/>
      </w:pPr>
      <w:r w:rsidRPr="00BD16B4">
        <w:t xml:space="preserve">Country-specific emission factors have been used where available, including for emissions of indirect greenhouse gases. </w:t>
      </w:r>
    </w:p>
    <w:p w14:paraId="6B4003CC" w14:textId="77777777" w:rsidR="009C7728" w:rsidRPr="00BD16B4" w:rsidRDefault="009C7728" w:rsidP="004E1B8C">
      <w:pPr>
        <w:pStyle w:val="Heading4"/>
      </w:pPr>
      <w:r w:rsidRPr="00BD16B4">
        <w:t>Agriculture</w:t>
      </w:r>
    </w:p>
    <w:p w14:paraId="11DE9E00" w14:textId="77777777" w:rsidR="009C7728" w:rsidRPr="00BD16B4" w:rsidRDefault="009C7728" w:rsidP="009C7728">
      <w:pPr>
        <w:pStyle w:val="BodyText"/>
        <w:spacing w:before="100" w:after="100"/>
        <w:rPr>
          <w:rFonts w:cs="Calibri"/>
        </w:rPr>
      </w:pPr>
      <w:r w:rsidRPr="00BD16B4">
        <w:rPr>
          <w:rFonts w:cs="Calibri"/>
        </w:rPr>
        <w:t xml:space="preserve">New Zealand uses a range of models and tiers appropriate to the size of the different emission categories for calculating emissions. For example, 90 per cent of New Zealand’s livestock emissions come from </w:t>
      </w:r>
      <w:r w:rsidRPr="00BD16B4">
        <w:rPr>
          <w:rFonts w:cs="Calibri"/>
          <w:i/>
          <w:iCs/>
        </w:rPr>
        <w:t>Dairy cattle</w:t>
      </w:r>
      <w:r w:rsidRPr="00BD16B4">
        <w:rPr>
          <w:rFonts w:cs="Calibri"/>
        </w:rPr>
        <w:t xml:space="preserve">, </w:t>
      </w:r>
      <w:r w:rsidRPr="00BD16B4">
        <w:rPr>
          <w:rFonts w:cs="Calibri"/>
          <w:i/>
          <w:iCs/>
        </w:rPr>
        <w:t xml:space="preserve">Non-dairy </w:t>
      </w:r>
      <w:r w:rsidRPr="00BD16B4">
        <w:rPr>
          <w:rFonts w:cs="Calibri"/>
        </w:rPr>
        <w:t>(beef)</w:t>
      </w:r>
      <w:r w:rsidRPr="00BD16B4">
        <w:rPr>
          <w:rFonts w:cs="Calibri"/>
          <w:i/>
          <w:iCs/>
        </w:rPr>
        <w:t xml:space="preserve"> cattle</w:t>
      </w:r>
      <w:r w:rsidRPr="00BD16B4">
        <w:rPr>
          <w:rFonts w:cs="Calibri"/>
        </w:rPr>
        <w:t>,</w:t>
      </w:r>
      <w:r w:rsidRPr="00BD16B4">
        <w:rPr>
          <w:rFonts w:cs="Calibri"/>
          <w:i/>
          <w:iCs/>
        </w:rPr>
        <w:t xml:space="preserve"> Sheep</w:t>
      </w:r>
      <w:r w:rsidRPr="00BD16B4">
        <w:rPr>
          <w:rFonts w:cs="Calibri"/>
        </w:rPr>
        <w:t xml:space="preserve"> and </w:t>
      </w:r>
      <w:r w:rsidRPr="00BD16B4">
        <w:rPr>
          <w:rFonts w:cs="Calibri"/>
          <w:i/>
          <w:iCs/>
        </w:rPr>
        <w:t>Deer</w:t>
      </w:r>
      <w:r w:rsidRPr="00BD16B4">
        <w:rPr>
          <w:rFonts w:cs="Calibri"/>
        </w:rPr>
        <w:t xml:space="preserve"> (‘major’ livestock </w:t>
      </w:r>
      <w:r w:rsidRPr="00BD16B4">
        <w:rPr>
          <w:rFonts w:cs="Calibri"/>
          <w:spacing w:val="-2"/>
        </w:rPr>
        <w:t>categories). Emissions from major livestock categories are estimated using Tier 2 methodologies.</w:t>
      </w:r>
      <w:r w:rsidRPr="00BD16B4">
        <w:rPr>
          <w:rFonts w:cs="Calibri"/>
        </w:rPr>
        <w:t xml:space="preserve"> Other livestock species, including </w:t>
      </w:r>
      <w:r w:rsidRPr="00BD16B4">
        <w:rPr>
          <w:rFonts w:cs="Calibri"/>
          <w:i/>
          <w:iCs/>
        </w:rPr>
        <w:t>Swine</w:t>
      </w:r>
      <w:r w:rsidRPr="00BD16B4">
        <w:rPr>
          <w:rFonts w:cs="Calibri"/>
        </w:rPr>
        <w:t>,</w:t>
      </w:r>
      <w:r w:rsidRPr="00BD16B4">
        <w:rPr>
          <w:rFonts w:cs="Calibri"/>
          <w:i/>
          <w:iCs/>
        </w:rPr>
        <w:t xml:space="preserve"> Goats</w:t>
      </w:r>
      <w:r w:rsidRPr="00BD16B4">
        <w:rPr>
          <w:rFonts w:cs="Calibri"/>
        </w:rPr>
        <w:t>,</w:t>
      </w:r>
      <w:r w:rsidRPr="00BD16B4">
        <w:rPr>
          <w:rFonts w:cs="Calibri"/>
          <w:i/>
          <w:iCs/>
        </w:rPr>
        <w:t xml:space="preserve"> Horses</w:t>
      </w:r>
      <w:r w:rsidRPr="00BD16B4">
        <w:rPr>
          <w:rFonts w:cs="Calibri"/>
        </w:rPr>
        <w:t>, llamas</w:t>
      </w:r>
      <w:r w:rsidRPr="00BD16B4">
        <w:rPr>
          <w:rFonts w:cs="Calibri"/>
          <w:iCs/>
        </w:rPr>
        <w:t xml:space="preserve"> and </w:t>
      </w:r>
      <w:r w:rsidRPr="00BD16B4">
        <w:rPr>
          <w:rFonts w:cs="Calibri"/>
        </w:rPr>
        <w:t>alpacas,</w:t>
      </w:r>
      <w:r w:rsidRPr="00BD16B4">
        <w:rPr>
          <w:rFonts w:cs="Calibri"/>
          <w:i/>
          <w:iCs/>
        </w:rPr>
        <w:t xml:space="preserve"> Mules and asses</w:t>
      </w:r>
      <w:r w:rsidRPr="00BD16B4">
        <w:rPr>
          <w:rFonts w:cs="Calibri"/>
        </w:rPr>
        <w:t xml:space="preserve"> </w:t>
      </w:r>
      <w:r w:rsidRPr="00BD16B4">
        <w:rPr>
          <w:rFonts w:cs="Calibri"/>
          <w:spacing w:val="-2"/>
        </w:rPr>
        <w:t xml:space="preserve">and </w:t>
      </w:r>
      <w:r w:rsidRPr="00BD16B4">
        <w:rPr>
          <w:rFonts w:cs="Calibri"/>
          <w:i/>
          <w:iCs/>
          <w:spacing w:val="-2"/>
        </w:rPr>
        <w:t xml:space="preserve">Poultry </w:t>
      </w:r>
      <w:r w:rsidRPr="00BD16B4">
        <w:rPr>
          <w:rFonts w:cs="Calibri"/>
          <w:spacing w:val="-2"/>
        </w:rPr>
        <w:t>(‘minor’ livestock categories) account for only 0.5 per cent of agriculture emissions,</w:t>
      </w:r>
      <w:r w:rsidRPr="00BD16B4">
        <w:rPr>
          <w:rFonts w:cs="Calibri"/>
        </w:rPr>
        <w:t xml:space="preserve"> and are estimated using Tier 1 methodologies with some Tier 2 components. As such, most of New Zealand’s reported agricultural emissions are calculated using Tier 2 methodology.</w:t>
      </w:r>
    </w:p>
    <w:p w14:paraId="24602744" w14:textId="77777777" w:rsidR="009C7728" w:rsidRPr="00BD16B4" w:rsidRDefault="009C7728" w:rsidP="009C7728">
      <w:pPr>
        <w:pStyle w:val="BodyText"/>
      </w:pPr>
      <w:r w:rsidRPr="00BD16B4">
        <w:t>Further technical details on emissions calculations are provided in MPI’s inventory methodology document</w:t>
      </w:r>
      <w:r w:rsidRPr="00BD16B4">
        <w:rPr>
          <w:rStyle w:val="FootnoteReference"/>
        </w:rPr>
        <w:footnoteReference w:id="593"/>
      </w:r>
      <w:r w:rsidRPr="00BD16B4">
        <w:t xml:space="preserve"> and in the methodological issues section for each category in the inventory report.</w:t>
      </w:r>
      <w:r w:rsidRPr="00BD16B4">
        <w:rPr>
          <w:rStyle w:val="FootnoteReference"/>
        </w:rPr>
        <w:footnoteReference w:id="594"/>
      </w:r>
      <w:r w:rsidRPr="00BD16B4">
        <w:t xml:space="preserve"> The approach for determining livestock nutritional and energy requirements, which is required to calculate </w:t>
      </w:r>
      <w:r w:rsidRPr="00BD16B4">
        <w:rPr>
          <w:i/>
          <w:iCs/>
        </w:rPr>
        <w:t>Enteric fermentation</w:t>
      </w:r>
      <w:r w:rsidRPr="00BD16B4">
        <w:t xml:space="preserve"> emissions and nitrogen excreted by livestock as the precursor for calculating </w:t>
      </w:r>
      <w:r w:rsidRPr="00BD16B4">
        <w:rPr>
          <w:i/>
          <w:iCs/>
        </w:rPr>
        <w:t>Manure management</w:t>
      </w:r>
      <w:r w:rsidRPr="00BD16B4">
        <w:t xml:space="preserve"> (and some </w:t>
      </w:r>
      <w:r w:rsidRPr="00BD16B4">
        <w:rPr>
          <w:i/>
          <w:iCs/>
        </w:rPr>
        <w:t>Agricultural soils emissions</w:t>
      </w:r>
      <w:r w:rsidRPr="00BD16B4">
        <w:t>), is also described in the inventory report.</w:t>
      </w:r>
      <w:r w:rsidRPr="00BD16B4">
        <w:rPr>
          <w:rStyle w:val="FootnoteReference"/>
        </w:rPr>
        <w:footnoteReference w:id="595"/>
      </w:r>
    </w:p>
    <w:p w14:paraId="17CF1733" w14:textId="77777777" w:rsidR="009C7728" w:rsidRPr="00BD16B4" w:rsidRDefault="009C7728" w:rsidP="004E1B8C">
      <w:pPr>
        <w:pStyle w:val="Heading4"/>
      </w:pPr>
      <w:r w:rsidRPr="00BD16B4">
        <w:t>Land use, land-use change and forestry</w:t>
      </w:r>
    </w:p>
    <w:p w14:paraId="7EB9BB8B" w14:textId="77777777" w:rsidR="009C7728" w:rsidRPr="00BD16B4" w:rsidRDefault="009C7728" w:rsidP="009C7728">
      <w:pPr>
        <w:pStyle w:val="BodyText"/>
        <w:spacing w:before="100" w:after="100"/>
      </w:pPr>
      <w:r w:rsidRPr="00BD16B4">
        <w:t xml:space="preserve">New Zealand uses a combination of Tier 1, Tier 2 and Tier 3 methods, as described in the 2006 IPCC Guidelines, for estimating net emissions for the LULUCF sector. A Tier 1 approach has been used to estimate carbon stock change in the four biomass pools (above-ground and below-ground biomass, dead wood and litter) for all land uses except </w:t>
      </w:r>
      <w:r w:rsidRPr="00BD16B4">
        <w:rPr>
          <w:i/>
        </w:rPr>
        <w:t>Forest land</w:t>
      </w:r>
      <w:r w:rsidRPr="00BD16B4">
        <w:t xml:space="preserve">, </w:t>
      </w:r>
      <w:r w:rsidRPr="00BD16B4">
        <w:rPr>
          <w:i/>
          <w:iCs/>
        </w:rPr>
        <w:t>Perennial cropland</w:t>
      </w:r>
      <w:r w:rsidRPr="00BD16B4">
        <w:t xml:space="preserve"> and </w:t>
      </w:r>
      <w:r w:rsidRPr="00BD16B4">
        <w:rPr>
          <w:i/>
          <w:iCs/>
        </w:rPr>
        <w:t>Grassland with woody biomass</w:t>
      </w:r>
      <w:r w:rsidRPr="00BD16B4">
        <w:t>, which use Tier 2 or Tier 3 approaches.</w:t>
      </w:r>
    </w:p>
    <w:p w14:paraId="365CB04B" w14:textId="77777777" w:rsidR="009C7728" w:rsidRPr="00BD16B4" w:rsidRDefault="009C7728" w:rsidP="009C7728">
      <w:pPr>
        <w:pStyle w:val="BodyText"/>
        <w:spacing w:before="100" w:after="100"/>
      </w:pPr>
      <w:r w:rsidRPr="00BD16B4">
        <w:lastRenderedPageBreak/>
        <w:t>For all land uses, Tier 1 approaches are used to estimate carbon stock changes in organic soils, and a Tier 2 modelling approach is applied to estimate soil organic carbon changes from mineral soils. This model is described in more detail under ‘Mineral soils’ in annex A3.2.4 of the inventory report.</w:t>
      </w:r>
      <w:r w:rsidRPr="00BD16B4">
        <w:rPr>
          <w:rStyle w:val="FootnoteReference"/>
        </w:rPr>
        <w:footnoteReference w:id="596"/>
      </w:r>
    </w:p>
    <w:p w14:paraId="1CE3FD32" w14:textId="77777777" w:rsidR="009C7728" w:rsidRPr="00BD16B4" w:rsidRDefault="009C7728" w:rsidP="009C7728">
      <w:pPr>
        <w:pStyle w:val="BodyText"/>
        <w:spacing w:before="100" w:after="100"/>
      </w:pPr>
      <w:r w:rsidRPr="00BD16B4">
        <w:t>New Zealand’s forests are disaggregated into four reporting categories to represent the different growth characteristics of the forest types more accurately: pre-1990 planted forest, pre-1990 natural forest, post-1989 planted forest and post-1989 natural forest. The terms ‘post-1989’ and ‘pre-1990’ distinguish between forests that existed at 31 December 1989 and those that did not. The terms ‘natural’ and ‘planted’ forest are used to identify whether the trees were established from natural regeneration or from managed planting. The term ‘harvesting’ refers to temporary forest loss as part of ongoing forestry land use, whereas ‘deforestation’ refers to permanent destocking of forest as a result of land-use change.</w:t>
      </w:r>
    </w:p>
    <w:p w14:paraId="717539BB" w14:textId="77777777" w:rsidR="009C7728" w:rsidRPr="00BD16B4" w:rsidRDefault="009C7728" w:rsidP="009C7728">
      <w:pPr>
        <w:pStyle w:val="BodyText"/>
      </w:pPr>
      <w:r w:rsidRPr="00BD16B4">
        <w:t xml:space="preserve">Similarly, the species compositions reported in the </w:t>
      </w:r>
      <w:r w:rsidRPr="00BD16B4">
        <w:rPr>
          <w:i/>
          <w:iCs/>
        </w:rPr>
        <w:t>Grassland</w:t>
      </w:r>
      <w:r w:rsidRPr="00BD16B4">
        <w:t xml:space="preserve"> category are diverse, ranging from different grass types to woody trees that do not meet New Zealand’s forest definition. To allow for this, the </w:t>
      </w:r>
      <w:r w:rsidRPr="00BD16B4">
        <w:rPr>
          <w:i/>
          <w:iCs/>
        </w:rPr>
        <w:t>Grassland</w:t>
      </w:r>
      <w:r w:rsidRPr="00BD16B4">
        <w:t xml:space="preserve"> category is divided into four types for modelling the emissions from land-use change.</w:t>
      </w:r>
    </w:p>
    <w:p w14:paraId="3934C195" w14:textId="77777777" w:rsidR="009C7728" w:rsidRPr="00BD16B4" w:rsidRDefault="009C7728" w:rsidP="004E1B8C">
      <w:pPr>
        <w:pStyle w:val="Heading4"/>
      </w:pPr>
      <w:r w:rsidRPr="00BD16B4">
        <w:t>Waste</w:t>
      </w:r>
    </w:p>
    <w:p w14:paraId="37F33457" w14:textId="77777777" w:rsidR="009C7728" w:rsidRPr="00BD16B4" w:rsidRDefault="009C7728" w:rsidP="009C7728">
      <w:pPr>
        <w:pStyle w:val="BodyText"/>
      </w:pPr>
      <w:r w:rsidRPr="00BD16B4">
        <w:t>Activity data have come from a variety of sources. Municipal solid waste disposal data, from mandatory reporting under the Waste Minimisation Act 2008 and from the NZ ETS, were used for the years for which they are available (2010 onwards). Activity data for all other sources were based on specific surveys. Interpolation based on gross domestic product (GDP) or population is used for other years.</w:t>
      </w:r>
    </w:p>
    <w:p w14:paraId="082BC4D3" w14:textId="77777777" w:rsidR="009C7728" w:rsidRPr="00BD16B4" w:rsidRDefault="009C7728" w:rsidP="009C7728">
      <w:pPr>
        <w:pStyle w:val="BodyText"/>
      </w:pPr>
      <w:r w:rsidRPr="00BD16B4">
        <w:t xml:space="preserve">New Zealand uses Tier 2 methodologies for estimating emissions from the </w:t>
      </w:r>
      <w:r w:rsidRPr="00BD16B4">
        <w:rPr>
          <w:i/>
          <w:iCs/>
        </w:rPr>
        <w:t>Solid waste disposal</w:t>
      </w:r>
      <w:r w:rsidRPr="00BD16B4">
        <w:t xml:space="preserve"> source category, which is a key category, and for some wastewater emissions. Tier 1 methods are used to estimate other emissions from the waste sector.</w:t>
      </w:r>
    </w:p>
    <w:p w14:paraId="122A969E" w14:textId="77777777" w:rsidR="009C7728" w:rsidRPr="00BD16B4" w:rsidRDefault="009C7728" w:rsidP="009C7728">
      <w:pPr>
        <w:pStyle w:val="BodyText"/>
      </w:pPr>
      <w:r w:rsidRPr="00BD16B4">
        <w:t>Country-specific emission factors have been used where available, including parameters for municipal waste</w:t>
      </w:r>
      <w:r w:rsidRPr="00BD16B4">
        <w:rPr>
          <w:rStyle w:val="FootnoteReference"/>
        </w:rPr>
        <w:footnoteReference w:id="597"/>
      </w:r>
      <w:r w:rsidRPr="00BD16B4">
        <w:t xml:space="preserve"> and for treatment of some types of industrial wastewater.</w:t>
      </w:r>
      <w:r w:rsidRPr="00BD16B4">
        <w:rPr>
          <w:rStyle w:val="FootnoteReference"/>
        </w:rPr>
        <w:footnoteReference w:id="598"/>
      </w:r>
    </w:p>
    <w:p w14:paraId="06E0D536" w14:textId="77777777" w:rsidR="009C7728" w:rsidRPr="00BD16B4" w:rsidRDefault="009C7728" w:rsidP="009C7728">
      <w:pPr>
        <w:pStyle w:val="BodyText"/>
      </w:pPr>
      <w:r w:rsidRPr="00BD16B4">
        <w:t>Methodological issues are discussed under each source category in the waste chapter of the inventory report.</w:t>
      </w:r>
      <w:r w:rsidRPr="00BD16B4">
        <w:rPr>
          <w:rStyle w:val="FootnoteReference"/>
        </w:rPr>
        <w:footnoteReference w:id="599"/>
      </w:r>
    </w:p>
    <w:p w14:paraId="7A6039BA" w14:textId="77777777" w:rsidR="009C7728" w:rsidRPr="00BD16B4" w:rsidRDefault="009C7728" w:rsidP="009C7728">
      <w:pPr>
        <w:pStyle w:val="BodyText"/>
      </w:pPr>
      <w:r w:rsidRPr="00BD16B4">
        <w:t>Country-specific emission factors have been used where available, including parameters for municipal waste and for treatment of some types of industrial wastewater.</w:t>
      </w:r>
    </w:p>
    <w:p w14:paraId="58938EDA" w14:textId="77777777" w:rsidR="009C7728" w:rsidRPr="00BD16B4" w:rsidRDefault="009C7728" w:rsidP="009C7728">
      <w:pPr>
        <w:pStyle w:val="Heading3"/>
      </w:pPr>
      <w:r w:rsidRPr="00BD16B4">
        <w:lastRenderedPageBreak/>
        <w:t>Process and results of key category identification</w:t>
      </w:r>
    </w:p>
    <w:p w14:paraId="2FDC2BD2" w14:textId="77777777" w:rsidR="009C7728" w:rsidRPr="00BD16B4" w:rsidRDefault="009C7728" w:rsidP="009C7728">
      <w:pPr>
        <w:pStyle w:val="BodyText"/>
      </w:pPr>
      <w:r w:rsidRPr="00BD16B4">
        <w:t xml:space="preserve">The 2006 IPCC Guidelines identify a key category as: </w:t>
      </w:r>
    </w:p>
    <w:p w14:paraId="2C89DCF9" w14:textId="77777777" w:rsidR="009C7728" w:rsidRPr="00BD16B4" w:rsidRDefault="009C7728" w:rsidP="009C7728">
      <w:pPr>
        <w:pStyle w:val="Quote"/>
        <w:spacing w:before="0" w:after="120"/>
      </w:pPr>
      <w:r w:rsidRPr="00BD16B4">
        <w:t>…one that is prioritised within the National Inventory System because its estimate has a significant influence on a country’s total Inventory of direct greenhouse gases in terms of the absolute level of emissions, the trend in emissions, or both.</w:t>
      </w:r>
      <w:r w:rsidRPr="00BD16B4">
        <w:rPr>
          <w:rStyle w:val="FootnoteReference"/>
        </w:rPr>
        <w:footnoteReference w:id="600"/>
      </w:r>
      <w:r w:rsidRPr="00BD16B4">
        <w:t xml:space="preserve"> </w:t>
      </w:r>
    </w:p>
    <w:p w14:paraId="3FEF1373" w14:textId="77777777" w:rsidR="009C7728" w:rsidRPr="00BD16B4" w:rsidRDefault="009C7728" w:rsidP="009C7728">
      <w:pPr>
        <w:pStyle w:val="BodyText"/>
      </w:pPr>
      <w:r w:rsidRPr="00BD16B4">
        <w:t>Key categories identified within the inventory are used to prioritise inventory improvements.</w:t>
      </w:r>
    </w:p>
    <w:p w14:paraId="51C9F832" w14:textId="77777777" w:rsidR="009C7728" w:rsidRPr="00BD16B4" w:rsidRDefault="009C7728" w:rsidP="009C7728">
      <w:pPr>
        <w:pStyle w:val="BodyText"/>
      </w:pPr>
      <w:r w:rsidRPr="00BD16B4">
        <w:t xml:space="preserve">As some categories in the inventory apply default uncertainty values for emissions estimates and developing country-specific uncertainty values is resource-prohibitive, the key categories in the inventory have been assessed using the Approach 1 level (L1) and Approach 1 trend (T1) methodologies from the 2006 IPCC Guidelines. The key category analysis identifies key categories of emissions and removals as those that sum to 95 per cent of the gross or net level of emissions and those that are within the top 95 per cent of the categories that contribute to the change between 1990 and the latest emission year, or the trend of emissions. </w:t>
      </w:r>
    </w:p>
    <w:p w14:paraId="4C4372B3" w14:textId="77777777" w:rsidR="009C7728" w:rsidRPr="00BD16B4" w:rsidRDefault="009C7728" w:rsidP="009C7728">
      <w:pPr>
        <w:pStyle w:val="BodyText"/>
      </w:pPr>
      <w:r w:rsidRPr="00BD16B4">
        <w:t xml:space="preserve">The key categories identified in the 2020 year are summarised in annex 1 of the inventory report. In accordance with the 2006 IPCC Guidelines, the key category analysis is performed once for the inventory excluding the LULUCF sector and then repeated for the inventory including the LULUCF sector. Non-LULUCF categories that are identified as key in the first analysis are still counted even when they are not identified as a key category when the LULUCF sector is included. </w:t>
      </w:r>
    </w:p>
    <w:p w14:paraId="52942361" w14:textId="77777777" w:rsidR="009C7728" w:rsidRPr="00BD16B4" w:rsidRDefault="009C7728" w:rsidP="009C7728">
      <w:pPr>
        <w:pStyle w:val="BodyText"/>
      </w:pPr>
      <w:r w:rsidRPr="00BD16B4">
        <w:t>The key category analysis performed for the National Inventory Report differs from that produced in the CRF tables, as the level of aggregation of categories is adjusted to better reflect New Zealand’s emissions profile. Specifically, a large proportion of emissions from the energy and agriculture sectors are disaggregated further than the key category analysis generated in the CRF tables, to allow for a more evenly proportioned analysis of categories.</w:t>
      </w:r>
    </w:p>
    <w:p w14:paraId="181E1EBA" w14:textId="77777777" w:rsidR="009C7728" w:rsidRPr="00BD16B4" w:rsidRDefault="009C7728" w:rsidP="009C7728">
      <w:pPr>
        <w:pStyle w:val="Heading3"/>
      </w:pPr>
      <w:r w:rsidRPr="00BD16B4">
        <w:t>Recalculation of previously submitted inventory data</w:t>
      </w:r>
    </w:p>
    <w:p w14:paraId="568D7AEB" w14:textId="77777777" w:rsidR="009C7728" w:rsidRPr="00BD16B4" w:rsidRDefault="009C7728" w:rsidP="009C7728">
      <w:pPr>
        <w:pStyle w:val="BodyText"/>
      </w:pPr>
      <w:r w:rsidRPr="00BD16B4">
        <w:t>Activity data, emission factors, methods and modelling techniques used in the inventory compilation process may be refined as government agencies and consultants identify areas for improvement. Recalculations that may result from the improvement process are regarded as a standard element of inventory compilation. Specifically, recalculations of estimates reported in the previous submission of the inventory are due to improvements in:</w:t>
      </w:r>
    </w:p>
    <w:p w14:paraId="0CB16FCD" w14:textId="77777777" w:rsidR="009C7728" w:rsidRPr="00BD16B4" w:rsidRDefault="009C7728" w:rsidP="009C7728">
      <w:pPr>
        <w:pStyle w:val="Bullet"/>
      </w:pPr>
      <w:r w:rsidRPr="00BD16B4">
        <w:t>activity data</w:t>
      </w:r>
    </w:p>
    <w:p w14:paraId="0E1ACA91" w14:textId="77777777" w:rsidR="009C7728" w:rsidRPr="00BD16B4" w:rsidRDefault="009C7728" w:rsidP="009C7728">
      <w:pPr>
        <w:pStyle w:val="Bullet"/>
      </w:pPr>
      <w:r w:rsidRPr="00BD16B4">
        <w:t>parameters for estimating emissions and removals, including emission and removal factors</w:t>
      </w:r>
    </w:p>
    <w:p w14:paraId="34D9CDE8" w14:textId="77777777" w:rsidR="009C7728" w:rsidRPr="00BD16B4" w:rsidRDefault="009C7728" w:rsidP="009C7728">
      <w:pPr>
        <w:pStyle w:val="Bullet"/>
      </w:pPr>
      <w:r w:rsidRPr="00BD16B4">
        <w:t>methodology, including correcting errors</w:t>
      </w:r>
    </w:p>
    <w:p w14:paraId="22BCFDB9" w14:textId="77777777" w:rsidR="009C7728" w:rsidRPr="00BD16B4" w:rsidRDefault="009C7728" w:rsidP="009C7728">
      <w:pPr>
        <w:pStyle w:val="Bullet"/>
      </w:pPr>
      <w:r w:rsidRPr="00BD16B4">
        <w:t>the availability of activity data and emission factors for certain sources that were previously reported as not estimated</w:t>
      </w:r>
      <w:r w:rsidRPr="00BD16B4" w:rsidDel="007B0C12">
        <w:t xml:space="preserve"> </w:t>
      </w:r>
      <w:r w:rsidRPr="00BD16B4">
        <w:t>because of insufficient data.</w:t>
      </w:r>
    </w:p>
    <w:p w14:paraId="475E5DC6" w14:textId="77777777" w:rsidR="009C7728" w:rsidRPr="00BD16B4" w:rsidRDefault="009C7728" w:rsidP="009C7728">
      <w:pPr>
        <w:pStyle w:val="BodyText"/>
      </w:pPr>
      <w:r w:rsidRPr="00BD16B4">
        <w:lastRenderedPageBreak/>
        <w:t xml:space="preserve">Before the annual inventory is compiled, areas for improvement are identified at a planning session. The quality assurance and quality control (QA/QC) plan is reviewed annually during the inventory debrief and planning phase. </w:t>
      </w:r>
    </w:p>
    <w:p w14:paraId="0A405E48" w14:textId="77777777" w:rsidR="009C7728" w:rsidRPr="00BD16B4" w:rsidRDefault="009C7728" w:rsidP="009C7728">
      <w:pPr>
        <w:pStyle w:val="BodyText"/>
      </w:pPr>
      <w:r w:rsidRPr="00BD16B4">
        <w:t>Planned recalculations and improvements for the inventory are subject to approval by the Reporting Governance Group. All recalculations must be approved before changes are made to the inventory data tables.</w:t>
      </w:r>
    </w:p>
    <w:p w14:paraId="626DB277" w14:textId="77777777" w:rsidR="009C7728" w:rsidRPr="00BD16B4" w:rsidRDefault="009C7728" w:rsidP="009C7728">
      <w:pPr>
        <w:pStyle w:val="Heading3"/>
      </w:pPr>
      <w:r w:rsidRPr="00BD16B4">
        <w:t>QA/QC plan, quality objectives, internal and external evaluation and review processes and their results</w:t>
      </w:r>
    </w:p>
    <w:p w14:paraId="256475EB" w14:textId="77777777" w:rsidR="009C7728" w:rsidRPr="00BD16B4" w:rsidRDefault="009C7728" w:rsidP="004E1B8C">
      <w:pPr>
        <w:pStyle w:val="Heading4"/>
      </w:pPr>
      <w:bookmarkStart w:id="475" w:name="_Toc195322633"/>
      <w:bookmarkStart w:id="476" w:name="_Toc226118027"/>
      <w:r w:rsidRPr="00BD16B4">
        <w:t>Quality assurance and quality control</w:t>
      </w:r>
      <w:bookmarkEnd w:id="475"/>
      <w:bookmarkEnd w:id="476"/>
      <w:r w:rsidRPr="00BD16B4">
        <w:t xml:space="preserve"> plan</w:t>
      </w:r>
    </w:p>
    <w:p w14:paraId="1A0C876C" w14:textId="77777777" w:rsidR="009C7728" w:rsidRPr="00BD16B4" w:rsidRDefault="009C7728" w:rsidP="009C7728">
      <w:pPr>
        <w:pStyle w:val="Heading5"/>
      </w:pPr>
      <w:r w:rsidRPr="00BD16B4">
        <w:t>Overview</w:t>
      </w:r>
    </w:p>
    <w:p w14:paraId="6DB405E9" w14:textId="77777777" w:rsidR="009C7728" w:rsidRPr="00BD16B4" w:rsidRDefault="009C7728" w:rsidP="009C7728">
      <w:pPr>
        <w:pStyle w:val="BodyText"/>
      </w:pPr>
      <w:r w:rsidRPr="00BD16B4">
        <w:t>Quality assurance and quality control are integral parts of preparing New Zealand’s inventory. QA/QC procedures are documented in a QA/QC plan in line with requirements.</w:t>
      </w:r>
      <w:r w:rsidRPr="00BD16B4">
        <w:rPr>
          <w:rStyle w:val="FootnoteReference"/>
        </w:rPr>
        <w:footnoteReference w:id="601"/>
      </w:r>
      <w:r w:rsidRPr="00BD16B4">
        <w:rPr>
          <w:vertAlign w:val="superscript"/>
        </w:rPr>
        <w:t xml:space="preserve">, </w:t>
      </w:r>
      <w:r w:rsidRPr="00BD16B4">
        <w:rPr>
          <w:rStyle w:val="FootnoteReference"/>
        </w:rPr>
        <w:footnoteReference w:id="602"/>
      </w:r>
      <w:r w:rsidRPr="00BD16B4">
        <w:t xml:space="preserve"> Details of </w:t>
      </w:r>
      <w:r w:rsidRPr="00BD16B4">
        <w:rPr>
          <w:spacing w:val="-2"/>
        </w:rPr>
        <w:t>the QA/QC activities performed during the compilation of the 2022 submission are discussed in</w:t>
      </w:r>
      <w:r w:rsidRPr="00BD16B4">
        <w:t xml:space="preserve"> </w:t>
      </w:r>
      <w:r w:rsidRPr="00BD16B4">
        <w:rPr>
          <w:spacing w:val="-2"/>
        </w:rPr>
        <w:t>the relevant sections of the inventory.</w:t>
      </w:r>
      <w:r w:rsidRPr="00BD16B4">
        <w:rPr>
          <w:rStyle w:val="FootnoteReference"/>
          <w:spacing w:val="-2"/>
        </w:rPr>
        <w:footnoteReference w:id="603"/>
      </w:r>
      <w:r w:rsidRPr="00BD16B4">
        <w:rPr>
          <w:spacing w:val="-2"/>
        </w:rPr>
        <w:t xml:space="preserve"> Examples of QC checks are available to view on request</w:t>
      </w:r>
      <w:r w:rsidRPr="00BD16B4">
        <w:t>.</w:t>
      </w:r>
    </w:p>
    <w:p w14:paraId="2E53A705" w14:textId="77777777" w:rsidR="009C7728" w:rsidRPr="00BD16B4" w:rsidRDefault="009C7728" w:rsidP="009C7728">
      <w:pPr>
        <w:pStyle w:val="BodyText"/>
      </w:pPr>
      <w:r w:rsidRPr="00BD16B4">
        <w:t>The QA/QC processes have a significant role in the preparation of the inventory to ensure the core principles of transparency, accuracy, completeness, comparability and consistency are achieved. Table B.1 describes the key QA/QC processes used in the preparation of the inventory. These processes are under continual review and improvement to ensure they are fit for purpose.</w:t>
      </w:r>
    </w:p>
    <w:p w14:paraId="5A3B2988" w14:textId="55B6D29B" w:rsidR="009C7728" w:rsidRPr="00BD16B4" w:rsidRDefault="009C7728" w:rsidP="009C7728">
      <w:pPr>
        <w:pStyle w:val="Tableheading"/>
      </w:pPr>
      <w:bookmarkStart w:id="477" w:name="_Toc451176242"/>
      <w:bookmarkStart w:id="478" w:name="_Toc481751675"/>
      <w:bookmarkStart w:id="479" w:name="_Toc498517185"/>
      <w:bookmarkStart w:id="480" w:name="_Toc500767059"/>
      <w:bookmarkStart w:id="481" w:name="_Toc121773836"/>
      <w:r w:rsidRPr="00BD16B4">
        <w:t>Table B.</w:t>
      </w:r>
      <w:r w:rsidRPr="00BD16B4">
        <w:fldChar w:fldCharType="begin"/>
      </w:r>
      <w:r w:rsidRPr="00BD16B4">
        <w:instrText>SEQ Table_B. \* ARABIC</w:instrText>
      </w:r>
      <w:r w:rsidRPr="00BD16B4">
        <w:fldChar w:fldCharType="separate"/>
      </w:r>
      <w:r w:rsidR="00A60C35">
        <w:rPr>
          <w:noProof/>
        </w:rPr>
        <w:t>1</w:t>
      </w:r>
      <w:r w:rsidRPr="00BD16B4">
        <w:fldChar w:fldCharType="end"/>
      </w:r>
      <w:r w:rsidRPr="00BD16B4">
        <w:t>:</w:t>
      </w:r>
      <w:r w:rsidRPr="00BD16B4">
        <w:tab/>
        <w:t>Quality assurance and quality control processes used in preparation of the </w:t>
      </w:r>
      <w:bookmarkEnd w:id="477"/>
      <w:r w:rsidRPr="00BD16B4">
        <w:t>inventory</w:t>
      </w:r>
      <w:bookmarkEnd w:id="478"/>
      <w:bookmarkEnd w:id="479"/>
      <w:bookmarkEnd w:id="480"/>
      <w:bookmarkEnd w:id="481"/>
    </w:p>
    <w:tbl>
      <w:tblPr>
        <w:tblW w:w="8505" w:type="dxa"/>
        <w:tblInd w:w="108"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CellMar>
          <w:left w:w="85" w:type="dxa"/>
          <w:right w:w="85" w:type="dxa"/>
        </w:tblCellMar>
        <w:tblLook w:val="04A0" w:firstRow="1" w:lastRow="0" w:firstColumn="1" w:lastColumn="0" w:noHBand="0" w:noVBand="1"/>
      </w:tblPr>
      <w:tblGrid>
        <w:gridCol w:w="2286"/>
        <w:gridCol w:w="6219"/>
      </w:tblGrid>
      <w:tr w:rsidR="009C7728" w:rsidRPr="00BD16B4" w14:paraId="3387697B" w14:textId="77777777" w:rsidTr="004A205F">
        <w:trPr>
          <w:tblHeader/>
        </w:trPr>
        <w:tc>
          <w:tcPr>
            <w:tcW w:w="1344" w:type="pct"/>
            <w:tcBorders>
              <w:right w:val="nil"/>
            </w:tcBorders>
            <w:shd w:val="clear" w:color="auto" w:fill="1C556C"/>
          </w:tcPr>
          <w:p w14:paraId="2AB52185" w14:textId="77777777" w:rsidR="009C7728" w:rsidRPr="00BD16B4" w:rsidRDefault="009C7728" w:rsidP="004A205F">
            <w:pPr>
              <w:pStyle w:val="TableTextbold"/>
              <w:spacing w:before="50" w:after="50"/>
              <w:rPr>
                <w:rFonts w:eastAsia="Calibri"/>
                <w:color w:val="FFFFFF" w:themeColor="background1"/>
                <w:highlight w:val="yellow"/>
              </w:rPr>
            </w:pPr>
            <w:r w:rsidRPr="00BD16B4">
              <w:rPr>
                <w:color w:val="FFFFFF" w:themeColor="background1"/>
              </w:rPr>
              <w:t>ID</w:t>
            </w:r>
          </w:p>
        </w:tc>
        <w:tc>
          <w:tcPr>
            <w:tcW w:w="3656" w:type="pct"/>
            <w:tcBorders>
              <w:left w:val="nil"/>
            </w:tcBorders>
            <w:shd w:val="clear" w:color="auto" w:fill="1C556C"/>
            <w:noWrap/>
          </w:tcPr>
          <w:p w14:paraId="01D3C05D" w14:textId="77777777" w:rsidR="009C7728" w:rsidRPr="00BD16B4" w:rsidRDefault="009C7728" w:rsidP="004A205F">
            <w:pPr>
              <w:pStyle w:val="TableTextbold"/>
              <w:spacing w:before="50" w:after="50"/>
              <w:rPr>
                <w:rFonts w:eastAsia="Calibri"/>
                <w:color w:val="FFFFFF" w:themeColor="background1"/>
                <w:highlight w:val="yellow"/>
              </w:rPr>
            </w:pPr>
            <w:r w:rsidRPr="00BD16B4">
              <w:rPr>
                <w:color w:val="FFFFFF" w:themeColor="background1"/>
              </w:rPr>
              <w:t>QA/QC process or activity description</w:t>
            </w:r>
          </w:p>
        </w:tc>
      </w:tr>
      <w:tr w:rsidR="009C7728" w:rsidRPr="00BD16B4" w14:paraId="26C7FD1D" w14:textId="77777777" w:rsidTr="004A205F">
        <w:trPr>
          <w:trHeight w:val="217"/>
        </w:trPr>
        <w:tc>
          <w:tcPr>
            <w:tcW w:w="1344" w:type="pct"/>
            <w:tcBorders>
              <w:top w:val="single" w:sz="4" w:space="0" w:color="1C556C" w:themeColor="accent1"/>
              <w:bottom w:val="single" w:sz="4" w:space="0" w:color="1C556C" w:themeColor="accent1"/>
              <w:right w:val="single" w:sz="4" w:space="0" w:color="1C556C" w:themeColor="accent1"/>
            </w:tcBorders>
          </w:tcPr>
          <w:p w14:paraId="6CE66847" w14:textId="77777777" w:rsidR="009C7728" w:rsidRPr="00BD16B4" w:rsidRDefault="009C7728" w:rsidP="004A205F">
            <w:pPr>
              <w:pStyle w:val="TableText"/>
              <w:spacing w:before="50" w:after="50"/>
            </w:pPr>
            <w:r w:rsidRPr="00BD16B4">
              <w:t>QA file</w:t>
            </w:r>
          </w:p>
        </w:tc>
        <w:tc>
          <w:tcPr>
            <w:tcW w:w="3656" w:type="pct"/>
            <w:tcBorders>
              <w:top w:val="single" w:sz="4" w:space="0" w:color="1C556C" w:themeColor="accent1"/>
              <w:left w:val="single" w:sz="4" w:space="0" w:color="1C556C" w:themeColor="accent1"/>
              <w:bottom w:val="single" w:sz="4" w:space="0" w:color="1C556C" w:themeColor="accent1"/>
            </w:tcBorders>
            <w:shd w:val="clear" w:color="auto" w:fill="auto"/>
            <w:noWrap/>
          </w:tcPr>
          <w:p w14:paraId="5E3B5F68" w14:textId="77777777" w:rsidR="009C7728" w:rsidRPr="00BD16B4" w:rsidRDefault="009C7728" w:rsidP="004A205F">
            <w:pPr>
              <w:pStyle w:val="TableText"/>
              <w:spacing w:before="50" w:after="50"/>
            </w:pPr>
            <w:r w:rsidRPr="00BD16B4">
              <w:t>All external reviews of the whole or part of the inventory are documented in the QA file.</w:t>
            </w:r>
          </w:p>
        </w:tc>
      </w:tr>
      <w:tr w:rsidR="009C7728" w:rsidRPr="00BD16B4" w14:paraId="086A0D19" w14:textId="77777777" w:rsidTr="004A205F">
        <w:trPr>
          <w:trHeight w:val="217"/>
        </w:trPr>
        <w:tc>
          <w:tcPr>
            <w:tcW w:w="1344" w:type="pct"/>
            <w:tcBorders>
              <w:top w:val="single" w:sz="4" w:space="0" w:color="1C556C" w:themeColor="accent1"/>
              <w:bottom w:val="single" w:sz="4" w:space="0" w:color="1C556C" w:themeColor="accent1"/>
              <w:right w:val="single" w:sz="4" w:space="0" w:color="1C556C" w:themeColor="accent1"/>
            </w:tcBorders>
          </w:tcPr>
          <w:p w14:paraId="6145FD54" w14:textId="77777777" w:rsidR="009C7728" w:rsidRPr="00BD16B4" w:rsidRDefault="009C7728" w:rsidP="004A205F">
            <w:pPr>
              <w:pStyle w:val="TableText"/>
              <w:spacing w:before="50" w:after="50"/>
            </w:pPr>
            <w:r w:rsidRPr="00BD16B4">
              <w:t>QC 1 Planned recalculations and improvements</w:t>
            </w:r>
          </w:p>
        </w:tc>
        <w:tc>
          <w:tcPr>
            <w:tcW w:w="3656" w:type="pct"/>
            <w:tcBorders>
              <w:top w:val="single" w:sz="4" w:space="0" w:color="1C556C" w:themeColor="accent1"/>
              <w:left w:val="single" w:sz="4" w:space="0" w:color="1C556C" w:themeColor="accent1"/>
              <w:bottom w:val="single" w:sz="4" w:space="0" w:color="1C556C" w:themeColor="accent1"/>
            </w:tcBorders>
            <w:shd w:val="clear" w:color="auto" w:fill="auto"/>
            <w:noWrap/>
          </w:tcPr>
          <w:p w14:paraId="55145768" w14:textId="77777777" w:rsidR="009C7728" w:rsidRPr="00BD16B4" w:rsidRDefault="009C7728" w:rsidP="004A205F">
            <w:pPr>
              <w:pStyle w:val="TableText"/>
              <w:spacing w:before="50" w:after="50"/>
            </w:pPr>
            <w:r w:rsidRPr="00BD16B4">
              <w:t>Planned recalculations and improvements are approved by the RGG.</w:t>
            </w:r>
          </w:p>
        </w:tc>
      </w:tr>
      <w:tr w:rsidR="009C7728" w:rsidRPr="00BD16B4" w14:paraId="7A6EFF65" w14:textId="77777777" w:rsidTr="004A205F">
        <w:trPr>
          <w:trHeight w:val="217"/>
        </w:trPr>
        <w:tc>
          <w:tcPr>
            <w:tcW w:w="1344" w:type="pct"/>
            <w:tcBorders>
              <w:top w:val="single" w:sz="4" w:space="0" w:color="1C556C" w:themeColor="accent1"/>
              <w:bottom w:val="single" w:sz="4" w:space="0" w:color="1C556C" w:themeColor="accent1"/>
              <w:right w:val="single" w:sz="4" w:space="0" w:color="1C556C" w:themeColor="accent1"/>
            </w:tcBorders>
          </w:tcPr>
          <w:p w14:paraId="6785232A" w14:textId="77777777" w:rsidR="009C7728" w:rsidRPr="00BD16B4" w:rsidRDefault="009C7728" w:rsidP="004A205F">
            <w:pPr>
              <w:pStyle w:val="TableText"/>
              <w:spacing w:before="50" w:after="50"/>
            </w:pPr>
            <w:r w:rsidRPr="00BD16B4">
              <w:t>QC 2 Planned improvements peer review</w:t>
            </w:r>
          </w:p>
        </w:tc>
        <w:tc>
          <w:tcPr>
            <w:tcW w:w="3656" w:type="pct"/>
            <w:tcBorders>
              <w:top w:val="single" w:sz="4" w:space="0" w:color="1C556C" w:themeColor="accent1"/>
              <w:left w:val="single" w:sz="4" w:space="0" w:color="1C556C" w:themeColor="accent1"/>
              <w:bottom w:val="single" w:sz="4" w:space="0" w:color="1C556C" w:themeColor="accent1"/>
            </w:tcBorders>
            <w:shd w:val="clear" w:color="auto" w:fill="auto"/>
            <w:noWrap/>
          </w:tcPr>
          <w:p w14:paraId="79A2ED1A" w14:textId="77777777" w:rsidR="009C7728" w:rsidRPr="00BD16B4" w:rsidRDefault="009C7728" w:rsidP="004A205F">
            <w:pPr>
              <w:pStyle w:val="TableText"/>
              <w:spacing w:before="50" w:after="50"/>
            </w:pPr>
            <w:r w:rsidRPr="00BD16B4">
              <w:t>Planned improvements are peer reviewed before being implemented, when they affect the emission factor, parameter, methodology or activity data source. Some sectors have a dedicated panel of experts that reviews improvements.</w:t>
            </w:r>
          </w:p>
        </w:tc>
      </w:tr>
      <w:tr w:rsidR="009C7728" w:rsidRPr="00BD16B4" w14:paraId="2B6050A2" w14:textId="77777777" w:rsidTr="004A205F">
        <w:trPr>
          <w:trHeight w:val="217"/>
        </w:trPr>
        <w:tc>
          <w:tcPr>
            <w:tcW w:w="1344" w:type="pct"/>
            <w:tcBorders>
              <w:top w:val="single" w:sz="4" w:space="0" w:color="1C556C" w:themeColor="accent1"/>
              <w:bottom w:val="single" w:sz="4" w:space="0" w:color="1C556C" w:themeColor="accent1"/>
              <w:right w:val="single" w:sz="4" w:space="0" w:color="1C556C" w:themeColor="accent1"/>
            </w:tcBorders>
          </w:tcPr>
          <w:p w14:paraId="0F48B6C3" w14:textId="77777777" w:rsidR="009C7728" w:rsidRPr="00BD16B4" w:rsidRDefault="009C7728" w:rsidP="004A205F">
            <w:pPr>
              <w:pStyle w:val="TableText"/>
              <w:spacing w:before="50" w:after="50"/>
            </w:pPr>
            <w:r w:rsidRPr="00BD16B4">
              <w:t>QC 3 check sheets</w:t>
            </w:r>
          </w:p>
        </w:tc>
        <w:tc>
          <w:tcPr>
            <w:tcW w:w="3656" w:type="pct"/>
            <w:tcBorders>
              <w:top w:val="single" w:sz="4" w:space="0" w:color="1C556C" w:themeColor="accent1"/>
              <w:left w:val="single" w:sz="4" w:space="0" w:color="1C556C" w:themeColor="accent1"/>
              <w:bottom w:val="single" w:sz="4" w:space="0" w:color="1C556C" w:themeColor="accent1"/>
            </w:tcBorders>
            <w:shd w:val="clear" w:color="auto" w:fill="auto"/>
            <w:noWrap/>
          </w:tcPr>
          <w:p w14:paraId="73980E0F" w14:textId="77777777" w:rsidR="009C7728" w:rsidRPr="00BD16B4" w:rsidRDefault="009C7728" w:rsidP="004A205F">
            <w:pPr>
              <w:pStyle w:val="TableText"/>
              <w:spacing w:before="50" w:after="50"/>
            </w:pPr>
            <w:r w:rsidRPr="00BD16B4">
              <w:t>QC check sheets are completed to ensure transparency, accuracy, completeness, comparability and consistency principles are met.</w:t>
            </w:r>
          </w:p>
        </w:tc>
      </w:tr>
      <w:tr w:rsidR="009C7728" w:rsidRPr="00BD16B4" w14:paraId="01A56248" w14:textId="77777777" w:rsidTr="004A205F">
        <w:trPr>
          <w:trHeight w:val="217"/>
        </w:trPr>
        <w:tc>
          <w:tcPr>
            <w:tcW w:w="1344" w:type="pct"/>
            <w:tcBorders>
              <w:top w:val="single" w:sz="4" w:space="0" w:color="1C556C" w:themeColor="accent1"/>
              <w:bottom w:val="single" w:sz="4" w:space="0" w:color="1C556C" w:themeColor="accent1"/>
              <w:right w:val="single" w:sz="4" w:space="0" w:color="1C556C" w:themeColor="accent1"/>
            </w:tcBorders>
          </w:tcPr>
          <w:p w14:paraId="29022202" w14:textId="77777777" w:rsidR="009C7728" w:rsidRPr="00BD16B4" w:rsidRDefault="009C7728" w:rsidP="004A205F">
            <w:pPr>
              <w:pStyle w:val="TableText"/>
              <w:spacing w:before="50" w:after="50"/>
            </w:pPr>
            <w:r w:rsidRPr="00BD16B4">
              <w:t>QC 4 Peer review</w:t>
            </w:r>
          </w:p>
        </w:tc>
        <w:tc>
          <w:tcPr>
            <w:tcW w:w="3656" w:type="pct"/>
            <w:tcBorders>
              <w:top w:val="single" w:sz="4" w:space="0" w:color="1C556C" w:themeColor="accent1"/>
              <w:left w:val="single" w:sz="4" w:space="0" w:color="1C556C" w:themeColor="accent1"/>
              <w:bottom w:val="single" w:sz="4" w:space="0" w:color="1C556C" w:themeColor="accent1"/>
            </w:tcBorders>
            <w:shd w:val="clear" w:color="auto" w:fill="auto"/>
            <w:noWrap/>
          </w:tcPr>
          <w:p w14:paraId="51DF6152" w14:textId="77777777" w:rsidR="009C7728" w:rsidRPr="00BD16B4" w:rsidRDefault="009C7728" w:rsidP="004A205F">
            <w:pPr>
              <w:pStyle w:val="TableText"/>
              <w:spacing w:before="50" w:after="50"/>
            </w:pPr>
            <w:r w:rsidRPr="00BD16B4">
              <w:t>The chapter text for each sector is peer reviewed and follows the checklist provided, to ensure that the peer review is comprehensive and consistent.</w:t>
            </w:r>
          </w:p>
        </w:tc>
      </w:tr>
      <w:tr w:rsidR="009C7728" w:rsidRPr="00BD16B4" w14:paraId="0B27D6AC" w14:textId="77777777" w:rsidTr="004A205F">
        <w:trPr>
          <w:trHeight w:val="217"/>
        </w:trPr>
        <w:tc>
          <w:tcPr>
            <w:tcW w:w="1344" w:type="pct"/>
            <w:tcBorders>
              <w:top w:val="single" w:sz="4" w:space="0" w:color="1C556C" w:themeColor="accent1"/>
              <w:bottom w:val="single" w:sz="4" w:space="0" w:color="1C556C" w:themeColor="accent1"/>
              <w:right w:val="single" w:sz="4" w:space="0" w:color="1C556C" w:themeColor="accent1"/>
            </w:tcBorders>
          </w:tcPr>
          <w:p w14:paraId="40B80F51" w14:textId="77777777" w:rsidR="009C7728" w:rsidRPr="00BD16B4" w:rsidRDefault="009C7728" w:rsidP="00D3471F">
            <w:pPr>
              <w:pStyle w:val="TableText"/>
              <w:keepNext/>
              <w:spacing w:before="50" w:after="50"/>
            </w:pPr>
            <w:r w:rsidRPr="00BD16B4">
              <w:lastRenderedPageBreak/>
              <w:t>QC 5 Recalculations</w:t>
            </w:r>
          </w:p>
        </w:tc>
        <w:tc>
          <w:tcPr>
            <w:tcW w:w="3656" w:type="pct"/>
            <w:tcBorders>
              <w:top w:val="single" w:sz="4" w:space="0" w:color="1C556C" w:themeColor="accent1"/>
              <w:left w:val="single" w:sz="4" w:space="0" w:color="1C556C" w:themeColor="accent1"/>
              <w:bottom w:val="single" w:sz="4" w:space="0" w:color="1C556C" w:themeColor="accent1"/>
            </w:tcBorders>
            <w:shd w:val="clear" w:color="auto" w:fill="auto"/>
            <w:noWrap/>
          </w:tcPr>
          <w:p w14:paraId="703061E1" w14:textId="77777777" w:rsidR="009C7728" w:rsidRPr="00BD16B4" w:rsidRDefault="009C7728" w:rsidP="004A205F">
            <w:pPr>
              <w:pStyle w:val="TableText"/>
              <w:spacing w:before="50" w:after="50"/>
            </w:pPr>
            <w:r w:rsidRPr="00BD16B4">
              <w:t>Recalculations that exceed a certain threshold are analysed and clearly documented.</w:t>
            </w:r>
          </w:p>
        </w:tc>
      </w:tr>
      <w:tr w:rsidR="009C7728" w:rsidRPr="00BD16B4" w14:paraId="2DCC2448" w14:textId="77777777" w:rsidTr="004A205F">
        <w:trPr>
          <w:trHeight w:val="217"/>
        </w:trPr>
        <w:tc>
          <w:tcPr>
            <w:tcW w:w="1344" w:type="pct"/>
            <w:tcBorders>
              <w:top w:val="single" w:sz="4" w:space="0" w:color="1C556C" w:themeColor="accent1"/>
              <w:bottom w:val="single" w:sz="4" w:space="0" w:color="1C556C" w:themeColor="accent1"/>
              <w:right w:val="single" w:sz="4" w:space="0" w:color="1C556C" w:themeColor="accent1"/>
            </w:tcBorders>
          </w:tcPr>
          <w:p w14:paraId="1263478C" w14:textId="77777777" w:rsidR="009C7728" w:rsidRPr="00BD16B4" w:rsidRDefault="009C7728" w:rsidP="004A205F">
            <w:pPr>
              <w:pStyle w:val="TableText"/>
              <w:spacing w:before="50" w:after="50"/>
            </w:pPr>
            <w:r w:rsidRPr="00BD16B4">
              <w:t>QC 7 Approval</w:t>
            </w:r>
          </w:p>
        </w:tc>
        <w:tc>
          <w:tcPr>
            <w:tcW w:w="3656" w:type="pct"/>
            <w:tcBorders>
              <w:top w:val="single" w:sz="4" w:space="0" w:color="1C556C" w:themeColor="accent1"/>
              <w:left w:val="single" w:sz="4" w:space="0" w:color="1C556C" w:themeColor="accent1"/>
              <w:bottom w:val="single" w:sz="4" w:space="0" w:color="1C556C" w:themeColor="accent1"/>
            </w:tcBorders>
            <w:shd w:val="clear" w:color="auto" w:fill="auto"/>
            <w:noWrap/>
          </w:tcPr>
          <w:p w14:paraId="05BC8F25" w14:textId="77777777" w:rsidR="009C7728" w:rsidRPr="00BD16B4" w:rsidRDefault="009C7728" w:rsidP="004A205F">
            <w:pPr>
              <w:pStyle w:val="TableText"/>
              <w:spacing w:before="50" w:after="50"/>
            </w:pPr>
            <w:r w:rsidRPr="00BD16B4">
              <w:t>All sectors in the inventory are approved by the applicable member of the RGG before being submitted to the National Inventory Compiler.</w:t>
            </w:r>
          </w:p>
        </w:tc>
      </w:tr>
      <w:tr w:rsidR="009C7728" w:rsidRPr="00BD16B4" w14:paraId="1299C84A" w14:textId="77777777" w:rsidTr="004A205F">
        <w:trPr>
          <w:trHeight w:val="217"/>
        </w:trPr>
        <w:tc>
          <w:tcPr>
            <w:tcW w:w="1344" w:type="pct"/>
            <w:tcBorders>
              <w:top w:val="single" w:sz="4" w:space="0" w:color="1C556C" w:themeColor="accent1"/>
              <w:bottom w:val="single" w:sz="4" w:space="0" w:color="1C556C" w:themeColor="accent1"/>
              <w:right w:val="single" w:sz="4" w:space="0" w:color="1C556C" w:themeColor="accent1"/>
            </w:tcBorders>
          </w:tcPr>
          <w:p w14:paraId="0B98AD95" w14:textId="77777777" w:rsidR="009C7728" w:rsidRPr="00BD16B4" w:rsidRDefault="009C7728" w:rsidP="004A205F">
            <w:pPr>
              <w:pStyle w:val="TableText"/>
              <w:spacing w:before="50" w:after="50"/>
            </w:pPr>
            <w:r w:rsidRPr="00BD16B4">
              <w:t>QC 10 QC tools</w:t>
            </w:r>
          </w:p>
        </w:tc>
        <w:tc>
          <w:tcPr>
            <w:tcW w:w="3656" w:type="pct"/>
            <w:tcBorders>
              <w:top w:val="single" w:sz="4" w:space="0" w:color="1C556C" w:themeColor="accent1"/>
              <w:left w:val="single" w:sz="4" w:space="0" w:color="1C556C" w:themeColor="accent1"/>
              <w:bottom w:val="single" w:sz="4" w:space="0" w:color="1C556C" w:themeColor="accent1"/>
            </w:tcBorders>
            <w:shd w:val="clear" w:color="auto" w:fill="auto"/>
            <w:noWrap/>
          </w:tcPr>
          <w:p w14:paraId="7B47F548" w14:textId="77777777" w:rsidR="009C7728" w:rsidRPr="00BD16B4" w:rsidRDefault="009C7728" w:rsidP="004A205F">
            <w:pPr>
              <w:pStyle w:val="TableText"/>
              <w:spacing w:before="50" w:after="50"/>
            </w:pPr>
            <w:r w:rsidRPr="00BD16B4">
              <w:t>Common reporting format QC tools identify any potential issues with the data and are used to ensure the data integrity standards are met.</w:t>
            </w:r>
          </w:p>
        </w:tc>
      </w:tr>
    </w:tbl>
    <w:p w14:paraId="30A57F8C" w14:textId="77777777" w:rsidR="009C7728" w:rsidRPr="00BD16B4" w:rsidRDefault="009C7728" w:rsidP="009C7728">
      <w:pPr>
        <w:pStyle w:val="Note"/>
      </w:pPr>
      <w:r w:rsidRPr="00BD16B4">
        <w:rPr>
          <w:b/>
        </w:rPr>
        <w:t>Note:</w:t>
      </w:r>
      <w:r w:rsidRPr="00BD16B4">
        <w:rPr>
          <w:bCs/>
        </w:rPr>
        <w:t xml:space="preserve"> QA = quality assurance; QC = quality control; RGG = </w:t>
      </w:r>
      <w:r w:rsidRPr="00BD16B4">
        <w:t>Reporting Governance Group.</w:t>
      </w:r>
    </w:p>
    <w:p w14:paraId="581AEE55" w14:textId="77777777" w:rsidR="009C7728" w:rsidRPr="00BD16B4" w:rsidRDefault="009C7728" w:rsidP="009C7728">
      <w:pPr>
        <w:pStyle w:val="Source"/>
      </w:pPr>
      <w:r w:rsidRPr="00BD16B4">
        <w:rPr>
          <w:bCs/>
        </w:rPr>
        <w:t>Source:</w:t>
      </w:r>
      <w:r w:rsidRPr="00BD16B4">
        <w:t xml:space="preserve"> Ministry for the Environment. 2022. </w:t>
      </w:r>
      <w:r w:rsidRPr="00BD16B4">
        <w:rPr>
          <w:i/>
        </w:rPr>
        <w:t xml:space="preserve">Quality Assurance/Quality Control </w:t>
      </w:r>
      <w:r w:rsidRPr="00BD16B4">
        <w:rPr>
          <w:i/>
          <w:iCs/>
        </w:rPr>
        <w:t>Plan</w:t>
      </w:r>
      <w:r w:rsidRPr="00BD16B4">
        <w:rPr>
          <w:i/>
        </w:rPr>
        <w:t xml:space="preserve"> for New Zealand’s Greenhouse Gas Inventory </w:t>
      </w:r>
      <w:r w:rsidRPr="00BD16B4">
        <w:rPr>
          <w:i/>
          <w:iCs/>
        </w:rPr>
        <w:t>Production</w:t>
      </w:r>
      <w:r w:rsidRPr="00BD16B4">
        <w:t>. Wellington: Ministry for the Environment.</w:t>
      </w:r>
    </w:p>
    <w:p w14:paraId="1C360FDE" w14:textId="77777777" w:rsidR="009C7728" w:rsidRPr="00BD16B4" w:rsidRDefault="009C7728" w:rsidP="009C7728">
      <w:pPr>
        <w:pStyle w:val="BodyText"/>
      </w:pPr>
      <w:r w:rsidRPr="00BD16B4">
        <w:t>Figure B.3 shows how these QA/QC processes align with the overall preparation of the inventory.</w:t>
      </w:r>
    </w:p>
    <w:p w14:paraId="610B7B15" w14:textId="6D0995AC" w:rsidR="009C7728" w:rsidRPr="00BD16B4" w:rsidRDefault="009C7728" w:rsidP="009C7728">
      <w:pPr>
        <w:pStyle w:val="Figureheading"/>
      </w:pPr>
      <w:bookmarkStart w:id="482" w:name="_Toc447275738"/>
      <w:bookmarkStart w:id="483" w:name="_Toc481752057"/>
      <w:bookmarkStart w:id="484" w:name="_Toc498519472"/>
      <w:bookmarkStart w:id="485" w:name="_Toc500767145"/>
      <w:bookmarkStart w:id="486" w:name="_Toc121494413"/>
      <w:r w:rsidRPr="00BD16B4">
        <w:t>Figure B.</w:t>
      </w:r>
      <w:r w:rsidRPr="00BD16B4">
        <w:fldChar w:fldCharType="begin"/>
      </w:r>
      <w:r w:rsidRPr="00BD16B4">
        <w:instrText>SEQ Figure_B. \* ARABIC</w:instrText>
      </w:r>
      <w:r w:rsidRPr="00BD16B4">
        <w:fldChar w:fldCharType="separate"/>
      </w:r>
      <w:r w:rsidR="00A60C35">
        <w:rPr>
          <w:noProof/>
        </w:rPr>
        <w:t>3</w:t>
      </w:r>
      <w:r w:rsidRPr="00BD16B4">
        <w:fldChar w:fldCharType="end"/>
      </w:r>
      <w:r w:rsidRPr="00BD16B4">
        <w:t xml:space="preserve">: </w:t>
      </w:r>
      <w:r w:rsidRPr="00BD16B4">
        <w:tab/>
        <w:t>How the quality assurance and quality control processes and products align with the preparation of the inventory</w:t>
      </w:r>
      <w:bookmarkEnd w:id="482"/>
      <w:bookmarkEnd w:id="483"/>
      <w:bookmarkEnd w:id="484"/>
      <w:bookmarkEnd w:id="485"/>
      <w:bookmarkEnd w:id="486"/>
    </w:p>
    <w:p w14:paraId="107DC0C1" w14:textId="77777777" w:rsidR="009C7728" w:rsidRPr="00BD16B4" w:rsidRDefault="009C7728" w:rsidP="009C7728">
      <w:pPr>
        <w:pStyle w:val="BodyText"/>
      </w:pPr>
      <w:r w:rsidRPr="00BD16B4">
        <w:rPr>
          <w:noProof/>
        </w:rPr>
        <w:drawing>
          <wp:inline distT="0" distB="0" distL="0" distR="0" wp14:anchorId="0B24DEE3" wp14:editId="208759F9">
            <wp:extent cx="5394960" cy="3421380"/>
            <wp:effectExtent l="0" t="0" r="0" b="7620"/>
            <wp:docPr id="971881737" name="Picture 97188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94960" cy="3421380"/>
                    </a:xfrm>
                    <a:prstGeom prst="rect">
                      <a:avLst/>
                    </a:prstGeom>
                    <a:noFill/>
                    <a:ln>
                      <a:noFill/>
                    </a:ln>
                  </pic:spPr>
                </pic:pic>
              </a:graphicData>
            </a:graphic>
          </wp:inline>
        </w:drawing>
      </w:r>
    </w:p>
    <w:p w14:paraId="435863B6" w14:textId="77777777" w:rsidR="009C7728" w:rsidRPr="00BD16B4" w:rsidRDefault="009C7728" w:rsidP="00D3471F">
      <w:pPr>
        <w:pStyle w:val="Source"/>
      </w:pPr>
      <w:r w:rsidRPr="00BD16B4">
        <w:t>Source:</w:t>
      </w:r>
      <w:r w:rsidRPr="00BD16B4">
        <w:rPr>
          <w:b/>
          <w:bCs/>
        </w:rPr>
        <w:t xml:space="preserve"> </w:t>
      </w:r>
      <w:r w:rsidRPr="00BD16B4">
        <w:t>Ministry for the Environment. 2022. Quality Assurance/Quality Control Plan for New Zealand’s Greenhouse Gas Inventory Production. Wellington: Ministry for the Environment.</w:t>
      </w:r>
    </w:p>
    <w:p w14:paraId="30F60E6A" w14:textId="77777777" w:rsidR="009C7728" w:rsidRPr="00BD16B4" w:rsidRDefault="009C7728" w:rsidP="009C7728">
      <w:pPr>
        <w:pStyle w:val="BodyText"/>
      </w:pPr>
      <w:r w:rsidRPr="00BD16B4">
        <w:t>New Zealand’s greenhouse gas inventory QA/QC plan has been designed to improve the transparency, accuracy, consistency, comparability and completeness of the country’s annual inventory in order to align with IPCC good practice. The plan closely follows the definitions, guidelines and processes presented in the 2006 IPCC Guidelines.</w:t>
      </w:r>
      <w:r w:rsidRPr="00BD16B4">
        <w:rPr>
          <w:rStyle w:val="FootnoteReference"/>
        </w:rPr>
        <w:footnoteReference w:id="604"/>
      </w:r>
      <w:r w:rsidRPr="00BD16B4">
        <w:t xml:space="preserve"> As a living document, it</w:t>
      </w:r>
      <w:r w:rsidRPr="00BD16B4" w:rsidDel="00215521">
        <w:t xml:space="preserve"> </w:t>
      </w:r>
      <w:r w:rsidRPr="00BD16B4">
        <w:t>is subject to modification and improvement when changes in processes are updated, or on advice from independent reviewers.</w:t>
      </w:r>
    </w:p>
    <w:p w14:paraId="6A93D56B" w14:textId="77777777" w:rsidR="009C7728" w:rsidRPr="00BD16B4" w:rsidRDefault="009C7728" w:rsidP="009C7728">
      <w:pPr>
        <w:pStyle w:val="BodyText"/>
      </w:pPr>
      <w:r w:rsidRPr="00BD16B4">
        <w:lastRenderedPageBreak/>
        <w:t>The QA/QC plan is intended to ensure the transparency and quality of New Zealand’s inventory. The principles of the plan include:</w:t>
      </w:r>
    </w:p>
    <w:p w14:paraId="446F4CB4" w14:textId="77777777" w:rsidR="009C7728" w:rsidRPr="00BD16B4" w:rsidRDefault="009C7728" w:rsidP="009C7728">
      <w:pPr>
        <w:pStyle w:val="Bullet"/>
      </w:pPr>
      <w:r w:rsidRPr="00BD16B4">
        <w:t>applying greater quality control efforts for key categories and for those categories where data and methodological changes have recently occurred</w:t>
      </w:r>
    </w:p>
    <w:p w14:paraId="7CDE5F44" w14:textId="77777777" w:rsidR="009C7728" w:rsidRPr="00BD16B4" w:rsidRDefault="009C7728" w:rsidP="009C7728">
      <w:pPr>
        <w:pStyle w:val="Bullet"/>
      </w:pPr>
      <w:r w:rsidRPr="00BD16B4">
        <w:t xml:space="preserve">periodically checking the validity of all information as changes occur in sample size, methods of collection or frequency of data collection </w:t>
      </w:r>
    </w:p>
    <w:p w14:paraId="79F9B7A6" w14:textId="77777777" w:rsidR="009C7728" w:rsidRPr="00BD16B4" w:rsidRDefault="009C7728" w:rsidP="009C7728">
      <w:pPr>
        <w:pStyle w:val="Bullet"/>
      </w:pPr>
      <w:r w:rsidRPr="00BD16B4">
        <w:t>conducting general quality control procedures (Tier 1) on all parts of the inventory over a period of time</w:t>
      </w:r>
    </w:p>
    <w:p w14:paraId="7C07568F" w14:textId="77777777" w:rsidR="009C7728" w:rsidRPr="00BD16B4" w:rsidRDefault="009C7728" w:rsidP="009C7728">
      <w:pPr>
        <w:pStyle w:val="Bullet"/>
      </w:pPr>
      <w:r w:rsidRPr="00BD16B4">
        <w:t>balancing efforts between development and implementation of QA/QC procedures and continuous improvement of inventory estimates</w:t>
      </w:r>
    </w:p>
    <w:p w14:paraId="4090A482" w14:textId="77777777" w:rsidR="009C7728" w:rsidRPr="00BD16B4" w:rsidRDefault="009C7728" w:rsidP="009C7728">
      <w:pPr>
        <w:pStyle w:val="Bullet"/>
      </w:pPr>
      <w:r w:rsidRPr="00BD16B4">
        <w:t>customising the quality control procedures to the resources available and the particular characteristics of New Zealand’s inventory</w:t>
      </w:r>
    </w:p>
    <w:p w14:paraId="0803F31C" w14:textId="77777777" w:rsidR="009C7728" w:rsidRPr="00BD16B4" w:rsidRDefault="009C7728" w:rsidP="009C7728">
      <w:pPr>
        <w:pStyle w:val="Bullet"/>
      </w:pPr>
      <w:r w:rsidRPr="00BD16B4">
        <w:t>confirming that the national statistical agency and other agencies supplying data to the inventory have implemented QA/QC procedures.</w:t>
      </w:r>
    </w:p>
    <w:p w14:paraId="1A923185" w14:textId="77777777" w:rsidR="009C7728" w:rsidRPr="00BD16B4" w:rsidRDefault="009C7728" w:rsidP="009C7728">
      <w:pPr>
        <w:pStyle w:val="Heading5"/>
      </w:pPr>
      <w:r w:rsidRPr="00BD16B4">
        <w:t>Quality control</w:t>
      </w:r>
    </w:p>
    <w:p w14:paraId="75828591" w14:textId="77777777" w:rsidR="009C7728" w:rsidRPr="00BD16B4" w:rsidRDefault="009C7728" w:rsidP="009C7728">
      <w:pPr>
        <w:pStyle w:val="BodyText"/>
      </w:pPr>
      <w:r w:rsidRPr="00BD16B4">
        <w:t xml:space="preserve">The focus of New Zealand’s QA/QC plan is to meet the principles of transparency, accuracy, completeness, consistency, comparability while ensuring efficient use of resources and a particular focus on mitigating QC-related risks in the inventory planning and preparation process. </w:t>
      </w:r>
    </w:p>
    <w:p w14:paraId="2B4B0C1B" w14:textId="77777777" w:rsidR="009C7728" w:rsidRPr="00BD16B4" w:rsidRDefault="009C7728" w:rsidP="009C7728">
      <w:pPr>
        <w:pStyle w:val="BodyText"/>
      </w:pPr>
      <w:r w:rsidRPr="00BD16B4">
        <w:t>The main elements of the QA/QC plan include:</w:t>
      </w:r>
    </w:p>
    <w:p w14:paraId="791C282B" w14:textId="77777777" w:rsidR="009C7728" w:rsidRPr="00BD16B4" w:rsidRDefault="009C7728" w:rsidP="009C7728">
      <w:pPr>
        <w:pStyle w:val="Bullet"/>
      </w:pPr>
      <w:r w:rsidRPr="00BD16B4">
        <w:t>revising the QC deliverables to ensure they are fit for purpose, well supported with relevant templates and adapted to the changes in the inventory software tools</w:t>
      </w:r>
    </w:p>
    <w:p w14:paraId="483DFAF2" w14:textId="77777777" w:rsidR="009C7728" w:rsidRPr="00BD16B4" w:rsidRDefault="009C7728" w:rsidP="009C7728">
      <w:pPr>
        <w:pStyle w:val="Bullet"/>
      </w:pPr>
      <w:r w:rsidRPr="00BD16B4">
        <w:t>reinforcing the error-checking process by providing dedicated personnel and support to the sector leads</w:t>
      </w:r>
    </w:p>
    <w:p w14:paraId="0CD1038A" w14:textId="77777777" w:rsidR="009C7728" w:rsidRPr="00BD16B4" w:rsidRDefault="009C7728" w:rsidP="009C7728">
      <w:pPr>
        <w:pStyle w:val="Bullet"/>
      </w:pPr>
      <w:r w:rsidRPr="00BD16B4">
        <w:t>automating inventory tools to minimise the number of errors during data transfers</w:t>
      </w:r>
    </w:p>
    <w:p w14:paraId="49816EA5" w14:textId="77777777" w:rsidR="009C7728" w:rsidRPr="00BD16B4" w:rsidRDefault="009C7728" w:rsidP="009C7728">
      <w:pPr>
        <w:pStyle w:val="Bullet"/>
      </w:pPr>
      <w:r w:rsidRPr="00BD16B4">
        <w:t>adjusting QC tools to accommodate any changes in the CRF that happened since the previous submission</w:t>
      </w:r>
    </w:p>
    <w:p w14:paraId="057E7B8C" w14:textId="77777777" w:rsidR="009C7728" w:rsidRPr="00BD16B4" w:rsidRDefault="009C7728" w:rsidP="009C7728">
      <w:pPr>
        <w:pStyle w:val="Bullet"/>
      </w:pPr>
      <w:r w:rsidRPr="00BD16B4">
        <w:t>prioritising the QA/QC issues that were raised during bilateral exchanges, such as those that have previously occurred with the Austrian, German and Australian national inventory teams</w:t>
      </w:r>
    </w:p>
    <w:p w14:paraId="605667E6" w14:textId="77777777" w:rsidR="009C7728" w:rsidRPr="00BD16B4" w:rsidRDefault="009C7728" w:rsidP="009C7728">
      <w:pPr>
        <w:pStyle w:val="Bullet"/>
      </w:pPr>
      <w:r w:rsidRPr="00BD16B4">
        <w:t>ensuring the structure of chapters in the inventory demonstrates transparency of the methods and incorporates suggestions from previous inventory reviews.</w:t>
      </w:r>
    </w:p>
    <w:p w14:paraId="6DDCCBAD" w14:textId="77777777" w:rsidR="009C7728" w:rsidRPr="00BD16B4" w:rsidRDefault="009C7728" w:rsidP="009C7728">
      <w:pPr>
        <w:pStyle w:val="BodyText"/>
      </w:pPr>
      <w:r w:rsidRPr="00BD16B4">
        <w:t>Completion of QC check sheets for each sector is the responsibility of each sector lead. The QC check sheets are based on the procedures suggested in Annex 6a.1,</w:t>
      </w:r>
      <w:r w:rsidRPr="00BD16B4" w:rsidDel="003D2146">
        <w:t xml:space="preserve"> </w:t>
      </w:r>
      <w:r w:rsidRPr="00BD16B4">
        <w:t xml:space="preserve">Volume 1 of the 2006 IPCC Guidelines. Sectoral QC processes and procedures have been revised and thoroughly documented in the updated version of New Zealand’s National Inventory System Guidelines. Wherever possible, manual checking has been replaced by automated checks. </w:t>
      </w:r>
    </w:p>
    <w:p w14:paraId="4A7EA5FB" w14:textId="77777777" w:rsidR="009C7728" w:rsidRPr="00BD16B4" w:rsidRDefault="009C7728" w:rsidP="009C7728">
      <w:pPr>
        <w:pStyle w:val="BodyText"/>
      </w:pPr>
      <w:r w:rsidRPr="00BD16B4">
        <w:t xml:space="preserve">All sector-level data are entered into the web-based CRF database by sector compilers in February each year, with a possibility of further updates. </w:t>
      </w:r>
    </w:p>
    <w:p w14:paraId="77B26B04" w14:textId="77777777" w:rsidR="009C7728" w:rsidRPr="00BD16B4" w:rsidRDefault="009C7728" w:rsidP="009C7728">
      <w:pPr>
        <w:pStyle w:val="BodyText"/>
      </w:pPr>
      <w:r w:rsidRPr="00BD16B4">
        <w:t>The sectoral contributions to the inventory and QC checks are signed off by the responsible agency before final approval of the inventory and submission to the UNFCCC.</w:t>
      </w:r>
      <w:r w:rsidRPr="00BD16B4" w:rsidDel="000B7D87">
        <w:t xml:space="preserve"> </w:t>
      </w:r>
    </w:p>
    <w:p w14:paraId="12C07AAE" w14:textId="77777777" w:rsidR="009C7728" w:rsidRPr="00BD16B4" w:rsidRDefault="009C7728" w:rsidP="009C7728">
      <w:pPr>
        <w:pStyle w:val="BodyText"/>
      </w:pPr>
      <w:r w:rsidRPr="00BD16B4">
        <w:lastRenderedPageBreak/>
        <w:t>MfE uses the QC checking procedures included in the web-based CRF Reporter to ensure the data submitted to the UNFCCC secretariat are complete. In addition, data in the CRF tables are checked for anomalies, errors and omissions.</w:t>
      </w:r>
    </w:p>
    <w:p w14:paraId="7D2F335C" w14:textId="77777777" w:rsidR="009C7728" w:rsidRPr="00BD16B4" w:rsidRDefault="009C7728" w:rsidP="009C7728">
      <w:pPr>
        <w:pStyle w:val="BodyText"/>
      </w:pPr>
      <w:r w:rsidRPr="00BD16B4">
        <w:t xml:space="preserve">The energy and agriculture activity data provided by Stats NZ are official national statistics. As such, they are subject to their own rigorous QA/QC procedures. </w:t>
      </w:r>
    </w:p>
    <w:p w14:paraId="16D23B92" w14:textId="77777777" w:rsidR="009C7728" w:rsidRPr="00BD16B4" w:rsidRDefault="009C7728" w:rsidP="009C7728">
      <w:pPr>
        <w:pStyle w:val="Heading5"/>
      </w:pPr>
      <w:r w:rsidRPr="00BD16B4">
        <w:t>Quality assurance</w:t>
      </w:r>
    </w:p>
    <w:p w14:paraId="1A44204A" w14:textId="77777777" w:rsidR="009C7728" w:rsidRPr="00BD16B4" w:rsidRDefault="009C7728" w:rsidP="009C7728">
      <w:pPr>
        <w:pStyle w:val="BodyText"/>
      </w:pPr>
      <w:r w:rsidRPr="00BD16B4">
        <w:t xml:space="preserve">New Zealand’s QA system includes prioritisation of improvements, processes around accepting improvements into the inventory, in-depth review of sector inventories or their components every 5 to 10 years, and improving the expertise of key contributors to the inventory. The government audit agency (Audit New Zealand) makes annual audits of the inventory performance. New Zealand also considers the international inventory reviews performed by the expert review teams under the UNFCCC (and the Kyoto Protocol) as an important element of quality assurance. Regular meetings take place to discuss progress of QA/QC activities and relevant issues with each sector lead. The main aspects of QA are explained in detail below. </w:t>
      </w:r>
    </w:p>
    <w:p w14:paraId="42977EF7" w14:textId="77777777" w:rsidR="009C7728" w:rsidRPr="00BD16B4" w:rsidRDefault="009C7728" w:rsidP="009C7728">
      <w:pPr>
        <w:pStyle w:val="BodyText"/>
        <w:spacing w:before="100"/>
      </w:pPr>
      <w:r w:rsidRPr="00BD16B4">
        <w:t>All sector leads are encouraged to schedule QA audits of their systems at least once every five years.</w:t>
      </w:r>
    </w:p>
    <w:p w14:paraId="48EE9987" w14:textId="77777777" w:rsidR="009C7728" w:rsidRPr="00BD16B4" w:rsidRDefault="009C7728" w:rsidP="009C7728">
      <w:pPr>
        <w:pStyle w:val="BodyText"/>
        <w:spacing w:before="100"/>
      </w:pPr>
      <w:r w:rsidRPr="00BD16B4">
        <w:t>The energy sector lead discussed sectoral issues with the Danish inventory team during bilateral meetings in 2017 dedicated to different aspects of the energy sectoral inventory. Specific issues covered were: data sources, data collection and verification processes; using NZ ETS data for higher-tier methods in the energy sector; applying higher-tier methods for road transport; disaggregation of non-road liquid fuel use; and fugitive emissions from fuels. In 2019, an external consultant was contracted to review and develop a QA plan for the energy sector. Most recommendations from that review have already been implemented, and work continues on addressing the remaining issues.</w:t>
      </w:r>
    </w:p>
    <w:p w14:paraId="0484BB0B" w14:textId="77777777" w:rsidR="009C7728" w:rsidRPr="00BD16B4" w:rsidRDefault="009C7728" w:rsidP="009C7728">
      <w:pPr>
        <w:pStyle w:val="BodyText"/>
        <w:spacing w:before="100"/>
      </w:pPr>
      <w:r w:rsidRPr="00BD16B4">
        <w:t>The agriculture sector completed a major QA review of its calculation models with an external party in 2013. Since then, other QA activities for the sector have included a bilateral review with Australia in 2014, and an external review of equations used to determine metabolisable energy requirements in 2016. For more information, see chapter 5 of the inventory report.</w:t>
      </w:r>
      <w:r w:rsidRPr="00BD16B4">
        <w:rPr>
          <w:rStyle w:val="FootnoteReference"/>
        </w:rPr>
        <w:footnoteReference w:id="605"/>
      </w:r>
    </w:p>
    <w:p w14:paraId="73085728" w14:textId="77777777" w:rsidR="009C7728" w:rsidRPr="00BD16B4" w:rsidRDefault="009C7728" w:rsidP="009C7728">
      <w:pPr>
        <w:pStyle w:val="BodyText"/>
      </w:pPr>
      <w:r w:rsidRPr="00BD16B4">
        <w:t>The QA/QC plan, combined with annual inventory experience, indicates areas for future improvements for the inventory, which are then incorporated into the following inventory and each subsequent inventory. For more detailed information on the QA/QC plan for the 2022 inventory submission, see annex 6 of the inventory report.</w:t>
      </w:r>
      <w:r w:rsidRPr="00BD16B4">
        <w:rPr>
          <w:rStyle w:val="FootnoteReference"/>
        </w:rPr>
        <w:footnoteReference w:id="606"/>
      </w:r>
      <w:r w:rsidRPr="00BD16B4">
        <w:t xml:space="preserve"> </w:t>
      </w:r>
    </w:p>
    <w:p w14:paraId="22048248" w14:textId="77777777" w:rsidR="009C7728" w:rsidRPr="00BD16B4" w:rsidRDefault="009C7728" w:rsidP="004E1B8C">
      <w:pPr>
        <w:pStyle w:val="Heading4"/>
      </w:pPr>
      <w:bookmarkStart w:id="487" w:name="_Toc139253842"/>
      <w:r w:rsidRPr="00BD16B4">
        <w:t>Internal review</w:t>
      </w:r>
    </w:p>
    <w:p w14:paraId="2206DB9A" w14:textId="77777777" w:rsidR="009C7728" w:rsidRPr="00BD16B4" w:rsidRDefault="009C7728" w:rsidP="009C7728">
      <w:pPr>
        <w:pStyle w:val="BodyText"/>
      </w:pPr>
      <w:r w:rsidRPr="00BD16B4">
        <w:t xml:space="preserve">A review of the complete inventory check is performed to ensure all planned checks have been completed before the inventory is submitted. This review includes checking that: </w:t>
      </w:r>
    </w:p>
    <w:p w14:paraId="7C235572" w14:textId="77777777" w:rsidR="009C7728" w:rsidRPr="00BD16B4" w:rsidRDefault="009C7728" w:rsidP="009C7728">
      <w:pPr>
        <w:pStyle w:val="Bullet"/>
      </w:pPr>
      <w:r w:rsidRPr="00BD16B4">
        <w:t>all the planned QC checks have been completed</w:t>
      </w:r>
    </w:p>
    <w:p w14:paraId="7291E096" w14:textId="77777777" w:rsidR="009C7728" w:rsidRPr="00BD16B4" w:rsidRDefault="009C7728" w:rsidP="009C7728">
      <w:pPr>
        <w:pStyle w:val="Bullet"/>
      </w:pPr>
      <w:r w:rsidRPr="00BD16B4">
        <w:t>the results of the QC checks have been included in the appropriate Excel tables</w:t>
      </w:r>
    </w:p>
    <w:p w14:paraId="6161C32A" w14:textId="77777777" w:rsidR="009C7728" w:rsidRPr="00BD16B4" w:rsidRDefault="009C7728" w:rsidP="009C7728">
      <w:pPr>
        <w:pStyle w:val="Bullet"/>
        <w:spacing w:after="100"/>
      </w:pPr>
      <w:r w:rsidRPr="00BD16B4">
        <w:lastRenderedPageBreak/>
        <w:t xml:space="preserve">QA exercises have been completed </w:t>
      </w:r>
    </w:p>
    <w:p w14:paraId="7E891904" w14:textId="77777777" w:rsidR="009C7728" w:rsidRPr="00BD16B4" w:rsidRDefault="009C7728" w:rsidP="009C7728">
      <w:pPr>
        <w:pStyle w:val="Bullet"/>
        <w:spacing w:after="100"/>
      </w:pPr>
      <w:r w:rsidRPr="00BD16B4">
        <w:t>mandatory checks in the CRF software are complete for all sectors.</w:t>
      </w:r>
    </w:p>
    <w:p w14:paraId="6C91AAD5" w14:textId="77777777" w:rsidR="009C7728" w:rsidRPr="00BD16B4" w:rsidRDefault="009C7728" w:rsidP="009C7728">
      <w:pPr>
        <w:pStyle w:val="BodyText"/>
        <w:spacing w:after="100"/>
      </w:pPr>
      <w:r w:rsidRPr="00BD16B4">
        <w:t>Before submitting the inventory to the UNFCCC secretariat,</w:t>
      </w:r>
      <w:r w:rsidRPr="00BD16B4" w:rsidDel="00951CAC">
        <w:t xml:space="preserve"> </w:t>
      </w:r>
      <w:r w:rsidRPr="00BD16B4">
        <w:t>MfE staff who have not been involved in the inventory compilation process undertake an internal review.</w:t>
      </w:r>
    </w:p>
    <w:p w14:paraId="2B539B4D" w14:textId="77777777" w:rsidR="009C7728" w:rsidRPr="00BD16B4" w:rsidRDefault="009C7728" w:rsidP="004E1B8C">
      <w:pPr>
        <w:pStyle w:val="Heading4"/>
      </w:pPr>
      <w:r w:rsidRPr="00BD16B4">
        <w:t>The UNFCCC annual inventory review</w:t>
      </w:r>
      <w:bookmarkEnd w:id="487"/>
    </w:p>
    <w:p w14:paraId="41799E6E" w14:textId="77777777" w:rsidR="009C7728" w:rsidRPr="00BD16B4" w:rsidRDefault="009C7728" w:rsidP="009C7728">
      <w:pPr>
        <w:pStyle w:val="BodyText"/>
        <w:spacing w:before="100" w:after="100"/>
      </w:pPr>
      <w:r w:rsidRPr="00BD16B4">
        <w:t>New Zealand’s inventory was reviewed</w:t>
      </w:r>
      <w:r w:rsidRPr="00BD16B4">
        <w:rPr>
          <w:vertAlign w:val="superscript"/>
        </w:rPr>
        <w:footnoteReference w:id="607"/>
      </w:r>
      <w:r w:rsidRPr="00BD16B4">
        <w:t xml:space="preserve"> in 2001 and 2002 as part of a pilot study of the technical review process. The inventory was subject to detailed in-country, centralised and desk review procedures. The inventories submitted for the years 2001 and 2003 were reviewed in a centralised review process. The 2006 inventory submission was reviewed as part of the Kyoto Protocol initial review. This was an in-country review held from 19–24 February 2007. The 2007–09 and 2011–12 inventory submissions were reviewed during centralised reviews, as were the 2011–17 and 2021 submissions. The 2010 and 2019 inventory submissions were subject to in-country reviews. Since 2017, reviews have not always been conducted annually. New Zealand’s inventory was reviewed annually up until 2017, then in 2019, 2021 and 2022. New Zealand’s review report for the 2021 inventory submission had not been completed and published before making the 2022 submission. In all instances, the reviews were coordinated by the UNFCCC secretariat and were conducted by an international team of experts drawn from experts nominated by Parties to the UNFCCC Roster of Experts. </w:t>
      </w:r>
    </w:p>
    <w:p w14:paraId="71BFCA69" w14:textId="77777777" w:rsidR="009C7728" w:rsidRPr="00BD16B4" w:rsidRDefault="009C7728" w:rsidP="009C7728">
      <w:pPr>
        <w:pStyle w:val="BodyText"/>
        <w:spacing w:before="100" w:after="100"/>
      </w:pPr>
      <w:r w:rsidRPr="00BD16B4">
        <w:t>Because New Zealand consistently meets the reporting requirements, it was one of the first four Parties to be eligible to participate in the Kyoto Protocol mechanisms for the first commitment period. Its registry for holding the official records of transactions and balances of its Kyoto Protocol units was operational on 1 January 2008, the first day of the first commitment period.</w:t>
      </w:r>
    </w:p>
    <w:p w14:paraId="65C4FFED" w14:textId="77777777" w:rsidR="009C7728" w:rsidRPr="00BD16B4" w:rsidRDefault="009C7728" w:rsidP="004E1B8C">
      <w:pPr>
        <w:pStyle w:val="Heading4"/>
        <w:rPr>
          <w:sz w:val="20"/>
        </w:rPr>
      </w:pPr>
      <w:r w:rsidRPr="00BD16B4">
        <w:t>Procedures for the official consideration and approval of the inventory</w:t>
      </w:r>
    </w:p>
    <w:p w14:paraId="519B0296" w14:textId="77777777" w:rsidR="009C7728" w:rsidRPr="00BD16B4" w:rsidRDefault="009C7728" w:rsidP="009C7728">
      <w:pPr>
        <w:pStyle w:val="BodyText"/>
        <w:spacing w:before="100" w:after="100"/>
        <w:rPr>
          <w:rFonts w:ascii="Times New Roman" w:hAnsi="Times New Roman"/>
          <w:szCs w:val="20"/>
        </w:rPr>
      </w:pPr>
      <w:r w:rsidRPr="00BD16B4">
        <w:t xml:space="preserve">The finalised inventory submission is signed off by the manager responsible for the MfE team compiling the inventory. The final approval is given by the director who is the designated management sign-off individual for the Chief Executive Officer at MfE. </w:t>
      </w:r>
    </w:p>
    <w:p w14:paraId="42BF0604" w14:textId="77777777" w:rsidR="009C7728" w:rsidRPr="00BD16B4" w:rsidRDefault="009C7728" w:rsidP="009C7728">
      <w:pPr>
        <w:pStyle w:val="Heading2notTOC"/>
        <w:spacing w:before="320"/>
      </w:pPr>
      <w:bookmarkStart w:id="488" w:name="_Toc499993063"/>
      <w:r w:rsidRPr="00BD16B4">
        <w:t>National registry</w:t>
      </w:r>
      <w:bookmarkEnd w:id="488"/>
    </w:p>
    <w:p w14:paraId="355692E8" w14:textId="77777777" w:rsidR="009C7728" w:rsidRPr="00BD16B4" w:rsidRDefault="009C7728" w:rsidP="009C7728">
      <w:pPr>
        <w:pStyle w:val="Heading3"/>
        <w:spacing w:before="240"/>
      </w:pPr>
      <w:r w:rsidRPr="00BD16B4">
        <w:t>Overview</w:t>
      </w:r>
    </w:p>
    <w:p w14:paraId="554EA4BF" w14:textId="77777777" w:rsidR="009C7728" w:rsidRPr="00BD16B4" w:rsidRDefault="009C7728" w:rsidP="009C7728">
      <w:pPr>
        <w:pStyle w:val="BodyText"/>
        <w:spacing w:before="100" w:after="100"/>
      </w:pPr>
      <w:r w:rsidRPr="00BD16B4">
        <w:t>The New Zealand Emissions Trading Register (the Register) went live on the weekend of 27 August 2016. The Register replaced Aotearoa New Zealand’s Emission Unit Register, which had been operational since December 2007. The Register is the country’s only official register of Kyoto Units.</w:t>
      </w:r>
    </w:p>
    <w:p w14:paraId="451324C1" w14:textId="77777777" w:rsidR="009C7728" w:rsidRPr="00BD16B4" w:rsidRDefault="009C7728" w:rsidP="009C7728">
      <w:pPr>
        <w:pStyle w:val="BodyText"/>
        <w:spacing w:before="100" w:after="100"/>
      </w:pPr>
      <w:r w:rsidRPr="00BD16B4">
        <w:t xml:space="preserve">The NZ ETS was established in December 2009 by amendment of the Climate Change Response Act 2002. The Register manages the accounting, reporting and reconciliation of emissions and unit holdings and transactions as part of the NZ ETS. </w:t>
      </w:r>
    </w:p>
    <w:p w14:paraId="0A75D323" w14:textId="515161BC" w:rsidR="009C7728" w:rsidRPr="00BD16B4" w:rsidRDefault="009C7728" w:rsidP="009C7728">
      <w:pPr>
        <w:pStyle w:val="BodyText"/>
        <w:spacing w:after="100"/>
      </w:pPr>
      <w:r w:rsidRPr="00BD16B4">
        <w:lastRenderedPageBreak/>
        <w:t>The Register is currently managed by the EPA, which is the government agency responsible for operating the NZ ETS. The Register contains multiple accounts (known as holding accounts, held by both the Crown and private entities) and allows the transfer of units between Register holding accounts. The Register supports the:</w:t>
      </w:r>
    </w:p>
    <w:p w14:paraId="6531A314" w14:textId="77777777" w:rsidR="009C7728" w:rsidRPr="00BD16B4" w:rsidRDefault="009C7728" w:rsidP="009C7728">
      <w:pPr>
        <w:pStyle w:val="Bullet"/>
      </w:pPr>
      <w:r w:rsidRPr="00BD16B4">
        <w:t>opening of holding accounts</w:t>
      </w:r>
    </w:p>
    <w:p w14:paraId="3C4A2D67" w14:textId="77777777" w:rsidR="009C7728" w:rsidRPr="00BD16B4" w:rsidRDefault="009C7728" w:rsidP="009C7728">
      <w:pPr>
        <w:pStyle w:val="Bullet"/>
      </w:pPr>
      <w:r w:rsidRPr="00BD16B4">
        <w:t>holdings of both Kyoto Units and New Zealand’s domestic unit of trade, commonly known as New Zealand Units (or NZUs)</w:t>
      </w:r>
    </w:p>
    <w:p w14:paraId="04BC9AEB" w14:textId="77777777" w:rsidR="009C7728" w:rsidRPr="00BD16B4" w:rsidRDefault="009C7728" w:rsidP="009C7728">
      <w:pPr>
        <w:pStyle w:val="Bullet"/>
      </w:pPr>
      <w:r w:rsidRPr="00BD16B4">
        <w:t>transfer of units between holding accounts within the Register</w:t>
      </w:r>
    </w:p>
    <w:p w14:paraId="528FDC52" w14:textId="77777777" w:rsidR="009C7728" w:rsidRPr="00BD16B4" w:rsidRDefault="009C7728" w:rsidP="009C7728">
      <w:pPr>
        <w:pStyle w:val="Bullet"/>
      </w:pPr>
      <w:r w:rsidRPr="00BD16B4">
        <w:t>registration of participants’ activities under the NZ ETS, and reporting of non-forestry activities.</w:t>
      </w:r>
    </w:p>
    <w:p w14:paraId="74042368" w14:textId="77777777" w:rsidR="009C7728" w:rsidRPr="00BD16B4" w:rsidRDefault="009C7728" w:rsidP="009C7728">
      <w:pPr>
        <w:pStyle w:val="BodyText"/>
      </w:pPr>
      <w:r w:rsidRPr="00BD16B4">
        <w:t xml:space="preserve">The latest reporting period is up to 31 December 2021. The report was submitted to the UNFCCC secretariat as part of the national inventory submission package in April 2022. </w:t>
      </w:r>
    </w:p>
    <w:p w14:paraId="5DCF4304" w14:textId="77777777" w:rsidR="009C7728" w:rsidRPr="00BD16B4" w:rsidRDefault="009C7728" w:rsidP="009C7728">
      <w:pPr>
        <w:pStyle w:val="BodyText"/>
      </w:pPr>
      <w:r w:rsidRPr="00BD16B4">
        <w:t>In January 2008 New Zealand’s national registry was issued with the country’s assigned amount of 309,564,733 metric tonnes of CO</w:t>
      </w:r>
      <w:r w:rsidRPr="00BD16B4">
        <w:rPr>
          <w:vertAlign w:val="subscript"/>
        </w:rPr>
        <w:t>2</w:t>
      </w:r>
      <w:r w:rsidRPr="00BD16B4">
        <w:t xml:space="preserve"> equivalent. </w:t>
      </w:r>
    </w:p>
    <w:p w14:paraId="734AE291" w14:textId="77777777" w:rsidR="009C7728" w:rsidRPr="00BD16B4" w:rsidRDefault="009C7728" w:rsidP="009C7728">
      <w:pPr>
        <w:pStyle w:val="BodyText"/>
      </w:pPr>
      <w:r w:rsidRPr="00BD16B4">
        <w:t xml:space="preserve">In July 2015 the national registry issued 91,795,399 Removal Units according to rules relating to Kyoto Protocol Article 3.3 afforestation/reforestation, of which 20,242,601 Removal Units were cancelled according to rules relating to Kyoto Protocol Article 3.3 deforestation. </w:t>
      </w:r>
    </w:p>
    <w:p w14:paraId="1AE2C705" w14:textId="77777777" w:rsidR="009C7728" w:rsidRPr="00BD16B4" w:rsidRDefault="009C7728" w:rsidP="009C7728">
      <w:pPr>
        <w:pStyle w:val="BodyText"/>
        <w:spacing w:after="100"/>
      </w:pPr>
      <w:r w:rsidRPr="00BD16B4">
        <w:t>In 2015 New Zealand retired units to meet first commitment period obligations under the Kyoto Protocol. The details of the units retired were submitted as part of its True</w:t>
      </w:r>
      <w:r w:rsidRPr="00BD16B4">
        <w:noBreakHyphen/>
        <w:t>up Report (Report upon expiration of the additional period for fulfilling commitments by New Zealand). New Zealand retired:</w:t>
      </w:r>
    </w:p>
    <w:p w14:paraId="08F9C57D" w14:textId="77777777" w:rsidR="009C7728" w:rsidRPr="00BD16B4" w:rsidRDefault="009C7728" w:rsidP="009C7728">
      <w:pPr>
        <w:pStyle w:val="Bullet"/>
        <w:spacing w:after="100"/>
      </w:pPr>
      <w:r w:rsidRPr="00BD16B4">
        <w:t>179,055,090 assigned amount units</w:t>
      </w:r>
    </w:p>
    <w:p w14:paraId="711A0880" w14:textId="77777777" w:rsidR="009C7728" w:rsidRPr="00BD16B4" w:rsidRDefault="009C7728" w:rsidP="009C7728">
      <w:pPr>
        <w:pStyle w:val="Bullet"/>
        <w:spacing w:after="100"/>
      </w:pPr>
      <w:r w:rsidRPr="00BD16B4">
        <w:t>97,027,042 emissions reduction units</w:t>
      </w:r>
    </w:p>
    <w:p w14:paraId="0EC50A44" w14:textId="77777777" w:rsidR="009C7728" w:rsidRPr="00BD16B4" w:rsidRDefault="009C7728" w:rsidP="009C7728">
      <w:pPr>
        <w:pStyle w:val="Bullet"/>
        <w:spacing w:after="100"/>
      </w:pPr>
      <w:r w:rsidRPr="00BD16B4">
        <w:t>16,117,338 certified emissions reduction units</w:t>
      </w:r>
    </w:p>
    <w:p w14:paraId="38279E9B" w14:textId="77777777" w:rsidR="009C7728" w:rsidRPr="00BD16B4" w:rsidRDefault="009C7728" w:rsidP="009C7728">
      <w:pPr>
        <w:pStyle w:val="Bullet"/>
      </w:pPr>
      <w:r w:rsidRPr="00BD16B4">
        <w:t>80,598,152 removal units.</w:t>
      </w:r>
    </w:p>
    <w:p w14:paraId="62FC7A39" w14:textId="77777777" w:rsidR="009C7728" w:rsidRPr="00BD16B4" w:rsidRDefault="009C7728" w:rsidP="009C7728">
      <w:pPr>
        <w:pStyle w:val="BodyText"/>
      </w:pPr>
      <w:r w:rsidRPr="00BD16B4">
        <w:t>The number of Kyoto Units held in New Zealand’s national registry did not change during 2021. At the beginning and end of 2021, the national registry held only first commitment period Kyoto Units, including cancelled and retired units. These consisted of:</w:t>
      </w:r>
    </w:p>
    <w:p w14:paraId="0AE9B55A" w14:textId="77777777" w:rsidR="009C7728" w:rsidRPr="00BD16B4" w:rsidRDefault="009C7728" w:rsidP="009C7728">
      <w:pPr>
        <w:pStyle w:val="Bullet"/>
      </w:pPr>
      <w:r w:rsidRPr="00BD16B4">
        <w:t>308,343,858 assigned amount units</w:t>
      </w:r>
    </w:p>
    <w:p w14:paraId="42DEEC9A" w14:textId="77777777" w:rsidR="009C7728" w:rsidRPr="00BD16B4" w:rsidRDefault="009C7728" w:rsidP="009C7728">
      <w:pPr>
        <w:pStyle w:val="Bullet"/>
      </w:pPr>
      <w:r w:rsidRPr="00BD16B4">
        <w:t>110,744,560 emissions reduction units</w:t>
      </w:r>
    </w:p>
    <w:p w14:paraId="7D279E8B" w14:textId="77777777" w:rsidR="009C7728" w:rsidRPr="00BD16B4" w:rsidRDefault="009C7728" w:rsidP="009C7728">
      <w:pPr>
        <w:pStyle w:val="Bullet"/>
      </w:pPr>
      <w:r w:rsidRPr="00BD16B4">
        <w:t>21,685,909 certified emissions reduction units</w:t>
      </w:r>
    </w:p>
    <w:p w14:paraId="73FA2916" w14:textId="77777777" w:rsidR="009C7728" w:rsidRPr="00BD16B4" w:rsidRDefault="009C7728" w:rsidP="009C7728">
      <w:pPr>
        <w:pStyle w:val="Bullet"/>
      </w:pPr>
      <w:r w:rsidRPr="00BD16B4">
        <w:t>100,845,399 removal units.</w:t>
      </w:r>
    </w:p>
    <w:p w14:paraId="5F073517" w14:textId="77777777" w:rsidR="009C7728" w:rsidRPr="00BD16B4" w:rsidRDefault="009C7728" w:rsidP="009C7728">
      <w:pPr>
        <w:pStyle w:val="Heading3"/>
      </w:pPr>
      <w:r w:rsidRPr="00BD16B4">
        <w:lastRenderedPageBreak/>
        <w:t>Registry contact details</w:t>
      </w:r>
    </w:p>
    <w:p w14:paraId="328C9630" w14:textId="77777777" w:rsidR="009C7728" w:rsidRPr="00BD16B4" w:rsidRDefault="009C7728" w:rsidP="009C7728">
      <w:pPr>
        <w:pStyle w:val="BodyText"/>
        <w:keepNext/>
        <w:spacing w:after="160"/>
      </w:pPr>
      <w:r w:rsidRPr="00BD16B4">
        <w:t xml:space="preserve">The Register can be accessed at: </w:t>
      </w:r>
      <w:hyperlink r:id="rId137">
        <w:r w:rsidRPr="00BD16B4">
          <w:rPr>
            <w:color w:val="1C556C" w:themeColor="accent1"/>
          </w:rPr>
          <w:t>http://emissionsregister.govt.nz</w:t>
        </w:r>
      </w:hyperlink>
      <w:r w:rsidRPr="00BD16B4">
        <w:t>.</w:t>
      </w:r>
    </w:p>
    <w:tbl>
      <w:tblPr>
        <w:tblW w:w="8505" w:type="dxa"/>
        <w:tblInd w:w="10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835"/>
        <w:gridCol w:w="5670"/>
      </w:tblGrid>
      <w:tr w:rsidR="009C7728" w:rsidRPr="00BD16B4" w14:paraId="2968FF19" w14:textId="77777777" w:rsidTr="004A205F">
        <w:tc>
          <w:tcPr>
            <w:tcW w:w="2835" w:type="dxa"/>
            <w:hideMark/>
          </w:tcPr>
          <w:p w14:paraId="566A7951" w14:textId="77777777" w:rsidR="009C7728" w:rsidRPr="00BD16B4" w:rsidRDefault="009C7728" w:rsidP="004A205F">
            <w:pPr>
              <w:pStyle w:val="TableText"/>
              <w:keepNext/>
              <w:rPr>
                <w:sz w:val="20"/>
                <w:szCs w:val="20"/>
              </w:rPr>
            </w:pPr>
            <w:r w:rsidRPr="00BD16B4">
              <w:rPr>
                <w:sz w:val="20"/>
                <w:szCs w:val="20"/>
              </w:rPr>
              <w:t>Organisation designated as the administrator of New Zealand’s national registry</w:t>
            </w:r>
          </w:p>
        </w:tc>
        <w:tc>
          <w:tcPr>
            <w:tcW w:w="5670" w:type="dxa"/>
            <w:hideMark/>
          </w:tcPr>
          <w:p w14:paraId="4DBCF603" w14:textId="77777777" w:rsidR="009C7728" w:rsidRPr="00BD16B4" w:rsidRDefault="009C7728" w:rsidP="004A205F">
            <w:pPr>
              <w:pStyle w:val="TableText"/>
              <w:keepNext/>
              <w:spacing w:after="0"/>
              <w:rPr>
                <w:i/>
                <w:iCs/>
                <w:sz w:val="20"/>
                <w:szCs w:val="20"/>
              </w:rPr>
            </w:pPr>
            <w:r w:rsidRPr="00BD16B4">
              <w:rPr>
                <w:i/>
                <w:iCs/>
                <w:sz w:val="20"/>
                <w:szCs w:val="20"/>
              </w:rPr>
              <w:t>Environmental Protection Authority</w:t>
            </w:r>
          </w:p>
          <w:p w14:paraId="6536A5E8" w14:textId="77777777" w:rsidR="009C7728" w:rsidRPr="00BD16B4" w:rsidRDefault="009C7728" w:rsidP="004A205F">
            <w:pPr>
              <w:pStyle w:val="TableText"/>
              <w:keepNext/>
              <w:spacing w:before="0" w:after="0"/>
              <w:rPr>
                <w:sz w:val="20"/>
                <w:szCs w:val="20"/>
              </w:rPr>
            </w:pPr>
            <w:r w:rsidRPr="00BD16B4">
              <w:rPr>
                <w:sz w:val="20"/>
                <w:szCs w:val="20"/>
              </w:rPr>
              <w:t>Private Bag 63002, Wellington 6140, New Zealand</w:t>
            </w:r>
          </w:p>
          <w:p w14:paraId="7C87A6CB" w14:textId="77777777" w:rsidR="009C7728" w:rsidRPr="00BD16B4" w:rsidRDefault="009C7728" w:rsidP="004A205F">
            <w:pPr>
              <w:pStyle w:val="TableText"/>
              <w:keepNext/>
              <w:spacing w:before="0" w:after="0"/>
              <w:rPr>
                <w:sz w:val="20"/>
                <w:szCs w:val="20"/>
              </w:rPr>
            </w:pPr>
            <w:r w:rsidRPr="00BD16B4">
              <w:rPr>
                <w:sz w:val="20"/>
                <w:szCs w:val="20"/>
              </w:rPr>
              <w:t>Phone: +64 4 916 2426</w:t>
            </w:r>
          </w:p>
          <w:p w14:paraId="7B16C110" w14:textId="77777777" w:rsidR="009C7728" w:rsidRPr="00BD16B4" w:rsidRDefault="009C7728" w:rsidP="004A205F">
            <w:pPr>
              <w:pStyle w:val="TableText"/>
              <w:keepNext/>
              <w:spacing w:before="0" w:after="0"/>
              <w:rPr>
                <w:sz w:val="20"/>
                <w:szCs w:val="20"/>
              </w:rPr>
            </w:pPr>
            <w:r w:rsidRPr="00BD16B4">
              <w:rPr>
                <w:sz w:val="20"/>
                <w:szCs w:val="20"/>
              </w:rPr>
              <w:t>Fax: +64 4 914 0433</w:t>
            </w:r>
          </w:p>
          <w:p w14:paraId="32F984D0" w14:textId="77777777" w:rsidR="009C7728" w:rsidRPr="00BD16B4" w:rsidRDefault="009C7728" w:rsidP="004A205F">
            <w:pPr>
              <w:pStyle w:val="TableText"/>
              <w:keepNext/>
              <w:spacing w:before="0"/>
              <w:rPr>
                <w:sz w:val="20"/>
                <w:szCs w:val="20"/>
              </w:rPr>
            </w:pPr>
            <w:r w:rsidRPr="00BD16B4">
              <w:rPr>
                <w:sz w:val="20"/>
                <w:szCs w:val="20"/>
              </w:rPr>
              <w:t xml:space="preserve">Web: </w:t>
            </w:r>
            <w:hyperlink r:id="rId138">
              <w:r w:rsidRPr="00BD16B4">
                <w:rPr>
                  <w:rStyle w:val="Hyperlink"/>
                  <w:sz w:val="20"/>
                  <w:szCs w:val="20"/>
                </w:rPr>
                <w:t>www.epa.govt.nz</w:t>
              </w:r>
            </w:hyperlink>
            <w:r w:rsidRPr="00BD16B4">
              <w:rPr>
                <w:sz w:val="20"/>
                <w:szCs w:val="20"/>
              </w:rPr>
              <w:t xml:space="preserve"> </w:t>
            </w:r>
          </w:p>
        </w:tc>
      </w:tr>
      <w:tr w:rsidR="009C7728" w:rsidRPr="00BD16B4" w14:paraId="74105A3F" w14:textId="77777777" w:rsidTr="004A205F">
        <w:tc>
          <w:tcPr>
            <w:tcW w:w="2835" w:type="dxa"/>
            <w:hideMark/>
          </w:tcPr>
          <w:p w14:paraId="3C0F2C43" w14:textId="77777777" w:rsidR="009C7728" w:rsidRPr="00BD16B4" w:rsidRDefault="009C7728" w:rsidP="004A205F">
            <w:pPr>
              <w:pStyle w:val="TableText"/>
              <w:rPr>
                <w:sz w:val="20"/>
                <w:szCs w:val="20"/>
              </w:rPr>
            </w:pPr>
            <w:r w:rsidRPr="00BD16B4">
              <w:rPr>
                <w:sz w:val="20"/>
                <w:szCs w:val="20"/>
              </w:rPr>
              <w:t>Main contact</w:t>
            </w:r>
          </w:p>
        </w:tc>
        <w:tc>
          <w:tcPr>
            <w:tcW w:w="5670" w:type="dxa"/>
            <w:hideMark/>
          </w:tcPr>
          <w:p w14:paraId="2D21D970" w14:textId="77777777" w:rsidR="009C7728" w:rsidRPr="00BD16B4" w:rsidRDefault="009C7728" w:rsidP="004A205F">
            <w:pPr>
              <w:pStyle w:val="TableText"/>
              <w:spacing w:after="0"/>
              <w:rPr>
                <w:i/>
                <w:iCs/>
                <w:sz w:val="20"/>
                <w:szCs w:val="20"/>
              </w:rPr>
            </w:pPr>
            <w:r w:rsidRPr="00BD16B4">
              <w:rPr>
                <w:i/>
                <w:iCs/>
                <w:sz w:val="20"/>
                <w:szCs w:val="20"/>
              </w:rPr>
              <w:t>Guy Windley</w:t>
            </w:r>
          </w:p>
          <w:p w14:paraId="069F6207" w14:textId="77777777" w:rsidR="009C7728" w:rsidRPr="00BD16B4" w:rsidRDefault="009C7728" w:rsidP="004A205F">
            <w:pPr>
              <w:pStyle w:val="TableText"/>
              <w:spacing w:before="0" w:after="0"/>
              <w:rPr>
                <w:sz w:val="20"/>
                <w:szCs w:val="20"/>
              </w:rPr>
            </w:pPr>
            <w:r w:rsidRPr="00BD16B4">
              <w:rPr>
                <w:sz w:val="20"/>
                <w:szCs w:val="20"/>
              </w:rPr>
              <w:t>Manager, ETS Operations, Climate Land and Oceans Group, Environmental Protection Authority</w:t>
            </w:r>
          </w:p>
          <w:p w14:paraId="2B804CD5" w14:textId="77777777" w:rsidR="009C7728" w:rsidRPr="00BD16B4" w:rsidRDefault="009C7728" w:rsidP="004A205F">
            <w:pPr>
              <w:pStyle w:val="TableText"/>
              <w:spacing w:before="0"/>
              <w:rPr>
                <w:sz w:val="20"/>
                <w:szCs w:val="20"/>
              </w:rPr>
            </w:pPr>
            <w:r w:rsidRPr="00BD16B4">
              <w:rPr>
                <w:sz w:val="20"/>
                <w:szCs w:val="20"/>
              </w:rPr>
              <w:t>Phone: + 64 4 474 5514</w:t>
            </w:r>
          </w:p>
        </w:tc>
      </w:tr>
      <w:tr w:rsidR="009C7728" w:rsidRPr="00BD16B4" w14:paraId="5A2117D3" w14:textId="77777777" w:rsidTr="004A205F">
        <w:tc>
          <w:tcPr>
            <w:tcW w:w="2835" w:type="dxa"/>
            <w:hideMark/>
          </w:tcPr>
          <w:p w14:paraId="32631F0B" w14:textId="77777777" w:rsidR="009C7728" w:rsidRPr="00BD16B4" w:rsidRDefault="009C7728" w:rsidP="004A205F">
            <w:pPr>
              <w:pStyle w:val="TableText"/>
              <w:rPr>
                <w:sz w:val="20"/>
                <w:szCs w:val="20"/>
              </w:rPr>
            </w:pPr>
            <w:r w:rsidRPr="00BD16B4">
              <w:rPr>
                <w:sz w:val="20"/>
                <w:szCs w:val="20"/>
              </w:rPr>
              <w:t>Alternative contact</w:t>
            </w:r>
          </w:p>
        </w:tc>
        <w:tc>
          <w:tcPr>
            <w:tcW w:w="5670" w:type="dxa"/>
            <w:hideMark/>
          </w:tcPr>
          <w:p w14:paraId="1FAAC217" w14:textId="77777777" w:rsidR="009C7728" w:rsidRPr="00BD16B4" w:rsidRDefault="009C7728" w:rsidP="004A205F">
            <w:pPr>
              <w:pStyle w:val="TableText"/>
              <w:spacing w:after="0"/>
              <w:rPr>
                <w:i/>
                <w:iCs/>
                <w:sz w:val="20"/>
                <w:szCs w:val="20"/>
              </w:rPr>
            </w:pPr>
            <w:r w:rsidRPr="00BD16B4">
              <w:rPr>
                <w:i/>
                <w:iCs/>
                <w:sz w:val="20"/>
                <w:szCs w:val="20"/>
              </w:rPr>
              <w:t>Dave Stuart</w:t>
            </w:r>
          </w:p>
          <w:p w14:paraId="74E49EB4" w14:textId="77777777" w:rsidR="009C7728" w:rsidRPr="00BD16B4" w:rsidRDefault="009C7728" w:rsidP="004A205F">
            <w:pPr>
              <w:pStyle w:val="TableText"/>
              <w:spacing w:before="0" w:after="0"/>
              <w:rPr>
                <w:sz w:val="20"/>
                <w:szCs w:val="20"/>
              </w:rPr>
            </w:pPr>
            <w:r w:rsidRPr="00BD16B4">
              <w:rPr>
                <w:sz w:val="20"/>
                <w:szCs w:val="20"/>
              </w:rPr>
              <w:t>Team Leader, ETS Operations, Climate Land and Oceans Group, Environmental Protection Authority</w:t>
            </w:r>
          </w:p>
          <w:p w14:paraId="01A961FF" w14:textId="77777777" w:rsidR="009C7728" w:rsidRPr="00BD16B4" w:rsidRDefault="009C7728" w:rsidP="004A205F">
            <w:pPr>
              <w:pStyle w:val="TableText"/>
              <w:spacing w:before="0"/>
              <w:rPr>
                <w:sz w:val="20"/>
                <w:szCs w:val="20"/>
              </w:rPr>
            </w:pPr>
            <w:r w:rsidRPr="00BD16B4">
              <w:rPr>
                <w:sz w:val="20"/>
                <w:szCs w:val="20"/>
              </w:rPr>
              <w:t xml:space="preserve">Phone: + 64 4 474 5750 </w:t>
            </w:r>
          </w:p>
        </w:tc>
      </w:tr>
    </w:tbl>
    <w:p w14:paraId="429BEF97" w14:textId="77777777" w:rsidR="009C7728" w:rsidRPr="00BD16B4" w:rsidRDefault="009C7728" w:rsidP="009C7728">
      <w:pPr>
        <w:pStyle w:val="Heading3"/>
        <w:spacing w:before="440"/>
      </w:pPr>
      <w:r w:rsidRPr="00BD16B4">
        <w:t>Consolidated registry with other parties</w:t>
      </w:r>
    </w:p>
    <w:p w14:paraId="73435569" w14:textId="77777777" w:rsidR="009C7728" w:rsidRPr="00BD16B4" w:rsidRDefault="009C7728" w:rsidP="009C7728">
      <w:pPr>
        <w:pStyle w:val="BodyText"/>
        <w:rPr>
          <w:highlight w:val="yellow"/>
        </w:rPr>
      </w:pPr>
      <w:r w:rsidRPr="00BD16B4">
        <w:t xml:space="preserve">New Zealand does not maintain a consolidated registry with other Parties. </w:t>
      </w:r>
    </w:p>
    <w:p w14:paraId="79308A03" w14:textId="77777777" w:rsidR="009C7728" w:rsidRPr="00BD16B4" w:rsidRDefault="009C7728" w:rsidP="009C7728">
      <w:pPr>
        <w:pStyle w:val="Heading3"/>
        <w:spacing w:before="280"/>
      </w:pPr>
      <w:r w:rsidRPr="00BD16B4">
        <w:t>Key category analysis</w:t>
      </w:r>
    </w:p>
    <w:p w14:paraId="562B9272" w14:textId="4CC0E457" w:rsidR="009C7728" w:rsidRPr="00BD16B4" w:rsidRDefault="009C7728" w:rsidP="009C7728">
      <w:pPr>
        <w:pStyle w:val="BodyText"/>
        <w:rPr>
          <w:highlight w:val="yellow"/>
        </w:rPr>
      </w:pPr>
      <w:r w:rsidRPr="00BD16B4">
        <w:t xml:space="preserve">Please refer to annex 1 of </w:t>
      </w:r>
      <w:r w:rsidRPr="00BD16B4">
        <w:rPr>
          <w:i/>
        </w:rPr>
        <w:t>New Zealand’ Greenhouse Gas Inventory 1990–2020: Volume 2, Annexes</w:t>
      </w:r>
      <w:r w:rsidRPr="00BD16B4">
        <w:t xml:space="preserve"> at: </w:t>
      </w:r>
      <w:hyperlink r:id="rId139" w:history="1">
        <w:r w:rsidR="00D3471F" w:rsidRPr="00BD16B4">
          <w:rPr>
            <w:rStyle w:val="Hyperlink"/>
          </w:rPr>
          <w:t>environment.govt.nz/assets/publications/GhG-Inventory/New-Zealand-Greenhouse-Gas-Inventory-1990-2020-Annexes.pdf</w:t>
        </w:r>
      </w:hyperlink>
      <w:r w:rsidRPr="00BD16B4">
        <w:t>.</w:t>
      </w:r>
    </w:p>
    <w:p w14:paraId="609DF4E8" w14:textId="77777777" w:rsidR="009C7728" w:rsidRPr="00BD16B4" w:rsidRDefault="009C7728" w:rsidP="009C7728">
      <w:pPr>
        <w:pStyle w:val="Heading2notTOC"/>
      </w:pPr>
      <w:bookmarkStart w:id="489" w:name="_Toc499993064"/>
      <w:r w:rsidRPr="00BD16B4">
        <w:t>National registry: a detailed description</w:t>
      </w:r>
      <w:bookmarkEnd w:id="489"/>
    </w:p>
    <w:p w14:paraId="26C94BCA" w14:textId="77777777" w:rsidR="009C7728" w:rsidRPr="00BD16B4" w:rsidRDefault="009C7728" w:rsidP="009C7728">
      <w:pPr>
        <w:pStyle w:val="Heading3"/>
        <w:spacing w:before="240"/>
      </w:pPr>
      <w:r w:rsidRPr="00BD16B4">
        <w:t>Database structure and capacity</w:t>
      </w:r>
    </w:p>
    <w:p w14:paraId="136D4041" w14:textId="77777777" w:rsidR="009C7728" w:rsidRPr="00BD16B4" w:rsidRDefault="009C7728" w:rsidP="009C7728">
      <w:pPr>
        <w:pStyle w:val="BodyText"/>
      </w:pPr>
      <w:r w:rsidRPr="00BD16B4">
        <w:t>The New Zealand Emissions Trading Register</w:t>
      </w:r>
      <w:r w:rsidRPr="00BD16B4" w:rsidDel="00C8431E">
        <w:t xml:space="preserve"> </w:t>
      </w:r>
      <w:r w:rsidRPr="00BD16B4">
        <w:t>is a customised application solution developed by Datacom NZ and based on the Emissions Trading Scheme Workflow Automation Project and Greenhouse Gas Registry for Emissions Trading Arrangements</w:t>
      </w:r>
      <w:r w:rsidRPr="00BD16B4" w:rsidDel="00C8431E">
        <w:t xml:space="preserve"> </w:t>
      </w:r>
      <w:r w:rsidRPr="00BD16B4">
        <w:t xml:space="preserve">products. The Register is used for online emissions reporting, the opening of holding accounts, and the management of allowances and emissions, including units and project credits issued under the Kyoto Protocol. </w:t>
      </w:r>
    </w:p>
    <w:p w14:paraId="6146B61C" w14:textId="77777777" w:rsidR="009C7728" w:rsidRPr="00BD16B4" w:rsidRDefault="009C7728" w:rsidP="009C7728">
      <w:pPr>
        <w:pStyle w:val="BodyText"/>
      </w:pPr>
      <w:r w:rsidRPr="00BD16B4">
        <w:t>The solution architecture has been formed around standard design approaches using classic n</w:t>
      </w:r>
      <w:r w:rsidRPr="00BD16B4">
        <w:noBreakHyphen/>
        <w:t xml:space="preserve">tier distribution of services augmented by firewalls, load balancers, segmented subnets geared around security zoning to support presentation, application and database services. Additionally a management tier provides common infrastructure services such as jump server, monitoring, test server and release management tools to support the solution. </w:t>
      </w:r>
    </w:p>
    <w:p w14:paraId="70C5285C" w14:textId="77777777" w:rsidR="009C7728" w:rsidRPr="00BD16B4" w:rsidRDefault="009C7728" w:rsidP="009C7728">
      <w:pPr>
        <w:pStyle w:val="BodyText"/>
      </w:pPr>
      <w:r w:rsidRPr="00BD16B4">
        <w:t xml:space="preserve">Figure B.4 shows the configuration of the Register production environment. The various components of this configuration are discussed next. </w:t>
      </w:r>
    </w:p>
    <w:p w14:paraId="56AA499B" w14:textId="16E005D9" w:rsidR="009C7728" w:rsidRPr="00BD16B4" w:rsidRDefault="009C7728" w:rsidP="009C7728">
      <w:pPr>
        <w:pStyle w:val="Figureheading"/>
        <w:rPr>
          <w:rFonts w:eastAsia="Calibri"/>
        </w:rPr>
      </w:pPr>
      <w:bookmarkStart w:id="490" w:name="_Toc498519473"/>
      <w:bookmarkStart w:id="491" w:name="_Toc500767146"/>
      <w:bookmarkStart w:id="492" w:name="_Toc121494414"/>
      <w:r w:rsidRPr="00BD16B4">
        <w:rPr>
          <w:rFonts w:eastAsia="Calibri"/>
        </w:rPr>
        <w:lastRenderedPageBreak/>
        <w:t>Figure B.</w:t>
      </w:r>
      <w:r w:rsidRPr="00BD16B4">
        <w:rPr>
          <w:rFonts w:eastAsia="Calibri"/>
        </w:rPr>
        <w:fldChar w:fldCharType="begin"/>
      </w:r>
      <w:r w:rsidRPr="00BD16B4">
        <w:rPr>
          <w:rFonts w:eastAsia="Calibri"/>
        </w:rPr>
        <w:instrText xml:space="preserve"> SEQ Figure_B. \* ARABIC </w:instrText>
      </w:r>
      <w:r w:rsidRPr="00BD16B4">
        <w:rPr>
          <w:rFonts w:eastAsia="Calibri"/>
        </w:rPr>
        <w:fldChar w:fldCharType="separate"/>
      </w:r>
      <w:r w:rsidR="00A60C35">
        <w:rPr>
          <w:rFonts w:eastAsia="Calibri"/>
          <w:noProof/>
        </w:rPr>
        <w:t>4</w:t>
      </w:r>
      <w:r w:rsidRPr="00BD16B4">
        <w:rPr>
          <w:rFonts w:eastAsia="Calibri"/>
        </w:rPr>
        <w:fldChar w:fldCharType="end"/>
      </w:r>
      <w:r w:rsidRPr="00BD16B4">
        <w:rPr>
          <w:rFonts w:eastAsia="Calibri"/>
        </w:rPr>
        <w:t>:</w:t>
      </w:r>
      <w:r w:rsidRPr="00BD16B4">
        <w:tab/>
        <w:t>Configuration of the production environment of the New Zealand Emissions Trading Register</w:t>
      </w:r>
      <w:bookmarkEnd w:id="490"/>
      <w:bookmarkEnd w:id="491"/>
      <w:bookmarkEnd w:id="492"/>
    </w:p>
    <w:p w14:paraId="5DD6A6A2" w14:textId="628A497D" w:rsidR="009C7728" w:rsidRPr="00BD16B4" w:rsidRDefault="00FC49D2" w:rsidP="009C7728">
      <w:pPr>
        <w:pStyle w:val="BodyText"/>
      </w:pPr>
      <w:r>
        <w:pict w14:anchorId="75E16270">
          <v:group id="Group 59" o:spid="_x0000_s2050" style="width:425.2pt;height:289.75pt;mso-position-horizontal-relative:char;mso-position-vertical-relative:line" coordorigin="1985,4311" coordsize="8504,5795">
            <v:shapetype id="_x0000_t202" coordsize="21600,21600" o:spt="202" path="m,l,21600r21600,l21600,xe">
              <v:stroke joinstyle="miter"/>
              <v:path gradientshapeok="t" o:connecttype="rect"/>
            </v:shapetype>
            <v:shape id="Text Box 13" o:spid="_x0000_s2051" type="#_x0000_t202" style="position:absolute;left:1985;top:4311;width:8504;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" fillcolor="#cfe5e5" stroked="f" strokecolor="black [0]" strokeweight="2pt">
              <v:shadow color="black [0]"/>
              <v:textbox style="mso-next-textbox:#Text Box 13" inset="2.88pt,2.88pt,2.88pt,2.88pt">
                <w:txbxContent>
                  <w:p w14:paraId="3679AB9D" w14:textId="77777777" w:rsidR="009C7728" w:rsidRDefault="009C7728" w:rsidP="009C7728">
                    <w:pPr>
                      <w:widowControl w:val="0"/>
                      <w:spacing w:before="60"/>
                      <w:rPr>
                        <w:lang w:val="mi-NZ"/>
                      </w:rPr>
                    </w:pPr>
                    <w:r>
                      <w:rPr>
                        <w:lang w:val="mi-NZ"/>
                      </w:rPr>
                      <w:t>Presentation tier</w:t>
                    </w:r>
                  </w:p>
                </w:txbxContent>
              </v:textbox>
            </v:shape>
            <v:shape id="Text Box 55" o:spid="_x0000_s2052" type="#_x0000_t202" style="position:absolute;left:2351;top:5118;width:3071;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" fillcolor="#cfe5e5" stroked="f" strokecolor="black [0]" strokeweight="2pt">
              <v:shadow color="black [0]"/>
              <v:textbox style="mso-next-textbox:#Text Box 55" inset="2.88pt,2.88pt,2.88pt,2.88pt">
                <w:txbxContent>
                  <w:p w14:paraId="0B770588" w14:textId="77777777" w:rsidR="009C7728" w:rsidRDefault="009C7728" w:rsidP="009C7728">
                    <w:pPr>
                      <w:widowControl w:val="0"/>
                      <w:spacing w:before="40"/>
                      <w:rPr>
                        <w:lang w:val="mi-NZ"/>
                      </w:rPr>
                    </w:pPr>
                    <w:r>
                      <w:rPr>
                        <w:lang w:val="mi-NZ"/>
                      </w:rPr>
                      <w:t>Web interfaces</w:t>
                    </w:r>
                  </w:p>
                </w:txbxContent>
              </v:textbox>
            </v:shape>
            <v:shape id="Text Box 54" o:spid="_x0000_s2053" type="#_x0000_t202" style="position:absolute;left:6308;top:5118;width:366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" fillcolor="#cfe5e5" stroked="f" strokecolor="black [0]" strokeweight="2pt">
              <v:shadow color="black [0]"/>
              <v:textbox style="mso-next-textbox:#Text Box 54" inset="2.88pt,2.88pt,2.88pt,2.88pt">
                <w:txbxContent>
                  <w:p w14:paraId="7C8ABB86" w14:textId="77777777" w:rsidR="009C7728" w:rsidRDefault="009C7728" w:rsidP="009C7728">
                    <w:pPr>
                      <w:widowControl w:val="0"/>
                      <w:spacing w:before="40"/>
                      <w:rPr>
                        <w:lang w:val="mi-NZ"/>
                      </w:rPr>
                    </w:pPr>
                    <w:r>
                      <w:rPr>
                        <w:lang w:val="mi-NZ"/>
                      </w:rPr>
                      <w:t>Service interfaces</w:t>
                    </w:r>
                    <w:r>
                      <w:rPr>
                        <w:lang w:val="mi-NZ"/>
                      </w:rPr>
                      <w:tab/>
                    </w:r>
                  </w:p>
                </w:txbxContent>
              </v:textbox>
            </v:shape>
            <v:shape id="Text Box 236" o:spid="_x0000_s2054" type="#_x0000_t202" style="position:absolute;left:1985;top:5939;width:8504;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" fillcolor="#cfe5e5" stroked="f" strokecolor="black [0]" strokeweight="2pt">
              <v:shadow color="black [0]"/>
              <v:textbox style="mso-next-textbox:#Text Box 236" inset="2.88pt,2.88pt,2.88pt,2.88pt">
                <w:txbxContent>
                  <w:p w14:paraId="1977433B" w14:textId="77777777" w:rsidR="009C7728" w:rsidRDefault="009C7728" w:rsidP="009C7728">
                    <w:pPr>
                      <w:widowControl w:val="0"/>
                      <w:spacing w:before="40"/>
                      <w:rPr>
                        <w:lang w:val="mi-NZ"/>
                      </w:rPr>
                    </w:pPr>
                    <w:r>
                      <w:rPr>
                        <w:lang w:val="mi-NZ"/>
                      </w:rPr>
                      <w:t>Application tier</w:t>
                    </w:r>
                  </w:p>
                </w:txbxContent>
              </v:textbox>
            </v:shape>
            <v:shape id="Text Box 11" o:spid="_x0000_s2055" type="#_x0000_t202" style="position:absolute;left:2411;top:6729;width:1969;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" fillcolor="#cfe5e5" stroked="f" strokecolor="black [0]" strokeweight="2pt">
              <v:shadow color="black [0]"/>
              <v:textbox style="mso-next-textbox:#Text Box 11" inset="2.88pt,2.88pt,2.88pt,2.88pt">
                <w:txbxContent>
                  <w:p w14:paraId="2D8AEE74" w14:textId="77777777" w:rsidR="009C7728" w:rsidRDefault="009C7728" w:rsidP="009C7728">
                    <w:pPr>
                      <w:widowControl w:val="0"/>
                      <w:spacing w:before="40"/>
                      <w:rPr>
                        <w:lang w:val="mi-NZ"/>
                      </w:rPr>
                    </w:pPr>
                    <w:r>
                      <w:rPr>
                        <w:lang w:val="mi-NZ"/>
                      </w:rPr>
                      <w:t>Business workflows</w:t>
                    </w:r>
                  </w:p>
                </w:txbxContent>
              </v:textbox>
            </v:shape>
            <v:shape id="Text Box 4" o:spid="_x0000_s2056" type="#_x0000_t202" style="position:absolute;left:5285;top:6729;width:2118;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" fillcolor="#cfe5e5" stroked="f" strokecolor="black [0]" strokeweight="2pt">
              <v:shadow color="black [0]"/>
              <v:textbox style="mso-next-textbox:#Text Box 4" inset="2.88pt,2.88pt,2.88pt,2.88pt">
                <w:txbxContent>
                  <w:p w14:paraId="5786FE2F" w14:textId="77777777" w:rsidR="009C7728" w:rsidRDefault="009C7728" w:rsidP="009C7728">
                    <w:pPr>
                      <w:widowControl w:val="0"/>
                      <w:spacing w:before="40"/>
                      <w:rPr>
                        <w:lang w:val="mi-NZ"/>
                      </w:rPr>
                    </w:pPr>
                    <w:r>
                      <w:rPr>
                        <w:lang w:val="mi-NZ"/>
                      </w:rPr>
                      <w:t>Business services</w:t>
                    </w:r>
                  </w:p>
                </w:txbxContent>
              </v:textbox>
            </v:shape>
            <v:shape id="Text Box 10" o:spid="_x0000_s2057" type="#_x0000_t202" style="position:absolute;left:8187;top:6729;width:1969;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" fillcolor="#cfe5e5" stroked="f" strokecolor="black [0]" strokeweight="2pt">
              <v:shadow color="black [0]"/>
              <v:textbox style="mso-next-textbox:#Text Box 10" inset="2.88pt,2.88pt,2.88pt,2.88pt">
                <w:txbxContent>
                  <w:p w14:paraId="495229DA" w14:textId="77777777" w:rsidR="009C7728" w:rsidRDefault="009C7728" w:rsidP="009C7728">
                    <w:pPr>
                      <w:widowControl w:val="0"/>
                      <w:spacing w:before="40"/>
                      <w:rPr>
                        <w:lang w:val="mi-NZ"/>
                      </w:rPr>
                    </w:pPr>
                    <w:r>
                      <w:rPr>
                        <w:lang w:val="mi-NZ"/>
                      </w:rPr>
                      <w:t>Business entities</w:t>
                    </w:r>
                  </w:p>
                </w:txbxContent>
              </v:textbox>
            </v:shape>
            <v:shape id="Text Box 235" o:spid="_x0000_s2058" type="#_x0000_t202" style="position:absolute;left:1985;top:7538;width:8504;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" fillcolor="#cfe5e5" stroked="f" strokecolor="black [0]" strokeweight="2pt">
              <v:shadow color="black [0]"/>
              <v:textbox style="mso-next-textbox:#Text Box 235" inset="2.88pt,2.88pt,2.88pt,2.88pt">
                <w:txbxContent>
                  <w:p w14:paraId="0EC619CE" w14:textId="77777777" w:rsidR="009C7728" w:rsidRDefault="009C7728" w:rsidP="009C7728">
                    <w:pPr>
                      <w:widowControl w:val="0"/>
                      <w:spacing w:before="40"/>
                      <w:rPr>
                        <w:lang w:val="mi-NZ"/>
                      </w:rPr>
                    </w:pPr>
                    <w:r>
                      <w:rPr>
                        <w:lang w:val="mi-NZ"/>
                      </w:rPr>
                      <w:t>Persistence tier</w:t>
                    </w:r>
                  </w:p>
                </w:txbxContent>
              </v:textbox>
            </v:shape>
            <v:shape id="Text Box 9" o:spid="_x0000_s2059" type="#_x0000_t202" style="position:absolute;left:2169;top:8384;width:2181;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" fillcolor="#cfe5e5" stroked="f" strokecolor="black [0]" strokeweight="2pt">
              <v:shadow color="black [0]"/>
              <v:textbox style="mso-next-textbox:#Text Box 9" inset="2.88pt,2.88pt,2.88pt,2.88pt">
                <w:txbxContent>
                  <w:p w14:paraId="73217386" w14:textId="77777777" w:rsidR="009C7728" w:rsidRDefault="009C7728" w:rsidP="009C7728">
                    <w:pPr>
                      <w:widowControl w:val="0"/>
                      <w:spacing w:before="40"/>
                      <w:rPr>
                        <w:lang w:val="mi-NZ"/>
                      </w:rPr>
                    </w:pPr>
                    <w:r>
                      <w:rPr>
                        <w:lang w:val="mi-NZ"/>
                      </w:rPr>
                      <w:t>Relational database</w:t>
                    </w:r>
                  </w:p>
                </w:txbxContent>
              </v:textbox>
            </v:shape>
            <v:shape id="Text Box 14" o:spid="_x0000_s2060" type="#_x0000_t202" style="position:absolute;left:5027;top:8384;width:2372;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" fillcolor="#cfe5e5" stroked="f" strokecolor="black [0]" strokeweight="2pt">
              <v:shadow color="black [0]"/>
              <v:textbox style="mso-next-textbox:#Text Box 14" inset="2.88pt,2.88pt,2.88pt,2.88pt">
                <w:txbxContent>
                  <w:p w14:paraId="425E09F8" w14:textId="77777777" w:rsidR="009C7728" w:rsidRDefault="009C7728" w:rsidP="009C7728">
                    <w:pPr>
                      <w:widowControl w:val="0"/>
                      <w:spacing w:before="40"/>
                      <w:rPr>
                        <w:lang w:val="mi-NZ"/>
                      </w:rPr>
                    </w:pPr>
                    <w:r>
                      <w:rPr>
                        <w:lang w:val="mi-NZ"/>
                      </w:rPr>
                      <w:t>Secure file store</w:t>
                    </w:r>
                  </w:p>
                </w:txbxContent>
              </v:textbox>
            </v:shape>
            <v:shape id="Text Box 8" o:spid="_x0000_s2061" type="#_x0000_t202" style="position:absolute;left:8098;top:8384;width:2251;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" fillcolor="#cfe5e5" stroked="f" strokecolor="black [0]" strokeweight="2pt">
              <v:shadow color="black [0]"/>
              <v:textbox style="mso-next-textbox:#Text Box 8" inset="2.88pt,2.88pt,2.88pt,2.88pt">
                <w:txbxContent>
                  <w:p w14:paraId="2AA08F78" w14:textId="77777777" w:rsidR="009C7728" w:rsidRDefault="009C7728" w:rsidP="009C7728">
                    <w:pPr>
                      <w:widowControl w:val="0"/>
                      <w:spacing w:before="40"/>
                      <w:jc w:val="left"/>
                      <w:rPr>
                        <w:lang w:val="mi-NZ"/>
                      </w:rPr>
                    </w:pPr>
                    <w:r>
                      <w:rPr>
                        <w:lang w:val="mi-NZ"/>
                      </w:rPr>
                      <w:t>Service interface provider proxies</w:t>
                    </w:r>
                  </w:p>
                </w:txbxContent>
              </v:textbox>
            </v:shape>
            <v:shape id="Text Box 6" o:spid="_x0000_s2062" type="#_x0000_t202" style="position:absolute;left:1985;top:9534;width:8504;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" fillcolor="#cfe5e5" stroked="f" strokecolor="black [0]" strokeweight="2pt">
              <v:shadow color="black [0]"/>
              <v:textbox style="mso-next-textbox:#Text Box 6" inset="2.88pt,2.88pt,2.88pt,2.88pt">
                <w:txbxContent>
                  <w:p w14:paraId="38E8DAA6" w14:textId="77777777" w:rsidR="009C7728" w:rsidRDefault="009C7728" w:rsidP="009C7728">
                    <w:pPr>
                      <w:widowControl w:val="0"/>
                      <w:spacing w:before="60"/>
                      <w:rPr>
                        <w:lang w:val="mi-NZ"/>
                      </w:rPr>
                    </w:pPr>
                    <w:r>
                      <w:rPr>
                        <w:lang w:val="mi-NZ"/>
                      </w:rPr>
                      <w:t>Integration tier</w:t>
                    </w:r>
                  </w:p>
                </w:txbxContent>
              </v:textbox>
            </v:shape>
            <w10:anchorlock/>
          </v:group>
        </w:pict>
      </w:r>
    </w:p>
    <w:p w14:paraId="0EC38134" w14:textId="77777777" w:rsidR="009C7728" w:rsidRPr="00BD16B4" w:rsidRDefault="009C7728" w:rsidP="009C7728">
      <w:pPr>
        <w:pStyle w:val="Heading3"/>
      </w:pPr>
      <w:bookmarkStart w:id="493" w:name="_Toc453770309"/>
      <w:r w:rsidRPr="00BD16B4">
        <w:t>Presentation tier</w:t>
      </w:r>
      <w:bookmarkEnd w:id="493"/>
    </w:p>
    <w:p w14:paraId="7D404E07" w14:textId="77777777" w:rsidR="009C7728" w:rsidRPr="00BD16B4" w:rsidRDefault="009C7728" w:rsidP="004E1B8C">
      <w:pPr>
        <w:pStyle w:val="Heading4"/>
      </w:pPr>
      <w:r w:rsidRPr="00BD16B4">
        <w:t>Web application</w:t>
      </w:r>
    </w:p>
    <w:p w14:paraId="26FE4DD8" w14:textId="77777777" w:rsidR="009C7728" w:rsidRPr="00BD16B4" w:rsidRDefault="009C7728" w:rsidP="009C7728">
      <w:pPr>
        <w:pStyle w:val="BodyText"/>
      </w:pPr>
      <w:r w:rsidRPr="00BD16B4">
        <w:t xml:space="preserve">The web presentation tier is realised using ASP.NET with bespoke written Web Controls and Web Forms. </w:t>
      </w:r>
    </w:p>
    <w:p w14:paraId="04FD0F25" w14:textId="77777777" w:rsidR="009C7728" w:rsidRPr="00BD16B4" w:rsidRDefault="009C7728" w:rsidP="009C7728">
      <w:pPr>
        <w:pStyle w:val="BodyText"/>
      </w:pPr>
      <w:r w:rsidRPr="00BD16B4">
        <w:t>The presentation layer produces a custom CSS stylesheet specifically designed for displaying the main application for desktop users.</w:t>
      </w:r>
    </w:p>
    <w:p w14:paraId="7B3AB057" w14:textId="77777777" w:rsidR="009C7728" w:rsidRPr="00BD16B4" w:rsidRDefault="009C7728" w:rsidP="004E1B8C">
      <w:pPr>
        <w:pStyle w:val="Heading4"/>
      </w:pPr>
      <w:r w:rsidRPr="00BD16B4">
        <w:t>Reports</w:t>
      </w:r>
    </w:p>
    <w:p w14:paraId="158BF8C3" w14:textId="77777777" w:rsidR="009C7728" w:rsidRPr="00BD16B4" w:rsidRDefault="009C7728" w:rsidP="009C7728">
      <w:pPr>
        <w:pStyle w:val="BodyText"/>
      </w:pPr>
      <w:r w:rsidRPr="00BD16B4">
        <w:t>Reports are provided using Microsoft SQL Server Reporting Services. The reports are presented to users by making use of Microsoft’s ReportViewer control. This allows the Register to render reports directly within the application itself</w:t>
      </w:r>
      <w:bookmarkStart w:id="494" w:name="_Toc453770310"/>
      <w:r w:rsidRPr="00BD16B4">
        <w:t>.</w:t>
      </w:r>
    </w:p>
    <w:p w14:paraId="35D30DC2" w14:textId="77777777" w:rsidR="009C7728" w:rsidRPr="00BD16B4" w:rsidRDefault="009C7728" w:rsidP="009C7728">
      <w:pPr>
        <w:pStyle w:val="Heading3"/>
      </w:pPr>
      <w:r w:rsidRPr="00BD16B4">
        <w:t>Application tier</w:t>
      </w:r>
      <w:bookmarkEnd w:id="494"/>
    </w:p>
    <w:p w14:paraId="7CC398CD" w14:textId="77777777" w:rsidR="009C7728" w:rsidRPr="00BD16B4" w:rsidRDefault="009C7728" w:rsidP="004E1B8C">
      <w:pPr>
        <w:pStyle w:val="Heading4"/>
      </w:pPr>
      <w:r w:rsidRPr="00BD16B4">
        <w:t>Business logic</w:t>
      </w:r>
    </w:p>
    <w:p w14:paraId="76C9DBB1" w14:textId="77777777" w:rsidR="009C7728" w:rsidRPr="00BD16B4" w:rsidRDefault="009C7728" w:rsidP="009C7728">
      <w:pPr>
        <w:pStyle w:val="BodyText"/>
      </w:pPr>
      <w:r w:rsidRPr="00BD16B4">
        <w:t>The business logic is broken into multiple components within the business layer. This is done to aid modularity of design such that any component could be rewritten without affecting the rest of the business logic as long as its interface remains the same.</w:t>
      </w:r>
    </w:p>
    <w:p w14:paraId="38FE12CE" w14:textId="77777777" w:rsidR="009C7728" w:rsidRPr="00BD16B4" w:rsidRDefault="009C7728" w:rsidP="004E1B8C">
      <w:pPr>
        <w:pStyle w:val="Heading4"/>
      </w:pPr>
      <w:r w:rsidRPr="00BD16B4">
        <w:lastRenderedPageBreak/>
        <w:t>Persistence framework</w:t>
      </w:r>
    </w:p>
    <w:p w14:paraId="06244C45" w14:textId="77777777" w:rsidR="009C7728" w:rsidRPr="00BD16B4" w:rsidRDefault="009C7728" w:rsidP="009C7728">
      <w:pPr>
        <w:pStyle w:val="BodyText"/>
      </w:pPr>
      <w:r w:rsidRPr="00BD16B4">
        <w:t>Access to the database is through Microsoft Entity Framework 6. This provides an object-relation mapping between entity objects and the underlying database tables. The solution makes extensive use of stored procedures for both data retrieval and data updates.</w:t>
      </w:r>
    </w:p>
    <w:p w14:paraId="398EA7F7" w14:textId="77777777" w:rsidR="009C7728" w:rsidRPr="00BD16B4" w:rsidRDefault="009C7728" w:rsidP="004E1B8C">
      <w:pPr>
        <w:pStyle w:val="Heading4"/>
      </w:pPr>
      <w:r w:rsidRPr="00BD16B4">
        <w:t>Windows services</w:t>
      </w:r>
    </w:p>
    <w:p w14:paraId="30CE91B6" w14:textId="77777777" w:rsidR="009C7728" w:rsidRPr="00BD16B4" w:rsidRDefault="009C7728" w:rsidP="009C7728">
      <w:pPr>
        <w:pStyle w:val="BodyText"/>
      </w:pPr>
      <w:r w:rsidRPr="00BD16B4">
        <w:t>The application requires several services to provide background processing. These include:</w:t>
      </w:r>
    </w:p>
    <w:p w14:paraId="7FB8CAEE" w14:textId="77777777" w:rsidR="009C7728" w:rsidRPr="00BD16B4" w:rsidRDefault="009C7728" w:rsidP="009C7728">
      <w:pPr>
        <w:pStyle w:val="Bullet"/>
      </w:pPr>
      <w:r w:rsidRPr="00BD16B4">
        <w:t>sending SMS messages</w:t>
      </w:r>
    </w:p>
    <w:p w14:paraId="6F4E082A" w14:textId="77777777" w:rsidR="009C7728" w:rsidRPr="00BD16B4" w:rsidRDefault="009C7728" w:rsidP="009C7728">
      <w:pPr>
        <w:pStyle w:val="Bullet"/>
      </w:pPr>
      <w:r w:rsidRPr="00BD16B4">
        <w:t>sending messages to and from the International Transaction Log (ITL) and processing those messages.</w:t>
      </w:r>
    </w:p>
    <w:p w14:paraId="1F9C2F44" w14:textId="77777777" w:rsidR="009C7728" w:rsidRPr="00BD16B4" w:rsidRDefault="009C7728" w:rsidP="004E1B8C">
      <w:pPr>
        <w:pStyle w:val="Heading4"/>
      </w:pPr>
      <w:r w:rsidRPr="00BD16B4">
        <w:t>Forms module</w:t>
      </w:r>
    </w:p>
    <w:p w14:paraId="45CE0EDB" w14:textId="77777777" w:rsidR="009C7728" w:rsidRPr="00BD16B4" w:rsidRDefault="009C7728" w:rsidP="009C7728">
      <w:pPr>
        <w:pStyle w:val="BodyText"/>
      </w:pPr>
      <w:r w:rsidRPr="00BD16B4">
        <w:t>A Forms module is used for managing the creation, storage and retrieval of form data and the merging of it with the information in form templates for display purposes.</w:t>
      </w:r>
    </w:p>
    <w:p w14:paraId="0D1CC885" w14:textId="77777777" w:rsidR="009C7728" w:rsidRPr="00BD16B4" w:rsidRDefault="009C7728" w:rsidP="009C7728">
      <w:pPr>
        <w:pStyle w:val="Heading3"/>
      </w:pPr>
      <w:bookmarkStart w:id="495" w:name="_Toc453770311"/>
      <w:r w:rsidRPr="00BD16B4">
        <w:t>Persistence tier</w:t>
      </w:r>
      <w:bookmarkEnd w:id="495"/>
    </w:p>
    <w:p w14:paraId="24454B71" w14:textId="77777777" w:rsidR="009C7728" w:rsidRPr="00BD16B4" w:rsidRDefault="009C7728" w:rsidP="009C7728">
      <w:pPr>
        <w:pStyle w:val="BodyText"/>
      </w:pPr>
      <w:r w:rsidRPr="00BD16B4">
        <w:t>All databases are Microsoft SQL Server 2012 Enterprise Edition. All databases are replicated.</w:t>
      </w:r>
    </w:p>
    <w:p w14:paraId="116BFF93" w14:textId="77777777" w:rsidR="009C7728" w:rsidRPr="00BD16B4" w:rsidRDefault="009C7728" w:rsidP="004E1B8C">
      <w:pPr>
        <w:pStyle w:val="Heading4"/>
      </w:pPr>
      <w:r w:rsidRPr="00BD16B4">
        <w:t>Application database</w:t>
      </w:r>
    </w:p>
    <w:p w14:paraId="773875DA" w14:textId="77777777" w:rsidR="009C7728" w:rsidRPr="00BD16B4" w:rsidRDefault="009C7728" w:rsidP="009C7728">
      <w:pPr>
        <w:pStyle w:val="BodyText"/>
      </w:pPr>
      <w:r w:rsidRPr="00BD16B4">
        <w:t xml:space="preserve">The main database is clustered using Microsoft SQL 2012 Always-on Availability group. Synchronous Mirroring is used to provide a high-availability database for the production databases. Transactions are written into both databases before transaction is completed, giving zero data loss in the event of a local database server failure. Asynchronous mirroring is used to replicate the data to the disaster recovery site. </w:t>
      </w:r>
    </w:p>
    <w:p w14:paraId="4C0E2907" w14:textId="77777777" w:rsidR="009C7728" w:rsidRPr="00BD16B4" w:rsidRDefault="009C7728" w:rsidP="004E1B8C">
      <w:pPr>
        <w:pStyle w:val="Heading4"/>
      </w:pPr>
      <w:r w:rsidRPr="00BD16B4">
        <w:t>SQL Server Reporting Services</w:t>
      </w:r>
    </w:p>
    <w:p w14:paraId="5648BCB2" w14:textId="77777777" w:rsidR="009C7728" w:rsidRPr="00BD16B4" w:rsidRDefault="009C7728" w:rsidP="009C7728">
      <w:pPr>
        <w:pStyle w:val="BodyText"/>
      </w:pPr>
      <w:r w:rsidRPr="00BD16B4">
        <w:t>SQL Server Reporting Services (SSRS) provides the following interface to access reporting data via the application layer.</w:t>
      </w:r>
    </w:p>
    <w:p w14:paraId="3F7BD99F" w14:textId="77777777" w:rsidR="009C7728" w:rsidRPr="00BD16B4" w:rsidRDefault="009C7728" w:rsidP="004E1B8C">
      <w:pPr>
        <w:pStyle w:val="Heading4"/>
      </w:pPr>
      <w:r w:rsidRPr="00BD16B4">
        <w:t>SSRS Report Server</w:t>
      </w:r>
    </w:p>
    <w:p w14:paraId="0D588441" w14:textId="77777777" w:rsidR="009C7728" w:rsidRPr="00BD16B4" w:rsidRDefault="009C7728" w:rsidP="009C7728">
      <w:pPr>
        <w:pStyle w:val="BodyText"/>
        <w:rPr>
          <w:rFonts w:eastAsia="Calibri"/>
        </w:rPr>
      </w:pPr>
      <w:r w:rsidRPr="00BD16B4">
        <w:rPr>
          <w:rFonts w:eastAsia="Calibri"/>
        </w:rPr>
        <w:t>The SSRS Report Server provides a webservice interface to allow report templates and data sources to be created, modified or deleted and also to allow the execution of a report against a given template.</w:t>
      </w:r>
    </w:p>
    <w:p w14:paraId="17D65CC6" w14:textId="77777777" w:rsidR="009C7728" w:rsidRPr="00BD16B4" w:rsidRDefault="009C7728" w:rsidP="004E1B8C">
      <w:pPr>
        <w:pStyle w:val="Heading4"/>
      </w:pPr>
      <w:r w:rsidRPr="00BD16B4">
        <w:t>Reporting database</w:t>
      </w:r>
    </w:p>
    <w:p w14:paraId="15B1E363" w14:textId="77777777" w:rsidR="009C7728" w:rsidRPr="00BD16B4" w:rsidRDefault="009C7728" w:rsidP="009C7728">
      <w:pPr>
        <w:pStyle w:val="BodyText"/>
      </w:pPr>
      <w:r w:rsidRPr="00BD16B4">
        <w:t>The reporting database has two parts. One is a direct copy of the main application database. The other has been transformed to extract some of the more difficult to query information into a simpler schema (to make authoring and executing reports easier).</w:t>
      </w:r>
    </w:p>
    <w:p w14:paraId="646CFD11" w14:textId="77777777" w:rsidR="009C7728" w:rsidRPr="00BD16B4" w:rsidRDefault="009C7728" w:rsidP="004E1B8C">
      <w:pPr>
        <w:pStyle w:val="Heading4"/>
      </w:pPr>
      <w:r w:rsidRPr="00BD16B4">
        <w:t>Forms database</w:t>
      </w:r>
    </w:p>
    <w:p w14:paraId="4435668B" w14:textId="77777777" w:rsidR="009C7728" w:rsidRPr="00BD16B4" w:rsidRDefault="009C7728" w:rsidP="009C7728">
      <w:pPr>
        <w:pStyle w:val="BodyText"/>
      </w:pPr>
      <w:r w:rsidRPr="00BD16B4">
        <w:t xml:space="preserve">The Forms database stores all data for forms, including a full version history of forms as they are edited. </w:t>
      </w:r>
    </w:p>
    <w:p w14:paraId="4FABB584" w14:textId="77777777" w:rsidR="009C7728" w:rsidRPr="00BD16B4" w:rsidRDefault="009C7728" w:rsidP="009C7728">
      <w:pPr>
        <w:pStyle w:val="Heading3"/>
      </w:pPr>
      <w:bookmarkStart w:id="496" w:name="_Toc453770312"/>
      <w:r w:rsidRPr="00BD16B4">
        <w:lastRenderedPageBreak/>
        <w:t>Integration tier</w:t>
      </w:r>
      <w:bookmarkEnd w:id="496"/>
    </w:p>
    <w:p w14:paraId="095F6CB0" w14:textId="77777777" w:rsidR="009C7728" w:rsidRPr="00BD16B4" w:rsidRDefault="009C7728" w:rsidP="004E1B8C">
      <w:pPr>
        <w:pStyle w:val="Heading4"/>
      </w:pPr>
      <w:r w:rsidRPr="00BD16B4">
        <w:t>ITL integration</w:t>
      </w:r>
    </w:p>
    <w:p w14:paraId="2CD94659" w14:textId="77777777" w:rsidR="009C7728" w:rsidRPr="00BD16B4" w:rsidRDefault="009C7728" w:rsidP="009C7728">
      <w:pPr>
        <w:pStyle w:val="BodyText"/>
      </w:pPr>
      <w:r w:rsidRPr="00BD16B4">
        <w:t>The integration with the ITL consists of one webservice that is published by the ITL and is referenced by the Register and one webservice that is published by the Register and is referenced by the ITL. These webservices conform to the Data Exchange Standards as published by the UNFCCC.</w:t>
      </w:r>
    </w:p>
    <w:p w14:paraId="266C96D4" w14:textId="77777777" w:rsidR="009C7728" w:rsidRPr="00BD16B4" w:rsidRDefault="009C7728" w:rsidP="004E1B8C">
      <w:pPr>
        <w:pStyle w:val="Heading4"/>
      </w:pPr>
      <w:r w:rsidRPr="00BD16B4">
        <w:t>SMS integration</w:t>
      </w:r>
    </w:p>
    <w:p w14:paraId="2EE31C55" w14:textId="77777777" w:rsidR="009C7728" w:rsidRPr="00BD16B4" w:rsidRDefault="009C7728" w:rsidP="009C7728">
      <w:pPr>
        <w:pStyle w:val="BodyText"/>
      </w:pPr>
      <w:r w:rsidRPr="00BD16B4">
        <w:t xml:space="preserve">An SMS Gateway interface allows the Register to send SMS messages to users that have a valid SMS number. </w:t>
      </w:r>
    </w:p>
    <w:p w14:paraId="59C2B022" w14:textId="77777777" w:rsidR="009C7728" w:rsidRPr="00BD16B4" w:rsidRDefault="009C7728" w:rsidP="009C7728">
      <w:pPr>
        <w:pStyle w:val="Heading3"/>
      </w:pPr>
      <w:r w:rsidRPr="00BD16B4">
        <w:t>Data exchange</w:t>
      </w:r>
    </w:p>
    <w:p w14:paraId="1CEBFE97" w14:textId="77777777" w:rsidR="009C7728" w:rsidRPr="00BD16B4" w:rsidRDefault="009C7728" w:rsidP="009C7728">
      <w:pPr>
        <w:pStyle w:val="BodyText"/>
      </w:pPr>
      <w:r w:rsidRPr="00BD16B4">
        <w:t>The integration with the ITL consists of one webservice that is published by the ITL and is referenced by the Register and one webservice that must be published by the Register and is referenced by the ITL. These webservices conform to the Data Exchange Standards</w:t>
      </w:r>
      <w:r w:rsidRPr="00BD16B4" w:rsidDel="00A75508">
        <w:t xml:space="preserve"> </w:t>
      </w:r>
      <w:r w:rsidRPr="00BD16B4">
        <w:t>as published by the UNFCCC.</w:t>
      </w:r>
    </w:p>
    <w:p w14:paraId="2492B276" w14:textId="77777777" w:rsidR="009C7728" w:rsidRPr="00BD16B4" w:rsidRDefault="009C7728" w:rsidP="009C7728">
      <w:pPr>
        <w:pStyle w:val="BodyText"/>
      </w:pPr>
      <w:r w:rsidRPr="00BD16B4">
        <w:t>Before the Register went live, it underwent Data Exchange Standards</w:t>
      </w:r>
      <w:r w:rsidRPr="00BD16B4" w:rsidDel="00A75508">
        <w:t xml:space="preserve"> </w:t>
      </w:r>
      <w:r w:rsidRPr="00BD16B4">
        <w:t xml:space="preserve">Annex H testing, which was completed successfully in late July 2016. This testing, in combination with ITL review and collective assessment of readiness documentation, confirmed that the Register conformed to required technical standards of data exchange. </w:t>
      </w:r>
    </w:p>
    <w:p w14:paraId="2AD516E9" w14:textId="77777777" w:rsidR="009C7728" w:rsidRPr="00BD16B4" w:rsidRDefault="009C7728" w:rsidP="009C7728">
      <w:pPr>
        <w:pStyle w:val="Heading3"/>
      </w:pPr>
      <w:r w:rsidRPr="00BD16B4">
        <w:t>Minimising discrepancies</w:t>
      </w:r>
    </w:p>
    <w:p w14:paraId="4BDCAB68" w14:textId="77777777" w:rsidR="009C7728" w:rsidRPr="00BD16B4" w:rsidRDefault="009C7728" w:rsidP="009C7728">
      <w:pPr>
        <w:pStyle w:val="BodyText"/>
      </w:pPr>
      <w:r w:rsidRPr="00BD16B4">
        <w:t xml:space="preserve">The Register has multiple checks in place to minimise discrepancies in transactions. For example, the application interface prevents users from selecting the wrong units to fulfil a notification or instruction. Checks in the Register generally follow the checks performed by the ITL on a given transaction. </w:t>
      </w:r>
    </w:p>
    <w:p w14:paraId="6BA8888C" w14:textId="77777777" w:rsidR="009C7728" w:rsidRPr="00BD16B4" w:rsidRDefault="009C7728" w:rsidP="009C7728">
      <w:pPr>
        <w:pStyle w:val="BodyText"/>
      </w:pPr>
      <w:r w:rsidRPr="00BD16B4">
        <w:t xml:space="preserve">Transactions made in error can be reversed, noting that transactions that have been approved and finalised through the ITL cannot be rolled back without the agreement of the ITL administrator. Whether or not a transaction needs to be verified by the ITL depends on the transaction type. </w:t>
      </w:r>
    </w:p>
    <w:p w14:paraId="3B8B65E9" w14:textId="77777777" w:rsidR="009C7728" w:rsidRPr="00BD16B4" w:rsidRDefault="009C7728" w:rsidP="009C7728">
      <w:pPr>
        <w:pStyle w:val="BodyText"/>
      </w:pPr>
      <w:r w:rsidRPr="00BD16B4">
        <w:t>To minimise discrepancies between the Register and the ITL, the following measures have been adopted.</w:t>
      </w:r>
    </w:p>
    <w:p w14:paraId="6DD169A4" w14:textId="77777777" w:rsidR="009C7728" w:rsidRPr="00BD16B4" w:rsidRDefault="009C7728" w:rsidP="009C7728">
      <w:pPr>
        <w:pStyle w:val="Bullet"/>
      </w:pPr>
      <w:r w:rsidRPr="00BD16B4">
        <w:t>An ITL approval step is provided for transaction workflows involving Kyoto Units in which discrepancies could occur.</w:t>
      </w:r>
    </w:p>
    <w:p w14:paraId="15CEBC28" w14:textId="77777777" w:rsidR="009C7728" w:rsidRPr="00BD16B4" w:rsidRDefault="009C7728" w:rsidP="009C7728">
      <w:pPr>
        <w:pStyle w:val="Bullet"/>
      </w:pPr>
      <w:r w:rsidRPr="00BD16B4">
        <w:t>All units that are involved in a transaction are earmarked within the Register, thereby preventing the units from being involved in another transaction until a response has been received from the ITL and the current transaction has been completed.</w:t>
      </w:r>
    </w:p>
    <w:p w14:paraId="3714FC82" w14:textId="77777777" w:rsidR="009C7728" w:rsidRPr="00BD16B4" w:rsidRDefault="009C7728" w:rsidP="009C7728">
      <w:pPr>
        <w:pStyle w:val="Bullet"/>
      </w:pPr>
      <w:r w:rsidRPr="00BD16B4">
        <w:t>The Register implements internal controls in accordance with the checks performed by the ITL, as documented in Annex H of the Data Exchange Standards.</w:t>
      </w:r>
    </w:p>
    <w:p w14:paraId="3B27E6FC" w14:textId="77777777" w:rsidR="009C7728" w:rsidRPr="00BD16B4" w:rsidRDefault="009C7728" w:rsidP="009C7728">
      <w:pPr>
        <w:pStyle w:val="Bullet"/>
      </w:pPr>
      <w:r w:rsidRPr="00BD16B4">
        <w:t>Daily reconciliation between the Register and the ITL occurs. Any discrepancies will display as alerts in the Register.</w:t>
      </w:r>
    </w:p>
    <w:p w14:paraId="04D530A3" w14:textId="77777777" w:rsidR="009C7728" w:rsidRPr="00BD16B4" w:rsidRDefault="009C7728" w:rsidP="009C7728">
      <w:pPr>
        <w:pStyle w:val="Bullet"/>
      </w:pPr>
      <w:r w:rsidRPr="00BD16B4">
        <w:lastRenderedPageBreak/>
        <w:t>If an unforeseen failure occurs, the data discrepancies between the Register and the ITL can be corrected via manual intervention functionality within the Register. Reconciliation would then be performed to verify that the data are synchronous between the Register and the ITL. If a discrepancy recurs in the Register, the following measures will be applied:</w:t>
      </w:r>
    </w:p>
    <w:p w14:paraId="01B77D97" w14:textId="77777777" w:rsidR="009C7728" w:rsidRPr="00BD16B4" w:rsidRDefault="009C7728" w:rsidP="00D3471F">
      <w:pPr>
        <w:pStyle w:val="Numberedparagraph"/>
        <w:numPr>
          <w:ilvl w:val="0"/>
          <w:numId w:val="23"/>
        </w:numPr>
        <w:ind w:left="794"/>
        <w:rPr>
          <w:rFonts w:eastAsia="Calibri"/>
        </w:rPr>
      </w:pPr>
      <w:r w:rsidRPr="00BD16B4">
        <w:rPr>
          <w:rFonts w:eastAsia="Calibri"/>
        </w:rPr>
        <w:t>identification and registration of the discrepancy</w:t>
      </w:r>
    </w:p>
    <w:p w14:paraId="7759A8F3" w14:textId="77777777" w:rsidR="009C7728" w:rsidRPr="00BD16B4" w:rsidRDefault="009C7728" w:rsidP="009C7728">
      <w:pPr>
        <w:pStyle w:val="Numberedparagraph"/>
        <w:numPr>
          <w:ilvl w:val="0"/>
          <w:numId w:val="21"/>
        </w:numPr>
        <w:ind w:left="0" w:firstLine="397"/>
        <w:rPr>
          <w:rFonts w:eastAsia="Calibri"/>
        </w:rPr>
      </w:pPr>
      <w:r w:rsidRPr="00BD16B4">
        <w:rPr>
          <w:rFonts w:eastAsia="Calibri"/>
        </w:rPr>
        <w:t>identification of the source of the discrepancy</w:t>
      </w:r>
    </w:p>
    <w:p w14:paraId="45B35ABB" w14:textId="77777777" w:rsidR="009C7728" w:rsidRPr="00BD16B4" w:rsidRDefault="009C7728" w:rsidP="009C7728">
      <w:pPr>
        <w:pStyle w:val="Numberedparagraph"/>
        <w:numPr>
          <w:ilvl w:val="0"/>
          <w:numId w:val="21"/>
        </w:numPr>
        <w:ind w:left="0" w:firstLine="397"/>
        <w:rPr>
          <w:rFonts w:eastAsia="Calibri"/>
        </w:rPr>
      </w:pPr>
      <w:r w:rsidRPr="00BD16B4">
        <w:rPr>
          <w:rFonts w:eastAsia="Calibri"/>
        </w:rPr>
        <w:t>elaboration of a resolution plan and testing plan</w:t>
      </w:r>
    </w:p>
    <w:p w14:paraId="0CAC8A6F" w14:textId="77777777" w:rsidR="009C7728" w:rsidRPr="00BD16B4" w:rsidRDefault="009C7728" w:rsidP="009C7728">
      <w:pPr>
        <w:pStyle w:val="Numberedparagraph"/>
        <w:numPr>
          <w:ilvl w:val="0"/>
          <w:numId w:val="21"/>
        </w:numPr>
        <w:ind w:left="0" w:firstLine="397"/>
        <w:rPr>
          <w:rFonts w:eastAsia="Calibri"/>
        </w:rPr>
      </w:pPr>
      <w:r w:rsidRPr="00BD16B4">
        <w:rPr>
          <w:rFonts w:eastAsia="Calibri"/>
        </w:rPr>
        <w:t>correction and testing of the software</w:t>
      </w:r>
    </w:p>
    <w:p w14:paraId="52477746" w14:textId="77777777" w:rsidR="009C7728" w:rsidRPr="00BD16B4" w:rsidRDefault="009C7728" w:rsidP="009C7728">
      <w:pPr>
        <w:pStyle w:val="Numberedparagraph"/>
        <w:numPr>
          <w:ilvl w:val="0"/>
          <w:numId w:val="21"/>
        </w:numPr>
        <w:ind w:left="0" w:firstLine="397"/>
        <w:rPr>
          <w:rFonts w:eastAsia="Calibri"/>
        </w:rPr>
      </w:pPr>
      <w:r w:rsidRPr="00BD16B4">
        <w:rPr>
          <w:rFonts w:eastAsia="Calibri"/>
        </w:rPr>
        <w:t>release and deployment of the corrected software.</w:t>
      </w:r>
    </w:p>
    <w:p w14:paraId="1AB7A60D" w14:textId="77777777" w:rsidR="009C7728" w:rsidRPr="00BD16B4" w:rsidRDefault="009C7728" w:rsidP="009C7728">
      <w:pPr>
        <w:pStyle w:val="Heading3"/>
        <w:spacing w:before="320"/>
      </w:pPr>
      <w:r w:rsidRPr="00BD16B4">
        <w:t>Security measures</w:t>
      </w:r>
    </w:p>
    <w:p w14:paraId="126A1099" w14:textId="77777777" w:rsidR="009C7728" w:rsidRPr="00BD16B4" w:rsidRDefault="009C7728" w:rsidP="009C7728">
      <w:pPr>
        <w:pStyle w:val="BodyText"/>
        <w:spacing w:after="100"/>
      </w:pPr>
      <w:r w:rsidRPr="00BD16B4">
        <w:t>In the Register, we continue to manage security in three main ways:</w:t>
      </w:r>
    </w:p>
    <w:p w14:paraId="0A0B8930" w14:textId="77777777" w:rsidR="009C7728" w:rsidRPr="00BD16B4" w:rsidRDefault="009C7728" w:rsidP="009C7728">
      <w:pPr>
        <w:pStyle w:val="Bullet"/>
        <w:spacing w:after="100"/>
      </w:pPr>
      <w:r w:rsidRPr="00BD16B4">
        <w:t>user management – individuals need to log on to the Register as a registered user to use services</w:t>
      </w:r>
    </w:p>
    <w:p w14:paraId="779AB47A" w14:textId="77777777" w:rsidR="009C7728" w:rsidRPr="00BD16B4" w:rsidRDefault="009C7728" w:rsidP="009C7728">
      <w:pPr>
        <w:pStyle w:val="Bullet"/>
        <w:spacing w:after="100"/>
      </w:pPr>
      <w:r w:rsidRPr="00BD16B4">
        <w:t>database management – best-practice systems are in place to manage internet and database security</w:t>
      </w:r>
    </w:p>
    <w:p w14:paraId="050A9573" w14:textId="77777777" w:rsidR="009C7728" w:rsidRPr="00BD16B4" w:rsidRDefault="009C7728" w:rsidP="009C7728">
      <w:pPr>
        <w:pStyle w:val="Bullet"/>
      </w:pPr>
      <w:r w:rsidRPr="00BD16B4">
        <w:t>a digital certificate and VPN are used to connect to the ITL.</w:t>
      </w:r>
    </w:p>
    <w:p w14:paraId="02140A43" w14:textId="77777777" w:rsidR="009C7728" w:rsidRPr="00BD16B4" w:rsidRDefault="009C7728" w:rsidP="009C7728">
      <w:pPr>
        <w:pStyle w:val="BodyText"/>
      </w:pPr>
      <w:r w:rsidRPr="00BD16B4">
        <w:t>The Register uses a number of security standards, including, significantly, the New Zealand Information Security Manual (NZISM), which provides the security framework for the country’s government agencies, as the blueprint for protecting services and integrations. The stated purpose of NZISM is to ensure that a risk-managed approach to cyber security is applied within the Aotearoa New Zealand public sector.</w:t>
      </w:r>
    </w:p>
    <w:p w14:paraId="55DA69A1" w14:textId="77777777" w:rsidR="009C7728" w:rsidRPr="00BD16B4" w:rsidRDefault="009C7728" w:rsidP="009C7728">
      <w:pPr>
        <w:pStyle w:val="BodyText"/>
        <w:spacing w:after="100"/>
      </w:pPr>
      <w:r w:rsidRPr="00BD16B4">
        <w:t>Alignment with NZISM ensures that the Register uses the very best security standards, practices and guidelines available to protect the security of information held and used. This is achieved through implementation of a number of safeguards to protect the overall system, its individual services, its data and its customers. Examples of these safeguards are:</w:t>
      </w:r>
    </w:p>
    <w:p w14:paraId="371335A9" w14:textId="77777777" w:rsidR="009C7728" w:rsidRPr="00BD16B4" w:rsidRDefault="009C7728" w:rsidP="009C7728">
      <w:pPr>
        <w:pStyle w:val="Bullet"/>
        <w:spacing w:after="100"/>
      </w:pPr>
      <w:r w:rsidRPr="00BD16B4">
        <w:t>secured communications between all external systems and with each end-user and customer – using best-practice encryption and signing algorithms</w:t>
      </w:r>
    </w:p>
    <w:p w14:paraId="76FE5BA6" w14:textId="77777777" w:rsidR="009C7728" w:rsidRPr="00BD16B4" w:rsidRDefault="009C7728" w:rsidP="009C7728">
      <w:pPr>
        <w:pStyle w:val="Bullet"/>
        <w:spacing w:after="100"/>
      </w:pPr>
      <w:r w:rsidRPr="00BD16B4">
        <w:t>access via multiple-level firewalls – preventing unauthorised access</w:t>
      </w:r>
    </w:p>
    <w:p w14:paraId="170EE58B" w14:textId="77777777" w:rsidR="009C7728" w:rsidRPr="00BD16B4" w:rsidRDefault="009C7728" w:rsidP="009C7728">
      <w:pPr>
        <w:pStyle w:val="Bullet"/>
        <w:spacing w:after="100"/>
      </w:pPr>
      <w:r w:rsidRPr="00BD16B4">
        <w:t>intrusion detection systems</w:t>
      </w:r>
    </w:p>
    <w:p w14:paraId="3188D140" w14:textId="77777777" w:rsidR="009C7728" w:rsidRPr="00BD16B4" w:rsidRDefault="009C7728" w:rsidP="009C7728">
      <w:pPr>
        <w:pStyle w:val="Bullet"/>
        <w:spacing w:after="100"/>
      </w:pPr>
      <w:r w:rsidRPr="00BD16B4">
        <w:t>security attack-resilient architecture</w:t>
      </w:r>
    </w:p>
    <w:p w14:paraId="68D0503A" w14:textId="77777777" w:rsidR="009C7728" w:rsidRPr="00BD16B4" w:rsidRDefault="009C7728" w:rsidP="009C7728">
      <w:pPr>
        <w:pStyle w:val="Bullet"/>
        <w:spacing w:after="100"/>
      </w:pPr>
      <w:r w:rsidRPr="00BD16B4">
        <w:t>rigorous and ongoing vulnerability testing</w:t>
      </w:r>
    </w:p>
    <w:p w14:paraId="1AA2A1F5" w14:textId="77777777" w:rsidR="009C7728" w:rsidRPr="00BD16B4" w:rsidRDefault="009C7728" w:rsidP="009C7728">
      <w:pPr>
        <w:pStyle w:val="Bullet"/>
      </w:pPr>
      <w:r w:rsidRPr="00BD16B4">
        <w:t>best-practice audits of infrastructure and software.</w:t>
      </w:r>
    </w:p>
    <w:p w14:paraId="6C2BE228" w14:textId="77777777" w:rsidR="009C7728" w:rsidRPr="00BD16B4" w:rsidRDefault="009C7728" w:rsidP="009C7728">
      <w:pPr>
        <w:pStyle w:val="BodyText"/>
      </w:pPr>
      <w:r w:rsidRPr="00BD16B4">
        <w:t>Monitoring is implemented, which includes tracking of:</w:t>
      </w:r>
    </w:p>
    <w:p w14:paraId="6A901489" w14:textId="77777777" w:rsidR="009C7728" w:rsidRPr="00BD16B4" w:rsidRDefault="009C7728" w:rsidP="009C7728">
      <w:pPr>
        <w:pStyle w:val="Bullet"/>
      </w:pPr>
      <w:r w:rsidRPr="00BD16B4">
        <w:t>the availability, performance and capacity of the Windows server infrastructure and SQL databases managed by Datacom in the Register’s EPA production, pre-production and disaster recovery environments</w:t>
      </w:r>
    </w:p>
    <w:p w14:paraId="3470BD49" w14:textId="77777777" w:rsidR="009C7728" w:rsidRPr="00BD16B4" w:rsidRDefault="009C7728" w:rsidP="009C7728">
      <w:pPr>
        <w:pStyle w:val="Bullet"/>
      </w:pPr>
      <w:r w:rsidRPr="00BD16B4">
        <w:t>the availability of the services/processes of the critical application(s) running on the infrastructure.</w:t>
      </w:r>
    </w:p>
    <w:p w14:paraId="641A7A7A" w14:textId="77777777" w:rsidR="009C7728" w:rsidRPr="00BD16B4" w:rsidRDefault="009C7728" w:rsidP="009C7728">
      <w:pPr>
        <w:pStyle w:val="BodyText"/>
      </w:pPr>
      <w:r w:rsidRPr="00BD16B4">
        <w:t>ITL review and collective assessment of Register readiness documentation before it went live confirmed that the Register conforms to required technical and security standards.</w:t>
      </w:r>
    </w:p>
    <w:p w14:paraId="66D975CE" w14:textId="77777777" w:rsidR="009C7728" w:rsidRPr="00BD16B4" w:rsidRDefault="009C7728" w:rsidP="009C7728">
      <w:pPr>
        <w:pStyle w:val="Heading3"/>
      </w:pPr>
      <w:r w:rsidRPr="00BD16B4">
        <w:lastRenderedPageBreak/>
        <w:t>Public information</w:t>
      </w:r>
    </w:p>
    <w:p w14:paraId="3F8957B9" w14:textId="77777777" w:rsidR="009C7728" w:rsidRPr="00BD16B4" w:rsidRDefault="009C7728" w:rsidP="009C7728">
      <w:pPr>
        <w:pStyle w:val="BodyText"/>
      </w:pPr>
      <w:r w:rsidRPr="00BD16B4">
        <w:t>The publicly accessible information from New Zealand’s national registry is available online</w:t>
      </w:r>
      <w:r w:rsidRPr="00BD16B4">
        <w:rPr>
          <w:rStyle w:val="FootnoteReference"/>
        </w:rPr>
        <w:footnoteReference w:id="608"/>
      </w:r>
      <w:r w:rsidRPr="00BD16B4">
        <w:t xml:space="preserve"> and from public information and reports. Note that several components of the Register’s information are deemed confidential at the detailed level and are instead presented at summary levels. The following types of information can be accessed via the Register’s publicly accessible user interface:</w:t>
      </w:r>
    </w:p>
    <w:p w14:paraId="12F71FAA" w14:textId="77777777" w:rsidR="009C7728" w:rsidRPr="00BD16B4" w:rsidRDefault="009C7728" w:rsidP="009C7728">
      <w:pPr>
        <w:pStyle w:val="Bullet"/>
      </w:pPr>
      <w:r w:rsidRPr="00BD16B4">
        <w:t>emissions unit holdings and transactions</w:t>
      </w:r>
    </w:p>
    <w:p w14:paraId="2D866CDD" w14:textId="77777777" w:rsidR="009C7728" w:rsidRPr="00BD16B4" w:rsidRDefault="009C7728" w:rsidP="009C7728">
      <w:pPr>
        <w:pStyle w:val="Bullet"/>
      </w:pPr>
      <w:r w:rsidRPr="00BD16B4">
        <w:t>transactions between the Register and overseas registers</w:t>
      </w:r>
    </w:p>
    <w:p w14:paraId="190B254B" w14:textId="77777777" w:rsidR="009C7728" w:rsidRPr="00BD16B4" w:rsidRDefault="009C7728" w:rsidP="009C7728">
      <w:pPr>
        <w:pStyle w:val="Bullet"/>
      </w:pPr>
      <w:r w:rsidRPr="00BD16B4">
        <w:t>accounts in the Register</w:t>
      </w:r>
    </w:p>
    <w:p w14:paraId="5BA25AE7" w14:textId="77777777" w:rsidR="009C7728" w:rsidRPr="00BD16B4" w:rsidRDefault="009C7728" w:rsidP="009C7728">
      <w:pPr>
        <w:pStyle w:val="Bullet"/>
      </w:pPr>
      <w:r w:rsidRPr="00BD16B4">
        <w:t>account holders in the Register</w:t>
      </w:r>
    </w:p>
    <w:p w14:paraId="7E8633A5" w14:textId="77777777" w:rsidR="009C7728" w:rsidRPr="00BD16B4" w:rsidRDefault="009C7728" w:rsidP="009C7728">
      <w:pPr>
        <w:pStyle w:val="Bullet"/>
      </w:pPr>
      <w:r w:rsidRPr="00BD16B4">
        <w:t>New Zealand projects eligible for emissions units.</w:t>
      </w:r>
    </w:p>
    <w:p w14:paraId="7D783813" w14:textId="77777777" w:rsidR="009C7728" w:rsidRPr="00BD16B4" w:rsidRDefault="009C7728" w:rsidP="009C7728">
      <w:pPr>
        <w:pStyle w:val="BodyText"/>
      </w:pPr>
      <w:r w:rsidRPr="00BD16B4">
        <w:t xml:space="preserve">For a detailed list of publicly accessible information, see table 12.4.1 of </w:t>
      </w:r>
      <w:r w:rsidRPr="00BD16B4">
        <w:rPr>
          <w:i/>
          <w:iCs/>
        </w:rPr>
        <w:t>New Zealand’s Greenhouse Gas Inventory 1990–2020</w:t>
      </w:r>
      <w:r w:rsidRPr="00BD16B4">
        <w:t>.</w:t>
      </w:r>
      <w:r w:rsidRPr="00BD16B4">
        <w:rPr>
          <w:rStyle w:val="FootnoteReference"/>
        </w:rPr>
        <w:footnoteReference w:id="609"/>
      </w:r>
    </w:p>
    <w:p w14:paraId="080C29EA" w14:textId="77777777" w:rsidR="009C7728" w:rsidRPr="00BD16B4" w:rsidRDefault="009C7728" w:rsidP="009C7728">
      <w:pPr>
        <w:pStyle w:val="Heading3"/>
      </w:pPr>
      <w:r w:rsidRPr="00BD16B4">
        <w:t>New Zealand Emissions Trading Register application and database backup and disaster recovery</w:t>
      </w:r>
    </w:p>
    <w:p w14:paraId="55B0B6F8" w14:textId="77777777" w:rsidR="009C7728" w:rsidRPr="00BD16B4" w:rsidRDefault="009C7728" w:rsidP="009C7728">
      <w:pPr>
        <w:pStyle w:val="BodyText"/>
        <w:rPr>
          <w:rFonts w:eastAsia="Calibri"/>
        </w:rPr>
      </w:pPr>
      <w:r w:rsidRPr="00BD16B4">
        <w:rPr>
          <w:rFonts w:eastAsia="Calibri"/>
        </w:rPr>
        <w:t>Hypervisor-based backups are used to provide backups for the Registry solution. The backups taken are as a full machine snapshot (capturing the entire virtual machine disk images, including both the operating system and additional virtual machine (VM) volumes within the guest). The machines are captured in a running state, which includes a copy of memory. If restored, then the machine will be equivalent to a live server. Backups occur at night, when transaction counts are low.</w:t>
      </w:r>
    </w:p>
    <w:p w14:paraId="77683470" w14:textId="77777777" w:rsidR="009C7728" w:rsidRPr="00BD16B4" w:rsidRDefault="009C7728" w:rsidP="009C7728">
      <w:pPr>
        <w:pStyle w:val="BodyText"/>
        <w:rPr>
          <w:rFonts w:eastAsia="Calibri"/>
        </w:rPr>
      </w:pPr>
      <w:r w:rsidRPr="00BD16B4">
        <w:rPr>
          <w:rFonts w:eastAsia="Calibri"/>
        </w:rPr>
        <w:t>All databases are backed up to local disks using standard SQL Server maintenance plans and are retained on local disk for two days. The database file backups are written to tape. Table B.2 gives details of the backup approach and timing.</w:t>
      </w:r>
    </w:p>
    <w:p w14:paraId="73B09F8D" w14:textId="788FBA85" w:rsidR="009C7728" w:rsidRPr="00BD16B4" w:rsidRDefault="009C7728" w:rsidP="009C7728">
      <w:pPr>
        <w:pStyle w:val="Tableheading"/>
      </w:pPr>
      <w:bookmarkStart w:id="497" w:name="_Toc498517186"/>
      <w:bookmarkStart w:id="498" w:name="_Toc500767060"/>
      <w:bookmarkStart w:id="499" w:name="_Toc121773837"/>
      <w:r w:rsidRPr="00BD16B4">
        <w:rPr>
          <w:rFonts w:eastAsia="Calibri"/>
        </w:rPr>
        <w:t>Table B.</w:t>
      </w:r>
      <w:r w:rsidRPr="00BD16B4">
        <w:rPr>
          <w:rFonts w:eastAsia="Calibri"/>
        </w:rPr>
        <w:fldChar w:fldCharType="begin"/>
      </w:r>
      <w:r w:rsidRPr="00BD16B4">
        <w:rPr>
          <w:rFonts w:eastAsia="Calibri"/>
        </w:rPr>
        <w:instrText xml:space="preserve"> SEQ Table_B. \* ARABIC </w:instrText>
      </w:r>
      <w:r w:rsidRPr="00BD16B4">
        <w:rPr>
          <w:rFonts w:eastAsia="Calibri"/>
        </w:rPr>
        <w:fldChar w:fldCharType="separate"/>
      </w:r>
      <w:r w:rsidR="00A60C35">
        <w:rPr>
          <w:rFonts w:eastAsia="Calibri"/>
          <w:noProof/>
        </w:rPr>
        <w:t>2</w:t>
      </w:r>
      <w:r w:rsidRPr="00BD16B4">
        <w:rPr>
          <w:rFonts w:eastAsia="Calibri"/>
        </w:rPr>
        <w:fldChar w:fldCharType="end"/>
      </w:r>
      <w:r w:rsidRPr="00BD16B4">
        <w:rPr>
          <w:rFonts w:eastAsia="Calibri"/>
        </w:rPr>
        <w:t>:</w:t>
      </w:r>
      <w:r w:rsidRPr="00BD16B4">
        <w:tab/>
      </w:r>
      <w:r w:rsidRPr="00BD16B4">
        <w:rPr>
          <w:rFonts w:eastAsia="Calibri"/>
        </w:rPr>
        <w:t>Database backup process for the</w:t>
      </w:r>
      <w:r w:rsidRPr="00BD16B4">
        <w:rPr>
          <w:rFonts w:cs="Arial"/>
          <w:sz w:val="28"/>
          <w:szCs w:val="28"/>
        </w:rPr>
        <w:t xml:space="preserve"> </w:t>
      </w:r>
      <w:r w:rsidRPr="00BD16B4">
        <w:t>New Zealand Emissions Trading Register</w:t>
      </w:r>
      <w:bookmarkEnd w:id="497"/>
      <w:bookmarkEnd w:id="498"/>
      <w:bookmarkEnd w:id="499"/>
    </w:p>
    <w:tbl>
      <w:tblPr>
        <w:tblW w:w="8562" w:type="dxa"/>
        <w:tblInd w:w="108"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1019"/>
        <w:gridCol w:w="1992"/>
        <w:gridCol w:w="1898"/>
        <w:gridCol w:w="1187"/>
        <w:gridCol w:w="1229"/>
        <w:gridCol w:w="1237"/>
      </w:tblGrid>
      <w:tr w:rsidR="009C7728" w:rsidRPr="00BD16B4" w14:paraId="50AE1662" w14:textId="77777777" w:rsidTr="004A205F">
        <w:trPr>
          <w:tblHeader/>
        </w:trPr>
        <w:tc>
          <w:tcPr>
            <w:tcW w:w="1019" w:type="dxa"/>
            <w:vMerge w:val="restart"/>
            <w:shd w:val="clear" w:color="auto" w:fill="1C556C"/>
            <w:vAlign w:val="bottom"/>
            <w:hideMark/>
          </w:tcPr>
          <w:p w14:paraId="59E5CF98" w14:textId="77777777" w:rsidR="009C7728" w:rsidRPr="00BD16B4" w:rsidRDefault="009C7728" w:rsidP="00F12C9F">
            <w:pPr>
              <w:pStyle w:val="TableTextbold"/>
              <w:keepNext/>
              <w:spacing w:before="40"/>
              <w:rPr>
                <w:rFonts w:eastAsia="Calibri"/>
                <w:color w:val="FFFFFF" w:themeColor="background1"/>
              </w:rPr>
            </w:pPr>
            <w:r w:rsidRPr="00BD16B4">
              <w:rPr>
                <w:rFonts w:eastAsia="Calibri"/>
                <w:color w:val="FFFFFF" w:themeColor="background1"/>
              </w:rPr>
              <w:t>Type</w:t>
            </w:r>
          </w:p>
        </w:tc>
        <w:tc>
          <w:tcPr>
            <w:tcW w:w="1992" w:type="dxa"/>
            <w:vMerge w:val="restart"/>
            <w:shd w:val="clear" w:color="auto" w:fill="1C556C"/>
            <w:vAlign w:val="bottom"/>
            <w:hideMark/>
          </w:tcPr>
          <w:p w14:paraId="6059DF4C" w14:textId="77777777" w:rsidR="009C7728" w:rsidRPr="00BD16B4" w:rsidRDefault="009C7728" w:rsidP="00F12C9F">
            <w:pPr>
              <w:pStyle w:val="TableTextbold"/>
              <w:keepNext/>
              <w:spacing w:before="40"/>
              <w:rPr>
                <w:rFonts w:eastAsia="Calibri"/>
                <w:color w:val="FFFFFF" w:themeColor="background1"/>
              </w:rPr>
            </w:pPr>
            <w:r w:rsidRPr="00BD16B4">
              <w:rPr>
                <w:rFonts w:eastAsia="Calibri"/>
                <w:color w:val="FFFFFF" w:themeColor="background1"/>
              </w:rPr>
              <w:t>Method</w:t>
            </w:r>
          </w:p>
        </w:tc>
        <w:tc>
          <w:tcPr>
            <w:tcW w:w="1898" w:type="dxa"/>
            <w:vMerge w:val="restart"/>
            <w:shd w:val="clear" w:color="auto" w:fill="1C556C"/>
            <w:vAlign w:val="bottom"/>
            <w:hideMark/>
          </w:tcPr>
          <w:p w14:paraId="72D841B8" w14:textId="77777777" w:rsidR="009C7728" w:rsidRPr="00BD16B4" w:rsidRDefault="009C7728" w:rsidP="00F12C9F">
            <w:pPr>
              <w:pStyle w:val="TableTextbold"/>
              <w:keepNext/>
              <w:spacing w:before="40"/>
              <w:rPr>
                <w:rFonts w:eastAsia="Calibri"/>
                <w:color w:val="FFFFFF" w:themeColor="background1"/>
              </w:rPr>
            </w:pPr>
            <w:r w:rsidRPr="00BD16B4">
              <w:rPr>
                <w:rFonts w:eastAsia="Calibri"/>
                <w:color w:val="FFFFFF" w:themeColor="background1"/>
              </w:rPr>
              <w:t>Schedule</w:t>
            </w:r>
          </w:p>
        </w:tc>
        <w:tc>
          <w:tcPr>
            <w:tcW w:w="3653" w:type="dxa"/>
            <w:gridSpan w:val="3"/>
            <w:shd w:val="clear" w:color="auto" w:fill="1C556C"/>
            <w:vAlign w:val="bottom"/>
            <w:hideMark/>
          </w:tcPr>
          <w:p w14:paraId="6D5E2B40" w14:textId="77777777" w:rsidR="009C7728" w:rsidRPr="00BD16B4" w:rsidRDefault="009C7728" w:rsidP="00F12C9F">
            <w:pPr>
              <w:pStyle w:val="TableTextbold"/>
              <w:keepNext/>
              <w:spacing w:before="40" w:after="0"/>
              <w:jc w:val="center"/>
              <w:rPr>
                <w:rFonts w:eastAsia="Calibri"/>
                <w:color w:val="FFFFFF" w:themeColor="background1"/>
              </w:rPr>
            </w:pPr>
            <w:r w:rsidRPr="00BD16B4">
              <w:rPr>
                <w:rFonts w:eastAsia="Calibri"/>
                <w:color w:val="FFFFFF" w:themeColor="background1"/>
              </w:rPr>
              <w:t>Retention period</w:t>
            </w:r>
          </w:p>
        </w:tc>
      </w:tr>
      <w:tr w:rsidR="009C7728" w:rsidRPr="00BD16B4" w14:paraId="05EAF5F0" w14:textId="77777777" w:rsidTr="004A205F">
        <w:tc>
          <w:tcPr>
            <w:tcW w:w="0" w:type="auto"/>
            <w:vMerge/>
            <w:vAlign w:val="center"/>
            <w:hideMark/>
          </w:tcPr>
          <w:p w14:paraId="419D893D" w14:textId="77777777" w:rsidR="009C7728" w:rsidRPr="00BD16B4" w:rsidRDefault="009C7728" w:rsidP="00F12C9F">
            <w:pPr>
              <w:pStyle w:val="TableTextbold"/>
              <w:keepNext/>
              <w:spacing w:before="40"/>
              <w:rPr>
                <w:rFonts w:eastAsia="Calibri"/>
                <w:color w:val="FFFFFF" w:themeColor="background1"/>
                <w:highlight w:val="yellow"/>
              </w:rPr>
            </w:pPr>
          </w:p>
        </w:tc>
        <w:tc>
          <w:tcPr>
            <w:tcW w:w="1992" w:type="dxa"/>
            <w:vMerge/>
            <w:vAlign w:val="center"/>
            <w:hideMark/>
          </w:tcPr>
          <w:p w14:paraId="53A6C89E" w14:textId="77777777" w:rsidR="009C7728" w:rsidRPr="00BD16B4" w:rsidRDefault="009C7728" w:rsidP="00F12C9F">
            <w:pPr>
              <w:pStyle w:val="TableTextbold"/>
              <w:keepNext/>
              <w:spacing w:before="40"/>
              <w:rPr>
                <w:rFonts w:eastAsia="Calibri"/>
                <w:color w:val="FFFFFF" w:themeColor="background1"/>
                <w:highlight w:val="yellow"/>
              </w:rPr>
            </w:pPr>
          </w:p>
        </w:tc>
        <w:tc>
          <w:tcPr>
            <w:tcW w:w="1898" w:type="dxa"/>
            <w:vMerge/>
            <w:vAlign w:val="center"/>
            <w:hideMark/>
          </w:tcPr>
          <w:p w14:paraId="406B3EF9" w14:textId="77777777" w:rsidR="009C7728" w:rsidRPr="00BD16B4" w:rsidRDefault="009C7728" w:rsidP="00F12C9F">
            <w:pPr>
              <w:pStyle w:val="TableTextbold"/>
              <w:keepNext/>
              <w:spacing w:before="40"/>
              <w:rPr>
                <w:rFonts w:eastAsia="Calibri"/>
                <w:color w:val="FFFFFF" w:themeColor="background1"/>
                <w:highlight w:val="yellow"/>
              </w:rPr>
            </w:pPr>
          </w:p>
        </w:tc>
        <w:tc>
          <w:tcPr>
            <w:tcW w:w="1187" w:type="dxa"/>
            <w:shd w:val="clear" w:color="auto" w:fill="1C556C"/>
            <w:hideMark/>
          </w:tcPr>
          <w:p w14:paraId="6D5BADAC" w14:textId="77777777" w:rsidR="009C7728" w:rsidRPr="00BD16B4" w:rsidRDefault="009C7728" w:rsidP="00F12C9F">
            <w:pPr>
              <w:pStyle w:val="TableTextbold"/>
              <w:keepNext/>
              <w:spacing w:before="40"/>
              <w:rPr>
                <w:rFonts w:eastAsia="Calibri"/>
                <w:color w:val="FFFFFF" w:themeColor="background1"/>
              </w:rPr>
            </w:pPr>
            <w:r w:rsidRPr="00BD16B4">
              <w:rPr>
                <w:rFonts w:eastAsia="Calibri"/>
                <w:color w:val="FFFFFF" w:themeColor="background1"/>
              </w:rPr>
              <w:t>Local DD</w:t>
            </w:r>
          </w:p>
        </w:tc>
        <w:tc>
          <w:tcPr>
            <w:tcW w:w="1229" w:type="dxa"/>
            <w:shd w:val="clear" w:color="auto" w:fill="1C556C"/>
            <w:hideMark/>
          </w:tcPr>
          <w:p w14:paraId="712289CE" w14:textId="77777777" w:rsidR="009C7728" w:rsidRPr="00BD16B4" w:rsidRDefault="009C7728" w:rsidP="00F12C9F">
            <w:pPr>
              <w:pStyle w:val="TableTextbold"/>
              <w:keepNext/>
              <w:spacing w:before="40"/>
              <w:rPr>
                <w:rFonts w:eastAsia="Calibri"/>
                <w:color w:val="FFFFFF" w:themeColor="background1"/>
              </w:rPr>
            </w:pPr>
            <w:r w:rsidRPr="00BD16B4">
              <w:rPr>
                <w:rFonts w:eastAsia="Calibri"/>
                <w:color w:val="FFFFFF" w:themeColor="background1"/>
              </w:rPr>
              <w:t>Remote DD</w:t>
            </w:r>
          </w:p>
        </w:tc>
        <w:tc>
          <w:tcPr>
            <w:tcW w:w="1237" w:type="dxa"/>
            <w:shd w:val="clear" w:color="auto" w:fill="1C556C"/>
            <w:hideMark/>
          </w:tcPr>
          <w:p w14:paraId="550D9A72" w14:textId="77777777" w:rsidR="009C7728" w:rsidRPr="00BD16B4" w:rsidRDefault="009C7728" w:rsidP="00F12C9F">
            <w:pPr>
              <w:pStyle w:val="TableTextbold"/>
              <w:keepNext/>
              <w:spacing w:before="40"/>
              <w:rPr>
                <w:rFonts w:eastAsia="Calibri"/>
                <w:color w:val="FFFFFF" w:themeColor="background1"/>
              </w:rPr>
            </w:pPr>
            <w:r w:rsidRPr="00BD16B4">
              <w:rPr>
                <w:rFonts w:eastAsia="Calibri"/>
                <w:color w:val="FFFFFF" w:themeColor="background1"/>
              </w:rPr>
              <w:t>Offsite tape</w:t>
            </w:r>
          </w:p>
        </w:tc>
      </w:tr>
      <w:tr w:rsidR="009C7728" w:rsidRPr="00BD16B4" w14:paraId="4823E555" w14:textId="77777777" w:rsidTr="004A205F">
        <w:tc>
          <w:tcPr>
            <w:tcW w:w="1019" w:type="dxa"/>
            <w:hideMark/>
          </w:tcPr>
          <w:p w14:paraId="21E9A898" w14:textId="77777777" w:rsidR="009C7728" w:rsidRPr="00BD16B4" w:rsidRDefault="009C7728" w:rsidP="004A205F">
            <w:pPr>
              <w:pStyle w:val="TableText"/>
              <w:rPr>
                <w:rFonts w:eastAsia="Calibri"/>
              </w:rPr>
            </w:pPr>
            <w:r w:rsidRPr="00BD16B4">
              <w:rPr>
                <w:rFonts w:eastAsia="Calibri"/>
              </w:rPr>
              <w:t>Daily</w:t>
            </w:r>
          </w:p>
        </w:tc>
        <w:tc>
          <w:tcPr>
            <w:tcW w:w="1992" w:type="dxa"/>
            <w:hideMark/>
          </w:tcPr>
          <w:p w14:paraId="1BF58FBC" w14:textId="77777777" w:rsidR="009C7728" w:rsidRPr="00BD16B4" w:rsidRDefault="009C7728" w:rsidP="004A205F">
            <w:pPr>
              <w:pStyle w:val="TableText"/>
              <w:rPr>
                <w:rFonts w:eastAsia="Calibri"/>
              </w:rPr>
            </w:pPr>
            <w:r w:rsidRPr="00BD16B4">
              <w:rPr>
                <w:rFonts w:eastAsia="Calibri"/>
              </w:rPr>
              <w:t>2D (incremental to disk)</w:t>
            </w:r>
          </w:p>
        </w:tc>
        <w:tc>
          <w:tcPr>
            <w:tcW w:w="1898" w:type="dxa"/>
            <w:hideMark/>
          </w:tcPr>
          <w:p w14:paraId="3697E1D6" w14:textId="77777777" w:rsidR="009C7728" w:rsidRPr="00BD16B4" w:rsidRDefault="009C7728" w:rsidP="004A205F">
            <w:pPr>
              <w:pStyle w:val="TableText"/>
              <w:rPr>
                <w:rFonts w:eastAsia="Calibri"/>
              </w:rPr>
            </w:pPr>
            <w:r w:rsidRPr="00BD16B4">
              <w:rPr>
                <w:rFonts w:eastAsia="Calibri"/>
              </w:rPr>
              <w:t>Saturday through to Thursday nights</w:t>
            </w:r>
          </w:p>
        </w:tc>
        <w:tc>
          <w:tcPr>
            <w:tcW w:w="1187" w:type="dxa"/>
            <w:hideMark/>
          </w:tcPr>
          <w:p w14:paraId="7BBF8D9B" w14:textId="77777777" w:rsidR="009C7728" w:rsidRPr="00BD16B4" w:rsidRDefault="009C7728" w:rsidP="004A205F">
            <w:pPr>
              <w:pStyle w:val="TableText"/>
              <w:rPr>
                <w:rFonts w:eastAsia="Calibri"/>
              </w:rPr>
            </w:pPr>
            <w:r w:rsidRPr="00BD16B4">
              <w:rPr>
                <w:rFonts w:eastAsia="Calibri"/>
              </w:rPr>
              <w:t>1 month</w:t>
            </w:r>
          </w:p>
        </w:tc>
        <w:tc>
          <w:tcPr>
            <w:tcW w:w="1229" w:type="dxa"/>
          </w:tcPr>
          <w:p w14:paraId="7EA85C5B" w14:textId="77777777" w:rsidR="009C7728" w:rsidRPr="00BD16B4" w:rsidRDefault="009C7728" w:rsidP="004A205F">
            <w:pPr>
              <w:pStyle w:val="TableText"/>
              <w:rPr>
                <w:rFonts w:eastAsia="Calibri"/>
              </w:rPr>
            </w:pPr>
          </w:p>
        </w:tc>
        <w:tc>
          <w:tcPr>
            <w:tcW w:w="1237" w:type="dxa"/>
            <w:hideMark/>
          </w:tcPr>
          <w:p w14:paraId="1BEC0260" w14:textId="77777777" w:rsidR="009C7728" w:rsidRPr="00BD16B4" w:rsidRDefault="009C7728" w:rsidP="004A205F">
            <w:pPr>
              <w:pStyle w:val="TableText"/>
              <w:rPr>
                <w:rFonts w:eastAsia="Calibri"/>
              </w:rPr>
            </w:pPr>
            <w:r w:rsidRPr="00BD16B4">
              <w:rPr>
                <w:rFonts w:eastAsia="Calibri"/>
              </w:rPr>
              <w:t>–</w:t>
            </w:r>
          </w:p>
        </w:tc>
      </w:tr>
      <w:tr w:rsidR="009C7728" w:rsidRPr="00BD16B4" w14:paraId="02512D43" w14:textId="77777777" w:rsidTr="004A205F">
        <w:tc>
          <w:tcPr>
            <w:tcW w:w="1019" w:type="dxa"/>
            <w:hideMark/>
          </w:tcPr>
          <w:p w14:paraId="2421BA28" w14:textId="77777777" w:rsidR="009C7728" w:rsidRPr="00BD16B4" w:rsidRDefault="009C7728" w:rsidP="004A205F">
            <w:pPr>
              <w:pStyle w:val="TableText"/>
              <w:rPr>
                <w:rFonts w:eastAsia="Calibri"/>
              </w:rPr>
            </w:pPr>
            <w:r w:rsidRPr="00BD16B4">
              <w:rPr>
                <w:rFonts w:eastAsia="Calibri"/>
              </w:rPr>
              <w:t>Weekly</w:t>
            </w:r>
          </w:p>
        </w:tc>
        <w:tc>
          <w:tcPr>
            <w:tcW w:w="1992" w:type="dxa"/>
            <w:hideMark/>
          </w:tcPr>
          <w:p w14:paraId="3CEF66ED" w14:textId="77777777" w:rsidR="009C7728" w:rsidRPr="00BD16B4" w:rsidRDefault="009C7728" w:rsidP="004A205F">
            <w:pPr>
              <w:pStyle w:val="TableText"/>
              <w:rPr>
                <w:rFonts w:eastAsia="Calibri"/>
              </w:rPr>
            </w:pPr>
            <w:r w:rsidRPr="00BD16B4">
              <w:rPr>
                <w:rFonts w:eastAsia="Calibri"/>
              </w:rPr>
              <w:t>3D (full to disk)</w:t>
            </w:r>
          </w:p>
        </w:tc>
        <w:tc>
          <w:tcPr>
            <w:tcW w:w="1898" w:type="dxa"/>
            <w:hideMark/>
          </w:tcPr>
          <w:p w14:paraId="474C5622" w14:textId="77777777" w:rsidR="009C7728" w:rsidRPr="00BD16B4" w:rsidRDefault="009C7728" w:rsidP="004A205F">
            <w:pPr>
              <w:pStyle w:val="TableText"/>
              <w:rPr>
                <w:rFonts w:eastAsia="Calibri"/>
              </w:rPr>
            </w:pPr>
            <w:r w:rsidRPr="00BD16B4">
              <w:rPr>
                <w:rFonts w:eastAsia="Calibri"/>
              </w:rPr>
              <w:t>Friday night</w:t>
            </w:r>
          </w:p>
        </w:tc>
        <w:tc>
          <w:tcPr>
            <w:tcW w:w="1187" w:type="dxa"/>
            <w:hideMark/>
          </w:tcPr>
          <w:p w14:paraId="56912D7E" w14:textId="77777777" w:rsidR="009C7728" w:rsidRPr="00BD16B4" w:rsidRDefault="009C7728" w:rsidP="004A205F">
            <w:pPr>
              <w:pStyle w:val="TableText"/>
              <w:rPr>
                <w:rFonts w:eastAsia="Calibri"/>
              </w:rPr>
            </w:pPr>
            <w:r w:rsidRPr="00BD16B4">
              <w:rPr>
                <w:rFonts w:eastAsia="Calibri"/>
              </w:rPr>
              <w:t>1 month</w:t>
            </w:r>
          </w:p>
        </w:tc>
        <w:tc>
          <w:tcPr>
            <w:tcW w:w="1229" w:type="dxa"/>
            <w:hideMark/>
          </w:tcPr>
          <w:p w14:paraId="1A8B1E22" w14:textId="77777777" w:rsidR="009C7728" w:rsidRPr="00BD16B4" w:rsidRDefault="009C7728" w:rsidP="004A205F">
            <w:pPr>
              <w:pStyle w:val="TableText"/>
              <w:rPr>
                <w:rFonts w:eastAsia="Calibri"/>
              </w:rPr>
            </w:pPr>
            <w:r w:rsidRPr="00BD16B4">
              <w:rPr>
                <w:rFonts w:eastAsia="Calibri"/>
              </w:rPr>
              <w:t>1 month</w:t>
            </w:r>
          </w:p>
        </w:tc>
        <w:tc>
          <w:tcPr>
            <w:tcW w:w="1237" w:type="dxa"/>
            <w:hideMark/>
          </w:tcPr>
          <w:p w14:paraId="660FAC48" w14:textId="77777777" w:rsidR="009C7728" w:rsidRPr="00BD16B4" w:rsidRDefault="009C7728" w:rsidP="004A205F">
            <w:pPr>
              <w:pStyle w:val="TableText"/>
              <w:rPr>
                <w:rFonts w:eastAsia="Calibri"/>
              </w:rPr>
            </w:pPr>
            <w:r w:rsidRPr="00BD16B4">
              <w:rPr>
                <w:rFonts w:eastAsia="Calibri"/>
              </w:rPr>
              <w:t>–</w:t>
            </w:r>
          </w:p>
        </w:tc>
      </w:tr>
      <w:tr w:rsidR="009C7728" w:rsidRPr="00BD16B4" w14:paraId="49512B5D" w14:textId="77777777" w:rsidTr="004A205F">
        <w:tc>
          <w:tcPr>
            <w:tcW w:w="1019" w:type="dxa"/>
            <w:hideMark/>
          </w:tcPr>
          <w:p w14:paraId="7F42146A" w14:textId="77777777" w:rsidR="009C7728" w:rsidRPr="00BD16B4" w:rsidRDefault="009C7728" w:rsidP="004A205F">
            <w:pPr>
              <w:pStyle w:val="TableText"/>
              <w:rPr>
                <w:rFonts w:eastAsia="Calibri"/>
              </w:rPr>
            </w:pPr>
            <w:r w:rsidRPr="00BD16B4">
              <w:rPr>
                <w:rFonts w:eastAsia="Calibri"/>
              </w:rPr>
              <w:t>Monthly</w:t>
            </w:r>
          </w:p>
        </w:tc>
        <w:tc>
          <w:tcPr>
            <w:tcW w:w="1992" w:type="dxa"/>
            <w:hideMark/>
          </w:tcPr>
          <w:p w14:paraId="251625BE" w14:textId="77777777" w:rsidR="009C7728" w:rsidRPr="00BD16B4" w:rsidRDefault="009C7728" w:rsidP="004A205F">
            <w:pPr>
              <w:pStyle w:val="TableText"/>
              <w:rPr>
                <w:rFonts w:eastAsia="Calibri"/>
              </w:rPr>
            </w:pPr>
            <w:r w:rsidRPr="00BD16B4">
              <w:rPr>
                <w:rFonts w:eastAsia="Calibri"/>
              </w:rPr>
              <w:t>3DT (full to disk to tape)</w:t>
            </w:r>
          </w:p>
        </w:tc>
        <w:tc>
          <w:tcPr>
            <w:tcW w:w="1898" w:type="dxa"/>
            <w:hideMark/>
          </w:tcPr>
          <w:p w14:paraId="5DB29E8C" w14:textId="77777777" w:rsidR="009C7728" w:rsidRPr="00BD16B4" w:rsidRDefault="009C7728" w:rsidP="004A205F">
            <w:pPr>
              <w:pStyle w:val="TableText"/>
              <w:rPr>
                <w:rFonts w:eastAsia="Calibri"/>
              </w:rPr>
            </w:pPr>
            <w:r w:rsidRPr="00BD16B4">
              <w:rPr>
                <w:rFonts w:eastAsia="Calibri"/>
              </w:rPr>
              <w:t>First Friday night each month</w:t>
            </w:r>
          </w:p>
        </w:tc>
        <w:tc>
          <w:tcPr>
            <w:tcW w:w="1187" w:type="dxa"/>
            <w:hideMark/>
          </w:tcPr>
          <w:p w14:paraId="2879475D" w14:textId="77777777" w:rsidR="009C7728" w:rsidRPr="00BD16B4" w:rsidRDefault="009C7728" w:rsidP="004A205F">
            <w:pPr>
              <w:pStyle w:val="TableText"/>
              <w:rPr>
                <w:rFonts w:eastAsia="Calibri"/>
              </w:rPr>
            </w:pPr>
            <w:r w:rsidRPr="00BD16B4">
              <w:rPr>
                <w:rFonts w:eastAsia="Calibri"/>
              </w:rPr>
              <w:t>1 month</w:t>
            </w:r>
          </w:p>
        </w:tc>
        <w:tc>
          <w:tcPr>
            <w:tcW w:w="1229" w:type="dxa"/>
            <w:hideMark/>
          </w:tcPr>
          <w:p w14:paraId="4FB380D8" w14:textId="77777777" w:rsidR="009C7728" w:rsidRPr="00BD16B4" w:rsidRDefault="009C7728" w:rsidP="004A205F">
            <w:pPr>
              <w:pStyle w:val="TableText"/>
              <w:rPr>
                <w:rFonts w:eastAsia="Calibri"/>
              </w:rPr>
            </w:pPr>
            <w:r w:rsidRPr="00BD16B4">
              <w:rPr>
                <w:rFonts w:eastAsia="Calibri"/>
              </w:rPr>
              <w:t>1 month</w:t>
            </w:r>
          </w:p>
        </w:tc>
        <w:tc>
          <w:tcPr>
            <w:tcW w:w="1237" w:type="dxa"/>
            <w:hideMark/>
          </w:tcPr>
          <w:p w14:paraId="3462B1F1" w14:textId="77777777" w:rsidR="009C7728" w:rsidRPr="00BD16B4" w:rsidRDefault="009C7728" w:rsidP="004A205F">
            <w:pPr>
              <w:pStyle w:val="TableText"/>
              <w:rPr>
                <w:rFonts w:eastAsia="Calibri"/>
              </w:rPr>
            </w:pPr>
            <w:r w:rsidRPr="00BD16B4">
              <w:rPr>
                <w:rFonts w:eastAsia="Calibri"/>
              </w:rPr>
              <w:t>10 years</w:t>
            </w:r>
          </w:p>
        </w:tc>
      </w:tr>
    </w:tbl>
    <w:p w14:paraId="49F96D32" w14:textId="77777777" w:rsidR="009C7728" w:rsidRPr="00BD16B4" w:rsidRDefault="009C7728" w:rsidP="00DD3857">
      <w:pPr>
        <w:pStyle w:val="BodyText"/>
        <w:keepLines/>
        <w:spacing w:before="240"/>
      </w:pPr>
      <w:r w:rsidRPr="00BD16B4">
        <w:lastRenderedPageBreak/>
        <w:t>The disaster recovery (DR) environment consists of dual web and application servers replicated using Zerto VM replication service, Symmetric Remote Data Facility (SRDF) for file share replication and a permanent DR database server hosting a DR database that is a member of the SQL ‘Always On’ availability group. Data are asynchronously replicated between the Production and DR databases. The production and DR sites are geographically separated.</w:t>
      </w:r>
    </w:p>
    <w:p w14:paraId="00DEEBEA" w14:textId="77777777" w:rsidR="009C7728" w:rsidRPr="00BD16B4" w:rsidRDefault="009C7728" w:rsidP="009C7728">
      <w:pPr>
        <w:pStyle w:val="BodyText"/>
      </w:pPr>
      <w:r w:rsidRPr="00BD16B4">
        <w:t>ITL review and collective assessment of the Register readiness documentation before it went live confirmed that the Register conformed to required backup and disaster recovery standards.</w:t>
      </w:r>
    </w:p>
    <w:p w14:paraId="030D0DD5" w14:textId="77777777" w:rsidR="009C7728" w:rsidRPr="00BD16B4" w:rsidRDefault="009C7728" w:rsidP="009C7728">
      <w:pPr>
        <w:pStyle w:val="Heading3"/>
      </w:pPr>
      <w:r w:rsidRPr="00BD16B4">
        <w:t>Test results</w:t>
      </w:r>
    </w:p>
    <w:p w14:paraId="26D86319" w14:textId="77777777" w:rsidR="009C7728" w:rsidRPr="00BD16B4" w:rsidRDefault="009C7728" w:rsidP="009C7728">
      <w:pPr>
        <w:pStyle w:val="BodyText"/>
      </w:pPr>
      <w:r w:rsidRPr="00BD16B4">
        <w:t xml:space="preserve">ITL review and collective assessment of Register readiness documentation before it went live confirmed that the Register system operated under satisfactory and well-documented arrangements. It also confirmed the Register was ready to be connected to the ITL system without conditions. </w:t>
      </w:r>
    </w:p>
    <w:p w14:paraId="565E7654" w14:textId="77777777" w:rsidR="009C7728" w:rsidRPr="00BD16B4" w:rsidRDefault="009C7728" w:rsidP="009C7728">
      <w:pPr>
        <w:pStyle w:val="BodyText"/>
      </w:pPr>
      <w:r w:rsidRPr="00BD16B4">
        <w:t>Results of Annex H testing before the Register went live led to official confirmation that the functionalities of the registry software tested on 19 and 20 July 2016 were compliant with the requirements of the technical specifications of the ITL for a country that is not a party to a Qualified Emission Limitation or Reduction Commitment for the second commitment period (with the caveat that carry-over was not tested, because it was not implemented by the software provider).</w:t>
      </w:r>
      <w:r w:rsidRPr="00BD16B4">
        <w:rPr>
          <w:rStyle w:val="FootnoteReference"/>
        </w:rPr>
        <w:footnoteReference w:id="610"/>
      </w:r>
    </w:p>
    <w:p w14:paraId="00EE6792" w14:textId="77777777" w:rsidR="009C7728" w:rsidRPr="00BD16B4" w:rsidRDefault="009C7728" w:rsidP="009C7728">
      <w:pPr>
        <w:pStyle w:val="Heading2notTOC"/>
      </w:pPr>
      <w:bookmarkStart w:id="500" w:name="_Toc499993065"/>
      <w:r w:rsidRPr="00BD16B4">
        <w:t>Supplementary notes related to Articles 6, 12 and 17</w:t>
      </w:r>
      <w:bookmarkEnd w:id="500"/>
      <w:r w:rsidRPr="00BD16B4">
        <w:t xml:space="preserve"> </w:t>
      </w:r>
    </w:p>
    <w:p w14:paraId="55080F2D" w14:textId="77777777" w:rsidR="009C7728" w:rsidRPr="00BD16B4" w:rsidRDefault="009C7728" w:rsidP="009C7728">
      <w:pPr>
        <w:pStyle w:val="BodyText"/>
      </w:pPr>
      <w:r w:rsidRPr="00BD16B4">
        <w:t>While Aotearoa New Zealand committed to an emissions reduction target under the Kyoto Protocol’s first commitment period (2008–12), its 2013–20 target is pledged under the UNFCCC. As described above, New Zealand maintains its linkages with the ITL but did not actively participate in the mechanisms established by Articles 6, 12 and 17 of the Kyoto Protocol during the target period.</w:t>
      </w:r>
    </w:p>
    <w:p w14:paraId="313B0199" w14:textId="77777777" w:rsidR="009C7728" w:rsidRPr="00BD16B4" w:rsidRDefault="009C7728" w:rsidP="009C7728">
      <w:pPr>
        <w:pStyle w:val="Heading3"/>
      </w:pPr>
      <w:bookmarkStart w:id="501" w:name="_Toc246918287"/>
      <w:bookmarkStart w:id="502" w:name="_Toc247338216"/>
      <w:bookmarkStart w:id="503" w:name="_Toc247800076"/>
      <w:bookmarkStart w:id="504" w:name="_Toc247892338"/>
      <w:bookmarkStart w:id="505" w:name="_Toc248736213"/>
      <w:r w:rsidRPr="00BD16B4">
        <w:t>Policies and measures in accordance with Article 2</w:t>
      </w:r>
      <w:bookmarkEnd w:id="501"/>
      <w:bookmarkEnd w:id="502"/>
      <w:bookmarkEnd w:id="503"/>
      <w:bookmarkEnd w:id="504"/>
      <w:bookmarkEnd w:id="505"/>
    </w:p>
    <w:p w14:paraId="3FB91E21" w14:textId="77777777" w:rsidR="009C7728" w:rsidRPr="00BD16B4" w:rsidRDefault="009C7728" w:rsidP="004E1B8C">
      <w:pPr>
        <w:pStyle w:val="Heading4"/>
      </w:pPr>
      <w:r w:rsidRPr="00BD16B4">
        <w:t>Sustainable development</w:t>
      </w:r>
    </w:p>
    <w:p w14:paraId="3BC59FC5" w14:textId="77777777" w:rsidR="009C7728" w:rsidRPr="00BD16B4" w:rsidRDefault="009C7728" w:rsidP="009C7728">
      <w:pPr>
        <w:pStyle w:val="BodyText"/>
      </w:pPr>
      <w:r w:rsidRPr="00BD16B4">
        <w:t xml:space="preserve">New Zealand’s climate change policies promote sustainable development through seeking to reduce the causes and impacts of climate change (see chapters 4 and 7). </w:t>
      </w:r>
    </w:p>
    <w:p w14:paraId="278F22DB" w14:textId="77777777" w:rsidR="009C7728" w:rsidRPr="00BD16B4" w:rsidRDefault="009C7728" w:rsidP="004E1B8C">
      <w:pPr>
        <w:pStyle w:val="Heading4"/>
        <w:rPr>
          <w:highlight w:val="yellow"/>
        </w:rPr>
      </w:pPr>
      <w:r w:rsidRPr="00BD16B4">
        <w:lastRenderedPageBreak/>
        <w:t>Aviation and marine bunker fuels</w:t>
      </w:r>
    </w:p>
    <w:p w14:paraId="393900AE" w14:textId="77777777" w:rsidR="009C7728" w:rsidRPr="00BD16B4" w:rsidRDefault="009C7728" w:rsidP="00DD3857">
      <w:pPr>
        <w:pStyle w:val="BodyText"/>
        <w:keepLines/>
      </w:pPr>
      <w:r w:rsidRPr="00BD16B4">
        <w:t>In 2016, the Government agreed to participate in the Carbon Offsetting Reduction Scheme for International Aviation (CORSIA). It is one of four measures</w:t>
      </w:r>
      <w:r w:rsidRPr="00BD16B4">
        <w:rPr>
          <w:rStyle w:val="FootnoteReference"/>
          <w:rFonts w:eastAsia="Calibri"/>
        </w:rPr>
        <w:footnoteReference w:id="611"/>
      </w:r>
      <w:r w:rsidRPr="00BD16B4">
        <w:t xml:space="preserve"> the international aviation sector is focused on to reduce its carbon footprint. Implementation of CORSIA is included in the Civil Aviation Bill, which is currently being progressed through the House of Representatives and anticipated to be passed into law by the end of 2022. In the interim, a Memorandum of Understanding is in place between the State and airline operator that falls under CORSIA to ensure New Zealand meets its monitoring, reporting and offsetting obligations.</w:t>
      </w:r>
    </w:p>
    <w:p w14:paraId="5ADBD3DF" w14:textId="77777777" w:rsidR="009C7728" w:rsidRPr="00BD16B4" w:rsidRDefault="009C7728" w:rsidP="009C7728">
      <w:pPr>
        <w:pStyle w:val="BodyText"/>
      </w:pPr>
      <w:r w:rsidRPr="00BD16B4">
        <w:t>For international shipping, States, including New Zealand, work through the International Maritime Organization (IMO) to pursue emissions reductions from international shipping. The IMO adopted its Initial Strategy on the Reduction of GHG Emissions from Ships in 2018.</w:t>
      </w:r>
      <w:r w:rsidRPr="00BD16B4">
        <w:rPr>
          <w:rStyle w:val="FootnoteReference"/>
          <w:rFonts w:eastAsia="Calibri" w:cs="Calibri"/>
        </w:rPr>
        <w:footnoteReference w:id="612"/>
      </w:r>
      <w:r w:rsidRPr="00BD16B4">
        <w:t xml:space="preserve"> The Initial Strategy sets a target of reducing the total annual greenhouse gas emissions from international shipping by at least 50 per cent by 2050 compared with 2008. This Initial Strategy will be reviewed by 2023. New Zealand will be represented at the IMO negotiations in December 2022, which will include a focus on the revision of the Strategy. </w:t>
      </w:r>
    </w:p>
    <w:p w14:paraId="3E5C08D9" w14:textId="77777777" w:rsidR="009C7728" w:rsidRPr="00BD16B4" w:rsidRDefault="009C7728" w:rsidP="009C7728">
      <w:pPr>
        <w:pStyle w:val="BodyText"/>
      </w:pPr>
      <w:r w:rsidRPr="00BD16B4">
        <w:t>In 2022 New Zealand acceded to Annex VI of the International Convention for the Prevention of Pollution from Ships (MARPOL), which seeks to address the impact of shipping emissions on human health and environments in and around port communities, as well as on climate change and ozone layer depletion. MARPOL Annex VI will be the main ‘vehicle’ to bring in globally consistent greenhouse gas emissions reduction measures negotiated at the IMO.</w:t>
      </w:r>
    </w:p>
    <w:p w14:paraId="6BCC49D1" w14:textId="77777777" w:rsidR="009C7728" w:rsidRPr="00BD16B4" w:rsidRDefault="009C7728" w:rsidP="004E1B8C">
      <w:pPr>
        <w:pStyle w:val="Heading4"/>
        <w:rPr>
          <w:highlight w:val="yellow"/>
        </w:rPr>
      </w:pPr>
      <w:r w:rsidRPr="00BD16B4">
        <w:t>Minimising adverse effects</w:t>
      </w:r>
    </w:p>
    <w:p w14:paraId="1738C0BA" w14:textId="77777777" w:rsidR="009C7728" w:rsidRPr="00BD16B4" w:rsidRDefault="009C7728" w:rsidP="009C7728">
      <w:pPr>
        <w:pStyle w:val="BodyText"/>
      </w:pPr>
      <w:r w:rsidRPr="00BD16B4">
        <w:t xml:space="preserve">New Zealand’s Cabinet and legislative processes to establish and implement climate change response measures include consultation with the Ministry of Foreign Affairs and Trade and with members of the public. The Ministry of Foreign Affairs and Trade advises the Government on international aspects of proposed policies. During the public consultation phase, any person or organisation can raise concerns about issues relating to a proposed measure. </w:t>
      </w:r>
    </w:p>
    <w:p w14:paraId="77466553" w14:textId="77777777" w:rsidR="009C7728" w:rsidRPr="00BD16B4" w:rsidRDefault="009C7728" w:rsidP="009C7728">
      <w:pPr>
        <w:pStyle w:val="BodyText"/>
      </w:pPr>
      <w:r w:rsidRPr="00BD16B4">
        <w:t xml:space="preserve">The New Zealand Government’s regular trade, economic and political consultations with other governments, including developing country Parties, provide opportunities to bilaterally raise and resolve concerns about possible or actual impacts of New Zealand policies. No government has raised specific concerns about any negative impact of New Zealand’s climate change response policies. </w:t>
      </w:r>
    </w:p>
    <w:p w14:paraId="62AA2579" w14:textId="77777777" w:rsidR="009C7728" w:rsidRPr="00BD16B4" w:rsidRDefault="009C7728" w:rsidP="009C7728">
      <w:pPr>
        <w:pStyle w:val="BodyText"/>
      </w:pPr>
      <w:r w:rsidRPr="00BD16B4">
        <w:t>In particular, New Zealand has regular high-level consultations Pacific partner governments, at which partners have the opportunity to raise concerns about any impacts and to ask for or prioritise assistance to deal with those impacts.</w:t>
      </w:r>
    </w:p>
    <w:p w14:paraId="346C8AC5" w14:textId="77777777" w:rsidR="009C7728" w:rsidRPr="00BD16B4" w:rsidRDefault="009C7728" w:rsidP="009C7728">
      <w:pPr>
        <w:pStyle w:val="BodyText"/>
      </w:pPr>
      <w:r w:rsidRPr="00BD16B4">
        <w:t>New Zealand maintains a liberal and open trading environment, consistent with the principles of free trade and investment. In this way it ensures that both developed and developing countries can maximise opportunities in its market regardless of the response measures undertaken.</w:t>
      </w:r>
    </w:p>
    <w:p w14:paraId="43146C0D" w14:textId="77777777" w:rsidR="009C7728" w:rsidRPr="00BD16B4" w:rsidRDefault="009C7728" w:rsidP="009C7728">
      <w:pPr>
        <w:pStyle w:val="Heading3"/>
      </w:pPr>
      <w:bookmarkStart w:id="506" w:name="_Toc246918288"/>
      <w:bookmarkStart w:id="507" w:name="_Toc247338217"/>
      <w:bookmarkStart w:id="508" w:name="_Toc247800077"/>
      <w:bookmarkStart w:id="509" w:name="_Toc247892339"/>
      <w:bookmarkStart w:id="510" w:name="_Toc248736214"/>
      <w:r w:rsidRPr="00BD16B4">
        <w:lastRenderedPageBreak/>
        <w:t>Domestic and regional programmes and/or legislative arrangements and enforcement and administrative procedures</w:t>
      </w:r>
      <w:bookmarkEnd w:id="506"/>
      <w:bookmarkEnd w:id="507"/>
      <w:bookmarkEnd w:id="508"/>
      <w:bookmarkEnd w:id="509"/>
      <w:bookmarkEnd w:id="510"/>
      <w:r w:rsidRPr="00BD16B4">
        <w:t xml:space="preserve"> </w:t>
      </w:r>
    </w:p>
    <w:p w14:paraId="01820951" w14:textId="77777777" w:rsidR="009C7728" w:rsidRPr="00BD16B4" w:rsidRDefault="009C7728" w:rsidP="00DD3857">
      <w:pPr>
        <w:pStyle w:val="BodyText"/>
        <w:spacing w:after="100"/>
      </w:pPr>
      <w:bookmarkStart w:id="511" w:name="_Toc246918289"/>
      <w:bookmarkStart w:id="512" w:name="_Toc247338218"/>
      <w:bookmarkStart w:id="513" w:name="_Toc247800078"/>
      <w:bookmarkStart w:id="514" w:name="_Toc247892340"/>
      <w:bookmarkStart w:id="515" w:name="_Toc248736215"/>
      <w:r w:rsidRPr="00BD16B4">
        <w:t>The Climate Change Response Act 2002 established an institutional and legal framework to support New Zealand in meeting its obligations under the UNFCCC and the Kyoto Protocol. The Act includes powers for the Minister of Finance to manage New Zealand’s holdings of units that represent the country’s target allocation for greenhouse gas emissions under the Kyoto Protocol. It establishes a registry to record holdings and transfers of units. The Act also establishes a national inventory agency to record and report information relating to greenhouse gas emissions in accordance with international requirements. The Act established the New Zealand Emissions Trading Scheme and describes its legal details. Regulations relating to the NZ ETS have been made periodically under the Climate Change Response Act 2002. For more detail on the NZ ETS, see chapter 4.</w:t>
      </w:r>
    </w:p>
    <w:p w14:paraId="74AC0CB0" w14:textId="77777777" w:rsidR="009C7728" w:rsidRPr="00BD16B4" w:rsidRDefault="009C7728" w:rsidP="00DD3857">
      <w:pPr>
        <w:pStyle w:val="BodyText"/>
        <w:spacing w:after="100"/>
      </w:pPr>
      <w:r w:rsidRPr="00BD16B4">
        <w:t>The Act has been amended numerous times, including through the</w:t>
      </w:r>
      <w:r w:rsidRPr="00BD16B4">
        <w:rPr>
          <w:b/>
          <w:bCs/>
        </w:rPr>
        <w:t> </w:t>
      </w:r>
      <w:r w:rsidRPr="00BD16B4">
        <w:t>Climate Change Response (Zero Carbon) Amendment Act 2019 (the Zero Carbon Act). The Zero Carbon Act provides a framework by which New Zealand can develop and implement clear and stable climate change policies that:</w:t>
      </w:r>
    </w:p>
    <w:p w14:paraId="076FB8D9" w14:textId="6F125306" w:rsidR="009C7728" w:rsidRPr="00BD16B4" w:rsidRDefault="009C7728" w:rsidP="00DD3857">
      <w:pPr>
        <w:pStyle w:val="Bullet"/>
        <w:spacing w:after="100"/>
      </w:pPr>
      <w:r w:rsidRPr="00BD16B4">
        <w:t>contribute to the global effort under the Paris Agreement to limit the increase in global average temperature to 1.5</w:t>
      </w:r>
      <w:r w:rsidR="00FF28DD" w:rsidRPr="00BD16B4">
        <w:t>°C</w:t>
      </w:r>
      <w:r w:rsidRPr="00BD16B4">
        <w:t xml:space="preserve"> above pre-industrial levels</w:t>
      </w:r>
    </w:p>
    <w:p w14:paraId="6413140D" w14:textId="77777777" w:rsidR="009C7728" w:rsidRPr="00BD16B4" w:rsidRDefault="009C7728" w:rsidP="009C7728">
      <w:pPr>
        <w:pStyle w:val="Bullet"/>
      </w:pPr>
      <w:r w:rsidRPr="00BD16B4">
        <w:t>allow New Zealand to prepare for, and adapt to, the effects of climate change.</w:t>
      </w:r>
    </w:p>
    <w:p w14:paraId="4AF531E8" w14:textId="77777777" w:rsidR="009C7728" w:rsidRPr="00BD16B4" w:rsidRDefault="009C7728" w:rsidP="00DD3857">
      <w:pPr>
        <w:pStyle w:val="BodyText"/>
        <w:spacing w:after="100"/>
      </w:pPr>
      <w:r w:rsidRPr="00BD16B4">
        <w:t>The four key changes are to:</w:t>
      </w:r>
    </w:p>
    <w:p w14:paraId="3B885C6F" w14:textId="77777777" w:rsidR="009C7728" w:rsidRPr="00BD16B4" w:rsidRDefault="009C7728" w:rsidP="00DD3857">
      <w:pPr>
        <w:pStyle w:val="Bullet"/>
        <w:spacing w:after="100"/>
      </w:pPr>
      <w:r w:rsidRPr="00BD16B4">
        <w:t>set a new domestic greenhouse gas emissions reduction target for New Zealand to:</w:t>
      </w:r>
    </w:p>
    <w:p w14:paraId="794EEF47" w14:textId="77777777" w:rsidR="009C7728" w:rsidRPr="00BD16B4" w:rsidRDefault="009C7728" w:rsidP="00DD3857">
      <w:pPr>
        <w:pStyle w:val="Sub-list"/>
        <w:tabs>
          <w:tab w:val="clear" w:pos="397"/>
        </w:tabs>
        <w:spacing w:after="100"/>
        <w:ind w:left="757" w:hanging="360"/>
      </w:pPr>
      <w:r w:rsidRPr="00BD16B4">
        <w:t>reduce net emissions of all greenhouse gases (except biogenic methane) to zero by 2050</w:t>
      </w:r>
    </w:p>
    <w:p w14:paraId="643E78A4" w14:textId="77777777" w:rsidR="009C7728" w:rsidRPr="00BD16B4" w:rsidRDefault="009C7728" w:rsidP="00DD3857">
      <w:pPr>
        <w:pStyle w:val="Sub-list"/>
        <w:tabs>
          <w:tab w:val="clear" w:pos="397"/>
        </w:tabs>
        <w:spacing w:after="100"/>
        <w:ind w:left="757" w:hanging="360"/>
      </w:pPr>
      <w:r w:rsidRPr="00BD16B4">
        <w:t>reduce emissions of biogenic methane to 24–47 per cent below 2017 levels by 2050, including to 10 per cent below 2017 levels by 2030</w:t>
      </w:r>
    </w:p>
    <w:p w14:paraId="4BA7238A" w14:textId="77777777" w:rsidR="009C7728" w:rsidRPr="00BD16B4" w:rsidRDefault="009C7728" w:rsidP="00DD3857">
      <w:pPr>
        <w:pStyle w:val="Bullet"/>
        <w:spacing w:after="100"/>
      </w:pPr>
      <w:r w:rsidRPr="00BD16B4">
        <w:t>establish a system of emissions budgets to act as stepping stones towards the long-term target</w:t>
      </w:r>
    </w:p>
    <w:p w14:paraId="660B378D" w14:textId="77777777" w:rsidR="009C7728" w:rsidRPr="00BD16B4" w:rsidRDefault="009C7728" w:rsidP="00DD3857">
      <w:pPr>
        <w:pStyle w:val="Bullet"/>
        <w:spacing w:after="100"/>
      </w:pPr>
      <w:r w:rsidRPr="00BD16B4">
        <w:t>require the Government to develop and implement policies for climate change adaptation and mitigation</w:t>
      </w:r>
    </w:p>
    <w:p w14:paraId="575F14EE" w14:textId="77777777" w:rsidR="009C7728" w:rsidRPr="00BD16B4" w:rsidRDefault="009C7728" w:rsidP="009C7728">
      <w:pPr>
        <w:pStyle w:val="Bullet"/>
      </w:pPr>
      <w:r w:rsidRPr="00BD16B4">
        <w:t xml:space="preserve">establish a new, independent Climate Change Commission to provide expert advice and monitoring to help keep successive governments on track to meeting long-term goals. </w:t>
      </w:r>
    </w:p>
    <w:p w14:paraId="75B2E033" w14:textId="77777777" w:rsidR="009C7728" w:rsidRPr="00BD16B4" w:rsidRDefault="009C7728" w:rsidP="00DD3857">
      <w:pPr>
        <w:pStyle w:val="BodyText"/>
        <w:spacing w:before="100" w:after="100"/>
      </w:pPr>
      <w:r w:rsidRPr="00BD16B4">
        <w:t>MfE administers this Act.</w:t>
      </w:r>
    </w:p>
    <w:p w14:paraId="6A4FFA63" w14:textId="77777777" w:rsidR="009C7728" w:rsidRPr="00BD16B4" w:rsidRDefault="009C7728" w:rsidP="009C7728">
      <w:pPr>
        <w:pStyle w:val="Heading3"/>
      </w:pPr>
      <w:r w:rsidRPr="00BD16B4">
        <w:t>Information under Article 10</w:t>
      </w:r>
      <w:bookmarkEnd w:id="511"/>
      <w:bookmarkEnd w:id="512"/>
      <w:bookmarkEnd w:id="513"/>
      <w:bookmarkEnd w:id="514"/>
      <w:bookmarkEnd w:id="515"/>
    </w:p>
    <w:p w14:paraId="19459D88" w14:textId="77777777" w:rsidR="009C7728" w:rsidRPr="00BD16B4" w:rsidRDefault="009C7728" w:rsidP="00DD3857">
      <w:pPr>
        <w:pStyle w:val="BodyText"/>
        <w:spacing w:after="100"/>
      </w:pPr>
      <w:r w:rsidRPr="00BD16B4">
        <w:t xml:space="preserve">Chapters 4, 6, 7, 8 and 9 report on activities New Zealand undertakes in fulfilment of commitments under Article 10 of the Kyoto Protocol. Chapter 7 reports its steps to promote, finance and facilitate the transfer of technology to developing countries. </w:t>
      </w:r>
    </w:p>
    <w:p w14:paraId="1EB91DA9" w14:textId="77777777" w:rsidR="009C7728" w:rsidRPr="00BD16B4" w:rsidRDefault="009C7728" w:rsidP="009C7728">
      <w:pPr>
        <w:pStyle w:val="Heading3"/>
      </w:pPr>
      <w:bookmarkStart w:id="516" w:name="_Toc246918290"/>
      <w:bookmarkStart w:id="517" w:name="_Toc247338219"/>
      <w:bookmarkStart w:id="518" w:name="_Toc247800079"/>
      <w:bookmarkStart w:id="519" w:name="_Toc247892341"/>
      <w:bookmarkStart w:id="520" w:name="_Toc248736216"/>
      <w:r w:rsidRPr="00BD16B4">
        <w:t>Financial resources</w:t>
      </w:r>
      <w:bookmarkEnd w:id="516"/>
      <w:bookmarkEnd w:id="517"/>
      <w:bookmarkEnd w:id="518"/>
      <w:bookmarkEnd w:id="519"/>
      <w:bookmarkEnd w:id="520"/>
    </w:p>
    <w:p w14:paraId="3EB39929" w14:textId="77777777" w:rsidR="009C7728" w:rsidRPr="00BD16B4" w:rsidRDefault="009C7728" w:rsidP="009C7728">
      <w:pPr>
        <w:pStyle w:val="BodyText"/>
        <w:rPr>
          <w:szCs w:val="20"/>
        </w:rPr>
      </w:pPr>
      <w:r w:rsidRPr="00BD16B4">
        <w:t>Chapter 7 outlines the steps New Zealand has taken to meet its obligations under Article 11 of the Kyoto Protocol.</w:t>
      </w:r>
    </w:p>
    <w:p w14:paraId="0B079FA7" w14:textId="77777777" w:rsidR="009C7728" w:rsidRPr="00BD16B4" w:rsidRDefault="009C7728" w:rsidP="009C7728">
      <w:pPr>
        <w:pStyle w:val="Heading3"/>
      </w:pPr>
      <w:r w:rsidRPr="00BD16B4">
        <w:lastRenderedPageBreak/>
        <w:t>Biodiversity and sustainable use of natural resources</w:t>
      </w:r>
    </w:p>
    <w:p w14:paraId="3E847068" w14:textId="77777777" w:rsidR="009C7728" w:rsidRPr="00BD16B4" w:rsidRDefault="009C7728" w:rsidP="009C7728">
      <w:pPr>
        <w:pStyle w:val="BodyText"/>
      </w:pPr>
      <w:r w:rsidRPr="00BD16B4">
        <w:t xml:space="preserve">New Zealand’s Climate Change Response Act 2002 references the Kyoto Protocol text to ensure that the implementation of activities under Article 3.3 contributes to the conservation of biodiversity and sustainable use of natural resources. </w:t>
      </w:r>
    </w:p>
    <w:p w14:paraId="79D91C18" w14:textId="77777777" w:rsidR="009C7728" w:rsidRPr="00BD16B4" w:rsidRDefault="009C7728" w:rsidP="009C7728">
      <w:pPr>
        <w:pStyle w:val="BodyText"/>
      </w:pPr>
      <w:r w:rsidRPr="00BD16B4">
        <w:t xml:space="preserve">New Zealand excludes land that was natural forest at 1990 and subsequently converted to planted forest from its accounting of afforestation and reforestation activities under Article 3.3. </w:t>
      </w:r>
    </w:p>
    <w:p w14:paraId="1917CE84" w14:textId="77777777" w:rsidR="009C7728" w:rsidRPr="00BD16B4" w:rsidRDefault="009C7728" w:rsidP="009C7728">
      <w:pPr>
        <w:pStyle w:val="BodyText"/>
      </w:pPr>
      <w:r w:rsidRPr="00BD16B4">
        <w:t>The New Zealand Government has funding available to encourage communities to plant trees, encourage innovation, and support projects that improve land production or reduce erosion. The One Billion Trees programme provides funding to increase tree planting across the country The goal is to double the current planting rate to reach one billion trees planted by 2028. The Hill Country Erosion Programme is a partnership between MPI, regional councils, unitary authorities and landowners that sets plans for and treats erosion-prone land. The Matariki Tu Rākau memorial tree-planting programme accesses the One Billion Trees funding to plant living memorials to honour members of the community. Funding is provided through community groups, school, councils, marae and Royal New Zealand Returned and Services Association. Funding is available to research and innovate in forestry through the One Billion Trees programme, Sustainable Food and Fibre Futures, and the Sustainable Land Management and Climate Change (SLMACC) research programme.</w:t>
      </w:r>
    </w:p>
    <w:p w14:paraId="415A52ED" w14:textId="77777777" w:rsidR="009C7728" w:rsidRPr="00BD16B4" w:rsidRDefault="009C7728" w:rsidP="009C7728">
      <w:pPr>
        <w:pStyle w:val="BodyText"/>
      </w:pPr>
      <w:r w:rsidRPr="00BD16B4">
        <w:t xml:space="preserve">The NZ ETS penalises the conversion of pre-1990 plantation forest land to any non-forest land use by imposing a deforestation liability on the landowner. </w:t>
      </w:r>
    </w:p>
    <w:p w14:paraId="412C380C" w14:textId="77777777" w:rsidR="009C7728" w:rsidRPr="00BD16B4" w:rsidRDefault="009C7728" w:rsidP="009C7728">
      <w:pPr>
        <w:pStyle w:val="BodyText"/>
      </w:pPr>
      <w:r w:rsidRPr="00BD16B4">
        <w:t xml:space="preserve">The majority of privately owned natural forests are covered by the Forests Amendment Act 1993, which promotes sustainable management of indigenous forests in perpetuity while retaining the forests’ natural values. A small proportion of New Zealand’s natural forest (0.2 per cent) is sustainably managed under the South Island Landless Natives Act 1906. The remainder of the country’s natural forests (approximately two-thirds of New Zealand’s total natural forests) is publicly owned and is protected by the Conservation Act 1987. These forests cannot be deforested. No timber is legally harvested from the natural forests on public conservation land other than in exceptional circumstances where legislation allows. </w:t>
      </w:r>
    </w:p>
    <w:p w14:paraId="4E973669" w14:textId="77777777" w:rsidR="00A66D07" w:rsidRPr="00BD16B4" w:rsidRDefault="00A66D07" w:rsidP="003F0361">
      <w:pPr>
        <w:pStyle w:val="BodyText"/>
        <w:spacing w:before="0"/>
      </w:pPr>
    </w:p>
    <w:p w14:paraId="1C8C163E" w14:textId="77777777" w:rsidR="0009501F" w:rsidRPr="00BD16B4" w:rsidRDefault="0009501F" w:rsidP="003F0361">
      <w:pPr>
        <w:pStyle w:val="BodyText"/>
        <w:spacing w:before="0"/>
        <w:sectPr w:rsidR="0009501F" w:rsidRPr="00BD16B4" w:rsidSect="00E36D8C">
          <w:footerReference w:type="even" r:id="rId140"/>
          <w:footerReference w:type="default" r:id="rId141"/>
          <w:pgSz w:w="11907" w:h="16840" w:code="9"/>
          <w:pgMar w:top="1134" w:right="1701" w:bottom="1134" w:left="1701" w:header="567" w:footer="567" w:gutter="0"/>
          <w:cols w:space="720"/>
          <w:docGrid w:linePitch="299"/>
        </w:sectPr>
      </w:pPr>
    </w:p>
    <w:p w14:paraId="4E143576" w14:textId="77777777" w:rsidR="00533D32" w:rsidRPr="00BD16B4" w:rsidRDefault="00533D32" w:rsidP="00533D32">
      <w:pPr>
        <w:pStyle w:val="Heading1"/>
      </w:pPr>
      <w:bookmarkStart w:id="521" w:name="_Toc65496575"/>
      <w:bookmarkStart w:id="522" w:name="_Toc121774676"/>
      <w:r w:rsidRPr="00BD16B4">
        <w:lastRenderedPageBreak/>
        <w:t>Appendix</w:t>
      </w:r>
      <w:bookmarkEnd w:id="521"/>
      <w:r w:rsidRPr="00BD16B4">
        <w:t xml:space="preserve"> C: Supplementary material for emissions projections</w:t>
      </w:r>
      <w:bookmarkEnd w:id="522"/>
    </w:p>
    <w:p w14:paraId="7853CAC1" w14:textId="77777777" w:rsidR="00533D32" w:rsidRPr="00BD16B4" w:rsidRDefault="00533D32" w:rsidP="00C87B45">
      <w:pPr>
        <w:pStyle w:val="Heading3"/>
        <w:spacing w:before="120"/>
      </w:pPr>
      <w:r w:rsidRPr="00BD16B4">
        <w:t>C.1: Key variables and assumptions</w:t>
      </w:r>
    </w:p>
    <w:p w14:paraId="4196349E" w14:textId="77777777" w:rsidR="00533D32" w:rsidRPr="00BD16B4" w:rsidRDefault="00533D32" w:rsidP="00533D32">
      <w:pPr>
        <w:pStyle w:val="Tableheading"/>
      </w:pPr>
      <w:bookmarkStart w:id="523" w:name="_Toc121773838"/>
      <w:r w:rsidRPr="00BD16B4">
        <w:t>Table C.1:</w:t>
      </w:r>
      <w:r w:rsidRPr="00BD16B4">
        <w:tab/>
        <w:t>Summary of key variables and assumptions used in the projections analysis (CTF Table 5)</w:t>
      </w:r>
      <w:bookmarkEnd w:id="523"/>
    </w:p>
    <w:tbl>
      <w:tblPr>
        <w:tblStyle w:val="MinistryfortheEnvironment"/>
        <w:tblW w:w="14515" w:type="dxa"/>
        <w:tblInd w:w="113" w:type="dxa"/>
        <w:tblBorders>
          <w:top w:val="single" w:sz="4" w:space="0" w:color="1B556B" w:themeColor="text2"/>
        </w:tblBorders>
        <w:tblLayout w:type="fixed"/>
        <w:tblCellMar>
          <w:left w:w="85" w:type="dxa"/>
          <w:bottom w:w="0" w:type="dxa"/>
          <w:right w:w="57" w:type="dxa"/>
        </w:tblCellMar>
        <w:tblLook w:val="04A0" w:firstRow="1" w:lastRow="0" w:firstColumn="1" w:lastColumn="0" w:noHBand="0" w:noVBand="1"/>
      </w:tblPr>
      <w:tblGrid>
        <w:gridCol w:w="1918"/>
        <w:gridCol w:w="1466"/>
        <w:gridCol w:w="2392"/>
        <w:gridCol w:w="756"/>
        <w:gridCol w:w="887"/>
        <w:gridCol w:w="887"/>
        <w:gridCol w:w="887"/>
        <w:gridCol w:w="887"/>
        <w:gridCol w:w="887"/>
        <w:gridCol w:w="887"/>
        <w:gridCol w:w="887"/>
        <w:gridCol w:w="887"/>
        <w:gridCol w:w="887"/>
      </w:tblGrid>
      <w:tr w:rsidR="00533D32" w:rsidRPr="00BD16B4" w14:paraId="066A092E" w14:textId="77777777" w:rsidTr="00315977">
        <w:trPr>
          <w:cnfStyle w:val="100000000000" w:firstRow="1" w:lastRow="0" w:firstColumn="0" w:lastColumn="0" w:oddVBand="0" w:evenVBand="0" w:oddHBand="0" w:evenHBand="0" w:firstRowFirstColumn="0" w:firstRowLastColumn="0" w:lastRowFirstColumn="0" w:lastRowLastColumn="0"/>
          <w:tblHeader/>
        </w:trPr>
        <w:tc>
          <w:tcPr>
            <w:tcW w:w="1928" w:type="dxa"/>
            <w:vMerge w:val="restart"/>
            <w:tcBorders>
              <w:bottom w:val="nil"/>
            </w:tcBorders>
            <w:vAlign w:val="bottom"/>
            <w:hideMark/>
          </w:tcPr>
          <w:p w14:paraId="3A6D5775" w14:textId="77777777" w:rsidR="00533D32" w:rsidRPr="00BD16B4" w:rsidRDefault="00533D32" w:rsidP="00C87B45">
            <w:pPr>
              <w:pStyle w:val="TableTextBold0"/>
              <w:spacing w:before="40" w:after="40"/>
              <w:rPr>
                <w:b/>
                <w:bCs/>
                <w:szCs w:val="18"/>
              </w:rPr>
            </w:pPr>
            <w:r w:rsidRPr="00BD16B4">
              <w:rPr>
                <w:b/>
                <w:bCs/>
                <w:szCs w:val="18"/>
              </w:rPr>
              <w:t>Key underlying assumptions</w:t>
            </w:r>
          </w:p>
        </w:tc>
        <w:tc>
          <w:tcPr>
            <w:tcW w:w="1474" w:type="dxa"/>
            <w:vMerge w:val="restart"/>
            <w:tcBorders>
              <w:bottom w:val="nil"/>
            </w:tcBorders>
            <w:tcMar>
              <w:left w:w="57" w:type="dxa"/>
            </w:tcMar>
            <w:vAlign w:val="bottom"/>
          </w:tcPr>
          <w:p w14:paraId="0FC0F6FA" w14:textId="77777777" w:rsidR="00533D32" w:rsidRPr="00BD16B4" w:rsidRDefault="00533D32" w:rsidP="00C87B45">
            <w:pPr>
              <w:pStyle w:val="TableTextBold0"/>
              <w:spacing w:before="40" w:after="40"/>
              <w:rPr>
                <w:b/>
                <w:bCs/>
                <w:szCs w:val="18"/>
              </w:rPr>
            </w:pPr>
            <w:r w:rsidRPr="00BD16B4">
              <w:rPr>
                <w:b/>
                <w:bCs/>
                <w:szCs w:val="18"/>
              </w:rPr>
              <w:t>Unit</w:t>
            </w:r>
          </w:p>
        </w:tc>
        <w:tc>
          <w:tcPr>
            <w:tcW w:w="2405" w:type="dxa"/>
            <w:vMerge w:val="restart"/>
            <w:tcBorders>
              <w:bottom w:val="nil"/>
            </w:tcBorders>
            <w:vAlign w:val="bottom"/>
          </w:tcPr>
          <w:p w14:paraId="78CF95A1" w14:textId="77777777" w:rsidR="00533D32" w:rsidRPr="00BD16B4" w:rsidRDefault="00533D32" w:rsidP="00C87B45">
            <w:pPr>
              <w:pStyle w:val="TableTextBold0"/>
              <w:spacing w:before="40" w:after="40"/>
              <w:rPr>
                <w:b/>
                <w:bCs/>
                <w:szCs w:val="18"/>
              </w:rPr>
            </w:pPr>
            <w:r w:rsidRPr="00BD16B4">
              <w:rPr>
                <w:b/>
                <w:bCs/>
                <w:szCs w:val="18"/>
              </w:rPr>
              <w:t>Scenarios</w:t>
            </w:r>
          </w:p>
        </w:tc>
        <w:tc>
          <w:tcPr>
            <w:tcW w:w="6112" w:type="dxa"/>
            <w:gridSpan w:val="7"/>
            <w:tcBorders>
              <w:bottom w:val="nil"/>
            </w:tcBorders>
            <w:vAlign w:val="bottom"/>
            <w:hideMark/>
          </w:tcPr>
          <w:p w14:paraId="4EAC4643" w14:textId="77777777" w:rsidR="00533D32" w:rsidRPr="00BD16B4" w:rsidRDefault="00533D32" w:rsidP="00C87B45">
            <w:pPr>
              <w:pStyle w:val="TableTextBold0"/>
              <w:spacing w:before="40" w:after="40"/>
              <w:jc w:val="center"/>
              <w:rPr>
                <w:b/>
                <w:bCs/>
                <w:szCs w:val="18"/>
              </w:rPr>
            </w:pPr>
            <w:r w:rsidRPr="00BD16B4">
              <w:rPr>
                <w:b/>
                <w:bCs/>
                <w:szCs w:val="18"/>
              </w:rPr>
              <w:t>Historical</w:t>
            </w:r>
          </w:p>
        </w:tc>
        <w:tc>
          <w:tcPr>
            <w:tcW w:w="2676" w:type="dxa"/>
            <w:gridSpan w:val="3"/>
            <w:tcBorders>
              <w:bottom w:val="nil"/>
            </w:tcBorders>
            <w:vAlign w:val="bottom"/>
          </w:tcPr>
          <w:p w14:paraId="42104D15" w14:textId="77777777" w:rsidR="00533D32" w:rsidRPr="00BD16B4" w:rsidRDefault="00533D32" w:rsidP="00C87B45">
            <w:pPr>
              <w:pStyle w:val="TableTextBold0"/>
              <w:spacing w:before="40" w:after="40"/>
              <w:jc w:val="center"/>
              <w:rPr>
                <w:b/>
                <w:bCs/>
                <w:szCs w:val="18"/>
              </w:rPr>
            </w:pPr>
            <w:r w:rsidRPr="00BD16B4">
              <w:rPr>
                <w:b/>
                <w:bCs/>
                <w:szCs w:val="18"/>
              </w:rPr>
              <w:t>Projected</w:t>
            </w:r>
          </w:p>
        </w:tc>
      </w:tr>
      <w:tr w:rsidR="00315977" w:rsidRPr="00BD16B4" w14:paraId="1D7C8864" w14:textId="77777777" w:rsidTr="00315977">
        <w:trPr>
          <w:cnfStyle w:val="100000000000" w:firstRow="1" w:lastRow="0" w:firstColumn="0" w:lastColumn="0" w:oddVBand="0" w:evenVBand="0" w:oddHBand="0" w:evenHBand="0" w:firstRowFirstColumn="0" w:firstRowLastColumn="0" w:lastRowFirstColumn="0" w:lastRowLastColumn="0"/>
          <w:tblHeader/>
        </w:trPr>
        <w:tc>
          <w:tcPr>
            <w:tcW w:w="1928" w:type="dxa"/>
            <w:vMerge/>
            <w:tcBorders>
              <w:top w:val="nil"/>
            </w:tcBorders>
            <w:hideMark/>
          </w:tcPr>
          <w:p w14:paraId="2CEEE86D" w14:textId="77777777" w:rsidR="00533D32" w:rsidRPr="00BD16B4" w:rsidRDefault="00533D32" w:rsidP="00C87B45">
            <w:pPr>
              <w:pStyle w:val="TableTextBold0"/>
              <w:spacing w:before="40" w:after="40"/>
              <w:rPr>
                <w:b/>
                <w:bCs/>
                <w:szCs w:val="18"/>
              </w:rPr>
            </w:pPr>
          </w:p>
        </w:tc>
        <w:tc>
          <w:tcPr>
            <w:tcW w:w="1474" w:type="dxa"/>
            <w:vMerge/>
            <w:tcBorders>
              <w:top w:val="nil"/>
            </w:tcBorders>
            <w:tcMar>
              <w:left w:w="57" w:type="dxa"/>
            </w:tcMar>
            <w:hideMark/>
          </w:tcPr>
          <w:p w14:paraId="645778B5" w14:textId="77777777" w:rsidR="00533D32" w:rsidRPr="00BD16B4" w:rsidRDefault="00533D32" w:rsidP="00C87B45">
            <w:pPr>
              <w:pStyle w:val="TableTextBold0"/>
              <w:spacing w:before="40" w:after="40"/>
              <w:rPr>
                <w:b/>
                <w:bCs/>
                <w:szCs w:val="18"/>
              </w:rPr>
            </w:pPr>
          </w:p>
        </w:tc>
        <w:tc>
          <w:tcPr>
            <w:tcW w:w="2405" w:type="dxa"/>
            <w:vMerge/>
            <w:tcBorders>
              <w:top w:val="nil"/>
            </w:tcBorders>
            <w:hideMark/>
          </w:tcPr>
          <w:p w14:paraId="0ABEB32A" w14:textId="77777777" w:rsidR="00533D32" w:rsidRPr="00BD16B4" w:rsidRDefault="00533D32" w:rsidP="00C87B45">
            <w:pPr>
              <w:pStyle w:val="TableTextBold0"/>
              <w:spacing w:before="40" w:after="40"/>
              <w:rPr>
                <w:b/>
                <w:bCs/>
                <w:szCs w:val="18"/>
              </w:rPr>
            </w:pPr>
          </w:p>
        </w:tc>
        <w:tc>
          <w:tcPr>
            <w:tcW w:w="760" w:type="dxa"/>
            <w:tcBorders>
              <w:top w:val="nil"/>
            </w:tcBorders>
            <w:hideMark/>
          </w:tcPr>
          <w:p w14:paraId="50EC0BF4" w14:textId="77777777" w:rsidR="00533D32" w:rsidRPr="00BD16B4" w:rsidRDefault="00533D32" w:rsidP="00C87B45">
            <w:pPr>
              <w:pStyle w:val="TableTextBold0"/>
              <w:spacing w:before="40" w:after="40"/>
              <w:jc w:val="center"/>
              <w:rPr>
                <w:b/>
                <w:bCs/>
                <w:szCs w:val="18"/>
              </w:rPr>
            </w:pPr>
            <w:r w:rsidRPr="00BD16B4">
              <w:rPr>
                <w:b/>
                <w:bCs/>
                <w:szCs w:val="18"/>
              </w:rPr>
              <w:t>1990</w:t>
            </w:r>
          </w:p>
        </w:tc>
        <w:tc>
          <w:tcPr>
            <w:tcW w:w="892" w:type="dxa"/>
            <w:tcBorders>
              <w:top w:val="nil"/>
            </w:tcBorders>
            <w:hideMark/>
          </w:tcPr>
          <w:p w14:paraId="0A93643D" w14:textId="77777777" w:rsidR="00533D32" w:rsidRPr="00BD16B4" w:rsidRDefault="00533D32" w:rsidP="00C87B45">
            <w:pPr>
              <w:pStyle w:val="TableTextBold0"/>
              <w:spacing w:before="40" w:after="40"/>
              <w:jc w:val="center"/>
              <w:rPr>
                <w:b/>
                <w:bCs/>
                <w:szCs w:val="18"/>
              </w:rPr>
            </w:pPr>
            <w:r w:rsidRPr="00BD16B4">
              <w:rPr>
                <w:b/>
                <w:bCs/>
                <w:szCs w:val="18"/>
              </w:rPr>
              <w:t>1995</w:t>
            </w:r>
          </w:p>
        </w:tc>
        <w:tc>
          <w:tcPr>
            <w:tcW w:w="892" w:type="dxa"/>
            <w:tcBorders>
              <w:top w:val="nil"/>
            </w:tcBorders>
            <w:hideMark/>
          </w:tcPr>
          <w:p w14:paraId="53792E68" w14:textId="77777777" w:rsidR="00533D32" w:rsidRPr="00BD16B4" w:rsidRDefault="00533D32" w:rsidP="00C87B45">
            <w:pPr>
              <w:pStyle w:val="TableTextBold0"/>
              <w:spacing w:before="40" w:after="40"/>
              <w:jc w:val="center"/>
              <w:rPr>
                <w:b/>
                <w:bCs/>
                <w:szCs w:val="18"/>
              </w:rPr>
            </w:pPr>
            <w:r w:rsidRPr="00BD16B4">
              <w:rPr>
                <w:b/>
                <w:bCs/>
                <w:szCs w:val="18"/>
              </w:rPr>
              <w:t>2000</w:t>
            </w:r>
          </w:p>
        </w:tc>
        <w:tc>
          <w:tcPr>
            <w:tcW w:w="892" w:type="dxa"/>
            <w:tcBorders>
              <w:top w:val="nil"/>
            </w:tcBorders>
            <w:hideMark/>
          </w:tcPr>
          <w:p w14:paraId="6AF63919" w14:textId="77777777" w:rsidR="00533D32" w:rsidRPr="00BD16B4" w:rsidRDefault="00533D32" w:rsidP="00C87B45">
            <w:pPr>
              <w:pStyle w:val="TableTextBold0"/>
              <w:spacing w:before="40" w:after="40"/>
              <w:jc w:val="center"/>
              <w:rPr>
                <w:b/>
                <w:bCs/>
                <w:szCs w:val="18"/>
              </w:rPr>
            </w:pPr>
            <w:r w:rsidRPr="00BD16B4">
              <w:rPr>
                <w:b/>
                <w:bCs/>
                <w:szCs w:val="18"/>
              </w:rPr>
              <w:t>2005</w:t>
            </w:r>
          </w:p>
        </w:tc>
        <w:tc>
          <w:tcPr>
            <w:tcW w:w="892" w:type="dxa"/>
            <w:tcBorders>
              <w:top w:val="nil"/>
            </w:tcBorders>
            <w:hideMark/>
          </w:tcPr>
          <w:p w14:paraId="02F974D0" w14:textId="77777777" w:rsidR="00533D32" w:rsidRPr="00BD16B4" w:rsidRDefault="00533D32" w:rsidP="00C87B45">
            <w:pPr>
              <w:pStyle w:val="TableTextBold0"/>
              <w:spacing w:before="40" w:after="40"/>
              <w:jc w:val="center"/>
              <w:rPr>
                <w:b/>
                <w:bCs/>
                <w:szCs w:val="18"/>
              </w:rPr>
            </w:pPr>
            <w:r w:rsidRPr="00BD16B4">
              <w:rPr>
                <w:b/>
                <w:bCs/>
                <w:szCs w:val="18"/>
              </w:rPr>
              <w:t>2010</w:t>
            </w:r>
          </w:p>
        </w:tc>
        <w:tc>
          <w:tcPr>
            <w:tcW w:w="892" w:type="dxa"/>
            <w:tcBorders>
              <w:top w:val="nil"/>
            </w:tcBorders>
            <w:hideMark/>
          </w:tcPr>
          <w:p w14:paraId="37030570" w14:textId="77777777" w:rsidR="00533D32" w:rsidRPr="00BD16B4" w:rsidRDefault="00533D32" w:rsidP="00C87B45">
            <w:pPr>
              <w:pStyle w:val="TableTextBold0"/>
              <w:spacing w:before="40" w:after="40"/>
              <w:jc w:val="center"/>
              <w:rPr>
                <w:b/>
                <w:bCs/>
                <w:szCs w:val="18"/>
              </w:rPr>
            </w:pPr>
            <w:r w:rsidRPr="00BD16B4">
              <w:rPr>
                <w:b/>
                <w:bCs/>
                <w:szCs w:val="18"/>
              </w:rPr>
              <w:t>2015</w:t>
            </w:r>
          </w:p>
        </w:tc>
        <w:tc>
          <w:tcPr>
            <w:tcW w:w="892" w:type="dxa"/>
            <w:tcBorders>
              <w:top w:val="nil"/>
            </w:tcBorders>
            <w:hideMark/>
          </w:tcPr>
          <w:p w14:paraId="09F4642C" w14:textId="77777777" w:rsidR="00533D32" w:rsidRPr="00BD16B4" w:rsidRDefault="00533D32" w:rsidP="00C87B45">
            <w:pPr>
              <w:pStyle w:val="TableTextBold0"/>
              <w:spacing w:before="40" w:after="40"/>
              <w:jc w:val="center"/>
              <w:rPr>
                <w:b/>
                <w:bCs/>
                <w:szCs w:val="18"/>
              </w:rPr>
            </w:pPr>
            <w:r w:rsidRPr="00BD16B4">
              <w:rPr>
                <w:b/>
                <w:bCs/>
                <w:szCs w:val="18"/>
              </w:rPr>
              <w:t>2020</w:t>
            </w:r>
          </w:p>
        </w:tc>
        <w:tc>
          <w:tcPr>
            <w:tcW w:w="892" w:type="dxa"/>
            <w:tcBorders>
              <w:top w:val="nil"/>
              <w:bottom w:val="single" w:sz="4" w:space="0" w:color="1B556B" w:themeColor="text2"/>
            </w:tcBorders>
            <w:hideMark/>
          </w:tcPr>
          <w:p w14:paraId="7FB3A53A" w14:textId="77777777" w:rsidR="00533D32" w:rsidRPr="00BD16B4" w:rsidRDefault="00533D32" w:rsidP="00C87B45">
            <w:pPr>
              <w:pStyle w:val="TableTextBold0"/>
              <w:spacing w:before="40" w:after="40"/>
              <w:jc w:val="center"/>
              <w:rPr>
                <w:b/>
                <w:bCs/>
                <w:szCs w:val="18"/>
              </w:rPr>
            </w:pPr>
            <w:r w:rsidRPr="00BD16B4">
              <w:rPr>
                <w:b/>
                <w:bCs/>
                <w:szCs w:val="18"/>
              </w:rPr>
              <w:t>2025</w:t>
            </w:r>
          </w:p>
        </w:tc>
        <w:tc>
          <w:tcPr>
            <w:tcW w:w="892" w:type="dxa"/>
            <w:tcBorders>
              <w:top w:val="nil"/>
              <w:bottom w:val="single" w:sz="4" w:space="0" w:color="1B556B" w:themeColor="text2"/>
            </w:tcBorders>
            <w:hideMark/>
          </w:tcPr>
          <w:p w14:paraId="29D69995" w14:textId="77777777" w:rsidR="00533D32" w:rsidRPr="00BD16B4" w:rsidRDefault="00533D32" w:rsidP="00C87B45">
            <w:pPr>
              <w:pStyle w:val="TableTextBold0"/>
              <w:spacing w:before="40" w:after="40"/>
              <w:jc w:val="center"/>
              <w:rPr>
                <w:b/>
                <w:bCs/>
                <w:szCs w:val="18"/>
              </w:rPr>
            </w:pPr>
            <w:r w:rsidRPr="00BD16B4">
              <w:rPr>
                <w:b/>
                <w:bCs/>
                <w:szCs w:val="18"/>
              </w:rPr>
              <w:t>2030</w:t>
            </w:r>
          </w:p>
        </w:tc>
        <w:tc>
          <w:tcPr>
            <w:tcW w:w="892" w:type="dxa"/>
            <w:tcBorders>
              <w:top w:val="nil"/>
              <w:bottom w:val="single" w:sz="4" w:space="0" w:color="1B556B" w:themeColor="text2"/>
            </w:tcBorders>
            <w:hideMark/>
          </w:tcPr>
          <w:p w14:paraId="28CEB82E" w14:textId="77777777" w:rsidR="00533D32" w:rsidRPr="00BD16B4" w:rsidRDefault="00533D32" w:rsidP="00C87B45">
            <w:pPr>
              <w:pStyle w:val="TableTextBold0"/>
              <w:spacing w:before="40" w:after="40"/>
              <w:jc w:val="center"/>
              <w:rPr>
                <w:b/>
                <w:bCs/>
                <w:szCs w:val="18"/>
              </w:rPr>
            </w:pPr>
            <w:r w:rsidRPr="00BD16B4">
              <w:rPr>
                <w:b/>
                <w:bCs/>
                <w:szCs w:val="18"/>
              </w:rPr>
              <w:t>2035</w:t>
            </w:r>
          </w:p>
        </w:tc>
      </w:tr>
      <w:tr w:rsidR="00533D32" w:rsidRPr="00BD16B4" w14:paraId="2ACB1B84" w14:textId="77777777" w:rsidTr="00315977">
        <w:tc>
          <w:tcPr>
            <w:tcW w:w="1928" w:type="dxa"/>
            <w:noWrap/>
          </w:tcPr>
          <w:p w14:paraId="4D892956" w14:textId="77777777" w:rsidR="00533D32" w:rsidRPr="00BD16B4" w:rsidRDefault="00533D32" w:rsidP="00C87B45">
            <w:pPr>
              <w:pStyle w:val="TableText"/>
              <w:spacing w:before="40" w:after="40"/>
              <w:rPr>
                <w:rFonts w:cs="Calibri"/>
                <w:szCs w:val="18"/>
              </w:rPr>
            </w:pPr>
            <w:r w:rsidRPr="00BD16B4">
              <w:rPr>
                <w:rFonts w:cs="Calibri"/>
                <w:szCs w:val="18"/>
              </w:rPr>
              <w:t>Population</w:t>
            </w:r>
          </w:p>
        </w:tc>
        <w:tc>
          <w:tcPr>
            <w:tcW w:w="1474" w:type="dxa"/>
            <w:noWrap/>
            <w:tcMar>
              <w:left w:w="57" w:type="dxa"/>
            </w:tcMar>
          </w:tcPr>
          <w:p w14:paraId="2203AD3F" w14:textId="77777777" w:rsidR="00533D32" w:rsidRPr="00BD16B4" w:rsidRDefault="00533D32" w:rsidP="00C87B45">
            <w:pPr>
              <w:pStyle w:val="TableText"/>
              <w:spacing w:before="40" w:after="40"/>
              <w:rPr>
                <w:rFonts w:cs="Calibri"/>
                <w:szCs w:val="18"/>
              </w:rPr>
            </w:pPr>
            <w:r w:rsidRPr="00BD16B4">
              <w:rPr>
                <w:rFonts w:cs="Calibri"/>
                <w:szCs w:val="18"/>
              </w:rPr>
              <w:t>million inhabitants</w:t>
            </w:r>
          </w:p>
        </w:tc>
        <w:tc>
          <w:tcPr>
            <w:tcW w:w="2405" w:type="dxa"/>
            <w:noWrap/>
          </w:tcPr>
          <w:p w14:paraId="021A1E09" w14:textId="77777777" w:rsidR="00533D32" w:rsidRPr="00BD16B4" w:rsidRDefault="00533D32" w:rsidP="00C87B45">
            <w:pPr>
              <w:pStyle w:val="TableText"/>
              <w:spacing w:before="40" w:after="40"/>
              <w:rPr>
                <w:rFonts w:cs="Calibri"/>
                <w:szCs w:val="18"/>
              </w:rPr>
            </w:pPr>
            <w:r w:rsidRPr="00BD16B4">
              <w:rPr>
                <w:rFonts w:cs="Calibri"/>
                <w:szCs w:val="18"/>
              </w:rPr>
              <w:t xml:space="preserve">WEM/WOM/WAM/Low/high </w:t>
            </w:r>
          </w:p>
        </w:tc>
        <w:tc>
          <w:tcPr>
            <w:tcW w:w="760" w:type="dxa"/>
            <w:noWrap/>
          </w:tcPr>
          <w:p w14:paraId="3EFEF212" w14:textId="77777777" w:rsidR="00533D32" w:rsidRPr="00BD16B4" w:rsidRDefault="00533D32" w:rsidP="00C87B45">
            <w:pPr>
              <w:pStyle w:val="TableText"/>
              <w:spacing w:before="40" w:after="40"/>
              <w:jc w:val="center"/>
              <w:rPr>
                <w:rFonts w:cs="Calibri"/>
                <w:szCs w:val="18"/>
              </w:rPr>
            </w:pPr>
            <w:r w:rsidRPr="00BD16B4">
              <w:rPr>
                <w:rFonts w:cs="Calibri"/>
                <w:szCs w:val="18"/>
              </w:rPr>
              <w:t>3.46</w:t>
            </w:r>
          </w:p>
        </w:tc>
        <w:tc>
          <w:tcPr>
            <w:tcW w:w="892" w:type="dxa"/>
            <w:noWrap/>
          </w:tcPr>
          <w:p w14:paraId="55997C39" w14:textId="77777777" w:rsidR="00533D32" w:rsidRPr="00BD16B4" w:rsidRDefault="00533D32" w:rsidP="00C87B45">
            <w:pPr>
              <w:pStyle w:val="TableText"/>
              <w:spacing w:before="40" w:after="40"/>
              <w:jc w:val="center"/>
              <w:rPr>
                <w:rFonts w:cs="Calibri"/>
                <w:szCs w:val="18"/>
              </w:rPr>
            </w:pPr>
            <w:r w:rsidRPr="00BD16B4">
              <w:rPr>
                <w:rFonts w:cs="Calibri"/>
                <w:szCs w:val="18"/>
              </w:rPr>
              <w:t>3.67</w:t>
            </w:r>
          </w:p>
        </w:tc>
        <w:tc>
          <w:tcPr>
            <w:tcW w:w="892" w:type="dxa"/>
            <w:noWrap/>
          </w:tcPr>
          <w:p w14:paraId="7C3F85D3" w14:textId="77777777" w:rsidR="00533D32" w:rsidRPr="00BD16B4" w:rsidRDefault="00533D32" w:rsidP="00C87B45">
            <w:pPr>
              <w:pStyle w:val="TableText"/>
              <w:spacing w:before="40" w:after="40"/>
              <w:jc w:val="center"/>
              <w:rPr>
                <w:rFonts w:cs="Calibri"/>
                <w:szCs w:val="18"/>
              </w:rPr>
            </w:pPr>
            <w:r w:rsidRPr="00BD16B4">
              <w:rPr>
                <w:rFonts w:cs="Calibri"/>
                <w:szCs w:val="18"/>
              </w:rPr>
              <w:t>3.86</w:t>
            </w:r>
          </w:p>
        </w:tc>
        <w:tc>
          <w:tcPr>
            <w:tcW w:w="892" w:type="dxa"/>
            <w:noWrap/>
          </w:tcPr>
          <w:p w14:paraId="2BFDD7CE" w14:textId="77777777" w:rsidR="00533D32" w:rsidRPr="00BD16B4" w:rsidRDefault="00533D32" w:rsidP="00C87B45">
            <w:pPr>
              <w:pStyle w:val="TableText"/>
              <w:spacing w:before="40" w:after="40"/>
              <w:jc w:val="center"/>
              <w:rPr>
                <w:rFonts w:cs="Calibri"/>
                <w:szCs w:val="18"/>
              </w:rPr>
            </w:pPr>
            <w:r w:rsidRPr="00BD16B4">
              <w:rPr>
                <w:rFonts w:cs="Calibri"/>
                <w:szCs w:val="18"/>
              </w:rPr>
              <w:t>4.13</w:t>
            </w:r>
          </w:p>
        </w:tc>
        <w:tc>
          <w:tcPr>
            <w:tcW w:w="892" w:type="dxa"/>
            <w:noWrap/>
          </w:tcPr>
          <w:p w14:paraId="444CBFE5" w14:textId="77777777" w:rsidR="00533D32" w:rsidRPr="00BD16B4" w:rsidRDefault="00533D32" w:rsidP="00C87B45">
            <w:pPr>
              <w:pStyle w:val="TableText"/>
              <w:spacing w:before="40" w:after="40"/>
              <w:jc w:val="center"/>
              <w:rPr>
                <w:rFonts w:cs="Calibri"/>
                <w:szCs w:val="18"/>
              </w:rPr>
            </w:pPr>
            <w:r w:rsidRPr="00BD16B4">
              <w:rPr>
                <w:rFonts w:cs="Calibri"/>
                <w:szCs w:val="18"/>
              </w:rPr>
              <w:t>4.35</w:t>
            </w:r>
          </w:p>
        </w:tc>
        <w:tc>
          <w:tcPr>
            <w:tcW w:w="892" w:type="dxa"/>
            <w:noWrap/>
          </w:tcPr>
          <w:p w14:paraId="4F6A87A9" w14:textId="77777777" w:rsidR="00533D32" w:rsidRPr="00BD16B4" w:rsidRDefault="00533D32" w:rsidP="00C87B45">
            <w:pPr>
              <w:pStyle w:val="TableText"/>
              <w:spacing w:before="40" w:after="40"/>
              <w:jc w:val="center"/>
              <w:rPr>
                <w:rFonts w:cs="Calibri"/>
                <w:szCs w:val="18"/>
              </w:rPr>
            </w:pPr>
            <w:r w:rsidRPr="00BD16B4">
              <w:rPr>
                <w:rFonts w:cs="Calibri"/>
                <w:szCs w:val="18"/>
              </w:rPr>
              <w:t>4.59</w:t>
            </w:r>
          </w:p>
        </w:tc>
        <w:tc>
          <w:tcPr>
            <w:tcW w:w="892" w:type="dxa"/>
            <w:noWrap/>
          </w:tcPr>
          <w:p w14:paraId="44E34592" w14:textId="77777777" w:rsidR="00533D32" w:rsidRPr="00BD16B4" w:rsidRDefault="00533D32" w:rsidP="00C87B45">
            <w:pPr>
              <w:pStyle w:val="TableText"/>
              <w:spacing w:before="40" w:after="40"/>
              <w:jc w:val="center"/>
              <w:rPr>
                <w:rFonts w:cs="Calibri"/>
                <w:szCs w:val="18"/>
              </w:rPr>
            </w:pPr>
            <w:r w:rsidRPr="00BD16B4">
              <w:rPr>
                <w:rFonts w:cs="Calibri"/>
                <w:szCs w:val="18"/>
              </w:rPr>
              <w:t>5.09</w:t>
            </w:r>
          </w:p>
        </w:tc>
        <w:tc>
          <w:tcPr>
            <w:tcW w:w="892" w:type="dxa"/>
            <w:shd w:val="clear" w:color="auto" w:fill="D2DDE1" w:themeFill="background2"/>
            <w:noWrap/>
          </w:tcPr>
          <w:p w14:paraId="5DF0D072" w14:textId="77777777" w:rsidR="00533D32" w:rsidRPr="00BD16B4" w:rsidRDefault="00533D32" w:rsidP="00C87B45">
            <w:pPr>
              <w:pStyle w:val="TableText"/>
              <w:spacing w:before="40" w:after="40"/>
              <w:jc w:val="center"/>
              <w:rPr>
                <w:rFonts w:cs="Calibri"/>
                <w:szCs w:val="18"/>
              </w:rPr>
            </w:pPr>
            <w:r w:rsidRPr="00BD16B4">
              <w:rPr>
                <w:rFonts w:cs="Calibri"/>
                <w:szCs w:val="18"/>
              </w:rPr>
              <w:t>5.32</w:t>
            </w:r>
          </w:p>
        </w:tc>
        <w:tc>
          <w:tcPr>
            <w:tcW w:w="892" w:type="dxa"/>
            <w:shd w:val="clear" w:color="auto" w:fill="D2DDE1" w:themeFill="background2"/>
            <w:noWrap/>
          </w:tcPr>
          <w:p w14:paraId="7A79A085" w14:textId="77777777" w:rsidR="00533D32" w:rsidRPr="00BD16B4" w:rsidRDefault="00533D32" w:rsidP="00C87B45">
            <w:pPr>
              <w:pStyle w:val="TableText"/>
              <w:spacing w:before="40" w:after="40"/>
              <w:jc w:val="center"/>
              <w:rPr>
                <w:rFonts w:cs="Calibri"/>
                <w:szCs w:val="18"/>
              </w:rPr>
            </w:pPr>
            <w:r w:rsidRPr="00BD16B4">
              <w:rPr>
                <w:rFonts w:cs="Calibri"/>
                <w:szCs w:val="18"/>
              </w:rPr>
              <w:t>5.55</w:t>
            </w:r>
          </w:p>
        </w:tc>
        <w:tc>
          <w:tcPr>
            <w:tcW w:w="892" w:type="dxa"/>
            <w:shd w:val="clear" w:color="auto" w:fill="D2DDE1" w:themeFill="background2"/>
            <w:noWrap/>
          </w:tcPr>
          <w:p w14:paraId="270FF8DE" w14:textId="5BE45CE8" w:rsidR="00533D32" w:rsidRPr="00BD16B4" w:rsidRDefault="00533D32" w:rsidP="00C87B45">
            <w:pPr>
              <w:pStyle w:val="TableText"/>
              <w:spacing w:before="40" w:after="40"/>
              <w:jc w:val="center"/>
              <w:rPr>
                <w:rFonts w:cs="Calibri"/>
                <w:szCs w:val="18"/>
              </w:rPr>
            </w:pPr>
            <w:r w:rsidRPr="00BD16B4">
              <w:rPr>
                <w:rFonts w:cs="Calibri"/>
                <w:szCs w:val="18"/>
              </w:rPr>
              <w:t>5.7</w:t>
            </w:r>
            <w:r w:rsidR="00FC49D2">
              <w:rPr>
                <w:rFonts w:cs="Calibri"/>
                <w:szCs w:val="18"/>
              </w:rPr>
              <w:t>6</w:t>
            </w:r>
          </w:p>
        </w:tc>
      </w:tr>
      <w:tr w:rsidR="00533D32" w:rsidRPr="00BD16B4" w14:paraId="711310BF" w14:textId="77777777" w:rsidTr="00315977">
        <w:tc>
          <w:tcPr>
            <w:tcW w:w="1928" w:type="dxa"/>
            <w:noWrap/>
          </w:tcPr>
          <w:p w14:paraId="4CEB59A4" w14:textId="77777777" w:rsidR="00533D32" w:rsidRPr="00BD16B4" w:rsidRDefault="00533D32" w:rsidP="00C87B45">
            <w:pPr>
              <w:pStyle w:val="TableText"/>
              <w:spacing w:before="40" w:after="40"/>
              <w:rPr>
                <w:rFonts w:cs="Calibri"/>
                <w:color w:val="000000"/>
                <w:szCs w:val="18"/>
              </w:rPr>
            </w:pPr>
            <w:r w:rsidRPr="00BD16B4">
              <w:rPr>
                <w:rFonts w:cs="Calibri"/>
                <w:szCs w:val="18"/>
              </w:rPr>
              <w:t xml:space="preserve">GDP </w:t>
            </w:r>
          </w:p>
        </w:tc>
        <w:tc>
          <w:tcPr>
            <w:tcW w:w="1474" w:type="dxa"/>
            <w:noWrap/>
            <w:tcMar>
              <w:left w:w="57" w:type="dxa"/>
            </w:tcMar>
          </w:tcPr>
          <w:p w14:paraId="7BDAB560" w14:textId="77777777" w:rsidR="00533D32" w:rsidRPr="00BD16B4" w:rsidRDefault="00533D32" w:rsidP="00C87B45">
            <w:pPr>
              <w:pStyle w:val="TableText"/>
              <w:spacing w:before="40" w:after="40"/>
              <w:rPr>
                <w:rFonts w:cs="Calibri"/>
                <w:color w:val="000000"/>
                <w:szCs w:val="18"/>
              </w:rPr>
            </w:pPr>
            <w:r w:rsidRPr="00BD16B4">
              <w:rPr>
                <w:rFonts w:cs="Calibri"/>
                <w:szCs w:val="18"/>
              </w:rPr>
              <w:t xml:space="preserve">billion (real 2009/10 $NZ) </w:t>
            </w:r>
          </w:p>
        </w:tc>
        <w:tc>
          <w:tcPr>
            <w:tcW w:w="2405" w:type="dxa"/>
            <w:noWrap/>
          </w:tcPr>
          <w:p w14:paraId="106D2B0D"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WEM/WOM/WAM/Low/high</w:t>
            </w:r>
          </w:p>
        </w:tc>
        <w:tc>
          <w:tcPr>
            <w:tcW w:w="760" w:type="dxa"/>
            <w:noWrap/>
          </w:tcPr>
          <w:p w14:paraId="471938E9"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112.68</w:t>
            </w:r>
          </w:p>
        </w:tc>
        <w:tc>
          <w:tcPr>
            <w:tcW w:w="892" w:type="dxa"/>
            <w:noWrap/>
          </w:tcPr>
          <w:p w14:paraId="2DA91C69" w14:textId="77777777" w:rsidR="00533D32" w:rsidRPr="00BD16B4" w:rsidRDefault="00533D32" w:rsidP="00C87B45">
            <w:pPr>
              <w:pStyle w:val="TableText"/>
              <w:spacing w:before="40" w:after="40"/>
              <w:jc w:val="center"/>
              <w:rPr>
                <w:rFonts w:cs="Calibri"/>
                <w:szCs w:val="18"/>
              </w:rPr>
            </w:pPr>
            <w:r w:rsidRPr="00BD16B4">
              <w:rPr>
                <w:rFonts w:cs="Calibri"/>
                <w:szCs w:val="18"/>
              </w:rPr>
              <w:t>130.49</w:t>
            </w:r>
          </w:p>
        </w:tc>
        <w:tc>
          <w:tcPr>
            <w:tcW w:w="892" w:type="dxa"/>
            <w:noWrap/>
          </w:tcPr>
          <w:p w14:paraId="4BB3B2D9" w14:textId="77777777" w:rsidR="00533D32" w:rsidRPr="00BD16B4" w:rsidRDefault="00533D32" w:rsidP="00C87B45">
            <w:pPr>
              <w:pStyle w:val="TableText"/>
              <w:spacing w:before="40" w:after="40"/>
              <w:jc w:val="center"/>
              <w:rPr>
                <w:rFonts w:cs="Calibri"/>
                <w:szCs w:val="18"/>
              </w:rPr>
            </w:pPr>
            <w:r w:rsidRPr="00BD16B4">
              <w:rPr>
                <w:rFonts w:cs="Calibri"/>
                <w:szCs w:val="18"/>
              </w:rPr>
              <w:t>152.13</w:t>
            </w:r>
          </w:p>
        </w:tc>
        <w:tc>
          <w:tcPr>
            <w:tcW w:w="892" w:type="dxa"/>
            <w:noWrap/>
          </w:tcPr>
          <w:p w14:paraId="47E10C58" w14:textId="77777777" w:rsidR="00533D32" w:rsidRPr="00BD16B4" w:rsidRDefault="00533D32" w:rsidP="00C87B45">
            <w:pPr>
              <w:pStyle w:val="TableText"/>
              <w:spacing w:before="40" w:after="40"/>
              <w:jc w:val="center"/>
              <w:rPr>
                <w:rFonts w:cs="Calibri"/>
                <w:szCs w:val="18"/>
              </w:rPr>
            </w:pPr>
            <w:r w:rsidRPr="00BD16B4">
              <w:rPr>
                <w:rFonts w:cs="Calibri"/>
                <w:szCs w:val="18"/>
              </w:rPr>
              <w:t>184.13</w:t>
            </w:r>
          </w:p>
        </w:tc>
        <w:tc>
          <w:tcPr>
            <w:tcW w:w="892" w:type="dxa"/>
            <w:noWrap/>
          </w:tcPr>
          <w:p w14:paraId="1FA359D2"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196.70</w:t>
            </w:r>
          </w:p>
        </w:tc>
        <w:tc>
          <w:tcPr>
            <w:tcW w:w="892" w:type="dxa"/>
            <w:noWrap/>
          </w:tcPr>
          <w:p w14:paraId="58B99C90"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225.26</w:t>
            </w:r>
          </w:p>
        </w:tc>
        <w:tc>
          <w:tcPr>
            <w:tcW w:w="892" w:type="dxa"/>
            <w:noWrap/>
          </w:tcPr>
          <w:p w14:paraId="63B820E5"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261.95</w:t>
            </w:r>
          </w:p>
        </w:tc>
        <w:tc>
          <w:tcPr>
            <w:tcW w:w="892" w:type="dxa"/>
            <w:shd w:val="clear" w:color="auto" w:fill="D2DDE1" w:themeFill="background2"/>
            <w:noWrap/>
          </w:tcPr>
          <w:p w14:paraId="29D2D034"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294.16</w:t>
            </w:r>
          </w:p>
        </w:tc>
        <w:tc>
          <w:tcPr>
            <w:tcW w:w="892" w:type="dxa"/>
            <w:shd w:val="clear" w:color="auto" w:fill="D2DDE1" w:themeFill="background2"/>
            <w:noWrap/>
          </w:tcPr>
          <w:p w14:paraId="178A1AA8"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323.90</w:t>
            </w:r>
          </w:p>
        </w:tc>
        <w:tc>
          <w:tcPr>
            <w:tcW w:w="892" w:type="dxa"/>
            <w:shd w:val="clear" w:color="auto" w:fill="D2DDE1" w:themeFill="background2"/>
            <w:noWrap/>
          </w:tcPr>
          <w:p w14:paraId="282D689D"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354.02</w:t>
            </w:r>
          </w:p>
        </w:tc>
      </w:tr>
      <w:tr w:rsidR="00533D32" w:rsidRPr="00BD16B4" w14:paraId="339FEFDB" w14:textId="77777777" w:rsidTr="00315977">
        <w:tc>
          <w:tcPr>
            <w:tcW w:w="1928" w:type="dxa"/>
            <w:vMerge w:val="restart"/>
            <w:noWrap/>
          </w:tcPr>
          <w:p w14:paraId="037654B2"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 xml:space="preserve">Effective carbon price </w:t>
            </w:r>
          </w:p>
        </w:tc>
        <w:tc>
          <w:tcPr>
            <w:tcW w:w="1474" w:type="dxa"/>
            <w:vMerge w:val="restart"/>
            <w:noWrap/>
            <w:tcMar>
              <w:left w:w="57" w:type="dxa"/>
            </w:tcMar>
          </w:tcPr>
          <w:p w14:paraId="6D9BD3F4"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$NZ tonne CO</w:t>
            </w:r>
            <w:r w:rsidRPr="00BD16B4">
              <w:rPr>
                <w:rFonts w:cs="Calibri"/>
                <w:color w:val="000000"/>
                <w:szCs w:val="18"/>
                <w:vertAlign w:val="subscript"/>
              </w:rPr>
              <w:t>2</w:t>
            </w:r>
            <w:r w:rsidRPr="00BD16B4">
              <w:rPr>
                <w:rFonts w:cs="Calibri"/>
                <w:color w:val="000000"/>
                <w:szCs w:val="18"/>
              </w:rPr>
              <w:t>-e</w:t>
            </w:r>
          </w:p>
        </w:tc>
        <w:tc>
          <w:tcPr>
            <w:tcW w:w="2405" w:type="dxa"/>
            <w:noWrap/>
          </w:tcPr>
          <w:p w14:paraId="0E1F26B0" w14:textId="77777777" w:rsidR="00533D32" w:rsidRPr="00BD16B4" w:rsidRDefault="00533D32" w:rsidP="00C87B45">
            <w:pPr>
              <w:pStyle w:val="TableText"/>
              <w:spacing w:before="40" w:after="40"/>
              <w:rPr>
                <w:rFonts w:cs="Calibri"/>
                <w:color w:val="000000"/>
                <w:szCs w:val="18"/>
              </w:rPr>
            </w:pPr>
            <w:r w:rsidRPr="00BD16B4">
              <w:rPr>
                <w:rFonts w:cs="Calibri"/>
                <w:szCs w:val="18"/>
              </w:rPr>
              <w:t>WEM/WAM</w:t>
            </w:r>
          </w:p>
        </w:tc>
        <w:tc>
          <w:tcPr>
            <w:tcW w:w="760" w:type="dxa"/>
            <w:noWrap/>
          </w:tcPr>
          <w:p w14:paraId="5C1BE8E8"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35C2E43F"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10BB282B"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7700C6F2"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73DD1D22"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04B39EDC"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79E21AFC" w14:textId="0B28698C" w:rsidR="00533D32" w:rsidRPr="00BD16B4" w:rsidRDefault="00FC49D2" w:rsidP="00C87B45">
            <w:pPr>
              <w:pStyle w:val="TableText"/>
              <w:spacing w:before="40" w:after="40"/>
              <w:jc w:val="center"/>
              <w:rPr>
                <w:rFonts w:cs="Calibri"/>
                <w:color w:val="000000"/>
                <w:szCs w:val="18"/>
              </w:rPr>
            </w:pPr>
            <w:r>
              <w:rPr>
                <w:rFonts w:cs="Calibri"/>
                <w:color w:val="000000"/>
                <w:szCs w:val="18"/>
              </w:rPr>
              <w:t>$25</w:t>
            </w:r>
          </w:p>
        </w:tc>
        <w:tc>
          <w:tcPr>
            <w:tcW w:w="892" w:type="dxa"/>
            <w:shd w:val="clear" w:color="auto" w:fill="D2DDE1" w:themeFill="background2"/>
            <w:noWrap/>
          </w:tcPr>
          <w:p w14:paraId="7232372C"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$64</w:t>
            </w:r>
          </w:p>
        </w:tc>
        <w:tc>
          <w:tcPr>
            <w:tcW w:w="892" w:type="dxa"/>
            <w:shd w:val="clear" w:color="auto" w:fill="D2DDE1" w:themeFill="background2"/>
            <w:noWrap/>
          </w:tcPr>
          <w:p w14:paraId="0B7B761E"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$97</w:t>
            </w:r>
          </w:p>
        </w:tc>
        <w:tc>
          <w:tcPr>
            <w:tcW w:w="892" w:type="dxa"/>
            <w:shd w:val="clear" w:color="auto" w:fill="D2DDE1" w:themeFill="background2"/>
            <w:noWrap/>
          </w:tcPr>
          <w:p w14:paraId="1A6F1C5E"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$115</w:t>
            </w:r>
          </w:p>
        </w:tc>
      </w:tr>
      <w:tr w:rsidR="00533D32" w:rsidRPr="00BD16B4" w14:paraId="0BE22A04" w14:textId="77777777" w:rsidTr="00315977">
        <w:tc>
          <w:tcPr>
            <w:tcW w:w="1928" w:type="dxa"/>
            <w:vMerge/>
            <w:noWrap/>
          </w:tcPr>
          <w:p w14:paraId="19C176C2" w14:textId="77777777" w:rsidR="00533D32" w:rsidRPr="00BD16B4" w:rsidRDefault="00533D32" w:rsidP="00C87B45">
            <w:pPr>
              <w:pStyle w:val="TableText"/>
              <w:spacing w:before="40" w:after="40"/>
              <w:rPr>
                <w:rFonts w:cs="Calibri"/>
                <w:color w:val="000000"/>
                <w:szCs w:val="18"/>
              </w:rPr>
            </w:pPr>
          </w:p>
        </w:tc>
        <w:tc>
          <w:tcPr>
            <w:tcW w:w="1474" w:type="dxa"/>
            <w:vMerge/>
            <w:noWrap/>
            <w:tcMar>
              <w:left w:w="57" w:type="dxa"/>
            </w:tcMar>
          </w:tcPr>
          <w:p w14:paraId="2DF5ADEB" w14:textId="77777777" w:rsidR="00533D32" w:rsidRPr="00BD16B4" w:rsidRDefault="00533D32" w:rsidP="00C87B45">
            <w:pPr>
              <w:pStyle w:val="TableText"/>
              <w:spacing w:before="40" w:after="40"/>
              <w:rPr>
                <w:rFonts w:cs="Calibri"/>
                <w:color w:val="000000"/>
                <w:szCs w:val="18"/>
              </w:rPr>
            </w:pPr>
          </w:p>
        </w:tc>
        <w:tc>
          <w:tcPr>
            <w:tcW w:w="2405" w:type="dxa"/>
            <w:noWrap/>
          </w:tcPr>
          <w:p w14:paraId="451DE81D" w14:textId="77777777" w:rsidR="00533D32" w:rsidRPr="00BD16B4" w:rsidRDefault="00533D32" w:rsidP="00C87B45">
            <w:pPr>
              <w:pStyle w:val="TableText"/>
              <w:spacing w:before="40" w:after="40"/>
              <w:rPr>
                <w:rFonts w:cs="Calibri"/>
                <w:color w:val="000000"/>
                <w:szCs w:val="18"/>
              </w:rPr>
            </w:pPr>
            <w:r w:rsidRPr="00BD16B4">
              <w:rPr>
                <w:rFonts w:cs="Calibri"/>
                <w:szCs w:val="18"/>
              </w:rPr>
              <w:t>WOM</w:t>
            </w:r>
          </w:p>
        </w:tc>
        <w:tc>
          <w:tcPr>
            <w:tcW w:w="760" w:type="dxa"/>
            <w:noWrap/>
          </w:tcPr>
          <w:p w14:paraId="275E6EE9"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6CD1BA55"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44E638FA"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4F24B074"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4D921F9E"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79D3C331"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4BF423FD"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shd w:val="clear" w:color="auto" w:fill="D2DDE1" w:themeFill="background2"/>
            <w:noWrap/>
          </w:tcPr>
          <w:p w14:paraId="70157E0B"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$0</w:t>
            </w:r>
          </w:p>
        </w:tc>
        <w:tc>
          <w:tcPr>
            <w:tcW w:w="892" w:type="dxa"/>
            <w:shd w:val="clear" w:color="auto" w:fill="D2DDE1" w:themeFill="background2"/>
            <w:noWrap/>
          </w:tcPr>
          <w:p w14:paraId="039163BC"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$0</w:t>
            </w:r>
          </w:p>
        </w:tc>
        <w:tc>
          <w:tcPr>
            <w:tcW w:w="892" w:type="dxa"/>
            <w:shd w:val="clear" w:color="auto" w:fill="D2DDE1" w:themeFill="background2"/>
            <w:noWrap/>
          </w:tcPr>
          <w:p w14:paraId="7BABE0F6"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$0</w:t>
            </w:r>
          </w:p>
        </w:tc>
      </w:tr>
      <w:tr w:rsidR="00533D32" w:rsidRPr="00BD16B4" w14:paraId="404B2CFF" w14:textId="77777777" w:rsidTr="00315977">
        <w:tc>
          <w:tcPr>
            <w:tcW w:w="1928" w:type="dxa"/>
            <w:vMerge/>
            <w:noWrap/>
          </w:tcPr>
          <w:p w14:paraId="7E729D9C" w14:textId="77777777" w:rsidR="00533D32" w:rsidRPr="00BD16B4" w:rsidRDefault="00533D32" w:rsidP="00C87B45">
            <w:pPr>
              <w:pStyle w:val="TableText"/>
              <w:spacing w:before="40" w:after="40"/>
              <w:rPr>
                <w:rFonts w:cs="Calibri"/>
                <w:color w:val="000000"/>
                <w:szCs w:val="18"/>
              </w:rPr>
            </w:pPr>
          </w:p>
        </w:tc>
        <w:tc>
          <w:tcPr>
            <w:tcW w:w="1474" w:type="dxa"/>
            <w:vMerge/>
            <w:noWrap/>
            <w:tcMar>
              <w:left w:w="57" w:type="dxa"/>
            </w:tcMar>
          </w:tcPr>
          <w:p w14:paraId="0E1578CA" w14:textId="77777777" w:rsidR="00533D32" w:rsidRPr="00BD16B4" w:rsidRDefault="00533D32" w:rsidP="00C87B45">
            <w:pPr>
              <w:pStyle w:val="TableText"/>
              <w:spacing w:before="40" w:after="40"/>
              <w:rPr>
                <w:rFonts w:cs="Calibri"/>
                <w:color w:val="000000"/>
                <w:szCs w:val="18"/>
              </w:rPr>
            </w:pPr>
          </w:p>
        </w:tc>
        <w:tc>
          <w:tcPr>
            <w:tcW w:w="2405" w:type="dxa"/>
            <w:noWrap/>
          </w:tcPr>
          <w:p w14:paraId="68C78E75" w14:textId="77777777" w:rsidR="00533D32" w:rsidRPr="00BD16B4" w:rsidRDefault="00533D32" w:rsidP="00C87B45">
            <w:pPr>
              <w:pStyle w:val="TableText"/>
              <w:spacing w:before="40" w:after="40"/>
              <w:rPr>
                <w:rFonts w:cs="Calibri"/>
                <w:color w:val="000000"/>
                <w:szCs w:val="18"/>
              </w:rPr>
            </w:pPr>
            <w:r w:rsidRPr="00BD16B4">
              <w:rPr>
                <w:rFonts w:cs="Calibri"/>
                <w:szCs w:val="18"/>
              </w:rPr>
              <w:t>Low</w:t>
            </w:r>
          </w:p>
        </w:tc>
        <w:tc>
          <w:tcPr>
            <w:tcW w:w="760" w:type="dxa"/>
            <w:noWrap/>
          </w:tcPr>
          <w:p w14:paraId="4AB11DBB"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07CE791C"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1708E969"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4BEF2A80"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313E43AC"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3CB6E8CA"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500D55EA"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shd w:val="clear" w:color="auto" w:fill="D2DDE1" w:themeFill="background2"/>
            <w:noWrap/>
          </w:tcPr>
          <w:p w14:paraId="2AA5C541"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$93</w:t>
            </w:r>
          </w:p>
        </w:tc>
        <w:tc>
          <w:tcPr>
            <w:tcW w:w="892" w:type="dxa"/>
            <w:shd w:val="clear" w:color="auto" w:fill="D2DDE1" w:themeFill="background2"/>
            <w:noWrap/>
          </w:tcPr>
          <w:p w14:paraId="348D20E3"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$150</w:t>
            </w:r>
          </w:p>
        </w:tc>
        <w:tc>
          <w:tcPr>
            <w:tcW w:w="892" w:type="dxa"/>
            <w:shd w:val="clear" w:color="auto" w:fill="D2DDE1" w:themeFill="background2"/>
            <w:noWrap/>
          </w:tcPr>
          <w:p w14:paraId="253368E0"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$174</w:t>
            </w:r>
          </w:p>
        </w:tc>
      </w:tr>
      <w:tr w:rsidR="00533D32" w:rsidRPr="00BD16B4" w14:paraId="78BB146F" w14:textId="77777777" w:rsidTr="00315977">
        <w:tc>
          <w:tcPr>
            <w:tcW w:w="1928" w:type="dxa"/>
            <w:vMerge/>
            <w:noWrap/>
          </w:tcPr>
          <w:p w14:paraId="1F0A0164" w14:textId="77777777" w:rsidR="00533D32" w:rsidRPr="00BD16B4" w:rsidRDefault="00533D32" w:rsidP="00C87B45">
            <w:pPr>
              <w:pStyle w:val="TableText"/>
              <w:spacing w:before="40" w:after="40"/>
              <w:rPr>
                <w:rFonts w:cs="Calibri"/>
                <w:color w:val="000000"/>
                <w:szCs w:val="18"/>
              </w:rPr>
            </w:pPr>
          </w:p>
        </w:tc>
        <w:tc>
          <w:tcPr>
            <w:tcW w:w="1474" w:type="dxa"/>
            <w:vMerge/>
            <w:noWrap/>
            <w:tcMar>
              <w:left w:w="57" w:type="dxa"/>
            </w:tcMar>
          </w:tcPr>
          <w:p w14:paraId="5DE40922" w14:textId="77777777" w:rsidR="00533D32" w:rsidRPr="00BD16B4" w:rsidRDefault="00533D32" w:rsidP="00C87B45">
            <w:pPr>
              <w:pStyle w:val="TableText"/>
              <w:spacing w:before="40" w:after="40"/>
              <w:rPr>
                <w:rFonts w:cs="Calibri"/>
                <w:color w:val="000000"/>
                <w:szCs w:val="18"/>
              </w:rPr>
            </w:pPr>
          </w:p>
        </w:tc>
        <w:tc>
          <w:tcPr>
            <w:tcW w:w="2405" w:type="dxa"/>
            <w:noWrap/>
          </w:tcPr>
          <w:p w14:paraId="103F32D9" w14:textId="77777777" w:rsidR="00533D32" w:rsidRPr="00BD16B4" w:rsidRDefault="00533D32" w:rsidP="00C87B45">
            <w:pPr>
              <w:pStyle w:val="TableText"/>
              <w:spacing w:before="40" w:after="40"/>
              <w:rPr>
                <w:rFonts w:cs="Calibri"/>
                <w:color w:val="000000"/>
                <w:szCs w:val="18"/>
              </w:rPr>
            </w:pPr>
            <w:r w:rsidRPr="00BD16B4">
              <w:rPr>
                <w:rFonts w:cs="Calibri"/>
                <w:szCs w:val="18"/>
              </w:rPr>
              <w:t>High</w:t>
            </w:r>
          </w:p>
        </w:tc>
        <w:tc>
          <w:tcPr>
            <w:tcW w:w="760" w:type="dxa"/>
            <w:noWrap/>
          </w:tcPr>
          <w:p w14:paraId="638E6BF9"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69D111B0"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14A06BCD"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6954494C"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618CE0CB"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7498B312"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211AA5E3"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shd w:val="clear" w:color="auto" w:fill="D2DDE1" w:themeFill="background2"/>
            <w:noWrap/>
          </w:tcPr>
          <w:p w14:paraId="165AC21F"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$35</w:t>
            </w:r>
          </w:p>
        </w:tc>
        <w:tc>
          <w:tcPr>
            <w:tcW w:w="892" w:type="dxa"/>
            <w:shd w:val="clear" w:color="auto" w:fill="D2DDE1" w:themeFill="background2"/>
            <w:noWrap/>
          </w:tcPr>
          <w:p w14:paraId="32D5CBC5"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$44</w:t>
            </w:r>
          </w:p>
        </w:tc>
        <w:tc>
          <w:tcPr>
            <w:tcW w:w="892" w:type="dxa"/>
            <w:shd w:val="clear" w:color="auto" w:fill="D2DDE1" w:themeFill="background2"/>
            <w:noWrap/>
          </w:tcPr>
          <w:p w14:paraId="4EF71A5C"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$57</w:t>
            </w:r>
          </w:p>
        </w:tc>
      </w:tr>
      <w:tr w:rsidR="00533D32" w:rsidRPr="00BD16B4" w14:paraId="53902BF0" w14:textId="77777777" w:rsidTr="00315977">
        <w:tc>
          <w:tcPr>
            <w:tcW w:w="1928" w:type="dxa"/>
            <w:vMerge w:val="restart"/>
            <w:noWrap/>
          </w:tcPr>
          <w:p w14:paraId="3C0BDE6F"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Population (Energy &amp; Transport sectors)</w:t>
            </w:r>
          </w:p>
        </w:tc>
        <w:tc>
          <w:tcPr>
            <w:tcW w:w="1474" w:type="dxa"/>
            <w:vMerge w:val="restart"/>
            <w:noWrap/>
            <w:tcMar>
              <w:left w:w="57" w:type="dxa"/>
            </w:tcMar>
          </w:tcPr>
          <w:p w14:paraId="2E6128C2"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million inhabitants</w:t>
            </w:r>
          </w:p>
        </w:tc>
        <w:tc>
          <w:tcPr>
            <w:tcW w:w="2405" w:type="dxa"/>
            <w:noWrap/>
          </w:tcPr>
          <w:p w14:paraId="60656B8C"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WEM/WOM/WAM</w:t>
            </w:r>
          </w:p>
        </w:tc>
        <w:tc>
          <w:tcPr>
            <w:tcW w:w="760" w:type="dxa"/>
            <w:noWrap/>
          </w:tcPr>
          <w:p w14:paraId="2DDBC83B"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3.46</w:t>
            </w:r>
          </w:p>
        </w:tc>
        <w:tc>
          <w:tcPr>
            <w:tcW w:w="892" w:type="dxa"/>
            <w:noWrap/>
          </w:tcPr>
          <w:p w14:paraId="639D4843" w14:textId="77777777" w:rsidR="00533D32" w:rsidRPr="00BD16B4" w:rsidRDefault="00533D32" w:rsidP="00C87B45">
            <w:pPr>
              <w:pStyle w:val="TableText"/>
              <w:spacing w:before="40" w:after="40"/>
              <w:jc w:val="center"/>
              <w:rPr>
                <w:rFonts w:cs="Calibri"/>
                <w:szCs w:val="18"/>
              </w:rPr>
            </w:pPr>
            <w:r w:rsidRPr="00BD16B4">
              <w:rPr>
                <w:rFonts w:cs="Calibri"/>
                <w:szCs w:val="18"/>
              </w:rPr>
              <w:t>3.67</w:t>
            </w:r>
          </w:p>
        </w:tc>
        <w:tc>
          <w:tcPr>
            <w:tcW w:w="892" w:type="dxa"/>
            <w:noWrap/>
          </w:tcPr>
          <w:p w14:paraId="23EA2176" w14:textId="77777777" w:rsidR="00533D32" w:rsidRPr="00BD16B4" w:rsidRDefault="00533D32" w:rsidP="00C87B45">
            <w:pPr>
              <w:pStyle w:val="TableText"/>
              <w:spacing w:before="40" w:after="40"/>
              <w:jc w:val="center"/>
              <w:rPr>
                <w:rFonts w:cs="Calibri"/>
                <w:szCs w:val="18"/>
              </w:rPr>
            </w:pPr>
            <w:r w:rsidRPr="00BD16B4">
              <w:rPr>
                <w:rFonts w:cs="Calibri"/>
                <w:szCs w:val="18"/>
              </w:rPr>
              <w:t>3.86</w:t>
            </w:r>
          </w:p>
        </w:tc>
        <w:tc>
          <w:tcPr>
            <w:tcW w:w="892" w:type="dxa"/>
            <w:noWrap/>
          </w:tcPr>
          <w:p w14:paraId="68126DA7" w14:textId="77777777" w:rsidR="00533D32" w:rsidRPr="00BD16B4" w:rsidRDefault="00533D32" w:rsidP="00C87B45">
            <w:pPr>
              <w:pStyle w:val="TableText"/>
              <w:spacing w:before="40" w:after="40"/>
              <w:jc w:val="center"/>
              <w:rPr>
                <w:rFonts w:cs="Calibri"/>
                <w:szCs w:val="18"/>
              </w:rPr>
            </w:pPr>
            <w:r w:rsidRPr="00BD16B4">
              <w:rPr>
                <w:rFonts w:cs="Calibri"/>
                <w:szCs w:val="18"/>
              </w:rPr>
              <w:t>4.13</w:t>
            </w:r>
          </w:p>
        </w:tc>
        <w:tc>
          <w:tcPr>
            <w:tcW w:w="892" w:type="dxa"/>
            <w:noWrap/>
          </w:tcPr>
          <w:p w14:paraId="26058BF1"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4.35</w:t>
            </w:r>
          </w:p>
        </w:tc>
        <w:tc>
          <w:tcPr>
            <w:tcW w:w="892" w:type="dxa"/>
            <w:noWrap/>
          </w:tcPr>
          <w:p w14:paraId="3DD66216"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4.60</w:t>
            </w:r>
          </w:p>
        </w:tc>
        <w:tc>
          <w:tcPr>
            <w:tcW w:w="892" w:type="dxa"/>
            <w:noWrap/>
          </w:tcPr>
          <w:p w14:paraId="647DAF0C"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5.09</w:t>
            </w:r>
          </w:p>
        </w:tc>
        <w:tc>
          <w:tcPr>
            <w:tcW w:w="892" w:type="dxa"/>
            <w:shd w:val="clear" w:color="auto" w:fill="D2DDE1" w:themeFill="background2"/>
            <w:noWrap/>
          </w:tcPr>
          <w:p w14:paraId="44B13D05"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5.28</w:t>
            </w:r>
          </w:p>
        </w:tc>
        <w:tc>
          <w:tcPr>
            <w:tcW w:w="892" w:type="dxa"/>
            <w:shd w:val="clear" w:color="auto" w:fill="D2DDE1" w:themeFill="background2"/>
            <w:noWrap/>
          </w:tcPr>
          <w:p w14:paraId="5E7EC49A"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5.58</w:t>
            </w:r>
          </w:p>
        </w:tc>
        <w:tc>
          <w:tcPr>
            <w:tcW w:w="892" w:type="dxa"/>
            <w:shd w:val="clear" w:color="auto" w:fill="D2DDE1" w:themeFill="background2"/>
            <w:noWrap/>
          </w:tcPr>
          <w:p w14:paraId="40493557"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5.80</w:t>
            </w:r>
          </w:p>
        </w:tc>
      </w:tr>
      <w:tr w:rsidR="00533D32" w:rsidRPr="00BD16B4" w14:paraId="3715651C" w14:textId="77777777" w:rsidTr="00315977">
        <w:tc>
          <w:tcPr>
            <w:tcW w:w="1928" w:type="dxa"/>
            <w:vMerge/>
            <w:noWrap/>
          </w:tcPr>
          <w:p w14:paraId="5CF26E27" w14:textId="77777777" w:rsidR="00533D32" w:rsidRPr="00BD16B4" w:rsidRDefault="00533D32" w:rsidP="00C87B45">
            <w:pPr>
              <w:pStyle w:val="TableText"/>
              <w:spacing w:before="40" w:after="40"/>
              <w:rPr>
                <w:rFonts w:cs="Calibri"/>
                <w:color w:val="000000"/>
                <w:szCs w:val="18"/>
              </w:rPr>
            </w:pPr>
          </w:p>
        </w:tc>
        <w:tc>
          <w:tcPr>
            <w:tcW w:w="1474" w:type="dxa"/>
            <w:vMerge/>
            <w:noWrap/>
            <w:tcMar>
              <w:left w:w="57" w:type="dxa"/>
            </w:tcMar>
          </w:tcPr>
          <w:p w14:paraId="5B78B172" w14:textId="77777777" w:rsidR="00533D32" w:rsidRPr="00BD16B4" w:rsidRDefault="00533D32" w:rsidP="00C87B45">
            <w:pPr>
              <w:pStyle w:val="TableText"/>
              <w:spacing w:before="40" w:after="40"/>
              <w:rPr>
                <w:rFonts w:cs="Calibri"/>
                <w:color w:val="000000"/>
                <w:szCs w:val="18"/>
              </w:rPr>
            </w:pPr>
          </w:p>
        </w:tc>
        <w:tc>
          <w:tcPr>
            <w:tcW w:w="2405" w:type="dxa"/>
            <w:noWrap/>
          </w:tcPr>
          <w:p w14:paraId="403C561B"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Low</w:t>
            </w:r>
          </w:p>
        </w:tc>
        <w:tc>
          <w:tcPr>
            <w:tcW w:w="760" w:type="dxa"/>
            <w:noWrap/>
          </w:tcPr>
          <w:p w14:paraId="65C00EAA"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3.46</w:t>
            </w:r>
          </w:p>
        </w:tc>
        <w:tc>
          <w:tcPr>
            <w:tcW w:w="892" w:type="dxa"/>
            <w:noWrap/>
          </w:tcPr>
          <w:p w14:paraId="13FF8D31" w14:textId="77777777" w:rsidR="00533D32" w:rsidRPr="00BD16B4" w:rsidRDefault="00533D32" w:rsidP="00C87B45">
            <w:pPr>
              <w:pStyle w:val="TableText"/>
              <w:spacing w:before="40" w:after="40"/>
              <w:jc w:val="center"/>
              <w:rPr>
                <w:rFonts w:cs="Calibri"/>
                <w:szCs w:val="18"/>
              </w:rPr>
            </w:pPr>
            <w:r w:rsidRPr="00BD16B4">
              <w:rPr>
                <w:rFonts w:cs="Calibri"/>
                <w:szCs w:val="18"/>
              </w:rPr>
              <w:t>3.67</w:t>
            </w:r>
          </w:p>
        </w:tc>
        <w:tc>
          <w:tcPr>
            <w:tcW w:w="892" w:type="dxa"/>
            <w:noWrap/>
          </w:tcPr>
          <w:p w14:paraId="4DD846D3" w14:textId="77777777" w:rsidR="00533D32" w:rsidRPr="00BD16B4" w:rsidRDefault="00533D32" w:rsidP="00C87B45">
            <w:pPr>
              <w:pStyle w:val="TableText"/>
              <w:spacing w:before="40" w:after="40"/>
              <w:jc w:val="center"/>
              <w:rPr>
                <w:rFonts w:cs="Calibri"/>
                <w:szCs w:val="18"/>
              </w:rPr>
            </w:pPr>
            <w:r w:rsidRPr="00BD16B4">
              <w:rPr>
                <w:rFonts w:cs="Calibri"/>
                <w:szCs w:val="18"/>
              </w:rPr>
              <w:t>3.86</w:t>
            </w:r>
          </w:p>
        </w:tc>
        <w:tc>
          <w:tcPr>
            <w:tcW w:w="892" w:type="dxa"/>
            <w:noWrap/>
          </w:tcPr>
          <w:p w14:paraId="7D21E510" w14:textId="77777777" w:rsidR="00533D32" w:rsidRPr="00BD16B4" w:rsidRDefault="00533D32" w:rsidP="00C87B45">
            <w:pPr>
              <w:pStyle w:val="TableText"/>
              <w:spacing w:before="40" w:after="40"/>
              <w:jc w:val="center"/>
              <w:rPr>
                <w:rFonts w:cs="Calibri"/>
                <w:szCs w:val="18"/>
              </w:rPr>
            </w:pPr>
            <w:r w:rsidRPr="00BD16B4">
              <w:rPr>
                <w:rFonts w:cs="Calibri"/>
                <w:szCs w:val="18"/>
              </w:rPr>
              <w:t>4.13</w:t>
            </w:r>
          </w:p>
        </w:tc>
        <w:tc>
          <w:tcPr>
            <w:tcW w:w="892" w:type="dxa"/>
            <w:noWrap/>
          </w:tcPr>
          <w:p w14:paraId="185DA3E8"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4.35</w:t>
            </w:r>
          </w:p>
        </w:tc>
        <w:tc>
          <w:tcPr>
            <w:tcW w:w="892" w:type="dxa"/>
            <w:noWrap/>
          </w:tcPr>
          <w:p w14:paraId="5B65AFF4"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4.60</w:t>
            </w:r>
          </w:p>
        </w:tc>
        <w:tc>
          <w:tcPr>
            <w:tcW w:w="892" w:type="dxa"/>
            <w:noWrap/>
          </w:tcPr>
          <w:p w14:paraId="671C1814"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5.09</w:t>
            </w:r>
          </w:p>
        </w:tc>
        <w:tc>
          <w:tcPr>
            <w:tcW w:w="892" w:type="dxa"/>
            <w:shd w:val="clear" w:color="auto" w:fill="D2DDE1" w:themeFill="background2"/>
            <w:noWrap/>
          </w:tcPr>
          <w:p w14:paraId="3BD49B72"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5.28</w:t>
            </w:r>
          </w:p>
        </w:tc>
        <w:tc>
          <w:tcPr>
            <w:tcW w:w="892" w:type="dxa"/>
            <w:shd w:val="clear" w:color="auto" w:fill="D2DDE1" w:themeFill="background2"/>
            <w:noWrap/>
          </w:tcPr>
          <w:p w14:paraId="665C38A2"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5.46</w:t>
            </w:r>
          </w:p>
        </w:tc>
        <w:tc>
          <w:tcPr>
            <w:tcW w:w="892" w:type="dxa"/>
            <w:shd w:val="clear" w:color="auto" w:fill="D2DDE1" w:themeFill="background2"/>
            <w:noWrap/>
          </w:tcPr>
          <w:p w14:paraId="7AF57EFB"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5.53</w:t>
            </w:r>
          </w:p>
        </w:tc>
      </w:tr>
      <w:tr w:rsidR="00533D32" w:rsidRPr="00BD16B4" w14:paraId="760D2D38" w14:textId="77777777" w:rsidTr="00315977">
        <w:tc>
          <w:tcPr>
            <w:tcW w:w="1928" w:type="dxa"/>
            <w:vMerge/>
            <w:noWrap/>
          </w:tcPr>
          <w:p w14:paraId="4AD4BBD0" w14:textId="77777777" w:rsidR="00533D32" w:rsidRPr="00BD16B4" w:rsidRDefault="00533D32" w:rsidP="00C87B45">
            <w:pPr>
              <w:pStyle w:val="TableText"/>
              <w:spacing w:before="40" w:after="40"/>
              <w:rPr>
                <w:rFonts w:cs="Calibri"/>
                <w:color w:val="000000"/>
                <w:szCs w:val="18"/>
              </w:rPr>
            </w:pPr>
          </w:p>
        </w:tc>
        <w:tc>
          <w:tcPr>
            <w:tcW w:w="1474" w:type="dxa"/>
            <w:vMerge/>
            <w:noWrap/>
            <w:tcMar>
              <w:left w:w="57" w:type="dxa"/>
            </w:tcMar>
          </w:tcPr>
          <w:p w14:paraId="5E35EFD4" w14:textId="77777777" w:rsidR="00533D32" w:rsidRPr="00BD16B4" w:rsidRDefault="00533D32" w:rsidP="00C87B45">
            <w:pPr>
              <w:pStyle w:val="TableText"/>
              <w:spacing w:before="40" w:after="40"/>
              <w:rPr>
                <w:rFonts w:cs="Calibri"/>
                <w:color w:val="000000"/>
                <w:szCs w:val="18"/>
              </w:rPr>
            </w:pPr>
          </w:p>
        </w:tc>
        <w:tc>
          <w:tcPr>
            <w:tcW w:w="2405" w:type="dxa"/>
            <w:noWrap/>
          </w:tcPr>
          <w:p w14:paraId="563E8CFA"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High</w:t>
            </w:r>
          </w:p>
        </w:tc>
        <w:tc>
          <w:tcPr>
            <w:tcW w:w="760" w:type="dxa"/>
            <w:noWrap/>
          </w:tcPr>
          <w:p w14:paraId="38B3416A"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3.46</w:t>
            </w:r>
          </w:p>
        </w:tc>
        <w:tc>
          <w:tcPr>
            <w:tcW w:w="892" w:type="dxa"/>
            <w:noWrap/>
          </w:tcPr>
          <w:p w14:paraId="4FE15D3E" w14:textId="77777777" w:rsidR="00533D32" w:rsidRPr="00BD16B4" w:rsidRDefault="00533D32" w:rsidP="00C87B45">
            <w:pPr>
              <w:pStyle w:val="TableText"/>
              <w:spacing w:before="40" w:after="40"/>
              <w:jc w:val="center"/>
              <w:rPr>
                <w:rFonts w:cs="Calibri"/>
                <w:szCs w:val="18"/>
              </w:rPr>
            </w:pPr>
            <w:r w:rsidRPr="00BD16B4">
              <w:rPr>
                <w:rFonts w:cs="Calibri"/>
                <w:szCs w:val="18"/>
              </w:rPr>
              <w:t>3.67</w:t>
            </w:r>
          </w:p>
        </w:tc>
        <w:tc>
          <w:tcPr>
            <w:tcW w:w="892" w:type="dxa"/>
            <w:noWrap/>
          </w:tcPr>
          <w:p w14:paraId="13C2F648" w14:textId="77777777" w:rsidR="00533D32" w:rsidRPr="00BD16B4" w:rsidRDefault="00533D32" w:rsidP="00C87B45">
            <w:pPr>
              <w:pStyle w:val="TableText"/>
              <w:spacing w:before="40" w:after="40"/>
              <w:jc w:val="center"/>
              <w:rPr>
                <w:rFonts w:cs="Calibri"/>
                <w:szCs w:val="18"/>
              </w:rPr>
            </w:pPr>
            <w:r w:rsidRPr="00BD16B4">
              <w:rPr>
                <w:rFonts w:cs="Calibri"/>
                <w:szCs w:val="18"/>
              </w:rPr>
              <w:t>3.86</w:t>
            </w:r>
          </w:p>
        </w:tc>
        <w:tc>
          <w:tcPr>
            <w:tcW w:w="892" w:type="dxa"/>
            <w:noWrap/>
          </w:tcPr>
          <w:p w14:paraId="396EEB11" w14:textId="77777777" w:rsidR="00533D32" w:rsidRPr="00BD16B4" w:rsidRDefault="00533D32" w:rsidP="00C87B45">
            <w:pPr>
              <w:pStyle w:val="TableText"/>
              <w:spacing w:before="40" w:after="40"/>
              <w:jc w:val="center"/>
              <w:rPr>
                <w:rFonts w:cs="Calibri"/>
                <w:szCs w:val="18"/>
              </w:rPr>
            </w:pPr>
            <w:r w:rsidRPr="00BD16B4">
              <w:rPr>
                <w:rFonts w:cs="Calibri"/>
                <w:szCs w:val="18"/>
              </w:rPr>
              <w:t>4.13</w:t>
            </w:r>
          </w:p>
        </w:tc>
        <w:tc>
          <w:tcPr>
            <w:tcW w:w="892" w:type="dxa"/>
            <w:noWrap/>
          </w:tcPr>
          <w:p w14:paraId="6F3CCCE1"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4.35</w:t>
            </w:r>
          </w:p>
        </w:tc>
        <w:tc>
          <w:tcPr>
            <w:tcW w:w="892" w:type="dxa"/>
            <w:noWrap/>
          </w:tcPr>
          <w:p w14:paraId="0A8CCE8D"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4.60</w:t>
            </w:r>
          </w:p>
        </w:tc>
        <w:tc>
          <w:tcPr>
            <w:tcW w:w="892" w:type="dxa"/>
            <w:noWrap/>
          </w:tcPr>
          <w:p w14:paraId="56DC9F9C"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5.09</w:t>
            </w:r>
          </w:p>
        </w:tc>
        <w:tc>
          <w:tcPr>
            <w:tcW w:w="892" w:type="dxa"/>
            <w:shd w:val="clear" w:color="auto" w:fill="D2DDE1" w:themeFill="background2"/>
            <w:noWrap/>
          </w:tcPr>
          <w:p w14:paraId="68E3F9D6"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5.28</w:t>
            </w:r>
          </w:p>
        </w:tc>
        <w:tc>
          <w:tcPr>
            <w:tcW w:w="892" w:type="dxa"/>
            <w:shd w:val="clear" w:color="auto" w:fill="D2DDE1" w:themeFill="background2"/>
            <w:noWrap/>
          </w:tcPr>
          <w:p w14:paraId="0CF4829A"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5.71</w:t>
            </w:r>
          </w:p>
        </w:tc>
        <w:tc>
          <w:tcPr>
            <w:tcW w:w="892" w:type="dxa"/>
            <w:shd w:val="clear" w:color="auto" w:fill="D2DDE1" w:themeFill="background2"/>
            <w:noWrap/>
          </w:tcPr>
          <w:p w14:paraId="1B430B17"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6.08</w:t>
            </w:r>
          </w:p>
        </w:tc>
      </w:tr>
      <w:tr w:rsidR="00533D32" w:rsidRPr="00BD16B4" w14:paraId="7AEA8492" w14:textId="77777777" w:rsidTr="00315977">
        <w:tc>
          <w:tcPr>
            <w:tcW w:w="1928" w:type="dxa"/>
            <w:vMerge w:val="restart"/>
            <w:noWrap/>
          </w:tcPr>
          <w:p w14:paraId="728CC290"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GDP (Energy &amp; Transport sectors)</w:t>
            </w:r>
          </w:p>
        </w:tc>
        <w:tc>
          <w:tcPr>
            <w:tcW w:w="1474" w:type="dxa"/>
            <w:vMerge w:val="restart"/>
            <w:noWrap/>
            <w:tcMar>
              <w:left w:w="57" w:type="dxa"/>
            </w:tcMar>
          </w:tcPr>
          <w:p w14:paraId="1D110D05" w14:textId="77777777" w:rsidR="00533D32" w:rsidRPr="00BD16B4" w:rsidRDefault="00533D32" w:rsidP="00C87B45">
            <w:pPr>
              <w:pStyle w:val="TableText"/>
              <w:spacing w:before="40" w:after="40"/>
              <w:rPr>
                <w:rFonts w:cs="Calibri"/>
                <w:color w:val="000000"/>
                <w:szCs w:val="18"/>
              </w:rPr>
            </w:pPr>
            <w:r w:rsidRPr="00BD16B4">
              <w:rPr>
                <w:rFonts w:cs="Calibri"/>
                <w:color w:val="000000" w:themeColor="text1"/>
                <w:szCs w:val="18"/>
              </w:rPr>
              <w:t>billion</w:t>
            </w:r>
            <w:r w:rsidRPr="00BD16B4">
              <w:rPr>
                <w:rFonts w:cs="Calibri"/>
                <w:color w:val="000000"/>
                <w:szCs w:val="18"/>
              </w:rPr>
              <w:t xml:space="preserve"> (real 2009/10 $NZ billion)</w:t>
            </w:r>
          </w:p>
        </w:tc>
        <w:tc>
          <w:tcPr>
            <w:tcW w:w="2405" w:type="dxa"/>
            <w:noWrap/>
          </w:tcPr>
          <w:p w14:paraId="322D324A"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WEM/WOM/WAM</w:t>
            </w:r>
          </w:p>
        </w:tc>
        <w:tc>
          <w:tcPr>
            <w:tcW w:w="760" w:type="dxa"/>
            <w:noWrap/>
          </w:tcPr>
          <w:p w14:paraId="0AEF0093"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112.71</w:t>
            </w:r>
          </w:p>
        </w:tc>
        <w:tc>
          <w:tcPr>
            <w:tcW w:w="892" w:type="dxa"/>
            <w:noWrap/>
          </w:tcPr>
          <w:p w14:paraId="0DF5CA04" w14:textId="77777777" w:rsidR="00533D32" w:rsidRPr="00BD16B4" w:rsidRDefault="00533D32" w:rsidP="00C87B45">
            <w:pPr>
              <w:pStyle w:val="TableText"/>
              <w:spacing w:before="40" w:after="40"/>
              <w:jc w:val="center"/>
              <w:rPr>
                <w:rFonts w:cs="Calibri"/>
                <w:szCs w:val="18"/>
              </w:rPr>
            </w:pPr>
            <w:r w:rsidRPr="00BD16B4">
              <w:rPr>
                <w:rFonts w:cs="Calibri"/>
                <w:szCs w:val="18"/>
              </w:rPr>
              <w:t>130.5</w:t>
            </w:r>
          </w:p>
        </w:tc>
        <w:tc>
          <w:tcPr>
            <w:tcW w:w="892" w:type="dxa"/>
            <w:noWrap/>
          </w:tcPr>
          <w:p w14:paraId="2953C14A" w14:textId="77777777" w:rsidR="00533D32" w:rsidRPr="00BD16B4" w:rsidRDefault="00533D32" w:rsidP="00C87B45">
            <w:pPr>
              <w:pStyle w:val="TableText"/>
              <w:spacing w:before="40" w:after="40"/>
              <w:jc w:val="center"/>
              <w:rPr>
                <w:rFonts w:cs="Calibri"/>
                <w:szCs w:val="18"/>
              </w:rPr>
            </w:pPr>
            <w:r w:rsidRPr="00BD16B4">
              <w:rPr>
                <w:rFonts w:cs="Calibri"/>
                <w:szCs w:val="18"/>
              </w:rPr>
              <w:t>152.2</w:t>
            </w:r>
          </w:p>
        </w:tc>
        <w:tc>
          <w:tcPr>
            <w:tcW w:w="892" w:type="dxa"/>
            <w:noWrap/>
          </w:tcPr>
          <w:p w14:paraId="0D2AF274" w14:textId="77777777" w:rsidR="00533D32" w:rsidRPr="00BD16B4" w:rsidRDefault="00533D32" w:rsidP="00C87B45">
            <w:pPr>
              <w:pStyle w:val="TableText"/>
              <w:spacing w:before="40" w:after="40"/>
              <w:jc w:val="center"/>
              <w:rPr>
                <w:rFonts w:cs="Calibri"/>
                <w:szCs w:val="18"/>
              </w:rPr>
            </w:pPr>
            <w:r w:rsidRPr="00BD16B4">
              <w:rPr>
                <w:rFonts w:cs="Calibri"/>
                <w:szCs w:val="18"/>
              </w:rPr>
              <w:t>184.2</w:t>
            </w:r>
          </w:p>
        </w:tc>
        <w:tc>
          <w:tcPr>
            <w:tcW w:w="892" w:type="dxa"/>
            <w:noWrap/>
          </w:tcPr>
          <w:p w14:paraId="43A3F2F4"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196.8</w:t>
            </w:r>
          </w:p>
        </w:tc>
        <w:tc>
          <w:tcPr>
            <w:tcW w:w="892" w:type="dxa"/>
            <w:noWrap/>
          </w:tcPr>
          <w:p w14:paraId="03AC57EE"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225.9</w:t>
            </w:r>
          </w:p>
        </w:tc>
        <w:tc>
          <w:tcPr>
            <w:tcW w:w="892" w:type="dxa"/>
            <w:noWrap/>
          </w:tcPr>
          <w:p w14:paraId="05B5FE69"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253.3</w:t>
            </w:r>
          </w:p>
        </w:tc>
        <w:tc>
          <w:tcPr>
            <w:tcW w:w="892" w:type="dxa"/>
            <w:shd w:val="clear" w:color="auto" w:fill="D2DDE1" w:themeFill="background2"/>
            <w:noWrap/>
          </w:tcPr>
          <w:p w14:paraId="31EDB76B"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291.4</w:t>
            </w:r>
          </w:p>
        </w:tc>
        <w:tc>
          <w:tcPr>
            <w:tcW w:w="892" w:type="dxa"/>
            <w:shd w:val="clear" w:color="auto" w:fill="D2DDE1" w:themeFill="background2"/>
            <w:noWrap/>
          </w:tcPr>
          <w:p w14:paraId="07A26355"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325.3</w:t>
            </w:r>
          </w:p>
        </w:tc>
        <w:tc>
          <w:tcPr>
            <w:tcW w:w="892" w:type="dxa"/>
            <w:shd w:val="clear" w:color="auto" w:fill="D2DDE1" w:themeFill="background2"/>
            <w:noWrap/>
          </w:tcPr>
          <w:p w14:paraId="7BC97716"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351.7</w:t>
            </w:r>
          </w:p>
        </w:tc>
      </w:tr>
      <w:tr w:rsidR="00533D32" w:rsidRPr="00BD16B4" w14:paraId="5C67B17B" w14:textId="77777777" w:rsidTr="00315977">
        <w:tc>
          <w:tcPr>
            <w:tcW w:w="1928" w:type="dxa"/>
            <w:vMerge/>
            <w:noWrap/>
          </w:tcPr>
          <w:p w14:paraId="11ECBF5E" w14:textId="77777777" w:rsidR="00533D32" w:rsidRPr="00BD16B4" w:rsidRDefault="00533D32" w:rsidP="00C87B45">
            <w:pPr>
              <w:pStyle w:val="TableText"/>
              <w:spacing w:before="40" w:after="40"/>
              <w:rPr>
                <w:rFonts w:cs="Calibri"/>
                <w:color w:val="000000"/>
                <w:szCs w:val="18"/>
              </w:rPr>
            </w:pPr>
          </w:p>
        </w:tc>
        <w:tc>
          <w:tcPr>
            <w:tcW w:w="1474" w:type="dxa"/>
            <w:vMerge/>
            <w:noWrap/>
            <w:tcMar>
              <w:left w:w="57" w:type="dxa"/>
            </w:tcMar>
          </w:tcPr>
          <w:p w14:paraId="42762309" w14:textId="77777777" w:rsidR="00533D32" w:rsidRPr="00BD16B4" w:rsidRDefault="00533D32" w:rsidP="00C87B45">
            <w:pPr>
              <w:pStyle w:val="TableText"/>
              <w:spacing w:before="40" w:after="40"/>
              <w:rPr>
                <w:rFonts w:cs="Calibri"/>
                <w:color w:val="000000"/>
                <w:szCs w:val="18"/>
              </w:rPr>
            </w:pPr>
          </w:p>
        </w:tc>
        <w:tc>
          <w:tcPr>
            <w:tcW w:w="2405" w:type="dxa"/>
            <w:noWrap/>
          </w:tcPr>
          <w:p w14:paraId="492AD85A"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Low</w:t>
            </w:r>
          </w:p>
        </w:tc>
        <w:tc>
          <w:tcPr>
            <w:tcW w:w="760" w:type="dxa"/>
            <w:noWrap/>
          </w:tcPr>
          <w:p w14:paraId="0BBAC47F"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112.71</w:t>
            </w:r>
          </w:p>
        </w:tc>
        <w:tc>
          <w:tcPr>
            <w:tcW w:w="892" w:type="dxa"/>
            <w:noWrap/>
          </w:tcPr>
          <w:p w14:paraId="171100C6" w14:textId="77777777" w:rsidR="00533D32" w:rsidRPr="00BD16B4" w:rsidRDefault="00533D32" w:rsidP="00C87B45">
            <w:pPr>
              <w:pStyle w:val="TableText"/>
              <w:spacing w:before="40" w:after="40"/>
              <w:jc w:val="center"/>
              <w:rPr>
                <w:rFonts w:cs="Calibri"/>
                <w:szCs w:val="18"/>
              </w:rPr>
            </w:pPr>
            <w:r w:rsidRPr="00BD16B4">
              <w:rPr>
                <w:rFonts w:cs="Calibri"/>
                <w:szCs w:val="18"/>
              </w:rPr>
              <w:t>130.5</w:t>
            </w:r>
          </w:p>
        </w:tc>
        <w:tc>
          <w:tcPr>
            <w:tcW w:w="892" w:type="dxa"/>
            <w:noWrap/>
          </w:tcPr>
          <w:p w14:paraId="02576E18" w14:textId="77777777" w:rsidR="00533D32" w:rsidRPr="00BD16B4" w:rsidRDefault="00533D32" w:rsidP="00C87B45">
            <w:pPr>
              <w:pStyle w:val="TableText"/>
              <w:spacing w:before="40" w:after="40"/>
              <w:jc w:val="center"/>
              <w:rPr>
                <w:rFonts w:cs="Calibri"/>
                <w:szCs w:val="18"/>
              </w:rPr>
            </w:pPr>
            <w:r w:rsidRPr="00BD16B4">
              <w:rPr>
                <w:rFonts w:cs="Calibri"/>
                <w:szCs w:val="18"/>
              </w:rPr>
              <w:t>152.2</w:t>
            </w:r>
          </w:p>
        </w:tc>
        <w:tc>
          <w:tcPr>
            <w:tcW w:w="892" w:type="dxa"/>
            <w:noWrap/>
          </w:tcPr>
          <w:p w14:paraId="6F27511A" w14:textId="77777777" w:rsidR="00533D32" w:rsidRPr="00BD16B4" w:rsidRDefault="00533D32" w:rsidP="00C87B45">
            <w:pPr>
              <w:pStyle w:val="TableText"/>
              <w:spacing w:before="40" w:after="40"/>
              <w:jc w:val="center"/>
              <w:rPr>
                <w:rFonts w:cs="Calibri"/>
                <w:szCs w:val="18"/>
              </w:rPr>
            </w:pPr>
            <w:r w:rsidRPr="00BD16B4">
              <w:rPr>
                <w:rFonts w:cs="Calibri"/>
                <w:szCs w:val="18"/>
              </w:rPr>
              <w:t>184.2</w:t>
            </w:r>
          </w:p>
        </w:tc>
        <w:tc>
          <w:tcPr>
            <w:tcW w:w="892" w:type="dxa"/>
            <w:noWrap/>
          </w:tcPr>
          <w:p w14:paraId="525F501A"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196.8</w:t>
            </w:r>
          </w:p>
        </w:tc>
        <w:tc>
          <w:tcPr>
            <w:tcW w:w="892" w:type="dxa"/>
            <w:noWrap/>
          </w:tcPr>
          <w:p w14:paraId="2D90D761"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225.9</w:t>
            </w:r>
          </w:p>
        </w:tc>
        <w:tc>
          <w:tcPr>
            <w:tcW w:w="892" w:type="dxa"/>
            <w:noWrap/>
          </w:tcPr>
          <w:p w14:paraId="28A3673A"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253.3</w:t>
            </w:r>
          </w:p>
        </w:tc>
        <w:tc>
          <w:tcPr>
            <w:tcW w:w="892" w:type="dxa"/>
            <w:shd w:val="clear" w:color="auto" w:fill="D2DDE1" w:themeFill="background2"/>
            <w:noWrap/>
          </w:tcPr>
          <w:p w14:paraId="1FBBDE62"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291.4</w:t>
            </w:r>
          </w:p>
        </w:tc>
        <w:tc>
          <w:tcPr>
            <w:tcW w:w="892" w:type="dxa"/>
            <w:shd w:val="clear" w:color="auto" w:fill="D2DDE1" w:themeFill="background2"/>
            <w:noWrap/>
          </w:tcPr>
          <w:p w14:paraId="054F25EE"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316.1</w:t>
            </w:r>
          </w:p>
        </w:tc>
        <w:tc>
          <w:tcPr>
            <w:tcW w:w="892" w:type="dxa"/>
            <w:shd w:val="clear" w:color="auto" w:fill="D2DDE1" w:themeFill="background2"/>
            <w:noWrap/>
          </w:tcPr>
          <w:p w14:paraId="486EC426"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332.4</w:t>
            </w:r>
          </w:p>
        </w:tc>
      </w:tr>
      <w:tr w:rsidR="00533D32" w:rsidRPr="00BD16B4" w14:paraId="48C07A7E" w14:textId="77777777" w:rsidTr="00315977">
        <w:tc>
          <w:tcPr>
            <w:tcW w:w="1928" w:type="dxa"/>
            <w:vMerge/>
            <w:noWrap/>
          </w:tcPr>
          <w:p w14:paraId="1110A70F" w14:textId="77777777" w:rsidR="00533D32" w:rsidRPr="00BD16B4" w:rsidRDefault="00533D32" w:rsidP="00C87B45">
            <w:pPr>
              <w:pStyle w:val="TableText"/>
              <w:spacing w:before="40" w:after="40"/>
              <w:rPr>
                <w:rFonts w:cs="Calibri"/>
                <w:color w:val="000000"/>
                <w:szCs w:val="18"/>
              </w:rPr>
            </w:pPr>
          </w:p>
        </w:tc>
        <w:tc>
          <w:tcPr>
            <w:tcW w:w="1474" w:type="dxa"/>
            <w:vMerge/>
            <w:noWrap/>
            <w:tcMar>
              <w:left w:w="57" w:type="dxa"/>
            </w:tcMar>
          </w:tcPr>
          <w:p w14:paraId="46E5A917" w14:textId="77777777" w:rsidR="00533D32" w:rsidRPr="00BD16B4" w:rsidRDefault="00533D32" w:rsidP="00C87B45">
            <w:pPr>
              <w:pStyle w:val="TableText"/>
              <w:spacing w:before="40" w:after="40"/>
              <w:rPr>
                <w:rFonts w:cs="Calibri"/>
                <w:color w:val="000000"/>
                <w:szCs w:val="18"/>
              </w:rPr>
            </w:pPr>
          </w:p>
        </w:tc>
        <w:tc>
          <w:tcPr>
            <w:tcW w:w="2405" w:type="dxa"/>
            <w:noWrap/>
          </w:tcPr>
          <w:p w14:paraId="7394AB7F"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High</w:t>
            </w:r>
          </w:p>
        </w:tc>
        <w:tc>
          <w:tcPr>
            <w:tcW w:w="760" w:type="dxa"/>
            <w:noWrap/>
          </w:tcPr>
          <w:p w14:paraId="298426AB"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112.71</w:t>
            </w:r>
          </w:p>
        </w:tc>
        <w:tc>
          <w:tcPr>
            <w:tcW w:w="892" w:type="dxa"/>
            <w:noWrap/>
          </w:tcPr>
          <w:p w14:paraId="4DCC2797" w14:textId="77777777" w:rsidR="00533D32" w:rsidRPr="00BD16B4" w:rsidRDefault="00533D32" w:rsidP="00C87B45">
            <w:pPr>
              <w:pStyle w:val="TableText"/>
              <w:spacing w:before="40" w:after="40"/>
              <w:jc w:val="center"/>
              <w:rPr>
                <w:rFonts w:cs="Calibri"/>
                <w:szCs w:val="18"/>
              </w:rPr>
            </w:pPr>
            <w:r w:rsidRPr="00BD16B4">
              <w:rPr>
                <w:rFonts w:cs="Calibri"/>
                <w:szCs w:val="18"/>
              </w:rPr>
              <w:t>130.5</w:t>
            </w:r>
          </w:p>
        </w:tc>
        <w:tc>
          <w:tcPr>
            <w:tcW w:w="892" w:type="dxa"/>
            <w:noWrap/>
          </w:tcPr>
          <w:p w14:paraId="2C17B1E9" w14:textId="77777777" w:rsidR="00533D32" w:rsidRPr="00BD16B4" w:rsidRDefault="00533D32" w:rsidP="00C87B45">
            <w:pPr>
              <w:pStyle w:val="TableText"/>
              <w:spacing w:before="40" w:after="40"/>
              <w:jc w:val="center"/>
              <w:rPr>
                <w:rFonts w:cs="Calibri"/>
                <w:szCs w:val="18"/>
              </w:rPr>
            </w:pPr>
            <w:r w:rsidRPr="00BD16B4">
              <w:rPr>
                <w:rFonts w:cs="Calibri"/>
                <w:szCs w:val="18"/>
              </w:rPr>
              <w:t>152.2</w:t>
            </w:r>
          </w:p>
        </w:tc>
        <w:tc>
          <w:tcPr>
            <w:tcW w:w="892" w:type="dxa"/>
            <w:noWrap/>
          </w:tcPr>
          <w:p w14:paraId="2410FA42" w14:textId="77777777" w:rsidR="00533D32" w:rsidRPr="00BD16B4" w:rsidRDefault="00533D32" w:rsidP="00C87B45">
            <w:pPr>
              <w:pStyle w:val="TableText"/>
              <w:spacing w:before="40" w:after="40"/>
              <w:jc w:val="center"/>
              <w:rPr>
                <w:rFonts w:cs="Calibri"/>
                <w:szCs w:val="18"/>
              </w:rPr>
            </w:pPr>
            <w:r w:rsidRPr="00BD16B4">
              <w:rPr>
                <w:rFonts w:cs="Calibri"/>
                <w:szCs w:val="18"/>
              </w:rPr>
              <w:t>184.2</w:t>
            </w:r>
          </w:p>
        </w:tc>
        <w:tc>
          <w:tcPr>
            <w:tcW w:w="892" w:type="dxa"/>
            <w:noWrap/>
          </w:tcPr>
          <w:p w14:paraId="3A5D7BCF"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196.8</w:t>
            </w:r>
          </w:p>
        </w:tc>
        <w:tc>
          <w:tcPr>
            <w:tcW w:w="892" w:type="dxa"/>
            <w:noWrap/>
          </w:tcPr>
          <w:p w14:paraId="2F639921"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225.9</w:t>
            </w:r>
          </w:p>
        </w:tc>
        <w:tc>
          <w:tcPr>
            <w:tcW w:w="892" w:type="dxa"/>
            <w:noWrap/>
          </w:tcPr>
          <w:p w14:paraId="1AF6542B"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253.3</w:t>
            </w:r>
          </w:p>
        </w:tc>
        <w:tc>
          <w:tcPr>
            <w:tcW w:w="892" w:type="dxa"/>
            <w:shd w:val="clear" w:color="auto" w:fill="D2DDE1" w:themeFill="background2"/>
            <w:noWrap/>
          </w:tcPr>
          <w:p w14:paraId="7707AC8A"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291.4</w:t>
            </w:r>
          </w:p>
        </w:tc>
        <w:tc>
          <w:tcPr>
            <w:tcW w:w="892" w:type="dxa"/>
            <w:shd w:val="clear" w:color="auto" w:fill="D2DDE1" w:themeFill="background2"/>
            <w:noWrap/>
          </w:tcPr>
          <w:p w14:paraId="7C732FCD"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335.4</w:t>
            </w:r>
          </w:p>
        </w:tc>
        <w:tc>
          <w:tcPr>
            <w:tcW w:w="892" w:type="dxa"/>
            <w:shd w:val="clear" w:color="auto" w:fill="D2DDE1" w:themeFill="background2"/>
            <w:noWrap/>
          </w:tcPr>
          <w:p w14:paraId="69FDCD79"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375.8</w:t>
            </w:r>
          </w:p>
        </w:tc>
      </w:tr>
      <w:tr w:rsidR="00533D32" w:rsidRPr="00BD16B4" w14:paraId="3F043368" w14:textId="77777777" w:rsidTr="00315977">
        <w:tc>
          <w:tcPr>
            <w:tcW w:w="1928" w:type="dxa"/>
            <w:noWrap/>
          </w:tcPr>
          <w:p w14:paraId="1B27FDF4" w14:textId="77777777" w:rsidR="00533D32" w:rsidRPr="00BD16B4" w:rsidRDefault="00533D32" w:rsidP="00C87B45">
            <w:pPr>
              <w:pStyle w:val="TableText"/>
              <w:spacing w:before="40" w:after="40"/>
              <w:rPr>
                <w:rFonts w:cs="Calibri"/>
                <w:szCs w:val="18"/>
              </w:rPr>
            </w:pPr>
            <w:r w:rsidRPr="00BD16B4">
              <w:rPr>
                <w:rFonts w:cs="Calibri"/>
                <w:szCs w:val="18"/>
              </w:rPr>
              <w:t>Effective carbon price (Energy &amp; Transport sectors)</w:t>
            </w:r>
          </w:p>
        </w:tc>
        <w:tc>
          <w:tcPr>
            <w:tcW w:w="1474" w:type="dxa"/>
            <w:noWrap/>
            <w:tcMar>
              <w:left w:w="57" w:type="dxa"/>
            </w:tcMar>
          </w:tcPr>
          <w:p w14:paraId="68464CBC" w14:textId="77777777" w:rsidR="00533D32" w:rsidRPr="00BD16B4" w:rsidRDefault="00533D32" w:rsidP="00C87B45">
            <w:pPr>
              <w:pStyle w:val="TableText"/>
              <w:spacing w:before="40" w:after="40"/>
              <w:rPr>
                <w:rFonts w:cs="Calibri"/>
                <w:szCs w:val="18"/>
              </w:rPr>
            </w:pPr>
            <w:r w:rsidRPr="00BD16B4">
              <w:rPr>
                <w:rFonts w:cs="Calibri"/>
                <w:szCs w:val="18"/>
              </w:rPr>
              <w:t>($NZ tonne CO</w:t>
            </w:r>
            <w:r w:rsidRPr="00BD16B4">
              <w:rPr>
                <w:rFonts w:cs="Calibri"/>
                <w:szCs w:val="18"/>
                <w:vertAlign w:val="subscript"/>
              </w:rPr>
              <w:t>2</w:t>
            </w:r>
            <w:r w:rsidRPr="00BD16B4">
              <w:rPr>
                <w:rFonts w:cs="Calibri"/>
                <w:szCs w:val="18"/>
              </w:rPr>
              <w:noBreakHyphen/>
              <w:t>e)</w:t>
            </w:r>
          </w:p>
        </w:tc>
        <w:tc>
          <w:tcPr>
            <w:tcW w:w="2405" w:type="dxa"/>
            <w:noWrap/>
          </w:tcPr>
          <w:p w14:paraId="6BFAB2FE" w14:textId="77777777" w:rsidR="00533D32" w:rsidRPr="00BD16B4" w:rsidRDefault="00533D32" w:rsidP="00C87B45">
            <w:pPr>
              <w:pStyle w:val="TableText"/>
              <w:spacing w:before="40" w:after="40"/>
              <w:rPr>
                <w:rFonts w:cs="Calibri"/>
                <w:szCs w:val="18"/>
              </w:rPr>
            </w:pPr>
            <w:r w:rsidRPr="00BD16B4">
              <w:rPr>
                <w:rFonts w:cs="Calibri"/>
                <w:szCs w:val="18"/>
              </w:rPr>
              <w:t>WEM/WAM/Low/High</w:t>
            </w:r>
          </w:p>
        </w:tc>
        <w:tc>
          <w:tcPr>
            <w:tcW w:w="760" w:type="dxa"/>
            <w:noWrap/>
          </w:tcPr>
          <w:p w14:paraId="0BB1AD4B"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3A51C2D4"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6DAC1BC6"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7EB2762F"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1F6CE1A3"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2F18E7BB"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697ECFA4"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shd w:val="clear" w:color="auto" w:fill="D2DDE1" w:themeFill="background2"/>
            <w:noWrap/>
          </w:tcPr>
          <w:p w14:paraId="40F0B732" w14:textId="77777777" w:rsidR="00533D32" w:rsidRPr="00BD16B4" w:rsidRDefault="00533D32" w:rsidP="00C87B45">
            <w:pPr>
              <w:pStyle w:val="TableText"/>
              <w:spacing w:before="40" w:after="40"/>
              <w:jc w:val="center"/>
              <w:rPr>
                <w:rFonts w:cs="Calibri"/>
                <w:szCs w:val="18"/>
              </w:rPr>
            </w:pPr>
            <w:r w:rsidRPr="00BD16B4">
              <w:rPr>
                <w:rFonts w:cs="Calibri"/>
                <w:color w:val="000000" w:themeColor="text1"/>
                <w:szCs w:val="18"/>
              </w:rPr>
              <w:t>82</w:t>
            </w:r>
          </w:p>
        </w:tc>
        <w:tc>
          <w:tcPr>
            <w:tcW w:w="892" w:type="dxa"/>
            <w:shd w:val="clear" w:color="auto" w:fill="D2DDE1" w:themeFill="background2"/>
            <w:noWrap/>
          </w:tcPr>
          <w:p w14:paraId="6DB0D33A" w14:textId="77777777" w:rsidR="00533D32" w:rsidRPr="00BD16B4" w:rsidRDefault="00533D32" w:rsidP="00C87B45">
            <w:pPr>
              <w:pStyle w:val="TableText"/>
              <w:spacing w:before="40" w:after="40"/>
              <w:jc w:val="center"/>
              <w:rPr>
                <w:rFonts w:cs="Calibri"/>
                <w:szCs w:val="18"/>
              </w:rPr>
            </w:pPr>
            <w:r w:rsidRPr="00BD16B4">
              <w:rPr>
                <w:rFonts w:cs="Calibri"/>
                <w:color w:val="000000" w:themeColor="text1"/>
                <w:szCs w:val="18"/>
              </w:rPr>
              <w:t>140</w:t>
            </w:r>
          </w:p>
        </w:tc>
        <w:tc>
          <w:tcPr>
            <w:tcW w:w="892" w:type="dxa"/>
            <w:shd w:val="clear" w:color="auto" w:fill="D2DDE1" w:themeFill="background2"/>
            <w:noWrap/>
          </w:tcPr>
          <w:p w14:paraId="33A43EA6" w14:textId="77777777" w:rsidR="00533D32" w:rsidRPr="00BD16B4" w:rsidRDefault="00533D32" w:rsidP="00C87B45">
            <w:pPr>
              <w:pStyle w:val="TableText"/>
              <w:spacing w:before="40" w:after="40"/>
              <w:jc w:val="center"/>
              <w:rPr>
                <w:rFonts w:cs="Calibri"/>
                <w:szCs w:val="18"/>
              </w:rPr>
            </w:pPr>
            <w:r w:rsidRPr="00BD16B4">
              <w:rPr>
                <w:rFonts w:cs="Calibri"/>
                <w:color w:val="000000" w:themeColor="text1"/>
                <w:szCs w:val="18"/>
              </w:rPr>
              <w:t>168</w:t>
            </w:r>
          </w:p>
        </w:tc>
      </w:tr>
      <w:tr w:rsidR="00533D32" w:rsidRPr="00BD16B4" w14:paraId="4849D942" w14:textId="77777777" w:rsidTr="00315977">
        <w:tc>
          <w:tcPr>
            <w:tcW w:w="1928" w:type="dxa"/>
            <w:noWrap/>
          </w:tcPr>
          <w:p w14:paraId="1F34F31A" w14:textId="77777777" w:rsidR="00533D32" w:rsidRPr="00BD16B4" w:rsidRDefault="00533D32" w:rsidP="00C87B45">
            <w:pPr>
              <w:pStyle w:val="TableText"/>
              <w:spacing w:before="40" w:after="40"/>
              <w:rPr>
                <w:rFonts w:cs="Calibri"/>
                <w:szCs w:val="18"/>
              </w:rPr>
            </w:pPr>
            <w:r w:rsidRPr="00BD16B4">
              <w:rPr>
                <w:rFonts w:cs="Calibri"/>
                <w:szCs w:val="18"/>
              </w:rPr>
              <w:lastRenderedPageBreak/>
              <w:t>Light vehicles – Internal Combustion Engine</w:t>
            </w:r>
          </w:p>
        </w:tc>
        <w:tc>
          <w:tcPr>
            <w:tcW w:w="1474" w:type="dxa"/>
            <w:noWrap/>
            <w:tcMar>
              <w:left w:w="57" w:type="dxa"/>
            </w:tcMar>
          </w:tcPr>
          <w:p w14:paraId="4D5EE983" w14:textId="77777777" w:rsidR="00533D32" w:rsidRPr="00BD16B4" w:rsidRDefault="00533D32" w:rsidP="00C87B45">
            <w:pPr>
              <w:pStyle w:val="TableText"/>
              <w:spacing w:before="40" w:after="40"/>
              <w:rPr>
                <w:rFonts w:cs="Calibri"/>
                <w:szCs w:val="18"/>
              </w:rPr>
            </w:pPr>
            <w:r w:rsidRPr="00BD16B4">
              <w:rPr>
                <w:rFonts w:cs="Calibri"/>
                <w:szCs w:val="18"/>
              </w:rPr>
              <w:t>thousands</w:t>
            </w:r>
          </w:p>
        </w:tc>
        <w:tc>
          <w:tcPr>
            <w:tcW w:w="2405" w:type="dxa"/>
            <w:noWrap/>
          </w:tcPr>
          <w:p w14:paraId="4D3121DA" w14:textId="77777777" w:rsidR="00533D32" w:rsidRPr="00BD16B4" w:rsidRDefault="00533D32" w:rsidP="00C87B45">
            <w:pPr>
              <w:pStyle w:val="TableText"/>
              <w:spacing w:before="40" w:after="40"/>
              <w:rPr>
                <w:rFonts w:cs="Calibri"/>
                <w:szCs w:val="18"/>
              </w:rPr>
            </w:pPr>
            <w:r w:rsidRPr="00BD16B4">
              <w:rPr>
                <w:rFonts w:cs="Calibri"/>
                <w:szCs w:val="18"/>
              </w:rPr>
              <w:t>WEM/WOM/WAM/Low/High</w:t>
            </w:r>
          </w:p>
        </w:tc>
        <w:tc>
          <w:tcPr>
            <w:tcW w:w="760" w:type="dxa"/>
            <w:noWrap/>
          </w:tcPr>
          <w:p w14:paraId="70EC8B2C"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3DA4152A"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5ACCC19A"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7C2C0683"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2967.41</w:t>
            </w:r>
          </w:p>
        </w:tc>
        <w:tc>
          <w:tcPr>
            <w:tcW w:w="892" w:type="dxa"/>
            <w:noWrap/>
          </w:tcPr>
          <w:p w14:paraId="4002BA10"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3122.80</w:t>
            </w:r>
          </w:p>
        </w:tc>
        <w:tc>
          <w:tcPr>
            <w:tcW w:w="892" w:type="dxa"/>
            <w:noWrap/>
          </w:tcPr>
          <w:p w14:paraId="43A8D5FF"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3482.11</w:t>
            </w:r>
          </w:p>
        </w:tc>
        <w:tc>
          <w:tcPr>
            <w:tcW w:w="892" w:type="dxa"/>
            <w:noWrap/>
          </w:tcPr>
          <w:p w14:paraId="3F267DD7"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4034.12</w:t>
            </w:r>
          </w:p>
        </w:tc>
        <w:tc>
          <w:tcPr>
            <w:tcW w:w="892" w:type="dxa"/>
            <w:shd w:val="clear" w:color="auto" w:fill="D2DDE1" w:themeFill="background2"/>
            <w:noWrap/>
          </w:tcPr>
          <w:p w14:paraId="42B671A7"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4342.35</w:t>
            </w:r>
          </w:p>
        </w:tc>
        <w:tc>
          <w:tcPr>
            <w:tcW w:w="892" w:type="dxa"/>
            <w:shd w:val="clear" w:color="auto" w:fill="D2DDE1" w:themeFill="background2"/>
            <w:noWrap/>
          </w:tcPr>
          <w:p w14:paraId="6C32F79F"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4382.24</w:t>
            </w:r>
          </w:p>
        </w:tc>
        <w:tc>
          <w:tcPr>
            <w:tcW w:w="892" w:type="dxa"/>
            <w:shd w:val="clear" w:color="auto" w:fill="D2DDE1" w:themeFill="background2"/>
            <w:noWrap/>
          </w:tcPr>
          <w:p w14:paraId="7A527470"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4126.12</w:t>
            </w:r>
          </w:p>
        </w:tc>
      </w:tr>
      <w:tr w:rsidR="00533D32" w:rsidRPr="00BD16B4" w14:paraId="45A1B3B9" w14:textId="77777777" w:rsidTr="00315977">
        <w:tc>
          <w:tcPr>
            <w:tcW w:w="1928" w:type="dxa"/>
            <w:noWrap/>
          </w:tcPr>
          <w:p w14:paraId="54209A75" w14:textId="77777777" w:rsidR="00533D32" w:rsidRPr="00BD16B4" w:rsidRDefault="00533D32" w:rsidP="00C87B45">
            <w:pPr>
              <w:pStyle w:val="TableText"/>
              <w:spacing w:before="40" w:after="40"/>
              <w:rPr>
                <w:rFonts w:cs="Calibri"/>
                <w:szCs w:val="18"/>
              </w:rPr>
            </w:pPr>
            <w:r w:rsidRPr="00BD16B4">
              <w:rPr>
                <w:rFonts w:cs="Calibri"/>
                <w:szCs w:val="18"/>
              </w:rPr>
              <w:t>Light vehicles – Electric vehicle</w:t>
            </w:r>
          </w:p>
        </w:tc>
        <w:tc>
          <w:tcPr>
            <w:tcW w:w="1474" w:type="dxa"/>
            <w:noWrap/>
            <w:tcMar>
              <w:left w:w="57" w:type="dxa"/>
            </w:tcMar>
          </w:tcPr>
          <w:p w14:paraId="01D26069" w14:textId="77777777" w:rsidR="00533D32" w:rsidRPr="00BD16B4" w:rsidRDefault="00533D32" w:rsidP="00C87B45">
            <w:pPr>
              <w:pStyle w:val="TableText"/>
              <w:spacing w:before="40" w:after="40"/>
              <w:rPr>
                <w:rFonts w:cs="Calibri"/>
                <w:szCs w:val="18"/>
              </w:rPr>
            </w:pPr>
            <w:r w:rsidRPr="00BD16B4">
              <w:rPr>
                <w:rFonts w:cs="Calibri"/>
                <w:szCs w:val="18"/>
              </w:rPr>
              <w:t>thousands</w:t>
            </w:r>
          </w:p>
        </w:tc>
        <w:tc>
          <w:tcPr>
            <w:tcW w:w="2405" w:type="dxa"/>
            <w:noWrap/>
          </w:tcPr>
          <w:p w14:paraId="7EC950D1" w14:textId="77777777" w:rsidR="00533D32" w:rsidRPr="00BD16B4" w:rsidRDefault="00533D32" w:rsidP="00C87B45">
            <w:pPr>
              <w:pStyle w:val="TableText"/>
              <w:spacing w:before="40" w:after="40"/>
              <w:rPr>
                <w:rFonts w:cs="Calibri"/>
                <w:szCs w:val="18"/>
              </w:rPr>
            </w:pPr>
            <w:r w:rsidRPr="00BD16B4">
              <w:rPr>
                <w:rFonts w:cs="Calibri"/>
                <w:szCs w:val="18"/>
              </w:rPr>
              <w:t>WEM/WOM/WAM/Low/High</w:t>
            </w:r>
          </w:p>
        </w:tc>
        <w:tc>
          <w:tcPr>
            <w:tcW w:w="760" w:type="dxa"/>
            <w:noWrap/>
          </w:tcPr>
          <w:p w14:paraId="0C2E565F"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68B4290A"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62975D1E"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63DC24BC"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0.06</w:t>
            </w:r>
          </w:p>
        </w:tc>
        <w:tc>
          <w:tcPr>
            <w:tcW w:w="892" w:type="dxa"/>
            <w:noWrap/>
          </w:tcPr>
          <w:p w14:paraId="0F7A1C2A"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0.07</w:t>
            </w:r>
          </w:p>
        </w:tc>
        <w:tc>
          <w:tcPr>
            <w:tcW w:w="892" w:type="dxa"/>
            <w:noWrap/>
          </w:tcPr>
          <w:p w14:paraId="5A971EE5"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0.96</w:t>
            </w:r>
          </w:p>
        </w:tc>
        <w:tc>
          <w:tcPr>
            <w:tcW w:w="892" w:type="dxa"/>
            <w:noWrap/>
          </w:tcPr>
          <w:p w14:paraId="72891466"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23.93</w:t>
            </w:r>
          </w:p>
        </w:tc>
        <w:tc>
          <w:tcPr>
            <w:tcW w:w="892" w:type="dxa"/>
            <w:shd w:val="clear" w:color="auto" w:fill="D2DDE1" w:themeFill="background2"/>
            <w:noWrap/>
          </w:tcPr>
          <w:p w14:paraId="0FE08BC3"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841.73</w:t>
            </w:r>
          </w:p>
        </w:tc>
        <w:tc>
          <w:tcPr>
            <w:tcW w:w="892" w:type="dxa"/>
            <w:shd w:val="clear" w:color="auto" w:fill="D2DDE1" w:themeFill="background2"/>
            <w:noWrap/>
          </w:tcPr>
          <w:p w14:paraId="345E7150"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240.10</w:t>
            </w:r>
          </w:p>
        </w:tc>
        <w:tc>
          <w:tcPr>
            <w:tcW w:w="892" w:type="dxa"/>
            <w:shd w:val="clear" w:color="auto" w:fill="D2DDE1" w:themeFill="background2"/>
            <w:noWrap/>
          </w:tcPr>
          <w:p w14:paraId="262DC9C1"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633.89</w:t>
            </w:r>
          </w:p>
        </w:tc>
      </w:tr>
      <w:tr w:rsidR="00533D32" w:rsidRPr="00BD16B4" w14:paraId="468A02DF" w14:textId="77777777" w:rsidTr="00315977">
        <w:tc>
          <w:tcPr>
            <w:tcW w:w="1928" w:type="dxa"/>
            <w:noWrap/>
          </w:tcPr>
          <w:p w14:paraId="6778AC67" w14:textId="77777777" w:rsidR="00533D32" w:rsidRPr="00BD16B4" w:rsidRDefault="00533D32" w:rsidP="00C87B45">
            <w:pPr>
              <w:pStyle w:val="TableText"/>
              <w:spacing w:before="40" w:after="40"/>
              <w:rPr>
                <w:rFonts w:cs="Calibri"/>
                <w:szCs w:val="18"/>
              </w:rPr>
            </w:pPr>
            <w:r w:rsidRPr="00BD16B4">
              <w:rPr>
                <w:rFonts w:cs="Calibri"/>
                <w:szCs w:val="18"/>
              </w:rPr>
              <w:t>Heavy commercial vehicles – Internal Combustion Engine</w:t>
            </w:r>
          </w:p>
        </w:tc>
        <w:tc>
          <w:tcPr>
            <w:tcW w:w="1474" w:type="dxa"/>
            <w:noWrap/>
            <w:tcMar>
              <w:left w:w="57" w:type="dxa"/>
            </w:tcMar>
          </w:tcPr>
          <w:p w14:paraId="1B7AD059" w14:textId="77777777" w:rsidR="00533D32" w:rsidRPr="00BD16B4" w:rsidRDefault="00533D32" w:rsidP="00C87B45">
            <w:pPr>
              <w:pStyle w:val="TableText"/>
              <w:spacing w:before="40" w:after="40"/>
              <w:rPr>
                <w:rFonts w:cs="Calibri"/>
                <w:szCs w:val="18"/>
              </w:rPr>
            </w:pPr>
            <w:r w:rsidRPr="00BD16B4">
              <w:rPr>
                <w:rFonts w:cs="Calibri"/>
                <w:szCs w:val="18"/>
              </w:rPr>
              <w:t>thousands</w:t>
            </w:r>
          </w:p>
        </w:tc>
        <w:tc>
          <w:tcPr>
            <w:tcW w:w="2405" w:type="dxa"/>
            <w:noWrap/>
          </w:tcPr>
          <w:p w14:paraId="5197B382" w14:textId="77777777" w:rsidR="00533D32" w:rsidRPr="00BD16B4" w:rsidRDefault="00533D32" w:rsidP="00C87B45">
            <w:pPr>
              <w:pStyle w:val="TableText"/>
              <w:spacing w:before="40" w:after="40"/>
              <w:rPr>
                <w:rFonts w:cs="Calibri"/>
                <w:szCs w:val="18"/>
              </w:rPr>
            </w:pPr>
            <w:r w:rsidRPr="00BD16B4">
              <w:rPr>
                <w:rFonts w:cs="Calibri"/>
                <w:szCs w:val="18"/>
              </w:rPr>
              <w:t>WEM/WOM/WAM/Low/High</w:t>
            </w:r>
          </w:p>
        </w:tc>
        <w:tc>
          <w:tcPr>
            <w:tcW w:w="760" w:type="dxa"/>
            <w:noWrap/>
          </w:tcPr>
          <w:p w14:paraId="43CE5F83"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5F3303E6"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43296A31"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26DBB943"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126.20</w:t>
            </w:r>
          </w:p>
        </w:tc>
        <w:tc>
          <w:tcPr>
            <w:tcW w:w="892" w:type="dxa"/>
            <w:noWrap/>
          </w:tcPr>
          <w:p w14:paraId="565F028D"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137.01</w:t>
            </w:r>
          </w:p>
        </w:tc>
        <w:tc>
          <w:tcPr>
            <w:tcW w:w="892" w:type="dxa"/>
            <w:noWrap/>
          </w:tcPr>
          <w:p w14:paraId="15F1B271"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145.63</w:t>
            </w:r>
          </w:p>
        </w:tc>
        <w:tc>
          <w:tcPr>
            <w:tcW w:w="892" w:type="dxa"/>
            <w:noWrap/>
          </w:tcPr>
          <w:p w14:paraId="74575D02"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167.73</w:t>
            </w:r>
          </w:p>
        </w:tc>
        <w:tc>
          <w:tcPr>
            <w:tcW w:w="892" w:type="dxa"/>
            <w:shd w:val="clear" w:color="auto" w:fill="D2DDE1" w:themeFill="background2"/>
            <w:noWrap/>
          </w:tcPr>
          <w:p w14:paraId="56980C43"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182.23</w:t>
            </w:r>
          </w:p>
        </w:tc>
        <w:tc>
          <w:tcPr>
            <w:tcW w:w="892" w:type="dxa"/>
            <w:shd w:val="clear" w:color="auto" w:fill="D2DDE1" w:themeFill="background2"/>
            <w:noWrap/>
          </w:tcPr>
          <w:p w14:paraId="221B4DF8"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185.69</w:t>
            </w:r>
          </w:p>
        </w:tc>
        <w:tc>
          <w:tcPr>
            <w:tcW w:w="892" w:type="dxa"/>
            <w:shd w:val="clear" w:color="auto" w:fill="D2DDE1" w:themeFill="background2"/>
            <w:noWrap/>
          </w:tcPr>
          <w:p w14:paraId="0C8ADE97"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185.68</w:t>
            </w:r>
          </w:p>
        </w:tc>
      </w:tr>
      <w:tr w:rsidR="00533D32" w:rsidRPr="00BD16B4" w14:paraId="0EE3F62A" w14:textId="77777777" w:rsidTr="00315977">
        <w:tc>
          <w:tcPr>
            <w:tcW w:w="1928" w:type="dxa"/>
            <w:noWrap/>
          </w:tcPr>
          <w:p w14:paraId="379D11CF" w14:textId="77777777" w:rsidR="00533D32" w:rsidRPr="00BD16B4" w:rsidRDefault="00533D32" w:rsidP="00C87B45">
            <w:pPr>
              <w:pStyle w:val="TableText"/>
              <w:spacing w:before="40" w:after="40"/>
              <w:rPr>
                <w:rFonts w:cs="Calibri"/>
                <w:szCs w:val="18"/>
              </w:rPr>
            </w:pPr>
            <w:r w:rsidRPr="00BD16B4">
              <w:rPr>
                <w:rFonts w:cs="Calibri"/>
                <w:szCs w:val="18"/>
              </w:rPr>
              <w:t>Motorcycles</w:t>
            </w:r>
          </w:p>
        </w:tc>
        <w:tc>
          <w:tcPr>
            <w:tcW w:w="1474" w:type="dxa"/>
            <w:noWrap/>
            <w:tcMar>
              <w:left w:w="57" w:type="dxa"/>
            </w:tcMar>
          </w:tcPr>
          <w:p w14:paraId="1FC10226" w14:textId="77777777" w:rsidR="00533D32" w:rsidRPr="00BD16B4" w:rsidRDefault="00533D32" w:rsidP="00C87B45">
            <w:pPr>
              <w:pStyle w:val="TableText"/>
              <w:spacing w:before="40" w:after="40"/>
              <w:rPr>
                <w:rFonts w:cs="Calibri"/>
                <w:szCs w:val="18"/>
              </w:rPr>
            </w:pPr>
            <w:r w:rsidRPr="00BD16B4">
              <w:rPr>
                <w:rFonts w:cs="Calibri"/>
                <w:szCs w:val="18"/>
              </w:rPr>
              <w:t>thousands</w:t>
            </w:r>
          </w:p>
        </w:tc>
        <w:tc>
          <w:tcPr>
            <w:tcW w:w="2405" w:type="dxa"/>
            <w:noWrap/>
          </w:tcPr>
          <w:p w14:paraId="4A7C3E60" w14:textId="77777777" w:rsidR="00533D32" w:rsidRPr="00BD16B4" w:rsidRDefault="00533D32" w:rsidP="00C87B45">
            <w:pPr>
              <w:pStyle w:val="TableText"/>
              <w:spacing w:before="40" w:after="40"/>
              <w:rPr>
                <w:rFonts w:cs="Calibri"/>
                <w:szCs w:val="18"/>
              </w:rPr>
            </w:pPr>
            <w:r w:rsidRPr="00BD16B4">
              <w:rPr>
                <w:rFonts w:cs="Calibri"/>
                <w:szCs w:val="18"/>
              </w:rPr>
              <w:t>WEM/WOM/WAM/Low/High</w:t>
            </w:r>
          </w:p>
        </w:tc>
        <w:tc>
          <w:tcPr>
            <w:tcW w:w="760" w:type="dxa"/>
            <w:noWrap/>
          </w:tcPr>
          <w:p w14:paraId="1B71C929"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773EED07"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44181C28"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6BFCF2AF"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97.17</w:t>
            </w:r>
          </w:p>
        </w:tc>
        <w:tc>
          <w:tcPr>
            <w:tcW w:w="892" w:type="dxa"/>
            <w:noWrap/>
          </w:tcPr>
          <w:p w14:paraId="61F720B4"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140.04</w:t>
            </w:r>
          </w:p>
        </w:tc>
        <w:tc>
          <w:tcPr>
            <w:tcW w:w="892" w:type="dxa"/>
            <w:noWrap/>
          </w:tcPr>
          <w:p w14:paraId="60AE806A"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158.48</w:t>
            </w:r>
          </w:p>
        </w:tc>
        <w:tc>
          <w:tcPr>
            <w:tcW w:w="892" w:type="dxa"/>
            <w:noWrap/>
          </w:tcPr>
          <w:p w14:paraId="21815959"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188.24</w:t>
            </w:r>
          </w:p>
        </w:tc>
        <w:tc>
          <w:tcPr>
            <w:tcW w:w="892" w:type="dxa"/>
            <w:shd w:val="clear" w:color="auto" w:fill="D2DDE1" w:themeFill="background2"/>
            <w:noWrap/>
          </w:tcPr>
          <w:p w14:paraId="7A4D61F4"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202.38</w:t>
            </w:r>
          </w:p>
        </w:tc>
        <w:tc>
          <w:tcPr>
            <w:tcW w:w="892" w:type="dxa"/>
            <w:shd w:val="clear" w:color="auto" w:fill="D2DDE1" w:themeFill="background2"/>
            <w:noWrap/>
          </w:tcPr>
          <w:p w14:paraId="05B3B771"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206.37</w:t>
            </w:r>
          </w:p>
        </w:tc>
        <w:tc>
          <w:tcPr>
            <w:tcW w:w="892" w:type="dxa"/>
            <w:shd w:val="clear" w:color="auto" w:fill="D2DDE1" w:themeFill="background2"/>
            <w:noWrap/>
          </w:tcPr>
          <w:p w14:paraId="5A912FCF"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207.71</w:t>
            </w:r>
          </w:p>
        </w:tc>
      </w:tr>
      <w:tr w:rsidR="00533D32" w:rsidRPr="00BD16B4" w14:paraId="2EF866FD" w14:textId="77777777" w:rsidTr="00315977">
        <w:tc>
          <w:tcPr>
            <w:tcW w:w="1928" w:type="dxa"/>
            <w:noWrap/>
          </w:tcPr>
          <w:p w14:paraId="5A675431" w14:textId="77777777" w:rsidR="00533D32" w:rsidRPr="00BD16B4" w:rsidRDefault="00533D32" w:rsidP="00C87B45">
            <w:pPr>
              <w:pStyle w:val="TableText"/>
              <w:spacing w:before="40" w:after="40"/>
              <w:rPr>
                <w:rFonts w:cs="Calibri"/>
                <w:szCs w:val="18"/>
              </w:rPr>
            </w:pPr>
            <w:r w:rsidRPr="00BD16B4">
              <w:rPr>
                <w:rFonts w:cs="Calibri"/>
                <w:szCs w:val="18"/>
              </w:rPr>
              <w:t>Trucks and buses – Electric vehicles and plug-in hybrids</w:t>
            </w:r>
          </w:p>
        </w:tc>
        <w:tc>
          <w:tcPr>
            <w:tcW w:w="1474" w:type="dxa"/>
            <w:noWrap/>
            <w:tcMar>
              <w:left w:w="57" w:type="dxa"/>
            </w:tcMar>
          </w:tcPr>
          <w:p w14:paraId="4915B8B6" w14:textId="77777777" w:rsidR="00533D32" w:rsidRPr="00BD16B4" w:rsidRDefault="00533D32" w:rsidP="00C87B45">
            <w:pPr>
              <w:pStyle w:val="TableText"/>
              <w:spacing w:before="40" w:after="40"/>
              <w:rPr>
                <w:rFonts w:cs="Calibri"/>
                <w:szCs w:val="18"/>
              </w:rPr>
            </w:pPr>
            <w:r w:rsidRPr="00BD16B4">
              <w:rPr>
                <w:rFonts w:cs="Calibri"/>
                <w:szCs w:val="18"/>
              </w:rPr>
              <w:t>thousands</w:t>
            </w:r>
          </w:p>
        </w:tc>
        <w:tc>
          <w:tcPr>
            <w:tcW w:w="2405" w:type="dxa"/>
            <w:noWrap/>
          </w:tcPr>
          <w:p w14:paraId="615C00F2" w14:textId="77777777" w:rsidR="00533D32" w:rsidRPr="00BD16B4" w:rsidRDefault="00533D32" w:rsidP="00C87B45">
            <w:pPr>
              <w:pStyle w:val="TableText"/>
              <w:spacing w:before="40" w:after="40"/>
              <w:rPr>
                <w:rFonts w:cs="Calibri"/>
                <w:szCs w:val="18"/>
              </w:rPr>
            </w:pPr>
            <w:r w:rsidRPr="00BD16B4">
              <w:rPr>
                <w:rFonts w:cs="Calibri"/>
                <w:szCs w:val="18"/>
              </w:rPr>
              <w:t>WEM/WOM/WAM/Low/High</w:t>
            </w:r>
          </w:p>
        </w:tc>
        <w:tc>
          <w:tcPr>
            <w:tcW w:w="760" w:type="dxa"/>
            <w:noWrap/>
          </w:tcPr>
          <w:p w14:paraId="219D3429"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26E6C01E"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7D6513B7"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29B24500"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0.07</w:t>
            </w:r>
          </w:p>
        </w:tc>
        <w:tc>
          <w:tcPr>
            <w:tcW w:w="892" w:type="dxa"/>
            <w:noWrap/>
          </w:tcPr>
          <w:p w14:paraId="370DCBAB"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0.07</w:t>
            </w:r>
          </w:p>
        </w:tc>
        <w:tc>
          <w:tcPr>
            <w:tcW w:w="892" w:type="dxa"/>
            <w:noWrap/>
          </w:tcPr>
          <w:p w14:paraId="274B4194"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0.07</w:t>
            </w:r>
          </w:p>
        </w:tc>
        <w:tc>
          <w:tcPr>
            <w:tcW w:w="892" w:type="dxa"/>
            <w:noWrap/>
          </w:tcPr>
          <w:p w14:paraId="0D1F982C"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0.19</w:t>
            </w:r>
          </w:p>
        </w:tc>
        <w:tc>
          <w:tcPr>
            <w:tcW w:w="892" w:type="dxa"/>
            <w:shd w:val="clear" w:color="auto" w:fill="D2DDE1" w:themeFill="background2"/>
            <w:noWrap/>
          </w:tcPr>
          <w:p w14:paraId="101D7574"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0.86</w:t>
            </w:r>
          </w:p>
        </w:tc>
        <w:tc>
          <w:tcPr>
            <w:tcW w:w="892" w:type="dxa"/>
            <w:shd w:val="clear" w:color="auto" w:fill="D2DDE1" w:themeFill="background2"/>
            <w:noWrap/>
          </w:tcPr>
          <w:p w14:paraId="552F8FB9"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2.99</w:t>
            </w:r>
          </w:p>
        </w:tc>
        <w:tc>
          <w:tcPr>
            <w:tcW w:w="892" w:type="dxa"/>
            <w:shd w:val="clear" w:color="auto" w:fill="D2DDE1" w:themeFill="background2"/>
            <w:noWrap/>
          </w:tcPr>
          <w:p w14:paraId="1CA988F9"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7.65</w:t>
            </w:r>
          </w:p>
        </w:tc>
      </w:tr>
      <w:tr w:rsidR="00533D32" w:rsidRPr="00BD16B4" w14:paraId="714298DB" w14:textId="77777777" w:rsidTr="00315977">
        <w:tc>
          <w:tcPr>
            <w:tcW w:w="1928" w:type="dxa"/>
            <w:noWrap/>
          </w:tcPr>
          <w:p w14:paraId="0A93CA09" w14:textId="77777777" w:rsidR="00533D32" w:rsidRPr="00BD16B4" w:rsidRDefault="00533D32" w:rsidP="00C87B45">
            <w:pPr>
              <w:pStyle w:val="TableText"/>
              <w:spacing w:before="40" w:after="40"/>
              <w:rPr>
                <w:rFonts w:cs="Calibri"/>
                <w:szCs w:val="18"/>
              </w:rPr>
            </w:pPr>
            <w:r w:rsidRPr="00BD16B4">
              <w:rPr>
                <w:rFonts w:cs="Calibri"/>
                <w:szCs w:val="18"/>
              </w:rPr>
              <w:t>Vehicle kilometres travelled</w:t>
            </w:r>
          </w:p>
        </w:tc>
        <w:tc>
          <w:tcPr>
            <w:tcW w:w="1474" w:type="dxa"/>
            <w:noWrap/>
            <w:tcMar>
              <w:left w:w="57" w:type="dxa"/>
            </w:tcMar>
          </w:tcPr>
          <w:p w14:paraId="62BA71BE" w14:textId="77777777" w:rsidR="00533D32" w:rsidRPr="00BD16B4" w:rsidRDefault="00533D32" w:rsidP="00C87B45">
            <w:pPr>
              <w:pStyle w:val="TableText"/>
              <w:spacing w:before="40" w:after="40"/>
              <w:rPr>
                <w:rFonts w:cs="Calibri"/>
                <w:szCs w:val="18"/>
              </w:rPr>
            </w:pPr>
            <w:r w:rsidRPr="00BD16B4">
              <w:rPr>
                <w:rFonts w:cs="Calibri"/>
                <w:szCs w:val="18"/>
              </w:rPr>
              <w:t>vehicle thousand KM</w:t>
            </w:r>
          </w:p>
        </w:tc>
        <w:tc>
          <w:tcPr>
            <w:tcW w:w="2405" w:type="dxa"/>
            <w:noWrap/>
          </w:tcPr>
          <w:p w14:paraId="25AA61E3" w14:textId="77777777" w:rsidR="00533D32" w:rsidRPr="00BD16B4" w:rsidRDefault="00533D32" w:rsidP="00C87B45">
            <w:pPr>
              <w:pStyle w:val="TableText"/>
              <w:spacing w:before="40" w:after="40"/>
              <w:rPr>
                <w:rFonts w:cs="Calibri"/>
                <w:szCs w:val="18"/>
              </w:rPr>
            </w:pPr>
            <w:r w:rsidRPr="00BD16B4">
              <w:rPr>
                <w:rFonts w:cs="Calibri"/>
                <w:szCs w:val="18"/>
              </w:rPr>
              <w:t>WEM/WOM/WAM/Low/High</w:t>
            </w:r>
          </w:p>
        </w:tc>
        <w:tc>
          <w:tcPr>
            <w:tcW w:w="760" w:type="dxa"/>
            <w:noWrap/>
          </w:tcPr>
          <w:p w14:paraId="147A0F78"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29B02571"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65993864"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42153416"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40398.75</w:t>
            </w:r>
          </w:p>
        </w:tc>
        <w:tc>
          <w:tcPr>
            <w:tcW w:w="892" w:type="dxa"/>
            <w:noWrap/>
          </w:tcPr>
          <w:p w14:paraId="427C0F14"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40394.56</w:t>
            </w:r>
          </w:p>
        </w:tc>
        <w:tc>
          <w:tcPr>
            <w:tcW w:w="892" w:type="dxa"/>
            <w:noWrap/>
          </w:tcPr>
          <w:p w14:paraId="2C5B3900"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43173.49</w:t>
            </w:r>
          </w:p>
        </w:tc>
        <w:tc>
          <w:tcPr>
            <w:tcW w:w="892" w:type="dxa"/>
            <w:noWrap/>
          </w:tcPr>
          <w:p w14:paraId="42A67A75"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46262.99</w:t>
            </w:r>
          </w:p>
        </w:tc>
        <w:tc>
          <w:tcPr>
            <w:tcW w:w="892" w:type="dxa"/>
            <w:shd w:val="clear" w:color="auto" w:fill="D2DDE1" w:themeFill="background2"/>
            <w:noWrap/>
          </w:tcPr>
          <w:p w14:paraId="07B4C2F5"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52700.17</w:t>
            </w:r>
          </w:p>
        </w:tc>
        <w:tc>
          <w:tcPr>
            <w:tcW w:w="892" w:type="dxa"/>
            <w:shd w:val="clear" w:color="auto" w:fill="D2DDE1" w:themeFill="background2"/>
            <w:noWrap/>
          </w:tcPr>
          <w:p w14:paraId="3CA7EC6C"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56060.74</w:t>
            </w:r>
          </w:p>
        </w:tc>
        <w:tc>
          <w:tcPr>
            <w:tcW w:w="892" w:type="dxa"/>
            <w:shd w:val="clear" w:color="auto" w:fill="D2DDE1" w:themeFill="background2"/>
            <w:noWrap/>
          </w:tcPr>
          <w:p w14:paraId="1125C6A6" w14:textId="77777777" w:rsidR="00533D32" w:rsidRPr="00BD16B4" w:rsidRDefault="00533D32" w:rsidP="00C87B45">
            <w:pPr>
              <w:pStyle w:val="TableText"/>
              <w:spacing w:before="40" w:after="40"/>
              <w:jc w:val="center"/>
              <w:rPr>
                <w:rFonts w:cs="Calibri"/>
                <w:szCs w:val="18"/>
              </w:rPr>
            </w:pPr>
            <w:r w:rsidRPr="00BD16B4">
              <w:rPr>
                <w:rFonts w:eastAsiaTheme="minorHAnsi" w:cs="Calibri"/>
                <w:szCs w:val="18"/>
                <w:lang w:eastAsia="en-US"/>
              </w:rPr>
              <w:t>58979.55</w:t>
            </w:r>
          </w:p>
        </w:tc>
      </w:tr>
      <w:tr w:rsidR="00533D32" w:rsidRPr="00BD16B4" w14:paraId="6E198A41" w14:textId="77777777" w:rsidTr="00315977">
        <w:tc>
          <w:tcPr>
            <w:tcW w:w="1928" w:type="dxa"/>
            <w:noWrap/>
          </w:tcPr>
          <w:p w14:paraId="22EEFF7F" w14:textId="77777777" w:rsidR="00533D32" w:rsidRPr="00BD16B4" w:rsidRDefault="00533D32" w:rsidP="00C87B45">
            <w:pPr>
              <w:pStyle w:val="TableText"/>
              <w:spacing w:before="40" w:after="40"/>
              <w:rPr>
                <w:rFonts w:cs="Calibri"/>
                <w:szCs w:val="18"/>
              </w:rPr>
            </w:pPr>
            <w:r w:rsidRPr="00BD16B4">
              <w:rPr>
                <w:rFonts w:cs="Calibri"/>
                <w:szCs w:val="18"/>
              </w:rPr>
              <w:t>Total energy demand</w:t>
            </w:r>
          </w:p>
        </w:tc>
        <w:tc>
          <w:tcPr>
            <w:tcW w:w="1474" w:type="dxa"/>
            <w:noWrap/>
            <w:tcMar>
              <w:left w:w="57" w:type="dxa"/>
            </w:tcMar>
          </w:tcPr>
          <w:p w14:paraId="45CC8161" w14:textId="77777777" w:rsidR="00533D32" w:rsidRPr="00BD16B4" w:rsidRDefault="00533D32" w:rsidP="00C87B45">
            <w:pPr>
              <w:pStyle w:val="TableText"/>
              <w:spacing w:before="40" w:after="40"/>
              <w:rPr>
                <w:rFonts w:cs="Calibri"/>
                <w:szCs w:val="18"/>
              </w:rPr>
            </w:pPr>
            <w:r w:rsidRPr="00BD16B4">
              <w:rPr>
                <w:rFonts w:cs="Calibri"/>
                <w:szCs w:val="18"/>
              </w:rPr>
              <w:t>Gross PJ</w:t>
            </w:r>
          </w:p>
        </w:tc>
        <w:tc>
          <w:tcPr>
            <w:tcW w:w="2405" w:type="dxa"/>
            <w:noWrap/>
          </w:tcPr>
          <w:p w14:paraId="518C42B3" w14:textId="77777777" w:rsidR="00533D32" w:rsidRPr="00BD16B4" w:rsidRDefault="00533D32" w:rsidP="00C87B45">
            <w:pPr>
              <w:pStyle w:val="TableText"/>
              <w:spacing w:before="40" w:after="40"/>
              <w:rPr>
                <w:rFonts w:cs="Calibri"/>
                <w:szCs w:val="18"/>
              </w:rPr>
            </w:pPr>
            <w:r w:rsidRPr="00BD16B4">
              <w:rPr>
                <w:rFonts w:cs="Calibri"/>
                <w:szCs w:val="18"/>
              </w:rPr>
              <w:t>WEM/WOM/WAM/Low/High</w:t>
            </w:r>
          </w:p>
        </w:tc>
        <w:tc>
          <w:tcPr>
            <w:tcW w:w="760" w:type="dxa"/>
            <w:noWrap/>
          </w:tcPr>
          <w:p w14:paraId="0CE7AC6A" w14:textId="77777777" w:rsidR="00533D32" w:rsidRPr="00BD16B4" w:rsidRDefault="00533D32" w:rsidP="00C87B45">
            <w:pPr>
              <w:pStyle w:val="TableText"/>
              <w:spacing w:before="40" w:after="40"/>
              <w:jc w:val="center"/>
              <w:rPr>
                <w:rFonts w:cs="Calibri"/>
                <w:szCs w:val="18"/>
              </w:rPr>
            </w:pPr>
            <w:r w:rsidRPr="00BD16B4">
              <w:rPr>
                <w:rFonts w:cs="Calibri"/>
                <w:szCs w:val="18"/>
              </w:rPr>
              <w:t>389.3</w:t>
            </w:r>
          </w:p>
        </w:tc>
        <w:tc>
          <w:tcPr>
            <w:tcW w:w="892" w:type="dxa"/>
            <w:noWrap/>
          </w:tcPr>
          <w:p w14:paraId="2ECE1AC0" w14:textId="77777777" w:rsidR="00533D32" w:rsidRPr="00BD16B4" w:rsidRDefault="00533D32" w:rsidP="00C87B45">
            <w:pPr>
              <w:pStyle w:val="TableText"/>
              <w:spacing w:before="40" w:after="40"/>
              <w:jc w:val="center"/>
              <w:rPr>
                <w:rFonts w:cs="Calibri"/>
                <w:szCs w:val="18"/>
              </w:rPr>
            </w:pPr>
            <w:r w:rsidRPr="00BD16B4">
              <w:rPr>
                <w:rFonts w:cs="Calibri"/>
                <w:szCs w:val="18"/>
              </w:rPr>
              <w:t>438.8</w:t>
            </w:r>
          </w:p>
        </w:tc>
        <w:tc>
          <w:tcPr>
            <w:tcW w:w="892" w:type="dxa"/>
            <w:noWrap/>
          </w:tcPr>
          <w:p w14:paraId="33E51317" w14:textId="77777777" w:rsidR="00533D32" w:rsidRPr="00BD16B4" w:rsidRDefault="00533D32" w:rsidP="00C87B45">
            <w:pPr>
              <w:pStyle w:val="TableText"/>
              <w:spacing w:before="40" w:after="40"/>
              <w:jc w:val="center"/>
              <w:rPr>
                <w:rFonts w:cs="Calibri"/>
                <w:szCs w:val="18"/>
              </w:rPr>
            </w:pPr>
            <w:r w:rsidRPr="00BD16B4">
              <w:rPr>
                <w:rFonts w:cs="Calibri"/>
                <w:szCs w:val="18"/>
              </w:rPr>
              <w:t>481.3</w:t>
            </w:r>
          </w:p>
        </w:tc>
        <w:tc>
          <w:tcPr>
            <w:tcW w:w="892" w:type="dxa"/>
            <w:noWrap/>
          </w:tcPr>
          <w:p w14:paraId="761A1CF0" w14:textId="77777777" w:rsidR="00533D32" w:rsidRPr="00BD16B4" w:rsidRDefault="00533D32" w:rsidP="00C87B45">
            <w:pPr>
              <w:pStyle w:val="TableText"/>
              <w:spacing w:before="40" w:after="40"/>
              <w:jc w:val="center"/>
              <w:rPr>
                <w:rFonts w:cs="Calibri"/>
                <w:szCs w:val="18"/>
              </w:rPr>
            </w:pPr>
            <w:r w:rsidRPr="00BD16B4">
              <w:rPr>
                <w:rFonts w:cs="Calibri"/>
                <w:szCs w:val="18"/>
              </w:rPr>
              <w:t>512.4</w:t>
            </w:r>
          </w:p>
        </w:tc>
        <w:tc>
          <w:tcPr>
            <w:tcW w:w="892" w:type="dxa"/>
            <w:noWrap/>
          </w:tcPr>
          <w:p w14:paraId="62D51D3E" w14:textId="77777777" w:rsidR="00533D32" w:rsidRPr="00BD16B4" w:rsidRDefault="00533D32" w:rsidP="00C87B45">
            <w:pPr>
              <w:pStyle w:val="TableText"/>
              <w:spacing w:before="40" w:after="40"/>
              <w:jc w:val="center"/>
              <w:rPr>
                <w:rFonts w:cs="Calibri"/>
                <w:szCs w:val="18"/>
              </w:rPr>
            </w:pPr>
            <w:r w:rsidRPr="00BD16B4">
              <w:rPr>
                <w:rFonts w:cs="Calibri"/>
                <w:szCs w:val="18"/>
              </w:rPr>
              <w:t>520.0</w:t>
            </w:r>
          </w:p>
        </w:tc>
        <w:tc>
          <w:tcPr>
            <w:tcW w:w="892" w:type="dxa"/>
            <w:noWrap/>
          </w:tcPr>
          <w:p w14:paraId="24CFCFAE" w14:textId="77777777" w:rsidR="00533D32" w:rsidRPr="00BD16B4" w:rsidRDefault="00533D32" w:rsidP="00C87B45">
            <w:pPr>
              <w:pStyle w:val="TableText"/>
              <w:spacing w:before="40" w:after="40"/>
              <w:jc w:val="center"/>
              <w:rPr>
                <w:rFonts w:cs="Calibri"/>
                <w:szCs w:val="18"/>
              </w:rPr>
            </w:pPr>
            <w:r w:rsidRPr="00BD16B4">
              <w:rPr>
                <w:rFonts w:cs="Calibri"/>
                <w:szCs w:val="18"/>
              </w:rPr>
              <w:t>555.4</w:t>
            </w:r>
          </w:p>
        </w:tc>
        <w:tc>
          <w:tcPr>
            <w:tcW w:w="892" w:type="dxa"/>
            <w:noWrap/>
          </w:tcPr>
          <w:p w14:paraId="535F1F3A" w14:textId="77777777" w:rsidR="00533D32" w:rsidRPr="00BD16B4" w:rsidRDefault="00533D32" w:rsidP="00C87B45">
            <w:pPr>
              <w:pStyle w:val="TableText"/>
              <w:spacing w:before="40" w:after="40"/>
              <w:jc w:val="center"/>
              <w:rPr>
                <w:rFonts w:cs="Calibri"/>
                <w:szCs w:val="18"/>
              </w:rPr>
            </w:pPr>
            <w:r w:rsidRPr="00BD16B4">
              <w:rPr>
                <w:rFonts w:cs="Calibri"/>
                <w:szCs w:val="18"/>
              </w:rPr>
              <w:t>540.0</w:t>
            </w:r>
          </w:p>
        </w:tc>
        <w:tc>
          <w:tcPr>
            <w:tcW w:w="892" w:type="dxa"/>
            <w:shd w:val="clear" w:color="auto" w:fill="D2DDE1" w:themeFill="background2"/>
            <w:noWrap/>
          </w:tcPr>
          <w:p w14:paraId="033DC5D2" w14:textId="77777777" w:rsidR="00533D32" w:rsidRPr="00BD16B4" w:rsidRDefault="00533D32" w:rsidP="00C87B45">
            <w:pPr>
              <w:pStyle w:val="TableText"/>
              <w:spacing w:before="40" w:after="40"/>
              <w:jc w:val="center"/>
              <w:rPr>
                <w:rFonts w:cs="Calibri"/>
                <w:szCs w:val="18"/>
              </w:rPr>
            </w:pPr>
            <w:r w:rsidRPr="00BD16B4">
              <w:rPr>
                <w:rFonts w:cs="Calibri"/>
                <w:szCs w:val="18"/>
              </w:rPr>
              <w:t>549.5</w:t>
            </w:r>
          </w:p>
        </w:tc>
        <w:tc>
          <w:tcPr>
            <w:tcW w:w="892" w:type="dxa"/>
            <w:shd w:val="clear" w:color="auto" w:fill="D2DDE1" w:themeFill="background2"/>
            <w:noWrap/>
          </w:tcPr>
          <w:p w14:paraId="73DAC348" w14:textId="77777777" w:rsidR="00533D32" w:rsidRPr="00BD16B4" w:rsidRDefault="00533D32" w:rsidP="00C87B45">
            <w:pPr>
              <w:pStyle w:val="TableText"/>
              <w:spacing w:before="40" w:after="40"/>
              <w:jc w:val="center"/>
              <w:rPr>
                <w:rFonts w:cs="Calibri"/>
                <w:szCs w:val="18"/>
              </w:rPr>
            </w:pPr>
            <w:r w:rsidRPr="00BD16B4">
              <w:rPr>
                <w:rFonts w:cs="Calibri"/>
                <w:szCs w:val="18"/>
              </w:rPr>
              <w:t>540.7</w:t>
            </w:r>
          </w:p>
        </w:tc>
        <w:tc>
          <w:tcPr>
            <w:tcW w:w="892" w:type="dxa"/>
            <w:shd w:val="clear" w:color="auto" w:fill="D2DDE1" w:themeFill="background2"/>
            <w:noWrap/>
          </w:tcPr>
          <w:p w14:paraId="2A8291A1" w14:textId="77777777" w:rsidR="00533D32" w:rsidRPr="00BD16B4" w:rsidRDefault="00533D32" w:rsidP="00C87B45">
            <w:pPr>
              <w:pStyle w:val="TableText"/>
              <w:spacing w:before="40" w:after="40"/>
              <w:jc w:val="center"/>
              <w:rPr>
                <w:rFonts w:cs="Calibri"/>
                <w:szCs w:val="18"/>
              </w:rPr>
            </w:pPr>
            <w:r w:rsidRPr="00BD16B4">
              <w:rPr>
                <w:rFonts w:cs="Calibri"/>
                <w:szCs w:val="18"/>
              </w:rPr>
              <w:t>533.9</w:t>
            </w:r>
          </w:p>
        </w:tc>
      </w:tr>
      <w:tr w:rsidR="00533D32" w:rsidRPr="00BD16B4" w14:paraId="67CC5578" w14:textId="77777777" w:rsidTr="00315977">
        <w:tc>
          <w:tcPr>
            <w:tcW w:w="1928" w:type="dxa"/>
            <w:noWrap/>
          </w:tcPr>
          <w:p w14:paraId="64D9C55D" w14:textId="77777777" w:rsidR="00533D32" w:rsidRPr="00BD16B4" w:rsidRDefault="00533D32" w:rsidP="00C87B45">
            <w:pPr>
              <w:pStyle w:val="TableText"/>
              <w:spacing w:before="40" w:after="40"/>
              <w:rPr>
                <w:rFonts w:cs="Calibri"/>
                <w:szCs w:val="18"/>
              </w:rPr>
            </w:pPr>
            <w:r w:rsidRPr="00BD16B4">
              <w:rPr>
                <w:rFonts w:cs="Calibri"/>
                <w:szCs w:val="18"/>
              </w:rPr>
              <w:t>Aviation</w:t>
            </w:r>
          </w:p>
        </w:tc>
        <w:tc>
          <w:tcPr>
            <w:tcW w:w="1474" w:type="dxa"/>
            <w:noWrap/>
            <w:tcMar>
              <w:left w:w="57" w:type="dxa"/>
            </w:tcMar>
          </w:tcPr>
          <w:p w14:paraId="11757467" w14:textId="77777777" w:rsidR="00533D32" w:rsidRPr="00BD16B4" w:rsidRDefault="00533D32" w:rsidP="00C87B45">
            <w:pPr>
              <w:pStyle w:val="TableText"/>
              <w:spacing w:before="40" w:after="40"/>
              <w:rPr>
                <w:rFonts w:cs="Calibri"/>
                <w:szCs w:val="18"/>
              </w:rPr>
            </w:pPr>
            <w:r w:rsidRPr="00BD16B4">
              <w:rPr>
                <w:rFonts w:cs="Calibri"/>
                <w:szCs w:val="18"/>
              </w:rPr>
              <w:t>Gross PJ</w:t>
            </w:r>
          </w:p>
        </w:tc>
        <w:tc>
          <w:tcPr>
            <w:tcW w:w="2405" w:type="dxa"/>
            <w:noWrap/>
          </w:tcPr>
          <w:p w14:paraId="61FF514F" w14:textId="77777777" w:rsidR="00533D32" w:rsidRPr="00BD16B4" w:rsidRDefault="00533D32" w:rsidP="00C87B45">
            <w:pPr>
              <w:pStyle w:val="TableText"/>
              <w:spacing w:before="40" w:after="40"/>
              <w:rPr>
                <w:rFonts w:cs="Calibri"/>
                <w:szCs w:val="18"/>
              </w:rPr>
            </w:pPr>
            <w:r w:rsidRPr="00BD16B4">
              <w:rPr>
                <w:rFonts w:cs="Calibri"/>
                <w:szCs w:val="18"/>
              </w:rPr>
              <w:t>WEM/WOM/WAM/Low/High</w:t>
            </w:r>
          </w:p>
        </w:tc>
        <w:tc>
          <w:tcPr>
            <w:tcW w:w="760" w:type="dxa"/>
            <w:noWrap/>
          </w:tcPr>
          <w:p w14:paraId="1ADF1EE4" w14:textId="77777777" w:rsidR="00533D32" w:rsidRPr="00BD16B4" w:rsidRDefault="00533D32" w:rsidP="00C87B45">
            <w:pPr>
              <w:pStyle w:val="TableText"/>
              <w:spacing w:before="40" w:after="40"/>
              <w:jc w:val="center"/>
              <w:rPr>
                <w:rFonts w:cs="Calibri"/>
                <w:szCs w:val="18"/>
              </w:rPr>
            </w:pPr>
            <w:r w:rsidRPr="00BD16B4">
              <w:rPr>
                <w:rFonts w:cs="Calibri"/>
                <w:szCs w:val="18"/>
              </w:rPr>
              <w:t>13.87</w:t>
            </w:r>
          </w:p>
        </w:tc>
        <w:tc>
          <w:tcPr>
            <w:tcW w:w="892" w:type="dxa"/>
            <w:noWrap/>
          </w:tcPr>
          <w:p w14:paraId="7CB0C679" w14:textId="77777777" w:rsidR="00533D32" w:rsidRPr="00BD16B4" w:rsidRDefault="00533D32" w:rsidP="00C87B45">
            <w:pPr>
              <w:pStyle w:val="TableText"/>
              <w:spacing w:before="40" w:after="40"/>
              <w:jc w:val="center"/>
              <w:rPr>
                <w:rFonts w:cs="Calibri"/>
                <w:szCs w:val="18"/>
              </w:rPr>
            </w:pPr>
            <w:r w:rsidRPr="00BD16B4">
              <w:rPr>
                <w:rFonts w:cs="Calibri"/>
                <w:szCs w:val="18"/>
              </w:rPr>
              <w:t>16.34</w:t>
            </w:r>
          </w:p>
        </w:tc>
        <w:tc>
          <w:tcPr>
            <w:tcW w:w="892" w:type="dxa"/>
            <w:noWrap/>
          </w:tcPr>
          <w:p w14:paraId="24BB1242" w14:textId="77777777" w:rsidR="00533D32" w:rsidRPr="00BD16B4" w:rsidRDefault="00533D32" w:rsidP="00C87B45">
            <w:pPr>
              <w:pStyle w:val="TableText"/>
              <w:spacing w:before="40" w:after="40"/>
              <w:jc w:val="center"/>
              <w:rPr>
                <w:rFonts w:cs="Calibri"/>
                <w:szCs w:val="18"/>
              </w:rPr>
            </w:pPr>
            <w:r w:rsidRPr="00BD16B4">
              <w:rPr>
                <w:rFonts w:cs="Calibri"/>
                <w:szCs w:val="18"/>
              </w:rPr>
              <w:t>17.18</w:t>
            </w:r>
          </w:p>
        </w:tc>
        <w:tc>
          <w:tcPr>
            <w:tcW w:w="892" w:type="dxa"/>
            <w:noWrap/>
          </w:tcPr>
          <w:p w14:paraId="37B84305" w14:textId="77777777" w:rsidR="00533D32" w:rsidRPr="00BD16B4" w:rsidRDefault="00533D32" w:rsidP="00C87B45">
            <w:pPr>
              <w:pStyle w:val="TableText"/>
              <w:spacing w:before="40" w:after="40"/>
              <w:jc w:val="center"/>
              <w:rPr>
                <w:rFonts w:cs="Calibri"/>
                <w:szCs w:val="18"/>
              </w:rPr>
            </w:pPr>
            <w:r w:rsidRPr="00BD16B4">
              <w:rPr>
                <w:rFonts w:cs="Calibri"/>
                <w:szCs w:val="18"/>
              </w:rPr>
              <w:t>17.41</w:t>
            </w:r>
          </w:p>
        </w:tc>
        <w:tc>
          <w:tcPr>
            <w:tcW w:w="892" w:type="dxa"/>
            <w:noWrap/>
          </w:tcPr>
          <w:p w14:paraId="32EFF6E0" w14:textId="77777777" w:rsidR="00533D32" w:rsidRPr="00BD16B4" w:rsidRDefault="00533D32" w:rsidP="00C87B45">
            <w:pPr>
              <w:pStyle w:val="TableText"/>
              <w:spacing w:before="40" w:after="40"/>
              <w:jc w:val="center"/>
              <w:rPr>
                <w:rFonts w:cs="Calibri"/>
                <w:szCs w:val="18"/>
              </w:rPr>
            </w:pPr>
            <w:r w:rsidRPr="00BD16B4">
              <w:rPr>
                <w:rFonts w:cs="Calibri"/>
                <w:szCs w:val="18"/>
              </w:rPr>
              <w:t>13.98</w:t>
            </w:r>
          </w:p>
        </w:tc>
        <w:tc>
          <w:tcPr>
            <w:tcW w:w="892" w:type="dxa"/>
            <w:noWrap/>
          </w:tcPr>
          <w:p w14:paraId="3ADEC3F8" w14:textId="77777777" w:rsidR="00533D32" w:rsidRPr="00BD16B4" w:rsidRDefault="00533D32" w:rsidP="00C87B45">
            <w:pPr>
              <w:pStyle w:val="TableText"/>
              <w:spacing w:before="40" w:after="40"/>
              <w:jc w:val="center"/>
              <w:rPr>
                <w:rFonts w:cs="Calibri"/>
                <w:szCs w:val="18"/>
              </w:rPr>
            </w:pPr>
            <w:r w:rsidRPr="00BD16B4">
              <w:rPr>
                <w:rFonts w:cs="Calibri"/>
                <w:szCs w:val="18"/>
              </w:rPr>
              <w:t>12.41</w:t>
            </w:r>
          </w:p>
        </w:tc>
        <w:tc>
          <w:tcPr>
            <w:tcW w:w="892" w:type="dxa"/>
            <w:noWrap/>
          </w:tcPr>
          <w:p w14:paraId="0F10DDB5" w14:textId="77777777" w:rsidR="00533D32" w:rsidRPr="00BD16B4" w:rsidRDefault="00533D32" w:rsidP="00C87B45">
            <w:pPr>
              <w:pStyle w:val="TableText"/>
              <w:spacing w:before="40" w:after="40"/>
              <w:jc w:val="center"/>
              <w:rPr>
                <w:rFonts w:cs="Calibri"/>
                <w:szCs w:val="18"/>
              </w:rPr>
            </w:pPr>
            <w:r w:rsidRPr="00BD16B4">
              <w:rPr>
                <w:rFonts w:cs="Calibri"/>
                <w:szCs w:val="18"/>
              </w:rPr>
              <w:t>10.31</w:t>
            </w:r>
          </w:p>
        </w:tc>
        <w:tc>
          <w:tcPr>
            <w:tcW w:w="892" w:type="dxa"/>
            <w:shd w:val="clear" w:color="auto" w:fill="D2DDE1" w:themeFill="background2"/>
            <w:noWrap/>
          </w:tcPr>
          <w:p w14:paraId="15162FB7" w14:textId="77777777" w:rsidR="00533D32" w:rsidRPr="00BD16B4" w:rsidRDefault="00533D32" w:rsidP="00C87B45">
            <w:pPr>
              <w:pStyle w:val="TableText"/>
              <w:spacing w:before="40" w:after="40"/>
              <w:jc w:val="center"/>
              <w:rPr>
                <w:rFonts w:cs="Calibri"/>
                <w:szCs w:val="18"/>
              </w:rPr>
            </w:pPr>
            <w:r w:rsidRPr="00BD16B4">
              <w:rPr>
                <w:rFonts w:cs="Calibri"/>
                <w:szCs w:val="18"/>
              </w:rPr>
              <w:t>15.64</w:t>
            </w:r>
          </w:p>
        </w:tc>
        <w:tc>
          <w:tcPr>
            <w:tcW w:w="892" w:type="dxa"/>
            <w:shd w:val="clear" w:color="auto" w:fill="D2DDE1" w:themeFill="background2"/>
            <w:noWrap/>
          </w:tcPr>
          <w:p w14:paraId="0F31337C" w14:textId="77777777" w:rsidR="00533D32" w:rsidRPr="00BD16B4" w:rsidRDefault="00533D32" w:rsidP="00C87B45">
            <w:pPr>
              <w:pStyle w:val="TableText"/>
              <w:spacing w:before="40" w:after="40"/>
              <w:jc w:val="center"/>
              <w:rPr>
                <w:rFonts w:cs="Calibri"/>
                <w:szCs w:val="18"/>
              </w:rPr>
            </w:pPr>
            <w:r w:rsidRPr="00BD16B4">
              <w:rPr>
                <w:rFonts w:cs="Calibri"/>
                <w:szCs w:val="18"/>
              </w:rPr>
              <w:t>15.64</w:t>
            </w:r>
          </w:p>
        </w:tc>
        <w:tc>
          <w:tcPr>
            <w:tcW w:w="892" w:type="dxa"/>
            <w:shd w:val="clear" w:color="auto" w:fill="D2DDE1" w:themeFill="background2"/>
            <w:noWrap/>
          </w:tcPr>
          <w:p w14:paraId="6D90D1C5" w14:textId="77777777" w:rsidR="00533D32" w:rsidRPr="00BD16B4" w:rsidRDefault="00533D32" w:rsidP="00C87B45">
            <w:pPr>
              <w:pStyle w:val="TableText"/>
              <w:spacing w:before="40" w:after="40"/>
              <w:jc w:val="center"/>
              <w:rPr>
                <w:rFonts w:cs="Calibri"/>
                <w:szCs w:val="18"/>
              </w:rPr>
            </w:pPr>
            <w:r w:rsidRPr="00BD16B4">
              <w:rPr>
                <w:rFonts w:cs="Calibri"/>
                <w:szCs w:val="18"/>
              </w:rPr>
              <w:t>15.64</w:t>
            </w:r>
          </w:p>
        </w:tc>
      </w:tr>
      <w:tr w:rsidR="00533D32" w:rsidRPr="00BD16B4" w14:paraId="6D206DBD" w14:textId="77777777" w:rsidTr="00315977">
        <w:tc>
          <w:tcPr>
            <w:tcW w:w="1928" w:type="dxa"/>
            <w:noWrap/>
          </w:tcPr>
          <w:p w14:paraId="24F7D3CE" w14:textId="77777777" w:rsidR="00533D32" w:rsidRPr="00BD16B4" w:rsidRDefault="00533D32" w:rsidP="00C87B45">
            <w:pPr>
              <w:pStyle w:val="TableText"/>
              <w:spacing w:before="40" w:after="40"/>
              <w:rPr>
                <w:rFonts w:cs="Calibri"/>
                <w:szCs w:val="18"/>
              </w:rPr>
            </w:pPr>
            <w:r w:rsidRPr="00BD16B4">
              <w:rPr>
                <w:rFonts w:cs="Calibri"/>
                <w:szCs w:val="18"/>
              </w:rPr>
              <w:t>Rail transport</w:t>
            </w:r>
          </w:p>
        </w:tc>
        <w:tc>
          <w:tcPr>
            <w:tcW w:w="1474" w:type="dxa"/>
            <w:noWrap/>
            <w:tcMar>
              <w:left w:w="57" w:type="dxa"/>
            </w:tcMar>
          </w:tcPr>
          <w:p w14:paraId="52855F4D" w14:textId="77777777" w:rsidR="00533D32" w:rsidRPr="00BD16B4" w:rsidRDefault="00533D32" w:rsidP="00C87B45">
            <w:pPr>
              <w:pStyle w:val="TableText"/>
              <w:spacing w:before="40" w:after="40"/>
              <w:rPr>
                <w:rFonts w:cs="Calibri"/>
                <w:szCs w:val="18"/>
              </w:rPr>
            </w:pPr>
            <w:r w:rsidRPr="00BD16B4">
              <w:rPr>
                <w:rFonts w:cs="Calibri"/>
                <w:szCs w:val="18"/>
              </w:rPr>
              <w:t>Gross PJ</w:t>
            </w:r>
          </w:p>
        </w:tc>
        <w:tc>
          <w:tcPr>
            <w:tcW w:w="2405" w:type="dxa"/>
            <w:noWrap/>
          </w:tcPr>
          <w:p w14:paraId="61A5E22A" w14:textId="77777777" w:rsidR="00533D32" w:rsidRPr="00BD16B4" w:rsidRDefault="00533D32" w:rsidP="00C87B45">
            <w:pPr>
              <w:pStyle w:val="TableText"/>
              <w:spacing w:before="40" w:after="40"/>
              <w:rPr>
                <w:rFonts w:cs="Calibri"/>
                <w:szCs w:val="18"/>
              </w:rPr>
            </w:pPr>
            <w:r w:rsidRPr="00BD16B4">
              <w:rPr>
                <w:rFonts w:cs="Calibri"/>
                <w:szCs w:val="18"/>
              </w:rPr>
              <w:t>WEM/WOM/WAM/Low/High</w:t>
            </w:r>
          </w:p>
        </w:tc>
        <w:tc>
          <w:tcPr>
            <w:tcW w:w="760" w:type="dxa"/>
            <w:noWrap/>
          </w:tcPr>
          <w:p w14:paraId="33E25341" w14:textId="77777777" w:rsidR="00533D32" w:rsidRPr="00BD16B4" w:rsidRDefault="00533D32" w:rsidP="00C87B45">
            <w:pPr>
              <w:pStyle w:val="TableText"/>
              <w:spacing w:before="40" w:after="40"/>
              <w:jc w:val="center"/>
              <w:rPr>
                <w:rFonts w:cs="Calibri"/>
                <w:szCs w:val="18"/>
              </w:rPr>
            </w:pPr>
            <w:r w:rsidRPr="00BD16B4">
              <w:rPr>
                <w:rFonts w:cs="Calibri"/>
                <w:szCs w:val="18"/>
              </w:rPr>
              <w:t>1.34</w:t>
            </w:r>
          </w:p>
        </w:tc>
        <w:tc>
          <w:tcPr>
            <w:tcW w:w="892" w:type="dxa"/>
            <w:noWrap/>
          </w:tcPr>
          <w:p w14:paraId="0CA0B0F8" w14:textId="77777777" w:rsidR="00533D32" w:rsidRPr="00BD16B4" w:rsidRDefault="00533D32" w:rsidP="00C87B45">
            <w:pPr>
              <w:pStyle w:val="TableText"/>
              <w:spacing w:before="40" w:after="40"/>
              <w:jc w:val="center"/>
              <w:rPr>
                <w:rFonts w:cs="Calibri"/>
                <w:szCs w:val="18"/>
              </w:rPr>
            </w:pPr>
            <w:r w:rsidRPr="00BD16B4">
              <w:rPr>
                <w:rFonts w:cs="Calibri"/>
                <w:szCs w:val="18"/>
              </w:rPr>
              <w:t>2.44</w:t>
            </w:r>
          </w:p>
        </w:tc>
        <w:tc>
          <w:tcPr>
            <w:tcW w:w="892" w:type="dxa"/>
            <w:noWrap/>
          </w:tcPr>
          <w:p w14:paraId="0BB1D118" w14:textId="77777777" w:rsidR="00533D32" w:rsidRPr="00BD16B4" w:rsidRDefault="00533D32" w:rsidP="00C87B45">
            <w:pPr>
              <w:pStyle w:val="TableText"/>
              <w:spacing w:before="40" w:after="40"/>
              <w:jc w:val="center"/>
              <w:rPr>
                <w:rFonts w:cs="Calibri"/>
                <w:szCs w:val="18"/>
              </w:rPr>
            </w:pPr>
            <w:r w:rsidRPr="00BD16B4">
              <w:rPr>
                <w:rFonts w:cs="Calibri"/>
                <w:szCs w:val="18"/>
              </w:rPr>
              <w:t>3.76</w:t>
            </w:r>
          </w:p>
        </w:tc>
        <w:tc>
          <w:tcPr>
            <w:tcW w:w="892" w:type="dxa"/>
            <w:noWrap/>
          </w:tcPr>
          <w:p w14:paraId="3FAF45A2" w14:textId="77777777" w:rsidR="00533D32" w:rsidRPr="00BD16B4" w:rsidRDefault="00533D32" w:rsidP="00C87B45">
            <w:pPr>
              <w:pStyle w:val="TableText"/>
              <w:spacing w:before="40" w:after="40"/>
              <w:jc w:val="center"/>
              <w:rPr>
                <w:rFonts w:cs="Calibri"/>
                <w:szCs w:val="18"/>
              </w:rPr>
            </w:pPr>
            <w:r w:rsidRPr="00BD16B4">
              <w:rPr>
                <w:rFonts w:cs="Calibri"/>
                <w:szCs w:val="18"/>
              </w:rPr>
              <w:t>2.46</w:t>
            </w:r>
          </w:p>
        </w:tc>
        <w:tc>
          <w:tcPr>
            <w:tcW w:w="892" w:type="dxa"/>
            <w:noWrap/>
          </w:tcPr>
          <w:p w14:paraId="420F2F5E" w14:textId="77777777" w:rsidR="00533D32" w:rsidRPr="00BD16B4" w:rsidRDefault="00533D32" w:rsidP="00C87B45">
            <w:pPr>
              <w:pStyle w:val="TableText"/>
              <w:spacing w:before="40" w:after="40"/>
              <w:jc w:val="center"/>
              <w:rPr>
                <w:rFonts w:cs="Calibri"/>
                <w:szCs w:val="18"/>
              </w:rPr>
            </w:pPr>
            <w:r w:rsidRPr="00BD16B4">
              <w:rPr>
                <w:rFonts w:cs="Calibri"/>
                <w:szCs w:val="18"/>
              </w:rPr>
              <w:t>2.25</w:t>
            </w:r>
          </w:p>
        </w:tc>
        <w:tc>
          <w:tcPr>
            <w:tcW w:w="892" w:type="dxa"/>
            <w:noWrap/>
          </w:tcPr>
          <w:p w14:paraId="5B9908FB" w14:textId="77777777" w:rsidR="00533D32" w:rsidRPr="00BD16B4" w:rsidRDefault="00533D32" w:rsidP="00C87B45">
            <w:pPr>
              <w:pStyle w:val="TableText"/>
              <w:spacing w:before="40" w:after="40"/>
              <w:jc w:val="center"/>
              <w:rPr>
                <w:rFonts w:cs="Calibri"/>
                <w:szCs w:val="18"/>
              </w:rPr>
            </w:pPr>
            <w:r w:rsidRPr="00BD16B4">
              <w:rPr>
                <w:rFonts w:cs="Calibri"/>
                <w:szCs w:val="18"/>
              </w:rPr>
              <w:t>2.27</w:t>
            </w:r>
          </w:p>
        </w:tc>
        <w:tc>
          <w:tcPr>
            <w:tcW w:w="892" w:type="dxa"/>
            <w:noWrap/>
          </w:tcPr>
          <w:p w14:paraId="18FA6B3D" w14:textId="77777777" w:rsidR="00533D32" w:rsidRPr="00BD16B4" w:rsidRDefault="00533D32" w:rsidP="00C87B45">
            <w:pPr>
              <w:pStyle w:val="TableText"/>
              <w:spacing w:before="40" w:after="40"/>
              <w:jc w:val="center"/>
              <w:rPr>
                <w:rFonts w:cs="Calibri"/>
                <w:szCs w:val="18"/>
              </w:rPr>
            </w:pPr>
            <w:r w:rsidRPr="00BD16B4">
              <w:rPr>
                <w:rFonts w:cs="Calibri"/>
                <w:szCs w:val="18"/>
              </w:rPr>
              <w:t>1.86</w:t>
            </w:r>
          </w:p>
        </w:tc>
        <w:tc>
          <w:tcPr>
            <w:tcW w:w="892" w:type="dxa"/>
            <w:shd w:val="clear" w:color="auto" w:fill="D2DDE1" w:themeFill="background2"/>
            <w:noWrap/>
          </w:tcPr>
          <w:p w14:paraId="59F0C5C5" w14:textId="77777777" w:rsidR="00533D32" w:rsidRPr="00BD16B4" w:rsidRDefault="00533D32" w:rsidP="00C87B45">
            <w:pPr>
              <w:pStyle w:val="TableText"/>
              <w:spacing w:before="40" w:after="40"/>
              <w:jc w:val="center"/>
              <w:rPr>
                <w:rFonts w:cs="Calibri"/>
                <w:szCs w:val="18"/>
              </w:rPr>
            </w:pPr>
            <w:r w:rsidRPr="00BD16B4">
              <w:rPr>
                <w:rFonts w:cs="Calibri"/>
                <w:szCs w:val="18"/>
              </w:rPr>
              <w:t>1.85</w:t>
            </w:r>
          </w:p>
        </w:tc>
        <w:tc>
          <w:tcPr>
            <w:tcW w:w="892" w:type="dxa"/>
            <w:shd w:val="clear" w:color="auto" w:fill="D2DDE1" w:themeFill="background2"/>
            <w:noWrap/>
          </w:tcPr>
          <w:p w14:paraId="04E002C4" w14:textId="77777777" w:rsidR="00533D32" w:rsidRPr="00BD16B4" w:rsidRDefault="00533D32" w:rsidP="00C87B45">
            <w:pPr>
              <w:pStyle w:val="TableText"/>
              <w:spacing w:before="40" w:after="40"/>
              <w:jc w:val="center"/>
              <w:rPr>
                <w:rFonts w:cs="Calibri"/>
                <w:szCs w:val="18"/>
              </w:rPr>
            </w:pPr>
            <w:r w:rsidRPr="00BD16B4">
              <w:rPr>
                <w:rFonts w:cs="Calibri"/>
                <w:szCs w:val="18"/>
              </w:rPr>
              <w:t>1.85</w:t>
            </w:r>
          </w:p>
        </w:tc>
        <w:tc>
          <w:tcPr>
            <w:tcW w:w="892" w:type="dxa"/>
            <w:shd w:val="clear" w:color="auto" w:fill="D2DDE1" w:themeFill="background2"/>
            <w:noWrap/>
          </w:tcPr>
          <w:p w14:paraId="20D6D7C5" w14:textId="77777777" w:rsidR="00533D32" w:rsidRPr="00BD16B4" w:rsidRDefault="00533D32" w:rsidP="00C87B45">
            <w:pPr>
              <w:pStyle w:val="TableText"/>
              <w:spacing w:before="40" w:after="40"/>
              <w:jc w:val="center"/>
              <w:rPr>
                <w:rFonts w:cs="Calibri"/>
                <w:szCs w:val="18"/>
              </w:rPr>
            </w:pPr>
            <w:r w:rsidRPr="00BD16B4">
              <w:rPr>
                <w:rFonts w:cs="Calibri"/>
                <w:szCs w:val="18"/>
              </w:rPr>
              <w:t>1.85</w:t>
            </w:r>
          </w:p>
        </w:tc>
      </w:tr>
      <w:tr w:rsidR="00533D32" w:rsidRPr="00BD16B4" w14:paraId="39BA9772" w14:textId="77777777" w:rsidTr="00315977">
        <w:tc>
          <w:tcPr>
            <w:tcW w:w="1928" w:type="dxa"/>
            <w:noWrap/>
          </w:tcPr>
          <w:p w14:paraId="101EEF50" w14:textId="77777777" w:rsidR="00533D32" w:rsidRPr="00BD16B4" w:rsidRDefault="00533D32" w:rsidP="00C87B45">
            <w:pPr>
              <w:pStyle w:val="TableText"/>
              <w:spacing w:before="40" w:after="40"/>
              <w:rPr>
                <w:rFonts w:cs="Calibri"/>
                <w:szCs w:val="18"/>
              </w:rPr>
            </w:pPr>
            <w:r w:rsidRPr="00BD16B4">
              <w:rPr>
                <w:rFonts w:cs="Calibri"/>
                <w:szCs w:val="18"/>
              </w:rPr>
              <w:t>Navigation</w:t>
            </w:r>
          </w:p>
        </w:tc>
        <w:tc>
          <w:tcPr>
            <w:tcW w:w="1474" w:type="dxa"/>
            <w:noWrap/>
            <w:tcMar>
              <w:left w:w="57" w:type="dxa"/>
            </w:tcMar>
          </w:tcPr>
          <w:p w14:paraId="0DCF8916" w14:textId="77777777" w:rsidR="00533D32" w:rsidRPr="00BD16B4" w:rsidRDefault="00533D32" w:rsidP="00C87B45">
            <w:pPr>
              <w:pStyle w:val="TableText"/>
              <w:spacing w:before="40" w:after="40"/>
              <w:rPr>
                <w:rFonts w:cs="Calibri"/>
                <w:szCs w:val="18"/>
              </w:rPr>
            </w:pPr>
            <w:r w:rsidRPr="00BD16B4">
              <w:rPr>
                <w:rFonts w:cs="Calibri"/>
                <w:szCs w:val="18"/>
              </w:rPr>
              <w:t>Gross PJ</w:t>
            </w:r>
          </w:p>
        </w:tc>
        <w:tc>
          <w:tcPr>
            <w:tcW w:w="2405" w:type="dxa"/>
            <w:noWrap/>
          </w:tcPr>
          <w:p w14:paraId="6DCACD3B" w14:textId="77777777" w:rsidR="00533D32" w:rsidRPr="00BD16B4" w:rsidRDefault="00533D32" w:rsidP="00C87B45">
            <w:pPr>
              <w:pStyle w:val="TableText"/>
              <w:spacing w:before="40" w:after="40"/>
              <w:rPr>
                <w:rFonts w:cs="Calibri"/>
                <w:szCs w:val="18"/>
              </w:rPr>
            </w:pPr>
            <w:r w:rsidRPr="00BD16B4">
              <w:rPr>
                <w:rFonts w:cs="Calibri"/>
                <w:szCs w:val="18"/>
              </w:rPr>
              <w:t>WEM/WOM/WAM/Low/High</w:t>
            </w:r>
          </w:p>
        </w:tc>
        <w:tc>
          <w:tcPr>
            <w:tcW w:w="760" w:type="dxa"/>
            <w:noWrap/>
          </w:tcPr>
          <w:p w14:paraId="18305223" w14:textId="77777777" w:rsidR="00533D32" w:rsidRPr="00BD16B4" w:rsidRDefault="00533D32" w:rsidP="00C87B45">
            <w:pPr>
              <w:pStyle w:val="TableText"/>
              <w:spacing w:before="40" w:after="40"/>
              <w:jc w:val="center"/>
              <w:rPr>
                <w:rFonts w:cs="Calibri"/>
                <w:szCs w:val="18"/>
              </w:rPr>
            </w:pPr>
            <w:r w:rsidRPr="00BD16B4">
              <w:rPr>
                <w:rFonts w:cs="Calibri"/>
                <w:szCs w:val="18"/>
              </w:rPr>
              <w:t>3.28</w:t>
            </w:r>
          </w:p>
        </w:tc>
        <w:tc>
          <w:tcPr>
            <w:tcW w:w="892" w:type="dxa"/>
            <w:noWrap/>
          </w:tcPr>
          <w:p w14:paraId="10CBCC61" w14:textId="77777777" w:rsidR="00533D32" w:rsidRPr="00BD16B4" w:rsidRDefault="00533D32" w:rsidP="00C87B45">
            <w:pPr>
              <w:pStyle w:val="TableText"/>
              <w:spacing w:before="40" w:after="40"/>
              <w:jc w:val="center"/>
              <w:rPr>
                <w:rFonts w:cs="Calibri"/>
                <w:szCs w:val="18"/>
              </w:rPr>
            </w:pPr>
            <w:r w:rsidRPr="00BD16B4">
              <w:rPr>
                <w:rFonts w:cs="Calibri"/>
                <w:szCs w:val="18"/>
              </w:rPr>
              <w:t>4.10</w:t>
            </w:r>
          </w:p>
        </w:tc>
        <w:tc>
          <w:tcPr>
            <w:tcW w:w="892" w:type="dxa"/>
            <w:noWrap/>
          </w:tcPr>
          <w:p w14:paraId="756C5989" w14:textId="77777777" w:rsidR="00533D32" w:rsidRPr="00BD16B4" w:rsidRDefault="00533D32" w:rsidP="00C87B45">
            <w:pPr>
              <w:pStyle w:val="TableText"/>
              <w:spacing w:before="40" w:after="40"/>
              <w:jc w:val="center"/>
              <w:rPr>
                <w:rFonts w:cs="Calibri"/>
                <w:szCs w:val="18"/>
              </w:rPr>
            </w:pPr>
            <w:r w:rsidRPr="00BD16B4">
              <w:rPr>
                <w:rFonts w:cs="Calibri"/>
                <w:szCs w:val="18"/>
              </w:rPr>
              <w:t>5.17</w:t>
            </w:r>
          </w:p>
        </w:tc>
        <w:tc>
          <w:tcPr>
            <w:tcW w:w="892" w:type="dxa"/>
            <w:noWrap/>
          </w:tcPr>
          <w:p w14:paraId="58B3D4BB" w14:textId="77777777" w:rsidR="00533D32" w:rsidRPr="00BD16B4" w:rsidRDefault="00533D32" w:rsidP="00C87B45">
            <w:pPr>
              <w:pStyle w:val="TableText"/>
              <w:spacing w:before="40" w:after="40"/>
              <w:jc w:val="center"/>
              <w:rPr>
                <w:rFonts w:cs="Calibri"/>
                <w:szCs w:val="18"/>
              </w:rPr>
            </w:pPr>
            <w:r w:rsidRPr="00BD16B4">
              <w:rPr>
                <w:rFonts w:cs="Calibri"/>
                <w:szCs w:val="18"/>
              </w:rPr>
              <w:t>5.45</w:t>
            </w:r>
          </w:p>
        </w:tc>
        <w:tc>
          <w:tcPr>
            <w:tcW w:w="892" w:type="dxa"/>
            <w:noWrap/>
          </w:tcPr>
          <w:p w14:paraId="05F4DC6F" w14:textId="77777777" w:rsidR="00533D32" w:rsidRPr="00BD16B4" w:rsidRDefault="00533D32" w:rsidP="00C87B45">
            <w:pPr>
              <w:pStyle w:val="TableText"/>
              <w:spacing w:before="40" w:after="40"/>
              <w:jc w:val="center"/>
              <w:rPr>
                <w:rFonts w:cs="Calibri"/>
                <w:szCs w:val="18"/>
              </w:rPr>
            </w:pPr>
            <w:r w:rsidRPr="00BD16B4">
              <w:rPr>
                <w:rFonts w:cs="Calibri"/>
                <w:szCs w:val="18"/>
              </w:rPr>
              <w:t>3.76</w:t>
            </w:r>
          </w:p>
        </w:tc>
        <w:tc>
          <w:tcPr>
            <w:tcW w:w="892" w:type="dxa"/>
            <w:noWrap/>
          </w:tcPr>
          <w:p w14:paraId="1DB94147" w14:textId="77777777" w:rsidR="00533D32" w:rsidRPr="00BD16B4" w:rsidRDefault="00533D32" w:rsidP="00C87B45">
            <w:pPr>
              <w:pStyle w:val="TableText"/>
              <w:spacing w:before="40" w:after="40"/>
              <w:jc w:val="center"/>
              <w:rPr>
                <w:rFonts w:cs="Calibri"/>
                <w:szCs w:val="18"/>
              </w:rPr>
            </w:pPr>
            <w:r w:rsidRPr="00BD16B4">
              <w:rPr>
                <w:rFonts w:cs="Calibri"/>
                <w:szCs w:val="18"/>
              </w:rPr>
              <w:t>5.73</w:t>
            </w:r>
          </w:p>
        </w:tc>
        <w:tc>
          <w:tcPr>
            <w:tcW w:w="892" w:type="dxa"/>
            <w:noWrap/>
          </w:tcPr>
          <w:p w14:paraId="670A080C" w14:textId="77777777" w:rsidR="00533D32" w:rsidRPr="00BD16B4" w:rsidRDefault="00533D32" w:rsidP="00C87B45">
            <w:pPr>
              <w:pStyle w:val="TableText"/>
              <w:spacing w:before="40" w:after="40"/>
              <w:jc w:val="center"/>
              <w:rPr>
                <w:rFonts w:cs="Calibri"/>
                <w:szCs w:val="18"/>
              </w:rPr>
            </w:pPr>
            <w:r w:rsidRPr="00BD16B4">
              <w:rPr>
                <w:rFonts w:cs="Calibri"/>
                <w:szCs w:val="18"/>
              </w:rPr>
              <w:t>3.72</w:t>
            </w:r>
          </w:p>
        </w:tc>
        <w:tc>
          <w:tcPr>
            <w:tcW w:w="892" w:type="dxa"/>
            <w:shd w:val="clear" w:color="auto" w:fill="D2DDE1" w:themeFill="background2"/>
            <w:noWrap/>
          </w:tcPr>
          <w:p w14:paraId="06E3AA9A" w14:textId="77777777" w:rsidR="00533D32" w:rsidRPr="00BD16B4" w:rsidRDefault="00533D32" w:rsidP="00C87B45">
            <w:pPr>
              <w:pStyle w:val="TableText"/>
              <w:spacing w:before="40" w:after="40"/>
              <w:jc w:val="center"/>
              <w:rPr>
                <w:rFonts w:cs="Calibri"/>
                <w:szCs w:val="18"/>
              </w:rPr>
            </w:pPr>
            <w:r w:rsidRPr="00BD16B4">
              <w:rPr>
                <w:rFonts w:cs="Calibri"/>
                <w:szCs w:val="18"/>
              </w:rPr>
              <w:t>2.75</w:t>
            </w:r>
          </w:p>
        </w:tc>
        <w:tc>
          <w:tcPr>
            <w:tcW w:w="892" w:type="dxa"/>
            <w:shd w:val="clear" w:color="auto" w:fill="D2DDE1" w:themeFill="background2"/>
            <w:noWrap/>
          </w:tcPr>
          <w:p w14:paraId="67147B2F" w14:textId="77777777" w:rsidR="00533D32" w:rsidRPr="00BD16B4" w:rsidRDefault="00533D32" w:rsidP="00C87B45">
            <w:pPr>
              <w:pStyle w:val="TableText"/>
              <w:spacing w:before="40" w:after="40"/>
              <w:jc w:val="center"/>
              <w:rPr>
                <w:rFonts w:cs="Calibri"/>
                <w:szCs w:val="18"/>
              </w:rPr>
            </w:pPr>
            <w:r w:rsidRPr="00BD16B4">
              <w:rPr>
                <w:rFonts w:cs="Calibri"/>
                <w:szCs w:val="18"/>
              </w:rPr>
              <w:t>2.75</w:t>
            </w:r>
          </w:p>
        </w:tc>
        <w:tc>
          <w:tcPr>
            <w:tcW w:w="892" w:type="dxa"/>
            <w:shd w:val="clear" w:color="auto" w:fill="D2DDE1" w:themeFill="background2"/>
            <w:noWrap/>
          </w:tcPr>
          <w:p w14:paraId="17C69E7B" w14:textId="77777777" w:rsidR="00533D32" w:rsidRPr="00BD16B4" w:rsidRDefault="00533D32" w:rsidP="00C87B45">
            <w:pPr>
              <w:pStyle w:val="TableText"/>
              <w:spacing w:before="40" w:after="40"/>
              <w:jc w:val="center"/>
              <w:rPr>
                <w:rFonts w:cs="Calibri"/>
                <w:szCs w:val="18"/>
              </w:rPr>
            </w:pPr>
            <w:r w:rsidRPr="00BD16B4">
              <w:rPr>
                <w:rFonts w:cs="Calibri"/>
                <w:szCs w:val="18"/>
              </w:rPr>
              <w:t>2.75</w:t>
            </w:r>
          </w:p>
        </w:tc>
      </w:tr>
      <w:tr w:rsidR="00533D32" w:rsidRPr="00BD16B4" w14:paraId="02166061" w14:textId="77777777" w:rsidTr="00315977">
        <w:tc>
          <w:tcPr>
            <w:tcW w:w="1928" w:type="dxa"/>
            <w:noWrap/>
          </w:tcPr>
          <w:p w14:paraId="4650C42F" w14:textId="77777777" w:rsidR="00533D32" w:rsidRPr="00BD16B4" w:rsidRDefault="00533D32" w:rsidP="00C87B45">
            <w:pPr>
              <w:pStyle w:val="TableText"/>
              <w:spacing w:before="40" w:after="40"/>
              <w:rPr>
                <w:rFonts w:cs="Calibri"/>
                <w:szCs w:val="18"/>
              </w:rPr>
            </w:pPr>
            <w:r w:rsidRPr="00BD16B4">
              <w:rPr>
                <w:rFonts w:cs="Calibri"/>
                <w:szCs w:val="18"/>
              </w:rPr>
              <w:t>Labour Force</w:t>
            </w:r>
          </w:p>
        </w:tc>
        <w:tc>
          <w:tcPr>
            <w:tcW w:w="1474" w:type="dxa"/>
            <w:noWrap/>
            <w:tcMar>
              <w:left w:w="57" w:type="dxa"/>
            </w:tcMar>
          </w:tcPr>
          <w:p w14:paraId="23831BC3" w14:textId="77777777" w:rsidR="00533D32" w:rsidRPr="00BD16B4" w:rsidRDefault="00533D32" w:rsidP="00C87B45">
            <w:pPr>
              <w:pStyle w:val="TableText"/>
              <w:spacing w:before="40" w:after="40"/>
              <w:rPr>
                <w:rFonts w:cs="Calibri"/>
                <w:szCs w:val="18"/>
              </w:rPr>
            </w:pPr>
            <w:r w:rsidRPr="00BD16B4">
              <w:rPr>
                <w:rFonts w:cs="Calibri"/>
                <w:szCs w:val="18"/>
              </w:rPr>
              <w:t>millions</w:t>
            </w:r>
          </w:p>
        </w:tc>
        <w:tc>
          <w:tcPr>
            <w:tcW w:w="2405" w:type="dxa"/>
            <w:noWrap/>
          </w:tcPr>
          <w:p w14:paraId="77CCD5C3" w14:textId="77777777" w:rsidR="00533D32" w:rsidRPr="00BD16B4" w:rsidRDefault="00533D32" w:rsidP="00C87B45">
            <w:pPr>
              <w:pStyle w:val="TableText"/>
              <w:spacing w:before="40" w:after="40"/>
              <w:rPr>
                <w:rFonts w:cs="Calibri"/>
                <w:szCs w:val="18"/>
              </w:rPr>
            </w:pPr>
            <w:r w:rsidRPr="00BD16B4">
              <w:rPr>
                <w:rFonts w:cs="Calibri"/>
                <w:szCs w:val="18"/>
              </w:rPr>
              <w:t>WEM/WOM/WAM/Low/High</w:t>
            </w:r>
          </w:p>
        </w:tc>
        <w:tc>
          <w:tcPr>
            <w:tcW w:w="760" w:type="dxa"/>
            <w:noWrap/>
          </w:tcPr>
          <w:p w14:paraId="08319673"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71656FF3"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5B84A3A1"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0A863620"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59D72CE9"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2EE2C4D5"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4CA5DF38" w14:textId="77777777" w:rsidR="00533D32" w:rsidRPr="00BD16B4" w:rsidRDefault="00533D32" w:rsidP="00C87B45">
            <w:pPr>
              <w:pStyle w:val="TableText"/>
              <w:spacing w:before="40" w:after="40"/>
              <w:jc w:val="center"/>
              <w:rPr>
                <w:rFonts w:cs="Calibri"/>
                <w:szCs w:val="18"/>
              </w:rPr>
            </w:pPr>
            <w:r w:rsidRPr="00BD16B4">
              <w:rPr>
                <w:rFonts w:cs="Calibri"/>
                <w:szCs w:val="18"/>
              </w:rPr>
              <w:t>2.84</w:t>
            </w:r>
          </w:p>
        </w:tc>
        <w:tc>
          <w:tcPr>
            <w:tcW w:w="892" w:type="dxa"/>
            <w:shd w:val="clear" w:color="auto" w:fill="D2DDE1" w:themeFill="background2"/>
            <w:noWrap/>
          </w:tcPr>
          <w:p w14:paraId="127137E5" w14:textId="77777777" w:rsidR="00533D32" w:rsidRPr="00BD16B4" w:rsidRDefault="00533D32" w:rsidP="00C87B45">
            <w:pPr>
              <w:pStyle w:val="TableText"/>
              <w:spacing w:before="40" w:after="40"/>
              <w:jc w:val="center"/>
              <w:rPr>
                <w:rFonts w:cs="Calibri"/>
                <w:szCs w:val="18"/>
              </w:rPr>
            </w:pPr>
            <w:r w:rsidRPr="00BD16B4">
              <w:rPr>
                <w:rFonts w:cs="Calibri"/>
                <w:szCs w:val="18"/>
              </w:rPr>
              <w:t>3.02</w:t>
            </w:r>
          </w:p>
        </w:tc>
        <w:tc>
          <w:tcPr>
            <w:tcW w:w="892" w:type="dxa"/>
            <w:shd w:val="clear" w:color="auto" w:fill="D2DDE1" w:themeFill="background2"/>
            <w:noWrap/>
          </w:tcPr>
          <w:p w14:paraId="1C7A09C9" w14:textId="77777777" w:rsidR="00533D32" w:rsidRPr="00BD16B4" w:rsidRDefault="00533D32" w:rsidP="00C87B45">
            <w:pPr>
              <w:pStyle w:val="TableText"/>
              <w:spacing w:before="40" w:after="40"/>
              <w:jc w:val="center"/>
              <w:rPr>
                <w:rFonts w:cs="Calibri"/>
                <w:szCs w:val="18"/>
              </w:rPr>
            </w:pPr>
            <w:r w:rsidRPr="00BD16B4">
              <w:rPr>
                <w:rFonts w:cs="Calibri"/>
                <w:szCs w:val="18"/>
              </w:rPr>
              <w:t>3.21</w:t>
            </w:r>
          </w:p>
        </w:tc>
        <w:tc>
          <w:tcPr>
            <w:tcW w:w="892" w:type="dxa"/>
            <w:shd w:val="clear" w:color="auto" w:fill="D2DDE1" w:themeFill="background2"/>
            <w:noWrap/>
          </w:tcPr>
          <w:p w14:paraId="10D62356" w14:textId="77777777" w:rsidR="00533D32" w:rsidRPr="00BD16B4" w:rsidRDefault="00533D32" w:rsidP="00C87B45">
            <w:pPr>
              <w:pStyle w:val="TableText"/>
              <w:spacing w:before="40" w:after="40"/>
              <w:jc w:val="center"/>
              <w:rPr>
                <w:rFonts w:cs="Calibri"/>
                <w:szCs w:val="18"/>
              </w:rPr>
            </w:pPr>
            <w:r w:rsidRPr="00BD16B4">
              <w:rPr>
                <w:rFonts w:cs="Calibri"/>
                <w:szCs w:val="18"/>
              </w:rPr>
              <w:t>3.34</w:t>
            </w:r>
          </w:p>
        </w:tc>
      </w:tr>
      <w:tr w:rsidR="00533D32" w:rsidRPr="00BD16B4" w14:paraId="4A15D1E1" w14:textId="77777777" w:rsidTr="00315977">
        <w:tc>
          <w:tcPr>
            <w:tcW w:w="1928" w:type="dxa"/>
            <w:noWrap/>
          </w:tcPr>
          <w:p w14:paraId="2F7C1D51" w14:textId="77777777" w:rsidR="00533D32" w:rsidRPr="00BD16B4" w:rsidRDefault="00533D32" w:rsidP="00C87B45">
            <w:pPr>
              <w:pStyle w:val="TableText"/>
              <w:spacing w:before="40" w:after="40"/>
              <w:rPr>
                <w:rFonts w:cs="Calibri"/>
                <w:szCs w:val="18"/>
              </w:rPr>
            </w:pPr>
            <w:r w:rsidRPr="00BD16B4">
              <w:rPr>
                <w:rFonts w:cs="Calibri"/>
                <w:szCs w:val="18"/>
              </w:rPr>
              <w:t>Net migration</w:t>
            </w:r>
          </w:p>
        </w:tc>
        <w:tc>
          <w:tcPr>
            <w:tcW w:w="1474" w:type="dxa"/>
            <w:noWrap/>
            <w:tcMar>
              <w:left w:w="57" w:type="dxa"/>
            </w:tcMar>
          </w:tcPr>
          <w:p w14:paraId="477D691F" w14:textId="77777777" w:rsidR="00533D32" w:rsidRPr="00BD16B4" w:rsidRDefault="00533D32" w:rsidP="00C87B45">
            <w:pPr>
              <w:pStyle w:val="TableText"/>
              <w:spacing w:before="40" w:after="40"/>
              <w:rPr>
                <w:rFonts w:cs="Calibri"/>
                <w:szCs w:val="18"/>
              </w:rPr>
            </w:pPr>
            <w:r w:rsidRPr="00BD16B4">
              <w:rPr>
                <w:rFonts w:cs="Calibri"/>
                <w:szCs w:val="18"/>
              </w:rPr>
              <w:t>thousands</w:t>
            </w:r>
          </w:p>
        </w:tc>
        <w:tc>
          <w:tcPr>
            <w:tcW w:w="2405" w:type="dxa"/>
            <w:noWrap/>
          </w:tcPr>
          <w:p w14:paraId="313699B0" w14:textId="77777777" w:rsidR="00533D32" w:rsidRPr="00BD16B4" w:rsidRDefault="00533D32" w:rsidP="00C87B45">
            <w:pPr>
              <w:pStyle w:val="TableText"/>
              <w:spacing w:before="40" w:after="40"/>
              <w:rPr>
                <w:rFonts w:cs="Calibri"/>
                <w:szCs w:val="18"/>
              </w:rPr>
            </w:pPr>
            <w:r w:rsidRPr="00BD16B4">
              <w:rPr>
                <w:rFonts w:cs="Calibri"/>
                <w:szCs w:val="18"/>
              </w:rPr>
              <w:t>WEM/WOM/WAM/Low/High</w:t>
            </w:r>
          </w:p>
        </w:tc>
        <w:tc>
          <w:tcPr>
            <w:tcW w:w="760" w:type="dxa"/>
            <w:noWrap/>
          </w:tcPr>
          <w:p w14:paraId="16B2BD19"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620D187C"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2B7133ED"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30E1CDA3"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619AA514"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04BBD952"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358CC53A"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shd w:val="clear" w:color="auto" w:fill="D2DDE1" w:themeFill="background2"/>
            <w:noWrap/>
          </w:tcPr>
          <w:p w14:paraId="747722E0" w14:textId="77777777" w:rsidR="00533D32" w:rsidRPr="00BD16B4" w:rsidRDefault="00533D32" w:rsidP="00C87B45">
            <w:pPr>
              <w:pStyle w:val="TableText"/>
              <w:spacing w:before="40" w:after="40"/>
              <w:jc w:val="center"/>
              <w:rPr>
                <w:rFonts w:cs="Calibri"/>
                <w:szCs w:val="18"/>
              </w:rPr>
            </w:pPr>
            <w:r w:rsidRPr="00BD16B4">
              <w:rPr>
                <w:rFonts w:cs="Calibri"/>
                <w:szCs w:val="18"/>
              </w:rPr>
              <w:t>35.1</w:t>
            </w:r>
          </w:p>
        </w:tc>
        <w:tc>
          <w:tcPr>
            <w:tcW w:w="892" w:type="dxa"/>
            <w:shd w:val="clear" w:color="auto" w:fill="D2DDE1" w:themeFill="background2"/>
            <w:noWrap/>
          </w:tcPr>
          <w:p w14:paraId="1981DF4B" w14:textId="77777777" w:rsidR="00533D32" w:rsidRPr="00BD16B4" w:rsidRDefault="00533D32" w:rsidP="00C87B45">
            <w:pPr>
              <w:pStyle w:val="TableText"/>
              <w:spacing w:before="40" w:after="40"/>
              <w:jc w:val="center"/>
              <w:rPr>
                <w:rFonts w:cs="Calibri"/>
                <w:szCs w:val="18"/>
              </w:rPr>
            </w:pPr>
            <w:r w:rsidRPr="00BD16B4">
              <w:rPr>
                <w:rFonts w:cs="Calibri"/>
                <w:szCs w:val="18"/>
              </w:rPr>
              <w:t>32.8</w:t>
            </w:r>
          </w:p>
        </w:tc>
        <w:tc>
          <w:tcPr>
            <w:tcW w:w="892" w:type="dxa"/>
            <w:shd w:val="clear" w:color="auto" w:fill="D2DDE1" w:themeFill="background2"/>
            <w:noWrap/>
          </w:tcPr>
          <w:p w14:paraId="265FF3B9" w14:textId="77777777" w:rsidR="00533D32" w:rsidRPr="00BD16B4" w:rsidRDefault="00533D32" w:rsidP="00C87B45">
            <w:pPr>
              <w:pStyle w:val="TableText"/>
              <w:spacing w:before="40" w:after="40"/>
              <w:jc w:val="center"/>
              <w:rPr>
                <w:rFonts w:cs="Calibri"/>
                <w:szCs w:val="18"/>
              </w:rPr>
            </w:pPr>
            <w:r w:rsidRPr="00BD16B4">
              <w:rPr>
                <w:rFonts w:cs="Calibri"/>
                <w:szCs w:val="18"/>
              </w:rPr>
              <w:t>25</w:t>
            </w:r>
          </w:p>
        </w:tc>
      </w:tr>
      <w:tr w:rsidR="00533D32" w:rsidRPr="00BD16B4" w14:paraId="097FBBC8" w14:textId="77777777" w:rsidTr="00315977">
        <w:tc>
          <w:tcPr>
            <w:tcW w:w="1928" w:type="dxa"/>
            <w:noWrap/>
          </w:tcPr>
          <w:p w14:paraId="42217E21" w14:textId="77777777" w:rsidR="00533D32" w:rsidRPr="00BD16B4" w:rsidRDefault="00533D32" w:rsidP="00C87B45">
            <w:pPr>
              <w:pStyle w:val="TableText"/>
              <w:spacing w:before="40" w:after="40"/>
              <w:rPr>
                <w:rFonts w:cs="Calibri"/>
                <w:szCs w:val="18"/>
              </w:rPr>
            </w:pPr>
            <w:r w:rsidRPr="00BD16B4">
              <w:rPr>
                <w:rFonts w:cs="Calibri"/>
                <w:szCs w:val="18"/>
              </w:rPr>
              <w:t>Exchange rate</w:t>
            </w:r>
          </w:p>
        </w:tc>
        <w:tc>
          <w:tcPr>
            <w:tcW w:w="1474" w:type="dxa"/>
            <w:noWrap/>
            <w:tcMar>
              <w:left w:w="57" w:type="dxa"/>
            </w:tcMar>
          </w:tcPr>
          <w:p w14:paraId="19F08637" w14:textId="77777777" w:rsidR="00533D32" w:rsidRPr="00BD16B4" w:rsidRDefault="00533D32" w:rsidP="00C87B45">
            <w:pPr>
              <w:pStyle w:val="TableText"/>
              <w:spacing w:before="40" w:after="40"/>
              <w:rPr>
                <w:rFonts w:cs="Calibri"/>
                <w:szCs w:val="18"/>
              </w:rPr>
            </w:pPr>
            <w:r w:rsidRPr="00BD16B4">
              <w:rPr>
                <w:rFonts w:cs="Calibri"/>
                <w:szCs w:val="18"/>
              </w:rPr>
              <w:t>(NZ$/US$)</w:t>
            </w:r>
          </w:p>
        </w:tc>
        <w:tc>
          <w:tcPr>
            <w:tcW w:w="2405" w:type="dxa"/>
            <w:noWrap/>
          </w:tcPr>
          <w:p w14:paraId="3B59B7BC" w14:textId="77777777" w:rsidR="00533D32" w:rsidRPr="00BD16B4" w:rsidRDefault="00533D32" w:rsidP="00C87B45">
            <w:pPr>
              <w:pStyle w:val="TableText"/>
              <w:spacing w:before="40" w:after="40"/>
              <w:rPr>
                <w:rFonts w:cs="Calibri"/>
                <w:szCs w:val="18"/>
              </w:rPr>
            </w:pPr>
            <w:r w:rsidRPr="00BD16B4">
              <w:rPr>
                <w:rFonts w:cs="Calibri"/>
                <w:szCs w:val="18"/>
              </w:rPr>
              <w:t>WEM/WOM/WAM/Low/High</w:t>
            </w:r>
          </w:p>
        </w:tc>
        <w:tc>
          <w:tcPr>
            <w:tcW w:w="760" w:type="dxa"/>
            <w:noWrap/>
          </w:tcPr>
          <w:p w14:paraId="7BEA7345"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6C55254F"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198542A9"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285B03B8"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46AA77C5"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14C196D0"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61C35FA9" w14:textId="77777777" w:rsidR="00533D32" w:rsidRPr="00BD16B4" w:rsidRDefault="00533D32" w:rsidP="00C87B45">
            <w:pPr>
              <w:pStyle w:val="TableText"/>
              <w:spacing w:before="40" w:after="40"/>
              <w:jc w:val="center"/>
              <w:rPr>
                <w:rFonts w:cs="Calibri"/>
                <w:szCs w:val="18"/>
              </w:rPr>
            </w:pPr>
            <w:r w:rsidRPr="00BD16B4">
              <w:rPr>
                <w:rFonts w:cs="Calibri"/>
                <w:szCs w:val="18"/>
              </w:rPr>
              <w:t>0.64</w:t>
            </w:r>
          </w:p>
        </w:tc>
        <w:tc>
          <w:tcPr>
            <w:tcW w:w="892" w:type="dxa"/>
            <w:shd w:val="clear" w:color="auto" w:fill="D2DDE1" w:themeFill="background2"/>
            <w:noWrap/>
          </w:tcPr>
          <w:p w14:paraId="1F39B5C8" w14:textId="77777777" w:rsidR="00533D32" w:rsidRPr="00BD16B4" w:rsidRDefault="00533D32" w:rsidP="00C87B45">
            <w:pPr>
              <w:pStyle w:val="TableText"/>
              <w:spacing w:before="40" w:after="40"/>
              <w:jc w:val="center"/>
              <w:rPr>
                <w:rFonts w:cs="Calibri"/>
                <w:szCs w:val="18"/>
              </w:rPr>
            </w:pPr>
            <w:r w:rsidRPr="00BD16B4">
              <w:rPr>
                <w:rFonts w:cs="Calibri"/>
                <w:szCs w:val="18"/>
              </w:rPr>
              <w:t>0.65</w:t>
            </w:r>
          </w:p>
        </w:tc>
        <w:tc>
          <w:tcPr>
            <w:tcW w:w="892" w:type="dxa"/>
            <w:shd w:val="clear" w:color="auto" w:fill="D2DDE1" w:themeFill="background2"/>
            <w:noWrap/>
          </w:tcPr>
          <w:p w14:paraId="03FF75E7" w14:textId="77777777" w:rsidR="00533D32" w:rsidRPr="00BD16B4" w:rsidRDefault="00533D32" w:rsidP="00C87B45">
            <w:pPr>
              <w:pStyle w:val="TableText"/>
              <w:spacing w:before="40" w:after="40"/>
              <w:jc w:val="center"/>
              <w:rPr>
                <w:rFonts w:cs="Calibri"/>
                <w:szCs w:val="18"/>
              </w:rPr>
            </w:pPr>
            <w:r w:rsidRPr="00BD16B4">
              <w:rPr>
                <w:rFonts w:cs="Calibri"/>
                <w:szCs w:val="18"/>
              </w:rPr>
              <w:t>0.65</w:t>
            </w:r>
          </w:p>
        </w:tc>
        <w:tc>
          <w:tcPr>
            <w:tcW w:w="892" w:type="dxa"/>
            <w:shd w:val="clear" w:color="auto" w:fill="D2DDE1" w:themeFill="background2"/>
            <w:noWrap/>
          </w:tcPr>
          <w:p w14:paraId="7A5AD3E4" w14:textId="77777777" w:rsidR="00533D32" w:rsidRPr="00BD16B4" w:rsidRDefault="00533D32" w:rsidP="00C87B45">
            <w:pPr>
              <w:pStyle w:val="TableText"/>
              <w:spacing w:before="40" w:after="40"/>
              <w:jc w:val="center"/>
              <w:rPr>
                <w:rFonts w:cs="Calibri"/>
                <w:szCs w:val="18"/>
              </w:rPr>
            </w:pPr>
            <w:r w:rsidRPr="00BD16B4">
              <w:rPr>
                <w:rFonts w:cs="Calibri"/>
                <w:szCs w:val="18"/>
              </w:rPr>
              <w:t>0.65</w:t>
            </w:r>
          </w:p>
        </w:tc>
      </w:tr>
      <w:tr w:rsidR="00533D32" w:rsidRPr="00BD16B4" w14:paraId="4EC5358A" w14:textId="77777777" w:rsidTr="00315977">
        <w:tc>
          <w:tcPr>
            <w:tcW w:w="1928" w:type="dxa"/>
            <w:noWrap/>
          </w:tcPr>
          <w:p w14:paraId="04539524" w14:textId="77777777" w:rsidR="00533D32" w:rsidRPr="00BD16B4" w:rsidRDefault="00533D32" w:rsidP="00C87B45">
            <w:pPr>
              <w:pStyle w:val="TableText"/>
              <w:spacing w:before="40" w:after="40"/>
              <w:rPr>
                <w:rFonts w:cs="Calibri"/>
                <w:bCs/>
                <w:szCs w:val="18"/>
              </w:rPr>
            </w:pPr>
            <w:r w:rsidRPr="00BD16B4">
              <w:rPr>
                <w:rFonts w:cs="Calibri"/>
                <w:bCs/>
                <w:szCs w:val="18"/>
              </w:rPr>
              <w:t>Upper limit in importation of new HFCs</w:t>
            </w:r>
          </w:p>
        </w:tc>
        <w:tc>
          <w:tcPr>
            <w:tcW w:w="1474" w:type="dxa"/>
            <w:noWrap/>
            <w:tcMar>
              <w:left w:w="57" w:type="dxa"/>
            </w:tcMar>
          </w:tcPr>
          <w:p w14:paraId="158D435F" w14:textId="77777777" w:rsidR="00533D32" w:rsidRPr="00BD16B4" w:rsidRDefault="00533D32" w:rsidP="00C87B45">
            <w:pPr>
              <w:pStyle w:val="TableText"/>
              <w:spacing w:before="40" w:after="40"/>
              <w:rPr>
                <w:rFonts w:cs="Calibri"/>
                <w:szCs w:val="18"/>
              </w:rPr>
            </w:pPr>
            <w:r w:rsidRPr="00BD16B4">
              <w:rPr>
                <w:rFonts w:cs="Calibri"/>
                <w:szCs w:val="18"/>
              </w:rPr>
              <w:t>Percent of 1796 kt CO</w:t>
            </w:r>
            <w:r w:rsidRPr="00BD16B4">
              <w:rPr>
                <w:rFonts w:cs="Calibri"/>
                <w:szCs w:val="18"/>
                <w:vertAlign w:val="subscript"/>
              </w:rPr>
              <w:t>2</w:t>
            </w:r>
            <w:r w:rsidRPr="00BD16B4">
              <w:rPr>
                <w:rFonts w:cs="Calibri"/>
                <w:szCs w:val="18"/>
              </w:rPr>
              <w:t>-e baseline*</w:t>
            </w:r>
          </w:p>
        </w:tc>
        <w:tc>
          <w:tcPr>
            <w:tcW w:w="2405" w:type="dxa"/>
            <w:noWrap/>
          </w:tcPr>
          <w:p w14:paraId="675E5D50" w14:textId="740D8A64" w:rsidR="00533D32" w:rsidRPr="00BD16B4" w:rsidRDefault="00533D32" w:rsidP="00C87B45">
            <w:pPr>
              <w:pStyle w:val="TableText"/>
              <w:spacing w:before="40" w:after="40"/>
              <w:rPr>
                <w:rFonts w:cs="Calibri"/>
                <w:szCs w:val="18"/>
              </w:rPr>
            </w:pPr>
            <w:r w:rsidRPr="00BD16B4">
              <w:rPr>
                <w:rFonts w:cs="Calibri"/>
                <w:szCs w:val="18"/>
              </w:rPr>
              <w:t>WEM/WAM/Low</w:t>
            </w:r>
            <w:r w:rsidR="00527360" w:rsidRPr="00BD16B4">
              <w:rPr>
                <w:rFonts w:cs="Calibri"/>
                <w:szCs w:val="18"/>
              </w:rPr>
              <w:t>/High</w:t>
            </w:r>
          </w:p>
        </w:tc>
        <w:tc>
          <w:tcPr>
            <w:tcW w:w="760" w:type="dxa"/>
            <w:noWrap/>
          </w:tcPr>
          <w:p w14:paraId="2A2EC30B"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5EFD55EF"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37D6A2F7"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4036C236"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0FC55B5A"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214E34FC"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50535E3E"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shd w:val="clear" w:color="auto" w:fill="D2DDE1" w:themeFill="background2"/>
            <w:noWrap/>
          </w:tcPr>
          <w:p w14:paraId="2953614B" w14:textId="77777777" w:rsidR="00533D32" w:rsidRPr="00BD16B4" w:rsidRDefault="00533D32" w:rsidP="00C87B45">
            <w:pPr>
              <w:pStyle w:val="TableText"/>
              <w:spacing w:before="40" w:after="40"/>
              <w:jc w:val="center"/>
              <w:rPr>
                <w:rFonts w:cs="Calibri"/>
                <w:szCs w:val="18"/>
              </w:rPr>
            </w:pPr>
            <w:r w:rsidRPr="00BD16B4">
              <w:rPr>
                <w:rFonts w:cs="Calibri"/>
                <w:szCs w:val="18"/>
              </w:rPr>
              <w:t>47.7%</w:t>
            </w:r>
          </w:p>
        </w:tc>
        <w:tc>
          <w:tcPr>
            <w:tcW w:w="892" w:type="dxa"/>
            <w:shd w:val="clear" w:color="auto" w:fill="D2DDE1" w:themeFill="background2"/>
            <w:noWrap/>
          </w:tcPr>
          <w:p w14:paraId="7EC83BE1" w14:textId="77777777" w:rsidR="00533D32" w:rsidRPr="00BD16B4" w:rsidRDefault="00533D32" w:rsidP="00C87B45">
            <w:pPr>
              <w:pStyle w:val="TableText"/>
              <w:spacing w:before="40" w:after="40"/>
              <w:jc w:val="center"/>
              <w:rPr>
                <w:rFonts w:cs="Calibri"/>
                <w:szCs w:val="18"/>
              </w:rPr>
            </w:pPr>
            <w:r w:rsidRPr="00BD16B4">
              <w:rPr>
                <w:rFonts w:cs="Calibri"/>
                <w:szCs w:val="18"/>
              </w:rPr>
              <w:t>29.8%</w:t>
            </w:r>
          </w:p>
        </w:tc>
        <w:tc>
          <w:tcPr>
            <w:tcW w:w="892" w:type="dxa"/>
            <w:shd w:val="clear" w:color="auto" w:fill="D2DDE1" w:themeFill="background2"/>
            <w:noWrap/>
          </w:tcPr>
          <w:p w14:paraId="62AE2B6F" w14:textId="77777777" w:rsidR="00533D32" w:rsidRPr="00BD16B4" w:rsidRDefault="00533D32" w:rsidP="00C87B45">
            <w:pPr>
              <w:pStyle w:val="TableText"/>
              <w:spacing w:before="40" w:after="40"/>
              <w:jc w:val="center"/>
              <w:rPr>
                <w:rFonts w:cs="Calibri"/>
                <w:szCs w:val="18"/>
              </w:rPr>
            </w:pPr>
            <w:r w:rsidRPr="00BD16B4">
              <w:rPr>
                <w:rFonts w:cs="Calibri"/>
                <w:szCs w:val="18"/>
              </w:rPr>
              <w:t>19.4%</w:t>
            </w:r>
          </w:p>
        </w:tc>
      </w:tr>
      <w:tr w:rsidR="00533D32" w:rsidRPr="00BD16B4" w14:paraId="3A7AA8B1" w14:textId="77777777" w:rsidTr="00315977">
        <w:tc>
          <w:tcPr>
            <w:tcW w:w="1928" w:type="dxa"/>
            <w:vMerge w:val="restart"/>
            <w:noWrap/>
          </w:tcPr>
          <w:p w14:paraId="7EA3BE67" w14:textId="77777777" w:rsidR="00533D32" w:rsidRPr="00BD16B4" w:rsidRDefault="00533D32" w:rsidP="00C87B45">
            <w:pPr>
              <w:pStyle w:val="TableText"/>
              <w:spacing w:before="40" w:after="40"/>
              <w:rPr>
                <w:rFonts w:cs="Calibri"/>
                <w:bCs/>
                <w:szCs w:val="18"/>
              </w:rPr>
            </w:pPr>
            <w:r w:rsidRPr="00BD16B4">
              <w:rPr>
                <w:rFonts w:cs="Calibri"/>
                <w:bCs/>
                <w:szCs w:val="18"/>
              </w:rPr>
              <w:t>GWP limits on new pre-charged equipment</w:t>
            </w:r>
          </w:p>
        </w:tc>
        <w:tc>
          <w:tcPr>
            <w:tcW w:w="1474" w:type="dxa"/>
            <w:vMerge w:val="restart"/>
            <w:noWrap/>
            <w:tcMar>
              <w:left w:w="57" w:type="dxa"/>
            </w:tcMar>
          </w:tcPr>
          <w:p w14:paraId="6ACC7C5D" w14:textId="77777777" w:rsidR="00533D32" w:rsidRPr="00BD16B4" w:rsidRDefault="00533D32" w:rsidP="00C87B45">
            <w:pPr>
              <w:pStyle w:val="TableText"/>
              <w:spacing w:before="40" w:after="40"/>
              <w:rPr>
                <w:rFonts w:cs="Calibri"/>
                <w:szCs w:val="18"/>
              </w:rPr>
            </w:pPr>
          </w:p>
        </w:tc>
        <w:tc>
          <w:tcPr>
            <w:tcW w:w="2405" w:type="dxa"/>
            <w:noWrap/>
          </w:tcPr>
          <w:p w14:paraId="41CBDADF" w14:textId="12185877" w:rsidR="00533D32" w:rsidRPr="00BD16B4" w:rsidRDefault="00533D32" w:rsidP="00C87B45">
            <w:pPr>
              <w:pStyle w:val="TableText"/>
              <w:spacing w:before="40" w:after="40"/>
              <w:rPr>
                <w:rFonts w:cs="Calibri"/>
                <w:szCs w:val="18"/>
              </w:rPr>
            </w:pPr>
            <w:r w:rsidRPr="00BD16B4">
              <w:rPr>
                <w:rFonts w:cs="Calibri"/>
                <w:szCs w:val="18"/>
              </w:rPr>
              <w:t>WEM/Low</w:t>
            </w:r>
            <w:r w:rsidR="003378A7" w:rsidRPr="00BD16B4">
              <w:rPr>
                <w:rFonts w:cs="Calibri"/>
                <w:szCs w:val="18"/>
              </w:rPr>
              <w:t>/High</w:t>
            </w:r>
          </w:p>
        </w:tc>
        <w:tc>
          <w:tcPr>
            <w:tcW w:w="760" w:type="dxa"/>
            <w:noWrap/>
          </w:tcPr>
          <w:p w14:paraId="449863D2"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253A3BB8"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4611BFCF"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31F84A5B"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1D495CF4"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227FB297"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17F31C4E"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shd w:val="clear" w:color="auto" w:fill="D2DDE1" w:themeFill="background2"/>
            <w:noWrap/>
          </w:tcPr>
          <w:p w14:paraId="6491A0D2"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shd w:val="clear" w:color="auto" w:fill="D2DDE1" w:themeFill="background2"/>
            <w:noWrap/>
          </w:tcPr>
          <w:p w14:paraId="41D372E1"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shd w:val="clear" w:color="auto" w:fill="D2DDE1" w:themeFill="background2"/>
            <w:noWrap/>
          </w:tcPr>
          <w:p w14:paraId="67EAEC5D"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r>
      <w:tr w:rsidR="00533D32" w:rsidRPr="00BD16B4" w14:paraId="62C700B4" w14:textId="77777777" w:rsidTr="00315977">
        <w:tc>
          <w:tcPr>
            <w:tcW w:w="1928" w:type="dxa"/>
            <w:vMerge/>
            <w:noWrap/>
          </w:tcPr>
          <w:p w14:paraId="0EA66047" w14:textId="77777777" w:rsidR="00533D32" w:rsidRPr="00BD16B4" w:rsidRDefault="00533D32" w:rsidP="00C87B45">
            <w:pPr>
              <w:pStyle w:val="TableText"/>
              <w:spacing w:before="40" w:after="40"/>
              <w:rPr>
                <w:rFonts w:cs="Calibri"/>
                <w:bCs/>
                <w:szCs w:val="18"/>
              </w:rPr>
            </w:pPr>
          </w:p>
        </w:tc>
        <w:tc>
          <w:tcPr>
            <w:tcW w:w="1474" w:type="dxa"/>
            <w:vMerge/>
            <w:noWrap/>
            <w:tcMar>
              <w:left w:w="57" w:type="dxa"/>
            </w:tcMar>
          </w:tcPr>
          <w:p w14:paraId="1FC82C55" w14:textId="77777777" w:rsidR="00533D32" w:rsidRPr="00BD16B4" w:rsidRDefault="00533D32" w:rsidP="00C87B45">
            <w:pPr>
              <w:pStyle w:val="TableText"/>
              <w:spacing w:before="40" w:after="40"/>
              <w:rPr>
                <w:rFonts w:cs="Calibri"/>
                <w:szCs w:val="18"/>
              </w:rPr>
            </w:pPr>
          </w:p>
        </w:tc>
        <w:tc>
          <w:tcPr>
            <w:tcW w:w="2405" w:type="dxa"/>
            <w:noWrap/>
          </w:tcPr>
          <w:p w14:paraId="5D59769E" w14:textId="77777777" w:rsidR="00533D32" w:rsidRPr="00BD16B4" w:rsidRDefault="00533D32" w:rsidP="00C87B45">
            <w:pPr>
              <w:pStyle w:val="TableText"/>
              <w:spacing w:before="40" w:after="40"/>
              <w:rPr>
                <w:rFonts w:cs="Calibri"/>
                <w:szCs w:val="18"/>
              </w:rPr>
            </w:pPr>
            <w:r w:rsidRPr="00BD16B4">
              <w:rPr>
                <w:rFonts w:cs="Calibri"/>
                <w:szCs w:val="18"/>
              </w:rPr>
              <w:t>WAM</w:t>
            </w:r>
          </w:p>
        </w:tc>
        <w:tc>
          <w:tcPr>
            <w:tcW w:w="760" w:type="dxa"/>
            <w:noWrap/>
          </w:tcPr>
          <w:p w14:paraId="4C287F03"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489D7A58"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5C6B5D28"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1DE1A38C"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744BE76E"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1EFA624C"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0699B07D"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shd w:val="clear" w:color="auto" w:fill="D2DDE1" w:themeFill="background2"/>
            <w:noWrap/>
          </w:tcPr>
          <w:p w14:paraId="51146BB3" w14:textId="77777777" w:rsidR="00533D32" w:rsidRPr="00BD16B4" w:rsidRDefault="00533D32" w:rsidP="00C87B45">
            <w:pPr>
              <w:pStyle w:val="TableText"/>
              <w:spacing w:before="40" w:after="40"/>
              <w:jc w:val="center"/>
              <w:rPr>
                <w:rFonts w:cs="Calibri"/>
                <w:szCs w:val="18"/>
              </w:rPr>
            </w:pPr>
            <w:r w:rsidRPr="00BD16B4">
              <w:rPr>
                <w:rFonts w:cs="Calibri"/>
                <w:szCs w:val="18"/>
              </w:rPr>
              <w:t>Yes</w:t>
            </w:r>
          </w:p>
        </w:tc>
        <w:tc>
          <w:tcPr>
            <w:tcW w:w="892" w:type="dxa"/>
            <w:shd w:val="clear" w:color="auto" w:fill="D2DDE1" w:themeFill="background2"/>
            <w:noWrap/>
          </w:tcPr>
          <w:p w14:paraId="17748606" w14:textId="77777777" w:rsidR="00533D32" w:rsidRPr="00BD16B4" w:rsidRDefault="00533D32" w:rsidP="00C87B45">
            <w:pPr>
              <w:pStyle w:val="TableText"/>
              <w:spacing w:before="40" w:after="40"/>
              <w:jc w:val="center"/>
              <w:rPr>
                <w:rFonts w:cs="Calibri"/>
                <w:szCs w:val="18"/>
              </w:rPr>
            </w:pPr>
            <w:r w:rsidRPr="00BD16B4">
              <w:rPr>
                <w:rFonts w:cs="Calibri"/>
                <w:szCs w:val="18"/>
              </w:rPr>
              <w:t>Yes</w:t>
            </w:r>
          </w:p>
        </w:tc>
        <w:tc>
          <w:tcPr>
            <w:tcW w:w="892" w:type="dxa"/>
            <w:shd w:val="clear" w:color="auto" w:fill="D2DDE1" w:themeFill="background2"/>
            <w:noWrap/>
          </w:tcPr>
          <w:p w14:paraId="6C465F68" w14:textId="77777777" w:rsidR="00533D32" w:rsidRPr="00BD16B4" w:rsidRDefault="00533D32" w:rsidP="00C87B45">
            <w:pPr>
              <w:pStyle w:val="TableText"/>
              <w:spacing w:before="40" w:after="40"/>
              <w:jc w:val="center"/>
              <w:rPr>
                <w:rFonts w:cs="Calibri"/>
                <w:szCs w:val="18"/>
              </w:rPr>
            </w:pPr>
            <w:r w:rsidRPr="00BD16B4">
              <w:rPr>
                <w:rFonts w:cs="Calibri"/>
                <w:szCs w:val="18"/>
              </w:rPr>
              <w:t>Yes</w:t>
            </w:r>
          </w:p>
        </w:tc>
      </w:tr>
      <w:tr w:rsidR="00533D32" w:rsidRPr="00BD16B4" w14:paraId="2FD0024B" w14:textId="77777777" w:rsidTr="00315977">
        <w:tc>
          <w:tcPr>
            <w:tcW w:w="1928" w:type="dxa"/>
            <w:vMerge w:val="restart"/>
            <w:noWrap/>
          </w:tcPr>
          <w:p w14:paraId="0772F733" w14:textId="77777777" w:rsidR="00533D32" w:rsidRPr="00BD16B4" w:rsidRDefault="00533D32" w:rsidP="00C87B45">
            <w:pPr>
              <w:pStyle w:val="TableText"/>
              <w:keepNext/>
              <w:spacing w:before="40" w:after="40"/>
              <w:rPr>
                <w:rFonts w:cs="Calibri"/>
                <w:bCs/>
                <w:szCs w:val="18"/>
              </w:rPr>
            </w:pPr>
            <w:r w:rsidRPr="00BD16B4">
              <w:rPr>
                <w:rFonts w:cs="Calibri"/>
                <w:bCs/>
                <w:szCs w:val="18"/>
              </w:rPr>
              <w:lastRenderedPageBreak/>
              <w:t>Refrigerants recovery rate</w:t>
            </w:r>
          </w:p>
        </w:tc>
        <w:tc>
          <w:tcPr>
            <w:tcW w:w="1474" w:type="dxa"/>
            <w:vMerge w:val="restart"/>
            <w:noWrap/>
            <w:tcMar>
              <w:left w:w="57" w:type="dxa"/>
            </w:tcMar>
          </w:tcPr>
          <w:p w14:paraId="60821207" w14:textId="77777777" w:rsidR="00533D32" w:rsidRPr="00BD16B4" w:rsidRDefault="00533D32" w:rsidP="00C87B45">
            <w:pPr>
              <w:pStyle w:val="TableText"/>
              <w:spacing w:before="40" w:after="40"/>
              <w:rPr>
                <w:rFonts w:cs="Calibri"/>
                <w:szCs w:val="18"/>
              </w:rPr>
            </w:pPr>
            <w:r w:rsidRPr="00BD16B4">
              <w:rPr>
                <w:rFonts w:cs="Calibri"/>
                <w:szCs w:val="18"/>
              </w:rPr>
              <w:t>Percent of retired volumes</w:t>
            </w:r>
          </w:p>
        </w:tc>
        <w:tc>
          <w:tcPr>
            <w:tcW w:w="2405" w:type="dxa"/>
            <w:noWrap/>
          </w:tcPr>
          <w:p w14:paraId="78FA80B7" w14:textId="77777777" w:rsidR="00533D32" w:rsidRPr="00BD16B4" w:rsidRDefault="00533D32" w:rsidP="00C87B45">
            <w:pPr>
              <w:pStyle w:val="TableText"/>
              <w:spacing w:before="40" w:after="40"/>
              <w:rPr>
                <w:rFonts w:cs="Calibri"/>
                <w:szCs w:val="18"/>
              </w:rPr>
            </w:pPr>
            <w:r w:rsidRPr="00BD16B4">
              <w:rPr>
                <w:rFonts w:cs="Calibri"/>
                <w:szCs w:val="18"/>
              </w:rPr>
              <w:t>WEM</w:t>
            </w:r>
          </w:p>
        </w:tc>
        <w:tc>
          <w:tcPr>
            <w:tcW w:w="760" w:type="dxa"/>
            <w:noWrap/>
          </w:tcPr>
          <w:p w14:paraId="3D28D515"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62834FFB"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62A049B7"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3A38E326"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336EF156"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422D437D"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5D82E4AE"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shd w:val="clear" w:color="auto" w:fill="D2DDE1" w:themeFill="background2"/>
            <w:noWrap/>
          </w:tcPr>
          <w:p w14:paraId="018BD1FD" w14:textId="77777777" w:rsidR="00533D32" w:rsidRPr="00BD16B4" w:rsidRDefault="00533D32" w:rsidP="00C87B45">
            <w:pPr>
              <w:pStyle w:val="TableText"/>
              <w:spacing w:before="40" w:after="40"/>
              <w:jc w:val="center"/>
              <w:rPr>
                <w:rFonts w:cs="Calibri"/>
                <w:szCs w:val="18"/>
              </w:rPr>
            </w:pPr>
            <w:r w:rsidRPr="00BD16B4">
              <w:rPr>
                <w:rFonts w:cs="Calibri"/>
                <w:szCs w:val="18"/>
              </w:rPr>
              <w:t>9%</w:t>
            </w:r>
          </w:p>
        </w:tc>
        <w:tc>
          <w:tcPr>
            <w:tcW w:w="892" w:type="dxa"/>
            <w:shd w:val="clear" w:color="auto" w:fill="D2DDE1" w:themeFill="background2"/>
            <w:noWrap/>
          </w:tcPr>
          <w:p w14:paraId="6C03842A" w14:textId="77777777" w:rsidR="00533D32" w:rsidRPr="00BD16B4" w:rsidRDefault="00533D32" w:rsidP="00C87B45">
            <w:pPr>
              <w:pStyle w:val="TableText"/>
              <w:spacing w:before="40" w:after="40"/>
              <w:jc w:val="center"/>
              <w:rPr>
                <w:rFonts w:cs="Calibri"/>
                <w:szCs w:val="18"/>
              </w:rPr>
            </w:pPr>
            <w:r w:rsidRPr="00BD16B4">
              <w:rPr>
                <w:rFonts w:cs="Calibri"/>
                <w:szCs w:val="18"/>
              </w:rPr>
              <w:t>10%</w:t>
            </w:r>
          </w:p>
        </w:tc>
        <w:tc>
          <w:tcPr>
            <w:tcW w:w="892" w:type="dxa"/>
            <w:shd w:val="clear" w:color="auto" w:fill="D2DDE1" w:themeFill="background2"/>
            <w:noWrap/>
          </w:tcPr>
          <w:p w14:paraId="5DF2345F" w14:textId="77777777" w:rsidR="00533D32" w:rsidRPr="00BD16B4" w:rsidRDefault="00533D32" w:rsidP="00C87B45">
            <w:pPr>
              <w:pStyle w:val="TableText"/>
              <w:spacing w:before="40" w:after="40"/>
              <w:jc w:val="center"/>
              <w:rPr>
                <w:rFonts w:cs="Calibri"/>
                <w:szCs w:val="18"/>
              </w:rPr>
            </w:pPr>
            <w:r w:rsidRPr="00BD16B4">
              <w:rPr>
                <w:rFonts w:cs="Calibri"/>
                <w:szCs w:val="18"/>
              </w:rPr>
              <w:t>12%</w:t>
            </w:r>
          </w:p>
        </w:tc>
      </w:tr>
      <w:tr w:rsidR="00533D32" w:rsidRPr="00BD16B4" w14:paraId="0F6147A7" w14:textId="77777777" w:rsidTr="00315977">
        <w:tc>
          <w:tcPr>
            <w:tcW w:w="1928" w:type="dxa"/>
            <w:vMerge/>
            <w:noWrap/>
          </w:tcPr>
          <w:p w14:paraId="59F4D2A8" w14:textId="77777777" w:rsidR="00533D32" w:rsidRPr="00BD16B4" w:rsidRDefault="00533D32" w:rsidP="00C87B45">
            <w:pPr>
              <w:pStyle w:val="TableText"/>
              <w:spacing w:before="40" w:after="40"/>
              <w:rPr>
                <w:rFonts w:cs="Calibri"/>
                <w:szCs w:val="18"/>
              </w:rPr>
            </w:pPr>
          </w:p>
        </w:tc>
        <w:tc>
          <w:tcPr>
            <w:tcW w:w="1474" w:type="dxa"/>
            <w:vMerge/>
            <w:noWrap/>
            <w:tcMar>
              <w:left w:w="57" w:type="dxa"/>
            </w:tcMar>
          </w:tcPr>
          <w:p w14:paraId="204267F3" w14:textId="77777777" w:rsidR="00533D32" w:rsidRPr="00BD16B4" w:rsidRDefault="00533D32" w:rsidP="00C87B45">
            <w:pPr>
              <w:pStyle w:val="TableText"/>
              <w:spacing w:before="40" w:after="40"/>
              <w:rPr>
                <w:rFonts w:cs="Calibri"/>
                <w:szCs w:val="18"/>
              </w:rPr>
            </w:pPr>
          </w:p>
        </w:tc>
        <w:tc>
          <w:tcPr>
            <w:tcW w:w="2405" w:type="dxa"/>
            <w:noWrap/>
          </w:tcPr>
          <w:p w14:paraId="2E9AA4DA" w14:textId="77777777" w:rsidR="00533D32" w:rsidRPr="00BD16B4" w:rsidRDefault="00533D32" w:rsidP="00C87B45">
            <w:pPr>
              <w:pStyle w:val="TableText"/>
              <w:spacing w:before="40" w:after="40"/>
              <w:rPr>
                <w:rFonts w:cs="Calibri"/>
                <w:szCs w:val="18"/>
              </w:rPr>
            </w:pPr>
            <w:r w:rsidRPr="00BD16B4">
              <w:rPr>
                <w:rFonts w:cs="Calibri"/>
                <w:szCs w:val="18"/>
              </w:rPr>
              <w:t>High</w:t>
            </w:r>
          </w:p>
        </w:tc>
        <w:tc>
          <w:tcPr>
            <w:tcW w:w="760" w:type="dxa"/>
            <w:noWrap/>
          </w:tcPr>
          <w:p w14:paraId="7DB31549"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5A448668"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11E52B69"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1FBF16A4"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00D44D9A"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6BB1AD03"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noWrap/>
          </w:tcPr>
          <w:p w14:paraId="1A474268" w14:textId="77777777" w:rsidR="00533D32" w:rsidRPr="00BD16B4" w:rsidRDefault="00533D32" w:rsidP="00C87B45">
            <w:pPr>
              <w:pStyle w:val="TableText"/>
              <w:spacing w:before="40" w:after="40"/>
              <w:jc w:val="center"/>
              <w:rPr>
                <w:rFonts w:cs="Calibri"/>
                <w:szCs w:val="18"/>
              </w:rPr>
            </w:pPr>
            <w:r w:rsidRPr="00BD16B4">
              <w:rPr>
                <w:rFonts w:cs="Calibri"/>
                <w:szCs w:val="18"/>
              </w:rPr>
              <w:t>NA</w:t>
            </w:r>
          </w:p>
        </w:tc>
        <w:tc>
          <w:tcPr>
            <w:tcW w:w="892" w:type="dxa"/>
            <w:shd w:val="clear" w:color="auto" w:fill="D2DDE1" w:themeFill="background2"/>
            <w:noWrap/>
          </w:tcPr>
          <w:p w14:paraId="3ACB479A" w14:textId="77777777" w:rsidR="00533D32" w:rsidRPr="00BD16B4" w:rsidRDefault="00533D32" w:rsidP="00C87B45">
            <w:pPr>
              <w:pStyle w:val="TableText"/>
              <w:spacing w:before="40" w:after="40"/>
              <w:jc w:val="center"/>
              <w:rPr>
                <w:rFonts w:cs="Calibri"/>
                <w:szCs w:val="18"/>
              </w:rPr>
            </w:pPr>
            <w:r w:rsidRPr="00BD16B4">
              <w:rPr>
                <w:rFonts w:cs="Calibri"/>
                <w:szCs w:val="18"/>
              </w:rPr>
              <w:t>9%</w:t>
            </w:r>
          </w:p>
        </w:tc>
        <w:tc>
          <w:tcPr>
            <w:tcW w:w="892" w:type="dxa"/>
            <w:shd w:val="clear" w:color="auto" w:fill="D2DDE1" w:themeFill="background2"/>
            <w:noWrap/>
          </w:tcPr>
          <w:p w14:paraId="2386C526" w14:textId="77777777" w:rsidR="00533D32" w:rsidRPr="00BD16B4" w:rsidRDefault="00533D32" w:rsidP="00C87B45">
            <w:pPr>
              <w:pStyle w:val="TableText"/>
              <w:spacing w:before="40" w:after="40"/>
              <w:jc w:val="center"/>
              <w:rPr>
                <w:rFonts w:cs="Calibri"/>
                <w:szCs w:val="18"/>
              </w:rPr>
            </w:pPr>
            <w:r w:rsidRPr="00BD16B4">
              <w:rPr>
                <w:rFonts w:cs="Calibri"/>
                <w:szCs w:val="18"/>
              </w:rPr>
              <w:t>12%</w:t>
            </w:r>
          </w:p>
        </w:tc>
        <w:tc>
          <w:tcPr>
            <w:tcW w:w="892" w:type="dxa"/>
            <w:shd w:val="clear" w:color="auto" w:fill="D2DDE1" w:themeFill="background2"/>
            <w:noWrap/>
          </w:tcPr>
          <w:p w14:paraId="0446135B" w14:textId="77777777" w:rsidR="00533D32" w:rsidRPr="00BD16B4" w:rsidRDefault="00533D32" w:rsidP="00C87B45">
            <w:pPr>
              <w:pStyle w:val="TableText"/>
              <w:spacing w:before="40" w:after="40"/>
              <w:jc w:val="center"/>
              <w:rPr>
                <w:rFonts w:cs="Calibri"/>
                <w:szCs w:val="18"/>
              </w:rPr>
            </w:pPr>
            <w:r w:rsidRPr="00BD16B4">
              <w:rPr>
                <w:rFonts w:cs="Calibri"/>
                <w:szCs w:val="18"/>
              </w:rPr>
              <w:t>14%</w:t>
            </w:r>
          </w:p>
        </w:tc>
      </w:tr>
      <w:tr w:rsidR="00533D32" w:rsidRPr="00BD16B4" w14:paraId="39EC1666" w14:textId="77777777" w:rsidTr="00315977">
        <w:tc>
          <w:tcPr>
            <w:tcW w:w="1928" w:type="dxa"/>
            <w:vMerge/>
            <w:noWrap/>
          </w:tcPr>
          <w:p w14:paraId="220690FC" w14:textId="77777777" w:rsidR="00533D32" w:rsidRPr="00BD16B4" w:rsidRDefault="00533D32" w:rsidP="00C87B45">
            <w:pPr>
              <w:pStyle w:val="TableText"/>
              <w:spacing w:before="40" w:after="40"/>
              <w:rPr>
                <w:rFonts w:cs="Calibri"/>
                <w:color w:val="000000"/>
                <w:szCs w:val="18"/>
              </w:rPr>
            </w:pPr>
          </w:p>
        </w:tc>
        <w:tc>
          <w:tcPr>
            <w:tcW w:w="1474" w:type="dxa"/>
            <w:vMerge/>
            <w:noWrap/>
            <w:tcMar>
              <w:left w:w="57" w:type="dxa"/>
            </w:tcMar>
          </w:tcPr>
          <w:p w14:paraId="70F4D9AD" w14:textId="77777777" w:rsidR="00533D32" w:rsidRPr="00BD16B4" w:rsidRDefault="00533D32" w:rsidP="00C87B45">
            <w:pPr>
              <w:pStyle w:val="TableText"/>
              <w:spacing w:before="40" w:after="40"/>
              <w:rPr>
                <w:rFonts w:cs="Calibri"/>
                <w:color w:val="000000"/>
                <w:szCs w:val="18"/>
              </w:rPr>
            </w:pPr>
          </w:p>
        </w:tc>
        <w:tc>
          <w:tcPr>
            <w:tcW w:w="2405" w:type="dxa"/>
            <w:noWrap/>
          </w:tcPr>
          <w:p w14:paraId="7C4FC2A5" w14:textId="77777777" w:rsidR="00533D32" w:rsidRPr="00BD16B4" w:rsidRDefault="00533D32" w:rsidP="00C87B45">
            <w:pPr>
              <w:pStyle w:val="TableText"/>
              <w:spacing w:before="40" w:after="40"/>
              <w:rPr>
                <w:rFonts w:cs="Calibri"/>
                <w:color w:val="000000"/>
                <w:szCs w:val="18"/>
              </w:rPr>
            </w:pPr>
            <w:r w:rsidRPr="00BD16B4">
              <w:rPr>
                <w:rFonts w:cs="Calibri"/>
                <w:szCs w:val="18"/>
              </w:rPr>
              <w:t>Low</w:t>
            </w:r>
          </w:p>
        </w:tc>
        <w:tc>
          <w:tcPr>
            <w:tcW w:w="760" w:type="dxa"/>
            <w:noWrap/>
          </w:tcPr>
          <w:p w14:paraId="1AEB3D70"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4DA0B127"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28B8F93D"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5B3E6B5B"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04A965DE"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71B5A706"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60D585EB"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shd w:val="clear" w:color="auto" w:fill="D2DDE1" w:themeFill="background2"/>
            <w:noWrap/>
          </w:tcPr>
          <w:p w14:paraId="7A7F6235"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9%</w:t>
            </w:r>
          </w:p>
        </w:tc>
        <w:tc>
          <w:tcPr>
            <w:tcW w:w="892" w:type="dxa"/>
            <w:shd w:val="clear" w:color="auto" w:fill="D2DDE1" w:themeFill="background2"/>
            <w:noWrap/>
          </w:tcPr>
          <w:p w14:paraId="03E7834B"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10%</w:t>
            </w:r>
          </w:p>
        </w:tc>
        <w:tc>
          <w:tcPr>
            <w:tcW w:w="892" w:type="dxa"/>
            <w:shd w:val="clear" w:color="auto" w:fill="D2DDE1" w:themeFill="background2"/>
            <w:noWrap/>
          </w:tcPr>
          <w:p w14:paraId="63A4876C"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11%</w:t>
            </w:r>
          </w:p>
        </w:tc>
      </w:tr>
      <w:tr w:rsidR="00533D32" w:rsidRPr="00BD16B4" w14:paraId="5FF1B2C7" w14:textId="77777777" w:rsidTr="00315977">
        <w:tc>
          <w:tcPr>
            <w:tcW w:w="1928" w:type="dxa"/>
            <w:vMerge/>
            <w:noWrap/>
          </w:tcPr>
          <w:p w14:paraId="31240A91" w14:textId="77777777" w:rsidR="00533D32" w:rsidRPr="00BD16B4" w:rsidRDefault="00533D32" w:rsidP="00C87B45">
            <w:pPr>
              <w:pStyle w:val="TableText"/>
              <w:spacing w:before="40" w:after="40"/>
              <w:rPr>
                <w:rFonts w:cs="Calibri"/>
                <w:color w:val="000000"/>
                <w:szCs w:val="18"/>
              </w:rPr>
            </w:pPr>
          </w:p>
        </w:tc>
        <w:tc>
          <w:tcPr>
            <w:tcW w:w="1474" w:type="dxa"/>
            <w:vMerge/>
            <w:noWrap/>
            <w:tcMar>
              <w:left w:w="57" w:type="dxa"/>
            </w:tcMar>
          </w:tcPr>
          <w:p w14:paraId="4EB62967" w14:textId="77777777" w:rsidR="00533D32" w:rsidRPr="00BD16B4" w:rsidRDefault="00533D32" w:rsidP="00C87B45">
            <w:pPr>
              <w:pStyle w:val="TableText"/>
              <w:spacing w:before="40" w:after="40"/>
              <w:rPr>
                <w:rFonts w:cs="Calibri"/>
                <w:color w:val="000000"/>
                <w:szCs w:val="18"/>
              </w:rPr>
            </w:pPr>
          </w:p>
        </w:tc>
        <w:tc>
          <w:tcPr>
            <w:tcW w:w="2405" w:type="dxa"/>
            <w:noWrap/>
          </w:tcPr>
          <w:p w14:paraId="3D5F2E42" w14:textId="77777777" w:rsidR="00533D32" w:rsidRPr="00BD16B4" w:rsidRDefault="00533D32" w:rsidP="00C87B45">
            <w:pPr>
              <w:pStyle w:val="TableText"/>
              <w:spacing w:before="40" w:after="40"/>
              <w:rPr>
                <w:rFonts w:cs="Calibri"/>
                <w:color w:val="000000"/>
                <w:szCs w:val="18"/>
              </w:rPr>
            </w:pPr>
            <w:r w:rsidRPr="00BD16B4">
              <w:rPr>
                <w:rFonts w:cs="Calibri"/>
                <w:szCs w:val="18"/>
              </w:rPr>
              <w:t>WAM</w:t>
            </w:r>
          </w:p>
        </w:tc>
        <w:tc>
          <w:tcPr>
            <w:tcW w:w="760" w:type="dxa"/>
            <w:noWrap/>
          </w:tcPr>
          <w:p w14:paraId="077E6BA7"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17F498B2"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1D92B2E4"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1FE5A095"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474E401B"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1FFE2CB1"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750556D1"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shd w:val="clear" w:color="auto" w:fill="D2DDE1" w:themeFill="background2"/>
            <w:noWrap/>
          </w:tcPr>
          <w:p w14:paraId="68E08BEE"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12%</w:t>
            </w:r>
          </w:p>
        </w:tc>
        <w:tc>
          <w:tcPr>
            <w:tcW w:w="892" w:type="dxa"/>
            <w:shd w:val="clear" w:color="auto" w:fill="D2DDE1" w:themeFill="background2"/>
            <w:noWrap/>
          </w:tcPr>
          <w:p w14:paraId="09651AFB"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12%</w:t>
            </w:r>
          </w:p>
        </w:tc>
        <w:tc>
          <w:tcPr>
            <w:tcW w:w="892" w:type="dxa"/>
            <w:shd w:val="clear" w:color="auto" w:fill="D2DDE1" w:themeFill="background2"/>
            <w:noWrap/>
          </w:tcPr>
          <w:p w14:paraId="06C8C9C8" w14:textId="77777777" w:rsidR="00533D32" w:rsidRPr="00BD16B4" w:rsidRDefault="00533D32" w:rsidP="00C87B45">
            <w:pPr>
              <w:pStyle w:val="TableText"/>
              <w:spacing w:before="40" w:after="40"/>
              <w:jc w:val="center"/>
              <w:rPr>
                <w:rFonts w:cs="Calibri"/>
                <w:color w:val="000000"/>
                <w:szCs w:val="18"/>
              </w:rPr>
            </w:pPr>
            <w:r w:rsidRPr="00BD16B4">
              <w:rPr>
                <w:rFonts w:cs="Calibri"/>
                <w:szCs w:val="18"/>
              </w:rPr>
              <w:t>18%</w:t>
            </w:r>
          </w:p>
        </w:tc>
      </w:tr>
      <w:tr w:rsidR="00533D32" w:rsidRPr="00BD16B4" w14:paraId="220D07FB" w14:textId="77777777" w:rsidTr="00315977">
        <w:tc>
          <w:tcPr>
            <w:tcW w:w="1928" w:type="dxa"/>
            <w:noWrap/>
            <w:hideMark/>
          </w:tcPr>
          <w:p w14:paraId="5664742D"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Effective carbon price (discounted carbon price for pricing) (Agriculture)</w:t>
            </w:r>
          </w:p>
        </w:tc>
        <w:tc>
          <w:tcPr>
            <w:tcW w:w="1474" w:type="dxa"/>
            <w:noWrap/>
            <w:tcMar>
              <w:left w:w="57" w:type="dxa"/>
            </w:tcMar>
            <w:hideMark/>
          </w:tcPr>
          <w:p w14:paraId="66C9D429"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$NZ</w:t>
            </w:r>
          </w:p>
        </w:tc>
        <w:tc>
          <w:tcPr>
            <w:tcW w:w="2405" w:type="dxa"/>
            <w:noWrap/>
            <w:hideMark/>
          </w:tcPr>
          <w:p w14:paraId="67DD25B9"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WEM/WOM/WAM</w:t>
            </w:r>
          </w:p>
        </w:tc>
        <w:tc>
          <w:tcPr>
            <w:tcW w:w="760" w:type="dxa"/>
            <w:noWrap/>
          </w:tcPr>
          <w:p w14:paraId="29FD1B93"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6E17A96C"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1CCB77F7"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44C60F94" w14:textId="77777777" w:rsidR="00533D32" w:rsidRPr="00BD16B4" w:rsidRDefault="00533D32" w:rsidP="00C87B45">
            <w:pPr>
              <w:pStyle w:val="TableText"/>
              <w:spacing w:before="40" w:after="40"/>
              <w:jc w:val="center"/>
              <w:rPr>
                <w:rFonts w:cs="Calibri"/>
                <w:szCs w:val="18"/>
              </w:rPr>
            </w:pPr>
            <w:r w:rsidRPr="00BD16B4">
              <w:rPr>
                <w:rFonts w:cs="Calibri"/>
                <w:color w:val="000000"/>
                <w:szCs w:val="18"/>
              </w:rPr>
              <w:t>NA</w:t>
            </w:r>
          </w:p>
        </w:tc>
        <w:tc>
          <w:tcPr>
            <w:tcW w:w="892" w:type="dxa"/>
            <w:noWrap/>
          </w:tcPr>
          <w:p w14:paraId="7D507A3A"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136DFEA1"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noWrap/>
          </w:tcPr>
          <w:p w14:paraId="7DCE2E31"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NA</w:t>
            </w:r>
          </w:p>
        </w:tc>
        <w:tc>
          <w:tcPr>
            <w:tcW w:w="892" w:type="dxa"/>
            <w:shd w:val="clear" w:color="auto" w:fill="D2DDE1" w:themeFill="background2"/>
            <w:noWrap/>
            <w:hideMark/>
          </w:tcPr>
          <w:p w14:paraId="69CF077B" w14:textId="77777777" w:rsidR="00533D32" w:rsidRPr="00BD16B4" w:rsidRDefault="00533D32" w:rsidP="00C87B45">
            <w:pPr>
              <w:pStyle w:val="TableText"/>
              <w:spacing w:before="40" w:after="40"/>
              <w:jc w:val="center"/>
              <w:rPr>
                <w:rFonts w:cs="Calibri"/>
                <w:color w:val="000000"/>
                <w:szCs w:val="18"/>
                <w:highlight w:val="yellow"/>
              </w:rPr>
            </w:pPr>
            <w:r w:rsidRPr="00BD16B4">
              <w:rPr>
                <w:rFonts w:cs="Calibri"/>
                <w:szCs w:val="18"/>
              </w:rPr>
              <w:t>$64</w:t>
            </w:r>
            <w:r w:rsidRPr="00BD16B4">
              <w:rPr>
                <w:rFonts w:cs="Calibri"/>
                <w:szCs w:val="18"/>
              </w:rPr>
              <w:br/>
              <w:t>($3.20)</w:t>
            </w:r>
          </w:p>
        </w:tc>
        <w:tc>
          <w:tcPr>
            <w:tcW w:w="892" w:type="dxa"/>
            <w:shd w:val="clear" w:color="auto" w:fill="D2DDE1" w:themeFill="background2"/>
            <w:noWrap/>
            <w:hideMark/>
          </w:tcPr>
          <w:p w14:paraId="465EF949" w14:textId="77777777" w:rsidR="00533D32" w:rsidRPr="00BD16B4" w:rsidRDefault="00533D32" w:rsidP="00C87B45">
            <w:pPr>
              <w:pStyle w:val="TableText"/>
              <w:spacing w:before="40" w:after="40"/>
              <w:jc w:val="center"/>
              <w:rPr>
                <w:rFonts w:cs="Calibri"/>
                <w:color w:val="000000"/>
                <w:szCs w:val="18"/>
                <w:highlight w:val="yellow"/>
              </w:rPr>
            </w:pPr>
            <w:r w:rsidRPr="00BD16B4">
              <w:rPr>
                <w:rFonts w:cs="Calibri"/>
                <w:szCs w:val="18"/>
              </w:rPr>
              <w:t>$97</w:t>
            </w:r>
            <w:r w:rsidRPr="00BD16B4">
              <w:rPr>
                <w:rFonts w:cs="Calibri"/>
                <w:szCs w:val="18"/>
              </w:rPr>
              <w:br/>
              <w:t>($9.72)</w:t>
            </w:r>
          </w:p>
        </w:tc>
        <w:tc>
          <w:tcPr>
            <w:tcW w:w="892" w:type="dxa"/>
            <w:shd w:val="clear" w:color="auto" w:fill="D2DDE1" w:themeFill="background2"/>
            <w:noWrap/>
            <w:hideMark/>
          </w:tcPr>
          <w:p w14:paraId="448E4C2C" w14:textId="77777777" w:rsidR="00533D32" w:rsidRPr="00BD16B4" w:rsidRDefault="00533D32" w:rsidP="00C87B45">
            <w:pPr>
              <w:pStyle w:val="TableText"/>
              <w:spacing w:before="40" w:after="40"/>
              <w:jc w:val="center"/>
              <w:rPr>
                <w:rFonts w:cs="Calibri"/>
                <w:color w:val="000000"/>
                <w:szCs w:val="18"/>
                <w:highlight w:val="yellow"/>
              </w:rPr>
            </w:pPr>
            <w:r w:rsidRPr="00BD16B4">
              <w:rPr>
                <w:rFonts w:cs="Calibri"/>
                <w:szCs w:val="18"/>
              </w:rPr>
              <w:t>$115</w:t>
            </w:r>
            <w:r w:rsidRPr="00BD16B4">
              <w:rPr>
                <w:rFonts w:cs="Calibri"/>
                <w:szCs w:val="18"/>
              </w:rPr>
              <w:br/>
              <w:t>($23.05)</w:t>
            </w:r>
          </w:p>
        </w:tc>
      </w:tr>
      <w:tr w:rsidR="00533D32" w:rsidRPr="00BD16B4" w14:paraId="2C670F83" w14:textId="77777777" w:rsidTr="00315977">
        <w:tc>
          <w:tcPr>
            <w:tcW w:w="1928" w:type="dxa"/>
            <w:vMerge w:val="restart"/>
            <w:noWrap/>
            <w:hideMark/>
          </w:tcPr>
          <w:p w14:paraId="68F7F369"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Dairy area</w:t>
            </w:r>
          </w:p>
        </w:tc>
        <w:tc>
          <w:tcPr>
            <w:tcW w:w="1474" w:type="dxa"/>
            <w:vMerge w:val="restart"/>
            <w:tcMar>
              <w:left w:w="57" w:type="dxa"/>
            </w:tcMar>
            <w:hideMark/>
          </w:tcPr>
          <w:p w14:paraId="0B41EB13"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thousand hectares</w:t>
            </w:r>
          </w:p>
        </w:tc>
        <w:tc>
          <w:tcPr>
            <w:tcW w:w="2405" w:type="dxa"/>
            <w:noWrap/>
            <w:hideMark/>
          </w:tcPr>
          <w:p w14:paraId="7AE3E8E7"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WEM/WAM</w:t>
            </w:r>
          </w:p>
        </w:tc>
        <w:tc>
          <w:tcPr>
            <w:tcW w:w="760" w:type="dxa"/>
            <w:noWrap/>
            <w:hideMark/>
          </w:tcPr>
          <w:p w14:paraId="146ADE2E"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1,024</w:t>
            </w:r>
          </w:p>
        </w:tc>
        <w:tc>
          <w:tcPr>
            <w:tcW w:w="892" w:type="dxa"/>
            <w:noWrap/>
            <w:hideMark/>
          </w:tcPr>
          <w:p w14:paraId="62DA52B7"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1,208</w:t>
            </w:r>
          </w:p>
        </w:tc>
        <w:tc>
          <w:tcPr>
            <w:tcW w:w="892" w:type="dxa"/>
            <w:noWrap/>
            <w:hideMark/>
          </w:tcPr>
          <w:p w14:paraId="6CA425AC"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1,329</w:t>
            </w:r>
          </w:p>
        </w:tc>
        <w:tc>
          <w:tcPr>
            <w:tcW w:w="892" w:type="dxa"/>
            <w:noWrap/>
            <w:hideMark/>
          </w:tcPr>
          <w:p w14:paraId="7046269A"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1,399</w:t>
            </w:r>
          </w:p>
        </w:tc>
        <w:tc>
          <w:tcPr>
            <w:tcW w:w="892" w:type="dxa"/>
            <w:noWrap/>
            <w:hideMark/>
          </w:tcPr>
          <w:p w14:paraId="4E43CA2C"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1,639</w:t>
            </w:r>
          </w:p>
        </w:tc>
        <w:tc>
          <w:tcPr>
            <w:tcW w:w="892" w:type="dxa"/>
            <w:noWrap/>
            <w:hideMark/>
          </w:tcPr>
          <w:p w14:paraId="19AFC6F0"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1,752</w:t>
            </w:r>
          </w:p>
        </w:tc>
        <w:tc>
          <w:tcPr>
            <w:tcW w:w="892" w:type="dxa"/>
            <w:noWrap/>
            <w:hideMark/>
          </w:tcPr>
          <w:p w14:paraId="076FAD92"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1,714</w:t>
            </w:r>
          </w:p>
        </w:tc>
        <w:tc>
          <w:tcPr>
            <w:tcW w:w="892" w:type="dxa"/>
            <w:shd w:val="clear" w:color="auto" w:fill="D2DDE1" w:themeFill="background2"/>
            <w:noWrap/>
            <w:hideMark/>
          </w:tcPr>
          <w:p w14:paraId="62627F59"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1,705</w:t>
            </w:r>
          </w:p>
        </w:tc>
        <w:tc>
          <w:tcPr>
            <w:tcW w:w="892" w:type="dxa"/>
            <w:shd w:val="clear" w:color="auto" w:fill="D2DDE1" w:themeFill="background2"/>
            <w:noWrap/>
            <w:hideMark/>
          </w:tcPr>
          <w:p w14:paraId="77BC53D8"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1,699</w:t>
            </w:r>
          </w:p>
        </w:tc>
        <w:tc>
          <w:tcPr>
            <w:tcW w:w="892" w:type="dxa"/>
            <w:shd w:val="clear" w:color="auto" w:fill="D2DDE1" w:themeFill="background2"/>
            <w:noWrap/>
            <w:hideMark/>
          </w:tcPr>
          <w:p w14:paraId="0EE96F7F"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1,695</w:t>
            </w:r>
          </w:p>
        </w:tc>
      </w:tr>
      <w:tr w:rsidR="00533D32" w:rsidRPr="00BD16B4" w14:paraId="5E1F7D8A" w14:textId="77777777" w:rsidTr="00315977">
        <w:tc>
          <w:tcPr>
            <w:tcW w:w="1928" w:type="dxa"/>
            <w:vMerge/>
            <w:hideMark/>
          </w:tcPr>
          <w:p w14:paraId="08CAED29" w14:textId="77777777" w:rsidR="00533D32" w:rsidRPr="00BD16B4" w:rsidRDefault="00533D32" w:rsidP="00C87B45">
            <w:pPr>
              <w:pStyle w:val="TableText"/>
              <w:spacing w:before="40" w:after="40"/>
              <w:rPr>
                <w:rFonts w:cs="Calibri"/>
                <w:color w:val="000000"/>
                <w:szCs w:val="18"/>
              </w:rPr>
            </w:pPr>
          </w:p>
        </w:tc>
        <w:tc>
          <w:tcPr>
            <w:tcW w:w="1474" w:type="dxa"/>
            <w:vMerge/>
            <w:tcMar>
              <w:left w:w="57" w:type="dxa"/>
            </w:tcMar>
            <w:hideMark/>
          </w:tcPr>
          <w:p w14:paraId="6BF8E5D4" w14:textId="77777777" w:rsidR="00533D32" w:rsidRPr="00BD16B4" w:rsidRDefault="00533D32" w:rsidP="00C87B45">
            <w:pPr>
              <w:pStyle w:val="TableText"/>
              <w:spacing w:before="40" w:after="40"/>
              <w:rPr>
                <w:rFonts w:cs="Calibri"/>
                <w:color w:val="000000"/>
                <w:szCs w:val="18"/>
              </w:rPr>
            </w:pPr>
          </w:p>
        </w:tc>
        <w:tc>
          <w:tcPr>
            <w:tcW w:w="2405" w:type="dxa"/>
            <w:noWrap/>
            <w:hideMark/>
          </w:tcPr>
          <w:p w14:paraId="4695EF1A"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WOM</w:t>
            </w:r>
          </w:p>
        </w:tc>
        <w:tc>
          <w:tcPr>
            <w:tcW w:w="760" w:type="dxa"/>
            <w:noWrap/>
            <w:hideMark/>
          </w:tcPr>
          <w:p w14:paraId="0102804E"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1,024</w:t>
            </w:r>
          </w:p>
        </w:tc>
        <w:tc>
          <w:tcPr>
            <w:tcW w:w="892" w:type="dxa"/>
            <w:noWrap/>
            <w:hideMark/>
          </w:tcPr>
          <w:p w14:paraId="5800EB3A"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1,209</w:t>
            </w:r>
          </w:p>
        </w:tc>
        <w:tc>
          <w:tcPr>
            <w:tcW w:w="892" w:type="dxa"/>
            <w:noWrap/>
            <w:hideMark/>
          </w:tcPr>
          <w:p w14:paraId="364D076F"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1,330</w:t>
            </w:r>
          </w:p>
        </w:tc>
        <w:tc>
          <w:tcPr>
            <w:tcW w:w="892" w:type="dxa"/>
            <w:noWrap/>
            <w:hideMark/>
          </w:tcPr>
          <w:p w14:paraId="4422F9D3"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1,401</w:t>
            </w:r>
          </w:p>
        </w:tc>
        <w:tc>
          <w:tcPr>
            <w:tcW w:w="892" w:type="dxa"/>
            <w:noWrap/>
            <w:hideMark/>
          </w:tcPr>
          <w:p w14:paraId="0CD6FEF4"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1,641</w:t>
            </w:r>
          </w:p>
        </w:tc>
        <w:tc>
          <w:tcPr>
            <w:tcW w:w="892" w:type="dxa"/>
            <w:noWrap/>
            <w:hideMark/>
          </w:tcPr>
          <w:p w14:paraId="2EFF8E50"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1,756</w:t>
            </w:r>
          </w:p>
        </w:tc>
        <w:tc>
          <w:tcPr>
            <w:tcW w:w="892" w:type="dxa"/>
            <w:noWrap/>
            <w:hideMark/>
          </w:tcPr>
          <w:p w14:paraId="1D036B55"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1,721</w:t>
            </w:r>
          </w:p>
        </w:tc>
        <w:tc>
          <w:tcPr>
            <w:tcW w:w="892" w:type="dxa"/>
            <w:shd w:val="clear" w:color="auto" w:fill="D2DDE1" w:themeFill="background2"/>
            <w:noWrap/>
            <w:hideMark/>
          </w:tcPr>
          <w:p w14:paraId="27394E4F"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1,723</w:t>
            </w:r>
          </w:p>
        </w:tc>
        <w:tc>
          <w:tcPr>
            <w:tcW w:w="892" w:type="dxa"/>
            <w:shd w:val="clear" w:color="auto" w:fill="D2DDE1" w:themeFill="background2"/>
            <w:noWrap/>
            <w:hideMark/>
          </w:tcPr>
          <w:p w14:paraId="5C7DE98A"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1,726</w:t>
            </w:r>
          </w:p>
        </w:tc>
        <w:tc>
          <w:tcPr>
            <w:tcW w:w="892" w:type="dxa"/>
            <w:shd w:val="clear" w:color="auto" w:fill="D2DDE1" w:themeFill="background2"/>
            <w:noWrap/>
            <w:hideMark/>
          </w:tcPr>
          <w:p w14:paraId="65753FDA"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1,731</w:t>
            </w:r>
          </w:p>
        </w:tc>
      </w:tr>
      <w:tr w:rsidR="00533D32" w:rsidRPr="00BD16B4" w14:paraId="7BA5FF1E" w14:textId="77777777" w:rsidTr="00315977">
        <w:tc>
          <w:tcPr>
            <w:tcW w:w="1928" w:type="dxa"/>
            <w:vMerge w:val="restart"/>
            <w:noWrap/>
            <w:hideMark/>
          </w:tcPr>
          <w:p w14:paraId="791FEDD2"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Sheep beef deer area</w:t>
            </w:r>
          </w:p>
        </w:tc>
        <w:tc>
          <w:tcPr>
            <w:tcW w:w="1474" w:type="dxa"/>
            <w:vMerge w:val="restart"/>
            <w:tcMar>
              <w:left w:w="57" w:type="dxa"/>
            </w:tcMar>
            <w:hideMark/>
          </w:tcPr>
          <w:p w14:paraId="58F3978F"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thousand hectares</w:t>
            </w:r>
          </w:p>
        </w:tc>
        <w:tc>
          <w:tcPr>
            <w:tcW w:w="2405" w:type="dxa"/>
            <w:noWrap/>
            <w:hideMark/>
          </w:tcPr>
          <w:p w14:paraId="140A35F9"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WEM</w:t>
            </w:r>
          </w:p>
        </w:tc>
        <w:tc>
          <w:tcPr>
            <w:tcW w:w="760" w:type="dxa"/>
            <w:noWrap/>
            <w:hideMark/>
          </w:tcPr>
          <w:p w14:paraId="66C54FF2"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12,054</w:t>
            </w:r>
          </w:p>
        </w:tc>
        <w:tc>
          <w:tcPr>
            <w:tcW w:w="892" w:type="dxa"/>
            <w:noWrap/>
            <w:hideMark/>
          </w:tcPr>
          <w:p w14:paraId="3A98E37C"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11,610</w:t>
            </w:r>
          </w:p>
        </w:tc>
        <w:tc>
          <w:tcPr>
            <w:tcW w:w="892" w:type="dxa"/>
            <w:noWrap/>
            <w:hideMark/>
          </w:tcPr>
          <w:p w14:paraId="165BED75"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10,587</w:t>
            </w:r>
          </w:p>
        </w:tc>
        <w:tc>
          <w:tcPr>
            <w:tcW w:w="892" w:type="dxa"/>
            <w:noWrap/>
            <w:hideMark/>
          </w:tcPr>
          <w:p w14:paraId="5FB15A13"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9,825</w:t>
            </w:r>
          </w:p>
        </w:tc>
        <w:tc>
          <w:tcPr>
            <w:tcW w:w="892" w:type="dxa"/>
            <w:noWrap/>
            <w:hideMark/>
          </w:tcPr>
          <w:p w14:paraId="31D96A10"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9,200</w:t>
            </w:r>
          </w:p>
        </w:tc>
        <w:tc>
          <w:tcPr>
            <w:tcW w:w="892" w:type="dxa"/>
            <w:noWrap/>
            <w:hideMark/>
          </w:tcPr>
          <w:p w14:paraId="7CC6B582"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8,415</w:t>
            </w:r>
          </w:p>
        </w:tc>
        <w:tc>
          <w:tcPr>
            <w:tcW w:w="892" w:type="dxa"/>
            <w:noWrap/>
            <w:hideMark/>
          </w:tcPr>
          <w:p w14:paraId="6E2E4A4A"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7,839</w:t>
            </w:r>
          </w:p>
        </w:tc>
        <w:tc>
          <w:tcPr>
            <w:tcW w:w="892" w:type="dxa"/>
            <w:shd w:val="clear" w:color="auto" w:fill="D2DDE1" w:themeFill="background2"/>
            <w:noWrap/>
            <w:hideMark/>
          </w:tcPr>
          <w:p w14:paraId="00E4E1B6"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7,334</w:t>
            </w:r>
          </w:p>
        </w:tc>
        <w:tc>
          <w:tcPr>
            <w:tcW w:w="892" w:type="dxa"/>
            <w:shd w:val="clear" w:color="auto" w:fill="D2DDE1" w:themeFill="background2"/>
            <w:noWrap/>
            <w:hideMark/>
          </w:tcPr>
          <w:p w14:paraId="67B3BB16"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7,141</w:t>
            </w:r>
          </w:p>
        </w:tc>
        <w:tc>
          <w:tcPr>
            <w:tcW w:w="892" w:type="dxa"/>
            <w:shd w:val="clear" w:color="auto" w:fill="D2DDE1" w:themeFill="background2"/>
            <w:noWrap/>
            <w:hideMark/>
          </w:tcPr>
          <w:p w14:paraId="751D2F21"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6,954</w:t>
            </w:r>
          </w:p>
        </w:tc>
      </w:tr>
      <w:tr w:rsidR="00533D32" w:rsidRPr="00BD16B4" w14:paraId="41D3C7C3" w14:textId="77777777" w:rsidTr="00315977">
        <w:tc>
          <w:tcPr>
            <w:tcW w:w="1928" w:type="dxa"/>
            <w:vMerge/>
            <w:hideMark/>
          </w:tcPr>
          <w:p w14:paraId="2A392519" w14:textId="77777777" w:rsidR="00533D32" w:rsidRPr="00BD16B4" w:rsidRDefault="00533D32" w:rsidP="00C87B45">
            <w:pPr>
              <w:pStyle w:val="TableText"/>
              <w:spacing w:before="40" w:after="40"/>
              <w:rPr>
                <w:rFonts w:cs="Calibri"/>
                <w:color w:val="000000"/>
                <w:szCs w:val="18"/>
              </w:rPr>
            </w:pPr>
          </w:p>
        </w:tc>
        <w:tc>
          <w:tcPr>
            <w:tcW w:w="1474" w:type="dxa"/>
            <w:vMerge/>
            <w:tcMar>
              <w:left w:w="57" w:type="dxa"/>
            </w:tcMar>
            <w:hideMark/>
          </w:tcPr>
          <w:p w14:paraId="6D510C04" w14:textId="77777777" w:rsidR="00533D32" w:rsidRPr="00BD16B4" w:rsidRDefault="00533D32" w:rsidP="00C87B45">
            <w:pPr>
              <w:pStyle w:val="TableText"/>
              <w:spacing w:before="40" w:after="40"/>
              <w:rPr>
                <w:rFonts w:cs="Calibri"/>
                <w:color w:val="000000"/>
                <w:szCs w:val="18"/>
              </w:rPr>
            </w:pPr>
          </w:p>
        </w:tc>
        <w:tc>
          <w:tcPr>
            <w:tcW w:w="2405" w:type="dxa"/>
            <w:noWrap/>
            <w:hideMark/>
          </w:tcPr>
          <w:p w14:paraId="5946F0C9"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WOM</w:t>
            </w:r>
          </w:p>
        </w:tc>
        <w:tc>
          <w:tcPr>
            <w:tcW w:w="760" w:type="dxa"/>
            <w:noWrap/>
            <w:hideMark/>
          </w:tcPr>
          <w:p w14:paraId="11902843"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12,054</w:t>
            </w:r>
          </w:p>
        </w:tc>
        <w:tc>
          <w:tcPr>
            <w:tcW w:w="892" w:type="dxa"/>
            <w:noWrap/>
            <w:hideMark/>
          </w:tcPr>
          <w:p w14:paraId="626552A0"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11,618</w:t>
            </w:r>
          </w:p>
        </w:tc>
        <w:tc>
          <w:tcPr>
            <w:tcW w:w="892" w:type="dxa"/>
            <w:noWrap/>
            <w:hideMark/>
          </w:tcPr>
          <w:p w14:paraId="641FBE7B"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10,612</w:t>
            </w:r>
          </w:p>
        </w:tc>
        <w:tc>
          <w:tcPr>
            <w:tcW w:w="892" w:type="dxa"/>
            <w:noWrap/>
            <w:hideMark/>
          </w:tcPr>
          <w:p w14:paraId="30DB6647"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9,855</w:t>
            </w:r>
          </w:p>
        </w:tc>
        <w:tc>
          <w:tcPr>
            <w:tcW w:w="892" w:type="dxa"/>
            <w:noWrap/>
            <w:hideMark/>
          </w:tcPr>
          <w:p w14:paraId="6BEF735A"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9,246</w:t>
            </w:r>
          </w:p>
        </w:tc>
        <w:tc>
          <w:tcPr>
            <w:tcW w:w="892" w:type="dxa"/>
            <w:noWrap/>
            <w:hideMark/>
          </w:tcPr>
          <w:p w14:paraId="5C29416C"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8,500</w:t>
            </w:r>
          </w:p>
        </w:tc>
        <w:tc>
          <w:tcPr>
            <w:tcW w:w="892" w:type="dxa"/>
            <w:noWrap/>
            <w:hideMark/>
          </w:tcPr>
          <w:p w14:paraId="35BFC4A5"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7,989</w:t>
            </w:r>
          </w:p>
        </w:tc>
        <w:tc>
          <w:tcPr>
            <w:tcW w:w="892" w:type="dxa"/>
            <w:shd w:val="clear" w:color="auto" w:fill="D2DDE1" w:themeFill="background2"/>
            <w:noWrap/>
            <w:hideMark/>
          </w:tcPr>
          <w:p w14:paraId="18E7C3D0"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7,689</w:t>
            </w:r>
          </w:p>
        </w:tc>
        <w:tc>
          <w:tcPr>
            <w:tcW w:w="892" w:type="dxa"/>
            <w:shd w:val="clear" w:color="auto" w:fill="D2DDE1" w:themeFill="background2"/>
            <w:noWrap/>
            <w:hideMark/>
          </w:tcPr>
          <w:p w14:paraId="0E4FBC30"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7,660</w:t>
            </w:r>
          </w:p>
        </w:tc>
        <w:tc>
          <w:tcPr>
            <w:tcW w:w="892" w:type="dxa"/>
            <w:shd w:val="clear" w:color="auto" w:fill="D2DDE1" w:themeFill="background2"/>
            <w:noWrap/>
            <w:hideMark/>
          </w:tcPr>
          <w:p w14:paraId="23F324B4"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7,635</w:t>
            </w:r>
          </w:p>
        </w:tc>
      </w:tr>
      <w:tr w:rsidR="00533D32" w:rsidRPr="00BD16B4" w14:paraId="1787B6B0" w14:textId="77777777" w:rsidTr="00315977">
        <w:tc>
          <w:tcPr>
            <w:tcW w:w="1928" w:type="dxa"/>
            <w:vMerge/>
            <w:hideMark/>
          </w:tcPr>
          <w:p w14:paraId="74A34A6B" w14:textId="77777777" w:rsidR="00533D32" w:rsidRPr="00BD16B4" w:rsidRDefault="00533D32" w:rsidP="00C87B45">
            <w:pPr>
              <w:pStyle w:val="TableText"/>
              <w:spacing w:before="40" w:after="40"/>
              <w:rPr>
                <w:rFonts w:cs="Calibri"/>
                <w:color w:val="000000"/>
                <w:szCs w:val="18"/>
              </w:rPr>
            </w:pPr>
          </w:p>
        </w:tc>
        <w:tc>
          <w:tcPr>
            <w:tcW w:w="1474" w:type="dxa"/>
            <w:vMerge/>
            <w:tcMar>
              <w:left w:w="57" w:type="dxa"/>
            </w:tcMar>
            <w:hideMark/>
          </w:tcPr>
          <w:p w14:paraId="376AEF1F" w14:textId="77777777" w:rsidR="00533D32" w:rsidRPr="00BD16B4" w:rsidRDefault="00533D32" w:rsidP="00C87B45">
            <w:pPr>
              <w:pStyle w:val="TableText"/>
              <w:spacing w:before="40" w:after="40"/>
              <w:rPr>
                <w:rFonts w:cs="Calibri"/>
                <w:color w:val="000000"/>
                <w:szCs w:val="18"/>
              </w:rPr>
            </w:pPr>
          </w:p>
        </w:tc>
        <w:tc>
          <w:tcPr>
            <w:tcW w:w="2405" w:type="dxa"/>
            <w:noWrap/>
            <w:hideMark/>
          </w:tcPr>
          <w:p w14:paraId="1C6442AB"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WAM</w:t>
            </w:r>
          </w:p>
        </w:tc>
        <w:tc>
          <w:tcPr>
            <w:tcW w:w="760" w:type="dxa"/>
            <w:noWrap/>
            <w:hideMark/>
          </w:tcPr>
          <w:p w14:paraId="4D5E5BC2"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12,054</w:t>
            </w:r>
          </w:p>
        </w:tc>
        <w:tc>
          <w:tcPr>
            <w:tcW w:w="892" w:type="dxa"/>
            <w:noWrap/>
            <w:hideMark/>
          </w:tcPr>
          <w:p w14:paraId="37F2FFD0"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11,610</w:t>
            </w:r>
          </w:p>
        </w:tc>
        <w:tc>
          <w:tcPr>
            <w:tcW w:w="892" w:type="dxa"/>
            <w:noWrap/>
            <w:hideMark/>
          </w:tcPr>
          <w:p w14:paraId="004C9C58"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10,587</w:t>
            </w:r>
          </w:p>
        </w:tc>
        <w:tc>
          <w:tcPr>
            <w:tcW w:w="892" w:type="dxa"/>
            <w:noWrap/>
            <w:hideMark/>
          </w:tcPr>
          <w:p w14:paraId="16167DEA"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9,825</w:t>
            </w:r>
          </w:p>
        </w:tc>
        <w:tc>
          <w:tcPr>
            <w:tcW w:w="892" w:type="dxa"/>
            <w:noWrap/>
            <w:hideMark/>
          </w:tcPr>
          <w:p w14:paraId="77E93859"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9,200</w:t>
            </w:r>
          </w:p>
        </w:tc>
        <w:tc>
          <w:tcPr>
            <w:tcW w:w="892" w:type="dxa"/>
            <w:noWrap/>
            <w:hideMark/>
          </w:tcPr>
          <w:p w14:paraId="49239B55"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8,415</w:t>
            </w:r>
          </w:p>
        </w:tc>
        <w:tc>
          <w:tcPr>
            <w:tcW w:w="892" w:type="dxa"/>
            <w:noWrap/>
            <w:hideMark/>
          </w:tcPr>
          <w:p w14:paraId="760AF899"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7,839</w:t>
            </w:r>
          </w:p>
        </w:tc>
        <w:tc>
          <w:tcPr>
            <w:tcW w:w="892" w:type="dxa"/>
            <w:shd w:val="clear" w:color="auto" w:fill="D2DDE1" w:themeFill="background2"/>
            <w:noWrap/>
            <w:hideMark/>
          </w:tcPr>
          <w:p w14:paraId="1DEFF4EE"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7,317</w:t>
            </w:r>
          </w:p>
        </w:tc>
        <w:tc>
          <w:tcPr>
            <w:tcW w:w="892" w:type="dxa"/>
            <w:shd w:val="clear" w:color="auto" w:fill="D2DDE1" w:themeFill="background2"/>
            <w:noWrap/>
            <w:hideMark/>
          </w:tcPr>
          <w:p w14:paraId="1993FEF1"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7,062</w:t>
            </w:r>
          </w:p>
        </w:tc>
        <w:tc>
          <w:tcPr>
            <w:tcW w:w="892" w:type="dxa"/>
            <w:shd w:val="clear" w:color="auto" w:fill="D2DDE1" w:themeFill="background2"/>
            <w:noWrap/>
            <w:hideMark/>
          </w:tcPr>
          <w:p w14:paraId="5DA82B08"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6,813</w:t>
            </w:r>
          </w:p>
        </w:tc>
      </w:tr>
      <w:tr w:rsidR="00533D32" w:rsidRPr="00BD16B4" w14:paraId="160EE0B7" w14:textId="77777777" w:rsidTr="00315977">
        <w:tc>
          <w:tcPr>
            <w:tcW w:w="1928" w:type="dxa"/>
            <w:noWrap/>
            <w:hideMark/>
          </w:tcPr>
          <w:p w14:paraId="4C783D2D"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Horticulture area</w:t>
            </w:r>
          </w:p>
        </w:tc>
        <w:tc>
          <w:tcPr>
            <w:tcW w:w="1474" w:type="dxa"/>
            <w:noWrap/>
            <w:tcMar>
              <w:left w:w="57" w:type="dxa"/>
            </w:tcMar>
            <w:hideMark/>
          </w:tcPr>
          <w:p w14:paraId="3BCFCCE0"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thousand hectares</w:t>
            </w:r>
          </w:p>
        </w:tc>
        <w:tc>
          <w:tcPr>
            <w:tcW w:w="2405" w:type="dxa"/>
            <w:noWrap/>
            <w:hideMark/>
          </w:tcPr>
          <w:p w14:paraId="2DF38BF0"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WEM/WOM/WAM</w:t>
            </w:r>
          </w:p>
        </w:tc>
        <w:tc>
          <w:tcPr>
            <w:tcW w:w="760" w:type="dxa"/>
            <w:noWrap/>
            <w:hideMark/>
          </w:tcPr>
          <w:p w14:paraId="734C3281"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72</w:t>
            </w:r>
          </w:p>
        </w:tc>
        <w:tc>
          <w:tcPr>
            <w:tcW w:w="892" w:type="dxa"/>
            <w:noWrap/>
            <w:hideMark/>
          </w:tcPr>
          <w:p w14:paraId="4D3A612B"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94</w:t>
            </w:r>
          </w:p>
        </w:tc>
        <w:tc>
          <w:tcPr>
            <w:tcW w:w="892" w:type="dxa"/>
            <w:noWrap/>
            <w:hideMark/>
          </w:tcPr>
          <w:p w14:paraId="53AE9473"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93</w:t>
            </w:r>
          </w:p>
        </w:tc>
        <w:tc>
          <w:tcPr>
            <w:tcW w:w="892" w:type="dxa"/>
            <w:noWrap/>
            <w:hideMark/>
          </w:tcPr>
          <w:p w14:paraId="6B81D3D8"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97</w:t>
            </w:r>
          </w:p>
        </w:tc>
        <w:tc>
          <w:tcPr>
            <w:tcW w:w="892" w:type="dxa"/>
            <w:noWrap/>
            <w:hideMark/>
          </w:tcPr>
          <w:p w14:paraId="6EA8FE07"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105</w:t>
            </w:r>
          </w:p>
        </w:tc>
        <w:tc>
          <w:tcPr>
            <w:tcW w:w="892" w:type="dxa"/>
            <w:noWrap/>
            <w:hideMark/>
          </w:tcPr>
          <w:p w14:paraId="6426366C"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104</w:t>
            </w:r>
          </w:p>
        </w:tc>
        <w:tc>
          <w:tcPr>
            <w:tcW w:w="892" w:type="dxa"/>
            <w:noWrap/>
            <w:hideMark/>
          </w:tcPr>
          <w:p w14:paraId="2902AC05"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109</w:t>
            </w:r>
          </w:p>
        </w:tc>
        <w:tc>
          <w:tcPr>
            <w:tcW w:w="892" w:type="dxa"/>
            <w:shd w:val="clear" w:color="auto" w:fill="D2DDE1" w:themeFill="background2"/>
            <w:noWrap/>
            <w:hideMark/>
          </w:tcPr>
          <w:p w14:paraId="668E0D09"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116</w:t>
            </w:r>
          </w:p>
        </w:tc>
        <w:tc>
          <w:tcPr>
            <w:tcW w:w="892" w:type="dxa"/>
            <w:shd w:val="clear" w:color="auto" w:fill="D2DDE1" w:themeFill="background2"/>
            <w:noWrap/>
            <w:hideMark/>
          </w:tcPr>
          <w:p w14:paraId="72970E93"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120</w:t>
            </w:r>
          </w:p>
        </w:tc>
        <w:tc>
          <w:tcPr>
            <w:tcW w:w="892" w:type="dxa"/>
            <w:shd w:val="clear" w:color="auto" w:fill="D2DDE1" w:themeFill="background2"/>
            <w:noWrap/>
            <w:hideMark/>
          </w:tcPr>
          <w:p w14:paraId="2817045B"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124</w:t>
            </w:r>
          </w:p>
        </w:tc>
      </w:tr>
      <w:tr w:rsidR="00533D32" w:rsidRPr="00BD16B4" w14:paraId="7AAD9A27" w14:textId="77777777" w:rsidTr="00315977">
        <w:tc>
          <w:tcPr>
            <w:tcW w:w="1928" w:type="dxa"/>
            <w:noWrap/>
            <w:hideMark/>
          </w:tcPr>
          <w:p w14:paraId="53CF9529"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Arable land</w:t>
            </w:r>
          </w:p>
        </w:tc>
        <w:tc>
          <w:tcPr>
            <w:tcW w:w="1474" w:type="dxa"/>
            <w:noWrap/>
            <w:tcMar>
              <w:left w:w="57" w:type="dxa"/>
            </w:tcMar>
            <w:hideMark/>
          </w:tcPr>
          <w:p w14:paraId="5D9A2713"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thousand hectares</w:t>
            </w:r>
          </w:p>
        </w:tc>
        <w:tc>
          <w:tcPr>
            <w:tcW w:w="2405" w:type="dxa"/>
            <w:noWrap/>
            <w:hideMark/>
          </w:tcPr>
          <w:p w14:paraId="7DD9F44B" w14:textId="77777777" w:rsidR="00533D32" w:rsidRPr="00BD16B4" w:rsidRDefault="00533D32" w:rsidP="00C87B45">
            <w:pPr>
              <w:pStyle w:val="TableText"/>
              <w:spacing w:before="40" w:after="40"/>
              <w:rPr>
                <w:rFonts w:cs="Calibri"/>
                <w:color w:val="000000"/>
                <w:szCs w:val="18"/>
              </w:rPr>
            </w:pPr>
            <w:r w:rsidRPr="00BD16B4">
              <w:rPr>
                <w:rFonts w:cs="Calibri"/>
                <w:color w:val="000000"/>
                <w:szCs w:val="18"/>
              </w:rPr>
              <w:t>WEM/WOM/WAM</w:t>
            </w:r>
          </w:p>
        </w:tc>
        <w:tc>
          <w:tcPr>
            <w:tcW w:w="760" w:type="dxa"/>
            <w:noWrap/>
            <w:hideMark/>
          </w:tcPr>
          <w:p w14:paraId="2D7DCCC5"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191</w:t>
            </w:r>
          </w:p>
        </w:tc>
        <w:tc>
          <w:tcPr>
            <w:tcW w:w="892" w:type="dxa"/>
            <w:noWrap/>
            <w:hideMark/>
          </w:tcPr>
          <w:p w14:paraId="4E256E38"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161</w:t>
            </w:r>
          </w:p>
        </w:tc>
        <w:tc>
          <w:tcPr>
            <w:tcW w:w="892" w:type="dxa"/>
            <w:noWrap/>
            <w:hideMark/>
          </w:tcPr>
          <w:p w14:paraId="0D022D38"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161</w:t>
            </w:r>
          </w:p>
        </w:tc>
        <w:tc>
          <w:tcPr>
            <w:tcW w:w="892" w:type="dxa"/>
            <w:noWrap/>
            <w:hideMark/>
          </w:tcPr>
          <w:p w14:paraId="278D6CC6"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149</w:t>
            </w:r>
          </w:p>
        </w:tc>
        <w:tc>
          <w:tcPr>
            <w:tcW w:w="892" w:type="dxa"/>
            <w:noWrap/>
            <w:hideMark/>
          </w:tcPr>
          <w:p w14:paraId="7792C0F1"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171</w:t>
            </w:r>
          </w:p>
        </w:tc>
        <w:tc>
          <w:tcPr>
            <w:tcW w:w="892" w:type="dxa"/>
            <w:noWrap/>
            <w:hideMark/>
          </w:tcPr>
          <w:p w14:paraId="5400D5A9"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161</w:t>
            </w:r>
          </w:p>
        </w:tc>
        <w:tc>
          <w:tcPr>
            <w:tcW w:w="892" w:type="dxa"/>
            <w:noWrap/>
            <w:hideMark/>
          </w:tcPr>
          <w:p w14:paraId="3F1194D4"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144</w:t>
            </w:r>
          </w:p>
        </w:tc>
        <w:tc>
          <w:tcPr>
            <w:tcW w:w="892" w:type="dxa"/>
            <w:shd w:val="clear" w:color="auto" w:fill="D2DDE1" w:themeFill="background2"/>
            <w:noWrap/>
            <w:hideMark/>
          </w:tcPr>
          <w:p w14:paraId="20875A17"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161</w:t>
            </w:r>
          </w:p>
        </w:tc>
        <w:tc>
          <w:tcPr>
            <w:tcW w:w="892" w:type="dxa"/>
            <w:shd w:val="clear" w:color="auto" w:fill="D2DDE1" w:themeFill="background2"/>
            <w:noWrap/>
            <w:hideMark/>
          </w:tcPr>
          <w:p w14:paraId="0397EC5E"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166</w:t>
            </w:r>
          </w:p>
        </w:tc>
        <w:tc>
          <w:tcPr>
            <w:tcW w:w="892" w:type="dxa"/>
            <w:shd w:val="clear" w:color="auto" w:fill="D2DDE1" w:themeFill="background2"/>
            <w:noWrap/>
            <w:hideMark/>
          </w:tcPr>
          <w:p w14:paraId="7653749D" w14:textId="77777777" w:rsidR="00533D32" w:rsidRPr="00BD16B4" w:rsidRDefault="00533D32" w:rsidP="00C87B45">
            <w:pPr>
              <w:pStyle w:val="TableText"/>
              <w:spacing w:before="40" w:after="40"/>
              <w:jc w:val="center"/>
              <w:rPr>
                <w:rFonts w:cs="Calibri"/>
                <w:color w:val="000000"/>
                <w:szCs w:val="18"/>
              </w:rPr>
            </w:pPr>
            <w:r w:rsidRPr="00BD16B4">
              <w:rPr>
                <w:rFonts w:cs="Calibri"/>
                <w:color w:val="000000"/>
                <w:szCs w:val="18"/>
              </w:rPr>
              <w:t>160</w:t>
            </w:r>
          </w:p>
        </w:tc>
      </w:tr>
      <w:tr w:rsidR="00533D32" w:rsidRPr="00BD16B4" w14:paraId="5E4DAAC5" w14:textId="77777777" w:rsidTr="00315977">
        <w:tc>
          <w:tcPr>
            <w:tcW w:w="1928" w:type="dxa"/>
            <w:vMerge w:val="restart"/>
            <w:noWrap/>
            <w:hideMark/>
          </w:tcPr>
          <w:p w14:paraId="70FFB264" w14:textId="77777777" w:rsidR="00533D32" w:rsidRPr="00BD16B4" w:rsidRDefault="00533D32" w:rsidP="00C87B45">
            <w:pPr>
              <w:pStyle w:val="TableText"/>
              <w:spacing w:before="40" w:after="40"/>
              <w:rPr>
                <w:rFonts w:cs="Calibri"/>
                <w:szCs w:val="18"/>
              </w:rPr>
            </w:pPr>
            <w:r w:rsidRPr="00BD16B4">
              <w:rPr>
                <w:rFonts w:cs="Calibri"/>
                <w:szCs w:val="18"/>
              </w:rPr>
              <w:t>Exotic forest</w:t>
            </w:r>
          </w:p>
        </w:tc>
        <w:tc>
          <w:tcPr>
            <w:tcW w:w="1474" w:type="dxa"/>
            <w:vMerge w:val="restart"/>
            <w:tcMar>
              <w:left w:w="57" w:type="dxa"/>
            </w:tcMar>
            <w:hideMark/>
          </w:tcPr>
          <w:p w14:paraId="1C6B99A5" w14:textId="77777777" w:rsidR="00533D32" w:rsidRPr="00BD16B4" w:rsidRDefault="00533D32" w:rsidP="00C87B45">
            <w:pPr>
              <w:pStyle w:val="TableText"/>
              <w:spacing w:before="40" w:after="40"/>
              <w:rPr>
                <w:rFonts w:cs="Calibri"/>
                <w:szCs w:val="18"/>
              </w:rPr>
            </w:pPr>
            <w:r w:rsidRPr="00BD16B4">
              <w:rPr>
                <w:rFonts w:cs="Calibri"/>
                <w:szCs w:val="18"/>
              </w:rPr>
              <w:t>thousand hectares</w:t>
            </w:r>
          </w:p>
        </w:tc>
        <w:tc>
          <w:tcPr>
            <w:tcW w:w="2405" w:type="dxa"/>
            <w:noWrap/>
            <w:hideMark/>
          </w:tcPr>
          <w:p w14:paraId="66F21765" w14:textId="77777777" w:rsidR="00533D32" w:rsidRPr="00BD16B4" w:rsidRDefault="00533D32" w:rsidP="00C87B45">
            <w:pPr>
              <w:pStyle w:val="TableText"/>
              <w:spacing w:before="40" w:after="40"/>
              <w:rPr>
                <w:rFonts w:cs="Calibri"/>
                <w:szCs w:val="18"/>
              </w:rPr>
            </w:pPr>
            <w:r w:rsidRPr="00BD16B4">
              <w:rPr>
                <w:rFonts w:cs="Calibri"/>
                <w:szCs w:val="18"/>
              </w:rPr>
              <w:t>WEM/WAM</w:t>
            </w:r>
          </w:p>
        </w:tc>
        <w:tc>
          <w:tcPr>
            <w:tcW w:w="760" w:type="dxa"/>
            <w:noWrap/>
            <w:hideMark/>
          </w:tcPr>
          <w:p w14:paraId="70787054" w14:textId="77777777" w:rsidR="00533D32" w:rsidRPr="00BD16B4" w:rsidRDefault="00533D32" w:rsidP="00C87B45">
            <w:pPr>
              <w:pStyle w:val="TableText"/>
              <w:spacing w:before="40" w:after="40"/>
              <w:jc w:val="center"/>
              <w:rPr>
                <w:rFonts w:cs="Calibri"/>
                <w:szCs w:val="18"/>
              </w:rPr>
            </w:pPr>
            <w:r w:rsidRPr="00BD16B4">
              <w:rPr>
                <w:rFonts w:cs="Calibri"/>
                <w:szCs w:val="18"/>
              </w:rPr>
              <w:t>1,315</w:t>
            </w:r>
          </w:p>
        </w:tc>
        <w:tc>
          <w:tcPr>
            <w:tcW w:w="892" w:type="dxa"/>
            <w:noWrap/>
            <w:hideMark/>
          </w:tcPr>
          <w:p w14:paraId="577A4345" w14:textId="77777777" w:rsidR="00533D32" w:rsidRPr="00BD16B4" w:rsidRDefault="00533D32" w:rsidP="00C87B45">
            <w:pPr>
              <w:pStyle w:val="TableText"/>
              <w:spacing w:before="40" w:after="40"/>
              <w:jc w:val="center"/>
              <w:rPr>
                <w:rFonts w:cs="Calibri"/>
                <w:szCs w:val="18"/>
              </w:rPr>
            </w:pPr>
            <w:r w:rsidRPr="00BD16B4">
              <w:rPr>
                <w:rFonts w:cs="Calibri"/>
                <w:szCs w:val="18"/>
              </w:rPr>
              <w:t>1,541</w:t>
            </w:r>
          </w:p>
        </w:tc>
        <w:tc>
          <w:tcPr>
            <w:tcW w:w="892" w:type="dxa"/>
            <w:noWrap/>
            <w:hideMark/>
          </w:tcPr>
          <w:p w14:paraId="0873988B" w14:textId="77777777" w:rsidR="00533D32" w:rsidRPr="00BD16B4" w:rsidRDefault="00533D32" w:rsidP="00C87B45">
            <w:pPr>
              <w:pStyle w:val="TableText"/>
              <w:spacing w:before="40" w:after="40"/>
              <w:jc w:val="center"/>
              <w:rPr>
                <w:rFonts w:cs="Calibri"/>
                <w:szCs w:val="18"/>
              </w:rPr>
            </w:pPr>
            <w:r w:rsidRPr="00BD16B4">
              <w:rPr>
                <w:rFonts w:cs="Calibri"/>
                <w:szCs w:val="18"/>
              </w:rPr>
              <w:t>1,744</w:t>
            </w:r>
          </w:p>
        </w:tc>
        <w:tc>
          <w:tcPr>
            <w:tcW w:w="892" w:type="dxa"/>
            <w:noWrap/>
            <w:hideMark/>
          </w:tcPr>
          <w:p w14:paraId="55AFC43E" w14:textId="77777777" w:rsidR="00533D32" w:rsidRPr="00BD16B4" w:rsidRDefault="00533D32" w:rsidP="00C87B45">
            <w:pPr>
              <w:pStyle w:val="TableText"/>
              <w:spacing w:before="40" w:after="40"/>
              <w:jc w:val="center"/>
              <w:rPr>
                <w:rFonts w:cs="Calibri"/>
                <w:szCs w:val="18"/>
              </w:rPr>
            </w:pPr>
            <w:r w:rsidRPr="00BD16B4">
              <w:rPr>
                <w:rFonts w:cs="Calibri"/>
                <w:szCs w:val="18"/>
              </w:rPr>
              <w:t>1,776</w:t>
            </w:r>
          </w:p>
        </w:tc>
        <w:tc>
          <w:tcPr>
            <w:tcW w:w="892" w:type="dxa"/>
            <w:noWrap/>
            <w:hideMark/>
          </w:tcPr>
          <w:p w14:paraId="53085DC2" w14:textId="77777777" w:rsidR="00533D32" w:rsidRPr="00BD16B4" w:rsidRDefault="00533D32" w:rsidP="00C87B45">
            <w:pPr>
              <w:pStyle w:val="TableText"/>
              <w:spacing w:before="40" w:after="40"/>
              <w:jc w:val="center"/>
              <w:rPr>
                <w:rFonts w:cs="Calibri"/>
                <w:szCs w:val="18"/>
              </w:rPr>
            </w:pPr>
            <w:r w:rsidRPr="00BD16B4">
              <w:rPr>
                <w:rFonts w:cs="Calibri"/>
                <w:szCs w:val="18"/>
              </w:rPr>
              <w:t>1,733</w:t>
            </w:r>
          </w:p>
        </w:tc>
        <w:tc>
          <w:tcPr>
            <w:tcW w:w="892" w:type="dxa"/>
            <w:noWrap/>
            <w:hideMark/>
          </w:tcPr>
          <w:p w14:paraId="0301B026" w14:textId="77777777" w:rsidR="00533D32" w:rsidRPr="00BD16B4" w:rsidRDefault="00533D32" w:rsidP="00C87B45">
            <w:pPr>
              <w:pStyle w:val="TableText"/>
              <w:spacing w:before="40" w:after="40"/>
              <w:jc w:val="center"/>
              <w:rPr>
                <w:rFonts w:cs="Calibri"/>
                <w:szCs w:val="18"/>
              </w:rPr>
            </w:pPr>
            <w:r w:rsidRPr="00BD16B4">
              <w:rPr>
                <w:rFonts w:cs="Calibri"/>
                <w:szCs w:val="18"/>
              </w:rPr>
              <w:t>1,731</w:t>
            </w:r>
          </w:p>
        </w:tc>
        <w:tc>
          <w:tcPr>
            <w:tcW w:w="892" w:type="dxa"/>
            <w:noWrap/>
            <w:hideMark/>
          </w:tcPr>
          <w:p w14:paraId="72CF5F05" w14:textId="77777777" w:rsidR="00533D32" w:rsidRPr="00BD16B4" w:rsidRDefault="00533D32" w:rsidP="00C87B45">
            <w:pPr>
              <w:pStyle w:val="TableText"/>
              <w:spacing w:before="40" w:after="40"/>
              <w:jc w:val="center"/>
              <w:rPr>
                <w:rFonts w:cs="Calibri"/>
                <w:szCs w:val="18"/>
              </w:rPr>
            </w:pPr>
            <w:r w:rsidRPr="00BD16B4">
              <w:rPr>
                <w:rFonts w:cs="Calibri"/>
                <w:szCs w:val="18"/>
              </w:rPr>
              <w:t>1,789</w:t>
            </w:r>
          </w:p>
        </w:tc>
        <w:tc>
          <w:tcPr>
            <w:tcW w:w="892" w:type="dxa"/>
            <w:shd w:val="clear" w:color="auto" w:fill="D2DDE1" w:themeFill="background2"/>
            <w:noWrap/>
            <w:hideMark/>
          </w:tcPr>
          <w:p w14:paraId="187D2C05" w14:textId="77777777" w:rsidR="00533D32" w:rsidRPr="00BD16B4" w:rsidRDefault="00533D32" w:rsidP="00C87B45">
            <w:pPr>
              <w:pStyle w:val="TableText"/>
              <w:spacing w:before="40" w:after="40"/>
              <w:jc w:val="center"/>
              <w:rPr>
                <w:rFonts w:cs="Calibri"/>
                <w:szCs w:val="18"/>
              </w:rPr>
            </w:pPr>
            <w:r w:rsidRPr="00BD16B4">
              <w:rPr>
                <w:rFonts w:cs="Calibri"/>
                <w:szCs w:val="18"/>
              </w:rPr>
              <w:t>2,039</w:t>
            </w:r>
          </w:p>
        </w:tc>
        <w:tc>
          <w:tcPr>
            <w:tcW w:w="892" w:type="dxa"/>
            <w:shd w:val="clear" w:color="auto" w:fill="D2DDE1" w:themeFill="background2"/>
            <w:noWrap/>
            <w:hideMark/>
          </w:tcPr>
          <w:p w14:paraId="150E8746" w14:textId="77777777" w:rsidR="00533D32" w:rsidRPr="00BD16B4" w:rsidRDefault="00533D32" w:rsidP="00C87B45">
            <w:pPr>
              <w:pStyle w:val="TableText"/>
              <w:spacing w:before="40" w:after="40"/>
              <w:jc w:val="center"/>
              <w:rPr>
                <w:rFonts w:cs="Calibri"/>
                <w:szCs w:val="18"/>
              </w:rPr>
            </w:pPr>
            <w:r w:rsidRPr="00BD16B4">
              <w:rPr>
                <w:rFonts w:cs="Calibri"/>
                <w:szCs w:val="18"/>
              </w:rPr>
              <w:t>2,232</w:t>
            </w:r>
          </w:p>
        </w:tc>
        <w:tc>
          <w:tcPr>
            <w:tcW w:w="892" w:type="dxa"/>
            <w:shd w:val="clear" w:color="auto" w:fill="D2DDE1" w:themeFill="background2"/>
            <w:noWrap/>
            <w:hideMark/>
          </w:tcPr>
          <w:p w14:paraId="69683888" w14:textId="77777777" w:rsidR="00533D32" w:rsidRPr="00BD16B4" w:rsidRDefault="00533D32" w:rsidP="00C87B45">
            <w:pPr>
              <w:pStyle w:val="TableText"/>
              <w:spacing w:before="40" w:after="40"/>
              <w:jc w:val="center"/>
              <w:rPr>
                <w:rFonts w:cs="Calibri"/>
                <w:szCs w:val="18"/>
              </w:rPr>
            </w:pPr>
            <w:r w:rsidRPr="00BD16B4">
              <w:rPr>
                <w:rFonts w:cs="Calibri"/>
                <w:szCs w:val="18"/>
              </w:rPr>
              <w:t>2,419</w:t>
            </w:r>
          </w:p>
        </w:tc>
      </w:tr>
      <w:tr w:rsidR="00533D32" w:rsidRPr="00BD16B4" w14:paraId="00F18FAD" w14:textId="77777777" w:rsidTr="00315977">
        <w:tc>
          <w:tcPr>
            <w:tcW w:w="1928" w:type="dxa"/>
            <w:vMerge/>
            <w:hideMark/>
          </w:tcPr>
          <w:p w14:paraId="649D40F3" w14:textId="77777777" w:rsidR="00533D32" w:rsidRPr="00BD16B4" w:rsidRDefault="00533D32" w:rsidP="00C87B45">
            <w:pPr>
              <w:pStyle w:val="TableText"/>
              <w:spacing w:before="40" w:after="40"/>
              <w:rPr>
                <w:rFonts w:cs="Calibri"/>
                <w:szCs w:val="18"/>
              </w:rPr>
            </w:pPr>
          </w:p>
        </w:tc>
        <w:tc>
          <w:tcPr>
            <w:tcW w:w="1474" w:type="dxa"/>
            <w:vMerge/>
            <w:tcMar>
              <w:left w:w="57" w:type="dxa"/>
            </w:tcMar>
            <w:hideMark/>
          </w:tcPr>
          <w:p w14:paraId="7FD18E01" w14:textId="77777777" w:rsidR="00533D32" w:rsidRPr="00BD16B4" w:rsidRDefault="00533D32" w:rsidP="00C87B45">
            <w:pPr>
              <w:pStyle w:val="TableText"/>
              <w:spacing w:before="40" w:after="40"/>
              <w:rPr>
                <w:rFonts w:cs="Calibri"/>
                <w:szCs w:val="18"/>
              </w:rPr>
            </w:pPr>
          </w:p>
        </w:tc>
        <w:tc>
          <w:tcPr>
            <w:tcW w:w="2405" w:type="dxa"/>
            <w:noWrap/>
            <w:hideMark/>
          </w:tcPr>
          <w:p w14:paraId="2541B380" w14:textId="77777777" w:rsidR="00533D32" w:rsidRPr="00BD16B4" w:rsidRDefault="00533D32" w:rsidP="00C87B45">
            <w:pPr>
              <w:pStyle w:val="TableText"/>
              <w:spacing w:before="40" w:after="40"/>
              <w:rPr>
                <w:rFonts w:cs="Calibri"/>
                <w:szCs w:val="18"/>
              </w:rPr>
            </w:pPr>
            <w:r w:rsidRPr="00BD16B4">
              <w:rPr>
                <w:rFonts w:cs="Calibri"/>
                <w:szCs w:val="18"/>
              </w:rPr>
              <w:t>WOM</w:t>
            </w:r>
          </w:p>
        </w:tc>
        <w:tc>
          <w:tcPr>
            <w:tcW w:w="760" w:type="dxa"/>
            <w:noWrap/>
            <w:hideMark/>
          </w:tcPr>
          <w:p w14:paraId="64900825" w14:textId="77777777" w:rsidR="00533D32" w:rsidRPr="00BD16B4" w:rsidRDefault="00533D32" w:rsidP="00C87B45">
            <w:pPr>
              <w:pStyle w:val="TableText"/>
              <w:spacing w:before="40" w:after="40"/>
              <w:jc w:val="center"/>
              <w:rPr>
                <w:rFonts w:cs="Calibri"/>
                <w:szCs w:val="18"/>
              </w:rPr>
            </w:pPr>
            <w:r w:rsidRPr="00BD16B4">
              <w:rPr>
                <w:rFonts w:cs="Calibri"/>
                <w:szCs w:val="18"/>
              </w:rPr>
              <w:t>1,315</w:t>
            </w:r>
          </w:p>
        </w:tc>
        <w:tc>
          <w:tcPr>
            <w:tcW w:w="892" w:type="dxa"/>
            <w:noWrap/>
            <w:hideMark/>
          </w:tcPr>
          <w:p w14:paraId="04955AB2" w14:textId="77777777" w:rsidR="00533D32" w:rsidRPr="00BD16B4" w:rsidRDefault="00533D32" w:rsidP="00C87B45">
            <w:pPr>
              <w:pStyle w:val="TableText"/>
              <w:spacing w:before="40" w:after="40"/>
              <w:jc w:val="center"/>
              <w:rPr>
                <w:rFonts w:cs="Calibri"/>
                <w:szCs w:val="18"/>
              </w:rPr>
            </w:pPr>
            <w:r w:rsidRPr="00BD16B4">
              <w:rPr>
                <w:rFonts w:cs="Calibri"/>
                <w:szCs w:val="18"/>
              </w:rPr>
              <w:t>1,533</w:t>
            </w:r>
          </w:p>
        </w:tc>
        <w:tc>
          <w:tcPr>
            <w:tcW w:w="892" w:type="dxa"/>
            <w:noWrap/>
            <w:hideMark/>
          </w:tcPr>
          <w:p w14:paraId="70C51DAD" w14:textId="77777777" w:rsidR="00533D32" w:rsidRPr="00BD16B4" w:rsidRDefault="00533D32" w:rsidP="00C87B45">
            <w:pPr>
              <w:pStyle w:val="TableText"/>
              <w:spacing w:before="40" w:after="40"/>
              <w:jc w:val="center"/>
              <w:rPr>
                <w:rFonts w:cs="Calibri"/>
                <w:szCs w:val="18"/>
              </w:rPr>
            </w:pPr>
            <w:r w:rsidRPr="00BD16B4">
              <w:rPr>
                <w:rFonts w:cs="Calibri"/>
                <w:szCs w:val="18"/>
              </w:rPr>
              <w:t>1,717</w:t>
            </w:r>
          </w:p>
        </w:tc>
        <w:tc>
          <w:tcPr>
            <w:tcW w:w="892" w:type="dxa"/>
            <w:noWrap/>
            <w:hideMark/>
          </w:tcPr>
          <w:p w14:paraId="55106CD5" w14:textId="77777777" w:rsidR="00533D32" w:rsidRPr="00BD16B4" w:rsidRDefault="00533D32" w:rsidP="00C87B45">
            <w:pPr>
              <w:pStyle w:val="TableText"/>
              <w:spacing w:before="40" w:after="40"/>
              <w:jc w:val="center"/>
              <w:rPr>
                <w:rFonts w:cs="Calibri"/>
                <w:szCs w:val="18"/>
              </w:rPr>
            </w:pPr>
            <w:r w:rsidRPr="00BD16B4">
              <w:rPr>
                <w:rFonts w:cs="Calibri"/>
                <w:szCs w:val="18"/>
              </w:rPr>
              <w:t>1,745</w:t>
            </w:r>
          </w:p>
        </w:tc>
        <w:tc>
          <w:tcPr>
            <w:tcW w:w="892" w:type="dxa"/>
            <w:noWrap/>
            <w:hideMark/>
          </w:tcPr>
          <w:p w14:paraId="722C124D" w14:textId="77777777" w:rsidR="00533D32" w:rsidRPr="00BD16B4" w:rsidRDefault="00533D32" w:rsidP="00C87B45">
            <w:pPr>
              <w:pStyle w:val="TableText"/>
              <w:spacing w:before="40" w:after="40"/>
              <w:jc w:val="center"/>
              <w:rPr>
                <w:rFonts w:cs="Calibri"/>
                <w:szCs w:val="18"/>
              </w:rPr>
            </w:pPr>
            <w:r w:rsidRPr="00BD16B4">
              <w:rPr>
                <w:rFonts w:cs="Calibri"/>
                <w:szCs w:val="18"/>
              </w:rPr>
              <w:t>1,684</w:t>
            </w:r>
          </w:p>
        </w:tc>
        <w:tc>
          <w:tcPr>
            <w:tcW w:w="892" w:type="dxa"/>
            <w:noWrap/>
            <w:hideMark/>
          </w:tcPr>
          <w:p w14:paraId="1FC6F588" w14:textId="77777777" w:rsidR="00533D32" w:rsidRPr="00BD16B4" w:rsidRDefault="00533D32" w:rsidP="00C87B45">
            <w:pPr>
              <w:pStyle w:val="TableText"/>
              <w:spacing w:before="40" w:after="40"/>
              <w:jc w:val="center"/>
              <w:rPr>
                <w:rFonts w:cs="Calibri"/>
                <w:szCs w:val="18"/>
              </w:rPr>
            </w:pPr>
            <w:r w:rsidRPr="00BD16B4">
              <w:rPr>
                <w:rFonts w:cs="Calibri"/>
                <w:szCs w:val="18"/>
              </w:rPr>
              <w:t>1,642</w:t>
            </w:r>
          </w:p>
        </w:tc>
        <w:tc>
          <w:tcPr>
            <w:tcW w:w="892" w:type="dxa"/>
            <w:noWrap/>
            <w:hideMark/>
          </w:tcPr>
          <w:p w14:paraId="2EC62911" w14:textId="77777777" w:rsidR="00533D32" w:rsidRPr="00BD16B4" w:rsidRDefault="00533D32" w:rsidP="00C87B45">
            <w:pPr>
              <w:pStyle w:val="TableText"/>
              <w:spacing w:before="40" w:after="40"/>
              <w:jc w:val="center"/>
              <w:rPr>
                <w:rFonts w:cs="Calibri"/>
                <w:szCs w:val="18"/>
              </w:rPr>
            </w:pPr>
            <w:r w:rsidRPr="00BD16B4">
              <w:rPr>
                <w:rFonts w:cs="Calibri"/>
                <w:szCs w:val="18"/>
              </w:rPr>
              <w:t>1,632</w:t>
            </w:r>
          </w:p>
        </w:tc>
        <w:tc>
          <w:tcPr>
            <w:tcW w:w="892" w:type="dxa"/>
            <w:shd w:val="clear" w:color="auto" w:fill="D2DDE1" w:themeFill="background2"/>
            <w:noWrap/>
            <w:hideMark/>
          </w:tcPr>
          <w:p w14:paraId="03222FAC" w14:textId="77777777" w:rsidR="00533D32" w:rsidRPr="00BD16B4" w:rsidRDefault="00533D32" w:rsidP="00C87B45">
            <w:pPr>
              <w:pStyle w:val="TableText"/>
              <w:spacing w:before="40" w:after="40"/>
              <w:jc w:val="center"/>
              <w:rPr>
                <w:rFonts w:cs="Calibri"/>
                <w:szCs w:val="18"/>
              </w:rPr>
            </w:pPr>
            <w:r w:rsidRPr="00BD16B4">
              <w:rPr>
                <w:rFonts w:cs="Calibri"/>
                <w:szCs w:val="18"/>
              </w:rPr>
              <w:t>1,665</w:t>
            </w:r>
          </w:p>
        </w:tc>
        <w:tc>
          <w:tcPr>
            <w:tcW w:w="892" w:type="dxa"/>
            <w:shd w:val="clear" w:color="auto" w:fill="D2DDE1" w:themeFill="background2"/>
            <w:noWrap/>
            <w:hideMark/>
          </w:tcPr>
          <w:p w14:paraId="518B7954" w14:textId="77777777" w:rsidR="00533D32" w:rsidRPr="00BD16B4" w:rsidRDefault="00533D32" w:rsidP="00C87B45">
            <w:pPr>
              <w:pStyle w:val="TableText"/>
              <w:spacing w:before="40" w:after="40"/>
              <w:jc w:val="center"/>
              <w:rPr>
                <w:rFonts w:cs="Calibri"/>
                <w:szCs w:val="18"/>
              </w:rPr>
            </w:pPr>
            <w:r w:rsidRPr="00BD16B4">
              <w:rPr>
                <w:rFonts w:cs="Calibri"/>
                <w:szCs w:val="18"/>
              </w:rPr>
              <w:t>1,685</w:t>
            </w:r>
          </w:p>
        </w:tc>
        <w:tc>
          <w:tcPr>
            <w:tcW w:w="892" w:type="dxa"/>
            <w:shd w:val="clear" w:color="auto" w:fill="D2DDE1" w:themeFill="background2"/>
            <w:noWrap/>
            <w:hideMark/>
          </w:tcPr>
          <w:p w14:paraId="6EBA6CEC" w14:textId="77777777" w:rsidR="00533D32" w:rsidRPr="00BD16B4" w:rsidRDefault="00533D32" w:rsidP="00C87B45">
            <w:pPr>
              <w:pStyle w:val="TableText"/>
              <w:spacing w:before="40" w:after="40"/>
              <w:jc w:val="center"/>
              <w:rPr>
                <w:rFonts w:cs="Calibri"/>
                <w:szCs w:val="18"/>
              </w:rPr>
            </w:pPr>
            <w:r w:rsidRPr="00BD16B4">
              <w:rPr>
                <w:rFonts w:cs="Calibri"/>
                <w:szCs w:val="18"/>
              </w:rPr>
              <w:t>1,702</w:t>
            </w:r>
          </w:p>
        </w:tc>
      </w:tr>
      <w:tr w:rsidR="00533D32" w:rsidRPr="00BD16B4" w14:paraId="675360E9" w14:textId="77777777" w:rsidTr="00315977">
        <w:tc>
          <w:tcPr>
            <w:tcW w:w="1928" w:type="dxa"/>
            <w:vMerge w:val="restart"/>
            <w:noWrap/>
            <w:hideMark/>
          </w:tcPr>
          <w:p w14:paraId="4E218FBA" w14:textId="77777777" w:rsidR="00533D32" w:rsidRPr="00BD16B4" w:rsidRDefault="00533D32" w:rsidP="00C87B45">
            <w:pPr>
              <w:pStyle w:val="TableText"/>
              <w:spacing w:before="40" w:after="40"/>
              <w:rPr>
                <w:rFonts w:cs="Calibri"/>
                <w:szCs w:val="18"/>
              </w:rPr>
            </w:pPr>
            <w:r w:rsidRPr="00BD16B4">
              <w:rPr>
                <w:rFonts w:cs="Calibri"/>
                <w:szCs w:val="18"/>
              </w:rPr>
              <w:t>Other land</w:t>
            </w:r>
          </w:p>
        </w:tc>
        <w:tc>
          <w:tcPr>
            <w:tcW w:w="1474" w:type="dxa"/>
            <w:vMerge w:val="restart"/>
            <w:tcMar>
              <w:left w:w="57" w:type="dxa"/>
            </w:tcMar>
            <w:hideMark/>
          </w:tcPr>
          <w:p w14:paraId="7893AF08" w14:textId="77777777" w:rsidR="00533D32" w:rsidRPr="00BD16B4" w:rsidRDefault="00533D32" w:rsidP="00C87B45">
            <w:pPr>
              <w:pStyle w:val="TableText"/>
              <w:spacing w:before="40" w:after="40"/>
              <w:rPr>
                <w:rFonts w:cs="Calibri"/>
                <w:szCs w:val="18"/>
              </w:rPr>
            </w:pPr>
            <w:r w:rsidRPr="00BD16B4">
              <w:rPr>
                <w:rFonts w:cs="Calibri"/>
                <w:szCs w:val="18"/>
              </w:rPr>
              <w:t>thousand hectares</w:t>
            </w:r>
          </w:p>
        </w:tc>
        <w:tc>
          <w:tcPr>
            <w:tcW w:w="2405" w:type="dxa"/>
            <w:noWrap/>
            <w:hideMark/>
          </w:tcPr>
          <w:p w14:paraId="54AEB0C1" w14:textId="77777777" w:rsidR="00533D32" w:rsidRPr="00BD16B4" w:rsidRDefault="00533D32" w:rsidP="00C87B45">
            <w:pPr>
              <w:pStyle w:val="TableText"/>
              <w:spacing w:before="40" w:after="40"/>
              <w:rPr>
                <w:rFonts w:cs="Calibri"/>
                <w:szCs w:val="18"/>
              </w:rPr>
            </w:pPr>
            <w:r w:rsidRPr="00BD16B4">
              <w:rPr>
                <w:rFonts w:cs="Calibri"/>
                <w:szCs w:val="18"/>
              </w:rPr>
              <w:t>WEM/WOM</w:t>
            </w:r>
          </w:p>
        </w:tc>
        <w:tc>
          <w:tcPr>
            <w:tcW w:w="760" w:type="dxa"/>
            <w:noWrap/>
            <w:hideMark/>
          </w:tcPr>
          <w:p w14:paraId="4CBFB6DA" w14:textId="77777777" w:rsidR="00533D32" w:rsidRPr="00BD16B4" w:rsidRDefault="00533D32" w:rsidP="00C87B45">
            <w:pPr>
              <w:pStyle w:val="TableText"/>
              <w:spacing w:before="40" w:after="40"/>
              <w:jc w:val="center"/>
              <w:rPr>
                <w:rFonts w:cs="Calibri"/>
                <w:szCs w:val="18"/>
              </w:rPr>
            </w:pPr>
            <w:r w:rsidRPr="00BD16B4">
              <w:rPr>
                <w:rFonts w:cs="Calibri"/>
                <w:szCs w:val="18"/>
              </w:rPr>
              <w:t>2,681</w:t>
            </w:r>
          </w:p>
        </w:tc>
        <w:tc>
          <w:tcPr>
            <w:tcW w:w="892" w:type="dxa"/>
            <w:noWrap/>
            <w:hideMark/>
          </w:tcPr>
          <w:p w14:paraId="71D6A1C2" w14:textId="77777777" w:rsidR="00533D32" w:rsidRPr="00BD16B4" w:rsidRDefault="00533D32" w:rsidP="00C87B45">
            <w:pPr>
              <w:pStyle w:val="TableText"/>
              <w:spacing w:before="40" w:after="40"/>
              <w:jc w:val="center"/>
              <w:rPr>
                <w:rFonts w:cs="Calibri"/>
                <w:szCs w:val="18"/>
              </w:rPr>
            </w:pPr>
            <w:r w:rsidRPr="00BD16B4">
              <w:rPr>
                <w:rFonts w:cs="Calibri"/>
                <w:szCs w:val="18"/>
              </w:rPr>
              <w:t>1,782</w:t>
            </w:r>
          </w:p>
        </w:tc>
        <w:tc>
          <w:tcPr>
            <w:tcW w:w="892" w:type="dxa"/>
            <w:noWrap/>
            <w:hideMark/>
          </w:tcPr>
          <w:p w14:paraId="52088424" w14:textId="77777777" w:rsidR="00533D32" w:rsidRPr="00BD16B4" w:rsidRDefault="00533D32" w:rsidP="00C87B45">
            <w:pPr>
              <w:pStyle w:val="TableText"/>
              <w:spacing w:before="40" w:after="40"/>
              <w:jc w:val="center"/>
              <w:rPr>
                <w:rFonts w:cs="Calibri"/>
                <w:szCs w:val="18"/>
              </w:rPr>
            </w:pPr>
            <w:r w:rsidRPr="00BD16B4">
              <w:rPr>
                <w:rFonts w:cs="Calibri"/>
                <w:szCs w:val="18"/>
              </w:rPr>
              <w:t>1,791</w:t>
            </w:r>
          </w:p>
        </w:tc>
        <w:tc>
          <w:tcPr>
            <w:tcW w:w="892" w:type="dxa"/>
            <w:noWrap/>
            <w:hideMark/>
          </w:tcPr>
          <w:p w14:paraId="2BC22BE0" w14:textId="77777777" w:rsidR="00533D32" w:rsidRPr="00BD16B4" w:rsidRDefault="00533D32" w:rsidP="00C87B45">
            <w:pPr>
              <w:pStyle w:val="TableText"/>
              <w:spacing w:before="40" w:after="40"/>
              <w:jc w:val="center"/>
              <w:rPr>
                <w:rFonts w:cs="Calibri"/>
                <w:szCs w:val="18"/>
              </w:rPr>
            </w:pPr>
            <w:r w:rsidRPr="00BD16B4">
              <w:rPr>
                <w:rFonts w:cs="Calibri"/>
                <w:szCs w:val="18"/>
              </w:rPr>
              <w:t>1,815</w:t>
            </w:r>
          </w:p>
        </w:tc>
        <w:tc>
          <w:tcPr>
            <w:tcW w:w="892" w:type="dxa"/>
            <w:noWrap/>
            <w:hideMark/>
          </w:tcPr>
          <w:p w14:paraId="5319FF33" w14:textId="77777777" w:rsidR="00533D32" w:rsidRPr="00BD16B4" w:rsidRDefault="00533D32" w:rsidP="00C87B45">
            <w:pPr>
              <w:pStyle w:val="TableText"/>
              <w:spacing w:before="40" w:after="40"/>
              <w:jc w:val="center"/>
              <w:rPr>
                <w:rFonts w:cs="Calibri"/>
                <w:szCs w:val="18"/>
              </w:rPr>
            </w:pPr>
            <w:r w:rsidRPr="00BD16B4">
              <w:rPr>
                <w:rFonts w:cs="Calibri"/>
                <w:szCs w:val="18"/>
              </w:rPr>
              <w:t>1,476</w:t>
            </w:r>
          </w:p>
        </w:tc>
        <w:tc>
          <w:tcPr>
            <w:tcW w:w="892" w:type="dxa"/>
            <w:noWrap/>
            <w:hideMark/>
          </w:tcPr>
          <w:p w14:paraId="276024AA" w14:textId="77777777" w:rsidR="00533D32" w:rsidRPr="00BD16B4" w:rsidRDefault="00533D32" w:rsidP="00C87B45">
            <w:pPr>
              <w:pStyle w:val="TableText"/>
              <w:spacing w:before="40" w:after="40"/>
              <w:jc w:val="center"/>
              <w:rPr>
                <w:rFonts w:cs="Calibri"/>
                <w:szCs w:val="18"/>
              </w:rPr>
            </w:pPr>
            <w:r w:rsidRPr="00BD16B4">
              <w:rPr>
                <w:rFonts w:cs="Calibri"/>
                <w:szCs w:val="18"/>
              </w:rPr>
              <w:t>1,487</w:t>
            </w:r>
          </w:p>
        </w:tc>
        <w:tc>
          <w:tcPr>
            <w:tcW w:w="892" w:type="dxa"/>
            <w:noWrap/>
            <w:hideMark/>
          </w:tcPr>
          <w:p w14:paraId="2E6B5F22" w14:textId="77777777" w:rsidR="00533D32" w:rsidRPr="00BD16B4" w:rsidRDefault="00533D32" w:rsidP="00C87B45">
            <w:pPr>
              <w:pStyle w:val="TableText"/>
              <w:spacing w:before="40" w:after="40"/>
              <w:jc w:val="center"/>
              <w:rPr>
                <w:rFonts w:cs="Calibri"/>
                <w:szCs w:val="18"/>
              </w:rPr>
            </w:pPr>
            <w:r w:rsidRPr="00BD16B4">
              <w:rPr>
                <w:rFonts w:cs="Calibri"/>
                <w:szCs w:val="18"/>
              </w:rPr>
              <w:t>1,473</w:t>
            </w:r>
          </w:p>
        </w:tc>
        <w:tc>
          <w:tcPr>
            <w:tcW w:w="892" w:type="dxa"/>
            <w:shd w:val="clear" w:color="auto" w:fill="D2DDE1" w:themeFill="background2"/>
            <w:noWrap/>
            <w:hideMark/>
          </w:tcPr>
          <w:p w14:paraId="682D58DE" w14:textId="77777777" w:rsidR="00533D32" w:rsidRPr="00BD16B4" w:rsidRDefault="00533D32" w:rsidP="00C87B45">
            <w:pPr>
              <w:pStyle w:val="TableText"/>
              <w:spacing w:before="40" w:after="40"/>
              <w:jc w:val="center"/>
              <w:rPr>
                <w:rFonts w:cs="Calibri"/>
                <w:szCs w:val="18"/>
              </w:rPr>
            </w:pPr>
            <w:r w:rsidRPr="00BD16B4">
              <w:rPr>
                <w:rFonts w:cs="Calibri"/>
                <w:szCs w:val="18"/>
              </w:rPr>
              <w:t>1,410</w:t>
            </w:r>
          </w:p>
        </w:tc>
        <w:tc>
          <w:tcPr>
            <w:tcW w:w="892" w:type="dxa"/>
            <w:shd w:val="clear" w:color="auto" w:fill="D2DDE1" w:themeFill="background2"/>
            <w:noWrap/>
            <w:hideMark/>
          </w:tcPr>
          <w:p w14:paraId="2EB71B5C" w14:textId="77777777" w:rsidR="00533D32" w:rsidRPr="00BD16B4" w:rsidRDefault="00533D32" w:rsidP="00C87B45">
            <w:pPr>
              <w:pStyle w:val="TableText"/>
              <w:spacing w:before="40" w:after="40"/>
              <w:jc w:val="center"/>
              <w:rPr>
                <w:rFonts w:cs="Calibri"/>
                <w:szCs w:val="18"/>
              </w:rPr>
            </w:pPr>
            <w:r w:rsidRPr="00BD16B4">
              <w:rPr>
                <w:rFonts w:cs="Calibri"/>
                <w:szCs w:val="18"/>
              </w:rPr>
              <w:t>1,369</w:t>
            </w:r>
          </w:p>
        </w:tc>
        <w:tc>
          <w:tcPr>
            <w:tcW w:w="892" w:type="dxa"/>
            <w:shd w:val="clear" w:color="auto" w:fill="D2DDE1" w:themeFill="background2"/>
            <w:noWrap/>
            <w:hideMark/>
          </w:tcPr>
          <w:p w14:paraId="41A162AD" w14:textId="77777777" w:rsidR="00533D32" w:rsidRPr="00BD16B4" w:rsidRDefault="00533D32" w:rsidP="00C87B45">
            <w:pPr>
              <w:pStyle w:val="TableText"/>
              <w:spacing w:before="40" w:after="40"/>
              <w:jc w:val="center"/>
              <w:rPr>
                <w:rFonts w:cs="Calibri"/>
                <w:szCs w:val="18"/>
              </w:rPr>
            </w:pPr>
            <w:r w:rsidRPr="00BD16B4">
              <w:rPr>
                <w:rFonts w:cs="Calibri"/>
                <w:szCs w:val="18"/>
              </w:rPr>
              <w:t>1,324</w:t>
            </w:r>
          </w:p>
        </w:tc>
      </w:tr>
      <w:tr w:rsidR="00533D32" w:rsidRPr="00BD16B4" w14:paraId="205BFAD4" w14:textId="77777777" w:rsidTr="00315977">
        <w:tc>
          <w:tcPr>
            <w:tcW w:w="1928" w:type="dxa"/>
            <w:vMerge/>
            <w:hideMark/>
          </w:tcPr>
          <w:p w14:paraId="04B9B13A" w14:textId="77777777" w:rsidR="00533D32" w:rsidRPr="00BD16B4" w:rsidRDefault="00533D32" w:rsidP="00C87B45">
            <w:pPr>
              <w:pStyle w:val="TableText"/>
              <w:spacing w:before="40" w:after="40"/>
              <w:rPr>
                <w:rFonts w:cs="Calibri"/>
                <w:szCs w:val="18"/>
              </w:rPr>
            </w:pPr>
          </w:p>
        </w:tc>
        <w:tc>
          <w:tcPr>
            <w:tcW w:w="1474" w:type="dxa"/>
            <w:vMerge/>
            <w:tcMar>
              <w:left w:w="57" w:type="dxa"/>
            </w:tcMar>
            <w:hideMark/>
          </w:tcPr>
          <w:p w14:paraId="62D0A4BB" w14:textId="77777777" w:rsidR="00533D32" w:rsidRPr="00BD16B4" w:rsidRDefault="00533D32" w:rsidP="00C87B45">
            <w:pPr>
              <w:pStyle w:val="TableText"/>
              <w:spacing w:before="40" w:after="40"/>
              <w:rPr>
                <w:rFonts w:cs="Calibri"/>
                <w:szCs w:val="18"/>
              </w:rPr>
            </w:pPr>
          </w:p>
        </w:tc>
        <w:tc>
          <w:tcPr>
            <w:tcW w:w="2405" w:type="dxa"/>
            <w:noWrap/>
            <w:hideMark/>
          </w:tcPr>
          <w:p w14:paraId="794C8FA5" w14:textId="77777777" w:rsidR="00533D32" w:rsidRPr="00BD16B4" w:rsidRDefault="00533D32" w:rsidP="00C87B45">
            <w:pPr>
              <w:pStyle w:val="TableText"/>
              <w:spacing w:before="40" w:after="40"/>
              <w:rPr>
                <w:rFonts w:cs="Calibri"/>
                <w:szCs w:val="18"/>
              </w:rPr>
            </w:pPr>
            <w:r w:rsidRPr="00BD16B4">
              <w:rPr>
                <w:rFonts w:cs="Calibri"/>
                <w:szCs w:val="18"/>
              </w:rPr>
              <w:t>WAM^</w:t>
            </w:r>
          </w:p>
        </w:tc>
        <w:tc>
          <w:tcPr>
            <w:tcW w:w="760" w:type="dxa"/>
            <w:noWrap/>
            <w:hideMark/>
          </w:tcPr>
          <w:p w14:paraId="092F947F" w14:textId="77777777" w:rsidR="00533D32" w:rsidRPr="00BD16B4" w:rsidRDefault="00533D32" w:rsidP="00C87B45">
            <w:pPr>
              <w:pStyle w:val="TableText"/>
              <w:spacing w:before="40" w:after="40"/>
              <w:jc w:val="center"/>
              <w:rPr>
                <w:rFonts w:cs="Calibri"/>
                <w:szCs w:val="18"/>
              </w:rPr>
            </w:pPr>
            <w:r w:rsidRPr="00BD16B4">
              <w:rPr>
                <w:rFonts w:cs="Calibri"/>
                <w:szCs w:val="18"/>
              </w:rPr>
              <w:t>2,681</w:t>
            </w:r>
          </w:p>
        </w:tc>
        <w:tc>
          <w:tcPr>
            <w:tcW w:w="892" w:type="dxa"/>
            <w:noWrap/>
            <w:hideMark/>
          </w:tcPr>
          <w:p w14:paraId="016080D1" w14:textId="77777777" w:rsidR="00533D32" w:rsidRPr="00BD16B4" w:rsidRDefault="00533D32" w:rsidP="00C87B45">
            <w:pPr>
              <w:pStyle w:val="TableText"/>
              <w:spacing w:before="40" w:after="40"/>
              <w:jc w:val="center"/>
              <w:rPr>
                <w:rFonts w:cs="Calibri"/>
                <w:szCs w:val="18"/>
              </w:rPr>
            </w:pPr>
            <w:r w:rsidRPr="00BD16B4">
              <w:rPr>
                <w:rFonts w:cs="Calibri"/>
                <w:szCs w:val="18"/>
              </w:rPr>
              <w:t>1,782</w:t>
            </w:r>
          </w:p>
        </w:tc>
        <w:tc>
          <w:tcPr>
            <w:tcW w:w="892" w:type="dxa"/>
            <w:noWrap/>
            <w:hideMark/>
          </w:tcPr>
          <w:p w14:paraId="6E3A79A3" w14:textId="77777777" w:rsidR="00533D32" w:rsidRPr="00BD16B4" w:rsidRDefault="00533D32" w:rsidP="00C87B45">
            <w:pPr>
              <w:pStyle w:val="TableText"/>
              <w:spacing w:before="40" w:after="40"/>
              <w:jc w:val="center"/>
              <w:rPr>
                <w:rFonts w:cs="Calibri"/>
                <w:szCs w:val="18"/>
              </w:rPr>
            </w:pPr>
            <w:r w:rsidRPr="00BD16B4">
              <w:rPr>
                <w:rFonts w:cs="Calibri"/>
                <w:szCs w:val="18"/>
              </w:rPr>
              <w:t>1,791</w:t>
            </w:r>
          </w:p>
        </w:tc>
        <w:tc>
          <w:tcPr>
            <w:tcW w:w="892" w:type="dxa"/>
            <w:noWrap/>
            <w:hideMark/>
          </w:tcPr>
          <w:p w14:paraId="54594665" w14:textId="77777777" w:rsidR="00533D32" w:rsidRPr="00BD16B4" w:rsidRDefault="00533D32" w:rsidP="00C87B45">
            <w:pPr>
              <w:pStyle w:val="TableText"/>
              <w:spacing w:before="40" w:after="40"/>
              <w:jc w:val="center"/>
              <w:rPr>
                <w:rFonts w:cs="Calibri"/>
                <w:szCs w:val="18"/>
              </w:rPr>
            </w:pPr>
            <w:r w:rsidRPr="00BD16B4">
              <w:rPr>
                <w:rFonts w:cs="Calibri"/>
                <w:szCs w:val="18"/>
              </w:rPr>
              <w:t>1,815</w:t>
            </w:r>
          </w:p>
        </w:tc>
        <w:tc>
          <w:tcPr>
            <w:tcW w:w="892" w:type="dxa"/>
            <w:noWrap/>
            <w:hideMark/>
          </w:tcPr>
          <w:p w14:paraId="7FEE7085" w14:textId="77777777" w:rsidR="00533D32" w:rsidRPr="00BD16B4" w:rsidRDefault="00533D32" w:rsidP="00C87B45">
            <w:pPr>
              <w:pStyle w:val="TableText"/>
              <w:spacing w:before="40" w:after="40"/>
              <w:jc w:val="center"/>
              <w:rPr>
                <w:rFonts w:cs="Calibri"/>
                <w:szCs w:val="18"/>
              </w:rPr>
            </w:pPr>
            <w:r w:rsidRPr="00BD16B4">
              <w:rPr>
                <w:rFonts w:cs="Calibri"/>
                <w:szCs w:val="18"/>
              </w:rPr>
              <w:t>1,476</w:t>
            </w:r>
          </w:p>
        </w:tc>
        <w:tc>
          <w:tcPr>
            <w:tcW w:w="892" w:type="dxa"/>
            <w:noWrap/>
            <w:hideMark/>
          </w:tcPr>
          <w:p w14:paraId="795FAABB" w14:textId="77777777" w:rsidR="00533D32" w:rsidRPr="00BD16B4" w:rsidRDefault="00533D32" w:rsidP="00C87B45">
            <w:pPr>
              <w:pStyle w:val="TableText"/>
              <w:spacing w:before="40" w:after="40"/>
              <w:jc w:val="center"/>
              <w:rPr>
                <w:rFonts w:cs="Calibri"/>
                <w:szCs w:val="18"/>
              </w:rPr>
            </w:pPr>
            <w:r w:rsidRPr="00BD16B4">
              <w:rPr>
                <w:rFonts w:cs="Calibri"/>
                <w:szCs w:val="18"/>
              </w:rPr>
              <w:t>1,487</w:t>
            </w:r>
          </w:p>
        </w:tc>
        <w:tc>
          <w:tcPr>
            <w:tcW w:w="892" w:type="dxa"/>
            <w:noWrap/>
            <w:hideMark/>
          </w:tcPr>
          <w:p w14:paraId="6625B10E" w14:textId="77777777" w:rsidR="00533D32" w:rsidRPr="00BD16B4" w:rsidRDefault="00533D32" w:rsidP="00C87B45">
            <w:pPr>
              <w:pStyle w:val="TableText"/>
              <w:spacing w:before="40" w:after="40"/>
              <w:jc w:val="center"/>
              <w:rPr>
                <w:rFonts w:cs="Calibri"/>
                <w:szCs w:val="18"/>
              </w:rPr>
            </w:pPr>
            <w:r w:rsidRPr="00BD16B4">
              <w:rPr>
                <w:rFonts w:cs="Calibri"/>
                <w:szCs w:val="18"/>
              </w:rPr>
              <w:t>1,473</w:t>
            </w:r>
          </w:p>
        </w:tc>
        <w:tc>
          <w:tcPr>
            <w:tcW w:w="892" w:type="dxa"/>
            <w:shd w:val="clear" w:color="auto" w:fill="D2DDE1" w:themeFill="background2"/>
            <w:noWrap/>
            <w:hideMark/>
          </w:tcPr>
          <w:p w14:paraId="4F06604B" w14:textId="77777777" w:rsidR="00533D32" w:rsidRPr="00BD16B4" w:rsidRDefault="00533D32" w:rsidP="00C87B45">
            <w:pPr>
              <w:pStyle w:val="TableText"/>
              <w:spacing w:before="40" w:after="40"/>
              <w:jc w:val="center"/>
              <w:rPr>
                <w:rFonts w:cs="Calibri"/>
                <w:szCs w:val="18"/>
              </w:rPr>
            </w:pPr>
            <w:r w:rsidRPr="00BD16B4">
              <w:rPr>
                <w:rFonts w:cs="Calibri"/>
                <w:szCs w:val="18"/>
              </w:rPr>
              <w:t>1,426</w:t>
            </w:r>
          </w:p>
        </w:tc>
        <w:tc>
          <w:tcPr>
            <w:tcW w:w="892" w:type="dxa"/>
            <w:shd w:val="clear" w:color="auto" w:fill="D2DDE1" w:themeFill="background2"/>
            <w:noWrap/>
            <w:hideMark/>
          </w:tcPr>
          <w:p w14:paraId="42A900E7" w14:textId="77777777" w:rsidR="00533D32" w:rsidRPr="00BD16B4" w:rsidRDefault="00533D32" w:rsidP="00C87B45">
            <w:pPr>
              <w:pStyle w:val="TableText"/>
              <w:spacing w:before="40" w:after="40"/>
              <w:jc w:val="center"/>
              <w:rPr>
                <w:rFonts w:cs="Calibri"/>
                <w:szCs w:val="18"/>
              </w:rPr>
            </w:pPr>
            <w:r w:rsidRPr="00BD16B4">
              <w:rPr>
                <w:rFonts w:cs="Calibri"/>
                <w:szCs w:val="18"/>
              </w:rPr>
              <w:t>1,448</w:t>
            </w:r>
          </w:p>
        </w:tc>
        <w:tc>
          <w:tcPr>
            <w:tcW w:w="892" w:type="dxa"/>
            <w:shd w:val="clear" w:color="auto" w:fill="D2DDE1" w:themeFill="background2"/>
            <w:noWrap/>
            <w:hideMark/>
          </w:tcPr>
          <w:p w14:paraId="689467B8" w14:textId="77777777" w:rsidR="00533D32" w:rsidRPr="00BD16B4" w:rsidRDefault="00533D32" w:rsidP="00C87B45">
            <w:pPr>
              <w:pStyle w:val="TableText"/>
              <w:spacing w:before="40" w:after="40"/>
              <w:jc w:val="center"/>
              <w:rPr>
                <w:rFonts w:cs="Calibri"/>
                <w:szCs w:val="18"/>
              </w:rPr>
            </w:pPr>
            <w:r w:rsidRPr="00BD16B4">
              <w:rPr>
                <w:rFonts w:cs="Calibri"/>
                <w:szCs w:val="18"/>
              </w:rPr>
              <w:t>1,465</w:t>
            </w:r>
          </w:p>
        </w:tc>
      </w:tr>
      <w:tr w:rsidR="00533D32" w:rsidRPr="00BD16B4" w14:paraId="0ED00E0A" w14:textId="77777777" w:rsidTr="00315977">
        <w:tc>
          <w:tcPr>
            <w:tcW w:w="1928" w:type="dxa"/>
            <w:noWrap/>
            <w:hideMark/>
          </w:tcPr>
          <w:p w14:paraId="03B24999" w14:textId="77777777" w:rsidR="00533D32" w:rsidRPr="00BD16B4" w:rsidRDefault="00533D32" w:rsidP="00C87B45">
            <w:pPr>
              <w:pStyle w:val="TableText"/>
              <w:keepNext/>
              <w:spacing w:before="40" w:after="40"/>
              <w:rPr>
                <w:rFonts w:cs="Calibri"/>
                <w:szCs w:val="18"/>
              </w:rPr>
            </w:pPr>
            <w:r w:rsidRPr="00BD16B4">
              <w:rPr>
                <w:rFonts w:cs="Calibri"/>
                <w:szCs w:val="18"/>
              </w:rPr>
              <w:t>Total agriculture land use</w:t>
            </w:r>
          </w:p>
        </w:tc>
        <w:tc>
          <w:tcPr>
            <w:tcW w:w="1474" w:type="dxa"/>
            <w:tcMar>
              <w:left w:w="57" w:type="dxa"/>
            </w:tcMar>
            <w:hideMark/>
          </w:tcPr>
          <w:p w14:paraId="69BE16FF" w14:textId="77777777" w:rsidR="00533D32" w:rsidRPr="00BD16B4" w:rsidRDefault="00533D32" w:rsidP="00C87B45">
            <w:pPr>
              <w:pStyle w:val="TableText"/>
              <w:spacing w:before="40" w:after="40"/>
              <w:rPr>
                <w:rFonts w:cs="Calibri"/>
                <w:szCs w:val="18"/>
              </w:rPr>
            </w:pPr>
            <w:r w:rsidRPr="00BD16B4">
              <w:rPr>
                <w:rFonts w:cs="Calibri"/>
                <w:szCs w:val="18"/>
              </w:rPr>
              <w:t>thousand hectares</w:t>
            </w:r>
          </w:p>
        </w:tc>
        <w:tc>
          <w:tcPr>
            <w:tcW w:w="2405" w:type="dxa"/>
            <w:noWrap/>
            <w:hideMark/>
          </w:tcPr>
          <w:p w14:paraId="3C85191E" w14:textId="77777777" w:rsidR="00533D32" w:rsidRPr="00BD16B4" w:rsidRDefault="00533D32" w:rsidP="00C87B45">
            <w:pPr>
              <w:pStyle w:val="TableText"/>
              <w:spacing w:before="40" w:after="40"/>
              <w:rPr>
                <w:rFonts w:cs="Calibri"/>
                <w:szCs w:val="18"/>
              </w:rPr>
            </w:pPr>
            <w:r w:rsidRPr="00BD16B4">
              <w:rPr>
                <w:rFonts w:cs="Calibri"/>
                <w:szCs w:val="18"/>
              </w:rPr>
              <w:t>WEM/WOM/WAM</w:t>
            </w:r>
          </w:p>
        </w:tc>
        <w:tc>
          <w:tcPr>
            <w:tcW w:w="760" w:type="dxa"/>
            <w:noWrap/>
            <w:hideMark/>
          </w:tcPr>
          <w:p w14:paraId="59215DA0" w14:textId="77777777" w:rsidR="00533D32" w:rsidRPr="00BD16B4" w:rsidRDefault="00533D32" w:rsidP="00C87B45">
            <w:pPr>
              <w:pStyle w:val="TableText"/>
              <w:spacing w:before="40" w:after="40"/>
              <w:jc w:val="center"/>
              <w:rPr>
                <w:rFonts w:cs="Calibri"/>
                <w:szCs w:val="18"/>
              </w:rPr>
            </w:pPr>
            <w:r w:rsidRPr="00BD16B4">
              <w:rPr>
                <w:rFonts w:cs="Calibri"/>
                <w:szCs w:val="18"/>
              </w:rPr>
              <w:t>17,489</w:t>
            </w:r>
          </w:p>
        </w:tc>
        <w:tc>
          <w:tcPr>
            <w:tcW w:w="892" w:type="dxa"/>
            <w:noWrap/>
            <w:hideMark/>
          </w:tcPr>
          <w:p w14:paraId="7011B922" w14:textId="77777777" w:rsidR="00533D32" w:rsidRPr="00BD16B4" w:rsidRDefault="00533D32" w:rsidP="00C87B45">
            <w:pPr>
              <w:pStyle w:val="TableText"/>
              <w:spacing w:before="40" w:after="40"/>
              <w:jc w:val="center"/>
              <w:rPr>
                <w:rFonts w:cs="Calibri"/>
                <w:szCs w:val="18"/>
              </w:rPr>
            </w:pPr>
            <w:r w:rsidRPr="00BD16B4">
              <w:rPr>
                <w:rFonts w:cs="Calibri"/>
                <w:szCs w:val="18"/>
              </w:rPr>
              <w:t>16,578</w:t>
            </w:r>
          </w:p>
        </w:tc>
        <w:tc>
          <w:tcPr>
            <w:tcW w:w="892" w:type="dxa"/>
            <w:noWrap/>
            <w:hideMark/>
          </w:tcPr>
          <w:p w14:paraId="72F850C6" w14:textId="77777777" w:rsidR="00533D32" w:rsidRPr="00BD16B4" w:rsidRDefault="00533D32" w:rsidP="00C87B45">
            <w:pPr>
              <w:pStyle w:val="TableText"/>
              <w:spacing w:before="40" w:after="40"/>
              <w:jc w:val="center"/>
              <w:rPr>
                <w:rFonts w:cs="Calibri"/>
                <w:szCs w:val="18"/>
              </w:rPr>
            </w:pPr>
            <w:r w:rsidRPr="00BD16B4">
              <w:rPr>
                <w:rFonts w:cs="Calibri"/>
                <w:szCs w:val="18"/>
              </w:rPr>
              <w:t>15,909</w:t>
            </w:r>
          </w:p>
        </w:tc>
        <w:tc>
          <w:tcPr>
            <w:tcW w:w="892" w:type="dxa"/>
            <w:noWrap/>
            <w:hideMark/>
          </w:tcPr>
          <w:p w14:paraId="3B3FACD9" w14:textId="77777777" w:rsidR="00533D32" w:rsidRPr="00BD16B4" w:rsidRDefault="00533D32" w:rsidP="00C87B45">
            <w:pPr>
              <w:pStyle w:val="TableText"/>
              <w:spacing w:before="40" w:after="40"/>
              <w:jc w:val="center"/>
              <w:rPr>
                <w:rFonts w:cs="Calibri"/>
                <w:szCs w:val="18"/>
              </w:rPr>
            </w:pPr>
            <w:r w:rsidRPr="00BD16B4">
              <w:rPr>
                <w:rFonts w:cs="Calibri"/>
                <w:szCs w:val="18"/>
              </w:rPr>
              <w:t>15,306</w:t>
            </w:r>
          </w:p>
        </w:tc>
        <w:tc>
          <w:tcPr>
            <w:tcW w:w="892" w:type="dxa"/>
            <w:noWrap/>
            <w:hideMark/>
          </w:tcPr>
          <w:p w14:paraId="14D6D07C" w14:textId="77777777" w:rsidR="00533D32" w:rsidRPr="00BD16B4" w:rsidRDefault="00533D32" w:rsidP="00C87B45">
            <w:pPr>
              <w:pStyle w:val="TableText"/>
              <w:spacing w:before="40" w:after="40"/>
              <w:jc w:val="center"/>
              <w:rPr>
                <w:rFonts w:cs="Calibri"/>
                <w:szCs w:val="18"/>
              </w:rPr>
            </w:pPr>
            <w:r w:rsidRPr="00BD16B4">
              <w:rPr>
                <w:rFonts w:cs="Calibri"/>
                <w:szCs w:val="18"/>
              </w:rPr>
              <w:t>14,580</w:t>
            </w:r>
          </w:p>
        </w:tc>
        <w:tc>
          <w:tcPr>
            <w:tcW w:w="892" w:type="dxa"/>
            <w:noWrap/>
            <w:hideMark/>
          </w:tcPr>
          <w:p w14:paraId="1008DBBF" w14:textId="77777777" w:rsidR="00533D32" w:rsidRPr="00BD16B4" w:rsidRDefault="00533D32" w:rsidP="00C87B45">
            <w:pPr>
              <w:pStyle w:val="TableText"/>
              <w:spacing w:before="40" w:after="40"/>
              <w:jc w:val="center"/>
              <w:rPr>
                <w:rFonts w:cs="Calibri"/>
                <w:szCs w:val="18"/>
              </w:rPr>
            </w:pPr>
            <w:r w:rsidRPr="00BD16B4">
              <w:rPr>
                <w:rFonts w:cs="Calibri"/>
                <w:szCs w:val="18"/>
              </w:rPr>
              <w:t>13,929</w:t>
            </w:r>
          </w:p>
        </w:tc>
        <w:tc>
          <w:tcPr>
            <w:tcW w:w="892" w:type="dxa"/>
            <w:noWrap/>
            <w:hideMark/>
          </w:tcPr>
          <w:p w14:paraId="3EE2F8CA" w14:textId="77777777" w:rsidR="00533D32" w:rsidRPr="00BD16B4" w:rsidRDefault="00533D32" w:rsidP="00C87B45">
            <w:pPr>
              <w:pStyle w:val="TableText"/>
              <w:spacing w:before="40" w:after="40"/>
              <w:jc w:val="center"/>
              <w:rPr>
                <w:rFonts w:cs="Calibri"/>
                <w:szCs w:val="18"/>
              </w:rPr>
            </w:pPr>
            <w:r w:rsidRPr="00BD16B4">
              <w:rPr>
                <w:rFonts w:cs="Calibri"/>
                <w:szCs w:val="18"/>
              </w:rPr>
              <w:t>13,344</w:t>
            </w:r>
          </w:p>
        </w:tc>
        <w:tc>
          <w:tcPr>
            <w:tcW w:w="892" w:type="dxa"/>
            <w:shd w:val="clear" w:color="auto" w:fill="D2DDE1" w:themeFill="background2"/>
            <w:noWrap/>
            <w:hideMark/>
          </w:tcPr>
          <w:p w14:paraId="246F4563" w14:textId="77777777" w:rsidR="00533D32" w:rsidRPr="00BD16B4" w:rsidRDefault="00533D32" w:rsidP="00C87B45">
            <w:pPr>
              <w:pStyle w:val="TableText"/>
              <w:spacing w:before="40" w:after="40"/>
              <w:jc w:val="center"/>
              <w:rPr>
                <w:rFonts w:cs="Calibri"/>
                <w:szCs w:val="18"/>
              </w:rPr>
            </w:pPr>
            <w:r w:rsidRPr="00BD16B4">
              <w:rPr>
                <w:rFonts w:cs="Calibri"/>
                <w:szCs w:val="18"/>
              </w:rPr>
              <w:t>13,037</w:t>
            </w:r>
          </w:p>
        </w:tc>
        <w:tc>
          <w:tcPr>
            <w:tcW w:w="892" w:type="dxa"/>
            <w:shd w:val="clear" w:color="auto" w:fill="D2DDE1" w:themeFill="background2"/>
            <w:noWrap/>
            <w:hideMark/>
          </w:tcPr>
          <w:p w14:paraId="5BC59EEF" w14:textId="77777777" w:rsidR="00533D32" w:rsidRPr="00BD16B4" w:rsidRDefault="00533D32" w:rsidP="00C87B45">
            <w:pPr>
              <w:pStyle w:val="TableText"/>
              <w:spacing w:before="40" w:after="40"/>
              <w:jc w:val="center"/>
              <w:rPr>
                <w:rFonts w:cs="Calibri"/>
                <w:szCs w:val="18"/>
              </w:rPr>
            </w:pPr>
            <w:r w:rsidRPr="00BD16B4">
              <w:rPr>
                <w:rFonts w:cs="Calibri"/>
                <w:szCs w:val="18"/>
              </w:rPr>
              <w:t>12,992</w:t>
            </w:r>
          </w:p>
        </w:tc>
        <w:tc>
          <w:tcPr>
            <w:tcW w:w="892" w:type="dxa"/>
            <w:shd w:val="clear" w:color="auto" w:fill="D2DDE1" w:themeFill="background2"/>
            <w:noWrap/>
            <w:hideMark/>
          </w:tcPr>
          <w:p w14:paraId="476F2AF7" w14:textId="77777777" w:rsidR="00533D32" w:rsidRPr="00BD16B4" w:rsidRDefault="00533D32" w:rsidP="00C87B45">
            <w:pPr>
              <w:pStyle w:val="TableText"/>
              <w:spacing w:before="40" w:after="40"/>
              <w:jc w:val="center"/>
              <w:rPr>
                <w:rFonts w:cs="Calibri"/>
                <w:szCs w:val="18"/>
              </w:rPr>
            </w:pPr>
            <w:r w:rsidRPr="00BD16B4">
              <w:rPr>
                <w:rFonts w:cs="Calibri"/>
                <w:szCs w:val="18"/>
              </w:rPr>
              <w:t>12,940</w:t>
            </w:r>
          </w:p>
        </w:tc>
      </w:tr>
      <w:tr w:rsidR="00533D32" w:rsidRPr="00BD16B4" w14:paraId="24A5A8FB" w14:textId="77777777" w:rsidTr="00315977">
        <w:tc>
          <w:tcPr>
            <w:tcW w:w="1928" w:type="dxa"/>
            <w:vMerge w:val="restart"/>
            <w:noWrap/>
            <w:hideMark/>
          </w:tcPr>
          <w:p w14:paraId="5EB753F9" w14:textId="77777777" w:rsidR="00533D32" w:rsidRPr="00BD16B4" w:rsidRDefault="00533D32" w:rsidP="00C87B45">
            <w:pPr>
              <w:pStyle w:val="TableText"/>
              <w:spacing w:before="40" w:after="40"/>
              <w:rPr>
                <w:rFonts w:cs="Calibri"/>
                <w:szCs w:val="18"/>
              </w:rPr>
            </w:pPr>
            <w:r w:rsidRPr="00BD16B4">
              <w:rPr>
                <w:rFonts w:cs="Calibri"/>
                <w:szCs w:val="18"/>
              </w:rPr>
              <w:t>Total nitrogen fertiliser</w:t>
            </w:r>
          </w:p>
        </w:tc>
        <w:tc>
          <w:tcPr>
            <w:tcW w:w="1474" w:type="dxa"/>
            <w:vMerge w:val="restart"/>
            <w:tcMar>
              <w:left w:w="57" w:type="dxa"/>
            </w:tcMar>
            <w:hideMark/>
          </w:tcPr>
          <w:p w14:paraId="3A1D5618" w14:textId="77777777" w:rsidR="00533D32" w:rsidRPr="00BD16B4" w:rsidRDefault="00533D32" w:rsidP="00C87B45">
            <w:pPr>
              <w:pStyle w:val="TableText"/>
              <w:spacing w:before="40" w:after="40"/>
              <w:rPr>
                <w:rFonts w:cs="Calibri"/>
                <w:szCs w:val="18"/>
              </w:rPr>
            </w:pPr>
            <w:r w:rsidRPr="00BD16B4">
              <w:rPr>
                <w:rFonts w:cs="Calibri"/>
                <w:szCs w:val="18"/>
              </w:rPr>
              <w:t>thousand tonnes per year</w:t>
            </w:r>
          </w:p>
        </w:tc>
        <w:tc>
          <w:tcPr>
            <w:tcW w:w="2405" w:type="dxa"/>
            <w:noWrap/>
            <w:hideMark/>
          </w:tcPr>
          <w:p w14:paraId="127C9A02" w14:textId="77777777" w:rsidR="00533D32" w:rsidRPr="00BD16B4" w:rsidRDefault="00533D32" w:rsidP="00C87B45">
            <w:pPr>
              <w:pStyle w:val="TableText"/>
              <w:spacing w:before="40" w:after="40"/>
              <w:rPr>
                <w:rFonts w:cs="Calibri"/>
                <w:szCs w:val="18"/>
              </w:rPr>
            </w:pPr>
            <w:r w:rsidRPr="00BD16B4">
              <w:rPr>
                <w:rFonts w:cs="Calibri"/>
                <w:szCs w:val="18"/>
              </w:rPr>
              <w:t>WEM/WAM</w:t>
            </w:r>
          </w:p>
        </w:tc>
        <w:tc>
          <w:tcPr>
            <w:tcW w:w="760" w:type="dxa"/>
            <w:noWrap/>
            <w:hideMark/>
          </w:tcPr>
          <w:p w14:paraId="512CF68C" w14:textId="77777777" w:rsidR="00533D32" w:rsidRPr="00BD16B4" w:rsidRDefault="00533D32" w:rsidP="00C87B45">
            <w:pPr>
              <w:pStyle w:val="TableText"/>
              <w:spacing w:before="40" w:after="40"/>
              <w:jc w:val="center"/>
              <w:rPr>
                <w:rFonts w:cs="Calibri"/>
                <w:szCs w:val="18"/>
              </w:rPr>
            </w:pPr>
            <w:r w:rsidRPr="00BD16B4">
              <w:rPr>
                <w:rFonts w:cs="Calibri"/>
                <w:szCs w:val="18"/>
              </w:rPr>
              <w:t>59</w:t>
            </w:r>
          </w:p>
        </w:tc>
        <w:tc>
          <w:tcPr>
            <w:tcW w:w="892" w:type="dxa"/>
            <w:noWrap/>
            <w:hideMark/>
          </w:tcPr>
          <w:p w14:paraId="44FB3F10" w14:textId="77777777" w:rsidR="00533D32" w:rsidRPr="00BD16B4" w:rsidRDefault="00533D32" w:rsidP="00C87B45">
            <w:pPr>
              <w:pStyle w:val="TableText"/>
              <w:spacing w:before="40" w:after="40"/>
              <w:jc w:val="center"/>
              <w:rPr>
                <w:rFonts w:cs="Calibri"/>
                <w:szCs w:val="18"/>
              </w:rPr>
            </w:pPr>
            <w:r w:rsidRPr="00BD16B4">
              <w:rPr>
                <w:rFonts w:cs="Calibri"/>
                <w:szCs w:val="18"/>
              </w:rPr>
              <w:t>151</w:t>
            </w:r>
          </w:p>
        </w:tc>
        <w:tc>
          <w:tcPr>
            <w:tcW w:w="892" w:type="dxa"/>
            <w:noWrap/>
            <w:hideMark/>
          </w:tcPr>
          <w:p w14:paraId="75AF195C" w14:textId="77777777" w:rsidR="00533D32" w:rsidRPr="00BD16B4" w:rsidRDefault="00533D32" w:rsidP="00C87B45">
            <w:pPr>
              <w:pStyle w:val="TableText"/>
              <w:spacing w:before="40" w:after="40"/>
              <w:jc w:val="center"/>
              <w:rPr>
                <w:rFonts w:cs="Calibri"/>
                <w:szCs w:val="18"/>
              </w:rPr>
            </w:pPr>
            <w:r w:rsidRPr="00BD16B4">
              <w:rPr>
                <w:rFonts w:cs="Calibri"/>
                <w:szCs w:val="18"/>
              </w:rPr>
              <w:t>189</w:t>
            </w:r>
          </w:p>
        </w:tc>
        <w:tc>
          <w:tcPr>
            <w:tcW w:w="892" w:type="dxa"/>
            <w:noWrap/>
            <w:hideMark/>
          </w:tcPr>
          <w:p w14:paraId="596CC260" w14:textId="77777777" w:rsidR="00533D32" w:rsidRPr="00BD16B4" w:rsidRDefault="00533D32" w:rsidP="00C87B45">
            <w:pPr>
              <w:pStyle w:val="TableText"/>
              <w:spacing w:before="40" w:after="40"/>
              <w:jc w:val="center"/>
              <w:rPr>
                <w:rFonts w:cs="Calibri"/>
                <w:szCs w:val="18"/>
              </w:rPr>
            </w:pPr>
            <w:r w:rsidRPr="00BD16B4">
              <w:rPr>
                <w:rFonts w:cs="Calibri"/>
                <w:szCs w:val="18"/>
              </w:rPr>
              <w:t>355</w:t>
            </w:r>
          </w:p>
        </w:tc>
        <w:tc>
          <w:tcPr>
            <w:tcW w:w="892" w:type="dxa"/>
            <w:noWrap/>
            <w:hideMark/>
          </w:tcPr>
          <w:p w14:paraId="3C69C2B4" w14:textId="77777777" w:rsidR="00533D32" w:rsidRPr="00BD16B4" w:rsidRDefault="00533D32" w:rsidP="00C87B45">
            <w:pPr>
              <w:pStyle w:val="TableText"/>
              <w:spacing w:before="40" w:after="40"/>
              <w:jc w:val="center"/>
              <w:rPr>
                <w:rFonts w:cs="Calibri"/>
                <w:szCs w:val="18"/>
              </w:rPr>
            </w:pPr>
            <w:r w:rsidRPr="00BD16B4">
              <w:rPr>
                <w:rFonts w:cs="Calibri"/>
                <w:szCs w:val="18"/>
              </w:rPr>
              <w:t>341</w:t>
            </w:r>
          </w:p>
        </w:tc>
        <w:tc>
          <w:tcPr>
            <w:tcW w:w="892" w:type="dxa"/>
            <w:noWrap/>
            <w:hideMark/>
          </w:tcPr>
          <w:p w14:paraId="405F4776" w14:textId="77777777" w:rsidR="00533D32" w:rsidRPr="00BD16B4" w:rsidRDefault="00533D32" w:rsidP="00C87B45">
            <w:pPr>
              <w:pStyle w:val="TableText"/>
              <w:spacing w:before="40" w:after="40"/>
              <w:jc w:val="center"/>
              <w:rPr>
                <w:rFonts w:cs="Calibri"/>
                <w:szCs w:val="18"/>
              </w:rPr>
            </w:pPr>
            <w:r w:rsidRPr="00BD16B4">
              <w:rPr>
                <w:rFonts w:cs="Calibri"/>
                <w:szCs w:val="18"/>
              </w:rPr>
              <w:t>429</w:t>
            </w:r>
          </w:p>
        </w:tc>
        <w:tc>
          <w:tcPr>
            <w:tcW w:w="892" w:type="dxa"/>
            <w:noWrap/>
            <w:hideMark/>
          </w:tcPr>
          <w:p w14:paraId="22454C11" w14:textId="77777777" w:rsidR="00533D32" w:rsidRPr="00BD16B4" w:rsidRDefault="00533D32" w:rsidP="00C87B45">
            <w:pPr>
              <w:pStyle w:val="TableText"/>
              <w:spacing w:before="40" w:after="40"/>
              <w:jc w:val="center"/>
              <w:rPr>
                <w:rFonts w:cs="Calibri"/>
                <w:szCs w:val="18"/>
              </w:rPr>
            </w:pPr>
            <w:r w:rsidRPr="00BD16B4">
              <w:rPr>
                <w:rFonts w:cs="Calibri"/>
                <w:szCs w:val="18"/>
              </w:rPr>
              <w:t>470</w:t>
            </w:r>
          </w:p>
        </w:tc>
        <w:tc>
          <w:tcPr>
            <w:tcW w:w="892" w:type="dxa"/>
            <w:shd w:val="clear" w:color="auto" w:fill="D2DDE1" w:themeFill="background2"/>
            <w:noWrap/>
            <w:hideMark/>
          </w:tcPr>
          <w:p w14:paraId="5783E59E" w14:textId="77777777" w:rsidR="00533D32" w:rsidRPr="00BD16B4" w:rsidRDefault="00533D32" w:rsidP="00C87B45">
            <w:pPr>
              <w:pStyle w:val="TableText"/>
              <w:spacing w:before="40" w:after="40"/>
              <w:jc w:val="center"/>
              <w:rPr>
                <w:rFonts w:cs="Calibri"/>
                <w:szCs w:val="18"/>
              </w:rPr>
            </w:pPr>
            <w:r w:rsidRPr="00BD16B4">
              <w:rPr>
                <w:rFonts w:cs="Calibri"/>
                <w:szCs w:val="18"/>
              </w:rPr>
              <w:t>450</w:t>
            </w:r>
          </w:p>
        </w:tc>
        <w:tc>
          <w:tcPr>
            <w:tcW w:w="892" w:type="dxa"/>
            <w:shd w:val="clear" w:color="auto" w:fill="D2DDE1" w:themeFill="background2"/>
            <w:noWrap/>
            <w:hideMark/>
          </w:tcPr>
          <w:p w14:paraId="7A0CB623" w14:textId="77777777" w:rsidR="00533D32" w:rsidRPr="00BD16B4" w:rsidRDefault="00533D32" w:rsidP="00C87B45">
            <w:pPr>
              <w:pStyle w:val="TableText"/>
              <w:spacing w:before="40" w:after="40"/>
              <w:jc w:val="center"/>
              <w:rPr>
                <w:rFonts w:cs="Calibri"/>
                <w:szCs w:val="18"/>
              </w:rPr>
            </w:pPr>
            <w:r w:rsidRPr="00BD16B4">
              <w:rPr>
                <w:rFonts w:cs="Calibri"/>
                <w:szCs w:val="18"/>
              </w:rPr>
              <w:t>424</w:t>
            </w:r>
          </w:p>
        </w:tc>
        <w:tc>
          <w:tcPr>
            <w:tcW w:w="892" w:type="dxa"/>
            <w:shd w:val="clear" w:color="auto" w:fill="D2DDE1" w:themeFill="background2"/>
            <w:noWrap/>
            <w:hideMark/>
          </w:tcPr>
          <w:p w14:paraId="54B45174" w14:textId="77777777" w:rsidR="00533D32" w:rsidRPr="00BD16B4" w:rsidRDefault="00533D32" w:rsidP="00C87B45">
            <w:pPr>
              <w:pStyle w:val="TableText"/>
              <w:spacing w:before="40" w:after="40"/>
              <w:jc w:val="center"/>
              <w:rPr>
                <w:rFonts w:cs="Calibri"/>
                <w:szCs w:val="18"/>
              </w:rPr>
            </w:pPr>
            <w:r w:rsidRPr="00BD16B4">
              <w:rPr>
                <w:rFonts w:cs="Calibri"/>
                <w:szCs w:val="18"/>
              </w:rPr>
              <w:t>398</w:t>
            </w:r>
          </w:p>
        </w:tc>
      </w:tr>
      <w:tr w:rsidR="00533D32" w:rsidRPr="00BD16B4" w14:paraId="626D3849" w14:textId="77777777" w:rsidTr="00315977">
        <w:tc>
          <w:tcPr>
            <w:tcW w:w="1928" w:type="dxa"/>
            <w:vMerge/>
            <w:hideMark/>
          </w:tcPr>
          <w:p w14:paraId="025076DC" w14:textId="77777777" w:rsidR="00533D32" w:rsidRPr="00BD16B4" w:rsidRDefault="00533D32" w:rsidP="00C87B45">
            <w:pPr>
              <w:pStyle w:val="TableText"/>
              <w:spacing w:before="40" w:after="40"/>
              <w:rPr>
                <w:rFonts w:cs="Calibri"/>
                <w:szCs w:val="18"/>
              </w:rPr>
            </w:pPr>
          </w:p>
        </w:tc>
        <w:tc>
          <w:tcPr>
            <w:tcW w:w="1474" w:type="dxa"/>
            <w:vMerge/>
            <w:tcMar>
              <w:left w:w="57" w:type="dxa"/>
            </w:tcMar>
            <w:hideMark/>
          </w:tcPr>
          <w:p w14:paraId="63EC88F2" w14:textId="77777777" w:rsidR="00533D32" w:rsidRPr="00BD16B4" w:rsidRDefault="00533D32" w:rsidP="00C87B45">
            <w:pPr>
              <w:pStyle w:val="TableText"/>
              <w:spacing w:before="40" w:after="40"/>
              <w:rPr>
                <w:rFonts w:cs="Calibri"/>
                <w:szCs w:val="18"/>
              </w:rPr>
            </w:pPr>
          </w:p>
        </w:tc>
        <w:tc>
          <w:tcPr>
            <w:tcW w:w="2405" w:type="dxa"/>
            <w:noWrap/>
            <w:hideMark/>
          </w:tcPr>
          <w:p w14:paraId="044EA082" w14:textId="77777777" w:rsidR="00533D32" w:rsidRPr="00BD16B4" w:rsidRDefault="00533D32" w:rsidP="00C87B45">
            <w:pPr>
              <w:pStyle w:val="TableText"/>
              <w:spacing w:before="40" w:after="40"/>
              <w:rPr>
                <w:rFonts w:cs="Calibri"/>
                <w:szCs w:val="18"/>
              </w:rPr>
            </w:pPr>
            <w:r w:rsidRPr="00BD16B4">
              <w:rPr>
                <w:rFonts w:cs="Calibri"/>
                <w:szCs w:val="18"/>
              </w:rPr>
              <w:t>WOM</w:t>
            </w:r>
          </w:p>
        </w:tc>
        <w:tc>
          <w:tcPr>
            <w:tcW w:w="760" w:type="dxa"/>
            <w:noWrap/>
            <w:hideMark/>
          </w:tcPr>
          <w:p w14:paraId="5770579E" w14:textId="77777777" w:rsidR="00533D32" w:rsidRPr="00BD16B4" w:rsidRDefault="00533D32" w:rsidP="00C87B45">
            <w:pPr>
              <w:pStyle w:val="TableText"/>
              <w:spacing w:before="40" w:after="40"/>
              <w:jc w:val="center"/>
              <w:rPr>
                <w:rFonts w:cs="Calibri"/>
                <w:szCs w:val="18"/>
              </w:rPr>
            </w:pPr>
            <w:r w:rsidRPr="00BD16B4">
              <w:rPr>
                <w:rFonts w:cs="Calibri"/>
                <w:szCs w:val="18"/>
              </w:rPr>
              <w:t>59</w:t>
            </w:r>
          </w:p>
        </w:tc>
        <w:tc>
          <w:tcPr>
            <w:tcW w:w="892" w:type="dxa"/>
            <w:noWrap/>
            <w:hideMark/>
          </w:tcPr>
          <w:p w14:paraId="0BDE31AD" w14:textId="77777777" w:rsidR="00533D32" w:rsidRPr="00BD16B4" w:rsidRDefault="00533D32" w:rsidP="00C87B45">
            <w:pPr>
              <w:pStyle w:val="TableText"/>
              <w:spacing w:before="40" w:after="40"/>
              <w:jc w:val="center"/>
              <w:rPr>
                <w:rFonts w:cs="Calibri"/>
                <w:szCs w:val="18"/>
              </w:rPr>
            </w:pPr>
            <w:r w:rsidRPr="00BD16B4">
              <w:rPr>
                <w:rFonts w:cs="Calibri"/>
                <w:szCs w:val="18"/>
              </w:rPr>
              <w:t>151</w:t>
            </w:r>
          </w:p>
        </w:tc>
        <w:tc>
          <w:tcPr>
            <w:tcW w:w="892" w:type="dxa"/>
            <w:noWrap/>
            <w:hideMark/>
          </w:tcPr>
          <w:p w14:paraId="66247530" w14:textId="77777777" w:rsidR="00533D32" w:rsidRPr="00BD16B4" w:rsidRDefault="00533D32" w:rsidP="00C87B45">
            <w:pPr>
              <w:pStyle w:val="TableText"/>
              <w:spacing w:before="40" w:after="40"/>
              <w:jc w:val="center"/>
              <w:rPr>
                <w:rFonts w:cs="Calibri"/>
                <w:szCs w:val="18"/>
              </w:rPr>
            </w:pPr>
            <w:r w:rsidRPr="00BD16B4">
              <w:rPr>
                <w:rFonts w:cs="Calibri"/>
                <w:szCs w:val="18"/>
              </w:rPr>
              <w:t>189</w:t>
            </w:r>
          </w:p>
        </w:tc>
        <w:tc>
          <w:tcPr>
            <w:tcW w:w="892" w:type="dxa"/>
            <w:noWrap/>
            <w:hideMark/>
          </w:tcPr>
          <w:p w14:paraId="1FB0AD3F" w14:textId="77777777" w:rsidR="00533D32" w:rsidRPr="00BD16B4" w:rsidRDefault="00533D32" w:rsidP="00C87B45">
            <w:pPr>
              <w:pStyle w:val="TableText"/>
              <w:spacing w:before="40" w:after="40"/>
              <w:jc w:val="center"/>
              <w:rPr>
                <w:rFonts w:cs="Calibri"/>
                <w:szCs w:val="18"/>
              </w:rPr>
            </w:pPr>
            <w:r w:rsidRPr="00BD16B4">
              <w:rPr>
                <w:rFonts w:cs="Calibri"/>
                <w:szCs w:val="18"/>
              </w:rPr>
              <w:t>355</w:t>
            </w:r>
          </w:p>
        </w:tc>
        <w:tc>
          <w:tcPr>
            <w:tcW w:w="892" w:type="dxa"/>
            <w:noWrap/>
            <w:hideMark/>
          </w:tcPr>
          <w:p w14:paraId="57F3188F" w14:textId="77777777" w:rsidR="00533D32" w:rsidRPr="00BD16B4" w:rsidRDefault="00533D32" w:rsidP="00C87B45">
            <w:pPr>
              <w:pStyle w:val="TableText"/>
              <w:spacing w:before="40" w:after="40"/>
              <w:jc w:val="center"/>
              <w:rPr>
                <w:rFonts w:cs="Calibri"/>
                <w:szCs w:val="18"/>
              </w:rPr>
            </w:pPr>
            <w:r w:rsidRPr="00BD16B4">
              <w:rPr>
                <w:rFonts w:cs="Calibri"/>
                <w:szCs w:val="18"/>
              </w:rPr>
              <w:t>341</w:t>
            </w:r>
          </w:p>
        </w:tc>
        <w:tc>
          <w:tcPr>
            <w:tcW w:w="892" w:type="dxa"/>
            <w:noWrap/>
            <w:hideMark/>
          </w:tcPr>
          <w:p w14:paraId="24021B84" w14:textId="77777777" w:rsidR="00533D32" w:rsidRPr="00BD16B4" w:rsidRDefault="00533D32" w:rsidP="00C87B45">
            <w:pPr>
              <w:pStyle w:val="TableText"/>
              <w:spacing w:before="40" w:after="40"/>
              <w:jc w:val="center"/>
              <w:rPr>
                <w:rFonts w:cs="Calibri"/>
                <w:szCs w:val="18"/>
              </w:rPr>
            </w:pPr>
            <w:r w:rsidRPr="00BD16B4">
              <w:rPr>
                <w:rFonts w:cs="Calibri"/>
                <w:szCs w:val="18"/>
              </w:rPr>
              <w:t>429</w:t>
            </w:r>
          </w:p>
        </w:tc>
        <w:tc>
          <w:tcPr>
            <w:tcW w:w="892" w:type="dxa"/>
            <w:noWrap/>
            <w:hideMark/>
          </w:tcPr>
          <w:p w14:paraId="7FE64A33" w14:textId="77777777" w:rsidR="00533D32" w:rsidRPr="00BD16B4" w:rsidRDefault="00533D32" w:rsidP="00C87B45">
            <w:pPr>
              <w:pStyle w:val="TableText"/>
              <w:spacing w:before="40" w:after="40"/>
              <w:jc w:val="center"/>
              <w:rPr>
                <w:rFonts w:cs="Calibri"/>
                <w:szCs w:val="18"/>
              </w:rPr>
            </w:pPr>
            <w:r w:rsidRPr="00BD16B4">
              <w:rPr>
                <w:rFonts w:cs="Calibri"/>
                <w:szCs w:val="18"/>
              </w:rPr>
              <w:t>470</w:t>
            </w:r>
          </w:p>
        </w:tc>
        <w:tc>
          <w:tcPr>
            <w:tcW w:w="892" w:type="dxa"/>
            <w:shd w:val="clear" w:color="auto" w:fill="D2DDE1" w:themeFill="background2"/>
            <w:noWrap/>
            <w:hideMark/>
          </w:tcPr>
          <w:p w14:paraId="40B99005" w14:textId="77777777" w:rsidR="00533D32" w:rsidRPr="00BD16B4" w:rsidRDefault="00533D32" w:rsidP="00C87B45">
            <w:pPr>
              <w:pStyle w:val="TableText"/>
              <w:spacing w:before="40" w:after="40"/>
              <w:jc w:val="center"/>
              <w:rPr>
                <w:rFonts w:cs="Calibri"/>
                <w:szCs w:val="18"/>
              </w:rPr>
            </w:pPr>
            <w:r w:rsidRPr="00BD16B4">
              <w:rPr>
                <w:rFonts w:cs="Calibri"/>
                <w:szCs w:val="18"/>
              </w:rPr>
              <w:t>455</w:t>
            </w:r>
          </w:p>
        </w:tc>
        <w:tc>
          <w:tcPr>
            <w:tcW w:w="892" w:type="dxa"/>
            <w:shd w:val="clear" w:color="auto" w:fill="D2DDE1" w:themeFill="background2"/>
            <w:noWrap/>
            <w:hideMark/>
          </w:tcPr>
          <w:p w14:paraId="29D6F5A5" w14:textId="77777777" w:rsidR="00533D32" w:rsidRPr="00BD16B4" w:rsidRDefault="00533D32" w:rsidP="00C87B45">
            <w:pPr>
              <w:pStyle w:val="TableText"/>
              <w:spacing w:before="40" w:after="40"/>
              <w:jc w:val="center"/>
              <w:rPr>
                <w:rFonts w:cs="Calibri"/>
                <w:szCs w:val="18"/>
              </w:rPr>
            </w:pPr>
            <w:r w:rsidRPr="00BD16B4">
              <w:rPr>
                <w:rFonts w:cs="Calibri"/>
                <w:szCs w:val="18"/>
              </w:rPr>
              <w:t>456</w:t>
            </w:r>
          </w:p>
        </w:tc>
        <w:tc>
          <w:tcPr>
            <w:tcW w:w="892" w:type="dxa"/>
            <w:shd w:val="clear" w:color="auto" w:fill="D2DDE1" w:themeFill="background2"/>
            <w:noWrap/>
            <w:hideMark/>
          </w:tcPr>
          <w:p w14:paraId="369A8F03" w14:textId="77777777" w:rsidR="00533D32" w:rsidRPr="00BD16B4" w:rsidRDefault="00533D32" w:rsidP="00C87B45">
            <w:pPr>
              <w:pStyle w:val="TableText"/>
              <w:spacing w:before="40" w:after="40"/>
              <w:jc w:val="center"/>
              <w:rPr>
                <w:rFonts w:cs="Calibri"/>
                <w:szCs w:val="18"/>
              </w:rPr>
            </w:pPr>
            <w:r w:rsidRPr="00BD16B4">
              <w:rPr>
                <w:rFonts w:cs="Calibri"/>
                <w:szCs w:val="18"/>
              </w:rPr>
              <w:t>456</w:t>
            </w:r>
          </w:p>
        </w:tc>
      </w:tr>
      <w:tr w:rsidR="00533D32" w:rsidRPr="00BD16B4" w14:paraId="64BC263C" w14:textId="77777777" w:rsidTr="00315977">
        <w:tc>
          <w:tcPr>
            <w:tcW w:w="1928" w:type="dxa"/>
            <w:vMerge w:val="restart"/>
            <w:noWrap/>
            <w:hideMark/>
          </w:tcPr>
          <w:p w14:paraId="13152C54" w14:textId="77777777" w:rsidR="00533D32" w:rsidRPr="00BD16B4" w:rsidRDefault="00533D32" w:rsidP="00C87B45">
            <w:pPr>
              <w:pStyle w:val="TableText"/>
              <w:spacing w:before="40" w:after="40"/>
              <w:rPr>
                <w:rFonts w:cs="Calibri"/>
                <w:szCs w:val="18"/>
              </w:rPr>
            </w:pPr>
            <w:r w:rsidRPr="00BD16B4">
              <w:rPr>
                <w:rFonts w:cs="Calibri"/>
                <w:szCs w:val="18"/>
              </w:rPr>
              <w:lastRenderedPageBreak/>
              <w:t>Total annual milk production</w:t>
            </w:r>
          </w:p>
        </w:tc>
        <w:tc>
          <w:tcPr>
            <w:tcW w:w="1474" w:type="dxa"/>
            <w:vMerge w:val="restart"/>
            <w:tcMar>
              <w:left w:w="57" w:type="dxa"/>
            </w:tcMar>
            <w:hideMark/>
          </w:tcPr>
          <w:p w14:paraId="2E5243E5" w14:textId="77777777" w:rsidR="00533D32" w:rsidRPr="00BD16B4" w:rsidRDefault="00533D32" w:rsidP="00C87B45">
            <w:pPr>
              <w:pStyle w:val="TableText"/>
              <w:spacing w:before="40" w:after="40"/>
              <w:rPr>
                <w:rFonts w:cs="Calibri"/>
                <w:szCs w:val="18"/>
              </w:rPr>
            </w:pPr>
            <w:r w:rsidRPr="00BD16B4">
              <w:rPr>
                <w:rFonts w:cs="Calibri"/>
                <w:szCs w:val="18"/>
              </w:rPr>
              <w:t>million litres per year</w:t>
            </w:r>
          </w:p>
        </w:tc>
        <w:tc>
          <w:tcPr>
            <w:tcW w:w="2405" w:type="dxa"/>
            <w:noWrap/>
            <w:hideMark/>
          </w:tcPr>
          <w:p w14:paraId="25037692" w14:textId="77777777" w:rsidR="00533D32" w:rsidRPr="00BD16B4" w:rsidRDefault="00533D32" w:rsidP="00C87B45">
            <w:pPr>
              <w:pStyle w:val="TableText"/>
              <w:spacing w:before="40" w:after="40"/>
              <w:rPr>
                <w:rFonts w:cs="Calibri"/>
                <w:szCs w:val="18"/>
              </w:rPr>
            </w:pPr>
            <w:r w:rsidRPr="00BD16B4">
              <w:rPr>
                <w:rFonts w:cs="Calibri"/>
                <w:szCs w:val="18"/>
              </w:rPr>
              <w:t>WEM/WAM</w:t>
            </w:r>
          </w:p>
        </w:tc>
        <w:tc>
          <w:tcPr>
            <w:tcW w:w="760" w:type="dxa"/>
            <w:noWrap/>
            <w:hideMark/>
          </w:tcPr>
          <w:p w14:paraId="10E8725E" w14:textId="77777777" w:rsidR="00533D32" w:rsidRPr="00BD16B4" w:rsidRDefault="00533D32" w:rsidP="00C87B45">
            <w:pPr>
              <w:pStyle w:val="TableText"/>
              <w:spacing w:before="40" w:after="40"/>
              <w:jc w:val="center"/>
              <w:rPr>
                <w:rFonts w:cs="Calibri"/>
                <w:szCs w:val="18"/>
              </w:rPr>
            </w:pPr>
            <w:r w:rsidRPr="00BD16B4">
              <w:rPr>
                <w:rFonts w:cs="Calibri"/>
                <w:szCs w:val="18"/>
              </w:rPr>
              <w:t>7,199</w:t>
            </w:r>
          </w:p>
        </w:tc>
        <w:tc>
          <w:tcPr>
            <w:tcW w:w="892" w:type="dxa"/>
            <w:noWrap/>
            <w:hideMark/>
          </w:tcPr>
          <w:p w14:paraId="407843E2" w14:textId="77777777" w:rsidR="00533D32" w:rsidRPr="00BD16B4" w:rsidRDefault="00533D32" w:rsidP="00C87B45">
            <w:pPr>
              <w:pStyle w:val="TableText"/>
              <w:spacing w:before="40" w:after="40"/>
              <w:jc w:val="center"/>
              <w:rPr>
                <w:rFonts w:cs="Calibri"/>
                <w:szCs w:val="18"/>
              </w:rPr>
            </w:pPr>
            <w:r w:rsidRPr="00BD16B4">
              <w:rPr>
                <w:rFonts w:cs="Calibri"/>
                <w:szCs w:val="18"/>
              </w:rPr>
              <w:t>8,957</w:t>
            </w:r>
          </w:p>
        </w:tc>
        <w:tc>
          <w:tcPr>
            <w:tcW w:w="892" w:type="dxa"/>
            <w:noWrap/>
            <w:hideMark/>
          </w:tcPr>
          <w:p w14:paraId="60D116BB" w14:textId="77777777" w:rsidR="00533D32" w:rsidRPr="00BD16B4" w:rsidRDefault="00533D32" w:rsidP="00C87B45">
            <w:pPr>
              <w:pStyle w:val="TableText"/>
              <w:spacing w:before="40" w:after="40"/>
              <w:jc w:val="center"/>
              <w:rPr>
                <w:rFonts w:cs="Calibri"/>
                <w:szCs w:val="18"/>
              </w:rPr>
            </w:pPr>
            <w:r w:rsidRPr="00BD16B4">
              <w:rPr>
                <w:rFonts w:cs="Calibri"/>
                <w:szCs w:val="18"/>
              </w:rPr>
              <w:t>11,630</w:t>
            </w:r>
          </w:p>
        </w:tc>
        <w:tc>
          <w:tcPr>
            <w:tcW w:w="892" w:type="dxa"/>
            <w:noWrap/>
            <w:hideMark/>
          </w:tcPr>
          <w:p w14:paraId="5061F7C6" w14:textId="77777777" w:rsidR="00533D32" w:rsidRPr="00BD16B4" w:rsidRDefault="00533D32" w:rsidP="00C87B45">
            <w:pPr>
              <w:pStyle w:val="TableText"/>
              <w:spacing w:before="40" w:after="40"/>
              <w:jc w:val="center"/>
              <w:rPr>
                <w:rFonts w:cs="Calibri"/>
                <w:szCs w:val="18"/>
              </w:rPr>
            </w:pPr>
            <w:r w:rsidRPr="00BD16B4">
              <w:rPr>
                <w:rFonts w:cs="Calibri"/>
                <w:szCs w:val="18"/>
              </w:rPr>
              <w:t>14,103</w:t>
            </w:r>
          </w:p>
        </w:tc>
        <w:tc>
          <w:tcPr>
            <w:tcW w:w="892" w:type="dxa"/>
            <w:noWrap/>
            <w:hideMark/>
          </w:tcPr>
          <w:p w14:paraId="596B39B9" w14:textId="77777777" w:rsidR="00533D32" w:rsidRPr="00BD16B4" w:rsidRDefault="00533D32" w:rsidP="00C87B45">
            <w:pPr>
              <w:pStyle w:val="TableText"/>
              <w:spacing w:before="40" w:after="40"/>
              <w:jc w:val="center"/>
              <w:rPr>
                <w:rFonts w:cs="Calibri"/>
                <w:szCs w:val="18"/>
              </w:rPr>
            </w:pPr>
            <w:r w:rsidRPr="00BD16B4">
              <w:rPr>
                <w:rFonts w:cs="Calibri"/>
                <w:szCs w:val="18"/>
              </w:rPr>
              <w:t>16,483</w:t>
            </w:r>
          </w:p>
        </w:tc>
        <w:tc>
          <w:tcPr>
            <w:tcW w:w="892" w:type="dxa"/>
            <w:noWrap/>
            <w:hideMark/>
          </w:tcPr>
          <w:p w14:paraId="01926366" w14:textId="77777777" w:rsidR="00533D32" w:rsidRPr="00BD16B4" w:rsidRDefault="00533D32" w:rsidP="00C87B45">
            <w:pPr>
              <w:pStyle w:val="TableText"/>
              <w:spacing w:before="40" w:after="40"/>
              <w:jc w:val="center"/>
              <w:rPr>
                <w:rFonts w:cs="Calibri"/>
                <w:szCs w:val="18"/>
              </w:rPr>
            </w:pPr>
            <w:r w:rsidRPr="00BD16B4">
              <w:rPr>
                <w:rFonts w:cs="Calibri"/>
                <w:szCs w:val="18"/>
              </w:rPr>
              <w:t>21,253</w:t>
            </w:r>
          </w:p>
        </w:tc>
        <w:tc>
          <w:tcPr>
            <w:tcW w:w="892" w:type="dxa"/>
            <w:noWrap/>
            <w:hideMark/>
          </w:tcPr>
          <w:p w14:paraId="67FBF6D3" w14:textId="77777777" w:rsidR="00533D32" w:rsidRPr="00BD16B4" w:rsidRDefault="00533D32" w:rsidP="00C87B45">
            <w:pPr>
              <w:pStyle w:val="TableText"/>
              <w:spacing w:before="40" w:after="40"/>
              <w:jc w:val="center"/>
              <w:rPr>
                <w:rFonts w:cs="Calibri"/>
                <w:szCs w:val="18"/>
              </w:rPr>
            </w:pPr>
            <w:r w:rsidRPr="00BD16B4">
              <w:rPr>
                <w:rFonts w:cs="Calibri"/>
                <w:szCs w:val="18"/>
              </w:rPr>
              <w:t>21,148</w:t>
            </w:r>
          </w:p>
        </w:tc>
        <w:tc>
          <w:tcPr>
            <w:tcW w:w="892" w:type="dxa"/>
            <w:shd w:val="clear" w:color="auto" w:fill="D2DDE1" w:themeFill="background2"/>
            <w:noWrap/>
            <w:hideMark/>
          </w:tcPr>
          <w:p w14:paraId="4838F464" w14:textId="77777777" w:rsidR="00533D32" w:rsidRPr="00BD16B4" w:rsidRDefault="00533D32" w:rsidP="00C87B45">
            <w:pPr>
              <w:pStyle w:val="TableText"/>
              <w:spacing w:before="40" w:after="40"/>
              <w:jc w:val="center"/>
              <w:rPr>
                <w:rFonts w:cs="Calibri"/>
                <w:szCs w:val="18"/>
              </w:rPr>
            </w:pPr>
            <w:r w:rsidRPr="00BD16B4">
              <w:rPr>
                <w:rFonts w:cs="Calibri"/>
                <w:szCs w:val="18"/>
              </w:rPr>
              <w:t>20,734</w:t>
            </w:r>
          </w:p>
        </w:tc>
        <w:tc>
          <w:tcPr>
            <w:tcW w:w="892" w:type="dxa"/>
            <w:shd w:val="clear" w:color="auto" w:fill="D2DDE1" w:themeFill="background2"/>
            <w:noWrap/>
            <w:hideMark/>
          </w:tcPr>
          <w:p w14:paraId="4C04694F" w14:textId="77777777" w:rsidR="00533D32" w:rsidRPr="00BD16B4" w:rsidRDefault="00533D32" w:rsidP="00C87B45">
            <w:pPr>
              <w:pStyle w:val="TableText"/>
              <w:spacing w:before="40" w:after="40"/>
              <w:jc w:val="center"/>
              <w:rPr>
                <w:rFonts w:cs="Calibri"/>
                <w:szCs w:val="18"/>
              </w:rPr>
            </w:pPr>
            <w:r w:rsidRPr="00BD16B4">
              <w:rPr>
                <w:rFonts w:cs="Calibri"/>
                <w:szCs w:val="18"/>
              </w:rPr>
              <w:t>20,935</w:t>
            </w:r>
          </w:p>
        </w:tc>
        <w:tc>
          <w:tcPr>
            <w:tcW w:w="892" w:type="dxa"/>
            <w:shd w:val="clear" w:color="auto" w:fill="D2DDE1" w:themeFill="background2"/>
            <w:noWrap/>
            <w:hideMark/>
          </w:tcPr>
          <w:p w14:paraId="6048D264" w14:textId="77777777" w:rsidR="00533D32" w:rsidRPr="00BD16B4" w:rsidRDefault="00533D32" w:rsidP="00C87B45">
            <w:pPr>
              <w:pStyle w:val="TableText"/>
              <w:spacing w:before="40" w:after="40"/>
              <w:jc w:val="center"/>
              <w:rPr>
                <w:rFonts w:cs="Calibri"/>
                <w:szCs w:val="18"/>
              </w:rPr>
            </w:pPr>
            <w:r w:rsidRPr="00BD16B4">
              <w:rPr>
                <w:rFonts w:cs="Calibri"/>
                <w:szCs w:val="18"/>
              </w:rPr>
              <w:t>21,058</w:t>
            </w:r>
          </w:p>
        </w:tc>
      </w:tr>
      <w:tr w:rsidR="00533D32" w:rsidRPr="00BD16B4" w14:paraId="74F58B6D" w14:textId="77777777" w:rsidTr="00315977">
        <w:tc>
          <w:tcPr>
            <w:tcW w:w="1928" w:type="dxa"/>
            <w:vMerge/>
            <w:hideMark/>
          </w:tcPr>
          <w:p w14:paraId="2113B8D2" w14:textId="77777777" w:rsidR="00533D32" w:rsidRPr="00BD16B4" w:rsidRDefault="00533D32" w:rsidP="00C87B45">
            <w:pPr>
              <w:pStyle w:val="TableText"/>
              <w:spacing w:before="40" w:after="40"/>
              <w:rPr>
                <w:rFonts w:cs="Calibri"/>
                <w:szCs w:val="18"/>
              </w:rPr>
            </w:pPr>
          </w:p>
        </w:tc>
        <w:tc>
          <w:tcPr>
            <w:tcW w:w="1474" w:type="dxa"/>
            <w:vMerge/>
            <w:tcMar>
              <w:left w:w="57" w:type="dxa"/>
            </w:tcMar>
            <w:hideMark/>
          </w:tcPr>
          <w:p w14:paraId="0CA60EC8" w14:textId="77777777" w:rsidR="00533D32" w:rsidRPr="00BD16B4" w:rsidRDefault="00533D32" w:rsidP="00C87B45">
            <w:pPr>
              <w:pStyle w:val="TableText"/>
              <w:spacing w:before="40" w:after="40"/>
              <w:rPr>
                <w:rFonts w:cs="Calibri"/>
                <w:szCs w:val="18"/>
              </w:rPr>
            </w:pPr>
          </w:p>
        </w:tc>
        <w:tc>
          <w:tcPr>
            <w:tcW w:w="2405" w:type="dxa"/>
            <w:noWrap/>
            <w:hideMark/>
          </w:tcPr>
          <w:p w14:paraId="5991D4DD" w14:textId="77777777" w:rsidR="00533D32" w:rsidRPr="00BD16B4" w:rsidRDefault="00533D32" w:rsidP="00C87B45">
            <w:pPr>
              <w:pStyle w:val="TableText"/>
              <w:spacing w:before="40" w:after="40"/>
              <w:rPr>
                <w:rFonts w:cs="Calibri"/>
                <w:szCs w:val="18"/>
              </w:rPr>
            </w:pPr>
            <w:r w:rsidRPr="00BD16B4">
              <w:rPr>
                <w:rFonts w:cs="Calibri"/>
                <w:szCs w:val="18"/>
              </w:rPr>
              <w:t>WOM</w:t>
            </w:r>
          </w:p>
        </w:tc>
        <w:tc>
          <w:tcPr>
            <w:tcW w:w="760" w:type="dxa"/>
            <w:noWrap/>
            <w:hideMark/>
          </w:tcPr>
          <w:p w14:paraId="4AA003B1" w14:textId="77777777" w:rsidR="00533D32" w:rsidRPr="00BD16B4" w:rsidRDefault="00533D32" w:rsidP="00C87B45">
            <w:pPr>
              <w:pStyle w:val="TableText"/>
              <w:spacing w:before="40" w:after="40"/>
              <w:jc w:val="center"/>
              <w:rPr>
                <w:rFonts w:cs="Calibri"/>
                <w:szCs w:val="18"/>
              </w:rPr>
            </w:pPr>
            <w:r w:rsidRPr="00BD16B4">
              <w:rPr>
                <w:rFonts w:cs="Calibri"/>
                <w:szCs w:val="18"/>
              </w:rPr>
              <w:t>7,199</w:t>
            </w:r>
          </w:p>
        </w:tc>
        <w:tc>
          <w:tcPr>
            <w:tcW w:w="892" w:type="dxa"/>
            <w:noWrap/>
            <w:hideMark/>
          </w:tcPr>
          <w:p w14:paraId="77BA7C3B" w14:textId="77777777" w:rsidR="00533D32" w:rsidRPr="00BD16B4" w:rsidRDefault="00533D32" w:rsidP="00C87B45">
            <w:pPr>
              <w:pStyle w:val="TableText"/>
              <w:spacing w:before="40" w:after="40"/>
              <w:jc w:val="center"/>
              <w:rPr>
                <w:rFonts w:cs="Calibri"/>
                <w:szCs w:val="18"/>
              </w:rPr>
            </w:pPr>
            <w:r w:rsidRPr="00BD16B4">
              <w:rPr>
                <w:rFonts w:cs="Calibri"/>
                <w:szCs w:val="18"/>
              </w:rPr>
              <w:t>8,959</w:t>
            </w:r>
          </w:p>
        </w:tc>
        <w:tc>
          <w:tcPr>
            <w:tcW w:w="892" w:type="dxa"/>
            <w:noWrap/>
            <w:hideMark/>
          </w:tcPr>
          <w:p w14:paraId="483CE8F5" w14:textId="77777777" w:rsidR="00533D32" w:rsidRPr="00BD16B4" w:rsidRDefault="00533D32" w:rsidP="00C87B45">
            <w:pPr>
              <w:pStyle w:val="TableText"/>
              <w:spacing w:before="40" w:after="40"/>
              <w:jc w:val="center"/>
              <w:rPr>
                <w:rFonts w:cs="Calibri"/>
                <w:szCs w:val="18"/>
              </w:rPr>
            </w:pPr>
            <w:r w:rsidRPr="00BD16B4">
              <w:rPr>
                <w:rFonts w:cs="Calibri"/>
                <w:szCs w:val="18"/>
              </w:rPr>
              <w:t>11,638</w:t>
            </w:r>
          </w:p>
        </w:tc>
        <w:tc>
          <w:tcPr>
            <w:tcW w:w="892" w:type="dxa"/>
            <w:noWrap/>
            <w:hideMark/>
          </w:tcPr>
          <w:p w14:paraId="63C1CCDA" w14:textId="77777777" w:rsidR="00533D32" w:rsidRPr="00BD16B4" w:rsidRDefault="00533D32" w:rsidP="00C87B45">
            <w:pPr>
              <w:pStyle w:val="TableText"/>
              <w:spacing w:before="40" w:after="40"/>
              <w:jc w:val="center"/>
              <w:rPr>
                <w:rFonts w:cs="Calibri"/>
                <w:szCs w:val="18"/>
              </w:rPr>
            </w:pPr>
            <w:r w:rsidRPr="00BD16B4">
              <w:rPr>
                <w:rFonts w:cs="Calibri"/>
                <w:szCs w:val="18"/>
              </w:rPr>
              <w:t>14,114</w:t>
            </w:r>
          </w:p>
        </w:tc>
        <w:tc>
          <w:tcPr>
            <w:tcW w:w="892" w:type="dxa"/>
            <w:noWrap/>
            <w:hideMark/>
          </w:tcPr>
          <w:p w14:paraId="1CDCBCD6" w14:textId="77777777" w:rsidR="00533D32" w:rsidRPr="00BD16B4" w:rsidRDefault="00533D32" w:rsidP="00C87B45">
            <w:pPr>
              <w:pStyle w:val="TableText"/>
              <w:spacing w:before="40" w:after="40"/>
              <w:jc w:val="center"/>
              <w:rPr>
                <w:rFonts w:cs="Calibri"/>
                <w:szCs w:val="18"/>
              </w:rPr>
            </w:pPr>
            <w:r w:rsidRPr="00BD16B4">
              <w:rPr>
                <w:rFonts w:cs="Calibri"/>
                <w:szCs w:val="18"/>
              </w:rPr>
              <w:t>16,500</w:t>
            </w:r>
          </w:p>
        </w:tc>
        <w:tc>
          <w:tcPr>
            <w:tcW w:w="892" w:type="dxa"/>
            <w:noWrap/>
            <w:hideMark/>
          </w:tcPr>
          <w:p w14:paraId="5B4517F6" w14:textId="77777777" w:rsidR="00533D32" w:rsidRPr="00BD16B4" w:rsidRDefault="00533D32" w:rsidP="00C87B45">
            <w:pPr>
              <w:pStyle w:val="TableText"/>
              <w:spacing w:before="40" w:after="40"/>
              <w:jc w:val="center"/>
              <w:rPr>
                <w:rFonts w:cs="Calibri"/>
                <w:szCs w:val="18"/>
              </w:rPr>
            </w:pPr>
            <w:r w:rsidRPr="00BD16B4">
              <w:rPr>
                <w:rFonts w:cs="Calibri"/>
                <w:szCs w:val="18"/>
              </w:rPr>
              <w:t>21,290</w:t>
            </w:r>
          </w:p>
        </w:tc>
        <w:tc>
          <w:tcPr>
            <w:tcW w:w="892" w:type="dxa"/>
            <w:noWrap/>
            <w:hideMark/>
          </w:tcPr>
          <w:p w14:paraId="04B51761" w14:textId="77777777" w:rsidR="00533D32" w:rsidRPr="00BD16B4" w:rsidRDefault="00533D32" w:rsidP="00C87B45">
            <w:pPr>
              <w:pStyle w:val="TableText"/>
              <w:spacing w:before="40" w:after="40"/>
              <w:jc w:val="center"/>
              <w:rPr>
                <w:rFonts w:cs="Calibri"/>
                <w:szCs w:val="18"/>
              </w:rPr>
            </w:pPr>
            <w:r w:rsidRPr="00BD16B4">
              <w:rPr>
                <w:rFonts w:cs="Calibri"/>
                <w:szCs w:val="18"/>
              </w:rPr>
              <w:t>21,217</w:t>
            </w:r>
          </w:p>
        </w:tc>
        <w:tc>
          <w:tcPr>
            <w:tcW w:w="892" w:type="dxa"/>
            <w:shd w:val="clear" w:color="auto" w:fill="D2DDE1" w:themeFill="background2"/>
            <w:noWrap/>
            <w:hideMark/>
          </w:tcPr>
          <w:p w14:paraId="324EA401" w14:textId="77777777" w:rsidR="00533D32" w:rsidRPr="00BD16B4" w:rsidRDefault="00533D32" w:rsidP="00C87B45">
            <w:pPr>
              <w:pStyle w:val="TableText"/>
              <w:spacing w:before="40" w:after="40"/>
              <w:jc w:val="center"/>
              <w:rPr>
                <w:rFonts w:cs="Calibri"/>
                <w:szCs w:val="18"/>
              </w:rPr>
            </w:pPr>
            <w:r w:rsidRPr="00BD16B4">
              <w:rPr>
                <w:rFonts w:cs="Calibri"/>
                <w:szCs w:val="18"/>
              </w:rPr>
              <w:t>20,893</w:t>
            </w:r>
          </w:p>
        </w:tc>
        <w:tc>
          <w:tcPr>
            <w:tcW w:w="892" w:type="dxa"/>
            <w:shd w:val="clear" w:color="auto" w:fill="D2DDE1" w:themeFill="background2"/>
            <w:noWrap/>
            <w:hideMark/>
          </w:tcPr>
          <w:p w14:paraId="0DF683F2" w14:textId="77777777" w:rsidR="00533D32" w:rsidRPr="00BD16B4" w:rsidRDefault="00533D32" w:rsidP="00C87B45">
            <w:pPr>
              <w:pStyle w:val="TableText"/>
              <w:spacing w:before="40" w:after="40"/>
              <w:jc w:val="center"/>
              <w:rPr>
                <w:rFonts w:cs="Calibri"/>
                <w:szCs w:val="18"/>
              </w:rPr>
            </w:pPr>
            <w:r w:rsidRPr="00BD16B4">
              <w:rPr>
                <w:rFonts w:cs="Calibri"/>
                <w:szCs w:val="18"/>
              </w:rPr>
              <w:t>21,639</w:t>
            </w:r>
          </w:p>
        </w:tc>
        <w:tc>
          <w:tcPr>
            <w:tcW w:w="892" w:type="dxa"/>
            <w:shd w:val="clear" w:color="auto" w:fill="D2DDE1" w:themeFill="background2"/>
            <w:noWrap/>
            <w:hideMark/>
          </w:tcPr>
          <w:p w14:paraId="45309CA0" w14:textId="77777777" w:rsidR="00533D32" w:rsidRPr="00BD16B4" w:rsidRDefault="00533D32" w:rsidP="00C87B45">
            <w:pPr>
              <w:pStyle w:val="TableText"/>
              <w:spacing w:before="40" w:after="40"/>
              <w:jc w:val="center"/>
              <w:rPr>
                <w:rFonts w:cs="Calibri"/>
                <w:szCs w:val="18"/>
              </w:rPr>
            </w:pPr>
            <w:r w:rsidRPr="00BD16B4">
              <w:rPr>
                <w:rFonts w:cs="Calibri"/>
                <w:szCs w:val="18"/>
              </w:rPr>
              <w:t>22,461</w:t>
            </w:r>
          </w:p>
        </w:tc>
      </w:tr>
      <w:tr w:rsidR="00533D32" w:rsidRPr="00BD16B4" w14:paraId="02E495DF" w14:textId="77777777" w:rsidTr="00315977">
        <w:tc>
          <w:tcPr>
            <w:tcW w:w="1928" w:type="dxa"/>
            <w:vMerge w:val="restart"/>
            <w:noWrap/>
            <w:hideMark/>
          </w:tcPr>
          <w:p w14:paraId="0AF2C49E" w14:textId="77777777" w:rsidR="00533D32" w:rsidRPr="00BD16B4" w:rsidRDefault="00533D32" w:rsidP="00C87B45">
            <w:pPr>
              <w:pStyle w:val="TableText"/>
              <w:spacing w:before="40" w:after="40"/>
              <w:rPr>
                <w:rFonts w:cs="Calibri"/>
                <w:szCs w:val="18"/>
              </w:rPr>
            </w:pPr>
            <w:r w:rsidRPr="00BD16B4">
              <w:rPr>
                <w:rFonts w:cs="Calibri"/>
                <w:szCs w:val="18"/>
              </w:rPr>
              <w:t>Total Dairy Cows</w:t>
            </w:r>
          </w:p>
        </w:tc>
        <w:tc>
          <w:tcPr>
            <w:tcW w:w="1474" w:type="dxa"/>
            <w:vMerge w:val="restart"/>
            <w:tcMar>
              <w:left w:w="57" w:type="dxa"/>
            </w:tcMar>
            <w:hideMark/>
          </w:tcPr>
          <w:p w14:paraId="1E6DAA28" w14:textId="77777777" w:rsidR="00533D32" w:rsidRPr="00BD16B4" w:rsidRDefault="00533D32" w:rsidP="00C87B45">
            <w:pPr>
              <w:pStyle w:val="TableText"/>
              <w:spacing w:before="40" w:after="40"/>
              <w:rPr>
                <w:rFonts w:cs="Calibri"/>
                <w:szCs w:val="18"/>
              </w:rPr>
            </w:pPr>
            <w:r w:rsidRPr="00BD16B4">
              <w:rPr>
                <w:rFonts w:cs="Calibri"/>
                <w:szCs w:val="18"/>
              </w:rPr>
              <w:t>thousand head</w:t>
            </w:r>
          </w:p>
        </w:tc>
        <w:tc>
          <w:tcPr>
            <w:tcW w:w="2405" w:type="dxa"/>
            <w:noWrap/>
            <w:hideMark/>
          </w:tcPr>
          <w:p w14:paraId="70258251" w14:textId="77777777" w:rsidR="00533D32" w:rsidRPr="00BD16B4" w:rsidRDefault="00533D32" w:rsidP="00C87B45">
            <w:pPr>
              <w:pStyle w:val="TableText"/>
              <w:spacing w:before="40" w:after="40"/>
              <w:rPr>
                <w:rFonts w:cs="Calibri"/>
                <w:szCs w:val="18"/>
              </w:rPr>
            </w:pPr>
            <w:r w:rsidRPr="00BD16B4">
              <w:rPr>
                <w:rFonts w:cs="Calibri"/>
                <w:szCs w:val="18"/>
              </w:rPr>
              <w:t>WEM/WAM</w:t>
            </w:r>
          </w:p>
        </w:tc>
        <w:tc>
          <w:tcPr>
            <w:tcW w:w="760" w:type="dxa"/>
            <w:noWrap/>
            <w:hideMark/>
          </w:tcPr>
          <w:p w14:paraId="6A0549B2" w14:textId="77777777" w:rsidR="00533D32" w:rsidRPr="00BD16B4" w:rsidRDefault="00533D32" w:rsidP="00C87B45">
            <w:pPr>
              <w:pStyle w:val="TableText"/>
              <w:spacing w:before="40" w:after="40"/>
              <w:jc w:val="center"/>
              <w:rPr>
                <w:rFonts w:cs="Calibri"/>
                <w:szCs w:val="18"/>
              </w:rPr>
            </w:pPr>
            <w:r w:rsidRPr="00BD16B4">
              <w:rPr>
                <w:rFonts w:cs="Calibri"/>
                <w:szCs w:val="18"/>
              </w:rPr>
              <w:t>3,302</w:t>
            </w:r>
          </w:p>
        </w:tc>
        <w:tc>
          <w:tcPr>
            <w:tcW w:w="892" w:type="dxa"/>
            <w:noWrap/>
            <w:hideMark/>
          </w:tcPr>
          <w:p w14:paraId="67E91DA2" w14:textId="77777777" w:rsidR="00533D32" w:rsidRPr="00BD16B4" w:rsidRDefault="00533D32" w:rsidP="00C87B45">
            <w:pPr>
              <w:pStyle w:val="TableText"/>
              <w:spacing w:before="40" w:after="40"/>
              <w:jc w:val="center"/>
              <w:rPr>
                <w:rFonts w:cs="Calibri"/>
                <w:szCs w:val="18"/>
              </w:rPr>
            </w:pPr>
            <w:r w:rsidRPr="00BD16B4">
              <w:rPr>
                <w:rFonts w:cs="Calibri"/>
                <w:szCs w:val="18"/>
              </w:rPr>
              <w:t>3,839</w:t>
            </w:r>
          </w:p>
        </w:tc>
        <w:tc>
          <w:tcPr>
            <w:tcW w:w="892" w:type="dxa"/>
            <w:noWrap/>
            <w:hideMark/>
          </w:tcPr>
          <w:p w14:paraId="7522C63C" w14:textId="77777777" w:rsidR="00533D32" w:rsidRPr="00BD16B4" w:rsidRDefault="00533D32" w:rsidP="00C87B45">
            <w:pPr>
              <w:pStyle w:val="TableText"/>
              <w:spacing w:before="40" w:after="40"/>
              <w:jc w:val="center"/>
              <w:rPr>
                <w:rFonts w:cs="Calibri"/>
                <w:szCs w:val="18"/>
              </w:rPr>
            </w:pPr>
            <w:r w:rsidRPr="00BD16B4">
              <w:rPr>
                <w:rFonts w:cs="Calibri"/>
                <w:szCs w:val="18"/>
              </w:rPr>
              <w:t>4,316</w:t>
            </w:r>
          </w:p>
        </w:tc>
        <w:tc>
          <w:tcPr>
            <w:tcW w:w="892" w:type="dxa"/>
            <w:noWrap/>
            <w:hideMark/>
          </w:tcPr>
          <w:p w14:paraId="521BEBB3" w14:textId="77777777" w:rsidR="00533D32" w:rsidRPr="00BD16B4" w:rsidRDefault="00533D32" w:rsidP="00C87B45">
            <w:pPr>
              <w:pStyle w:val="TableText"/>
              <w:spacing w:before="40" w:after="40"/>
              <w:jc w:val="center"/>
              <w:rPr>
                <w:rFonts w:cs="Calibri"/>
                <w:szCs w:val="18"/>
              </w:rPr>
            </w:pPr>
            <w:r w:rsidRPr="00BD16B4">
              <w:rPr>
                <w:rFonts w:cs="Calibri"/>
                <w:szCs w:val="18"/>
              </w:rPr>
              <w:t>5,152</w:t>
            </w:r>
          </w:p>
        </w:tc>
        <w:tc>
          <w:tcPr>
            <w:tcW w:w="892" w:type="dxa"/>
            <w:noWrap/>
            <w:hideMark/>
          </w:tcPr>
          <w:p w14:paraId="142E0E44" w14:textId="77777777" w:rsidR="00533D32" w:rsidRPr="00BD16B4" w:rsidRDefault="00533D32" w:rsidP="00C87B45">
            <w:pPr>
              <w:pStyle w:val="TableText"/>
              <w:spacing w:before="40" w:after="40"/>
              <w:jc w:val="center"/>
              <w:rPr>
                <w:rFonts w:cs="Calibri"/>
                <w:szCs w:val="18"/>
              </w:rPr>
            </w:pPr>
            <w:r w:rsidRPr="00BD16B4">
              <w:rPr>
                <w:rFonts w:cs="Calibri"/>
                <w:szCs w:val="18"/>
              </w:rPr>
              <w:t>5,861</w:t>
            </w:r>
          </w:p>
        </w:tc>
        <w:tc>
          <w:tcPr>
            <w:tcW w:w="892" w:type="dxa"/>
            <w:noWrap/>
            <w:hideMark/>
          </w:tcPr>
          <w:p w14:paraId="45E6112F" w14:textId="77777777" w:rsidR="00533D32" w:rsidRPr="00BD16B4" w:rsidRDefault="00533D32" w:rsidP="00C87B45">
            <w:pPr>
              <w:pStyle w:val="TableText"/>
              <w:spacing w:before="40" w:after="40"/>
              <w:jc w:val="center"/>
              <w:rPr>
                <w:rFonts w:cs="Calibri"/>
                <w:szCs w:val="18"/>
              </w:rPr>
            </w:pPr>
            <w:r w:rsidRPr="00BD16B4">
              <w:rPr>
                <w:rFonts w:cs="Calibri"/>
                <w:szCs w:val="18"/>
              </w:rPr>
              <w:t>6,698</w:t>
            </w:r>
          </w:p>
        </w:tc>
        <w:tc>
          <w:tcPr>
            <w:tcW w:w="892" w:type="dxa"/>
            <w:noWrap/>
            <w:hideMark/>
          </w:tcPr>
          <w:p w14:paraId="262E00AE" w14:textId="77777777" w:rsidR="00533D32" w:rsidRPr="00BD16B4" w:rsidRDefault="00533D32" w:rsidP="00C87B45">
            <w:pPr>
              <w:pStyle w:val="TableText"/>
              <w:spacing w:before="40" w:after="40"/>
              <w:jc w:val="center"/>
              <w:rPr>
                <w:rFonts w:cs="Calibri"/>
                <w:szCs w:val="18"/>
              </w:rPr>
            </w:pPr>
            <w:r w:rsidRPr="00BD16B4">
              <w:rPr>
                <w:rFonts w:cs="Calibri"/>
                <w:szCs w:val="18"/>
              </w:rPr>
              <w:t>6,361</w:t>
            </w:r>
          </w:p>
        </w:tc>
        <w:tc>
          <w:tcPr>
            <w:tcW w:w="892" w:type="dxa"/>
            <w:shd w:val="clear" w:color="auto" w:fill="D2DDE1" w:themeFill="background2"/>
            <w:noWrap/>
            <w:hideMark/>
          </w:tcPr>
          <w:p w14:paraId="4DDCED6D" w14:textId="77777777" w:rsidR="00533D32" w:rsidRPr="00BD16B4" w:rsidRDefault="00533D32" w:rsidP="00C87B45">
            <w:pPr>
              <w:pStyle w:val="TableText"/>
              <w:spacing w:before="40" w:after="40"/>
              <w:jc w:val="center"/>
              <w:rPr>
                <w:rFonts w:cs="Calibri"/>
                <w:szCs w:val="18"/>
              </w:rPr>
            </w:pPr>
            <w:r w:rsidRPr="00BD16B4">
              <w:rPr>
                <w:rFonts w:cs="Calibri"/>
                <w:szCs w:val="18"/>
              </w:rPr>
              <w:t>6,055</w:t>
            </w:r>
          </w:p>
        </w:tc>
        <w:tc>
          <w:tcPr>
            <w:tcW w:w="892" w:type="dxa"/>
            <w:shd w:val="clear" w:color="auto" w:fill="D2DDE1" w:themeFill="background2"/>
            <w:noWrap/>
            <w:hideMark/>
          </w:tcPr>
          <w:p w14:paraId="2F8D3CC0" w14:textId="77777777" w:rsidR="00533D32" w:rsidRPr="00BD16B4" w:rsidRDefault="00533D32" w:rsidP="00C87B45">
            <w:pPr>
              <w:pStyle w:val="TableText"/>
              <w:spacing w:before="40" w:after="40"/>
              <w:jc w:val="center"/>
              <w:rPr>
                <w:rFonts w:cs="Calibri"/>
                <w:szCs w:val="18"/>
              </w:rPr>
            </w:pPr>
            <w:r w:rsidRPr="00BD16B4">
              <w:rPr>
                <w:rFonts w:cs="Calibri"/>
                <w:szCs w:val="18"/>
              </w:rPr>
              <w:t>5,875</w:t>
            </w:r>
          </w:p>
        </w:tc>
        <w:tc>
          <w:tcPr>
            <w:tcW w:w="892" w:type="dxa"/>
            <w:shd w:val="clear" w:color="auto" w:fill="D2DDE1" w:themeFill="background2"/>
            <w:noWrap/>
            <w:hideMark/>
          </w:tcPr>
          <w:p w14:paraId="58605688" w14:textId="77777777" w:rsidR="00533D32" w:rsidRPr="00BD16B4" w:rsidRDefault="00533D32" w:rsidP="00C87B45">
            <w:pPr>
              <w:pStyle w:val="TableText"/>
              <w:spacing w:before="40" w:after="40"/>
              <w:jc w:val="center"/>
              <w:rPr>
                <w:rFonts w:cs="Calibri"/>
                <w:szCs w:val="18"/>
              </w:rPr>
            </w:pPr>
            <w:r w:rsidRPr="00BD16B4">
              <w:rPr>
                <w:rFonts w:cs="Calibri"/>
                <w:szCs w:val="18"/>
              </w:rPr>
              <w:t>5,709</w:t>
            </w:r>
          </w:p>
        </w:tc>
      </w:tr>
      <w:tr w:rsidR="00533D32" w:rsidRPr="00BD16B4" w14:paraId="2F05321C" w14:textId="77777777" w:rsidTr="00315977">
        <w:tc>
          <w:tcPr>
            <w:tcW w:w="1928" w:type="dxa"/>
            <w:vMerge/>
            <w:hideMark/>
          </w:tcPr>
          <w:p w14:paraId="16564629" w14:textId="77777777" w:rsidR="00533D32" w:rsidRPr="00BD16B4" w:rsidRDefault="00533D32" w:rsidP="00C87B45">
            <w:pPr>
              <w:pStyle w:val="TableText"/>
              <w:spacing w:before="40" w:after="40"/>
              <w:rPr>
                <w:rFonts w:cs="Calibri"/>
                <w:szCs w:val="18"/>
              </w:rPr>
            </w:pPr>
          </w:p>
        </w:tc>
        <w:tc>
          <w:tcPr>
            <w:tcW w:w="1474" w:type="dxa"/>
            <w:vMerge/>
            <w:tcMar>
              <w:left w:w="57" w:type="dxa"/>
            </w:tcMar>
            <w:hideMark/>
          </w:tcPr>
          <w:p w14:paraId="06CE4494" w14:textId="77777777" w:rsidR="00533D32" w:rsidRPr="00BD16B4" w:rsidRDefault="00533D32" w:rsidP="00C87B45">
            <w:pPr>
              <w:pStyle w:val="TableText"/>
              <w:spacing w:before="40" w:after="40"/>
              <w:rPr>
                <w:rFonts w:cs="Calibri"/>
                <w:szCs w:val="18"/>
              </w:rPr>
            </w:pPr>
          </w:p>
        </w:tc>
        <w:tc>
          <w:tcPr>
            <w:tcW w:w="2405" w:type="dxa"/>
            <w:noWrap/>
            <w:hideMark/>
          </w:tcPr>
          <w:p w14:paraId="3229964B" w14:textId="77777777" w:rsidR="00533D32" w:rsidRPr="00BD16B4" w:rsidRDefault="00533D32" w:rsidP="00C87B45">
            <w:pPr>
              <w:pStyle w:val="TableText"/>
              <w:spacing w:before="40" w:after="40"/>
              <w:rPr>
                <w:rFonts w:cs="Calibri"/>
                <w:szCs w:val="18"/>
              </w:rPr>
            </w:pPr>
            <w:r w:rsidRPr="00BD16B4">
              <w:rPr>
                <w:rFonts w:cs="Calibri"/>
                <w:szCs w:val="18"/>
              </w:rPr>
              <w:t>WOM</w:t>
            </w:r>
          </w:p>
        </w:tc>
        <w:tc>
          <w:tcPr>
            <w:tcW w:w="760" w:type="dxa"/>
            <w:noWrap/>
            <w:hideMark/>
          </w:tcPr>
          <w:p w14:paraId="00777B64" w14:textId="77777777" w:rsidR="00533D32" w:rsidRPr="00BD16B4" w:rsidRDefault="00533D32" w:rsidP="00C87B45">
            <w:pPr>
              <w:pStyle w:val="TableText"/>
              <w:spacing w:before="40" w:after="40"/>
              <w:jc w:val="center"/>
              <w:rPr>
                <w:rFonts w:cs="Calibri"/>
                <w:szCs w:val="18"/>
              </w:rPr>
            </w:pPr>
            <w:r w:rsidRPr="00BD16B4">
              <w:rPr>
                <w:rFonts w:cs="Calibri"/>
                <w:szCs w:val="18"/>
              </w:rPr>
              <w:t>3,302</w:t>
            </w:r>
          </w:p>
        </w:tc>
        <w:tc>
          <w:tcPr>
            <w:tcW w:w="892" w:type="dxa"/>
            <w:noWrap/>
            <w:hideMark/>
          </w:tcPr>
          <w:p w14:paraId="02C54B07" w14:textId="77777777" w:rsidR="00533D32" w:rsidRPr="00BD16B4" w:rsidRDefault="00533D32" w:rsidP="00C87B45">
            <w:pPr>
              <w:pStyle w:val="TableText"/>
              <w:spacing w:before="40" w:after="40"/>
              <w:jc w:val="center"/>
              <w:rPr>
                <w:rFonts w:cs="Calibri"/>
                <w:szCs w:val="18"/>
              </w:rPr>
            </w:pPr>
            <w:r w:rsidRPr="00BD16B4">
              <w:rPr>
                <w:rFonts w:cs="Calibri"/>
                <w:szCs w:val="18"/>
              </w:rPr>
              <w:t>3,840</w:t>
            </w:r>
          </w:p>
        </w:tc>
        <w:tc>
          <w:tcPr>
            <w:tcW w:w="892" w:type="dxa"/>
            <w:noWrap/>
            <w:hideMark/>
          </w:tcPr>
          <w:p w14:paraId="65DBF8A6" w14:textId="77777777" w:rsidR="00533D32" w:rsidRPr="00BD16B4" w:rsidRDefault="00533D32" w:rsidP="00C87B45">
            <w:pPr>
              <w:pStyle w:val="TableText"/>
              <w:spacing w:before="40" w:after="40"/>
              <w:jc w:val="center"/>
              <w:rPr>
                <w:rFonts w:cs="Calibri"/>
                <w:szCs w:val="18"/>
              </w:rPr>
            </w:pPr>
            <w:r w:rsidRPr="00BD16B4">
              <w:rPr>
                <w:rFonts w:cs="Calibri"/>
                <w:szCs w:val="18"/>
              </w:rPr>
              <w:t>4,319</w:t>
            </w:r>
          </w:p>
        </w:tc>
        <w:tc>
          <w:tcPr>
            <w:tcW w:w="892" w:type="dxa"/>
            <w:noWrap/>
            <w:hideMark/>
          </w:tcPr>
          <w:p w14:paraId="42DEEAFB" w14:textId="77777777" w:rsidR="00533D32" w:rsidRPr="00BD16B4" w:rsidRDefault="00533D32" w:rsidP="00C87B45">
            <w:pPr>
              <w:pStyle w:val="TableText"/>
              <w:spacing w:before="40" w:after="40"/>
              <w:jc w:val="center"/>
              <w:rPr>
                <w:rFonts w:cs="Calibri"/>
                <w:szCs w:val="18"/>
              </w:rPr>
            </w:pPr>
            <w:r w:rsidRPr="00BD16B4">
              <w:rPr>
                <w:rFonts w:cs="Calibri"/>
                <w:szCs w:val="18"/>
              </w:rPr>
              <w:t>5,156</w:t>
            </w:r>
          </w:p>
        </w:tc>
        <w:tc>
          <w:tcPr>
            <w:tcW w:w="892" w:type="dxa"/>
            <w:noWrap/>
            <w:hideMark/>
          </w:tcPr>
          <w:p w14:paraId="7CE97546" w14:textId="77777777" w:rsidR="00533D32" w:rsidRPr="00BD16B4" w:rsidRDefault="00533D32" w:rsidP="00C87B45">
            <w:pPr>
              <w:pStyle w:val="TableText"/>
              <w:spacing w:before="40" w:after="40"/>
              <w:jc w:val="center"/>
              <w:rPr>
                <w:rFonts w:cs="Calibri"/>
                <w:szCs w:val="18"/>
              </w:rPr>
            </w:pPr>
            <w:r w:rsidRPr="00BD16B4">
              <w:rPr>
                <w:rFonts w:cs="Calibri"/>
                <w:szCs w:val="18"/>
              </w:rPr>
              <w:t>5,867</w:t>
            </w:r>
          </w:p>
        </w:tc>
        <w:tc>
          <w:tcPr>
            <w:tcW w:w="892" w:type="dxa"/>
            <w:noWrap/>
            <w:hideMark/>
          </w:tcPr>
          <w:p w14:paraId="2344F352" w14:textId="77777777" w:rsidR="00533D32" w:rsidRPr="00BD16B4" w:rsidRDefault="00533D32" w:rsidP="00C87B45">
            <w:pPr>
              <w:pStyle w:val="TableText"/>
              <w:spacing w:before="40" w:after="40"/>
              <w:jc w:val="center"/>
              <w:rPr>
                <w:rFonts w:cs="Calibri"/>
                <w:szCs w:val="18"/>
              </w:rPr>
            </w:pPr>
            <w:r w:rsidRPr="00BD16B4">
              <w:rPr>
                <w:rFonts w:cs="Calibri"/>
                <w:szCs w:val="18"/>
              </w:rPr>
              <w:t>6,710</w:t>
            </w:r>
          </w:p>
        </w:tc>
        <w:tc>
          <w:tcPr>
            <w:tcW w:w="892" w:type="dxa"/>
            <w:noWrap/>
            <w:hideMark/>
          </w:tcPr>
          <w:p w14:paraId="2737520E" w14:textId="77777777" w:rsidR="00533D32" w:rsidRPr="00BD16B4" w:rsidRDefault="00533D32" w:rsidP="00C87B45">
            <w:pPr>
              <w:pStyle w:val="TableText"/>
              <w:spacing w:before="40" w:after="40"/>
              <w:jc w:val="center"/>
              <w:rPr>
                <w:rFonts w:cs="Calibri"/>
                <w:szCs w:val="18"/>
              </w:rPr>
            </w:pPr>
            <w:r w:rsidRPr="00BD16B4">
              <w:rPr>
                <w:rFonts w:cs="Calibri"/>
                <w:szCs w:val="18"/>
              </w:rPr>
              <w:t>6,382</w:t>
            </w:r>
          </w:p>
        </w:tc>
        <w:tc>
          <w:tcPr>
            <w:tcW w:w="892" w:type="dxa"/>
            <w:shd w:val="clear" w:color="auto" w:fill="D2DDE1" w:themeFill="background2"/>
            <w:noWrap/>
            <w:hideMark/>
          </w:tcPr>
          <w:p w14:paraId="10539E95" w14:textId="77777777" w:rsidR="00533D32" w:rsidRPr="00BD16B4" w:rsidRDefault="00533D32" w:rsidP="00C87B45">
            <w:pPr>
              <w:pStyle w:val="TableText"/>
              <w:spacing w:before="40" w:after="40"/>
              <w:jc w:val="center"/>
              <w:rPr>
                <w:rFonts w:cs="Calibri"/>
                <w:szCs w:val="18"/>
              </w:rPr>
            </w:pPr>
            <w:r w:rsidRPr="00BD16B4">
              <w:rPr>
                <w:rFonts w:cs="Calibri"/>
                <w:szCs w:val="18"/>
              </w:rPr>
              <w:t>6,101</w:t>
            </w:r>
          </w:p>
        </w:tc>
        <w:tc>
          <w:tcPr>
            <w:tcW w:w="892" w:type="dxa"/>
            <w:shd w:val="clear" w:color="auto" w:fill="D2DDE1" w:themeFill="background2"/>
            <w:noWrap/>
            <w:hideMark/>
          </w:tcPr>
          <w:p w14:paraId="72F77625" w14:textId="77777777" w:rsidR="00533D32" w:rsidRPr="00BD16B4" w:rsidRDefault="00533D32" w:rsidP="00C87B45">
            <w:pPr>
              <w:pStyle w:val="TableText"/>
              <w:spacing w:before="40" w:after="40"/>
              <w:jc w:val="center"/>
              <w:rPr>
                <w:rFonts w:cs="Calibri"/>
                <w:szCs w:val="18"/>
              </w:rPr>
            </w:pPr>
            <w:r w:rsidRPr="00BD16B4">
              <w:rPr>
                <w:rFonts w:cs="Calibri"/>
                <w:szCs w:val="18"/>
              </w:rPr>
              <w:t>6,072</w:t>
            </w:r>
          </w:p>
        </w:tc>
        <w:tc>
          <w:tcPr>
            <w:tcW w:w="892" w:type="dxa"/>
            <w:shd w:val="clear" w:color="auto" w:fill="D2DDE1" w:themeFill="background2"/>
            <w:noWrap/>
            <w:hideMark/>
          </w:tcPr>
          <w:p w14:paraId="1A7C563D" w14:textId="77777777" w:rsidR="00533D32" w:rsidRPr="00BD16B4" w:rsidRDefault="00533D32" w:rsidP="00C87B45">
            <w:pPr>
              <w:pStyle w:val="TableText"/>
              <w:spacing w:before="40" w:after="40"/>
              <w:jc w:val="center"/>
              <w:rPr>
                <w:rFonts w:cs="Calibri"/>
                <w:szCs w:val="18"/>
              </w:rPr>
            </w:pPr>
            <w:r w:rsidRPr="00BD16B4">
              <w:rPr>
                <w:rFonts w:cs="Calibri"/>
                <w:szCs w:val="18"/>
              </w:rPr>
              <w:t>6,089</w:t>
            </w:r>
          </w:p>
        </w:tc>
      </w:tr>
      <w:tr w:rsidR="00533D32" w:rsidRPr="00BD16B4" w14:paraId="2AE3FDDA" w14:textId="77777777" w:rsidTr="00315977">
        <w:tc>
          <w:tcPr>
            <w:tcW w:w="1928" w:type="dxa"/>
            <w:vMerge w:val="restart"/>
            <w:noWrap/>
            <w:hideMark/>
          </w:tcPr>
          <w:p w14:paraId="75602EBD" w14:textId="77777777" w:rsidR="00533D32" w:rsidRPr="00BD16B4" w:rsidRDefault="00533D32" w:rsidP="00C87B45">
            <w:pPr>
              <w:pStyle w:val="TableText"/>
              <w:spacing w:before="40" w:after="40"/>
              <w:rPr>
                <w:rFonts w:cs="Calibri"/>
                <w:szCs w:val="18"/>
              </w:rPr>
            </w:pPr>
            <w:r w:rsidRPr="00BD16B4">
              <w:rPr>
                <w:rFonts w:cs="Calibri"/>
                <w:szCs w:val="18"/>
              </w:rPr>
              <w:t>Total Beef Cows</w:t>
            </w:r>
          </w:p>
        </w:tc>
        <w:tc>
          <w:tcPr>
            <w:tcW w:w="1474" w:type="dxa"/>
            <w:vMerge w:val="restart"/>
            <w:tcMar>
              <w:left w:w="57" w:type="dxa"/>
            </w:tcMar>
            <w:hideMark/>
          </w:tcPr>
          <w:p w14:paraId="05EE0F4F" w14:textId="77777777" w:rsidR="00533D32" w:rsidRPr="00BD16B4" w:rsidRDefault="00533D32" w:rsidP="00C87B45">
            <w:pPr>
              <w:pStyle w:val="TableText"/>
              <w:spacing w:before="40" w:after="40"/>
              <w:rPr>
                <w:rFonts w:cs="Calibri"/>
                <w:szCs w:val="18"/>
              </w:rPr>
            </w:pPr>
            <w:r w:rsidRPr="00BD16B4">
              <w:rPr>
                <w:rFonts w:cs="Calibri"/>
                <w:szCs w:val="18"/>
              </w:rPr>
              <w:t>thousand head</w:t>
            </w:r>
          </w:p>
        </w:tc>
        <w:tc>
          <w:tcPr>
            <w:tcW w:w="2405" w:type="dxa"/>
            <w:noWrap/>
            <w:hideMark/>
          </w:tcPr>
          <w:p w14:paraId="18CE0CEA" w14:textId="77777777" w:rsidR="00533D32" w:rsidRPr="00BD16B4" w:rsidRDefault="00533D32" w:rsidP="00C87B45">
            <w:pPr>
              <w:pStyle w:val="TableText"/>
              <w:spacing w:before="40" w:after="40"/>
              <w:rPr>
                <w:rFonts w:cs="Calibri"/>
                <w:szCs w:val="18"/>
              </w:rPr>
            </w:pPr>
            <w:r w:rsidRPr="00BD16B4">
              <w:rPr>
                <w:rFonts w:cs="Calibri"/>
                <w:szCs w:val="18"/>
              </w:rPr>
              <w:t>WEM</w:t>
            </w:r>
          </w:p>
        </w:tc>
        <w:tc>
          <w:tcPr>
            <w:tcW w:w="760" w:type="dxa"/>
            <w:noWrap/>
            <w:hideMark/>
          </w:tcPr>
          <w:p w14:paraId="33D21DDD" w14:textId="77777777" w:rsidR="00533D32" w:rsidRPr="00BD16B4" w:rsidRDefault="00533D32" w:rsidP="00C87B45">
            <w:pPr>
              <w:pStyle w:val="TableText"/>
              <w:spacing w:before="40" w:after="40"/>
              <w:jc w:val="center"/>
              <w:rPr>
                <w:rFonts w:cs="Calibri"/>
                <w:szCs w:val="18"/>
              </w:rPr>
            </w:pPr>
            <w:r w:rsidRPr="00BD16B4">
              <w:rPr>
                <w:rFonts w:cs="Calibri"/>
                <w:szCs w:val="18"/>
              </w:rPr>
              <w:t>4,526</w:t>
            </w:r>
          </w:p>
        </w:tc>
        <w:tc>
          <w:tcPr>
            <w:tcW w:w="892" w:type="dxa"/>
            <w:noWrap/>
            <w:hideMark/>
          </w:tcPr>
          <w:p w14:paraId="1ED06B3F" w14:textId="77777777" w:rsidR="00533D32" w:rsidRPr="00BD16B4" w:rsidRDefault="00533D32" w:rsidP="00C87B45">
            <w:pPr>
              <w:pStyle w:val="TableText"/>
              <w:spacing w:before="40" w:after="40"/>
              <w:jc w:val="center"/>
              <w:rPr>
                <w:rFonts w:cs="Calibri"/>
                <w:szCs w:val="18"/>
              </w:rPr>
            </w:pPr>
            <w:r w:rsidRPr="00BD16B4">
              <w:rPr>
                <w:rFonts w:cs="Calibri"/>
                <w:szCs w:val="18"/>
              </w:rPr>
              <w:t>5,048</w:t>
            </w:r>
          </w:p>
        </w:tc>
        <w:tc>
          <w:tcPr>
            <w:tcW w:w="892" w:type="dxa"/>
            <w:noWrap/>
            <w:hideMark/>
          </w:tcPr>
          <w:p w14:paraId="3CAF200F" w14:textId="77777777" w:rsidR="00533D32" w:rsidRPr="00BD16B4" w:rsidRDefault="00533D32" w:rsidP="00C87B45">
            <w:pPr>
              <w:pStyle w:val="TableText"/>
              <w:spacing w:before="40" w:after="40"/>
              <w:jc w:val="center"/>
              <w:rPr>
                <w:rFonts w:cs="Calibri"/>
                <w:szCs w:val="18"/>
              </w:rPr>
            </w:pPr>
            <w:r w:rsidRPr="00BD16B4">
              <w:rPr>
                <w:rFonts w:cs="Calibri"/>
                <w:szCs w:val="18"/>
              </w:rPr>
              <w:t>4,644</w:t>
            </w:r>
          </w:p>
        </w:tc>
        <w:tc>
          <w:tcPr>
            <w:tcW w:w="892" w:type="dxa"/>
            <w:noWrap/>
            <w:hideMark/>
          </w:tcPr>
          <w:p w14:paraId="256DC6ED" w14:textId="77777777" w:rsidR="00533D32" w:rsidRPr="00BD16B4" w:rsidRDefault="00533D32" w:rsidP="00C87B45">
            <w:pPr>
              <w:pStyle w:val="TableText"/>
              <w:spacing w:before="40" w:after="40"/>
              <w:jc w:val="center"/>
              <w:rPr>
                <w:rFonts w:cs="Calibri"/>
                <w:szCs w:val="18"/>
              </w:rPr>
            </w:pPr>
            <w:r w:rsidRPr="00BD16B4">
              <w:rPr>
                <w:rFonts w:cs="Calibri"/>
                <w:szCs w:val="18"/>
              </w:rPr>
              <w:t>4,447</w:t>
            </w:r>
          </w:p>
        </w:tc>
        <w:tc>
          <w:tcPr>
            <w:tcW w:w="892" w:type="dxa"/>
            <w:noWrap/>
            <w:hideMark/>
          </w:tcPr>
          <w:p w14:paraId="7F754604" w14:textId="77777777" w:rsidR="00533D32" w:rsidRPr="00BD16B4" w:rsidRDefault="00533D32" w:rsidP="00C87B45">
            <w:pPr>
              <w:pStyle w:val="TableText"/>
              <w:spacing w:before="40" w:after="40"/>
              <w:jc w:val="center"/>
              <w:rPr>
                <w:rFonts w:cs="Calibri"/>
                <w:szCs w:val="18"/>
              </w:rPr>
            </w:pPr>
            <w:r w:rsidRPr="00BD16B4">
              <w:rPr>
                <w:rFonts w:cs="Calibri"/>
                <w:szCs w:val="18"/>
              </w:rPr>
              <w:t>4,101</w:t>
            </w:r>
          </w:p>
        </w:tc>
        <w:tc>
          <w:tcPr>
            <w:tcW w:w="892" w:type="dxa"/>
            <w:noWrap/>
            <w:hideMark/>
          </w:tcPr>
          <w:p w14:paraId="510BF213" w14:textId="77777777" w:rsidR="00533D32" w:rsidRPr="00BD16B4" w:rsidRDefault="00533D32" w:rsidP="00C87B45">
            <w:pPr>
              <w:pStyle w:val="TableText"/>
              <w:spacing w:before="40" w:after="40"/>
              <w:jc w:val="center"/>
              <w:rPr>
                <w:rFonts w:cs="Calibri"/>
                <w:szCs w:val="18"/>
              </w:rPr>
            </w:pPr>
            <w:r w:rsidRPr="00BD16B4">
              <w:rPr>
                <w:rFonts w:cs="Calibri"/>
                <w:szCs w:val="18"/>
              </w:rPr>
              <w:t>3,670</w:t>
            </w:r>
          </w:p>
        </w:tc>
        <w:tc>
          <w:tcPr>
            <w:tcW w:w="892" w:type="dxa"/>
            <w:noWrap/>
            <w:hideMark/>
          </w:tcPr>
          <w:p w14:paraId="5252AF06" w14:textId="77777777" w:rsidR="00533D32" w:rsidRPr="00BD16B4" w:rsidRDefault="00533D32" w:rsidP="00C87B45">
            <w:pPr>
              <w:pStyle w:val="TableText"/>
              <w:spacing w:before="40" w:after="40"/>
              <w:jc w:val="center"/>
              <w:rPr>
                <w:rFonts w:cs="Calibri"/>
                <w:szCs w:val="18"/>
              </w:rPr>
            </w:pPr>
            <w:r w:rsidRPr="00BD16B4">
              <w:rPr>
                <w:rFonts w:cs="Calibri"/>
                <w:szCs w:val="18"/>
              </w:rPr>
              <w:t>3,890</w:t>
            </w:r>
          </w:p>
        </w:tc>
        <w:tc>
          <w:tcPr>
            <w:tcW w:w="892" w:type="dxa"/>
            <w:shd w:val="clear" w:color="auto" w:fill="D2DDE1" w:themeFill="background2"/>
            <w:noWrap/>
            <w:hideMark/>
          </w:tcPr>
          <w:p w14:paraId="49115724" w14:textId="77777777" w:rsidR="00533D32" w:rsidRPr="00BD16B4" w:rsidRDefault="00533D32" w:rsidP="00C87B45">
            <w:pPr>
              <w:pStyle w:val="TableText"/>
              <w:spacing w:before="40" w:after="40"/>
              <w:jc w:val="center"/>
              <w:rPr>
                <w:rFonts w:cs="Calibri"/>
                <w:szCs w:val="18"/>
              </w:rPr>
            </w:pPr>
            <w:r w:rsidRPr="00BD16B4">
              <w:rPr>
                <w:rFonts w:cs="Calibri"/>
                <w:szCs w:val="18"/>
              </w:rPr>
              <w:t>3,710</w:t>
            </w:r>
          </w:p>
        </w:tc>
        <w:tc>
          <w:tcPr>
            <w:tcW w:w="892" w:type="dxa"/>
            <w:shd w:val="clear" w:color="auto" w:fill="D2DDE1" w:themeFill="background2"/>
            <w:noWrap/>
            <w:hideMark/>
          </w:tcPr>
          <w:p w14:paraId="3948D160" w14:textId="77777777" w:rsidR="00533D32" w:rsidRPr="00BD16B4" w:rsidRDefault="00533D32" w:rsidP="00C87B45">
            <w:pPr>
              <w:pStyle w:val="TableText"/>
              <w:spacing w:before="40" w:after="40"/>
              <w:jc w:val="center"/>
              <w:rPr>
                <w:rFonts w:cs="Calibri"/>
                <w:szCs w:val="18"/>
              </w:rPr>
            </w:pPr>
            <w:r w:rsidRPr="00BD16B4">
              <w:rPr>
                <w:rFonts w:cs="Calibri"/>
                <w:szCs w:val="18"/>
              </w:rPr>
              <w:t>3,448</w:t>
            </w:r>
          </w:p>
        </w:tc>
        <w:tc>
          <w:tcPr>
            <w:tcW w:w="892" w:type="dxa"/>
            <w:shd w:val="clear" w:color="auto" w:fill="D2DDE1" w:themeFill="background2"/>
            <w:noWrap/>
            <w:hideMark/>
          </w:tcPr>
          <w:p w14:paraId="39952CC9" w14:textId="77777777" w:rsidR="00533D32" w:rsidRPr="00BD16B4" w:rsidRDefault="00533D32" w:rsidP="00C87B45">
            <w:pPr>
              <w:pStyle w:val="TableText"/>
              <w:spacing w:before="40" w:after="40"/>
              <w:jc w:val="center"/>
              <w:rPr>
                <w:rFonts w:cs="Calibri"/>
                <w:szCs w:val="18"/>
              </w:rPr>
            </w:pPr>
            <w:r w:rsidRPr="00BD16B4">
              <w:rPr>
                <w:rFonts w:cs="Calibri"/>
                <w:szCs w:val="18"/>
              </w:rPr>
              <w:t>3,273</w:t>
            </w:r>
          </w:p>
        </w:tc>
      </w:tr>
      <w:tr w:rsidR="00533D32" w:rsidRPr="00BD16B4" w14:paraId="273B2D65" w14:textId="77777777" w:rsidTr="00315977">
        <w:tc>
          <w:tcPr>
            <w:tcW w:w="1928" w:type="dxa"/>
            <w:vMerge/>
            <w:hideMark/>
          </w:tcPr>
          <w:p w14:paraId="078E5E14" w14:textId="77777777" w:rsidR="00533D32" w:rsidRPr="00BD16B4" w:rsidRDefault="00533D32" w:rsidP="00C87B45">
            <w:pPr>
              <w:pStyle w:val="TableText"/>
              <w:spacing w:before="40" w:after="40"/>
              <w:rPr>
                <w:rFonts w:cs="Calibri"/>
                <w:szCs w:val="18"/>
              </w:rPr>
            </w:pPr>
          </w:p>
        </w:tc>
        <w:tc>
          <w:tcPr>
            <w:tcW w:w="1474" w:type="dxa"/>
            <w:vMerge/>
            <w:tcMar>
              <w:left w:w="57" w:type="dxa"/>
            </w:tcMar>
            <w:hideMark/>
          </w:tcPr>
          <w:p w14:paraId="7BBBDC7C" w14:textId="77777777" w:rsidR="00533D32" w:rsidRPr="00BD16B4" w:rsidRDefault="00533D32" w:rsidP="00C87B45">
            <w:pPr>
              <w:pStyle w:val="TableText"/>
              <w:spacing w:before="40" w:after="40"/>
              <w:rPr>
                <w:rFonts w:cs="Calibri"/>
                <w:szCs w:val="18"/>
              </w:rPr>
            </w:pPr>
          </w:p>
        </w:tc>
        <w:tc>
          <w:tcPr>
            <w:tcW w:w="2405" w:type="dxa"/>
            <w:noWrap/>
            <w:hideMark/>
          </w:tcPr>
          <w:p w14:paraId="71067C3A" w14:textId="77777777" w:rsidR="00533D32" w:rsidRPr="00BD16B4" w:rsidRDefault="00533D32" w:rsidP="00C87B45">
            <w:pPr>
              <w:pStyle w:val="TableText"/>
              <w:spacing w:before="40" w:after="40"/>
              <w:rPr>
                <w:rFonts w:cs="Calibri"/>
                <w:szCs w:val="18"/>
              </w:rPr>
            </w:pPr>
            <w:r w:rsidRPr="00BD16B4">
              <w:rPr>
                <w:rFonts w:cs="Calibri"/>
                <w:szCs w:val="18"/>
              </w:rPr>
              <w:t>WOM</w:t>
            </w:r>
          </w:p>
        </w:tc>
        <w:tc>
          <w:tcPr>
            <w:tcW w:w="760" w:type="dxa"/>
            <w:noWrap/>
            <w:hideMark/>
          </w:tcPr>
          <w:p w14:paraId="20D8AE97" w14:textId="77777777" w:rsidR="00533D32" w:rsidRPr="00BD16B4" w:rsidRDefault="00533D32" w:rsidP="00C87B45">
            <w:pPr>
              <w:pStyle w:val="TableText"/>
              <w:spacing w:before="40" w:after="40"/>
              <w:jc w:val="center"/>
              <w:rPr>
                <w:rFonts w:cs="Calibri"/>
                <w:szCs w:val="18"/>
              </w:rPr>
            </w:pPr>
            <w:r w:rsidRPr="00BD16B4">
              <w:rPr>
                <w:rFonts w:cs="Calibri"/>
                <w:szCs w:val="18"/>
              </w:rPr>
              <w:t>4,526</w:t>
            </w:r>
          </w:p>
        </w:tc>
        <w:tc>
          <w:tcPr>
            <w:tcW w:w="892" w:type="dxa"/>
            <w:noWrap/>
            <w:hideMark/>
          </w:tcPr>
          <w:p w14:paraId="33AE9187" w14:textId="77777777" w:rsidR="00533D32" w:rsidRPr="00BD16B4" w:rsidRDefault="00533D32" w:rsidP="00C87B45">
            <w:pPr>
              <w:pStyle w:val="TableText"/>
              <w:spacing w:before="40" w:after="40"/>
              <w:jc w:val="center"/>
              <w:rPr>
                <w:rFonts w:cs="Calibri"/>
                <w:szCs w:val="18"/>
              </w:rPr>
            </w:pPr>
            <w:r w:rsidRPr="00BD16B4">
              <w:rPr>
                <w:rFonts w:cs="Calibri"/>
                <w:szCs w:val="18"/>
              </w:rPr>
              <w:t>5,050</w:t>
            </w:r>
          </w:p>
        </w:tc>
        <w:tc>
          <w:tcPr>
            <w:tcW w:w="892" w:type="dxa"/>
            <w:noWrap/>
            <w:hideMark/>
          </w:tcPr>
          <w:p w14:paraId="4B11A423" w14:textId="77777777" w:rsidR="00533D32" w:rsidRPr="00BD16B4" w:rsidRDefault="00533D32" w:rsidP="00C87B45">
            <w:pPr>
              <w:pStyle w:val="TableText"/>
              <w:spacing w:before="40" w:after="40"/>
              <w:jc w:val="center"/>
              <w:rPr>
                <w:rFonts w:cs="Calibri"/>
                <w:szCs w:val="18"/>
              </w:rPr>
            </w:pPr>
            <w:r w:rsidRPr="00BD16B4">
              <w:rPr>
                <w:rFonts w:cs="Calibri"/>
                <w:szCs w:val="18"/>
              </w:rPr>
              <w:t>4,651</w:t>
            </w:r>
          </w:p>
        </w:tc>
        <w:tc>
          <w:tcPr>
            <w:tcW w:w="892" w:type="dxa"/>
            <w:noWrap/>
            <w:hideMark/>
          </w:tcPr>
          <w:p w14:paraId="7ED2A01D" w14:textId="77777777" w:rsidR="00533D32" w:rsidRPr="00BD16B4" w:rsidRDefault="00533D32" w:rsidP="00C87B45">
            <w:pPr>
              <w:pStyle w:val="TableText"/>
              <w:spacing w:before="40" w:after="40"/>
              <w:jc w:val="center"/>
              <w:rPr>
                <w:rFonts w:cs="Calibri"/>
                <w:szCs w:val="18"/>
              </w:rPr>
            </w:pPr>
            <w:r w:rsidRPr="00BD16B4">
              <w:rPr>
                <w:rFonts w:cs="Calibri"/>
                <w:szCs w:val="18"/>
              </w:rPr>
              <w:t>4,457</w:t>
            </w:r>
          </w:p>
        </w:tc>
        <w:tc>
          <w:tcPr>
            <w:tcW w:w="892" w:type="dxa"/>
            <w:noWrap/>
            <w:hideMark/>
          </w:tcPr>
          <w:p w14:paraId="71556AB9" w14:textId="77777777" w:rsidR="00533D32" w:rsidRPr="00BD16B4" w:rsidRDefault="00533D32" w:rsidP="00C87B45">
            <w:pPr>
              <w:pStyle w:val="TableText"/>
              <w:spacing w:before="40" w:after="40"/>
              <w:jc w:val="center"/>
              <w:rPr>
                <w:rFonts w:cs="Calibri"/>
                <w:szCs w:val="18"/>
              </w:rPr>
            </w:pPr>
            <w:r w:rsidRPr="00BD16B4">
              <w:rPr>
                <w:rFonts w:cs="Calibri"/>
                <w:szCs w:val="18"/>
              </w:rPr>
              <w:t>4,115</w:t>
            </w:r>
          </w:p>
        </w:tc>
        <w:tc>
          <w:tcPr>
            <w:tcW w:w="892" w:type="dxa"/>
            <w:noWrap/>
            <w:hideMark/>
          </w:tcPr>
          <w:p w14:paraId="74EC3483" w14:textId="77777777" w:rsidR="00533D32" w:rsidRPr="00BD16B4" w:rsidRDefault="00533D32" w:rsidP="00C87B45">
            <w:pPr>
              <w:pStyle w:val="TableText"/>
              <w:spacing w:before="40" w:after="40"/>
              <w:jc w:val="center"/>
              <w:rPr>
                <w:rFonts w:cs="Calibri"/>
                <w:szCs w:val="18"/>
              </w:rPr>
            </w:pPr>
            <w:r w:rsidRPr="00BD16B4">
              <w:rPr>
                <w:rFonts w:cs="Calibri"/>
                <w:szCs w:val="18"/>
              </w:rPr>
              <w:t>3,695</w:t>
            </w:r>
          </w:p>
        </w:tc>
        <w:tc>
          <w:tcPr>
            <w:tcW w:w="892" w:type="dxa"/>
            <w:noWrap/>
            <w:hideMark/>
          </w:tcPr>
          <w:p w14:paraId="24A788CB" w14:textId="77777777" w:rsidR="00533D32" w:rsidRPr="00BD16B4" w:rsidRDefault="00533D32" w:rsidP="00C87B45">
            <w:pPr>
              <w:pStyle w:val="TableText"/>
              <w:spacing w:before="40" w:after="40"/>
              <w:jc w:val="center"/>
              <w:rPr>
                <w:rFonts w:cs="Calibri"/>
                <w:szCs w:val="18"/>
              </w:rPr>
            </w:pPr>
            <w:r w:rsidRPr="00BD16B4">
              <w:rPr>
                <w:rFonts w:cs="Calibri"/>
                <w:szCs w:val="18"/>
              </w:rPr>
              <w:t>3,941</w:t>
            </w:r>
          </w:p>
        </w:tc>
        <w:tc>
          <w:tcPr>
            <w:tcW w:w="892" w:type="dxa"/>
            <w:shd w:val="clear" w:color="auto" w:fill="D2DDE1" w:themeFill="background2"/>
            <w:noWrap/>
            <w:hideMark/>
          </w:tcPr>
          <w:p w14:paraId="4A378952" w14:textId="77777777" w:rsidR="00533D32" w:rsidRPr="00BD16B4" w:rsidRDefault="00533D32" w:rsidP="00C87B45">
            <w:pPr>
              <w:pStyle w:val="TableText"/>
              <w:spacing w:before="40" w:after="40"/>
              <w:jc w:val="center"/>
              <w:rPr>
                <w:rFonts w:cs="Calibri"/>
                <w:szCs w:val="18"/>
              </w:rPr>
            </w:pPr>
            <w:r w:rsidRPr="00BD16B4">
              <w:rPr>
                <w:rFonts w:cs="Calibri"/>
                <w:szCs w:val="18"/>
              </w:rPr>
              <w:t>3,830</w:t>
            </w:r>
          </w:p>
        </w:tc>
        <w:tc>
          <w:tcPr>
            <w:tcW w:w="892" w:type="dxa"/>
            <w:shd w:val="clear" w:color="auto" w:fill="D2DDE1" w:themeFill="background2"/>
            <w:noWrap/>
            <w:hideMark/>
          </w:tcPr>
          <w:p w14:paraId="4F9BE3C2" w14:textId="77777777" w:rsidR="00533D32" w:rsidRPr="00BD16B4" w:rsidRDefault="00533D32" w:rsidP="00C87B45">
            <w:pPr>
              <w:pStyle w:val="TableText"/>
              <w:spacing w:before="40" w:after="40"/>
              <w:jc w:val="center"/>
              <w:rPr>
                <w:rFonts w:cs="Calibri"/>
                <w:szCs w:val="18"/>
              </w:rPr>
            </w:pPr>
            <w:r w:rsidRPr="00BD16B4">
              <w:rPr>
                <w:rFonts w:cs="Calibri"/>
                <w:szCs w:val="18"/>
              </w:rPr>
              <w:t>3,704</w:t>
            </w:r>
          </w:p>
        </w:tc>
        <w:tc>
          <w:tcPr>
            <w:tcW w:w="892" w:type="dxa"/>
            <w:shd w:val="clear" w:color="auto" w:fill="D2DDE1" w:themeFill="background2"/>
            <w:noWrap/>
            <w:hideMark/>
          </w:tcPr>
          <w:p w14:paraId="2A7D6291" w14:textId="77777777" w:rsidR="00533D32" w:rsidRPr="00BD16B4" w:rsidRDefault="00533D32" w:rsidP="00C87B45">
            <w:pPr>
              <w:pStyle w:val="TableText"/>
              <w:spacing w:before="40" w:after="40"/>
              <w:jc w:val="center"/>
              <w:rPr>
                <w:rFonts w:cs="Calibri"/>
                <w:szCs w:val="18"/>
              </w:rPr>
            </w:pPr>
            <w:r w:rsidRPr="00BD16B4">
              <w:rPr>
                <w:rFonts w:cs="Calibri"/>
                <w:szCs w:val="18"/>
              </w:rPr>
              <w:t>3,660</w:t>
            </w:r>
          </w:p>
        </w:tc>
      </w:tr>
      <w:tr w:rsidR="00533D32" w:rsidRPr="00BD16B4" w14:paraId="2B51D91C" w14:textId="77777777" w:rsidTr="00315977">
        <w:tc>
          <w:tcPr>
            <w:tcW w:w="1928" w:type="dxa"/>
            <w:vMerge/>
            <w:hideMark/>
          </w:tcPr>
          <w:p w14:paraId="24493191" w14:textId="77777777" w:rsidR="00533D32" w:rsidRPr="00BD16B4" w:rsidRDefault="00533D32" w:rsidP="00C87B45">
            <w:pPr>
              <w:pStyle w:val="TableText"/>
              <w:spacing w:before="40" w:after="40"/>
              <w:rPr>
                <w:rFonts w:cs="Calibri"/>
                <w:color w:val="000000"/>
                <w:szCs w:val="18"/>
              </w:rPr>
            </w:pPr>
          </w:p>
        </w:tc>
        <w:tc>
          <w:tcPr>
            <w:tcW w:w="1474" w:type="dxa"/>
            <w:vMerge/>
            <w:tcMar>
              <w:left w:w="57" w:type="dxa"/>
            </w:tcMar>
            <w:hideMark/>
          </w:tcPr>
          <w:p w14:paraId="26FF5228" w14:textId="77777777" w:rsidR="00533D32" w:rsidRPr="00BD16B4" w:rsidRDefault="00533D32" w:rsidP="00C87B45">
            <w:pPr>
              <w:pStyle w:val="TableText"/>
              <w:spacing w:before="40" w:after="40"/>
              <w:rPr>
                <w:rFonts w:cs="Calibri"/>
                <w:color w:val="000000"/>
                <w:szCs w:val="18"/>
              </w:rPr>
            </w:pPr>
          </w:p>
        </w:tc>
        <w:tc>
          <w:tcPr>
            <w:tcW w:w="2405" w:type="dxa"/>
            <w:noWrap/>
            <w:hideMark/>
          </w:tcPr>
          <w:p w14:paraId="2BFF9123" w14:textId="77777777" w:rsidR="00533D32" w:rsidRPr="00BD16B4" w:rsidRDefault="00533D32" w:rsidP="00C87B45">
            <w:pPr>
              <w:pStyle w:val="TableText"/>
              <w:spacing w:before="40" w:after="40"/>
              <w:rPr>
                <w:rFonts w:cs="Calibri"/>
                <w:szCs w:val="18"/>
              </w:rPr>
            </w:pPr>
            <w:r w:rsidRPr="00BD16B4">
              <w:rPr>
                <w:rFonts w:cs="Calibri"/>
                <w:szCs w:val="18"/>
              </w:rPr>
              <w:t>WAM</w:t>
            </w:r>
          </w:p>
        </w:tc>
        <w:tc>
          <w:tcPr>
            <w:tcW w:w="760" w:type="dxa"/>
            <w:noWrap/>
            <w:hideMark/>
          </w:tcPr>
          <w:p w14:paraId="066FC5EF" w14:textId="77777777" w:rsidR="00533D32" w:rsidRPr="00BD16B4" w:rsidRDefault="00533D32" w:rsidP="00C87B45">
            <w:pPr>
              <w:pStyle w:val="TableText"/>
              <w:spacing w:before="40" w:after="40"/>
              <w:jc w:val="center"/>
              <w:rPr>
                <w:rFonts w:cs="Calibri"/>
                <w:szCs w:val="18"/>
              </w:rPr>
            </w:pPr>
            <w:r w:rsidRPr="00BD16B4">
              <w:rPr>
                <w:rFonts w:cs="Calibri"/>
                <w:szCs w:val="18"/>
              </w:rPr>
              <w:t>4,526</w:t>
            </w:r>
          </w:p>
        </w:tc>
        <w:tc>
          <w:tcPr>
            <w:tcW w:w="892" w:type="dxa"/>
            <w:noWrap/>
            <w:hideMark/>
          </w:tcPr>
          <w:p w14:paraId="0909099D" w14:textId="77777777" w:rsidR="00533D32" w:rsidRPr="00BD16B4" w:rsidRDefault="00533D32" w:rsidP="00C87B45">
            <w:pPr>
              <w:pStyle w:val="TableText"/>
              <w:spacing w:before="40" w:after="40"/>
              <w:jc w:val="center"/>
              <w:rPr>
                <w:rFonts w:cs="Calibri"/>
                <w:szCs w:val="18"/>
              </w:rPr>
            </w:pPr>
            <w:r w:rsidRPr="00BD16B4">
              <w:rPr>
                <w:rFonts w:cs="Calibri"/>
                <w:szCs w:val="18"/>
              </w:rPr>
              <w:t>5,048</w:t>
            </w:r>
          </w:p>
        </w:tc>
        <w:tc>
          <w:tcPr>
            <w:tcW w:w="892" w:type="dxa"/>
            <w:noWrap/>
            <w:hideMark/>
          </w:tcPr>
          <w:p w14:paraId="3AC290D2" w14:textId="77777777" w:rsidR="00533D32" w:rsidRPr="00BD16B4" w:rsidRDefault="00533D32" w:rsidP="00C87B45">
            <w:pPr>
              <w:pStyle w:val="TableText"/>
              <w:spacing w:before="40" w:after="40"/>
              <w:jc w:val="center"/>
              <w:rPr>
                <w:rFonts w:cs="Calibri"/>
                <w:szCs w:val="18"/>
              </w:rPr>
            </w:pPr>
            <w:r w:rsidRPr="00BD16B4">
              <w:rPr>
                <w:rFonts w:cs="Calibri"/>
                <w:szCs w:val="18"/>
              </w:rPr>
              <w:t>4,644</w:t>
            </w:r>
          </w:p>
        </w:tc>
        <w:tc>
          <w:tcPr>
            <w:tcW w:w="892" w:type="dxa"/>
            <w:noWrap/>
            <w:hideMark/>
          </w:tcPr>
          <w:p w14:paraId="553A9863" w14:textId="77777777" w:rsidR="00533D32" w:rsidRPr="00BD16B4" w:rsidRDefault="00533D32" w:rsidP="00C87B45">
            <w:pPr>
              <w:pStyle w:val="TableText"/>
              <w:spacing w:before="40" w:after="40"/>
              <w:jc w:val="center"/>
              <w:rPr>
                <w:rFonts w:cs="Calibri"/>
                <w:szCs w:val="18"/>
              </w:rPr>
            </w:pPr>
            <w:r w:rsidRPr="00BD16B4">
              <w:rPr>
                <w:rFonts w:cs="Calibri"/>
                <w:szCs w:val="18"/>
              </w:rPr>
              <w:t>4,447</w:t>
            </w:r>
          </w:p>
        </w:tc>
        <w:tc>
          <w:tcPr>
            <w:tcW w:w="892" w:type="dxa"/>
            <w:noWrap/>
            <w:hideMark/>
          </w:tcPr>
          <w:p w14:paraId="43F4EE79" w14:textId="77777777" w:rsidR="00533D32" w:rsidRPr="00BD16B4" w:rsidRDefault="00533D32" w:rsidP="00C87B45">
            <w:pPr>
              <w:pStyle w:val="TableText"/>
              <w:spacing w:before="40" w:after="40"/>
              <w:jc w:val="center"/>
              <w:rPr>
                <w:rFonts w:cs="Calibri"/>
                <w:szCs w:val="18"/>
              </w:rPr>
            </w:pPr>
            <w:r w:rsidRPr="00BD16B4">
              <w:rPr>
                <w:rFonts w:cs="Calibri"/>
                <w:szCs w:val="18"/>
              </w:rPr>
              <w:t>4,101</w:t>
            </w:r>
          </w:p>
        </w:tc>
        <w:tc>
          <w:tcPr>
            <w:tcW w:w="892" w:type="dxa"/>
            <w:noWrap/>
            <w:hideMark/>
          </w:tcPr>
          <w:p w14:paraId="266D7000" w14:textId="77777777" w:rsidR="00533D32" w:rsidRPr="00BD16B4" w:rsidRDefault="00533D32" w:rsidP="00C87B45">
            <w:pPr>
              <w:pStyle w:val="TableText"/>
              <w:spacing w:before="40" w:after="40"/>
              <w:jc w:val="center"/>
              <w:rPr>
                <w:rFonts w:cs="Calibri"/>
                <w:szCs w:val="18"/>
              </w:rPr>
            </w:pPr>
            <w:r w:rsidRPr="00BD16B4">
              <w:rPr>
                <w:rFonts w:cs="Calibri"/>
                <w:szCs w:val="18"/>
              </w:rPr>
              <w:t>3,670</w:t>
            </w:r>
          </w:p>
        </w:tc>
        <w:tc>
          <w:tcPr>
            <w:tcW w:w="892" w:type="dxa"/>
            <w:noWrap/>
            <w:hideMark/>
          </w:tcPr>
          <w:p w14:paraId="4F6E73E2" w14:textId="77777777" w:rsidR="00533D32" w:rsidRPr="00BD16B4" w:rsidRDefault="00533D32" w:rsidP="00C87B45">
            <w:pPr>
              <w:pStyle w:val="TableText"/>
              <w:spacing w:before="40" w:after="40"/>
              <w:jc w:val="center"/>
              <w:rPr>
                <w:rFonts w:cs="Calibri"/>
                <w:szCs w:val="18"/>
              </w:rPr>
            </w:pPr>
            <w:r w:rsidRPr="00BD16B4">
              <w:rPr>
                <w:rFonts w:cs="Calibri"/>
                <w:szCs w:val="18"/>
              </w:rPr>
              <w:t>3,890</w:t>
            </w:r>
          </w:p>
        </w:tc>
        <w:tc>
          <w:tcPr>
            <w:tcW w:w="892" w:type="dxa"/>
            <w:shd w:val="clear" w:color="auto" w:fill="D2DDE1" w:themeFill="background2"/>
            <w:noWrap/>
            <w:hideMark/>
          </w:tcPr>
          <w:p w14:paraId="5B6094AB" w14:textId="77777777" w:rsidR="00533D32" w:rsidRPr="00BD16B4" w:rsidRDefault="00533D32" w:rsidP="00C87B45">
            <w:pPr>
              <w:pStyle w:val="TableText"/>
              <w:spacing w:before="40" w:after="40"/>
              <w:jc w:val="center"/>
              <w:rPr>
                <w:rFonts w:cs="Calibri"/>
                <w:szCs w:val="18"/>
              </w:rPr>
            </w:pPr>
            <w:r w:rsidRPr="00BD16B4">
              <w:rPr>
                <w:rFonts w:cs="Calibri"/>
                <w:szCs w:val="18"/>
              </w:rPr>
              <w:t>3,704</w:t>
            </w:r>
          </w:p>
        </w:tc>
        <w:tc>
          <w:tcPr>
            <w:tcW w:w="892" w:type="dxa"/>
            <w:shd w:val="clear" w:color="auto" w:fill="D2DDE1" w:themeFill="background2"/>
            <w:noWrap/>
            <w:hideMark/>
          </w:tcPr>
          <w:p w14:paraId="23344FB8" w14:textId="77777777" w:rsidR="00533D32" w:rsidRPr="00BD16B4" w:rsidRDefault="00533D32" w:rsidP="00C87B45">
            <w:pPr>
              <w:pStyle w:val="TableText"/>
              <w:spacing w:before="40" w:after="40"/>
              <w:jc w:val="center"/>
              <w:rPr>
                <w:rFonts w:cs="Calibri"/>
                <w:szCs w:val="18"/>
              </w:rPr>
            </w:pPr>
            <w:r w:rsidRPr="00BD16B4">
              <w:rPr>
                <w:rFonts w:cs="Calibri"/>
                <w:szCs w:val="18"/>
              </w:rPr>
              <w:t>3,421</w:t>
            </w:r>
          </w:p>
        </w:tc>
        <w:tc>
          <w:tcPr>
            <w:tcW w:w="892" w:type="dxa"/>
            <w:shd w:val="clear" w:color="auto" w:fill="D2DDE1" w:themeFill="background2"/>
            <w:noWrap/>
            <w:hideMark/>
          </w:tcPr>
          <w:p w14:paraId="28E31964" w14:textId="77777777" w:rsidR="00533D32" w:rsidRPr="00BD16B4" w:rsidRDefault="00533D32" w:rsidP="00C87B45">
            <w:pPr>
              <w:pStyle w:val="TableText"/>
              <w:spacing w:before="40" w:after="40"/>
              <w:jc w:val="center"/>
              <w:rPr>
                <w:rFonts w:cs="Calibri"/>
                <w:szCs w:val="18"/>
              </w:rPr>
            </w:pPr>
            <w:r w:rsidRPr="00BD16B4">
              <w:rPr>
                <w:rFonts w:cs="Calibri"/>
                <w:szCs w:val="18"/>
              </w:rPr>
              <w:t>3,226</w:t>
            </w:r>
          </w:p>
        </w:tc>
      </w:tr>
      <w:tr w:rsidR="00533D32" w:rsidRPr="00BD16B4" w14:paraId="5BF7E657" w14:textId="77777777" w:rsidTr="00315977">
        <w:tc>
          <w:tcPr>
            <w:tcW w:w="1928" w:type="dxa"/>
            <w:vMerge w:val="restart"/>
            <w:noWrap/>
            <w:hideMark/>
          </w:tcPr>
          <w:p w14:paraId="7E02E175" w14:textId="77777777" w:rsidR="00533D32" w:rsidRPr="00BD16B4" w:rsidRDefault="00533D32" w:rsidP="00C87B45">
            <w:pPr>
              <w:pStyle w:val="TableText"/>
              <w:spacing w:before="40" w:after="40"/>
              <w:rPr>
                <w:rFonts w:cs="Calibri"/>
                <w:szCs w:val="18"/>
              </w:rPr>
            </w:pPr>
            <w:r w:rsidRPr="00BD16B4">
              <w:rPr>
                <w:rFonts w:cs="Calibri"/>
                <w:szCs w:val="18"/>
              </w:rPr>
              <w:t>Total Sheep</w:t>
            </w:r>
          </w:p>
        </w:tc>
        <w:tc>
          <w:tcPr>
            <w:tcW w:w="1474" w:type="dxa"/>
            <w:vMerge w:val="restart"/>
            <w:tcMar>
              <w:left w:w="57" w:type="dxa"/>
            </w:tcMar>
            <w:hideMark/>
          </w:tcPr>
          <w:p w14:paraId="4F9040FC" w14:textId="77777777" w:rsidR="00533D32" w:rsidRPr="00BD16B4" w:rsidRDefault="00533D32" w:rsidP="00C87B45">
            <w:pPr>
              <w:pStyle w:val="TableText"/>
              <w:spacing w:before="40" w:after="40"/>
              <w:rPr>
                <w:rFonts w:cs="Calibri"/>
                <w:szCs w:val="18"/>
              </w:rPr>
            </w:pPr>
            <w:r w:rsidRPr="00BD16B4">
              <w:rPr>
                <w:rFonts w:cs="Calibri"/>
                <w:szCs w:val="18"/>
              </w:rPr>
              <w:t>thousand head</w:t>
            </w:r>
          </w:p>
        </w:tc>
        <w:tc>
          <w:tcPr>
            <w:tcW w:w="2405" w:type="dxa"/>
            <w:noWrap/>
            <w:hideMark/>
          </w:tcPr>
          <w:p w14:paraId="6C19EA92" w14:textId="77777777" w:rsidR="00533D32" w:rsidRPr="00BD16B4" w:rsidRDefault="00533D32" w:rsidP="00C87B45">
            <w:pPr>
              <w:pStyle w:val="TableText"/>
              <w:spacing w:before="40" w:after="40"/>
              <w:rPr>
                <w:rFonts w:cs="Calibri"/>
                <w:szCs w:val="18"/>
              </w:rPr>
            </w:pPr>
            <w:r w:rsidRPr="00BD16B4">
              <w:rPr>
                <w:rFonts w:cs="Calibri"/>
                <w:szCs w:val="18"/>
              </w:rPr>
              <w:t>WEM</w:t>
            </w:r>
          </w:p>
        </w:tc>
        <w:tc>
          <w:tcPr>
            <w:tcW w:w="760" w:type="dxa"/>
            <w:noWrap/>
            <w:hideMark/>
          </w:tcPr>
          <w:p w14:paraId="3948D9E0" w14:textId="77777777" w:rsidR="00533D32" w:rsidRPr="00BD16B4" w:rsidRDefault="00533D32" w:rsidP="00C87B45">
            <w:pPr>
              <w:pStyle w:val="TableText"/>
              <w:spacing w:before="40" w:after="40"/>
              <w:jc w:val="center"/>
              <w:rPr>
                <w:rFonts w:cs="Calibri"/>
                <w:szCs w:val="18"/>
              </w:rPr>
            </w:pPr>
            <w:r w:rsidRPr="00BD16B4">
              <w:rPr>
                <w:rFonts w:cs="Calibri"/>
                <w:szCs w:val="18"/>
              </w:rPr>
              <w:t>60,569</w:t>
            </w:r>
          </w:p>
        </w:tc>
        <w:tc>
          <w:tcPr>
            <w:tcW w:w="892" w:type="dxa"/>
            <w:noWrap/>
            <w:hideMark/>
          </w:tcPr>
          <w:p w14:paraId="3ADB4383" w14:textId="77777777" w:rsidR="00533D32" w:rsidRPr="00BD16B4" w:rsidRDefault="00533D32" w:rsidP="00C87B45">
            <w:pPr>
              <w:pStyle w:val="TableText"/>
              <w:spacing w:before="40" w:after="40"/>
              <w:jc w:val="center"/>
              <w:rPr>
                <w:rFonts w:cs="Calibri"/>
                <w:szCs w:val="18"/>
              </w:rPr>
            </w:pPr>
            <w:r w:rsidRPr="00BD16B4">
              <w:rPr>
                <w:rFonts w:cs="Calibri"/>
                <w:szCs w:val="18"/>
              </w:rPr>
              <w:t>49,466</w:t>
            </w:r>
          </w:p>
        </w:tc>
        <w:tc>
          <w:tcPr>
            <w:tcW w:w="892" w:type="dxa"/>
            <w:noWrap/>
            <w:hideMark/>
          </w:tcPr>
          <w:p w14:paraId="08B9C9F7" w14:textId="77777777" w:rsidR="00533D32" w:rsidRPr="00BD16B4" w:rsidRDefault="00533D32" w:rsidP="00C87B45">
            <w:pPr>
              <w:pStyle w:val="TableText"/>
              <w:spacing w:before="40" w:after="40"/>
              <w:jc w:val="center"/>
              <w:rPr>
                <w:rFonts w:cs="Calibri"/>
                <w:szCs w:val="18"/>
              </w:rPr>
            </w:pPr>
            <w:r w:rsidRPr="00BD16B4">
              <w:rPr>
                <w:rFonts w:cs="Calibri"/>
                <w:szCs w:val="18"/>
              </w:rPr>
              <w:t>45,680</w:t>
            </w:r>
          </w:p>
        </w:tc>
        <w:tc>
          <w:tcPr>
            <w:tcW w:w="892" w:type="dxa"/>
            <w:noWrap/>
            <w:hideMark/>
          </w:tcPr>
          <w:p w14:paraId="5A85C63F" w14:textId="77777777" w:rsidR="00533D32" w:rsidRPr="00BD16B4" w:rsidRDefault="00533D32" w:rsidP="00C87B45">
            <w:pPr>
              <w:pStyle w:val="TableText"/>
              <w:spacing w:before="40" w:after="40"/>
              <w:jc w:val="center"/>
              <w:rPr>
                <w:rFonts w:cs="Calibri"/>
                <w:szCs w:val="18"/>
              </w:rPr>
            </w:pPr>
            <w:r w:rsidRPr="00BD16B4">
              <w:rPr>
                <w:rFonts w:cs="Calibri"/>
                <w:szCs w:val="18"/>
              </w:rPr>
              <w:t>39,271</w:t>
            </w:r>
          </w:p>
        </w:tc>
        <w:tc>
          <w:tcPr>
            <w:tcW w:w="892" w:type="dxa"/>
            <w:noWrap/>
            <w:hideMark/>
          </w:tcPr>
          <w:p w14:paraId="59133D98" w14:textId="77777777" w:rsidR="00533D32" w:rsidRPr="00BD16B4" w:rsidRDefault="00533D32" w:rsidP="00C87B45">
            <w:pPr>
              <w:pStyle w:val="TableText"/>
              <w:spacing w:before="40" w:after="40"/>
              <w:jc w:val="center"/>
              <w:rPr>
                <w:rFonts w:cs="Calibri"/>
                <w:szCs w:val="18"/>
              </w:rPr>
            </w:pPr>
            <w:r w:rsidRPr="00BD16B4">
              <w:rPr>
                <w:rFonts w:cs="Calibri"/>
                <w:szCs w:val="18"/>
              </w:rPr>
              <w:t>32,384</w:t>
            </w:r>
          </w:p>
        </w:tc>
        <w:tc>
          <w:tcPr>
            <w:tcW w:w="892" w:type="dxa"/>
            <w:noWrap/>
            <w:hideMark/>
          </w:tcPr>
          <w:p w14:paraId="522EE0D6" w14:textId="77777777" w:rsidR="00533D32" w:rsidRPr="00BD16B4" w:rsidRDefault="00533D32" w:rsidP="00C87B45">
            <w:pPr>
              <w:pStyle w:val="TableText"/>
              <w:spacing w:before="40" w:after="40"/>
              <w:jc w:val="center"/>
              <w:rPr>
                <w:rFonts w:cs="Calibri"/>
                <w:szCs w:val="18"/>
              </w:rPr>
            </w:pPr>
            <w:r w:rsidRPr="00BD16B4">
              <w:rPr>
                <w:rFonts w:cs="Calibri"/>
                <w:szCs w:val="18"/>
              </w:rPr>
              <w:t>29,803</w:t>
            </w:r>
          </w:p>
        </w:tc>
        <w:tc>
          <w:tcPr>
            <w:tcW w:w="892" w:type="dxa"/>
            <w:noWrap/>
            <w:hideMark/>
          </w:tcPr>
          <w:p w14:paraId="6B744BCE" w14:textId="77777777" w:rsidR="00533D32" w:rsidRPr="00BD16B4" w:rsidRDefault="00533D32" w:rsidP="00C87B45">
            <w:pPr>
              <w:pStyle w:val="TableText"/>
              <w:spacing w:before="40" w:after="40"/>
              <w:jc w:val="center"/>
              <w:rPr>
                <w:rFonts w:cs="Calibri"/>
                <w:szCs w:val="18"/>
              </w:rPr>
            </w:pPr>
            <w:r w:rsidRPr="00BD16B4">
              <w:rPr>
                <w:rFonts w:cs="Calibri"/>
                <w:szCs w:val="18"/>
              </w:rPr>
              <w:t>26,822</w:t>
            </w:r>
          </w:p>
        </w:tc>
        <w:tc>
          <w:tcPr>
            <w:tcW w:w="892" w:type="dxa"/>
            <w:shd w:val="clear" w:color="auto" w:fill="D2DDE1" w:themeFill="background2"/>
            <w:noWrap/>
            <w:hideMark/>
          </w:tcPr>
          <w:p w14:paraId="678D0469" w14:textId="77777777" w:rsidR="00533D32" w:rsidRPr="00BD16B4" w:rsidRDefault="00533D32" w:rsidP="00C87B45">
            <w:pPr>
              <w:pStyle w:val="TableText"/>
              <w:spacing w:before="40" w:after="40"/>
              <w:jc w:val="center"/>
              <w:rPr>
                <w:rFonts w:cs="Calibri"/>
                <w:szCs w:val="18"/>
              </w:rPr>
            </w:pPr>
            <w:r w:rsidRPr="00BD16B4">
              <w:rPr>
                <w:rFonts w:cs="Calibri"/>
                <w:szCs w:val="18"/>
              </w:rPr>
              <w:t>23,918</w:t>
            </w:r>
          </w:p>
        </w:tc>
        <w:tc>
          <w:tcPr>
            <w:tcW w:w="892" w:type="dxa"/>
            <w:shd w:val="clear" w:color="auto" w:fill="D2DDE1" w:themeFill="background2"/>
            <w:noWrap/>
            <w:hideMark/>
          </w:tcPr>
          <w:p w14:paraId="27EF239C" w14:textId="77777777" w:rsidR="00533D32" w:rsidRPr="00BD16B4" w:rsidRDefault="00533D32" w:rsidP="00C87B45">
            <w:pPr>
              <w:pStyle w:val="TableText"/>
              <w:spacing w:before="40" w:after="40"/>
              <w:jc w:val="center"/>
              <w:rPr>
                <w:rFonts w:cs="Calibri"/>
                <w:szCs w:val="18"/>
              </w:rPr>
            </w:pPr>
            <w:r w:rsidRPr="00BD16B4">
              <w:rPr>
                <w:rFonts w:cs="Calibri"/>
                <w:szCs w:val="18"/>
              </w:rPr>
              <w:t>22,428</w:t>
            </w:r>
          </w:p>
        </w:tc>
        <w:tc>
          <w:tcPr>
            <w:tcW w:w="892" w:type="dxa"/>
            <w:shd w:val="clear" w:color="auto" w:fill="D2DDE1" w:themeFill="background2"/>
            <w:noWrap/>
            <w:hideMark/>
          </w:tcPr>
          <w:p w14:paraId="1C35EDFE" w14:textId="77777777" w:rsidR="00533D32" w:rsidRPr="00BD16B4" w:rsidRDefault="00533D32" w:rsidP="00C87B45">
            <w:pPr>
              <w:pStyle w:val="TableText"/>
              <w:spacing w:before="40" w:after="40"/>
              <w:jc w:val="center"/>
              <w:rPr>
                <w:rFonts w:cs="Calibri"/>
                <w:szCs w:val="18"/>
              </w:rPr>
            </w:pPr>
            <w:r w:rsidRPr="00BD16B4">
              <w:rPr>
                <w:rFonts w:cs="Calibri"/>
                <w:szCs w:val="18"/>
              </w:rPr>
              <w:t>21,075</w:t>
            </w:r>
          </w:p>
        </w:tc>
      </w:tr>
      <w:tr w:rsidR="00533D32" w:rsidRPr="00BD16B4" w14:paraId="6688FB20" w14:textId="77777777" w:rsidTr="00315977">
        <w:tc>
          <w:tcPr>
            <w:tcW w:w="1928" w:type="dxa"/>
            <w:vMerge/>
            <w:hideMark/>
          </w:tcPr>
          <w:p w14:paraId="504C72DE" w14:textId="77777777" w:rsidR="00533D32" w:rsidRPr="00BD16B4" w:rsidRDefault="00533D32" w:rsidP="00C87B45">
            <w:pPr>
              <w:pStyle w:val="TableText"/>
              <w:spacing w:before="40" w:after="40"/>
              <w:rPr>
                <w:rFonts w:cs="Calibri"/>
                <w:szCs w:val="18"/>
              </w:rPr>
            </w:pPr>
          </w:p>
        </w:tc>
        <w:tc>
          <w:tcPr>
            <w:tcW w:w="1474" w:type="dxa"/>
            <w:vMerge/>
            <w:tcMar>
              <w:left w:w="57" w:type="dxa"/>
            </w:tcMar>
            <w:hideMark/>
          </w:tcPr>
          <w:p w14:paraId="1FDF91A2" w14:textId="77777777" w:rsidR="00533D32" w:rsidRPr="00BD16B4" w:rsidRDefault="00533D32" w:rsidP="00C87B45">
            <w:pPr>
              <w:pStyle w:val="TableText"/>
              <w:spacing w:before="40" w:after="40"/>
              <w:rPr>
                <w:rFonts w:cs="Calibri"/>
                <w:szCs w:val="18"/>
              </w:rPr>
            </w:pPr>
          </w:p>
        </w:tc>
        <w:tc>
          <w:tcPr>
            <w:tcW w:w="2405" w:type="dxa"/>
            <w:noWrap/>
            <w:hideMark/>
          </w:tcPr>
          <w:p w14:paraId="5EE2A54D" w14:textId="77777777" w:rsidR="00533D32" w:rsidRPr="00BD16B4" w:rsidRDefault="00533D32" w:rsidP="00C87B45">
            <w:pPr>
              <w:pStyle w:val="TableText"/>
              <w:spacing w:before="40" w:after="40"/>
              <w:rPr>
                <w:rFonts w:cs="Calibri"/>
                <w:szCs w:val="18"/>
              </w:rPr>
            </w:pPr>
            <w:r w:rsidRPr="00BD16B4">
              <w:rPr>
                <w:rFonts w:cs="Calibri"/>
                <w:szCs w:val="18"/>
              </w:rPr>
              <w:t>WOM</w:t>
            </w:r>
          </w:p>
        </w:tc>
        <w:tc>
          <w:tcPr>
            <w:tcW w:w="760" w:type="dxa"/>
            <w:noWrap/>
            <w:hideMark/>
          </w:tcPr>
          <w:p w14:paraId="37EC76AE" w14:textId="77777777" w:rsidR="00533D32" w:rsidRPr="00BD16B4" w:rsidRDefault="00533D32" w:rsidP="00C87B45">
            <w:pPr>
              <w:pStyle w:val="TableText"/>
              <w:spacing w:before="40" w:after="40"/>
              <w:jc w:val="center"/>
              <w:rPr>
                <w:rFonts w:cs="Calibri"/>
                <w:szCs w:val="18"/>
              </w:rPr>
            </w:pPr>
            <w:r w:rsidRPr="00BD16B4">
              <w:rPr>
                <w:rFonts w:cs="Calibri"/>
                <w:szCs w:val="18"/>
              </w:rPr>
              <w:t>60,569</w:t>
            </w:r>
          </w:p>
        </w:tc>
        <w:tc>
          <w:tcPr>
            <w:tcW w:w="892" w:type="dxa"/>
            <w:noWrap/>
            <w:hideMark/>
          </w:tcPr>
          <w:p w14:paraId="0591C6C8" w14:textId="77777777" w:rsidR="00533D32" w:rsidRPr="00BD16B4" w:rsidRDefault="00533D32" w:rsidP="00C87B45">
            <w:pPr>
              <w:pStyle w:val="TableText"/>
              <w:spacing w:before="40" w:after="40"/>
              <w:jc w:val="center"/>
              <w:rPr>
                <w:rFonts w:cs="Calibri"/>
                <w:szCs w:val="18"/>
              </w:rPr>
            </w:pPr>
            <w:r w:rsidRPr="00BD16B4">
              <w:rPr>
                <w:rFonts w:cs="Calibri"/>
                <w:szCs w:val="18"/>
              </w:rPr>
              <w:t>49,488</w:t>
            </w:r>
          </w:p>
        </w:tc>
        <w:tc>
          <w:tcPr>
            <w:tcW w:w="892" w:type="dxa"/>
            <w:noWrap/>
            <w:hideMark/>
          </w:tcPr>
          <w:p w14:paraId="4483AAC4" w14:textId="77777777" w:rsidR="00533D32" w:rsidRPr="00BD16B4" w:rsidRDefault="00533D32" w:rsidP="00C87B45">
            <w:pPr>
              <w:pStyle w:val="TableText"/>
              <w:spacing w:before="40" w:after="40"/>
              <w:jc w:val="center"/>
              <w:rPr>
                <w:rFonts w:cs="Calibri"/>
                <w:szCs w:val="18"/>
              </w:rPr>
            </w:pPr>
            <w:r w:rsidRPr="00BD16B4">
              <w:rPr>
                <w:rFonts w:cs="Calibri"/>
                <w:szCs w:val="18"/>
              </w:rPr>
              <w:t>45,755</w:t>
            </w:r>
          </w:p>
        </w:tc>
        <w:tc>
          <w:tcPr>
            <w:tcW w:w="892" w:type="dxa"/>
            <w:noWrap/>
            <w:hideMark/>
          </w:tcPr>
          <w:p w14:paraId="0A3AFF51" w14:textId="77777777" w:rsidR="00533D32" w:rsidRPr="00BD16B4" w:rsidRDefault="00533D32" w:rsidP="00C87B45">
            <w:pPr>
              <w:pStyle w:val="TableText"/>
              <w:spacing w:before="40" w:after="40"/>
              <w:jc w:val="center"/>
              <w:rPr>
                <w:rFonts w:cs="Calibri"/>
                <w:szCs w:val="18"/>
              </w:rPr>
            </w:pPr>
            <w:r w:rsidRPr="00BD16B4">
              <w:rPr>
                <w:rFonts w:cs="Calibri"/>
                <w:szCs w:val="18"/>
              </w:rPr>
              <w:t>39,353</w:t>
            </w:r>
          </w:p>
        </w:tc>
        <w:tc>
          <w:tcPr>
            <w:tcW w:w="892" w:type="dxa"/>
            <w:noWrap/>
            <w:hideMark/>
          </w:tcPr>
          <w:p w14:paraId="14617F4D" w14:textId="77777777" w:rsidR="00533D32" w:rsidRPr="00BD16B4" w:rsidRDefault="00533D32" w:rsidP="00C87B45">
            <w:pPr>
              <w:pStyle w:val="TableText"/>
              <w:spacing w:before="40" w:after="40"/>
              <w:jc w:val="center"/>
              <w:rPr>
                <w:rFonts w:cs="Calibri"/>
                <w:szCs w:val="18"/>
              </w:rPr>
            </w:pPr>
            <w:r w:rsidRPr="00BD16B4">
              <w:rPr>
                <w:rFonts w:cs="Calibri"/>
                <w:szCs w:val="18"/>
              </w:rPr>
              <w:t>32,497</w:t>
            </w:r>
          </w:p>
        </w:tc>
        <w:tc>
          <w:tcPr>
            <w:tcW w:w="892" w:type="dxa"/>
            <w:noWrap/>
            <w:hideMark/>
          </w:tcPr>
          <w:p w14:paraId="7B5D5B46" w14:textId="77777777" w:rsidR="00533D32" w:rsidRPr="00BD16B4" w:rsidRDefault="00533D32" w:rsidP="00C87B45">
            <w:pPr>
              <w:pStyle w:val="TableText"/>
              <w:spacing w:before="40" w:after="40"/>
              <w:jc w:val="center"/>
              <w:rPr>
                <w:rFonts w:cs="Calibri"/>
                <w:szCs w:val="18"/>
              </w:rPr>
            </w:pPr>
            <w:r w:rsidRPr="00BD16B4">
              <w:rPr>
                <w:rFonts w:cs="Calibri"/>
                <w:szCs w:val="18"/>
              </w:rPr>
              <w:t>30,010</w:t>
            </w:r>
          </w:p>
        </w:tc>
        <w:tc>
          <w:tcPr>
            <w:tcW w:w="892" w:type="dxa"/>
            <w:noWrap/>
            <w:hideMark/>
          </w:tcPr>
          <w:p w14:paraId="4783965F" w14:textId="77777777" w:rsidR="00533D32" w:rsidRPr="00BD16B4" w:rsidRDefault="00533D32" w:rsidP="00C87B45">
            <w:pPr>
              <w:pStyle w:val="TableText"/>
              <w:spacing w:before="40" w:after="40"/>
              <w:jc w:val="center"/>
              <w:rPr>
                <w:rFonts w:cs="Calibri"/>
                <w:szCs w:val="18"/>
              </w:rPr>
            </w:pPr>
            <w:r w:rsidRPr="00BD16B4">
              <w:rPr>
                <w:rFonts w:cs="Calibri"/>
                <w:szCs w:val="18"/>
              </w:rPr>
              <w:t>27,173</w:t>
            </w:r>
          </w:p>
        </w:tc>
        <w:tc>
          <w:tcPr>
            <w:tcW w:w="892" w:type="dxa"/>
            <w:shd w:val="clear" w:color="auto" w:fill="D2DDE1" w:themeFill="background2"/>
            <w:noWrap/>
            <w:hideMark/>
          </w:tcPr>
          <w:p w14:paraId="1E2CA3CA" w14:textId="77777777" w:rsidR="00533D32" w:rsidRPr="00BD16B4" w:rsidRDefault="00533D32" w:rsidP="00C87B45">
            <w:pPr>
              <w:pStyle w:val="TableText"/>
              <w:spacing w:before="40" w:after="40"/>
              <w:jc w:val="center"/>
              <w:rPr>
                <w:rFonts w:cs="Calibri"/>
                <w:szCs w:val="18"/>
              </w:rPr>
            </w:pPr>
            <w:r w:rsidRPr="00BD16B4">
              <w:rPr>
                <w:rFonts w:cs="Calibri"/>
                <w:szCs w:val="18"/>
              </w:rPr>
              <w:t>24,692</w:t>
            </w:r>
          </w:p>
        </w:tc>
        <w:tc>
          <w:tcPr>
            <w:tcW w:w="892" w:type="dxa"/>
            <w:shd w:val="clear" w:color="auto" w:fill="D2DDE1" w:themeFill="background2"/>
            <w:noWrap/>
            <w:hideMark/>
          </w:tcPr>
          <w:p w14:paraId="319437BA" w14:textId="77777777" w:rsidR="00533D32" w:rsidRPr="00BD16B4" w:rsidRDefault="00533D32" w:rsidP="00C87B45">
            <w:pPr>
              <w:pStyle w:val="TableText"/>
              <w:spacing w:before="40" w:after="40"/>
              <w:jc w:val="center"/>
              <w:rPr>
                <w:rFonts w:cs="Calibri"/>
                <w:szCs w:val="18"/>
              </w:rPr>
            </w:pPr>
            <w:r w:rsidRPr="00BD16B4">
              <w:rPr>
                <w:rFonts w:cs="Calibri"/>
                <w:szCs w:val="18"/>
              </w:rPr>
              <w:t>24,095</w:t>
            </w:r>
          </w:p>
        </w:tc>
        <w:tc>
          <w:tcPr>
            <w:tcW w:w="892" w:type="dxa"/>
            <w:shd w:val="clear" w:color="auto" w:fill="D2DDE1" w:themeFill="background2"/>
            <w:noWrap/>
            <w:hideMark/>
          </w:tcPr>
          <w:p w14:paraId="1E2AAF04" w14:textId="77777777" w:rsidR="00533D32" w:rsidRPr="00BD16B4" w:rsidRDefault="00533D32" w:rsidP="00C87B45">
            <w:pPr>
              <w:pStyle w:val="TableText"/>
              <w:spacing w:before="40" w:after="40"/>
              <w:jc w:val="center"/>
              <w:rPr>
                <w:rFonts w:cs="Calibri"/>
                <w:szCs w:val="18"/>
              </w:rPr>
            </w:pPr>
            <w:r w:rsidRPr="00BD16B4">
              <w:rPr>
                <w:rFonts w:cs="Calibri"/>
                <w:szCs w:val="18"/>
              </w:rPr>
              <w:t>23,569</w:t>
            </w:r>
          </w:p>
        </w:tc>
      </w:tr>
      <w:tr w:rsidR="00533D32" w:rsidRPr="00BD16B4" w14:paraId="5015BB61" w14:textId="77777777" w:rsidTr="00315977">
        <w:tc>
          <w:tcPr>
            <w:tcW w:w="1928" w:type="dxa"/>
            <w:vMerge/>
            <w:hideMark/>
          </w:tcPr>
          <w:p w14:paraId="3016F030" w14:textId="77777777" w:rsidR="00533D32" w:rsidRPr="00BD16B4" w:rsidRDefault="00533D32" w:rsidP="00C87B45">
            <w:pPr>
              <w:pStyle w:val="TableText"/>
              <w:spacing w:before="40" w:after="40"/>
              <w:rPr>
                <w:rFonts w:cs="Calibri"/>
                <w:szCs w:val="18"/>
              </w:rPr>
            </w:pPr>
          </w:p>
        </w:tc>
        <w:tc>
          <w:tcPr>
            <w:tcW w:w="1474" w:type="dxa"/>
            <w:vMerge/>
            <w:tcMar>
              <w:left w:w="57" w:type="dxa"/>
            </w:tcMar>
            <w:hideMark/>
          </w:tcPr>
          <w:p w14:paraId="7B093B0C" w14:textId="77777777" w:rsidR="00533D32" w:rsidRPr="00BD16B4" w:rsidRDefault="00533D32" w:rsidP="00C87B45">
            <w:pPr>
              <w:pStyle w:val="TableText"/>
              <w:spacing w:before="40" w:after="40"/>
              <w:rPr>
                <w:rFonts w:cs="Calibri"/>
                <w:szCs w:val="18"/>
              </w:rPr>
            </w:pPr>
          </w:p>
        </w:tc>
        <w:tc>
          <w:tcPr>
            <w:tcW w:w="2405" w:type="dxa"/>
            <w:noWrap/>
            <w:hideMark/>
          </w:tcPr>
          <w:p w14:paraId="2C2B44DB" w14:textId="77777777" w:rsidR="00533D32" w:rsidRPr="00BD16B4" w:rsidRDefault="00533D32" w:rsidP="00C87B45">
            <w:pPr>
              <w:pStyle w:val="TableText"/>
              <w:spacing w:before="40" w:after="40"/>
              <w:rPr>
                <w:rFonts w:cs="Calibri"/>
                <w:szCs w:val="18"/>
              </w:rPr>
            </w:pPr>
            <w:r w:rsidRPr="00BD16B4">
              <w:rPr>
                <w:rFonts w:cs="Calibri"/>
                <w:szCs w:val="18"/>
              </w:rPr>
              <w:t>WAM</w:t>
            </w:r>
          </w:p>
        </w:tc>
        <w:tc>
          <w:tcPr>
            <w:tcW w:w="760" w:type="dxa"/>
            <w:noWrap/>
            <w:hideMark/>
          </w:tcPr>
          <w:p w14:paraId="12FD4507" w14:textId="77777777" w:rsidR="00533D32" w:rsidRPr="00BD16B4" w:rsidRDefault="00533D32" w:rsidP="00C87B45">
            <w:pPr>
              <w:pStyle w:val="TableText"/>
              <w:spacing w:before="40" w:after="40"/>
              <w:jc w:val="center"/>
              <w:rPr>
                <w:rFonts w:cs="Calibri"/>
                <w:szCs w:val="18"/>
              </w:rPr>
            </w:pPr>
            <w:r w:rsidRPr="00BD16B4">
              <w:rPr>
                <w:rFonts w:cs="Calibri"/>
                <w:szCs w:val="18"/>
              </w:rPr>
              <w:t>60,569</w:t>
            </w:r>
          </w:p>
        </w:tc>
        <w:tc>
          <w:tcPr>
            <w:tcW w:w="892" w:type="dxa"/>
            <w:noWrap/>
            <w:hideMark/>
          </w:tcPr>
          <w:p w14:paraId="194DCB40" w14:textId="77777777" w:rsidR="00533D32" w:rsidRPr="00BD16B4" w:rsidRDefault="00533D32" w:rsidP="00C87B45">
            <w:pPr>
              <w:pStyle w:val="TableText"/>
              <w:spacing w:before="40" w:after="40"/>
              <w:jc w:val="center"/>
              <w:rPr>
                <w:rFonts w:cs="Calibri"/>
                <w:szCs w:val="18"/>
              </w:rPr>
            </w:pPr>
            <w:r w:rsidRPr="00BD16B4">
              <w:rPr>
                <w:rFonts w:cs="Calibri"/>
                <w:szCs w:val="18"/>
              </w:rPr>
              <w:t>49,466</w:t>
            </w:r>
          </w:p>
        </w:tc>
        <w:tc>
          <w:tcPr>
            <w:tcW w:w="892" w:type="dxa"/>
            <w:noWrap/>
            <w:hideMark/>
          </w:tcPr>
          <w:p w14:paraId="587B2872" w14:textId="77777777" w:rsidR="00533D32" w:rsidRPr="00BD16B4" w:rsidRDefault="00533D32" w:rsidP="00C87B45">
            <w:pPr>
              <w:pStyle w:val="TableText"/>
              <w:spacing w:before="40" w:after="40"/>
              <w:jc w:val="center"/>
              <w:rPr>
                <w:rFonts w:cs="Calibri"/>
                <w:szCs w:val="18"/>
              </w:rPr>
            </w:pPr>
            <w:r w:rsidRPr="00BD16B4">
              <w:rPr>
                <w:rFonts w:cs="Calibri"/>
                <w:szCs w:val="18"/>
              </w:rPr>
              <w:t>45,680</w:t>
            </w:r>
          </w:p>
        </w:tc>
        <w:tc>
          <w:tcPr>
            <w:tcW w:w="892" w:type="dxa"/>
            <w:noWrap/>
            <w:hideMark/>
          </w:tcPr>
          <w:p w14:paraId="07CB8139" w14:textId="77777777" w:rsidR="00533D32" w:rsidRPr="00BD16B4" w:rsidRDefault="00533D32" w:rsidP="00C87B45">
            <w:pPr>
              <w:pStyle w:val="TableText"/>
              <w:spacing w:before="40" w:after="40"/>
              <w:jc w:val="center"/>
              <w:rPr>
                <w:rFonts w:cs="Calibri"/>
                <w:szCs w:val="18"/>
              </w:rPr>
            </w:pPr>
            <w:r w:rsidRPr="00BD16B4">
              <w:rPr>
                <w:rFonts w:cs="Calibri"/>
                <w:szCs w:val="18"/>
              </w:rPr>
              <w:t>39,271</w:t>
            </w:r>
          </w:p>
        </w:tc>
        <w:tc>
          <w:tcPr>
            <w:tcW w:w="892" w:type="dxa"/>
            <w:noWrap/>
            <w:hideMark/>
          </w:tcPr>
          <w:p w14:paraId="25291916" w14:textId="77777777" w:rsidR="00533D32" w:rsidRPr="00BD16B4" w:rsidRDefault="00533D32" w:rsidP="00C87B45">
            <w:pPr>
              <w:pStyle w:val="TableText"/>
              <w:spacing w:before="40" w:after="40"/>
              <w:jc w:val="center"/>
              <w:rPr>
                <w:rFonts w:cs="Calibri"/>
                <w:szCs w:val="18"/>
              </w:rPr>
            </w:pPr>
            <w:r w:rsidRPr="00BD16B4">
              <w:rPr>
                <w:rFonts w:cs="Calibri"/>
                <w:szCs w:val="18"/>
              </w:rPr>
              <w:t>32,384</w:t>
            </w:r>
          </w:p>
        </w:tc>
        <w:tc>
          <w:tcPr>
            <w:tcW w:w="892" w:type="dxa"/>
            <w:noWrap/>
            <w:hideMark/>
          </w:tcPr>
          <w:p w14:paraId="34B42F5E" w14:textId="77777777" w:rsidR="00533D32" w:rsidRPr="00BD16B4" w:rsidRDefault="00533D32" w:rsidP="00C87B45">
            <w:pPr>
              <w:pStyle w:val="TableText"/>
              <w:spacing w:before="40" w:after="40"/>
              <w:jc w:val="center"/>
              <w:rPr>
                <w:rFonts w:cs="Calibri"/>
                <w:szCs w:val="18"/>
              </w:rPr>
            </w:pPr>
            <w:r w:rsidRPr="00BD16B4">
              <w:rPr>
                <w:rFonts w:cs="Calibri"/>
                <w:szCs w:val="18"/>
              </w:rPr>
              <w:t>29,803</w:t>
            </w:r>
          </w:p>
        </w:tc>
        <w:tc>
          <w:tcPr>
            <w:tcW w:w="892" w:type="dxa"/>
            <w:noWrap/>
            <w:hideMark/>
          </w:tcPr>
          <w:p w14:paraId="7F8A02D6" w14:textId="77777777" w:rsidR="00533D32" w:rsidRPr="00BD16B4" w:rsidRDefault="00533D32" w:rsidP="00C87B45">
            <w:pPr>
              <w:pStyle w:val="TableText"/>
              <w:spacing w:before="40" w:after="40"/>
              <w:jc w:val="center"/>
              <w:rPr>
                <w:rFonts w:cs="Calibri"/>
                <w:szCs w:val="18"/>
              </w:rPr>
            </w:pPr>
            <w:r w:rsidRPr="00BD16B4">
              <w:rPr>
                <w:rFonts w:cs="Calibri"/>
                <w:szCs w:val="18"/>
              </w:rPr>
              <w:t>26,822</w:t>
            </w:r>
          </w:p>
        </w:tc>
        <w:tc>
          <w:tcPr>
            <w:tcW w:w="892" w:type="dxa"/>
            <w:shd w:val="clear" w:color="auto" w:fill="D2DDE1" w:themeFill="background2"/>
            <w:noWrap/>
            <w:hideMark/>
          </w:tcPr>
          <w:p w14:paraId="6C9BB5D7" w14:textId="77777777" w:rsidR="00533D32" w:rsidRPr="00BD16B4" w:rsidRDefault="00533D32" w:rsidP="00C87B45">
            <w:pPr>
              <w:pStyle w:val="TableText"/>
              <w:spacing w:before="40" w:after="40"/>
              <w:jc w:val="center"/>
              <w:rPr>
                <w:rFonts w:cs="Calibri"/>
                <w:szCs w:val="18"/>
              </w:rPr>
            </w:pPr>
            <w:r w:rsidRPr="00BD16B4">
              <w:rPr>
                <w:rFonts w:cs="Calibri"/>
                <w:szCs w:val="18"/>
              </w:rPr>
              <w:t>23,881</w:t>
            </w:r>
          </w:p>
        </w:tc>
        <w:tc>
          <w:tcPr>
            <w:tcW w:w="892" w:type="dxa"/>
            <w:shd w:val="clear" w:color="auto" w:fill="D2DDE1" w:themeFill="background2"/>
            <w:noWrap/>
            <w:hideMark/>
          </w:tcPr>
          <w:p w14:paraId="2C9BDABD" w14:textId="77777777" w:rsidR="00533D32" w:rsidRPr="00BD16B4" w:rsidRDefault="00533D32" w:rsidP="00C87B45">
            <w:pPr>
              <w:pStyle w:val="TableText"/>
              <w:spacing w:before="40" w:after="40"/>
              <w:jc w:val="center"/>
              <w:rPr>
                <w:rFonts w:cs="Calibri"/>
                <w:szCs w:val="18"/>
              </w:rPr>
            </w:pPr>
            <w:r w:rsidRPr="00BD16B4">
              <w:rPr>
                <w:rFonts w:cs="Calibri"/>
                <w:szCs w:val="18"/>
              </w:rPr>
              <w:t>22,255</w:t>
            </w:r>
          </w:p>
        </w:tc>
        <w:tc>
          <w:tcPr>
            <w:tcW w:w="892" w:type="dxa"/>
            <w:shd w:val="clear" w:color="auto" w:fill="D2DDE1" w:themeFill="background2"/>
            <w:noWrap/>
            <w:hideMark/>
          </w:tcPr>
          <w:p w14:paraId="72235235" w14:textId="77777777" w:rsidR="00533D32" w:rsidRPr="00BD16B4" w:rsidRDefault="00533D32" w:rsidP="00C87B45">
            <w:pPr>
              <w:pStyle w:val="TableText"/>
              <w:spacing w:before="40" w:after="40"/>
              <w:jc w:val="center"/>
              <w:rPr>
                <w:rFonts w:cs="Calibri"/>
                <w:szCs w:val="18"/>
              </w:rPr>
            </w:pPr>
            <w:r w:rsidRPr="00BD16B4">
              <w:rPr>
                <w:rFonts w:cs="Calibri"/>
                <w:szCs w:val="18"/>
              </w:rPr>
              <w:t>20,775</w:t>
            </w:r>
          </w:p>
        </w:tc>
      </w:tr>
      <w:tr w:rsidR="00533D32" w:rsidRPr="00BD16B4" w14:paraId="23792F0F" w14:textId="77777777" w:rsidTr="00315977">
        <w:tc>
          <w:tcPr>
            <w:tcW w:w="1928" w:type="dxa"/>
            <w:vMerge w:val="restart"/>
            <w:noWrap/>
            <w:hideMark/>
          </w:tcPr>
          <w:p w14:paraId="6CC26974" w14:textId="77777777" w:rsidR="00533D32" w:rsidRPr="00BD16B4" w:rsidRDefault="00533D32" w:rsidP="00C87B45">
            <w:pPr>
              <w:pStyle w:val="TableText"/>
              <w:spacing w:before="40" w:after="40"/>
              <w:rPr>
                <w:rFonts w:cs="Calibri"/>
                <w:szCs w:val="18"/>
              </w:rPr>
            </w:pPr>
            <w:r w:rsidRPr="00BD16B4">
              <w:rPr>
                <w:rFonts w:cs="Calibri"/>
                <w:szCs w:val="18"/>
              </w:rPr>
              <w:t>Total Lambs</w:t>
            </w:r>
          </w:p>
        </w:tc>
        <w:tc>
          <w:tcPr>
            <w:tcW w:w="1474" w:type="dxa"/>
            <w:vMerge w:val="restart"/>
            <w:tcMar>
              <w:left w:w="57" w:type="dxa"/>
            </w:tcMar>
            <w:hideMark/>
          </w:tcPr>
          <w:p w14:paraId="79547296" w14:textId="77777777" w:rsidR="00533D32" w:rsidRPr="00BD16B4" w:rsidRDefault="00533D32" w:rsidP="00C87B45">
            <w:pPr>
              <w:pStyle w:val="TableText"/>
              <w:spacing w:before="40" w:after="40"/>
              <w:rPr>
                <w:rFonts w:cs="Calibri"/>
                <w:szCs w:val="18"/>
              </w:rPr>
            </w:pPr>
            <w:r w:rsidRPr="00BD16B4">
              <w:rPr>
                <w:rFonts w:cs="Calibri"/>
                <w:szCs w:val="18"/>
              </w:rPr>
              <w:t>thousand head</w:t>
            </w:r>
          </w:p>
        </w:tc>
        <w:tc>
          <w:tcPr>
            <w:tcW w:w="2405" w:type="dxa"/>
            <w:noWrap/>
            <w:hideMark/>
          </w:tcPr>
          <w:p w14:paraId="37BCD09D" w14:textId="77777777" w:rsidR="00533D32" w:rsidRPr="00BD16B4" w:rsidRDefault="00533D32" w:rsidP="00C87B45">
            <w:pPr>
              <w:pStyle w:val="TableText"/>
              <w:spacing w:before="40" w:after="40"/>
              <w:rPr>
                <w:rFonts w:cs="Calibri"/>
                <w:szCs w:val="18"/>
              </w:rPr>
            </w:pPr>
            <w:r w:rsidRPr="00BD16B4">
              <w:rPr>
                <w:rFonts w:cs="Calibri"/>
                <w:szCs w:val="18"/>
              </w:rPr>
              <w:t>WEM</w:t>
            </w:r>
          </w:p>
        </w:tc>
        <w:tc>
          <w:tcPr>
            <w:tcW w:w="760" w:type="dxa"/>
            <w:noWrap/>
            <w:hideMark/>
          </w:tcPr>
          <w:p w14:paraId="619BF512" w14:textId="77777777" w:rsidR="00533D32" w:rsidRPr="00BD16B4" w:rsidRDefault="00533D32" w:rsidP="00C87B45">
            <w:pPr>
              <w:pStyle w:val="TableText"/>
              <w:spacing w:before="40" w:after="40"/>
              <w:jc w:val="center"/>
              <w:rPr>
                <w:rFonts w:cs="Calibri"/>
                <w:szCs w:val="18"/>
              </w:rPr>
            </w:pPr>
            <w:r w:rsidRPr="00BD16B4">
              <w:rPr>
                <w:rFonts w:cs="Calibri"/>
                <w:szCs w:val="18"/>
              </w:rPr>
              <w:t>39,997</w:t>
            </w:r>
          </w:p>
        </w:tc>
        <w:tc>
          <w:tcPr>
            <w:tcW w:w="892" w:type="dxa"/>
            <w:noWrap/>
            <w:hideMark/>
          </w:tcPr>
          <w:p w14:paraId="37158BCE" w14:textId="77777777" w:rsidR="00533D32" w:rsidRPr="00BD16B4" w:rsidRDefault="00533D32" w:rsidP="00C87B45">
            <w:pPr>
              <w:pStyle w:val="TableText"/>
              <w:spacing w:before="40" w:after="40"/>
              <w:jc w:val="center"/>
              <w:rPr>
                <w:rFonts w:cs="Calibri"/>
                <w:szCs w:val="18"/>
              </w:rPr>
            </w:pPr>
            <w:r w:rsidRPr="00BD16B4">
              <w:rPr>
                <w:rFonts w:cs="Calibri"/>
                <w:szCs w:val="18"/>
              </w:rPr>
              <w:t>37,018</w:t>
            </w:r>
          </w:p>
        </w:tc>
        <w:tc>
          <w:tcPr>
            <w:tcW w:w="892" w:type="dxa"/>
            <w:noWrap/>
            <w:hideMark/>
          </w:tcPr>
          <w:p w14:paraId="50A136A0" w14:textId="77777777" w:rsidR="00533D32" w:rsidRPr="00BD16B4" w:rsidRDefault="00533D32" w:rsidP="00C87B45">
            <w:pPr>
              <w:pStyle w:val="TableText"/>
              <w:spacing w:before="40" w:after="40"/>
              <w:jc w:val="center"/>
              <w:rPr>
                <w:rFonts w:cs="Calibri"/>
                <w:szCs w:val="18"/>
              </w:rPr>
            </w:pPr>
            <w:r w:rsidRPr="00BD16B4">
              <w:rPr>
                <w:rFonts w:cs="Calibri"/>
                <w:szCs w:val="18"/>
              </w:rPr>
              <w:t>34,840</w:t>
            </w:r>
          </w:p>
        </w:tc>
        <w:tc>
          <w:tcPr>
            <w:tcW w:w="892" w:type="dxa"/>
            <w:noWrap/>
            <w:hideMark/>
          </w:tcPr>
          <w:p w14:paraId="53B97B54" w14:textId="77777777" w:rsidR="00533D32" w:rsidRPr="00BD16B4" w:rsidRDefault="00533D32" w:rsidP="00C87B45">
            <w:pPr>
              <w:pStyle w:val="TableText"/>
              <w:spacing w:before="40" w:after="40"/>
              <w:jc w:val="center"/>
              <w:rPr>
                <w:rFonts w:cs="Calibri"/>
                <w:szCs w:val="18"/>
              </w:rPr>
            </w:pPr>
            <w:r w:rsidRPr="00BD16B4">
              <w:rPr>
                <w:rFonts w:cs="Calibri"/>
                <w:szCs w:val="18"/>
              </w:rPr>
              <w:t>33,226</w:t>
            </w:r>
          </w:p>
        </w:tc>
        <w:tc>
          <w:tcPr>
            <w:tcW w:w="892" w:type="dxa"/>
            <w:noWrap/>
            <w:hideMark/>
          </w:tcPr>
          <w:p w14:paraId="0DBD323D" w14:textId="77777777" w:rsidR="00533D32" w:rsidRPr="00BD16B4" w:rsidRDefault="00533D32" w:rsidP="00C87B45">
            <w:pPr>
              <w:pStyle w:val="TableText"/>
              <w:spacing w:before="40" w:after="40"/>
              <w:jc w:val="center"/>
              <w:rPr>
                <w:rFonts w:cs="Calibri"/>
                <w:szCs w:val="18"/>
              </w:rPr>
            </w:pPr>
            <w:r w:rsidRPr="00BD16B4">
              <w:rPr>
                <w:rFonts w:cs="Calibri"/>
                <w:szCs w:val="18"/>
              </w:rPr>
              <w:t>28,152</w:t>
            </w:r>
          </w:p>
        </w:tc>
        <w:tc>
          <w:tcPr>
            <w:tcW w:w="892" w:type="dxa"/>
            <w:noWrap/>
            <w:hideMark/>
          </w:tcPr>
          <w:p w14:paraId="2E3D1724" w14:textId="77777777" w:rsidR="00533D32" w:rsidRPr="00BD16B4" w:rsidRDefault="00533D32" w:rsidP="00C87B45">
            <w:pPr>
              <w:pStyle w:val="TableText"/>
              <w:spacing w:before="40" w:after="40"/>
              <w:jc w:val="center"/>
              <w:rPr>
                <w:rFonts w:cs="Calibri"/>
                <w:szCs w:val="18"/>
              </w:rPr>
            </w:pPr>
            <w:r w:rsidRPr="00BD16B4">
              <w:rPr>
                <w:rFonts w:cs="Calibri"/>
                <w:szCs w:val="18"/>
              </w:rPr>
              <w:t>25,833</w:t>
            </w:r>
          </w:p>
        </w:tc>
        <w:tc>
          <w:tcPr>
            <w:tcW w:w="892" w:type="dxa"/>
            <w:noWrap/>
            <w:hideMark/>
          </w:tcPr>
          <w:p w14:paraId="78AD96C4" w14:textId="77777777" w:rsidR="00533D32" w:rsidRPr="00BD16B4" w:rsidRDefault="00533D32" w:rsidP="00C87B45">
            <w:pPr>
              <w:pStyle w:val="TableText"/>
              <w:spacing w:before="40" w:after="40"/>
              <w:jc w:val="center"/>
              <w:rPr>
                <w:rFonts w:cs="Calibri"/>
                <w:szCs w:val="18"/>
              </w:rPr>
            </w:pPr>
            <w:r w:rsidRPr="00BD16B4">
              <w:rPr>
                <w:rFonts w:cs="Calibri"/>
                <w:szCs w:val="18"/>
              </w:rPr>
              <w:t>23,172</w:t>
            </w:r>
          </w:p>
        </w:tc>
        <w:tc>
          <w:tcPr>
            <w:tcW w:w="892" w:type="dxa"/>
            <w:shd w:val="clear" w:color="auto" w:fill="D2DDE1" w:themeFill="background2"/>
            <w:noWrap/>
            <w:hideMark/>
          </w:tcPr>
          <w:p w14:paraId="367DE37A" w14:textId="77777777" w:rsidR="00533D32" w:rsidRPr="00BD16B4" w:rsidRDefault="00533D32" w:rsidP="00C87B45">
            <w:pPr>
              <w:pStyle w:val="TableText"/>
              <w:spacing w:before="40" w:after="40"/>
              <w:jc w:val="center"/>
              <w:rPr>
                <w:rFonts w:cs="Calibri"/>
                <w:szCs w:val="18"/>
              </w:rPr>
            </w:pPr>
            <w:r w:rsidRPr="00BD16B4">
              <w:rPr>
                <w:rFonts w:cs="Calibri"/>
                <w:szCs w:val="18"/>
              </w:rPr>
              <w:t>21,466</w:t>
            </w:r>
          </w:p>
        </w:tc>
        <w:tc>
          <w:tcPr>
            <w:tcW w:w="892" w:type="dxa"/>
            <w:shd w:val="clear" w:color="auto" w:fill="D2DDE1" w:themeFill="background2"/>
            <w:noWrap/>
            <w:hideMark/>
          </w:tcPr>
          <w:p w14:paraId="168C85FB" w14:textId="77777777" w:rsidR="00533D32" w:rsidRPr="00BD16B4" w:rsidRDefault="00533D32" w:rsidP="00C87B45">
            <w:pPr>
              <w:pStyle w:val="TableText"/>
              <w:spacing w:before="40" w:after="40"/>
              <w:jc w:val="center"/>
              <w:rPr>
                <w:rFonts w:cs="Calibri"/>
                <w:szCs w:val="18"/>
              </w:rPr>
            </w:pPr>
            <w:r w:rsidRPr="00BD16B4">
              <w:rPr>
                <w:rFonts w:cs="Calibri"/>
                <w:szCs w:val="18"/>
              </w:rPr>
              <w:t>20,537</w:t>
            </w:r>
          </w:p>
        </w:tc>
        <w:tc>
          <w:tcPr>
            <w:tcW w:w="892" w:type="dxa"/>
            <w:shd w:val="clear" w:color="auto" w:fill="D2DDE1" w:themeFill="background2"/>
            <w:noWrap/>
            <w:hideMark/>
          </w:tcPr>
          <w:p w14:paraId="27FCACAD" w14:textId="77777777" w:rsidR="00533D32" w:rsidRPr="00BD16B4" w:rsidRDefault="00533D32" w:rsidP="00C87B45">
            <w:pPr>
              <w:pStyle w:val="TableText"/>
              <w:spacing w:before="40" w:after="40"/>
              <w:jc w:val="center"/>
              <w:rPr>
                <w:rFonts w:cs="Calibri"/>
                <w:szCs w:val="18"/>
              </w:rPr>
            </w:pPr>
            <w:r w:rsidRPr="00BD16B4">
              <w:rPr>
                <w:rFonts w:cs="Calibri"/>
                <w:szCs w:val="18"/>
              </w:rPr>
              <w:t>19,683</w:t>
            </w:r>
          </w:p>
        </w:tc>
      </w:tr>
      <w:tr w:rsidR="00533D32" w:rsidRPr="00BD16B4" w14:paraId="4D787BFA" w14:textId="77777777" w:rsidTr="00315977">
        <w:tc>
          <w:tcPr>
            <w:tcW w:w="1928" w:type="dxa"/>
            <w:vMerge/>
            <w:hideMark/>
          </w:tcPr>
          <w:p w14:paraId="7B0F0D7D" w14:textId="77777777" w:rsidR="00533D32" w:rsidRPr="00BD16B4" w:rsidRDefault="00533D32" w:rsidP="00C87B45">
            <w:pPr>
              <w:pStyle w:val="TableText"/>
              <w:spacing w:before="40" w:after="40"/>
              <w:rPr>
                <w:rFonts w:cs="Calibri"/>
                <w:szCs w:val="18"/>
              </w:rPr>
            </w:pPr>
          </w:p>
        </w:tc>
        <w:tc>
          <w:tcPr>
            <w:tcW w:w="1474" w:type="dxa"/>
            <w:vMerge/>
            <w:tcMar>
              <w:left w:w="57" w:type="dxa"/>
            </w:tcMar>
            <w:hideMark/>
          </w:tcPr>
          <w:p w14:paraId="0B8579B6" w14:textId="77777777" w:rsidR="00533D32" w:rsidRPr="00BD16B4" w:rsidRDefault="00533D32" w:rsidP="00C87B45">
            <w:pPr>
              <w:pStyle w:val="TableText"/>
              <w:spacing w:before="40" w:after="40"/>
              <w:rPr>
                <w:rFonts w:cs="Calibri"/>
                <w:szCs w:val="18"/>
              </w:rPr>
            </w:pPr>
          </w:p>
        </w:tc>
        <w:tc>
          <w:tcPr>
            <w:tcW w:w="2405" w:type="dxa"/>
            <w:noWrap/>
            <w:hideMark/>
          </w:tcPr>
          <w:p w14:paraId="1A9AF3FE" w14:textId="77777777" w:rsidR="00533D32" w:rsidRPr="00BD16B4" w:rsidRDefault="00533D32" w:rsidP="00C87B45">
            <w:pPr>
              <w:pStyle w:val="TableText"/>
              <w:spacing w:before="40" w:after="40"/>
              <w:rPr>
                <w:rFonts w:cs="Calibri"/>
                <w:szCs w:val="18"/>
              </w:rPr>
            </w:pPr>
            <w:r w:rsidRPr="00BD16B4">
              <w:rPr>
                <w:rFonts w:cs="Calibri"/>
                <w:szCs w:val="18"/>
              </w:rPr>
              <w:t>WOM</w:t>
            </w:r>
          </w:p>
        </w:tc>
        <w:tc>
          <w:tcPr>
            <w:tcW w:w="760" w:type="dxa"/>
            <w:noWrap/>
            <w:hideMark/>
          </w:tcPr>
          <w:p w14:paraId="458F0594" w14:textId="77777777" w:rsidR="00533D32" w:rsidRPr="00BD16B4" w:rsidRDefault="00533D32" w:rsidP="00C87B45">
            <w:pPr>
              <w:pStyle w:val="TableText"/>
              <w:spacing w:before="40" w:after="40"/>
              <w:jc w:val="center"/>
              <w:rPr>
                <w:rFonts w:cs="Calibri"/>
                <w:szCs w:val="18"/>
              </w:rPr>
            </w:pPr>
            <w:r w:rsidRPr="00BD16B4">
              <w:rPr>
                <w:rFonts w:cs="Calibri"/>
                <w:szCs w:val="18"/>
              </w:rPr>
              <w:t>39,997</w:t>
            </w:r>
          </w:p>
        </w:tc>
        <w:tc>
          <w:tcPr>
            <w:tcW w:w="892" w:type="dxa"/>
            <w:noWrap/>
            <w:hideMark/>
          </w:tcPr>
          <w:p w14:paraId="1AD5E259" w14:textId="77777777" w:rsidR="00533D32" w:rsidRPr="00BD16B4" w:rsidRDefault="00533D32" w:rsidP="00C87B45">
            <w:pPr>
              <w:pStyle w:val="TableText"/>
              <w:spacing w:before="40" w:after="40"/>
              <w:jc w:val="center"/>
              <w:rPr>
                <w:rFonts w:cs="Calibri"/>
                <w:szCs w:val="18"/>
              </w:rPr>
            </w:pPr>
            <w:r w:rsidRPr="00BD16B4">
              <w:rPr>
                <w:rFonts w:cs="Calibri"/>
                <w:szCs w:val="18"/>
              </w:rPr>
              <w:t>37,034</w:t>
            </w:r>
          </w:p>
        </w:tc>
        <w:tc>
          <w:tcPr>
            <w:tcW w:w="892" w:type="dxa"/>
            <w:noWrap/>
            <w:hideMark/>
          </w:tcPr>
          <w:p w14:paraId="1A59332C" w14:textId="77777777" w:rsidR="00533D32" w:rsidRPr="00BD16B4" w:rsidRDefault="00533D32" w:rsidP="00C87B45">
            <w:pPr>
              <w:pStyle w:val="TableText"/>
              <w:spacing w:before="40" w:after="40"/>
              <w:jc w:val="center"/>
              <w:rPr>
                <w:rFonts w:cs="Calibri"/>
                <w:szCs w:val="18"/>
              </w:rPr>
            </w:pPr>
            <w:r w:rsidRPr="00BD16B4">
              <w:rPr>
                <w:rFonts w:cs="Calibri"/>
                <w:szCs w:val="18"/>
              </w:rPr>
              <w:t>34,897</w:t>
            </w:r>
          </w:p>
        </w:tc>
        <w:tc>
          <w:tcPr>
            <w:tcW w:w="892" w:type="dxa"/>
            <w:noWrap/>
            <w:hideMark/>
          </w:tcPr>
          <w:p w14:paraId="6B0CD35B" w14:textId="77777777" w:rsidR="00533D32" w:rsidRPr="00BD16B4" w:rsidRDefault="00533D32" w:rsidP="00C87B45">
            <w:pPr>
              <w:pStyle w:val="TableText"/>
              <w:spacing w:before="40" w:after="40"/>
              <w:jc w:val="center"/>
              <w:rPr>
                <w:rFonts w:cs="Calibri"/>
                <w:szCs w:val="18"/>
              </w:rPr>
            </w:pPr>
            <w:r w:rsidRPr="00BD16B4">
              <w:rPr>
                <w:rFonts w:cs="Calibri"/>
                <w:szCs w:val="18"/>
              </w:rPr>
              <w:t>33,296</w:t>
            </w:r>
          </w:p>
        </w:tc>
        <w:tc>
          <w:tcPr>
            <w:tcW w:w="892" w:type="dxa"/>
            <w:noWrap/>
            <w:hideMark/>
          </w:tcPr>
          <w:p w14:paraId="661548FC" w14:textId="77777777" w:rsidR="00533D32" w:rsidRPr="00BD16B4" w:rsidRDefault="00533D32" w:rsidP="00C87B45">
            <w:pPr>
              <w:pStyle w:val="TableText"/>
              <w:spacing w:before="40" w:after="40"/>
              <w:jc w:val="center"/>
              <w:rPr>
                <w:rFonts w:cs="Calibri"/>
                <w:szCs w:val="18"/>
              </w:rPr>
            </w:pPr>
            <w:r w:rsidRPr="00BD16B4">
              <w:rPr>
                <w:rFonts w:cs="Calibri"/>
                <w:szCs w:val="18"/>
              </w:rPr>
              <w:t>28,250</w:t>
            </w:r>
          </w:p>
        </w:tc>
        <w:tc>
          <w:tcPr>
            <w:tcW w:w="892" w:type="dxa"/>
            <w:noWrap/>
            <w:hideMark/>
          </w:tcPr>
          <w:p w14:paraId="599DE05C" w14:textId="77777777" w:rsidR="00533D32" w:rsidRPr="00BD16B4" w:rsidRDefault="00533D32" w:rsidP="00C87B45">
            <w:pPr>
              <w:pStyle w:val="TableText"/>
              <w:spacing w:before="40" w:after="40"/>
              <w:jc w:val="center"/>
              <w:rPr>
                <w:rFonts w:cs="Calibri"/>
                <w:szCs w:val="18"/>
              </w:rPr>
            </w:pPr>
            <w:r w:rsidRPr="00BD16B4">
              <w:rPr>
                <w:rFonts w:cs="Calibri"/>
                <w:szCs w:val="18"/>
              </w:rPr>
              <w:t>26,012</w:t>
            </w:r>
          </w:p>
        </w:tc>
        <w:tc>
          <w:tcPr>
            <w:tcW w:w="892" w:type="dxa"/>
            <w:noWrap/>
            <w:hideMark/>
          </w:tcPr>
          <w:p w14:paraId="18B50A15" w14:textId="77777777" w:rsidR="00533D32" w:rsidRPr="00BD16B4" w:rsidRDefault="00533D32" w:rsidP="00C87B45">
            <w:pPr>
              <w:pStyle w:val="TableText"/>
              <w:spacing w:before="40" w:after="40"/>
              <w:jc w:val="center"/>
              <w:rPr>
                <w:rFonts w:cs="Calibri"/>
                <w:szCs w:val="18"/>
              </w:rPr>
            </w:pPr>
            <w:r w:rsidRPr="00BD16B4">
              <w:rPr>
                <w:rFonts w:cs="Calibri"/>
                <w:szCs w:val="18"/>
              </w:rPr>
              <w:t>23,476</w:t>
            </w:r>
          </w:p>
        </w:tc>
        <w:tc>
          <w:tcPr>
            <w:tcW w:w="892" w:type="dxa"/>
            <w:shd w:val="clear" w:color="auto" w:fill="D2DDE1" w:themeFill="background2"/>
            <w:noWrap/>
            <w:hideMark/>
          </w:tcPr>
          <w:p w14:paraId="7450873D" w14:textId="77777777" w:rsidR="00533D32" w:rsidRPr="00BD16B4" w:rsidRDefault="00533D32" w:rsidP="00C87B45">
            <w:pPr>
              <w:pStyle w:val="TableText"/>
              <w:spacing w:before="40" w:after="40"/>
              <w:jc w:val="center"/>
              <w:rPr>
                <w:rFonts w:cs="Calibri"/>
                <w:szCs w:val="18"/>
              </w:rPr>
            </w:pPr>
            <w:r w:rsidRPr="00BD16B4">
              <w:rPr>
                <w:rFonts w:cs="Calibri"/>
                <w:szCs w:val="18"/>
              </w:rPr>
              <w:t>22,160</w:t>
            </w:r>
          </w:p>
        </w:tc>
        <w:tc>
          <w:tcPr>
            <w:tcW w:w="892" w:type="dxa"/>
            <w:shd w:val="clear" w:color="auto" w:fill="D2DDE1" w:themeFill="background2"/>
            <w:noWrap/>
            <w:hideMark/>
          </w:tcPr>
          <w:p w14:paraId="50613787" w14:textId="77777777" w:rsidR="00533D32" w:rsidRPr="00BD16B4" w:rsidRDefault="00533D32" w:rsidP="00C87B45">
            <w:pPr>
              <w:pStyle w:val="TableText"/>
              <w:spacing w:before="40" w:after="40"/>
              <w:jc w:val="center"/>
              <w:rPr>
                <w:rFonts w:cs="Calibri"/>
                <w:szCs w:val="18"/>
              </w:rPr>
            </w:pPr>
            <w:r w:rsidRPr="00BD16B4">
              <w:rPr>
                <w:rFonts w:cs="Calibri"/>
                <w:szCs w:val="18"/>
              </w:rPr>
              <w:t>22,064</w:t>
            </w:r>
          </w:p>
        </w:tc>
        <w:tc>
          <w:tcPr>
            <w:tcW w:w="892" w:type="dxa"/>
            <w:shd w:val="clear" w:color="auto" w:fill="D2DDE1" w:themeFill="background2"/>
            <w:noWrap/>
            <w:hideMark/>
          </w:tcPr>
          <w:p w14:paraId="3C9C265C" w14:textId="77777777" w:rsidR="00533D32" w:rsidRPr="00BD16B4" w:rsidRDefault="00533D32" w:rsidP="00C87B45">
            <w:pPr>
              <w:pStyle w:val="TableText"/>
              <w:spacing w:before="40" w:after="40"/>
              <w:jc w:val="center"/>
              <w:rPr>
                <w:rFonts w:cs="Calibri"/>
                <w:szCs w:val="18"/>
              </w:rPr>
            </w:pPr>
            <w:r w:rsidRPr="00BD16B4">
              <w:rPr>
                <w:rFonts w:cs="Calibri"/>
                <w:szCs w:val="18"/>
              </w:rPr>
              <w:t>22,012</w:t>
            </w:r>
          </w:p>
        </w:tc>
      </w:tr>
      <w:tr w:rsidR="00533D32" w:rsidRPr="00BD16B4" w14:paraId="175B3494" w14:textId="77777777" w:rsidTr="00315977">
        <w:tc>
          <w:tcPr>
            <w:tcW w:w="1928" w:type="dxa"/>
            <w:vMerge/>
            <w:hideMark/>
          </w:tcPr>
          <w:p w14:paraId="2238F685" w14:textId="77777777" w:rsidR="00533D32" w:rsidRPr="00BD16B4" w:rsidRDefault="00533D32" w:rsidP="00C87B45">
            <w:pPr>
              <w:pStyle w:val="TableText"/>
              <w:spacing w:before="40" w:after="40"/>
              <w:rPr>
                <w:rFonts w:cs="Calibri"/>
                <w:szCs w:val="18"/>
              </w:rPr>
            </w:pPr>
          </w:p>
        </w:tc>
        <w:tc>
          <w:tcPr>
            <w:tcW w:w="1474" w:type="dxa"/>
            <w:vMerge/>
            <w:tcMar>
              <w:left w:w="57" w:type="dxa"/>
            </w:tcMar>
            <w:hideMark/>
          </w:tcPr>
          <w:p w14:paraId="7E5617D7" w14:textId="77777777" w:rsidR="00533D32" w:rsidRPr="00BD16B4" w:rsidRDefault="00533D32" w:rsidP="00C87B45">
            <w:pPr>
              <w:pStyle w:val="TableText"/>
              <w:spacing w:before="40" w:after="40"/>
              <w:rPr>
                <w:rFonts w:cs="Calibri"/>
                <w:szCs w:val="18"/>
              </w:rPr>
            </w:pPr>
          </w:p>
        </w:tc>
        <w:tc>
          <w:tcPr>
            <w:tcW w:w="2405" w:type="dxa"/>
            <w:noWrap/>
            <w:hideMark/>
          </w:tcPr>
          <w:p w14:paraId="47DD96E7" w14:textId="77777777" w:rsidR="00533D32" w:rsidRPr="00BD16B4" w:rsidRDefault="00533D32" w:rsidP="00C87B45">
            <w:pPr>
              <w:pStyle w:val="TableText"/>
              <w:spacing w:before="40" w:after="40"/>
              <w:rPr>
                <w:rFonts w:cs="Calibri"/>
                <w:szCs w:val="18"/>
              </w:rPr>
            </w:pPr>
            <w:r w:rsidRPr="00BD16B4">
              <w:rPr>
                <w:rFonts w:cs="Calibri"/>
                <w:szCs w:val="18"/>
              </w:rPr>
              <w:t>WAM</w:t>
            </w:r>
          </w:p>
        </w:tc>
        <w:tc>
          <w:tcPr>
            <w:tcW w:w="760" w:type="dxa"/>
            <w:noWrap/>
            <w:hideMark/>
          </w:tcPr>
          <w:p w14:paraId="1AF3093E" w14:textId="77777777" w:rsidR="00533D32" w:rsidRPr="00BD16B4" w:rsidRDefault="00533D32" w:rsidP="00C87B45">
            <w:pPr>
              <w:pStyle w:val="TableText"/>
              <w:spacing w:before="40" w:after="40"/>
              <w:jc w:val="center"/>
              <w:rPr>
                <w:rFonts w:cs="Calibri"/>
                <w:szCs w:val="18"/>
              </w:rPr>
            </w:pPr>
            <w:r w:rsidRPr="00BD16B4">
              <w:rPr>
                <w:rFonts w:cs="Calibri"/>
                <w:szCs w:val="18"/>
              </w:rPr>
              <w:t>39,997</w:t>
            </w:r>
          </w:p>
        </w:tc>
        <w:tc>
          <w:tcPr>
            <w:tcW w:w="892" w:type="dxa"/>
            <w:noWrap/>
            <w:hideMark/>
          </w:tcPr>
          <w:p w14:paraId="78B64385" w14:textId="77777777" w:rsidR="00533D32" w:rsidRPr="00BD16B4" w:rsidRDefault="00533D32" w:rsidP="00C87B45">
            <w:pPr>
              <w:pStyle w:val="TableText"/>
              <w:spacing w:before="40" w:after="40"/>
              <w:jc w:val="center"/>
              <w:rPr>
                <w:rFonts w:cs="Calibri"/>
                <w:szCs w:val="18"/>
              </w:rPr>
            </w:pPr>
            <w:r w:rsidRPr="00BD16B4">
              <w:rPr>
                <w:rFonts w:cs="Calibri"/>
                <w:szCs w:val="18"/>
              </w:rPr>
              <w:t>37,034</w:t>
            </w:r>
          </w:p>
        </w:tc>
        <w:tc>
          <w:tcPr>
            <w:tcW w:w="892" w:type="dxa"/>
            <w:noWrap/>
            <w:hideMark/>
          </w:tcPr>
          <w:p w14:paraId="034947C5" w14:textId="77777777" w:rsidR="00533D32" w:rsidRPr="00BD16B4" w:rsidRDefault="00533D32" w:rsidP="00C87B45">
            <w:pPr>
              <w:pStyle w:val="TableText"/>
              <w:spacing w:before="40" w:after="40"/>
              <w:jc w:val="center"/>
              <w:rPr>
                <w:rFonts w:cs="Calibri"/>
                <w:szCs w:val="18"/>
              </w:rPr>
            </w:pPr>
            <w:r w:rsidRPr="00BD16B4">
              <w:rPr>
                <w:rFonts w:cs="Calibri"/>
                <w:szCs w:val="18"/>
              </w:rPr>
              <w:t>34,897</w:t>
            </w:r>
          </w:p>
        </w:tc>
        <w:tc>
          <w:tcPr>
            <w:tcW w:w="892" w:type="dxa"/>
            <w:noWrap/>
            <w:hideMark/>
          </w:tcPr>
          <w:p w14:paraId="2D530D2F" w14:textId="77777777" w:rsidR="00533D32" w:rsidRPr="00BD16B4" w:rsidRDefault="00533D32" w:rsidP="00C87B45">
            <w:pPr>
              <w:pStyle w:val="TableText"/>
              <w:spacing w:before="40" w:after="40"/>
              <w:jc w:val="center"/>
              <w:rPr>
                <w:rFonts w:cs="Calibri"/>
                <w:szCs w:val="18"/>
              </w:rPr>
            </w:pPr>
            <w:r w:rsidRPr="00BD16B4">
              <w:rPr>
                <w:rFonts w:cs="Calibri"/>
                <w:szCs w:val="18"/>
              </w:rPr>
              <w:t>33,296</w:t>
            </w:r>
          </w:p>
        </w:tc>
        <w:tc>
          <w:tcPr>
            <w:tcW w:w="892" w:type="dxa"/>
            <w:noWrap/>
            <w:hideMark/>
          </w:tcPr>
          <w:p w14:paraId="662D9BE4" w14:textId="77777777" w:rsidR="00533D32" w:rsidRPr="00BD16B4" w:rsidRDefault="00533D32" w:rsidP="00C87B45">
            <w:pPr>
              <w:pStyle w:val="TableText"/>
              <w:spacing w:before="40" w:after="40"/>
              <w:jc w:val="center"/>
              <w:rPr>
                <w:rFonts w:cs="Calibri"/>
                <w:szCs w:val="18"/>
              </w:rPr>
            </w:pPr>
            <w:r w:rsidRPr="00BD16B4">
              <w:rPr>
                <w:rFonts w:cs="Calibri"/>
                <w:szCs w:val="18"/>
              </w:rPr>
              <w:t>28,250</w:t>
            </w:r>
          </w:p>
        </w:tc>
        <w:tc>
          <w:tcPr>
            <w:tcW w:w="892" w:type="dxa"/>
            <w:noWrap/>
            <w:hideMark/>
          </w:tcPr>
          <w:p w14:paraId="7EC2662C" w14:textId="77777777" w:rsidR="00533D32" w:rsidRPr="00BD16B4" w:rsidRDefault="00533D32" w:rsidP="00C87B45">
            <w:pPr>
              <w:pStyle w:val="TableText"/>
              <w:spacing w:before="40" w:after="40"/>
              <w:jc w:val="center"/>
              <w:rPr>
                <w:rFonts w:cs="Calibri"/>
                <w:szCs w:val="18"/>
              </w:rPr>
            </w:pPr>
            <w:r w:rsidRPr="00BD16B4">
              <w:rPr>
                <w:rFonts w:cs="Calibri"/>
                <w:szCs w:val="18"/>
              </w:rPr>
              <w:t>26,012</w:t>
            </w:r>
          </w:p>
        </w:tc>
        <w:tc>
          <w:tcPr>
            <w:tcW w:w="892" w:type="dxa"/>
            <w:noWrap/>
            <w:hideMark/>
          </w:tcPr>
          <w:p w14:paraId="02D698DA" w14:textId="77777777" w:rsidR="00533D32" w:rsidRPr="00BD16B4" w:rsidRDefault="00533D32" w:rsidP="00C87B45">
            <w:pPr>
              <w:pStyle w:val="TableText"/>
              <w:spacing w:before="40" w:after="40"/>
              <w:jc w:val="center"/>
              <w:rPr>
                <w:rFonts w:cs="Calibri"/>
                <w:szCs w:val="18"/>
              </w:rPr>
            </w:pPr>
            <w:r w:rsidRPr="00BD16B4">
              <w:rPr>
                <w:rFonts w:cs="Calibri"/>
                <w:szCs w:val="18"/>
              </w:rPr>
              <w:t>23,476</w:t>
            </w:r>
          </w:p>
        </w:tc>
        <w:tc>
          <w:tcPr>
            <w:tcW w:w="892" w:type="dxa"/>
            <w:shd w:val="clear" w:color="auto" w:fill="D2DDE1" w:themeFill="background2"/>
            <w:noWrap/>
            <w:hideMark/>
          </w:tcPr>
          <w:p w14:paraId="7DB2A833" w14:textId="77777777" w:rsidR="00533D32" w:rsidRPr="00BD16B4" w:rsidRDefault="00533D32" w:rsidP="00C87B45">
            <w:pPr>
              <w:pStyle w:val="TableText"/>
              <w:spacing w:before="40" w:after="40"/>
              <w:jc w:val="center"/>
              <w:rPr>
                <w:rFonts w:cs="Calibri"/>
                <w:szCs w:val="18"/>
              </w:rPr>
            </w:pPr>
            <w:r w:rsidRPr="00BD16B4">
              <w:rPr>
                <w:rFonts w:cs="Calibri"/>
                <w:szCs w:val="18"/>
              </w:rPr>
              <w:t>21,432</w:t>
            </w:r>
          </w:p>
        </w:tc>
        <w:tc>
          <w:tcPr>
            <w:tcW w:w="892" w:type="dxa"/>
            <w:shd w:val="clear" w:color="auto" w:fill="D2DDE1" w:themeFill="background2"/>
            <w:noWrap/>
            <w:hideMark/>
          </w:tcPr>
          <w:p w14:paraId="49EBB7E5" w14:textId="77777777" w:rsidR="00533D32" w:rsidRPr="00BD16B4" w:rsidRDefault="00533D32" w:rsidP="00C87B45">
            <w:pPr>
              <w:pStyle w:val="TableText"/>
              <w:spacing w:before="40" w:after="40"/>
              <w:jc w:val="center"/>
              <w:rPr>
                <w:rFonts w:cs="Calibri"/>
                <w:szCs w:val="18"/>
              </w:rPr>
            </w:pPr>
            <w:r w:rsidRPr="00BD16B4">
              <w:rPr>
                <w:rFonts w:cs="Calibri"/>
                <w:szCs w:val="18"/>
              </w:rPr>
              <w:t>20,379</w:t>
            </w:r>
          </w:p>
        </w:tc>
        <w:tc>
          <w:tcPr>
            <w:tcW w:w="892" w:type="dxa"/>
            <w:shd w:val="clear" w:color="auto" w:fill="D2DDE1" w:themeFill="background2"/>
            <w:noWrap/>
            <w:hideMark/>
          </w:tcPr>
          <w:p w14:paraId="72FAB769" w14:textId="77777777" w:rsidR="00533D32" w:rsidRPr="00BD16B4" w:rsidRDefault="00533D32" w:rsidP="00C87B45">
            <w:pPr>
              <w:pStyle w:val="TableText"/>
              <w:spacing w:before="40" w:after="40"/>
              <w:jc w:val="center"/>
              <w:rPr>
                <w:rFonts w:cs="Calibri"/>
                <w:szCs w:val="18"/>
              </w:rPr>
            </w:pPr>
            <w:r w:rsidRPr="00BD16B4">
              <w:rPr>
                <w:rFonts w:cs="Calibri"/>
                <w:szCs w:val="18"/>
              </w:rPr>
              <w:t>19,403</w:t>
            </w:r>
          </w:p>
        </w:tc>
      </w:tr>
      <w:tr w:rsidR="00533D32" w:rsidRPr="00BD16B4" w14:paraId="17CFDF6B" w14:textId="77777777" w:rsidTr="00315977">
        <w:tc>
          <w:tcPr>
            <w:tcW w:w="1928" w:type="dxa"/>
            <w:vMerge w:val="restart"/>
            <w:noWrap/>
            <w:hideMark/>
          </w:tcPr>
          <w:p w14:paraId="20FCC7F1" w14:textId="77777777" w:rsidR="00533D32" w:rsidRPr="00BD16B4" w:rsidRDefault="00533D32" w:rsidP="00C87B45">
            <w:pPr>
              <w:pStyle w:val="TableText"/>
              <w:spacing w:before="40" w:after="40"/>
              <w:rPr>
                <w:rFonts w:cs="Calibri"/>
                <w:szCs w:val="18"/>
              </w:rPr>
            </w:pPr>
            <w:r w:rsidRPr="00BD16B4">
              <w:rPr>
                <w:rFonts w:cs="Calibri"/>
                <w:szCs w:val="18"/>
              </w:rPr>
              <w:t>Total Deer</w:t>
            </w:r>
          </w:p>
        </w:tc>
        <w:tc>
          <w:tcPr>
            <w:tcW w:w="1474" w:type="dxa"/>
            <w:vMerge w:val="restart"/>
            <w:tcMar>
              <w:left w:w="57" w:type="dxa"/>
            </w:tcMar>
            <w:hideMark/>
          </w:tcPr>
          <w:p w14:paraId="1C8F288B" w14:textId="77777777" w:rsidR="00533D32" w:rsidRPr="00BD16B4" w:rsidRDefault="00533D32" w:rsidP="00C87B45">
            <w:pPr>
              <w:pStyle w:val="TableText"/>
              <w:spacing w:before="40" w:after="40"/>
              <w:rPr>
                <w:rFonts w:cs="Calibri"/>
                <w:szCs w:val="18"/>
              </w:rPr>
            </w:pPr>
            <w:r w:rsidRPr="00BD16B4">
              <w:rPr>
                <w:rFonts w:cs="Calibri"/>
                <w:szCs w:val="18"/>
              </w:rPr>
              <w:t>thousand head</w:t>
            </w:r>
          </w:p>
        </w:tc>
        <w:tc>
          <w:tcPr>
            <w:tcW w:w="2405" w:type="dxa"/>
            <w:noWrap/>
            <w:hideMark/>
          </w:tcPr>
          <w:p w14:paraId="3B13149E" w14:textId="77777777" w:rsidR="00533D32" w:rsidRPr="00BD16B4" w:rsidRDefault="00533D32" w:rsidP="00C87B45">
            <w:pPr>
              <w:pStyle w:val="TableText"/>
              <w:spacing w:before="40" w:after="40"/>
              <w:rPr>
                <w:rFonts w:cs="Calibri"/>
                <w:szCs w:val="18"/>
              </w:rPr>
            </w:pPr>
            <w:r w:rsidRPr="00BD16B4">
              <w:rPr>
                <w:rFonts w:cs="Calibri"/>
                <w:szCs w:val="18"/>
              </w:rPr>
              <w:t>WEM</w:t>
            </w:r>
          </w:p>
        </w:tc>
        <w:tc>
          <w:tcPr>
            <w:tcW w:w="760" w:type="dxa"/>
            <w:noWrap/>
            <w:hideMark/>
          </w:tcPr>
          <w:p w14:paraId="660ACD1C" w14:textId="77777777" w:rsidR="00533D32" w:rsidRPr="00BD16B4" w:rsidRDefault="00533D32" w:rsidP="00C87B45">
            <w:pPr>
              <w:pStyle w:val="TableText"/>
              <w:spacing w:before="40" w:after="40"/>
              <w:jc w:val="center"/>
              <w:rPr>
                <w:rFonts w:cs="Calibri"/>
                <w:szCs w:val="18"/>
              </w:rPr>
            </w:pPr>
            <w:r w:rsidRPr="00BD16B4">
              <w:rPr>
                <w:rFonts w:cs="Calibri"/>
                <w:szCs w:val="18"/>
              </w:rPr>
              <w:t>780</w:t>
            </w:r>
          </w:p>
        </w:tc>
        <w:tc>
          <w:tcPr>
            <w:tcW w:w="892" w:type="dxa"/>
            <w:noWrap/>
            <w:hideMark/>
          </w:tcPr>
          <w:p w14:paraId="476B9199" w14:textId="77777777" w:rsidR="00533D32" w:rsidRPr="00BD16B4" w:rsidRDefault="00533D32" w:rsidP="00C87B45">
            <w:pPr>
              <w:pStyle w:val="TableText"/>
              <w:spacing w:before="40" w:after="40"/>
              <w:jc w:val="center"/>
              <w:rPr>
                <w:rFonts w:cs="Calibri"/>
                <w:szCs w:val="18"/>
              </w:rPr>
            </w:pPr>
            <w:r w:rsidRPr="00BD16B4">
              <w:rPr>
                <w:rFonts w:cs="Calibri"/>
                <w:szCs w:val="18"/>
              </w:rPr>
              <w:t>1,231</w:t>
            </w:r>
          </w:p>
        </w:tc>
        <w:tc>
          <w:tcPr>
            <w:tcW w:w="892" w:type="dxa"/>
            <w:noWrap/>
            <w:hideMark/>
          </w:tcPr>
          <w:p w14:paraId="04BD800A" w14:textId="77777777" w:rsidR="00533D32" w:rsidRPr="00BD16B4" w:rsidRDefault="00533D32" w:rsidP="00C87B45">
            <w:pPr>
              <w:pStyle w:val="TableText"/>
              <w:spacing w:before="40" w:after="40"/>
              <w:jc w:val="center"/>
              <w:rPr>
                <w:rFonts w:cs="Calibri"/>
                <w:szCs w:val="18"/>
              </w:rPr>
            </w:pPr>
            <w:r w:rsidRPr="00BD16B4">
              <w:rPr>
                <w:rFonts w:cs="Calibri"/>
                <w:szCs w:val="18"/>
              </w:rPr>
              <w:t>1,677</w:t>
            </w:r>
          </w:p>
        </w:tc>
        <w:tc>
          <w:tcPr>
            <w:tcW w:w="892" w:type="dxa"/>
            <w:noWrap/>
            <w:hideMark/>
          </w:tcPr>
          <w:p w14:paraId="74E5B0DC" w14:textId="77777777" w:rsidR="00533D32" w:rsidRPr="00BD16B4" w:rsidRDefault="00533D32" w:rsidP="00C87B45">
            <w:pPr>
              <w:pStyle w:val="TableText"/>
              <w:spacing w:before="40" w:after="40"/>
              <w:jc w:val="center"/>
              <w:rPr>
                <w:rFonts w:cs="Calibri"/>
                <w:szCs w:val="18"/>
              </w:rPr>
            </w:pPr>
            <w:r w:rsidRPr="00BD16B4">
              <w:rPr>
                <w:rFonts w:cs="Calibri"/>
                <w:szCs w:val="18"/>
              </w:rPr>
              <w:t>1,757</w:t>
            </w:r>
          </w:p>
        </w:tc>
        <w:tc>
          <w:tcPr>
            <w:tcW w:w="892" w:type="dxa"/>
            <w:noWrap/>
            <w:hideMark/>
          </w:tcPr>
          <w:p w14:paraId="2ABECEBA" w14:textId="77777777" w:rsidR="00533D32" w:rsidRPr="00BD16B4" w:rsidRDefault="00533D32" w:rsidP="00C87B45">
            <w:pPr>
              <w:pStyle w:val="TableText"/>
              <w:spacing w:before="40" w:after="40"/>
              <w:jc w:val="center"/>
              <w:rPr>
                <w:rFonts w:cs="Calibri"/>
                <w:szCs w:val="18"/>
              </w:rPr>
            </w:pPr>
            <w:r w:rsidRPr="00BD16B4">
              <w:rPr>
                <w:rFonts w:cs="Calibri"/>
                <w:szCs w:val="18"/>
              </w:rPr>
              <w:t>1,146</w:t>
            </w:r>
          </w:p>
        </w:tc>
        <w:tc>
          <w:tcPr>
            <w:tcW w:w="892" w:type="dxa"/>
            <w:noWrap/>
            <w:hideMark/>
          </w:tcPr>
          <w:p w14:paraId="750D7123" w14:textId="77777777" w:rsidR="00533D32" w:rsidRPr="00BD16B4" w:rsidRDefault="00533D32" w:rsidP="00C87B45">
            <w:pPr>
              <w:pStyle w:val="TableText"/>
              <w:spacing w:before="40" w:after="40"/>
              <w:jc w:val="center"/>
              <w:rPr>
                <w:rFonts w:cs="Calibri"/>
                <w:szCs w:val="18"/>
              </w:rPr>
            </w:pPr>
            <w:r w:rsidRPr="00BD16B4">
              <w:rPr>
                <w:rFonts w:cs="Calibri"/>
                <w:szCs w:val="18"/>
              </w:rPr>
              <w:t>958</w:t>
            </w:r>
          </w:p>
        </w:tc>
        <w:tc>
          <w:tcPr>
            <w:tcW w:w="892" w:type="dxa"/>
            <w:noWrap/>
            <w:hideMark/>
          </w:tcPr>
          <w:p w14:paraId="1FBA3511" w14:textId="77777777" w:rsidR="00533D32" w:rsidRPr="00BD16B4" w:rsidRDefault="00533D32" w:rsidP="00C87B45">
            <w:pPr>
              <w:pStyle w:val="TableText"/>
              <w:spacing w:before="40" w:after="40"/>
              <w:jc w:val="center"/>
              <w:rPr>
                <w:rFonts w:cs="Calibri"/>
                <w:szCs w:val="18"/>
              </w:rPr>
            </w:pPr>
            <w:r w:rsidRPr="00BD16B4">
              <w:rPr>
                <w:rFonts w:cs="Calibri"/>
                <w:szCs w:val="18"/>
              </w:rPr>
              <w:t>810</w:t>
            </w:r>
          </w:p>
        </w:tc>
        <w:tc>
          <w:tcPr>
            <w:tcW w:w="892" w:type="dxa"/>
            <w:shd w:val="clear" w:color="auto" w:fill="D2DDE1" w:themeFill="background2"/>
            <w:noWrap/>
            <w:hideMark/>
          </w:tcPr>
          <w:p w14:paraId="45928FA3" w14:textId="77777777" w:rsidR="00533D32" w:rsidRPr="00BD16B4" w:rsidRDefault="00533D32" w:rsidP="00C87B45">
            <w:pPr>
              <w:pStyle w:val="TableText"/>
              <w:spacing w:before="40" w:after="40"/>
              <w:jc w:val="center"/>
              <w:rPr>
                <w:rFonts w:cs="Calibri"/>
                <w:szCs w:val="18"/>
              </w:rPr>
            </w:pPr>
            <w:r w:rsidRPr="00BD16B4">
              <w:rPr>
                <w:rFonts w:cs="Calibri"/>
                <w:szCs w:val="18"/>
              </w:rPr>
              <w:t>756</w:t>
            </w:r>
          </w:p>
        </w:tc>
        <w:tc>
          <w:tcPr>
            <w:tcW w:w="892" w:type="dxa"/>
            <w:shd w:val="clear" w:color="auto" w:fill="D2DDE1" w:themeFill="background2"/>
            <w:noWrap/>
            <w:hideMark/>
          </w:tcPr>
          <w:p w14:paraId="229D3E7A" w14:textId="77777777" w:rsidR="00533D32" w:rsidRPr="00BD16B4" w:rsidRDefault="00533D32" w:rsidP="00C87B45">
            <w:pPr>
              <w:pStyle w:val="TableText"/>
              <w:spacing w:before="40" w:after="40"/>
              <w:jc w:val="center"/>
              <w:rPr>
                <w:rFonts w:cs="Calibri"/>
                <w:szCs w:val="18"/>
              </w:rPr>
            </w:pPr>
            <w:r w:rsidRPr="00BD16B4">
              <w:rPr>
                <w:rFonts w:cs="Calibri"/>
                <w:szCs w:val="18"/>
              </w:rPr>
              <w:t>676</w:t>
            </w:r>
          </w:p>
        </w:tc>
        <w:tc>
          <w:tcPr>
            <w:tcW w:w="892" w:type="dxa"/>
            <w:shd w:val="clear" w:color="auto" w:fill="D2DDE1" w:themeFill="background2"/>
            <w:noWrap/>
            <w:hideMark/>
          </w:tcPr>
          <w:p w14:paraId="05729522" w14:textId="77777777" w:rsidR="00533D32" w:rsidRPr="00BD16B4" w:rsidRDefault="00533D32" w:rsidP="00C87B45">
            <w:pPr>
              <w:pStyle w:val="TableText"/>
              <w:spacing w:before="40" w:after="40"/>
              <w:jc w:val="center"/>
              <w:rPr>
                <w:rFonts w:cs="Calibri"/>
                <w:szCs w:val="18"/>
              </w:rPr>
            </w:pPr>
            <w:r w:rsidRPr="00BD16B4">
              <w:rPr>
                <w:rFonts w:cs="Calibri"/>
                <w:szCs w:val="18"/>
              </w:rPr>
              <w:t>618</w:t>
            </w:r>
          </w:p>
        </w:tc>
      </w:tr>
      <w:tr w:rsidR="00533D32" w:rsidRPr="00BD16B4" w14:paraId="4846617F" w14:textId="77777777" w:rsidTr="00315977">
        <w:tc>
          <w:tcPr>
            <w:tcW w:w="1928" w:type="dxa"/>
            <w:vMerge/>
            <w:hideMark/>
          </w:tcPr>
          <w:p w14:paraId="1CBAC9D7" w14:textId="77777777" w:rsidR="00533D32" w:rsidRPr="00BD16B4" w:rsidRDefault="00533D32" w:rsidP="00C87B45">
            <w:pPr>
              <w:pStyle w:val="TableText"/>
              <w:spacing w:before="40" w:after="40"/>
              <w:rPr>
                <w:rFonts w:cs="Calibri"/>
                <w:color w:val="000000"/>
                <w:szCs w:val="18"/>
              </w:rPr>
            </w:pPr>
          </w:p>
        </w:tc>
        <w:tc>
          <w:tcPr>
            <w:tcW w:w="1474" w:type="dxa"/>
            <w:vMerge/>
            <w:tcMar>
              <w:left w:w="57" w:type="dxa"/>
            </w:tcMar>
            <w:hideMark/>
          </w:tcPr>
          <w:p w14:paraId="44DDF8E6" w14:textId="77777777" w:rsidR="00533D32" w:rsidRPr="00BD16B4" w:rsidRDefault="00533D32" w:rsidP="00C87B45">
            <w:pPr>
              <w:pStyle w:val="TableText"/>
              <w:spacing w:before="40" w:after="40"/>
              <w:rPr>
                <w:rFonts w:cs="Calibri"/>
                <w:color w:val="000000"/>
                <w:szCs w:val="18"/>
              </w:rPr>
            </w:pPr>
          </w:p>
        </w:tc>
        <w:tc>
          <w:tcPr>
            <w:tcW w:w="2405" w:type="dxa"/>
            <w:noWrap/>
            <w:hideMark/>
          </w:tcPr>
          <w:p w14:paraId="12A26773" w14:textId="77777777" w:rsidR="00533D32" w:rsidRPr="00BD16B4" w:rsidRDefault="00533D32" w:rsidP="00C87B45">
            <w:pPr>
              <w:pStyle w:val="TableText"/>
              <w:spacing w:before="40" w:after="40"/>
              <w:rPr>
                <w:rFonts w:cs="Calibri"/>
                <w:szCs w:val="18"/>
              </w:rPr>
            </w:pPr>
            <w:r w:rsidRPr="00BD16B4">
              <w:rPr>
                <w:rFonts w:cs="Calibri"/>
                <w:szCs w:val="18"/>
              </w:rPr>
              <w:t>WOM</w:t>
            </w:r>
          </w:p>
        </w:tc>
        <w:tc>
          <w:tcPr>
            <w:tcW w:w="760" w:type="dxa"/>
            <w:noWrap/>
            <w:hideMark/>
          </w:tcPr>
          <w:p w14:paraId="7B675CB9" w14:textId="77777777" w:rsidR="00533D32" w:rsidRPr="00BD16B4" w:rsidRDefault="00533D32" w:rsidP="00C87B45">
            <w:pPr>
              <w:pStyle w:val="TableText"/>
              <w:spacing w:before="40" w:after="40"/>
              <w:jc w:val="center"/>
              <w:rPr>
                <w:rFonts w:cs="Calibri"/>
                <w:szCs w:val="18"/>
              </w:rPr>
            </w:pPr>
            <w:r w:rsidRPr="00BD16B4">
              <w:rPr>
                <w:rFonts w:cs="Calibri"/>
                <w:szCs w:val="18"/>
              </w:rPr>
              <w:t>780</w:t>
            </w:r>
          </w:p>
        </w:tc>
        <w:tc>
          <w:tcPr>
            <w:tcW w:w="892" w:type="dxa"/>
            <w:noWrap/>
            <w:hideMark/>
          </w:tcPr>
          <w:p w14:paraId="475D1D04" w14:textId="77777777" w:rsidR="00533D32" w:rsidRPr="00BD16B4" w:rsidRDefault="00533D32" w:rsidP="00C87B45">
            <w:pPr>
              <w:pStyle w:val="TableText"/>
              <w:spacing w:before="40" w:after="40"/>
              <w:jc w:val="center"/>
              <w:rPr>
                <w:rFonts w:cs="Calibri"/>
                <w:szCs w:val="18"/>
              </w:rPr>
            </w:pPr>
            <w:r w:rsidRPr="00BD16B4">
              <w:rPr>
                <w:rFonts w:cs="Calibri"/>
                <w:szCs w:val="18"/>
              </w:rPr>
              <w:t>1,232</w:t>
            </w:r>
          </w:p>
        </w:tc>
        <w:tc>
          <w:tcPr>
            <w:tcW w:w="892" w:type="dxa"/>
            <w:noWrap/>
            <w:hideMark/>
          </w:tcPr>
          <w:p w14:paraId="5A2F0D60" w14:textId="77777777" w:rsidR="00533D32" w:rsidRPr="00BD16B4" w:rsidRDefault="00533D32" w:rsidP="00C87B45">
            <w:pPr>
              <w:pStyle w:val="TableText"/>
              <w:spacing w:before="40" w:after="40"/>
              <w:jc w:val="center"/>
              <w:rPr>
                <w:rFonts w:cs="Calibri"/>
                <w:szCs w:val="18"/>
              </w:rPr>
            </w:pPr>
            <w:r w:rsidRPr="00BD16B4">
              <w:rPr>
                <w:rFonts w:cs="Calibri"/>
                <w:szCs w:val="18"/>
              </w:rPr>
              <w:t>1,680</w:t>
            </w:r>
          </w:p>
        </w:tc>
        <w:tc>
          <w:tcPr>
            <w:tcW w:w="892" w:type="dxa"/>
            <w:noWrap/>
            <w:hideMark/>
          </w:tcPr>
          <w:p w14:paraId="5A20FD6E" w14:textId="77777777" w:rsidR="00533D32" w:rsidRPr="00BD16B4" w:rsidRDefault="00533D32" w:rsidP="00C87B45">
            <w:pPr>
              <w:pStyle w:val="TableText"/>
              <w:spacing w:before="40" w:after="40"/>
              <w:jc w:val="center"/>
              <w:rPr>
                <w:rFonts w:cs="Calibri"/>
                <w:szCs w:val="18"/>
              </w:rPr>
            </w:pPr>
            <w:r w:rsidRPr="00BD16B4">
              <w:rPr>
                <w:rFonts w:cs="Calibri"/>
                <w:szCs w:val="18"/>
              </w:rPr>
              <w:t>1,761</w:t>
            </w:r>
          </w:p>
        </w:tc>
        <w:tc>
          <w:tcPr>
            <w:tcW w:w="892" w:type="dxa"/>
            <w:noWrap/>
            <w:hideMark/>
          </w:tcPr>
          <w:p w14:paraId="3EA751D5" w14:textId="77777777" w:rsidR="00533D32" w:rsidRPr="00BD16B4" w:rsidRDefault="00533D32" w:rsidP="00C87B45">
            <w:pPr>
              <w:pStyle w:val="TableText"/>
              <w:spacing w:before="40" w:after="40"/>
              <w:jc w:val="center"/>
              <w:rPr>
                <w:rFonts w:cs="Calibri"/>
                <w:szCs w:val="18"/>
              </w:rPr>
            </w:pPr>
            <w:r w:rsidRPr="00BD16B4">
              <w:rPr>
                <w:rFonts w:cs="Calibri"/>
                <w:szCs w:val="18"/>
              </w:rPr>
              <w:t>1,150</w:t>
            </w:r>
          </w:p>
        </w:tc>
        <w:tc>
          <w:tcPr>
            <w:tcW w:w="892" w:type="dxa"/>
            <w:noWrap/>
            <w:hideMark/>
          </w:tcPr>
          <w:p w14:paraId="33FB2F4C" w14:textId="77777777" w:rsidR="00533D32" w:rsidRPr="00BD16B4" w:rsidRDefault="00533D32" w:rsidP="00C87B45">
            <w:pPr>
              <w:pStyle w:val="TableText"/>
              <w:spacing w:before="40" w:after="40"/>
              <w:jc w:val="center"/>
              <w:rPr>
                <w:rFonts w:cs="Calibri"/>
                <w:szCs w:val="18"/>
              </w:rPr>
            </w:pPr>
            <w:r w:rsidRPr="00BD16B4">
              <w:rPr>
                <w:rFonts w:cs="Calibri"/>
                <w:szCs w:val="18"/>
              </w:rPr>
              <w:t>965</w:t>
            </w:r>
          </w:p>
        </w:tc>
        <w:tc>
          <w:tcPr>
            <w:tcW w:w="892" w:type="dxa"/>
            <w:noWrap/>
            <w:hideMark/>
          </w:tcPr>
          <w:p w14:paraId="4652450F" w14:textId="77777777" w:rsidR="00533D32" w:rsidRPr="00BD16B4" w:rsidRDefault="00533D32" w:rsidP="00C87B45">
            <w:pPr>
              <w:pStyle w:val="TableText"/>
              <w:spacing w:before="40" w:after="40"/>
              <w:jc w:val="center"/>
              <w:rPr>
                <w:rFonts w:cs="Calibri"/>
                <w:szCs w:val="18"/>
              </w:rPr>
            </w:pPr>
            <w:r w:rsidRPr="00BD16B4">
              <w:rPr>
                <w:rFonts w:cs="Calibri"/>
                <w:szCs w:val="18"/>
              </w:rPr>
              <w:t>821</w:t>
            </w:r>
          </w:p>
        </w:tc>
        <w:tc>
          <w:tcPr>
            <w:tcW w:w="892" w:type="dxa"/>
            <w:shd w:val="clear" w:color="auto" w:fill="D2DDE1" w:themeFill="background2"/>
            <w:noWrap/>
            <w:hideMark/>
          </w:tcPr>
          <w:p w14:paraId="5D30311B" w14:textId="77777777" w:rsidR="00533D32" w:rsidRPr="00BD16B4" w:rsidRDefault="00533D32" w:rsidP="00C87B45">
            <w:pPr>
              <w:pStyle w:val="TableText"/>
              <w:spacing w:before="40" w:after="40"/>
              <w:jc w:val="center"/>
              <w:rPr>
                <w:rFonts w:cs="Calibri"/>
                <w:szCs w:val="18"/>
              </w:rPr>
            </w:pPr>
            <w:r w:rsidRPr="00BD16B4">
              <w:rPr>
                <w:rFonts w:cs="Calibri"/>
                <w:szCs w:val="18"/>
              </w:rPr>
              <w:t>780</w:t>
            </w:r>
          </w:p>
        </w:tc>
        <w:tc>
          <w:tcPr>
            <w:tcW w:w="892" w:type="dxa"/>
            <w:shd w:val="clear" w:color="auto" w:fill="D2DDE1" w:themeFill="background2"/>
            <w:noWrap/>
            <w:hideMark/>
          </w:tcPr>
          <w:p w14:paraId="1CD8BECA" w14:textId="77777777" w:rsidR="00533D32" w:rsidRPr="00BD16B4" w:rsidRDefault="00533D32" w:rsidP="00C87B45">
            <w:pPr>
              <w:pStyle w:val="TableText"/>
              <w:spacing w:before="40" w:after="40"/>
              <w:jc w:val="center"/>
              <w:rPr>
                <w:rFonts w:cs="Calibri"/>
                <w:szCs w:val="18"/>
              </w:rPr>
            </w:pPr>
            <w:r w:rsidRPr="00BD16B4">
              <w:rPr>
                <w:rFonts w:cs="Calibri"/>
                <w:szCs w:val="18"/>
              </w:rPr>
              <w:t>726</w:t>
            </w:r>
          </w:p>
        </w:tc>
        <w:tc>
          <w:tcPr>
            <w:tcW w:w="892" w:type="dxa"/>
            <w:shd w:val="clear" w:color="auto" w:fill="D2DDE1" w:themeFill="background2"/>
            <w:noWrap/>
            <w:hideMark/>
          </w:tcPr>
          <w:p w14:paraId="421C0707" w14:textId="77777777" w:rsidR="00533D32" w:rsidRPr="00BD16B4" w:rsidRDefault="00533D32" w:rsidP="00C87B45">
            <w:pPr>
              <w:pStyle w:val="TableText"/>
              <w:spacing w:before="40" w:after="40"/>
              <w:jc w:val="center"/>
              <w:rPr>
                <w:rFonts w:cs="Calibri"/>
                <w:szCs w:val="18"/>
              </w:rPr>
            </w:pPr>
            <w:r w:rsidRPr="00BD16B4">
              <w:rPr>
                <w:rFonts w:cs="Calibri"/>
                <w:szCs w:val="18"/>
              </w:rPr>
              <w:t>691</w:t>
            </w:r>
          </w:p>
        </w:tc>
      </w:tr>
      <w:tr w:rsidR="00533D32" w:rsidRPr="00BD16B4" w14:paraId="348C691F" w14:textId="77777777" w:rsidTr="00315977">
        <w:tc>
          <w:tcPr>
            <w:tcW w:w="1928" w:type="dxa"/>
            <w:vMerge/>
            <w:hideMark/>
          </w:tcPr>
          <w:p w14:paraId="4F1729B1" w14:textId="77777777" w:rsidR="00533D32" w:rsidRPr="00BD16B4" w:rsidRDefault="00533D32" w:rsidP="00C87B45">
            <w:pPr>
              <w:pStyle w:val="TableText"/>
              <w:spacing w:before="40" w:after="40"/>
              <w:rPr>
                <w:rFonts w:cs="Calibri"/>
                <w:color w:val="000000"/>
                <w:szCs w:val="18"/>
              </w:rPr>
            </w:pPr>
          </w:p>
        </w:tc>
        <w:tc>
          <w:tcPr>
            <w:tcW w:w="1474" w:type="dxa"/>
            <w:vMerge/>
            <w:tcMar>
              <w:left w:w="57" w:type="dxa"/>
            </w:tcMar>
            <w:hideMark/>
          </w:tcPr>
          <w:p w14:paraId="46A73C00" w14:textId="77777777" w:rsidR="00533D32" w:rsidRPr="00BD16B4" w:rsidRDefault="00533D32" w:rsidP="00C87B45">
            <w:pPr>
              <w:pStyle w:val="TableText"/>
              <w:spacing w:before="40" w:after="40"/>
              <w:rPr>
                <w:rFonts w:cs="Calibri"/>
                <w:color w:val="000000"/>
                <w:szCs w:val="18"/>
              </w:rPr>
            </w:pPr>
          </w:p>
        </w:tc>
        <w:tc>
          <w:tcPr>
            <w:tcW w:w="2405" w:type="dxa"/>
            <w:noWrap/>
            <w:hideMark/>
          </w:tcPr>
          <w:p w14:paraId="18B59788" w14:textId="77777777" w:rsidR="00533D32" w:rsidRPr="00BD16B4" w:rsidRDefault="00533D32" w:rsidP="00C87B45">
            <w:pPr>
              <w:pStyle w:val="TableText"/>
              <w:spacing w:before="40" w:after="40"/>
              <w:rPr>
                <w:rFonts w:cs="Calibri"/>
                <w:szCs w:val="18"/>
              </w:rPr>
            </w:pPr>
            <w:r w:rsidRPr="00BD16B4">
              <w:rPr>
                <w:rFonts w:cs="Calibri"/>
                <w:szCs w:val="18"/>
              </w:rPr>
              <w:t>WAM</w:t>
            </w:r>
          </w:p>
        </w:tc>
        <w:tc>
          <w:tcPr>
            <w:tcW w:w="760" w:type="dxa"/>
            <w:noWrap/>
            <w:hideMark/>
          </w:tcPr>
          <w:p w14:paraId="0982F37B" w14:textId="77777777" w:rsidR="00533D32" w:rsidRPr="00BD16B4" w:rsidRDefault="00533D32" w:rsidP="00C87B45">
            <w:pPr>
              <w:pStyle w:val="TableText"/>
              <w:spacing w:before="40" w:after="40"/>
              <w:jc w:val="center"/>
              <w:rPr>
                <w:rFonts w:cs="Calibri"/>
                <w:szCs w:val="18"/>
              </w:rPr>
            </w:pPr>
            <w:r w:rsidRPr="00BD16B4">
              <w:rPr>
                <w:rFonts w:cs="Calibri"/>
                <w:szCs w:val="18"/>
              </w:rPr>
              <w:t>780</w:t>
            </w:r>
          </w:p>
        </w:tc>
        <w:tc>
          <w:tcPr>
            <w:tcW w:w="892" w:type="dxa"/>
            <w:noWrap/>
            <w:hideMark/>
          </w:tcPr>
          <w:p w14:paraId="7FC37C90" w14:textId="77777777" w:rsidR="00533D32" w:rsidRPr="00BD16B4" w:rsidRDefault="00533D32" w:rsidP="00C87B45">
            <w:pPr>
              <w:pStyle w:val="TableText"/>
              <w:spacing w:before="40" w:after="40"/>
              <w:jc w:val="center"/>
              <w:rPr>
                <w:rFonts w:cs="Calibri"/>
                <w:szCs w:val="18"/>
              </w:rPr>
            </w:pPr>
            <w:r w:rsidRPr="00BD16B4">
              <w:rPr>
                <w:rFonts w:cs="Calibri"/>
                <w:szCs w:val="18"/>
              </w:rPr>
              <w:t>1,232</w:t>
            </w:r>
          </w:p>
        </w:tc>
        <w:tc>
          <w:tcPr>
            <w:tcW w:w="892" w:type="dxa"/>
            <w:noWrap/>
            <w:hideMark/>
          </w:tcPr>
          <w:p w14:paraId="098E9A13" w14:textId="77777777" w:rsidR="00533D32" w:rsidRPr="00BD16B4" w:rsidRDefault="00533D32" w:rsidP="00C87B45">
            <w:pPr>
              <w:pStyle w:val="TableText"/>
              <w:spacing w:before="40" w:after="40"/>
              <w:jc w:val="center"/>
              <w:rPr>
                <w:rFonts w:cs="Calibri"/>
                <w:szCs w:val="18"/>
              </w:rPr>
            </w:pPr>
            <w:r w:rsidRPr="00BD16B4">
              <w:rPr>
                <w:rFonts w:cs="Calibri"/>
                <w:szCs w:val="18"/>
              </w:rPr>
              <w:t>1,680</w:t>
            </w:r>
          </w:p>
        </w:tc>
        <w:tc>
          <w:tcPr>
            <w:tcW w:w="892" w:type="dxa"/>
            <w:noWrap/>
            <w:hideMark/>
          </w:tcPr>
          <w:p w14:paraId="3EB984D3" w14:textId="77777777" w:rsidR="00533D32" w:rsidRPr="00BD16B4" w:rsidRDefault="00533D32" w:rsidP="00C87B45">
            <w:pPr>
              <w:pStyle w:val="TableText"/>
              <w:spacing w:before="40" w:after="40"/>
              <w:jc w:val="center"/>
              <w:rPr>
                <w:rFonts w:cs="Calibri"/>
                <w:szCs w:val="18"/>
              </w:rPr>
            </w:pPr>
            <w:r w:rsidRPr="00BD16B4">
              <w:rPr>
                <w:rFonts w:cs="Calibri"/>
                <w:szCs w:val="18"/>
              </w:rPr>
              <w:t>1,761</w:t>
            </w:r>
          </w:p>
        </w:tc>
        <w:tc>
          <w:tcPr>
            <w:tcW w:w="892" w:type="dxa"/>
            <w:noWrap/>
            <w:hideMark/>
          </w:tcPr>
          <w:p w14:paraId="6E2955C9" w14:textId="77777777" w:rsidR="00533D32" w:rsidRPr="00BD16B4" w:rsidRDefault="00533D32" w:rsidP="00C87B45">
            <w:pPr>
              <w:pStyle w:val="TableText"/>
              <w:spacing w:before="40" w:after="40"/>
              <w:jc w:val="center"/>
              <w:rPr>
                <w:rFonts w:cs="Calibri"/>
                <w:szCs w:val="18"/>
              </w:rPr>
            </w:pPr>
            <w:r w:rsidRPr="00BD16B4">
              <w:rPr>
                <w:rFonts w:cs="Calibri"/>
                <w:szCs w:val="18"/>
              </w:rPr>
              <w:t>1,150</w:t>
            </w:r>
          </w:p>
        </w:tc>
        <w:tc>
          <w:tcPr>
            <w:tcW w:w="892" w:type="dxa"/>
            <w:noWrap/>
            <w:hideMark/>
          </w:tcPr>
          <w:p w14:paraId="42CCF6A2" w14:textId="77777777" w:rsidR="00533D32" w:rsidRPr="00BD16B4" w:rsidRDefault="00533D32" w:rsidP="00C87B45">
            <w:pPr>
              <w:pStyle w:val="TableText"/>
              <w:spacing w:before="40" w:after="40"/>
              <w:jc w:val="center"/>
              <w:rPr>
                <w:rFonts w:cs="Calibri"/>
                <w:szCs w:val="18"/>
              </w:rPr>
            </w:pPr>
            <w:r w:rsidRPr="00BD16B4">
              <w:rPr>
                <w:rFonts w:cs="Calibri"/>
                <w:szCs w:val="18"/>
              </w:rPr>
              <w:t>965</w:t>
            </w:r>
          </w:p>
        </w:tc>
        <w:tc>
          <w:tcPr>
            <w:tcW w:w="892" w:type="dxa"/>
            <w:noWrap/>
            <w:hideMark/>
          </w:tcPr>
          <w:p w14:paraId="4C1E6D02" w14:textId="77777777" w:rsidR="00533D32" w:rsidRPr="00BD16B4" w:rsidRDefault="00533D32" w:rsidP="00C87B45">
            <w:pPr>
              <w:pStyle w:val="TableText"/>
              <w:spacing w:before="40" w:after="40"/>
              <w:jc w:val="center"/>
              <w:rPr>
                <w:rFonts w:cs="Calibri"/>
                <w:szCs w:val="18"/>
              </w:rPr>
            </w:pPr>
            <w:r w:rsidRPr="00BD16B4">
              <w:rPr>
                <w:rFonts w:cs="Calibri"/>
                <w:szCs w:val="18"/>
              </w:rPr>
              <w:t>821</w:t>
            </w:r>
          </w:p>
        </w:tc>
        <w:tc>
          <w:tcPr>
            <w:tcW w:w="892" w:type="dxa"/>
            <w:shd w:val="clear" w:color="auto" w:fill="D2DDE1" w:themeFill="background2"/>
            <w:noWrap/>
            <w:hideMark/>
          </w:tcPr>
          <w:p w14:paraId="4648BC7E" w14:textId="77777777" w:rsidR="00533D32" w:rsidRPr="00BD16B4" w:rsidRDefault="00533D32" w:rsidP="00C87B45">
            <w:pPr>
              <w:pStyle w:val="TableText"/>
              <w:spacing w:before="40" w:after="40"/>
              <w:jc w:val="center"/>
              <w:rPr>
                <w:rFonts w:cs="Calibri"/>
                <w:szCs w:val="18"/>
              </w:rPr>
            </w:pPr>
            <w:r w:rsidRPr="00BD16B4">
              <w:rPr>
                <w:rFonts w:cs="Calibri"/>
                <w:szCs w:val="18"/>
              </w:rPr>
              <w:t>755</w:t>
            </w:r>
          </w:p>
        </w:tc>
        <w:tc>
          <w:tcPr>
            <w:tcW w:w="892" w:type="dxa"/>
            <w:shd w:val="clear" w:color="auto" w:fill="D2DDE1" w:themeFill="background2"/>
            <w:noWrap/>
            <w:hideMark/>
          </w:tcPr>
          <w:p w14:paraId="6F7414A6" w14:textId="77777777" w:rsidR="00533D32" w:rsidRPr="00BD16B4" w:rsidRDefault="00533D32" w:rsidP="00C87B45">
            <w:pPr>
              <w:pStyle w:val="TableText"/>
              <w:spacing w:before="40" w:after="40"/>
              <w:jc w:val="center"/>
              <w:rPr>
                <w:rFonts w:cs="Calibri"/>
                <w:szCs w:val="18"/>
              </w:rPr>
            </w:pPr>
            <w:r w:rsidRPr="00BD16B4">
              <w:rPr>
                <w:rFonts w:cs="Calibri"/>
                <w:szCs w:val="18"/>
              </w:rPr>
              <w:t>671</w:t>
            </w:r>
          </w:p>
        </w:tc>
        <w:tc>
          <w:tcPr>
            <w:tcW w:w="892" w:type="dxa"/>
            <w:shd w:val="clear" w:color="auto" w:fill="D2DDE1" w:themeFill="background2"/>
            <w:noWrap/>
            <w:hideMark/>
          </w:tcPr>
          <w:p w14:paraId="53490D34" w14:textId="77777777" w:rsidR="00533D32" w:rsidRPr="00BD16B4" w:rsidRDefault="00533D32" w:rsidP="00C87B45">
            <w:pPr>
              <w:pStyle w:val="TableText"/>
              <w:spacing w:before="40" w:after="40"/>
              <w:jc w:val="center"/>
              <w:rPr>
                <w:rFonts w:cs="Calibri"/>
                <w:szCs w:val="18"/>
              </w:rPr>
            </w:pPr>
            <w:r w:rsidRPr="00BD16B4">
              <w:rPr>
                <w:rFonts w:cs="Calibri"/>
                <w:szCs w:val="18"/>
              </w:rPr>
              <w:t>609</w:t>
            </w:r>
          </w:p>
        </w:tc>
      </w:tr>
      <w:tr w:rsidR="00533D32" w:rsidRPr="00BD16B4" w14:paraId="68E2330E" w14:textId="77777777" w:rsidTr="00315977">
        <w:tc>
          <w:tcPr>
            <w:tcW w:w="1928" w:type="dxa"/>
            <w:vMerge w:val="restart"/>
          </w:tcPr>
          <w:p w14:paraId="09A98CF4" w14:textId="77777777" w:rsidR="00533D32" w:rsidRPr="00BD16B4" w:rsidRDefault="00533D32" w:rsidP="00C87B45">
            <w:pPr>
              <w:pStyle w:val="TableText"/>
              <w:spacing w:before="40" w:after="40"/>
              <w:rPr>
                <w:rFonts w:cs="Calibri"/>
                <w:szCs w:val="18"/>
              </w:rPr>
            </w:pPr>
            <w:r w:rsidRPr="00BD16B4">
              <w:rPr>
                <w:rFonts w:cs="Calibri"/>
                <w:szCs w:val="18"/>
              </w:rPr>
              <w:t>Afforestation</w:t>
            </w:r>
          </w:p>
        </w:tc>
        <w:tc>
          <w:tcPr>
            <w:tcW w:w="1474" w:type="dxa"/>
            <w:vMerge w:val="restart"/>
            <w:tcMar>
              <w:left w:w="57" w:type="dxa"/>
            </w:tcMar>
          </w:tcPr>
          <w:p w14:paraId="48911314" w14:textId="77777777" w:rsidR="00533D32" w:rsidRPr="00BD16B4" w:rsidRDefault="00533D32" w:rsidP="00C87B45">
            <w:pPr>
              <w:pStyle w:val="TableText"/>
              <w:spacing w:before="40" w:after="40"/>
              <w:rPr>
                <w:rFonts w:cs="Calibri"/>
                <w:szCs w:val="18"/>
              </w:rPr>
            </w:pPr>
            <w:r w:rsidRPr="00BD16B4">
              <w:rPr>
                <w:rFonts w:cs="Calibri"/>
                <w:szCs w:val="18"/>
              </w:rPr>
              <w:t>hectares</w:t>
            </w:r>
          </w:p>
        </w:tc>
        <w:tc>
          <w:tcPr>
            <w:tcW w:w="2405" w:type="dxa"/>
            <w:noWrap/>
          </w:tcPr>
          <w:p w14:paraId="0095C714" w14:textId="77777777" w:rsidR="00533D32" w:rsidRPr="00BD16B4" w:rsidRDefault="00533D32" w:rsidP="00C87B45">
            <w:pPr>
              <w:pStyle w:val="TableText"/>
              <w:spacing w:before="40" w:after="40"/>
              <w:rPr>
                <w:rFonts w:cs="Calibri"/>
                <w:szCs w:val="18"/>
              </w:rPr>
            </w:pPr>
            <w:r w:rsidRPr="00BD16B4">
              <w:rPr>
                <w:rFonts w:cs="Calibri"/>
                <w:szCs w:val="18"/>
              </w:rPr>
              <w:t>WEM</w:t>
            </w:r>
          </w:p>
        </w:tc>
        <w:tc>
          <w:tcPr>
            <w:tcW w:w="760" w:type="dxa"/>
            <w:noWrap/>
          </w:tcPr>
          <w:p w14:paraId="0D02F175" w14:textId="77777777" w:rsidR="00533D32" w:rsidRPr="00BD16B4" w:rsidRDefault="00533D32" w:rsidP="00C87B45">
            <w:pPr>
              <w:pStyle w:val="TableText"/>
              <w:spacing w:before="40" w:after="40"/>
              <w:jc w:val="center"/>
              <w:rPr>
                <w:rFonts w:cs="Calibri"/>
                <w:szCs w:val="18"/>
              </w:rPr>
            </w:pPr>
            <w:r w:rsidRPr="00BD16B4">
              <w:rPr>
                <w:rFonts w:cs="Calibri"/>
                <w:szCs w:val="18"/>
              </w:rPr>
              <w:t>14,512</w:t>
            </w:r>
          </w:p>
        </w:tc>
        <w:tc>
          <w:tcPr>
            <w:tcW w:w="892" w:type="dxa"/>
            <w:noWrap/>
          </w:tcPr>
          <w:p w14:paraId="44F5C8E8" w14:textId="77777777" w:rsidR="00533D32" w:rsidRPr="00BD16B4" w:rsidRDefault="00533D32" w:rsidP="00C87B45">
            <w:pPr>
              <w:pStyle w:val="TableText"/>
              <w:spacing w:before="40" w:after="40"/>
              <w:jc w:val="center"/>
              <w:rPr>
                <w:rFonts w:cs="Calibri"/>
                <w:szCs w:val="18"/>
              </w:rPr>
            </w:pPr>
            <w:r w:rsidRPr="00BD16B4">
              <w:rPr>
                <w:rFonts w:cs="Calibri"/>
                <w:szCs w:val="18"/>
              </w:rPr>
              <w:t>64,101</w:t>
            </w:r>
          </w:p>
        </w:tc>
        <w:tc>
          <w:tcPr>
            <w:tcW w:w="892" w:type="dxa"/>
            <w:noWrap/>
          </w:tcPr>
          <w:p w14:paraId="2429427D" w14:textId="77777777" w:rsidR="00533D32" w:rsidRPr="00BD16B4" w:rsidRDefault="00533D32" w:rsidP="00C87B45">
            <w:pPr>
              <w:pStyle w:val="TableText"/>
              <w:spacing w:before="40" w:after="40"/>
              <w:jc w:val="center"/>
              <w:rPr>
                <w:rFonts w:cs="Calibri"/>
                <w:szCs w:val="18"/>
              </w:rPr>
            </w:pPr>
            <w:r w:rsidRPr="00BD16B4">
              <w:rPr>
                <w:rFonts w:cs="Calibri"/>
                <w:szCs w:val="18"/>
              </w:rPr>
              <w:t>32,863</w:t>
            </w:r>
          </w:p>
        </w:tc>
        <w:tc>
          <w:tcPr>
            <w:tcW w:w="892" w:type="dxa"/>
            <w:noWrap/>
          </w:tcPr>
          <w:p w14:paraId="5DE87B3E" w14:textId="77777777" w:rsidR="00533D32" w:rsidRPr="00BD16B4" w:rsidRDefault="00533D32" w:rsidP="00C87B45">
            <w:pPr>
              <w:pStyle w:val="TableText"/>
              <w:spacing w:before="40" w:after="40"/>
              <w:jc w:val="center"/>
              <w:rPr>
                <w:rFonts w:cs="Calibri"/>
                <w:szCs w:val="18"/>
              </w:rPr>
            </w:pPr>
            <w:r w:rsidRPr="00BD16B4">
              <w:rPr>
                <w:rFonts w:cs="Calibri"/>
                <w:szCs w:val="18"/>
              </w:rPr>
              <w:t>12,010</w:t>
            </w:r>
          </w:p>
        </w:tc>
        <w:tc>
          <w:tcPr>
            <w:tcW w:w="892" w:type="dxa"/>
            <w:noWrap/>
          </w:tcPr>
          <w:p w14:paraId="3ACCDE74" w14:textId="77777777" w:rsidR="00533D32" w:rsidRPr="00BD16B4" w:rsidRDefault="00533D32" w:rsidP="00C87B45">
            <w:pPr>
              <w:pStyle w:val="TableText"/>
              <w:spacing w:before="40" w:after="40"/>
              <w:jc w:val="center"/>
              <w:rPr>
                <w:rFonts w:cs="Calibri"/>
                <w:szCs w:val="18"/>
              </w:rPr>
            </w:pPr>
            <w:r w:rsidRPr="00BD16B4">
              <w:rPr>
                <w:rFonts w:cs="Calibri"/>
                <w:szCs w:val="18"/>
              </w:rPr>
              <w:t>10,513</w:t>
            </w:r>
          </w:p>
        </w:tc>
        <w:tc>
          <w:tcPr>
            <w:tcW w:w="892" w:type="dxa"/>
            <w:noWrap/>
          </w:tcPr>
          <w:p w14:paraId="607ED551" w14:textId="77777777" w:rsidR="00533D32" w:rsidRPr="00BD16B4" w:rsidRDefault="00533D32" w:rsidP="00C87B45">
            <w:pPr>
              <w:pStyle w:val="TableText"/>
              <w:spacing w:before="40" w:after="40"/>
              <w:jc w:val="center"/>
              <w:rPr>
                <w:rFonts w:cs="Calibri"/>
                <w:szCs w:val="18"/>
              </w:rPr>
            </w:pPr>
            <w:r w:rsidRPr="00BD16B4">
              <w:rPr>
                <w:rFonts w:cs="Calibri"/>
                <w:szCs w:val="18"/>
              </w:rPr>
              <w:t>5,937</w:t>
            </w:r>
          </w:p>
        </w:tc>
        <w:tc>
          <w:tcPr>
            <w:tcW w:w="892" w:type="dxa"/>
            <w:noWrap/>
          </w:tcPr>
          <w:p w14:paraId="7CCA61B5" w14:textId="77777777" w:rsidR="00533D32" w:rsidRPr="00BD16B4" w:rsidRDefault="00533D32" w:rsidP="00C87B45">
            <w:pPr>
              <w:pStyle w:val="TableText"/>
              <w:spacing w:before="40" w:after="40"/>
              <w:jc w:val="center"/>
              <w:rPr>
                <w:rFonts w:cs="Calibri"/>
                <w:szCs w:val="18"/>
              </w:rPr>
            </w:pPr>
            <w:r w:rsidRPr="00BD16B4">
              <w:rPr>
                <w:rFonts w:cs="Calibri"/>
                <w:szCs w:val="18"/>
              </w:rPr>
              <w:t>41,111</w:t>
            </w:r>
          </w:p>
        </w:tc>
        <w:tc>
          <w:tcPr>
            <w:tcW w:w="892" w:type="dxa"/>
            <w:shd w:val="clear" w:color="auto" w:fill="D2DDE1" w:themeFill="background2"/>
            <w:noWrap/>
          </w:tcPr>
          <w:p w14:paraId="7B13626C" w14:textId="77777777" w:rsidR="00533D32" w:rsidRPr="00BD16B4" w:rsidRDefault="00533D32" w:rsidP="00C87B45">
            <w:pPr>
              <w:pStyle w:val="TableText"/>
              <w:spacing w:before="40" w:after="40"/>
              <w:jc w:val="center"/>
              <w:rPr>
                <w:rFonts w:cs="Calibri"/>
                <w:szCs w:val="18"/>
              </w:rPr>
            </w:pPr>
            <w:r w:rsidRPr="00BD16B4">
              <w:rPr>
                <w:rFonts w:cs="Calibri"/>
                <w:szCs w:val="18"/>
              </w:rPr>
              <w:t>43,476</w:t>
            </w:r>
          </w:p>
        </w:tc>
        <w:tc>
          <w:tcPr>
            <w:tcW w:w="892" w:type="dxa"/>
            <w:shd w:val="clear" w:color="auto" w:fill="D2DDE1" w:themeFill="background2"/>
            <w:noWrap/>
          </w:tcPr>
          <w:p w14:paraId="31B3CB3C" w14:textId="77777777" w:rsidR="00533D32" w:rsidRPr="00BD16B4" w:rsidRDefault="00533D32" w:rsidP="00C87B45">
            <w:pPr>
              <w:pStyle w:val="TableText"/>
              <w:spacing w:before="40" w:after="40"/>
              <w:jc w:val="center"/>
              <w:rPr>
                <w:rFonts w:cs="Calibri"/>
                <w:szCs w:val="18"/>
              </w:rPr>
            </w:pPr>
            <w:r w:rsidRPr="00BD16B4">
              <w:rPr>
                <w:rFonts w:cs="Calibri"/>
                <w:szCs w:val="18"/>
              </w:rPr>
              <w:t>38,067</w:t>
            </w:r>
          </w:p>
        </w:tc>
        <w:tc>
          <w:tcPr>
            <w:tcW w:w="892" w:type="dxa"/>
            <w:shd w:val="clear" w:color="auto" w:fill="D2DDE1" w:themeFill="background2"/>
            <w:noWrap/>
          </w:tcPr>
          <w:p w14:paraId="59889C54" w14:textId="77777777" w:rsidR="00533D32" w:rsidRPr="00BD16B4" w:rsidRDefault="00533D32" w:rsidP="00C87B45">
            <w:pPr>
              <w:pStyle w:val="TableText"/>
              <w:spacing w:before="40" w:after="40"/>
              <w:jc w:val="center"/>
              <w:rPr>
                <w:rFonts w:cs="Calibri"/>
                <w:szCs w:val="18"/>
              </w:rPr>
            </w:pPr>
            <w:r w:rsidRPr="00BD16B4">
              <w:rPr>
                <w:rFonts w:cs="Calibri"/>
                <w:szCs w:val="18"/>
              </w:rPr>
              <w:t>38,067</w:t>
            </w:r>
          </w:p>
        </w:tc>
      </w:tr>
      <w:tr w:rsidR="00533D32" w:rsidRPr="00BD16B4" w14:paraId="0026BAA9" w14:textId="77777777" w:rsidTr="00315977">
        <w:tc>
          <w:tcPr>
            <w:tcW w:w="1928" w:type="dxa"/>
            <w:vMerge/>
          </w:tcPr>
          <w:p w14:paraId="48CD998B" w14:textId="77777777" w:rsidR="00533D32" w:rsidRPr="00BD16B4" w:rsidRDefault="00533D32" w:rsidP="00C87B45">
            <w:pPr>
              <w:pStyle w:val="TableText"/>
              <w:spacing w:before="40" w:after="40"/>
              <w:rPr>
                <w:rFonts w:cs="Calibri"/>
                <w:szCs w:val="18"/>
              </w:rPr>
            </w:pPr>
          </w:p>
        </w:tc>
        <w:tc>
          <w:tcPr>
            <w:tcW w:w="1474" w:type="dxa"/>
            <w:vMerge/>
            <w:tcMar>
              <w:left w:w="57" w:type="dxa"/>
            </w:tcMar>
          </w:tcPr>
          <w:p w14:paraId="12885432" w14:textId="77777777" w:rsidR="00533D32" w:rsidRPr="00BD16B4" w:rsidRDefault="00533D32" w:rsidP="00C87B45">
            <w:pPr>
              <w:pStyle w:val="TableText"/>
              <w:spacing w:before="40" w:after="40"/>
              <w:rPr>
                <w:rFonts w:cs="Calibri"/>
                <w:szCs w:val="18"/>
              </w:rPr>
            </w:pPr>
          </w:p>
        </w:tc>
        <w:tc>
          <w:tcPr>
            <w:tcW w:w="2405" w:type="dxa"/>
            <w:noWrap/>
          </w:tcPr>
          <w:p w14:paraId="1312CED2" w14:textId="77777777" w:rsidR="00533D32" w:rsidRPr="00BD16B4" w:rsidRDefault="00533D32" w:rsidP="00C87B45">
            <w:pPr>
              <w:pStyle w:val="TableText"/>
              <w:spacing w:before="40" w:after="40"/>
              <w:rPr>
                <w:rFonts w:cs="Calibri"/>
                <w:szCs w:val="18"/>
              </w:rPr>
            </w:pPr>
            <w:r w:rsidRPr="00BD16B4">
              <w:rPr>
                <w:rFonts w:cs="Calibri"/>
                <w:szCs w:val="18"/>
              </w:rPr>
              <w:t>WAM</w:t>
            </w:r>
          </w:p>
        </w:tc>
        <w:tc>
          <w:tcPr>
            <w:tcW w:w="760" w:type="dxa"/>
            <w:noWrap/>
          </w:tcPr>
          <w:p w14:paraId="5394FACC" w14:textId="77777777" w:rsidR="00533D32" w:rsidRPr="00BD16B4" w:rsidRDefault="00533D32" w:rsidP="00C87B45">
            <w:pPr>
              <w:pStyle w:val="TableText"/>
              <w:spacing w:before="40" w:after="40"/>
              <w:jc w:val="center"/>
              <w:rPr>
                <w:rFonts w:cs="Calibri"/>
                <w:szCs w:val="18"/>
              </w:rPr>
            </w:pPr>
            <w:r w:rsidRPr="00BD16B4">
              <w:rPr>
                <w:rFonts w:cs="Calibri"/>
                <w:szCs w:val="18"/>
              </w:rPr>
              <w:t>14,512</w:t>
            </w:r>
          </w:p>
        </w:tc>
        <w:tc>
          <w:tcPr>
            <w:tcW w:w="892" w:type="dxa"/>
            <w:noWrap/>
          </w:tcPr>
          <w:p w14:paraId="156639E8" w14:textId="77777777" w:rsidR="00533D32" w:rsidRPr="00BD16B4" w:rsidRDefault="00533D32" w:rsidP="00C87B45">
            <w:pPr>
              <w:pStyle w:val="TableText"/>
              <w:spacing w:before="40" w:after="40"/>
              <w:jc w:val="center"/>
              <w:rPr>
                <w:rFonts w:cs="Calibri"/>
                <w:szCs w:val="18"/>
              </w:rPr>
            </w:pPr>
            <w:r w:rsidRPr="00BD16B4">
              <w:rPr>
                <w:rFonts w:cs="Calibri"/>
                <w:szCs w:val="18"/>
              </w:rPr>
              <w:t>64,101</w:t>
            </w:r>
          </w:p>
        </w:tc>
        <w:tc>
          <w:tcPr>
            <w:tcW w:w="892" w:type="dxa"/>
            <w:noWrap/>
          </w:tcPr>
          <w:p w14:paraId="0DC82BF0" w14:textId="77777777" w:rsidR="00533D32" w:rsidRPr="00BD16B4" w:rsidRDefault="00533D32" w:rsidP="00C87B45">
            <w:pPr>
              <w:pStyle w:val="TableText"/>
              <w:spacing w:before="40" w:after="40"/>
              <w:jc w:val="center"/>
              <w:rPr>
                <w:rFonts w:cs="Calibri"/>
                <w:szCs w:val="18"/>
              </w:rPr>
            </w:pPr>
            <w:r w:rsidRPr="00BD16B4">
              <w:rPr>
                <w:rFonts w:cs="Calibri"/>
                <w:szCs w:val="18"/>
              </w:rPr>
              <w:t>32,863</w:t>
            </w:r>
          </w:p>
        </w:tc>
        <w:tc>
          <w:tcPr>
            <w:tcW w:w="892" w:type="dxa"/>
            <w:noWrap/>
          </w:tcPr>
          <w:p w14:paraId="534A4192" w14:textId="77777777" w:rsidR="00533D32" w:rsidRPr="00BD16B4" w:rsidRDefault="00533D32" w:rsidP="00C87B45">
            <w:pPr>
              <w:pStyle w:val="TableText"/>
              <w:spacing w:before="40" w:after="40"/>
              <w:jc w:val="center"/>
              <w:rPr>
                <w:rFonts w:cs="Calibri"/>
                <w:szCs w:val="18"/>
              </w:rPr>
            </w:pPr>
            <w:r w:rsidRPr="00BD16B4">
              <w:rPr>
                <w:rFonts w:cs="Calibri"/>
                <w:szCs w:val="18"/>
              </w:rPr>
              <w:t>12,010</w:t>
            </w:r>
          </w:p>
        </w:tc>
        <w:tc>
          <w:tcPr>
            <w:tcW w:w="892" w:type="dxa"/>
            <w:noWrap/>
          </w:tcPr>
          <w:p w14:paraId="62C25E65" w14:textId="77777777" w:rsidR="00533D32" w:rsidRPr="00BD16B4" w:rsidRDefault="00533D32" w:rsidP="00C87B45">
            <w:pPr>
              <w:pStyle w:val="TableText"/>
              <w:spacing w:before="40" w:after="40"/>
              <w:jc w:val="center"/>
              <w:rPr>
                <w:rFonts w:cs="Calibri"/>
                <w:szCs w:val="18"/>
              </w:rPr>
            </w:pPr>
            <w:r w:rsidRPr="00BD16B4">
              <w:rPr>
                <w:rFonts w:cs="Calibri"/>
                <w:szCs w:val="18"/>
              </w:rPr>
              <w:t>10,513</w:t>
            </w:r>
          </w:p>
        </w:tc>
        <w:tc>
          <w:tcPr>
            <w:tcW w:w="892" w:type="dxa"/>
            <w:noWrap/>
          </w:tcPr>
          <w:p w14:paraId="55AC3928" w14:textId="77777777" w:rsidR="00533D32" w:rsidRPr="00BD16B4" w:rsidRDefault="00533D32" w:rsidP="00C87B45">
            <w:pPr>
              <w:pStyle w:val="TableText"/>
              <w:spacing w:before="40" w:after="40"/>
              <w:jc w:val="center"/>
              <w:rPr>
                <w:rFonts w:cs="Calibri"/>
                <w:szCs w:val="18"/>
              </w:rPr>
            </w:pPr>
            <w:r w:rsidRPr="00BD16B4">
              <w:rPr>
                <w:rFonts w:cs="Calibri"/>
                <w:szCs w:val="18"/>
              </w:rPr>
              <w:t>5,937</w:t>
            </w:r>
          </w:p>
        </w:tc>
        <w:tc>
          <w:tcPr>
            <w:tcW w:w="892" w:type="dxa"/>
            <w:noWrap/>
          </w:tcPr>
          <w:p w14:paraId="4B19A605" w14:textId="77777777" w:rsidR="00533D32" w:rsidRPr="00BD16B4" w:rsidRDefault="00533D32" w:rsidP="00C87B45">
            <w:pPr>
              <w:pStyle w:val="TableText"/>
              <w:spacing w:before="40" w:after="40"/>
              <w:jc w:val="center"/>
              <w:rPr>
                <w:rFonts w:cs="Calibri"/>
                <w:szCs w:val="18"/>
              </w:rPr>
            </w:pPr>
            <w:r w:rsidRPr="00BD16B4">
              <w:rPr>
                <w:rFonts w:cs="Calibri"/>
                <w:szCs w:val="18"/>
              </w:rPr>
              <w:t>41,111</w:t>
            </w:r>
          </w:p>
        </w:tc>
        <w:tc>
          <w:tcPr>
            <w:tcW w:w="892" w:type="dxa"/>
            <w:shd w:val="clear" w:color="auto" w:fill="D2DDE1" w:themeFill="background2"/>
            <w:noWrap/>
          </w:tcPr>
          <w:p w14:paraId="3202FCA3" w14:textId="77777777" w:rsidR="00533D32" w:rsidRPr="00BD16B4" w:rsidRDefault="00533D32" w:rsidP="00C87B45">
            <w:pPr>
              <w:pStyle w:val="TableText"/>
              <w:spacing w:before="40" w:after="40"/>
              <w:jc w:val="center"/>
              <w:rPr>
                <w:rFonts w:cs="Calibri"/>
                <w:szCs w:val="18"/>
              </w:rPr>
            </w:pPr>
            <w:r w:rsidRPr="00BD16B4">
              <w:rPr>
                <w:rFonts w:cs="Calibri"/>
                <w:szCs w:val="18"/>
              </w:rPr>
              <w:t>55,226</w:t>
            </w:r>
          </w:p>
        </w:tc>
        <w:tc>
          <w:tcPr>
            <w:tcW w:w="892" w:type="dxa"/>
            <w:shd w:val="clear" w:color="auto" w:fill="D2DDE1" w:themeFill="background2"/>
            <w:noWrap/>
          </w:tcPr>
          <w:p w14:paraId="37A2C57E" w14:textId="77777777" w:rsidR="00533D32" w:rsidRPr="00BD16B4" w:rsidRDefault="00533D32" w:rsidP="00C87B45">
            <w:pPr>
              <w:pStyle w:val="TableText"/>
              <w:spacing w:before="40" w:after="40"/>
              <w:jc w:val="center"/>
              <w:rPr>
                <w:rFonts w:cs="Calibri"/>
                <w:szCs w:val="18"/>
              </w:rPr>
            </w:pPr>
            <w:r w:rsidRPr="00BD16B4">
              <w:rPr>
                <w:rFonts w:cs="Calibri"/>
                <w:szCs w:val="18"/>
              </w:rPr>
              <w:t>50,519</w:t>
            </w:r>
          </w:p>
        </w:tc>
        <w:tc>
          <w:tcPr>
            <w:tcW w:w="892" w:type="dxa"/>
            <w:shd w:val="clear" w:color="auto" w:fill="D2DDE1" w:themeFill="background2"/>
            <w:noWrap/>
          </w:tcPr>
          <w:p w14:paraId="7A7F492A" w14:textId="77777777" w:rsidR="00533D32" w:rsidRPr="00BD16B4" w:rsidRDefault="00533D32" w:rsidP="00C87B45">
            <w:pPr>
              <w:pStyle w:val="TableText"/>
              <w:spacing w:before="40" w:after="40"/>
              <w:jc w:val="center"/>
              <w:rPr>
                <w:rFonts w:cs="Calibri"/>
                <w:szCs w:val="18"/>
              </w:rPr>
            </w:pPr>
            <w:r w:rsidRPr="00BD16B4">
              <w:rPr>
                <w:rFonts w:cs="Calibri"/>
                <w:szCs w:val="18"/>
              </w:rPr>
              <w:t>50,519</w:t>
            </w:r>
          </w:p>
        </w:tc>
      </w:tr>
      <w:tr w:rsidR="00533D32" w:rsidRPr="00BD16B4" w14:paraId="64D48DAB" w14:textId="77777777" w:rsidTr="00315977">
        <w:tc>
          <w:tcPr>
            <w:tcW w:w="1928" w:type="dxa"/>
            <w:vMerge/>
          </w:tcPr>
          <w:p w14:paraId="68D3962C" w14:textId="77777777" w:rsidR="00533D32" w:rsidRPr="00BD16B4" w:rsidRDefault="00533D32" w:rsidP="00C87B45">
            <w:pPr>
              <w:pStyle w:val="TableText"/>
              <w:spacing w:before="40" w:after="40"/>
              <w:rPr>
                <w:rFonts w:cs="Calibri"/>
                <w:szCs w:val="18"/>
              </w:rPr>
            </w:pPr>
          </w:p>
        </w:tc>
        <w:tc>
          <w:tcPr>
            <w:tcW w:w="1474" w:type="dxa"/>
            <w:vMerge/>
            <w:tcMar>
              <w:left w:w="57" w:type="dxa"/>
            </w:tcMar>
          </w:tcPr>
          <w:p w14:paraId="1834F958" w14:textId="77777777" w:rsidR="00533D32" w:rsidRPr="00BD16B4" w:rsidRDefault="00533D32" w:rsidP="00C87B45">
            <w:pPr>
              <w:pStyle w:val="TableText"/>
              <w:spacing w:before="40" w:after="40"/>
              <w:rPr>
                <w:rFonts w:cs="Calibri"/>
                <w:szCs w:val="18"/>
              </w:rPr>
            </w:pPr>
          </w:p>
        </w:tc>
        <w:tc>
          <w:tcPr>
            <w:tcW w:w="2405" w:type="dxa"/>
            <w:noWrap/>
          </w:tcPr>
          <w:p w14:paraId="434E6149" w14:textId="77777777" w:rsidR="00533D32" w:rsidRPr="00BD16B4" w:rsidRDefault="00533D32" w:rsidP="00C87B45">
            <w:pPr>
              <w:pStyle w:val="TableText"/>
              <w:spacing w:before="40" w:after="40"/>
              <w:rPr>
                <w:rFonts w:cs="Calibri"/>
                <w:szCs w:val="18"/>
              </w:rPr>
            </w:pPr>
            <w:r w:rsidRPr="00BD16B4">
              <w:rPr>
                <w:rFonts w:cs="Calibri"/>
                <w:szCs w:val="18"/>
              </w:rPr>
              <w:t>Low</w:t>
            </w:r>
          </w:p>
        </w:tc>
        <w:tc>
          <w:tcPr>
            <w:tcW w:w="760" w:type="dxa"/>
            <w:noWrap/>
          </w:tcPr>
          <w:p w14:paraId="30F70FD4" w14:textId="77777777" w:rsidR="00533D32" w:rsidRPr="00BD16B4" w:rsidRDefault="00533D32" w:rsidP="00C87B45">
            <w:pPr>
              <w:pStyle w:val="TableText"/>
              <w:spacing w:before="40" w:after="40"/>
              <w:jc w:val="center"/>
              <w:rPr>
                <w:rFonts w:cs="Calibri"/>
                <w:szCs w:val="18"/>
              </w:rPr>
            </w:pPr>
            <w:r w:rsidRPr="00BD16B4">
              <w:rPr>
                <w:rFonts w:cs="Calibri"/>
                <w:szCs w:val="18"/>
              </w:rPr>
              <w:t>14,512</w:t>
            </w:r>
          </w:p>
        </w:tc>
        <w:tc>
          <w:tcPr>
            <w:tcW w:w="892" w:type="dxa"/>
            <w:noWrap/>
          </w:tcPr>
          <w:p w14:paraId="1126F77C" w14:textId="77777777" w:rsidR="00533D32" w:rsidRPr="00BD16B4" w:rsidRDefault="00533D32" w:rsidP="00C87B45">
            <w:pPr>
              <w:pStyle w:val="TableText"/>
              <w:spacing w:before="40" w:after="40"/>
              <w:jc w:val="center"/>
              <w:rPr>
                <w:rFonts w:cs="Calibri"/>
                <w:szCs w:val="18"/>
              </w:rPr>
            </w:pPr>
            <w:r w:rsidRPr="00BD16B4">
              <w:rPr>
                <w:rFonts w:cs="Calibri"/>
                <w:szCs w:val="18"/>
              </w:rPr>
              <w:t>64,101</w:t>
            </w:r>
          </w:p>
        </w:tc>
        <w:tc>
          <w:tcPr>
            <w:tcW w:w="892" w:type="dxa"/>
            <w:noWrap/>
          </w:tcPr>
          <w:p w14:paraId="1EF0FDC1" w14:textId="77777777" w:rsidR="00533D32" w:rsidRPr="00BD16B4" w:rsidRDefault="00533D32" w:rsidP="00C87B45">
            <w:pPr>
              <w:pStyle w:val="TableText"/>
              <w:spacing w:before="40" w:after="40"/>
              <w:jc w:val="center"/>
              <w:rPr>
                <w:rFonts w:cs="Calibri"/>
                <w:szCs w:val="18"/>
              </w:rPr>
            </w:pPr>
            <w:r w:rsidRPr="00BD16B4">
              <w:rPr>
                <w:rFonts w:cs="Calibri"/>
                <w:szCs w:val="18"/>
              </w:rPr>
              <w:t>32,863</w:t>
            </w:r>
          </w:p>
        </w:tc>
        <w:tc>
          <w:tcPr>
            <w:tcW w:w="892" w:type="dxa"/>
            <w:noWrap/>
          </w:tcPr>
          <w:p w14:paraId="1E43A750" w14:textId="77777777" w:rsidR="00533D32" w:rsidRPr="00BD16B4" w:rsidRDefault="00533D32" w:rsidP="00C87B45">
            <w:pPr>
              <w:pStyle w:val="TableText"/>
              <w:spacing w:before="40" w:after="40"/>
              <w:jc w:val="center"/>
              <w:rPr>
                <w:rFonts w:cs="Calibri"/>
                <w:szCs w:val="18"/>
              </w:rPr>
            </w:pPr>
            <w:r w:rsidRPr="00BD16B4">
              <w:rPr>
                <w:rFonts w:cs="Calibri"/>
                <w:szCs w:val="18"/>
              </w:rPr>
              <w:t>12,010</w:t>
            </w:r>
          </w:p>
        </w:tc>
        <w:tc>
          <w:tcPr>
            <w:tcW w:w="892" w:type="dxa"/>
            <w:noWrap/>
          </w:tcPr>
          <w:p w14:paraId="24766581" w14:textId="77777777" w:rsidR="00533D32" w:rsidRPr="00BD16B4" w:rsidRDefault="00533D32" w:rsidP="00C87B45">
            <w:pPr>
              <w:pStyle w:val="TableText"/>
              <w:spacing w:before="40" w:after="40"/>
              <w:jc w:val="center"/>
              <w:rPr>
                <w:rFonts w:cs="Calibri"/>
                <w:szCs w:val="18"/>
              </w:rPr>
            </w:pPr>
            <w:r w:rsidRPr="00BD16B4">
              <w:rPr>
                <w:rFonts w:cs="Calibri"/>
                <w:szCs w:val="18"/>
              </w:rPr>
              <w:t>10,513</w:t>
            </w:r>
          </w:p>
        </w:tc>
        <w:tc>
          <w:tcPr>
            <w:tcW w:w="892" w:type="dxa"/>
            <w:noWrap/>
          </w:tcPr>
          <w:p w14:paraId="6D20DD9A" w14:textId="77777777" w:rsidR="00533D32" w:rsidRPr="00BD16B4" w:rsidRDefault="00533D32" w:rsidP="00C87B45">
            <w:pPr>
              <w:pStyle w:val="TableText"/>
              <w:spacing w:before="40" w:after="40"/>
              <w:jc w:val="center"/>
              <w:rPr>
                <w:rFonts w:cs="Calibri"/>
                <w:szCs w:val="18"/>
              </w:rPr>
            </w:pPr>
            <w:r w:rsidRPr="00BD16B4">
              <w:rPr>
                <w:rFonts w:cs="Calibri"/>
                <w:szCs w:val="18"/>
              </w:rPr>
              <w:t>5,937</w:t>
            </w:r>
          </w:p>
        </w:tc>
        <w:tc>
          <w:tcPr>
            <w:tcW w:w="892" w:type="dxa"/>
            <w:noWrap/>
          </w:tcPr>
          <w:p w14:paraId="20E251B0" w14:textId="77777777" w:rsidR="00533D32" w:rsidRPr="00BD16B4" w:rsidRDefault="00533D32" w:rsidP="00C87B45">
            <w:pPr>
              <w:pStyle w:val="TableText"/>
              <w:spacing w:before="40" w:after="40"/>
              <w:jc w:val="center"/>
              <w:rPr>
                <w:rFonts w:cs="Calibri"/>
                <w:szCs w:val="18"/>
              </w:rPr>
            </w:pPr>
            <w:r w:rsidRPr="00BD16B4">
              <w:rPr>
                <w:rFonts w:cs="Calibri"/>
                <w:szCs w:val="18"/>
              </w:rPr>
              <w:t>41,111</w:t>
            </w:r>
          </w:p>
        </w:tc>
        <w:tc>
          <w:tcPr>
            <w:tcW w:w="892" w:type="dxa"/>
            <w:shd w:val="clear" w:color="auto" w:fill="D2DDE1" w:themeFill="background2"/>
            <w:noWrap/>
          </w:tcPr>
          <w:p w14:paraId="2564806A" w14:textId="77777777" w:rsidR="00533D32" w:rsidRPr="00BD16B4" w:rsidRDefault="00533D32" w:rsidP="00C87B45">
            <w:pPr>
              <w:pStyle w:val="TableText"/>
              <w:spacing w:before="40" w:after="40"/>
              <w:jc w:val="center"/>
              <w:rPr>
                <w:rFonts w:cs="Calibri"/>
                <w:szCs w:val="18"/>
              </w:rPr>
            </w:pPr>
            <w:r w:rsidRPr="00BD16B4">
              <w:rPr>
                <w:rFonts w:cs="Calibri"/>
                <w:szCs w:val="18"/>
              </w:rPr>
              <w:t>51,867</w:t>
            </w:r>
          </w:p>
        </w:tc>
        <w:tc>
          <w:tcPr>
            <w:tcW w:w="892" w:type="dxa"/>
            <w:shd w:val="clear" w:color="auto" w:fill="D2DDE1" w:themeFill="background2"/>
            <w:noWrap/>
          </w:tcPr>
          <w:p w14:paraId="1B9F342F" w14:textId="77777777" w:rsidR="00533D32" w:rsidRPr="00BD16B4" w:rsidRDefault="00533D32" w:rsidP="00C87B45">
            <w:pPr>
              <w:pStyle w:val="TableText"/>
              <w:spacing w:before="40" w:after="40"/>
              <w:jc w:val="center"/>
              <w:rPr>
                <w:rFonts w:cs="Calibri"/>
                <w:szCs w:val="18"/>
              </w:rPr>
            </w:pPr>
            <w:r w:rsidRPr="00BD16B4">
              <w:rPr>
                <w:rFonts w:cs="Calibri"/>
                <w:szCs w:val="18"/>
              </w:rPr>
              <w:t>46,287</w:t>
            </w:r>
          </w:p>
        </w:tc>
        <w:tc>
          <w:tcPr>
            <w:tcW w:w="892" w:type="dxa"/>
            <w:shd w:val="clear" w:color="auto" w:fill="D2DDE1" w:themeFill="background2"/>
            <w:noWrap/>
          </w:tcPr>
          <w:p w14:paraId="45A1A21A" w14:textId="77777777" w:rsidR="00533D32" w:rsidRPr="00BD16B4" w:rsidRDefault="00533D32" w:rsidP="00C87B45">
            <w:pPr>
              <w:pStyle w:val="TableText"/>
              <w:spacing w:before="40" w:after="40"/>
              <w:jc w:val="center"/>
              <w:rPr>
                <w:rFonts w:cs="Calibri"/>
                <w:szCs w:val="18"/>
              </w:rPr>
            </w:pPr>
            <w:r w:rsidRPr="00BD16B4">
              <w:rPr>
                <w:rFonts w:cs="Calibri"/>
                <w:szCs w:val="18"/>
              </w:rPr>
              <w:t>46,287</w:t>
            </w:r>
          </w:p>
        </w:tc>
      </w:tr>
      <w:tr w:rsidR="00533D32" w:rsidRPr="00BD16B4" w14:paraId="49A17E03" w14:textId="77777777" w:rsidTr="00315977">
        <w:tc>
          <w:tcPr>
            <w:tcW w:w="1928" w:type="dxa"/>
            <w:vMerge/>
          </w:tcPr>
          <w:p w14:paraId="494BCB3D" w14:textId="77777777" w:rsidR="00533D32" w:rsidRPr="00BD16B4" w:rsidRDefault="00533D32" w:rsidP="00C87B45">
            <w:pPr>
              <w:pStyle w:val="TableText"/>
              <w:spacing w:before="40" w:after="40"/>
              <w:rPr>
                <w:rFonts w:cs="Calibri"/>
                <w:szCs w:val="18"/>
              </w:rPr>
            </w:pPr>
          </w:p>
        </w:tc>
        <w:tc>
          <w:tcPr>
            <w:tcW w:w="1474" w:type="dxa"/>
            <w:vMerge/>
            <w:tcMar>
              <w:left w:w="57" w:type="dxa"/>
            </w:tcMar>
          </w:tcPr>
          <w:p w14:paraId="7BC0AF22" w14:textId="77777777" w:rsidR="00533D32" w:rsidRPr="00BD16B4" w:rsidRDefault="00533D32" w:rsidP="00C87B45">
            <w:pPr>
              <w:pStyle w:val="TableText"/>
              <w:spacing w:before="40" w:after="40"/>
              <w:rPr>
                <w:rFonts w:cs="Calibri"/>
                <w:szCs w:val="18"/>
              </w:rPr>
            </w:pPr>
          </w:p>
        </w:tc>
        <w:tc>
          <w:tcPr>
            <w:tcW w:w="2405" w:type="dxa"/>
            <w:noWrap/>
          </w:tcPr>
          <w:p w14:paraId="2A0BB299" w14:textId="77777777" w:rsidR="00533D32" w:rsidRPr="00BD16B4" w:rsidRDefault="00533D32" w:rsidP="00C87B45">
            <w:pPr>
              <w:pStyle w:val="TableText"/>
              <w:spacing w:before="40" w:after="40"/>
              <w:rPr>
                <w:rFonts w:cs="Calibri"/>
                <w:szCs w:val="18"/>
              </w:rPr>
            </w:pPr>
            <w:r w:rsidRPr="00BD16B4">
              <w:rPr>
                <w:rFonts w:cs="Calibri"/>
                <w:szCs w:val="18"/>
              </w:rPr>
              <w:t>High</w:t>
            </w:r>
          </w:p>
        </w:tc>
        <w:tc>
          <w:tcPr>
            <w:tcW w:w="760" w:type="dxa"/>
            <w:noWrap/>
          </w:tcPr>
          <w:p w14:paraId="1DCF6C2E" w14:textId="77777777" w:rsidR="00533D32" w:rsidRPr="00BD16B4" w:rsidRDefault="00533D32" w:rsidP="00C87B45">
            <w:pPr>
              <w:pStyle w:val="TableText"/>
              <w:spacing w:before="40" w:after="40"/>
              <w:jc w:val="center"/>
              <w:rPr>
                <w:rFonts w:cs="Calibri"/>
                <w:szCs w:val="18"/>
              </w:rPr>
            </w:pPr>
            <w:r w:rsidRPr="00BD16B4">
              <w:rPr>
                <w:rFonts w:cs="Calibri"/>
                <w:szCs w:val="18"/>
              </w:rPr>
              <w:t>14,512</w:t>
            </w:r>
          </w:p>
        </w:tc>
        <w:tc>
          <w:tcPr>
            <w:tcW w:w="892" w:type="dxa"/>
            <w:noWrap/>
          </w:tcPr>
          <w:p w14:paraId="3975D6F6" w14:textId="77777777" w:rsidR="00533D32" w:rsidRPr="00BD16B4" w:rsidRDefault="00533D32" w:rsidP="00C87B45">
            <w:pPr>
              <w:pStyle w:val="TableText"/>
              <w:spacing w:before="40" w:after="40"/>
              <w:jc w:val="center"/>
              <w:rPr>
                <w:rFonts w:cs="Calibri"/>
                <w:szCs w:val="18"/>
              </w:rPr>
            </w:pPr>
            <w:r w:rsidRPr="00BD16B4">
              <w:rPr>
                <w:rFonts w:cs="Calibri"/>
                <w:szCs w:val="18"/>
              </w:rPr>
              <w:t>64,101</w:t>
            </w:r>
          </w:p>
        </w:tc>
        <w:tc>
          <w:tcPr>
            <w:tcW w:w="892" w:type="dxa"/>
            <w:noWrap/>
          </w:tcPr>
          <w:p w14:paraId="78C46252" w14:textId="77777777" w:rsidR="00533D32" w:rsidRPr="00BD16B4" w:rsidRDefault="00533D32" w:rsidP="00C87B45">
            <w:pPr>
              <w:pStyle w:val="TableText"/>
              <w:spacing w:before="40" w:after="40"/>
              <w:jc w:val="center"/>
              <w:rPr>
                <w:rFonts w:cs="Calibri"/>
                <w:szCs w:val="18"/>
              </w:rPr>
            </w:pPr>
            <w:r w:rsidRPr="00BD16B4">
              <w:rPr>
                <w:rFonts w:cs="Calibri"/>
                <w:szCs w:val="18"/>
              </w:rPr>
              <w:t>32,863</w:t>
            </w:r>
          </w:p>
        </w:tc>
        <w:tc>
          <w:tcPr>
            <w:tcW w:w="892" w:type="dxa"/>
            <w:noWrap/>
          </w:tcPr>
          <w:p w14:paraId="20FCE485" w14:textId="77777777" w:rsidR="00533D32" w:rsidRPr="00BD16B4" w:rsidRDefault="00533D32" w:rsidP="00C87B45">
            <w:pPr>
              <w:pStyle w:val="TableText"/>
              <w:spacing w:before="40" w:after="40"/>
              <w:jc w:val="center"/>
              <w:rPr>
                <w:rFonts w:cs="Calibri"/>
                <w:szCs w:val="18"/>
              </w:rPr>
            </w:pPr>
            <w:r w:rsidRPr="00BD16B4">
              <w:rPr>
                <w:rFonts w:cs="Calibri"/>
                <w:szCs w:val="18"/>
              </w:rPr>
              <w:t>12,010</w:t>
            </w:r>
          </w:p>
        </w:tc>
        <w:tc>
          <w:tcPr>
            <w:tcW w:w="892" w:type="dxa"/>
            <w:noWrap/>
          </w:tcPr>
          <w:p w14:paraId="20D77831" w14:textId="77777777" w:rsidR="00533D32" w:rsidRPr="00BD16B4" w:rsidRDefault="00533D32" w:rsidP="00C87B45">
            <w:pPr>
              <w:pStyle w:val="TableText"/>
              <w:spacing w:before="40" w:after="40"/>
              <w:jc w:val="center"/>
              <w:rPr>
                <w:rFonts w:cs="Calibri"/>
                <w:szCs w:val="18"/>
              </w:rPr>
            </w:pPr>
            <w:r w:rsidRPr="00BD16B4">
              <w:rPr>
                <w:rFonts w:cs="Calibri"/>
                <w:szCs w:val="18"/>
              </w:rPr>
              <w:t>10,513</w:t>
            </w:r>
          </w:p>
        </w:tc>
        <w:tc>
          <w:tcPr>
            <w:tcW w:w="892" w:type="dxa"/>
            <w:noWrap/>
          </w:tcPr>
          <w:p w14:paraId="052ABA49" w14:textId="77777777" w:rsidR="00533D32" w:rsidRPr="00BD16B4" w:rsidRDefault="00533D32" w:rsidP="00C87B45">
            <w:pPr>
              <w:pStyle w:val="TableText"/>
              <w:spacing w:before="40" w:after="40"/>
              <w:jc w:val="center"/>
              <w:rPr>
                <w:rFonts w:cs="Calibri"/>
                <w:szCs w:val="18"/>
              </w:rPr>
            </w:pPr>
            <w:r w:rsidRPr="00BD16B4">
              <w:rPr>
                <w:rFonts w:cs="Calibri"/>
                <w:szCs w:val="18"/>
              </w:rPr>
              <w:t>5,937</w:t>
            </w:r>
          </w:p>
        </w:tc>
        <w:tc>
          <w:tcPr>
            <w:tcW w:w="892" w:type="dxa"/>
            <w:noWrap/>
          </w:tcPr>
          <w:p w14:paraId="533924C3" w14:textId="77777777" w:rsidR="00533D32" w:rsidRPr="00BD16B4" w:rsidRDefault="00533D32" w:rsidP="00C87B45">
            <w:pPr>
              <w:pStyle w:val="TableText"/>
              <w:spacing w:before="40" w:after="40"/>
              <w:jc w:val="center"/>
              <w:rPr>
                <w:rFonts w:cs="Calibri"/>
                <w:szCs w:val="18"/>
              </w:rPr>
            </w:pPr>
            <w:r w:rsidRPr="00BD16B4">
              <w:rPr>
                <w:rFonts w:cs="Calibri"/>
                <w:szCs w:val="18"/>
              </w:rPr>
              <w:t>41,111</w:t>
            </w:r>
          </w:p>
        </w:tc>
        <w:tc>
          <w:tcPr>
            <w:tcW w:w="892" w:type="dxa"/>
            <w:shd w:val="clear" w:color="auto" w:fill="D2DDE1" w:themeFill="background2"/>
            <w:noWrap/>
          </w:tcPr>
          <w:p w14:paraId="5244270D" w14:textId="77777777" w:rsidR="00533D32" w:rsidRPr="00BD16B4" w:rsidRDefault="00533D32" w:rsidP="00C87B45">
            <w:pPr>
              <w:pStyle w:val="TableText"/>
              <w:spacing w:before="40" w:after="40"/>
              <w:jc w:val="center"/>
              <w:rPr>
                <w:rFonts w:cs="Calibri"/>
                <w:szCs w:val="18"/>
              </w:rPr>
            </w:pPr>
            <w:r w:rsidRPr="00BD16B4">
              <w:rPr>
                <w:rFonts w:cs="Calibri"/>
                <w:szCs w:val="18"/>
              </w:rPr>
              <w:t>35,123</w:t>
            </w:r>
          </w:p>
        </w:tc>
        <w:tc>
          <w:tcPr>
            <w:tcW w:w="892" w:type="dxa"/>
            <w:shd w:val="clear" w:color="auto" w:fill="D2DDE1" w:themeFill="background2"/>
            <w:noWrap/>
          </w:tcPr>
          <w:p w14:paraId="1B9B123D" w14:textId="77777777" w:rsidR="00533D32" w:rsidRPr="00BD16B4" w:rsidRDefault="00533D32" w:rsidP="00C87B45">
            <w:pPr>
              <w:pStyle w:val="TableText"/>
              <w:spacing w:before="40" w:after="40"/>
              <w:jc w:val="center"/>
              <w:rPr>
                <w:rFonts w:cs="Calibri"/>
                <w:szCs w:val="18"/>
              </w:rPr>
            </w:pPr>
            <w:r w:rsidRPr="00BD16B4">
              <w:rPr>
                <w:rFonts w:cs="Calibri"/>
                <w:szCs w:val="18"/>
              </w:rPr>
              <w:t>29,885</w:t>
            </w:r>
          </w:p>
        </w:tc>
        <w:tc>
          <w:tcPr>
            <w:tcW w:w="892" w:type="dxa"/>
            <w:shd w:val="clear" w:color="auto" w:fill="D2DDE1" w:themeFill="background2"/>
            <w:noWrap/>
          </w:tcPr>
          <w:p w14:paraId="271772F2" w14:textId="77777777" w:rsidR="00533D32" w:rsidRPr="00BD16B4" w:rsidRDefault="00533D32" w:rsidP="00C87B45">
            <w:pPr>
              <w:pStyle w:val="TableText"/>
              <w:spacing w:before="40" w:after="40"/>
              <w:jc w:val="center"/>
              <w:rPr>
                <w:rFonts w:cs="Calibri"/>
                <w:szCs w:val="18"/>
              </w:rPr>
            </w:pPr>
            <w:r w:rsidRPr="00BD16B4">
              <w:rPr>
                <w:rFonts w:cs="Calibri"/>
                <w:szCs w:val="18"/>
              </w:rPr>
              <w:t>29,885</w:t>
            </w:r>
          </w:p>
        </w:tc>
      </w:tr>
      <w:tr w:rsidR="00533D32" w:rsidRPr="00BD16B4" w14:paraId="1FCF3803" w14:textId="77777777" w:rsidTr="00315977">
        <w:tc>
          <w:tcPr>
            <w:tcW w:w="1928" w:type="dxa"/>
            <w:vMerge w:val="restart"/>
          </w:tcPr>
          <w:p w14:paraId="536C1999" w14:textId="77777777" w:rsidR="00533D32" w:rsidRPr="00BD16B4" w:rsidRDefault="00533D32" w:rsidP="00C87B45">
            <w:pPr>
              <w:pStyle w:val="TableText"/>
              <w:spacing w:before="40" w:after="40"/>
              <w:rPr>
                <w:rFonts w:cs="Calibri"/>
                <w:szCs w:val="18"/>
              </w:rPr>
            </w:pPr>
            <w:r w:rsidRPr="00BD16B4">
              <w:rPr>
                <w:rFonts w:cs="Calibri"/>
                <w:szCs w:val="18"/>
              </w:rPr>
              <w:t>Deforestation</w:t>
            </w:r>
          </w:p>
        </w:tc>
        <w:tc>
          <w:tcPr>
            <w:tcW w:w="1474" w:type="dxa"/>
            <w:vMerge w:val="restart"/>
            <w:tcMar>
              <w:left w:w="57" w:type="dxa"/>
            </w:tcMar>
          </w:tcPr>
          <w:p w14:paraId="751EDA9F" w14:textId="77777777" w:rsidR="00533D32" w:rsidRPr="00BD16B4" w:rsidRDefault="00533D32" w:rsidP="00C87B45">
            <w:pPr>
              <w:pStyle w:val="TableText"/>
              <w:spacing w:before="40" w:after="40"/>
              <w:rPr>
                <w:rFonts w:cs="Calibri"/>
                <w:szCs w:val="18"/>
              </w:rPr>
            </w:pPr>
            <w:r w:rsidRPr="00BD16B4">
              <w:rPr>
                <w:rFonts w:cs="Calibri"/>
                <w:szCs w:val="18"/>
              </w:rPr>
              <w:t>hectares</w:t>
            </w:r>
          </w:p>
        </w:tc>
        <w:tc>
          <w:tcPr>
            <w:tcW w:w="2405" w:type="dxa"/>
            <w:noWrap/>
          </w:tcPr>
          <w:p w14:paraId="3BB5F003" w14:textId="77777777" w:rsidR="00533D32" w:rsidRPr="00BD16B4" w:rsidRDefault="00533D32" w:rsidP="00C87B45">
            <w:pPr>
              <w:pStyle w:val="TableText"/>
              <w:spacing w:before="40" w:after="40"/>
              <w:rPr>
                <w:rFonts w:cs="Calibri"/>
                <w:szCs w:val="18"/>
              </w:rPr>
            </w:pPr>
            <w:r w:rsidRPr="00BD16B4">
              <w:rPr>
                <w:rFonts w:cs="Calibri"/>
                <w:szCs w:val="18"/>
              </w:rPr>
              <w:t>WEM/WAM</w:t>
            </w:r>
          </w:p>
        </w:tc>
        <w:tc>
          <w:tcPr>
            <w:tcW w:w="760" w:type="dxa"/>
            <w:noWrap/>
          </w:tcPr>
          <w:p w14:paraId="4DC56C72" w14:textId="77777777" w:rsidR="00533D32" w:rsidRPr="00BD16B4" w:rsidRDefault="00533D32" w:rsidP="00C87B45">
            <w:pPr>
              <w:pStyle w:val="TableText"/>
              <w:spacing w:before="40" w:after="40"/>
              <w:jc w:val="center"/>
              <w:rPr>
                <w:rFonts w:cs="Calibri"/>
                <w:szCs w:val="18"/>
              </w:rPr>
            </w:pPr>
            <w:r w:rsidRPr="00BD16B4">
              <w:rPr>
                <w:rFonts w:cs="Calibri"/>
                <w:szCs w:val="18"/>
              </w:rPr>
              <w:t>1,844</w:t>
            </w:r>
          </w:p>
        </w:tc>
        <w:tc>
          <w:tcPr>
            <w:tcW w:w="892" w:type="dxa"/>
            <w:noWrap/>
          </w:tcPr>
          <w:p w14:paraId="29DE2496" w14:textId="77777777" w:rsidR="00533D32" w:rsidRPr="00BD16B4" w:rsidRDefault="00533D32" w:rsidP="00C87B45">
            <w:pPr>
              <w:pStyle w:val="TableText"/>
              <w:spacing w:before="40" w:after="40"/>
              <w:jc w:val="center"/>
              <w:rPr>
                <w:rFonts w:cs="Calibri"/>
                <w:szCs w:val="18"/>
              </w:rPr>
            </w:pPr>
            <w:r w:rsidRPr="00BD16B4">
              <w:rPr>
                <w:rFonts w:cs="Calibri"/>
                <w:szCs w:val="18"/>
              </w:rPr>
              <w:t>1,844</w:t>
            </w:r>
          </w:p>
        </w:tc>
        <w:tc>
          <w:tcPr>
            <w:tcW w:w="892" w:type="dxa"/>
            <w:noWrap/>
          </w:tcPr>
          <w:p w14:paraId="4A2E59CB" w14:textId="77777777" w:rsidR="00533D32" w:rsidRPr="00BD16B4" w:rsidRDefault="00533D32" w:rsidP="00C87B45">
            <w:pPr>
              <w:pStyle w:val="TableText"/>
              <w:spacing w:before="40" w:after="40"/>
              <w:jc w:val="center"/>
              <w:rPr>
                <w:rFonts w:cs="Calibri"/>
                <w:szCs w:val="18"/>
              </w:rPr>
            </w:pPr>
            <w:r w:rsidRPr="00BD16B4">
              <w:rPr>
                <w:rFonts w:cs="Calibri"/>
                <w:szCs w:val="18"/>
              </w:rPr>
              <w:t>4,591</w:t>
            </w:r>
          </w:p>
        </w:tc>
        <w:tc>
          <w:tcPr>
            <w:tcW w:w="892" w:type="dxa"/>
            <w:noWrap/>
          </w:tcPr>
          <w:p w14:paraId="6F37AFA3" w14:textId="77777777" w:rsidR="00533D32" w:rsidRPr="00BD16B4" w:rsidRDefault="00533D32" w:rsidP="00C87B45">
            <w:pPr>
              <w:pStyle w:val="TableText"/>
              <w:spacing w:before="40" w:after="40"/>
              <w:jc w:val="center"/>
              <w:rPr>
                <w:rFonts w:cs="Calibri"/>
                <w:szCs w:val="18"/>
              </w:rPr>
            </w:pPr>
            <w:r w:rsidRPr="00BD16B4">
              <w:rPr>
                <w:rFonts w:cs="Calibri"/>
                <w:szCs w:val="18"/>
              </w:rPr>
              <w:t>16,668</w:t>
            </w:r>
          </w:p>
        </w:tc>
        <w:tc>
          <w:tcPr>
            <w:tcW w:w="892" w:type="dxa"/>
            <w:noWrap/>
          </w:tcPr>
          <w:p w14:paraId="4659F9D3" w14:textId="77777777" w:rsidR="00533D32" w:rsidRPr="00BD16B4" w:rsidRDefault="00533D32" w:rsidP="00C87B45">
            <w:pPr>
              <w:pStyle w:val="TableText"/>
              <w:spacing w:before="40" w:after="40"/>
              <w:jc w:val="center"/>
              <w:rPr>
                <w:rFonts w:cs="Calibri"/>
                <w:szCs w:val="18"/>
              </w:rPr>
            </w:pPr>
            <w:r w:rsidRPr="00BD16B4">
              <w:rPr>
                <w:rFonts w:cs="Calibri"/>
                <w:szCs w:val="18"/>
              </w:rPr>
              <w:t>10,069</w:t>
            </w:r>
          </w:p>
        </w:tc>
        <w:tc>
          <w:tcPr>
            <w:tcW w:w="892" w:type="dxa"/>
            <w:noWrap/>
          </w:tcPr>
          <w:p w14:paraId="04D1E601" w14:textId="77777777" w:rsidR="00533D32" w:rsidRPr="00BD16B4" w:rsidRDefault="00533D32" w:rsidP="00C87B45">
            <w:pPr>
              <w:pStyle w:val="TableText"/>
              <w:spacing w:before="40" w:after="40"/>
              <w:jc w:val="center"/>
              <w:rPr>
                <w:rFonts w:cs="Calibri"/>
                <w:szCs w:val="18"/>
              </w:rPr>
            </w:pPr>
            <w:r w:rsidRPr="00BD16B4">
              <w:rPr>
                <w:rFonts w:cs="Calibri"/>
                <w:szCs w:val="18"/>
              </w:rPr>
              <w:t>8,523</w:t>
            </w:r>
          </w:p>
        </w:tc>
        <w:tc>
          <w:tcPr>
            <w:tcW w:w="892" w:type="dxa"/>
            <w:noWrap/>
          </w:tcPr>
          <w:p w14:paraId="03715962" w14:textId="77777777" w:rsidR="00533D32" w:rsidRPr="00BD16B4" w:rsidRDefault="00533D32" w:rsidP="00C87B45">
            <w:pPr>
              <w:pStyle w:val="TableText"/>
              <w:spacing w:before="40" w:after="40"/>
              <w:jc w:val="center"/>
              <w:rPr>
                <w:rFonts w:cs="Calibri"/>
                <w:szCs w:val="18"/>
              </w:rPr>
            </w:pPr>
            <w:r w:rsidRPr="00BD16B4">
              <w:rPr>
                <w:rFonts w:cs="Calibri"/>
                <w:szCs w:val="18"/>
              </w:rPr>
              <w:t>2,506</w:t>
            </w:r>
          </w:p>
        </w:tc>
        <w:tc>
          <w:tcPr>
            <w:tcW w:w="892" w:type="dxa"/>
            <w:shd w:val="clear" w:color="auto" w:fill="D2DDE1" w:themeFill="background2"/>
            <w:noWrap/>
          </w:tcPr>
          <w:p w14:paraId="2E7EADBD" w14:textId="77777777" w:rsidR="00533D32" w:rsidRPr="00BD16B4" w:rsidRDefault="00533D32" w:rsidP="00C87B45">
            <w:pPr>
              <w:pStyle w:val="TableText"/>
              <w:spacing w:before="40" w:after="40"/>
              <w:jc w:val="center"/>
              <w:rPr>
                <w:rFonts w:cs="Calibri"/>
                <w:szCs w:val="18"/>
              </w:rPr>
            </w:pPr>
            <w:r w:rsidRPr="00BD16B4">
              <w:rPr>
                <w:rFonts w:cs="Calibri"/>
                <w:szCs w:val="18"/>
              </w:rPr>
              <w:t>1,933</w:t>
            </w:r>
          </w:p>
        </w:tc>
        <w:tc>
          <w:tcPr>
            <w:tcW w:w="892" w:type="dxa"/>
            <w:shd w:val="clear" w:color="auto" w:fill="D2DDE1" w:themeFill="background2"/>
            <w:noWrap/>
          </w:tcPr>
          <w:p w14:paraId="4CDBFAC9" w14:textId="77777777" w:rsidR="00533D32" w:rsidRPr="00BD16B4" w:rsidRDefault="00533D32" w:rsidP="00C87B45">
            <w:pPr>
              <w:pStyle w:val="TableText"/>
              <w:spacing w:before="40" w:after="40"/>
              <w:jc w:val="center"/>
              <w:rPr>
                <w:rFonts w:cs="Calibri"/>
                <w:szCs w:val="18"/>
              </w:rPr>
            </w:pPr>
            <w:r w:rsidRPr="00BD16B4">
              <w:rPr>
                <w:rFonts w:cs="Calibri"/>
                <w:szCs w:val="18"/>
              </w:rPr>
              <w:t>1,933</w:t>
            </w:r>
          </w:p>
        </w:tc>
        <w:tc>
          <w:tcPr>
            <w:tcW w:w="892" w:type="dxa"/>
            <w:shd w:val="clear" w:color="auto" w:fill="D2DDE1" w:themeFill="background2"/>
            <w:noWrap/>
          </w:tcPr>
          <w:p w14:paraId="2E30C3AB" w14:textId="77777777" w:rsidR="00533D32" w:rsidRPr="00BD16B4" w:rsidRDefault="00533D32" w:rsidP="00C87B45">
            <w:pPr>
              <w:pStyle w:val="TableText"/>
              <w:spacing w:before="40" w:after="40"/>
              <w:jc w:val="center"/>
              <w:rPr>
                <w:rFonts w:cs="Calibri"/>
                <w:szCs w:val="18"/>
              </w:rPr>
            </w:pPr>
            <w:r w:rsidRPr="00BD16B4">
              <w:rPr>
                <w:rFonts w:cs="Calibri"/>
                <w:szCs w:val="18"/>
              </w:rPr>
              <w:t>1,933</w:t>
            </w:r>
          </w:p>
        </w:tc>
      </w:tr>
      <w:tr w:rsidR="00533D32" w:rsidRPr="00BD16B4" w14:paraId="35F72B51" w14:textId="77777777" w:rsidTr="00315977">
        <w:tc>
          <w:tcPr>
            <w:tcW w:w="1928" w:type="dxa"/>
            <w:vMerge/>
          </w:tcPr>
          <w:p w14:paraId="6BA48A1A" w14:textId="77777777" w:rsidR="00533D32" w:rsidRPr="00BD16B4" w:rsidRDefault="00533D32" w:rsidP="00C87B45">
            <w:pPr>
              <w:pStyle w:val="TableText"/>
              <w:spacing w:before="40" w:after="40"/>
              <w:rPr>
                <w:rFonts w:cs="Calibri"/>
                <w:szCs w:val="18"/>
              </w:rPr>
            </w:pPr>
          </w:p>
        </w:tc>
        <w:tc>
          <w:tcPr>
            <w:tcW w:w="1474" w:type="dxa"/>
            <w:vMerge/>
            <w:tcMar>
              <w:left w:w="57" w:type="dxa"/>
            </w:tcMar>
          </w:tcPr>
          <w:p w14:paraId="2252FE6F" w14:textId="77777777" w:rsidR="00533D32" w:rsidRPr="00BD16B4" w:rsidRDefault="00533D32" w:rsidP="00C87B45">
            <w:pPr>
              <w:pStyle w:val="TableText"/>
              <w:spacing w:before="40" w:after="40"/>
              <w:rPr>
                <w:rFonts w:cs="Calibri"/>
                <w:szCs w:val="18"/>
              </w:rPr>
            </w:pPr>
          </w:p>
        </w:tc>
        <w:tc>
          <w:tcPr>
            <w:tcW w:w="2405" w:type="dxa"/>
            <w:noWrap/>
          </w:tcPr>
          <w:p w14:paraId="64F7ACE2" w14:textId="77777777" w:rsidR="00533D32" w:rsidRPr="00BD16B4" w:rsidRDefault="00533D32" w:rsidP="00C87B45">
            <w:pPr>
              <w:pStyle w:val="TableText"/>
              <w:spacing w:before="40" w:after="40"/>
              <w:rPr>
                <w:rFonts w:cs="Calibri"/>
                <w:szCs w:val="18"/>
              </w:rPr>
            </w:pPr>
            <w:r w:rsidRPr="00BD16B4">
              <w:rPr>
                <w:rFonts w:cs="Calibri"/>
                <w:szCs w:val="18"/>
              </w:rPr>
              <w:t>Low</w:t>
            </w:r>
          </w:p>
        </w:tc>
        <w:tc>
          <w:tcPr>
            <w:tcW w:w="760" w:type="dxa"/>
            <w:noWrap/>
          </w:tcPr>
          <w:p w14:paraId="0CB03BA9" w14:textId="77777777" w:rsidR="00533D32" w:rsidRPr="00BD16B4" w:rsidRDefault="00533D32" w:rsidP="00C87B45">
            <w:pPr>
              <w:pStyle w:val="TableText"/>
              <w:spacing w:before="40" w:after="40"/>
              <w:jc w:val="center"/>
              <w:rPr>
                <w:rFonts w:cs="Calibri"/>
                <w:szCs w:val="18"/>
              </w:rPr>
            </w:pPr>
            <w:r w:rsidRPr="00BD16B4">
              <w:rPr>
                <w:rFonts w:cs="Calibri"/>
                <w:szCs w:val="18"/>
              </w:rPr>
              <w:t>1,844</w:t>
            </w:r>
          </w:p>
        </w:tc>
        <w:tc>
          <w:tcPr>
            <w:tcW w:w="892" w:type="dxa"/>
            <w:noWrap/>
          </w:tcPr>
          <w:p w14:paraId="5FED88E7" w14:textId="77777777" w:rsidR="00533D32" w:rsidRPr="00BD16B4" w:rsidRDefault="00533D32" w:rsidP="00C87B45">
            <w:pPr>
              <w:pStyle w:val="TableText"/>
              <w:spacing w:before="40" w:after="40"/>
              <w:jc w:val="center"/>
              <w:rPr>
                <w:rFonts w:cs="Calibri"/>
                <w:szCs w:val="18"/>
              </w:rPr>
            </w:pPr>
            <w:r w:rsidRPr="00BD16B4">
              <w:rPr>
                <w:rFonts w:cs="Calibri"/>
                <w:szCs w:val="18"/>
              </w:rPr>
              <w:t>1,844</w:t>
            </w:r>
          </w:p>
        </w:tc>
        <w:tc>
          <w:tcPr>
            <w:tcW w:w="892" w:type="dxa"/>
            <w:noWrap/>
          </w:tcPr>
          <w:p w14:paraId="36A9DCD6" w14:textId="77777777" w:rsidR="00533D32" w:rsidRPr="00BD16B4" w:rsidRDefault="00533D32" w:rsidP="00C87B45">
            <w:pPr>
              <w:pStyle w:val="TableText"/>
              <w:spacing w:before="40" w:after="40"/>
              <w:jc w:val="center"/>
              <w:rPr>
                <w:rFonts w:cs="Calibri"/>
                <w:szCs w:val="18"/>
              </w:rPr>
            </w:pPr>
            <w:r w:rsidRPr="00BD16B4">
              <w:rPr>
                <w:rFonts w:cs="Calibri"/>
                <w:szCs w:val="18"/>
              </w:rPr>
              <w:t>4,591</w:t>
            </w:r>
          </w:p>
        </w:tc>
        <w:tc>
          <w:tcPr>
            <w:tcW w:w="892" w:type="dxa"/>
            <w:noWrap/>
          </w:tcPr>
          <w:p w14:paraId="2D89CC32" w14:textId="77777777" w:rsidR="00533D32" w:rsidRPr="00BD16B4" w:rsidRDefault="00533D32" w:rsidP="00C87B45">
            <w:pPr>
              <w:pStyle w:val="TableText"/>
              <w:spacing w:before="40" w:after="40"/>
              <w:jc w:val="center"/>
              <w:rPr>
                <w:rFonts w:cs="Calibri"/>
                <w:szCs w:val="18"/>
              </w:rPr>
            </w:pPr>
            <w:r w:rsidRPr="00BD16B4">
              <w:rPr>
                <w:rFonts w:cs="Calibri"/>
                <w:szCs w:val="18"/>
              </w:rPr>
              <w:t>16,668</w:t>
            </w:r>
          </w:p>
        </w:tc>
        <w:tc>
          <w:tcPr>
            <w:tcW w:w="892" w:type="dxa"/>
            <w:noWrap/>
          </w:tcPr>
          <w:p w14:paraId="1A6B5476" w14:textId="77777777" w:rsidR="00533D32" w:rsidRPr="00BD16B4" w:rsidRDefault="00533D32" w:rsidP="00C87B45">
            <w:pPr>
              <w:pStyle w:val="TableText"/>
              <w:spacing w:before="40" w:after="40"/>
              <w:jc w:val="center"/>
              <w:rPr>
                <w:rFonts w:cs="Calibri"/>
                <w:szCs w:val="18"/>
              </w:rPr>
            </w:pPr>
            <w:r w:rsidRPr="00BD16B4">
              <w:rPr>
                <w:rFonts w:cs="Calibri"/>
                <w:szCs w:val="18"/>
              </w:rPr>
              <w:t>10,069</w:t>
            </w:r>
          </w:p>
        </w:tc>
        <w:tc>
          <w:tcPr>
            <w:tcW w:w="892" w:type="dxa"/>
            <w:noWrap/>
          </w:tcPr>
          <w:p w14:paraId="2293F27C" w14:textId="77777777" w:rsidR="00533D32" w:rsidRPr="00BD16B4" w:rsidRDefault="00533D32" w:rsidP="00C87B45">
            <w:pPr>
              <w:pStyle w:val="TableText"/>
              <w:spacing w:before="40" w:after="40"/>
              <w:jc w:val="center"/>
              <w:rPr>
                <w:rFonts w:cs="Calibri"/>
                <w:szCs w:val="18"/>
              </w:rPr>
            </w:pPr>
            <w:r w:rsidRPr="00BD16B4">
              <w:rPr>
                <w:rFonts w:cs="Calibri"/>
                <w:szCs w:val="18"/>
              </w:rPr>
              <w:t>8,523</w:t>
            </w:r>
          </w:p>
        </w:tc>
        <w:tc>
          <w:tcPr>
            <w:tcW w:w="892" w:type="dxa"/>
            <w:noWrap/>
          </w:tcPr>
          <w:p w14:paraId="20CA3AB1" w14:textId="77777777" w:rsidR="00533D32" w:rsidRPr="00BD16B4" w:rsidRDefault="00533D32" w:rsidP="00C87B45">
            <w:pPr>
              <w:pStyle w:val="TableText"/>
              <w:spacing w:before="40" w:after="40"/>
              <w:jc w:val="center"/>
              <w:rPr>
                <w:rFonts w:cs="Calibri"/>
                <w:szCs w:val="18"/>
              </w:rPr>
            </w:pPr>
            <w:r w:rsidRPr="00BD16B4">
              <w:rPr>
                <w:rFonts w:cs="Calibri"/>
                <w:szCs w:val="18"/>
              </w:rPr>
              <w:t>2,506</w:t>
            </w:r>
          </w:p>
        </w:tc>
        <w:tc>
          <w:tcPr>
            <w:tcW w:w="892" w:type="dxa"/>
            <w:shd w:val="clear" w:color="auto" w:fill="D2DDE1" w:themeFill="background2"/>
            <w:noWrap/>
          </w:tcPr>
          <w:p w14:paraId="093A6242" w14:textId="77777777" w:rsidR="00533D32" w:rsidRPr="00BD16B4" w:rsidRDefault="00533D32" w:rsidP="00C87B45">
            <w:pPr>
              <w:pStyle w:val="TableText"/>
              <w:spacing w:before="40" w:after="40"/>
              <w:jc w:val="center"/>
              <w:rPr>
                <w:rFonts w:cs="Calibri"/>
                <w:szCs w:val="18"/>
              </w:rPr>
            </w:pPr>
            <w:r w:rsidRPr="00BD16B4">
              <w:rPr>
                <w:rFonts w:cs="Calibri"/>
                <w:szCs w:val="18"/>
              </w:rPr>
              <w:t>1,067</w:t>
            </w:r>
          </w:p>
        </w:tc>
        <w:tc>
          <w:tcPr>
            <w:tcW w:w="892" w:type="dxa"/>
            <w:shd w:val="clear" w:color="auto" w:fill="D2DDE1" w:themeFill="background2"/>
            <w:noWrap/>
          </w:tcPr>
          <w:p w14:paraId="1FD83C2B" w14:textId="77777777" w:rsidR="00533D32" w:rsidRPr="00BD16B4" w:rsidRDefault="00533D32" w:rsidP="00C87B45">
            <w:pPr>
              <w:pStyle w:val="TableText"/>
              <w:spacing w:before="40" w:after="40"/>
              <w:jc w:val="center"/>
              <w:rPr>
                <w:rFonts w:cs="Calibri"/>
                <w:szCs w:val="18"/>
              </w:rPr>
            </w:pPr>
            <w:r w:rsidRPr="00BD16B4">
              <w:rPr>
                <w:rFonts w:cs="Calibri"/>
                <w:szCs w:val="18"/>
              </w:rPr>
              <w:t>1,067</w:t>
            </w:r>
          </w:p>
        </w:tc>
        <w:tc>
          <w:tcPr>
            <w:tcW w:w="892" w:type="dxa"/>
            <w:shd w:val="clear" w:color="auto" w:fill="D2DDE1" w:themeFill="background2"/>
            <w:noWrap/>
          </w:tcPr>
          <w:p w14:paraId="45890E52" w14:textId="77777777" w:rsidR="00533D32" w:rsidRPr="00BD16B4" w:rsidRDefault="00533D32" w:rsidP="00C87B45">
            <w:pPr>
              <w:pStyle w:val="TableText"/>
              <w:spacing w:before="40" w:after="40"/>
              <w:jc w:val="center"/>
              <w:rPr>
                <w:rFonts w:cs="Calibri"/>
                <w:szCs w:val="18"/>
              </w:rPr>
            </w:pPr>
            <w:r w:rsidRPr="00BD16B4">
              <w:rPr>
                <w:rFonts w:cs="Calibri"/>
                <w:szCs w:val="18"/>
              </w:rPr>
              <w:t>1,067</w:t>
            </w:r>
          </w:p>
        </w:tc>
      </w:tr>
      <w:tr w:rsidR="00533D32" w:rsidRPr="00BD16B4" w14:paraId="2B50741F" w14:textId="77777777" w:rsidTr="00315977">
        <w:tc>
          <w:tcPr>
            <w:tcW w:w="1928" w:type="dxa"/>
            <w:vMerge/>
          </w:tcPr>
          <w:p w14:paraId="66459FDC" w14:textId="77777777" w:rsidR="00533D32" w:rsidRPr="00BD16B4" w:rsidRDefault="00533D32" w:rsidP="00C87B45">
            <w:pPr>
              <w:pStyle w:val="TableText"/>
              <w:spacing w:before="40" w:after="40"/>
              <w:rPr>
                <w:rFonts w:cs="Calibri"/>
                <w:szCs w:val="18"/>
              </w:rPr>
            </w:pPr>
          </w:p>
        </w:tc>
        <w:tc>
          <w:tcPr>
            <w:tcW w:w="1474" w:type="dxa"/>
            <w:vMerge/>
            <w:tcMar>
              <w:left w:w="57" w:type="dxa"/>
            </w:tcMar>
          </w:tcPr>
          <w:p w14:paraId="1812A82C" w14:textId="77777777" w:rsidR="00533D32" w:rsidRPr="00BD16B4" w:rsidRDefault="00533D32" w:rsidP="00C87B45">
            <w:pPr>
              <w:pStyle w:val="TableText"/>
              <w:spacing w:before="40" w:after="40"/>
              <w:rPr>
                <w:rFonts w:cs="Calibri"/>
                <w:szCs w:val="18"/>
              </w:rPr>
            </w:pPr>
          </w:p>
        </w:tc>
        <w:tc>
          <w:tcPr>
            <w:tcW w:w="2405" w:type="dxa"/>
            <w:noWrap/>
          </w:tcPr>
          <w:p w14:paraId="1ECA4D05" w14:textId="77777777" w:rsidR="00533D32" w:rsidRPr="00BD16B4" w:rsidRDefault="00533D32" w:rsidP="00C87B45">
            <w:pPr>
              <w:pStyle w:val="TableText"/>
              <w:spacing w:before="40" w:after="40"/>
              <w:rPr>
                <w:rFonts w:cs="Calibri"/>
                <w:szCs w:val="18"/>
              </w:rPr>
            </w:pPr>
            <w:r w:rsidRPr="00BD16B4">
              <w:rPr>
                <w:rFonts w:cs="Calibri"/>
                <w:szCs w:val="18"/>
              </w:rPr>
              <w:t>High</w:t>
            </w:r>
          </w:p>
        </w:tc>
        <w:tc>
          <w:tcPr>
            <w:tcW w:w="760" w:type="dxa"/>
            <w:noWrap/>
          </w:tcPr>
          <w:p w14:paraId="51F972A9" w14:textId="77777777" w:rsidR="00533D32" w:rsidRPr="00BD16B4" w:rsidRDefault="00533D32" w:rsidP="00C87B45">
            <w:pPr>
              <w:pStyle w:val="TableText"/>
              <w:spacing w:before="40" w:after="40"/>
              <w:jc w:val="center"/>
              <w:rPr>
                <w:rFonts w:cs="Calibri"/>
                <w:szCs w:val="18"/>
              </w:rPr>
            </w:pPr>
            <w:r w:rsidRPr="00BD16B4">
              <w:rPr>
                <w:rFonts w:cs="Calibri"/>
                <w:szCs w:val="18"/>
              </w:rPr>
              <w:t>1,844</w:t>
            </w:r>
          </w:p>
        </w:tc>
        <w:tc>
          <w:tcPr>
            <w:tcW w:w="892" w:type="dxa"/>
            <w:noWrap/>
          </w:tcPr>
          <w:p w14:paraId="69B09FEC" w14:textId="77777777" w:rsidR="00533D32" w:rsidRPr="00BD16B4" w:rsidRDefault="00533D32" w:rsidP="00C87B45">
            <w:pPr>
              <w:pStyle w:val="TableText"/>
              <w:spacing w:before="40" w:after="40"/>
              <w:jc w:val="center"/>
              <w:rPr>
                <w:rFonts w:cs="Calibri"/>
                <w:szCs w:val="18"/>
              </w:rPr>
            </w:pPr>
            <w:r w:rsidRPr="00BD16B4">
              <w:rPr>
                <w:rFonts w:cs="Calibri"/>
                <w:szCs w:val="18"/>
              </w:rPr>
              <w:t>1,844</w:t>
            </w:r>
          </w:p>
        </w:tc>
        <w:tc>
          <w:tcPr>
            <w:tcW w:w="892" w:type="dxa"/>
            <w:noWrap/>
          </w:tcPr>
          <w:p w14:paraId="37F41B78" w14:textId="77777777" w:rsidR="00533D32" w:rsidRPr="00BD16B4" w:rsidRDefault="00533D32" w:rsidP="00C87B45">
            <w:pPr>
              <w:pStyle w:val="TableText"/>
              <w:spacing w:before="40" w:after="40"/>
              <w:jc w:val="center"/>
              <w:rPr>
                <w:rFonts w:cs="Calibri"/>
                <w:szCs w:val="18"/>
              </w:rPr>
            </w:pPr>
            <w:r w:rsidRPr="00BD16B4">
              <w:rPr>
                <w:rFonts w:cs="Calibri"/>
                <w:szCs w:val="18"/>
              </w:rPr>
              <w:t>4,591</w:t>
            </w:r>
          </w:p>
        </w:tc>
        <w:tc>
          <w:tcPr>
            <w:tcW w:w="892" w:type="dxa"/>
            <w:noWrap/>
          </w:tcPr>
          <w:p w14:paraId="2ACE924D" w14:textId="77777777" w:rsidR="00533D32" w:rsidRPr="00BD16B4" w:rsidRDefault="00533D32" w:rsidP="00C87B45">
            <w:pPr>
              <w:pStyle w:val="TableText"/>
              <w:spacing w:before="40" w:after="40"/>
              <w:jc w:val="center"/>
              <w:rPr>
                <w:rFonts w:cs="Calibri"/>
                <w:szCs w:val="18"/>
              </w:rPr>
            </w:pPr>
            <w:r w:rsidRPr="00BD16B4">
              <w:rPr>
                <w:rFonts w:cs="Calibri"/>
                <w:szCs w:val="18"/>
              </w:rPr>
              <w:t>16,668</w:t>
            </w:r>
          </w:p>
        </w:tc>
        <w:tc>
          <w:tcPr>
            <w:tcW w:w="892" w:type="dxa"/>
            <w:noWrap/>
          </w:tcPr>
          <w:p w14:paraId="51CF674B" w14:textId="77777777" w:rsidR="00533D32" w:rsidRPr="00BD16B4" w:rsidRDefault="00533D32" w:rsidP="00C87B45">
            <w:pPr>
              <w:pStyle w:val="TableText"/>
              <w:spacing w:before="40" w:after="40"/>
              <w:jc w:val="center"/>
              <w:rPr>
                <w:rFonts w:cs="Calibri"/>
                <w:szCs w:val="18"/>
              </w:rPr>
            </w:pPr>
            <w:r w:rsidRPr="00BD16B4">
              <w:rPr>
                <w:rFonts w:cs="Calibri"/>
                <w:szCs w:val="18"/>
              </w:rPr>
              <w:t>10,069</w:t>
            </w:r>
          </w:p>
        </w:tc>
        <w:tc>
          <w:tcPr>
            <w:tcW w:w="892" w:type="dxa"/>
            <w:noWrap/>
          </w:tcPr>
          <w:p w14:paraId="1CBA817D" w14:textId="77777777" w:rsidR="00533D32" w:rsidRPr="00BD16B4" w:rsidRDefault="00533D32" w:rsidP="00C87B45">
            <w:pPr>
              <w:pStyle w:val="TableText"/>
              <w:spacing w:before="40" w:after="40"/>
              <w:jc w:val="center"/>
              <w:rPr>
                <w:rFonts w:cs="Calibri"/>
                <w:szCs w:val="18"/>
              </w:rPr>
            </w:pPr>
            <w:r w:rsidRPr="00BD16B4">
              <w:rPr>
                <w:rFonts w:cs="Calibri"/>
                <w:szCs w:val="18"/>
              </w:rPr>
              <w:t>8,523</w:t>
            </w:r>
          </w:p>
        </w:tc>
        <w:tc>
          <w:tcPr>
            <w:tcW w:w="892" w:type="dxa"/>
            <w:noWrap/>
          </w:tcPr>
          <w:p w14:paraId="3A0658B3" w14:textId="77777777" w:rsidR="00533D32" w:rsidRPr="00BD16B4" w:rsidRDefault="00533D32" w:rsidP="00C87B45">
            <w:pPr>
              <w:pStyle w:val="TableText"/>
              <w:spacing w:before="40" w:after="40"/>
              <w:jc w:val="center"/>
              <w:rPr>
                <w:rFonts w:cs="Calibri"/>
                <w:szCs w:val="18"/>
              </w:rPr>
            </w:pPr>
            <w:r w:rsidRPr="00BD16B4">
              <w:rPr>
                <w:rFonts w:cs="Calibri"/>
                <w:szCs w:val="18"/>
              </w:rPr>
              <w:t>2,506</w:t>
            </w:r>
          </w:p>
        </w:tc>
        <w:tc>
          <w:tcPr>
            <w:tcW w:w="892" w:type="dxa"/>
            <w:shd w:val="clear" w:color="auto" w:fill="D2DDE1" w:themeFill="background2"/>
            <w:noWrap/>
          </w:tcPr>
          <w:p w14:paraId="20859F06" w14:textId="77777777" w:rsidR="00533D32" w:rsidRPr="00BD16B4" w:rsidRDefault="00533D32" w:rsidP="00C87B45">
            <w:pPr>
              <w:pStyle w:val="TableText"/>
              <w:spacing w:before="40" w:after="40"/>
              <w:jc w:val="center"/>
              <w:rPr>
                <w:rFonts w:cs="Calibri"/>
                <w:szCs w:val="18"/>
              </w:rPr>
            </w:pPr>
            <w:r w:rsidRPr="00BD16B4">
              <w:rPr>
                <w:rFonts w:cs="Calibri"/>
                <w:szCs w:val="18"/>
              </w:rPr>
              <w:t>3,244</w:t>
            </w:r>
          </w:p>
        </w:tc>
        <w:tc>
          <w:tcPr>
            <w:tcW w:w="892" w:type="dxa"/>
            <w:shd w:val="clear" w:color="auto" w:fill="D2DDE1" w:themeFill="background2"/>
            <w:noWrap/>
          </w:tcPr>
          <w:p w14:paraId="41327468" w14:textId="77777777" w:rsidR="00533D32" w:rsidRPr="00BD16B4" w:rsidRDefault="00533D32" w:rsidP="00C87B45">
            <w:pPr>
              <w:pStyle w:val="TableText"/>
              <w:spacing w:before="40" w:after="40"/>
              <w:jc w:val="center"/>
              <w:rPr>
                <w:rFonts w:cs="Calibri"/>
                <w:szCs w:val="18"/>
              </w:rPr>
            </w:pPr>
            <w:r w:rsidRPr="00BD16B4">
              <w:rPr>
                <w:rFonts w:cs="Calibri"/>
                <w:szCs w:val="18"/>
              </w:rPr>
              <w:t>3,244</w:t>
            </w:r>
          </w:p>
        </w:tc>
        <w:tc>
          <w:tcPr>
            <w:tcW w:w="892" w:type="dxa"/>
            <w:shd w:val="clear" w:color="auto" w:fill="D2DDE1" w:themeFill="background2"/>
            <w:noWrap/>
          </w:tcPr>
          <w:p w14:paraId="47A8A1B5" w14:textId="77777777" w:rsidR="00533D32" w:rsidRPr="00BD16B4" w:rsidRDefault="00533D32" w:rsidP="00C87B45">
            <w:pPr>
              <w:pStyle w:val="TableText"/>
              <w:spacing w:before="40" w:after="40"/>
              <w:jc w:val="center"/>
              <w:rPr>
                <w:rFonts w:cs="Calibri"/>
                <w:szCs w:val="18"/>
              </w:rPr>
            </w:pPr>
            <w:r w:rsidRPr="00BD16B4">
              <w:rPr>
                <w:rFonts w:cs="Calibri"/>
                <w:szCs w:val="18"/>
              </w:rPr>
              <w:t>3,244</w:t>
            </w:r>
          </w:p>
        </w:tc>
      </w:tr>
      <w:tr w:rsidR="00533D32" w:rsidRPr="00BD16B4" w14:paraId="685D3ECE" w14:textId="77777777" w:rsidTr="00315977">
        <w:tc>
          <w:tcPr>
            <w:tcW w:w="1928" w:type="dxa"/>
          </w:tcPr>
          <w:p w14:paraId="48839B28" w14:textId="77777777" w:rsidR="00533D32" w:rsidRPr="00BD16B4" w:rsidRDefault="00533D32" w:rsidP="00C87B45">
            <w:pPr>
              <w:pStyle w:val="TableText"/>
              <w:spacing w:before="40" w:after="40"/>
              <w:rPr>
                <w:rFonts w:cs="Calibri"/>
                <w:szCs w:val="18"/>
              </w:rPr>
            </w:pPr>
            <w:r w:rsidRPr="00BD16B4">
              <w:rPr>
                <w:rFonts w:cs="Calibri"/>
                <w:szCs w:val="18"/>
              </w:rPr>
              <w:lastRenderedPageBreak/>
              <w:t>Managed waste tonnage</w:t>
            </w:r>
          </w:p>
        </w:tc>
        <w:tc>
          <w:tcPr>
            <w:tcW w:w="1474" w:type="dxa"/>
            <w:tcMar>
              <w:left w:w="57" w:type="dxa"/>
            </w:tcMar>
          </w:tcPr>
          <w:p w14:paraId="7BE43BD3" w14:textId="77777777" w:rsidR="00533D32" w:rsidRPr="00BD16B4" w:rsidRDefault="00533D32" w:rsidP="00C87B45">
            <w:pPr>
              <w:pStyle w:val="TableText"/>
              <w:spacing w:before="40" w:after="40"/>
              <w:rPr>
                <w:rFonts w:cs="Calibri"/>
                <w:szCs w:val="18"/>
              </w:rPr>
            </w:pPr>
            <w:r w:rsidRPr="00BD16B4">
              <w:rPr>
                <w:rFonts w:cs="Calibri"/>
                <w:szCs w:val="18"/>
              </w:rPr>
              <w:t>kilotonnes</w:t>
            </w:r>
          </w:p>
        </w:tc>
        <w:tc>
          <w:tcPr>
            <w:tcW w:w="2405" w:type="dxa"/>
            <w:noWrap/>
          </w:tcPr>
          <w:p w14:paraId="7DD7F5E0" w14:textId="77777777" w:rsidR="00533D32" w:rsidRPr="00BD16B4" w:rsidRDefault="00533D32" w:rsidP="00C87B45">
            <w:pPr>
              <w:pStyle w:val="TableText"/>
              <w:spacing w:before="40" w:after="40"/>
              <w:rPr>
                <w:rFonts w:cs="Calibri"/>
                <w:szCs w:val="18"/>
              </w:rPr>
            </w:pPr>
            <w:r w:rsidRPr="00BD16B4">
              <w:rPr>
                <w:rFonts w:cs="Calibri"/>
                <w:szCs w:val="18"/>
              </w:rPr>
              <w:t>WEM</w:t>
            </w:r>
          </w:p>
        </w:tc>
        <w:tc>
          <w:tcPr>
            <w:tcW w:w="760" w:type="dxa"/>
            <w:noWrap/>
          </w:tcPr>
          <w:p w14:paraId="610085B0" w14:textId="77777777" w:rsidR="00533D32" w:rsidRPr="00BD16B4" w:rsidRDefault="00533D32" w:rsidP="00C87B45">
            <w:pPr>
              <w:pStyle w:val="TableText"/>
              <w:spacing w:before="40" w:after="40"/>
              <w:jc w:val="center"/>
              <w:rPr>
                <w:rFonts w:cs="Calibri"/>
                <w:szCs w:val="18"/>
              </w:rPr>
            </w:pPr>
            <w:r w:rsidRPr="00BD16B4">
              <w:rPr>
                <w:rFonts w:cs="Calibri"/>
                <w:szCs w:val="18"/>
              </w:rPr>
              <w:t>2,607</w:t>
            </w:r>
          </w:p>
        </w:tc>
        <w:tc>
          <w:tcPr>
            <w:tcW w:w="892" w:type="dxa"/>
            <w:noWrap/>
          </w:tcPr>
          <w:p w14:paraId="6C159FC1" w14:textId="77777777" w:rsidR="00533D32" w:rsidRPr="00BD16B4" w:rsidRDefault="00533D32" w:rsidP="00C87B45">
            <w:pPr>
              <w:pStyle w:val="TableText"/>
              <w:spacing w:before="40" w:after="40"/>
              <w:jc w:val="center"/>
              <w:rPr>
                <w:rFonts w:cs="Calibri"/>
                <w:szCs w:val="18"/>
              </w:rPr>
            </w:pPr>
            <w:r w:rsidRPr="00BD16B4">
              <w:rPr>
                <w:rFonts w:cs="Calibri"/>
                <w:szCs w:val="18"/>
              </w:rPr>
              <w:t>3,033</w:t>
            </w:r>
          </w:p>
        </w:tc>
        <w:tc>
          <w:tcPr>
            <w:tcW w:w="892" w:type="dxa"/>
            <w:noWrap/>
          </w:tcPr>
          <w:p w14:paraId="149EA1C2" w14:textId="77777777" w:rsidR="00533D32" w:rsidRPr="00BD16B4" w:rsidRDefault="00533D32" w:rsidP="00C87B45">
            <w:pPr>
              <w:pStyle w:val="TableText"/>
              <w:spacing w:before="40" w:after="40"/>
              <w:jc w:val="center"/>
              <w:rPr>
                <w:rFonts w:cs="Calibri"/>
                <w:szCs w:val="18"/>
              </w:rPr>
            </w:pPr>
            <w:r w:rsidRPr="00BD16B4">
              <w:rPr>
                <w:rFonts w:cs="Calibri"/>
                <w:szCs w:val="18"/>
              </w:rPr>
              <w:t>2,806</w:t>
            </w:r>
          </w:p>
        </w:tc>
        <w:tc>
          <w:tcPr>
            <w:tcW w:w="892" w:type="dxa"/>
            <w:noWrap/>
          </w:tcPr>
          <w:p w14:paraId="24B03FA8" w14:textId="77777777" w:rsidR="00533D32" w:rsidRPr="00BD16B4" w:rsidRDefault="00533D32" w:rsidP="00C87B45">
            <w:pPr>
              <w:pStyle w:val="TableText"/>
              <w:spacing w:before="40" w:after="40"/>
              <w:jc w:val="center"/>
              <w:rPr>
                <w:rFonts w:cs="Calibri"/>
                <w:szCs w:val="18"/>
              </w:rPr>
            </w:pPr>
            <w:r w:rsidRPr="00BD16B4">
              <w:rPr>
                <w:rFonts w:cs="Calibri"/>
                <w:szCs w:val="18"/>
              </w:rPr>
              <w:t>3,081</w:t>
            </w:r>
          </w:p>
        </w:tc>
        <w:tc>
          <w:tcPr>
            <w:tcW w:w="892" w:type="dxa"/>
            <w:noWrap/>
          </w:tcPr>
          <w:p w14:paraId="1886E201" w14:textId="77777777" w:rsidR="00533D32" w:rsidRPr="00BD16B4" w:rsidRDefault="00533D32" w:rsidP="00C87B45">
            <w:pPr>
              <w:pStyle w:val="TableText"/>
              <w:spacing w:before="40" w:after="40"/>
              <w:jc w:val="center"/>
              <w:rPr>
                <w:rFonts w:cs="Calibri"/>
                <w:szCs w:val="18"/>
              </w:rPr>
            </w:pPr>
            <w:r w:rsidRPr="00BD16B4">
              <w:rPr>
                <w:rFonts w:cs="Calibri"/>
                <w:szCs w:val="18"/>
              </w:rPr>
              <w:t>2,511</w:t>
            </w:r>
          </w:p>
        </w:tc>
        <w:tc>
          <w:tcPr>
            <w:tcW w:w="892" w:type="dxa"/>
            <w:noWrap/>
          </w:tcPr>
          <w:p w14:paraId="09990F44" w14:textId="77777777" w:rsidR="00533D32" w:rsidRPr="00BD16B4" w:rsidRDefault="00533D32" w:rsidP="00C87B45">
            <w:pPr>
              <w:pStyle w:val="TableText"/>
              <w:spacing w:before="40" w:after="40"/>
              <w:jc w:val="center"/>
              <w:rPr>
                <w:rFonts w:cs="Calibri"/>
                <w:szCs w:val="18"/>
              </w:rPr>
            </w:pPr>
            <w:r w:rsidRPr="00BD16B4">
              <w:rPr>
                <w:rFonts w:cs="Calibri"/>
                <w:szCs w:val="18"/>
              </w:rPr>
              <w:t>3,208</w:t>
            </w:r>
          </w:p>
        </w:tc>
        <w:tc>
          <w:tcPr>
            <w:tcW w:w="892" w:type="dxa"/>
            <w:noWrap/>
          </w:tcPr>
          <w:p w14:paraId="4FEB6172" w14:textId="77777777" w:rsidR="00533D32" w:rsidRPr="00BD16B4" w:rsidRDefault="00533D32" w:rsidP="00C87B45">
            <w:pPr>
              <w:pStyle w:val="TableText"/>
              <w:spacing w:before="40" w:after="40"/>
              <w:jc w:val="center"/>
              <w:rPr>
                <w:rFonts w:cs="Calibri"/>
                <w:szCs w:val="18"/>
              </w:rPr>
            </w:pPr>
            <w:r w:rsidRPr="00BD16B4">
              <w:rPr>
                <w:rFonts w:cs="Calibri"/>
                <w:szCs w:val="18"/>
              </w:rPr>
              <w:t>3,495</w:t>
            </w:r>
          </w:p>
        </w:tc>
        <w:tc>
          <w:tcPr>
            <w:tcW w:w="892" w:type="dxa"/>
            <w:shd w:val="clear" w:color="auto" w:fill="D2DDE1" w:themeFill="background2"/>
            <w:noWrap/>
          </w:tcPr>
          <w:p w14:paraId="14061FAB" w14:textId="77777777" w:rsidR="00533D32" w:rsidRPr="00BD16B4" w:rsidRDefault="00533D32" w:rsidP="00C87B45">
            <w:pPr>
              <w:pStyle w:val="TableText"/>
              <w:spacing w:before="40" w:after="40"/>
              <w:jc w:val="center"/>
              <w:rPr>
                <w:rFonts w:cs="Calibri"/>
                <w:szCs w:val="18"/>
              </w:rPr>
            </w:pPr>
            <w:r w:rsidRPr="00BD16B4">
              <w:rPr>
                <w:rFonts w:cs="Calibri"/>
                <w:szCs w:val="18"/>
              </w:rPr>
              <w:t>3,533</w:t>
            </w:r>
          </w:p>
        </w:tc>
        <w:tc>
          <w:tcPr>
            <w:tcW w:w="892" w:type="dxa"/>
            <w:shd w:val="clear" w:color="auto" w:fill="D2DDE1" w:themeFill="background2"/>
            <w:noWrap/>
          </w:tcPr>
          <w:p w14:paraId="49F9A103" w14:textId="77777777" w:rsidR="00533D32" w:rsidRPr="00BD16B4" w:rsidRDefault="00533D32" w:rsidP="00C87B45">
            <w:pPr>
              <w:pStyle w:val="TableText"/>
              <w:spacing w:before="40" w:after="40"/>
              <w:jc w:val="center"/>
              <w:rPr>
                <w:rFonts w:cs="Calibri"/>
                <w:szCs w:val="18"/>
              </w:rPr>
            </w:pPr>
            <w:r w:rsidRPr="00BD16B4">
              <w:rPr>
                <w:rFonts w:cs="Calibri"/>
                <w:szCs w:val="18"/>
              </w:rPr>
              <w:t>3,645</w:t>
            </w:r>
          </w:p>
        </w:tc>
        <w:tc>
          <w:tcPr>
            <w:tcW w:w="892" w:type="dxa"/>
            <w:shd w:val="clear" w:color="auto" w:fill="D2DDE1" w:themeFill="background2"/>
            <w:noWrap/>
          </w:tcPr>
          <w:p w14:paraId="08A2CB48" w14:textId="77777777" w:rsidR="00533D32" w:rsidRPr="00BD16B4" w:rsidRDefault="00533D32" w:rsidP="00C87B45">
            <w:pPr>
              <w:pStyle w:val="TableText"/>
              <w:spacing w:before="40" w:after="40"/>
              <w:jc w:val="center"/>
              <w:rPr>
                <w:rFonts w:cs="Calibri"/>
                <w:szCs w:val="18"/>
              </w:rPr>
            </w:pPr>
            <w:r w:rsidRPr="00BD16B4">
              <w:rPr>
                <w:rFonts w:cs="Calibri"/>
                <w:szCs w:val="18"/>
              </w:rPr>
              <w:t>3,777</w:t>
            </w:r>
          </w:p>
        </w:tc>
      </w:tr>
      <w:tr w:rsidR="00533D32" w:rsidRPr="00BD16B4" w14:paraId="5884A195" w14:textId="77777777" w:rsidTr="00315977">
        <w:tc>
          <w:tcPr>
            <w:tcW w:w="1928" w:type="dxa"/>
          </w:tcPr>
          <w:p w14:paraId="5C3F40C6" w14:textId="77777777" w:rsidR="00533D32" w:rsidRPr="00BD16B4" w:rsidRDefault="00533D32" w:rsidP="00C87B45">
            <w:pPr>
              <w:pStyle w:val="TableText"/>
              <w:spacing w:before="40" w:after="40"/>
              <w:rPr>
                <w:rFonts w:cs="Calibri"/>
                <w:szCs w:val="18"/>
              </w:rPr>
            </w:pPr>
            <w:r w:rsidRPr="00BD16B4">
              <w:rPr>
                <w:rFonts w:cs="Calibri"/>
                <w:szCs w:val="18"/>
              </w:rPr>
              <w:t>managed LFG sites only waste</w:t>
            </w:r>
          </w:p>
        </w:tc>
        <w:tc>
          <w:tcPr>
            <w:tcW w:w="1474" w:type="dxa"/>
            <w:tcMar>
              <w:left w:w="57" w:type="dxa"/>
            </w:tcMar>
          </w:tcPr>
          <w:p w14:paraId="01A4C0E7" w14:textId="77777777" w:rsidR="00533D32" w:rsidRPr="00BD16B4" w:rsidRDefault="00533D32" w:rsidP="00C87B45">
            <w:pPr>
              <w:pStyle w:val="TableText"/>
              <w:spacing w:before="40" w:after="40"/>
              <w:rPr>
                <w:rFonts w:cs="Calibri"/>
                <w:szCs w:val="18"/>
              </w:rPr>
            </w:pPr>
            <w:r w:rsidRPr="00BD16B4">
              <w:rPr>
                <w:rFonts w:cs="Calibri"/>
                <w:szCs w:val="18"/>
              </w:rPr>
              <w:t>kilotonnes</w:t>
            </w:r>
          </w:p>
        </w:tc>
        <w:tc>
          <w:tcPr>
            <w:tcW w:w="2405" w:type="dxa"/>
            <w:noWrap/>
          </w:tcPr>
          <w:p w14:paraId="288910A5" w14:textId="77777777" w:rsidR="00533D32" w:rsidRPr="00BD16B4" w:rsidRDefault="00533D32" w:rsidP="00C87B45">
            <w:pPr>
              <w:pStyle w:val="TableText"/>
              <w:spacing w:before="40" w:after="40"/>
              <w:rPr>
                <w:rFonts w:cs="Calibri"/>
                <w:szCs w:val="18"/>
              </w:rPr>
            </w:pPr>
            <w:r w:rsidRPr="00BD16B4">
              <w:rPr>
                <w:rFonts w:cs="Calibri"/>
                <w:szCs w:val="18"/>
              </w:rPr>
              <w:t>WEM</w:t>
            </w:r>
          </w:p>
        </w:tc>
        <w:tc>
          <w:tcPr>
            <w:tcW w:w="760" w:type="dxa"/>
            <w:noWrap/>
          </w:tcPr>
          <w:p w14:paraId="2D5062A9" w14:textId="77777777" w:rsidR="00533D32" w:rsidRPr="00BD16B4" w:rsidRDefault="00533D32" w:rsidP="00C87B45">
            <w:pPr>
              <w:pStyle w:val="TableText"/>
              <w:spacing w:before="40" w:after="40"/>
              <w:jc w:val="center"/>
              <w:rPr>
                <w:rFonts w:cs="Calibri"/>
                <w:szCs w:val="18"/>
              </w:rPr>
            </w:pPr>
            <w:r w:rsidRPr="00BD16B4">
              <w:rPr>
                <w:rFonts w:cs="Calibri"/>
                <w:szCs w:val="18"/>
              </w:rPr>
              <w:t>1,433</w:t>
            </w:r>
          </w:p>
        </w:tc>
        <w:tc>
          <w:tcPr>
            <w:tcW w:w="892" w:type="dxa"/>
            <w:noWrap/>
          </w:tcPr>
          <w:p w14:paraId="7FE5AEC4" w14:textId="77777777" w:rsidR="00533D32" w:rsidRPr="00BD16B4" w:rsidRDefault="00533D32" w:rsidP="00C87B45">
            <w:pPr>
              <w:pStyle w:val="TableText"/>
              <w:spacing w:before="40" w:after="40"/>
              <w:jc w:val="center"/>
              <w:rPr>
                <w:rFonts w:cs="Calibri"/>
                <w:szCs w:val="18"/>
              </w:rPr>
            </w:pPr>
            <w:r w:rsidRPr="00BD16B4">
              <w:rPr>
                <w:rFonts w:cs="Calibri"/>
                <w:szCs w:val="18"/>
              </w:rPr>
              <w:t>1,688</w:t>
            </w:r>
          </w:p>
        </w:tc>
        <w:tc>
          <w:tcPr>
            <w:tcW w:w="892" w:type="dxa"/>
            <w:noWrap/>
          </w:tcPr>
          <w:p w14:paraId="296E94B2" w14:textId="77777777" w:rsidR="00533D32" w:rsidRPr="00BD16B4" w:rsidRDefault="00533D32" w:rsidP="00C87B45">
            <w:pPr>
              <w:pStyle w:val="TableText"/>
              <w:spacing w:before="40" w:after="40"/>
              <w:jc w:val="center"/>
              <w:rPr>
                <w:rFonts w:cs="Calibri"/>
                <w:szCs w:val="18"/>
              </w:rPr>
            </w:pPr>
            <w:r w:rsidRPr="00BD16B4">
              <w:rPr>
                <w:rFonts w:cs="Calibri"/>
                <w:szCs w:val="18"/>
              </w:rPr>
              <w:t>1,575</w:t>
            </w:r>
          </w:p>
        </w:tc>
        <w:tc>
          <w:tcPr>
            <w:tcW w:w="892" w:type="dxa"/>
            <w:noWrap/>
          </w:tcPr>
          <w:p w14:paraId="124B39B9" w14:textId="77777777" w:rsidR="00533D32" w:rsidRPr="00BD16B4" w:rsidRDefault="00533D32" w:rsidP="00C87B45">
            <w:pPr>
              <w:pStyle w:val="TableText"/>
              <w:spacing w:before="40" w:after="40"/>
              <w:jc w:val="center"/>
              <w:rPr>
                <w:rFonts w:cs="Calibri"/>
                <w:szCs w:val="18"/>
              </w:rPr>
            </w:pPr>
            <w:r w:rsidRPr="00BD16B4">
              <w:rPr>
                <w:rFonts w:cs="Calibri"/>
                <w:szCs w:val="18"/>
              </w:rPr>
              <w:t>1,881</w:t>
            </w:r>
          </w:p>
        </w:tc>
        <w:tc>
          <w:tcPr>
            <w:tcW w:w="892" w:type="dxa"/>
            <w:noWrap/>
          </w:tcPr>
          <w:p w14:paraId="6AF22580" w14:textId="77777777" w:rsidR="00533D32" w:rsidRPr="00BD16B4" w:rsidRDefault="00533D32" w:rsidP="00C87B45">
            <w:pPr>
              <w:pStyle w:val="TableText"/>
              <w:spacing w:before="40" w:after="40"/>
              <w:jc w:val="center"/>
              <w:rPr>
                <w:rFonts w:cs="Calibri"/>
                <w:szCs w:val="18"/>
              </w:rPr>
            </w:pPr>
            <w:r w:rsidRPr="00BD16B4">
              <w:rPr>
                <w:rFonts w:cs="Calibri"/>
                <w:szCs w:val="18"/>
              </w:rPr>
              <w:t>2,308</w:t>
            </w:r>
          </w:p>
        </w:tc>
        <w:tc>
          <w:tcPr>
            <w:tcW w:w="892" w:type="dxa"/>
            <w:noWrap/>
          </w:tcPr>
          <w:p w14:paraId="6695A1A6" w14:textId="77777777" w:rsidR="00533D32" w:rsidRPr="00BD16B4" w:rsidRDefault="00533D32" w:rsidP="00C87B45">
            <w:pPr>
              <w:pStyle w:val="TableText"/>
              <w:spacing w:before="40" w:after="40"/>
              <w:jc w:val="center"/>
              <w:rPr>
                <w:rFonts w:cs="Calibri"/>
                <w:szCs w:val="18"/>
              </w:rPr>
            </w:pPr>
            <w:r w:rsidRPr="00BD16B4">
              <w:rPr>
                <w:rFonts w:cs="Calibri"/>
                <w:szCs w:val="18"/>
              </w:rPr>
              <w:t>3,017</w:t>
            </w:r>
          </w:p>
        </w:tc>
        <w:tc>
          <w:tcPr>
            <w:tcW w:w="892" w:type="dxa"/>
            <w:noWrap/>
          </w:tcPr>
          <w:p w14:paraId="15674AC7" w14:textId="77777777" w:rsidR="00533D32" w:rsidRPr="00BD16B4" w:rsidRDefault="00533D32" w:rsidP="00C87B45">
            <w:pPr>
              <w:pStyle w:val="TableText"/>
              <w:spacing w:before="40" w:after="40"/>
              <w:jc w:val="center"/>
              <w:rPr>
                <w:rFonts w:cs="Calibri"/>
                <w:szCs w:val="18"/>
              </w:rPr>
            </w:pPr>
            <w:r w:rsidRPr="00BD16B4">
              <w:rPr>
                <w:rFonts w:cs="Calibri"/>
                <w:szCs w:val="18"/>
              </w:rPr>
              <w:t>3,248</w:t>
            </w:r>
          </w:p>
        </w:tc>
        <w:tc>
          <w:tcPr>
            <w:tcW w:w="892" w:type="dxa"/>
            <w:shd w:val="clear" w:color="auto" w:fill="D2DDE1" w:themeFill="background2"/>
            <w:noWrap/>
          </w:tcPr>
          <w:p w14:paraId="36AC763B" w14:textId="77777777" w:rsidR="00533D32" w:rsidRPr="00BD16B4" w:rsidRDefault="00533D32" w:rsidP="00C87B45">
            <w:pPr>
              <w:pStyle w:val="TableText"/>
              <w:spacing w:before="40" w:after="40"/>
              <w:jc w:val="center"/>
              <w:rPr>
                <w:rFonts w:cs="Calibri"/>
                <w:szCs w:val="18"/>
              </w:rPr>
            </w:pPr>
            <w:r w:rsidRPr="00BD16B4">
              <w:rPr>
                <w:rFonts w:cs="Calibri"/>
                <w:szCs w:val="18"/>
              </w:rPr>
              <w:t>3,192</w:t>
            </w:r>
          </w:p>
        </w:tc>
        <w:tc>
          <w:tcPr>
            <w:tcW w:w="892" w:type="dxa"/>
            <w:shd w:val="clear" w:color="auto" w:fill="D2DDE1" w:themeFill="background2"/>
            <w:noWrap/>
          </w:tcPr>
          <w:p w14:paraId="11408948" w14:textId="77777777" w:rsidR="00533D32" w:rsidRPr="00BD16B4" w:rsidRDefault="00533D32" w:rsidP="00C87B45">
            <w:pPr>
              <w:pStyle w:val="TableText"/>
              <w:spacing w:before="40" w:after="40"/>
              <w:jc w:val="center"/>
              <w:rPr>
                <w:rFonts w:cs="Calibri"/>
                <w:szCs w:val="18"/>
              </w:rPr>
            </w:pPr>
            <w:r w:rsidRPr="00BD16B4">
              <w:rPr>
                <w:rFonts w:cs="Calibri"/>
                <w:szCs w:val="18"/>
              </w:rPr>
              <w:t>3,342</w:t>
            </w:r>
          </w:p>
        </w:tc>
        <w:tc>
          <w:tcPr>
            <w:tcW w:w="892" w:type="dxa"/>
            <w:shd w:val="clear" w:color="auto" w:fill="D2DDE1" w:themeFill="background2"/>
            <w:noWrap/>
          </w:tcPr>
          <w:p w14:paraId="73DF4C72" w14:textId="77777777" w:rsidR="00533D32" w:rsidRPr="00BD16B4" w:rsidRDefault="00533D32" w:rsidP="00C87B45">
            <w:pPr>
              <w:pStyle w:val="TableText"/>
              <w:spacing w:before="40" w:after="40"/>
              <w:jc w:val="center"/>
              <w:rPr>
                <w:rFonts w:cs="Calibri"/>
                <w:szCs w:val="18"/>
              </w:rPr>
            </w:pPr>
            <w:r w:rsidRPr="00BD16B4">
              <w:rPr>
                <w:rFonts w:cs="Calibri"/>
                <w:szCs w:val="18"/>
              </w:rPr>
              <w:t>3,449</w:t>
            </w:r>
          </w:p>
        </w:tc>
      </w:tr>
      <w:tr w:rsidR="00533D32" w:rsidRPr="00BD16B4" w14:paraId="5BEC32B7" w14:textId="77777777" w:rsidTr="00315977">
        <w:tc>
          <w:tcPr>
            <w:tcW w:w="1928" w:type="dxa"/>
          </w:tcPr>
          <w:p w14:paraId="7337A7D1" w14:textId="77777777" w:rsidR="00533D32" w:rsidRPr="00BD16B4" w:rsidRDefault="00533D32" w:rsidP="00C87B45">
            <w:pPr>
              <w:pStyle w:val="TableText"/>
              <w:spacing w:before="40" w:after="40"/>
              <w:rPr>
                <w:rFonts w:cs="Calibri"/>
                <w:szCs w:val="18"/>
              </w:rPr>
            </w:pPr>
            <w:r w:rsidRPr="00BD16B4">
              <w:rPr>
                <w:rFonts w:cs="Calibri"/>
                <w:szCs w:val="18"/>
              </w:rPr>
              <w:t>managed non-LFG sites only waste</w:t>
            </w:r>
          </w:p>
        </w:tc>
        <w:tc>
          <w:tcPr>
            <w:tcW w:w="1474" w:type="dxa"/>
            <w:tcMar>
              <w:left w:w="57" w:type="dxa"/>
            </w:tcMar>
          </w:tcPr>
          <w:p w14:paraId="392E0333" w14:textId="77777777" w:rsidR="00533D32" w:rsidRPr="00BD16B4" w:rsidRDefault="00533D32" w:rsidP="00C87B45">
            <w:pPr>
              <w:pStyle w:val="TableText"/>
              <w:spacing w:before="40" w:after="40"/>
              <w:rPr>
                <w:rFonts w:cs="Calibri"/>
                <w:szCs w:val="18"/>
              </w:rPr>
            </w:pPr>
            <w:r w:rsidRPr="00BD16B4">
              <w:rPr>
                <w:rFonts w:cs="Calibri"/>
                <w:szCs w:val="18"/>
              </w:rPr>
              <w:t>kilotonnes</w:t>
            </w:r>
          </w:p>
        </w:tc>
        <w:tc>
          <w:tcPr>
            <w:tcW w:w="2405" w:type="dxa"/>
            <w:noWrap/>
          </w:tcPr>
          <w:p w14:paraId="353D8230" w14:textId="77777777" w:rsidR="00533D32" w:rsidRPr="00BD16B4" w:rsidRDefault="00533D32" w:rsidP="00C87B45">
            <w:pPr>
              <w:pStyle w:val="TableText"/>
              <w:spacing w:before="40" w:after="40"/>
              <w:rPr>
                <w:rFonts w:cs="Calibri"/>
                <w:szCs w:val="18"/>
              </w:rPr>
            </w:pPr>
            <w:r w:rsidRPr="00BD16B4">
              <w:rPr>
                <w:rFonts w:cs="Calibri"/>
                <w:szCs w:val="18"/>
              </w:rPr>
              <w:t>WEM</w:t>
            </w:r>
          </w:p>
        </w:tc>
        <w:tc>
          <w:tcPr>
            <w:tcW w:w="760" w:type="dxa"/>
            <w:noWrap/>
          </w:tcPr>
          <w:p w14:paraId="13B829EE" w14:textId="77777777" w:rsidR="00533D32" w:rsidRPr="00BD16B4" w:rsidRDefault="00533D32" w:rsidP="00C87B45">
            <w:pPr>
              <w:pStyle w:val="TableText"/>
              <w:spacing w:before="40" w:after="40"/>
              <w:jc w:val="center"/>
              <w:rPr>
                <w:rFonts w:cs="Calibri"/>
                <w:szCs w:val="18"/>
              </w:rPr>
            </w:pPr>
            <w:r w:rsidRPr="00BD16B4">
              <w:rPr>
                <w:rFonts w:cs="Calibri"/>
                <w:szCs w:val="18"/>
              </w:rPr>
              <w:t>1,175</w:t>
            </w:r>
          </w:p>
        </w:tc>
        <w:tc>
          <w:tcPr>
            <w:tcW w:w="892" w:type="dxa"/>
            <w:noWrap/>
          </w:tcPr>
          <w:p w14:paraId="1B2D55AC" w14:textId="77777777" w:rsidR="00533D32" w:rsidRPr="00BD16B4" w:rsidRDefault="00533D32" w:rsidP="00C87B45">
            <w:pPr>
              <w:pStyle w:val="TableText"/>
              <w:spacing w:before="40" w:after="40"/>
              <w:jc w:val="center"/>
              <w:rPr>
                <w:rFonts w:cs="Calibri"/>
                <w:szCs w:val="18"/>
              </w:rPr>
            </w:pPr>
            <w:r w:rsidRPr="00BD16B4">
              <w:rPr>
                <w:rFonts w:cs="Calibri"/>
                <w:szCs w:val="18"/>
              </w:rPr>
              <w:t>1,345</w:t>
            </w:r>
          </w:p>
        </w:tc>
        <w:tc>
          <w:tcPr>
            <w:tcW w:w="892" w:type="dxa"/>
            <w:noWrap/>
          </w:tcPr>
          <w:p w14:paraId="353C6287" w14:textId="77777777" w:rsidR="00533D32" w:rsidRPr="00BD16B4" w:rsidRDefault="00533D32" w:rsidP="00C87B45">
            <w:pPr>
              <w:pStyle w:val="TableText"/>
              <w:spacing w:before="40" w:after="40"/>
              <w:jc w:val="center"/>
              <w:rPr>
                <w:rFonts w:cs="Calibri"/>
                <w:szCs w:val="18"/>
              </w:rPr>
            </w:pPr>
            <w:r w:rsidRPr="00BD16B4">
              <w:rPr>
                <w:rFonts w:cs="Calibri"/>
                <w:szCs w:val="18"/>
              </w:rPr>
              <w:t>1,231</w:t>
            </w:r>
          </w:p>
        </w:tc>
        <w:tc>
          <w:tcPr>
            <w:tcW w:w="892" w:type="dxa"/>
            <w:noWrap/>
          </w:tcPr>
          <w:p w14:paraId="689CB3FA" w14:textId="77777777" w:rsidR="00533D32" w:rsidRPr="00BD16B4" w:rsidRDefault="00533D32" w:rsidP="00C87B45">
            <w:pPr>
              <w:pStyle w:val="TableText"/>
              <w:spacing w:before="40" w:after="40"/>
              <w:jc w:val="center"/>
              <w:rPr>
                <w:rFonts w:cs="Calibri"/>
                <w:szCs w:val="18"/>
              </w:rPr>
            </w:pPr>
            <w:r w:rsidRPr="00BD16B4">
              <w:rPr>
                <w:rFonts w:cs="Calibri"/>
                <w:szCs w:val="18"/>
              </w:rPr>
              <w:t>1,200</w:t>
            </w:r>
          </w:p>
        </w:tc>
        <w:tc>
          <w:tcPr>
            <w:tcW w:w="892" w:type="dxa"/>
            <w:noWrap/>
          </w:tcPr>
          <w:p w14:paraId="5EB15CFA" w14:textId="77777777" w:rsidR="00533D32" w:rsidRPr="00BD16B4" w:rsidRDefault="00533D32" w:rsidP="00C87B45">
            <w:pPr>
              <w:pStyle w:val="TableText"/>
              <w:spacing w:before="40" w:after="40"/>
              <w:jc w:val="center"/>
              <w:rPr>
                <w:rFonts w:cs="Calibri"/>
                <w:szCs w:val="18"/>
              </w:rPr>
            </w:pPr>
            <w:r w:rsidRPr="00BD16B4">
              <w:rPr>
                <w:rFonts w:cs="Calibri"/>
                <w:szCs w:val="18"/>
              </w:rPr>
              <w:t>225</w:t>
            </w:r>
          </w:p>
        </w:tc>
        <w:tc>
          <w:tcPr>
            <w:tcW w:w="892" w:type="dxa"/>
            <w:noWrap/>
          </w:tcPr>
          <w:p w14:paraId="5548D6E2" w14:textId="77777777" w:rsidR="00533D32" w:rsidRPr="00BD16B4" w:rsidRDefault="00533D32" w:rsidP="00C87B45">
            <w:pPr>
              <w:pStyle w:val="TableText"/>
              <w:spacing w:before="40" w:after="40"/>
              <w:jc w:val="center"/>
              <w:rPr>
                <w:rFonts w:cs="Calibri"/>
                <w:szCs w:val="18"/>
              </w:rPr>
            </w:pPr>
            <w:r w:rsidRPr="00BD16B4">
              <w:rPr>
                <w:rFonts w:cs="Calibri"/>
                <w:szCs w:val="18"/>
              </w:rPr>
              <w:t>205</w:t>
            </w:r>
          </w:p>
        </w:tc>
        <w:tc>
          <w:tcPr>
            <w:tcW w:w="892" w:type="dxa"/>
            <w:noWrap/>
          </w:tcPr>
          <w:p w14:paraId="666883CD" w14:textId="77777777" w:rsidR="00533D32" w:rsidRPr="00BD16B4" w:rsidRDefault="00533D32" w:rsidP="00C87B45">
            <w:pPr>
              <w:pStyle w:val="TableText"/>
              <w:spacing w:before="40" w:after="40"/>
              <w:jc w:val="center"/>
              <w:rPr>
                <w:rFonts w:cs="Calibri"/>
                <w:szCs w:val="18"/>
              </w:rPr>
            </w:pPr>
            <w:r w:rsidRPr="00BD16B4">
              <w:rPr>
                <w:rFonts w:cs="Calibri"/>
                <w:szCs w:val="18"/>
              </w:rPr>
              <w:t>135</w:t>
            </w:r>
          </w:p>
        </w:tc>
        <w:tc>
          <w:tcPr>
            <w:tcW w:w="892" w:type="dxa"/>
            <w:shd w:val="clear" w:color="auto" w:fill="D2DDE1" w:themeFill="background2"/>
            <w:noWrap/>
          </w:tcPr>
          <w:p w14:paraId="5295384C" w14:textId="77777777" w:rsidR="00533D32" w:rsidRPr="00BD16B4" w:rsidRDefault="00533D32" w:rsidP="00C87B45">
            <w:pPr>
              <w:pStyle w:val="TableText"/>
              <w:spacing w:before="40" w:after="40"/>
              <w:jc w:val="center"/>
              <w:rPr>
                <w:rFonts w:cs="Calibri"/>
                <w:szCs w:val="18"/>
              </w:rPr>
            </w:pPr>
            <w:r w:rsidRPr="00BD16B4">
              <w:rPr>
                <w:rFonts w:cs="Calibri"/>
                <w:szCs w:val="18"/>
              </w:rPr>
              <w:t>142</w:t>
            </w:r>
          </w:p>
        </w:tc>
        <w:tc>
          <w:tcPr>
            <w:tcW w:w="892" w:type="dxa"/>
            <w:shd w:val="clear" w:color="auto" w:fill="D2DDE1" w:themeFill="background2"/>
            <w:noWrap/>
          </w:tcPr>
          <w:p w14:paraId="419D99DF" w14:textId="77777777" w:rsidR="00533D32" w:rsidRPr="00BD16B4" w:rsidRDefault="00533D32" w:rsidP="00C87B45">
            <w:pPr>
              <w:pStyle w:val="TableText"/>
              <w:spacing w:before="40" w:after="40"/>
              <w:jc w:val="center"/>
              <w:rPr>
                <w:rFonts w:cs="Calibri"/>
                <w:szCs w:val="18"/>
              </w:rPr>
            </w:pPr>
            <w:r w:rsidRPr="00BD16B4">
              <w:rPr>
                <w:rFonts w:cs="Calibri"/>
                <w:szCs w:val="18"/>
              </w:rPr>
              <w:t>94</w:t>
            </w:r>
          </w:p>
        </w:tc>
        <w:tc>
          <w:tcPr>
            <w:tcW w:w="892" w:type="dxa"/>
            <w:shd w:val="clear" w:color="auto" w:fill="D2DDE1" w:themeFill="background2"/>
            <w:noWrap/>
          </w:tcPr>
          <w:p w14:paraId="5624C6D1" w14:textId="77777777" w:rsidR="00533D32" w:rsidRPr="00BD16B4" w:rsidRDefault="00533D32" w:rsidP="00C87B45">
            <w:pPr>
              <w:pStyle w:val="TableText"/>
              <w:spacing w:before="40" w:after="40"/>
              <w:jc w:val="center"/>
              <w:rPr>
                <w:rFonts w:cs="Calibri"/>
                <w:szCs w:val="18"/>
              </w:rPr>
            </w:pPr>
            <w:r w:rsidRPr="00BD16B4">
              <w:rPr>
                <w:rFonts w:cs="Calibri"/>
                <w:szCs w:val="18"/>
              </w:rPr>
              <w:t>67</w:t>
            </w:r>
          </w:p>
        </w:tc>
      </w:tr>
      <w:tr w:rsidR="00533D32" w:rsidRPr="00BD16B4" w14:paraId="362299D3" w14:textId="77777777" w:rsidTr="00315977">
        <w:tc>
          <w:tcPr>
            <w:tcW w:w="1928" w:type="dxa"/>
          </w:tcPr>
          <w:p w14:paraId="0F627AD0" w14:textId="77777777" w:rsidR="00533D32" w:rsidRPr="00BD16B4" w:rsidRDefault="00533D32" w:rsidP="00C87B45">
            <w:pPr>
              <w:pStyle w:val="TableText"/>
              <w:spacing w:before="40" w:after="40"/>
              <w:rPr>
                <w:rFonts w:cs="Calibri"/>
                <w:szCs w:val="18"/>
              </w:rPr>
            </w:pPr>
            <w:r w:rsidRPr="00BD16B4">
              <w:rPr>
                <w:rFonts w:cs="Calibri"/>
                <w:szCs w:val="18"/>
              </w:rPr>
              <w:t>non-MSW landfills waste</w:t>
            </w:r>
          </w:p>
        </w:tc>
        <w:tc>
          <w:tcPr>
            <w:tcW w:w="1474" w:type="dxa"/>
            <w:tcMar>
              <w:left w:w="57" w:type="dxa"/>
            </w:tcMar>
          </w:tcPr>
          <w:p w14:paraId="500E395B" w14:textId="77777777" w:rsidR="00533D32" w:rsidRPr="00BD16B4" w:rsidRDefault="00533D32" w:rsidP="00C87B45">
            <w:pPr>
              <w:pStyle w:val="TableText"/>
              <w:spacing w:before="40" w:after="40"/>
              <w:rPr>
                <w:rFonts w:cs="Calibri"/>
                <w:szCs w:val="18"/>
              </w:rPr>
            </w:pPr>
            <w:r w:rsidRPr="00BD16B4">
              <w:rPr>
                <w:rFonts w:cs="Calibri"/>
                <w:szCs w:val="18"/>
              </w:rPr>
              <w:t>kilotonnes</w:t>
            </w:r>
          </w:p>
        </w:tc>
        <w:tc>
          <w:tcPr>
            <w:tcW w:w="2405" w:type="dxa"/>
            <w:noWrap/>
          </w:tcPr>
          <w:p w14:paraId="4CBB2FF3" w14:textId="77777777" w:rsidR="00533D32" w:rsidRPr="00BD16B4" w:rsidRDefault="00533D32" w:rsidP="00C87B45">
            <w:pPr>
              <w:pStyle w:val="TableText"/>
              <w:spacing w:before="40" w:after="40"/>
              <w:rPr>
                <w:rFonts w:cs="Calibri"/>
                <w:szCs w:val="18"/>
              </w:rPr>
            </w:pPr>
            <w:r w:rsidRPr="00BD16B4">
              <w:rPr>
                <w:rFonts w:cs="Calibri"/>
                <w:szCs w:val="18"/>
              </w:rPr>
              <w:t>WEM</w:t>
            </w:r>
          </w:p>
        </w:tc>
        <w:tc>
          <w:tcPr>
            <w:tcW w:w="760" w:type="dxa"/>
            <w:noWrap/>
          </w:tcPr>
          <w:p w14:paraId="442B5997" w14:textId="77777777" w:rsidR="00533D32" w:rsidRPr="00BD16B4" w:rsidRDefault="00533D32" w:rsidP="00C87B45">
            <w:pPr>
              <w:pStyle w:val="TableText"/>
              <w:spacing w:before="40" w:after="40"/>
              <w:jc w:val="center"/>
              <w:rPr>
                <w:rFonts w:cs="Calibri"/>
                <w:szCs w:val="18"/>
              </w:rPr>
            </w:pPr>
            <w:r w:rsidRPr="00BD16B4">
              <w:rPr>
                <w:rFonts w:cs="Calibri"/>
                <w:szCs w:val="18"/>
              </w:rPr>
              <w:t>2,604</w:t>
            </w:r>
          </w:p>
        </w:tc>
        <w:tc>
          <w:tcPr>
            <w:tcW w:w="892" w:type="dxa"/>
            <w:noWrap/>
          </w:tcPr>
          <w:p w14:paraId="4E18C74D" w14:textId="77777777" w:rsidR="00533D32" w:rsidRPr="00BD16B4" w:rsidRDefault="00533D32" w:rsidP="00C87B45">
            <w:pPr>
              <w:pStyle w:val="TableText"/>
              <w:spacing w:before="40" w:after="40"/>
              <w:jc w:val="center"/>
              <w:rPr>
                <w:rFonts w:cs="Calibri"/>
                <w:szCs w:val="18"/>
              </w:rPr>
            </w:pPr>
            <w:r w:rsidRPr="00BD16B4">
              <w:rPr>
                <w:rFonts w:cs="Calibri"/>
                <w:szCs w:val="18"/>
              </w:rPr>
              <w:t>2,917</w:t>
            </w:r>
          </w:p>
        </w:tc>
        <w:tc>
          <w:tcPr>
            <w:tcW w:w="892" w:type="dxa"/>
            <w:noWrap/>
          </w:tcPr>
          <w:p w14:paraId="27A2BFD2" w14:textId="77777777" w:rsidR="00533D32" w:rsidRPr="00BD16B4" w:rsidRDefault="00533D32" w:rsidP="00C87B45">
            <w:pPr>
              <w:pStyle w:val="TableText"/>
              <w:spacing w:before="40" w:after="40"/>
              <w:jc w:val="center"/>
              <w:rPr>
                <w:rFonts w:cs="Calibri"/>
                <w:szCs w:val="18"/>
              </w:rPr>
            </w:pPr>
            <w:r w:rsidRPr="00BD16B4">
              <w:rPr>
                <w:rFonts w:cs="Calibri"/>
                <w:szCs w:val="18"/>
              </w:rPr>
              <w:t>3,433</w:t>
            </w:r>
          </w:p>
        </w:tc>
        <w:tc>
          <w:tcPr>
            <w:tcW w:w="892" w:type="dxa"/>
            <w:noWrap/>
          </w:tcPr>
          <w:p w14:paraId="29A5B5E1" w14:textId="77777777" w:rsidR="00533D32" w:rsidRPr="00BD16B4" w:rsidRDefault="00533D32" w:rsidP="00C87B45">
            <w:pPr>
              <w:pStyle w:val="TableText"/>
              <w:spacing w:before="40" w:after="40"/>
              <w:jc w:val="center"/>
              <w:rPr>
                <w:rFonts w:cs="Calibri"/>
                <w:szCs w:val="18"/>
              </w:rPr>
            </w:pPr>
            <w:r w:rsidRPr="00BD16B4">
              <w:rPr>
                <w:rFonts w:cs="Calibri"/>
                <w:szCs w:val="18"/>
              </w:rPr>
              <w:t>4,161</w:t>
            </w:r>
          </w:p>
        </w:tc>
        <w:tc>
          <w:tcPr>
            <w:tcW w:w="892" w:type="dxa"/>
            <w:noWrap/>
          </w:tcPr>
          <w:p w14:paraId="553F435E" w14:textId="77777777" w:rsidR="00533D32" w:rsidRPr="00BD16B4" w:rsidRDefault="00533D32" w:rsidP="00C87B45">
            <w:pPr>
              <w:pStyle w:val="TableText"/>
              <w:spacing w:before="40" w:after="40"/>
              <w:jc w:val="center"/>
              <w:rPr>
                <w:rFonts w:cs="Calibri"/>
                <w:szCs w:val="18"/>
              </w:rPr>
            </w:pPr>
            <w:r w:rsidRPr="00BD16B4">
              <w:rPr>
                <w:rFonts w:cs="Calibri"/>
                <w:szCs w:val="18"/>
              </w:rPr>
              <w:t>4,500</w:t>
            </w:r>
          </w:p>
        </w:tc>
        <w:tc>
          <w:tcPr>
            <w:tcW w:w="892" w:type="dxa"/>
            <w:noWrap/>
          </w:tcPr>
          <w:p w14:paraId="770843B0" w14:textId="77777777" w:rsidR="00533D32" w:rsidRPr="00BD16B4" w:rsidRDefault="00533D32" w:rsidP="00C87B45">
            <w:pPr>
              <w:pStyle w:val="TableText"/>
              <w:spacing w:before="40" w:after="40"/>
              <w:jc w:val="center"/>
              <w:rPr>
                <w:rFonts w:cs="Calibri"/>
                <w:szCs w:val="18"/>
              </w:rPr>
            </w:pPr>
            <w:r w:rsidRPr="00BD16B4">
              <w:rPr>
                <w:rFonts w:cs="Calibri"/>
                <w:szCs w:val="18"/>
              </w:rPr>
              <w:t>5,093</w:t>
            </w:r>
          </w:p>
        </w:tc>
        <w:tc>
          <w:tcPr>
            <w:tcW w:w="892" w:type="dxa"/>
            <w:noWrap/>
          </w:tcPr>
          <w:p w14:paraId="1319AF47" w14:textId="77777777" w:rsidR="00533D32" w:rsidRPr="00BD16B4" w:rsidRDefault="00533D32" w:rsidP="00C87B45">
            <w:pPr>
              <w:pStyle w:val="TableText"/>
              <w:spacing w:before="40" w:after="40"/>
              <w:jc w:val="center"/>
              <w:rPr>
                <w:rFonts w:cs="Calibri"/>
                <w:szCs w:val="18"/>
              </w:rPr>
            </w:pPr>
            <w:r w:rsidRPr="00BD16B4">
              <w:rPr>
                <w:rFonts w:cs="Calibri"/>
                <w:szCs w:val="18"/>
              </w:rPr>
              <w:t>5,093</w:t>
            </w:r>
          </w:p>
        </w:tc>
        <w:tc>
          <w:tcPr>
            <w:tcW w:w="892" w:type="dxa"/>
            <w:shd w:val="clear" w:color="auto" w:fill="D2DDE1" w:themeFill="background2"/>
            <w:noWrap/>
          </w:tcPr>
          <w:p w14:paraId="5B65DF7A" w14:textId="77777777" w:rsidR="00533D32" w:rsidRPr="00BD16B4" w:rsidRDefault="00533D32" w:rsidP="00C87B45">
            <w:pPr>
              <w:pStyle w:val="TableText"/>
              <w:spacing w:before="40" w:after="40"/>
              <w:jc w:val="center"/>
              <w:rPr>
                <w:rFonts w:cs="Calibri"/>
                <w:szCs w:val="18"/>
              </w:rPr>
            </w:pPr>
            <w:r w:rsidRPr="00BD16B4">
              <w:rPr>
                <w:rFonts w:cs="Calibri"/>
                <w:szCs w:val="18"/>
              </w:rPr>
              <w:t>5,093</w:t>
            </w:r>
          </w:p>
        </w:tc>
        <w:tc>
          <w:tcPr>
            <w:tcW w:w="892" w:type="dxa"/>
            <w:shd w:val="clear" w:color="auto" w:fill="D2DDE1" w:themeFill="background2"/>
            <w:noWrap/>
          </w:tcPr>
          <w:p w14:paraId="6E3B3D5C" w14:textId="77777777" w:rsidR="00533D32" w:rsidRPr="00BD16B4" w:rsidRDefault="00533D32" w:rsidP="00C87B45">
            <w:pPr>
              <w:pStyle w:val="TableText"/>
              <w:spacing w:before="40" w:after="40"/>
              <w:jc w:val="center"/>
              <w:rPr>
                <w:rFonts w:cs="Calibri"/>
                <w:szCs w:val="18"/>
              </w:rPr>
            </w:pPr>
            <w:r w:rsidRPr="00BD16B4">
              <w:rPr>
                <w:rFonts w:cs="Calibri"/>
                <w:szCs w:val="18"/>
              </w:rPr>
              <w:t>5,093</w:t>
            </w:r>
          </w:p>
        </w:tc>
        <w:tc>
          <w:tcPr>
            <w:tcW w:w="892" w:type="dxa"/>
            <w:shd w:val="clear" w:color="auto" w:fill="D2DDE1" w:themeFill="background2"/>
            <w:noWrap/>
          </w:tcPr>
          <w:p w14:paraId="71ADDDCB" w14:textId="77777777" w:rsidR="00533D32" w:rsidRPr="00BD16B4" w:rsidRDefault="00533D32" w:rsidP="00C87B45">
            <w:pPr>
              <w:pStyle w:val="TableText"/>
              <w:spacing w:before="40" w:after="40"/>
              <w:jc w:val="center"/>
              <w:rPr>
                <w:rFonts w:cs="Calibri"/>
                <w:szCs w:val="18"/>
              </w:rPr>
            </w:pPr>
            <w:r w:rsidRPr="00BD16B4">
              <w:rPr>
                <w:rFonts w:cs="Calibri"/>
                <w:szCs w:val="18"/>
              </w:rPr>
              <w:t>5,093</w:t>
            </w:r>
          </w:p>
        </w:tc>
      </w:tr>
      <w:tr w:rsidR="00533D32" w:rsidRPr="00BD16B4" w14:paraId="15BE2413" w14:textId="77777777" w:rsidTr="00315977">
        <w:tc>
          <w:tcPr>
            <w:tcW w:w="1928" w:type="dxa"/>
          </w:tcPr>
          <w:p w14:paraId="68740ED7" w14:textId="77777777" w:rsidR="00533D32" w:rsidRPr="00BD16B4" w:rsidRDefault="00533D32" w:rsidP="00C87B45">
            <w:pPr>
              <w:pStyle w:val="TableText"/>
              <w:spacing w:before="40" w:after="40"/>
              <w:rPr>
                <w:rFonts w:cs="Calibri"/>
                <w:szCs w:val="18"/>
              </w:rPr>
            </w:pPr>
            <w:r w:rsidRPr="00BD16B4">
              <w:rPr>
                <w:rFonts w:cs="Calibri"/>
                <w:szCs w:val="18"/>
              </w:rPr>
              <w:t>farm waste (buried)</w:t>
            </w:r>
          </w:p>
        </w:tc>
        <w:tc>
          <w:tcPr>
            <w:tcW w:w="1474" w:type="dxa"/>
            <w:tcMar>
              <w:left w:w="57" w:type="dxa"/>
            </w:tcMar>
          </w:tcPr>
          <w:p w14:paraId="476A2A1E" w14:textId="77777777" w:rsidR="00533D32" w:rsidRPr="00BD16B4" w:rsidRDefault="00533D32" w:rsidP="00C87B45">
            <w:pPr>
              <w:pStyle w:val="TableText"/>
              <w:spacing w:before="40" w:after="40"/>
              <w:rPr>
                <w:rFonts w:cs="Calibri"/>
                <w:szCs w:val="18"/>
              </w:rPr>
            </w:pPr>
            <w:r w:rsidRPr="00BD16B4">
              <w:rPr>
                <w:rFonts w:cs="Calibri"/>
                <w:szCs w:val="18"/>
              </w:rPr>
              <w:t>kilotonnes</w:t>
            </w:r>
          </w:p>
        </w:tc>
        <w:tc>
          <w:tcPr>
            <w:tcW w:w="2405" w:type="dxa"/>
            <w:noWrap/>
          </w:tcPr>
          <w:p w14:paraId="4EDE9CD6" w14:textId="77777777" w:rsidR="00533D32" w:rsidRPr="00BD16B4" w:rsidRDefault="00533D32" w:rsidP="00C87B45">
            <w:pPr>
              <w:pStyle w:val="TableText"/>
              <w:spacing w:before="40" w:after="40"/>
              <w:rPr>
                <w:rFonts w:cs="Calibri"/>
                <w:szCs w:val="18"/>
              </w:rPr>
            </w:pPr>
            <w:r w:rsidRPr="00BD16B4">
              <w:rPr>
                <w:rFonts w:cs="Calibri"/>
                <w:szCs w:val="18"/>
              </w:rPr>
              <w:t>WEM</w:t>
            </w:r>
          </w:p>
        </w:tc>
        <w:tc>
          <w:tcPr>
            <w:tcW w:w="760" w:type="dxa"/>
            <w:noWrap/>
          </w:tcPr>
          <w:p w14:paraId="4D3392B6" w14:textId="77777777" w:rsidR="00533D32" w:rsidRPr="00BD16B4" w:rsidRDefault="00533D32" w:rsidP="00C87B45">
            <w:pPr>
              <w:pStyle w:val="TableText"/>
              <w:spacing w:before="40" w:after="40"/>
              <w:jc w:val="center"/>
              <w:rPr>
                <w:rFonts w:cs="Calibri"/>
                <w:szCs w:val="18"/>
              </w:rPr>
            </w:pPr>
            <w:r w:rsidRPr="00BD16B4">
              <w:rPr>
                <w:rFonts w:cs="Calibri"/>
                <w:szCs w:val="18"/>
              </w:rPr>
              <w:t>784</w:t>
            </w:r>
          </w:p>
        </w:tc>
        <w:tc>
          <w:tcPr>
            <w:tcW w:w="892" w:type="dxa"/>
            <w:noWrap/>
          </w:tcPr>
          <w:p w14:paraId="4E902935" w14:textId="77777777" w:rsidR="00533D32" w:rsidRPr="00BD16B4" w:rsidRDefault="00533D32" w:rsidP="00C87B45">
            <w:pPr>
              <w:pStyle w:val="TableText"/>
              <w:spacing w:before="40" w:after="40"/>
              <w:jc w:val="center"/>
              <w:rPr>
                <w:rFonts w:cs="Calibri"/>
                <w:szCs w:val="18"/>
              </w:rPr>
            </w:pPr>
            <w:r w:rsidRPr="00BD16B4">
              <w:rPr>
                <w:rFonts w:cs="Calibri"/>
                <w:szCs w:val="18"/>
              </w:rPr>
              <w:t>663</w:t>
            </w:r>
          </w:p>
        </w:tc>
        <w:tc>
          <w:tcPr>
            <w:tcW w:w="892" w:type="dxa"/>
            <w:noWrap/>
          </w:tcPr>
          <w:p w14:paraId="0B89AEF9" w14:textId="77777777" w:rsidR="00533D32" w:rsidRPr="00BD16B4" w:rsidRDefault="00533D32" w:rsidP="00C87B45">
            <w:pPr>
              <w:pStyle w:val="TableText"/>
              <w:spacing w:before="40" w:after="40"/>
              <w:jc w:val="center"/>
              <w:rPr>
                <w:rFonts w:cs="Calibri"/>
                <w:szCs w:val="18"/>
              </w:rPr>
            </w:pPr>
            <w:r w:rsidRPr="00BD16B4">
              <w:rPr>
                <w:rFonts w:cs="Calibri"/>
                <w:szCs w:val="18"/>
              </w:rPr>
              <w:t>746</w:t>
            </w:r>
          </w:p>
        </w:tc>
        <w:tc>
          <w:tcPr>
            <w:tcW w:w="892" w:type="dxa"/>
            <w:noWrap/>
          </w:tcPr>
          <w:p w14:paraId="3C0A3C55" w14:textId="77777777" w:rsidR="00533D32" w:rsidRPr="00BD16B4" w:rsidRDefault="00533D32" w:rsidP="00C87B45">
            <w:pPr>
              <w:pStyle w:val="TableText"/>
              <w:spacing w:before="40" w:after="40"/>
              <w:jc w:val="center"/>
              <w:rPr>
                <w:rFonts w:cs="Calibri"/>
                <w:szCs w:val="18"/>
              </w:rPr>
            </w:pPr>
            <w:r w:rsidRPr="00BD16B4">
              <w:rPr>
                <w:rFonts w:cs="Calibri"/>
                <w:szCs w:val="18"/>
              </w:rPr>
              <w:t>621</w:t>
            </w:r>
          </w:p>
        </w:tc>
        <w:tc>
          <w:tcPr>
            <w:tcW w:w="892" w:type="dxa"/>
            <w:noWrap/>
          </w:tcPr>
          <w:p w14:paraId="6FB9535B" w14:textId="77777777" w:rsidR="00533D32" w:rsidRPr="00BD16B4" w:rsidRDefault="00533D32" w:rsidP="00C87B45">
            <w:pPr>
              <w:pStyle w:val="TableText"/>
              <w:spacing w:before="40" w:after="40"/>
              <w:jc w:val="center"/>
              <w:rPr>
                <w:rFonts w:cs="Calibri"/>
                <w:szCs w:val="18"/>
              </w:rPr>
            </w:pPr>
            <w:r w:rsidRPr="00BD16B4">
              <w:rPr>
                <w:rFonts w:cs="Calibri"/>
                <w:szCs w:val="18"/>
              </w:rPr>
              <w:t>578</w:t>
            </w:r>
          </w:p>
        </w:tc>
        <w:tc>
          <w:tcPr>
            <w:tcW w:w="892" w:type="dxa"/>
            <w:noWrap/>
          </w:tcPr>
          <w:p w14:paraId="33BFB907" w14:textId="77777777" w:rsidR="00533D32" w:rsidRPr="00BD16B4" w:rsidRDefault="00533D32" w:rsidP="00C87B45">
            <w:pPr>
              <w:pStyle w:val="TableText"/>
              <w:spacing w:before="40" w:after="40"/>
              <w:jc w:val="center"/>
              <w:rPr>
                <w:rFonts w:cs="Calibri"/>
                <w:szCs w:val="18"/>
              </w:rPr>
            </w:pPr>
            <w:r w:rsidRPr="00BD16B4">
              <w:rPr>
                <w:rFonts w:cs="Calibri"/>
                <w:szCs w:val="18"/>
              </w:rPr>
              <w:t>533</w:t>
            </w:r>
          </w:p>
        </w:tc>
        <w:tc>
          <w:tcPr>
            <w:tcW w:w="892" w:type="dxa"/>
            <w:noWrap/>
          </w:tcPr>
          <w:p w14:paraId="5D2A1BD5" w14:textId="77777777" w:rsidR="00533D32" w:rsidRPr="00BD16B4" w:rsidRDefault="00533D32" w:rsidP="00C87B45">
            <w:pPr>
              <w:pStyle w:val="TableText"/>
              <w:spacing w:before="40" w:after="40"/>
              <w:jc w:val="center"/>
              <w:rPr>
                <w:rFonts w:cs="Calibri"/>
                <w:szCs w:val="18"/>
              </w:rPr>
            </w:pPr>
            <w:r w:rsidRPr="00BD16B4">
              <w:rPr>
                <w:rFonts w:cs="Calibri"/>
                <w:szCs w:val="18"/>
              </w:rPr>
              <w:t>476</w:t>
            </w:r>
          </w:p>
        </w:tc>
        <w:tc>
          <w:tcPr>
            <w:tcW w:w="892" w:type="dxa"/>
            <w:shd w:val="clear" w:color="auto" w:fill="D2DDE1" w:themeFill="background2"/>
            <w:noWrap/>
          </w:tcPr>
          <w:p w14:paraId="337A8F80" w14:textId="77777777" w:rsidR="00533D32" w:rsidRPr="00BD16B4" w:rsidRDefault="00533D32" w:rsidP="00C87B45">
            <w:pPr>
              <w:pStyle w:val="TableText"/>
              <w:spacing w:before="40" w:after="40"/>
              <w:jc w:val="center"/>
              <w:rPr>
                <w:rFonts w:cs="Calibri"/>
                <w:szCs w:val="18"/>
              </w:rPr>
            </w:pPr>
            <w:r w:rsidRPr="00BD16B4">
              <w:rPr>
                <w:rFonts w:cs="Calibri"/>
                <w:szCs w:val="18"/>
              </w:rPr>
              <w:t>510</w:t>
            </w:r>
          </w:p>
        </w:tc>
        <w:tc>
          <w:tcPr>
            <w:tcW w:w="892" w:type="dxa"/>
            <w:shd w:val="clear" w:color="auto" w:fill="D2DDE1" w:themeFill="background2"/>
            <w:noWrap/>
          </w:tcPr>
          <w:p w14:paraId="7FDFE229" w14:textId="77777777" w:rsidR="00533D32" w:rsidRPr="00BD16B4" w:rsidRDefault="00533D32" w:rsidP="00C87B45">
            <w:pPr>
              <w:pStyle w:val="TableText"/>
              <w:spacing w:before="40" w:after="40"/>
              <w:jc w:val="center"/>
              <w:rPr>
                <w:rFonts w:cs="Calibri"/>
                <w:szCs w:val="18"/>
              </w:rPr>
            </w:pPr>
            <w:r w:rsidRPr="00BD16B4">
              <w:rPr>
                <w:rFonts w:cs="Calibri"/>
                <w:szCs w:val="18"/>
              </w:rPr>
              <w:t>499</w:t>
            </w:r>
          </w:p>
        </w:tc>
        <w:tc>
          <w:tcPr>
            <w:tcW w:w="892" w:type="dxa"/>
            <w:shd w:val="clear" w:color="auto" w:fill="D2DDE1" w:themeFill="background2"/>
            <w:noWrap/>
          </w:tcPr>
          <w:p w14:paraId="4AF435BB" w14:textId="77777777" w:rsidR="00533D32" w:rsidRPr="00BD16B4" w:rsidRDefault="00533D32" w:rsidP="00C87B45">
            <w:pPr>
              <w:pStyle w:val="TableText"/>
              <w:spacing w:before="40" w:after="40"/>
              <w:jc w:val="center"/>
              <w:rPr>
                <w:rFonts w:cs="Calibri"/>
                <w:szCs w:val="18"/>
              </w:rPr>
            </w:pPr>
            <w:r w:rsidRPr="00BD16B4">
              <w:rPr>
                <w:rFonts w:cs="Calibri"/>
                <w:szCs w:val="18"/>
              </w:rPr>
              <w:t>490</w:t>
            </w:r>
          </w:p>
        </w:tc>
      </w:tr>
      <w:tr w:rsidR="00533D32" w:rsidRPr="00BD16B4" w14:paraId="66962B4A" w14:textId="77777777" w:rsidTr="00315977">
        <w:tc>
          <w:tcPr>
            <w:tcW w:w="1928" w:type="dxa"/>
          </w:tcPr>
          <w:p w14:paraId="3A7A97E9" w14:textId="77777777" w:rsidR="00533D32" w:rsidRPr="00BD16B4" w:rsidRDefault="00533D32" w:rsidP="00C87B45">
            <w:pPr>
              <w:pStyle w:val="TableText"/>
              <w:spacing w:before="40" w:after="40"/>
              <w:rPr>
                <w:rFonts w:cs="Calibri"/>
                <w:szCs w:val="18"/>
              </w:rPr>
            </w:pPr>
            <w:r w:rsidRPr="00BD16B4">
              <w:rPr>
                <w:rFonts w:cs="Calibri"/>
                <w:szCs w:val="18"/>
              </w:rPr>
              <w:t>farm waste (burned)</w:t>
            </w:r>
          </w:p>
        </w:tc>
        <w:tc>
          <w:tcPr>
            <w:tcW w:w="1474" w:type="dxa"/>
            <w:tcMar>
              <w:left w:w="57" w:type="dxa"/>
            </w:tcMar>
          </w:tcPr>
          <w:p w14:paraId="0C22A987" w14:textId="77777777" w:rsidR="00533D32" w:rsidRPr="00BD16B4" w:rsidRDefault="00533D32" w:rsidP="00C87B45">
            <w:pPr>
              <w:pStyle w:val="TableText"/>
              <w:spacing w:before="40" w:after="40"/>
              <w:rPr>
                <w:rFonts w:cs="Calibri"/>
                <w:szCs w:val="18"/>
              </w:rPr>
            </w:pPr>
            <w:r w:rsidRPr="00BD16B4">
              <w:rPr>
                <w:rFonts w:cs="Calibri"/>
                <w:szCs w:val="18"/>
              </w:rPr>
              <w:t>kilotonnes</w:t>
            </w:r>
          </w:p>
        </w:tc>
        <w:tc>
          <w:tcPr>
            <w:tcW w:w="2405" w:type="dxa"/>
            <w:noWrap/>
          </w:tcPr>
          <w:p w14:paraId="28CE5864" w14:textId="77777777" w:rsidR="00533D32" w:rsidRPr="00BD16B4" w:rsidRDefault="00533D32" w:rsidP="00C87B45">
            <w:pPr>
              <w:pStyle w:val="TableText"/>
              <w:spacing w:before="40" w:after="40"/>
              <w:rPr>
                <w:rFonts w:cs="Calibri"/>
                <w:szCs w:val="18"/>
              </w:rPr>
            </w:pPr>
            <w:r w:rsidRPr="00BD16B4">
              <w:rPr>
                <w:rFonts w:cs="Calibri"/>
                <w:szCs w:val="18"/>
              </w:rPr>
              <w:t>WEM</w:t>
            </w:r>
          </w:p>
        </w:tc>
        <w:tc>
          <w:tcPr>
            <w:tcW w:w="760" w:type="dxa"/>
            <w:noWrap/>
          </w:tcPr>
          <w:p w14:paraId="0F21BE96" w14:textId="77777777" w:rsidR="00533D32" w:rsidRPr="00BD16B4" w:rsidRDefault="00533D32" w:rsidP="00C87B45">
            <w:pPr>
              <w:pStyle w:val="TableText"/>
              <w:spacing w:before="40" w:after="40"/>
              <w:jc w:val="center"/>
              <w:rPr>
                <w:rFonts w:cs="Calibri"/>
                <w:szCs w:val="18"/>
              </w:rPr>
            </w:pPr>
            <w:r w:rsidRPr="00BD16B4">
              <w:rPr>
                <w:rFonts w:cs="Calibri"/>
                <w:szCs w:val="18"/>
              </w:rPr>
              <w:t>784</w:t>
            </w:r>
          </w:p>
        </w:tc>
        <w:tc>
          <w:tcPr>
            <w:tcW w:w="892" w:type="dxa"/>
            <w:noWrap/>
          </w:tcPr>
          <w:p w14:paraId="1C993432" w14:textId="77777777" w:rsidR="00533D32" w:rsidRPr="00BD16B4" w:rsidRDefault="00533D32" w:rsidP="00C87B45">
            <w:pPr>
              <w:pStyle w:val="TableText"/>
              <w:spacing w:before="40" w:after="40"/>
              <w:jc w:val="center"/>
              <w:rPr>
                <w:rFonts w:cs="Calibri"/>
                <w:szCs w:val="18"/>
              </w:rPr>
            </w:pPr>
            <w:r w:rsidRPr="00BD16B4">
              <w:rPr>
                <w:rFonts w:cs="Calibri"/>
                <w:szCs w:val="18"/>
              </w:rPr>
              <w:t>663</w:t>
            </w:r>
          </w:p>
        </w:tc>
        <w:tc>
          <w:tcPr>
            <w:tcW w:w="892" w:type="dxa"/>
            <w:noWrap/>
          </w:tcPr>
          <w:p w14:paraId="3C742261" w14:textId="77777777" w:rsidR="00533D32" w:rsidRPr="00BD16B4" w:rsidRDefault="00533D32" w:rsidP="00C87B45">
            <w:pPr>
              <w:pStyle w:val="TableText"/>
              <w:spacing w:before="40" w:after="40"/>
              <w:jc w:val="center"/>
              <w:rPr>
                <w:rFonts w:cs="Calibri"/>
                <w:szCs w:val="18"/>
              </w:rPr>
            </w:pPr>
            <w:r w:rsidRPr="00BD16B4">
              <w:rPr>
                <w:rFonts w:cs="Calibri"/>
                <w:szCs w:val="18"/>
              </w:rPr>
              <w:t>746</w:t>
            </w:r>
          </w:p>
        </w:tc>
        <w:tc>
          <w:tcPr>
            <w:tcW w:w="892" w:type="dxa"/>
            <w:noWrap/>
          </w:tcPr>
          <w:p w14:paraId="4E57B044" w14:textId="77777777" w:rsidR="00533D32" w:rsidRPr="00BD16B4" w:rsidRDefault="00533D32" w:rsidP="00C87B45">
            <w:pPr>
              <w:pStyle w:val="TableText"/>
              <w:spacing w:before="40" w:after="40"/>
              <w:jc w:val="center"/>
              <w:rPr>
                <w:rFonts w:cs="Calibri"/>
                <w:szCs w:val="18"/>
              </w:rPr>
            </w:pPr>
            <w:r w:rsidRPr="00BD16B4">
              <w:rPr>
                <w:rFonts w:cs="Calibri"/>
                <w:szCs w:val="18"/>
              </w:rPr>
              <w:t>621</w:t>
            </w:r>
          </w:p>
        </w:tc>
        <w:tc>
          <w:tcPr>
            <w:tcW w:w="892" w:type="dxa"/>
            <w:noWrap/>
          </w:tcPr>
          <w:p w14:paraId="1511F00E" w14:textId="77777777" w:rsidR="00533D32" w:rsidRPr="00BD16B4" w:rsidRDefault="00533D32" w:rsidP="00C87B45">
            <w:pPr>
              <w:pStyle w:val="TableText"/>
              <w:spacing w:before="40" w:after="40"/>
              <w:jc w:val="center"/>
              <w:rPr>
                <w:rFonts w:cs="Calibri"/>
                <w:szCs w:val="18"/>
              </w:rPr>
            </w:pPr>
            <w:r w:rsidRPr="00BD16B4">
              <w:rPr>
                <w:rFonts w:cs="Calibri"/>
                <w:szCs w:val="18"/>
              </w:rPr>
              <w:t>578</w:t>
            </w:r>
          </w:p>
        </w:tc>
        <w:tc>
          <w:tcPr>
            <w:tcW w:w="892" w:type="dxa"/>
            <w:noWrap/>
          </w:tcPr>
          <w:p w14:paraId="6C330A45" w14:textId="77777777" w:rsidR="00533D32" w:rsidRPr="00BD16B4" w:rsidRDefault="00533D32" w:rsidP="00C87B45">
            <w:pPr>
              <w:pStyle w:val="TableText"/>
              <w:spacing w:before="40" w:after="40"/>
              <w:jc w:val="center"/>
              <w:rPr>
                <w:rFonts w:cs="Calibri"/>
                <w:szCs w:val="18"/>
              </w:rPr>
            </w:pPr>
            <w:r w:rsidRPr="00BD16B4">
              <w:rPr>
                <w:rFonts w:cs="Calibri"/>
                <w:szCs w:val="18"/>
              </w:rPr>
              <w:t>533</w:t>
            </w:r>
          </w:p>
        </w:tc>
        <w:tc>
          <w:tcPr>
            <w:tcW w:w="892" w:type="dxa"/>
            <w:noWrap/>
          </w:tcPr>
          <w:p w14:paraId="7D1DFA50" w14:textId="77777777" w:rsidR="00533D32" w:rsidRPr="00BD16B4" w:rsidRDefault="00533D32" w:rsidP="00C87B45">
            <w:pPr>
              <w:pStyle w:val="TableText"/>
              <w:spacing w:before="40" w:after="40"/>
              <w:jc w:val="center"/>
              <w:rPr>
                <w:rFonts w:cs="Calibri"/>
                <w:szCs w:val="18"/>
              </w:rPr>
            </w:pPr>
            <w:r w:rsidRPr="00BD16B4">
              <w:rPr>
                <w:rFonts w:cs="Calibri"/>
                <w:szCs w:val="18"/>
              </w:rPr>
              <w:t>476</w:t>
            </w:r>
          </w:p>
        </w:tc>
        <w:tc>
          <w:tcPr>
            <w:tcW w:w="892" w:type="dxa"/>
            <w:shd w:val="clear" w:color="auto" w:fill="D2DDE1" w:themeFill="background2"/>
            <w:noWrap/>
          </w:tcPr>
          <w:p w14:paraId="0218DC02" w14:textId="77777777" w:rsidR="00533D32" w:rsidRPr="00BD16B4" w:rsidRDefault="00533D32" w:rsidP="00C87B45">
            <w:pPr>
              <w:pStyle w:val="TableText"/>
              <w:spacing w:before="40" w:after="40"/>
              <w:jc w:val="center"/>
              <w:rPr>
                <w:rFonts w:cs="Calibri"/>
                <w:szCs w:val="18"/>
              </w:rPr>
            </w:pPr>
            <w:r w:rsidRPr="00BD16B4">
              <w:rPr>
                <w:rFonts w:cs="Calibri"/>
                <w:szCs w:val="18"/>
              </w:rPr>
              <w:t>510</w:t>
            </w:r>
          </w:p>
        </w:tc>
        <w:tc>
          <w:tcPr>
            <w:tcW w:w="892" w:type="dxa"/>
            <w:shd w:val="clear" w:color="auto" w:fill="D2DDE1" w:themeFill="background2"/>
            <w:noWrap/>
          </w:tcPr>
          <w:p w14:paraId="0EBCDF78" w14:textId="77777777" w:rsidR="00533D32" w:rsidRPr="00BD16B4" w:rsidRDefault="00533D32" w:rsidP="00C87B45">
            <w:pPr>
              <w:pStyle w:val="TableText"/>
              <w:spacing w:before="40" w:after="40"/>
              <w:jc w:val="center"/>
              <w:rPr>
                <w:rFonts w:cs="Calibri"/>
                <w:szCs w:val="18"/>
              </w:rPr>
            </w:pPr>
            <w:r w:rsidRPr="00BD16B4">
              <w:rPr>
                <w:rFonts w:cs="Calibri"/>
                <w:szCs w:val="18"/>
              </w:rPr>
              <w:t>499</w:t>
            </w:r>
          </w:p>
        </w:tc>
        <w:tc>
          <w:tcPr>
            <w:tcW w:w="892" w:type="dxa"/>
            <w:shd w:val="clear" w:color="auto" w:fill="D2DDE1" w:themeFill="background2"/>
            <w:noWrap/>
          </w:tcPr>
          <w:p w14:paraId="7ED5AE8C" w14:textId="77777777" w:rsidR="00533D32" w:rsidRPr="00BD16B4" w:rsidRDefault="00533D32" w:rsidP="00C87B45">
            <w:pPr>
              <w:pStyle w:val="TableText"/>
              <w:spacing w:before="40" w:after="40"/>
              <w:jc w:val="center"/>
              <w:rPr>
                <w:rFonts w:cs="Calibri"/>
                <w:szCs w:val="18"/>
              </w:rPr>
            </w:pPr>
            <w:r w:rsidRPr="00BD16B4">
              <w:rPr>
                <w:rFonts w:cs="Calibri"/>
                <w:szCs w:val="18"/>
              </w:rPr>
              <w:t>490</w:t>
            </w:r>
          </w:p>
        </w:tc>
      </w:tr>
      <w:tr w:rsidR="00533D32" w:rsidRPr="00BD16B4" w14:paraId="1ABDBF3D" w14:textId="77777777" w:rsidTr="00315977">
        <w:tc>
          <w:tcPr>
            <w:tcW w:w="1928" w:type="dxa"/>
          </w:tcPr>
          <w:p w14:paraId="2A07AE98" w14:textId="77777777" w:rsidR="00533D32" w:rsidRPr="00BD16B4" w:rsidRDefault="00533D32" w:rsidP="00C87B45">
            <w:pPr>
              <w:pStyle w:val="TableText"/>
              <w:spacing w:before="40" w:after="40"/>
              <w:rPr>
                <w:rFonts w:cs="Calibri"/>
                <w:szCs w:val="18"/>
              </w:rPr>
            </w:pPr>
            <w:r w:rsidRPr="00BD16B4">
              <w:rPr>
                <w:rFonts w:cs="Calibri"/>
                <w:szCs w:val="18"/>
              </w:rPr>
              <w:t>composted waste tonnage</w:t>
            </w:r>
          </w:p>
        </w:tc>
        <w:tc>
          <w:tcPr>
            <w:tcW w:w="1474" w:type="dxa"/>
            <w:tcMar>
              <w:left w:w="57" w:type="dxa"/>
            </w:tcMar>
          </w:tcPr>
          <w:p w14:paraId="03C1C89A" w14:textId="77777777" w:rsidR="00533D32" w:rsidRPr="00BD16B4" w:rsidRDefault="00533D32" w:rsidP="00C87B45">
            <w:pPr>
              <w:pStyle w:val="TableText"/>
              <w:spacing w:before="40" w:after="40"/>
              <w:rPr>
                <w:rFonts w:cs="Calibri"/>
                <w:szCs w:val="18"/>
              </w:rPr>
            </w:pPr>
            <w:r w:rsidRPr="00BD16B4">
              <w:rPr>
                <w:rFonts w:cs="Calibri"/>
                <w:szCs w:val="18"/>
              </w:rPr>
              <w:t>kilotonnes</w:t>
            </w:r>
          </w:p>
        </w:tc>
        <w:tc>
          <w:tcPr>
            <w:tcW w:w="2405" w:type="dxa"/>
            <w:noWrap/>
          </w:tcPr>
          <w:p w14:paraId="3C396515" w14:textId="77777777" w:rsidR="00533D32" w:rsidRPr="00BD16B4" w:rsidRDefault="00533D32" w:rsidP="00C87B45">
            <w:pPr>
              <w:pStyle w:val="TableText"/>
              <w:spacing w:before="40" w:after="40"/>
              <w:rPr>
                <w:rFonts w:cs="Calibri"/>
                <w:szCs w:val="18"/>
              </w:rPr>
            </w:pPr>
            <w:r w:rsidRPr="00BD16B4">
              <w:rPr>
                <w:rFonts w:cs="Calibri"/>
                <w:szCs w:val="18"/>
              </w:rPr>
              <w:t>WEM</w:t>
            </w:r>
          </w:p>
        </w:tc>
        <w:tc>
          <w:tcPr>
            <w:tcW w:w="760" w:type="dxa"/>
            <w:noWrap/>
          </w:tcPr>
          <w:p w14:paraId="00E7A5C2" w14:textId="77777777" w:rsidR="00533D32" w:rsidRPr="00BD16B4" w:rsidRDefault="00533D32" w:rsidP="00C87B45">
            <w:pPr>
              <w:pStyle w:val="TableText"/>
              <w:spacing w:before="40" w:after="40"/>
              <w:jc w:val="center"/>
              <w:rPr>
                <w:rFonts w:cs="Calibri"/>
                <w:szCs w:val="18"/>
              </w:rPr>
            </w:pPr>
            <w:r w:rsidRPr="00BD16B4">
              <w:rPr>
                <w:rFonts w:cs="Calibri"/>
                <w:szCs w:val="18"/>
              </w:rPr>
              <w:t>27</w:t>
            </w:r>
          </w:p>
        </w:tc>
        <w:tc>
          <w:tcPr>
            <w:tcW w:w="892" w:type="dxa"/>
            <w:noWrap/>
          </w:tcPr>
          <w:p w14:paraId="51CEAFC2" w14:textId="77777777" w:rsidR="00533D32" w:rsidRPr="00BD16B4" w:rsidRDefault="00533D32" w:rsidP="00C87B45">
            <w:pPr>
              <w:pStyle w:val="TableText"/>
              <w:spacing w:before="40" w:after="40"/>
              <w:jc w:val="center"/>
              <w:rPr>
                <w:rFonts w:cs="Calibri"/>
                <w:szCs w:val="18"/>
              </w:rPr>
            </w:pPr>
            <w:r w:rsidRPr="00BD16B4">
              <w:rPr>
                <w:rFonts w:cs="Calibri"/>
                <w:szCs w:val="18"/>
              </w:rPr>
              <w:t>30</w:t>
            </w:r>
          </w:p>
        </w:tc>
        <w:tc>
          <w:tcPr>
            <w:tcW w:w="892" w:type="dxa"/>
            <w:noWrap/>
          </w:tcPr>
          <w:p w14:paraId="01398CBC" w14:textId="77777777" w:rsidR="00533D32" w:rsidRPr="00BD16B4" w:rsidRDefault="00533D32" w:rsidP="00C87B45">
            <w:pPr>
              <w:pStyle w:val="TableText"/>
              <w:spacing w:before="40" w:after="40"/>
              <w:jc w:val="center"/>
              <w:rPr>
                <w:rFonts w:cs="Calibri"/>
                <w:szCs w:val="18"/>
              </w:rPr>
            </w:pPr>
            <w:r w:rsidRPr="00BD16B4">
              <w:rPr>
                <w:rFonts w:cs="Calibri"/>
                <w:szCs w:val="18"/>
              </w:rPr>
              <w:t>33</w:t>
            </w:r>
          </w:p>
        </w:tc>
        <w:tc>
          <w:tcPr>
            <w:tcW w:w="892" w:type="dxa"/>
            <w:noWrap/>
          </w:tcPr>
          <w:p w14:paraId="17D8AC6A" w14:textId="77777777" w:rsidR="00533D32" w:rsidRPr="00BD16B4" w:rsidRDefault="00533D32" w:rsidP="00C87B45">
            <w:pPr>
              <w:pStyle w:val="TableText"/>
              <w:spacing w:before="40" w:after="40"/>
              <w:jc w:val="center"/>
              <w:rPr>
                <w:rFonts w:cs="Calibri"/>
                <w:szCs w:val="18"/>
              </w:rPr>
            </w:pPr>
            <w:r w:rsidRPr="00BD16B4">
              <w:rPr>
                <w:rFonts w:cs="Calibri"/>
                <w:szCs w:val="18"/>
              </w:rPr>
              <w:t>37</w:t>
            </w:r>
          </w:p>
        </w:tc>
        <w:tc>
          <w:tcPr>
            <w:tcW w:w="892" w:type="dxa"/>
            <w:noWrap/>
          </w:tcPr>
          <w:p w14:paraId="6E5B271D" w14:textId="77777777" w:rsidR="00533D32" w:rsidRPr="00BD16B4" w:rsidRDefault="00533D32" w:rsidP="00C87B45">
            <w:pPr>
              <w:pStyle w:val="TableText"/>
              <w:spacing w:before="40" w:after="40"/>
              <w:jc w:val="center"/>
              <w:rPr>
                <w:rFonts w:cs="Calibri"/>
                <w:szCs w:val="18"/>
              </w:rPr>
            </w:pPr>
            <w:r w:rsidRPr="00BD16B4">
              <w:rPr>
                <w:rFonts w:cs="Calibri"/>
                <w:szCs w:val="18"/>
              </w:rPr>
              <w:t>71</w:t>
            </w:r>
          </w:p>
        </w:tc>
        <w:tc>
          <w:tcPr>
            <w:tcW w:w="892" w:type="dxa"/>
            <w:noWrap/>
          </w:tcPr>
          <w:p w14:paraId="39F86940" w14:textId="77777777" w:rsidR="00533D32" w:rsidRPr="00BD16B4" w:rsidRDefault="00533D32" w:rsidP="00C87B45">
            <w:pPr>
              <w:pStyle w:val="TableText"/>
              <w:spacing w:before="40" w:after="40"/>
              <w:jc w:val="center"/>
              <w:rPr>
                <w:rFonts w:cs="Calibri"/>
                <w:szCs w:val="18"/>
              </w:rPr>
            </w:pPr>
            <w:r w:rsidRPr="00BD16B4">
              <w:rPr>
                <w:rFonts w:cs="Calibri"/>
                <w:szCs w:val="18"/>
              </w:rPr>
              <w:t>224</w:t>
            </w:r>
          </w:p>
        </w:tc>
        <w:tc>
          <w:tcPr>
            <w:tcW w:w="892" w:type="dxa"/>
            <w:noWrap/>
          </w:tcPr>
          <w:p w14:paraId="09EA9917" w14:textId="77777777" w:rsidR="00533D32" w:rsidRPr="00BD16B4" w:rsidRDefault="00533D32" w:rsidP="00C87B45">
            <w:pPr>
              <w:pStyle w:val="TableText"/>
              <w:spacing w:before="40" w:after="40"/>
              <w:jc w:val="center"/>
              <w:rPr>
                <w:rFonts w:cs="Calibri"/>
                <w:szCs w:val="18"/>
              </w:rPr>
            </w:pPr>
            <w:r w:rsidRPr="00BD16B4">
              <w:rPr>
                <w:rFonts w:cs="Calibri"/>
                <w:szCs w:val="18"/>
              </w:rPr>
              <w:t>399</w:t>
            </w:r>
          </w:p>
        </w:tc>
        <w:tc>
          <w:tcPr>
            <w:tcW w:w="892" w:type="dxa"/>
            <w:shd w:val="clear" w:color="auto" w:fill="D2DDE1" w:themeFill="background2"/>
            <w:noWrap/>
          </w:tcPr>
          <w:p w14:paraId="07FFBCDC" w14:textId="77777777" w:rsidR="00533D32" w:rsidRPr="00BD16B4" w:rsidRDefault="00533D32" w:rsidP="00C87B45">
            <w:pPr>
              <w:pStyle w:val="TableText"/>
              <w:spacing w:before="40" w:after="40"/>
              <w:jc w:val="center"/>
              <w:rPr>
                <w:rFonts w:cs="Calibri"/>
                <w:szCs w:val="18"/>
              </w:rPr>
            </w:pPr>
            <w:r w:rsidRPr="00BD16B4">
              <w:rPr>
                <w:rFonts w:cs="Calibri"/>
                <w:szCs w:val="18"/>
              </w:rPr>
              <w:t>472</w:t>
            </w:r>
          </w:p>
        </w:tc>
        <w:tc>
          <w:tcPr>
            <w:tcW w:w="892" w:type="dxa"/>
            <w:shd w:val="clear" w:color="auto" w:fill="D2DDE1" w:themeFill="background2"/>
            <w:noWrap/>
          </w:tcPr>
          <w:p w14:paraId="78FCEB8E" w14:textId="77777777" w:rsidR="00533D32" w:rsidRPr="00BD16B4" w:rsidRDefault="00533D32" w:rsidP="00C87B45">
            <w:pPr>
              <w:pStyle w:val="TableText"/>
              <w:spacing w:before="40" w:after="40"/>
              <w:jc w:val="center"/>
              <w:rPr>
                <w:rFonts w:cs="Calibri"/>
                <w:szCs w:val="18"/>
              </w:rPr>
            </w:pPr>
            <w:r w:rsidRPr="00BD16B4">
              <w:rPr>
                <w:rFonts w:cs="Calibri"/>
                <w:szCs w:val="18"/>
              </w:rPr>
              <w:t>506</w:t>
            </w:r>
          </w:p>
        </w:tc>
        <w:tc>
          <w:tcPr>
            <w:tcW w:w="892" w:type="dxa"/>
            <w:shd w:val="clear" w:color="auto" w:fill="D2DDE1" w:themeFill="background2"/>
            <w:noWrap/>
          </w:tcPr>
          <w:p w14:paraId="19E5AA2A" w14:textId="77777777" w:rsidR="00533D32" w:rsidRPr="00BD16B4" w:rsidRDefault="00533D32" w:rsidP="00C87B45">
            <w:pPr>
              <w:pStyle w:val="TableText"/>
              <w:spacing w:before="40" w:after="40"/>
              <w:jc w:val="center"/>
              <w:rPr>
                <w:rFonts w:cs="Calibri"/>
                <w:szCs w:val="18"/>
              </w:rPr>
            </w:pPr>
            <w:r w:rsidRPr="00BD16B4">
              <w:rPr>
                <w:rFonts w:cs="Calibri"/>
                <w:szCs w:val="18"/>
              </w:rPr>
              <w:t>526</w:t>
            </w:r>
          </w:p>
        </w:tc>
      </w:tr>
      <w:tr w:rsidR="00533D32" w:rsidRPr="00BD16B4" w14:paraId="4B58D0CC" w14:textId="77777777" w:rsidTr="00315977">
        <w:tc>
          <w:tcPr>
            <w:tcW w:w="1928" w:type="dxa"/>
          </w:tcPr>
          <w:p w14:paraId="7C5E408D" w14:textId="77777777" w:rsidR="00533D32" w:rsidRPr="00BD16B4" w:rsidRDefault="00533D32" w:rsidP="00C87B45">
            <w:pPr>
              <w:pStyle w:val="TableText"/>
              <w:spacing w:before="40" w:after="40"/>
              <w:rPr>
                <w:rFonts w:cs="Calibri"/>
                <w:szCs w:val="18"/>
              </w:rPr>
            </w:pPr>
            <w:r w:rsidRPr="00BD16B4">
              <w:rPr>
                <w:rFonts w:cs="Calibri"/>
                <w:szCs w:val="18"/>
              </w:rPr>
              <w:t>AD waste tonnage</w:t>
            </w:r>
          </w:p>
        </w:tc>
        <w:tc>
          <w:tcPr>
            <w:tcW w:w="1474" w:type="dxa"/>
            <w:tcMar>
              <w:left w:w="57" w:type="dxa"/>
            </w:tcMar>
          </w:tcPr>
          <w:p w14:paraId="46DF66AB" w14:textId="77777777" w:rsidR="00533D32" w:rsidRPr="00BD16B4" w:rsidRDefault="00533D32" w:rsidP="00C87B45">
            <w:pPr>
              <w:pStyle w:val="TableText"/>
              <w:spacing w:before="40" w:after="40"/>
              <w:rPr>
                <w:rFonts w:cs="Calibri"/>
                <w:szCs w:val="18"/>
              </w:rPr>
            </w:pPr>
            <w:r w:rsidRPr="00BD16B4">
              <w:rPr>
                <w:rFonts w:cs="Calibri"/>
                <w:szCs w:val="18"/>
              </w:rPr>
              <w:t>kilotonnes</w:t>
            </w:r>
          </w:p>
        </w:tc>
        <w:tc>
          <w:tcPr>
            <w:tcW w:w="2405" w:type="dxa"/>
            <w:noWrap/>
          </w:tcPr>
          <w:p w14:paraId="03729B4C" w14:textId="77777777" w:rsidR="00533D32" w:rsidRPr="00BD16B4" w:rsidRDefault="00533D32" w:rsidP="00C87B45">
            <w:pPr>
              <w:pStyle w:val="TableText"/>
              <w:spacing w:before="40" w:after="40"/>
              <w:rPr>
                <w:rFonts w:cs="Calibri"/>
                <w:szCs w:val="18"/>
              </w:rPr>
            </w:pPr>
            <w:r w:rsidRPr="00BD16B4">
              <w:rPr>
                <w:rFonts w:cs="Calibri"/>
                <w:szCs w:val="18"/>
              </w:rPr>
              <w:t>WEM</w:t>
            </w:r>
          </w:p>
        </w:tc>
        <w:tc>
          <w:tcPr>
            <w:tcW w:w="760" w:type="dxa"/>
            <w:noWrap/>
          </w:tcPr>
          <w:p w14:paraId="5EBC58AC" w14:textId="77777777" w:rsidR="00533D32" w:rsidRPr="00BD16B4" w:rsidRDefault="00533D32" w:rsidP="00C87B45">
            <w:pPr>
              <w:pStyle w:val="TableText"/>
              <w:spacing w:before="40" w:after="40"/>
              <w:jc w:val="center"/>
              <w:rPr>
                <w:rFonts w:cs="Calibri"/>
                <w:szCs w:val="18"/>
              </w:rPr>
            </w:pPr>
            <w:r w:rsidRPr="00BD16B4">
              <w:rPr>
                <w:rFonts w:cs="Calibri"/>
                <w:szCs w:val="18"/>
              </w:rPr>
              <w:t>0</w:t>
            </w:r>
          </w:p>
        </w:tc>
        <w:tc>
          <w:tcPr>
            <w:tcW w:w="892" w:type="dxa"/>
            <w:noWrap/>
          </w:tcPr>
          <w:p w14:paraId="7AA2A2CF" w14:textId="77777777" w:rsidR="00533D32" w:rsidRPr="00BD16B4" w:rsidRDefault="00533D32" w:rsidP="00C87B45">
            <w:pPr>
              <w:pStyle w:val="TableText"/>
              <w:spacing w:before="40" w:after="40"/>
              <w:jc w:val="center"/>
              <w:rPr>
                <w:rFonts w:cs="Calibri"/>
                <w:szCs w:val="18"/>
              </w:rPr>
            </w:pPr>
            <w:r w:rsidRPr="00BD16B4">
              <w:rPr>
                <w:rFonts w:cs="Calibri"/>
                <w:szCs w:val="18"/>
              </w:rPr>
              <w:t>0</w:t>
            </w:r>
          </w:p>
        </w:tc>
        <w:tc>
          <w:tcPr>
            <w:tcW w:w="892" w:type="dxa"/>
            <w:noWrap/>
          </w:tcPr>
          <w:p w14:paraId="4C4CE7B8" w14:textId="77777777" w:rsidR="00533D32" w:rsidRPr="00BD16B4" w:rsidRDefault="00533D32" w:rsidP="00C87B45">
            <w:pPr>
              <w:pStyle w:val="TableText"/>
              <w:spacing w:before="40" w:after="40"/>
              <w:jc w:val="center"/>
              <w:rPr>
                <w:rFonts w:cs="Calibri"/>
                <w:szCs w:val="18"/>
              </w:rPr>
            </w:pPr>
            <w:r w:rsidRPr="00BD16B4">
              <w:rPr>
                <w:rFonts w:cs="Calibri"/>
                <w:szCs w:val="18"/>
              </w:rPr>
              <w:t>0</w:t>
            </w:r>
          </w:p>
        </w:tc>
        <w:tc>
          <w:tcPr>
            <w:tcW w:w="892" w:type="dxa"/>
            <w:noWrap/>
          </w:tcPr>
          <w:p w14:paraId="3D6255E3" w14:textId="77777777" w:rsidR="00533D32" w:rsidRPr="00BD16B4" w:rsidRDefault="00533D32" w:rsidP="00C87B45">
            <w:pPr>
              <w:pStyle w:val="TableText"/>
              <w:spacing w:before="40" w:after="40"/>
              <w:jc w:val="center"/>
              <w:rPr>
                <w:rFonts w:cs="Calibri"/>
                <w:szCs w:val="18"/>
              </w:rPr>
            </w:pPr>
            <w:r w:rsidRPr="00BD16B4">
              <w:rPr>
                <w:rFonts w:cs="Calibri"/>
                <w:szCs w:val="18"/>
              </w:rPr>
              <w:t>0</w:t>
            </w:r>
          </w:p>
        </w:tc>
        <w:tc>
          <w:tcPr>
            <w:tcW w:w="892" w:type="dxa"/>
            <w:noWrap/>
          </w:tcPr>
          <w:p w14:paraId="0085A95B" w14:textId="77777777" w:rsidR="00533D32" w:rsidRPr="00BD16B4" w:rsidRDefault="00533D32" w:rsidP="00C87B45">
            <w:pPr>
              <w:pStyle w:val="TableText"/>
              <w:spacing w:before="40" w:after="40"/>
              <w:jc w:val="center"/>
              <w:rPr>
                <w:rFonts w:cs="Calibri"/>
                <w:szCs w:val="18"/>
              </w:rPr>
            </w:pPr>
            <w:r w:rsidRPr="00BD16B4">
              <w:rPr>
                <w:rFonts w:cs="Calibri"/>
                <w:szCs w:val="18"/>
              </w:rPr>
              <w:t>0</w:t>
            </w:r>
          </w:p>
        </w:tc>
        <w:tc>
          <w:tcPr>
            <w:tcW w:w="892" w:type="dxa"/>
            <w:noWrap/>
          </w:tcPr>
          <w:p w14:paraId="22BEAAE7" w14:textId="77777777" w:rsidR="00533D32" w:rsidRPr="00BD16B4" w:rsidRDefault="00533D32" w:rsidP="00C87B45">
            <w:pPr>
              <w:pStyle w:val="TableText"/>
              <w:spacing w:before="40" w:after="40"/>
              <w:jc w:val="center"/>
              <w:rPr>
                <w:rFonts w:cs="Calibri"/>
                <w:szCs w:val="18"/>
              </w:rPr>
            </w:pPr>
            <w:r w:rsidRPr="00BD16B4">
              <w:rPr>
                <w:rFonts w:cs="Calibri"/>
                <w:szCs w:val="18"/>
              </w:rPr>
              <w:t>0</w:t>
            </w:r>
          </w:p>
        </w:tc>
        <w:tc>
          <w:tcPr>
            <w:tcW w:w="892" w:type="dxa"/>
            <w:noWrap/>
          </w:tcPr>
          <w:p w14:paraId="07AF2528" w14:textId="77777777" w:rsidR="00533D32" w:rsidRPr="00BD16B4" w:rsidRDefault="00533D32" w:rsidP="00C87B45">
            <w:pPr>
              <w:pStyle w:val="TableText"/>
              <w:spacing w:before="40" w:after="40"/>
              <w:jc w:val="center"/>
              <w:rPr>
                <w:rFonts w:cs="Calibri"/>
                <w:szCs w:val="18"/>
              </w:rPr>
            </w:pPr>
            <w:r w:rsidRPr="00BD16B4">
              <w:rPr>
                <w:rFonts w:cs="Calibri"/>
                <w:szCs w:val="18"/>
              </w:rPr>
              <w:t>0</w:t>
            </w:r>
          </w:p>
        </w:tc>
        <w:tc>
          <w:tcPr>
            <w:tcW w:w="892" w:type="dxa"/>
            <w:shd w:val="clear" w:color="auto" w:fill="D2DDE1" w:themeFill="background2"/>
            <w:noWrap/>
          </w:tcPr>
          <w:p w14:paraId="65312836" w14:textId="77777777" w:rsidR="00533D32" w:rsidRPr="00BD16B4" w:rsidRDefault="00533D32" w:rsidP="00C87B45">
            <w:pPr>
              <w:pStyle w:val="TableText"/>
              <w:spacing w:before="40" w:after="40"/>
              <w:jc w:val="center"/>
              <w:rPr>
                <w:rFonts w:cs="Calibri"/>
                <w:szCs w:val="18"/>
              </w:rPr>
            </w:pPr>
            <w:r w:rsidRPr="00BD16B4">
              <w:rPr>
                <w:rFonts w:cs="Calibri"/>
                <w:szCs w:val="18"/>
              </w:rPr>
              <w:t>60</w:t>
            </w:r>
          </w:p>
        </w:tc>
        <w:tc>
          <w:tcPr>
            <w:tcW w:w="892" w:type="dxa"/>
            <w:shd w:val="clear" w:color="auto" w:fill="D2DDE1" w:themeFill="background2"/>
            <w:noWrap/>
          </w:tcPr>
          <w:p w14:paraId="29E09C69" w14:textId="77777777" w:rsidR="00533D32" w:rsidRPr="00BD16B4" w:rsidRDefault="00533D32" w:rsidP="00C87B45">
            <w:pPr>
              <w:pStyle w:val="TableText"/>
              <w:spacing w:before="40" w:after="40"/>
              <w:jc w:val="center"/>
              <w:rPr>
                <w:rFonts w:cs="Calibri"/>
                <w:szCs w:val="18"/>
              </w:rPr>
            </w:pPr>
            <w:r w:rsidRPr="00BD16B4">
              <w:rPr>
                <w:rFonts w:cs="Calibri"/>
                <w:szCs w:val="18"/>
              </w:rPr>
              <w:t>75</w:t>
            </w:r>
          </w:p>
        </w:tc>
        <w:tc>
          <w:tcPr>
            <w:tcW w:w="892" w:type="dxa"/>
            <w:shd w:val="clear" w:color="auto" w:fill="D2DDE1" w:themeFill="background2"/>
            <w:noWrap/>
          </w:tcPr>
          <w:p w14:paraId="28DD42CF" w14:textId="77777777" w:rsidR="00533D32" w:rsidRPr="00BD16B4" w:rsidRDefault="00533D32" w:rsidP="00C87B45">
            <w:pPr>
              <w:pStyle w:val="TableText"/>
              <w:spacing w:before="40" w:after="40"/>
              <w:jc w:val="center"/>
              <w:rPr>
                <w:rFonts w:cs="Calibri"/>
                <w:szCs w:val="18"/>
              </w:rPr>
            </w:pPr>
            <w:r w:rsidRPr="00BD16B4">
              <w:rPr>
                <w:rFonts w:cs="Calibri"/>
                <w:szCs w:val="18"/>
              </w:rPr>
              <w:t>90</w:t>
            </w:r>
          </w:p>
        </w:tc>
      </w:tr>
      <w:tr w:rsidR="00533D32" w:rsidRPr="00BD16B4" w14:paraId="4EFA8454" w14:textId="77777777" w:rsidTr="00315977">
        <w:tc>
          <w:tcPr>
            <w:tcW w:w="1928" w:type="dxa"/>
          </w:tcPr>
          <w:p w14:paraId="294EF488" w14:textId="77777777" w:rsidR="00533D32" w:rsidRPr="00BD16B4" w:rsidRDefault="00533D32" w:rsidP="00C87B45">
            <w:pPr>
              <w:pStyle w:val="TableText"/>
              <w:spacing w:before="40" w:after="40"/>
              <w:rPr>
                <w:rFonts w:cs="Calibri"/>
                <w:szCs w:val="18"/>
              </w:rPr>
            </w:pPr>
            <w:r w:rsidRPr="00BD16B4">
              <w:rPr>
                <w:rFonts w:cs="Calibri"/>
                <w:szCs w:val="18"/>
              </w:rPr>
              <w:t>Total number of farms</w:t>
            </w:r>
          </w:p>
        </w:tc>
        <w:tc>
          <w:tcPr>
            <w:tcW w:w="1474" w:type="dxa"/>
            <w:tcMar>
              <w:left w:w="57" w:type="dxa"/>
            </w:tcMar>
          </w:tcPr>
          <w:p w14:paraId="5507D7C0" w14:textId="77777777" w:rsidR="00533D32" w:rsidRPr="00BD16B4" w:rsidRDefault="00533D32" w:rsidP="00C87B45">
            <w:pPr>
              <w:pStyle w:val="TableText"/>
              <w:spacing w:before="40" w:after="40"/>
              <w:rPr>
                <w:rFonts w:cs="Calibri"/>
                <w:szCs w:val="18"/>
              </w:rPr>
            </w:pPr>
            <w:r w:rsidRPr="00BD16B4">
              <w:rPr>
                <w:rFonts w:cs="Calibri"/>
                <w:szCs w:val="18"/>
              </w:rPr>
              <w:t>number</w:t>
            </w:r>
          </w:p>
        </w:tc>
        <w:tc>
          <w:tcPr>
            <w:tcW w:w="2405" w:type="dxa"/>
            <w:noWrap/>
          </w:tcPr>
          <w:p w14:paraId="28ECD27E" w14:textId="77777777" w:rsidR="00533D32" w:rsidRPr="00BD16B4" w:rsidRDefault="00533D32" w:rsidP="00C87B45">
            <w:pPr>
              <w:pStyle w:val="TableText"/>
              <w:spacing w:before="40" w:after="40"/>
              <w:rPr>
                <w:rFonts w:cs="Calibri"/>
                <w:szCs w:val="18"/>
              </w:rPr>
            </w:pPr>
            <w:r w:rsidRPr="00BD16B4">
              <w:rPr>
                <w:rFonts w:cs="Calibri"/>
                <w:szCs w:val="18"/>
              </w:rPr>
              <w:t>WEM</w:t>
            </w:r>
          </w:p>
        </w:tc>
        <w:tc>
          <w:tcPr>
            <w:tcW w:w="760" w:type="dxa"/>
            <w:noWrap/>
          </w:tcPr>
          <w:p w14:paraId="2053FB46" w14:textId="77777777" w:rsidR="00533D32" w:rsidRPr="00BD16B4" w:rsidRDefault="00533D32" w:rsidP="00C87B45">
            <w:pPr>
              <w:pStyle w:val="TableText"/>
              <w:spacing w:before="40" w:after="40"/>
              <w:jc w:val="center"/>
              <w:rPr>
                <w:rFonts w:cs="Calibri"/>
                <w:szCs w:val="18"/>
              </w:rPr>
            </w:pPr>
            <w:r w:rsidRPr="00BD16B4">
              <w:rPr>
                <w:rFonts w:cs="Calibri"/>
                <w:szCs w:val="18"/>
              </w:rPr>
              <w:t>80,904</w:t>
            </w:r>
          </w:p>
        </w:tc>
        <w:tc>
          <w:tcPr>
            <w:tcW w:w="892" w:type="dxa"/>
            <w:noWrap/>
          </w:tcPr>
          <w:p w14:paraId="50DB7B8E" w14:textId="77777777" w:rsidR="00533D32" w:rsidRPr="00BD16B4" w:rsidRDefault="00533D32" w:rsidP="00C87B45">
            <w:pPr>
              <w:pStyle w:val="TableText"/>
              <w:spacing w:before="40" w:after="40"/>
              <w:jc w:val="center"/>
              <w:rPr>
                <w:rFonts w:cs="Calibri"/>
                <w:szCs w:val="18"/>
              </w:rPr>
            </w:pPr>
            <w:r w:rsidRPr="00BD16B4">
              <w:rPr>
                <w:rFonts w:cs="Calibri"/>
                <w:szCs w:val="18"/>
              </w:rPr>
              <w:t>68,776</w:t>
            </w:r>
          </w:p>
        </w:tc>
        <w:tc>
          <w:tcPr>
            <w:tcW w:w="892" w:type="dxa"/>
            <w:noWrap/>
          </w:tcPr>
          <w:p w14:paraId="0F1FC93C" w14:textId="77777777" w:rsidR="00533D32" w:rsidRPr="00BD16B4" w:rsidRDefault="00533D32" w:rsidP="00C87B45">
            <w:pPr>
              <w:pStyle w:val="TableText"/>
              <w:spacing w:before="40" w:after="40"/>
              <w:jc w:val="center"/>
              <w:rPr>
                <w:rFonts w:cs="Calibri"/>
                <w:szCs w:val="18"/>
              </w:rPr>
            </w:pPr>
            <w:r w:rsidRPr="00BD16B4">
              <w:rPr>
                <w:rFonts w:cs="Calibri"/>
                <w:szCs w:val="18"/>
              </w:rPr>
              <w:t>NE</w:t>
            </w:r>
          </w:p>
        </w:tc>
        <w:tc>
          <w:tcPr>
            <w:tcW w:w="892" w:type="dxa"/>
            <w:noWrap/>
          </w:tcPr>
          <w:p w14:paraId="5177C3AF" w14:textId="77777777" w:rsidR="00533D32" w:rsidRPr="00BD16B4" w:rsidRDefault="00533D32" w:rsidP="00C87B45">
            <w:pPr>
              <w:pStyle w:val="TableText"/>
              <w:spacing w:before="40" w:after="40"/>
              <w:jc w:val="center"/>
              <w:rPr>
                <w:rFonts w:cs="Calibri"/>
                <w:szCs w:val="18"/>
              </w:rPr>
            </w:pPr>
            <w:r w:rsidRPr="00BD16B4">
              <w:rPr>
                <w:rFonts w:cs="Calibri"/>
                <w:szCs w:val="18"/>
              </w:rPr>
              <w:t>64,488</w:t>
            </w:r>
          </w:p>
        </w:tc>
        <w:tc>
          <w:tcPr>
            <w:tcW w:w="892" w:type="dxa"/>
            <w:noWrap/>
          </w:tcPr>
          <w:p w14:paraId="7A9AF5F3" w14:textId="77777777" w:rsidR="00533D32" w:rsidRPr="00BD16B4" w:rsidRDefault="00533D32" w:rsidP="00C87B45">
            <w:pPr>
              <w:pStyle w:val="TableText"/>
              <w:spacing w:before="40" w:after="40"/>
              <w:jc w:val="center"/>
              <w:rPr>
                <w:rFonts w:cs="Calibri"/>
                <w:szCs w:val="18"/>
              </w:rPr>
            </w:pPr>
            <w:r w:rsidRPr="00BD16B4">
              <w:rPr>
                <w:rFonts w:cs="Calibri"/>
                <w:szCs w:val="18"/>
              </w:rPr>
              <w:t>59,907</w:t>
            </w:r>
          </w:p>
        </w:tc>
        <w:tc>
          <w:tcPr>
            <w:tcW w:w="892" w:type="dxa"/>
            <w:noWrap/>
          </w:tcPr>
          <w:p w14:paraId="25DA6244" w14:textId="77777777" w:rsidR="00533D32" w:rsidRPr="00BD16B4" w:rsidRDefault="00533D32" w:rsidP="00C87B45">
            <w:pPr>
              <w:pStyle w:val="TableText"/>
              <w:spacing w:before="40" w:after="40"/>
              <w:jc w:val="center"/>
              <w:rPr>
                <w:rFonts w:cs="Calibri"/>
                <w:szCs w:val="18"/>
              </w:rPr>
            </w:pPr>
            <w:r w:rsidRPr="00BD16B4">
              <w:rPr>
                <w:rFonts w:cs="Calibri"/>
                <w:szCs w:val="18"/>
              </w:rPr>
              <w:t>55,263</w:t>
            </w:r>
          </w:p>
        </w:tc>
        <w:tc>
          <w:tcPr>
            <w:tcW w:w="892" w:type="dxa"/>
            <w:noWrap/>
          </w:tcPr>
          <w:p w14:paraId="45F88F43" w14:textId="77777777" w:rsidR="00533D32" w:rsidRPr="00BD16B4" w:rsidRDefault="00533D32" w:rsidP="00C87B45">
            <w:pPr>
              <w:pStyle w:val="TableText"/>
              <w:spacing w:before="40" w:after="40"/>
              <w:jc w:val="center"/>
              <w:rPr>
                <w:rFonts w:cs="Calibri"/>
                <w:szCs w:val="18"/>
              </w:rPr>
            </w:pPr>
            <w:r w:rsidRPr="00BD16B4">
              <w:rPr>
                <w:rFonts w:cs="Calibri"/>
                <w:szCs w:val="18"/>
              </w:rPr>
              <w:t>49,288</w:t>
            </w:r>
          </w:p>
        </w:tc>
        <w:tc>
          <w:tcPr>
            <w:tcW w:w="892" w:type="dxa"/>
            <w:shd w:val="clear" w:color="auto" w:fill="D2DDE1" w:themeFill="background2"/>
            <w:noWrap/>
          </w:tcPr>
          <w:p w14:paraId="6B9CDEE5" w14:textId="77777777" w:rsidR="00533D32" w:rsidRPr="00BD16B4" w:rsidRDefault="00533D32" w:rsidP="00C87B45">
            <w:pPr>
              <w:pStyle w:val="TableText"/>
              <w:spacing w:before="40" w:after="40"/>
              <w:jc w:val="center"/>
              <w:rPr>
                <w:rFonts w:cs="Calibri"/>
                <w:szCs w:val="18"/>
              </w:rPr>
            </w:pPr>
            <w:r w:rsidRPr="00BD16B4">
              <w:rPr>
                <w:rFonts w:cs="Calibri"/>
                <w:szCs w:val="18"/>
              </w:rPr>
              <w:t>52,858</w:t>
            </w:r>
          </w:p>
        </w:tc>
        <w:tc>
          <w:tcPr>
            <w:tcW w:w="892" w:type="dxa"/>
            <w:shd w:val="clear" w:color="auto" w:fill="D2DDE1" w:themeFill="background2"/>
            <w:noWrap/>
          </w:tcPr>
          <w:p w14:paraId="7C1FE40F" w14:textId="77777777" w:rsidR="00533D32" w:rsidRPr="00BD16B4" w:rsidRDefault="00533D32" w:rsidP="00C87B45">
            <w:pPr>
              <w:pStyle w:val="TableText"/>
              <w:spacing w:before="40" w:after="40"/>
              <w:jc w:val="center"/>
              <w:rPr>
                <w:rFonts w:cs="Calibri"/>
                <w:szCs w:val="18"/>
              </w:rPr>
            </w:pPr>
            <w:r w:rsidRPr="00BD16B4">
              <w:rPr>
                <w:rFonts w:cs="Calibri"/>
                <w:szCs w:val="18"/>
              </w:rPr>
              <w:t>51,716</w:t>
            </w:r>
          </w:p>
        </w:tc>
        <w:tc>
          <w:tcPr>
            <w:tcW w:w="892" w:type="dxa"/>
            <w:shd w:val="clear" w:color="auto" w:fill="D2DDE1" w:themeFill="background2"/>
            <w:noWrap/>
          </w:tcPr>
          <w:p w14:paraId="6E7D10CD" w14:textId="77777777" w:rsidR="00533D32" w:rsidRPr="00BD16B4" w:rsidRDefault="00533D32" w:rsidP="00C87B45">
            <w:pPr>
              <w:pStyle w:val="TableText"/>
              <w:spacing w:before="40" w:after="40"/>
              <w:jc w:val="center"/>
              <w:rPr>
                <w:rFonts w:cs="Calibri"/>
                <w:szCs w:val="18"/>
              </w:rPr>
            </w:pPr>
            <w:r w:rsidRPr="00BD16B4">
              <w:rPr>
                <w:rFonts w:cs="Calibri"/>
                <w:szCs w:val="18"/>
              </w:rPr>
              <w:t>50,755</w:t>
            </w:r>
          </w:p>
        </w:tc>
      </w:tr>
      <w:tr w:rsidR="00533D32" w:rsidRPr="00BD16B4" w14:paraId="10FB08B5" w14:textId="77777777" w:rsidTr="00315977">
        <w:tc>
          <w:tcPr>
            <w:tcW w:w="1928" w:type="dxa"/>
          </w:tcPr>
          <w:p w14:paraId="7BB36E18" w14:textId="77777777" w:rsidR="00533D32" w:rsidRPr="00BD16B4" w:rsidRDefault="00533D32" w:rsidP="00C87B45">
            <w:pPr>
              <w:pStyle w:val="TableText"/>
              <w:spacing w:before="40" w:after="40"/>
              <w:rPr>
                <w:rFonts w:cs="Calibri"/>
                <w:szCs w:val="18"/>
              </w:rPr>
            </w:pPr>
            <w:r w:rsidRPr="00BD16B4">
              <w:rPr>
                <w:rFonts w:cs="Calibri"/>
                <w:szCs w:val="18"/>
              </w:rPr>
              <w:t>Combined Population &amp; GDP scaling factor from 2020 projections (Waste sector)</w:t>
            </w:r>
          </w:p>
        </w:tc>
        <w:tc>
          <w:tcPr>
            <w:tcW w:w="1474" w:type="dxa"/>
            <w:tcMar>
              <w:left w:w="57" w:type="dxa"/>
            </w:tcMar>
          </w:tcPr>
          <w:p w14:paraId="2D9377EB" w14:textId="77777777" w:rsidR="00533D32" w:rsidRPr="00BD16B4" w:rsidRDefault="00533D32" w:rsidP="00C87B45">
            <w:pPr>
              <w:pStyle w:val="TableText"/>
              <w:spacing w:before="40" w:after="40"/>
              <w:rPr>
                <w:rFonts w:cs="Calibri"/>
                <w:szCs w:val="18"/>
              </w:rPr>
            </w:pPr>
            <w:r w:rsidRPr="00BD16B4">
              <w:rPr>
                <w:rFonts w:cs="Calibri"/>
                <w:szCs w:val="18"/>
              </w:rPr>
              <w:t>factor</w:t>
            </w:r>
          </w:p>
        </w:tc>
        <w:tc>
          <w:tcPr>
            <w:tcW w:w="2405" w:type="dxa"/>
            <w:noWrap/>
          </w:tcPr>
          <w:p w14:paraId="0D6C4D1D" w14:textId="77777777" w:rsidR="00533D32" w:rsidRPr="00BD16B4" w:rsidRDefault="00533D32" w:rsidP="00C87B45">
            <w:pPr>
              <w:pStyle w:val="TableText"/>
              <w:spacing w:before="40" w:after="40"/>
              <w:rPr>
                <w:rFonts w:cs="Calibri"/>
                <w:szCs w:val="18"/>
              </w:rPr>
            </w:pPr>
            <w:r w:rsidRPr="00BD16B4">
              <w:rPr>
                <w:rFonts w:cs="Calibri"/>
                <w:szCs w:val="18"/>
              </w:rPr>
              <w:t xml:space="preserve">Low </w:t>
            </w:r>
          </w:p>
        </w:tc>
        <w:tc>
          <w:tcPr>
            <w:tcW w:w="760" w:type="dxa"/>
            <w:noWrap/>
          </w:tcPr>
          <w:p w14:paraId="0ED703BE" w14:textId="77777777" w:rsidR="00533D32" w:rsidRPr="00BD16B4" w:rsidRDefault="00533D32" w:rsidP="00C87B45">
            <w:pPr>
              <w:pStyle w:val="TableText"/>
              <w:spacing w:before="40" w:after="40"/>
              <w:jc w:val="center"/>
              <w:rPr>
                <w:rFonts w:cs="Calibri"/>
                <w:szCs w:val="18"/>
              </w:rPr>
            </w:pPr>
            <w:r w:rsidRPr="00BD16B4">
              <w:rPr>
                <w:rFonts w:cs="Calibri"/>
                <w:szCs w:val="18"/>
              </w:rPr>
              <w:t>1.00</w:t>
            </w:r>
          </w:p>
        </w:tc>
        <w:tc>
          <w:tcPr>
            <w:tcW w:w="892" w:type="dxa"/>
            <w:noWrap/>
          </w:tcPr>
          <w:p w14:paraId="69B737F5" w14:textId="77777777" w:rsidR="00533D32" w:rsidRPr="00BD16B4" w:rsidRDefault="00533D32" w:rsidP="00C87B45">
            <w:pPr>
              <w:pStyle w:val="TableText"/>
              <w:spacing w:before="40" w:after="40"/>
              <w:jc w:val="center"/>
              <w:rPr>
                <w:rFonts w:cs="Calibri"/>
                <w:szCs w:val="18"/>
              </w:rPr>
            </w:pPr>
            <w:r w:rsidRPr="00BD16B4">
              <w:rPr>
                <w:rFonts w:cs="Calibri"/>
                <w:szCs w:val="18"/>
              </w:rPr>
              <w:t>1.00</w:t>
            </w:r>
          </w:p>
        </w:tc>
        <w:tc>
          <w:tcPr>
            <w:tcW w:w="892" w:type="dxa"/>
            <w:noWrap/>
          </w:tcPr>
          <w:p w14:paraId="34EAAB17" w14:textId="77777777" w:rsidR="00533D32" w:rsidRPr="00BD16B4" w:rsidRDefault="00533D32" w:rsidP="00C87B45">
            <w:pPr>
              <w:pStyle w:val="TableText"/>
              <w:spacing w:before="40" w:after="40"/>
              <w:jc w:val="center"/>
              <w:rPr>
                <w:rFonts w:cs="Calibri"/>
                <w:szCs w:val="18"/>
              </w:rPr>
            </w:pPr>
            <w:r w:rsidRPr="00BD16B4">
              <w:rPr>
                <w:rFonts w:cs="Calibri"/>
                <w:szCs w:val="18"/>
              </w:rPr>
              <w:t>1.00</w:t>
            </w:r>
          </w:p>
        </w:tc>
        <w:tc>
          <w:tcPr>
            <w:tcW w:w="892" w:type="dxa"/>
            <w:noWrap/>
          </w:tcPr>
          <w:p w14:paraId="29B25937" w14:textId="77777777" w:rsidR="00533D32" w:rsidRPr="00BD16B4" w:rsidRDefault="00533D32" w:rsidP="00C87B45">
            <w:pPr>
              <w:pStyle w:val="TableText"/>
              <w:spacing w:before="40" w:after="40"/>
              <w:jc w:val="center"/>
              <w:rPr>
                <w:rFonts w:cs="Calibri"/>
                <w:szCs w:val="18"/>
              </w:rPr>
            </w:pPr>
            <w:r w:rsidRPr="00BD16B4">
              <w:rPr>
                <w:rFonts w:cs="Calibri"/>
                <w:szCs w:val="18"/>
              </w:rPr>
              <w:t>1.00</w:t>
            </w:r>
          </w:p>
        </w:tc>
        <w:tc>
          <w:tcPr>
            <w:tcW w:w="892" w:type="dxa"/>
            <w:noWrap/>
          </w:tcPr>
          <w:p w14:paraId="3A154DE0" w14:textId="77777777" w:rsidR="00533D32" w:rsidRPr="00BD16B4" w:rsidRDefault="00533D32" w:rsidP="00C87B45">
            <w:pPr>
              <w:pStyle w:val="TableText"/>
              <w:spacing w:before="40" w:after="40"/>
              <w:jc w:val="center"/>
              <w:rPr>
                <w:rFonts w:cs="Calibri"/>
                <w:szCs w:val="18"/>
              </w:rPr>
            </w:pPr>
            <w:r w:rsidRPr="00BD16B4">
              <w:rPr>
                <w:rFonts w:cs="Calibri"/>
                <w:szCs w:val="18"/>
              </w:rPr>
              <w:t>1.00</w:t>
            </w:r>
          </w:p>
        </w:tc>
        <w:tc>
          <w:tcPr>
            <w:tcW w:w="892" w:type="dxa"/>
            <w:noWrap/>
          </w:tcPr>
          <w:p w14:paraId="5E595B5F" w14:textId="77777777" w:rsidR="00533D32" w:rsidRPr="00BD16B4" w:rsidRDefault="00533D32" w:rsidP="00C87B45">
            <w:pPr>
              <w:pStyle w:val="TableText"/>
              <w:spacing w:before="40" w:after="40"/>
              <w:jc w:val="center"/>
              <w:rPr>
                <w:rFonts w:cs="Calibri"/>
                <w:szCs w:val="18"/>
              </w:rPr>
            </w:pPr>
            <w:r w:rsidRPr="00BD16B4">
              <w:rPr>
                <w:rFonts w:cs="Calibri"/>
                <w:szCs w:val="18"/>
              </w:rPr>
              <w:t>1.00</w:t>
            </w:r>
          </w:p>
        </w:tc>
        <w:tc>
          <w:tcPr>
            <w:tcW w:w="892" w:type="dxa"/>
            <w:noWrap/>
          </w:tcPr>
          <w:p w14:paraId="251332EA" w14:textId="77777777" w:rsidR="00533D32" w:rsidRPr="00BD16B4" w:rsidRDefault="00533D32" w:rsidP="00C87B45">
            <w:pPr>
              <w:pStyle w:val="TableText"/>
              <w:spacing w:before="40" w:after="40"/>
              <w:jc w:val="center"/>
              <w:rPr>
                <w:rFonts w:cs="Calibri"/>
                <w:szCs w:val="18"/>
              </w:rPr>
            </w:pPr>
            <w:r w:rsidRPr="00BD16B4">
              <w:rPr>
                <w:rFonts w:cs="Calibri"/>
                <w:szCs w:val="18"/>
              </w:rPr>
              <w:t>1.00</w:t>
            </w:r>
          </w:p>
        </w:tc>
        <w:tc>
          <w:tcPr>
            <w:tcW w:w="892" w:type="dxa"/>
            <w:shd w:val="clear" w:color="auto" w:fill="D2DDE1" w:themeFill="background2"/>
            <w:noWrap/>
          </w:tcPr>
          <w:p w14:paraId="6C9507F5" w14:textId="77777777" w:rsidR="00533D32" w:rsidRPr="00BD16B4" w:rsidRDefault="00533D32" w:rsidP="00C87B45">
            <w:pPr>
              <w:pStyle w:val="TableText"/>
              <w:spacing w:before="40" w:after="40"/>
              <w:jc w:val="center"/>
              <w:rPr>
                <w:rFonts w:cs="Calibri"/>
                <w:szCs w:val="18"/>
              </w:rPr>
            </w:pPr>
            <w:r w:rsidRPr="00BD16B4">
              <w:rPr>
                <w:rFonts w:cs="Calibri"/>
                <w:szCs w:val="18"/>
              </w:rPr>
              <w:t>0.99</w:t>
            </w:r>
          </w:p>
        </w:tc>
        <w:tc>
          <w:tcPr>
            <w:tcW w:w="892" w:type="dxa"/>
            <w:shd w:val="clear" w:color="auto" w:fill="D2DDE1" w:themeFill="background2"/>
            <w:noWrap/>
          </w:tcPr>
          <w:p w14:paraId="2C5F30C0" w14:textId="77777777" w:rsidR="00533D32" w:rsidRPr="00BD16B4" w:rsidRDefault="00533D32" w:rsidP="00C87B45">
            <w:pPr>
              <w:pStyle w:val="TableText"/>
              <w:spacing w:before="40" w:after="40"/>
              <w:jc w:val="center"/>
              <w:rPr>
                <w:rFonts w:cs="Calibri"/>
                <w:szCs w:val="18"/>
              </w:rPr>
            </w:pPr>
            <w:r w:rsidRPr="00BD16B4">
              <w:rPr>
                <w:rFonts w:cs="Calibri"/>
                <w:szCs w:val="18"/>
              </w:rPr>
              <w:t>0.95</w:t>
            </w:r>
          </w:p>
        </w:tc>
        <w:tc>
          <w:tcPr>
            <w:tcW w:w="892" w:type="dxa"/>
            <w:shd w:val="clear" w:color="auto" w:fill="D2DDE1" w:themeFill="background2"/>
            <w:noWrap/>
          </w:tcPr>
          <w:p w14:paraId="5ADDFB35" w14:textId="77777777" w:rsidR="00533D32" w:rsidRPr="00BD16B4" w:rsidRDefault="00533D32" w:rsidP="00C87B45">
            <w:pPr>
              <w:pStyle w:val="TableText"/>
              <w:spacing w:before="40" w:after="40"/>
              <w:jc w:val="center"/>
              <w:rPr>
                <w:rFonts w:cs="Calibri"/>
                <w:szCs w:val="18"/>
              </w:rPr>
            </w:pPr>
            <w:r w:rsidRPr="00BD16B4">
              <w:rPr>
                <w:rFonts w:cs="Calibri"/>
                <w:szCs w:val="18"/>
              </w:rPr>
              <w:t>0.91</w:t>
            </w:r>
          </w:p>
        </w:tc>
      </w:tr>
      <w:tr w:rsidR="00533D32" w:rsidRPr="00BD16B4" w14:paraId="41146ABA" w14:textId="77777777" w:rsidTr="00315977">
        <w:tc>
          <w:tcPr>
            <w:tcW w:w="1928" w:type="dxa"/>
          </w:tcPr>
          <w:p w14:paraId="0989C32D" w14:textId="77777777" w:rsidR="00533D32" w:rsidRPr="00BD16B4" w:rsidRDefault="00533D32" w:rsidP="00C87B45">
            <w:pPr>
              <w:pStyle w:val="TableText"/>
              <w:keepNext/>
              <w:spacing w:before="40" w:after="40"/>
              <w:rPr>
                <w:rFonts w:cs="Calibri"/>
                <w:szCs w:val="18"/>
              </w:rPr>
            </w:pPr>
            <w:r w:rsidRPr="00BD16B4">
              <w:rPr>
                <w:rFonts w:cs="Calibri"/>
                <w:szCs w:val="18"/>
              </w:rPr>
              <w:t>Combined Population &amp; GDP scaling factor from 2020 projections (Waste sector)</w:t>
            </w:r>
          </w:p>
        </w:tc>
        <w:tc>
          <w:tcPr>
            <w:tcW w:w="1474" w:type="dxa"/>
            <w:tcMar>
              <w:left w:w="57" w:type="dxa"/>
            </w:tcMar>
          </w:tcPr>
          <w:p w14:paraId="05114A67" w14:textId="77777777" w:rsidR="00533D32" w:rsidRPr="00BD16B4" w:rsidRDefault="00533D32" w:rsidP="00C87B45">
            <w:pPr>
              <w:pStyle w:val="TableText"/>
              <w:spacing w:before="40" w:after="40"/>
              <w:rPr>
                <w:rFonts w:cs="Calibri"/>
                <w:szCs w:val="18"/>
              </w:rPr>
            </w:pPr>
            <w:r w:rsidRPr="00BD16B4">
              <w:rPr>
                <w:rFonts w:cs="Calibri"/>
                <w:szCs w:val="18"/>
              </w:rPr>
              <w:t>factor</w:t>
            </w:r>
          </w:p>
        </w:tc>
        <w:tc>
          <w:tcPr>
            <w:tcW w:w="2405" w:type="dxa"/>
            <w:noWrap/>
          </w:tcPr>
          <w:p w14:paraId="035FF59D" w14:textId="77777777" w:rsidR="00533D32" w:rsidRPr="00BD16B4" w:rsidRDefault="00533D32" w:rsidP="00C87B45">
            <w:pPr>
              <w:pStyle w:val="TableText"/>
              <w:spacing w:before="40" w:after="40"/>
              <w:rPr>
                <w:rFonts w:cs="Calibri"/>
                <w:szCs w:val="18"/>
              </w:rPr>
            </w:pPr>
            <w:r w:rsidRPr="00BD16B4">
              <w:rPr>
                <w:rFonts w:cs="Calibri"/>
                <w:szCs w:val="18"/>
              </w:rPr>
              <w:t xml:space="preserve">High </w:t>
            </w:r>
          </w:p>
        </w:tc>
        <w:tc>
          <w:tcPr>
            <w:tcW w:w="760" w:type="dxa"/>
            <w:noWrap/>
          </w:tcPr>
          <w:p w14:paraId="135E3140" w14:textId="77777777" w:rsidR="00533D32" w:rsidRPr="00BD16B4" w:rsidRDefault="00533D32" w:rsidP="00C87B45">
            <w:pPr>
              <w:pStyle w:val="TableText"/>
              <w:spacing w:before="40" w:after="40"/>
              <w:jc w:val="center"/>
              <w:rPr>
                <w:rFonts w:cs="Calibri"/>
                <w:szCs w:val="18"/>
              </w:rPr>
            </w:pPr>
            <w:r w:rsidRPr="00BD16B4">
              <w:rPr>
                <w:rFonts w:cs="Calibri"/>
                <w:szCs w:val="18"/>
              </w:rPr>
              <w:t>1.00</w:t>
            </w:r>
          </w:p>
        </w:tc>
        <w:tc>
          <w:tcPr>
            <w:tcW w:w="892" w:type="dxa"/>
            <w:noWrap/>
          </w:tcPr>
          <w:p w14:paraId="1F9413FB" w14:textId="77777777" w:rsidR="00533D32" w:rsidRPr="00BD16B4" w:rsidRDefault="00533D32" w:rsidP="00C87B45">
            <w:pPr>
              <w:pStyle w:val="TableText"/>
              <w:spacing w:before="40" w:after="40"/>
              <w:jc w:val="center"/>
              <w:rPr>
                <w:rFonts w:cs="Calibri"/>
                <w:szCs w:val="18"/>
              </w:rPr>
            </w:pPr>
            <w:r w:rsidRPr="00BD16B4">
              <w:rPr>
                <w:rFonts w:cs="Calibri"/>
                <w:szCs w:val="18"/>
              </w:rPr>
              <w:t>1.00</w:t>
            </w:r>
          </w:p>
        </w:tc>
        <w:tc>
          <w:tcPr>
            <w:tcW w:w="892" w:type="dxa"/>
            <w:noWrap/>
          </w:tcPr>
          <w:p w14:paraId="0ECF52B6" w14:textId="77777777" w:rsidR="00533D32" w:rsidRPr="00BD16B4" w:rsidRDefault="00533D32" w:rsidP="00C87B45">
            <w:pPr>
              <w:pStyle w:val="TableText"/>
              <w:spacing w:before="40" w:after="40"/>
              <w:jc w:val="center"/>
              <w:rPr>
                <w:rFonts w:cs="Calibri"/>
                <w:szCs w:val="18"/>
              </w:rPr>
            </w:pPr>
            <w:r w:rsidRPr="00BD16B4">
              <w:rPr>
                <w:rFonts w:cs="Calibri"/>
                <w:szCs w:val="18"/>
              </w:rPr>
              <w:t>1.00</w:t>
            </w:r>
          </w:p>
        </w:tc>
        <w:tc>
          <w:tcPr>
            <w:tcW w:w="892" w:type="dxa"/>
            <w:noWrap/>
          </w:tcPr>
          <w:p w14:paraId="42A4D161" w14:textId="77777777" w:rsidR="00533D32" w:rsidRPr="00BD16B4" w:rsidRDefault="00533D32" w:rsidP="00C87B45">
            <w:pPr>
              <w:pStyle w:val="TableText"/>
              <w:spacing w:before="40" w:after="40"/>
              <w:jc w:val="center"/>
              <w:rPr>
                <w:rFonts w:cs="Calibri"/>
                <w:szCs w:val="18"/>
              </w:rPr>
            </w:pPr>
            <w:r w:rsidRPr="00BD16B4">
              <w:rPr>
                <w:rFonts w:cs="Calibri"/>
                <w:szCs w:val="18"/>
              </w:rPr>
              <w:t>1.00</w:t>
            </w:r>
          </w:p>
        </w:tc>
        <w:tc>
          <w:tcPr>
            <w:tcW w:w="892" w:type="dxa"/>
            <w:noWrap/>
          </w:tcPr>
          <w:p w14:paraId="48015818" w14:textId="77777777" w:rsidR="00533D32" w:rsidRPr="00BD16B4" w:rsidRDefault="00533D32" w:rsidP="00C87B45">
            <w:pPr>
              <w:pStyle w:val="TableText"/>
              <w:spacing w:before="40" w:after="40"/>
              <w:jc w:val="center"/>
              <w:rPr>
                <w:rFonts w:cs="Calibri"/>
                <w:szCs w:val="18"/>
              </w:rPr>
            </w:pPr>
            <w:r w:rsidRPr="00BD16B4">
              <w:rPr>
                <w:rFonts w:cs="Calibri"/>
                <w:szCs w:val="18"/>
              </w:rPr>
              <w:t>1.00</w:t>
            </w:r>
          </w:p>
        </w:tc>
        <w:tc>
          <w:tcPr>
            <w:tcW w:w="892" w:type="dxa"/>
            <w:noWrap/>
          </w:tcPr>
          <w:p w14:paraId="769D7319" w14:textId="77777777" w:rsidR="00533D32" w:rsidRPr="00BD16B4" w:rsidRDefault="00533D32" w:rsidP="00C87B45">
            <w:pPr>
              <w:pStyle w:val="TableText"/>
              <w:spacing w:before="40" w:after="40"/>
              <w:jc w:val="center"/>
              <w:rPr>
                <w:rFonts w:cs="Calibri"/>
                <w:szCs w:val="18"/>
              </w:rPr>
            </w:pPr>
            <w:r w:rsidRPr="00BD16B4">
              <w:rPr>
                <w:rFonts w:cs="Calibri"/>
                <w:szCs w:val="18"/>
              </w:rPr>
              <w:t>1.00</w:t>
            </w:r>
          </w:p>
        </w:tc>
        <w:tc>
          <w:tcPr>
            <w:tcW w:w="892" w:type="dxa"/>
            <w:noWrap/>
          </w:tcPr>
          <w:p w14:paraId="115572E2" w14:textId="77777777" w:rsidR="00533D32" w:rsidRPr="00BD16B4" w:rsidRDefault="00533D32" w:rsidP="00C87B45">
            <w:pPr>
              <w:pStyle w:val="TableText"/>
              <w:spacing w:before="40" w:after="40"/>
              <w:jc w:val="center"/>
              <w:rPr>
                <w:rFonts w:cs="Calibri"/>
                <w:szCs w:val="18"/>
              </w:rPr>
            </w:pPr>
            <w:r w:rsidRPr="00BD16B4">
              <w:rPr>
                <w:rFonts w:cs="Calibri"/>
                <w:szCs w:val="18"/>
              </w:rPr>
              <w:t>1.00</w:t>
            </w:r>
          </w:p>
        </w:tc>
        <w:tc>
          <w:tcPr>
            <w:tcW w:w="892" w:type="dxa"/>
            <w:shd w:val="clear" w:color="auto" w:fill="D2DDE1" w:themeFill="background2"/>
            <w:noWrap/>
          </w:tcPr>
          <w:p w14:paraId="1624F1B1" w14:textId="77777777" w:rsidR="00533D32" w:rsidRPr="00BD16B4" w:rsidRDefault="00533D32" w:rsidP="00C87B45">
            <w:pPr>
              <w:pStyle w:val="TableText"/>
              <w:spacing w:before="40" w:after="40"/>
              <w:jc w:val="center"/>
              <w:rPr>
                <w:rFonts w:cs="Calibri"/>
                <w:szCs w:val="18"/>
              </w:rPr>
            </w:pPr>
            <w:r w:rsidRPr="00BD16B4">
              <w:rPr>
                <w:rFonts w:cs="Calibri"/>
                <w:szCs w:val="18"/>
              </w:rPr>
              <w:t>1.01</w:t>
            </w:r>
          </w:p>
        </w:tc>
        <w:tc>
          <w:tcPr>
            <w:tcW w:w="892" w:type="dxa"/>
            <w:shd w:val="clear" w:color="auto" w:fill="D2DDE1" w:themeFill="background2"/>
            <w:noWrap/>
          </w:tcPr>
          <w:p w14:paraId="2258BF83" w14:textId="77777777" w:rsidR="00533D32" w:rsidRPr="00BD16B4" w:rsidRDefault="00533D32" w:rsidP="00C87B45">
            <w:pPr>
              <w:pStyle w:val="TableText"/>
              <w:spacing w:before="40" w:after="40"/>
              <w:jc w:val="center"/>
              <w:rPr>
                <w:rFonts w:cs="Calibri"/>
                <w:szCs w:val="18"/>
              </w:rPr>
            </w:pPr>
            <w:r w:rsidRPr="00BD16B4">
              <w:rPr>
                <w:rFonts w:cs="Calibri"/>
                <w:szCs w:val="18"/>
              </w:rPr>
              <w:t>1.05</w:t>
            </w:r>
          </w:p>
        </w:tc>
        <w:tc>
          <w:tcPr>
            <w:tcW w:w="892" w:type="dxa"/>
            <w:shd w:val="clear" w:color="auto" w:fill="D2DDE1" w:themeFill="background2"/>
            <w:noWrap/>
          </w:tcPr>
          <w:p w14:paraId="41B7BE82" w14:textId="77777777" w:rsidR="00533D32" w:rsidRPr="00BD16B4" w:rsidRDefault="00533D32" w:rsidP="00C87B45">
            <w:pPr>
              <w:pStyle w:val="TableText"/>
              <w:spacing w:before="40" w:after="40"/>
              <w:jc w:val="center"/>
              <w:rPr>
                <w:rFonts w:cs="Calibri"/>
                <w:szCs w:val="18"/>
              </w:rPr>
            </w:pPr>
            <w:r w:rsidRPr="00BD16B4">
              <w:rPr>
                <w:rFonts w:cs="Calibri"/>
                <w:szCs w:val="18"/>
              </w:rPr>
              <w:t>1.09</w:t>
            </w:r>
          </w:p>
        </w:tc>
      </w:tr>
    </w:tbl>
    <w:p w14:paraId="474F31D2" w14:textId="77777777" w:rsidR="00533D32" w:rsidRPr="00BD16B4" w:rsidRDefault="00533D32" w:rsidP="00533D32">
      <w:pPr>
        <w:pStyle w:val="Note"/>
      </w:pPr>
      <w:r w:rsidRPr="00BD16B4">
        <w:rPr>
          <w:b/>
          <w:bCs/>
        </w:rPr>
        <w:t>Note:</w:t>
      </w:r>
      <w:r w:rsidRPr="00BD16B4">
        <w:t xml:space="preserve"> </w:t>
      </w:r>
      <w:r w:rsidRPr="00BD16B4">
        <w:rPr>
          <w:rFonts w:cs="Calibri"/>
          <w:color w:val="000000"/>
        </w:rPr>
        <w:t>CO</w:t>
      </w:r>
      <w:r w:rsidRPr="00BD16B4">
        <w:rPr>
          <w:rFonts w:cs="Calibri"/>
          <w:color w:val="000000"/>
          <w:vertAlign w:val="subscript"/>
        </w:rPr>
        <w:t>2</w:t>
      </w:r>
      <w:r w:rsidRPr="00BD16B4">
        <w:rPr>
          <w:rFonts w:cs="Calibri"/>
          <w:color w:val="000000"/>
        </w:rPr>
        <w:t xml:space="preserve">-e = </w:t>
      </w:r>
      <w:r w:rsidRPr="00BD16B4">
        <w:t xml:space="preserve">carbon dioxide equivalent; GDP = gross domestic product; HFCs = hydrofluorocarbons; NA = not applicable; </w:t>
      </w:r>
      <w:r w:rsidRPr="00BD16B4">
        <w:rPr>
          <w:rFonts w:cs="Calibri"/>
          <w:color w:val="000000"/>
        </w:rPr>
        <w:t xml:space="preserve">WAM = </w:t>
      </w:r>
      <w:r w:rsidRPr="00BD16B4">
        <w:t xml:space="preserve">with additional measures; WEM = with existing measures; WOM = without measures; Low = Low emissions variation of the WEM scenario, High = High emissions variation of the WEM scenario. *Ozone Layer Protection Act 1996 regulations as at 10 December 2018, Schedules 6+1AA, relating to a High Court amendment. ^This includes numbers on native afforestation from the modelled CERF forestry initiatives. </w:t>
      </w:r>
    </w:p>
    <w:p w14:paraId="44370D5F" w14:textId="77777777" w:rsidR="00533D32" w:rsidRPr="00BD16B4" w:rsidRDefault="00533D32" w:rsidP="00533D32">
      <w:pPr>
        <w:pStyle w:val="Heading3"/>
      </w:pPr>
      <w:r w:rsidRPr="00BD16B4">
        <w:lastRenderedPageBreak/>
        <w:t>C.2: Information on updated emissions projections</w:t>
      </w:r>
    </w:p>
    <w:p w14:paraId="0F08C550" w14:textId="77777777" w:rsidR="00533D32" w:rsidRPr="00BD16B4" w:rsidRDefault="00533D32" w:rsidP="00533D32">
      <w:pPr>
        <w:pStyle w:val="Tableheading"/>
      </w:pPr>
      <w:bookmarkStart w:id="524" w:name="_Toc121773839"/>
      <w:r w:rsidRPr="00BD16B4">
        <w:t>Table C.2.1:</w:t>
      </w:r>
      <w:r w:rsidRPr="00BD16B4">
        <w:tab/>
        <w:t>Information on updated greenhouse gas emissions (with measures) (CTF Table 6a)</w:t>
      </w:r>
      <w:bookmarkEnd w:id="524"/>
    </w:p>
    <w:tbl>
      <w:tblPr>
        <w:tblStyle w:val="MinistryfortheEnvironment"/>
        <w:tblW w:w="14515" w:type="dxa"/>
        <w:tblInd w:w="113" w:type="dxa"/>
        <w:tblCellMar>
          <w:left w:w="85" w:type="dxa"/>
          <w:bottom w:w="0" w:type="dxa"/>
          <w:right w:w="57" w:type="dxa"/>
        </w:tblCellMar>
        <w:tblLook w:val="04A0" w:firstRow="1" w:lastRow="0" w:firstColumn="1" w:lastColumn="0" w:noHBand="0" w:noVBand="1"/>
      </w:tblPr>
      <w:tblGrid>
        <w:gridCol w:w="2528"/>
        <w:gridCol w:w="1198"/>
        <w:gridCol w:w="1198"/>
        <w:gridCol w:w="1198"/>
        <w:gridCol w:w="1199"/>
        <w:gridCol w:w="1199"/>
        <w:gridCol w:w="1199"/>
        <w:gridCol w:w="1199"/>
        <w:gridCol w:w="1199"/>
        <w:gridCol w:w="1199"/>
        <w:gridCol w:w="1199"/>
      </w:tblGrid>
      <w:tr w:rsidR="00533D32" w:rsidRPr="00BD16B4" w14:paraId="020211BC" w14:textId="77777777" w:rsidTr="002D166E">
        <w:trPr>
          <w:cnfStyle w:val="100000000000" w:firstRow="1" w:lastRow="0" w:firstColumn="0" w:lastColumn="0" w:oddVBand="0" w:evenVBand="0" w:oddHBand="0" w:evenHBand="0" w:firstRowFirstColumn="0" w:firstRowLastColumn="0" w:lastRowFirstColumn="0" w:lastRowLastColumn="0"/>
          <w:tblHeader/>
        </w:trPr>
        <w:tc>
          <w:tcPr>
            <w:tcW w:w="2034" w:type="dxa"/>
            <w:vMerge w:val="restart"/>
            <w:tcBorders>
              <w:top w:val="single" w:sz="4" w:space="0" w:color="1B556B" w:themeColor="text2"/>
            </w:tcBorders>
            <w:vAlign w:val="bottom"/>
          </w:tcPr>
          <w:p w14:paraId="5E8652B2" w14:textId="77777777" w:rsidR="00533D32" w:rsidRPr="00BD16B4" w:rsidRDefault="00533D32" w:rsidP="00C87B45">
            <w:pPr>
              <w:pStyle w:val="TableText"/>
              <w:spacing w:before="0" w:after="50"/>
              <w:rPr>
                <w:rFonts w:cs="Calibri"/>
                <w:szCs w:val="18"/>
              </w:rPr>
            </w:pPr>
            <w:r w:rsidRPr="00BD16B4">
              <w:rPr>
                <w:rFonts w:cs="Calibri"/>
                <w:szCs w:val="18"/>
              </w:rPr>
              <w:t>GHG emissions projections</w:t>
            </w:r>
          </w:p>
        </w:tc>
        <w:tc>
          <w:tcPr>
            <w:tcW w:w="964" w:type="dxa"/>
            <w:gridSpan w:val="7"/>
            <w:tcBorders>
              <w:top w:val="single" w:sz="4" w:space="0" w:color="1B556B" w:themeColor="text2"/>
            </w:tcBorders>
            <w:vAlign w:val="bottom"/>
          </w:tcPr>
          <w:p w14:paraId="621F5F30" w14:textId="77777777" w:rsidR="00533D32" w:rsidRPr="00BD16B4" w:rsidRDefault="00533D32" w:rsidP="002D166E">
            <w:pPr>
              <w:pStyle w:val="TableText"/>
              <w:spacing w:before="50" w:after="0"/>
              <w:jc w:val="center"/>
              <w:rPr>
                <w:rFonts w:cs="Calibri"/>
                <w:szCs w:val="18"/>
              </w:rPr>
            </w:pPr>
            <w:r w:rsidRPr="00BD16B4">
              <w:rPr>
                <w:rFonts w:cs="Calibri"/>
                <w:szCs w:val="18"/>
              </w:rPr>
              <w:t>GHG emissions and removals</w:t>
            </w:r>
          </w:p>
        </w:tc>
        <w:tc>
          <w:tcPr>
            <w:tcW w:w="964" w:type="dxa"/>
            <w:gridSpan w:val="3"/>
            <w:tcBorders>
              <w:top w:val="single" w:sz="4" w:space="0" w:color="1B556B" w:themeColor="text2"/>
            </w:tcBorders>
            <w:vAlign w:val="bottom"/>
          </w:tcPr>
          <w:p w14:paraId="68939D2F" w14:textId="77777777" w:rsidR="00533D32" w:rsidRPr="00BD16B4" w:rsidRDefault="00533D32" w:rsidP="002D166E">
            <w:pPr>
              <w:pStyle w:val="TableText"/>
              <w:spacing w:before="50" w:after="0"/>
              <w:jc w:val="center"/>
              <w:rPr>
                <w:rFonts w:cs="Calibri"/>
                <w:szCs w:val="18"/>
              </w:rPr>
            </w:pPr>
            <w:r w:rsidRPr="00BD16B4">
              <w:rPr>
                <w:rFonts w:cs="Calibri"/>
                <w:szCs w:val="18"/>
              </w:rPr>
              <w:t>GHG emissions projections</w:t>
            </w:r>
          </w:p>
        </w:tc>
      </w:tr>
      <w:tr w:rsidR="00533D32" w:rsidRPr="00BD16B4" w14:paraId="26B43DC9" w14:textId="77777777" w:rsidTr="002D166E">
        <w:trPr>
          <w:cnfStyle w:val="100000000000" w:firstRow="1" w:lastRow="0" w:firstColumn="0" w:lastColumn="0" w:oddVBand="0" w:evenVBand="0" w:oddHBand="0" w:evenHBand="0" w:firstRowFirstColumn="0" w:firstRowLastColumn="0" w:lastRowFirstColumn="0" w:lastRowLastColumn="0"/>
          <w:tblHeader/>
        </w:trPr>
        <w:tc>
          <w:tcPr>
            <w:tcW w:w="2034" w:type="dxa"/>
            <w:vMerge/>
            <w:tcBorders>
              <w:top w:val="single" w:sz="4" w:space="0" w:color="1B556B" w:themeColor="text2"/>
            </w:tcBorders>
            <w:vAlign w:val="bottom"/>
          </w:tcPr>
          <w:p w14:paraId="246EFDDD" w14:textId="77777777" w:rsidR="00533D32" w:rsidRPr="00BD16B4" w:rsidRDefault="00533D32" w:rsidP="002D166E">
            <w:pPr>
              <w:pStyle w:val="TableText"/>
              <w:spacing w:before="50" w:after="50"/>
              <w:rPr>
                <w:rFonts w:cs="Calibri"/>
                <w:b w:val="0"/>
                <w:bCs/>
                <w:szCs w:val="18"/>
              </w:rPr>
            </w:pPr>
          </w:p>
        </w:tc>
        <w:tc>
          <w:tcPr>
            <w:tcW w:w="964" w:type="dxa"/>
            <w:tcBorders>
              <w:top w:val="single" w:sz="4" w:space="0" w:color="1B556B" w:themeColor="text2"/>
            </w:tcBorders>
            <w:vAlign w:val="bottom"/>
          </w:tcPr>
          <w:p w14:paraId="510DD357" w14:textId="77777777" w:rsidR="00533D32" w:rsidRPr="00BD16B4" w:rsidRDefault="00533D32" w:rsidP="00093B2C">
            <w:pPr>
              <w:pStyle w:val="TableText"/>
              <w:spacing w:before="0" w:after="50"/>
              <w:jc w:val="center"/>
              <w:rPr>
                <w:rFonts w:cs="Calibri"/>
                <w:b w:val="0"/>
                <w:bCs/>
                <w:szCs w:val="18"/>
              </w:rPr>
            </w:pPr>
            <w:r w:rsidRPr="00BD16B4">
              <w:rPr>
                <w:rFonts w:cs="Calibri"/>
                <w:bCs/>
                <w:szCs w:val="18"/>
              </w:rPr>
              <w:t>Base year 1990</w:t>
            </w:r>
            <w:r w:rsidRPr="00BD16B4">
              <w:rPr>
                <w:rFonts w:cs="Calibri"/>
                <w:bCs/>
                <w:szCs w:val="18"/>
              </w:rPr>
              <w:br/>
              <w:t>(kt CO</w:t>
            </w:r>
            <w:r w:rsidRPr="00BD16B4">
              <w:rPr>
                <w:rFonts w:cs="Calibri"/>
                <w:bCs/>
                <w:szCs w:val="18"/>
                <w:vertAlign w:val="subscript"/>
              </w:rPr>
              <w:t>2</w:t>
            </w:r>
            <w:r w:rsidRPr="00BD16B4">
              <w:rPr>
                <w:rFonts w:cs="Calibri"/>
                <w:bCs/>
                <w:szCs w:val="18"/>
              </w:rPr>
              <w:t>-e)</w:t>
            </w:r>
          </w:p>
        </w:tc>
        <w:tc>
          <w:tcPr>
            <w:tcW w:w="964" w:type="dxa"/>
            <w:tcBorders>
              <w:top w:val="single" w:sz="4" w:space="0" w:color="1B556B" w:themeColor="text2"/>
            </w:tcBorders>
            <w:vAlign w:val="bottom"/>
          </w:tcPr>
          <w:p w14:paraId="1A718919" w14:textId="77777777" w:rsidR="00533D32" w:rsidRPr="00BD16B4" w:rsidRDefault="00533D32" w:rsidP="00093B2C">
            <w:pPr>
              <w:pStyle w:val="TableText"/>
              <w:spacing w:before="0" w:after="50"/>
              <w:jc w:val="center"/>
              <w:rPr>
                <w:rFonts w:cs="Calibri"/>
                <w:b w:val="0"/>
                <w:bCs/>
                <w:szCs w:val="18"/>
              </w:rPr>
            </w:pPr>
            <w:r w:rsidRPr="00BD16B4">
              <w:rPr>
                <w:rFonts w:cs="Calibri"/>
                <w:bCs/>
                <w:szCs w:val="18"/>
              </w:rPr>
              <w:t>1995</w:t>
            </w:r>
            <w:r w:rsidRPr="00BD16B4">
              <w:rPr>
                <w:rFonts w:cs="Calibri"/>
                <w:bCs/>
                <w:szCs w:val="18"/>
              </w:rPr>
              <w:br/>
              <w:t>(kt CO</w:t>
            </w:r>
            <w:r w:rsidRPr="00BD16B4">
              <w:rPr>
                <w:rFonts w:cs="Calibri"/>
                <w:bCs/>
                <w:szCs w:val="18"/>
                <w:vertAlign w:val="subscript"/>
              </w:rPr>
              <w:t>2</w:t>
            </w:r>
            <w:r w:rsidRPr="00BD16B4">
              <w:rPr>
                <w:rFonts w:cs="Calibri"/>
                <w:bCs/>
                <w:szCs w:val="18"/>
              </w:rPr>
              <w:t>-e)</w:t>
            </w:r>
          </w:p>
        </w:tc>
        <w:tc>
          <w:tcPr>
            <w:tcW w:w="964" w:type="dxa"/>
            <w:tcBorders>
              <w:top w:val="single" w:sz="4" w:space="0" w:color="1B556B" w:themeColor="text2"/>
            </w:tcBorders>
            <w:vAlign w:val="bottom"/>
          </w:tcPr>
          <w:p w14:paraId="10A54B6B" w14:textId="77777777" w:rsidR="00533D32" w:rsidRPr="00BD16B4" w:rsidRDefault="00533D32" w:rsidP="00093B2C">
            <w:pPr>
              <w:pStyle w:val="TableText"/>
              <w:spacing w:before="0" w:after="50"/>
              <w:jc w:val="center"/>
              <w:rPr>
                <w:rFonts w:cs="Calibri"/>
                <w:b w:val="0"/>
                <w:bCs/>
                <w:szCs w:val="18"/>
              </w:rPr>
            </w:pPr>
            <w:r w:rsidRPr="00BD16B4">
              <w:rPr>
                <w:rFonts w:cs="Calibri"/>
                <w:bCs/>
                <w:szCs w:val="18"/>
              </w:rPr>
              <w:t>2000</w:t>
            </w:r>
            <w:r w:rsidRPr="00BD16B4">
              <w:rPr>
                <w:rFonts w:cs="Calibri"/>
                <w:bCs/>
                <w:szCs w:val="18"/>
              </w:rPr>
              <w:br/>
              <w:t>(kt CO</w:t>
            </w:r>
            <w:r w:rsidRPr="00BD16B4">
              <w:rPr>
                <w:rFonts w:cs="Calibri"/>
                <w:bCs/>
                <w:szCs w:val="18"/>
                <w:vertAlign w:val="subscript"/>
              </w:rPr>
              <w:t>2</w:t>
            </w:r>
            <w:r w:rsidRPr="00BD16B4">
              <w:rPr>
                <w:rFonts w:cs="Calibri"/>
                <w:bCs/>
                <w:szCs w:val="18"/>
              </w:rPr>
              <w:t>-e)</w:t>
            </w:r>
          </w:p>
        </w:tc>
        <w:tc>
          <w:tcPr>
            <w:tcW w:w="964" w:type="dxa"/>
            <w:tcBorders>
              <w:top w:val="single" w:sz="4" w:space="0" w:color="1B556B" w:themeColor="text2"/>
            </w:tcBorders>
            <w:vAlign w:val="bottom"/>
          </w:tcPr>
          <w:p w14:paraId="304AF85A" w14:textId="77777777" w:rsidR="00533D32" w:rsidRPr="00BD16B4" w:rsidRDefault="00533D32" w:rsidP="00093B2C">
            <w:pPr>
              <w:pStyle w:val="TableText"/>
              <w:spacing w:before="0" w:after="50"/>
              <w:jc w:val="center"/>
              <w:rPr>
                <w:rFonts w:cs="Calibri"/>
                <w:b w:val="0"/>
                <w:bCs/>
                <w:szCs w:val="18"/>
              </w:rPr>
            </w:pPr>
            <w:r w:rsidRPr="00BD16B4">
              <w:rPr>
                <w:rFonts w:cs="Calibri"/>
                <w:bCs/>
                <w:szCs w:val="18"/>
              </w:rPr>
              <w:t>2005</w:t>
            </w:r>
            <w:r w:rsidRPr="00BD16B4">
              <w:rPr>
                <w:rFonts w:cs="Calibri"/>
                <w:bCs/>
                <w:szCs w:val="18"/>
              </w:rPr>
              <w:br/>
              <w:t>(kt CO</w:t>
            </w:r>
            <w:r w:rsidRPr="00BD16B4">
              <w:rPr>
                <w:rFonts w:cs="Calibri"/>
                <w:bCs/>
                <w:szCs w:val="18"/>
                <w:vertAlign w:val="subscript"/>
              </w:rPr>
              <w:t>2</w:t>
            </w:r>
            <w:r w:rsidRPr="00BD16B4">
              <w:rPr>
                <w:rFonts w:cs="Calibri"/>
                <w:bCs/>
                <w:szCs w:val="18"/>
              </w:rPr>
              <w:t>-e)</w:t>
            </w:r>
          </w:p>
        </w:tc>
        <w:tc>
          <w:tcPr>
            <w:tcW w:w="964" w:type="dxa"/>
            <w:tcBorders>
              <w:top w:val="single" w:sz="4" w:space="0" w:color="1B556B" w:themeColor="text2"/>
            </w:tcBorders>
            <w:vAlign w:val="bottom"/>
          </w:tcPr>
          <w:p w14:paraId="47265C2D" w14:textId="77777777" w:rsidR="00533D32" w:rsidRPr="00BD16B4" w:rsidRDefault="00533D32" w:rsidP="00093B2C">
            <w:pPr>
              <w:pStyle w:val="TableText"/>
              <w:spacing w:before="0" w:after="50"/>
              <w:jc w:val="center"/>
              <w:rPr>
                <w:rFonts w:cs="Calibri"/>
                <w:b w:val="0"/>
                <w:bCs/>
                <w:szCs w:val="18"/>
              </w:rPr>
            </w:pPr>
            <w:r w:rsidRPr="00BD16B4">
              <w:rPr>
                <w:rFonts w:cs="Calibri"/>
                <w:bCs/>
                <w:szCs w:val="18"/>
              </w:rPr>
              <w:t>2010</w:t>
            </w:r>
            <w:r w:rsidRPr="00BD16B4">
              <w:rPr>
                <w:rFonts w:cs="Calibri"/>
                <w:bCs/>
                <w:szCs w:val="18"/>
              </w:rPr>
              <w:br/>
              <w:t>(kt CO</w:t>
            </w:r>
            <w:r w:rsidRPr="00BD16B4">
              <w:rPr>
                <w:rFonts w:cs="Calibri"/>
                <w:bCs/>
                <w:szCs w:val="18"/>
                <w:vertAlign w:val="subscript"/>
              </w:rPr>
              <w:t>2</w:t>
            </w:r>
            <w:r w:rsidRPr="00BD16B4">
              <w:rPr>
                <w:rFonts w:cs="Calibri"/>
                <w:bCs/>
                <w:szCs w:val="18"/>
              </w:rPr>
              <w:t>-e)</w:t>
            </w:r>
          </w:p>
        </w:tc>
        <w:tc>
          <w:tcPr>
            <w:tcW w:w="964" w:type="dxa"/>
            <w:tcBorders>
              <w:top w:val="single" w:sz="4" w:space="0" w:color="1B556B" w:themeColor="text2"/>
            </w:tcBorders>
            <w:vAlign w:val="bottom"/>
          </w:tcPr>
          <w:p w14:paraId="25AB0F21" w14:textId="77777777" w:rsidR="00533D32" w:rsidRPr="00BD16B4" w:rsidRDefault="00533D32" w:rsidP="00093B2C">
            <w:pPr>
              <w:pStyle w:val="TableText"/>
              <w:spacing w:before="0" w:after="50"/>
              <w:jc w:val="center"/>
              <w:rPr>
                <w:rFonts w:cs="Calibri"/>
                <w:b w:val="0"/>
                <w:bCs/>
                <w:szCs w:val="18"/>
              </w:rPr>
            </w:pPr>
            <w:r w:rsidRPr="00BD16B4">
              <w:rPr>
                <w:rFonts w:cs="Calibri"/>
                <w:bCs/>
                <w:szCs w:val="18"/>
              </w:rPr>
              <w:t>2015</w:t>
            </w:r>
            <w:r w:rsidRPr="00BD16B4">
              <w:rPr>
                <w:rFonts w:cs="Calibri"/>
                <w:bCs/>
                <w:szCs w:val="18"/>
              </w:rPr>
              <w:br/>
              <w:t>(kt CO</w:t>
            </w:r>
            <w:r w:rsidRPr="00BD16B4">
              <w:rPr>
                <w:rFonts w:cs="Calibri"/>
                <w:bCs/>
                <w:szCs w:val="18"/>
                <w:vertAlign w:val="subscript"/>
              </w:rPr>
              <w:t>2</w:t>
            </w:r>
            <w:r w:rsidRPr="00BD16B4">
              <w:rPr>
                <w:rFonts w:cs="Calibri"/>
                <w:bCs/>
                <w:szCs w:val="18"/>
              </w:rPr>
              <w:t>-e)</w:t>
            </w:r>
          </w:p>
        </w:tc>
        <w:tc>
          <w:tcPr>
            <w:tcW w:w="964" w:type="dxa"/>
            <w:tcBorders>
              <w:top w:val="single" w:sz="4" w:space="0" w:color="1B556B" w:themeColor="text2"/>
            </w:tcBorders>
            <w:vAlign w:val="bottom"/>
          </w:tcPr>
          <w:p w14:paraId="2E70243B" w14:textId="77777777" w:rsidR="00533D32" w:rsidRPr="00BD16B4" w:rsidRDefault="00533D32" w:rsidP="00093B2C">
            <w:pPr>
              <w:pStyle w:val="TableText"/>
              <w:spacing w:before="0" w:after="50"/>
              <w:jc w:val="center"/>
              <w:rPr>
                <w:rFonts w:cs="Calibri"/>
                <w:b w:val="0"/>
                <w:bCs/>
                <w:szCs w:val="18"/>
              </w:rPr>
            </w:pPr>
            <w:r w:rsidRPr="00BD16B4">
              <w:rPr>
                <w:rFonts w:cs="Calibri"/>
                <w:bCs/>
                <w:szCs w:val="18"/>
              </w:rPr>
              <w:t>2020</w:t>
            </w:r>
            <w:r w:rsidRPr="00BD16B4">
              <w:rPr>
                <w:rFonts w:cs="Calibri"/>
                <w:bCs/>
                <w:szCs w:val="18"/>
              </w:rPr>
              <w:br/>
              <w:t>(kt CO</w:t>
            </w:r>
            <w:r w:rsidRPr="00BD16B4">
              <w:rPr>
                <w:rFonts w:cs="Calibri"/>
                <w:bCs/>
                <w:szCs w:val="18"/>
                <w:vertAlign w:val="subscript"/>
              </w:rPr>
              <w:t>2</w:t>
            </w:r>
            <w:r w:rsidRPr="00BD16B4">
              <w:rPr>
                <w:rFonts w:cs="Calibri"/>
                <w:bCs/>
                <w:szCs w:val="18"/>
              </w:rPr>
              <w:t>-e)</w:t>
            </w:r>
          </w:p>
        </w:tc>
        <w:tc>
          <w:tcPr>
            <w:tcW w:w="964" w:type="dxa"/>
            <w:tcBorders>
              <w:top w:val="single" w:sz="4" w:space="0" w:color="1B556B" w:themeColor="text2"/>
            </w:tcBorders>
            <w:vAlign w:val="bottom"/>
          </w:tcPr>
          <w:p w14:paraId="1F2AAA9A" w14:textId="77777777" w:rsidR="00533D32" w:rsidRPr="00BD16B4" w:rsidRDefault="00533D32" w:rsidP="00093B2C">
            <w:pPr>
              <w:pStyle w:val="TableText"/>
              <w:spacing w:before="0" w:after="50"/>
              <w:jc w:val="center"/>
              <w:rPr>
                <w:rFonts w:cs="Calibri"/>
                <w:b w:val="0"/>
                <w:bCs/>
                <w:szCs w:val="18"/>
              </w:rPr>
            </w:pPr>
            <w:r w:rsidRPr="00BD16B4">
              <w:rPr>
                <w:rFonts w:cs="Calibri"/>
                <w:bCs/>
                <w:szCs w:val="18"/>
              </w:rPr>
              <w:t>2025</w:t>
            </w:r>
            <w:r w:rsidRPr="00BD16B4">
              <w:rPr>
                <w:rFonts w:cs="Calibri"/>
                <w:bCs/>
                <w:szCs w:val="18"/>
              </w:rPr>
              <w:br/>
              <w:t>(kt CO</w:t>
            </w:r>
            <w:r w:rsidRPr="00BD16B4">
              <w:rPr>
                <w:rFonts w:cs="Calibri"/>
                <w:bCs/>
                <w:szCs w:val="18"/>
                <w:vertAlign w:val="subscript"/>
              </w:rPr>
              <w:t>2</w:t>
            </w:r>
            <w:r w:rsidRPr="00BD16B4">
              <w:rPr>
                <w:rFonts w:cs="Calibri"/>
                <w:bCs/>
                <w:szCs w:val="18"/>
              </w:rPr>
              <w:t>-e)</w:t>
            </w:r>
          </w:p>
        </w:tc>
        <w:tc>
          <w:tcPr>
            <w:tcW w:w="964" w:type="dxa"/>
            <w:tcBorders>
              <w:top w:val="single" w:sz="4" w:space="0" w:color="1B556B" w:themeColor="text2"/>
            </w:tcBorders>
            <w:vAlign w:val="bottom"/>
          </w:tcPr>
          <w:p w14:paraId="42DF8E24" w14:textId="77777777" w:rsidR="00533D32" w:rsidRPr="00BD16B4" w:rsidRDefault="00533D32" w:rsidP="00093B2C">
            <w:pPr>
              <w:pStyle w:val="TableText"/>
              <w:spacing w:before="0" w:after="50"/>
              <w:jc w:val="center"/>
              <w:rPr>
                <w:rFonts w:cs="Calibri"/>
                <w:b w:val="0"/>
                <w:bCs/>
                <w:szCs w:val="18"/>
              </w:rPr>
            </w:pPr>
            <w:r w:rsidRPr="00BD16B4">
              <w:rPr>
                <w:rFonts w:cs="Calibri"/>
                <w:bCs/>
                <w:szCs w:val="18"/>
              </w:rPr>
              <w:t>2030</w:t>
            </w:r>
            <w:r w:rsidRPr="00BD16B4">
              <w:rPr>
                <w:rFonts w:cs="Calibri"/>
                <w:bCs/>
                <w:szCs w:val="18"/>
              </w:rPr>
              <w:br/>
              <w:t>(kt CO</w:t>
            </w:r>
            <w:r w:rsidRPr="00BD16B4">
              <w:rPr>
                <w:rFonts w:cs="Calibri"/>
                <w:bCs/>
                <w:szCs w:val="18"/>
                <w:vertAlign w:val="subscript"/>
              </w:rPr>
              <w:t>2</w:t>
            </w:r>
            <w:r w:rsidRPr="00BD16B4">
              <w:rPr>
                <w:rFonts w:cs="Calibri"/>
                <w:bCs/>
                <w:szCs w:val="18"/>
              </w:rPr>
              <w:t>-e)</w:t>
            </w:r>
          </w:p>
        </w:tc>
        <w:tc>
          <w:tcPr>
            <w:tcW w:w="964" w:type="dxa"/>
            <w:tcBorders>
              <w:top w:val="single" w:sz="4" w:space="0" w:color="1B556B" w:themeColor="text2"/>
            </w:tcBorders>
            <w:vAlign w:val="bottom"/>
          </w:tcPr>
          <w:p w14:paraId="155CDDC3" w14:textId="77777777" w:rsidR="00533D32" w:rsidRPr="00BD16B4" w:rsidRDefault="00533D32" w:rsidP="00093B2C">
            <w:pPr>
              <w:pStyle w:val="TableText"/>
              <w:spacing w:before="0" w:after="50"/>
              <w:jc w:val="center"/>
              <w:rPr>
                <w:rFonts w:cs="Calibri"/>
                <w:b w:val="0"/>
                <w:bCs/>
                <w:szCs w:val="18"/>
              </w:rPr>
            </w:pPr>
            <w:r w:rsidRPr="00BD16B4">
              <w:rPr>
                <w:rFonts w:cs="Calibri"/>
                <w:bCs/>
                <w:szCs w:val="18"/>
              </w:rPr>
              <w:t>2035</w:t>
            </w:r>
            <w:r w:rsidRPr="00BD16B4">
              <w:rPr>
                <w:rFonts w:cs="Calibri"/>
                <w:bCs/>
                <w:szCs w:val="18"/>
              </w:rPr>
              <w:br/>
              <w:t>(kt CO</w:t>
            </w:r>
            <w:r w:rsidRPr="00BD16B4">
              <w:rPr>
                <w:rFonts w:cs="Calibri"/>
                <w:bCs/>
                <w:szCs w:val="18"/>
                <w:vertAlign w:val="subscript"/>
              </w:rPr>
              <w:t>2</w:t>
            </w:r>
            <w:r w:rsidRPr="00BD16B4">
              <w:rPr>
                <w:rFonts w:cs="Calibri"/>
                <w:bCs/>
                <w:szCs w:val="18"/>
              </w:rPr>
              <w:t>-e)</w:t>
            </w:r>
          </w:p>
        </w:tc>
      </w:tr>
      <w:tr w:rsidR="00533D32" w:rsidRPr="00BD16B4" w14:paraId="6BFFA6E1" w14:textId="77777777" w:rsidTr="002D166E">
        <w:tc>
          <w:tcPr>
            <w:tcW w:w="2034" w:type="dxa"/>
            <w:tcBorders>
              <w:top w:val="single" w:sz="4" w:space="0" w:color="1B556B" w:themeColor="text2"/>
            </w:tcBorders>
          </w:tcPr>
          <w:p w14:paraId="6BB3077B" w14:textId="77777777" w:rsidR="00533D32" w:rsidRPr="00BD16B4" w:rsidRDefault="00533D32" w:rsidP="002D166E">
            <w:pPr>
              <w:pStyle w:val="TableText"/>
              <w:spacing w:before="50" w:after="50"/>
              <w:rPr>
                <w:rFonts w:cs="Calibri"/>
                <w:b/>
                <w:bCs/>
                <w:szCs w:val="18"/>
              </w:rPr>
            </w:pPr>
            <w:r w:rsidRPr="00BD16B4">
              <w:rPr>
                <w:rFonts w:cs="Calibri"/>
                <w:b/>
                <w:bCs/>
                <w:szCs w:val="18"/>
              </w:rPr>
              <w:t>Sector</w:t>
            </w:r>
          </w:p>
        </w:tc>
        <w:tc>
          <w:tcPr>
            <w:tcW w:w="964" w:type="dxa"/>
            <w:tcBorders>
              <w:top w:val="single" w:sz="4" w:space="0" w:color="1B556B" w:themeColor="text2"/>
            </w:tcBorders>
          </w:tcPr>
          <w:p w14:paraId="4E32F41E" w14:textId="77777777" w:rsidR="00533D32" w:rsidRPr="00BD16B4" w:rsidRDefault="00533D32" w:rsidP="002D166E">
            <w:pPr>
              <w:pStyle w:val="TableText"/>
              <w:spacing w:before="50" w:after="50"/>
              <w:jc w:val="center"/>
              <w:rPr>
                <w:rFonts w:cs="Calibri"/>
                <w:b/>
                <w:bCs/>
                <w:szCs w:val="18"/>
              </w:rPr>
            </w:pPr>
          </w:p>
        </w:tc>
        <w:tc>
          <w:tcPr>
            <w:tcW w:w="964" w:type="dxa"/>
            <w:tcBorders>
              <w:top w:val="single" w:sz="4" w:space="0" w:color="1B556B" w:themeColor="text2"/>
            </w:tcBorders>
          </w:tcPr>
          <w:p w14:paraId="13CBF53F" w14:textId="77777777" w:rsidR="00533D32" w:rsidRPr="00BD16B4" w:rsidRDefault="00533D32" w:rsidP="002D166E">
            <w:pPr>
              <w:pStyle w:val="TableText"/>
              <w:spacing w:before="50" w:after="50"/>
              <w:jc w:val="center"/>
              <w:rPr>
                <w:rFonts w:cs="Calibri"/>
                <w:b/>
                <w:bCs/>
                <w:szCs w:val="18"/>
              </w:rPr>
            </w:pPr>
          </w:p>
        </w:tc>
        <w:tc>
          <w:tcPr>
            <w:tcW w:w="964" w:type="dxa"/>
            <w:tcBorders>
              <w:top w:val="single" w:sz="4" w:space="0" w:color="1B556B" w:themeColor="text2"/>
            </w:tcBorders>
          </w:tcPr>
          <w:p w14:paraId="128C3D45" w14:textId="77777777" w:rsidR="00533D32" w:rsidRPr="00BD16B4" w:rsidRDefault="00533D32" w:rsidP="002D166E">
            <w:pPr>
              <w:pStyle w:val="TableText"/>
              <w:spacing w:before="50" w:after="50"/>
              <w:jc w:val="center"/>
              <w:rPr>
                <w:rFonts w:cs="Calibri"/>
                <w:b/>
                <w:bCs/>
                <w:szCs w:val="18"/>
              </w:rPr>
            </w:pPr>
          </w:p>
        </w:tc>
        <w:tc>
          <w:tcPr>
            <w:tcW w:w="964" w:type="dxa"/>
            <w:tcBorders>
              <w:top w:val="single" w:sz="4" w:space="0" w:color="1B556B" w:themeColor="text2"/>
            </w:tcBorders>
          </w:tcPr>
          <w:p w14:paraId="29172934" w14:textId="77777777" w:rsidR="00533D32" w:rsidRPr="00BD16B4" w:rsidRDefault="00533D32" w:rsidP="002D166E">
            <w:pPr>
              <w:pStyle w:val="TableText"/>
              <w:spacing w:before="50" w:after="50"/>
              <w:jc w:val="center"/>
              <w:rPr>
                <w:rFonts w:cs="Calibri"/>
                <w:b/>
                <w:bCs/>
                <w:szCs w:val="18"/>
              </w:rPr>
            </w:pPr>
          </w:p>
        </w:tc>
        <w:tc>
          <w:tcPr>
            <w:tcW w:w="964" w:type="dxa"/>
            <w:tcBorders>
              <w:top w:val="single" w:sz="4" w:space="0" w:color="1B556B" w:themeColor="text2"/>
            </w:tcBorders>
          </w:tcPr>
          <w:p w14:paraId="78947F03" w14:textId="77777777" w:rsidR="00533D32" w:rsidRPr="00BD16B4" w:rsidRDefault="00533D32" w:rsidP="002D166E">
            <w:pPr>
              <w:pStyle w:val="TableText"/>
              <w:spacing w:before="50" w:after="50"/>
              <w:jc w:val="center"/>
              <w:rPr>
                <w:rFonts w:cs="Calibri"/>
                <w:b/>
                <w:bCs/>
                <w:szCs w:val="18"/>
              </w:rPr>
            </w:pPr>
          </w:p>
        </w:tc>
        <w:tc>
          <w:tcPr>
            <w:tcW w:w="964" w:type="dxa"/>
            <w:tcBorders>
              <w:top w:val="single" w:sz="4" w:space="0" w:color="1B556B" w:themeColor="text2"/>
            </w:tcBorders>
          </w:tcPr>
          <w:p w14:paraId="73D98F19" w14:textId="77777777" w:rsidR="00533D32" w:rsidRPr="00BD16B4" w:rsidRDefault="00533D32" w:rsidP="002D166E">
            <w:pPr>
              <w:pStyle w:val="TableText"/>
              <w:spacing w:before="50" w:after="50"/>
              <w:jc w:val="center"/>
              <w:rPr>
                <w:rFonts w:cs="Calibri"/>
                <w:b/>
                <w:bCs/>
                <w:szCs w:val="18"/>
              </w:rPr>
            </w:pPr>
          </w:p>
        </w:tc>
        <w:tc>
          <w:tcPr>
            <w:tcW w:w="964" w:type="dxa"/>
            <w:tcBorders>
              <w:top w:val="single" w:sz="4" w:space="0" w:color="1B556B" w:themeColor="text2"/>
            </w:tcBorders>
          </w:tcPr>
          <w:p w14:paraId="7C539968" w14:textId="77777777" w:rsidR="00533D32" w:rsidRPr="00BD16B4" w:rsidRDefault="00533D32" w:rsidP="002D166E">
            <w:pPr>
              <w:pStyle w:val="TableText"/>
              <w:spacing w:before="50" w:after="50"/>
              <w:jc w:val="center"/>
              <w:rPr>
                <w:rFonts w:cs="Calibri"/>
                <w:b/>
                <w:bCs/>
                <w:szCs w:val="18"/>
              </w:rPr>
            </w:pPr>
          </w:p>
        </w:tc>
        <w:tc>
          <w:tcPr>
            <w:tcW w:w="964" w:type="dxa"/>
            <w:tcBorders>
              <w:top w:val="single" w:sz="4" w:space="0" w:color="1B556B" w:themeColor="text2"/>
            </w:tcBorders>
            <w:shd w:val="clear" w:color="auto" w:fill="D2DDE1" w:themeFill="background2"/>
          </w:tcPr>
          <w:p w14:paraId="2E311734" w14:textId="77777777" w:rsidR="00533D32" w:rsidRPr="00BD16B4" w:rsidRDefault="00533D32" w:rsidP="002D166E">
            <w:pPr>
              <w:pStyle w:val="TableText"/>
              <w:spacing w:before="50" w:after="50"/>
              <w:jc w:val="center"/>
              <w:rPr>
                <w:rFonts w:cs="Calibri"/>
                <w:b/>
                <w:bCs/>
                <w:szCs w:val="18"/>
              </w:rPr>
            </w:pPr>
          </w:p>
        </w:tc>
        <w:tc>
          <w:tcPr>
            <w:tcW w:w="964" w:type="dxa"/>
            <w:tcBorders>
              <w:top w:val="single" w:sz="4" w:space="0" w:color="1B556B" w:themeColor="text2"/>
            </w:tcBorders>
            <w:shd w:val="clear" w:color="auto" w:fill="D2DDE1" w:themeFill="background2"/>
          </w:tcPr>
          <w:p w14:paraId="2C53F970" w14:textId="77777777" w:rsidR="00533D32" w:rsidRPr="00BD16B4" w:rsidRDefault="00533D32" w:rsidP="002D166E">
            <w:pPr>
              <w:pStyle w:val="TableText"/>
              <w:spacing w:before="50" w:after="50"/>
              <w:jc w:val="center"/>
              <w:rPr>
                <w:rFonts w:cs="Calibri"/>
                <w:b/>
                <w:bCs/>
                <w:szCs w:val="18"/>
              </w:rPr>
            </w:pPr>
          </w:p>
        </w:tc>
        <w:tc>
          <w:tcPr>
            <w:tcW w:w="964" w:type="dxa"/>
            <w:tcBorders>
              <w:top w:val="single" w:sz="4" w:space="0" w:color="1B556B" w:themeColor="text2"/>
            </w:tcBorders>
            <w:shd w:val="clear" w:color="auto" w:fill="D2DDE1" w:themeFill="background2"/>
          </w:tcPr>
          <w:p w14:paraId="2C950578" w14:textId="77777777" w:rsidR="00533D32" w:rsidRPr="00BD16B4" w:rsidRDefault="00533D32" w:rsidP="002D166E">
            <w:pPr>
              <w:pStyle w:val="TableText"/>
              <w:spacing w:before="50" w:after="50"/>
              <w:jc w:val="center"/>
              <w:rPr>
                <w:rFonts w:cs="Calibri"/>
                <w:b/>
                <w:bCs/>
                <w:szCs w:val="18"/>
              </w:rPr>
            </w:pPr>
          </w:p>
        </w:tc>
      </w:tr>
      <w:tr w:rsidR="00533D32" w:rsidRPr="00BD16B4" w14:paraId="0952BF33"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49B20138" w14:textId="77777777" w:rsidR="00533D32" w:rsidRPr="00BD16B4" w:rsidRDefault="00533D32" w:rsidP="002D166E">
            <w:pPr>
              <w:pStyle w:val="TableText"/>
              <w:spacing w:before="50" w:after="50"/>
              <w:rPr>
                <w:rFonts w:cs="Calibri"/>
                <w:szCs w:val="18"/>
              </w:rPr>
            </w:pPr>
            <w:r w:rsidRPr="00BD16B4">
              <w:rPr>
                <w:rFonts w:cs="Calibri"/>
                <w:szCs w:val="18"/>
              </w:rPr>
              <w:t>Energy</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CE5A85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15,751.70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17914F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15,618.56</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D26E48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18,370.71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81A1F3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21,586.33</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D2BFA0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18,898.06</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B23230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18,600.46</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E047B0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18,285.00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3CF04BB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13,589.80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6996016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12,050.37</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3AC0964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10,990.54</w:t>
            </w:r>
          </w:p>
        </w:tc>
      </w:tr>
      <w:tr w:rsidR="00533D32" w:rsidRPr="00BD16B4" w14:paraId="04D22272"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467DB5FC" w14:textId="77777777" w:rsidR="00533D32" w:rsidRPr="00BD16B4" w:rsidRDefault="00533D32" w:rsidP="002D166E">
            <w:pPr>
              <w:pStyle w:val="TableText"/>
              <w:spacing w:before="50" w:after="50"/>
              <w:rPr>
                <w:rFonts w:cs="Calibri"/>
                <w:szCs w:val="18"/>
              </w:rPr>
            </w:pPr>
            <w:r w:rsidRPr="00BD16B4">
              <w:rPr>
                <w:rFonts w:cs="Calibri"/>
                <w:szCs w:val="18"/>
              </w:rPr>
              <w:t>Transport</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FBB4FB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8,126.19</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FED66F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10,247.56</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194AD0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11,648.31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FBF03C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13,063.44</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E014E3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13,349.43</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321D11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13,805.24</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35E718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13,176.42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09357DA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15,111.28</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6421C85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14,798.50</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7F0F30D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13,754.28</w:t>
            </w:r>
          </w:p>
        </w:tc>
      </w:tr>
      <w:tr w:rsidR="00533D32" w:rsidRPr="00BD16B4" w14:paraId="045ACE2D"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0C801DA6" w14:textId="77777777" w:rsidR="00533D32" w:rsidRPr="00BD16B4" w:rsidRDefault="00533D32" w:rsidP="002D166E">
            <w:pPr>
              <w:pStyle w:val="TableText"/>
              <w:spacing w:before="50" w:after="50"/>
              <w:rPr>
                <w:rFonts w:cs="Calibri"/>
                <w:szCs w:val="18"/>
              </w:rPr>
            </w:pPr>
            <w:r w:rsidRPr="00BD16B4">
              <w:rPr>
                <w:rFonts w:cs="Calibri"/>
                <w:szCs w:val="18"/>
              </w:rPr>
              <w:t>Industry/industrial processes</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9FE1F8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3,579.92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50D518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3,174.43</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AFE1BD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3,443.22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17FA30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4,061.65</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89D66A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4,591.13</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97725B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5,137.32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AEE1D7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4,618.35</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7BEE3FF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4,019.60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7E18D4B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3,910.28</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19A5AFE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3,717.95</w:t>
            </w:r>
          </w:p>
        </w:tc>
      </w:tr>
      <w:tr w:rsidR="00533D32" w:rsidRPr="00BD16B4" w14:paraId="51CE1094"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2AA434DE" w14:textId="77777777" w:rsidR="00533D32" w:rsidRPr="00BD16B4" w:rsidRDefault="00533D32" w:rsidP="002D166E">
            <w:pPr>
              <w:pStyle w:val="TableText"/>
              <w:spacing w:before="50" w:after="50"/>
              <w:rPr>
                <w:rFonts w:cs="Calibri"/>
                <w:szCs w:val="18"/>
              </w:rPr>
            </w:pPr>
            <w:r w:rsidRPr="00BD16B4">
              <w:rPr>
                <w:rFonts w:cs="Calibri"/>
                <w:szCs w:val="18"/>
              </w:rPr>
              <w:t>Agriculture</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88CFC0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33,792.88</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3AE123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35,734.70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7FD376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37,614.88</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843FE9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39,571.90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38B480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37,711.50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15694C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39,415.79</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196492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39,425.54</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4D81DD4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37,432.57</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0A129A6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36,298.76</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06BB12D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35,329.96</w:t>
            </w:r>
          </w:p>
        </w:tc>
      </w:tr>
      <w:tr w:rsidR="00533D32" w:rsidRPr="00BD16B4" w14:paraId="09ED1249"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695ED521" w14:textId="77777777" w:rsidR="00533D32" w:rsidRPr="00BD16B4" w:rsidRDefault="00533D32" w:rsidP="002D166E">
            <w:pPr>
              <w:pStyle w:val="TableText"/>
              <w:spacing w:before="50" w:after="50"/>
              <w:rPr>
                <w:rFonts w:cs="Calibri"/>
                <w:szCs w:val="18"/>
              </w:rPr>
            </w:pPr>
            <w:r w:rsidRPr="00BD16B4">
              <w:rPr>
                <w:rFonts w:cs="Calibri"/>
                <w:szCs w:val="18"/>
              </w:rPr>
              <w:t>Forestry/LULUCF</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6234B3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-21,229.22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30A9E2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-22,445.90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96332F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-26,934.90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DA5EE1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-25,424.54</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1AAC39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-29,326.27</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F1E414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-26,610.16</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6BB67A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-23,313.25</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4E84859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-9,532.97</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4D0547A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-12,013.71</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5E9B613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-25,476.16</w:t>
            </w:r>
          </w:p>
        </w:tc>
      </w:tr>
      <w:tr w:rsidR="00533D32" w:rsidRPr="00BD16B4" w14:paraId="2DD11FE4"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66E340CD" w14:textId="77777777" w:rsidR="00533D32" w:rsidRPr="00BD16B4" w:rsidRDefault="00533D32" w:rsidP="002D166E">
            <w:pPr>
              <w:pStyle w:val="TableText"/>
              <w:spacing w:before="50" w:after="50"/>
              <w:rPr>
                <w:rFonts w:cs="Calibri"/>
                <w:szCs w:val="18"/>
              </w:rPr>
            </w:pPr>
            <w:r w:rsidRPr="00BD16B4">
              <w:rPr>
                <w:rFonts w:cs="Calibri"/>
                <w:szCs w:val="18"/>
              </w:rPr>
              <w:t>Waste management/waste</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739E0D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3,943.11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273BFA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4,234.51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D8BFC7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4,434.56</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E619E8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4,378.30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20A67B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3,871.67</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43ADCA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3,487.83</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13003F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3,268.87</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1A14893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3,137.90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20E0300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2,982.49</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539FA02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2,884.33</w:t>
            </w:r>
          </w:p>
        </w:tc>
      </w:tr>
      <w:tr w:rsidR="00533D32" w:rsidRPr="00BD16B4" w14:paraId="45F0B5F4"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4AC1281F" w14:textId="77777777" w:rsidR="00533D32" w:rsidRPr="00BD16B4" w:rsidRDefault="00533D32" w:rsidP="002D166E">
            <w:pPr>
              <w:pStyle w:val="TableText"/>
              <w:spacing w:before="50" w:after="50"/>
              <w:rPr>
                <w:rFonts w:cs="Calibri"/>
                <w:szCs w:val="18"/>
              </w:rPr>
            </w:pPr>
            <w:r w:rsidRPr="00BD16B4">
              <w:rPr>
                <w:rFonts w:cs="Calibri"/>
                <w:szCs w:val="18"/>
              </w:rPr>
              <w:t>Tokelau (Other)</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F2D133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3.17</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F47ED2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3.14</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562549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3.49</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8536FF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4.49</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3FADAD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4.52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9AAB6A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52E469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4.18</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1B56D67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3.56</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6D6F45C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3.51</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60D4273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3.46</w:t>
            </w:r>
          </w:p>
        </w:tc>
      </w:tr>
      <w:tr w:rsidR="00533D32" w:rsidRPr="00BD16B4" w14:paraId="03586941" w14:textId="77777777" w:rsidTr="002D166E">
        <w:tc>
          <w:tcPr>
            <w:tcW w:w="2034" w:type="dxa"/>
            <w:tcBorders>
              <w:top w:val="single" w:sz="4" w:space="0" w:color="1B556B" w:themeColor="text2"/>
            </w:tcBorders>
          </w:tcPr>
          <w:p w14:paraId="3E813718" w14:textId="77777777" w:rsidR="00533D32" w:rsidRPr="00BD16B4" w:rsidRDefault="00533D32" w:rsidP="002D166E">
            <w:pPr>
              <w:pStyle w:val="TableText"/>
              <w:keepNext/>
              <w:spacing w:before="50" w:after="50"/>
              <w:rPr>
                <w:rFonts w:cs="Calibri"/>
                <w:b/>
                <w:bCs/>
                <w:szCs w:val="18"/>
              </w:rPr>
            </w:pPr>
            <w:r w:rsidRPr="00BD16B4">
              <w:rPr>
                <w:rFonts w:cs="Calibri"/>
                <w:b/>
                <w:bCs/>
                <w:szCs w:val="18"/>
              </w:rPr>
              <w:t xml:space="preserve">Gas </w:t>
            </w:r>
          </w:p>
        </w:tc>
        <w:tc>
          <w:tcPr>
            <w:tcW w:w="964" w:type="dxa"/>
            <w:tcBorders>
              <w:top w:val="single" w:sz="4" w:space="0" w:color="1B556B" w:themeColor="text2"/>
            </w:tcBorders>
          </w:tcPr>
          <w:p w14:paraId="7E2B6B4E"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tcBorders>
          </w:tcPr>
          <w:p w14:paraId="62C09C80"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tcBorders>
          </w:tcPr>
          <w:p w14:paraId="1240BC6F"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tcBorders>
          </w:tcPr>
          <w:p w14:paraId="5889B14F"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tcBorders>
          </w:tcPr>
          <w:p w14:paraId="35640C60"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tcBorders>
          </w:tcPr>
          <w:p w14:paraId="5A3B8F32"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tcBorders>
          </w:tcPr>
          <w:p w14:paraId="39F16694"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tcBorders>
            <w:shd w:val="clear" w:color="auto" w:fill="D2DDE1" w:themeFill="background2"/>
          </w:tcPr>
          <w:p w14:paraId="7CF90771"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tcBorders>
            <w:shd w:val="clear" w:color="auto" w:fill="D2DDE1" w:themeFill="background2"/>
          </w:tcPr>
          <w:p w14:paraId="789F656B"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tcBorders>
            <w:shd w:val="clear" w:color="auto" w:fill="D2DDE1" w:themeFill="background2"/>
          </w:tcPr>
          <w:p w14:paraId="1602C551" w14:textId="77777777" w:rsidR="00533D32" w:rsidRPr="00BD16B4" w:rsidRDefault="00533D32" w:rsidP="002D166E">
            <w:pPr>
              <w:pStyle w:val="TableText"/>
              <w:spacing w:before="50" w:after="50"/>
              <w:jc w:val="center"/>
              <w:rPr>
                <w:rFonts w:cs="Calibri"/>
                <w:szCs w:val="18"/>
              </w:rPr>
            </w:pPr>
          </w:p>
        </w:tc>
      </w:tr>
      <w:tr w:rsidR="00533D32" w:rsidRPr="00BD16B4" w14:paraId="7B8CCC81"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71CA9842" w14:textId="77777777" w:rsidR="00533D32" w:rsidRPr="00BD16B4" w:rsidRDefault="00533D32" w:rsidP="002D166E">
            <w:pPr>
              <w:pStyle w:val="TableText"/>
              <w:spacing w:before="50" w:after="50"/>
              <w:rPr>
                <w:rFonts w:cs="Calibri"/>
                <w:szCs w:val="18"/>
              </w:rPr>
            </w:pPr>
            <w:r w:rsidRPr="00BD16B4">
              <w:rPr>
                <w:rFonts w:cs="Calibri"/>
                <w:szCs w:val="18"/>
              </w:rPr>
              <w:t>CO</w:t>
            </w:r>
            <w:r w:rsidRPr="00BD16B4">
              <w:rPr>
                <w:rFonts w:cs="Calibri"/>
                <w:szCs w:val="18"/>
                <w:vertAlign w:val="subscript"/>
              </w:rPr>
              <w:t>2</w:t>
            </w:r>
            <w:r w:rsidRPr="00BD16B4">
              <w:rPr>
                <w:rFonts w:cs="Calibri"/>
                <w:szCs w:val="18"/>
              </w:rPr>
              <w:t xml:space="preserve"> emissions including net CO</w:t>
            </w:r>
            <w:r w:rsidRPr="00BD16B4">
              <w:rPr>
                <w:rFonts w:cs="Calibri"/>
                <w:szCs w:val="18"/>
                <w:vertAlign w:val="subscript"/>
              </w:rPr>
              <w:t>2</w:t>
            </w:r>
            <w:r w:rsidRPr="00BD16B4">
              <w:rPr>
                <w:rFonts w:cs="Calibri"/>
                <w:szCs w:val="18"/>
              </w:rPr>
              <w:t xml:space="preserve"> from LULUCF</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4401E4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3,878.45</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AD65ED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5,102.66</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D0117C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4,831.02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DFAE81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11,490.90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DA5B0D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5,035.98</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87EDC3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8,826.78</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5D2D9D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10,790.52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24FCA96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21,401.44</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0BFAF3F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17,051.54</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356EED2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1,466.04</w:t>
            </w:r>
          </w:p>
        </w:tc>
      </w:tr>
      <w:tr w:rsidR="00533D32" w:rsidRPr="00BD16B4" w14:paraId="4E9F2584"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638E5ACF" w14:textId="77777777" w:rsidR="00533D32" w:rsidRPr="00BD16B4" w:rsidRDefault="00533D32" w:rsidP="002D166E">
            <w:pPr>
              <w:pStyle w:val="TableText"/>
              <w:spacing w:before="50" w:after="50"/>
              <w:rPr>
                <w:rFonts w:cs="Calibri"/>
                <w:szCs w:val="18"/>
              </w:rPr>
            </w:pPr>
            <w:r w:rsidRPr="00BD16B4">
              <w:rPr>
                <w:rFonts w:cs="Calibri"/>
                <w:szCs w:val="18"/>
              </w:rPr>
              <w:t>CO</w:t>
            </w:r>
            <w:r w:rsidRPr="00BD16B4">
              <w:rPr>
                <w:rFonts w:cs="Calibri"/>
                <w:szCs w:val="18"/>
                <w:vertAlign w:val="subscript"/>
              </w:rPr>
              <w:t>2</w:t>
            </w:r>
            <w:r w:rsidRPr="00BD16B4">
              <w:rPr>
                <w:rFonts w:cs="Calibri"/>
                <w:szCs w:val="18"/>
              </w:rPr>
              <w:t xml:space="preserve"> emissions excluding net CO</w:t>
            </w:r>
            <w:r w:rsidRPr="00BD16B4">
              <w:rPr>
                <w:rFonts w:cs="Calibri"/>
                <w:szCs w:val="18"/>
                <w:vertAlign w:val="subscript"/>
              </w:rPr>
              <w:t>2</w:t>
            </w:r>
            <w:r w:rsidRPr="00BD16B4">
              <w:rPr>
                <w:rFonts w:cs="Calibri"/>
                <w:szCs w:val="18"/>
              </w:rPr>
              <w:t xml:space="preserve"> from LULUCF</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73EB16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25,502.51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B28C66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28,003.49</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651807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32,246.01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FBB387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37,424.07</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C720D2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34,811.08</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E6EE4B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35,813.11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F49E52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34,456.75</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70E8CF6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31,284.66</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2E68774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29,415.51</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78B4E41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27,292.45</w:t>
            </w:r>
          </w:p>
        </w:tc>
      </w:tr>
      <w:tr w:rsidR="00533D32" w:rsidRPr="00BD16B4" w14:paraId="4A0E5534"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4A6F06CE" w14:textId="77777777" w:rsidR="00533D32" w:rsidRPr="00BD16B4" w:rsidRDefault="00533D32" w:rsidP="002D166E">
            <w:pPr>
              <w:pStyle w:val="TableText"/>
              <w:spacing w:before="50" w:after="50"/>
              <w:rPr>
                <w:rFonts w:cs="Calibri"/>
                <w:szCs w:val="18"/>
              </w:rPr>
            </w:pPr>
            <w:r w:rsidRPr="00BD16B4">
              <w:rPr>
                <w:rFonts w:cs="Calibri"/>
                <w:szCs w:val="18"/>
              </w:rPr>
              <w:t>CH</w:t>
            </w:r>
            <w:r w:rsidRPr="00BD16B4">
              <w:rPr>
                <w:rFonts w:cs="Calibri"/>
                <w:szCs w:val="18"/>
                <w:vertAlign w:val="subscript"/>
              </w:rPr>
              <w:t>4</w:t>
            </w:r>
            <w:r w:rsidRPr="00BD16B4">
              <w:rPr>
                <w:rFonts w:cs="Calibri"/>
                <w:szCs w:val="18"/>
              </w:rPr>
              <w:t xml:space="preserve"> emissions including CH</w:t>
            </w:r>
            <w:r w:rsidRPr="00BD16B4">
              <w:rPr>
                <w:rFonts w:cs="Calibri"/>
                <w:szCs w:val="18"/>
                <w:vertAlign w:val="subscript"/>
              </w:rPr>
              <w:t>4</w:t>
            </w:r>
            <w:r w:rsidRPr="00BD16B4">
              <w:rPr>
                <w:rFonts w:cs="Calibri"/>
                <w:szCs w:val="18"/>
              </w:rPr>
              <w:t xml:space="preserve"> from LULUCF</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064DC1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33,041.22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85CFEC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34,314.43</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2A6112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36,021.62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7EBB86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36,633.80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90D9DE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34,856.74</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A6FCC5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35,066.39</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DFFC1A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34,354.60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17B53AE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32,657.63</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1EA06BF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31,592.07</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0B5B566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30,762.47</w:t>
            </w:r>
          </w:p>
        </w:tc>
      </w:tr>
      <w:tr w:rsidR="00533D32" w:rsidRPr="00BD16B4" w14:paraId="0B7678AC"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22E7970A" w14:textId="77777777" w:rsidR="00533D32" w:rsidRPr="00BD16B4" w:rsidRDefault="00533D32" w:rsidP="002D166E">
            <w:pPr>
              <w:pStyle w:val="TableText"/>
              <w:spacing w:before="50" w:after="50"/>
              <w:rPr>
                <w:rFonts w:cs="Calibri"/>
                <w:szCs w:val="18"/>
              </w:rPr>
            </w:pPr>
            <w:r w:rsidRPr="00BD16B4">
              <w:rPr>
                <w:rFonts w:cs="Calibri"/>
                <w:szCs w:val="18"/>
              </w:rPr>
              <w:t>CH</w:t>
            </w:r>
            <w:r w:rsidRPr="00BD16B4">
              <w:rPr>
                <w:rFonts w:cs="Calibri"/>
                <w:szCs w:val="18"/>
                <w:vertAlign w:val="subscript"/>
              </w:rPr>
              <w:t>4</w:t>
            </w:r>
            <w:r w:rsidRPr="00BD16B4">
              <w:rPr>
                <w:rFonts w:cs="Calibri"/>
                <w:szCs w:val="18"/>
              </w:rPr>
              <w:t xml:space="preserve"> emissions excluding CH</w:t>
            </w:r>
            <w:r w:rsidRPr="00BD16B4">
              <w:rPr>
                <w:rFonts w:cs="Calibri"/>
                <w:szCs w:val="18"/>
                <w:vertAlign w:val="subscript"/>
              </w:rPr>
              <w:t>4</w:t>
            </w:r>
            <w:r w:rsidRPr="00BD16B4">
              <w:rPr>
                <w:rFonts w:cs="Calibri"/>
                <w:szCs w:val="18"/>
              </w:rPr>
              <w:t xml:space="preserve"> from LULUCF</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99A2AB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32,972.51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A66287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34,237.19</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C2A4F1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35,951.60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E290F9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36,522.93</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848768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34,764.35</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EF76B3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34,989.09</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4D7E3F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34,272.94</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5952025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32,571.33</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3A302AC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31,505.77</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64E6F5F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30,676.17</w:t>
            </w:r>
          </w:p>
        </w:tc>
      </w:tr>
      <w:tr w:rsidR="00533D32" w:rsidRPr="00BD16B4" w14:paraId="1E967386"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5B000898" w14:textId="77777777" w:rsidR="00533D32" w:rsidRPr="00BD16B4" w:rsidRDefault="00533D32" w:rsidP="002D166E">
            <w:pPr>
              <w:pStyle w:val="TableText"/>
              <w:spacing w:before="50" w:after="50"/>
              <w:rPr>
                <w:rFonts w:cs="Calibri"/>
                <w:szCs w:val="18"/>
              </w:rPr>
            </w:pPr>
            <w:r w:rsidRPr="00BD16B4">
              <w:rPr>
                <w:rFonts w:cs="Calibri"/>
                <w:szCs w:val="18"/>
              </w:rPr>
              <w:t>N</w:t>
            </w:r>
            <w:r w:rsidRPr="00BD16B4">
              <w:rPr>
                <w:rFonts w:cs="Calibri"/>
                <w:szCs w:val="18"/>
                <w:vertAlign w:val="subscript"/>
              </w:rPr>
              <w:t>2</w:t>
            </w:r>
            <w:r w:rsidRPr="00BD16B4">
              <w:rPr>
                <w:rFonts w:cs="Calibri"/>
                <w:szCs w:val="18"/>
              </w:rPr>
              <w:t>O emissions including N</w:t>
            </w:r>
            <w:r w:rsidRPr="00BD16B4">
              <w:rPr>
                <w:rFonts w:cs="Calibri"/>
                <w:szCs w:val="18"/>
                <w:vertAlign w:val="subscript"/>
              </w:rPr>
              <w:t>2</w:t>
            </w:r>
            <w:r w:rsidRPr="00BD16B4">
              <w:rPr>
                <w:rFonts w:cs="Calibri"/>
                <w:szCs w:val="18"/>
              </w:rPr>
              <w:t>O from LULUCF</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B568C3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6,118.17</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24D90B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6,947.71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4B49C0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7,406.82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FD3C96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8,328.06</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AE2927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8,036.12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118D60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8,485.51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0D8012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8,735.10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49B0B52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8,381.61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1B230C7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8,157.57</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2AA1DC8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7,948.45</w:t>
            </w:r>
          </w:p>
        </w:tc>
      </w:tr>
      <w:tr w:rsidR="00533D32" w:rsidRPr="00BD16B4" w14:paraId="68FCECB0"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0CDAA9E9" w14:textId="77777777" w:rsidR="00533D32" w:rsidRPr="00BD16B4" w:rsidRDefault="00533D32" w:rsidP="002D166E">
            <w:pPr>
              <w:pStyle w:val="TableText"/>
              <w:spacing w:before="50" w:after="50"/>
              <w:rPr>
                <w:rFonts w:cs="Calibri"/>
                <w:szCs w:val="18"/>
              </w:rPr>
            </w:pPr>
            <w:r w:rsidRPr="00BD16B4">
              <w:rPr>
                <w:rFonts w:cs="Calibri"/>
                <w:szCs w:val="18"/>
              </w:rPr>
              <w:t>N</w:t>
            </w:r>
            <w:r w:rsidRPr="00BD16B4">
              <w:rPr>
                <w:rFonts w:cs="Calibri"/>
                <w:szCs w:val="18"/>
                <w:vertAlign w:val="subscript"/>
              </w:rPr>
              <w:t>2</w:t>
            </w:r>
            <w:r w:rsidRPr="00BD16B4">
              <w:rPr>
                <w:rFonts w:cs="Calibri"/>
                <w:szCs w:val="18"/>
              </w:rPr>
              <w:t>O emissions excluding N</w:t>
            </w:r>
            <w:r w:rsidRPr="00BD16B4">
              <w:rPr>
                <w:rFonts w:cs="Calibri"/>
                <w:szCs w:val="18"/>
                <w:vertAlign w:val="subscript"/>
              </w:rPr>
              <w:t>2</w:t>
            </w:r>
            <w:r w:rsidRPr="00BD16B4">
              <w:rPr>
                <w:rFonts w:cs="Calibri"/>
                <w:szCs w:val="18"/>
              </w:rPr>
              <w:t xml:space="preserve">O </w:t>
            </w:r>
            <w:r w:rsidRPr="00BD16B4">
              <w:rPr>
                <w:rFonts w:cs="Calibri"/>
                <w:szCs w:val="18"/>
              </w:rPr>
              <w:lastRenderedPageBreak/>
              <w:t>from LULUCF</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BB4F50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lastRenderedPageBreak/>
              <w:t>5,792.05</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829264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6,570.02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DAD1FC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6,996.74</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5A89D1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7,930.30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09F2AA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7,679.68</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5337A4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8,186.65</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2E7693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8,463.78</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02BD026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8,117.66</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281220E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7,893.62</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5A86306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7,684.50</w:t>
            </w:r>
          </w:p>
        </w:tc>
      </w:tr>
      <w:tr w:rsidR="00533D32" w:rsidRPr="00BD16B4" w14:paraId="7DC58CFF"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4A10F806" w14:textId="77777777" w:rsidR="00533D32" w:rsidRPr="00BD16B4" w:rsidRDefault="00533D32" w:rsidP="002D166E">
            <w:pPr>
              <w:pStyle w:val="TableText"/>
              <w:spacing w:before="50" w:after="50"/>
              <w:rPr>
                <w:rFonts w:cs="Calibri"/>
                <w:szCs w:val="18"/>
              </w:rPr>
            </w:pPr>
            <w:r w:rsidRPr="00BD16B4">
              <w:rPr>
                <w:rFonts w:cs="Calibri"/>
                <w:szCs w:val="18"/>
              </w:rPr>
              <w:t>HFCs</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807E11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0.00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152D9D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24.52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27BE69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233.65</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649443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694.01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3CB796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1,100.81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FFE3D5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1,386.17</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783038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1,480.29</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382A0C6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1,302.98</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4029DEF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1,209.46</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215CBCD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1,006.70</w:t>
            </w:r>
          </w:p>
        </w:tc>
      </w:tr>
      <w:tr w:rsidR="00533D32" w:rsidRPr="00BD16B4" w14:paraId="3A5E4B49"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1EBF0D5F" w14:textId="77777777" w:rsidR="00533D32" w:rsidRPr="00BD16B4" w:rsidRDefault="00533D32" w:rsidP="002D166E">
            <w:pPr>
              <w:pStyle w:val="TableText"/>
              <w:spacing w:before="50" w:after="50"/>
              <w:rPr>
                <w:rFonts w:cs="Calibri"/>
                <w:szCs w:val="18"/>
              </w:rPr>
            </w:pPr>
            <w:r w:rsidRPr="00BD16B4">
              <w:rPr>
                <w:rFonts w:cs="Calibri"/>
                <w:szCs w:val="18"/>
              </w:rPr>
              <w:t>PFCs</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270BD5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909.95</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A1DA06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153.28</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D9F86C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67.61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C0267B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69.38</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350E49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47.56</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15F49C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58.59</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F9E431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87.92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358197F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0.00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47B08BC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0.00</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5AEFBE2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0.00</w:t>
            </w:r>
          </w:p>
        </w:tc>
      </w:tr>
      <w:tr w:rsidR="00533D32" w:rsidRPr="00BD16B4" w14:paraId="595F56BA"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4E7B120D" w14:textId="77777777" w:rsidR="00533D32" w:rsidRPr="00BD16B4" w:rsidRDefault="00533D32" w:rsidP="002D166E">
            <w:pPr>
              <w:pStyle w:val="TableText"/>
              <w:spacing w:before="50" w:after="50"/>
              <w:rPr>
                <w:rFonts w:cs="Calibri"/>
                <w:szCs w:val="18"/>
              </w:rPr>
            </w:pPr>
            <w:r w:rsidRPr="00BD16B4">
              <w:rPr>
                <w:rFonts w:cs="Calibri"/>
                <w:szCs w:val="18"/>
              </w:rPr>
              <w:t>SF</w:t>
            </w:r>
            <w:r w:rsidRPr="00BD16B4">
              <w:rPr>
                <w:rFonts w:cs="Calibri"/>
                <w:szCs w:val="18"/>
                <w:vertAlign w:val="subscript"/>
              </w:rPr>
              <w:t>6</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270511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19.97</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9E3CD6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24.42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34CA1E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19.56</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DEC8D9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25.41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701805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22.84</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FA4DB2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16.46</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278295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16.69</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46D6644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18.08</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29D15BF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19.55</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5FC3109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20.70</w:t>
            </w:r>
          </w:p>
        </w:tc>
      </w:tr>
      <w:tr w:rsidR="00533D32" w:rsidRPr="00BD16B4" w14:paraId="794C39D5"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398F056C" w14:textId="77777777" w:rsidR="00533D32" w:rsidRPr="00BD16B4" w:rsidRDefault="00533D32" w:rsidP="002D166E">
            <w:pPr>
              <w:pStyle w:val="TableText"/>
              <w:spacing w:before="50" w:after="50"/>
              <w:rPr>
                <w:rFonts w:cs="Calibri"/>
                <w:szCs w:val="18"/>
              </w:rPr>
            </w:pPr>
            <w:bookmarkStart w:id="525" w:name="Table_6(a)!A25"/>
            <w:r w:rsidRPr="00BD16B4">
              <w:rPr>
                <w:rFonts w:cs="Calibri"/>
                <w:szCs w:val="18"/>
              </w:rPr>
              <w:t>NF</w:t>
            </w:r>
            <w:r w:rsidRPr="00BD16B4">
              <w:rPr>
                <w:rFonts w:cs="Calibri"/>
                <w:szCs w:val="18"/>
                <w:vertAlign w:val="subscript"/>
              </w:rPr>
              <w:t>3</w:t>
            </w:r>
            <w:bookmarkEnd w:id="525"/>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ECFD0A2"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583ACDF"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78BAE91"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4B4DC6B"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978FCB7"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183DE76"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AFA1084"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36583B8C"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71F1280C"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4B9A4B6C" w14:textId="77777777" w:rsidR="00533D32" w:rsidRPr="00BD16B4" w:rsidRDefault="00533D32" w:rsidP="002D166E">
            <w:pPr>
              <w:pStyle w:val="TableText"/>
              <w:spacing w:before="50" w:after="50"/>
              <w:jc w:val="center"/>
              <w:rPr>
                <w:rFonts w:cs="Calibri"/>
                <w:szCs w:val="18"/>
              </w:rPr>
            </w:pPr>
          </w:p>
        </w:tc>
      </w:tr>
      <w:tr w:rsidR="00533D32" w:rsidRPr="00BD16B4" w14:paraId="41F19E19"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7C53AB25" w14:textId="77777777" w:rsidR="00533D32" w:rsidRPr="00BD16B4" w:rsidRDefault="00533D32" w:rsidP="002D166E">
            <w:pPr>
              <w:pStyle w:val="TableText"/>
              <w:spacing w:before="50" w:after="50"/>
              <w:rPr>
                <w:rFonts w:cs="Calibri"/>
                <w:szCs w:val="18"/>
              </w:rPr>
            </w:pPr>
            <w:r w:rsidRPr="00BD16B4">
              <w:rPr>
                <w:rFonts w:cs="Calibri"/>
                <w:szCs w:val="18"/>
              </w:rPr>
              <w:t>Other gases</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0D99391"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5FEF586"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11DD2F9"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0336443"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E9A34F5"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CEE73F2"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2E2D5B2"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732CCBC7"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18928163" w14:textId="77777777" w:rsidR="00533D32" w:rsidRPr="00BD16B4" w:rsidRDefault="00533D32" w:rsidP="002D166E">
            <w:pPr>
              <w:pStyle w:val="TableText"/>
              <w:spacing w:before="50" w:after="50"/>
              <w:jc w:val="center"/>
              <w:rPr>
                <w:rFonts w:cs="Calibri"/>
                <w:szCs w:val="18"/>
              </w:rPr>
            </w:pP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477A829D" w14:textId="77777777" w:rsidR="00533D32" w:rsidRPr="00BD16B4" w:rsidRDefault="00533D32" w:rsidP="002D166E">
            <w:pPr>
              <w:pStyle w:val="TableText"/>
              <w:spacing w:before="50" w:after="50"/>
              <w:jc w:val="center"/>
              <w:rPr>
                <w:rFonts w:cs="Calibri"/>
                <w:szCs w:val="18"/>
              </w:rPr>
            </w:pPr>
          </w:p>
        </w:tc>
      </w:tr>
      <w:tr w:rsidR="00533D32" w:rsidRPr="00BD16B4" w14:paraId="527865E6"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6D4AEF7C" w14:textId="77777777" w:rsidR="00533D32" w:rsidRPr="00BD16B4" w:rsidRDefault="00533D32" w:rsidP="002D166E">
            <w:pPr>
              <w:pStyle w:val="TableText"/>
              <w:spacing w:before="50" w:after="50"/>
              <w:rPr>
                <w:rFonts w:cs="Calibri"/>
                <w:b/>
                <w:bCs/>
                <w:szCs w:val="18"/>
              </w:rPr>
            </w:pPr>
            <w:r w:rsidRPr="00BD16B4">
              <w:rPr>
                <w:rFonts w:cs="Calibri"/>
                <w:b/>
                <w:bCs/>
                <w:szCs w:val="18"/>
              </w:rPr>
              <w:t>Total with LULUCF</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ED2500B"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43,967.76</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555BAB2"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46,567.01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4E80C84"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48,580.27</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534F33B"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57,241.57</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B63D8A6"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49,100.05</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07B5DAD"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53,839.90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7C59BF9"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55,465.11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52FD8F66"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63,761.75</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64732421"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58,030.20</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303DEB4B"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41,204.35</w:t>
            </w:r>
          </w:p>
        </w:tc>
      </w:tr>
      <w:tr w:rsidR="00533D32" w:rsidRPr="00BD16B4" w14:paraId="23262B9B" w14:textId="77777777" w:rsidTr="002D166E">
        <w:tc>
          <w:tcPr>
            <w:tcW w:w="2034" w:type="dxa"/>
            <w:tcBorders>
              <w:top w:val="single" w:sz="4" w:space="0" w:color="1B556B" w:themeColor="text2"/>
              <w:bottom w:val="single" w:sz="4" w:space="0" w:color="1B556B" w:themeColor="text2"/>
              <w:right w:val="single" w:sz="4" w:space="0" w:color="1B556B" w:themeColor="text2"/>
            </w:tcBorders>
          </w:tcPr>
          <w:p w14:paraId="6FEA1799" w14:textId="77777777" w:rsidR="00533D32" w:rsidRPr="00BD16B4" w:rsidRDefault="00533D32" w:rsidP="002D166E">
            <w:pPr>
              <w:pStyle w:val="TableText"/>
              <w:spacing w:before="50" w:after="50"/>
              <w:rPr>
                <w:rFonts w:cs="Calibri"/>
                <w:b/>
                <w:bCs/>
                <w:szCs w:val="18"/>
              </w:rPr>
            </w:pPr>
            <w:r w:rsidRPr="00BD16B4">
              <w:rPr>
                <w:rFonts w:cs="Calibri"/>
                <w:b/>
                <w:bCs/>
                <w:szCs w:val="18"/>
              </w:rPr>
              <w:t>Total without LULUCF</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29829C5"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65,196.98</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2870E4F"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69,012.91</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23CB8D4"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75,515.17</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E8B7C79"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82,666.10</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8331788"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78,426.32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B1A939F"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80,450.06</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59E2515"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78,778.37</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2F018D2B"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73,294.72</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69916BBB"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70,043.91</w:t>
            </w:r>
          </w:p>
        </w:tc>
        <w:tc>
          <w:tcPr>
            <w:tcW w:w="964"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0ADEDF38"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66,680.52</w:t>
            </w:r>
          </w:p>
        </w:tc>
      </w:tr>
    </w:tbl>
    <w:p w14:paraId="0A639EFF" w14:textId="77777777" w:rsidR="00533D32" w:rsidRPr="00BD16B4" w:rsidRDefault="00533D32" w:rsidP="00FA1C32">
      <w:pPr>
        <w:pStyle w:val="BodyText"/>
        <w:spacing w:after="0"/>
      </w:pPr>
    </w:p>
    <w:p w14:paraId="2AD74D44" w14:textId="77777777" w:rsidR="00533D32" w:rsidRPr="00BD16B4" w:rsidRDefault="00533D32" w:rsidP="00533D32">
      <w:pPr>
        <w:pStyle w:val="Tableheading"/>
      </w:pPr>
      <w:bookmarkStart w:id="526" w:name="_Toc121773840"/>
      <w:r w:rsidRPr="00BD16B4">
        <w:t>Table C.2.2:</w:t>
      </w:r>
      <w:r w:rsidRPr="00BD16B4">
        <w:tab/>
        <w:t>Information on updated greenhouse gas emissions (without measures) (CTF Table 6b)</w:t>
      </w:r>
      <w:bookmarkEnd w:id="526"/>
    </w:p>
    <w:tbl>
      <w:tblPr>
        <w:tblStyle w:val="MinistryfortheEnvironment"/>
        <w:tblW w:w="14515" w:type="dxa"/>
        <w:tblInd w:w="113" w:type="dxa"/>
        <w:tblBorders>
          <w:top w:val="single" w:sz="4" w:space="0" w:color="1B556B" w:themeColor="text2"/>
        </w:tblBorders>
        <w:tblCellMar>
          <w:left w:w="85" w:type="dxa"/>
          <w:bottom w:w="0" w:type="dxa"/>
          <w:right w:w="85" w:type="dxa"/>
        </w:tblCellMar>
        <w:tblLook w:val="04A0" w:firstRow="1" w:lastRow="0" w:firstColumn="1" w:lastColumn="0" w:noHBand="0" w:noVBand="1"/>
      </w:tblPr>
      <w:tblGrid>
        <w:gridCol w:w="2658"/>
        <w:gridCol w:w="1185"/>
        <w:gridCol w:w="1185"/>
        <w:gridCol w:w="1185"/>
        <w:gridCol w:w="1186"/>
        <w:gridCol w:w="1186"/>
        <w:gridCol w:w="1186"/>
        <w:gridCol w:w="1186"/>
        <w:gridCol w:w="1186"/>
        <w:gridCol w:w="1186"/>
        <w:gridCol w:w="1186"/>
      </w:tblGrid>
      <w:tr w:rsidR="00533D32" w:rsidRPr="00BD16B4" w14:paraId="0998695B" w14:textId="77777777" w:rsidTr="002D166E">
        <w:trPr>
          <w:cnfStyle w:val="100000000000" w:firstRow="1" w:lastRow="0" w:firstColumn="0" w:lastColumn="0" w:oddVBand="0" w:evenVBand="0" w:oddHBand="0" w:evenHBand="0" w:firstRowFirstColumn="0" w:firstRowLastColumn="0" w:lastRowFirstColumn="0" w:lastRowLastColumn="0"/>
          <w:tblHeader/>
        </w:trPr>
        <w:tc>
          <w:tcPr>
            <w:tcW w:w="2034" w:type="dxa"/>
            <w:vMerge w:val="restart"/>
            <w:vAlign w:val="bottom"/>
          </w:tcPr>
          <w:p w14:paraId="20BBFF20" w14:textId="77777777" w:rsidR="00533D32" w:rsidRPr="00BD16B4" w:rsidRDefault="00533D32" w:rsidP="002D166E">
            <w:pPr>
              <w:pStyle w:val="TableTextBold0"/>
              <w:spacing w:before="50" w:after="50"/>
              <w:rPr>
                <w:b/>
              </w:rPr>
            </w:pPr>
            <w:r w:rsidRPr="00BD16B4">
              <w:rPr>
                <w:b/>
              </w:rPr>
              <w:t>GHG emissions projections</w:t>
            </w:r>
          </w:p>
        </w:tc>
        <w:tc>
          <w:tcPr>
            <w:tcW w:w="907" w:type="dxa"/>
            <w:gridSpan w:val="7"/>
            <w:vAlign w:val="bottom"/>
          </w:tcPr>
          <w:p w14:paraId="673724CC" w14:textId="77777777" w:rsidR="00533D32" w:rsidRPr="00BD16B4" w:rsidRDefault="00533D32" w:rsidP="002D166E">
            <w:pPr>
              <w:pStyle w:val="TableTextBold0"/>
              <w:spacing w:after="0"/>
              <w:jc w:val="center"/>
              <w:rPr>
                <w:b/>
              </w:rPr>
            </w:pPr>
            <w:r w:rsidRPr="00BD16B4">
              <w:rPr>
                <w:b/>
              </w:rPr>
              <w:t>GHG emissions and removals</w:t>
            </w:r>
          </w:p>
        </w:tc>
        <w:tc>
          <w:tcPr>
            <w:tcW w:w="907" w:type="dxa"/>
            <w:gridSpan w:val="3"/>
            <w:vAlign w:val="bottom"/>
          </w:tcPr>
          <w:p w14:paraId="498B8C76" w14:textId="77777777" w:rsidR="00533D32" w:rsidRPr="00BD16B4" w:rsidRDefault="00533D32" w:rsidP="002D166E">
            <w:pPr>
              <w:pStyle w:val="TableTextBold0"/>
              <w:spacing w:before="50" w:after="0"/>
              <w:jc w:val="center"/>
              <w:rPr>
                <w:b/>
              </w:rPr>
            </w:pPr>
            <w:r w:rsidRPr="00BD16B4">
              <w:rPr>
                <w:b/>
              </w:rPr>
              <w:t>GHG emissions projections</w:t>
            </w:r>
          </w:p>
        </w:tc>
      </w:tr>
      <w:tr w:rsidR="00533D32" w:rsidRPr="00BD16B4" w14:paraId="2CEA7A16" w14:textId="77777777" w:rsidTr="002D166E">
        <w:trPr>
          <w:cnfStyle w:val="100000000000" w:firstRow="1" w:lastRow="0" w:firstColumn="0" w:lastColumn="0" w:oddVBand="0" w:evenVBand="0" w:oddHBand="0" w:evenHBand="0" w:firstRowFirstColumn="0" w:firstRowLastColumn="0" w:lastRowFirstColumn="0" w:lastRowLastColumn="0"/>
          <w:tblHeader/>
        </w:trPr>
        <w:tc>
          <w:tcPr>
            <w:tcW w:w="2034" w:type="dxa"/>
            <w:vMerge/>
            <w:vAlign w:val="bottom"/>
          </w:tcPr>
          <w:p w14:paraId="370E7D69" w14:textId="77777777" w:rsidR="00533D32" w:rsidRPr="00BD16B4" w:rsidRDefault="00533D32" w:rsidP="002D166E">
            <w:pPr>
              <w:pStyle w:val="TableTextBold0"/>
              <w:spacing w:before="50" w:after="50"/>
              <w:rPr>
                <w:b/>
              </w:rPr>
            </w:pPr>
          </w:p>
        </w:tc>
        <w:tc>
          <w:tcPr>
            <w:tcW w:w="907" w:type="dxa"/>
            <w:vAlign w:val="bottom"/>
          </w:tcPr>
          <w:p w14:paraId="41EDE535" w14:textId="77777777" w:rsidR="00533D32" w:rsidRPr="00BD16B4" w:rsidRDefault="00533D32" w:rsidP="002D166E">
            <w:pPr>
              <w:pStyle w:val="TableTextBold0"/>
              <w:spacing w:before="0" w:after="50"/>
              <w:jc w:val="center"/>
              <w:rPr>
                <w:b/>
              </w:rPr>
            </w:pPr>
            <w:r w:rsidRPr="00BD16B4">
              <w:rPr>
                <w:b/>
              </w:rPr>
              <w:t>Base year 1990</w:t>
            </w:r>
            <w:r w:rsidRPr="00BD16B4">
              <w:br/>
            </w:r>
            <w:r w:rsidRPr="00BD16B4">
              <w:rPr>
                <w:b/>
              </w:rPr>
              <w:t>(kt CO</w:t>
            </w:r>
            <w:r w:rsidRPr="00BD16B4">
              <w:rPr>
                <w:b/>
                <w:vertAlign w:val="subscript"/>
              </w:rPr>
              <w:t>2</w:t>
            </w:r>
            <w:r w:rsidRPr="00BD16B4">
              <w:rPr>
                <w:b/>
              </w:rPr>
              <w:t>-e)</w:t>
            </w:r>
          </w:p>
        </w:tc>
        <w:tc>
          <w:tcPr>
            <w:tcW w:w="907" w:type="dxa"/>
            <w:vAlign w:val="bottom"/>
          </w:tcPr>
          <w:p w14:paraId="5E7F07B5" w14:textId="77777777" w:rsidR="00533D32" w:rsidRPr="00BD16B4" w:rsidRDefault="00533D32" w:rsidP="002D166E">
            <w:pPr>
              <w:pStyle w:val="TableTextBold0"/>
              <w:spacing w:before="50" w:after="50"/>
              <w:jc w:val="center"/>
              <w:rPr>
                <w:b/>
              </w:rPr>
            </w:pPr>
            <w:r w:rsidRPr="00BD16B4">
              <w:rPr>
                <w:b/>
              </w:rPr>
              <w:t>1995</w:t>
            </w:r>
            <w:r w:rsidRPr="00BD16B4">
              <w:br/>
            </w:r>
            <w:r w:rsidRPr="00BD16B4">
              <w:rPr>
                <w:b/>
              </w:rPr>
              <w:t>(kt CO</w:t>
            </w:r>
            <w:r w:rsidRPr="00BD16B4">
              <w:rPr>
                <w:b/>
                <w:vertAlign w:val="subscript"/>
              </w:rPr>
              <w:t>2</w:t>
            </w:r>
            <w:r w:rsidRPr="00BD16B4">
              <w:rPr>
                <w:b/>
              </w:rPr>
              <w:t>-e)</w:t>
            </w:r>
          </w:p>
        </w:tc>
        <w:tc>
          <w:tcPr>
            <w:tcW w:w="907" w:type="dxa"/>
            <w:vAlign w:val="bottom"/>
          </w:tcPr>
          <w:p w14:paraId="4A578258" w14:textId="77777777" w:rsidR="00533D32" w:rsidRPr="00BD16B4" w:rsidRDefault="00533D32" w:rsidP="002D166E">
            <w:pPr>
              <w:pStyle w:val="TableTextBold0"/>
              <w:spacing w:before="50" w:after="50"/>
              <w:jc w:val="center"/>
              <w:rPr>
                <w:b/>
              </w:rPr>
            </w:pPr>
            <w:r w:rsidRPr="00BD16B4">
              <w:rPr>
                <w:b/>
              </w:rPr>
              <w:t>2000</w:t>
            </w:r>
            <w:r w:rsidRPr="00BD16B4">
              <w:br/>
            </w:r>
            <w:r w:rsidRPr="00BD16B4">
              <w:rPr>
                <w:b/>
              </w:rPr>
              <w:t>(kt CO</w:t>
            </w:r>
            <w:r w:rsidRPr="00BD16B4">
              <w:rPr>
                <w:b/>
                <w:vertAlign w:val="subscript"/>
              </w:rPr>
              <w:t>2</w:t>
            </w:r>
            <w:r w:rsidRPr="00BD16B4">
              <w:rPr>
                <w:b/>
              </w:rPr>
              <w:t>-e)</w:t>
            </w:r>
          </w:p>
        </w:tc>
        <w:tc>
          <w:tcPr>
            <w:tcW w:w="907" w:type="dxa"/>
            <w:vAlign w:val="bottom"/>
          </w:tcPr>
          <w:p w14:paraId="1A3050C6" w14:textId="77777777" w:rsidR="00533D32" w:rsidRPr="00BD16B4" w:rsidRDefault="00533D32" w:rsidP="002D166E">
            <w:pPr>
              <w:pStyle w:val="TableTextBold0"/>
              <w:spacing w:before="50" w:after="50"/>
              <w:jc w:val="center"/>
              <w:rPr>
                <w:b/>
              </w:rPr>
            </w:pPr>
            <w:r w:rsidRPr="00BD16B4">
              <w:rPr>
                <w:b/>
              </w:rPr>
              <w:t>2005</w:t>
            </w:r>
            <w:r w:rsidRPr="00BD16B4">
              <w:br/>
            </w:r>
            <w:r w:rsidRPr="00BD16B4">
              <w:rPr>
                <w:b/>
              </w:rPr>
              <w:t>(kt CO</w:t>
            </w:r>
            <w:r w:rsidRPr="00BD16B4">
              <w:rPr>
                <w:b/>
                <w:vertAlign w:val="subscript"/>
              </w:rPr>
              <w:t>2</w:t>
            </w:r>
            <w:r w:rsidRPr="00BD16B4">
              <w:rPr>
                <w:b/>
              </w:rPr>
              <w:t>-e)</w:t>
            </w:r>
          </w:p>
        </w:tc>
        <w:tc>
          <w:tcPr>
            <w:tcW w:w="907" w:type="dxa"/>
            <w:vAlign w:val="bottom"/>
          </w:tcPr>
          <w:p w14:paraId="4A97777F" w14:textId="77777777" w:rsidR="00533D32" w:rsidRPr="00BD16B4" w:rsidRDefault="00533D32" w:rsidP="002D166E">
            <w:pPr>
              <w:pStyle w:val="TableTextBold0"/>
              <w:spacing w:before="50" w:after="50"/>
              <w:jc w:val="center"/>
              <w:rPr>
                <w:b/>
              </w:rPr>
            </w:pPr>
            <w:r w:rsidRPr="00BD16B4">
              <w:rPr>
                <w:b/>
              </w:rPr>
              <w:t>2010</w:t>
            </w:r>
            <w:r w:rsidRPr="00BD16B4">
              <w:br/>
            </w:r>
            <w:r w:rsidRPr="00BD16B4">
              <w:rPr>
                <w:b/>
              </w:rPr>
              <w:t>(kt CO</w:t>
            </w:r>
            <w:r w:rsidRPr="00BD16B4">
              <w:rPr>
                <w:b/>
                <w:vertAlign w:val="subscript"/>
              </w:rPr>
              <w:t>2</w:t>
            </w:r>
            <w:r w:rsidRPr="00BD16B4">
              <w:rPr>
                <w:b/>
              </w:rPr>
              <w:t>-e)</w:t>
            </w:r>
          </w:p>
        </w:tc>
        <w:tc>
          <w:tcPr>
            <w:tcW w:w="907" w:type="dxa"/>
            <w:vAlign w:val="bottom"/>
          </w:tcPr>
          <w:p w14:paraId="2FD02C7D" w14:textId="77777777" w:rsidR="00533D32" w:rsidRPr="00BD16B4" w:rsidRDefault="00533D32" w:rsidP="002D166E">
            <w:pPr>
              <w:pStyle w:val="TableTextBold0"/>
              <w:spacing w:before="50" w:after="50"/>
              <w:jc w:val="center"/>
              <w:rPr>
                <w:b/>
              </w:rPr>
            </w:pPr>
            <w:r w:rsidRPr="00BD16B4">
              <w:rPr>
                <w:b/>
              </w:rPr>
              <w:t>2015</w:t>
            </w:r>
            <w:r w:rsidRPr="00BD16B4">
              <w:br/>
            </w:r>
            <w:r w:rsidRPr="00BD16B4">
              <w:rPr>
                <w:b/>
              </w:rPr>
              <w:t>(kt CO</w:t>
            </w:r>
            <w:r w:rsidRPr="00BD16B4">
              <w:rPr>
                <w:b/>
                <w:vertAlign w:val="subscript"/>
              </w:rPr>
              <w:t>2</w:t>
            </w:r>
            <w:r w:rsidRPr="00BD16B4">
              <w:rPr>
                <w:b/>
              </w:rPr>
              <w:t>-e)</w:t>
            </w:r>
          </w:p>
        </w:tc>
        <w:tc>
          <w:tcPr>
            <w:tcW w:w="907" w:type="dxa"/>
            <w:vAlign w:val="bottom"/>
          </w:tcPr>
          <w:p w14:paraId="604779B8" w14:textId="77777777" w:rsidR="00533D32" w:rsidRPr="00BD16B4" w:rsidRDefault="00533D32" w:rsidP="002D166E">
            <w:pPr>
              <w:pStyle w:val="TableTextBold0"/>
              <w:spacing w:before="50" w:after="50"/>
              <w:jc w:val="center"/>
              <w:rPr>
                <w:b/>
              </w:rPr>
            </w:pPr>
            <w:r w:rsidRPr="00BD16B4">
              <w:rPr>
                <w:b/>
              </w:rPr>
              <w:t>2020</w:t>
            </w:r>
            <w:r w:rsidRPr="00BD16B4">
              <w:br/>
            </w:r>
            <w:r w:rsidRPr="00BD16B4">
              <w:rPr>
                <w:b/>
              </w:rPr>
              <w:t>(kt CO</w:t>
            </w:r>
            <w:r w:rsidRPr="00BD16B4">
              <w:rPr>
                <w:b/>
                <w:vertAlign w:val="subscript"/>
              </w:rPr>
              <w:t>2</w:t>
            </w:r>
            <w:r w:rsidRPr="00BD16B4">
              <w:rPr>
                <w:b/>
              </w:rPr>
              <w:t>-e)</w:t>
            </w:r>
          </w:p>
        </w:tc>
        <w:tc>
          <w:tcPr>
            <w:tcW w:w="907" w:type="dxa"/>
            <w:vAlign w:val="bottom"/>
          </w:tcPr>
          <w:p w14:paraId="31157E88" w14:textId="77777777" w:rsidR="00533D32" w:rsidRPr="00BD16B4" w:rsidRDefault="00533D32" w:rsidP="002D166E">
            <w:pPr>
              <w:pStyle w:val="TableTextBold0"/>
              <w:spacing w:before="50" w:after="50"/>
              <w:jc w:val="center"/>
              <w:rPr>
                <w:b/>
              </w:rPr>
            </w:pPr>
            <w:r w:rsidRPr="00BD16B4">
              <w:rPr>
                <w:b/>
              </w:rPr>
              <w:t>2025</w:t>
            </w:r>
            <w:r w:rsidRPr="00BD16B4">
              <w:br/>
            </w:r>
            <w:r w:rsidRPr="00BD16B4">
              <w:rPr>
                <w:b/>
              </w:rPr>
              <w:t>(kt CO</w:t>
            </w:r>
            <w:r w:rsidRPr="00BD16B4">
              <w:rPr>
                <w:b/>
                <w:vertAlign w:val="subscript"/>
              </w:rPr>
              <w:t>2</w:t>
            </w:r>
            <w:r w:rsidRPr="00BD16B4">
              <w:rPr>
                <w:b/>
              </w:rPr>
              <w:t>-e)</w:t>
            </w:r>
          </w:p>
        </w:tc>
        <w:tc>
          <w:tcPr>
            <w:tcW w:w="907" w:type="dxa"/>
            <w:vAlign w:val="bottom"/>
          </w:tcPr>
          <w:p w14:paraId="20A3F675" w14:textId="77777777" w:rsidR="00533D32" w:rsidRPr="00BD16B4" w:rsidRDefault="00533D32" w:rsidP="002D166E">
            <w:pPr>
              <w:pStyle w:val="TableTextBold0"/>
              <w:spacing w:before="50" w:after="50"/>
              <w:jc w:val="center"/>
              <w:rPr>
                <w:b/>
              </w:rPr>
            </w:pPr>
            <w:r w:rsidRPr="00BD16B4">
              <w:rPr>
                <w:b/>
              </w:rPr>
              <w:t>2030</w:t>
            </w:r>
            <w:r w:rsidRPr="00BD16B4">
              <w:br/>
            </w:r>
            <w:r w:rsidRPr="00BD16B4">
              <w:rPr>
                <w:b/>
              </w:rPr>
              <w:t>(kt CO</w:t>
            </w:r>
            <w:r w:rsidRPr="00BD16B4">
              <w:rPr>
                <w:b/>
                <w:vertAlign w:val="subscript"/>
              </w:rPr>
              <w:t>2</w:t>
            </w:r>
            <w:r w:rsidRPr="00BD16B4">
              <w:rPr>
                <w:b/>
              </w:rPr>
              <w:t>-e)</w:t>
            </w:r>
          </w:p>
        </w:tc>
        <w:tc>
          <w:tcPr>
            <w:tcW w:w="907" w:type="dxa"/>
            <w:vAlign w:val="bottom"/>
          </w:tcPr>
          <w:p w14:paraId="4D32B22E" w14:textId="77777777" w:rsidR="00533D32" w:rsidRPr="00BD16B4" w:rsidRDefault="00533D32" w:rsidP="002D166E">
            <w:pPr>
              <w:pStyle w:val="TableTextBold0"/>
              <w:spacing w:before="50" w:after="50"/>
              <w:jc w:val="center"/>
              <w:rPr>
                <w:b/>
              </w:rPr>
            </w:pPr>
            <w:r w:rsidRPr="00BD16B4">
              <w:rPr>
                <w:b/>
              </w:rPr>
              <w:t>2035</w:t>
            </w:r>
            <w:r w:rsidRPr="00BD16B4">
              <w:br/>
            </w:r>
            <w:r w:rsidRPr="00BD16B4">
              <w:rPr>
                <w:b/>
              </w:rPr>
              <w:t>(kt CO</w:t>
            </w:r>
            <w:r w:rsidRPr="00BD16B4">
              <w:rPr>
                <w:b/>
                <w:vertAlign w:val="subscript"/>
              </w:rPr>
              <w:t>2</w:t>
            </w:r>
            <w:r w:rsidRPr="00BD16B4">
              <w:rPr>
                <w:b/>
              </w:rPr>
              <w:t>-e)</w:t>
            </w:r>
          </w:p>
        </w:tc>
      </w:tr>
      <w:tr w:rsidR="00533D32" w:rsidRPr="00BD16B4" w14:paraId="7FE2961D" w14:textId="77777777" w:rsidTr="002D166E">
        <w:tc>
          <w:tcPr>
            <w:tcW w:w="2034" w:type="dxa"/>
          </w:tcPr>
          <w:p w14:paraId="3A5A5CA2" w14:textId="77777777" w:rsidR="00533D32" w:rsidRPr="00BD16B4" w:rsidRDefault="00533D32" w:rsidP="002D166E">
            <w:pPr>
              <w:pStyle w:val="TableText"/>
              <w:spacing w:before="50" w:after="50"/>
              <w:rPr>
                <w:rFonts w:cs="Calibri"/>
                <w:b/>
                <w:bCs/>
                <w:szCs w:val="18"/>
              </w:rPr>
            </w:pPr>
            <w:r w:rsidRPr="00BD16B4">
              <w:rPr>
                <w:rFonts w:cs="Calibri"/>
                <w:b/>
                <w:bCs/>
                <w:szCs w:val="18"/>
              </w:rPr>
              <w:t>Sector</w:t>
            </w:r>
          </w:p>
        </w:tc>
        <w:tc>
          <w:tcPr>
            <w:tcW w:w="907" w:type="dxa"/>
          </w:tcPr>
          <w:p w14:paraId="37A086FF" w14:textId="77777777" w:rsidR="00533D32" w:rsidRPr="00BD16B4" w:rsidRDefault="00533D32" w:rsidP="002D166E">
            <w:pPr>
              <w:pStyle w:val="TableText"/>
              <w:spacing w:before="50" w:after="50"/>
              <w:jc w:val="center"/>
              <w:rPr>
                <w:rFonts w:cs="Calibri"/>
                <w:szCs w:val="18"/>
              </w:rPr>
            </w:pPr>
          </w:p>
        </w:tc>
        <w:tc>
          <w:tcPr>
            <w:tcW w:w="907" w:type="dxa"/>
          </w:tcPr>
          <w:p w14:paraId="2467BDCE" w14:textId="77777777" w:rsidR="00533D32" w:rsidRPr="00BD16B4" w:rsidRDefault="00533D32" w:rsidP="002D166E">
            <w:pPr>
              <w:pStyle w:val="TableText"/>
              <w:spacing w:before="50" w:after="50"/>
              <w:jc w:val="center"/>
              <w:rPr>
                <w:rFonts w:cs="Calibri"/>
                <w:szCs w:val="18"/>
              </w:rPr>
            </w:pPr>
          </w:p>
        </w:tc>
        <w:tc>
          <w:tcPr>
            <w:tcW w:w="907" w:type="dxa"/>
          </w:tcPr>
          <w:p w14:paraId="3AE94128" w14:textId="77777777" w:rsidR="00533D32" w:rsidRPr="00BD16B4" w:rsidRDefault="00533D32" w:rsidP="002D166E">
            <w:pPr>
              <w:pStyle w:val="TableText"/>
              <w:spacing w:before="50" w:after="50"/>
              <w:jc w:val="center"/>
              <w:rPr>
                <w:rFonts w:cs="Calibri"/>
                <w:szCs w:val="18"/>
              </w:rPr>
            </w:pPr>
          </w:p>
        </w:tc>
        <w:tc>
          <w:tcPr>
            <w:tcW w:w="907" w:type="dxa"/>
          </w:tcPr>
          <w:p w14:paraId="217573A6" w14:textId="77777777" w:rsidR="00533D32" w:rsidRPr="00BD16B4" w:rsidRDefault="00533D32" w:rsidP="002D166E">
            <w:pPr>
              <w:pStyle w:val="TableText"/>
              <w:spacing w:before="50" w:after="50"/>
              <w:jc w:val="center"/>
              <w:rPr>
                <w:rFonts w:cs="Calibri"/>
                <w:szCs w:val="18"/>
              </w:rPr>
            </w:pPr>
          </w:p>
        </w:tc>
        <w:tc>
          <w:tcPr>
            <w:tcW w:w="907" w:type="dxa"/>
          </w:tcPr>
          <w:p w14:paraId="31E27229" w14:textId="77777777" w:rsidR="00533D32" w:rsidRPr="00BD16B4" w:rsidRDefault="00533D32" w:rsidP="002D166E">
            <w:pPr>
              <w:pStyle w:val="TableText"/>
              <w:spacing w:before="50" w:after="50"/>
              <w:jc w:val="center"/>
              <w:rPr>
                <w:rFonts w:cs="Calibri"/>
                <w:szCs w:val="18"/>
              </w:rPr>
            </w:pPr>
          </w:p>
        </w:tc>
        <w:tc>
          <w:tcPr>
            <w:tcW w:w="907" w:type="dxa"/>
          </w:tcPr>
          <w:p w14:paraId="574253FA" w14:textId="77777777" w:rsidR="00533D32" w:rsidRPr="00BD16B4" w:rsidRDefault="00533D32" w:rsidP="002D166E">
            <w:pPr>
              <w:pStyle w:val="TableText"/>
              <w:spacing w:before="50" w:after="50"/>
              <w:jc w:val="center"/>
              <w:rPr>
                <w:rFonts w:cs="Calibri"/>
                <w:szCs w:val="18"/>
              </w:rPr>
            </w:pPr>
          </w:p>
        </w:tc>
        <w:tc>
          <w:tcPr>
            <w:tcW w:w="907" w:type="dxa"/>
          </w:tcPr>
          <w:p w14:paraId="269C89CB" w14:textId="77777777" w:rsidR="00533D32" w:rsidRPr="00BD16B4" w:rsidRDefault="00533D32" w:rsidP="002D166E">
            <w:pPr>
              <w:pStyle w:val="TableText"/>
              <w:spacing w:before="50" w:after="50"/>
              <w:jc w:val="center"/>
              <w:rPr>
                <w:rFonts w:cs="Calibri"/>
                <w:szCs w:val="18"/>
              </w:rPr>
            </w:pPr>
          </w:p>
        </w:tc>
        <w:tc>
          <w:tcPr>
            <w:tcW w:w="907" w:type="dxa"/>
            <w:shd w:val="clear" w:color="auto" w:fill="D2DDE1" w:themeFill="background2"/>
          </w:tcPr>
          <w:p w14:paraId="5E5F00C5" w14:textId="77777777" w:rsidR="00533D32" w:rsidRPr="00BD16B4" w:rsidRDefault="00533D32" w:rsidP="002D166E">
            <w:pPr>
              <w:pStyle w:val="TableText"/>
              <w:spacing w:before="50" w:after="50"/>
              <w:jc w:val="center"/>
              <w:rPr>
                <w:rFonts w:cs="Calibri"/>
                <w:szCs w:val="18"/>
              </w:rPr>
            </w:pPr>
          </w:p>
        </w:tc>
        <w:tc>
          <w:tcPr>
            <w:tcW w:w="907" w:type="dxa"/>
            <w:shd w:val="clear" w:color="auto" w:fill="D2DDE1" w:themeFill="background2"/>
          </w:tcPr>
          <w:p w14:paraId="7DAD5F1A" w14:textId="77777777" w:rsidR="00533D32" w:rsidRPr="00BD16B4" w:rsidRDefault="00533D32" w:rsidP="002D166E">
            <w:pPr>
              <w:pStyle w:val="TableText"/>
              <w:spacing w:before="50" w:after="50"/>
              <w:jc w:val="center"/>
              <w:rPr>
                <w:rFonts w:cs="Calibri"/>
                <w:szCs w:val="18"/>
              </w:rPr>
            </w:pPr>
          </w:p>
        </w:tc>
        <w:tc>
          <w:tcPr>
            <w:tcW w:w="907" w:type="dxa"/>
            <w:shd w:val="clear" w:color="auto" w:fill="D2DDE1" w:themeFill="background2"/>
          </w:tcPr>
          <w:p w14:paraId="7F266AF8" w14:textId="77777777" w:rsidR="00533D32" w:rsidRPr="00BD16B4" w:rsidRDefault="00533D32" w:rsidP="002D166E">
            <w:pPr>
              <w:pStyle w:val="TableText"/>
              <w:spacing w:before="50" w:after="50"/>
              <w:jc w:val="center"/>
              <w:rPr>
                <w:rFonts w:cs="Calibri"/>
                <w:szCs w:val="18"/>
              </w:rPr>
            </w:pPr>
          </w:p>
        </w:tc>
      </w:tr>
      <w:tr w:rsidR="00533D32" w:rsidRPr="00BD16B4" w14:paraId="2A5D7F63" w14:textId="77777777" w:rsidTr="002D166E">
        <w:tc>
          <w:tcPr>
            <w:tcW w:w="2034" w:type="dxa"/>
          </w:tcPr>
          <w:p w14:paraId="32A5D7A3" w14:textId="77777777" w:rsidR="00533D32" w:rsidRPr="00BD16B4" w:rsidRDefault="00533D32" w:rsidP="002D166E">
            <w:pPr>
              <w:pStyle w:val="TableText"/>
              <w:spacing w:before="50" w:after="50"/>
              <w:rPr>
                <w:rFonts w:cs="Calibri"/>
                <w:szCs w:val="18"/>
              </w:rPr>
            </w:pPr>
            <w:r w:rsidRPr="00BD16B4">
              <w:rPr>
                <w:rFonts w:cs="Calibri"/>
                <w:szCs w:val="18"/>
              </w:rPr>
              <w:t>Energy</w:t>
            </w:r>
          </w:p>
        </w:tc>
        <w:tc>
          <w:tcPr>
            <w:tcW w:w="907" w:type="dxa"/>
            <w:shd w:val="clear" w:color="auto" w:fill="auto"/>
            <w:vAlign w:val="center"/>
          </w:tcPr>
          <w:p w14:paraId="1F4E60D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15,751.70</w:t>
            </w:r>
          </w:p>
        </w:tc>
        <w:tc>
          <w:tcPr>
            <w:tcW w:w="907" w:type="dxa"/>
            <w:shd w:val="clear" w:color="auto" w:fill="auto"/>
            <w:vAlign w:val="center"/>
          </w:tcPr>
          <w:p w14:paraId="1CE686D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15,618.56</w:t>
            </w:r>
          </w:p>
        </w:tc>
        <w:tc>
          <w:tcPr>
            <w:tcW w:w="907" w:type="dxa"/>
            <w:shd w:val="clear" w:color="auto" w:fill="auto"/>
            <w:vAlign w:val="center"/>
          </w:tcPr>
          <w:p w14:paraId="52CF419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18,370.71</w:t>
            </w:r>
          </w:p>
        </w:tc>
        <w:tc>
          <w:tcPr>
            <w:tcW w:w="907" w:type="dxa"/>
            <w:shd w:val="clear" w:color="auto" w:fill="auto"/>
            <w:vAlign w:val="center"/>
          </w:tcPr>
          <w:p w14:paraId="741512A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21,586.33</w:t>
            </w:r>
          </w:p>
        </w:tc>
        <w:tc>
          <w:tcPr>
            <w:tcW w:w="907" w:type="dxa"/>
            <w:shd w:val="clear" w:color="auto" w:fill="auto"/>
            <w:vAlign w:val="center"/>
          </w:tcPr>
          <w:p w14:paraId="6778883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18,898.06</w:t>
            </w:r>
          </w:p>
        </w:tc>
        <w:tc>
          <w:tcPr>
            <w:tcW w:w="907" w:type="dxa"/>
            <w:shd w:val="clear" w:color="auto" w:fill="auto"/>
            <w:vAlign w:val="center"/>
          </w:tcPr>
          <w:p w14:paraId="160ED58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18,600.46</w:t>
            </w:r>
          </w:p>
        </w:tc>
        <w:tc>
          <w:tcPr>
            <w:tcW w:w="907" w:type="dxa"/>
            <w:shd w:val="clear" w:color="auto" w:fill="auto"/>
            <w:vAlign w:val="center"/>
          </w:tcPr>
          <w:p w14:paraId="5222D90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18,285.00</w:t>
            </w:r>
          </w:p>
        </w:tc>
        <w:tc>
          <w:tcPr>
            <w:tcW w:w="907" w:type="dxa"/>
            <w:shd w:val="clear" w:color="auto" w:fill="D2DDE1" w:themeFill="background2"/>
            <w:vAlign w:val="center"/>
          </w:tcPr>
          <w:p w14:paraId="1DEC25A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15,912.53</w:t>
            </w:r>
          </w:p>
        </w:tc>
        <w:tc>
          <w:tcPr>
            <w:tcW w:w="907" w:type="dxa"/>
            <w:shd w:val="clear" w:color="auto" w:fill="D2DDE1" w:themeFill="background2"/>
            <w:vAlign w:val="center"/>
          </w:tcPr>
          <w:p w14:paraId="076E32A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16,052.42</w:t>
            </w:r>
          </w:p>
        </w:tc>
        <w:tc>
          <w:tcPr>
            <w:tcW w:w="907" w:type="dxa"/>
            <w:shd w:val="clear" w:color="auto" w:fill="D2DDE1" w:themeFill="background2"/>
            <w:vAlign w:val="center"/>
          </w:tcPr>
          <w:p w14:paraId="299A954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15,986.22</w:t>
            </w:r>
          </w:p>
        </w:tc>
      </w:tr>
      <w:tr w:rsidR="00533D32" w:rsidRPr="00BD16B4" w14:paraId="4088F242" w14:textId="77777777" w:rsidTr="002D166E">
        <w:tc>
          <w:tcPr>
            <w:tcW w:w="2034" w:type="dxa"/>
          </w:tcPr>
          <w:p w14:paraId="5FECD473" w14:textId="77777777" w:rsidR="00533D32" w:rsidRPr="00BD16B4" w:rsidRDefault="00533D32" w:rsidP="002D166E">
            <w:pPr>
              <w:pStyle w:val="TableText"/>
              <w:spacing w:before="50" w:after="50"/>
              <w:rPr>
                <w:rFonts w:cs="Calibri"/>
                <w:szCs w:val="18"/>
              </w:rPr>
            </w:pPr>
            <w:r w:rsidRPr="00BD16B4">
              <w:rPr>
                <w:rFonts w:cs="Calibri"/>
                <w:szCs w:val="18"/>
              </w:rPr>
              <w:t>Transport</w:t>
            </w:r>
          </w:p>
        </w:tc>
        <w:tc>
          <w:tcPr>
            <w:tcW w:w="907" w:type="dxa"/>
            <w:shd w:val="clear" w:color="auto" w:fill="auto"/>
            <w:vAlign w:val="center"/>
          </w:tcPr>
          <w:p w14:paraId="1B9F37A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8,126.19</w:t>
            </w:r>
          </w:p>
        </w:tc>
        <w:tc>
          <w:tcPr>
            <w:tcW w:w="907" w:type="dxa"/>
            <w:shd w:val="clear" w:color="auto" w:fill="auto"/>
            <w:vAlign w:val="center"/>
          </w:tcPr>
          <w:p w14:paraId="4627403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10,247.56</w:t>
            </w:r>
          </w:p>
        </w:tc>
        <w:tc>
          <w:tcPr>
            <w:tcW w:w="907" w:type="dxa"/>
            <w:shd w:val="clear" w:color="auto" w:fill="auto"/>
            <w:vAlign w:val="center"/>
          </w:tcPr>
          <w:p w14:paraId="6AD72E1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11,648.31</w:t>
            </w:r>
          </w:p>
        </w:tc>
        <w:tc>
          <w:tcPr>
            <w:tcW w:w="907" w:type="dxa"/>
            <w:shd w:val="clear" w:color="auto" w:fill="auto"/>
            <w:vAlign w:val="center"/>
          </w:tcPr>
          <w:p w14:paraId="5C0FCCF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13,063.44</w:t>
            </w:r>
          </w:p>
        </w:tc>
        <w:tc>
          <w:tcPr>
            <w:tcW w:w="907" w:type="dxa"/>
            <w:shd w:val="clear" w:color="auto" w:fill="auto"/>
            <w:vAlign w:val="center"/>
          </w:tcPr>
          <w:p w14:paraId="653825B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13,349.43</w:t>
            </w:r>
          </w:p>
        </w:tc>
        <w:tc>
          <w:tcPr>
            <w:tcW w:w="907" w:type="dxa"/>
            <w:shd w:val="clear" w:color="auto" w:fill="auto"/>
            <w:vAlign w:val="center"/>
          </w:tcPr>
          <w:p w14:paraId="360C61A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13,805.24</w:t>
            </w:r>
          </w:p>
        </w:tc>
        <w:tc>
          <w:tcPr>
            <w:tcW w:w="907" w:type="dxa"/>
            <w:shd w:val="clear" w:color="auto" w:fill="auto"/>
            <w:vAlign w:val="center"/>
          </w:tcPr>
          <w:p w14:paraId="140A508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13,176.42</w:t>
            </w:r>
          </w:p>
        </w:tc>
        <w:tc>
          <w:tcPr>
            <w:tcW w:w="907" w:type="dxa"/>
            <w:shd w:val="clear" w:color="auto" w:fill="D2DDE1" w:themeFill="background2"/>
            <w:vAlign w:val="center"/>
          </w:tcPr>
          <w:p w14:paraId="6ABF37B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15,328.82</w:t>
            </w:r>
          </w:p>
        </w:tc>
        <w:tc>
          <w:tcPr>
            <w:tcW w:w="907" w:type="dxa"/>
            <w:shd w:val="clear" w:color="auto" w:fill="D2DDE1" w:themeFill="background2"/>
            <w:vAlign w:val="center"/>
          </w:tcPr>
          <w:p w14:paraId="44C9FD1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15,232.69</w:t>
            </w:r>
          </w:p>
        </w:tc>
        <w:tc>
          <w:tcPr>
            <w:tcW w:w="907" w:type="dxa"/>
            <w:shd w:val="clear" w:color="auto" w:fill="D2DDE1" w:themeFill="background2"/>
            <w:vAlign w:val="center"/>
          </w:tcPr>
          <w:p w14:paraId="13FF346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14,411.54</w:t>
            </w:r>
          </w:p>
        </w:tc>
      </w:tr>
      <w:tr w:rsidR="00533D32" w:rsidRPr="00BD16B4" w14:paraId="4835CA08" w14:textId="77777777" w:rsidTr="002D166E">
        <w:tc>
          <w:tcPr>
            <w:tcW w:w="2034" w:type="dxa"/>
          </w:tcPr>
          <w:p w14:paraId="60C2AE55" w14:textId="77777777" w:rsidR="00533D32" w:rsidRPr="00BD16B4" w:rsidRDefault="00533D32" w:rsidP="002D166E">
            <w:pPr>
              <w:pStyle w:val="TableText"/>
              <w:spacing w:before="50" w:after="50"/>
              <w:rPr>
                <w:rFonts w:cs="Calibri"/>
                <w:szCs w:val="18"/>
              </w:rPr>
            </w:pPr>
            <w:r w:rsidRPr="00BD16B4">
              <w:rPr>
                <w:rFonts w:cs="Calibri"/>
                <w:szCs w:val="18"/>
              </w:rPr>
              <w:t>Industry/industrial processes</w:t>
            </w:r>
          </w:p>
        </w:tc>
        <w:tc>
          <w:tcPr>
            <w:tcW w:w="907" w:type="dxa"/>
            <w:shd w:val="clear" w:color="auto" w:fill="auto"/>
            <w:vAlign w:val="center"/>
          </w:tcPr>
          <w:p w14:paraId="27A6E35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3,579.92</w:t>
            </w:r>
          </w:p>
        </w:tc>
        <w:tc>
          <w:tcPr>
            <w:tcW w:w="907" w:type="dxa"/>
            <w:shd w:val="clear" w:color="auto" w:fill="auto"/>
            <w:vAlign w:val="center"/>
          </w:tcPr>
          <w:p w14:paraId="486C997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3,181.18</w:t>
            </w:r>
          </w:p>
        </w:tc>
        <w:tc>
          <w:tcPr>
            <w:tcW w:w="907" w:type="dxa"/>
            <w:shd w:val="clear" w:color="auto" w:fill="auto"/>
            <w:vAlign w:val="center"/>
          </w:tcPr>
          <w:p w14:paraId="09480C5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3,453.29</w:t>
            </w:r>
          </w:p>
        </w:tc>
        <w:tc>
          <w:tcPr>
            <w:tcW w:w="907" w:type="dxa"/>
            <w:shd w:val="clear" w:color="auto" w:fill="auto"/>
            <w:vAlign w:val="center"/>
          </w:tcPr>
          <w:p w14:paraId="2C0D986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4,043.88</w:t>
            </w:r>
          </w:p>
        </w:tc>
        <w:tc>
          <w:tcPr>
            <w:tcW w:w="907" w:type="dxa"/>
            <w:shd w:val="clear" w:color="auto" w:fill="auto"/>
            <w:vAlign w:val="center"/>
          </w:tcPr>
          <w:p w14:paraId="209D8A5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4,557.14</w:t>
            </w:r>
          </w:p>
        </w:tc>
        <w:tc>
          <w:tcPr>
            <w:tcW w:w="907" w:type="dxa"/>
            <w:shd w:val="clear" w:color="auto" w:fill="auto"/>
            <w:vAlign w:val="center"/>
          </w:tcPr>
          <w:p w14:paraId="56D1891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5,127.74</w:t>
            </w:r>
          </w:p>
        </w:tc>
        <w:tc>
          <w:tcPr>
            <w:tcW w:w="907" w:type="dxa"/>
            <w:shd w:val="clear" w:color="auto" w:fill="auto"/>
            <w:vAlign w:val="center"/>
          </w:tcPr>
          <w:p w14:paraId="3F8534D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4,609.13</w:t>
            </w:r>
          </w:p>
        </w:tc>
        <w:tc>
          <w:tcPr>
            <w:tcW w:w="907" w:type="dxa"/>
            <w:shd w:val="clear" w:color="auto" w:fill="D2DDE1" w:themeFill="background2"/>
            <w:vAlign w:val="center"/>
          </w:tcPr>
          <w:p w14:paraId="7449BF4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4,246.68</w:t>
            </w:r>
          </w:p>
        </w:tc>
        <w:tc>
          <w:tcPr>
            <w:tcW w:w="907" w:type="dxa"/>
            <w:shd w:val="clear" w:color="auto" w:fill="D2DDE1" w:themeFill="background2"/>
            <w:vAlign w:val="center"/>
          </w:tcPr>
          <w:p w14:paraId="4C3BDB1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4,220.83</w:t>
            </w:r>
          </w:p>
        </w:tc>
        <w:tc>
          <w:tcPr>
            <w:tcW w:w="907" w:type="dxa"/>
            <w:shd w:val="clear" w:color="auto" w:fill="D2DDE1" w:themeFill="background2"/>
            <w:vAlign w:val="center"/>
          </w:tcPr>
          <w:p w14:paraId="2F50C22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4,100.84</w:t>
            </w:r>
          </w:p>
        </w:tc>
      </w:tr>
      <w:tr w:rsidR="00533D32" w:rsidRPr="00BD16B4" w14:paraId="0A74E26D" w14:textId="77777777" w:rsidTr="002D166E">
        <w:tc>
          <w:tcPr>
            <w:tcW w:w="2034" w:type="dxa"/>
          </w:tcPr>
          <w:p w14:paraId="529469A6" w14:textId="77777777" w:rsidR="00533D32" w:rsidRPr="00BD16B4" w:rsidRDefault="00533D32" w:rsidP="002D166E">
            <w:pPr>
              <w:pStyle w:val="TableText"/>
              <w:spacing w:before="50" w:after="50"/>
              <w:rPr>
                <w:rFonts w:cs="Calibri"/>
                <w:szCs w:val="18"/>
              </w:rPr>
            </w:pPr>
            <w:r w:rsidRPr="00BD16B4">
              <w:rPr>
                <w:rFonts w:cs="Calibri"/>
                <w:szCs w:val="18"/>
              </w:rPr>
              <w:t>Agriculture</w:t>
            </w:r>
          </w:p>
        </w:tc>
        <w:tc>
          <w:tcPr>
            <w:tcW w:w="907" w:type="dxa"/>
            <w:shd w:val="clear" w:color="auto" w:fill="auto"/>
            <w:vAlign w:val="center"/>
          </w:tcPr>
          <w:p w14:paraId="22A5EFD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33,792.88</w:t>
            </w:r>
          </w:p>
        </w:tc>
        <w:tc>
          <w:tcPr>
            <w:tcW w:w="907" w:type="dxa"/>
            <w:shd w:val="clear" w:color="auto" w:fill="auto"/>
            <w:vAlign w:val="center"/>
          </w:tcPr>
          <w:p w14:paraId="52EF634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35,734.70</w:t>
            </w:r>
          </w:p>
        </w:tc>
        <w:tc>
          <w:tcPr>
            <w:tcW w:w="907" w:type="dxa"/>
            <w:shd w:val="clear" w:color="auto" w:fill="auto"/>
            <w:vAlign w:val="center"/>
          </w:tcPr>
          <w:p w14:paraId="44C04F8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37,614.88</w:t>
            </w:r>
          </w:p>
        </w:tc>
        <w:tc>
          <w:tcPr>
            <w:tcW w:w="907" w:type="dxa"/>
            <w:shd w:val="clear" w:color="auto" w:fill="auto"/>
            <w:vAlign w:val="center"/>
          </w:tcPr>
          <w:p w14:paraId="20B85C8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39,571.90</w:t>
            </w:r>
          </w:p>
        </w:tc>
        <w:tc>
          <w:tcPr>
            <w:tcW w:w="907" w:type="dxa"/>
            <w:shd w:val="clear" w:color="auto" w:fill="auto"/>
            <w:vAlign w:val="center"/>
          </w:tcPr>
          <w:p w14:paraId="5BC2FA3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37,711.50</w:t>
            </w:r>
          </w:p>
        </w:tc>
        <w:tc>
          <w:tcPr>
            <w:tcW w:w="907" w:type="dxa"/>
            <w:shd w:val="clear" w:color="auto" w:fill="auto"/>
            <w:vAlign w:val="center"/>
          </w:tcPr>
          <w:p w14:paraId="6204FE6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39,561.83</w:t>
            </w:r>
          </w:p>
        </w:tc>
        <w:tc>
          <w:tcPr>
            <w:tcW w:w="907" w:type="dxa"/>
            <w:shd w:val="clear" w:color="auto" w:fill="auto"/>
            <w:vAlign w:val="center"/>
          </w:tcPr>
          <w:p w14:paraId="74A0454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39,821.96</w:t>
            </w:r>
          </w:p>
        </w:tc>
        <w:tc>
          <w:tcPr>
            <w:tcW w:w="907" w:type="dxa"/>
            <w:shd w:val="clear" w:color="auto" w:fill="D2DDE1" w:themeFill="background2"/>
            <w:vAlign w:val="center"/>
          </w:tcPr>
          <w:p w14:paraId="438F884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38,225.91</w:t>
            </w:r>
          </w:p>
        </w:tc>
        <w:tc>
          <w:tcPr>
            <w:tcW w:w="907" w:type="dxa"/>
            <w:shd w:val="clear" w:color="auto" w:fill="D2DDE1" w:themeFill="background2"/>
            <w:vAlign w:val="center"/>
          </w:tcPr>
          <w:p w14:paraId="746C7FA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38,346.42</w:t>
            </w:r>
          </w:p>
        </w:tc>
        <w:tc>
          <w:tcPr>
            <w:tcW w:w="907" w:type="dxa"/>
            <w:shd w:val="clear" w:color="auto" w:fill="D2DDE1" w:themeFill="background2"/>
            <w:vAlign w:val="center"/>
          </w:tcPr>
          <w:p w14:paraId="016B3FA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38,597.10</w:t>
            </w:r>
          </w:p>
        </w:tc>
      </w:tr>
      <w:tr w:rsidR="00533D32" w:rsidRPr="00BD16B4" w14:paraId="5045304D" w14:textId="77777777" w:rsidTr="002D166E">
        <w:tc>
          <w:tcPr>
            <w:tcW w:w="2034" w:type="dxa"/>
          </w:tcPr>
          <w:p w14:paraId="411F2865" w14:textId="77777777" w:rsidR="00533D32" w:rsidRPr="00BD16B4" w:rsidRDefault="00533D32" w:rsidP="002D166E">
            <w:pPr>
              <w:pStyle w:val="TableText"/>
              <w:spacing w:before="50" w:after="50"/>
              <w:rPr>
                <w:rFonts w:cs="Calibri"/>
                <w:szCs w:val="18"/>
              </w:rPr>
            </w:pPr>
            <w:r w:rsidRPr="00BD16B4">
              <w:rPr>
                <w:rFonts w:cs="Calibri"/>
                <w:szCs w:val="18"/>
              </w:rPr>
              <w:t>Forestry/LULUCF</w:t>
            </w:r>
          </w:p>
        </w:tc>
        <w:tc>
          <w:tcPr>
            <w:tcW w:w="907" w:type="dxa"/>
            <w:shd w:val="clear" w:color="auto" w:fill="auto"/>
            <w:vAlign w:val="center"/>
          </w:tcPr>
          <w:p w14:paraId="635D83E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-21,229.22</w:t>
            </w:r>
          </w:p>
        </w:tc>
        <w:tc>
          <w:tcPr>
            <w:tcW w:w="907" w:type="dxa"/>
            <w:shd w:val="clear" w:color="auto" w:fill="auto"/>
            <w:vAlign w:val="center"/>
          </w:tcPr>
          <w:p w14:paraId="1599B83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-22,474.82</w:t>
            </w:r>
          </w:p>
        </w:tc>
        <w:tc>
          <w:tcPr>
            <w:tcW w:w="907" w:type="dxa"/>
            <w:shd w:val="clear" w:color="auto" w:fill="auto"/>
            <w:vAlign w:val="center"/>
          </w:tcPr>
          <w:p w14:paraId="453CEF8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-26,648.51</w:t>
            </w:r>
          </w:p>
        </w:tc>
        <w:tc>
          <w:tcPr>
            <w:tcW w:w="907" w:type="dxa"/>
            <w:shd w:val="clear" w:color="auto" w:fill="auto"/>
            <w:vAlign w:val="center"/>
          </w:tcPr>
          <w:p w14:paraId="4DBD9D7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-30,839.55</w:t>
            </w:r>
          </w:p>
        </w:tc>
        <w:tc>
          <w:tcPr>
            <w:tcW w:w="907" w:type="dxa"/>
            <w:shd w:val="clear" w:color="auto" w:fill="auto"/>
            <w:vAlign w:val="center"/>
          </w:tcPr>
          <w:p w14:paraId="7E4F3B3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-28,206.15</w:t>
            </w:r>
          </w:p>
        </w:tc>
        <w:tc>
          <w:tcPr>
            <w:tcW w:w="907" w:type="dxa"/>
            <w:shd w:val="clear" w:color="auto" w:fill="auto"/>
            <w:vAlign w:val="center"/>
          </w:tcPr>
          <w:p w14:paraId="409EB9E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-24,800.91</w:t>
            </w:r>
          </w:p>
        </w:tc>
        <w:tc>
          <w:tcPr>
            <w:tcW w:w="907" w:type="dxa"/>
            <w:shd w:val="clear" w:color="auto" w:fill="auto"/>
            <w:vAlign w:val="center"/>
          </w:tcPr>
          <w:p w14:paraId="244E39A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-17,043.47</w:t>
            </w:r>
          </w:p>
        </w:tc>
        <w:tc>
          <w:tcPr>
            <w:tcW w:w="907" w:type="dxa"/>
            <w:shd w:val="clear" w:color="auto" w:fill="D2DDE1" w:themeFill="background2"/>
            <w:vAlign w:val="center"/>
          </w:tcPr>
          <w:p w14:paraId="680726C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-2,370.87</w:t>
            </w:r>
          </w:p>
        </w:tc>
        <w:tc>
          <w:tcPr>
            <w:tcW w:w="907" w:type="dxa"/>
            <w:shd w:val="clear" w:color="auto" w:fill="D2DDE1" w:themeFill="background2"/>
            <w:vAlign w:val="center"/>
          </w:tcPr>
          <w:p w14:paraId="7568132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1,482.20</w:t>
            </w:r>
          </w:p>
        </w:tc>
        <w:tc>
          <w:tcPr>
            <w:tcW w:w="907" w:type="dxa"/>
            <w:shd w:val="clear" w:color="auto" w:fill="D2DDE1" w:themeFill="background2"/>
            <w:vAlign w:val="center"/>
          </w:tcPr>
          <w:p w14:paraId="34B2F3F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-4,860.59</w:t>
            </w:r>
          </w:p>
        </w:tc>
      </w:tr>
      <w:tr w:rsidR="00533D32" w:rsidRPr="00BD16B4" w14:paraId="7B7D3064" w14:textId="77777777" w:rsidTr="002D166E">
        <w:tc>
          <w:tcPr>
            <w:tcW w:w="2034" w:type="dxa"/>
          </w:tcPr>
          <w:p w14:paraId="095AEC51" w14:textId="77777777" w:rsidR="00533D32" w:rsidRPr="00BD16B4" w:rsidRDefault="00533D32" w:rsidP="002D166E">
            <w:pPr>
              <w:pStyle w:val="TableText"/>
              <w:spacing w:before="50" w:after="50"/>
              <w:rPr>
                <w:rFonts w:cs="Calibri"/>
                <w:szCs w:val="18"/>
              </w:rPr>
            </w:pPr>
            <w:r w:rsidRPr="00BD16B4">
              <w:rPr>
                <w:rFonts w:cs="Calibri"/>
                <w:szCs w:val="18"/>
              </w:rPr>
              <w:t>Waste management/waste</w:t>
            </w:r>
          </w:p>
        </w:tc>
        <w:tc>
          <w:tcPr>
            <w:tcW w:w="907" w:type="dxa"/>
            <w:shd w:val="clear" w:color="auto" w:fill="auto"/>
            <w:vAlign w:val="center"/>
          </w:tcPr>
          <w:p w14:paraId="002899F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3,943.11</w:t>
            </w:r>
          </w:p>
        </w:tc>
        <w:tc>
          <w:tcPr>
            <w:tcW w:w="907" w:type="dxa"/>
            <w:shd w:val="clear" w:color="auto" w:fill="auto"/>
            <w:vAlign w:val="center"/>
          </w:tcPr>
          <w:p w14:paraId="30A6AD6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4,234.51</w:t>
            </w:r>
          </w:p>
        </w:tc>
        <w:tc>
          <w:tcPr>
            <w:tcW w:w="907" w:type="dxa"/>
            <w:shd w:val="clear" w:color="auto" w:fill="auto"/>
            <w:vAlign w:val="center"/>
          </w:tcPr>
          <w:p w14:paraId="055850F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4,434.56</w:t>
            </w:r>
          </w:p>
        </w:tc>
        <w:tc>
          <w:tcPr>
            <w:tcW w:w="907" w:type="dxa"/>
            <w:shd w:val="clear" w:color="auto" w:fill="auto"/>
            <w:vAlign w:val="center"/>
          </w:tcPr>
          <w:p w14:paraId="2827138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4,378.30</w:t>
            </w:r>
          </w:p>
        </w:tc>
        <w:tc>
          <w:tcPr>
            <w:tcW w:w="907" w:type="dxa"/>
            <w:shd w:val="clear" w:color="auto" w:fill="auto"/>
            <w:vAlign w:val="center"/>
          </w:tcPr>
          <w:p w14:paraId="7E262A2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4,298.26</w:t>
            </w:r>
          </w:p>
        </w:tc>
        <w:tc>
          <w:tcPr>
            <w:tcW w:w="907" w:type="dxa"/>
            <w:shd w:val="clear" w:color="auto" w:fill="auto"/>
            <w:vAlign w:val="center"/>
          </w:tcPr>
          <w:p w14:paraId="192B951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4,090.63</w:t>
            </w:r>
          </w:p>
        </w:tc>
        <w:tc>
          <w:tcPr>
            <w:tcW w:w="907" w:type="dxa"/>
            <w:shd w:val="clear" w:color="auto" w:fill="auto"/>
            <w:vAlign w:val="center"/>
          </w:tcPr>
          <w:p w14:paraId="3802C64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3,846.43</w:t>
            </w:r>
          </w:p>
        </w:tc>
        <w:tc>
          <w:tcPr>
            <w:tcW w:w="907" w:type="dxa"/>
            <w:shd w:val="clear" w:color="auto" w:fill="D2DDE1" w:themeFill="background2"/>
            <w:vAlign w:val="center"/>
          </w:tcPr>
          <w:p w14:paraId="5D7C88F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3,777.36</w:t>
            </w:r>
          </w:p>
        </w:tc>
        <w:tc>
          <w:tcPr>
            <w:tcW w:w="907" w:type="dxa"/>
            <w:shd w:val="clear" w:color="auto" w:fill="D2DDE1" w:themeFill="background2"/>
            <w:vAlign w:val="center"/>
          </w:tcPr>
          <w:p w14:paraId="0D9F9EB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3,707.31</w:t>
            </w:r>
          </w:p>
        </w:tc>
        <w:tc>
          <w:tcPr>
            <w:tcW w:w="907" w:type="dxa"/>
            <w:shd w:val="clear" w:color="auto" w:fill="D2DDE1" w:themeFill="background2"/>
            <w:vAlign w:val="center"/>
          </w:tcPr>
          <w:p w14:paraId="3F9969D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3,660.03</w:t>
            </w:r>
          </w:p>
        </w:tc>
      </w:tr>
      <w:tr w:rsidR="00533D32" w:rsidRPr="00BD16B4" w14:paraId="0F2853BD" w14:textId="77777777" w:rsidTr="002D166E">
        <w:tc>
          <w:tcPr>
            <w:tcW w:w="2034" w:type="dxa"/>
          </w:tcPr>
          <w:p w14:paraId="0CB678BF" w14:textId="77777777" w:rsidR="00533D32" w:rsidRPr="00BD16B4" w:rsidRDefault="00533D32" w:rsidP="002D166E">
            <w:pPr>
              <w:pStyle w:val="TableText"/>
              <w:spacing w:before="50" w:after="50"/>
              <w:rPr>
                <w:rFonts w:cs="Calibri"/>
                <w:szCs w:val="18"/>
              </w:rPr>
            </w:pPr>
            <w:r w:rsidRPr="00BD16B4">
              <w:rPr>
                <w:rFonts w:cs="Calibri"/>
                <w:szCs w:val="18"/>
              </w:rPr>
              <w:lastRenderedPageBreak/>
              <w:t>Tokelau (Other)</w:t>
            </w:r>
          </w:p>
        </w:tc>
        <w:tc>
          <w:tcPr>
            <w:tcW w:w="907" w:type="dxa"/>
            <w:shd w:val="clear" w:color="auto" w:fill="auto"/>
            <w:vAlign w:val="center"/>
          </w:tcPr>
          <w:p w14:paraId="4F42FA2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3.17</w:t>
            </w:r>
          </w:p>
        </w:tc>
        <w:tc>
          <w:tcPr>
            <w:tcW w:w="907" w:type="dxa"/>
            <w:shd w:val="clear" w:color="auto" w:fill="auto"/>
            <w:vAlign w:val="center"/>
          </w:tcPr>
          <w:p w14:paraId="5783579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3.14</w:t>
            </w:r>
          </w:p>
        </w:tc>
        <w:tc>
          <w:tcPr>
            <w:tcW w:w="907" w:type="dxa"/>
            <w:shd w:val="clear" w:color="auto" w:fill="auto"/>
            <w:vAlign w:val="center"/>
          </w:tcPr>
          <w:p w14:paraId="64C37F1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3.49</w:t>
            </w:r>
          </w:p>
        </w:tc>
        <w:tc>
          <w:tcPr>
            <w:tcW w:w="907" w:type="dxa"/>
            <w:shd w:val="clear" w:color="auto" w:fill="auto"/>
            <w:vAlign w:val="center"/>
          </w:tcPr>
          <w:p w14:paraId="3AEF634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4.49</w:t>
            </w:r>
          </w:p>
        </w:tc>
        <w:tc>
          <w:tcPr>
            <w:tcW w:w="907" w:type="dxa"/>
            <w:shd w:val="clear" w:color="auto" w:fill="auto"/>
            <w:vAlign w:val="center"/>
          </w:tcPr>
          <w:p w14:paraId="0CC0976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4.52</w:t>
            </w:r>
          </w:p>
        </w:tc>
        <w:tc>
          <w:tcPr>
            <w:tcW w:w="907" w:type="dxa"/>
            <w:shd w:val="clear" w:color="auto" w:fill="auto"/>
            <w:vAlign w:val="center"/>
          </w:tcPr>
          <w:p w14:paraId="537D008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3.42</w:t>
            </w:r>
          </w:p>
        </w:tc>
        <w:tc>
          <w:tcPr>
            <w:tcW w:w="907" w:type="dxa"/>
            <w:shd w:val="clear" w:color="auto" w:fill="auto"/>
            <w:vAlign w:val="center"/>
          </w:tcPr>
          <w:p w14:paraId="7D89A75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4.18</w:t>
            </w:r>
          </w:p>
        </w:tc>
        <w:tc>
          <w:tcPr>
            <w:tcW w:w="907" w:type="dxa"/>
            <w:shd w:val="clear" w:color="auto" w:fill="D2DDE1" w:themeFill="background2"/>
            <w:vAlign w:val="center"/>
          </w:tcPr>
          <w:p w14:paraId="24E570D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3.56</w:t>
            </w:r>
          </w:p>
        </w:tc>
        <w:tc>
          <w:tcPr>
            <w:tcW w:w="907" w:type="dxa"/>
            <w:shd w:val="clear" w:color="auto" w:fill="D2DDE1" w:themeFill="background2"/>
            <w:vAlign w:val="center"/>
          </w:tcPr>
          <w:p w14:paraId="1127102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3.51</w:t>
            </w:r>
          </w:p>
        </w:tc>
        <w:tc>
          <w:tcPr>
            <w:tcW w:w="907" w:type="dxa"/>
            <w:shd w:val="clear" w:color="auto" w:fill="D2DDE1" w:themeFill="background2"/>
            <w:vAlign w:val="center"/>
          </w:tcPr>
          <w:p w14:paraId="22A42B9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3.46</w:t>
            </w:r>
          </w:p>
        </w:tc>
      </w:tr>
      <w:tr w:rsidR="00533D32" w:rsidRPr="00BD16B4" w14:paraId="64C3D921" w14:textId="77777777" w:rsidTr="002D166E">
        <w:tc>
          <w:tcPr>
            <w:tcW w:w="2034" w:type="dxa"/>
          </w:tcPr>
          <w:p w14:paraId="19212904" w14:textId="77777777" w:rsidR="00533D32" w:rsidRPr="00BD16B4" w:rsidRDefault="00533D32" w:rsidP="002D166E">
            <w:pPr>
              <w:pStyle w:val="TableText"/>
              <w:spacing w:before="50" w:after="50"/>
              <w:rPr>
                <w:rFonts w:cs="Calibri"/>
                <w:b/>
                <w:bCs/>
                <w:szCs w:val="18"/>
              </w:rPr>
            </w:pPr>
            <w:r w:rsidRPr="00BD16B4">
              <w:rPr>
                <w:rFonts w:cs="Calibri"/>
                <w:b/>
                <w:bCs/>
                <w:szCs w:val="18"/>
              </w:rPr>
              <w:t xml:space="preserve">Gas </w:t>
            </w:r>
          </w:p>
        </w:tc>
        <w:tc>
          <w:tcPr>
            <w:tcW w:w="907" w:type="dxa"/>
            <w:shd w:val="clear" w:color="auto" w:fill="auto"/>
            <w:vAlign w:val="center"/>
          </w:tcPr>
          <w:p w14:paraId="282F5080"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3A30145E"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618A3A21"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0EE4F7FB"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010A128F"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7A76982A"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32B88782" w14:textId="77777777" w:rsidR="00533D32" w:rsidRPr="00BD16B4" w:rsidRDefault="00533D32" w:rsidP="002D166E">
            <w:pPr>
              <w:pStyle w:val="TableText"/>
              <w:spacing w:before="50" w:after="50"/>
              <w:jc w:val="center"/>
              <w:rPr>
                <w:rFonts w:cs="Calibri"/>
                <w:szCs w:val="18"/>
              </w:rPr>
            </w:pPr>
          </w:p>
        </w:tc>
        <w:tc>
          <w:tcPr>
            <w:tcW w:w="907" w:type="dxa"/>
            <w:shd w:val="clear" w:color="auto" w:fill="D2DDE1" w:themeFill="background2"/>
            <w:vAlign w:val="center"/>
          </w:tcPr>
          <w:p w14:paraId="6C335C2B" w14:textId="77777777" w:rsidR="00533D32" w:rsidRPr="00BD16B4" w:rsidRDefault="00533D32" w:rsidP="002D166E">
            <w:pPr>
              <w:pStyle w:val="TableText"/>
              <w:spacing w:before="50" w:after="50"/>
              <w:jc w:val="center"/>
              <w:rPr>
                <w:rFonts w:cs="Calibri"/>
                <w:szCs w:val="18"/>
              </w:rPr>
            </w:pPr>
          </w:p>
        </w:tc>
        <w:tc>
          <w:tcPr>
            <w:tcW w:w="907" w:type="dxa"/>
            <w:shd w:val="clear" w:color="auto" w:fill="D2DDE1" w:themeFill="background2"/>
            <w:vAlign w:val="center"/>
          </w:tcPr>
          <w:p w14:paraId="0963C494" w14:textId="77777777" w:rsidR="00533D32" w:rsidRPr="00BD16B4" w:rsidRDefault="00533D32" w:rsidP="002D166E">
            <w:pPr>
              <w:pStyle w:val="TableText"/>
              <w:spacing w:before="50" w:after="50"/>
              <w:jc w:val="center"/>
              <w:rPr>
                <w:rFonts w:cs="Calibri"/>
                <w:szCs w:val="18"/>
              </w:rPr>
            </w:pPr>
          </w:p>
        </w:tc>
        <w:tc>
          <w:tcPr>
            <w:tcW w:w="907" w:type="dxa"/>
            <w:shd w:val="clear" w:color="auto" w:fill="D2DDE1" w:themeFill="background2"/>
            <w:vAlign w:val="center"/>
          </w:tcPr>
          <w:p w14:paraId="5379050E" w14:textId="77777777" w:rsidR="00533D32" w:rsidRPr="00BD16B4" w:rsidRDefault="00533D32" w:rsidP="002D166E">
            <w:pPr>
              <w:pStyle w:val="TableText"/>
              <w:spacing w:before="50" w:after="50"/>
              <w:jc w:val="center"/>
              <w:rPr>
                <w:rFonts w:cs="Calibri"/>
                <w:szCs w:val="18"/>
              </w:rPr>
            </w:pPr>
          </w:p>
        </w:tc>
      </w:tr>
      <w:tr w:rsidR="00533D32" w:rsidRPr="00BD16B4" w14:paraId="2E9448AC" w14:textId="77777777" w:rsidTr="002D166E">
        <w:tc>
          <w:tcPr>
            <w:tcW w:w="2034" w:type="dxa"/>
          </w:tcPr>
          <w:p w14:paraId="486DA82C" w14:textId="77777777" w:rsidR="00533D32" w:rsidRPr="00BD16B4" w:rsidRDefault="00533D32" w:rsidP="002D166E">
            <w:pPr>
              <w:pStyle w:val="TableText"/>
              <w:spacing w:before="50" w:after="50"/>
              <w:rPr>
                <w:rFonts w:cs="Calibri"/>
                <w:szCs w:val="18"/>
              </w:rPr>
            </w:pPr>
            <w:r w:rsidRPr="00BD16B4">
              <w:rPr>
                <w:rFonts w:cs="Calibri"/>
                <w:szCs w:val="18"/>
              </w:rPr>
              <w:t>CO</w:t>
            </w:r>
            <w:r w:rsidRPr="00BD16B4">
              <w:rPr>
                <w:rFonts w:cs="Calibri"/>
                <w:szCs w:val="18"/>
                <w:vertAlign w:val="subscript"/>
              </w:rPr>
              <w:t>2</w:t>
            </w:r>
            <w:r w:rsidRPr="00BD16B4">
              <w:rPr>
                <w:rFonts w:cs="Calibri"/>
                <w:szCs w:val="18"/>
              </w:rPr>
              <w:t xml:space="preserve"> emissions including net CO</w:t>
            </w:r>
            <w:r w:rsidRPr="00BD16B4">
              <w:rPr>
                <w:rFonts w:cs="Calibri"/>
                <w:szCs w:val="18"/>
                <w:vertAlign w:val="subscript"/>
              </w:rPr>
              <w:t>2</w:t>
            </w:r>
            <w:r w:rsidRPr="00BD16B4">
              <w:rPr>
                <w:rFonts w:cs="Calibri"/>
                <w:szCs w:val="18"/>
              </w:rPr>
              <w:t xml:space="preserve"> from LULUCF</w:t>
            </w:r>
          </w:p>
        </w:tc>
        <w:tc>
          <w:tcPr>
            <w:tcW w:w="907" w:type="dxa"/>
            <w:shd w:val="clear" w:color="auto" w:fill="auto"/>
            <w:vAlign w:val="center"/>
          </w:tcPr>
          <w:p w14:paraId="31D96A0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3,878.45</w:t>
            </w:r>
          </w:p>
        </w:tc>
        <w:tc>
          <w:tcPr>
            <w:tcW w:w="907" w:type="dxa"/>
            <w:shd w:val="clear" w:color="auto" w:fill="auto"/>
            <w:vAlign w:val="center"/>
          </w:tcPr>
          <w:p w14:paraId="7CC4E09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5,073.74</w:t>
            </w:r>
          </w:p>
        </w:tc>
        <w:tc>
          <w:tcPr>
            <w:tcW w:w="907" w:type="dxa"/>
            <w:shd w:val="clear" w:color="auto" w:fill="auto"/>
            <w:vAlign w:val="center"/>
          </w:tcPr>
          <w:p w14:paraId="27E9B39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5,117.40</w:t>
            </w:r>
          </w:p>
        </w:tc>
        <w:tc>
          <w:tcPr>
            <w:tcW w:w="907" w:type="dxa"/>
            <w:shd w:val="clear" w:color="auto" w:fill="auto"/>
            <w:vAlign w:val="center"/>
          </w:tcPr>
          <w:p w14:paraId="4B9C5A1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6,075.88</w:t>
            </w:r>
          </w:p>
        </w:tc>
        <w:tc>
          <w:tcPr>
            <w:tcW w:w="907" w:type="dxa"/>
            <w:shd w:val="clear" w:color="auto" w:fill="auto"/>
            <w:vAlign w:val="center"/>
          </w:tcPr>
          <w:p w14:paraId="4838E5D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6,156.10</w:t>
            </w:r>
          </w:p>
        </w:tc>
        <w:tc>
          <w:tcPr>
            <w:tcW w:w="907" w:type="dxa"/>
            <w:shd w:val="clear" w:color="auto" w:fill="auto"/>
            <w:vAlign w:val="center"/>
          </w:tcPr>
          <w:p w14:paraId="49D65FD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10,636.04</w:t>
            </w:r>
          </w:p>
        </w:tc>
        <w:tc>
          <w:tcPr>
            <w:tcW w:w="907" w:type="dxa"/>
            <w:shd w:val="clear" w:color="auto" w:fill="auto"/>
            <w:vAlign w:val="center"/>
          </w:tcPr>
          <w:p w14:paraId="40289DA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17,060.31</w:t>
            </w:r>
          </w:p>
        </w:tc>
        <w:tc>
          <w:tcPr>
            <w:tcW w:w="907" w:type="dxa"/>
            <w:shd w:val="clear" w:color="auto" w:fill="D2DDE1" w:themeFill="background2"/>
            <w:vAlign w:val="center"/>
          </w:tcPr>
          <w:p w14:paraId="713570A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31,085.54</w:t>
            </w:r>
          </w:p>
        </w:tc>
        <w:tc>
          <w:tcPr>
            <w:tcW w:w="907" w:type="dxa"/>
            <w:shd w:val="clear" w:color="auto" w:fill="D2DDE1" w:themeFill="background2"/>
            <w:vAlign w:val="center"/>
          </w:tcPr>
          <w:p w14:paraId="2A30889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34,992.06</w:t>
            </w:r>
          </w:p>
        </w:tc>
        <w:tc>
          <w:tcPr>
            <w:tcW w:w="907" w:type="dxa"/>
            <w:shd w:val="clear" w:color="auto" w:fill="D2DDE1" w:themeFill="background2"/>
            <w:vAlign w:val="center"/>
          </w:tcPr>
          <w:p w14:paraId="22F510D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27,777.47</w:t>
            </w:r>
          </w:p>
        </w:tc>
      </w:tr>
      <w:tr w:rsidR="00533D32" w:rsidRPr="00BD16B4" w14:paraId="5FAC4A52" w14:textId="77777777" w:rsidTr="002D166E">
        <w:tc>
          <w:tcPr>
            <w:tcW w:w="2034" w:type="dxa"/>
          </w:tcPr>
          <w:p w14:paraId="09B4C149" w14:textId="77777777" w:rsidR="00533D32" w:rsidRPr="00BD16B4" w:rsidRDefault="00533D32" w:rsidP="002D166E">
            <w:pPr>
              <w:pStyle w:val="TableText"/>
              <w:spacing w:before="50" w:after="50"/>
              <w:rPr>
                <w:rFonts w:cs="Calibri"/>
                <w:szCs w:val="18"/>
              </w:rPr>
            </w:pPr>
            <w:r w:rsidRPr="00BD16B4">
              <w:rPr>
                <w:rFonts w:cs="Calibri"/>
                <w:szCs w:val="18"/>
              </w:rPr>
              <w:t>CO</w:t>
            </w:r>
            <w:r w:rsidRPr="00BD16B4">
              <w:rPr>
                <w:rFonts w:cs="Calibri"/>
                <w:szCs w:val="18"/>
                <w:vertAlign w:val="subscript"/>
              </w:rPr>
              <w:t>2</w:t>
            </w:r>
            <w:r w:rsidRPr="00BD16B4">
              <w:rPr>
                <w:rFonts w:cs="Calibri"/>
                <w:szCs w:val="18"/>
              </w:rPr>
              <w:t xml:space="preserve"> emissions excluding net CO</w:t>
            </w:r>
            <w:r w:rsidRPr="00BD16B4">
              <w:rPr>
                <w:rFonts w:cs="Calibri"/>
                <w:szCs w:val="18"/>
                <w:vertAlign w:val="subscript"/>
              </w:rPr>
              <w:t>2</w:t>
            </w:r>
            <w:r w:rsidRPr="00BD16B4">
              <w:rPr>
                <w:rFonts w:cs="Calibri"/>
                <w:szCs w:val="18"/>
              </w:rPr>
              <w:t xml:space="preserve"> from LULUCF</w:t>
            </w:r>
          </w:p>
        </w:tc>
        <w:tc>
          <w:tcPr>
            <w:tcW w:w="907" w:type="dxa"/>
            <w:shd w:val="clear" w:color="auto" w:fill="auto"/>
            <w:vAlign w:val="center"/>
          </w:tcPr>
          <w:p w14:paraId="7667B5F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25,502.51</w:t>
            </w:r>
          </w:p>
        </w:tc>
        <w:tc>
          <w:tcPr>
            <w:tcW w:w="907" w:type="dxa"/>
            <w:shd w:val="clear" w:color="auto" w:fill="auto"/>
            <w:vAlign w:val="center"/>
          </w:tcPr>
          <w:p w14:paraId="03BD3B5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28,003.49</w:t>
            </w:r>
          </w:p>
        </w:tc>
        <w:tc>
          <w:tcPr>
            <w:tcW w:w="907" w:type="dxa"/>
            <w:shd w:val="clear" w:color="auto" w:fill="auto"/>
            <w:vAlign w:val="center"/>
          </w:tcPr>
          <w:p w14:paraId="0D998A3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32,246.01</w:t>
            </w:r>
          </w:p>
        </w:tc>
        <w:tc>
          <w:tcPr>
            <w:tcW w:w="907" w:type="dxa"/>
            <w:shd w:val="clear" w:color="auto" w:fill="auto"/>
            <w:vAlign w:val="center"/>
          </w:tcPr>
          <w:p w14:paraId="56590AA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37,424.07</w:t>
            </w:r>
          </w:p>
        </w:tc>
        <w:tc>
          <w:tcPr>
            <w:tcW w:w="907" w:type="dxa"/>
            <w:shd w:val="clear" w:color="auto" w:fill="auto"/>
            <w:vAlign w:val="center"/>
          </w:tcPr>
          <w:p w14:paraId="30FA368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34,811.08</w:t>
            </w:r>
          </w:p>
        </w:tc>
        <w:tc>
          <w:tcPr>
            <w:tcW w:w="907" w:type="dxa"/>
            <w:shd w:val="clear" w:color="auto" w:fill="auto"/>
            <w:vAlign w:val="center"/>
          </w:tcPr>
          <w:p w14:paraId="0A0ACA0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35,813.11</w:t>
            </w:r>
          </w:p>
        </w:tc>
        <w:tc>
          <w:tcPr>
            <w:tcW w:w="907" w:type="dxa"/>
            <w:shd w:val="clear" w:color="auto" w:fill="auto"/>
            <w:vAlign w:val="center"/>
          </w:tcPr>
          <w:p w14:paraId="5AF591C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34,456.75</w:t>
            </w:r>
          </w:p>
        </w:tc>
        <w:tc>
          <w:tcPr>
            <w:tcW w:w="907" w:type="dxa"/>
            <w:shd w:val="clear" w:color="auto" w:fill="D2DDE1" w:themeFill="background2"/>
            <w:vAlign w:val="center"/>
          </w:tcPr>
          <w:p w14:paraId="19E7AA8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33,806.67</w:t>
            </w:r>
          </w:p>
        </w:tc>
        <w:tc>
          <w:tcPr>
            <w:tcW w:w="907" w:type="dxa"/>
            <w:shd w:val="clear" w:color="auto" w:fill="D2DDE1" w:themeFill="background2"/>
            <w:vAlign w:val="center"/>
          </w:tcPr>
          <w:p w14:paraId="678618A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33,860.11</w:t>
            </w:r>
          </w:p>
        </w:tc>
        <w:tc>
          <w:tcPr>
            <w:tcW w:w="907" w:type="dxa"/>
            <w:shd w:val="clear" w:color="auto" w:fill="D2DDE1" w:themeFill="background2"/>
            <w:vAlign w:val="center"/>
          </w:tcPr>
          <w:p w14:paraId="1E6D3C3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32,988.32</w:t>
            </w:r>
          </w:p>
        </w:tc>
      </w:tr>
      <w:tr w:rsidR="00533D32" w:rsidRPr="00BD16B4" w14:paraId="4789FA03" w14:textId="77777777" w:rsidTr="002D166E">
        <w:tc>
          <w:tcPr>
            <w:tcW w:w="2034" w:type="dxa"/>
          </w:tcPr>
          <w:p w14:paraId="6FAC100A" w14:textId="77777777" w:rsidR="00533D32" w:rsidRPr="00BD16B4" w:rsidRDefault="00533D32" w:rsidP="002D166E">
            <w:pPr>
              <w:pStyle w:val="TableText"/>
              <w:spacing w:before="50" w:after="50"/>
              <w:rPr>
                <w:rFonts w:cs="Calibri"/>
                <w:szCs w:val="18"/>
              </w:rPr>
            </w:pPr>
            <w:r w:rsidRPr="00BD16B4">
              <w:rPr>
                <w:rFonts w:cs="Calibri"/>
                <w:szCs w:val="18"/>
              </w:rPr>
              <w:t>CH</w:t>
            </w:r>
            <w:r w:rsidRPr="00BD16B4">
              <w:rPr>
                <w:rFonts w:cs="Calibri"/>
                <w:szCs w:val="18"/>
                <w:vertAlign w:val="subscript"/>
              </w:rPr>
              <w:t>4</w:t>
            </w:r>
            <w:r w:rsidRPr="00BD16B4">
              <w:rPr>
                <w:rFonts w:cs="Calibri"/>
                <w:szCs w:val="18"/>
              </w:rPr>
              <w:t xml:space="preserve"> emissions including CH</w:t>
            </w:r>
            <w:r w:rsidRPr="00BD16B4">
              <w:rPr>
                <w:rFonts w:cs="Calibri"/>
                <w:szCs w:val="18"/>
                <w:vertAlign w:val="subscript"/>
              </w:rPr>
              <w:t>4</w:t>
            </w:r>
            <w:r w:rsidRPr="00BD16B4">
              <w:rPr>
                <w:rFonts w:cs="Calibri"/>
                <w:szCs w:val="18"/>
              </w:rPr>
              <w:t xml:space="preserve"> from LULUCF</w:t>
            </w:r>
          </w:p>
        </w:tc>
        <w:tc>
          <w:tcPr>
            <w:tcW w:w="907" w:type="dxa"/>
            <w:shd w:val="clear" w:color="auto" w:fill="auto"/>
            <w:vAlign w:val="center"/>
          </w:tcPr>
          <w:p w14:paraId="36F0512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33,041.22</w:t>
            </w:r>
          </w:p>
        </w:tc>
        <w:tc>
          <w:tcPr>
            <w:tcW w:w="907" w:type="dxa"/>
            <w:shd w:val="clear" w:color="auto" w:fill="auto"/>
            <w:vAlign w:val="center"/>
          </w:tcPr>
          <w:p w14:paraId="3C67542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34,314.43</w:t>
            </w:r>
          </w:p>
        </w:tc>
        <w:tc>
          <w:tcPr>
            <w:tcW w:w="907" w:type="dxa"/>
            <w:shd w:val="clear" w:color="auto" w:fill="auto"/>
            <w:vAlign w:val="center"/>
          </w:tcPr>
          <w:p w14:paraId="63148BC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36,021.62</w:t>
            </w:r>
          </w:p>
        </w:tc>
        <w:tc>
          <w:tcPr>
            <w:tcW w:w="907" w:type="dxa"/>
            <w:shd w:val="clear" w:color="auto" w:fill="auto"/>
            <w:vAlign w:val="center"/>
          </w:tcPr>
          <w:p w14:paraId="2644085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36,633.80</w:t>
            </w:r>
          </w:p>
        </w:tc>
        <w:tc>
          <w:tcPr>
            <w:tcW w:w="907" w:type="dxa"/>
            <w:shd w:val="clear" w:color="auto" w:fill="auto"/>
            <w:vAlign w:val="center"/>
          </w:tcPr>
          <w:p w14:paraId="1B000B4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35,283.33</w:t>
            </w:r>
          </w:p>
        </w:tc>
        <w:tc>
          <w:tcPr>
            <w:tcW w:w="907" w:type="dxa"/>
            <w:shd w:val="clear" w:color="auto" w:fill="auto"/>
            <w:vAlign w:val="center"/>
          </w:tcPr>
          <w:p w14:paraId="6BBC91C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35,797.05</w:t>
            </w:r>
          </w:p>
        </w:tc>
        <w:tc>
          <w:tcPr>
            <w:tcW w:w="907" w:type="dxa"/>
            <w:shd w:val="clear" w:color="auto" w:fill="auto"/>
            <w:vAlign w:val="center"/>
          </w:tcPr>
          <w:p w14:paraId="3C3279D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35,274.02</w:t>
            </w:r>
          </w:p>
        </w:tc>
        <w:tc>
          <w:tcPr>
            <w:tcW w:w="907" w:type="dxa"/>
            <w:shd w:val="clear" w:color="auto" w:fill="D2DDE1" w:themeFill="background2"/>
            <w:vAlign w:val="center"/>
          </w:tcPr>
          <w:p w14:paraId="7778ACB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33,974.84</w:t>
            </w:r>
          </w:p>
        </w:tc>
        <w:tc>
          <w:tcPr>
            <w:tcW w:w="907" w:type="dxa"/>
            <w:shd w:val="clear" w:color="auto" w:fill="D2DDE1" w:themeFill="background2"/>
            <w:vAlign w:val="center"/>
          </w:tcPr>
          <w:p w14:paraId="6B875F4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33,962.43</w:t>
            </w:r>
          </w:p>
        </w:tc>
        <w:tc>
          <w:tcPr>
            <w:tcW w:w="907" w:type="dxa"/>
            <w:shd w:val="clear" w:color="auto" w:fill="D2DDE1" w:themeFill="background2"/>
            <w:vAlign w:val="center"/>
          </w:tcPr>
          <w:p w14:paraId="435FA6A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34,114.87</w:t>
            </w:r>
          </w:p>
        </w:tc>
      </w:tr>
      <w:tr w:rsidR="00533D32" w:rsidRPr="00BD16B4" w14:paraId="57B828F0" w14:textId="77777777" w:rsidTr="002D166E">
        <w:tc>
          <w:tcPr>
            <w:tcW w:w="2034" w:type="dxa"/>
          </w:tcPr>
          <w:p w14:paraId="134923A7" w14:textId="77777777" w:rsidR="00533D32" w:rsidRPr="00BD16B4" w:rsidRDefault="00533D32" w:rsidP="002D166E">
            <w:pPr>
              <w:pStyle w:val="TableText"/>
              <w:spacing w:before="50" w:after="50"/>
              <w:rPr>
                <w:rFonts w:cs="Calibri"/>
                <w:szCs w:val="18"/>
              </w:rPr>
            </w:pPr>
            <w:r w:rsidRPr="00BD16B4">
              <w:rPr>
                <w:rFonts w:cs="Calibri"/>
                <w:szCs w:val="18"/>
              </w:rPr>
              <w:t>CH</w:t>
            </w:r>
            <w:r w:rsidRPr="00BD16B4">
              <w:rPr>
                <w:rFonts w:cs="Calibri"/>
                <w:szCs w:val="18"/>
                <w:vertAlign w:val="subscript"/>
              </w:rPr>
              <w:t>4</w:t>
            </w:r>
            <w:r w:rsidRPr="00BD16B4">
              <w:rPr>
                <w:rFonts w:cs="Calibri"/>
                <w:szCs w:val="18"/>
              </w:rPr>
              <w:t xml:space="preserve"> emissions excluding CH</w:t>
            </w:r>
            <w:r w:rsidRPr="00BD16B4">
              <w:rPr>
                <w:rFonts w:cs="Calibri"/>
                <w:szCs w:val="18"/>
                <w:vertAlign w:val="subscript"/>
              </w:rPr>
              <w:t>4</w:t>
            </w:r>
            <w:r w:rsidRPr="00BD16B4">
              <w:rPr>
                <w:rFonts w:cs="Calibri"/>
                <w:szCs w:val="18"/>
              </w:rPr>
              <w:t xml:space="preserve"> from LULUCF</w:t>
            </w:r>
          </w:p>
        </w:tc>
        <w:tc>
          <w:tcPr>
            <w:tcW w:w="907" w:type="dxa"/>
            <w:shd w:val="clear" w:color="auto" w:fill="auto"/>
            <w:vAlign w:val="center"/>
          </w:tcPr>
          <w:p w14:paraId="77E979F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32,972.51</w:t>
            </w:r>
          </w:p>
        </w:tc>
        <w:tc>
          <w:tcPr>
            <w:tcW w:w="907" w:type="dxa"/>
            <w:shd w:val="clear" w:color="auto" w:fill="auto"/>
            <w:vAlign w:val="center"/>
          </w:tcPr>
          <w:p w14:paraId="52F99AD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34,237.19</w:t>
            </w:r>
          </w:p>
        </w:tc>
        <w:tc>
          <w:tcPr>
            <w:tcW w:w="907" w:type="dxa"/>
            <w:shd w:val="clear" w:color="auto" w:fill="auto"/>
            <w:vAlign w:val="center"/>
          </w:tcPr>
          <w:p w14:paraId="4CB6830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35,951.60</w:t>
            </w:r>
          </w:p>
        </w:tc>
        <w:tc>
          <w:tcPr>
            <w:tcW w:w="907" w:type="dxa"/>
            <w:shd w:val="clear" w:color="auto" w:fill="auto"/>
            <w:vAlign w:val="center"/>
          </w:tcPr>
          <w:p w14:paraId="10CD514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36,522.93</w:t>
            </w:r>
          </w:p>
        </w:tc>
        <w:tc>
          <w:tcPr>
            <w:tcW w:w="907" w:type="dxa"/>
            <w:shd w:val="clear" w:color="auto" w:fill="auto"/>
            <w:vAlign w:val="center"/>
          </w:tcPr>
          <w:p w14:paraId="2FB2D67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35,190.94</w:t>
            </w:r>
          </w:p>
        </w:tc>
        <w:tc>
          <w:tcPr>
            <w:tcW w:w="907" w:type="dxa"/>
            <w:shd w:val="clear" w:color="auto" w:fill="auto"/>
            <w:vAlign w:val="center"/>
          </w:tcPr>
          <w:p w14:paraId="7AD9B73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35,719.75</w:t>
            </w:r>
          </w:p>
        </w:tc>
        <w:tc>
          <w:tcPr>
            <w:tcW w:w="907" w:type="dxa"/>
            <w:shd w:val="clear" w:color="auto" w:fill="auto"/>
            <w:vAlign w:val="center"/>
          </w:tcPr>
          <w:p w14:paraId="0D56B71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35,192.36</w:t>
            </w:r>
          </w:p>
        </w:tc>
        <w:tc>
          <w:tcPr>
            <w:tcW w:w="907" w:type="dxa"/>
            <w:shd w:val="clear" w:color="auto" w:fill="D2DDE1" w:themeFill="background2"/>
            <w:vAlign w:val="center"/>
          </w:tcPr>
          <w:p w14:paraId="52BA957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33,888.54</w:t>
            </w:r>
          </w:p>
        </w:tc>
        <w:tc>
          <w:tcPr>
            <w:tcW w:w="907" w:type="dxa"/>
            <w:shd w:val="clear" w:color="auto" w:fill="D2DDE1" w:themeFill="background2"/>
            <w:vAlign w:val="center"/>
          </w:tcPr>
          <w:p w14:paraId="5B03F0B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33,876.13</w:t>
            </w:r>
          </w:p>
        </w:tc>
        <w:tc>
          <w:tcPr>
            <w:tcW w:w="907" w:type="dxa"/>
            <w:shd w:val="clear" w:color="auto" w:fill="D2DDE1" w:themeFill="background2"/>
            <w:vAlign w:val="center"/>
          </w:tcPr>
          <w:p w14:paraId="413635B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34,028.57</w:t>
            </w:r>
          </w:p>
        </w:tc>
      </w:tr>
      <w:tr w:rsidR="00533D32" w:rsidRPr="00BD16B4" w14:paraId="2F0AB606" w14:textId="77777777" w:rsidTr="002D166E">
        <w:tc>
          <w:tcPr>
            <w:tcW w:w="2034" w:type="dxa"/>
          </w:tcPr>
          <w:p w14:paraId="4F076F81" w14:textId="77777777" w:rsidR="00533D32" w:rsidRPr="00BD16B4" w:rsidRDefault="00533D32" w:rsidP="002D166E">
            <w:pPr>
              <w:pStyle w:val="TableText"/>
              <w:spacing w:before="50" w:after="50"/>
              <w:rPr>
                <w:rFonts w:cs="Calibri"/>
                <w:szCs w:val="18"/>
              </w:rPr>
            </w:pPr>
            <w:r w:rsidRPr="00BD16B4">
              <w:rPr>
                <w:rFonts w:cs="Calibri"/>
                <w:szCs w:val="18"/>
              </w:rPr>
              <w:t>N</w:t>
            </w:r>
            <w:r w:rsidRPr="00BD16B4">
              <w:rPr>
                <w:rFonts w:cs="Calibri"/>
                <w:szCs w:val="18"/>
                <w:vertAlign w:val="subscript"/>
              </w:rPr>
              <w:t>2</w:t>
            </w:r>
            <w:r w:rsidRPr="00BD16B4">
              <w:rPr>
                <w:rFonts w:cs="Calibri"/>
                <w:szCs w:val="18"/>
              </w:rPr>
              <w:t>O emissions including N</w:t>
            </w:r>
            <w:r w:rsidRPr="00BD16B4">
              <w:rPr>
                <w:rFonts w:cs="Calibri"/>
                <w:szCs w:val="18"/>
                <w:vertAlign w:val="subscript"/>
              </w:rPr>
              <w:t>2</w:t>
            </w:r>
            <w:r w:rsidRPr="00BD16B4">
              <w:rPr>
                <w:rFonts w:cs="Calibri"/>
                <w:szCs w:val="18"/>
              </w:rPr>
              <w:t>O from LULUCF</w:t>
            </w:r>
          </w:p>
        </w:tc>
        <w:tc>
          <w:tcPr>
            <w:tcW w:w="907" w:type="dxa"/>
            <w:shd w:val="clear" w:color="auto" w:fill="auto"/>
            <w:vAlign w:val="center"/>
          </w:tcPr>
          <w:p w14:paraId="6B4D8C6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6,118.17</w:t>
            </w:r>
          </w:p>
        </w:tc>
        <w:tc>
          <w:tcPr>
            <w:tcW w:w="907" w:type="dxa"/>
            <w:shd w:val="clear" w:color="auto" w:fill="auto"/>
            <w:vAlign w:val="center"/>
          </w:tcPr>
          <w:p w14:paraId="1910B59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6,947.71</w:t>
            </w:r>
          </w:p>
        </w:tc>
        <w:tc>
          <w:tcPr>
            <w:tcW w:w="907" w:type="dxa"/>
            <w:shd w:val="clear" w:color="auto" w:fill="auto"/>
            <w:vAlign w:val="center"/>
          </w:tcPr>
          <w:p w14:paraId="31126DA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7,406.82</w:t>
            </w:r>
          </w:p>
        </w:tc>
        <w:tc>
          <w:tcPr>
            <w:tcW w:w="907" w:type="dxa"/>
            <w:shd w:val="clear" w:color="auto" w:fill="auto"/>
            <w:vAlign w:val="center"/>
          </w:tcPr>
          <w:p w14:paraId="2B0510F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8,328.06</w:t>
            </w:r>
          </w:p>
        </w:tc>
        <w:tc>
          <w:tcPr>
            <w:tcW w:w="907" w:type="dxa"/>
            <w:shd w:val="clear" w:color="auto" w:fill="auto"/>
            <w:vAlign w:val="center"/>
          </w:tcPr>
          <w:p w14:paraId="7C69564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8,036.12</w:t>
            </w:r>
          </w:p>
        </w:tc>
        <w:tc>
          <w:tcPr>
            <w:tcW w:w="907" w:type="dxa"/>
            <w:shd w:val="clear" w:color="auto" w:fill="auto"/>
            <w:vAlign w:val="center"/>
          </w:tcPr>
          <w:p w14:paraId="7020E87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8,503.68</w:t>
            </w:r>
          </w:p>
        </w:tc>
        <w:tc>
          <w:tcPr>
            <w:tcW w:w="907" w:type="dxa"/>
            <w:shd w:val="clear" w:color="auto" w:fill="auto"/>
            <w:vAlign w:val="center"/>
          </w:tcPr>
          <w:p w14:paraId="3983206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8,789.66</w:t>
            </w:r>
          </w:p>
        </w:tc>
        <w:tc>
          <w:tcPr>
            <w:tcW w:w="907" w:type="dxa"/>
            <w:shd w:val="clear" w:color="auto" w:fill="D2DDE1" w:themeFill="background2"/>
            <w:vAlign w:val="center"/>
          </w:tcPr>
          <w:p w14:paraId="767FF7E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8,515.45</w:t>
            </w:r>
          </w:p>
        </w:tc>
        <w:tc>
          <w:tcPr>
            <w:tcW w:w="907" w:type="dxa"/>
            <w:shd w:val="clear" w:color="auto" w:fill="D2DDE1" w:themeFill="background2"/>
            <w:vAlign w:val="center"/>
          </w:tcPr>
          <w:p w14:paraId="2656078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8,551.33</w:t>
            </w:r>
          </w:p>
        </w:tc>
        <w:tc>
          <w:tcPr>
            <w:tcW w:w="907" w:type="dxa"/>
            <w:shd w:val="clear" w:color="auto" w:fill="D2DDE1" w:themeFill="background2"/>
            <w:vAlign w:val="center"/>
          </w:tcPr>
          <w:p w14:paraId="4D6B78E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8,595.97</w:t>
            </w:r>
          </w:p>
        </w:tc>
      </w:tr>
      <w:tr w:rsidR="00533D32" w:rsidRPr="00BD16B4" w14:paraId="7E95B253" w14:textId="77777777" w:rsidTr="002D166E">
        <w:tc>
          <w:tcPr>
            <w:tcW w:w="2034" w:type="dxa"/>
          </w:tcPr>
          <w:p w14:paraId="48F5D82D" w14:textId="77777777" w:rsidR="00533D32" w:rsidRPr="00BD16B4" w:rsidRDefault="00533D32" w:rsidP="002D166E">
            <w:pPr>
              <w:pStyle w:val="TableText"/>
              <w:spacing w:before="50" w:after="50"/>
              <w:rPr>
                <w:rFonts w:cs="Calibri"/>
                <w:szCs w:val="18"/>
              </w:rPr>
            </w:pPr>
            <w:r w:rsidRPr="00BD16B4">
              <w:rPr>
                <w:rFonts w:cs="Calibri"/>
                <w:szCs w:val="18"/>
              </w:rPr>
              <w:t>N</w:t>
            </w:r>
            <w:r w:rsidRPr="00BD16B4">
              <w:rPr>
                <w:rFonts w:cs="Calibri"/>
                <w:szCs w:val="18"/>
                <w:vertAlign w:val="subscript"/>
              </w:rPr>
              <w:t>2</w:t>
            </w:r>
            <w:r w:rsidRPr="00BD16B4">
              <w:rPr>
                <w:rFonts w:cs="Calibri"/>
                <w:szCs w:val="18"/>
              </w:rPr>
              <w:t>O emissions excluding N</w:t>
            </w:r>
            <w:r w:rsidRPr="00BD16B4">
              <w:rPr>
                <w:rFonts w:cs="Calibri"/>
                <w:szCs w:val="18"/>
                <w:vertAlign w:val="subscript"/>
              </w:rPr>
              <w:t>2</w:t>
            </w:r>
            <w:r w:rsidRPr="00BD16B4">
              <w:rPr>
                <w:rFonts w:cs="Calibri"/>
                <w:szCs w:val="18"/>
              </w:rPr>
              <w:t>O from LULUCF</w:t>
            </w:r>
          </w:p>
        </w:tc>
        <w:tc>
          <w:tcPr>
            <w:tcW w:w="907" w:type="dxa"/>
            <w:shd w:val="clear" w:color="auto" w:fill="auto"/>
            <w:vAlign w:val="center"/>
          </w:tcPr>
          <w:p w14:paraId="1A73019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5,792.05</w:t>
            </w:r>
          </w:p>
        </w:tc>
        <w:tc>
          <w:tcPr>
            <w:tcW w:w="907" w:type="dxa"/>
            <w:shd w:val="clear" w:color="auto" w:fill="auto"/>
            <w:vAlign w:val="center"/>
          </w:tcPr>
          <w:p w14:paraId="49104C5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6,570.02</w:t>
            </w:r>
          </w:p>
        </w:tc>
        <w:tc>
          <w:tcPr>
            <w:tcW w:w="907" w:type="dxa"/>
            <w:shd w:val="clear" w:color="auto" w:fill="auto"/>
            <w:vAlign w:val="center"/>
          </w:tcPr>
          <w:p w14:paraId="114D09E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6,996.74</w:t>
            </w:r>
          </w:p>
        </w:tc>
        <w:tc>
          <w:tcPr>
            <w:tcW w:w="907" w:type="dxa"/>
            <w:shd w:val="clear" w:color="auto" w:fill="auto"/>
            <w:vAlign w:val="center"/>
          </w:tcPr>
          <w:p w14:paraId="5380F4F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7,930.30</w:t>
            </w:r>
          </w:p>
        </w:tc>
        <w:tc>
          <w:tcPr>
            <w:tcW w:w="907" w:type="dxa"/>
            <w:shd w:val="clear" w:color="auto" w:fill="auto"/>
            <w:vAlign w:val="center"/>
          </w:tcPr>
          <w:p w14:paraId="1543C8E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7,679.68</w:t>
            </w:r>
          </w:p>
        </w:tc>
        <w:tc>
          <w:tcPr>
            <w:tcW w:w="907" w:type="dxa"/>
            <w:shd w:val="clear" w:color="auto" w:fill="auto"/>
            <w:vAlign w:val="center"/>
          </w:tcPr>
          <w:p w14:paraId="64803AA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8,204.82</w:t>
            </w:r>
          </w:p>
        </w:tc>
        <w:tc>
          <w:tcPr>
            <w:tcW w:w="907" w:type="dxa"/>
            <w:shd w:val="clear" w:color="auto" w:fill="auto"/>
            <w:vAlign w:val="center"/>
          </w:tcPr>
          <w:p w14:paraId="26583ED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8,518.34</w:t>
            </w:r>
          </w:p>
        </w:tc>
        <w:tc>
          <w:tcPr>
            <w:tcW w:w="907" w:type="dxa"/>
            <w:shd w:val="clear" w:color="auto" w:fill="D2DDE1" w:themeFill="background2"/>
            <w:vAlign w:val="center"/>
          </w:tcPr>
          <w:p w14:paraId="226E995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8,251.50</w:t>
            </w:r>
          </w:p>
        </w:tc>
        <w:tc>
          <w:tcPr>
            <w:tcW w:w="907" w:type="dxa"/>
            <w:shd w:val="clear" w:color="auto" w:fill="D2DDE1" w:themeFill="background2"/>
            <w:vAlign w:val="center"/>
          </w:tcPr>
          <w:p w14:paraId="07FD680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8,287.37</w:t>
            </w:r>
          </w:p>
        </w:tc>
        <w:tc>
          <w:tcPr>
            <w:tcW w:w="907" w:type="dxa"/>
            <w:shd w:val="clear" w:color="auto" w:fill="D2DDE1" w:themeFill="background2"/>
            <w:vAlign w:val="center"/>
          </w:tcPr>
          <w:p w14:paraId="1F8CFB6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8,332.01</w:t>
            </w:r>
          </w:p>
        </w:tc>
      </w:tr>
      <w:tr w:rsidR="00533D32" w:rsidRPr="00BD16B4" w14:paraId="6B1B8965" w14:textId="77777777" w:rsidTr="002D166E">
        <w:tc>
          <w:tcPr>
            <w:tcW w:w="2034" w:type="dxa"/>
          </w:tcPr>
          <w:p w14:paraId="4FE7096C" w14:textId="77777777" w:rsidR="00533D32" w:rsidRPr="00BD16B4" w:rsidRDefault="00533D32" w:rsidP="002D166E">
            <w:pPr>
              <w:pStyle w:val="TableText"/>
              <w:spacing w:before="50" w:after="50"/>
              <w:rPr>
                <w:rFonts w:cs="Calibri"/>
                <w:szCs w:val="18"/>
              </w:rPr>
            </w:pPr>
            <w:r w:rsidRPr="00BD16B4">
              <w:rPr>
                <w:rFonts w:cs="Calibri"/>
                <w:szCs w:val="18"/>
              </w:rPr>
              <w:t>HFCs</w:t>
            </w:r>
          </w:p>
        </w:tc>
        <w:tc>
          <w:tcPr>
            <w:tcW w:w="907" w:type="dxa"/>
            <w:shd w:val="clear" w:color="auto" w:fill="auto"/>
            <w:vAlign w:val="center"/>
          </w:tcPr>
          <w:p w14:paraId="6D61440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0.00</w:t>
            </w:r>
          </w:p>
        </w:tc>
        <w:tc>
          <w:tcPr>
            <w:tcW w:w="907" w:type="dxa"/>
            <w:shd w:val="clear" w:color="auto" w:fill="auto"/>
            <w:vAlign w:val="center"/>
          </w:tcPr>
          <w:p w14:paraId="477BD1E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31.27</w:t>
            </w:r>
          </w:p>
        </w:tc>
        <w:tc>
          <w:tcPr>
            <w:tcW w:w="907" w:type="dxa"/>
            <w:shd w:val="clear" w:color="auto" w:fill="auto"/>
            <w:vAlign w:val="center"/>
          </w:tcPr>
          <w:p w14:paraId="7430737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243.72</w:t>
            </w:r>
          </w:p>
        </w:tc>
        <w:tc>
          <w:tcPr>
            <w:tcW w:w="907" w:type="dxa"/>
            <w:shd w:val="clear" w:color="auto" w:fill="auto"/>
            <w:vAlign w:val="center"/>
          </w:tcPr>
          <w:p w14:paraId="01C99EC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676.24</w:t>
            </w:r>
          </w:p>
        </w:tc>
        <w:tc>
          <w:tcPr>
            <w:tcW w:w="907" w:type="dxa"/>
            <w:shd w:val="clear" w:color="auto" w:fill="auto"/>
            <w:vAlign w:val="center"/>
          </w:tcPr>
          <w:p w14:paraId="2EDDF5E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1,066.82</w:t>
            </w:r>
          </w:p>
        </w:tc>
        <w:tc>
          <w:tcPr>
            <w:tcW w:w="907" w:type="dxa"/>
            <w:shd w:val="clear" w:color="auto" w:fill="auto"/>
            <w:vAlign w:val="center"/>
          </w:tcPr>
          <w:p w14:paraId="142FEAE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1,376.59</w:t>
            </w:r>
          </w:p>
        </w:tc>
        <w:tc>
          <w:tcPr>
            <w:tcW w:w="907" w:type="dxa"/>
            <w:shd w:val="clear" w:color="auto" w:fill="auto"/>
            <w:vAlign w:val="center"/>
          </w:tcPr>
          <w:p w14:paraId="0D526E3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1,471.07</w:t>
            </w:r>
          </w:p>
        </w:tc>
        <w:tc>
          <w:tcPr>
            <w:tcW w:w="907" w:type="dxa"/>
            <w:shd w:val="clear" w:color="auto" w:fill="D2DDE1" w:themeFill="background2"/>
            <w:vAlign w:val="center"/>
          </w:tcPr>
          <w:p w14:paraId="2E5A06F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1,530.06</w:t>
            </w:r>
          </w:p>
        </w:tc>
        <w:tc>
          <w:tcPr>
            <w:tcW w:w="907" w:type="dxa"/>
            <w:shd w:val="clear" w:color="auto" w:fill="D2DDE1" w:themeFill="background2"/>
            <w:vAlign w:val="center"/>
          </w:tcPr>
          <w:p w14:paraId="4ECA48A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1,520.01</w:t>
            </w:r>
          </w:p>
        </w:tc>
        <w:tc>
          <w:tcPr>
            <w:tcW w:w="907" w:type="dxa"/>
            <w:shd w:val="clear" w:color="auto" w:fill="D2DDE1" w:themeFill="background2"/>
            <w:vAlign w:val="center"/>
          </w:tcPr>
          <w:p w14:paraId="4151685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1,389.59</w:t>
            </w:r>
          </w:p>
        </w:tc>
      </w:tr>
      <w:tr w:rsidR="00533D32" w:rsidRPr="00BD16B4" w14:paraId="74E7779D" w14:textId="77777777" w:rsidTr="002D166E">
        <w:tc>
          <w:tcPr>
            <w:tcW w:w="2034" w:type="dxa"/>
          </w:tcPr>
          <w:p w14:paraId="1A72DAB5" w14:textId="77777777" w:rsidR="00533D32" w:rsidRPr="00BD16B4" w:rsidRDefault="00533D32" w:rsidP="002D166E">
            <w:pPr>
              <w:pStyle w:val="TableText"/>
              <w:spacing w:before="50" w:after="50"/>
              <w:rPr>
                <w:rFonts w:cs="Calibri"/>
                <w:szCs w:val="18"/>
              </w:rPr>
            </w:pPr>
            <w:r w:rsidRPr="00BD16B4">
              <w:rPr>
                <w:rFonts w:cs="Calibri"/>
                <w:szCs w:val="18"/>
              </w:rPr>
              <w:t>PFCs</w:t>
            </w:r>
          </w:p>
        </w:tc>
        <w:tc>
          <w:tcPr>
            <w:tcW w:w="907" w:type="dxa"/>
            <w:shd w:val="clear" w:color="auto" w:fill="auto"/>
            <w:vAlign w:val="center"/>
          </w:tcPr>
          <w:p w14:paraId="433D24B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909.95</w:t>
            </w:r>
          </w:p>
        </w:tc>
        <w:tc>
          <w:tcPr>
            <w:tcW w:w="907" w:type="dxa"/>
            <w:shd w:val="clear" w:color="auto" w:fill="auto"/>
            <w:vAlign w:val="center"/>
          </w:tcPr>
          <w:p w14:paraId="1BB5C3C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153.28</w:t>
            </w:r>
          </w:p>
        </w:tc>
        <w:tc>
          <w:tcPr>
            <w:tcW w:w="907" w:type="dxa"/>
            <w:shd w:val="clear" w:color="auto" w:fill="auto"/>
            <w:vAlign w:val="center"/>
          </w:tcPr>
          <w:p w14:paraId="2724F14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67.61</w:t>
            </w:r>
          </w:p>
        </w:tc>
        <w:tc>
          <w:tcPr>
            <w:tcW w:w="907" w:type="dxa"/>
            <w:shd w:val="clear" w:color="auto" w:fill="auto"/>
            <w:vAlign w:val="center"/>
          </w:tcPr>
          <w:p w14:paraId="4F4902E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69.38</w:t>
            </w:r>
          </w:p>
        </w:tc>
        <w:tc>
          <w:tcPr>
            <w:tcW w:w="907" w:type="dxa"/>
            <w:shd w:val="clear" w:color="auto" w:fill="auto"/>
            <w:vAlign w:val="center"/>
          </w:tcPr>
          <w:p w14:paraId="3F01A7D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47.56</w:t>
            </w:r>
          </w:p>
        </w:tc>
        <w:tc>
          <w:tcPr>
            <w:tcW w:w="907" w:type="dxa"/>
            <w:shd w:val="clear" w:color="auto" w:fill="auto"/>
            <w:vAlign w:val="center"/>
          </w:tcPr>
          <w:p w14:paraId="3D90E55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58.59</w:t>
            </w:r>
          </w:p>
        </w:tc>
        <w:tc>
          <w:tcPr>
            <w:tcW w:w="907" w:type="dxa"/>
            <w:shd w:val="clear" w:color="auto" w:fill="auto"/>
            <w:vAlign w:val="center"/>
          </w:tcPr>
          <w:p w14:paraId="7ABABBE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87.92</w:t>
            </w:r>
          </w:p>
        </w:tc>
        <w:tc>
          <w:tcPr>
            <w:tcW w:w="907" w:type="dxa"/>
            <w:shd w:val="clear" w:color="auto" w:fill="D2DDE1" w:themeFill="background2"/>
            <w:vAlign w:val="center"/>
          </w:tcPr>
          <w:p w14:paraId="68C683F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0.00</w:t>
            </w:r>
          </w:p>
        </w:tc>
        <w:tc>
          <w:tcPr>
            <w:tcW w:w="907" w:type="dxa"/>
            <w:shd w:val="clear" w:color="auto" w:fill="D2DDE1" w:themeFill="background2"/>
            <w:vAlign w:val="center"/>
          </w:tcPr>
          <w:p w14:paraId="22C0D99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0.00</w:t>
            </w:r>
          </w:p>
        </w:tc>
        <w:tc>
          <w:tcPr>
            <w:tcW w:w="907" w:type="dxa"/>
            <w:shd w:val="clear" w:color="auto" w:fill="D2DDE1" w:themeFill="background2"/>
            <w:vAlign w:val="center"/>
          </w:tcPr>
          <w:p w14:paraId="5B69622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0.00</w:t>
            </w:r>
          </w:p>
        </w:tc>
      </w:tr>
      <w:tr w:rsidR="00533D32" w:rsidRPr="00BD16B4" w14:paraId="179154E4" w14:textId="77777777" w:rsidTr="002D166E">
        <w:tc>
          <w:tcPr>
            <w:tcW w:w="2034" w:type="dxa"/>
          </w:tcPr>
          <w:p w14:paraId="6EE4AF21" w14:textId="77777777" w:rsidR="00533D32" w:rsidRPr="00BD16B4" w:rsidRDefault="00533D32" w:rsidP="002D166E">
            <w:pPr>
              <w:pStyle w:val="TableText"/>
              <w:spacing w:before="50" w:after="50"/>
              <w:rPr>
                <w:rFonts w:cs="Calibri"/>
                <w:szCs w:val="18"/>
              </w:rPr>
            </w:pPr>
            <w:r w:rsidRPr="00BD16B4">
              <w:rPr>
                <w:rFonts w:cs="Calibri"/>
                <w:szCs w:val="18"/>
              </w:rPr>
              <w:t>SF</w:t>
            </w:r>
            <w:r w:rsidRPr="00BD16B4">
              <w:rPr>
                <w:rFonts w:cs="Calibri"/>
                <w:szCs w:val="18"/>
                <w:vertAlign w:val="subscript"/>
              </w:rPr>
              <w:t>6</w:t>
            </w:r>
          </w:p>
        </w:tc>
        <w:tc>
          <w:tcPr>
            <w:tcW w:w="907" w:type="dxa"/>
            <w:shd w:val="clear" w:color="auto" w:fill="auto"/>
            <w:vAlign w:val="center"/>
          </w:tcPr>
          <w:p w14:paraId="561F70C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19.97</w:t>
            </w:r>
          </w:p>
        </w:tc>
        <w:tc>
          <w:tcPr>
            <w:tcW w:w="907" w:type="dxa"/>
            <w:shd w:val="clear" w:color="auto" w:fill="auto"/>
            <w:vAlign w:val="center"/>
          </w:tcPr>
          <w:p w14:paraId="0F379DB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24.42</w:t>
            </w:r>
          </w:p>
        </w:tc>
        <w:tc>
          <w:tcPr>
            <w:tcW w:w="907" w:type="dxa"/>
            <w:shd w:val="clear" w:color="auto" w:fill="auto"/>
            <w:vAlign w:val="center"/>
          </w:tcPr>
          <w:p w14:paraId="63AAAAF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19.56</w:t>
            </w:r>
          </w:p>
        </w:tc>
        <w:tc>
          <w:tcPr>
            <w:tcW w:w="907" w:type="dxa"/>
            <w:shd w:val="clear" w:color="auto" w:fill="auto"/>
            <w:vAlign w:val="center"/>
          </w:tcPr>
          <w:p w14:paraId="256D504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25.41</w:t>
            </w:r>
          </w:p>
        </w:tc>
        <w:tc>
          <w:tcPr>
            <w:tcW w:w="907" w:type="dxa"/>
            <w:shd w:val="clear" w:color="auto" w:fill="auto"/>
            <w:vAlign w:val="center"/>
          </w:tcPr>
          <w:p w14:paraId="6DAE3E8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22.84</w:t>
            </w:r>
          </w:p>
        </w:tc>
        <w:tc>
          <w:tcPr>
            <w:tcW w:w="907" w:type="dxa"/>
            <w:shd w:val="clear" w:color="auto" w:fill="auto"/>
            <w:vAlign w:val="center"/>
          </w:tcPr>
          <w:p w14:paraId="50A2002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16.46</w:t>
            </w:r>
          </w:p>
        </w:tc>
        <w:tc>
          <w:tcPr>
            <w:tcW w:w="907" w:type="dxa"/>
            <w:shd w:val="clear" w:color="auto" w:fill="auto"/>
            <w:vAlign w:val="center"/>
          </w:tcPr>
          <w:p w14:paraId="71EDF2F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16.69</w:t>
            </w:r>
          </w:p>
        </w:tc>
        <w:tc>
          <w:tcPr>
            <w:tcW w:w="907" w:type="dxa"/>
            <w:shd w:val="clear" w:color="auto" w:fill="D2DDE1" w:themeFill="background2"/>
            <w:vAlign w:val="center"/>
          </w:tcPr>
          <w:p w14:paraId="50901E5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18.08</w:t>
            </w:r>
          </w:p>
        </w:tc>
        <w:tc>
          <w:tcPr>
            <w:tcW w:w="907" w:type="dxa"/>
            <w:shd w:val="clear" w:color="auto" w:fill="D2DDE1" w:themeFill="background2"/>
            <w:vAlign w:val="center"/>
          </w:tcPr>
          <w:p w14:paraId="43E9CE3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19.55</w:t>
            </w:r>
          </w:p>
        </w:tc>
        <w:tc>
          <w:tcPr>
            <w:tcW w:w="907" w:type="dxa"/>
            <w:shd w:val="clear" w:color="auto" w:fill="D2DDE1" w:themeFill="background2"/>
            <w:vAlign w:val="center"/>
          </w:tcPr>
          <w:p w14:paraId="7B982A0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20.70</w:t>
            </w:r>
          </w:p>
        </w:tc>
      </w:tr>
      <w:tr w:rsidR="00533D32" w:rsidRPr="00BD16B4" w14:paraId="123C5966" w14:textId="77777777" w:rsidTr="002D166E">
        <w:tc>
          <w:tcPr>
            <w:tcW w:w="2034" w:type="dxa"/>
          </w:tcPr>
          <w:p w14:paraId="3D727C87" w14:textId="77777777" w:rsidR="00533D32" w:rsidRPr="00BD16B4" w:rsidRDefault="00533D32" w:rsidP="002D166E">
            <w:pPr>
              <w:pStyle w:val="TableText"/>
              <w:spacing w:before="50" w:after="50"/>
              <w:rPr>
                <w:rFonts w:cs="Calibri"/>
                <w:szCs w:val="18"/>
              </w:rPr>
            </w:pPr>
            <w:r w:rsidRPr="00BD16B4">
              <w:rPr>
                <w:rFonts w:cs="Calibri"/>
                <w:szCs w:val="18"/>
              </w:rPr>
              <w:t>NF</w:t>
            </w:r>
            <w:r w:rsidRPr="00BD16B4">
              <w:rPr>
                <w:rFonts w:cs="Calibri"/>
                <w:szCs w:val="18"/>
                <w:vertAlign w:val="subscript"/>
              </w:rPr>
              <w:t>3</w:t>
            </w:r>
          </w:p>
        </w:tc>
        <w:tc>
          <w:tcPr>
            <w:tcW w:w="907" w:type="dxa"/>
            <w:shd w:val="clear" w:color="auto" w:fill="auto"/>
            <w:vAlign w:val="center"/>
          </w:tcPr>
          <w:p w14:paraId="6C202EBE"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29AE17DA"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16D5BE2B"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20ED4566"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498C225C"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200F0821"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7BB79242" w14:textId="77777777" w:rsidR="00533D32" w:rsidRPr="00BD16B4" w:rsidRDefault="00533D32" w:rsidP="002D166E">
            <w:pPr>
              <w:pStyle w:val="TableText"/>
              <w:spacing w:before="50" w:after="50"/>
              <w:jc w:val="center"/>
              <w:rPr>
                <w:rFonts w:cs="Calibri"/>
                <w:szCs w:val="18"/>
              </w:rPr>
            </w:pPr>
          </w:p>
        </w:tc>
        <w:tc>
          <w:tcPr>
            <w:tcW w:w="907" w:type="dxa"/>
            <w:shd w:val="clear" w:color="auto" w:fill="D2DDE1" w:themeFill="background2"/>
            <w:vAlign w:val="center"/>
          </w:tcPr>
          <w:p w14:paraId="4C72D7A0" w14:textId="77777777" w:rsidR="00533D32" w:rsidRPr="00BD16B4" w:rsidRDefault="00533D32" w:rsidP="002D166E">
            <w:pPr>
              <w:pStyle w:val="TableText"/>
              <w:spacing w:before="50" w:after="50"/>
              <w:jc w:val="center"/>
              <w:rPr>
                <w:rFonts w:cs="Calibri"/>
                <w:szCs w:val="18"/>
              </w:rPr>
            </w:pPr>
          </w:p>
        </w:tc>
        <w:tc>
          <w:tcPr>
            <w:tcW w:w="907" w:type="dxa"/>
            <w:shd w:val="clear" w:color="auto" w:fill="D2DDE1" w:themeFill="background2"/>
            <w:vAlign w:val="center"/>
          </w:tcPr>
          <w:p w14:paraId="6CC6F375" w14:textId="77777777" w:rsidR="00533D32" w:rsidRPr="00BD16B4" w:rsidRDefault="00533D32" w:rsidP="002D166E">
            <w:pPr>
              <w:pStyle w:val="TableText"/>
              <w:spacing w:before="50" w:after="50"/>
              <w:jc w:val="center"/>
              <w:rPr>
                <w:rFonts w:cs="Calibri"/>
                <w:szCs w:val="18"/>
              </w:rPr>
            </w:pPr>
          </w:p>
        </w:tc>
        <w:tc>
          <w:tcPr>
            <w:tcW w:w="907" w:type="dxa"/>
            <w:shd w:val="clear" w:color="auto" w:fill="D2DDE1" w:themeFill="background2"/>
            <w:vAlign w:val="center"/>
          </w:tcPr>
          <w:p w14:paraId="2776C3A5" w14:textId="77777777" w:rsidR="00533D32" w:rsidRPr="00BD16B4" w:rsidRDefault="00533D32" w:rsidP="002D166E">
            <w:pPr>
              <w:pStyle w:val="TableText"/>
              <w:spacing w:before="50" w:after="50"/>
              <w:jc w:val="center"/>
              <w:rPr>
                <w:rFonts w:cs="Calibri"/>
                <w:szCs w:val="18"/>
              </w:rPr>
            </w:pPr>
          </w:p>
        </w:tc>
      </w:tr>
      <w:tr w:rsidR="00533D32" w:rsidRPr="00BD16B4" w14:paraId="267C1806" w14:textId="77777777" w:rsidTr="002D166E">
        <w:tc>
          <w:tcPr>
            <w:tcW w:w="2034" w:type="dxa"/>
          </w:tcPr>
          <w:p w14:paraId="303E6A55" w14:textId="77777777" w:rsidR="00533D32" w:rsidRPr="00BD16B4" w:rsidRDefault="00533D32" w:rsidP="002D166E">
            <w:pPr>
              <w:pStyle w:val="TableText"/>
              <w:spacing w:before="50" w:after="50"/>
              <w:rPr>
                <w:rFonts w:cs="Calibri"/>
                <w:szCs w:val="18"/>
              </w:rPr>
            </w:pPr>
            <w:r w:rsidRPr="00BD16B4">
              <w:rPr>
                <w:rFonts w:cs="Calibri"/>
                <w:szCs w:val="18"/>
              </w:rPr>
              <w:t>Other gases</w:t>
            </w:r>
          </w:p>
        </w:tc>
        <w:tc>
          <w:tcPr>
            <w:tcW w:w="907" w:type="dxa"/>
            <w:shd w:val="clear" w:color="auto" w:fill="auto"/>
            <w:vAlign w:val="center"/>
          </w:tcPr>
          <w:p w14:paraId="65821545"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4A76E277"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4DDAC65F"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5CF90DDD"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5995D1F1"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63A3F1A6" w14:textId="77777777" w:rsidR="00533D32" w:rsidRPr="00BD16B4" w:rsidRDefault="00533D32" w:rsidP="002D166E">
            <w:pPr>
              <w:pStyle w:val="TableText"/>
              <w:spacing w:before="50" w:after="50"/>
              <w:jc w:val="center"/>
              <w:rPr>
                <w:rFonts w:cs="Calibri"/>
                <w:szCs w:val="18"/>
              </w:rPr>
            </w:pPr>
          </w:p>
        </w:tc>
        <w:tc>
          <w:tcPr>
            <w:tcW w:w="907" w:type="dxa"/>
            <w:shd w:val="clear" w:color="auto" w:fill="auto"/>
            <w:vAlign w:val="center"/>
          </w:tcPr>
          <w:p w14:paraId="237A6B1D" w14:textId="77777777" w:rsidR="00533D32" w:rsidRPr="00BD16B4" w:rsidRDefault="00533D32" w:rsidP="002D166E">
            <w:pPr>
              <w:pStyle w:val="TableText"/>
              <w:spacing w:before="50" w:after="50"/>
              <w:jc w:val="center"/>
              <w:rPr>
                <w:rFonts w:cs="Calibri"/>
                <w:szCs w:val="18"/>
              </w:rPr>
            </w:pPr>
          </w:p>
        </w:tc>
        <w:tc>
          <w:tcPr>
            <w:tcW w:w="907" w:type="dxa"/>
            <w:shd w:val="clear" w:color="auto" w:fill="D2DDE1" w:themeFill="background2"/>
            <w:vAlign w:val="center"/>
          </w:tcPr>
          <w:p w14:paraId="2A6BEA0A" w14:textId="77777777" w:rsidR="00533D32" w:rsidRPr="00BD16B4" w:rsidRDefault="00533D32" w:rsidP="002D166E">
            <w:pPr>
              <w:pStyle w:val="TableText"/>
              <w:spacing w:before="50" w:after="50"/>
              <w:jc w:val="center"/>
              <w:rPr>
                <w:rFonts w:cs="Calibri"/>
                <w:szCs w:val="18"/>
              </w:rPr>
            </w:pPr>
          </w:p>
        </w:tc>
        <w:tc>
          <w:tcPr>
            <w:tcW w:w="907" w:type="dxa"/>
            <w:shd w:val="clear" w:color="auto" w:fill="D2DDE1" w:themeFill="background2"/>
            <w:vAlign w:val="center"/>
          </w:tcPr>
          <w:p w14:paraId="08FE4572" w14:textId="77777777" w:rsidR="00533D32" w:rsidRPr="00BD16B4" w:rsidRDefault="00533D32" w:rsidP="002D166E">
            <w:pPr>
              <w:pStyle w:val="TableText"/>
              <w:spacing w:before="50" w:after="50"/>
              <w:jc w:val="center"/>
              <w:rPr>
                <w:rFonts w:cs="Calibri"/>
                <w:szCs w:val="18"/>
              </w:rPr>
            </w:pPr>
          </w:p>
        </w:tc>
        <w:tc>
          <w:tcPr>
            <w:tcW w:w="907" w:type="dxa"/>
            <w:shd w:val="clear" w:color="auto" w:fill="D2DDE1" w:themeFill="background2"/>
            <w:vAlign w:val="center"/>
          </w:tcPr>
          <w:p w14:paraId="1DBAE8A7" w14:textId="77777777" w:rsidR="00533D32" w:rsidRPr="00BD16B4" w:rsidRDefault="00533D32" w:rsidP="002D166E">
            <w:pPr>
              <w:pStyle w:val="TableText"/>
              <w:spacing w:before="50" w:after="50"/>
              <w:jc w:val="center"/>
              <w:rPr>
                <w:rFonts w:cs="Calibri"/>
                <w:szCs w:val="18"/>
              </w:rPr>
            </w:pPr>
          </w:p>
        </w:tc>
      </w:tr>
      <w:tr w:rsidR="00533D32" w:rsidRPr="00BD16B4" w14:paraId="286A900E" w14:textId="77777777" w:rsidTr="002D166E">
        <w:tc>
          <w:tcPr>
            <w:tcW w:w="2034" w:type="dxa"/>
          </w:tcPr>
          <w:p w14:paraId="01B2715B" w14:textId="77777777" w:rsidR="00533D32" w:rsidRPr="00BD16B4" w:rsidRDefault="00533D32" w:rsidP="002D166E">
            <w:pPr>
              <w:pStyle w:val="TableText"/>
              <w:spacing w:before="50" w:after="50"/>
              <w:rPr>
                <w:rFonts w:cs="Calibri"/>
                <w:b/>
                <w:bCs/>
                <w:szCs w:val="18"/>
              </w:rPr>
            </w:pPr>
            <w:r w:rsidRPr="00BD16B4">
              <w:rPr>
                <w:rFonts w:cs="Calibri"/>
                <w:b/>
                <w:bCs/>
                <w:szCs w:val="18"/>
              </w:rPr>
              <w:t>Total with LULUCF</w:t>
            </w:r>
          </w:p>
        </w:tc>
        <w:tc>
          <w:tcPr>
            <w:tcW w:w="907" w:type="dxa"/>
            <w:shd w:val="clear" w:color="auto" w:fill="auto"/>
            <w:vAlign w:val="center"/>
          </w:tcPr>
          <w:p w14:paraId="35B35500"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43,967.76</w:t>
            </w:r>
          </w:p>
        </w:tc>
        <w:tc>
          <w:tcPr>
            <w:tcW w:w="907" w:type="dxa"/>
            <w:shd w:val="clear" w:color="auto" w:fill="auto"/>
            <w:vAlign w:val="center"/>
          </w:tcPr>
          <w:p w14:paraId="3BD0A989"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46,544.84</w:t>
            </w:r>
          </w:p>
        </w:tc>
        <w:tc>
          <w:tcPr>
            <w:tcW w:w="907" w:type="dxa"/>
            <w:shd w:val="clear" w:color="auto" w:fill="auto"/>
            <w:vAlign w:val="center"/>
          </w:tcPr>
          <w:p w14:paraId="4F04B0A7"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48,876.73</w:t>
            </w:r>
          </w:p>
        </w:tc>
        <w:tc>
          <w:tcPr>
            <w:tcW w:w="907" w:type="dxa"/>
            <w:shd w:val="clear" w:color="auto" w:fill="auto"/>
            <w:vAlign w:val="center"/>
          </w:tcPr>
          <w:p w14:paraId="01F9E63E"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51,808.78</w:t>
            </w:r>
          </w:p>
        </w:tc>
        <w:tc>
          <w:tcPr>
            <w:tcW w:w="907" w:type="dxa"/>
            <w:shd w:val="clear" w:color="auto" w:fill="auto"/>
            <w:vAlign w:val="center"/>
          </w:tcPr>
          <w:p w14:paraId="6B027764"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50,612.77</w:t>
            </w:r>
          </w:p>
        </w:tc>
        <w:tc>
          <w:tcPr>
            <w:tcW w:w="907" w:type="dxa"/>
            <w:shd w:val="clear" w:color="auto" w:fill="auto"/>
            <w:vAlign w:val="center"/>
          </w:tcPr>
          <w:p w14:paraId="58AB313D"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56,388.41</w:t>
            </w:r>
          </w:p>
        </w:tc>
        <w:tc>
          <w:tcPr>
            <w:tcW w:w="907" w:type="dxa"/>
            <w:shd w:val="clear" w:color="auto" w:fill="auto"/>
            <w:vAlign w:val="center"/>
          </w:tcPr>
          <w:p w14:paraId="3A8CCFF2"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62,699.65</w:t>
            </w:r>
          </w:p>
        </w:tc>
        <w:tc>
          <w:tcPr>
            <w:tcW w:w="907" w:type="dxa"/>
            <w:shd w:val="clear" w:color="auto" w:fill="D2DDE1" w:themeFill="background2"/>
            <w:vAlign w:val="center"/>
          </w:tcPr>
          <w:p w14:paraId="47124823"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75,123.98</w:t>
            </w:r>
          </w:p>
        </w:tc>
        <w:tc>
          <w:tcPr>
            <w:tcW w:w="907" w:type="dxa"/>
            <w:shd w:val="clear" w:color="auto" w:fill="D2DDE1" w:themeFill="background2"/>
            <w:vAlign w:val="center"/>
          </w:tcPr>
          <w:p w14:paraId="23663CA9"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79,045.38</w:t>
            </w:r>
          </w:p>
        </w:tc>
        <w:tc>
          <w:tcPr>
            <w:tcW w:w="907" w:type="dxa"/>
            <w:shd w:val="clear" w:color="auto" w:fill="D2DDE1" w:themeFill="background2"/>
            <w:vAlign w:val="center"/>
          </w:tcPr>
          <w:p w14:paraId="2431DFFC"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71,898.60</w:t>
            </w:r>
          </w:p>
        </w:tc>
      </w:tr>
      <w:tr w:rsidR="00533D32" w:rsidRPr="00BD16B4" w14:paraId="430B37F5" w14:textId="77777777" w:rsidTr="002D166E">
        <w:tc>
          <w:tcPr>
            <w:tcW w:w="2034" w:type="dxa"/>
          </w:tcPr>
          <w:p w14:paraId="1B2523D5" w14:textId="77777777" w:rsidR="00533D32" w:rsidRPr="00BD16B4" w:rsidRDefault="00533D32" w:rsidP="002D166E">
            <w:pPr>
              <w:pStyle w:val="TableText"/>
              <w:spacing w:before="50" w:after="50"/>
              <w:rPr>
                <w:rFonts w:cs="Calibri"/>
                <w:b/>
                <w:bCs/>
                <w:szCs w:val="18"/>
              </w:rPr>
            </w:pPr>
            <w:r w:rsidRPr="00BD16B4">
              <w:rPr>
                <w:rFonts w:cs="Calibri"/>
                <w:b/>
                <w:bCs/>
                <w:szCs w:val="18"/>
              </w:rPr>
              <w:t>Total without LULUCF</w:t>
            </w:r>
          </w:p>
        </w:tc>
        <w:tc>
          <w:tcPr>
            <w:tcW w:w="907" w:type="dxa"/>
            <w:shd w:val="clear" w:color="auto" w:fill="auto"/>
            <w:vAlign w:val="center"/>
          </w:tcPr>
          <w:p w14:paraId="7ADC6570"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65,196.98</w:t>
            </w:r>
          </w:p>
        </w:tc>
        <w:tc>
          <w:tcPr>
            <w:tcW w:w="907" w:type="dxa"/>
            <w:shd w:val="clear" w:color="auto" w:fill="auto"/>
            <w:vAlign w:val="center"/>
          </w:tcPr>
          <w:p w14:paraId="742C6954"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69,019.65</w:t>
            </w:r>
          </w:p>
        </w:tc>
        <w:tc>
          <w:tcPr>
            <w:tcW w:w="907" w:type="dxa"/>
            <w:shd w:val="clear" w:color="auto" w:fill="auto"/>
            <w:vAlign w:val="center"/>
          </w:tcPr>
          <w:p w14:paraId="66D1AE3B"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75,525.24</w:t>
            </w:r>
          </w:p>
        </w:tc>
        <w:tc>
          <w:tcPr>
            <w:tcW w:w="907" w:type="dxa"/>
            <w:shd w:val="clear" w:color="auto" w:fill="auto"/>
            <w:vAlign w:val="center"/>
          </w:tcPr>
          <w:p w14:paraId="1515EADF"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82,648.34</w:t>
            </w:r>
          </w:p>
        </w:tc>
        <w:tc>
          <w:tcPr>
            <w:tcW w:w="907" w:type="dxa"/>
            <w:shd w:val="clear" w:color="auto" w:fill="auto"/>
            <w:vAlign w:val="center"/>
          </w:tcPr>
          <w:p w14:paraId="04E033E6"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78,818.92</w:t>
            </w:r>
          </w:p>
        </w:tc>
        <w:tc>
          <w:tcPr>
            <w:tcW w:w="907" w:type="dxa"/>
            <w:shd w:val="clear" w:color="auto" w:fill="auto"/>
            <w:vAlign w:val="center"/>
          </w:tcPr>
          <w:p w14:paraId="2833AB97"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81,189.32</w:t>
            </w:r>
          </w:p>
        </w:tc>
        <w:tc>
          <w:tcPr>
            <w:tcW w:w="907" w:type="dxa"/>
            <w:shd w:val="clear" w:color="auto" w:fill="auto"/>
            <w:vAlign w:val="center"/>
          </w:tcPr>
          <w:p w14:paraId="614A79B3"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79,743.12</w:t>
            </w:r>
          </w:p>
        </w:tc>
        <w:tc>
          <w:tcPr>
            <w:tcW w:w="907" w:type="dxa"/>
            <w:shd w:val="clear" w:color="auto" w:fill="D2DDE1" w:themeFill="background2"/>
            <w:vAlign w:val="center"/>
          </w:tcPr>
          <w:p w14:paraId="012BAA90"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77,494.85</w:t>
            </w:r>
          </w:p>
        </w:tc>
        <w:tc>
          <w:tcPr>
            <w:tcW w:w="907" w:type="dxa"/>
            <w:shd w:val="clear" w:color="auto" w:fill="D2DDE1" w:themeFill="background2"/>
            <w:vAlign w:val="center"/>
          </w:tcPr>
          <w:p w14:paraId="033B0453"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77,563.18</w:t>
            </w:r>
          </w:p>
        </w:tc>
        <w:tc>
          <w:tcPr>
            <w:tcW w:w="907" w:type="dxa"/>
            <w:shd w:val="clear" w:color="auto" w:fill="D2DDE1" w:themeFill="background2"/>
            <w:vAlign w:val="center"/>
          </w:tcPr>
          <w:p w14:paraId="0A218580"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76,759.19</w:t>
            </w:r>
          </w:p>
        </w:tc>
      </w:tr>
    </w:tbl>
    <w:p w14:paraId="206E82E7" w14:textId="77777777" w:rsidR="00533D32" w:rsidRPr="00BD16B4" w:rsidRDefault="00533D32" w:rsidP="00533D32">
      <w:pPr>
        <w:pStyle w:val="BodyText"/>
        <w:spacing w:before="0" w:after="0"/>
      </w:pPr>
    </w:p>
    <w:p w14:paraId="4AA08A92" w14:textId="77777777" w:rsidR="00533D32" w:rsidRPr="00BD16B4" w:rsidRDefault="00533D32" w:rsidP="00533D32">
      <w:pPr>
        <w:pStyle w:val="Tableheading"/>
      </w:pPr>
      <w:bookmarkStart w:id="527" w:name="_Toc121773841"/>
      <w:r w:rsidRPr="00BD16B4">
        <w:t>Table C.2.3:</w:t>
      </w:r>
      <w:r w:rsidRPr="00BD16B4">
        <w:tab/>
        <w:t>Information on updated greenhouse gas emissions (with additional measures) (CTF Table 6c)</w:t>
      </w:r>
      <w:bookmarkEnd w:id="527"/>
    </w:p>
    <w:tbl>
      <w:tblPr>
        <w:tblStyle w:val="MinistryfortheEnvironment"/>
        <w:tblW w:w="14515" w:type="dxa"/>
        <w:tblInd w:w="113" w:type="dxa"/>
        <w:tblBorders>
          <w:top w:val="single" w:sz="4" w:space="0" w:color="1B556B" w:themeColor="text2"/>
        </w:tblBorders>
        <w:tblCellMar>
          <w:left w:w="85" w:type="dxa"/>
          <w:bottom w:w="0" w:type="dxa"/>
          <w:right w:w="85" w:type="dxa"/>
        </w:tblCellMar>
        <w:tblLook w:val="04A0" w:firstRow="1" w:lastRow="0" w:firstColumn="1" w:lastColumn="0" w:noHBand="0" w:noVBand="1"/>
      </w:tblPr>
      <w:tblGrid>
        <w:gridCol w:w="2665"/>
        <w:gridCol w:w="1185"/>
        <w:gridCol w:w="1185"/>
        <w:gridCol w:w="1185"/>
        <w:gridCol w:w="1185"/>
        <w:gridCol w:w="1185"/>
        <w:gridCol w:w="1185"/>
        <w:gridCol w:w="1185"/>
        <w:gridCol w:w="1185"/>
        <w:gridCol w:w="1185"/>
        <w:gridCol w:w="1185"/>
      </w:tblGrid>
      <w:tr w:rsidR="00533D32" w:rsidRPr="00BD16B4" w14:paraId="73B27E18" w14:textId="77777777" w:rsidTr="00FA1C32">
        <w:trPr>
          <w:cnfStyle w:val="100000000000" w:firstRow="1" w:lastRow="0" w:firstColumn="0" w:lastColumn="0" w:oddVBand="0" w:evenVBand="0" w:oddHBand="0" w:evenHBand="0" w:firstRowFirstColumn="0" w:firstRowLastColumn="0" w:lastRowFirstColumn="0" w:lastRowLastColumn="0"/>
          <w:tblHeader/>
        </w:trPr>
        <w:tc>
          <w:tcPr>
            <w:tcW w:w="2034" w:type="dxa"/>
            <w:vMerge w:val="restart"/>
            <w:vAlign w:val="bottom"/>
          </w:tcPr>
          <w:p w14:paraId="0BF0D4CA" w14:textId="77777777" w:rsidR="00533D32" w:rsidRPr="00BD16B4" w:rsidRDefault="00533D32" w:rsidP="002D166E">
            <w:pPr>
              <w:pStyle w:val="TableTextBold0"/>
              <w:spacing w:before="50" w:after="50"/>
              <w:rPr>
                <w:b/>
                <w:szCs w:val="18"/>
              </w:rPr>
            </w:pPr>
            <w:r w:rsidRPr="00BD16B4">
              <w:rPr>
                <w:b/>
                <w:szCs w:val="18"/>
              </w:rPr>
              <w:t>GHG emissions projections</w:t>
            </w:r>
          </w:p>
        </w:tc>
        <w:tc>
          <w:tcPr>
            <w:tcW w:w="851" w:type="dxa"/>
            <w:gridSpan w:val="7"/>
            <w:vAlign w:val="bottom"/>
          </w:tcPr>
          <w:p w14:paraId="31200361" w14:textId="77777777" w:rsidR="00533D32" w:rsidRPr="00BD16B4" w:rsidRDefault="00533D32" w:rsidP="002D166E">
            <w:pPr>
              <w:pStyle w:val="TableTextBold0"/>
              <w:spacing w:before="50" w:after="0"/>
              <w:jc w:val="center"/>
              <w:rPr>
                <w:b/>
                <w:szCs w:val="18"/>
              </w:rPr>
            </w:pPr>
            <w:r w:rsidRPr="00BD16B4">
              <w:rPr>
                <w:b/>
                <w:szCs w:val="18"/>
              </w:rPr>
              <w:t>GHG emissions and removals</w:t>
            </w:r>
          </w:p>
        </w:tc>
        <w:tc>
          <w:tcPr>
            <w:tcW w:w="851" w:type="dxa"/>
            <w:gridSpan w:val="3"/>
            <w:vAlign w:val="bottom"/>
          </w:tcPr>
          <w:p w14:paraId="342E6A58" w14:textId="77777777" w:rsidR="00533D32" w:rsidRPr="00BD16B4" w:rsidRDefault="00533D32" w:rsidP="002D166E">
            <w:pPr>
              <w:pStyle w:val="TableTextBold0"/>
              <w:spacing w:before="50" w:after="0"/>
              <w:jc w:val="center"/>
              <w:rPr>
                <w:b/>
                <w:szCs w:val="18"/>
              </w:rPr>
            </w:pPr>
            <w:r w:rsidRPr="00BD16B4">
              <w:rPr>
                <w:b/>
                <w:szCs w:val="18"/>
              </w:rPr>
              <w:t>GHG emissions projections</w:t>
            </w:r>
          </w:p>
        </w:tc>
      </w:tr>
      <w:tr w:rsidR="00533D32" w:rsidRPr="00BD16B4" w14:paraId="7F1739C3" w14:textId="77777777" w:rsidTr="00FA1C32">
        <w:trPr>
          <w:cnfStyle w:val="100000000000" w:firstRow="1" w:lastRow="0" w:firstColumn="0" w:lastColumn="0" w:oddVBand="0" w:evenVBand="0" w:oddHBand="0" w:evenHBand="0" w:firstRowFirstColumn="0" w:firstRowLastColumn="0" w:lastRowFirstColumn="0" w:lastRowLastColumn="0"/>
          <w:tblHeader/>
        </w:trPr>
        <w:tc>
          <w:tcPr>
            <w:tcW w:w="2034" w:type="dxa"/>
            <w:vMerge/>
            <w:vAlign w:val="bottom"/>
          </w:tcPr>
          <w:p w14:paraId="219C4D8A" w14:textId="77777777" w:rsidR="00533D32" w:rsidRPr="00BD16B4" w:rsidRDefault="00533D32" w:rsidP="002D166E">
            <w:pPr>
              <w:pStyle w:val="TableTextBold0"/>
              <w:spacing w:before="50" w:after="50"/>
              <w:rPr>
                <w:b/>
                <w:szCs w:val="18"/>
              </w:rPr>
            </w:pPr>
          </w:p>
        </w:tc>
        <w:tc>
          <w:tcPr>
            <w:tcW w:w="851" w:type="dxa"/>
            <w:vAlign w:val="bottom"/>
          </w:tcPr>
          <w:p w14:paraId="0457737D" w14:textId="77777777" w:rsidR="00533D32" w:rsidRPr="00BD16B4" w:rsidRDefault="00533D32" w:rsidP="002D166E">
            <w:pPr>
              <w:pStyle w:val="TableTextBold0"/>
              <w:spacing w:before="0" w:after="50"/>
              <w:jc w:val="center"/>
              <w:rPr>
                <w:b/>
                <w:szCs w:val="18"/>
              </w:rPr>
            </w:pPr>
            <w:r w:rsidRPr="00BD16B4">
              <w:rPr>
                <w:b/>
                <w:szCs w:val="18"/>
              </w:rPr>
              <w:t>Base year 1990</w:t>
            </w:r>
            <w:r w:rsidRPr="00BD16B4">
              <w:rPr>
                <w:b/>
                <w:szCs w:val="18"/>
              </w:rPr>
              <w:br/>
              <w:t>(kt CO</w:t>
            </w:r>
            <w:r w:rsidRPr="00BD16B4">
              <w:rPr>
                <w:b/>
                <w:szCs w:val="18"/>
                <w:vertAlign w:val="subscript"/>
              </w:rPr>
              <w:t>2</w:t>
            </w:r>
            <w:r w:rsidRPr="00BD16B4">
              <w:rPr>
                <w:b/>
                <w:szCs w:val="18"/>
              </w:rPr>
              <w:t>-e)</w:t>
            </w:r>
          </w:p>
        </w:tc>
        <w:tc>
          <w:tcPr>
            <w:tcW w:w="851" w:type="dxa"/>
            <w:vAlign w:val="bottom"/>
          </w:tcPr>
          <w:p w14:paraId="29F63969" w14:textId="77777777" w:rsidR="00533D32" w:rsidRPr="00BD16B4" w:rsidRDefault="00533D32" w:rsidP="002D166E">
            <w:pPr>
              <w:pStyle w:val="TableTextBold0"/>
              <w:spacing w:before="50" w:after="50"/>
              <w:jc w:val="center"/>
              <w:rPr>
                <w:b/>
                <w:szCs w:val="18"/>
              </w:rPr>
            </w:pPr>
            <w:r w:rsidRPr="00BD16B4">
              <w:rPr>
                <w:b/>
                <w:szCs w:val="18"/>
              </w:rPr>
              <w:t>1995</w:t>
            </w:r>
            <w:r w:rsidRPr="00BD16B4">
              <w:rPr>
                <w:b/>
                <w:szCs w:val="18"/>
              </w:rPr>
              <w:br/>
              <w:t>(kt CO</w:t>
            </w:r>
            <w:r w:rsidRPr="00BD16B4">
              <w:rPr>
                <w:b/>
                <w:szCs w:val="18"/>
                <w:vertAlign w:val="subscript"/>
              </w:rPr>
              <w:t>2</w:t>
            </w:r>
            <w:r w:rsidRPr="00BD16B4">
              <w:rPr>
                <w:b/>
                <w:szCs w:val="18"/>
              </w:rPr>
              <w:t>-e)</w:t>
            </w:r>
          </w:p>
        </w:tc>
        <w:tc>
          <w:tcPr>
            <w:tcW w:w="851" w:type="dxa"/>
            <w:vAlign w:val="bottom"/>
          </w:tcPr>
          <w:p w14:paraId="6605310E" w14:textId="77777777" w:rsidR="00533D32" w:rsidRPr="00BD16B4" w:rsidRDefault="00533D32" w:rsidP="002D166E">
            <w:pPr>
              <w:pStyle w:val="TableTextBold0"/>
              <w:spacing w:before="50" w:after="50"/>
              <w:jc w:val="center"/>
              <w:rPr>
                <w:b/>
                <w:szCs w:val="18"/>
              </w:rPr>
            </w:pPr>
            <w:r w:rsidRPr="00BD16B4">
              <w:rPr>
                <w:b/>
                <w:szCs w:val="18"/>
              </w:rPr>
              <w:t>2000</w:t>
            </w:r>
            <w:r w:rsidRPr="00BD16B4">
              <w:rPr>
                <w:b/>
                <w:szCs w:val="18"/>
              </w:rPr>
              <w:br/>
              <w:t>(kt CO</w:t>
            </w:r>
            <w:r w:rsidRPr="00BD16B4">
              <w:rPr>
                <w:b/>
                <w:szCs w:val="18"/>
                <w:vertAlign w:val="subscript"/>
              </w:rPr>
              <w:t>2</w:t>
            </w:r>
            <w:r w:rsidRPr="00BD16B4">
              <w:rPr>
                <w:b/>
                <w:szCs w:val="18"/>
              </w:rPr>
              <w:t>-e)</w:t>
            </w:r>
          </w:p>
        </w:tc>
        <w:tc>
          <w:tcPr>
            <w:tcW w:w="851" w:type="dxa"/>
            <w:vAlign w:val="bottom"/>
          </w:tcPr>
          <w:p w14:paraId="7037E3F6" w14:textId="77777777" w:rsidR="00533D32" w:rsidRPr="00BD16B4" w:rsidRDefault="00533D32" w:rsidP="002D166E">
            <w:pPr>
              <w:pStyle w:val="TableTextBold0"/>
              <w:spacing w:before="50" w:after="50"/>
              <w:jc w:val="center"/>
              <w:rPr>
                <w:b/>
                <w:szCs w:val="18"/>
              </w:rPr>
            </w:pPr>
            <w:r w:rsidRPr="00BD16B4">
              <w:rPr>
                <w:b/>
                <w:szCs w:val="18"/>
              </w:rPr>
              <w:t>2005</w:t>
            </w:r>
            <w:r w:rsidRPr="00BD16B4">
              <w:rPr>
                <w:b/>
                <w:szCs w:val="18"/>
              </w:rPr>
              <w:br/>
              <w:t>(kt CO</w:t>
            </w:r>
            <w:r w:rsidRPr="00BD16B4">
              <w:rPr>
                <w:b/>
                <w:szCs w:val="18"/>
                <w:vertAlign w:val="subscript"/>
              </w:rPr>
              <w:t>2</w:t>
            </w:r>
            <w:r w:rsidRPr="00BD16B4">
              <w:rPr>
                <w:b/>
                <w:szCs w:val="18"/>
              </w:rPr>
              <w:t>-e)</w:t>
            </w:r>
          </w:p>
        </w:tc>
        <w:tc>
          <w:tcPr>
            <w:tcW w:w="851" w:type="dxa"/>
            <w:vAlign w:val="bottom"/>
          </w:tcPr>
          <w:p w14:paraId="2B315A91" w14:textId="77777777" w:rsidR="00533D32" w:rsidRPr="00BD16B4" w:rsidRDefault="00533D32" w:rsidP="002D166E">
            <w:pPr>
              <w:pStyle w:val="TableTextBold0"/>
              <w:spacing w:before="50" w:after="50"/>
              <w:jc w:val="center"/>
              <w:rPr>
                <w:b/>
                <w:szCs w:val="18"/>
              </w:rPr>
            </w:pPr>
            <w:r w:rsidRPr="00BD16B4">
              <w:rPr>
                <w:b/>
                <w:szCs w:val="18"/>
              </w:rPr>
              <w:t>2010</w:t>
            </w:r>
            <w:r w:rsidRPr="00BD16B4">
              <w:rPr>
                <w:b/>
                <w:szCs w:val="18"/>
              </w:rPr>
              <w:br/>
              <w:t>(kt CO</w:t>
            </w:r>
            <w:r w:rsidRPr="00BD16B4">
              <w:rPr>
                <w:b/>
                <w:szCs w:val="18"/>
                <w:vertAlign w:val="subscript"/>
              </w:rPr>
              <w:t>2</w:t>
            </w:r>
            <w:r w:rsidRPr="00BD16B4">
              <w:rPr>
                <w:b/>
                <w:szCs w:val="18"/>
              </w:rPr>
              <w:t>-e)</w:t>
            </w:r>
          </w:p>
        </w:tc>
        <w:tc>
          <w:tcPr>
            <w:tcW w:w="851" w:type="dxa"/>
            <w:vAlign w:val="bottom"/>
          </w:tcPr>
          <w:p w14:paraId="1F6C2C71" w14:textId="77777777" w:rsidR="00533D32" w:rsidRPr="00BD16B4" w:rsidRDefault="00533D32" w:rsidP="002D166E">
            <w:pPr>
              <w:pStyle w:val="TableTextBold0"/>
              <w:spacing w:before="50" w:after="50"/>
              <w:jc w:val="center"/>
              <w:rPr>
                <w:b/>
                <w:szCs w:val="18"/>
              </w:rPr>
            </w:pPr>
            <w:r w:rsidRPr="00BD16B4">
              <w:rPr>
                <w:b/>
                <w:szCs w:val="18"/>
              </w:rPr>
              <w:t>2015</w:t>
            </w:r>
            <w:r w:rsidRPr="00BD16B4">
              <w:rPr>
                <w:b/>
                <w:szCs w:val="18"/>
              </w:rPr>
              <w:br/>
              <w:t>(kt CO</w:t>
            </w:r>
            <w:r w:rsidRPr="00BD16B4">
              <w:rPr>
                <w:b/>
                <w:szCs w:val="18"/>
                <w:vertAlign w:val="subscript"/>
              </w:rPr>
              <w:t>2</w:t>
            </w:r>
            <w:r w:rsidRPr="00BD16B4">
              <w:rPr>
                <w:b/>
                <w:szCs w:val="18"/>
              </w:rPr>
              <w:t>-e)</w:t>
            </w:r>
          </w:p>
        </w:tc>
        <w:tc>
          <w:tcPr>
            <w:tcW w:w="851" w:type="dxa"/>
            <w:vAlign w:val="bottom"/>
          </w:tcPr>
          <w:p w14:paraId="13F1B4A2" w14:textId="77777777" w:rsidR="00533D32" w:rsidRPr="00BD16B4" w:rsidRDefault="00533D32" w:rsidP="002D166E">
            <w:pPr>
              <w:pStyle w:val="TableTextBold0"/>
              <w:spacing w:before="50" w:after="50"/>
              <w:jc w:val="center"/>
              <w:rPr>
                <w:b/>
                <w:szCs w:val="18"/>
              </w:rPr>
            </w:pPr>
            <w:r w:rsidRPr="00BD16B4">
              <w:rPr>
                <w:b/>
                <w:szCs w:val="18"/>
              </w:rPr>
              <w:t>2020</w:t>
            </w:r>
            <w:r w:rsidRPr="00BD16B4">
              <w:rPr>
                <w:b/>
                <w:szCs w:val="18"/>
              </w:rPr>
              <w:br/>
              <w:t>(kt CO</w:t>
            </w:r>
            <w:r w:rsidRPr="00BD16B4">
              <w:rPr>
                <w:b/>
                <w:szCs w:val="18"/>
                <w:vertAlign w:val="subscript"/>
              </w:rPr>
              <w:t>2</w:t>
            </w:r>
            <w:r w:rsidRPr="00BD16B4">
              <w:rPr>
                <w:b/>
                <w:szCs w:val="18"/>
              </w:rPr>
              <w:t>-e)</w:t>
            </w:r>
          </w:p>
        </w:tc>
        <w:tc>
          <w:tcPr>
            <w:tcW w:w="851" w:type="dxa"/>
            <w:vAlign w:val="bottom"/>
          </w:tcPr>
          <w:p w14:paraId="3AAB6C90" w14:textId="77777777" w:rsidR="00533D32" w:rsidRPr="00BD16B4" w:rsidRDefault="00533D32" w:rsidP="002D166E">
            <w:pPr>
              <w:pStyle w:val="TableTextBold0"/>
              <w:spacing w:before="50" w:after="50"/>
              <w:jc w:val="center"/>
              <w:rPr>
                <w:b/>
                <w:szCs w:val="18"/>
              </w:rPr>
            </w:pPr>
            <w:r w:rsidRPr="00BD16B4">
              <w:rPr>
                <w:b/>
                <w:szCs w:val="18"/>
              </w:rPr>
              <w:t>2025</w:t>
            </w:r>
            <w:r w:rsidRPr="00BD16B4">
              <w:rPr>
                <w:b/>
                <w:szCs w:val="18"/>
              </w:rPr>
              <w:br/>
              <w:t>(kt CO</w:t>
            </w:r>
            <w:r w:rsidRPr="00BD16B4">
              <w:rPr>
                <w:b/>
                <w:szCs w:val="18"/>
                <w:vertAlign w:val="subscript"/>
              </w:rPr>
              <w:t>2</w:t>
            </w:r>
            <w:r w:rsidRPr="00BD16B4">
              <w:rPr>
                <w:b/>
                <w:szCs w:val="18"/>
              </w:rPr>
              <w:t>-e)</w:t>
            </w:r>
          </w:p>
        </w:tc>
        <w:tc>
          <w:tcPr>
            <w:tcW w:w="851" w:type="dxa"/>
            <w:vAlign w:val="bottom"/>
          </w:tcPr>
          <w:p w14:paraId="5D70B59D" w14:textId="77777777" w:rsidR="00533D32" w:rsidRPr="00BD16B4" w:rsidRDefault="00533D32" w:rsidP="002D166E">
            <w:pPr>
              <w:pStyle w:val="TableTextBold0"/>
              <w:spacing w:before="50" w:after="50"/>
              <w:jc w:val="center"/>
              <w:rPr>
                <w:b/>
                <w:szCs w:val="18"/>
              </w:rPr>
            </w:pPr>
            <w:r w:rsidRPr="00BD16B4">
              <w:rPr>
                <w:b/>
                <w:szCs w:val="18"/>
              </w:rPr>
              <w:t>2030</w:t>
            </w:r>
            <w:r w:rsidRPr="00BD16B4">
              <w:rPr>
                <w:b/>
                <w:szCs w:val="18"/>
              </w:rPr>
              <w:br/>
              <w:t>(kt CO</w:t>
            </w:r>
            <w:r w:rsidRPr="00BD16B4">
              <w:rPr>
                <w:b/>
                <w:szCs w:val="18"/>
                <w:vertAlign w:val="subscript"/>
              </w:rPr>
              <w:t>2</w:t>
            </w:r>
            <w:r w:rsidRPr="00BD16B4">
              <w:rPr>
                <w:b/>
                <w:szCs w:val="18"/>
              </w:rPr>
              <w:t>-e)</w:t>
            </w:r>
          </w:p>
        </w:tc>
        <w:tc>
          <w:tcPr>
            <w:tcW w:w="851" w:type="dxa"/>
            <w:vAlign w:val="bottom"/>
          </w:tcPr>
          <w:p w14:paraId="47F4380E" w14:textId="77777777" w:rsidR="00533D32" w:rsidRPr="00BD16B4" w:rsidRDefault="00533D32" w:rsidP="002D166E">
            <w:pPr>
              <w:pStyle w:val="TableTextBold0"/>
              <w:spacing w:before="50" w:after="50"/>
              <w:jc w:val="center"/>
              <w:rPr>
                <w:b/>
                <w:szCs w:val="18"/>
              </w:rPr>
            </w:pPr>
            <w:r w:rsidRPr="00BD16B4">
              <w:rPr>
                <w:b/>
                <w:szCs w:val="18"/>
              </w:rPr>
              <w:t>2035</w:t>
            </w:r>
            <w:r w:rsidRPr="00BD16B4">
              <w:rPr>
                <w:b/>
                <w:szCs w:val="18"/>
              </w:rPr>
              <w:br/>
              <w:t>(kt CO</w:t>
            </w:r>
            <w:r w:rsidRPr="00BD16B4">
              <w:rPr>
                <w:b/>
                <w:szCs w:val="18"/>
                <w:vertAlign w:val="subscript"/>
              </w:rPr>
              <w:t>2</w:t>
            </w:r>
            <w:r w:rsidRPr="00BD16B4">
              <w:rPr>
                <w:b/>
                <w:szCs w:val="18"/>
              </w:rPr>
              <w:t>-e)</w:t>
            </w:r>
          </w:p>
        </w:tc>
      </w:tr>
      <w:tr w:rsidR="00533D32" w:rsidRPr="00BD16B4" w14:paraId="58F89312" w14:textId="77777777" w:rsidTr="00FA1C32">
        <w:tc>
          <w:tcPr>
            <w:tcW w:w="2034" w:type="dxa"/>
          </w:tcPr>
          <w:p w14:paraId="390FF563" w14:textId="77777777" w:rsidR="00533D32" w:rsidRPr="00BD16B4" w:rsidRDefault="00533D32" w:rsidP="002D166E">
            <w:pPr>
              <w:pStyle w:val="TableText"/>
              <w:spacing w:before="50" w:after="50"/>
              <w:rPr>
                <w:rFonts w:cs="Calibri"/>
                <w:b/>
                <w:bCs/>
                <w:szCs w:val="18"/>
              </w:rPr>
            </w:pPr>
            <w:r w:rsidRPr="00BD16B4">
              <w:rPr>
                <w:rFonts w:cs="Calibri"/>
                <w:b/>
                <w:bCs/>
                <w:szCs w:val="18"/>
              </w:rPr>
              <w:t>Sector</w:t>
            </w:r>
          </w:p>
        </w:tc>
        <w:tc>
          <w:tcPr>
            <w:tcW w:w="851" w:type="dxa"/>
          </w:tcPr>
          <w:p w14:paraId="3445A112" w14:textId="77777777" w:rsidR="00533D32" w:rsidRPr="00BD16B4" w:rsidRDefault="00533D32" w:rsidP="002D166E">
            <w:pPr>
              <w:pStyle w:val="TableText"/>
              <w:spacing w:before="50" w:after="50"/>
              <w:jc w:val="center"/>
              <w:rPr>
                <w:rFonts w:cs="Calibri"/>
                <w:szCs w:val="18"/>
              </w:rPr>
            </w:pPr>
          </w:p>
        </w:tc>
        <w:tc>
          <w:tcPr>
            <w:tcW w:w="851" w:type="dxa"/>
          </w:tcPr>
          <w:p w14:paraId="6E40FBAA" w14:textId="77777777" w:rsidR="00533D32" w:rsidRPr="00BD16B4" w:rsidRDefault="00533D32" w:rsidP="002D166E">
            <w:pPr>
              <w:pStyle w:val="TableText"/>
              <w:spacing w:before="50" w:after="50"/>
              <w:jc w:val="center"/>
              <w:rPr>
                <w:rFonts w:cs="Calibri"/>
                <w:szCs w:val="18"/>
              </w:rPr>
            </w:pPr>
          </w:p>
        </w:tc>
        <w:tc>
          <w:tcPr>
            <w:tcW w:w="851" w:type="dxa"/>
          </w:tcPr>
          <w:p w14:paraId="4E039794" w14:textId="77777777" w:rsidR="00533D32" w:rsidRPr="00BD16B4" w:rsidRDefault="00533D32" w:rsidP="002D166E">
            <w:pPr>
              <w:pStyle w:val="TableText"/>
              <w:spacing w:before="50" w:after="50"/>
              <w:jc w:val="center"/>
              <w:rPr>
                <w:rFonts w:cs="Calibri"/>
                <w:szCs w:val="18"/>
              </w:rPr>
            </w:pPr>
          </w:p>
        </w:tc>
        <w:tc>
          <w:tcPr>
            <w:tcW w:w="851" w:type="dxa"/>
          </w:tcPr>
          <w:p w14:paraId="7ADAD51D" w14:textId="77777777" w:rsidR="00533D32" w:rsidRPr="00BD16B4" w:rsidRDefault="00533D32" w:rsidP="002D166E">
            <w:pPr>
              <w:pStyle w:val="TableText"/>
              <w:spacing w:before="50" w:after="50"/>
              <w:jc w:val="center"/>
              <w:rPr>
                <w:rFonts w:cs="Calibri"/>
                <w:szCs w:val="18"/>
              </w:rPr>
            </w:pPr>
          </w:p>
        </w:tc>
        <w:tc>
          <w:tcPr>
            <w:tcW w:w="851" w:type="dxa"/>
          </w:tcPr>
          <w:p w14:paraId="382EBD43" w14:textId="77777777" w:rsidR="00533D32" w:rsidRPr="00BD16B4" w:rsidRDefault="00533D32" w:rsidP="002D166E">
            <w:pPr>
              <w:pStyle w:val="TableText"/>
              <w:spacing w:before="50" w:after="50"/>
              <w:jc w:val="center"/>
              <w:rPr>
                <w:rFonts w:cs="Calibri"/>
                <w:szCs w:val="18"/>
              </w:rPr>
            </w:pPr>
          </w:p>
        </w:tc>
        <w:tc>
          <w:tcPr>
            <w:tcW w:w="851" w:type="dxa"/>
          </w:tcPr>
          <w:p w14:paraId="741F7367" w14:textId="77777777" w:rsidR="00533D32" w:rsidRPr="00BD16B4" w:rsidRDefault="00533D32" w:rsidP="002D166E">
            <w:pPr>
              <w:pStyle w:val="TableText"/>
              <w:spacing w:before="50" w:after="50"/>
              <w:jc w:val="center"/>
              <w:rPr>
                <w:rFonts w:cs="Calibri"/>
                <w:szCs w:val="18"/>
              </w:rPr>
            </w:pPr>
          </w:p>
        </w:tc>
        <w:tc>
          <w:tcPr>
            <w:tcW w:w="851" w:type="dxa"/>
          </w:tcPr>
          <w:p w14:paraId="759B1BDE" w14:textId="77777777" w:rsidR="00533D32" w:rsidRPr="00BD16B4" w:rsidRDefault="00533D32" w:rsidP="002D166E">
            <w:pPr>
              <w:pStyle w:val="TableText"/>
              <w:spacing w:before="50" w:after="50"/>
              <w:jc w:val="center"/>
              <w:rPr>
                <w:rFonts w:cs="Calibri"/>
                <w:szCs w:val="18"/>
              </w:rPr>
            </w:pPr>
          </w:p>
        </w:tc>
        <w:tc>
          <w:tcPr>
            <w:tcW w:w="851" w:type="dxa"/>
            <w:shd w:val="clear" w:color="auto" w:fill="D2DDE1" w:themeFill="background2"/>
          </w:tcPr>
          <w:p w14:paraId="5A8911C0" w14:textId="77777777" w:rsidR="00533D32" w:rsidRPr="00BD16B4" w:rsidRDefault="00533D32" w:rsidP="002D166E">
            <w:pPr>
              <w:pStyle w:val="TableText"/>
              <w:spacing w:before="50" w:after="50"/>
              <w:jc w:val="center"/>
              <w:rPr>
                <w:rFonts w:cs="Calibri"/>
                <w:szCs w:val="18"/>
              </w:rPr>
            </w:pPr>
          </w:p>
        </w:tc>
        <w:tc>
          <w:tcPr>
            <w:tcW w:w="851" w:type="dxa"/>
            <w:shd w:val="clear" w:color="auto" w:fill="D2DDE1" w:themeFill="background2"/>
          </w:tcPr>
          <w:p w14:paraId="577AE790" w14:textId="77777777" w:rsidR="00533D32" w:rsidRPr="00BD16B4" w:rsidRDefault="00533D32" w:rsidP="002D166E">
            <w:pPr>
              <w:pStyle w:val="TableText"/>
              <w:spacing w:before="50" w:after="50"/>
              <w:jc w:val="center"/>
              <w:rPr>
                <w:rFonts w:cs="Calibri"/>
                <w:szCs w:val="18"/>
              </w:rPr>
            </w:pPr>
          </w:p>
        </w:tc>
        <w:tc>
          <w:tcPr>
            <w:tcW w:w="851" w:type="dxa"/>
            <w:shd w:val="clear" w:color="auto" w:fill="D2DDE1" w:themeFill="background2"/>
          </w:tcPr>
          <w:p w14:paraId="21125FF9" w14:textId="77777777" w:rsidR="00533D32" w:rsidRPr="00BD16B4" w:rsidRDefault="00533D32" w:rsidP="002D166E">
            <w:pPr>
              <w:pStyle w:val="TableText"/>
              <w:spacing w:before="50" w:after="50"/>
              <w:jc w:val="center"/>
              <w:rPr>
                <w:rFonts w:cs="Calibri"/>
                <w:szCs w:val="18"/>
              </w:rPr>
            </w:pPr>
          </w:p>
        </w:tc>
      </w:tr>
      <w:tr w:rsidR="00533D32" w:rsidRPr="00BD16B4" w14:paraId="444D45DC" w14:textId="77777777" w:rsidTr="00FA1C32">
        <w:tc>
          <w:tcPr>
            <w:tcW w:w="2034" w:type="dxa"/>
          </w:tcPr>
          <w:p w14:paraId="532EFB8B" w14:textId="77777777" w:rsidR="00533D32" w:rsidRPr="00BD16B4" w:rsidRDefault="00533D32" w:rsidP="002D166E">
            <w:pPr>
              <w:pStyle w:val="TableText"/>
              <w:spacing w:before="50" w:after="50"/>
              <w:rPr>
                <w:rFonts w:cs="Calibri"/>
                <w:szCs w:val="18"/>
              </w:rPr>
            </w:pPr>
            <w:r w:rsidRPr="00BD16B4">
              <w:rPr>
                <w:rFonts w:cs="Calibri"/>
                <w:szCs w:val="18"/>
              </w:rPr>
              <w:t>Energy</w:t>
            </w:r>
          </w:p>
        </w:tc>
        <w:tc>
          <w:tcPr>
            <w:tcW w:w="851" w:type="dxa"/>
            <w:shd w:val="clear" w:color="auto" w:fill="auto"/>
          </w:tcPr>
          <w:p w14:paraId="4C74F3D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15,751.70</w:t>
            </w:r>
          </w:p>
        </w:tc>
        <w:tc>
          <w:tcPr>
            <w:tcW w:w="851" w:type="dxa"/>
            <w:shd w:val="clear" w:color="auto" w:fill="auto"/>
          </w:tcPr>
          <w:p w14:paraId="3DBA571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15,618.56</w:t>
            </w:r>
          </w:p>
        </w:tc>
        <w:tc>
          <w:tcPr>
            <w:tcW w:w="851" w:type="dxa"/>
            <w:shd w:val="clear" w:color="auto" w:fill="auto"/>
          </w:tcPr>
          <w:p w14:paraId="30ACEA9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18,370.71</w:t>
            </w:r>
          </w:p>
        </w:tc>
        <w:tc>
          <w:tcPr>
            <w:tcW w:w="851" w:type="dxa"/>
            <w:shd w:val="clear" w:color="auto" w:fill="auto"/>
          </w:tcPr>
          <w:p w14:paraId="74B0BB1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21,586.33</w:t>
            </w:r>
          </w:p>
        </w:tc>
        <w:tc>
          <w:tcPr>
            <w:tcW w:w="851" w:type="dxa"/>
            <w:shd w:val="clear" w:color="auto" w:fill="auto"/>
          </w:tcPr>
          <w:p w14:paraId="3B06FE9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18,898.06</w:t>
            </w:r>
          </w:p>
        </w:tc>
        <w:tc>
          <w:tcPr>
            <w:tcW w:w="851" w:type="dxa"/>
            <w:shd w:val="clear" w:color="auto" w:fill="auto"/>
          </w:tcPr>
          <w:p w14:paraId="16626DA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18,600.46</w:t>
            </w:r>
          </w:p>
        </w:tc>
        <w:tc>
          <w:tcPr>
            <w:tcW w:w="851" w:type="dxa"/>
            <w:shd w:val="clear" w:color="auto" w:fill="auto"/>
          </w:tcPr>
          <w:p w14:paraId="591493D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18,285.00</w:t>
            </w:r>
          </w:p>
        </w:tc>
        <w:tc>
          <w:tcPr>
            <w:tcW w:w="851" w:type="dxa"/>
            <w:shd w:val="clear" w:color="auto" w:fill="D2DDE1" w:themeFill="background2"/>
          </w:tcPr>
          <w:p w14:paraId="0578EE4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13,588.01</w:t>
            </w:r>
          </w:p>
        </w:tc>
        <w:tc>
          <w:tcPr>
            <w:tcW w:w="851" w:type="dxa"/>
            <w:shd w:val="clear" w:color="auto" w:fill="D2DDE1" w:themeFill="background2"/>
          </w:tcPr>
          <w:p w14:paraId="0B5A231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11,337.69</w:t>
            </w:r>
          </w:p>
        </w:tc>
        <w:tc>
          <w:tcPr>
            <w:tcW w:w="851" w:type="dxa"/>
            <w:shd w:val="clear" w:color="auto" w:fill="D2DDE1" w:themeFill="background2"/>
          </w:tcPr>
          <w:p w14:paraId="1BFFEDA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10,487.54</w:t>
            </w:r>
          </w:p>
        </w:tc>
      </w:tr>
      <w:tr w:rsidR="00533D32" w:rsidRPr="00BD16B4" w14:paraId="529E96A9" w14:textId="77777777" w:rsidTr="00FA1C32">
        <w:tc>
          <w:tcPr>
            <w:tcW w:w="2034" w:type="dxa"/>
          </w:tcPr>
          <w:p w14:paraId="637DDE1D" w14:textId="77777777" w:rsidR="00533D32" w:rsidRPr="00BD16B4" w:rsidRDefault="00533D32" w:rsidP="002D166E">
            <w:pPr>
              <w:pStyle w:val="TableText"/>
              <w:spacing w:before="50" w:after="50"/>
              <w:rPr>
                <w:rFonts w:cs="Calibri"/>
                <w:szCs w:val="18"/>
              </w:rPr>
            </w:pPr>
            <w:r w:rsidRPr="00BD16B4">
              <w:rPr>
                <w:rFonts w:cs="Calibri"/>
                <w:szCs w:val="18"/>
              </w:rPr>
              <w:t>Transport</w:t>
            </w:r>
          </w:p>
        </w:tc>
        <w:tc>
          <w:tcPr>
            <w:tcW w:w="851" w:type="dxa"/>
            <w:shd w:val="clear" w:color="auto" w:fill="auto"/>
          </w:tcPr>
          <w:p w14:paraId="6EBEEC8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8,126.19</w:t>
            </w:r>
          </w:p>
        </w:tc>
        <w:tc>
          <w:tcPr>
            <w:tcW w:w="851" w:type="dxa"/>
            <w:shd w:val="clear" w:color="auto" w:fill="auto"/>
          </w:tcPr>
          <w:p w14:paraId="2D84E9C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10,247.56</w:t>
            </w:r>
          </w:p>
        </w:tc>
        <w:tc>
          <w:tcPr>
            <w:tcW w:w="851" w:type="dxa"/>
            <w:shd w:val="clear" w:color="auto" w:fill="auto"/>
          </w:tcPr>
          <w:p w14:paraId="5F0894E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11,648.31</w:t>
            </w:r>
          </w:p>
        </w:tc>
        <w:tc>
          <w:tcPr>
            <w:tcW w:w="851" w:type="dxa"/>
            <w:shd w:val="clear" w:color="auto" w:fill="auto"/>
          </w:tcPr>
          <w:p w14:paraId="67459BE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13,063.44</w:t>
            </w:r>
          </w:p>
        </w:tc>
        <w:tc>
          <w:tcPr>
            <w:tcW w:w="851" w:type="dxa"/>
            <w:shd w:val="clear" w:color="auto" w:fill="auto"/>
          </w:tcPr>
          <w:p w14:paraId="747A4D3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13,349.43</w:t>
            </w:r>
          </w:p>
        </w:tc>
        <w:tc>
          <w:tcPr>
            <w:tcW w:w="851" w:type="dxa"/>
            <w:shd w:val="clear" w:color="auto" w:fill="auto"/>
          </w:tcPr>
          <w:p w14:paraId="12F163E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13,805.24</w:t>
            </w:r>
          </w:p>
        </w:tc>
        <w:tc>
          <w:tcPr>
            <w:tcW w:w="851" w:type="dxa"/>
            <w:shd w:val="clear" w:color="auto" w:fill="auto"/>
          </w:tcPr>
          <w:p w14:paraId="5192EA8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13,176.42</w:t>
            </w:r>
          </w:p>
        </w:tc>
        <w:tc>
          <w:tcPr>
            <w:tcW w:w="851" w:type="dxa"/>
            <w:shd w:val="clear" w:color="auto" w:fill="D2DDE1" w:themeFill="background2"/>
          </w:tcPr>
          <w:p w14:paraId="0C3C848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15,111.28</w:t>
            </w:r>
          </w:p>
        </w:tc>
        <w:tc>
          <w:tcPr>
            <w:tcW w:w="851" w:type="dxa"/>
            <w:shd w:val="clear" w:color="auto" w:fill="D2DDE1" w:themeFill="background2"/>
          </w:tcPr>
          <w:p w14:paraId="08B4109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14,798.50</w:t>
            </w:r>
          </w:p>
        </w:tc>
        <w:tc>
          <w:tcPr>
            <w:tcW w:w="851" w:type="dxa"/>
            <w:shd w:val="clear" w:color="auto" w:fill="D2DDE1" w:themeFill="background2"/>
          </w:tcPr>
          <w:p w14:paraId="7EEC845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13,754.28</w:t>
            </w:r>
          </w:p>
        </w:tc>
      </w:tr>
      <w:tr w:rsidR="00533D32" w:rsidRPr="00BD16B4" w14:paraId="7F87322F" w14:textId="77777777" w:rsidTr="00FA1C32">
        <w:tc>
          <w:tcPr>
            <w:tcW w:w="2034" w:type="dxa"/>
          </w:tcPr>
          <w:p w14:paraId="2906B81F" w14:textId="77777777" w:rsidR="00533D32" w:rsidRPr="00BD16B4" w:rsidRDefault="00533D32" w:rsidP="002D166E">
            <w:pPr>
              <w:pStyle w:val="TableText"/>
              <w:spacing w:before="50" w:after="50"/>
              <w:rPr>
                <w:rFonts w:cs="Calibri"/>
                <w:szCs w:val="18"/>
              </w:rPr>
            </w:pPr>
            <w:r w:rsidRPr="00BD16B4">
              <w:rPr>
                <w:rFonts w:cs="Calibri"/>
                <w:szCs w:val="18"/>
              </w:rPr>
              <w:t>Industry/industrial processes</w:t>
            </w:r>
          </w:p>
        </w:tc>
        <w:tc>
          <w:tcPr>
            <w:tcW w:w="851" w:type="dxa"/>
            <w:shd w:val="clear" w:color="auto" w:fill="auto"/>
          </w:tcPr>
          <w:p w14:paraId="01D2583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3,579.92</w:t>
            </w:r>
          </w:p>
        </w:tc>
        <w:tc>
          <w:tcPr>
            <w:tcW w:w="851" w:type="dxa"/>
            <w:shd w:val="clear" w:color="auto" w:fill="auto"/>
          </w:tcPr>
          <w:p w14:paraId="7D8F702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3,174.43</w:t>
            </w:r>
          </w:p>
        </w:tc>
        <w:tc>
          <w:tcPr>
            <w:tcW w:w="851" w:type="dxa"/>
            <w:shd w:val="clear" w:color="auto" w:fill="auto"/>
          </w:tcPr>
          <w:p w14:paraId="02CF56A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3,443.22</w:t>
            </w:r>
          </w:p>
        </w:tc>
        <w:tc>
          <w:tcPr>
            <w:tcW w:w="851" w:type="dxa"/>
            <w:shd w:val="clear" w:color="auto" w:fill="auto"/>
          </w:tcPr>
          <w:p w14:paraId="673C093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4,061.65</w:t>
            </w:r>
          </w:p>
        </w:tc>
        <w:tc>
          <w:tcPr>
            <w:tcW w:w="851" w:type="dxa"/>
            <w:shd w:val="clear" w:color="auto" w:fill="auto"/>
          </w:tcPr>
          <w:p w14:paraId="053AD7A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4,591.13</w:t>
            </w:r>
          </w:p>
        </w:tc>
        <w:tc>
          <w:tcPr>
            <w:tcW w:w="851" w:type="dxa"/>
            <w:shd w:val="clear" w:color="auto" w:fill="auto"/>
          </w:tcPr>
          <w:p w14:paraId="3D6F190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5,137.32</w:t>
            </w:r>
          </w:p>
        </w:tc>
        <w:tc>
          <w:tcPr>
            <w:tcW w:w="851" w:type="dxa"/>
            <w:shd w:val="clear" w:color="auto" w:fill="auto"/>
          </w:tcPr>
          <w:p w14:paraId="6A1EE2D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4,618.35</w:t>
            </w:r>
          </w:p>
        </w:tc>
        <w:tc>
          <w:tcPr>
            <w:tcW w:w="851" w:type="dxa"/>
            <w:shd w:val="clear" w:color="auto" w:fill="D2DDE1" w:themeFill="background2"/>
          </w:tcPr>
          <w:p w14:paraId="3DF1947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3,940.12</w:t>
            </w:r>
          </w:p>
        </w:tc>
        <w:tc>
          <w:tcPr>
            <w:tcW w:w="851" w:type="dxa"/>
            <w:shd w:val="clear" w:color="auto" w:fill="D2DDE1" w:themeFill="background2"/>
          </w:tcPr>
          <w:p w14:paraId="77D9A02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3,810.65</w:t>
            </w:r>
          </w:p>
        </w:tc>
        <w:tc>
          <w:tcPr>
            <w:tcW w:w="851" w:type="dxa"/>
            <w:shd w:val="clear" w:color="auto" w:fill="D2DDE1" w:themeFill="background2"/>
          </w:tcPr>
          <w:p w14:paraId="72E2BD5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3,475.91</w:t>
            </w:r>
          </w:p>
        </w:tc>
      </w:tr>
      <w:tr w:rsidR="00533D32" w:rsidRPr="00BD16B4" w14:paraId="5BBD6583" w14:textId="77777777" w:rsidTr="00FA1C32">
        <w:tc>
          <w:tcPr>
            <w:tcW w:w="2034" w:type="dxa"/>
          </w:tcPr>
          <w:p w14:paraId="009D2519" w14:textId="77777777" w:rsidR="00533D32" w:rsidRPr="00BD16B4" w:rsidRDefault="00533D32" w:rsidP="002D166E">
            <w:pPr>
              <w:pStyle w:val="TableText"/>
              <w:spacing w:before="50" w:after="50"/>
              <w:rPr>
                <w:rFonts w:cs="Calibri"/>
                <w:szCs w:val="18"/>
              </w:rPr>
            </w:pPr>
            <w:r w:rsidRPr="00BD16B4">
              <w:rPr>
                <w:rFonts w:cs="Calibri"/>
                <w:szCs w:val="18"/>
              </w:rPr>
              <w:t>Agriculture</w:t>
            </w:r>
          </w:p>
        </w:tc>
        <w:tc>
          <w:tcPr>
            <w:tcW w:w="851" w:type="dxa"/>
            <w:shd w:val="clear" w:color="auto" w:fill="auto"/>
          </w:tcPr>
          <w:p w14:paraId="27A4D27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33,792.88</w:t>
            </w:r>
          </w:p>
        </w:tc>
        <w:tc>
          <w:tcPr>
            <w:tcW w:w="851" w:type="dxa"/>
            <w:shd w:val="clear" w:color="auto" w:fill="auto"/>
          </w:tcPr>
          <w:p w14:paraId="792B541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35,734.70</w:t>
            </w:r>
          </w:p>
        </w:tc>
        <w:tc>
          <w:tcPr>
            <w:tcW w:w="851" w:type="dxa"/>
            <w:shd w:val="clear" w:color="auto" w:fill="auto"/>
          </w:tcPr>
          <w:p w14:paraId="0E46879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37,614.88</w:t>
            </w:r>
          </w:p>
        </w:tc>
        <w:tc>
          <w:tcPr>
            <w:tcW w:w="851" w:type="dxa"/>
            <w:shd w:val="clear" w:color="auto" w:fill="auto"/>
          </w:tcPr>
          <w:p w14:paraId="42CC336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39,571.90</w:t>
            </w:r>
          </w:p>
        </w:tc>
        <w:tc>
          <w:tcPr>
            <w:tcW w:w="851" w:type="dxa"/>
            <w:shd w:val="clear" w:color="auto" w:fill="auto"/>
          </w:tcPr>
          <w:p w14:paraId="2EDD9D5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37,711.50</w:t>
            </w:r>
          </w:p>
        </w:tc>
        <w:tc>
          <w:tcPr>
            <w:tcW w:w="851" w:type="dxa"/>
            <w:shd w:val="clear" w:color="auto" w:fill="auto"/>
          </w:tcPr>
          <w:p w14:paraId="06E9C3B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39,415.79</w:t>
            </w:r>
          </w:p>
        </w:tc>
        <w:tc>
          <w:tcPr>
            <w:tcW w:w="851" w:type="dxa"/>
            <w:shd w:val="clear" w:color="auto" w:fill="auto"/>
          </w:tcPr>
          <w:p w14:paraId="5104E97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39,425.54</w:t>
            </w:r>
          </w:p>
        </w:tc>
        <w:tc>
          <w:tcPr>
            <w:tcW w:w="851" w:type="dxa"/>
            <w:shd w:val="clear" w:color="auto" w:fill="D2DDE1" w:themeFill="background2"/>
          </w:tcPr>
          <w:p w14:paraId="447C57D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37,390.57</w:t>
            </w:r>
          </w:p>
        </w:tc>
        <w:tc>
          <w:tcPr>
            <w:tcW w:w="851" w:type="dxa"/>
            <w:shd w:val="clear" w:color="auto" w:fill="D2DDE1" w:themeFill="background2"/>
          </w:tcPr>
          <w:p w14:paraId="71437B8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36,165.29</w:t>
            </w:r>
          </w:p>
        </w:tc>
        <w:tc>
          <w:tcPr>
            <w:tcW w:w="851" w:type="dxa"/>
            <w:shd w:val="clear" w:color="auto" w:fill="D2DDE1" w:themeFill="background2"/>
          </w:tcPr>
          <w:p w14:paraId="44E68D0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35,107.74</w:t>
            </w:r>
          </w:p>
        </w:tc>
      </w:tr>
      <w:tr w:rsidR="00533D32" w:rsidRPr="00BD16B4" w14:paraId="54955253" w14:textId="77777777" w:rsidTr="00FA1C32">
        <w:tc>
          <w:tcPr>
            <w:tcW w:w="2034" w:type="dxa"/>
          </w:tcPr>
          <w:p w14:paraId="0BEC4B3A" w14:textId="77777777" w:rsidR="00533D32" w:rsidRPr="00BD16B4" w:rsidRDefault="00533D32" w:rsidP="002D166E">
            <w:pPr>
              <w:pStyle w:val="TableText"/>
              <w:spacing w:before="50" w:after="50"/>
              <w:rPr>
                <w:rFonts w:cs="Calibri"/>
                <w:szCs w:val="18"/>
              </w:rPr>
            </w:pPr>
            <w:r w:rsidRPr="00BD16B4">
              <w:rPr>
                <w:rFonts w:cs="Calibri"/>
                <w:szCs w:val="18"/>
              </w:rPr>
              <w:t>Forestry/LULUCF</w:t>
            </w:r>
          </w:p>
        </w:tc>
        <w:tc>
          <w:tcPr>
            <w:tcW w:w="851" w:type="dxa"/>
            <w:shd w:val="clear" w:color="auto" w:fill="auto"/>
          </w:tcPr>
          <w:p w14:paraId="030EB47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-21,229.22</w:t>
            </w:r>
          </w:p>
        </w:tc>
        <w:tc>
          <w:tcPr>
            <w:tcW w:w="851" w:type="dxa"/>
            <w:shd w:val="clear" w:color="auto" w:fill="auto"/>
          </w:tcPr>
          <w:p w14:paraId="662EA64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-22,445.90</w:t>
            </w:r>
          </w:p>
        </w:tc>
        <w:tc>
          <w:tcPr>
            <w:tcW w:w="851" w:type="dxa"/>
            <w:shd w:val="clear" w:color="auto" w:fill="auto"/>
          </w:tcPr>
          <w:p w14:paraId="26AECD1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-26,934.90</w:t>
            </w:r>
          </w:p>
        </w:tc>
        <w:tc>
          <w:tcPr>
            <w:tcW w:w="851" w:type="dxa"/>
            <w:shd w:val="clear" w:color="auto" w:fill="auto"/>
          </w:tcPr>
          <w:p w14:paraId="1AFEB22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-25,424.54</w:t>
            </w:r>
          </w:p>
        </w:tc>
        <w:tc>
          <w:tcPr>
            <w:tcW w:w="851" w:type="dxa"/>
            <w:shd w:val="clear" w:color="auto" w:fill="auto"/>
          </w:tcPr>
          <w:p w14:paraId="3805C1A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-29,326.27</w:t>
            </w:r>
          </w:p>
        </w:tc>
        <w:tc>
          <w:tcPr>
            <w:tcW w:w="851" w:type="dxa"/>
            <w:shd w:val="clear" w:color="auto" w:fill="auto"/>
          </w:tcPr>
          <w:p w14:paraId="4FE43AE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-26,610.16</w:t>
            </w:r>
          </w:p>
        </w:tc>
        <w:tc>
          <w:tcPr>
            <w:tcW w:w="851" w:type="dxa"/>
            <w:shd w:val="clear" w:color="auto" w:fill="auto"/>
          </w:tcPr>
          <w:p w14:paraId="01B4921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-23,313.25</w:t>
            </w:r>
          </w:p>
        </w:tc>
        <w:tc>
          <w:tcPr>
            <w:tcW w:w="851" w:type="dxa"/>
            <w:shd w:val="clear" w:color="auto" w:fill="D2DDE1" w:themeFill="background2"/>
          </w:tcPr>
          <w:p w14:paraId="0754BAC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-9,637.74</w:t>
            </w:r>
          </w:p>
        </w:tc>
        <w:tc>
          <w:tcPr>
            <w:tcW w:w="851" w:type="dxa"/>
            <w:shd w:val="clear" w:color="auto" w:fill="D2DDE1" w:themeFill="background2"/>
          </w:tcPr>
          <w:p w14:paraId="588EDA0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-13,427.64</w:t>
            </w:r>
          </w:p>
        </w:tc>
        <w:tc>
          <w:tcPr>
            <w:tcW w:w="851" w:type="dxa"/>
            <w:shd w:val="clear" w:color="auto" w:fill="D2DDE1" w:themeFill="background2"/>
          </w:tcPr>
          <w:p w14:paraId="7B5059E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-28,033.03</w:t>
            </w:r>
          </w:p>
        </w:tc>
      </w:tr>
      <w:tr w:rsidR="00533D32" w:rsidRPr="00BD16B4" w14:paraId="557EB30C" w14:textId="77777777" w:rsidTr="00FA1C32">
        <w:tc>
          <w:tcPr>
            <w:tcW w:w="2034" w:type="dxa"/>
          </w:tcPr>
          <w:p w14:paraId="7F84138A" w14:textId="77777777" w:rsidR="00533D32" w:rsidRPr="00BD16B4" w:rsidRDefault="00533D32" w:rsidP="002D166E">
            <w:pPr>
              <w:pStyle w:val="TableText"/>
              <w:spacing w:before="50" w:after="50"/>
              <w:rPr>
                <w:rFonts w:cs="Calibri"/>
                <w:szCs w:val="18"/>
              </w:rPr>
            </w:pPr>
            <w:r w:rsidRPr="00BD16B4">
              <w:rPr>
                <w:rFonts w:cs="Calibri"/>
                <w:szCs w:val="18"/>
              </w:rPr>
              <w:t>Waste management/waste</w:t>
            </w:r>
          </w:p>
        </w:tc>
        <w:tc>
          <w:tcPr>
            <w:tcW w:w="851" w:type="dxa"/>
            <w:shd w:val="clear" w:color="auto" w:fill="auto"/>
          </w:tcPr>
          <w:p w14:paraId="08EE89B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3,943.11</w:t>
            </w:r>
          </w:p>
        </w:tc>
        <w:tc>
          <w:tcPr>
            <w:tcW w:w="851" w:type="dxa"/>
            <w:shd w:val="clear" w:color="auto" w:fill="auto"/>
          </w:tcPr>
          <w:p w14:paraId="422649F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4,234.51</w:t>
            </w:r>
          </w:p>
        </w:tc>
        <w:tc>
          <w:tcPr>
            <w:tcW w:w="851" w:type="dxa"/>
            <w:shd w:val="clear" w:color="auto" w:fill="auto"/>
          </w:tcPr>
          <w:p w14:paraId="51F02E5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4,434.56</w:t>
            </w:r>
          </w:p>
        </w:tc>
        <w:tc>
          <w:tcPr>
            <w:tcW w:w="851" w:type="dxa"/>
            <w:shd w:val="clear" w:color="auto" w:fill="auto"/>
          </w:tcPr>
          <w:p w14:paraId="062EC6D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4,378.30</w:t>
            </w:r>
          </w:p>
        </w:tc>
        <w:tc>
          <w:tcPr>
            <w:tcW w:w="851" w:type="dxa"/>
            <w:shd w:val="clear" w:color="auto" w:fill="auto"/>
          </w:tcPr>
          <w:p w14:paraId="4B8F6DB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3,871.67</w:t>
            </w:r>
          </w:p>
        </w:tc>
        <w:tc>
          <w:tcPr>
            <w:tcW w:w="851" w:type="dxa"/>
            <w:shd w:val="clear" w:color="auto" w:fill="auto"/>
          </w:tcPr>
          <w:p w14:paraId="5870DB1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3,487.83</w:t>
            </w:r>
          </w:p>
        </w:tc>
        <w:tc>
          <w:tcPr>
            <w:tcW w:w="851" w:type="dxa"/>
            <w:shd w:val="clear" w:color="auto" w:fill="auto"/>
          </w:tcPr>
          <w:p w14:paraId="7C9325B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3,268.87</w:t>
            </w:r>
          </w:p>
        </w:tc>
        <w:tc>
          <w:tcPr>
            <w:tcW w:w="851" w:type="dxa"/>
            <w:shd w:val="clear" w:color="auto" w:fill="D2DDE1" w:themeFill="background2"/>
          </w:tcPr>
          <w:p w14:paraId="341A446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3,137.78</w:t>
            </w:r>
          </w:p>
        </w:tc>
        <w:tc>
          <w:tcPr>
            <w:tcW w:w="851" w:type="dxa"/>
            <w:shd w:val="clear" w:color="auto" w:fill="D2DDE1" w:themeFill="background2"/>
          </w:tcPr>
          <w:p w14:paraId="6EBE1CE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2,840.35</w:t>
            </w:r>
          </w:p>
        </w:tc>
        <w:tc>
          <w:tcPr>
            <w:tcW w:w="851" w:type="dxa"/>
            <w:shd w:val="clear" w:color="auto" w:fill="D2DDE1" w:themeFill="background2"/>
          </w:tcPr>
          <w:p w14:paraId="0E6861D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2,661.09</w:t>
            </w:r>
          </w:p>
        </w:tc>
      </w:tr>
      <w:tr w:rsidR="00533D32" w:rsidRPr="00BD16B4" w14:paraId="77BB10A5" w14:textId="77777777" w:rsidTr="00FA1C32">
        <w:tc>
          <w:tcPr>
            <w:tcW w:w="2034" w:type="dxa"/>
          </w:tcPr>
          <w:p w14:paraId="78A7BECE" w14:textId="77777777" w:rsidR="00533D32" w:rsidRPr="00BD16B4" w:rsidRDefault="00533D32" w:rsidP="002D166E">
            <w:pPr>
              <w:pStyle w:val="TableText"/>
              <w:spacing w:before="50" w:after="50"/>
              <w:rPr>
                <w:rFonts w:cs="Calibri"/>
                <w:szCs w:val="18"/>
              </w:rPr>
            </w:pPr>
            <w:r w:rsidRPr="00BD16B4">
              <w:rPr>
                <w:rFonts w:cs="Calibri"/>
                <w:szCs w:val="18"/>
              </w:rPr>
              <w:t>Tokelau (Other)</w:t>
            </w:r>
          </w:p>
        </w:tc>
        <w:tc>
          <w:tcPr>
            <w:tcW w:w="851" w:type="dxa"/>
            <w:shd w:val="clear" w:color="auto" w:fill="auto"/>
          </w:tcPr>
          <w:p w14:paraId="564FD0C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3.17</w:t>
            </w:r>
          </w:p>
        </w:tc>
        <w:tc>
          <w:tcPr>
            <w:tcW w:w="851" w:type="dxa"/>
            <w:shd w:val="clear" w:color="auto" w:fill="auto"/>
          </w:tcPr>
          <w:p w14:paraId="4F0A654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3.14</w:t>
            </w:r>
          </w:p>
        </w:tc>
        <w:tc>
          <w:tcPr>
            <w:tcW w:w="851" w:type="dxa"/>
            <w:shd w:val="clear" w:color="auto" w:fill="auto"/>
          </w:tcPr>
          <w:p w14:paraId="5CDCF51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3.49</w:t>
            </w:r>
          </w:p>
        </w:tc>
        <w:tc>
          <w:tcPr>
            <w:tcW w:w="851" w:type="dxa"/>
            <w:shd w:val="clear" w:color="auto" w:fill="auto"/>
          </w:tcPr>
          <w:p w14:paraId="23B457F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4.49</w:t>
            </w:r>
          </w:p>
        </w:tc>
        <w:tc>
          <w:tcPr>
            <w:tcW w:w="851" w:type="dxa"/>
            <w:shd w:val="clear" w:color="auto" w:fill="auto"/>
          </w:tcPr>
          <w:p w14:paraId="589E7C6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4.52</w:t>
            </w:r>
          </w:p>
        </w:tc>
        <w:tc>
          <w:tcPr>
            <w:tcW w:w="851" w:type="dxa"/>
            <w:shd w:val="clear" w:color="auto" w:fill="auto"/>
          </w:tcPr>
          <w:p w14:paraId="53189DE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3.42</w:t>
            </w:r>
          </w:p>
        </w:tc>
        <w:tc>
          <w:tcPr>
            <w:tcW w:w="851" w:type="dxa"/>
            <w:shd w:val="clear" w:color="auto" w:fill="auto"/>
          </w:tcPr>
          <w:p w14:paraId="726E1F6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4.18</w:t>
            </w:r>
          </w:p>
        </w:tc>
        <w:tc>
          <w:tcPr>
            <w:tcW w:w="851" w:type="dxa"/>
            <w:shd w:val="clear" w:color="auto" w:fill="D2DDE1" w:themeFill="background2"/>
          </w:tcPr>
          <w:p w14:paraId="05B86C2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3.56</w:t>
            </w:r>
          </w:p>
        </w:tc>
        <w:tc>
          <w:tcPr>
            <w:tcW w:w="851" w:type="dxa"/>
            <w:shd w:val="clear" w:color="auto" w:fill="D2DDE1" w:themeFill="background2"/>
          </w:tcPr>
          <w:p w14:paraId="0F198F4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3.51</w:t>
            </w:r>
          </w:p>
        </w:tc>
        <w:tc>
          <w:tcPr>
            <w:tcW w:w="851" w:type="dxa"/>
            <w:shd w:val="clear" w:color="auto" w:fill="D2DDE1" w:themeFill="background2"/>
          </w:tcPr>
          <w:p w14:paraId="629B37D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3.46</w:t>
            </w:r>
          </w:p>
        </w:tc>
      </w:tr>
      <w:tr w:rsidR="00533D32" w:rsidRPr="00BD16B4" w14:paraId="4409031C" w14:textId="77777777" w:rsidTr="00FA1C32">
        <w:tc>
          <w:tcPr>
            <w:tcW w:w="2034" w:type="dxa"/>
          </w:tcPr>
          <w:p w14:paraId="5E7A7157" w14:textId="77777777" w:rsidR="00533D32" w:rsidRPr="00BD16B4" w:rsidRDefault="00533D32" w:rsidP="002D166E">
            <w:pPr>
              <w:pStyle w:val="TableText"/>
              <w:spacing w:before="50" w:after="50"/>
              <w:rPr>
                <w:rFonts w:cs="Calibri"/>
                <w:b/>
                <w:bCs/>
                <w:szCs w:val="18"/>
              </w:rPr>
            </w:pPr>
            <w:r w:rsidRPr="00BD16B4">
              <w:rPr>
                <w:rFonts w:cs="Calibri"/>
                <w:b/>
                <w:bCs/>
                <w:szCs w:val="18"/>
              </w:rPr>
              <w:t xml:space="preserve">Gas </w:t>
            </w:r>
          </w:p>
        </w:tc>
        <w:tc>
          <w:tcPr>
            <w:tcW w:w="851" w:type="dxa"/>
            <w:shd w:val="clear" w:color="auto" w:fill="auto"/>
          </w:tcPr>
          <w:p w14:paraId="1A5B09EC"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31986B1E"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3F522335"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4D1D82C4"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002E833B"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136D22BD"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5CDA57E5" w14:textId="77777777" w:rsidR="00533D32" w:rsidRPr="00BD16B4" w:rsidRDefault="00533D32" w:rsidP="002D166E">
            <w:pPr>
              <w:pStyle w:val="TableText"/>
              <w:spacing w:before="50" w:after="50"/>
              <w:jc w:val="center"/>
              <w:rPr>
                <w:rFonts w:cs="Calibri"/>
                <w:szCs w:val="18"/>
              </w:rPr>
            </w:pPr>
          </w:p>
        </w:tc>
        <w:tc>
          <w:tcPr>
            <w:tcW w:w="851" w:type="dxa"/>
            <w:shd w:val="clear" w:color="auto" w:fill="D2DDE1" w:themeFill="background2"/>
          </w:tcPr>
          <w:p w14:paraId="3F6ACCFB" w14:textId="77777777" w:rsidR="00533D32" w:rsidRPr="00BD16B4" w:rsidRDefault="00533D32" w:rsidP="002D166E">
            <w:pPr>
              <w:pStyle w:val="TableText"/>
              <w:spacing w:before="50" w:after="50"/>
              <w:jc w:val="center"/>
              <w:rPr>
                <w:rFonts w:cs="Calibri"/>
                <w:szCs w:val="18"/>
              </w:rPr>
            </w:pPr>
          </w:p>
        </w:tc>
        <w:tc>
          <w:tcPr>
            <w:tcW w:w="851" w:type="dxa"/>
            <w:shd w:val="clear" w:color="auto" w:fill="D2DDE1" w:themeFill="background2"/>
          </w:tcPr>
          <w:p w14:paraId="7F468E99" w14:textId="77777777" w:rsidR="00533D32" w:rsidRPr="00BD16B4" w:rsidRDefault="00533D32" w:rsidP="002D166E">
            <w:pPr>
              <w:pStyle w:val="TableText"/>
              <w:spacing w:before="50" w:after="50"/>
              <w:jc w:val="center"/>
              <w:rPr>
                <w:rFonts w:cs="Calibri"/>
                <w:szCs w:val="18"/>
              </w:rPr>
            </w:pPr>
          </w:p>
        </w:tc>
        <w:tc>
          <w:tcPr>
            <w:tcW w:w="851" w:type="dxa"/>
            <w:shd w:val="clear" w:color="auto" w:fill="D2DDE1" w:themeFill="background2"/>
          </w:tcPr>
          <w:p w14:paraId="50D9867B" w14:textId="77777777" w:rsidR="00533D32" w:rsidRPr="00BD16B4" w:rsidRDefault="00533D32" w:rsidP="002D166E">
            <w:pPr>
              <w:pStyle w:val="TableText"/>
              <w:spacing w:before="50" w:after="50"/>
              <w:jc w:val="center"/>
              <w:rPr>
                <w:rFonts w:cs="Calibri"/>
                <w:szCs w:val="18"/>
              </w:rPr>
            </w:pPr>
          </w:p>
        </w:tc>
      </w:tr>
      <w:tr w:rsidR="00533D32" w:rsidRPr="00BD16B4" w14:paraId="0432E7F7" w14:textId="77777777" w:rsidTr="00FA1C32">
        <w:tc>
          <w:tcPr>
            <w:tcW w:w="2034" w:type="dxa"/>
          </w:tcPr>
          <w:p w14:paraId="28C92EA0" w14:textId="77777777" w:rsidR="00533D32" w:rsidRPr="00BD16B4" w:rsidRDefault="00533D32" w:rsidP="002D166E">
            <w:pPr>
              <w:pStyle w:val="TableText"/>
              <w:spacing w:before="50" w:after="50"/>
              <w:rPr>
                <w:rFonts w:cs="Calibri"/>
                <w:szCs w:val="18"/>
              </w:rPr>
            </w:pPr>
            <w:r w:rsidRPr="00BD16B4">
              <w:rPr>
                <w:rFonts w:cs="Calibri"/>
                <w:szCs w:val="18"/>
              </w:rPr>
              <w:t>CO</w:t>
            </w:r>
            <w:r w:rsidRPr="00BD16B4">
              <w:rPr>
                <w:rFonts w:cs="Calibri"/>
                <w:szCs w:val="18"/>
                <w:vertAlign w:val="subscript"/>
              </w:rPr>
              <w:t>2</w:t>
            </w:r>
            <w:r w:rsidRPr="00BD16B4">
              <w:rPr>
                <w:rFonts w:cs="Calibri"/>
                <w:szCs w:val="18"/>
              </w:rPr>
              <w:t xml:space="preserve"> emissions including net CO</w:t>
            </w:r>
            <w:r w:rsidRPr="00BD16B4">
              <w:rPr>
                <w:rFonts w:cs="Calibri"/>
                <w:szCs w:val="18"/>
                <w:vertAlign w:val="subscript"/>
              </w:rPr>
              <w:t>2</w:t>
            </w:r>
            <w:r w:rsidRPr="00BD16B4">
              <w:rPr>
                <w:rFonts w:cs="Calibri"/>
                <w:szCs w:val="18"/>
              </w:rPr>
              <w:t xml:space="preserve"> from LULUCF</w:t>
            </w:r>
          </w:p>
        </w:tc>
        <w:tc>
          <w:tcPr>
            <w:tcW w:w="851" w:type="dxa"/>
            <w:shd w:val="clear" w:color="auto" w:fill="auto"/>
          </w:tcPr>
          <w:p w14:paraId="490E87B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3,878.45</w:t>
            </w:r>
          </w:p>
        </w:tc>
        <w:tc>
          <w:tcPr>
            <w:tcW w:w="851" w:type="dxa"/>
            <w:shd w:val="clear" w:color="auto" w:fill="auto"/>
          </w:tcPr>
          <w:p w14:paraId="4D795E4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5,102.66</w:t>
            </w:r>
          </w:p>
        </w:tc>
        <w:tc>
          <w:tcPr>
            <w:tcW w:w="851" w:type="dxa"/>
            <w:shd w:val="clear" w:color="auto" w:fill="auto"/>
          </w:tcPr>
          <w:p w14:paraId="4422D21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4,831.02</w:t>
            </w:r>
          </w:p>
        </w:tc>
        <w:tc>
          <w:tcPr>
            <w:tcW w:w="851" w:type="dxa"/>
            <w:shd w:val="clear" w:color="auto" w:fill="auto"/>
          </w:tcPr>
          <w:p w14:paraId="06E27F5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11,490.90</w:t>
            </w:r>
          </w:p>
        </w:tc>
        <w:tc>
          <w:tcPr>
            <w:tcW w:w="851" w:type="dxa"/>
            <w:shd w:val="clear" w:color="auto" w:fill="auto"/>
          </w:tcPr>
          <w:p w14:paraId="3A3C154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5,035.98</w:t>
            </w:r>
          </w:p>
        </w:tc>
        <w:tc>
          <w:tcPr>
            <w:tcW w:w="851" w:type="dxa"/>
            <w:shd w:val="clear" w:color="auto" w:fill="auto"/>
          </w:tcPr>
          <w:p w14:paraId="2E093B7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8,826.78</w:t>
            </w:r>
          </w:p>
        </w:tc>
        <w:tc>
          <w:tcPr>
            <w:tcW w:w="851" w:type="dxa"/>
            <w:shd w:val="clear" w:color="auto" w:fill="auto"/>
          </w:tcPr>
          <w:p w14:paraId="333BACB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10,790.52</w:t>
            </w:r>
          </w:p>
        </w:tc>
        <w:tc>
          <w:tcPr>
            <w:tcW w:w="851" w:type="dxa"/>
            <w:shd w:val="clear" w:color="auto" w:fill="D2DDE1" w:themeFill="background2"/>
          </w:tcPr>
          <w:p w14:paraId="135E73F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21,294.87</w:t>
            </w:r>
          </w:p>
        </w:tc>
        <w:tc>
          <w:tcPr>
            <w:tcW w:w="851" w:type="dxa"/>
            <w:shd w:val="clear" w:color="auto" w:fill="D2DDE1" w:themeFill="background2"/>
          </w:tcPr>
          <w:p w14:paraId="299402D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14,924.93</w:t>
            </w:r>
          </w:p>
        </w:tc>
        <w:tc>
          <w:tcPr>
            <w:tcW w:w="851" w:type="dxa"/>
            <w:shd w:val="clear" w:color="auto" w:fill="D2DDE1" w:themeFill="background2"/>
          </w:tcPr>
          <w:p w14:paraId="2E3D6405"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-1,593.83</w:t>
            </w:r>
          </w:p>
        </w:tc>
      </w:tr>
      <w:tr w:rsidR="00533D32" w:rsidRPr="00BD16B4" w14:paraId="49957514" w14:textId="77777777" w:rsidTr="00FA1C32">
        <w:tc>
          <w:tcPr>
            <w:tcW w:w="2034" w:type="dxa"/>
          </w:tcPr>
          <w:p w14:paraId="2FF9A188" w14:textId="77777777" w:rsidR="00533D32" w:rsidRPr="00BD16B4" w:rsidRDefault="00533D32" w:rsidP="002D166E">
            <w:pPr>
              <w:pStyle w:val="TableText"/>
              <w:spacing w:before="50" w:after="50"/>
              <w:rPr>
                <w:rFonts w:cs="Calibri"/>
                <w:szCs w:val="18"/>
              </w:rPr>
            </w:pPr>
            <w:r w:rsidRPr="00BD16B4">
              <w:rPr>
                <w:rFonts w:cs="Calibri"/>
                <w:szCs w:val="18"/>
              </w:rPr>
              <w:t>CO</w:t>
            </w:r>
            <w:r w:rsidRPr="00BD16B4">
              <w:rPr>
                <w:rFonts w:cs="Calibri"/>
                <w:szCs w:val="18"/>
                <w:vertAlign w:val="subscript"/>
              </w:rPr>
              <w:t>2</w:t>
            </w:r>
            <w:r w:rsidRPr="00BD16B4">
              <w:rPr>
                <w:rFonts w:cs="Calibri"/>
                <w:szCs w:val="18"/>
              </w:rPr>
              <w:t xml:space="preserve"> emissions excluding net CO</w:t>
            </w:r>
            <w:r w:rsidRPr="00BD16B4">
              <w:rPr>
                <w:rFonts w:cs="Calibri"/>
                <w:szCs w:val="18"/>
                <w:vertAlign w:val="subscript"/>
              </w:rPr>
              <w:t>2</w:t>
            </w:r>
            <w:r w:rsidRPr="00BD16B4">
              <w:rPr>
                <w:rFonts w:cs="Calibri"/>
                <w:szCs w:val="18"/>
              </w:rPr>
              <w:t xml:space="preserve"> from LULUCF</w:t>
            </w:r>
          </w:p>
        </w:tc>
        <w:tc>
          <w:tcPr>
            <w:tcW w:w="851" w:type="dxa"/>
            <w:shd w:val="clear" w:color="auto" w:fill="auto"/>
          </w:tcPr>
          <w:p w14:paraId="16B6BE1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25,502.51</w:t>
            </w:r>
          </w:p>
        </w:tc>
        <w:tc>
          <w:tcPr>
            <w:tcW w:w="851" w:type="dxa"/>
            <w:shd w:val="clear" w:color="auto" w:fill="auto"/>
          </w:tcPr>
          <w:p w14:paraId="7BA7507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28,003.49</w:t>
            </w:r>
          </w:p>
        </w:tc>
        <w:tc>
          <w:tcPr>
            <w:tcW w:w="851" w:type="dxa"/>
            <w:shd w:val="clear" w:color="auto" w:fill="auto"/>
          </w:tcPr>
          <w:p w14:paraId="5CC6FCC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32,246.01</w:t>
            </w:r>
          </w:p>
        </w:tc>
        <w:tc>
          <w:tcPr>
            <w:tcW w:w="851" w:type="dxa"/>
            <w:shd w:val="clear" w:color="auto" w:fill="auto"/>
          </w:tcPr>
          <w:p w14:paraId="58DD7CB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37,424.07</w:t>
            </w:r>
          </w:p>
        </w:tc>
        <w:tc>
          <w:tcPr>
            <w:tcW w:w="851" w:type="dxa"/>
            <w:shd w:val="clear" w:color="auto" w:fill="auto"/>
          </w:tcPr>
          <w:p w14:paraId="440691C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34,811.08</w:t>
            </w:r>
          </w:p>
        </w:tc>
        <w:tc>
          <w:tcPr>
            <w:tcW w:w="851" w:type="dxa"/>
            <w:shd w:val="clear" w:color="auto" w:fill="auto"/>
          </w:tcPr>
          <w:p w14:paraId="4B1397E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35,813.11</w:t>
            </w:r>
          </w:p>
        </w:tc>
        <w:tc>
          <w:tcPr>
            <w:tcW w:w="851" w:type="dxa"/>
            <w:shd w:val="clear" w:color="auto" w:fill="auto"/>
          </w:tcPr>
          <w:p w14:paraId="49B812A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34,456.75</w:t>
            </w:r>
          </w:p>
        </w:tc>
        <w:tc>
          <w:tcPr>
            <w:tcW w:w="851" w:type="dxa"/>
            <w:shd w:val="clear" w:color="auto" w:fill="D2DDE1" w:themeFill="background2"/>
          </w:tcPr>
          <w:p w14:paraId="35B042F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31,282.87</w:t>
            </w:r>
          </w:p>
        </w:tc>
        <w:tc>
          <w:tcPr>
            <w:tcW w:w="851" w:type="dxa"/>
            <w:shd w:val="clear" w:color="auto" w:fill="D2DDE1" w:themeFill="background2"/>
          </w:tcPr>
          <w:p w14:paraId="4605132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28,702.83</w:t>
            </w:r>
          </w:p>
        </w:tc>
        <w:tc>
          <w:tcPr>
            <w:tcW w:w="851" w:type="dxa"/>
            <w:shd w:val="clear" w:color="auto" w:fill="D2DDE1" w:themeFill="background2"/>
          </w:tcPr>
          <w:p w14:paraId="4BBDC0A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26,789.45</w:t>
            </w:r>
          </w:p>
        </w:tc>
      </w:tr>
      <w:tr w:rsidR="00533D32" w:rsidRPr="00BD16B4" w14:paraId="40324EC7" w14:textId="77777777" w:rsidTr="00FA1C32">
        <w:tc>
          <w:tcPr>
            <w:tcW w:w="2034" w:type="dxa"/>
          </w:tcPr>
          <w:p w14:paraId="05B95E01" w14:textId="77777777" w:rsidR="00533D32" w:rsidRPr="00BD16B4" w:rsidRDefault="00533D32" w:rsidP="002D166E">
            <w:pPr>
              <w:pStyle w:val="TableText"/>
              <w:spacing w:before="50" w:after="50"/>
              <w:rPr>
                <w:rFonts w:cs="Calibri"/>
                <w:szCs w:val="18"/>
              </w:rPr>
            </w:pPr>
            <w:r w:rsidRPr="00BD16B4">
              <w:rPr>
                <w:rFonts w:cs="Calibri"/>
                <w:szCs w:val="18"/>
              </w:rPr>
              <w:t>CH</w:t>
            </w:r>
            <w:r w:rsidRPr="00BD16B4">
              <w:rPr>
                <w:rFonts w:cs="Calibri"/>
                <w:szCs w:val="18"/>
                <w:vertAlign w:val="subscript"/>
              </w:rPr>
              <w:t>4</w:t>
            </w:r>
            <w:r w:rsidRPr="00BD16B4">
              <w:rPr>
                <w:rFonts w:cs="Calibri"/>
                <w:szCs w:val="18"/>
              </w:rPr>
              <w:t xml:space="preserve"> emissions including CH</w:t>
            </w:r>
            <w:r w:rsidRPr="00BD16B4">
              <w:rPr>
                <w:rFonts w:cs="Calibri"/>
                <w:szCs w:val="18"/>
                <w:vertAlign w:val="subscript"/>
              </w:rPr>
              <w:t>4</w:t>
            </w:r>
            <w:r w:rsidRPr="00BD16B4">
              <w:rPr>
                <w:rFonts w:cs="Calibri"/>
                <w:szCs w:val="18"/>
              </w:rPr>
              <w:t xml:space="preserve"> from LULUCF</w:t>
            </w:r>
          </w:p>
        </w:tc>
        <w:tc>
          <w:tcPr>
            <w:tcW w:w="851" w:type="dxa"/>
            <w:shd w:val="clear" w:color="auto" w:fill="auto"/>
          </w:tcPr>
          <w:p w14:paraId="335808C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33,041.22</w:t>
            </w:r>
          </w:p>
        </w:tc>
        <w:tc>
          <w:tcPr>
            <w:tcW w:w="851" w:type="dxa"/>
            <w:shd w:val="clear" w:color="auto" w:fill="auto"/>
          </w:tcPr>
          <w:p w14:paraId="5354BD6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34,314.43</w:t>
            </w:r>
          </w:p>
        </w:tc>
        <w:tc>
          <w:tcPr>
            <w:tcW w:w="851" w:type="dxa"/>
            <w:shd w:val="clear" w:color="auto" w:fill="auto"/>
          </w:tcPr>
          <w:p w14:paraId="74F260A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36,021.62</w:t>
            </w:r>
          </w:p>
        </w:tc>
        <w:tc>
          <w:tcPr>
            <w:tcW w:w="851" w:type="dxa"/>
            <w:shd w:val="clear" w:color="auto" w:fill="auto"/>
          </w:tcPr>
          <w:p w14:paraId="11737AE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36,633.80</w:t>
            </w:r>
          </w:p>
        </w:tc>
        <w:tc>
          <w:tcPr>
            <w:tcW w:w="851" w:type="dxa"/>
            <w:shd w:val="clear" w:color="auto" w:fill="auto"/>
          </w:tcPr>
          <w:p w14:paraId="163FCB3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34,856.74</w:t>
            </w:r>
          </w:p>
        </w:tc>
        <w:tc>
          <w:tcPr>
            <w:tcW w:w="851" w:type="dxa"/>
            <w:shd w:val="clear" w:color="auto" w:fill="auto"/>
          </w:tcPr>
          <w:p w14:paraId="2863ACC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35,066.39</w:t>
            </w:r>
          </w:p>
        </w:tc>
        <w:tc>
          <w:tcPr>
            <w:tcW w:w="851" w:type="dxa"/>
            <w:shd w:val="clear" w:color="auto" w:fill="auto"/>
          </w:tcPr>
          <w:p w14:paraId="12E8708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34,354.60</w:t>
            </w:r>
          </w:p>
        </w:tc>
        <w:tc>
          <w:tcPr>
            <w:tcW w:w="851" w:type="dxa"/>
            <w:shd w:val="clear" w:color="auto" w:fill="D2DDE1" w:themeFill="background2"/>
          </w:tcPr>
          <w:p w14:paraId="7A31351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32,620.78</w:t>
            </w:r>
          </w:p>
        </w:tc>
        <w:tc>
          <w:tcPr>
            <w:tcW w:w="851" w:type="dxa"/>
            <w:shd w:val="clear" w:color="auto" w:fill="D2DDE1" w:themeFill="background2"/>
          </w:tcPr>
          <w:p w14:paraId="4CCEBBF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31,319.35</w:t>
            </w:r>
          </w:p>
        </w:tc>
        <w:tc>
          <w:tcPr>
            <w:tcW w:w="851" w:type="dxa"/>
            <w:shd w:val="clear" w:color="auto" w:fill="D2DDE1" w:themeFill="background2"/>
          </w:tcPr>
          <w:p w14:paraId="320D383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30,330.58</w:t>
            </w:r>
          </w:p>
        </w:tc>
      </w:tr>
      <w:tr w:rsidR="00533D32" w:rsidRPr="00BD16B4" w14:paraId="2F2395EE" w14:textId="77777777" w:rsidTr="00FA1C32">
        <w:tc>
          <w:tcPr>
            <w:tcW w:w="2034" w:type="dxa"/>
          </w:tcPr>
          <w:p w14:paraId="6504F5FE" w14:textId="77777777" w:rsidR="00533D32" w:rsidRPr="00BD16B4" w:rsidRDefault="00533D32" w:rsidP="002D166E">
            <w:pPr>
              <w:pStyle w:val="TableText"/>
              <w:spacing w:before="50" w:after="50"/>
              <w:rPr>
                <w:rFonts w:cs="Calibri"/>
                <w:szCs w:val="18"/>
              </w:rPr>
            </w:pPr>
            <w:r w:rsidRPr="00BD16B4">
              <w:rPr>
                <w:rFonts w:cs="Calibri"/>
                <w:szCs w:val="18"/>
              </w:rPr>
              <w:t>CH</w:t>
            </w:r>
            <w:r w:rsidRPr="00BD16B4">
              <w:rPr>
                <w:rFonts w:cs="Calibri"/>
                <w:szCs w:val="18"/>
                <w:vertAlign w:val="subscript"/>
              </w:rPr>
              <w:t>4</w:t>
            </w:r>
            <w:r w:rsidRPr="00BD16B4">
              <w:rPr>
                <w:rFonts w:cs="Calibri"/>
                <w:szCs w:val="18"/>
              </w:rPr>
              <w:t xml:space="preserve"> emissions excluding CH</w:t>
            </w:r>
            <w:r w:rsidRPr="00BD16B4">
              <w:rPr>
                <w:rFonts w:cs="Calibri"/>
                <w:szCs w:val="18"/>
                <w:vertAlign w:val="subscript"/>
              </w:rPr>
              <w:t>4</w:t>
            </w:r>
            <w:r w:rsidRPr="00BD16B4">
              <w:rPr>
                <w:rFonts w:cs="Calibri"/>
                <w:szCs w:val="18"/>
              </w:rPr>
              <w:t xml:space="preserve"> from LULUCF</w:t>
            </w:r>
          </w:p>
        </w:tc>
        <w:tc>
          <w:tcPr>
            <w:tcW w:w="851" w:type="dxa"/>
            <w:shd w:val="clear" w:color="auto" w:fill="auto"/>
          </w:tcPr>
          <w:p w14:paraId="0A5DF8F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32,972.51</w:t>
            </w:r>
          </w:p>
        </w:tc>
        <w:tc>
          <w:tcPr>
            <w:tcW w:w="851" w:type="dxa"/>
            <w:shd w:val="clear" w:color="auto" w:fill="auto"/>
          </w:tcPr>
          <w:p w14:paraId="5225514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34,237.19</w:t>
            </w:r>
          </w:p>
        </w:tc>
        <w:tc>
          <w:tcPr>
            <w:tcW w:w="851" w:type="dxa"/>
            <w:shd w:val="clear" w:color="auto" w:fill="auto"/>
          </w:tcPr>
          <w:p w14:paraId="7CAC156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35,951.60</w:t>
            </w:r>
          </w:p>
        </w:tc>
        <w:tc>
          <w:tcPr>
            <w:tcW w:w="851" w:type="dxa"/>
            <w:shd w:val="clear" w:color="auto" w:fill="auto"/>
          </w:tcPr>
          <w:p w14:paraId="70BE70A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36,522.93</w:t>
            </w:r>
          </w:p>
        </w:tc>
        <w:tc>
          <w:tcPr>
            <w:tcW w:w="851" w:type="dxa"/>
            <w:shd w:val="clear" w:color="auto" w:fill="auto"/>
          </w:tcPr>
          <w:p w14:paraId="54F58FB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34,764.35</w:t>
            </w:r>
          </w:p>
        </w:tc>
        <w:tc>
          <w:tcPr>
            <w:tcW w:w="851" w:type="dxa"/>
            <w:shd w:val="clear" w:color="auto" w:fill="auto"/>
          </w:tcPr>
          <w:p w14:paraId="6B97247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34,989.09</w:t>
            </w:r>
          </w:p>
        </w:tc>
        <w:tc>
          <w:tcPr>
            <w:tcW w:w="851" w:type="dxa"/>
            <w:shd w:val="clear" w:color="auto" w:fill="auto"/>
          </w:tcPr>
          <w:p w14:paraId="205FB46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34,272.94</w:t>
            </w:r>
          </w:p>
        </w:tc>
        <w:tc>
          <w:tcPr>
            <w:tcW w:w="851" w:type="dxa"/>
            <w:shd w:val="clear" w:color="auto" w:fill="D2DDE1" w:themeFill="background2"/>
          </w:tcPr>
          <w:p w14:paraId="12991AA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32,534.48</w:t>
            </w:r>
          </w:p>
        </w:tc>
        <w:tc>
          <w:tcPr>
            <w:tcW w:w="851" w:type="dxa"/>
            <w:shd w:val="clear" w:color="auto" w:fill="D2DDE1" w:themeFill="background2"/>
          </w:tcPr>
          <w:p w14:paraId="16A051D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31,233.05</w:t>
            </w:r>
          </w:p>
        </w:tc>
        <w:tc>
          <w:tcPr>
            <w:tcW w:w="851" w:type="dxa"/>
            <w:shd w:val="clear" w:color="auto" w:fill="D2DDE1" w:themeFill="background2"/>
          </w:tcPr>
          <w:p w14:paraId="1F70381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30,244.28</w:t>
            </w:r>
          </w:p>
        </w:tc>
      </w:tr>
      <w:tr w:rsidR="00533D32" w:rsidRPr="00BD16B4" w14:paraId="752DFB3C" w14:textId="77777777" w:rsidTr="00FA1C32">
        <w:tc>
          <w:tcPr>
            <w:tcW w:w="2034" w:type="dxa"/>
          </w:tcPr>
          <w:p w14:paraId="033B9651" w14:textId="77777777" w:rsidR="00533D32" w:rsidRPr="00BD16B4" w:rsidRDefault="00533D32" w:rsidP="002D166E">
            <w:pPr>
              <w:pStyle w:val="TableText"/>
              <w:spacing w:before="50" w:after="50"/>
              <w:rPr>
                <w:rFonts w:cs="Calibri"/>
                <w:szCs w:val="18"/>
              </w:rPr>
            </w:pPr>
            <w:r w:rsidRPr="00BD16B4">
              <w:rPr>
                <w:rFonts w:cs="Calibri"/>
                <w:szCs w:val="18"/>
              </w:rPr>
              <w:t>N</w:t>
            </w:r>
            <w:r w:rsidRPr="00BD16B4">
              <w:rPr>
                <w:rFonts w:cs="Calibri"/>
                <w:szCs w:val="18"/>
                <w:vertAlign w:val="subscript"/>
              </w:rPr>
              <w:t>2</w:t>
            </w:r>
            <w:r w:rsidRPr="00BD16B4">
              <w:rPr>
                <w:rFonts w:cs="Calibri"/>
                <w:szCs w:val="18"/>
              </w:rPr>
              <w:t>O emissions including N</w:t>
            </w:r>
            <w:r w:rsidRPr="00BD16B4">
              <w:rPr>
                <w:rFonts w:cs="Calibri"/>
                <w:szCs w:val="18"/>
                <w:vertAlign w:val="subscript"/>
              </w:rPr>
              <w:t>2</w:t>
            </w:r>
            <w:r w:rsidRPr="00BD16B4">
              <w:rPr>
                <w:rFonts w:cs="Calibri"/>
                <w:szCs w:val="18"/>
              </w:rPr>
              <w:t>O from LULUCF</w:t>
            </w:r>
          </w:p>
        </w:tc>
        <w:tc>
          <w:tcPr>
            <w:tcW w:w="851" w:type="dxa"/>
            <w:shd w:val="clear" w:color="auto" w:fill="auto"/>
          </w:tcPr>
          <w:p w14:paraId="2002668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6,118.17</w:t>
            </w:r>
          </w:p>
        </w:tc>
        <w:tc>
          <w:tcPr>
            <w:tcW w:w="851" w:type="dxa"/>
            <w:shd w:val="clear" w:color="auto" w:fill="auto"/>
          </w:tcPr>
          <w:p w14:paraId="1723753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6,947.71</w:t>
            </w:r>
          </w:p>
        </w:tc>
        <w:tc>
          <w:tcPr>
            <w:tcW w:w="851" w:type="dxa"/>
            <w:shd w:val="clear" w:color="auto" w:fill="auto"/>
          </w:tcPr>
          <w:p w14:paraId="46540C8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7,406.82</w:t>
            </w:r>
          </w:p>
        </w:tc>
        <w:tc>
          <w:tcPr>
            <w:tcW w:w="851" w:type="dxa"/>
            <w:shd w:val="clear" w:color="auto" w:fill="auto"/>
          </w:tcPr>
          <w:p w14:paraId="2172741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8,328.06</w:t>
            </w:r>
          </w:p>
        </w:tc>
        <w:tc>
          <w:tcPr>
            <w:tcW w:w="851" w:type="dxa"/>
            <w:shd w:val="clear" w:color="auto" w:fill="auto"/>
          </w:tcPr>
          <w:p w14:paraId="3EDB407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8,036.12</w:t>
            </w:r>
          </w:p>
        </w:tc>
        <w:tc>
          <w:tcPr>
            <w:tcW w:w="851" w:type="dxa"/>
            <w:shd w:val="clear" w:color="auto" w:fill="auto"/>
          </w:tcPr>
          <w:p w14:paraId="7C43CC1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8,485.51</w:t>
            </w:r>
          </w:p>
        </w:tc>
        <w:tc>
          <w:tcPr>
            <w:tcW w:w="851" w:type="dxa"/>
            <w:shd w:val="clear" w:color="auto" w:fill="auto"/>
          </w:tcPr>
          <w:p w14:paraId="4FFAAD6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8,735.10</w:t>
            </w:r>
          </w:p>
        </w:tc>
        <w:tc>
          <w:tcPr>
            <w:tcW w:w="851" w:type="dxa"/>
            <w:shd w:val="clear" w:color="auto" w:fill="D2DDE1" w:themeFill="background2"/>
          </w:tcPr>
          <w:p w14:paraId="5EDA66A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8,376.34</w:t>
            </w:r>
          </w:p>
        </w:tc>
        <w:tc>
          <w:tcPr>
            <w:tcW w:w="851" w:type="dxa"/>
            <w:shd w:val="clear" w:color="auto" w:fill="D2DDE1" w:themeFill="background2"/>
          </w:tcPr>
          <w:p w14:paraId="7BA0537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8,154.69</w:t>
            </w:r>
          </w:p>
        </w:tc>
        <w:tc>
          <w:tcPr>
            <w:tcW w:w="851" w:type="dxa"/>
            <w:shd w:val="clear" w:color="auto" w:fill="D2DDE1" w:themeFill="background2"/>
          </w:tcPr>
          <w:p w14:paraId="50AF6E79"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7,934.89</w:t>
            </w:r>
          </w:p>
        </w:tc>
      </w:tr>
      <w:tr w:rsidR="00533D32" w:rsidRPr="00BD16B4" w14:paraId="2142F18E" w14:textId="77777777" w:rsidTr="00FA1C32">
        <w:tc>
          <w:tcPr>
            <w:tcW w:w="2034" w:type="dxa"/>
          </w:tcPr>
          <w:p w14:paraId="000C207E" w14:textId="77777777" w:rsidR="00533D32" w:rsidRPr="00BD16B4" w:rsidRDefault="00533D32" w:rsidP="002D166E">
            <w:pPr>
              <w:pStyle w:val="TableText"/>
              <w:spacing w:before="50" w:after="50"/>
              <w:rPr>
                <w:rFonts w:cs="Calibri"/>
                <w:szCs w:val="18"/>
              </w:rPr>
            </w:pPr>
            <w:r w:rsidRPr="00BD16B4">
              <w:rPr>
                <w:rFonts w:cs="Calibri"/>
                <w:szCs w:val="18"/>
              </w:rPr>
              <w:t>N</w:t>
            </w:r>
            <w:r w:rsidRPr="00BD16B4">
              <w:rPr>
                <w:rFonts w:cs="Calibri"/>
                <w:szCs w:val="18"/>
                <w:vertAlign w:val="subscript"/>
              </w:rPr>
              <w:t>2</w:t>
            </w:r>
            <w:r w:rsidRPr="00BD16B4">
              <w:rPr>
                <w:rFonts w:cs="Calibri"/>
                <w:szCs w:val="18"/>
              </w:rPr>
              <w:t>O emissions excluding N</w:t>
            </w:r>
            <w:r w:rsidRPr="00BD16B4">
              <w:rPr>
                <w:rFonts w:cs="Calibri"/>
                <w:szCs w:val="18"/>
                <w:vertAlign w:val="subscript"/>
              </w:rPr>
              <w:t>2</w:t>
            </w:r>
            <w:r w:rsidRPr="00BD16B4">
              <w:rPr>
                <w:rFonts w:cs="Calibri"/>
                <w:szCs w:val="18"/>
              </w:rPr>
              <w:t>O from LULUCF</w:t>
            </w:r>
          </w:p>
        </w:tc>
        <w:tc>
          <w:tcPr>
            <w:tcW w:w="851" w:type="dxa"/>
            <w:shd w:val="clear" w:color="auto" w:fill="auto"/>
          </w:tcPr>
          <w:p w14:paraId="6C47204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5,792.05</w:t>
            </w:r>
          </w:p>
        </w:tc>
        <w:tc>
          <w:tcPr>
            <w:tcW w:w="851" w:type="dxa"/>
            <w:shd w:val="clear" w:color="auto" w:fill="auto"/>
          </w:tcPr>
          <w:p w14:paraId="7FADCE2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6,570.02</w:t>
            </w:r>
          </w:p>
        </w:tc>
        <w:tc>
          <w:tcPr>
            <w:tcW w:w="851" w:type="dxa"/>
            <w:shd w:val="clear" w:color="auto" w:fill="auto"/>
          </w:tcPr>
          <w:p w14:paraId="49C9D88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6,996.74</w:t>
            </w:r>
          </w:p>
        </w:tc>
        <w:tc>
          <w:tcPr>
            <w:tcW w:w="851" w:type="dxa"/>
            <w:shd w:val="clear" w:color="auto" w:fill="auto"/>
          </w:tcPr>
          <w:p w14:paraId="5F84755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7,930.30</w:t>
            </w:r>
          </w:p>
        </w:tc>
        <w:tc>
          <w:tcPr>
            <w:tcW w:w="851" w:type="dxa"/>
            <w:shd w:val="clear" w:color="auto" w:fill="auto"/>
          </w:tcPr>
          <w:p w14:paraId="7796F46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7,679.68</w:t>
            </w:r>
          </w:p>
        </w:tc>
        <w:tc>
          <w:tcPr>
            <w:tcW w:w="851" w:type="dxa"/>
            <w:shd w:val="clear" w:color="auto" w:fill="auto"/>
          </w:tcPr>
          <w:p w14:paraId="752A22A6"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8,186.65</w:t>
            </w:r>
          </w:p>
        </w:tc>
        <w:tc>
          <w:tcPr>
            <w:tcW w:w="851" w:type="dxa"/>
            <w:shd w:val="clear" w:color="auto" w:fill="auto"/>
          </w:tcPr>
          <w:p w14:paraId="6C802C6B"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8,463.78</w:t>
            </w:r>
          </w:p>
        </w:tc>
        <w:tc>
          <w:tcPr>
            <w:tcW w:w="851" w:type="dxa"/>
            <w:shd w:val="clear" w:color="auto" w:fill="D2DDE1" w:themeFill="background2"/>
          </w:tcPr>
          <w:p w14:paraId="0C34F74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8,112.38</w:t>
            </w:r>
          </w:p>
        </w:tc>
        <w:tc>
          <w:tcPr>
            <w:tcW w:w="851" w:type="dxa"/>
            <w:shd w:val="clear" w:color="auto" w:fill="D2DDE1" w:themeFill="background2"/>
          </w:tcPr>
          <w:p w14:paraId="66FF937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7,890.73</w:t>
            </w:r>
          </w:p>
        </w:tc>
        <w:tc>
          <w:tcPr>
            <w:tcW w:w="851" w:type="dxa"/>
            <w:shd w:val="clear" w:color="auto" w:fill="D2DDE1" w:themeFill="background2"/>
          </w:tcPr>
          <w:p w14:paraId="75C853C7"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7,670.93</w:t>
            </w:r>
          </w:p>
        </w:tc>
      </w:tr>
      <w:tr w:rsidR="00533D32" w:rsidRPr="00BD16B4" w14:paraId="516967CF" w14:textId="77777777" w:rsidTr="00FA1C32">
        <w:tc>
          <w:tcPr>
            <w:tcW w:w="2034" w:type="dxa"/>
          </w:tcPr>
          <w:p w14:paraId="20399C98" w14:textId="77777777" w:rsidR="00533D32" w:rsidRPr="00BD16B4" w:rsidRDefault="00533D32" w:rsidP="002D166E">
            <w:pPr>
              <w:pStyle w:val="TableText"/>
              <w:spacing w:before="50" w:after="50"/>
              <w:rPr>
                <w:rFonts w:cs="Calibri"/>
                <w:szCs w:val="18"/>
              </w:rPr>
            </w:pPr>
            <w:r w:rsidRPr="00BD16B4">
              <w:rPr>
                <w:rFonts w:cs="Calibri"/>
                <w:szCs w:val="18"/>
              </w:rPr>
              <w:t>HFCs</w:t>
            </w:r>
          </w:p>
        </w:tc>
        <w:tc>
          <w:tcPr>
            <w:tcW w:w="851" w:type="dxa"/>
            <w:shd w:val="clear" w:color="auto" w:fill="auto"/>
          </w:tcPr>
          <w:p w14:paraId="5D393C0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0.00</w:t>
            </w:r>
          </w:p>
        </w:tc>
        <w:tc>
          <w:tcPr>
            <w:tcW w:w="851" w:type="dxa"/>
            <w:shd w:val="clear" w:color="auto" w:fill="auto"/>
          </w:tcPr>
          <w:p w14:paraId="77C1877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24.52</w:t>
            </w:r>
          </w:p>
        </w:tc>
        <w:tc>
          <w:tcPr>
            <w:tcW w:w="851" w:type="dxa"/>
            <w:shd w:val="clear" w:color="auto" w:fill="auto"/>
          </w:tcPr>
          <w:p w14:paraId="56773B7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233.65</w:t>
            </w:r>
          </w:p>
        </w:tc>
        <w:tc>
          <w:tcPr>
            <w:tcW w:w="851" w:type="dxa"/>
            <w:shd w:val="clear" w:color="auto" w:fill="auto"/>
          </w:tcPr>
          <w:p w14:paraId="3731570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694.01</w:t>
            </w:r>
          </w:p>
        </w:tc>
        <w:tc>
          <w:tcPr>
            <w:tcW w:w="851" w:type="dxa"/>
            <w:shd w:val="clear" w:color="auto" w:fill="auto"/>
          </w:tcPr>
          <w:p w14:paraId="7AE407E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1,100.81</w:t>
            </w:r>
          </w:p>
        </w:tc>
        <w:tc>
          <w:tcPr>
            <w:tcW w:w="851" w:type="dxa"/>
            <w:shd w:val="clear" w:color="auto" w:fill="auto"/>
          </w:tcPr>
          <w:p w14:paraId="1910CFE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1,386.17</w:t>
            </w:r>
          </w:p>
        </w:tc>
        <w:tc>
          <w:tcPr>
            <w:tcW w:w="851" w:type="dxa"/>
            <w:shd w:val="clear" w:color="auto" w:fill="auto"/>
          </w:tcPr>
          <w:p w14:paraId="3504FC21"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1,480.29</w:t>
            </w:r>
          </w:p>
        </w:tc>
        <w:tc>
          <w:tcPr>
            <w:tcW w:w="851" w:type="dxa"/>
            <w:shd w:val="clear" w:color="auto" w:fill="D2DDE1" w:themeFill="background2"/>
          </w:tcPr>
          <w:p w14:paraId="1B4959B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1,223.50</w:t>
            </w:r>
          </w:p>
        </w:tc>
        <w:tc>
          <w:tcPr>
            <w:tcW w:w="851" w:type="dxa"/>
            <w:shd w:val="clear" w:color="auto" w:fill="D2DDE1" w:themeFill="background2"/>
          </w:tcPr>
          <w:p w14:paraId="68030E7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1,109.83</w:t>
            </w:r>
          </w:p>
        </w:tc>
        <w:tc>
          <w:tcPr>
            <w:tcW w:w="851" w:type="dxa"/>
            <w:shd w:val="clear" w:color="auto" w:fill="D2DDE1" w:themeFill="background2"/>
          </w:tcPr>
          <w:p w14:paraId="584E5D9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764.66</w:t>
            </w:r>
          </w:p>
        </w:tc>
      </w:tr>
      <w:tr w:rsidR="00533D32" w:rsidRPr="00BD16B4" w14:paraId="13D2D8B0" w14:textId="77777777" w:rsidTr="00FA1C32">
        <w:tc>
          <w:tcPr>
            <w:tcW w:w="2034" w:type="dxa"/>
          </w:tcPr>
          <w:p w14:paraId="53C05700" w14:textId="77777777" w:rsidR="00533D32" w:rsidRPr="00BD16B4" w:rsidRDefault="00533D32" w:rsidP="002D166E">
            <w:pPr>
              <w:pStyle w:val="TableText"/>
              <w:spacing w:before="50" w:after="50"/>
              <w:rPr>
                <w:rFonts w:cs="Calibri"/>
                <w:szCs w:val="18"/>
              </w:rPr>
            </w:pPr>
            <w:r w:rsidRPr="00BD16B4">
              <w:rPr>
                <w:rFonts w:cs="Calibri"/>
                <w:szCs w:val="18"/>
              </w:rPr>
              <w:t>PFCs</w:t>
            </w:r>
          </w:p>
        </w:tc>
        <w:tc>
          <w:tcPr>
            <w:tcW w:w="851" w:type="dxa"/>
            <w:shd w:val="clear" w:color="auto" w:fill="auto"/>
          </w:tcPr>
          <w:p w14:paraId="14D67CE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909.95</w:t>
            </w:r>
          </w:p>
        </w:tc>
        <w:tc>
          <w:tcPr>
            <w:tcW w:w="851" w:type="dxa"/>
            <w:shd w:val="clear" w:color="auto" w:fill="auto"/>
          </w:tcPr>
          <w:p w14:paraId="03839FD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153.28</w:t>
            </w:r>
          </w:p>
        </w:tc>
        <w:tc>
          <w:tcPr>
            <w:tcW w:w="851" w:type="dxa"/>
            <w:shd w:val="clear" w:color="auto" w:fill="auto"/>
          </w:tcPr>
          <w:p w14:paraId="6B96B0D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67.61</w:t>
            </w:r>
          </w:p>
        </w:tc>
        <w:tc>
          <w:tcPr>
            <w:tcW w:w="851" w:type="dxa"/>
            <w:shd w:val="clear" w:color="auto" w:fill="auto"/>
          </w:tcPr>
          <w:p w14:paraId="0F0C51B4"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69.38</w:t>
            </w:r>
          </w:p>
        </w:tc>
        <w:tc>
          <w:tcPr>
            <w:tcW w:w="851" w:type="dxa"/>
            <w:shd w:val="clear" w:color="auto" w:fill="auto"/>
          </w:tcPr>
          <w:p w14:paraId="66A70F1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47.56</w:t>
            </w:r>
          </w:p>
        </w:tc>
        <w:tc>
          <w:tcPr>
            <w:tcW w:w="851" w:type="dxa"/>
            <w:shd w:val="clear" w:color="auto" w:fill="auto"/>
          </w:tcPr>
          <w:p w14:paraId="31FA3DF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58.59</w:t>
            </w:r>
          </w:p>
        </w:tc>
        <w:tc>
          <w:tcPr>
            <w:tcW w:w="851" w:type="dxa"/>
            <w:shd w:val="clear" w:color="auto" w:fill="auto"/>
          </w:tcPr>
          <w:p w14:paraId="682731EC"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87.92</w:t>
            </w:r>
          </w:p>
        </w:tc>
        <w:tc>
          <w:tcPr>
            <w:tcW w:w="851" w:type="dxa"/>
            <w:shd w:val="clear" w:color="auto" w:fill="D2DDE1" w:themeFill="background2"/>
          </w:tcPr>
          <w:p w14:paraId="42B30FB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0.00</w:t>
            </w:r>
          </w:p>
        </w:tc>
        <w:tc>
          <w:tcPr>
            <w:tcW w:w="851" w:type="dxa"/>
            <w:shd w:val="clear" w:color="auto" w:fill="D2DDE1" w:themeFill="background2"/>
          </w:tcPr>
          <w:p w14:paraId="6A6F99C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0.00</w:t>
            </w:r>
          </w:p>
        </w:tc>
        <w:tc>
          <w:tcPr>
            <w:tcW w:w="851" w:type="dxa"/>
            <w:shd w:val="clear" w:color="auto" w:fill="D2DDE1" w:themeFill="background2"/>
          </w:tcPr>
          <w:p w14:paraId="566C4D0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0.00</w:t>
            </w:r>
          </w:p>
        </w:tc>
      </w:tr>
      <w:tr w:rsidR="00533D32" w:rsidRPr="00BD16B4" w14:paraId="6A4E6C5A" w14:textId="77777777" w:rsidTr="00FA1C32">
        <w:tc>
          <w:tcPr>
            <w:tcW w:w="2034" w:type="dxa"/>
          </w:tcPr>
          <w:p w14:paraId="1ACF89B1" w14:textId="77777777" w:rsidR="00533D32" w:rsidRPr="00BD16B4" w:rsidRDefault="00533D32" w:rsidP="002D166E">
            <w:pPr>
              <w:pStyle w:val="TableText"/>
              <w:spacing w:before="50" w:after="50"/>
              <w:rPr>
                <w:rFonts w:cs="Calibri"/>
                <w:szCs w:val="18"/>
              </w:rPr>
            </w:pPr>
            <w:r w:rsidRPr="00BD16B4">
              <w:rPr>
                <w:rFonts w:cs="Calibri"/>
                <w:szCs w:val="18"/>
              </w:rPr>
              <w:t>SF</w:t>
            </w:r>
            <w:r w:rsidRPr="00BD16B4">
              <w:rPr>
                <w:rFonts w:cs="Calibri"/>
                <w:szCs w:val="18"/>
                <w:vertAlign w:val="subscript"/>
              </w:rPr>
              <w:t>6</w:t>
            </w:r>
          </w:p>
        </w:tc>
        <w:tc>
          <w:tcPr>
            <w:tcW w:w="851" w:type="dxa"/>
            <w:shd w:val="clear" w:color="auto" w:fill="auto"/>
          </w:tcPr>
          <w:p w14:paraId="26E21628"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19.97</w:t>
            </w:r>
          </w:p>
        </w:tc>
        <w:tc>
          <w:tcPr>
            <w:tcW w:w="851" w:type="dxa"/>
            <w:shd w:val="clear" w:color="auto" w:fill="auto"/>
          </w:tcPr>
          <w:p w14:paraId="4A78C19D"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24.42</w:t>
            </w:r>
          </w:p>
        </w:tc>
        <w:tc>
          <w:tcPr>
            <w:tcW w:w="851" w:type="dxa"/>
            <w:shd w:val="clear" w:color="auto" w:fill="auto"/>
          </w:tcPr>
          <w:p w14:paraId="15A89002"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19.56</w:t>
            </w:r>
          </w:p>
        </w:tc>
        <w:tc>
          <w:tcPr>
            <w:tcW w:w="851" w:type="dxa"/>
            <w:shd w:val="clear" w:color="auto" w:fill="auto"/>
          </w:tcPr>
          <w:p w14:paraId="7EA96CB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25.41</w:t>
            </w:r>
          </w:p>
        </w:tc>
        <w:tc>
          <w:tcPr>
            <w:tcW w:w="851" w:type="dxa"/>
            <w:shd w:val="clear" w:color="auto" w:fill="auto"/>
          </w:tcPr>
          <w:p w14:paraId="44BDDB4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22.84</w:t>
            </w:r>
          </w:p>
        </w:tc>
        <w:tc>
          <w:tcPr>
            <w:tcW w:w="851" w:type="dxa"/>
            <w:shd w:val="clear" w:color="auto" w:fill="auto"/>
          </w:tcPr>
          <w:p w14:paraId="4292821F"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16.46</w:t>
            </w:r>
          </w:p>
        </w:tc>
        <w:tc>
          <w:tcPr>
            <w:tcW w:w="851" w:type="dxa"/>
            <w:shd w:val="clear" w:color="auto" w:fill="auto"/>
          </w:tcPr>
          <w:p w14:paraId="0996A9BE"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16.69</w:t>
            </w:r>
          </w:p>
        </w:tc>
        <w:tc>
          <w:tcPr>
            <w:tcW w:w="851" w:type="dxa"/>
            <w:shd w:val="clear" w:color="auto" w:fill="D2DDE1" w:themeFill="background2"/>
          </w:tcPr>
          <w:p w14:paraId="73FAA6A0"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18.08</w:t>
            </w:r>
          </w:p>
        </w:tc>
        <w:tc>
          <w:tcPr>
            <w:tcW w:w="851" w:type="dxa"/>
            <w:shd w:val="clear" w:color="auto" w:fill="D2DDE1" w:themeFill="background2"/>
          </w:tcPr>
          <w:p w14:paraId="71D748B3"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19.55</w:t>
            </w:r>
          </w:p>
        </w:tc>
        <w:tc>
          <w:tcPr>
            <w:tcW w:w="851" w:type="dxa"/>
            <w:shd w:val="clear" w:color="auto" w:fill="D2DDE1" w:themeFill="background2"/>
          </w:tcPr>
          <w:p w14:paraId="6B0CEF8A" w14:textId="77777777" w:rsidR="00533D32" w:rsidRPr="00BD16B4" w:rsidRDefault="00533D32" w:rsidP="002D166E">
            <w:pPr>
              <w:pStyle w:val="TableText"/>
              <w:spacing w:before="50" w:after="50"/>
              <w:jc w:val="center"/>
              <w:rPr>
                <w:rFonts w:cs="Calibri"/>
                <w:szCs w:val="18"/>
              </w:rPr>
            </w:pPr>
            <w:r w:rsidRPr="00BD16B4">
              <w:rPr>
                <w:rFonts w:cs="Calibri"/>
                <w:color w:val="000000"/>
                <w:szCs w:val="18"/>
              </w:rPr>
              <w:t>20.70</w:t>
            </w:r>
          </w:p>
        </w:tc>
      </w:tr>
      <w:tr w:rsidR="00533D32" w:rsidRPr="00BD16B4" w14:paraId="0B7ECF2D" w14:textId="77777777" w:rsidTr="00FA1C32">
        <w:tc>
          <w:tcPr>
            <w:tcW w:w="2034" w:type="dxa"/>
          </w:tcPr>
          <w:p w14:paraId="5D9FB633" w14:textId="77777777" w:rsidR="00533D32" w:rsidRPr="00BD16B4" w:rsidRDefault="00533D32" w:rsidP="002D166E">
            <w:pPr>
              <w:pStyle w:val="TableText"/>
              <w:spacing w:before="50" w:after="50"/>
              <w:rPr>
                <w:rFonts w:cs="Calibri"/>
                <w:szCs w:val="18"/>
              </w:rPr>
            </w:pPr>
            <w:r w:rsidRPr="00BD16B4">
              <w:rPr>
                <w:rFonts w:cs="Calibri"/>
                <w:szCs w:val="18"/>
              </w:rPr>
              <w:t>NF</w:t>
            </w:r>
            <w:r w:rsidRPr="00BD16B4">
              <w:rPr>
                <w:rFonts w:cs="Calibri"/>
                <w:szCs w:val="18"/>
                <w:vertAlign w:val="subscript"/>
              </w:rPr>
              <w:t>3</w:t>
            </w:r>
          </w:p>
        </w:tc>
        <w:tc>
          <w:tcPr>
            <w:tcW w:w="851" w:type="dxa"/>
            <w:shd w:val="clear" w:color="auto" w:fill="auto"/>
          </w:tcPr>
          <w:p w14:paraId="531DA5E2"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3371A366"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299640CB"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04408331"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39F5A14E"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1F39F126"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0CE5010B" w14:textId="77777777" w:rsidR="00533D32" w:rsidRPr="00BD16B4" w:rsidRDefault="00533D32" w:rsidP="002D166E">
            <w:pPr>
              <w:pStyle w:val="TableText"/>
              <w:spacing w:before="50" w:after="50"/>
              <w:jc w:val="center"/>
              <w:rPr>
                <w:rFonts w:cs="Calibri"/>
                <w:szCs w:val="18"/>
              </w:rPr>
            </w:pPr>
          </w:p>
        </w:tc>
        <w:tc>
          <w:tcPr>
            <w:tcW w:w="851" w:type="dxa"/>
            <w:shd w:val="clear" w:color="auto" w:fill="D2DDE1" w:themeFill="background2"/>
          </w:tcPr>
          <w:p w14:paraId="4865CC5A" w14:textId="77777777" w:rsidR="00533D32" w:rsidRPr="00BD16B4" w:rsidRDefault="00533D32" w:rsidP="002D166E">
            <w:pPr>
              <w:pStyle w:val="TableText"/>
              <w:spacing w:before="50" w:after="50"/>
              <w:jc w:val="center"/>
              <w:rPr>
                <w:rFonts w:cs="Calibri"/>
                <w:szCs w:val="18"/>
              </w:rPr>
            </w:pPr>
          </w:p>
        </w:tc>
        <w:tc>
          <w:tcPr>
            <w:tcW w:w="851" w:type="dxa"/>
            <w:shd w:val="clear" w:color="auto" w:fill="D2DDE1" w:themeFill="background2"/>
          </w:tcPr>
          <w:p w14:paraId="045D6BDF" w14:textId="77777777" w:rsidR="00533D32" w:rsidRPr="00BD16B4" w:rsidRDefault="00533D32" w:rsidP="002D166E">
            <w:pPr>
              <w:pStyle w:val="TableText"/>
              <w:spacing w:before="50" w:after="50"/>
              <w:jc w:val="center"/>
              <w:rPr>
                <w:rFonts w:cs="Calibri"/>
                <w:szCs w:val="18"/>
              </w:rPr>
            </w:pPr>
          </w:p>
        </w:tc>
        <w:tc>
          <w:tcPr>
            <w:tcW w:w="851" w:type="dxa"/>
            <w:shd w:val="clear" w:color="auto" w:fill="D2DDE1" w:themeFill="background2"/>
          </w:tcPr>
          <w:p w14:paraId="0EFFEEF4" w14:textId="77777777" w:rsidR="00533D32" w:rsidRPr="00BD16B4" w:rsidRDefault="00533D32" w:rsidP="002D166E">
            <w:pPr>
              <w:pStyle w:val="TableText"/>
              <w:spacing w:before="50" w:after="50"/>
              <w:jc w:val="center"/>
              <w:rPr>
                <w:rFonts w:cs="Calibri"/>
                <w:szCs w:val="18"/>
              </w:rPr>
            </w:pPr>
          </w:p>
        </w:tc>
      </w:tr>
      <w:tr w:rsidR="00533D32" w:rsidRPr="00BD16B4" w14:paraId="44C4024C" w14:textId="77777777" w:rsidTr="00FA1C32">
        <w:tc>
          <w:tcPr>
            <w:tcW w:w="2034" w:type="dxa"/>
          </w:tcPr>
          <w:p w14:paraId="1ADE9E3B" w14:textId="77777777" w:rsidR="00533D32" w:rsidRPr="00BD16B4" w:rsidRDefault="00533D32" w:rsidP="002D166E">
            <w:pPr>
              <w:pStyle w:val="TableText"/>
              <w:spacing w:before="50" w:after="50"/>
              <w:rPr>
                <w:rFonts w:cs="Calibri"/>
                <w:szCs w:val="18"/>
              </w:rPr>
            </w:pPr>
            <w:r w:rsidRPr="00BD16B4">
              <w:rPr>
                <w:rFonts w:cs="Calibri"/>
                <w:szCs w:val="18"/>
              </w:rPr>
              <w:t>Other gases</w:t>
            </w:r>
          </w:p>
        </w:tc>
        <w:tc>
          <w:tcPr>
            <w:tcW w:w="851" w:type="dxa"/>
            <w:shd w:val="clear" w:color="auto" w:fill="auto"/>
          </w:tcPr>
          <w:p w14:paraId="69690FB4"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7E8C5729"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68F8B9E0"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28FFBB7D"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75C88093"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27F98343" w14:textId="77777777" w:rsidR="00533D32" w:rsidRPr="00BD16B4" w:rsidRDefault="00533D32" w:rsidP="002D166E">
            <w:pPr>
              <w:pStyle w:val="TableText"/>
              <w:spacing w:before="50" w:after="50"/>
              <w:jc w:val="center"/>
              <w:rPr>
                <w:rFonts w:cs="Calibri"/>
                <w:szCs w:val="18"/>
              </w:rPr>
            </w:pPr>
          </w:p>
        </w:tc>
        <w:tc>
          <w:tcPr>
            <w:tcW w:w="851" w:type="dxa"/>
            <w:shd w:val="clear" w:color="auto" w:fill="auto"/>
          </w:tcPr>
          <w:p w14:paraId="2A2D5E8F" w14:textId="77777777" w:rsidR="00533D32" w:rsidRPr="00BD16B4" w:rsidRDefault="00533D32" w:rsidP="002D166E">
            <w:pPr>
              <w:pStyle w:val="TableText"/>
              <w:spacing w:before="50" w:after="50"/>
              <w:jc w:val="center"/>
              <w:rPr>
                <w:rFonts w:cs="Calibri"/>
                <w:szCs w:val="18"/>
              </w:rPr>
            </w:pPr>
          </w:p>
        </w:tc>
        <w:tc>
          <w:tcPr>
            <w:tcW w:w="851" w:type="dxa"/>
            <w:shd w:val="clear" w:color="auto" w:fill="D2DDE1" w:themeFill="background2"/>
          </w:tcPr>
          <w:p w14:paraId="299156C9" w14:textId="77777777" w:rsidR="00533D32" w:rsidRPr="00BD16B4" w:rsidRDefault="00533D32" w:rsidP="002D166E">
            <w:pPr>
              <w:pStyle w:val="TableText"/>
              <w:spacing w:before="50" w:after="50"/>
              <w:jc w:val="center"/>
              <w:rPr>
                <w:rFonts w:cs="Calibri"/>
                <w:szCs w:val="18"/>
              </w:rPr>
            </w:pPr>
          </w:p>
        </w:tc>
        <w:tc>
          <w:tcPr>
            <w:tcW w:w="851" w:type="dxa"/>
            <w:shd w:val="clear" w:color="auto" w:fill="D2DDE1" w:themeFill="background2"/>
          </w:tcPr>
          <w:p w14:paraId="47BB37C2" w14:textId="77777777" w:rsidR="00533D32" w:rsidRPr="00BD16B4" w:rsidRDefault="00533D32" w:rsidP="002D166E">
            <w:pPr>
              <w:pStyle w:val="TableText"/>
              <w:spacing w:before="50" w:after="50"/>
              <w:jc w:val="center"/>
              <w:rPr>
                <w:rFonts w:cs="Calibri"/>
                <w:szCs w:val="18"/>
              </w:rPr>
            </w:pPr>
          </w:p>
        </w:tc>
        <w:tc>
          <w:tcPr>
            <w:tcW w:w="851" w:type="dxa"/>
            <w:shd w:val="clear" w:color="auto" w:fill="D2DDE1" w:themeFill="background2"/>
          </w:tcPr>
          <w:p w14:paraId="7456E60A" w14:textId="77777777" w:rsidR="00533D32" w:rsidRPr="00BD16B4" w:rsidRDefault="00533D32" w:rsidP="002D166E">
            <w:pPr>
              <w:pStyle w:val="TableText"/>
              <w:spacing w:before="50" w:after="50"/>
              <w:jc w:val="center"/>
              <w:rPr>
                <w:rFonts w:cs="Calibri"/>
                <w:szCs w:val="18"/>
              </w:rPr>
            </w:pPr>
          </w:p>
        </w:tc>
      </w:tr>
      <w:tr w:rsidR="00533D32" w:rsidRPr="00BD16B4" w14:paraId="0B889096" w14:textId="77777777" w:rsidTr="00FA1C32">
        <w:tc>
          <w:tcPr>
            <w:tcW w:w="2034" w:type="dxa"/>
          </w:tcPr>
          <w:p w14:paraId="2E98F068" w14:textId="77777777" w:rsidR="00533D32" w:rsidRPr="00BD16B4" w:rsidRDefault="00533D32" w:rsidP="002D166E">
            <w:pPr>
              <w:pStyle w:val="TableText"/>
              <w:spacing w:before="50" w:after="50"/>
              <w:rPr>
                <w:rFonts w:cs="Calibri"/>
                <w:b/>
                <w:bCs/>
                <w:szCs w:val="18"/>
              </w:rPr>
            </w:pPr>
            <w:r w:rsidRPr="00BD16B4">
              <w:rPr>
                <w:rFonts w:cs="Calibri"/>
                <w:b/>
                <w:bCs/>
                <w:szCs w:val="18"/>
              </w:rPr>
              <w:t>Total with LULUCF</w:t>
            </w:r>
          </w:p>
        </w:tc>
        <w:tc>
          <w:tcPr>
            <w:tcW w:w="851" w:type="dxa"/>
            <w:shd w:val="clear" w:color="auto" w:fill="auto"/>
          </w:tcPr>
          <w:p w14:paraId="3C4B949B"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43,967.76</w:t>
            </w:r>
          </w:p>
        </w:tc>
        <w:tc>
          <w:tcPr>
            <w:tcW w:w="851" w:type="dxa"/>
            <w:shd w:val="clear" w:color="auto" w:fill="auto"/>
          </w:tcPr>
          <w:p w14:paraId="3A90DB72"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46,567.01</w:t>
            </w:r>
          </w:p>
        </w:tc>
        <w:tc>
          <w:tcPr>
            <w:tcW w:w="851" w:type="dxa"/>
            <w:shd w:val="clear" w:color="auto" w:fill="auto"/>
          </w:tcPr>
          <w:p w14:paraId="623F75C9"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48,580.27</w:t>
            </w:r>
          </w:p>
        </w:tc>
        <w:tc>
          <w:tcPr>
            <w:tcW w:w="851" w:type="dxa"/>
            <w:shd w:val="clear" w:color="auto" w:fill="auto"/>
          </w:tcPr>
          <w:p w14:paraId="379683E6"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57,241.57</w:t>
            </w:r>
          </w:p>
        </w:tc>
        <w:tc>
          <w:tcPr>
            <w:tcW w:w="851" w:type="dxa"/>
            <w:shd w:val="clear" w:color="auto" w:fill="auto"/>
          </w:tcPr>
          <w:p w14:paraId="244EED44"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49,100.05</w:t>
            </w:r>
          </w:p>
        </w:tc>
        <w:tc>
          <w:tcPr>
            <w:tcW w:w="851" w:type="dxa"/>
            <w:shd w:val="clear" w:color="auto" w:fill="auto"/>
          </w:tcPr>
          <w:p w14:paraId="02F113F6"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53,839.90</w:t>
            </w:r>
          </w:p>
        </w:tc>
        <w:tc>
          <w:tcPr>
            <w:tcW w:w="851" w:type="dxa"/>
            <w:shd w:val="clear" w:color="auto" w:fill="auto"/>
          </w:tcPr>
          <w:p w14:paraId="75977811"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55,465.11</w:t>
            </w:r>
          </w:p>
        </w:tc>
        <w:tc>
          <w:tcPr>
            <w:tcW w:w="851" w:type="dxa"/>
            <w:shd w:val="clear" w:color="auto" w:fill="D2DDE1" w:themeFill="background2"/>
          </w:tcPr>
          <w:p w14:paraId="4EE60AC1"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63,533.58</w:t>
            </w:r>
          </w:p>
        </w:tc>
        <w:tc>
          <w:tcPr>
            <w:tcW w:w="851" w:type="dxa"/>
            <w:shd w:val="clear" w:color="auto" w:fill="D2DDE1" w:themeFill="background2"/>
          </w:tcPr>
          <w:p w14:paraId="6A377224"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55,528.35</w:t>
            </w:r>
          </w:p>
        </w:tc>
        <w:tc>
          <w:tcPr>
            <w:tcW w:w="851" w:type="dxa"/>
            <w:shd w:val="clear" w:color="auto" w:fill="D2DDE1" w:themeFill="background2"/>
          </w:tcPr>
          <w:p w14:paraId="6C22BBB9"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37,457.00</w:t>
            </w:r>
          </w:p>
        </w:tc>
      </w:tr>
      <w:tr w:rsidR="00533D32" w:rsidRPr="00BD16B4" w14:paraId="246A3448" w14:textId="77777777" w:rsidTr="00FA1C32">
        <w:tc>
          <w:tcPr>
            <w:tcW w:w="2034" w:type="dxa"/>
          </w:tcPr>
          <w:p w14:paraId="111F7F05" w14:textId="77777777" w:rsidR="00533D32" w:rsidRPr="00BD16B4" w:rsidRDefault="00533D32" w:rsidP="002D166E">
            <w:pPr>
              <w:pStyle w:val="TableText"/>
              <w:spacing w:before="50" w:after="50"/>
              <w:rPr>
                <w:rFonts w:cs="Calibri"/>
                <w:b/>
                <w:bCs/>
                <w:szCs w:val="18"/>
              </w:rPr>
            </w:pPr>
            <w:r w:rsidRPr="00BD16B4">
              <w:rPr>
                <w:rFonts w:cs="Calibri"/>
                <w:b/>
                <w:bCs/>
                <w:szCs w:val="18"/>
              </w:rPr>
              <w:t>Total without LULUCF</w:t>
            </w:r>
          </w:p>
        </w:tc>
        <w:tc>
          <w:tcPr>
            <w:tcW w:w="851" w:type="dxa"/>
            <w:shd w:val="clear" w:color="auto" w:fill="auto"/>
          </w:tcPr>
          <w:p w14:paraId="0058A2F6"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65,196.98</w:t>
            </w:r>
          </w:p>
        </w:tc>
        <w:tc>
          <w:tcPr>
            <w:tcW w:w="851" w:type="dxa"/>
            <w:shd w:val="clear" w:color="auto" w:fill="auto"/>
          </w:tcPr>
          <w:p w14:paraId="6370570F"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69,012.91</w:t>
            </w:r>
          </w:p>
        </w:tc>
        <w:tc>
          <w:tcPr>
            <w:tcW w:w="851" w:type="dxa"/>
            <w:shd w:val="clear" w:color="auto" w:fill="auto"/>
          </w:tcPr>
          <w:p w14:paraId="67C8D448"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75,515.17</w:t>
            </w:r>
          </w:p>
        </w:tc>
        <w:tc>
          <w:tcPr>
            <w:tcW w:w="851" w:type="dxa"/>
            <w:shd w:val="clear" w:color="auto" w:fill="auto"/>
          </w:tcPr>
          <w:p w14:paraId="1E84C3B9"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82,666.10</w:t>
            </w:r>
          </w:p>
        </w:tc>
        <w:tc>
          <w:tcPr>
            <w:tcW w:w="851" w:type="dxa"/>
            <w:shd w:val="clear" w:color="auto" w:fill="auto"/>
          </w:tcPr>
          <w:p w14:paraId="66554375"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78,426.32</w:t>
            </w:r>
          </w:p>
        </w:tc>
        <w:tc>
          <w:tcPr>
            <w:tcW w:w="851" w:type="dxa"/>
            <w:shd w:val="clear" w:color="auto" w:fill="auto"/>
          </w:tcPr>
          <w:p w14:paraId="7009C2A2"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80,450.06</w:t>
            </w:r>
          </w:p>
        </w:tc>
        <w:tc>
          <w:tcPr>
            <w:tcW w:w="851" w:type="dxa"/>
            <w:shd w:val="clear" w:color="auto" w:fill="auto"/>
          </w:tcPr>
          <w:p w14:paraId="417CA69B"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78,778.37</w:t>
            </w:r>
          </w:p>
        </w:tc>
        <w:tc>
          <w:tcPr>
            <w:tcW w:w="851" w:type="dxa"/>
            <w:shd w:val="clear" w:color="auto" w:fill="D2DDE1" w:themeFill="background2"/>
          </w:tcPr>
          <w:p w14:paraId="6610558F"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73,171.32</w:t>
            </w:r>
          </w:p>
        </w:tc>
        <w:tc>
          <w:tcPr>
            <w:tcW w:w="851" w:type="dxa"/>
            <w:shd w:val="clear" w:color="auto" w:fill="D2DDE1" w:themeFill="background2"/>
          </w:tcPr>
          <w:p w14:paraId="1BAF3335"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68,955.99</w:t>
            </w:r>
          </w:p>
        </w:tc>
        <w:tc>
          <w:tcPr>
            <w:tcW w:w="851" w:type="dxa"/>
            <w:shd w:val="clear" w:color="auto" w:fill="D2DDE1" w:themeFill="background2"/>
          </w:tcPr>
          <w:p w14:paraId="2B4C2D14" w14:textId="77777777" w:rsidR="00533D32" w:rsidRPr="00BD16B4" w:rsidRDefault="00533D32" w:rsidP="002D166E">
            <w:pPr>
              <w:pStyle w:val="TableText"/>
              <w:spacing w:before="50" w:after="50"/>
              <w:jc w:val="center"/>
              <w:rPr>
                <w:rFonts w:cs="Calibri"/>
                <w:szCs w:val="18"/>
              </w:rPr>
            </w:pPr>
            <w:r w:rsidRPr="00BD16B4">
              <w:rPr>
                <w:rFonts w:cs="Calibri"/>
                <w:b/>
                <w:bCs/>
                <w:color w:val="000000"/>
                <w:szCs w:val="18"/>
              </w:rPr>
              <w:t>65,490.02</w:t>
            </w:r>
          </w:p>
        </w:tc>
      </w:tr>
    </w:tbl>
    <w:p w14:paraId="196463BC" w14:textId="77777777" w:rsidR="00533D32" w:rsidRPr="00BD16B4" w:rsidRDefault="00533D32" w:rsidP="00533D32">
      <w:pPr>
        <w:pStyle w:val="BodyText"/>
      </w:pPr>
    </w:p>
    <w:p w14:paraId="626082DC" w14:textId="77777777" w:rsidR="007B630D" w:rsidRPr="00BD16B4" w:rsidRDefault="007B630D" w:rsidP="003F0361">
      <w:pPr>
        <w:pStyle w:val="BodyText"/>
        <w:spacing w:before="0"/>
      </w:pPr>
    </w:p>
    <w:p w14:paraId="12E97D14" w14:textId="77777777" w:rsidR="007B630D" w:rsidRPr="00BD16B4" w:rsidRDefault="007B630D" w:rsidP="003F0361">
      <w:pPr>
        <w:pStyle w:val="BodyText"/>
        <w:spacing w:before="0"/>
        <w:sectPr w:rsidR="007B630D" w:rsidRPr="00BD16B4" w:rsidSect="00AC2D4B">
          <w:footerReference w:type="even" r:id="rId142"/>
          <w:footerReference w:type="default" r:id="rId143"/>
          <w:pgSz w:w="16840" w:h="11907" w:orient="landscape" w:code="9"/>
          <w:pgMar w:top="1701" w:right="1134" w:bottom="1701" w:left="1134" w:header="567" w:footer="567" w:gutter="0"/>
          <w:cols w:space="720"/>
          <w:docGrid w:linePitch="299"/>
        </w:sectPr>
      </w:pPr>
    </w:p>
    <w:p w14:paraId="37C9A8E9" w14:textId="1904A8C5" w:rsidR="00DE1BDD" w:rsidRPr="00BD16B4" w:rsidRDefault="00DE1BDD" w:rsidP="00B44D09">
      <w:pPr>
        <w:pStyle w:val="Heading1"/>
      </w:pPr>
      <w:bookmarkStart w:id="528" w:name="_Toc497740315"/>
      <w:bookmarkStart w:id="529" w:name="_Toc497392892"/>
      <w:bookmarkStart w:id="530" w:name="_Toc498516773"/>
      <w:bookmarkStart w:id="531" w:name="_Toc500796184"/>
      <w:bookmarkStart w:id="532" w:name="_Toc121774677"/>
      <w:r w:rsidRPr="00BD16B4">
        <w:t>A</w:t>
      </w:r>
      <w:r w:rsidR="00FA1C32" w:rsidRPr="00BD16B4">
        <w:t>ppendix</w:t>
      </w:r>
      <w:r w:rsidRPr="00BD16B4">
        <w:t xml:space="preserve"> D: New Zealand’s report on the Global Climate Observing System</w:t>
      </w:r>
      <w:bookmarkEnd w:id="528"/>
      <w:bookmarkEnd w:id="529"/>
      <w:bookmarkEnd w:id="530"/>
      <w:bookmarkEnd w:id="531"/>
      <w:bookmarkEnd w:id="532"/>
    </w:p>
    <w:p w14:paraId="4E61C67D" w14:textId="77777777" w:rsidR="00DE1BDD" w:rsidRPr="00BD16B4" w:rsidRDefault="00DE1BDD" w:rsidP="00B44D09">
      <w:pPr>
        <w:pStyle w:val="Heading"/>
        <w:spacing w:after="0"/>
        <w:rPr>
          <w:sz w:val="40"/>
          <w:szCs w:val="20"/>
        </w:rPr>
      </w:pPr>
      <w:r w:rsidRPr="00BD16B4">
        <w:rPr>
          <w:sz w:val="40"/>
          <w:szCs w:val="20"/>
        </w:rPr>
        <w:t>Contents</w:t>
      </w:r>
    </w:p>
    <w:p w14:paraId="1A7CEDED" w14:textId="3E0A244A" w:rsidR="00226E87" w:rsidRPr="00BD16B4" w:rsidRDefault="00F85DC7" w:rsidP="00486FDE">
      <w:pPr>
        <w:pStyle w:val="TOC1"/>
        <w:rPr>
          <w:rFonts w:asciiTheme="minorHAnsi" w:hAnsiTheme="minorHAnsi"/>
          <w:noProof w:val="0"/>
        </w:rPr>
      </w:pPr>
      <w:r w:rsidRPr="00BD16B4">
        <w:rPr>
          <w:noProof w:val="0"/>
          <w:color w:val="0092CF"/>
        </w:rPr>
        <w:fldChar w:fldCharType="begin"/>
      </w:r>
      <w:r w:rsidRPr="00BD16B4">
        <w:rPr>
          <w:noProof w:val="0"/>
          <w:color w:val="0092CF"/>
        </w:rPr>
        <w:instrText xml:space="preserve"> TOC \h \z \t "Heading 1 not for TOC,1,Heading 2 GCOS,2" </w:instrText>
      </w:r>
      <w:r w:rsidRPr="00BD16B4">
        <w:rPr>
          <w:noProof w:val="0"/>
          <w:color w:val="0092CF"/>
        </w:rPr>
        <w:fldChar w:fldCharType="separate"/>
      </w:r>
      <w:hyperlink w:anchor="_Toc120893205" w:history="1">
        <w:r w:rsidR="00226E87" w:rsidRPr="00BD16B4">
          <w:rPr>
            <w:rStyle w:val="Hyperlink"/>
            <w:noProof w:val="0"/>
          </w:rPr>
          <w:t>Executive summary</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_Toc120893205 \h </w:instrText>
        </w:r>
        <w:r w:rsidR="00226E87" w:rsidRPr="00BD16B4">
          <w:rPr>
            <w:noProof w:val="0"/>
            <w:webHidden/>
          </w:rPr>
        </w:r>
        <w:r w:rsidR="00226E87" w:rsidRPr="00BD16B4">
          <w:rPr>
            <w:noProof w:val="0"/>
            <w:webHidden/>
          </w:rPr>
          <w:fldChar w:fldCharType="separate"/>
        </w:r>
        <w:r w:rsidR="00A60C35">
          <w:rPr>
            <w:webHidden/>
          </w:rPr>
          <w:t>445</w:t>
        </w:r>
        <w:r w:rsidR="00226E87" w:rsidRPr="00BD16B4">
          <w:rPr>
            <w:noProof w:val="0"/>
            <w:webHidden/>
          </w:rPr>
          <w:fldChar w:fldCharType="end"/>
        </w:r>
      </w:hyperlink>
    </w:p>
    <w:p w14:paraId="45C06D7F" w14:textId="0CD4781A" w:rsidR="00226E87" w:rsidRPr="00BD16B4" w:rsidRDefault="00FC49D2" w:rsidP="00486FDE">
      <w:pPr>
        <w:pStyle w:val="TOC1"/>
        <w:rPr>
          <w:rFonts w:asciiTheme="minorHAnsi" w:hAnsiTheme="minorHAnsi"/>
          <w:noProof w:val="0"/>
        </w:rPr>
      </w:pPr>
      <w:hyperlink w:anchor="_Toc120893206" w:history="1">
        <w:r w:rsidR="00226E87" w:rsidRPr="00BD16B4">
          <w:rPr>
            <w:rStyle w:val="Hyperlink"/>
            <w:noProof w:val="0"/>
          </w:rPr>
          <w:t>Introduction</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_Toc120893206 \h </w:instrText>
        </w:r>
        <w:r w:rsidR="00226E87" w:rsidRPr="00BD16B4">
          <w:rPr>
            <w:noProof w:val="0"/>
            <w:webHidden/>
          </w:rPr>
        </w:r>
        <w:r w:rsidR="00226E87" w:rsidRPr="00BD16B4">
          <w:rPr>
            <w:noProof w:val="0"/>
            <w:webHidden/>
          </w:rPr>
          <w:fldChar w:fldCharType="separate"/>
        </w:r>
        <w:r w:rsidR="00A60C35">
          <w:rPr>
            <w:webHidden/>
          </w:rPr>
          <w:t>446</w:t>
        </w:r>
        <w:r w:rsidR="00226E87" w:rsidRPr="00BD16B4">
          <w:rPr>
            <w:noProof w:val="0"/>
            <w:webHidden/>
          </w:rPr>
          <w:fldChar w:fldCharType="end"/>
        </w:r>
      </w:hyperlink>
    </w:p>
    <w:p w14:paraId="02357729" w14:textId="5DD2C3AC" w:rsidR="00226E87" w:rsidRPr="00BD16B4" w:rsidRDefault="00FC49D2" w:rsidP="00486FDE">
      <w:pPr>
        <w:pStyle w:val="TOC1"/>
        <w:rPr>
          <w:rFonts w:asciiTheme="minorHAnsi" w:hAnsiTheme="minorHAnsi"/>
          <w:noProof w:val="0"/>
        </w:rPr>
      </w:pPr>
      <w:hyperlink w:anchor="_Toc120893207" w:history="1">
        <w:r w:rsidR="00226E87" w:rsidRPr="00BD16B4">
          <w:rPr>
            <w:rStyle w:val="Hyperlink"/>
            <w:noProof w:val="0"/>
          </w:rPr>
          <w:t>Observations in New Zealand: Context</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_Toc120893207 \h </w:instrText>
        </w:r>
        <w:r w:rsidR="00226E87" w:rsidRPr="00BD16B4">
          <w:rPr>
            <w:noProof w:val="0"/>
            <w:webHidden/>
          </w:rPr>
        </w:r>
        <w:r w:rsidR="00226E87" w:rsidRPr="00BD16B4">
          <w:rPr>
            <w:noProof w:val="0"/>
            <w:webHidden/>
          </w:rPr>
          <w:fldChar w:fldCharType="separate"/>
        </w:r>
        <w:r w:rsidR="00A60C35">
          <w:rPr>
            <w:webHidden/>
          </w:rPr>
          <w:t>447</w:t>
        </w:r>
        <w:r w:rsidR="00226E87" w:rsidRPr="00BD16B4">
          <w:rPr>
            <w:noProof w:val="0"/>
            <w:webHidden/>
          </w:rPr>
          <w:fldChar w:fldCharType="end"/>
        </w:r>
      </w:hyperlink>
    </w:p>
    <w:p w14:paraId="58290116" w14:textId="78643984" w:rsidR="00226E87" w:rsidRPr="00BD16B4" w:rsidRDefault="00FC49D2" w:rsidP="00486FDE">
      <w:pPr>
        <w:pStyle w:val="TOC2"/>
        <w:rPr>
          <w:rFonts w:asciiTheme="minorHAnsi" w:hAnsiTheme="minorHAnsi"/>
          <w:noProof w:val="0"/>
        </w:rPr>
      </w:pPr>
      <w:hyperlink w:anchor="_Toc120893208" w:history="1">
        <w:r w:rsidR="00226E87" w:rsidRPr="00BD16B4">
          <w:rPr>
            <w:rStyle w:val="Hyperlink"/>
            <w:noProof w:val="0"/>
          </w:rPr>
          <w:t>Data is collected by multiple agencies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_Toc120893208 \h </w:instrText>
        </w:r>
        <w:r w:rsidR="00226E87" w:rsidRPr="00BD16B4">
          <w:rPr>
            <w:noProof w:val="0"/>
            <w:webHidden/>
          </w:rPr>
        </w:r>
        <w:r w:rsidR="00226E87" w:rsidRPr="00BD16B4">
          <w:rPr>
            <w:noProof w:val="0"/>
            <w:webHidden/>
          </w:rPr>
          <w:fldChar w:fldCharType="separate"/>
        </w:r>
        <w:r w:rsidR="00A60C35">
          <w:rPr>
            <w:webHidden/>
          </w:rPr>
          <w:t>447</w:t>
        </w:r>
        <w:r w:rsidR="00226E87" w:rsidRPr="00BD16B4">
          <w:rPr>
            <w:noProof w:val="0"/>
            <w:webHidden/>
          </w:rPr>
          <w:fldChar w:fldCharType="end"/>
        </w:r>
      </w:hyperlink>
    </w:p>
    <w:p w14:paraId="381B94BE" w14:textId="5D82CF85" w:rsidR="00226E87" w:rsidRPr="00BD16B4" w:rsidRDefault="00FC49D2" w:rsidP="00486FDE">
      <w:pPr>
        <w:pStyle w:val="TOC2"/>
        <w:rPr>
          <w:rFonts w:asciiTheme="minorHAnsi" w:hAnsiTheme="minorHAnsi"/>
          <w:noProof w:val="0"/>
        </w:rPr>
      </w:pPr>
      <w:hyperlink w:anchor="_Toc120893209" w:history="1">
        <w:r w:rsidR="00226E87" w:rsidRPr="00BD16B4">
          <w:rPr>
            <w:rStyle w:val="Hyperlink"/>
            <w:noProof w:val="0"/>
          </w:rPr>
          <w:t>High-quality observations versus ‘fit-for-purpose’</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_Toc120893209 \h </w:instrText>
        </w:r>
        <w:r w:rsidR="00226E87" w:rsidRPr="00BD16B4">
          <w:rPr>
            <w:noProof w:val="0"/>
            <w:webHidden/>
          </w:rPr>
        </w:r>
        <w:r w:rsidR="00226E87" w:rsidRPr="00BD16B4">
          <w:rPr>
            <w:noProof w:val="0"/>
            <w:webHidden/>
          </w:rPr>
          <w:fldChar w:fldCharType="separate"/>
        </w:r>
        <w:r w:rsidR="00A60C35">
          <w:rPr>
            <w:webHidden/>
          </w:rPr>
          <w:t>447</w:t>
        </w:r>
        <w:r w:rsidR="00226E87" w:rsidRPr="00BD16B4">
          <w:rPr>
            <w:noProof w:val="0"/>
            <w:webHidden/>
          </w:rPr>
          <w:fldChar w:fldCharType="end"/>
        </w:r>
      </w:hyperlink>
    </w:p>
    <w:p w14:paraId="15260F26" w14:textId="46EA7465" w:rsidR="00226E87" w:rsidRPr="00BD16B4" w:rsidRDefault="00FC49D2" w:rsidP="00486FDE">
      <w:pPr>
        <w:pStyle w:val="TOC2"/>
        <w:rPr>
          <w:rFonts w:asciiTheme="minorHAnsi" w:hAnsiTheme="minorHAnsi"/>
          <w:noProof w:val="0"/>
        </w:rPr>
      </w:pPr>
      <w:hyperlink w:anchor="_Toc120893210" w:history="1">
        <w:r w:rsidR="00226E87" w:rsidRPr="00BD16B4">
          <w:rPr>
            <w:rStyle w:val="Hyperlink"/>
            <w:noProof w:val="0"/>
          </w:rPr>
          <w:t>National coordination</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_Toc120893210 \h </w:instrText>
        </w:r>
        <w:r w:rsidR="00226E87" w:rsidRPr="00BD16B4">
          <w:rPr>
            <w:noProof w:val="0"/>
            <w:webHidden/>
          </w:rPr>
        </w:r>
        <w:r w:rsidR="00226E87" w:rsidRPr="00BD16B4">
          <w:rPr>
            <w:noProof w:val="0"/>
            <w:webHidden/>
          </w:rPr>
          <w:fldChar w:fldCharType="separate"/>
        </w:r>
        <w:r w:rsidR="00A60C35">
          <w:rPr>
            <w:webHidden/>
          </w:rPr>
          <w:t>448</w:t>
        </w:r>
        <w:r w:rsidR="00226E87" w:rsidRPr="00BD16B4">
          <w:rPr>
            <w:noProof w:val="0"/>
            <w:webHidden/>
          </w:rPr>
          <w:fldChar w:fldCharType="end"/>
        </w:r>
      </w:hyperlink>
    </w:p>
    <w:p w14:paraId="701FDB46" w14:textId="6FEAF65D" w:rsidR="00226E87" w:rsidRPr="00BD16B4" w:rsidRDefault="00FC49D2" w:rsidP="00486FDE">
      <w:pPr>
        <w:pStyle w:val="TOC2"/>
        <w:rPr>
          <w:rFonts w:asciiTheme="minorHAnsi" w:hAnsiTheme="minorHAnsi"/>
          <w:noProof w:val="0"/>
        </w:rPr>
      </w:pPr>
      <w:hyperlink w:anchor="_Toc120893211" w:history="1">
        <w:r w:rsidR="00226E87" w:rsidRPr="00BD16B4">
          <w:rPr>
            <w:rStyle w:val="Hyperlink"/>
            <w:noProof w:val="0"/>
          </w:rPr>
          <w:t>National data archives and data centres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_Toc120893211 \h </w:instrText>
        </w:r>
        <w:r w:rsidR="00226E87" w:rsidRPr="00BD16B4">
          <w:rPr>
            <w:noProof w:val="0"/>
            <w:webHidden/>
          </w:rPr>
        </w:r>
        <w:r w:rsidR="00226E87" w:rsidRPr="00BD16B4">
          <w:rPr>
            <w:noProof w:val="0"/>
            <w:webHidden/>
          </w:rPr>
          <w:fldChar w:fldCharType="separate"/>
        </w:r>
        <w:r w:rsidR="00A60C35">
          <w:rPr>
            <w:webHidden/>
          </w:rPr>
          <w:t>449</w:t>
        </w:r>
        <w:r w:rsidR="00226E87" w:rsidRPr="00BD16B4">
          <w:rPr>
            <w:noProof w:val="0"/>
            <w:webHidden/>
          </w:rPr>
          <w:fldChar w:fldCharType="end"/>
        </w:r>
      </w:hyperlink>
    </w:p>
    <w:p w14:paraId="112C0EA9" w14:textId="555DAB58" w:rsidR="00226E87" w:rsidRPr="00BD16B4" w:rsidRDefault="00FC49D2" w:rsidP="00486FDE">
      <w:pPr>
        <w:pStyle w:val="TOC2"/>
        <w:rPr>
          <w:rFonts w:asciiTheme="minorHAnsi" w:hAnsiTheme="minorHAnsi"/>
          <w:noProof w:val="0"/>
        </w:rPr>
      </w:pPr>
      <w:hyperlink w:anchor="_Toc120893212" w:history="1">
        <w:r w:rsidR="00226E87" w:rsidRPr="00BD16B4">
          <w:rPr>
            <w:rStyle w:val="Hyperlink"/>
            <w:noProof w:val="0"/>
          </w:rPr>
          <w:t>Pacific Island region coordination and capacity building</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_Toc120893212 \h </w:instrText>
        </w:r>
        <w:r w:rsidR="00226E87" w:rsidRPr="00BD16B4">
          <w:rPr>
            <w:noProof w:val="0"/>
            <w:webHidden/>
          </w:rPr>
        </w:r>
        <w:r w:rsidR="00226E87" w:rsidRPr="00BD16B4">
          <w:rPr>
            <w:noProof w:val="0"/>
            <w:webHidden/>
          </w:rPr>
          <w:fldChar w:fldCharType="separate"/>
        </w:r>
        <w:r w:rsidR="00A60C35">
          <w:rPr>
            <w:webHidden/>
          </w:rPr>
          <w:t>452</w:t>
        </w:r>
        <w:r w:rsidR="00226E87" w:rsidRPr="00BD16B4">
          <w:rPr>
            <w:noProof w:val="0"/>
            <w:webHidden/>
          </w:rPr>
          <w:fldChar w:fldCharType="end"/>
        </w:r>
      </w:hyperlink>
    </w:p>
    <w:p w14:paraId="623B112E" w14:textId="16426209" w:rsidR="00226E87" w:rsidRPr="00BD16B4" w:rsidRDefault="00FC49D2" w:rsidP="00486FDE">
      <w:pPr>
        <w:pStyle w:val="TOC2"/>
        <w:rPr>
          <w:rFonts w:asciiTheme="minorHAnsi" w:hAnsiTheme="minorHAnsi"/>
          <w:noProof w:val="0"/>
        </w:rPr>
      </w:pPr>
      <w:hyperlink w:anchor="_Toc120893213" w:history="1">
        <w:r w:rsidR="00226E87" w:rsidRPr="00BD16B4">
          <w:rPr>
            <w:rStyle w:val="Hyperlink"/>
            <w:noProof w:val="0"/>
          </w:rPr>
          <w:t>Palaeoclimate data</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_Toc120893213 \h </w:instrText>
        </w:r>
        <w:r w:rsidR="00226E87" w:rsidRPr="00BD16B4">
          <w:rPr>
            <w:noProof w:val="0"/>
            <w:webHidden/>
          </w:rPr>
        </w:r>
        <w:r w:rsidR="00226E87" w:rsidRPr="00BD16B4">
          <w:rPr>
            <w:noProof w:val="0"/>
            <w:webHidden/>
          </w:rPr>
          <w:fldChar w:fldCharType="separate"/>
        </w:r>
        <w:r w:rsidR="00A60C35">
          <w:rPr>
            <w:webHidden/>
          </w:rPr>
          <w:t>453</w:t>
        </w:r>
        <w:r w:rsidR="00226E87" w:rsidRPr="00BD16B4">
          <w:rPr>
            <w:noProof w:val="0"/>
            <w:webHidden/>
          </w:rPr>
          <w:fldChar w:fldCharType="end"/>
        </w:r>
      </w:hyperlink>
    </w:p>
    <w:p w14:paraId="0F0EFCDD" w14:textId="1FB59CDD" w:rsidR="00226E87" w:rsidRPr="00BD16B4" w:rsidRDefault="00FC49D2" w:rsidP="00486FDE">
      <w:pPr>
        <w:pStyle w:val="TOC1"/>
        <w:rPr>
          <w:rFonts w:asciiTheme="minorHAnsi" w:hAnsiTheme="minorHAnsi"/>
          <w:noProof w:val="0"/>
        </w:rPr>
      </w:pPr>
      <w:hyperlink w:anchor="_Toc120893214" w:history="1">
        <w:r w:rsidR="00226E87" w:rsidRPr="00BD16B4">
          <w:rPr>
            <w:rStyle w:val="Hyperlink"/>
            <w:noProof w:val="0"/>
          </w:rPr>
          <w:t>Essential Climate Variables: Atmosphere</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_Toc120893214 \h </w:instrText>
        </w:r>
        <w:r w:rsidR="00226E87" w:rsidRPr="00BD16B4">
          <w:rPr>
            <w:noProof w:val="0"/>
            <w:webHidden/>
          </w:rPr>
        </w:r>
        <w:r w:rsidR="00226E87" w:rsidRPr="00BD16B4">
          <w:rPr>
            <w:noProof w:val="0"/>
            <w:webHidden/>
          </w:rPr>
          <w:fldChar w:fldCharType="separate"/>
        </w:r>
        <w:r w:rsidR="00A60C35">
          <w:rPr>
            <w:webHidden/>
          </w:rPr>
          <w:t>456</w:t>
        </w:r>
        <w:r w:rsidR="00226E87" w:rsidRPr="00BD16B4">
          <w:rPr>
            <w:noProof w:val="0"/>
            <w:webHidden/>
          </w:rPr>
          <w:fldChar w:fldCharType="end"/>
        </w:r>
      </w:hyperlink>
    </w:p>
    <w:p w14:paraId="4D075405" w14:textId="268708C8" w:rsidR="00226E87" w:rsidRPr="00BD16B4" w:rsidRDefault="00FC49D2" w:rsidP="00486FDE">
      <w:pPr>
        <w:pStyle w:val="TOC2"/>
        <w:rPr>
          <w:rFonts w:asciiTheme="minorHAnsi" w:hAnsiTheme="minorHAnsi"/>
          <w:noProof w:val="0"/>
        </w:rPr>
      </w:pPr>
      <w:hyperlink w:anchor="_Toc120893215" w:history="1">
        <w:r w:rsidR="00226E87" w:rsidRPr="00BD16B4">
          <w:rPr>
            <w:rStyle w:val="Hyperlink"/>
            <w:noProof w:val="0"/>
          </w:rPr>
          <w:t>General situation: National data collection and support</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_Toc120893215 \h </w:instrText>
        </w:r>
        <w:r w:rsidR="00226E87" w:rsidRPr="00BD16B4">
          <w:rPr>
            <w:noProof w:val="0"/>
            <w:webHidden/>
          </w:rPr>
        </w:r>
        <w:r w:rsidR="00226E87" w:rsidRPr="00BD16B4">
          <w:rPr>
            <w:noProof w:val="0"/>
            <w:webHidden/>
          </w:rPr>
          <w:fldChar w:fldCharType="separate"/>
        </w:r>
        <w:r w:rsidR="00A60C35">
          <w:rPr>
            <w:webHidden/>
          </w:rPr>
          <w:t>456</w:t>
        </w:r>
        <w:r w:rsidR="00226E87" w:rsidRPr="00BD16B4">
          <w:rPr>
            <w:noProof w:val="0"/>
            <w:webHidden/>
          </w:rPr>
          <w:fldChar w:fldCharType="end"/>
        </w:r>
      </w:hyperlink>
    </w:p>
    <w:p w14:paraId="2D2F2453" w14:textId="3872093D" w:rsidR="00226E87" w:rsidRPr="00BD16B4" w:rsidRDefault="00FC49D2" w:rsidP="00486FDE">
      <w:pPr>
        <w:pStyle w:val="TOC2"/>
        <w:rPr>
          <w:rFonts w:asciiTheme="minorHAnsi" w:hAnsiTheme="minorHAnsi"/>
          <w:noProof w:val="0"/>
        </w:rPr>
      </w:pPr>
      <w:hyperlink w:anchor="_Toc120893216" w:history="1">
        <w:r w:rsidR="00226E87" w:rsidRPr="00BD16B4">
          <w:rPr>
            <w:rStyle w:val="Hyperlink"/>
            <w:noProof w:val="0"/>
          </w:rPr>
          <w:t>Surface weather observations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_Toc120893216 \h </w:instrText>
        </w:r>
        <w:r w:rsidR="00226E87" w:rsidRPr="00BD16B4">
          <w:rPr>
            <w:noProof w:val="0"/>
            <w:webHidden/>
          </w:rPr>
        </w:r>
        <w:r w:rsidR="00226E87" w:rsidRPr="00BD16B4">
          <w:rPr>
            <w:noProof w:val="0"/>
            <w:webHidden/>
          </w:rPr>
          <w:fldChar w:fldCharType="separate"/>
        </w:r>
        <w:r w:rsidR="00A60C35">
          <w:rPr>
            <w:webHidden/>
          </w:rPr>
          <w:t>457</w:t>
        </w:r>
        <w:r w:rsidR="00226E87" w:rsidRPr="00BD16B4">
          <w:rPr>
            <w:noProof w:val="0"/>
            <w:webHidden/>
          </w:rPr>
          <w:fldChar w:fldCharType="end"/>
        </w:r>
      </w:hyperlink>
    </w:p>
    <w:p w14:paraId="04915C32" w14:textId="6F0047C4" w:rsidR="00226E87" w:rsidRPr="00BD16B4" w:rsidRDefault="00FC49D2" w:rsidP="00486FDE">
      <w:pPr>
        <w:pStyle w:val="TOC2"/>
        <w:rPr>
          <w:rFonts w:asciiTheme="minorHAnsi" w:hAnsiTheme="minorHAnsi"/>
          <w:noProof w:val="0"/>
        </w:rPr>
      </w:pPr>
      <w:hyperlink w:anchor="_Toc120893217" w:history="1">
        <w:r w:rsidR="00226E87" w:rsidRPr="00BD16B4">
          <w:rPr>
            <w:rStyle w:val="Hyperlink"/>
            <w:noProof w:val="0"/>
          </w:rPr>
          <w:t>Atmospheric constituents measurements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_Toc120893217 \h </w:instrText>
        </w:r>
        <w:r w:rsidR="00226E87" w:rsidRPr="00BD16B4">
          <w:rPr>
            <w:noProof w:val="0"/>
            <w:webHidden/>
          </w:rPr>
        </w:r>
        <w:r w:rsidR="00226E87" w:rsidRPr="00BD16B4">
          <w:rPr>
            <w:noProof w:val="0"/>
            <w:webHidden/>
          </w:rPr>
          <w:fldChar w:fldCharType="separate"/>
        </w:r>
        <w:r w:rsidR="00A60C35">
          <w:rPr>
            <w:webHidden/>
          </w:rPr>
          <w:t>458</w:t>
        </w:r>
        <w:r w:rsidR="00226E87" w:rsidRPr="00BD16B4">
          <w:rPr>
            <w:noProof w:val="0"/>
            <w:webHidden/>
          </w:rPr>
          <w:fldChar w:fldCharType="end"/>
        </w:r>
      </w:hyperlink>
    </w:p>
    <w:p w14:paraId="578AAE0C" w14:textId="13D9BC06" w:rsidR="00226E87" w:rsidRPr="00BD16B4" w:rsidRDefault="00FC49D2" w:rsidP="00486FDE">
      <w:pPr>
        <w:pStyle w:val="TOC2"/>
        <w:rPr>
          <w:rFonts w:asciiTheme="minorHAnsi" w:hAnsiTheme="minorHAnsi"/>
          <w:noProof w:val="0"/>
        </w:rPr>
      </w:pPr>
      <w:hyperlink w:anchor="_Toc120893218" w:history="1">
        <w:r w:rsidR="00226E87" w:rsidRPr="00BD16B4">
          <w:rPr>
            <w:rStyle w:val="Hyperlink"/>
            <w:noProof w:val="0"/>
          </w:rPr>
          <w:t>Satellite-based measurements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_Toc120893218 \h </w:instrText>
        </w:r>
        <w:r w:rsidR="00226E87" w:rsidRPr="00BD16B4">
          <w:rPr>
            <w:noProof w:val="0"/>
            <w:webHidden/>
          </w:rPr>
        </w:r>
        <w:r w:rsidR="00226E87" w:rsidRPr="00BD16B4">
          <w:rPr>
            <w:noProof w:val="0"/>
            <w:webHidden/>
          </w:rPr>
          <w:fldChar w:fldCharType="separate"/>
        </w:r>
        <w:r w:rsidR="00A60C35">
          <w:rPr>
            <w:webHidden/>
          </w:rPr>
          <w:t>460</w:t>
        </w:r>
        <w:r w:rsidR="00226E87" w:rsidRPr="00BD16B4">
          <w:rPr>
            <w:noProof w:val="0"/>
            <w:webHidden/>
          </w:rPr>
          <w:fldChar w:fldCharType="end"/>
        </w:r>
      </w:hyperlink>
    </w:p>
    <w:p w14:paraId="7E43F1ED" w14:textId="0D81B039" w:rsidR="00226E87" w:rsidRPr="00BD16B4" w:rsidRDefault="00FC49D2" w:rsidP="00486FDE">
      <w:pPr>
        <w:pStyle w:val="TOC2"/>
        <w:rPr>
          <w:rFonts w:asciiTheme="minorHAnsi" w:hAnsiTheme="minorHAnsi"/>
          <w:noProof w:val="0"/>
        </w:rPr>
      </w:pPr>
      <w:hyperlink w:anchor="_Toc120893219" w:history="1">
        <w:r w:rsidR="00226E87" w:rsidRPr="00BD16B4">
          <w:rPr>
            <w:rStyle w:val="Hyperlink"/>
            <w:noProof w:val="0"/>
          </w:rPr>
          <w:t>Response to GCOS implementation plan</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_Toc120893219 \h </w:instrText>
        </w:r>
        <w:r w:rsidR="00226E87" w:rsidRPr="00BD16B4">
          <w:rPr>
            <w:noProof w:val="0"/>
            <w:webHidden/>
          </w:rPr>
        </w:r>
        <w:r w:rsidR="00226E87" w:rsidRPr="00BD16B4">
          <w:rPr>
            <w:noProof w:val="0"/>
            <w:webHidden/>
          </w:rPr>
          <w:fldChar w:fldCharType="separate"/>
        </w:r>
        <w:r w:rsidR="00A60C35">
          <w:rPr>
            <w:webHidden/>
          </w:rPr>
          <w:t>461</w:t>
        </w:r>
        <w:r w:rsidR="00226E87" w:rsidRPr="00BD16B4">
          <w:rPr>
            <w:noProof w:val="0"/>
            <w:webHidden/>
          </w:rPr>
          <w:fldChar w:fldCharType="end"/>
        </w:r>
      </w:hyperlink>
    </w:p>
    <w:p w14:paraId="0FA4FCB3" w14:textId="4529B712" w:rsidR="00226E87" w:rsidRPr="00BD16B4" w:rsidRDefault="00FC49D2" w:rsidP="00486FDE">
      <w:pPr>
        <w:pStyle w:val="TOC1"/>
        <w:rPr>
          <w:rFonts w:asciiTheme="minorHAnsi" w:hAnsiTheme="minorHAnsi"/>
          <w:noProof w:val="0"/>
        </w:rPr>
      </w:pPr>
      <w:hyperlink w:anchor="_Toc120893220" w:history="1">
        <w:r w:rsidR="00226E87" w:rsidRPr="00BD16B4">
          <w:rPr>
            <w:rStyle w:val="Hyperlink"/>
            <w:noProof w:val="0"/>
          </w:rPr>
          <w:t>Essential Climate Variables: Ocean</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_Toc120893220 \h </w:instrText>
        </w:r>
        <w:r w:rsidR="00226E87" w:rsidRPr="00BD16B4">
          <w:rPr>
            <w:noProof w:val="0"/>
            <w:webHidden/>
          </w:rPr>
        </w:r>
        <w:r w:rsidR="00226E87" w:rsidRPr="00BD16B4">
          <w:rPr>
            <w:noProof w:val="0"/>
            <w:webHidden/>
          </w:rPr>
          <w:fldChar w:fldCharType="separate"/>
        </w:r>
        <w:r w:rsidR="00A60C35">
          <w:rPr>
            <w:webHidden/>
          </w:rPr>
          <w:t>463</w:t>
        </w:r>
        <w:r w:rsidR="00226E87" w:rsidRPr="00BD16B4">
          <w:rPr>
            <w:noProof w:val="0"/>
            <w:webHidden/>
          </w:rPr>
          <w:fldChar w:fldCharType="end"/>
        </w:r>
      </w:hyperlink>
    </w:p>
    <w:p w14:paraId="477F0C35" w14:textId="6164E5E9" w:rsidR="00226E87" w:rsidRPr="00BD16B4" w:rsidRDefault="00FC49D2" w:rsidP="00486FDE">
      <w:pPr>
        <w:pStyle w:val="TOC2"/>
        <w:rPr>
          <w:rFonts w:asciiTheme="minorHAnsi" w:hAnsiTheme="minorHAnsi"/>
          <w:noProof w:val="0"/>
        </w:rPr>
      </w:pPr>
      <w:hyperlink w:anchor="_Toc120893221" w:history="1">
        <w:r w:rsidR="00226E87" w:rsidRPr="00BD16B4">
          <w:rPr>
            <w:rStyle w:val="Hyperlink"/>
            <w:noProof w:val="0"/>
          </w:rPr>
          <w:t>Physical ocean measurements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_Toc120893221 \h </w:instrText>
        </w:r>
        <w:r w:rsidR="00226E87" w:rsidRPr="00BD16B4">
          <w:rPr>
            <w:noProof w:val="0"/>
            <w:webHidden/>
          </w:rPr>
        </w:r>
        <w:r w:rsidR="00226E87" w:rsidRPr="00BD16B4">
          <w:rPr>
            <w:noProof w:val="0"/>
            <w:webHidden/>
          </w:rPr>
          <w:fldChar w:fldCharType="separate"/>
        </w:r>
        <w:r w:rsidR="00A60C35">
          <w:rPr>
            <w:webHidden/>
          </w:rPr>
          <w:t>463</w:t>
        </w:r>
        <w:r w:rsidR="00226E87" w:rsidRPr="00BD16B4">
          <w:rPr>
            <w:noProof w:val="0"/>
            <w:webHidden/>
          </w:rPr>
          <w:fldChar w:fldCharType="end"/>
        </w:r>
      </w:hyperlink>
    </w:p>
    <w:p w14:paraId="70043B65" w14:textId="62CEE83C" w:rsidR="00226E87" w:rsidRPr="00BD16B4" w:rsidRDefault="00FC49D2" w:rsidP="00486FDE">
      <w:pPr>
        <w:pStyle w:val="TOC2"/>
        <w:rPr>
          <w:rFonts w:asciiTheme="minorHAnsi" w:hAnsiTheme="minorHAnsi"/>
          <w:noProof w:val="0"/>
        </w:rPr>
      </w:pPr>
      <w:hyperlink w:anchor="_Toc120893222" w:history="1">
        <w:r w:rsidR="00226E87" w:rsidRPr="00BD16B4">
          <w:rPr>
            <w:rStyle w:val="Hyperlink"/>
            <w:noProof w:val="0"/>
          </w:rPr>
          <w:t>Biochemical ocean measurements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_Toc120893222 \h </w:instrText>
        </w:r>
        <w:r w:rsidR="00226E87" w:rsidRPr="00BD16B4">
          <w:rPr>
            <w:noProof w:val="0"/>
            <w:webHidden/>
          </w:rPr>
        </w:r>
        <w:r w:rsidR="00226E87" w:rsidRPr="00BD16B4">
          <w:rPr>
            <w:noProof w:val="0"/>
            <w:webHidden/>
          </w:rPr>
          <w:fldChar w:fldCharType="separate"/>
        </w:r>
        <w:r w:rsidR="00A60C35">
          <w:rPr>
            <w:webHidden/>
          </w:rPr>
          <w:t>465</w:t>
        </w:r>
        <w:r w:rsidR="00226E87" w:rsidRPr="00BD16B4">
          <w:rPr>
            <w:noProof w:val="0"/>
            <w:webHidden/>
          </w:rPr>
          <w:fldChar w:fldCharType="end"/>
        </w:r>
      </w:hyperlink>
    </w:p>
    <w:p w14:paraId="6D679257" w14:textId="202765F4" w:rsidR="00226E87" w:rsidRPr="00BD16B4" w:rsidRDefault="00FC49D2" w:rsidP="00486FDE">
      <w:pPr>
        <w:pStyle w:val="TOC2"/>
        <w:rPr>
          <w:rFonts w:asciiTheme="minorHAnsi" w:hAnsiTheme="minorHAnsi"/>
          <w:noProof w:val="0"/>
        </w:rPr>
      </w:pPr>
      <w:hyperlink w:anchor="_Toc120893223" w:history="1">
        <w:r w:rsidR="00226E87" w:rsidRPr="00BD16B4">
          <w:rPr>
            <w:rStyle w:val="Hyperlink"/>
            <w:noProof w:val="0"/>
          </w:rPr>
          <w:t>Biological and ecosystems ocean measurements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_Toc120893223 \h </w:instrText>
        </w:r>
        <w:r w:rsidR="00226E87" w:rsidRPr="00BD16B4">
          <w:rPr>
            <w:noProof w:val="0"/>
            <w:webHidden/>
          </w:rPr>
        </w:r>
        <w:r w:rsidR="00226E87" w:rsidRPr="00BD16B4">
          <w:rPr>
            <w:noProof w:val="0"/>
            <w:webHidden/>
          </w:rPr>
          <w:fldChar w:fldCharType="separate"/>
        </w:r>
        <w:r w:rsidR="00A60C35">
          <w:rPr>
            <w:webHidden/>
          </w:rPr>
          <w:t>466</w:t>
        </w:r>
        <w:r w:rsidR="00226E87" w:rsidRPr="00BD16B4">
          <w:rPr>
            <w:noProof w:val="0"/>
            <w:webHidden/>
          </w:rPr>
          <w:fldChar w:fldCharType="end"/>
        </w:r>
      </w:hyperlink>
    </w:p>
    <w:p w14:paraId="39660F2A" w14:textId="0011DD96" w:rsidR="00226E87" w:rsidRPr="00BD16B4" w:rsidRDefault="00FC49D2" w:rsidP="00486FDE">
      <w:pPr>
        <w:pStyle w:val="TOC2"/>
        <w:rPr>
          <w:rFonts w:asciiTheme="minorHAnsi" w:hAnsiTheme="minorHAnsi"/>
          <w:noProof w:val="0"/>
        </w:rPr>
      </w:pPr>
      <w:hyperlink w:anchor="_Toc120893224" w:history="1">
        <w:r w:rsidR="00226E87" w:rsidRPr="00BD16B4">
          <w:rPr>
            <w:rStyle w:val="Hyperlink"/>
            <w:noProof w:val="0"/>
          </w:rPr>
          <w:t>Satellite-based measurements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_Toc120893224 \h </w:instrText>
        </w:r>
        <w:r w:rsidR="00226E87" w:rsidRPr="00BD16B4">
          <w:rPr>
            <w:noProof w:val="0"/>
            <w:webHidden/>
          </w:rPr>
        </w:r>
        <w:r w:rsidR="00226E87" w:rsidRPr="00BD16B4">
          <w:rPr>
            <w:noProof w:val="0"/>
            <w:webHidden/>
          </w:rPr>
          <w:fldChar w:fldCharType="separate"/>
        </w:r>
        <w:r w:rsidR="00A60C35">
          <w:rPr>
            <w:webHidden/>
          </w:rPr>
          <w:t>467</w:t>
        </w:r>
        <w:r w:rsidR="00226E87" w:rsidRPr="00BD16B4">
          <w:rPr>
            <w:noProof w:val="0"/>
            <w:webHidden/>
          </w:rPr>
          <w:fldChar w:fldCharType="end"/>
        </w:r>
      </w:hyperlink>
    </w:p>
    <w:p w14:paraId="1B6085F7" w14:textId="4FB766B3" w:rsidR="00226E87" w:rsidRPr="00BD16B4" w:rsidRDefault="00FC49D2" w:rsidP="00486FDE">
      <w:pPr>
        <w:pStyle w:val="TOC2"/>
        <w:rPr>
          <w:rFonts w:asciiTheme="minorHAnsi" w:hAnsiTheme="minorHAnsi"/>
          <w:noProof w:val="0"/>
        </w:rPr>
      </w:pPr>
      <w:hyperlink w:anchor="_Toc120893225" w:history="1">
        <w:r w:rsidR="00226E87" w:rsidRPr="00BD16B4">
          <w:rPr>
            <w:rStyle w:val="Hyperlink"/>
            <w:noProof w:val="0"/>
          </w:rPr>
          <w:t>Response to GCOS implementation plan</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_Toc120893225 \h </w:instrText>
        </w:r>
        <w:r w:rsidR="00226E87" w:rsidRPr="00BD16B4">
          <w:rPr>
            <w:noProof w:val="0"/>
            <w:webHidden/>
          </w:rPr>
        </w:r>
        <w:r w:rsidR="00226E87" w:rsidRPr="00BD16B4">
          <w:rPr>
            <w:noProof w:val="0"/>
            <w:webHidden/>
          </w:rPr>
          <w:fldChar w:fldCharType="separate"/>
        </w:r>
        <w:r w:rsidR="00A60C35">
          <w:rPr>
            <w:webHidden/>
          </w:rPr>
          <w:t>468</w:t>
        </w:r>
        <w:r w:rsidR="00226E87" w:rsidRPr="00BD16B4">
          <w:rPr>
            <w:noProof w:val="0"/>
            <w:webHidden/>
          </w:rPr>
          <w:fldChar w:fldCharType="end"/>
        </w:r>
      </w:hyperlink>
    </w:p>
    <w:p w14:paraId="6100280D" w14:textId="73EB22A1" w:rsidR="00226E87" w:rsidRPr="00BD16B4" w:rsidRDefault="00FC49D2" w:rsidP="00486FDE">
      <w:pPr>
        <w:pStyle w:val="TOC1"/>
        <w:rPr>
          <w:rFonts w:asciiTheme="minorHAnsi" w:hAnsiTheme="minorHAnsi"/>
          <w:noProof w:val="0"/>
        </w:rPr>
      </w:pPr>
      <w:hyperlink w:anchor="_Toc120893226" w:history="1">
        <w:r w:rsidR="00226E87" w:rsidRPr="00BD16B4">
          <w:rPr>
            <w:rStyle w:val="Hyperlink"/>
            <w:noProof w:val="0"/>
          </w:rPr>
          <w:t>Essential Climate Variables: Land</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_Toc120893226 \h </w:instrText>
        </w:r>
        <w:r w:rsidR="00226E87" w:rsidRPr="00BD16B4">
          <w:rPr>
            <w:noProof w:val="0"/>
            <w:webHidden/>
          </w:rPr>
        </w:r>
        <w:r w:rsidR="00226E87" w:rsidRPr="00BD16B4">
          <w:rPr>
            <w:noProof w:val="0"/>
            <w:webHidden/>
          </w:rPr>
          <w:fldChar w:fldCharType="separate"/>
        </w:r>
        <w:r w:rsidR="00A60C35">
          <w:rPr>
            <w:webHidden/>
          </w:rPr>
          <w:t>471</w:t>
        </w:r>
        <w:r w:rsidR="00226E87" w:rsidRPr="00BD16B4">
          <w:rPr>
            <w:noProof w:val="0"/>
            <w:webHidden/>
          </w:rPr>
          <w:fldChar w:fldCharType="end"/>
        </w:r>
      </w:hyperlink>
    </w:p>
    <w:p w14:paraId="5E0D53F6" w14:textId="6FDD1AEE" w:rsidR="00226E87" w:rsidRPr="00BD16B4" w:rsidRDefault="00FC49D2" w:rsidP="00486FDE">
      <w:pPr>
        <w:pStyle w:val="TOC2"/>
        <w:rPr>
          <w:rFonts w:asciiTheme="minorHAnsi" w:hAnsiTheme="minorHAnsi"/>
          <w:noProof w:val="0"/>
        </w:rPr>
      </w:pPr>
      <w:hyperlink w:anchor="_Toc120893227" w:history="1">
        <w:r w:rsidR="00226E87" w:rsidRPr="00BD16B4">
          <w:rPr>
            <w:rStyle w:val="Hyperlink"/>
            <w:noProof w:val="0"/>
          </w:rPr>
          <w:t>Cryosphere observations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_Toc120893227 \h </w:instrText>
        </w:r>
        <w:r w:rsidR="00226E87" w:rsidRPr="00BD16B4">
          <w:rPr>
            <w:noProof w:val="0"/>
            <w:webHidden/>
          </w:rPr>
        </w:r>
        <w:r w:rsidR="00226E87" w:rsidRPr="00BD16B4">
          <w:rPr>
            <w:noProof w:val="0"/>
            <w:webHidden/>
          </w:rPr>
          <w:fldChar w:fldCharType="separate"/>
        </w:r>
        <w:r w:rsidR="00A60C35">
          <w:rPr>
            <w:webHidden/>
          </w:rPr>
          <w:t>471</w:t>
        </w:r>
        <w:r w:rsidR="00226E87" w:rsidRPr="00BD16B4">
          <w:rPr>
            <w:noProof w:val="0"/>
            <w:webHidden/>
          </w:rPr>
          <w:fldChar w:fldCharType="end"/>
        </w:r>
      </w:hyperlink>
    </w:p>
    <w:p w14:paraId="405AEB05" w14:textId="2A90E64E" w:rsidR="00226E87" w:rsidRPr="00BD16B4" w:rsidRDefault="00FC49D2" w:rsidP="00486FDE">
      <w:pPr>
        <w:pStyle w:val="TOC2"/>
        <w:rPr>
          <w:rFonts w:asciiTheme="minorHAnsi" w:hAnsiTheme="minorHAnsi"/>
          <w:noProof w:val="0"/>
        </w:rPr>
      </w:pPr>
      <w:hyperlink w:anchor="_Toc120893228" w:history="1">
        <w:r w:rsidR="00226E87" w:rsidRPr="00BD16B4">
          <w:rPr>
            <w:rStyle w:val="Hyperlink"/>
            <w:noProof w:val="0"/>
          </w:rPr>
          <w:t>Hydrosphere observations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_Toc120893228 \h </w:instrText>
        </w:r>
        <w:r w:rsidR="00226E87" w:rsidRPr="00BD16B4">
          <w:rPr>
            <w:noProof w:val="0"/>
            <w:webHidden/>
          </w:rPr>
        </w:r>
        <w:r w:rsidR="00226E87" w:rsidRPr="00BD16B4">
          <w:rPr>
            <w:noProof w:val="0"/>
            <w:webHidden/>
          </w:rPr>
          <w:fldChar w:fldCharType="separate"/>
        </w:r>
        <w:r w:rsidR="00A60C35">
          <w:rPr>
            <w:webHidden/>
          </w:rPr>
          <w:t>472</w:t>
        </w:r>
        <w:r w:rsidR="00226E87" w:rsidRPr="00BD16B4">
          <w:rPr>
            <w:noProof w:val="0"/>
            <w:webHidden/>
          </w:rPr>
          <w:fldChar w:fldCharType="end"/>
        </w:r>
      </w:hyperlink>
    </w:p>
    <w:p w14:paraId="7AF6F2CF" w14:textId="1343939B" w:rsidR="00226E87" w:rsidRPr="00BD16B4" w:rsidRDefault="00FC49D2" w:rsidP="00486FDE">
      <w:pPr>
        <w:pStyle w:val="TOC2"/>
        <w:rPr>
          <w:rFonts w:asciiTheme="minorHAnsi" w:hAnsiTheme="minorHAnsi"/>
          <w:noProof w:val="0"/>
        </w:rPr>
      </w:pPr>
      <w:hyperlink w:anchor="_Toc120893229" w:history="1">
        <w:r w:rsidR="00226E87" w:rsidRPr="00BD16B4">
          <w:rPr>
            <w:rStyle w:val="Hyperlink"/>
            <w:noProof w:val="0"/>
          </w:rPr>
          <w:t>Biosphere observations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_Toc120893229 \h </w:instrText>
        </w:r>
        <w:r w:rsidR="00226E87" w:rsidRPr="00BD16B4">
          <w:rPr>
            <w:noProof w:val="0"/>
            <w:webHidden/>
          </w:rPr>
        </w:r>
        <w:r w:rsidR="00226E87" w:rsidRPr="00BD16B4">
          <w:rPr>
            <w:noProof w:val="0"/>
            <w:webHidden/>
          </w:rPr>
          <w:fldChar w:fldCharType="separate"/>
        </w:r>
        <w:r w:rsidR="00A60C35">
          <w:rPr>
            <w:webHidden/>
          </w:rPr>
          <w:t>473</w:t>
        </w:r>
        <w:r w:rsidR="00226E87" w:rsidRPr="00BD16B4">
          <w:rPr>
            <w:noProof w:val="0"/>
            <w:webHidden/>
          </w:rPr>
          <w:fldChar w:fldCharType="end"/>
        </w:r>
      </w:hyperlink>
    </w:p>
    <w:p w14:paraId="6ECDE0CA" w14:textId="7E124825" w:rsidR="00226E87" w:rsidRPr="00BD16B4" w:rsidRDefault="00FC49D2" w:rsidP="00486FDE">
      <w:pPr>
        <w:pStyle w:val="TOC2"/>
        <w:rPr>
          <w:rFonts w:asciiTheme="minorHAnsi" w:hAnsiTheme="minorHAnsi"/>
          <w:noProof w:val="0"/>
        </w:rPr>
      </w:pPr>
      <w:hyperlink w:anchor="_Toc120893230" w:history="1">
        <w:r w:rsidR="00226E87" w:rsidRPr="00BD16B4">
          <w:rPr>
            <w:rStyle w:val="Hyperlink"/>
            <w:noProof w:val="0"/>
          </w:rPr>
          <w:t>Anthropogenic observations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_Toc120893230 \h </w:instrText>
        </w:r>
        <w:r w:rsidR="00226E87" w:rsidRPr="00BD16B4">
          <w:rPr>
            <w:noProof w:val="0"/>
            <w:webHidden/>
          </w:rPr>
        </w:r>
        <w:r w:rsidR="00226E87" w:rsidRPr="00BD16B4">
          <w:rPr>
            <w:noProof w:val="0"/>
            <w:webHidden/>
          </w:rPr>
          <w:fldChar w:fldCharType="separate"/>
        </w:r>
        <w:r w:rsidR="00A60C35">
          <w:rPr>
            <w:webHidden/>
          </w:rPr>
          <w:t>475</w:t>
        </w:r>
        <w:r w:rsidR="00226E87" w:rsidRPr="00BD16B4">
          <w:rPr>
            <w:noProof w:val="0"/>
            <w:webHidden/>
          </w:rPr>
          <w:fldChar w:fldCharType="end"/>
        </w:r>
      </w:hyperlink>
    </w:p>
    <w:p w14:paraId="6B358D4E" w14:textId="628B4F58" w:rsidR="00226E87" w:rsidRPr="00BD16B4" w:rsidRDefault="00FC49D2" w:rsidP="00486FDE">
      <w:pPr>
        <w:pStyle w:val="TOC2"/>
        <w:rPr>
          <w:rFonts w:asciiTheme="minorHAnsi" w:hAnsiTheme="minorHAnsi"/>
          <w:noProof w:val="0"/>
        </w:rPr>
      </w:pPr>
      <w:hyperlink w:anchor="_Toc120893231" w:history="1">
        <w:r w:rsidR="00226E87" w:rsidRPr="00BD16B4">
          <w:rPr>
            <w:rStyle w:val="Hyperlink"/>
            <w:noProof w:val="0"/>
          </w:rPr>
          <w:t>Satellite-based measurements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_Toc120893231 \h </w:instrText>
        </w:r>
        <w:r w:rsidR="00226E87" w:rsidRPr="00BD16B4">
          <w:rPr>
            <w:noProof w:val="0"/>
            <w:webHidden/>
          </w:rPr>
        </w:r>
        <w:r w:rsidR="00226E87" w:rsidRPr="00BD16B4">
          <w:rPr>
            <w:noProof w:val="0"/>
            <w:webHidden/>
          </w:rPr>
          <w:fldChar w:fldCharType="separate"/>
        </w:r>
        <w:r w:rsidR="00A60C35">
          <w:rPr>
            <w:webHidden/>
          </w:rPr>
          <w:t>476</w:t>
        </w:r>
        <w:r w:rsidR="00226E87" w:rsidRPr="00BD16B4">
          <w:rPr>
            <w:noProof w:val="0"/>
            <w:webHidden/>
          </w:rPr>
          <w:fldChar w:fldCharType="end"/>
        </w:r>
      </w:hyperlink>
    </w:p>
    <w:p w14:paraId="007AE725" w14:textId="7B323CCA" w:rsidR="00226E87" w:rsidRPr="00BD16B4" w:rsidRDefault="00FC49D2" w:rsidP="00486FDE">
      <w:pPr>
        <w:pStyle w:val="TOC2"/>
        <w:rPr>
          <w:rFonts w:asciiTheme="minorHAnsi" w:hAnsiTheme="minorHAnsi"/>
          <w:noProof w:val="0"/>
        </w:rPr>
      </w:pPr>
      <w:hyperlink w:anchor="_Toc120893232" w:history="1">
        <w:r w:rsidR="00226E87" w:rsidRPr="00BD16B4">
          <w:rPr>
            <w:rStyle w:val="Hyperlink"/>
            <w:noProof w:val="0"/>
          </w:rPr>
          <w:t>Response to GCOS implementation plan</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_Toc120893232 \h </w:instrText>
        </w:r>
        <w:r w:rsidR="00226E87" w:rsidRPr="00BD16B4">
          <w:rPr>
            <w:noProof w:val="0"/>
            <w:webHidden/>
          </w:rPr>
        </w:r>
        <w:r w:rsidR="00226E87" w:rsidRPr="00BD16B4">
          <w:rPr>
            <w:noProof w:val="0"/>
            <w:webHidden/>
          </w:rPr>
          <w:fldChar w:fldCharType="separate"/>
        </w:r>
        <w:r w:rsidR="00A60C35">
          <w:rPr>
            <w:webHidden/>
          </w:rPr>
          <w:t>476</w:t>
        </w:r>
        <w:r w:rsidR="00226E87" w:rsidRPr="00BD16B4">
          <w:rPr>
            <w:noProof w:val="0"/>
            <w:webHidden/>
          </w:rPr>
          <w:fldChar w:fldCharType="end"/>
        </w:r>
      </w:hyperlink>
    </w:p>
    <w:p w14:paraId="06022906" w14:textId="7A7D5D2B" w:rsidR="00226E87" w:rsidRPr="00BD16B4" w:rsidRDefault="00FC49D2" w:rsidP="00486FDE">
      <w:pPr>
        <w:pStyle w:val="TOC1"/>
        <w:rPr>
          <w:rFonts w:asciiTheme="minorHAnsi" w:hAnsiTheme="minorHAnsi"/>
          <w:noProof w:val="0"/>
        </w:rPr>
      </w:pPr>
      <w:hyperlink w:anchor="_Toc120893233" w:history="1">
        <w:r w:rsidR="00226E87" w:rsidRPr="00BD16B4">
          <w:rPr>
            <w:rStyle w:val="Hyperlink"/>
            <w:noProof w:val="0"/>
          </w:rPr>
          <w:t>Appendix D1: Lists of observations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_Toc120893233 \h </w:instrText>
        </w:r>
        <w:r w:rsidR="00226E87" w:rsidRPr="00BD16B4">
          <w:rPr>
            <w:noProof w:val="0"/>
            <w:webHidden/>
          </w:rPr>
        </w:r>
        <w:r w:rsidR="00226E87" w:rsidRPr="00BD16B4">
          <w:rPr>
            <w:noProof w:val="0"/>
            <w:webHidden/>
          </w:rPr>
          <w:fldChar w:fldCharType="separate"/>
        </w:r>
        <w:r w:rsidR="00A60C35">
          <w:rPr>
            <w:webHidden/>
          </w:rPr>
          <w:t>479</w:t>
        </w:r>
        <w:r w:rsidR="00226E87" w:rsidRPr="00BD16B4">
          <w:rPr>
            <w:noProof w:val="0"/>
            <w:webHidden/>
          </w:rPr>
          <w:fldChar w:fldCharType="end"/>
        </w:r>
      </w:hyperlink>
    </w:p>
    <w:p w14:paraId="1BEC6F99" w14:textId="72EE0D64" w:rsidR="00226E87" w:rsidRPr="00BD16B4" w:rsidRDefault="00FC49D2" w:rsidP="00486FDE">
      <w:pPr>
        <w:pStyle w:val="TOC1"/>
        <w:rPr>
          <w:rFonts w:asciiTheme="minorHAnsi" w:hAnsiTheme="minorHAnsi"/>
          <w:noProof w:val="0"/>
        </w:rPr>
      </w:pPr>
      <w:hyperlink w:anchor="_Toc120893234" w:history="1">
        <w:r w:rsidR="00226E87" w:rsidRPr="00BD16B4">
          <w:rPr>
            <w:rStyle w:val="Hyperlink"/>
            <w:noProof w:val="0"/>
          </w:rPr>
          <w:t>Appendix D2: List of permanent stations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_Toc120893234 \h </w:instrText>
        </w:r>
        <w:r w:rsidR="00226E87" w:rsidRPr="00BD16B4">
          <w:rPr>
            <w:noProof w:val="0"/>
            <w:webHidden/>
          </w:rPr>
        </w:r>
        <w:r w:rsidR="00226E87" w:rsidRPr="00BD16B4">
          <w:rPr>
            <w:noProof w:val="0"/>
            <w:webHidden/>
          </w:rPr>
          <w:fldChar w:fldCharType="separate"/>
        </w:r>
        <w:r w:rsidR="00A60C35">
          <w:rPr>
            <w:webHidden/>
          </w:rPr>
          <w:t>483</w:t>
        </w:r>
        <w:r w:rsidR="00226E87" w:rsidRPr="00BD16B4">
          <w:rPr>
            <w:noProof w:val="0"/>
            <w:webHidden/>
          </w:rPr>
          <w:fldChar w:fldCharType="end"/>
        </w:r>
      </w:hyperlink>
    </w:p>
    <w:p w14:paraId="58820A31" w14:textId="4A4C1EB4" w:rsidR="00226E87" w:rsidRPr="00BD16B4" w:rsidRDefault="00FC49D2" w:rsidP="00486FDE">
      <w:pPr>
        <w:pStyle w:val="TOC1"/>
        <w:rPr>
          <w:rFonts w:asciiTheme="minorHAnsi" w:hAnsiTheme="minorHAnsi"/>
          <w:noProof w:val="0"/>
        </w:rPr>
      </w:pPr>
      <w:hyperlink w:anchor="_Toc120893235" w:history="1">
        <w:r w:rsidR="00226E87" w:rsidRPr="00BD16B4">
          <w:rPr>
            <w:rStyle w:val="Hyperlink"/>
            <w:noProof w:val="0"/>
          </w:rPr>
          <w:t>Appendix D3: Other international data contributions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_Toc120893235 \h </w:instrText>
        </w:r>
        <w:r w:rsidR="00226E87" w:rsidRPr="00BD16B4">
          <w:rPr>
            <w:noProof w:val="0"/>
            <w:webHidden/>
          </w:rPr>
        </w:r>
        <w:r w:rsidR="00226E87" w:rsidRPr="00BD16B4">
          <w:rPr>
            <w:noProof w:val="0"/>
            <w:webHidden/>
          </w:rPr>
          <w:fldChar w:fldCharType="separate"/>
        </w:r>
        <w:r w:rsidR="00A60C35">
          <w:rPr>
            <w:webHidden/>
          </w:rPr>
          <w:t>484</w:t>
        </w:r>
        <w:r w:rsidR="00226E87" w:rsidRPr="00BD16B4">
          <w:rPr>
            <w:noProof w:val="0"/>
            <w:webHidden/>
          </w:rPr>
          <w:fldChar w:fldCharType="end"/>
        </w:r>
      </w:hyperlink>
    </w:p>
    <w:p w14:paraId="0FCDF0E7" w14:textId="4C167A9D" w:rsidR="00226E87" w:rsidRPr="00BD16B4" w:rsidRDefault="00FC49D2" w:rsidP="00486FDE">
      <w:pPr>
        <w:pStyle w:val="TOC1"/>
        <w:rPr>
          <w:rFonts w:asciiTheme="minorHAnsi" w:hAnsiTheme="minorHAnsi"/>
          <w:noProof w:val="0"/>
        </w:rPr>
      </w:pPr>
      <w:hyperlink w:anchor="_Toc120893236" w:history="1">
        <w:r w:rsidR="00226E87" w:rsidRPr="00BD16B4">
          <w:rPr>
            <w:rStyle w:val="Hyperlink"/>
            <w:noProof w:val="0"/>
          </w:rPr>
          <w:t>Acknowledgements</w:t>
        </w:r>
        <w:r w:rsidR="00226E87" w:rsidRPr="00BD16B4">
          <w:rPr>
            <w:noProof w:val="0"/>
            <w:webHidden/>
          </w:rPr>
          <w:tab/>
        </w:r>
        <w:r w:rsidR="00226E87" w:rsidRPr="00BD16B4">
          <w:rPr>
            <w:noProof w:val="0"/>
            <w:webHidden/>
          </w:rPr>
          <w:fldChar w:fldCharType="begin"/>
        </w:r>
        <w:r w:rsidR="00226E87" w:rsidRPr="00BD16B4">
          <w:rPr>
            <w:noProof w:val="0"/>
            <w:webHidden/>
          </w:rPr>
          <w:instrText xml:space="preserve"> PAGEREF _Toc120893236 \h </w:instrText>
        </w:r>
        <w:r w:rsidR="00226E87" w:rsidRPr="00BD16B4">
          <w:rPr>
            <w:noProof w:val="0"/>
            <w:webHidden/>
          </w:rPr>
        </w:r>
        <w:r w:rsidR="00226E87" w:rsidRPr="00BD16B4">
          <w:rPr>
            <w:noProof w:val="0"/>
            <w:webHidden/>
          </w:rPr>
          <w:fldChar w:fldCharType="separate"/>
        </w:r>
        <w:r w:rsidR="00A60C35">
          <w:rPr>
            <w:webHidden/>
          </w:rPr>
          <w:t>486</w:t>
        </w:r>
        <w:r w:rsidR="00226E87" w:rsidRPr="00BD16B4">
          <w:rPr>
            <w:noProof w:val="0"/>
            <w:webHidden/>
          </w:rPr>
          <w:fldChar w:fldCharType="end"/>
        </w:r>
      </w:hyperlink>
    </w:p>
    <w:p w14:paraId="4D13AF65" w14:textId="6A9F89B5" w:rsidR="00DE1BDD" w:rsidRPr="00BD16B4" w:rsidRDefault="00F85DC7" w:rsidP="00DE1BDD">
      <w:pPr>
        <w:pStyle w:val="Glossary"/>
      </w:pPr>
      <w:r w:rsidRPr="00BD16B4">
        <w:rPr>
          <w:color w:val="0092CF"/>
        </w:rPr>
        <w:fldChar w:fldCharType="end"/>
      </w:r>
    </w:p>
    <w:p w14:paraId="073C87D1" w14:textId="77777777" w:rsidR="00DE1BDD" w:rsidRPr="00BD16B4" w:rsidRDefault="00DE1BDD" w:rsidP="00DE1BDD">
      <w:r w:rsidRPr="00BD16B4">
        <w:br w:type="page"/>
      </w:r>
    </w:p>
    <w:p w14:paraId="14E77899" w14:textId="77777777" w:rsidR="00DE1BDD" w:rsidRPr="00BD16B4" w:rsidRDefault="00DE1BDD" w:rsidP="00226458">
      <w:pPr>
        <w:pStyle w:val="Heading1notforTOC"/>
      </w:pPr>
      <w:bookmarkStart w:id="533" w:name="_Toc493859307"/>
      <w:bookmarkStart w:id="534" w:name="_Toc493859603"/>
      <w:bookmarkStart w:id="535" w:name="_Toc497740316"/>
      <w:bookmarkStart w:id="536" w:name="_Toc498523542"/>
      <w:bookmarkStart w:id="537" w:name="_Toc499993069"/>
      <w:bookmarkStart w:id="538" w:name="_Toc499994243"/>
      <w:bookmarkStart w:id="539" w:name="_Toc109723926"/>
      <w:bookmarkStart w:id="540" w:name="_Toc117194178"/>
      <w:bookmarkStart w:id="541" w:name="_Toc120893205"/>
      <w:r w:rsidRPr="00BD16B4">
        <w:t>Executive summary</w:t>
      </w:r>
      <w:bookmarkEnd w:id="533"/>
      <w:bookmarkEnd w:id="534"/>
      <w:bookmarkEnd w:id="535"/>
      <w:bookmarkEnd w:id="536"/>
      <w:bookmarkEnd w:id="537"/>
      <w:bookmarkEnd w:id="538"/>
      <w:bookmarkEnd w:id="539"/>
      <w:bookmarkEnd w:id="540"/>
      <w:bookmarkEnd w:id="541"/>
    </w:p>
    <w:p w14:paraId="0F0A444D" w14:textId="77777777" w:rsidR="00DE1BDD" w:rsidRPr="00BD16B4" w:rsidRDefault="00DE1BDD" w:rsidP="00DE1BDD">
      <w:pPr>
        <w:pStyle w:val="BodyText"/>
      </w:pPr>
      <w:r w:rsidRPr="00BD16B4">
        <w:t xml:space="preserve">This report describes Aotearoa New Zealand’s major observation programmes for atmospheric, terrestrial and oceanic measurements, in accordance with the revised United Nations Framework Convention on Climate Change reporting guidelines on global climate observing systems (Decision 11/CP.13). </w:t>
      </w:r>
    </w:p>
    <w:p w14:paraId="17EAF2BA" w14:textId="77777777" w:rsidR="00DE1BDD" w:rsidRPr="00BD16B4" w:rsidRDefault="00DE1BDD" w:rsidP="00DE1BDD">
      <w:pPr>
        <w:pStyle w:val="BodyText"/>
      </w:pPr>
      <w:r w:rsidRPr="00BD16B4">
        <w:t>Environmental observations related to Global Climate Observing System (GCOS) Essential Climate Variables (ECVs) are funded and carried out in New Zealand by multiple providers, including:</w:t>
      </w:r>
    </w:p>
    <w:p w14:paraId="2B6E7841" w14:textId="77777777" w:rsidR="00DE1BDD" w:rsidRPr="00BD16B4" w:rsidRDefault="00DE1BDD" w:rsidP="00DE1BDD">
      <w:pPr>
        <w:pStyle w:val="Bullet"/>
      </w:pPr>
      <w:r w:rsidRPr="00BD16B4">
        <w:t>sub-national and local authorities (local authorities and others)</w:t>
      </w:r>
    </w:p>
    <w:p w14:paraId="48080F4F" w14:textId="77777777" w:rsidR="00DE1BDD" w:rsidRPr="00BD16B4" w:rsidRDefault="00DE1BDD" w:rsidP="00DE1BDD">
      <w:pPr>
        <w:pStyle w:val="Bullet"/>
      </w:pPr>
      <w:r w:rsidRPr="00BD16B4">
        <w:t>Crown research institutes: National Institute of Water and Atmospheric Research Ltd (NIWA), Institute of Geological and Nuclear Sciences Limited (GNS Science) and others</w:t>
      </w:r>
    </w:p>
    <w:p w14:paraId="78401E4A" w14:textId="77777777" w:rsidR="00DE1BDD" w:rsidRPr="00BD16B4" w:rsidRDefault="00DE1BDD" w:rsidP="00DE1BDD">
      <w:pPr>
        <w:pStyle w:val="Bullet"/>
      </w:pPr>
      <w:r w:rsidRPr="00BD16B4">
        <w:t>state-owned enterprises: Meteorological Service of New Zealand Limited (MetService) and some of the energy companies</w:t>
      </w:r>
    </w:p>
    <w:p w14:paraId="4ED6FFDB" w14:textId="77777777" w:rsidR="00DE1BDD" w:rsidRPr="00BD16B4" w:rsidRDefault="00DE1BDD" w:rsidP="00DE1BDD">
      <w:pPr>
        <w:pStyle w:val="Bullet"/>
      </w:pPr>
      <w:r w:rsidRPr="00BD16B4">
        <w:t>public service departments: Toitū Te Whenua Land Information New Zealand (LINZ), Department of Conservation, Waka Kotahi NZ Transport Agency, Fire and Emergency New Zealand and others</w:t>
      </w:r>
    </w:p>
    <w:p w14:paraId="292261E1" w14:textId="77777777" w:rsidR="00DE1BDD" w:rsidRPr="00BD16B4" w:rsidRDefault="00DE1BDD" w:rsidP="00DE1BDD">
      <w:pPr>
        <w:pStyle w:val="Bullet"/>
      </w:pPr>
      <w:r w:rsidRPr="00BD16B4">
        <w:t xml:space="preserve">private organisations: energy companies, irrigation companies and others. </w:t>
      </w:r>
    </w:p>
    <w:p w14:paraId="2711CF1B" w14:textId="77777777" w:rsidR="00DE1BDD" w:rsidRPr="00BD16B4" w:rsidRDefault="00DE1BDD" w:rsidP="00DE1BDD">
      <w:pPr>
        <w:pStyle w:val="BodyText"/>
      </w:pPr>
      <w:r w:rsidRPr="00BD16B4">
        <w:t>Various national initiatives are in place to ensure consistent and comprehensive environmental monitoring across New Zealand. Supported by recent advances in data management standards and tools, data providers and institutions are working on building up comprehensive institutional and cross-institutional catalogues about New Zealand observation data holdings.</w:t>
      </w:r>
    </w:p>
    <w:p w14:paraId="7142F488" w14:textId="77777777" w:rsidR="00DE1BDD" w:rsidRPr="00BD16B4" w:rsidRDefault="00DE1BDD" w:rsidP="00DE1BDD">
      <w:pPr>
        <w:pStyle w:val="BodyText"/>
      </w:pPr>
      <w:r w:rsidRPr="00BD16B4">
        <w:t>New Zealand has four primary observation programmes related to ECVs, which are funded and carried out through various agencies.</w:t>
      </w:r>
    </w:p>
    <w:p w14:paraId="30ABE850" w14:textId="77777777" w:rsidR="00DE1BDD" w:rsidRPr="00BD16B4" w:rsidRDefault="00DE1BDD" w:rsidP="008B5DCB">
      <w:pPr>
        <w:pStyle w:val="Numberedparagraph"/>
        <w:numPr>
          <w:ilvl w:val="0"/>
          <w:numId w:val="24"/>
        </w:numPr>
        <w:tabs>
          <w:tab w:val="left" w:pos="426"/>
        </w:tabs>
        <w:ind w:left="426" w:hanging="426"/>
      </w:pPr>
      <w:r w:rsidRPr="00BD16B4">
        <w:t>Surface climate observations, upper air observations and atmospheric constituent measurements undertaken by MetService and NIWA are provided to the GCOS Global Observing Network.</w:t>
      </w:r>
    </w:p>
    <w:p w14:paraId="4DFC15E9" w14:textId="77777777" w:rsidR="00DE1BDD" w:rsidRPr="00BD16B4" w:rsidRDefault="00DE1BDD" w:rsidP="008B5DCB">
      <w:pPr>
        <w:pStyle w:val="Numberedparagraph"/>
        <w:numPr>
          <w:ilvl w:val="0"/>
          <w:numId w:val="24"/>
        </w:numPr>
        <w:tabs>
          <w:tab w:val="left" w:pos="426"/>
        </w:tabs>
        <w:ind w:left="426" w:hanging="426"/>
      </w:pPr>
      <w:r w:rsidRPr="00BD16B4">
        <w:t xml:space="preserve">Surface ocean observations are carried out by a range of organisations (eg, port companies, local authorities, NIWA, GNS Science, LINZ), with five sea-level stations included in the Global Sea Level Observing System network. </w:t>
      </w:r>
    </w:p>
    <w:p w14:paraId="5AE1651C" w14:textId="77777777" w:rsidR="00DE1BDD" w:rsidRPr="00BD16B4" w:rsidRDefault="00DE1BDD" w:rsidP="008B5DCB">
      <w:pPr>
        <w:pStyle w:val="Numberedparagraph"/>
        <w:numPr>
          <w:ilvl w:val="0"/>
          <w:numId w:val="24"/>
        </w:numPr>
        <w:tabs>
          <w:tab w:val="left" w:pos="426"/>
        </w:tabs>
        <w:ind w:left="426" w:hanging="426"/>
      </w:pPr>
      <w:r w:rsidRPr="00BD16B4">
        <w:t>New Zealand contributes to the Voluntary Observing Ships and Argo programmes. Ocean water column observations are carried out by NIWA, as part of research and commercial projects and voyages that have defined scopes and timeframes, so observation locations and methods change.</w:t>
      </w:r>
    </w:p>
    <w:p w14:paraId="13F0B85E" w14:textId="3C3031F3" w:rsidR="00DE1BDD" w:rsidRPr="00BD16B4" w:rsidRDefault="00DE1BDD" w:rsidP="008B5DCB">
      <w:pPr>
        <w:pStyle w:val="Numberedparagraph"/>
        <w:numPr>
          <w:ilvl w:val="0"/>
          <w:numId w:val="24"/>
        </w:numPr>
        <w:tabs>
          <w:tab w:val="left" w:pos="426"/>
        </w:tabs>
        <w:ind w:left="426" w:hanging="426"/>
      </w:pPr>
      <w:r w:rsidRPr="00BD16B4">
        <w:t xml:space="preserve">Land observations are conducted in New Zealand by a variety of organisations, with most routine observations being carried out by local authorities. These include freshwater observations (groundwater levels and quality, lake level and quality, river levels, flows and </w:t>
      </w:r>
      <w:r w:rsidRPr="00BD16B4">
        <w:rPr>
          <w:spacing w:val="-2"/>
        </w:rPr>
        <w:t>quality) and vegetation surveys. Additional ongoing and ad hoc (project based) observations</w:t>
      </w:r>
      <w:r w:rsidRPr="00BD16B4">
        <w:t xml:space="preserve"> are carried out by NIWA, Manaaki Whenua Landcare Research and the Department of Conservation (among others). NIWA provides river level, flow and water quality data to the Global Runoff Data Centre (GRDC) and United Nations Environment Programme Global Environment Monitoring System for Freshwater (GEMS/Water) programme. </w:t>
      </w:r>
    </w:p>
    <w:p w14:paraId="14DDB5C8" w14:textId="49DA5BF6" w:rsidR="00DE1BDD" w:rsidRPr="00BD16B4" w:rsidRDefault="00DE1BDD" w:rsidP="00226E87">
      <w:pPr>
        <w:pStyle w:val="Heading1notforTOC"/>
      </w:pPr>
      <w:bookmarkStart w:id="542" w:name="_Toc493859308"/>
      <w:bookmarkStart w:id="543" w:name="_Toc493859604"/>
      <w:bookmarkStart w:id="544" w:name="_Toc497740317"/>
      <w:bookmarkStart w:id="545" w:name="_Toc498523543"/>
      <w:bookmarkStart w:id="546" w:name="_Toc499993070"/>
      <w:bookmarkStart w:id="547" w:name="_Toc499994244"/>
      <w:bookmarkStart w:id="548" w:name="_Toc109723927"/>
      <w:bookmarkStart w:id="549" w:name="_Toc117194179"/>
      <w:bookmarkStart w:id="550" w:name="_Toc120893206"/>
      <w:r w:rsidRPr="00BD16B4">
        <w:t>Introduction</w:t>
      </w:r>
      <w:bookmarkEnd w:id="542"/>
      <w:bookmarkEnd w:id="543"/>
      <w:bookmarkEnd w:id="544"/>
      <w:bookmarkEnd w:id="545"/>
      <w:bookmarkEnd w:id="546"/>
      <w:bookmarkEnd w:id="547"/>
      <w:bookmarkEnd w:id="548"/>
      <w:bookmarkEnd w:id="549"/>
      <w:bookmarkEnd w:id="550"/>
    </w:p>
    <w:p w14:paraId="18938603" w14:textId="77777777" w:rsidR="00DE1BDD" w:rsidRPr="00BD16B4" w:rsidRDefault="00DE1BDD" w:rsidP="00DE1BDD">
      <w:pPr>
        <w:pStyle w:val="BodyText"/>
        <w:rPr>
          <w:spacing w:val="-2"/>
        </w:rPr>
      </w:pPr>
      <w:r w:rsidRPr="00BD16B4">
        <w:t>Aotearoa New Zealand maintains observation programmes for atmospheric, terrestrial and oceanic measurements for a suite of Global Climate Observing System (GCOS)</w:t>
      </w:r>
      <w:r w:rsidRPr="00BD16B4">
        <w:rPr>
          <w:rStyle w:val="FootnoteReference"/>
        </w:rPr>
        <w:footnoteReference w:id="613"/>
      </w:r>
      <w:r w:rsidRPr="00BD16B4">
        <w:t xml:space="preserve"> Essential Climate Variables (ECVs).</w:t>
      </w:r>
      <w:r w:rsidRPr="00BD16B4">
        <w:rPr>
          <w:rStyle w:val="FootnoteReference"/>
        </w:rPr>
        <w:footnoteReference w:id="614"/>
      </w:r>
      <w:r w:rsidRPr="00BD16B4">
        <w:t xml:space="preserve"> These measurements are complemented by archives of historical observations of climate-related parameters. The New Zealand GCOS ECVs observation programmes are detailed in this report and presented in accordance with the revised United Nations Framework Convention on Climate Change (UNFCCC) reporting guidelines on global climate change observing systems.</w:t>
      </w:r>
      <w:r w:rsidRPr="00BD16B4">
        <w:rPr>
          <w:vertAlign w:val="superscript"/>
        </w:rPr>
        <w:footnoteReference w:id="615"/>
      </w:r>
      <w:r w:rsidRPr="00BD16B4">
        <w:t xml:space="preserve"> These guidelines focus on the contribution of Parties to </w:t>
      </w:r>
      <w:r w:rsidRPr="00BD16B4">
        <w:rPr>
          <w:spacing w:val="-2"/>
        </w:rPr>
        <w:t xml:space="preserve">the </w:t>
      </w:r>
      <w:r w:rsidRPr="00BD16B4">
        <w:rPr>
          <w:iCs/>
          <w:spacing w:val="-2"/>
        </w:rPr>
        <w:t>Implementation Plan for the Global Observing System for Climate in Support of the UNFCCC.</w:t>
      </w:r>
    </w:p>
    <w:p w14:paraId="6E88D816" w14:textId="77777777" w:rsidR="00DE1BDD" w:rsidRPr="00BD16B4" w:rsidRDefault="00DE1BDD" w:rsidP="00DE1BDD">
      <w:pPr>
        <w:pStyle w:val="BodyText"/>
      </w:pPr>
      <w:bookmarkStart w:id="551" w:name="_Toc493859309"/>
      <w:bookmarkStart w:id="552" w:name="_Toc493859605"/>
      <w:bookmarkStart w:id="553" w:name="_Toc497740318"/>
      <w:bookmarkStart w:id="554" w:name="_Toc498523544"/>
      <w:r w:rsidRPr="00BD16B4">
        <w:br w:type="page"/>
      </w:r>
    </w:p>
    <w:p w14:paraId="12D6AA46" w14:textId="4B238BBB" w:rsidR="00DE1BDD" w:rsidRPr="00BD16B4" w:rsidRDefault="00DE1BDD" w:rsidP="006D491F">
      <w:pPr>
        <w:pStyle w:val="Heading1notforTOC"/>
      </w:pPr>
      <w:bookmarkStart w:id="555" w:name="_Toc499993071"/>
      <w:bookmarkStart w:id="556" w:name="_Toc499994245"/>
      <w:bookmarkStart w:id="557" w:name="_Toc109723928"/>
      <w:bookmarkStart w:id="558" w:name="_Toc117194180"/>
      <w:bookmarkStart w:id="559" w:name="_Toc120893207"/>
      <w:r w:rsidRPr="00BD16B4">
        <w:t>Observations in New Zealand</w:t>
      </w:r>
      <w:bookmarkEnd w:id="551"/>
      <w:bookmarkEnd w:id="552"/>
      <w:bookmarkEnd w:id="553"/>
      <w:bookmarkEnd w:id="554"/>
      <w:bookmarkEnd w:id="555"/>
      <w:bookmarkEnd w:id="556"/>
      <w:r w:rsidRPr="00BD16B4">
        <w:t>: Context</w:t>
      </w:r>
      <w:bookmarkEnd w:id="557"/>
      <w:bookmarkEnd w:id="558"/>
      <w:bookmarkEnd w:id="559"/>
    </w:p>
    <w:p w14:paraId="504EF0A8" w14:textId="60EC9528" w:rsidR="00DE1BDD" w:rsidRPr="00BD16B4" w:rsidRDefault="00DE1BDD" w:rsidP="00C37887">
      <w:pPr>
        <w:pStyle w:val="Heading2GCOS"/>
        <w:spacing w:before="240"/>
      </w:pPr>
      <w:bookmarkStart w:id="560" w:name="_Toc497740319"/>
      <w:bookmarkStart w:id="561" w:name="_Toc498523545"/>
      <w:bookmarkStart w:id="562" w:name="_Toc499993072"/>
      <w:bookmarkStart w:id="563" w:name="_Toc499994246"/>
      <w:bookmarkStart w:id="564" w:name="_Toc109723929"/>
      <w:bookmarkStart w:id="565" w:name="_Toc117194181"/>
      <w:bookmarkStart w:id="566" w:name="_Toc120893208"/>
      <w:r w:rsidRPr="00BD16B4">
        <w:t xml:space="preserve">Data is collected by multiple </w:t>
      </w:r>
      <w:bookmarkEnd w:id="560"/>
      <w:bookmarkEnd w:id="561"/>
      <w:bookmarkEnd w:id="562"/>
      <w:bookmarkEnd w:id="563"/>
      <w:r w:rsidRPr="00BD16B4">
        <w:t>agencies</w:t>
      </w:r>
      <w:bookmarkEnd w:id="564"/>
      <w:bookmarkEnd w:id="565"/>
      <w:bookmarkEnd w:id="566"/>
    </w:p>
    <w:p w14:paraId="7F7343D4" w14:textId="77777777" w:rsidR="00DE1BDD" w:rsidRPr="00BD16B4" w:rsidRDefault="00DE1BDD" w:rsidP="00DE1BDD">
      <w:pPr>
        <w:pStyle w:val="BodyText"/>
      </w:pPr>
      <w:r w:rsidRPr="00BD16B4">
        <w:t>In Aotearoa New Zealand, GCOS ECVs observations are funded and carried out by multiple providers, including the following:</w:t>
      </w:r>
    </w:p>
    <w:p w14:paraId="03FE2450" w14:textId="77777777" w:rsidR="00DE1BDD" w:rsidRPr="00BD16B4" w:rsidRDefault="00DE1BDD" w:rsidP="00DE1BDD">
      <w:pPr>
        <w:pStyle w:val="Bullet"/>
      </w:pPr>
      <w:r w:rsidRPr="00BD16B4">
        <w:t>sub-national and local authorities: regional and local councils and others</w:t>
      </w:r>
    </w:p>
    <w:p w14:paraId="47C3D420" w14:textId="77777777" w:rsidR="00DE1BDD" w:rsidRPr="00BD16B4" w:rsidRDefault="00DE1BDD" w:rsidP="00DE1BDD">
      <w:pPr>
        <w:pStyle w:val="Bullet"/>
        <w:tabs>
          <w:tab w:val="num" w:pos="397"/>
        </w:tabs>
        <w:spacing w:line="280" w:lineRule="exact"/>
      </w:pPr>
      <w:r w:rsidRPr="00BD16B4">
        <w:t>Crown research institutes: National Institute of Water and Atmospheric Research Ltd (NIWA), Institute of Geological and Nuclear Sciences Limited (GNS Science) and others</w:t>
      </w:r>
    </w:p>
    <w:p w14:paraId="3EAD98E8" w14:textId="77777777" w:rsidR="00DE1BDD" w:rsidRPr="00BD16B4" w:rsidRDefault="00DE1BDD" w:rsidP="00DE1BDD">
      <w:pPr>
        <w:pStyle w:val="Bullet"/>
        <w:tabs>
          <w:tab w:val="num" w:pos="397"/>
        </w:tabs>
        <w:spacing w:line="280" w:lineRule="exact"/>
      </w:pPr>
      <w:r w:rsidRPr="00BD16B4">
        <w:t>state-owned enterprises: Meteorological Service of New Zealand Limited (MetService) and some of the energy companies</w:t>
      </w:r>
    </w:p>
    <w:p w14:paraId="24CFC87C" w14:textId="77777777" w:rsidR="00DE1BDD" w:rsidRPr="00BD16B4" w:rsidRDefault="00DE1BDD" w:rsidP="00DE1BDD">
      <w:pPr>
        <w:pStyle w:val="Bullet"/>
        <w:tabs>
          <w:tab w:val="num" w:pos="397"/>
        </w:tabs>
        <w:spacing w:line="280" w:lineRule="exact"/>
      </w:pPr>
      <w:r w:rsidRPr="00BD16B4">
        <w:t xml:space="preserve">public service departments: </w:t>
      </w:r>
      <w:r w:rsidRPr="00BD16B4">
        <w:rPr>
          <w:bCs/>
        </w:rPr>
        <w:t xml:space="preserve">Toitū Te Whenua </w:t>
      </w:r>
      <w:r w:rsidRPr="00BD16B4">
        <w:t>Land Information New Zealand (LINZ), Department of Conservation, Waka Kotahi NZ Transport Agency, Fire and Emergency New Zealand and others</w:t>
      </w:r>
    </w:p>
    <w:p w14:paraId="524B0C78" w14:textId="77777777" w:rsidR="00DE1BDD" w:rsidRPr="00BD16B4" w:rsidRDefault="00DE1BDD" w:rsidP="00DE1BDD">
      <w:pPr>
        <w:pStyle w:val="Bullet"/>
        <w:tabs>
          <w:tab w:val="num" w:pos="397"/>
        </w:tabs>
        <w:spacing w:line="280" w:lineRule="exact"/>
      </w:pPr>
      <w:r w:rsidRPr="00BD16B4">
        <w:t>private organisations:</w:t>
      </w:r>
      <w:r w:rsidRPr="00BD16B4" w:rsidDel="001F4EF8">
        <w:t xml:space="preserve"> </w:t>
      </w:r>
      <w:r w:rsidRPr="00BD16B4">
        <w:t xml:space="preserve">energy companies, irrigation companies and others. </w:t>
      </w:r>
    </w:p>
    <w:p w14:paraId="242A461D" w14:textId="77777777" w:rsidR="00DE1BDD" w:rsidRPr="00BD16B4" w:rsidRDefault="00DE1BDD" w:rsidP="00DE1BDD">
      <w:pPr>
        <w:pStyle w:val="BodyText"/>
      </w:pPr>
      <w:r w:rsidRPr="00BD16B4">
        <w:t>Some observations are mandated by legislation or policy or covered by agreements between institutions. Most observations are related to operational requirements and might change over time (see next section). Voluntary coordination is happening between organisations, to ensure national consistency and comprehensiveness, as outlined below.</w:t>
      </w:r>
    </w:p>
    <w:p w14:paraId="04D09D4E" w14:textId="7DDF3DC2" w:rsidR="00DE1BDD" w:rsidRPr="00BD16B4" w:rsidRDefault="00DE1BDD" w:rsidP="00C37887">
      <w:pPr>
        <w:pStyle w:val="Heading2GCOS"/>
        <w:spacing w:before="280"/>
      </w:pPr>
      <w:bookmarkStart w:id="567" w:name="_Toc497740320"/>
      <w:bookmarkStart w:id="568" w:name="_Toc498523546"/>
      <w:bookmarkStart w:id="569" w:name="_Toc499993073"/>
      <w:bookmarkStart w:id="570" w:name="_Toc499994247"/>
      <w:bookmarkStart w:id="571" w:name="_Toc109723930"/>
      <w:bookmarkStart w:id="572" w:name="_Toc117194182"/>
      <w:bookmarkStart w:id="573" w:name="_Toc120893209"/>
      <w:r w:rsidRPr="00BD16B4">
        <w:t>High-quality observations versus</w:t>
      </w:r>
      <w:r w:rsidRPr="00BD16B4">
        <w:br/>
        <w:t>‘fit-for-purpose’</w:t>
      </w:r>
      <w:bookmarkEnd w:id="567"/>
      <w:bookmarkEnd w:id="568"/>
      <w:bookmarkEnd w:id="569"/>
      <w:bookmarkEnd w:id="570"/>
      <w:bookmarkEnd w:id="571"/>
      <w:bookmarkEnd w:id="572"/>
      <w:bookmarkEnd w:id="573"/>
    </w:p>
    <w:p w14:paraId="522F79D9" w14:textId="77777777" w:rsidR="00DE1BDD" w:rsidRPr="00BD16B4" w:rsidRDefault="00DE1BDD" w:rsidP="00DE1BDD">
      <w:pPr>
        <w:pStyle w:val="BodyText"/>
      </w:pPr>
      <w:r w:rsidRPr="00BD16B4">
        <w:t>GCOS ECVs observations are used for many practical purposes, including regional management of environmental resources or mitigation of hazards, for example:</w:t>
      </w:r>
    </w:p>
    <w:p w14:paraId="026262BC" w14:textId="77777777" w:rsidR="00DE1BDD" w:rsidRPr="00BD16B4" w:rsidRDefault="00DE1BDD" w:rsidP="00DE1BDD">
      <w:pPr>
        <w:pStyle w:val="Bullet"/>
      </w:pPr>
      <w:r w:rsidRPr="00BD16B4">
        <w:t>local authorities operate flood warning monitoring networks on major rivers</w:t>
      </w:r>
    </w:p>
    <w:p w14:paraId="1372852A" w14:textId="77777777" w:rsidR="00DE1BDD" w:rsidRPr="00BD16B4" w:rsidRDefault="00DE1BDD" w:rsidP="00DE1BDD">
      <w:pPr>
        <w:pStyle w:val="Bullet"/>
      </w:pPr>
      <w:r w:rsidRPr="00BD16B4">
        <w:t>Fire and Emergency New Zealand operates a network of weather stations for fire warning purposes</w:t>
      </w:r>
    </w:p>
    <w:p w14:paraId="2B6B5EF3" w14:textId="77777777" w:rsidR="00DE1BDD" w:rsidRPr="00BD16B4" w:rsidRDefault="00DE1BDD" w:rsidP="00DE1BDD">
      <w:pPr>
        <w:pStyle w:val="Bullet"/>
      </w:pPr>
      <w:r w:rsidRPr="00BD16B4">
        <w:t>energy companies operate river and lake monitoring networks for hydro-energy resource and consent management</w:t>
      </w:r>
    </w:p>
    <w:p w14:paraId="51264DB8" w14:textId="77777777" w:rsidR="00DE1BDD" w:rsidRPr="00BD16B4" w:rsidRDefault="00DE1BDD" w:rsidP="00DE1BDD">
      <w:pPr>
        <w:pStyle w:val="Bullet"/>
      </w:pPr>
      <w:r w:rsidRPr="00BD16B4">
        <w:t xml:space="preserve">data are collected through various private entities to support and control consented operations, such as irrigation. </w:t>
      </w:r>
    </w:p>
    <w:p w14:paraId="45806396" w14:textId="77777777" w:rsidR="00DE1BDD" w:rsidRPr="00BD16B4" w:rsidRDefault="00DE1BDD" w:rsidP="00DE1BDD">
      <w:pPr>
        <w:pStyle w:val="BodyText"/>
      </w:pPr>
      <w:r w:rsidRPr="00BD16B4">
        <w:t>Because the data are collected for different purposes, different collection standards are used, and often the data collection for a station is optimised for its purpose. For example, at a flood recording site, water level would be recorded only to a low accuracy, whereas at a site consented for water abstraction, accurate level recording is imperative, to ensure consent conditions are met. Consequently, it is often not easy to ‘reuse’ the data for a different purpose or to combine data collected in different networks. This problem has been recognised and is being addressed through national initiatives aimed at facilitating better monitoring network integration across different providers and working towards best practices in monitoring to fulfil a variety of purposes.</w:t>
      </w:r>
    </w:p>
    <w:p w14:paraId="69793FDD" w14:textId="77777777" w:rsidR="00DE1BDD" w:rsidRPr="00BD16B4" w:rsidRDefault="00DE1BDD" w:rsidP="00C37887">
      <w:pPr>
        <w:pStyle w:val="Heading2GCOS"/>
        <w:spacing w:before="240"/>
      </w:pPr>
      <w:bookmarkStart w:id="574" w:name="_Toc497740321"/>
      <w:bookmarkStart w:id="575" w:name="_Toc498523547"/>
      <w:bookmarkStart w:id="576" w:name="_Toc499994248"/>
      <w:bookmarkStart w:id="577" w:name="_Toc109723931"/>
      <w:bookmarkStart w:id="578" w:name="_Toc120893210"/>
      <w:r w:rsidRPr="00BD16B4">
        <w:t>National coordination</w:t>
      </w:r>
      <w:bookmarkEnd w:id="574"/>
      <w:bookmarkEnd w:id="575"/>
      <w:bookmarkEnd w:id="576"/>
      <w:bookmarkEnd w:id="577"/>
      <w:bookmarkEnd w:id="578"/>
    </w:p>
    <w:p w14:paraId="6B940156" w14:textId="77777777" w:rsidR="00DE1BDD" w:rsidRPr="00BD16B4" w:rsidRDefault="00DE1BDD" w:rsidP="00DE1BDD">
      <w:pPr>
        <w:pStyle w:val="BodyText"/>
      </w:pPr>
      <w:r w:rsidRPr="00BD16B4">
        <w:t>National coordination and clearly defined institutional arrangements are paramount, to ensure national-scale data are collected to consistent standards and are sufficiently representative to support national-level reporting. In Aotearoa New Zealand, several legislative frameworks and programmes and projects are relevant to data collection, including the following.</w:t>
      </w:r>
    </w:p>
    <w:p w14:paraId="28042A58" w14:textId="77777777" w:rsidR="00DE1BDD" w:rsidRPr="00BD16B4" w:rsidRDefault="00DE1BDD" w:rsidP="00DE1BDD">
      <w:pPr>
        <w:pStyle w:val="Heading3"/>
        <w:spacing w:before="240" w:after="120"/>
      </w:pPr>
      <w:r w:rsidRPr="00BD16B4">
        <w:t>Legislative frameworks</w:t>
      </w:r>
    </w:p>
    <w:p w14:paraId="42D92D3D" w14:textId="77777777" w:rsidR="00DE1BDD" w:rsidRPr="00BD16B4" w:rsidRDefault="00DE1BDD" w:rsidP="00DE1BDD">
      <w:pPr>
        <w:pStyle w:val="Bullet"/>
      </w:pPr>
      <w:r w:rsidRPr="00BD16B4">
        <w:t xml:space="preserve">The </w:t>
      </w:r>
      <w:r w:rsidRPr="00BD16B4">
        <w:rPr>
          <w:b/>
          <w:bCs/>
        </w:rPr>
        <w:t>Declaration on Open and Transparent Government</w:t>
      </w:r>
      <w:r w:rsidRPr="00BD16B4">
        <w:t xml:space="preserve"> was approved by the New Zealand Government on 8 August 2011</w:t>
      </w:r>
      <w:r w:rsidRPr="00BD16B4">
        <w:rPr>
          <w:rStyle w:val="FootnoteReference"/>
        </w:rPr>
        <w:footnoteReference w:id="616"/>
      </w:r>
      <w:r w:rsidRPr="00BD16B4">
        <w:t xml:space="preserve"> and requires government agencies to commit to actively releasing high-value public data for reuse. The related </w:t>
      </w:r>
      <w:r w:rsidRPr="00BD16B4">
        <w:rPr>
          <w:b/>
          <w:bCs/>
        </w:rPr>
        <w:t>Principles for managing data and information held by the New Zealand Government</w:t>
      </w:r>
      <w:r w:rsidRPr="00BD16B4">
        <w:t xml:space="preserve"> provide guidelines on principles to be used to make non-personal, government-held data and information more widely available, discoverable and easily usable. The principles help facilitate agencies’ release of the non-personal, government-held data and information that people, communities and businesses want to use and reuse. The related </w:t>
      </w:r>
      <w:r w:rsidRPr="00BD16B4">
        <w:rPr>
          <w:b/>
          <w:bCs/>
        </w:rPr>
        <w:t>New Zealand Government Open Access and Licensing framework</w:t>
      </w:r>
      <w:r w:rsidRPr="00BD16B4">
        <w:t xml:space="preserve"> (NZGOAL) is all-of-government guidance for agencies to follow when releasing copyright works, non-copyright and public domain material for reuse by others.</w:t>
      </w:r>
    </w:p>
    <w:p w14:paraId="20A94AA3" w14:textId="77777777" w:rsidR="00DE1BDD" w:rsidRPr="00BD16B4" w:rsidRDefault="00DE1BDD" w:rsidP="00DE1BDD">
      <w:pPr>
        <w:pStyle w:val="Bullet"/>
      </w:pPr>
      <w:r w:rsidRPr="00BD16B4">
        <w:t xml:space="preserve">The </w:t>
      </w:r>
      <w:r w:rsidRPr="00BD16B4">
        <w:rPr>
          <w:b/>
          <w:bCs/>
        </w:rPr>
        <w:t>Environmental Reporting Act 2015</w:t>
      </w:r>
      <w:r w:rsidRPr="00BD16B4">
        <w:rPr>
          <w:vertAlign w:val="superscript"/>
        </w:rPr>
        <w:footnoteReference w:id="617"/>
      </w:r>
      <w:r w:rsidRPr="00BD16B4">
        <w:t xml:space="preserve"> mandates that the Government Statistician and the Secretary for the Environment have responsibility for national environmental reporting in New Zealand. The Act further mandates that environmental reporting is conducted in line with the principles and protocols for producers of Tier 1 statistics (see below). The Act is supported through a framework that divides the environment into five environmental domains for reporting (and further into ‘topics’). Under each domain, reporting is conducted on three main types of information: pressures, states and impacts. The Act has increased demand for consistently monitored data and triggered some of the national programmes and activities below.</w:t>
      </w:r>
    </w:p>
    <w:p w14:paraId="19A12203" w14:textId="77777777" w:rsidR="00DE1BDD" w:rsidRPr="00BD16B4" w:rsidRDefault="00DE1BDD" w:rsidP="00DE1BDD">
      <w:pPr>
        <w:pStyle w:val="Heading3"/>
        <w:spacing w:before="240" w:after="120"/>
      </w:pPr>
      <w:r w:rsidRPr="00BD16B4">
        <w:t>National programmes and activities</w:t>
      </w:r>
    </w:p>
    <w:p w14:paraId="55A29BEA" w14:textId="77777777" w:rsidR="00DE1BDD" w:rsidRPr="00BD16B4" w:rsidRDefault="00DE1BDD" w:rsidP="00DE1BDD">
      <w:pPr>
        <w:pStyle w:val="Bullet"/>
      </w:pPr>
      <w:r w:rsidRPr="00BD16B4">
        <w:rPr>
          <w:b/>
          <w:bCs/>
        </w:rPr>
        <w:t>Tier 1 statistics</w:t>
      </w:r>
      <w:r w:rsidRPr="00BD16B4">
        <w:rPr>
          <w:vertAlign w:val="superscript"/>
        </w:rPr>
        <w:footnoteReference w:id="618"/>
      </w:r>
      <w:r w:rsidRPr="00BD16B4">
        <w:t xml:space="preserve"> are compiled by Stats NZ as a set of national statistics for understanding how New Zealand is performing. Tier 1 statistics need to be relevant, authoritative and trustworthy, provide long-term continuity, and enable international comparability. Environmental Tier 1 statistics currently available cover marine protected areas, natural resource and environment accounts, and human-induced greenhouse gas emissions and removals. Environmental Tier 1 statistics under development include air quality, stratospheric ozone, soil health, freshwater quality and use, coastal and recreational water quality, marine biodiversity, terrestrial ecosystem health and atmosphere, and ocean climate change. Tier 1 statistics rely on consistent and comprehensive national data sets. For this reason, when developing new environmental Tier 1 statistics, it is necessary to increase efforts to ensure consistency, representativeness and longevity in the data collected across different agencies.</w:t>
      </w:r>
    </w:p>
    <w:p w14:paraId="5A443D24" w14:textId="63FBFA5C" w:rsidR="00DE1BDD" w:rsidRPr="00BD16B4" w:rsidRDefault="00DE1BDD" w:rsidP="00DE1BDD">
      <w:pPr>
        <w:pStyle w:val="Bullet"/>
        <w:keepLines/>
        <w:tabs>
          <w:tab w:val="num" w:pos="397"/>
        </w:tabs>
        <w:spacing w:line="280" w:lineRule="exact"/>
      </w:pPr>
      <w:r w:rsidRPr="00BD16B4">
        <w:t xml:space="preserve">Stats NZ maintains a programme for collecting information about </w:t>
      </w:r>
      <w:r w:rsidRPr="00BD16B4">
        <w:rPr>
          <w:b/>
          <w:bCs/>
        </w:rPr>
        <w:t>environmental indicators</w:t>
      </w:r>
      <w:r w:rsidRPr="00BD16B4">
        <w:t>. The indicators provide technical information on the state of New Zealand’s: 1)</w:t>
      </w:r>
      <w:r w:rsidR="006D491F" w:rsidRPr="00BD16B4">
        <w:t> </w:t>
      </w:r>
      <w:r w:rsidRPr="00BD16B4">
        <w:t>air, 2) marine environment, 3) fresh water, 4) atmosphere and climate, 5) land, and 6)</w:t>
      </w:r>
      <w:r w:rsidR="006D491F" w:rsidRPr="00BD16B4">
        <w:t> </w:t>
      </w:r>
      <w:r w:rsidRPr="00BD16B4">
        <w:t>biodiversity (a cross-domain area).</w:t>
      </w:r>
      <w:r w:rsidRPr="00BD16B4">
        <w:rPr>
          <w:rStyle w:val="FootnoteReference"/>
        </w:rPr>
        <w:footnoteReference w:id="619"/>
      </w:r>
      <w:r w:rsidRPr="00BD16B4">
        <w:t xml:space="preserve"> </w:t>
      </w:r>
    </w:p>
    <w:p w14:paraId="06EA85D1" w14:textId="270D1C9E" w:rsidR="00DE1BDD" w:rsidRPr="00BD16B4" w:rsidRDefault="00DE1BDD" w:rsidP="00DE1BDD">
      <w:pPr>
        <w:pStyle w:val="Bullet"/>
      </w:pPr>
      <w:r w:rsidRPr="00BD16B4">
        <w:rPr>
          <w:b/>
          <w:bCs/>
        </w:rPr>
        <w:t>National Environmental Monitoring Standards</w:t>
      </w:r>
      <w:r w:rsidRPr="00BD16B4">
        <w:t xml:space="preserve"> (NEMS)</w:t>
      </w:r>
      <w:r w:rsidRPr="00BD16B4">
        <w:rPr>
          <w:vertAlign w:val="superscript"/>
        </w:rPr>
        <w:footnoteReference w:id="620"/>
      </w:r>
      <w:r w:rsidRPr="00BD16B4">
        <w:t xml:space="preserve"> is a multi-agency project, led by</w:t>
      </w:r>
      <w:r w:rsidR="00E63C45" w:rsidRPr="00BD16B4">
        <w:t> </w:t>
      </w:r>
      <w:r w:rsidRPr="00BD16B4">
        <w:t>local authorities, NIWA and energy companies, supported by the Ministry for the Environment (MfE), to develop and implement national monitoring standards to support and ensure consistency of observation and environmental data across New Zealand. NEMS</w:t>
      </w:r>
      <w:r w:rsidR="00E63C45" w:rsidRPr="00BD16B4">
        <w:t> </w:t>
      </w:r>
      <w:r w:rsidRPr="00BD16B4">
        <w:t>has produced several standards documents to date, mainly focusing on freshwater monitoring, and further standards are under development. In addition, NEMS champions workshops to support data collection agencies to implement those standards. An important ‘backbone’ of the NEMS system is the National Quality Coding Scheme</w:t>
      </w:r>
      <w:r w:rsidRPr="00BD16B4">
        <w:rPr>
          <w:vertAlign w:val="superscript"/>
        </w:rPr>
        <w:footnoteReference w:id="621"/>
      </w:r>
      <w:r w:rsidRPr="00BD16B4">
        <w:t xml:space="preserve"> that</w:t>
      </w:r>
      <w:r w:rsidR="00E63C45" w:rsidRPr="00BD16B4">
        <w:t> </w:t>
      </w:r>
      <w:r w:rsidRPr="00BD16B4">
        <w:t>ensures data coming from multiple agencies are annotated with a consistent data quality code.</w:t>
      </w:r>
    </w:p>
    <w:p w14:paraId="6E1C6070" w14:textId="77777777" w:rsidR="00DE1BDD" w:rsidRPr="00BD16B4" w:rsidRDefault="00DE1BDD" w:rsidP="00DE1BDD">
      <w:pPr>
        <w:pStyle w:val="Bullet"/>
      </w:pPr>
      <w:r w:rsidRPr="00BD16B4">
        <w:rPr>
          <w:b/>
          <w:bCs/>
        </w:rPr>
        <w:t>Environmental monitoring and reporting</w:t>
      </w:r>
      <w:r w:rsidRPr="00BD16B4">
        <w:t xml:space="preserve"> (EMaR) is a multi-agency project by local authorities and MfE, with the goal of developing a standardised national framework to support national environmental state of the environment reporting. The project has developed a framework for national monitoring, based on institutionally operated (but nationally optimised) monitoring networks.</w:t>
      </w:r>
      <w:r w:rsidRPr="00BD16B4">
        <w:rPr>
          <w:rStyle w:val="FootnoteReference"/>
        </w:rPr>
        <w:footnoteReference w:id="622"/>
      </w:r>
    </w:p>
    <w:p w14:paraId="51ACADC2" w14:textId="77777777" w:rsidR="00DE1BDD" w:rsidRPr="00BD16B4" w:rsidRDefault="00DE1BDD" w:rsidP="00DE1BDD">
      <w:pPr>
        <w:pStyle w:val="Bullet"/>
        <w:numPr>
          <w:ilvl w:val="0"/>
          <w:numId w:val="0"/>
        </w:numPr>
        <w:ind w:left="397"/>
      </w:pPr>
      <w:r w:rsidRPr="00BD16B4">
        <w:t xml:space="preserve">As part of EMaR, </w:t>
      </w:r>
      <w:r w:rsidRPr="00BD16B4">
        <w:rPr>
          <w:b/>
          <w:bCs/>
        </w:rPr>
        <w:t>Land, Air, Water Aotearoa</w:t>
      </w:r>
      <w:r w:rsidRPr="00BD16B4">
        <w:t xml:space="preserve"> (LAWA)</w:t>
      </w:r>
      <w:r w:rsidRPr="00BD16B4">
        <w:rPr>
          <w:vertAlign w:val="superscript"/>
        </w:rPr>
        <w:footnoteReference w:id="623"/>
      </w:r>
      <w:r w:rsidRPr="00BD16B4">
        <w:t xml:space="preserve"> is an initiative by local authorities to provide a national mechanism and presentation layer for combining regional environmental monitoring data sets. The project has successfully demonstrated this collaborative approach by collating land, fresh water, coastal and air quality information, and displaying it on the LAWA website. </w:t>
      </w:r>
    </w:p>
    <w:p w14:paraId="6892DC17" w14:textId="01813828" w:rsidR="00DE1BDD" w:rsidRPr="00BD16B4" w:rsidRDefault="00DE1BDD" w:rsidP="00C37887">
      <w:pPr>
        <w:pStyle w:val="Heading2GCOS"/>
      </w:pPr>
      <w:bookmarkStart w:id="579" w:name="_Toc497740322"/>
      <w:bookmarkStart w:id="580" w:name="_Toc498523548"/>
      <w:bookmarkStart w:id="581" w:name="_Toc499993074"/>
      <w:bookmarkStart w:id="582" w:name="_Toc499994249"/>
      <w:bookmarkStart w:id="583" w:name="_Toc109723932"/>
      <w:bookmarkStart w:id="584" w:name="_Toc117194183"/>
      <w:bookmarkStart w:id="585" w:name="_Toc120893211"/>
      <w:r w:rsidRPr="00BD16B4">
        <w:t>National data archives and data centres</w:t>
      </w:r>
      <w:bookmarkEnd w:id="579"/>
      <w:bookmarkEnd w:id="580"/>
      <w:bookmarkEnd w:id="581"/>
      <w:bookmarkEnd w:id="582"/>
      <w:bookmarkEnd w:id="583"/>
      <w:bookmarkEnd w:id="584"/>
      <w:bookmarkEnd w:id="585"/>
    </w:p>
    <w:p w14:paraId="65125EC8" w14:textId="77777777" w:rsidR="00DE1BDD" w:rsidRPr="00BD16B4" w:rsidRDefault="00DE1BDD" w:rsidP="00DE1BDD">
      <w:pPr>
        <w:pStyle w:val="BodyText"/>
      </w:pPr>
      <w:r w:rsidRPr="00BD16B4">
        <w:t>Various data management and data archive facilities exist in Aotearoa New Zealand and are maintained by agencies, typically based on institutional and cross-institutional initiatives. A set of ‘nationally significant databases’ has been maintained over the past decades by individual institutions, and supported by the Government, as archives of important data sources.</w:t>
      </w:r>
      <w:r w:rsidRPr="00BD16B4">
        <w:rPr>
          <w:rStyle w:val="FootnoteReference"/>
        </w:rPr>
        <w:footnoteReference w:id="624"/>
      </w:r>
      <w:r w:rsidRPr="00BD16B4">
        <w:t xml:space="preserve"> Contribution to these data sets is voluntary. Table D.1 lists GCOS-relevant New Zealand data archives.</w:t>
      </w:r>
    </w:p>
    <w:p w14:paraId="0CCB053D" w14:textId="200BD31A" w:rsidR="00DE1BDD" w:rsidRPr="00BD16B4" w:rsidRDefault="00DE1BDD" w:rsidP="00DE1BDD">
      <w:pPr>
        <w:pStyle w:val="Tableheading"/>
      </w:pPr>
      <w:bookmarkStart w:id="586" w:name="_Toc498517274"/>
      <w:bookmarkStart w:id="587" w:name="_Toc500767066"/>
      <w:bookmarkStart w:id="588" w:name="_Toc121773842"/>
      <w:r w:rsidRPr="00BD16B4">
        <w:t>Table D.</w:t>
      </w:r>
      <w:r w:rsidRPr="00BD16B4">
        <w:fldChar w:fldCharType="begin"/>
      </w:r>
      <w:r w:rsidRPr="00BD16B4">
        <w:instrText>SEQ Table_D. \* ARABIC</w:instrText>
      </w:r>
      <w:r w:rsidRPr="00BD16B4">
        <w:fldChar w:fldCharType="separate"/>
      </w:r>
      <w:r w:rsidR="00A60C35">
        <w:rPr>
          <w:noProof/>
        </w:rPr>
        <w:t>1</w:t>
      </w:r>
      <w:r w:rsidRPr="00BD16B4">
        <w:fldChar w:fldCharType="end"/>
      </w:r>
      <w:r w:rsidRPr="00BD16B4">
        <w:t>:</w:t>
      </w:r>
      <w:r w:rsidRPr="00BD16B4">
        <w:tab/>
        <w:t>GCOS-relevant data sets and archives in New Zealand</w:t>
      </w:r>
      <w:bookmarkEnd w:id="586"/>
      <w:bookmarkEnd w:id="587"/>
      <w:r w:rsidRPr="00BD16B4">
        <w:t xml:space="preserve"> (not a comprehensive</w:t>
      </w:r>
      <w:r w:rsidR="00191389" w:rsidRPr="00BD16B4">
        <w:t> </w:t>
      </w:r>
      <w:r w:rsidRPr="00BD16B4">
        <w:t>list)</w:t>
      </w:r>
      <w:bookmarkEnd w:id="588"/>
    </w:p>
    <w:tbl>
      <w:tblPr>
        <w:tblStyle w:val="GridTable1Light13"/>
        <w:tblW w:w="8505"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045"/>
        <w:gridCol w:w="1723"/>
        <w:gridCol w:w="1866"/>
        <w:gridCol w:w="2871"/>
      </w:tblGrid>
      <w:tr w:rsidR="00DE1BDD" w:rsidRPr="00BD16B4" w14:paraId="7CFBB4AC" w14:textId="77777777" w:rsidTr="004A20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9" w:type="dxa"/>
            <w:tcBorders>
              <w:bottom w:val="single" w:sz="4" w:space="0" w:color="1C556C" w:themeColor="accent1"/>
              <w:right w:val="nil"/>
            </w:tcBorders>
            <w:shd w:val="clear" w:color="auto" w:fill="1B556B" w:themeFill="text2"/>
          </w:tcPr>
          <w:p w14:paraId="63949BD2" w14:textId="77777777" w:rsidR="00DE1BDD" w:rsidRPr="00BD16B4" w:rsidRDefault="00DE1BDD" w:rsidP="004A205F">
            <w:pPr>
              <w:pStyle w:val="TableTextbold"/>
              <w:keepNext/>
              <w:rPr>
                <w:b/>
                <w:color w:val="FFFFFF" w:themeColor="background1"/>
              </w:rPr>
            </w:pPr>
            <w:r w:rsidRPr="00BD16B4">
              <w:rPr>
                <w:b/>
                <w:color w:val="FFFFFF" w:themeColor="background1"/>
              </w:rPr>
              <w:t>Data archive / facility</w:t>
            </w:r>
          </w:p>
        </w:tc>
        <w:tc>
          <w:tcPr>
            <w:tcW w:w="1701" w:type="dxa"/>
            <w:tcBorders>
              <w:left w:val="nil"/>
              <w:bottom w:val="single" w:sz="4" w:space="0" w:color="1C556C" w:themeColor="accent1"/>
              <w:right w:val="nil"/>
            </w:tcBorders>
            <w:shd w:val="clear" w:color="auto" w:fill="1B556B" w:themeFill="text2"/>
          </w:tcPr>
          <w:p w14:paraId="572ABD00" w14:textId="77777777" w:rsidR="00DE1BDD" w:rsidRPr="00BD16B4" w:rsidRDefault="00DE1BDD" w:rsidP="004A205F">
            <w:pPr>
              <w:pStyle w:val="TableTextbold"/>
              <w:keepN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BD16B4">
              <w:rPr>
                <w:b/>
                <w:color w:val="FFFFFF" w:themeColor="background1"/>
              </w:rPr>
              <w:t>Organisation</w:t>
            </w:r>
          </w:p>
        </w:tc>
        <w:tc>
          <w:tcPr>
            <w:tcW w:w="1842" w:type="dxa"/>
            <w:tcBorders>
              <w:left w:val="nil"/>
              <w:bottom w:val="single" w:sz="4" w:space="0" w:color="1C556C" w:themeColor="accent1"/>
              <w:right w:val="nil"/>
            </w:tcBorders>
            <w:shd w:val="clear" w:color="auto" w:fill="1B556B" w:themeFill="text2"/>
          </w:tcPr>
          <w:p w14:paraId="1DA1908E" w14:textId="77777777" w:rsidR="00DE1BDD" w:rsidRPr="00BD16B4" w:rsidRDefault="00DE1BDD" w:rsidP="004A205F">
            <w:pPr>
              <w:pStyle w:val="TableTextbold"/>
              <w:keepN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BD16B4">
              <w:rPr>
                <w:b/>
                <w:color w:val="FFFFFF" w:themeColor="background1"/>
              </w:rPr>
              <w:t>Support / context</w:t>
            </w:r>
          </w:p>
        </w:tc>
        <w:tc>
          <w:tcPr>
            <w:tcW w:w="2835" w:type="dxa"/>
            <w:tcBorders>
              <w:left w:val="nil"/>
              <w:bottom w:val="single" w:sz="4" w:space="0" w:color="1C556C" w:themeColor="accent1"/>
            </w:tcBorders>
            <w:shd w:val="clear" w:color="auto" w:fill="1B556B" w:themeFill="text2"/>
          </w:tcPr>
          <w:p w14:paraId="5A334C1C" w14:textId="77777777" w:rsidR="00DE1BDD" w:rsidRPr="00BD16B4" w:rsidRDefault="00DE1BDD" w:rsidP="004A205F">
            <w:pPr>
              <w:pStyle w:val="TableTextbold"/>
              <w:keepN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BD16B4">
              <w:rPr>
                <w:b/>
                <w:color w:val="FFFFFF" w:themeColor="background1"/>
              </w:rPr>
              <w:t>Content</w:t>
            </w:r>
          </w:p>
        </w:tc>
      </w:tr>
      <w:tr w:rsidR="00DE1BDD" w:rsidRPr="00BD16B4" w14:paraId="782E95D3" w14:textId="77777777" w:rsidTr="004A205F">
        <w:tc>
          <w:tcPr>
            <w:cnfStyle w:val="001000000000" w:firstRow="0" w:lastRow="0" w:firstColumn="1" w:lastColumn="0" w:oddVBand="0" w:evenVBand="0" w:oddHBand="0" w:evenHBand="0" w:firstRowFirstColumn="0" w:firstRowLastColumn="0" w:lastRowFirstColumn="0" w:lastRowLastColumn="0"/>
            <w:tcW w:w="8397" w:type="dxa"/>
            <w:gridSpan w:val="4"/>
            <w:tcBorders>
              <w:top w:val="single" w:sz="4" w:space="0" w:color="1C556C" w:themeColor="accent1"/>
              <w:bottom w:val="single" w:sz="4" w:space="0" w:color="1C556C" w:themeColor="accent1"/>
            </w:tcBorders>
          </w:tcPr>
          <w:p w14:paraId="5F4F16E7" w14:textId="77777777" w:rsidR="00DE1BDD" w:rsidRPr="00BD16B4" w:rsidRDefault="00DE1BDD" w:rsidP="004A205F">
            <w:pPr>
              <w:pStyle w:val="TableText"/>
              <w:keepNext/>
              <w:jc w:val="center"/>
            </w:pPr>
            <w:r w:rsidRPr="00BD16B4">
              <w:t>Atmosphere</w:t>
            </w:r>
          </w:p>
        </w:tc>
      </w:tr>
      <w:tr w:rsidR="00DE1BDD" w:rsidRPr="00BD16B4" w14:paraId="1C4604F9" w14:textId="77777777" w:rsidTr="004A205F">
        <w:tc>
          <w:tcPr>
            <w:cnfStyle w:val="001000000000" w:firstRow="0" w:lastRow="0" w:firstColumn="1" w:lastColumn="0" w:oddVBand="0" w:evenVBand="0" w:oddHBand="0" w:evenHBand="0" w:firstRowFirstColumn="0" w:firstRowLastColumn="0" w:lastRowFirstColumn="0" w:lastRowLastColumn="0"/>
            <w:tcW w:w="2019" w:type="dxa"/>
            <w:tcBorders>
              <w:top w:val="single" w:sz="4" w:space="0" w:color="1C556C" w:themeColor="accent1"/>
              <w:bottom w:val="single" w:sz="4" w:space="0" w:color="1C556C" w:themeColor="accent1"/>
              <w:right w:val="single" w:sz="4" w:space="0" w:color="1C556C" w:themeColor="accent1"/>
            </w:tcBorders>
          </w:tcPr>
          <w:p w14:paraId="2E36ADCC" w14:textId="77777777" w:rsidR="00DE1BDD" w:rsidRPr="00BD16B4" w:rsidRDefault="00DE1BDD" w:rsidP="004A205F">
            <w:pPr>
              <w:pStyle w:val="TableTextbold"/>
              <w:keepNext/>
              <w:spacing w:before="40" w:after="40"/>
              <w:rPr>
                <w:b/>
                <w:bCs w:val="0"/>
              </w:rPr>
            </w:pPr>
            <w:r w:rsidRPr="00BD16B4">
              <w:rPr>
                <w:b/>
                <w:bCs w:val="0"/>
              </w:rPr>
              <w:t>Climate database</w:t>
            </w:r>
          </w:p>
        </w:tc>
        <w:tc>
          <w:tcPr>
            <w:tcW w:w="17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02B6458D" w14:textId="77777777" w:rsidR="00DE1BDD" w:rsidRPr="00BD16B4" w:rsidRDefault="00DE1BDD" w:rsidP="004A205F">
            <w:pPr>
              <w:pStyle w:val="TableText"/>
              <w:keepNext/>
              <w:spacing w:before="40" w:after="40"/>
              <w:cnfStyle w:val="000000000000" w:firstRow="0" w:lastRow="0" w:firstColumn="0" w:lastColumn="0" w:oddVBand="0" w:evenVBand="0" w:oddHBand="0" w:evenHBand="0" w:firstRowFirstColumn="0" w:firstRowLastColumn="0" w:lastRowFirstColumn="0" w:lastRowLastColumn="0"/>
            </w:pPr>
            <w:r w:rsidRPr="00BD16B4">
              <w:t>NIWA</w:t>
            </w:r>
          </w:p>
        </w:tc>
        <w:tc>
          <w:tcPr>
            <w:tcW w:w="1842"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2596EEEB" w14:textId="77777777" w:rsidR="00DE1BDD" w:rsidRPr="00BD16B4" w:rsidRDefault="00DE1BDD" w:rsidP="004A205F">
            <w:pPr>
              <w:pStyle w:val="TableText"/>
              <w:keepNext/>
              <w:spacing w:before="40" w:after="40"/>
              <w:cnfStyle w:val="000000000000" w:firstRow="0" w:lastRow="0" w:firstColumn="0" w:lastColumn="0" w:oddVBand="0" w:evenVBand="0" w:oddHBand="0" w:evenHBand="0" w:firstRowFirstColumn="0" w:firstRowLastColumn="0" w:lastRowFirstColumn="0" w:lastRowLastColumn="0"/>
            </w:pPr>
            <w:r w:rsidRPr="00BD16B4">
              <w:t>Nationally Significant Database / Collection</w:t>
            </w:r>
          </w:p>
        </w:tc>
        <w:tc>
          <w:tcPr>
            <w:tcW w:w="2835" w:type="dxa"/>
            <w:tcBorders>
              <w:top w:val="single" w:sz="4" w:space="0" w:color="1C556C" w:themeColor="accent1"/>
              <w:left w:val="single" w:sz="4" w:space="0" w:color="1C556C" w:themeColor="accent1"/>
              <w:bottom w:val="single" w:sz="4" w:space="0" w:color="1C556C" w:themeColor="accent1"/>
            </w:tcBorders>
          </w:tcPr>
          <w:p w14:paraId="2A5865CC" w14:textId="77777777" w:rsidR="00DE1BDD" w:rsidRPr="00BD16B4" w:rsidRDefault="00DE1BDD" w:rsidP="004A205F">
            <w:pPr>
              <w:pStyle w:val="TableText"/>
              <w:keepNext/>
              <w:spacing w:before="40" w:after="40"/>
              <w:cnfStyle w:val="000000000000" w:firstRow="0" w:lastRow="0" w:firstColumn="0" w:lastColumn="0" w:oddVBand="0" w:evenVBand="0" w:oddHBand="0" w:evenHBand="0" w:firstRowFirstColumn="0" w:firstRowLastColumn="0" w:lastRowFirstColumn="0" w:lastRowLastColumn="0"/>
            </w:pPr>
            <w:r w:rsidRPr="00BD16B4">
              <w:t>Data from historical and operating climate stations; about 10,000 stations</w:t>
            </w:r>
          </w:p>
        </w:tc>
      </w:tr>
      <w:tr w:rsidR="00DE1BDD" w:rsidRPr="00BD16B4" w14:paraId="67DD93E8"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45399155" w14:textId="77777777" w:rsidR="00DE1BDD" w:rsidRPr="00BD16B4" w:rsidRDefault="00DE1BDD" w:rsidP="004A205F">
            <w:pPr>
              <w:pStyle w:val="TableText"/>
              <w:spacing w:before="40" w:after="40" w:line="240" w:lineRule="auto"/>
            </w:pPr>
            <w:r w:rsidRPr="00BD16B4">
              <w:t>Greenhouse gas surface observations</w:t>
            </w:r>
          </w:p>
        </w:tc>
        <w:tc>
          <w:tcPr>
            <w:tcW w:w="1701" w:type="dxa"/>
          </w:tcPr>
          <w:p w14:paraId="4C8951A7"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NIWA</w:t>
            </w:r>
          </w:p>
        </w:tc>
        <w:tc>
          <w:tcPr>
            <w:tcW w:w="1842" w:type="dxa"/>
          </w:tcPr>
          <w:p w14:paraId="4B0E6376" w14:textId="77777777" w:rsidR="00DE1BDD" w:rsidRPr="00BD16B4" w:rsidRDefault="00DE1BDD" w:rsidP="004A205F">
            <w:pP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BD16B4">
              <w:rPr>
                <w:sz w:val="18"/>
              </w:rPr>
              <w:t>Supported by NIWA</w:t>
            </w:r>
          </w:p>
        </w:tc>
        <w:tc>
          <w:tcPr>
            <w:tcW w:w="2835" w:type="dxa"/>
          </w:tcPr>
          <w:p w14:paraId="020A8003" w14:textId="77777777" w:rsidR="00DE1BDD" w:rsidRPr="00BD16B4" w:rsidRDefault="00DE1BDD" w:rsidP="004A205F">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18"/>
              </w:rPr>
            </w:pPr>
            <w:r w:rsidRPr="00BD16B4">
              <w:rPr>
                <w:sz w:val="18"/>
              </w:rPr>
              <w:t>Trace gases are measured continuously at Baring Head, Lauder and Arrival Heights (Antarctica) and submitted to international data archives</w:t>
            </w:r>
          </w:p>
        </w:tc>
      </w:tr>
      <w:tr w:rsidR="00DE1BDD" w:rsidRPr="00BD16B4" w14:paraId="5C7CBFDD"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3A801A8E" w14:textId="77777777" w:rsidR="00DE1BDD" w:rsidRPr="00BD16B4" w:rsidRDefault="00DE1BDD" w:rsidP="004A205F">
            <w:pPr>
              <w:pStyle w:val="TableText"/>
              <w:spacing w:before="40" w:after="40" w:line="240" w:lineRule="auto"/>
            </w:pPr>
            <w:r w:rsidRPr="00BD16B4">
              <w:t>Upper atmosphere constituents’ observations</w:t>
            </w:r>
          </w:p>
        </w:tc>
        <w:tc>
          <w:tcPr>
            <w:tcW w:w="1701" w:type="dxa"/>
          </w:tcPr>
          <w:p w14:paraId="5F8779F3"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NIWA</w:t>
            </w:r>
          </w:p>
        </w:tc>
        <w:tc>
          <w:tcPr>
            <w:tcW w:w="1842" w:type="dxa"/>
          </w:tcPr>
          <w:p w14:paraId="6B5E3A3D" w14:textId="77777777" w:rsidR="00DE1BDD" w:rsidRPr="00BD16B4" w:rsidRDefault="00DE1BDD" w:rsidP="004A205F">
            <w:pPr>
              <w:spacing w:before="40" w:after="40" w:line="240" w:lineRule="auto"/>
              <w:cnfStyle w:val="000000000000" w:firstRow="0" w:lastRow="0" w:firstColumn="0" w:lastColumn="0" w:oddVBand="0" w:evenVBand="0" w:oddHBand="0" w:evenHBand="0" w:firstRowFirstColumn="0" w:firstRowLastColumn="0" w:lastRowFirstColumn="0" w:lastRowLastColumn="0"/>
              <w:rPr>
                <w:sz w:val="18"/>
              </w:rPr>
            </w:pPr>
            <w:r w:rsidRPr="00BD16B4">
              <w:rPr>
                <w:sz w:val="18"/>
              </w:rPr>
              <w:t>Supported by NIWA</w:t>
            </w:r>
          </w:p>
        </w:tc>
        <w:tc>
          <w:tcPr>
            <w:tcW w:w="2835" w:type="dxa"/>
          </w:tcPr>
          <w:p w14:paraId="18ED23A2" w14:textId="77777777" w:rsidR="00DE1BDD" w:rsidRPr="00BD16B4" w:rsidRDefault="00DE1BDD" w:rsidP="004A205F">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18"/>
              </w:rPr>
            </w:pPr>
            <w:r w:rsidRPr="00BD16B4">
              <w:rPr>
                <w:sz w:val="18"/>
              </w:rPr>
              <w:t>Trace gases measured at Lauder and Arrival Heights (Antarctica) and submitted to international data archives</w:t>
            </w:r>
          </w:p>
        </w:tc>
      </w:tr>
      <w:tr w:rsidR="00DE1BDD" w:rsidRPr="00BD16B4" w14:paraId="05AF0A9F" w14:textId="77777777" w:rsidTr="004A205F">
        <w:tc>
          <w:tcPr>
            <w:cnfStyle w:val="001000000000" w:firstRow="0" w:lastRow="0" w:firstColumn="1" w:lastColumn="0" w:oddVBand="0" w:evenVBand="0" w:oddHBand="0" w:evenHBand="0" w:firstRowFirstColumn="0" w:firstRowLastColumn="0" w:lastRowFirstColumn="0" w:lastRowLastColumn="0"/>
            <w:tcW w:w="8397" w:type="dxa"/>
            <w:gridSpan w:val="4"/>
            <w:tcBorders>
              <w:top w:val="single" w:sz="4" w:space="0" w:color="1C556C" w:themeColor="accent1"/>
              <w:bottom w:val="single" w:sz="4" w:space="0" w:color="1C556C" w:themeColor="accent1"/>
            </w:tcBorders>
          </w:tcPr>
          <w:p w14:paraId="38D95C19" w14:textId="77777777" w:rsidR="00DE1BDD" w:rsidRPr="00BD16B4" w:rsidRDefault="00DE1BDD" w:rsidP="004A205F">
            <w:pPr>
              <w:pStyle w:val="TableText"/>
              <w:spacing w:before="40" w:after="40" w:line="240" w:lineRule="auto"/>
              <w:jc w:val="center"/>
            </w:pPr>
            <w:r w:rsidRPr="00BD16B4">
              <w:t>Ocean</w:t>
            </w:r>
          </w:p>
        </w:tc>
      </w:tr>
      <w:tr w:rsidR="00DE1BDD" w:rsidRPr="00BD16B4" w14:paraId="6AC4B060"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27371994" w14:textId="77777777" w:rsidR="00DE1BDD" w:rsidRPr="00BD16B4" w:rsidRDefault="00DE1BDD" w:rsidP="004A205F">
            <w:pPr>
              <w:pStyle w:val="TableText"/>
              <w:spacing w:before="40" w:after="40" w:line="240" w:lineRule="auto"/>
            </w:pPr>
            <w:r w:rsidRPr="00BD16B4">
              <w:t>Sea-level data</w:t>
            </w:r>
          </w:p>
        </w:tc>
        <w:tc>
          <w:tcPr>
            <w:tcW w:w="1701" w:type="dxa"/>
          </w:tcPr>
          <w:p w14:paraId="07DD15DD"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NIWA</w:t>
            </w:r>
          </w:p>
        </w:tc>
        <w:tc>
          <w:tcPr>
            <w:tcW w:w="1842" w:type="dxa"/>
          </w:tcPr>
          <w:p w14:paraId="479C839F"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Supported by NIWA</w:t>
            </w:r>
          </w:p>
        </w:tc>
        <w:tc>
          <w:tcPr>
            <w:tcW w:w="2835" w:type="dxa"/>
          </w:tcPr>
          <w:p w14:paraId="5A723769"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Data collated from 17 sea-level monitoring sites (operated by various organisations)</w:t>
            </w:r>
          </w:p>
        </w:tc>
      </w:tr>
      <w:tr w:rsidR="00DE1BDD" w:rsidRPr="00BD16B4" w14:paraId="19C3104E"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16AF4F09" w14:textId="77777777" w:rsidR="00DE1BDD" w:rsidRPr="00BD16B4" w:rsidRDefault="00DE1BDD" w:rsidP="004A205F">
            <w:pPr>
              <w:pStyle w:val="TableText"/>
              <w:spacing w:before="40" w:after="40" w:line="240" w:lineRule="auto"/>
            </w:pPr>
            <w:r w:rsidRPr="00BD16B4">
              <w:t>Sea-level data</w:t>
            </w:r>
          </w:p>
        </w:tc>
        <w:tc>
          <w:tcPr>
            <w:tcW w:w="1701" w:type="dxa"/>
          </w:tcPr>
          <w:p w14:paraId="5E77BEFF"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LINZ</w:t>
            </w:r>
          </w:p>
        </w:tc>
        <w:tc>
          <w:tcPr>
            <w:tcW w:w="1842" w:type="dxa"/>
          </w:tcPr>
          <w:p w14:paraId="32E7155A"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Supported by LINZ</w:t>
            </w:r>
          </w:p>
        </w:tc>
        <w:tc>
          <w:tcPr>
            <w:tcW w:w="2835" w:type="dxa"/>
          </w:tcPr>
          <w:p w14:paraId="662AF9EE"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Data archived from port companies, regional councils and NIWA</w:t>
            </w:r>
          </w:p>
        </w:tc>
      </w:tr>
      <w:tr w:rsidR="00DE1BDD" w:rsidRPr="00BD16B4" w14:paraId="37E98991"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6B5548F0" w14:textId="77777777" w:rsidR="00DE1BDD" w:rsidRPr="00BD16B4" w:rsidRDefault="00DE1BDD" w:rsidP="004A205F">
            <w:pPr>
              <w:pStyle w:val="TableTextbold"/>
              <w:spacing w:before="40" w:after="40"/>
              <w:rPr>
                <w:b/>
                <w:bCs w:val="0"/>
              </w:rPr>
            </w:pPr>
            <w:r w:rsidRPr="00BD16B4">
              <w:rPr>
                <w:b/>
                <w:bCs w:val="0"/>
              </w:rPr>
              <w:t>New Zealand Ocean Data Network</w:t>
            </w:r>
          </w:p>
        </w:tc>
        <w:tc>
          <w:tcPr>
            <w:tcW w:w="1701" w:type="dxa"/>
          </w:tcPr>
          <w:p w14:paraId="41DC1FC4"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NIWA</w:t>
            </w:r>
          </w:p>
        </w:tc>
        <w:tc>
          <w:tcPr>
            <w:tcW w:w="1842" w:type="dxa"/>
          </w:tcPr>
          <w:p w14:paraId="34BB705B"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Supported by NIWA</w:t>
            </w:r>
          </w:p>
        </w:tc>
        <w:tc>
          <w:tcPr>
            <w:tcW w:w="2835" w:type="dxa"/>
          </w:tcPr>
          <w:p w14:paraId="15D217D8"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Data archive for ocean physical and chemical observations; more than 2 million observations</w:t>
            </w:r>
          </w:p>
        </w:tc>
      </w:tr>
      <w:tr w:rsidR="00DE1BDD" w:rsidRPr="00BD16B4" w14:paraId="138B5F4F"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154F6030" w14:textId="77777777" w:rsidR="00DE1BDD" w:rsidRPr="00BD16B4" w:rsidRDefault="00DE1BDD" w:rsidP="004A205F">
            <w:pPr>
              <w:pStyle w:val="TableText"/>
              <w:spacing w:before="40" w:after="40" w:line="240" w:lineRule="auto"/>
            </w:pPr>
            <w:r w:rsidRPr="00BD16B4">
              <w:t>National Invertebrate Collection</w:t>
            </w:r>
          </w:p>
        </w:tc>
        <w:tc>
          <w:tcPr>
            <w:tcW w:w="1701" w:type="dxa"/>
          </w:tcPr>
          <w:p w14:paraId="2129C31E"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NIWA</w:t>
            </w:r>
          </w:p>
        </w:tc>
        <w:tc>
          <w:tcPr>
            <w:tcW w:w="1842" w:type="dxa"/>
          </w:tcPr>
          <w:p w14:paraId="5A2F19C8"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Nationally Significant Database / Collection</w:t>
            </w:r>
          </w:p>
        </w:tc>
        <w:tc>
          <w:tcPr>
            <w:tcW w:w="2835" w:type="dxa"/>
          </w:tcPr>
          <w:p w14:paraId="5BFCFD39"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Marine invertebrate specimen collection from New Zealand region, the southwest Pacific and the Ross Sea, Antarctica; more than 100,000 observations</w:t>
            </w:r>
          </w:p>
        </w:tc>
      </w:tr>
      <w:tr w:rsidR="00DE1BDD" w:rsidRPr="00BD16B4" w14:paraId="0A198072"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64D406E1" w14:textId="77777777" w:rsidR="00DE1BDD" w:rsidRPr="00BD16B4" w:rsidRDefault="00DE1BDD" w:rsidP="004A205F">
            <w:pPr>
              <w:pStyle w:val="TableText"/>
              <w:spacing w:before="40" w:after="40" w:line="240" w:lineRule="auto"/>
            </w:pPr>
            <w:r w:rsidRPr="00BD16B4">
              <w:t>Southwestern Pacific Ocean Biogeographic Information System Node</w:t>
            </w:r>
          </w:p>
        </w:tc>
        <w:tc>
          <w:tcPr>
            <w:tcW w:w="1701" w:type="dxa"/>
          </w:tcPr>
          <w:p w14:paraId="3518D3E2"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NIWA</w:t>
            </w:r>
          </w:p>
        </w:tc>
        <w:tc>
          <w:tcPr>
            <w:tcW w:w="1842" w:type="dxa"/>
          </w:tcPr>
          <w:p w14:paraId="14855F65"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Supported by NIWA</w:t>
            </w:r>
          </w:p>
        </w:tc>
        <w:tc>
          <w:tcPr>
            <w:tcW w:w="2835" w:type="dxa"/>
          </w:tcPr>
          <w:p w14:paraId="5BA95472"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Marine biological observations from New Zealand, provided to the Ocean Biogeographic Information System and the Global Biodiversity Information Facility (GBIF); more than 2 million observations</w:t>
            </w:r>
          </w:p>
        </w:tc>
      </w:tr>
      <w:tr w:rsidR="00DE1BDD" w:rsidRPr="00BD16B4" w14:paraId="050B63B8"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0F613F87" w14:textId="77777777" w:rsidR="00DE1BDD" w:rsidRPr="00BD16B4" w:rsidRDefault="00DE1BDD" w:rsidP="004A205F">
            <w:pPr>
              <w:pStyle w:val="TableText"/>
              <w:spacing w:before="40" w:after="40" w:line="240" w:lineRule="auto"/>
            </w:pPr>
            <w:r w:rsidRPr="00BD16B4">
              <w:t xml:space="preserve">Bathymetry data </w:t>
            </w:r>
          </w:p>
        </w:tc>
        <w:tc>
          <w:tcPr>
            <w:tcW w:w="1701" w:type="dxa"/>
          </w:tcPr>
          <w:p w14:paraId="20CED4AB"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NIWA</w:t>
            </w:r>
          </w:p>
        </w:tc>
        <w:tc>
          <w:tcPr>
            <w:tcW w:w="1842" w:type="dxa"/>
          </w:tcPr>
          <w:p w14:paraId="39C1678F"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Supported by NIWA, delivered through the NIWA Geospatial Data Service</w:t>
            </w:r>
          </w:p>
        </w:tc>
        <w:tc>
          <w:tcPr>
            <w:tcW w:w="2835" w:type="dxa"/>
          </w:tcPr>
          <w:p w14:paraId="4BAE9EB5"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Bathymetry model of New Zealand as a 250 metre resolution raster; a compilation of data digitised from published coastal charts, digital soundings archive, navy collector sheets and digital multibeam data sourced from surveys</w:t>
            </w:r>
          </w:p>
        </w:tc>
      </w:tr>
      <w:tr w:rsidR="00DE1BDD" w:rsidRPr="00BD16B4" w14:paraId="025F74BB"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20FD34C8" w14:textId="77777777" w:rsidR="00DE1BDD" w:rsidRPr="00BD16B4" w:rsidRDefault="00DE1BDD" w:rsidP="004A205F">
            <w:pPr>
              <w:pStyle w:val="TableText"/>
              <w:spacing w:before="40" w:after="40" w:line="240" w:lineRule="auto"/>
            </w:pPr>
            <w:r w:rsidRPr="00BD16B4">
              <w:t>Bathymetry data</w:t>
            </w:r>
          </w:p>
        </w:tc>
        <w:tc>
          <w:tcPr>
            <w:tcW w:w="1701" w:type="dxa"/>
          </w:tcPr>
          <w:p w14:paraId="2CDE9335"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LINZ</w:t>
            </w:r>
          </w:p>
        </w:tc>
        <w:tc>
          <w:tcPr>
            <w:tcW w:w="1842" w:type="dxa"/>
          </w:tcPr>
          <w:p w14:paraId="71C214B8" w14:textId="77777777" w:rsidR="00DE1BDD" w:rsidRPr="00BD16B4" w:rsidRDefault="00DE1BDD" w:rsidP="004A205F">
            <w:pPr>
              <w:pStyle w:val="TableText"/>
              <w:tabs>
                <w:tab w:val="center" w:pos="813"/>
              </w:tabs>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Supported by LINZ, delivered through the LINZ Data Service</w:t>
            </w:r>
          </w:p>
        </w:tc>
        <w:tc>
          <w:tcPr>
            <w:tcW w:w="2835" w:type="dxa"/>
          </w:tcPr>
          <w:p w14:paraId="3DA1C716"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Various bathymetry data sets for areas around New Zealand, Pacific and Antarctica</w:t>
            </w:r>
          </w:p>
        </w:tc>
      </w:tr>
      <w:tr w:rsidR="00DE1BDD" w:rsidRPr="00BD16B4" w14:paraId="6749E76D" w14:textId="77777777" w:rsidTr="004A205F">
        <w:tc>
          <w:tcPr>
            <w:cnfStyle w:val="001000000000" w:firstRow="0" w:lastRow="0" w:firstColumn="1" w:lastColumn="0" w:oddVBand="0" w:evenVBand="0" w:oddHBand="0" w:evenHBand="0" w:firstRowFirstColumn="0" w:firstRowLastColumn="0" w:lastRowFirstColumn="0" w:lastRowLastColumn="0"/>
            <w:tcW w:w="8397" w:type="dxa"/>
            <w:gridSpan w:val="4"/>
            <w:tcBorders>
              <w:top w:val="single" w:sz="4" w:space="0" w:color="1C556C" w:themeColor="accent1"/>
              <w:bottom w:val="single" w:sz="4" w:space="0" w:color="1C556C" w:themeColor="accent1"/>
            </w:tcBorders>
          </w:tcPr>
          <w:p w14:paraId="230DE654" w14:textId="77777777" w:rsidR="00DE1BDD" w:rsidRPr="00BD16B4" w:rsidRDefault="00DE1BDD" w:rsidP="004A205F">
            <w:pPr>
              <w:pStyle w:val="TableText"/>
              <w:spacing w:before="40" w:after="40" w:line="240" w:lineRule="auto"/>
              <w:jc w:val="center"/>
            </w:pPr>
            <w:r w:rsidRPr="00BD16B4">
              <w:t>Land</w:t>
            </w:r>
          </w:p>
        </w:tc>
      </w:tr>
      <w:tr w:rsidR="00DE1BDD" w:rsidRPr="00BD16B4" w14:paraId="3927902A" w14:textId="77777777" w:rsidTr="004A205F">
        <w:tc>
          <w:tcPr>
            <w:cnfStyle w:val="001000000000" w:firstRow="0" w:lastRow="0" w:firstColumn="1" w:lastColumn="0" w:oddVBand="0" w:evenVBand="0" w:oddHBand="0" w:evenHBand="0" w:firstRowFirstColumn="0" w:firstRowLastColumn="0" w:lastRowFirstColumn="0" w:lastRowLastColumn="0"/>
            <w:tcW w:w="2019" w:type="dxa"/>
            <w:tcBorders>
              <w:top w:val="single" w:sz="4" w:space="0" w:color="1C556C" w:themeColor="accent1"/>
            </w:tcBorders>
          </w:tcPr>
          <w:p w14:paraId="1940394F" w14:textId="77777777" w:rsidR="00DE1BDD" w:rsidRPr="00BD16B4" w:rsidRDefault="00DE1BDD" w:rsidP="004A205F">
            <w:pPr>
              <w:pStyle w:val="TableText"/>
              <w:spacing w:before="40" w:after="40" w:line="240" w:lineRule="auto"/>
            </w:pPr>
            <w:r w:rsidRPr="00BD16B4">
              <w:t>Water Resources Archive</w:t>
            </w:r>
          </w:p>
        </w:tc>
        <w:tc>
          <w:tcPr>
            <w:tcW w:w="1701" w:type="dxa"/>
            <w:tcBorders>
              <w:top w:val="single" w:sz="4" w:space="0" w:color="1C556C" w:themeColor="accent1"/>
            </w:tcBorders>
          </w:tcPr>
          <w:p w14:paraId="4FE35714"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NIWA</w:t>
            </w:r>
          </w:p>
        </w:tc>
        <w:tc>
          <w:tcPr>
            <w:tcW w:w="1842" w:type="dxa"/>
            <w:tcBorders>
              <w:top w:val="single" w:sz="4" w:space="0" w:color="1C556C" w:themeColor="accent1"/>
            </w:tcBorders>
          </w:tcPr>
          <w:p w14:paraId="5F9069C3"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Nationally Significant Database / Collection</w:t>
            </w:r>
          </w:p>
        </w:tc>
        <w:tc>
          <w:tcPr>
            <w:tcW w:w="2835" w:type="dxa"/>
            <w:tcBorders>
              <w:top w:val="single" w:sz="4" w:space="0" w:color="1C556C" w:themeColor="accent1"/>
            </w:tcBorders>
          </w:tcPr>
          <w:p w14:paraId="42365354"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Data from historical and operating river flow, lake level and water quality observations; about 1000 stations</w:t>
            </w:r>
          </w:p>
        </w:tc>
      </w:tr>
      <w:tr w:rsidR="00DE1BDD" w:rsidRPr="00BD16B4" w14:paraId="2EAAD13C"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3DD25C25" w14:textId="77777777" w:rsidR="00DE1BDD" w:rsidRPr="00BD16B4" w:rsidRDefault="00DE1BDD" w:rsidP="004A205F">
            <w:pPr>
              <w:pStyle w:val="TableText"/>
              <w:spacing w:before="40" w:after="40" w:line="240" w:lineRule="auto"/>
            </w:pPr>
            <w:r w:rsidRPr="00BD16B4">
              <w:t>National Groundwater Database</w:t>
            </w:r>
          </w:p>
        </w:tc>
        <w:tc>
          <w:tcPr>
            <w:tcW w:w="1701" w:type="dxa"/>
          </w:tcPr>
          <w:p w14:paraId="4A25DCD2"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GNS Science</w:t>
            </w:r>
          </w:p>
        </w:tc>
        <w:tc>
          <w:tcPr>
            <w:tcW w:w="1842" w:type="dxa"/>
          </w:tcPr>
          <w:p w14:paraId="299534EA"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Nationally Significant Database / Collection</w:t>
            </w:r>
          </w:p>
        </w:tc>
        <w:tc>
          <w:tcPr>
            <w:tcW w:w="2835" w:type="dxa"/>
          </w:tcPr>
          <w:p w14:paraId="5C1BB991"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Reference data set of groundwater quality data from about 100 stations</w:t>
            </w:r>
          </w:p>
        </w:tc>
      </w:tr>
      <w:tr w:rsidR="00DE1BDD" w:rsidRPr="00BD16B4" w14:paraId="1A525F93"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6A29B14D" w14:textId="77777777" w:rsidR="00DE1BDD" w:rsidRPr="00BD16B4" w:rsidRDefault="00DE1BDD" w:rsidP="004A205F">
            <w:pPr>
              <w:pStyle w:val="TableText"/>
              <w:spacing w:line="240" w:lineRule="auto"/>
            </w:pPr>
            <w:r w:rsidRPr="00BD16B4">
              <w:t>Freshwater Fish Database</w:t>
            </w:r>
          </w:p>
        </w:tc>
        <w:tc>
          <w:tcPr>
            <w:tcW w:w="1701" w:type="dxa"/>
          </w:tcPr>
          <w:p w14:paraId="5C83D440" w14:textId="77777777" w:rsidR="00DE1BDD" w:rsidRPr="00BD16B4" w:rsidRDefault="00DE1BDD" w:rsidP="004A205F">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BD16B4">
              <w:t>NIWA</w:t>
            </w:r>
          </w:p>
        </w:tc>
        <w:tc>
          <w:tcPr>
            <w:tcW w:w="1842" w:type="dxa"/>
          </w:tcPr>
          <w:p w14:paraId="48729010" w14:textId="77777777" w:rsidR="00DE1BDD" w:rsidRPr="00BD16B4" w:rsidRDefault="00DE1BDD" w:rsidP="004A205F">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BD16B4">
              <w:t>Nationally Significant Database / Collection</w:t>
            </w:r>
          </w:p>
        </w:tc>
        <w:tc>
          <w:tcPr>
            <w:tcW w:w="2835" w:type="dxa"/>
          </w:tcPr>
          <w:p w14:paraId="6E0D9678" w14:textId="77777777" w:rsidR="00DE1BDD" w:rsidRPr="00BD16B4" w:rsidRDefault="00DE1BDD" w:rsidP="004A205F">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BD16B4">
              <w:t>Freshwater fish observations; more than 100,000 observations</w:t>
            </w:r>
          </w:p>
        </w:tc>
      </w:tr>
      <w:tr w:rsidR="00DE1BDD" w:rsidRPr="00BD16B4" w14:paraId="6CA4C4D9"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6529461E" w14:textId="77777777" w:rsidR="00DE1BDD" w:rsidRPr="00BD16B4" w:rsidRDefault="00DE1BDD" w:rsidP="004A205F">
            <w:pPr>
              <w:pStyle w:val="TableText"/>
              <w:keepNext/>
              <w:spacing w:before="40" w:after="40" w:line="240" w:lineRule="auto"/>
            </w:pPr>
            <w:r w:rsidRPr="00BD16B4">
              <w:t xml:space="preserve">Land Cover Database </w:t>
            </w:r>
          </w:p>
        </w:tc>
        <w:tc>
          <w:tcPr>
            <w:tcW w:w="1701" w:type="dxa"/>
          </w:tcPr>
          <w:p w14:paraId="7B73E42E"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Manaaki Whenua Landcare Research</w:t>
            </w:r>
          </w:p>
        </w:tc>
        <w:tc>
          <w:tcPr>
            <w:tcW w:w="1842" w:type="dxa"/>
          </w:tcPr>
          <w:p w14:paraId="2805BF82"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Funded by MfE, generated by MWLR, delivered through MWLR LRIS</w:t>
            </w:r>
          </w:p>
        </w:tc>
        <w:tc>
          <w:tcPr>
            <w:tcW w:w="2835" w:type="dxa"/>
          </w:tcPr>
          <w:p w14:paraId="7F90AF5F"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The LCDB is a multi-temporal, thematic classification of New Zealand’s land cover</w:t>
            </w:r>
          </w:p>
        </w:tc>
      </w:tr>
      <w:tr w:rsidR="00DE1BDD" w:rsidRPr="00BD16B4" w14:paraId="2E7EBF01"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0820A40F" w14:textId="77777777" w:rsidR="00DE1BDD" w:rsidRPr="00BD16B4" w:rsidRDefault="00DE1BDD" w:rsidP="004A205F">
            <w:pPr>
              <w:pStyle w:val="TableText"/>
              <w:spacing w:before="40" w:after="40" w:line="240" w:lineRule="auto"/>
            </w:pPr>
            <w:r w:rsidRPr="00BD16B4">
              <w:t>National Soils Database</w:t>
            </w:r>
          </w:p>
        </w:tc>
        <w:tc>
          <w:tcPr>
            <w:tcW w:w="1701" w:type="dxa"/>
          </w:tcPr>
          <w:p w14:paraId="6742843A"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Manaaki Whenua Landcare Research</w:t>
            </w:r>
          </w:p>
        </w:tc>
        <w:tc>
          <w:tcPr>
            <w:tcW w:w="1842" w:type="dxa"/>
          </w:tcPr>
          <w:p w14:paraId="7DD7886C"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Supported by MWLR, delivered through MWLR LRIS and NZDR</w:t>
            </w:r>
          </w:p>
        </w:tc>
        <w:tc>
          <w:tcPr>
            <w:tcW w:w="2835" w:type="dxa"/>
          </w:tcPr>
          <w:p w14:paraId="509991E4"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‘Point’ database containing descriptions of about 1500 New Zealand soil profiles, together with analytical data on their chemical, physical and mineralogical characteristics</w:t>
            </w:r>
          </w:p>
        </w:tc>
      </w:tr>
      <w:tr w:rsidR="00DE1BDD" w:rsidRPr="00BD16B4" w14:paraId="777A4979"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4F7267C6" w14:textId="77777777" w:rsidR="00DE1BDD" w:rsidRPr="00BD16B4" w:rsidRDefault="00DE1BDD" w:rsidP="004A205F">
            <w:pPr>
              <w:pStyle w:val="TableText"/>
              <w:spacing w:before="40" w:after="40" w:line="240" w:lineRule="auto"/>
            </w:pPr>
            <w:r w:rsidRPr="00BD16B4">
              <w:t>S-map</w:t>
            </w:r>
          </w:p>
        </w:tc>
        <w:tc>
          <w:tcPr>
            <w:tcW w:w="1701" w:type="dxa"/>
          </w:tcPr>
          <w:p w14:paraId="7303EBAC"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Manaaki Whenua Landcare Research</w:t>
            </w:r>
          </w:p>
        </w:tc>
        <w:tc>
          <w:tcPr>
            <w:tcW w:w="1842" w:type="dxa"/>
          </w:tcPr>
          <w:p w14:paraId="78751008"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Supported by MWLR, delivered through S</w:t>
            </w:r>
            <w:r w:rsidRPr="00BD16B4">
              <w:noBreakHyphen/>
              <w:t>MAP Online and LRIS</w:t>
            </w:r>
          </w:p>
        </w:tc>
        <w:tc>
          <w:tcPr>
            <w:tcW w:w="2835" w:type="dxa"/>
          </w:tcPr>
          <w:p w14:paraId="3DF4E823"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Ongoing project to map New Zealand’s soil resources at a nominal 1:50,000 scale</w:t>
            </w:r>
          </w:p>
        </w:tc>
      </w:tr>
      <w:tr w:rsidR="00DE1BDD" w:rsidRPr="00BD16B4" w14:paraId="72A3C1AF"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2961A118" w14:textId="77777777" w:rsidR="00DE1BDD" w:rsidRPr="00BD16B4" w:rsidRDefault="00DE1BDD" w:rsidP="004A205F">
            <w:pPr>
              <w:pStyle w:val="TableText"/>
              <w:spacing w:before="40" w:after="40" w:line="240" w:lineRule="auto"/>
            </w:pPr>
            <w:r w:rsidRPr="00BD16B4">
              <w:t>National Vegetation Survey Databank</w:t>
            </w:r>
          </w:p>
        </w:tc>
        <w:tc>
          <w:tcPr>
            <w:tcW w:w="1701" w:type="dxa"/>
          </w:tcPr>
          <w:p w14:paraId="216DCC32"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Manaaki Whenua Landcare Research</w:t>
            </w:r>
          </w:p>
        </w:tc>
        <w:tc>
          <w:tcPr>
            <w:tcW w:w="1842" w:type="dxa"/>
          </w:tcPr>
          <w:p w14:paraId="0C3F4FAB"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Nationally Significant Database / Collection</w:t>
            </w:r>
          </w:p>
        </w:tc>
        <w:tc>
          <w:tcPr>
            <w:tcW w:w="2835" w:type="dxa"/>
          </w:tcPr>
          <w:p w14:paraId="73DFFAC1"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Physical archive and electronic databank containing records of more than 120,000 vegetation survey plots, including more than 25,000 permanent plots</w:t>
            </w:r>
          </w:p>
        </w:tc>
      </w:tr>
      <w:tr w:rsidR="00DE1BDD" w:rsidRPr="00BD16B4" w14:paraId="680AB4FC"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0F4A5548" w14:textId="77777777" w:rsidR="00DE1BDD" w:rsidRPr="00BD16B4" w:rsidRDefault="00DE1BDD" w:rsidP="004A205F">
            <w:pPr>
              <w:pStyle w:val="TableText"/>
              <w:spacing w:before="40" w:after="40" w:line="240" w:lineRule="auto"/>
            </w:pPr>
            <w:r w:rsidRPr="00BD16B4">
              <w:t>National biodiversity monitoring</w:t>
            </w:r>
          </w:p>
        </w:tc>
        <w:tc>
          <w:tcPr>
            <w:tcW w:w="1701" w:type="dxa"/>
          </w:tcPr>
          <w:p w14:paraId="31B664A1"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Department of Conservation</w:t>
            </w:r>
          </w:p>
        </w:tc>
        <w:tc>
          <w:tcPr>
            <w:tcW w:w="1842" w:type="dxa"/>
          </w:tcPr>
          <w:p w14:paraId="3D3F342E"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Supported by Department of Conservation</w:t>
            </w:r>
          </w:p>
        </w:tc>
        <w:tc>
          <w:tcPr>
            <w:tcW w:w="2835" w:type="dxa"/>
          </w:tcPr>
          <w:p w14:paraId="3CC18B53"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Data archive for terrestrial monitoring programme for about 1400 biodiversity survey plots</w:t>
            </w:r>
          </w:p>
        </w:tc>
      </w:tr>
      <w:tr w:rsidR="00DE1BDD" w:rsidRPr="00BD16B4" w14:paraId="0F7B9C11"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7DCE0C79" w14:textId="77777777" w:rsidR="00DE1BDD" w:rsidRPr="00BD16B4" w:rsidRDefault="00DE1BDD" w:rsidP="004A205F">
            <w:pPr>
              <w:pStyle w:val="TableText"/>
              <w:spacing w:before="40" w:after="40" w:line="240" w:lineRule="auto"/>
            </w:pPr>
            <w:r w:rsidRPr="00BD16B4">
              <w:t xml:space="preserve">Land, Air, Water Aotearoa </w:t>
            </w:r>
          </w:p>
        </w:tc>
        <w:tc>
          <w:tcPr>
            <w:tcW w:w="1701" w:type="dxa"/>
          </w:tcPr>
          <w:p w14:paraId="64C1717F"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Local authorities</w:t>
            </w:r>
          </w:p>
        </w:tc>
        <w:tc>
          <w:tcPr>
            <w:tcW w:w="1842" w:type="dxa"/>
          </w:tcPr>
          <w:p w14:paraId="6C2BF292"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Supported by local authorities, MfE</w:t>
            </w:r>
          </w:p>
        </w:tc>
        <w:tc>
          <w:tcPr>
            <w:tcW w:w="2835" w:type="dxa"/>
          </w:tcPr>
          <w:p w14:paraId="6D05B848"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Consolidation and portal for local authorities’ environmental observations</w:t>
            </w:r>
          </w:p>
        </w:tc>
      </w:tr>
      <w:tr w:rsidR="00DE1BDD" w:rsidRPr="00BD16B4" w14:paraId="79A7B767"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141F0009" w14:textId="77777777" w:rsidR="00DE1BDD" w:rsidRPr="00BD16B4" w:rsidRDefault="00DE1BDD" w:rsidP="004A205F">
            <w:pPr>
              <w:pStyle w:val="TableText"/>
              <w:spacing w:before="40" w:after="40" w:line="240" w:lineRule="auto"/>
            </w:pPr>
            <w:r w:rsidRPr="00BD16B4">
              <w:t>New Zealand Digital River Network</w:t>
            </w:r>
          </w:p>
        </w:tc>
        <w:tc>
          <w:tcPr>
            <w:tcW w:w="1701" w:type="dxa"/>
          </w:tcPr>
          <w:p w14:paraId="0451142B"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NIWA</w:t>
            </w:r>
          </w:p>
        </w:tc>
        <w:tc>
          <w:tcPr>
            <w:tcW w:w="1842" w:type="dxa"/>
          </w:tcPr>
          <w:p w14:paraId="357F6042"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Supported by NIWA, delivered through the NIWA Geospatial Data Service</w:t>
            </w:r>
          </w:p>
        </w:tc>
        <w:tc>
          <w:tcPr>
            <w:tcW w:w="2835" w:type="dxa"/>
          </w:tcPr>
          <w:p w14:paraId="729C8503"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Database of digital river segments and related catchments for New Zealand</w:t>
            </w:r>
          </w:p>
        </w:tc>
      </w:tr>
      <w:tr w:rsidR="00DE1BDD" w:rsidRPr="00BD16B4" w14:paraId="0D05F61B"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3233D93D" w14:textId="77777777" w:rsidR="00DE1BDD" w:rsidRPr="00BD16B4" w:rsidRDefault="00DE1BDD" w:rsidP="004A205F">
            <w:pPr>
              <w:pStyle w:val="TableText"/>
              <w:spacing w:before="40" w:after="40" w:line="240" w:lineRule="auto"/>
            </w:pPr>
            <w:r w:rsidRPr="00BD16B4">
              <w:t>Elevation Aotearo</w:t>
            </w:r>
            <w:r w:rsidRPr="00BD16B4">
              <w:rPr>
                <w:b w:val="0"/>
                <w:bCs w:val="0"/>
              </w:rPr>
              <w:t>a</w:t>
            </w:r>
          </w:p>
        </w:tc>
        <w:tc>
          <w:tcPr>
            <w:tcW w:w="1701" w:type="dxa"/>
          </w:tcPr>
          <w:p w14:paraId="0A21C584"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LINZ</w:t>
            </w:r>
          </w:p>
        </w:tc>
        <w:tc>
          <w:tcPr>
            <w:tcW w:w="1842" w:type="dxa"/>
          </w:tcPr>
          <w:p w14:paraId="4CA30FF3"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Supported by LINZ, delivered through the LINZ Data Service</w:t>
            </w:r>
          </w:p>
        </w:tc>
        <w:tc>
          <w:tcPr>
            <w:tcW w:w="2835" w:type="dxa"/>
          </w:tcPr>
          <w:p w14:paraId="26A7C38E"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Various high-resolution elevation data sets for New Zealand derived from LIDAR surveys</w:t>
            </w:r>
          </w:p>
        </w:tc>
      </w:tr>
      <w:tr w:rsidR="00DE1BDD" w:rsidRPr="00BD16B4" w14:paraId="1106E3D1"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38BF2348" w14:textId="77777777" w:rsidR="00DE1BDD" w:rsidRPr="00BD16B4" w:rsidRDefault="00DE1BDD" w:rsidP="004A205F">
            <w:pPr>
              <w:pStyle w:val="TableText"/>
              <w:spacing w:before="40" w:after="40" w:line="240" w:lineRule="auto"/>
            </w:pPr>
            <w:r w:rsidRPr="00BD16B4">
              <w:t>Lake Submerged Plant Indicators</w:t>
            </w:r>
          </w:p>
        </w:tc>
        <w:tc>
          <w:tcPr>
            <w:tcW w:w="1701" w:type="dxa"/>
          </w:tcPr>
          <w:p w14:paraId="17B940D9"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 xml:space="preserve">NIWA </w:t>
            </w:r>
          </w:p>
        </w:tc>
        <w:tc>
          <w:tcPr>
            <w:tcW w:w="1842" w:type="dxa"/>
          </w:tcPr>
          <w:p w14:paraId="38F98772" w14:textId="77777777" w:rsidR="00DE1BDD" w:rsidRPr="00BD16B4" w:rsidRDefault="00DE1BDD" w:rsidP="004A205F">
            <w:pPr>
              <w:spacing w:before="0" w:after="0" w:line="240" w:lineRule="auto"/>
              <w:cnfStyle w:val="000000000000" w:firstRow="0" w:lastRow="0" w:firstColumn="0" w:lastColumn="0" w:oddVBand="0" w:evenVBand="0" w:oddHBand="0" w:evenHBand="0" w:firstRowFirstColumn="0" w:firstRowLastColumn="0" w:lastRowFirstColumn="0" w:lastRowLastColumn="0"/>
              <w:rPr>
                <w:sz w:val="18"/>
              </w:rPr>
            </w:pPr>
            <w:r w:rsidRPr="00BD16B4">
              <w:rPr>
                <w:sz w:val="18"/>
              </w:rPr>
              <w:t>Supported by NIWA</w:t>
            </w:r>
          </w:p>
        </w:tc>
        <w:tc>
          <w:tcPr>
            <w:tcW w:w="2835" w:type="dxa"/>
          </w:tcPr>
          <w:p w14:paraId="57CDE63F" w14:textId="77777777" w:rsidR="00DE1BDD" w:rsidRPr="00BD16B4" w:rsidRDefault="00DE1BDD" w:rsidP="004A205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8"/>
              </w:rPr>
            </w:pPr>
            <w:r w:rsidRPr="00BD16B4">
              <w:rPr>
                <w:sz w:val="18"/>
              </w:rPr>
              <w:t>Database of ecological conditions of over 200 lakes across New Zealand, described by observations and derived indicators</w:t>
            </w:r>
          </w:p>
        </w:tc>
      </w:tr>
      <w:tr w:rsidR="00DE1BDD" w:rsidRPr="00BD16B4" w14:paraId="0B65DF5B"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505E961A" w14:textId="77777777" w:rsidR="00DE1BDD" w:rsidRPr="00BD16B4" w:rsidRDefault="00DE1BDD" w:rsidP="004A205F">
            <w:pPr>
              <w:pStyle w:val="TableText"/>
              <w:spacing w:before="40" w:after="40" w:line="240" w:lineRule="auto"/>
            </w:pPr>
            <w:r w:rsidRPr="00BD16B4">
              <w:t>New Zealand Land Resource Inventory</w:t>
            </w:r>
          </w:p>
        </w:tc>
        <w:tc>
          <w:tcPr>
            <w:tcW w:w="1701" w:type="dxa"/>
          </w:tcPr>
          <w:p w14:paraId="57B140BB"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Manaaki Whenua Landcare Research</w:t>
            </w:r>
          </w:p>
        </w:tc>
        <w:tc>
          <w:tcPr>
            <w:tcW w:w="1842" w:type="dxa"/>
          </w:tcPr>
          <w:p w14:paraId="460D253E"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Supported by MWLR, delivered through LRIS</w:t>
            </w:r>
          </w:p>
        </w:tc>
        <w:tc>
          <w:tcPr>
            <w:tcW w:w="2835" w:type="dxa"/>
          </w:tcPr>
          <w:p w14:paraId="015A972A"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National spatial database of physical land resource information. It comprises an inventory of five physical factors (rock type, soil, slope, present type and severity of erosion, and vegetation)</w:t>
            </w:r>
          </w:p>
        </w:tc>
      </w:tr>
      <w:tr w:rsidR="00DE1BDD" w:rsidRPr="00BD16B4" w14:paraId="68715EC8" w14:textId="77777777" w:rsidTr="004A205F">
        <w:tc>
          <w:tcPr>
            <w:cnfStyle w:val="001000000000" w:firstRow="0" w:lastRow="0" w:firstColumn="1" w:lastColumn="0" w:oddVBand="0" w:evenVBand="0" w:oddHBand="0" w:evenHBand="0" w:firstRowFirstColumn="0" w:firstRowLastColumn="0" w:lastRowFirstColumn="0" w:lastRowLastColumn="0"/>
            <w:tcW w:w="8397" w:type="dxa"/>
            <w:gridSpan w:val="4"/>
          </w:tcPr>
          <w:p w14:paraId="5E366945" w14:textId="77777777" w:rsidR="00DE1BDD" w:rsidRPr="00BD16B4" w:rsidRDefault="00DE1BDD" w:rsidP="004A205F">
            <w:pPr>
              <w:pStyle w:val="TableText"/>
              <w:spacing w:before="40" w:after="40" w:line="240" w:lineRule="auto"/>
              <w:jc w:val="center"/>
            </w:pPr>
            <w:r w:rsidRPr="00BD16B4">
              <w:t>Other / generic</w:t>
            </w:r>
          </w:p>
        </w:tc>
      </w:tr>
      <w:tr w:rsidR="00DE1BDD" w:rsidRPr="00BD16B4" w14:paraId="15146984"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604E1797" w14:textId="77777777" w:rsidR="00DE1BDD" w:rsidRPr="00BD16B4" w:rsidRDefault="00DE1BDD" w:rsidP="004A205F">
            <w:pPr>
              <w:pStyle w:val="TableText"/>
              <w:spacing w:before="40" w:after="40" w:line="240" w:lineRule="auto"/>
            </w:pPr>
            <w:r w:rsidRPr="00BD16B4">
              <w:t>LINZ Data Service</w:t>
            </w:r>
          </w:p>
        </w:tc>
        <w:tc>
          <w:tcPr>
            <w:tcW w:w="1701" w:type="dxa"/>
          </w:tcPr>
          <w:p w14:paraId="2EEBDC24"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LINZ</w:t>
            </w:r>
          </w:p>
        </w:tc>
        <w:tc>
          <w:tcPr>
            <w:tcW w:w="1842" w:type="dxa"/>
          </w:tcPr>
          <w:p w14:paraId="29691437"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Supported by LINZ</w:t>
            </w:r>
          </w:p>
        </w:tc>
        <w:tc>
          <w:tcPr>
            <w:tcW w:w="2835" w:type="dxa"/>
          </w:tcPr>
          <w:p w14:paraId="3F39523B"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Various geospatial and related data from LINZ</w:t>
            </w:r>
          </w:p>
        </w:tc>
      </w:tr>
      <w:tr w:rsidR="00DE1BDD" w:rsidRPr="00BD16B4" w14:paraId="74C18BFB"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4B20BCC0" w14:textId="77777777" w:rsidR="00DE1BDD" w:rsidRPr="00BD16B4" w:rsidRDefault="00DE1BDD" w:rsidP="004A205F">
            <w:pPr>
              <w:pStyle w:val="TableText"/>
              <w:spacing w:before="40" w:after="40" w:line="240" w:lineRule="auto"/>
            </w:pPr>
            <w:r w:rsidRPr="00BD16B4">
              <w:t>MfE Data Service</w:t>
            </w:r>
          </w:p>
        </w:tc>
        <w:tc>
          <w:tcPr>
            <w:tcW w:w="1701" w:type="dxa"/>
          </w:tcPr>
          <w:p w14:paraId="41F5FCBF"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MfE</w:t>
            </w:r>
          </w:p>
        </w:tc>
        <w:tc>
          <w:tcPr>
            <w:tcW w:w="1842" w:type="dxa"/>
          </w:tcPr>
          <w:p w14:paraId="14EE13EA"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Supported by MfE</w:t>
            </w:r>
          </w:p>
        </w:tc>
        <w:tc>
          <w:tcPr>
            <w:tcW w:w="2835" w:type="dxa"/>
          </w:tcPr>
          <w:p w14:paraId="0C7EBA66"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Various environmental datasets published by MfE</w:t>
            </w:r>
          </w:p>
        </w:tc>
      </w:tr>
      <w:tr w:rsidR="00DE1BDD" w:rsidRPr="00BD16B4" w14:paraId="6413E617"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40240D7A" w14:textId="77777777" w:rsidR="00DE1BDD" w:rsidRPr="00BD16B4" w:rsidRDefault="00DE1BDD" w:rsidP="004A205F">
            <w:pPr>
              <w:pStyle w:val="TableText"/>
              <w:spacing w:before="40" w:after="40" w:line="240" w:lineRule="auto"/>
            </w:pPr>
            <w:r w:rsidRPr="00BD16B4">
              <w:t xml:space="preserve">NIWA Geospatial Data </w:t>
            </w:r>
          </w:p>
        </w:tc>
        <w:tc>
          <w:tcPr>
            <w:tcW w:w="1701" w:type="dxa"/>
          </w:tcPr>
          <w:p w14:paraId="4225CD5F"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NIWA</w:t>
            </w:r>
          </w:p>
        </w:tc>
        <w:tc>
          <w:tcPr>
            <w:tcW w:w="1842" w:type="dxa"/>
          </w:tcPr>
          <w:p w14:paraId="3F449D5D" w14:textId="77777777" w:rsidR="00DE1BDD" w:rsidRPr="00BD16B4" w:rsidRDefault="00DE1BDD" w:rsidP="004A205F">
            <w:pPr>
              <w:spacing w:before="0" w:after="0" w:line="240" w:lineRule="auto"/>
              <w:cnfStyle w:val="000000000000" w:firstRow="0" w:lastRow="0" w:firstColumn="0" w:lastColumn="0" w:oddVBand="0" w:evenVBand="0" w:oddHBand="0" w:evenHBand="0" w:firstRowFirstColumn="0" w:firstRowLastColumn="0" w:lastRowFirstColumn="0" w:lastRowLastColumn="0"/>
              <w:rPr>
                <w:sz w:val="18"/>
              </w:rPr>
            </w:pPr>
            <w:r w:rsidRPr="00BD16B4">
              <w:rPr>
                <w:sz w:val="18"/>
              </w:rPr>
              <w:t>Supported by NIWA</w:t>
            </w:r>
          </w:p>
        </w:tc>
        <w:tc>
          <w:tcPr>
            <w:tcW w:w="2835" w:type="dxa"/>
          </w:tcPr>
          <w:p w14:paraId="4655C92F" w14:textId="77777777" w:rsidR="00DE1BDD" w:rsidRPr="00BD16B4" w:rsidRDefault="00DE1BDD" w:rsidP="004A205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8"/>
              </w:rPr>
            </w:pPr>
            <w:r w:rsidRPr="00BD16B4">
              <w:rPr>
                <w:sz w:val="18"/>
              </w:rPr>
              <w:t>Various geospatial datasets, including environmental classifications</w:t>
            </w:r>
          </w:p>
        </w:tc>
      </w:tr>
      <w:tr w:rsidR="00DE1BDD" w:rsidRPr="00BD16B4" w14:paraId="1E400669" w14:textId="77777777" w:rsidTr="004A205F">
        <w:tc>
          <w:tcPr>
            <w:cnfStyle w:val="001000000000" w:firstRow="0" w:lastRow="0" w:firstColumn="1" w:lastColumn="0" w:oddVBand="0" w:evenVBand="0" w:oddHBand="0" w:evenHBand="0" w:firstRowFirstColumn="0" w:firstRowLastColumn="0" w:lastRowFirstColumn="0" w:lastRowLastColumn="0"/>
            <w:tcW w:w="2019" w:type="dxa"/>
          </w:tcPr>
          <w:p w14:paraId="6A6EEE46" w14:textId="77777777" w:rsidR="00DE1BDD" w:rsidRPr="00BD16B4" w:rsidRDefault="00DE1BDD" w:rsidP="004A205F">
            <w:pPr>
              <w:pStyle w:val="TableText"/>
              <w:spacing w:before="40" w:after="40" w:line="240" w:lineRule="auto"/>
            </w:pPr>
            <w:r w:rsidRPr="00BD16B4">
              <w:t>Land Resource Information System (LRIS)</w:t>
            </w:r>
          </w:p>
        </w:tc>
        <w:tc>
          <w:tcPr>
            <w:tcW w:w="1701" w:type="dxa"/>
          </w:tcPr>
          <w:p w14:paraId="3CB7DF2D"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Manaaki Whenua Landcare Research</w:t>
            </w:r>
          </w:p>
        </w:tc>
        <w:tc>
          <w:tcPr>
            <w:tcW w:w="1842" w:type="dxa"/>
          </w:tcPr>
          <w:p w14:paraId="74F9A2D4"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Nationally Significant Database / Collection</w:t>
            </w:r>
          </w:p>
        </w:tc>
        <w:tc>
          <w:tcPr>
            <w:tcW w:w="2835" w:type="dxa"/>
          </w:tcPr>
          <w:p w14:paraId="27E884EB" w14:textId="77777777" w:rsidR="00DE1BDD" w:rsidRPr="00BD16B4" w:rsidRDefault="00DE1BDD" w:rsidP="004A205F">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D16B4">
              <w:t>Geospatial data repository holding over 200 land resource data layers for Aotearoa – New Zealand</w:t>
            </w:r>
          </w:p>
        </w:tc>
      </w:tr>
    </w:tbl>
    <w:p w14:paraId="1942B839" w14:textId="77777777" w:rsidR="00DE1BDD" w:rsidRPr="00BD16B4" w:rsidRDefault="00DE1BDD" w:rsidP="00E63C45">
      <w:pPr>
        <w:pStyle w:val="Note"/>
      </w:pPr>
      <w:r w:rsidRPr="00BD16B4">
        <w:t xml:space="preserve">Note: LCDB = Land Cover DataBase; LIDAR = light detection and ranging; </w:t>
      </w:r>
      <w:r w:rsidRPr="00BD16B4">
        <w:rPr>
          <w:rFonts w:eastAsiaTheme="majorEastAsia"/>
        </w:rPr>
        <w:t>LI</w:t>
      </w:r>
      <w:r w:rsidRPr="00BD16B4">
        <w:t>NZ = Toitū Te Whenua Land Information New Zealand; LRIS = Land Resource Information System; MfE = Ministry for the Environment; MWLR = Manaaki Whenua Landcare Research; NIWA = National Institute of Water and Atmospheric Research; NZDR = National Soils Data Repository.</w:t>
      </w:r>
    </w:p>
    <w:p w14:paraId="2FA22086" w14:textId="77777777" w:rsidR="00DE1BDD" w:rsidRPr="00BD16B4" w:rsidRDefault="00DE1BDD" w:rsidP="00DE1BDD">
      <w:pPr>
        <w:pStyle w:val="Heading3"/>
      </w:pPr>
      <w:r w:rsidRPr="00BD16B4">
        <w:t>Data standards, catalogues and registers</w:t>
      </w:r>
    </w:p>
    <w:p w14:paraId="79C688E5" w14:textId="77777777" w:rsidR="00DE1BDD" w:rsidRPr="00BD16B4" w:rsidRDefault="00DE1BDD" w:rsidP="00DE1BDD">
      <w:pPr>
        <w:pStyle w:val="BodyText"/>
      </w:pPr>
      <w:r w:rsidRPr="00BD16B4">
        <w:t>As noted, environmental data are collected and managed in New Zealand by multiple data providers and agencies. Data integration and access is supported through standards and tools. This includes approaches for consistent data collection and quality assurance (eg, through the NEMS initiative, see above), data management, data discovery and data delivery.</w:t>
      </w:r>
    </w:p>
    <w:p w14:paraId="507EBFB0" w14:textId="77777777" w:rsidR="00DE1BDD" w:rsidRPr="00BD16B4" w:rsidRDefault="00DE1BDD" w:rsidP="00DE1BDD">
      <w:pPr>
        <w:pStyle w:val="BodyText"/>
      </w:pPr>
      <w:r w:rsidRPr="00BD16B4">
        <w:rPr>
          <w:spacing w:val="-2"/>
        </w:rPr>
        <w:t>The development of standards and tools is often supported through international organisations</w:t>
      </w:r>
      <w:r w:rsidRPr="00BD16B4">
        <w:t>, such as the International Organization for Standardization (ISO), the World Meteorological Organization (WMO), the Open Geospatial Consortium (OGC), the Global Biodiversity Information Facility (GBIF),</w:t>
      </w:r>
      <w:r w:rsidRPr="00BD16B4">
        <w:rPr>
          <w:vertAlign w:val="superscript"/>
        </w:rPr>
        <w:footnoteReference w:id="625"/>
      </w:r>
      <w:r w:rsidRPr="00BD16B4">
        <w:t xml:space="preserve"> the Integrated Marine Observing System (IMOS),</w:t>
      </w:r>
      <w:r w:rsidRPr="00BD16B4">
        <w:rPr>
          <w:vertAlign w:val="superscript"/>
        </w:rPr>
        <w:footnoteReference w:id="626"/>
      </w:r>
      <w:r w:rsidRPr="00BD16B4">
        <w:t xml:space="preserve"> the Group on Earth Observations (GEO), and others. Data standards support the WMO Information System (WIS) through improving the availability of consistent environmental data.</w:t>
      </w:r>
      <w:r w:rsidRPr="00BD16B4">
        <w:rPr>
          <w:vertAlign w:val="superscript"/>
        </w:rPr>
        <w:footnoteReference w:id="627"/>
      </w:r>
      <w:r w:rsidRPr="00BD16B4">
        <w:t xml:space="preserve"> </w:t>
      </w:r>
    </w:p>
    <w:p w14:paraId="298C9E94" w14:textId="77777777" w:rsidR="00DE1BDD" w:rsidRPr="00BD16B4" w:rsidRDefault="00DE1BDD" w:rsidP="00DE1BDD">
      <w:pPr>
        <w:pStyle w:val="BodyText"/>
      </w:pPr>
      <w:r w:rsidRPr="00BD16B4">
        <w:t xml:space="preserve">This area of work also includes catalogues contributing to international archives, such as the GBIF and IMOS. </w:t>
      </w:r>
    </w:p>
    <w:p w14:paraId="12AC4CDD" w14:textId="77777777" w:rsidR="00DE1BDD" w:rsidRPr="00BD16B4" w:rsidRDefault="00DE1BDD" w:rsidP="00DE1BDD">
      <w:pPr>
        <w:pStyle w:val="BodyText"/>
      </w:pPr>
      <w:r w:rsidRPr="00BD16B4">
        <w:t>To support improved data discovery, a variety of data providers are working on building up catalogues of data holdings; for example, the: LINZ Data Service,</w:t>
      </w:r>
      <w:r w:rsidRPr="00BD16B4">
        <w:rPr>
          <w:vertAlign w:val="superscript"/>
        </w:rPr>
        <w:footnoteReference w:id="628"/>
      </w:r>
      <w:r w:rsidRPr="00BD16B4">
        <w:t xml:space="preserve"> MfE Data Service,</w:t>
      </w:r>
      <w:r w:rsidRPr="00BD16B4">
        <w:rPr>
          <w:rStyle w:val="FootnoteReference"/>
        </w:rPr>
        <w:footnoteReference w:id="629"/>
      </w:r>
      <w:r w:rsidRPr="00BD16B4">
        <w:t xml:space="preserve"> GNS Science Dataset Catalogue,</w:t>
      </w:r>
      <w:r w:rsidRPr="00BD16B4">
        <w:rPr>
          <w:vertAlign w:val="superscript"/>
        </w:rPr>
        <w:footnoteReference w:id="630"/>
      </w:r>
      <w:r w:rsidRPr="00BD16B4">
        <w:t xml:space="preserve"> NIWA Data Catalogue,</w:t>
      </w:r>
      <w:r w:rsidRPr="00BD16B4">
        <w:rPr>
          <w:vertAlign w:val="superscript"/>
        </w:rPr>
        <w:footnoteReference w:id="631"/>
      </w:r>
      <w:r w:rsidRPr="00BD16B4">
        <w:t xml:space="preserve"> Manaaki Whenua Landcare Research Land Resource Information System (LRIS)</w:t>
      </w:r>
      <w:r w:rsidRPr="00BD16B4">
        <w:rPr>
          <w:rStyle w:val="FootnoteReference"/>
        </w:rPr>
        <w:footnoteReference w:id="632"/>
      </w:r>
      <w:r w:rsidRPr="00BD16B4">
        <w:t xml:space="preserve"> and Manaaki Whenua Landcare Research Datastore.</w:t>
      </w:r>
      <w:r w:rsidRPr="00BD16B4">
        <w:rPr>
          <w:vertAlign w:val="superscript"/>
        </w:rPr>
        <w:footnoteReference w:id="633"/>
      </w:r>
      <w:r w:rsidRPr="00BD16B4">
        <w:t xml:space="preserve"> </w:t>
      </w:r>
    </w:p>
    <w:p w14:paraId="770D7D7E" w14:textId="77777777" w:rsidR="00DE1BDD" w:rsidRPr="00BD16B4" w:rsidRDefault="00DE1BDD" w:rsidP="00DE1BDD">
      <w:pPr>
        <w:pStyle w:val="BodyText"/>
      </w:pPr>
      <w:r w:rsidRPr="00BD16B4">
        <w:t>Efforts have been made to aggregate these catalogues into national registries, for example, the: New Zealand Government Data Catalogue,</w:t>
      </w:r>
      <w:r w:rsidRPr="00BD16B4">
        <w:rPr>
          <w:vertAlign w:val="superscript"/>
        </w:rPr>
        <w:footnoteReference w:id="634"/>
      </w:r>
      <w:r w:rsidRPr="00BD16B4">
        <w:t xml:space="preserve"> National Environmental Data Centre (NEDC)</w:t>
      </w:r>
      <w:r w:rsidRPr="00BD16B4">
        <w:rPr>
          <w:rStyle w:val="FootnoteReference"/>
        </w:rPr>
        <w:footnoteReference w:id="635"/>
      </w:r>
      <w:r w:rsidRPr="00BD16B4">
        <w:t> and LAWA.</w:t>
      </w:r>
      <w:r w:rsidRPr="00BD16B4">
        <w:rPr>
          <w:vertAlign w:val="superscript"/>
        </w:rPr>
        <w:footnoteReference w:id="636"/>
      </w:r>
    </w:p>
    <w:p w14:paraId="5B94485A" w14:textId="498022C3" w:rsidR="00DE1BDD" w:rsidRPr="00BD16B4" w:rsidRDefault="00DE1BDD" w:rsidP="00C37887">
      <w:pPr>
        <w:pStyle w:val="Heading2GCOS"/>
      </w:pPr>
      <w:bookmarkStart w:id="589" w:name="_Toc497740324"/>
      <w:bookmarkStart w:id="590" w:name="_Toc498523550"/>
      <w:bookmarkStart w:id="591" w:name="_Toc499993076"/>
      <w:bookmarkStart w:id="592" w:name="_Toc499994251"/>
      <w:bookmarkStart w:id="593" w:name="_Toc109723933"/>
      <w:bookmarkStart w:id="594" w:name="_Toc117194184"/>
      <w:bookmarkStart w:id="595" w:name="_Toc120893212"/>
      <w:r w:rsidRPr="00BD16B4">
        <w:t>Pacific Island region coordination and capacity building</w:t>
      </w:r>
      <w:bookmarkEnd w:id="589"/>
      <w:bookmarkEnd w:id="590"/>
      <w:bookmarkEnd w:id="591"/>
      <w:bookmarkEnd w:id="592"/>
      <w:bookmarkEnd w:id="593"/>
      <w:bookmarkEnd w:id="594"/>
      <w:bookmarkEnd w:id="595"/>
    </w:p>
    <w:p w14:paraId="62A88F04" w14:textId="77777777" w:rsidR="00DE1BDD" w:rsidRPr="00BD16B4" w:rsidRDefault="00DE1BDD" w:rsidP="00DE1BDD">
      <w:pPr>
        <w:pStyle w:val="BodyText"/>
      </w:pPr>
      <w:r w:rsidRPr="00BD16B4">
        <w:t xml:space="preserve">Under a joint partnership of the Secretariat of the Pacific Regional Environment Programme (SPREP) and Met Office UK Pacific Trust Fund, the MetService helps in the management and operation of the GCOS Upper Air Network (GUAN) stations in Tuvalu (Funafuti) and Kiribati (Tarawa). Help is in the form of annual in-country maintenance trips and the provision of remote technical assistance (pandemic restrictions have meant no travel to the Pacific since late 2019, and the maintenance trips will be resumed once restrictions are lifted). MetService manages the Wellington Regional Telecommunications Hub as part of the WMO Information System, through which weather observation data from the Pacific are disseminated to global modelling and climate centres. Pacific Island countries and territories’ national meteorological centres have access to many GCOS ECVs data, information and products through the MetConnect Pacific website, which is hosted by MetService. The MetConnect Pacific website is the hub for the WMO-led Severe Weather Forecasting Programme for the South Pacific. </w:t>
      </w:r>
    </w:p>
    <w:p w14:paraId="778382FD" w14:textId="77777777" w:rsidR="00DE1BDD" w:rsidRPr="00BD16B4" w:rsidRDefault="00DE1BDD" w:rsidP="00DE1BDD">
      <w:pPr>
        <w:pStyle w:val="BodyText"/>
        <w:spacing w:after="100"/>
      </w:pPr>
      <w:r w:rsidRPr="00BD16B4">
        <w:t>NIWA works with the United Nations Development Programme under the Global Environment Facility, and with other bilateral arrangements and partner agencies, to support climate adaptation work in several Pacific Island countries and territories, including Fiji, Kiribati, Samoa and Solomon Islands. NIWA has collaborated with the Australian Bureau of Meteorology to develop and install a Pacific climate database (Climate Data for the Environment, CliDE) and associated support for data rescue, quality assurance and climate services. NIWA supports national meteorological and hydrological services in the region with enhancing their national observation networks, related cellular or satellite-based telemetry, and in-country data archiving.</w:t>
      </w:r>
    </w:p>
    <w:p w14:paraId="0B450B64" w14:textId="77777777" w:rsidR="00DE1BDD" w:rsidRPr="00BD16B4" w:rsidRDefault="00DE1BDD" w:rsidP="00DE1BDD">
      <w:pPr>
        <w:pStyle w:val="BodyText"/>
      </w:pPr>
      <w:r w:rsidRPr="00BD16B4">
        <w:t>NIWA and MetService are currently working with the United Nations Environment Programme under the Green Climate Fund on “Enhancing Climate Information and Knowledge Services for resilience in 5 island countries of the Pacific Ocean”, which includes the provision or upgrade of 58 automatic weather stations (AWS) and 4 shipboard AWS.</w:t>
      </w:r>
      <w:r w:rsidRPr="00BD16B4">
        <w:rPr>
          <w:rStyle w:val="FootnoteReference"/>
        </w:rPr>
        <w:footnoteReference w:id="637"/>
      </w:r>
    </w:p>
    <w:p w14:paraId="72D2A8F5" w14:textId="2849E6E9" w:rsidR="00DE1BDD" w:rsidRPr="00BD16B4" w:rsidRDefault="00DE1BDD" w:rsidP="00C37887">
      <w:pPr>
        <w:pStyle w:val="Heading2GCOS"/>
      </w:pPr>
      <w:bookmarkStart w:id="596" w:name="_Toc497740325"/>
      <w:bookmarkStart w:id="597" w:name="_Toc498523551"/>
      <w:bookmarkStart w:id="598" w:name="_Toc499993077"/>
      <w:bookmarkStart w:id="599" w:name="_Toc499994252"/>
      <w:bookmarkStart w:id="600" w:name="_Toc109723934"/>
      <w:bookmarkStart w:id="601" w:name="_Toc117194185"/>
      <w:bookmarkStart w:id="602" w:name="_Toc120893213"/>
      <w:r w:rsidRPr="00BD16B4">
        <w:t>Palaeoclimate data</w:t>
      </w:r>
      <w:bookmarkEnd w:id="596"/>
      <w:bookmarkEnd w:id="597"/>
      <w:bookmarkEnd w:id="598"/>
      <w:bookmarkEnd w:id="599"/>
      <w:bookmarkEnd w:id="600"/>
      <w:bookmarkEnd w:id="601"/>
      <w:bookmarkEnd w:id="602"/>
    </w:p>
    <w:p w14:paraId="16A8B099" w14:textId="77777777" w:rsidR="00DE1BDD" w:rsidRPr="00BD16B4" w:rsidRDefault="00DE1BDD" w:rsidP="00DE1BDD">
      <w:pPr>
        <w:pStyle w:val="BodyText"/>
      </w:pPr>
      <w:r w:rsidRPr="00BD16B4">
        <w:t>Several Aotearoa New Zealand Crown research institutes and universities are collecting palaeoclimate archives and generating climate reconstructions from them. Their goals are to provide evidence about how the Earth’s past environment was different from the present, including quantification of past warm periods, variability and climate extremes. These archives provide evidence about natural climate changes over time and enlighten us about climate dynamics, climate processes and their drivers. The environmental change signals in these archives extend the context for historical records of limited temporal scope.</w:t>
      </w:r>
    </w:p>
    <w:p w14:paraId="608B9F25" w14:textId="77777777" w:rsidR="00DE1BDD" w:rsidRPr="00BD16B4" w:rsidRDefault="00DE1BDD" w:rsidP="00DE1BDD">
      <w:pPr>
        <w:pStyle w:val="BodyText"/>
      </w:pPr>
      <w:r w:rsidRPr="00BD16B4">
        <w:t>Several high-level international palaeoclimate initiatives are coordinated from New Zealand that contribute toward research frameworks of the International Quaternary Union (INQUA) and Past Global Changes (PAGES),</w:t>
      </w:r>
      <w:r w:rsidRPr="00BD16B4">
        <w:rPr>
          <w:vertAlign w:val="superscript"/>
        </w:rPr>
        <w:footnoteReference w:id="638"/>
      </w:r>
      <w:r w:rsidRPr="00BD16B4">
        <w:t xml:space="preserve"> a core project of the ‘Future Earth’</w:t>
      </w:r>
      <w:r w:rsidRPr="00BD16B4">
        <w:rPr>
          <w:vertAlign w:val="superscript"/>
        </w:rPr>
        <w:footnoteReference w:id="639"/>
      </w:r>
      <w:r w:rsidRPr="00BD16B4">
        <w:t xml:space="preserve"> initiative and a partner of the World Climate Research Programme. The New Zealand contributions include the Southern Hemisphere Assessment of PalaeoEnvironments (SHAPE) international focus group and the Southern Hemisphere glacial maximum (SHeMax) project under the INQUA Palaeoclimate Commission. Several PAGES ‘2k Network Projects’</w:t>
      </w:r>
      <w:r w:rsidRPr="00BD16B4">
        <w:rPr>
          <w:rStyle w:val="FootnoteReference"/>
        </w:rPr>
        <w:footnoteReference w:id="640"/>
      </w:r>
      <w:r w:rsidRPr="00BD16B4">
        <w:t xml:space="preserve"> also contribute, including climate reconstructions over the past 2000 years in the Aus2k, Iso2k and CoralHydro2k, and over longer time scales in the Speleothem Isotopes Synthesis and AnaLysis (SISAL) working group.</w:t>
      </w:r>
    </w:p>
    <w:p w14:paraId="676525CE" w14:textId="414930F3" w:rsidR="00DE1BDD" w:rsidRPr="00BD16B4" w:rsidRDefault="00DE1BDD" w:rsidP="00DE1BDD">
      <w:pPr>
        <w:pStyle w:val="BodyText"/>
      </w:pPr>
      <w:r w:rsidRPr="00BD16B4">
        <w:t>New Zealand was actively involved in the (now discontinued) international Antarctic D</w:t>
      </w:r>
      <w:r w:rsidR="00D21A4E">
        <w:t>rilli</w:t>
      </w:r>
      <w:r w:rsidRPr="00BD16B4">
        <w:t>ng (ANDRILL) programme. ANDRILL retrieved two cores from deeper than 1200 metres in the McMurdo region, providing a unique record of the history of the Ross Ice Shelf and Antarctic ice sheets spanning the past 20 million years and comprising numerous cycles of ice advance and retreat under various climatic conditions. Some data may represent extended periods when the climate was a few degrees warmer and atmospheric carbon dioxide (CO</w:t>
      </w:r>
      <w:r w:rsidRPr="00BD16B4">
        <w:rPr>
          <w:vertAlign w:val="subscript"/>
        </w:rPr>
        <w:t>2</w:t>
      </w:r>
      <w:r w:rsidRPr="00BD16B4">
        <w:t>) higher than at present, much like that projected for the future under many current climate change scenarios. ANDRILL palaeoclimate data are used with the latest ice sheet models to better predict the future response of Antarctic ice sheets to global warming.</w:t>
      </w:r>
    </w:p>
    <w:p w14:paraId="2E684819" w14:textId="77777777" w:rsidR="00DE1BDD" w:rsidRPr="00BD16B4" w:rsidRDefault="00DE1BDD" w:rsidP="00DE1BDD">
      <w:pPr>
        <w:pStyle w:val="BodyText"/>
      </w:pPr>
      <w:r w:rsidRPr="00BD16B4">
        <w:t>We have a good understanding of palaeoclimatology in specific marine regions (eg, the Chatham Rise, Campbell Plateau, eastern North Island), however, knowledge is sparse in other areas of national and international importance (eg, western New Zealand, south of the Campbell Plateau towards Antarctica, and north of New Zealand to the Tasman Front). Decadal and century-scale records are sparse, except for a few spatially restricted localities along the East Cape of the North Island. For example, core MD97-2121, which shows a rapid sedimentation rate of up to 42 centimetres per 1000 years, yields a detailed record of southwest Pacific Ocean conditions over the last glacial cycle. Recent work in the SHAPE and SHeMax projects has focused on shoring up the spatial and temporal coverage for the past 60,000 years around New Zealand, the Tasman Sea and Southern Ocean.</w:t>
      </w:r>
    </w:p>
    <w:p w14:paraId="71A2AF03" w14:textId="77777777" w:rsidR="00DE1BDD" w:rsidRPr="00BD16B4" w:rsidRDefault="00DE1BDD" w:rsidP="00DE1BDD">
      <w:pPr>
        <w:pStyle w:val="BodyText"/>
      </w:pPr>
      <w:r w:rsidRPr="00BD16B4">
        <w:t>New Zealand is leading the international Roosevelt Island Climate Evolution (RICE) Project.</w:t>
      </w:r>
      <w:r w:rsidRPr="00BD16B4">
        <w:rPr>
          <w:vertAlign w:val="superscript"/>
        </w:rPr>
        <w:footnoteReference w:id="641"/>
      </w:r>
      <w:r w:rsidRPr="00BD16B4">
        <w:t xml:space="preserve"> RICE is a collaboration between New Zealand, Australia, China, Denmark, Germany, Italy, Sweden, the United Kingdom and United States. The project recovered one ice core to a depth of 764 metres from Roosevelt Island in Antarctica to help understand the stability of the Ross Ice Shelf and West Antarctica in a warming world. The RICE core was processed in the New Zealand National Ice Core Research Facility at GNS Science and has produced paleoclimate reconstructions with sub-annual resolution for the past 2700 years and at least decadal resolution for the past 60,000 years. The data provide records of near-instrument quality time series of temperature, snow accumulation, sea-surface temperature, sea-ice extent, marine primary productivity, and atmospheric greenhouse gas concentrations of methane (CH</w:t>
      </w:r>
      <w:r w:rsidRPr="00BD16B4">
        <w:rPr>
          <w:vertAlign w:val="subscript"/>
        </w:rPr>
        <w:t>4</w:t>
      </w:r>
      <w:r w:rsidRPr="00BD16B4">
        <w:t>) and CO</w:t>
      </w:r>
      <w:r w:rsidRPr="00BD16B4">
        <w:rPr>
          <w:vertAlign w:val="subscript"/>
        </w:rPr>
        <w:t>2</w:t>
      </w:r>
      <w:r w:rsidRPr="00BD16B4">
        <w:t>. The paleoclimate reconstructions are used in earth system and ice sheet models to quantify the sensitivity of the Ross Ice Shelf and West Antarctica to warming, and to assess the potential contribution of this region to future sea-level rise.</w:t>
      </w:r>
    </w:p>
    <w:p w14:paraId="0920EE52" w14:textId="77777777" w:rsidR="00DE1BDD" w:rsidRPr="00BD16B4" w:rsidRDefault="00DE1BDD" w:rsidP="00DE1BDD">
      <w:pPr>
        <w:pStyle w:val="BodyText"/>
      </w:pPr>
      <w:r w:rsidRPr="00BD16B4">
        <w:t xml:space="preserve">Over the past decade, a rigorous assessment of available temperature reconstructions for the past 2000 years (through PAGES2k) has supported the production of a robust global data set and temperature synthesis. This data set is an important evaluation tool for the performance of climate models providing future projections. Only records with excellent age control, sufficient resolution and a demonstrated robust temperature proxy were included in the global data base, after careful assessments by the team. New Zealand’s contributions to this data set are three ice core records from the Ross Sea region and several tree ring records. The New Zealand national tree ring network included multiple species with other climatic sensitivities that were gathered for but ultimately not included, due to the focus on temperature. </w:t>
      </w:r>
    </w:p>
    <w:p w14:paraId="4F636660" w14:textId="77777777" w:rsidR="00DE1BDD" w:rsidRPr="00BD16B4" w:rsidRDefault="00DE1BDD" w:rsidP="00DE1BDD">
      <w:pPr>
        <w:pStyle w:val="BodyText"/>
      </w:pPr>
      <w:r w:rsidRPr="00BD16B4">
        <w:t xml:space="preserve">Collectively, these records provide important historic high-resolution baselines for the South Pacific and the southern mid and high latitudes. Significant advances have also been made in the development of a globally unique ancient kauri tree ring archive at NIWA that contains wood discontinuously spanning parts of the last glacial cycle, which is not available anywhere else in the world. </w:t>
      </w:r>
    </w:p>
    <w:p w14:paraId="335B5F9F" w14:textId="77777777" w:rsidR="00DE1BDD" w:rsidRPr="00BD16B4" w:rsidRDefault="00DE1BDD" w:rsidP="00DE1BDD">
      <w:pPr>
        <w:pStyle w:val="BodyText"/>
        <w:keepLines/>
      </w:pPr>
      <w:r w:rsidRPr="00BD16B4">
        <w:t xml:space="preserve">Ongoing high-resolution palaeoclimatology continues to update the national tree ring network and is adding new annually banded coral records from the southwest Pacific. In addition, several high-resolution (multi-annual to decadal) records are being developed from speleothems and sedimentary archives (including peats and lakes) that are adding more detail from the New Zealand region to the view of continuous climate changes through time. Precise chronologies of glacier changes in the past, from which temperature reconstructions can be derived, have also emerged from New Zealand’s Southern Alps based on cosmogenic surface exposure dating. These emergent data have helped to define the ages of moraine sequences along with ice retreat and advances. These data are being used to challenge long-held views about the causes of Quaternary ice ages. </w:t>
      </w:r>
    </w:p>
    <w:p w14:paraId="53701C12" w14:textId="77777777" w:rsidR="00DE1BDD" w:rsidRPr="00BD16B4" w:rsidRDefault="00DE1BDD" w:rsidP="00DE1BDD">
      <w:pPr>
        <w:pStyle w:val="BodyText"/>
      </w:pPr>
      <w:r w:rsidRPr="00BD16B4">
        <w:br w:type="page"/>
      </w:r>
    </w:p>
    <w:p w14:paraId="0EF1B90E" w14:textId="65D1BDC0" w:rsidR="00DE1BDD" w:rsidRPr="00BD16B4" w:rsidRDefault="00DE1BDD" w:rsidP="00E63C45">
      <w:pPr>
        <w:pStyle w:val="Heading1notforTOC"/>
        <w:spacing w:after="240"/>
      </w:pPr>
      <w:bookmarkStart w:id="603" w:name="_Toc493859310"/>
      <w:bookmarkStart w:id="604" w:name="_Toc493859606"/>
      <w:bookmarkStart w:id="605" w:name="_Toc497740326"/>
      <w:bookmarkStart w:id="606" w:name="_Toc498523552"/>
      <w:bookmarkStart w:id="607" w:name="_Toc499993078"/>
      <w:bookmarkStart w:id="608" w:name="_Toc499994253"/>
      <w:bookmarkStart w:id="609" w:name="_Toc109723935"/>
      <w:bookmarkStart w:id="610" w:name="_Toc117194186"/>
      <w:bookmarkStart w:id="611" w:name="_Toc120893214"/>
      <w:r w:rsidRPr="00BD16B4">
        <w:t>Essential Climate Variables</w:t>
      </w:r>
      <w:bookmarkEnd w:id="603"/>
      <w:bookmarkEnd w:id="604"/>
      <w:bookmarkEnd w:id="605"/>
      <w:bookmarkEnd w:id="606"/>
      <w:bookmarkEnd w:id="607"/>
      <w:bookmarkEnd w:id="608"/>
      <w:r w:rsidRPr="00BD16B4">
        <w:t>: Atmosphere</w:t>
      </w:r>
      <w:bookmarkEnd w:id="609"/>
      <w:bookmarkEnd w:id="610"/>
      <w:bookmarkEnd w:id="611"/>
    </w:p>
    <w:p w14:paraId="6A5511BE" w14:textId="77777777" w:rsidR="00DE1BDD" w:rsidRPr="00BD16B4" w:rsidRDefault="00DE1BDD" w:rsidP="00DE1BDD">
      <w:pPr>
        <w:pStyle w:val="BodyText"/>
      </w:pPr>
      <w:r w:rsidRPr="00BD16B4">
        <w:t>Atmospheric ECVs that can be feasibly measured and are relevant to the UNFCCC (according to GCOS</w:t>
      </w:r>
      <w:r w:rsidRPr="00BD16B4">
        <w:rPr>
          <w:vertAlign w:val="superscript"/>
        </w:rPr>
        <w:footnoteReference w:id="642"/>
      </w:r>
      <w:r w:rsidRPr="00BD16B4">
        <w:t xml:space="preserve">) relate to surface measurements, upper atmosphere measurements and atmospheric composition measurements: </w:t>
      </w:r>
    </w:p>
    <w:p w14:paraId="5C96A70C" w14:textId="77777777" w:rsidR="00DE1BDD" w:rsidRPr="00BD16B4" w:rsidRDefault="00DE1BDD" w:rsidP="00DE1BDD">
      <w:pPr>
        <w:pStyle w:val="Bullet"/>
      </w:pPr>
      <w:r w:rsidRPr="00BD16B4">
        <w:rPr>
          <w:b/>
        </w:rPr>
        <w:t>surface</w:t>
      </w:r>
      <w:r w:rsidRPr="00BD16B4">
        <w:t>: air temperature, wind speed and direction, water vapour, air pressure, precipitation, radiation budget</w:t>
      </w:r>
    </w:p>
    <w:p w14:paraId="1A936F52" w14:textId="77777777" w:rsidR="00DE1BDD" w:rsidRPr="00BD16B4" w:rsidRDefault="00DE1BDD" w:rsidP="00DE1BDD">
      <w:pPr>
        <w:pStyle w:val="Bullet"/>
      </w:pPr>
      <w:r w:rsidRPr="00BD16B4">
        <w:rPr>
          <w:b/>
        </w:rPr>
        <w:t>upper atmosphere</w:t>
      </w:r>
      <w:r w:rsidRPr="00BD16B4">
        <w:t>: earth radiation budget (including solar irradiance), upper-air temperature (including microwave sounding unit (MSU) radiances), wind speed and direction, water vapour, cloud properties, number of lightnings</w:t>
      </w:r>
    </w:p>
    <w:p w14:paraId="25226F36" w14:textId="2B3E25BB" w:rsidR="00DE1BDD" w:rsidRPr="00BD16B4" w:rsidRDefault="00DE1BDD" w:rsidP="00DE1BDD">
      <w:pPr>
        <w:pStyle w:val="Bullet"/>
      </w:pPr>
      <w:r w:rsidRPr="00BD16B4">
        <w:rPr>
          <w:b/>
        </w:rPr>
        <w:t>atmospheric composition</w:t>
      </w:r>
      <w:r w:rsidRPr="00BD16B4">
        <w:rPr>
          <w:bCs/>
        </w:rPr>
        <w:t>:</w:t>
      </w:r>
      <w:r w:rsidRPr="00BD16B4">
        <w:t xml:space="preserve"> aerosol properties (optical depth; single-scattering albedo;</w:t>
      </w:r>
      <w:r w:rsidR="00E60006">
        <w:t> </w:t>
      </w:r>
      <w:r w:rsidRPr="00BD16B4">
        <w:t>layer height; extinction profiles for the troposphere and the lower to middle stratosphere); CO</w:t>
      </w:r>
      <w:r w:rsidRPr="00BD16B4">
        <w:rPr>
          <w:vertAlign w:val="subscript"/>
        </w:rPr>
        <w:t>2</w:t>
      </w:r>
      <w:r w:rsidRPr="00BD16B4">
        <w:t>, CH</w:t>
      </w:r>
      <w:r w:rsidRPr="00BD16B4">
        <w:rPr>
          <w:vertAlign w:val="subscript"/>
        </w:rPr>
        <w:t>4</w:t>
      </w:r>
      <w:r w:rsidRPr="00BD16B4">
        <w:t xml:space="preserve"> and other greenhouse gases; ozone; precursors (nitrogen dioxide tropospheric column; sulfur dioxide, formaldehyde (HCHO) tropospheric columns; carbon monoxide tropospheric column; carbon monoxide tropospheric profile).</w:t>
      </w:r>
    </w:p>
    <w:p w14:paraId="35113CF7" w14:textId="256F45BE" w:rsidR="00DE1BDD" w:rsidRPr="00BD16B4" w:rsidRDefault="00DE1BDD" w:rsidP="00C37887">
      <w:pPr>
        <w:pStyle w:val="Heading2GCOS"/>
      </w:pPr>
      <w:bookmarkStart w:id="612" w:name="_Toc497740327"/>
      <w:bookmarkStart w:id="613" w:name="_Toc498523553"/>
      <w:bookmarkStart w:id="614" w:name="_Toc499993079"/>
      <w:bookmarkStart w:id="615" w:name="_Toc499994254"/>
      <w:bookmarkStart w:id="616" w:name="_Toc109723936"/>
      <w:bookmarkStart w:id="617" w:name="_Toc117194187"/>
      <w:bookmarkStart w:id="618" w:name="_Toc120893215"/>
      <w:r w:rsidRPr="00BD16B4">
        <w:t>General situation: National data collection and support</w:t>
      </w:r>
      <w:bookmarkEnd w:id="612"/>
      <w:bookmarkEnd w:id="613"/>
      <w:bookmarkEnd w:id="614"/>
      <w:bookmarkEnd w:id="615"/>
      <w:bookmarkEnd w:id="616"/>
      <w:bookmarkEnd w:id="617"/>
      <w:bookmarkEnd w:id="618"/>
    </w:p>
    <w:p w14:paraId="715C9B1B" w14:textId="77777777" w:rsidR="00DE1BDD" w:rsidRPr="00BD16B4" w:rsidRDefault="00DE1BDD" w:rsidP="00DE1BDD">
      <w:pPr>
        <w:pStyle w:val="BodyText"/>
      </w:pPr>
      <w:r w:rsidRPr="00BD16B4">
        <w:t>Three primary observation programmes are ongoing for Aotearoa New Zealand GCOS atmospheric ECVs:</w:t>
      </w:r>
    </w:p>
    <w:p w14:paraId="08B750AD" w14:textId="77777777" w:rsidR="00DE1BDD" w:rsidRPr="00BD16B4" w:rsidRDefault="00DE1BDD" w:rsidP="00DE1BDD">
      <w:pPr>
        <w:pStyle w:val="Bullet"/>
      </w:pPr>
      <w:r w:rsidRPr="00BD16B4">
        <w:t>surface weather observations undertaken by MetService and NIWA</w:t>
      </w:r>
    </w:p>
    <w:p w14:paraId="7B9EA5AE" w14:textId="77777777" w:rsidR="00DE1BDD" w:rsidRPr="00BD16B4" w:rsidRDefault="00DE1BDD" w:rsidP="00DE1BDD">
      <w:pPr>
        <w:pStyle w:val="Bullet"/>
      </w:pPr>
      <w:r w:rsidRPr="00BD16B4">
        <w:t>upper atmosphere weather observations undertaken by MetService and NIWA</w:t>
      </w:r>
    </w:p>
    <w:p w14:paraId="10470431" w14:textId="77777777" w:rsidR="00DE1BDD" w:rsidRPr="00BD16B4" w:rsidRDefault="00DE1BDD" w:rsidP="00DE1BDD">
      <w:pPr>
        <w:pStyle w:val="Bullet"/>
      </w:pPr>
      <w:r w:rsidRPr="00BD16B4">
        <w:t xml:space="preserve">atmospheric constituent measurements undertaken by NIWA. </w:t>
      </w:r>
    </w:p>
    <w:p w14:paraId="0F788892" w14:textId="77777777" w:rsidR="00DE1BDD" w:rsidRPr="00BD16B4" w:rsidRDefault="00DE1BDD" w:rsidP="00DE1BDD">
      <w:pPr>
        <w:pStyle w:val="BodyText"/>
      </w:pPr>
      <w:r w:rsidRPr="00BD16B4">
        <w:t>In addition, New Zealand local authorities, research institutes and private agencies operate several thousand surface meteorological observations for regional and local purposes, especially rainfall and river monitoring for flood hazard management, and air quality monitoring. Observations are often carried out for specific purposes. Instrument and data quality may vary, and station locations can change due to local requirements.</w:t>
      </w:r>
    </w:p>
    <w:p w14:paraId="1E1C086E" w14:textId="77777777" w:rsidR="00DE1BDD" w:rsidRPr="00BD16B4" w:rsidRDefault="00DE1BDD" w:rsidP="00DE1BDD">
      <w:pPr>
        <w:pStyle w:val="BodyText"/>
      </w:pPr>
      <w:r w:rsidRPr="00BD16B4">
        <w:t>MetService and NIWA both pay particular attention to quality control. NIWA’s climate monitoring and archiving programme carries ISO9001 certification, and MetService has ISO9001 certification for the operation of its observing programmes. NIWA is helped by voluntary observers, especially for rainfall monitoring.</w:t>
      </w:r>
    </w:p>
    <w:p w14:paraId="347C3110" w14:textId="68F87788" w:rsidR="00DE1BDD" w:rsidRPr="00BD16B4" w:rsidRDefault="00DE1BDD" w:rsidP="00DE1BDD">
      <w:pPr>
        <w:pStyle w:val="BodyText"/>
        <w:keepLines/>
      </w:pPr>
      <w:r w:rsidRPr="00BD16B4">
        <w:t>NIWA supports its observational programmes and the related quality assurance and archiving</w:t>
      </w:r>
      <w:r w:rsidR="005B55E8" w:rsidRPr="00BD16B4">
        <w:t> </w:t>
      </w:r>
      <w:r w:rsidRPr="00BD16B4">
        <w:rPr>
          <w:spacing w:val="-2"/>
        </w:rPr>
        <w:t>systems through government funding from the Ministry of Business, Innovation and Employment</w:t>
      </w:r>
      <w:r w:rsidRPr="00BD16B4">
        <w:t xml:space="preserve"> for ‘Nationally Significant Collections and Databases’</w:t>
      </w:r>
      <w:r w:rsidRPr="00BD16B4">
        <w:rPr>
          <w:rStyle w:val="FootnoteReference"/>
        </w:rPr>
        <w:footnoteReference w:id="643"/>
      </w:r>
      <w:r w:rsidRPr="00BD16B4">
        <w:t xml:space="preserve"> and its own (government and commercially sourced) funding as part of the New Zealand Crown Research Institutes Act</w:t>
      </w:r>
      <w:r w:rsidR="005B55E8" w:rsidRPr="00BD16B4">
        <w:t> </w:t>
      </w:r>
      <w:r w:rsidRPr="00BD16B4">
        <w:t>1992.</w:t>
      </w:r>
      <w:r w:rsidRPr="00BD16B4">
        <w:rPr>
          <w:vertAlign w:val="superscript"/>
        </w:rPr>
        <w:footnoteReference w:id="644"/>
      </w:r>
      <w:r w:rsidRPr="00BD16B4">
        <w:t xml:space="preserve"> </w:t>
      </w:r>
    </w:p>
    <w:p w14:paraId="1B730922" w14:textId="77777777" w:rsidR="00DE1BDD" w:rsidRPr="00BD16B4" w:rsidRDefault="00DE1BDD" w:rsidP="00DE1BDD">
      <w:pPr>
        <w:pStyle w:val="BodyText"/>
      </w:pPr>
      <w:r w:rsidRPr="00BD16B4">
        <w:t xml:space="preserve">MetService supports its data collection, storage and processing operations through a contract with the New Zealand Ministry of Transport. </w:t>
      </w:r>
    </w:p>
    <w:p w14:paraId="27321A6C" w14:textId="4C7D728A" w:rsidR="00DE1BDD" w:rsidRPr="00BD16B4" w:rsidRDefault="00DE1BDD" w:rsidP="00C37887">
      <w:pPr>
        <w:pStyle w:val="Heading2GCOS"/>
      </w:pPr>
      <w:bookmarkStart w:id="619" w:name="_Toc497740328"/>
      <w:bookmarkStart w:id="620" w:name="_Toc498523554"/>
      <w:bookmarkStart w:id="621" w:name="_Toc499993080"/>
      <w:bookmarkStart w:id="622" w:name="_Toc499994255"/>
      <w:bookmarkStart w:id="623" w:name="_Toc109723937"/>
      <w:bookmarkStart w:id="624" w:name="_Toc117194188"/>
      <w:bookmarkStart w:id="625" w:name="_Toc120893216"/>
      <w:r w:rsidRPr="00BD16B4">
        <w:t>Surface weather observations</w:t>
      </w:r>
      <w:bookmarkEnd w:id="619"/>
      <w:bookmarkEnd w:id="620"/>
      <w:bookmarkEnd w:id="621"/>
      <w:bookmarkEnd w:id="622"/>
      <w:bookmarkEnd w:id="623"/>
      <w:bookmarkEnd w:id="624"/>
      <w:bookmarkEnd w:id="625"/>
    </w:p>
    <w:p w14:paraId="482C5622" w14:textId="77777777" w:rsidR="00DE1BDD" w:rsidRPr="00BD16B4" w:rsidRDefault="00DE1BDD" w:rsidP="00DE1BDD">
      <w:pPr>
        <w:pStyle w:val="BodyText"/>
      </w:pPr>
      <w:r w:rsidRPr="00BD16B4">
        <w:t>An overview of Aotearoa New Zealand surface meteorological observation history can be found in the 60th anniversary publication of the New Zealand Hydrological Society from 2021.</w:t>
      </w:r>
      <w:r w:rsidRPr="00BD16B4">
        <w:rPr>
          <w:rStyle w:val="FootnoteReference"/>
        </w:rPr>
        <w:footnoteReference w:id="645"/>
      </w:r>
      <w:r w:rsidRPr="00BD16B4">
        <w:t xml:space="preserve"> Currently, 223 stations are operated by NIWA and MetService, as the New Zealand National Climate Station Network (NCSN), and based on various network design criteria. The NCSN aims to cover climate regions, agricultural regions and urban areas, as well as including the National Reference Climate Station Network (NRCSN). The NRCSN is a subset of the national climate network and was established in the late 1980s. It consists of 66 stations (including back-up stations) located across mainland New Zealand, some of the outlying islands (Raoul, Chathams, and Campbell) and the Ross Dependency (Scott Base). This resulted from a recommendation from the 10th session of the WMO Commission for Climatology. </w:t>
      </w:r>
    </w:p>
    <w:p w14:paraId="67F13954" w14:textId="77777777" w:rsidR="00DE1BDD" w:rsidRPr="00BD16B4" w:rsidRDefault="00DE1BDD" w:rsidP="00DE1BDD">
      <w:pPr>
        <w:pStyle w:val="BodyText"/>
      </w:pPr>
      <w:bookmarkStart w:id="626" w:name="_Hlk113893664"/>
      <w:r w:rsidRPr="00BD16B4">
        <w:t>MetService</w:t>
      </w:r>
      <w:bookmarkEnd w:id="626"/>
      <w:r w:rsidRPr="00BD16B4">
        <w:t>, on behalf of New Zealand, is providing data from 33 weather stations to the Regional Basic Synoptic Network (RBSN) and data from 10 weather stations to international data centres, as part of the GCOS Surface Network (GSN). The GSN stations at Paraparaumu Aerodrome, Hokitika Airport and Invercargill Aerodrome are operated automatically but also have observers on contract providing observations. The other seven stations are automatic and owned and operated by MetService. Detailed metadata for these stations are compiled and site inspections are regularly carried out by NIWA and MetService staff. Copies of inspection reports are available through NIWA’s Instrument Systems group in Christchurch. New Zealand is in the process of adding nine more stations to the GSN (ratification through WMO pending).</w:t>
      </w:r>
    </w:p>
    <w:p w14:paraId="2C3149B2" w14:textId="77777777" w:rsidR="00DE1BDD" w:rsidRPr="00BD16B4" w:rsidRDefault="00DE1BDD" w:rsidP="00DE1BDD">
      <w:pPr>
        <w:pStyle w:val="BodyText"/>
      </w:pPr>
      <w:r w:rsidRPr="00BD16B4">
        <w:t>Pyranometers, pyrgeometers and photometers at NIWA’s Lauder Atmospheric Research Station record radiation data submitted to the Baseline Surface Radiation Network (BSRN).</w:t>
      </w:r>
      <w:r w:rsidRPr="00BD16B4">
        <w:rPr>
          <w:rStyle w:val="FootnoteReference"/>
        </w:rPr>
        <w:footnoteReference w:id="646"/>
      </w:r>
    </w:p>
    <w:p w14:paraId="79E50701" w14:textId="701655DE" w:rsidR="00DE1BDD" w:rsidRPr="00BD16B4" w:rsidRDefault="00DE1BDD" w:rsidP="005C4F61">
      <w:pPr>
        <w:pStyle w:val="Heading2notTOC"/>
      </w:pPr>
      <w:bookmarkStart w:id="627" w:name="_Toc497740329"/>
      <w:bookmarkStart w:id="628" w:name="_Toc498523555"/>
      <w:bookmarkStart w:id="629" w:name="_Toc499993081"/>
      <w:bookmarkStart w:id="630" w:name="_Toc499994256"/>
      <w:bookmarkStart w:id="631" w:name="_Toc109723938"/>
      <w:bookmarkStart w:id="632" w:name="_Toc117194189"/>
      <w:r w:rsidRPr="00BD16B4">
        <w:t>Upper atmosphere observations</w:t>
      </w:r>
      <w:bookmarkEnd w:id="627"/>
      <w:bookmarkEnd w:id="628"/>
      <w:bookmarkEnd w:id="629"/>
      <w:bookmarkEnd w:id="630"/>
      <w:bookmarkEnd w:id="631"/>
      <w:bookmarkEnd w:id="632"/>
    </w:p>
    <w:p w14:paraId="624AAD4B" w14:textId="77777777" w:rsidR="00DE1BDD" w:rsidRPr="00BD16B4" w:rsidRDefault="00DE1BDD" w:rsidP="00DE1BDD">
      <w:pPr>
        <w:pStyle w:val="BodyText"/>
      </w:pPr>
      <w:r w:rsidRPr="00BD16B4">
        <w:t>As part of the GUAN, Aotearoa New Zealand operates four GUAN stations. New Zealand GUAN stations are at Paraparaumu Aerodrome, Invercargill Aerodrome, Raoul Island and the Royal New Zealand Air Force base Whenuapai. Raoul Island releases one balloon a day, while the three remaining stations each release two balloons a day. All four stations measure air temperature, humidity, wind speed and wind direction. All stations deploy the Vaisala RS</w:t>
      </w:r>
      <w:r w:rsidRPr="00BD16B4">
        <w:noBreakHyphen/>
        <w:t>41SG radiosonde, which uses a global positioning system (GPS) module to calculate wind speed and direction. Currently, the Raoul Island station is out of service due to COVID-19 pandemic-related access constraints, and services will resume once pandemic restrictions allow site access.</w:t>
      </w:r>
    </w:p>
    <w:p w14:paraId="65E700DE" w14:textId="77777777" w:rsidR="00DE1BDD" w:rsidRPr="00BD16B4" w:rsidRDefault="00DE1BDD" w:rsidP="00DE1BDD">
      <w:pPr>
        <w:pStyle w:val="BodyText"/>
      </w:pPr>
      <w:r w:rsidRPr="00BD16B4">
        <w:t>The Lauder Atmospheric Research Station is part of the GCOS Reference Upper Air Network (GRUAN). Lauder’s radiosonde data, ozonesonde data, frost-point hygrometer data and global navigation satellite system (GNSS) receiver data are all being submitted to GRUAN as part of official data streams. The operational GUAN radiosondes launched at Invercargill are also being submitted to GRUAN through a partnership between NIWA and MetService. NIWA has provided the Invercargill site with a standard humidity chamber to incorporate into its ground-check operations. The chamber allows the radiosonde humidity sensor to make a measurement in 100 per cent relative humidity. Normally, the radiosonde relative humidity sensors only undergo a 0 per cent relative humidity test. This high humidity calibration point helps to constrain the sensors and identify biases, thereby improving the quality of the water vapour measurements. This partnership between a research GRUAN site and an operational GUAN site was the first of its kind in the world and is being credited as a great way to pass the best practices of GRUAN sites on to GUAN sites.</w:t>
      </w:r>
    </w:p>
    <w:p w14:paraId="6A1930B1" w14:textId="77777777" w:rsidR="00DE1BDD" w:rsidRPr="00BD16B4" w:rsidRDefault="00DE1BDD" w:rsidP="00DE1BDD">
      <w:pPr>
        <w:pStyle w:val="BodyText"/>
      </w:pPr>
      <w:r w:rsidRPr="00BD16B4">
        <w:t>Ross Island, Antarctica, is another GRUAN site that is managed by NIWA as a partnership with the United States Antarctic Program (USAP) and LINZ. Routine radiosonde data from McMurdo Station and GNSS data from a LINZ GNSS receiver near Scott Base, Antarctica, are submitted to GRUAN as active data streams. The distributed site is called the Ross Island GRUAN site, to avoid confusion, because McMurdo Station is already an actively submitting GUAN site.</w:t>
      </w:r>
    </w:p>
    <w:p w14:paraId="636DF3A7" w14:textId="369BF6C8" w:rsidR="00DE1BDD" w:rsidRPr="00BD16B4" w:rsidRDefault="00DE1BDD" w:rsidP="0055300D">
      <w:pPr>
        <w:pStyle w:val="Heading2GCOS"/>
      </w:pPr>
      <w:bookmarkStart w:id="633" w:name="_Toc497740330"/>
      <w:bookmarkStart w:id="634" w:name="_Toc498523556"/>
      <w:bookmarkStart w:id="635" w:name="_Toc499993082"/>
      <w:bookmarkStart w:id="636" w:name="_Toc499994257"/>
      <w:bookmarkStart w:id="637" w:name="_Toc109723939"/>
      <w:bookmarkStart w:id="638" w:name="_Toc117194190"/>
      <w:bookmarkStart w:id="639" w:name="_Toc120893217"/>
      <w:r w:rsidRPr="00BD16B4">
        <w:t>Atmospheric constituents measurements</w:t>
      </w:r>
      <w:bookmarkEnd w:id="633"/>
      <w:bookmarkEnd w:id="634"/>
      <w:bookmarkEnd w:id="635"/>
      <w:bookmarkEnd w:id="636"/>
      <w:bookmarkEnd w:id="637"/>
      <w:bookmarkEnd w:id="638"/>
      <w:bookmarkEnd w:id="639"/>
    </w:p>
    <w:p w14:paraId="0C294974" w14:textId="164D20BF" w:rsidR="00DE1BDD" w:rsidRPr="00BD16B4" w:rsidRDefault="00DE1BDD" w:rsidP="00DE1BDD">
      <w:pPr>
        <w:pStyle w:val="BodyText"/>
      </w:pPr>
      <w:r w:rsidRPr="00BD16B4">
        <w:t>Aotearoa New Zealand has three surface stations (Baring Head, Lauder and Arrival Heights, Antarctica) providing atmospheric constituent data to the World Data Centre for Greenhouse Gases (WDCGG), as part of the Global Atmosphere Watch (GAW) programme.</w:t>
      </w:r>
      <w:r w:rsidRPr="00BD16B4">
        <w:rPr>
          <w:rStyle w:val="FootnoteReference"/>
        </w:rPr>
        <w:footnoteReference w:id="647"/>
      </w:r>
      <w:r w:rsidRPr="00BD16B4">
        <w:t xml:space="preserve"> In situ concentrations of CO</w:t>
      </w:r>
      <w:r w:rsidRPr="00BD16B4">
        <w:rPr>
          <w:vertAlign w:val="subscript"/>
        </w:rPr>
        <w:t>2</w:t>
      </w:r>
      <w:r w:rsidRPr="00BD16B4">
        <w:t>, methylene (CH</w:t>
      </w:r>
      <w:r w:rsidRPr="00BD16B4">
        <w:rPr>
          <w:sz w:val="20"/>
          <w:vertAlign w:val="subscript"/>
        </w:rPr>
        <w:t>2</w:t>
      </w:r>
      <w:r w:rsidRPr="00BD16B4">
        <w:rPr>
          <w:sz w:val="20"/>
        </w:rPr>
        <w:t>)</w:t>
      </w:r>
      <w:r w:rsidRPr="00BD16B4">
        <w:t xml:space="preserve">, </w:t>
      </w:r>
      <w:r w:rsidR="00501292" w:rsidRPr="00BD16B4">
        <w:t>carbon mo</w:t>
      </w:r>
      <w:r w:rsidR="004245F2" w:rsidRPr="00BD16B4">
        <w:t>noxide</w:t>
      </w:r>
      <w:r w:rsidRPr="00BD16B4">
        <w:t xml:space="preserve"> (CO), ozone (O</w:t>
      </w:r>
      <w:r w:rsidRPr="00BD16B4">
        <w:rPr>
          <w:vertAlign w:val="subscript"/>
        </w:rPr>
        <w:t>3</w:t>
      </w:r>
      <w:r w:rsidRPr="00BD16B4">
        <w:t>) and nitrous oxide (N</w:t>
      </w:r>
      <w:r w:rsidRPr="00BD16B4">
        <w:rPr>
          <w:vertAlign w:val="subscript"/>
        </w:rPr>
        <w:t>2</w:t>
      </w:r>
      <w:r w:rsidRPr="00BD16B4">
        <w:t>O) are routinely measured at all three stations, either with discrete flask samples or continuous measurements. Stable carbon isotope ratios and radiocarbon content of carbon-bearing gases</w:t>
      </w:r>
      <w:r w:rsidR="001E5FAD" w:rsidRPr="00BD16B4">
        <w:t xml:space="preserve"> </w:t>
      </w:r>
      <w:r w:rsidRPr="00BD16B4">
        <w:t>(δ</w:t>
      </w:r>
      <w:r w:rsidRPr="00BD16B4">
        <w:rPr>
          <w:vertAlign w:val="superscript"/>
        </w:rPr>
        <w:t>13</w:t>
      </w:r>
      <w:r w:rsidRPr="00BD16B4">
        <w:t>CO</w:t>
      </w:r>
      <w:r w:rsidRPr="00BD16B4">
        <w:rPr>
          <w:vertAlign w:val="subscript"/>
        </w:rPr>
        <w:t>2</w:t>
      </w:r>
      <w:r w:rsidRPr="00BD16B4">
        <w:t>, δ</w:t>
      </w:r>
      <w:r w:rsidRPr="00BD16B4">
        <w:rPr>
          <w:vertAlign w:val="superscript"/>
        </w:rPr>
        <w:t>13</w:t>
      </w:r>
      <w:r w:rsidRPr="00BD16B4">
        <w:t>CH</w:t>
      </w:r>
      <w:r w:rsidRPr="00BD16B4">
        <w:rPr>
          <w:vertAlign w:val="subscript"/>
        </w:rPr>
        <w:t>4</w:t>
      </w:r>
      <w:r w:rsidRPr="00BD16B4">
        <w:t>) are measured at Baring Head and Arrival Heights. Measurements of atmospheric constituents at the NIWA Lauder Atmospheric Research Station are used to validate data from the Greenhouse Gases Observing Satellite (GOSAT),</w:t>
      </w:r>
      <w:r w:rsidRPr="00BD16B4">
        <w:rPr>
          <w:vertAlign w:val="superscript"/>
        </w:rPr>
        <w:footnoteReference w:id="648"/>
      </w:r>
      <w:r w:rsidRPr="00BD16B4">
        <w:t xml:space="preserve"> Orbiting Carbon </w:t>
      </w:r>
      <w:r w:rsidRPr="00BD16B4">
        <w:rPr>
          <w:spacing w:val="-2"/>
        </w:rPr>
        <w:t>Observator 2 &amp; 3 (OCO-2 and OCO-3),</w:t>
      </w:r>
      <w:r w:rsidRPr="00BD16B4">
        <w:rPr>
          <w:spacing w:val="-2"/>
          <w:vertAlign w:val="superscript"/>
        </w:rPr>
        <w:footnoteReference w:id="649"/>
      </w:r>
      <w:r w:rsidRPr="00BD16B4">
        <w:rPr>
          <w:spacing w:val="-2"/>
        </w:rPr>
        <w:t xml:space="preserve"> the TROPOspheric Monitoring Instrument (TROPOMI),</w:t>
      </w:r>
      <w:r w:rsidRPr="00BD16B4">
        <w:rPr>
          <w:rStyle w:val="FootnoteReference"/>
        </w:rPr>
        <w:footnoteReference w:id="650"/>
      </w:r>
      <w:r w:rsidRPr="00BD16B4">
        <w:t xml:space="preserve"> and form part of the Total Carbon Column Observing Network (TCCON).</w:t>
      </w:r>
      <w:r w:rsidRPr="00BD16B4">
        <w:rPr>
          <w:vertAlign w:val="superscript"/>
        </w:rPr>
        <w:footnoteReference w:id="651"/>
      </w:r>
      <w:r w:rsidRPr="00BD16B4">
        <w:t xml:space="preserve"> They</w:t>
      </w:r>
      <w:r w:rsidR="005C4F61" w:rsidRPr="00BD16B4">
        <w:t> </w:t>
      </w:r>
      <w:r w:rsidRPr="00BD16B4">
        <w:t>will be used in MethaneSAT validation, after its planned launch in 2022/23.</w:t>
      </w:r>
      <w:r w:rsidRPr="00BD16B4">
        <w:rPr>
          <w:rStyle w:val="FootnoteReference"/>
        </w:rPr>
        <w:footnoteReference w:id="652"/>
      </w:r>
    </w:p>
    <w:p w14:paraId="26F39D51" w14:textId="77777777" w:rsidR="00DE1BDD" w:rsidRPr="00BD16B4" w:rsidRDefault="00DE1BDD" w:rsidP="00DE1BDD">
      <w:pPr>
        <w:pStyle w:val="BodyText"/>
        <w:keepLines/>
        <w:spacing w:after="100"/>
        <w:rPr>
          <w:highlight w:val="yellow"/>
        </w:rPr>
      </w:pPr>
      <w:bookmarkStart w:id="640" w:name="_Hlk101274341"/>
      <w:r w:rsidRPr="00BD16B4">
        <w:t>In collaboration with the United States National Oceanic and Atmospheric Administration (NOAA), continuous in situ ozone measurements at Arrival Heights and Lauder were initiated in 2002 and 2003, respectively. In situ ozone has also been measured at Baring Head since 1991. In August 2006, an in situ Fourier transform spectrometer (FTS) greenhouse gas analyser (CO</w:t>
      </w:r>
      <w:r w:rsidRPr="00BD16B4">
        <w:rPr>
          <w:vertAlign w:val="subscript"/>
        </w:rPr>
        <w:t>2</w:t>
      </w:r>
      <w:r w:rsidRPr="00BD16B4">
        <w:t>,</w:t>
      </w:r>
      <w:r w:rsidRPr="00BD16B4">
        <w:rPr>
          <w:vertAlign w:val="superscript"/>
        </w:rPr>
        <w:t>13</w:t>
      </w:r>
      <w:r w:rsidRPr="00BD16B4">
        <w:t>CO</w:t>
      </w:r>
      <w:r w:rsidRPr="00BD16B4">
        <w:rPr>
          <w:vertAlign w:val="subscript"/>
        </w:rPr>
        <w:t>2</w:t>
      </w:r>
      <w:r w:rsidRPr="00BD16B4">
        <w:t>, CH</w:t>
      </w:r>
      <w:r w:rsidRPr="00BD16B4">
        <w:rPr>
          <w:vertAlign w:val="subscript"/>
        </w:rPr>
        <w:t>4</w:t>
      </w:r>
      <w:r w:rsidRPr="00BD16B4">
        <w:t>, CO and N</w:t>
      </w:r>
      <w:r w:rsidRPr="00BD16B4">
        <w:rPr>
          <w:vertAlign w:val="subscript"/>
        </w:rPr>
        <w:t>2</w:t>
      </w:r>
      <w:r w:rsidRPr="00BD16B4">
        <w:t>O) was installed, initially to support TCCON measurements; now it is an integral part of the New Zealand CarbonWatch project.</w:t>
      </w:r>
      <w:r w:rsidRPr="00BD16B4">
        <w:rPr>
          <w:rStyle w:val="FootnoteReference"/>
        </w:rPr>
        <w:footnoteReference w:id="653"/>
      </w:r>
      <w:r w:rsidRPr="00BD16B4">
        <w:t xml:space="preserve"> A Licor-7000 CO</w:t>
      </w:r>
      <w:r w:rsidRPr="00BD16B4">
        <w:rPr>
          <w:vertAlign w:val="subscript"/>
        </w:rPr>
        <w:t>2</w:t>
      </w:r>
      <w:r w:rsidRPr="00BD16B4">
        <w:t xml:space="preserve"> analyser was installed in 2008, along with weekly flask sampling (CO</w:t>
      </w:r>
      <w:r w:rsidRPr="00BD16B4">
        <w:rPr>
          <w:vertAlign w:val="subscript"/>
        </w:rPr>
        <w:t>2</w:t>
      </w:r>
      <w:r w:rsidRPr="00BD16B4">
        <w:t>,</w:t>
      </w:r>
      <w:r w:rsidRPr="00BD16B4">
        <w:rPr>
          <w:vertAlign w:val="superscript"/>
        </w:rPr>
        <w:t>13</w:t>
      </w:r>
      <w:r w:rsidRPr="00BD16B4">
        <w:t>CO</w:t>
      </w:r>
      <w:r w:rsidRPr="00BD16B4">
        <w:rPr>
          <w:vertAlign w:val="subscript"/>
        </w:rPr>
        <w:t>2</w:t>
      </w:r>
      <w:r w:rsidRPr="00BD16B4">
        <w:t>, CH</w:t>
      </w:r>
      <w:r w:rsidRPr="00BD16B4">
        <w:rPr>
          <w:vertAlign w:val="subscript"/>
        </w:rPr>
        <w:t>4</w:t>
      </w:r>
      <w:r w:rsidRPr="00BD16B4">
        <w:t>, CO and N</w:t>
      </w:r>
      <w:r w:rsidRPr="00BD16B4">
        <w:rPr>
          <w:vertAlign w:val="subscript"/>
        </w:rPr>
        <w:t>2</w:t>
      </w:r>
      <w:r w:rsidRPr="00BD16B4">
        <w:t>O), to provide additional measurement redundancy and as part of in situ FTS validation activities. Flask measurements are ongoing, and the Licor-7000 measurements stopped in April 2022 having generated 15 years of overlap validation data. The in situ FTS CO, CH</w:t>
      </w:r>
      <w:r w:rsidRPr="00BD16B4">
        <w:rPr>
          <w:vertAlign w:val="subscript"/>
        </w:rPr>
        <w:t xml:space="preserve">4 </w:t>
      </w:r>
      <w:r w:rsidRPr="00BD16B4">
        <w:t>(and CO</w:t>
      </w:r>
      <w:r w:rsidRPr="00BD16B4">
        <w:rPr>
          <w:vertAlign w:val="subscript"/>
        </w:rPr>
        <w:t>2</w:t>
      </w:r>
      <w:r w:rsidRPr="00BD16B4">
        <w:t xml:space="preserve"> since 2015) data and CH</w:t>
      </w:r>
      <w:r w:rsidRPr="00BD16B4">
        <w:rPr>
          <w:vertAlign w:val="subscript"/>
        </w:rPr>
        <w:t>4</w:t>
      </w:r>
      <w:r w:rsidRPr="00BD16B4">
        <w:t xml:space="preserve"> flask measurements are submitted regularly to the GAW WDCGG database.</w:t>
      </w:r>
    </w:p>
    <w:bookmarkEnd w:id="640"/>
    <w:p w14:paraId="6AE6EC6A" w14:textId="77777777" w:rsidR="00DE1BDD" w:rsidRPr="00BD16B4" w:rsidRDefault="00DE1BDD" w:rsidP="00DE1BDD">
      <w:pPr>
        <w:pStyle w:val="BodyText"/>
        <w:spacing w:after="100"/>
      </w:pPr>
      <w:r w:rsidRPr="00BD16B4">
        <w:t>Monthly frost-point hygrometer flights are made from Lauder in collaboration with NOAA to measure water vapour profiles into the stratosphere. Complementing the water vapour column data, a GNSS–GPS system was installed at Lauder that started in May 2012.</w:t>
      </w:r>
    </w:p>
    <w:p w14:paraId="38087CFE" w14:textId="77777777" w:rsidR="00DE1BDD" w:rsidRPr="00BD16B4" w:rsidRDefault="00DE1BDD" w:rsidP="00DE1BDD">
      <w:pPr>
        <w:pStyle w:val="BodyText"/>
        <w:spacing w:before="100" w:after="100"/>
      </w:pPr>
      <w:r w:rsidRPr="00BD16B4">
        <w:t xml:space="preserve">Vertical ozone profile measurements have been made at Lauder using ozonesondes, a stratospheric ozone LIDAR, a mid-infrared Fourier transform spectrometer (MIR-FTS), a microwave radiometer, and the Umkehr technique using a Dobson instrument. Total column </w:t>
      </w:r>
      <w:r w:rsidRPr="00BD16B4">
        <w:rPr>
          <w:spacing w:val="-2"/>
        </w:rPr>
        <w:t>ozone measurements are made at Lauder and Arrival Heights using Dobson spectrophotometers</w:t>
      </w:r>
      <w:r w:rsidRPr="00BD16B4">
        <w:t xml:space="preserve"> and MIR-FTSs. Such remotely sensed data are routinely submitted to the Network for the Detection of Atmospheric Composition Change (NDACC).</w:t>
      </w:r>
      <w:r w:rsidRPr="00BD16B4">
        <w:rPr>
          <w:rStyle w:val="FootnoteReference"/>
        </w:rPr>
        <w:footnoteReference w:id="654"/>
      </w:r>
    </w:p>
    <w:p w14:paraId="38AFF810" w14:textId="77777777" w:rsidR="00DE1BDD" w:rsidRPr="00BD16B4" w:rsidRDefault="00DE1BDD" w:rsidP="00DE1BDD">
      <w:pPr>
        <w:pStyle w:val="BodyText"/>
        <w:spacing w:before="100" w:after="100"/>
      </w:pPr>
      <w:r w:rsidRPr="00BD16B4">
        <w:t>Between 2003 and 2013 (through NOAA, GCOS and NIWA support), New Zealand collected air samples in the data-sparse western Pacific in collaboration with the Japanese National Institute of Environmental Studies (NIES), on a vessel travelling between Nelson (New Zealand) and Osaka (Japan) to analyse the principal greenhouse gases and their latitudinal and inter</w:t>
      </w:r>
      <w:r w:rsidRPr="00BD16B4">
        <w:noBreakHyphen/>
        <w:t>hemispheric trends. The data have been submitted to the GAW database. Aerosol measurements made on these transects include high-volume sampling of nutrient species (nitrogen, phosphorus and iron) and continuous condensation nuclei measurements. Microtops sun-photometer readings of aerosol optical depth and ozone were made when sky conditions allowed, and these data are available as part of the National Aeronautics and Space Administration (NASA) Aeronet Maritime Aerosol Network. This programme was discontinued in 2013, when safety regulations reduced the number of berths on the ship, leaving no room for a researcher.</w:t>
      </w:r>
    </w:p>
    <w:p w14:paraId="51CC44D8" w14:textId="77777777" w:rsidR="00DE1BDD" w:rsidRPr="00BD16B4" w:rsidRDefault="00DE1BDD" w:rsidP="00DE1BDD">
      <w:pPr>
        <w:pStyle w:val="BodyText"/>
        <w:spacing w:before="100" w:after="100"/>
      </w:pPr>
      <w:bookmarkStart w:id="641" w:name="_Hlk102481459"/>
      <w:r w:rsidRPr="00BD16B4">
        <w:t>GNS Science holds a 25-year (and ongoing) record of atmospheric black carbon and an 18-year (and ongoing) record of atmospheric multi-site particulate matter elemental composition (sodium to uranium) for filter-based aerosol observations across New Zealand. While these records are directed at air quality management, they also form a record of background atmospheric composition due to the significant marine influence on New Zealand boundary layer aerosol and occasional trans-boundary incursions of aerosol from Australia. The results have been reported regionally (local authorities), nationally (Ministry for the Environment, Ministry of Transport, Ministry of Health) and internationally. Because the analytical techniques are non-destructive, GNS Science maintains a physical archive of the aerosol samples. The aerosol compositional data are held on the National Air Particulate Matter Speciation Database and the metadata are accessible through the GNS Science Data Catalogue.</w:t>
      </w:r>
      <w:r w:rsidRPr="00BD16B4">
        <w:rPr>
          <w:rStyle w:val="FootnoteReference"/>
        </w:rPr>
        <w:footnoteReference w:id="655"/>
      </w:r>
      <w:bookmarkEnd w:id="641"/>
    </w:p>
    <w:p w14:paraId="2479F3CD" w14:textId="2BBA121F" w:rsidR="00DE1BDD" w:rsidRPr="00BD16B4" w:rsidRDefault="00DE1BDD" w:rsidP="0055300D">
      <w:pPr>
        <w:pStyle w:val="Heading2GCOS"/>
      </w:pPr>
      <w:bookmarkStart w:id="642" w:name="_Toc497740331"/>
      <w:bookmarkStart w:id="643" w:name="_Toc498523557"/>
      <w:bookmarkStart w:id="644" w:name="_Toc499993083"/>
      <w:bookmarkStart w:id="645" w:name="_Toc499994258"/>
      <w:bookmarkStart w:id="646" w:name="_Toc109723940"/>
      <w:bookmarkStart w:id="647" w:name="_Toc117194191"/>
      <w:bookmarkStart w:id="648" w:name="_Toc120893218"/>
      <w:r w:rsidRPr="00BD16B4">
        <w:t>Satellite-based measurements</w:t>
      </w:r>
      <w:bookmarkEnd w:id="642"/>
      <w:bookmarkEnd w:id="643"/>
      <w:bookmarkEnd w:id="644"/>
      <w:bookmarkEnd w:id="645"/>
      <w:bookmarkEnd w:id="646"/>
      <w:bookmarkEnd w:id="647"/>
      <w:bookmarkEnd w:id="648"/>
    </w:p>
    <w:p w14:paraId="758AD76F" w14:textId="77777777" w:rsidR="00DE1BDD" w:rsidRPr="00BD16B4" w:rsidRDefault="00DE1BDD" w:rsidP="00DE1BDD">
      <w:pPr>
        <w:pStyle w:val="BodyText"/>
      </w:pPr>
      <w:r w:rsidRPr="00BD16B4">
        <w:t>A support and science programme was established in Aotearoa New Zealand in 2021 for the new global MethaneSAT, with a planned satellite launch in late 2023. The satellite, owned by the United States Environmental Defense Fund, aims to monitor and detect major leaks from most of the main global oil and gas infrastructure. The Mission Operations and Control Centre is being developed by Rocket Lab in Auckland. A science programme, including NIWA, University of Auckland, University of Waikato and Manaaki Whenua Landcare Research, is planning to assess capability for detection of agricultural emissions (eg, from ruminant livestock farming and rice cultivation).</w:t>
      </w:r>
      <w:r w:rsidRPr="00BD16B4">
        <w:rPr>
          <w:rStyle w:val="FootnoteReference"/>
        </w:rPr>
        <w:footnoteReference w:id="656"/>
      </w:r>
    </w:p>
    <w:p w14:paraId="6A77C6F7" w14:textId="77777777" w:rsidR="00DE1BDD" w:rsidRPr="00BD16B4" w:rsidRDefault="00DE1BDD" w:rsidP="00DE1BDD">
      <w:pPr>
        <w:pStyle w:val="BodyText"/>
      </w:pPr>
      <w:r w:rsidRPr="00BD16B4">
        <w:t>Several New Zealand ground-based measurement programmes contribute data for the validation and interpretation of satellite-based measurements. MetService radiosonde observations are used extensively by global (and NIWA’s) numerical weather prediction centres to remove forward model biases from radiative transfer models.</w:t>
      </w:r>
    </w:p>
    <w:p w14:paraId="1018E57F" w14:textId="77777777" w:rsidR="00DE1BDD" w:rsidRPr="00BD16B4" w:rsidRDefault="00DE1BDD" w:rsidP="00DE1BDD">
      <w:pPr>
        <w:pStyle w:val="BodyText"/>
      </w:pPr>
      <w:r w:rsidRPr="00BD16B4">
        <w:t>In New Zealand, several agencies operate satellite receiver stations and data archives, as outlined below.</w:t>
      </w:r>
    </w:p>
    <w:p w14:paraId="262904F7" w14:textId="77777777" w:rsidR="00DE1BDD" w:rsidRPr="00BD16B4" w:rsidRDefault="00DE1BDD" w:rsidP="00DE1BDD">
      <w:pPr>
        <w:pStyle w:val="BodyText"/>
      </w:pPr>
      <w:r w:rsidRPr="00BD16B4">
        <w:t xml:space="preserve">MetService operates two satellite reception systems, both of which were relocated from Wellington to Paraparaumu in early 2022. The first receiver ingests imagery for all channels provided by the Japan Meteorological Agency’s (JMA’s) geostationary satellite Himawari-8. This receiver acts as the back-up to MetService’s primary feed from Himawari-8, received through JMA’s Himawari Cloud service. The second receiver ingests X- and L-band data (all instruments) from polar orbiter satellites, currently NOAA18, NOAA19, MetOp-B, Terra, Aqua and Suomi NPP. Visible 7 micron and 11 micron imagery, covering the New Zealand area of responsibility for marine forecasts, is kept in a long-term archive at MetService. </w:t>
      </w:r>
    </w:p>
    <w:p w14:paraId="0EB04AAE" w14:textId="77777777" w:rsidR="00DE1BDD" w:rsidRPr="00BD16B4" w:rsidRDefault="00DE1BDD" w:rsidP="00DE1BDD">
      <w:pPr>
        <w:pStyle w:val="BodyText"/>
      </w:pPr>
      <w:r w:rsidRPr="00BD16B4">
        <w:t>NIWA operates two polar orbiting satellite reception systems, one in Wellington and one in Lauder. In Wellington, an L-band receiver has acquired data from all available NOAA satellites from 1992 to the present (starting with N10, but currently only N18 and 19 remain operational), along with SeaWiFS data from SeaStar (Orbview2) from May 2000 until mission end in 2011. Following a receiver upgrade in mid-2018, data from MetOp-B and MetOp-C (since 2019) are also acquired. At Lauder, a dual X/L-band receiver was installed in August 2007. It acquires data from all available NOAA satellites (currently only N18 and N19), MetOp</w:t>
      </w:r>
      <w:r w:rsidRPr="00BD16B4">
        <w:noBreakHyphen/>
        <w:t>B (since April 2014) and MetOp-C (since early 2019), Terra (MODIS only), Aqua (all instruments) and Suomi NPP (since April 2014, all instruments). All raw (level-0) data and many derived products from these satellites are held in long-term archival storage (from 1992 to present). NIWA also operated a geostationary satellite receiver from August 1998 to March 2008, receiving data from JMA’s GMS-5 and MTSAT-1R satellites (also NOAA’s GOES-9 while deployed as replacement for GMS</w:t>
      </w:r>
      <w:r w:rsidRPr="00BD16B4">
        <w:noBreakHyphen/>
        <w:t>5 before MTSAT-1R). All data are held in long-term archival storage. NIWA currently receives AHI imager data from JMA’s latest geostationary satellite, Himawari-8 via the Himawari Cloud service (all channels, full resolution, full scan every 10 minutes, since mid-2016). All data are held in long-term archival storage.</w:t>
      </w:r>
    </w:p>
    <w:p w14:paraId="1C2DAB9D" w14:textId="77777777" w:rsidR="00DE1BDD" w:rsidRPr="00BD16B4" w:rsidRDefault="00DE1BDD" w:rsidP="00DE1BDD">
      <w:pPr>
        <w:pStyle w:val="BodyText"/>
      </w:pPr>
      <w:r w:rsidRPr="00BD16B4">
        <w:t>NIWA has developed several data products from these data streams, including 1-kilometre resolution sea-surface temperature analyses, cloud mask, cloud type and estimated rain rate. These derived data products have been collocated with MetService meteorological radar (three radars), an advanced microwave sounder unit (20 spectral intervals), a high-resolution infrared sounder (20 spectral channels), and an advanced, very high-resolution radiometer (5/6 channels), for NOAA14, NOAA15, NOAA16, NOAA17 and NOAA18. Called the NIWA ATOVS Collocation Archive, it is being used to develop algorithms that could be used to monitor the hydrological cycle over an area within a radius of 2000 kilometres from Wellington. The archive is also being used to improve the value of satellite sounder radiances in numerical weather prediction through improved detection of unmodelled, radiative transfer processes. NIWA has also developed high-resolution (1 kilometre) daily and weekly snow-cover analyses for the New Zealand region using a Bayesian method. Visible (including pseudo true colour) and infrared band imagery covering areas of interest around New Zealand are routinely generated and saved in long-term archival storage. Infrared and microwave atmospheric sounder data are forwarded to the WMO Direct Broadcast Network programme with minimal latency and are being used within NIWA’s weather forecast system data assimilation processes. Ocean colour products derived from the Moderate Resolution Imaging Spectroradiometer (MODIS), and more recently Visible Infrared Imaging Radiometer Suite (VIIRS), imager data are important inputs to science programmes and are being used by local authorities.</w:t>
      </w:r>
    </w:p>
    <w:p w14:paraId="1F1D5491" w14:textId="77777777" w:rsidR="00DE1BDD" w:rsidRPr="00BD16B4" w:rsidRDefault="00DE1BDD" w:rsidP="00DE1BDD">
      <w:pPr>
        <w:pStyle w:val="BodyText"/>
      </w:pPr>
      <w:r w:rsidRPr="00BD16B4">
        <w:t>Measurements of stratospheric trace gases and aerosols at Lauder and Arrival Heights support several satellite-based measurement programmes in the United States, Europe and Japan. This includes making correlative measurements of ozone and other atmospheric gases using spectrometers, LIDARs, and ozonesondes during satellite overpasses.</w:t>
      </w:r>
    </w:p>
    <w:p w14:paraId="434210CC" w14:textId="10DCF81A" w:rsidR="00DE1BDD" w:rsidRPr="00BD16B4" w:rsidRDefault="00DE1BDD" w:rsidP="0055300D">
      <w:pPr>
        <w:pStyle w:val="Heading2GCOS"/>
      </w:pPr>
      <w:bookmarkStart w:id="649" w:name="_Toc497740332"/>
      <w:bookmarkStart w:id="650" w:name="_Toc498523558"/>
      <w:bookmarkStart w:id="651" w:name="_Toc499993084"/>
      <w:bookmarkStart w:id="652" w:name="_Toc499994259"/>
      <w:bookmarkStart w:id="653" w:name="_Toc109723941"/>
      <w:bookmarkStart w:id="654" w:name="_Toc117194192"/>
      <w:bookmarkStart w:id="655" w:name="_Toc120893219"/>
      <w:r w:rsidRPr="00BD16B4">
        <w:t>Response to GCOS implementation plan</w:t>
      </w:r>
      <w:bookmarkEnd w:id="649"/>
      <w:bookmarkEnd w:id="650"/>
      <w:bookmarkEnd w:id="651"/>
      <w:bookmarkEnd w:id="652"/>
      <w:bookmarkEnd w:id="653"/>
      <w:bookmarkEnd w:id="654"/>
      <w:bookmarkEnd w:id="655"/>
    </w:p>
    <w:p w14:paraId="588B3EF2" w14:textId="77777777" w:rsidR="00DE1BDD" w:rsidRPr="00BD16B4" w:rsidRDefault="00DE1BDD" w:rsidP="00DE1BDD">
      <w:pPr>
        <w:pStyle w:val="BodyText"/>
      </w:pPr>
      <w:r w:rsidRPr="00BD16B4">
        <w:t>The following actions have been initiated in response to the recommendations on atmospheric ECVs in the GCOS implementation plan.</w:t>
      </w:r>
    </w:p>
    <w:p w14:paraId="70FAA5C6" w14:textId="77777777" w:rsidR="00DE1BDD" w:rsidRPr="00BD16B4" w:rsidRDefault="00DE1BDD" w:rsidP="00DE1BDD">
      <w:pPr>
        <w:pStyle w:val="Heading3"/>
      </w:pPr>
      <w:r w:rsidRPr="00BD16B4">
        <w:t>Applying the GCOS climate monitoring principles to all surface climate networks</w:t>
      </w:r>
    </w:p>
    <w:p w14:paraId="5AB6914B" w14:textId="77777777" w:rsidR="00DE1BDD" w:rsidRPr="00BD16B4" w:rsidRDefault="00DE1BDD" w:rsidP="00DE1BDD">
      <w:pPr>
        <w:pStyle w:val="BodyText"/>
      </w:pPr>
      <w:r w:rsidRPr="00BD16B4">
        <w:t>NIWA and MetService have taken necessary action to ensure their surface climate networks are operating according to GCOS climate monitoring principles.</w:t>
      </w:r>
    </w:p>
    <w:p w14:paraId="28F0C789" w14:textId="77777777" w:rsidR="00DE1BDD" w:rsidRPr="00BD16B4" w:rsidRDefault="00DE1BDD" w:rsidP="00DE1BDD">
      <w:pPr>
        <w:pStyle w:val="Heading3"/>
      </w:pPr>
      <w:r w:rsidRPr="00BD16B4">
        <w:t>Incorporating atmospheric pressure sensors into drifting buoy programmes</w:t>
      </w:r>
    </w:p>
    <w:p w14:paraId="38238BB7" w14:textId="77777777" w:rsidR="00DE1BDD" w:rsidRPr="00BD16B4" w:rsidRDefault="00DE1BDD" w:rsidP="00DE1BDD">
      <w:pPr>
        <w:pStyle w:val="BodyText"/>
      </w:pPr>
      <w:r w:rsidRPr="00BD16B4">
        <w:t>All of Aotearoa New Zealand’s drifting buoy programmes include atmospheric pressure as a measurement.</w:t>
      </w:r>
    </w:p>
    <w:p w14:paraId="46B3C71E" w14:textId="77777777" w:rsidR="00DE1BDD" w:rsidRPr="00BD16B4" w:rsidRDefault="00DE1BDD" w:rsidP="00DE1BDD">
      <w:pPr>
        <w:pStyle w:val="Heading3"/>
      </w:pPr>
      <w:r w:rsidRPr="00BD16B4">
        <w:t>Ensuring availability of three-hourly mean sea-level pressure and wind speed and direction data from GSN stations</w:t>
      </w:r>
    </w:p>
    <w:p w14:paraId="79EAA95B" w14:textId="77777777" w:rsidR="00DE1BDD" w:rsidRPr="00BD16B4" w:rsidRDefault="00DE1BDD" w:rsidP="00DE1BDD">
      <w:pPr>
        <w:pStyle w:val="BodyText"/>
      </w:pPr>
      <w:r w:rsidRPr="00BD16B4">
        <w:t xml:space="preserve">NIWA and MetService have worked towards ensuring that at least three-hourly data are available from GSN stations. </w:t>
      </w:r>
    </w:p>
    <w:p w14:paraId="3A6FF1A2" w14:textId="77777777" w:rsidR="00DE1BDD" w:rsidRPr="00BD16B4" w:rsidRDefault="00DE1BDD" w:rsidP="00DE1BDD">
      <w:pPr>
        <w:pStyle w:val="Heading3"/>
        <w:keepLines/>
      </w:pPr>
      <w:r w:rsidRPr="00BD16B4">
        <w:t>Operating the World Weather Watch / Global Observing System radiosonde network in full compliance with the GCOS climate monitoring principles and coding conventions</w:t>
      </w:r>
    </w:p>
    <w:p w14:paraId="7395AB24" w14:textId="77777777" w:rsidR="00DE1BDD" w:rsidRPr="00BD16B4" w:rsidRDefault="00DE1BDD" w:rsidP="00DE1BDD">
      <w:pPr>
        <w:pStyle w:val="BodyText"/>
      </w:pPr>
      <w:r w:rsidRPr="00BD16B4">
        <w:t>NIWA and MetService have taken the necessary action to ensure all their radiosonde observations are operating according to GCOS monitoring principles.</w:t>
      </w:r>
    </w:p>
    <w:p w14:paraId="4FD3755E" w14:textId="77777777" w:rsidR="00DE1BDD" w:rsidRPr="00BD16B4" w:rsidRDefault="00DE1BDD" w:rsidP="00DE1BDD">
      <w:pPr>
        <w:pStyle w:val="Heading3"/>
      </w:pPr>
      <w:r w:rsidRPr="00BD16B4">
        <w:t>Submitting metadata records and inter-comparisons for radiosonde observations to the specified international data centres</w:t>
      </w:r>
    </w:p>
    <w:p w14:paraId="7E4A898F" w14:textId="77777777" w:rsidR="00DE1BDD" w:rsidRPr="00BD16B4" w:rsidRDefault="00DE1BDD" w:rsidP="00DE1BDD">
      <w:pPr>
        <w:pStyle w:val="BodyText"/>
      </w:pPr>
      <w:r w:rsidRPr="00BD16B4">
        <w:t>Although metadata records are collected and forwarded to international data centres, it is not yet practical to conduct inter-comparisons for radiosonde observations on site in New Zealand. New radiosonde implementations and operations are assessed by international panels before they are set up.</w:t>
      </w:r>
    </w:p>
    <w:p w14:paraId="0C8C412B" w14:textId="77777777" w:rsidR="00DE1BDD" w:rsidRPr="00BD16B4" w:rsidRDefault="00DE1BDD" w:rsidP="00DE1BDD">
      <w:pPr>
        <w:pStyle w:val="Heading3"/>
      </w:pPr>
      <w:r w:rsidRPr="00BD16B4">
        <w:t>Developing a network of ground-based GPS receivers for measuring water vapour</w:t>
      </w:r>
    </w:p>
    <w:p w14:paraId="7BACB8CD" w14:textId="77777777" w:rsidR="00DE1BDD" w:rsidRPr="00BD16B4" w:rsidRDefault="00DE1BDD" w:rsidP="00DE1BDD">
      <w:pPr>
        <w:pStyle w:val="BodyText"/>
      </w:pPr>
      <w:r w:rsidRPr="00BD16B4">
        <w:t>Initial discussions between the GPS industry and research sector did occur, but so far New Zealand is not in a position to actively pursue the development of a ground-based network of GPS receivers to measure water vapour.</w:t>
      </w:r>
    </w:p>
    <w:p w14:paraId="2C3A9ACB" w14:textId="77777777" w:rsidR="00DE1BDD" w:rsidRPr="00BD16B4" w:rsidRDefault="00DE1BDD" w:rsidP="00DE1BDD">
      <w:pPr>
        <w:pStyle w:val="Heading3"/>
      </w:pPr>
      <w:r w:rsidRPr="00BD16B4">
        <w:t>Sustained measurements of the atmospheric composition ECVs</w:t>
      </w:r>
    </w:p>
    <w:p w14:paraId="5F511D35" w14:textId="77777777" w:rsidR="00DE1BDD" w:rsidRPr="00BD16B4" w:rsidRDefault="00DE1BDD" w:rsidP="00DE1BDD">
      <w:pPr>
        <w:pStyle w:val="BodyText"/>
      </w:pPr>
      <w:r w:rsidRPr="00BD16B4">
        <w:t>NIWA conducts project-based (ie, not sustained) investigations into measurements of other atmospheric variables.</w:t>
      </w:r>
    </w:p>
    <w:p w14:paraId="45DA74B0" w14:textId="77777777" w:rsidR="00DE1BDD" w:rsidRPr="00BD16B4" w:rsidRDefault="00DE1BDD" w:rsidP="00DE1BDD">
      <w:pPr>
        <w:pStyle w:val="Heading3"/>
      </w:pPr>
      <w:r w:rsidRPr="00BD16B4">
        <w:t>Data rescue</w:t>
      </w:r>
    </w:p>
    <w:p w14:paraId="68BB5622" w14:textId="77777777" w:rsidR="00DE1BDD" w:rsidRPr="00BD16B4" w:rsidRDefault="00DE1BDD" w:rsidP="00DE1BDD">
      <w:pPr>
        <w:pStyle w:val="BodyText"/>
      </w:pPr>
      <w:r w:rsidRPr="00BD16B4">
        <w:t>NIWA has been collating a searchable database of historical severe weather events for New Zealand going back to the 1840s, including information on impacts, damage, casualties and disruption.</w:t>
      </w:r>
      <w:r w:rsidRPr="00BD16B4">
        <w:rPr>
          <w:rStyle w:val="FootnoteReference"/>
        </w:rPr>
        <w:footnoteReference w:id="657"/>
      </w:r>
    </w:p>
    <w:p w14:paraId="75E43A27" w14:textId="77777777" w:rsidR="00DE1BDD" w:rsidRPr="00BD16B4" w:rsidRDefault="00DE1BDD" w:rsidP="00DE1BDD">
      <w:pPr>
        <w:pStyle w:val="BodyText"/>
      </w:pPr>
      <w:r w:rsidRPr="00BD16B4">
        <w:rPr>
          <w:spacing w:val="-2"/>
        </w:rPr>
        <w:t>NIWA also works on several projects focusing on Pacific Island climate data rescue and provides</w:t>
      </w:r>
      <w:r w:rsidRPr="00BD16B4">
        <w:t xml:space="preserve"> training, in-kind staff and facilities for data rescue, through joint collaborations between NIWA, the United States NOAA GCOS Program, and the Australian Bureau of Meteorology.</w:t>
      </w:r>
    </w:p>
    <w:p w14:paraId="4F97E846" w14:textId="77777777" w:rsidR="00DE1BDD" w:rsidRPr="00BD16B4" w:rsidRDefault="00DE1BDD" w:rsidP="00DE1BDD">
      <w:pPr>
        <w:pStyle w:val="BodyText"/>
      </w:pPr>
      <w:r w:rsidRPr="00BD16B4">
        <w:br w:type="page"/>
      </w:r>
    </w:p>
    <w:p w14:paraId="11B693E2" w14:textId="3B5926C9" w:rsidR="00DE1BDD" w:rsidRPr="00BD16B4" w:rsidRDefault="00DE1BDD" w:rsidP="005C4F61">
      <w:pPr>
        <w:pStyle w:val="Heading1notforTOC"/>
      </w:pPr>
      <w:bookmarkStart w:id="656" w:name="_Toc493859311"/>
      <w:bookmarkStart w:id="657" w:name="_Toc493859607"/>
      <w:bookmarkStart w:id="658" w:name="_Toc497740333"/>
      <w:bookmarkStart w:id="659" w:name="_Toc498523559"/>
      <w:bookmarkStart w:id="660" w:name="_Toc499993085"/>
      <w:bookmarkStart w:id="661" w:name="_Toc499994260"/>
      <w:bookmarkStart w:id="662" w:name="_Toc109723942"/>
      <w:bookmarkStart w:id="663" w:name="_Toc117194193"/>
      <w:bookmarkStart w:id="664" w:name="_Toc120893220"/>
      <w:r w:rsidRPr="00BD16B4">
        <w:t>Essential Climate Variables</w:t>
      </w:r>
      <w:bookmarkEnd w:id="656"/>
      <w:bookmarkEnd w:id="657"/>
      <w:bookmarkEnd w:id="658"/>
      <w:bookmarkEnd w:id="659"/>
      <w:bookmarkEnd w:id="660"/>
      <w:bookmarkEnd w:id="661"/>
      <w:r w:rsidRPr="00BD16B4">
        <w:t>: Ocean</w:t>
      </w:r>
      <w:bookmarkEnd w:id="662"/>
      <w:bookmarkEnd w:id="663"/>
      <w:bookmarkEnd w:id="664"/>
    </w:p>
    <w:p w14:paraId="2453FF66" w14:textId="77777777" w:rsidR="00DE1BDD" w:rsidRPr="00BD16B4" w:rsidRDefault="00DE1BDD" w:rsidP="00DE1BDD">
      <w:pPr>
        <w:pStyle w:val="BodyText"/>
        <w:spacing w:after="100"/>
      </w:pPr>
      <w:r w:rsidRPr="00BD16B4">
        <w:rPr>
          <w:spacing w:val="-2"/>
        </w:rPr>
        <w:t>Ocean ECVs that can be feasibly measured and are relevant to the UNFCCC (according to GCOS</w:t>
      </w:r>
      <w:r w:rsidRPr="00BD16B4">
        <w:rPr>
          <w:spacing w:val="-2"/>
          <w:vertAlign w:val="superscript"/>
        </w:rPr>
        <w:footnoteReference w:id="658"/>
      </w:r>
      <w:r w:rsidRPr="00BD16B4">
        <w:rPr>
          <w:spacing w:val="-2"/>
        </w:rPr>
        <w:t>)</w:t>
      </w:r>
      <w:r w:rsidRPr="00BD16B4">
        <w:t xml:space="preserve"> relate to physical, biochemical, biological and ecological properties, obtained through surface, subsurface and ocean water column measurements, as follows:</w:t>
      </w:r>
    </w:p>
    <w:p w14:paraId="4579ABAB" w14:textId="77777777" w:rsidR="00DE1BDD" w:rsidRPr="00BD16B4" w:rsidRDefault="00DE1BDD" w:rsidP="00DE1BDD">
      <w:pPr>
        <w:pStyle w:val="Bullet"/>
        <w:spacing w:after="100"/>
      </w:pPr>
      <w:r w:rsidRPr="00BD16B4">
        <w:rPr>
          <w:b/>
          <w:bCs/>
        </w:rPr>
        <w:t>physical</w:t>
      </w:r>
      <w:r w:rsidRPr="00BD16B4">
        <w:t>: sea ice; sea level; sea state; surface heat flux; surface salinity; surface temperature; surface currents; surface stress; subsurface currents; subsurface salinity; subsurface temperature</w:t>
      </w:r>
    </w:p>
    <w:p w14:paraId="67BBA120" w14:textId="77777777" w:rsidR="00DE1BDD" w:rsidRPr="00BD16B4" w:rsidRDefault="00DE1BDD" w:rsidP="00DE1BDD">
      <w:pPr>
        <w:pStyle w:val="Bullet"/>
        <w:spacing w:after="100"/>
      </w:pPr>
      <w:r w:rsidRPr="00BD16B4">
        <w:rPr>
          <w:b/>
          <w:bCs/>
        </w:rPr>
        <w:t>biogeochemical</w:t>
      </w:r>
      <w:r w:rsidRPr="00BD16B4">
        <w:t>: inorganic carbon; N</w:t>
      </w:r>
      <w:r w:rsidRPr="00BD16B4">
        <w:rPr>
          <w:vertAlign w:val="subscript"/>
        </w:rPr>
        <w:t>2</w:t>
      </w:r>
      <w:r w:rsidRPr="00BD16B4">
        <w:t>O; nutrients; ocean colour; oxygen; transient tracers</w:t>
      </w:r>
    </w:p>
    <w:p w14:paraId="242138F2" w14:textId="77777777" w:rsidR="00DE1BDD" w:rsidRPr="00BD16B4" w:rsidRDefault="00DE1BDD" w:rsidP="00DE1BDD">
      <w:pPr>
        <w:pStyle w:val="Bullet"/>
        <w:tabs>
          <w:tab w:val="num" w:pos="397"/>
        </w:tabs>
        <w:spacing w:after="100" w:line="280" w:lineRule="exact"/>
      </w:pPr>
      <w:r w:rsidRPr="00BD16B4">
        <w:rPr>
          <w:b/>
          <w:bCs/>
        </w:rPr>
        <w:t>biological and ecosystems</w:t>
      </w:r>
      <w:r w:rsidRPr="00BD16B4">
        <w:t>: marine habitat; phytoplankton; zooplankton.</w:t>
      </w:r>
    </w:p>
    <w:p w14:paraId="29925A1B" w14:textId="1A968246" w:rsidR="00DE1BDD" w:rsidRPr="00BD16B4" w:rsidRDefault="00DE1BDD" w:rsidP="0055300D">
      <w:pPr>
        <w:pStyle w:val="Heading2GCOS"/>
      </w:pPr>
      <w:bookmarkStart w:id="665" w:name="_Toc497740334"/>
      <w:bookmarkStart w:id="666" w:name="_Toc498523560"/>
      <w:bookmarkStart w:id="667" w:name="_Toc499993086"/>
      <w:bookmarkStart w:id="668" w:name="_Toc499994261"/>
      <w:bookmarkStart w:id="669" w:name="_Toc109723943"/>
      <w:bookmarkStart w:id="670" w:name="_Toc117194194"/>
      <w:bookmarkStart w:id="671" w:name="_Toc120893221"/>
      <w:r w:rsidRPr="00BD16B4">
        <w:t>Physical ocean measurements</w:t>
      </w:r>
      <w:bookmarkEnd w:id="665"/>
      <w:bookmarkEnd w:id="666"/>
      <w:bookmarkEnd w:id="667"/>
      <w:bookmarkEnd w:id="668"/>
      <w:bookmarkEnd w:id="669"/>
      <w:bookmarkEnd w:id="670"/>
      <w:bookmarkEnd w:id="671"/>
    </w:p>
    <w:p w14:paraId="6E978E81" w14:textId="77260809" w:rsidR="00DE1BDD" w:rsidRPr="00BD16B4" w:rsidRDefault="00DE1BDD" w:rsidP="00DE1BDD">
      <w:pPr>
        <w:pStyle w:val="BodyText"/>
        <w:spacing w:before="100" w:after="100"/>
      </w:pPr>
      <w:r w:rsidRPr="00BD16B4">
        <w:t>In Aotearoa New Zealand, various agencies are operating sea-level gauges. GeoNet (GNS Science) is operating a tsunami warning and monitoring network consisting of 18 pressure sea</w:t>
      </w:r>
      <w:r w:rsidR="00E60006">
        <w:noBreakHyphen/>
      </w:r>
      <w:r w:rsidRPr="00BD16B4">
        <w:t>level gauges, funded by LINZ.</w:t>
      </w:r>
      <w:r w:rsidRPr="00BD16B4">
        <w:rPr>
          <w:vertAlign w:val="superscript"/>
        </w:rPr>
        <w:footnoteReference w:id="659"/>
      </w:r>
      <w:r w:rsidRPr="00BD16B4">
        <w:t xml:space="preserve"> GeoNet is also operating a network of deep-ocean instruments. This Deep-Ocean Assessment and Reporting on Tsunami (DART) network</w:t>
      </w:r>
      <w:r w:rsidRPr="00BD16B4">
        <w:rPr>
          <w:rStyle w:val="FootnoteReference"/>
        </w:rPr>
        <w:footnoteReference w:id="660"/>
      </w:r>
      <w:r w:rsidRPr="00BD16B4">
        <w:t xml:space="preserve"> consists of 10 pairs of ocean bottom pressure sensors that record water height and associated surface buoys. The data provide information on whether a tsunami has been generated, and more accurate estimates on wave size and velocity. The sensors are particularly valuable for monitoring potential tsunami from earthquakes in the southwest Pacific that may be unfelt on the New Zealand mainland. The network also provides monitoring and detection information for Cook Islands, Niue, Samoa, Tokelau and Tonga.</w:t>
      </w:r>
    </w:p>
    <w:p w14:paraId="4742DCC1" w14:textId="77777777" w:rsidR="00DE1BDD" w:rsidRPr="00BD16B4" w:rsidRDefault="00DE1BDD" w:rsidP="00DE1BDD">
      <w:pPr>
        <w:pStyle w:val="BodyText"/>
        <w:spacing w:before="100" w:after="100"/>
      </w:pPr>
      <w:r w:rsidRPr="00BD16B4">
        <w:t xml:space="preserve">NIWA operates four sea-level gauges for monitoring long-term, sea-level changes. Port companies and local authorities operate 16 sea-level gauges at major ports (standard ports), and around 30 more permanent gauges are operated by local authorities or other agencies around New Zealand’s coastline. </w:t>
      </w:r>
      <w:r w:rsidRPr="00BD16B4">
        <w:rPr>
          <w:rFonts w:cs="Calibri"/>
        </w:rPr>
        <w:t>LINZ regularly collects and archives these data</w:t>
      </w:r>
      <w:r w:rsidRPr="00BD16B4">
        <w:t>. In terms of ocean tides, storm surges and long waves, the open-coast gauges in the NIWA network provide a valuable data set. The earliest site started in 1971. NIWA coordinates and archives an informal network of 17 coastal sea-level recorders, including the Global Sea Level Observing System (GLOSS) site at Scott Base.</w:t>
      </w:r>
      <w:r w:rsidRPr="00BD16B4">
        <w:rPr>
          <w:vertAlign w:val="superscript"/>
        </w:rPr>
        <w:footnoteReference w:id="661"/>
      </w:r>
      <w:r w:rsidRPr="00BD16B4">
        <w:t xml:space="preserve"> In addition, long-term tide gauge records since around 1900 are held by LINZ for the ports of Auckland, Wellington, Lyttelton and Dunedin. Shorter records are held from several other ports and open-coast gauges (also held by LINZ and NIWA, in some cases). Records from six long-term sites have been provided by NIWA to MfE and Stats NZ for the national </w:t>
      </w:r>
      <w:r w:rsidRPr="00BD16B4">
        <w:rPr>
          <w:iCs/>
        </w:rPr>
        <w:t>State of the Environment Report</w:t>
      </w:r>
      <w:r w:rsidRPr="00BD16B4">
        <w:t xml:space="preserve"> released in October 2020.</w:t>
      </w:r>
    </w:p>
    <w:p w14:paraId="6B1BB58C" w14:textId="77777777" w:rsidR="00DE1BDD" w:rsidRPr="00BD16B4" w:rsidRDefault="00DE1BDD" w:rsidP="00EA179E">
      <w:pPr>
        <w:pStyle w:val="BodyText"/>
      </w:pPr>
      <w:r w:rsidRPr="00BD16B4">
        <w:t>New Zealand has four sea-level sites registered in GLOSS,</w:t>
      </w:r>
      <w:r w:rsidRPr="00BD16B4">
        <w:rPr>
          <w:vertAlign w:val="superscript"/>
        </w:rPr>
        <w:footnoteReference w:id="662"/>
      </w:r>
      <w:r w:rsidRPr="00BD16B4">
        <w:t xml:space="preserve"> those at Wellington, Auckland and Bluff (Southland) are operated by port companies (or the local authority on behalf of the port company). The site at Waitangi, Chatham Islands, formerly operated by the Pacific Tsunami Warning Center, is no longer operational. The site at Scott Base, Antarctica, is operated by LINZ and Antarctica New Zealand. Only the Wellington and Bluff sites have full records in GLOSS.</w:t>
      </w:r>
    </w:p>
    <w:p w14:paraId="2110A91B" w14:textId="77777777" w:rsidR="00DE1BDD" w:rsidRPr="00BD16B4" w:rsidRDefault="00DE1BDD" w:rsidP="00DE1BDD">
      <w:pPr>
        <w:pStyle w:val="BodyText"/>
        <w:spacing w:before="100" w:after="100"/>
      </w:pPr>
      <w:r w:rsidRPr="00BD16B4">
        <w:t>Twenty-one New Zealand sea-level sites are registered in the Permanent Service for Mean Sea Level (PSMSL).</w:t>
      </w:r>
      <w:r w:rsidRPr="00BD16B4">
        <w:rPr>
          <w:rStyle w:val="FootnoteReference"/>
        </w:rPr>
        <w:footnoteReference w:id="663"/>
      </w:r>
    </w:p>
    <w:p w14:paraId="1734445B" w14:textId="77777777" w:rsidR="00DE1BDD" w:rsidRPr="00BD16B4" w:rsidRDefault="00DE1BDD" w:rsidP="00DE1BDD">
      <w:pPr>
        <w:pStyle w:val="BodyText"/>
        <w:spacing w:before="100" w:after="100"/>
      </w:pPr>
      <w:r w:rsidRPr="00BD16B4">
        <w:t xml:space="preserve">Sea-surface temperature is measured in New Zealand at seven of the sea-level stations. </w:t>
      </w:r>
    </w:p>
    <w:p w14:paraId="4B2F1ED7" w14:textId="77777777" w:rsidR="00DE1BDD" w:rsidRPr="00BD16B4" w:rsidRDefault="00DE1BDD" w:rsidP="00DE1BDD">
      <w:pPr>
        <w:pStyle w:val="BodyText"/>
        <w:spacing w:before="100" w:after="100"/>
      </w:pPr>
      <w:r w:rsidRPr="00BD16B4">
        <w:t xml:space="preserve">Ocean waves are routinely monitored around the New Zealand coast at five sites operated by NIWA and/or local authorities, and at a further six sites are operated by ports. Since 2016, NIWA has collaborated with local authorities on environmental monitoring of Wellington Harbour (Te-Whanganui-a-Tara). Data include both physical, biological and ecosystem health observations: temperature, salinity, ocean currents, waves and atmospheric data. </w:t>
      </w:r>
    </w:p>
    <w:p w14:paraId="69BEF864" w14:textId="77777777" w:rsidR="00DE1BDD" w:rsidRPr="00BD16B4" w:rsidRDefault="00DE1BDD" w:rsidP="00DE1BDD">
      <w:pPr>
        <w:pStyle w:val="BodyText"/>
        <w:spacing w:before="100" w:after="100"/>
      </w:pPr>
      <w:r w:rsidRPr="00BD16B4">
        <w:t>Remote coastal video cameras have been installed by NIWA for long-term monitoring of beach conditions and erosion at seven sites.</w:t>
      </w:r>
      <w:r w:rsidRPr="00BD16B4">
        <w:rPr>
          <w:vertAlign w:val="superscript"/>
        </w:rPr>
        <w:footnoteReference w:id="664"/>
      </w:r>
    </w:p>
    <w:p w14:paraId="5E4C0FCF" w14:textId="77777777" w:rsidR="00DE1BDD" w:rsidRPr="00BD16B4" w:rsidRDefault="00DE1BDD" w:rsidP="00DE1BDD">
      <w:pPr>
        <w:pStyle w:val="BodyText"/>
        <w:spacing w:before="100" w:after="100"/>
      </w:pPr>
      <w:r w:rsidRPr="00BD16B4">
        <w:t>Since the mid-1980s, MetService has maintained a network of free-drifting buoys in the Tasman Sea. Until around 2002, the network consisted of buoys like the first Global Atmospheric Research Programme’s Global Experiment type buoys, which measured air temperature and sea-level pressure, with a few buoys measuring wind speed and direction. Since 2002, a combined meteorological and oceanographic drifting buoy, of the Surface Velocity Programme with Barometer (SVPB) type, has been deployed. SVPB buoys measure sea-surface temperature and sea-level pressure, and ocean current is derived from their drift. All buoys report via the Iridium satellite network. As of April 2022, MetService has 11 operational drifting buoys in the waters surrounding New Zealand. MetService also works collaboratively with the Global Drifter Center in Miami to deploy buoys under the Southern Ocean Buoy Programme in the Pacific Ocean south of 40</w:t>
      </w:r>
      <w:r w:rsidRPr="00BD16B4">
        <w:rPr>
          <w:rFonts w:cs="Calibri"/>
        </w:rPr>
        <w:t>°</w:t>
      </w:r>
      <w:r w:rsidRPr="00BD16B4">
        <w:t>S. These buoys are of the SVPB type, and nine were deployed in the Southern Ocean and Ross Sea area in January 2022.</w:t>
      </w:r>
    </w:p>
    <w:p w14:paraId="27075F3A" w14:textId="77777777" w:rsidR="00DE1BDD" w:rsidRPr="00BD16B4" w:rsidRDefault="00DE1BDD" w:rsidP="00DE1BDD">
      <w:pPr>
        <w:pStyle w:val="BodyText"/>
        <w:spacing w:before="100" w:after="100"/>
      </w:pPr>
      <w:r w:rsidRPr="00BD16B4">
        <w:t xml:space="preserve">Under MetService’s </w:t>
      </w:r>
      <w:r w:rsidRPr="00BD16B4">
        <w:rPr>
          <w:bCs/>
        </w:rPr>
        <w:t>WMO Voluntary Observing Ships (VOS) Scheme</w:t>
      </w:r>
      <w:r w:rsidRPr="00BD16B4">
        <w:t>, New Zealand seeks to upgrade or recruit new ships to make climate quality observations under the VOS Climate Project (VOSClim). Around 30 ships are operating under this programme per year. Extensive metadata are collected for each VOSClim ship, which detail instrument type, location, exposure and other parameters. The real-time observations are monitored by the United Kingdom’s Real Time Monitoring Centre, and the observations, metadata, co-located model data and delayed mode data are all supplied to the United States’ Data Assembly Center for archiving for future research and climate applications.</w:t>
      </w:r>
    </w:p>
    <w:p w14:paraId="60DD048B" w14:textId="77777777" w:rsidR="00DE1BDD" w:rsidRPr="00BD16B4" w:rsidRDefault="00DE1BDD" w:rsidP="00DE1BDD">
      <w:pPr>
        <w:pStyle w:val="BodyText"/>
        <w:spacing w:before="100" w:after="100"/>
      </w:pPr>
      <w:r w:rsidRPr="00BD16B4">
        <w:t>Since 2001, NIWA has annually purchased and deployed two profiling floats under the Argo programme. Of the 40 Argo floats purchased and deployed, 15 are still active. The data from the New Zealand floats (temperature, salinity, currents) are administered by the Scripps Institution of Oceanography (United States) and are available from the Argo Global Data Assembly Centers.</w:t>
      </w:r>
      <w:r w:rsidRPr="00BD16B4">
        <w:rPr>
          <w:rStyle w:val="FootnoteReference"/>
        </w:rPr>
        <w:footnoteReference w:id="665"/>
      </w:r>
      <w:r w:rsidRPr="00BD16B4">
        <w:t xml:space="preserve"> NIWA intends to continue to purchase and deploy Argo floats at the rate of two per year. NIWA has also collaborated in the development and deployment of deep Argo floats, which profile to 6000 metres, undertaking two dedicated research voyages targeting sensor development, and deploying 72 deep solo floats from RV</w:t>
      </w:r>
      <w:r w:rsidRPr="00BD16B4">
        <w:rPr>
          <w:i/>
          <w:iCs/>
        </w:rPr>
        <w:t xml:space="preserve"> Tangaroa</w:t>
      </w:r>
      <w:r w:rsidRPr="00BD16B4">
        <w:t xml:space="preserve"> and RV</w:t>
      </w:r>
      <w:r w:rsidRPr="00BD16B4">
        <w:rPr>
          <w:i/>
          <w:iCs/>
        </w:rPr>
        <w:t xml:space="preserve"> Kaharoa</w:t>
      </w:r>
      <w:r w:rsidRPr="00BD16B4">
        <w:t>.</w:t>
      </w:r>
    </w:p>
    <w:p w14:paraId="1A04257C" w14:textId="3B3E3BE1" w:rsidR="00DE1BDD" w:rsidRPr="00BD16B4" w:rsidRDefault="00DE1BDD" w:rsidP="00DE1BDD">
      <w:pPr>
        <w:pStyle w:val="BodyText"/>
        <w:spacing w:before="100" w:after="100"/>
      </w:pPr>
      <w:r w:rsidRPr="00BD16B4">
        <w:t>NIWA is deploying floats and buoys in the southern hemisphere from the research vessel RV </w:t>
      </w:r>
      <w:r w:rsidRPr="00BD16B4">
        <w:rPr>
          <w:i/>
          <w:iCs/>
        </w:rPr>
        <w:t>Kaharoa</w:t>
      </w:r>
      <w:r w:rsidRPr="00BD16B4">
        <w:t xml:space="preserve"> as an ongoing collaboration with the University of Washington and the Scripps Institution of Oceanography. These voyages, dating back to 2004, have deployed over 1370 floats, primarily in the South Pacific but also in the eastern tropical Pacific Ocean and Indian Ocean. RV </w:t>
      </w:r>
      <w:r w:rsidRPr="00BD16B4">
        <w:rPr>
          <w:i/>
          <w:iCs/>
        </w:rPr>
        <w:t>Kaharoa</w:t>
      </w:r>
      <w:r w:rsidRPr="00BD16B4">
        <w:t xml:space="preserve"> has deployed globally more Argo floats than any other vessel.</w:t>
      </w:r>
      <w:r w:rsidRPr="00BD16B4">
        <w:rPr>
          <w:rStyle w:val="FootnoteReference"/>
        </w:rPr>
        <w:footnoteReference w:id="666"/>
      </w:r>
      <w:r w:rsidRPr="00BD16B4">
        <w:t xml:space="preserve"> In addition, over 75 deployments have been made from the research vessel RV</w:t>
      </w:r>
      <w:r w:rsidRPr="00BD16B4">
        <w:rPr>
          <w:i/>
          <w:iCs/>
        </w:rPr>
        <w:t xml:space="preserve"> Tangaroa</w:t>
      </w:r>
      <w:r w:rsidRPr="00BD16B4">
        <w:t>, mainly</w:t>
      </w:r>
      <w:r w:rsidR="005C4F61" w:rsidRPr="00BD16B4">
        <w:t> </w:t>
      </w:r>
      <w:r w:rsidRPr="00BD16B4">
        <w:t>in the Southern Ocean.</w:t>
      </w:r>
    </w:p>
    <w:p w14:paraId="2C1EC97C" w14:textId="77777777" w:rsidR="00DE1BDD" w:rsidRPr="00BD16B4" w:rsidRDefault="00DE1BDD" w:rsidP="00DE1BDD">
      <w:pPr>
        <w:pStyle w:val="BodyText"/>
        <w:spacing w:before="100" w:after="100"/>
      </w:pPr>
      <w:r w:rsidRPr="00BD16B4">
        <w:t>Since 2010, NIWA has maintained a sequence of hydrographic moorings in the Ross Sea, supported through science projects, to capture data for a better understanding of ocean dynamics. At present, this includes three moorings off Cape Adare and three in Terra Nova Bay. Further, four ice shelf cavity moorings have been operated for periods of more than a year. In addition, a new hydrographic mooring was deployed beneath the sea ice in Haskell Strait, McMurdo Sound, in November 2021.</w:t>
      </w:r>
    </w:p>
    <w:p w14:paraId="34245FCE" w14:textId="77777777" w:rsidR="00DE1BDD" w:rsidRPr="00BD16B4" w:rsidRDefault="00DE1BDD" w:rsidP="00DE1BDD">
      <w:pPr>
        <w:spacing w:before="100" w:after="100"/>
        <w:jc w:val="left"/>
        <w:rPr>
          <w:rFonts w:eastAsiaTheme="minorHAnsi"/>
          <w:lang w:eastAsia="en-US"/>
        </w:rPr>
      </w:pPr>
      <w:r w:rsidRPr="00BD16B4">
        <w:rPr>
          <w:lang w:eastAsia="en-US"/>
        </w:rPr>
        <w:t xml:space="preserve">Since 2015, NIWA has completed 30 ocean glider missions around New Zealand’s Exclusive Economic Zone (EEZ) and territorial seas. These autonomous platforms </w:t>
      </w:r>
      <w:r w:rsidRPr="00BD16B4">
        <w:t xml:space="preserve">measure ocean properties, such as: salinity, temperature, oxygen, chlorophyll, turbidity, light and organic matter. A regular transect has been established along the northeast region of New Zealand to monitor variability of the East Auckland boundary current. </w:t>
      </w:r>
    </w:p>
    <w:p w14:paraId="727C3FCB" w14:textId="3828F450" w:rsidR="00DE1BDD" w:rsidRPr="00BD16B4" w:rsidRDefault="00DE1BDD" w:rsidP="0055300D">
      <w:pPr>
        <w:pStyle w:val="Heading2GCOS"/>
      </w:pPr>
      <w:bookmarkStart w:id="672" w:name="_Toc497740335"/>
      <w:bookmarkStart w:id="673" w:name="_Toc498523561"/>
      <w:bookmarkStart w:id="674" w:name="_Toc499993087"/>
      <w:bookmarkStart w:id="675" w:name="_Toc499994262"/>
      <w:bookmarkStart w:id="676" w:name="_Toc109723944"/>
      <w:bookmarkStart w:id="677" w:name="_Toc117194195"/>
      <w:bookmarkStart w:id="678" w:name="_Toc120893222"/>
      <w:r w:rsidRPr="00BD16B4">
        <w:t>Biochemical ocean measurements</w:t>
      </w:r>
      <w:bookmarkEnd w:id="672"/>
      <w:bookmarkEnd w:id="673"/>
      <w:bookmarkEnd w:id="674"/>
      <w:bookmarkEnd w:id="675"/>
      <w:bookmarkEnd w:id="676"/>
      <w:bookmarkEnd w:id="677"/>
      <w:bookmarkEnd w:id="678"/>
    </w:p>
    <w:p w14:paraId="23A84669" w14:textId="77777777" w:rsidR="00DE1BDD" w:rsidRPr="00BD16B4" w:rsidRDefault="00DE1BDD" w:rsidP="00856A27">
      <w:pPr>
        <w:pStyle w:val="BodyText"/>
      </w:pPr>
      <w:r w:rsidRPr="00BD16B4">
        <w:t>Between 2002 and 2012, Aotearoa New Zealand maintained two global reference mooring network sites in deep waters (about 3000 metres) to the east of the country. These provided long-term, time-series biophysical data (currents, temperature, salinity, fluorometry and particle flux) from the subtropical and subantarctic waters on either side of the Subtropical Front, north and south of Chatham Rise. Measurements included a repeated, across-front transect measuring currents, nutrients, fluorometry and, in more recent years of the time series, bio-optics. These moorings have now been removed, and the data have yet to be quality checked and made available. A third site to the northeast of New Zealand, which is not part of the global reference mooring network, supplied current and temperature data in the subtropical inflow region of the East Auckland Current, and was in place for six-and-a</w:t>
      </w:r>
      <w:r w:rsidRPr="00BD16B4">
        <w:noBreakHyphen/>
        <w:t>half years (1998–2005).</w:t>
      </w:r>
    </w:p>
    <w:p w14:paraId="09A1E0C5" w14:textId="77777777" w:rsidR="00DE1BDD" w:rsidRPr="00BD16B4" w:rsidRDefault="00DE1BDD" w:rsidP="00856A27">
      <w:pPr>
        <w:pStyle w:val="BodyText"/>
      </w:pPr>
      <w:r w:rsidRPr="00BD16B4">
        <w:t xml:space="preserve">Time series data of currents, temperature, salinity, light and fluorometry have been collected at two shallow mooring sites in the Firth of Thames, in the Hauraki Gulf, since 1998. More recently, oxygen and nutrients have also been measured. Meteorological and water column observations (wind speed and direction, barometric pressure, air and sea temperature, salinity, turbidity, waves and currents) have been made since 2007 at a site located in the centre of Golden Bay, at the northern tip of the South Island. This is a joint project funded by NIWA and local government. </w:t>
      </w:r>
    </w:p>
    <w:p w14:paraId="2238A901" w14:textId="77777777" w:rsidR="00DE1BDD" w:rsidRPr="00BD16B4" w:rsidRDefault="00DE1BDD" w:rsidP="00DE1BDD">
      <w:pPr>
        <w:pStyle w:val="BodyText"/>
        <w:spacing w:before="100" w:after="100"/>
      </w:pPr>
      <w:r w:rsidRPr="00BD16B4">
        <w:t>Surface ocean CO</w:t>
      </w:r>
      <w:r w:rsidRPr="00BD16B4">
        <w:rPr>
          <w:vertAlign w:val="subscript"/>
        </w:rPr>
        <w:t>2</w:t>
      </w:r>
      <w:r w:rsidRPr="00BD16B4">
        <w:t xml:space="preserve"> is measured using an underway system on the RV</w:t>
      </w:r>
      <w:r w:rsidRPr="00BD16B4">
        <w:rPr>
          <w:i/>
          <w:iCs/>
        </w:rPr>
        <w:t xml:space="preserve"> Tangaroa</w:t>
      </w:r>
      <w:r w:rsidRPr="00BD16B4">
        <w:t>, and data are submitted annually to the Surface Ocean CO</w:t>
      </w:r>
      <w:r w:rsidRPr="00BD16B4">
        <w:rPr>
          <w:vertAlign w:val="subscript"/>
        </w:rPr>
        <w:t>2</w:t>
      </w:r>
      <w:r w:rsidRPr="00BD16B4">
        <w:t xml:space="preserve"> Atlas (SOCAT).</w:t>
      </w:r>
      <w:r w:rsidRPr="00BD16B4">
        <w:rPr>
          <w:rStyle w:val="FootnoteReference"/>
        </w:rPr>
        <w:footnoteReference w:id="667"/>
      </w:r>
    </w:p>
    <w:p w14:paraId="72B8511E" w14:textId="77777777" w:rsidR="00DE1BDD" w:rsidRPr="00BD16B4" w:rsidRDefault="00DE1BDD" w:rsidP="00856A27">
      <w:pPr>
        <w:pStyle w:val="BodyText"/>
      </w:pPr>
      <w:r w:rsidRPr="00BD16B4">
        <w:t>Measurements of partial pressure of CO</w:t>
      </w:r>
      <w:r w:rsidRPr="00BD16B4">
        <w:rPr>
          <w:vertAlign w:val="subscript"/>
        </w:rPr>
        <w:t>2</w:t>
      </w:r>
      <w:r w:rsidRPr="00BD16B4">
        <w:t xml:space="preserve"> (pCO</w:t>
      </w:r>
      <w:r w:rsidRPr="00BD16B4">
        <w:rPr>
          <w:vertAlign w:val="subscript"/>
        </w:rPr>
        <w:t>2</w:t>
      </w:r>
      <w:r w:rsidRPr="00BD16B4">
        <w:t>), ocean acidity, and supporting data are routinely taken on cruises out of Dunedin as part of the Munida Microbial Observatory Time Series programme.</w:t>
      </w:r>
      <w:r w:rsidRPr="00BD16B4">
        <w:rPr>
          <w:rStyle w:val="FootnoteReference"/>
        </w:rPr>
        <w:footnoteReference w:id="668"/>
      </w:r>
      <w:r w:rsidRPr="00BD16B4">
        <w:t xml:space="preserve"> These surface measurements, undertaken in accordance with the GCOS climate monitoring principles, have been made since 1998, and data are submitted as part of New Zealand’s reporting towards Sustainable Development Goal 14.3.</w:t>
      </w:r>
    </w:p>
    <w:p w14:paraId="240CF039" w14:textId="77777777" w:rsidR="00DE1BDD" w:rsidRPr="00BD16B4" w:rsidRDefault="00DE1BDD" w:rsidP="00856A27">
      <w:pPr>
        <w:pStyle w:val="BodyText"/>
      </w:pPr>
      <w:r w:rsidRPr="00BD16B4">
        <w:t>NIWA has established, together with other agencies, the New Zealand Ocean Acidification Observing Network (NZOA-ON), comprising 14 pristine and urban monitoring sites located around New Zealand, where pH, pCO</w:t>
      </w:r>
      <w:r w:rsidRPr="00BD16B4">
        <w:rPr>
          <w:vertAlign w:val="subscript"/>
        </w:rPr>
        <w:t>2</w:t>
      </w:r>
      <w:r w:rsidRPr="00BD16B4">
        <w:t>, carbonate ion concentration and saturation states are monitored.</w:t>
      </w:r>
      <w:r w:rsidRPr="00BD16B4">
        <w:rPr>
          <w:vertAlign w:val="superscript"/>
        </w:rPr>
        <w:footnoteReference w:id="669"/>
      </w:r>
      <w:r w:rsidRPr="00BD16B4">
        <w:t xml:space="preserve"> This network is linked into the GOA-ON.</w:t>
      </w:r>
      <w:r w:rsidRPr="00BD16B4">
        <w:rPr>
          <w:rStyle w:val="FootnoteReference"/>
        </w:rPr>
        <w:footnoteReference w:id="670"/>
      </w:r>
      <w:r w:rsidRPr="00BD16B4">
        <w:t xml:space="preserve"> The data are submitted as part of New Zealand’s reporting towards Sustainable Development Goal 14.3. These data have also been included in the WMO Statement of the State of the Global Climate (2018).</w:t>
      </w:r>
    </w:p>
    <w:p w14:paraId="1F688C28" w14:textId="77777777" w:rsidR="00DE1BDD" w:rsidRPr="00BD16B4" w:rsidRDefault="00DE1BDD" w:rsidP="00856A27">
      <w:pPr>
        <w:pStyle w:val="BodyText"/>
      </w:pPr>
      <w:r w:rsidRPr="00BD16B4">
        <w:t>NIWA, collaborating with IMOS, has set up the New Zealand Ocean Data Network (NZODN),</w:t>
      </w:r>
      <w:r w:rsidRPr="00BD16B4">
        <w:rPr>
          <w:rStyle w:val="FootnoteReference"/>
        </w:rPr>
        <w:footnoteReference w:id="671"/>
      </w:r>
      <w:r w:rsidRPr="00BD16B4">
        <w:t xml:space="preserve"> a data platform for archiving and making ocean data available. </w:t>
      </w:r>
    </w:p>
    <w:p w14:paraId="08D59F05" w14:textId="77777777" w:rsidR="00DE1BDD" w:rsidRPr="00BD16B4" w:rsidRDefault="00DE1BDD" w:rsidP="0055300D">
      <w:pPr>
        <w:pStyle w:val="Heading2GCOS"/>
      </w:pPr>
      <w:bookmarkStart w:id="679" w:name="_Toc109723945"/>
      <w:bookmarkStart w:id="680" w:name="_Toc117194196"/>
      <w:bookmarkStart w:id="681" w:name="_Toc120893223"/>
      <w:bookmarkStart w:id="682" w:name="_Toc497740336"/>
      <w:bookmarkStart w:id="683" w:name="_Toc498523562"/>
      <w:bookmarkStart w:id="684" w:name="_Toc499993088"/>
      <w:bookmarkStart w:id="685" w:name="_Toc499994263"/>
      <w:r w:rsidRPr="00BD16B4">
        <w:t>Biological and ecosystems ocean measurements</w:t>
      </w:r>
      <w:bookmarkEnd w:id="679"/>
      <w:bookmarkEnd w:id="680"/>
      <w:bookmarkEnd w:id="681"/>
    </w:p>
    <w:p w14:paraId="0642370C" w14:textId="09C828B9" w:rsidR="00DE1BDD" w:rsidRPr="00BD16B4" w:rsidRDefault="00DE1BDD" w:rsidP="00DE1BDD">
      <w:pPr>
        <w:pStyle w:val="BodyText"/>
        <w:spacing w:before="100" w:after="100"/>
      </w:pPr>
      <w:r w:rsidRPr="00BD16B4">
        <w:rPr>
          <w:spacing w:val="-2"/>
        </w:rPr>
        <w:t>NIWA collects marine biogeochemical, physical and other environmental data as part of research</w:t>
      </w:r>
      <w:r w:rsidR="007C18B5">
        <w:rPr>
          <w:spacing w:val="-2"/>
        </w:rPr>
        <w:t> </w:t>
      </w:r>
      <w:r w:rsidRPr="00BD16B4">
        <w:t>and commercial voyages. Data includes: conductivity, temperature and depth (CTD) based temperature, salinity, dissolved oxygen, and nutrients, nitrate, nitrogen dioxide, ammonium, dissolved reactive phosphorus, dissolved reactive silica, chlorophyll</w:t>
      </w:r>
      <w:r w:rsidRPr="00BD16B4">
        <w:noBreakHyphen/>
        <w:t>a, particulate organic carbon, particulate organic nitrogen, particulate phosphorus, bacteria biomass and abundance (flow cytometry), picophytoplankton biomass and abundance (flow cytometry) and microzooplankton biomass and abundance. Scope, location and length of observational records depend on voyage objectives.</w:t>
      </w:r>
    </w:p>
    <w:p w14:paraId="35466BA0" w14:textId="77777777" w:rsidR="00DE1BDD" w:rsidRPr="00BD16B4" w:rsidRDefault="00DE1BDD" w:rsidP="0033690F">
      <w:pPr>
        <w:pStyle w:val="BodyText"/>
      </w:pPr>
      <w:r w:rsidRPr="00BD16B4">
        <w:t xml:space="preserve">Of interest is the </w:t>
      </w:r>
      <w:r w:rsidRPr="00BD16B4">
        <w:rPr>
          <w:i/>
        </w:rPr>
        <w:t xml:space="preserve">Ross Sea Life in a Changing Climate (ReLiCC) 2021 </w:t>
      </w:r>
      <w:r w:rsidRPr="00BD16B4">
        <w:t xml:space="preserve">voyage (code: TAN2101) that measured essential climate variables between Aotearoa New Zealand the Ross Sea, 4 January to 17 February 2021. The overarching purpose of this multi-disciplinary research voyage was to increase knowledge about significant environmental and biological processes in the Ross Sea region of Antarctica and the Southern Ocean, and thereby improve understanding of ecosystem function and likely responses to future change. </w:t>
      </w:r>
    </w:p>
    <w:p w14:paraId="699BAFAA" w14:textId="77777777" w:rsidR="00DE1BDD" w:rsidRPr="00BD16B4" w:rsidRDefault="00DE1BDD" w:rsidP="00EA179E">
      <w:pPr>
        <w:pStyle w:val="BodyText"/>
      </w:pPr>
      <w:r w:rsidRPr="00BD16B4">
        <w:t>Twice-yearly measurements of the zooplankton assemblage in the near surface have been made since 2008 between New Zealand and the Ross Sea.</w:t>
      </w:r>
      <w:r w:rsidRPr="00BD16B4">
        <w:rPr>
          <w:rStyle w:val="FootnoteReference"/>
        </w:rPr>
        <w:footnoteReference w:id="672"/>
      </w:r>
      <w:r w:rsidRPr="00BD16B4">
        <w:t xml:space="preserve"> Samples are collected by the Continuous Plankton Recorder (CPR) and analysed in New Zealand as part of the Southern Ocean CPR project.</w:t>
      </w:r>
      <w:r w:rsidRPr="00BD16B4">
        <w:rPr>
          <w:rStyle w:val="FootnoteReference"/>
        </w:rPr>
        <w:footnoteReference w:id="673"/>
      </w:r>
    </w:p>
    <w:p w14:paraId="14AF0518" w14:textId="77777777" w:rsidR="00DE1BDD" w:rsidRPr="00BD16B4" w:rsidRDefault="00DE1BDD" w:rsidP="00EA179E">
      <w:pPr>
        <w:pStyle w:val="BodyText"/>
        <w:spacing w:before="100" w:after="100"/>
      </w:pPr>
      <w:r w:rsidRPr="00BD16B4">
        <w:t>NIWA maintains the Southwestern Pacific Ocean Biogeographic Information System Node,</w:t>
      </w:r>
      <w:r w:rsidRPr="00BD16B4">
        <w:rPr>
          <w:rStyle w:val="FootnoteReference"/>
        </w:rPr>
        <w:footnoteReference w:id="674"/>
      </w:r>
      <w:r w:rsidRPr="00BD16B4">
        <w:t xml:space="preserve"> which contributes biological ocean data (collected during voyages and projects) to the international Ocean Biodiversity Information System (OBIS)</w:t>
      </w:r>
      <w:r w:rsidRPr="00BD16B4">
        <w:rPr>
          <w:rStyle w:val="FootnoteReference"/>
        </w:rPr>
        <w:footnoteReference w:id="675"/>
      </w:r>
      <w:r w:rsidRPr="00BD16B4">
        <w:t xml:space="preserve"> and the GBIF.</w:t>
      </w:r>
      <w:r w:rsidRPr="00BD16B4">
        <w:rPr>
          <w:rStyle w:val="FootnoteReference"/>
        </w:rPr>
        <w:footnoteReference w:id="676"/>
      </w:r>
      <w:r w:rsidRPr="00BD16B4">
        <w:t xml:space="preserve"> </w:t>
      </w:r>
    </w:p>
    <w:p w14:paraId="1963389F" w14:textId="6C7D672A" w:rsidR="00DE1BDD" w:rsidRPr="00BD16B4" w:rsidRDefault="00DE1BDD" w:rsidP="0055300D">
      <w:pPr>
        <w:pStyle w:val="Heading2GCOS"/>
        <w:spacing w:before="240"/>
      </w:pPr>
      <w:bookmarkStart w:id="686" w:name="_Toc109723946"/>
      <w:bookmarkStart w:id="687" w:name="_Toc117194197"/>
      <w:bookmarkStart w:id="688" w:name="_Toc120893224"/>
      <w:r w:rsidRPr="00BD16B4">
        <w:t>Satellite-based measurements</w:t>
      </w:r>
      <w:bookmarkEnd w:id="682"/>
      <w:bookmarkEnd w:id="683"/>
      <w:bookmarkEnd w:id="684"/>
      <w:bookmarkEnd w:id="685"/>
      <w:bookmarkEnd w:id="686"/>
      <w:bookmarkEnd w:id="687"/>
      <w:bookmarkEnd w:id="688"/>
    </w:p>
    <w:p w14:paraId="0E7FE982" w14:textId="77777777" w:rsidR="00DE1BDD" w:rsidRPr="00BD16B4" w:rsidRDefault="00DE1BDD" w:rsidP="00DE1BDD">
      <w:pPr>
        <w:pStyle w:val="BodyText"/>
        <w:spacing w:before="100" w:after="100"/>
      </w:pPr>
      <w:r w:rsidRPr="00BD16B4">
        <w:t>See the section ‘Satellite-based measurements’ in ‘ECVs: Atmospheric’, for information about satellite receiving stations and products.</w:t>
      </w:r>
    </w:p>
    <w:p w14:paraId="5C2DC71D" w14:textId="77777777" w:rsidR="00DE1BDD" w:rsidRPr="00BD16B4" w:rsidRDefault="00DE1BDD" w:rsidP="00DE1BDD">
      <w:pPr>
        <w:pStyle w:val="BodyText"/>
        <w:spacing w:before="100" w:after="100"/>
      </w:pPr>
      <w:r w:rsidRPr="00BD16B4">
        <w:t>Aotearoa New Zealand is actively involved in the acquisition, processing and application of satellite data for essential ocean climate variables. New Zealand research expertise and use of satellite data includes: 1) local scale (New Zealand territorial waters, EEZ); 2) Southern Ocean; and 3) global scale. Significant variables considered and developed in New Zealand include sea surface temperature, chlorophyll-a (as a proxy for phytoplankton biomass), primary production, suspended sediment, light attenuation, particulate organic matter flux (bentho-pelagic coupling), sea-ice concentration and primary production by sea-ice algae.</w:t>
      </w:r>
      <w:r w:rsidRPr="00BD16B4">
        <w:rPr>
          <w:rStyle w:val="FootnoteReference"/>
        </w:rPr>
        <w:footnoteReference w:id="677"/>
      </w:r>
      <w:r w:rsidRPr="00BD16B4">
        <w:t xml:space="preserve"> Coastally, locally tuned processing of satellite data has led to a 20-year time series of inherent optical properties (absorption, backscattering, beam attenuation), apparent optical properties (diffuse attenuation, underwater visibility, irradiance at the seabed) and biogeochemical properties (total suspended particulate matter concentration, detrital absorption, phytoplankton absorption). These data have been disseminated and applied using a new satellite-based data portal for remotely sensed data (SCENZ</w:t>
      </w:r>
      <w:r w:rsidRPr="00BD16B4">
        <w:rPr>
          <w:rStyle w:val="FootnoteReference"/>
        </w:rPr>
        <w:footnoteReference w:id="678"/>
      </w:r>
      <w:r w:rsidRPr="00BD16B4">
        <w:t>). For example, coastally, the satellite data have been used to look at the effects of climate change on aquaculture</w:t>
      </w:r>
      <w:r w:rsidRPr="00BD16B4">
        <w:rPr>
          <w:rStyle w:val="FootnoteReference"/>
        </w:rPr>
        <w:footnoteReference w:id="679"/>
      </w:r>
      <w:r w:rsidRPr="00BD16B4">
        <w:t xml:space="preserve"> and, on the ocean scale, to track changes in the New Zealand EEZ</w:t>
      </w:r>
      <w:r w:rsidRPr="00BD16B4">
        <w:rPr>
          <w:rStyle w:val="FootnoteReference"/>
        </w:rPr>
        <w:footnoteReference w:id="680"/>
      </w:r>
      <w:r w:rsidRPr="00BD16B4">
        <w:t xml:space="preserve"> and Southern Ocean.</w:t>
      </w:r>
      <w:r w:rsidRPr="00BD16B4">
        <w:rPr>
          <w:rStyle w:val="FootnoteReference"/>
        </w:rPr>
        <w:footnoteReference w:id="681"/>
      </w:r>
    </w:p>
    <w:p w14:paraId="633C87CA" w14:textId="77777777" w:rsidR="00DE1BDD" w:rsidRPr="00BD16B4" w:rsidRDefault="00DE1BDD" w:rsidP="00DE1BDD">
      <w:pPr>
        <w:pStyle w:val="BodyText"/>
        <w:spacing w:before="100" w:after="100"/>
      </w:pPr>
      <w:r w:rsidRPr="00BD16B4">
        <w:t>The NIWA sea-surface temperature archive contains 1-kilometre resolution sea-surface temperatures retrieved from all NOAA orbits over the southwest Pacific region (1993 to the present). NIWA has acquired Aqua MODIS imager data covering the oceans around New Zealand going back to 2002 (received at Lauder since 2007, downloaded from NASA for preceding years) from which various ocean colour data products have been derived (including chlorophyll concentration). It is planned to extend this data set using data from the VIIRS satellites (acquired at Lauder). Since 2005, daily chlorophyll concentration maps of New Zealand coastal waters have been routinely generated and held in long-term archival storage.</w:t>
      </w:r>
    </w:p>
    <w:p w14:paraId="24322B93" w14:textId="178B4793" w:rsidR="00DE1BDD" w:rsidRPr="00BD16B4" w:rsidRDefault="00DE1BDD" w:rsidP="0055300D">
      <w:pPr>
        <w:pStyle w:val="Heading2GCOS"/>
      </w:pPr>
      <w:bookmarkStart w:id="689" w:name="_Toc497740337"/>
      <w:bookmarkStart w:id="690" w:name="_Toc498523563"/>
      <w:bookmarkStart w:id="691" w:name="_Toc499993089"/>
      <w:bookmarkStart w:id="692" w:name="_Toc499994264"/>
      <w:bookmarkStart w:id="693" w:name="_Toc109723947"/>
      <w:bookmarkStart w:id="694" w:name="_Toc117194198"/>
      <w:bookmarkStart w:id="695" w:name="_Toc120893225"/>
      <w:r w:rsidRPr="00BD16B4">
        <w:t>Response to GCOS implementation plan</w:t>
      </w:r>
      <w:bookmarkEnd w:id="689"/>
      <w:bookmarkEnd w:id="690"/>
      <w:bookmarkEnd w:id="691"/>
      <w:bookmarkEnd w:id="692"/>
      <w:bookmarkEnd w:id="693"/>
      <w:bookmarkEnd w:id="694"/>
      <w:bookmarkEnd w:id="695"/>
    </w:p>
    <w:p w14:paraId="33BE5C0D" w14:textId="77777777" w:rsidR="00DE1BDD" w:rsidRPr="00BD16B4" w:rsidRDefault="00DE1BDD" w:rsidP="00DE1BDD">
      <w:pPr>
        <w:pStyle w:val="BodyText"/>
      </w:pPr>
      <w:r w:rsidRPr="00BD16B4">
        <w:t>The following actions have been initiated in response to the recommendations on ocean essential climate variables in the GCOS implementation plan.</w:t>
      </w:r>
    </w:p>
    <w:p w14:paraId="28DE3AA9" w14:textId="77777777" w:rsidR="00DE1BDD" w:rsidRPr="00BD16B4" w:rsidRDefault="00DE1BDD" w:rsidP="00DE1BDD">
      <w:pPr>
        <w:pStyle w:val="Heading3"/>
      </w:pPr>
      <w:r w:rsidRPr="00BD16B4">
        <w:t>Improving metadata acquisition and data management for the VOSClim subset of the VOS</w:t>
      </w:r>
    </w:p>
    <w:p w14:paraId="707D3A5C" w14:textId="77777777" w:rsidR="00DE1BDD" w:rsidRPr="00BD16B4" w:rsidRDefault="00DE1BDD" w:rsidP="00DE1BDD">
      <w:pPr>
        <w:pStyle w:val="BodyText"/>
      </w:pPr>
      <w:r w:rsidRPr="00BD16B4">
        <w:t>The observations made by VOSClim ships adhere to the GCOS climate monitoring principles. The collection of metadata for VOSClim is well documented under the VOSClim project, and MetService collects the full range of variables for its VOSClim ship. MetService’s VOSClim ship is regularly inspected, to maintain instrument standards. Monthly monitoring of the real-time reports is carried out by the Regional Specialised Monitoring Centre in the United Kingdom, with feedback provided to the ship on any variables that are flagged as suspect.</w:t>
      </w:r>
    </w:p>
    <w:p w14:paraId="0F34DAE1" w14:textId="77777777" w:rsidR="00DE1BDD" w:rsidRPr="00BD16B4" w:rsidRDefault="00DE1BDD" w:rsidP="00DE1BDD">
      <w:pPr>
        <w:pStyle w:val="Heading3"/>
      </w:pPr>
      <w:r w:rsidRPr="00BD16B4">
        <w:t>Ensuring high-frequency (hourly or less) sea-level observations are available for all coastal sea-level gauges (including historical records), corrected for sea-level pressure and submitted to the specified international data centres</w:t>
      </w:r>
    </w:p>
    <w:p w14:paraId="79BD9C29" w14:textId="77777777" w:rsidR="00DE1BDD" w:rsidRPr="00BD16B4" w:rsidRDefault="00DE1BDD" w:rsidP="00DE1BDD">
      <w:pPr>
        <w:pStyle w:val="BodyText"/>
      </w:pPr>
      <w:r w:rsidRPr="00BD16B4">
        <w:t>Quality-assured, sea-level data from GLOSS sites 101 and 129 are submitted by LINZ each month to the University of Hawaii Sea Level Center (UHSLC). Data have not been submitted from GLOSS site 127 (Auckland) for several years. Data from other sea-level gauges are made available to UHSLC and Permanent Service for Mean Sea Level annually, by LINZ. Real-time data from the tsunami warning and monitoring network is provided via the WMO global telecommunication system to the UNESCO/IOC Sea Level Station Monitoring Facility.</w:t>
      </w:r>
      <w:r w:rsidRPr="00BD16B4">
        <w:rPr>
          <w:rStyle w:val="FootnoteReference"/>
        </w:rPr>
        <w:footnoteReference w:id="682"/>
      </w:r>
    </w:p>
    <w:p w14:paraId="7A1CDA76" w14:textId="77777777" w:rsidR="00DE1BDD" w:rsidRPr="00BD16B4" w:rsidRDefault="00DE1BDD" w:rsidP="00DE1BDD">
      <w:pPr>
        <w:pStyle w:val="Heading3"/>
        <w:spacing w:before="240"/>
      </w:pPr>
      <w:r w:rsidRPr="00BD16B4">
        <w:t xml:space="preserve">Including sea-level objectives in the capacity-building </w:t>
      </w:r>
      <w:r w:rsidRPr="00BD16B4">
        <w:rPr>
          <w:szCs w:val="28"/>
        </w:rPr>
        <w:t>programmes of GOOS,</w:t>
      </w:r>
      <w:r w:rsidRPr="00BD16B4">
        <w:rPr>
          <w:rStyle w:val="FootnoteReference"/>
          <w:sz w:val="28"/>
          <w:szCs w:val="28"/>
        </w:rPr>
        <w:footnoteReference w:id="683"/>
      </w:r>
      <w:r w:rsidRPr="00BD16B4">
        <w:rPr>
          <w:szCs w:val="28"/>
        </w:rPr>
        <w:t xml:space="preserve"> JCOMM,</w:t>
      </w:r>
      <w:r w:rsidRPr="00BD16B4">
        <w:rPr>
          <w:rStyle w:val="FootnoteReference"/>
          <w:sz w:val="28"/>
          <w:szCs w:val="28"/>
        </w:rPr>
        <w:footnoteReference w:id="684"/>
      </w:r>
      <w:r w:rsidRPr="00BD16B4">
        <w:rPr>
          <w:szCs w:val="28"/>
        </w:rPr>
        <w:t xml:space="preserve"> WMO, other related</w:t>
      </w:r>
      <w:r w:rsidRPr="00BD16B4">
        <w:t xml:space="preserve"> bodies and the system-improvement programme of GCOS</w:t>
      </w:r>
    </w:p>
    <w:p w14:paraId="3FF5CD97" w14:textId="77777777" w:rsidR="00DE1BDD" w:rsidRPr="00BD16B4" w:rsidRDefault="00DE1BDD" w:rsidP="00DE1BDD">
      <w:pPr>
        <w:pStyle w:val="BodyText"/>
      </w:pPr>
      <w:r w:rsidRPr="00BD16B4">
        <w:t>NIWA has been carrying out several aid projects in the Pacific Island region (most notably the Cook Islands and Kiribati extreme sea-level projects) to help Pacific islands develop capabilities for assessing impacts of future sea-level changes and to develop mitigation strategies.</w:t>
      </w:r>
    </w:p>
    <w:p w14:paraId="53DCE2E9" w14:textId="77777777" w:rsidR="00DE1BDD" w:rsidRPr="00BD16B4" w:rsidRDefault="00DE1BDD" w:rsidP="00DE1BDD">
      <w:pPr>
        <w:pStyle w:val="Heading3"/>
      </w:pPr>
      <w:r w:rsidRPr="00BD16B4">
        <w:t>Developing a robust programme to observe sea-surface salinity that includes VOS ships, research ships, reference moorings and drifting buoys</w:t>
      </w:r>
    </w:p>
    <w:p w14:paraId="5BF9E24E" w14:textId="77777777" w:rsidR="00DE1BDD" w:rsidRPr="00BD16B4" w:rsidRDefault="00DE1BDD" w:rsidP="00DE1BDD">
      <w:pPr>
        <w:pStyle w:val="BodyText"/>
      </w:pPr>
      <w:r w:rsidRPr="00BD16B4">
        <w:t xml:space="preserve">NIWA’s larger research vessel, RV </w:t>
      </w:r>
      <w:r w:rsidRPr="00BD16B4">
        <w:rPr>
          <w:i/>
        </w:rPr>
        <w:t>Tangaroa</w:t>
      </w:r>
      <w:r w:rsidRPr="00BD16B4">
        <w:t xml:space="preserve">, is equipped to make underway measurements of sea-surface temperature and salinity. Ongoing efforts are being made to maintain and calibrate the sensors so the data are accurate, stable and archived. </w:t>
      </w:r>
    </w:p>
    <w:p w14:paraId="1C6BA620" w14:textId="77777777" w:rsidR="00DE1BDD" w:rsidRPr="00BD16B4" w:rsidRDefault="00DE1BDD" w:rsidP="00DE1BDD">
      <w:pPr>
        <w:pStyle w:val="BodyText"/>
      </w:pPr>
      <w:r w:rsidRPr="00BD16B4">
        <w:t>MetService VOS and drifting buoy programmes are robust and operational with proven track records. VOS ships are issued with calibrated instruments (which are traceable to WMO and international standards). An ongoing programme of inspection is in place, and data quality is monitored according to VOS quality-control guidelines. Delayed mode data are collected and submitted to the global climate centres at three-monthly intervals under the Marine Climatological Summaries Scheme. Extensive metadata are collected for each VOS ship and submitted to WMO quarterly. MetService’s Drifting Buoy programme is a national programme of the Data Buoy Cooperation Panel, and so MetService buoys comply with international specifications for instrument types and standards. Metadata are submitted to the WMO and Intergovernmental Oceanographic Commission’s Joint Technical Commission for Oceanography and Marine Meteorology for each buoy. Real-time buoy data are monitored using international buoy quality-control tools, with bad data removed from the global telecommunication system as required.</w:t>
      </w:r>
    </w:p>
    <w:p w14:paraId="68D0E0A8" w14:textId="77777777" w:rsidR="00DE1BDD" w:rsidRPr="00BD16B4" w:rsidRDefault="00DE1BDD" w:rsidP="00DE1BDD">
      <w:pPr>
        <w:pStyle w:val="Heading3"/>
      </w:pPr>
      <w:r w:rsidRPr="00BD16B4">
        <w:t>Implementing a programme for measuring surface pCO</w:t>
      </w:r>
      <w:r w:rsidRPr="00BD16B4">
        <w:rPr>
          <w:vertAlign w:val="subscript"/>
        </w:rPr>
        <w:t>2</w:t>
      </w:r>
    </w:p>
    <w:p w14:paraId="30476E5D" w14:textId="77777777" w:rsidR="00DE1BDD" w:rsidRPr="00BD16B4" w:rsidRDefault="00DE1BDD" w:rsidP="00DE1BDD">
      <w:pPr>
        <w:pStyle w:val="BodyText"/>
      </w:pPr>
      <w:r w:rsidRPr="00BD16B4">
        <w:t>Surface pCO</w:t>
      </w:r>
      <w:r w:rsidRPr="00BD16B4">
        <w:rPr>
          <w:vertAlign w:val="subscript"/>
        </w:rPr>
        <w:t xml:space="preserve">2 </w:t>
      </w:r>
      <w:r w:rsidRPr="00BD16B4">
        <w:t>is measured as part of the ongoing Munida Time Series programme on a 60</w:t>
      </w:r>
      <w:r w:rsidRPr="00BD16B4">
        <w:noBreakHyphen/>
        <w:t>kilometre-long transect that includes the Southland Current and subantarctic waters. These measurements have been made every two months since 1998. Surface pCO</w:t>
      </w:r>
      <w:r w:rsidRPr="00BD16B4">
        <w:rPr>
          <w:vertAlign w:val="subscript"/>
        </w:rPr>
        <w:t>2</w:t>
      </w:r>
      <w:r w:rsidRPr="00BD16B4">
        <w:t xml:space="preserve"> has also been measured during eight ocean cruises in Aotearoa New Zealand’s EEZ and the southwest Pacific, but this open ocean work has been discontinued due to resource constraints.</w:t>
      </w:r>
    </w:p>
    <w:p w14:paraId="3F61BDC0" w14:textId="77777777" w:rsidR="00DE1BDD" w:rsidRPr="00BD16B4" w:rsidRDefault="00DE1BDD" w:rsidP="00DE1BDD">
      <w:pPr>
        <w:pStyle w:val="Heading3"/>
      </w:pPr>
      <w:r w:rsidRPr="00BD16B4">
        <w:t>Implementing a wave measurement component as part of the Surface Reference Mooring Network</w:t>
      </w:r>
    </w:p>
    <w:p w14:paraId="23B95208" w14:textId="77777777" w:rsidR="00DE1BDD" w:rsidRPr="00BD16B4" w:rsidRDefault="00DE1BDD" w:rsidP="00DE1BDD">
      <w:pPr>
        <w:pStyle w:val="BodyText"/>
      </w:pPr>
      <w:r w:rsidRPr="00BD16B4">
        <w:t>Several wave buoys are operating in New Zealand for specific projects, but no national effort has been made to include wave measurements in long-term measurement programmes.</w:t>
      </w:r>
    </w:p>
    <w:p w14:paraId="178CCA3C" w14:textId="77777777" w:rsidR="00DE1BDD" w:rsidRPr="00BD16B4" w:rsidRDefault="00DE1BDD" w:rsidP="00DE1BDD">
      <w:pPr>
        <w:pStyle w:val="Heading3"/>
      </w:pPr>
      <w:r w:rsidRPr="00BD16B4">
        <w:t>Improving in situ sea-ice observations from buoys, visual surveys (Ship of Opportunity Programme (SOOP) and aircraft) and upward-looking sonars, and implementing observations in the Arctic and Antarctic</w:t>
      </w:r>
    </w:p>
    <w:p w14:paraId="0F3724A9" w14:textId="77777777" w:rsidR="00DE1BDD" w:rsidRPr="00BD16B4" w:rsidRDefault="00DE1BDD" w:rsidP="00DE1BDD">
      <w:pPr>
        <w:pStyle w:val="BodyText"/>
      </w:pPr>
      <w:r w:rsidRPr="00BD16B4">
        <w:t>Data have been collected on an opportunistic basis, with no routine contributions to Antarctic sea-ice observations from buoys, visual surveys or upward-looking sonar. However, in the future, the intention is to contribute land-fast sea-ice data from McMurdo Sound to the Antarctic Fast Ice Network.</w:t>
      </w:r>
    </w:p>
    <w:p w14:paraId="51861819" w14:textId="77777777" w:rsidR="00DE1BDD" w:rsidRPr="00BD16B4" w:rsidRDefault="00DE1BDD" w:rsidP="00DE1BDD">
      <w:pPr>
        <w:pStyle w:val="Heading3"/>
      </w:pPr>
      <w:r w:rsidRPr="00BD16B4">
        <w:t>Conducting the systematic global full-depth water column sampling of 30 sections repeated every 10 years (including ocean carbon inventory change)</w:t>
      </w:r>
    </w:p>
    <w:p w14:paraId="20575379" w14:textId="77777777" w:rsidR="00DE1BDD" w:rsidRPr="00BD16B4" w:rsidRDefault="00DE1BDD" w:rsidP="00DE1BDD">
      <w:pPr>
        <w:pStyle w:val="BodyText"/>
        <w:rPr>
          <w:b/>
        </w:rPr>
      </w:pPr>
      <w:r w:rsidRPr="00BD16B4">
        <w:t>Currently, no systematic long-term full-depth water column observations are being conducted in New Zealand.</w:t>
      </w:r>
    </w:p>
    <w:p w14:paraId="5129FB02" w14:textId="77777777" w:rsidR="00DE1BDD" w:rsidRPr="00BD16B4" w:rsidRDefault="00DE1BDD" w:rsidP="00DE1BDD">
      <w:pPr>
        <w:pStyle w:val="Heading3"/>
      </w:pPr>
      <w:r w:rsidRPr="00BD16B4">
        <w:t>Performing the 41 SOOP XBT/XCTD trans-oceanic sections</w:t>
      </w:r>
    </w:p>
    <w:p w14:paraId="528F6274" w14:textId="77777777" w:rsidR="00DE1BDD" w:rsidRPr="00BD16B4" w:rsidRDefault="00DE1BDD" w:rsidP="00DE1BDD">
      <w:pPr>
        <w:pStyle w:val="BodyText"/>
      </w:pPr>
      <w:r w:rsidRPr="00BD16B4">
        <w:t>NIWA helps Australian (Commonwealth Scientific and Industrial Research Organisation) and United States (Scripps Institution of Oceanography) research institutions to maintain three high-resolution expandable bathythermograph (XBT) sections in the Tasman–Coral Sea area to monitor ocean temperature changes in the upper 800 metres. The lines are PX34, PX06 and PX31.</w:t>
      </w:r>
      <w:r w:rsidRPr="00BD16B4">
        <w:rPr>
          <w:vertAlign w:val="superscript"/>
        </w:rPr>
        <w:footnoteReference w:id="685"/>
      </w:r>
    </w:p>
    <w:p w14:paraId="61C0D71A" w14:textId="77777777" w:rsidR="00DE1BDD" w:rsidRPr="00BD16B4" w:rsidRDefault="00DE1BDD" w:rsidP="00DE1BDD">
      <w:pPr>
        <w:pStyle w:val="Heading3"/>
      </w:pPr>
      <w:r w:rsidRPr="00BD16B4">
        <w:t>Developing capability for systematic measurement of biogeochemical and ecological ECVs</w:t>
      </w:r>
    </w:p>
    <w:p w14:paraId="3E08EDEA" w14:textId="77777777" w:rsidR="00DE1BDD" w:rsidRPr="00BD16B4" w:rsidRDefault="00DE1BDD" w:rsidP="00DE1BDD">
      <w:pPr>
        <w:pStyle w:val="BodyText"/>
      </w:pPr>
      <w:r w:rsidRPr="00BD16B4">
        <w:t>As part of research and commercial voyages, NIWA collects marine biogeochemical, physical and other environmental data. Data includes CTD temperature, CTD salinity, CTD dissolved oxygen, nutrients, nitrate, nitrogen dioxide, ammonium, dissolved reactive phosphorus, dissolved reactive silica, chlorophyll</w:t>
      </w:r>
      <w:r w:rsidRPr="00BD16B4">
        <w:noBreakHyphen/>
        <w:t>a, particulate organic carbon, particulate organic nitrogen, particulate phosphorus, bacteria biomass and abundance (flow cytometry), picophytoplankton biomass and abundance (flow cytometry) and microzooplankton biomass and abundance. NIWA, collaborating with IMOS, has set up the New Zealand Ocean Data Network (NZODN) platform for making these ocean data available (as permitted and funded).</w:t>
      </w:r>
    </w:p>
    <w:p w14:paraId="779C124E" w14:textId="77777777" w:rsidR="00DE1BDD" w:rsidRPr="00BD16B4" w:rsidRDefault="00DE1BDD" w:rsidP="00DE1BDD">
      <w:pPr>
        <w:pStyle w:val="Heading3"/>
      </w:pPr>
      <w:r w:rsidRPr="00BD16B4">
        <w:t>Supporting data rescue projects and implementing regional, specialised and global data and analysis centres</w:t>
      </w:r>
    </w:p>
    <w:p w14:paraId="3977348B" w14:textId="77777777" w:rsidR="00DE1BDD" w:rsidRPr="00BD16B4" w:rsidRDefault="00DE1BDD" w:rsidP="00DE1BDD">
      <w:pPr>
        <w:pStyle w:val="BodyText"/>
      </w:pPr>
      <w:r w:rsidRPr="00BD16B4">
        <w:t xml:space="preserve">A project at NIWA is under way to rescue historical oceans data, where paper copies are available. This includes seismic and sediment records from voyages going back 50 years, covering New Zealand’s EEZ and the wider Southern Ocean. </w:t>
      </w:r>
      <w:bookmarkStart w:id="696" w:name="_Toc493859312"/>
      <w:bookmarkStart w:id="697" w:name="_Toc493859608"/>
      <w:bookmarkStart w:id="698" w:name="_Toc497740338"/>
      <w:bookmarkStart w:id="699" w:name="_Toc498523564"/>
      <w:bookmarkEnd w:id="696"/>
      <w:bookmarkEnd w:id="697"/>
      <w:bookmarkEnd w:id="698"/>
      <w:bookmarkEnd w:id="699"/>
    </w:p>
    <w:p w14:paraId="2D279C3A" w14:textId="77777777" w:rsidR="00DE1BDD" w:rsidRPr="00BD16B4" w:rsidRDefault="00DE1BDD" w:rsidP="00DE1BDD">
      <w:pPr>
        <w:pStyle w:val="BodyText"/>
      </w:pPr>
      <w:r w:rsidRPr="00BD16B4">
        <w:br w:type="page"/>
      </w:r>
    </w:p>
    <w:p w14:paraId="63A12DD7" w14:textId="3F093E33" w:rsidR="00DE1BDD" w:rsidRPr="00BD16B4" w:rsidRDefault="00DE1BDD" w:rsidP="00BC42F3">
      <w:pPr>
        <w:pStyle w:val="Heading1notforTOC"/>
      </w:pPr>
      <w:bookmarkStart w:id="700" w:name="_Toc499993090"/>
      <w:bookmarkStart w:id="701" w:name="_Toc499994265"/>
      <w:bookmarkStart w:id="702" w:name="_Toc109723948"/>
      <w:bookmarkStart w:id="703" w:name="_Toc117194199"/>
      <w:bookmarkStart w:id="704" w:name="_Toc120893226"/>
      <w:r w:rsidRPr="00BD16B4">
        <w:t>Essential Climate Variables</w:t>
      </w:r>
      <w:bookmarkEnd w:id="700"/>
      <w:bookmarkEnd w:id="701"/>
      <w:r w:rsidRPr="00BD16B4">
        <w:t>: Land</w:t>
      </w:r>
      <w:bookmarkEnd w:id="702"/>
      <w:bookmarkEnd w:id="703"/>
      <w:bookmarkEnd w:id="704"/>
    </w:p>
    <w:p w14:paraId="396889F7" w14:textId="77777777" w:rsidR="00DE1BDD" w:rsidRPr="00BD16B4" w:rsidRDefault="00DE1BDD" w:rsidP="00DE1BDD">
      <w:pPr>
        <w:pStyle w:val="BodyText"/>
      </w:pPr>
      <w:r w:rsidRPr="00BD16B4">
        <w:t>Land ECVs that can be feasibly measured and are relevant to the UNFCCC (according to GCOS</w:t>
      </w:r>
      <w:r w:rsidRPr="00BD16B4">
        <w:rPr>
          <w:vertAlign w:val="superscript"/>
        </w:rPr>
        <w:footnoteReference w:id="686"/>
      </w:r>
      <w:r w:rsidRPr="00BD16B4">
        <w:t>) relate to the observations for cryosphere, hydrosphere, biosphere and anthroposphere, as follows:</w:t>
      </w:r>
    </w:p>
    <w:p w14:paraId="7A81A20B" w14:textId="77777777" w:rsidR="00DE1BDD" w:rsidRPr="00BD16B4" w:rsidRDefault="00DE1BDD" w:rsidP="00DE1BDD">
      <w:pPr>
        <w:pStyle w:val="Bullet"/>
      </w:pPr>
      <w:r w:rsidRPr="00BD16B4">
        <w:rPr>
          <w:b/>
          <w:bCs/>
        </w:rPr>
        <w:t>cryosphere</w:t>
      </w:r>
      <w:r w:rsidRPr="00BD16B4">
        <w:t>: snow; glaciers; ice; permafrost</w:t>
      </w:r>
    </w:p>
    <w:p w14:paraId="5A326D9D" w14:textId="77777777" w:rsidR="00DE1BDD" w:rsidRPr="00BD16B4" w:rsidRDefault="00DE1BDD" w:rsidP="00DE1BDD">
      <w:pPr>
        <w:pStyle w:val="Bullet"/>
      </w:pPr>
      <w:r w:rsidRPr="00BD16B4">
        <w:rPr>
          <w:b/>
          <w:bCs/>
        </w:rPr>
        <w:t>hydrosphere</w:t>
      </w:r>
      <w:r w:rsidRPr="00BD16B4">
        <w:t>: river discharge; groundwater; lakes; soil moisture</w:t>
      </w:r>
    </w:p>
    <w:p w14:paraId="5BA41658" w14:textId="77777777" w:rsidR="00DE1BDD" w:rsidRPr="00BD16B4" w:rsidRDefault="00DE1BDD" w:rsidP="00DE1BDD">
      <w:pPr>
        <w:pStyle w:val="Bullet"/>
      </w:pPr>
      <w:r w:rsidRPr="00BD16B4">
        <w:rPr>
          <w:b/>
          <w:bCs/>
        </w:rPr>
        <w:t>biosphere</w:t>
      </w:r>
      <w:r w:rsidRPr="00BD16B4">
        <w:t>: albedo; land cover; leaf area index; fraction of absorbed photosynthetically active radiation; biomass; soil carbon; land surface temperature; fire; evaporation</w:t>
      </w:r>
    </w:p>
    <w:p w14:paraId="40FA26E7" w14:textId="77777777" w:rsidR="00DE1BDD" w:rsidRPr="00BD16B4" w:rsidRDefault="00DE1BDD" w:rsidP="00DE1BDD">
      <w:pPr>
        <w:pStyle w:val="Bullet"/>
      </w:pPr>
      <w:r w:rsidRPr="00BD16B4">
        <w:rPr>
          <w:b/>
          <w:bCs/>
        </w:rPr>
        <w:t>anthroposphere</w:t>
      </w:r>
      <w:r w:rsidRPr="00BD16B4">
        <w:t>: anthropogenic greenhouse gas fluxes; anthropogenic water use.</w:t>
      </w:r>
    </w:p>
    <w:p w14:paraId="57B34C33" w14:textId="6B216022" w:rsidR="00DE1BDD" w:rsidRPr="00BD16B4" w:rsidRDefault="00DE1BDD" w:rsidP="0055300D">
      <w:pPr>
        <w:pStyle w:val="Heading2GCOS"/>
      </w:pPr>
      <w:bookmarkStart w:id="705" w:name="_Toc497740339"/>
      <w:bookmarkStart w:id="706" w:name="_Toc498523565"/>
      <w:bookmarkStart w:id="707" w:name="_Toc499993091"/>
      <w:bookmarkStart w:id="708" w:name="_Toc499994266"/>
      <w:bookmarkStart w:id="709" w:name="_Toc109723949"/>
      <w:bookmarkStart w:id="710" w:name="_Toc117194200"/>
      <w:bookmarkStart w:id="711" w:name="_Toc120893227"/>
      <w:r w:rsidRPr="00BD16B4">
        <w:t xml:space="preserve">Cryosphere </w:t>
      </w:r>
      <w:bookmarkEnd w:id="705"/>
      <w:bookmarkEnd w:id="706"/>
      <w:bookmarkEnd w:id="707"/>
      <w:bookmarkEnd w:id="708"/>
      <w:r w:rsidRPr="00BD16B4">
        <w:t>observations</w:t>
      </w:r>
      <w:bookmarkEnd w:id="709"/>
      <w:bookmarkEnd w:id="710"/>
      <w:bookmarkEnd w:id="711"/>
    </w:p>
    <w:p w14:paraId="147F2A08" w14:textId="77777777" w:rsidR="00DE1BDD" w:rsidRPr="00BD16B4" w:rsidRDefault="00DE1BDD" w:rsidP="00DE1BDD">
      <w:pPr>
        <w:pStyle w:val="BodyText"/>
      </w:pPr>
      <w:r w:rsidRPr="00BD16B4">
        <w:t>End-of-summer snowline elevations and photographic images of more than 50 index glaciers captured from low altitude aircraft flights in March each year are available annually, dating from 1978 (see figure D.1). These data are being used to estimate equilibrium line altitude changes and mass balance change through time.</w:t>
      </w:r>
      <w:r w:rsidRPr="00BD16B4">
        <w:rPr>
          <w:rStyle w:val="FootnoteReference"/>
        </w:rPr>
        <w:footnoteReference w:id="687"/>
      </w:r>
      <w:r w:rsidRPr="00BD16B4">
        <w:t xml:space="preserve"> In addition, several of the index glaciers that have much greater photographic coverage have been paired with ground control points to </w:t>
      </w:r>
      <w:r w:rsidRPr="00BD16B4">
        <w:rPr>
          <w:spacing w:val="-2"/>
        </w:rPr>
        <w:t>evaluate changes in glacier ice volume each year, using structure from motion photogrammetry</w:t>
      </w:r>
      <w:r w:rsidRPr="00BD16B4">
        <w:t xml:space="preserve"> (since 2015). Three-dimensional photogrammetry methods are also paired with ground-based, biannual mass balance measurements at Brewster Glacier (Mount Aspiring National Park) and Rolleston Glacier (Arthur’s Pass) (the former since 2005 and the latter since 2010), using snowstakes. LIDAR has also been used on Rolleston Glacier since 2021 to track surface elevation changes. Thermal imagery has been used on several index glaciers since 2018 in conjunction with standard photography. Limited term, fixed position timelapse photographs are available for Fox, Franz Josef, Tasman and Brewster glaciers that have been captured in recent years. Terminus positions of some larger glaciers in the Southern Alps are available with aperiodic observations from the mid-19th century to the present.</w:t>
      </w:r>
      <w:r w:rsidRPr="00BD16B4">
        <w:rPr>
          <w:vertAlign w:val="superscript"/>
        </w:rPr>
        <w:footnoteReference w:id="688"/>
      </w:r>
    </w:p>
    <w:p w14:paraId="6D7C1ECA" w14:textId="1098A83F" w:rsidR="00DE1BDD" w:rsidRPr="00BD16B4" w:rsidRDefault="00DE1BDD" w:rsidP="00DE1BDD">
      <w:pPr>
        <w:pStyle w:val="Figureheading"/>
      </w:pPr>
      <w:bookmarkStart w:id="712" w:name="_Toc498519489"/>
      <w:bookmarkStart w:id="713" w:name="_Toc500767147"/>
      <w:bookmarkStart w:id="714" w:name="_Toc121494415"/>
      <w:r w:rsidRPr="00BD16B4">
        <w:t>Figure D.</w:t>
      </w:r>
      <w:r w:rsidRPr="00BD16B4">
        <w:fldChar w:fldCharType="begin"/>
      </w:r>
      <w:r w:rsidRPr="00BD16B4">
        <w:instrText>SEQ Figure_D. \* ARABIC</w:instrText>
      </w:r>
      <w:r w:rsidRPr="00BD16B4">
        <w:fldChar w:fldCharType="separate"/>
      </w:r>
      <w:r w:rsidR="00A60C35">
        <w:rPr>
          <w:noProof/>
        </w:rPr>
        <w:t>1</w:t>
      </w:r>
      <w:r w:rsidRPr="00BD16B4">
        <w:fldChar w:fldCharType="end"/>
      </w:r>
      <w:r w:rsidRPr="00BD16B4">
        <w:t>:</w:t>
      </w:r>
      <w:r w:rsidRPr="00BD16B4">
        <w:tab/>
        <w:t>Modelled glacier ice volume change, 1978–2020, and end of summer snowline of Rolleston Glacier, Arthurs Pass area, March 2016</w:t>
      </w:r>
      <w:bookmarkEnd w:id="712"/>
      <w:bookmarkEnd w:id="713"/>
      <w:bookmarkEnd w:id="7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4470"/>
      </w:tblGrid>
      <w:tr w:rsidR="00DE1BDD" w:rsidRPr="00BD16B4" w14:paraId="33CA3B4D" w14:textId="77777777" w:rsidTr="004A205F">
        <w:tc>
          <w:tcPr>
            <w:tcW w:w="4251" w:type="dxa"/>
          </w:tcPr>
          <w:p w14:paraId="4DB619D4" w14:textId="77777777" w:rsidR="00DE1BDD" w:rsidRPr="00BD16B4" w:rsidRDefault="00DE1BDD" w:rsidP="004A205F">
            <w:pPr>
              <w:pStyle w:val="TableText"/>
            </w:pPr>
            <w:r w:rsidRPr="00BD16B4">
              <w:rPr>
                <w:noProof/>
              </w:rPr>
              <w:drawing>
                <wp:inline distT="0" distB="0" distL="0" distR="0" wp14:anchorId="015C29C3" wp14:editId="47BAC900">
                  <wp:extent cx="2784763" cy="1799660"/>
                  <wp:effectExtent l="0" t="0" r="0" b="0"/>
                  <wp:docPr id="971881738" name="Picture 9718817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86376" cy="1800703"/>
                          </a:xfrm>
                          <a:prstGeom prst="rect">
                            <a:avLst/>
                          </a:prstGeom>
                          <a:noFill/>
                          <a:ln>
                            <a:noFill/>
                          </a:ln>
                        </pic:spPr>
                      </pic:pic>
                    </a:graphicData>
                  </a:graphic>
                </wp:inline>
              </w:drawing>
            </w:r>
          </w:p>
        </w:tc>
        <w:tc>
          <w:tcPr>
            <w:tcW w:w="4470" w:type="dxa"/>
          </w:tcPr>
          <w:p w14:paraId="5E09A9F6" w14:textId="77777777" w:rsidR="00DE1BDD" w:rsidRPr="00BD16B4" w:rsidRDefault="00DE1BDD" w:rsidP="004A205F">
            <w:pPr>
              <w:pStyle w:val="BodyText"/>
              <w:spacing w:before="0"/>
            </w:pPr>
            <w:r w:rsidRPr="00BD16B4">
              <w:rPr>
                <w:noProof/>
              </w:rPr>
              <w:drawing>
                <wp:inline distT="0" distB="0" distL="0" distR="0" wp14:anchorId="63BDD074" wp14:editId="03F2D413">
                  <wp:extent cx="2935433" cy="1834227"/>
                  <wp:effectExtent l="0" t="0" r="0" b="0"/>
                  <wp:docPr id="971881739" name="Picture 58" descr="A picture containing nature, rock, mountai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8" descr="A picture containing nature, rock, mountain, outdoor&#10;&#10;Description automatically generated"/>
                          <pic:cNvPicPr>
                            <a:picLocks noChangeAspect="1"/>
                          </pic:cNvPicPr>
                        </pic:nvPicPr>
                        <pic:blipFill rotWithShape="1">
                          <a:blip r:embed="rId145">
                            <a:extLst>
                              <a:ext uri="{28A0092B-C50C-407E-A947-70E740481C1C}">
                                <a14:useLocalDpi xmlns:a14="http://schemas.microsoft.com/office/drawing/2010/main" val="0"/>
                              </a:ext>
                            </a:extLst>
                          </a:blip>
                          <a:srcRect t="4155" b="4809"/>
                          <a:stretch/>
                        </pic:blipFill>
                        <pic:spPr bwMode="auto">
                          <a:xfrm>
                            <a:off x="0" y="0"/>
                            <a:ext cx="2949588" cy="18430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051D941" w14:textId="77777777" w:rsidR="00DE1BDD" w:rsidRPr="00BD16B4" w:rsidRDefault="00DE1BDD" w:rsidP="00DE1BDD">
      <w:pPr>
        <w:pStyle w:val="BodyText"/>
        <w:rPr>
          <w:rFonts w:eastAsiaTheme="minorHAnsi"/>
        </w:rPr>
      </w:pPr>
      <w:r w:rsidRPr="00BD16B4">
        <w:t>NIWA operates two climate stations in Antarctica: Scott Base and Arrival Heights. Scott Base has one of the longest continuous climate records in Antarctica (back to 1957). NIWA also established the national Snow and Ice Monitoring Network in 2008. It constitutes nine high-elevation (above bush line) and four lower elevation stations. This network is complemented by three snow-monitoring sites operated for commercial clients at Rose Ridge, Panorama Ridge, and Franz Josef Glacier (West Coast). NIWA and MetService are planning to increase snow depth and solid precipitation measurements in low elevation regions.</w:t>
      </w:r>
    </w:p>
    <w:p w14:paraId="0F087C1E" w14:textId="77777777" w:rsidR="00DE1BDD" w:rsidRPr="00BD16B4" w:rsidRDefault="00DE1BDD" w:rsidP="00DE1BDD">
      <w:pPr>
        <w:pStyle w:val="BodyText"/>
      </w:pPr>
      <w:r w:rsidRPr="00BD16B4">
        <w:t xml:space="preserve">Although Aotearoa New Zealand has no permafrost measurement sites, it is supporting measurements in Antarctica conducted by the United States Department of Agriculture and the University of Insubria (Italy). Seven soil climate monitoring stations that monitor temperature to about 1.2 metres in depth are operated in the McMurdo Dry Valleys and Ross Sea coast by Manaaki Whenua Landcare Research in collaboration with the United States </w:t>
      </w:r>
      <w:r w:rsidRPr="00BD16B4">
        <w:rPr>
          <w:spacing w:val="-2"/>
        </w:rPr>
        <w:t>Department of Agriculture. Continuous monitoring data go back as far as 1999. Two permafrost</w:t>
      </w:r>
      <w:r w:rsidRPr="00BD16B4">
        <w:t xml:space="preserve"> boreholes are equipped with continuous temperature monitoring to a depth of 30 metres. </w:t>
      </w:r>
    </w:p>
    <w:p w14:paraId="538E34C8" w14:textId="678A0ECE" w:rsidR="00DE1BDD" w:rsidRPr="00BD16B4" w:rsidRDefault="00DE1BDD" w:rsidP="0055300D">
      <w:pPr>
        <w:pStyle w:val="Heading2GCOS"/>
      </w:pPr>
      <w:bookmarkStart w:id="715" w:name="_Toc497740340"/>
      <w:bookmarkStart w:id="716" w:name="_Toc498523566"/>
      <w:bookmarkStart w:id="717" w:name="_Toc499993092"/>
      <w:bookmarkStart w:id="718" w:name="_Toc499994267"/>
      <w:bookmarkStart w:id="719" w:name="_Toc109723950"/>
      <w:bookmarkStart w:id="720" w:name="_Toc117194201"/>
      <w:bookmarkStart w:id="721" w:name="_Toc120893228"/>
      <w:r w:rsidRPr="00BD16B4">
        <w:t>Hydrosphere observations</w:t>
      </w:r>
      <w:bookmarkEnd w:id="715"/>
      <w:bookmarkEnd w:id="716"/>
      <w:bookmarkEnd w:id="717"/>
      <w:bookmarkEnd w:id="718"/>
      <w:bookmarkEnd w:id="719"/>
      <w:bookmarkEnd w:id="720"/>
      <w:bookmarkEnd w:id="721"/>
    </w:p>
    <w:p w14:paraId="118BCB1B" w14:textId="77777777" w:rsidR="00DE1BDD" w:rsidRPr="00BD16B4" w:rsidRDefault="00DE1BDD" w:rsidP="00DE1BDD">
      <w:pPr>
        <w:pStyle w:val="BodyText"/>
      </w:pPr>
      <w:r w:rsidRPr="00BD16B4">
        <w:t>An overview of Aotearoa New Zealand surface water observation history can be found in the 60th anniversary publication of the New Zealand Hydrological Society from 2021.</w:t>
      </w:r>
      <w:r w:rsidRPr="00BD16B4">
        <w:rPr>
          <w:rStyle w:val="FootnoteReference"/>
        </w:rPr>
        <w:footnoteReference w:id="689"/>
      </w:r>
      <w:r w:rsidRPr="00BD16B4">
        <w:t xml:space="preserve"> River flow and lake level monitoring are conducted in New Zealand by local authorities, which operate about 900 river flow gauging and lake level stations, energy companies (at about 400 sites, a </w:t>
      </w:r>
      <w:r w:rsidRPr="00BD16B4">
        <w:rPr>
          <w:spacing w:val="-2"/>
        </w:rPr>
        <w:t>significant number of which are operated by NIWA), and NIWA, which has a national benchmark</w:t>
      </w:r>
      <w:r w:rsidRPr="00BD16B4">
        <w:t xml:space="preserve"> network of about 50 stations. Data collection is of varying length and carried out to varying standards. For example, flood monitoring sites are often monitored to lesser standards. </w:t>
      </w:r>
    </w:p>
    <w:p w14:paraId="3AFB743F" w14:textId="77777777" w:rsidR="00DE1BDD" w:rsidRPr="00BD16B4" w:rsidRDefault="00DE1BDD" w:rsidP="00DE1BDD">
      <w:pPr>
        <w:pStyle w:val="BodyText"/>
      </w:pPr>
      <w:r w:rsidRPr="00BD16B4">
        <w:t>Freshwater and coastal water quality is observed at over 1000 sites in New Zealand by local authorities and NIWA. These agencies are currently working on implementing a National Standard for discrete water quality to increase data consistency.</w:t>
      </w:r>
      <w:r w:rsidRPr="00BD16B4">
        <w:rPr>
          <w:rStyle w:val="FootnoteReference"/>
        </w:rPr>
        <w:footnoteReference w:id="690"/>
      </w:r>
    </w:p>
    <w:p w14:paraId="5BA75985" w14:textId="77777777" w:rsidR="00DE1BDD" w:rsidRPr="00BD16B4" w:rsidRDefault="00DE1BDD" w:rsidP="00DE1BDD">
      <w:pPr>
        <w:pStyle w:val="BodyText"/>
      </w:pPr>
      <w:r w:rsidRPr="00BD16B4">
        <w:t>Local authorities, MfE and NIWA are working on various national monitoring and quality coding protocol initiatives (eg, environmental monitoring and reporting, NEMS and LAWA projects, see the section ‘National programmes and activities’ above). They are also working on data aggregation standard systems, to ensure local data collection is done consistently and data can be easily integrated. New Zealand local authorities have set up the LAWA website as an integrated access portal to local authorities’ land, freshwater, air quality and coastal data.</w:t>
      </w:r>
      <w:r w:rsidRPr="00BD16B4">
        <w:rPr>
          <w:vertAlign w:val="superscript"/>
        </w:rPr>
        <w:footnoteReference w:id="691"/>
      </w:r>
    </w:p>
    <w:p w14:paraId="3E222BD8" w14:textId="77777777" w:rsidR="00DE1BDD" w:rsidRPr="00BD16B4" w:rsidRDefault="00DE1BDD" w:rsidP="00DE1BDD">
      <w:pPr>
        <w:pStyle w:val="BodyText"/>
      </w:pPr>
      <w:r w:rsidRPr="00BD16B4">
        <w:t>NIWA submits river flow data from 40 gauging stations to the Global Runoff Data Centre (GRDC).</w:t>
      </w:r>
      <w:r w:rsidRPr="00BD16B4">
        <w:rPr>
          <w:vertAlign w:val="superscript"/>
        </w:rPr>
        <w:footnoteReference w:id="692"/>
      </w:r>
    </w:p>
    <w:p w14:paraId="3FF8BFDB" w14:textId="77777777" w:rsidR="00DE1BDD" w:rsidRPr="00BD16B4" w:rsidRDefault="00DE1BDD" w:rsidP="00DE1BDD">
      <w:pPr>
        <w:pStyle w:val="BodyText"/>
      </w:pPr>
      <w:r w:rsidRPr="00BD16B4">
        <w:t>NIWA submits river water quality data from about 50 sites to the Global Environment Monitoring System for Freshwater (GEMS/Water).</w:t>
      </w:r>
      <w:r w:rsidRPr="00BD16B4">
        <w:rPr>
          <w:vertAlign w:val="superscript"/>
        </w:rPr>
        <w:footnoteReference w:id="693"/>
      </w:r>
    </w:p>
    <w:p w14:paraId="44E50BDA" w14:textId="77777777" w:rsidR="00DE1BDD" w:rsidRPr="00BD16B4" w:rsidRDefault="00DE1BDD" w:rsidP="00DE1BDD">
      <w:pPr>
        <w:pStyle w:val="BodyText"/>
      </w:pPr>
      <w:r w:rsidRPr="00BD16B4">
        <w:t xml:space="preserve">Soil moisture is measured across the country by local authorities and NIWA at several hundred sites, typically in conjunction with climate stations. NIWA compiles a database of about 100 sites across the country and uses the data for regular reporting of the country’s soil moisture status, as part of the </w:t>
      </w:r>
      <w:r w:rsidRPr="00BD16B4">
        <w:rPr>
          <w:iCs/>
        </w:rPr>
        <w:t>New Zealand Climate Summaries.</w:t>
      </w:r>
      <w:r w:rsidRPr="00BD16B4">
        <w:rPr>
          <w:vertAlign w:val="superscript"/>
        </w:rPr>
        <w:footnoteReference w:id="694"/>
      </w:r>
    </w:p>
    <w:p w14:paraId="22047520" w14:textId="77777777" w:rsidR="00DE1BDD" w:rsidRPr="00BD16B4" w:rsidRDefault="00DE1BDD" w:rsidP="00DE1BDD">
      <w:pPr>
        <w:pStyle w:val="BodyText"/>
      </w:pPr>
      <w:r w:rsidRPr="00BD16B4">
        <w:t>At the national scale, groundwater quality is monitored through the National Groundwater Monitoring Programme (NGMP).</w:t>
      </w:r>
      <w:r w:rsidRPr="00BD16B4">
        <w:rPr>
          <w:rStyle w:val="FootnoteReference"/>
        </w:rPr>
        <w:footnoteReference w:id="695"/>
      </w:r>
      <w:r w:rsidRPr="00BD16B4">
        <w:t xml:space="preserve"> This programme is a collaboration between GNS Science and local authorities. In addition to the monitoring operations, the NGMP has dedicated research and database objectives, which are essential to ensure the network remains relevant to current freshwater management issues. The NGMP network comprises around 110 monitoring sites, which are sampled quarterly by local authorities. At the regional scale, state of the environment groundwater monitoring programmes are operated by local authorities. However, the sampling frequency, analytical suite, sampling protocol, monitoring objectives and site selection criteria vary between monitoring agencies. </w:t>
      </w:r>
    </w:p>
    <w:p w14:paraId="200E18AE" w14:textId="77777777" w:rsidR="00DE1BDD" w:rsidRPr="00BD16B4" w:rsidRDefault="00DE1BDD" w:rsidP="00DE1BDD">
      <w:pPr>
        <w:pStyle w:val="BodyText"/>
      </w:pPr>
      <w:r w:rsidRPr="00BD16B4">
        <w:t xml:space="preserve">NGMP samples have been collected using a national protocol since 2006 and are analysed for a consistent suite of major cations, anions and silica, and selected minor elements such as iron, manganese, bromide and fluoride since 1998. Depth to groundwater is typically measured before sampling. Parameters such as pH, water temperature and electrical conductivity are measured in the field at the time of sampling. </w:t>
      </w:r>
    </w:p>
    <w:p w14:paraId="57D58CB2" w14:textId="77777777" w:rsidR="00DE1BDD" w:rsidRPr="00BD16B4" w:rsidRDefault="00DE1BDD" w:rsidP="00DE1BDD">
      <w:pPr>
        <w:pStyle w:val="BodyText"/>
      </w:pPr>
      <w:r w:rsidRPr="00BD16B4">
        <w:t>Although regional networks are typically denser than the NGMP network, with an amalgamated number of sites close to 1000, the NGMP network has been shown to be representative of New Zealand groundwaters. The programme uses multivariate statistics conducted on an amalgamated state of the environment data set and the NGMP data set, respectively. The unique consistency of NGMP monitoring at the national scale means the data set can be used as a training data set when using machine-learning techniques, as shown through a study from 2021 to infer baseline for groundwater quality on an amalgamated (NGMP and state of the environment) data set.</w:t>
      </w:r>
      <w:r w:rsidRPr="00BD16B4">
        <w:rPr>
          <w:rStyle w:val="FootnoteReference"/>
        </w:rPr>
        <w:footnoteReference w:id="696"/>
      </w:r>
    </w:p>
    <w:p w14:paraId="36837F6D" w14:textId="77777777" w:rsidR="00DE1BDD" w:rsidRPr="00BD16B4" w:rsidRDefault="00DE1BDD" w:rsidP="00DE1BDD">
      <w:pPr>
        <w:pStyle w:val="BodyText"/>
      </w:pPr>
      <w:r w:rsidRPr="00BD16B4">
        <w:t>National-scale evaluations of groundwater quality state and trends have been reported by MfE since 1995 and have covered 5-, 10- and 20-year periods. The most recent assessment covers data collected from 2009–18</w:t>
      </w:r>
      <w:r w:rsidRPr="00BD16B4">
        <w:rPr>
          <w:vertAlign w:val="superscript"/>
        </w:rPr>
        <w:footnoteReference w:id="697"/>
      </w:r>
      <w:r w:rsidRPr="00BD16B4">
        <w:t xml:space="preserve"> using an aggregated data set (NGMP and state of the environment).</w:t>
      </w:r>
    </w:p>
    <w:p w14:paraId="6DBC4E9D" w14:textId="76E61E57" w:rsidR="00DE1BDD" w:rsidRPr="00BD16B4" w:rsidRDefault="00DE1BDD" w:rsidP="0055300D">
      <w:pPr>
        <w:pStyle w:val="Heading2GCOS"/>
      </w:pPr>
      <w:bookmarkStart w:id="722" w:name="_Toc109723951"/>
      <w:bookmarkStart w:id="723" w:name="_Toc117194202"/>
      <w:bookmarkStart w:id="724" w:name="_Toc120893229"/>
      <w:r w:rsidRPr="00BD16B4">
        <w:t>Biosphere observations</w:t>
      </w:r>
      <w:bookmarkEnd w:id="722"/>
      <w:bookmarkEnd w:id="723"/>
      <w:bookmarkEnd w:id="724"/>
    </w:p>
    <w:p w14:paraId="6C20CAF4" w14:textId="77777777" w:rsidR="00DE1BDD" w:rsidRPr="00BD16B4" w:rsidRDefault="00DE1BDD" w:rsidP="00DE1BDD">
      <w:pPr>
        <w:pStyle w:val="BodyText"/>
      </w:pPr>
      <w:r w:rsidRPr="00BD16B4">
        <w:t>The Land Cover Database (LCDB) is a national compilation of land cover status in Aotearoa New Zealand using satellite imagery</w:t>
      </w:r>
      <w:r w:rsidRPr="00BD16B4">
        <w:rPr>
          <w:vertAlign w:val="superscript"/>
        </w:rPr>
        <w:footnoteReference w:id="698"/>
      </w:r>
      <w:r w:rsidRPr="00BD16B4">
        <w:t xml:space="preserve"> and is a multi-temporal, thematic classification of New </w:t>
      </w:r>
      <w:r w:rsidRPr="00BD16B4">
        <w:rPr>
          <w:spacing w:val="-2"/>
        </w:rPr>
        <w:t>Zealand’s land cover. So far, five data sets have been compiled as part of the LCDB, representing</w:t>
      </w:r>
      <w:r w:rsidRPr="00BD16B4">
        <w:t xml:space="preserve"> New Zealand land cover layers for 1996/97, 2000/01, 2007/08, 2012/13 and 2018/19.</w:t>
      </w:r>
    </w:p>
    <w:p w14:paraId="4116DE76" w14:textId="77777777" w:rsidR="00DE1BDD" w:rsidRPr="00BD16B4" w:rsidRDefault="00DE1BDD" w:rsidP="00DE1BDD">
      <w:pPr>
        <w:pStyle w:val="BodyText"/>
      </w:pPr>
      <w:r w:rsidRPr="00BD16B4">
        <w:t>To meet its Kyoto Protocol commitments, New Zealand developed the Land Use and Carbon Analysis System (LUCAS).</w:t>
      </w:r>
      <w:r w:rsidRPr="00BD16B4">
        <w:rPr>
          <w:vertAlign w:val="superscript"/>
        </w:rPr>
        <w:footnoteReference w:id="699"/>
      </w:r>
      <w:r w:rsidRPr="00BD16B4">
        <w:t xml:space="preserve"> LUCAS comprises components for measuring and reporting the carbon stock changes occurring from land use, land use change and forestry through a combination of permanent forest sample plots and remote sensing-based mapping. LUCAS has so far established four snapshots of land use using Landsat, SPOT and Sentinel-2 satellite data. These include the 1990, 2008, 2012 and 2016 land use databases required to track land use. Carbon stock changes in vegetation and soils are calculated and reported from 1990 onwards with the help of these time-sequence measurements.</w:t>
      </w:r>
    </w:p>
    <w:p w14:paraId="25613D65" w14:textId="77777777" w:rsidR="00DE1BDD" w:rsidRPr="00BD16B4" w:rsidRDefault="00DE1BDD" w:rsidP="00DE1BDD">
      <w:pPr>
        <w:pStyle w:val="BodyText"/>
      </w:pPr>
      <w:r w:rsidRPr="00BD16B4">
        <w:t>The Ministry for Primary Industries maintains several databases related to plantation forestry schemes, including mapping of forestry entered in New Zealand’s Emissions Trading Scheme. Data is shared between the Ministry for Primary Industries</w:t>
      </w:r>
      <w:r w:rsidRPr="00BD16B4" w:rsidDel="00613131">
        <w:t xml:space="preserve"> </w:t>
      </w:r>
      <w:r w:rsidRPr="00BD16B4">
        <w:t>and LUCAS programme to ensure accurate monitoring of afforestation and deforestation is maintained in both systems.</w:t>
      </w:r>
    </w:p>
    <w:p w14:paraId="1E7D0E15" w14:textId="77777777" w:rsidR="00DE1BDD" w:rsidRPr="00BD16B4" w:rsidRDefault="00DE1BDD" w:rsidP="00DE1BDD">
      <w:pPr>
        <w:pStyle w:val="BodyText"/>
      </w:pPr>
      <w:r w:rsidRPr="00BD16B4">
        <w:t>To help those national databases, national research programmes are in progress to understand patterns and processes involved in current soil and forest carbon storage.</w:t>
      </w:r>
      <w:r w:rsidRPr="00BD16B4">
        <w:rPr>
          <w:vertAlign w:val="superscript"/>
        </w:rPr>
        <w:footnoteReference w:id="700"/>
      </w:r>
    </w:p>
    <w:p w14:paraId="3E91EC8F" w14:textId="77777777" w:rsidR="00DE1BDD" w:rsidRPr="00BD16B4" w:rsidRDefault="00DE1BDD" w:rsidP="00DE1BDD">
      <w:pPr>
        <w:pStyle w:val="BodyText"/>
      </w:pPr>
      <w:r w:rsidRPr="00BD16B4">
        <w:t>Manaaki Whenua Landcare Research has established a national soil carbon benchmarking and monitoring system across a range of soil types and land use classes. By the end of 2023, 330 sites are expected to be sampled. The overall plan is to monitor changes in soil carbon at 500 sites across the country within each of five broad land use classes: cropland, horticulture, dairy pasture, flat rolling drystock pasture and hill country drystock pasture, and to revisit sites every three to five years to monitor changes.</w:t>
      </w:r>
      <w:r w:rsidRPr="00BD16B4">
        <w:rPr>
          <w:rStyle w:val="FootnoteReference"/>
        </w:rPr>
        <w:footnoteReference w:id="701"/>
      </w:r>
    </w:p>
    <w:p w14:paraId="7F2CF4E0" w14:textId="77777777" w:rsidR="00DE1BDD" w:rsidRPr="00BD16B4" w:rsidRDefault="00DE1BDD" w:rsidP="00DE1BDD">
      <w:pPr>
        <w:pStyle w:val="BodyText"/>
      </w:pPr>
      <w:r w:rsidRPr="00BD16B4">
        <w:t>The CarbonWatch New Zealand programme</w:t>
      </w:r>
      <w:r w:rsidRPr="00BD16B4">
        <w:rPr>
          <w:rStyle w:val="FootnoteReference"/>
        </w:rPr>
        <w:footnoteReference w:id="702"/>
      </w:r>
      <w:r w:rsidRPr="00BD16B4">
        <w:t xml:space="preserve"> is a collaborative programme that has been established to assess land–carbon exchange from major land use regions in New Zealand using ‘top-down’ methodologies, including both micrometeorological and atmospheric inverse modelling methods. Micrometeorological sites have been established on high-producing (Canterbury) and low-producing (Lauder) grassland to provide validation for grassland land-use models that provide priors for inverse modelling assessments. The network of atmospheric measurements across New Zealand includes monitoring stations for CO</w:t>
      </w:r>
      <w:r w:rsidRPr="00BD16B4">
        <w:rPr>
          <w:vertAlign w:val="subscript"/>
        </w:rPr>
        <w:t>2</w:t>
      </w:r>
      <w:r w:rsidRPr="00BD16B4">
        <w:t xml:space="preserve"> established at Manukau Heads (Auckland), Manga Kakaramea (Bay of Plenty), Baring Head, Winchmore (Canterbury) and Lauder. The system being developed in New Zealand is helping development in other countries through the WMO Integrated Global Greenhouse Gas Information System (IG</w:t>
      </w:r>
      <w:r w:rsidRPr="00BD16B4">
        <w:rPr>
          <w:vertAlign w:val="superscript"/>
        </w:rPr>
        <w:t>3</w:t>
      </w:r>
      <w:r w:rsidRPr="00BD16B4">
        <w:t>IS) framework.</w:t>
      </w:r>
    </w:p>
    <w:p w14:paraId="7ABB27CA" w14:textId="77777777" w:rsidR="00DE1BDD" w:rsidRPr="00BD16B4" w:rsidRDefault="00DE1BDD" w:rsidP="00DE1BDD">
      <w:pPr>
        <w:pStyle w:val="BodyText"/>
      </w:pPr>
      <w:r w:rsidRPr="00BD16B4">
        <w:t>The National Vegetation Survey Databank maintained by Manaaki Whenua Landcare Research</w:t>
      </w:r>
      <w:r w:rsidRPr="00BD16B4">
        <w:rPr>
          <w:vertAlign w:val="superscript"/>
        </w:rPr>
        <w:footnoteReference w:id="703"/>
      </w:r>
      <w:r w:rsidRPr="00BD16B4">
        <w:t xml:space="preserve"> holds records from over 120,000 vegetation survey plots around New Zealand, including over 25,000 permanent plots. Vegetation observations span over 70 years. Local authorities are carrying out regular vegetation surveys to varying standards, depending on local stressors and needs.</w:t>
      </w:r>
    </w:p>
    <w:p w14:paraId="78F2584E" w14:textId="77777777" w:rsidR="00DE1BDD" w:rsidRPr="00BD16B4" w:rsidRDefault="00DE1BDD" w:rsidP="00DE1BDD">
      <w:pPr>
        <w:pStyle w:val="BodyText"/>
        <w:keepLines/>
      </w:pPr>
      <w:r w:rsidRPr="00BD16B4">
        <w:t xml:space="preserve">The national biodiversity monitoring programme was established in 2011, through the Department of Conservation, to support annual reporting of ecological integrity and change. The programme is based on the existing network and protocols, expanded to include </w:t>
      </w:r>
      <w:r w:rsidRPr="00BD16B4">
        <w:rPr>
          <w:spacing w:val="-2"/>
        </w:rPr>
        <w:t>additional biotic indicators. It incorporates 1400 plots evenly spaced across public conservation</w:t>
      </w:r>
      <w:r w:rsidRPr="00BD16B4">
        <w:t xml:space="preserve"> land, which are remeasured on a five-year rotation cycle, around 280 plots are measured each year.</w:t>
      </w:r>
      <w:r w:rsidRPr="00BD16B4">
        <w:rPr>
          <w:rStyle w:val="FootnoteReference"/>
        </w:rPr>
        <w:footnoteReference w:id="704"/>
      </w:r>
    </w:p>
    <w:p w14:paraId="0432A625" w14:textId="77777777" w:rsidR="00DE1BDD" w:rsidRPr="00BD16B4" w:rsidRDefault="00DE1BDD" w:rsidP="00DE1BDD">
      <w:pPr>
        <w:pStyle w:val="BodyText"/>
      </w:pPr>
      <w:r w:rsidRPr="00BD16B4">
        <w:t>A national monitoring programme designed to enable unbiased estimates of carbon stock and change for New Zealand’s natural forests was developed between 1998 and 2001. Permanent plots were installed systematically on the 8-kilometre grid across New Zealand’s natural forests and these were first measured over five years between 2002 and 2007. Re-measurement of the plot network provides repeat data suitable for calculating carbon stock change in natural forest. The first re-measurement of the plot network was completed between 2009 and 2014. For the third round of measurement, the programme is continuing at a reduced rate, with around 120 plots being measured each year on a 10-year cycle. Measurement of plots for this round began in 2014 and is scheduled for completion in 2024.</w:t>
      </w:r>
    </w:p>
    <w:p w14:paraId="261C8C05" w14:textId="77777777" w:rsidR="00DE1BDD" w:rsidRPr="00BD16B4" w:rsidRDefault="00DE1BDD" w:rsidP="00DE1BDD">
      <w:pPr>
        <w:pStyle w:val="BodyText"/>
      </w:pPr>
      <w:r w:rsidRPr="00BD16B4">
        <w:t>The National Soils Database (NSD) is a ‘point’ database maintained by Manaaki Whenua Landcare Research. It contains descriptions of about 8000 New Zealand soil profiles, together with analytical data on their chemical, physical and mineralogical characteristics (including soil carbon).</w:t>
      </w:r>
      <w:r w:rsidRPr="00BD16B4">
        <w:rPr>
          <w:rStyle w:val="FootnoteReference"/>
        </w:rPr>
        <w:footnoteReference w:id="705"/>
      </w:r>
      <w:r w:rsidRPr="00BD16B4">
        <w:t xml:space="preserve"> The information is obtained from physically sampling and observing the soil on site.</w:t>
      </w:r>
    </w:p>
    <w:p w14:paraId="30346699" w14:textId="77777777" w:rsidR="00DE1BDD" w:rsidRPr="00BD16B4" w:rsidRDefault="00DE1BDD" w:rsidP="00DE1BDD">
      <w:pPr>
        <w:pStyle w:val="BodyText"/>
      </w:pPr>
      <w:r w:rsidRPr="00BD16B4">
        <w:t>As part of the S-map project, Manaaki Whenua Landcare Research is working on an ongoing project to map New Zealand’s soil resources at a nominal 1:50,000 scale, currently with around 30 per cent coverage.</w:t>
      </w:r>
      <w:r w:rsidRPr="00BD16B4">
        <w:rPr>
          <w:rStyle w:val="FootnoteReference"/>
        </w:rPr>
        <w:footnoteReference w:id="706"/>
      </w:r>
      <w:r w:rsidRPr="00BD16B4">
        <w:t xml:space="preserve"> The products include soil factsheets with physical soil characteristics.</w:t>
      </w:r>
    </w:p>
    <w:p w14:paraId="6550B9B2" w14:textId="77777777" w:rsidR="00DE1BDD" w:rsidRPr="00BD16B4" w:rsidRDefault="00DE1BDD" w:rsidP="0055300D">
      <w:pPr>
        <w:pStyle w:val="Heading2GCOS"/>
      </w:pPr>
      <w:bookmarkStart w:id="725" w:name="_Toc109723952"/>
      <w:bookmarkStart w:id="726" w:name="_Toc117194203"/>
      <w:bookmarkStart w:id="727" w:name="_Toc120893230"/>
      <w:bookmarkStart w:id="728" w:name="_Toc497740342"/>
      <w:bookmarkStart w:id="729" w:name="_Toc498523568"/>
      <w:bookmarkStart w:id="730" w:name="_Toc499993094"/>
      <w:bookmarkStart w:id="731" w:name="_Toc499994269"/>
      <w:r w:rsidRPr="00BD16B4">
        <w:t>Anthropogenic observations</w:t>
      </w:r>
      <w:bookmarkEnd w:id="725"/>
      <w:bookmarkEnd w:id="726"/>
      <w:bookmarkEnd w:id="727"/>
    </w:p>
    <w:p w14:paraId="64F0D1C1" w14:textId="77777777" w:rsidR="00DE1BDD" w:rsidRPr="00BD16B4" w:rsidRDefault="00DE1BDD" w:rsidP="00DE1BDD">
      <w:pPr>
        <w:pStyle w:val="BodyText"/>
      </w:pPr>
      <w:r w:rsidRPr="00BD16B4">
        <w:t>A representative daily background CO</w:t>
      </w:r>
      <w:r w:rsidRPr="00BD16B4">
        <w:rPr>
          <w:vertAlign w:val="subscript"/>
        </w:rPr>
        <w:t>2</w:t>
      </w:r>
      <w:r w:rsidRPr="00BD16B4">
        <w:t xml:space="preserve"> measurement (carbon count) for Aotearoa New Zealand is provided to media with comparison to values measured 1 year and 10 years ago.</w:t>
      </w:r>
      <w:r w:rsidRPr="00BD16B4">
        <w:rPr>
          <w:rStyle w:val="FootnoteReference"/>
        </w:rPr>
        <w:footnoteReference w:id="707"/>
      </w:r>
    </w:p>
    <w:p w14:paraId="05ABCF21" w14:textId="77777777" w:rsidR="00DE1BDD" w:rsidRPr="00BD16B4" w:rsidRDefault="00DE1BDD" w:rsidP="00DE1BDD">
      <w:pPr>
        <w:pStyle w:val="BodyText"/>
      </w:pPr>
      <w:r w:rsidRPr="00BD16B4">
        <w:t>In conjunction with biospheric assessment, a component of CarbonWatch New Zealand, led by GNS Science, is assessing carbon exchange in the urban landscape. In coming years, the research is likely to develop to look at a range of sectoral emissions (eg, CH</w:t>
      </w:r>
      <w:r w:rsidRPr="00BD16B4">
        <w:rPr>
          <w:vertAlign w:val="subscript"/>
        </w:rPr>
        <w:t>4</w:t>
      </w:r>
      <w:r w:rsidRPr="00BD16B4">
        <w:t xml:space="preserve"> from waste). Standards for urban emission assessment are currently under consideration as part of the Integrated Global Greenhouse Gas Information System (IG</w:t>
      </w:r>
      <w:r w:rsidRPr="00BD16B4">
        <w:rPr>
          <w:vertAlign w:val="superscript"/>
        </w:rPr>
        <w:t>3</w:t>
      </w:r>
      <w:r w:rsidRPr="00BD16B4">
        <w:t>IS) initiative.</w:t>
      </w:r>
      <w:r w:rsidRPr="00BD16B4">
        <w:rPr>
          <w:rStyle w:val="FootnoteReference"/>
        </w:rPr>
        <w:footnoteReference w:id="708"/>
      </w:r>
    </w:p>
    <w:p w14:paraId="2B35DBB0" w14:textId="77777777" w:rsidR="00DE1BDD" w:rsidRPr="00BD16B4" w:rsidRDefault="00DE1BDD" w:rsidP="00DE1BDD">
      <w:pPr>
        <w:pStyle w:val="BodyText"/>
      </w:pPr>
      <w:r w:rsidRPr="00BD16B4">
        <w:t>Because of recent changes in New Zealand legislation,</w:t>
      </w:r>
      <w:r w:rsidRPr="00BD16B4">
        <w:rPr>
          <w:vertAlign w:val="superscript"/>
        </w:rPr>
        <w:footnoteReference w:id="709"/>
      </w:r>
      <w:r w:rsidRPr="00BD16B4">
        <w:t xml:space="preserve"> an increasing number of water takes (for agriculture and other uses) are now being monitored by natural resource users that have consents for water takes, for example, by irrigation companies or individual farmers. Local authorities and MfE are working to ensure national consistency and national collection and accessibility of these data. It is expected that, over the coming years, more than 10,000 surface and groundwater takes will be being monitored by various agencies (water take consent holders) and archived by local authorities in New Zealand.</w:t>
      </w:r>
    </w:p>
    <w:p w14:paraId="4C39B957" w14:textId="68C713F8" w:rsidR="00DE1BDD" w:rsidRPr="00BD16B4" w:rsidRDefault="00DE1BDD" w:rsidP="0055300D">
      <w:pPr>
        <w:pStyle w:val="Heading2GCOS"/>
      </w:pPr>
      <w:bookmarkStart w:id="733" w:name="_Toc109723953"/>
      <w:bookmarkStart w:id="734" w:name="_Toc117194204"/>
      <w:bookmarkStart w:id="735" w:name="_Toc120893231"/>
      <w:r w:rsidRPr="00BD16B4">
        <w:t>Satellite-based measurements</w:t>
      </w:r>
      <w:bookmarkEnd w:id="728"/>
      <w:bookmarkEnd w:id="729"/>
      <w:bookmarkEnd w:id="730"/>
      <w:bookmarkEnd w:id="731"/>
      <w:bookmarkEnd w:id="733"/>
      <w:bookmarkEnd w:id="734"/>
      <w:bookmarkEnd w:id="735"/>
    </w:p>
    <w:p w14:paraId="5D88269B" w14:textId="77777777" w:rsidR="00DE1BDD" w:rsidRPr="00BD16B4" w:rsidRDefault="00DE1BDD" w:rsidP="00DE1BDD">
      <w:pPr>
        <w:pStyle w:val="BodyText"/>
      </w:pPr>
      <w:r w:rsidRPr="00BD16B4">
        <w:t>See the section ‘Satellite-based measurements’ in ‘ECVs: Atmospheric’ for information about satellite receiving stations and products.</w:t>
      </w:r>
    </w:p>
    <w:p w14:paraId="4B3DE6A5" w14:textId="77777777" w:rsidR="00DE1BDD" w:rsidRPr="00BD16B4" w:rsidRDefault="00DE1BDD" w:rsidP="00DE1BDD">
      <w:pPr>
        <w:pStyle w:val="BodyText"/>
      </w:pPr>
      <w:r w:rsidRPr="00BD16B4">
        <w:t xml:space="preserve">Aotearoa New Zealand does not have a dedicated satellite-based measurement programme of terrestrial ECVs. </w:t>
      </w:r>
    </w:p>
    <w:p w14:paraId="20C615B8" w14:textId="77777777" w:rsidR="00DE1BDD" w:rsidRPr="00BD16B4" w:rsidRDefault="00DE1BDD" w:rsidP="00DE1BDD">
      <w:pPr>
        <w:pStyle w:val="BodyText"/>
      </w:pPr>
      <w:r w:rsidRPr="00BD16B4">
        <w:t>However, glaciers in the Southern Alps are monitored as part of the international satellite project Global Land Ice Mapping from Space (GLIMS).</w:t>
      </w:r>
      <w:r w:rsidRPr="00BD16B4">
        <w:rPr>
          <w:rStyle w:val="FootnoteReference"/>
        </w:rPr>
        <w:footnoteReference w:id="710"/>
      </w:r>
      <w:r w:rsidRPr="00BD16B4">
        <w:t xml:space="preserve"> Satellite data are used for several mentioned national products, including the LCDB and New Zealand Land Use Map produced through LUCAS. </w:t>
      </w:r>
    </w:p>
    <w:p w14:paraId="6A3BFC26" w14:textId="77777777" w:rsidR="00DE1BDD" w:rsidRPr="00BD16B4" w:rsidRDefault="00DE1BDD" w:rsidP="00DE1BDD">
      <w:pPr>
        <w:pStyle w:val="BodyText"/>
      </w:pPr>
      <w:r w:rsidRPr="00BD16B4">
        <w:t>MfE maintains a register of some important national remote sensing products, including Landsat, SPOT and Sentinel imagery products.</w:t>
      </w:r>
      <w:r w:rsidRPr="00BD16B4">
        <w:rPr>
          <w:rStyle w:val="FootnoteReference"/>
        </w:rPr>
        <w:footnoteReference w:id="711"/>
      </w:r>
      <w:r w:rsidRPr="00BD16B4">
        <w:t xml:space="preserve"> </w:t>
      </w:r>
    </w:p>
    <w:p w14:paraId="1A452283" w14:textId="260A52C8" w:rsidR="00DE1BDD" w:rsidRPr="00BD16B4" w:rsidRDefault="00DE1BDD" w:rsidP="0055300D">
      <w:pPr>
        <w:pStyle w:val="Heading2GCOS"/>
      </w:pPr>
      <w:bookmarkStart w:id="736" w:name="_Toc497740343"/>
      <w:bookmarkStart w:id="737" w:name="_Toc498523569"/>
      <w:bookmarkStart w:id="738" w:name="_Toc499993095"/>
      <w:bookmarkStart w:id="739" w:name="_Toc499994270"/>
      <w:bookmarkStart w:id="740" w:name="_Toc109723954"/>
      <w:bookmarkStart w:id="741" w:name="_Toc117194205"/>
      <w:bookmarkStart w:id="742" w:name="_Toc120893232"/>
      <w:r w:rsidRPr="00BD16B4">
        <w:t>Response to GCOS implementation plan</w:t>
      </w:r>
      <w:bookmarkEnd w:id="736"/>
      <w:bookmarkEnd w:id="737"/>
      <w:bookmarkEnd w:id="738"/>
      <w:bookmarkEnd w:id="739"/>
      <w:bookmarkEnd w:id="740"/>
      <w:bookmarkEnd w:id="741"/>
      <w:bookmarkEnd w:id="742"/>
    </w:p>
    <w:p w14:paraId="6949B3DC" w14:textId="77777777" w:rsidR="00DE1BDD" w:rsidRPr="00BD16B4" w:rsidRDefault="00DE1BDD" w:rsidP="00DE1BDD">
      <w:pPr>
        <w:pStyle w:val="BodyText"/>
      </w:pPr>
      <w:r w:rsidRPr="00BD16B4">
        <w:t>The following actions have been initiated in response to the recommendations on terrestrial ECVs within the GCOS implementation plan.</w:t>
      </w:r>
    </w:p>
    <w:p w14:paraId="4B85E892" w14:textId="77777777" w:rsidR="00DE1BDD" w:rsidRPr="00BD16B4" w:rsidRDefault="00DE1BDD" w:rsidP="00DE1BDD">
      <w:pPr>
        <w:pStyle w:val="Heading3"/>
      </w:pPr>
      <w:r w:rsidRPr="00BD16B4">
        <w:t>Developing a global network of around 30 sites based on a progressive evolution of existing reference sites to monitor key biomass and provide the observations required for the calibration and validation of satellite data</w:t>
      </w:r>
    </w:p>
    <w:p w14:paraId="6B380739" w14:textId="77777777" w:rsidR="00DE1BDD" w:rsidRPr="00BD16B4" w:rsidRDefault="00DE1BDD" w:rsidP="00DE1BDD">
      <w:pPr>
        <w:pStyle w:val="BodyText"/>
      </w:pPr>
      <w:r w:rsidRPr="00BD16B4">
        <w:t>Aotearoa New Zealand maintains a national plot-based monitoring system for the assessment of biodiversity status and change, and assessment of carbon pools. The National Vegetation Survey Databank contains data on 120,000 plots over a 70-year period, including more than 25,000 remeasured permanent plots. In addition, the national biodiversity monitoring programme, established in 2011 through the Department of Conservation, monitors a range of biotic indicators for about 1400 plots evenly spaced across public conservation land.</w:t>
      </w:r>
      <w:r w:rsidRPr="00BD16B4">
        <w:rPr>
          <w:rStyle w:val="FootnoteReference"/>
        </w:rPr>
        <w:footnoteReference w:id="712"/>
      </w:r>
      <w:r w:rsidRPr="00BD16B4">
        <w:t xml:space="preserve"> Data from these resources are used as ground truthing and input, together with satellite imagery, for the creation of national mapping products, including the LCDB, ecosystem categorisation (EcoSat), environmental domains (Land Environments of New Zealand) and national carbon reporting (LUCAS). </w:t>
      </w:r>
    </w:p>
    <w:p w14:paraId="5F79FBE8" w14:textId="77777777" w:rsidR="00DE1BDD" w:rsidRPr="00BD16B4" w:rsidRDefault="00DE1BDD" w:rsidP="00DE1BDD">
      <w:pPr>
        <w:pStyle w:val="Heading3"/>
      </w:pPr>
      <w:r w:rsidRPr="00BD16B4">
        <w:t>Maintaining and expanding programmes for monitoring groundwater and aquifers</w:t>
      </w:r>
    </w:p>
    <w:p w14:paraId="65C1EA31" w14:textId="77777777" w:rsidR="00DE1BDD" w:rsidRPr="00BD16B4" w:rsidRDefault="00DE1BDD" w:rsidP="00DE1BDD">
      <w:pPr>
        <w:pStyle w:val="BodyText"/>
      </w:pPr>
      <w:r w:rsidRPr="00BD16B4">
        <w:t>Local authorities maintain extensive groundwater measurement programmes. GNS Science is compiling a national database of about 110 groundwater sites with consistent data.</w:t>
      </w:r>
    </w:p>
    <w:p w14:paraId="5B423DC1" w14:textId="77777777" w:rsidR="00DE1BDD" w:rsidRPr="00BD16B4" w:rsidRDefault="00DE1BDD" w:rsidP="00DE1BDD">
      <w:pPr>
        <w:pStyle w:val="Heading3"/>
      </w:pPr>
      <w:r w:rsidRPr="00BD16B4">
        <w:t>Archiving and disseminating information related to irrigation and water resources</w:t>
      </w:r>
    </w:p>
    <w:p w14:paraId="1747FACB" w14:textId="77777777" w:rsidR="00DE1BDD" w:rsidRPr="00BD16B4" w:rsidRDefault="00DE1BDD" w:rsidP="00DE1BDD">
      <w:pPr>
        <w:pStyle w:val="BodyText"/>
      </w:pPr>
      <w:r w:rsidRPr="00BD16B4">
        <w:rPr>
          <w:spacing w:val="-2"/>
        </w:rPr>
        <w:t>New Zealand is introducing consistent observations for monitoring water takes and water use</w:t>
      </w:r>
      <w:r w:rsidRPr="00BD16B4">
        <w:t> for agriculture. Currently, local authorities are overseeing the instrumentation across the country, including adequate data dissemination technologies like telemetry, and are archiving the data.</w:t>
      </w:r>
    </w:p>
    <w:p w14:paraId="3F6D03E1" w14:textId="77777777" w:rsidR="00DE1BDD" w:rsidRPr="00BD16B4" w:rsidRDefault="00DE1BDD" w:rsidP="00DE1BDD">
      <w:pPr>
        <w:pStyle w:val="Heading3"/>
      </w:pPr>
      <w:r w:rsidRPr="00BD16B4">
        <w:t>Strengthening existing sites for observing snow cover and snowfall, and recovering and submitting historical data to the specified international data centres</w:t>
      </w:r>
    </w:p>
    <w:p w14:paraId="543AA92D" w14:textId="77777777" w:rsidR="00DE1BDD" w:rsidRPr="00BD16B4" w:rsidRDefault="00DE1BDD" w:rsidP="00DE1BDD">
      <w:pPr>
        <w:pStyle w:val="BodyText"/>
      </w:pPr>
      <w:r w:rsidRPr="00BD16B4">
        <w:t>A new focus in recent years has been on infilling remote data-poor regions and regions sensitive to change. The development of the National Snow and Ice Monitoring Network for New Zealand has led this drive and has resulted in the upgrading of selected existing stations to measure snow that is very sensitive to change. NIWA operates nine high-elevation (above bush line) stations and four lower elevation stations with specialised climate and snow monitoring.</w:t>
      </w:r>
    </w:p>
    <w:p w14:paraId="69790667" w14:textId="77777777" w:rsidR="00DE1BDD" w:rsidRPr="00BD16B4" w:rsidRDefault="00DE1BDD" w:rsidP="00DE1BDD">
      <w:pPr>
        <w:pStyle w:val="Heading3"/>
      </w:pPr>
      <w:r w:rsidRPr="00BD16B4">
        <w:t>Maintaining sites for observing glaciers and adding additional sites and infrastructure in Africa, the Himalayas, New Zealand and South America</w:t>
      </w:r>
    </w:p>
    <w:p w14:paraId="62F77C33" w14:textId="77777777" w:rsidR="00DE1BDD" w:rsidRPr="00BD16B4" w:rsidRDefault="00DE1BDD" w:rsidP="00DE1BDD">
      <w:pPr>
        <w:pStyle w:val="BodyText"/>
      </w:pPr>
      <w:r w:rsidRPr="00BD16B4">
        <w:t>The end-of-summer snowline elevations and photographic images of 50 glaciers from special aircraft flights will continue for the foreseeable future. Some new index glaciers will be added.</w:t>
      </w:r>
    </w:p>
    <w:p w14:paraId="4B64A81D" w14:textId="77777777" w:rsidR="00DE1BDD" w:rsidRPr="00BD16B4" w:rsidRDefault="00DE1BDD" w:rsidP="00DE1BDD">
      <w:pPr>
        <w:pStyle w:val="Heading3"/>
      </w:pPr>
      <w:r w:rsidRPr="00BD16B4">
        <w:t xml:space="preserve">Adding the 150 additional permafrost sites identified </w:t>
      </w:r>
      <w:r w:rsidRPr="00BD16B4">
        <w:rPr>
          <w:szCs w:val="28"/>
        </w:rPr>
        <w:t>by GTN-P</w:t>
      </w:r>
      <w:r w:rsidRPr="00BD16B4">
        <w:rPr>
          <w:rStyle w:val="FootnoteReference"/>
          <w:sz w:val="28"/>
          <w:szCs w:val="28"/>
        </w:rPr>
        <w:footnoteReference w:id="713"/>
      </w:r>
      <w:r w:rsidRPr="00BD16B4">
        <w:rPr>
          <w:szCs w:val="28"/>
        </w:rPr>
        <w:t xml:space="preserve"> to cover the high mountains of Asia, Europe</w:t>
      </w:r>
      <w:r w:rsidRPr="00BD16B4">
        <w:t xml:space="preserve"> and the southern hemisphere, and the North American alpine lands and lowlands, and providing data to the specified international data centres</w:t>
      </w:r>
    </w:p>
    <w:p w14:paraId="6F92367A" w14:textId="77777777" w:rsidR="00DE1BDD" w:rsidRPr="00BD16B4" w:rsidRDefault="00DE1BDD" w:rsidP="00DE1BDD">
      <w:pPr>
        <w:pStyle w:val="BodyText"/>
      </w:pPr>
      <w:r w:rsidRPr="00BD16B4">
        <w:t>Due to the low percentage of permafrost in the country, New Zealand does not maintain or intend to develop a network of permafrost sites.</w:t>
      </w:r>
    </w:p>
    <w:p w14:paraId="5740CD45" w14:textId="77777777" w:rsidR="00DE1BDD" w:rsidRPr="00BD16B4" w:rsidRDefault="00DE1BDD" w:rsidP="00DE1BDD">
      <w:pPr>
        <w:pStyle w:val="Heading3"/>
      </w:pPr>
      <w:r w:rsidRPr="00BD16B4">
        <w:t>Reanalysing historical data concerning the terrestrial ECVs</w:t>
      </w:r>
    </w:p>
    <w:p w14:paraId="6C0FC015" w14:textId="77777777" w:rsidR="00DE1BDD" w:rsidRPr="00BD16B4" w:rsidRDefault="00DE1BDD" w:rsidP="00DE1BDD">
      <w:pPr>
        <w:pStyle w:val="BodyText"/>
      </w:pPr>
      <w:r w:rsidRPr="00BD16B4">
        <w:t>NIWA has worked on a project for compiling a large database of historical weather events for New Zealand, including flooding, landsliding and large snowstorms.</w:t>
      </w:r>
      <w:r w:rsidRPr="00BD16B4">
        <w:rPr>
          <w:rStyle w:val="FootnoteReference"/>
        </w:rPr>
        <w:footnoteReference w:id="714"/>
      </w:r>
    </w:p>
    <w:p w14:paraId="3348D4AC" w14:textId="77777777" w:rsidR="00DE1BDD" w:rsidRPr="00BD16B4" w:rsidRDefault="00DE1BDD" w:rsidP="00DE1BDD">
      <w:pPr>
        <w:pStyle w:val="Heading3"/>
        <w:spacing w:before="240"/>
      </w:pPr>
      <w:r w:rsidRPr="00BD16B4">
        <w:t>Building a national surface and groundwater observation programme</w:t>
      </w:r>
    </w:p>
    <w:p w14:paraId="0C13ABD2" w14:textId="77777777" w:rsidR="00DE1BDD" w:rsidRPr="00BD16B4" w:rsidRDefault="00DE1BDD" w:rsidP="00DE1BDD">
      <w:pPr>
        <w:pStyle w:val="BodyText"/>
      </w:pPr>
      <w:r w:rsidRPr="00BD16B4">
        <w:t>New Zealand is working towards a more nationally comprehensive and consistent freshwater monitoring programme. This will include river flows, river water quality, lake water quality, groundwater quantity and quality, and water use. This will benefit national state of the environment reporting and New Zealand’s water resources management in light of increased water- and land-use pressures.</w:t>
      </w:r>
      <w:r w:rsidRPr="00BD16B4">
        <w:rPr>
          <w:rStyle w:val="FootnoteReference"/>
        </w:rPr>
        <w:footnoteReference w:id="715"/>
      </w:r>
      <w:r w:rsidRPr="00BD16B4">
        <w:t xml:space="preserve"> Components of this initiative are NEMS</w:t>
      </w:r>
      <w:r w:rsidRPr="00BD16B4">
        <w:rPr>
          <w:rStyle w:val="FootnoteReference"/>
        </w:rPr>
        <w:footnoteReference w:id="716"/>
      </w:r>
      <w:r w:rsidRPr="00BD16B4">
        <w:t xml:space="preserve"> and increasing the availability of data through LAWA.</w:t>
      </w:r>
      <w:r w:rsidRPr="00BD16B4">
        <w:rPr>
          <w:rStyle w:val="FootnoteReference"/>
        </w:rPr>
        <w:footnoteReference w:id="717"/>
      </w:r>
    </w:p>
    <w:p w14:paraId="69B348E4" w14:textId="77777777" w:rsidR="00DE1BDD" w:rsidRPr="00BD16B4" w:rsidRDefault="00DE1BDD" w:rsidP="00DE1BDD">
      <w:pPr>
        <w:pStyle w:val="BodyText"/>
      </w:pPr>
      <w:r w:rsidRPr="00BD16B4">
        <w:br w:type="page"/>
      </w:r>
    </w:p>
    <w:p w14:paraId="1E00361C" w14:textId="28FDBCE9" w:rsidR="00DE1BDD" w:rsidRPr="00BD16B4" w:rsidRDefault="00DE1BDD" w:rsidP="0092663D">
      <w:pPr>
        <w:pStyle w:val="Heading1notforTOC"/>
        <w:rPr>
          <w:sz w:val="47"/>
          <w:szCs w:val="47"/>
        </w:rPr>
      </w:pPr>
      <w:bookmarkStart w:id="743" w:name="_Toc493859314"/>
      <w:bookmarkStart w:id="744" w:name="_Toc493859610"/>
      <w:bookmarkStart w:id="745" w:name="_Toc497740345"/>
      <w:bookmarkStart w:id="746" w:name="_Toc498523571"/>
      <w:bookmarkStart w:id="747" w:name="_Toc499993097"/>
      <w:bookmarkStart w:id="748" w:name="_Toc499994272"/>
      <w:bookmarkStart w:id="749" w:name="_Toc109723955"/>
      <w:bookmarkStart w:id="750" w:name="_Toc117194206"/>
      <w:bookmarkStart w:id="751" w:name="_Toc120893233"/>
      <w:r w:rsidRPr="00BD16B4">
        <w:rPr>
          <w:sz w:val="47"/>
          <w:szCs w:val="47"/>
        </w:rPr>
        <w:t>Appendix D1: Lists of observations</w:t>
      </w:r>
      <w:bookmarkEnd w:id="743"/>
      <w:bookmarkEnd w:id="744"/>
      <w:bookmarkEnd w:id="745"/>
      <w:bookmarkEnd w:id="746"/>
      <w:bookmarkEnd w:id="747"/>
      <w:bookmarkEnd w:id="748"/>
      <w:bookmarkEnd w:id="749"/>
      <w:bookmarkEnd w:id="750"/>
      <w:bookmarkEnd w:id="751"/>
    </w:p>
    <w:tbl>
      <w:tblPr>
        <w:tblStyle w:val="TableGrid16"/>
        <w:tblW w:w="8562" w:type="dxa"/>
        <w:tblInd w:w="57"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CellMar>
          <w:left w:w="85" w:type="dxa"/>
          <w:right w:w="57" w:type="dxa"/>
        </w:tblCellMar>
        <w:tblLook w:val="04A0" w:firstRow="1" w:lastRow="0" w:firstColumn="1" w:lastColumn="0" w:noHBand="0" w:noVBand="1"/>
      </w:tblPr>
      <w:tblGrid>
        <w:gridCol w:w="1387"/>
        <w:gridCol w:w="1402"/>
        <w:gridCol w:w="1153"/>
        <w:gridCol w:w="1153"/>
        <w:gridCol w:w="1153"/>
        <w:gridCol w:w="1157"/>
        <w:gridCol w:w="1157"/>
      </w:tblGrid>
      <w:tr w:rsidR="00DE1BDD" w:rsidRPr="00BD16B4" w14:paraId="3944ED3B" w14:textId="77777777" w:rsidTr="004A205F">
        <w:trPr>
          <w:tblHeader/>
        </w:trPr>
        <w:tc>
          <w:tcPr>
            <w:tcW w:w="1387" w:type="dxa"/>
            <w:tcBorders>
              <w:right w:val="nil"/>
            </w:tcBorders>
            <w:shd w:val="clear" w:color="auto" w:fill="1B556B"/>
            <w:vAlign w:val="bottom"/>
          </w:tcPr>
          <w:p w14:paraId="09289D80" w14:textId="77777777" w:rsidR="00DE1BDD" w:rsidRPr="00BD16B4" w:rsidRDefault="00DE1BDD" w:rsidP="004A205F">
            <w:pPr>
              <w:pStyle w:val="TableTextbold"/>
              <w:rPr>
                <w:rFonts w:cs="Calibri"/>
                <w:color w:val="FFFFFF" w:themeColor="background1"/>
                <w:szCs w:val="18"/>
              </w:rPr>
            </w:pPr>
            <w:r w:rsidRPr="00BD16B4">
              <w:rPr>
                <w:rFonts w:cs="Calibri"/>
                <w:color w:val="FFFFFF" w:themeColor="background1"/>
                <w:szCs w:val="18"/>
              </w:rPr>
              <w:t xml:space="preserve">Contributing networks specified in the GCOS implementation plan </w:t>
            </w:r>
          </w:p>
        </w:tc>
        <w:tc>
          <w:tcPr>
            <w:tcW w:w="1402" w:type="dxa"/>
            <w:tcBorders>
              <w:left w:val="nil"/>
              <w:right w:val="nil"/>
            </w:tcBorders>
            <w:shd w:val="clear" w:color="auto" w:fill="1B556B"/>
            <w:vAlign w:val="bottom"/>
          </w:tcPr>
          <w:p w14:paraId="762EFC5B" w14:textId="77777777" w:rsidR="00DE1BDD" w:rsidRPr="00BD16B4" w:rsidRDefault="00DE1BDD" w:rsidP="004A205F">
            <w:pPr>
              <w:pStyle w:val="TableTextbold"/>
              <w:rPr>
                <w:rFonts w:cs="Calibri"/>
                <w:color w:val="FFFFFF" w:themeColor="background1"/>
                <w:szCs w:val="18"/>
              </w:rPr>
            </w:pPr>
            <w:r w:rsidRPr="00BD16B4">
              <w:rPr>
                <w:rFonts w:cs="Calibri"/>
                <w:color w:val="FFFFFF" w:themeColor="background1"/>
                <w:szCs w:val="18"/>
              </w:rPr>
              <w:t xml:space="preserve">Essential climate variables </w:t>
            </w:r>
          </w:p>
        </w:tc>
        <w:tc>
          <w:tcPr>
            <w:tcW w:w="1153" w:type="dxa"/>
            <w:tcBorders>
              <w:left w:val="nil"/>
              <w:right w:val="nil"/>
            </w:tcBorders>
            <w:shd w:val="clear" w:color="auto" w:fill="1B556B"/>
            <w:vAlign w:val="bottom"/>
          </w:tcPr>
          <w:p w14:paraId="03942C7E" w14:textId="77777777" w:rsidR="00DE1BDD" w:rsidRPr="00BD16B4" w:rsidRDefault="00DE1BDD" w:rsidP="004A205F">
            <w:pPr>
              <w:pStyle w:val="TableTextbold"/>
              <w:rPr>
                <w:rFonts w:cs="Calibri"/>
                <w:color w:val="FFFFFF" w:themeColor="background1"/>
                <w:szCs w:val="18"/>
              </w:rPr>
            </w:pPr>
            <w:r w:rsidRPr="00BD16B4">
              <w:rPr>
                <w:rFonts w:cs="Calibri"/>
                <w:color w:val="FFFFFF" w:themeColor="background1"/>
                <w:szCs w:val="18"/>
              </w:rPr>
              <w:t>Number of stations or platforms currently operating (estimate)</w:t>
            </w:r>
            <w:r w:rsidRPr="00BD16B4">
              <w:rPr>
                <w:rStyle w:val="FootnoteReference"/>
                <w:rFonts w:cs="Calibri"/>
                <w:color w:val="FFFFFF" w:themeColor="background1"/>
                <w:sz w:val="18"/>
                <w:szCs w:val="18"/>
              </w:rPr>
              <w:footnoteReference w:id="718"/>
            </w:r>
          </w:p>
        </w:tc>
        <w:tc>
          <w:tcPr>
            <w:tcW w:w="1153" w:type="dxa"/>
            <w:tcBorders>
              <w:left w:val="nil"/>
              <w:right w:val="nil"/>
            </w:tcBorders>
            <w:shd w:val="clear" w:color="auto" w:fill="1B556B"/>
            <w:vAlign w:val="bottom"/>
          </w:tcPr>
          <w:p w14:paraId="667B93F2" w14:textId="77777777" w:rsidR="00DE1BDD" w:rsidRPr="00BD16B4" w:rsidRDefault="00DE1BDD" w:rsidP="004A205F">
            <w:pPr>
              <w:pStyle w:val="TableTextbold"/>
              <w:rPr>
                <w:rFonts w:cs="Calibri"/>
                <w:color w:val="FFFFFF" w:themeColor="background1"/>
                <w:szCs w:val="18"/>
              </w:rPr>
            </w:pPr>
            <w:r w:rsidRPr="00BD16B4">
              <w:rPr>
                <w:rFonts w:cs="Calibri"/>
                <w:color w:val="FFFFFF" w:themeColor="background1"/>
                <w:szCs w:val="18"/>
              </w:rPr>
              <w:t>Number of stations or platforms operating in accordance with the GCMPs (estimate)</w:t>
            </w:r>
            <w:r w:rsidRPr="00BD16B4">
              <w:rPr>
                <w:rStyle w:val="FootnoteReference"/>
                <w:rFonts w:cs="Calibri"/>
                <w:color w:val="FFFFFF" w:themeColor="background1"/>
                <w:sz w:val="18"/>
                <w:szCs w:val="18"/>
              </w:rPr>
              <w:footnoteReference w:id="719"/>
            </w:r>
          </w:p>
        </w:tc>
        <w:tc>
          <w:tcPr>
            <w:tcW w:w="1153" w:type="dxa"/>
            <w:tcBorders>
              <w:left w:val="nil"/>
              <w:right w:val="nil"/>
            </w:tcBorders>
            <w:shd w:val="clear" w:color="auto" w:fill="1B556B"/>
            <w:vAlign w:val="bottom"/>
          </w:tcPr>
          <w:p w14:paraId="2DE79144" w14:textId="77777777" w:rsidR="00DE1BDD" w:rsidRPr="00BD16B4" w:rsidRDefault="00DE1BDD" w:rsidP="004A205F">
            <w:pPr>
              <w:pStyle w:val="TableTextbold"/>
              <w:rPr>
                <w:rFonts w:cs="Calibri"/>
                <w:color w:val="FFFFFF" w:themeColor="background1"/>
                <w:szCs w:val="18"/>
              </w:rPr>
            </w:pPr>
            <w:r w:rsidRPr="00BD16B4">
              <w:rPr>
                <w:rFonts w:cs="Calibri"/>
                <w:color w:val="FFFFFF" w:themeColor="background1"/>
                <w:szCs w:val="18"/>
              </w:rPr>
              <w:t>Number of stations or platforms expected to be operating in 2024 (estimate)</w:t>
            </w:r>
            <w:r w:rsidRPr="00BD16B4">
              <w:rPr>
                <w:rStyle w:val="FootnoteReference"/>
                <w:rFonts w:cs="Calibri"/>
                <w:color w:val="FFFFFF" w:themeColor="background1"/>
                <w:sz w:val="18"/>
                <w:szCs w:val="18"/>
              </w:rPr>
              <w:footnoteReference w:id="720"/>
            </w:r>
          </w:p>
        </w:tc>
        <w:tc>
          <w:tcPr>
            <w:tcW w:w="1157" w:type="dxa"/>
            <w:tcBorders>
              <w:left w:val="nil"/>
              <w:right w:val="nil"/>
            </w:tcBorders>
            <w:shd w:val="clear" w:color="auto" w:fill="1B556B"/>
            <w:vAlign w:val="bottom"/>
          </w:tcPr>
          <w:p w14:paraId="27BCBC31" w14:textId="77777777" w:rsidR="00DE1BDD" w:rsidRPr="00BD16B4" w:rsidRDefault="00DE1BDD" w:rsidP="004A205F">
            <w:pPr>
              <w:pStyle w:val="TableTextbold"/>
              <w:rPr>
                <w:rFonts w:cs="Calibri"/>
                <w:color w:val="FFFFFF" w:themeColor="background1"/>
                <w:szCs w:val="18"/>
              </w:rPr>
            </w:pPr>
            <w:r w:rsidRPr="00BD16B4">
              <w:rPr>
                <w:rFonts w:cs="Calibri"/>
                <w:color w:val="FFFFFF" w:themeColor="background1"/>
                <w:szCs w:val="18"/>
              </w:rPr>
              <w:t xml:space="preserve">Number of stations or platforms providing data to the international data centres </w:t>
            </w:r>
          </w:p>
        </w:tc>
        <w:tc>
          <w:tcPr>
            <w:tcW w:w="1157" w:type="dxa"/>
            <w:tcBorders>
              <w:left w:val="nil"/>
            </w:tcBorders>
            <w:shd w:val="clear" w:color="auto" w:fill="1B556B"/>
            <w:vAlign w:val="bottom"/>
          </w:tcPr>
          <w:p w14:paraId="0E8C5927" w14:textId="77777777" w:rsidR="00DE1BDD" w:rsidRPr="00BD16B4" w:rsidRDefault="00DE1BDD" w:rsidP="004A205F">
            <w:pPr>
              <w:pStyle w:val="TableTextbold"/>
              <w:rPr>
                <w:rFonts w:cs="Calibri"/>
                <w:color w:val="FFFFFF" w:themeColor="background1"/>
                <w:szCs w:val="18"/>
              </w:rPr>
            </w:pPr>
            <w:r w:rsidRPr="00BD16B4">
              <w:rPr>
                <w:rFonts w:cs="Calibri"/>
                <w:color w:val="FFFFFF" w:themeColor="background1"/>
                <w:szCs w:val="18"/>
              </w:rPr>
              <w:t xml:space="preserve">Number of stations or platforms with a complete historical record available in international data centres </w:t>
            </w:r>
          </w:p>
        </w:tc>
      </w:tr>
      <w:tr w:rsidR="00DE1BDD" w:rsidRPr="00BD16B4" w14:paraId="59133D0E" w14:textId="77777777" w:rsidTr="004A205F">
        <w:tc>
          <w:tcPr>
            <w:tcW w:w="8562" w:type="dxa"/>
            <w:gridSpan w:val="7"/>
          </w:tcPr>
          <w:p w14:paraId="244DD5E3" w14:textId="77777777" w:rsidR="00DE1BDD" w:rsidRPr="00BD16B4" w:rsidRDefault="00DE1BDD" w:rsidP="004A205F">
            <w:pPr>
              <w:pStyle w:val="TableTextbold"/>
              <w:rPr>
                <w:rFonts w:cs="Calibri"/>
                <w:szCs w:val="18"/>
              </w:rPr>
            </w:pPr>
            <w:r w:rsidRPr="00BD16B4">
              <w:rPr>
                <w:rFonts w:cs="Calibri"/>
                <w:szCs w:val="18"/>
              </w:rPr>
              <w:t>National contributions to surface-based atmospheric essential climate variables</w:t>
            </w:r>
          </w:p>
        </w:tc>
      </w:tr>
      <w:tr w:rsidR="00DE1BDD" w:rsidRPr="00BD16B4" w14:paraId="49CA768B" w14:textId="77777777" w:rsidTr="004A205F">
        <w:tc>
          <w:tcPr>
            <w:tcW w:w="1387" w:type="dxa"/>
          </w:tcPr>
          <w:p w14:paraId="521A28E3" w14:textId="77777777" w:rsidR="00DE1BDD" w:rsidRPr="00BD16B4" w:rsidRDefault="00DE1BDD" w:rsidP="004A205F">
            <w:pPr>
              <w:pStyle w:val="TableText"/>
              <w:rPr>
                <w:rFonts w:cs="Calibri"/>
                <w:szCs w:val="18"/>
              </w:rPr>
            </w:pPr>
            <w:r w:rsidRPr="00BD16B4">
              <w:rPr>
                <w:rFonts w:cs="Calibri"/>
                <w:szCs w:val="18"/>
              </w:rPr>
              <w:t>GCOS Surface Network (GSN)</w:t>
            </w:r>
          </w:p>
        </w:tc>
        <w:tc>
          <w:tcPr>
            <w:tcW w:w="1402" w:type="dxa"/>
          </w:tcPr>
          <w:p w14:paraId="509F6E65" w14:textId="77777777" w:rsidR="00DE1BDD" w:rsidRPr="00BD16B4" w:rsidRDefault="00DE1BDD" w:rsidP="004A205F">
            <w:pPr>
              <w:pStyle w:val="TableText"/>
              <w:rPr>
                <w:rFonts w:cs="Calibri"/>
                <w:szCs w:val="18"/>
              </w:rPr>
            </w:pPr>
            <w:r w:rsidRPr="00BD16B4">
              <w:rPr>
                <w:rFonts w:cs="Calibri"/>
                <w:szCs w:val="18"/>
              </w:rPr>
              <w:t>Air temperature, precipitation</w:t>
            </w:r>
          </w:p>
        </w:tc>
        <w:tc>
          <w:tcPr>
            <w:tcW w:w="1153" w:type="dxa"/>
          </w:tcPr>
          <w:p w14:paraId="0F5B020B" w14:textId="77777777" w:rsidR="00DE1BDD" w:rsidRPr="00BD16B4" w:rsidRDefault="00DE1BDD" w:rsidP="004A205F">
            <w:pPr>
              <w:pStyle w:val="TableText"/>
              <w:rPr>
                <w:rFonts w:cs="Calibri"/>
                <w:szCs w:val="18"/>
              </w:rPr>
            </w:pPr>
            <w:r w:rsidRPr="00BD16B4">
              <w:rPr>
                <w:rFonts w:cs="Calibri"/>
                <w:szCs w:val="18"/>
              </w:rPr>
              <w:t>&gt;700</w:t>
            </w:r>
          </w:p>
        </w:tc>
        <w:tc>
          <w:tcPr>
            <w:tcW w:w="1153" w:type="dxa"/>
          </w:tcPr>
          <w:p w14:paraId="316A224F" w14:textId="77777777" w:rsidR="00DE1BDD" w:rsidRPr="00BD16B4" w:rsidRDefault="00DE1BDD" w:rsidP="004A205F">
            <w:pPr>
              <w:pStyle w:val="TableText"/>
              <w:rPr>
                <w:rFonts w:cs="Calibri"/>
                <w:szCs w:val="18"/>
              </w:rPr>
            </w:pPr>
            <w:r w:rsidRPr="00BD16B4">
              <w:rPr>
                <w:rFonts w:cs="Calibri"/>
                <w:szCs w:val="18"/>
              </w:rPr>
              <w:t>&gt;150</w:t>
            </w:r>
          </w:p>
        </w:tc>
        <w:tc>
          <w:tcPr>
            <w:tcW w:w="1153" w:type="dxa"/>
          </w:tcPr>
          <w:p w14:paraId="4FB30106" w14:textId="77777777" w:rsidR="00DE1BDD" w:rsidRPr="00BD16B4" w:rsidRDefault="00DE1BDD" w:rsidP="004A205F">
            <w:pPr>
              <w:pStyle w:val="TableText"/>
              <w:rPr>
                <w:rFonts w:cs="Calibri"/>
                <w:szCs w:val="18"/>
              </w:rPr>
            </w:pPr>
            <w:r w:rsidRPr="00BD16B4">
              <w:rPr>
                <w:rFonts w:cs="Calibri"/>
                <w:szCs w:val="18"/>
              </w:rPr>
              <w:t>&gt;500</w:t>
            </w:r>
          </w:p>
        </w:tc>
        <w:tc>
          <w:tcPr>
            <w:tcW w:w="1157" w:type="dxa"/>
          </w:tcPr>
          <w:p w14:paraId="213B123B" w14:textId="77777777" w:rsidR="00DE1BDD" w:rsidRPr="00BD16B4" w:rsidRDefault="00DE1BDD" w:rsidP="004A205F">
            <w:pPr>
              <w:pStyle w:val="TableText"/>
              <w:rPr>
                <w:rFonts w:cs="Calibri"/>
                <w:szCs w:val="18"/>
              </w:rPr>
            </w:pPr>
            <w:r w:rsidRPr="00BD16B4">
              <w:rPr>
                <w:rFonts w:cs="Calibri"/>
                <w:szCs w:val="18"/>
              </w:rPr>
              <w:t>10</w:t>
            </w:r>
            <w:r w:rsidRPr="00BD16B4">
              <w:rPr>
                <w:rStyle w:val="FootnoteReference"/>
                <w:rFonts w:cs="Calibri"/>
                <w:sz w:val="18"/>
                <w:szCs w:val="18"/>
              </w:rPr>
              <w:footnoteReference w:id="721"/>
            </w:r>
          </w:p>
        </w:tc>
        <w:tc>
          <w:tcPr>
            <w:tcW w:w="1157" w:type="dxa"/>
          </w:tcPr>
          <w:p w14:paraId="72372D1C" w14:textId="77777777" w:rsidR="00DE1BDD" w:rsidRPr="00BD16B4" w:rsidRDefault="00DE1BDD" w:rsidP="004A205F">
            <w:pPr>
              <w:pStyle w:val="TableText"/>
              <w:rPr>
                <w:rFonts w:cs="Calibri"/>
                <w:szCs w:val="18"/>
              </w:rPr>
            </w:pPr>
            <w:r w:rsidRPr="00BD16B4">
              <w:rPr>
                <w:rFonts w:cs="Calibri"/>
                <w:szCs w:val="18"/>
              </w:rPr>
              <w:t>10</w:t>
            </w:r>
          </w:p>
        </w:tc>
      </w:tr>
      <w:tr w:rsidR="00DE1BDD" w:rsidRPr="00BD16B4" w14:paraId="2D37442B" w14:textId="77777777" w:rsidTr="004A205F">
        <w:tc>
          <w:tcPr>
            <w:tcW w:w="1387" w:type="dxa"/>
          </w:tcPr>
          <w:p w14:paraId="77329792" w14:textId="77777777" w:rsidR="00DE1BDD" w:rsidRPr="00BD16B4" w:rsidRDefault="00DE1BDD" w:rsidP="004A205F">
            <w:pPr>
              <w:pStyle w:val="TableText"/>
              <w:rPr>
                <w:rFonts w:cs="Calibri"/>
                <w:szCs w:val="18"/>
              </w:rPr>
            </w:pPr>
            <w:r w:rsidRPr="00BD16B4">
              <w:rPr>
                <w:rFonts w:cs="Calibri"/>
                <w:szCs w:val="18"/>
              </w:rPr>
              <w:t>Full WWW/GOS surface network</w:t>
            </w:r>
          </w:p>
        </w:tc>
        <w:tc>
          <w:tcPr>
            <w:tcW w:w="1402" w:type="dxa"/>
          </w:tcPr>
          <w:p w14:paraId="6AEDBD83" w14:textId="77777777" w:rsidR="00DE1BDD" w:rsidRPr="00BD16B4" w:rsidRDefault="00DE1BDD" w:rsidP="004A205F">
            <w:pPr>
              <w:pStyle w:val="TableText"/>
              <w:rPr>
                <w:rFonts w:cs="Calibri"/>
                <w:szCs w:val="18"/>
              </w:rPr>
            </w:pPr>
            <w:r w:rsidRPr="00BD16B4">
              <w:rPr>
                <w:rFonts w:cs="Calibri"/>
                <w:szCs w:val="18"/>
              </w:rPr>
              <w:t>Air temperature, air pressure, wind speed and direction, water vapour, precipitation</w:t>
            </w:r>
          </w:p>
        </w:tc>
        <w:tc>
          <w:tcPr>
            <w:tcW w:w="1153" w:type="dxa"/>
          </w:tcPr>
          <w:p w14:paraId="3D8C45FF" w14:textId="77777777" w:rsidR="00DE1BDD" w:rsidRPr="00BD16B4" w:rsidRDefault="00DE1BDD" w:rsidP="004A205F">
            <w:pPr>
              <w:pStyle w:val="TableText"/>
              <w:rPr>
                <w:rFonts w:cs="Calibri"/>
                <w:szCs w:val="18"/>
              </w:rPr>
            </w:pPr>
            <w:r w:rsidRPr="00BD16B4">
              <w:rPr>
                <w:rFonts w:cs="Calibri"/>
                <w:szCs w:val="18"/>
              </w:rPr>
              <w:t>&gt;500</w:t>
            </w:r>
          </w:p>
        </w:tc>
        <w:tc>
          <w:tcPr>
            <w:tcW w:w="1153" w:type="dxa"/>
          </w:tcPr>
          <w:p w14:paraId="496627C5" w14:textId="77777777" w:rsidR="00DE1BDD" w:rsidRPr="00BD16B4" w:rsidRDefault="00DE1BDD" w:rsidP="004A205F">
            <w:pPr>
              <w:pStyle w:val="TableText"/>
              <w:rPr>
                <w:rFonts w:cs="Calibri"/>
                <w:szCs w:val="18"/>
              </w:rPr>
            </w:pPr>
            <w:r w:rsidRPr="00BD16B4">
              <w:rPr>
                <w:rFonts w:cs="Calibri"/>
                <w:szCs w:val="18"/>
              </w:rPr>
              <w:t>&gt;130</w:t>
            </w:r>
          </w:p>
        </w:tc>
        <w:tc>
          <w:tcPr>
            <w:tcW w:w="1153" w:type="dxa"/>
          </w:tcPr>
          <w:p w14:paraId="6F108C20" w14:textId="77777777" w:rsidR="00DE1BDD" w:rsidRPr="00BD16B4" w:rsidRDefault="00DE1BDD" w:rsidP="004A205F">
            <w:pPr>
              <w:pStyle w:val="TableText"/>
              <w:rPr>
                <w:rFonts w:cs="Calibri"/>
                <w:szCs w:val="18"/>
              </w:rPr>
            </w:pPr>
            <w:r w:rsidRPr="00BD16B4">
              <w:rPr>
                <w:rFonts w:cs="Calibri"/>
                <w:szCs w:val="18"/>
              </w:rPr>
              <w:t>&gt;500</w:t>
            </w:r>
          </w:p>
        </w:tc>
        <w:tc>
          <w:tcPr>
            <w:tcW w:w="1157" w:type="dxa"/>
          </w:tcPr>
          <w:p w14:paraId="68DCA67A" w14:textId="77777777" w:rsidR="00DE1BDD" w:rsidRPr="00BD16B4" w:rsidRDefault="00DE1BDD" w:rsidP="004A205F">
            <w:pPr>
              <w:pStyle w:val="TableText"/>
              <w:rPr>
                <w:rFonts w:cs="Calibri"/>
                <w:szCs w:val="18"/>
              </w:rPr>
            </w:pPr>
            <w:r w:rsidRPr="00BD16B4">
              <w:rPr>
                <w:rFonts w:cs="Calibri"/>
                <w:szCs w:val="18"/>
              </w:rPr>
              <w:t>&gt;130</w:t>
            </w:r>
          </w:p>
        </w:tc>
        <w:tc>
          <w:tcPr>
            <w:tcW w:w="1157" w:type="dxa"/>
          </w:tcPr>
          <w:p w14:paraId="73EB8416" w14:textId="77777777" w:rsidR="00DE1BDD" w:rsidRPr="00BD16B4" w:rsidRDefault="00DE1BDD" w:rsidP="004A205F">
            <w:pPr>
              <w:pStyle w:val="TableText"/>
              <w:rPr>
                <w:rFonts w:cs="Calibri"/>
                <w:szCs w:val="18"/>
              </w:rPr>
            </w:pPr>
            <w:r w:rsidRPr="00BD16B4">
              <w:rPr>
                <w:rFonts w:cs="Calibri"/>
                <w:szCs w:val="18"/>
              </w:rPr>
              <w:t>100</w:t>
            </w:r>
          </w:p>
        </w:tc>
      </w:tr>
      <w:tr w:rsidR="00DE1BDD" w:rsidRPr="00BD16B4" w14:paraId="54D8510B" w14:textId="77777777" w:rsidTr="004A205F">
        <w:tc>
          <w:tcPr>
            <w:tcW w:w="1387" w:type="dxa"/>
          </w:tcPr>
          <w:p w14:paraId="3C3EE8FB" w14:textId="77777777" w:rsidR="00DE1BDD" w:rsidRPr="00BD16B4" w:rsidRDefault="00DE1BDD" w:rsidP="004A205F">
            <w:pPr>
              <w:pStyle w:val="TableText"/>
              <w:rPr>
                <w:rFonts w:cs="Calibri"/>
                <w:szCs w:val="18"/>
              </w:rPr>
            </w:pPr>
            <w:r w:rsidRPr="00BD16B4">
              <w:rPr>
                <w:rFonts w:cs="Calibri"/>
                <w:szCs w:val="18"/>
              </w:rPr>
              <w:t>Baseline Surface Radiation Network (BSRN)</w:t>
            </w:r>
          </w:p>
        </w:tc>
        <w:tc>
          <w:tcPr>
            <w:tcW w:w="1402" w:type="dxa"/>
          </w:tcPr>
          <w:p w14:paraId="547CCA56" w14:textId="77777777" w:rsidR="00DE1BDD" w:rsidRPr="00BD16B4" w:rsidRDefault="00DE1BDD" w:rsidP="004A205F">
            <w:pPr>
              <w:pStyle w:val="TableText"/>
              <w:rPr>
                <w:rFonts w:cs="Calibri"/>
                <w:szCs w:val="18"/>
              </w:rPr>
            </w:pPr>
            <w:r w:rsidRPr="00BD16B4">
              <w:rPr>
                <w:rFonts w:cs="Calibri"/>
                <w:szCs w:val="18"/>
              </w:rPr>
              <w:t>Surface radiation</w:t>
            </w:r>
          </w:p>
        </w:tc>
        <w:tc>
          <w:tcPr>
            <w:tcW w:w="1153" w:type="dxa"/>
          </w:tcPr>
          <w:p w14:paraId="526B2753" w14:textId="77777777" w:rsidR="00DE1BDD" w:rsidRPr="00BD16B4" w:rsidRDefault="00DE1BDD" w:rsidP="004A205F">
            <w:pPr>
              <w:pStyle w:val="TableText"/>
              <w:rPr>
                <w:rFonts w:cs="Calibri"/>
                <w:szCs w:val="18"/>
              </w:rPr>
            </w:pPr>
            <w:r w:rsidRPr="00BD16B4">
              <w:rPr>
                <w:rFonts w:cs="Calibri"/>
                <w:szCs w:val="18"/>
              </w:rPr>
              <w:t>1</w:t>
            </w:r>
          </w:p>
        </w:tc>
        <w:tc>
          <w:tcPr>
            <w:tcW w:w="1153" w:type="dxa"/>
          </w:tcPr>
          <w:p w14:paraId="73D06C12" w14:textId="77777777" w:rsidR="00DE1BDD" w:rsidRPr="00BD16B4" w:rsidRDefault="00DE1BDD" w:rsidP="004A205F">
            <w:pPr>
              <w:pStyle w:val="TableText"/>
              <w:rPr>
                <w:rFonts w:cs="Calibri"/>
                <w:szCs w:val="18"/>
              </w:rPr>
            </w:pPr>
            <w:r w:rsidRPr="00BD16B4">
              <w:rPr>
                <w:rFonts w:cs="Calibri"/>
                <w:szCs w:val="18"/>
              </w:rPr>
              <w:t>1</w:t>
            </w:r>
          </w:p>
        </w:tc>
        <w:tc>
          <w:tcPr>
            <w:tcW w:w="1153" w:type="dxa"/>
          </w:tcPr>
          <w:p w14:paraId="1DCEF556" w14:textId="77777777" w:rsidR="00DE1BDD" w:rsidRPr="00BD16B4" w:rsidRDefault="00DE1BDD" w:rsidP="004A205F">
            <w:pPr>
              <w:pStyle w:val="TableText"/>
              <w:rPr>
                <w:rFonts w:cs="Calibri"/>
                <w:szCs w:val="18"/>
              </w:rPr>
            </w:pPr>
            <w:r w:rsidRPr="00BD16B4">
              <w:rPr>
                <w:rFonts w:cs="Calibri"/>
                <w:szCs w:val="18"/>
              </w:rPr>
              <w:t>1</w:t>
            </w:r>
          </w:p>
        </w:tc>
        <w:tc>
          <w:tcPr>
            <w:tcW w:w="1157" w:type="dxa"/>
          </w:tcPr>
          <w:p w14:paraId="27A6B564" w14:textId="77777777" w:rsidR="00DE1BDD" w:rsidRPr="00BD16B4" w:rsidRDefault="00DE1BDD" w:rsidP="004A205F">
            <w:pPr>
              <w:pStyle w:val="TableText"/>
              <w:rPr>
                <w:rFonts w:cs="Calibri"/>
                <w:szCs w:val="18"/>
              </w:rPr>
            </w:pPr>
            <w:r w:rsidRPr="00BD16B4">
              <w:rPr>
                <w:rFonts w:cs="Calibri"/>
                <w:szCs w:val="18"/>
              </w:rPr>
              <w:t>1</w:t>
            </w:r>
          </w:p>
        </w:tc>
        <w:tc>
          <w:tcPr>
            <w:tcW w:w="1157" w:type="dxa"/>
          </w:tcPr>
          <w:p w14:paraId="41898C4E" w14:textId="77777777" w:rsidR="00DE1BDD" w:rsidRPr="00BD16B4" w:rsidRDefault="00DE1BDD" w:rsidP="004A205F">
            <w:pPr>
              <w:pStyle w:val="TableText"/>
              <w:rPr>
                <w:rFonts w:cs="Calibri"/>
                <w:szCs w:val="18"/>
              </w:rPr>
            </w:pPr>
            <w:r w:rsidRPr="00BD16B4">
              <w:rPr>
                <w:rFonts w:cs="Calibri"/>
                <w:szCs w:val="18"/>
              </w:rPr>
              <w:t>1</w:t>
            </w:r>
          </w:p>
        </w:tc>
      </w:tr>
      <w:tr w:rsidR="00DE1BDD" w:rsidRPr="00BD16B4" w14:paraId="02ABBB9D" w14:textId="77777777" w:rsidTr="004A205F">
        <w:tc>
          <w:tcPr>
            <w:tcW w:w="1387" w:type="dxa"/>
          </w:tcPr>
          <w:p w14:paraId="09AA027E" w14:textId="77777777" w:rsidR="00DE1BDD" w:rsidRPr="00BD16B4" w:rsidRDefault="00DE1BDD" w:rsidP="004A205F">
            <w:pPr>
              <w:pStyle w:val="TableText"/>
              <w:rPr>
                <w:rFonts w:cs="Calibri"/>
                <w:szCs w:val="18"/>
              </w:rPr>
            </w:pPr>
            <w:r w:rsidRPr="00BD16B4">
              <w:rPr>
                <w:rFonts w:cs="Calibri"/>
                <w:szCs w:val="18"/>
              </w:rPr>
              <w:t>Solar radiation and radiation balance data</w:t>
            </w:r>
          </w:p>
        </w:tc>
        <w:tc>
          <w:tcPr>
            <w:tcW w:w="1402" w:type="dxa"/>
          </w:tcPr>
          <w:p w14:paraId="5A2E5A0A" w14:textId="77777777" w:rsidR="00DE1BDD" w:rsidRPr="00BD16B4" w:rsidRDefault="00DE1BDD" w:rsidP="004A205F">
            <w:pPr>
              <w:pStyle w:val="TableText"/>
              <w:rPr>
                <w:rFonts w:cs="Calibri"/>
                <w:szCs w:val="18"/>
              </w:rPr>
            </w:pPr>
            <w:r w:rsidRPr="00BD16B4">
              <w:rPr>
                <w:rFonts w:cs="Calibri"/>
                <w:szCs w:val="18"/>
              </w:rPr>
              <w:t>Surface radiation</w:t>
            </w:r>
          </w:p>
        </w:tc>
        <w:tc>
          <w:tcPr>
            <w:tcW w:w="1153" w:type="dxa"/>
          </w:tcPr>
          <w:p w14:paraId="3F41094D" w14:textId="77777777" w:rsidR="00DE1BDD" w:rsidRPr="00BD16B4" w:rsidRDefault="00DE1BDD" w:rsidP="004A205F">
            <w:pPr>
              <w:pStyle w:val="TableText"/>
              <w:rPr>
                <w:rFonts w:cs="Calibri"/>
                <w:szCs w:val="18"/>
              </w:rPr>
            </w:pPr>
            <w:r w:rsidRPr="00BD16B4">
              <w:rPr>
                <w:rFonts w:cs="Calibri"/>
                <w:szCs w:val="18"/>
              </w:rPr>
              <w:t>&gt;100</w:t>
            </w:r>
          </w:p>
        </w:tc>
        <w:tc>
          <w:tcPr>
            <w:tcW w:w="1153" w:type="dxa"/>
          </w:tcPr>
          <w:p w14:paraId="3D0E9661" w14:textId="77777777" w:rsidR="00DE1BDD" w:rsidRPr="00BD16B4" w:rsidRDefault="00DE1BDD" w:rsidP="004A205F">
            <w:pPr>
              <w:pStyle w:val="TableText"/>
              <w:rPr>
                <w:rFonts w:cs="Calibri"/>
                <w:szCs w:val="18"/>
              </w:rPr>
            </w:pPr>
            <w:r w:rsidRPr="00BD16B4">
              <w:rPr>
                <w:rFonts w:cs="Calibri"/>
                <w:szCs w:val="18"/>
              </w:rPr>
              <w:t>19</w:t>
            </w:r>
          </w:p>
        </w:tc>
        <w:tc>
          <w:tcPr>
            <w:tcW w:w="1153" w:type="dxa"/>
          </w:tcPr>
          <w:p w14:paraId="73ABE50C" w14:textId="77777777" w:rsidR="00DE1BDD" w:rsidRPr="00BD16B4" w:rsidRDefault="00DE1BDD" w:rsidP="004A205F">
            <w:pPr>
              <w:pStyle w:val="TableText"/>
              <w:rPr>
                <w:rFonts w:cs="Calibri"/>
                <w:szCs w:val="18"/>
              </w:rPr>
            </w:pPr>
            <w:r w:rsidRPr="00BD16B4">
              <w:rPr>
                <w:rFonts w:cs="Calibri"/>
                <w:szCs w:val="18"/>
              </w:rPr>
              <w:t>&gt;100</w:t>
            </w:r>
          </w:p>
        </w:tc>
        <w:tc>
          <w:tcPr>
            <w:tcW w:w="1157" w:type="dxa"/>
          </w:tcPr>
          <w:p w14:paraId="247EE716" w14:textId="77777777" w:rsidR="00DE1BDD" w:rsidRPr="00BD16B4" w:rsidRDefault="00DE1BDD" w:rsidP="004A205F">
            <w:pPr>
              <w:pStyle w:val="TableText"/>
              <w:rPr>
                <w:rFonts w:cs="Calibri"/>
                <w:szCs w:val="18"/>
              </w:rPr>
            </w:pPr>
            <w:r w:rsidRPr="00BD16B4">
              <w:rPr>
                <w:rFonts w:cs="Calibri"/>
                <w:szCs w:val="18"/>
              </w:rPr>
              <w:t>10</w:t>
            </w:r>
          </w:p>
        </w:tc>
        <w:tc>
          <w:tcPr>
            <w:tcW w:w="1157" w:type="dxa"/>
          </w:tcPr>
          <w:p w14:paraId="3373F5DC" w14:textId="77777777" w:rsidR="00DE1BDD" w:rsidRPr="00BD16B4" w:rsidRDefault="00DE1BDD" w:rsidP="004A205F">
            <w:pPr>
              <w:pStyle w:val="TableText"/>
              <w:rPr>
                <w:rFonts w:cs="Calibri"/>
                <w:szCs w:val="18"/>
              </w:rPr>
            </w:pPr>
            <w:r w:rsidRPr="00BD16B4">
              <w:rPr>
                <w:rFonts w:cs="Calibri"/>
                <w:szCs w:val="18"/>
              </w:rPr>
              <w:t>10</w:t>
            </w:r>
          </w:p>
        </w:tc>
      </w:tr>
      <w:tr w:rsidR="00DE1BDD" w:rsidRPr="00BD16B4" w14:paraId="54CD6FE7" w14:textId="77777777" w:rsidTr="004A205F">
        <w:tc>
          <w:tcPr>
            <w:tcW w:w="1387" w:type="dxa"/>
          </w:tcPr>
          <w:p w14:paraId="11491C7A" w14:textId="77777777" w:rsidR="00DE1BDD" w:rsidRPr="00BD16B4" w:rsidRDefault="00DE1BDD" w:rsidP="004A205F">
            <w:pPr>
              <w:pStyle w:val="TableText"/>
              <w:rPr>
                <w:rFonts w:cs="Calibri"/>
                <w:szCs w:val="18"/>
              </w:rPr>
            </w:pPr>
            <w:r w:rsidRPr="00BD16B4">
              <w:rPr>
                <w:rFonts w:cs="Calibri"/>
                <w:szCs w:val="18"/>
              </w:rPr>
              <w:t>Ocean drifting buoys</w:t>
            </w:r>
          </w:p>
        </w:tc>
        <w:tc>
          <w:tcPr>
            <w:tcW w:w="1402" w:type="dxa"/>
          </w:tcPr>
          <w:p w14:paraId="3CD62EC4" w14:textId="77777777" w:rsidR="00DE1BDD" w:rsidRPr="00BD16B4" w:rsidRDefault="00DE1BDD" w:rsidP="004A205F">
            <w:pPr>
              <w:pStyle w:val="TableText"/>
              <w:rPr>
                <w:rFonts w:cs="Calibri"/>
                <w:szCs w:val="18"/>
              </w:rPr>
            </w:pPr>
            <w:r w:rsidRPr="00BD16B4">
              <w:rPr>
                <w:rFonts w:cs="Calibri"/>
                <w:szCs w:val="18"/>
              </w:rPr>
              <w:t>Air temperature, air pressure</w:t>
            </w:r>
          </w:p>
        </w:tc>
        <w:tc>
          <w:tcPr>
            <w:tcW w:w="1153" w:type="dxa"/>
          </w:tcPr>
          <w:p w14:paraId="7FCCF9C1" w14:textId="77777777" w:rsidR="00DE1BDD" w:rsidRPr="00BD16B4" w:rsidRDefault="00DE1BDD" w:rsidP="004A205F">
            <w:pPr>
              <w:pStyle w:val="TableText"/>
              <w:rPr>
                <w:rFonts w:cs="Calibri"/>
                <w:szCs w:val="18"/>
              </w:rPr>
            </w:pPr>
            <w:r w:rsidRPr="00BD16B4">
              <w:rPr>
                <w:rFonts w:cs="Calibri"/>
                <w:szCs w:val="18"/>
              </w:rPr>
              <w:t>20</w:t>
            </w:r>
          </w:p>
        </w:tc>
        <w:tc>
          <w:tcPr>
            <w:tcW w:w="1153" w:type="dxa"/>
          </w:tcPr>
          <w:p w14:paraId="7596582C" w14:textId="77777777" w:rsidR="00DE1BDD" w:rsidRPr="00BD16B4" w:rsidRDefault="00DE1BDD" w:rsidP="004A205F">
            <w:pPr>
              <w:pStyle w:val="TableText"/>
              <w:rPr>
                <w:rFonts w:cs="Calibri"/>
                <w:szCs w:val="18"/>
              </w:rPr>
            </w:pPr>
            <w:r w:rsidRPr="00BD16B4">
              <w:rPr>
                <w:rFonts w:cs="Calibri"/>
                <w:szCs w:val="18"/>
              </w:rPr>
              <w:t>20</w:t>
            </w:r>
          </w:p>
        </w:tc>
        <w:tc>
          <w:tcPr>
            <w:tcW w:w="1153" w:type="dxa"/>
          </w:tcPr>
          <w:p w14:paraId="23C181F4" w14:textId="77777777" w:rsidR="00DE1BDD" w:rsidRPr="00BD16B4" w:rsidRDefault="00DE1BDD" w:rsidP="004A205F">
            <w:pPr>
              <w:pStyle w:val="TableText"/>
              <w:rPr>
                <w:rFonts w:cs="Calibri"/>
                <w:szCs w:val="18"/>
              </w:rPr>
            </w:pPr>
            <w:r w:rsidRPr="00BD16B4">
              <w:rPr>
                <w:rFonts w:cs="Calibri"/>
                <w:szCs w:val="18"/>
              </w:rPr>
              <w:t>20</w:t>
            </w:r>
          </w:p>
        </w:tc>
        <w:tc>
          <w:tcPr>
            <w:tcW w:w="1157" w:type="dxa"/>
          </w:tcPr>
          <w:p w14:paraId="51A32BC1" w14:textId="77777777" w:rsidR="00DE1BDD" w:rsidRPr="00BD16B4" w:rsidRDefault="00DE1BDD" w:rsidP="004A205F">
            <w:pPr>
              <w:pStyle w:val="TableText"/>
              <w:rPr>
                <w:rFonts w:cs="Calibri"/>
                <w:szCs w:val="18"/>
              </w:rPr>
            </w:pPr>
            <w:r w:rsidRPr="00BD16B4">
              <w:rPr>
                <w:rFonts w:cs="Calibri"/>
                <w:szCs w:val="18"/>
              </w:rPr>
              <w:t>20</w:t>
            </w:r>
          </w:p>
        </w:tc>
        <w:tc>
          <w:tcPr>
            <w:tcW w:w="1157" w:type="dxa"/>
          </w:tcPr>
          <w:p w14:paraId="7BD27B34" w14:textId="77777777" w:rsidR="00DE1BDD" w:rsidRPr="00BD16B4" w:rsidRDefault="00DE1BDD" w:rsidP="004A205F">
            <w:pPr>
              <w:pStyle w:val="TableText"/>
              <w:rPr>
                <w:rFonts w:cs="Calibri"/>
                <w:szCs w:val="18"/>
              </w:rPr>
            </w:pPr>
            <w:r w:rsidRPr="00BD16B4">
              <w:rPr>
                <w:rFonts w:cs="Calibri"/>
                <w:szCs w:val="18"/>
              </w:rPr>
              <w:t>20</w:t>
            </w:r>
          </w:p>
        </w:tc>
      </w:tr>
      <w:tr w:rsidR="00DE1BDD" w:rsidRPr="00BD16B4" w14:paraId="565665EF" w14:textId="77777777" w:rsidTr="004A205F">
        <w:tc>
          <w:tcPr>
            <w:tcW w:w="1387" w:type="dxa"/>
          </w:tcPr>
          <w:p w14:paraId="684ACE0D" w14:textId="77777777" w:rsidR="00DE1BDD" w:rsidRPr="00BD16B4" w:rsidRDefault="00DE1BDD" w:rsidP="004A205F">
            <w:pPr>
              <w:pStyle w:val="TableText"/>
              <w:rPr>
                <w:rFonts w:cs="Calibri"/>
                <w:szCs w:val="18"/>
              </w:rPr>
            </w:pPr>
            <w:r w:rsidRPr="00BD16B4">
              <w:rPr>
                <w:rFonts w:cs="Calibri"/>
                <w:szCs w:val="18"/>
              </w:rPr>
              <w:t>Moored buoys</w:t>
            </w:r>
          </w:p>
        </w:tc>
        <w:tc>
          <w:tcPr>
            <w:tcW w:w="1402" w:type="dxa"/>
          </w:tcPr>
          <w:p w14:paraId="18CFC076" w14:textId="77777777" w:rsidR="00DE1BDD" w:rsidRPr="00BD16B4" w:rsidRDefault="00DE1BDD" w:rsidP="004A205F">
            <w:pPr>
              <w:pStyle w:val="TableText"/>
              <w:rPr>
                <w:rFonts w:cs="Calibri"/>
                <w:szCs w:val="18"/>
              </w:rPr>
            </w:pPr>
            <w:r w:rsidRPr="00BD16B4">
              <w:rPr>
                <w:rFonts w:cs="Calibri"/>
                <w:szCs w:val="18"/>
              </w:rPr>
              <w:t>Air temperature, air pressure</w:t>
            </w:r>
          </w:p>
        </w:tc>
        <w:tc>
          <w:tcPr>
            <w:tcW w:w="1153" w:type="dxa"/>
          </w:tcPr>
          <w:p w14:paraId="75172C61" w14:textId="77777777" w:rsidR="00DE1BDD" w:rsidRPr="00BD16B4" w:rsidRDefault="00DE1BDD" w:rsidP="004A205F">
            <w:pPr>
              <w:pStyle w:val="TableText"/>
              <w:rPr>
                <w:rFonts w:cs="Calibri"/>
                <w:szCs w:val="18"/>
              </w:rPr>
            </w:pPr>
            <w:r w:rsidRPr="00BD16B4">
              <w:rPr>
                <w:rFonts w:cs="Calibri"/>
                <w:szCs w:val="18"/>
              </w:rPr>
              <w:t>0</w:t>
            </w:r>
          </w:p>
        </w:tc>
        <w:tc>
          <w:tcPr>
            <w:tcW w:w="1153" w:type="dxa"/>
          </w:tcPr>
          <w:p w14:paraId="150E8A50" w14:textId="77777777" w:rsidR="00DE1BDD" w:rsidRPr="00BD16B4" w:rsidRDefault="00DE1BDD" w:rsidP="004A205F">
            <w:pPr>
              <w:pStyle w:val="TableText"/>
              <w:rPr>
                <w:rFonts w:cs="Calibri"/>
                <w:szCs w:val="18"/>
              </w:rPr>
            </w:pPr>
            <w:r w:rsidRPr="00BD16B4">
              <w:rPr>
                <w:rFonts w:cs="Calibri"/>
                <w:szCs w:val="18"/>
              </w:rPr>
              <w:t>0</w:t>
            </w:r>
          </w:p>
        </w:tc>
        <w:tc>
          <w:tcPr>
            <w:tcW w:w="1153" w:type="dxa"/>
          </w:tcPr>
          <w:p w14:paraId="69DCE950" w14:textId="77777777" w:rsidR="00DE1BDD" w:rsidRPr="00BD16B4" w:rsidRDefault="00DE1BDD" w:rsidP="004A205F">
            <w:pPr>
              <w:pStyle w:val="TableText"/>
              <w:rPr>
                <w:rFonts w:cs="Calibri"/>
                <w:szCs w:val="18"/>
              </w:rPr>
            </w:pPr>
            <w:r w:rsidRPr="00BD16B4">
              <w:rPr>
                <w:rFonts w:cs="Calibri"/>
                <w:szCs w:val="18"/>
              </w:rPr>
              <w:t>0</w:t>
            </w:r>
          </w:p>
        </w:tc>
        <w:tc>
          <w:tcPr>
            <w:tcW w:w="1157" w:type="dxa"/>
          </w:tcPr>
          <w:p w14:paraId="5AEFA27D" w14:textId="77777777" w:rsidR="00DE1BDD" w:rsidRPr="00BD16B4" w:rsidRDefault="00DE1BDD" w:rsidP="004A205F">
            <w:pPr>
              <w:pStyle w:val="TableText"/>
              <w:rPr>
                <w:rFonts w:cs="Calibri"/>
                <w:szCs w:val="18"/>
              </w:rPr>
            </w:pPr>
            <w:r w:rsidRPr="00BD16B4">
              <w:rPr>
                <w:rFonts w:cs="Calibri"/>
                <w:szCs w:val="18"/>
              </w:rPr>
              <w:t>0</w:t>
            </w:r>
          </w:p>
        </w:tc>
        <w:tc>
          <w:tcPr>
            <w:tcW w:w="1157" w:type="dxa"/>
          </w:tcPr>
          <w:p w14:paraId="36397BFD" w14:textId="77777777" w:rsidR="00DE1BDD" w:rsidRPr="00BD16B4" w:rsidRDefault="00DE1BDD" w:rsidP="004A205F">
            <w:pPr>
              <w:pStyle w:val="TableText"/>
              <w:rPr>
                <w:rFonts w:cs="Calibri"/>
                <w:szCs w:val="18"/>
              </w:rPr>
            </w:pPr>
            <w:r w:rsidRPr="00BD16B4">
              <w:rPr>
                <w:rFonts w:cs="Calibri"/>
                <w:szCs w:val="18"/>
              </w:rPr>
              <w:t>0</w:t>
            </w:r>
          </w:p>
        </w:tc>
      </w:tr>
      <w:tr w:rsidR="00DE1BDD" w:rsidRPr="00BD16B4" w14:paraId="09ED6FC0" w14:textId="77777777" w:rsidTr="004A205F">
        <w:tc>
          <w:tcPr>
            <w:tcW w:w="1387" w:type="dxa"/>
          </w:tcPr>
          <w:p w14:paraId="4B917789" w14:textId="77777777" w:rsidR="00DE1BDD" w:rsidRPr="00BD16B4" w:rsidRDefault="00DE1BDD" w:rsidP="004A205F">
            <w:pPr>
              <w:pStyle w:val="TableText"/>
              <w:rPr>
                <w:rFonts w:cs="Calibri"/>
                <w:szCs w:val="18"/>
              </w:rPr>
            </w:pPr>
            <w:r w:rsidRPr="00BD16B4">
              <w:rPr>
                <w:rFonts w:cs="Calibri"/>
                <w:szCs w:val="18"/>
              </w:rPr>
              <w:t>Voluntary Observing Ship Climate Project (VOSClim)</w:t>
            </w:r>
            <w:r w:rsidRPr="00BD16B4">
              <w:rPr>
                <w:rStyle w:val="FootnoteReference"/>
                <w:rFonts w:cs="Calibri"/>
                <w:sz w:val="18"/>
                <w:szCs w:val="18"/>
              </w:rPr>
              <w:footnoteReference w:id="722"/>
            </w:r>
          </w:p>
        </w:tc>
        <w:tc>
          <w:tcPr>
            <w:tcW w:w="1402" w:type="dxa"/>
          </w:tcPr>
          <w:p w14:paraId="26A3AA53" w14:textId="77777777" w:rsidR="00DE1BDD" w:rsidRPr="00BD16B4" w:rsidRDefault="00DE1BDD" w:rsidP="004A205F">
            <w:pPr>
              <w:pStyle w:val="TableText"/>
              <w:rPr>
                <w:rFonts w:cs="Calibri"/>
                <w:szCs w:val="18"/>
              </w:rPr>
            </w:pPr>
            <w:r w:rsidRPr="00BD16B4">
              <w:rPr>
                <w:rFonts w:cs="Calibri"/>
                <w:szCs w:val="18"/>
              </w:rPr>
              <w:t>Air temperature, air pressure, wind speed and direction, water vapour</w:t>
            </w:r>
          </w:p>
        </w:tc>
        <w:tc>
          <w:tcPr>
            <w:tcW w:w="1153" w:type="dxa"/>
          </w:tcPr>
          <w:p w14:paraId="6FC9E6AD" w14:textId="77777777" w:rsidR="00DE1BDD" w:rsidRPr="00BD16B4" w:rsidRDefault="00DE1BDD" w:rsidP="004A205F">
            <w:pPr>
              <w:pStyle w:val="TableText"/>
              <w:rPr>
                <w:rFonts w:cs="Calibri"/>
                <w:szCs w:val="18"/>
              </w:rPr>
            </w:pPr>
            <w:r w:rsidRPr="00BD16B4">
              <w:rPr>
                <w:rFonts w:cs="Calibri"/>
                <w:szCs w:val="18"/>
              </w:rPr>
              <w:t>0</w:t>
            </w:r>
          </w:p>
        </w:tc>
        <w:tc>
          <w:tcPr>
            <w:tcW w:w="1153" w:type="dxa"/>
          </w:tcPr>
          <w:p w14:paraId="2FA3615A" w14:textId="77777777" w:rsidR="00DE1BDD" w:rsidRPr="00BD16B4" w:rsidRDefault="00DE1BDD" w:rsidP="004A205F">
            <w:pPr>
              <w:pStyle w:val="TableText"/>
              <w:rPr>
                <w:rFonts w:cs="Calibri"/>
                <w:szCs w:val="18"/>
              </w:rPr>
            </w:pPr>
            <w:r w:rsidRPr="00BD16B4">
              <w:rPr>
                <w:rFonts w:cs="Calibri"/>
                <w:szCs w:val="18"/>
              </w:rPr>
              <w:t>0</w:t>
            </w:r>
          </w:p>
        </w:tc>
        <w:tc>
          <w:tcPr>
            <w:tcW w:w="1153" w:type="dxa"/>
          </w:tcPr>
          <w:p w14:paraId="29DA7FC1" w14:textId="77777777" w:rsidR="00DE1BDD" w:rsidRPr="00BD16B4" w:rsidRDefault="00DE1BDD" w:rsidP="004A205F">
            <w:pPr>
              <w:pStyle w:val="TableText"/>
              <w:rPr>
                <w:rFonts w:cs="Calibri"/>
                <w:szCs w:val="18"/>
              </w:rPr>
            </w:pPr>
            <w:r w:rsidRPr="00BD16B4">
              <w:rPr>
                <w:rFonts w:cs="Calibri"/>
                <w:szCs w:val="18"/>
              </w:rPr>
              <w:t>0</w:t>
            </w:r>
          </w:p>
        </w:tc>
        <w:tc>
          <w:tcPr>
            <w:tcW w:w="1157" w:type="dxa"/>
          </w:tcPr>
          <w:p w14:paraId="3E63E295" w14:textId="77777777" w:rsidR="00DE1BDD" w:rsidRPr="00BD16B4" w:rsidRDefault="00DE1BDD" w:rsidP="004A205F">
            <w:pPr>
              <w:pStyle w:val="TableText"/>
              <w:rPr>
                <w:rFonts w:cs="Calibri"/>
                <w:szCs w:val="18"/>
              </w:rPr>
            </w:pPr>
            <w:r w:rsidRPr="00BD16B4">
              <w:rPr>
                <w:rFonts w:cs="Calibri"/>
                <w:szCs w:val="18"/>
              </w:rPr>
              <w:t>0</w:t>
            </w:r>
          </w:p>
        </w:tc>
        <w:tc>
          <w:tcPr>
            <w:tcW w:w="1157" w:type="dxa"/>
          </w:tcPr>
          <w:p w14:paraId="18F8554F" w14:textId="77777777" w:rsidR="00DE1BDD" w:rsidRPr="00BD16B4" w:rsidRDefault="00DE1BDD" w:rsidP="004A205F">
            <w:pPr>
              <w:pStyle w:val="TableText"/>
              <w:rPr>
                <w:rFonts w:cs="Calibri"/>
                <w:szCs w:val="18"/>
              </w:rPr>
            </w:pPr>
            <w:r w:rsidRPr="00BD16B4">
              <w:rPr>
                <w:rFonts w:cs="Calibri"/>
                <w:szCs w:val="18"/>
              </w:rPr>
              <w:t>0</w:t>
            </w:r>
          </w:p>
        </w:tc>
      </w:tr>
      <w:tr w:rsidR="00DE1BDD" w:rsidRPr="00BD16B4" w14:paraId="135D6B49" w14:textId="77777777" w:rsidTr="004A205F">
        <w:tc>
          <w:tcPr>
            <w:tcW w:w="1387" w:type="dxa"/>
            <w:vMerge w:val="restart"/>
          </w:tcPr>
          <w:p w14:paraId="74E4C721" w14:textId="77777777" w:rsidR="00DE1BDD" w:rsidRPr="00BD16B4" w:rsidRDefault="00DE1BDD" w:rsidP="004A205F">
            <w:pPr>
              <w:pStyle w:val="TableText"/>
              <w:rPr>
                <w:rFonts w:cs="Calibri"/>
                <w:szCs w:val="18"/>
              </w:rPr>
            </w:pPr>
            <w:r w:rsidRPr="00BD16B4">
              <w:rPr>
                <w:rFonts w:cs="Calibri"/>
                <w:szCs w:val="18"/>
              </w:rPr>
              <w:t>Ocean Reference Mooring Network and sites on small isolated islands</w:t>
            </w:r>
          </w:p>
        </w:tc>
        <w:tc>
          <w:tcPr>
            <w:tcW w:w="1402" w:type="dxa"/>
          </w:tcPr>
          <w:p w14:paraId="07B8278A" w14:textId="77777777" w:rsidR="00DE1BDD" w:rsidRPr="00BD16B4" w:rsidRDefault="00DE1BDD" w:rsidP="004A205F">
            <w:pPr>
              <w:pStyle w:val="TableText"/>
              <w:rPr>
                <w:rFonts w:cs="Calibri"/>
                <w:szCs w:val="18"/>
              </w:rPr>
            </w:pPr>
            <w:r w:rsidRPr="00BD16B4">
              <w:rPr>
                <w:rFonts w:cs="Calibri"/>
                <w:szCs w:val="18"/>
              </w:rPr>
              <w:t>Air temperature, wind speed and direction, air pressure</w:t>
            </w:r>
          </w:p>
        </w:tc>
        <w:tc>
          <w:tcPr>
            <w:tcW w:w="1153" w:type="dxa"/>
          </w:tcPr>
          <w:p w14:paraId="3ED19800" w14:textId="77777777" w:rsidR="00DE1BDD" w:rsidRPr="00BD16B4" w:rsidRDefault="00DE1BDD" w:rsidP="004A205F">
            <w:pPr>
              <w:pStyle w:val="TableText"/>
              <w:rPr>
                <w:rFonts w:cs="Calibri"/>
                <w:szCs w:val="18"/>
              </w:rPr>
            </w:pPr>
            <w:r w:rsidRPr="00BD16B4">
              <w:rPr>
                <w:rFonts w:cs="Calibri"/>
                <w:szCs w:val="18"/>
              </w:rPr>
              <w:t>8</w:t>
            </w:r>
          </w:p>
        </w:tc>
        <w:tc>
          <w:tcPr>
            <w:tcW w:w="1153" w:type="dxa"/>
          </w:tcPr>
          <w:p w14:paraId="09C0FAB1" w14:textId="77777777" w:rsidR="00DE1BDD" w:rsidRPr="00BD16B4" w:rsidRDefault="00DE1BDD" w:rsidP="004A205F">
            <w:pPr>
              <w:pStyle w:val="TableText"/>
              <w:rPr>
                <w:rFonts w:cs="Calibri"/>
                <w:szCs w:val="18"/>
              </w:rPr>
            </w:pPr>
            <w:r w:rsidRPr="00BD16B4">
              <w:rPr>
                <w:rFonts w:cs="Calibri"/>
                <w:szCs w:val="18"/>
              </w:rPr>
              <w:t>8</w:t>
            </w:r>
          </w:p>
        </w:tc>
        <w:tc>
          <w:tcPr>
            <w:tcW w:w="1153" w:type="dxa"/>
          </w:tcPr>
          <w:p w14:paraId="4B5DFEBD" w14:textId="77777777" w:rsidR="00DE1BDD" w:rsidRPr="00BD16B4" w:rsidRDefault="00DE1BDD" w:rsidP="004A205F">
            <w:pPr>
              <w:pStyle w:val="TableText"/>
              <w:rPr>
                <w:rFonts w:cs="Calibri"/>
                <w:szCs w:val="18"/>
              </w:rPr>
            </w:pPr>
            <w:r w:rsidRPr="00BD16B4">
              <w:rPr>
                <w:rFonts w:cs="Calibri"/>
                <w:szCs w:val="18"/>
              </w:rPr>
              <w:t>8</w:t>
            </w:r>
          </w:p>
        </w:tc>
        <w:tc>
          <w:tcPr>
            <w:tcW w:w="1157" w:type="dxa"/>
          </w:tcPr>
          <w:p w14:paraId="70027977" w14:textId="77777777" w:rsidR="00DE1BDD" w:rsidRPr="00BD16B4" w:rsidRDefault="00DE1BDD" w:rsidP="004A205F">
            <w:pPr>
              <w:pStyle w:val="TableText"/>
              <w:rPr>
                <w:rFonts w:cs="Calibri"/>
                <w:szCs w:val="18"/>
              </w:rPr>
            </w:pPr>
            <w:r w:rsidRPr="00BD16B4">
              <w:rPr>
                <w:rFonts w:cs="Calibri"/>
                <w:szCs w:val="18"/>
              </w:rPr>
              <w:t>8</w:t>
            </w:r>
          </w:p>
        </w:tc>
        <w:tc>
          <w:tcPr>
            <w:tcW w:w="1157" w:type="dxa"/>
          </w:tcPr>
          <w:p w14:paraId="29FABE25" w14:textId="77777777" w:rsidR="00DE1BDD" w:rsidRPr="00BD16B4" w:rsidRDefault="00DE1BDD" w:rsidP="004A205F">
            <w:pPr>
              <w:pStyle w:val="TableText"/>
              <w:rPr>
                <w:rFonts w:cs="Calibri"/>
                <w:szCs w:val="18"/>
              </w:rPr>
            </w:pPr>
            <w:r w:rsidRPr="00BD16B4">
              <w:rPr>
                <w:rFonts w:cs="Calibri"/>
                <w:szCs w:val="18"/>
              </w:rPr>
              <w:t>8</w:t>
            </w:r>
          </w:p>
        </w:tc>
      </w:tr>
      <w:tr w:rsidR="00DE1BDD" w:rsidRPr="00BD16B4" w14:paraId="6F276A8E" w14:textId="77777777" w:rsidTr="004A205F">
        <w:tc>
          <w:tcPr>
            <w:tcW w:w="1387" w:type="dxa"/>
            <w:vMerge/>
          </w:tcPr>
          <w:p w14:paraId="01E97AD5" w14:textId="77777777" w:rsidR="00DE1BDD" w:rsidRPr="00BD16B4" w:rsidRDefault="00DE1BDD" w:rsidP="004A205F">
            <w:pPr>
              <w:pStyle w:val="TableText"/>
              <w:rPr>
                <w:rFonts w:cs="Calibri"/>
                <w:szCs w:val="18"/>
              </w:rPr>
            </w:pPr>
          </w:p>
        </w:tc>
        <w:tc>
          <w:tcPr>
            <w:tcW w:w="1402" w:type="dxa"/>
          </w:tcPr>
          <w:p w14:paraId="7519F067" w14:textId="77777777" w:rsidR="00DE1BDD" w:rsidRPr="00BD16B4" w:rsidRDefault="00DE1BDD" w:rsidP="004A205F">
            <w:pPr>
              <w:pStyle w:val="TableText"/>
              <w:rPr>
                <w:rFonts w:cs="Calibri"/>
                <w:szCs w:val="18"/>
              </w:rPr>
            </w:pPr>
            <w:r w:rsidRPr="00BD16B4">
              <w:rPr>
                <w:rFonts w:cs="Calibri"/>
                <w:szCs w:val="18"/>
              </w:rPr>
              <w:t>Precipitation</w:t>
            </w:r>
          </w:p>
        </w:tc>
        <w:tc>
          <w:tcPr>
            <w:tcW w:w="1153" w:type="dxa"/>
          </w:tcPr>
          <w:p w14:paraId="7F289401" w14:textId="77777777" w:rsidR="00DE1BDD" w:rsidRPr="00BD16B4" w:rsidRDefault="00DE1BDD" w:rsidP="004A205F">
            <w:pPr>
              <w:pStyle w:val="TableText"/>
              <w:rPr>
                <w:rFonts w:cs="Calibri"/>
                <w:szCs w:val="18"/>
              </w:rPr>
            </w:pPr>
            <w:r w:rsidRPr="00BD16B4">
              <w:rPr>
                <w:rFonts w:cs="Calibri"/>
                <w:szCs w:val="18"/>
              </w:rPr>
              <w:t>7</w:t>
            </w:r>
          </w:p>
        </w:tc>
        <w:tc>
          <w:tcPr>
            <w:tcW w:w="1153" w:type="dxa"/>
          </w:tcPr>
          <w:p w14:paraId="52C2F38E" w14:textId="77777777" w:rsidR="00DE1BDD" w:rsidRPr="00BD16B4" w:rsidRDefault="00DE1BDD" w:rsidP="004A205F">
            <w:pPr>
              <w:pStyle w:val="TableText"/>
              <w:rPr>
                <w:rFonts w:cs="Calibri"/>
                <w:szCs w:val="18"/>
              </w:rPr>
            </w:pPr>
            <w:r w:rsidRPr="00BD16B4">
              <w:rPr>
                <w:rFonts w:cs="Calibri"/>
                <w:szCs w:val="18"/>
              </w:rPr>
              <w:t>7</w:t>
            </w:r>
          </w:p>
        </w:tc>
        <w:tc>
          <w:tcPr>
            <w:tcW w:w="1153" w:type="dxa"/>
          </w:tcPr>
          <w:p w14:paraId="1C067EE8" w14:textId="77777777" w:rsidR="00DE1BDD" w:rsidRPr="00BD16B4" w:rsidRDefault="00DE1BDD" w:rsidP="004A205F">
            <w:pPr>
              <w:pStyle w:val="TableText"/>
              <w:rPr>
                <w:rFonts w:cs="Calibri"/>
                <w:szCs w:val="18"/>
              </w:rPr>
            </w:pPr>
            <w:r w:rsidRPr="00BD16B4">
              <w:rPr>
                <w:rFonts w:cs="Calibri"/>
                <w:szCs w:val="18"/>
              </w:rPr>
              <w:t>7</w:t>
            </w:r>
          </w:p>
        </w:tc>
        <w:tc>
          <w:tcPr>
            <w:tcW w:w="1157" w:type="dxa"/>
          </w:tcPr>
          <w:p w14:paraId="403F4879" w14:textId="77777777" w:rsidR="00DE1BDD" w:rsidRPr="00BD16B4" w:rsidRDefault="00DE1BDD" w:rsidP="004A205F">
            <w:pPr>
              <w:pStyle w:val="TableText"/>
              <w:rPr>
                <w:rFonts w:cs="Calibri"/>
                <w:szCs w:val="18"/>
              </w:rPr>
            </w:pPr>
            <w:r w:rsidRPr="00BD16B4">
              <w:rPr>
                <w:rFonts w:cs="Calibri"/>
                <w:szCs w:val="18"/>
              </w:rPr>
              <w:t>7</w:t>
            </w:r>
          </w:p>
        </w:tc>
        <w:tc>
          <w:tcPr>
            <w:tcW w:w="1157" w:type="dxa"/>
          </w:tcPr>
          <w:p w14:paraId="56CC1AA7" w14:textId="77777777" w:rsidR="00DE1BDD" w:rsidRPr="00BD16B4" w:rsidRDefault="00DE1BDD" w:rsidP="004A205F">
            <w:pPr>
              <w:pStyle w:val="TableText"/>
              <w:rPr>
                <w:rFonts w:cs="Calibri"/>
                <w:szCs w:val="18"/>
              </w:rPr>
            </w:pPr>
            <w:r w:rsidRPr="00BD16B4">
              <w:rPr>
                <w:rFonts w:cs="Calibri"/>
                <w:szCs w:val="18"/>
              </w:rPr>
              <w:t>7</w:t>
            </w:r>
          </w:p>
        </w:tc>
      </w:tr>
      <w:tr w:rsidR="00DE1BDD" w:rsidRPr="00BD16B4" w14:paraId="02E715ED" w14:textId="77777777" w:rsidTr="004A205F">
        <w:tc>
          <w:tcPr>
            <w:tcW w:w="8562" w:type="dxa"/>
            <w:gridSpan w:val="7"/>
          </w:tcPr>
          <w:p w14:paraId="562FCD62" w14:textId="77777777" w:rsidR="00DE1BDD" w:rsidRPr="00BD16B4" w:rsidRDefault="00DE1BDD" w:rsidP="004A205F">
            <w:pPr>
              <w:pStyle w:val="TableTextbold"/>
              <w:rPr>
                <w:rFonts w:cs="Calibri"/>
                <w:szCs w:val="18"/>
              </w:rPr>
            </w:pPr>
            <w:r w:rsidRPr="00BD16B4">
              <w:rPr>
                <w:rFonts w:cs="Calibri"/>
                <w:szCs w:val="18"/>
              </w:rPr>
              <w:t>National contributions to upper-air atmospheric essential climate variables</w:t>
            </w:r>
          </w:p>
        </w:tc>
      </w:tr>
      <w:tr w:rsidR="00DE1BDD" w:rsidRPr="00BD16B4" w14:paraId="44A74547" w14:textId="77777777" w:rsidTr="004A205F">
        <w:tc>
          <w:tcPr>
            <w:tcW w:w="1387" w:type="dxa"/>
          </w:tcPr>
          <w:p w14:paraId="7640D918" w14:textId="77777777" w:rsidR="00DE1BDD" w:rsidRPr="00BD16B4" w:rsidRDefault="00DE1BDD" w:rsidP="004A205F">
            <w:pPr>
              <w:pStyle w:val="TableText"/>
              <w:rPr>
                <w:rFonts w:cs="Calibri"/>
                <w:szCs w:val="18"/>
              </w:rPr>
            </w:pPr>
            <w:r w:rsidRPr="00BD16B4">
              <w:rPr>
                <w:rFonts w:cs="Calibri"/>
                <w:szCs w:val="18"/>
              </w:rPr>
              <w:t>GCOS Upper Air Network (GUAN)</w:t>
            </w:r>
          </w:p>
        </w:tc>
        <w:tc>
          <w:tcPr>
            <w:tcW w:w="1402" w:type="dxa"/>
            <w:vMerge w:val="restart"/>
          </w:tcPr>
          <w:p w14:paraId="30D5702C" w14:textId="77777777" w:rsidR="00DE1BDD" w:rsidRPr="00BD16B4" w:rsidRDefault="00DE1BDD" w:rsidP="004A205F">
            <w:pPr>
              <w:pStyle w:val="TableText"/>
              <w:rPr>
                <w:rFonts w:cs="Calibri"/>
                <w:szCs w:val="18"/>
              </w:rPr>
            </w:pPr>
            <w:r w:rsidRPr="00BD16B4">
              <w:rPr>
                <w:rFonts w:cs="Calibri"/>
                <w:szCs w:val="18"/>
              </w:rPr>
              <w:t>Upper-air temperature, upper-air wind speed and direction, upper-air water vapour</w:t>
            </w:r>
          </w:p>
        </w:tc>
        <w:tc>
          <w:tcPr>
            <w:tcW w:w="1153" w:type="dxa"/>
          </w:tcPr>
          <w:p w14:paraId="073D1B89" w14:textId="77777777" w:rsidR="00DE1BDD" w:rsidRPr="00BD16B4" w:rsidRDefault="00DE1BDD" w:rsidP="004A205F">
            <w:pPr>
              <w:pStyle w:val="TableText"/>
              <w:rPr>
                <w:rFonts w:cs="Calibri"/>
                <w:szCs w:val="18"/>
              </w:rPr>
            </w:pPr>
            <w:r w:rsidRPr="00BD16B4">
              <w:rPr>
                <w:rFonts w:cs="Calibri"/>
                <w:szCs w:val="18"/>
              </w:rPr>
              <w:t>3</w:t>
            </w:r>
          </w:p>
        </w:tc>
        <w:tc>
          <w:tcPr>
            <w:tcW w:w="1153" w:type="dxa"/>
          </w:tcPr>
          <w:p w14:paraId="4E55F830" w14:textId="77777777" w:rsidR="00DE1BDD" w:rsidRPr="00BD16B4" w:rsidRDefault="00DE1BDD" w:rsidP="004A205F">
            <w:pPr>
              <w:pStyle w:val="TableText"/>
              <w:rPr>
                <w:rFonts w:cs="Calibri"/>
                <w:szCs w:val="18"/>
              </w:rPr>
            </w:pPr>
            <w:r w:rsidRPr="00BD16B4">
              <w:rPr>
                <w:rFonts w:cs="Calibri"/>
                <w:szCs w:val="18"/>
              </w:rPr>
              <w:t>3</w:t>
            </w:r>
          </w:p>
        </w:tc>
        <w:tc>
          <w:tcPr>
            <w:tcW w:w="1153" w:type="dxa"/>
          </w:tcPr>
          <w:p w14:paraId="531F23BA" w14:textId="77777777" w:rsidR="00DE1BDD" w:rsidRPr="00BD16B4" w:rsidRDefault="00DE1BDD" w:rsidP="004A205F">
            <w:pPr>
              <w:pStyle w:val="TableText"/>
              <w:rPr>
                <w:rFonts w:cs="Calibri"/>
                <w:szCs w:val="18"/>
              </w:rPr>
            </w:pPr>
            <w:r w:rsidRPr="00BD16B4">
              <w:rPr>
                <w:rFonts w:cs="Calibri"/>
                <w:szCs w:val="18"/>
              </w:rPr>
              <w:t>4</w:t>
            </w:r>
          </w:p>
        </w:tc>
        <w:tc>
          <w:tcPr>
            <w:tcW w:w="1157" w:type="dxa"/>
          </w:tcPr>
          <w:p w14:paraId="6CAA6BB0" w14:textId="77777777" w:rsidR="00DE1BDD" w:rsidRPr="00BD16B4" w:rsidRDefault="00DE1BDD" w:rsidP="004A205F">
            <w:pPr>
              <w:pStyle w:val="TableText"/>
              <w:rPr>
                <w:rFonts w:cs="Calibri"/>
                <w:szCs w:val="18"/>
              </w:rPr>
            </w:pPr>
            <w:r w:rsidRPr="00BD16B4">
              <w:rPr>
                <w:rFonts w:cs="Calibri"/>
                <w:szCs w:val="18"/>
              </w:rPr>
              <w:t>3</w:t>
            </w:r>
          </w:p>
        </w:tc>
        <w:tc>
          <w:tcPr>
            <w:tcW w:w="1157" w:type="dxa"/>
          </w:tcPr>
          <w:p w14:paraId="60F225F6" w14:textId="77777777" w:rsidR="00DE1BDD" w:rsidRPr="00BD16B4" w:rsidRDefault="00DE1BDD" w:rsidP="004A205F">
            <w:pPr>
              <w:pStyle w:val="TableText"/>
              <w:rPr>
                <w:rFonts w:cs="Calibri"/>
                <w:szCs w:val="18"/>
              </w:rPr>
            </w:pPr>
            <w:r w:rsidRPr="00BD16B4">
              <w:rPr>
                <w:rFonts w:cs="Calibri"/>
                <w:szCs w:val="18"/>
              </w:rPr>
              <w:t>3</w:t>
            </w:r>
          </w:p>
        </w:tc>
      </w:tr>
      <w:tr w:rsidR="00DE1BDD" w:rsidRPr="00BD16B4" w14:paraId="77510F50" w14:textId="77777777" w:rsidTr="004A205F">
        <w:tc>
          <w:tcPr>
            <w:tcW w:w="1387" w:type="dxa"/>
          </w:tcPr>
          <w:p w14:paraId="601998BF" w14:textId="77777777" w:rsidR="00DE1BDD" w:rsidRPr="00BD16B4" w:rsidRDefault="00DE1BDD" w:rsidP="004A205F">
            <w:pPr>
              <w:pStyle w:val="TableText"/>
              <w:rPr>
                <w:rFonts w:cs="Calibri"/>
                <w:szCs w:val="18"/>
              </w:rPr>
            </w:pPr>
            <w:r w:rsidRPr="00BD16B4">
              <w:rPr>
                <w:rFonts w:cs="Calibri"/>
                <w:szCs w:val="18"/>
              </w:rPr>
              <w:t>Full WWW/GOS Upper Air Network</w:t>
            </w:r>
          </w:p>
        </w:tc>
        <w:tc>
          <w:tcPr>
            <w:tcW w:w="1402" w:type="dxa"/>
            <w:vMerge/>
          </w:tcPr>
          <w:p w14:paraId="5105BD10" w14:textId="77777777" w:rsidR="00DE1BDD" w:rsidRPr="00BD16B4" w:rsidRDefault="00DE1BDD" w:rsidP="004A205F">
            <w:pPr>
              <w:pStyle w:val="TableText"/>
              <w:rPr>
                <w:rFonts w:cs="Calibri"/>
                <w:szCs w:val="18"/>
              </w:rPr>
            </w:pPr>
          </w:p>
        </w:tc>
        <w:tc>
          <w:tcPr>
            <w:tcW w:w="1153" w:type="dxa"/>
          </w:tcPr>
          <w:p w14:paraId="6432FB4F" w14:textId="77777777" w:rsidR="00DE1BDD" w:rsidRPr="00BD16B4" w:rsidRDefault="00DE1BDD" w:rsidP="004A205F">
            <w:pPr>
              <w:pStyle w:val="TableText"/>
              <w:rPr>
                <w:rFonts w:cs="Calibri"/>
                <w:szCs w:val="18"/>
              </w:rPr>
            </w:pPr>
            <w:r w:rsidRPr="00BD16B4">
              <w:rPr>
                <w:rFonts w:cs="Calibri"/>
                <w:szCs w:val="18"/>
              </w:rPr>
              <w:t>4</w:t>
            </w:r>
          </w:p>
        </w:tc>
        <w:tc>
          <w:tcPr>
            <w:tcW w:w="1153" w:type="dxa"/>
          </w:tcPr>
          <w:p w14:paraId="12DFE024" w14:textId="77777777" w:rsidR="00DE1BDD" w:rsidRPr="00BD16B4" w:rsidRDefault="00DE1BDD" w:rsidP="004A205F">
            <w:pPr>
              <w:pStyle w:val="TableText"/>
              <w:rPr>
                <w:rFonts w:cs="Calibri"/>
                <w:szCs w:val="18"/>
              </w:rPr>
            </w:pPr>
            <w:r w:rsidRPr="00BD16B4">
              <w:rPr>
                <w:rFonts w:cs="Calibri"/>
                <w:szCs w:val="18"/>
              </w:rPr>
              <w:t>4</w:t>
            </w:r>
          </w:p>
        </w:tc>
        <w:tc>
          <w:tcPr>
            <w:tcW w:w="1153" w:type="dxa"/>
          </w:tcPr>
          <w:p w14:paraId="31A681C5" w14:textId="77777777" w:rsidR="00DE1BDD" w:rsidRPr="00BD16B4" w:rsidRDefault="00DE1BDD" w:rsidP="004A205F">
            <w:pPr>
              <w:pStyle w:val="TableText"/>
              <w:rPr>
                <w:rFonts w:cs="Calibri"/>
                <w:szCs w:val="18"/>
              </w:rPr>
            </w:pPr>
            <w:r w:rsidRPr="00BD16B4">
              <w:rPr>
                <w:rFonts w:cs="Calibri"/>
                <w:szCs w:val="18"/>
              </w:rPr>
              <w:t>4</w:t>
            </w:r>
          </w:p>
        </w:tc>
        <w:tc>
          <w:tcPr>
            <w:tcW w:w="1157" w:type="dxa"/>
          </w:tcPr>
          <w:p w14:paraId="5BCD4159" w14:textId="77777777" w:rsidR="00DE1BDD" w:rsidRPr="00BD16B4" w:rsidRDefault="00DE1BDD" w:rsidP="004A205F">
            <w:pPr>
              <w:pStyle w:val="TableText"/>
              <w:rPr>
                <w:rFonts w:cs="Calibri"/>
                <w:szCs w:val="18"/>
              </w:rPr>
            </w:pPr>
            <w:r w:rsidRPr="00BD16B4">
              <w:rPr>
                <w:rFonts w:cs="Calibri"/>
                <w:szCs w:val="18"/>
              </w:rPr>
              <w:t>4</w:t>
            </w:r>
          </w:p>
        </w:tc>
        <w:tc>
          <w:tcPr>
            <w:tcW w:w="1157" w:type="dxa"/>
          </w:tcPr>
          <w:p w14:paraId="6C50EAEA" w14:textId="77777777" w:rsidR="00DE1BDD" w:rsidRPr="00BD16B4" w:rsidRDefault="00DE1BDD" w:rsidP="004A205F">
            <w:pPr>
              <w:pStyle w:val="TableText"/>
              <w:rPr>
                <w:rFonts w:cs="Calibri"/>
                <w:szCs w:val="18"/>
              </w:rPr>
            </w:pPr>
            <w:r w:rsidRPr="00BD16B4">
              <w:rPr>
                <w:rFonts w:cs="Calibri"/>
                <w:szCs w:val="18"/>
              </w:rPr>
              <w:t>4</w:t>
            </w:r>
          </w:p>
        </w:tc>
      </w:tr>
      <w:tr w:rsidR="00DE1BDD" w:rsidRPr="00BD16B4" w14:paraId="5CAADDE7" w14:textId="77777777" w:rsidTr="004A205F">
        <w:tc>
          <w:tcPr>
            <w:tcW w:w="8562" w:type="dxa"/>
            <w:gridSpan w:val="7"/>
          </w:tcPr>
          <w:p w14:paraId="7BC55716" w14:textId="77777777" w:rsidR="00DE1BDD" w:rsidRPr="00BD16B4" w:rsidRDefault="00DE1BDD" w:rsidP="004A205F">
            <w:pPr>
              <w:pStyle w:val="TableTextbold"/>
              <w:keepNext/>
              <w:rPr>
                <w:rFonts w:cs="Calibri"/>
                <w:szCs w:val="18"/>
              </w:rPr>
            </w:pPr>
            <w:r w:rsidRPr="00BD16B4">
              <w:rPr>
                <w:rFonts w:cs="Calibri"/>
                <w:szCs w:val="18"/>
              </w:rPr>
              <w:t>National contributions to atmospheric composition observations</w:t>
            </w:r>
          </w:p>
        </w:tc>
      </w:tr>
      <w:tr w:rsidR="00DE1BDD" w:rsidRPr="00BD16B4" w14:paraId="5510789A" w14:textId="77777777" w:rsidTr="004A205F">
        <w:tc>
          <w:tcPr>
            <w:tcW w:w="1387" w:type="dxa"/>
            <w:vMerge w:val="restart"/>
          </w:tcPr>
          <w:p w14:paraId="220FCAF3" w14:textId="77777777" w:rsidR="00DE1BDD" w:rsidRPr="00BD16B4" w:rsidRDefault="00DE1BDD" w:rsidP="004A205F">
            <w:pPr>
              <w:pStyle w:val="TableText"/>
              <w:rPr>
                <w:rFonts w:cs="Calibri"/>
                <w:szCs w:val="18"/>
              </w:rPr>
            </w:pPr>
            <w:r w:rsidRPr="00BD16B4">
              <w:rPr>
                <w:rFonts w:cs="Calibri"/>
                <w:szCs w:val="18"/>
              </w:rPr>
              <w:t>WMO/GAW Global Atmospheric CO</w:t>
            </w:r>
            <w:r w:rsidRPr="00BD16B4">
              <w:rPr>
                <w:rFonts w:cs="Calibri"/>
                <w:szCs w:val="18"/>
                <w:vertAlign w:val="subscript"/>
              </w:rPr>
              <w:t>2</w:t>
            </w:r>
            <w:r w:rsidRPr="00BD16B4">
              <w:rPr>
                <w:rFonts w:cs="Calibri"/>
                <w:szCs w:val="18"/>
              </w:rPr>
              <w:t xml:space="preserve"> and CH</w:t>
            </w:r>
            <w:r w:rsidRPr="00BD16B4">
              <w:rPr>
                <w:rFonts w:cs="Calibri"/>
                <w:szCs w:val="18"/>
                <w:vertAlign w:val="subscript"/>
              </w:rPr>
              <w:t>4</w:t>
            </w:r>
            <w:r w:rsidRPr="00BD16B4">
              <w:rPr>
                <w:rFonts w:cs="Calibri"/>
                <w:szCs w:val="18"/>
              </w:rPr>
              <w:t xml:space="preserve"> Monitoring Network</w:t>
            </w:r>
          </w:p>
        </w:tc>
        <w:tc>
          <w:tcPr>
            <w:tcW w:w="1402" w:type="dxa"/>
          </w:tcPr>
          <w:p w14:paraId="52E9928F" w14:textId="77777777" w:rsidR="00DE1BDD" w:rsidRPr="00BD16B4" w:rsidRDefault="00DE1BDD" w:rsidP="004A205F">
            <w:pPr>
              <w:pStyle w:val="TableText"/>
              <w:rPr>
                <w:rFonts w:cs="Calibri"/>
                <w:szCs w:val="18"/>
              </w:rPr>
            </w:pPr>
            <w:r w:rsidRPr="00BD16B4">
              <w:rPr>
                <w:rFonts w:cs="Calibri"/>
                <w:szCs w:val="18"/>
              </w:rPr>
              <w:t>Carbon dioxide</w:t>
            </w:r>
          </w:p>
        </w:tc>
        <w:tc>
          <w:tcPr>
            <w:tcW w:w="1153" w:type="dxa"/>
          </w:tcPr>
          <w:p w14:paraId="65A86053" w14:textId="77777777" w:rsidR="00DE1BDD" w:rsidRPr="00BD16B4" w:rsidRDefault="00DE1BDD" w:rsidP="004A205F">
            <w:pPr>
              <w:pStyle w:val="TableText"/>
              <w:rPr>
                <w:rFonts w:cs="Calibri"/>
                <w:szCs w:val="18"/>
              </w:rPr>
            </w:pPr>
            <w:r w:rsidRPr="00BD16B4">
              <w:rPr>
                <w:rFonts w:cs="Calibri"/>
                <w:szCs w:val="18"/>
              </w:rPr>
              <w:t>1</w:t>
            </w:r>
          </w:p>
        </w:tc>
        <w:tc>
          <w:tcPr>
            <w:tcW w:w="1153" w:type="dxa"/>
          </w:tcPr>
          <w:p w14:paraId="07842AF8" w14:textId="77777777" w:rsidR="00DE1BDD" w:rsidRPr="00BD16B4" w:rsidRDefault="00DE1BDD" w:rsidP="004A205F">
            <w:pPr>
              <w:pStyle w:val="TableText"/>
              <w:rPr>
                <w:rFonts w:cs="Calibri"/>
                <w:szCs w:val="18"/>
              </w:rPr>
            </w:pPr>
            <w:r w:rsidRPr="00BD16B4">
              <w:rPr>
                <w:rFonts w:cs="Calibri"/>
                <w:szCs w:val="18"/>
              </w:rPr>
              <w:t>1</w:t>
            </w:r>
          </w:p>
        </w:tc>
        <w:tc>
          <w:tcPr>
            <w:tcW w:w="1153" w:type="dxa"/>
          </w:tcPr>
          <w:p w14:paraId="74712543" w14:textId="77777777" w:rsidR="00DE1BDD" w:rsidRPr="00BD16B4" w:rsidRDefault="00DE1BDD" w:rsidP="004A205F">
            <w:pPr>
              <w:pStyle w:val="TableText"/>
              <w:rPr>
                <w:rFonts w:cs="Calibri"/>
                <w:szCs w:val="18"/>
              </w:rPr>
            </w:pPr>
            <w:r w:rsidRPr="00BD16B4">
              <w:rPr>
                <w:rFonts w:cs="Calibri"/>
                <w:szCs w:val="18"/>
              </w:rPr>
              <w:t>1</w:t>
            </w:r>
          </w:p>
        </w:tc>
        <w:tc>
          <w:tcPr>
            <w:tcW w:w="1157" w:type="dxa"/>
          </w:tcPr>
          <w:p w14:paraId="33AF6BE2" w14:textId="77777777" w:rsidR="00DE1BDD" w:rsidRPr="00BD16B4" w:rsidRDefault="00DE1BDD" w:rsidP="004A205F">
            <w:pPr>
              <w:pStyle w:val="TableText"/>
              <w:rPr>
                <w:rFonts w:cs="Calibri"/>
                <w:szCs w:val="18"/>
              </w:rPr>
            </w:pPr>
            <w:r w:rsidRPr="00BD16B4">
              <w:rPr>
                <w:rFonts w:cs="Calibri"/>
                <w:szCs w:val="18"/>
              </w:rPr>
              <w:t>1</w:t>
            </w:r>
          </w:p>
        </w:tc>
        <w:tc>
          <w:tcPr>
            <w:tcW w:w="1157" w:type="dxa"/>
          </w:tcPr>
          <w:p w14:paraId="6BCA9058" w14:textId="77777777" w:rsidR="00DE1BDD" w:rsidRPr="00BD16B4" w:rsidRDefault="00DE1BDD" w:rsidP="004A205F">
            <w:pPr>
              <w:pStyle w:val="TableText"/>
              <w:rPr>
                <w:rFonts w:cs="Calibri"/>
                <w:szCs w:val="18"/>
              </w:rPr>
            </w:pPr>
            <w:r w:rsidRPr="00BD16B4">
              <w:rPr>
                <w:rFonts w:cs="Calibri"/>
                <w:szCs w:val="18"/>
              </w:rPr>
              <w:t>1</w:t>
            </w:r>
          </w:p>
        </w:tc>
      </w:tr>
      <w:tr w:rsidR="00DE1BDD" w:rsidRPr="00BD16B4" w14:paraId="4721B62D" w14:textId="77777777" w:rsidTr="004A205F">
        <w:tc>
          <w:tcPr>
            <w:tcW w:w="1387" w:type="dxa"/>
            <w:vMerge/>
          </w:tcPr>
          <w:p w14:paraId="73EF96DD" w14:textId="77777777" w:rsidR="00DE1BDD" w:rsidRPr="00BD16B4" w:rsidRDefault="00DE1BDD" w:rsidP="004A205F">
            <w:pPr>
              <w:pStyle w:val="TableText"/>
              <w:rPr>
                <w:rFonts w:cs="Calibri"/>
                <w:szCs w:val="18"/>
              </w:rPr>
            </w:pPr>
          </w:p>
        </w:tc>
        <w:tc>
          <w:tcPr>
            <w:tcW w:w="1402" w:type="dxa"/>
          </w:tcPr>
          <w:p w14:paraId="497BA434" w14:textId="77777777" w:rsidR="00DE1BDD" w:rsidRPr="00BD16B4" w:rsidRDefault="00DE1BDD" w:rsidP="004A205F">
            <w:pPr>
              <w:pStyle w:val="TableText"/>
              <w:rPr>
                <w:rFonts w:cs="Calibri"/>
                <w:szCs w:val="18"/>
                <w:highlight w:val="yellow"/>
              </w:rPr>
            </w:pPr>
            <w:r w:rsidRPr="00BD16B4">
              <w:rPr>
                <w:rFonts w:cs="Calibri"/>
                <w:szCs w:val="18"/>
              </w:rPr>
              <w:t>Methane</w:t>
            </w:r>
          </w:p>
        </w:tc>
        <w:tc>
          <w:tcPr>
            <w:tcW w:w="1153" w:type="dxa"/>
          </w:tcPr>
          <w:p w14:paraId="27574BEA" w14:textId="77777777" w:rsidR="00DE1BDD" w:rsidRPr="00BD16B4" w:rsidRDefault="00DE1BDD" w:rsidP="004A205F">
            <w:pPr>
              <w:pStyle w:val="TableText"/>
              <w:rPr>
                <w:rFonts w:cs="Calibri"/>
                <w:szCs w:val="18"/>
              </w:rPr>
            </w:pPr>
            <w:r w:rsidRPr="00BD16B4">
              <w:rPr>
                <w:rFonts w:cs="Calibri"/>
                <w:szCs w:val="18"/>
              </w:rPr>
              <w:t>3</w:t>
            </w:r>
          </w:p>
        </w:tc>
        <w:tc>
          <w:tcPr>
            <w:tcW w:w="1153" w:type="dxa"/>
          </w:tcPr>
          <w:p w14:paraId="5B080E7F" w14:textId="77777777" w:rsidR="00DE1BDD" w:rsidRPr="00BD16B4" w:rsidRDefault="00DE1BDD" w:rsidP="004A205F">
            <w:pPr>
              <w:pStyle w:val="TableText"/>
              <w:rPr>
                <w:rFonts w:cs="Calibri"/>
                <w:szCs w:val="18"/>
              </w:rPr>
            </w:pPr>
            <w:r w:rsidRPr="00BD16B4">
              <w:rPr>
                <w:rFonts w:cs="Calibri"/>
                <w:szCs w:val="18"/>
              </w:rPr>
              <w:t>3</w:t>
            </w:r>
          </w:p>
        </w:tc>
        <w:tc>
          <w:tcPr>
            <w:tcW w:w="1153" w:type="dxa"/>
          </w:tcPr>
          <w:p w14:paraId="5F210AB5" w14:textId="77777777" w:rsidR="00DE1BDD" w:rsidRPr="00BD16B4" w:rsidRDefault="00DE1BDD" w:rsidP="004A205F">
            <w:pPr>
              <w:pStyle w:val="TableText"/>
              <w:rPr>
                <w:rFonts w:cs="Calibri"/>
                <w:szCs w:val="18"/>
              </w:rPr>
            </w:pPr>
            <w:r w:rsidRPr="00BD16B4">
              <w:rPr>
                <w:rFonts w:cs="Calibri"/>
                <w:szCs w:val="18"/>
              </w:rPr>
              <w:t>3</w:t>
            </w:r>
          </w:p>
        </w:tc>
        <w:tc>
          <w:tcPr>
            <w:tcW w:w="1157" w:type="dxa"/>
          </w:tcPr>
          <w:p w14:paraId="11A4A32A" w14:textId="77777777" w:rsidR="00DE1BDD" w:rsidRPr="00BD16B4" w:rsidRDefault="00DE1BDD" w:rsidP="004A205F">
            <w:pPr>
              <w:pStyle w:val="TableText"/>
              <w:rPr>
                <w:rFonts w:cs="Calibri"/>
                <w:szCs w:val="18"/>
              </w:rPr>
            </w:pPr>
            <w:r w:rsidRPr="00BD16B4">
              <w:rPr>
                <w:rFonts w:cs="Calibri"/>
                <w:szCs w:val="18"/>
              </w:rPr>
              <w:t>2</w:t>
            </w:r>
          </w:p>
        </w:tc>
        <w:tc>
          <w:tcPr>
            <w:tcW w:w="1157" w:type="dxa"/>
          </w:tcPr>
          <w:p w14:paraId="74143AD3" w14:textId="77777777" w:rsidR="00DE1BDD" w:rsidRPr="00BD16B4" w:rsidRDefault="00DE1BDD" w:rsidP="004A205F">
            <w:pPr>
              <w:pStyle w:val="TableText"/>
              <w:rPr>
                <w:rFonts w:cs="Calibri"/>
                <w:szCs w:val="18"/>
              </w:rPr>
            </w:pPr>
            <w:r w:rsidRPr="00BD16B4">
              <w:rPr>
                <w:rFonts w:cs="Calibri"/>
                <w:szCs w:val="18"/>
              </w:rPr>
              <w:t>2</w:t>
            </w:r>
          </w:p>
        </w:tc>
      </w:tr>
      <w:tr w:rsidR="00DE1BDD" w:rsidRPr="00BD16B4" w14:paraId="01466177" w14:textId="77777777" w:rsidTr="004A205F">
        <w:tc>
          <w:tcPr>
            <w:tcW w:w="1387" w:type="dxa"/>
            <w:vMerge/>
          </w:tcPr>
          <w:p w14:paraId="7356AA32" w14:textId="77777777" w:rsidR="00DE1BDD" w:rsidRPr="00BD16B4" w:rsidRDefault="00DE1BDD" w:rsidP="004A205F">
            <w:pPr>
              <w:pStyle w:val="TableText"/>
              <w:rPr>
                <w:rFonts w:cs="Calibri"/>
                <w:szCs w:val="18"/>
              </w:rPr>
            </w:pPr>
          </w:p>
        </w:tc>
        <w:tc>
          <w:tcPr>
            <w:tcW w:w="1402" w:type="dxa"/>
          </w:tcPr>
          <w:p w14:paraId="5ECC35CD" w14:textId="77777777" w:rsidR="00DE1BDD" w:rsidRPr="00BD16B4" w:rsidRDefault="00DE1BDD" w:rsidP="004A205F">
            <w:pPr>
              <w:pStyle w:val="TableText"/>
              <w:rPr>
                <w:rFonts w:cs="Calibri"/>
                <w:szCs w:val="18"/>
              </w:rPr>
            </w:pPr>
            <w:r w:rsidRPr="00BD16B4">
              <w:rPr>
                <w:rFonts w:cs="Calibri"/>
                <w:szCs w:val="18"/>
              </w:rPr>
              <w:t>Other greenhouse gases</w:t>
            </w:r>
          </w:p>
        </w:tc>
        <w:tc>
          <w:tcPr>
            <w:tcW w:w="1153" w:type="dxa"/>
          </w:tcPr>
          <w:p w14:paraId="5B38DA34" w14:textId="77777777" w:rsidR="00DE1BDD" w:rsidRPr="00BD16B4" w:rsidRDefault="00DE1BDD" w:rsidP="004A205F">
            <w:pPr>
              <w:pStyle w:val="TableText"/>
              <w:rPr>
                <w:rFonts w:cs="Calibri"/>
                <w:szCs w:val="18"/>
              </w:rPr>
            </w:pPr>
            <w:r w:rsidRPr="00BD16B4">
              <w:rPr>
                <w:rFonts w:cs="Calibri"/>
                <w:szCs w:val="18"/>
              </w:rPr>
              <w:t>4</w:t>
            </w:r>
          </w:p>
        </w:tc>
        <w:tc>
          <w:tcPr>
            <w:tcW w:w="1153" w:type="dxa"/>
          </w:tcPr>
          <w:p w14:paraId="2F17E9D6" w14:textId="77777777" w:rsidR="00DE1BDD" w:rsidRPr="00BD16B4" w:rsidRDefault="00DE1BDD" w:rsidP="004A205F">
            <w:pPr>
              <w:pStyle w:val="TableText"/>
              <w:rPr>
                <w:rFonts w:cs="Calibri"/>
                <w:szCs w:val="18"/>
              </w:rPr>
            </w:pPr>
            <w:r w:rsidRPr="00BD16B4">
              <w:rPr>
                <w:rFonts w:cs="Calibri"/>
                <w:szCs w:val="18"/>
              </w:rPr>
              <w:t>4</w:t>
            </w:r>
          </w:p>
        </w:tc>
        <w:tc>
          <w:tcPr>
            <w:tcW w:w="1153" w:type="dxa"/>
          </w:tcPr>
          <w:p w14:paraId="437294A1" w14:textId="77777777" w:rsidR="00DE1BDD" w:rsidRPr="00BD16B4" w:rsidRDefault="00DE1BDD" w:rsidP="004A205F">
            <w:pPr>
              <w:pStyle w:val="TableText"/>
              <w:rPr>
                <w:rFonts w:cs="Calibri"/>
                <w:szCs w:val="18"/>
              </w:rPr>
            </w:pPr>
            <w:r w:rsidRPr="00BD16B4">
              <w:rPr>
                <w:rFonts w:cs="Calibri"/>
                <w:szCs w:val="18"/>
              </w:rPr>
              <w:t>4</w:t>
            </w:r>
          </w:p>
        </w:tc>
        <w:tc>
          <w:tcPr>
            <w:tcW w:w="1157" w:type="dxa"/>
          </w:tcPr>
          <w:p w14:paraId="1DBCAED2" w14:textId="77777777" w:rsidR="00DE1BDD" w:rsidRPr="00BD16B4" w:rsidRDefault="00DE1BDD" w:rsidP="004A205F">
            <w:pPr>
              <w:pStyle w:val="TableText"/>
              <w:rPr>
                <w:rFonts w:cs="Calibri"/>
                <w:szCs w:val="18"/>
              </w:rPr>
            </w:pPr>
            <w:r w:rsidRPr="00BD16B4">
              <w:rPr>
                <w:rFonts w:cs="Calibri"/>
                <w:szCs w:val="18"/>
              </w:rPr>
              <w:t>3</w:t>
            </w:r>
          </w:p>
        </w:tc>
        <w:tc>
          <w:tcPr>
            <w:tcW w:w="1157" w:type="dxa"/>
          </w:tcPr>
          <w:p w14:paraId="6A8B68F5" w14:textId="77777777" w:rsidR="00DE1BDD" w:rsidRPr="00BD16B4" w:rsidRDefault="00DE1BDD" w:rsidP="004A205F">
            <w:pPr>
              <w:pStyle w:val="TableText"/>
              <w:rPr>
                <w:rFonts w:cs="Calibri"/>
                <w:szCs w:val="18"/>
              </w:rPr>
            </w:pPr>
            <w:r w:rsidRPr="00BD16B4">
              <w:rPr>
                <w:rFonts w:cs="Calibri"/>
                <w:szCs w:val="18"/>
              </w:rPr>
              <w:t>3</w:t>
            </w:r>
          </w:p>
        </w:tc>
      </w:tr>
      <w:tr w:rsidR="00DE1BDD" w:rsidRPr="00BD16B4" w14:paraId="19EF1C5B" w14:textId="77777777" w:rsidTr="004A205F">
        <w:tc>
          <w:tcPr>
            <w:tcW w:w="1387" w:type="dxa"/>
          </w:tcPr>
          <w:p w14:paraId="0415B946" w14:textId="77777777" w:rsidR="00DE1BDD" w:rsidRPr="00BD16B4" w:rsidRDefault="00DE1BDD" w:rsidP="004A205F">
            <w:pPr>
              <w:pStyle w:val="TableText"/>
              <w:rPr>
                <w:rFonts w:cs="Calibri"/>
                <w:szCs w:val="18"/>
              </w:rPr>
            </w:pPr>
            <w:r w:rsidRPr="00BD16B4">
              <w:rPr>
                <w:rFonts w:cs="Calibri"/>
                <w:szCs w:val="18"/>
              </w:rPr>
              <w:t>WMO/GAW ozonesonde network</w:t>
            </w:r>
          </w:p>
        </w:tc>
        <w:tc>
          <w:tcPr>
            <w:tcW w:w="1402" w:type="dxa"/>
          </w:tcPr>
          <w:p w14:paraId="507157E5" w14:textId="77777777" w:rsidR="00DE1BDD" w:rsidRPr="00BD16B4" w:rsidRDefault="00DE1BDD" w:rsidP="004A205F">
            <w:pPr>
              <w:pStyle w:val="TableText"/>
              <w:rPr>
                <w:rFonts w:cs="Calibri"/>
                <w:szCs w:val="18"/>
              </w:rPr>
            </w:pPr>
            <w:r w:rsidRPr="00BD16B4">
              <w:rPr>
                <w:rFonts w:cs="Calibri"/>
                <w:szCs w:val="18"/>
              </w:rPr>
              <w:t>Ozone</w:t>
            </w:r>
          </w:p>
        </w:tc>
        <w:tc>
          <w:tcPr>
            <w:tcW w:w="1153" w:type="dxa"/>
          </w:tcPr>
          <w:p w14:paraId="2745CAA3" w14:textId="77777777" w:rsidR="00DE1BDD" w:rsidRPr="00BD16B4" w:rsidRDefault="00DE1BDD" w:rsidP="004A205F">
            <w:pPr>
              <w:pStyle w:val="TableText"/>
              <w:rPr>
                <w:rFonts w:cs="Calibri"/>
                <w:szCs w:val="18"/>
              </w:rPr>
            </w:pPr>
            <w:r w:rsidRPr="00BD16B4">
              <w:rPr>
                <w:rFonts w:cs="Calibri"/>
                <w:szCs w:val="18"/>
              </w:rPr>
              <w:t>1</w:t>
            </w:r>
          </w:p>
        </w:tc>
        <w:tc>
          <w:tcPr>
            <w:tcW w:w="1153" w:type="dxa"/>
          </w:tcPr>
          <w:p w14:paraId="3B7B8CA8" w14:textId="77777777" w:rsidR="00DE1BDD" w:rsidRPr="00BD16B4" w:rsidRDefault="00DE1BDD" w:rsidP="004A205F">
            <w:pPr>
              <w:pStyle w:val="TableText"/>
              <w:rPr>
                <w:rFonts w:cs="Calibri"/>
                <w:szCs w:val="18"/>
              </w:rPr>
            </w:pPr>
            <w:r w:rsidRPr="00BD16B4">
              <w:rPr>
                <w:rFonts w:cs="Calibri"/>
                <w:szCs w:val="18"/>
              </w:rPr>
              <w:t>1</w:t>
            </w:r>
          </w:p>
        </w:tc>
        <w:tc>
          <w:tcPr>
            <w:tcW w:w="1153" w:type="dxa"/>
          </w:tcPr>
          <w:p w14:paraId="0DCFE0C7" w14:textId="77777777" w:rsidR="00DE1BDD" w:rsidRPr="00BD16B4" w:rsidRDefault="00DE1BDD" w:rsidP="004A205F">
            <w:pPr>
              <w:pStyle w:val="TableText"/>
              <w:rPr>
                <w:rFonts w:cs="Calibri"/>
                <w:szCs w:val="18"/>
              </w:rPr>
            </w:pPr>
            <w:r w:rsidRPr="00BD16B4">
              <w:rPr>
                <w:rFonts w:cs="Calibri"/>
                <w:szCs w:val="18"/>
              </w:rPr>
              <w:t>1</w:t>
            </w:r>
          </w:p>
        </w:tc>
        <w:tc>
          <w:tcPr>
            <w:tcW w:w="1157" w:type="dxa"/>
          </w:tcPr>
          <w:p w14:paraId="7AEEDA4D" w14:textId="77777777" w:rsidR="00DE1BDD" w:rsidRPr="00BD16B4" w:rsidRDefault="00DE1BDD" w:rsidP="004A205F">
            <w:pPr>
              <w:pStyle w:val="TableText"/>
              <w:rPr>
                <w:rFonts w:cs="Calibri"/>
                <w:szCs w:val="18"/>
              </w:rPr>
            </w:pPr>
            <w:r w:rsidRPr="00BD16B4">
              <w:rPr>
                <w:rFonts w:cs="Calibri"/>
                <w:szCs w:val="18"/>
              </w:rPr>
              <w:t>1</w:t>
            </w:r>
          </w:p>
        </w:tc>
        <w:tc>
          <w:tcPr>
            <w:tcW w:w="1157" w:type="dxa"/>
          </w:tcPr>
          <w:p w14:paraId="3839BC07" w14:textId="77777777" w:rsidR="00DE1BDD" w:rsidRPr="00BD16B4" w:rsidRDefault="00DE1BDD" w:rsidP="004A205F">
            <w:pPr>
              <w:pStyle w:val="TableText"/>
              <w:rPr>
                <w:rFonts w:cs="Calibri"/>
                <w:szCs w:val="18"/>
              </w:rPr>
            </w:pPr>
            <w:r w:rsidRPr="00BD16B4">
              <w:rPr>
                <w:rFonts w:cs="Calibri"/>
                <w:szCs w:val="18"/>
              </w:rPr>
              <w:t>1</w:t>
            </w:r>
          </w:p>
        </w:tc>
      </w:tr>
      <w:tr w:rsidR="00DE1BDD" w:rsidRPr="00BD16B4" w14:paraId="775E3BA4" w14:textId="77777777" w:rsidTr="004A205F">
        <w:tc>
          <w:tcPr>
            <w:tcW w:w="1387" w:type="dxa"/>
          </w:tcPr>
          <w:p w14:paraId="051F914D" w14:textId="77777777" w:rsidR="00DE1BDD" w:rsidRPr="00BD16B4" w:rsidRDefault="00DE1BDD" w:rsidP="004A205F">
            <w:pPr>
              <w:pStyle w:val="TableText"/>
              <w:rPr>
                <w:rFonts w:cs="Calibri"/>
                <w:szCs w:val="18"/>
              </w:rPr>
            </w:pPr>
            <w:r w:rsidRPr="00BD16B4">
              <w:rPr>
                <w:rFonts w:cs="Calibri"/>
                <w:szCs w:val="18"/>
              </w:rPr>
              <w:t>WMO/GAW column ozone network</w:t>
            </w:r>
          </w:p>
        </w:tc>
        <w:tc>
          <w:tcPr>
            <w:tcW w:w="1402" w:type="dxa"/>
          </w:tcPr>
          <w:p w14:paraId="2715D9F7" w14:textId="77777777" w:rsidR="00DE1BDD" w:rsidRPr="00BD16B4" w:rsidRDefault="00DE1BDD" w:rsidP="004A205F">
            <w:pPr>
              <w:pStyle w:val="TableText"/>
              <w:rPr>
                <w:rFonts w:cs="Calibri"/>
                <w:szCs w:val="18"/>
              </w:rPr>
            </w:pPr>
            <w:r w:rsidRPr="00BD16B4">
              <w:rPr>
                <w:rFonts w:cs="Calibri"/>
                <w:szCs w:val="18"/>
              </w:rPr>
              <w:t>Ozone</w:t>
            </w:r>
          </w:p>
        </w:tc>
        <w:tc>
          <w:tcPr>
            <w:tcW w:w="1153" w:type="dxa"/>
          </w:tcPr>
          <w:p w14:paraId="0C57ABE8" w14:textId="77777777" w:rsidR="00DE1BDD" w:rsidRPr="00BD16B4" w:rsidRDefault="00DE1BDD" w:rsidP="004A205F">
            <w:pPr>
              <w:pStyle w:val="TableText"/>
              <w:rPr>
                <w:rFonts w:cs="Calibri"/>
                <w:szCs w:val="18"/>
              </w:rPr>
            </w:pPr>
            <w:r w:rsidRPr="00BD16B4">
              <w:rPr>
                <w:rFonts w:cs="Calibri"/>
                <w:szCs w:val="18"/>
              </w:rPr>
              <w:t>2</w:t>
            </w:r>
          </w:p>
        </w:tc>
        <w:tc>
          <w:tcPr>
            <w:tcW w:w="1153" w:type="dxa"/>
          </w:tcPr>
          <w:p w14:paraId="1A6A8839" w14:textId="77777777" w:rsidR="00DE1BDD" w:rsidRPr="00BD16B4" w:rsidRDefault="00DE1BDD" w:rsidP="004A205F">
            <w:pPr>
              <w:pStyle w:val="TableText"/>
              <w:rPr>
                <w:rFonts w:cs="Calibri"/>
                <w:szCs w:val="18"/>
              </w:rPr>
            </w:pPr>
            <w:r w:rsidRPr="00BD16B4">
              <w:rPr>
                <w:rFonts w:cs="Calibri"/>
                <w:szCs w:val="18"/>
              </w:rPr>
              <w:t>2</w:t>
            </w:r>
          </w:p>
        </w:tc>
        <w:tc>
          <w:tcPr>
            <w:tcW w:w="1153" w:type="dxa"/>
          </w:tcPr>
          <w:p w14:paraId="03F8BB3E" w14:textId="77777777" w:rsidR="00DE1BDD" w:rsidRPr="00BD16B4" w:rsidRDefault="00DE1BDD" w:rsidP="004A205F">
            <w:pPr>
              <w:pStyle w:val="TableText"/>
              <w:rPr>
                <w:rFonts w:cs="Calibri"/>
                <w:szCs w:val="18"/>
              </w:rPr>
            </w:pPr>
            <w:r w:rsidRPr="00BD16B4">
              <w:rPr>
                <w:rFonts w:cs="Calibri"/>
                <w:szCs w:val="18"/>
              </w:rPr>
              <w:t>2</w:t>
            </w:r>
          </w:p>
        </w:tc>
        <w:tc>
          <w:tcPr>
            <w:tcW w:w="1157" w:type="dxa"/>
          </w:tcPr>
          <w:p w14:paraId="7833E667" w14:textId="77777777" w:rsidR="00DE1BDD" w:rsidRPr="00BD16B4" w:rsidRDefault="00DE1BDD" w:rsidP="004A205F">
            <w:pPr>
              <w:pStyle w:val="TableText"/>
              <w:rPr>
                <w:rFonts w:cs="Calibri"/>
                <w:szCs w:val="18"/>
              </w:rPr>
            </w:pPr>
            <w:r w:rsidRPr="00BD16B4">
              <w:rPr>
                <w:rFonts w:cs="Calibri"/>
                <w:szCs w:val="18"/>
              </w:rPr>
              <w:t>2</w:t>
            </w:r>
          </w:p>
        </w:tc>
        <w:tc>
          <w:tcPr>
            <w:tcW w:w="1157" w:type="dxa"/>
          </w:tcPr>
          <w:p w14:paraId="7A1AF60D" w14:textId="77777777" w:rsidR="00DE1BDD" w:rsidRPr="00BD16B4" w:rsidRDefault="00DE1BDD" w:rsidP="004A205F">
            <w:pPr>
              <w:pStyle w:val="TableText"/>
              <w:rPr>
                <w:rFonts w:cs="Calibri"/>
                <w:szCs w:val="18"/>
              </w:rPr>
            </w:pPr>
            <w:r w:rsidRPr="00BD16B4">
              <w:rPr>
                <w:rFonts w:cs="Calibri"/>
                <w:szCs w:val="18"/>
              </w:rPr>
              <w:t>2</w:t>
            </w:r>
          </w:p>
        </w:tc>
      </w:tr>
      <w:tr w:rsidR="00DE1BDD" w:rsidRPr="00BD16B4" w14:paraId="7822C305" w14:textId="77777777" w:rsidTr="004A205F">
        <w:tc>
          <w:tcPr>
            <w:tcW w:w="1387" w:type="dxa"/>
            <w:vMerge w:val="restart"/>
          </w:tcPr>
          <w:p w14:paraId="75230A92" w14:textId="77777777" w:rsidR="00DE1BDD" w:rsidRPr="00BD16B4" w:rsidRDefault="00DE1BDD" w:rsidP="004A205F">
            <w:pPr>
              <w:pStyle w:val="TableText"/>
              <w:rPr>
                <w:rFonts w:cs="Calibri"/>
                <w:szCs w:val="18"/>
              </w:rPr>
            </w:pPr>
            <w:r w:rsidRPr="00BD16B4">
              <w:rPr>
                <w:rFonts w:cs="Calibri"/>
                <w:szCs w:val="18"/>
              </w:rPr>
              <w:t>WMO/GAW aerosol network</w:t>
            </w:r>
          </w:p>
        </w:tc>
        <w:tc>
          <w:tcPr>
            <w:tcW w:w="1402" w:type="dxa"/>
          </w:tcPr>
          <w:p w14:paraId="5C5976F4" w14:textId="77777777" w:rsidR="00DE1BDD" w:rsidRPr="00BD16B4" w:rsidRDefault="00DE1BDD" w:rsidP="004A205F">
            <w:pPr>
              <w:pStyle w:val="TableText"/>
              <w:rPr>
                <w:rFonts w:cs="Calibri"/>
                <w:szCs w:val="18"/>
              </w:rPr>
            </w:pPr>
            <w:r w:rsidRPr="00BD16B4">
              <w:rPr>
                <w:rFonts w:cs="Calibri"/>
                <w:szCs w:val="18"/>
              </w:rPr>
              <w:t>Aerosol optical depth</w:t>
            </w:r>
          </w:p>
        </w:tc>
        <w:tc>
          <w:tcPr>
            <w:tcW w:w="1153" w:type="dxa"/>
          </w:tcPr>
          <w:p w14:paraId="6F35487A" w14:textId="77777777" w:rsidR="00DE1BDD" w:rsidRPr="00BD16B4" w:rsidRDefault="00DE1BDD" w:rsidP="004A205F">
            <w:pPr>
              <w:pStyle w:val="TableText"/>
              <w:rPr>
                <w:rFonts w:cs="Calibri"/>
                <w:szCs w:val="18"/>
              </w:rPr>
            </w:pPr>
            <w:r w:rsidRPr="00BD16B4">
              <w:rPr>
                <w:rFonts w:cs="Calibri"/>
                <w:szCs w:val="18"/>
              </w:rPr>
              <w:t>3</w:t>
            </w:r>
          </w:p>
        </w:tc>
        <w:tc>
          <w:tcPr>
            <w:tcW w:w="1153" w:type="dxa"/>
          </w:tcPr>
          <w:p w14:paraId="6A2A685A" w14:textId="77777777" w:rsidR="00DE1BDD" w:rsidRPr="00BD16B4" w:rsidRDefault="00DE1BDD" w:rsidP="004A205F">
            <w:pPr>
              <w:pStyle w:val="TableText"/>
              <w:rPr>
                <w:rFonts w:cs="Calibri"/>
                <w:szCs w:val="18"/>
              </w:rPr>
            </w:pPr>
            <w:r w:rsidRPr="00BD16B4">
              <w:rPr>
                <w:rFonts w:cs="Calibri"/>
                <w:szCs w:val="18"/>
              </w:rPr>
              <w:t>3</w:t>
            </w:r>
          </w:p>
        </w:tc>
        <w:tc>
          <w:tcPr>
            <w:tcW w:w="1153" w:type="dxa"/>
          </w:tcPr>
          <w:p w14:paraId="77F24498" w14:textId="77777777" w:rsidR="00DE1BDD" w:rsidRPr="00BD16B4" w:rsidRDefault="00DE1BDD" w:rsidP="004A205F">
            <w:pPr>
              <w:pStyle w:val="TableText"/>
              <w:rPr>
                <w:rFonts w:cs="Calibri"/>
                <w:szCs w:val="18"/>
              </w:rPr>
            </w:pPr>
            <w:r w:rsidRPr="00BD16B4">
              <w:rPr>
                <w:rFonts w:cs="Calibri"/>
                <w:szCs w:val="18"/>
              </w:rPr>
              <w:t>3</w:t>
            </w:r>
          </w:p>
        </w:tc>
        <w:tc>
          <w:tcPr>
            <w:tcW w:w="1157" w:type="dxa"/>
          </w:tcPr>
          <w:p w14:paraId="243E7DBF" w14:textId="77777777" w:rsidR="00DE1BDD" w:rsidRPr="00BD16B4" w:rsidRDefault="00DE1BDD" w:rsidP="004A205F">
            <w:pPr>
              <w:pStyle w:val="TableText"/>
              <w:rPr>
                <w:rFonts w:cs="Calibri"/>
                <w:szCs w:val="18"/>
              </w:rPr>
            </w:pPr>
            <w:r w:rsidRPr="00BD16B4">
              <w:rPr>
                <w:rFonts w:cs="Calibri"/>
                <w:szCs w:val="18"/>
              </w:rPr>
              <w:t>3</w:t>
            </w:r>
          </w:p>
        </w:tc>
        <w:tc>
          <w:tcPr>
            <w:tcW w:w="1157" w:type="dxa"/>
          </w:tcPr>
          <w:p w14:paraId="0C6ACC0D" w14:textId="77777777" w:rsidR="00DE1BDD" w:rsidRPr="00BD16B4" w:rsidRDefault="00DE1BDD" w:rsidP="004A205F">
            <w:pPr>
              <w:pStyle w:val="TableText"/>
              <w:rPr>
                <w:rFonts w:cs="Calibri"/>
                <w:szCs w:val="18"/>
              </w:rPr>
            </w:pPr>
            <w:r w:rsidRPr="00BD16B4">
              <w:rPr>
                <w:rFonts w:cs="Calibri"/>
                <w:szCs w:val="18"/>
              </w:rPr>
              <w:t>3</w:t>
            </w:r>
          </w:p>
        </w:tc>
      </w:tr>
      <w:tr w:rsidR="00DE1BDD" w:rsidRPr="00BD16B4" w14:paraId="0ADBDEB6" w14:textId="77777777" w:rsidTr="004A205F">
        <w:tc>
          <w:tcPr>
            <w:tcW w:w="1387" w:type="dxa"/>
            <w:vMerge/>
          </w:tcPr>
          <w:p w14:paraId="68A08EC6" w14:textId="77777777" w:rsidR="00DE1BDD" w:rsidRPr="00BD16B4" w:rsidRDefault="00DE1BDD" w:rsidP="004A205F">
            <w:pPr>
              <w:pStyle w:val="TableText"/>
              <w:rPr>
                <w:rFonts w:cs="Calibri"/>
                <w:szCs w:val="18"/>
              </w:rPr>
            </w:pPr>
          </w:p>
        </w:tc>
        <w:tc>
          <w:tcPr>
            <w:tcW w:w="1402" w:type="dxa"/>
          </w:tcPr>
          <w:p w14:paraId="72923AC9" w14:textId="77777777" w:rsidR="00DE1BDD" w:rsidRPr="00BD16B4" w:rsidRDefault="00DE1BDD" w:rsidP="004A205F">
            <w:pPr>
              <w:pStyle w:val="TableText"/>
              <w:rPr>
                <w:rFonts w:cs="Calibri"/>
                <w:szCs w:val="18"/>
              </w:rPr>
            </w:pPr>
            <w:r w:rsidRPr="00BD16B4">
              <w:rPr>
                <w:rFonts w:cs="Calibri"/>
                <w:szCs w:val="18"/>
              </w:rPr>
              <w:t>Other aerosol properties</w:t>
            </w:r>
          </w:p>
        </w:tc>
        <w:tc>
          <w:tcPr>
            <w:tcW w:w="1153" w:type="dxa"/>
          </w:tcPr>
          <w:p w14:paraId="6EE630B2" w14:textId="77777777" w:rsidR="00DE1BDD" w:rsidRPr="00BD16B4" w:rsidRDefault="00DE1BDD" w:rsidP="004A205F">
            <w:pPr>
              <w:pStyle w:val="TableText"/>
              <w:rPr>
                <w:rFonts w:cs="Calibri"/>
                <w:szCs w:val="18"/>
              </w:rPr>
            </w:pPr>
            <w:r w:rsidRPr="00BD16B4">
              <w:rPr>
                <w:rFonts w:cs="Calibri"/>
                <w:szCs w:val="18"/>
              </w:rPr>
              <w:t>4</w:t>
            </w:r>
          </w:p>
        </w:tc>
        <w:tc>
          <w:tcPr>
            <w:tcW w:w="1153" w:type="dxa"/>
          </w:tcPr>
          <w:p w14:paraId="0FE70A4A" w14:textId="77777777" w:rsidR="00DE1BDD" w:rsidRPr="00BD16B4" w:rsidRDefault="00DE1BDD" w:rsidP="004A205F">
            <w:pPr>
              <w:pStyle w:val="TableText"/>
              <w:rPr>
                <w:rFonts w:cs="Calibri"/>
                <w:szCs w:val="18"/>
              </w:rPr>
            </w:pPr>
            <w:r w:rsidRPr="00BD16B4">
              <w:rPr>
                <w:rFonts w:cs="Calibri"/>
                <w:szCs w:val="18"/>
              </w:rPr>
              <w:t>4</w:t>
            </w:r>
          </w:p>
        </w:tc>
        <w:tc>
          <w:tcPr>
            <w:tcW w:w="1153" w:type="dxa"/>
          </w:tcPr>
          <w:p w14:paraId="2D826278" w14:textId="77777777" w:rsidR="00DE1BDD" w:rsidRPr="00BD16B4" w:rsidRDefault="00DE1BDD" w:rsidP="004A205F">
            <w:pPr>
              <w:pStyle w:val="TableText"/>
              <w:rPr>
                <w:rFonts w:cs="Calibri"/>
                <w:szCs w:val="18"/>
              </w:rPr>
            </w:pPr>
            <w:r w:rsidRPr="00BD16B4">
              <w:rPr>
                <w:rFonts w:cs="Calibri"/>
                <w:szCs w:val="18"/>
              </w:rPr>
              <w:t>4</w:t>
            </w:r>
          </w:p>
        </w:tc>
        <w:tc>
          <w:tcPr>
            <w:tcW w:w="1157" w:type="dxa"/>
          </w:tcPr>
          <w:p w14:paraId="7E086829" w14:textId="77777777" w:rsidR="00DE1BDD" w:rsidRPr="00BD16B4" w:rsidRDefault="00DE1BDD" w:rsidP="004A205F">
            <w:pPr>
              <w:pStyle w:val="TableText"/>
              <w:rPr>
                <w:rFonts w:cs="Calibri"/>
                <w:szCs w:val="18"/>
              </w:rPr>
            </w:pPr>
            <w:r w:rsidRPr="00BD16B4">
              <w:rPr>
                <w:rFonts w:cs="Calibri"/>
                <w:szCs w:val="18"/>
              </w:rPr>
              <w:t>4</w:t>
            </w:r>
          </w:p>
        </w:tc>
        <w:tc>
          <w:tcPr>
            <w:tcW w:w="1157" w:type="dxa"/>
          </w:tcPr>
          <w:p w14:paraId="2390F38B" w14:textId="77777777" w:rsidR="00DE1BDD" w:rsidRPr="00BD16B4" w:rsidRDefault="00DE1BDD" w:rsidP="004A205F">
            <w:pPr>
              <w:pStyle w:val="TableText"/>
              <w:rPr>
                <w:rFonts w:cs="Calibri"/>
                <w:szCs w:val="18"/>
              </w:rPr>
            </w:pPr>
            <w:r w:rsidRPr="00BD16B4">
              <w:rPr>
                <w:rFonts w:cs="Calibri"/>
                <w:szCs w:val="18"/>
              </w:rPr>
              <w:t>4</w:t>
            </w:r>
          </w:p>
        </w:tc>
      </w:tr>
      <w:tr w:rsidR="00DE1BDD" w:rsidRPr="00BD16B4" w14:paraId="62C1C06A" w14:textId="77777777" w:rsidTr="004A205F">
        <w:tc>
          <w:tcPr>
            <w:tcW w:w="8562" w:type="dxa"/>
            <w:gridSpan w:val="7"/>
          </w:tcPr>
          <w:p w14:paraId="2FFB9CF9" w14:textId="77777777" w:rsidR="00DE1BDD" w:rsidRPr="00BD16B4" w:rsidRDefault="00DE1BDD" w:rsidP="004A205F">
            <w:pPr>
              <w:pStyle w:val="TableTextbold"/>
              <w:rPr>
                <w:rFonts w:cs="Calibri"/>
                <w:szCs w:val="18"/>
              </w:rPr>
            </w:pPr>
            <w:r w:rsidRPr="00BD16B4">
              <w:rPr>
                <w:rFonts w:cs="Calibri"/>
                <w:szCs w:val="18"/>
              </w:rPr>
              <w:t>National contributions to the oceanic essential climate variables – surface</w:t>
            </w:r>
          </w:p>
        </w:tc>
      </w:tr>
      <w:tr w:rsidR="00DE1BDD" w:rsidRPr="00BD16B4" w14:paraId="0138A443" w14:textId="77777777" w:rsidTr="004A205F">
        <w:tc>
          <w:tcPr>
            <w:tcW w:w="1387" w:type="dxa"/>
          </w:tcPr>
          <w:p w14:paraId="3DFF990B" w14:textId="77777777" w:rsidR="00DE1BDD" w:rsidRPr="00BD16B4" w:rsidRDefault="00DE1BDD" w:rsidP="004A205F">
            <w:pPr>
              <w:pStyle w:val="TableText"/>
              <w:rPr>
                <w:rFonts w:cs="Calibri"/>
                <w:szCs w:val="18"/>
              </w:rPr>
            </w:pPr>
            <w:r w:rsidRPr="00BD16B4">
              <w:rPr>
                <w:rFonts w:cs="Calibri"/>
                <w:szCs w:val="18"/>
              </w:rPr>
              <w:t>Global Drifter Program</w:t>
            </w:r>
            <w:r w:rsidRPr="00BD16B4">
              <w:rPr>
                <w:rStyle w:val="FootnoteReference"/>
                <w:rFonts w:cs="Calibri"/>
                <w:sz w:val="18"/>
                <w:szCs w:val="18"/>
              </w:rPr>
              <w:footnoteReference w:id="723"/>
            </w:r>
            <w:r w:rsidRPr="00BD16B4">
              <w:rPr>
                <w:rFonts w:cs="Calibri"/>
                <w:szCs w:val="18"/>
              </w:rPr>
              <w:t xml:space="preserve"> (surface drifting buoy array)</w:t>
            </w:r>
          </w:p>
        </w:tc>
        <w:tc>
          <w:tcPr>
            <w:tcW w:w="1402" w:type="dxa"/>
          </w:tcPr>
          <w:p w14:paraId="119F227A" w14:textId="77777777" w:rsidR="00DE1BDD" w:rsidRPr="00BD16B4" w:rsidRDefault="00DE1BDD" w:rsidP="004A205F">
            <w:pPr>
              <w:pStyle w:val="TableText"/>
              <w:rPr>
                <w:rFonts w:cs="Calibri"/>
                <w:szCs w:val="18"/>
              </w:rPr>
            </w:pPr>
            <w:r w:rsidRPr="00BD16B4">
              <w:rPr>
                <w:rFonts w:cs="Calibri"/>
                <w:szCs w:val="18"/>
              </w:rPr>
              <w:t>Sea-surface temperature, sea-level pressure, position-change based current</w:t>
            </w:r>
          </w:p>
        </w:tc>
        <w:tc>
          <w:tcPr>
            <w:tcW w:w="1153" w:type="dxa"/>
          </w:tcPr>
          <w:p w14:paraId="20FA4FE1" w14:textId="77777777" w:rsidR="00DE1BDD" w:rsidRPr="00BD16B4" w:rsidRDefault="00DE1BDD" w:rsidP="004A205F">
            <w:pPr>
              <w:pStyle w:val="TableText"/>
              <w:rPr>
                <w:rFonts w:cs="Calibri"/>
                <w:szCs w:val="18"/>
              </w:rPr>
            </w:pPr>
            <w:r w:rsidRPr="00BD16B4">
              <w:rPr>
                <w:rFonts w:cs="Calibri"/>
                <w:szCs w:val="18"/>
              </w:rPr>
              <w:t>20</w:t>
            </w:r>
          </w:p>
        </w:tc>
        <w:tc>
          <w:tcPr>
            <w:tcW w:w="1153" w:type="dxa"/>
          </w:tcPr>
          <w:p w14:paraId="3DD72F00" w14:textId="77777777" w:rsidR="00DE1BDD" w:rsidRPr="00BD16B4" w:rsidRDefault="00DE1BDD" w:rsidP="004A205F">
            <w:pPr>
              <w:pStyle w:val="TableText"/>
              <w:rPr>
                <w:rFonts w:cs="Calibri"/>
                <w:szCs w:val="18"/>
              </w:rPr>
            </w:pPr>
            <w:r w:rsidRPr="00BD16B4">
              <w:rPr>
                <w:rFonts w:cs="Calibri"/>
                <w:szCs w:val="18"/>
              </w:rPr>
              <w:t>20</w:t>
            </w:r>
          </w:p>
        </w:tc>
        <w:tc>
          <w:tcPr>
            <w:tcW w:w="1153" w:type="dxa"/>
          </w:tcPr>
          <w:p w14:paraId="0332D8B0" w14:textId="77777777" w:rsidR="00DE1BDD" w:rsidRPr="00BD16B4" w:rsidRDefault="00DE1BDD" w:rsidP="004A205F">
            <w:pPr>
              <w:pStyle w:val="TableText"/>
              <w:rPr>
                <w:rFonts w:cs="Calibri"/>
                <w:szCs w:val="18"/>
              </w:rPr>
            </w:pPr>
            <w:r w:rsidRPr="00BD16B4">
              <w:rPr>
                <w:rFonts w:cs="Calibri"/>
                <w:szCs w:val="18"/>
              </w:rPr>
              <w:t>20</w:t>
            </w:r>
          </w:p>
        </w:tc>
        <w:tc>
          <w:tcPr>
            <w:tcW w:w="1157" w:type="dxa"/>
          </w:tcPr>
          <w:p w14:paraId="50AF8891" w14:textId="77777777" w:rsidR="00DE1BDD" w:rsidRPr="00BD16B4" w:rsidRDefault="00DE1BDD" w:rsidP="004A205F">
            <w:pPr>
              <w:pStyle w:val="TableText"/>
              <w:rPr>
                <w:rFonts w:cs="Calibri"/>
                <w:szCs w:val="18"/>
              </w:rPr>
            </w:pPr>
            <w:r w:rsidRPr="00BD16B4">
              <w:rPr>
                <w:rFonts w:cs="Calibri"/>
                <w:szCs w:val="18"/>
              </w:rPr>
              <w:t>20</w:t>
            </w:r>
          </w:p>
        </w:tc>
        <w:tc>
          <w:tcPr>
            <w:tcW w:w="1157" w:type="dxa"/>
          </w:tcPr>
          <w:p w14:paraId="7916F818" w14:textId="77777777" w:rsidR="00DE1BDD" w:rsidRPr="00BD16B4" w:rsidRDefault="00DE1BDD" w:rsidP="004A205F">
            <w:pPr>
              <w:pStyle w:val="TableText"/>
              <w:rPr>
                <w:rFonts w:cs="Calibri"/>
                <w:szCs w:val="18"/>
              </w:rPr>
            </w:pPr>
            <w:r w:rsidRPr="00BD16B4">
              <w:rPr>
                <w:rFonts w:cs="Calibri"/>
                <w:szCs w:val="18"/>
              </w:rPr>
              <w:t>20</w:t>
            </w:r>
          </w:p>
        </w:tc>
      </w:tr>
      <w:tr w:rsidR="00DE1BDD" w:rsidRPr="00BD16B4" w14:paraId="32F5E5D2" w14:textId="77777777" w:rsidTr="004A205F">
        <w:tc>
          <w:tcPr>
            <w:tcW w:w="1387" w:type="dxa"/>
          </w:tcPr>
          <w:p w14:paraId="75025569" w14:textId="77777777" w:rsidR="00DE1BDD" w:rsidRPr="00BD16B4" w:rsidRDefault="00DE1BDD" w:rsidP="004A205F">
            <w:pPr>
              <w:pStyle w:val="TableText"/>
              <w:rPr>
                <w:rFonts w:cs="Calibri"/>
                <w:szCs w:val="18"/>
              </w:rPr>
            </w:pPr>
            <w:r w:rsidRPr="00BD16B4">
              <w:rPr>
                <w:rFonts w:cs="Calibri"/>
                <w:szCs w:val="18"/>
              </w:rPr>
              <w:t>GLOSS Core Sea-level Network</w:t>
            </w:r>
          </w:p>
        </w:tc>
        <w:tc>
          <w:tcPr>
            <w:tcW w:w="1402" w:type="dxa"/>
          </w:tcPr>
          <w:p w14:paraId="75938A63" w14:textId="77777777" w:rsidR="00DE1BDD" w:rsidRPr="00BD16B4" w:rsidRDefault="00DE1BDD" w:rsidP="004A205F">
            <w:pPr>
              <w:pStyle w:val="TableText"/>
              <w:rPr>
                <w:rFonts w:cs="Calibri"/>
                <w:szCs w:val="18"/>
              </w:rPr>
            </w:pPr>
            <w:r w:rsidRPr="00BD16B4">
              <w:rPr>
                <w:rFonts w:cs="Calibri"/>
                <w:szCs w:val="18"/>
              </w:rPr>
              <w:t>Sea level</w:t>
            </w:r>
          </w:p>
        </w:tc>
        <w:tc>
          <w:tcPr>
            <w:tcW w:w="1153" w:type="dxa"/>
          </w:tcPr>
          <w:p w14:paraId="3830FD43" w14:textId="77777777" w:rsidR="00DE1BDD" w:rsidRPr="00BD16B4" w:rsidRDefault="00DE1BDD" w:rsidP="004A205F">
            <w:pPr>
              <w:pStyle w:val="TableText"/>
              <w:rPr>
                <w:rFonts w:cs="Calibri"/>
                <w:szCs w:val="18"/>
              </w:rPr>
            </w:pPr>
            <w:r w:rsidRPr="00BD16B4">
              <w:rPr>
                <w:rFonts w:cs="Calibri"/>
                <w:szCs w:val="18"/>
              </w:rPr>
              <w:t>78</w:t>
            </w:r>
          </w:p>
        </w:tc>
        <w:tc>
          <w:tcPr>
            <w:tcW w:w="1153" w:type="dxa"/>
          </w:tcPr>
          <w:p w14:paraId="4A70D293" w14:textId="77777777" w:rsidR="00DE1BDD" w:rsidRPr="00BD16B4" w:rsidRDefault="00DE1BDD" w:rsidP="004A205F">
            <w:pPr>
              <w:pStyle w:val="TableText"/>
              <w:rPr>
                <w:rFonts w:cs="Calibri"/>
                <w:szCs w:val="18"/>
              </w:rPr>
            </w:pPr>
            <w:r w:rsidRPr="00BD16B4">
              <w:rPr>
                <w:rFonts w:cs="Calibri"/>
                <w:szCs w:val="18"/>
              </w:rPr>
              <w:t>10</w:t>
            </w:r>
          </w:p>
        </w:tc>
        <w:tc>
          <w:tcPr>
            <w:tcW w:w="1153" w:type="dxa"/>
          </w:tcPr>
          <w:p w14:paraId="654B2612" w14:textId="77777777" w:rsidR="00DE1BDD" w:rsidRPr="00BD16B4" w:rsidRDefault="00DE1BDD" w:rsidP="004A205F">
            <w:pPr>
              <w:pStyle w:val="TableText"/>
              <w:rPr>
                <w:rFonts w:cs="Calibri"/>
                <w:szCs w:val="18"/>
              </w:rPr>
            </w:pPr>
            <w:r w:rsidRPr="00BD16B4">
              <w:rPr>
                <w:rFonts w:cs="Calibri"/>
                <w:szCs w:val="18"/>
              </w:rPr>
              <w:t>70</w:t>
            </w:r>
          </w:p>
        </w:tc>
        <w:tc>
          <w:tcPr>
            <w:tcW w:w="1157" w:type="dxa"/>
          </w:tcPr>
          <w:p w14:paraId="0F00641F" w14:textId="77777777" w:rsidR="00DE1BDD" w:rsidRPr="00BD16B4" w:rsidRDefault="00DE1BDD" w:rsidP="004A205F">
            <w:pPr>
              <w:pStyle w:val="TableText"/>
              <w:rPr>
                <w:rFonts w:cs="Calibri"/>
                <w:szCs w:val="18"/>
              </w:rPr>
            </w:pPr>
            <w:r w:rsidRPr="00BD16B4">
              <w:rPr>
                <w:rFonts w:cs="Calibri"/>
                <w:szCs w:val="18"/>
              </w:rPr>
              <w:t>3</w:t>
            </w:r>
          </w:p>
        </w:tc>
        <w:tc>
          <w:tcPr>
            <w:tcW w:w="1157" w:type="dxa"/>
          </w:tcPr>
          <w:p w14:paraId="1D0DBC1A" w14:textId="77777777" w:rsidR="00DE1BDD" w:rsidRPr="00BD16B4" w:rsidRDefault="00DE1BDD" w:rsidP="004A205F">
            <w:pPr>
              <w:pStyle w:val="TableText"/>
              <w:rPr>
                <w:rFonts w:cs="Calibri"/>
                <w:szCs w:val="18"/>
              </w:rPr>
            </w:pPr>
            <w:r w:rsidRPr="00BD16B4">
              <w:rPr>
                <w:rFonts w:cs="Calibri"/>
                <w:szCs w:val="18"/>
              </w:rPr>
              <w:t>2</w:t>
            </w:r>
          </w:p>
        </w:tc>
      </w:tr>
      <w:tr w:rsidR="00DE1BDD" w:rsidRPr="00BD16B4" w14:paraId="423DA26C" w14:textId="77777777" w:rsidTr="004A205F">
        <w:tc>
          <w:tcPr>
            <w:tcW w:w="1387" w:type="dxa"/>
          </w:tcPr>
          <w:p w14:paraId="1E7E81DB" w14:textId="77777777" w:rsidR="00DE1BDD" w:rsidRPr="00BD16B4" w:rsidRDefault="00DE1BDD" w:rsidP="004A205F">
            <w:pPr>
              <w:pStyle w:val="TableText"/>
              <w:rPr>
                <w:rFonts w:cs="Calibri"/>
                <w:szCs w:val="18"/>
              </w:rPr>
            </w:pPr>
            <w:r w:rsidRPr="00BD16B4">
              <w:rPr>
                <w:rFonts w:cs="Calibri"/>
                <w:szCs w:val="18"/>
              </w:rPr>
              <w:t>Voluntary observing ships (VOS)</w:t>
            </w:r>
            <w:r w:rsidRPr="00BD16B4">
              <w:rPr>
                <w:rStyle w:val="FootnoteReference"/>
                <w:rFonts w:cs="Calibri"/>
                <w:sz w:val="18"/>
                <w:szCs w:val="18"/>
              </w:rPr>
              <w:footnoteReference w:id="724"/>
            </w:r>
          </w:p>
        </w:tc>
        <w:tc>
          <w:tcPr>
            <w:tcW w:w="1402" w:type="dxa"/>
          </w:tcPr>
          <w:p w14:paraId="76487CDB" w14:textId="77777777" w:rsidR="00DE1BDD" w:rsidRPr="00BD16B4" w:rsidRDefault="00DE1BDD" w:rsidP="004A205F">
            <w:pPr>
              <w:pStyle w:val="TableText"/>
              <w:rPr>
                <w:rFonts w:cs="Calibri"/>
                <w:szCs w:val="18"/>
              </w:rPr>
            </w:pPr>
            <w:r w:rsidRPr="00BD16B4">
              <w:rPr>
                <w:rFonts w:cs="Calibri"/>
                <w:szCs w:val="18"/>
              </w:rPr>
              <w:t>All feasible surface essential climate variables</w:t>
            </w:r>
          </w:p>
        </w:tc>
        <w:tc>
          <w:tcPr>
            <w:tcW w:w="1153" w:type="dxa"/>
          </w:tcPr>
          <w:p w14:paraId="55EAD6A4" w14:textId="77777777" w:rsidR="00DE1BDD" w:rsidRPr="00BD16B4" w:rsidRDefault="00DE1BDD" w:rsidP="004A205F">
            <w:pPr>
              <w:pStyle w:val="TableText"/>
              <w:rPr>
                <w:rFonts w:cs="Calibri"/>
                <w:szCs w:val="18"/>
              </w:rPr>
            </w:pPr>
            <w:r w:rsidRPr="00BD16B4">
              <w:rPr>
                <w:rFonts w:cs="Calibri"/>
                <w:szCs w:val="18"/>
              </w:rPr>
              <w:t>13</w:t>
            </w:r>
          </w:p>
        </w:tc>
        <w:tc>
          <w:tcPr>
            <w:tcW w:w="1153" w:type="dxa"/>
          </w:tcPr>
          <w:p w14:paraId="2D393FCD" w14:textId="77777777" w:rsidR="00DE1BDD" w:rsidRPr="00BD16B4" w:rsidRDefault="00DE1BDD" w:rsidP="004A205F">
            <w:pPr>
              <w:pStyle w:val="TableText"/>
              <w:rPr>
                <w:rFonts w:cs="Calibri"/>
                <w:szCs w:val="18"/>
              </w:rPr>
            </w:pPr>
            <w:r w:rsidRPr="00BD16B4">
              <w:rPr>
                <w:rFonts w:cs="Calibri"/>
                <w:szCs w:val="18"/>
              </w:rPr>
              <w:t>13</w:t>
            </w:r>
          </w:p>
        </w:tc>
        <w:tc>
          <w:tcPr>
            <w:tcW w:w="1153" w:type="dxa"/>
          </w:tcPr>
          <w:p w14:paraId="0851565F" w14:textId="77777777" w:rsidR="00DE1BDD" w:rsidRPr="00BD16B4" w:rsidRDefault="00DE1BDD" w:rsidP="004A205F">
            <w:pPr>
              <w:pStyle w:val="TableText"/>
              <w:rPr>
                <w:rFonts w:cs="Calibri"/>
                <w:szCs w:val="18"/>
              </w:rPr>
            </w:pPr>
            <w:r w:rsidRPr="00BD16B4">
              <w:rPr>
                <w:rFonts w:cs="Calibri"/>
                <w:szCs w:val="18"/>
              </w:rPr>
              <w:t>13</w:t>
            </w:r>
          </w:p>
        </w:tc>
        <w:tc>
          <w:tcPr>
            <w:tcW w:w="1157" w:type="dxa"/>
          </w:tcPr>
          <w:p w14:paraId="336B2526" w14:textId="77777777" w:rsidR="00DE1BDD" w:rsidRPr="00BD16B4" w:rsidRDefault="00DE1BDD" w:rsidP="004A205F">
            <w:pPr>
              <w:pStyle w:val="TableText"/>
              <w:rPr>
                <w:rFonts w:cs="Calibri"/>
                <w:szCs w:val="18"/>
              </w:rPr>
            </w:pPr>
            <w:r w:rsidRPr="00BD16B4">
              <w:rPr>
                <w:rFonts w:cs="Calibri"/>
                <w:szCs w:val="18"/>
              </w:rPr>
              <w:t>13</w:t>
            </w:r>
          </w:p>
        </w:tc>
        <w:tc>
          <w:tcPr>
            <w:tcW w:w="1157" w:type="dxa"/>
          </w:tcPr>
          <w:p w14:paraId="307CE3D8" w14:textId="77777777" w:rsidR="00DE1BDD" w:rsidRPr="00BD16B4" w:rsidRDefault="00DE1BDD" w:rsidP="004A205F">
            <w:pPr>
              <w:pStyle w:val="TableText"/>
              <w:rPr>
                <w:rFonts w:cs="Calibri"/>
                <w:szCs w:val="18"/>
              </w:rPr>
            </w:pPr>
            <w:r w:rsidRPr="00BD16B4">
              <w:rPr>
                <w:rFonts w:cs="Calibri"/>
                <w:szCs w:val="18"/>
              </w:rPr>
              <w:t>13</w:t>
            </w:r>
          </w:p>
        </w:tc>
      </w:tr>
      <w:tr w:rsidR="00DE1BDD" w:rsidRPr="00BD16B4" w14:paraId="47CD47E2" w14:textId="77777777" w:rsidTr="004A205F">
        <w:tc>
          <w:tcPr>
            <w:tcW w:w="1387" w:type="dxa"/>
          </w:tcPr>
          <w:p w14:paraId="518CD19D" w14:textId="77777777" w:rsidR="00DE1BDD" w:rsidRPr="00BD16B4" w:rsidRDefault="00DE1BDD" w:rsidP="004A205F">
            <w:pPr>
              <w:pStyle w:val="TableText"/>
              <w:keepNext/>
              <w:rPr>
                <w:rFonts w:cs="Calibri"/>
                <w:szCs w:val="18"/>
              </w:rPr>
            </w:pPr>
            <w:r w:rsidRPr="00BD16B4">
              <w:rPr>
                <w:rFonts w:cs="Calibri"/>
                <w:szCs w:val="18"/>
              </w:rPr>
              <w:t>Ship of Opportunity Programme (SOOP)</w:t>
            </w:r>
            <w:r w:rsidRPr="00BD16B4">
              <w:rPr>
                <w:rStyle w:val="FootnoteReference"/>
                <w:rFonts w:cs="Calibri"/>
                <w:sz w:val="18"/>
                <w:szCs w:val="18"/>
              </w:rPr>
              <w:footnoteReference w:id="725"/>
            </w:r>
          </w:p>
        </w:tc>
        <w:tc>
          <w:tcPr>
            <w:tcW w:w="1402" w:type="dxa"/>
          </w:tcPr>
          <w:p w14:paraId="22525FB6" w14:textId="77777777" w:rsidR="00DE1BDD" w:rsidRPr="00BD16B4" w:rsidRDefault="00DE1BDD" w:rsidP="004A205F">
            <w:pPr>
              <w:pStyle w:val="TableText"/>
              <w:rPr>
                <w:rFonts w:cs="Calibri"/>
                <w:szCs w:val="18"/>
              </w:rPr>
            </w:pPr>
            <w:r w:rsidRPr="00BD16B4">
              <w:rPr>
                <w:rFonts w:cs="Calibri"/>
                <w:szCs w:val="18"/>
              </w:rPr>
              <w:t>All feasible surface essential climate variables</w:t>
            </w:r>
          </w:p>
        </w:tc>
        <w:tc>
          <w:tcPr>
            <w:tcW w:w="1153" w:type="dxa"/>
          </w:tcPr>
          <w:p w14:paraId="4D2E7D44" w14:textId="77777777" w:rsidR="00DE1BDD" w:rsidRPr="00BD16B4" w:rsidRDefault="00DE1BDD" w:rsidP="004A205F">
            <w:pPr>
              <w:pStyle w:val="TableText"/>
              <w:rPr>
                <w:rFonts w:cs="Calibri"/>
                <w:szCs w:val="18"/>
              </w:rPr>
            </w:pPr>
            <w:r w:rsidRPr="00BD16B4">
              <w:rPr>
                <w:rFonts w:cs="Calibri"/>
                <w:szCs w:val="18"/>
              </w:rPr>
              <w:t>0</w:t>
            </w:r>
          </w:p>
        </w:tc>
        <w:tc>
          <w:tcPr>
            <w:tcW w:w="1153" w:type="dxa"/>
          </w:tcPr>
          <w:p w14:paraId="0B8883BB" w14:textId="77777777" w:rsidR="00DE1BDD" w:rsidRPr="00BD16B4" w:rsidRDefault="00DE1BDD" w:rsidP="004A205F">
            <w:pPr>
              <w:pStyle w:val="TableText"/>
              <w:rPr>
                <w:rFonts w:cs="Calibri"/>
                <w:szCs w:val="18"/>
              </w:rPr>
            </w:pPr>
            <w:r w:rsidRPr="00BD16B4">
              <w:rPr>
                <w:rFonts w:cs="Calibri"/>
                <w:szCs w:val="18"/>
              </w:rPr>
              <w:t>0</w:t>
            </w:r>
          </w:p>
        </w:tc>
        <w:tc>
          <w:tcPr>
            <w:tcW w:w="1153" w:type="dxa"/>
          </w:tcPr>
          <w:p w14:paraId="0F32513D" w14:textId="77777777" w:rsidR="00DE1BDD" w:rsidRPr="00BD16B4" w:rsidRDefault="00DE1BDD" w:rsidP="004A205F">
            <w:pPr>
              <w:pStyle w:val="TableText"/>
              <w:rPr>
                <w:rFonts w:cs="Calibri"/>
                <w:szCs w:val="18"/>
              </w:rPr>
            </w:pPr>
            <w:r w:rsidRPr="00BD16B4">
              <w:rPr>
                <w:rFonts w:cs="Calibri"/>
                <w:szCs w:val="18"/>
              </w:rPr>
              <w:t>0</w:t>
            </w:r>
          </w:p>
        </w:tc>
        <w:tc>
          <w:tcPr>
            <w:tcW w:w="1157" w:type="dxa"/>
          </w:tcPr>
          <w:p w14:paraId="18633C66" w14:textId="77777777" w:rsidR="00DE1BDD" w:rsidRPr="00BD16B4" w:rsidRDefault="00DE1BDD" w:rsidP="004A205F">
            <w:pPr>
              <w:pStyle w:val="TableText"/>
              <w:rPr>
                <w:rFonts w:cs="Calibri"/>
                <w:szCs w:val="18"/>
              </w:rPr>
            </w:pPr>
            <w:r w:rsidRPr="00BD16B4">
              <w:rPr>
                <w:rFonts w:cs="Calibri"/>
                <w:szCs w:val="18"/>
              </w:rPr>
              <w:t>0</w:t>
            </w:r>
          </w:p>
        </w:tc>
        <w:tc>
          <w:tcPr>
            <w:tcW w:w="1157" w:type="dxa"/>
          </w:tcPr>
          <w:p w14:paraId="3210C11D" w14:textId="77777777" w:rsidR="00DE1BDD" w:rsidRPr="00BD16B4" w:rsidRDefault="00DE1BDD" w:rsidP="004A205F">
            <w:pPr>
              <w:pStyle w:val="TableText"/>
              <w:rPr>
                <w:rFonts w:cs="Calibri"/>
                <w:szCs w:val="18"/>
              </w:rPr>
            </w:pPr>
            <w:r w:rsidRPr="00BD16B4">
              <w:rPr>
                <w:rFonts w:cs="Calibri"/>
                <w:szCs w:val="18"/>
              </w:rPr>
              <w:t>0</w:t>
            </w:r>
          </w:p>
        </w:tc>
      </w:tr>
      <w:tr w:rsidR="00DE1BDD" w:rsidRPr="00BD16B4" w14:paraId="4EC0622F" w14:textId="77777777" w:rsidTr="004A205F">
        <w:tc>
          <w:tcPr>
            <w:tcW w:w="8562" w:type="dxa"/>
            <w:gridSpan w:val="7"/>
          </w:tcPr>
          <w:p w14:paraId="294B747B" w14:textId="77777777" w:rsidR="00DE1BDD" w:rsidRPr="00BD16B4" w:rsidRDefault="00DE1BDD" w:rsidP="004A205F">
            <w:pPr>
              <w:pStyle w:val="TableTextbold"/>
              <w:keepNext/>
              <w:rPr>
                <w:rFonts w:cs="Calibri"/>
                <w:szCs w:val="18"/>
              </w:rPr>
            </w:pPr>
            <w:r w:rsidRPr="00BD16B4">
              <w:rPr>
                <w:rFonts w:cs="Calibri"/>
                <w:szCs w:val="18"/>
              </w:rPr>
              <w:t>National contributions to the oceanic essential climate variables – water column</w:t>
            </w:r>
          </w:p>
        </w:tc>
      </w:tr>
      <w:tr w:rsidR="00DE1BDD" w:rsidRPr="00BD16B4" w14:paraId="23223499" w14:textId="77777777" w:rsidTr="004A205F">
        <w:tc>
          <w:tcPr>
            <w:tcW w:w="1387" w:type="dxa"/>
          </w:tcPr>
          <w:p w14:paraId="45837433" w14:textId="77777777" w:rsidR="00DE1BDD" w:rsidRPr="00BD16B4" w:rsidRDefault="00DE1BDD" w:rsidP="004A205F">
            <w:pPr>
              <w:pStyle w:val="TableText"/>
              <w:keepNext/>
              <w:rPr>
                <w:rFonts w:cs="Calibri"/>
                <w:szCs w:val="18"/>
              </w:rPr>
            </w:pPr>
            <w:r w:rsidRPr="00BD16B4">
              <w:rPr>
                <w:rFonts w:cs="Calibri"/>
                <w:szCs w:val="18"/>
              </w:rPr>
              <w:t>Global reference mooring network</w:t>
            </w:r>
          </w:p>
        </w:tc>
        <w:tc>
          <w:tcPr>
            <w:tcW w:w="1402" w:type="dxa"/>
          </w:tcPr>
          <w:p w14:paraId="5F0D9B2C" w14:textId="77777777" w:rsidR="00DE1BDD" w:rsidRPr="00BD16B4" w:rsidRDefault="00DE1BDD" w:rsidP="004A205F">
            <w:pPr>
              <w:pStyle w:val="TableText"/>
              <w:keepNext/>
              <w:rPr>
                <w:rFonts w:cs="Calibri"/>
                <w:szCs w:val="18"/>
              </w:rPr>
            </w:pPr>
            <w:r w:rsidRPr="00BD16B4">
              <w:rPr>
                <w:rFonts w:cs="Calibri"/>
                <w:szCs w:val="18"/>
              </w:rPr>
              <w:t>All feasible surface and subsurface essential climate variables</w:t>
            </w:r>
          </w:p>
        </w:tc>
        <w:tc>
          <w:tcPr>
            <w:tcW w:w="1153" w:type="dxa"/>
          </w:tcPr>
          <w:p w14:paraId="2806CE3D" w14:textId="77777777" w:rsidR="00DE1BDD" w:rsidRPr="00BD16B4" w:rsidRDefault="00DE1BDD" w:rsidP="004A205F">
            <w:pPr>
              <w:pStyle w:val="TableText"/>
              <w:keepNext/>
              <w:rPr>
                <w:rFonts w:cs="Calibri"/>
                <w:szCs w:val="18"/>
              </w:rPr>
            </w:pPr>
            <w:r w:rsidRPr="00BD16B4">
              <w:rPr>
                <w:rFonts w:cs="Calibri"/>
                <w:szCs w:val="18"/>
              </w:rPr>
              <w:t>0</w:t>
            </w:r>
          </w:p>
        </w:tc>
        <w:tc>
          <w:tcPr>
            <w:tcW w:w="1153" w:type="dxa"/>
          </w:tcPr>
          <w:p w14:paraId="2822B92D" w14:textId="77777777" w:rsidR="00DE1BDD" w:rsidRPr="00BD16B4" w:rsidRDefault="00DE1BDD" w:rsidP="004A205F">
            <w:pPr>
              <w:pStyle w:val="TableText"/>
              <w:keepNext/>
              <w:rPr>
                <w:rFonts w:cs="Calibri"/>
                <w:szCs w:val="18"/>
              </w:rPr>
            </w:pPr>
            <w:r w:rsidRPr="00BD16B4">
              <w:rPr>
                <w:rFonts w:cs="Calibri"/>
                <w:szCs w:val="18"/>
              </w:rPr>
              <w:t>0</w:t>
            </w:r>
          </w:p>
        </w:tc>
        <w:tc>
          <w:tcPr>
            <w:tcW w:w="1153" w:type="dxa"/>
          </w:tcPr>
          <w:p w14:paraId="5726C3F8" w14:textId="77777777" w:rsidR="00DE1BDD" w:rsidRPr="00BD16B4" w:rsidRDefault="00DE1BDD" w:rsidP="004A205F">
            <w:pPr>
              <w:pStyle w:val="TableText"/>
              <w:keepNext/>
              <w:rPr>
                <w:rFonts w:cs="Calibri"/>
                <w:szCs w:val="18"/>
              </w:rPr>
            </w:pPr>
            <w:r w:rsidRPr="00BD16B4">
              <w:rPr>
                <w:rFonts w:cs="Calibri"/>
                <w:szCs w:val="18"/>
              </w:rPr>
              <w:t>0</w:t>
            </w:r>
          </w:p>
        </w:tc>
        <w:tc>
          <w:tcPr>
            <w:tcW w:w="1157" w:type="dxa"/>
          </w:tcPr>
          <w:p w14:paraId="0538EC05" w14:textId="77777777" w:rsidR="00DE1BDD" w:rsidRPr="00BD16B4" w:rsidRDefault="00DE1BDD" w:rsidP="004A205F">
            <w:pPr>
              <w:pStyle w:val="TableText"/>
              <w:keepNext/>
              <w:rPr>
                <w:rFonts w:cs="Calibri"/>
                <w:szCs w:val="18"/>
              </w:rPr>
            </w:pPr>
            <w:r w:rsidRPr="00BD16B4">
              <w:rPr>
                <w:rFonts w:cs="Calibri"/>
                <w:szCs w:val="18"/>
              </w:rPr>
              <w:t>0</w:t>
            </w:r>
          </w:p>
        </w:tc>
        <w:tc>
          <w:tcPr>
            <w:tcW w:w="1157" w:type="dxa"/>
          </w:tcPr>
          <w:p w14:paraId="73C33702" w14:textId="77777777" w:rsidR="00DE1BDD" w:rsidRPr="00BD16B4" w:rsidRDefault="00DE1BDD" w:rsidP="004A205F">
            <w:pPr>
              <w:pStyle w:val="TableText"/>
              <w:keepNext/>
              <w:rPr>
                <w:rFonts w:cs="Calibri"/>
                <w:szCs w:val="18"/>
              </w:rPr>
            </w:pPr>
            <w:r w:rsidRPr="00BD16B4">
              <w:rPr>
                <w:rFonts w:cs="Calibri"/>
                <w:szCs w:val="18"/>
              </w:rPr>
              <w:t>0</w:t>
            </w:r>
          </w:p>
        </w:tc>
      </w:tr>
      <w:tr w:rsidR="00DE1BDD" w:rsidRPr="00BD16B4" w14:paraId="0478E631" w14:textId="77777777" w:rsidTr="004A205F">
        <w:tc>
          <w:tcPr>
            <w:tcW w:w="1387" w:type="dxa"/>
          </w:tcPr>
          <w:p w14:paraId="7248A892" w14:textId="77777777" w:rsidR="00DE1BDD" w:rsidRPr="00BD16B4" w:rsidRDefault="00DE1BDD" w:rsidP="004A205F">
            <w:pPr>
              <w:pStyle w:val="TableText"/>
              <w:rPr>
                <w:rFonts w:cs="Calibri"/>
                <w:szCs w:val="18"/>
              </w:rPr>
            </w:pPr>
            <w:r w:rsidRPr="00BD16B4">
              <w:rPr>
                <w:rFonts w:cs="Calibri"/>
                <w:szCs w:val="18"/>
              </w:rPr>
              <w:t>Global tropical moored buoy network</w:t>
            </w:r>
          </w:p>
        </w:tc>
        <w:tc>
          <w:tcPr>
            <w:tcW w:w="1402" w:type="dxa"/>
          </w:tcPr>
          <w:p w14:paraId="6877E4D2" w14:textId="77777777" w:rsidR="00DE1BDD" w:rsidRPr="00BD16B4" w:rsidRDefault="00DE1BDD" w:rsidP="004A205F">
            <w:pPr>
              <w:pStyle w:val="TableText"/>
              <w:rPr>
                <w:rFonts w:cs="Calibri"/>
                <w:szCs w:val="18"/>
              </w:rPr>
            </w:pPr>
            <w:r w:rsidRPr="00BD16B4">
              <w:rPr>
                <w:rFonts w:cs="Calibri"/>
                <w:szCs w:val="18"/>
              </w:rPr>
              <w:t>All feasible surface and subsurface essential climate variables</w:t>
            </w:r>
          </w:p>
        </w:tc>
        <w:tc>
          <w:tcPr>
            <w:tcW w:w="1153" w:type="dxa"/>
          </w:tcPr>
          <w:p w14:paraId="5A9228D3" w14:textId="77777777" w:rsidR="00DE1BDD" w:rsidRPr="00BD16B4" w:rsidRDefault="00DE1BDD" w:rsidP="004A205F">
            <w:pPr>
              <w:pStyle w:val="TableText"/>
              <w:rPr>
                <w:rFonts w:cs="Calibri"/>
                <w:szCs w:val="18"/>
              </w:rPr>
            </w:pPr>
            <w:r w:rsidRPr="00BD16B4">
              <w:rPr>
                <w:rFonts w:cs="Calibri"/>
                <w:szCs w:val="18"/>
              </w:rPr>
              <w:t>0</w:t>
            </w:r>
          </w:p>
        </w:tc>
        <w:tc>
          <w:tcPr>
            <w:tcW w:w="1153" w:type="dxa"/>
          </w:tcPr>
          <w:p w14:paraId="34350D01" w14:textId="77777777" w:rsidR="00DE1BDD" w:rsidRPr="00BD16B4" w:rsidRDefault="00DE1BDD" w:rsidP="004A205F">
            <w:pPr>
              <w:pStyle w:val="TableText"/>
              <w:rPr>
                <w:rFonts w:cs="Calibri"/>
                <w:szCs w:val="18"/>
              </w:rPr>
            </w:pPr>
            <w:r w:rsidRPr="00BD16B4">
              <w:rPr>
                <w:rFonts w:cs="Calibri"/>
                <w:szCs w:val="18"/>
              </w:rPr>
              <w:t>0</w:t>
            </w:r>
          </w:p>
        </w:tc>
        <w:tc>
          <w:tcPr>
            <w:tcW w:w="1153" w:type="dxa"/>
          </w:tcPr>
          <w:p w14:paraId="7240BDD8" w14:textId="77777777" w:rsidR="00DE1BDD" w:rsidRPr="00BD16B4" w:rsidRDefault="00DE1BDD" w:rsidP="004A205F">
            <w:pPr>
              <w:pStyle w:val="TableText"/>
              <w:rPr>
                <w:rFonts w:cs="Calibri"/>
                <w:szCs w:val="18"/>
              </w:rPr>
            </w:pPr>
            <w:r w:rsidRPr="00BD16B4">
              <w:rPr>
                <w:rFonts w:cs="Calibri"/>
                <w:szCs w:val="18"/>
              </w:rPr>
              <w:t>0</w:t>
            </w:r>
          </w:p>
        </w:tc>
        <w:tc>
          <w:tcPr>
            <w:tcW w:w="1157" w:type="dxa"/>
          </w:tcPr>
          <w:p w14:paraId="38C0098C" w14:textId="77777777" w:rsidR="00DE1BDD" w:rsidRPr="00BD16B4" w:rsidRDefault="00DE1BDD" w:rsidP="004A205F">
            <w:pPr>
              <w:pStyle w:val="TableText"/>
              <w:rPr>
                <w:rFonts w:cs="Calibri"/>
                <w:szCs w:val="18"/>
              </w:rPr>
            </w:pPr>
            <w:r w:rsidRPr="00BD16B4">
              <w:rPr>
                <w:rFonts w:cs="Calibri"/>
                <w:szCs w:val="18"/>
              </w:rPr>
              <w:t>0</w:t>
            </w:r>
          </w:p>
        </w:tc>
        <w:tc>
          <w:tcPr>
            <w:tcW w:w="1157" w:type="dxa"/>
          </w:tcPr>
          <w:p w14:paraId="3A3AFFEC" w14:textId="77777777" w:rsidR="00DE1BDD" w:rsidRPr="00BD16B4" w:rsidRDefault="00DE1BDD" w:rsidP="004A205F">
            <w:pPr>
              <w:pStyle w:val="TableText"/>
              <w:rPr>
                <w:rFonts w:cs="Calibri"/>
                <w:szCs w:val="18"/>
              </w:rPr>
            </w:pPr>
            <w:r w:rsidRPr="00BD16B4">
              <w:rPr>
                <w:rFonts w:cs="Calibri"/>
                <w:szCs w:val="18"/>
              </w:rPr>
              <w:t>0</w:t>
            </w:r>
          </w:p>
        </w:tc>
      </w:tr>
      <w:tr w:rsidR="00DE1BDD" w:rsidRPr="00BD16B4" w14:paraId="40D2658A" w14:textId="77777777" w:rsidTr="004A205F">
        <w:tc>
          <w:tcPr>
            <w:tcW w:w="1387" w:type="dxa"/>
          </w:tcPr>
          <w:p w14:paraId="2D239708" w14:textId="77777777" w:rsidR="00DE1BDD" w:rsidRPr="00BD16B4" w:rsidRDefault="00DE1BDD" w:rsidP="004A205F">
            <w:pPr>
              <w:pStyle w:val="TableText"/>
              <w:rPr>
                <w:rFonts w:cs="Calibri"/>
                <w:szCs w:val="18"/>
              </w:rPr>
            </w:pPr>
            <w:r w:rsidRPr="00BD16B4">
              <w:rPr>
                <w:rFonts w:cs="Calibri"/>
                <w:szCs w:val="18"/>
              </w:rPr>
              <w:t>Argo network</w:t>
            </w:r>
          </w:p>
        </w:tc>
        <w:tc>
          <w:tcPr>
            <w:tcW w:w="1402" w:type="dxa"/>
          </w:tcPr>
          <w:p w14:paraId="4965CE58" w14:textId="77777777" w:rsidR="00DE1BDD" w:rsidRPr="00BD16B4" w:rsidRDefault="00DE1BDD" w:rsidP="004A205F">
            <w:pPr>
              <w:pStyle w:val="TableText"/>
              <w:rPr>
                <w:rFonts w:cs="Calibri"/>
                <w:szCs w:val="18"/>
              </w:rPr>
            </w:pPr>
            <w:r w:rsidRPr="00BD16B4">
              <w:rPr>
                <w:rFonts w:cs="Calibri"/>
                <w:szCs w:val="18"/>
              </w:rPr>
              <w:t>Temperature, salinity, current</w:t>
            </w:r>
          </w:p>
        </w:tc>
        <w:tc>
          <w:tcPr>
            <w:tcW w:w="1153" w:type="dxa"/>
          </w:tcPr>
          <w:p w14:paraId="61A9E7E6" w14:textId="77777777" w:rsidR="00DE1BDD" w:rsidRPr="00BD16B4" w:rsidRDefault="00DE1BDD" w:rsidP="004A205F">
            <w:pPr>
              <w:pStyle w:val="TableText"/>
              <w:rPr>
                <w:rFonts w:cs="Calibri"/>
                <w:szCs w:val="18"/>
              </w:rPr>
            </w:pPr>
            <w:r w:rsidRPr="00BD16B4">
              <w:rPr>
                <w:rFonts w:cs="Calibri"/>
                <w:szCs w:val="18"/>
              </w:rPr>
              <w:t>15</w:t>
            </w:r>
          </w:p>
        </w:tc>
        <w:tc>
          <w:tcPr>
            <w:tcW w:w="1153" w:type="dxa"/>
          </w:tcPr>
          <w:p w14:paraId="4E324BE7" w14:textId="77777777" w:rsidR="00DE1BDD" w:rsidRPr="00BD16B4" w:rsidRDefault="00DE1BDD" w:rsidP="004A205F">
            <w:pPr>
              <w:pStyle w:val="TableText"/>
              <w:rPr>
                <w:rFonts w:cs="Calibri"/>
                <w:szCs w:val="18"/>
              </w:rPr>
            </w:pPr>
            <w:r w:rsidRPr="00BD16B4">
              <w:rPr>
                <w:rFonts w:cs="Calibri"/>
                <w:szCs w:val="18"/>
              </w:rPr>
              <w:t>15</w:t>
            </w:r>
          </w:p>
        </w:tc>
        <w:tc>
          <w:tcPr>
            <w:tcW w:w="1153" w:type="dxa"/>
          </w:tcPr>
          <w:p w14:paraId="7A96C597" w14:textId="77777777" w:rsidR="00DE1BDD" w:rsidRPr="00BD16B4" w:rsidRDefault="00DE1BDD" w:rsidP="004A205F">
            <w:pPr>
              <w:pStyle w:val="TableText"/>
              <w:rPr>
                <w:rFonts w:cs="Calibri"/>
                <w:szCs w:val="18"/>
              </w:rPr>
            </w:pPr>
            <w:r w:rsidRPr="00BD16B4">
              <w:rPr>
                <w:rFonts w:cs="Calibri"/>
                <w:szCs w:val="18"/>
              </w:rPr>
              <w:t>10</w:t>
            </w:r>
          </w:p>
        </w:tc>
        <w:tc>
          <w:tcPr>
            <w:tcW w:w="1157" w:type="dxa"/>
          </w:tcPr>
          <w:p w14:paraId="0527288C" w14:textId="77777777" w:rsidR="00DE1BDD" w:rsidRPr="00BD16B4" w:rsidRDefault="00DE1BDD" w:rsidP="004A205F">
            <w:pPr>
              <w:pStyle w:val="TableText"/>
              <w:rPr>
                <w:rFonts w:cs="Calibri"/>
                <w:szCs w:val="18"/>
              </w:rPr>
            </w:pPr>
            <w:r w:rsidRPr="00BD16B4">
              <w:rPr>
                <w:rFonts w:cs="Calibri"/>
                <w:szCs w:val="18"/>
              </w:rPr>
              <w:t>15</w:t>
            </w:r>
          </w:p>
        </w:tc>
        <w:tc>
          <w:tcPr>
            <w:tcW w:w="1157" w:type="dxa"/>
          </w:tcPr>
          <w:p w14:paraId="4A4B2B8C" w14:textId="77777777" w:rsidR="00DE1BDD" w:rsidRPr="00BD16B4" w:rsidRDefault="00DE1BDD" w:rsidP="004A205F">
            <w:pPr>
              <w:pStyle w:val="TableText"/>
              <w:rPr>
                <w:rFonts w:cs="Calibri"/>
                <w:szCs w:val="18"/>
              </w:rPr>
            </w:pPr>
            <w:r w:rsidRPr="00BD16B4">
              <w:rPr>
                <w:rFonts w:cs="Calibri"/>
                <w:szCs w:val="18"/>
              </w:rPr>
              <w:t>40</w:t>
            </w:r>
          </w:p>
        </w:tc>
      </w:tr>
      <w:tr w:rsidR="00DE1BDD" w:rsidRPr="00BD16B4" w14:paraId="222E1676" w14:textId="77777777" w:rsidTr="004A205F">
        <w:tc>
          <w:tcPr>
            <w:tcW w:w="1387" w:type="dxa"/>
          </w:tcPr>
          <w:p w14:paraId="628E2424" w14:textId="77777777" w:rsidR="00DE1BDD" w:rsidRPr="00BD16B4" w:rsidRDefault="00DE1BDD" w:rsidP="004A205F">
            <w:pPr>
              <w:pStyle w:val="TableText"/>
              <w:rPr>
                <w:rFonts w:cs="Calibri"/>
                <w:szCs w:val="18"/>
              </w:rPr>
            </w:pPr>
            <w:r w:rsidRPr="00BD16B4">
              <w:rPr>
                <w:rFonts w:cs="Calibri"/>
                <w:szCs w:val="18"/>
              </w:rPr>
              <w:t xml:space="preserve">Carbon inventory survey lines </w:t>
            </w:r>
          </w:p>
        </w:tc>
        <w:tc>
          <w:tcPr>
            <w:tcW w:w="1402" w:type="dxa"/>
          </w:tcPr>
          <w:p w14:paraId="020D5E16" w14:textId="77777777" w:rsidR="00DE1BDD" w:rsidRPr="00BD16B4" w:rsidRDefault="00DE1BDD" w:rsidP="004A205F">
            <w:pPr>
              <w:pStyle w:val="TableText"/>
              <w:rPr>
                <w:rFonts w:cs="Calibri"/>
                <w:szCs w:val="18"/>
              </w:rPr>
            </w:pPr>
            <w:r w:rsidRPr="00BD16B4">
              <w:rPr>
                <w:rFonts w:cs="Calibri"/>
                <w:szCs w:val="18"/>
              </w:rPr>
              <w:t>Temperature, salinity, ocean tracers, biogeochemistry variables</w:t>
            </w:r>
          </w:p>
        </w:tc>
        <w:tc>
          <w:tcPr>
            <w:tcW w:w="1153" w:type="dxa"/>
          </w:tcPr>
          <w:p w14:paraId="55DF1FC6" w14:textId="77777777" w:rsidR="00DE1BDD" w:rsidRPr="00BD16B4" w:rsidRDefault="00DE1BDD" w:rsidP="004A205F">
            <w:pPr>
              <w:pStyle w:val="TableText"/>
              <w:rPr>
                <w:rFonts w:cs="Calibri"/>
                <w:szCs w:val="18"/>
              </w:rPr>
            </w:pPr>
            <w:r w:rsidRPr="00BD16B4">
              <w:rPr>
                <w:rFonts w:cs="Calibri"/>
                <w:szCs w:val="18"/>
              </w:rPr>
              <w:t>2</w:t>
            </w:r>
          </w:p>
        </w:tc>
        <w:tc>
          <w:tcPr>
            <w:tcW w:w="1153" w:type="dxa"/>
          </w:tcPr>
          <w:p w14:paraId="6BD2C818" w14:textId="77777777" w:rsidR="00DE1BDD" w:rsidRPr="00BD16B4" w:rsidRDefault="00DE1BDD" w:rsidP="004A205F">
            <w:pPr>
              <w:pStyle w:val="TableText"/>
              <w:rPr>
                <w:rFonts w:cs="Calibri"/>
                <w:szCs w:val="18"/>
              </w:rPr>
            </w:pPr>
            <w:r w:rsidRPr="00BD16B4">
              <w:rPr>
                <w:rFonts w:cs="Calibri"/>
                <w:szCs w:val="18"/>
              </w:rPr>
              <w:t>2</w:t>
            </w:r>
          </w:p>
        </w:tc>
        <w:tc>
          <w:tcPr>
            <w:tcW w:w="1153" w:type="dxa"/>
          </w:tcPr>
          <w:p w14:paraId="10533769" w14:textId="77777777" w:rsidR="00DE1BDD" w:rsidRPr="00BD16B4" w:rsidRDefault="00DE1BDD" w:rsidP="004A205F">
            <w:pPr>
              <w:pStyle w:val="TableText"/>
              <w:rPr>
                <w:rFonts w:cs="Calibri"/>
                <w:szCs w:val="18"/>
              </w:rPr>
            </w:pPr>
            <w:r w:rsidRPr="00BD16B4">
              <w:rPr>
                <w:rFonts w:cs="Calibri"/>
                <w:szCs w:val="18"/>
              </w:rPr>
              <w:t>2</w:t>
            </w:r>
          </w:p>
        </w:tc>
        <w:tc>
          <w:tcPr>
            <w:tcW w:w="1157" w:type="dxa"/>
          </w:tcPr>
          <w:p w14:paraId="63815FD4" w14:textId="77777777" w:rsidR="00DE1BDD" w:rsidRPr="00BD16B4" w:rsidRDefault="00DE1BDD" w:rsidP="004A205F">
            <w:pPr>
              <w:pStyle w:val="TableText"/>
              <w:rPr>
                <w:rFonts w:cs="Calibri"/>
                <w:szCs w:val="18"/>
              </w:rPr>
            </w:pPr>
            <w:r w:rsidRPr="00BD16B4">
              <w:rPr>
                <w:rFonts w:cs="Calibri"/>
                <w:szCs w:val="18"/>
              </w:rPr>
              <w:t>2</w:t>
            </w:r>
          </w:p>
        </w:tc>
        <w:tc>
          <w:tcPr>
            <w:tcW w:w="1157" w:type="dxa"/>
          </w:tcPr>
          <w:p w14:paraId="75463A0E" w14:textId="77777777" w:rsidR="00DE1BDD" w:rsidRPr="00BD16B4" w:rsidRDefault="00DE1BDD" w:rsidP="004A205F">
            <w:pPr>
              <w:pStyle w:val="TableText"/>
              <w:rPr>
                <w:rFonts w:cs="Calibri"/>
                <w:szCs w:val="18"/>
              </w:rPr>
            </w:pPr>
            <w:r w:rsidRPr="00BD16B4">
              <w:rPr>
                <w:rFonts w:cs="Calibri"/>
                <w:szCs w:val="18"/>
              </w:rPr>
              <w:t>2</w:t>
            </w:r>
          </w:p>
        </w:tc>
      </w:tr>
      <w:tr w:rsidR="00DE1BDD" w:rsidRPr="00BD16B4" w14:paraId="3FCC0E3E" w14:textId="77777777" w:rsidTr="004A205F">
        <w:tc>
          <w:tcPr>
            <w:tcW w:w="8562" w:type="dxa"/>
            <w:gridSpan w:val="7"/>
          </w:tcPr>
          <w:p w14:paraId="5D206B95" w14:textId="77777777" w:rsidR="00DE1BDD" w:rsidRPr="00BD16B4" w:rsidRDefault="00DE1BDD" w:rsidP="004A205F">
            <w:pPr>
              <w:pStyle w:val="TableTextbold"/>
              <w:rPr>
                <w:rFonts w:cs="Calibri"/>
                <w:szCs w:val="18"/>
              </w:rPr>
            </w:pPr>
            <w:r w:rsidRPr="00BD16B4">
              <w:rPr>
                <w:rFonts w:cs="Calibri"/>
                <w:szCs w:val="18"/>
              </w:rPr>
              <w:t>National contributions to the terrestrial domain essential climate variables</w:t>
            </w:r>
          </w:p>
        </w:tc>
      </w:tr>
      <w:tr w:rsidR="00DE1BDD" w:rsidRPr="00BD16B4" w14:paraId="60B36EF4" w14:textId="77777777" w:rsidTr="004A205F">
        <w:tc>
          <w:tcPr>
            <w:tcW w:w="1387" w:type="dxa"/>
          </w:tcPr>
          <w:p w14:paraId="124B3592" w14:textId="77777777" w:rsidR="00DE1BDD" w:rsidRPr="00BD16B4" w:rsidRDefault="00DE1BDD" w:rsidP="004A205F">
            <w:pPr>
              <w:pStyle w:val="TableText"/>
              <w:rPr>
                <w:rFonts w:cs="Calibri"/>
                <w:szCs w:val="18"/>
              </w:rPr>
            </w:pPr>
            <w:r w:rsidRPr="00BD16B4">
              <w:rPr>
                <w:rFonts w:cs="Calibri"/>
                <w:szCs w:val="18"/>
              </w:rPr>
              <w:t>Global Terrestrial Network for River Discharge (GTN-R)</w:t>
            </w:r>
            <w:r w:rsidRPr="00BD16B4">
              <w:rPr>
                <w:rStyle w:val="FootnoteReference"/>
                <w:rFonts w:cs="Calibri"/>
                <w:sz w:val="18"/>
                <w:szCs w:val="18"/>
              </w:rPr>
              <w:footnoteReference w:id="726"/>
            </w:r>
          </w:p>
        </w:tc>
        <w:tc>
          <w:tcPr>
            <w:tcW w:w="1402" w:type="dxa"/>
          </w:tcPr>
          <w:p w14:paraId="6A52DBBB" w14:textId="77777777" w:rsidR="00DE1BDD" w:rsidRPr="00BD16B4" w:rsidRDefault="00DE1BDD" w:rsidP="004A205F">
            <w:pPr>
              <w:pStyle w:val="TableText"/>
              <w:rPr>
                <w:rFonts w:cs="Calibri"/>
                <w:szCs w:val="18"/>
              </w:rPr>
            </w:pPr>
            <w:r w:rsidRPr="00BD16B4">
              <w:rPr>
                <w:rFonts w:cs="Calibri"/>
                <w:szCs w:val="18"/>
              </w:rPr>
              <w:t>River flow</w:t>
            </w:r>
          </w:p>
        </w:tc>
        <w:tc>
          <w:tcPr>
            <w:tcW w:w="1153" w:type="dxa"/>
          </w:tcPr>
          <w:p w14:paraId="07C48FE5" w14:textId="77777777" w:rsidR="00DE1BDD" w:rsidRPr="00BD16B4" w:rsidRDefault="00DE1BDD" w:rsidP="004A205F">
            <w:pPr>
              <w:pStyle w:val="TableText"/>
              <w:rPr>
                <w:rFonts w:cs="Calibri"/>
                <w:szCs w:val="18"/>
              </w:rPr>
            </w:pPr>
            <w:r w:rsidRPr="00BD16B4">
              <w:rPr>
                <w:rFonts w:cs="Calibri"/>
                <w:szCs w:val="18"/>
              </w:rPr>
              <w:t>&gt;1,000</w:t>
            </w:r>
          </w:p>
        </w:tc>
        <w:tc>
          <w:tcPr>
            <w:tcW w:w="1153" w:type="dxa"/>
          </w:tcPr>
          <w:p w14:paraId="1AD0FA71" w14:textId="77777777" w:rsidR="00DE1BDD" w:rsidRPr="00BD16B4" w:rsidRDefault="00DE1BDD" w:rsidP="004A205F">
            <w:pPr>
              <w:pStyle w:val="TableText"/>
              <w:rPr>
                <w:rFonts w:cs="Calibri"/>
                <w:szCs w:val="18"/>
              </w:rPr>
            </w:pPr>
            <w:r w:rsidRPr="00BD16B4">
              <w:rPr>
                <w:rFonts w:cs="Calibri"/>
                <w:szCs w:val="18"/>
              </w:rPr>
              <w:t>&gt;400</w:t>
            </w:r>
          </w:p>
        </w:tc>
        <w:tc>
          <w:tcPr>
            <w:tcW w:w="1153" w:type="dxa"/>
          </w:tcPr>
          <w:p w14:paraId="5E248802" w14:textId="77777777" w:rsidR="00DE1BDD" w:rsidRPr="00BD16B4" w:rsidRDefault="00DE1BDD" w:rsidP="004A205F">
            <w:pPr>
              <w:pStyle w:val="TableText"/>
              <w:rPr>
                <w:rFonts w:cs="Calibri"/>
                <w:szCs w:val="18"/>
              </w:rPr>
            </w:pPr>
            <w:r w:rsidRPr="00BD16B4">
              <w:rPr>
                <w:rFonts w:cs="Calibri"/>
                <w:szCs w:val="18"/>
              </w:rPr>
              <w:t>&gt;1,000</w:t>
            </w:r>
          </w:p>
        </w:tc>
        <w:tc>
          <w:tcPr>
            <w:tcW w:w="1157" w:type="dxa"/>
          </w:tcPr>
          <w:p w14:paraId="3A828F17" w14:textId="77777777" w:rsidR="00DE1BDD" w:rsidRPr="00BD16B4" w:rsidRDefault="00DE1BDD" w:rsidP="004A205F">
            <w:pPr>
              <w:pStyle w:val="TableText"/>
              <w:rPr>
                <w:rFonts w:cs="Calibri"/>
                <w:szCs w:val="18"/>
              </w:rPr>
            </w:pPr>
            <w:r w:rsidRPr="00BD16B4">
              <w:rPr>
                <w:rFonts w:cs="Calibri"/>
                <w:szCs w:val="18"/>
              </w:rPr>
              <w:t>40</w:t>
            </w:r>
          </w:p>
        </w:tc>
        <w:tc>
          <w:tcPr>
            <w:tcW w:w="1157" w:type="dxa"/>
          </w:tcPr>
          <w:p w14:paraId="3DB84171" w14:textId="77777777" w:rsidR="00DE1BDD" w:rsidRPr="00BD16B4" w:rsidRDefault="00DE1BDD" w:rsidP="004A205F">
            <w:pPr>
              <w:pStyle w:val="TableText"/>
              <w:rPr>
                <w:rFonts w:cs="Calibri"/>
                <w:szCs w:val="18"/>
              </w:rPr>
            </w:pPr>
            <w:r w:rsidRPr="00BD16B4">
              <w:rPr>
                <w:rFonts w:cs="Calibri"/>
                <w:szCs w:val="18"/>
              </w:rPr>
              <w:t>40</w:t>
            </w:r>
          </w:p>
        </w:tc>
      </w:tr>
      <w:tr w:rsidR="00DE1BDD" w:rsidRPr="00BD16B4" w14:paraId="174C201E" w14:textId="77777777" w:rsidTr="004A205F">
        <w:tc>
          <w:tcPr>
            <w:tcW w:w="1387" w:type="dxa"/>
          </w:tcPr>
          <w:p w14:paraId="5EB47DDA" w14:textId="77777777" w:rsidR="00DE1BDD" w:rsidRPr="00BD16B4" w:rsidRDefault="00DE1BDD" w:rsidP="004A205F">
            <w:pPr>
              <w:pStyle w:val="TableText"/>
              <w:rPr>
                <w:rFonts w:cs="Calibri"/>
                <w:szCs w:val="18"/>
              </w:rPr>
            </w:pPr>
            <w:r w:rsidRPr="00BD16B4">
              <w:rPr>
                <w:rFonts w:cs="Calibri"/>
                <w:szCs w:val="18"/>
              </w:rPr>
              <w:t>Global Terrestrial Network for Lakes (GTN-L)</w:t>
            </w:r>
            <w:r w:rsidRPr="00BD16B4">
              <w:rPr>
                <w:rStyle w:val="FootnoteReference"/>
                <w:rFonts w:cs="Calibri"/>
                <w:sz w:val="18"/>
                <w:szCs w:val="18"/>
              </w:rPr>
              <w:footnoteReference w:id="727"/>
            </w:r>
          </w:p>
        </w:tc>
        <w:tc>
          <w:tcPr>
            <w:tcW w:w="1402" w:type="dxa"/>
          </w:tcPr>
          <w:p w14:paraId="4D4CEDA9" w14:textId="77777777" w:rsidR="00DE1BDD" w:rsidRPr="00BD16B4" w:rsidRDefault="00DE1BDD" w:rsidP="004A205F">
            <w:pPr>
              <w:pStyle w:val="TableText"/>
              <w:rPr>
                <w:rFonts w:cs="Calibri"/>
                <w:szCs w:val="18"/>
              </w:rPr>
            </w:pPr>
            <w:r w:rsidRPr="00BD16B4">
              <w:rPr>
                <w:rFonts w:cs="Calibri"/>
                <w:szCs w:val="18"/>
              </w:rPr>
              <w:t>Lake level</w:t>
            </w:r>
          </w:p>
        </w:tc>
        <w:tc>
          <w:tcPr>
            <w:tcW w:w="1153" w:type="dxa"/>
          </w:tcPr>
          <w:p w14:paraId="1B464197" w14:textId="77777777" w:rsidR="00DE1BDD" w:rsidRPr="00BD16B4" w:rsidRDefault="00DE1BDD" w:rsidP="004A205F">
            <w:pPr>
              <w:pStyle w:val="TableText"/>
              <w:rPr>
                <w:rFonts w:cs="Calibri"/>
                <w:szCs w:val="18"/>
              </w:rPr>
            </w:pPr>
            <w:r w:rsidRPr="00BD16B4">
              <w:rPr>
                <w:rFonts w:cs="Calibri"/>
                <w:szCs w:val="18"/>
              </w:rPr>
              <w:t>&gt;50</w:t>
            </w:r>
          </w:p>
        </w:tc>
        <w:tc>
          <w:tcPr>
            <w:tcW w:w="1153" w:type="dxa"/>
          </w:tcPr>
          <w:p w14:paraId="714F057C" w14:textId="77777777" w:rsidR="00DE1BDD" w:rsidRPr="00BD16B4" w:rsidRDefault="00DE1BDD" w:rsidP="004A205F">
            <w:pPr>
              <w:pStyle w:val="TableText"/>
              <w:rPr>
                <w:rFonts w:cs="Calibri"/>
                <w:szCs w:val="18"/>
              </w:rPr>
            </w:pPr>
            <w:r w:rsidRPr="00BD16B4">
              <w:rPr>
                <w:rFonts w:cs="Calibri"/>
                <w:szCs w:val="18"/>
              </w:rPr>
              <w:t>&gt;10</w:t>
            </w:r>
          </w:p>
        </w:tc>
        <w:tc>
          <w:tcPr>
            <w:tcW w:w="1153" w:type="dxa"/>
          </w:tcPr>
          <w:p w14:paraId="7F9258C2" w14:textId="77777777" w:rsidR="00DE1BDD" w:rsidRPr="00BD16B4" w:rsidRDefault="00DE1BDD" w:rsidP="004A205F">
            <w:pPr>
              <w:pStyle w:val="TableText"/>
              <w:rPr>
                <w:rFonts w:cs="Calibri"/>
                <w:szCs w:val="18"/>
              </w:rPr>
            </w:pPr>
            <w:r w:rsidRPr="00BD16B4">
              <w:rPr>
                <w:rFonts w:cs="Calibri"/>
                <w:szCs w:val="18"/>
              </w:rPr>
              <w:t>&gt;50</w:t>
            </w:r>
          </w:p>
        </w:tc>
        <w:tc>
          <w:tcPr>
            <w:tcW w:w="1157" w:type="dxa"/>
          </w:tcPr>
          <w:p w14:paraId="2C640E47" w14:textId="77777777" w:rsidR="00DE1BDD" w:rsidRPr="00BD16B4" w:rsidRDefault="00DE1BDD" w:rsidP="004A205F">
            <w:pPr>
              <w:pStyle w:val="TableText"/>
              <w:rPr>
                <w:rFonts w:cs="Calibri"/>
                <w:szCs w:val="18"/>
              </w:rPr>
            </w:pPr>
            <w:r w:rsidRPr="00BD16B4">
              <w:rPr>
                <w:rFonts w:cs="Calibri"/>
                <w:szCs w:val="18"/>
              </w:rPr>
              <w:t>0</w:t>
            </w:r>
          </w:p>
        </w:tc>
        <w:tc>
          <w:tcPr>
            <w:tcW w:w="1157" w:type="dxa"/>
          </w:tcPr>
          <w:p w14:paraId="158480C1" w14:textId="77777777" w:rsidR="00DE1BDD" w:rsidRPr="00BD16B4" w:rsidRDefault="00DE1BDD" w:rsidP="004A205F">
            <w:pPr>
              <w:pStyle w:val="TableText"/>
              <w:rPr>
                <w:rFonts w:cs="Calibri"/>
                <w:szCs w:val="18"/>
              </w:rPr>
            </w:pPr>
            <w:r w:rsidRPr="00BD16B4">
              <w:rPr>
                <w:rFonts w:cs="Calibri"/>
                <w:szCs w:val="18"/>
              </w:rPr>
              <w:t>0</w:t>
            </w:r>
          </w:p>
        </w:tc>
      </w:tr>
      <w:tr w:rsidR="00DE1BDD" w:rsidRPr="00BD16B4" w14:paraId="4533F361" w14:textId="77777777" w:rsidTr="004A205F">
        <w:tc>
          <w:tcPr>
            <w:tcW w:w="1387" w:type="dxa"/>
          </w:tcPr>
          <w:p w14:paraId="5E78D49F" w14:textId="77777777" w:rsidR="00DE1BDD" w:rsidRPr="00BD16B4" w:rsidRDefault="00DE1BDD" w:rsidP="004A205F">
            <w:pPr>
              <w:pStyle w:val="TableText"/>
              <w:rPr>
                <w:rFonts w:cs="Calibri"/>
                <w:szCs w:val="18"/>
              </w:rPr>
            </w:pPr>
            <w:r w:rsidRPr="00BD16B4">
              <w:rPr>
                <w:rFonts w:cs="Calibri"/>
                <w:szCs w:val="18"/>
              </w:rPr>
              <w:t>WWW/GOS synoptic network</w:t>
            </w:r>
          </w:p>
        </w:tc>
        <w:tc>
          <w:tcPr>
            <w:tcW w:w="1402" w:type="dxa"/>
          </w:tcPr>
          <w:p w14:paraId="5C81BAAA" w14:textId="77777777" w:rsidR="00DE1BDD" w:rsidRPr="00BD16B4" w:rsidRDefault="00DE1BDD" w:rsidP="004A205F">
            <w:pPr>
              <w:pStyle w:val="TableText"/>
              <w:rPr>
                <w:rFonts w:cs="Calibri"/>
                <w:szCs w:val="18"/>
              </w:rPr>
            </w:pPr>
            <w:r w:rsidRPr="00BD16B4">
              <w:rPr>
                <w:rFonts w:cs="Calibri"/>
                <w:szCs w:val="18"/>
              </w:rPr>
              <w:t>Snow cover</w:t>
            </w:r>
          </w:p>
        </w:tc>
        <w:tc>
          <w:tcPr>
            <w:tcW w:w="1153" w:type="dxa"/>
          </w:tcPr>
          <w:p w14:paraId="77E302F7" w14:textId="77777777" w:rsidR="00DE1BDD" w:rsidRPr="00BD16B4" w:rsidRDefault="00DE1BDD" w:rsidP="004A205F">
            <w:pPr>
              <w:pStyle w:val="TableText"/>
              <w:rPr>
                <w:rFonts w:cs="Calibri"/>
                <w:szCs w:val="18"/>
              </w:rPr>
            </w:pPr>
            <w:r w:rsidRPr="00BD16B4">
              <w:rPr>
                <w:rFonts w:cs="Calibri"/>
                <w:szCs w:val="18"/>
              </w:rPr>
              <w:t>13</w:t>
            </w:r>
          </w:p>
        </w:tc>
        <w:tc>
          <w:tcPr>
            <w:tcW w:w="1153" w:type="dxa"/>
          </w:tcPr>
          <w:p w14:paraId="5AF5BD8F" w14:textId="77777777" w:rsidR="00DE1BDD" w:rsidRPr="00BD16B4" w:rsidRDefault="00DE1BDD" w:rsidP="004A205F">
            <w:pPr>
              <w:pStyle w:val="TableText"/>
              <w:rPr>
                <w:rFonts w:cs="Calibri"/>
                <w:szCs w:val="18"/>
              </w:rPr>
            </w:pPr>
            <w:r w:rsidRPr="00BD16B4">
              <w:rPr>
                <w:rFonts w:cs="Calibri"/>
                <w:szCs w:val="18"/>
              </w:rPr>
              <w:t>13</w:t>
            </w:r>
          </w:p>
        </w:tc>
        <w:tc>
          <w:tcPr>
            <w:tcW w:w="1153" w:type="dxa"/>
          </w:tcPr>
          <w:p w14:paraId="2075EC4B" w14:textId="77777777" w:rsidR="00DE1BDD" w:rsidRPr="00BD16B4" w:rsidRDefault="00DE1BDD" w:rsidP="004A205F">
            <w:pPr>
              <w:pStyle w:val="TableText"/>
              <w:rPr>
                <w:rFonts w:cs="Calibri"/>
                <w:szCs w:val="18"/>
              </w:rPr>
            </w:pPr>
            <w:r w:rsidRPr="00BD16B4">
              <w:rPr>
                <w:rFonts w:cs="Calibri"/>
                <w:szCs w:val="18"/>
              </w:rPr>
              <w:t>13</w:t>
            </w:r>
          </w:p>
        </w:tc>
        <w:tc>
          <w:tcPr>
            <w:tcW w:w="1157" w:type="dxa"/>
          </w:tcPr>
          <w:p w14:paraId="66F6CED0" w14:textId="77777777" w:rsidR="00DE1BDD" w:rsidRPr="00BD16B4" w:rsidRDefault="00DE1BDD" w:rsidP="004A205F">
            <w:pPr>
              <w:pStyle w:val="TableText"/>
              <w:rPr>
                <w:rFonts w:cs="Calibri"/>
                <w:szCs w:val="18"/>
              </w:rPr>
            </w:pPr>
            <w:r w:rsidRPr="00BD16B4">
              <w:rPr>
                <w:rFonts w:cs="Calibri"/>
                <w:szCs w:val="18"/>
              </w:rPr>
              <w:t>0</w:t>
            </w:r>
          </w:p>
        </w:tc>
        <w:tc>
          <w:tcPr>
            <w:tcW w:w="1157" w:type="dxa"/>
          </w:tcPr>
          <w:p w14:paraId="2568EC0A" w14:textId="77777777" w:rsidR="00DE1BDD" w:rsidRPr="00BD16B4" w:rsidRDefault="00DE1BDD" w:rsidP="004A205F">
            <w:pPr>
              <w:pStyle w:val="TableText"/>
              <w:rPr>
                <w:rFonts w:cs="Calibri"/>
                <w:szCs w:val="18"/>
              </w:rPr>
            </w:pPr>
            <w:r w:rsidRPr="00BD16B4">
              <w:rPr>
                <w:rFonts w:cs="Calibri"/>
                <w:szCs w:val="18"/>
              </w:rPr>
              <w:t>0</w:t>
            </w:r>
          </w:p>
        </w:tc>
      </w:tr>
      <w:tr w:rsidR="00DE1BDD" w:rsidRPr="00BD16B4" w14:paraId="3C2FA393" w14:textId="77777777" w:rsidTr="004A205F">
        <w:tc>
          <w:tcPr>
            <w:tcW w:w="1387" w:type="dxa"/>
          </w:tcPr>
          <w:p w14:paraId="750CAF78" w14:textId="77777777" w:rsidR="00DE1BDD" w:rsidRPr="00BD16B4" w:rsidRDefault="00DE1BDD" w:rsidP="004A205F">
            <w:pPr>
              <w:pStyle w:val="TableText"/>
              <w:keepNext/>
              <w:rPr>
                <w:rFonts w:cs="Calibri"/>
                <w:szCs w:val="18"/>
              </w:rPr>
            </w:pPr>
            <w:r w:rsidRPr="00BD16B4">
              <w:rPr>
                <w:rFonts w:cs="Calibri"/>
                <w:szCs w:val="18"/>
              </w:rPr>
              <w:t>Global Terrestrial Network for Glaciers (GTN</w:t>
            </w:r>
            <w:r w:rsidRPr="00BD16B4">
              <w:rPr>
                <w:rFonts w:cs="Calibri"/>
                <w:szCs w:val="18"/>
              </w:rPr>
              <w:noBreakHyphen/>
              <w:t>G)</w:t>
            </w:r>
            <w:r w:rsidRPr="00BD16B4">
              <w:rPr>
                <w:rStyle w:val="FootnoteReference"/>
                <w:rFonts w:cs="Calibri"/>
                <w:sz w:val="18"/>
                <w:szCs w:val="18"/>
              </w:rPr>
              <w:footnoteReference w:id="728"/>
            </w:r>
          </w:p>
        </w:tc>
        <w:tc>
          <w:tcPr>
            <w:tcW w:w="1402" w:type="dxa"/>
          </w:tcPr>
          <w:p w14:paraId="02B489A1" w14:textId="77777777" w:rsidR="00DE1BDD" w:rsidRPr="00BD16B4" w:rsidRDefault="00DE1BDD" w:rsidP="004A205F">
            <w:pPr>
              <w:pStyle w:val="TableText"/>
              <w:rPr>
                <w:rFonts w:cs="Calibri"/>
                <w:szCs w:val="18"/>
              </w:rPr>
            </w:pPr>
            <w:r w:rsidRPr="00BD16B4">
              <w:rPr>
                <w:rFonts w:cs="Calibri"/>
                <w:szCs w:val="18"/>
              </w:rPr>
              <w:t>Glaciers’ mass balance and length; ice sheet mass balance</w:t>
            </w:r>
          </w:p>
        </w:tc>
        <w:tc>
          <w:tcPr>
            <w:tcW w:w="1153" w:type="dxa"/>
          </w:tcPr>
          <w:p w14:paraId="6310A2DA" w14:textId="77777777" w:rsidR="00DE1BDD" w:rsidRPr="00BD16B4" w:rsidRDefault="00DE1BDD" w:rsidP="004A205F">
            <w:pPr>
              <w:pStyle w:val="TableText"/>
              <w:rPr>
                <w:rFonts w:cs="Calibri"/>
                <w:szCs w:val="18"/>
              </w:rPr>
            </w:pPr>
            <w:r w:rsidRPr="00BD16B4">
              <w:rPr>
                <w:rFonts w:cs="Calibri"/>
                <w:szCs w:val="18"/>
              </w:rPr>
              <w:t>50</w:t>
            </w:r>
          </w:p>
        </w:tc>
        <w:tc>
          <w:tcPr>
            <w:tcW w:w="1153" w:type="dxa"/>
          </w:tcPr>
          <w:p w14:paraId="10447C56" w14:textId="77777777" w:rsidR="00DE1BDD" w:rsidRPr="00BD16B4" w:rsidRDefault="00DE1BDD" w:rsidP="004A205F">
            <w:pPr>
              <w:pStyle w:val="TableText"/>
              <w:rPr>
                <w:rFonts w:cs="Calibri"/>
                <w:szCs w:val="18"/>
              </w:rPr>
            </w:pPr>
            <w:r w:rsidRPr="00BD16B4">
              <w:rPr>
                <w:rFonts w:cs="Calibri"/>
                <w:szCs w:val="18"/>
              </w:rPr>
              <w:t>50</w:t>
            </w:r>
          </w:p>
        </w:tc>
        <w:tc>
          <w:tcPr>
            <w:tcW w:w="1153" w:type="dxa"/>
          </w:tcPr>
          <w:p w14:paraId="2E62B261" w14:textId="77777777" w:rsidR="00DE1BDD" w:rsidRPr="00BD16B4" w:rsidRDefault="00DE1BDD" w:rsidP="004A205F">
            <w:pPr>
              <w:pStyle w:val="TableText"/>
              <w:rPr>
                <w:rFonts w:cs="Calibri"/>
                <w:szCs w:val="18"/>
              </w:rPr>
            </w:pPr>
            <w:r w:rsidRPr="00BD16B4">
              <w:rPr>
                <w:rFonts w:cs="Calibri"/>
                <w:szCs w:val="18"/>
              </w:rPr>
              <w:t>50</w:t>
            </w:r>
          </w:p>
        </w:tc>
        <w:tc>
          <w:tcPr>
            <w:tcW w:w="1157" w:type="dxa"/>
          </w:tcPr>
          <w:p w14:paraId="1B62037D" w14:textId="77777777" w:rsidR="00DE1BDD" w:rsidRPr="00BD16B4" w:rsidRDefault="00DE1BDD" w:rsidP="004A205F">
            <w:pPr>
              <w:pStyle w:val="TableText"/>
              <w:rPr>
                <w:rFonts w:cs="Calibri"/>
                <w:szCs w:val="18"/>
              </w:rPr>
            </w:pPr>
            <w:r w:rsidRPr="00BD16B4">
              <w:rPr>
                <w:rFonts w:cs="Calibri"/>
                <w:szCs w:val="18"/>
              </w:rPr>
              <w:t>50</w:t>
            </w:r>
          </w:p>
        </w:tc>
        <w:tc>
          <w:tcPr>
            <w:tcW w:w="1157" w:type="dxa"/>
          </w:tcPr>
          <w:p w14:paraId="1A2C9A7E" w14:textId="77777777" w:rsidR="00DE1BDD" w:rsidRPr="00BD16B4" w:rsidRDefault="00DE1BDD" w:rsidP="004A205F">
            <w:pPr>
              <w:pStyle w:val="TableText"/>
              <w:rPr>
                <w:rFonts w:cs="Calibri"/>
                <w:szCs w:val="18"/>
              </w:rPr>
            </w:pPr>
            <w:r w:rsidRPr="00BD16B4">
              <w:rPr>
                <w:rFonts w:cs="Calibri"/>
                <w:szCs w:val="18"/>
              </w:rPr>
              <w:t>50</w:t>
            </w:r>
          </w:p>
        </w:tc>
      </w:tr>
      <w:tr w:rsidR="00DE1BDD" w:rsidRPr="00BD16B4" w14:paraId="23C47375" w14:textId="77777777" w:rsidTr="004A205F">
        <w:tc>
          <w:tcPr>
            <w:tcW w:w="1387" w:type="dxa"/>
          </w:tcPr>
          <w:p w14:paraId="0AA3030A" w14:textId="77777777" w:rsidR="00DE1BDD" w:rsidRPr="00BD16B4" w:rsidRDefault="00DE1BDD" w:rsidP="004A205F">
            <w:pPr>
              <w:pStyle w:val="TableText"/>
              <w:rPr>
                <w:rFonts w:cs="Calibri"/>
                <w:szCs w:val="18"/>
              </w:rPr>
            </w:pPr>
            <w:r w:rsidRPr="00BD16B4">
              <w:rPr>
                <w:rFonts w:cs="Calibri"/>
                <w:szCs w:val="18"/>
              </w:rPr>
              <w:t>Global Terrestrial Network for Permafrost (GTN-P)</w:t>
            </w:r>
            <w:r w:rsidRPr="00BD16B4">
              <w:rPr>
                <w:rStyle w:val="FootnoteReference"/>
                <w:rFonts w:cs="Calibri"/>
                <w:sz w:val="18"/>
                <w:szCs w:val="18"/>
              </w:rPr>
              <w:footnoteReference w:id="729"/>
            </w:r>
          </w:p>
        </w:tc>
        <w:tc>
          <w:tcPr>
            <w:tcW w:w="1402" w:type="dxa"/>
          </w:tcPr>
          <w:p w14:paraId="2AB858CC" w14:textId="77777777" w:rsidR="00DE1BDD" w:rsidRPr="00BD16B4" w:rsidRDefault="00DE1BDD" w:rsidP="004A205F">
            <w:pPr>
              <w:pStyle w:val="TableText"/>
              <w:rPr>
                <w:rFonts w:cs="Calibri"/>
                <w:szCs w:val="18"/>
              </w:rPr>
            </w:pPr>
            <w:r w:rsidRPr="00BD16B4">
              <w:rPr>
                <w:rFonts w:cs="Calibri"/>
                <w:szCs w:val="18"/>
              </w:rPr>
              <w:t>Permafrost borehole temperatures and active-layer thickness</w:t>
            </w:r>
          </w:p>
        </w:tc>
        <w:tc>
          <w:tcPr>
            <w:tcW w:w="1153" w:type="dxa"/>
          </w:tcPr>
          <w:p w14:paraId="7D334C7E" w14:textId="77777777" w:rsidR="00DE1BDD" w:rsidRPr="00BD16B4" w:rsidRDefault="00DE1BDD" w:rsidP="004A205F">
            <w:pPr>
              <w:pStyle w:val="TableText"/>
              <w:rPr>
                <w:rFonts w:cs="Calibri"/>
                <w:szCs w:val="18"/>
              </w:rPr>
            </w:pPr>
            <w:r w:rsidRPr="00BD16B4">
              <w:rPr>
                <w:rFonts w:cs="Calibri"/>
                <w:szCs w:val="18"/>
              </w:rPr>
              <w:t>9</w:t>
            </w:r>
            <w:r w:rsidRPr="00BD16B4">
              <w:rPr>
                <w:rFonts w:cs="Calibri"/>
                <w:szCs w:val="18"/>
              </w:rPr>
              <w:br/>
              <w:t>(Note: All platforms are in Antarctica)</w:t>
            </w:r>
          </w:p>
        </w:tc>
        <w:tc>
          <w:tcPr>
            <w:tcW w:w="1153" w:type="dxa"/>
          </w:tcPr>
          <w:p w14:paraId="340A7B6E" w14:textId="77777777" w:rsidR="00DE1BDD" w:rsidRPr="00BD16B4" w:rsidRDefault="00DE1BDD" w:rsidP="004A205F">
            <w:pPr>
              <w:pStyle w:val="TableText"/>
              <w:rPr>
                <w:rFonts w:cs="Calibri"/>
                <w:szCs w:val="18"/>
              </w:rPr>
            </w:pPr>
            <w:r w:rsidRPr="00BD16B4">
              <w:rPr>
                <w:rFonts w:cs="Calibri"/>
                <w:szCs w:val="18"/>
              </w:rPr>
              <w:t>9</w:t>
            </w:r>
          </w:p>
        </w:tc>
        <w:tc>
          <w:tcPr>
            <w:tcW w:w="1153" w:type="dxa"/>
          </w:tcPr>
          <w:p w14:paraId="112DF5F8" w14:textId="77777777" w:rsidR="00DE1BDD" w:rsidRPr="00BD16B4" w:rsidRDefault="00DE1BDD" w:rsidP="004A205F">
            <w:pPr>
              <w:pStyle w:val="TableText"/>
              <w:rPr>
                <w:rFonts w:cs="Calibri"/>
                <w:szCs w:val="18"/>
              </w:rPr>
            </w:pPr>
            <w:r w:rsidRPr="00BD16B4">
              <w:rPr>
                <w:rFonts w:cs="Calibri"/>
                <w:szCs w:val="18"/>
              </w:rPr>
              <w:t>9</w:t>
            </w:r>
          </w:p>
        </w:tc>
        <w:tc>
          <w:tcPr>
            <w:tcW w:w="1157" w:type="dxa"/>
          </w:tcPr>
          <w:p w14:paraId="2B41D7C1" w14:textId="77777777" w:rsidR="00DE1BDD" w:rsidRPr="00BD16B4" w:rsidRDefault="00DE1BDD" w:rsidP="004A205F">
            <w:pPr>
              <w:pStyle w:val="TableText"/>
              <w:rPr>
                <w:rFonts w:cs="Calibri"/>
                <w:szCs w:val="18"/>
              </w:rPr>
            </w:pPr>
            <w:r w:rsidRPr="00BD16B4">
              <w:rPr>
                <w:rFonts w:cs="Calibri"/>
                <w:szCs w:val="18"/>
              </w:rPr>
              <w:t>7</w:t>
            </w:r>
          </w:p>
        </w:tc>
        <w:tc>
          <w:tcPr>
            <w:tcW w:w="1157" w:type="dxa"/>
          </w:tcPr>
          <w:p w14:paraId="17FEC47B" w14:textId="77777777" w:rsidR="00DE1BDD" w:rsidRPr="00BD16B4" w:rsidRDefault="00DE1BDD" w:rsidP="004A205F">
            <w:pPr>
              <w:pStyle w:val="TableText"/>
              <w:rPr>
                <w:rFonts w:cs="Calibri"/>
                <w:szCs w:val="18"/>
              </w:rPr>
            </w:pPr>
            <w:r w:rsidRPr="00BD16B4">
              <w:rPr>
                <w:rFonts w:cs="Calibri"/>
                <w:szCs w:val="18"/>
              </w:rPr>
              <w:t>7</w:t>
            </w:r>
          </w:p>
        </w:tc>
      </w:tr>
    </w:tbl>
    <w:p w14:paraId="428E2200" w14:textId="77777777" w:rsidR="00DE1BDD" w:rsidRPr="00BD16B4" w:rsidRDefault="00DE1BDD" w:rsidP="00DE1BDD">
      <w:pPr>
        <w:pStyle w:val="Note"/>
      </w:pPr>
      <w:r w:rsidRPr="00BD16B4">
        <w:t xml:space="preserve">Note: </w:t>
      </w:r>
      <w:r w:rsidRPr="00BD16B4">
        <w:rPr>
          <w:rFonts w:eastAsia="Calibri"/>
        </w:rPr>
        <w:t>CH</w:t>
      </w:r>
      <w:r w:rsidRPr="00BD16B4">
        <w:rPr>
          <w:rFonts w:eastAsia="Calibri"/>
          <w:vertAlign w:val="subscript"/>
        </w:rPr>
        <w:t>4</w:t>
      </w:r>
      <w:r w:rsidRPr="00BD16B4">
        <w:t xml:space="preserve"> = methane; CO</w:t>
      </w:r>
      <w:r w:rsidRPr="00BD16B4">
        <w:rPr>
          <w:vertAlign w:val="subscript"/>
        </w:rPr>
        <w:t>2</w:t>
      </w:r>
      <w:r w:rsidRPr="00BD16B4">
        <w:t xml:space="preserve"> = carbon dioxide; GCMPs = GCOS climate monitoring principles; GCOS = </w:t>
      </w:r>
      <w:r w:rsidRPr="00BD16B4">
        <w:rPr>
          <w:lang w:eastAsia="en-GB"/>
        </w:rPr>
        <w:t xml:space="preserve">Global Climate Observing System; GLOSS = </w:t>
      </w:r>
      <w:r w:rsidRPr="00BD16B4">
        <w:t>Global Sea Level Observing System;</w:t>
      </w:r>
      <w:r w:rsidRPr="00BD16B4">
        <w:rPr>
          <w:rFonts w:eastAsia="Calibri"/>
        </w:rPr>
        <w:t xml:space="preserve"> </w:t>
      </w:r>
      <w:r w:rsidRPr="00BD16B4">
        <w:t>WMO/GAW = World Meteorological Organization / Global Atmosphere Watch; WWW/GOS = World Weather Watch / Global Observing System.</w:t>
      </w:r>
    </w:p>
    <w:p w14:paraId="61BB3350" w14:textId="77777777" w:rsidR="00DE1BDD" w:rsidRPr="00BD16B4" w:rsidRDefault="00DE1BDD" w:rsidP="00DE1BDD">
      <w:pPr>
        <w:pStyle w:val="BodyText"/>
      </w:pPr>
    </w:p>
    <w:p w14:paraId="65AC71AE" w14:textId="77777777" w:rsidR="00DE1BDD" w:rsidRPr="00BD16B4" w:rsidRDefault="00DE1BDD" w:rsidP="00DE1BDD">
      <w:pPr>
        <w:pStyle w:val="BodyText"/>
      </w:pPr>
      <w:bookmarkStart w:id="752" w:name="_Toc493859315"/>
      <w:bookmarkStart w:id="753" w:name="_Toc493859611"/>
      <w:bookmarkStart w:id="754" w:name="_Toc497740346"/>
      <w:bookmarkStart w:id="755" w:name="_Toc498523572"/>
      <w:bookmarkStart w:id="756" w:name="_Toc499993098"/>
      <w:bookmarkStart w:id="757" w:name="_Toc499994273"/>
      <w:bookmarkStart w:id="758" w:name="_Toc109723956"/>
      <w:r w:rsidRPr="00BD16B4">
        <w:br w:type="page"/>
      </w:r>
    </w:p>
    <w:p w14:paraId="23921673" w14:textId="753FFC52" w:rsidR="00DE1BDD" w:rsidRPr="00BD16B4" w:rsidRDefault="00DE1BDD" w:rsidP="0092663D">
      <w:pPr>
        <w:pStyle w:val="Heading1notforTOC"/>
      </w:pPr>
      <w:bookmarkStart w:id="759" w:name="_Toc117194207"/>
      <w:bookmarkStart w:id="760" w:name="_Toc120893234"/>
      <w:r w:rsidRPr="00BD16B4">
        <w:t>Appendix D2: List of permanent stations</w:t>
      </w:r>
      <w:bookmarkEnd w:id="752"/>
      <w:bookmarkEnd w:id="753"/>
      <w:bookmarkEnd w:id="754"/>
      <w:bookmarkEnd w:id="755"/>
      <w:bookmarkEnd w:id="756"/>
      <w:bookmarkEnd w:id="757"/>
      <w:bookmarkEnd w:id="758"/>
      <w:bookmarkEnd w:id="759"/>
      <w:bookmarkEnd w:id="760"/>
    </w:p>
    <w:tbl>
      <w:tblPr>
        <w:tblStyle w:val="GridTable1Light-Accent414"/>
        <w:tblW w:w="8562"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CellMar>
          <w:left w:w="85" w:type="dxa"/>
          <w:right w:w="57" w:type="dxa"/>
        </w:tblCellMar>
        <w:tblLook w:val="04A0" w:firstRow="1" w:lastRow="0" w:firstColumn="1" w:lastColumn="0" w:noHBand="0" w:noVBand="1"/>
      </w:tblPr>
      <w:tblGrid>
        <w:gridCol w:w="2225"/>
        <w:gridCol w:w="939"/>
        <w:gridCol w:w="998"/>
        <w:gridCol w:w="1877"/>
        <w:gridCol w:w="822"/>
        <w:gridCol w:w="1701"/>
      </w:tblGrid>
      <w:tr w:rsidR="008921AE" w:rsidRPr="00BD16B4" w14:paraId="0CC8B555" w14:textId="77777777" w:rsidTr="008921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0" w:type="dxa"/>
            <w:tcBorders>
              <w:bottom w:val="single" w:sz="4" w:space="0" w:color="1C556C" w:themeColor="accent1"/>
              <w:right w:val="nil"/>
            </w:tcBorders>
            <w:shd w:val="clear" w:color="auto" w:fill="1B556B"/>
            <w:noWrap/>
            <w:vAlign w:val="bottom"/>
            <w:hideMark/>
          </w:tcPr>
          <w:p w14:paraId="36740562" w14:textId="77777777" w:rsidR="00DE1BDD" w:rsidRPr="00BD16B4" w:rsidRDefault="00DE1BDD" w:rsidP="00BE6454">
            <w:pPr>
              <w:pStyle w:val="TableText"/>
              <w:spacing w:before="30" w:after="40"/>
              <w:rPr>
                <w:rFonts w:cs="Calibri"/>
                <w:caps/>
                <w:color w:val="FFFFFF" w:themeColor="background1"/>
                <w:szCs w:val="18"/>
              </w:rPr>
            </w:pPr>
            <w:r w:rsidRPr="00BD16B4">
              <w:rPr>
                <w:rFonts w:cs="Calibri"/>
                <w:color w:val="FFFFFF" w:themeColor="background1"/>
                <w:szCs w:val="18"/>
              </w:rPr>
              <w:t>Station name</w:t>
            </w:r>
          </w:p>
        </w:tc>
        <w:tc>
          <w:tcPr>
            <w:tcW w:w="907" w:type="dxa"/>
            <w:tcBorders>
              <w:left w:val="nil"/>
              <w:bottom w:val="single" w:sz="4" w:space="0" w:color="1C556C" w:themeColor="accent1"/>
              <w:right w:val="nil"/>
            </w:tcBorders>
            <w:shd w:val="clear" w:color="auto" w:fill="1B556B"/>
            <w:noWrap/>
            <w:vAlign w:val="bottom"/>
            <w:hideMark/>
          </w:tcPr>
          <w:p w14:paraId="1BFF3EA5" w14:textId="77777777" w:rsidR="00DE1BDD" w:rsidRPr="00BD16B4" w:rsidRDefault="00DE1BDD" w:rsidP="00BE6454">
            <w:pPr>
              <w:pStyle w:val="TableText"/>
              <w:spacing w:before="30" w:after="40"/>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18"/>
              </w:rPr>
            </w:pPr>
            <w:r w:rsidRPr="00BD16B4">
              <w:rPr>
                <w:rFonts w:cs="Calibri"/>
                <w:color w:val="FFFFFF" w:themeColor="background1"/>
                <w:szCs w:val="18"/>
              </w:rPr>
              <w:t>Latitude</w:t>
            </w:r>
          </w:p>
        </w:tc>
        <w:tc>
          <w:tcPr>
            <w:tcW w:w="964" w:type="dxa"/>
            <w:tcBorders>
              <w:left w:val="nil"/>
              <w:bottom w:val="single" w:sz="4" w:space="0" w:color="1C556C" w:themeColor="accent1"/>
              <w:right w:val="nil"/>
            </w:tcBorders>
            <w:shd w:val="clear" w:color="auto" w:fill="1B556B"/>
            <w:noWrap/>
            <w:vAlign w:val="bottom"/>
            <w:hideMark/>
          </w:tcPr>
          <w:p w14:paraId="2A1302B4" w14:textId="77777777" w:rsidR="00DE1BDD" w:rsidRPr="00BD16B4" w:rsidRDefault="00DE1BDD" w:rsidP="00BE6454">
            <w:pPr>
              <w:pStyle w:val="TableText"/>
              <w:spacing w:before="30" w:after="40"/>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18"/>
              </w:rPr>
            </w:pPr>
            <w:r w:rsidRPr="00BD16B4">
              <w:rPr>
                <w:rFonts w:cs="Calibri"/>
                <w:color w:val="FFFFFF" w:themeColor="background1"/>
                <w:szCs w:val="18"/>
              </w:rPr>
              <w:t>Longitude</w:t>
            </w:r>
          </w:p>
        </w:tc>
        <w:tc>
          <w:tcPr>
            <w:tcW w:w="1814" w:type="dxa"/>
            <w:tcBorders>
              <w:left w:val="nil"/>
              <w:bottom w:val="single" w:sz="4" w:space="0" w:color="1C556C" w:themeColor="accent1"/>
              <w:right w:val="nil"/>
            </w:tcBorders>
            <w:shd w:val="clear" w:color="auto" w:fill="1B556B"/>
            <w:noWrap/>
            <w:vAlign w:val="bottom"/>
            <w:hideMark/>
          </w:tcPr>
          <w:p w14:paraId="365B8729" w14:textId="77777777" w:rsidR="00DE1BDD" w:rsidRPr="00BD16B4" w:rsidRDefault="00DE1BDD" w:rsidP="00BE6454">
            <w:pPr>
              <w:pStyle w:val="TableText"/>
              <w:spacing w:before="30" w:after="40"/>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18"/>
              </w:rPr>
            </w:pPr>
            <w:r w:rsidRPr="00BD16B4">
              <w:rPr>
                <w:rFonts w:cs="Calibri"/>
                <w:color w:val="FFFFFF" w:themeColor="background1"/>
                <w:szCs w:val="18"/>
              </w:rPr>
              <w:t>Responsible agency or agencies</w:t>
            </w:r>
          </w:p>
        </w:tc>
        <w:tc>
          <w:tcPr>
            <w:tcW w:w="794" w:type="dxa"/>
            <w:tcBorders>
              <w:left w:val="nil"/>
              <w:bottom w:val="single" w:sz="4" w:space="0" w:color="1C556C" w:themeColor="accent1"/>
              <w:right w:val="nil"/>
            </w:tcBorders>
            <w:shd w:val="clear" w:color="auto" w:fill="1B556B"/>
            <w:noWrap/>
            <w:vAlign w:val="bottom"/>
            <w:hideMark/>
          </w:tcPr>
          <w:p w14:paraId="705D0C94" w14:textId="77777777" w:rsidR="00DE1BDD" w:rsidRPr="00BD16B4" w:rsidRDefault="00DE1BDD" w:rsidP="00BE6454">
            <w:pPr>
              <w:pStyle w:val="TableText"/>
              <w:spacing w:before="30" w:after="40"/>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18"/>
              </w:rPr>
            </w:pPr>
            <w:r w:rsidRPr="00BD16B4">
              <w:rPr>
                <w:rFonts w:cs="Calibri"/>
                <w:color w:val="FFFFFF" w:themeColor="background1"/>
                <w:szCs w:val="18"/>
              </w:rPr>
              <w:t>GCOS system</w:t>
            </w:r>
          </w:p>
        </w:tc>
        <w:tc>
          <w:tcPr>
            <w:tcW w:w="1644" w:type="dxa"/>
            <w:tcBorders>
              <w:left w:val="nil"/>
              <w:bottom w:val="single" w:sz="4" w:space="0" w:color="1C556C" w:themeColor="accent1"/>
            </w:tcBorders>
            <w:shd w:val="clear" w:color="auto" w:fill="1B556B"/>
            <w:noWrap/>
            <w:vAlign w:val="bottom"/>
            <w:hideMark/>
          </w:tcPr>
          <w:p w14:paraId="3CB87E0E" w14:textId="77777777" w:rsidR="00DE1BDD" w:rsidRPr="00BD16B4" w:rsidRDefault="00DE1BDD" w:rsidP="00BE6454">
            <w:pPr>
              <w:pStyle w:val="TableText"/>
              <w:spacing w:before="30" w:after="40"/>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18"/>
              </w:rPr>
            </w:pPr>
            <w:r w:rsidRPr="00BD16B4">
              <w:rPr>
                <w:rFonts w:cs="Calibri"/>
                <w:color w:val="FFFFFF" w:themeColor="background1"/>
                <w:szCs w:val="18"/>
              </w:rPr>
              <w:t>Notes</w:t>
            </w:r>
          </w:p>
        </w:tc>
      </w:tr>
      <w:tr w:rsidR="008921AE" w:rsidRPr="00BD16B4" w14:paraId="30080F8A" w14:textId="77777777" w:rsidTr="008921AE">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1C556C" w:themeColor="accent1"/>
              <w:left w:val="nil"/>
              <w:bottom w:val="single" w:sz="4" w:space="0" w:color="1C556C" w:themeColor="accent1"/>
              <w:right w:val="single" w:sz="4" w:space="0" w:color="1C556C" w:themeColor="accent1"/>
            </w:tcBorders>
            <w:noWrap/>
            <w:hideMark/>
          </w:tcPr>
          <w:p w14:paraId="0AE133FB" w14:textId="77777777" w:rsidR="00DE1BDD" w:rsidRPr="00BD16B4" w:rsidRDefault="00DE1BDD" w:rsidP="00BE6454">
            <w:pPr>
              <w:pStyle w:val="TableText"/>
              <w:tabs>
                <w:tab w:val="right" w:pos="1934"/>
              </w:tabs>
              <w:spacing w:before="30" w:after="40"/>
              <w:rPr>
                <w:rFonts w:cs="Calibri"/>
                <w:caps/>
                <w:szCs w:val="18"/>
              </w:rPr>
            </w:pPr>
            <w:r w:rsidRPr="00BD16B4">
              <w:rPr>
                <w:rFonts w:cs="Calibri"/>
                <w:szCs w:val="18"/>
              </w:rPr>
              <w:t>Kaitaia Observator</w:t>
            </w:r>
            <w:r w:rsidRPr="00BD16B4">
              <w:rPr>
                <w:rFonts w:cs="Calibri"/>
                <w:b w:val="0"/>
                <w:bCs w:val="0"/>
                <w:szCs w:val="18"/>
              </w:rPr>
              <w:t>y</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noWrap/>
            <w:hideMark/>
          </w:tcPr>
          <w:p w14:paraId="7C93DD33"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–35.133</w:t>
            </w:r>
          </w:p>
        </w:tc>
        <w:tc>
          <w:tcPr>
            <w:tcW w:w="964"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noWrap/>
            <w:hideMark/>
          </w:tcPr>
          <w:p w14:paraId="4F99F67F"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173.263</w:t>
            </w:r>
          </w:p>
        </w:tc>
        <w:tc>
          <w:tcPr>
            <w:tcW w:w="1814"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noWrap/>
            <w:hideMark/>
          </w:tcPr>
          <w:p w14:paraId="60924179"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NIWA</w:t>
            </w:r>
          </w:p>
        </w:tc>
        <w:tc>
          <w:tcPr>
            <w:tcW w:w="794"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noWrap/>
            <w:hideMark/>
          </w:tcPr>
          <w:p w14:paraId="65E6A8E7"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GSN</w:t>
            </w:r>
          </w:p>
        </w:tc>
        <w:tc>
          <w:tcPr>
            <w:tcW w:w="1644" w:type="dxa"/>
            <w:tcBorders>
              <w:top w:val="single" w:sz="4" w:space="0" w:color="1C556C" w:themeColor="accent1"/>
              <w:left w:val="single" w:sz="4" w:space="0" w:color="1C556C" w:themeColor="accent1"/>
              <w:bottom w:val="single" w:sz="4" w:space="0" w:color="1C556C" w:themeColor="accent1"/>
              <w:right w:val="nil"/>
            </w:tcBorders>
            <w:noWrap/>
            <w:hideMark/>
          </w:tcPr>
          <w:p w14:paraId="5CEA9FFA"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BE6454" w:rsidRPr="00BD16B4" w14:paraId="0F8496CA" w14:textId="77777777" w:rsidTr="008921AE">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1C556C" w:themeColor="accent1"/>
            </w:tcBorders>
            <w:noWrap/>
            <w:hideMark/>
          </w:tcPr>
          <w:p w14:paraId="4048F32E" w14:textId="77777777" w:rsidR="00DE1BDD" w:rsidRPr="00BD16B4" w:rsidRDefault="00DE1BDD" w:rsidP="00BE6454">
            <w:pPr>
              <w:pStyle w:val="TableText"/>
              <w:spacing w:before="30" w:after="40"/>
              <w:rPr>
                <w:rFonts w:cs="Calibri"/>
                <w:caps/>
                <w:szCs w:val="18"/>
              </w:rPr>
            </w:pPr>
            <w:r w:rsidRPr="00BD16B4">
              <w:rPr>
                <w:rFonts w:cs="Calibri"/>
                <w:szCs w:val="18"/>
              </w:rPr>
              <w:t xml:space="preserve">Gisborne Aero </w:t>
            </w:r>
            <w:r w:rsidRPr="00BD16B4">
              <w:rPr>
                <w:rFonts w:cs="Calibri"/>
                <w:caps/>
                <w:szCs w:val="18"/>
              </w:rPr>
              <w:t>AWS</w:t>
            </w:r>
          </w:p>
        </w:tc>
        <w:tc>
          <w:tcPr>
            <w:tcW w:w="907" w:type="dxa"/>
            <w:tcBorders>
              <w:top w:val="single" w:sz="4" w:space="0" w:color="1C556C" w:themeColor="accent1"/>
            </w:tcBorders>
            <w:noWrap/>
            <w:hideMark/>
          </w:tcPr>
          <w:p w14:paraId="49A60194"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–38.659</w:t>
            </w:r>
          </w:p>
        </w:tc>
        <w:tc>
          <w:tcPr>
            <w:tcW w:w="964" w:type="dxa"/>
            <w:tcBorders>
              <w:top w:val="single" w:sz="4" w:space="0" w:color="1C556C" w:themeColor="accent1"/>
            </w:tcBorders>
            <w:noWrap/>
            <w:hideMark/>
          </w:tcPr>
          <w:p w14:paraId="00976AC1"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177.985</w:t>
            </w:r>
          </w:p>
        </w:tc>
        <w:tc>
          <w:tcPr>
            <w:tcW w:w="1814" w:type="dxa"/>
            <w:tcBorders>
              <w:top w:val="single" w:sz="4" w:space="0" w:color="1C556C" w:themeColor="accent1"/>
            </w:tcBorders>
            <w:noWrap/>
            <w:hideMark/>
          </w:tcPr>
          <w:p w14:paraId="4BE71560"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MetService</w:t>
            </w:r>
          </w:p>
        </w:tc>
        <w:tc>
          <w:tcPr>
            <w:tcW w:w="794" w:type="dxa"/>
            <w:tcBorders>
              <w:top w:val="single" w:sz="4" w:space="0" w:color="1C556C" w:themeColor="accent1"/>
            </w:tcBorders>
            <w:noWrap/>
            <w:hideMark/>
          </w:tcPr>
          <w:p w14:paraId="7B2BE49B"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GSN</w:t>
            </w:r>
          </w:p>
        </w:tc>
        <w:tc>
          <w:tcPr>
            <w:tcW w:w="1644" w:type="dxa"/>
            <w:tcBorders>
              <w:top w:val="single" w:sz="4" w:space="0" w:color="1C556C" w:themeColor="accent1"/>
            </w:tcBorders>
            <w:noWrap/>
            <w:hideMark/>
          </w:tcPr>
          <w:p w14:paraId="5DEE06B8"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317E9621"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6C9983F8" w14:textId="77777777" w:rsidR="00DE1BDD" w:rsidRPr="00BD16B4" w:rsidRDefault="00DE1BDD" w:rsidP="00BE6454">
            <w:pPr>
              <w:pStyle w:val="TableText"/>
              <w:spacing w:before="30" w:after="40"/>
              <w:rPr>
                <w:rFonts w:cs="Calibri"/>
                <w:caps/>
                <w:szCs w:val="18"/>
              </w:rPr>
            </w:pPr>
            <w:r w:rsidRPr="00BD16B4">
              <w:rPr>
                <w:rFonts w:cs="Calibri"/>
                <w:szCs w:val="18"/>
              </w:rPr>
              <w:t xml:space="preserve">New Plymouth Aero </w:t>
            </w:r>
            <w:r w:rsidRPr="00BD16B4">
              <w:rPr>
                <w:rFonts w:cs="Calibri"/>
                <w:caps/>
                <w:szCs w:val="18"/>
              </w:rPr>
              <w:t>AWS</w:t>
            </w:r>
          </w:p>
        </w:tc>
        <w:tc>
          <w:tcPr>
            <w:tcW w:w="907" w:type="dxa"/>
            <w:noWrap/>
            <w:hideMark/>
          </w:tcPr>
          <w:p w14:paraId="5868B0F6"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–39.008</w:t>
            </w:r>
          </w:p>
        </w:tc>
        <w:tc>
          <w:tcPr>
            <w:tcW w:w="964" w:type="dxa"/>
            <w:noWrap/>
            <w:hideMark/>
          </w:tcPr>
          <w:p w14:paraId="4359AE8D"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174.184</w:t>
            </w:r>
          </w:p>
        </w:tc>
        <w:tc>
          <w:tcPr>
            <w:tcW w:w="1814" w:type="dxa"/>
            <w:noWrap/>
            <w:hideMark/>
          </w:tcPr>
          <w:p w14:paraId="628A2140"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MetService</w:t>
            </w:r>
          </w:p>
        </w:tc>
        <w:tc>
          <w:tcPr>
            <w:tcW w:w="794" w:type="dxa"/>
            <w:noWrap/>
            <w:hideMark/>
          </w:tcPr>
          <w:p w14:paraId="682A7FC5"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GSN</w:t>
            </w:r>
          </w:p>
        </w:tc>
        <w:tc>
          <w:tcPr>
            <w:tcW w:w="1644" w:type="dxa"/>
            <w:noWrap/>
            <w:hideMark/>
          </w:tcPr>
          <w:p w14:paraId="41749B82"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36113E1B"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605249E7" w14:textId="77777777" w:rsidR="00DE1BDD" w:rsidRPr="00BD16B4" w:rsidRDefault="00DE1BDD" w:rsidP="00BE6454">
            <w:pPr>
              <w:pStyle w:val="TableText"/>
              <w:spacing w:before="30" w:after="40"/>
              <w:rPr>
                <w:rFonts w:cs="Calibri"/>
                <w:caps/>
                <w:szCs w:val="18"/>
              </w:rPr>
            </w:pPr>
            <w:r w:rsidRPr="00BD16B4">
              <w:rPr>
                <w:rFonts w:cs="Calibri"/>
                <w:szCs w:val="18"/>
              </w:rPr>
              <w:t xml:space="preserve">Paraparaumu Aero </w:t>
            </w:r>
            <w:r w:rsidRPr="00BD16B4">
              <w:rPr>
                <w:rFonts w:cs="Calibri"/>
                <w:caps/>
                <w:szCs w:val="18"/>
              </w:rPr>
              <w:t>AWS</w:t>
            </w:r>
          </w:p>
        </w:tc>
        <w:tc>
          <w:tcPr>
            <w:tcW w:w="907" w:type="dxa"/>
            <w:noWrap/>
            <w:hideMark/>
          </w:tcPr>
          <w:p w14:paraId="4FE9FB8F"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–40.905</w:t>
            </w:r>
          </w:p>
        </w:tc>
        <w:tc>
          <w:tcPr>
            <w:tcW w:w="964" w:type="dxa"/>
            <w:noWrap/>
            <w:hideMark/>
          </w:tcPr>
          <w:p w14:paraId="5E647237"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174.985</w:t>
            </w:r>
          </w:p>
        </w:tc>
        <w:tc>
          <w:tcPr>
            <w:tcW w:w="1814" w:type="dxa"/>
            <w:noWrap/>
            <w:hideMark/>
          </w:tcPr>
          <w:p w14:paraId="4E7E9CF1"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MetService</w:t>
            </w:r>
          </w:p>
        </w:tc>
        <w:tc>
          <w:tcPr>
            <w:tcW w:w="794" w:type="dxa"/>
            <w:noWrap/>
            <w:hideMark/>
          </w:tcPr>
          <w:p w14:paraId="6A57B825"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GSN</w:t>
            </w:r>
          </w:p>
        </w:tc>
        <w:tc>
          <w:tcPr>
            <w:tcW w:w="1644" w:type="dxa"/>
            <w:noWrap/>
            <w:hideMark/>
          </w:tcPr>
          <w:p w14:paraId="4240412D"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21998FFA"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4E8854B8" w14:textId="77777777" w:rsidR="00DE1BDD" w:rsidRPr="00BD16B4" w:rsidRDefault="00DE1BDD" w:rsidP="00BE6454">
            <w:pPr>
              <w:pStyle w:val="TableText"/>
              <w:spacing w:before="30" w:after="40"/>
              <w:rPr>
                <w:rFonts w:cs="Calibri"/>
                <w:caps/>
                <w:szCs w:val="18"/>
              </w:rPr>
            </w:pPr>
            <w:r w:rsidRPr="00BD16B4">
              <w:rPr>
                <w:rFonts w:cs="Calibri"/>
                <w:szCs w:val="18"/>
              </w:rPr>
              <w:t>Hokitika Aero</w:t>
            </w:r>
            <w:r w:rsidRPr="00BD16B4">
              <w:rPr>
                <w:rFonts w:cs="Calibri"/>
                <w:caps/>
                <w:szCs w:val="18"/>
              </w:rPr>
              <w:t xml:space="preserve"> AWS</w:t>
            </w:r>
          </w:p>
        </w:tc>
        <w:tc>
          <w:tcPr>
            <w:tcW w:w="907" w:type="dxa"/>
            <w:noWrap/>
            <w:hideMark/>
          </w:tcPr>
          <w:p w14:paraId="5F26F88C"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–42.713</w:t>
            </w:r>
          </w:p>
        </w:tc>
        <w:tc>
          <w:tcPr>
            <w:tcW w:w="964" w:type="dxa"/>
            <w:noWrap/>
            <w:hideMark/>
          </w:tcPr>
          <w:p w14:paraId="751A0DAA"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170.984</w:t>
            </w:r>
          </w:p>
        </w:tc>
        <w:tc>
          <w:tcPr>
            <w:tcW w:w="1814" w:type="dxa"/>
            <w:noWrap/>
            <w:hideMark/>
          </w:tcPr>
          <w:p w14:paraId="038B27CD"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MetService</w:t>
            </w:r>
          </w:p>
        </w:tc>
        <w:tc>
          <w:tcPr>
            <w:tcW w:w="794" w:type="dxa"/>
            <w:noWrap/>
            <w:hideMark/>
          </w:tcPr>
          <w:p w14:paraId="0C828C76"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GSN</w:t>
            </w:r>
          </w:p>
        </w:tc>
        <w:tc>
          <w:tcPr>
            <w:tcW w:w="1644" w:type="dxa"/>
            <w:noWrap/>
            <w:hideMark/>
          </w:tcPr>
          <w:p w14:paraId="07534C0F"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04FF7EC6"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1B3529F6" w14:textId="77777777" w:rsidR="00DE1BDD" w:rsidRPr="00BD16B4" w:rsidRDefault="00DE1BDD" w:rsidP="00BE6454">
            <w:pPr>
              <w:pStyle w:val="TableText"/>
              <w:spacing w:before="30" w:after="40"/>
              <w:rPr>
                <w:rFonts w:cs="Calibri"/>
                <w:caps/>
                <w:szCs w:val="18"/>
              </w:rPr>
            </w:pPr>
            <w:r w:rsidRPr="00BD16B4">
              <w:rPr>
                <w:rFonts w:cs="Calibri"/>
                <w:szCs w:val="18"/>
              </w:rPr>
              <w:t>Tara Hills</w:t>
            </w:r>
            <w:r w:rsidRPr="00BD16B4">
              <w:rPr>
                <w:rFonts w:cs="Calibri"/>
                <w:caps/>
                <w:szCs w:val="18"/>
              </w:rPr>
              <w:t xml:space="preserve"> AWS</w:t>
            </w:r>
          </w:p>
        </w:tc>
        <w:tc>
          <w:tcPr>
            <w:tcW w:w="907" w:type="dxa"/>
            <w:noWrap/>
            <w:hideMark/>
          </w:tcPr>
          <w:p w14:paraId="6197886C"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–44.526</w:t>
            </w:r>
          </w:p>
        </w:tc>
        <w:tc>
          <w:tcPr>
            <w:tcW w:w="964" w:type="dxa"/>
            <w:noWrap/>
            <w:hideMark/>
          </w:tcPr>
          <w:p w14:paraId="0D599112"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169.889</w:t>
            </w:r>
          </w:p>
        </w:tc>
        <w:tc>
          <w:tcPr>
            <w:tcW w:w="1814" w:type="dxa"/>
            <w:noWrap/>
            <w:hideMark/>
          </w:tcPr>
          <w:p w14:paraId="401F205A"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MetService</w:t>
            </w:r>
          </w:p>
        </w:tc>
        <w:tc>
          <w:tcPr>
            <w:tcW w:w="794" w:type="dxa"/>
            <w:noWrap/>
            <w:hideMark/>
          </w:tcPr>
          <w:p w14:paraId="0528FB1C"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GSN</w:t>
            </w:r>
          </w:p>
        </w:tc>
        <w:tc>
          <w:tcPr>
            <w:tcW w:w="1644" w:type="dxa"/>
            <w:noWrap/>
            <w:hideMark/>
          </w:tcPr>
          <w:p w14:paraId="10360F8E"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1082C693"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58AF30A5" w14:textId="77777777" w:rsidR="00DE1BDD" w:rsidRPr="00BD16B4" w:rsidRDefault="00DE1BDD" w:rsidP="00BE6454">
            <w:pPr>
              <w:pStyle w:val="TableText"/>
              <w:spacing w:before="30" w:after="40"/>
              <w:rPr>
                <w:rFonts w:cs="Calibri"/>
                <w:caps/>
                <w:szCs w:val="18"/>
              </w:rPr>
            </w:pPr>
            <w:r w:rsidRPr="00BD16B4">
              <w:rPr>
                <w:rFonts w:cs="Calibri"/>
                <w:szCs w:val="18"/>
              </w:rPr>
              <w:t xml:space="preserve">Invercargill Aero </w:t>
            </w:r>
            <w:r w:rsidRPr="00BD16B4">
              <w:rPr>
                <w:rFonts w:cs="Calibri"/>
                <w:caps/>
                <w:szCs w:val="18"/>
              </w:rPr>
              <w:t>AWS</w:t>
            </w:r>
          </w:p>
        </w:tc>
        <w:tc>
          <w:tcPr>
            <w:tcW w:w="907" w:type="dxa"/>
            <w:noWrap/>
            <w:hideMark/>
          </w:tcPr>
          <w:p w14:paraId="53EA050E"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–46.413</w:t>
            </w:r>
          </w:p>
        </w:tc>
        <w:tc>
          <w:tcPr>
            <w:tcW w:w="964" w:type="dxa"/>
            <w:noWrap/>
            <w:hideMark/>
          </w:tcPr>
          <w:p w14:paraId="53D0BF21"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168.317</w:t>
            </w:r>
          </w:p>
        </w:tc>
        <w:tc>
          <w:tcPr>
            <w:tcW w:w="1814" w:type="dxa"/>
            <w:noWrap/>
            <w:hideMark/>
          </w:tcPr>
          <w:p w14:paraId="0A41350D"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MetService</w:t>
            </w:r>
          </w:p>
        </w:tc>
        <w:tc>
          <w:tcPr>
            <w:tcW w:w="794" w:type="dxa"/>
            <w:noWrap/>
            <w:hideMark/>
          </w:tcPr>
          <w:p w14:paraId="029CE1F5"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GSN</w:t>
            </w:r>
          </w:p>
        </w:tc>
        <w:tc>
          <w:tcPr>
            <w:tcW w:w="1644" w:type="dxa"/>
            <w:noWrap/>
            <w:hideMark/>
          </w:tcPr>
          <w:p w14:paraId="57952A40"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1A3DE697"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0408C069" w14:textId="77777777" w:rsidR="00DE1BDD" w:rsidRPr="00BD16B4" w:rsidRDefault="00DE1BDD" w:rsidP="00BE6454">
            <w:pPr>
              <w:pStyle w:val="TableText"/>
              <w:spacing w:before="30" w:after="40"/>
              <w:rPr>
                <w:rFonts w:cs="Calibri"/>
                <w:caps/>
                <w:szCs w:val="18"/>
              </w:rPr>
            </w:pPr>
            <w:r w:rsidRPr="00BD16B4">
              <w:rPr>
                <w:rFonts w:cs="Calibri"/>
                <w:szCs w:val="18"/>
              </w:rPr>
              <w:t xml:space="preserve">Campbell Island </w:t>
            </w:r>
            <w:r w:rsidRPr="00BD16B4">
              <w:rPr>
                <w:rFonts w:cs="Calibri"/>
                <w:caps/>
                <w:szCs w:val="18"/>
              </w:rPr>
              <w:t>AWS</w:t>
            </w:r>
          </w:p>
        </w:tc>
        <w:tc>
          <w:tcPr>
            <w:tcW w:w="907" w:type="dxa"/>
            <w:noWrap/>
            <w:hideMark/>
          </w:tcPr>
          <w:p w14:paraId="5ECA28CD"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–52.550</w:t>
            </w:r>
          </w:p>
        </w:tc>
        <w:tc>
          <w:tcPr>
            <w:tcW w:w="964" w:type="dxa"/>
            <w:noWrap/>
            <w:hideMark/>
          </w:tcPr>
          <w:p w14:paraId="0C8C2435"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169.150</w:t>
            </w:r>
          </w:p>
        </w:tc>
        <w:tc>
          <w:tcPr>
            <w:tcW w:w="1814" w:type="dxa"/>
            <w:noWrap/>
            <w:hideMark/>
          </w:tcPr>
          <w:p w14:paraId="7755AFA9"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MetService</w:t>
            </w:r>
          </w:p>
        </w:tc>
        <w:tc>
          <w:tcPr>
            <w:tcW w:w="794" w:type="dxa"/>
            <w:noWrap/>
            <w:hideMark/>
          </w:tcPr>
          <w:p w14:paraId="2D40DF41"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GSN</w:t>
            </w:r>
          </w:p>
        </w:tc>
        <w:tc>
          <w:tcPr>
            <w:tcW w:w="1644" w:type="dxa"/>
            <w:noWrap/>
            <w:hideMark/>
          </w:tcPr>
          <w:p w14:paraId="2CC19A01"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1A456498"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53C3FA9B" w14:textId="77777777" w:rsidR="00DE1BDD" w:rsidRPr="00BD16B4" w:rsidRDefault="00DE1BDD" w:rsidP="00BE6454">
            <w:pPr>
              <w:pStyle w:val="TableText"/>
              <w:spacing w:before="30" w:after="40"/>
              <w:rPr>
                <w:rFonts w:cs="Calibri"/>
                <w:caps/>
                <w:szCs w:val="18"/>
              </w:rPr>
            </w:pPr>
            <w:r w:rsidRPr="00BD16B4">
              <w:rPr>
                <w:rFonts w:cs="Calibri"/>
                <w:szCs w:val="18"/>
              </w:rPr>
              <w:t>Chatham Island Aero</w:t>
            </w:r>
            <w:r w:rsidRPr="00BD16B4">
              <w:rPr>
                <w:rFonts w:cs="Calibri"/>
                <w:caps/>
                <w:szCs w:val="18"/>
              </w:rPr>
              <w:t xml:space="preserve"> AWS</w:t>
            </w:r>
          </w:p>
        </w:tc>
        <w:tc>
          <w:tcPr>
            <w:tcW w:w="907" w:type="dxa"/>
            <w:noWrap/>
            <w:hideMark/>
          </w:tcPr>
          <w:p w14:paraId="2071FEA7"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–43.817</w:t>
            </w:r>
          </w:p>
        </w:tc>
        <w:tc>
          <w:tcPr>
            <w:tcW w:w="964" w:type="dxa"/>
            <w:noWrap/>
            <w:hideMark/>
          </w:tcPr>
          <w:p w14:paraId="50430730"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–176.475</w:t>
            </w:r>
          </w:p>
        </w:tc>
        <w:tc>
          <w:tcPr>
            <w:tcW w:w="1814" w:type="dxa"/>
            <w:noWrap/>
            <w:hideMark/>
          </w:tcPr>
          <w:p w14:paraId="367790F5"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MetService</w:t>
            </w:r>
          </w:p>
        </w:tc>
        <w:tc>
          <w:tcPr>
            <w:tcW w:w="794" w:type="dxa"/>
            <w:noWrap/>
            <w:hideMark/>
          </w:tcPr>
          <w:p w14:paraId="2400DCA6"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GSN</w:t>
            </w:r>
          </w:p>
        </w:tc>
        <w:tc>
          <w:tcPr>
            <w:tcW w:w="1644" w:type="dxa"/>
            <w:noWrap/>
            <w:hideMark/>
          </w:tcPr>
          <w:p w14:paraId="501D9762"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59E07AE4"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7330D476" w14:textId="77777777" w:rsidR="00DE1BDD" w:rsidRPr="00BD16B4" w:rsidRDefault="00DE1BDD" w:rsidP="00BE6454">
            <w:pPr>
              <w:pStyle w:val="TableText"/>
              <w:spacing w:before="30" w:after="40"/>
              <w:rPr>
                <w:rFonts w:cs="Calibri"/>
                <w:caps/>
                <w:szCs w:val="18"/>
              </w:rPr>
            </w:pPr>
            <w:r w:rsidRPr="00BD16B4">
              <w:rPr>
                <w:rFonts w:cs="Calibri"/>
                <w:szCs w:val="18"/>
              </w:rPr>
              <w:t>Raoul Island</w:t>
            </w:r>
            <w:r w:rsidRPr="00BD16B4">
              <w:rPr>
                <w:rFonts w:cs="Calibri"/>
                <w:caps/>
                <w:szCs w:val="18"/>
              </w:rPr>
              <w:t xml:space="preserve"> AWS</w:t>
            </w:r>
          </w:p>
        </w:tc>
        <w:tc>
          <w:tcPr>
            <w:tcW w:w="907" w:type="dxa"/>
            <w:noWrap/>
            <w:hideMark/>
          </w:tcPr>
          <w:p w14:paraId="3353AA61"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–29.245</w:t>
            </w:r>
          </w:p>
        </w:tc>
        <w:tc>
          <w:tcPr>
            <w:tcW w:w="964" w:type="dxa"/>
            <w:noWrap/>
            <w:hideMark/>
          </w:tcPr>
          <w:p w14:paraId="2BBC1A4A"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–177.929</w:t>
            </w:r>
          </w:p>
        </w:tc>
        <w:tc>
          <w:tcPr>
            <w:tcW w:w="1814" w:type="dxa"/>
            <w:noWrap/>
            <w:hideMark/>
          </w:tcPr>
          <w:p w14:paraId="6A49548F"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MetService</w:t>
            </w:r>
          </w:p>
        </w:tc>
        <w:tc>
          <w:tcPr>
            <w:tcW w:w="794" w:type="dxa"/>
            <w:noWrap/>
            <w:hideMark/>
          </w:tcPr>
          <w:p w14:paraId="1A3DDD53"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GSN</w:t>
            </w:r>
          </w:p>
        </w:tc>
        <w:tc>
          <w:tcPr>
            <w:tcW w:w="1644" w:type="dxa"/>
            <w:noWrap/>
            <w:hideMark/>
          </w:tcPr>
          <w:p w14:paraId="526077CB"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8921AE" w:rsidRPr="00BD16B4" w14:paraId="0961ADA2" w14:textId="77777777" w:rsidTr="008921AE">
        <w:tc>
          <w:tcPr>
            <w:cnfStyle w:val="001000000000" w:firstRow="0" w:lastRow="0" w:firstColumn="1" w:lastColumn="0" w:oddVBand="0" w:evenVBand="0" w:oddHBand="0" w:evenHBand="0" w:firstRowFirstColumn="0" w:firstRowLastColumn="0" w:lastRowFirstColumn="0" w:lastRowLastColumn="0"/>
            <w:tcW w:w="2150" w:type="dxa"/>
            <w:shd w:val="clear" w:color="auto" w:fill="1C556C" w:themeFill="accent1"/>
            <w:noWrap/>
            <w:hideMark/>
          </w:tcPr>
          <w:p w14:paraId="13D755FF" w14:textId="77777777" w:rsidR="00DE1BDD" w:rsidRPr="00BD16B4" w:rsidRDefault="00DE1BDD" w:rsidP="00BE6454">
            <w:pPr>
              <w:pStyle w:val="TableText"/>
              <w:spacing w:before="30" w:after="0"/>
              <w:rPr>
                <w:rFonts w:cs="Calibri"/>
                <w:caps/>
                <w:szCs w:val="18"/>
              </w:rPr>
            </w:pPr>
          </w:p>
        </w:tc>
        <w:tc>
          <w:tcPr>
            <w:tcW w:w="907" w:type="dxa"/>
            <w:shd w:val="clear" w:color="auto" w:fill="1C556C" w:themeFill="accent1"/>
            <w:noWrap/>
            <w:hideMark/>
          </w:tcPr>
          <w:p w14:paraId="470AD0F5" w14:textId="77777777" w:rsidR="00DE1BDD" w:rsidRPr="00BD16B4" w:rsidRDefault="00DE1BDD" w:rsidP="00BE6454">
            <w:pPr>
              <w:pStyle w:val="TableText"/>
              <w:spacing w:before="30" w:after="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964" w:type="dxa"/>
            <w:shd w:val="clear" w:color="auto" w:fill="1C556C" w:themeFill="accent1"/>
            <w:noWrap/>
            <w:hideMark/>
          </w:tcPr>
          <w:p w14:paraId="04FF1F20" w14:textId="77777777" w:rsidR="00DE1BDD" w:rsidRPr="00BD16B4" w:rsidRDefault="00DE1BDD" w:rsidP="00BE6454">
            <w:pPr>
              <w:pStyle w:val="TableText"/>
              <w:spacing w:before="30" w:after="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1814" w:type="dxa"/>
            <w:shd w:val="clear" w:color="auto" w:fill="1C556C" w:themeFill="accent1"/>
            <w:noWrap/>
            <w:hideMark/>
          </w:tcPr>
          <w:p w14:paraId="4A59B31D" w14:textId="77777777" w:rsidR="00DE1BDD" w:rsidRPr="00BD16B4" w:rsidRDefault="00DE1BDD" w:rsidP="00BE6454">
            <w:pPr>
              <w:pStyle w:val="TableText"/>
              <w:spacing w:before="30" w:after="0"/>
              <w:cnfStyle w:val="000000000000" w:firstRow="0" w:lastRow="0" w:firstColumn="0" w:lastColumn="0" w:oddVBand="0" w:evenVBand="0" w:oddHBand="0" w:evenHBand="0" w:firstRowFirstColumn="0" w:firstRowLastColumn="0" w:lastRowFirstColumn="0" w:lastRowLastColumn="0"/>
              <w:rPr>
                <w:rFonts w:cs="Calibri"/>
                <w:szCs w:val="18"/>
              </w:rPr>
            </w:pPr>
          </w:p>
        </w:tc>
        <w:tc>
          <w:tcPr>
            <w:tcW w:w="794" w:type="dxa"/>
            <w:shd w:val="clear" w:color="auto" w:fill="1C556C" w:themeFill="accent1"/>
            <w:noWrap/>
            <w:hideMark/>
          </w:tcPr>
          <w:p w14:paraId="6E394AFB" w14:textId="77777777" w:rsidR="00DE1BDD" w:rsidRPr="00BD16B4" w:rsidRDefault="00DE1BDD" w:rsidP="00BE6454">
            <w:pPr>
              <w:pStyle w:val="TableText"/>
              <w:spacing w:before="30" w:after="0"/>
              <w:cnfStyle w:val="000000000000" w:firstRow="0" w:lastRow="0" w:firstColumn="0" w:lastColumn="0" w:oddVBand="0" w:evenVBand="0" w:oddHBand="0" w:evenHBand="0" w:firstRowFirstColumn="0" w:firstRowLastColumn="0" w:lastRowFirstColumn="0" w:lastRowLastColumn="0"/>
              <w:rPr>
                <w:rFonts w:cs="Calibri"/>
                <w:szCs w:val="18"/>
              </w:rPr>
            </w:pPr>
          </w:p>
        </w:tc>
        <w:tc>
          <w:tcPr>
            <w:tcW w:w="1644" w:type="dxa"/>
            <w:shd w:val="clear" w:color="auto" w:fill="1C556C" w:themeFill="accent1"/>
            <w:noWrap/>
            <w:hideMark/>
          </w:tcPr>
          <w:p w14:paraId="26FE6B28" w14:textId="77777777" w:rsidR="00DE1BDD" w:rsidRPr="00BD16B4" w:rsidRDefault="00DE1BDD" w:rsidP="00BE6454">
            <w:pPr>
              <w:pStyle w:val="TableText"/>
              <w:spacing w:before="30" w:after="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06B6EE95" w14:textId="77777777" w:rsidTr="008921AE">
        <w:tc>
          <w:tcPr>
            <w:cnfStyle w:val="001000000000" w:firstRow="0" w:lastRow="0" w:firstColumn="1" w:lastColumn="0" w:oddVBand="0" w:evenVBand="0" w:oddHBand="0" w:evenHBand="0" w:firstRowFirstColumn="0" w:firstRowLastColumn="0" w:lastRowFirstColumn="0" w:lastRowLastColumn="0"/>
            <w:tcW w:w="2150" w:type="dxa"/>
            <w:hideMark/>
          </w:tcPr>
          <w:p w14:paraId="034EDA00" w14:textId="77777777" w:rsidR="00DE1BDD" w:rsidRPr="00BD16B4" w:rsidRDefault="00DE1BDD" w:rsidP="00BE6454">
            <w:pPr>
              <w:pStyle w:val="TableText"/>
              <w:spacing w:before="30" w:after="40"/>
              <w:rPr>
                <w:rFonts w:cs="Calibri"/>
                <w:caps/>
                <w:szCs w:val="18"/>
              </w:rPr>
            </w:pPr>
            <w:r w:rsidRPr="00BD16B4">
              <w:rPr>
                <w:rFonts w:cs="Calibri"/>
                <w:szCs w:val="18"/>
              </w:rPr>
              <w:t>Paraparaumu Observatory</w:t>
            </w:r>
          </w:p>
        </w:tc>
        <w:tc>
          <w:tcPr>
            <w:tcW w:w="907" w:type="dxa"/>
            <w:noWrap/>
            <w:hideMark/>
          </w:tcPr>
          <w:p w14:paraId="030DE3AE"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–40.905</w:t>
            </w:r>
          </w:p>
        </w:tc>
        <w:tc>
          <w:tcPr>
            <w:tcW w:w="964" w:type="dxa"/>
            <w:noWrap/>
            <w:hideMark/>
          </w:tcPr>
          <w:p w14:paraId="46E44E19"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174.985</w:t>
            </w:r>
          </w:p>
        </w:tc>
        <w:tc>
          <w:tcPr>
            <w:tcW w:w="1814" w:type="dxa"/>
            <w:noWrap/>
            <w:hideMark/>
          </w:tcPr>
          <w:p w14:paraId="3F94F549"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MetService</w:t>
            </w:r>
          </w:p>
        </w:tc>
        <w:tc>
          <w:tcPr>
            <w:tcW w:w="794" w:type="dxa"/>
            <w:noWrap/>
            <w:hideMark/>
          </w:tcPr>
          <w:p w14:paraId="5092CC68"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GUAN</w:t>
            </w:r>
          </w:p>
        </w:tc>
        <w:tc>
          <w:tcPr>
            <w:tcW w:w="1644" w:type="dxa"/>
            <w:noWrap/>
            <w:hideMark/>
          </w:tcPr>
          <w:p w14:paraId="2AB89849"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62837AB7"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32EB773D" w14:textId="77777777" w:rsidR="00DE1BDD" w:rsidRPr="00BD16B4" w:rsidRDefault="00DE1BDD" w:rsidP="00BE6454">
            <w:pPr>
              <w:pStyle w:val="TableText"/>
              <w:spacing w:before="30" w:after="40"/>
              <w:rPr>
                <w:rFonts w:cs="Calibri"/>
                <w:caps/>
                <w:szCs w:val="18"/>
              </w:rPr>
            </w:pPr>
            <w:r w:rsidRPr="00BD16B4">
              <w:rPr>
                <w:rFonts w:cs="Calibri"/>
                <w:szCs w:val="18"/>
              </w:rPr>
              <w:t>Raoul Island</w:t>
            </w:r>
          </w:p>
        </w:tc>
        <w:tc>
          <w:tcPr>
            <w:tcW w:w="907" w:type="dxa"/>
            <w:noWrap/>
            <w:hideMark/>
          </w:tcPr>
          <w:p w14:paraId="0E4A1FFA"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–29.245</w:t>
            </w:r>
          </w:p>
        </w:tc>
        <w:tc>
          <w:tcPr>
            <w:tcW w:w="964" w:type="dxa"/>
            <w:noWrap/>
            <w:hideMark/>
          </w:tcPr>
          <w:p w14:paraId="4CB971DE"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–177.929</w:t>
            </w:r>
          </w:p>
        </w:tc>
        <w:tc>
          <w:tcPr>
            <w:tcW w:w="1814" w:type="dxa"/>
            <w:noWrap/>
            <w:hideMark/>
          </w:tcPr>
          <w:p w14:paraId="01522666"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MetService</w:t>
            </w:r>
          </w:p>
        </w:tc>
        <w:tc>
          <w:tcPr>
            <w:tcW w:w="794" w:type="dxa"/>
            <w:noWrap/>
            <w:hideMark/>
          </w:tcPr>
          <w:p w14:paraId="4797B4E0"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GUAN</w:t>
            </w:r>
          </w:p>
        </w:tc>
        <w:tc>
          <w:tcPr>
            <w:tcW w:w="1644" w:type="dxa"/>
            <w:noWrap/>
            <w:hideMark/>
          </w:tcPr>
          <w:p w14:paraId="2202DA75"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Not operating due to COVID-19 pandemic, operations, will resume once restrictions allow</w:t>
            </w:r>
          </w:p>
        </w:tc>
      </w:tr>
      <w:tr w:rsidR="00DE1BDD" w:rsidRPr="00BD16B4" w14:paraId="06917CED"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6907B1DE" w14:textId="77777777" w:rsidR="00DE1BDD" w:rsidRPr="00BD16B4" w:rsidRDefault="00DE1BDD" w:rsidP="00BE6454">
            <w:pPr>
              <w:pStyle w:val="TableText"/>
              <w:spacing w:before="30" w:after="40"/>
              <w:rPr>
                <w:rFonts w:cs="Calibri"/>
                <w:caps/>
                <w:szCs w:val="18"/>
              </w:rPr>
            </w:pPr>
            <w:r w:rsidRPr="00BD16B4">
              <w:rPr>
                <w:rFonts w:cs="Calibri"/>
                <w:szCs w:val="18"/>
              </w:rPr>
              <w:t>Royal New Zealand Air Force</w:t>
            </w:r>
            <w:r w:rsidRPr="00BD16B4">
              <w:rPr>
                <w:rFonts w:cs="Calibri"/>
                <w:caps/>
                <w:szCs w:val="18"/>
              </w:rPr>
              <w:t xml:space="preserve"> B</w:t>
            </w:r>
            <w:r w:rsidRPr="00BD16B4">
              <w:rPr>
                <w:rFonts w:cs="Calibri"/>
                <w:szCs w:val="18"/>
              </w:rPr>
              <w:t xml:space="preserve">ase Whenuapai </w:t>
            </w:r>
          </w:p>
        </w:tc>
        <w:tc>
          <w:tcPr>
            <w:tcW w:w="907" w:type="dxa"/>
            <w:noWrap/>
            <w:hideMark/>
          </w:tcPr>
          <w:p w14:paraId="673F875C"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–36.794</w:t>
            </w:r>
          </w:p>
        </w:tc>
        <w:tc>
          <w:tcPr>
            <w:tcW w:w="964" w:type="dxa"/>
            <w:noWrap/>
            <w:hideMark/>
          </w:tcPr>
          <w:p w14:paraId="0B38BBFA"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174.619</w:t>
            </w:r>
          </w:p>
        </w:tc>
        <w:tc>
          <w:tcPr>
            <w:tcW w:w="1814" w:type="dxa"/>
            <w:noWrap/>
            <w:hideMark/>
          </w:tcPr>
          <w:p w14:paraId="1A901A59"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MetService</w:t>
            </w:r>
          </w:p>
        </w:tc>
        <w:tc>
          <w:tcPr>
            <w:tcW w:w="794" w:type="dxa"/>
            <w:noWrap/>
            <w:hideMark/>
          </w:tcPr>
          <w:p w14:paraId="254F8879"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GUAN</w:t>
            </w:r>
          </w:p>
        </w:tc>
        <w:tc>
          <w:tcPr>
            <w:tcW w:w="1644" w:type="dxa"/>
            <w:noWrap/>
            <w:hideMark/>
          </w:tcPr>
          <w:p w14:paraId="77335003"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Full GUAN status pending WMO ratification</w:t>
            </w:r>
          </w:p>
        </w:tc>
      </w:tr>
      <w:tr w:rsidR="008921AE" w:rsidRPr="00BD16B4" w14:paraId="7DDC0D45" w14:textId="77777777" w:rsidTr="008921AE">
        <w:tc>
          <w:tcPr>
            <w:cnfStyle w:val="001000000000" w:firstRow="0" w:lastRow="0" w:firstColumn="1" w:lastColumn="0" w:oddVBand="0" w:evenVBand="0" w:oddHBand="0" w:evenHBand="0" w:firstRowFirstColumn="0" w:firstRowLastColumn="0" w:lastRowFirstColumn="0" w:lastRowLastColumn="0"/>
            <w:tcW w:w="2150" w:type="dxa"/>
            <w:shd w:val="clear" w:color="auto" w:fill="1C556C" w:themeFill="accent1"/>
            <w:noWrap/>
            <w:hideMark/>
          </w:tcPr>
          <w:p w14:paraId="16725110" w14:textId="77777777" w:rsidR="00DE1BDD" w:rsidRPr="00BD16B4" w:rsidRDefault="00DE1BDD" w:rsidP="00BE6454">
            <w:pPr>
              <w:pStyle w:val="TableText"/>
              <w:spacing w:before="30" w:after="0"/>
              <w:rPr>
                <w:rFonts w:cs="Calibri"/>
                <w:caps/>
                <w:szCs w:val="18"/>
              </w:rPr>
            </w:pPr>
          </w:p>
        </w:tc>
        <w:tc>
          <w:tcPr>
            <w:tcW w:w="907" w:type="dxa"/>
            <w:shd w:val="clear" w:color="auto" w:fill="1C556C" w:themeFill="accent1"/>
            <w:noWrap/>
            <w:hideMark/>
          </w:tcPr>
          <w:p w14:paraId="3A9C98CC" w14:textId="77777777" w:rsidR="00DE1BDD" w:rsidRPr="00BD16B4" w:rsidRDefault="00DE1BDD" w:rsidP="00BE6454">
            <w:pPr>
              <w:pStyle w:val="TableText"/>
              <w:spacing w:before="30" w:after="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964" w:type="dxa"/>
            <w:shd w:val="clear" w:color="auto" w:fill="1C556C" w:themeFill="accent1"/>
            <w:noWrap/>
            <w:hideMark/>
          </w:tcPr>
          <w:p w14:paraId="249E969D" w14:textId="77777777" w:rsidR="00DE1BDD" w:rsidRPr="00BD16B4" w:rsidRDefault="00DE1BDD" w:rsidP="00BE6454">
            <w:pPr>
              <w:pStyle w:val="TableText"/>
              <w:spacing w:before="30" w:after="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1814" w:type="dxa"/>
            <w:shd w:val="clear" w:color="auto" w:fill="1C556C" w:themeFill="accent1"/>
            <w:noWrap/>
            <w:hideMark/>
          </w:tcPr>
          <w:p w14:paraId="7304C9F7" w14:textId="77777777" w:rsidR="00DE1BDD" w:rsidRPr="00BD16B4" w:rsidRDefault="00DE1BDD" w:rsidP="00BE6454">
            <w:pPr>
              <w:pStyle w:val="TableText"/>
              <w:spacing w:before="30" w:after="0"/>
              <w:cnfStyle w:val="000000000000" w:firstRow="0" w:lastRow="0" w:firstColumn="0" w:lastColumn="0" w:oddVBand="0" w:evenVBand="0" w:oddHBand="0" w:evenHBand="0" w:firstRowFirstColumn="0" w:firstRowLastColumn="0" w:lastRowFirstColumn="0" w:lastRowLastColumn="0"/>
              <w:rPr>
                <w:rFonts w:cs="Calibri"/>
                <w:szCs w:val="18"/>
              </w:rPr>
            </w:pPr>
          </w:p>
        </w:tc>
        <w:tc>
          <w:tcPr>
            <w:tcW w:w="794" w:type="dxa"/>
            <w:shd w:val="clear" w:color="auto" w:fill="1C556C" w:themeFill="accent1"/>
            <w:noWrap/>
            <w:hideMark/>
          </w:tcPr>
          <w:p w14:paraId="19C50D22" w14:textId="77777777" w:rsidR="00DE1BDD" w:rsidRPr="00BD16B4" w:rsidRDefault="00DE1BDD" w:rsidP="00BE6454">
            <w:pPr>
              <w:pStyle w:val="TableText"/>
              <w:spacing w:before="30" w:after="0"/>
              <w:cnfStyle w:val="000000000000" w:firstRow="0" w:lastRow="0" w:firstColumn="0" w:lastColumn="0" w:oddVBand="0" w:evenVBand="0" w:oddHBand="0" w:evenHBand="0" w:firstRowFirstColumn="0" w:firstRowLastColumn="0" w:lastRowFirstColumn="0" w:lastRowLastColumn="0"/>
              <w:rPr>
                <w:rFonts w:cs="Calibri"/>
                <w:szCs w:val="18"/>
              </w:rPr>
            </w:pPr>
          </w:p>
        </w:tc>
        <w:tc>
          <w:tcPr>
            <w:tcW w:w="1644" w:type="dxa"/>
            <w:shd w:val="clear" w:color="auto" w:fill="1C556C" w:themeFill="accent1"/>
            <w:noWrap/>
            <w:hideMark/>
          </w:tcPr>
          <w:p w14:paraId="37958354" w14:textId="77777777" w:rsidR="00DE1BDD" w:rsidRPr="00BD16B4" w:rsidRDefault="00DE1BDD" w:rsidP="00BE6454">
            <w:pPr>
              <w:pStyle w:val="TableText"/>
              <w:spacing w:before="30" w:after="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4C9F6B13"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7DF61583" w14:textId="77777777" w:rsidR="00DE1BDD" w:rsidRPr="00BD16B4" w:rsidRDefault="00DE1BDD" w:rsidP="00BE6454">
            <w:pPr>
              <w:pStyle w:val="TableText"/>
              <w:spacing w:before="30" w:after="40"/>
              <w:rPr>
                <w:rFonts w:cs="Calibri"/>
                <w:caps/>
                <w:szCs w:val="18"/>
              </w:rPr>
            </w:pPr>
            <w:r w:rsidRPr="00BD16B4">
              <w:rPr>
                <w:rFonts w:cs="Calibri"/>
                <w:szCs w:val="18"/>
              </w:rPr>
              <w:t>Lauder Research Station</w:t>
            </w:r>
          </w:p>
        </w:tc>
        <w:tc>
          <w:tcPr>
            <w:tcW w:w="907" w:type="dxa"/>
            <w:noWrap/>
            <w:hideMark/>
          </w:tcPr>
          <w:p w14:paraId="64A42FC2"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–45.05</w:t>
            </w:r>
          </w:p>
        </w:tc>
        <w:tc>
          <w:tcPr>
            <w:tcW w:w="964" w:type="dxa"/>
            <w:noWrap/>
            <w:hideMark/>
          </w:tcPr>
          <w:p w14:paraId="09C91858"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169.683</w:t>
            </w:r>
          </w:p>
        </w:tc>
        <w:tc>
          <w:tcPr>
            <w:tcW w:w="1814" w:type="dxa"/>
            <w:noWrap/>
            <w:hideMark/>
          </w:tcPr>
          <w:p w14:paraId="02B7ACE8"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NIWA</w:t>
            </w:r>
          </w:p>
        </w:tc>
        <w:tc>
          <w:tcPr>
            <w:tcW w:w="794" w:type="dxa"/>
            <w:noWrap/>
            <w:hideMark/>
          </w:tcPr>
          <w:p w14:paraId="5B70F7F4"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GRUAN</w:t>
            </w:r>
          </w:p>
        </w:tc>
        <w:tc>
          <w:tcPr>
            <w:tcW w:w="1644" w:type="dxa"/>
            <w:noWrap/>
            <w:hideMark/>
          </w:tcPr>
          <w:p w14:paraId="17E523E9"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4103F49F"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1ADB920B" w14:textId="77777777" w:rsidR="00DE1BDD" w:rsidRPr="00BD16B4" w:rsidRDefault="00DE1BDD" w:rsidP="00BE6454">
            <w:pPr>
              <w:pStyle w:val="TableText"/>
              <w:spacing w:before="30" w:after="40"/>
              <w:rPr>
                <w:rFonts w:cs="Calibri"/>
                <w:caps/>
                <w:szCs w:val="18"/>
              </w:rPr>
            </w:pPr>
            <w:r w:rsidRPr="00BD16B4">
              <w:rPr>
                <w:rFonts w:cs="Calibri"/>
                <w:szCs w:val="18"/>
              </w:rPr>
              <w:t>Invercargill Observatory</w:t>
            </w:r>
          </w:p>
        </w:tc>
        <w:tc>
          <w:tcPr>
            <w:tcW w:w="907" w:type="dxa"/>
            <w:noWrap/>
            <w:hideMark/>
          </w:tcPr>
          <w:p w14:paraId="747E772D"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–46.417</w:t>
            </w:r>
          </w:p>
        </w:tc>
        <w:tc>
          <w:tcPr>
            <w:tcW w:w="964" w:type="dxa"/>
            <w:noWrap/>
            <w:hideMark/>
          </w:tcPr>
          <w:p w14:paraId="32AEE89E"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168.330</w:t>
            </w:r>
          </w:p>
        </w:tc>
        <w:tc>
          <w:tcPr>
            <w:tcW w:w="1814" w:type="dxa"/>
            <w:noWrap/>
            <w:hideMark/>
          </w:tcPr>
          <w:p w14:paraId="7B1EC532"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MetService</w:t>
            </w:r>
          </w:p>
        </w:tc>
        <w:tc>
          <w:tcPr>
            <w:tcW w:w="794" w:type="dxa"/>
            <w:noWrap/>
            <w:hideMark/>
          </w:tcPr>
          <w:p w14:paraId="667FFA29"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GRUAN</w:t>
            </w:r>
          </w:p>
        </w:tc>
        <w:tc>
          <w:tcPr>
            <w:tcW w:w="1644" w:type="dxa"/>
            <w:noWrap/>
            <w:hideMark/>
          </w:tcPr>
          <w:p w14:paraId="56ACDF6B"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Paired with Lauder</w:t>
            </w:r>
          </w:p>
        </w:tc>
      </w:tr>
      <w:tr w:rsidR="008921AE" w:rsidRPr="00BD16B4" w14:paraId="40A0EB3C" w14:textId="77777777" w:rsidTr="008921AE">
        <w:tc>
          <w:tcPr>
            <w:cnfStyle w:val="001000000000" w:firstRow="0" w:lastRow="0" w:firstColumn="1" w:lastColumn="0" w:oddVBand="0" w:evenVBand="0" w:oddHBand="0" w:evenHBand="0" w:firstRowFirstColumn="0" w:firstRowLastColumn="0" w:lastRowFirstColumn="0" w:lastRowLastColumn="0"/>
            <w:tcW w:w="2150" w:type="dxa"/>
            <w:shd w:val="clear" w:color="auto" w:fill="1C556C" w:themeFill="accent1"/>
            <w:noWrap/>
            <w:hideMark/>
          </w:tcPr>
          <w:p w14:paraId="4FCC4F0D" w14:textId="77777777" w:rsidR="00DE1BDD" w:rsidRPr="00BD16B4" w:rsidRDefault="00DE1BDD" w:rsidP="00BE6454">
            <w:pPr>
              <w:pStyle w:val="TableText"/>
              <w:spacing w:before="30" w:after="0"/>
              <w:rPr>
                <w:rFonts w:cs="Calibri"/>
                <w:caps/>
                <w:szCs w:val="18"/>
              </w:rPr>
            </w:pPr>
          </w:p>
        </w:tc>
        <w:tc>
          <w:tcPr>
            <w:tcW w:w="907" w:type="dxa"/>
            <w:shd w:val="clear" w:color="auto" w:fill="1C556C" w:themeFill="accent1"/>
            <w:noWrap/>
            <w:hideMark/>
          </w:tcPr>
          <w:p w14:paraId="6C019703" w14:textId="77777777" w:rsidR="00DE1BDD" w:rsidRPr="00BD16B4" w:rsidRDefault="00DE1BDD" w:rsidP="00BE6454">
            <w:pPr>
              <w:pStyle w:val="TableText"/>
              <w:spacing w:before="30" w:after="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964" w:type="dxa"/>
            <w:shd w:val="clear" w:color="auto" w:fill="1C556C" w:themeFill="accent1"/>
            <w:noWrap/>
            <w:hideMark/>
          </w:tcPr>
          <w:p w14:paraId="140B4082" w14:textId="77777777" w:rsidR="00DE1BDD" w:rsidRPr="00BD16B4" w:rsidRDefault="00DE1BDD" w:rsidP="00BE6454">
            <w:pPr>
              <w:pStyle w:val="TableText"/>
              <w:spacing w:before="30" w:after="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1814" w:type="dxa"/>
            <w:shd w:val="clear" w:color="auto" w:fill="1C556C" w:themeFill="accent1"/>
            <w:noWrap/>
            <w:hideMark/>
          </w:tcPr>
          <w:p w14:paraId="0EB67CCB" w14:textId="77777777" w:rsidR="00DE1BDD" w:rsidRPr="00BD16B4" w:rsidRDefault="00DE1BDD" w:rsidP="00BE6454">
            <w:pPr>
              <w:pStyle w:val="TableText"/>
              <w:spacing w:before="30" w:after="0"/>
              <w:cnfStyle w:val="000000000000" w:firstRow="0" w:lastRow="0" w:firstColumn="0" w:lastColumn="0" w:oddVBand="0" w:evenVBand="0" w:oddHBand="0" w:evenHBand="0" w:firstRowFirstColumn="0" w:firstRowLastColumn="0" w:lastRowFirstColumn="0" w:lastRowLastColumn="0"/>
              <w:rPr>
                <w:rFonts w:cs="Calibri"/>
                <w:szCs w:val="18"/>
              </w:rPr>
            </w:pPr>
          </w:p>
        </w:tc>
        <w:tc>
          <w:tcPr>
            <w:tcW w:w="794" w:type="dxa"/>
            <w:shd w:val="clear" w:color="auto" w:fill="1C556C" w:themeFill="accent1"/>
            <w:noWrap/>
            <w:hideMark/>
          </w:tcPr>
          <w:p w14:paraId="09DE28C1" w14:textId="77777777" w:rsidR="00DE1BDD" w:rsidRPr="00BD16B4" w:rsidRDefault="00DE1BDD" w:rsidP="00BE6454">
            <w:pPr>
              <w:pStyle w:val="TableText"/>
              <w:spacing w:before="30" w:after="0"/>
              <w:cnfStyle w:val="000000000000" w:firstRow="0" w:lastRow="0" w:firstColumn="0" w:lastColumn="0" w:oddVBand="0" w:evenVBand="0" w:oddHBand="0" w:evenHBand="0" w:firstRowFirstColumn="0" w:firstRowLastColumn="0" w:lastRowFirstColumn="0" w:lastRowLastColumn="0"/>
              <w:rPr>
                <w:rFonts w:cs="Calibri"/>
                <w:szCs w:val="18"/>
              </w:rPr>
            </w:pPr>
          </w:p>
        </w:tc>
        <w:tc>
          <w:tcPr>
            <w:tcW w:w="1644" w:type="dxa"/>
            <w:shd w:val="clear" w:color="auto" w:fill="1C556C" w:themeFill="accent1"/>
            <w:noWrap/>
            <w:hideMark/>
          </w:tcPr>
          <w:p w14:paraId="2ACE1FA6" w14:textId="77777777" w:rsidR="00DE1BDD" w:rsidRPr="00BD16B4" w:rsidRDefault="00DE1BDD" w:rsidP="00BE6454">
            <w:pPr>
              <w:pStyle w:val="TableText"/>
              <w:spacing w:before="30" w:after="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4E629A8F"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786D4505" w14:textId="77777777" w:rsidR="00DE1BDD" w:rsidRPr="00BD16B4" w:rsidRDefault="00DE1BDD" w:rsidP="00BE6454">
            <w:pPr>
              <w:pStyle w:val="TableText"/>
              <w:spacing w:before="30" w:after="40"/>
              <w:rPr>
                <w:rFonts w:cs="Calibri"/>
                <w:caps/>
                <w:szCs w:val="18"/>
              </w:rPr>
            </w:pPr>
            <w:r w:rsidRPr="00BD16B4">
              <w:rPr>
                <w:rFonts w:cs="Calibri"/>
                <w:szCs w:val="18"/>
              </w:rPr>
              <w:t>Baring Head</w:t>
            </w:r>
          </w:p>
        </w:tc>
        <w:tc>
          <w:tcPr>
            <w:tcW w:w="907" w:type="dxa"/>
            <w:noWrap/>
            <w:hideMark/>
          </w:tcPr>
          <w:p w14:paraId="12FDC40F"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–41.41</w:t>
            </w:r>
          </w:p>
        </w:tc>
        <w:tc>
          <w:tcPr>
            <w:tcW w:w="964" w:type="dxa"/>
            <w:noWrap/>
            <w:hideMark/>
          </w:tcPr>
          <w:p w14:paraId="2C573503"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174.87</w:t>
            </w:r>
          </w:p>
        </w:tc>
        <w:tc>
          <w:tcPr>
            <w:tcW w:w="1814" w:type="dxa"/>
            <w:noWrap/>
            <w:hideMark/>
          </w:tcPr>
          <w:p w14:paraId="28998B75"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NIWA</w:t>
            </w:r>
          </w:p>
        </w:tc>
        <w:tc>
          <w:tcPr>
            <w:tcW w:w="794" w:type="dxa"/>
            <w:noWrap/>
            <w:hideMark/>
          </w:tcPr>
          <w:p w14:paraId="2587D967"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GAW</w:t>
            </w:r>
          </w:p>
        </w:tc>
        <w:tc>
          <w:tcPr>
            <w:tcW w:w="1644" w:type="dxa"/>
            <w:noWrap/>
            <w:hideMark/>
          </w:tcPr>
          <w:p w14:paraId="67AC0C59"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0D523C04"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37D02CD4" w14:textId="77777777" w:rsidR="00DE1BDD" w:rsidRPr="00BD16B4" w:rsidRDefault="00DE1BDD" w:rsidP="00BE6454">
            <w:pPr>
              <w:pStyle w:val="TableText"/>
              <w:spacing w:before="30" w:after="40"/>
              <w:rPr>
                <w:rFonts w:cs="Calibri"/>
                <w:caps/>
                <w:szCs w:val="18"/>
              </w:rPr>
            </w:pPr>
            <w:r w:rsidRPr="00BD16B4">
              <w:rPr>
                <w:rFonts w:cs="Calibri"/>
                <w:szCs w:val="18"/>
              </w:rPr>
              <w:t>Lauder Research Station</w:t>
            </w:r>
          </w:p>
        </w:tc>
        <w:tc>
          <w:tcPr>
            <w:tcW w:w="907" w:type="dxa"/>
            <w:noWrap/>
            <w:hideMark/>
          </w:tcPr>
          <w:p w14:paraId="4854826E"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–45.04</w:t>
            </w:r>
          </w:p>
        </w:tc>
        <w:tc>
          <w:tcPr>
            <w:tcW w:w="964" w:type="dxa"/>
            <w:noWrap/>
            <w:hideMark/>
          </w:tcPr>
          <w:p w14:paraId="6D1C7F63"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169.68</w:t>
            </w:r>
          </w:p>
        </w:tc>
        <w:tc>
          <w:tcPr>
            <w:tcW w:w="1814" w:type="dxa"/>
            <w:noWrap/>
            <w:hideMark/>
          </w:tcPr>
          <w:p w14:paraId="794FF977"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NIWA</w:t>
            </w:r>
          </w:p>
        </w:tc>
        <w:tc>
          <w:tcPr>
            <w:tcW w:w="794" w:type="dxa"/>
            <w:noWrap/>
            <w:hideMark/>
          </w:tcPr>
          <w:p w14:paraId="0C2237DB"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GAW</w:t>
            </w:r>
          </w:p>
        </w:tc>
        <w:tc>
          <w:tcPr>
            <w:tcW w:w="1644" w:type="dxa"/>
            <w:noWrap/>
            <w:hideMark/>
          </w:tcPr>
          <w:p w14:paraId="17C57626"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6C0F388D"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26D51F60" w14:textId="77777777" w:rsidR="00DE1BDD" w:rsidRPr="00BD16B4" w:rsidRDefault="00DE1BDD" w:rsidP="00BE6454">
            <w:pPr>
              <w:pStyle w:val="TableText"/>
              <w:spacing w:before="30" w:after="40"/>
              <w:rPr>
                <w:rFonts w:cs="Calibri"/>
                <w:caps/>
                <w:szCs w:val="18"/>
              </w:rPr>
            </w:pPr>
            <w:r w:rsidRPr="00BD16B4">
              <w:rPr>
                <w:rFonts w:cs="Calibri"/>
                <w:szCs w:val="18"/>
              </w:rPr>
              <w:t>Arrival Heights</w:t>
            </w:r>
          </w:p>
        </w:tc>
        <w:tc>
          <w:tcPr>
            <w:tcW w:w="907" w:type="dxa"/>
            <w:noWrap/>
            <w:hideMark/>
          </w:tcPr>
          <w:p w14:paraId="59216902"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–77.83</w:t>
            </w:r>
          </w:p>
        </w:tc>
        <w:tc>
          <w:tcPr>
            <w:tcW w:w="964" w:type="dxa"/>
            <w:noWrap/>
            <w:hideMark/>
          </w:tcPr>
          <w:p w14:paraId="71C66856"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166.66</w:t>
            </w:r>
          </w:p>
        </w:tc>
        <w:tc>
          <w:tcPr>
            <w:tcW w:w="1814" w:type="dxa"/>
            <w:noWrap/>
            <w:hideMark/>
          </w:tcPr>
          <w:p w14:paraId="639D99AF"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NIWA</w:t>
            </w:r>
          </w:p>
        </w:tc>
        <w:tc>
          <w:tcPr>
            <w:tcW w:w="794" w:type="dxa"/>
            <w:noWrap/>
            <w:hideMark/>
          </w:tcPr>
          <w:p w14:paraId="301DC4E3"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GAW</w:t>
            </w:r>
          </w:p>
        </w:tc>
        <w:tc>
          <w:tcPr>
            <w:tcW w:w="1644" w:type="dxa"/>
            <w:noWrap/>
            <w:hideMark/>
          </w:tcPr>
          <w:p w14:paraId="01170B0A"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8921AE" w:rsidRPr="00BD16B4" w14:paraId="3674046C" w14:textId="77777777" w:rsidTr="008921AE">
        <w:tc>
          <w:tcPr>
            <w:cnfStyle w:val="001000000000" w:firstRow="0" w:lastRow="0" w:firstColumn="1" w:lastColumn="0" w:oddVBand="0" w:evenVBand="0" w:oddHBand="0" w:evenHBand="0" w:firstRowFirstColumn="0" w:firstRowLastColumn="0" w:lastRowFirstColumn="0" w:lastRowLastColumn="0"/>
            <w:tcW w:w="2150" w:type="dxa"/>
            <w:shd w:val="clear" w:color="auto" w:fill="1C556C" w:themeFill="accent1"/>
            <w:noWrap/>
            <w:hideMark/>
          </w:tcPr>
          <w:p w14:paraId="1EF962BA" w14:textId="77777777" w:rsidR="00DE1BDD" w:rsidRPr="00BD16B4" w:rsidRDefault="00DE1BDD" w:rsidP="00BE6454">
            <w:pPr>
              <w:pStyle w:val="TableText"/>
              <w:spacing w:before="30" w:after="0"/>
              <w:rPr>
                <w:rFonts w:cs="Calibri"/>
                <w:caps/>
                <w:szCs w:val="18"/>
              </w:rPr>
            </w:pPr>
          </w:p>
        </w:tc>
        <w:tc>
          <w:tcPr>
            <w:tcW w:w="907" w:type="dxa"/>
            <w:shd w:val="clear" w:color="auto" w:fill="1C556C" w:themeFill="accent1"/>
            <w:noWrap/>
            <w:hideMark/>
          </w:tcPr>
          <w:p w14:paraId="604D2EFE" w14:textId="77777777" w:rsidR="00DE1BDD" w:rsidRPr="00BD16B4" w:rsidRDefault="00DE1BDD" w:rsidP="00BE6454">
            <w:pPr>
              <w:pStyle w:val="TableText"/>
              <w:spacing w:before="30" w:after="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964" w:type="dxa"/>
            <w:shd w:val="clear" w:color="auto" w:fill="1C556C" w:themeFill="accent1"/>
            <w:noWrap/>
            <w:hideMark/>
          </w:tcPr>
          <w:p w14:paraId="0C10B3AC" w14:textId="77777777" w:rsidR="00DE1BDD" w:rsidRPr="00BD16B4" w:rsidRDefault="00DE1BDD" w:rsidP="00BE6454">
            <w:pPr>
              <w:pStyle w:val="TableText"/>
              <w:spacing w:before="30" w:after="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1814" w:type="dxa"/>
            <w:shd w:val="clear" w:color="auto" w:fill="1C556C" w:themeFill="accent1"/>
            <w:noWrap/>
            <w:hideMark/>
          </w:tcPr>
          <w:p w14:paraId="77C98873" w14:textId="77777777" w:rsidR="00DE1BDD" w:rsidRPr="00BD16B4" w:rsidRDefault="00DE1BDD" w:rsidP="00BE6454">
            <w:pPr>
              <w:pStyle w:val="TableText"/>
              <w:spacing w:before="30" w:after="0"/>
              <w:cnfStyle w:val="000000000000" w:firstRow="0" w:lastRow="0" w:firstColumn="0" w:lastColumn="0" w:oddVBand="0" w:evenVBand="0" w:oddHBand="0" w:evenHBand="0" w:firstRowFirstColumn="0" w:firstRowLastColumn="0" w:lastRowFirstColumn="0" w:lastRowLastColumn="0"/>
              <w:rPr>
                <w:rFonts w:cs="Calibri"/>
                <w:szCs w:val="18"/>
              </w:rPr>
            </w:pPr>
          </w:p>
        </w:tc>
        <w:tc>
          <w:tcPr>
            <w:tcW w:w="794" w:type="dxa"/>
            <w:shd w:val="clear" w:color="auto" w:fill="1C556C" w:themeFill="accent1"/>
            <w:noWrap/>
            <w:hideMark/>
          </w:tcPr>
          <w:p w14:paraId="0984A21C" w14:textId="77777777" w:rsidR="00DE1BDD" w:rsidRPr="00BD16B4" w:rsidRDefault="00DE1BDD" w:rsidP="00BE6454">
            <w:pPr>
              <w:pStyle w:val="TableText"/>
              <w:spacing w:before="30" w:after="0"/>
              <w:cnfStyle w:val="000000000000" w:firstRow="0" w:lastRow="0" w:firstColumn="0" w:lastColumn="0" w:oddVBand="0" w:evenVBand="0" w:oddHBand="0" w:evenHBand="0" w:firstRowFirstColumn="0" w:firstRowLastColumn="0" w:lastRowFirstColumn="0" w:lastRowLastColumn="0"/>
              <w:rPr>
                <w:rFonts w:cs="Calibri"/>
                <w:szCs w:val="18"/>
              </w:rPr>
            </w:pPr>
          </w:p>
        </w:tc>
        <w:tc>
          <w:tcPr>
            <w:tcW w:w="1644" w:type="dxa"/>
            <w:shd w:val="clear" w:color="auto" w:fill="1C556C" w:themeFill="accent1"/>
            <w:noWrap/>
            <w:hideMark/>
          </w:tcPr>
          <w:p w14:paraId="404BC93D" w14:textId="77777777" w:rsidR="00DE1BDD" w:rsidRPr="00BD16B4" w:rsidRDefault="00DE1BDD" w:rsidP="00BE6454">
            <w:pPr>
              <w:pStyle w:val="TableText"/>
              <w:spacing w:before="30" w:after="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308B41F2"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1BDA8638" w14:textId="77777777" w:rsidR="00DE1BDD" w:rsidRPr="00BD16B4" w:rsidRDefault="00DE1BDD" w:rsidP="00BE6454">
            <w:pPr>
              <w:pStyle w:val="TableText"/>
              <w:spacing w:before="30" w:after="40"/>
              <w:rPr>
                <w:rFonts w:cs="Calibri"/>
                <w:caps/>
                <w:szCs w:val="18"/>
              </w:rPr>
            </w:pPr>
            <w:r w:rsidRPr="00BD16B4">
              <w:rPr>
                <w:rFonts w:cs="Calibri"/>
                <w:szCs w:val="18"/>
              </w:rPr>
              <w:t>Auckland</w:t>
            </w:r>
            <w:r w:rsidRPr="00BD16B4">
              <w:rPr>
                <w:rFonts w:cs="Calibri"/>
                <w:caps/>
                <w:szCs w:val="18"/>
              </w:rPr>
              <w:t xml:space="preserve"> – </w:t>
            </w:r>
            <w:r w:rsidRPr="00BD16B4">
              <w:rPr>
                <w:rFonts w:cs="Calibri"/>
                <w:szCs w:val="18"/>
              </w:rPr>
              <w:t>Waitemata Harbour</w:t>
            </w:r>
          </w:p>
        </w:tc>
        <w:tc>
          <w:tcPr>
            <w:tcW w:w="907" w:type="dxa"/>
            <w:noWrap/>
            <w:hideMark/>
          </w:tcPr>
          <w:p w14:paraId="295BC3CC"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–36.51</w:t>
            </w:r>
          </w:p>
        </w:tc>
        <w:tc>
          <w:tcPr>
            <w:tcW w:w="964" w:type="dxa"/>
            <w:noWrap/>
            <w:hideMark/>
          </w:tcPr>
          <w:p w14:paraId="40733E74"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174.46</w:t>
            </w:r>
          </w:p>
        </w:tc>
        <w:tc>
          <w:tcPr>
            <w:tcW w:w="1814" w:type="dxa"/>
            <w:noWrap/>
            <w:hideMark/>
          </w:tcPr>
          <w:p w14:paraId="202FBDB6"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Ports of Auckland Ltd</w:t>
            </w:r>
          </w:p>
        </w:tc>
        <w:tc>
          <w:tcPr>
            <w:tcW w:w="794" w:type="dxa"/>
            <w:noWrap/>
            <w:hideMark/>
          </w:tcPr>
          <w:p w14:paraId="628DB33A"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GLOSS</w:t>
            </w:r>
          </w:p>
        </w:tc>
        <w:tc>
          <w:tcPr>
            <w:tcW w:w="1644" w:type="dxa"/>
            <w:noWrap/>
            <w:hideMark/>
          </w:tcPr>
          <w:p w14:paraId="7121962D"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40090A97"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696DB5A8" w14:textId="77777777" w:rsidR="00DE1BDD" w:rsidRPr="00BD16B4" w:rsidRDefault="00DE1BDD" w:rsidP="00BE6454">
            <w:pPr>
              <w:pStyle w:val="TableText"/>
              <w:spacing w:before="30" w:after="40"/>
              <w:rPr>
                <w:rFonts w:cs="Calibri"/>
                <w:caps/>
                <w:szCs w:val="18"/>
              </w:rPr>
            </w:pPr>
            <w:r w:rsidRPr="00BD16B4">
              <w:rPr>
                <w:rFonts w:cs="Calibri"/>
                <w:szCs w:val="18"/>
              </w:rPr>
              <w:t>Chatham Islands</w:t>
            </w:r>
          </w:p>
        </w:tc>
        <w:tc>
          <w:tcPr>
            <w:tcW w:w="907" w:type="dxa"/>
            <w:noWrap/>
            <w:hideMark/>
          </w:tcPr>
          <w:p w14:paraId="30DED895"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–43.95</w:t>
            </w:r>
          </w:p>
        </w:tc>
        <w:tc>
          <w:tcPr>
            <w:tcW w:w="964" w:type="dxa"/>
            <w:noWrap/>
            <w:hideMark/>
          </w:tcPr>
          <w:p w14:paraId="70278AD7"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–176.55</w:t>
            </w:r>
          </w:p>
        </w:tc>
        <w:tc>
          <w:tcPr>
            <w:tcW w:w="1814" w:type="dxa"/>
            <w:noWrap/>
            <w:hideMark/>
          </w:tcPr>
          <w:p w14:paraId="38065B95"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 xml:space="preserve">Pacific Tsunami Warning Center </w:t>
            </w:r>
          </w:p>
        </w:tc>
        <w:tc>
          <w:tcPr>
            <w:tcW w:w="794" w:type="dxa"/>
            <w:noWrap/>
            <w:hideMark/>
          </w:tcPr>
          <w:p w14:paraId="66F4382C"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GLOSS</w:t>
            </w:r>
          </w:p>
        </w:tc>
        <w:tc>
          <w:tcPr>
            <w:tcW w:w="1644" w:type="dxa"/>
            <w:noWrap/>
            <w:hideMark/>
          </w:tcPr>
          <w:p w14:paraId="421BD00B" w14:textId="29A12671" w:rsidR="00DE1BDD" w:rsidRPr="00BD16B4" w:rsidRDefault="00BE6454"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C</w:t>
            </w:r>
            <w:r w:rsidR="00DE1BDD" w:rsidRPr="00BD16B4">
              <w:rPr>
                <w:rFonts w:cs="Calibri"/>
                <w:szCs w:val="18"/>
              </w:rPr>
              <w:t>losed February 2016 due to wharf redevelopment</w:t>
            </w:r>
          </w:p>
        </w:tc>
      </w:tr>
      <w:tr w:rsidR="00DE1BDD" w:rsidRPr="00BD16B4" w14:paraId="11483B59"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35E81F78" w14:textId="77777777" w:rsidR="00DE1BDD" w:rsidRPr="00BD16B4" w:rsidRDefault="00DE1BDD" w:rsidP="00BE6454">
            <w:pPr>
              <w:pStyle w:val="TableText"/>
              <w:spacing w:before="30" w:after="40"/>
              <w:rPr>
                <w:rFonts w:cs="Calibri"/>
                <w:caps/>
                <w:szCs w:val="18"/>
              </w:rPr>
            </w:pPr>
            <w:r w:rsidRPr="00BD16B4">
              <w:rPr>
                <w:rFonts w:cs="Calibri"/>
                <w:szCs w:val="18"/>
              </w:rPr>
              <w:t>Wellington</w:t>
            </w:r>
          </w:p>
        </w:tc>
        <w:tc>
          <w:tcPr>
            <w:tcW w:w="907" w:type="dxa"/>
            <w:noWrap/>
            <w:hideMark/>
          </w:tcPr>
          <w:p w14:paraId="250C058E"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–41.17</w:t>
            </w:r>
          </w:p>
        </w:tc>
        <w:tc>
          <w:tcPr>
            <w:tcW w:w="964" w:type="dxa"/>
            <w:noWrap/>
            <w:hideMark/>
          </w:tcPr>
          <w:p w14:paraId="593DCC96"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174.47</w:t>
            </w:r>
          </w:p>
        </w:tc>
        <w:tc>
          <w:tcPr>
            <w:tcW w:w="1814" w:type="dxa"/>
            <w:noWrap/>
            <w:hideMark/>
          </w:tcPr>
          <w:p w14:paraId="32DE7295"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Greater Wellington Regional Council</w:t>
            </w:r>
          </w:p>
        </w:tc>
        <w:tc>
          <w:tcPr>
            <w:tcW w:w="794" w:type="dxa"/>
            <w:noWrap/>
            <w:hideMark/>
          </w:tcPr>
          <w:p w14:paraId="1ADE7AAC"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GLOSS</w:t>
            </w:r>
          </w:p>
        </w:tc>
        <w:tc>
          <w:tcPr>
            <w:tcW w:w="1644" w:type="dxa"/>
            <w:noWrap/>
            <w:hideMark/>
          </w:tcPr>
          <w:p w14:paraId="6414E955"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6BFC7AE2"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1B19742A" w14:textId="77777777" w:rsidR="00DE1BDD" w:rsidRPr="00BD16B4" w:rsidRDefault="00DE1BDD" w:rsidP="00BE6454">
            <w:pPr>
              <w:pStyle w:val="TableText"/>
              <w:spacing w:before="30" w:after="40"/>
              <w:rPr>
                <w:rFonts w:cs="Calibri"/>
                <w:caps/>
                <w:szCs w:val="18"/>
              </w:rPr>
            </w:pPr>
            <w:r w:rsidRPr="00BD16B4">
              <w:rPr>
                <w:rFonts w:cs="Calibri"/>
                <w:szCs w:val="18"/>
              </w:rPr>
              <w:t>Bluff</w:t>
            </w:r>
          </w:p>
        </w:tc>
        <w:tc>
          <w:tcPr>
            <w:tcW w:w="907" w:type="dxa"/>
            <w:noWrap/>
            <w:hideMark/>
          </w:tcPr>
          <w:p w14:paraId="3A8A36E4"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–46.6</w:t>
            </w:r>
          </w:p>
        </w:tc>
        <w:tc>
          <w:tcPr>
            <w:tcW w:w="964" w:type="dxa"/>
            <w:noWrap/>
            <w:hideMark/>
          </w:tcPr>
          <w:p w14:paraId="6368952E"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168.35</w:t>
            </w:r>
          </w:p>
        </w:tc>
        <w:tc>
          <w:tcPr>
            <w:tcW w:w="1814" w:type="dxa"/>
            <w:noWrap/>
            <w:hideMark/>
          </w:tcPr>
          <w:p w14:paraId="3E2FE312"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South Port Ltd</w:t>
            </w:r>
          </w:p>
        </w:tc>
        <w:tc>
          <w:tcPr>
            <w:tcW w:w="794" w:type="dxa"/>
            <w:noWrap/>
            <w:hideMark/>
          </w:tcPr>
          <w:p w14:paraId="4E270FD1"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GLOSS</w:t>
            </w:r>
          </w:p>
        </w:tc>
        <w:tc>
          <w:tcPr>
            <w:tcW w:w="1644" w:type="dxa"/>
            <w:noWrap/>
            <w:hideMark/>
          </w:tcPr>
          <w:p w14:paraId="4B969C71"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r w:rsidR="00DE1BDD" w:rsidRPr="00BD16B4" w14:paraId="196AAFC6" w14:textId="77777777" w:rsidTr="008921AE">
        <w:tc>
          <w:tcPr>
            <w:cnfStyle w:val="001000000000" w:firstRow="0" w:lastRow="0" w:firstColumn="1" w:lastColumn="0" w:oddVBand="0" w:evenVBand="0" w:oddHBand="0" w:evenHBand="0" w:firstRowFirstColumn="0" w:firstRowLastColumn="0" w:lastRowFirstColumn="0" w:lastRowLastColumn="0"/>
            <w:tcW w:w="2150" w:type="dxa"/>
            <w:noWrap/>
            <w:hideMark/>
          </w:tcPr>
          <w:p w14:paraId="50031627" w14:textId="77777777" w:rsidR="00DE1BDD" w:rsidRPr="00BD16B4" w:rsidRDefault="00DE1BDD" w:rsidP="00BE6454">
            <w:pPr>
              <w:pStyle w:val="TableText"/>
              <w:spacing w:before="30" w:after="40"/>
              <w:rPr>
                <w:rFonts w:cs="Calibri"/>
                <w:caps/>
                <w:szCs w:val="18"/>
              </w:rPr>
            </w:pPr>
            <w:r w:rsidRPr="00BD16B4">
              <w:rPr>
                <w:rFonts w:cs="Calibri"/>
                <w:szCs w:val="18"/>
              </w:rPr>
              <w:t>Scott Base</w:t>
            </w:r>
          </w:p>
        </w:tc>
        <w:tc>
          <w:tcPr>
            <w:tcW w:w="907" w:type="dxa"/>
            <w:noWrap/>
            <w:hideMark/>
          </w:tcPr>
          <w:p w14:paraId="2175BF4B"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–77.51</w:t>
            </w:r>
          </w:p>
        </w:tc>
        <w:tc>
          <w:tcPr>
            <w:tcW w:w="964" w:type="dxa"/>
            <w:noWrap/>
            <w:hideMark/>
          </w:tcPr>
          <w:p w14:paraId="3D387404" w14:textId="77777777" w:rsidR="00DE1BDD" w:rsidRPr="00BD16B4" w:rsidRDefault="00DE1BDD" w:rsidP="00BE6454">
            <w:pPr>
              <w:pStyle w:val="TableText"/>
              <w:spacing w:before="3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166.46</w:t>
            </w:r>
          </w:p>
        </w:tc>
        <w:tc>
          <w:tcPr>
            <w:tcW w:w="1814" w:type="dxa"/>
            <w:noWrap/>
            <w:hideMark/>
          </w:tcPr>
          <w:p w14:paraId="39C79A24"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LINZ / Antarctica New Zealand</w:t>
            </w:r>
          </w:p>
        </w:tc>
        <w:tc>
          <w:tcPr>
            <w:tcW w:w="794" w:type="dxa"/>
            <w:noWrap/>
            <w:hideMark/>
          </w:tcPr>
          <w:p w14:paraId="39712501"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GLOSS</w:t>
            </w:r>
          </w:p>
        </w:tc>
        <w:tc>
          <w:tcPr>
            <w:tcW w:w="1644" w:type="dxa"/>
            <w:noWrap/>
            <w:hideMark/>
          </w:tcPr>
          <w:p w14:paraId="44A56D9B" w14:textId="77777777" w:rsidR="00DE1BDD" w:rsidRPr="00BD16B4" w:rsidRDefault="00DE1BDD" w:rsidP="00BE6454">
            <w:pPr>
              <w:pStyle w:val="TableText"/>
              <w:spacing w:before="30" w:after="40"/>
              <w:cnfStyle w:val="000000000000" w:firstRow="0" w:lastRow="0" w:firstColumn="0" w:lastColumn="0" w:oddVBand="0" w:evenVBand="0" w:oddHBand="0" w:evenHBand="0" w:firstRowFirstColumn="0" w:firstRowLastColumn="0" w:lastRowFirstColumn="0" w:lastRowLastColumn="0"/>
              <w:rPr>
                <w:rFonts w:cs="Calibri"/>
                <w:szCs w:val="18"/>
              </w:rPr>
            </w:pPr>
          </w:p>
        </w:tc>
      </w:tr>
    </w:tbl>
    <w:p w14:paraId="2CE5F7F4" w14:textId="0766F33A" w:rsidR="00DE1BDD" w:rsidRPr="00BD16B4" w:rsidRDefault="00DE1BDD" w:rsidP="00DE1BDD">
      <w:pPr>
        <w:pStyle w:val="Note"/>
        <w:spacing w:after="0"/>
      </w:pPr>
      <w:r w:rsidRPr="00BD16B4">
        <w:rPr>
          <w:b/>
        </w:rPr>
        <w:t>Note:</w:t>
      </w:r>
      <w:r w:rsidRPr="00BD16B4">
        <w:t xml:space="preserve"> AWS = automatic weather station; GAW = Global Atmosphere Watch; GCOS = </w:t>
      </w:r>
      <w:r w:rsidRPr="00BD16B4">
        <w:rPr>
          <w:lang w:eastAsia="en-GB"/>
        </w:rPr>
        <w:t xml:space="preserve">Global Climate Observing System; GLOSS = </w:t>
      </w:r>
      <w:r w:rsidRPr="00BD16B4">
        <w:t xml:space="preserve">Global Sea Level Observing System; GRUAN = GCOS Reference Upper Air Network; GSN = </w:t>
      </w:r>
      <w:r w:rsidRPr="00BD16B4">
        <w:rPr>
          <w:rFonts w:eastAsia="Calibri"/>
        </w:rPr>
        <w:t>GCOS Surface Network;</w:t>
      </w:r>
      <w:r w:rsidRPr="00BD16B4">
        <w:t xml:space="preserve"> GUAN = Global Upper Air Network; LINZ = Toitū Te Whenua Land Information New Zealand; MetService = Meteorological Service of New Zealand Limited; NIWA = </w:t>
      </w:r>
      <w:r w:rsidRPr="00BD16B4">
        <w:rPr>
          <w:rFonts w:eastAsia="Calibri"/>
        </w:rPr>
        <w:t>National Institute of Water and Atmospheric Research</w:t>
      </w:r>
      <w:r w:rsidRPr="00BD16B4">
        <w:t>.</w:t>
      </w:r>
      <w:bookmarkStart w:id="761" w:name="_Toc109723957"/>
      <w:r w:rsidRPr="00BD16B4">
        <w:t xml:space="preserve"> </w:t>
      </w:r>
    </w:p>
    <w:p w14:paraId="0D6607E3" w14:textId="2E552179" w:rsidR="00DE1BDD" w:rsidRPr="00BD16B4" w:rsidRDefault="00DE1BDD" w:rsidP="00BE6454">
      <w:pPr>
        <w:pStyle w:val="Heading1notforTOC"/>
      </w:pPr>
      <w:bookmarkStart w:id="762" w:name="_Toc117194208"/>
      <w:bookmarkStart w:id="763" w:name="_Toc120893235"/>
      <w:r w:rsidRPr="00BD16B4">
        <w:t>Appendix D3: Other international data contributions</w:t>
      </w:r>
      <w:bookmarkEnd w:id="761"/>
      <w:bookmarkEnd w:id="762"/>
      <w:bookmarkEnd w:id="763"/>
    </w:p>
    <w:p w14:paraId="1E494471" w14:textId="77777777" w:rsidR="00DE1BDD" w:rsidRPr="00BD16B4" w:rsidRDefault="00DE1BDD" w:rsidP="00DE1BDD">
      <w:pPr>
        <w:pStyle w:val="BodyText"/>
        <w:spacing w:after="240"/>
      </w:pPr>
      <w:r w:rsidRPr="00BD16B4">
        <w:t>The following table presents a compilation of other relevant (to GCOS ECVs) Aotearoa New Zealand contributions of data to international archives and projects (not a comprehensive list).</w:t>
      </w:r>
    </w:p>
    <w:tbl>
      <w:tblPr>
        <w:tblStyle w:val="GridTable1Light13"/>
        <w:tblW w:w="8397"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left w:w="85" w:type="dxa"/>
          <w:right w:w="57" w:type="dxa"/>
        </w:tblCellMar>
        <w:tblLook w:val="04A0" w:firstRow="1" w:lastRow="0" w:firstColumn="1" w:lastColumn="0" w:noHBand="0" w:noVBand="1"/>
      </w:tblPr>
      <w:tblGrid>
        <w:gridCol w:w="2216"/>
        <w:gridCol w:w="1787"/>
        <w:gridCol w:w="1348"/>
        <w:gridCol w:w="3046"/>
      </w:tblGrid>
      <w:tr w:rsidR="00DE1BDD" w:rsidRPr="00BD16B4" w14:paraId="7B6C6E01" w14:textId="77777777" w:rsidTr="004A20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16" w:type="dxa"/>
            <w:tcBorders>
              <w:bottom w:val="single" w:sz="4" w:space="0" w:color="1C556C" w:themeColor="accent1"/>
              <w:right w:val="nil"/>
            </w:tcBorders>
            <w:shd w:val="clear" w:color="auto" w:fill="1B556B"/>
          </w:tcPr>
          <w:p w14:paraId="7BD366A2" w14:textId="77777777" w:rsidR="00DE1BDD" w:rsidRPr="00BD16B4" w:rsidRDefault="00DE1BDD" w:rsidP="004A205F">
            <w:pPr>
              <w:pStyle w:val="TableTextbold"/>
              <w:spacing w:before="40" w:after="40"/>
              <w:rPr>
                <w:rFonts w:cs="Calibri"/>
                <w:b/>
                <w:color w:val="FFFFFF" w:themeColor="background1"/>
                <w:szCs w:val="18"/>
              </w:rPr>
            </w:pPr>
            <w:r w:rsidRPr="00BD16B4">
              <w:rPr>
                <w:rFonts w:cs="Calibri"/>
                <w:b/>
                <w:color w:val="FFFFFF" w:themeColor="background1"/>
                <w:szCs w:val="18"/>
              </w:rPr>
              <w:t>Data archive / facility</w:t>
            </w:r>
          </w:p>
        </w:tc>
        <w:tc>
          <w:tcPr>
            <w:tcW w:w="1787" w:type="dxa"/>
            <w:tcBorders>
              <w:bottom w:val="single" w:sz="4" w:space="0" w:color="1C556C" w:themeColor="accent1"/>
              <w:right w:val="nil"/>
            </w:tcBorders>
            <w:shd w:val="clear" w:color="auto" w:fill="1B556B"/>
          </w:tcPr>
          <w:p w14:paraId="78154EE8" w14:textId="77777777" w:rsidR="00DE1BDD" w:rsidRPr="00BD16B4" w:rsidRDefault="00DE1BDD" w:rsidP="004A205F">
            <w:pPr>
              <w:pStyle w:val="TableTextbold"/>
              <w:spacing w:before="40" w:after="40"/>
              <w:cnfStyle w:val="100000000000" w:firstRow="1" w:lastRow="0" w:firstColumn="0" w:lastColumn="0" w:oddVBand="0" w:evenVBand="0" w:oddHBand="0" w:evenHBand="0" w:firstRowFirstColumn="0" w:firstRowLastColumn="0" w:lastRowFirstColumn="0" w:lastRowLastColumn="0"/>
              <w:rPr>
                <w:rFonts w:cs="Calibri"/>
                <w:b/>
                <w:color w:val="FFFFFF" w:themeColor="background1"/>
                <w:szCs w:val="18"/>
              </w:rPr>
            </w:pPr>
            <w:r w:rsidRPr="00BD16B4">
              <w:rPr>
                <w:rFonts w:cs="Calibri"/>
                <w:b/>
                <w:color w:val="FFFFFF" w:themeColor="background1"/>
                <w:szCs w:val="18"/>
              </w:rPr>
              <w:t>ECVs</w:t>
            </w:r>
          </w:p>
        </w:tc>
        <w:tc>
          <w:tcPr>
            <w:tcW w:w="1348" w:type="dxa"/>
            <w:tcBorders>
              <w:left w:val="nil"/>
              <w:bottom w:val="single" w:sz="4" w:space="0" w:color="1C556C" w:themeColor="accent1"/>
              <w:right w:val="nil"/>
            </w:tcBorders>
            <w:shd w:val="clear" w:color="auto" w:fill="1B556B"/>
          </w:tcPr>
          <w:p w14:paraId="6481166F" w14:textId="77777777" w:rsidR="00DE1BDD" w:rsidRPr="00BD16B4" w:rsidRDefault="00DE1BDD" w:rsidP="004A205F">
            <w:pPr>
              <w:pStyle w:val="TableTextbold"/>
              <w:spacing w:before="40" w:after="40"/>
              <w:cnfStyle w:val="100000000000" w:firstRow="1" w:lastRow="0" w:firstColumn="0" w:lastColumn="0" w:oddVBand="0" w:evenVBand="0" w:oddHBand="0" w:evenHBand="0" w:firstRowFirstColumn="0" w:firstRowLastColumn="0" w:lastRowFirstColumn="0" w:lastRowLastColumn="0"/>
              <w:rPr>
                <w:rFonts w:cs="Calibri"/>
                <w:b/>
                <w:color w:val="FFFFFF" w:themeColor="background1"/>
                <w:szCs w:val="18"/>
              </w:rPr>
            </w:pPr>
            <w:r w:rsidRPr="00BD16B4">
              <w:rPr>
                <w:rFonts w:cs="Calibri"/>
                <w:b/>
                <w:color w:val="FFFFFF" w:themeColor="background1"/>
                <w:szCs w:val="18"/>
              </w:rPr>
              <w:t>Organisations</w:t>
            </w:r>
          </w:p>
        </w:tc>
        <w:tc>
          <w:tcPr>
            <w:tcW w:w="3046" w:type="dxa"/>
            <w:tcBorders>
              <w:left w:val="nil"/>
              <w:bottom w:val="single" w:sz="4" w:space="0" w:color="1C556C" w:themeColor="accent1"/>
            </w:tcBorders>
            <w:shd w:val="clear" w:color="auto" w:fill="1B556B"/>
          </w:tcPr>
          <w:p w14:paraId="47469FC7" w14:textId="77777777" w:rsidR="00DE1BDD" w:rsidRPr="00BD16B4" w:rsidRDefault="00DE1BDD" w:rsidP="004A205F">
            <w:pPr>
              <w:pStyle w:val="TableTextbold"/>
              <w:spacing w:before="40" w:after="40"/>
              <w:cnfStyle w:val="100000000000" w:firstRow="1" w:lastRow="0" w:firstColumn="0" w:lastColumn="0" w:oddVBand="0" w:evenVBand="0" w:oddHBand="0" w:evenHBand="0" w:firstRowFirstColumn="0" w:firstRowLastColumn="0" w:lastRowFirstColumn="0" w:lastRowLastColumn="0"/>
              <w:rPr>
                <w:rFonts w:cs="Calibri"/>
                <w:b/>
                <w:color w:val="FFFFFF" w:themeColor="background1"/>
                <w:szCs w:val="18"/>
              </w:rPr>
            </w:pPr>
            <w:r w:rsidRPr="00BD16B4">
              <w:rPr>
                <w:rFonts w:cs="Calibri"/>
                <w:b/>
                <w:color w:val="FFFFFF" w:themeColor="background1"/>
                <w:szCs w:val="18"/>
              </w:rPr>
              <w:t>Content / purpose</w:t>
            </w:r>
          </w:p>
        </w:tc>
      </w:tr>
      <w:tr w:rsidR="00DE1BDD" w:rsidRPr="00BD16B4" w14:paraId="6A41B448" w14:textId="77777777" w:rsidTr="004A205F">
        <w:tc>
          <w:tcPr>
            <w:cnfStyle w:val="001000000000" w:firstRow="0" w:lastRow="0" w:firstColumn="1" w:lastColumn="0" w:oddVBand="0" w:evenVBand="0" w:oddHBand="0" w:evenHBand="0" w:firstRowFirstColumn="0" w:firstRowLastColumn="0" w:lastRowFirstColumn="0" w:lastRowLastColumn="0"/>
            <w:tcW w:w="8397" w:type="dxa"/>
            <w:gridSpan w:val="4"/>
            <w:tcBorders>
              <w:top w:val="single" w:sz="4" w:space="0" w:color="1C556C" w:themeColor="accent1"/>
              <w:bottom w:val="single" w:sz="4" w:space="0" w:color="1C556C" w:themeColor="accent1"/>
            </w:tcBorders>
          </w:tcPr>
          <w:p w14:paraId="09C51EF8" w14:textId="77777777" w:rsidR="00DE1BDD" w:rsidRPr="00BD16B4" w:rsidRDefault="00DE1BDD" w:rsidP="004A205F">
            <w:pPr>
              <w:pStyle w:val="TableText"/>
              <w:spacing w:before="40" w:after="40"/>
              <w:jc w:val="center"/>
              <w:rPr>
                <w:rFonts w:cs="Calibri"/>
                <w:szCs w:val="18"/>
              </w:rPr>
            </w:pPr>
            <w:r w:rsidRPr="00BD16B4">
              <w:rPr>
                <w:rFonts w:cs="Calibri"/>
                <w:szCs w:val="18"/>
              </w:rPr>
              <w:t>Atmosphere</w:t>
            </w:r>
          </w:p>
        </w:tc>
      </w:tr>
      <w:tr w:rsidR="00DE1BDD" w:rsidRPr="00BD16B4" w14:paraId="43E25425" w14:textId="77777777" w:rsidTr="004A205F">
        <w:tc>
          <w:tcPr>
            <w:cnfStyle w:val="001000000000" w:firstRow="0" w:lastRow="0" w:firstColumn="1" w:lastColumn="0" w:oddVBand="0" w:evenVBand="0" w:oddHBand="0" w:evenHBand="0" w:firstRowFirstColumn="0" w:firstRowLastColumn="0" w:lastRowFirstColumn="0" w:lastRowLastColumn="0"/>
            <w:tcW w:w="2216" w:type="dxa"/>
            <w:tcBorders>
              <w:top w:val="single" w:sz="4" w:space="0" w:color="1C556C" w:themeColor="accent1"/>
              <w:bottom w:val="single" w:sz="4" w:space="0" w:color="1C556C" w:themeColor="accent1"/>
              <w:right w:val="single" w:sz="4" w:space="0" w:color="1C556C" w:themeColor="accent1"/>
            </w:tcBorders>
          </w:tcPr>
          <w:p w14:paraId="75AE2417" w14:textId="77777777" w:rsidR="00DE1BDD" w:rsidRPr="00BD16B4" w:rsidRDefault="00DE1BDD" w:rsidP="004A205F">
            <w:pPr>
              <w:pStyle w:val="TableText"/>
              <w:spacing w:before="40" w:after="40"/>
              <w:rPr>
                <w:rFonts w:cs="Calibri"/>
                <w:szCs w:val="18"/>
              </w:rPr>
            </w:pPr>
            <w:r w:rsidRPr="00BD16B4">
              <w:rPr>
                <w:rFonts w:cs="Calibri"/>
                <w:szCs w:val="18"/>
              </w:rPr>
              <w:t>Regional Basic Synoptic Network (RBSN)</w:t>
            </w:r>
          </w:p>
        </w:tc>
        <w:tc>
          <w:tcPr>
            <w:tcW w:w="1787" w:type="dxa"/>
            <w:tcBorders>
              <w:top w:val="single" w:sz="4" w:space="0" w:color="1C556C" w:themeColor="accent1"/>
              <w:bottom w:val="single" w:sz="4" w:space="0" w:color="1C556C" w:themeColor="accent1"/>
              <w:right w:val="single" w:sz="4" w:space="0" w:color="1C556C" w:themeColor="accent1"/>
            </w:tcBorders>
          </w:tcPr>
          <w:p w14:paraId="34AB82D0"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Surface atmosphere measurements</w:t>
            </w:r>
          </w:p>
        </w:tc>
        <w:tc>
          <w:tcPr>
            <w:tcW w:w="1348"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32C6342A"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MetService</w:t>
            </w:r>
          </w:p>
        </w:tc>
        <w:tc>
          <w:tcPr>
            <w:tcW w:w="3046" w:type="dxa"/>
            <w:tcBorders>
              <w:top w:val="single" w:sz="4" w:space="0" w:color="1C556C" w:themeColor="accent1"/>
              <w:left w:val="single" w:sz="4" w:space="0" w:color="1C556C" w:themeColor="accent1"/>
              <w:bottom w:val="single" w:sz="4" w:space="0" w:color="1C556C" w:themeColor="accent1"/>
            </w:tcBorders>
          </w:tcPr>
          <w:p w14:paraId="78CBF77C"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Weather observations from 33 stations</w:t>
            </w:r>
          </w:p>
        </w:tc>
      </w:tr>
      <w:tr w:rsidR="00DE1BDD" w:rsidRPr="00BD16B4" w14:paraId="27FE2970" w14:textId="77777777" w:rsidTr="004A205F">
        <w:tc>
          <w:tcPr>
            <w:cnfStyle w:val="001000000000" w:firstRow="0" w:lastRow="0" w:firstColumn="1" w:lastColumn="0" w:oddVBand="0" w:evenVBand="0" w:oddHBand="0" w:evenHBand="0" w:firstRowFirstColumn="0" w:firstRowLastColumn="0" w:lastRowFirstColumn="0" w:lastRowLastColumn="0"/>
            <w:tcW w:w="2216" w:type="dxa"/>
          </w:tcPr>
          <w:p w14:paraId="5CC2F245" w14:textId="77777777" w:rsidR="00DE1BDD" w:rsidRPr="00BD16B4" w:rsidRDefault="00DE1BDD" w:rsidP="004A205F">
            <w:pPr>
              <w:pStyle w:val="TableText"/>
              <w:spacing w:before="40" w:after="40"/>
              <w:rPr>
                <w:rFonts w:cs="Calibri"/>
                <w:szCs w:val="18"/>
              </w:rPr>
            </w:pPr>
            <w:r w:rsidRPr="00BD16B4">
              <w:rPr>
                <w:rFonts w:cs="Calibri"/>
                <w:szCs w:val="18"/>
              </w:rPr>
              <w:t>Total Carbon Column Observing Network (TCCON)</w:t>
            </w:r>
          </w:p>
        </w:tc>
        <w:tc>
          <w:tcPr>
            <w:tcW w:w="1787" w:type="dxa"/>
          </w:tcPr>
          <w:p w14:paraId="3DD5314F"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 xml:space="preserve">Carbon dioxide, methane and other greenhouse gases </w:t>
            </w:r>
          </w:p>
        </w:tc>
        <w:tc>
          <w:tcPr>
            <w:tcW w:w="1348" w:type="dxa"/>
          </w:tcPr>
          <w:p w14:paraId="36D18149"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NIWA</w:t>
            </w:r>
          </w:p>
        </w:tc>
        <w:tc>
          <w:tcPr>
            <w:tcW w:w="3046" w:type="dxa"/>
          </w:tcPr>
          <w:p w14:paraId="1E59A257"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Measurements from the NIWA atmospheric research station at Lauder, NZ.</w:t>
            </w:r>
          </w:p>
          <w:p w14:paraId="6FB5AEC2"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TCCON is a network of ground-based Fourier transform spectrometers recording direct solar spectra in the near infrared spectral region. From these spectra, accurate and precise column-averaged abundances of CO</w:t>
            </w:r>
            <w:r w:rsidRPr="00BD16B4">
              <w:rPr>
                <w:vertAlign w:val="subscript"/>
              </w:rPr>
              <w:t>2</w:t>
            </w:r>
            <w:r w:rsidRPr="00BD16B4">
              <w:t>, CH</w:t>
            </w:r>
            <w:r w:rsidRPr="00BD16B4">
              <w:rPr>
                <w:vertAlign w:val="subscript"/>
              </w:rPr>
              <w:t>4</w:t>
            </w:r>
            <w:r w:rsidRPr="00BD16B4">
              <w:t>, N</w:t>
            </w:r>
            <w:r w:rsidRPr="00BD16B4">
              <w:rPr>
                <w:vertAlign w:val="subscript"/>
              </w:rPr>
              <w:t>2</w:t>
            </w:r>
            <w:r w:rsidRPr="00BD16B4">
              <w:t>O, HF, CO, H</w:t>
            </w:r>
            <w:r w:rsidRPr="00BD16B4">
              <w:rPr>
                <w:vertAlign w:val="subscript"/>
              </w:rPr>
              <w:t>2</w:t>
            </w:r>
            <w:r w:rsidRPr="00BD16B4">
              <w:t>O and HDO</w:t>
            </w:r>
            <w:r w:rsidRPr="00BD16B4">
              <w:rPr>
                <w:rStyle w:val="FootnoteReference"/>
                <w:rFonts w:cs="Calibri"/>
                <w:sz w:val="18"/>
                <w:szCs w:val="18"/>
              </w:rPr>
              <w:footnoteReference w:id="730"/>
            </w:r>
            <w:r w:rsidRPr="00BD16B4">
              <w:t xml:space="preserve"> are retrieved and reported here.</w:t>
            </w:r>
          </w:p>
        </w:tc>
      </w:tr>
      <w:tr w:rsidR="00DE1BDD" w:rsidRPr="00BD16B4" w14:paraId="541A98B6" w14:textId="77777777" w:rsidTr="004A205F">
        <w:tc>
          <w:tcPr>
            <w:cnfStyle w:val="001000000000" w:firstRow="0" w:lastRow="0" w:firstColumn="1" w:lastColumn="0" w:oddVBand="0" w:evenVBand="0" w:oddHBand="0" w:evenHBand="0" w:firstRowFirstColumn="0" w:firstRowLastColumn="0" w:lastRowFirstColumn="0" w:lastRowLastColumn="0"/>
            <w:tcW w:w="2216" w:type="dxa"/>
          </w:tcPr>
          <w:p w14:paraId="5C8862F6" w14:textId="77777777" w:rsidR="00DE1BDD" w:rsidRPr="00BD16B4" w:rsidRDefault="00DE1BDD" w:rsidP="004A205F">
            <w:pPr>
              <w:pStyle w:val="TableText"/>
              <w:spacing w:before="40" w:after="40"/>
              <w:rPr>
                <w:rFonts w:cs="Calibri"/>
                <w:szCs w:val="18"/>
              </w:rPr>
            </w:pPr>
            <w:r w:rsidRPr="00BD16B4">
              <w:rPr>
                <w:rFonts w:cs="Calibri"/>
                <w:szCs w:val="18"/>
              </w:rPr>
              <w:t>Network for the Detection of Atmospheric Composition Change (NDACC)</w:t>
            </w:r>
          </w:p>
        </w:tc>
        <w:tc>
          <w:tcPr>
            <w:tcW w:w="1787" w:type="dxa"/>
          </w:tcPr>
          <w:p w14:paraId="774956D3"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 xml:space="preserve">Carbon dioxide, methane and other greenhouse gases </w:t>
            </w:r>
          </w:p>
        </w:tc>
        <w:tc>
          <w:tcPr>
            <w:tcW w:w="1348" w:type="dxa"/>
          </w:tcPr>
          <w:p w14:paraId="5394C63A"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NIWA</w:t>
            </w:r>
          </w:p>
        </w:tc>
        <w:tc>
          <w:tcPr>
            <w:tcW w:w="3046" w:type="dxa"/>
          </w:tcPr>
          <w:p w14:paraId="0D85765D"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Measurements from the NIWA atmospheric research station at Lauder, NZ, and the Antarctica New Zealand research station at Arrival Heights, Antarctica. Includes total column and profile measurements of greenhouse gases, ozone, other trace gases, aerosols, water vapour and ultraviolet (UV) radiation. Records dating from 1980s to present.</w:t>
            </w:r>
          </w:p>
        </w:tc>
      </w:tr>
      <w:tr w:rsidR="00DE1BDD" w:rsidRPr="00BD16B4" w14:paraId="1464A1C0" w14:textId="77777777" w:rsidTr="004A205F">
        <w:tc>
          <w:tcPr>
            <w:cnfStyle w:val="001000000000" w:firstRow="0" w:lastRow="0" w:firstColumn="1" w:lastColumn="0" w:oddVBand="0" w:evenVBand="0" w:oddHBand="0" w:evenHBand="0" w:firstRowFirstColumn="0" w:firstRowLastColumn="0" w:lastRowFirstColumn="0" w:lastRowLastColumn="0"/>
            <w:tcW w:w="2216" w:type="dxa"/>
          </w:tcPr>
          <w:p w14:paraId="1B617089" w14:textId="77777777" w:rsidR="00DE1BDD" w:rsidRPr="00BD16B4" w:rsidRDefault="00DE1BDD" w:rsidP="004A205F">
            <w:pPr>
              <w:pStyle w:val="TableText"/>
              <w:spacing w:before="40" w:after="40"/>
              <w:rPr>
                <w:rFonts w:cs="Calibri"/>
                <w:szCs w:val="18"/>
              </w:rPr>
            </w:pPr>
            <w:r w:rsidRPr="00BD16B4">
              <w:rPr>
                <w:rFonts w:cs="Calibri"/>
                <w:szCs w:val="18"/>
              </w:rPr>
              <w:t>Collaborative Carbon Column Observing Network (COCCON)</w:t>
            </w:r>
            <w:r w:rsidRPr="00BD16B4">
              <w:rPr>
                <w:rStyle w:val="FootnoteReference"/>
                <w:rFonts w:cs="Calibri"/>
                <w:sz w:val="18"/>
                <w:szCs w:val="18"/>
              </w:rPr>
              <w:footnoteReference w:id="731"/>
            </w:r>
            <w:r w:rsidRPr="00BD16B4">
              <w:rPr>
                <w:rFonts w:cs="Calibri"/>
                <w:szCs w:val="18"/>
              </w:rPr>
              <w:t xml:space="preserve"> atmospheric data for Lauder, NZ, and Arrival Heights, Antarctica</w:t>
            </w:r>
          </w:p>
        </w:tc>
        <w:tc>
          <w:tcPr>
            <w:tcW w:w="1787" w:type="dxa"/>
          </w:tcPr>
          <w:p w14:paraId="0426F943"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 xml:space="preserve">Carbon dioxide, methane and other greenhouse gases </w:t>
            </w:r>
          </w:p>
        </w:tc>
        <w:tc>
          <w:tcPr>
            <w:tcW w:w="1348" w:type="dxa"/>
          </w:tcPr>
          <w:p w14:paraId="6635295F"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NIWA</w:t>
            </w:r>
          </w:p>
        </w:tc>
        <w:tc>
          <w:tcPr>
            <w:tcW w:w="3046" w:type="dxa"/>
          </w:tcPr>
          <w:p w14:paraId="20811DE5"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Ground-based remote sensing of atmospheric trace gases, CO</w:t>
            </w:r>
            <w:r w:rsidRPr="00BD16B4">
              <w:rPr>
                <w:vertAlign w:val="subscript"/>
              </w:rPr>
              <w:t>2</w:t>
            </w:r>
            <w:r w:rsidRPr="00BD16B4">
              <w:t>, CH</w:t>
            </w:r>
            <w:r w:rsidRPr="00BD16B4">
              <w:rPr>
                <w:vertAlign w:val="subscript"/>
              </w:rPr>
              <w:t>4</w:t>
            </w:r>
            <w:r w:rsidRPr="00BD16B4">
              <w:t>, CO, H</w:t>
            </w:r>
            <w:r w:rsidRPr="00BD16B4">
              <w:rPr>
                <w:vertAlign w:val="subscript"/>
              </w:rPr>
              <w:t>2</w:t>
            </w:r>
            <w:r w:rsidRPr="00BD16B4">
              <w:t>O and HDO.</w:t>
            </w:r>
          </w:p>
        </w:tc>
      </w:tr>
      <w:tr w:rsidR="00DE1BDD" w:rsidRPr="00BD16B4" w14:paraId="050B2522" w14:textId="77777777" w:rsidTr="004A205F">
        <w:tc>
          <w:tcPr>
            <w:cnfStyle w:val="001000000000" w:firstRow="0" w:lastRow="0" w:firstColumn="1" w:lastColumn="0" w:oddVBand="0" w:evenVBand="0" w:oddHBand="0" w:evenHBand="0" w:firstRowFirstColumn="0" w:firstRowLastColumn="0" w:lastRowFirstColumn="0" w:lastRowLastColumn="0"/>
            <w:tcW w:w="2216" w:type="dxa"/>
          </w:tcPr>
          <w:p w14:paraId="739E0821" w14:textId="77777777" w:rsidR="00DE1BDD" w:rsidRPr="00BD16B4" w:rsidRDefault="00DE1BDD" w:rsidP="004A205F">
            <w:pPr>
              <w:pStyle w:val="TableText"/>
              <w:spacing w:before="40" w:after="40"/>
              <w:rPr>
                <w:rFonts w:cs="Calibri"/>
                <w:szCs w:val="18"/>
              </w:rPr>
            </w:pPr>
            <w:r w:rsidRPr="00BD16B4">
              <w:rPr>
                <w:rFonts w:cs="Calibri"/>
                <w:szCs w:val="18"/>
              </w:rPr>
              <w:t>World Ozone and Ultraviolet Radiation Data Centre (WOUDC) measurements of ozone and UV at Lauder, NZ</w:t>
            </w:r>
          </w:p>
        </w:tc>
        <w:tc>
          <w:tcPr>
            <w:tcW w:w="1787" w:type="dxa"/>
          </w:tcPr>
          <w:p w14:paraId="10AAE1D6"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Ozone</w:t>
            </w:r>
          </w:p>
        </w:tc>
        <w:tc>
          <w:tcPr>
            <w:tcW w:w="1348" w:type="dxa"/>
          </w:tcPr>
          <w:p w14:paraId="06A68E5C"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NIWA</w:t>
            </w:r>
          </w:p>
        </w:tc>
        <w:tc>
          <w:tcPr>
            <w:tcW w:w="3046" w:type="dxa"/>
          </w:tcPr>
          <w:p w14:paraId="3EB01B11"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WOUDC is one of six world data centres that are part of the Global Atmosphere Watch programme of the World Meteorological Organization.</w:t>
            </w:r>
          </w:p>
        </w:tc>
      </w:tr>
      <w:tr w:rsidR="00DE1BDD" w:rsidRPr="00BD16B4" w14:paraId="5BB3918A" w14:textId="77777777" w:rsidTr="004A205F">
        <w:tc>
          <w:tcPr>
            <w:cnfStyle w:val="001000000000" w:firstRow="0" w:lastRow="0" w:firstColumn="1" w:lastColumn="0" w:oddVBand="0" w:evenVBand="0" w:oddHBand="0" w:evenHBand="0" w:firstRowFirstColumn="0" w:firstRowLastColumn="0" w:lastRowFirstColumn="0" w:lastRowLastColumn="0"/>
            <w:tcW w:w="2216" w:type="dxa"/>
          </w:tcPr>
          <w:p w14:paraId="179C478B" w14:textId="77777777" w:rsidR="00DE1BDD" w:rsidRPr="00BD16B4" w:rsidRDefault="00DE1BDD" w:rsidP="004A205F">
            <w:pPr>
              <w:pStyle w:val="TableText"/>
              <w:spacing w:before="40" w:after="40"/>
              <w:rPr>
                <w:rFonts w:cs="Calibri"/>
                <w:szCs w:val="18"/>
              </w:rPr>
            </w:pPr>
            <w:r w:rsidRPr="00BD16B4">
              <w:rPr>
                <w:rFonts w:cs="Calibri"/>
                <w:szCs w:val="18"/>
              </w:rPr>
              <w:t>World Radiation Monitoring Center–Baseline Surface Radiation Network</w:t>
            </w:r>
            <w:r w:rsidRPr="00BD16B4" w:rsidDel="00DC0FCB">
              <w:rPr>
                <w:rFonts w:cs="Calibri"/>
                <w:szCs w:val="18"/>
              </w:rPr>
              <w:t xml:space="preserve"> </w:t>
            </w:r>
            <w:r w:rsidRPr="00BD16B4">
              <w:rPr>
                <w:rFonts w:cs="Calibri"/>
                <w:szCs w:val="18"/>
              </w:rPr>
              <w:t>(WRMC–BSRN) measurements of radiation from Lauder, NZ</w:t>
            </w:r>
          </w:p>
        </w:tc>
        <w:tc>
          <w:tcPr>
            <w:tcW w:w="1787" w:type="dxa"/>
          </w:tcPr>
          <w:p w14:paraId="61717031"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Surface radiation</w:t>
            </w:r>
          </w:p>
        </w:tc>
        <w:tc>
          <w:tcPr>
            <w:tcW w:w="1348" w:type="dxa"/>
          </w:tcPr>
          <w:p w14:paraId="57E9F9B1"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NIWA</w:t>
            </w:r>
          </w:p>
        </w:tc>
        <w:tc>
          <w:tcPr>
            <w:tcW w:w="3046" w:type="dxa"/>
          </w:tcPr>
          <w:p w14:paraId="461CD8BC"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D16B4">
              <w:rPr>
                <w:rFonts w:cs="Calibri"/>
                <w:szCs w:val="18"/>
              </w:rPr>
              <w:t>WRMC–BSRN measurements of radiation, UV and aerosols.</w:t>
            </w:r>
          </w:p>
        </w:tc>
      </w:tr>
      <w:tr w:rsidR="00DE1BDD" w:rsidRPr="00BD16B4" w14:paraId="363C8F09" w14:textId="77777777" w:rsidTr="004A205F">
        <w:trPr>
          <w:trHeight w:val="299"/>
        </w:trPr>
        <w:tc>
          <w:tcPr>
            <w:cnfStyle w:val="001000000000" w:firstRow="0" w:lastRow="0" w:firstColumn="1" w:lastColumn="0" w:oddVBand="0" w:evenVBand="0" w:oddHBand="0" w:evenHBand="0" w:firstRowFirstColumn="0" w:firstRowLastColumn="0" w:lastRowFirstColumn="0" w:lastRowLastColumn="0"/>
            <w:tcW w:w="8397" w:type="dxa"/>
            <w:gridSpan w:val="4"/>
          </w:tcPr>
          <w:p w14:paraId="12E354E5" w14:textId="77777777" w:rsidR="00DE1BDD" w:rsidRPr="00BD16B4" w:rsidRDefault="00DE1BDD" w:rsidP="004A205F">
            <w:pPr>
              <w:keepNext/>
              <w:spacing w:before="40" w:after="40"/>
              <w:jc w:val="center"/>
              <w:rPr>
                <w:rFonts w:cs="Calibri"/>
                <w:sz w:val="18"/>
                <w:szCs w:val="18"/>
              </w:rPr>
            </w:pPr>
            <w:r w:rsidRPr="00BD16B4">
              <w:rPr>
                <w:rFonts w:cs="Calibri"/>
                <w:sz w:val="18"/>
                <w:szCs w:val="18"/>
              </w:rPr>
              <w:t>Ocean</w:t>
            </w:r>
          </w:p>
        </w:tc>
      </w:tr>
      <w:tr w:rsidR="00DE1BDD" w:rsidRPr="00BD16B4" w14:paraId="60F2465C" w14:textId="77777777" w:rsidTr="004A205F">
        <w:tc>
          <w:tcPr>
            <w:cnfStyle w:val="001000000000" w:firstRow="0" w:lastRow="0" w:firstColumn="1" w:lastColumn="0" w:oddVBand="0" w:evenVBand="0" w:oddHBand="0" w:evenHBand="0" w:firstRowFirstColumn="0" w:firstRowLastColumn="0" w:lastRowFirstColumn="0" w:lastRowLastColumn="0"/>
            <w:tcW w:w="2216" w:type="dxa"/>
          </w:tcPr>
          <w:p w14:paraId="4C482ECD" w14:textId="77777777" w:rsidR="00DE1BDD" w:rsidRPr="00BD16B4" w:rsidRDefault="00DE1BDD" w:rsidP="004A205F">
            <w:pPr>
              <w:pStyle w:val="TableText"/>
              <w:keepNext/>
              <w:spacing w:before="40" w:after="40"/>
              <w:rPr>
                <w:rFonts w:cs="Calibri"/>
                <w:szCs w:val="18"/>
              </w:rPr>
            </w:pPr>
            <w:r w:rsidRPr="00BD16B4">
              <w:rPr>
                <w:rFonts w:cs="Calibri"/>
                <w:szCs w:val="18"/>
              </w:rPr>
              <w:t>Data from sea level tide gauges and bottom pressure recorders submitted to Permanent Service for Mean Sea Level (PSMSL)</w:t>
            </w:r>
          </w:p>
        </w:tc>
        <w:tc>
          <w:tcPr>
            <w:tcW w:w="1787" w:type="dxa"/>
          </w:tcPr>
          <w:p w14:paraId="083842D8"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Sea level</w:t>
            </w:r>
          </w:p>
        </w:tc>
        <w:tc>
          <w:tcPr>
            <w:tcW w:w="1348" w:type="dxa"/>
          </w:tcPr>
          <w:p w14:paraId="7169202C"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LINZ</w:t>
            </w:r>
          </w:p>
        </w:tc>
        <w:tc>
          <w:tcPr>
            <w:tcW w:w="3046" w:type="dxa"/>
          </w:tcPr>
          <w:p w14:paraId="690431AA"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PSMSL is the global databank for long-term sea-level change information from tide gauges and bottom pressure recorders.</w:t>
            </w:r>
          </w:p>
        </w:tc>
      </w:tr>
      <w:tr w:rsidR="00DE1BDD" w:rsidRPr="00BD16B4" w14:paraId="77C63791" w14:textId="77777777" w:rsidTr="004A205F">
        <w:tc>
          <w:tcPr>
            <w:cnfStyle w:val="001000000000" w:firstRow="0" w:lastRow="0" w:firstColumn="1" w:lastColumn="0" w:oddVBand="0" w:evenVBand="0" w:oddHBand="0" w:evenHBand="0" w:firstRowFirstColumn="0" w:firstRowLastColumn="0" w:lastRowFirstColumn="0" w:lastRowLastColumn="0"/>
            <w:tcW w:w="2216" w:type="dxa"/>
          </w:tcPr>
          <w:p w14:paraId="49821E13" w14:textId="77777777" w:rsidR="00DE1BDD" w:rsidRPr="00BD16B4" w:rsidRDefault="00DE1BDD" w:rsidP="004A205F">
            <w:pPr>
              <w:pStyle w:val="TableText"/>
              <w:spacing w:before="40" w:after="40"/>
              <w:rPr>
                <w:rFonts w:cs="Calibri"/>
                <w:szCs w:val="18"/>
              </w:rPr>
            </w:pPr>
            <w:r w:rsidRPr="00BD16B4">
              <w:rPr>
                <w:rFonts w:cs="Calibri"/>
                <w:szCs w:val="18"/>
              </w:rPr>
              <w:t>Carbon dioxide</w:t>
            </w:r>
            <w:r w:rsidRPr="00BD16B4" w:rsidDel="00E36E55">
              <w:rPr>
                <w:rFonts w:cs="Calibri"/>
                <w:szCs w:val="18"/>
              </w:rPr>
              <w:t xml:space="preserve"> </w:t>
            </w:r>
            <w:r w:rsidRPr="00BD16B4">
              <w:rPr>
                <w:rFonts w:cs="Calibri"/>
                <w:szCs w:val="18"/>
              </w:rPr>
              <w:t xml:space="preserve">observations from voyages submitted to the Surface Ocean CO₂ Atlas (SOCAT) </w:t>
            </w:r>
          </w:p>
        </w:tc>
        <w:tc>
          <w:tcPr>
            <w:tcW w:w="1787" w:type="dxa"/>
          </w:tcPr>
          <w:p w14:paraId="1FC892E6"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Biochemical</w:t>
            </w:r>
          </w:p>
        </w:tc>
        <w:tc>
          <w:tcPr>
            <w:tcW w:w="1348" w:type="dxa"/>
          </w:tcPr>
          <w:p w14:paraId="6CB84CC8"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NIWA</w:t>
            </w:r>
          </w:p>
        </w:tc>
        <w:tc>
          <w:tcPr>
            <w:tcW w:w="3046" w:type="dxa"/>
          </w:tcPr>
          <w:p w14:paraId="75667C94"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The SOCAT is a synthesis activity for quality-controlled, surface ocean fugacity of carbon dioxide (fCO₂) observations by the international marine carbon research community (more than 100 contributors).</w:t>
            </w:r>
          </w:p>
        </w:tc>
      </w:tr>
      <w:tr w:rsidR="00DE1BDD" w:rsidRPr="00BD16B4" w14:paraId="2E268A3E" w14:textId="77777777" w:rsidTr="004A205F">
        <w:tc>
          <w:tcPr>
            <w:cnfStyle w:val="001000000000" w:firstRow="0" w:lastRow="0" w:firstColumn="1" w:lastColumn="0" w:oddVBand="0" w:evenVBand="0" w:oddHBand="0" w:evenHBand="0" w:firstRowFirstColumn="0" w:firstRowLastColumn="0" w:lastRowFirstColumn="0" w:lastRowLastColumn="0"/>
            <w:tcW w:w="2216" w:type="dxa"/>
          </w:tcPr>
          <w:p w14:paraId="0A4EB4FC" w14:textId="77777777" w:rsidR="00DE1BDD" w:rsidRPr="00BD16B4" w:rsidRDefault="00DE1BDD" w:rsidP="004A205F">
            <w:pPr>
              <w:pStyle w:val="TableText"/>
              <w:spacing w:before="40" w:after="40"/>
              <w:rPr>
                <w:rFonts w:cs="Calibri"/>
                <w:szCs w:val="18"/>
              </w:rPr>
            </w:pPr>
            <w:r w:rsidRPr="00BD16B4">
              <w:rPr>
                <w:rFonts w:cs="Calibri"/>
                <w:szCs w:val="18"/>
              </w:rPr>
              <w:t>Data from 14 sites submitted to the Global Ocean Acidification Observing Network (GOA-ON)</w:t>
            </w:r>
          </w:p>
        </w:tc>
        <w:tc>
          <w:tcPr>
            <w:tcW w:w="1787" w:type="dxa"/>
          </w:tcPr>
          <w:p w14:paraId="0881CC0A"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Biochemical</w:t>
            </w:r>
          </w:p>
        </w:tc>
        <w:tc>
          <w:tcPr>
            <w:tcW w:w="1348" w:type="dxa"/>
          </w:tcPr>
          <w:p w14:paraId="767D60B7"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NIWA</w:t>
            </w:r>
          </w:p>
        </w:tc>
        <w:tc>
          <w:tcPr>
            <w:tcW w:w="3046" w:type="dxa"/>
          </w:tcPr>
          <w:p w14:paraId="42F43874"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GOA-ON is a collaborative international network to detect and understand the drivers of ocean acidification in estuarine-coastal-open ocean environments, the resulting impacts on marine ecosystems, and to make the information available to optimise modelling studies.</w:t>
            </w:r>
          </w:p>
        </w:tc>
      </w:tr>
      <w:tr w:rsidR="00DE1BDD" w:rsidRPr="00BD16B4" w14:paraId="776B4E9C" w14:textId="77777777" w:rsidTr="004A205F">
        <w:tc>
          <w:tcPr>
            <w:cnfStyle w:val="001000000000" w:firstRow="0" w:lastRow="0" w:firstColumn="1" w:lastColumn="0" w:oddVBand="0" w:evenVBand="0" w:oddHBand="0" w:evenHBand="0" w:firstRowFirstColumn="0" w:firstRowLastColumn="0" w:lastRowFirstColumn="0" w:lastRowLastColumn="0"/>
            <w:tcW w:w="2216" w:type="dxa"/>
          </w:tcPr>
          <w:p w14:paraId="179226AC" w14:textId="77777777" w:rsidR="00DE1BDD" w:rsidRPr="00BD16B4" w:rsidRDefault="00DE1BDD" w:rsidP="004A205F">
            <w:pPr>
              <w:pStyle w:val="TableText"/>
              <w:spacing w:before="40" w:after="40"/>
              <w:rPr>
                <w:rFonts w:cs="Calibri"/>
                <w:szCs w:val="18"/>
              </w:rPr>
            </w:pPr>
            <w:r w:rsidRPr="00BD16B4">
              <w:rPr>
                <w:rFonts w:cs="Calibri"/>
                <w:szCs w:val="18"/>
              </w:rPr>
              <w:t>Ocean biological data submitted to the International Ocean Biodiversity Information System (OBIS) and the Global Biodiversity Information Facility (GBIF)</w:t>
            </w:r>
          </w:p>
        </w:tc>
        <w:tc>
          <w:tcPr>
            <w:tcW w:w="1787" w:type="dxa"/>
          </w:tcPr>
          <w:p w14:paraId="5CE24629"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Biological/ecosystems</w:t>
            </w:r>
          </w:p>
        </w:tc>
        <w:tc>
          <w:tcPr>
            <w:tcW w:w="1348" w:type="dxa"/>
          </w:tcPr>
          <w:p w14:paraId="6FAA7D24"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NIWA</w:t>
            </w:r>
          </w:p>
        </w:tc>
        <w:tc>
          <w:tcPr>
            <w:tcW w:w="3046" w:type="dxa"/>
          </w:tcPr>
          <w:p w14:paraId="7A8FBDA5"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International database of biological observations.</w:t>
            </w:r>
          </w:p>
        </w:tc>
      </w:tr>
      <w:tr w:rsidR="00DE1BDD" w:rsidRPr="00BD16B4" w14:paraId="0B983FD5" w14:textId="77777777" w:rsidTr="004A205F">
        <w:tc>
          <w:tcPr>
            <w:cnfStyle w:val="001000000000" w:firstRow="0" w:lastRow="0" w:firstColumn="1" w:lastColumn="0" w:oddVBand="0" w:evenVBand="0" w:oddHBand="0" w:evenHBand="0" w:firstRowFirstColumn="0" w:firstRowLastColumn="0" w:lastRowFirstColumn="0" w:lastRowLastColumn="0"/>
            <w:tcW w:w="8397" w:type="dxa"/>
            <w:gridSpan w:val="4"/>
          </w:tcPr>
          <w:p w14:paraId="6AB3B79F" w14:textId="77777777" w:rsidR="00DE1BDD" w:rsidRPr="00BD16B4" w:rsidRDefault="00DE1BDD" w:rsidP="004A205F">
            <w:pPr>
              <w:spacing w:before="40" w:after="40"/>
              <w:jc w:val="center"/>
              <w:rPr>
                <w:rFonts w:cs="Calibri"/>
                <w:sz w:val="18"/>
                <w:szCs w:val="18"/>
              </w:rPr>
            </w:pPr>
            <w:r w:rsidRPr="00BD16B4">
              <w:rPr>
                <w:rFonts w:cs="Calibri"/>
                <w:sz w:val="18"/>
                <w:szCs w:val="18"/>
              </w:rPr>
              <w:t>Land</w:t>
            </w:r>
          </w:p>
        </w:tc>
      </w:tr>
      <w:tr w:rsidR="00DE1BDD" w:rsidRPr="00BD16B4" w14:paraId="23D21277" w14:textId="77777777" w:rsidTr="004A205F">
        <w:tc>
          <w:tcPr>
            <w:cnfStyle w:val="001000000000" w:firstRow="0" w:lastRow="0" w:firstColumn="1" w:lastColumn="0" w:oddVBand="0" w:evenVBand="0" w:oddHBand="0" w:evenHBand="0" w:firstRowFirstColumn="0" w:firstRowLastColumn="0" w:lastRowFirstColumn="0" w:lastRowLastColumn="0"/>
            <w:tcW w:w="2216" w:type="dxa"/>
          </w:tcPr>
          <w:p w14:paraId="6AD58586" w14:textId="77777777" w:rsidR="00DE1BDD" w:rsidRPr="00BD16B4" w:rsidRDefault="00DE1BDD" w:rsidP="004A205F">
            <w:pPr>
              <w:pStyle w:val="TableText"/>
              <w:spacing w:before="40" w:after="40"/>
              <w:rPr>
                <w:rFonts w:cs="Calibri"/>
                <w:szCs w:val="18"/>
              </w:rPr>
            </w:pPr>
            <w:r w:rsidRPr="00BD16B4">
              <w:rPr>
                <w:rFonts w:cs="Calibri"/>
                <w:szCs w:val="18"/>
              </w:rPr>
              <w:t>Water quality observations provided to the Global Environment Monitoring System for freshwater (GEMS/Water)</w:t>
            </w:r>
          </w:p>
        </w:tc>
        <w:tc>
          <w:tcPr>
            <w:tcW w:w="1787" w:type="dxa"/>
          </w:tcPr>
          <w:p w14:paraId="1C7059E5"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Hydrosphere</w:t>
            </w:r>
          </w:p>
        </w:tc>
        <w:tc>
          <w:tcPr>
            <w:tcW w:w="1348" w:type="dxa"/>
          </w:tcPr>
          <w:p w14:paraId="1D35758B"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NIWA</w:t>
            </w:r>
          </w:p>
        </w:tc>
        <w:tc>
          <w:tcPr>
            <w:tcW w:w="3046" w:type="dxa"/>
          </w:tcPr>
          <w:p w14:paraId="26EB16B0"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GEMS/Water provides the community with sound data on freshwater quality to support scientific assessments and decision-making on the subject.</w:t>
            </w:r>
          </w:p>
        </w:tc>
      </w:tr>
      <w:tr w:rsidR="00DE1BDD" w:rsidRPr="00BD16B4" w14:paraId="014394D5" w14:textId="77777777" w:rsidTr="004A205F">
        <w:tc>
          <w:tcPr>
            <w:cnfStyle w:val="001000000000" w:firstRow="0" w:lastRow="0" w:firstColumn="1" w:lastColumn="0" w:oddVBand="0" w:evenVBand="0" w:oddHBand="0" w:evenHBand="0" w:firstRowFirstColumn="0" w:firstRowLastColumn="0" w:lastRowFirstColumn="0" w:lastRowLastColumn="0"/>
            <w:tcW w:w="2216" w:type="dxa"/>
          </w:tcPr>
          <w:p w14:paraId="4D1B1F5E" w14:textId="77777777" w:rsidR="00DE1BDD" w:rsidRPr="00BD16B4" w:rsidRDefault="00DE1BDD" w:rsidP="004A205F">
            <w:pPr>
              <w:pStyle w:val="TableText"/>
              <w:spacing w:before="40" w:after="40"/>
              <w:rPr>
                <w:rFonts w:cs="Calibri"/>
                <w:szCs w:val="18"/>
              </w:rPr>
            </w:pPr>
            <w:r w:rsidRPr="00BD16B4">
              <w:rPr>
                <w:rFonts w:cs="Calibri"/>
                <w:szCs w:val="18"/>
              </w:rPr>
              <w:t>Various freshwater biological data submitted to GBIF</w:t>
            </w:r>
          </w:p>
        </w:tc>
        <w:tc>
          <w:tcPr>
            <w:tcW w:w="1787" w:type="dxa"/>
          </w:tcPr>
          <w:p w14:paraId="248F4592"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Biosphere</w:t>
            </w:r>
          </w:p>
        </w:tc>
        <w:tc>
          <w:tcPr>
            <w:tcW w:w="1348" w:type="dxa"/>
          </w:tcPr>
          <w:p w14:paraId="276CC583"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NIWA</w:t>
            </w:r>
          </w:p>
        </w:tc>
        <w:tc>
          <w:tcPr>
            <w:tcW w:w="3046" w:type="dxa"/>
          </w:tcPr>
          <w:p w14:paraId="12E1F368"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International database of biological observations.</w:t>
            </w:r>
          </w:p>
        </w:tc>
      </w:tr>
      <w:tr w:rsidR="00DE1BDD" w:rsidRPr="00BD16B4" w14:paraId="554CD98D" w14:textId="77777777" w:rsidTr="004A205F">
        <w:tc>
          <w:tcPr>
            <w:cnfStyle w:val="001000000000" w:firstRow="0" w:lastRow="0" w:firstColumn="1" w:lastColumn="0" w:oddVBand="0" w:evenVBand="0" w:oddHBand="0" w:evenHBand="0" w:firstRowFirstColumn="0" w:firstRowLastColumn="0" w:lastRowFirstColumn="0" w:lastRowLastColumn="0"/>
            <w:tcW w:w="2216" w:type="dxa"/>
          </w:tcPr>
          <w:p w14:paraId="18B15DC3" w14:textId="77777777" w:rsidR="00DE1BDD" w:rsidRPr="00BD16B4" w:rsidRDefault="00DE1BDD" w:rsidP="004A205F">
            <w:pPr>
              <w:pStyle w:val="TableText"/>
              <w:spacing w:before="40" w:after="40"/>
              <w:rPr>
                <w:rFonts w:cs="Calibri"/>
                <w:szCs w:val="18"/>
              </w:rPr>
            </w:pPr>
            <w:r w:rsidRPr="00BD16B4">
              <w:rPr>
                <w:rFonts w:cs="Calibri"/>
                <w:szCs w:val="18"/>
              </w:rPr>
              <w:t>Various biological data submitted to GBIF</w:t>
            </w:r>
          </w:p>
        </w:tc>
        <w:tc>
          <w:tcPr>
            <w:tcW w:w="1787" w:type="dxa"/>
          </w:tcPr>
          <w:p w14:paraId="6766C606"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Biosphere</w:t>
            </w:r>
          </w:p>
        </w:tc>
        <w:tc>
          <w:tcPr>
            <w:tcW w:w="1348" w:type="dxa"/>
          </w:tcPr>
          <w:p w14:paraId="6CC7C4C2"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Manaaki Whenua Landcare Research</w:t>
            </w:r>
          </w:p>
        </w:tc>
        <w:tc>
          <w:tcPr>
            <w:tcW w:w="3046" w:type="dxa"/>
          </w:tcPr>
          <w:p w14:paraId="46D43046" w14:textId="77777777" w:rsidR="00DE1BDD" w:rsidRPr="00BD16B4" w:rsidRDefault="00DE1BDD" w:rsidP="004A205F">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D16B4">
              <w:t>International database of biological observations.</w:t>
            </w:r>
          </w:p>
        </w:tc>
      </w:tr>
    </w:tbl>
    <w:p w14:paraId="0042D430" w14:textId="77777777" w:rsidR="00DE1BDD" w:rsidRPr="00BD16B4" w:rsidRDefault="00DE1BDD" w:rsidP="00DE1BDD">
      <w:pPr>
        <w:pStyle w:val="Note"/>
      </w:pPr>
      <w:r w:rsidRPr="00BD16B4">
        <w:t>Note: CH</w:t>
      </w:r>
      <w:r w:rsidRPr="00BD16B4">
        <w:rPr>
          <w:vertAlign w:val="subscript"/>
        </w:rPr>
        <w:t>4</w:t>
      </w:r>
      <w:r w:rsidRPr="00BD16B4">
        <w:t xml:space="preserve"> = methane; CO = carbon monoxide; CO</w:t>
      </w:r>
      <w:r w:rsidRPr="00BD16B4">
        <w:rPr>
          <w:vertAlign w:val="subscript"/>
        </w:rPr>
        <w:t>2</w:t>
      </w:r>
      <w:r w:rsidRPr="00BD16B4">
        <w:t xml:space="preserve"> = carbon dioxide; ECVs = Essential Climate Variables; HDO = semiheavy water; HF = hydrogen fluoride; H</w:t>
      </w:r>
      <w:r w:rsidRPr="00BD16B4">
        <w:rPr>
          <w:vertAlign w:val="subscript"/>
        </w:rPr>
        <w:t>2</w:t>
      </w:r>
      <w:r w:rsidRPr="00BD16B4">
        <w:t xml:space="preserve">O = water; LINZ = </w:t>
      </w:r>
      <w:r w:rsidRPr="00BD16B4">
        <w:rPr>
          <w:bCs/>
          <w:szCs w:val="20"/>
        </w:rPr>
        <w:t xml:space="preserve">Toitū Te Whenua </w:t>
      </w:r>
      <w:r w:rsidRPr="00BD16B4">
        <w:t>Land Information New Zealand; NIWA = National Institute of Water and Atmospheric Research; N</w:t>
      </w:r>
      <w:r w:rsidRPr="00BD16B4">
        <w:rPr>
          <w:vertAlign w:val="subscript"/>
        </w:rPr>
        <w:t>2</w:t>
      </w:r>
      <w:r w:rsidRPr="00BD16B4">
        <w:t>O = nitrous oxide.</w:t>
      </w:r>
    </w:p>
    <w:p w14:paraId="1ED2E060" w14:textId="77777777" w:rsidR="00DE1BDD" w:rsidRPr="00BD16B4" w:rsidRDefault="00DE1BDD" w:rsidP="00DE1BDD">
      <w:pPr>
        <w:spacing w:before="0" w:after="200" w:line="276" w:lineRule="auto"/>
        <w:jc w:val="left"/>
      </w:pPr>
      <w:r w:rsidRPr="00BD16B4">
        <w:br w:type="page"/>
      </w:r>
    </w:p>
    <w:p w14:paraId="1AF6796D" w14:textId="77777777" w:rsidR="00DE1BDD" w:rsidRPr="00BD16B4" w:rsidRDefault="00DE1BDD" w:rsidP="00BE6454">
      <w:pPr>
        <w:pStyle w:val="Heading1notforTOC"/>
      </w:pPr>
      <w:bookmarkStart w:id="764" w:name="_Toc493859313"/>
      <w:bookmarkStart w:id="765" w:name="_Toc493859609"/>
      <w:bookmarkStart w:id="766" w:name="_Toc497740344"/>
      <w:bookmarkStart w:id="767" w:name="_Toc498523570"/>
      <w:bookmarkStart w:id="768" w:name="_Toc499993096"/>
      <w:bookmarkStart w:id="769" w:name="_Toc499994271"/>
      <w:bookmarkStart w:id="770" w:name="_Toc109723958"/>
      <w:bookmarkStart w:id="771" w:name="_Toc117194209"/>
      <w:bookmarkStart w:id="772" w:name="_Toc120893236"/>
      <w:r w:rsidRPr="00BD16B4">
        <w:t>Acknowledgements</w:t>
      </w:r>
      <w:bookmarkEnd w:id="764"/>
      <w:bookmarkEnd w:id="765"/>
      <w:bookmarkEnd w:id="766"/>
      <w:bookmarkEnd w:id="767"/>
      <w:bookmarkEnd w:id="768"/>
      <w:bookmarkEnd w:id="769"/>
      <w:bookmarkEnd w:id="770"/>
      <w:bookmarkEnd w:id="771"/>
      <w:bookmarkEnd w:id="772"/>
    </w:p>
    <w:p w14:paraId="7C9D1573" w14:textId="77777777" w:rsidR="00DE1BDD" w:rsidRPr="00BD16B4" w:rsidRDefault="00DE1BDD" w:rsidP="00DE1BDD">
      <w:pPr>
        <w:pStyle w:val="BodyText"/>
      </w:pPr>
      <w:r w:rsidRPr="00BD16B4">
        <w:t>The following individuals and organisations have contributed to this report.</w:t>
      </w:r>
    </w:p>
    <w:p w14:paraId="314CC83A" w14:textId="77777777" w:rsidR="00DE1BDD" w:rsidRPr="00BD16B4" w:rsidRDefault="00DE1BDD" w:rsidP="00DE1BDD">
      <w:pPr>
        <w:pStyle w:val="BodyText"/>
        <w:spacing w:before="0"/>
      </w:pPr>
      <w:r w:rsidRPr="00BD16B4">
        <w:t>Department of Conservation: Elaine Wright</w:t>
      </w:r>
    </w:p>
    <w:p w14:paraId="69AA1ED4" w14:textId="77777777" w:rsidR="00DE1BDD" w:rsidRPr="00BD16B4" w:rsidRDefault="00DE1BDD" w:rsidP="00DE1BDD">
      <w:pPr>
        <w:pStyle w:val="BodyText"/>
        <w:spacing w:before="0"/>
      </w:pPr>
      <w:r w:rsidRPr="00BD16B4">
        <w:t>GNS Science: Perry Davy, Richard Levy, Magali Moreau</w:t>
      </w:r>
    </w:p>
    <w:p w14:paraId="3E6D88FA" w14:textId="77777777" w:rsidR="00DE1BDD" w:rsidRPr="00BD16B4" w:rsidRDefault="00DE1BDD" w:rsidP="00DE1BDD">
      <w:pPr>
        <w:pStyle w:val="BodyText"/>
        <w:spacing w:before="0"/>
      </w:pPr>
      <w:r w:rsidRPr="00BD16B4">
        <w:t xml:space="preserve">Manaaki Whenua Landcare Research: Nick Spencer </w:t>
      </w:r>
    </w:p>
    <w:p w14:paraId="0B2CB01F" w14:textId="77777777" w:rsidR="00DE1BDD" w:rsidRPr="00BD16B4" w:rsidRDefault="00DE1BDD" w:rsidP="00DE1BDD">
      <w:pPr>
        <w:pStyle w:val="BodyText"/>
        <w:spacing w:before="0"/>
      </w:pPr>
      <w:r w:rsidRPr="00BD16B4">
        <w:t>Marlborough Regional Council: Mike Ede</w:t>
      </w:r>
    </w:p>
    <w:p w14:paraId="4C6D4BCF" w14:textId="77777777" w:rsidR="00DE1BDD" w:rsidRPr="00BD16B4" w:rsidRDefault="00DE1BDD" w:rsidP="00DE1BDD">
      <w:pPr>
        <w:pStyle w:val="BodyText"/>
        <w:spacing w:before="0"/>
      </w:pPr>
      <w:r w:rsidRPr="00BD16B4">
        <w:t>MetService: Kevin Alder</w:t>
      </w:r>
    </w:p>
    <w:p w14:paraId="18022708" w14:textId="77777777" w:rsidR="00DE1BDD" w:rsidRPr="00BD16B4" w:rsidRDefault="00DE1BDD" w:rsidP="00DE1BDD">
      <w:pPr>
        <w:pStyle w:val="BodyText"/>
        <w:spacing w:before="0"/>
      </w:pPr>
      <w:r w:rsidRPr="00BD16B4">
        <w:t xml:space="preserve">NIWA: Andrew Harper, Mike Harvey, Andrew Lorrey, Kevin Mackay, Juliet Milne, Joe O’Callaghan, Charles Pearson, Matt Pinkerton, Alan Porteous, Richard Querel, Doug Ramsay, Christo Rautenbach, Hinrich Schaefer, Scott Stephens, Craig Stevens, Phil Sutton, Andrew Tait, Mike Williams, Simon Wood, Christian Zammit </w:t>
      </w:r>
    </w:p>
    <w:p w14:paraId="25A027CA" w14:textId="77777777" w:rsidR="00DE1BDD" w:rsidRPr="00BD16B4" w:rsidRDefault="00DE1BDD" w:rsidP="00DE1BDD">
      <w:pPr>
        <w:pStyle w:val="BodyText"/>
        <w:tabs>
          <w:tab w:val="left" w:pos="2640"/>
        </w:tabs>
        <w:spacing w:before="0"/>
      </w:pPr>
      <w:r w:rsidRPr="00BD16B4">
        <w:rPr>
          <w:bCs/>
        </w:rPr>
        <w:t xml:space="preserve">Toitū Te </w:t>
      </w:r>
      <w:r w:rsidRPr="00BD16B4">
        <w:t>Land Information New Zealand: Glen Rowe</w:t>
      </w:r>
    </w:p>
    <w:p w14:paraId="0C23279C" w14:textId="77777777" w:rsidR="00DE1BDD" w:rsidRPr="00BD16B4" w:rsidRDefault="00DE1BDD" w:rsidP="00DE1BDD">
      <w:pPr>
        <w:pStyle w:val="BodyText"/>
        <w:spacing w:before="0"/>
      </w:pPr>
      <w:r w:rsidRPr="00BD16B4">
        <w:t xml:space="preserve">University of Otago: Christina Riesselman </w:t>
      </w:r>
    </w:p>
    <w:p w14:paraId="3BB33A21" w14:textId="77777777" w:rsidR="00DE1BDD" w:rsidRPr="00BD16B4" w:rsidRDefault="00DE1BDD" w:rsidP="00DE1BDD">
      <w:pPr>
        <w:pStyle w:val="BodyText"/>
        <w:spacing w:before="0"/>
      </w:pPr>
      <w:r w:rsidRPr="00BD16B4">
        <w:t xml:space="preserve">Victoria University of Wellington: Nancy Bertler, Robert Mckay, Timothy Naish </w:t>
      </w:r>
    </w:p>
    <w:p w14:paraId="4B4CA05A" w14:textId="77777777" w:rsidR="007B630D" w:rsidRPr="00BD16B4" w:rsidRDefault="007B630D" w:rsidP="00BE6454">
      <w:pPr>
        <w:pStyle w:val="BodyText"/>
      </w:pPr>
    </w:p>
    <w:sectPr w:rsidR="007B630D" w:rsidRPr="00BD16B4" w:rsidSect="00FD115F">
      <w:footerReference w:type="even" r:id="rId146"/>
      <w:footerReference w:type="default" r:id="rId147"/>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92630" w14:textId="77777777" w:rsidR="008963CA" w:rsidRDefault="008963CA" w:rsidP="0080531E">
      <w:pPr>
        <w:spacing w:before="0" w:after="0" w:line="240" w:lineRule="auto"/>
      </w:pPr>
      <w:r>
        <w:separator/>
      </w:r>
    </w:p>
    <w:p w14:paraId="6E4AC066" w14:textId="77777777" w:rsidR="008963CA" w:rsidRDefault="008963CA"/>
  </w:endnote>
  <w:endnote w:type="continuationSeparator" w:id="0">
    <w:p w14:paraId="2CAA4876" w14:textId="77777777" w:rsidR="008963CA" w:rsidRDefault="008963CA" w:rsidP="0080531E">
      <w:pPr>
        <w:spacing w:before="0" w:after="0" w:line="240" w:lineRule="auto"/>
      </w:pPr>
      <w:r>
        <w:continuationSeparator/>
      </w:r>
    </w:p>
    <w:p w14:paraId="1BAA9AC1" w14:textId="77777777" w:rsidR="008963CA" w:rsidRDefault="008963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ustan-Book">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EE"/>
    <w:family w:val="auto"/>
    <w:notTrueType/>
    <w:pitch w:val="default"/>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Arial Bold">
    <w:altName w:val="Arial"/>
    <w:panose1 w:val="020B0704020202020204"/>
    <w:charset w:val="00"/>
    <w:family w:val="roman"/>
    <w:notTrueType/>
    <w:pitch w:val="default"/>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8981B" w14:textId="77777777" w:rsidR="00FC49D2" w:rsidRDefault="00FC49D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00B82" w14:textId="2A72EBD8" w:rsidR="001F1B3B" w:rsidRDefault="001F1B3B" w:rsidP="00CD25E1">
    <w:pPr>
      <w:pStyle w:val="Footerodd"/>
    </w:pPr>
    <w:r>
      <w:tab/>
      <w:t>Tables and figures</w:t>
    </w:r>
    <w:r>
      <w:tab/>
    </w:r>
    <w:r>
      <w:fldChar w:fldCharType="begin"/>
    </w:r>
    <w:r>
      <w:instrText xml:space="preserve"> PAGE   \* MERGEFORMAT </w:instrText>
    </w:r>
    <w:r>
      <w:fldChar w:fldCharType="separate"/>
    </w:r>
    <w:r>
      <w:rPr>
        <w:noProof/>
      </w:rPr>
      <w:t>7</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95FDE" w14:textId="024E20C5" w:rsidR="006A1590" w:rsidRDefault="006A1590"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00F339BF" w:rsidRPr="008D1077">
      <w:t>New Zealand’s Eighth National Communication</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CB138" w14:textId="4728CD7C" w:rsidR="00F339BF" w:rsidRDefault="00F339BF" w:rsidP="00CD25E1">
    <w:pPr>
      <w:pStyle w:val="Footerodd"/>
    </w:pPr>
    <w:r>
      <w:tab/>
      <w:t>Abbreviations</w:t>
    </w:r>
    <w:r>
      <w:tab/>
    </w:r>
    <w:r>
      <w:fldChar w:fldCharType="begin"/>
    </w:r>
    <w:r>
      <w:instrText xml:space="preserve"> PAGE   \* MERGEFORMAT </w:instrText>
    </w:r>
    <w:r>
      <w:fldChar w:fldCharType="separate"/>
    </w:r>
    <w:r>
      <w:rPr>
        <w:noProof/>
      </w:rPr>
      <w:t>7</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102C8" w14:textId="7951908D" w:rsidR="006A1590" w:rsidRDefault="006A1590"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001E4189" w:rsidRPr="008D1077">
      <w:t>New Zealand’s Eighth National Communication</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31D57" w14:textId="2A6F11D2" w:rsidR="00F339BF" w:rsidRDefault="00F339BF" w:rsidP="00CD25E1">
    <w:pPr>
      <w:pStyle w:val="Footerodd"/>
    </w:pPr>
    <w:r>
      <w:tab/>
      <w:t>Te reo Māori glossary</w:t>
    </w:r>
    <w:r>
      <w:tab/>
    </w:r>
    <w:r>
      <w:fldChar w:fldCharType="begin"/>
    </w:r>
    <w:r>
      <w:instrText xml:space="preserve"> PAGE   \* MERGEFORMAT </w:instrText>
    </w:r>
    <w:r>
      <w:fldChar w:fldCharType="separate"/>
    </w:r>
    <w:r>
      <w:rPr>
        <w:noProof/>
      </w:rPr>
      <w:t>7</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D8C32" w14:textId="153C708D"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4A1879" w:rsidRPr="008D1077">
      <w:t>New Zealand’s Eighth National Communication</w:t>
    </w:r>
    <w:r w:rsidR="004A1879">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28C25" w14:textId="55DCE668" w:rsidR="00E453AB" w:rsidRDefault="00E5210B" w:rsidP="00CD25E1">
    <w:pPr>
      <w:pStyle w:val="Footerodd"/>
    </w:pPr>
    <w:r>
      <w:tab/>
    </w:r>
    <w:r w:rsidR="004A1879">
      <w:t>Minister’s foreword</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9DCA7" w14:textId="3FE7284B"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C6048A" w:rsidRPr="008D1077">
      <w:t>New Zealand’s Eighth National Communication</w:t>
    </w:r>
    <w:r w:rsidR="00C6048A" w:rsidRPr="00C50EF6">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BD5D1" w14:textId="744D1638" w:rsidR="00E453AB" w:rsidRDefault="00E5210B" w:rsidP="00CD25E1">
    <w:pPr>
      <w:pStyle w:val="Footerodd"/>
    </w:pPr>
    <w:r>
      <w:tab/>
    </w:r>
    <w:r w:rsidR="006E7E52">
      <w:t xml:space="preserve">1: </w:t>
    </w:r>
    <w:r w:rsidR="00C6048A">
      <w:t>Executive summary</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49BBC" w14:textId="7E35F7BB"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293611">
      <w:t>New</w:t>
    </w:r>
    <w:r w:rsidR="00293611">
      <w:rPr>
        <w:spacing w:val="-6"/>
      </w:rPr>
      <w:t xml:space="preserve"> </w:t>
    </w:r>
    <w:r w:rsidR="00293611">
      <w:t>Zealand’s</w:t>
    </w:r>
    <w:r w:rsidR="00293611">
      <w:rPr>
        <w:spacing w:val="-6"/>
      </w:rPr>
      <w:t xml:space="preserve"> </w:t>
    </w:r>
    <w:r w:rsidR="00293611">
      <w:t>Eighth</w:t>
    </w:r>
    <w:r w:rsidR="00293611">
      <w:rPr>
        <w:spacing w:val="-6"/>
      </w:rPr>
      <w:t xml:space="preserve"> </w:t>
    </w:r>
    <w:r w:rsidR="00293611">
      <w:t>National</w:t>
    </w:r>
    <w:r w:rsidR="00293611">
      <w:rPr>
        <w:spacing w:val="-6"/>
      </w:rPr>
      <w:t xml:space="preserve"> </w:t>
    </w:r>
    <w:r w:rsidR="00293611">
      <w:rPr>
        <w:spacing w:val="-2"/>
      </w:rPr>
      <w:t>Communication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700E4" w14:textId="77777777" w:rsidR="00987F0B" w:rsidRDefault="00987F0B" w:rsidP="009F1D7F">
    <w:pPr>
      <w:spacing w:before="0" w:after="0" w:line="240" w:lineRule="auto"/>
      <w:jc w:val="left"/>
    </w:pPr>
    <w:r>
      <w:rPr>
        <w:b/>
        <w:bCs/>
        <w:noProof/>
      </w:rPr>
      <w:drawing>
        <wp:inline distT="0" distB="0" distL="0" distR="0" wp14:anchorId="0F840FBF" wp14:editId="585CBF45">
          <wp:extent cx="2239911" cy="538480"/>
          <wp:effectExtent l="0" t="0" r="0" b="0"/>
          <wp:docPr id="971881747" name="Picture 97188174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469B9" w14:textId="45865CF9" w:rsidR="00E453AB" w:rsidRDefault="00E5210B" w:rsidP="00CD25E1">
    <w:pPr>
      <w:pStyle w:val="Footerodd"/>
    </w:pPr>
    <w:r>
      <w:tab/>
    </w:r>
    <w:r w:rsidR="006E7E52">
      <w:t xml:space="preserve">2: </w:t>
    </w:r>
    <w:r w:rsidR="00293611">
      <w:t>National circumstances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D30E" w14:textId="55D0B2D6" w:rsidR="00A05B3F" w:rsidRDefault="00A05B3F"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00DF4E39">
      <w:t>New</w:t>
    </w:r>
    <w:r w:rsidR="00DF4E39">
      <w:rPr>
        <w:spacing w:val="-6"/>
      </w:rPr>
      <w:t xml:space="preserve"> </w:t>
    </w:r>
    <w:r w:rsidR="00DF4E39">
      <w:t>Zealand’s</w:t>
    </w:r>
    <w:r w:rsidR="00DF4E39">
      <w:rPr>
        <w:spacing w:val="-6"/>
      </w:rPr>
      <w:t xml:space="preserve"> </w:t>
    </w:r>
    <w:r w:rsidR="00DF4E39">
      <w:t>Eighth</w:t>
    </w:r>
    <w:r w:rsidR="00DF4E39">
      <w:rPr>
        <w:spacing w:val="-6"/>
      </w:rPr>
      <w:t xml:space="preserve"> </w:t>
    </w:r>
    <w:r w:rsidR="00DF4E39">
      <w:t>National</w:t>
    </w:r>
    <w:r w:rsidR="00DF4E39">
      <w:rPr>
        <w:spacing w:val="-6"/>
      </w:rPr>
      <w:t xml:space="preserve"> </w:t>
    </w:r>
    <w:r w:rsidR="00DF4E39">
      <w:rPr>
        <w:spacing w:val="-2"/>
      </w:rPr>
      <w:t>Communication</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61ABE" w14:textId="0F565C38" w:rsidR="00DF4E39" w:rsidRDefault="00DF4E39" w:rsidP="00CD25E1">
    <w:pPr>
      <w:pStyle w:val="Footerodd"/>
    </w:pPr>
    <w:r>
      <w:tab/>
    </w:r>
    <w:r w:rsidR="00D754AA">
      <w:t xml:space="preserve">3: </w:t>
    </w:r>
    <w:r>
      <w:t>Greenhouse gas inventory</w:t>
    </w:r>
    <w:r>
      <w:tab/>
    </w:r>
    <w:r>
      <w:fldChar w:fldCharType="begin"/>
    </w:r>
    <w:r>
      <w:instrText xml:space="preserve"> PAGE   \* MERGEFORMAT </w:instrText>
    </w:r>
    <w:r>
      <w:fldChar w:fldCharType="separate"/>
    </w:r>
    <w:r>
      <w:rPr>
        <w:noProof/>
      </w:rPr>
      <w:t>7</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6256F" w14:textId="77777777" w:rsidR="00CA1920" w:rsidRDefault="00CA1920"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t>New Zealand’s Eighth National Communication</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0900E" w14:textId="054032B3" w:rsidR="00CA1920" w:rsidRDefault="00CA1920" w:rsidP="00CD25E1">
    <w:pPr>
      <w:pStyle w:val="Footerodd"/>
    </w:pPr>
    <w:r>
      <w:tab/>
    </w:r>
    <w:r w:rsidR="0001121B">
      <w:t xml:space="preserve">4: </w:t>
    </w:r>
    <w:r w:rsidRPr="00AD7B9A">
      <w:t>Policies and measures</w:t>
    </w:r>
    <w:r>
      <w:tab/>
    </w:r>
    <w:r>
      <w:fldChar w:fldCharType="begin"/>
    </w:r>
    <w:r>
      <w:instrText xml:space="preserve"> PAGE   \* MERGEFORMAT </w:instrText>
    </w:r>
    <w:r>
      <w:fldChar w:fldCharType="separate"/>
    </w:r>
    <w:r>
      <w:rPr>
        <w:noProof/>
      </w:rPr>
      <w:t>7</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F6477" w14:textId="6CA35CC3" w:rsidR="00CA1920" w:rsidRDefault="00CA1920" w:rsidP="00070BDA">
    <w:pPr>
      <w:pStyle w:val="Footerodd"/>
      <w:tabs>
        <w:tab w:val="clear" w:pos="7938"/>
        <w:tab w:val="clear" w:pos="8505"/>
        <w:tab w:val="right" w:pos="13948"/>
        <w:tab w:val="right" w:pos="14515"/>
      </w:tabs>
    </w:pPr>
    <w:r>
      <w:tab/>
    </w:r>
    <w:r w:rsidR="00CF4422">
      <w:t xml:space="preserve">4: </w:t>
    </w:r>
    <w:r w:rsidR="004B7458" w:rsidRPr="00AD7B9A">
      <w:t>Policies and measures</w:t>
    </w:r>
    <w:r>
      <w:tab/>
    </w:r>
    <w:r>
      <w:fldChar w:fldCharType="begin"/>
    </w:r>
    <w:r>
      <w:instrText xml:space="preserve"> PAGE   \* MERGEFORMAT </w:instrText>
    </w:r>
    <w:r>
      <w:fldChar w:fldCharType="separate"/>
    </w:r>
    <w:r>
      <w:rPr>
        <w:noProof/>
      </w:rPr>
      <w:t>7</w:t>
    </w:r>
    <w:r>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74A2" w14:textId="68EF1900" w:rsidR="00F808C8" w:rsidRDefault="00F808C8" w:rsidP="00E1286A">
    <w:pPr>
      <w:pStyle w:val="Footerodd"/>
      <w:tabs>
        <w:tab w:val="left" w:pos="6480"/>
      </w:tabs>
    </w:pPr>
    <w:r>
      <w:tab/>
    </w:r>
    <w:r w:rsidR="00E1286A">
      <w:t xml:space="preserve">4: </w:t>
    </w:r>
    <w:r w:rsidR="00E1286A">
      <w:tab/>
    </w:r>
    <w:r w:rsidR="00A706F7" w:rsidRPr="00AD7B9A">
      <w:t>Policies and measures</w:t>
    </w:r>
    <w:r>
      <w:tab/>
    </w:r>
    <w:r>
      <w:fldChar w:fldCharType="begin"/>
    </w:r>
    <w:r>
      <w:instrText xml:space="preserve"> PAGE   \* MERGEFORMAT </w:instrText>
    </w:r>
    <w:r>
      <w:fldChar w:fldCharType="separate"/>
    </w:r>
    <w:r>
      <w:rPr>
        <w:noProof/>
      </w:rPr>
      <w:t>7</w:t>
    </w:r>
    <w:r>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AF40D" w14:textId="75EA8A8A"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F808C8">
      <w:t>New</w:t>
    </w:r>
    <w:r w:rsidR="00F808C8">
      <w:rPr>
        <w:spacing w:val="-6"/>
      </w:rPr>
      <w:t xml:space="preserve"> </w:t>
    </w:r>
    <w:r w:rsidR="00F808C8">
      <w:t>Zealand’s</w:t>
    </w:r>
    <w:r w:rsidR="00F808C8">
      <w:rPr>
        <w:spacing w:val="-6"/>
      </w:rPr>
      <w:t xml:space="preserve"> </w:t>
    </w:r>
    <w:r w:rsidR="00F808C8">
      <w:t>Eighth</w:t>
    </w:r>
    <w:r w:rsidR="00F808C8">
      <w:rPr>
        <w:spacing w:val="-6"/>
      </w:rPr>
      <w:t xml:space="preserve"> </w:t>
    </w:r>
    <w:r w:rsidR="00F808C8">
      <w:t>National</w:t>
    </w:r>
    <w:r w:rsidR="00F808C8">
      <w:rPr>
        <w:spacing w:val="-6"/>
      </w:rPr>
      <w:t xml:space="preserve"> </w:t>
    </w:r>
    <w:r w:rsidR="00F808C8">
      <w:rPr>
        <w:spacing w:val="-2"/>
      </w:rPr>
      <w:t>Communication</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DF6D6" w14:textId="3DCB1971" w:rsidR="00E453AB" w:rsidRDefault="00E5210B" w:rsidP="00CD25E1">
    <w:pPr>
      <w:pStyle w:val="Footerodd"/>
    </w:pPr>
    <w:r>
      <w:tab/>
    </w:r>
    <w:r w:rsidR="009B5BB9">
      <w:t xml:space="preserve">5: </w:t>
    </w:r>
    <w:r w:rsidR="00F14137">
      <w:t>Projections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E131E" w14:textId="38DC0F9B" w:rsidR="00CD0E2F" w:rsidRDefault="00E5210B" w:rsidP="004C74B6">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856525">
      <w:t>New</w:t>
    </w:r>
    <w:r w:rsidR="00856525">
      <w:rPr>
        <w:spacing w:val="-6"/>
      </w:rPr>
      <w:t xml:space="preserve"> </w:t>
    </w:r>
    <w:r w:rsidR="00856525">
      <w:t>Zealand’s</w:t>
    </w:r>
    <w:r w:rsidR="00856525">
      <w:rPr>
        <w:spacing w:val="-6"/>
      </w:rPr>
      <w:t xml:space="preserve"> </w:t>
    </w:r>
    <w:r w:rsidR="00856525">
      <w:t>Eighth</w:t>
    </w:r>
    <w:r w:rsidR="00856525">
      <w:rPr>
        <w:spacing w:val="-6"/>
      </w:rPr>
      <w:t xml:space="preserve"> </w:t>
    </w:r>
    <w:r w:rsidR="00856525">
      <w:t>National</w:t>
    </w:r>
    <w:r w:rsidR="00856525">
      <w:rPr>
        <w:spacing w:val="-6"/>
      </w:rPr>
      <w:t xml:space="preserve"> </w:t>
    </w:r>
    <w:r w:rsidR="00856525">
      <w:rPr>
        <w:spacing w:val="-2"/>
      </w:rPr>
      <w:t>Communication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4D89" w14:textId="77777777" w:rsidR="00FC49D2" w:rsidRDefault="00FC49D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EAD35" w14:textId="2B907310" w:rsidR="00CD0E2F" w:rsidRDefault="00E5210B" w:rsidP="004C74B6">
    <w:pPr>
      <w:pStyle w:val="Footerodd"/>
    </w:pPr>
    <w:r>
      <w:tab/>
    </w:r>
    <w:r w:rsidR="006F4F3E">
      <w:t xml:space="preserve">6: </w:t>
    </w:r>
    <w:r w:rsidR="00856525" w:rsidRPr="00853587">
      <w:t>Vulnerability assessment, climate change impacts and adaptation measures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CD34F" w14:textId="76941809" w:rsidR="00B71B4E" w:rsidRDefault="00B71B4E" w:rsidP="00797F67">
    <w:pPr>
      <w:pStyle w:val="Footereven"/>
      <w:tabs>
        <w:tab w:val="left" w:pos="4660"/>
      </w:tabs>
    </w:pPr>
    <w:r w:rsidRPr="004F458A">
      <w:rPr>
        <w:b/>
      </w:rPr>
      <w:fldChar w:fldCharType="begin"/>
    </w:r>
    <w:r w:rsidRPr="004F458A">
      <w:instrText xml:space="preserve"> PAGE </w:instrText>
    </w:r>
    <w:r w:rsidRPr="004F458A">
      <w:rPr>
        <w:b/>
      </w:rPr>
      <w:fldChar w:fldCharType="separate"/>
    </w:r>
    <w:r>
      <w:rPr>
        <w:noProof/>
      </w:rPr>
      <w:t>64</w:t>
    </w:r>
    <w:r w:rsidRPr="004F458A">
      <w:rPr>
        <w:b/>
      </w:rPr>
      <w:fldChar w:fldCharType="end"/>
    </w:r>
    <w:r>
      <w:tab/>
    </w:r>
    <w:r w:rsidR="00856525">
      <w:t>New Zealand’s Eighth National Communication</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42306" w14:textId="64A05776" w:rsidR="00B71B4E" w:rsidRDefault="00B71B4E" w:rsidP="00B314EE">
    <w:pPr>
      <w:pStyle w:val="Footerodd"/>
    </w:pPr>
    <w:r>
      <w:rPr>
        <w:noProof/>
      </w:rPr>
      <w:tab/>
    </w:r>
    <w:r w:rsidR="00BD0E03">
      <w:rPr>
        <w:noProof/>
      </w:rPr>
      <w:t xml:space="preserve">7: </w:t>
    </w:r>
    <w:r w:rsidR="00856525" w:rsidRPr="005A5117">
      <w:t>Financial, technological and capacity-building support</w:t>
    </w:r>
    <w:r>
      <w:tab/>
    </w:r>
    <w:r>
      <w:fldChar w:fldCharType="begin"/>
    </w:r>
    <w:r>
      <w:instrText xml:space="preserve"> PAGE   \* MERGEFORMAT </w:instrText>
    </w:r>
    <w:r>
      <w:fldChar w:fldCharType="separate"/>
    </w:r>
    <w:r>
      <w:t>1</w:t>
    </w:r>
    <w:r>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21E87" w14:textId="2B50EFE9" w:rsidR="00B71B4E" w:rsidRDefault="00B71B4E" w:rsidP="00D56370">
    <w:pPr>
      <w:pStyle w:val="Footerodd"/>
      <w:tabs>
        <w:tab w:val="clear" w:pos="7938"/>
        <w:tab w:val="clear" w:pos="8505"/>
        <w:tab w:val="right" w:pos="13892"/>
        <w:tab w:val="right" w:pos="14459"/>
      </w:tabs>
    </w:pPr>
    <w:r>
      <w:rPr>
        <w:noProof/>
      </w:rPr>
      <w:tab/>
    </w:r>
    <w:r w:rsidR="00AF6452">
      <w:rPr>
        <w:noProof/>
      </w:rPr>
      <w:t xml:space="preserve">7: </w:t>
    </w:r>
    <w:r w:rsidR="00B83EF6" w:rsidRPr="005A5117">
      <w:t>Financial, technological and capacity-building support</w:t>
    </w:r>
    <w:r>
      <w:tab/>
    </w:r>
    <w:r>
      <w:fldChar w:fldCharType="begin"/>
    </w:r>
    <w:r>
      <w:instrText xml:space="preserve"> PAGE   \* MERGEFORMAT </w:instrText>
    </w:r>
    <w:r>
      <w:fldChar w:fldCharType="separate"/>
    </w:r>
    <w:r>
      <w:t>1</w:t>
    </w:r>
    <w:r>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068C6" w14:textId="722B1F6C" w:rsidR="00B71B4E" w:rsidRDefault="00B71B4E" w:rsidP="00780395">
    <w:pPr>
      <w:pStyle w:val="Footerodd"/>
    </w:pPr>
    <w:r>
      <w:rPr>
        <w:noProof/>
      </w:rPr>
      <w:tab/>
    </w:r>
    <w:r w:rsidR="00AF6452">
      <w:rPr>
        <w:noProof/>
      </w:rPr>
      <w:t xml:space="preserve">7: </w:t>
    </w:r>
    <w:r w:rsidR="00C42761" w:rsidRPr="005A5117">
      <w:t>Financial, technological and capacity-building support</w:t>
    </w:r>
    <w:r>
      <w:tab/>
    </w:r>
    <w:r>
      <w:fldChar w:fldCharType="begin"/>
    </w:r>
    <w:r>
      <w:instrText xml:space="preserve"> PAGE   \* MERGEFORMAT </w:instrText>
    </w:r>
    <w:r>
      <w:fldChar w:fldCharType="separate"/>
    </w:r>
    <w:r>
      <w:t>1</w:t>
    </w:r>
    <w:r>
      <w:rPr>
        <w:noProo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DB2B2" w14:textId="570AD83E" w:rsidR="00B71B4E" w:rsidRDefault="00B71B4E" w:rsidP="00F84CD1">
    <w:pPr>
      <w:pStyle w:val="Footerodd"/>
      <w:tabs>
        <w:tab w:val="clear" w:pos="7938"/>
        <w:tab w:val="clear" w:pos="8505"/>
        <w:tab w:val="left" w:pos="10406"/>
        <w:tab w:val="right" w:pos="13948"/>
        <w:tab w:val="right" w:pos="14515"/>
      </w:tabs>
    </w:pPr>
    <w:r>
      <w:rPr>
        <w:noProof/>
      </w:rPr>
      <w:tab/>
    </w:r>
    <w:r w:rsidR="00F84CD1">
      <w:rPr>
        <w:noProof/>
      </w:rPr>
      <w:t xml:space="preserve">7: </w:t>
    </w:r>
    <w:r w:rsidR="00F84CD1">
      <w:rPr>
        <w:noProof/>
      </w:rPr>
      <w:tab/>
    </w:r>
    <w:r w:rsidR="00C42761" w:rsidRPr="005A5117">
      <w:t>Financial, technological and capacity-building support</w:t>
    </w:r>
    <w:r>
      <w:tab/>
    </w:r>
    <w:r>
      <w:fldChar w:fldCharType="begin"/>
    </w:r>
    <w:r>
      <w:instrText xml:space="preserve"> PAGE   \* MERGEFORMAT </w:instrText>
    </w:r>
    <w:r>
      <w:fldChar w:fldCharType="separate"/>
    </w:r>
    <w:r>
      <w:t>1</w:t>
    </w:r>
    <w:r>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B498" w14:textId="77777777"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E97EE5" w:rsidRPr="00E25201">
      <w:t>Financial, technological and capacity-building support</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A92A" w14:textId="6A746B81" w:rsidR="00E453AB" w:rsidRDefault="00E5210B" w:rsidP="00CD25E1">
    <w:pPr>
      <w:pStyle w:val="Footerodd"/>
    </w:pPr>
    <w:r>
      <w:tab/>
    </w:r>
    <w:r w:rsidR="00F84CD1">
      <w:t xml:space="preserve">7: </w:t>
    </w:r>
    <w:r w:rsidR="00BD2179" w:rsidRPr="005A5117">
      <w:t>Financial, technological and capacity-building support</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9F19" w14:textId="7CEC910E"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E97EE5">
      <w:rPr>
        <w:noProof/>
      </w:rPr>
      <w:t>8</w:t>
    </w:r>
    <w:r w:rsidRPr="004F458A">
      <w:rPr>
        <w:b/>
      </w:rPr>
      <w:fldChar w:fldCharType="end"/>
    </w:r>
    <w:r>
      <w:tab/>
    </w:r>
    <w:r w:rsidR="006D76B5">
      <w:t>New Zealand’s Eighth National Communication</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C34FA" w14:textId="7B65CD68" w:rsidR="00E453AB" w:rsidRDefault="00E5210B" w:rsidP="00CD25E1">
    <w:pPr>
      <w:pStyle w:val="Footerodd"/>
    </w:pPr>
    <w:r>
      <w:tab/>
    </w:r>
    <w:r w:rsidR="00350CE8">
      <w:t xml:space="preserve">8: </w:t>
    </w:r>
    <w:r w:rsidR="00856525" w:rsidRPr="00B36F5B">
      <w:t>Research and systematic observations</w:t>
    </w:r>
    <w:r>
      <w:tab/>
    </w:r>
    <w:r w:rsidR="008540A6">
      <w:fldChar w:fldCharType="begin"/>
    </w:r>
    <w:r w:rsidR="008540A6">
      <w:instrText xml:space="preserve"> PAGE   \* MERGEFORMAT </w:instrText>
    </w:r>
    <w:r w:rsidR="008540A6">
      <w:fldChar w:fldCharType="separate"/>
    </w:r>
    <w:r w:rsidR="00E97EE5">
      <w:rPr>
        <w:noProof/>
      </w:rPr>
      <w:t>7</w:t>
    </w:r>
    <w:r w:rsidR="008540A6">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9B9A4" w14:textId="77777777" w:rsidR="00987F0B" w:rsidRDefault="00987F0B" w:rsidP="00E65427">
    <w:pPr>
      <w:spacing w:before="240" w:after="0" w:line="240" w:lineRule="auto"/>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C8AD" w14:textId="07254A98"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6D76B5" w:rsidRPr="00D13DC8">
      <w:t>New Zealand’s Eighth National Communication</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60DA2" w14:textId="14F6C5BD" w:rsidR="00E453AB" w:rsidRDefault="00E5210B" w:rsidP="00CD25E1">
    <w:pPr>
      <w:pStyle w:val="Footerodd"/>
    </w:pPr>
    <w:r>
      <w:tab/>
    </w:r>
    <w:r w:rsidR="008D7359">
      <w:t xml:space="preserve">9: </w:t>
    </w:r>
    <w:r w:rsidR="006D76B5" w:rsidRPr="005636A3">
      <w:t>Education, training and public</w:t>
    </w:r>
    <w:r w:rsidR="006D76B5">
      <w:t> </w:t>
    </w:r>
    <w:r w:rsidR="006D76B5" w:rsidRPr="005636A3">
      <w:t>awareness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2128E" w14:textId="77C584EA" w:rsidR="00184956" w:rsidRDefault="00184956" w:rsidP="00184956">
    <w:pPr>
      <w:pStyle w:val="Footerodd"/>
      <w:tabs>
        <w:tab w:val="clear" w:pos="7938"/>
        <w:tab w:val="clear" w:pos="8505"/>
        <w:tab w:val="right" w:pos="13948"/>
        <w:tab w:val="right" w:pos="14515"/>
      </w:tabs>
    </w:pPr>
    <w:r>
      <w:tab/>
    </w:r>
    <w:r w:rsidR="006D76B5">
      <w:t>Appendix A</w:t>
    </w:r>
    <w:r w:rsidR="00121CDA">
      <w:t>:</w:t>
    </w:r>
    <w:r w:rsidR="00121CDA" w:rsidRPr="00121CDA">
      <w:t xml:space="preserve"> </w:t>
    </w:r>
    <w:r w:rsidR="00121CDA">
      <w:t xml:space="preserve">Summary of </w:t>
    </w:r>
    <w:r w:rsidR="00121CDA" w:rsidRPr="00B53880">
      <w:t>emissions</w:t>
    </w:r>
    <w:r w:rsidR="00121CDA">
      <w:t xml:space="preserve"> and removals</w:t>
    </w:r>
    <w:r>
      <w:tab/>
    </w:r>
    <w:r>
      <w:fldChar w:fldCharType="begin"/>
    </w:r>
    <w:r>
      <w:instrText xml:space="preserve"> PAGE   \* MERGEFORMAT </w:instrText>
    </w:r>
    <w:r>
      <w:fldChar w:fldCharType="separate"/>
    </w:r>
    <w:r>
      <w:rPr>
        <w:noProof/>
      </w:rPr>
      <w:t>7</w:t>
    </w:r>
    <w:r>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556D7" w14:textId="4DD73FD5"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00E326AD" w:rsidRPr="00D13DC8">
      <w:t>New Zealand’s Eighth National Communication</w:t>
    </w:r>
    <w:r w:rsidR="00E326AD" w:rsidRPr="006F1A9D">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1D3E8" w14:textId="20CA28EF" w:rsidR="00E453AB" w:rsidRDefault="00E5210B" w:rsidP="00B24EC0">
    <w:pPr>
      <w:pStyle w:val="Footerodd"/>
    </w:pPr>
    <w:r>
      <w:tab/>
    </w:r>
    <w:r w:rsidR="00441E01" w:rsidRPr="006F1A9D">
      <w:t>A</w:t>
    </w:r>
    <w:r w:rsidR="00145B2B">
      <w:t>ppendix</w:t>
    </w:r>
    <w:r w:rsidR="00441E01" w:rsidRPr="006F1A9D">
      <w:t xml:space="preserve"> B: Supplementary information under Article 7.2 of the Kyoto Protocol</w:t>
    </w:r>
    <w:r w:rsidRPr="006112E3">
      <w:tab/>
    </w:r>
    <w:r w:rsidR="008540A6" w:rsidRPr="006112E3">
      <w:fldChar w:fldCharType="begin"/>
    </w:r>
    <w:r w:rsidR="008540A6" w:rsidRPr="006112E3">
      <w:instrText xml:space="preserve"> PAGE   \* MERGEFORMAT </w:instrText>
    </w:r>
    <w:r w:rsidR="008540A6" w:rsidRPr="006112E3">
      <w:fldChar w:fldCharType="separate"/>
    </w:r>
    <w:r w:rsidRPr="006112E3">
      <w:rPr>
        <w:noProof/>
      </w:rPr>
      <w:t>7</w:t>
    </w:r>
    <w:r w:rsidR="008540A6" w:rsidRPr="006112E3">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7CBBC" w14:textId="07BFB2EC" w:rsidR="0034377F" w:rsidRDefault="0034377F"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00441E01" w:rsidRPr="006112E3">
      <w:t>New Zealand’s Eighth National Communication</w:t>
    </w:r>
    <w:r w:rsidR="00441E01" w:rsidRPr="006F1A9D">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E8900" w14:textId="0CFD5670" w:rsidR="0022392B" w:rsidRDefault="0022392B" w:rsidP="0022392B">
    <w:pPr>
      <w:pStyle w:val="Footerodd"/>
      <w:tabs>
        <w:tab w:val="clear" w:pos="7938"/>
        <w:tab w:val="clear" w:pos="8505"/>
        <w:tab w:val="right" w:pos="13948"/>
        <w:tab w:val="right" w:pos="14515"/>
      </w:tabs>
    </w:pPr>
    <w:r>
      <w:tab/>
    </w:r>
    <w:r w:rsidRPr="00362D9F">
      <w:t>Appendix C: Supplementary material for emissions</w:t>
    </w:r>
    <w:r>
      <w:t> </w:t>
    </w:r>
    <w:r w:rsidRPr="00362D9F">
      <w:t>projections</w:t>
    </w:r>
    <w:r w:rsidRPr="006112E3">
      <w:tab/>
    </w:r>
    <w:r w:rsidRPr="006112E3">
      <w:fldChar w:fldCharType="begin"/>
    </w:r>
    <w:r w:rsidRPr="006112E3">
      <w:instrText xml:space="preserve"> PAGE   \* MERGEFORMAT </w:instrText>
    </w:r>
    <w:r w:rsidRPr="006112E3">
      <w:fldChar w:fldCharType="separate"/>
    </w:r>
    <w:r w:rsidRPr="006112E3">
      <w:rPr>
        <w:noProof/>
      </w:rPr>
      <w:t>7</w:t>
    </w:r>
    <w:r w:rsidRPr="006112E3">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08F52" w14:textId="77777777"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t xml:space="preserve">New Zealand’s </w:t>
    </w:r>
    <w:r w:rsidRPr="009636DE">
      <w:t>Eighth National Communication</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CDE7" w14:textId="0E7637DB" w:rsidR="00E453AB" w:rsidRDefault="00E5210B" w:rsidP="00CD25E1">
    <w:pPr>
      <w:pStyle w:val="Footerodd"/>
    </w:pPr>
    <w:r>
      <w:tab/>
    </w:r>
    <w:r w:rsidRPr="00FD115F">
      <w:t>A</w:t>
    </w:r>
    <w:r w:rsidR="00FA1C32">
      <w:t xml:space="preserve">ppendix </w:t>
    </w:r>
    <w:r w:rsidRPr="00FD115F">
      <w:t>D: New Zealand’s report on the Global Climate Observing System</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5FE1D" w14:textId="77777777" w:rsidR="00987F0B" w:rsidRDefault="00987F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4D0B0" w14:textId="3BD8DC61" w:rsidR="00987F0B" w:rsidRDefault="00987F0B"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00895986" w:rsidRPr="008D1077">
      <w:t>New Zealand’s Eighth National Communication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8EFC" w14:textId="77777777" w:rsidR="00987F0B" w:rsidRDefault="00987F0B" w:rsidP="00CD25E1">
    <w:pPr>
      <w:pStyle w:val="Footerodd"/>
    </w:pPr>
    <w:r>
      <w:tab/>
    </w:r>
    <w:r w:rsidRPr="008D1077">
      <w:t>New Zealand’s Eighth National Communication</w:t>
    </w:r>
    <w:r>
      <w:tab/>
    </w:r>
    <w:r>
      <w:fldChar w:fldCharType="begin"/>
    </w:r>
    <w:r>
      <w:instrText xml:space="preserve"> PAGE   \* MERGEFORMAT </w:instrText>
    </w:r>
    <w:r>
      <w:fldChar w:fldCharType="separate"/>
    </w:r>
    <w:r>
      <w:rPr>
        <w:noProof/>
      </w:rPr>
      <w:t>7</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8C9C" w14:textId="34B8A67E" w:rsidR="0069670D" w:rsidRDefault="0069670D"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001F1B3B" w:rsidRPr="008D1077">
      <w:t>New Zealand’s Eighth National Communication</w:t>
    </w:r>
    <w:r w:rsidR="001F1B3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DAE03" w14:textId="2CBE3FFB" w:rsidR="001F1B3B" w:rsidRDefault="001F1B3B" w:rsidP="00CD25E1">
    <w:pPr>
      <w:pStyle w:val="Footerodd"/>
    </w:pPr>
    <w:r>
      <w:tab/>
    </w:r>
    <w:r w:rsidR="00895986">
      <w:t>Contents</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EFF5C" w14:textId="77777777" w:rsidR="008963CA" w:rsidRDefault="008963CA" w:rsidP="00CB5C5F">
      <w:pPr>
        <w:spacing w:before="0" w:after="80" w:line="240" w:lineRule="auto"/>
      </w:pPr>
      <w:r>
        <w:separator/>
      </w:r>
    </w:p>
  </w:footnote>
  <w:footnote w:type="continuationSeparator" w:id="0">
    <w:p w14:paraId="0B3CF100" w14:textId="77777777" w:rsidR="008963CA" w:rsidRDefault="008963CA" w:rsidP="0080531E">
      <w:pPr>
        <w:spacing w:before="0" w:after="0" w:line="240" w:lineRule="auto"/>
      </w:pPr>
      <w:r>
        <w:continuationSeparator/>
      </w:r>
    </w:p>
    <w:p w14:paraId="3BF64D24" w14:textId="77777777" w:rsidR="008963CA" w:rsidRDefault="008963CA"/>
  </w:footnote>
  <w:footnote w:id="1">
    <w:p w14:paraId="0644467C" w14:textId="77777777" w:rsidR="00236185" w:rsidRPr="004B0728" w:rsidRDefault="00236185" w:rsidP="004566F8">
      <w:pPr>
        <w:pStyle w:val="FootnoteText"/>
      </w:pPr>
      <w:r>
        <w:rPr>
          <w:rStyle w:val="FootnoteReference"/>
        </w:rPr>
        <w:footnoteRef/>
      </w:r>
      <w:r>
        <w:tab/>
      </w:r>
      <w:hyperlink r:id="rId1" w:history="1">
        <w:r w:rsidRPr="007629AF">
          <w:rPr>
            <w:rStyle w:val="Hyperlink"/>
          </w:rPr>
          <w:t>www.legislation.govt.nz/act/public/2002/0040/latest/whole.html - LMS282014</w:t>
        </w:r>
      </w:hyperlink>
      <w:r>
        <w:t>.</w:t>
      </w:r>
    </w:p>
  </w:footnote>
  <w:footnote w:id="2">
    <w:p w14:paraId="0450C0DE" w14:textId="77777777" w:rsidR="00236185" w:rsidRDefault="00236185" w:rsidP="004566F8">
      <w:pPr>
        <w:pStyle w:val="FootnoteText"/>
      </w:pPr>
      <w:r>
        <w:rPr>
          <w:rStyle w:val="FootnoteReference"/>
        </w:rPr>
        <w:footnoteRef/>
      </w:r>
      <w:r>
        <w:tab/>
        <w:t xml:space="preserve">Ministry for the Environment. 2022. </w:t>
      </w:r>
      <w:r w:rsidRPr="00745BC3">
        <w:rPr>
          <w:i/>
          <w:iCs/>
        </w:rPr>
        <w:t>New Zealand’s Greenhouse Gas Inventory 1990–20</w:t>
      </w:r>
      <w:r>
        <w:rPr>
          <w:i/>
          <w:iCs/>
        </w:rPr>
        <w:t>20</w:t>
      </w:r>
      <w:r>
        <w:t xml:space="preserve">. Wellington: Ministry for the Environment. Retrieved from </w:t>
      </w:r>
      <w:hyperlink r:id="rId2" w:history="1">
        <w:r w:rsidRPr="00FC449D">
          <w:rPr>
            <w:rStyle w:val="Hyperlink"/>
          </w:rPr>
          <w:t>https://environment.govt.nz/publications/new-zealands-greenhouse-gas-inventory-1990-2020/</w:t>
        </w:r>
      </w:hyperlink>
      <w:r>
        <w:t xml:space="preserve"> (17 November 2022).</w:t>
      </w:r>
    </w:p>
  </w:footnote>
  <w:footnote w:id="3">
    <w:p w14:paraId="2903B282" w14:textId="77777777" w:rsidR="00236185" w:rsidRPr="00327136" w:rsidRDefault="00236185" w:rsidP="004566F8">
      <w:pPr>
        <w:pStyle w:val="FootnoteText"/>
      </w:pPr>
      <w:r>
        <w:rPr>
          <w:rStyle w:val="FootnoteReference"/>
        </w:rPr>
        <w:footnoteRef/>
      </w:r>
      <w:r>
        <w:tab/>
        <w:t>Lefale PF, Faiva P, Anderson CL. 2017.</w:t>
      </w:r>
      <w:r w:rsidRPr="007947ED">
        <w:t xml:space="preserve"> </w:t>
      </w:r>
      <w:r w:rsidRPr="00974986">
        <w:t xml:space="preserve">Living with Change (LivC): An </w:t>
      </w:r>
      <w:r w:rsidRPr="007947ED">
        <w:t>integrated national strategy for enhancing the resili</w:t>
      </w:r>
      <w:r w:rsidRPr="00974986">
        <w:t>ence of Tokelau to</w:t>
      </w:r>
      <w:r w:rsidRPr="007947ED">
        <w:t xml:space="preserve"> climate change and related h</w:t>
      </w:r>
      <w:r w:rsidRPr="00974986">
        <w:t>azards, 2017</w:t>
      </w:r>
      <w:r>
        <w:t>–</w:t>
      </w:r>
      <w:r w:rsidRPr="00974986">
        <w:t>2030</w:t>
      </w:r>
      <w:r>
        <w:t xml:space="preserve">. Wellington: Government of Tokelau and LeA International Consultants, Ltd. Retrieved from </w:t>
      </w:r>
      <w:hyperlink r:id="rId3" w:history="1">
        <w:r w:rsidRPr="00327136">
          <w:rPr>
            <w:rStyle w:val="Hyperlink"/>
          </w:rPr>
          <w:t>www.tokelau.org.nz/site/tokelau/files/ClimateChange/LivCStrategy_web-2.pdf</w:t>
        </w:r>
      </w:hyperlink>
      <w:r>
        <w:t xml:space="preserve"> (17 November 2022).</w:t>
      </w:r>
    </w:p>
  </w:footnote>
  <w:footnote w:id="4">
    <w:p w14:paraId="0DE3DF00" w14:textId="77777777" w:rsidR="00236185" w:rsidRDefault="00236185" w:rsidP="004566F8">
      <w:pPr>
        <w:pStyle w:val="FootnoteText"/>
      </w:pPr>
      <w:r>
        <w:rPr>
          <w:rStyle w:val="FootnoteReference"/>
        </w:rPr>
        <w:footnoteRef/>
      </w:r>
      <w:r>
        <w:tab/>
        <w:t xml:space="preserve">Ministry for the Environment. 2022. </w:t>
      </w:r>
      <w:r w:rsidRPr="007B020B">
        <w:t>Te hau mārohi ki anamata</w:t>
      </w:r>
      <w:r>
        <w:t xml:space="preserve"> –</w:t>
      </w:r>
      <w:r w:rsidRPr="007B020B">
        <w:t xml:space="preserve"> Towards a productive, sustainable and inclusive economy: Aotearoa New Zealand’s first emissions reduction plan</w:t>
      </w:r>
      <w:r>
        <w:t xml:space="preserve">. Wellington: Ministry for the Environment. Retrieved from </w:t>
      </w:r>
      <w:hyperlink r:id="rId4" w:history="1">
        <w:r w:rsidRPr="00BD091E">
          <w:rPr>
            <w:rStyle w:val="Hyperlink"/>
          </w:rPr>
          <w:t>https://environment.govt.nz/publications/aotearoa-new-zealands-first-emissions-reduction-plan/</w:t>
        </w:r>
      </w:hyperlink>
      <w:r>
        <w:t xml:space="preserve"> (17 November 2022).</w:t>
      </w:r>
    </w:p>
  </w:footnote>
  <w:footnote w:id="5">
    <w:p w14:paraId="79EEB832" w14:textId="77777777" w:rsidR="00236185" w:rsidRDefault="00236185" w:rsidP="004566F8">
      <w:pPr>
        <w:pStyle w:val="FootnoteText"/>
      </w:pPr>
      <w:r>
        <w:rPr>
          <w:rStyle w:val="FootnoteReference"/>
        </w:rPr>
        <w:footnoteRef/>
      </w:r>
      <w:r>
        <w:t xml:space="preserve"> </w:t>
      </w:r>
      <w:r>
        <w:tab/>
        <w:t xml:space="preserve">Ministry for the Environment. 2022. </w:t>
      </w:r>
      <w:r w:rsidRPr="007B020B">
        <w:t>Urutau, ka taurikura: Kia tū pakari a Aotearoa i ngā huringa āhuarangi</w:t>
      </w:r>
      <w:r>
        <w:t xml:space="preserve"> –</w:t>
      </w:r>
      <w:r w:rsidRPr="007B020B">
        <w:t xml:space="preserve"> Adapt and thrive: Building a climate-resilient New Zealand – New Zealand's first national adaptation plan</w:t>
      </w:r>
      <w:r>
        <w:t xml:space="preserve">. Retrieved from </w:t>
      </w:r>
      <w:hyperlink r:id="rId5" w:history="1">
        <w:r>
          <w:rPr>
            <w:rStyle w:val="Hyperlink"/>
          </w:rPr>
          <w:t>https://environment.govt.nz/publications/aotearoa-new-zealands-first-national-adaptation-plan/</w:t>
        </w:r>
      </w:hyperlink>
      <w:r>
        <w:t xml:space="preserve"> (17 November 2022).</w:t>
      </w:r>
    </w:p>
  </w:footnote>
  <w:footnote w:id="6">
    <w:p w14:paraId="561D5504" w14:textId="77777777" w:rsidR="00236185" w:rsidRDefault="00236185" w:rsidP="004566F8">
      <w:pPr>
        <w:pStyle w:val="FootnoteText"/>
      </w:pPr>
      <w:r>
        <w:rPr>
          <w:rStyle w:val="FootnoteReference"/>
        </w:rPr>
        <w:footnoteRef/>
      </w:r>
      <w:r>
        <w:tab/>
        <w:t>New Zealand’s previous NDC1 target (submitted upon ratification of the Paris Agreement) was to reduce greenhouse gas emissions to 30 per cent below 2005 levels by 2030.</w:t>
      </w:r>
    </w:p>
  </w:footnote>
  <w:footnote w:id="7">
    <w:p w14:paraId="3E536839" w14:textId="77777777" w:rsidR="00236185" w:rsidRPr="00C443AA" w:rsidRDefault="00236185" w:rsidP="004566F8">
      <w:pPr>
        <w:pStyle w:val="FootnoteText"/>
      </w:pPr>
      <w:r w:rsidRPr="00C443AA">
        <w:rPr>
          <w:rStyle w:val="FootnoteReference"/>
        </w:rPr>
        <w:footnoteRef/>
      </w:r>
      <w:r>
        <w:tab/>
      </w:r>
      <w:r w:rsidRPr="00C443AA">
        <w:t>The</w:t>
      </w:r>
      <w:r>
        <w:t xml:space="preserve"> </w:t>
      </w:r>
      <w:r w:rsidRPr="00C443AA">
        <w:t>headline number for New Zealand’s NDC1 is expressed as a ‘point-year target’ for 2030.</w:t>
      </w:r>
      <w:r>
        <w:t xml:space="preserve"> </w:t>
      </w:r>
      <w:r w:rsidRPr="00C443AA">
        <w:t>This approach</w:t>
      </w:r>
      <w:r>
        <w:t> </w:t>
      </w:r>
      <w:r w:rsidRPr="00C443AA">
        <w:t>matches</w:t>
      </w:r>
      <w:r>
        <w:t xml:space="preserve"> </w:t>
      </w:r>
      <w:r w:rsidRPr="00C443AA">
        <w:t>most other countries</w:t>
      </w:r>
      <w:r>
        <w:t xml:space="preserve"> </w:t>
      </w:r>
      <w:r w:rsidRPr="00C443AA">
        <w:t>and</w:t>
      </w:r>
      <w:r>
        <w:t xml:space="preserve"> </w:t>
      </w:r>
      <w:r w:rsidRPr="00C443AA">
        <w:t>assists with transparency and comparability.</w:t>
      </w:r>
      <w:r>
        <w:t xml:space="preserve"> </w:t>
      </w:r>
      <w:r w:rsidRPr="00C443AA">
        <w:t>Under an ‘emissions budget’ approach it equates to a 41 per cent net reduction on 2005 gross emissions by 2030. The two approaches</w:t>
      </w:r>
      <w:r>
        <w:t xml:space="preserve"> </w:t>
      </w:r>
      <w:r w:rsidRPr="00C443AA">
        <w:t>are</w:t>
      </w:r>
      <w:r>
        <w:t xml:space="preserve"> </w:t>
      </w:r>
      <w:r w:rsidRPr="00C443AA">
        <w:t>therefore</w:t>
      </w:r>
      <w:r>
        <w:t xml:space="preserve"> </w:t>
      </w:r>
      <w:r w:rsidRPr="00C443AA">
        <w:t>different ways of expressing</w:t>
      </w:r>
      <w:r>
        <w:t xml:space="preserve"> </w:t>
      </w:r>
      <w:r w:rsidRPr="00C443AA">
        <w:t>the same level of ambition.</w:t>
      </w:r>
    </w:p>
  </w:footnote>
  <w:footnote w:id="8">
    <w:p w14:paraId="20D23085" w14:textId="77777777" w:rsidR="00236185" w:rsidRPr="00012908" w:rsidRDefault="00236185" w:rsidP="004566F8">
      <w:pPr>
        <w:pStyle w:val="FootnoteText"/>
      </w:pPr>
      <w:r>
        <w:rPr>
          <w:rStyle w:val="FootnoteReference"/>
        </w:rPr>
        <w:footnoteRef/>
      </w:r>
      <w:r>
        <w:tab/>
      </w:r>
      <w:hyperlink r:id="rId6" w:history="1">
        <w:r w:rsidRPr="00012908">
          <w:rPr>
            <w:rStyle w:val="Hyperlink"/>
          </w:rPr>
          <w:t>https://hewakaekenoa.nz/</w:t>
        </w:r>
      </w:hyperlink>
      <w:r>
        <w:t>.</w:t>
      </w:r>
    </w:p>
  </w:footnote>
  <w:footnote w:id="9">
    <w:p w14:paraId="3A9C21AD" w14:textId="77777777" w:rsidR="00236185" w:rsidRPr="00012908" w:rsidRDefault="00236185" w:rsidP="004566F8">
      <w:pPr>
        <w:pStyle w:val="FootnoteText"/>
      </w:pPr>
      <w:r>
        <w:rPr>
          <w:rStyle w:val="FootnoteReference"/>
        </w:rPr>
        <w:footnoteRef/>
      </w:r>
      <w:r>
        <w:tab/>
      </w:r>
      <w:hyperlink r:id="rId7" w:history="1">
        <w:r w:rsidRPr="00012908">
          <w:rPr>
            <w:rStyle w:val="Hyperlink"/>
          </w:rPr>
          <w:t>www.mpi.govt.nz/funding-rural-support/environment-and-natural-resources/centre-for-climate-action-on-agricultural-emissions/</w:t>
        </w:r>
      </w:hyperlink>
      <w:r>
        <w:t>.</w:t>
      </w:r>
    </w:p>
  </w:footnote>
  <w:footnote w:id="10">
    <w:p w14:paraId="12C4CF01" w14:textId="77777777" w:rsidR="00236185" w:rsidRPr="007759D9" w:rsidRDefault="00236185" w:rsidP="004566F8">
      <w:pPr>
        <w:pStyle w:val="FootnoteText"/>
      </w:pPr>
      <w:r>
        <w:rPr>
          <w:rStyle w:val="FootnoteReference"/>
        </w:rPr>
        <w:footnoteRef/>
      </w:r>
      <w:r>
        <w:tab/>
        <w:t xml:space="preserve">Ministry for the Environment. 2019. </w:t>
      </w:r>
      <w:r>
        <w:rPr>
          <w:i/>
          <w:iCs/>
        </w:rPr>
        <w:t xml:space="preserve">Arotakenga Huringa Āhuarangi: A framework for </w:t>
      </w:r>
      <w:r>
        <w:t xml:space="preserve">the </w:t>
      </w:r>
      <w:r>
        <w:rPr>
          <w:i/>
          <w:iCs/>
        </w:rPr>
        <w:t>National Climate Change Risk Assessment for Aotearoa New Zealand</w:t>
      </w:r>
      <w:r>
        <w:t xml:space="preserve">. Wellington: Ministry for the Environment. Retrieved from </w:t>
      </w:r>
      <w:hyperlink r:id="rId8" w:history="1">
        <w:r w:rsidRPr="00012908">
          <w:rPr>
            <w:rStyle w:val="Hyperlink"/>
          </w:rPr>
          <w:t>https://environment.govt.nz/publications/arotakenga-huringa-ahuarangi-a-framework-for-the-national-climate-change-risk-assessment-for-aotearoa-new-zealand/</w:t>
        </w:r>
      </w:hyperlink>
      <w:r>
        <w:t xml:space="preserve"> (17 November 2022).</w:t>
      </w:r>
    </w:p>
  </w:footnote>
  <w:footnote w:id="11">
    <w:p w14:paraId="23461515" w14:textId="77777777" w:rsidR="00236185" w:rsidRPr="003149E0" w:rsidRDefault="00236185" w:rsidP="004566F8">
      <w:pPr>
        <w:pStyle w:val="FootnoteText"/>
      </w:pPr>
      <w:r>
        <w:rPr>
          <w:rStyle w:val="FootnoteReference"/>
        </w:rPr>
        <w:footnoteRef/>
      </w:r>
      <w:r>
        <w:tab/>
      </w:r>
      <w:hyperlink r:id="rId9" w:history="1">
        <w:r w:rsidRPr="008420C6">
          <w:rPr>
            <w:rStyle w:val="Hyperlink"/>
          </w:rPr>
          <w:t>https://genless.govt.nz/</w:t>
        </w:r>
      </w:hyperlink>
      <w:r>
        <w:t>.</w:t>
      </w:r>
    </w:p>
  </w:footnote>
  <w:footnote w:id="12">
    <w:p w14:paraId="52A3978D" w14:textId="77777777" w:rsidR="00236185" w:rsidRDefault="00236185" w:rsidP="004566F8">
      <w:pPr>
        <w:pStyle w:val="FootnoteText"/>
      </w:pPr>
      <w:r>
        <w:rPr>
          <w:rStyle w:val="FootnoteReference"/>
        </w:rPr>
        <w:footnoteRef/>
      </w:r>
      <w:r>
        <w:tab/>
      </w:r>
      <w:hyperlink r:id="rId10" w:history="1">
        <w:r w:rsidRPr="008420C6">
          <w:rPr>
            <w:rStyle w:val="Hyperlink"/>
          </w:rPr>
          <w:t>https://globalresearchalliance.org/library/nz-grads/</w:t>
        </w:r>
      </w:hyperlink>
      <w:r>
        <w:t>.</w:t>
      </w:r>
    </w:p>
  </w:footnote>
  <w:footnote w:id="13">
    <w:p w14:paraId="29115B1B" w14:textId="77777777" w:rsidR="00FD1D4D" w:rsidRPr="00F60311" w:rsidRDefault="00FD1D4D" w:rsidP="004566F8">
      <w:pPr>
        <w:pStyle w:val="FootnoteText"/>
      </w:pPr>
      <w:r w:rsidRPr="00D07BE0">
        <w:rPr>
          <w:rStyle w:val="FootnoteReference"/>
          <w:rFonts w:eastAsiaTheme="majorEastAsia"/>
          <w:szCs w:val="18"/>
        </w:rPr>
        <w:footnoteRef/>
      </w:r>
      <w:r w:rsidRPr="00D07BE0">
        <w:t xml:space="preserve"> </w:t>
      </w:r>
      <w:r w:rsidRPr="00D07BE0">
        <w:tab/>
      </w:r>
      <w:r>
        <w:t xml:space="preserve">Ministry for the Environment and Stats NZ. 2019. </w:t>
      </w:r>
      <w:r w:rsidRPr="00327F0C">
        <w:rPr>
          <w:i/>
          <w:iCs/>
        </w:rPr>
        <w:t>New Zealand’s Environmental Reporting Series: Our marine environment 2019.</w:t>
      </w:r>
      <w:r>
        <w:rPr>
          <w:i/>
          <w:iCs/>
        </w:rPr>
        <w:t xml:space="preserve"> </w:t>
      </w:r>
      <w:r>
        <w:t>Wellington:</w:t>
      </w:r>
      <w:r w:rsidRPr="00F60311">
        <w:t xml:space="preserve"> </w:t>
      </w:r>
      <w:r>
        <w:t xml:space="preserve">Ministry for the </w:t>
      </w:r>
      <w:r w:rsidRPr="00183CF1">
        <w:t>Environment</w:t>
      </w:r>
      <w:r>
        <w:t xml:space="preserve"> and Stats NZ.</w:t>
      </w:r>
    </w:p>
  </w:footnote>
  <w:footnote w:id="14">
    <w:p w14:paraId="19E0D6AE" w14:textId="77777777" w:rsidR="00FD1D4D" w:rsidRPr="00AD6542" w:rsidRDefault="00FD1D4D" w:rsidP="004566F8">
      <w:pPr>
        <w:pStyle w:val="FootnoteText"/>
        <w:rPr>
          <w:highlight w:val="yellow"/>
        </w:rPr>
      </w:pPr>
      <w:r w:rsidRPr="00D07BE0">
        <w:rPr>
          <w:rStyle w:val="FootnoteReference"/>
          <w:rFonts w:eastAsiaTheme="majorEastAsia"/>
          <w:szCs w:val="18"/>
        </w:rPr>
        <w:footnoteRef/>
      </w:r>
      <w:r w:rsidRPr="00D07BE0">
        <w:t xml:space="preserve"> </w:t>
      </w:r>
      <w:r w:rsidRPr="00D07BE0">
        <w:tab/>
        <w:t>Williams</w:t>
      </w:r>
      <w:r w:rsidRPr="008009D1">
        <w:t xml:space="preserve"> </w:t>
      </w:r>
      <w:r w:rsidRPr="00D07BE0">
        <w:t>PA, Wiser</w:t>
      </w:r>
      <w:r w:rsidRPr="008009D1">
        <w:t xml:space="preserve"> </w:t>
      </w:r>
      <w:r w:rsidRPr="00D07BE0">
        <w:t xml:space="preserve">A, Clarkson B, Stanley MC. 2007. New Zealand’s historically rare terrestrial ecosystems set in a physical and physiognomic framework. </w:t>
      </w:r>
      <w:r w:rsidRPr="00D07BE0">
        <w:rPr>
          <w:i/>
        </w:rPr>
        <w:t>New Zealand Journal of Ecology</w:t>
      </w:r>
      <w:r w:rsidRPr="00D07BE0">
        <w:t xml:space="preserve"> 31(2): 119–128.</w:t>
      </w:r>
    </w:p>
  </w:footnote>
  <w:footnote w:id="15">
    <w:p w14:paraId="619889B5" w14:textId="77777777" w:rsidR="00FD1D4D" w:rsidRPr="00F22AC4" w:rsidRDefault="00FD1D4D" w:rsidP="004566F8">
      <w:pPr>
        <w:pStyle w:val="FootnoteText"/>
      </w:pPr>
      <w:r w:rsidRPr="00F22AC4">
        <w:rPr>
          <w:rStyle w:val="FootnoteReference"/>
          <w:rFonts w:asciiTheme="minorHAnsi" w:hAnsiTheme="minorHAnsi" w:cstheme="minorHAnsi"/>
          <w:szCs w:val="19"/>
        </w:rPr>
        <w:footnoteRef/>
      </w:r>
      <w:r w:rsidRPr="00F22AC4">
        <w:t xml:space="preserve"> </w:t>
      </w:r>
      <w:r>
        <w:tab/>
      </w:r>
      <w:r w:rsidRPr="00B3072A">
        <w:t>Convention</w:t>
      </w:r>
      <w:r w:rsidRPr="00F22AC4">
        <w:t xml:space="preserve"> on Biological Diversity. </w:t>
      </w:r>
      <w:r w:rsidRPr="00F22AC4">
        <w:rPr>
          <w:i/>
          <w:iCs/>
        </w:rPr>
        <w:t xml:space="preserve">New Zealand – Main Details. </w:t>
      </w:r>
      <w:r w:rsidRPr="00F22AC4">
        <w:t xml:space="preserve">Retrieved from </w:t>
      </w:r>
      <w:hyperlink r:id="rId11" w:history="1">
        <w:r w:rsidRPr="007B3E89">
          <w:rPr>
            <w:rStyle w:val="Hyperlink"/>
            <w:rFonts w:asciiTheme="minorHAnsi" w:hAnsiTheme="minorHAnsi" w:cstheme="minorHAnsi"/>
            <w:szCs w:val="19"/>
          </w:rPr>
          <w:t>www.cbd.int/countries/profile/?country=nz</w:t>
        </w:r>
      </w:hyperlink>
      <w:r>
        <w:t>.</w:t>
      </w:r>
    </w:p>
  </w:footnote>
  <w:footnote w:id="16">
    <w:p w14:paraId="33E7BCF2" w14:textId="77777777" w:rsidR="00FD1D4D" w:rsidRPr="00F22AC4" w:rsidRDefault="00FD1D4D" w:rsidP="004566F8">
      <w:pPr>
        <w:pStyle w:val="FootnoteText"/>
        <w:rPr>
          <w:rFonts w:asciiTheme="minorHAnsi" w:hAnsiTheme="minorHAnsi" w:cstheme="minorHAnsi"/>
          <w:szCs w:val="19"/>
        </w:rPr>
      </w:pPr>
      <w:r w:rsidRPr="00F22AC4">
        <w:rPr>
          <w:rStyle w:val="FootnoteReference"/>
          <w:rFonts w:asciiTheme="minorHAnsi" w:eastAsiaTheme="majorEastAsia" w:hAnsiTheme="minorHAnsi" w:cstheme="minorHAnsi"/>
          <w:szCs w:val="19"/>
        </w:rPr>
        <w:footnoteRef/>
      </w:r>
      <w:r w:rsidRPr="00F22AC4">
        <w:rPr>
          <w:rFonts w:asciiTheme="minorHAnsi" w:hAnsiTheme="minorHAnsi" w:cstheme="minorHAnsi"/>
          <w:szCs w:val="19"/>
        </w:rPr>
        <w:t xml:space="preserve"> </w:t>
      </w:r>
      <w:r w:rsidRPr="00F22AC4">
        <w:rPr>
          <w:rFonts w:asciiTheme="minorHAnsi" w:hAnsiTheme="minorHAnsi" w:cstheme="minorHAnsi"/>
          <w:szCs w:val="19"/>
        </w:rPr>
        <w:tab/>
        <w:t xml:space="preserve">Stats NZ. 2022. </w:t>
      </w:r>
      <w:r w:rsidRPr="00F22AC4">
        <w:rPr>
          <w:rFonts w:asciiTheme="minorHAnsi" w:hAnsiTheme="minorHAnsi" w:cstheme="minorHAnsi"/>
          <w:i/>
          <w:szCs w:val="19"/>
        </w:rPr>
        <w:t>Table Reference: DPE055AA.</w:t>
      </w:r>
      <w:r w:rsidRPr="00F22AC4">
        <w:rPr>
          <w:rFonts w:asciiTheme="minorHAnsi" w:hAnsiTheme="minorHAnsi" w:cstheme="minorHAnsi"/>
          <w:szCs w:val="19"/>
        </w:rPr>
        <w:t xml:space="preserve"> </w:t>
      </w:r>
      <w:r w:rsidRPr="00B3072A">
        <w:t>Retrieved</w:t>
      </w:r>
      <w:r w:rsidRPr="00F22AC4">
        <w:rPr>
          <w:rFonts w:asciiTheme="minorHAnsi" w:hAnsiTheme="minorHAnsi" w:cstheme="minorHAnsi"/>
          <w:szCs w:val="19"/>
        </w:rPr>
        <w:t xml:space="preserve"> from</w:t>
      </w:r>
      <w:r w:rsidRPr="00F22AC4">
        <w:rPr>
          <w:rFonts w:asciiTheme="minorHAnsi" w:hAnsiTheme="minorHAnsi" w:cstheme="minorHAnsi"/>
          <w:i/>
          <w:szCs w:val="19"/>
        </w:rPr>
        <w:t xml:space="preserve"> </w:t>
      </w:r>
      <w:hyperlink r:id="rId12" w:history="1">
        <w:r w:rsidRPr="00F22AC4">
          <w:rPr>
            <w:rStyle w:val="Hyperlink"/>
            <w:rFonts w:asciiTheme="minorHAnsi" w:hAnsiTheme="minorHAnsi" w:cstheme="minorHAnsi"/>
            <w:szCs w:val="19"/>
          </w:rPr>
          <w:t>www.stats.govt.nz/infoshare</w:t>
        </w:r>
      </w:hyperlink>
      <w:r w:rsidRPr="00F22AC4">
        <w:rPr>
          <w:rStyle w:val="Hyperlink"/>
          <w:rFonts w:asciiTheme="minorHAnsi" w:hAnsiTheme="minorHAnsi" w:cstheme="minorHAnsi"/>
          <w:szCs w:val="19"/>
        </w:rPr>
        <w:t>.</w:t>
      </w:r>
      <w:r>
        <w:rPr>
          <w:rStyle w:val="Hyperlink"/>
          <w:rFonts w:asciiTheme="minorHAnsi" w:hAnsiTheme="minorHAnsi" w:cstheme="minorHAnsi"/>
          <w:szCs w:val="19"/>
        </w:rPr>
        <w:t xml:space="preserve"> </w:t>
      </w:r>
    </w:p>
  </w:footnote>
  <w:footnote w:id="17">
    <w:p w14:paraId="5C4861BC" w14:textId="77777777" w:rsidR="00FD1D4D" w:rsidRPr="00F22AC4" w:rsidRDefault="00FD1D4D" w:rsidP="004566F8">
      <w:pPr>
        <w:pStyle w:val="FootnoteText"/>
        <w:rPr>
          <w:rFonts w:asciiTheme="minorHAnsi" w:hAnsiTheme="minorHAnsi" w:cstheme="minorHAnsi"/>
          <w:szCs w:val="19"/>
        </w:rPr>
      </w:pPr>
      <w:r w:rsidRPr="00F22AC4">
        <w:rPr>
          <w:rStyle w:val="FootnoteReference"/>
          <w:rFonts w:asciiTheme="minorHAnsi" w:eastAsiaTheme="majorEastAsia" w:hAnsiTheme="minorHAnsi" w:cstheme="minorHAnsi"/>
          <w:szCs w:val="19"/>
        </w:rPr>
        <w:footnoteRef/>
      </w:r>
      <w:r w:rsidRPr="00F22AC4">
        <w:rPr>
          <w:rFonts w:asciiTheme="minorHAnsi" w:hAnsiTheme="minorHAnsi" w:cstheme="minorHAnsi"/>
          <w:szCs w:val="19"/>
        </w:rPr>
        <w:t xml:space="preserve"> </w:t>
      </w:r>
      <w:r w:rsidRPr="00F22AC4">
        <w:rPr>
          <w:rFonts w:asciiTheme="minorHAnsi" w:hAnsiTheme="minorHAnsi" w:cstheme="minorHAnsi"/>
          <w:szCs w:val="19"/>
        </w:rPr>
        <w:tab/>
        <w:t>Stats NZ. 202</w:t>
      </w:r>
      <w:r>
        <w:rPr>
          <w:rFonts w:asciiTheme="minorHAnsi" w:hAnsiTheme="minorHAnsi" w:cstheme="minorHAnsi"/>
          <w:szCs w:val="19"/>
        </w:rPr>
        <w:t>1</w:t>
      </w:r>
      <w:r w:rsidRPr="00F22AC4">
        <w:rPr>
          <w:rFonts w:asciiTheme="minorHAnsi" w:hAnsiTheme="minorHAnsi" w:cstheme="minorHAnsi"/>
          <w:szCs w:val="19"/>
        </w:rPr>
        <w:t xml:space="preserve">. </w:t>
      </w:r>
      <w:r w:rsidRPr="00F22AC4">
        <w:rPr>
          <w:rFonts w:asciiTheme="minorHAnsi" w:hAnsiTheme="minorHAnsi" w:cstheme="minorHAnsi"/>
          <w:i/>
          <w:szCs w:val="19"/>
        </w:rPr>
        <w:t>Table Reference: DPE051AA.</w:t>
      </w:r>
      <w:r w:rsidRPr="00F22AC4">
        <w:rPr>
          <w:rFonts w:asciiTheme="minorHAnsi" w:hAnsiTheme="minorHAnsi" w:cstheme="minorHAnsi"/>
          <w:szCs w:val="19"/>
        </w:rPr>
        <w:t xml:space="preserve"> </w:t>
      </w:r>
      <w:r w:rsidRPr="00B3072A">
        <w:t>Retrieved</w:t>
      </w:r>
      <w:r w:rsidRPr="00F22AC4">
        <w:rPr>
          <w:rFonts w:asciiTheme="minorHAnsi" w:hAnsiTheme="minorHAnsi" w:cstheme="minorHAnsi"/>
          <w:szCs w:val="19"/>
        </w:rPr>
        <w:t xml:space="preserve"> from</w:t>
      </w:r>
      <w:r w:rsidRPr="00F22AC4">
        <w:rPr>
          <w:rFonts w:asciiTheme="minorHAnsi" w:hAnsiTheme="minorHAnsi" w:cstheme="minorHAnsi"/>
          <w:i/>
          <w:szCs w:val="19"/>
        </w:rPr>
        <w:t xml:space="preserve"> </w:t>
      </w:r>
      <w:hyperlink r:id="rId13" w:history="1">
        <w:r w:rsidRPr="00F22AC4">
          <w:rPr>
            <w:rStyle w:val="Hyperlink"/>
            <w:rFonts w:asciiTheme="minorHAnsi" w:hAnsiTheme="minorHAnsi" w:cstheme="minorHAnsi"/>
            <w:szCs w:val="19"/>
          </w:rPr>
          <w:t>www.stats.govt.nz/infoshare</w:t>
        </w:r>
      </w:hyperlink>
      <w:r w:rsidRPr="00F22AC4">
        <w:rPr>
          <w:rStyle w:val="Hyperlink"/>
          <w:rFonts w:asciiTheme="minorHAnsi" w:hAnsiTheme="minorHAnsi" w:cstheme="minorHAnsi"/>
          <w:szCs w:val="19"/>
        </w:rPr>
        <w:t>.</w:t>
      </w:r>
    </w:p>
  </w:footnote>
  <w:footnote w:id="18">
    <w:p w14:paraId="5FDA509F" w14:textId="77777777" w:rsidR="00FD1D4D" w:rsidRPr="00D34377" w:rsidRDefault="00FD1D4D" w:rsidP="004566F8">
      <w:pPr>
        <w:pStyle w:val="FootnoteText"/>
      </w:pPr>
      <w:r w:rsidRPr="00D34377">
        <w:rPr>
          <w:rStyle w:val="FootnoteReference"/>
          <w:rFonts w:asciiTheme="minorHAnsi" w:hAnsiTheme="minorHAnsi" w:cstheme="minorHAnsi"/>
          <w:szCs w:val="19"/>
        </w:rPr>
        <w:footnoteRef/>
      </w:r>
      <w:r w:rsidRPr="00D34377">
        <w:t xml:space="preserve"> </w:t>
      </w:r>
      <w:r>
        <w:tab/>
      </w:r>
      <w:r w:rsidRPr="00F22AC4">
        <w:t>Walrond</w:t>
      </w:r>
      <w:r>
        <w:t xml:space="preserve"> C</w:t>
      </w:r>
      <w:r w:rsidRPr="00F22AC4">
        <w:t xml:space="preserve">. 2005. </w:t>
      </w:r>
      <w:r w:rsidRPr="00B3072A">
        <w:t>Natural</w:t>
      </w:r>
      <w:r w:rsidRPr="00F22AC4">
        <w:t xml:space="preserve"> environment</w:t>
      </w:r>
      <w:r>
        <w:t>:</w:t>
      </w:r>
      <w:r w:rsidRPr="00F22AC4">
        <w:t xml:space="preserve"> Geography and geology. </w:t>
      </w:r>
      <w:r w:rsidRPr="0004472C">
        <w:rPr>
          <w:i/>
          <w:iCs/>
        </w:rPr>
        <w:t>Te Ara – the Encyclopedia of New</w:t>
      </w:r>
      <w:r>
        <w:rPr>
          <w:i/>
          <w:iCs/>
        </w:rPr>
        <w:t> </w:t>
      </w:r>
      <w:r w:rsidRPr="0004472C">
        <w:rPr>
          <w:i/>
          <w:iCs/>
        </w:rPr>
        <w:t>Zealand</w:t>
      </w:r>
      <w:r>
        <w:t>.</w:t>
      </w:r>
      <w:r w:rsidRPr="00F22AC4">
        <w:t xml:space="preserve"> Retrieved from </w:t>
      </w:r>
      <w:hyperlink r:id="rId14" w:history="1">
        <w:r w:rsidRPr="00C72C30">
          <w:rPr>
            <w:rStyle w:val="Hyperlink"/>
            <w:rFonts w:asciiTheme="minorHAnsi" w:hAnsiTheme="minorHAnsi" w:cstheme="minorHAnsi"/>
            <w:szCs w:val="19"/>
          </w:rPr>
          <w:t>www.TeAra.govt.nz/en/natural-environment/page-1</w:t>
        </w:r>
      </w:hyperlink>
      <w:r>
        <w:t>.</w:t>
      </w:r>
    </w:p>
  </w:footnote>
  <w:footnote w:id="19">
    <w:p w14:paraId="5553D01B" w14:textId="03DEC348" w:rsidR="00FD1D4D" w:rsidRPr="00B3072A" w:rsidRDefault="00FD1D4D" w:rsidP="004566F8">
      <w:pPr>
        <w:pStyle w:val="FootnoteText"/>
      </w:pPr>
      <w:r w:rsidRPr="00F22AC4">
        <w:rPr>
          <w:rStyle w:val="FootnoteReference"/>
          <w:rFonts w:asciiTheme="minorHAnsi" w:hAnsiTheme="minorHAnsi" w:cstheme="minorHAnsi"/>
          <w:szCs w:val="19"/>
        </w:rPr>
        <w:footnoteRef/>
      </w:r>
      <w:r w:rsidRPr="00F22AC4">
        <w:rPr>
          <w:rFonts w:asciiTheme="minorHAnsi" w:hAnsiTheme="minorHAnsi" w:cstheme="minorHAnsi"/>
        </w:rPr>
        <w:t xml:space="preserve"> </w:t>
      </w:r>
      <w:r>
        <w:rPr>
          <w:rFonts w:asciiTheme="minorHAnsi" w:hAnsiTheme="minorHAnsi" w:cstheme="minorHAnsi"/>
        </w:rPr>
        <w:tab/>
      </w:r>
      <w:r w:rsidRPr="00B3072A">
        <w:t xml:space="preserve">Stats NZ. 2022. </w:t>
      </w:r>
      <w:r w:rsidRPr="00B3072A">
        <w:rPr>
          <w:i/>
          <w:iCs/>
        </w:rPr>
        <w:t>National population projections: 2022(base)–2073.</w:t>
      </w:r>
      <w:r w:rsidRPr="00B3072A">
        <w:t xml:space="preserve"> Retrieved from </w:t>
      </w:r>
      <w:hyperlink r:id="rId15" w:history="1">
        <w:r w:rsidR="007D0E29">
          <w:rPr>
            <w:rStyle w:val="Hyperlink"/>
            <w:rFonts w:cs="Calibri"/>
            <w:szCs w:val="19"/>
          </w:rPr>
          <w:t>www.stats.govt.nz/information-releases/national-population-projections-2022base2073/</w:t>
        </w:r>
      </w:hyperlink>
      <w:r w:rsidRPr="00B3072A">
        <w:t xml:space="preserve">. </w:t>
      </w:r>
    </w:p>
  </w:footnote>
  <w:footnote w:id="20">
    <w:p w14:paraId="0B638EAD" w14:textId="77777777" w:rsidR="00FD1D4D" w:rsidRPr="00B3072A" w:rsidRDefault="00FD1D4D" w:rsidP="004566F8">
      <w:pPr>
        <w:pStyle w:val="FootnoteText"/>
        <w:rPr>
          <w:rFonts w:cs="Calibri"/>
          <w:szCs w:val="19"/>
        </w:rPr>
      </w:pPr>
      <w:r>
        <w:rPr>
          <w:rStyle w:val="FootnoteReference"/>
        </w:rPr>
        <w:footnoteRef/>
      </w:r>
      <w:r>
        <w:t xml:space="preserve"> </w:t>
      </w:r>
      <w:r>
        <w:tab/>
      </w:r>
      <w:r w:rsidRPr="00B3072A">
        <w:rPr>
          <w:rFonts w:cs="Calibri"/>
          <w:szCs w:val="19"/>
        </w:rPr>
        <w:t xml:space="preserve">Stats NZ. 2022. </w:t>
      </w:r>
      <w:r w:rsidRPr="00B3072A">
        <w:rPr>
          <w:rFonts w:cs="Calibri"/>
          <w:i/>
          <w:iCs/>
          <w:szCs w:val="19"/>
        </w:rPr>
        <w:t xml:space="preserve">Table reference: DPE070AA. </w:t>
      </w:r>
      <w:r w:rsidRPr="00B3072A">
        <w:rPr>
          <w:rFonts w:cs="Calibri"/>
          <w:szCs w:val="19"/>
        </w:rPr>
        <w:t>Retrieved from</w:t>
      </w:r>
      <w:r w:rsidRPr="00B3072A">
        <w:rPr>
          <w:rFonts w:cs="Calibri"/>
          <w:i/>
          <w:szCs w:val="19"/>
        </w:rPr>
        <w:t xml:space="preserve"> </w:t>
      </w:r>
      <w:hyperlink r:id="rId16" w:history="1">
        <w:r w:rsidRPr="00B3072A">
          <w:rPr>
            <w:rStyle w:val="Hyperlink"/>
            <w:rFonts w:cs="Calibri"/>
            <w:szCs w:val="19"/>
          </w:rPr>
          <w:t>www.stats.govt.nz/infoshare</w:t>
        </w:r>
      </w:hyperlink>
      <w:r w:rsidRPr="00B3072A">
        <w:rPr>
          <w:rStyle w:val="Hyperlink"/>
          <w:rFonts w:cs="Calibri"/>
          <w:szCs w:val="19"/>
        </w:rPr>
        <w:t>.</w:t>
      </w:r>
    </w:p>
  </w:footnote>
  <w:footnote w:id="21">
    <w:p w14:paraId="056547C9" w14:textId="77777777" w:rsidR="00FD1D4D" w:rsidRDefault="00FD1D4D" w:rsidP="004566F8">
      <w:pPr>
        <w:pStyle w:val="FootnoteText"/>
      </w:pPr>
      <w:r>
        <w:rPr>
          <w:rStyle w:val="FootnoteReference"/>
        </w:rPr>
        <w:footnoteRef/>
      </w:r>
      <w:r>
        <w:t xml:space="preserve"> </w:t>
      </w:r>
      <w:r>
        <w:tab/>
        <w:t xml:space="preserve">Stats </w:t>
      </w:r>
      <w:r w:rsidRPr="00B8467D">
        <w:t>NZ</w:t>
      </w:r>
      <w:r>
        <w:t xml:space="preserve">. 2022. </w:t>
      </w:r>
      <w:r w:rsidRPr="00D152E2">
        <w:rPr>
          <w:i/>
          <w:iCs/>
        </w:rPr>
        <w:t>National population projections: 2022(base)–2073</w:t>
      </w:r>
      <w:r>
        <w:rPr>
          <w:i/>
          <w:iCs/>
        </w:rPr>
        <w:t>.</w:t>
      </w:r>
      <w:r w:rsidRPr="00924E81">
        <w:t xml:space="preserve"> Retrieved from </w:t>
      </w:r>
      <w:hyperlink r:id="rId17" w:history="1">
        <w:r>
          <w:rPr>
            <w:rStyle w:val="Hyperlink"/>
          </w:rPr>
          <w:t>www.stats.govt.nz/information-releases/national-population-projections-2022base2073/</w:t>
        </w:r>
      </w:hyperlink>
      <w:r w:rsidRPr="00F22AC4">
        <w:rPr>
          <w:rStyle w:val="Hyperlink"/>
          <w:rFonts w:asciiTheme="minorHAnsi" w:hAnsiTheme="minorHAnsi" w:cstheme="minorHAnsi"/>
          <w:szCs w:val="19"/>
        </w:rPr>
        <w:t>.</w:t>
      </w:r>
    </w:p>
  </w:footnote>
  <w:footnote w:id="22">
    <w:p w14:paraId="197FA1B2" w14:textId="77777777" w:rsidR="00FD1D4D" w:rsidRDefault="00FD1D4D" w:rsidP="004566F8">
      <w:pPr>
        <w:pStyle w:val="FootnoteText"/>
      </w:pPr>
      <w:r>
        <w:rPr>
          <w:rStyle w:val="FootnoteReference"/>
        </w:rPr>
        <w:footnoteRef/>
      </w:r>
      <w:r>
        <w:t xml:space="preserve"> </w:t>
      </w:r>
      <w:r>
        <w:tab/>
        <w:t xml:space="preserve">Stats NZ. 2022. </w:t>
      </w:r>
      <w:r>
        <w:rPr>
          <w:i/>
          <w:iCs/>
        </w:rPr>
        <w:t xml:space="preserve">Table reference: ITM406AA. </w:t>
      </w:r>
      <w:r>
        <w:t xml:space="preserve">Estimates published 12 September 2022. </w:t>
      </w:r>
    </w:p>
  </w:footnote>
  <w:footnote w:id="23">
    <w:p w14:paraId="506ADB91" w14:textId="77777777" w:rsidR="00FD1D4D" w:rsidRDefault="00FD1D4D" w:rsidP="004566F8">
      <w:pPr>
        <w:pStyle w:val="FootnoteText"/>
      </w:pPr>
      <w:r>
        <w:rPr>
          <w:rStyle w:val="FootnoteReference"/>
        </w:rPr>
        <w:footnoteRef/>
      </w:r>
      <w:r>
        <w:t xml:space="preserve"> </w:t>
      </w:r>
      <w:r>
        <w:tab/>
      </w:r>
      <w:r w:rsidRPr="00091E32">
        <w:t xml:space="preserve">National population projections: 2022(base)–2073 </w:t>
      </w:r>
      <w:r>
        <w:t xml:space="preserve">Retrieved from </w:t>
      </w:r>
      <w:hyperlink r:id="rId18" w:history="1">
        <w:r>
          <w:rPr>
            <w:rStyle w:val="Hyperlink"/>
            <w:rFonts w:asciiTheme="minorHAnsi" w:hAnsiTheme="minorHAnsi" w:cstheme="minorHAnsi"/>
            <w:szCs w:val="19"/>
          </w:rPr>
          <w:t>www.stats.govt.nz/information-releases/national-population-projections-2022base2073/</w:t>
        </w:r>
      </w:hyperlink>
      <w:r>
        <w:rPr>
          <w:rFonts w:asciiTheme="minorHAnsi" w:hAnsiTheme="minorHAnsi" w:cstheme="minorHAnsi"/>
          <w:szCs w:val="19"/>
        </w:rPr>
        <w:t>.</w:t>
      </w:r>
      <w:r>
        <w:rPr>
          <w:rStyle w:val="Hyperlink"/>
          <w:rFonts w:asciiTheme="minorHAnsi" w:hAnsiTheme="minorHAnsi" w:cstheme="minorHAnsi"/>
          <w:szCs w:val="19"/>
        </w:rPr>
        <w:t xml:space="preserve"> </w:t>
      </w:r>
    </w:p>
  </w:footnote>
  <w:footnote w:id="24">
    <w:p w14:paraId="2E762278" w14:textId="77777777" w:rsidR="00FD1D4D" w:rsidRDefault="00FD1D4D" w:rsidP="004566F8">
      <w:pPr>
        <w:pStyle w:val="FootnoteText"/>
      </w:pPr>
      <w:r>
        <w:rPr>
          <w:rStyle w:val="FootnoteReference"/>
        </w:rPr>
        <w:footnoteRef/>
      </w:r>
      <w:r>
        <w:t xml:space="preserve"> </w:t>
      </w:r>
      <w:r>
        <w:tab/>
      </w:r>
      <w:r w:rsidRPr="00B8467D">
        <w:t xml:space="preserve">Stats NZ. </w:t>
      </w:r>
      <w:r w:rsidRPr="00B8467D">
        <w:rPr>
          <w:i/>
          <w:iCs/>
        </w:rPr>
        <w:t xml:space="preserve">Data Quality for 2018 Census. </w:t>
      </w:r>
      <w:r w:rsidRPr="00B8467D">
        <w:t xml:space="preserve">Retrieved from </w:t>
      </w:r>
      <w:hyperlink r:id="rId19" w:history="1">
        <w:r w:rsidRPr="00B8467D">
          <w:rPr>
            <w:rStyle w:val="Hyperlink"/>
            <w:rFonts w:cs="Calibri"/>
            <w:szCs w:val="19"/>
          </w:rPr>
          <w:t>www.stats.govt.nz/2018-census/data-quality-for-2018-census</w:t>
        </w:r>
      </w:hyperlink>
      <w:r w:rsidRPr="00B8467D">
        <w:rPr>
          <w:rStyle w:val="Hyperlink"/>
          <w:rFonts w:cs="Calibri"/>
          <w:szCs w:val="19"/>
        </w:rPr>
        <w:t>.</w:t>
      </w:r>
    </w:p>
  </w:footnote>
  <w:footnote w:id="25">
    <w:p w14:paraId="05151270" w14:textId="77777777" w:rsidR="00FD1D4D" w:rsidRPr="00AD6542" w:rsidRDefault="00FD1D4D" w:rsidP="0032530E">
      <w:pPr>
        <w:pStyle w:val="FootnoteText"/>
        <w:spacing w:after="50" w:line="230" w:lineRule="atLeast"/>
        <w:rPr>
          <w:highlight w:val="yellow"/>
        </w:rPr>
      </w:pPr>
      <w:r w:rsidRPr="00327F0C">
        <w:rPr>
          <w:rStyle w:val="FootnoteReference"/>
          <w:rFonts w:eastAsiaTheme="majorEastAsia"/>
          <w:szCs w:val="18"/>
        </w:rPr>
        <w:footnoteRef/>
      </w:r>
      <w:r w:rsidRPr="00327F0C">
        <w:t xml:space="preserve"> </w:t>
      </w:r>
      <w:r w:rsidRPr="00327F0C">
        <w:tab/>
        <w:t xml:space="preserve">National Institute of Water and Atmospheric Research. 2017. </w:t>
      </w:r>
      <w:r w:rsidRPr="00327F0C">
        <w:rPr>
          <w:i/>
        </w:rPr>
        <w:t>Overview of New Zealand Climate</w:t>
      </w:r>
      <w:r w:rsidRPr="00327F0C">
        <w:t xml:space="preserve">. Retrieved from </w:t>
      </w:r>
      <w:hyperlink r:id="rId20" w:history="1">
        <w:r w:rsidRPr="00327F0C">
          <w:rPr>
            <w:rStyle w:val="Hyperlink"/>
            <w:szCs w:val="18"/>
          </w:rPr>
          <w:t>www.niwa.co.nz/education-and-training/schools/resources/climate/overview</w:t>
        </w:r>
      </w:hyperlink>
      <w:r w:rsidRPr="00327F0C">
        <w:rPr>
          <w:rStyle w:val="Hyperlink"/>
        </w:rPr>
        <w:t>.</w:t>
      </w:r>
    </w:p>
  </w:footnote>
  <w:footnote w:id="26">
    <w:p w14:paraId="1471190C" w14:textId="2F7E75E2" w:rsidR="00FD1D4D" w:rsidRDefault="00FD1D4D" w:rsidP="0032530E">
      <w:pPr>
        <w:pStyle w:val="FootnoteText"/>
        <w:spacing w:after="50" w:line="230" w:lineRule="atLeast"/>
      </w:pPr>
      <w:r>
        <w:rPr>
          <w:rStyle w:val="FootnoteReference"/>
        </w:rPr>
        <w:footnoteRef/>
      </w:r>
      <w:r>
        <w:t xml:space="preserve"> </w:t>
      </w:r>
      <w:r>
        <w:tab/>
        <w:t xml:space="preserve">National Institute of Water and Atmospheric Research. 2022. </w:t>
      </w:r>
      <w:r>
        <w:rPr>
          <w:i/>
          <w:iCs/>
        </w:rPr>
        <w:t xml:space="preserve">Aotearoa New Zealand Climate Summary: </w:t>
      </w:r>
      <w:r w:rsidRPr="0004472C">
        <w:rPr>
          <w:i/>
          <w:iCs/>
        </w:rPr>
        <w:t>2021</w:t>
      </w:r>
      <w:r>
        <w:t xml:space="preserve">. Retrieved from </w:t>
      </w:r>
      <w:hyperlink r:id="rId21" w:history="1">
        <w:r>
          <w:rPr>
            <w:rStyle w:val="Hyperlink"/>
          </w:rPr>
          <w:t>niwa.co.nz/sites/niwa.co.nz/files/2021_Annual_Climate_Summary_NIWA11Jan2022.pdf</w:t>
        </w:r>
      </w:hyperlink>
      <w:r w:rsidRPr="00327F0C">
        <w:rPr>
          <w:rStyle w:val="Hyperlink"/>
        </w:rPr>
        <w:t>.</w:t>
      </w:r>
    </w:p>
  </w:footnote>
  <w:footnote w:id="27">
    <w:p w14:paraId="51DAAA57" w14:textId="77777777" w:rsidR="00FD1D4D" w:rsidRPr="00D135D7" w:rsidRDefault="00FD1D4D" w:rsidP="0032530E">
      <w:pPr>
        <w:pStyle w:val="FootnoteText"/>
        <w:spacing w:after="50" w:line="230" w:lineRule="atLeast"/>
      </w:pPr>
      <w:r>
        <w:rPr>
          <w:rStyle w:val="FootnoteReference"/>
        </w:rPr>
        <w:footnoteRef/>
      </w:r>
      <w:r>
        <w:t xml:space="preserve"> </w:t>
      </w:r>
      <w:r>
        <w:tab/>
        <w:t xml:space="preserve">National Institute of Water and Atmospheric Research. 2016. </w:t>
      </w:r>
      <w:r>
        <w:rPr>
          <w:i/>
          <w:iCs/>
        </w:rPr>
        <w:t xml:space="preserve">West Coast. </w:t>
      </w:r>
      <w:r>
        <w:t xml:space="preserve">Retrieved from </w:t>
      </w:r>
      <w:hyperlink r:id="rId22" w:history="1">
        <w:r>
          <w:rPr>
            <w:rStyle w:val="Hyperlink"/>
          </w:rPr>
          <w:t>niwa.co.nz/our-science/climate/publications/regional-climatologies/west_coast</w:t>
        </w:r>
      </w:hyperlink>
      <w:r>
        <w:t xml:space="preserve">. </w:t>
      </w:r>
    </w:p>
  </w:footnote>
  <w:footnote w:id="28">
    <w:p w14:paraId="4CC5A24C" w14:textId="77777777" w:rsidR="00FD1D4D" w:rsidRDefault="00FD1D4D" w:rsidP="0032530E">
      <w:pPr>
        <w:pStyle w:val="FootnoteText"/>
        <w:spacing w:after="50" w:line="230" w:lineRule="atLeast"/>
      </w:pPr>
      <w:r>
        <w:rPr>
          <w:rStyle w:val="FootnoteReference"/>
        </w:rPr>
        <w:footnoteRef/>
      </w:r>
      <w:r>
        <w:t xml:space="preserve"> </w:t>
      </w:r>
      <w:r>
        <w:tab/>
        <w:t xml:space="preserve">Stats NZ. 2017. </w:t>
      </w:r>
      <w:r>
        <w:rPr>
          <w:i/>
          <w:iCs/>
        </w:rPr>
        <w:t xml:space="preserve">Sunshine Hours. </w:t>
      </w:r>
      <w:r>
        <w:t xml:space="preserve">Retrieved from </w:t>
      </w:r>
      <w:hyperlink r:id="rId23" w:history="1">
        <w:r w:rsidRPr="009140D0">
          <w:rPr>
            <w:rStyle w:val="Hyperlink"/>
          </w:rPr>
          <w:t>www.stats.govt.nz/indicators/sunshine-hours</w:t>
        </w:r>
      </w:hyperlink>
      <w:r w:rsidRPr="00327F0C">
        <w:rPr>
          <w:rStyle w:val="Hyperlink"/>
        </w:rPr>
        <w:t>.</w:t>
      </w:r>
      <w:r>
        <w:t xml:space="preserve"> </w:t>
      </w:r>
    </w:p>
  </w:footnote>
  <w:footnote w:id="29">
    <w:p w14:paraId="54F01D84" w14:textId="77777777" w:rsidR="00FD1D4D" w:rsidRPr="00AD6542" w:rsidRDefault="00FD1D4D" w:rsidP="0032530E">
      <w:pPr>
        <w:pStyle w:val="FootnoteText"/>
        <w:spacing w:after="50" w:line="230" w:lineRule="atLeast"/>
        <w:rPr>
          <w:highlight w:val="yellow"/>
        </w:rPr>
      </w:pPr>
      <w:r w:rsidRPr="00F22AC4">
        <w:rPr>
          <w:rStyle w:val="FootnoteReference"/>
          <w:rFonts w:eastAsiaTheme="majorEastAsia"/>
          <w:szCs w:val="18"/>
        </w:rPr>
        <w:footnoteRef/>
      </w:r>
      <w:r w:rsidRPr="00F22AC4">
        <w:rPr>
          <w:szCs w:val="18"/>
        </w:rPr>
        <w:t xml:space="preserve"> </w:t>
      </w:r>
      <w:r w:rsidRPr="00F22AC4">
        <w:rPr>
          <w:szCs w:val="18"/>
        </w:rPr>
        <w:tab/>
      </w:r>
      <w:r>
        <w:t xml:space="preserve">Bodeker G, Cullen N, Katurji M, McDonald A, Morgenstern O, Noone D, Renwick J, Revell L, Tait A. 2022. </w:t>
      </w:r>
      <w:r>
        <w:rPr>
          <w:i/>
          <w:iCs/>
        </w:rPr>
        <w:t xml:space="preserve">Aotearoa New Zealand Climate Change Projections Guidance: Interpreting the Latest IPCC WG1 Findings. </w:t>
      </w:r>
      <w:r>
        <w:t>Prepared for the Ministry for the Environment.</w:t>
      </w:r>
    </w:p>
  </w:footnote>
  <w:footnote w:id="30">
    <w:p w14:paraId="1AA93DFA" w14:textId="77777777" w:rsidR="00FD1D4D" w:rsidRDefault="00FD1D4D" w:rsidP="0032530E">
      <w:pPr>
        <w:pStyle w:val="FootnoteText"/>
        <w:spacing w:after="50" w:line="230" w:lineRule="atLeast"/>
      </w:pPr>
      <w:r>
        <w:rPr>
          <w:rStyle w:val="FootnoteReference"/>
        </w:rPr>
        <w:footnoteRef/>
      </w:r>
      <w:r>
        <w:t xml:space="preserve"> </w:t>
      </w:r>
      <w:r>
        <w:tab/>
        <w:t xml:space="preserve">Intergovernmental Panel on Climate Change. In press. </w:t>
      </w:r>
      <w:r w:rsidRPr="0004472C">
        <w:t>Climate Change 2021: The Physical Science Basis</w:t>
      </w:r>
      <w:r>
        <w:t xml:space="preserve">. </w:t>
      </w:r>
      <w:r w:rsidRPr="0004472C">
        <w:t>Contribution of Working Group I to the Sixth Assessment Report of the Intergovernmental Panel on Climate Change</w:t>
      </w:r>
      <w:r>
        <w:t>. Cambridge: Cambridge University Press.</w:t>
      </w:r>
    </w:p>
  </w:footnote>
  <w:footnote w:id="31">
    <w:p w14:paraId="69BB5E4F" w14:textId="77777777" w:rsidR="00FD1D4D" w:rsidRPr="0045354B" w:rsidRDefault="00FD1D4D" w:rsidP="0032530E">
      <w:pPr>
        <w:pStyle w:val="FootnoteText"/>
        <w:spacing w:after="50" w:line="230" w:lineRule="atLeast"/>
      </w:pPr>
      <w:r>
        <w:rPr>
          <w:rStyle w:val="FootnoteReference"/>
        </w:rPr>
        <w:footnoteRef/>
      </w:r>
      <w:r>
        <w:t xml:space="preserve"> </w:t>
      </w:r>
      <w:r>
        <w:tab/>
        <w:t xml:space="preserve">Ministry for the Environment. 2022. </w:t>
      </w:r>
      <w:r>
        <w:rPr>
          <w:i/>
          <w:iCs/>
        </w:rPr>
        <w:t xml:space="preserve">About sea level rise. </w:t>
      </w:r>
      <w:r>
        <w:t xml:space="preserve">Retrieved from </w:t>
      </w:r>
      <w:hyperlink r:id="rId24" w:history="1">
        <w:r>
          <w:rPr>
            <w:rStyle w:val="Hyperlink"/>
          </w:rPr>
          <w:t>About sea level rise | Ministry for the Environment</w:t>
        </w:r>
      </w:hyperlink>
      <w:r>
        <w:t>.</w:t>
      </w:r>
    </w:p>
  </w:footnote>
  <w:footnote w:id="32">
    <w:p w14:paraId="541DE945" w14:textId="77777777" w:rsidR="00FD1D4D" w:rsidRDefault="00FD1D4D" w:rsidP="0032530E">
      <w:pPr>
        <w:pStyle w:val="FootnoteText"/>
        <w:spacing w:after="50" w:line="230" w:lineRule="atLeast"/>
      </w:pPr>
      <w:r>
        <w:rPr>
          <w:rStyle w:val="FootnoteReference"/>
        </w:rPr>
        <w:footnoteRef/>
      </w:r>
      <w:r>
        <w:t xml:space="preserve"> </w:t>
      </w:r>
      <w:r>
        <w:tab/>
        <w:t xml:space="preserve">Ministry for the Environment. 2020. </w:t>
      </w:r>
      <w:r w:rsidRPr="0045354B">
        <w:t xml:space="preserve">National Climate Change Risk Assessment for Aotearoa New Zealand: Main report – Arotakenga Tūraru mō te Huringa Āhuarangi o Āotearoa: Pūrongo whakatōpū. </w:t>
      </w:r>
      <w:r>
        <w:t>Wellington: Ministry for the Environment.</w:t>
      </w:r>
    </w:p>
  </w:footnote>
  <w:footnote w:id="33">
    <w:p w14:paraId="1A8ADD7A" w14:textId="77777777" w:rsidR="00FD1D4D" w:rsidRDefault="00FD1D4D" w:rsidP="004566F8">
      <w:pPr>
        <w:pStyle w:val="FootnoteText"/>
      </w:pPr>
      <w:r>
        <w:rPr>
          <w:rStyle w:val="FootnoteReference"/>
        </w:rPr>
        <w:footnoteRef/>
      </w:r>
      <w:r>
        <w:t xml:space="preserve"> </w:t>
      </w:r>
      <w:r>
        <w:tab/>
        <w:t xml:space="preserve">Stats NZ. 2022. </w:t>
      </w:r>
      <w:r>
        <w:rPr>
          <w:i/>
          <w:iCs/>
        </w:rPr>
        <w:t xml:space="preserve">Coastal sea-level </w:t>
      </w:r>
      <w:r w:rsidRPr="008263BD">
        <w:t>rise</w:t>
      </w:r>
      <w:r>
        <w:t xml:space="preserve">. Retrieved from </w:t>
      </w:r>
      <w:hyperlink r:id="rId25" w:history="1">
        <w:r w:rsidRPr="00542438">
          <w:rPr>
            <w:rStyle w:val="Hyperlink"/>
          </w:rPr>
          <w:t>www.stats.govt.nz/indicators/coastal-sea-level-rise</w:t>
        </w:r>
      </w:hyperlink>
      <w:r>
        <w:t>.</w:t>
      </w:r>
    </w:p>
  </w:footnote>
  <w:footnote w:id="34">
    <w:p w14:paraId="5C5F49E4" w14:textId="77777777" w:rsidR="00FD1D4D" w:rsidRDefault="00FD1D4D" w:rsidP="004566F8">
      <w:pPr>
        <w:pStyle w:val="FootnoteText"/>
      </w:pPr>
      <w:r>
        <w:rPr>
          <w:rStyle w:val="FootnoteReference"/>
        </w:rPr>
        <w:footnoteRef/>
      </w:r>
      <w:r>
        <w:t xml:space="preserve"> </w:t>
      </w:r>
      <w:r>
        <w:tab/>
        <w:t xml:space="preserve">For more information on projected climate impacts for New Zealand, see chapter </w:t>
      </w:r>
      <w:r w:rsidRPr="00327F0C">
        <w:t>6.</w:t>
      </w:r>
      <w:r>
        <w:t xml:space="preserve"> </w:t>
      </w:r>
    </w:p>
  </w:footnote>
  <w:footnote w:id="35">
    <w:p w14:paraId="4EA28EFD" w14:textId="77777777" w:rsidR="00FD1D4D" w:rsidRDefault="00FD1D4D" w:rsidP="004566F8">
      <w:pPr>
        <w:pStyle w:val="FootnoteText"/>
      </w:pPr>
      <w:r>
        <w:rPr>
          <w:rStyle w:val="FootnoteReference"/>
        </w:rPr>
        <w:footnoteRef/>
      </w:r>
      <w:r>
        <w:t xml:space="preserve"> </w:t>
      </w:r>
      <w:r>
        <w:tab/>
        <w:t xml:space="preserve">All information for this section comes from for this section from: Ministry for the Environment. 2018. </w:t>
      </w:r>
      <w:r w:rsidRPr="0004472C">
        <w:rPr>
          <w:i/>
          <w:iCs/>
        </w:rPr>
        <w:t>Climate Change Projections for New Zealand: Atmosphere Projections Based on Simulations from the IPCC Fifth Assessment</w:t>
      </w:r>
      <w:r>
        <w:t xml:space="preserve"> (2nd edn). Wellington: Ministry for the Environment. </w:t>
      </w:r>
    </w:p>
  </w:footnote>
  <w:footnote w:id="36">
    <w:p w14:paraId="4D544D9C" w14:textId="77777777" w:rsidR="00FD1D4D" w:rsidRDefault="00FD1D4D" w:rsidP="004566F8">
      <w:pPr>
        <w:pStyle w:val="FootnoteText"/>
      </w:pPr>
      <w:r>
        <w:rPr>
          <w:rStyle w:val="FootnoteReference"/>
        </w:rPr>
        <w:footnoteRef/>
      </w:r>
      <w:r>
        <w:t xml:space="preserve"> </w:t>
      </w:r>
      <w:r>
        <w:rPr>
          <w:vertAlign w:val="superscript"/>
        </w:rPr>
        <w:tab/>
      </w:r>
      <w:r>
        <w:t xml:space="preserve">Jones C. 2016. </w:t>
      </w:r>
      <w:r w:rsidRPr="000B15FF">
        <w:t>New Treaty New Tradition: Reconciling New Zealand and Māori Law</w:t>
      </w:r>
      <w:r>
        <w:t xml:space="preserve">. Wellington: Victoria University Press. </w:t>
      </w:r>
    </w:p>
  </w:footnote>
  <w:footnote w:id="37">
    <w:p w14:paraId="36324160" w14:textId="77777777" w:rsidR="00FD1D4D" w:rsidRDefault="00FD1D4D" w:rsidP="004566F8">
      <w:pPr>
        <w:pStyle w:val="FootnoteText"/>
      </w:pPr>
      <w:r>
        <w:rPr>
          <w:rStyle w:val="FootnoteReference"/>
        </w:rPr>
        <w:footnoteRef/>
      </w:r>
      <w:r>
        <w:tab/>
      </w:r>
      <w:r w:rsidRPr="000B15FF">
        <w:t>An iwi (tribe) is one of the largest kinship groupings and is generally made up of several hapū that are all</w:t>
      </w:r>
      <w:r>
        <w:t> </w:t>
      </w:r>
      <w:r w:rsidRPr="000B15FF">
        <w:t xml:space="preserve">descended from a common ancestor. Hapū are clusters of whānau where the whānau is usually an </w:t>
      </w:r>
      <w:r w:rsidRPr="008A4F41">
        <w:rPr>
          <w:spacing w:val="-2"/>
        </w:rPr>
        <w:t>extended family grouping consisting of children, parents, often grandparents, and other closely related kin.</w:t>
      </w:r>
    </w:p>
  </w:footnote>
  <w:footnote w:id="38">
    <w:p w14:paraId="4102C256" w14:textId="77777777" w:rsidR="00FD1D4D" w:rsidRPr="00056E8B" w:rsidRDefault="00FD1D4D" w:rsidP="004566F8">
      <w:pPr>
        <w:pStyle w:val="FootnoteText"/>
        <w:rPr>
          <w:rFonts w:ascii="Arial" w:hAnsi="Arial" w:cs="Arial"/>
          <w:sz w:val="20"/>
          <w:szCs w:val="20"/>
        </w:rPr>
      </w:pPr>
      <w:r w:rsidRPr="00056E8B">
        <w:rPr>
          <w:rStyle w:val="FootnoteReference"/>
          <w:rFonts w:eastAsiaTheme="majorEastAsia"/>
          <w:szCs w:val="18"/>
        </w:rPr>
        <w:footnoteRef/>
      </w:r>
      <w:r w:rsidRPr="00056E8B">
        <w:rPr>
          <w:szCs w:val="18"/>
        </w:rPr>
        <w:t xml:space="preserve"> </w:t>
      </w:r>
      <w:r w:rsidRPr="00056E8B">
        <w:rPr>
          <w:szCs w:val="18"/>
        </w:rPr>
        <w:tab/>
      </w:r>
      <w:r w:rsidRPr="00056E8B">
        <w:t>See</w:t>
      </w:r>
      <w:r w:rsidRPr="00056E8B">
        <w:rPr>
          <w:szCs w:val="18"/>
        </w:rPr>
        <w:t xml:space="preserve"> </w:t>
      </w:r>
      <w:hyperlink r:id="rId26" w:history="1">
        <w:r w:rsidRPr="00B27E52">
          <w:rPr>
            <w:rStyle w:val="Hyperlink"/>
          </w:rPr>
          <w:t>gg.govt.nz/governor-general</w:t>
        </w:r>
      </w:hyperlink>
      <w:r>
        <w:rPr>
          <w:rStyle w:val="Hyperlink"/>
        </w:rPr>
        <w:t xml:space="preserve">. </w:t>
      </w:r>
    </w:p>
  </w:footnote>
  <w:footnote w:id="39">
    <w:p w14:paraId="21E63B81" w14:textId="77777777" w:rsidR="00FD1D4D" w:rsidRPr="00056E8B" w:rsidRDefault="00FD1D4D" w:rsidP="004566F8">
      <w:pPr>
        <w:pStyle w:val="FootnoteText"/>
      </w:pPr>
      <w:r w:rsidRPr="00056E8B">
        <w:rPr>
          <w:rStyle w:val="FootnoteReference"/>
          <w:rFonts w:eastAsiaTheme="majorEastAsia"/>
          <w:szCs w:val="18"/>
        </w:rPr>
        <w:footnoteRef/>
      </w:r>
      <w:r w:rsidRPr="00056E8B">
        <w:t xml:space="preserve"> </w:t>
      </w:r>
      <w:r w:rsidRPr="00056E8B">
        <w:tab/>
        <w:t xml:space="preserve">See </w:t>
      </w:r>
      <w:hyperlink r:id="rId27" w:history="1">
        <w:r w:rsidRPr="00056E8B">
          <w:rPr>
            <w:rStyle w:val="Hyperlink"/>
            <w:szCs w:val="18"/>
          </w:rPr>
          <w:t>www.parliament.nz/en/mps-and-electorates/political-parties</w:t>
        </w:r>
      </w:hyperlink>
      <w:r w:rsidRPr="00056E8B">
        <w:t xml:space="preserve">. This information was accurate as at </w:t>
      </w:r>
      <w:r>
        <w:t>10 August</w:t>
      </w:r>
      <w:r w:rsidRPr="00601A0A">
        <w:t xml:space="preserve"> </w:t>
      </w:r>
      <w:r w:rsidRPr="00056E8B">
        <w:t>2022.</w:t>
      </w:r>
    </w:p>
  </w:footnote>
  <w:footnote w:id="40">
    <w:p w14:paraId="12FB49CF" w14:textId="77777777" w:rsidR="00202853" w:rsidRPr="00B3332B" w:rsidRDefault="00202853" w:rsidP="00202853">
      <w:pPr>
        <w:pStyle w:val="FootnoteText"/>
        <w:rPr>
          <w:lang w:val="en-US"/>
        </w:rPr>
      </w:pPr>
      <w:r>
        <w:rPr>
          <w:rStyle w:val="FootnoteReference"/>
        </w:rPr>
        <w:footnoteRef/>
      </w:r>
      <w:r>
        <w:t xml:space="preserve"> </w:t>
      </w:r>
      <w:r>
        <w:rPr>
          <w:lang w:val="en-US"/>
        </w:rPr>
        <w:tab/>
      </w:r>
      <w:r>
        <w:t>The Ministry for Primary Industries has responsibility for the forestry sector.</w:t>
      </w:r>
    </w:p>
  </w:footnote>
  <w:footnote w:id="41">
    <w:p w14:paraId="7F9A32F8" w14:textId="77777777" w:rsidR="00FD1D4D" w:rsidRPr="00056E8B" w:rsidRDefault="00FD1D4D" w:rsidP="004566F8">
      <w:pPr>
        <w:pStyle w:val="FootnoteText"/>
        <w:rPr>
          <w:rFonts w:ascii="Arial" w:hAnsi="Arial" w:cs="Arial"/>
          <w:sz w:val="20"/>
          <w:szCs w:val="20"/>
        </w:rPr>
      </w:pPr>
      <w:r>
        <w:rPr>
          <w:rStyle w:val="FootnoteReference"/>
        </w:rPr>
        <w:footnoteRef/>
      </w:r>
      <w:r>
        <w:tab/>
      </w:r>
      <w:r w:rsidRPr="00B27E52">
        <w:t xml:space="preserve">For more information on the role of local government bodies, see </w:t>
      </w:r>
      <w:hyperlink w:history="1">
        <w:r w:rsidRPr="00AF0738">
          <w:rPr>
            <w:rStyle w:val="Hyperlink"/>
            <w:rFonts w:ascii="Segoe UI" w:hAnsi="Segoe UI" w:cs="Segoe UI"/>
            <w:sz w:val="18"/>
            <w:szCs w:val="18"/>
          </w:rPr>
          <w:t>www.lgnz.co.nz</w:t>
        </w:r>
      </w:hyperlink>
      <w:r>
        <w:rPr>
          <w:rFonts w:ascii="Segoe UI" w:hAnsi="Segoe UI" w:cs="Segoe UI"/>
          <w:sz w:val="18"/>
          <w:szCs w:val="18"/>
        </w:rPr>
        <w:t>.</w:t>
      </w:r>
    </w:p>
  </w:footnote>
  <w:footnote w:id="42">
    <w:p w14:paraId="44C7CB13" w14:textId="77777777" w:rsidR="00FD1D4D" w:rsidRPr="009F46CF" w:rsidRDefault="00FD1D4D" w:rsidP="00007DBB">
      <w:pPr>
        <w:pStyle w:val="FootnoteText"/>
        <w:spacing w:after="40" w:line="220" w:lineRule="atLeast"/>
      </w:pPr>
      <w:r w:rsidRPr="009F46CF">
        <w:rPr>
          <w:rStyle w:val="FootnoteReference"/>
        </w:rPr>
        <w:footnoteRef/>
      </w:r>
      <w:r>
        <w:tab/>
        <w:t xml:space="preserve">Stats NZ. 2021. </w:t>
      </w:r>
      <w:r>
        <w:rPr>
          <w:i/>
          <w:iCs/>
        </w:rPr>
        <w:t xml:space="preserve">2018 Census Urban Accessibility Dataset. </w:t>
      </w:r>
      <w:r>
        <w:t xml:space="preserve">Retrieved from </w:t>
      </w:r>
      <w:hyperlink r:id="rId28" w:history="1">
        <w:r w:rsidRPr="00BB203A">
          <w:rPr>
            <w:rStyle w:val="Hyperlink"/>
          </w:rPr>
          <w:t>www.stats.govt.nz/information-releases/2018-census-urban-accessibility-dataset</w:t>
        </w:r>
      </w:hyperlink>
      <w:r>
        <w:t xml:space="preserve">. </w:t>
      </w:r>
    </w:p>
  </w:footnote>
  <w:footnote w:id="43">
    <w:p w14:paraId="3FC68227" w14:textId="77777777" w:rsidR="00FD1D4D" w:rsidRPr="006A5605" w:rsidRDefault="00FD1D4D" w:rsidP="00007DBB">
      <w:pPr>
        <w:pStyle w:val="FootnoteText"/>
        <w:spacing w:after="40" w:line="220" w:lineRule="atLeast"/>
      </w:pPr>
      <w:r w:rsidRPr="00D67A18">
        <w:rPr>
          <w:rStyle w:val="FootnoteReference"/>
        </w:rPr>
        <w:footnoteRef/>
      </w:r>
      <w:r>
        <w:tab/>
      </w:r>
      <w:r w:rsidRPr="006A5605">
        <w:t xml:space="preserve">Stats NZ. 2019. 2018 Census Population And Dwelling Counts. Retrieved from </w:t>
      </w:r>
      <w:hyperlink r:id="rId29" w:history="1">
        <w:r w:rsidRPr="006A5605">
          <w:rPr>
            <w:rStyle w:val="Hyperlink"/>
          </w:rPr>
          <w:t>www.stats.govt.nz/information-releases/2018-census-population-and-dwelling-counts</w:t>
        </w:r>
      </w:hyperlink>
      <w:r w:rsidRPr="006A5605">
        <w:t xml:space="preserve">. Unoccupied dwellings include dwellings temporarily unoccupied on Census night because the residents were away. </w:t>
      </w:r>
    </w:p>
  </w:footnote>
  <w:footnote w:id="44">
    <w:p w14:paraId="3D7BDB60" w14:textId="77777777" w:rsidR="00FD1D4D" w:rsidRPr="00D67A18" w:rsidRDefault="00FD1D4D" w:rsidP="00007DBB">
      <w:pPr>
        <w:pStyle w:val="FootnoteText"/>
        <w:spacing w:after="40" w:line="220" w:lineRule="atLeast"/>
        <w:rPr>
          <w:szCs w:val="18"/>
        </w:rPr>
      </w:pPr>
      <w:r w:rsidRPr="00D67A18">
        <w:rPr>
          <w:rStyle w:val="FootnoteReference"/>
          <w:rFonts w:eastAsiaTheme="majorEastAsia"/>
          <w:szCs w:val="18"/>
        </w:rPr>
        <w:footnoteRef/>
      </w:r>
      <w:r w:rsidRPr="00D67A18">
        <w:rPr>
          <w:szCs w:val="18"/>
        </w:rPr>
        <w:t xml:space="preserve"> </w:t>
      </w:r>
      <w:r w:rsidRPr="00D67A18">
        <w:rPr>
          <w:szCs w:val="18"/>
        </w:rPr>
        <w:tab/>
      </w:r>
      <w:r w:rsidRPr="00D67A18">
        <w:t xml:space="preserve">Stats NZ. 2021. </w:t>
      </w:r>
      <w:r w:rsidRPr="00D67A18">
        <w:rPr>
          <w:i/>
          <w:iCs/>
        </w:rPr>
        <w:t xml:space="preserve">2018 Census Urban Accessibility Dataset. </w:t>
      </w:r>
      <w:r w:rsidRPr="00D67A18">
        <w:t xml:space="preserve">Retrieved from </w:t>
      </w:r>
      <w:hyperlink r:id="rId30" w:history="1">
        <w:r w:rsidRPr="00BB203A">
          <w:rPr>
            <w:rStyle w:val="Hyperlink"/>
          </w:rPr>
          <w:t>www.stats.govt.nz/information-releases/2018-census-urban-accessibility-dataset</w:t>
        </w:r>
      </w:hyperlink>
      <w:r w:rsidRPr="00D67A18">
        <w:t>.</w:t>
      </w:r>
      <w:r>
        <w:t xml:space="preserve"> </w:t>
      </w:r>
    </w:p>
  </w:footnote>
  <w:footnote w:id="45">
    <w:p w14:paraId="539BB71C" w14:textId="77777777" w:rsidR="00FD1D4D" w:rsidRPr="00F22AC4" w:rsidRDefault="00FD1D4D" w:rsidP="00007DBB">
      <w:pPr>
        <w:pStyle w:val="FootnoteText"/>
        <w:spacing w:after="40" w:line="220" w:lineRule="atLeast"/>
      </w:pPr>
      <w:r w:rsidRPr="00D67A18">
        <w:rPr>
          <w:rStyle w:val="FootnoteReference"/>
          <w:rFonts w:eastAsiaTheme="majorEastAsia"/>
          <w:szCs w:val="18"/>
        </w:rPr>
        <w:footnoteRef/>
      </w:r>
      <w:r w:rsidRPr="00D67A18">
        <w:t xml:space="preserve"> </w:t>
      </w:r>
      <w:r w:rsidRPr="00D67A18">
        <w:tab/>
        <w:t xml:space="preserve">Stats NZ. 2022. </w:t>
      </w:r>
      <w:r w:rsidRPr="00D67A18">
        <w:rPr>
          <w:i/>
          <w:iCs/>
        </w:rPr>
        <w:t xml:space="preserve">Dwelling and Household Estimates: </w:t>
      </w:r>
      <w:r>
        <w:rPr>
          <w:i/>
          <w:iCs/>
        </w:rPr>
        <w:t>June</w:t>
      </w:r>
      <w:r w:rsidRPr="00D67A18">
        <w:rPr>
          <w:i/>
          <w:iCs/>
        </w:rPr>
        <w:t xml:space="preserve"> 2022 Quarter. </w:t>
      </w:r>
      <w:r w:rsidRPr="00D67A18">
        <w:t xml:space="preserve">Retrieved from </w:t>
      </w:r>
      <w:hyperlink r:id="rId31" w:history="1">
        <w:r w:rsidRPr="009156A2">
          <w:rPr>
            <w:rStyle w:val="Hyperlink"/>
            <w:szCs w:val="18"/>
          </w:rPr>
          <w:t>www.stats.govt.nz/information-releases/dwelling-and-household-estimates-june-2022-quarter</w:t>
        </w:r>
      </w:hyperlink>
      <w:r w:rsidRPr="00D67A18">
        <w:t xml:space="preserve">. </w:t>
      </w:r>
    </w:p>
  </w:footnote>
  <w:footnote w:id="46">
    <w:p w14:paraId="17CC80B8" w14:textId="77777777" w:rsidR="00FD1D4D" w:rsidRPr="00D67A18" w:rsidRDefault="00FD1D4D" w:rsidP="00007DBB">
      <w:pPr>
        <w:pStyle w:val="FootnoteText"/>
        <w:spacing w:after="40" w:line="220" w:lineRule="atLeast"/>
      </w:pPr>
      <w:r w:rsidRPr="00D67A18">
        <w:rPr>
          <w:rStyle w:val="FootnoteReference"/>
        </w:rPr>
        <w:footnoteRef/>
      </w:r>
      <w:r>
        <w:tab/>
        <w:t xml:space="preserve">Stats NZ. 2020. </w:t>
      </w:r>
      <w:r>
        <w:rPr>
          <w:i/>
          <w:iCs/>
        </w:rPr>
        <w:t xml:space="preserve">Housing in Aotearoa: 2020. </w:t>
      </w:r>
      <w:r>
        <w:t xml:space="preserve">Retrieved from </w:t>
      </w:r>
      <w:hyperlink r:id="rId32" w:history="1">
        <w:r w:rsidRPr="00B42ADF">
          <w:rPr>
            <w:rStyle w:val="Hyperlink"/>
          </w:rPr>
          <w:t>www.stats.govt.nz/reports/housing-in-aotearoa-2020</w:t>
        </w:r>
      </w:hyperlink>
      <w:r>
        <w:t>.</w:t>
      </w:r>
    </w:p>
  </w:footnote>
  <w:footnote w:id="47">
    <w:p w14:paraId="1B72DAA1" w14:textId="77777777" w:rsidR="00FD1D4D" w:rsidRDefault="00FD1D4D" w:rsidP="000206EE">
      <w:pPr>
        <w:pStyle w:val="FootnoteText"/>
        <w:spacing w:line="220" w:lineRule="atLeast"/>
      </w:pPr>
      <w:r>
        <w:rPr>
          <w:rStyle w:val="FootnoteReference"/>
        </w:rPr>
        <w:footnoteRef/>
      </w:r>
      <w:r>
        <w:t xml:space="preserve"> </w:t>
      </w:r>
      <w:r>
        <w:tab/>
        <w:t xml:space="preserve">Administrative data include data collected by government agencies on private organisations in the course of conducting their business or services. They are not data collected primarily for statistical purposes. </w:t>
      </w:r>
    </w:p>
  </w:footnote>
  <w:footnote w:id="48">
    <w:p w14:paraId="203A066A" w14:textId="77777777" w:rsidR="00FD1D4D" w:rsidRPr="00BB505E" w:rsidRDefault="00FD1D4D" w:rsidP="004566F8">
      <w:pPr>
        <w:pStyle w:val="FootnoteText"/>
      </w:pPr>
      <w:r w:rsidRPr="00D67A18">
        <w:rPr>
          <w:rStyle w:val="FootnoteReference"/>
          <w:rFonts w:eastAsiaTheme="majorEastAsia"/>
          <w:szCs w:val="18"/>
        </w:rPr>
        <w:footnoteRef/>
      </w:r>
      <w:r w:rsidRPr="00D67A18">
        <w:t xml:space="preserve"> </w:t>
      </w:r>
      <w:r w:rsidRPr="00D67A18">
        <w:tab/>
        <w:t xml:space="preserve">Stats NZ. </w:t>
      </w:r>
      <w:r>
        <w:t xml:space="preserve">2021. </w:t>
      </w:r>
      <w:r>
        <w:rPr>
          <w:i/>
          <w:iCs/>
        </w:rPr>
        <w:t xml:space="preserve">National accounts (industry production and investment): Year ended March 2020. </w:t>
      </w:r>
      <w:r>
        <w:t xml:space="preserve">Retrieved from </w:t>
      </w:r>
      <w:hyperlink r:id="rId33" w:history="1">
        <w:r>
          <w:rPr>
            <w:rStyle w:val="Hyperlink"/>
          </w:rPr>
          <w:t>www.stats.govt.nz/information-releases/national-accounts-industry-production-and-investment-year-ended-march-2020/</w:t>
        </w:r>
      </w:hyperlink>
      <w:r>
        <w:t xml:space="preserve"> </w:t>
      </w:r>
    </w:p>
  </w:footnote>
  <w:footnote w:id="49">
    <w:p w14:paraId="6D14E5A0" w14:textId="77777777" w:rsidR="00FD1D4D" w:rsidRPr="00D67A18" w:rsidRDefault="00FD1D4D" w:rsidP="004566F8">
      <w:pPr>
        <w:pStyle w:val="FootnoteText"/>
      </w:pPr>
      <w:r w:rsidRPr="00F22AC4">
        <w:rPr>
          <w:rStyle w:val="FootnoteReference"/>
          <w:rFonts w:eastAsiaTheme="majorEastAsia"/>
          <w:szCs w:val="18"/>
        </w:rPr>
        <w:footnoteRef/>
      </w:r>
      <w:r w:rsidRPr="00F22AC4">
        <w:t xml:space="preserve"> </w:t>
      </w:r>
      <w:r w:rsidRPr="00F22AC4">
        <w:tab/>
      </w:r>
      <w:r w:rsidRPr="00D67A18">
        <w:t>Annual average calculated based on percentage change from same quarter previous year, ie, 2022Q1 vs</w:t>
      </w:r>
      <w:r>
        <w:t> </w:t>
      </w:r>
      <w:r w:rsidRPr="00D67A18">
        <w:t xml:space="preserve">2021Q1. Stats NZ. 2022. </w:t>
      </w:r>
      <w:r w:rsidRPr="00D67A18">
        <w:rPr>
          <w:i/>
        </w:rPr>
        <w:t>Table Reference: SNE181AA.</w:t>
      </w:r>
      <w:r w:rsidRPr="00D67A18">
        <w:t xml:space="preserve"> Retrieved from </w:t>
      </w:r>
      <w:hyperlink r:id="rId34" w:history="1">
        <w:r w:rsidRPr="00D67A18">
          <w:rPr>
            <w:rStyle w:val="Hyperlink"/>
            <w:szCs w:val="18"/>
          </w:rPr>
          <w:t>www.stats.govt.nz/infoshare</w:t>
        </w:r>
      </w:hyperlink>
      <w:r w:rsidRPr="00D67A18">
        <w:rPr>
          <w:rStyle w:val="Hyperlink"/>
          <w:szCs w:val="18"/>
        </w:rPr>
        <w:t>.</w:t>
      </w:r>
    </w:p>
  </w:footnote>
  <w:footnote w:id="50">
    <w:p w14:paraId="55BA1227" w14:textId="77777777" w:rsidR="00FD1D4D" w:rsidRPr="00BB203A" w:rsidRDefault="00FD1D4D" w:rsidP="004566F8">
      <w:pPr>
        <w:pStyle w:val="FootnoteText"/>
      </w:pPr>
      <w:r w:rsidRPr="00D67A18">
        <w:rPr>
          <w:rStyle w:val="FootnoteReference"/>
        </w:rPr>
        <w:footnoteRef/>
      </w:r>
      <w:r w:rsidRPr="00D67A18">
        <w:t xml:space="preserve"> </w:t>
      </w:r>
      <w:r>
        <w:tab/>
        <w:t xml:space="preserve">Stats NZ. 2022. </w:t>
      </w:r>
      <w:r>
        <w:rPr>
          <w:i/>
          <w:iCs/>
        </w:rPr>
        <w:t xml:space="preserve">Gross Domestic Product: March 2022. </w:t>
      </w:r>
      <w:r>
        <w:t xml:space="preserve">Retrieved from </w:t>
      </w:r>
      <w:hyperlink r:id="rId35" w:history="1">
        <w:r w:rsidRPr="00BB203A">
          <w:rPr>
            <w:rStyle w:val="Hyperlink"/>
          </w:rPr>
          <w:t>www.stats.govt.nz/information-releases/gross-domestic-product-march-2022-quarter</w:t>
        </w:r>
      </w:hyperlink>
      <w:r>
        <w:t>.</w:t>
      </w:r>
    </w:p>
  </w:footnote>
  <w:footnote w:id="51">
    <w:p w14:paraId="5E5732B7" w14:textId="77777777" w:rsidR="00FD1D4D" w:rsidRPr="00115878" w:rsidRDefault="00FD1D4D" w:rsidP="004566F8">
      <w:pPr>
        <w:pStyle w:val="FootnoteText"/>
        <w:rPr>
          <w:highlight w:val="yellow"/>
        </w:rPr>
      </w:pPr>
      <w:r w:rsidRPr="00BE57E5">
        <w:rPr>
          <w:rStyle w:val="FootnoteReference"/>
          <w:rFonts w:eastAsiaTheme="majorEastAsia"/>
          <w:szCs w:val="18"/>
        </w:rPr>
        <w:footnoteRef/>
      </w:r>
      <w:r w:rsidRPr="00BE57E5">
        <w:t xml:space="preserve"> </w:t>
      </w:r>
      <w:r w:rsidRPr="00BE57E5">
        <w:tab/>
      </w:r>
      <w:r>
        <w:t xml:space="preserve">Stats NZ. </w:t>
      </w:r>
      <w:r>
        <w:rPr>
          <w:i/>
          <w:iCs/>
        </w:rPr>
        <w:t xml:space="preserve">New Zealand Trade Dashboard. </w:t>
      </w:r>
      <w:r>
        <w:t xml:space="preserve">Retrieved from </w:t>
      </w:r>
      <w:hyperlink r:id="rId36" w:history="1">
        <w:r>
          <w:rPr>
            <w:rStyle w:val="Hyperlink"/>
          </w:rPr>
          <w:t>statisticsnz.shinyapps.io/trade_dashboard</w:t>
        </w:r>
      </w:hyperlink>
      <w:r>
        <w:t>.</w:t>
      </w:r>
    </w:p>
  </w:footnote>
  <w:footnote w:id="52">
    <w:p w14:paraId="52417A6F" w14:textId="77777777" w:rsidR="00FD1D4D" w:rsidRPr="00115878" w:rsidRDefault="00FD1D4D" w:rsidP="004566F8">
      <w:pPr>
        <w:pStyle w:val="FootnoteText"/>
      </w:pPr>
      <w:r>
        <w:rPr>
          <w:rStyle w:val="FootnoteReference"/>
        </w:rPr>
        <w:footnoteRef/>
      </w:r>
      <w:r>
        <w:t xml:space="preserve"> </w:t>
      </w:r>
      <w:r>
        <w:tab/>
      </w:r>
      <w:r w:rsidRPr="00B302F4">
        <w:t>Stats</w:t>
      </w:r>
      <w:r w:rsidRPr="00F22AC4">
        <w:rPr>
          <w:rFonts w:asciiTheme="minorHAnsi" w:hAnsiTheme="minorHAnsi" w:cstheme="minorHAnsi"/>
          <w:szCs w:val="19"/>
        </w:rPr>
        <w:t xml:space="preserve"> NZ. 2022. </w:t>
      </w:r>
      <w:r w:rsidRPr="00F22AC4">
        <w:rPr>
          <w:rFonts w:asciiTheme="minorHAnsi" w:hAnsiTheme="minorHAnsi" w:cstheme="minorHAnsi"/>
          <w:i/>
          <w:szCs w:val="19"/>
        </w:rPr>
        <w:t xml:space="preserve">Table Reference: </w:t>
      </w:r>
      <w:r>
        <w:rPr>
          <w:rFonts w:asciiTheme="minorHAnsi" w:hAnsiTheme="minorHAnsi" w:cstheme="minorHAnsi"/>
          <w:i/>
          <w:szCs w:val="19"/>
        </w:rPr>
        <w:t>HLF137AA</w:t>
      </w:r>
      <w:r w:rsidRPr="00F22AC4">
        <w:rPr>
          <w:rFonts w:asciiTheme="minorHAnsi" w:hAnsiTheme="minorHAnsi" w:cstheme="minorHAnsi"/>
          <w:i/>
          <w:szCs w:val="19"/>
        </w:rPr>
        <w:t>.</w:t>
      </w:r>
      <w:r w:rsidRPr="00F22AC4">
        <w:rPr>
          <w:rFonts w:asciiTheme="minorHAnsi" w:hAnsiTheme="minorHAnsi" w:cstheme="minorHAnsi"/>
          <w:szCs w:val="19"/>
        </w:rPr>
        <w:t xml:space="preserve"> Retrieved from</w:t>
      </w:r>
      <w:r w:rsidRPr="00F22AC4">
        <w:rPr>
          <w:rFonts w:asciiTheme="minorHAnsi" w:hAnsiTheme="minorHAnsi" w:cstheme="minorHAnsi"/>
          <w:i/>
          <w:szCs w:val="19"/>
        </w:rPr>
        <w:t xml:space="preserve"> </w:t>
      </w:r>
      <w:hyperlink r:id="rId37" w:history="1">
        <w:r w:rsidRPr="00F22AC4">
          <w:rPr>
            <w:rStyle w:val="Hyperlink"/>
            <w:rFonts w:asciiTheme="minorHAnsi" w:hAnsiTheme="minorHAnsi" w:cstheme="minorHAnsi"/>
            <w:szCs w:val="19"/>
          </w:rPr>
          <w:t>www.stats.govt.nz/infoshare</w:t>
        </w:r>
      </w:hyperlink>
      <w:r w:rsidRPr="00F22AC4">
        <w:rPr>
          <w:rStyle w:val="Hyperlink"/>
          <w:rFonts w:asciiTheme="minorHAnsi" w:hAnsiTheme="minorHAnsi" w:cstheme="minorHAnsi"/>
          <w:szCs w:val="19"/>
        </w:rPr>
        <w:t>.</w:t>
      </w:r>
    </w:p>
  </w:footnote>
  <w:footnote w:id="53">
    <w:p w14:paraId="3502DA01" w14:textId="77777777" w:rsidR="00FD1D4D" w:rsidRPr="00F22AC4" w:rsidRDefault="00FD1D4D" w:rsidP="004566F8">
      <w:pPr>
        <w:pStyle w:val="FootnoteText"/>
        <w:rPr>
          <w:szCs w:val="18"/>
        </w:rPr>
      </w:pPr>
      <w:r w:rsidRPr="00F22AC4">
        <w:rPr>
          <w:rStyle w:val="FootnoteReference"/>
          <w:rFonts w:eastAsiaTheme="majorEastAsia"/>
          <w:szCs w:val="18"/>
        </w:rPr>
        <w:footnoteRef/>
      </w:r>
      <w:r w:rsidRPr="00F22AC4">
        <w:rPr>
          <w:szCs w:val="18"/>
        </w:rPr>
        <w:t xml:space="preserve"> </w:t>
      </w:r>
      <w:r w:rsidRPr="00F22AC4">
        <w:rPr>
          <w:szCs w:val="18"/>
        </w:rPr>
        <w:tab/>
      </w:r>
      <w:r>
        <w:rPr>
          <w:szCs w:val="18"/>
        </w:rPr>
        <w:t xml:space="preserve">Stats NZ. </w:t>
      </w:r>
      <w:r w:rsidRPr="00735B77">
        <w:rPr>
          <w:i/>
          <w:iCs/>
        </w:rPr>
        <w:t>New Zealand Trade Dashboard</w:t>
      </w:r>
      <w:r>
        <w:t xml:space="preserve">. Retrieved from </w:t>
      </w:r>
      <w:hyperlink r:id="rId38" w:history="1">
        <w:r>
          <w:rPr>
            <w:rStyle w:val="Hyperlink"/>
          </w:rPr>
          <w:t>statisticsnz.shinyapps.io/trade_dashboard</w:t>
        </w:r>
      </w:hyperlink>
      <w:r>
        <w:t>.</w:t>
      </w:r>
    </w:p>
  </w:footnote>
  <w:footnote w:id="54">
    <w:p w14:paraId="49721E7F" w14:textId="77777777" w:rsidR="00FD1D4D" w:rsidRPr="00F22AC4" w:rsidRDefault="00FD1D4D" w:rsidP="004566F8">
      <w:pPr>
        <w:pStyle w:val="FootnoteText"/>
      </w:pPr>
      <w:r w:rsidRPr="00F22AC4">
        <w:rPr>
          <w:rStyle w:val="FootnoteReference"/>
          <w:rFonts w:eastAsiaTheme="majorEastAsia"/>
          <w:szCs w:val="18"/>
        </w:rPr>
        <w:footnoteRef/>
      </w:r>
      <w:r w:rsidRPr="00F22AC4">
        <w:t xml:space="preserve"> </w:t>
      </w:r>
      <w:r w:rsidRPr="00F22AC4">
        <w:tab/>
        <w:t xml:space="preserve">OECD. 2017. </w:t>
      </w:r>
      <w:r w:rsidRPr="00F22AC4">
        <w:rPr>
          <w:i/>
        </w:rPr>
        <w:t>OECD Environmental Performance Reviews: New Zealand 2017</w:t>
      </w:r>
      <w:r w:rsidRPr="00F22AC4">
        <w:t xml:space="preserve">. Paris: OECD Publishing. Retrieved from </w:t>
      </w:r>
      <w:hyperlink r:id="rId39" w:history="1">
        <w:r w:rsidRPr="00F22AC4">
          <w:rPr>
            <w:rStyle w:val="Hyperlink"/>
            <w:szCs w:val="18"/>
          </w:rPr>
          <w:t>dx.doi.org/10.1787/9789264268203-en</w:t>
        </w:r>
      </w:hyperlink>
      <w:r w:rsidRPr="00F22AC4">
        <w:rPr>
          <w:rStyle w:val="Hyperlink"/>
          <w:szCs w:val="18"/>
        </w:rPr>
        <w:t>.</w:t>
      </w:r>
    </w:p>
  </w:footnote>
  <w:footnote w:id="55">
    <w:p w14:paraId="3A08C893" w14:textId="77777777" w:rsidR="00FD1D4D" w:rsidRDefault="00FD1D4D" w:rsidP="004566F8">
      <w:pPr>
        <w:pStyle w:val="FootnoteText"/>
      </w:pPr>
      <w:r w:rsidRPr="00316CFF">
        <w:rPr>
          <w:rStyle w:val="FootnoteReference"/>
        </w:rPr>
        <w:footnoteRef/>
      </w:r>
      <w:r>
        <w:tab/>
        <w:t>Stats NZ.</w:t>
      </w:r>
      <w:r w:rsidRPr="00735B77">
        <w:rPr>
          <w:i/>
          <w:iCs/>
        </w:rPr>
        <w:t xml:space="preserve"> New Zealand Trade Dashboard</w:t>
      </w:r>
      <w:r>
        <w:t>.</w:t>
      </w:r>
      <w:r w:rsidRPr="00C24046">
        <w:t xml:space="preserve"> </w:t>
      </w:r>
      <w:r>
        <w:t xml:space="preserve">Retrieved from </w:t>
      </w:r>
      <w:hyperlink r:id="rId40" w:history="1">
        <w:r>
          <w:rPr>
            <w:rStyle w:val="Hyperlink"/>
          </w:rPr>
          <w:t>statisticsnz.shinyapps.io/trade_dashboard</w:t>
        </w:r>
      </w:hyperlink>
      <w:r>
        <w:t>.</w:t>
      </w:r>
    </w:p>
  </w:footnote>
  <w:footnote w:id="56">
    <w:p w14:paraId="7E039274" w14:textId="77777777" w:rsidR="00FD1D4D" w:rsidRDefault="00FD1D4D" w:rsidP="004566F8">
      <w:pPr>
        <w:pStyle w:val="FootnoteText"/>
      </w:pPr>
      <w:r>
        <w:rPr>
          <w:rStyle w:val="FootnoteReference"/>
        </w:rPr>
        <w:footnoteRef/>
      </w:r>
      <w:r>
        <w:tab/>
        <w:t xml:space="preserve">Stats NZ. 2022. </w:t>
      </w:r>
      <w:r>
        <w:rPr>
          <w:i/>
          <w:iCs/>
        </w:rPr>
        <w:t xml:space="preserve">Tourism Satellite Account: Year Ended March 2021. </w:t>
      </w:r>
      <w:r>
        <w:t xml:space="preserve">Wellington: Stats NZ. Retrieved from </w:t>
      </w:r>
      <w:hyperlink r:id="rId41" w:history="1">
        <w:r w:rsidRPr="00EF6566">
          <w:rPr>
            <w:rStyle w:val="Hyperlink"/>
          </w:rPr>
          <w:t>www.mbie.govt.nz/assets/tourism-satellite-account-year-ended-march-2021.pdf</w:t>
        </w:r>
      </w:hyperlink>
      <w:r>
        <w:t>.</w:t>
      </w:r>
    </w:p>
  </w:footnote>
  <w:footnote w:id="57">
    <w:p w14:paraId="6A167149" w14:textId="77777777" w:rsidR="00FD1D4D" w:rsidRDefault="00FD1D4D" w:rsidP="004566F8">
      <w:pPr>
        <w:pStyle w:val="FootnoteText"/>
      </w:pPr>
      <w:r>
        <w:rPr>
          <w:rStyle w:val="FootnoteReference"/>
        </w:rPr>
        <w:footnoteRef/>
      </w:r>
      <w:r>
        <w:tab/>
        <w:t xml:space="preserve">Stats NZ. 2022. </w:t>
      </w:r>
      <w:r>
        <w:rPr>
          <w:i/>
          <w:iCs/>
        </w:rPr>
        <w:t xml:space="preserve">Tourism Satellite Account: Year Ended March 2021. </w:t>
      </w:r>
      <w:r>
        <w:t xml:space="preserve">Wellington: Stats NZ. Retrieved from </w:t>
      </w:r>
      <w:hyperlink r:id="rId42" w:history="1">
        <w:r w:rsidRPr="00B42ADF">
          <w:rPr>
            <w:rStyle w:val="Hyperlink"/>
          </w:rPr>
          <w:t>www.mbie.govt.nz/assets/tourism-satellite-account-year-ended-march-2021.pdf</w:t>
        </w:r>
      </w:hyperlink>
      <w:r>
        <w:t>.</w:t>
      </w:r>
    </w:p>
  </w:footnote>
  <w:footnote w:id="58">
    <w:p w14:paraId="7A04F52D" w14:textId="77777777" w:rsidR="00FD1D4D" w:rsidRDefault="00FD1D4D" w:rsidP="004566F8">
      <w:pPr>
        <w:pStyle w:val="FootnoteText"/>
      </w:pPr>
      <w:r>
        <w:rPr>
          <w:rStyle w:val="FootnoteReference"/>
        </w:rPr>
        <w:footnoteRef/>
      </w:r>
      <w:r>
        <w:t xml:space="preserve"> </w:t>
      </w:r>
      <w:r>
        <w:tab/>
        <w:t>Stats NZ.</w:t>
      </w:r>
      <w:r w:rsidRPr="00735B77">
        <w:rPr>
          <w:i/>
          <w:iCs/>
        </w:rPr>
        <w:t xml:space="preserve"> New Zealand Trade Dashboard</w:t>
      </w:r>
      <w:r>
        <w:t>.</w:t>
      </w:r>
      <w:r w:rsidRPr="00C24046">
        <w:t xml:space="preserve"> </w:t>
      </w:r>
      <w:r>
        <w:t xml:space="preserve">Retrieved from </w:t>
      </w:r>
      <w:hyperlink r:id="rId43" w:history="1">
        <w:r>
          <w:rPr>
            <w:rStyle w:val="Hyperlink"/>
          </w:rPr>
          <w:t>statisticsnz.shinyapps.io/trade_dashboard</w:t>
        </w:r>
      </w:hyperlink>
      <w:r>
        <w:t>.</w:t>
      </w:r>
    </w:p>
  </w:footnote>
  <w:footnote w:id="59">
    <w:p w14:paraId="2B3EC2A0" w14:textId="77777777" w:rsidR="00FD1D4D" w:rsidRDefault="00FD1D4D" w:rsidP="004566F8">
      <w:pPr>
        <w:pStyle w:val="FootnoteText"/>
        <w:rPr>
          <w:highlight w:val="yellow"/>
        </w:rPr>
      </w:pPr>
      <w:r>
        <w:rPr>
          <w:rStyle w:val="FootnoteReference"/>
          <w:rFonts w:eastAsiaTheme="majorEastAsia"/>
          <w:szCs w:val="18"/>
        </w:rPr>
        <w:footnoteRef/>
      </w:r>
      <w:r>
        <w:t xml:space="preserve"> </w:t>
      </w:r>
      <w:r>
        <w:tab/>
        <w:t xml:space="preserve">1 </w:t>
      </w:r>
      <w:r w:rsidRPr="00F96DB0">
        <w:t>petajoule</w:t>
      </w:r>
      <w:r>
        <w:t xml:space="preserve"> = 10</w:t>
      </w:r>
      <w:r>
        <w:rPr>
          <w:vertAlign w:val="superscript"/>
        </w:rPr>
        <w:t>15</w:t>
      </w:r>
      <w:r>
        <w:t xml:space="preserve"> joules.</w:t>
      </w:r>
    </w:p>
  </w:footnote>
  <w:footnote w:id="60">
    <w:p w14:paraId="21BD3098" w14:textId="77777777" w:rsidR="00FD1D4D" w:rsidRDefault="00FD1D4D" w:rsidP="004566F8">
      <w:pPr>
        <w:pStyle w:val="FootnoteText"/>
        <w:rPr>
          <w:highlight w:val="yellow"/>
        </w:rPr>
      </w:pPr>
      <w:r>
        <w:rPr>
          <w:rStyle w:val="FootnoteReference"/>
          <w:rFonts w:eastAsiaTheme="majorEastAsia"/>
          <w:szCs w:val="18"/>
        </w:rPr>
        <w:footnoteRef/>
      </w:r>
      <w:r>
        <w:t xml:space="preserve"> </w:t>
      </w:r>
      <w:r>
        <w:tab/>
        <w:t xml:space="preserve">Unless otherwise specified, all information in this section comes from: Ministry of Business, Innovation and Employment. </w:t>
      </w:r>
      <w:r>
        <w:rPr>
          <w:i/>
        </w:rPr>
        <w:t>Energy in New Zealand</w:t>
      </w:r>
      <w:r>
        <w:t xml:space="preserve"> </w:t>
      </w:r>
      <w:r>
        <w:rPr>
          <w:i/>
        </w:rPr>
        <w:t xml:space="preserve">2022. </w:t>
      </w:r>
      <w:r>
        <w:rPr>
          <w:iCs/>
        </w:rPr>
        <w:t>Wellington: MBIE.</w:t>
      </w:r>
      <w:r>
        <w:rPr>
          <w:i/>
        </w:rPr>
        <w:t xml:space="preserve"> </w:t>
      </w:r>
      <w:r>
        <w:t xml:space="preserve">Retrieved from </w:t>
      </w:r>
      <w:hyperlink r:id="rId44" w:history="1">
        <w:r w:rsidRPr="00D970AF">
          <w:rPr>
            <w:rStyle w:val="Hyperlink"/>
          </w:rPr>
          <w:t>www.mbie.govt.nz/dmsdocument/23550-energy-in-new-zealand-2022-pdf</w:t>
        </w:r>
      </w:hyperlink>
      <w:r>
        <w:t>.</w:t>
      </w:r>
    </w:p>
  </w:footnote>
  <w:footnote w:id="61">
    <w:p w14:paraId="71FE0118" w14:textId="77777777" w:rsidR="00FD1D4D" w:rsidRPr="0045354B" w:rsidRDefault="00FD1D4D" w:rsidP="004566F8">
      <w:pPr>
        <w:pStyle w:val="FootnoteText"/>
        <w:rPr>
          <w:b/>
          <w:bCs/>
        </w:rPr>
      </w:pPr>
      <w:r>
        <w:rPr>
          <w:rStyle w:val="FootnoteReference"/>
        </w:rPr>
        <w:footnoteRef/>
      </w:r>
      <w:r>
        <w:t xml:space="preserve"> </w:t>
      </w:r>
      <w:r>
        <w:tab/>
        <w:t xml:space="preserve">Ministry of Business, Innovation and Employment. </w:t>
      </w:r>
      <w:r>
        <w:rPr>
          <w:i/>
        </w:rPr>
        <w:t>Energy in New Zealand</w:t>
      </w:r>
      <w:r>
        <w:t xml:space="preserve"> </w:t>
      </w:r>
      <w:r>
        <w:rPr>
          <w:i/>
        </w:rPr>
        <w:t xml:space="preserve">2021. </w:t>
      </w:r>
      <w:r>
        <w:rPr>
          <w:iCs/>
        </w:rPr>
        <w:t>Wellington: MBIE.</w:t>
      </w:r>
      <w:r>
        <w:rPr>
          <w:i/>
        </w:rPr>
        <w:t xml:space="preserve"> </w:t>
      </w:r>
      <w:r>
        <w:t xml:space="preserve">Retrieved from </w:t>
      </w:r>
      <w:hyperlink r:id="rId45" w:history="1">
        <w:r>
          <w:rPr>
            <w:rStyle w:val="Hyperlink"/>
          </w:rPr>
          <w:t>www.mbie.govt.nz/assets/energy-in-new-zealand-2021.pdf</w:t>
        </w:r>
      </w:hyperlink>
      <w:r>
        <w:t xml:space="preserve"> </w:t>
      </w:r>
    </w:p>
  </w:footnote>
  <w:footnote w:id="62">
    <w:p w14:paraId="387CF9AB" w14:textId="77777777" w:rsidR="00FD1D4D" w:rsidRPr="00A40E9B" w:rsidRDefault="00FD1D4D" w:rsidP="004566F8">
      <w:pPr>
        <w:pStyle w:val="FootnoteText"/>
      </w:pPr>
      <w:r>
        <w:rPr>
          <w:rStyle w:val="FootnoteReference"/>
          <w:rFonts w:eastAsiaTheme="majorEastAsia"/>
          <w:szCs w:val="18"/>
        </w:rPr>
        <w:footnoteRef/>
      </w:r>
      <w:r>
        <w:t xml:space="preserve"> </w:t>
      </w:r>
      <w:r>
        <w:tab/>
        <w:t xml:space="preserve">All greenhouse gas emissions data in this section are from: Ministry for the Environment. 2021. </w:t>
      </w:r>
      <w:r w:rsidRPr="00A40E9B">
        <w:rPr>
          <w:i/>
        </w:rPr>
        <w:t>New Zealand’s Greenhouse Gas Inventory 1990–2020</w:t>
      </w:r>
      <w:r w:rsidRPr="00A40E9B">
        <w:t>. Wellington: Ministry for the Environment.</w:t>
      </w:r>
      <w:r>
        <w:t xml:space="preserve"> </w:t>
      </w:r>
      <w:r>
        <w:rPr>
          <w:rFonts w:eastAsia="Calibri" w:cs="Calibri"/>
        </w:rPr>
        <w:t>Retrieved from</w:t>
      </w:r>
      <w:r>
        <w:t xml:space="preserve"> </w:t>
      </w:r>
      <w:hyperlink r:id="rId46" w:history="1">
        <w:r w:rsidRPr="00FF5BF8">
          <w:rPr>
            <w:rStyle w:val="Hyperlink"/>
          </w:rPr>
          <w:t>environment.govt.nz/publications/new-zealands-greenhouse-gas-inventory-1990-2020</w:t>
        </w:r>
      </w:hyperlink>
      <w:r>
        <w:rPr>
          <w:rStyle w:val="Hyperlink"/>
        </w:rPr>
        <w:t>.</w:t>
      </w:r>
    </w:p>
  </w:footnote>
  <w:footnote w:id="63">
    <w:p w14:paraId="2D82EA04" w14:textId="77777777" w:rsidR="00FD1D4D" w:rsidRDefault="00FD1D4D" w:rsidP="004566F8">
      <w:pPr>
        <w:pStyle w:val="FootnoteText"/>
        <w:rPr>
          <w:highlight w:val="yellow"/>
        </w:rPr>
      </w:pPr>
      <w:r w:rsidRPr="00F22AC4">
        <w:rPr>
          <w:rStyle w:val="FootnoteReference"/>
          <w:rFonts w:eastAsiaTheme="majorEastAsia"/>
          <w:szCs w:val="18"/>
        </w:rPr>
        <w:footnoteRef/>
      </w:r>
      <w:r w:rsidRPr="00F22AC4">
        <w:t xml:space="preserve"> </w:t>
      </w:r>
      <w:r w:rsidRPr="00A40E9B">
        <w:tab/>
        <w:t>Energy self-sufficiency, the ratio of indigenous</w:t>
      </w:r>
      <w:r>
        <w:t xml:space="preserve"> energy production to total primary energy supply, is a measure of a country’s ability to meet its own energy supply requirements.</w:t>
      </w:r>
    </w:p>
  </w:footnote>
  <w:footnote w:id="64">
    <w:p w14:paraId="12586D94" w14:textId="77777777" w:rsidR="00FD1D4D" w:rsidRPr="00590C3F" w:rsidRDefault="00FD1D4D" w:rsidP="004566F8">
      <w:pPr>
        <w:pStyle w:val="FootnoteText"/>
      </w:pPr>
      <w:r>
        <w:rPr>
          <w:rStyle w:val="FootnoteReference"/>
        </w:rPr>
        <w:footnoteRef/>
      </w:r>
      <w:r>
        <w:tab/>
        <w:t xml:space="preserve">Ministry of Business, Innovation and Employment. </w:t>
      </w:r>
      <w:r w:rsidRPr="00735B77">
        <w:rPr>
          <w:i/>
          <w:iCs/>
        </w:rPr>
        <w:t>New Zealand Energy Dashboard</w:t>
      </w:r>
      <w:r>
        <w:t xml:space="preserve">. Retrieved from </w:t>
      </w:r>
      <w:hyperlink r:id="rId47" w:history="1">
        <w:r w:rsidRPr="004E3FFD">
          <w:rPr>
            <w:rStyle w:val="Hyperlink"/>
          </w:rPr>
          <w:t>energydashboard.mbie.govt.nz</w:t>
        </w:r>
      </w:hyperlink>
      <w:r>
        <w:t>.</w:t>
      </w:r>
    </w:p>
  </w:footnote>
  <w:footnote w:id="65">
    <w:p w14:paraId="65707D3D" w14:textId="77777777" w:rsidR="00FD1D4D" w:rsidRDefault="00FD1D4D" w:rsidP="004566F8">
      <w:pPr>
        <w:pStyle w:val="FootnoteText"/>
      </w:pPr>
      <w:r>
        <w:rPr>
          <w:rStyle w:val="FootnoteReference"/>
        </w:rPr>
        <w:footnoteRef/>
      </w:r>
      <w:r>
        <w:tab/>
        <w:t xml:space="preserve">Ministry of Business, Innovation and Employment. </w:t>
      </w:r>
      <w:r w:rsidRPr="00735B77">
        <w:rPr>
          <w:i/>
          <w:iCs/>
        </w:rPr>
        <w:t>New Zealand Energy Dashboard</w:t>
      </w:r>
      <w:r>
        <w:t xml:space="preserve">. Retrieved from </w:t>
      </w:r>
      <w:hyperlink r:id="rId48" w:history="1">
        <w:r w:rsidRPr="004E3FFD">
          <w:rPr>
            <w:rStyle w:val="Hyperlink"/>
          </w:rPr>
          <w:t>energydashboard.mbie.govt.nz</w:t>
        </w:r>
      </w:hyperlink>
      <w:r>
        <w:t>.</w:t>
      </w:r>
    </w:p>
  </w:footnote>
  <w:footnote w:id="66">
    <w:p w14:paraId="27816906" w14:textId="77777777" w:rsidR="00FD1D4D" w:rsidRDefault="00FD1D4D" w:rsidP="004566F8">
      <w:pPr>
        <w:pStyle w:val="FootnoteText"/>
      </w:pPr>
      <w:r>
        <w:rPr>
          <w:rStyle w:val="FootnoteReference"/>
        </w:rPr>
        <w:footnoteRef/>
      </w:r>
      <w:r>
        <w:t xml:space="preserve"> </w:t>
      </w:r>
      <w:r>
        <w:tab/>
      </w:r>
      <w:r w:rsidRPr="000145AB">
        <w:t xml:space="preserve">Ministry for the Environment. 2022. </w:t>
      </w:r>
      <w:r w:rsidRPr="000145AB">
        <w:rPr>
          <w:i/>
        </w:rPr>
        <w:t>New Zealand’s Greenhouse Gas Inventory 1990–2020.</w:t>
      </w:r>
      <w:r w:rsidRPr="000145AB">
        <w:t xml:space="preserve"> Wellington: Ministry for the Environment.</w:t>
      </w:r>
      <w:r>
        <w:t xml:space="preserve"> </w:t>
      </w:r>
      <w:r>
        <w:rPr>
          <w:rFonts w:eastAsia="Calibri" w:cs="Calibri"/>
        </w:rPr>
        <w:t>Retrieved from</w:t>
      </w:r>
      <w:r>
        <w:t xml:space="preserve"> </w:t>
      </w:r>
      <w:hyperlink r:id="rId49" w:history="1">
        <w:r w:rsidRPr="00FF5BF8">
          <w:rPr>
            <w:rStyle w:val="Hyperlink"/>
          </w:rPr>
          <w:t>environment.govt.nz/publications/new-zealands-greenhouse-gas-inventory-1990-2020</w:t>
        </w:r>
      </w:hyperlink>
      <w:r>
        <w:rPr>
          <w:rStyle w:val="Hyperlink"/>
        </w:rPr>
        <w:t>.</w:t>
      </w:r>
    </w:p>
  </w:footnote>
  <w:footnote w:id="67">
    <w:p w14:paraId="2AA6D92F" w14:textId="77777777" w:rsidR="00FD1D4D" w:rsidRPr="00624E3A" w:rsidRDefault="00FD1D4D" w:rsidP="004566F8">
      <w:pPr>
        <w:pStyle w:val="FootnoteText"/>
      </w:pPr>
      <w:r>
        <w:rPr>
          <w:rStyle w:val="FootnoteReference"/>
        </w:rPr>
        <w:footnoteRef/>
      </w:r>
      <w:r>
        <w:tab/>
        <w:t xml:space="preserve">For more information </w:t>
      </w:r>
      <w:r w:rsidRPr="002C5176">
        <w:t>on</w:t>
      </w:r>
      <w:r>
        <w:t xml:space="preserve"> the NZ Battery Project, see </w:t>
      </w:r>
      <w:hyperlink r:id="rId50" w:history="1">
        <w:r w:rsidRPr="00624E3A">
          <w:rPr>
            <w:rStyle w:val="Hyperlink"/>
          </w:rPr>
          <w:t>www.mbie.govt.nz/building-and-energy/energy-and-natural-resources/low-emissions-economy/nz-battery</w:t>
        </w:r>
      </w:hyperlink>
      <w:r>
        <w:t>.</w:t>
      </w:r>
    </w:p>
  </w:footnote>
  <w:footnote w:id="68">
    <w:p w14:paraId="5DE696EC" w14:textId="708895EA" w:rsidR="00FD1D4D" w:rsidRDefault="00FD1D4D" w:rsidP="004566F8">
      <w:pPr>
        <w:pStyle w:val="FootnoteText"/>
        <w:rPr>
          <w:highlight w:val="yellow"/>
        </w:rPr>
      </w:pPr>
      <w:r w:rsidRPr="00F22AC4">
        <w:rPr>
          <w:rStyle w:val="FootnoteReference"/>
          <w:rFonts w:eastAsiaTheme="majorEastAsia"/>
          <w:szCs w:val="18"/>
        </w:rPr>
        <w:footnoteRef/>
      </w:r>
      <w:r w:rsidRPr="00F22AC4">
        <w:t xml:space="preserve"> </w:t>
      </w:r>
      <w:r w:rsidRPr="00F22AC4">
        <w:tab/>
        <w:t xml:space="preserve">For a detailed account, see: </w:t>
      </w:r>
      <w:r>
        <w:t>Ministry of Business, Innovation and Employment</w:t>
      </w:r>
      <w:r w:rsidRPr="00F22AC4">
        <w:t xml:space="preserve">. 2015. </w:t>
      </w:r>
      <w:r w:rsidRPr="00F22AC4">
        <w:rPr>
          <w:i/>
        </w:rPr>
        <w:t>Chronology of New</w:t>
      </w:r>
      <w:r w:rsidR="00096949">
        <w:rPr>
          <w:i/>
        </w:rPr>
        <w:t> </w:t>
      </w:r>
      <w:r w:rsidRPr="00F22AC4">
        <w:rPr>
          <w:i/>
        </w:rPr>
        <w:t xml:space="preserve">Zealand Electricity Reform. </w:t>
      </w:r>
      <w:r w:rsidRPr="00F22AC4">
        <w:t xml:space="preserve">Wellington: MBIE. Retrieved from </w:t>
      </w:r>
      <w:hyperlink r:id="rId51" w:history="1">
        <w:r w:rsidR="009C249E" w:rsidRPr="00237EB5">
          <w:rPr>
            <w:rStyle w:val="Hyperlink"/>
            <w:szCs w:val="18"/>
          </w:rPr>
          <w:t>www.mbie.govt.nz/info-services/sectors-industries/energy/electricity-market/electricity-industry/chronology-of-new-zealand-electricity-reform</w:t>
        </w:r>
      </w:hyperlink>
      <w:r w:rsidRPr="00F22AC4">
        <w:rPr>
          <w:rStyle w:val="Hyperlink"/>
          <w:szCs w:val="18"/>
        </w:rPr>
        <w:t>.</w:t>
      </w:r>
    </w:p>
  </w:footnote>
  <w:footnote w:id="69">
    <w:p w14:paraId="7238B412" w14:textId="77777777" w:rsidR="00FD1D4D" w:rsidRPr="009A2991" w:rsidRDefault="00FD1D4D" w:rsidP="004566F8">
      <w:pPr>
        <w:pStyle w:val="FootnoteText"/>
      </w:pPr>
      <w:r>
        <w:rPr>
          <w:rStyle w:val="FootnoteReference"/>
          <w:rFonts w:eastAsiaTheme="majorEastAsia"/>
          <w:szCs w:val="18"/>
        </w:rPr>
        <w:footnoteRef/>
      </w:r>
      <w:r>
        <w:t xml:space="preserve"> </w:t>
      </w:r>
      <w:r>
        <w:tab/>
        <w:t xml:space="preserve">Ministry of Business, Innovation and Employment. </w:t>
      </w:r>
      <w:r w:rsidRPr="00883943">
        <w:rPr>
          <w:i/>
          <w:iCs/>
        </w:rPr>
        <w:t>New Zealand Energy Dashboard</w:t>
      </w:r>
      <w:r>
        <w:t xml:space="preserve">. Retrieved from </w:t>
      </w:r>
      <w:hyperlink r:id="rId52" w:history="1">
        <w:r w:rsidRPr="00A40E9B">
          <w:rPr>
            <w:rStyle w:val="Hyperlink"/>
          </w:rPr>
          <w:t>energydashboard.mbie.govt.nz</w:t>
        </w:r>
      </w:hyperlink>
      <w:r>
        <w:t>.</w:t>
      </w:r>
    </w:p>
  </w:footnote>
  <w:footnote w:id="70">
    <w:p w14:paraId="04611CAA" w14:textId="6AB10003" w:rsidR="00FD1D4D" w:rsidRDefault="00FD1D4D" w:rsidP="004566F8">
      <w:pPr>
        <w:pStyle w:val="FootnoteText"/>
      </w:pPr>
      <w:r>
        <w:rPr>
          <w:rStyle w:val="FootnoteReference"/>
        </w:rPr>
        <w:footnoteRef/>
      </w:r>
      <w:r>
        <w:t xml:space="preserve"> </w:t>
      </w:r>
      <w:r>
        <w:tab/>
        <w:t xml:space="preserve">Ministry of Business, Innovation and Employment. 2022. </w:t>
      </w:r>
      <w:r>
        <w:rPr>
          <w:i/>
          <w:iCs/>
        </w:rPr>
        <w:t xml:space="preserve">New Zealand Energy Sector Greenhouse Gas Emissions. </w:t>
      </w:r>
      <w:r>
        <w:t xml:space="preserve">Retrieved from </w:t>
      </w:r>
      <w:hyperlink r:id="rId53" w:history="1">
        <w:r w:rsidR="008566C1" w:rsidRPr="00EE2EF7">
          <w:rPr>
            <w:rStyle w:val="Hyperlink"/>
          </w:rPr>
          <w:t>www.mbie.govt.nz/building-and-energy/energy-and-natural-resources/ energy-statistics-and-modelling/energy-statistics/new-zealand-energy-sector-greenhouse-gas-emissions</w:t>
        </w:r>
      </w:hyperlink>
      <w:r>
        <w:t>.</w:t>
      </w:r>
      <w:r w:rsidDel="00A40E9B">
        <w:t xml:space="preserve"> </w:t>
      </w:r>
    </w:p>
  </w:footnote>
  <w:footnote w:id="71">
    <w:p w14:paraId="1C955EA2" w14:textId="77777777" w:rsidR="00FD1D4D" w:rsidRPr="009A2991" w:rsidRDefault="00FD1D4D" w:rsidP="004566F8">
      <w:pPr>
        <w:pStyle w:val="FootnoteText"/>
      </w:pPr>
      <w:r>
        <w:rPr>
          <w:rStyle w:val="FootnoteReference"/>
          <w:rFonts w:eastAsiaTheme="majorEastAsia"/>
          <w:szCs w:val="18"/>
        </w:rPr>
        <w:footnoteRef/>
      </w:r>
      <w:r>
        <w:t xml:space="preserve"> </w:t>
      </w:r>
      <w:r>
        <w:tab/>
        <w:t xml:space="preserve">Ministry of Business, Innovation and Employment. 2021. </w:t>
      </w:r>
      <w:r>
        <w:rPr>
          <w:i/>
        </w:rPr>
        <w:t>Data Tables for Oil</w:t>
      </w:r>
      <w:r>
        <w:t xml:space="preserve">. Retrieved from </w:t>
      </w:r>
      <w:hyperlink r:id="rId54" w:history="1">
        <w:r w:rsidRPr="009A2991">
          <w:rPr>
            <w:rStyle w:val="Hyperlink"/>
          </w:rPr>
          <w:t>www.mbie.govt.nz/building-and-energy/energy-and-natural-resources/energy-statistics-and-modelling/energy-statistics/oil-statistics</w:t>
        </w:r>
      </w:hyperlink>
      <w:r>
        <w:t>.</w:t>
      </w:r>
    </w:p>
  </w:footnote>
  <w:footnote w:id="72">
    <w:p w14:paraId="295C1B29" w14:textId="77777777" w:rsidR="00FD1D4D" w:rsidRDefault="00FD1D4D" w:rsidP="004566F8">
      <w:pPr>
        <w:pStyle w:val="FootnoteText"/>
      </w:pPr>
      <w:r>
        <w:rPr>
          <w:rStyle w:val="FootnoteReference"/>
        </w:rPr>
        <w:footnoteRef/>
      </w:r>
      <w:r>
        <w:t xml:space="preserve"> </w:t>
      </w:r>
      <w:r>
        <w:tab/>
        <w:t xml:space="preserve">Ministry of Business, Innovation and Employment. </w:t>
      </w:r>
      <w:r>
        <w:rPr>
          <w:i/>
        </w:rPr>
        <w:t>Energy in New Zealand</w:t>
      </w:r>
      <w:r>
        <w:t xml:space="preserve"> </w:t>
      </w:r>
      <w:r>
        <w:rPr>
          <w:i/>
        </w:rPr>
        <w:t xml:space="preserve">2021. </w:t>
      </w:r>
      <w:r>
        <w:rPr>
          <w:iCs/>
        </w:rPr>
        <w:t>Wellington: MBIE.</w:t>
      </w:r>
      <w:r>
        <w:rPr>
          <w:i/>
        </w:rPr>
        <w:t xml:space="preserve"> </w:t>
      </w:r>
      <w:r>
        <w:t xml:space="preserve">Retrieved from </w:t>
      </w:r>
      <w:hyperlink r:id="rId55" w:history="1">
        <w:r>
          <w:rPr>
            <w:rStyle w:val="Hyperlink"/>
          </w:rPr>
          <w:t>www.mbie.govt.nz/assets/energy-in-new-zealand-2021.pdf</w:t>
        </w:r>
      </w:hyperlink>
      <w:r>
        <w:t xml:space="preserve"> </w:t>
      </w:r>
    </w:p>
  </w:footnote>
  <w:footnote w:id="73">
    <w:p w14:paraId="4D8AB11C" w14:textId="77777777" w:rsidR="00FD1D4D" w:rsidRDefault="00FD1D4D" w:rsidP="004566F8">
      <w:pPr>
        <w:pStyle w:val="FootnoteText"/>
      </w:pPr>
      <w:r>
        <w:rPr>
          <w:rStyle w:val="FootnoteReference"/>
        </w:rPr>
        <w:footnoteRef/>
      </w:r>
      <w:r>
        <w:t xml:space="preserve"> </w:t>
      </w:r>
      <w:r>
        <w:tab/>
        <w:t xml:space="preserve">Ministry of Business, Innovation and Employment. </w:t>
      </w:r>
      <w:r>
        <w:rPr>
          <w:i/>
        </w:rPr>
        <w:t>Energy in New Zealand</w:t>
      </w:r>
      <w:r>
        <w:t xml:space="preserve"> </w:t>
      </w:r>
      <w:r>
        <w:rPr>
          <w:i/>
        </w:rPr>
        <w:t xml:space="preserve">2021. </w:t>
      </w:r>
      <w:r>
        <w:rPr>
          <w:iCs/>
        </w:rPr>
        <w:t>Wellington: MBIE.</w:t>
      </w:r>
      <w:r>
        <w:rPr>
          <w:i/>
        </w:rPr>
        <w:t xml:space="preserve"> </w:t>
      </w:r>
      <w:r>
        <w:t xml:space="preserve">Retrieved from </w:t>
      </w:r>
      <w:hyperlink r:id="rId56" w:history="1">
        <w:r>
          <w:rPr>
            <w:rStyle w:val="Hyperlink"/>
          </w:rPr>
          <w:t>www.mbie.govt.nz/assets/energy-in-new-zealand-2021.pdf</w:t>
        </w:r>
      </w:hyperlink>
    </w:p>
  </w:footnote>
  <w:footnote w:id="74">
    <w:p w14:paraId="5CB9685F" w14:textId="77777777" w:rsidR="00FD1D4D" w:rsidRPr="00735B77" w:rsidRDefault="00FD1D4D" w:rsidP="004566F8">
      <w:pPr>
        <w:pStyle w:val="FootnoteText"/>
      </w:pPr>
      <w:r w:rsidRPr="00A40E9B">
        <w:rPr>
          <w:rStyle w:val="FootnoteReference"/>
          <w:rFonts w:asciiTheme="minorHAnsi" w:hAnsiTheme="minorHAnsi" w:cstheme="minorHAnsi"/>
          <w:szCs w:val="19"/>
        </w:rPr>
        <w:footnoteRef/>
      </w:r>
      <w:r w:rsidRPr="00A40E9B">
        <w:t xml:space="preserve"> </w:t>
      </w:r>
      <w:r>
        <w:tab/>
      </w:r>
      <w:r w:rsidRPr="00A40E9B">
        <w:t xml:space="preserve">Unless otherwise specified, all data in this section are from: Ministry of Transport. 2021. </w:t>
      </w:r>
      <w:r w:rsidRPr="00A40E9B">
        <w:rPr>
          <w:i/>
        </w:rPr>
        <w:t>New Zealand Vehicle Fleet Annual Statistics</w:t>
      </w:r>
      <w:r w:rsidRPr="00A40E9B">
        <w:t xml:space="preserve">. Retrieved from </w:t>
      </w:r>
      <w:hyperlink r:id="rId57" w:history="1">
        <w:r w:rsidRPr="003F4829">
          <w:rPr>
            <w:rStyle w:val="Hyperlink"/>
            <w:rFonts w:asciiTheme="minorHAnsi" w:hAnsiTheme="minorHAnsi" w:cstheme="minorHAnsi"/>
            <w:szCs w:val="19"/>
          </w:rPr>
          <w:t>www.transport.govt.nz/statistics-and-insights/fleet-statistics/2020-annual-fleet-statistics</w:t>
        </w:r>
      </w:hyperlink>
      <w:r>
        <w:t>.</w:t>
      </w:r>
    </w:p>
  </w:footnote>
  <w:footnote w:id="75">
    <w:p w14:paraId="4FE5DF40" w14:textId="77777777" w:rsidR="00FD1D4D" w:rsidRPr="00AD6542" w:rsidRDefault="00FD1D4D" w:rsidP="004566F8">
      <w:pPr>
        <w:pStyle w:val="FootnoteText"/>
        <w:rPr>
          <w:highlight w:val="yellow"/>
        </w:rPr>
      </w:pPr>
      <w:r w:rsidRPr="000145AB">
        <w:rPr>
          <w:rStyle w:val="FootnoteReference"/>
          <w:rFonts w:eastAsiaTheme="majorEastAsia"/>
          <w:szCs w:val="18"/>
        </w:rPr>
        <w:footnoteRef/>
      </w:r>
      <w:r w:rsidRPr="000145AB">
        <w:t xml:space="preserve"> </w:t>
      </w:r>
      <w:r w:rsidRPr="000145AB">
        <w:tab/>
        <w:t xml:space="preserve">All greenhouse gas emissions data in this section are from: Ministry for the Environment. 2022. </w:t>
      </w:r>
      <w:r w:rsidRPr="000145AB">
        <w:rPr>
          <w:i/>
        </w:rPr>
        <w:t>New Zealand’s Greenhouse Gas Inventory 1990–2020.</w:t>
      </w:r>
      <w:r w:rsidRPr="000145AB">
        <w:t xml:space="preserve"> Wellington: Ministry for the Environment.</w:t>
      </w:r>
      <w:r>
        <w:t xml:space="preserve"> </w:t>
      </w:r>
      <w:r>
        <w:rPr>
          <w:rFonts w:eastAsia="Calibri" w:cs="Calibri"/>
        </w:rPr>
        <w:t>Retrieved from</w:t>
      </w:r>
      <w:r>
        <w:t xml:space="preserve"> </w:t>
      </w:r>
      <w:hyperlink r:id="rId58" w:history="1">
        <w:r w:rsidRPr="00FF5BF8">
          <w:rPr>
            <w:rStyle w:val="Hyperlink"/>
          </w:rPr>
          <w:t>environment.govt.nz/publications/new-zealands-greenhouse-gas-inventory-1990-2020</w:t>
        </w:r>
      </w:hyperlink>
      <w:r>
        <w:rPr>
          <w:rStyle w:val="Hyperlink"/>
        </w:rPr>
        <w:t>.</w:t>
      </w:r>
    </w:p>
  </w:footnote>
  <w:footnote w:id="76">
    <w:p w14:paraId="40B272D1" w14:textId="77777777" w:rsidR="00FD1D4D" w:rsidRDefault="00FD1D4D" w:rsidP="004566F8">
      <w:pPr>
        <w:pStyle w:val="FootnoteText"/>
      </w:pPr>
      <w:r>
        <w:rPr>
          <w:rStyle w:val="FootnoteReference"/>
        </w:rPr>
        <w:footnoteRef/>
      </w:r>
      <w:r>
        <w:tab/>
      </w:r>
      <w:r w:rsidRPr="00D67A18">
        <w:t xml:space="preserve">Stats NZ. 2022. </w:t>
      </w:r>
      <w:r w:rsidRPr="00D67A18">
        <w:rPr>
          <w:i/>
        </w:rPr>
        <w:t xml:space="preserve">Table Reference: </w:t>
      </w:r>
      <w:r w:rsidRPr="0045354B">
        <w:rPr>
          <w:i/>
        </w:rPr>
        <w:t>ITM051AA</w:t>
      </w:r>
      <w:r w:rsidRPr="00D67A18">
        <w:t>. Retrieved from</w:t>
      </w:r>
      <w:r>
        <w:t xml:space="preserve"> </w:t>
      </w:r>
      <w:hyperlink r:id="rId59" w:history="1">
        <w:r w:rsidRPr="00D67A18">
          <w:rPr>
            <w:rStyle w:val="Hyperlink"/>
            <w:szCs w:val="18"/>
          </w:rPr>
          <w:t>www.stats.govt.nz/infoshare</w:t>
        </w:r>
      </w:hyperlink>
      <w:r>
        <w:t>.</w:t>
      </w:r>
    </w:p>
  </w:footnote>
  <w:footnote w:id="77">
    <w:p w14:paraId="18EB8A3B" w14:textId="77777777" w:rsidR="00FD1D4D" w:rsidRDefault="00FD1D4D" w:rsidP="004566F8">
      <w:pPr>
        <w:pStyle w:val="FootnoteText"/>
      </w:pPr>
      <w:r>
        <w:rPr>
          <w:rStyle w:val="FootnoteReference"/>
        </w:rPr>
        <w:footnoteRef/>
      </w:r>
      <w:r>
        <w:t xml:space="preserve"> </w:t>
      </w:r>
      <w:r>
        <w:tab/>
        <w:t xml:space="preserve">Stats NZ. 2022. </w:t>
      </w:r>
      <w:r>
        <w:rPr>
          <w:i/>
          <w:iCs/>
        </w:rPr>
        <w:t xml:space="preserve">International Travel: March 2022. </w:t>
      </w:r>
      <w:r>
        <w:t xml:space="preserve">Retrieved from </w:t>
      </w:r>
      <w:hyperlink r:id="rId60" w:history="1">
        <w:r w:rsidRPr="003B6421">
          <w:rPr>
            <w:rStyle w:val="Hyperlink"/>
          </w:rPr>
          <w:t>www.stats.govt.nz/information-releases/international-travel-march-2022</w:t>
        </w:r>
      </w:hyperlink>
      <w:r>
        <w:t>.</w:t>
      </w:r>
    </w:p>
  </w:footnote>
  <w:footnote w:id="78">
    <w:p w14:paraId="1F22A5CB" w14:textId="77777777" w:rsidR="00FD1D4D" w:rsidRDefault="00FD1D4D" w:rsidP="004566F8">
      <w:pPr>
        <w:pStyle w:val="FootnoteText"/>
      </w:pPr>
      <w:r>
        <w:rPr>
          <w:rStyle w:val="FootnoteReference"/>
        </w:rPr>
        <w:footnoteRef/>
      </w:r>
      <w:r>
        <w:tab/>
      </w:r>
      <w:r w:rsidRPr="00F9493F">
        <w:rPr>
          <w:rFonts w:asciiTheme="minorHAnsi" w:hAnsiTheme="minorHAnsi" w:cstheme="minorHAnsi"/>
          <w:szCs w:val="19"/>
        </w:rPr>
        <w:t xml:space="preserve">Stats NZ. 2022. </w:t>
      </w:r>
      <w:r w:rsidRPr="00F9493F">
        <w:rPr>
          <w:rFonts w:asciiTheme="minorHAnsi" w:hAnsiTheme="minorHAnsi" w:cstheme="minorHAnsi"/>
          <w:i/>
          <w:szCs w:val="19"/>
        </w:rPr>
        <w:t xml:space="preserve">Table Reference: </w:t>
      </w:r>
      <w:r w:rsidRPr="001A2E4F">
        <w:t>OSC004AA</w:t>
      </w:r>
      <w:r>
        <w:t>.</w:t>
      </w:r>
      <w:r w:rsidRPr="00F9493F">
        <w:rPr>
          <w:rFonts w:asciiTheme="minorHAnsi" w:hAnsiTheme="minorHAnsi" w:cstheme="minorHAnsi"/>
          <w:i/>
          <w:szCs w:val="19"/>
        </w:rPr>
        <w:t xml:space="preserve"> </w:t>
      </w:r>
      <w:r w:rsidRPr="00F9493F">
        <w:rPr>
          <w:rFonts w:asciiTheme="minorHAnsi" w:hAnsiTheme="minorHAnsi" w:cstheme="minorHAnsi"/>
          <w:szCs w:val="19"/>
        </w:rPr>
        <w:t>Retrieved from</w:t>
      </w:r>
      <w:r w:rsidRPr="00F9493F">
        <w:rPr>
          <w:rFonts w:asciiTheme="minorHAnsi" w:hAnsiTheme="minorHAnsi" w:cstheme="minorHAnsi"/>
          <w:i/>
          <w:szCs w:val="19"/>
        </w:rPr>
        <w:t xml:space="preserve"> </w:t>
      </w:r>
      <w:hyperlink r:id="rId61" w:history="1">
        <w:r w:rsidRPr="00F9493F">
          <w:rPr>
            <w:rStyle w:val="Hyperlink"/>
            <w:rFonts w:asciiTheme="minorHAnsi" w:hAnsiTheme="minorHAnsi" w:cstheme="minorHAnsi"/>
            <w:szCs w:val="19"/>
          </w:rPr>
          <w:t>www.stats.govt.nz/infoshare</w:t>
        </w:r>
      </w:hyperlink>
      <w:r w:rsidRPr="00F9493F">
        <w:rPr>
          <w:rStyle w:val="Hyperlink"/>
          <w:rFonts w:asciiTheme="minorHAnsi" w:hAnsiTheme="minorHAnsi" w:cstheme="minorHAnsi"/>
          <w:szCs w:val="19"/>
        </w:rPr>
        <w:t>.</w:t>
      </w:r>
    </w:p>
  </w:footnote>
  <w:footnote w:id="79">
    <w:p w14:paraId="0F3F249B" w14:textId="77777777" w:rsidR="00FD1D4D" w:rsidRDefault="00FD1D4D" w:rsidP="004566F8">
      <w:pPr>
        <w:pStyle w:val="FootnoteText"/>
      </w:pPr>
      <w:r>
        <w:rPr>
          <w:rStyle w:val="FootnoteReference"/>
        </w:rPr>
        <w:footnoteRef/>
      </w:r>
      <w:r>
        <w:tab/>
      </w:r>
      <w:r w:rsidRPr="00F9493F">
        <w:rPr>
          <w:rFonts w:asciiTheme="minorHAnsi" w:hAnsiTheme="minorHAnsi" w:cstheme="minorHAnsi"/>
          <w:szCs w:val="19"/>
        </w:rPr>
        <w:t xml:space="preserve">Stats NZ. 2022. </w:t>
      </w:r>
      <w:r w:rsidRPr="00F9493F">
        <w:rPr>
          <w:rFonts w:asciiTheme="minorHAnsi" w:hAnsiTheme="minorHAnsi" w:cstheme="minorHAnsi"/>
          <w:i/>
          <w:szCs w:val="19"/>
        </w:rPr>
        <w:t xml:space="preserve">Table Reference: </w:t>
      </w:r>
      <w:r w:rsidRPr="001A2E4F">
        <w:t>OSC00</w:t>
      </w:r>
      <w:r>
        <w:t>8</w:t>
      </w:r>
      <w:r w:rsidRPr="001A2E4F">
        <w:t>AA</w:t>
      </w:r>
      <w:r>
        <w:t>.</w:t>
      </w:r>
      <w:r w:rsidRPr="00F9493F">
        <w:rPr>
          <w:rFonts w:asciiTheme="minorHAnsi" w:hAnsiTheme="minorHAnsi" w:cstheme="minorHAnsi"/>
          <w:i/>
          <w:szCs w:val="19"/>
        </w:rPr>
        <w:t xml:space="preserve"> </w:t>
      </w:r>
      <w:r w:rsidRPr="00F9493F">
        <w:rPr>
          <w:rFonts w:asciiTheme="minorHAnsi" w:hAnsiTheme="minorHAnsi" w:cstheme="minorHAnsi"/>
          <w:szCs w:val="19"/>
        </w:rPr>
        <w:t>Retrieved from</w:t>
      </w:r>
      <w:r w:rsidRPr="00F9493F">
        <w:rPr>
          <w:rFonts w:asciiTheme="minorHAnsi" w:hAnsiTheme="minorHAnsi" w:cstheme="minorHAnsi"/>
          <w:i/>
          <w:szCs w:val="19"/>
        </w:rPr>
        <w:t xml:space="preserve"> </w:t>
      </w:r>
      <w:hyperlink r:id="rId62" w:history="1">
        <w:r w:rsidRPr="00F9493F">
          <w:rPr>
            <w:rStyle w:val="Hyperlink"/>
            <w:rFonts w:asciiTheme="minorHAnsi" w:hAnsiTheme="minorHAnsi" w:cstheme="minorHAnsi"/>
            <w:szCs w:val="19"/>
          </w:rPr>
          <w:t>www.stats.govt.nz/infoshare</w:t>
        </w:r>
      </w:hyperlink>
      <w:r w:rsidRPr="00F9493F">
        <w:rPr>
          <w:rStyle w:val="Hyperlink"/>
          <w:rFonts w:asciiTheme="minorHAnsi" w:hAnsiTheme="minorHAnsi" w:cstheme="minorHAnsi"/>
          <w:szCs w:val="19"/>
        </w:rPr>
        <w:t>.</w:t>
      </w:r>
    </w:p>
  </w:footnote>
  <w:footnote w:id="80">
    <w:p w14:paraId="046C0935" w14:textId="77777777" w:rsidR="00FD1D4D" w:rsidRDefault="00FD1D4D" w:rsidP="004566F8">
      <w:pPr>
        <w:pStyle w:val="FootnoteText"/>
      </w:pPr>
      <w:r>
        <w:rPr>
          <w:rStyle w:val="FootnoteReference"/>
        </w:rPr>
        <w:footnoteRef/>
      </w:r>
      <w:r>
        <w:tab/>
      </w:r>
      <w:r w:rsidRPr="00F9493F">
        <w:rPr>
          <w:rFonts w:asciiTheme="minorHAnsi" w:hAnsiTheme="minorHAnsi" w:cstheme="minorHAnsi"/>
          <w:szCs w:val="19"/>
        </w:rPr>
        <w:t xml:space="preserve">Stats NZ. 2022. </w:t>
      </w:r>
      <w:r w:rsidRPr="00F9493F">
        <w:rPr>
          <w:rFonts w:asciiTheme="minorHAnsi" w:hAnsiTheme="minorHAnsi" w:cstheme="minorHAnsi"/>
          <w:i/>
          <w:szCs w:val="19"/>
        </w:rPr>
        <w:t xml:space="preserve">Table Reference: </w:t>
      </w:r>
      <w:r w:rsidRPr="001A2E4F">
        <w:t>OSC004AA</w:t>
      </w:r>
      <w:r>
        <w:t>.</w:t>
      </w:r>
      <w:r w:rsidRPr="00F9493F">
        <w:rPr>
          <w:rFonts w:asciiTheme="minorHAnsi" w:hAnsiTheme="minorHAnsi" w:cstheme="minorHAnsi"/>
          <w:i/>
          <w:szCs w:val="19"/>
        </w:rPr>
        <w:t xml:space="preserve"> </w:t>
      </w:r>
      <w:r w:rsidRPr="00F9493F">
        <w:rPr>
          <w:rFonts w:asciiTheme="minorHAnsi" w:hAnsiTheme="minorHAnsi" w:cstheme="minorHAnsi"/>
          <w:szCs w:val="19"/>
        </w:rPr>
        <w:t>Retrieved from</w:t>
      </w:r>
      <w:r w:rsidRPr="00F9493F">
        <w:rPr>
          <w:rFonts w:asciiTheme="minorHAnsi" w:hAnsiTheme="minorHAnsi" w:cstheme="minorHAnsi"/>
          <w:i/>
          <w:szCs w:val="19"/>
        </w:rPr>
        <w:t xml:space="preserve"> </w:t>
      </w:r>
      <w:hyperlink r:id="rId63" w:history="1">
        <w:r w:rsidRPr="00F9493F">
          <w:rPr>
            <w:rStyle w:val="Hyperlink"/>
            <w:rFonts w:asciiTheme="minorHAnsi" w:hAnsiTheme="minorHAnsi" w:cstheme="minorHAnsi"/>
            <w:szCs w:val="19"/>
          </w:rPr>
          <w:t>www.stats.govt.nz/infoshare</w:t>
        </w:r>
      </w:hyperlink>
      <w:r w:rsidRPr="00F9493F">
        <w:rPr>
          <w:rStyle w:val="Hyperlink"/>
          <w:rFonts w:asciiTheme="minorHAnsi" w:hAnsiTheme="minorHAnsi" w:cstheme="minorHAnsi"/>
          <w:szCs w:val="19"/>
        </w:rPr>
        <w:t>.</w:t>
      </w:r>
    </w:p>
  </w:footnote>
  <w:footnote w:id="81">
    <w:p w14:paraId="3FA9E0E3" w14:textId="77777777" w:rsidR="00FD1D4D" w:rsidRPr="00156389" w:rsidRDefault="00FD1D4D" w:rsidP="004566F8">
      <w:pPr>
        <w:pStyle w:val="FootnoteText"/>
      </w:pPr>
      <w:r w:rsidRPr="0045354B">
        <w:rPr>
          <w:rStyle w:val="FootnoteReference"/>
          <w:rFonts w:eastAsiaTheme="majorEastAsia"/>
          <w:szCs w:val="18"/>
        </w:rPr>
        <w:footnoteRef/>
      </w:r>
      <w:r w:rsidRPr="0045354B">
        <w:t xml:space="preserve"> </w:t>
      </w:r>
      <w:r w:rsidRPr="0045354B">
        <w:tab/>
      </w:r>
      <w:r w:rsidRPr="00670705">
        <w:rPr>
          <w:rFonts w:asciiTheme="minorHAnsi" w:hAnsiTheme="minorHAnsi" w:cstheme="minorHAnsi"/>
          <w:szCs w:val="19"/>
        </w:rPr>
        <w:t>Stats</w:t>
      </w:r>
      <w:r w:rsidRPr="00F9493F">
        <w:rPr>
          <w:rFonts w:asciiTheme="minorHAnsi" w:hAnsiTheme="minorHAnsi" w:cstheme="minorHAnsi"/>
          <w:szCs w:val="19"/>
        </w:rPr>
        <w:t xml:space="preserve"> NZ. 2022. </w:t>
      </w:r>
      <w:r w:rsidRPr="00F9493F">
        <w:rPr>
          <w:rFonts w:asciiTheme="minorHAnsi" w:hAnsiTheme="minorHAnsi" w:cstheme="minorHAnsi"/>
          <w:i/>
          <w:szCs w:val="19"/>
        </w:rPr>
        <w:t xml:space="preserve">Table Reference: </w:t>
      </w:r>
      <w:r w:rsidRPr="001A2E4F">
        <w:t>OSC00</w:t>
      </w:r>
      <w:r>
        <w:t>8</w:t>
      </w:r>
      <w:r w:rsidRPr="001A2E4F">
        <w:t>AA</w:t>
      </w:r>
      <w:r>
        <w:t>.</w:t>
      </w:r>
      <w:r w:rsidRPr="00F9493F">
        <w:rPr>
          <w:rFonts w:asciiTheme="minorHAnsi" w:hAnsiTheme="minorHAnsi" w:cstheme="minorHAnsi"/>
          <w:i/>
          <w:szCs w:val="19"/>
        </w:rPr>
        <w:t xml:space="preserve"> </w:t>
      </w:r>
      <w:r w:rsidRPr="00F9493F">
        <w:rPr>
          <w:rFonts w:asciiTheme="minorHAnsi" w:hAnsiTheme="minorHAnsi" w:cstheme="minorHAnsi"/>
          <w:szCs w:val="19"/>
        </w:rPr>
        <w:t>Retrieved from</w:t>
      </w:r>
      <w:r w:rsidRPr="00F9493F">
        <w:rPr>
          <w:rFonts w:asciiTheme="minorHAnsi" w:hAnsiTheme="minorHAnsi" w:cstheme="minorHAnsi"/>
          <w:i/>
          <w:szCs w:val="19"/>
        </w:rPr>
        <w:t xml:space="preserve"> </w:t>
      </w:r>
      <w:hyperlink r:id="rId64" w:history="1">
        <w:r w:rsidRPr="00F9493F">
          <w:rPr>
            <w:rStyle w:val="Hyperlink"/>
            <w:rFonts w:asciiTheme="minorHAnsi" w:hAnsiTheme="minorHAnsi" w:cstheme="minorHAnsi"/>
            <w:szCs w:val="19"/>
          </w:rPr>
          <w:t>www.stats.govt.nz/infoshare</w:t>
        </w:r>
      </w:hyperlink>
      <w:r w:rsidRPr="00F9493F">
        <w:rPr>
          <w:rStyle w:val="Hyperlink"/>
          <w:rFonts w:asciiTheme="minorHAnsi" w:hAnsiTheme="minorHAnsi" w:cstheme="minorHAnsi"/>
          <w:szCs w:val="19"/>
        </w:rPr>
        <w:t>.</w:t>
      </w:r>
    </w:p>
  </w:footnote>
  <w:footnote w:id="82">
    <w:p w14:paraId="73254BDD" w14:textId="77777777" w:rsidR="00FD1D4D" w:rsidRDefault="00FD1D4D" w:rsidP="004566F8">
      <w:pPr>
        <w:pStyle w:val="FootnoteText"/>
      </w:pPr>
      <w:r>
        <w:rPr>
          <w:rStyle w:val="FootnoteReference"/>
        </w:rPr>
        <w:footnoteRef/>
      </w:r>
      <w:r>
        <w:tab/>
        <w:t xml:space="preserve">International Transport Forum. 2018. </w:t>
      </w:r>
      <w:r w:rsidRPr="00735B77">
        <w:rPr>
          <w:i/>
          <w:iCs/>
        </w:rPr>
        <w:t xml:space="preserve">Decarbonising Maritime Transport: Pathways to </w:t>
      </w:r>
      <w:r w:rsidRPr="00DD3CC7">
        <w:rPr>
          <w:i/>
          <w:iCs/>
        </w:rPr>
        <w:t>Zero</w:t>
      </w:r>
      <w:r w:rsidRPr="00735B77">
        <w:rPr>
          <w:i/>
          <w:iCs/>
        </w:rPr>
        <w:t xml:space="preserve">-carbon </w:t>
      </w:r>
      <w:r w:rsidRPr="00DD3CC7">
        <w:rPr>
          <w:i/>
          <w:iCs/>
        </w:rPr>
        <w:t xml:space="preserve">Shipping </w:t>
      </w:r>
      <w:r w:rsidRPr="00735B77">
        <w:rPr>
          <w:i/>
          <w:iCs/>
        </w:rPr>
        <w:t>by 2035</w:t>
      </w:r>
      <w:r>
        <w:t xml:space="preserve">. Paris: OECD Publishing. Retrieved from </w:t>
      </w:r>
      <w:hyperlink r:id="rId65" w:history="1">
        <w:r w:rsidRPr="005F4F51">
          <w:rPr>
            <w:rStyle w:val="Hyperlink"/>
          </w:rPr>
          <w:t>www.itf-oecd.org/sites/default/files/docs/ decarbonising-maritime-transport.pdf</w:t>
        </w:r>
      </w:hyperlink>
      <w:r>
        <w:t>.</w:t>
      </w:r>
    </w:p>
  </w:footnote>
  <w:footnote w:id="83">
    <w:p w14:paraId="78DC5099" w14:textId="77777777" w:rsidR="00FD1D4D" w:rsidRDefault="00FD1D4D" w:rsidP="004566F8">
      <w:pPr>
        <w:pStyle w:val="FootnoteText"/>
      </w:pPr>
      <w:r>
        <w:rPr>
          <w:rStyle w:val="FootnoteReference"/>
        </w:rPr>
        <w:footnoteRef/>
      </w:r>
      <w:r>
        <w:tab/>
      </w:r>
      <w:r>
        <w:rPr>
          <w:rFonts w:eastAsia="Calibri" w:cs="Calibri"/>
        </w:rPr>
        <w:t xml:space="preserve">Ministry for the Environment. 2021. </w:t>
      </w:r>
      <w:r>
        <w:rPr>
          <w:rFonts w:ascii="Calibri-Italic" w:eastAsia="Calibri" w:hAnsi="Calibri-Italic" w:cs="Calibri-Italic"/>
          <w:i/>
          <w:iCs/>
        </w:rPr>
        <w:t xml:space="preserve">New Zealand’s Greenhouse Gas Inventory 1990–2019. </w:t>
      </w:r>
      <w:r>
        <w:rPr>
          <w:rFonts w:eastAsia="Calibri" w:cs="Calibri"/>
        </w:rPr>
        <w:t xml:space="preserve">Wellington: Ministry for the Environment. Retrieved from </w:t>
      </w:r>
      <w:hyperlink r:id="rId66" w:history="1">
        <w:r w:rsidRPr="00FF5BF8">
          <w:rPr>
            <w:rStyle w:val="Hyperlink"/>
          </w:rPr>
          <w:t>environment.govt.nz/publications/new-zealands-greenhouse-gas-inventory-1990-2019</w:t>
        </w:r>
      </w:hyperlink>
      <w:r>
        <w:t>.</w:t>
      </w:r>
    </w:p>
  </w:footnote>
  <w:footnote w:id="84">
    <w:p w14:paraId="370CEC67" w14:textId="77777777" w:rsidR="00FD1D4D" w:rsidRPr="001A2E4F" w:rsidRDefault="00FD1D4D" w:rsidP="004566F8">
      <w:pPr>
        <w:pStyle w:val="FootnoteText"/>
      </w:pPr>
      <w:r w:rsidRPr="001A2E4F">
        <w:rPr>
          <w:rStyle w:val="FootnoteReference"/>
        </w:rPr>
        <w:footnoteRef/>
      </w:r>
      <w:r w:rsidRPr="001A2E4F">
        <w:t xml:space="preserve"> </w:t>
      </w:r>
      <w:r>
        <w:tab/>
        <w:t xml:space="preserve">Ministry of Transport. 2021. </w:t>
      </w:r>
      <w:r>
        <w:rPr>
          <w:i/>
          <w:iCs/>
        </w:rPr>
        <w:t xml:space="preserve">The New Zealand Rail Plan. </w:t>
      </w:r>
      <w:r>
        <w:t xml:space="preserve">Wellington: Ministry of Transport. Retrieved from </w:t>
      </w:r>
      <w:hyperlink r:id="rId67" w:history="1">
        <w:r w:rsidRPr="008946CD">
          <w:rPr>
            <w:rStyle w:val="Hyperlink"/>
          </w:rPr>
          <w:t>www.transport.govt.nz/assets/Uploads/Report/The-New-Zealand-Rail-Plan.pdf</w:t>
        </w:r>
      </w:hyperlink>
      <w:r>
        <w:t>.</w:t>
      </w:r>
    </w:p>
  </w:footnote>
  <w:footnote w:id="85">
    <w:p w14:paraId="05D5F7C6" w14:textId="77777777" w:rsidR="00FD1D4D" w:rsidRPr="006D1DF6" w:rsidRDefault="00FD1D4D" w:rsidP="004566F8">
      <w:pPr>
        <w:pStyle w:val="FootnoteText"/>
      </w:pPr>
      <w:r w:rsidRPr="00FC4460">
        <w:rPr>
          <w:rStyle w:val="FootnoteReference"/>
          <w:rFonts w:eastAsiaTheme="majorEastAsia"/>
          <w:szCs w:val="18"/>
        </w:rPr>
        <w:footnoteRef/>
      </w:r>
      <w:r w:rsidRPr="00FC4460">
        <w:t xml:space="preserve"> </w:t>
      </w:r>
      <w:r w:rsidRPr="00FC4460">
        <w:tab/>
      </w:r>
      <w:r>
        <w:t xml:space="preserve">Ministry of Transport. </w:t>
      </w:r>
      <w:r>
        <w:rPr>
          <w:i/>
          <w:iCs/>
        </w:rPr>
        <w:t xml:space="preserve">Boardings: All Modes. </w:t>
      </w:r>
      <w:r>
        <w:t xml:space="preserve">Retrieved from </w:t>
      </w:r>
      <w:hyperlink r:id="rId68" w:history="1">
        <w:r w:rsidRPr="006D1DF6">
          <w:rPr>
            <w:rStyle w:val="Hyperlink"/>
          </w:rPr>
          <w:t>www.transport.govt.nz/statistics-and-insights/public-transport/sheet/boardings-all-modes</w:t>
        </w:r>
      </w:hyperlink>
      <w:r>
        <w:t>.</w:t>
      </w:r>
    </w:p>
  </w:footnote>
  <w:footnote w:id="86">
    <w:p w14:paraId="7C8F1DEC" w14:textId="77777777" w:rsidR="00FD1D4D" w:rsidRPr="005169CC" w:rsidRDefault="00FD1D4D" w:rsidP="004566F8">
      <w:pPr>
        <w:pStyle w:val="FootnoteText"/>
      </w:pPr>
      <w:r w:rsidRPr="00FC4460">
        <w:rPr>
          <w:rStyle w:val="FootnoteReference"/>
          <w:rFonts w:eastAsiaTheme="majorEastAsia"/>
          <w:szCs w:val="18"/>
        </w:rPr>
        <w:footnoteRef/>
      </w:r>
      <w:r w:rsidRPr="00FC4460">
        <w:t xml:space="preserve"> </w:t>
      </w:r>
      <w:r>
        <w:tab/>
      </w:r>
      <w:r w:rsidRPr="005169CC">
        <w:t xml:space="preserve">Ministry of Transport. </w:t>
      </w:r>
      <w:r w:rsidRPr="005169CC">
        <w:rPr>
          <w:i/>
          <w:iCs/>
        </w:rPr>
        <w:t xml:space="preserve">Freight and logistics: FIGS: Rail. </w:t>
      </w:r>
      <w:r w:rsidRPr="005169CC">
        <w:t xml:space="preserve">Retrieved from </w:t>
      </w:r>
      <w:hyperlink r:id="rId69" w:history="1">
        <w:r w:rsidRPr="005169CC">
          <w:rPr>
            <w:rStyle w:val="Hyperlink"/>
            <w:rFonts w:cs="Calibri"/>
          </w:rPr>
          <w:t>https://www.transport.govt.nz/statistics-and-insights/freight-and-logistics/sheet/figs-rail</w:t>
        </w:r>
      </w:hyperlink>
      <w:r w:rsidRPr="005169CC">
        <w:rPr>
          <w:rStyle w:val="Hyperlink"/>
          <w:rFonts w:cs="Calibri"/>
        </w:rPr>
        <w:t>.</w:t>
      </w:r>
    </w:p>
  </w:footnote>
  <w:footnote w:id="87">
    <w:p w14:paraId="197BF361" w14:textId="77777777" w:rsidR="00FD1D4D" w:rsidRPr="005169CC" w:rsidRDefault="00FD1D4D" w:rsidP="004566F8">
      <w:pPr>
        <w:pStyle w:val="FootnoteText"/>
      </w:pPr>
      <w:r w:rsidRPr="005169CC">
        <w:rPr>
          <w:rStyle w:val="FootnoteReference"/>
          <w:rFonts w:cs="Calibri"/>
        </w:rPr>
        <w:footnoteRef/>
      </w:r>
      <w:r w:rsidRPr="005169CC">
        <w:tab/>
      </w:r>
      <w:r w:rsidRPr="005169CC">
        <w:rPr>
          <w:rFonts w:eastAsia="Calibri"/>
        </w:rPr>
        <w:t xml:space="preserve">Ministry for the Environment. 2021. </w:t>
      </w:r>
      <w:r w:rsidRPr="005169CC">
        <w:rPr>
          <w:rFonts w:eastAsia="Calibri"/>
          <w:i/>
          <w:iCs/>
        </w:rPr>
        <w:t xml:space="preserve">New Zealand’s Greenhouse Gas Inventory 1990–2019. </w:t>
      </w:r>
      <w:r w:rsidRPr="005169CC">
        <w:rPr>
          <w:rFonts w:eastAsia="Calibri"/>
        </w:rPr>
        <w:t xml:space="preserve">Wellington: Ministry for the Environment. Retrieved from </w:t>
      </w:r>
      <w:hyperlink r:id="rId70" w:history="1">
        <w:r w:rsidRPr="005169CC">
          <w:rPr>
            <w:rStyle w:val="Hyperlink"/>
            <w:rFonts w:cs="Calibri"/>
          </w:rPr>
          <w:t>environment.govt.nz/publications/new-zealands-greenhouse-gas-inventory-1990-2019</w:t>
        </w:r>
      </w:hyperlink>
      <w:r w:rsidRPr="005169CC">
        <w:t>.</w:t>
      </w:r>
    </w:p>
  </w:footnote>
  <w:footnote w:id="88">
    <w:p w14:paraId="43348177" w14:textId="77777777" w:rsidR="00FD1D4D" w:rsidRPr="005169CC" w:rsidRDefault="00FD1D4D" w:rsidP="004566F8">
      <w:pPr>
        <w:pStyle w:val="FootnoteText"/>
      </w:pPr>
      <w:r w:rsidRPr="005169CC">
        <w:rPr>
          <w:rStyle w:val="FootnoteReference"/>
          <w:rFonts w:eastAsiaTheme="majorEastAsia" w:cs="Calibri"/>
          <w:szCs w:val="18"/>
        </w:rPr>
        <w:footnoteRef/>
      </w:r>
      <w:r w:rsidRPr="005169CC">
        <w:rPr>
          <w:szCs w:val="18"/>
        </w:rPr>
        <w:t xml:space="preserve"> </w:t>
      </w:r>
      <w:r w:rsidRPr="005169CC">
        <w:rPr>
          <w:szCs w:val="18"/>
        </w:rPr>
        <w:tab/>
        <w:t>Stats NZ.</w:t>
      </w:r>
      <w:r w:rsidRPr="005169CC">
        <w:rPr>
          <w:bCs/>
          <w:szCs w:val="18"/>
        </w:rPr>
        <w:t xml:space="preserve"> 2022. </w:t>
      </w:r>
      <w:r w:rsidRPr="005169CC">
        <w:rPr>
          <w:i/>
          <w:iCs/>
          <w:szCs w:val="18"/>
        </w:rPr>
        <w:t xml:space="preserve">Agricultural Production Statistics – June 2021. </w:t>
      </w:r>
      <w:r w:rsidRPr="005169CC">
        <w:rPr>
          <w:szCs w:val="18"/>
        </w:rPr>
        <w:t xml:space="preserve">Retrieved from </w:t>
      </w:r>
      <w:hyperlink r:id="rId71" w:history="1">
        <w:r w:rsidRPr="005169CC">
          <w:rPr>
            <w:rStyle w:val="Hyperlink"/>
            <w:rFonts w:cs="Calibri"/>
          </w:rPr>
          <w:t>www.stats.govt.nz/information-releases/agricultural-production-statistics-year-to-june-2021-final</w:t>
        </w:r>
      </w:hyperlink>
      <w:r w:rsidRPr="005169CC">
        <w:t>.</w:t>
      </w:r>
    </w:p>
  </w:footnote>
  <w:footnote w:id="89">
    <w:p w14:paraId="50579908" w14:textId="77777777" w:rsidR="00FD1D4D" w:rsidRPr="005169CC" w:rsidRDefault="00FD1D4D" w:rsidP="004566F8">
      <w:pPr>
        <w:pStyle w:val="FootnoteText"/>
      </w:pPr>
      <w:r w:rsidRPr="005169CC">
        <w:rPr>
          <w:rStyle w:val="FootnoteReference"/>
          <w:rFonts w:cs="Calibri"/>
        </w:rPr>
        <w:footnoteRef/>
      </w:r>
      <w:r w:rsidRPr="005169CC">
        <w:t xml:space="preserve"> </w:t>
      </w:r>
      <w:r w:rsidRPr="005169CC">
        <w:tab/>
        <w:t xml:space="preserve">Ministry for the Environment. 2022. </w:t>
      </w:r>
      <w:r w:rsidRPr="005169CC">
        <w:rPr>
          <w:i/>
        </w:rPr>
        <w:t>New Zealand’s Greenhouse Gas Inventory 1990–2020.</w:t>
      </w:r>
      <w:r w:rsidRPr="005169CC">
        <w:t xml:space="preserve"> Wellington: Ministry for the Environment. </w:t>
      </w:r>
      <w:r w:rsidRPr="005169CC">
        <w:rPr>
          <w:rFonts w:eastAsia="Calibri"/>
        </w:rPr>
        <w:t>Retrieved from</w:t>
      </w:r>
      <w:r w:rsidRPr="005169CC">
        <w:t xml:space="preserve"> </w:t>
      </w:r>
      <w:hyperlink r:id="rId72" w:history="1">
        <w:r w:rsidRPr="005169CC">
          <w:rPr>
            <w:rStyle w:val="Hyperlink"/>
            <w:rFonts w:cs="Calibri"/>
          </w:rPr>
          <w:t>environment.govt.nz/publications/new-zealands-greenhouse-gas-inventory-1990-2020</w:t>
        </w:r>
      </w:hyperlink>
      <w:r w:rsidRPr="005169CC">
        <w:rPr>
          <w:rStyle w:val="Hyperlink"/>
          <w:rFonts w:cs="Calibri"/>
        </w:rPr>
        <w:t>.</w:t>
      </w:r>
    </w:p>
  </w:footnote>
  <w:footnote w:id="90">
    <w:p w14:paraId="4B96A9D6" w14:textId="77777777" w:rsidR="00FD1D4D" w:rsidRPr="005169CC" w:rsidRDefault="00FD1D4D" w:rsidP="004566F8">
      <w:pPr>
        <w:pStyle w:val="FootnoteText"/>
      </w:pPr>
      <w:r w:rsidRPr="005169CC">
        <w:rPr>
          <w:rStyle w:val="FootnoteReference"/>
          <w:rFonts w:cs="Calibri"/>
        </w:rPr>
        <w:footnoteRef/>
      </w:r>
      <w:r w:rsidRPr="005169CC">
        <w:t xml:space="preserve"> </w:t>
      </w:r>
      <w:r w:rsidRPr="005169CC">
        <w:tab/>
        <w:t xml:space="preserve">Ministry for the Environment. 2022. </w:t>
      </w:r>
      <w:r w:rsidRPr="005169CC">
        <w:rPr>
          <w:i/>
          <w:iCs/>
        </w:rPr>
        <w:t>Te Hau Mārohi ki Anamata – Aotearoa New Zealand’s First Emissions Reduction Plan.</w:t>
      </w:r>
      <w:r w:rsidRPr="005169CC">
        <w:rPr>
          <w:rFonts w:eastAsia="Calibri"/>
        </w:rPr>
        <w:t xml:space="preserve"> Wellington: Ministry for the Environment.</w:t>
      </w:r>
      <w:r w:rsidRPr="005169CC">
        <w:rPr>
          <w:i/>
          <w:iCs/>
        </w:rPr>
        <w:t xml:space="preserve"> </w:t>
      </w:r>
      <w:r w:rsidRPr="005169CC">
        <w:t>Retrieved from</w:t>
      </w:r>
      <w:r w:rsidRPr="005169CC">
        <w:rPr>
          <w:i/>
          <w:iCs/>
        </w:rPr>
        <w:t xml:space="preserve"> </w:t>
      </w:r>
      <w:hyperlink r:id="rId73" w:history="1">
        <w:r w:rsidRPr="005169CC">
          <w:rPr>
            <w:rStyle w:val="Hyperlink"/>
            <w:rFonts w:cs="Calibri"/>
          </w:rPr>
          <w:t>environment.govt.nz/assets/publications/Aotearoa-New-Zealands-first-emissions-reduction-plan.pdf</w:t>
        </w:r>
      </w:hyperlink>
      <w:r w:rsidRPr="005169CC">
        <w:t>.</w:t>
      </w:r>
    </w:p>
  </w:footnote>
  <w:footnote w:id="91">
    <w:p w14:paraId="6DFE6017" w14:textId="77777777" w:rsidR="00FD1D4D" w:rsidRPr="005169CC" w:rsidRDefault="00FD1D4D" w:rsidP="004566F8">
      <w:pPr>
        <w:pStyle w:val="FootnoteText"/>
      </w:pPr>
      <w:r w:rsidRPr="005169CC">
        <w:rPr>
          <w:rStyle w:val="FootnoteReference"/>
          <w:rFonts w:eastAsiaTheme="majorEastAsia" w:cs="Calibri"/>
          <w:szCs w:val="18"/>
        </w:rPr>
        <w:footnoteRef/>
      </w:r>
      <w:r w:rsidRPr="005169CC">
        <w:t xml:space="preserve"> </w:t>
      </w:r>
      <w:r w:rsidRPr="005169CC">
        <w:tab/>
        <w:t xml:space="preserve">Stats NZ. </w:t>
      </w:r>
      <w:r w:rsidRPr="005169CC">
        <w:rPr>
          <w:i/>
          <w:iCs/>
        </w:rPr>
        <w:t>Overseas Merchandise Trade Datasets</w:t>
      </w:r>
      <w:r w:rsidRPr="005169CC">
        <w:t xml:space="preserve">. Retrieved from </w:t>
      </w:r>
      <w:hyperlink r:id="rId74" w:history="1">
        <w:r w:rsidRPr="005169CC">
          <w:rPr>
            <w:rStyle w:val="Hyperlink"/>
            <w:rFonts w:cs="Calibri"/>
            <w:szCs w:val="19"/>
          </w:rPr>
          <w:t>www.stats.govt.nz/large-datasets/csv-files-for-download/overseas-merchandise-trade-datasets</w:t>
        </w:r>
      </w:hyperlink>
      <w:r w:rsidRPr="005169CC">
        <w:t>.</w:t>
      </w:r>
      <w:r w:rsidRPr="005169CC">
        <w:rPr>
          <w:color w:val="0000FF"/>
        </w:rPr>
        <w:t xml:space="preserve"> </w:t>
      </w:r>
      <w:r w:rsidRPr="005169CC">
        <w:t>Analysis used MPI’s Situation and Outlook for Primary Industries (SOPI) categorisation of sectors.</w:t>
      </w:r>
    </w:p>
  </w:footnote>
  <w:footnote w:id="92">
    <w:p w14:paraId="52B93B08" w14:textId="77777777" w:rsidR="00FD1D4D" w:rsidRPr="00485528" w:rsidRDefault="00FD1D4D" w:rsidP="004566F8">
      <w:pPr>
        <w:pStyle w:val="FootnoteText"/>
      </w:pPr>
      <w:r w:rsidRPr="00485528">
        <w:rPr>
          <w:rStyle w:val="FootnoteReference"/>
        </w:rPr>
        <w:footnoteRef/>
      </w:r>
      <w:r w:rsidRPr="00485528">
        <w:t xml:space="preserve"> </w:t>
      </w:r>
      <w:r>
        <w:tab/>
      </w:r>
      <w:r w:rsidRPr="00485528">
        <w:t>Stats NZ</w:t>
      </w:r>
      <w:r>
        <w:t>.</w:t>
      </w:r>
      <w:r w:rsidRPr="00485528">
        <w:t xml:space="preserve"> </w:t>
      </w:r>
      <w:r w:rsidRPr="00735B77">
        <w:rPr>
          <w:i/>
          <w:iCs/>
        </w:rPr>
        <w:t>Overseas</w:t>
      </w:r>
      <w:r w:rsidRPr="00690424">
        <w:rPr>
          <w:i/>
          <w:iCs/>
        </w:rPr>
        <w:t xml:space="preserve"> Merchandise Trade Dat</w:t>
      </w:r>
      <w:r w:rsidRPr="00735B77">
        <w:rPr>
          <w:i/>
          <w:iCs/>
        </w:rPr>
        <w:t>asets</w:t>
      </w:r>
      <w:r>
        <w:t>. Retrieved from</w:t>
      </w:r>
      <w:r w:rsidRPr="00485528">
        <w:t xml:space="preserve"> </w:t>
      </w:r>
      <w:hyperlink r:id="rId75" w:history="1">
        <w:r w:rsidRPr="00735B77">
          <w:rPr>
            <w:rStyle w:val="Hyperlink"/>
            <w:rFonts w:ascii="Segoe UI" w:hAnsi="Segoe UI" w:cs="Segoe UI"/>
            <w:sz w:val="18"/>
            <w:szCs w:val="18"/>
          </w:rPr>
          <w:t>www.stats.govt.nz/large-datasets/csv-files-for-download/overseas-merchandise-trade-datasets</w:t>
        </w:r>
      </w:hyperlink>
      <w:r>
        <w:t>. Analysis</w:t>
      </w:r>
      <w:r w:rsidRPr="00485528">
        <w:rPr>
          <w:color w:val="0000FF"/>
        </w:rPr>
        <w:t xml:space="preserve"> </w:t>
      </w:r>
      <w:r w:rsidRPr="00485528">
        <w:t>us</w:t>
      </w:r>
      <w:r>
        <w:t>ed</w:t>
      </w:r>
      <w:r w:rsidRPr="00485528">
        <w:t xml:space="preserve"> MPI’s SOPI categorisation of sectors.</w:t>
      </w:r>
    </w:p>
  </w:footnote>
  <w:footnote w:id="93">
    <w:p w14:paraId="271A724E" w14:textId="77777777" w:rsidR="00FD1D4D" w:rsidRPr="000B15FF" w:rsidRDefault="00FD1D4D" w:rsidP="004566F8">
      <w:pPr>
        <w:pStyle w:val="FootnoteText"/>
        <w:rPr>
          <w:b/>
        </w:rPr>
      </w:pPr>
      <w:r w:rsidRPr="00485528">
        <w:rPr>
          <w:rStyle w:val="FootnoteReference"/>
          <w:rFonts w:eastAsiaTheme="majorEastAsia"/>
          <w:szCs w:val="18"/>
        </w:rPr>
        <w:footnoteRef/>
      </w:r>
      <w:r w:rsidRPr="00485528">
        <w:t xml:space="preserve"> </w:t>
      </w:r>
      <w:r w:rsidRPr="00485528">
        <w:tab/>
        <w:t>Ministry for Primary Industries. 2022.</w:t>
      </w:r>
      <w:r w:rsidRPr="00485528">
        <w:rPr>
          <w:b/>
        </w:rPr>
        <w:t xml:space="preserve"> </w:t>
      </w:r>
      <w:r w:rsidRPr="00485528">
        <w:rPr>
          <w:i/>
        </w:rPr>
        <w:t xml:space="preserve">Situation and Outlook for Primary Industries. </w:t>
      </w:r>
      <w:r>
        <w:rPr>
          <w:iCs/>
        </w:rPr>
        <w:t xml:space="preserve">Wellington: Ministry for Primary Industries. </w:t>
      </w:r>
      <w:r w:rsidRPr="00485528">
        <w:t xml:space="preserve">Retrieved from </w:t>
      </w:r>
      <w:hyperlink r:id="rId76" w:history="1">
        <w:r w:rsidRPr="00FC5C86">
          <w:rPr>
            <w:rStyle w:val="Hyperlink"/>
          </w:rPr>
          <w:t>www.mpi.govt.nz/dmsdocument/51754-Situation-and-Outlook-for-Primary-Industries-SOPI-June-2022</w:t>
        </w:r>
      </w:hyperlink>
      <w:r>
        <w:t>.</w:t>
      </w:r>
    </w:p>
  </w:footnote>
  <w:footnote w:id="94">
    <w:p w14:paraId="3C9FF05B" w14:textId="77777777" w:rsidR="00FD1D4D" w:rsidRDefault="00FD1D4D" w:rsidP="004566F8">
      <w:pPr>
        <w:pStyle w:val="FootnoteText"/>
        <w:rPr>
          <w:highlight w:val="yellow"/>
        </w:rPr>
      </w:pPr>
      <w:r w:rsidRPr="000B15FF">
        <w:rPr>
          <w:rStyle w:val="FootnoteReference"/>
          <w:rFonts w:eastAsiaTheme="majorEastAsia"/>
          <w:szCs w:val="18"/>
        </w:rPr>
        <w:footnoteRef/>
      </w:r>
      <w:r w:rsidRPr="000B15FF">
        <w:t xml:space="preserve"> </w:t>
      </w:r>
      <w:r w:rsidRPr="000B15FF">
        <w:tab/>
        <w:t>Lattimore</w:t>
      </w:r>
      <w:r>
        <w:t xml:space="preserve"> R</w:t>
      </w:r>
      <w:r w:rsidRPr="000B15FF">
        <w:t xml:space="preserve">. 2006. </w:t>
      </w:r>
      <w:r w:rsidRPr="000B15FF">
        <w:rPr>
          <w:i/>
          <w:iCs/>
        </w:rPr>
        <w:t>Farming Subsidy Reform Dividends</w:t>
      </w:r>
      <w:r w:rsidRPr="000B15FF">
        <w:t xml:space="preserve"> (No. 45). New Zealand Trade Consortium Working Paper.</w:t>
      </w:r>
    </w:p>
  </w:footnote>
  <w:footnote w:id="95">
    <w:p w14:paraId="5ED49A9D" w14:textId="77777777" w:rsidR="00FD1D4D" w:rsidRDefault="00FD1D4D" w:rsidP="004566F8">
      <w:pPr>
        <w:pStyle w:val="FootnoteText"/>
        <w:rPr>
          <w:highlight w:val="yellow"/>
        </w:rPr>
      </w:pPr>
      <w:r>
        <w:rPr>
          <w:rStyle w:val="FootnoteReference"/>
          <w:rFonts w:eastAsiaTheme="majorEastAsia"/>
          <w:szCs w:val="18"/>
        </w:rPr>
        <w:footnoteRef/>
      </w:r>
      <w:r>
        <w:t xml:space="preserve"> </w:t>
      </w:r>
      <w:r>
        <w:tab/>
        <w:t xml:space="preserve">OECD. 2022. </w:t>
      </w:r>
      <w:r w:rsidRPr="00735B77">
        <w:rPr>
          <w:i/>
          <w:iCs/>
        </w:rPr>
        <w:t xml:space="preserve">Agricultural </w:t>
      </w:r>
      <w:r w:rsidRPr="00DB525F">
        <w:rPr>
          <w:i/>
          <w:iCs/>
        </w:rPr>
        <w:t>Support</w:t>
      </w:r>
      <w:r>
        <w:t xml:space="preserve"> (indicator). Retrieved from </w:t>
      </w:r>
      <w:hyperlink r:id="rId77" w:history="1">
        <w:r w:rsidRPr="00FF5BF8">
          <w:rPr>
            <w:rStyle w:val="Hyperlink"/>
          </w:rPr>
          <w:t>data.oecd.org/agrpolicy/agricultural-support.htm</w:t>
        </w:r>
      </w:hyperlink>
      <w:r>
        <w:t>.</w:t>
      </w:r>
    </w:p>
  </w:footnote>
  <w:footnote w:id="96">
    <w:p w14:paraId="1D3C64C9" w14:textId="77777777" w:rsidR="00FD1D4D" w:rsidRDefault="00FD1D4D" w:rsidP="004566F8">
      <w:pPr>
        <w:pStyle w:val="FootnoteText"/>
      </w:pPr>
      <w:r>
        <w:rPr>
          <w:rStyle w:val="FootnoteReference"/>
        </w:rPr>
        <w:footnoteRef/>
      </w:r>
      <w:r>
        <w:tab/>
      </w:r>
      <w:r>
        <w:rPr>
          <w:rFonts w:eastAsia="Calibri" w:cs="Calibri"/>
        </w:rPr>
        <w:t xml:space="preserve">Ministry for the Environment. 2022. </w:t>
      </w:r>
      <w:r>
        <w:rPr>
          <w:rFonts w:ascii="Calibri-Italic" w:eastAsia="Calibri" w:hAnsi="Calibri-Italic" w:cs="Calibri-Italic"/>
          <w:i/>
          <w:iCs/>
        </w:rPr>
        <w:t xml:space="preserve">New Zealand’s Greenhouse Gas Inventory 1990–2020. </w:t>
      </w:r>
      <w:r>
        <w:rPr>
          <w:rFonts w:eastAsia="Calibri" w:cs="Calibri"/>
        </w:rPr>
        <w:t>Wellington: Ministry for the Environment. Retrieved from</w:t>
      </w:r>
      <w:r>
        <w:t xml:space="preserve"> </w:t>
      </w:r>
      <w:hyperlink r:id="rId78" w:history="1">
        <w:r w:rsidRPr="00FF5BF8">
          <w:rPr>
            <w:rStyle w:val="Hyperlink"/>
          </w:rPr>
          <w:t>environment.govt.nz/publications/new-zealands-greenhouse-gas-inventory-1990-2020</w:t>
        </w:r>
      </w:hyperlink>
      <w:r>
        <w:rPr>
          <w:rStyle w:val="Hyperlink"/>
        </w:rPr>
        <w:t>.</w:t>
      </w:r>
    </w:p>
  </w:footnote>
  <w:footnote w:id="97">
    <w:p w14:paraId="30F32E24" w14:textId="77777777" w:rsidR="00FD1D4D" w:rsidRPr="009D6A96" w:rsidRDefault="00FD1D4D" w:rsidP="004566F8">
      <w:pPr>
        <w:pStyle w:val="FootnoteText"/>
      </w:pPr>
      <w:r>
        <w:rPr>
          <w:rStyle w:val="FootnoteReference"/>
        </w:rPr>
        <w:footnoteRef/>
      </w:r>
      <w:r>
        <w:t xml:space="preserve"> </w:t>
      </w:r>
      <w:r>
        <w:tab/>
        <w:t xml:space="preserve">Ministry for the Environment. 2022. </w:t>
      </w:r>
      <w:r>
        <w:rPr>
          <w:i/>
          <w:iCs/>
        </w:rPr>
        <w:t xml:space="preserve">New Zealand’s Greenhouse Gas Inventory 1990 – 2020 snapshot. </w:t>
      </w:r>
      <w:r>
        <w:t xml:space="preserve">Retrieved from: </w:t>
      </w:r>
      <w:hyperlink r:id="rId79" w:history="1">
        <w:r>
          <w:rPr>
            <w:rStyle w:val="Hyperlink"/>
          </w:rPr>
          <w:t>environment.govt.nz/publications/new-zealands-greenhouse-gas-inventory-1990-2020-snapshot</w:t>
        </w:r>
      </w:hyperlink>
      <w:r w:rsidRPr="00EA7AEB">
        <w:t>.</w:t>
      </w:r>
      <w:r>
        <w:t xml:space="preserve"> </w:t>
      </w:r>
    </w:p>
  </w:footnote>
  <w:footnote w:id="98">
    <w:p w14:paraId="7C3DDA9D" w14:textId="77777777" w:rsidR="00FD1D4D" w:rsidRDefault="00FD1D4D" w:rsidP="004566F8">
      <w:pPr>
        <w:pStyle w:val="FootnoteText"/>
      </w:pPr>
      <w:r>
        <w:rPr>
          <w:rStyle w:val="FootnoteReference"/>
        </w:rPr>
        <w:footnoteRef/>
      </w:r>
      <w:r>
        <w:t xml:space="preserve"> </w:t>
      </w:r>
      <w:r>
        <w:tab/>
      </w:r>
      <w:r>
        <w:rPr>
          <w:rFonts w:eastAsia="Calibri" w:cs="Calibri"/>
        </w:rPr>
        <w:t xml:space="preserve">Ministry for the Environment. 2022. </w:t>
      </w:r>
      <w:r>
        <w:rPr>
          <w:rFonts w:ascii="Calibri-Italic" w:eastAsia="Calibri" w:hAnsi="Calibri-Italic" w:cs="Calibri-Italic"/>
          <w:i/>
          <w:iCs/>
        </w:rPr>
        <w:t xml:space="preserve">New Zealand’s Greenhouse Gas Inventory 1990–2020. </w:t>
      </w:r>
      <w:r>
        <w:rPr>
          <w:rFonts w:eastAsia="Calibri" w:cs="Calibri"/>
        </w:rPr>
        <w:t>Wellington: Ministry for the Environment. Retrieved from</w:t>
      </w:r>
      <w:r>
        <w:t xml:space="preserve"> </w:t>
      </w:r>
      <w:hyperlink r:id="rId80" w:history="1">
        <w:r w:rsidRPr="00FF5BF8">
          <w:rPr>
            <w:rStyle w:val="Hyperlink"/>
          </w:rPr>
          <w:t>environment.govt.nz/publications/new-zealands-greenhouse-gas-inventory-1990-2020</w:t>
        </w:r>
      </w:hyperlink>
      <w:r>
        <w:rPr>
          <w:rStyle w:val="Hyperlink"/>
        </w:rPr>
        <w:t>.</w:t>
      </w:r>
    </w:p>
  </w:footnote>
  <w:footnote w:id="99">
    <w:p w14:paraId="6BF8BA6F" w14:textId="77777777" w:rsidR="00FD1D4D" w:rsidRDefault="00FD1D4D" w:rsidP="004566F8">
      <w:pPr>
        <w:pStyle w:val="FootnoteText"/>
      </w:pPr>
      <w:r>
        <w:rPr>
          <w:rStyle w:val="FootnoteReference"/>
        </w:rPr>
        <w:footnoteRef/>
      </w:r>
      <w:r>
        <w:t xml:space="preserve"> </w:t>
      </w:r>
      <w:r>
        <w:tab/>
        <w:t xml:space="preserve">Seafood New Zealand. </w:t>
      </w:r>
      <w:r>
        <w:rPr>
          <w:i/>
          <w:iCs/>
        </w:rPr>
        <w:t xml:space="preserve">Key Facts. </w:t>
      </w:r>
      <w:r>
        <w:t xml:space="preserve">Retrieved from </w:t>
      </w:r>
      <w:hyperlink r:id="rId81" w:history="1">
        <w:r w:rsidRPr="00FF5BF8">
          <w:rPr>
            <w:rStyle w:val="Hyperlink"/>
          </w:rPr>
          <w:t>www.seafoodnewzealand.org/industry/key-facts</w:t>
        </w:r>
      </w:hyperlink>
      <w:r>
        <w:t>.</w:t>
      </w:r>
    </w:p>
  </w:footnote>
  <w:footnote w:id="100">
    <w:p w14:paraId="401528D7" w14:textId="77777777" w:rsidR="00FD1D4D" w:rsidRPr="00505D78" w:rsidRDefault="00FD1D4D" w:rsidP="004566F8">
      <w:pPr>
        <w:pStyle w:val="FootnoteText"/>
      </w:pPr>
      <w:r>
        <w:rPr>
          <w:rStyle w:val="FootnoteReference"/>
        </w:rPr>
        <w:footnoteRef/>
      </w:r>
      <w:r>
        <w:t xml:space="preserve"> </w:t>
      </w:r>
      <w:r>
        <w:tab/>
        <w:t>Stats NZ.</w:t>
      </w:r>
      <w:r w:rsidRPr="003C665B">
        <w:rPr>
          <w:i/>
          <w:iCs/>
        </w:rPr>
        <w:t xml:space="preserve"> New Zealand Trade Dashboard</w:t>
      </w:r>
      <w:r>
        <w:t>.</w:t>
      </w:r>
      <w:r w:rsidRPr="00C24046">
        <w:t xml:space="preserve"> </w:t>
      </w:r>
      <w:r>
        <w:t xml:space="preserve">Retrieved from </w:t>
      </w:r>
      <w:hyperlink r:id="rId82" w:history="1">
        <w:r w:rsidRPr="00614C08">
          <w:rPr>
            <w:rStyle w:val="Hyperlink"/>
          </w:rPr>
          <w:t>statisticsnz.shinyapps.io/trade_dashboard</w:t>
        </w:r>
      </w:hyperlink>
      <w:r>
        <w:t>.</w:t>
      </w:r>
    </w:p>
  </w:footnote>
  <w:footnote w:id="101">
    <w:p w14:paraId="06CC84F8" w14:textId="1C89710F" w:rsidR="00FD1D4D" w:rsidRPr="00AD6542" w:rsidRDefault="00FD1D4D" w:rsidP="004566F8">
      <w:pPr>
        <w:pStyle w:val="FootnoteText"/>
        <w:rPr>
          <w:highlight w:val="yellow"/>
        </w:rPr>
      </w:pPr>
      <w:r w:rsidRPr="000469A6">
        <w:rPr>
          <w:rStyle w:val="FootnoteReference"/>
          <w:rFonts w:eastAsiaTheme="majorEastAsia"/>
          <w:szCs w:val="18"/>
        </w:rPr>
        <w:footnoteRef/>
      </w:r>
      <w:r w:rsidRPr="000469A6">
        <w:t xml:space="preserve"> </w:t>
      </w:r>
      <w:r w:rsidRPr="000469A6">
        <w:tab/>
        <w:t>For more information, see the chapter on ocean and climate conditions in: Ministry for Primary Industries. 20</w:t>
      </w:r>
      <w:r>
        <w:t>21</w:t>
      </w:r>
      <w:r w:rsidRPr="000469A6">
        <w:t xml:space="preserve">. </w:t>
      </w:r>
      <w:r w:rsidRPr="000469A6">
        <w:rPr>
          <w:i/>
        </w:rPr>
        <w:t>Aquatic Environment and Biodiversity Annual Review 2021</w:t>
      </w:r>
      <w:r w:rsidRPr="000469A6">
        <w:t xml:space="preserve">. </w:t>
      </w:r>
      <w:r>
        <w:t xml:space="preserve">Wellington: Ministry for Primary Industries. </w:t>
      </w:r>
      <w:r w:rsidRPr="000469A6">
        <w:t>Retrieved from</w:t>
      </w:r>
      <w:r w:rsidRPr="00CE1D25">
        <w:t xml:space="preserve"> </w:t>
      </w:r>
      <w:hyperlink r:id="rId83" w:history="1">
        <w:r>
          <w:rPr>
            <w:rStyle w:val="Hyperlink"/>
          </w:rPr>
          <w:t>www.mpi.govt.nz/science/fisheries-research-and-science/about-our-fisheries-research/aquatic-environment-and-biodiversity-annual-review-aebar</w:t>
        </w:r>
      </w:hyperlink>
      <w:r>
        <w:t>;</w:t>
      </w:r>
      <w:r w:rsidRPr="004A7EA6" w:rsidDel="004A7EA6">
        <w:t xml:space="preserve"> </w:t>
      </w:r>
      <w:r>
        <w:t xml:space="preserve">and Ministry for the Environment and Stats NZ. 2019. </w:t>
      </w:r>
      <w:r w:rsidRPr="00735B77">
        <w:rPr>
          <w:i/>
          <w:iCs/>
        </w:rPr>
        <w:t>Our Marine Environment</w:t>
      </w:r>
      <w:r>
        <w:t>. Wellington: Ministry for the Environment and</w:t>
      </w:r>
      <w:r w:rsidR="001F4CE4">
        <w:t> </w:t>
      </w:r>
      <w:r>
        <w:t xml:space="preserve">Stats NZ. Retrieved from </w:t>
      </w:r>
      <w:hyperlink r:id="rId84" w:history="1">
        <w:r w:rsidRPr="00FF5BF8">
          <w:rPr>
            <w:rStyle w:val="Hyperlink"/>
          </w:rPr>
          <w:t>environment.govt.nz/publications/our-marine-environment-2019</w:t>
        </w:r>
      </w:hyperlink>
      <w:r>
        <w:t>.</w:t>
      </w:r>
    </w:p>
  </w:footnote>
  <w:footnote w:id="102">
    <w:p w14:paraId="6F15CECB" w14:textId="77777777" w:rsidR="00FD1D4D" w:rsidRPr="004A7EA6" w:rsidRDefault="00FD1D4D" w:rsidP="004566F8">
      <w:pPr>
        <w:pStyle w:val="FootnoteText"/>
      </w:pPr>
      <w:r>
        <w:rPr>
          <w:rStyle w:val="FootnoteReference"/>
        </w:rPr>
        <w:footnoteRef/>
      </w:r>
      <w:r>
        <w:t xml:space="preserve"> </w:t>
      </w:r>
      <w:r>
        <w:tab/>
        <w:t xml:space="preserve">Stats NZ. 2022. </w:t>
      </w:r>
      <w:r>
        <w:rPr>
          <w:i/>
          <w:iCs/>
        </w:rPr>
        <w:t xml:space="preserve">Ocean Acidification. </w:t>
      </w:r>
      <w:r>
        <w:t xml:space="preserve">Retrieved from </w:t>
      </w:r>
      <w:hyperlink r:id="rId85" w:history="1">
        <w:r w:rsidRPr="004A7EA6">
          <w:rPr>
            <w:rStyle w:val="Hyperlink"/>
          </w:rPr>
          <w:t>www.stats.govt.nz/indicators/ocean-acidification</w:t>
        </w:r>
      </w:hyperlink>
      <w:r>
        <w:t>.</w:t>
      </w:r>
    </w:p>
  </w:footnote>
  <w:footnote w:id="103">
    <w:p w14:paraId="32AB447F" w14:textId="77777777" w:rsidR="00FD1D4D" w:rsidRDefault="00FD1D4D" w:rsidP="004566F8">
      <w:pPr>
        <w:pStyle w:val="FootnoteText"/>
      </w:pPr>
      <w:r>
        <w:rPr>
          <w:rStyle w:val="FootnoteReference"/>
        </w:rPr>
        <w:footnoteRef/>
      </w:r>
      <w:r>
        <w:t xml:space="preserve"> </w:t>
      </w:r>
      <w:r>
        <w:tab/>
      </w:r>
      <w:r w:rsidRPr="006C7F49">
        <w:t xml:space="preserve">Salinger MJ, Diamond HJ, Behrens E et al. </w:t>
      </w:r>
      <w:r>
        <w:t xml:space="preserve">2020. </w:t>
      </w:r>
      <w:r w:rsidRPr="006C7F49">
        <w:t>Unparalleled coupled ocean</w:t>
      </w:r>
      <w:r>
        <w:t>–</w:t>
      </w:r>
      <w:r w:rsidRPr="006C7F49">
        <w:t xml:space="preserve">atmosphere summer heatwaves in the New Zealand region: drivers, mechanisms and impacts. </w:t>
      </w:r>
      <w:r w:rsidRPr="00735B77">
        <w:rPr>
          <w:i/>
          <w:iCs/>
        </w:rPr>
        <w:t>Climatic Change</w:t>
      </w:r>
      <w:r w:rsidRPr="006C7F49">
        <w:t xml:space="preserve"> 162</w:t>
      </w:r>
      <w:r>
        <w:t>:</w:t>
      </w:r>
      <w:r w:rsidRPr="006C7F49">
        <w:t xml:space="preserve"> 485–506. </w:t>
      </w:r>
      <w:r>
        <w:t xml:space="preserve">DOI: </w:t>
      </w:r>
      <w:r w:rsidRPr="006C7F49">
        <w:t>10.1007/s10584-020-02730-5</w:t>
      </w:r>
      <w:r>
        <w:t>.</w:t>
      </w:r>
    </w:p>
  </w:footnote>
  <w:footnote w:id="104">
    <w:p w14:paraId="6F6F94A0" w14:textId="3BD6D3C0" w:rsidR="00FD1D4D" w:rsidRPr="000469A6" w:rsidRDefault="00FD1D4D" w:rsidP="004566F8">
      <w:pPr>
        <w:pStyle w:val="FootnoteText"/>
      </w:pPr>
      <w:r w:rsidRPr="000469A6">
        <w:rPr>
          <w:rStyle w:val="FootnoteReference"/>
          <w:rFonts w:eastAsiaTheme="majorEastAsia"/>
          <w:szCs w:val="18"/>
        </w:rPr>
        <w:footnoteRef/>
      </w:r>
      <w:r w:rsidRPr="000469A6">
        <w:t xml:space="preserve"> </w:t>
      </w:r>
      <w:r w:rsidRPr="000469A6">
        <w:tab/>
      </w:r>
      <w:r>
        <w:t>Stats NZ.</w:t>
      </w:r>
      <w:r w:rsidRPr="003C665B">
        <w:rPr>
          <w:i/>
          <w:iCs/>
        </w:rPr>
        <w:t xml:space="preserve"> New Zealand Trade Dashboard</w:t>
      </w:r>
      <w:r>
        <w:t>.</w:t>
      </w:r>
      <w:r w:rsidRPr="00C24046">
        <w:t xml:space="preserve"> </w:t>
      </w:r>
      <w:r>
        <w:t xml:space="preserve">Retrieved from </w:t>
      </w:r>
      <w:hyperlink r:id="rId86" w:history="1">
        <w:r w:rsidRPr="00614C08">
          <w:rPr>
            <w:rStyle w:val="Hyperlink"/>
          </w:rPr>
          <w:t>statisticsnz.shinyapps.io/trade_dashboard</w:t>
        </w:r>
      </w:hyperlink>
      <w:r>
        <w:t>.</w:t>
      </w:r>
      <w:r w:rsidR="003B241D">
        <w:t xml:space="preserve"> </w:t>
      </w:r>
      <w:r w:rsidR="003B241D" w:rsidRPr="003B241D">
        <w:t>The percentage represents year ended March 2022 data</w:t>
      </w:r>
      <w:r w:rsidR="003B241D">
        <w:t>.</w:t>
      </w:r>
    </w:p>
  </w:footnote>
  <w:footnote w:id="105">
    <w:p w14:paraId="26A5ABD2" w14:textId="77777777" w:rsidR="00FD1D4D" w:rsidRPr="000469A6" w:rsidRDefault="00FD1D4D" w:rsidP="004566F8">
      <w:pPr>
        <w:pStyle w:val="FootnoteText"/>
        <w:rPr>
          <w:rFonts w:ascii="Arial" w:hAnsi="Arial" w:cs="Arial"/>
          <w:sz w:val="20"/>
          <w:szCs w:val="20"/>
        </w:rPr>
      </w:pPr>
      <w:r w:rsidRPr="000469A6">
        <w:rPr>
          <w:rStyle w:val="FootnoteReference"/>
        </w:rPr>
        <w:footnoteRef/>
      </w:r>
      <w:r w:rsidRPr="000469A6">
        <w:t xml:space="preserve"> </w:t>
      </w:r>
      <w:r>
        <w:tab/>
        <w:t xml:space="preserve">NZIER. 2021. </w:t>
      </w:r>
      <w:r>
        <w:rPr>
          <w:i/>
          <w:iCs/>
        </w:rPr>
        <w:t xml:space="preserve">Forestry and Wood Processing Labour Force Survey. </w:t>
      </w:r>
      <w:r>
        <w:t xml:space="preserve">Report prepared for Ministry for Primary Industries. Retrieved from </w:t>
      </w:r>
      <w:hyperlink r:id="rId87" w:history="1">
        <w:r w:rsidRPr="0072110D">
          <w:rPr>
            <w:rStyle w:val="Hyperlink"/>
          </w:rPr>
          <w:t>www.mpi.govt.nz/dmsdocument/48667-2021-Forestry-and-wood-processing-labour-force-survey</w:t>
        </w:r>
      </w:hyperlink>
      <w:r>
        <w:t xml:space="preserve">. </w:t>
      </w:r>
    </w:p>
  </w:footnote>
  <w:footnote w:id="106">
    <w:p w14:paraId="3CBD6E22" w14:textId="77777777" w:rsidR="00FD1D4D" w:rsidRPr="000469A6" w:rsidRDefault="00FD1D4D" w:rsidP="004566F8">
      <w:pPr>
        <w:pStyle w:val="FootnoteText"/>
      </w:pPr>
      <w:r w:rsidRPr="000469A6">
        <w:rPr>
          <w:rStyle w:val="FootnoteReference"/>
        </w:rPr>
        <w:footnoteRef/>
      </w:r>
      <w:r w:rsidRPr="000469A6">
        <w:t xml:space="preserve"> </w:t>
      </w:r>
      <w:r>
        <w:tab/>
      </w:r>
      <w:r w:rsidRPr="000469A6">
        <w:t>Ministry for the Environment. 20</w:t>
      </w:r>
      <w:r>
        <w:t>22</w:t>
      </w:r>
      <w:r w:rsidRPr="000469A6">
        <w:t xml:space="preserve">. </w:t>
      </w:r>
      <w:r w:rsidRPr="000469A6">
        <w:rPr>
          <w:i/>
        </w:rPr>
        <w:t>New Zealand’s Greenhouse Gas Inventory 1990–20</w:t>
      </w:r>
      <w:r>
        <w:rPr>
          <w:i/>
        </w:rPr>
        <w:t>20</w:t>
      </w:r>
      <w:r w:rsidRPr="000469A6">
        <w:t>. Wellington: Ministry for the Environment.</w:t>
      </w:r>
      <w:r>
        <w:t xml:space="preserve"> </w:t>
      </w:r>
      <w:r>
        <w:rPr>
          <w:rFonts w:eastAsia="Calibri" w:cs="Calibri"/>
        </w:rPr>
        <w:t>Retrieved from</w:t>
      </w:r>
      <w:r>
        <w:t xml:space="preserve"> </w:t>
      </w:r>
      <w:hyperlink r:id="rId88" w:history="1">
        <w:r w:rsidRPr="00FF5BF8">
          <w:rPr>
            <w:rStyle w:val="Hyperlink"/>
          </w:rPr>
          <w:t>environment.govt.nz/publications/new-zealands-greenhouse-gas-inventory-1990-2020</w:t>
        </w:r>
      </w:hyperlink>
      <w:r>
        <w:rPr>
          <w:rStyle w:val="Hyperlink"/>
        </w:rPr>
        <w:t>.</w:t>
      </w:r>
    </w:p>
  </w:footnote>
  <w:footnote w:id="107">
    <w:p w14:paraId="4A36D5D5" w14:textId="1C78C511" w:rsidR="00FD1D4D" w:rsidRPr="00AD6542" w:rsidRDefault="00FD1D4D" w:rsidP="004566F8">
      <w:pPr>
        <w:pStyle w:val="FootnoteText"/>
        <w:rPr>
          <w:highlight w:val="yellow"/>
        </w:rPr>
      </w:pPr>
      <w:r w:rsidRPr="000469A6">
        <w:rPr>
          <w:rStyle w:val="FootnoteReference"/>
          <w:rFonts w:eastAsiaTheme="majorEastAsia"/>
          <w:szCs w:val="18"/>
        </w:rPr>
        <w:footnoteRef/>
      </w:r>
      <w:r w:rsidRPr="000469A6">
        <w:t xml:space="preserve"> </w:t>
      </w:r>
      <w:r w:rsidRPr="000469A6">
        <w:tab/>
        <w:t xml:space="preserve">Under the UNFCCC, the figures collected for </w:t>
      </w:r>
      <w:r w:rsidR="0026123D">
        <w:t>planted</w:t>
      </w:r>
      <w:r w:rsidRPr="000469A6">
        <w:t xml:space="preserve"> and natural forest area equate to the area of ‘forest land’. ‘Forest land’ is defined as: an area of at least 1 hectare and 30 metres in width that is expected to have at least 30 per cent canopy cover and the potential to exceed 5 metres in height.</w:t>
      </w:r>
    </w:p>
  </w:footnote>
  <w:footnote w:id="108">
    <w:p w14:paraId="34B63129" w14:textId="77777777" w:rsidR="00FD1D4D" w:rsidRPr="000469A6" w:rsidRDefault="00FD1D4D" w:rsidP="004566F8">
      <w:pPr>
        <w:pStyle w:val="FootnoteText"/>
      </w:pPr>
      <w:r>
        <w:rPr>
          <w:rStyle w:val="FootnoteReference"/>
        </w:rPr>
        <w:footnoteRef/>
      </w:r>
      <w:r>
        <w:t xml:space="preserve"> </w:t>
      </w:r>
      <w:r>
        <w:tab/>
        <w:t xml:space="preserve">Ministry for Primary Industries. </w:t>
      </w:r>
      <w:r>
        <w:rPr>
          <w:i/>
          <w:iCs/>
        </w:rPr>
        <w:t xml:space="preserve">New Zealand Forest Data. </w:t>
      </w:r>
      <w:r>
        <w:t xml:space="preserve">Retrieved from </w:t>
      </w:r>
      <w:hyperlink r:id="rId89" w:history="1">
        <w:r>
          <w:rPr>
            <w:rStyle w:val="Hyperlink"/>
          </w:rPr>
          <w:t>www.mpi.govt.nz/forestry/forest-industry-and-workforce/forestry-wood-processing-data/new-zealand-forest-data</w:t>
        </w:r>
      </w:hyperlink>
      <w:r w:rsidRPr="009F35E2">
        <w:t>.</w:t>
      </w:r>
      <w:r>
        <w:t xml:space="preserve"> </w:t>
      </w:r>
    </w:p>
  </w:footnote>
  <w:footnote w:id="109">
    <w:p w14:paraId="4C88B122" w14:textId="77777777" w:rsidR="00FD1D4D" w:rsidRPr="0077026E" w:rsidRDefault="00FD1D4D" w:rsidP="004566F8">
      <w:pPr>
        <w:pStyle w:val="FootnoteText"/>
      </w:pPr>
      <w:r>
        <w:rPr>
          <w:rStyle w:val="FootnoteReference"/>
        </w:rPr>
        <w:footnoteRef/>
      </w:r>
      <w:r>
        <w:t xml:space="preserve"> </w:t>
      </w:r>
      <w:r>
        <w:tab/>
        <w:t xml:space="preserve">Ministry for Primary Industries. </w:t>
      </w:r>
      <w:r>
        <w:rPr>
          <w:i/>
          <w:iCs/>
        </w:rPr>
        <w:t xml:space="preserve">About New Zealand’s forests. </w:t>
      </w:r>
      <w:r>
        <w:t xml:space="preserve">Retrieved from </w:t>
      </w:r>
      <w:hyperlink r:id="rId90" w:history="1">
        <w:r>
          <w:rPr>
            <w:rStyle w:val="Hyperlink"/>
          </w:rPr>
          <w:t>www.mpi.govt.nz/forestry/new-zealand-forests-forest-industry/about-new-zealands-forests</w:t>
        </w:r>
      </w:hyperlink>
      <w:r w:rsidRPr="009F35E2">
        <w:t>.</w:t>
      </w:r>
      <w:r>
        <w:t xml:space="preserve"> </w:t>
      </w:r>
    </w:p>
  </w:footnote>
  <w:footnote w:id="110">
    <w:p w14:paraId="33004AE1" w14:textId="77777777" w:rsidR="00FD1D4D" w:rsidRDefault="00FD1D4D" w:rsidP="004566F8">
      <w:pPr>
        <w:pStyle w:val="FootnoteText"/>
      </w:pPr>
      <w:r>
        <w:rPr>
          <w:rStyle w:val="FootnoteReference"/>
        </w:rPr>
        <w:footnoteRef/>
      </w:r>
      <w:r>
        <w:t xml:space="preserve"> </w:t>
      </w:r>
      <w:r>
        <w:tab/>
      </w:r>
      <w:r w:rsidRPr="000469A6">
        <w:t>Ministry for the Environment. 20</w:t>
      </w:r>
      <w:r>
        <w:t>22</w:t>
      </w:r>
      <w:r w:rsidRPr="000469A6">
        <w:t xml:space="preserve">. </w:t>
      </w:r>
      <w:r w:rsidRPr="000469A6">
        <w:rPr>
          <w:i/>
        </w:rPr>
        <w:t>New Zealand’s Greenhouse Gas Inventory 1990–20</w:t>
      </w:r>
      <w:r>
        <w:rPr>
          <w:i/>
        </w:rPr>
        <w:t>20</w:t>
      </w:r>
      <w:r w:rsidRPr="000469A6">
        <w:t>. Wellington: Ministry for the Environment.</w:t>
      </w:r>
      <w:r>
        <w:t xml:space="preserve"> </w:t>
      </w:r>
      <w:r>
        <w:rPr>
          <w:rFonts w:eastAsia="Calibri" w:cs="Calibri"/>
        </w:rPr>
        <w:t>Retrieved from</w:t>
      </w:r>
      <w:r>
        <w:t xml:space="preserve"> </w:t>
      </w:r>
      <w:hyperlink r:id="rId91" w:history="1">
        <w:r w:rsidRPr="00FF5BF8">
          <w:rPr>
            <w:rStyle w:val="Hyperlink"/>
          </w:rPr>
          <w:t>environment.govt.nz/publications/new-zealands-greenhouse-gas-inventory-1990-2020</w:t>
        </w:r>
      </w:hyperlink>
      <w:r>
        <w:rPr>
          <w:rStyle w:val="Hyperlink"/>
        </w:rPr>
        <w:t>.</w:t>
      </w:r>
    </w:p>
  </w:footnote>
  <w:footnote w:id="111">
    <w:p w14:paraId="2D45784D" w14:textId="77777777" w:rsidR="00FD1D4D" w:rsidRPr="000469A6" w:rsidRDefault="00FD1D4D" w:rsidP="004566F8">
      <w:pPr>
        <w:pStyle w:val="FootnoteText"/>
      </w:pPr>
      <w:r w:rsidRPr="000469A6">
        <w:rPr>
          <w:rStyle w:val="FootnoteReference"/>
          <w:rFonts w:eastAsiaTheme="majorEastAsia"/>
          <w:szCs w:val="18"/>
        </w:rPr>
        <w:footnoteRef/>
      </w:r>
      <w:r w:rsidRPr="000469A6">
        <w:t xml:space="preserve"> </w:t>
      </w:r>
      <w:r w:rsidRPr="000469A6">
        <w:tab/>
        <w:t>Ministry for the Environment. 20</w:t>
      </w:r>
      <w:r>
        <w:t>22</w:t>
      </w:r>
      <w:r w:rsidRPr="000469A6">
        <w:t xml:space="preserve">. </w:t>
      </w:r>
      <w:r w:rsidRPr="000469A6">
        <w:rPr>
          <w:i/>
        </w:rPr>
        <w:t>New Zealand’s Greenhouse Gas Inventory 1990–20</w:t>
      </w:r>
      <w:r>
        <w:rPr>
          <w:i/>
        </w:rPr>
        <w:t>20</w:t>
      </w:r>
      <w:r w:rsidRPr="000469A6">
        <w:t>. Wellington: Ministry for the Environment.</w:t>
      </w:r>
      <w:r>
        <w:t xml:space="preserve"> </w:t>
      </w:r>
      <w:r>
        <w:rPr>
          <w:rFonts w:eastAsia="Calibri" w:cs="Calibri"/>
        </w:rPr>
        <w:t>Retrieved from</w:t>
      </w:r>
      <w:r>
        <w:t xml:space="preserve"> </w:t>
      </w:r>
      <w:hyperlink r:id="rId92" w:history="1">
        <w:r w:rsidRPr="00FF5BF8">
          <w:rPr>
            <w:rStyle w:val="Hyperlink"/>
          </w:rPr>
          <w:t>environment.govt.nz/publications/new-zealands-greenhouse-gas-inventory-1990-2020</w:t>
        </w:r>
      </w:hyperlink>
      <w:r>
        <w:rPr>
          <w:rStyle w:val="Hyperlink"/>
        </w:rPr>
        <w:t>.</w:t>
      </w:r>
    </w:p>
  </w:footnote>
  <w:footnote w:id="112">
    <w:p w14:paraId="5D24DE4A" w14:textId="77777777" w:rsidR="00FD1D4D" w:rsidRPr="000469A6" w:rsidRDefault="00FD1D4D" w:rsidP="004566F8">
      <w:pPr>
        <w:pStyle w:val="FootnoteText"/>
      </w:pPr>
      <w:r w:rsidRPr="000469A6">
        <w:rPr>
          <w:rStyle w:val="FootnoteReference"/>
          <w:rFonts w:eastAsiaTheme="majorEastAsia"/>
          <w:szCs w:val="18"/>
        </w:rPr>
        <w:footnoteRef/>
      </w:r>
      <w:r w:rsidRPr="000469A6">
        <w:t xml:space="preserve"> </w:t>
      </w:r>
      <w:r w:rsidRPr="000469A6">
        <w:tab/>
        <w:t>Ministry for the Environment. 20</w:t>
      </w:r>
      <w:r>
        <w:t>22</w:t>
      </w:r>
      <w:r w:rsidRPr="000469A6">
        <w:t xml:space="preserve">. </w:t>
      </w:r>
      <w:r w:rsidRPr="000469A6">
        <w:rPr>
          <w:i/>
        </w:rPr>
        <w:t>New Zealand’s Greenhouse Gas Inventory 1990–20</w:t>
      </w:r>
      <w:r>
        <w:rPr>
          <w:i/>
        </w:rPr>
        <w:t>20</w:t>
      </w:r>
      <w:r w:rsidRPr="000469A6">
        <w:t>. Wellington: Ministry for the Environment.</w:t>
      </w:r>
      <w:r>
        <w:t xml:space="preserve"> </w:t>
      </w:r>
      <w:r>
        <w:rPr>
          <w:rFonts w:eastAsia="Calibri" w:cs="Calibri"/>
        </w:rPr>
        <w:t>Retrieved from</w:t>
      </w:r>
      <w:r>
        <w:t xml:space="preserve"> </w:t>
      </w:r>
      <w:hyperlink r:id="rId93" w:history="1">
        <w:r w:rsidRPr="00FF5BF8">
          <w:rPr>
            <w:rStyle w:val="Hyperlink"/>
          </w:rPr>
          <w:t>environment.govt.nz/publications/new-zealands-greenhouse-gas-inventory-1990-2020</w:t>
        </w:r>
      </w:hyperlink>
      <w:r>
        <w:rPr>
          <w:rStyle w:val="Hyperlink"/>
        </w:rPr>
        <w:t>.</w:t>
      </w:r>
    </w:p>
  </w:footnote>
  <w:footnote w:id="113">
    <w:p w14:paraId="6A709F30" w14:textId="77777777" w:rsidR="00FD1D4D" w:rsidRPr="00AD6542" w:rsidRDefault="00FD1D4D" w:rsidP="004566F8">
      <w:pPr>
        <w:pStyle w:val="FootnoteText"/>
        <w:rPr>
          <w:highlight w:val="yellow"/>
        </w:rPr>
      </w:pPr>
      <w:r w:rsidRPr="000469A6">
        <w:rPr>
          <w:rStyle w:val="FootnoteReference"/>
          <w:rFonts w:eastAsiaTheme="majorEastAsia"/>
          <w:szCs w:val="18"/>
        </w:rPr>
        <w:footnoteRef/>
      </w:r>
      <w:r w:rsidRPr="000469A6">
        <w:t xml:space="preserve"> </w:t>
      </w:r>
      <w:r w:rsidRPr="000469A6">
        <w:tab/>
        <w:t>Rhodes</w:t>
      </w:r>
      <w:r>
        <w:t xml:space="preserve"> D</w:t>
      </w:r>
      <w:r w:rsidRPr="000469A6">
        <w:t>, Novis</w:t>
      </w:r>
      <w:r>
        <w:t xml:space="preserve"> J</w:t>
      </w:r>
      <w:r w:rsidRPr="000469A6">
        <w:t xml:space="preserve">. 2002. </w:t>
      </w:r>
      <w:r w:rsidRPr="000469A6">
        <w:rPr>
          <w:i/>
          <w:iCs/>
        </w:rPr>
        <w:t>The Impact of Incentives on the Development of Plantation Forest Resources in New Zealand</w:t>
      </w:r>
      <w:r w:rsidRPr="000469A6">
        <w:t>. MAF Information Paper No</w:t>
      </w:r>
      <w:r>
        <w:t>.</w:t>
      </w:r>
      <w:r w:rsidRPr="000469A6">
        <w:t xml:space="preserve"> 45. Wellington: MAF Policy Division.</w:t>
      </w:r>
    </w:p>
  </w:footnote>
  <w:footnote w:id="114">
    <w:p w14:paraId="7D97DA43" w14:textId="77777777" w:rsidR="00FD1D4D" w:rsidRDefault="00FD1D4D" w:rsidP="004566F8">
      <w:pPr>
        <w:pStyle w:val="FootnoteText"/>
      </w:pPr>
      <w:r>
        <w:rPr>
          <w:rStyle w:val="FootnoteReference"/>
        </w:rPr>
        <w:footnoteRef/>
      </w:r>
      <w:r>
        <w:t xml:space="preserve"> </w:t>
      </w:r>
      <w:r>
        <w:tab/>
      </w:r>
      <w:r w:rsidRPr="000469A6">
        <w:t>Ministry for the Environment. 20</w:t>
      </w:r>
      <w:r>
        <w:t>22</w:t>
      </w:r>
      <w:r w:rsidRPr="000469A6">
        <w:t xml:space="preserve">. </w:t>
      </w:r>
      <w:r w:rsidRPr="000469A6">
        <w:rPr>
          <w:i/>
        </w:rPr>
        <w:t>New Zealand’s Greenhouse Gas Inventory 1990–20</w:t>
      </w:r>
      <w:r>
        <w:rPr>
          <w:i/>
        </w:rPr>
        <w:t>20</w:t>
      </w:r>
      <w:r w:rsidRPr="000469A6">
        <w:t>. Wellington: Ministry for the Environment.</w:t>
      </w:r>
      <w:r>
        <w:t xml:space="preserve"> </w:t>
      </w:r>
      <w:r>
        <w:rPr>
          <w:rFonts w:eastAsia="Calibri" w:cs="Calibri"/>
        </w:rPr>
        <w:t>Retrieved from</w:t>
      </w:r>
      <w:r>
        <w:t xml:space="preserve"> </w:t>
      </w:r>
      <w:hyperlink r:id="rId94" w:history="1">
        <w:r w:rsidRPr="00FF5BF8">
          <w:rPr>
            <w:rStyle w:val="Hyperlink"/>
          </w:rPr>
          <w:t>environment.govt.nz/publications/new-zealands-greenhouse-gas-inventory-1990-2020</w:t>
        </w:r>
      </w:hyperlink>
      <w:r>
        <w:rPr>
          <w:rStyle w:val="Hyperlink"/>
        </w:rPr>
        <w:t>.</w:t>
      </w:r>
    </w:p>
  </w:footnote>
  <w:footnote w:id="115">
    <w:p w14:paraId="459D36C6" w14:textId="77777777" w:rsidR="00FD1D4D" w:rsidRDefault="00FD1D4D" w:rsidP="004566F8">
      <w:pPr>
        <w:pStyle w:val="FootnoteText"/>
      </w:pPr>
      <w:r w:rsidRPr="00815A2C">
        <w:rPr>
          <w:rStyle w:val="FootnoteReference"/>
        </w:rPr>
        <w:footnoteRef/>
      </w:r>
      <w:r w:rsidRPr="00815A2C">
        <w:t xml:space="preserve"> </w:t>
      </w:r>
      <w:r>
        <w:tab/>
      </w:r>
      <w:r w:rsidRPr="00FA7599">
        <w:t>This estimate includes waste disposed of to Classes 1, 2, 3 and 4 landfills, clean fills, and farm dumps. It also includes the materials recycled here in New Zealand and those sent offshore for recycling.</w:t>
      </w:r>
    </w:p>
  </w:footnote>
  <w:footnote w:id="116">
    <w:p w14:paraId="3B4B1C47" w14:textId="77777777" w:rsidR="00FD1D4D" w:rsidRDefault="00FD1D4D" w:rsidP="004566F8">
      <w:pPr>
        <w:pStyle w:val="FootnoteText"/>
      </w:pPr>
      <w:r>
        <w:rPr>
          <w:rStyle w:val="FootnoteReference"/>
        </w:rPr>
        <w:footnoteRef/>
      </w:r>
      <w:r>
        <w:t xml:space="preserve"> </w:t>
      </w:r>
      <w:r>
        <w:tab/>
        <w:t xml:space="preserve">Ministry for the Environment. 2021. </w:t>
      </w:r>
      <w:r>
        <w:rPr>
          <w:i/>
          <w:iCs/>
        </w:rPr>
        <w:t>Estimates of waste generated in Aotearoa New Zealand</w:t>
      </w:r>
      <w:r>
        <w:t xml:space="preserve">. Retrieved from </w:t>
      </w:r>
      <w:hyperlink r:id="rId95" w:history="1">
        <w:r>
          <w:rPr>
            <w:rStyle w:val="Hyperlink"/>
          </w:rPr>
          <w:t>environment.govt.nz/facts-and-science/waste/estimates-of-waste-generated</w:t>
        </w:r>
      </w:hyperlink>
      <w:r w:rsidRPr="009F35E2">
        <w:t>.</w:t>
      </w:r>
      <w:r>
        <w:t xml:space="preserve"> </w:t>
      </w:r>
    </w:p>
  </w:footnote>
  <w:footnote w:id="117">
    <w:p w14:paraId="4B889B2C" w14:textId="77777777" w:rsidR="00FD1D4D" w:rsidRDefault="00FD1D4D" w:rsidP="004566F8">
      <w:pPr>
        <w:pStyle w:val="FootnoteText"/>
      </w:pPr>
      <w:r>
        <w:rPr>
          <w:rStyle w:val="FootnoteReference"/>
        </w:rPr>
        <w:footnoteRef/>
      </w:r>
      <w:r>
        <w:tab/>
        <w:t xml:space="preserve">GHG. 2020. </w:t>
      </w:r>
      <w:r>
        <w:rPr>
          <w:i/>
          <w:iCs/>
        </w:rPr>
        <w:t xml:space="preserve">The New Zealand Wastewater Sector, page 26. </w:t>
      </w:r>
      <w:r>
        <w:t xml:space="preserve">Report prepared for the Ministry for the Environment. Retrieved from </w:t>
      </w:r>
      <w:hyperlink r:id="rId96" w:history="1">
        <w:r w:rsidRPr="00614C08">
          <w:rPr>
            <w:rStyle w:val="Hyperlink"/>
          </w:rPr>
          <w:t>environment.govt.nz/assets/Publications/Files/wastewater-sector-report.pdf</w:t>
        </w:r>
      </w:hyperlink>
      <w:r>
        <w:t>.</w:t>
      </w:r>
    </w:p>
  </w:footnote>
  <w:footnote w:id="118">
    <w:p w14:paraId="52B5B67C" w14:textId="77777777" w:rsidR="00FD1D4D" w:rsidRPr="00AD6542" w:rsidRDefault="00FD1D4D" w:rsidP="004566F8">
      <w:pPr>
        <w:pStyle w:val="FootnoteText"/>
        <w:rPr>
          <w:b/>
          <w:highlight w:val="yellow"/>
        </w:rPr>
      </w:pPr>
      <w:r w:rsidRPr="00FA7599">
        <w:rPr>
          <w:rStyle w:val="FootnoteReference"/>
          <w:rFonts w:eastAsiaTheme="majorEastAsia"/>
          <w:szCs w:val="18"/>
        </w:rPr>
        <w:footnoteRef/>
      </w:r>
      <w:r w:rsidRPr="00FA7599">
        <w:t xml:space="preserve"> </w:t>
      </w:r>
      <w:r>
        <w:tab/>
        <w:t xml:space="preserve">GHG. 2020. </w:t>
      </w:r>
      <w:r>
        <w:rPr>
          <w:i/>
          <w:iCs/>
        </w:rPr>
        <w:t xml:space="preserve">The New Zealand Wastewater Sector. </w:t>
      </w:r>
      <w:r>
        <w:t xml:space="preserve">Report prepared for the Ministry for the Environment. Retrieved from </w:t>
      </w:r>
      <w:hyperlink r:id="rId97" w:history="1">
        <w:r w:rsidRPr="00614C08">
          <w:rPr>
            <w:rStyle w:val="Hyperlink"/>
          </w:rPr>
          <w:t>environment.govt.nz/assets/Publications/Files/wastewater-sector-report.pdf</w:t>
        </w:r>
      </w:hyperlink>
      <w:r>
        <w:t>.</w:t>
      </w:r>
    </w:p>
  </w:footnote>
  <w:footnote w:id="119">
    <w:p w14:paraId="2026822C" w14:textId="77777777" w:rsidR="00FD1D4D" w:rsidRDefault="00FD1D4D" w:rsidP="004566F8">
      <w:pPr>
        <w:pStyle w:val="FootnoteText"/>
      </w:pPr>
      <w:r>
        <w:rPr>
          <w:rStyle w:val="FootnoteReference"/>
        </w:rPr>
        <w:footnoteRef/>
      </w:r>
      <w:r>
        <w:t xml:space="preserve"> </w:t>
      </w:r>
      <w:r>
        <w:tab/>
        <w:t xml:space="preserve">Retrieved from </w:t>
      </w:r>
      <w:hyperlink r:id="rId98" w:history="1">
        <w:r w:rsidRPr="007E3E13">
          <w:rPr>
            <w:rStyle w:val="Hyperlink"/>
          </w:rPr>
          <w:t>www.tokelau.org.nz/site/tokelau/files/ClimateChange/LivCStrategy_web-2.pdf</w:t>
        </w:r>
      </w:hyperlink>
      <w:r>
        <w:t>.</w:t>
      </w:r>
    </w:p>
  </w:footnote>
  <w:footnote w:id="120">
    <w:p w14:paraId="005CA4A2" w14:textId="77777777" w:rsidR="00FD1D4D" w:rsidRDefault="00FD1D4D" w:rsidP="004566F8">
      <w:pPr>
        <w:pStyle w:val="FootnoteText"/>
      </w:pPr>
      <w:r>
        <w:rPr>
          <w:rStyle w:val="FootnoteReference"/>
        </w:rPr>
        <w:footnoteRef/>
      </w:r>
      <w:r>
        <w:t xml:space="preserve"> </w:t>
      </w:r>
      <w:r>
        <w:tab/>
        <w:t xml:space="preserve">Retrieved from </w:t>
      </w:r>
      <w:hyperlink r:id="rId99" w:history="1">
        <w:r w:rsidRPr="001F2B2B">
          <w:rPr>
            <w:rStyle w:val="Hyperlink"/>
          </w:rPr>
          <w:t>www.tokelau.org.nz/site/tokelau/files/ClimateChange/LivCImplementPlan_web-2.pdf</w:t>
        </w:r>
      </w:hyperlink>
      <w:r>
        <w:t>.</w:t>
      </w:r>
    </w:p>
  </w:footnote>
  <w:footnote w:id="121">
    <w:p w14:paraId="79FA973D" w14:textId="77777777" w:rsidR="00711C35" w:rsidRDefault="00711C35" w:rsidP="004566F8">
      <w:pPr>
        <w:pStyle w:val="FootnoteText"/>
      </w:pPr>
      <w:r>
        <w:rPr>
          <w:rStyle w:val="FootnoteReference"/>
        </w:rPr>
        <w:footnoteRef/>
      </w:r>
      <w:r>
        <w:tab/>
      </w:r>
      <w:r w:rsidRPr="003A7B16">
        <w:t>Ministry for the Environment. 20</w:t>
      </w:r>
      <w:r>
        <w:t>22</w:t>
      </w:r>
      <w:r w:rsidRPr="003A7B16">
        <w:t xml:space="preserve">. </w:t>
      </w:r>
      <w:r w:rsidRPr="7C4A8631">
        <w:rPr>
          <w:i/>
          <w:iCs/>
        </w:rPr>
        <w:t>New Zealand’s Greenhouse Gas Inventory 1990–2020.</w:t>
      </w:r>
      <w:r w:rsidRPr="003A7B16">
        <w:t xml:space="preserve"> Retrieved from </w:t>
      </w:r>
      <w:hyperlink r:id="rId100" w:history="1">
        <w:r>
          <w:rPr>
            <w:rStyle w:val="Hyperlink"/>
          </w:rPr>
          <w:t>environment.govt.nz/facts-and-science/climate-change/measuring-greenhouse-gas-emissions/about-new-zealands-greenhouse-gas-inventory</w:t>
        </w:r>
      </w:hyperlink>
      <w:r>
        <w:rPr>
          <w:rStyle w:val="Hyperlink"/>
        </w:rPr>
        <w:t xml:space="preserve"> </w:t>
      </w:r>
      <w:r>
        <w:t xml:space="preserve">(12 September 2022). </w:t>
      </w:r>
      <w:r w:rsidRPr="003A7B16">
        <w:t xml:space="preserve">The </w:t>
      </w:r>
      <w:r>
        <w:t>2022 I</w:t>
      </w:r>
      <w:r w:rsidRPr="003A7B16">
        <w:t>nventory refers to the entire UNFCCC submission</w:t>
      </w:r>
      <w:r>
        <w:t>, which</w:t>
      </w:r>
      <w:r w:rsidRPr="003A7B16">
        <w:t xml:space="preserve"> includes the National Inventory Report, the common reporting format d</w:t>
      </w:r>
      <w:r>
        <w:t>atabase</w:t>
      </w:r>
      <w:r w:rsidRPr="003A7B16">
        <w:t xml:space="preserve"> and the s</w:t>
      </w:r>
      <w:r>
        <w:t>tandard</w:t>
      </w:r>
      <w:r w:rsidRPr="003A7B16">
        <w:t xml:space="preserve"> electronic format tables.</w:t>
      </w:r>
    </w:p>
  </w:footnote>
  <w:footnote w:id="122">
    <w:p w14:paraId="1D890249" w14:textId="77777777" w:rsidR="00711C35" w:rsidRPr="00FF4012" w:rsidRDefault="00711C35" w:rsidP="004566F8">
      <w:pPr>
        <w:pStyle w:val="FootnoteText"/>
        <w:rPr>
          <w:highlight w:val="yellow"/>
        </w:rPr>
      </w:pPr>
      <w:r w:rsidRPr="7C4A8631">
        <w:rPr>
          <w:rStyle w:val="FootnoteReference"/>
          <w:rFonts w:eastAsiaTheme="majorEastAsia"/>
        </w:rPr>
        <w:footnoteRef/>
      </w:r>
      <w:r w:rsidRPr="003A7B16">
        <w:tab/>
      </w:r>
      <w:r>
        <w:t xml:space="preserve">To allow time for data collection and processing, there </w:t>
      </w:r>
      <w:r w:rsidRPr="003A7B16">
        <w:t>is always</w:t>
      </w:r>
      <w:r>
        <w:t xml:space="preserve"> a gap of</w:t>
      </w:r>
      <w:r w:rsidRPr="003A7B16">
        <w:t xml:space="preserve"> 15 months </w:t>
      </w:r>
      <w:r>
        <w:t xml:space="preserve">between the end of the most recent calendar year in the time series and the submission of the inventory. </w:t>
      </w:r>
    </w:p>
  </w:footnote>
  <w:footnote w:id="123">
    <w:p w14:paraId="2C297F91" w14:textId="189371FD" w:rsidR="00711C35" w:rsidRPr="001A7845" w:rsidRDefault="00711C35" w:rsidP="004566F8">
      <w:pPr>
        <w:pStyle w:val="FootnoteText"/>
        <w:rPr>
          <w:highlight w:val="yellow"/>
        </w:rPr>
      </w:pPr>
      <w:r w:rsidRPr="003A7B16">
        <w:rPr>
          <w:rStyle w:val="FootnoteReference"/>
          <w:rFonts w:eastAsiaTheme="majorEastAsia"/>
        </w:rPr>
        <w:footnoteRef/>
      </w:r>
      <w:r w:rsidRPr="003A7B16">
        <w:t xml:space="preserve"> </w:t>
      </w:r>
      <w:r w:rsidR="00347ABE">
        <w:tab/>
      </w:r>
      <w:r w:rsidRPr="003A7B16">
        <w:t xml:space="preserve">For the 2020 net position report, see the Ministry for the Environment’s website: </w:t>
      </w:r>
      <w:hyperlink r:id="rId101" w:history="1">
        <w:r>
          <w:rPr>
            <w:rStyle w:val="Hyperlink"/>
          </w:rPr>
          <w:t>environment.govt.nz/what-government-is-doing/areas-of-work/climate-change/emissions-reduction-targets/latest-update-on-new-zealands-2020-net-position</w:t>
        </w:r>
      </w:hyperlink>
      <w:r>
        <w:t xml:space="preserve"> (accessed 14 September 2022).</w:t>
      </w:r>
    </w:p>
  </w:footnote>
  <w:footnote w:id="124">
    <w:p w14:paraId="4F0F975F" w14:textId="77777777" w:rsidR="00711C35" w:rsidRPr="00FF4012" w:rsidRDefault="00711C35" w:rsidP="004566F8">
      <w:pPr>
        <w:pStyle w:val="FootnoteText"/>
        <w:rPr>
          <w:highlight w:val="yellow"/>
        </w:rPr>
      </w:pPr>
      <w:r w:rsidRPr="003A7B16">
        <w:rPr>
          <w:rStyle w:val="FootnoteReference"/>
          <w:rFonts w:eastAsiaTheme="majorEastAsia"/>
        </w:rPr>
        <w:footnoteRef/>
      </w:r>
      <w:r w:rsidRPr="003A7B16">
        <w:t xml:space="preserve"> </w:t>
      </w:r>
      <w:r w:rsidRPr="003A7B16">
        <w:tab/>
        <w:t>Enteric fermentation is a digestive process by which</w:t>
      </w:r>
      <w:r w:rsidRPr="00DB1ADE">
        <w:t xml:space="preserve"> </w:t>
      </w:r>
      <w:r w:rsidRPr="003A7B16">
        <w:t>micro-organisms</w:t>
      </w:r>
      <w:r>
        <w:t xml:space="preserve"> break down</w:t>
      </w:r>
      <w:r w:rsidRPr="003A7B16">
        <w:t xml:space="preserve"> carbohydrates into simple molecules for absorption into the bloodstream of an animal.</w:t>
      </w:r>
    </w:p>
  </w:footnote>
  <w:footnote w:id="125">
    <w:p w14:paraId="242EEC1C" w14:textId="77777777" w:rsidR="00711C35" w:rsidRPr="00853EC7" w:rsidRDefault="00711C35" w:rsidP="004566F8">
      <w:pPr>
        <w:pStyle w:val="FootnoteText"/>
      </w:pPr>
      <w:r>
        <w:rPr>
          <w:rStyle w:val="FootnoteReference"/>
        </w:rPr>
        <w:footnoteRef/>
      </w:r>
      <w:r>
        <w:tab/>
        <w:t>The amount of CO</w:t>
      </w:r>
      <w:r w:rsidRPr="3170A5CE">
        <w:rPr>
          <w:vertAlign w:val="subscript"/>
        </w:rPr>
        <w:t>2</w:t>
      </w:r>
      <w:r>
        <w:t>-e the LULUCF sector removes is the difference between removals and any emissions in this sector from, for example, harvesting and deforestation.</w:t>
      </w:r>
    </w:p>
  </w:footnote>
  <w:footnote w:id="126">
    <w:p w14:paraId="3724A46C" w14:textId="77777777" w:rsidR="00711C35" w:rsidRPr="003A7B16" w:rsidRDefault="00711C35" w:rsidP="004566F8">
      <w:pPr>
        <w:pStyle w:val="FootnoteText"/>
      </w:pPr>
      <w:r w:rsidRPr="003A7B16">
        <w:rPr>
          <w:rStyle w:val="FootnoteReference"/>
          <w:rFonts w:eastAsiaTheme="majorEastAsia"/>
          <w:spacing w:val="-2"/>
        </w:rPr>
        <w:footnoteRef/>
      </w:r>
      <w:r w:rsidRPr="003A7B16">
        <w:tab/>
      </w:r>
      <w:r w:rsidRPr="004566F8">
        <w:t>Under</w:t>
      </w:r>
      <w:r w:rsidRPr="003A7B16">
        <w:t xml:space="preserve"> the UNFCCC, the </w:t>
      </w:r>
      <w:r>
        <w:t>greenhouse gas i</w:t>
      </w:r>
      <w:r w:rsidRPr="003A7B16">
        <w:t>nventory reports emissions and removals from the entire LULUCF</w:t>
      </w:r>
      <w:r>
        <w:t xml:space="preserve"> </w:t>
      </w:r>
      <w:r w:rsidRPr="003A7B16">
        <w:t xml:space="preserve">sector. </w:t>
      </w:r>
      <w:r>
        <w:t>U</w:t>
      </w:r>
      <w:r w:rsidRPr="003A7B16">
        <w:t xml:space="preserve">nder the Kyoto Protocol, </w:t>
      </w:r>
      <w:r>
        <w:t xml:space="preserve">the subset of these emissions due to </w:t>
      </w:r>
      <w:r w:rsidRPr="003A7B16">
        <w:t xml:space="preserve">afforestation, reforestation, deforestation and forest management </w:t>
      </w:r>
      <w:r>
        <w:t>activities is</w:t>
      </w:r>
      <w:r w:rsidRPr="003A7B16">
        <w:t xml:space="preserve"> </w:t>
      </w:r>
      <w:r>
        <w:t xml:space="preserve">reported </w:t>
      </w:r>
      <w:r w:rsidRPr="003A7B16">
        <w:t>(commonly referred to as Articles 3.3 and 3.4 activities)</w:t>
      </w:r>
      <w:r>
        <w:t xml:space="preserve"> and used for target accounting</w:t>
      </w:r>
      <w:r w:rsidRPr="003A7B16">
        <w:t>. Therefore, the emissions totals and trends under UNFCCC and the Kyoto Protocol reporting are different.</w:t>
      </w:r>
    </w:p>
  </w:footnote>
  <w:footnote w:id="127">
    <w:p w14:paraId="13C48A32" w14:textId="77777777" w:rsidR="00711C35" w:rsidRPr="000D0CBE" w:rsidRDefault="00711C35" w:rsidP="004566F8">
      <w:pPr>
        <w:pStyle w:val="FootnoteText"/>
      </w:pPr>
      <w:r w:rsidRPr="7C4A8631">
        <w:rPr>
          <w:rStyle w:val="FootnoteReference"/>
          <w:rFonts w:eastAsiaTheme="majorEastAsia"/>
        </w:rPr>
        <w:footnoteRef/>
      </w:r>
      <w:r w:rsidRPr="003A7B16">
        <w:tab/>
        <w:t xml:space="preserve">Because </w:t>
      </w:r>
      <w:r w:rsidRPr="001B1A3E">
        <w:t>nitrogen trifluoride</w:t>
      </w:r>
      <w:r w:rsidRPr="003A7B16">
        <w:t xml:space="preserve"> emissions do not occur in New Zealand, no </w:t>
      </w:r>
      <w:r w:rsidRPr="001B1A3E">
        <w:t>nitrogen trifluoride</w:t>
      </w:r>
      <w:r w:rsidRPr="003A7B16">
        <w:t xml:space="preserve"> data </w:t>
      </w:r>
      <w:r>
        <w:t>are</w:t>
      </w:r>
      <w:r w:rsidRPr="003A7B16">
        <w:t xml:space="preserve"> included in the greenhouse gas inventory report.</w:t>
      </w:r>
    </w:p>
  </w:footnote>
  <w:footnote w:id="128">
    <w:p w14:paraId="60803025" w14:textId="77777777" w:rsidR="007B0FB3" w:rsidRPr="002349D6" w:rsidRDefault="007B0FB3" w:rsidP="007B0FB3">
      <w:pPr>
        <w:pStyle w:val="FootnoteText"/>
        <w:spacing w:after="0"/>
      </w:pPr>
      <w:r>
        <w:rPr>
          <w:rStyle w:val="FootnoteReference"/>
        </w:rPr>
        <w:footnoteRef/>
      </w:r>
      <w:r>
        <w:t xml:space="preserve"> </w:t>
      </w:r>
      <w:r>
        <w:rPr>
          <w:lang w:val="en-US"/>
        </w:rPr>
        <w:tab/>
        <w:t>‘Iwi’ – t</w:t>
      </w:r>
      <w:r w:rsidRPr="002349D6">
        <w:rPr>
          <w:lang w:val="en-US"/>
        </w:rPr>
        <w:t xml:space="preserve">ribe, large group descended from a </w:t>
      </w:r>
      <w:r w:rsidRPr="002349D6">
        <w:t>common</w:t>
      </w:r>
      <w:r w:rsidRPr="002349D6">
        <w:rPr>
          <w:lang w:val="en-US"/>
        </w:rPr>
        <w:t xml:space="preserve"> ancestor.</w:t>
      </w:r>
    </w:p>
  </w:footnote>
  <w:footnote w:id="129">
    <w:p w14:paraId="051C4DFC" w14:textId="77777777" w:rsidR="00CA1920" w:rsidRPr="00D93781" w:rsidRDefault="00CA1920" w:rsidP="00CA1920">
      <w:pPr>
        <w:pStyle w:val="FootnoteText"/>
      </w:pPr>
      <w:r w:rsidRPr="00D93781">
        <w:rPr>
          <w:rStyle w:val="FootnoteReference"/>
        </w:rPr>
        <w:footnoteRef/>
      </w:r>
      <w:r>
        <w:tab/>
        <w:t>Minister for Climate Change. 2018.</w:t>
      </w:r>
      <w:r w:rsidRPr="005E146B">
        <w:t xml:space="preserve"> </w:t>
      </w:r>
      <w:r>
        <w:t xml:space="preserve">Framework for climate change policy and key upcoming decisions. Proposal to Cabinet Environment, Energy and Climate Committee. Retrieved from </w:t>
      </w:r>
      <w:hyperlink r:id="rId102" w:history="1">
        <w:r>
          <w:rPr>
            <w:rStyle w:val="Hyperlink"/>
          </w:rPr>
          <w:t>environment.govt.nz/assets/Publications/framework-for-climate-change-policy-and-key-upcoming-decisions.pdf</w:t>
        </w:r>
      </w:hyperlink>
      <w:r>
        <w:t xml:space="preserve"> (8 November 2022).</w:t>
      </w:r>
    </w:p>
  </w:footnote>
  <w:footnote w:id="130">
    <w:p w14:paraId="29E87006" w14:textId="77777777" w:rsidR="00CA1920" w:rsidRPr="005E30DD" w:rsidRDefault="00CA1920" w:rsidP="007B4ECF">
      <w:pPr>
        <w:pStyle w:val="FootnoteText"/>
        <w:spacing w:line="220" w:lineRule="atLeast"/>
      </w:pPr>
      <w:r w:rsidRPr="00D93781">
        <w:rPr>
          <w:rStyle w:val="FootnoteReference"/>
        </w:rPr>
        <w:footnoteRef/>
      </w:r>
      <w:r>
        <w:tab/>
      </w:r>
      <w:hyperlink r:id="rId103" w:anchor="LMS282014" w:history="1">
        <w:r>
          <w:rPr>
            <w:rStyle w:val="Hyperlink"/>
          </w:rPr>
          <w:t>www.legislation.govt.nz/act/public/2002/0040/latest/whole.html#LMS282014</w:t>
        </w:r>
      </w:hyperlink>
      <w:r>
        <w:t>.</w:t>
      </w:r>
    </w:p>
  </w:footnote>
  <w:footnote w:id="131">
    <w:p w14:paraId="551E67DA" w14:textId="77777777" w:rsidR="00CA1920" w:rsidRPr="005E30DD" w:rsidRDefault="00CA1920" w:rsidP="007B4ECF">
      <w:pPr>
        <w:pStyle w:val="FootnoteText"/>
        <w:spacing w:line="220" w:lineRule="atLeast"/>
      </w:pPr>
      <w:r w:rsidRPr="00D93781">
        <w:rPr>
          <w:rStyle w:val="FootnoteReference"/>
        </w:rPr>
        <w:footnoteRef/>
      </w:r>
      <w:r>
        <w:tab/>
      </w:r>
      <w:hyperlink r:id="rId104" w:history="1">
        <w:r>
          <w:rPr>
            <w:rStyle w:val="Hyperlink"/>
          </w:rPr>
          <w:t>unfccc.int/sites/default/files/NDC/2022-06/New%20Zealand%20NDC%20November%202021.pdf</w:t>
        </w:r>
      </w:hyperlink>
      <w:r>
        <w:t>.</w:t>
      </w:r>
    </w:p>
  </w:footnote>
  <w:footnote w:id="132">
    <w:p w14:paraId="40486B27" w14:textId="7C578616" w:rsidR="00043DC3" w:rsidRPr="00842E68" w:rsidRDefault="00043DC3" w:rsidP="007B4ECF">
      <w:pPr>
        <w:pStyle w:val="FootnoteText"/>
        <w:spacing w:line="220" w:lineRule="atLeast"/>
      </w:pPr>
      <w:r>
        <w:rPr>
          <w:rStyle w:val="FootnoteReference"/>
        </w:rPr>
        <w:footnoteRef/>
      </w:r>
      <w:r>
        <w:t xml:space="preserve"> </w:t>
      </w:r>
      <w:r w:rsidR="004E1B8C">
        <w:tab/>
      </w:r>
      <w:hyperlink r:id="rId105" w:history="1">
        <w:r>
          <w:rPr>
            <w:rStyle w:val="Hyperlink"/>
          </w:rPr>
          <w:t>environment.govt.nz/publications/report-upon-expiration-of-the-additional-period-for-fulfilling-commitments-by-new-zealand/</w:t>
        </w:r>
      </w:hyperlink>
      <w:r>
        <w:t>.</w:t>
      </w:r>
    </w:p>
  </w:footnote>
  <w:footnote w:id="133">
    <w:p w14:paraId="0A82EF97" w14:textId="1F9E43E6" w:rsidR="00CA1920" w:rsidRDefault="00CA1920" w:rsidP="007B4ECF">
      <w:pPr>
        <w:pStyle w:val="FootnoteText"/>
        <w:spacing w:line="220" w:lineRule="atLeast"/>
      </w:pPr>
      <w:r>
        <w:rPr>
          <w:rStyle w:val="FootnoteReference"/>
        </w:rPr>
        <w:footnoteRef/>
      </w:r>
      <w:r>
        <w:t xml:space="preserve"> </w:t>
      </w:r>
      <w:r>
        <w:tab/>
        <w:t xml:space="preserve">Ministry for the Environment. 2015. Report upon </w:t>
      </w:r>
      <w:r w:rsidRPr="00AB199C">
        <w:t>expiration</w:t>
      </w:r>
      <w:r>
        <w:t xml:space="preserve"> of the additional period for fulfilling commitments by New Zealand. Retrieved from </w:t>
      </w:r>
      <w:hyperlink r:id="rId106" w:history="1">
        <w:r>
          <w:rPr>
            <w:rStyle w:val="Hyperlink"/>
          </w:rPr>
          <w:t>unfccc.int/files/kyoto_protocol/reporting/true-up_period_reports_under_the_kyoto_protocol/ application/pdf/true-up_period_report_by_new_zealand_2015.pdf</w:t>
        </w:r>
      </w:hyperlink>
      <w:r>
        <w:t xml:space="preserve"> (8 November 2022)</w:t>
      </w:r>
      <w:r w:rsidRPr="00D93781">
        <w:t>.</w:t>
      </w:r>
    </w:p>
  </w:footnote>
  <w:footnote w:id="134">
    <w:p w14:paraId="5C2E1BB7" w14:textId="77777777" w:rsidR="00CA1920" w:rsidRDefault="00CA1920" w:rsidP="00CA1920">
      <w:pPr>
        <w:pStyle w:val="FootnoteText"/>
      </w:pPr>
      <w:r>
        <w:rPr>
          <w:rStyle w:val="FootnoteReference"/>
        </w:rPr>
        <w:footnoteRef/>
      </w:r>
      <w:r>
        <w:tab/>
        <w:t xml:space="preserve">Chapter 6 provides </w:t>
      </w:r>
      <w:r w:rsidRPr="002E657D">
        <w:t>further</w:t>
      </w:r>
      <w:r>
        <w:t xml:space="preserve"> detail on the adaptation components of the CCRA.</w:t>
      </w:r>
    </w:p>
  </w:footnote>
  <w:footnote w:id="135">
    <w:p w14:paraId="6FEA2D98" w14:textId="77777777" w:rsidR="00CA1920" w:rsidRDefault="00CA1920" w:rsidP="00CA1920">
      <w:pPr>
        <w:pStyle w:val="FootnoteText"/>
      </w:pPr>
      <w:r>
        <w:rPr>
          <w:rStyle w:val="FootnoteReference"/>
        </w:rPr>
        <w:footnoteRef/>
      </w:r>
      <w:r>
        <w:tab/>
        <w:t>The Climate Change Commission was established in December 2019.</w:t>
      </w:r>
    </w:p>
  </w:footnote>
  <w:footnote w:id="136">
    <w:p w14:paraId="05E41290" w14:textId="77777777" w:rsidR="00CA1920" w:rsidRDefault="00CA1920" w:rsidP="00CA1920">
      <w:pPr>
        <w:pStyle w:val="FootnoteText"/>
      </w:pPr>
      <w:r>
        <w:rPr>
          <w:rStyle w:val="FootnoteReference"/>
        </w:rPr>
        <w:footnoteRef/>
      </w:r>
      <w:r>
        <w:tab/>
        <w:t xml:space="preserve">The Government prepared the first national climate change risks assessment. Progress reports and subsequent risk assessment are to be prepared by the Climate Change Commission. </w:t>
      </w:r>
    </w:p>
  </w:footnote>
  <w:footnote w:id="137">
    <w:p w14:paraId="19A8D8FC" w14:textId="77777777" w:rsidR="00CA1920" w:rsidRPr="00EA1333" w:rsidRDefault="00CA1920" w:rsidP="00CA1920">
      <w:pPr>
        <w:pStyle w:val="FootnoteText"/>
      </w:pPr>
      <w:r>
        <w:rPr>
          <w:rStyle w:val="FootnoteReference"/>
        </w:rPr>
        <w:footnoteRef/>
      </w:r>
      <w:r>
        <w:t xml:space="preserve"> </w:t>
      </w:r>
      <w:r>
        <w:tab/>
      </w:r>
      <w:r w:rsidRPr="00EA1333">
        <w:t xml:space="preserve">Ministry for the Environment. 2022. </w:t>
      </w:r>
      <w:r w:rsidRPr="00EA1333">
        <w:rPr>
          <w:i/>
          <w:iCs/>
        </w:rPr>
        <w:t>Te hau mārohi ki anamata: Towards a productive, sustainable and inclusive economy – Aotearoa New Zealand’s First Emissions Reduction Plan</w:t>
      </w:r>
      <w:r w:rsidRPr="00EA1333">
        <w:t xml:space="preserve">. Wellington: Ministry for the Environment. Retrieved from </w:t>
      </w:r>
      <w:hyperlink r:id="rId107" w:history="1">
        <w:r w:rsidRPr="00EA1333">
          <w:rPr>
            <w:rStyle w:val="Hyperlink"/>
          </w:rPr>
          <w:t>environment.govt.nz/what-government-is-doing/areas-of-work/climate-change/emissions-reduction-plan</w:t>
        </w:r>
      </w:hyperlink>
      <w:r w:rsidRPr="00EA1333">
        <w:t>.</w:t>
      </w:r>
    </w:p>
  </w:footnote>
  <w:footnote w:id="138">
    <w:p w14:paraId="7D98F7A3" w14:textId="77777777" w:rsidR="00CA1920" w:rsidRDefault="00CA1920" w:rsidP="00CA1920">
      <w:pPr>
        <w:pStyle w:val="FootnoteText"/>
      </w:pPr>
      <w:r>
        <w:rPr>
          <w:rStyle w:val="FootnoteReference"/>
        </w:rPr>
        <w:footnoteRef/>
      </w:r>
      <w:r>
        <w:t xml:space="preserve"> </w:t>
      </w:r>
      <w:r>
        <w:tab/>
        <w:t xml:space="preserve">UN Climate Change Conference UK 2021. 2021. Supporting the Conditions for a Just Transition Internationally. Retrieved from: </w:t>
      </w:r>
      <w:hyperlink r:id="rId108" w:history="1">
        <w:r>
          <w:rPr>
            <w:rStyle w:val="Hyperlink"/>
          </w:rPr>
          <w:t>ukcop26.org/supporting-the-conditions-for-a-just-transition-internationally/</w:t>
        </w:r>
      </w:hyperlink>
      <w:r>
        <w:t xml:space="preserve"> (24 November 2022).</w:t>
      </w:r>
    </w:p>
  </w:footnote>
  <w:footnote w:id="139">
    <w:p w14:paraId="70611BFA" w14:textId="77777777" w:rsidR="00CA1920" w:rsidRDefault="00CA1920" w:rsidP="00CA1920">
      <w:pPr>
        <w:pStyle w:val="FootnoteText"/>
      </w:pPr>
      <w:r>
        <w:rPr>
          <w:rStyle w:val="FootnoteReference"/>
        </w:rPr>
        <w:footnoteRef/>
      </w:r>
      <w:r>
        <w:t xml:space="preserve"> </w:t>
      </w:r>
      <w:r>
        <w:tab/>
        <w:t xml:space="preserve">Department of Conservation. 2020. </w:t>
      </w:r>
      <w:r w:rsidRPr="004303F0">
        <w:rPr>
          <w:i/>
          <w:iCs/>
        </w:rPr>
        <w:t>Te Mana o te Taiao – Aotearoa New Zealand Biodiversity Strategy 2020</w:t>
      </w:r>
      <w:r>
        <w:rPr>
          <w:i/>
          <w:iCs/>
        </w:rPr>
        <w:t>: Summary.</w:t>
      </w:r>
      <w:r>
        <w:t xml:space="preserve"> Wellington: Department of Conservation. Retrieved from </w:t>
      </w:r>
      <w:hyperlink r:id="rId109" w:history="1">
        <w:r w:rsidRPr="002D4748">
          <w:rPr>
            <w:rStyle w:val="Hyperlink"/>
          </w:rPr>
          <w:t>www.doc.govt.nz/nature/ biodiversity/aotearoa-new-zealand-biodiversity-strategy/te-mana-o-te-taiao-summary/</w:t>
        </w:r>
      </w:hyperlink>
      <w:r>
        <w:t xml:space="preserve"> (9 November 2011).</w:t>
      </w:r>
    </w:p>
  </w:footnote>
  <w:footnote w:id="140">
    <w:p w14:paraId="587B3816" w14:textId="77777777" w:rsidR="00CA1920" w:rsidRPr="00D93781" w:rsidRDefault="00CA1920" w:rsidP="00CA1920">
      <w:pPr>
        <w:pStyle w:val="Footnote"/>
      </w:pPr>
      <w:r w:rsidRPr="00D93781">
        <w:rPr>
          <w:rStyle w:val="FootnoteReference"/>
        </w:rPr>
        <w:footnoteRef/>
      </w:r>
      <w:r w:rsidRPr="00D93781">
        <w:t xml:space="preserve"> </w:t>
      </w:r>
      <w:r w:rsidRPr="00D93781">
        <w:tab/>
        <w:t xml:space="preserve">Productivity Commission. 2018. </w:t>
      </w:r>
      <w:r w:rsidRPr="00D93781">
        <w:rPr>
          <w:i/>
          <w:iCs/>
        </w:rPr>
        <w:t>Low-emissions Economy</w:t>
      </w:r>
      <w:r w:rsidRPr="00D93781">
        <w:t xml:space="preserve">. Wellington: Productivity Commission. Retrieved from </w:t>
      </w:r>
      <w:hyperlink r:id="rId110" w:history="1">
        <w:r>
          <w:rPr>
            <w:rStyle w:val="Hyperlink"/>
          </w:rPr>
          <w:t>productivity.govt.nz/assets/Documents/4e01d69a83/Productivity-Commission_Low-5emissions-economy_Final-Report.pdf</w:t>
        </w:r>
      </w:hyperlink>
      <w:r w:rsidRPr="00D93781">
        <w:t xml:space="preserve">. </w:t>
      </w:r>
    </w:p>
  </w:footnote>
  <w:footnote w:id="141">
    <w:p w14:paraId="21080BFE" w14:textId="77777777" w:rsidR="00867026" w:rsidRPr="00D93781" w:rsidRDefault="00867026" w:rsidP="00867026">
      <w:pPr>
        <w:pStyle w:val="Footnote"/>
      </w:pPr>
      <w:r w:rsidRPr="00D93781">
        <w:rPr>
          <w:rStyle w:val="FootnoteReference"/>
        </w:rPr>
        <w:footnoteRef/>
      </w:r>
      <w:r w:rsidRPr="00D93781">
        <w:t xml:space="preserve"> </w:t>
      </w:r>
      <w:r w:rsidRPr="00D93781">
        <w:tab/>
        <w:t xml:space="preserve">Ministry for the Environment. 2019. </w:t>
      </w:r>
      <w:r w:rsidRPr="00D93781">
        <w:rPr>
          <w:i/>
        </w:rPr>
        <w:t>Transitioning to a Low-emissions Future: The Government response to the Productivity Commission’s Low Emissions Economy report</w:t>
      </w:r>
      <w:r w:rsidRPr="00D93781">
        <w:t xml:space="preserve">. Wellington: Ministry for the Environment. Retrieved from </w:t>
      </w:r>
      <w:hyperlink r:id="rId111" w:history="1">
        <w:r w:rsidRPr="00D93781">
          <w:rPr>
            <w:rStyle w:val="Hyperlink"/>
          </w:rPr>
          <w:t>www.mfe.govt.nz/publications/climate-change/transitioning-low-emissions-future-government-response-productivity</w:t>
        </w:r>
      </w:hyperlink>
      <w:r w:rsidRPr="00D93781">
        <w:t>.</w:t>
      </w:r>
    </w:p>
  </w:footnote>
  <w:footnote w:id="142">
    <w:p w14:paraId="0EA4E5CC" w14:textId="77777777" w:rsidR="00CA1920" w:rsidRDefault="00CA1920" w:rsidP="00CA1920">
      <w:pPr>
        <w:pStyle w:val="FootnoteText"/>
      </w:pPr>
      <w:r>
        <w:rPr>
          <w:rStyle w:val="FootnoteReference"/>
        </w:rPr>
        <w:footnoteRef/>
      </w:r>
      <w:r>
        <w:tab/>
        <w:t xml:space="preserve">NZ ETS coverage is defined slightly differently from IPCC sectors. </w:t>
      </w:r>
    </w:p>
  </w:footnote>
  <w:footnote w:id="143">
    <w:p w14:paraId="67106DE4" w14:textId="77777777" w:rsidR="00CA1920" w:rsidRPr="00CF34AF" w:rsidRDefault="00CA1920" w:rsidP="00CA1920">
      <w:pPr>
        <w:pStyle w:val="FootnoteText"/>
      </w:pPr>
      <w:r>
        <w:rPr>
          <w:rStyle w:val="FootnoteReference"/>
        </w:rPr>
        <w:footnoteRef/>
      </w:r>
      <w:r>
        <w:tab/>
        <w:t>T</w:t>
      </w:r>
      <w:r w:rsidRPr="00CF34AF">
        <w:t xml:space="preserve">he agricultural sector has reporting requirements in the NZ ETS but no surrender obligations. Work is ongoing to price emissions in the agricultural sector and decisions are yet to be made </w:t>
      </w:r>
      <w:r>
        <w:t>as to what form this will take</w:t>
      </w:r>
      <w:r w:rsidRPr="00CF34AF">
        <w:t>.</w:t>
      </w:r>
    </w:p>
  </w:footnote>
  <w:footnote w:id="144">
    <w:p w14:paraId="7C54B92A" w14:textId="77777777" w:rsidR="00CA1920" w:rsidRPr="00835474" w:rsidRDefault="00CA1920" w:rsidP="00CA1920">
      <w:pPr>
        <w:pStyle w:val="FootnoteText"/>
      </w:pPr>
      <w:r>
        <w:rPr>
          <w:rStyle w:val="FootnoteReference"/>
        </w:rPr>
        <w:footnoteRef/>
      </w:r>
      <w:r>
        <w:tab/>
        <w:t xml:space="preserve">Only waste emissions from managed landfills are within the NZ ETS. Emissions from unmanaged sites, or wastewater treatment plants are not within the scheme. </w:t>
      </w:r>
    </w:p>
  </w:footnote>
  <w:footnote w:id="145">
    <w:p w14:paraId="59506B54" w14:textId="77777777" w:rsidR="00CA1920" w:rsidRDefault="00CA1920" w:rsidP="00CA1920">
      <w:pPr>
        <w:pStyle w:val="FootnoteText"/>
      </w:pPr>
      <w:r>
        <w:rPr>
          <w:rStyle w:val="FootnoteReference"/>
        </w:rPr>
        <w:footnoteRef/>
      </w:r>
      <w:r>
        <w:tab/>
        <w:t>These are</w:t>
      </w:r>
      <w:r w:rsidRPr="003A1185">
        <w:t xml:space="preserve"> instead covered by a levy if they are contained in imported goods (eg, refrigerated truck, air conditioning unit).</w:t>
      </w:r>
    </w:p>
  </w:footnote>
  <w:footnote w:id="146">
    <w:p w14:paraId="7D326515" w14:textId="77777777" w:rsidR="00CA1920" w:rsidRDefault="00CA1920" w:rsidP="00CA1920">
      <w:pPr>
        <w:pStyle w:val="FootnoteText"/>
      </w:pPr>
      <w:r>
        <w:rPr>
          <w:rStyle w:val="FootnoteReference"/>
        </w:rPr>
        <w:footnoteRef/>
      </w:r>
      <w:r>
        <w:tab/>
        <w:t xml:space="preserve">Through the </w:t>
      </w:r>
      <w:r w:rsidRPr="006C5BDC">
        <w:t>Climate Change Response (Emissions Trading Reform) Amendment</w:t>
      </w:r>
      <w:r>
        <w:t xml:space="preserve"> Act 2020. </w:t>
      </w:r>
    </w:p>
  </w:footnote>
  <w:footnote w:id="147">
    <w:p w14:paraId="115CC23B" w14:textId="77777777" w:rsidR="00CA1920" w:rsidRDefault="00CA1920" w:rsidP="00CA1920">
      <w:pPr>
        <w:pStyle w:val="FootnoteText"/>
      </w:pPr>
      <w:r>
        <w:rPr>
          <w:rStyle w:val="FootnoteReference"/>
        </w:rPr>
        <w:footnoteRef/>
      </w:r>
      <w:r>
        <w:tab/>
        <w:t xml:space="preserve">Previously NZ ETS participants could meet their surrender obligations through a fixed price of NZ$25 for emissions occurring prior to and including </w:t>
      </w:r>
      <w:r w:rsidRPr="001310B6">
        <w:t>the</w:t>
      </w:r>
      <w:r>
        <w:t xml:space="preserve"> 2019 calendar year, or NZ$35 for 2020 calendar year emissions. </w:t>
      </w:r>
    </w:p>
  </w:footnote>
  <w:footnote w:id="148">
    <w:p w14:paraId="2E93FE9E" w14:textId="77777777" w:rsidR="00CA1920" w:rsidRDefault="00CA1920" w:rsidP="00CA1920">
      <w:pPr>
        <w:pStyle w:val="FootnoteText"/>
      </w:pPr>
      <w:r>
        <w:rPr>
          <w:rStyle w:val="FootnoteReference"/>
        </w:rPr>
        <w:footnoteRef/>
      </w:r>
      <w:r>
        <w:tab/>
        <w:t>R</w:t>
      </w:r>
      <w:r w:rsidRPr="004F7AAD">
        <w:t>ecommendations 11.1 and 25.2a</w:t>
      </w:r>
      <w:r>
        <w:t>.</w:t>
      </w:r>
    </w:p>
  </w:footnote>
  <w:footnote w:id="149">
    <w:p w14:paraId="7E9BBB2D" w14:textId="77777777" w:rsidR="00CA1920" w:rsidRPr="00D93781" w:rsidRDefault="00CA1920" w:rsidP="00CA1920">
      <w:pPr>
        <w:pStyle w:val="FootnoteText"/>
      </w:pPr>
      <w:r w:rsidRPr="00D93781">
        <w:rPr>
          <w:rStyle w:val="FootnoteReference"/>
          <w:rFonts w:eastAsiaTheme="majorEastAsia"/>
        </w:rPr>
        <w:footnoteRef/>
      </w:r>
      <w:r w:rsidRPr="00D93781">
        <w:tab/>
        <w:t>Vote Environment 20</w:t>
      </w:r>
      <w:r>
        <w:t>21</w:t>
      </w:r>
      <w:r w:rsidRPr="00D93781">
        <w:t>/</w:t>
      </w:r>
      <w:r>
        <w:t>22</w:t>
      </w:r>
      <w:r w:rsidRPr="00D93781">
        <w:t xml:space="preserve">. Retrieved from </w:t>
      </w:r>
      <w:hyperlink r:id="rId112" w:history="1">
        <w:r w:rsidRPr="007F2F99">
          <w:rPr>
            <w:rStyle w:val="Hyperlink"/>
          </w:rPr>
          <w:t>www.treasury.govt.nz/sites/default/files/2021-05/est21-v3-envir.pdf</w:t>
        </w:r>
      </w:hyperlink>
      <w:r>
        <w:t xml:space="preserve"> (accessed 9 November 2022).</w:t>
      </w:r>
    </w:p>
  </w:footnote>
  <w:footnote w:id="150">
    <w:p w14:paraId="3768AE00" w14:textId="77777777" w:rsidR="00CA1920" w:rsidRDefault="00CA1920" w:rsidP="00CA1920">
      <w:pPr>
        <w:pStyle w:val="FootnoteText"/>
      </w:pPr>
      <w:r>
        <w:rPr>
          <w:rStyle w:val="FootnoteReference"/>
        </w:rPr>
        <w:footnoteRef/>
      </w:r>
      <w:r>
        <w:tab/>
        <w:t>This requirement applies to agencies that must</w:t>
      </w:r>
      <w:r w:rsidRPr="00BC11F6">
        <w:t xml:space="preserve"> </w:t>
      </w:r>
      <w:r>
        <w:t>follow</w:t>
      </w:r>
      <w:r w:rsidRPr="00BC11F6">
        <w:t xml:space="preserve"> the Government Procurement Rules</w:t>
      </w:r>
      <w:r>
        <w:t>.</w:t>
      </w:r>
    </w:p>
  </w:footnote>
  <w:footnote w:id="151">
    <w:p w14:paraId="45E80B32" w14:textId="77777777" w:rsidR="00CA1920" w:rsidRDefault="00CA1920" w:rsidP="00CA1920">
      <w:pPr>
        <w:pStyle w:val="FootnoteText"/>
      </w:pPr>
      <w:r>
        <w:rPr>
          <w:rStyle w:val="FootnoteReference"/>
        </w:rPr>
        <w:footnoteRef/>
      </w:r>
      <w:r>
        <w:tab/>
        <w:t>Light vehicles are defined as those that weigh 3,500 kilograms or less.</w:t>
      </w:r>
    </w:p>
  </w:footnote>
  <w:footnote w:id="152">
    <w:p w14:paraId="720244CB" w14:textId="77777777" w:rsidR="00CA1920" w:rsidRDefault="00CA1920" w:rsidP="00CA1920">
      <w:pPr>
        <w:pStyle w:val="FootnoteText"/>
      </w:pPr>
      <w:r>
        <w:rPr>
          <w:rStyle w:val="FootnoteReference"/>
        </w:rPr>
        <w:footnoteRef/>
      </w:r>
      <w:r>
        <w:tab/>
        <w:t>This requirement applies to those agencies that are subject to the Government Property System Leadership mandate.</w:t>
      </w:r>
    </w:p>
  </w:footnote>
  <w:footnote w:id="153">
    <w:p w14:paraId="5C161276" w14:textId="77777777" w:rsidR="00CA1920" w:rsidRDefault="00CA1920" w:rsidP="00CA1920">
      <w:pPr>
        <w:pStyle w:val="FootnoteText"/>
      </w:pPr>
      <w:r>
        <w:rPr>
          <w:rStyle w:val="FootnoteReference"/>
        </w:rPr>
        <w:footnoteRef/>
      </w:r>
      <w:r>
        <w:t xml:space="preserve"> </w:t>
      </w:r>
      <w:r>
        <w:tab/>
      </w:r>
      <w:r w:rsidRPr="00F75E59">
        <w:t xml:space="preserve">Agencies entering a new </w:t>
      </w:r>
      <w:r w:rsidRPr="00F718B2">
        <w:t>lease</w:t>
      </w:r>
      <w:r w:rsidRPr="00F75E59">
        <w:t xml:space="preserve"> or renewing an existing lease should target the building achieving a minimum of a 4 star NABERSNZ rating. Agencies planning a new build project need the building to achieve</w:t>
      </w:r>
      <w:r>
        <w:t> </w:t>
      </w:r>
      <w:r w:rsidRPr="00F75E59">
        <w:t>a minimum 5 star NABERSNZ rating.</w:t>
      </w:r>
    </w:p>
  </w:footnote>
  <w:footnote w:id="154">
    <w:p w14:paraId="55CF164D" w14:textId="77777777" w:rsidR="00CA1920" w:rsidRDefault="00CA1920" w:rsidP="00CA1920">
      <w:pPr>
        <w:pStyle w:val="FootnoteText"/>
      </w:pPr>
      <w:r>
        <w:rPr>
          <w:rStyle w:val="FootnoteReference"/>
        </w:rPr>
        <w:footnoteRef/>
      </w:r>
      <w:r>
        <w:tab/>
        <w:t>This requirement applies to agencies that must follow the Government Procurement Rules.</w:t>
      </w:r>
    </w:p>
  </w:footnote>
  <w:footnote w:id="155">
    <w:p w14:paraId="04977539" w14:textId="77777777" w:rsidR="00CA1920" w:rsidRDefault="00CA1920" w:rsidP="00CA1920">
      <w:pPr>
        <w:pStyle w:val="FootnoteText"/>
      </w:pPr>
      <w:r>
        <w:rPr>
          <w:rStyle w:val="FootnoteReference"/>
        </w:rPr>
        <w:footnoteRef/>
      </w:r>
      <w:r>
        <w:tab/>
        <w:t xml:space="preserve">Ministry for the Environment. 2022. </w:t>
      </w:r>
      <w:r w:rsidRPr="00745BC3">
        <w:rPr>
          <w:i/>
          <w:iCs/>
        </w:rPr>
        <w:t>New Zealand’s Greenhouse Gas Inventory 1990–20</w:t>
      </w:r>
      <w:r>
        <w:rPr>
          <w:i/>
          <w:iCs/>
        </w:rPr>
        <w:t>20</w:t>
      </w:r>
      <w:r>
        <w:t>. Wellington: Ministry for the Environment. Retrieved from</w:t>
      </w:r>
      <w:r w:rsidDel="00745BC3">
        <w:t xml:space="preserve"> </w:t>
      </w:r>
      <w:hyperlink r:id="rId113" w:history="1">
        <w:r>
          <w:rPr>
            <w:rStyle w:val="Hyperlink"/>
          </w:rPr>
          <w:t>environment.govt.nz/publications/new-zealands-greenhouse-gas-inventory-1990-2020/</w:t>
        </w:r>
      </w:hyperlink>
      <w:r>
        <w:t xml:space="preserve"> (10 November 2022).</w:t>
      </w:r>
    </w:p>
  </w:footnote>
  <w:footnote w:id="156">
    <w:p w14:paraId="4178B8BD" w14:textId="77777777" w:rsidR="00CA1920" w:rsidRDefault="00CA1920" w:rsidP="00CA1920">
      <w:pPr>
        <w:pStyle w:val="FootnoteText"/>
      </w:pPr>
      <w:r>
        <w:rPr>
          <w:rStyle w:val="FootnoteReference"/>
        </w:rPr>
        <w:footnoteRef/>
      </w:r>
      <w:r>
        <w:tab/>
      </w:r>
      <w:r w:rsidRPr="00AD723A">
        <w:t xml:space="preserve">Total primary energy supply is the amount of energy available for use in </w:t>
      </w:r>
      <w:r>
        <w:t>New Zealand</w:t>
      </w:r>
      <w:r w:rsidRPr="00AD723A">
        <w:t>, accounting for imports and exports.</w:t>
      </w:r>
    </w:p>
  </w:footnote>
  <w:footnote w:id="157">
    <w:p w14:paraId="4F540ADE" w14:textId="77777777" w:rsidR="00CA1920" w:rsidRPr="0005384A" w:rsidRDefault="00CA1920" w:rsidP="00CA1920">
      <w:pPr>
        <w:pStyle w:val="FootnoteText"/>
      </w:pPr>
      <w:r>
        <w:rPr>
          <w:rStyle w:val="FootnoteReference"/>
        </w:rPr>
        <w:footnoteRef/>
      </w:r>
      <w:r>
        <w:tab/>
      </w:r>
      <w:r w:rsidRPr="0087365E">
        <w:t>Total final energy consumption is the total energy consumed by end users, such as households and industry. It excludes energy that the energy sector uses itself, energy transformation and distribution losses.</w:t>
      </w:r>
    </w:p>
  </w:footnote>
  <w:footnote w:id="158">
    <w:p w14:paraId="0C4A8967" w14:textId="332F4CF3" w:rsidR="004276A8" w:rsidRPr="004276A8" w:rsidRDefault="004276A8" w:rsidP="005B3DF2">
      <w:pPr>
        <w:pStyle w:val="FootnoteText"/>
        <w:spacing w:after="40" w:line="220" w:lineRule="atLeast"/>
        <w:rPr>
          <w:lang w:val="en-US"/>
        </w:rPr>
      </w:pPr>
      <w:r>
        <w:rPr>
          <w:rStyle w:val="FootnoteReference"/>
        </w:rPr>
        <w:footnoteRef/>
      </w:r>
      <w:r>
        <w:t xml:space="preserve"> </w:t>
      </w:r>
      <w:r>
        <w:rPr>
          <w:lang w:val="en-US"/>
        </w:rPr>
        <w:tab/>
      </w:r>
      <w:hyperlink r:id="rId114" w:history="1">
        <w:r w:rsidR="00C05D90">
          <w:rPr>
            <w:rStyle w:val="Hyperlink"/>
            <w:lang w:val="en-US"/>
          </w:rPr>
          <w:t>www.mbie.govt.nz/building-and-energy/energy-and-natural-resources/low-emissions-economy/energy-efficiency-in-new-zealand/maori-and-public-housing-renewable-energy-fund</w:t>
        </w:r>
      </w:hyperlink>
    </w:p>
  </w:footnote>
  <w:footnote w:id="159">
    <w:p w14:paraId="795133F0" w14:textId="7E088B7F" w:rsidR="00C05D90" w:rsidRPr="00C05D90" w:rsidRDefault="00C05D90" w:rsidP="005B3DF2">
      <w:pPr>
        <w:pStyle w:val="FootnoteText"/>
        <w:spacing w:after="40" w:line="220" w:lineRule="atLeast"/>
        <w:rPr>
          <w:lang w:val="en-US"/>
        </w:rPr>
      </w:pPr>
      <w:r>
        <w:rPr>
          <w:rStyle w:val="FootnoteReference"/>
        </w:rPr>
        <w:footnoteRef/>
      </w:r>
      <w:r>
        <w:t xml:space="preserve"> </w:t>
      </w:r>
      <w:r>
        <w:rPr>
          <w:lang w:val="en-US"/>
        </w:rPr>
        <w:tab/>
      </w:r>
      <w:hyperlink r:id="rId115" w:history="1">
        <w:r w:rsidR="008B19C0">
          <w:rPr>
            <w:rStyle w:val="Hyperlink"/>
            <w:lang w:val="en-US"/>
          </w:rPr>
          <w:t>www.eeca.govt.nz/regulations/equipment-energy-efficiency/about-the-e3-programme</w:t>
        </w:r>
      </w:hyperlink>
      <w:r>
        <w:rPr>
          <w:lang w:val="en-US"/>
        </w:rPr>
        <w:t xml:space="preserve"> </w:t>
      </w:r>
    </w:p>
  </w:footnote>
  <w:footnote w:id="160">
    <w:p w14:paraId="6CFC7624" w14:textId="28D825FA" w:rsidR="00C05D90" w:rsidRPr="00C05D90" w:rsidRDefault="00C05D90" w:rsidP="005B3DF2">
      <w:pPr>
        <w:pStyle w:val="FootnoteText"/>
        <w:spacing w:after="40" w:line="220" w:lineRule="atLeast"/>
        <w:rPr>
          <w:lang w:val="en-US"/>
        </w:rPr>
      </w:pPr>
      <w:r>
        <w:rPr>
          <w:rStyle w:val="FootnoteReference"/>
        </w:rPr>
        <w:footnoteRef/>
      </w:r>
      <w:r>
        <w:t xml:space="preserve"> </w:t>
      </w:r>
      <w:r>
        <w:rPr>
          <w:lang w:val="en-US"/>
        </w:rPr>
        <w:tab/>
      </w:r>
      <w:hyperlink r:id="rId116" w:history="1">
        <w:r w:rsidR="008B19C0">
          <w:rPr>
            <w:rStyle w:val="Hyperlink"/>
            <w:lang w:val="en-US"/>
          </w:rPr>
          <w:t>genless.govt.nz/</w:t>
        </w:r>
      </w:hyperlink>
      <w:r>
        <w:rPr>
          <w:lang w:val="en-US"/>
        </w:rPr>
        <w:t xml:space="preserve"> </w:t>
      </w:r>
    </w:p>
  </w:footnote>
  <w:footnote w:id="161">
    <w:p w14:paraId="493915D6" w14:textId="537EC553" w:rsidR="00C05D90" w:rsidRPr="00C05D90" w:rsidRDefault="00C05D90" w:rsidP="005B3DF2">
      <w:pPr>
        <w:pStyle w:val="FootnoteText"/>
        <w:spacing w:after="40" w:line="220" w:lineRule="atLeast"/>
        <w:rPr>
          <w:lang w:val="en-US"/>
        </w:rPr>
      </w:pPr>
      <w:r>
        <w:rPr>
          <w:rStyle w:val="FootnoteReference"/>
        </w:rPr>
        <w:footnoteRef/>
      </w:r>
      <w:r>
        <w:t xml:space="preserve"> </w:t>
      </w:r>
      <w:r w:rsidR="008B19C0">
        <w:rPr>
          <w:lang w:val="en-US"/>
        </w:rPr>
        <w:tab/>
      </w:r>
      <w:hyperlink r:id="rId117" w:history="1">
        <w:r w:rsidR="008B19C0">
          <w:rPr>
            <w:rStyle w:val="Hyperlink"/>
            <w:lang w:val="en-US"/>
          </w:rPr>
          <w:t>www.mbie.govt.nz/building-and-energy/energy-and-natural-resources/energy-hardship/support-for-energy-education-in-communities-programme</w:t>
        </w:r>
      </w:hyperlink>
      <w:r w:rsidR="008B19C0">
        <w:rPr>
          <w:lang w:val="en-US"/>
        </w:rPr>
        <w:t xml:space="preserve"> </w:t>
      </w:r>
    </w:p>
  </w:footnote>
  <w:footnote w:id="162">
    <w:p w14:paraId="31EA4A34" w14:textId="0B141BB2" w:rsidR="008B19C0" w:rsidRPr="008B19C0" w:rsidRDefault="008B19C0" w:rsidP="005B3DF2">
      <w:pPr>
        <w:pStyle w:val="FootnoteText"/>
        <w:spacing w:after="40"/>
        <w:rPr>
          <w:lang w:val="en-US"/>
        </w:rPr>
      </w:pPr>
      <w:r>
        <w:rPr>
          <w:rStyle w:val="FootnoteReference"/>
        </w:rPr>
        <w:footnoteRef/>
      </w:r>
      <w:r>
        <w:t xml:space="preserve"> </w:t>
      </w:r>
      <w:r>
        <w:rPr>
          <w:lang w:val="en-US"/>
        </w:rPr>
        <w:tab/>
      </w:r>
      <w:hyperlink r:id="rId118" w:history="1">
        <w:r>
          <w:rPr>
            <w:rStyle w:val="Hyperlink"/>
            <w:lang w:val="en-US"/>
          </w:rPr>
          <w:t>www.eeca.govt.nz/co-funding/insulation-and-heater-grants/warmer-kiwi-homes-programme</w:t>
        </w:r>
      </w:hyperlink>
      <w:r>
        <w:rPr>
          <w:lang w:val="en-US"/>
        </w:rPr>
        <w:t xml:space="preserve"> </w:t>
      </w:r>
    </w:p>
  </w:footnote>
  <w:footnote w:id="163">
    <w:p w14:paraId="6631C92D" w14:textId="77777777" w:rsidR="00CA1920" w:rsidRPr="0054028F" w:rsidRDefault="00CA1920" w:rsidP="00CA1920">
      <w:pPr>
        <w:pStyle w:val="FootnoteText"/>
        <w:rPr>
          <w:lang w:val="en-US"/>
        </w:rPr>
      </w:pPr>
      <w:r>
        <w:rPr>
          <w:rStyle w:val="FootnoteReference"/>
        </w:rPr>
        <w:footnoteRef/>
      </w:r>
      <w:r>
        <w:tab/>
      </w:r>
      <w:r>
        <w:rPr>
          <w:lang w:val="en-US"/>
        </w:rPr>
        <w:t>Energy security, energy equity and environmental sustainability.</w:t>
      </w:r>
    </w:p>
  </w:footnote>
  <w:footnote w:id="164">
    <w:p w14:paraId="1EFFBE15" w14:textId="77777777" w:rsidR="00CA1920" w:rsidRPr="001C2531" w:rsidRDefault="00CA1920" w:rsidP="00CA1920">
      <w:pPr>
        <w:pStyle w:val="FootnoteText"/>
        <w:rPr>
          <w:rFonts w:eastAsia="Calibri"/>
        </w:rPr>
      </w:pPr>
      <w:r>
        <w:rPr>
          <w:rStyle w:val="FootnoteReference"/>
        </w:rPr>
        <w:footnoteRef/>
      </w:r>
      <w:r>
        <w:tab/>
      </w:r>
      <w:r w:rsidRPr="001C2531">
        <w:rPr>
          <w:rFonts w:eastAsiaTheme="minorHAnsi"/>
          <w:lang w:eastAsia="en-US"/>
        </w:rPr>
        <w:t>Air conditioners</w:t>
      </w:r>
      <w:r>
        <w:rPr>
          <w:rFonts w:eastAsiaTheme="minorHAnsi"/>
          <w:lang w:eastAsia="en-US"/>
        </w:rPr>
        <w:t xml:space="preserve"> and </w:t>
      </w:r>
      <w:r w:rsidRPr="001C2531">
        <w:rPr>
          <w:rFonts w:eastAsiaTheme="minorHAnsi"/>
          <w:lang w:eastAsia="en-US"/>
        </w:rPr>
        <w:t>heat pumps; ballasts for fluorescent lamps; chillers; close control air conditioners; compact fluorescent lamps; computers and laptops; distribution transformers; electric storage water heaters; external power supplies; gas water heaters; household refrigerating appliances; linear fluorescent lamps; computer monitors; refrigerated cabinets; set top boxes; televisions; three</w:t>
      </w:r>
      <w:r>
        <w:rPr>
          <w:rFonts w:eastAsiaTheme="minorHAnsi"/>
          <w:lang w:eastAsia="en-US"/>
        </w:rPr>
        <w:t>-</w:t>
      </w:r>
      <w:r w:rsidRPr="001C2531">
        <w:rPr>
          <w:rFonts w:eastAsiaTheme="minorHAnsi"/>
          <w:lang w:eastAsia="en-US"/>
        </w:rPr>
        <w:t>phase electric motors.</w:t>
      </w:r>
      <w:r>
        <w:t xml:space="preserve"> </w:t>
      </w:r>
    </w:p>
  </w:footnote>
  <w:footnote w:id="165">
    <w:p w14:paraId="542BF356" w14:textId="77777777" w:rsidR="00CA1920" w:rsidRDefault="00CA1920" w:rsidP="00CA1920">
      <w:pPr>
        <w:pStyle w:val="FootnoteText"/>
      </w:pPr>
      <w:r>
        <w:rPr>
          <w:rStyle w:val="FootnoteReference"/>
        </w:rPr>
        <w:footnoteRef/>
      </w:r>
      <w:r>
        <w:tab/>
      </w:r>
      <w:r w:rsidRPr="00947C6F">
        <w:t>Air conditioners and heat pumps; clothes dryers; washers; dishwashers; household refrigerating appliances; computer monitors; televisions.</w:t>
      </w:r>
      <w:r>
        <w:t xml:space="preserve"> </w:t>
      </w:r>
    </w:p>
  </w:footnote>
  <w:footnote w:id="166">
    <w:p w14:paraId="3522FD90" w14:textId="77777777" w:rsidR="00CA1920" w:rsidRDefault="00CA1920" w:rsidP="00CA1920">
      <w:pPr>
        <w:pStyle w:val="FootnoteText"/>
      </w:pPr>
      <w:r>
        <w:rPr>
          <w:rStyle w:val="FootnoteReference"/>
        </w:rPr>
        <w:footnoteRef/>
      </w:r>
      <w:r>
        <w:tab/>
        <w:t xml:space="preserve">EECA. Productive and low emissions business. Retrieved from </w:t>
      </w:r>
      <w:hyperlink r:id="rId119" w:history="1">
        <w:r>
          <w:rPr>
            <w:rStyle w:val="Hyperlink"/>
          </w:rPr>
          <w:t>www.eeca.govt.nz/strategic-focus-areas/productive-and-low-emissions-business/</w:t>
        </w:r>
      </w:hyperlink>
      <w:r>
        <w:t xml:space="preserve"> (10 November 2022).</w:t>
      </w:r>
    </w:p>
  </w:footnote>
  <w:footnote w:id="167">
    <w:p w14:paraId="1A66568E" w14:textId="77777777" w:rsidR="00CA1920" w:rsidRPr="009F4B87" w:rsidRDefault="00CA1920" w:rsidP="00CA1920">
      <w:pPr>
        <w:pStyle w:val="FootnoteText"/>
        <w:rPr>
          <w:lang w:val="en-US"/>
        </w:rPr>
      </w:pPr>
      <w:r>
        <w:rPr>
          <w:rStyle w:val="FootnoteReference"/>
        </w:rPr>
        <w:footnoteRef/>
      </w:r>
      <w:r>
        <w:t xml:space="preserve"> </w:t>
      </w:r>
      <w:r>
        <w:tab/>
      </w:r>
      <w:hyperlink r:id="rId120" w:history="1">
        <w:r w:rsidRPr="002D4748">
          <w:rPr>
            <w:rStyle w:val="Hyperlink"/>
            <w:lang w:val="en-US"/>
          </w:rPr>
          <w:t>www.genless.govt.nz</w:t>
        </w:r>
      </w:hyperlink>
      <w:r>
        <w:t>.</w:t>
      </w:r>
      <w:r>
        <w:rPr>
          <w:lang w:val="en-US"/>
        </w:rPr>
        <w:t xml:space="preserve"> </w:t>
      </w:r>
    </w:p>
  </w:footnote>
  <w:footnote w:id="168">
    <w:p w14:paraId="03B8AAF5" w14:textId="1C0056E0" w:rsidR="005E5C93" w:rsidRPr="005E5C93" w:rsidRDefault="005E5C93">
      <w:pPr>
        <w:pStyle w:val="FootnoteText"/>
        <w:rPr>
          <w:lang w:val="en-US"/>
        </w:rPr>
      </w:pPr>
      <w:r>
        <w:rPr>
          <w:rStyle w:val="FootnoteReference"/>
        </w:rPr>
        <w:footnoteRef/>
      </w:r>
      <w:r>
        <w:t xml:space="preserve"> </w:t>
      </w:r>
      <w:r>
        <w:rPr>
          <w:lang w:val="en-US"/>
        </w:rPr>
        <w:tab/>
      </w:r>
      <w:hyperlink r:id="rId121" w:history="1">
        <w:r>
          <w:rPr>
            <w:rStyle w:val="Hyperlink"/>
            <w:lang w:val="en-US"/>
          </w:rPr>
          <w:t>www.mbie.govt.nz/building-and-energy/energy-and-natural-resources/energy-hardship/support-for-energy-education-in-communities-programme</w:t>
        </w:r>
      </w:hyperlink>
      <w:r>
        <w:rPr>
          <w:lang w:val="en-US"/>
        </w:rPr>
        <w:t xml:space="preserve">. </w:t>
      </w:r>
    </w:p>
  </w:footnote>
  <w:footnote w:id="169">
    <w:p w14:paraId="631345DF" w14:textId="77777777" w:rsidR="00CA1920" w:rsidRDefault="00CA1920" w:rsidP="00CA1920">
      <w:pPr>
        <w:pStyle w:val="FootnoteText"/>
      </w:pPr>
      <w:r>
        <w:rPr>
          <w:rStyle w:val="FootnoteReference"/>
        </w:rPr>
        <w:footnoteRef/>
      </w:r>
      <w:r>
        <w:t xml:space="preserve"> </w:t>
      </w:r>
      <w:r>
        <w:tab/>
        <w:t xml:space="preserve">MBIE. Emissions reduction. Retrieved from </w:t>
      </w:r>
      <w:hyperlink r:id="rId122" w:history="1">
        <w:r>
          <w:rPr>
            <w:rStyle w:val="Hyperlink"/>
          </w:rPr>
          <w:t>www.building.govt.nz/getting-started/building-for-climate-change/emissions-reduction/</w:t>
        </w:r>
      </w:hyperlink>
      <w:r>
        <w:t xml:space="preserve"> (11 November 2022). </w:t>
      </w:r>
    </w:p>
  </w:footnote>
  <w:footnote w:id="170">
    <w:p w14:paraId="756C765E" w14:textId="77777777" w:rsidR="00CA1920" w:rsidRDefault="00CA1920" w:rsidP="00CA1920">
      <w:pPr>
        <w:pStyle w:val="FootnoteText"/>
      </w:pPr>
      <w:r>
        <w:rPr>
          <w:rStyle w:val="FootnoteReference"/>
        </w:rPr>
        <w:footnoteRef/>
      </w:r>
      <w:r>
        <w:tab/>
        <w:t>Ibid.</w:t>
      </w:r>
    </w:p>
  </w:footnote>
  <w:footnote w:id="171">
    <w:p w14:paraId="5D05E5BD" w14:textId="77777777" w:rsidR="00CA1920" w:rsidRDefault="00CA1920" w:rsidP="00CA1920">
      <w:pPr>
        <w:pStyle w:val="FootnoteText"/>
      </w:pPr>
      <w:r>
        <w:rPr>
          <w:rStyle w:val="FootnoteReference"/>
        </w:rPr>
        <w:footnoteRef/>
      </w:r>
      <w:r>
        <w:tab/>
      </w:r>
      <w:hyperlink r:id="rId123" w:history="1">
        <w:r>
          <w:rPr>
            <w:rStyle w:val="Hyperlink"/>
          </w:rPr>
          <w:t>www.nzgbc.org.nz/homestar</w:t>
        </w:r>
      </w:hyperlink>
      <w:r>
        <w:t>.</w:t>
      </w:r>
    </w:p>
  </w:footnote>
  <w:footnote w:id="172">
    <w:p w14:paraId="464B6B96" w14:textId="77777777" w:rsidR="00CA1920" w:rsidRDefault="00CA1920" w:rsidP="00CA1920">
      <w:pPr>
        <w:pStyle w:val="FootnoteText"/>
      </w:pPr>
      <w:r>
        <w:rPr>
          <w:rStyle w:val="FootnoteReference"/>
        </w:rPr>
        <w:footnoteRef/>
      </w:r>
      <w:r>
        <w:t xml:space="preserve"> </w:t>
      </w:r>
      <w:r>
        <w:tab/>
      </w:r>
      <w:hyperlink r:id="rId124" w:history="1">
        <w:r>
          <w:rPr>
            <w:rStyle w:val="Hyperlink"/>
          </w:rPr>
          <w:t>www.nzgbc.org.nz/greenstar</w:t>
        </w:r>
      </w:hyperlink>
      <w:r>
        <w:t>.</w:t>
      </w:r>
    </w:p>
  </w:footnote>
  <w:footnote w:id="173">
    <w:p w14:paraId="566B30DC" w14:textId="77777777" w:rsidR="00CA1920" w:rsidRDefault="00CA1920" w:rsidP="00CA1920">
      <w:pPr>
        <w:pStyle w:val="FootnoteText"/>
      </w:pPr>
      <w:r>
        <w:rPr>
          <w:rStyle w:val="FootnoteReference"/>
        </w:rPr>
        <w:footnoteRef/>
      </w:r>
      <w:r>
        <w:t xml:space="preserve"> </w:t>
      </w:r>
      <w:r>
        <w:tab/>
      </w:r>
      <w:hyperlink r:id="rId125" w:history="1">
        <w:r>
          <w:rPr>
            <w:rStyle w:val="Hyperlink"/>
          </w:rPr>
          <w:t>www.nabersnz.govt.nz</w:t>
        </w:r>
      </w:hyperlink>
      <w:r>
        <w:t>.</w:t>
      </w:r>
    </w:p>
  </w:footnote>
  <w:footnote w:id="174">
    <w:p w14:paraId="693E39D1" w14:textId="77777777" w:rsidR="00CA1920" w:rsidRDefault="00CA1920" w:rsidP="00CA1920">
      <w:pPr>
        <w:pStyle w:val="FootnoteText"/>
      </w:pPr>
      <w:r>
        <w:rPr>
          <w:rStyle w:val="FootnoteReference"/>
        </w:rPr>
        <w:footnoteRef/>
      </w:r>
      <w:r>
        <w:t xml:space="preserve"> </w:t>
      </w:r>
      <w:r>
        <w:tab/>
      </w:r>
      <w:hyperlink r:id="rId126" w:history="1">
        <w:r>
          <w:rPr>
            <w:rStyle w:val="Hyperlink"/>
          </w:rPr>
          <w:t>passivehouse.nz</w:t>
        </w:r>
      </w:hyperlink>
      <w:r>
        <w:t>.</w:t>
      </w:r>
    </w:p>
  </w:footnote>
  <w:footnote w:id="175">
    <w:p w14:paraId="133CF539" w14:textId="77777777" w:rsidR="00CA1920" w:rsidRDefault="00CA1920" w:rsidP="00CA1920">
      <w:pPr>
        <w:pStyle w:val="FootnoteText"/>
      </w:pPr>
      <w:r>
        <w:rPr>
          <w:rStyle w:val="FootnoteReference"/>
        </w:rPr>
        <w:footnoteRef/>
      </w:r>
      <w:r>
        <w:tab/>
        <w:t xml:space="preserve">NABERSNZ. Background. Retrieved from </w:t>
      </w:r>
      <w:hyperlink r:id="rId127" w:history="1">
        <w:r>
          <w:rPr>
            <w:rStyle w:val="Hyperlink"/>
          </w:rPr>
          <w:t>www.nabersnz.govt.nz/about-nabersnz/background/</w:t>
        </w:r>
      </w:hyperlink>
      <w:r>
        <w:t xml:space="preserve"> (11 November 2022).</w:t>
      </w:r>
    </w:p>
  </w:footnote>
  <w:footnote w:id="176">
    <w:p w14:paraId="24984D92" w14:textId="77777777" w:rsidR="00CA1920" w:rsidRDefault="00CA1920" w:rsidP="00CA1920">
      <w:pPr>
        <w:pStyle w:val="FootnoteText"/>
      </w:pPr>
      <w:r>
        <w:rPr>
          <w:rStyle w:val="FootnoteReference"/>
        </w:rPr>
        <w:footnoteRef/>
      </w:r>
      <w:r>
        <w:tab/>
      </w:r>
      <w:r w:rsidRPr="009A4E9F">
        <w:t xml:space="preserve">Fyfe C, Grimes A, Minehan S, Taptiklis P. 2022. </w:t>
      </w:r>
      <w:r w:rsidRPr="00675654">
        <w:rPr>
          <w:i/>
          <w:iCs/>
        </w:rPr>
        <w:t>Warmer Kiwis Study: Interim Report: An impact evaluation of the Warmer Kiwi Homes Programme</w:t>
      </w:r>
      <w:r>
        <w:t>. Wellington:</w:t>
      </w:r>
      <w:r w:rsidRPr="009A4E9F">
        <w:t xml:space="preserve"> Motu Economic and Public Policy Research Trust. </w:t>
      </w:r>
      <w:r>
        <w:t xml:space="preserve">Retrieved from </w:t>
      </w:r>
      <w:hyperlink r:id="rId128" w:history="1">
        <w:r>
          <w:rPr>
            <w:rStyle w:val="Hyperlink"/>
          </w:rPr>
          <w:t>www.eeca.govt.nz/assets/EECA-Resources/Research-papers-guides/Warmer-Kiwis-Study-Interim-Report-2021.pdf</w:t>
        </w:r>
      </w:hyperlink>
      <w:r w:rsidRPr="009A4E9F">
        <w:t xml:space="preserve"> </w:t>
      </w:r>
      <w:r>
        <w:t>(11 November 2022).</w:t>
      </w:r>
    </w:p>
  </w:footnote>
  <w:footnote w:id="177">
    <w:p w14:paraId="01E4A6EB" w14:textId="77777777" w:rsidR="00CA1920" w:rsidRDefault="00CA1920" w:rsidP="00CA1920">
      <w:pPr>
        <w:pStyle w:val="FootnoteText"/>
      </w:pPr>
      <w:r>
        <w:rPr>
          <w:rStyle w:val="FootnoteReference"/>
        </w:rPr>
        <w:footnoteRef/>
      </w:r>
      <w:r>
        <w:tab/>
        <w:t xml:space="preserve">Ministry for the Environment. 2022. </w:t>
      </w:r>
      <w:r w:rsidRPr="00745BC3">
        <w:rPr>
          <w:i/>
          <w:iCs/>
        </w:rPr>
        <w:t>New Zealand’s Greenhouse Gas Inventory 1990–20</w:t>
      </w:r>
      <w:r>
        <w:rPr>
          <w:i/>
          <w:iCs/>
        </w:rPr>
        <w:t>20</w:t>
      </w:r>
      <w:r>
        <w:t xml:space="preserve">. Wellington: Ministry for the Environment. Retrieved from </w:t>
      </w:r>
      <w:hyperlink r:id="rId129" w:history="1">
        <w:r>
          <w:rPr>
            <w:rStyle w:val="Hyperlink"/>
          </w:rPr>
          <w:t>environment.govt.nz/publications/new-zealands-greenhouse-gas-inventory-1990-2020/</w:t>
        </w:r>
      </w:hyperlink>
      <w:r>
        <w:t xml:space="preserve"> (10 November 2022).</w:t>
      </w:r>
    </w:p>
  </w:footnote>
  <w:footnote w:id="178">
    <w:p w14:paraId="3BE446C9" w14:textId="77777777" w:rsidR="00CA1920" w:rsidRPr="00D93781" w:rsidRDefault="00CA1920" w:rsidP="00CA1920">
      <w:pPr>
        <w:pStyle w:val="FootnoteText"/>
      </w:pPr>
      <w:r w:rsidRPr="00D93781">
        <w:rPr>
          <w:rStyle w:val="FootnoteReference"/>
        </w:rPr>
        <w:footnoteRef/>
      </w:r>
      <w:r>
        <w:tab/>
      </w:r>
      <w:r w:rsidRPr="00D93781">
        <w:t xml:space="preserve">Sector-sub targets are based on the Climate Change Commission’s demonstration path that is benchmarked to New Zealand's Greenhouse Gas Inventory 1990–2019, as opposed to the </w:t>
      </w:r>
      <w:r>
        <w:br/>
      </w:r>
      <w:r w:rsidRPr="00D93781">
        <w:t>1990–2020 Inventory</w:t>
      </w:r>
      <w:r>
        <w:t>.</w:t>
      </w:r>
    </w:p>
  </w:footnote>
  <w:footnote w:id="179">
    <w:p w14:paraId="3F7C5674" w14:textId="77777777" w:rsidR="00CA1920" w:rsidRPr="00D93781" w:rsidRDefault="00CA1920" w:rsidP="00CA1920">
      <w:pPr>
        <w:pStyle w:val="FootnoteText"/>
      </w:pPr>
      <w:r w:rsidRPr="00D93781">
        <w:rPr>
          <w:rStyle w:val="FootnoteReference"/>
        </w:rPr>
        <w:footnoteRef/>
      </w:r>
      <w:r>
        <w:tab/>
      </w:r>
      <w:r w:rsidRPr="00D93781">
        <w:t xml:space="preserve">Kilometres refers to </w:t>
      </w:r>
      <w:r>
        <w:t>v</w:t>
      </w:r>
      <w:r w:rsidRPr="00D93781">
        <w:t xml:space="preserve">ehicle </w:t>
      </w:r>
      <w:r>
        <w:t>k</w:t>
      </w:r>
      <w:r w:rsidRPr="00D93781">
        <w:t xml:space="preserve">ilometres </w:t>
      </w:r>
      <w:r>
        <w:t>t</w:t>
      </w:r>
      <w:r w:rsidRPr="00D93781">
        <w:t>ravelled (VKT)</w:t>
      </w:r>
      <w:r>
        <w:t>.</w:t>
      </w:r>
    </w:p>
  </w:footnote>
  <w:footnote w:id="180">
    <w:p w14:paraId="200D6AEC" w14:textId="77777777" w:rsidR="00CA1920" w:rsidRPr="00D93781" w:rsidRDefault="00CA1920" w:rsidP="00CA1920">
      <w:pPr>
        <w:pStyle w:val="FootnoteText"/>
      </w:pPr>
      <w:r w:rsidRPr="00D93781">
        <w:rPr>
          <w:rStyle w:val="FootnoteReference"/>
        </w:rPr>
        <w:footnoteRef/>
      </w:r>
      <w:r>
        <w:tab/>
      </w:r>
      <w:r w:rsidRPr="00D93781">
        <w:t>This target for freight transport includes emissions from trucks, rail and ships. It excludes light vehicles and</w:t>
      </w:r>
      <w:r>
        <w:t> </w:t>
      </w:r>
      <w:r w:rsidRPr="00D93781">
        <w:t>aviation.</w:t>
      </w:r>
    </w:p>
  </w:footnote>
  <w:footnote w:id="181">
    <w:p w14:paraId="3DCB9DDA" w14:textId="77777777" w:rsidR="00CA1920" w:rsidRPr="00D93781" w:rsidRDefault="00CA1920" w:rsidP="00CA1920">
      <w:pPr>
        <w:pStyle w:val="FootnoteText"/>
      </w:pPr>
      <w:r w:rsidRPr="00D93781">
        <w:rPr>
          <w:rStyle w:val="FootnoteReference"/>
        </w:rPr>
        <w:footnoteRef/>
      </w:r>
      <w:r>
        <w:tab/>
      </w:r>
      <w:r w:rsidRPr="00D93781">
        <w:t xml:space="preserve">The targets are closely interrelated. The projected impact of achieving each target is conditional on achieving one or more of the others. Target 1 reflects a change compared </w:t>
      </w:r>
      <w:r>
        <w:t>with</w:t>
      </w:r>
      <w:r w:rsidRPr="00D93781">
        <w:t xml:space="preserve"> </w:t>
      </w:r>
      <w:r>
        <w:t>the</w:t>
      </w:r>
      <w:r w:rsidRPr="00D93781">
        <w:t xml:space="preserve"> </w:t>
      </w:r>
      <w:r>
        <w:t xml:space="preserve">Te Manatū Waka </w:t>
      </w:r>
      <w:r>
        <w:br/>
        <w:t xml:space="preserve">– </w:t>
      </w:r>
      <w:r w:rsidRPr="00D93781">
        <w:t xml:space="preserve">Ministry of Transport’s baseline projection for 2035. Target 2 is against the 2035 fleet projection, given the effects of achieving Target 1 on the size of the fleet. Target 3 is compared </w:t>
      </w:r>
      <w:r>
        <w:t>with</w:t>
      </w:r>
      <w:r w:rsidRPr="00D93781">
        <w:t xml:space="preserve"> the level of emissions from freight transport in 2019. Target 4 is conditional on undertaking activities as part of achieving Targets 1 to 3 that would bring about lower projected liquid fossil fuel use in 2035.</w:t>
      </w:r>
    </w:p>
  </w:footnote>
  <w:footnote w:id="182">
    <w:p w14:paraId="47737DED" w14:textId="77777777" w:rsidR="00CA1920" w:rsidRPr="00D93781" w:rsidRDefault="00CA1920" w:rsidP="00CA1920">
      <w:pPr>
        <w:pStyle w:val="FootnoteText"/>
      </w:pPr>
      <w:r w:rsidRPr="00D93781">
        <w:rPr>
          <w:rStyle w:val="FootnoteReference"/>
        </w:rPr>
        <w:footnoteRef/>
      </w:r>
      <w:r>
        <w:tab/>
      </w:r>
      <w:r w:rsidRPr="00D93781">
        <w:t>This 41 per cent is calculated</w:t>
      </w:r>
      <w:r>
        <w:t xml:space="preserve"> not from</w:t>
      </w:r>
      <w:r w:rsidRPr="00C646CF">
        <w:t xml:space="preserve"> </w:t>
      </w:r>
      <w:r w:rsidRPr="00D93781">
        <w:t>the latest 1990–2020 inventory</w:t>
      </w:r>
      <w:r>
        <w:t>, but instead</w:t>
      </w:r>
      <w:r w:rsidRPr="00D93781">
        <w:t xml:space="preserve"> using</w:t>
      </w:r>
      <w:r>
        <w:t>:</w:t>
      </w:r>
      <w:r w:rsidRPr="00C646CF">
        <w:t xml:space="preserve"> </w:t>
      </w:r>
      <w:r>
        <w:t xml:space="preserve">Ministry for the Environment. 2021. </w:t>
      </w:r>
      <w:r w:rsidRPr="001A31B4">
        <w:rPr>
          <w:i/>
          <w:iCs/>
        </w:rPr>
        <w:t>New Zealand</w:t>
      </w:r>
      <w:r>
        <w:rPr>
          <w:i/>
          <w:iCs/>
        </w:rPr>
        <w:t>’s</w:t>
      </w:r>
      <w:r w:rsidRPr="001A31B4">
        <w:rPr>
          <w:i/>
          <w:iCs/>
        </w:rPr>
        <w:t xml:space="preserve"> Greenhouse Gas Inventory 1990–2019</w:t>
      </w:r>
      <w:r>
        <w:rPr>
          <w:i/>
          <w:iCs/>
        </w:rPr>
        <w:t>.</w:t>
      </w:r>
      <w:r w:rsidRPr="00C646CF">
        <w:t xml:space="preserve"> </w:t>
      </w:r>
      <w:r>
        <w:t>Wellington: Ministry for the Environment</w:t>
      </w:r>
      <w:r w:rsidRPr="00D93781">
        <w:t>.</w:t>
      </w:r>
    </w:p>
  </w:footnote>
  <w:footnote w:id="183">
    <w:p w14:paraId="34B2BCBF" w14:textId="77777777" w:rsidR="00CA1920" w:rsidRDefault="00CA1920" w:rsidP="00CA1920">
      <w:pPr>
        <w:pStyle w:val="FootnoteText"/>
      </w:pPr>
      <w:r>
        <w:rPr>
          <w:rStyle w:val="FootnoteReference"/>
        </w:rPr>
        <w:footnoteRef/>
      </w:r>
      <w:r>
        <w:tab/>
      </w:r>
      <w:hyperlink r:id="rId130" w:history="1">
        <w:r>
          <w:rPr>
            <w:rStyle w:val="Hyperlink"/>
          </w:rPr>
          <w:t>www.nzta.govt.nz/walking-cycling-and-public-transport/keeping-cities-moving/</w:t>
        </w:r>
      </w:hyperlink>
    </w:p>
  </w:footnote>
  <w:footnote w:id="184">
    <w:p w14:paraId="47FFC873" w14:textId="77777777" w:rsidR="00CA1920" w:rsidRDefault="00CA1920" w:rsidP="00CA1920">
      <w:pPr>
        <w:pStyle w:val="FootnoteText"/>
      </w:pPr>
      <w:r>
        <w:rPr>
          <w:rStyle w:val="FootnoteReference"/>
        </w:rPr>
        <w:footnoteRef/>
      </w:r>
      <w:r>
        <w:tab/>
      </w:r>
      <w:r w:rsidRPr="00370EE2">
        <w:rPr>
          <w:sz w:val="18"/>
          <w:szCs w:val="18"/>
        </w:rPr>
        <w:t xml:space="preserve">Public transport initiatives in the </w:t>
      </w:r>
      <w:r>
        <w:rPr>
          <w:sz w:val="18"/>
          <w:szCs w:val="18"/>
        </w:rPr>
        <w:t>emissions reduction plan</w:t>
      </w:r>
      <w:r w:rsidRPr="00370EE2">
        <w:rPr>
          <w:sz w:val="18"/>
          <w:szCs w:val="18"/>
        </w:rPr>
        <w:t xml:space="preserve"> fall into two focus areas</w:t>
      </w:r>
      <w:r>
        <w:rPr>
          <w:sz w:val="18"/>
          <w:szCs w:val="18"/>
        </w:rPr>
        <w:t>:</w:t>
      </w:r>
      <w:r w:rsidRPr="00370EE2">
        <w:rPr>
          <w:sz w:val="18"/>
          <w:szCs w:val="18"/>
        </w:rPr>
        <w:t xml:space="preserve"> </w:t>
      </w:r>
      <w:r>
        <w:rPr>
          <w:sz w:val="18"/>
          <w:szCs w:val="18"/>
        </w:rPr>
        <w:t>r</w:t>
      </w:r>
      <w:r w:rsidRPr="00370EE2">
        <w:rPr>
          <w:sz w:val="18"/>
          <w:szCs w:val="18"/>
        </w:rPr>
        <w:t>educe reliance on cars and</w:t>
      </w:r>
      <w:r>
        <w:rPr>
          <w:sz w:val="18"/>
          <w:szCs w:val="18"/>
        </w:rPr>
        <w:t> </w:t>
      </w:r>
      <w:r w:rsidRPr="00370EE2">
        <w:rPr>
          <w:sz w:val="18"/>
          <w:szCs w:val="18"/>
        </w:rPr>
        <w:t xml:space="preserve">support people to walk, cycle and use public transport; and </w:t>
      </w:r>
      <w:r>
        <w:rPr>
          <w:sz w:val="18"/>
          <w:szCs w:val="18"/>
        </w:rPr>
        <w:t>begin work now to decarbonise heavy transport and freight</w:t>
      </w:r>
      <w:r w:rsidRPr="00370EE2">
        <w:rPr>
          <w:sz w:val="18"/>
          <w:szCs w:val="18"/>
        </w:rPr>
        <w:t>.</w:t>
      </w:r>
    </w:p>
  </w:footnote>
  <w:footnote w:id="185">
    <w:p w14:paraId="3AB9AE2F" w14:textId="77777777" w:rsidR="00CA1920" w:rsidRDefault="00CA1920" w:rsidP="00CA1920">
      <w:pPr>
        <w:pStyle w:val="FootnoteText"/>
      </w:pPr>
      <w:r>
        <w:rPr>
          <w:rStyle w:val="FootnoteReference"/>
        </w:rPr>
        <w:footnoteRef/>
      </w:r>
      <w:r>
        <w:tab/>
      </w:r>
      <w:r w:rsidRPr="00420232">
        <w:t xml:space="preserve">The National Land Transport Programme (NLTP) is a three-year programme that sets out how Waka Kotahi, working with its partners, plans to invest the National Land Transport Fund </w:t>
      </w:r>
      <w:r>
        <w:t xml:space="preserve">in transport infrastructure and services. </w:t>
      </w:r>
      <w:r w:rsidRPr="00420232">
        <w:t xml:space="preserve">Activities in the NLTP must reflect the priorities in the Government Policy Statement on </w:t>
      </w:r>
      <w:r>
        <w:t>L</w:t>
      </w:r>
      <w:r w:rsidRPr="00420232">
        <w:t xml:space="preserve">and </w:t>
      </w:r>
      <w:r>
        <w:t>T</w:t>
      </w:r>
      <w:r w:rsidRPr="00420232">
        <w:t>ransport. </w:t>
      </w:r>
      <w:hyperlink r:id="rId131" w:history="1">
        <w:r>
          <w:rPr>
            <w:rStyle w:val="Hyperlink"/>
          </w:rPr>
          <w:t>www.nzta.govt.nz/planning-and-investment/national-land-transport-programme/</w:t>
        </w:r>
      </w:hyperlink>
      <w:r>
        <w:t xml:space="preserve"> </w:t>
      </w:r>
    </w:p>
  </w:footnote>
  <w:footnote w:id="186">
    <w:p w14:paraId="005C02B7" w14:textId="77777777" w:rsidR="00CA1920" w:rsidRPr="00976416" w:rsidRDefault="00CA1920" w:rsidP="00CA1920">
      <w:pPr>
        <w:pStyle w:val="FootnoteText"/>
      </w:pPr>
      <w:r>
        <w:rPr>
          <w:rStyle w:val="FootnoteReference"/>
        </w:rPr>
        <w:footnoteRef/>
      </w:r>
      <w:r>
        <w:tab/>
        <w:t>Waka Kotahi.</w:t>
      </w:r>
      <w:r w:rsidRPr="00976416">
        <w:t xml:space="preserve"> </w:t>
      </w:r>
      <w:r w:rsidRPr="00A32813">
        <w:t xml:space="preserve">Requirements for urban buses in New Zealand (the </w:t>
      </w:r>
      <w:r>
        <w:t>‘</w:t>
      </w:r>
      <w:r w:rsidRPr="00A32813">
        <w:t>RUB</w:t>
      </w:r>
      <w:r>
        <w:t>’</w:t>
      </w:r>
      <w:r w:rsidRPr="00A32813">
        <w:t>)</w:t>
      </w:r>
      <w:r>
        <w:t xml:space="preserve">. Retrieved from </w:t>
      </w:r>
      <w:hyperlink r:id="rId132" w:history="1">
        <w:r>
          <w:rPr>
            <w:rStyle w:val="Hyperlink"/>
            <w:rFonts w:eastAsia="Calibri"/>
          </w:rPr>
          <w:t>www.nzta.govt.nz/resources/requirements-for-urban-buses/</w:t>
        </w:r>
      </w:hyperlink>
      <w:r>
        <w:rPr>
          <w:rStyle w:val="Hyperlink"/>
          <w:rFonts w:eastAsia="Calibri"/>
        </w:rPr>
        <w:t xml:space="preserve"> </w:t>
      </w:r>
      <w:r>
        <w:rPr>
          <w:rFonts w:eastAsia="Calibri"/>
        </w:rPr>
        <w:t>(12 November 2022).</w:t>
      </w:r>
    </w:p>
  </w:footnote>
  <w:footnote w:id="187">
    <w:p w14:paraId="64E0DE73" w14:textId="77777777" w:rsidR="00CA1920" w:rsidRDefault="00CA1920" w:rsidP="00CA1920">
      <w:pPr>
        <w:pStyle w:val="FootnoteText"/>
      </w:pPr>
      <w:r>
        <w:rPr>
          <w:rStyle w:val="FootnoteReference"/>
        </w:rPr>
        <w:footnoteRef/>
      </w:r>
      <w:r>
        <w:t xml:space="preserve"> </w:t>
      </w:r>
      <w:r>
        <w:tab/>
        <w:t xml:space="preserve">Te Manatū Waka – Ministry of Transport. Te Kaupapa Waka Hiko: Electric Vehicles Programme. Retrieved from </w:t>
      </w:r>
      <w:hyperlink r:id="rId133" w:history="1">
        <w:r>
          <w:rPr>
            <w:rStyle w:val="Hyperlink"/>
          </w:rPr>
          <w:t>www.transport.govt.nz/area-of-interest/environment-and-climate-change/electric-vehicles-programme/</w:t>
        </w:r>
      </w:hyperlink>
      <w:r w:rsidRPr="0005753F">
        <w:t xml:space="preserve"> </w:t>
      </w:r>
      <w:r>
        <w:t>(12 November 2022).</w:t>
      </w:r>
    </w:p>
  </w:footnote>
  <w:footnote w:id="188">
    <w:p w14:paraId="21C2D5EB" w14:textId="77777777" w:rsidR="00CA1920" w:rsidRPr="00D93781" w:rsidRDefault="00CA1920" w:rsidP="00CA1920">
      <w:pPr>
        <w:pStyle w:val="FootnoteText"/>
      </w:pPr>
      <w:r w:rsidRPr="00D93781">
        <w:rPr>
          <w:rStyle w:val="FootnoteReference"/>
          <w:rFonts w:eastAsiaTheme="majorEastAsia"/>
        </w:rPr>
        <w:footnoteRef/>
      </w:r>
      <w:r w:rsidRPr="00D93781">
        <w:tab/>
        <w:t>Anyone using New Zealand’s roads contributes towards their upkeep. Most road users pay levies in the prices of their fuel. Others, such as drivers of light diesel vehicles and diesel-powered heavy vehicles like trucks, pay imposed fees known as Road User Charges.</w:t>
      </w:r>
    </w:p>
  </w:footnote>
  <w:footnote w:id="189">
    <w:p w14:paraId="4A956F10" w14:textId="77777777" w:rsidR="00CA1920" w:rsidRPr="000932F6" w:rsidRDefault="00CA1920" w:rsidP="000932F6">
      <w:pPr>
        <w:pStyle w:val="FootnoteText"/>
      </w:pPr>
      <w:r w:rsidRPr="008A0E12">
        <w:rPr>
          <w:rStyle w:val="FootnoteReference"/>
          <w:color w:val="auto"/>
        </w:rPr>
        <w:footnoteRef/>
      </w:r>
      <w:r w:rsidRPr="008A0E12">
        <w:t xml:space="preserve"> </w:t>
      </w:r>
      <w:r>
        <w:rPr>
          <w:color w:val="FF0000"/>
        </w:rPr>
        <w:tab/>
      </w:r>
      <w:hyperlink r:id="rId134" w:history="1">
        <w:r>
          <w:rPr>
            <w:rStyle w:val="Hyperlink"/>
          </w:rPr>
          <w:t>www.nzta.govt.nz/vehicles/clean-car-programme/clean-car-discount/overview/</w:t>
        </w:r>
      </w:hyperlink>
      <w:r>
        <w:t>.</w:t>
      </w:r>
    </w:p>
  </w:footnote>
  <w:footnote w:id="190">
    <w:p w14:paraId="61D298B8" w14:textId="77777777" w:rsidR="00CA1920" w:rsidRDefault="00CA1920" w:rsidP="00CA1920">
      <w:pPr>
        <w:pStyle w:val="FootnoteText"/>
      </w:pPr>
      <w:r w:rsidRPr="00A4607F">
        <w:rPr>
          <w:rStyle w:val="FootnoteReference"/>
          <w:color w:val="auto"/>
        </w:rPr>
        <w:footnoteRef/>
      </w:r>
      <w:r w:rsidRPr="00666753">
        <w:t xml:space="preserve"> </w:t>
      </w:r>
      <w:r w:rsidRPr="00666753">
        <w:tab/>
      </w:r>
      <w:hyperlink r:id="rId135" w:history="1">
        <w:r>
          <w:rPr>
            <w:rStyle w:val="Hyperlink"/>
          </w:rPr>
          <w:t>www.nzta.govt.nz/vehicles/clean-car-programme/clean-car-standard/overview/</w:t>
        </w:r>
      </w:hyperlink>
    </w:p>
  </w:footnote>
  <w:footnote w:id="191">
    <w:p w14:paraId="6739B7DD" w14:textId="77777777" w:rsidR="00CA1920" w:rsidRDefault="00CA1920" w:rsidP="00CA1920">
      <w:pPr>
        <w:pStyle w:val="FootnoteText"/>
      </w:pPr>
      <w:r>
        <w:rPr>
          <w:rStyle w:val="FootnoteReference"/>
        </w:rPr>
        <w:footnoteRef/>
      </w:r>
      <w:r>
        <w:tab/>
        <w:t>Once these chargers are installed and operational, there will be a public charger every 75 kilometres along New Zealand’s state highway network.</w:t>
      </w:r>
    </w:p>
  </w:footnote>
  <w:footnote w:id="192">
    <w:p w14:paraId="2C4F7E24" w14:textId="77777777" w:rsidR="00CA1920" w:rsidRDefault="00CA1920" w:rsidP="00CA1920">
      <w:pPr>
        <w:pStyle w:val="FootnoteText"/>
      </w:pPr>
      <w:r>
        <w:rPr>
          <w:rStyle w:val="FootnoteReference"/>
        </w:rPr>
        <w:footnoteRef/>
      </w:r>
      <w:r>
        <w:tab/>
        <w:t>Ot</w:t>
      </w:r>
      <w:r w:rsidRPr="00C21B2E">
        <w:t>her measures are sustainable aviation fuels, aircraft technology and standards, and operational improvements (eg</w:t>
      </w:r>
      <w:r>
        <w:t>,</w:t>
      </w:r>
      <w:r w:rsidRPr="00C21B2E">
        <w:t xml:space="preserve"> improved ground operations and air traffic management).</w:t>
      </w:r>
    </w:p>
  </w:footnote>
  <w:footnote w:id="193">
    <w:p w14:paraId="00A6F14A" w14:textId="77777777" w:rsidR="00CA1920" w:rsidRDefault="00CA1920" w:rsidP="00CA1920">
      <w:pPr>
        <w:pStyle w:val="FootnoteText"/>
      </w:pPr>
      <w:r>
        <w:rPr>
          <w:rStyle w:val="FootnoteReference"/>
        </w:rPr>
        <w:footnoteRef/>
      </w:r>
      <w:r>
        <w:t xml:space="preserve"> </w:t>
      </w:r>
      <w:r>
        <w:tab/>
        <w:t xml:space="preserve">IMO. 2018. </w:t>
      </w:r>
      <w:r w:rsidRPr="003E23D0">
        <w:rPr>
          <w:i/>
          <w:iCs/>
        </w:rPr>
        <w:t>Initial Strategy on Reduction of GHG Emissions from Ships</w:t>
      </w:r>
      <w:r>
        <w:t xml:space="preserve">. Retrieved from </w:t>
      </w:r>
      <w:hyperlink r:id="rId136" w:history="1">
        <w:r>
          <w:rPr>
            <w:rStyle w:val="Hyperlink"/>
          </w:rPr>
          <w:t>www.imo.org/en/OurWork/Environment/Pages/GHG-Emissions.aspx</w:t>
        </w:r>
      </w:hyperlink>
      <w:r>
        <w:t> (12 November 2022).</w:t>
      </w:r>
    </w:p>
  </w:footnote>
  <w:footnote w:id="194">
    <w:p w14:paraId="1F835EEE" w14:textId="77777777" w:rsidR="00CA1920" w:rsidRDefault="00CA1920" w:rsidP="00CA1920">
      <w:pPr>
        <w:pStyle w:val="FootnoteText"/>
      </w:pPr>
      <w:r>
        <w:rPr>
          <w:rStyle w:val="FootnoteReference"/>
        </w:rPr>
        <w:footnoteRef/>
      </w:r>
      <w:r>
        <w:tab/>
        <w:t xml:space="preserve">Ministry for the Environment. 2022. </w:t>
      </w:r>
      <w:r w:rsidRPr="00745BC3">
        <w:rPr>
          <w:i/>
          <w:iCs/>
        </w:rPr>
        <w:t>New Zealand’s Greenhouse Gas Inventory 1990–20</w:t>
      </w:r>
      <w:r>
        <w:rPr>
          <w:i/>
          <w:iCs/>
        </w:rPr>
        <w:t>20</w:t>
      </w:r>
      <w:r>
        <w:t xml:space="preserve">. Wellington: Ministry for the Environment. Retrieved from </w:t>
      </w:r>
      <w:hyperlink r:id="rId137" w:history="1">
        <w:r>
          <w:rPr>
            <w:rStyle w:val="Hyperlink"/>
          </w:rPr>
          <w:t>environment.govt.nz/publications/new-zealands-greenhouse-gas-inventory-1990-2020/</w:t>
        </w:r>
      </w:hyperlink>
      <w:r>
        <w:t xml:space="preserve"> (10 November 2022). This value excludes </w:t>
      </w:r>
      <w:r>
        <w:rPr>
          <w:rFonts w:eastAsia="Calibri" w:cs="Calibri"/>
        </w:rPr>
        <w:t xml:space="preserve">energy related emissions from industry, which are reported in the Energy sector of the inventory. </w:t>
      </w:r>
    </w:p>
  </w:footnote>
  <w:footnote w:id="195">
    <w:p w14:paraId="0DDD8909" w14:textId="77777777" w:rsidR="00CA1920" w:rsidRDefault="00CA1920" w:rsidP="00CA1920">
      <w:pPr>
        <w:pStyle w:val="FootnoteText"/>
      </w:pPr>
      <w:r>
        <w:rPr>
          <w:rStyle w:val="FootnoteReference"/>
        </w:rPr>
        <w:footnoteRef/>
      </w:r>
      <w:r>
        <w:tab/>
        <w:t>H</w:t>
      </w:r>
      <w:r w:rsidRPr="006C5BDC">
        <w:rPr>
          <w:rFonts w:eastAsia="Calibri"/>
        </w:rPr>
        <w:t>ydrofluorocarbons</w:t>
      </w:r>
      <w:r>
        <w:rPr>
          <w:rFonts w:eastAsia="Calibri"/>
        </w:rPr>
        <w:t xml:space="preserve">, </w:t>
      </w:r>
      <w:r w:rsidRPr="008E0FC3">
        <w:t>perfluorocarbons</w:t>
      </w:r>
      <w:r>
        <w:t xml:space="preserve"> and </w:t>
      </w:r>
      <w:r w:rsidRPr="008E0FC3">
        <w:t>sulphur hexafluoride</w:t>
      </w:r>
      <w:r>
        <w:t xml:space="preserve"> are all types of F-gases and are defined as greenhouse gases in the CCRA.</w:t>
      </w:r>
    </w:p>
  </w:footnote>
  <w:footnote w:id="196">
    <w:p w14:paraId="06DEE292" w14:textId="77777777" w:rsidR="00CA1920" w:rsidRDefault="00CA1920" w:rsidP="00CA1920">
      <w:pPr>
        <w:pStyle w:val="FootnoteText"/>
      </w:pPr>
      <w:r>
        <w:rPr>
          <w:rStyle w:val="FootnoteReference"/>
        </w:rPr>
        <w:footnoteRef/>
      </w:r>
      <w:r>
        <w:tab/>
        <w:t xml:space="preserve">The aluminium smelting definition in the NZ ETS includes PFC emissions inherent to its manufacturing process. </w:t>
      </w:r>
    </w:p>
  </w:footnote>
  <w:footnote w:id="197">
    <w:p w14:paraId="2FA6B107" w14:textId="77777777" w:rsidR="00CA1920" w:rsidRPr="00D93781" w:rsidRDefault="00CA1920" w:rsidP="00CA1920">
      <w:pPr>
        <w:pStyle w:val="FootnoteText"/>
      </w:pPr>
      <w:r w:rsidRPr="00D93781">
        <w:rPr>
          <w:rStyle w:val="FootnoteReference"/>
          <w:rFonts w:eastAsiaTheme="majorEastAsia"/>
          <w:szCs w:val="18"/>
        </w:rPr>
        <w:footnoteRef/>
      </w:r>
      <w:r w:rsidRPr="00D93781">
        <w:rPr>
          <w:szCs w:val="18"/>
        </w:rPr>
        <w:tab/>
      </w:r>
      <w:r w:rsidRPr="00D93781">
        <w:t>Exporters of HFCs and PFCs are eligible to receive NZUs, as long as they meet prescribed eligibility criteria.</w:t>
      </w:r>
    </w:p>
  </w:footnote>
  <w:footnote w:id="198">
    <w:p w14:paraId="053DE1DB" w14:textId="77777777" w:rsidR="00CA1920" w:rsidRDefault="00CA1920" w:rsidP="00CA1920">
      <w:pPr>
        <w:pStyle w:val="FootnoteText"/>
      </w:pPr>
      <w:r>
        <w:rPr>
          <w:rStyle w:val="FootnoteReference"/>
        </w:rPr>
        <w:footnoteRef/>
      </w:r>
      <w:r>
        <w:tab/>
        <w:t>O’Connor D, Nash S, Whaitiri M. 2022. Partnership to reduce agricultural emissions. Retrieved from</w:t>
      </w:r>
      <w:r w:rsidDel="003A36A7">
        <w:t xml:space="preserve"> </w:t>
      </w:r>
      <w:hyperlink r:id="rId138" w:history="1">
        <w:r>
          <w:rPr>
            <w:rStyle w:val="Hyperlink"/>
          </w:rPr>
          <w:t>www.beehive.govt.nz/release/partnership-reduce-agricultural-emissions</w:t>
        </w:r>
      </w:hyperlink>
      <w:r>
        <w:t xml:space="preserve"> (13 November 2022).</w:t>
      </w:r>
    </w:p>
  </w:footnote>
  <w:footnote w:id="199">
    <w:p w14:paraId="320E42F9" w14:textId="77777777" w:rsidR="00CA1920" w:rsidRDefault="00CA1920" w:rsidP="00CA1920">
      <w:pPr>
        <w:pStyle w:val="FootnoteText"/>
      </w:pPr>
      <w:r>
        <w:rPr>
          <w:rStyle w:val="FootnoteReference"/>
        </w:rPr>
        <w:footnoteRef/>
      </w:r>
      <w:r>
        <w:t xml:space="preserve"> </w:t>
      </w:r>
      <w:r>
        <w:tab/>
        <w:t xml:space="preserve">Ministry for Primary Industries. Sustainable Food and Fibre Futures. Retrieved from </w:t>
      </w:r>
      <w:hyperlink r:id="rId139" w:history="1">
        <w:r>
          <w:rPr>
            <w:rStyle w:val="Hyperlink"/>
          </w:rPr>
          <w:t>www.mpi.govt.nz/funding-rural-support/sustainable-food-fibre-futures/</w:t>
        </w:r>
      </w:hyperlink>
      <w:r>
        <w:t xml:space="preserve"> (13 November 2022).</w:t>
      </w:r>
    </w:p>
  </w:footnote>
  <w:footnote w:id="200">
    <w:p w14:paraId="682C1353" w14:textId="1A8616B6" w:rsidR="00CA1920" w:rsidRPr="00F059CC" w:rsidRDefault="00CA1920" w:rsidP="00CA1920">
      <w:pPr>
        <w:pStyle w:val="FootnoteText"/>
      </w:pPr>
      <w:r>
        <w:rPr>
          <w:rStyle w:val="FootnoteReference"/>
        </w:rPr>
        <w:footnoteRef/>
      </w:r>
      <w:r>
        <w:tab/>
        <w:t xml:space="preserve">Ministry for Primary Industries. </w:t>
      </w:r>
      <w:r w:rsidRPr="00F059CC">
        <w:t>Sustainable Land Management and Climate Change (SLMACC)</w:t>
      </w:r>
      <w:r>
        <w:t>.</w:t>
      </w:r>
      <w:r w:rsidRPr="002272DE">
        <w:t xml:space="preserve"> </w:t>
      </w:r>
      <w:r>
        <w:t>Retrieved</w:t>
      </w:r>
      <w:r w:rsidR="005242C5">
        <w:t> </w:t>
      </w:r>
      <w:r>
        <w:t xml:space="preserve">from </w:t>
      </w:r>
      <w:hyperlink r:id="rId140" w:history="1">
        <w:r>
          <w:rPr>
            <w:rStyle w:val="Hyperlink"/>
          </w:rPr>
          <w:t>www.mpi.govt.nz/funding-rural-support/farming-funds-and-programmes/slmacc/</w:t>
        </w:r>
      </w:hyperlink>
      <w:r>
        <w:t xml:space="preserve"> (13</w:t>
      </w:r>
      <w:r w:rsidR="005242C5">
        <w:t> </w:t>
      </w:r>
      <w:r>
        <w:t>November 2022).</w:t>
      </w:r>
    </w:p>
  </w:footnote>
  <w:footnote w:id="201">
    <w:p w14:paraId="7DEE3692" w14:textId="77777777" w:rsidR="00CA1920" w:rsidRDefault="00CA1920" w:rsidP="00CA1920">
      <w:pPr>
        <w:pStyle w:val="FootnoteText"/>
      </w:pPr>
      <w:r>
        <w:rPr>
          <w:rStyle w:val="FootnoteReference"/>
        </w:rPr>
        <w:footnoteRef/>
      </w:r>
      <w:r>
        <w:tab/>
        <w:t xml:space="preserve">FAO. 2020. </w:t>
      </w:r>
      <w:r w:rsidRPr="00684769">
        <w:rPr>
          <w:i/>
          <w:iCs/>
        </w:rPr>
        <w:t>Global Forest Resources Assessment 2020 – Report – New Zealand</w:t>
      </w:r>
      <w:r>
        <w:t>. Rome: Food and Agriculture Organization of the United Nations, p 14.</w:t>
      </w:r>
    </w:p>
  </w:footnote>
  <w:footnote w:id="202">
    <w:p w14:paraId="36B07846" w14:textId="27987B63" w:rsidR="00CA1920" w:rsidRDefault="00CA1920" w:rsidP="00CA1920">
      <w:pPr>
        <w:pStyle w:val="FootnoteText"/>
      </w:pPr>
      <w:r>
        <w:rPr>
          <w:rStyle w:val="FootnoteReference"/>
        </w:rPr>
        <w:footnoteRef/>
      </w:r>
      <w:r>
        <w:tab/>
        <w:t xml:space="preserve">Indigenous timber production in New Zealand is confined to privately owned forests including SILNA lands and the Longwood and Rowallan forests (Crown land under long-term forestry right to the Waitutu Holding Company) </w:t>
      </w:r>
      <w:r w:rsidR="00A5626E">
        <w:t>–</w:t>
      </w:r>
      <w:r>
        <w:t xml:space="preserve"> Ministry for Primary Industries. 2017. Indigenous Forestry on Private Land: present Trends and Future Potential – An Update, p. 2. </w:t>
      </w:r>
    </w:p>
  </w:footnote>
  <w:footnote w:id="203">
    <w:p w14:paraId="2B02EB60" w14:textId="77777777" w:rsidR="00CA1920" w:rsidRDefault="00CA1920" w:rsidP="00CA1920">
      <w:pPr>
        <w:pStyle w:val="FootnoteText"/>
      </w:pPr>
      <w:r>
        <w:rPr>
          <w:rStyle w:val="FootnoteReference"/>
        </w:rPr>
        <w:footnoteRef/>
      </w:r>
      <w:r>
        <w:tab/>
        <w:t xml:space="preserve">Ministry for the Environment. 2021. </w:t>
      </w:r>
      <w:r w:rsidRPr="00745BC3">
        <w:rPr>
          <w:i/>
          <w:iCs/>
        </w:rPr>
        <w:t>New Zealand’s Greenhouse Gas Inventory 1990–2019</w:t>
      </w:r>
      <w:r>
        <w:t xml:space="preserve">. Wellington: Ministry for the Environment, p 260. Retrieved from </w:t>
      </w:r>
      <w:hyperlink r:id="rId141" w:history="1">
        <w:r>
          <w:rPr>
            <w:rStyle w:val="Hyperlink"/>
          </w:rPr>
          <w:t>environment.govt.nz/publications/new-zealands-greenhouse-gas-inventory-1990-2019/</w:t>
        </w:r>
      </w:hyperlink>
      <w:r>
        <w:t xml:space="preserve"> (10 November 2022).</w:t>
      </w:r>
    </w:p>
  </w:footnote>
  <w:footnote w:id="204">
    <w:p w14:paraId="2A0C8277" w14:textId="09506334" w:rsidR="00CA1920" w:rsidRDefault="00CA1920" w:rsidP="00CA1920">
      <w:pPr>
        <w:pStyle w:val="FootnoteText"/>
      </w:pPr>
      <w:r>
        <w:rPr>
          <w:rStyle w:val="FootnoteReference"/>
        </w:rPr>
        <w:footnoteRef/>
      </w:r>
      <w:r>
        <w:t xml:space="preserve"> </w:t>
      </w:r>
      <w:r>
        <w:tab/>
      </w:r>
      <w:r w:rsidRPr="004B5368">
        <w:t>No longer in place, see section 4.6.</w:t>
      </w:r>
      <w:r w:rsidR="00AF4E1A">
        <w:t xml:space="preserve"> </w:t>
      </w:r>
      <w:r w:rsidR="00AF4E1A" w:rsidRPr="00AF4E1A">
        <w:t>The 1BT covered direct grants, joint venture and partnership projects.</w:t>
      </w:r>
    </w:p>
  </w:footnote>
  <w:footnote w:id="205">
    <w:p w14:paraId="3CF5D8BC" w14:textId="77777777" w:rsidR="00CA1920" w:rsidRPr="004B5368" w:rsidRDefault="00CA1920" w:rsidP="00CA1920">
      <w:pPr>
        <w:pStyle w:val="FootnoteText"/>
      </w:pPr>
      <w:r>
        <w:rPr>
          <w:rStyle w:val="FootnoteReference"/>
        </w:rPr>
        <w:footnoteRef/>
      </w:r>
      <w:r w:rsidRPr="004B5368">
        <w:tab/>
        <w:t>No longer in place, see section 4.6.</w:t>
      </w:r>
    </w:p>
  </w:footnote>
  <w:footnote w:id="206">
    <w:p w14:paraId="3E888568" w14:textId="77777777" w:rsidR="00CA1920" w:rsidRDefault="00CA1920" w:rsidP="00CA1920">
      <w:pPr>
        <w:pStyle w:val="FootnoteText"/>
        <w:spacing w:after="40"/>
      </w:pPr>
      <w:r>
        <w:rPr>
          <w:rStyle w:val="FootnoteReference"/>
        </w:rPr>
        <w:footnoteRef/>
      </w:r>
      <w:r>
        <w:t xml:space="preserve"> </w:t>
      </w:r>
      <w:r>
        <w:tab/>
        <w:t xml:space="preserve">Ministry for Primary Industries. Different kinds of forest land in the ETS. Retrieved from </w:t>
      </w:r>
      <w:hyperlink r:id="rId142" w:history="1">
        <w:r>
          <w:rPr>
            <w:rStyle w:val="Hyperlink"/>
          </w:rPr>
          <w:t>www.mpi.govt.nz/forestry/forestry-in-the-emissions-trading-scheme/about-forestry-in-the-emissions-trading-scheme/different-kinds-of-forest-land-in-the-ets/</w:t>
        </w:r>
      </w:hyperlink>
      <w:r>
        <w:t xml:space="preserve"> (14 November 2022).</w:t>
      </w:r>
    </w:p>
  </w:footnote>
  <w:footnote w:id="207">
    <w:p w14:paraId="1672A9D8" w14:textId="77777777" w:rsidR="00CA1920" w:rsidRPr="005F2862" w:rsidRDefault="00CA1920" w:rsidP="000E3BE4">
      <w:pPr>
        <w:pStyle w:val="FootnoteText"/>
      </w:pPr>
      <w:r>
        <w:rPr>
          <w:rStyle w:val="FootnoteReference"/>
        </w:rPr>
        <w:footnoteRef/>
      </w:r>
      <w:r>
        <w:tab/>
        <w:t xml:space="preserve">New Zealand Forest Service. 2022. Emissions Trading Scheme for forestry as at 30 September 2022. Retrieved from </w:t>
      </w:r>
      <w:hyperlink r:id="rId143" w:history="1">
        <w:r>
          <w:rPr>
            <w:rStyle w:val="Hyperlink"/>
          </w:rPr>
          <w:t>www.mpi.govt.nz/dmsdocument/45232-Emissions-Trading-Scheme-for-Forestry-land-statistics</w:t>
        </w:r>
      </w:hyperlink>
      <w:r>
        <w:t xml:space="preserve"> (14 November 2022).</w:t>
      </w:r>
    </w:p>
  </w:footnote>
  <w:footnote w:id="208">
    <w:p w14:paraId="47EA8CC0" w14:textId="77777777" w:rsidR="00CA1920" w:rsidRDefault="00CA1920" w:rsidP="000E3BE4">
      <w:pPr>
        <w:pStyle w:val="FootnoteText"/>
      </w:pPr>
      <w:r>
        <w:rPr>
          <w:rStyle w:val="FootnoteReference"/>
          <w:rFonts w:eastAsiaTheme="majorEastAsia"/>
        </w:rPr>
        <w:footnoteRef/>
      </w:r>
      <w:r>
        <w:tab/>
        <w:t xml:space="preserve">The mandatory emissions return </w:t>
      </w:r>
      <w:r w:rsidRPr="005F2862">
        <w:t>periods</w:t>
      </w:r>
      <w:r>
        <w:t xml:space="preserve"> have been 2008–12, 2013–17 and 2018–22.</w:t>
      </w:r>
    </w:p>
  </w:footnote>
  <w:footnote w:id="209">
    <w:p w14:paraId="0C266DF5" w14:textId="1D283CAF" w:rsidR="00CA1920" w:rsidRDefault="00CA1920" w:rsidP="000E3BE4">
      <w:pPr>
        <w:pStyle w:val="FootnoteText"/>
      </w:pPr>
      <w:r w:rsidRPr="003C53AF">
        <w:rPr>
          <w:rStyle w:val="FootnoteReference"/>
        </w:rPr>
        <w:footnoteRef/>
      </w:r>
      <w:r>
        <w:t xml:space="preserve"> </w:t>
      </w:r>
      <w:r>
        <w:tab/>
      </w:r>
      <w:r w:rsidR="002A160D" w:rsidRPr="002A160D">
        <w:rPr>
          <w:rFonts w:eastAsia="Calibri"/>
        </w:rPr>
        <w:t>Forests registered under stock change accounting are required to surrender units back from any loss in forest carbon over the reporting period, whereas those registered under averaging accounting are not required to surrender units back, so long as they are replanted.</w:t>
      </w:r>
    </w:p>
  </w:footnote>
  <w:footnote w:id="210">
    <w:p w14:paraId="3954F911" w14:textId="77777777" w:rsidR="00CA1920" w:rsidRDefault="00CA1920" w:rsidP="000E3BE4">
      <w:pPr>
        <w:pStyle w:val="FootnoteText"/>
        <w:rPr>
          <w:color w:val="183C47"/>
          <w:sz w:val="22"/>
        </w:rPr>
      </w:pPr>
      <w:r>
        <w:rPr>
          <w:rStyle w:val="FootnoteReference"/>
        </w:rPr>
        <w:footnoteRef/>
      </w:r>
      <w:r>
        <w:tab/>
      </w:r>
      <w:r>
        <w:rPr>
          <w:rFonts w:eastAsia="Calibri"/>
        </w:rPr>
        <w:t xml:space="preserve">Up to 2 hectares of pre-1990 forest per mandatory emissions return period can be deforested without liability; land owners can avoid pre-1990 deforestation liabilities by establishing an equivalent forest (an offset forest) elsewhere; some land owners can apply for exemptions from deforestation liabilities; and small areas of pre-1990 forest can be cleared without liabilities for the purpose of maintaining best-practice forest management. </w:t>
      </w:r>
    </w:p>
  </w:footnote>
  <w:footnote w:id="211">
    <w:p w14:paraId="0BE3C956" w14:textId="77777777" w:rsidR="00CA1920" w:rsidRPr="00A961CB" w:rsidRDefault="00CA1920" w:rsidP="00CA1920">
      <w:pPr>
        <w:pStyle w:val="FootnoteText"/>
      </w:pPr>
      <w:r>
        <w:rPr>
          <w:rStyle w:val="FootnoteReference"/>
        </w:rPr>
        <w:footnoteRef/>
      </w:r>
      <w:r>
        <w:tab/>
        <w:t>Ministry for the Environment. Waste Minimisation Act 2008. Retrieved from</w:t>
      </w:r>
      <w:r w:rsidDel="00A961CB">
        <w:t xml:space="preserve"> </w:t>
      </w:r>
      <w:hyperlink r:id="rId144" w:history="1">
        <w:r>
          <w:rPr>
            <w:rStyle w:val="Hyperlink"/>
          </w:rPr>
          <w:t>environment.govt.nz/acts-and-regulations/acts/waste-minimisation-act-2008/</w:t>
        </w:r>
      </w:hyperlink>
      <w:r>
        <w:t xml:space="preserve"> (14 November 2022).</w:t>
      </w:r>
    </w:p>
  </w:footnote>
  <w:footnote w:id="212">
    <w:p w14:paraId="3CAF98A5" w14:textId="77777777" w:rsidR="00CA1920" w:rsidRDefault="00CA1920" w:rsidP="00CA1920">
      <w:pPr>
        <w:pStyle w:val="FootnoteText"/>
      </w:pPr>
      <w:r>
        <w:rPr>
          <w:rStyle w:val="FootnoteReference"/>
        </w:rPr>
        <w:footnoteRef/>
      </w:r>
      <w:r>
        <w:tab/>
      </w:r>
      <w:hyperlink r:id="rId145" w:history="1">
        <w:r>
          <w:rPr>
            <w:rStyle w:val="Hyperlink"/>
          </w:rPr>
          <w:t>environment.govt.nz/what-government-is-doing/areas-of-work/waste/waste-disposal-levy/</w:t>
        </w:r>
      </w:hyperlink>
    </w:p>
  </w:footnote>
  <w:footnote w:id="213">
    <w:p w14:paraId="377FD8D2" w14:textId="77777777" w:rsidR="00CA1920" w:rsidRDefault="00CA1920" w:rsidP="00CA1920">
      <w:pPr>
        <w:pStyle w:val="FootnoteText"/>
      </w:pPr>
      <w:r>
        <w:rPr>
          <w:rStyle w:val="FootnoteReference"/>
        </w:rPr>
        <w:footnoteRef/>
      </w:r>
      <w:r>
        <w:t xml:space="preserve"> </w:t>
      </w:r>
      <w:r>
        <w:tab/>
      </w:r>
      <w:hyperlink r:id="rId146" w:history="1">
        <w:r>
          <w:rPr>
            <w:rStyle w:val="Hyperlink"/>
          </w:rPr>
          <w:t>consult.environment.govt.nz/waste/taking-responsibility-for-our-waste/</w:t>
        </w:r>
      </w:hyperlink>
      <w:r>
        <w:t>.</w:t>
      </w:r>
    </w:p>
  </w:footnote>
  <w:footnote w:id="214">
    <w:p w14:paraId="3EADB2D3" w14:textId="77777777" w:rsidR="00CA1920" w:rsidRDefault="00CA1920" w:rsidP="00CA1920">
      <w:pPr>
        <w:pStyle w:val="FootnoteText"/>
      </w:pPr>
      <w:r>
        <w:rPr>
          <w:rStyle w:val="FootnoteReference"/>
        </w:rPr>
        <w:footnoteRef/>
      </w:r>
      <w:r>
        <w:t xml:space="preserve"> </w:t>
      </w:r>
      <w:r>
        <w:tab/>
      </w:r>
      <w:r w:rsidRPr="004A09D7">
        <w:rPr>
          <w:sz w:val="18"/>
          <w:szCs w:val="20"/>
        </w:rPr>
        <w:t xml:space="preserve">The mitigation impact reported here is for </w:t>
      </w:r>
      <w:r>
        <w:rPr>
          <w:sz w:val="18"/>
          <w:szCs w:val="20"/>
        </w:rPr>
        <w:t>e</w:t>
      </w:r>
      <w:r w:rsidRPr="004A09D7">
        <w:rPr>
          <w:sz w:val="18"/>
          <w:szCs w:val="20"/>
        </w:rPr>
        <w:t xml:space="preserve">nergy and </w:t>
      </w:r>
      <w:r>
        <w:rPr>
          <w:sz w:val="18"/>
          <w:szCs w:val="20"/>
        </w:rPr>
        <w:t>t</w:t>
      </w:r>
      <w:r w:rsidRPr="004A09D7">
        <w:rPr>
          <w:sz w:val="18"/>
          <w:szCs w:val="20"/>
        </w:rPr>
        <w:t>ransport only.</w:t>
      </w:r>
    </w:p>
  </w:footnote>
  <w:footnote w:id="215">
    <w:p w14:paraId="28B22DE2" w14:textId="77777777" w:rsidR="00CA1920" w:rsidRDefault="00CA1920" w:rsidP="00CA1920">
      <w:pPr>
        <w:pStyle w:val="FootnoteText"/>
      </w:pPr>
      <w:r>
        <w:rPr>
          <w:rStyle w:val="FootnoteReference"/>
        </w:rPr>
        <w:footnoteRef/>
      </w:r>
      <w:r>
        <w:t xml:space="preserve"> </w:t>
      </w:r>
      <w:r>
        <w:tab/>
      </w:r>
      <w:r w:rsidRPr="001E18BD">
        <w:rPr>
          <w:sz w:val="18"/>
          <w:szCs w:val="18"/>
        </w:rPr>
        <w:t>Future emissions reductions associated with a project or company over the life of the investment.</w:t>
      </w:r>
    </w:p>
  </w:footnote>
  <w:footnote w:id="216">
    <w:p w14:paraId="5696F9C9" w14:textId="77777777" w:rsidR="00CA1920" w:rsidRDefault="00CA1920" w:rsidP="00CA1920">
      <w:pPr>
        <w:pStyle w:val="FootnoteText"/>
      </w:pPr>
      <w:r>
        <w:rPr>
          <w:rStyle w:val="FootnoteReference"/>
        </w:rPr>
        <w:footnoteRef/>
      </w:r>
      <w:r>
        <w:t xml:space="preserve"> </w:t>
      </w:r>
      <w:r>
        <w:tab/>
      </w:r>
      <w:hyperlink r:id="rId147" w:anchor=":~:text=The%20Residential%20Tenancies%20(Healthy%20Homes,insulation" w:history="1">
        <w:r w:rsidRPr="002D4748">
          <w:rPr>
            <w:rStyle w:val="Hyperlink"/>
          </w:rPr>
          <w:t>www.hud.govt.nz/our-work/healthy-homes-standards/#:~:text=The%20Residential%20Tenancies%20(Healthy%20Homes,insulation</w:t>
        </w:r>
      </w:hyperlink>
    </w:p>
  </w:footnote>
  <w:footnote w:id="217">
    <w:p w14:paraId="78F9872E" w14:textId="77777777" w:rsidR="00CA1920" w:rsidRDefault="00CA1920" w:rsidP="00CA1920">
      <w:pPr>
        <w:pStyle w:val="FootnoteText"/>
      </w:pPr>
      <w:r>
        <w:rPr>
          <w:rStyle w:val="FootnoteReference"/>
        </w:rPr>
        <w:footnoteRef/>
      </w:r>
      <w:r>
        <w:tab/>
        <w:t>This could occur if</w:t>
      </w:r>
      <w:r w:rsidRPr="00587373">
        <w:t xml:space="preserve"> the production moves to a jurisdiction without an emissions cap, and if the alternative production is more emissions intensive</w:t>
      </w:r>
      <w:r>
        <w:t xml:space="preserve">. </w:t>
      </w:r>
    </w:p>
  </w:footnote>
  <w:footnote w:id="218">
    <w:p w14:paraId="17C3F6E2" w14:textId="77777777" w:rsidR="00CA1920" w:rsidRPr="00D93CAD" w:rsidRDefault="00CA1920" w:rsidP="00CA1920">
      <w:pPr>
        <w:pStyle w:val="FootnoteText"/>
      </w:pPr>
      <w:r>
        <w:rPr>
          <w:rStyle w:val="FootnoteReference"/>
        </w:rPr>
        <w:footnoteRef/>
      </w:r>
      <w:r>
        <w:tab/>
        <w:t xml:space="preserve">For further details, refer to the Treasury’s website: </w:t>
      </w:r>
      <w:hyperlink r:id="rId148" w:history="1">
        <w:r>
          <w:rPr>
            <w:rStyle w:val="Hyperlink"/>
          </w:rPr>
          <w:t>www.treasury.govt.nz/publications/legislation/regulatory-impact-assessments</w:t>
        </w:r>
      </w:hyperlink>
      <w:r>
        <w:t>.</w:t>
      </w:r>
    </w:p>
  </w:footnote>
  <w:footnote w:id="219">
    <w:p w14:paraId="53E309A7" w14:textId="77777777" w:rsidR="00CA1920" w:rsidRDefault="00CA1920" w:rsidP="00CA1920">
      <w:pPr>
        <w:pStyle w:val="FootnoteText"/>
      </w:pPr>
      <w:r>
        <w:rPr>
          <w:rStyle w:val="FootnoteReference"/>
        </w:rPr>
        <w:footnoteRef/>
      </w:r>
      <w:r>
        <w:tab/>
        <w:t xml:space="preserve">Sub-targets will help to track progress across key sectors over each emissions budget period. Unlike emissions budgets, they are not legislated. </w:t>
      </w:r>
    </w:p>
  </w:footnote>
  <w:footnote w:id="220">
    <w:p w14:paraId="3B1171C1" w14:textId="259F3520" w:rsidR="007C259A" w:rsidRPr="004E42F3" w:rsidRDefault="007C259A" w:rsidP="007C259A">
      <w:pPr>
        <w:pStyle w:val="FootnoteText"/>
        <w:rPr>
          <w:sz w:val="20"/>
          <w:szCs w:val="20"/>
        </w:rPr>
      </w:pPr>
      <w:r w:rsidRPr="003D72CA">
        <w:rPr>
          <w:rStyle w:val="FootnoteReference"/>
        </w:rPr>
        <w:footnoteRef/>
      </w:r>
      <w:r w:rsidRPr="004E42F3">
        <w:rPr>
          <w:sz w:val="20"/>
          <w:szCs w:val="20"/>
        </w:rPr>
        <w:t xml:space="preserve"> </w:t>
      </w:r>
      <w:r w:rsidRPr="004E42F3">
        <w:rPr>
          <w:sz w:val="20"/>
          <w:szCs w:val="20"/>
        </w:rPr>
        <w:tab/>
      </w:r>
      <w:r w:rsidRPr="00CC636E">
        <w:t xml:space="preserve">Ministry </w:t>
      </w:r>
      <w:r w:rsidRPr="007F0510">
        <w:t>for</w:t>
      </w:r>
      <w:r w:rsidRPr="00CC636E">
        <w:t xml:space="preserve"> the Environment. 201</w:t>
      </w:r>
      <w:r>
        <w:t>9</w:t>
      </w:r>
      <w:r w:rsidRPr="00CC636E">
        <w:t xml:space="preserve">. </w:t>
      </w:r>
      <w:r w:rsidRPr="00CC636E">
        <w:rPr>
          <w:i/>
          <w:iCs/>
        </w:rPr>
        <w:t xml:space="preserve">New Zealand’s </w:t>
      </w:r>
      <w:r>
        <w:rPr>
          <w:i/>
          <w:iCs/>
        </w:rPr>
        <w:t>Fourth</w:t>
      </w:r>
      <w:r w:rsidRPr="00CC636E">
        <w:rPr>
          <w:i/>
          <w:iCs/>
        </w:rPr>
        <w:t xml:space="preserve"> Biennial Report Under the United Nations Framework Convention on Climate Change</w:t>
      </w:r>
      <w:r w:rsidRPr="00CC636E">
        <w:t>. Wellington: Ministry for the Environment. Retrieved from</w:t>
      </w:r>
      <w:r>
        <w:t xml:space="preserve"> </w:t>
      </w:r>
      <w:hyperlink r:id="rId149" w:history="1">
        <w:r w:rsidR="00A418ED">
          <w:rPr>
            <w:rStyle w:val="Hyperlink"/>
          </w:rPr>
          <w:t>environment.govt.nz/assets/Publications/Files/fourth-biennial-report.pdf</w:t>
        </w:r>
      </w:hyperlink>
      <w:r>
        <w:rPr>
          <w:rStyle w:val="Hyperlink"/>
          <w:rFonts w:asciiTheme="minorHAnsi" w:hAnsiTheme="minorHAnsi" w:cstheme="minorHAnsi"/>
        </w:rPr>
        <w:t xml:space="preserve"> </w:t>
      </w:r>
      <w:r w:rsidRPr="005266B2">
        <w:rPr>
          <w:rStyle w:val="Hyperlink"/>
          <w:rFonts w:asciiTheme="minorHAnsi" w:hAnsiTheme="minorHAnsi" w:cstheme="minorHAnsi"/>
          <w:color w:val="000000" w:themeColor="text1"/>
        </w:rPr>
        <w:t xml:space="preserve">(1 </w:t>
      </w:r>
      <w:r>
        <w:rPr>
          <w:rStyle w:val="Hyperlink"/>
          <w:rFonts w:asciiTheme="minorHAnsi" w:hAnsiTheme="minorHAnsi" w:cstheme="minorHAnsi"/>
          <w:color w:val="000000" w:themeColor="text1"/>
        </w:rPr>
        <w:t>Dec</w:t>
      </w:r>
      <w:r w:rsidRPr="005266B2">
        <w:rPr>
          <w:rStyle w:val="Hyperlink"/>
          <w:rFonts w:asciiTheme="minorHAnsi" w:hAnsiTheme="minorHAnsi" w:cstheme="minorHAnsi"/>
          <w:color w:val="000000" w:themeColor="text1"/>
        </w:rPr>
        <w:t>ember 2019)</w:t>
      </w:r>
      <w:r w:rsidRPr="005266B2">
        <w:rPr>
          <w:color w:val="000000" w:themeColor="text1"/>
        </w:rPr>
        <w:t>.</w:t>
      </w:r>
    </w:p>
  </w:footnote>
  <w:footnote w:id="221">
    <w:p w14:paraId="2745CF35" w14:textId="615FD9EB" w:rsidR="007C259A" w:rsidRDefault="007C259A" w:rsidP="007C259A">
      <w:pPr>
        <w:pStyle w:val="FootnoteText"/>
      </w:pPr>
      <w:r w:rsidRPr="003D72CA">
        <w:rPr>
          <w:rStyle w:val="FootnoteReference"/>
        </w:rPr>
        <w:footnoteRef/>
      </w:r>
      <w:r w:rsidRPr="003D72CA">
        <w:rPr>
          <w:rStyle w:val="FootnoteReference"/>
        </w:rPr>
        <w:t xml:space="preserve"> </w:t>
      </w:r>
      <w:r w:rsidRPr="004E42F3">
        <w:tab/>
        <w:t>These projections do not measure progress towards New Zealand’s domestic emissions budgets</w:t>
      </w:r>
      <w:r w:rsidR="00574621" w:rsidRPr="00574621">
        <w:t>, or New</w:t>
      </w:r>
      <w:r w:rsidR="00122468">
        <w:t> </w:t>
      </w:r>
      <w:r w:rsidR="00574621" w:rsidRPr="00574621">
        <w:t>Zealand’s first Nationally Determined Contribution under the Paris agreement,</w:t>
      </w:r>
      <w:r w:rsidRPr="004E42F3">
        <w:t xml:space="preserve"> and do not take into</w:t>
      </w:r>
      <w:r w:rsidR="00122468">
        <w:t> </w:t>
      </w:r>
      <w:r w:rsidRPr="004E42F3">
        <w:t>account all of the policies in New Zealand’s first emissions reduction plan.</w:t>
      </w:r>
    </w:p>
  </w:footnote>
  <w:footnote w:id="222">
    <w:p w14:paraId="3C2AF2C8" w14:textId="77777777" w:rsidR="007C259A" w:rsidRPr="004E42F3" w:rsidRDefault="007C259A" w:rsidP="007C259A">
      <w:pPr>
        <w:pStyle w:val="FootnoteText"/>
      </w:pPr>
      <w:r w:rsidRPr="003D72CA">
        <w:rPr>
          <w:rStyle w:val="FootnoteReference"/>
        </w:rPr>
        <w:footnoteRef/>
      </w:r>
      <w:r w:rsidRPr="004E42F3">
        <w:t xml:space="preserve"> </w:t>
      </w:r>
      <w:r w:rsidRPr="004E42F3">
        <w:tab/>
        <w:t xml:space="preserve">See </w:t>
      </w:r>
      <w:r w:rsidRPr="00DF5C72">
        <w:t>table</w:t>
      </w:r>
      <w:r>
        <w:t>s</w:t>
      </w:r>
      <w:r w:rsidRPr="00DF5C72">
        <w:t xml:space="preserve"> </w:t>
      </w:r>
      <w:r>
        <w:t>5</w:t>
      </w:r>
      <w:r w:rsidRPr="00DF5C72">
        <w:t>.1</w:t>
      </w:r>
      <w:r w:rsidRPr="004E42F3">
        <w:t xml:space="preserve"> and </w:t>
      </w:r>
      <w:r>
        <w:t>5</w:t>
      </w:r>
      <w:r w:rsidRPr="00DF5C72">
        <w:t>.9</w:t>
      </w:r>
      <w:r w:rsidRPr="004E42F3">
        <w:t xml:space="preserve"> for the additional policies considered in this scenario.</w:t>
      </w:r>
    </w:p>
  </w:footnote>
  <w:footnote w:id="223">
    <w:p w14:paraId="56B0A3EB" w14:textId="4FF64FE6" w:rsidR="007C259A" w:rsidRPr="004E42F3" w:rsidRDefault="007C259A" w:rsidP="007C259A">
      <w:pPr>
        <w:pStyle w:val="FootnoteText"/>
      </w:pPr>
      <w:r w:rsidRPr="003D72CA">
        <w:rPr>
          <w:rStyle w:val="FootnoteReference"/>
        </w:rPr>
        <w:footnoteRef/>
      </w:r>
      <w:r w:rsidRPr="004E42F3">
        <w:t xml:space="preserve"> </w:t>
      </w:r>
      <w:r w:rsidRPr="004E42F3">
        <w:tab/>
        <w:t xml:space="preserve">Ministry for the Environment. </w:t>
      </w:r>
      <w:r w:rsidRPr="003D72CA">
        <w:t>2022</w:t>
      </w:r>
      <w:r w:rsidRPr="004E42F3">
        <w:t xml:space="preserve">. </w:t>
      </w:r>
      <w:r w:rsidRPr="004E42F3">
        <w:rPr>
          <w:i/>
        </w:rPr>
        <w:t>New Zealand’s Greenhouse Gas Inventory 1990–2020</w:t>
      </w:r>
      <w:r w:rsidRPr="004E42F3">
        <w:t xml:space="preserve">. Wellington: Ministry for the Environment. Retrieved from </w:t>
      </w:r>
      <w:hyperlink r:id="rId150" w:history="1">
        <w:r w:rsidR="009D23C2">
          <w:rPr>
            <w:rStyle w:val="Hyperlink"/>
          </w:rPr>
          <w:t>environment.govt.nz/publications/new-zealands-greenhouse-gas-inventory-1990-2020</w:t>
        </w:r>
      </w:hyperlink>
      <w:r w:rsidRPr="004E42F3">
        <w:t xml:space="preserve"> </w:t>
      </w:r>
      <w:r w:rsidRPr="004E42F3">
        <w:rPr>
          <w:color w:val="000000" w:themeColor="text1"/>
        </w:rPr>
        <w:t>(18 Aug</w:t>
      </w:r>
      <w:r>
        <w:rPr>
          <w:color w:val="000000" w:themeColor="text1"/>
        </w:rPr>
        <w:t>ust</w:t>
      </w:r>
      <w:r w:rsidRPr="004E42F3">
        <w:rPr>
          <w:color w:val="000000" w:themeColor="text1"/>
        </w:rPr>
        <w:t xml:space="preserve"> 2022).</w:t>
      </w:r>
    </w:p>
  </w:footnote>
  <w:footnote w:id="224">
    <w:p w14:paraId="518D503A" w14:textId="77777777" w:rsidR="007C259A" w:rsidRPr="008538CC" w:rsidRDefault="007C259A" w:rsidP="007C259A">
      <w:pPr>
        <w:pStyle w:val="FootnoteText"/>
      </w:pPr>
      <w:r w:rsidRPr="003D72CA">
        <w:rPr>
          <w:rStyle w:val="FootnoteReference"/>
        </w:rPr>
        <w:footnoteRef/>
      </w:r>
      <w:r>
        <w:tab/>
      </w:r>
      <w:r w:rsidRPr="008538CC">
        <w:t xml:space="preserve">Gross emissions are New Zealand's total emissions from Agriculture, Energy, IPPU and Waste sectors as well as gross </w:t>
      </w:r>
      <w:r w:rsidRPr="003D72CA">
        <w:t>emissions</w:t>
      </w:r>
      <w:r w:rsidRPr="008538CC">
        <w:t xml:space="preserve"> from Tokelau.</w:t>
      </w:r>
    </w:p>
  </w:footnote>
  <w:footnote w:id="225">
    <w:p w14:paraId="354BA374" w14:textId="77777777" w:rsidR="007C259A" w:rsidRPr="008538CC" w:rsidRDefault="007C259A" w:rsidP="007C259A">
      <w:pPr>
        <w:pStyle w:val="FootnoteText"/>
      </w:pPr>
      <w:r w:rsidRPr="003D72CA">
        <w:rPr>
          <w:rStyle w:val="FootnoteReference"/>
        </w:rPr>
        <w:footnoteRef/>
      </w:r>
      <w:r>
        <w:tab/>
      </w:r>
      <w:r w:rsidRPr="008538CC">
        <w:t>Net emissions are made up of gross emissions combined with emissions and removals from the LULUCF sector.</w:t>
      </w:r>
    </w:p>
  </w:footnote>
  <w:footnote w:id="226">
    <w:p w14:paraId="31CA5F93" w14:textId="77777777" w:rsidR="007C259A" w:rsidRPr="00D9224C" w:rsidRDefault="007C259A" w:rsidP="007C259A">
      <w:pPr>
        <w:pStyle w:val="FootnoteText"/>
      </w:pPr>
      <w:r>
        <w:rPr>
          <w:rStyle w:val="FootnoteReference"/>
        </w:rPr>
        <w:footnoteRef/>
      </w:r>
      <w:r>
        <w:t xml:space="preserve"> </w:t>
      </w:r>
      <w:r>
        <w:tab/>
      </w:r>
      <w:r w:rsidRPr="00A50765">
        <w:t>The impact of the NZ ETS is only quantified for energy and forestry.</w:t>
      </w:r>
    </w:p>
  </w:footnote>
  <w:footnote w:id="227">
    <w:p w14:paraId="3BC15A5A" w14:textId="77777777" w:rsidR="007C259A" w:rsidRDefault="007C259A" w:rsidP="007C259A">
      <w:pPr>
        <w:pStyle w:val="FootnoteText"/>
      </w:pPr>
      <w:r>
        <w:rPr>
          <w:rStyle w:val="FootnoteReference"/>
        </w:rPr>
        <w:footnoteRef/>
      </w:r>
      <w:r>
        <w:t xml:space="preserve"> </w:t>
      </w:r>
      <w:r>
        <w:tab/>
      </w:r>
      <w:r w:rsidRPr="00E30139">
        <w:t xml:space="preserve">Government Investment </w:t>
      </w:r>
      <w:r w:rsidRPr="00993714">
        <w:t>in</w:t>
      </w:r>
      <w:r w:rsidRPr="00E30139">
        <w:t xml:space="preserve"> Decarbonising Industry Fund</w:t>
      </w:r>
      <w:r>
        <w:t xml:space="preserve"> </w:t>
      </w:r>
      <w:hyperlink r:id="rId151" w:history="1">
        <w:r w:rsidRPr="00E30139">
          <w:rPr>
            <w:rStyle w:val="Hyperlink"/>
          </w:rPr>
          <w:t>https://www.eeca.govt.nz/co-funding/industry-decarbonisation/about-the-government-investment-in-decarbonising-industry-fund/</w:t>
        </w:r>
      </w:hyperlink>
    </w:p>
  </w:footnote>
  <w:footnote w:id="228">
    <w:p w14:paraId="03B40145" w14:textId="77777777" w:rsidR="007C259A" w:rsidRDefault="007C259A" w:rsidP="007C259A">
      <w:pPr>
        <w:pStyle w:val="FootnoteText"/>
      </w:pPr>
      <w:r>
        <w:rPr>
          <w:rStyle w:val="FootnoteReference"/>
        </w:rPr>
        <w:footnoteRef/>
      </w:r>
      <w:r>
        <w:t xml:space="preserve"> </w:t>
      </w:r>
      <w:r>
        <w:tab/>
      </w:r>
      <w:r w:rsidRPr="0070138F">
        <w:t xml:space="preserve">The Afforestation Grant Scheme and Erosion Control Funding Programme </w:t>
      </w:r>
      <w:r>
        <w:t>were</w:t>
      </w:r>
      <w:r w:rsidRPr="0070138F">
        <w:t xml:space="preserve"> replaced by the One</w:t>
      </w:r>
      <w:r>
        <w:t> </w:t>
      </w:r>
      <w:r w:rsidRPr="0070138F">
        <w:t>Billion Trees Programme in December 2018. Planned planting already funded under these schemes</w:t>
      </w:r>
      <w:r>
        <w:t> </w:t>
      </w:r>
      <w:r w:rsidRPr="0070138F">
        <w:t>will</w:t>
      </w:r>
      <w:r>
        <w:t> </w:t>
      </w:r>
      <w:r w:rsidRPr="0070138F">
        <w:t>continue</w:t>
      </w:r>
      <w:r>
        <w:t xml:space="preserve"> until 2028</w:t>
      </w:r>
      <w:r>
        <w:rPr>
          <w:sz w:val="20"/>
          <w:szCs w:val="20"/>
        </w:rPr>
        <w:t>.</w:t>
      </w:r>
    </w:p>
  </w:footnote>
  <w:footnote w:id="229">
    <w:p w14:paraId="2BA16DFD" w14:textId="77777777" w:rsidR="007C259A" w:rsidRDefault="007C259A" w:rsidP="007C259A">
      <w:pPr>
        <w:pStyle w:val="FootnoteText"/>
      </w:pPr>
      <w:r>
        <w:rPr>
          <w:rStyle w:val="FootnoteReference"/>
        </w:rPr>
        <w:footnoteRef/>
      </w:r>
      <w:r>
        <w:t xml:space="preserve"> </w:t>
      </w:r>
      <w:r>
        <w:tab/>
        <w:t>The Permanent Forest Sink Initiative was discontinued at the end of 2021 and replaced with a new activity in the NZ ETS.</w:t>
      </w:r>
    </w:p>
  </w:footnote>
  <w:footnote w:id="230">
    <w:p w14:paraId="6B05460B" w14:textId="77777777" w:rsidR="007C259A" w:rsidRDefault="007C259A" w:rsidP="007C259A">
      <w:pPr>
        <w:pStyle w:val="FootnoteText"/>
      </w:pPr>
      <w:r>
        <w:rPr>
          <w:rStyle w:val="FootnoteReference"/>
        </w:rPr>
        <w:footnoteRef/>
      </w:r>
      <w:r>
        <w:t xml:space="preserve"> </w:t>
      </w:r>
      <w:r>
        <w:tab/>
        <w:t>Impacts from t</w:t>
      </w:r>
      <w:r w:rsidRPr="005B7A0A">
        <w:t xml:space="preserve">he </w:t>
      </w:r>
      <w:r w:rsidRPr="00824007">
        <w:t>Erosion Control Funding Programme</w:t>
      </w:r>
      <w:r>
        <w:t xml:space="preserve"> are calculated from the year following its establishment in 1992.</w:t>
      </w:r>
    </w:p>
  </w:footnote>
  <w:footnote w:id="231">
    <w:p w14:paraId="445D0A9C" w14:textId="77777777" w:rsidR="007C259A" w:rsidRDefault="007C259A" w:rsidP="007C259A">
      <w:pPr>
        <w:pStyle w:val="FootnoteText"/>
      </w:pPr>
      <w:r>
        <w:rPr>
          <w:rStyle w:val="FootnoteReference"/>
        </w:rPr>
        <w:footnoteRef/>
      </w:r>
      <w:r>
        <w:t xml:space="preserve"> </w:t>
      </w:r>
      <w:r>
        <w:tab/>
      </w:r>
      <w:r w:rsidRPr="0070138F">
        <w:t xml:space="preserve">The Afforestation Grant Scheme and Erosion Control Funding Programme </w:t>
      </w:r>
      <w:r>
        <w:t>were</w:t>
      </w:r>
      <w:r w:rsidRPr="0070138F">
        <w:t xml:space="preserve"> replaced by the One</w:t>
      </w:r>
      <w:r>
        <w:t> </w:t>
      </w:r>
      <w:r w:rsidRPr="0070138F">
        <w:t>Billion Trees Programme in December 2018. Planned planting already funded under these schemes</w:t>
      </w:r>
      <w:r>
        <w:t> </w:t>
      </w:r>
      <w:r w:rsidRPr="0070138F">
        <w:t>will continue</w:t>
      </w:r>
      <w:r>
        <w:t xml:space="preserve"> until 2028</w:t>
      </w:r>
      <w:r>
        <w:rPr>
          <w:sz w:val="20"/>
          <w:szCs w:val="20"/>
        </w:rPr>
        <w:t>.</w:t>
      </w:r>
    </w:p>
  </w:footnote>
  <w:footnote w:id="232">
    <w:p w14:paraId="406CCAD4" w14:textId="77777777" w:rsidR="007C259A" w:rsidRPr="00CC636E" w:rsidRDefault="007C259A" w:rsidP="007C259A">
      <w:pPr>
        <w:pStyle w:val="FootnoteText"/>
      </w:pPr>
      <w:r>
        <w:rPr>
          <w:rStyle w:val="FootnoteReference"/>
        </w:rPr>
        <w:footnoteRef/>
      </w:r>
      <w:r>
        <w:t xml:space="preserve"> </w:t>
      </w:r>
      <w:r>
        <w:tab/>
      </w:r>
      <w:r w:rsidRPr="00CC636E">
        <w:t>Ministry for the Environment. 201</w:t>
      </w:r>
      <w:r>
        <w:t>9</w:t>
      </w:r>
      <w:r w:rsidRPr="00CC636E">
        <w:t xml:space="preserve">. </w:t>
      </w:r>
      <w:r w:rsidRPr="00CC636E">
        <w:rPr>
          <w:i/>
          <w:iCs/>
        </w:rPr>
        <w:t xml:space="preserve">New Zealand’s </w:t>
      </w:r>
      <w:r>
        <w:rPr>
          <w:i/>
          <w:iCs/>
        </w:rPr>
        <w:t>Fourth</w:t>
      </w:r>
      <w:r w:rsidRPr="00CC636E">
        <w:rPr>
          <w:i/>
          <w:iCs/>
        </w:rPr>
        <w:t xml:space="preserve"> Biennial Report </w:t>
      </w:r>
      <w:r>
        <w:rPr>
          <w:i/>
          <w:iCs/>
        </w:rPr>
        <w:t>u</w:t>
      </w:r>
      <w:r w:rsidRPr="00CC636E">
        <w:rPr>
          <w:i/>
          <w:iCs/>
        </w:rPr>
        <w:t>nder the United Nations Framework Convention on Climate Change</w:t>
      </w:r>
      <w:r w:rsidRPr="00CC636E">
        <w:t>. Wellington: Ministry for the Environment. Retrieved from</w:t>
      </w:r>
      <w:r>
        <w:t xml:space="preserve"> </w:t>
      </w:r>
      <w:r w:rsidRPr="00241552">
        <w:t>https://environment.govt.nz/assets/Publications/Files/fourth-biennial-report.pdf</w:t>
      </w:r>
      <w:r>
        <w:rPr>
          <w:rStyle w:val="Hyperlink"/>
          <w:rFonts w:asciiTheme="minorHAnsi" w:hAnsiTheme="minorHAnsi" w:cstheme="minorHAnsi"/>
        </w:rPr>
        <w:t xml:space="preserve"> </w:t>
      </w:r>
      <w:r w:rsidRPr="005266B2">
        <w:rPr>
          <w:rStyle w:val="Hyperlink"/>
          <w:rFonts w:asciiTheme="minorHAnsi" w:hAnsiTheme="minorHAnsi" w:cstheme="minorHAnsi"/>
          <w:color w:val="000000" w:themeColor="text1"/>
        </w:rPr>
        <w:t xml:space="preserve">(1 </w:t>
      </w:r>
      <w:r>
        <w:rPr>
          <w:rStyle w:val="Hyperlink"/>
          <w:rFonts w:asciiTheme="minorHAnsi" w:hAnsiTheme="minorHAnsi" w:cstheme="minorHAnsi"/>
          <w:color w:val="000000" w:themeColor="text1"/>
        </w:rPr>
        <w:t>Dec</w:t>
      </w:r>
      <w:r w:rsidRPr="005266B2">
        <w:rPr>
          <w:rStyle w:val="Hyperlink"/>
          <w:rFonts w:asciiTheme="minorHAnsi" w:hAnsiTheme="minorHAnsi" w:cstheme="minorHAnsi"/>
          <w:color w:val="000000" w:themeColor="text1"/>
        </w:rPr>
        <w:t>ember 2019)</w:t>
      </w:r>
      <w:r w:rsidRPr="005266B2">
        <w:rPr>
          <w:color w:val="000000" w:themeColor="text1"/>
        </w:rPr>
        <w:t>.</w:t>
      </w:r>
    </w:p>
  </w:footnote>
  <w:footnote w:id="233">
    <w:p w14:paraId="28ADFDC9" w14:textId="24A19BEA" w:rsidR="007C259A" w:rsidRDefault="007C259A" w:rsidP="007C259A">
      <w:pPr>
        <w:pStyle w:val="FootnoteText"/>
        <w:spacing w:after="40"/>
      </w:pPr>
      <w:r>
        <w:rPr>
          <w:rStyle w:val="FootnoteReference"/>
        </w:rPr>
        <w:footnoteRef/>
      </w:r>
      <w:r>
        <w:t xml:space="preserve"> </w:t>
      </w:r>
      <w:r>
        <w:tab/>
        <w:t xml:space="preserve">Ministry of Transport. 2022. </w:t>
      </w:r>
      <w:r w:rsidRPr="00E017C7">
        <w:rPr>
          <w:i/>
          <w:iCs/>
        </w:rPr>
        <w:t>Vehicle Fleet Emissions Model.</w:t>
      </w:r>
      <w:r>
        <w:t xml:space="preserve"> Retrieved from </w:t>
      </w:r>
      <w:hyperlink r:id="rId152" w:history="1">
        <w:r w:rsidRPr="00EE68DE">
          <w:rPr>
            <w:rStyle w:val="Hyperlink"/>
          </w:rPr>
          <w:t>www.transport.govt.nz/assets/ Uploads/Data/Transport-outlook-updated/Vehicle-Fleet-Emissions-Model-Documentation-20220608.pdf</w:t>
        </w:r>
      </w:hyperlink>
      <w:r>
        <w:rPr>
          <w:rStyle w:val="Hyperlink"/>
        </w:rPr>
        <w:t xml:space="preserve"> </w:t>
      </w:r>
      <w:r>
        <w:t>(22 November 2022).</w:t>
      </w:r>
    </w:p>
  </w:footnote>
  <w:footnote w:id="234">
    <w:p w14:paraId="35EDC889" w14:textId="77777777" w:rsidR="007C259A" w:rsidRDefault="007C259A" w:rsidP="007C259A">
      <w:pPr>
        <w:pStyle w:val="FootnoteText"/>
        <w:spacing w:after="40"/>
      </w:pPr>
      <w:r>
        <w:rPr>
          <w:rStyle w:val="FootnoteReference"/>
        </w:rPr>
        <w:footnoteRef/>
      </w:r>
      <w:r>
        <w:t xml:space="preserve"> </w:t>
      </w:r>
      <w:r>
        <w:tab/>
        <w:t>Ministry of Business, Innovation</w:t>
      </w:r>
      <w:r w:rsidRPr="00CC4874">
        <w:t xml:space="preserve"> </w:t>
      </w:r>
      <w:r>
        <w:t xml:space="preserve">and Employment. 2019. </w:t>
      </w:r>
      <w:r w:rsidRPr="00D01C03">
        <w:rPr>
          <w:i/>
          <w:iCs/>
        </w:rPr>
        <w:t xml:space="preserve">Electricity Demand </w:t>
      </w:r>
      <w:r>
        <w:rPr>
          <w:i/>
          <w:iCs/>
        </w:rPr>
        <w:t>a</w:t>
      </w:r>
      <w:r w:rsidRPr="00D01C03">
        <w:rPr>
          <w:i/>
          <w:iCs/>
        </w:rPr>
        <w:t xml:space="preserve">nd Generation Scenarios: Scenario </w:t>
      </w:r>
      <w:r>
        <w:rPr>
          <w:i/>
          <w:iCs/>
        </w:rPr>
        <w:t>a</w:t>
      </w:r>
      <w:r w:rsidRPr="00D01C03">
        <w:rPr>
          <w:i/>
          <w:iCs/>
        </w:rPr>
        <w:t>nd Results Summary</w:t>
      </w:r>
      <w:r>
        <w:t>. Wellington: Ministry of Business,</w:t>
      </w:r>
      <w:r w:rsidRPr="00CC4874">
        <w:t xml:space="preserve"> </w:t>
      </w:r>
      <w:r>
        <w:t xml:space="preserve">Innovation and Employment. Retrieved from </w:t>
      </w:r>
      <w:hyperlink r:id="rId153" w:history="1">
        <w:r w:rsidRPr="00D01C03">
          <w:rPr>
            <w:rStyle w:val="Hyperlink"/>
          </w:rPr>
          <w:t>www.mbie.govt.nz/building-and-energy/energy-and-natural-resources/energy-statistics-and-modelling/energy-modelling/electricity-demand-and-generation-scenarios/</w:t>
        </w:r>
      </w:hyperlink>
      <w:r>
        <w:rPr>
          <w:rStyle w:val="Hyperlink"/>
        </w:rPr>
        <w:t xml:space="preserve"> </w:t>
      </w:r>
      <w:r w:rsidRPr="005266B2">
        <w:rPr>
          <w:rStyle w:val="Hyperlink"/>
          <w:color w:val="000000" w:themeColor="text1"/>
        </w:rPr>
        <w:t>(24 September 2019)</w:t>
      </w:r>
      <w:r w:rsidRPr="005266B2">
        <w:rPr>
          <w:color w:val="000000" w:themeColor="text1"/>
        </w:rPr>
        <w:t>.</w:t>
      </w:r>
    </w:p>
  </w:footnote>
  <w:footnote w:id="235">
    <w:p w14:paraId="7E32F24D" w14:textId="419810AE" w:rsidR="007C259A" w:rsidRDefault="007C259A" w:rsidP="007C259A">
      <w:pPr>
        <w:pStyle w:val="FootnoteText"/>
      </w:pPr>
      <w:r>
        <w:rPr>
          <w:rStyle w:val="FootnoteReference"/>
        </w:rPr>
        <w:footnoteRef/>
      </w:r>
      <w:r>
        <w:t xml:space="preserve"> </w:t>
      </w:r>
      <w:r>
        <w:tab/>
        <w:t xml:space="preserve">Ministry for the Environment. nd. </w:t>
      </w:r>
      <w:r w:rsidRPr="00CC636E">
        <w:rPr>
          <w:i/>
          <w:iCs/>
        </w:rPr>
        <w:t>Kigali Amendment to the Montreal Protocol</w:t>
      </w:r>
      <w:r>
        <w:t xml:space="preserve">. Retrieved from </w:t>
      </w:r>
      <w:hyperlink r:id="rId154" w:history="1">
        <w:r w:rsidR="003F0365">
          <w:rPr>
            <w:rStyle w:val="Hyperlink"/>
          </w:rPr>
          <w:t>environment.govt.nz/what-government-is-doing/international-action/vienna-convention-and-montreal-protocol/kigali-amendment-to-the-montreal-protocol/</w:t>
        </w:r>
      </w:hyperlink>
      <w:r>
        <w:t xml:space="preserve"> (22 November 2022).</w:t>
      </w:r>
    </w:p>
  </w:footnote>
  <w:footnote w:id="236">
    <w:p w14:paraId="03867F91" w14:textId="579A4ADA" w:rsidR="007C259A" w:rsidRDefault="007C259A" w:rsidP="007C259A">
      <w:pPr>
        <w:pStyle w:val="FootnoteText"/>
      </w:pPr>
      <w:r>
        <w:rPr>
          <w:rStyle w:val="FootnoteReference"/>
        </w:rPr>
        <w:footnoteRef/>
      </w:r>
      <w:r>
        <w:t xml:space="preserve"> </w:t>
      </w:r>
      <w:r>
        <w:tab/>
        <w:t xml:space="preserve">United Nations. 2019, 3 October. </w:t>
      </w:r>
      <w:r w:rsidRPr="00CC636E">
        <w:t>Amendment to the Montreal Protocol on substances that deplete</w:t>
      </w:r>
      <w:r>
        <w:t> </w:t>
      </w:r>
      <w:r w:rsidRPr="00CC636E">
        <w:t>the</w:t>
      </w:r>
      <w:r>
        <w:t> </w:t>
      </w:r>
      <w:r w:rsidRPr="00CC636E">
        <w:t>ozone layer, New Zealand: Territorial exclusion in respect of Tokelau</w:t>
      </w:r>
      <w:r>
        <w:t xml:space="preserve">. Retrieved from </w:t>
      </w:r>
      <w:hyperlink r:id="rId155" w:history="1">
        <w:r w:rsidR="003F0365" w:rsidRPr="003F0365">
          <w:rPr>
            <w:rStyle w:val="Hyperlink"/>
          </w:rPr>
          <w:t>treaties.un.org/doc/Publication/CN/2019/CN.490.2019-Eng.pdf</w:t>
        </w:r>
      </w:hyperlink>
      <w:r w:rsidR="003F0365">
        <w:rPr>
          <w:rStyle w:val="Hyperlink"/>
        </w:rPr>
        <w:t xml:space="preserve"> </w:t>
      </w:r>
      <w:r w:rsidR="003F0365" w:rsidRPr="003F0365">
        <w:rPr>
          <w:rStyle w:val="Hyperlink"/>
          <w:color w:val="auto"/>
        </w:rPr>
        <w:t xml:space="preserve">(5 </w:t>
      </w:r>
      <w:r w:rsidRPr="005266B2">
        <w:rPr>
          <w:rStyle w:val="Hyperlink"/>
          <w:color w:val="000000" w:themeColor="text1"/>
        </w:rPr>
        <w:t>November 2019).</w:t>
      </w:r>
    </w:p>
  </w:footnote>
  <w:footnote w:id="237">
    <w:p w14:paraId="59D8A070" w14:textId="237FA402" w:rsidR="007C259A" w:rsidRDefault="007C259A" w:rsidP="007C259A">
      <w:pPr>
        <w:pStyle w:val="FootnoteText"/>
        <w:spacing w:after="40"/>
      </w:pPr>
      <w:r>
        <w:rPr>
          <w:rStyle w:val="FootnoteReference"/>
        </w:rPr>
        <w:footnoteRef/>
      </w:r>
      <w:r>
        <w:t xml:space="preserve"> </w:t>
      </w:r>
      <w:r>
        <w:tab/>
        <w:t xml:space="preserve">Ministry for Primary Industries. Protecting freshwater health. Retrieved from </w:t>
      </w:r>
      <w:hyperlink r:id="rId156" w:history="1">
        <w:r w:rsidR="0069255C" w:rsidRPr="00625A59">
          <w:rPr>
            <w:rStyle w:val="Hyperlink"/>
          </w:rPr>
          <w:t>www.mpi.govt.nz/agriculture/farm-management-the-environment-and-land-use/protecting-freshwater-health/</w:t>
        </w:r>
      </w:hyperlink>
      <w:r>
        <w:t xml:space="preserve"> (22 November 2022).</w:t>
      </w:r>
    </w:p>
  </w:footnote>
  <w:footnote w:id="238">
    <w:p w14:paraId="668FBC75" w14:textId="636541D3" w:rsidR="007C259A" w:rsidRDefault="007C259A" w:rsidP="007C259A">
      <w:pPr>
        <w:pStyle w:val="FootnoteText"/>
        <w:spacing w:after="40"/>
      </w:pPr>
      <w:r>
        <w:rPr>
          <w:rStyle w:val="FootnoteReference"/>
        </w:rPr>
        <w:footnoteRef/>
      </w:r>
      <w:r>
        <w:t xml:space="preserve"> </w:t>
      </w:r>
      <w:r>
        <w:tab/>
        <w:t xml:space="preserve">Ministry for the Environment. Synthetic nitrogen fertiliser cap. Retrieved from </w:t>
      </w:r>
      <w:hyperlink r:id="rId157" w:history="1">
        <w:r w:rsidR="00FA53A4">
          <w:rPr>
            <w:rStyle w:val="Hyperlink"/>
          </w:rPr>
          <w:t>environment.govt.nz/acts-and-regulations/freshwater-implementation-guidance/agriculture-and-horticulture/synthetic-nitrogen-fertiliser-cap-in-place-from-1-july</w:t>
        </w:r>
      </w:hyperlink>
      <w:r w:rsidRPr="00AC41E2">
        <w:t>/</w:t>
      </w:r>
      <w:r>
        <w:t xml:space="preserve"> (22 November 2022).</w:t>
      </w:r>
    </w:p>
  </w:footnote>
  <w:footnote w:id="239">
    <w:p w14:paraId="333DB131" w14:textId="77777777" w:rsidR="007C259A" w:rsidRDefault="007C259A" w:rsidP="007C259A">
      <w:pPr>
        <w:pStyle w:val="FootnoteText"/>
        <w:spacing w:after="40"/>
      </w:pPr>
      <w:r>
        <w:rPr>
          <w:rStyle w:val="FootnoteReference"/>
        </w:rPr>
        <w:footnoteRef/>
      </w:r>
      <w:r>
        <w:t xml:space="preserve"> </w:t>
      </w:r>
      <w:r>
        <w:tab/>
        <w:t xml:space="preserve">He Waka Eka Noa. Retrieved from </w:t>
      </w:r>
      <w:hyperlink r:id="rId158" w:history="1">
        <w:r w:rsidRPr="00687138">
          <w:rPr>
            <w:rStyle w:val="Hyperlink"/>
          </w:rPr>
          <w:t>https://hewakaekenoa.nz/</w:t>
        </w:r>
      </w:hyperlink>
      <w:r>
        <w:t xml:space="preserve"> (22 November 2022).</w:t>
      </w:r>
    </w:p>
  </w:footnote>
  <w:footnote w:id="240">
    <w:p w14:paraId="60C372B9" w14:textId="23D94E09" w:rsidR="007C259A" w:rsidRDefault="007C259A" w:rsidP="007C259A">
      <w:pPr>
        <w:pStyle w:val="Footnote"/>
      </w:pPr>
      <w:r>
        <w:rPr>
          <w:rStyle w:val="FootnoteReference"/>
        </w:rPr>
        <w:footnoteRef/>
      </w:r>
      <w:r>
        <w:t xml:space="preserve"> </w:t>
      </w:r>
      <w:r>
        <w:tab/>
        <w:t xml:space="preserve">Ministry for the Environment. 2022. </w:t>
      </w:r>
      <w:r w:rsidRPr="00FC694D">
        <w:rPr>
          <w:i/>
        </w:rPr>
        <w:t>New Zealand’s Greenhouse Gas Inventory 1990</w:t>
      </w:r>
      <w:r>
        <w:rPr>
          <w:i/>
        </w:rPr>
        <w:t>–</w:t>
      </w:r>
      <w:r w:rsidRPr="00FC694D">
        <w:rPr>
          <w:i/>
        </w:rPr>
        <w:t>20</w:t>
      </w:r>
      <w:r>
        <w:rPr>
          <w:i/>
        </w:rPr>
        <w:t>20</w:t>
      </w:r>
      <w:r>
        <w:rPr>
          <w:iCs/>
        </w:rPr>
        <w:t xml:space="preserve">. Wellington: Ministry for the Environment. Retrieved from </w:t>
      </w:r>
      <w:hyperlink r:id="rId159" w:history="1">
        <w:r w:rsidR="004D0650">
          <w:rPr>
            <w:rStyle w:val="Hyperlink"/>
          </w:rPr>
          <w:t>environment.govt.nz/assets/publications/GhG-Inventory/New-Zealand-Greenhouse-Gas-Inventory-1990-2020-Chapters-1-15.pdf</w:t>
        </w:r>
      </w:hyperlink>
      <w:r>
        <w:rPr>
          <w:rStyle w:val="Hyperlink"/>
          <w:iCs/>
        </w:rPr>
        <w:t xml:space="preserve"> </w:t>
      </w:r>
      <w:r>
        <w:rPr>
          <w:iCs/>
        </w:rPr>
        <w:t>(26 July 2022).</w:t>
      </w:r>
    </w:p>
  </w:footnote>
  <w:footnote w:id="241">
    <w:p w14:paraId="45151FD0" w14:textId="72C566AF" w:rsidR="007C259A" w:rsidRPr="00D01C03" w:rsidRDefault="007C259A" w:rsidP="007C259A">
      <w:pPr>
        <w:pStyle w:val="FootnoteText"/>
      </w:pPr>
      <w:r>
        <w:rPr>
          <w:rStyle w:val="FootnoteReference"/>
        </w:rPr>
        <w:footnoteRef/>
      </w:r>
      <w:r>
        <w:t xml:space="preserve"> </w:t>
      </w:r>
      <w:r>
        <w:tab/>
      </w:r>
      <w:r w:rsidRPr="00D01C03">
        <w:t>Ministry for the Environment. 201</w:t>
      </w:r>
      <w:r>
        <w:t>9</w:t>
      </w:r>
      <w:r w:rsidRPr="00D01C03">
        <w:t xml:space="preserve">. </w:t>
      </w:r>
      <w:r w:rsidRPr="00D01C03">
        <w:rPr>
          <w:i/>
          <w:iCs/>
        </w:rPr>
        <w:t xml:space="preserve">New Zealand’s </w:t>
      </w:r>
      <w:r>
        <w:rPr>
          <w:i/>
          <w:iCs/>
        </w:rPr>
        <w:t>Fourth</w:t>
      </w:r>
      <w:r w:rsidRPr="00D01C03">
        <w:rPr>
          <w:i/>
          <w:iCs/>
        </w:rPr>
        <w:t xml:space="preserve"> Biennial Report Under the United Nations Framework Convention on Climate Change</w:t>
      </w:r>
      <w:r w:rsidRPr="00D01C03">
        <w:t>. Wellington: Ministry for the Environment. Retrieved from</w:t>
      </w:r>
      <w:r>
        <w:t> </w:t>
      </w:r>
      <w:hyperlink r:id="rId160" w:history="1">
        <w:r w:rsidR="004D0650">
          <w:rPr>
            <w:rStyle w:val="Hyperlink"/>
          </w:rPr>
          <w:t>environment.govt.nz/assets/Publications/Files/fourth-biennial-report.pdf</w:t>
        </w:r>
      </w:hyperlink>
      <w:r>
        <w:t xml:space="preserve"> </w:t>
      </w:r>
      <w:r w:rsidRPr="00F26E78">
        <w:rPr>
          <w:rStyle w:val="Hyperlink"/>
          <w:rFonts w:asciiTheme="minorHAnsi" w:hAnsiTheme="minorHAnsi" w:cstheme="minorHAnsi"/>
          <w:color w:val="000000" w:themeColor="text1"/>
        </w:rPr>
        <w:t>(</w:t>
      </w:r>
      <w:r>
        <w:rPr>
          <w:rStyle w:val="Hyperlink"/>
          <w:rFonts w:asciiTheme="minorHAnsi" w:hAnsiTheme="minorHAnsi" w:cstheme="minorHAnsi"/>
          <w:color w:val="000000" w:themeColor="text1"/>
        </w:rPr>
        <w:t>26 July 2020</w:t>
      </w:r>
      <w:r w:rsidRPr="00F26E78">
        <w:rPr>
          <w:rStyle w:val="Hyperlink"/>
          <w:rFonts w:asciiTheme="minorHAnsi" w:hAnsiTheme="minorHAnsi" w:cstheme="minorHAnsi"/>
          <w:color w:val="000000" w:themeColor="text1"/>
        </w:rPr>
        <w:t>)</w:t>
      </w:r>
      <w:r w:rsidRPr="00F26E78">
        <w:rPr>
          <w:color w:val="000000" w:themeColor="text1"/>
        </w:rPr>
        <w:t>.</w:t>
      </w:r>
    </w:p>
  </w:footnote>
  <w:footnote w:id="242">
    <w:p w14:paraId="56724B06" w14:textId="77777777" w:rsidR="007C259A" w:rsidRDefault="007C259A" w:rsidP="007C259A">
      <w:pPr>
        <w:pStyle w:val="FootnoteText"/>
      </w:pPr>
      <w:r>
        <w:rPr>
          <w:rStyle w:val="FootnoteReference"/>
        </w:rPr>
        <w:footnoteRef/>
      </w:r>
      <w:r>
        <w:t xml:space="preserve"> </w:t>
      </w:r>
      <w:r>
        <w:tab/>
        <w:t xml:space="preserve">New Zealand Government. 2020. </w:t>
      </w:r>
      <w:r w:rsidRPr="00D152E2">
        <w:rPr>
          <w:i/>
          <w:iCs/>
        </w:rPr>
        <w:t>National Policy Statement for Freshwater Management</w:t>
      </w:r>
      <w:r>
        <w:rPr>
          <w:i/>
          <w:iCs/>
        </w:rPr>
        <w:t xml:space="preserve"> 2020</w:t>
      </w:r>
      <w:r w:rsidRPr="00D152E2">
        <w:rPr>
          <w:i/>
          <w:iCs/>
        </w:rPr>
        <w:t>.</w:t>
      </w:r>
      <w:r>
        <w:t xml:space="preserve"> Wellington: New Zealand Government.</w:t>
      </w:r>
    </w:p>
  </w:footnote>
  <w:footnote w:id="243">
    <w:p w14:paraId="79B5048F" w14:textId="1D95086D" w:rsidR="007C259A" w:rsidRDefault="007C259A" w:rsidP="007C259A">
      <w:pPr>
        <w:pStyle w:val="FootnoteText"/>
      </w:pPr>
      <w:r>
        <w:rPr>
          <w:rStyle w:val="FootnoteReference"/>
        </w:rPr>
        <w:footnoteRef/>
      </w:r>
      <w:r>
        <w:t xml:space="preserve"> </w:t>
      </w:r>
      <w:r>
        <w:tab/>
        <w:t xml:space="preserve">Ministry for the Environment. 2020. </w:t>
      </w:r>
      <w:r w:rsidRPr="00FC694D">
        <w:rPr>
          <w:i/>
        </w:rPr>
        <w:t>New Zealand’s Greenhouse Gas Inventory 1990</w:t>
      </w:r>
      <w:r>
        <w:rPr>
          <w:i/>
        </w:rPr>
        <w:t>–</w:t>
      </w:r>
      <w:r w:rsidRPr="00FC694D">
        <w:rPr>
          <w:i/>
        </w:rPr>
        <w:t>201</w:t>
      </w:r>
      <w:r>
        <w:rPr>
          <w:i/>
        </w:rPr>
        <w:t>8</w:t>
      </w:r>
      <w:r>
        <w:rPr>
          <w:iCs/>
        </w:rPr>
        <w:t xml:space="preserve">. Wellington: Ministry for the Environment. Retrieved from </w:t>
      </w:r>
      <w:hyperlink r:id="rId161" w:history="1">
        <w:r w:rsidR="004D0650">
          <w:rPr>
            <w:rStyle w:val="Hyperlink"/>
          </w:rPr>
          <w:t xml:space="preserve">environment.govt.nz/assets/Publications/Files/ new-zealands-greenhouse-gas-inventory-1990-2018-vol-1.pdf </w:t>
        </w:r>
      </w:hyperlink>
      <w:r>
        <w:t xml:space="preserve">(22 November 2022). Ministry for the Environment. 2021. </w:t>
      </w:r>
      <w:r w:rsidRPr="00FC694D">
        <w:rPr>
          <w:i/>
        </w:rPr>
        <w:t>New Zealand’s Greenhouse Gas Inventory 1990</w:t>
      </w:r>
      <w:r>
        <w:rPr>
          <w:i/>
        </w:rPr>
        <w:t>–</w:t>
      </w:r>
      <w:r w:rsidRPr="00FC694D">
        <w:rPr>
          <w:i/>
        </w:rPr>
        <w:t>20</w:t>
      </w:r>
      <w:r>
        <w:rPr>
          <w:i/>
        </w:rPr>
        <w:t>19</w:t>
      </w:r>
      <w:r>
        <w:rPr>
          <w:iCs/>
        </w:rPr>
        <w:t xml:space="preserve">. Wellington: Ministry for the Environment. Retrieved from </w:t>
      </w:r>
      <w:hyperlink r:id="rId162" w:history="1">
        <w:r w:rsidR="004D0650">
          <w:rPr>
            <w:rStyle w:val="Hyperlink"/>
          </w:rPr>
          <w:t>environment.govt.nz/assets/Publications/New-Zealands-Greenhouse-Gas-Inventory-1990-2019-Volume-1-Chapters-1-15.pdf</w:t>
        </w:r>
      </w:hyperlink>
      <w:r>
        <w:t xml:space="preserve"> (22 November 2022). Ministry for the Environment. 2022. </w:t>
      </w:r>
      <w:r>
        <w:rPr>
          <w:i/>
          <w:iCs/>
        </w:rPr>
        <w:t>New Zealand’s Greenhouse Gas Inventory 1990</w:t>
      </w:r>
      <w:r>
        <w:rPr>
          <w:i/>
        </w:rPr>
        <w:t>–</w:t>
      </w:r>
      <w:r>
        <w:rPr>
          <w:i/>
          <w:iCs/>
        </w:rPr>
        <w:t>2020</w:t>
      </w:r>
      <w:r>
        <w:t xml:space="preserve">. Wellington: Ministry for the Environment. Retrieved from </w:t>
      </w:r>
      <w:hyperlink r:id="rId163" w:history="1">
        <w:r w:rsidR="004D0650">
          <w:rPr>
            <w:rStyle w:val="Hyperlink"/>
          </w:rPr>
          <w:t>environment.govt.nz/assets/publications/GhG-Inventory/New-Zealand-Greenhouse-Gas-Inventory-1990-2020-Chapters-1-15.pdf</w:t>
        </w:r>
      </w:hyperlink>
      <w:r>
        <w:t xml:space="preserve"> </w:t>
      </w:r>
      <w:r>
        <w:rPr>
          <w:iCs/>
        </w:rPr>
        <w:t>(26 July 2022).</w:t>
      </w:r>
    </w:p>
  </w:footnote>
  <w:footnote w:id="244">
    <w:p w14:paraId="307CEAEB" w14:textId="4800520D" w:rsidR="007C259A" w:rsidRPr="0037731F" w:rsidRDefault="007C259A" w:rsidP="007C259A">
      <w:pPr>
        <w:pStyle w:val="FootnoteText"/>
        <w:rPr>
          <w:rFonts w:cs="Calibri"/>
        </w:rPr>
      </w:pPr>
      <w:r>
        <w:rPr>
          <w:rStyle w:val="FootnoteReference"/>
        </w:rPr>
        <w:footnoteRef/>
      </w:r>
      <w:r>
        <w:t xml:space="preserve"> </w:t>
      </w:r>
      <w:r>
        <w:tab/>
      </w:r>
      <w:r w:rsidRPr="00D01C03">
        <w:t>Ministry for the Environment. 201</w:t>
      </w:r>
      <w:r>
        <w:t>9</w:t>
      </w:r>
      <w:r w:rsidRPr="00D01C03">
        <w:t xml:space="preserve">. </w:t>
      </w:r>
      <w:r w:rsidRPr="00D01C03">
        <w:rPr>
          <w:i/>
          <w:iCs/>
        </w:rPr>
        <w:t xml:space="preserve">New Zealand’s </w:t>
      </w:r>
      <w:r>
        <w:rPr>
          <w:i/>
          <w:iCs/>
        </w:rPr>
        <w:t>Fourth</w:t>
      </w:r>
      <w:r w:rsidRPr="00D01C03">
        <w:rPr>
          <w:i/>
          <w:iCs/>
        </w:rPr>
        <w:t xml:space="preserve"> Biennial Report Under the United Nations Framework Convention on Climate Change</w:t>
      </w:r>
      <w:r w:rsidRPr="00D01C03">
        <w:t>. Wellington: Ministry for the Environment. Retrieved from</w:t>
      </w:r>
      <w:r>
        <w:t> </w:t>
      </w:r>
      <w:hyperlink r:id="rId164" w:history="1">
        <w:r w:rsidR="004D0650">
          <w:rPr>
            <w:rStyle w:val="Hyperlink"/>
          </w:rPr>
          <w:t>environment.govt.nz/assets/Publications/Files/fourth-biennial-report.pdf</w:t>
        </w:r>
      </w:hyperlink>
      <w:r>
        <w:t xml:space="preserve"> </w:t>
      </w:r>
      <w:r w:rsidRPr="00F26E78">
        <w:rPr>
          <w:rStyle w:val="Hyperlink"/>
          <w:rFonts w:asciiTheme="minorHAnsi" w:hAnsiTheme="minorHAnsi" w:cstheme="minorHAnsi"/>
          <w:color w:val="000000" w:themeColor="text1"/>
        </w:rPr>
        <w:t>(</w:t>
      </w:r>
      <w:r>
        <w:rPr>
          <w:rStyle w:val="Hyperlink"/>
          <w:rFonts w:asciiTheme="minorHAnsi" w:hAnsiTheme="minorHAnsi" w:cstheme="minorHAnsi"/>
          <w:color w:val="000000" w:themeColor="text1"/>
        </w:rPr>
        <w:t>26</w:t>
      </w:r>
      <w:r w:rsidRPr="00F26E78">
        <w:rPr>
          <w:rStyle w:val="Hyperlink"/>
          <w:rFonts w:asciiTheme="minorHAnsi" w:hAnsiTheme="minorHAnsi" w:cstheme="minorHAnsi"/>
          <w:color w:val="000000" w:themeColor="text1"/>
        </w:rPr>
        <w:t xml:space="preserve"> </w:t>
      </w:r>
      <w:r>
        <w:rPr>
          <w:rStyle w:val="Hyperlink"/>
          <w:rFonts w:asciiTheme="minorHAnsi" w:hAnsiTheme="minorHAnsi" w:cstheme="minorHAnsi"/>
          <w:color w:val="000000" w:themeColor="text1"/>
        </w:rPr>
        <w:t>July</w:t>
      </w:r>
      <w:r w:rsidRPr="00F26E78">
        <w:rPr>
          <w:rStyle w:val="Hyperlink"/>
          <w:rFonts w:asciiTheme="minorHAnsi" w:hAnsiTheme="minorHAnsi" w:cstheme="minorHAnsi"/>
          <w:color w:val="000000" w:themeColor="text1"/>
        </w:rPr>
        <w:t xml:space="preserve"> 20</w:t>
      </w:r>
      <w:r>
        <w:rPr>
          <w:rStyle w:val="Hyperlink"/>
          <w:rFonts w:asciiTheme="minorHAnsi" w:hAnsiTheme="minorHAnsi" w:cstheme="minorHAnsi"/>
          <w:color w:val="000000" w:themeColor="text1"/>
        </w:rPr>
        <w:t>20</w:t>
      </w:r>
      <w:r w:rsidRPr="00F26E78">
        <w:rPr>
          <w:rStyle w:val="Hyperlink"/>
          <w:rFonts w:asciiTheme="minorHAnsi" w:hAnsiTheme="minorHAnsi" w:cstheme="minorHAnsi"/>
          <w:color w:val="000000" w:themeColor="text1"/>
        </w:rPr>
        <w:t>)</w:t>
      </w:r>
      <w:r w:rsidRPr="00F26E78">
        <w:rPr>
          <w:color w:val="000000" w:themeColor="text1"/>
        </w:rPr>
        <w:t>.</w:t>
      </w:r>
    </w:p>
  </w:footnote>
  <w:footnote w:id="245">
    <w:p w14:paraId="434D14B5" w14:textId="77777777" w:rsidR="007C259A" w:rsidRDefault="007C259A" w:rsidP="007C259A">
      <w:pPr>
        <w:pStyle w:val="FootnoteText"/>
      </w:pPr>
      <w:r>
        <w:rPr>
          <w:rStyle w:val="FootnoteReference"/>
        </w:rPr>
        <w:footnoteRef/>
      </w:r>
      <w:r>
        <w:t xml:space="preserve"> </w:t>
      </w:r>
      <w:r>
        <w:tab/>
      </w:r>
      <w:r w:rsidRPr="00D152E2">
        <w:t>Djanibekov U, Samarasinghe O, Greenhalgh S</w:t>
      </w:r>
      <w:r w:rsidRPr="00E618C6">
        <w:t>.</w:t>
      </w:r>
      <w:r>
        <w:t xml:space="preserve"> 2019. </w:t>
      </w:r>
      <w:r w:rsidRPr="00517EE3">
        <w:rPr>
          <w:i/>
          <w:iCs/>
        </w:rPr>
        <w:t>Modelling of Agricultural Climate Change Mitigation Policy Scenarios</w:t>
      </w:r>
      <w:r>
        <w:t xml:space="preserve">. Prepared for the Ministry for Primary Industries by Manaaki Whenua Landcare Research. Retrieved from </w:t>
      </w:r>
      <w:hyperlink r:id="rId165" w:history="1">
        <w:r w:rsidRPr="00310628">
          <w:rPr>
            <w:rStyle w:val="Hyperlink"/>
          </w:rPr>
          <w:t>www.mpi.govt.nz/dmsdocument/39095/direct</w:t>
        </w:r>
      </w:hyperlink>
      <w:r>
        <w:t xml:space="preserve"> (22 November 2022).</w:t>
      </w:r>
    </w:p>
  </w:footnote>
  <w:footnote w:id="246">
    <w:p w14:paraId="7F204DB3" w14:textId="77777777" w:rsidR="007C259A" w:rsidRDefault="007C259A" w:rsidP="001E144F">
      <w:pPr>
        <w:pStyle w:val="Footnote"/>
        <w:spacing w:after="40" w:line="220" w:lineRule="atLeast"/>
      </w:pPr>
      <w:r>
        <w:rPr>
          <w:rStyle w:val="FootnoteReference"/>
        </w:rPr>
        <w:footnoteRef/>
      </w:r>
      <w:r>
        <w:t xml:space="preserve"> </w:t>
      </w:r>
      <w:r>
        <w:tab/>
        <w:t xml:space="preserve">The term LULUCF is used to refer to the forestry and other land use categories of the ‘Agriculture, forestry and other land use’ chapter of: International Panel on Climate Change (IPCC). </w:t>
      </w:r>
      <w:r w:rsidRPr="00BE3C65">
        <w:t xml:space="preserve">2006. </w:t>
      </w:r>
      <w:r>
        <w:rPr>
          <w:rFonts w:eastAsia="Calibri" w:cs="Calibri"/>
          <w:szCs w:val="19"/>
        </w:rPr>
        <w:t>HS Eggleston, L Buendia, K Miwa, T Ngara, K Tanabe (eds).</w:t>
      </w:r>
      <w:r w:rsidRPr="00BE3C65">
        <w:rPr>
          <w:i/>
        </w:rPr>
        <w:t xml:space="preserve"> 2006 IPCC Guidelines for National Greenhouse Gas Inventories</w:t>
      </w:r>
      <w:r>
        <w:t>.</w:t>
      </w:r>
      <w:r w:rsidRPr="00BE3C65">
        <w:t xml:space="preserve"> Prepared by the National Greenhouse Gas Inventories Programme</w:t>
      </w:r>
      <w:r>
        <w:t xml:space="preserve"> for the IPCC.</w:t>
      </w:r>
      <w:r w:rsidRPr="00BE3C65">
        <w:t xml:space="preserve"> </w:t>
      </w:r>
      <w:r>
        <w:t xml:space="preserve">Hayama: </w:t>
      </w:r>
      <w:r>
        <w:rPr>
          <w:rFonts w:eastAsia="Calibri" w:cs="Calibri"/>
          <w:szCs w:val="19"/>
        </w:rPr>
        <w:t>Institute for Global Environmental Strategies</w:t>
      </w:r>
      <w:r w:rsidRPr="00BE3C65">
        <w:t xml:space="preserve">. </w:t>
      </w:r>
      <w:r w:rsidRPr="00CC636E">
        <w:t>Retrieved from</w:t>
      </w:r>
      <w:r>
        <w:t xml:space="preserve"> </w:t>
      </w:r>
      <w:hyperlink r:id="rId166" w:history="1">
        <w:r w:rsidRPr="00966FC4">
          <w:rPr>
            <w:rStyle w:val="Hyperlink"/>
            <w:rFonts w:asciiTheme="minorHAnsi" w:hAnsiTheme="minorHAnsi" w:cstheme="minorHAnsi"/>
          </w:rPr>
          <w:t>www.ipcc-nggip.iges.or.jp/public/2006gl/</w:t>
        </w:r>
      </w:hyperlink>
      <w:r>
        <w:rPr>
          <w:rStyle w:val="Hyperlink"/>
          <w:rFonts w:asciiTheme="minorHAnsi" w:hAnsiTheme="minorHAnsi" w:cstheme="minorHAnsi"/>
        </w:rPr>
        <w:t xml:space="preserve"> </w:t>
      </w:r>
      <w:r>
        <w:t xml:space="preserve">(22 November 2022). These are used for </w:t>
      </w:r>
      <w:r>
        <w:rPr>
          <w:i/>
        </w:rPr>
        <w:t>reporting</w:t>
      </w:r>
      <w:r>
        <w:t xml:space="preserve"> to the UNFCCC and are distinct from the </w:t>
      </w:r>
      <w:r>
        <w:rPr>
          <w:i/>
        </w:rPr>
        <w:t>accounting</w:t>
      </w:r>
      <w:r>
        <w:t xml:space="preserve"> guidelines used to determine forestry’s contribution towards meeting emissions reduction targets.</w:t>
      </w:r>
    </w:p>
  </w:footnote>
  <w:footnote w:id="247">
    <w:p w14:paraId="2B4F6B09" w14:textId="628F696A" w:rsidR="007C259A" w:rsidRDefault="007C259A" w:rsidP="001E144F">
      <w:pPr>
        <w:pStyle w:val="Footnote"/>
        <w:spacing w:after="40" w:line="220" w:lineRule="atLeast"/>
      </w:pPr>
      <w:r>
        <w:rPr>
          <w:rStyle w:val="FootnoteReference"/>
        </w:rPr>
        <w:footnoteRef/>
      </w:r>
      <w:r>
        <w:t xml:space="preserve"> </w:t>
      </w:r>
      <w:r>
        <w:tab/>
        <w:t>The area of planted forest is based on New Zealand greenhouse gas inventory gross stocked area standard, which includes forest tracks, skid sites and unstocked areas. For more detail, see</w:t>
      </w:r>
      <w:r w:rsidRPr="00EC5A56">
        <w:t xml:space="preserve"> </w:t>
      </w:r>
      <w:r w:rsidRPr="00102F15">
        <w:t>Ministry for</w:t>
      </w:r>
      <w:r>
        <w:t> </w:t>
      </w:r>
      <w:r w:rsidRPr="00102F15">
        <w:t xml:space="preserve">the Environment. 2022. </w:t>
      </w:r>
      <w:r w:rsidRPr="00102F15">
        <w:rPr>
          <w:i/>
        </w:rPr>
        <w:t>New Zealand’s Greenhouse Gas Inventory 1990–2020</w:t>
      </w:r>
      <w:r w:rsidRPr="00102F15">
        <w:rPr>
          <w:iCs/>
        </w:rPr>
        <w:t>.</w:t>
      </w:r>
      <w:r w:rsidRPr="00102F15">
        <w:t xml:space="preserve"> Wellington: Ministry for</w:t>
      </w:r>
      <w:r>
        <w:t> </w:t>
      </w:r>
      <w:r w:rsidRPr="00102F15">
        <w:t>the Environment</w:t>
      </w:r>
      <w:r>
        <w:t>, section 6.4</w:t>
      </w:r>
      <w:r w:rsidRPr="00102F15">
        <w:t xml:space="preserve">. </w:t>
      </w:r>
      <w:r w:rsidRPr="00102F15">
        <w:rPr>
          <w:iCs/>
        </w:rPr>
        <w:t xml:space="preserve">Retrieved from </w:t>
      </w:r>
      <w:hyperlink r:id="rId167" w:history="1">
        <w:r w:rsidR="004D0650">
          <w:rPr>
            <w:rStyle w:val="Hyperlink"/>
          </w:rPr>
          <w:t>environment.govt.nz/assets/publications/GhG-Inventory/New-Zealand-Greenhouse-Gas-Inventory-1990-2020-Chapters-1-15.pdf</w:t>
        </w:r>
      </w:hyperlink>
      <w:r w:rsidRPr="00102F15">
        <w:t xml:space="preserve"> </w:t>
      </w:r>
      <w:r w:rsidRPr="00102F15">
        <w:rPr>
          <w:iCs/>
        </w:rPr>
        <w:t>(26 July 2022)</w:t>
      </w:r>
      <w:r>
        <w:t>.</w:t>
      </w:r>
    </w:p>
  </w:footnote>
  <w:footnote w:id="248">
    <w:p w14:paraId="20CA0A05" w14:textId="69B38E60" w:rsidR="007C259A" w:rsidRDefault="007C259A" w:rsidP="001E144F">
      <w:pPr>
        <w:pStyle w:val="Footnote"/>
        <w:spacing w:after="40" w:line="220" w:lineRule="atLeast"/>
      </w:pPr>
      <w:r w:rsidRPr="004B16EA">
        <w:rPr>
          <w:rStyle w:val="FootnoteReference"/>
        </w:rPr>
        <w:footnoteRef/>
      </w:r>
      <w:r w:rsidRPr="004B16EA">
        <w:t xml:space="preserve"> </w:t>
      </w:r>
      <w:r w:rsidRPr="004B16EA">
        <w:tab/>
      </w:r>
      <w:r w:rsidRPr="00102F15">
        <w:t xml:space="preserve">Ministry for the Environment. 2022. </w:t>
      </w:r>
      <w:r w:rsidRPr="00102F15">
        <w:rPr>
          <w:i/>
        </w:rPr>
        <w:t>New Zealand’s Greenhouse Gas Inventory 1990–2020</w:t>
      </w:r>
      <w:r w:rsidRPr="00102F15">
        <w:rPr>
          <w:iCs/>
        </w:rPr>
        <w:t>.</w:t>
      </w:r>
      <w:r w:rsidRPr="00102F15">
        <w:t xml:space="preserve"> Wellington: Ministry for the Environment</w:t>
      </w:r>
      <w:r>
        <w:t>, section 6.1</w:t>
      </w:r>
      <w:r w:rsidRPr="00102F15">
        <w:t xml:space="preserve">. </w:t>
      </w:r>
      <w:r w:rsidRPr="00102F15">
        <w:rPr>
          <w:iCs/>
        </w:rPr>
        <w:t xml:space="preserve">Retrieved from </w:t>
      </w:r>
      <w:hyperlink r:id="rId168" w:history="1">
        <w:r w:rsidR="004D0650">
          <w:rPr>
            <w:rStyle w:val="Hyperlink"/>
          </w:rPr>
          <w:t>environment.govt.nz/assets/ publications/GhG-Inventory/New-Zealand-Greenhouse-Gas-Inventory-1990-2020-Chapters-1-15.pdf</w:t>
        </w:r>
      </w:hyperlink>
      <w:r w:rsidRPr="00102F15">
        <w:t xml:space="preserve"> </w:t>
      </w:r>
      <w:r w:rsidRPr="00102F15">
        <w:rPr>
          <w:iCs/>
        </w:rPr>
        <w:t>(26</w:t>
      </w:r>
      <w:r>
        <w:rPr>
          <w:iCs/>
        </w:rPr>
        <w:t> </w:t>
      </w:r>
      <w:r w:rsidRPr="00102F15">
        <w:rPr>
          <w:iCs/>
        </w:rPr>
        <w:t>July 2022)</w:t>
      </w:r>
      <w:r w:rsidRPr="004B16EA">
        <w:rPr>
          <w:iCs/>
        </w:rPr>
        <w:t>.</w:t>
      </w:r>
    </w:p>
  </w:footnote>
  <w:footnote w:id="249">
    <w:p w14:paraId="01EF1BD1" w14:textId="23C95E0A" w:rsidR="007C259A" w:rsidRPr="00A220BB" w:rsidRDefault="007C259A" w:rsidP="007C259A">
      <w:pPr>
        <w:pStyle w:val="FootnoteText"/>
      </w:pPr>
      <w:r>
        <w:rPr>
          <w:rStyle w:val="FootnoteReference"/>
        </w:rPr>
        <w:footnoteRef/>
      </w:r>
      <w:r>
        <w:t xml:space="preserve"> </w:t>
      </w:r>
      <w:r>
        <w:tab/>
        <w:t xml:space="preserve">Ministry for the Environment. 2022. </w:t>
      </w:r>
      <w:r w:rsidRPr="41EA561C">
        <w:rPr>
          <w:i/>
          <w:iCs/>
        </w:rPr>
        <w:t>New Zealand’s Greenhouse Gas Inventory 1990–2020</w:t>
      </w:r>
      <w:r w:rsidRPr="41EA561C">
        <w:t xml:space="preserve">. Wellington: Ministry for the Environment. Retrieved from </w:t>
      </w:r>
      <w:hyperlink r:id="rId169" w:history="1">
        <w:r w:rsidR="004D0650">
          <w:rPr>
            <w:rStyle w:val="Hyperlink"/>
          </w:rPr>
          <w:t>environment.govt.nz/publications/new-zealands-greenhouse-gas-inventory-1990-2020</w:t>
        </w:r>
      </w:hyperlink>
      <w:r w:rsidRPr="41EA561C">
        <w:t xml:space="preserve"> </w:t>
      </w:r>
      <w:r w:rsidRPr="41EA561C">
        <w:rPr>
          <w:color w:val="000000" w:themeColor="text1"/>
        </w:rPr>
        <w:t>(18 Aug</w:t>
      </w:r>
      <w:r>
        <w:rPr>
          <w:color w:val="000000" w:themeColor="text1"/>
        </w:rPr>
        <w:t>ust</w:t>
      </w:r>
      <w:r w:rsidRPr="41EA561C">
        <w:rPr>
          <w:color w:val="000000" w:themeColor="text1"/>
        </w:rPr>
        <w:t xml:space="preserve"> 2022).</w:t>
      </w:r>
    </w:p>
  </w:footnote>
  <w:footnote w:id="250">
    <w:p w14:paraId="4D0AC4AB" w14:textId="62F2A9F8" w:rsidR="007C259A" w:rsidRPr="005B7A0A" w:rsidRDefault="007C259A" w:rsidP="007C259A">
      <w:pPr>
        <w:pStyle w:val="FootnoteText"/>
        <w:rPr>
          <w:szCs w:val="19"/>
        </w:rPr>
      </w:pPr>
      <w:r w:rsidRPr="005B7A0A">
        <w:rPr>
          <w:rStyle w:val="FootnoteReference"/>
          <w:szCs w:val="19"/>
        </w:rPr>
        <w:footnoteRef/>
      </w:r>
      <w:r w:rsidRPr="003476AE">
        <w:rPr>
          <w:szCs w:val="19"/>
        </w:rPr>
        <w:t xml:space="preserve"> </w:t>
      </w:r>
      <w:r w:rsidRPr="003476AE">
        <w:rPr>
          <w:szCs w:val="19"/>
        </w:rPr>
        <w:tab/>
      </w:r>
      <w:r w:rsidRPr="004812EA">
        <w:rPr>
          <w:rFonts w:cs="Calibri"/>
          <w:szCs w:val="19"/>
        </w:rPr>
        <w:t>Carbon stocks in tall pre-1990 natural forest have previously been reported as being in steady state because the annual net change is not statistically significant (</w:t>
      </w:r>
      <w:r w:rsidRPr="004812EA">
        <w:rPr>
          <w:rFonts w:eastAsia="Calibri" w:cs="Calibri"/>
          <w:szCs w:val="19"/>
        </w:rPr>
        <w:t>Paul T, Kimberley MO, Beets PN. 2021. Natural forests in New Zealand – a large terrestrial carbon pool in a national state of equilibrium. </w:t>
      </w:r>
      <w:r w:rsidRPr="004812EA">
        <w:rPr>
          <w:rFonts w:cs="Calibri"/>
          <w:szCs w:val="19"/>
        </w:rPr>
        <w:t>Forest Ecosystems</w:t>
      </w:r>
      <w:r w:rsidRPr="004812EA">
        <w:rPr>
          <w:rFonts w:eastAsia="Calibri" w:cs="Calibri"/>
          <w:szCs w:val="19"/>
        </w:rPr>
        <w:t xml:space="preserve"> 8(34). URL: </w:t>
      </w:r>
      <w:hyperlink r:id="rId170" w:history="1">
        <w:r w:rsidR="00F8160A">
          <w:rPr>
            <w:rStyle w:val="Hyperlink"/>
          </w:rPr>
          <w:t>link.springer.com/article/10.1186/s40663-021-00312-0</w:t>
        </w:r>
      </w:hyperlink>
      <w:r w:rsidRPr="004812EA">
        <w:rPr>
          <w:rFonts w:cs="Calibri"/>
          <w:szCs w:val="19"/>
        </w:rPr>
        <w:t>). New Zealand received a recommendation from the expert review team (L.18, U</w:t>
      </w:r>
      <w:r w:rsidRPr="004812EA">
        <w:rPr>
          <w:rFonts w:cs="Calibri"/>
          <w:color w:val="333333"/>
          <w:szCs w:val="19"/>
        </w:rPr>
        <w:t>NFCCC. 2020. FCCC/ARR/2019/NZL. Report on the individual review of the annual submission of New Zealand submitted in 2019. In-country Review. URL:</w:t>
      </w:r>
      <w:r>
        <w:rPr>
          <w:rFonts w:cs="Calibri"/>
          <w:color w:val="333333"/>
          <w:szCs w:val="19"/>
        </w:rPr>
        <w:t xml:space="preserve"> </w:t>
      </w:r>
      <w:hyperlink r:id="rId171" w:history="1">
        <w:r w:rsidR="00F8160A">
          <w:rPr>
            <w:rStyle w:val="Hyperlink"/>
            <w:rFonts w:cs="Calibri"/>
            <w:szCs w:val="19"/>
          </w:rPr>
          <w:t>unfccc.int/sites/default/files/resource/NewZealand_complete.pdf</w:t>
        </w:r>
      </w:hyperlink>
      <w:r w:rsidRPr="004812EA">
        <w:rPr>
          <w:rFonts w:cs="Calibri"/>
          <w:szCs w:val="19"/>
        </w:rPr>
        <w:t>) to review this position and to report the losses and associated uncertainty occurring in this forest class regardless of the statistical significance. Therefore, the pre-1990 natural forest carbon stock change per hectare</w:t>
      </w:r>
      <w:r w:rsidRPr="005B7A0A">
        <w:rPr>
          <w:rFonts w:cs="Arial Bold"/>
          <w:szCs w:val="19"/>
        </w:rPr>
        <w:t xml:space="preserve"> estimate has been revised for the</w:t>
      </w:r>
      <w:r>
        <w:rPr>
          <w:rFonts w:cs="Arial Bold"/>
          <w:szCs w:val="19"/>
        </w:rPr>
        <w:t> </w:t>
      </w:r>
      <w:r w:rsidRPr="005B7A0A">
        <w:rPr>
          <w:rFonts w:cs="Arial Bold"/>
          <w:szCs w:val="19"/>
        </w:rPr>
        <w:t>2022 submission to report carbon stock changes occurring in the tall forest category.</w:t>
      </w:r>
    </w:p>
  </w:footnote>
  <w:footnote w:id="251">
    <w:p w14:paraId="3127A040" w14:textId="64FF2A98" w:rsidR="007C259A" w:rsidRPr="00FA2505" w:rsidDel="00DD372C" w:rsidRDefault="007C259A" w:rsidP="00E77A38">
      <w:pPr>
        <w:pStyle w:val="FootnoteText"/>
        <w:spacing w:line="220" w:lineRule="atLeast"/>
      </w:pPr>
      <w:r w:rsidRPr="00D54394" w:rsidDel="00DD372C">
        <w:rPr>
          <w:rStyle w:val="FootnoteReference"/>
        </w:rPr>
        <w:footnoteRef/>
      </w:r>
      <w:r w:rsidRPr="00D54394" w:rsidDel="00DD372C">
        <w:t xml:space="preserve"> </w:t>
      </w:r>
      <w:r w:rsidRPr="00D54394" w:rsidDel="00DD372C">
        <w:tab/>
      </w:r>
      <w:r w:rsidRPr="006E5400" w:rsidDel="00DD372C">
        <w:t xml:space="preserve">Ministry for the Environment. 2022. </w:t>
      </w:r>
      <w:r w:rsidRPr="006E5400" w:rsidDel="00DD372C">
        <w:rPr>
          <w:i/>
        </w:rPr>
        <w:t>New Zealand’s Greenhouse Gas Inventory 1990–2020</w:t>
      </w:r>
      <w:r w:rsidRPr="006E5400" w:rsidDel="00DD372C">
        <w:rPr>
          <w:iCs/>
        </w:rPr>
        <w:t>.</w:t>
      </w:r>
      <w:r w:rsidRPr="006E5400" w:rsidDel="00DD372C">
        <w:t xml:space="preserve"> </w:t>
      </w:r>
      <w:r w:rsidRPr="003476AE" w:rsidDel="00DD372C">
        <w:rPr>
          <w:rFonts w:cs="Arial Bold"/>
          <w:szCs w:val="19"/>
        </w:rPr>
        <w:t>Wellington</w:t>
      </w:r>
      <w:r w:rsidRPr="006E5400" w:rsidDel="00DD372C">
        <w:t>: Ministry for the Environment</w:t>
      </w:r>
      <w:r>
        <w:t>, section 6.3</w:t>
      </w:r>
      <w:r w:rsidRPr="006E5400" w:rsidDel="00DD372C">
        <w:t xml:space="preserve">. </w:t>
      </w:r>
      <w:r w:rsidRPr="006E5400" w:rsidDel="00DD372C">
        <w:rPr>
          <w:iCs/>
        </w:rPr>
        <w:t xml:space="preserve">Retrieved from </w:t>
      </w:r>
      <w:hyperlink r:id="rId172" w:history="1">
        <w:r w:rsidR="00F8160A">
          <w:rPr>
            <w:rStyle w:val="Hyperlink"/>
          </w:rPr>
          <w:t>environment.govt.nz/assets/ publications/GhG-Inventory/New-Zealand-Greenhouse-Gas-Inventory-1990-2020-Chapters-1-15.pdf</w:t>
        </w:r>
      </w:hyperlink>
      <w:r w:rsidRPr="00FA2505" w:rsidDel="00DD372C">
        <w:t xml:space="preserve"> </w:t>
      </w:r>
      <w:r w:rsidRPr="00FA2505" w:rsidDel="00DD372C">
        <w:rPr>
          <w:iCs/>
        </w:rPr>
        <w:t>(26</w:t>
      </w:r>
      <w:r>
        <w:rPr>
          <w:iCs/>
        </w:rPr>
        <w:t> </w:t>
      </w:r>
      <w:r w:rsidRPr="00FA2505" w:rsidDel="00DD372C">
        <w:rPr>
          <w:iCs/>
        </w:rPr>
        <w:t>July 2022).</w:t>
      </w:r>
    </w:p>
  </w:footnote>
  <w:footnote w:id="252">
    <w:p w14:paraId="583B96B5" w14:textId="77777777" w:rsidR="007C259A" w:rsidRPr="00FA2505" w:rsidRDefault="007C259A" w:rsidP="00E77A38">
      <w:pPr>
        <w:pStyle w:val="FootnoteText"/>
        <w:spacing w:line="220" w:lineRule="atLeast"/>
      </w:pPr>
      <w:r w:rsidRPr="00FA2505">
        <w:rPr>
          <w:rStyle w:val="FootnoteReference"/>
          <w:color w:val="auto"/>
        </w:rPr>
        <w:footnoteRef/>
      </w:r>
      <w:r w:rsidRPr="00FA2505">
        <w:t xml:space="preserve"> </w:t>
      </w:r>
      <w:r w:rsidRPr="00FA2505">
        <w:tab/>
      </w:r>
      <w:r>
        <w:t xml:space="preserve">Ministry for Primary Industries. 2021. </w:t>
      </w:r>
      <w:r w:rsidRPr="54FF7AB5">
        <w:rPr>
          <w:i/>
          <w:iCs/>
        </w:rPr>
        <w:t>Wood Availability Forecast – New Zealand 2021 to 2060</w:t>
      </w:r>
      <w:r>
        <w:rPr>
          <w:i/>
          <w:iCs/>
        </w:rPr>
        <w:t xml:space="preserve">. </w:t>
      </w:r>
      <w:r>
        <w:t xml:space="preserve">Wellington: Ministry for Primary Industries. URL: </w:t>
      </w:r>
      <w:hyperlink r:id="rId173" w:history="1">
        <w:r w:rsidRPr="002B70A7">
          <w:rPr>
            <w:rStyle w:val="Hyperlink"/>
          </w:rPr>
          <w:t>www.mpi.govt.nz/dmsdocument/47671-Wood-Availability-Forecast-New-Zealand-2021-to-2060</w:t>
        </w:r>
      </w:hyperlink>
      <w:r>
        <w:t xml:space="preserve"> (22 November 2022).</w:t>
      </w:r>
    </w:p>
  </w:footnote>
  <w:footnote w:id="253">
    <w:p w14:paraId="01118755" w14:textId="7616B1EA" w:rsidR="007C259A" w:rsidRPr="00CC636E" w:rsidRDefault="007C259A" w:rsidP="00E77A38">
      <w:pPr>
        <w:pStyle w:val="FootnoteText"/>
        <w:spacing w:line="220" w:lineRule="atLeast"/>
      </w:pPr>
      <w:r w:rsidRPr="00FA2505">
        <w:rPr>
          <w:rStyle w:val="FootnoteReference"/>
          <w:color w:val="auto"/>
        </w:rPr>
        <w:footnoteRef/>
      </w:r>
      <w:r w:rsidRPr="00FA2505">
        <w:t xml:space="preserve"> </w:t>
      </w:r>
      <w:r w:rsidRPr="00FA2505">
        <w:tab/>
        <w:t xml:space="preserve">Consistent with the 2020 </w:t>
      </w:r>
      <w:r w:rsidRPr="00FA2505">
        <w:rPr>
          <w:i/>
        </w:rPr>
        <w:t>Greenhouse Gas Inventory</w:t>
      </w:r>
      <w:r w:rsidRPr="00FA2505">
        <w:t xml:space="preserve"> (section 6.3)</w:t>
      </w:r>
      <w:r>
        <w:t>,</w:t>
      </w:r>
      <w:r w:rsidRPr="00FA2505">
        <w:t xml:space="preserve"> any harvesting that occurs in natural forests </w:t>
      </w:r>
      <w:r w:rsidRPr="003476AE">
        <w:rPr>
          <w:rFonts w:cs="Arial Bold"/>
          <w:szCs w:val="19"/>
        </w:rPr>
        <w:t>is</w:t>
      </w:r>
      <w:r w:rsidRPr="00FA2505">
        <w:t xml:space="preserve"> captured within the natural forest carbon stock and stock change estimates. Ministry for the Envir</w:t>
      </w:r>
      <w:r w:rsidRPr="004A7C2D">
        <w:t>onment</w:t>
      </w:r>
      <w:r w:rsidRPr="006E5400">
        <w:t xml:space="preserve">. 2022. </w:t>
      </w:r>
      <w:r w:rsidRPr="006E5400">
        <w:rPr>
          <w:i/>
        </w:rPr>
        <w:t>New Zealand’s Greenhouse Gas Inventory 1990–2020</w:t>
      </w:r>
      <w:r w:rsidRPr="006E5400">
        <w:rPr>
          <w:iCs/>
        </w:rPr>
        <w:t>.</w:t>
      </w:r>
      <w:r w:rsidRPr="006E5400">
        <w:t xml:space="preserve"> Wellington: Ministry for the</w:t>
      </w:r>
      <w:r w:rsidRPr="006E5400">
        <w:rPr>
          <w:iCs/>
        </w:rPr>
        <w:t xml:space="preserve"> Environment. Retrieved from </w:t>
      </w:r>
      <w:hyperlink r:id="rId174" w:history="1">
        <w:r w:rsidR="00F8160A">
          <w:rPr>
            <w:rStyle w:val="Hyperlink"/>
          </w:rPr>
          <w:t>environment.govt.nz/assets/publications/GhG-Inventory/New-Zealand-Greenhouse-Gas-Inventory-1990-2020-Chapters-1-15.pdf</w:t>
        </w:r>
      </w:hyperlink>
      <w:r w:rsidRPr="006E5400">
        <w:t xml:space="preserve"> </w:t>
      </w:r>
      <w:r w:rsidRPr="006E5400">
        <w:rPr>
          <w:iCs/>
        </w:rPr>
        <w:t>(26 July 2022).</w:t>
      </w:r>
    </w:p>
  </w:footnote>
  <w:footnote w:id="254">
    <w:p w14:paraId="188178BC" w14:textId="77777777" w:rsidR="007C259A" w:rsidRPr="00C553D6" w:rsidRDefault="007C259A" w:rsidP="00E77A38">
      <w:pPr>
        <w:pStyle w:val="FootnoteText"/>
        <w:spacing w:line="220" w:lineRule="atLeast"/>
        <w:rPr>
          <w:rFonts w:asciiTheme="minorHAnsi" w:hAnsiTheme="minorHAnsi" w:cstheme="minorHAnsi"/>
          <w:sz w:val="18"/>
          <w:szCs w:val="18"/>
          <w:highlight w:val="yellow"/>
        </w:rPr>
      </w:pPr>
      <w:r w:rsidRPr="0001533E">
        <w:rPr>
          <w:rStyle w:val="FootnoteReference"/>
        </w:rPr>
        <w:footnoteRef/>
      </w:r>
      <w:r w:rsidRPr="0001533E">
        <w:rPr>
          <w:rFonts w:asciiTheme="minorHAnsi" w:hAnsiTheme="minorHAnsi" w:cstheme="minorHAnsi"/>
          <w:sz w:val="18"/>
          <w:szCs w:val="18"/>
        </w:rPr>
        <w:t xml:space="preserve"> </w:t>
      </w:r>
      <w:r w:rsidRPr="0001533E">
        <w:rPr>
          <w:rFonts w:asciiTheme="minorHAnsi" w:hAnsiTheme="minorHAnsi" w:cstheme="minorHAnsi"/>
          <w:sz w:val="18"/>
          <w:szCs w:val="18"/>
        </w:rPr>
        <w:tab/>
      </w:r>
      <w:r w:rsidRPr="0001533E">
        <w:t>Manley B. 2021.</w:t>
      </w:r>
      <w:r w:rsidRPr="00D152E2">
        <w:rPr>
          <w:i/>
        </w:rPr>
        <w:t xml:space="preserve"> Afforestation and </w:t>
      </w:r>
      <w:r w:rsidRPr="0001533E">
        <w:rPr>
          <w:i/>
        </w:rPr>
        <w:t xml:space="preserve">Deforestation Intentions Survey 2021: Final </w:t>
      </w:r>
      <w:r>
        <w:rPr>
          <w:i/>
        </w:rPr>
        <w:t>r</w:t>
      </w:r>
      <w:r w:rsidRPr="0001533E">
        <w:rPr>
          <w:i/>
        </w:rPr>
        <w:t>eport</w:t>
      </w:r>
      <w:r w:rsidRPr="0001533E">
        <w:t>. Prepared for the Ministry for Primary Industries by Professor B Manley</w:t>
      </w:r>
      <w:r>
        <w:t>, School of Forestry, University of Canterbury</w:t>
      </w:r>
      <w:r w:rsidRPr="0001533E">
        <w:t>. Wellington: Ministry for Primary Industries. Retrieved from</w:t>
      </w:r>
      <w:r w:rsidRPr="0054081A">
        <w:t xml:space="preserve"> </w:t>
      </w:r>
      <w:hyperlink r:id="rId175" w:history="1">
        <w:r w:rsidRPr="000E60DE">
          <w:rPr>
            <w:rStyle w:val="Hyperlink"/>
          </w:rPr>
          <w:t>www.mpi.govt.nz/dmsdocument/52405-Afforestation-and-Deforestation-Intentions-Survey-2021</w:t>
        </w:r>
      </w:hyperlink>
      <w:r>
        <w:t xml:space="preserve"> (22 November 2022).</w:t>
      </w:r>
    </w:p>
  </w:footnote>
  <w:footnote w:id="255">
    <w:p w14:paraId="3A018842" w14:textId="77777777" w:rsidR="007C259A" w:rsidRPr="0001533E" w:rsidRDefault="007C259A" w:rsidP="007C259A">
      <w:pPr>
        <w:pStyle w:val="FootnoteText"/>
        <w:spacing w:line="230" w:lineRule="atLeast"/>
        <w:rPr>
          <w:rFonts w:asciiTheme="minorHAnsi" w:hAnsiTheme="minorHAnsi"/>
          <w:sz w:val="20"/>
          <w:szCs w:val="20"/>
        </w:rPr>
      </w:pPr>
      <w:r w:rsidRPr="0001533E">
        <w:rPr>
          <w:rStyle w:val="FootnoteReference"/>
        </w:rPr>
        <w:footnoteRef/>
      </w:r>
      <w:r w:rsidRPr="0001533E">
        <w:rPr>
          <w:rFonts w:asciiTheme="minorHAnsi" w:hAnsiTheme="minorHAnsi" w:cstheme="minorHAnsi"/>
          <w:sz w:val="18"/>
          <w:szCs w:val="18"/>
        </w:rPr>
        <w:t xml:space="preserve"> </w:t>
      </w:r>
      <w:r w:rsidRPr="0001533E">
        <w:rPr>
          <w:rFonts w:asciiTheme="minorHAnsi" w:hAnsiTheme="minorHAnsi" w:cstheme="minorHAnsi"/>
          <w:sz w:val="18"/>
          <w:szCs w:val="18"/>
        </w:rPr>
        <w:tab/>
      </w:r>
      <w:r>
        <w:t>Ibid.</w:t>
      </w:r>
    </w:p>
  </w:footnote>
  <w:footnote w:id="256">
    <w:p w14:paraId="67D527A6" w14:textId="0D774A09" w:rsidR="007C259A" w:rsidRDefault="007C259A" w:rsidP="009849E8">
      <w:pPr>
        <w:pStyle w:val="Footnote"/>
        <w:spacing w:line="230" w:lineRule="atLeast"/>
        <w:ind w:left="340" w:hanging="340"/>
      </w:pPr>
      <w:r w:rsidRPr="0001533E">
        <w:rPr>
          <w:rStyle w:val="FootnoteReference"/>
        </w:rPr>
        <w:footnoteRef/>
      </w:r>
      <w:r w:rsidRPr="0001533E">
        <w:t xml:space="preserve"> </w:t>
      </w:r>
      <w:r w:rsidRPr="0001533E">
        <w:tab/>
      </w:r>
      <w:r w:rsidRPr="002E3F76">
        <w:t xml:space="preserve">Ministry for the </w:t>
      </w:r>
      <w:r w:rsidRPr="00AA1A72">
        <w:rPr>
          <w:rStyle w:val="Hyperlink"/>
        </w:rPr>
        <w:t>Environment</w:t>
      </w:r>
      <w:r w:rsidRPr="002E3F76">
        <w:t xml:space="preserve">. 2022. </w:t>
      </w:r>
      <w:r w:rsidRPr="002E3F76">
        <w:rPr>
          <w:i/>
        </w:rPr>
        <w:t>New Zealand’s Greenhouse Gas Inventory 1990–2020</w:t>
      </w:r>
      <w:r w:rsidRPr="002E3F76">
        <w:rPr>
          <w:iCs/>
        </w:rPr>
        <w:t>. Wellington: Ministry for the Environment</w:t>
      </w:r>
      <w:r>
        <w:rPr>
          <w:iCs/>
        </w:rPr>
        <w:t>, table 6.3.7</w:t>
      </w:r>
      <w:r w:rsidRPr="002E3F76">
        <w:rPr>
          <w:iCs/>
        </w:rPr>
        <w:t xml:space="preserve">. Retrieved from </w:t>
      </w:r>
      <w:hyperlink r:id="rId176" w:history="1">
        <w:r w:rsidR="00F8160A">
          <w:rPr>
            <w:rStyle w:val="Hyperlink"/>
          </w:rPr>
          <w:t>environment.govt.nz/assets/ publications/GhG-Inventory/New-Zealand-Greenhouse-Gas-Inventory-1990-2020-Chapters-1-15.pdf</w:t>
        </w:r>
      </w:hyperlink>
      <w:r w:rsidRPr="002E3F76">
        <w:t xml:space="preserve"> </w:t>
      </w:r>
      <w:r w:rsidRPr="002E3F76">
        <w:rPr>
          <w:iCs/>
        </w:rPr>
        <w:t>(26</w:t>
      </w:r>
      <w:r>
        <w:rPr>
          <w:iCs/>
        </w:rPr>
        <w:t> </w:t>
      </w:r>
      <w:r w:rsidRPr="002E3F76">
        <w:rPr>
          <w:iCs/>
        </w:rPr>
        <w:t>July 2022).</w:t>
      </w:r>
    </w:p>
  </w:footnote>
  <w:footnote w:id="257">
    <w:p w14:paraId="775F0163" w14:textId="77777777" w:rsidR="007C259A" w:rsidRDefault="007C259A" w:rsidP="007C259A">
      <w:pPr>
        <w:pStyle w:val="Footnote"/>
        <w:spacing w:after="40" w:line="230" w:lineRule="atLeast"/>
      </w:pPr>
      <w:r>
        <w:rPr>
          <w:rStyle w:val="FootnoteReference"/>
        </w:rPr>
        <w:footnoteRef/>
      </w:r>
      <w:r>
        <w:t xml:space="preserve"> </w:t>
      </w:r>
      <w:r>
        <w:tab/>
      </w:r>
      <w:r w:rsidRPr="0020318B">
        <w:t xml:space="preserve">Manley B. 2021. </w:t>
      </w:r>
      <w:r w:rsidRPr="008E2498">
        <w:rPr>
          <w:i/>
        </w:rPr>
        <w:t xml:space="preserve">Afforestation and </w:t>
      </w:r>
      <w:r w:rsidRPr="0020318B">
        <w:rPr>
          <w:i/>
        </w:rPr>
        <w:t xml:space="preserve">Deforestation Intentions Survey </w:t>
      </w:r>
      <w:r w:rsidRPr="0020318B">
        <w:rPr>
          <w:i/>
          <w:iCs/>
        </w:rPr>
        <w:t>2021</w:t>
      </w:r>
      <w:r w:rsidRPr="0020318B">
        <w:rPr>
          <w:i/>
        </w:rPr>
        <w:t xml:space="preserve">: Final </w:t>
      </w:r>
      <w:r>
        <w:rPr>
          <w:i/>
        </w:rPr>
        <w:t>r</w:t>
      </w:r>
      <w:r w:rsidRPr="0020318B">
        <w:rPr>
          <w:i/>
        </w:rPr>
        <w:t>eport</w:t>
      </w:r>
      <w:r w:rsidRPr="0020318B">
        <w:t>. Prepared for the Ministry for Primary Industries by Professor B Manley</w:t>
      </w:r>
      <w:r>
        <w:t>, School of Forestry, University of Canterbury</w:t>
      </w:r>
      <w:r w:rsidRPr="0020318B">
        <w:t xml:space="preserve">. Wellington: Ministry for Primary Industries. Retrieved from </w:t>
      </w:r>
      <w:hyperlink r:id="rId177" w:history="1">
        <w:r w:rsidRPr="00FD3061">
          <w:rPr>
            <w:rStyle w:val="Hyperlink"/>
          </w:rPr>
          <w:t>www.mpi.govt.nz/dmsdocument/52405-Afforestation-and-Deforestation-Intentions-Survey-2021</w:t>
        </w:r>
      </w:hyperlink>
      <w:r>
        <w:t xml:space="preserve"> (22 November 2022).</w:t>
      </w:r>
    </w:p>
  </w:footnote>
  <w:footnote w:id="258">
    <w:p w14:paraId="12C53D5C" w14:textId="77777777" w:rsidR="007C259A" w:rsidRDefault="007C259A" w:rsidP="007C259A">
      <w:pPr>
        <w:pStyle w:val="FootnoteText"/>
        <w:spacing w:after="40" w:line="230" w:lineRule="atLeast"/>
      </w:pPr>
      <w:r>
        <w:rPr>
          <w:rStyle w:val="FootnoteReference"/>
        </w:rPr>
        <w:footnoteRef/>
      </w:r>
      <w:r>
        <w:t xml:space="preserve"> </w:t>
      </w:r>
      <w:r>
        <w:tab/>
        <w:t xml:space="preserve">Manley B. 2019. </w:t>
      </w:r>
      <w:r>
        <w:rPr>
          <w:i/>
          <w:iCs/>
        </w:rPr>
        <w:t>Impacts of Carbon Prices on Forest Management</w:t>
      </w:r>
      <w:r>
        <w:t xml:space="preserve">. Prepared for the Ministry for Primary Industries by Professor B Manley, School of Forestry, University of Canterbury. Wellington: Ministry for Primary Industries. Retrieved from </w:t>
      </w:r>
      <w:hyperlink r:id="rId178" w:history="1">
        <w:r w:rsidRPr="00EE68DE">
          <w:rPr>
            <w:rStyle w:val="Hyperlink"/>
          </w:rPr>
          <w:t xml:space="preserve">www.teururakau.govt.nz/dmsdocument/37113/direct </w:t>
        </w:r>
      </w:hyperlink>
      <w:r>
        <w:t>(22 November 2022).</w:t>
      </w:r>
    </w:p>
  </w:footnote>
  <w:footnote w:id="259">
    <w:p w14:paraId="33CFB8C8" w14:textId="46063540" w:rsidR="007C259A" w:rsidRDefault="007C259A" w:rsidP="007C259A">
      <w:pPr>
        <w:pStyle w:val="FootnoteText"/>
        <w:spacing w:after="40" w:line="230" w:lineRule="atLeast"/>
      </w:pPr>
      <w:r>
        <w:rPr>
          <w:rStyle w:val="FootnoteReference"/>
        </w:rPr>
        <w:footnoteRef/>
      </w:r>
      <w:r>
        <w:t xml:space="preserve"> </w:t>
      </w:r>
      <w:r>
        <w:tab/>
        <w:t xml:space="preserve">New Zealand Government. 2022. </w:t>
      </w:r>
      <w:r w:rsidRPr="00B4653D">
        <w:t>Climate</w:t>
      </w:r>
      <w:r>
        <w:t xml:space="preserve"> Change Emergency Fund, pp 12–13. Retrieved from </w:t>
      </w:r>
      <w:hyperlink r:id="rId179" w:history="1">
        <w:r w:rsidR="00BA5ABA">
          <w:rPr>
            <w:rStyle w:val="Hyperlink"/>
          </w:rPr>
          <w:t>www.beehive.govt.nz/sites/default/files/2022-05/CERF%20investments.pdf</w:t>
        </w:r>
      </w:hyperlink>
      <w:r>
        <w:t xml:space="preserve"> (22 November 2022).</w:t>
      </w:r>
    </w:p>
  </w:footnote>
  <w:footnote w:id="260">
    <w:p w14:paraId="42F099A3" w14:textId="0FDED436" w:rsidR="007C259A" w:rsidRDefault="007C259A" w:rsidP="007C259A">
      <w:pPr>
        <w:pStyle w:val="FootnoteText"/>
        <w:spacing w:after="40" w:line="230" w:lineRule="atLeast"/>
      </w:pPr>
      <w:r>
        <w:rPr>
          <w:rStyle w:val="FootnoteReference"/>
        </w:rPr>
        <w:footnoteRef/>
      </w:r>
      <w:r>
        <w:t xml:space="preserve"> </w:t>
      </w:r>
      <w:r>
        <w:tab/>
        <w:t xml:space="preserve">Ministry for the Environment. 2022. </w:t>
      </w:r>
      <w:r w:rsidRPr="00D152E2">
        <w:rPr>
          <w:i/>
        </w:rPr>
        <w:t>Aotearoa New Zealand's first emissions reduction plan: Technical information annex</w:t>
      </w:r>
      <w:r>
        <w:t xml:space="preserve">, pp 34–35. Wellington: Ministry for the Environment. Retrieved from </w:t>
      </w:r>
      <w:hyperlink r:id="rId180" w:history="1">
        <w:r w:rsidR="009849E8">
          <w:rPr>
            <w:rStyle w:val="Hyperlink"/>
          </w:rPr>
          <w:t>environment.govt.nz/assets/publications/Files/Aotearoa-New-Zealands-first-emissions-reduction-plan-Technical-information-annex.pdf</w:t>
        </w:r>
      </w:hyperlink>
      <w:r>
        <w:t xml:space="preserve"> (22 November 2022).</w:t>
      </w:r>
    </w:p>
  </w:footnote>
  <w:footnote w:id="261">
    <w:p w14:paraId="2342D8E9" w14:textId="77777777" w:rsidR="007C259A" w:rsidRPr="000F7A8B" w:rsidRDefault="007C259A" w:rsidP="007C259A">
      <w:pPr>
        <w:pStyle w:val="FootnoteText"/>
        <w:spacing w:after="0"/>
        <w:rPr>
          <w:sz w:val="18"/>
          <w:szCs w:val="18"/>
        </w:rPr>
      </w:pPr>
      <w:r w:rsidRPr="00120629">
        <w:rPr>
          <w:rStyle w:val="FootnoteReference"/>
        </w:rPr>
        <w:footnoteRef/>
      </w:r>
      <w:r w:rsidRPr="00120629">
        <w:t xml:space="preserve"> </w:t>
      </w:r>
      <w:r w:rsidRPr="00120629">
        <w:tab/>
        <w:t>This figure differs to that derived from table 5.23 due to rounding</w:t>
      </w:r>
      <w:r>
        <w:t>.</w:t>
      </w:r>
    </w:p>
  </w:footnote>
  <w:footnote w:id="262">
    <w:p w14:paraId="56881C30" w14:textId="6B23A565" w:rsidR="007C259A" w:rsidRPr="00FC0A09" w:rsidRDefault="007C259A" w:rsidP="007C259A">
      <w:pPr>
        <w:pStyle w:val="FootnoteText"/>
        <w:rPr>
          <w:highlight w:val="yellow"/>
        </w:rPr>
      </w:pPr>
      <w:r w:rsidRPr="008E2498">
        <w:rPr>
          <w:rStyle w:val="FootnoteReference"/>
        </w:rPr>
        <w:footnoteRef/>
      </w:r>
      <w:r w:rsidRPr="008E2498">
        <w:t xml:space="preserve"> </w:t>
      </w:r>
      <w:r w:rsidRPr="008E2498">
        <w:tab/>
        <w:t xml:space="preserve">Ministry for the Environment. 2017. </w:t>
      </w:r>
      <w:r w:rsidRPr="00D152E2">
        <w:t>New Zealand’s Seventh National Communication</w:t>
      </w:r>
      <w:r>
        <w:rPr>
          <w:iCs/>
        </w:rPr>
        <w:t>:</w:t>
      </w:r>
      <w:r w:rsidRPr="00D152E2">
        <w:t xml:space="preserve"> Fulfilling reporting</w:t>
      </w:r>
      <w:r>
        <w:rPr>
          <w:iCs/>
        </w:rPr>
        <w:t xml:space="preserve"> </w:t>
      </w:r>
      <w:r w:rsidRPr="00D152E2">
        <w:t>requirements under the United Nations Framework Convention on Climate Change and the Kyoto Protocol.</w:t>
      </w:r>
      <w:r w:rsidRPr="008E2498">
        <w:t xml:space="preserve"> Wellington: Ministry for the Environment. Retrieved from </w:t>
      </w:r>
      <w:hyperlink r:id="rId181" w:history="1">
        <w:r w:rsidR="009849E8">
          <w:rPr>
            <w:rStyle w:val="Hyperlink"/>
          </w:rPr>
          <w:t>environment.govt.nz/ publications/new-zealands-seventh-national-communication-under-the-united-nations-framework-convention-on-climate-change-and-the-kyoto-protocol/</w:t>
        </w:r>
      </w:hyperlink>
      <w:r>
        <w:t xml:space="preserve"> (22 November 2022).</w:t>
      </w:r>
    </w:p>
  </w:footnote>
  <w:footnote w:id="263">
    <w:p w14:paraId="3EAE4A75" w14:textId="77777777" w:rsidR="007C259A" w:rsidRDefault="007C259A" w:rsidP="007C259A">
      <w:pPr>
        <w:pStyle w:val="FootnoteText"/>
      </w:pPr>
      <w:r>
        <w:rPr>
          <w:rStyle w:val="FootnoteReference"/>
        </w:rPr>
        <w:footnoteRef/>
      </w:r>
      <w:r>
        <w:t xml:space="preserve"> </w:t>
      </w:r>
      <w:r>
        <w:tab/>
      </w:r>
      <w:r w:rsidRPr="0020318B">
        <w:t xml:space="preserve">Manley B. 2021. </w:t>
      </w:r>
      <w:r w:rsidRPr="0020318B">
        <w:rPr>
          <w:i/>
          <w:iCs/>
        </w:rPr>
        <w:t xml:space="preserve">Afforestation and </w:t>
      </w:r>
      <w:r w:rsidRPr="0020318B">
        <w:rPr>
          <w:i/>
        </w:rPr>
        <w:t xml:space="preserve">Deforestation Intentions Survey 2021: Final </w:t>
      </w:r>
      <w:r>
        <w:rPr>
          <w:i/>
        </w:rPr>
        <w:t>r</w:t>
      </w:r>
      <w:r w:rsidRPr="0020318B">
        <w:rPr>
          <w:i/>
        </w:rPr>
        <w:t>eport</w:t>
      </w:r>
      <w:r w:rsidRPr="0020318B">
        <w:t>. Prepared for the Ministry for Primary Industries by Professor B Manley</w:t>
      </w:r>
      <w:r>
        <w:t>, School of Forestry, University of Canterbury</w:t>
      </w:r>
      <w:r w:rsidRPr="0020318B">
        <w:t xml:space="preserve">. Wellington: Ministry for Primary Industries. Retrieved from </w:t>
      </w:r>
      <w:hyperlink r:id="rId182" w:history="1">
        <w:r w:rsidRPr="002C1401">
          <w:rPr>
            <w:rStyle w:val="Hyperlink"/>
          </w:rPr>
          <w:t>www.mpi.govt.nz/dmsdocument/52405-Afforestation-and-Deforestation-Intentions-Survey-2021</w:t>
        </w:r>
      </w:hyperlink>
      <w:r>
        <w:t xml:space="preserve"> (22 November 2022).</w:t>
      </w:r>
    </w:p>
  </w:footnote>
  <w:footnote w:id="264">
    <w:p w14:paraId="3F6B4F5C" w14:textId="77777777" w:rsidR="007C259A" w:rsidRDefault="007C259A" w:rsidP="007C259A">
      <w:pPr>
        <w:pStyle w:val="FootnoteText"/>
      </w:pPr>
      <w:r>
        <w:rPr>
          <w:rStyle w:val="FootnoteReference"/>
        </w:rPr>
        <w:footnoteRef/>
      </w:r>
      <w:r>
        <w:t xml:space="preserve"> </w:t>
      </w:r>
      <w:r>
        <w:tab/>
        <w:t xml:space="preserve">Ministry for Primary Industries. Forestry in the Emissions Trading Scheme. Retrieved from </w:t>
      </w:r>
      <w:hyperlink r:id="rId183" w:history="1">
        <w:r w:rsidRPr="00F72DB3">
          <w:rPr>
            <w:rStyle w:val="Hyperlink"/>
          </w:rPr>
          <w:t>www.mpi.govt.nz/forestry/forestry-in-the-emissions-trading-scheme/</w:t>
        </w:r>
      </w:hyperlink>
      <w:r>
        <w:t xml:space="preserve"> (22 November 2022).</w:t>
      </w:r>
    </w:p>
  </w:footnote>
  <w:footnote w:id="265">
    <w:p w14:paraId="12D042A2" w14:textId="77777777" w:rsidR="007C259A" w:rsidRPr="00B17397" w:rsidRDefault="007C259A" w:rsidP="007C259A">
      <w:pPr>
        <w:pStyle w:val="FootnoteText"/>
      </w:pPr>
      <w:r>
        <w:rPr>
          <w:rStyle w:val="FootnoteReference"/>
        </w:rPr>
        <w:footnoteRef/>
      </w:r>
      <w:r>
        <w:t xml:space="preserve"> </w:t>
      </w:r>
      <w:r>
        <w:tab/>
        <w:t xml:space="preserve">Scion. 2014. </w:t>
      </w:r>
      <w:r w:rsidRPr="008528F9">
        <w:rPr>
          <w:i/>
          <w:iCs/>
        </w:rPr>
        <w:t>Post-2020 LULUCF Projections: Greenhouse gas emissions and removals under alternative accounting scenarios</w:t>
      </w:r>
      <w:r>
        <w:t>.</w:t>
      </w:r>
      <w:r w:rsidRPr="00300B0E">
        <w:t xml:space="preserve"> </w:t>
      </w:r>
      <w:r>
        <w:t>Prepared for the Ministry for Primary Industries by Scion.</w:t>
      </w:r>
      <w:r w:rsidRPr="0083343C">
        <w:t xml:space="preserve"> </w:t>
      </w:r>
      <w:r>
        <w:t>Wellington: Ministry for the Environment.</w:t>
      </w:r>
    </w:p>
  </w:footnote>
  <w:footnote w:id="266">
    <w:p w14:paraId="5A98FBE5" w14:textId="77777777" w:rsidR="007C259A" w:rsidRPr="00BC3620" w:rsidRDefault="007C259A" w:rsidP="007C259A">
      <w:pPr>
        <w:pStyle w:val="Footnote"/>
      </w:pPr>
      <w:r w:rsidRPr="00FB50F6">
        <w:rPr>
          <w:rStyle w:val="FootnoteReference"/>
        </w:rPr>
        <w:footnoteRef/>
      </w:r>
      <w:r w:rsidRPr="00FB50F6">
        <w:t xml:space="preserve"> </w:t>
      </w:r>
      <w:r w:rsidRPr="00FB50F6">
        <w:tab/>
      </w:r>
      <w:r w:rsidRPr="00FB50F6">
        <w:rPr>
          <w:shd w:val="clear" w:color="auto" w:fill="FFFFFF"/>
        </w:rPr>
        <w:t xml:space="preserve">The </w:t>
      </w:r>
      <w:r w:rsidRPr="00FB50F6">
        <w:rPr>
          <w:i/>
          <w:iCs/>
          <w:color w:val="000000" w:themeColor="text1"/>
        </w:rPr>
        <w:t>Seventh National Communication</w:t>
      </w:r>
      <w:r w:rsidRPr="00FB50F6">
        <w:rPr>
          <w:color w:val="000000" w:themeColor="text1"/>
        </w:rPr>
        <w:t xml:space="preserve"> assumed 6.1 M</w:t>
      </w:r>
      <w:r w:rsidRPr="00FB50F6">
        <w:rPr>
          <w:shd w:val="clear" w:color="auto" w:fill="FFFFFF"/>
        </w:rPr>
        <w:t>t CO</w:t>
      </w:r>
      <w:r w:rsidRPr="00FB50F6">
        <w:rPr>
          <w:shd w:val="clear" w:color="auto" w:fill="FFFFFF"/>
          <w:vertAlign w:val="subscript"/>
        </w:rPr>
        <w:t>2</w:t>
      </w:r>
      <w:r w:rsidRPr="00FB50F6">
        <w:rPr>
          <w:shd w:val="clear" w:color="auto" w:fill="FFFFFF"/>
        </w:rPr>
        <w:t>-e removed per year versus 2.7 Mt CO</w:t>
      </w:r>
      <w:r w:rsidRPr="00FB50F6">
        <w:rPr>
          <w:shd w:val="clear" w:color="auto" w:fill="FFFFFF"/>
          <w:vertAlign w:val="subscript"/>
        </w:rPr>
        <w:t>2</w:t>
      </w:r>
      <w:r w:rsidRPr="00FB50F6">
        <w:rPr>
          <w:shd w:val="clear" w:color="auto" w:fill="FFFFFF"/>
        </w:rPr>
        <w:t xml:space="preserve">-e removed per year projected in the </w:t>
      </w:r>
      <w:r w:rsidRPr="00FB50F6">
        <w:rPr>
          <w:i/>
          <w:shd w:val="clear" w:color="auto" w:fill="FFFFFF"/>
        </w:rPr>
        <w:t>Fourth Biennial Report</w:t>
      </w:r>
      <w:r w:rsidRPr="00FB50F6">
        <w:rPr>
          <w:shd w:val="clear" w:color="auto" w:fill="FFFFFF"/>
        </w:rPr>
        <w:t>.</w:t>
      </w:r>
    </w:p>
  </w:footnote>
  <w:footnote w:id="267">
    <w:p w14:paraId="3A045F20" w14:textId="1C45B65A" w:rsidR="007C259A" w:rsidRPr="00A537A6" w:rsidRDefault="007C259A" w:rsidP="007C259A">
      <w:pPr>
        <w:pStyle w:val="FootnoteText"/>
        <w:spacing w:after="50"/>
      </w:pPr>
      <w:r w:rsidRPr="00A537A6">
        <w:rPr>
          <w:rStyle w:val="FootnoteReference"/>
          <w:color w:val="auto"/>
        </w:rPr>
        <w:footnoteRef/>
      </w:r>
      <w:r w:rsidRPr="00A537A6">
        <w:t xml:space="preserve"> </w:t>
      </w:r>
      <w:r w:rsidRPr="00A537A6">
        <w:tab/>
        <w:t>Ministry for the Environment. 201</w:t>
      </w:r>
      <w:r>
        <w:t>9</w:t>
      </w:r>
      <w:r w:rsidRPr="00A537A6">
        <w:t xml:space="preserve">. </w:t>
      </w:r>
      <w:r w:rsidRPr="00A537A6">
        <w:rPr>
          <w:i/>
        </w:rPr>
        <w:t xml:space="preserve">New Zealand’s </w:t>
      </w:r>
      <w:r>
        <w:rPr>
          <w:i/>
        </w:rPr>
        <w:t>Fourth</w:t>
      </w:r>
      <w:r w:rsidRPr="00A537A6">
        <w:rPr>
          <w:i/>
        </w:rPr>
        <w:t xml:space="preserve"> Biennial Report Under the United Nations Framework Convention on Climate Change</w:t>
      </w:r>
      <w:r w:rsidRPr="00A537A6">
        <w:t>. Wellington: Ministry for the Environment. Retrieved from </w:t>
      </w:r>
      <w:hyperlink r:id="rId184" w:history="1">
        <w:r w:rsidR="009849E8">
          <w:rPr>
            <w:rStyle w:val="Hyperlink"/>
          </w:rPr>
          <w:t>environment.govt.nz/assets/Publications/Files/fourth-biennial-report.pdf</w:t>
        </w:r>
      </w:hyperlink>
      <w:r>
        <w:t xml:space="preserve"> </w:t>
      </w:r>
      <w:r w:rsidRPr="00A537A6">
        <w:rPr>
          <w:iCs/>
        </w:rPr>
        <w:t>(</w:t>
      </w:r>
      <w:r w:rsidRPr="00A537A6">
        <w:t>6 Oct</w:t>
      </w:r>
      <w:r>
        <w:t>ober</w:t>
      </w:r>
      <w:r w:rsidRPr="00A537A6">
        <w:t xml:space="preserve"> 2022).</w:t>
      </w:r>
    </w:p>
  </w:footnote>
  <w:footnote w:id="268">
    <w:p w14:paraId="54C22DC8" w14:textId="1C084069" w:rsidR="007C259A" w:rsidRPr="00A537A6" w:rsidRDefault="007C259A" w:rsidP="007C259A">
      <w:pPr>
        <w:pStyle w:val="FootnoteText"/>
        <w:spacing w:after="50"/>
      </w:pPr>
      <w:r w:rsidRPr="00A537A6">
        <w:rPr>
          <w:rStyle w:val="FootnoteReference"/>
          <w:color w:val="auto"/>
        </w:rPr>
        <w:footnoteRef/>
      </w:r>
      <w:r w:rsidRPr="00A537A6">
        <w:t xml:space="preserve"> </w:t>
      </w:r>
      <w:r w:rsidRPr="00A537A6">
        <w:tab/>
        <w:t>Ministry for the Environment. 20</w:t>
      </w:r>
      <w:r>
        <w:t>22</w:t>
      </w:r>
      <w:r w:rsidRPr="00A537A6">
        <w:t xml:space="preserve">. </w:t>
      </w:r>
      <w:r w:rsidRPr="00A537A6">
        <w:rPr>
          <w:i/>
        </w:rPr>
        <w:t>New Zealand’s Greenhouse Gas Inventory 1990–20</w:t>
      </w:r>
      <w:r>
        <w:rPr>
          <w:i/>
        </w:rPr>
        <w:t>20</w:t>
      </w:r>
      <w:r w:rsidRPr="00A537A6">
        <w:t xml:space="preserve">. Wellington: Ministry for the Environment. Retrieved from </w:t>
      </w:r>
      <w:hyperlink r:id="rId185" w:history="1">
        <w:r w:rsidR="009849E8">
          <w:rPr>
            <w:rStyle w:val="Hyperlink"/>
          </w:rPr>
          <w:t>environment.govt.nz/publications/new-zealands-greenhouse-gas-inventory-1990-2020/</w:t>
        </w:r>
      </w:hyperlink>
      <w:r>
        <w:t xml:space="preserve"> </w:t>
      </w:r>
      <w:r w:rsidRPr="00A537A6">
        <w:rPr>
          <w:iCs/>
        </w:rPr>
        <w:t>(</w:t>
      </w:r>
      <w:r w:rsidRPr="00A537A6">
        <w:t>6 Oct</w:t>
      </w:r>
      <w:r>
        <w:t>ober</w:t>
      </w:r>
      <w:r w:rsidRPr="00A537A6">
        <w:t xml:space="preserve"> 2022).</w:t>
      </w:r>
    </w:p>
  </w:footnote>
  <w:footnote w:id="269">
    <w:p w14:paraId="386345B9" w14:textId="2F5D29A9" w:rsidR="007C259A" w:rsidRDefault="007C259A" w:rsidP="0030100A">
      <w:pPr>
        <w:pStyle w:val="FootnoteText"/>
        <w:spacing w:after="40"/>
      </w:pPr>
      <w:r w:rsidRPr="001E2A02">
        <w:rPr>
          <w:rStyle w:val="FootnoteReference"/>
          <w:color w:val="auto"/>
        </w:rPr>
        <w:footnoteRef/>
      </w:r>
      <w:r>
        <w:t xml:space="preserve"> </w:t>
      </w:r>
      <w:r>
        <w:tab/>
      </w:r>
      <w:r w:rsidRPr="00A537A6">
        <w:t xml:space="preserve">Ministry for the Environment. 2020. </w:t>
      </w:r>
      <w:r w:rsidRPr="00A537A6">
        <w:rPr>
          <w:i/>
        </w:rPr>
        <w:t>New Zealand’s Greenhouse Gas Inventory 1990–2018</w:t>
      </w:r>
      <w:r w:rsidRPr="00A537A6">
        <w:t xml:space="preserve">. Wellington: Ministry for the Environment. Retrieved from </w:t>
      </w:r>
      <w:hyperlink r:id="rId186" w:history="1">
        <w:r w:rsidR="009849E8">
          <w:rPr>
            <w:rStyle w:val="Hyperlink"/>
          </w:rPr>
          <w:t>environment.govt.nz/publications/new-zealands-greenhouse-gas-inventory-1990-2018/</w:t>
        </w:r>
      </w:hyperlink>
      <w:r w:rsidRPr="00A537A6">
        <w:t xml:space="preserve"> (6 Oct</w:t>
      </w:r>
      <w:r>
        <w:t>ober</w:t>
      </w:r>
      <w:r w:rsidRPr="00A537A6">
        <w:t xml:space="preserve"> 2022).</w:t>
      </w:r>
    </w:p>
  </w:footnote>
  <w:footnote w:id="270">
    <w:p w14:paraId="53768B8B" w14:textId="58599623" w:rsidR="007C259A" w:rsidRPr="00A537A6" w:rsidRDefault="007C259A" w:rsidP="0030100A">
      <w:pPr>
        <w:pStyle w:val="FootnoteText"/>
        <w:spacing w:after="40"/>
      </w:pPr>
      <w:r w:rsidRPr="00A537A6">
        <w:rPr>
          <w:rStyle w:val="FootnoteReference"/>
          <w:color w:val="auto"/>
        </w:rPr>
        <w:footnoteRef/>
      </w:r>
      <w:r w:rsidRPr="00A537A6">
        <w:t xml:space="preserve"> </w:t>
      </w:r>
      <w:r w:rsidRPr="00A537A6">
        <w:tab/>
        <w:t xml:space="preserve">Ministry for the Environment. 2021. </w:t>
      </w:r>
      <w:r w:rsidRPr="00A537A6">
        <w:rPr>
          <w:i/>
        </w:rPr>
        <w:t>New Zealand’s Greenhouse Gas Inventory 1990–2019</w:t>
      </w:r>
      <w:r w:rsidRPr="00A537A6">
        <w:t xml:space="preserve">. Wellington: Ministry for the Environment. Retrieved from </w:t>
      </w:r>
      <w:hyperlink r:id="rId187" w:history="1">
        <w:r w:rsidR="009849E8">
          <w:rPr>
            <w:rStyle w:val="Hyperlink"/>
          </w:rPr>
          <w:t>environment.govt.nz/publications/new-zealands-greenhouse-gas-inventory-1990-2019/</w:t>
        </w:r>
      </w:hyperlink>
      <w:r w:rsidRPr="00A537A6">
        <w:t xml:space="preserve"> (6 Oct</w:t>
      </w:r>
      <w:r>
        <w:t>ober</w:t>
      </w:r>
      <w:r w:rsidRPr="00A537A6">
        <w:t xml:space="preserve"> 2022</w:t>
      </w:r>
      <w:r w:rsidRPr="00A537A6">
        <w:rPr>
          <w:iCs/>
        </w:rPr>
        <w:t>)</w:t>
      </w:r>
      <w:r>
        <w:rPr>
          <w:iCs/>
        </w:rPr>
        <w:t>.</w:t>
      </w:r>
    </w:p>
  </w:footnote>
  <w:footnote w:id="271">
    <w:p w14:paraId="05D43C53" w14:textId="6F851901" w:rsidR="007C259A" w:rsidRPr="00FD55EA" w:rsidRDefault="007C259A" w:rsidP="0030100A">
      <w:pPr>
        <w:pStyle w:val="FootnoteText"/>
        <w:spacing w:after="40"/>
      </w:pPr>
      <w:r w:rsidRPr="00A537A6">
        <w:rPr>
          <w:rStyle w:val="FootnoteReference"/>
          <w:color w:val="auto"/>
        </w:rPr>
        <w:footnoteRef/>
      </w:r>
      <w:r w:rsidRPr="00A537A6">
        <w:t xml:space="preserve"> </w:t>
      </w:r>
      <w:r w:rsidRPr="00A537A6">
        <w:tab/>
        <w:t xml:space="preserve">Ministry for the Environment. 2022. </w:t>
      </w:r>
      <w:r w:rsidRPr="00A537A6">
        <w:rPr>
          <w:i/>
        </w:rPr>
        <w:t>New Zealand’s Greenhouse Gas Inventory 1990–2020</w:t>
      </w:r>
      <w:r w:rsidRPr="00A537A6">
        <w:t xml:space="preserve">. Wellington: Ministry for the Environment. Retrieved from </w:t>
      </w:r>
      <w:hyperlink r:id="rId188" w:history="1">
        <w:r w:rsidR="009849E8">
          <w:rPr>
            <w:rStyle w:val="Hyperlink"/>
            <w:iCs/>
          </w:rPr>
          <w:t>environment.govt.nz/publications/new-zealands-greenhouse-gas-inventory-1990-2020/</w:t>
        </w:r>
      </w:hyperlink>
      <w:r>
        <w:rPr>
          <w:iCs/>
        </w:rPr>
        <w:t xml:space="preserve"> </w:t>
      </w:r>
      <w:r w:rsidRPr="00A537A6">
        <w:rPr>
          <w:iCs/>
        </w:rPr>
        <w:t>(</w:t>
      </w:r>
      <w:r w:rsidRPr="00A537A6">
        <w:t>6 Oct</w:t>
      </w:r>
      <w:r>
        <w:t>ober</w:t>
      </w:r>
      <w:r w:rsidRPr="00A537A6">
        <w:t xml:space="preserve"> 2022).</w:t>
      </w:r>
    </w:p>
  </w:footnote>
  <w:footnote w:id="272">
    <w:p w14:paraId="4B555329" w14:textId="5990C005" w:rsidR="00851323" w:rsidRPr="003D2652" w:rsidRDefault="00851323" w:rsidP="00851323">
      <w:pPr>
        <w:pStyle w:val="FootnoteText"/>
      </w:pPr>
      <w:r>
        <w:rPr>
          <w:rStyle w:val="FootnoteReference"/>
        </w:rPr>
        <w:footnoteRef/>
      </w:r>
      <w:r>
        <w:t xml:space="preserve"> </w:t>
      </w:r>
      <w:r>
        <w:tab/>
      </w:r>
      <w:r w:rsidRPr="003D2652">
        <w:t xml:space="preserve">See </w:t>
      </w:r>
      <w:hyperlink r:id="rId189" w:history="1">
        <w:r w:rsidR="00B43A1D">
          <w:rPr>
            <w:rStyle w:val="Hyperlink"/>
          </w:rPr>
          <w:t>www.stats.govt.nz/topics/atmosphere-and-climate</w:t>
        </w:r>
      </w:hyperlink>
      <w:r w:rsidRPr="003D2652">
        <w:t xml:space="preserve"> for more information.</w:t>
      </w:r>
    </w:p>
  </w:footnote>
  <w:footnote w:id="273">
    <w:p w14:paraId="23643B9D" w14:textId="77777777" w:rsidR="00851323" w:rsidRPr="00F718C7" w:rsidRDefault="00851323" w:rsidP="00851323">
      <w:pPr>
        <w:pStyle w:val="FootnoteText"/>
      </w:pPr>
      <w:r w:rsidRPr="00957B7C">
        <w:rPr>
          <w:rStyle w:val="FootnoteReference"/>
        </w:rPr>
        <w:footnoteRef/>
      </w:r>
      <w:r>
        <w:t xml:space="preserve"> </w:t>
      </w:r>
      <w:r>
        <w:tab/>
      </w:r>
      <w:r w:rsidRPr="00960CBD">
        <w:t>National Institute of Water and Atmospheric Research</w:t>
      </w:r>
      <w:r w:rsidRPr="00F718C7">
        <w:t xml:space="preserve">. 2022. </w:t>
      </w:r>
      <w:r w:rsidRPr="007037B6">
        <w:rPr>
          <w:i/>
          <w:iCs/>
        </w:rPr>
        <w:t>Aotearoa New Zealand Climate Summary: 2021</w:t>
      </w:r>
      <w:r w:rsidRPr="00F718C7">
        <w:t>. Wellington</w:t>
      </w:r>
      <w:r>
        <w:t>:</w:t>
      </w:r>
      <w:r w:rsidRPr="00960CBD">
        <w:t xml:space="preserve"> National Institute of Water and Atmospheric Research</w:t>
      </w:r>
      <w:r w:rsidRPr="00F718C7">
        <w:t xml:space="preserve">. </w:t>
      </w:r>
    </w:p>
  </w:footnote>
  <w:footnote w:id="274">
    <w:p w14:paraId="574FC934" w14:textId="77777777" w:rsidR="00851323" w:rsidRPr="00412AEC" w:rsidRDefault="00851323" w:rsidP="00851323">
      <w:pPr>
        <w:pStyle w:val="FootnoteText"/>
      </w:pPr>
      <w:r w:rsidRPr="00957B7C">
        <w:rPr>
          <w:rStyle w:val="FootnoteReference"/>
        </w:rPr>
        <w:footnoteRef/>
      </w:r>
      <w:r w:rsidRPr="00412AEC">
        <w:t xml:space="preserve"> </w:t>
      </w:r>
      <w:r>
        <w:tab/>
      </w:r>
      <w:r w:rsidRPr="00412AEC">
        <w:t xml:space="preserve">Intergovernmental </w:t>
      </w:r>
      <w:r w:rsidRPr="0089634F">
        <w:t>Panel</w:t>
      </w:r>
      <w:r w:rsidRPr="00412AEC">
        <w:t xml:space="preserve"> on Climate Change. </w:t>
      </w:r>
      <w:r>
        <w:t xml:space="preserve">2021. </w:t>
      </w:r>
      <w:r w:rsidRPr="0089634F">
        <w:rPr>
          <w:i/>
          <w:iCs/>
        </w:rPr>
        <w:t>Climate Change 2021: The Physical Science Basis. Contribution of Working Group I to the Sixth Assessment Report of the Intergovernmental Panel on Climate Change</w:t>
      </w:r>
      <w:r w:rsidRPr="00412AEC">
        <w:t>. Cambridge</w:t>
      </w:r>
      <w:r>
        <w:t>:</w:t>
      </w:r>
      <w:r w:rsidRPr="00FC1FA9">
        <w:t xml:space="preserve"> </w:t>
      </w:r>
      <w:r w:rsidRPr="00412AEC">
        <w:t>Intergovernmental Panel on Climate Change.</w:t>
      </w:r>
    </w:p>
  </w:footnote>
  <w:footnote w:id="275">
    <w:p w14:paraId="2AE6C18F" w14:textId="77777777" w:rsidR="00851323" w:rsidRPr="00957B7C" w:rsidRDefault="00851323" w:rsidP="00851323">
      <w:pPr>
        <w:pStyle w:val="FootnoteText"/>
      </w:pPr>
      <w:r w:rsidRPr="00957B7C">
        <w:rPr>
          <w:rStyle w:val="FootnoteReference"/>
        </w:rPr>
        <w:footnoteRef/>
      </w:r>
      <w:r w:rsidRPr="00412AEC">
        <w:rPr>
          <w:rFonts w:asciiTheme="minorHAnsi" w:hAnsiTheme="minorHAnsi" w:cstheme="minorHAnsi"/>
          <w:sz w:val="18"/>
          <w:szCs w:val="18"/>
        </w:rPr>
        <w:t xml:space="preserve"> </w:t>
      </w:r>
      <w:r>
        <w:rPr>
          <w:rFonts w:asciiTheme="minorHAnsi" w:hAnsiTheme="minorHAnsi" w:cstheme="minorHAnsi"/>
          <w:sz w:val="18"/>
          <w:szCs w:val="18"/>
        </w:rPr>
        <w:tab/>
      </w:r>
      <w:r w:rsidRPr="00957B7C">
        <w:t xml:space="preserve">Ministry for the Environment. 2022. </w:t>
      </w:r>
      <w:hyperlink r:id="rId190" w:history="1">
        <w:r w:rsidRPr="00957B7C">
          <w:rPr>
            <w:rStyle w:val="Hyperlink"/>
            <w:i/>
            <w:iCs/>
          </w:rPr>
          <w:t>Interim guidance on the use of new sea-level rise projections</w:t>
        </w:r>
      </w:hyperlink>
      <w:r w:rsidRPr="00957B7C">
        <w:t>. Wellington: Ministry for the Environment.</w:t>
      </w:r>
    </w:p>
  </w:footnote>
  <w:footnote w:id="276">
    <w:p w14:paraId="719C537A" w14:textId="77777777" w:rsidR="00851323" w:rsidRDefault="00851323" w:rsidP="00851323">
      <w:pPr>
        <w:pStyle w:val="FootnoteText"/>
      </w:pPr>
      <w:r w:rsidRPr="734E6AE0">
        <w:rPr>
          <w:rStyle w:val="FootnoteReference"/>
        </w:rPr>
        <w:footnoteRef/>
      </w:r>
      <w:r>
        <w:t xml:space="preserve"> </w:t>
      </w:r>
      <w:r>
        <w:tab/>
      </w:r>
      <w:r w:rsidRPr="734E6AE0">
        <w:t xml:space="preserve">Intergovernmental Panel on </w:t>
      </w:r>
      <w:r w:rsidRPr="00957B7C">
        <w:t>Climate</w:t>
      </w:r>
      <w:r w:rsidRPr="734E6AE0">
        <w:t xml:space="preserve"> Change. </w:t>
      </w:r>
      <w:r>
        <w:t xml:space="preserve">2022. </w:t>
      </w:r>
      <w:r w:rsidRPr="00957B7C">
        <w:rPr>
          <w:i/>
          <w:iCs/>
        </w:rPr>
        <w:t>Climate Change 2022: Impacts, Adaptation and Vulnerability. Contribution of Working Group II to the Sixth Assessment Report of the Intergovernmental Panel on Climate Change</w:t>
      </w:r>
      <w:r w:rsidRPr="734E6AE0">
        <w:t>. Cambridge</w:t>
      </w:r>
      <w:r>
        <w:t>:</w:t>
      </w:r>
      <w:r w:rsidRPr="00550D85">
        <w:rPr>
          <w:rFonts w:cstheme="minorHAnsi"/>
        </w:rPr>
        <w:t xml:space="preserve"> </w:t>
      </w:r>
      <w:r w:rsidRPr="00412AEC">
        <w:rPr>
          <w:rFonts w:cstheme="minorHAnsi"/>
        </w:rPr>
        <w:t>Intergovernmental Panel on Climate Change</w:t>
      </w:r>
      <w:r w:rsidRPr="734E6AE0">
        <w:t>.</w:t>
      </w:r>
    </w:p>
  </w:footnote>
  <w:footnote w:id="277">
    <w:p w14:paraId="153B68EF" w14:textId="77777777" w:rsidR="00851323" w:rsidRPr="00EB20A4" w:rsidRDefault="00851323" w:rsidP="00851323">
      <w:pPr>
        <w:pStyle w:val="FootnoteText"/>
        <w:rPr>
          <w:lang w:val="en-US"/>
        </w:rPr>
      </w:pPr>
      <w:r>
        <w:rPr>
          <w:rStyle w:val="FootnoteReference"/>
        </w:rPr>
        <w:footnoteRef/>
      </w:r>
      <w:r>
        <w:t xml:space="preserve"> </w:t>
      </w:r>
      <w:r>
        <w:tab/>
        <w:t xml:space="preserve">Unless otherwise stated, all references for this section come from: The </w:t>
      </w:r>
      <w:r w:rsidRPr="734E6AE0">
        <w:t xml:space="preserve">Intergovernmental Panel on Climate Change. </w:t>
      </w:r>
      <w:r>
        <w:t xml:space="preserve">2022. </w:t>
      </w:r>
      <w:r w:rsidRPr="00D3466B">
        <w:rPr>
          <w:i/>
          <w:iCs/>
        </w:rPr>
        <w:t>Climate Change 2022: Impacts, Adaptation and Vulnerability. Contribution of Working Group II to the Sixth Assessment Report of the Intergovernmental Panel on Climate Change</w:t>
      </w:r>
      <w:r w:rsidRPr="734E6AE0">
        <w:t>. Cambridge</w:t>
      </w:r>
      <w:r>
        <w:t>:</w:t>
      </w:r>
      <w:r w:rsidRPr="00550D85">
        <w:rPr>
          <w:rFonts w:cstheme="minorHAnsi"/>
        </w:rPr>
        <w:t xml:space="preserve"> </w:t>
      </w:r>
      <w:r w:rsidRPr="00412AEC">
        <w:rPr>
          <w:rFonts w:cstheme="minorHAnsi"/>
        </w:rPr>
        <w:t>Intergovernmental Panel on Climate Change</w:t>
      </w:r>
      <w:r w:rsidRPr="734E6AE0">
        <w:t>.</w:t>
      </w:r>
    </w:p>
  </w:footnote>
  <w:footnote w:id="278">
    <w:p w14:paraId="233544CF" w14:textId="77777777" w:rsidR="00851323" w:rsidRPr="00DF5FD6" w:rsidRDefault="00851323" w:rsidP="00851323">
      <w:pPr>
        <w:pStyle w:val="FootnoteText"/>
        <w:rPr>
          <w:spacing w:val="-2"/>
        </w:rPr>
      </w:pPr>
      <w:r w:rsidRPr="004B5E20">
        <w:rPr>
          <w:rStyle w:val="FootnoteReference"/>
        </w:rPr>
        <w:footnoteRef/>
      </w:r>
      <w:r>
        <w:t xml:space="preserve"> </w:t>
      </w:r>
      <w:r>
        <w:tab/>
      </w:r>
      <w:r w:rsidRPr="004B5E20">
        <w:t xml:space="preserve">Ministry for the Environment. 2018. </w:t>
      </w:r>
      <w:hyperlink r:id="rId191" w:history="1">
        <w:r w:rsidRPr="00F465B8">
          <w:rPr>
            <w:rStyle w:val="Hyperlink"/>
            <w:i/>
            <w:iCs/>
            <w:spacing w:val="-2"/>
          </w:rPr>
          <w:t>Climate Change Projections for New Zealand: Atmosphere Projections Based on Simulations from the IPCC Fifth Assessment, 2nd Edition</w:t>
        </w:r>
      </w:hyperlink>
      <w:r w:rsidRPr="00F465B8">
        <w:rPr>
          <w:spacing w:val="-2"/>
        </w:rPr>
        <w:t>. Wellington: Ministry for the Environment</w:t>
      </w:r>
      <w:r w:rsidRPr="00DF5FD6">
        <w:rPr>
          <w:spacing w:val="-2"/>
        </w:rPr>
        <w:t>.</w:t>
      </w:r>
    </w:p>
  </w:footnote>
  <w:footnote w:id="279">
    <w:p w14:paraId="4D9D8494" w14:textId="77777777" w:rsidR="00851323" w:rsidRPr="004B5E20" w:rsidRDefault="00851323" w:rsidP="00851323">
      <w:pPr>
        <w:pStyle w:val="FootnoteText"/>
      </w:pPr>
      <w:r w:rsidRPr="004B5E20">
        <w:rPr>
          <w:rStyle w:val="FootnoteReference"/>
        </w:rPr>
        <w:footnoteRef/>
      </w:r>
      <w:r w:rsidRPr="00EB20A4">
        <w:rPr>
          <w:rStyle w:val="FootnoteReference"/>
          <w:rFonts w:asciiTheme="minorHAnsi" w:eastAsiaTheme="minorHAnsi" w:hAnsiTheme="minorHAnsi" w:cstheme="minorHAnsi"/>
          <w:sz w:val="18"/>
          <w:szCs w:val="18"/>
          <w:lang w:eastAsia="en-US"/>
        </w:rPr>
        <w:t xml:space="preserve"> </w:t>
      </w:r>
      <w:r>
        <w:rPr>
          <w:rStyle w:val="FootnoteReference"/>
          <w:rFonts w:asciiTheme="minorHAnsi" w:eastAsiaTheme="minorHAnsi" w:hAnsiTheme="minorHAnsi" w:cstheme="minorHAnsi"/>
          <w:sz w:val="18"/>
          <w:szCs w:val="18"/>
          <w:lang w:eastAsia="en-US"/>
        </w:rPr>
        <w:tab/>
      </w:r>
      <w:r w:rsidRPr="0091447F">
        <w:t xml:space="preserve">Bodeker G, Cullen N, Katurji M, McDonald A, Morgenstern O, Noone D, Renwick J, Revell L, Tait A. 2022. </w:t>
      </w:r>
      <w:hyperlink r:id="rId192" w:history="1">
        <w:r w:rsidRPr="004B5E20">
          <w:rPr>
            <w:rStyle w:val="Hyperlink"/>
            <w:i/>
            <w:iCs/>
          </w:rPr>
          <w:t>Aotearoa New Zealand climate change projections guidance: Interpreting the latest IPCC WG1 report findings</w:t>
        </w:r>
      </w:hyperlink>
      <w:r w:rsidRPr="0091447F">
        <w:t>. Report number CR 501. Prepared for the Ministry for the Environment by Bodeker Scientific Ltd, National Institute for Water and Atmospheric Research, University of Auckland, University of Canterbury, University of Otago and Victoria University of Wellington. Wellington: Ministry for the Environment.</w:t>
      </w:r>
    </w:p>
  </w:footnote>
  <w:footnote w:id="280">
    <w:p w14:paraId="2EF3F144" w14:textId="77777777" w:rsidR="00851323" w:rsidRPr="004B5E20" w:rsidRDefault="00851323" w:rsidP="00851323">
      <w:pPr>
        <w:pStyle w:val="FootnoteText"/>
        <w:rPr>
          <w:rFonts w:asciiTheme="minorHAnsi" w:hAnsiTheme="minorHAnsi" w:cstheme="minorHAnsi"/>
          <w:szCs w:val="19"/>
        </w:rPr>
      </w:pPr>
      <w:r w:rsidRPr="003D60F0">
        <w:rPr>
          <w:rStyle w:val="FootnoteReference"/>
          <w:rFonts w:asciiTheme="minorHAnsi" w:hAnsiTheme="minorHAnsi" w:cstheme="minorHAnsi"/>
          <w:szCs w:val="16"/>
        </w:rPr>
        <w:footnoteRef/>
      </w:r>
      <w:r w:rsidRPr="003D60F0">
        <w:rPr>
          <w:rFonts w:asciiTheme="minorHAnsi" w:hAnsiTheme="minorHAnsi" w:cstheme="minorHAnsi"/>
        </w:rPr>
        <w:t xml:space="preserve"> </w:t>
      </w:r>
      <w:r>
        <w:rPr>
          <w:rFonts w:asciiTheme="minorHAnsi" w:hAnsiTheme="minorHAnsi" w:cstheme="minorHAnsi"/>
        </w:rPr>
        <w:tab/>
      </w:r>
      <w:r w:rsidRPr="004B5E20">
        <w:rPr>
          <w:szCs w:val="19"/>
        </w:rPr>
        <w:t>Ministry</w:t>
      </w:r>
      <w:r w:rsidRPr="004B5E20">
        <w:rPr>
          <w:rFonts w:asciiTheme="minorHAnsi" w:hAnsiTheme="minorHAnsi" w:cstheme="minorHAnsi"/>
          <w:szCs w:val="19"/>
        </w:rPr>
        <w:t xml:space="preserve"> for the Environment. 2017. </w:t>
      </w:r>
      <w:hyperlink r:id="rId193" w:history="1">
        <w:r w:rsidRPr="004B5E20">
          <w:rPr>
            <w:rStyle w:val="Hyperlink"/>
            <w:i/>
            <w:szCs w:val="19"/>
          </w:rPr>
          <w:t>Coastal Hazards and Climate Change: Guidance for Local Government</w:t>
        </w:r>
      </w:hyperlink>
      <w:r w:rsidRPr="004B5E20">
        <w:rPr>
          <w:rFonts w:asciiTheme="minorHAnsi" w:hAnsiTheme="minorHAnsi" w:cstheme="minorHAnsi"/>
          <w:szCs w:val="19"/>
        </w:rPr>
        <w:t xml:space="preserve">. </w:t>
      </w:r>
      <w:r w:rsidRPr="00F465B8">
        <w:t>Wellington: Ministry for the Environment.</w:t>
      </w:r>
      <w:r w:rsidRPr="004B5E20">
        <w:rPr>
          <w:rFonts w:asciiTheme="minorHAnsi" w:hAnsiTheme="minorHAnsi" w:cstheme="minorHAnsi"/>
          <w:szCs w:val="19"/>
        </w:rPr>
        <w:t xml:space="preserve"> </w:t>
      </w:r>
    </w:p>
  </w:footnote>
  <w:footnote w:id="281">
    <w:p w14:paraId="5F7B8CD3" w14:textId="77777777" w:rsidR="00851323" w:rsidRPr="004B5E20" w:rsidRDefault="00851323" w:rsidP="00851323">
      <w:pPr>
        <w:pStyle w:val="FootnoteText"/>
      </w:pPr>
      <w:r w:rsidRPr="003D60F0">
        <w:rPr>
          <w:rStyle w:val="FootnoteReference"/>
          <w:rFonts w:asciiTheme="minorHAnsi" w:hAnsiTheme="minorHAnsi" w:cstheme="minorHAnsi"/>
          <w:szCs w:val="16"/>
        </w:rPr>
        <w:footnoteRef/>
      </w:r>
      <w:r w:rsidRPr="003D60F0">
        <w:rPr>
          <w:rFonts w:asciiTheme="minorHAnsi" w:hAnsiTheme="minorHAnsi" w:cstheme="minorHAnsi"/>
          <w:sz w:val="16"/>
          <w:szCs w:val="16"/>
        </w:rPr>
        <w:t xml:space="preserve"> </w:t>
      </w:r>
      <w:r>
        <w:rPr>
          <w:rFonts w:asciiTheme="minorHAnsi" w:hAnsiTheme="minorHAnsi" w:cstheme="minorHAnsi"/>
          <w:sz w:val="16"/>
          <w:szCs w:val="16"/>
        </w:rPr>
        <w:tab/>
      </w:r>
      <w:r w:rsidRPr="004B5E20">
        <w:t xml:space="preserve">Ministry for the Environment. 2022. </w:t>
      </w:r>
      <w:hyperlink r:id="rId194" w:history="1">
        <w:r w:rsidRPr="004B5E20">
          <w:rPr>
            <w:rStyle w:val="Hyperlink"/>
            <w:i/>
            <w:iCs/>
          </w:rPr>
          <w:t>Interim guidance on the use of new sea-level rise projections</w:t>
        </w:r>
      </w:hyperlink>
      <w:r w:rsidRPr="004B5E20">
        <w:t>. Wellington: Ministry for the Environment.</w:t>
      </w:r>
      <w:r w:rsidRPr="004B5E20" w:rsidDel="00DF17F4">
        <w:t xml:space="preserve"> </w:t>
      </w:r>
    </w:p>
  </w:footnote>
  <w:footnote w:id="282">
    <w:p w14:paraId="21D673AA" w14:textId="77777777" w:rsidR="00851323" w:rsidRPr="007946F8" w:rsidRDefault="00851323" w:rsidP="00851323">
      <w:pPr>
        <w:pStyle w:val="FootnoteText"/>
        <w:rPr>
          <w:sz w:val="16"/>
          <w:szCs w:val="16"/>
        </w:rPr>
      </w:pPr>
      <w:r w:rsidRPr="003D60F0">
        <w:rPr>
          <w:rStyle w:val="FootnoteReference"/>
          <w:rFonts w:asciiTheme="minorHAnsi" w:hAnsiTheme="minorHAnsi" w:cstheme="minorHAnsi"/>
          <w:szCs w:val="16"/>
        </w:rPr>
        <w:footnoteRef/>
      </w:r>
      <w:r w:rsidRPr="003D60F0">
        <w:rPr>
          <w:sz w:val="16"/>
          <w:szCs w:val="16"/>
        </w:rPr>
        <w:t xml:space="preserve"> </w:t>
      </w:r>
      <w:r>
        <w:rPr>
          <w:sz w:val="16"/>
          <w:szCs w:val="16"/>
        </w:rPr>
        <w:tab/>
      </w:r>
      <w:r w:rsidRPr="0091447F">
        <w:rPr>
          <w:shd w:val="clear" w:color="auto" w:fill="FFFFFF"/>
        </w:rPr>
        <w:t>Lawrence J, Mackey</w:t>
      </w:r>
      <w:r>
        <w:rPr>
          <w:shd w:val="clear" w:color="auto" w:fill="FFFFFF"/>
        </w:rPr>
        <w:t xml:space="preserve"> B</w:t>
      </w:r>
      <w:r w:rsidRPr="0091447F">
        <w:rPr>
          <w:shd w:val="clear" w:color="auto" w:fill="FFFFFF"/>
        </w:rPr>
        <w:t>, Chiew</w:t>
      </w:r>
      <w:r>
        <w:rPr>
          <w:shd w:val="clear" w:color="auto" w:fill="FFFFFF"/>
        </w:rPr>
        <w:t xml:space="preserve"> F</w:t>
      </w:r>
      <w:r w:rsidRPr="0091447F">
        <w:rPr>
          <w:shd w:val="clear" w:color="auto" w:fill="FFFFFF"/>
        </w:rPr>
        <w:t>, Costello</w:t>
      </w:r>
      <w:r>
        <w:rPr>
          <w:shd w:val="clear" w:color="auto" w:fill="FFFFFF"/>
        </w:rPr>
        <w:t xml:space="preserve"> MJ</w:t>
      </w:r>
      <w:r w:rsidRPr="0091447F">
        <w:rPr>
          <w:shd w:val="clear" w:color="auto" w:fill="FFFFFF"/>
        </w:rPr>
        <w:t>, Hennessy</w:t>
      </w:r>
      <w:r>
        <w:rPr>
          <w:shd w:val="clear" w:color="auto" w:fill="FFFFFF"/>
        </w:rPr>
        <w:t xml:space="preserve"> K</w:t>
      </w:r>
      <w:r w:rsidRPr="0091447F">
        <w:rPr>
          <w:shd w:val="clear" w:color="auto" w:fill="FFFFFF"/>
        </w:rPr>
        <w:t>, Lansbury</w:t>
      </w:r>
      <w:r>
        <w:rPr>
          <w:shd w:val="clear" w:color="auto" w:fill="FFFFFF"/>
        </w:rPr>
        <w:t xml:space="preserve"> N</w:t>
      </w:r>
      <w:r w:rsidRPr="0091447F">
        <w:rPr>
          <w:shd w:val="clear" w:color="auto" w:fill="FFFFFF"/>
        </w:rPr>
        <w:t>, Nidumolu</w:t>
      </w:r>
      <w:r>
        <w:rPr>
          <w:shd w:val="clear" w:color="auto" w:fill="FFFFFF"/>
        </w:rPr>
        <w:t xml:space="preserve"> UB</w:t>
      </w:r>
      <w:r w:rsidRPr="0091447F">
        <w:rPr>
          <w:shd w:val="clear" w:color="auto" w:fill="FFFFFF"/>
        </w:rPr>
        <w:t>, Pecl</w:t>
      </w:r>
      <w:r>
        <w:rPr>
          <w:shd w:val="clear" w:color="auto" w:fill="FFFFFF"/>
        </w:rPr>
        <w:t xml:space="preserve"> G</w:t>
      </w:r>
      <w:r w:rsidRPr="0091447F">
        <w:rPr>
          <w:shd w:val="clear" w:color="auto" w:fill="FFFFFF"/>
        </w:rPr>
        <w:t>,</w:t>
      </w:r>
      <w:r>
        <w:rPr>
          <w:shd w:val="clear" w:color="auto" w:fill="FFFFFF"/>
        </w:rPr>
        <w:t xml:space="preserve"> </w:t>
      </w:r>
      <w:r w:rsidRPr="0091447F">
        <w:rPr>
          <w:shd w:val="clear" w:color="auto" w:fill="FFFFFF"/>
        </w:rPr>
        <w:t>Rickards</w:t>
      </w:r>
      <w:r>
        <w:rPr>
          <w:shd w:val="clear" w:color="auto" w:fill="FFFFFF"/>
        </w:rPr>
        <w:t xml:space="preserve"> L</w:t>
      </w:r>
      <w:r w:rsidRPr="0091447F">
        <w:rPr>
          <w:shd w:val="clear" w:color="auto" w:fill="FFFFFF"/>
        </w:rPr>
        <w:t>, Tapper</w:t>
      </w:r>
      <w:r>
        <w:rPr>
          <w:shd w:val="clear" w:color="auto" w:fill="FFFFFF"/>
        </w:rPr>
        <w:t xml:space="preserve"> N</w:t>
      </w:r>
      <w:r w:rsidRPr="0091447F">
        <w:rPr>
          <w:shd w:val="clear" w:color="auto" w:fill="FFFFFF"/>
        </w:rPr>
        <w:t>, Woodward</w:t>
      </w:r>
      <w:r>
        <w:rPr>
          <w:shd w:val="clear" w:color="auto" w:fill="FFFFFF"/>
        </w:rPr>
        <w:t xml:space="preserve"> A</w:t>
      </w:r>
      <w:r w:rsidRPr="0091447F">
        <w:rPr>
          <w:shd w:val="clear" w:color="auto" w:fill="FFFFFF"/>
        </w:rPr>
        <w:t>, Wreford</w:t>
      </w:r>
      <w:r>
        <w:rPr>
          <w:shd w:val="clear" w:color="auto" w:fill="FFFFFF"/>
        </w:rPr>
        <w:t xml:space="preserve"> A.</w:t>
      </w:r>
      <w:r w:rsidRPr="0091447F">
        <w:rPr>
          <w:shd w:val="clear" w:color="auto" w:fill="FFFFFF"/>
        </w:rPr>
        <w:t xml:space="preserve"> 2022: Australasia. In:</w:t>
      </w:r>
      <w:r>
        <w:rPr>
          <w:shd w:val="clear" w:color="auto" w:fill="FFFFFF"/>
        </w:rPr>
        <w:t xml:space="preserve"> </w:t>
      </w:r>
      <w:r w:rsidRPr="734E6AE0">
        <w:t xml:space="preserve">Intergovernmental Panel on Climate Change. </w:t>
      </w:r>
      <w:r>
        <w:t xml:space="preserve">2022. </w:t>
      </w:r>
      <w:r w:rsidRPr="00EB20A4">
        <w:rPr>
          <w:i/>
          <w:iCs/>
        </w:rPr>
        <w:t>Climate Change 2022: Impacts, Adaptation and Vulnerability. Contribution of Working Group II to the Sixth Assessment Report of the Intergovernmental Panel on Climate Change</w:t>
      </w:r>
      <w:r w:rsidRPr="734E6AE0">
        <w:t>. Cambridge</w:t>
      </w:r>
      <w:r>
        <w:t>:</w:t>
      </w:r>
      <w:r w:rsidRPr="00550D85">
        <w:t xml:space="preserve"> </w:t>
      </w:r>
      <w:r w:rsidRPr="00412AEC">
        <w:t>Intergovernmental Panel on Climate Change</w:t>
      </w:r>
      <w:r>
        <w:t>.</w:t>
      </w:r>
    </w:p>
  </w:footnote>
  <w:footnote w:id="283">
    <w:p w14:paraId="3B2001A5" w14:textId="77777777" w:rsidR="00851323" w:rsidRPr="007946F8" w:rsidRDefault="00851323" w:rsidP="00851323">
      <w:pPr>
        <w:pStyle w:val="FootnoteText"/>
        <w:rPr>
          <w:lang w:val="en-US"/>
        </w:rPr>
      </w:pPr>
      <w:r w:rsidRPr="00E20794">
        <w:rPr>
          <w:rStyle w:val="FootnoteReference"/>
          <w:rFonts w:cs="Calibri"/>
          <w:szCs w:val="19"/>
        </w:rPr>
        <w:footnoteRef/>
      </w:r>
      <w:r w:rsidRPr="00E20794">
        <w:t xml:space="preserve"> </w:t>
      </w:r>
      <w:r>
        <w:tab/>
      </w:r>
      <w:r w:rsidRPr="004B5E20">
        <w:t>Bodeker</w:t>
      </w:r>
      <w:r w:rsidRPr="007946F8">
        <w:t xml:space="preserve"> G, Cullen N, Katurji M, McDonald A, Morgenstern O, Noone D, Renwick J, Revell L, Tait A. 2022. </w:t>
      </w:r>
      <w:hyperlink r:id="rId195" w:history="1">
        <w:r w:rsidRPr="007946F8">
          <w:rPr>
            <w:rStyle w:val="Hyperlink"/>
            <w:rFonts w:cs="Calibri"/>
            <w:i/>
            <w:iCs/>
            <w:szCs w:val="19"/>
          </w:rPr>
          <w:t>Aotearoa New Zealand climate change projections guidance: Interpreting the latest IPCC WG1 report findings</w:t>
        </w:r>
      </w:hyperlink>
      <w:r w:rsidRPr="007946F8">
        <w:t>. Report number CR 501. Prepared for the Ministry for the Environment by Bodeker Scientific Ltd, National Institute for Water and Atmospheric Research, University of Auckland, University of Canterbury, University of Otago and Victoria University of Wellington. Wellington: Ministry for the Environment.</w:t>
      </w:r>
    </w:p>
  </w:footnote>
  <w:footnote w:id="284">
    <w:p w14:paraId="55EBFC52" w14:textId="77777777" w:rsidR="00851323" w:rsidRPr="00440324" w:rsidRDefault="00851323" w:rsidP="00851323">
      <w:pPr>
        <w:pStyle w:val="FootnoteText"/>
      </w:pPr>
      <w:r w:rsidRPr="00440324">
        <w:rPr>
          <w:rStyle w:val="FootnoteReference"/>
        </w:rPr>
        <w:footnoteRef/>
      </w:r>
      <w:r w:rsidRPr="009500CB">
        <w:rPr>
          <w:sz w:val="16"/>
          <w:szCs w:val="16"/>
        </w:rPr>
        <w:t xml:space="preserve"> </w:t>
      </w:r>
      <w:r>
        <w:rPr>
          <w:sz w:val="16"/>
          <w:szCs w:val="16"/>
        </w:rPr>
        <w:tab/>
      </w:r>
      <w:r w:rsidRPr="00440324">
        <w:t xml:space="preserve">Ministry for the Environment. 2018. </w:t>
      </w:r>
      <w:hyperlink r:id="rId196" w:history="1">
        <w:r w:rsidRPr="00F465B8">
          <w:rPr>
            <w:rStyle w:val="Hyperlink"/>
            <w:i/>
            <w:iCs/>
            <w:spacing w:val="-2"/>
          </w:rPr>
          <w:t>Climate Change Projections for New Zealand: Atmosphere Projections Based on Simulations from the IPCC Fifth Assessment</w:t>
        </w:r>
        <w:r w:rsidRPr="00F465B8">
          <w:rPr>
            <w:rStyle w:val="Hyperlink"/>
            <w:spacing w:val="-2"/>
          </w:rPr>
          <w:t>,</w:t>
        </w:r>
        <w:r w:rsidRPr="00F465B8">
          <w:rPr>
            <w:rStyle w:val="Hyperlink"/>
            <w:i/>
            <w:iCs/>
            <w:spacing w:val="-2"/>
          </w:rPr>
          <w:t xml:space="preserve"> 2nd Edition</w:t>
        </w:r>
      </w:hyperlink>
      <w:r w:rsidRPr="00F465B8">
        <w:rPr>
          <w:spacing w:val="-2"/>
        </w:rPr>
        <w:t>. Wellington: Ministry for the Environment</w:t>
      </w:r>
      <w:r w:rsidRPr="00440324">
        <w:t>.</w:t>
      </w:r>
      <w:r w:rsidRPr="00440324" w:rsidDel="008D7A3E">
        <w:t xml:space="preserve"> </w:t>
      </w:r>
    </w:p>
  </w:footnote>
  <w:footnote w:id="285">
    <w:p w14:paraId="593BA669" w14:textId="77777777" w:rsidR="00851323" w:rsidRPr="00542CC5" w:rsidRDefault="00851323" w:rsidP="00851323">
      <w:pPr>
        <w:pStyle w:val="FootnoteText"/>
      </w:pPr>
      <w:r w:rsidRPr="00440324">
        <w:rPr>
          <w:rStyle w:val="FootnoteReference"/>
        </w:rPr>
        <w:footnoteRef/>
      </w:r>
      <w:r w:rsidRPr="003D60F0">
        <w:rPr>
          <w:rFonts w:asciiTheme="minorHAnsi" w:hAnsiTheme="minorHAnsi" w:cstheme="minorHAnsi"/>
          <w:sz w:val="16"/>
          <w:szCs w:val="16"/>
        </w:rPr>
        <w:t xml:space="preserve"> </w:t>
      </w:r>
      <w:r>
        <w:rPr>
          <w:rFonts w:asciiTheme="minorHAnsi" w:hAnsiTheme="minorHAnsi" w:cstheme="minorHAnsi"/>
          <w:sz w:val="16"/>
          <w:szCs w:val="16"/>
        </w:rPr>
        <w:tab/>
      </w:r>
      <w:r w:rsidRPr="00542CC5">
        <w:t>Ibid.</w:t>
      </w:r>
    </w:p>
  </w:footnote>
  <w:footnote w:id="286">
    <w:p w14:paraId="606BF511" w14:textId="77777777" w:rsidR="00851323" w:rsidRPr="00B66720" w:rsidRDefault="00851323" w:rsidP="00851323">
      <w:pPr>
        <w:pStyle w:val="FootnoteText"/>
        <w:rPr>
          <w:rFonts w:cstheme="minorHAnsi"/>
          <w:sz w:val="18"/>
          <w:szCs w:val="18"/>
        </w:rPr>
      </w:pPr>
      <w:r w:rsidRPr="00440324">
        <w:rPr>
          <w:rStyle w:val="FootnoteReference"/>
        </w:rPr>
        <w:footnoteRef/>
      </w:r>
      <w:r w:rsidRPr="003D60F0">
        <w:rPr>
          <w:rFonts w:cstheme="minorHAnsi"/>
        </w:rPr>
        <w:t xml:space="preserve"> </w:t>
      </w:r>
      <w:r>
        <w:rPr>
          <w:rFonts w:cstheme="minorHAnsi"/>
        </w:rPr>
        <w:tab/>
      </w:r>
      <w:r w:rsidRPr="00542CC5">
        <w:t>Intergovernmental</w:t>
      </w:r>
      <w:r w:rsidRPr="0072536C">
        <w:rPr>
          <w:rFonts w:cstheme="minorHAnsi"/>
        </w:rPr>
        <w:t xml:space="preserve"> Panel on Climate Change. </w:t>
      </w:r>
      <w:r w:rsidRPr="00AD2FAC">
        <w:rPr>
          <w:rFonts w:cstheme="minorHAnsi"/>
        </w:rPr>
        <w:t>2022</w:t>
      </w:r>
      <w:r w:rsidRPr="00AB0F28">
        <w:rPr>
          <w:rFonts w:cstheme="minorHAnsi"/>
        </w:rPr>
        <w:t>.</w:t>
      </w:r>
      <w:r w:rsidRPr="0072536C">
        <w:rPr>
          <w:rFonts w:cstheme="minorHAnsi"/>
        </w:rPr>
        <w:t xml:space="preserve"> </w:t>
      </w:r>
      <w:r w:rsidRPr="00542CC5">
        <w:rPr>
          <w:rFonts w:cstheme="minorHAnsi"/>
          <w:i/>
          <w:iCs/>
        </w:rPr>
        <w:t>Climate Change 2022: Impacts</w:t>
      </w:r>
      <w:r w:rsidRPr="00542CC5">
        <w:rPr>
          <w:i/>
          <w:iCs/>
        </w:rPr>
        <w:t>, Adaptation and Vulnerability. Contribution of Working Group II to the Sixth Assessment Report of the Intergovernmental Panel on Climate Change</w:t>
      </w:r>
      <w:r w:rsidRPr="0072536C">
        <w:t>. Cambridge</w:t>
      </w:r>
      <w:r>
        <w:t>:</w:t>
      </w:r>
      <w:r w:rsidRPr="0068356A">
        <w:rPr>
          <w:rFonts w:cstheme="minorHAnsi"/>
        </w:rPr>
        <w:t xml:space="preserve"> </w:t>
      </w:r>
      <w:r w:rsidRPr="0072536C">
        <w:rPr>
          <w:rFonts w:cstheme="minorHAnsi"/>
        </w:rPr>
        <w:t>Intergovernmental Panel on Climate Change</w:t>
      </w:r>
      <w:r w:rsidRPr="0072536C">
        <w:t>.</w:t>
      </w:r>
      <w:r>
        <w:t xml:space="preserve"> </w:t>
      </w:r>
    </w:p>
  </w:footnote>
  <w:footnote w:id="287">
    <w:p w14:paraId="28A56EBC" w14:textId="77777777" w:rsidR="00851323" w:rsidRPr="00BE158F" w:rsidRDefault="00851323" w:rsidP="00851323">
      <w:pPr>
        <w:pStyle w:val="FootnoteText"/>
      </w:pPr>
      <w:r w:rsidRPr="00BE158F">
        <w:rPr>
          <w:rStyle w:val="FootnoteReference"/>
        </w:rPr>
        <w:footnoteRef/>
      </w:r>
      <w:r w:rsidRPr="00B66720">
        <w:rPr>
          <w:rFonts w:asciiTheme="minorHAnsi" w:hAnsiTheme="minorHAnsi" w:cstheme="minorHAnsi"/>
          <w:sz w:val="18"/>
          <w:szCs w:val="18"/>
        </w:rPr>
        <w:t xml:space="preserve"> </w:t>
      </w:r>
      <w:r>
        <w:rPr>
          <w:rFonts w:asciiTheme="minorHAnsi" w:hAnsiTheme="minorHAnsi" w:cstheme="minorHAnsi"/>
          <w:sz w:val="18"/>
          <w:szCs w:val="18"/>
        </w:rPr>
        <w:tab/>
      </w:r>
      <w:r w:rsidRPr="00BE158F">
        <w:t xml:space="preserve">Ministry for the Environment. 2018. </w:t>
      </w:r>
      <w:hyperlink r:id="rId197" w:history="1">
        <w:r w:rsidRPr="00BE158F">
          <w:rPr>
            <w:rStyle w:val="Hyperlink"/>
            <w:i/>
            <w:iCs/>
          </w:rPr>
          <w:t>Climate Change Projections for New Zealand: Atmosphere Projections</w:t>
        </w:r>
        <w:r>
          <w:rPr>
            <w:rStyle w:val="Hyperlink"/>
            <w:i/>
            <w:iCs/>
          </w:rPr>
          <w:t> </w:t>
        </w:r>
        <w:r w:rsidRPr="00BE158F">
          <w:rPr>
            <w:rStyle w:val="Hyperlink"/>
            <w:i/>
            <w:iCs/>
          </w:rPr>
          <w:t>Based on Simulations from the IPCC Fifth Assessment, 2nd Edition</w:t>
        </w:r>
      </w:hyperlink>
      <w:r w:rsidRPr="00BE158F">
        <w:t>. Wellington: Ministry for</w:t>
      </w:r>
      <w:r>
        <w:t> </w:t>
      </w:r>
      <w:r w:rsidRPr="00BE158F">
        <w:t>the</w:t>
      </w:r>
      <w:r>
        <w:t> </w:t>
      </w:r>
      <w:r w:rsidRPr="00BE158F">
        <w:t>Environment.</w:t>
      </w:r>
    </w:p>
  </w:footnote>
  <w:footnote w:id="288">
    <w:p w14:paraId="6D95E8CD" w14:textId="77777777" w:rsidR="00851323" w:rsidRPr="00BE158F" w:rsidRDefault="00851323" w:rsidP="00851323">
      <w:pPr>
        <w:pStyle w:val="FootnoteText"/>
      </w:pPr>
      <w:r w:rsidRPr="00BE158F">
        <w:rPr>
          <w:rStyle w:val="FootnoteReference"/>
        </w:rPr>
        <w:footnoteRef/>
      </w:r>
      <w:r w:rsidRPr="0094476F">
        <w:rPr>
          <w:sz w:val="16"/>
          <w:szCs w:val="16"/>
        </w:rPr>
        <w:t xml:space="preserve"> </w:t>
      </w:r>
      <w:r>
        <w:rPr>
          <w:sz w:val="16"/>
          <w:szCs w:val="16"/>
        </w:rPr>
        <w:tab/>
      </w:r>
      <w:r w:rsidRPr="00BE158F">
        <w:t xml:space="preserve">Ministry for the Environment. 2022. </w:t>
      </w:r>
      <w:hyperlink r:id="rId198" w:history="1">
        <w:r w:rsidRPr="00BE158F">
          <w:rPr>
            <w:rStyle w:val="Hyperlink"/>
            <w:i/>
            <w:iCs/>
          </w:rPr>
          <w:t>Urutau, ka taurikura:</w:t>
        </w:r>
        <w:r>
          <w:rPr>
            <w:rStyle w:val="Hyperlink"/>
            <w:i/>
            <w:iCs/>
          </w:rPr>
          <w:t xml:space="preserve"> </w:t>
        </w:r>
        <w:r w:rsidRPr="00BE158F">
          <w:rPr>
            <w:rStyle w:val="Hyperlink"/>
            <w:i/>
            <w:iCs/>
          </w:rPr>
          <w:t>kia tū pakari a Aotearoa I ngā huringa āhuarangi. Adapt and thrive: Building a climate-resilient New Zealand</w:t>
        </w:r>
        <w:r w:rsidRPr="00BE158F">
          <w:t>.</w:t>
        </w:r>
      </w:hyperlink>
      <w:r w:rsidRPr="00BE158F">
        <w:t xml:space="preserve"> Page 22.</w:t>
      </w:r>
    </w:p>
  </w:footnote>
  <w:footnote w:id="289">
    <w:p w14:paraId="2B10FDC1" w14:textId="77777777" w:rsidR="00851323" w:rsidRPr="00BE158F" w:rsidRDefault="00851323" w:rsidP="00851323">
      <w:pPr>
        <w:pStyle w:val="FootnoteText"/>
      </w:pPr>
      <w:r w:rsidRPr="00BE158F">
        <w:rPr>
          <w:rStyle w:val="FootnoteReference"/>
        </w:rPr>
        <w:footnoteRef/>
      </w:r>
      <w:r>
        <w:tab/>
      </w:r>
      <w:r w:rsidRPr="00BE158F">
        <w:t xml:space="preserve">See </w:t>
      </w:r>
      <w:hyperlink r:id="rId199">
        <w:r w:rsidRPr="00BE158F">
          <w:rPr>
            <w:rStyle w:val="Hyperlink"/>
          </w:rPr>
          <w:t>NZ SeaRise Programme</w:t>
        </w:r>
      </w:hyperlink>
      <w:r w:rsidRPr="00BE158F">
        <w:t xml:space="preserve"> for further information.</w:t>
      </w:r>
    </w:p>
  </w:footnote>
  <w:footnote w:id="290">
    <w:p w14:paraId="45E3A390" w14:textId="77777777" w:rsidR="00851323" w:rsidRPr="007A56BD" w:rsidRDefault="00851323" w:rsidP="00851323">
      <w:pPr>
        <w:pStyle w:val="FootnoteText"/>
      </w:pPr>
      <w:r>
        <w:rPr>
          <w:rStyle w:val="FootnoteReference"/>
        </w:rPr>
        <w:footnoteRef/>
      </w:r>
      <w:r>
        <w:t xml:space="preserve"> </w:t>
      </w:r>
      <w:r>
        <w:tab/>
      </w:r>
      <w:r w:rsidRPr="0072536C">
        <w:rPr>
          <w:rFonts w:cstheme="minorHAnsi"/>
        </w:rPr>
        <w:t xml:space="preserve">Intergovernmental Panel on Climate Change. </w:t>
      </w:r>
      <w:r>
        <w:rPr>
          <w:rFonts w:cstheme="minorHAnsi"/>
        </w:rPr>
        <w:t>2022.</w:t>
      </w:r>
      <w:r w:rsidRPr="0072536C">
        <w:rPr>
          <w:rFonts w:cstheme="minorHAnsi"/>
        </w:rPr>
        <w:t xml:space="preserve"> </w:t>
      </w:r>
      <w:r w:rsidRPr="00F1165C">
        <w:rPr>
          <w:rFonts w:cstheme="minorHAnsi"/>
          <w:i/>
          <w:iCs/>
        </w:rPr>
        <w:t>Climate Change 2022: Impacts</w:t>
      </w:r>
      <w:r w:rsidRPr="00F1165C">
        <w:rPr>
          <w:i/>
          <w:iCs/>
        </w:rPr>
        <w:t>, Adaptation and Vulnerability. Contribution of Working Group II to the Sixth Assessment Report of the Intergovernmental Panel on Climate Change</w:t>
      </w:r>
      <w:r w:rsidRPr="0072536C">
        <w:t>. Cambridge</w:t>
      </w:r>
      <w:r>
        <w:t>:</w:t>
      </w:r>
      <w:r w:rsidRPr="0068356A">
        <w:rPr>
          <w:rFonts w:cstheme="minorHAnsi"/>
        </w:rPr>
        <w:t xml:space="preserve"> </w:t>
      </w:r>
      <w:r w:rsidRPr="0072536C">
        <w:rPr>
          <w:rFonts w:cstheme="minorHAnsi"/>
        </w:rPr>
        <w:t>Intergovernmental Panel on Climate Change</w:t>
      </w:r>
      <w:r w:rsidRPr="0072536C">
        <w:t>.</w:t>
      </w:r>
    </w:p>
  </w:footnote>
  <w:footnote w:id="291">
    <w:p w14:paraId="4906ABF8" w14:textId="33B987B0" w:rsidR="00851323" w:rsidRPr="00F1165C" w:rsidRDefault="00851323" w:rsidP="00851323">
      <w:pPr>
        <w:pStyle w:val="FootnoteText"/>
        <w:rPr>
          <w:rStyle w:val="Hyperlink"/>
        </w:rPr>
      </w:pPr>
      <w:r>
        <w:rPr>
          <w:rStyle w:val="FootnoteReference"/>
        </w:rPr>
        <w:footnoteRef/>
      </w:r>
      <w:r>
        <w:t xml:space="preserve"> </w:t>
      </w:r>
      <w:r>
        <w:tab/>
      </w:r>
      <w:hyperlink r:id="rId200" w:history="1">
        <w:r w:rsidR="00B43A1D">
          <w:rPr>
            <w:rStyle w:val="Hyperlink"/>
          </w:rPr>
          <w:t>www.stats.govt.nz/indicators/ocean-acidification/</w:t>
        </w:r>
      </w:hyperlink>
      <w:r w:rsidRPr="00F1165C">
        <w:rPr>
          <w:rStyle w:val="Hyperlink"/>
        </w:rPr>
        <w:t xml:space="preserve"> </w:t>
      </w:r>
    </w:p>
  </w:footnote>
  <w:footnote w:id="292">
    <w:p w14:paraId="20002F13" w14:textId="15632FCE" w:rsidR="00851323" w:rsidRPr="00F1165C" w:rsidRDefault="00851323" w:rsidP="00851323">
      <w:pPr>
        <w:pStyle w:val="FootnoteText"/>
      </w:pPr>
      <w:r w:rsidRPr="00F1165C">
        <w:rPr>
          <w:rStyle w:val="FootnoteReference"/>
        </w:rPr>
        <w:footnoteRef/>
      </w:r>
      <w:r w:rsidRPr="00F1165C">
        <w:rPr>
          <w:rStyle w:val="FootnoteReference"/>
        </w:rPr>
        <w:t xml:space="preserve"> </w:t>
      </w:r>
      <w:r>
        <w:tab/>
      </w:r>
      <w:r w:rsidRPr="00F1165C">
        <w:t>Great Walks are premier walking tracks in Aotearoa New Zealand that traverse a range of landscapes. For</w:t>
      </w:r>
      <w:r>
        <w:t> </w:t>
      </w:r>
      <w:r w:rsidRPr="00F1165C">
        <w:t xml:space="preserve">more information, see </w:t>
      </w:r>
      <w:hyperlink r:id="rId201" w:history="1">
        <w:r w:rsidR="00B43A1D">
          <w:rPr>
            <w:rStyle w:val="Hyperlink"/>
          </w:rPr>
          <w:t>www.doc.govt.nz/great-walks</w:t>
        </w:r>
      </w:hyperlink>
      <w:r w:rsidRPr="00F1165C">
        <w:t xml:space="preserve">. </w:t>
      </w:r>
    </w:p>
  </w:footnote>
  <w:footnote w:id="293">
    <w:p w14:paraId="421AA78C" w14:textId="77777777" w:rsidR="00851323" w:rsidRPr="00E86E69" w:rsidRDefault="00851323" w:rsidP="00851323">
      <w:pPr>
        <w:pStyle w:val="FootnoteText"/>
      </w:pPr>
      <w:r w:rsidRPr="004A57DF">
        <w:rPr>
          <w:rStyle w:val="FootnoteReference"/>
          <w:rFonts w:cs="Calibri"/>
          <w:szCs w:val="19"/>
        </w:rPr>
        <w:footnoteRef/>
      </w:r>
      <w:r w:rsidRPr="004A57DF">
        <w:t xml:space="preserve"> </w:t>
      </w:r>
      <w:r>
        <w:tab/>
      </w:r>
      <w:r w:rsidRPr="004A57DF">
        <w:t>Courtyard: the open area in front of the wharenui (meeting house) where formal greetings and discussions take place. Often also used to include the complex of buildings around the marae.</w:t>
      </w:r>
    </w:p>
  </w:footnote>
  <w:footnote w:id="294">
    <w:p w14:paraId="139A6FD1" w14:textId="77777777" w:rsidR="00851323" w:rsidRPr="00AF7F07" w:rsidRDefault="00851323" w:rsidP="00851323">
      <w:pPr>
        <w:pStyle w:val="FootnoteText"/>
      </w:pPr>
      <w:r>
        <w:rPr>
          <w:rStyle w:val="FootnoteReference"/>
        </w:rPr>
        <w:footnoteRef/>
      </w:r>
      <w:r>
        <w:t xml:space="preserve"> </w:t>
      </w:r>
      <w:r>
        <w:tab/>
      </w:r>
      <w:r w:rsidRPr="00AF7F07">
        <w:t xml:space="preserve">Ministry for the Environment. 2019. </w:t>
      </w:r>
      <w:hyperlink r:id="rId202" w:history="1">
        <w:r w:rsidRPr="00AF7F07">
          <w:rPr>
            <w:rStyle w:val="Hyperlink"/>
            <w:i/>
            <w:iCs/>
          </w:rPr>
          <w:t>Arotakenga Huringa Āhuarangi: A Framework for the National Climate Change Risk Assessment for Aotearoa New Zealand</w:t>
        </w:r>
      </w:hyperlink>
      <w:r w:rsidRPr="00AF7F07">
        <w:t>. Wellington: Ministry for the Environment.</w:t>
      </w:r>
    </w:p>
  </w:footnote>
  <w:footnote w:id="295">
    <w:p w14:paraId="26C0631E" w14:textId="77777777" w:rsidR="00851323" w:rsidRDefault="00851323" w:rsidP="00851323">
      <w:pPr>
        <w:pStyle w:val="FootnoteText"/>
      </w:pPr>
      <w:r>
        <w:rPr>
          <w:rStyle w:val="FootnoteReference"/>
        </w:rPr>
        <w:footnoteRef/>
      </w:r>
      <w:r>
        <w:t xml:space="preserve"> </w:t>
      </w:r>
      <w:r>
        <w:tab/>
        <w:t xml:space="preserve">Ministry for the Environment. 2020. </w:t>
      </w:r>
      <w:hyperlink r:id="rId203" w:history="1">
        <w:r w:rsidRPr="00AF7F07">
          <w:rPr>
            <w:rStyle w:val="Hyperlink"/>
            <w:i/>
            <w:iCs/>
          </w:rPr>
          <w:t>National Climate Change Risk Assessment for Aotearoa New Zealand: Main report – Arotakenga Tūraru mō te Huringa Āhuarangi o Āotearoa: Pūrongo whakatōpū</w:t>
        </w:r>
      </w:hyperlink>
      <w:r>
        <w:t>. Wellington: Ministry for the Environment.</w:t>
      </w:r>
    </w:p>
  </w:footnote>
  <w:footnote w:id="296">
    <w:p w14:paraId="3DA74699" w14:textId="77777777" w:rsidR="00851323" w:rsidRPr="00687A5D" w:rsidRDefault="00851323" w:rsidP="00851323">
      <w:pPr>
        <w:pStyle w:val="FootnoteText"/>
      </w:pPr>
      <w:r w:rsidRPr="00EA002C">
        <w:rPr>
          <w:rStyle w:val="FootnoteReference"/>
          <w:rFonts w:cs="Calibri"/>
        </w:rPr>
        <w:footnoteRef/>
      </w:r>
      <w:r w:rsidRPr="00EA002C">
        <w:rPr>
          <w:rFonts w:cs="Calibri"/>
        </w:rPr>
        <w:t xml:space="preserve"> </w:t>
      </w:r>
      <w:r>
        <w:rPr>
          <w:rFonts w:cs="Calibri"/>
        </w:rPr>
        <w:tab/>
      </w:r>
      <w:r w:rsidRPr="00687A5D">
        <w:t xml:space="preserve">Ministry for the Environment. 2020. </w:t>
      </w:r>
      <w:hyperlink r:id="rId204" w:history="1">
        <w:r w:rsidRPr="00687A5D">
          <w:rPr>
            <w:rStyle w:val="Hyperlink"/>
            <w:i/>
            <w:iCs/>
          </w:rPr>
          <w:t>National Climate Change Risk Assessment for New Zealand – Arotakenga Tūraru mō te Huringa Āhuarangi o Āotearoa: Technical report – Pūrongo whaihanga</w:t>
        </w:r>
      </w:hyperlink>
      <w:r w:rsidRPr="00687A5D">
        <w:t>. Wellington: Ministry for the Environment.</w:t>
      </w:r>
    </w:p>
  </w:footnote>
  <w:footnote w:id="297">
    <w:p w14:paraId="554C271C" w14:textId="77777777" w:rsidR="00851323" w:rsidRPr="00AC010E" w:rsidRDefault="00851323" w:rsidP="00851323">
      <w:pPr>
        <w:pStyle w:val="FootnoteText"/>
      </w:pPr>
      <w:r w:rsidRPr="00EA002C">
        <w:rPr>
          <w:rStyle w:val="FootnoteReference"/>
          <w:rFonts w:cs="Calibri"/>
        </w:rPr>
        <w:footnoteRef/>
      </w:r>
      <w:r w:rsidRPr="00EA002C">
        <w:t xml:space="preserve"> </w:t>
      </w:r>
      <w:r>
        <w:tab/>
      </w:r>
      <w:r w:rsidRPr="00EA002C">
        <w:t xml:space="preserve">Māori </w:t>
      </w:r>
      <w:r w:rsidRPr="00687A5D">
        <w:t>knowledge</w:t>
      </w:r>
      <w:r w:rsidRPr="00EA002C">
        <w:t xml:space="preserve"> systems and worldviews, including traditional concepts.</w:t>
      </w:r>
    </w:p>
  </w:footnote>
  <w:footnote w:id="298">
    <w:p w14:paraId="65853A9B" w14:textId="77777777" w:rsidR="00851323" w:rsidRDefault="00851323" w:rsidP="00851323">
      <w:pPr>
        <w:pStyle w:val="FootnoteText"/>
      </w:pPr>
      <w:r>
        <w:rPr>
          <w:rStyle w:val="FootnoteReference"/>
        </w:rPr>
        <w:footnoteRef/>
      </w:r>
      <w:r>
        <w:t xml:space="preserve"> </w:t>
      </w:r>
      <w:r>
        <w:tab/>
        <w:t xml:space="preserve">This figure is taken </w:t>
      </w:r>
      <w:r w:rsidRPr="00DF6FF3">
        <w:t>from</w:t>
      </w:r>
      <w:r>
        <w:t xml:space="preserve"> the national adaptation plan, figure 6, page 37.</w:t>
      </w:r>
    </w:p>
  </w:footnote>
  <w:footnote w:id="299">
    <w:p w14:paraId="4326398E" w14:textId="0592545D" w:rsidR="00851323" w:rsidRPr="00AC010E" w:rsidRDefault="00851323" w:rsidP="00851323">
      <w:pPr>
        <w:pStyle w:val="FootnoteText"/>
      </w:pPr>
      <w:r>
        <w:rPr>
          <w:rStyle w:val="FootnoteReference"/>
        </w:rPr>
        <w:footnoteRef/>
      </w:r>
      <w:r>
        <w:t xml:space="preserve"> </w:t>
      </w:r>
      <w:r>
        <w:tab/>
        <w:t xml:space="preserve">Ministry for the Environment. 2021. </w:t>
      </w:r>
      <w:hyperlink r:id="rId205" w:history="1">
        <w:r w:rsidRPr="00807926">
          <w:rPr>
            <w:rStyle w:val="Hyperlink"/>
            <w:i/>
            <w:iCs/>
          </w:rPr>
          <w:t>He kupu ārahi mō te aromatawai tūraru huringa āhuarangi ā-rohe / A guide to local climate change risk assessments</w:t>
        </w:r>
      </w:hyperlink>
      <w:r>
        <w:t>. Wellington: Ministry for the Environment.</w:t>
      </w:r>
    </w:p>
  </w:footnote>
  <w:footnote w:id="300">
    <w:p w14:paraId="2C7ACFFC" w14:textId="77777777" w:rsidR="00851323" w:rsidRPr="00E2116F" w:rsidRDefault="00851323" w:rsidP="00851323">
      <w:pPr>
        <w:pStyle w:val="FootnoteText"/>
      </w:pPr>
      <w:r>
        <w:rPr>
          <w:rStyle w:val="FootnoteReference"/>
        </w:rPr>
        <w:footnoteRef/>
      </w:r>
      <w:r>
        <w:t xml:space="preserve"> </w:t>
      </w:r>
      <w:r>
        <w:tab/>
        <w:t xml:space="preserve">Bell R, Lawrence J, Allan S, Blackett P, Stephens S. 2017. </w:t>
      </w:r>
      <w:hyperlink r:id="rId206" w:history="1">
        <w:r w:rsidRPr="00201201">
          <w:rPr>
            <w:rStyle w:val="Hyperlink"/>
            <w:i/>
            <w:iCs/>
          </w:rPr>
          <w:t>Coastal Hazards and Climate Change: Guidance for Local Government</w:t>
        </w:r>
        <w:r w:rsidRPr="00201201">
          <w:rPr>
            <w:rStyle w:val="Hyperlink"/>
          </w:rPr>
          <w:t>.</w:t>
        </w:r>
      </w:hyperlink>
      <w:r>
        <w:t xml:space="preserve"> Wellington: Ministry for the Environment. </w:t>
      </w:r>
    </w:p>
  </w:footnote>
  <w:footnote w:id="301">
    <w:p w14:paraId="7E89B063" w14:textId="77777777" w:rsidR="00851323" w:rsidRDefault="00851323" w:rsidP="00851323">
      <w:pPr>
        <w:pStyle w:val="FootnoteText"/>
      </w:pPr>
      <w:r>
        <w:rPr>
          <w:rStyle w:val="FootnoteReference"/>
        </w:rPr>
        <w:footnoteRef/>
      </w:r>
      <w:r>
        <w:t xml:space="preserve"> </w:t>
      </w:r>
      <w:r>
        <w:tab/>
        <w:t>Ministry for the Environment. 2022</w:t>
      </w:r>
      <w:hyperlink r:id="rId207" w:history="1">
        <w:r w:rsidRPr="005573CF">
          <w:rPr>
            <w:rStyle w:val="Hyperlink"/>
            <w:i/>
            <w:iCs/>
          </w:rPr>
          <w:t>. Interim guidance on the use of new sea-level rise projections</w:t>
        </w:r>
      </w:hyperlink>
      <w:r w:rsidRPr="005573CF">
        <w:rPr>
          <w:i/>
          <w:iCs/>
        </w:rPr>
        <w:t>.</w:t>
      </w:r>
      <w:r>
        <w:t xml:space="preserve"> Wellington: Ministry for the Environment.</w:t>
      </w:r>
    </w:p>
  </w:footnote>
  <w:footnote w:id="302">
    <w:p w14:paraId="0340CEDD" w14:textId="77777777" w:rsidR="00851323" w:rsidRDefault="00851323" w:rsidP="00851323">
      <w:pPr>
        <w:pStyle w:val="FootnoteText"/>
      </w:pPr>
      <w:r>
        <w:rPr>
          <w:rStyle w:val="FootnoteReference"/>
        </w:rPr>
        <w:footnoteRef/>
      </w:r>
      <w:r>
        <w:t xml:space="preserve"> </w:t>
      </w:r>
      <w:r>
        <w:tab/>
      </w:r>
      <w:r w:rsidRPr="00506EE6">
        <w:t>Responses</w:t>
      </w:r>
      <w:r w:rsidRPr="00707046">
        <w:rPr>
          <w:rFonts w:eastAsia="Times New Roman"/>
        </w:rPr>
        <w:t xml:space="preserve"> </w:t>
      </w:r>
      <w:r>
        <w:rPr>
          <w:rFonts w:eastAsia="Times New Roman"/>
        </w:rPr>
        <w:t xml:space="preserve">were received </w:t>
      </w:r>
      <w:r w:rsidRPr="00707046">
        <w:rPr>
          <w:rFonts w:eastAsia="Times New Roman"/>
        </w:rPr>
        <w:t xml:space="preserve">from </w:t>
      </w:r>
      <w:r>
        <w:rPr>
          <w:rFonts w:eastAsia="Times New Roman"/>
        </w:rPr>
        <w:t>around</w:t>
      </w:r>
      <w:r w:rsidRPr="00707046">
        <w:rPr>
          <w:rFonts w:eastAsia="Times New Roman"/>
        </w:rPr>
        <w:t xml:space="preserve"> half (220) of the total number of organisations </w:t>
      </w:r>
      <w:r>
        <w:rPr>
          <w:rFonts w:eastAsia="Times New Roman"/>
        </w:rPr>
        <w:t>that</w:t>
      </w:r>
      <w:r w:rsidRPr="00707046">
        <w:rPr>
          <w:rFonts w:eastAsia="Times New Roman"/>
        </w:rPr>
        <w:t xml:space="preserve"> were sent the</w:t>
      </w:r>
      <w:r>
        <w:rPr>
          <w:rFonts w:eastAsia="Times New Roman"/>
        </w:rPr>
        <w:t> </w:t>
      </w:r>
      <w:r w:rsidRPr="00851176">
        <w:rPr>
          <w:rFonts w:eastAsia="Times New Roman"/>
        </w:rPr>
        <w:t>information</w:t>
      </w:r>
      <w:r w:rsidRPr="00707046">
        <w:rPr>
          <w:rFonts w:eastAsia="Times New Roman"/>
        </w:rPr>
        <w:t xml:space="preserve"> request. As such, the percentages outlined here are only representative of organisations </w:t>
      </w:r>
      <w:r>
        <w:rPr>
          <w:rFonts w:eastAsia="Times New Roman"/>
        </w:rPr>
        <w:t>that</w:t>
      </w:r>
      <w:r w:rsidRPr="00707046">
        <w:rPr>
          <w:rFonts w:eastAsia="Times New Roman"/>
        </w:rPr>
        <w:t xml:space="preserve"> responded.</w:t>
      </w:r>
      <w:r>
        <w:t xml:space="preserve"> </w:t>
      </w:r>
    </w:p>
  </w:footnote>
  <w:footnote w:id="303">
    <w:p w14:paraId="684CA25D" w14:textId="77777777" w:rsidR="00851323" w:rsidRPr="0063697E" w:rsidRDefault="00851323" w:rsidP="00851323">
      <w:pPr>
        <w:pStyle w:val="FootnoteText"/>
        <w:rPr>
          <w:b/>
          <w:bCs/>
        </w:rPr>
      </w:pPr>
      <w:r w:rsidRPr="00BE77F4">
        <w:rPr>
          <w:rStyle w:val="FootnoteReference"/>
        </w:rPr>
        <w:footnoteRef/>
      </w:r>
      <w:r w:rsidRPr="0063697E">
        <w:t xml:space="preserve"> </w:t>
      </w:r>
      <w:r>
        <w:tab/>
      </w:r>
      <w:r w:rsidRPr="0063697E">
        <w:t xml:space="preserve">This figure is taken from the national adaptation </w:t>
      </w:r>
      <w:r w:rsidRPr="00D27068">
        <w:t>plan</w:t>
      </w:r>
      <w:r w:rsidRPr="0063697E">
        <w:t xml:space="preserve"> (figure </w:t>
      </w:r>
      <w:r>
        <w:t>3,</w:t>
      </w:r>
      <w:r w:rsidRPr="0063697E">
        <w:t xml:space="preserve"> page 24)</w:t>
      </w:r>
      <w:r>
        <w:t>.</w:t>
      </w:r>
    </w:p>
  </w:footnote>
  <w:footnote w:id="304">
    <w:p w14:paraId="5EFDBED3" w14:textId="77777777" w:rsidR="00851323" w:rsidRDefault="00851323" w:rsidP="00851323">
      <w:pPr>
        <w:pStyle w:val="FootnoteText"/>
      </w:pPr>
      <w:r w:rsidRPr="0063697E">
        <w:rPr>
          <w:rStyle w:val="FootnoteReference"/>
          <w:szCs w:val="19"/>
        </w:rPr>
        <w:footnoteRef/>
      </w:r>
      <w:r>
        <w:rPr>
          <w:szCs w:val="19"/>
        </w:rPr>
        <w:tab/>
      </w:r>
      <w:r w:rsidRPr="0063697E">
        <w:rPr>
          <w:rFonts w:asciiTheme="minorHAnsi" w:hAnsiTheme="minorHAnsi" w:cstheme="minorHAnsi"/>
          <w:szCs w:val="19"/>
        </w:rPr>
        <w:t xml:space="preserve">This figure is taken from the national adaptation plan (figure </w:t>
      </w:r>
      <w:r>
        <w:rPr>
          <w:rFonts w:asciiTheme="minorHAnsi" w:hAnsiTheme="minorHAnsi" w:cstheme="minorHAnsi"/>
          <w:szCs w:val="19"/>
        </w:rPr>
        <w:t>5,</w:t>
      </w:r>
      <w:r w:rsidRPr="0063697E">
        <w:rPr>
          <w:rFonts w:asciiTheme="minorHAnsi" w:hAnsiTheme="minorHAnsi" w:cstheme="minorHAnsi"/>
          <w:szCs w:val="19"/>
        </w:rPr>
        <w:t xml:space="preserve"> page 34)</w:t>
      </w:r>
      <w:r>
        <w:rPr>
          <w:rFonts w:asciiTheme="minorHAnsi" w:hAnsiTheme="minorHAnsi" w:cstheme="minorHAnsi"/>
          <w:szCs w:val="19"/>
        </w:rPr>
        <w:t>.</w:t>
      </w:r>
    </w:p>
  </w:footnote>
  <w:footnote w:id="305">
    <w:p w14:paraId="478E8ADB" w14:textId="77777777" w:rsidR="00851323" w:rsidRPr="00FC130A" w:rsidRDefault="00851323" w:rsidP="00851323">
      <w:pPr>
        <w:pStyle w:val="FootnoteText"/>
      </w:pPr>
      <w:r w:rsidRPr="00FC130A">
        <w:rPr>
          <w:rStyle w:val="FootnoteReference"/>
        </w:rPr>
        <w:footnoteRef/>
      </w:r>
      <w:r>
        <w:t xml:space="preserve"> </w:t>
      </w:r>
      <w:r>
        <w:tab/>
      </w:r>
      <w:r w:rsidRPr="00FC130A">
        <w:t>‘Tangata whenua’ – people of the land.</w:t>
      </w:r>
    </w:p>
  </w:footnote>
  <w:footnote w:id="306">
    <w:p w14:paraId="4271C41B" w14:textId="77777777" w:rsidR="00851323" w:rsidRPr="00FC130A" w:rsidRDefault="00851323" w:rsidP="00851323">
      <w:pPr>
        <w:pStyle w:val="FootnoteText"/>
      </w:pPr>
      <w:r>
        <w:rPr>
          <w:rStyle w:val="FootnoteReference"/>
        </w:rPr>
        <w:footnoteRef/>
      </w:r>
      <w:r>
        <w:t xml:space="preserve"> </w:t>
      </w:r>
      <w:r>
        <w:tab/>
      </w:r>
      <w:r w:rsidRPr="00FC130A">
        <w:t>‘Te ao Māori’ – the Māori world; ‘mātauranga Māori’ – Māori knowledge systems and worldviews, including traditional concepts.</w:t>
      </w:r>
    </w:p>
  </w:footnote>
  <w:footnote w:id="307">
    <w:p w14:paraId="217D23C4" w14:textId="77777777" w:rsidR="00851323" w:rsidRPr="00634EF0" w:rsidRDefault="00851323" w:rsidP="00851323">
      <w:pPr>
        <w:pStyle w:val="FootnoteText"/>
      </w:pPr>
      <w:r>
        <w:rPr>
          <w:rStyle w:val="FootnoteReference"/>
        </w:rPr>
        <w:footnoteRef/>
      </w:r>
      <w:r>
        <w:t xml:space="preserve"> </w:t>
      </w:r>
      <w:r>
        <w:tab/>
      </w:r>
      <w:r w:rsidRPr="00FC130A">
        <w:t xml:space="preserve">‘Kaupapa Māori’ – Māori approach, topic, customary practice, institution, agenda, principles, ideology </w:t>
      </w:r>
      <w:r>
        <w:br/>
      </w:r>
      <w:r w:rsidRPr="00FC130A">
        <w:t>– a philosophical doctrine incorporating the knowledge, skills, attitudes and values of Māori society.</w:t>
      </w:r>
    </w:p>
  </w:footnote>
  <w:footnote w:id="308">
    <w:p w14:paraId="58D1D584" w14:textId="77777777" w:rsidR="00851323" w:rsidRPr="00FC130A" w:rsidRDefault="00851323" w:rsidP="00851323">
      <w:pPr>
        <w:pStyle w:val="FootnoteText"/>
      </w:pPr>
      <w:r w:rsidRPr="57CA008C">
        <w:rPr>
          <w:rStyle w:val="FootnoteReference"/>
        </w:rPr>
        <w:footnoteRef/>
      </w:r>
      <w:r>
        <w:t xml:space="preserve"> </w:t>
      </w:r>
      <w:r>
        <w:tab/>
        <w:t>‘T</w:t>
      </w:r>
      <w:r w:rsidRPr="00FC130A">
        <w:t>angata Māori</w:t>
      </w:r>
      <w:r>
        <w:t>’</w:t>
      </w:r>
      <w:r w:rsidRPr="00FC130A">
        <w:t xml:space="preserve"> in this context is a term used to describe act</w:t>
      </w:r>
      <w:r>
        <w:t>i</w:t>
      </w:r>
      <w:r w:rsidRPr="00FC130A">
        <w:t>ons and solutions delivered by Māori for Māori</w:t>
      </w:r>
      <w:r>
        <w:t>.</w:t>
      </w:r>
    </w:p>
  </w:footnote>
  <w:footnote w:id="309">
    <w:p w14:paraId="04F91574" w14:textId="77777777" w:rsidR="00851323" w:rsidRPr="00DB098C" w:rsidRDefault="00851323" w:rsidP="00851323">
      <w:pPr>
        <w:pStyle w:val="FootnoteText"/>
        <w:rPr>
          <w:lang w:val="en-US"/>
        </w:rPr>
      </w:pPr>
      <w:r>
        <w:rPr>
          <w:rStyle w:val="FootnoteReference"/>
        </w:rPr>
        <w:footnoteRef/>
      </w:r>
      <w:r>
        <w:t xml:space="preserve"> </w:t>
      </w:r>
      <w:r>
        <w:tab/>
        <w:t xml:space="preserve">Climate Change Adaptation Technical Working Group. 2018. </w:t>
      </w:r>
      <w:hyperlink r:id="rId208" w:history="1">
        <w:r w:rsidRPr="00DB098C">
          <w:rPr>
            <w:rStyle w:val="Hyperlink"/>
            <w:i/>
            <w:iCs/>
          </w:rPr>
          <w:t>Adapting to Climate Change in New Zealand: Recommendations from the Climate Change Adaptation Technical Working Group</w:t>
        </w:r>
      </w:hyperlink>
      <w:r>
        <w:t>.</w:t>
      </w:r>
    </w:p>
  </w:footnote>
  <w:footnote w:id="310">
    <w:p w14:paraId="62B8B737" w14:textId="21C748BE" w:rsidR="00851323" w:rsidRDefault="00851323" w:rsidP="00851323">
      <w:pPr>
        <w:pStyle w:val="FootnoteText"/>
      </w:pPr>
      <w:r w:rsidRPr="00451254">
        <w:rPr>
          <w:rStyle w:val="FootnoteReference"/>
        </w:rPr>
        <w:footnoteRef/>
      </w:r>
      <w:r>
        <w:t xml:space="preserve"> </w:t>
      </w:r>
      <w:r>
        <w:tab/>
        <w:t xml:space="preserve">Ministry for the Environment. 2022. </w:t>
      </w:r>
      <w:hyperlink r:id="rId209" w:history="1">
        <w:r w:rsidRPr="00DC4171">
          <w:rPr>
            <w:rStyle w:val="Hyperlink"/>
            <w:i/>
            <w:iCs/>
          </w:rPr>
          <w:t>Aotearoa New Zealand’s first national adaptation plan</w:t>
        </w:r>
      </w:hyperlink>
      <w:r>
        <w:t>. Wellington: Ministry for the Environment. Page 68.</w:t>
      </w:r>
    </w:p>
  </w:footnote>
  <w:footnote w:id="311">
    <w:p w14:paraId="63599C09" w14:textId="77777777" w:rsidR="00851323" w:rsidRPr="00162D90" w:rsidRDefault="00851323" w:rsidP="00851323">
      <w:pPr>
        <w:pStyle w:val="FootnoteText"/>
        <w:rPr>
          <w:lang w:val="en-US"/>
        </w:rPr>
      </w:pPr>
      <w:r>
        <w:rPr>
          <w:rStyle w:val="FootnoteReference"/>
        </w:rPr>
        <w:footnoteRef/>
      </w:r>
      <w:r>
        <w:t xml:space="preserve"> </w:t>
      </w:r>
      <w:r>
        <w:tab/>
      </w:r>
      <w:r w:rsidRPr="003B0016">
        <w:rPr>
          <w:lang w:val="en-US"/>
        </w:rPr>
        <w:t xml:space="preserve">‘Kaitiaki’ – guardian, caretaker, manager, trustee; </w:t>
      </w:r>
      <w:r>
        <w:rPr>
          <w:lang w:val="en-US"/>
        </w:rPr>
        <w:t>‘</w:t>
      </w:r>
      <w:r w:rsidRPr="00A129F3">
        <w:t>taonga</w:t>
      </w:r>
      <w:r>
        <w:t>’ – t</w:t>
      </w:r>
      <w:r w:rsidRPr="0002356F">
        <w:t>reasure, anything prized – applied to</w:t>
      </w:r>
      <w:r>
        <w:t> </w:t>
      </w:r>
      <w:r w:rsidRPr="0002356F">
        <w:t xml:space="preserve">anything considered to </w:t>
      </w:r>
      <w:r w:rsidRPr="00406628">
        <w:t>be</w:t>
      </w:r>
      <w:r w:rsidRPr="0002356F">
        <w:t xml:space="preserve"> of value, including socially or culturally valuable objects, resources, phenomena, ideas and techniques</w:t>
      </w:r>
      <w:r w:rsidRPr="00FD51FE">
        <w:rPr>
          <w:lang w:val="en-US"/>
        </w:rPr>
        <w:t>.</w:t>
      </w:r>
    </w:p>
  </w:footnote>
  <w:footnote w:id="312">
    <w:p w14:paraId="7FC3E40D" w14:textId="77777777" w:rsidR="00851323" w:rsidRPr="00DF10A7" w:rsidRDefault="00851323" w:rsidP="00851323">
      <w:pPr>
        <w:pStyle w:val="FootnoteText"/>
        <w:rPr>
          <w:lang w:val="en-US"/>
        </w:rPr>
      </w:pPr>
      <w:r>
        <w:rPr>
          <w:rStyle w:val="FootnoteReference"/>
        </w:rPr>
        <w:footnoteRef/>
      </w:r>
      <w:r>
        <w:t xml:space="preserve"> </w:t>
      </w:r>
      <w:r>
        <w:tab/>
      </w:r>
      <w:r w:rsidRPr="005D093A">
        <w:t>‘Iwi’ – tribe, large group descended from a common ancestor; ‘hapū’ – kinship group, clan, subtribe</w:t>
      </w:r>
      <w:r>
        <w:t>; Whenua (Māori) Māori land. There are three types of whenua Māori: Māori freehold land, Māori customary land and general land owned by Māori; ‘</w:t>
      </w:r>
      <w:r w:rsidRPr="003B0016">
        <w:rPr>
          <w:rFonts w:asciiTheme="minorHAnsi" w:hAnsiTheme="minorHAnsi" w:cstheme="minorHAnsi"/>
          <w:szCs w:val="17"/>
        </w:rPr>
        <w:t xml:space="preserve">Tiriti </w:t>
      </w:r>
      <w:r>
        <w:rPr>
          <w:rFonts w:asciiTheme="minorHAnsi" w:hAnsiTheme="minorHAnsi" w:cstheme="minorHAnsi"/>
          <w:szCs w:val="17"/>
        </w:rPr>
        <w:t>o Waitangi’ – Treaty of Waitangi</w:t>
      </w:r>
      <w:r>
        <w:t xml:space="preserve">. </w:t>
      </w:r>
    </w:p>
  </w:footnote>
  <w:footnote w:id="313">
    <w:p w14:paraId="1910BE50" w14:textId="77777777" w:rsidR="00851323" w:rsidRPr="00191F74" w:rsidRDefault="00851323" w:rsidP="00851323">
      <w:pPr>
        <w:pStyle w:val="FootnoteText"/>
      </w:pPr>
      <w:r>
        <w:rPr>
          <w:rStyle w:val="FootnoteReference"/>
        </w:rPr>
        <w:footnoteRef/>
      </w:r>
      <w:r>
        <w:t xml:space="preserve"> </w:t>
      </w:r>
      <w:r>
        <w:tab/>
      </w:r>
      <w:r>
        <w:rPr>
          <w:lang w:val="en-US"/>
        </w:rPr>
        <w:t xml:space="preserve">‘Kaitiaki’ – </w:t>
      </w:r>
      <w:r w:rsidRPr="0039700A">
        <w:rPr>
          <w:lang w:val="en-US"/>
        </w:rPr>
        <w:t>guardian, caretaker, manager, trustee</w:t>
      </w:r>
      <w:r>
        <w:rPr>
          <w:lang w:val="en-US"/>
        </w:rPr>
        <w:t>; ‘</w:t>
      </w:r>
      <w:r w:rsidRPr="009C075C">
        <w:rPr>
          <w:lang w:val="en-US"/>
        </w:rPr>
        <w:t>taonga</w:t>
      </w:r>
      <w:r>
        <w:rPr>
          <w:lang w:val="en-US"/>
        </w:rPr>
        <w:t>’ – t</w:t>
      </w:r>
      <w:r w:rsidRPr="00017AA3">
        <w:rPr>
          <w:lang w:val="en-US"/>
        </w:rPr>
        <w:t>reasure, anything prized – applied to</w:t>
      </w:r>
      <w:r>
        <w:rPr>
          <w:lang w:val="en-US"/>
        </w:rPr>
        <w:t> </w:t>
      </w:r>
      <w:r w:rsidRPr="00017AA3">
        <w:rPr>
          <w:lang w:val="en-US"/>
        </w:rPr>
        <w:t xml:space="preserve">anything considered to be of value, including socially or culturally valuable objects, resources, phenomena, ideas and </w:t>
      </w:r>
      <w:r w:rsidRPr="003721A5">
        <w:t>techniques</w:t>
      </w:r>
      <w:r>
        <w:rPr>
          <w:lang w:val="en-US"/>
        </w:rPr>
        <w:t>.</w:t>
      </w:r>
    </w:p>
  </w:footnote>
  <w:footnote w:id="314">
    <w:p w14:paraId="3261B2A5" w14:textId="77777777" w:rsidR="00851323" w:rsidRDefault="00851323" w:rsidP="00851323">
      <w:pPr>
        <w:pStyle w:val="FootnoteText"/>
      </w:pPr>
      <w:r>
        <w:rPr>
          <w:rStyle w:val="FootnoteReference"/>
        </w:rPr>
        <w:footnoteRef/>
      </w:r>
      <w:r>
        <w:t xml:space="preserve"> </w:t>
      </w:r>
      <w:r>
        <w:tab/>
      </w:r>
      <w:r w:rsidRPr="00853C5E">
        <w:t>Frame</w:t>
      </w:r>
      <w:r>
        <w:t xml:space="preserve"> D, Rosier S, Carey-Smith T, Harrington L, Dean S, Noy I. 2018. </w:t>
      </w:r>
      <w:r w:rsidRPr="00DF608A">
        <w:rPr>
          <w:i/>
          <w:iCs/>
        </w:rPr>
        <w:t>Estimating Financial Costs of Climate Change in New Zealand: An Estimate of Climate Change-Related Weather Event Costs</w:t>
      </w:r>
      <w:r>
        <w:t>. New Zealand Climate Change Institute and NIWA. Wellington.</w:t>
      </w:r>
    </w:p>
  </w:footnote>
  <w:footnote w:id="315">
    <w:p w14:paraId="690F2487" w14:textId="77777777" w:rsidR="00851323" w:rsidRPr="00446F04" w:rsidRDefault="00851323" w:rsidP="00851323">
      <w:pPr>
        <w:pStyle w:val="FootnoteText"/>
        <w:rPr>
          <w:lang w:val="en-US"/>
        </w:rPr>
      </w:pPr>
      <w:r>
        <w:rPr>
          <w:rStyle w:val="FootnoteReference"/>
        </w:rPr>
        <w:footnoteRef/>
      </w:r>
      <w:r>
        <w:t xml:space="preserve"> </w:t>
      </w:r>
      <w:r>
        <w:tab/>
        <w:t xml:space="preserve">Ministry for the </w:t>
      </w:r>
      <w:r w:rsidRPr="000547B6">
        <w:t>Environment</w:t>
      </w:r>
      <w:r>
        <w:t xml:space="preserve">. 2021. </w:t>
      </w:r>
      <w:hyperlink r:id="rId210" w:history="1">
        <w:r w:rsidRPr="00446F04">
          <w:rPr>
            <w:rStyle w:val="Hyperlink"/>
            <w:i/>
            <w:iCs/>
          </w:rPr>
          <w:t>Adaptation preparedness: 2020/21 baseline – A summary of reporting organisation responses from the first information request under the Climate Change Response Act 2002</w:t>
        </w:r>
      </w:hyperlink>
      <w:r>
        <w:t>. Wellington: Ministry for the Environment.</w:t>
      </w:r>
    </w:p>
  </w:footnote>
  <w:footnote w:id="316">
    <w:p w14:paraId="04F93EEA" w14:textId="77777777" w:rsidR="00851323" w:rsidRPr="00DF2936" w:rsidRDefault="00851323" w:rsidP="00F06A7D">
      <w:pPr>
        <w:pStyle w:val="FootnoteText"/>
        <w:spacing w:after="40"/>
      </w:pPr>
      <w:r w:rsidRPr="00DF2936">
        <w:rPr>
          <w:rStyle w:val="FootnoteReference"/>
          <w:rFonts w:asciiTheme="minorHAnsi" w:hAnsiTheme="minorHAnsi" w:cstheme="minorHAnsi"/>
          <w:szCs w:val="16"/>
        </w:rPr>
        <w:footnoteRef/>
      </w:r>
      <w:r w:rsidRPr="00DF2936">
        <w:t xml:space="preserve"> </w:t>
      </w:r>
      <w:r>
        <w:tab/>
      </w:r>
      <w:r w:rsidRPr="00DF2936">
        <w:t xml:space="preserve">More </w:t>
      </w:r>
      <w:r w:rsidRPr="00213695">
        <w:t>information</w:t>
      </w:r>
      <w:r w:rsidRPr="00DF2936">
        <w:t xml:space="preserve"> on Te Ara Paerangi </w:t>
      </w:r>
      <w:r>
        <w:t>–</w:t>
      </w:r>
      <w:r w:rsidRPr="00DF2936">
        <w:t xml:space="preserve"> Future Pathways can be found in </w:t>
      </w:r>
      <w:r>
        <w:t>c</w:t>
      </w:r>
      <w:r w:rsidRPr="00DF2936">
        <w:t>hapter 8</w:t>
      </w:r>
      <w:r>
        <w:t>.</w:t>
      </w:r>
    </w:p>
  </w:footnote>
  <w:footnote w:id="317">
    <w:p w14:paraId="68EF51C0" w14:textId="77777777" w:rsidR="00851323" w:rsidRPr="00F779FB" w:rsidRDefault="00851323" w:rsidP="00F06A7D">
      <w:pPr>
        <w:pStyle w:val="FootnoteText"/>
        <w:spacing w:after="40" w:line="230" w:lineRule="atLeast"/>
        <w:rPr>
          <w:sz w:val="18"/>
          <w:szCs w:val="18"/>
        </w:rPr>
      </w:pPr>
      <w:r>
        <w:rPr>
          <w:rStyle w:val="FootnoteReference"/>
        </w:rPr>
        <w:footnoteRef/>
      </w:r>
      <w:r>
        <w:t xml:space="preserve"> </w:t>
      </w:r>
      <w:r>
        <w:tab/>
      </w:r>
      <w:r w:rsidRPr="00F779FB">
        <w:t>More information on these significant research programmes can be found in chapter 8.</w:t>
      </w:r>
    </w:p>
  </w:footnote>
  <w:footnote w:id="318">
    <w:p w14:paraId="40201C2D" w14:textId="77777777" w:rsidR="00851323" w:rsidRPr="00CF09E8" w:rsidRDefault="00851323" w:rsidP="00F06A7D">
      <w:pPr>
        <w:pStyle w:val="FootnoteText"/>
        <w:spacing w:after="40" w:line="230" w:lineRule="atLeast"/>
      </w:pPr>
      <w:r w:rsidRPr="00CF09E8">
        <w:rPr>
          <w:rStyle w:val="FootnoteReference"/>
        </w:rPr>
        <w:footnoteRef/>
      </w:r>
      <w:r w:rsidRPr="00F779FB">
        <w:rPr>
          <w:sz w:val="18"/>
          <w:szCs w:val="18"/>
        </w:rPr>
        <w:t xml:space="preserve"> </w:t>
      </w:r>
      <w:r>
        <w:rPr>
          <w:sz w:val="18"/>
          <w:szCs w:val="18"/>
        </w:rPr>
        <w:tab/>
      </w:r>
      <w:r w:rsidRPr="00CF09E8">
        <w:t xml:space="preserve">Ministry for the Environment. 2022. </w:t>
      </w:r>
      <w:hyperlink r:id="rId211" w:history="1">
        <w:r w:rsidRPr="00CF09E8">
          <w:rPr>
            <w:rStyle w:val="Hyperlink"/>
            <w:i/>
            <w:iCs/>
          </w:rPr>
          <w:t>Aotearoa New Zealand’s first national adaptation plan</w:t>
        </w:r>
      </w:hyperlink>
      <w:r w:rsidRPr="00CF09E8">
        <w:t>. Wellington. Ministry for the Environment.</w:t>
      </w:r>
    </w:p>
  </w:footnote>
  <w:footnote w:id="319">
    <w:p w14:paraId="2AE5B3A1" w14:textId="7CA85476" w:rsidR="00851323" w:rsidRPr="004471D7" w:rsidRDefault="00851323" w:rsidP="00F06A7D">
      <w:pPr>
        <w:pStyle w:val="FootnoteText"/>
        <w:spacing w:after="40" w:line="230" w:lineRule="atLeast"/>
      </w:pPr>
      <w:r w:rsidRPr="00CF09E8">
        <w:rPr>
          <w:rStyle w:val="FootnoteReference"/>
        </w:rPr>
        <w:footnoteRef/>
      </w:r>
      <w:r w:rsidRPr="00F779FB">
        <w:rPr>
          <w:sz w:val="18"/>
          <w:szCs w:val="18"/>
        </w:rPr>
        <w:t xml:space="preserve"> </w:t>
      </w:r>
      <w:r>
        <w:rPr>
          <w:sz w:val="18"/>
          <w:szCs w:val="18"/>
        </w:rPr>
        <w:tab/>
      </w:r>
      <w:r w:rsidRPr="004471D7">
        <w:t xml:space="preserve">Dunedin City Council. 2022. </w:t>
      </w:r>
      <w:r w:rsidRPr="004471D7">
        <w:rPr>
          <w:i/>
          <w:iCs/>
        </w:rPr>
        <w:t xml:space="preserve">The </w:t>
      </w:r>
      <w:hyperlink r:id="rId212" w:history="1">
        <w:r w:rsidRPr="004471D7">
          <w:rPr>
            <w:i/>
            <w:iCs/>
          </w:rPr>
          <w:t>South Dunedin Future Programme</w:t>
        </w:r>
      </w:hyperlink>
      <w:r w:rsidRPr="004471D7">
        <w:t xml:space="preserve">. Retrieved from </w:t>
      </w:r>
      <w:hyperlink r:id="rId213" w:history="1">
        <w:r w:rsidR="005D0008" w:rsidRPr="00625A59">
          <w:rPr>
            <w:rStyle w:val="Hyperlink"/>
          </w:rPr>
          <w:t>www.dunedin.govt.nz/council/council-projects/south-dunedin-future/the-south-dunedin-future-programme</w:t>
        </w:r>
      </w:hyperlink>
      <w:r w:rsidRPr="004471D7">
        <w:t> (3 November 2022).</w:t>
      </w:r>
    </w:p>
  </w:footnote>
  <w:footnote w:id="320">
    <w:p w14:paraId="4928F3B1" w14:textId="3134EF3C" w:rsidR="00851323" w:rsidRPr="004471D7" w:rsidRDefault="00851323" w:rsidP="00851323">
      <w:pPr>
        <w:pStyle w:val="FootnoteText"/>
      </w:pPr>
      <w:r w:rsidRPr="004471D7">
        <w:rPr>
          <w:rStyle w:val="FootnoteReference"/>
        </w:rPr>
        <w:footnoteRef/>
      </w:r>
      <w:r w:rsidRPr="00F779FB">
        <w:rPr>
          <w:sz w:val="18"/>
          <w:szCs w:val="18"/>
        </w:rPr>
        <w:t xml:space="preserve"> </w:t>
      </w:r>
      <w:r>
        <w:rPr>
          <w:sz w:val="18"/>
          <w:szCs w:val="18"/>
        </w:rPr>
        <w:tab/>
      </w:r>
      <w:r w:rsidRPr="004471D7">
        <w:t xml:space="preserve">Ministry for the Environment. 2022. </w:t>
      </w:r>
      <w:hyperlink r:id="rId214" w:history="1">
        <w:r w:rsidRPr="004471D7">
          <w:rPr>
            <w:i/>
            <w:iCs/>
          </w:rPr>
          <w:t>Clifton to Tangoio Coastal Hazards Strategy 2120</w:t>
        </w:r>
      </w:hyperlink>
      <w:r w:rsidRPr="004471D7">
        <w:t xml:space="preserve">. Retrieved from </w:t>
      </w:r>
      <w:hyperlink r:id="rId215" w:history="1">
        <w:r w:rsidR="005D0008">
          <w:rPr>
            <w:rStyle w:val="Hyperlink"/>
          </w:rPr>
          <w:t>environment.govt.nz/what-you-can-do/stories/clifton-to-tangoio-coastal-hazards-strategy-2120/</w:t>
        </w:r>
      </w:hyperlink>
      <w:r w:rsidRPr="004471D7">
        <w:t xml:space="preserve"> (3</w:t>
      </w:r>
      <w:r w:rsidR="005D0008">
        <w:t> </w:t>
      </w:r>
      <w:r w:rsidRPr="004471D7">
        <w:t>November 2022).</w:t>
      </w:r>
    </w:p>
  </w:footnote>
  <w:footnote w:id="321">
    <w:p w14:paraId="43199CBA" w14:textId="37ABFA32" w:rsidR="00851323" w:rsidRPr="004471D7" w:rsidRDefault="00851323" w:rsidP="00851323">
      <w:pPr>
        <w:pStyle w:val="FootnoteText"/>
      </w:pPr>
      <w:r w:rsidRPr="004471D7">
        <w:rPr>
          <w:rStyle w:val="FootnoteReference"/>
        </w:rPr>
        <w:footnoteRef/>
      </w:r>
      <w:r w:rsidRPr="00F779FB">
        <w:rPr>
          <w:sz w:val="18"/>
          <w:szCs w:val="18"/>
        </w:rPr>
        <w:t xml:space="preserve"> </w:t>
      </w:r>
      <w:r>
        <w:rPr>
          <w:sz w:val="18"/>
          <w:szCs w:val="18"/>
        </w:rPr>
        <w:tab/>
      </w:r>
      <w:r w:rsidRPr="004471D7">
        <w:t xml:space="preserve">Ministry for the Environment. 2022. </w:t>
      </w:r>
      <w:r w:rsidRPr="004471D7">
        <w:rPr>
          <w:i/>
          <w:iCs/>
        </w:rPr>
        <w:t>An iwi shows how we can adjust and thrive in a changing climate</w:t>
      </w:r>
      <w:r w:rsidRPr="004471D7">
        <w:t xml:space="preserve">. Retrieved from </w:t>
      </w:r>
      <w:hyperlink r:id="rId216" w:history="1">
        <w:r w:rsidR="005D0008">
          <w:rPr>
            <w:rStyle w:val="Hyperlink"/>
          </w:rPr>
          <w:t>environment.govt.nz/what-you-can-do/stories/an-iwi-shows-how-we-can-adjust-and-thrive-in-a-changing-climate/</w:t>
        </w:r>
      </w:hyperlink>
      <w:r w:rsidRPr="004471D7">
        <w:t xml:space="preserve"> (3 November 2022).</w:t>
      </w:r>
    </w:p>
  </w:footnote>
  <w:footnote w:id="322">
    <w:p w14:paraId="489E53BA" w14:textId="77777777" w:rsidR="00851323" w:rsidRPr="00C46BBA" w:rsidRDefault="00851323" w:rsidP="00851323">
      <w:pPr>
        <w:pStyle w:val="FootnoteText"/>
        <w:rPr>
          <w:lang w:val="en-US"/>
        </w:rPr>
      </w:pPr>
      <w:r>
        <w:rPr>
          <w:rStyle w:val="FootnoteReference"/>
        </w:rPr>
        <w:footnoteRef/>
      </w:r>
      <w:r>
        <w:t xml:space="preserve"> </w:t>
      </w:r>
      <w:r>
        <w:tab/>
      </w:r>
      <w:r w:rsidRPr="0068345E">
        <w:t xml:space="preserve">The </w:t>
      </w:r>
      <w:r w:rsidRPr="002470EF">
        <w:t>Aotearoa</w:t>
      </w:r>
      <w:r w:rsidRPr="0068345E">
        <w:t xml:space="preserve"> Circle</w:t>
      </w:r>
      <w:r>
        <w:t xml:space="preserve">. 2021. </w:t>
      </w:r>
      <w:hyperlink r:id="rId217" w:history="1">
        <w:r w:rsidRPr="002B7D73">
          <w:rPr>
            <w:rStyle w:val="Hyperlink"/>
            <w:i/>
            <w:iCs/>
          </w:rPr>
          <w:t>Seafood Sector Adaptation Strategy: Climate Adaptation Strategy 2021–2030</w:t>
        </w:r>
      </w:hyperlink>
      <w:r>
        <w:t>.</w:t>
      </w:r>
    </w:p>
  </w:footnote>
  <w:footnote w:id="323">
    <w:p w14:paraId="7CFEDD55" w14:textId="77777777" w:rsidR="00851323" w:rsidRPr="00C46BBA" w:rsidRDefault="00851323" w:rsidP="00851323">
      <w:pPr>
        <w:pStyle w:val="FootnoteText"/>
      </w:pPr>
      <w:r>
        <w:rPr>
          <w:rStyle w:val="FootnoteReference"/>
        </w:rPr>
        <w:footnoteRef/>
      </w:r>
      <w:r>
        <w:t xml:space="preserve"> </w:t>
      </w:r>
      <w:r>
        <w:tab/>
      </w:r>
      <w:r w:rsidRPr="002B2C63">
        <w:t>Summary of joint National Science Challenge rolling symposium</w:t>
      </w:r>
      <w:r>
        <w:t>. 2021.</w:t>
      </w:r>
      <w:r w:rsidRPr="002B2C63">
        <w:t xml:space="preserve"> </w:t>
      </w:r>
      <w:hyperlink r:id="rId218" w:history="1">
        <w:r w:rsidRPr="002B7D73">
          <w:rPr>
            <w:rStyle w:val="Hyperlink"/>
            <w:i/>
            <w:iCs/>
          </w:rPr>
          <w:t>Growing Kai Under Increasing Dry: How does the primary sector in Aotearoa adapt to a changing climate with a changing drought profile?</w:t>
        </w:r>
      </w:hyperlink>
      <w:r>
        <w:t xml:space="preserve"> </w:t>
      </w:r>
    </w:p>
  </w:footnote>
  <w:footnote w:id="324">
    <w:p w14:paraId="0D2628F3" w14:textId="77777777" w:rsidR="00B71B4E" w:rsidRPr="000F7EF1" w:rsidRDefault="00B71B4E" w:rsidP="00B71B4E">
      <w:pPr>
        <w:pStyle w:val="Footnote"/>
        <w:rPr>
          <w:highlight w:val="yellow"/>
        </w:rPr>
      </w:pPr>
      <w:r w:rsidRPr="000F7EF1">
        <w:rPr>
          <w:rStyle w:val="FootnoteReference"/>
        </w:rPr>
        <w:footnoteRef/>
      </w:r>
      <w:r w:rsidRPr="000F7EF1">
        <w:rPr>
          <w:rStyle w:val="FootnoteReference"/>
        </w:rPr>
        <w:t xml:space="preserve"> </w:t>
      </w:r>
      <w:r w:rsidRPr="000F7EF1">
        <w:tab/>
        <w:t>For clarity, this chapter uses the definition of capacity building from the Organisation for Economic Co</w:t>
      </w:r>
      <w:r w:rsidRPr="000F7EF1">
        <w:noBreakHyphen/>
        <w:t>operation and Development’s Development Assistance Committee.</w:t>
      </w:r>
    </w:p>
  </w:footnote>
  <w:footnote w:id="325">
    <w:p w14:paraId="1FEEAAB5" w14:textId="3B2D7977" w:rsidR="00B71B4E" w:rsidRDefault="00B71B4E" w:rsidP="00B71B4E">
      <w:pPr>
        <w:pStyle w:val="FootnoteText"/>
      </w:pPr>
      <w:r>
        <w:rPr>
          <w:rStyle w:val="FootnoteReference"/>
        </w:rPr>
        <w:footnoteRef/>
      </w:r>
      <w:r>
        <w:tab/>
      </w:r>
      <w:r w:rsidRPr="005171A0">
        <w:rPr>
          <w:spacing w:val="-2"/>
        </w:rPr>
        <w:t>Climate-specific support represents the total of the climate-related support in table 7.3 (NZ$285.</w:t>
      </w:r>
      <w:r w:rsidR="00F54A8A">
        <w:rPr>
          <w:spacing w:val="-2"/>
        </w:rPr>
        <w:t>78</w:t>
      </w:r>
      <w:r w:rsidRPr="005171A0">
        <w:rPr>
          <w:spacing w:val="-2"/>
        </w:rPr>
        <w:t xml:space="preserve"> million)</w:t>
      </w:r>
      <w:r>
        <w:t xml:space="preserve"> minus the amount that is tagged as ‘core/general’ (NZ$68.66 million). Due to the </w:t>
      </w:r>
      <w:r w:rsidR="00296ADB" w:rsidRPr="00296ADB">
        <w:t>availability of</w:t>
      </w:r>
      <w:r w:rsidR="00296ADB">
        <w:t xml:space="preserve"> </w:t>
      </w:r>
      <w:r>
        <w:t>the relevant imputed shares, the climate-specific figure is more accurate for 2019–20 than for previous reporting periods.</w:t>
      </w:r>
    </w:p>
  </w:footnote>
  <w:footnote w:id="326">
    <w:p w14:paraId="221795E8" w14:textId="77777777" w:rsidR="00B71B4E" w:rsidRPr="007D40BC" w:rsidRDefault="00B71B4E" w:rsidP="00B71B4E">
      <w:pPr>
        <w:pStyle w:val="FootnoteText"/>
        <w:rPr>
          <w:highlight w:val="yellow"/>
        </w:rPr>
      </w:pPr>
      <w:r w:rsidRPr="007E4A52">
        <w:rPr>
          <w:rStyle w:val="FootnoteReference"/>
        </w:rPr>
        <w:footnoteRef/>
      </w:r>
      <w:r w:rsidRPr="007E4A52">
        <w:t xml:space="preserve"> </w:t>
      </w:r>
      <w:r w:rsidRPr="007E4A52">
        <w:tab/>
      </w:r>
      <w:r>
        <w:t>M</w:t>
      </w:r>
      <w:r w:rsidRPr="007E4A52">
        <w:t xml:space="preserve">ultilateral contributions represent the </w:t>
      </w:r>
      <w:r>
        <w:t>total</w:t>
      </w:r>
      <w:r w:rsidRPr="007E4A52">
        <w:t xml:space="preserve"> amounts provided to the organisations for the full range of activities covered by their programmes, which include climate change mitigation and adaptation, unless imputed shares are available. </w:t>
      </w:r>
    </w:p>
  </w:footnote>
  <w:footnote w:id="327">
    <w:p w14:paraId="7DDEA8F0" w14:textId="77777777" w:rsidR="00B71B4E" w:rsidRDefault="00B71B4E" w:rsidP="00B71B4E">
      <w:pPr>
        <w:pStyle w:val="FootnoteText"/>
      </w:pPr>
      <w:r>
        <w:rPr>
          <w:rStyle w:val="FootnoteReference"/>
        </w:rPr>
        <w:footnoteRef/>
      </w:r>
      <w:r>
        <w:tab/>
      </w:r>
      <w:r w:rsidRPr="00D12237">
        <w:t>Retrieved</w:t>
      </w:r>
      <w:r>
        <w:t xml:space="preserve"> from </w:t>
      </w:r>
      <w:hyperlink r:id="rId219" w:history="1">
        <w:r w:rsidRPr="00097BFE">
          <w:rPr>
            <w:rStyle w:val="Hyperlink"/>
          </w:rPr>
          <w:t>www.mfat.govt.nz/en/aid-and-development/climate-change-support</w:t>
        </w:r>
      </w:hyperlink>
      <w:r>
        <w:t xml:space="preserve">. </w:t>
      </w:r>
    </w:p>
  </w:footnote>
  <w:footnote w:id="328">
    <w:p w14:paraId="62040036" w14:textId="77777777" w:rsidR="00B71B4E" w:rsidRPr="007D40BC" w:rsidRDefault="00B71B4E" w:rsidP="00B71B4E">
      <w:pPr>
        <w:pStyle w:val="FootnoteText"/>
        <w:rPr>
          <w:highlight w:val="yellow"/>
        </w:rPr>
      </w:pPr>
      <w:r w:rsidRPr="00D01796">
        <w:rPr>
          <w:rStyle w:val="FootnoteReference"/>
        </w:rPr>
        <w:footnoteRef/>
      </w:r>
      <w:r w:rsidRPr="00D01796">
        <w:t xml:space="preserve"> </w:t>
      </w:r>
      <w:r w:rsidRPr="00D01796">
        <w:tab/>
        <w:t xml:space="preserve">Pacific Community (SPC). 2017. Framework for Resilient Development in the Pacific: An Integrated Approach to Address Climate Change and Disaster Risk Management (FRDP) 2017–2030. Suva: Pacific Community. Retrieved from </w:t>
      </w:r>
      <w:hyperlink r:id="rId220" w:history="1">
        <w:r w:rsidRPr="00D01796">
          <w:rPr>
            <w:rStyle w:val="Hyperlink"/>
          </w:rPr>
          <w:t>http://gsd.spc.int/frdp/</w:t>
        </w:r>
      </w:hyperlink>
      <w:r>
        <w:rPr>
          <w:rStyle w:val="Hyperlink"/>
        </w:rPr>
        <w:t xml:space="preserve"> </w:t>
      </w:r>
      <w:r>
        <w:t>(30 September 2022)</w:t>
      </w:r>
      <w:r w:rsidRPr="00D01796">
        <w:t>.</w:t>
      </w:r>
      <w:r>
        <w:t xml:space="preserve"> </w:t>
      </w:r>
    </w:p>
  </w:footnote>
  <w:footnote w:id="329">
    <w:p w14:paraId="7B2D32ED" w14:textId="77777777" w:rsidR="00B71B4E" w:rsidRPr="007D40BC" w:rsidRDefault="00B71B4E" w:rsidP="00B71B4E">
      <w:pPr>
        <w:pStyle w:val="FootnoteText"/>
        <w:rPr>
          <w:highlight w:val="yellow"/>
        </w:rPr>
      </w:pPr>
      <w:r w:rsidRPr="00D01796">
        <w:rPr>
          <w:rStyle w:val="FootnoteReference"/>
        </w:rPr>
        <w:footnoteRef/>
      </w:r>
      <w:r w:rsidRPr="00D01796">
        <w:t xml:space="preserve"> </w:t>
      </w:r>
      <w:r w:rsidRPr="00D01796">
        <w:tab/>
        <w:t xml:space="preserve">UNFCCC. 2011. </w:t>
      </w:r>
      <w:r w:rsidRPr="00EA156E">
        <w:t>UNFCCC</w:t>
      </w:r>
      <w:r w:rsidRPr="00D01796">
        <w:t xml:space="preserve"> biennial reporting guidelines for developed country Parties, Annex I, Decision 2/CP.17 (pages 31–35). Retrieved from </w:t>
      </w:r>
      <w:hyperlink r:id="rId221" w:anchor="page=4" w:history="1">
        <w:r w:rsidRPr="00BC2F9D">
          <w:rPr>
            <w:rStyle w:val="Hyperlink"/>
          </w:rPr>
          <w:t>unfccc.int/resource/docs/2011/cop17/eng/09a01.pdf#page=4</w:t>
        </w:r>
      </w:hyperlink>
      <w:r>
        <w:t xml:space="preserve"> (30 September 2022).</w:t>
      </w:r>
    </w:p>
  </w:footnote>
  <w:footnote w:id="330">
    <w:p w14:paraId="10079E91" w14:textId="77777777" w:rsidR="00B71B4E" w:rsidRDefault="00B71B4E" w:rsidP="00B71B4E">
      <w:pPr>
        <w:pStyle w:val="FootnoteText"/>
      </w:pPr>
      <w:r>
        <w:rPr>
          <w:rStyle w:val="FootnoteReference"/>
        </w:rPr>
        <w:footnoteRef/>
      </w:r>
      <w:r>
        <w:t xml:space="preserve"> </w:t>
      </w:r>
      <w:r>
        <w:tab/>
        <w:t xml:space="preserve">Retrieved from </w:t>
      </w:r>
      <w:hyperlink r:id="rId222" w:history="1">
        <w:r w:rsidRPr="00DB5212">
          <w:rPr>
            <w:rStyle w:val="Hyperlink"/>
          </w:rPr>
          <w:t>www.mfat.govt.nz/assets/Aid-Prog-docs/Policy/Policy-Statement-New-Zealands-International-Cooperation-for-Effective-Sustainable-Development-ICESD.pdf</w:t>
        </w:r>
      </w:hyperlink>
      <w:r w:rsidRPr="00DB5212">
        <w:t xml:space="preserve"> </w:t>
      </w:r>
      <w:r>
        <w:t>(30 September 2022).</w:t>
      </w:r>
    </w:p>
  </w:footnote>
  <w:footnote w:id="331">
    <w:p w14:paraId="0F5AECE2" w14:textId="77777777" w:rsidR="00B71B4E" w:rsidRDefault="00B71B4E" w:rsidP="00B71B4E">
      <w:pPr>
        <w:pStyle w:val="FootnoteText"/>
      </w:pPr>
      <w:r>
        <w:rPr>
          <w:rStyle w:val="FootnoteReference"/>
        </w:rPr>
        <w:footnoteRef/>
      </w:r>
      <w:r>
        <w:tab/>
      </w:r>
      <w:r w:rsidRPr="00966DEF">
        <w:t>New Zealand respect</w:t>
      </w:r>
      <w:r>
        <w:t xml:space="preserve">s </w:t>
      </w:r>
      <w:r w:rsidRPr="001D6C31">
        <w:t>the</w:t>
      </w:r>
      <w:r>
        <w:t xml:space="preserve"> </w:t>
      </w:r>
      <w:r w:rsidRPr="00966DEF">
        <w:t>choice</w:t>
      </w:r>
      <w:r>
        <w:t xml:space="preserve"> of countries to differentiate finance given to them for the purposes of loss and damage</w:t>
      </w:r>
      <w:r w:rsidRPr="00966DEF">
        <w:t>.</w:t>
      </w:r>
      <w:r>
        <w:t xml:space="preserve"> However, in this report this support is counted as ‘adaptation’ finance. </w:t>
      </w:r>
    </w:p>
  </w:footnote>
  <w:footnote w:id="332">
    <w:p w14:paraId="2E3E432A" w14:textId="77777777" w:rsidR="00B71B4E" w:rsidRPr="007D40BC" w:rsidRDefault="00B71B4E" w:rsidP="00B71B4E">
      <w:pPr>
        <w:pStyle w:val="Footnote"/>
        <w:spacing w:after="0"/>
        <w:rPr>
          <w:highlight w:val="yellow"/>
        </w:rPr>
      </w:pPr>
      <w:r w:rsidRPr="0022623E">
        <w:rPr>
          <w:rStyle w:val="FootnoteReference"/>
        </w:rPr>
        <w:footnoteRef/>
      </w:r>
      <w:r w:rsidRPr="0022623E">
        <w:t xml:space="preserve"> </w:t>
      </w:r>
      <w:r w:rsidRPr="0022623E">
        <w:tab/>
        <w:t>Annual contributions represent the combined total of New Zealand’s payments to the GEF Trust Fund in the financial year (July to June). GEF projects address six global environmental issues, or focal areas, of which climate change is one.</w:t>
      </w:r>
    </w:p>
  </w:footnote>
  <w:footnote w:id="333">
    <w:p w14:paraId="4F014EEA" w14:textId="5FF7626F" w:rsidR="00D43615" w:rsidRPr="00D43615" w:rsidRDefault="00D43615">
      <w:pPr>
        <w:pStyle w:val="FootnoteText"/>
        <w:rPr>
          <w:lang w:val="en-US"/>
        </w:rPr>
      </w:pPr>
      <w:r>
        <w:rPr>
          <w:rStyle w:val="FootnoteReference"/>
        </w:rPr>
        <w:footnoteRef/>
      </w:r>
      <w:r>
        <w:t xml:space="preserve"> </w:t>
      </w:r>
      <w:r>
        <w:rPr>
          <w:lang w:val="en-US"/>
        </w:rPr>
        <w:tab/>
      </w:r>
      <w:hyperlink r:id="rId223" w:history="1">
        <w:r w:rsidRPr="005A5117">
          <w:rPr>
            <w:rStyle w:val="Hyperlink"/>
          </w:rPr>
          <w:t>www.sprep.org</w:t>
        </w:r>
      </w:hyperlink>
      <w:r>
        <w:rPr>
          <w:rStyle w:val="Hyperlink"/>
        </w:rPr>
        <w:t>.</w:t>
      </w:r>
    </w:p>
  </w:footnote>
  <w:footnote w:id="334">
    <w:p w14:paraId="402FD420" w14:textId="74202544" w:rsidR="001C0393" w:rsidRPr="001C0393" w:rsidRDefault="001C0393">
      <w:pPr>
        <w:pStyle w:val="FootnoteText"/>
        <w:rPr>
          <w:lang w:val="en-US"/>
        </w:rPr>
      </w:pPr>
      <w:r>
        <w:rPr>
          <w:rStyle w:val="FootnoteReference"/>
        </w:rPr>
        <w:footnoteRef/>
      </w:r>
      <w:r>
        <w:t xml:space="preserve"> </w:t>
      </w:r>
      <w:r>
        <w:rPr>
          <w:lang w:val="en-US"/>
        </w:rPr>
        <w:tab/>
      </w:r>
      <w:hyperlink r:id="rId224" w:history="1">
        <w:r w:rsidRPr="00AF66AD">
          <w:rPr>
            <w:rStyle w:val="Hyperlink"/>
          </w:rPr>
          <w:t>www.ffa.int</w:t>
        </w:r>
      </w:hyperlink>
      <w:r w:rsidR="001A2BED">
        <w:rPr>
          <w:rStyle w:val="Hyperlink"/>
        </w:rPr>
        <w:t>.</w:t>
      </w:r>
      <w:r w:rsidR="00AF66AD">
        <w:rPr>
          <w:rStyle w:val="Hyperlink"/>
          <w:color w:val="auto"/>
        </w:rPr>
        <w:t xml:space="preserve"> </w:t>
      </w:r>
    </w:p>
  </w:footnote>
  <w:footnote w:id="335">
    <w:p w14:paraId="7470BFB6" w14:textId="10428C1B" w:rsidR="008B49D5" w:rsidRPr="008B49D5" w:rsidRDefault="008B49D5">
      <w:pPr>
        <w:pStyle w:val="FootnoteText"/>
        <w:rPr>
          <w:lang w:val="en-US"/>
        </w:rPr>
      </w:pPr>
      <w:r>
        <w:rPr>
          <w:rStyle w:val="FootnoteReference"/>
        </w:rPr>
        <w:footnoteRef/>
      </w:r>
      <w:r>
        <w:t xml:space="preserve"> </w:t>
      </w:r>
      <w:r>
        <w:rPr>
          <w:lang w:val="en-US"/>
        </w:rPr>
        <w:tab/>
      </w:r>
      <w:hyperlink r:id="rId225" w:history="1">
        <w:r w:rsidRPr="005A5117">
          <w:rPr>
            <w:rStyle w:val="Hyperlink"/>
          </w:rPr>
          <w:t>www.spc.int</w:t>
        </w:r>
      </w:hyperlink>
      <w:r w:rsidR="001A2BED">
        <w:rPr>
          <w:rStyle w:val="Hyperlink"/>
        </w:rPr>
        <w:t>.</w:t>
      </w:r>
    </w:p>
  </w:footnote>
  <w:footnote w:id="336">
    <w:p w14:paraId="66A19748" w14:textId="64059896" w:rsidR="004A3791" w:rsidRPr="004A3791" w:rsidRDefault="004A3791">
      <w:pPr>
        <w:pStyle w:val="FootnoteText"/>
        <w:rPr>
          <w:lang w:val="en-US"/>
        </w:rPr>
      </w:pPr>
      <w:r>
        <w:rPr>
          <w:rStyle w:val="FootnoteReference"/>
        </w:rPr>
        <w:footnoteRef/>
      </w:r>
      <w:r>
        <w:t xml:space="preserve"> </w:t>
      </w:r>
      <w:r w:rsidR="00763EDB">
        <w:rPr>
          <w:lang w:val="en-US"/>
        </w:rPr>
        <w:tab/>
      </w:r>
      <w:hyperlink r:id="rId226" w:history="1">
        <w:r w:rsidR="00763EDB" w:rsidRPr="005A5117">
          <w:rPr>
            <w:rStyle w:val="Hyperlink"/>
          </w:rPr>
          <w:t>www.forumsec.org</w:t>
        </w:r>
      </w:hyperlink>
      <w:r w:rsidR="001A2BED">
        <w:rPr>
          <w:rStyle w:val="Hyperlink"/>
        </w:rPr>
        <w:t>.</w:t>
      </w:r>
    </w:p>
  </w:footnote>
  <w:footnote w:id="337">
    <w:p w14:paraId="25A36A6A" w14:textId="77777777" w:rsidR="00B71B4E" w:rsidRPr="007D40BC" w:rsidRDefault="00B71B4E" w:rsidP="00B71B4E">
      <w:pPr>
        <w:pStyle w:val="FootnoteText"/>
        <w:rPr>
          <w:highlight w:val="yellow"/>
        </w:rPr>
      </w:pPr>
      <w:r w:rsidRPr="00DA2F38">
        <w:rPr>
          <w:rStyle w:val="FootnoteReference"/>
        </w:rPr>
        <w:footnoteRef/>
      </w:r>
      <w:r w:rsidRPr="00DA2F38">
        <w:t xml:space="preserve"> </w:t>
      </w:r>
      <w:r w:rsidRPr="00DA2F38">
        <w:tab/>
      </w:r>
      <w:r>
        <w:t>This includes</w:t>
      </w:r>
      <w:r w:rsidRPr="00DA2F38">
        <w:t xml:space="preserve"> bilateral and multilateral (International Fund for Agricultural Development and Consultative Group for International Agricultur</w:t>
      </w:r>
      <w:r>
        <w:t>al</w:t>
      </w:r>
      <w:r w:rsidRPr="00DA2F38">
        <w:t xml:space="preserve"> Research) support but excludes GRA support and Pacific </w:t>
      </w:r>
      <w:r>
        <w:t>r</w:t>
      </w:r>
      <w:r w:rsidRPr="00DA2F38">
        <w:t xml:space="preserve">egional </w:t>
      </w:r>
      <w:r>
        <w:t>a</w:t>
      </w:r>
      <w:r w:rsidRPr="00DA2F38">
        <w:t>gency support.</w:t>
      </w:r>
    </w:p>
  </w:footnote>
  <w:footnote w:id="338">
    <w:p w14:paraId="2DDD6E50" w14:textId="718F6A46" w:rsidR="00F53BD0" w:rsidRPr="00F53BD0" w:rsidRDefault="00F53BD0">
      <w:pPr>
        <w:pStyle w:val="FootnoteText"/>
        <w:rPr>
          <w:lang w:val="en-US"/>
        </w:rPr>
      </w:pPr>
      <w:r>
        <w:rPr>
          <w:rStyle w:val="FootnoteReference"/>
        </w:rPr>
        <w:footnoteRef/>
      </w:r>
      <w:r>
        <w:t xml:space="preserve"> </w:t>
      </w:r>
      <w:r w:rsidR="005332C1">
        <w:rPr>
          <w:lang w:val="en-US"/>
        </w:rPr>
        <w:tab/>
      </w:r>
      <w:hyperlink r:id="rId227" w:history="1">
        <w:r w:rsidR="005332C1" w:rsidRPr="005A5117">
          <w:rPr>
            <w:rStyle w:val="Hyperlink"/>
          </w:rPr>
          <w:t>theprif.org</w:t>
        </w:r>
      </w:hyperlink>
      <w:r w:rsidR="005332C1">
        <w:rPr>
          <w:rStyle w:val="Hyperlink"/>
        </w:rPr>
        <w:t>.</w:t>
      </w:r>
    </w:p>
  </w:footnote>
  <w:footnote w:id="339">
    <w:p w14:paraId="09363B47" w14:textId="77777777" w:rsidR="00B71B4E" w:rsidRDefault="00B71B4E" w:rsidP="00B71B4E">
      <w:pPr>
        <w:pStyle w:val="FootnoteText"/>
      </w:pPr>
      <w:r w:rsidRPr="00B341BC">
        <w:rPr>
          <w:rStyle w:val="FootnoteReference"/>
        </w:rPr>
        <w:footnoteRef/>
      </w:r>
      <w:r>
        <w:t xml:space="preserve"> </w:t>
      </w:r>
      <w:r>
        <w:tab/>
      </w:r>
      <w:r w:rsidRPr="002341F3">
        <w:t xml:space="preserve">See </w:t>
      </w:r>
      <w:hyperlink r:id="rId228" w:history="1">
        <w:r w:rsidRPr="00BB3140">
          <w:rPr>
            <w:rStyle w:val="Hyperlink"/>
          </w:rPr>
          <w:t>www.livestockemissions.net</w:t>
        </w:r>
      </w:hyperlink>
      <w:r>
        <w:t xml:space="preserve"> </w:t>
      </w:r>
      <w:r w:rsidRPr="002341F3">
        <w:t>for further information.</w:t>
      </w:r>
    </w:p>
  </w:footnote>
  <w:footnote w:id="340">
    <w:p w14:paraId="157E9183" w14:textId="77777777" w:rsidR="007420E6" w:rsidRPr="007F7910" w:rsidRDefault="007420E6" w:rsidP="007420E6">
      <w:pPr>
        <w:pStyle w:val="FootnoteText"/>
      </w:pPr>
      <w:r w:rsidRPr="007F7910">
        <w:rPr>
          <w:rStyle w:val="FootnoteReference"/>
        </w:rPr>
        <w:footnoteRef/>
      </w:r>
      <w:r w:rsidRPr="007F7910">
        <w:t xml:space="preserve"> </w:t>
      </w:r>
      <w:r w:rsidRPr="007F7910">
        <w:tab/>
        <w:t xml:space="preserve">Ministry of Business, Innovation and Employment. 2015. </w:t>
      </w:r>
      <w:hyperlink r:id="rId229" w:history="1">
        <w:r w:rsidRPr="007F7910">
          <w:rPr>
            <w:rStyle w:val="Hyperlink"/>
            <w:i/>
            <w:iCs/>
          </w:rPr>
          <w:t xml:space="preserve">National Statement of Science Investment </w:t>
        </w:r>
        <w:r w:rsidRPr="007F7910">
          <w:rPr>
            <w:rStyle w:val="Hyperlink"/>
            <w:i/>
            <w:iCs/>
          </w:rPr>
          <w:br/>
          <w:t>2015–2025</w:t>
        </w:r>
      </w:hyperlink>
      <w:r w:rsidRPr="007F7910">
        <w:t xml:space="preserve">. Wellington: Ministry of Business, Innovation and Employment. </w:t>
      </w:r>
    </w:p>
  </w:footnote>
  <w:footnote w:id="341">
    <w:p w14:paraId="33A0FC5F" w14:textId="77777777" w:rsidR="007420E6" w:rsidRPr="007F7910" w:rsidRDefault="007420E6" w:rsidP="0053368F">
      <w:pPr>
        <w:pStyle w:val="FootnoteText"/>
        <w:spacing w:after="40"/>
      </w:pPr>
      <w:r w:rsidRPr="007F7910">
        <w:rPr>
          <w:rStyle w:val="FootnoteReference"/>
        </w:rPr>
        <w:footnoteRef/>
      </w:r>
      <w:r w:rsidRPr="007F7910">
        <w:t xml:space="preserve"> </w:t>
      </w:r>
      <w:r w:rsidRPr="007F7910">
        <w:tab/>
        <w:t xml:space="preserve">Ministry of Business, Innovation and Employment. 2015. </w:t>
      </w:r>
      <w:hyperlink r:id="rId230" w:history="1">
        <w:r w:rsidRPr="007F7910">
          <w:rPr>
            <w:rStyle w:val="Hyperlink"/>
            <w:i/>
            <w:iCs/>
          </w:rPr>
          <w:t xml:space="preserve">National Statement of Science Investment </w:t>
        </w:r>
        <w:r w:rsidRPr="007F7910">
          <w:rPr>
            <w:rStyle w:val="Hyperlink"/>
            <w:i/>
            <w:iCs/>
          </w:rPr>
          <w:br/>
          <w:t>2015–2025</w:t>
        </w:r>
      </w:hyperlink>
      <w:r w:rsidRPr="007F7910">
        <w:t xml:space="preserve">. Wellington: Ministry of Business, Innovation and Employment. </w:t>
      </w:r>
    </w:p>
  </w:footnote>
  <w:footnote w:id="342">
    <w:p w14:paraId="41FEA1AD" w14:textId="2F626B8F" w:rsidR="007420E6" w:rsidRPr="007F7910" w:rsidRDefault="007420E6" w:rsidP="0053368F">
      <w:pPr>
        <w:pStyle w:val="FootnoteText"/>
        <w:spacing w:after="40"/>
      </w:pPr>
      <w:r w:rsidRPr="007F7910">
        <w:rPr>
          <w:rStyle w:val="FootnoteReference"/>
        </w:rPr>
        <w:footnoteRef/>
      </w:r>
      <w:r w:rsidRPr="007F7910">
        <w:t xml:space="preserve"> </w:t>
      </w:r>
      <w:r w:rsidRPr="007F7910">
        <w:tab/>
      </w:r>
      <w:hyperlink r:id="rId231" w:history="1">
        <w:r w:rsidR="007C38EF">
          <w:rPr>
            <w:rStyle w:val="Hyperlink"/>
          </w:rPr>
          <w:t>environment.govt.nz/facts-and-science/science-and-data/environment-and-climate-research-strategy</w:t>
        </w:r>
      </w:hyperlink>
      <w:r w:rsidRPr="007F7910">
        <w:t xml:space="preserve"> </w:t>
      </w:r>
    </w:p>
  </w:footnote>
  <w:footnote w:id="343">
    <w:p w14:paraId="608D4988" w14:textId="4C40C572" w:rsidR="007420E6" w:rsidRDefault="007420E6" w:rsidP="0053368F">
      <w:pPr>
        <w:pStyle w:val="FootnoteText"/>
        <w:spacing w:after="40"/>
      </w:pPr>
      <w:r>
        <w:rPr>
          <w:rStyle w:val="FootnoteReference"/>
        </w:rPr>
        <w:footnoteRef/>
      </w:r>
      <w:r>
        <w:t xml:space="preserve"> </w:t>
      </w:r>
      <w:r>
        <w:tab/>
      </w:r>
      <w:r w:rsidRPr="00C36BAB">
        <w:rPr>
          <w:lang w:eastAsia="en-GB"/>
        </w:rPr>
        <w:t>Mātauranga Māori means Māori knowledge systems and worldviews, including traditional concepts.</w:t>
      </w:r>
    </w:p>
  </w:footnote>
  <w:footnote w:id="344">
    <w:p w14:paraId="274ABE86" w14:textId="77777777" w:rsidR="007420E6" w:rsidRDefault="007420E6" w:rsidP="0053368F">
      <w:pPr>
        <w:pStyle w:val="FootnoteText"/>
        <w:spacing w:after="40"/>
      </w:pPr>
      <w:r>
        <w:rPr>
          <w:rStyle w:val="FootnoteReference"/>
        </w:rPr>
        <w:footnoteRef/>
      </w:r>
      <w:r>
        <w:t xml:space="preserve"> </w:t>
      </w:r>
      <w:r>
        <w:tab/>
      </w:r>
      <w:r w:rsidRPr="00C54849">
        <w:t>Kaupapa Māori means the Māori approach, topic, customary practice, institution, agenda, principles, ideology; it is a philosophical doctrine incorporating the knowledge, skills, attitudes and values of Māori</w:t>
      </w:r>
      <w:r>
        <w:t> </w:t>
      </w:r>
      <w:r w:rsidRPr="00C54849">
        <w:t>societ</w:t>
      </w:r>
      <w:r>
        <w:t>y.</w:t>
      </w:r>
    </w:p>
  </w:footnote>
  <w:footnote w:id="345">
    <w:p w14:paraId="797BE588" w14:textId="77777777" w:rsidR="007420E6" w:rsidRPr="007F7910" w:rsidRDefault="007420E6" w:rsidP="0053368F">
      <w:pPr>
        <w:pStyle w:val="FootnoteText"/>
        <w:spacing w:after="40"/>
      </w:pPr>
      <w:r w:rsidRPr="007F7910">
        <w:rPr>
          <w:rStyle w:val="FootnoteReference"/>
        </w:rPr>
        <w:footnoteRef/>
      </w:r>
      <w:r w:rsidRPr="007F7910">
        <w:t xml:space="preserve"> </w:t>
      </w:r>
      <w:r w:rsidRPr="007F7910">
        <w:tab/>
        <w:t>Ministry for the Environment. 2017.</w:t>
      </w:r>
      <w:r w:rsidRPr="007F7910">
        <w:rPr>
          <w:i/>
        </w:rPr>
        <w:t xml:space="preserve"> </w:t>
      </w:r>
      <w:hyperlink r:id="rId232" w:history="1">
        <w:r w:rsidRPr="007F7910">
          <w:rPr>
            <w:rStyle w:val="Hyperlink"/>
            <w:i/>
            <w:lang w:eastAsia="en-GB"/>
          </w:rPr>
          <w:t>Conservation and Environment Science Roadmap</w:t>
        </w:r>
      </w:hyperlink>
      <w:r w:rsidRPr="007F7910">
        <w:rPr>
          <w:lang w:eastAsia="en-GB"/>
        </w:rPr>
        <w:t>. Wellington: Ministry for the Environment.</w:t>
      </w:r>
    </w:p>
  </w:footnote>
  <w:footnote w:id="346">
    <w:p w14:paraId="21217DDB" w14:textId="77777777" w:rsidR="007420E6" w:rsidRPr="007F7910" w:rsidRDefault="007420E6" w:rsidP="007420E6">
      <w:pPr>
        <w:pStyle w:val="FootnoteText"/>
      </w:pPr>
      <w:r w:rsidRPr="007F7910">
        <w:rPr>
          <w:rStyle w:val="FootnoteReference"/>
        </w:rPr>
        <w:footnoteRef/>
      </w:r>
      <w:r w:rsidRPr="007F7910">
        <w:t xml:space="preserve"> </w:t>
      </w:r>
      <w:r w:rsidRPr="007F7910">
        <w:tab/>
        <w:t xml:space="preserve">Ministry for Primary Industries. 2017. </w:t>
      </w:r>
      <w:hyperlink r:id="rId233" w:history="1">
        <w:r w:rsidRPr="007F7910">
          <w:rPr>
            <w:rStyle w:val="Hyperlink"/>
            <w:i/>
            <w:lang w:eastAsia="en-GB"/>
          </w:rPr>
          <w:t>Primary Sector Science Roadmap – Te Ao Tūroa.</w:t>
        </w:r>
        <w:r w:rsidRPr="007F7910">
          <w:rPr>
            <w:rStyle w:val="Hyperlink"/>
            <w:lang w:eastAsia="en-GB"/>
          </w:rPr>
          <w:t xml:space="preserve"> Wellington: Ministry for Primary Industries</w:t>
        </w:r>
      </w:hyperlink>
      <w:r w:rsidRPr="007F7910">
        <w:rPr>
          <w:lang w:eastAsia="en-GB"/>
        </w:rPr>
        <w:t>. Wellington: Ministry for Primary Industries.</w:t>
      </w:r>
    </w:p>
  </w:footnote>
  <w:footnote w:id="347">
    <w:p w14:paraId="1CE60052" w14:textId="77777777" w:rsidR="007420E6" w:rsidRPr="007F7910" w:rsidRDefault="007420E6" w:rsidP="007420E6">
      <w:pPr>
        <w:pStyle w:val="FootnoteText"/>
      </w:pPr>
      <w:r w:rsidRPr="007F7910">
        <w:rPr>
          <w:rStyle w:val="FootnoteReference"/>
        </w:rPr>
        <w:footnoteRef/>
      </w:r>
      <w:r w:rsidRPr="007F7910">
        <w:t xml:space="preserve"> </w:t>
      </w:r>
      <w:r w:rsidRPr="007F7910">
        <w:tab/>
        <w:t xml:space="preserve">Ministry of Foreign Affairs and Trade. No date. </w:t>
      </w:r>
      <w:hyperlink r:id="rId234" w:history="1">
        <w:r w:rsidRPr="007F7910">
          <w:rPr>
            <w:rStyle w:val="Hyperlink"/>
            <w:i/>
            <w:iCs/>
            <w:lang w:eastAsia="en-GB"/>
          </w:rPr>
          <w:t>Aotearoa</w:t>
        </w:r>
        <w:r w:rsidRPr="007F7910">
          <w:rPr>
            <w:rStyle w:val="Hyperlink"/>
            <w:lang w:eastAsia="en-GB"/>
          </w:rPr>
          <w:t xml:space="preserve"> </w:t>
        </w:r>
        <w:r w:rsidRPr="007F7910">
          <w:rPr>
            <w:rStyle w:val="Hyperlink"/>
            <w:i/>
            <w:iCs/>
            <w:lang w:eastAsia="en-GB"/>
          </w:rPr>
          <w:t>New Zealand Antarctic Research Directions and</w:t>
        </w:r>
        <w:r>
          <w:rPr>
            <w:rStyle w:val="Hyperlink"/>
            <w:i/>
            <w:iCs/>
            <w:lang w:eastAsia="en-GB"/>
          </w:rPr>
          <w:t> </w:t>
        </w:r>
        <w:r w:rsidRPr="007F7910">
          <w:rPr>
            <w:rStyle w:val="Hyperlink"/>
            <w:i/>
            <w:iCs/>
            <w:lang w:eastAsia="en-GB"/>
          </w:rPr>
          <w:t>Priorities 2021–2030</w:t>
        </w:r>
      </w:hyperlink>
      <w:r w:rsidRPr="007F7910">
        <w:rPr>
          <w:lang w:eastAsia="en-GB"/>
        </w:rPr>
        <w:t xml:space="preserve">. Wellington: </w:t>
      </w:r>
      <w:r w:rsidRPr="007F7910">
        <w:t>Ministry of Foreign Affairs and Trade.</w:t>
      </w:r>
    </w:p>
  </w:footnote>
  <w:footnote w:id="348">
    <w:p w14:paraId="3EA70163" w14:textId="77777777" w:rsidR="007420E6" w:rsidRPr="00ED3823" w:rsidRDefault="007420E6" w:rsidP="007420E6">
      <w:pPr>
        <w:pStyle w:val="FootnoteText"/>
      </w:pPr>
      <w:r>
        <w:rPr>
          <w:rStyle w:val="FootnoteReference"/>
        </w:rPr>
        <w:footnoteRef/>
      </w:r>
      <w:r>
        <w:t xml:space="preserve"> </w:t>
      </w:r>
      <w:r>
        <w:rPr>
          <w:lang w:val="en-US"/>
        </w:rPr>
        <w:tab/>
        <w:t>‘Iwi’ –</w:t>
      </w:r>
      <w:r>
        <w:t xml:space="preserve"> t</w:t>
      </w:r>
      <w:r w:rsidRPr="00ED3823">
        <w:t>ribe, large group descended from a common ancestor</w:t>
      </w:r>
      <w:r>
        <w:t>; ‘</w:t>
      </w:r>
      <w:r w:rsidRPr="003A43A0">
        <w:t>hapū</w:t>
      </w:r>
      <w:r>
        <w:t>’ – k</w:t>
      </w:r>
      <w:r w:rsidRPr="00C3050A">
        <w:t>inship group, clan, subtribe</w:t>
      </w:r>
      <w:r>
        <w:t>; ‘</w:t>
      </w:r>
      <w:r w:rsidRPr="00C3050A">
        <w:t>whānau</w:t>
      </w:r>
      <w:r>
        <w:t>’ – f</w:t>
      </w:r>
      <w:r w:rsidRPr="0092781E">
        <w:t>amily, extended family, family connection.</w:t>
      </w:r>
    </w:p>
  </w:footnote>
  <w:footnote w:id="349">
    <w:p w14:paraId="27ED0444" w14:textId="496DC648" w:rsidR="007420E6" w:rsidRDefault="007420E6" w:rsidP="007420E6">
      <w:pPr>
        <w:pStyle w:val="FootnoteText"/>
      </w:pPr>
      <w:r>
        <w:rPr>
          <w:rStyle w:val="FootnoteReference"/>
        </w:rPr>
        <w:footnoteRef/>
      </w:r>
      <w:r>
        <w:t xml:space="preserve"> </w:t>
      </w:r>
      <w:r w:rsidRPr="00E07315">
        <w:tab/>
        <w:t>‘In truth, [mātauranga] is as difficult to define as Western knowledge. But a definition is unnecessary anyway. We do not recommend that all mātauranga Māori should be protected, but only those aspects of it so personally held by traditional Māori communities that a kaitiakitanga relationship arises in respect of it</w:t>
      </w:r>
      <w:r w:rsidRPr="00886A7C">
        <w:t xml:space="preserve">. Thus, it is the proximity of the mātauranga and the community that is the core defining factor, not the broad category of mātauranga Māori itself’. Despite the broad nature of mātauranga Māori, the Tribunal concluded it is a taonga and that the Crown has an obligation to actively protect it from loss. See pp xxiii, 22, 96 of the report. </w:t>
      </w:r>
      <w:r w:rsidR="00110174">
        <w:t xml:space="preserve">URL: </w:t>
      </w:r>
      <w:hyperlink r:id="rId235" w:history="1">
        <w:r w:rsidR="00110174">
          <w:rPr>
            <w:rStyle w:val="Hyperlink"/>
          </w:rPr>
          <w:t>waitangitribunal.govt.nz/news/ko-aotearoa-tenei-report-on-the-wai-262-claim-released</w:t>
        </w:r>
      </w:hyperlink>
      <w:r w:rsidRPr="00621836">
        <w:rPr>
          <w:color w:val="FF0000"/>
        </w:rPr>
        <w:t>.</w:t>
      </w:r>
    </w:p>
  </w:footnote>
  <w:footnote w:id="350">
    <w:p w14:paraId="4AC95B40" w14:textId="77777777" w:rsidR="007420E6" w:rsidRDefault="007420E6" w:rsidP="007420E6">
      <w:pPr>
        <w:pStyle w:val="FootnoteText"/>
      </w:pPr>
      <w:r>
        <w:rPr>
          <w:rStyle w:val="FootnoteReference"/>
        </w:rPr>
        <w:footnoteRef/>
      </w:r>
      <w:r>
        <w:t xml:space="preserve"> </w:t>
      </w:r>
      <w:r>
        <w:tab/>
      </w:r>
      <w:r w:rsidRPr="00886A7C">
        <w:t>Treasure, anything prized – applied to anything considered to be of value, including socially or culturally valuable objects, resources, phenomena, ideas and techniques.</w:t>
      </w:r>
    </w:p>
  </w:footnote>
  <w:footnote w:id="351">
    <w:p w14:paraId="29BE8915" w14:textId="14EA9FFA" w:rsidR="007420E6" w:rsidRDefault="007420E6" w:rsidP="007420E6">
      <w:pPr>
        <w:pStyle w:val="FootnoteText"/>
      </w:pPr>
      <w:r>
        <w:rPr>
          <w:rStyle w:val="FootnoteReference"/>
        </w:rPr>
        <w:footnoteRef/>
      </w:r>
      <w:r>
        <w:t xml:space="preserve"> </w:t>
      </w:r>
      <w:r>
        <w:tab/>
      </w:r>
      <w:hyperlink r:id="rId236" w:history="1">
        <w:r w:rsidR="00C53D9F">
          <w:rPr>
            <w:rStyle w:val="Hyperlink"/>
          </w:rPr>
          <w:t>www.mbie.govt.nz/science-and-technology/science-and-innovation/agencies-policies-and-budget-initiatives/vision-matauranga-policy</w:t>
        </w:r>
      </w:hyperlink>
    </w:p>
  </w:footnote>
  <w:footnote w:id="352">
    <w:p w14:paraId="0D9DB483" w14:textId="300F597F" w:rsidR="007420E6" w:rsidRPr="007F7910" w:rsidRDefault="007420E6" w:rsidP="007420E6">
      <w:pPr>
        <w:pStyle w:val="FootnoteText"/>
      </w:pPr>
      <w:r w:rsidRPr="007F7910">
        <w:rPr>
          <w:rStyle w:val="FootnoteReference"/>
        </w:rPr>
        <w:footnoteRef/>
      </w:r>
      <w:r w:rsidRPr="007F7910">
        <w:t xml:space="preserve"> </w:t>
      </w:r>
      <w:r w:rsidRPr="007F7910">
        <w:tab/>
      </w:r>
      <w:hyperlink r:id="rId237" w:history="1">
        <w:r w:rsidR="00C53D9F">
          <w:rPr>
            <w:rStyle w:val="Hyperlink"/>
          </w:rPr>
          <w:t>www.aucklandmuseum.com/discover/research/rangitahua</w:t>
        </w:r>
      </w:hyperlink>
      <w:r w:rsidRPr="007F7910">
        <w:t xml:space="preserve"> </w:t>
      </w:r>
    </w:p>
  </w:footnote>
  <w:footnote w:id="353">
    <w:p w14:paraId="0D0EBA96" w14:textId="363B2871" w:rsidR="00952B54" w:rsidRPr="00952B54" w:rsidRDefault="00952B54" w:rsidP="00D333F0">
      <w:pPr>
        <w:pStyle w:val="FootnoteText"/>
        <w:spacing w:after="40"/>
        <w:rPr>
          <w:lang w:val="en-US"/>
        </w:rPr>
      </w:pPr>
      <w:r>
        <w:rPr>
          <w:rStyle w:val="FootnoteReference"/>
        </w:rPr>
        <w:footnoteRef/>
      </w:r>
      <w:r>
        <w:t xml:space="preserve"> </w:t>
      </w:r>
      <w:r w:rsidR="00A36A4B">
        <w:rPr>
          <w:lang w:val="en-US"/>
        </w:rPr>
        <w:tab/>
      </w:r>
      <w:hyperlink r:id="rId238" w:history="1">
        <w:r w:rsidR="00A36A4B">
          <w:rPr>
            <w:rStyle w:val="Hyperlink"/>
            <w:lang w:val="en-US"/>
          </w:rPr>
          <w:t>www.nzagrc.org.nz</w:t>
        </w:r>
      </w:hyperlink>
      <w:r w:rsidR="00A36A4B">
        <w:rPr>
          <w:lang w:val="en-US"/>
        </w:rPr>
        <w:t xml:space="preserve"> </w:t>
      </w:r>
    </w:p>
  </w:footnote>
  <w:footnote w:id="354">
    <w:p w14:paraId="60B5C4BC" w14:textId="6CE17601" w:rsidR="009B18E6" w:rsidRPr="009B18E6" w:rsidRDefault="009B18E6" w:rsidP="00B340FD">
      <w:pPr>
        <w:pStyle w:val="FootnoteText"/>
        <w:spacing w:after="0"/>
        <w:rPr>
          <w:lang w:val="en-US"/>
        </w:rPr>
      </w:pPr>
      <w:r>
        <w:rPr>
          <w:rStyle w:val="FootnoteReference"/>
        </w:rPr>
        <w:footnoteRef/>
      </w:r>
      <w:r>
        <w:t xml:space="preserve"> </w:t>
      </w:r>
      <w:r w:rsidR="00052152">
        <w:rPr>
          <w:lang w:val="en-US"/>
        </w:rPr>
        <w:tab/>
      </w:r>
      <w:hyperlink r:id="rId239" w:history="1">
        <w:r w:rsidR="00052152">
          <w:rPr>
            <w:rStyle w:val="Hyperlink"/>
            <w:lang w:val="en-US"/>
          </w:rPr>
          <w:t>www.mpi.govt.nz/funding-rural-support/farming-funds-and-programmes/slmacc</w:t>
        </w:r>
      </w:hyperlink>
      <w:r w:rsidR="00052152">
        <w:rPr>
          <w:lang w:val="en-US"/>
        </w:rPr>
        <w:t xml:space="preserve">. </w:t>
      </w:r>
    </w:p>
  </w:footnote>
  <w:footnote w:id="355">
    <w:p w14:paraId="7622BCCF" w14:textId="77777777" w:rsidR="007420E6" w:rsidRPr="007F7910" w:rsidRDefault="007420E6" w:rsidP="00F77EE6">
      <w:pPr>
        <w:pStyle w:val="FootnoteText"/>
        <w:spacing w:after="40"/>
      </w:pPr>
      <w:r w:rsidRPr="007F7910">
        <w:rPr>
          <w:rStyle w:val="FootnoteReference"/>
        </w:rPr>
        <w:footnoteRef/>
      </w:r>
      <w:r w:rsidRPr="007F7910">
        <w:t xml:space="preserve"> </w:t>
      </w:r>
      <w:r w:rsidRPr="007F7910">
        <w:tab/>
        <w:t xml:space="preserve">See </w:t>
      </w:r>
      <w:hyperlink r:id="rId240" w:history="1">
        <w:r w:rsidRPr="007F7910">
          <w:rPr>
            <w:rStyle w:val="Hyperlink"/>
          </w:rPr>
          <w:t>www.AgMatters.co.nz</w:t>
        </w:r>
      </w:hyperlink>
      <w:r w:rsidRPr="007F7910">
        <w:t>, for more information.</w:t>
      </w:r>
    </w:p>
  </w:footnote>
  <w:footnote w:id="356">
    <w:p w14:paraId="2DB24C62" w14:textId="0F0B0202" w:rsidR="007420E6" w:rsidRPr="007F7910" w:rsidRDefault="007420E6" w:rsidP="00F77EE6">
      <w:pPr>
        <w:pStyle w:val="FootnoteText"/>
        <w:spacing w:after="40"/>
      </w:pPr>
      <w:r w:rsidRPr="007F7910">
        <w:rPr>
          <w:rStyle w:val="FootnoteReference"/>
        </w:rPr>
        <w:footnoteRef/>
      </w:r>
      <w:r w:rsidRPr="007F7910">
        <w:t xml:space="preserve"> </w:t>
      </w:r>
      <w:r w:rsidRPr="007F7910">
        <w:tab/>
      </w:r>
      <w:hyperlink r:id="rId241" w:history="1">
        <w:r w:rsidR="00F3045C">
          <w:rPr>
            <w:rStyle w:val="Hyperlink"/>
          </w:rPr>
          <w:t>www.mpi.govt.nz/funding-rural-support/environment-and-natural-resources/centre-for-climate-action-on-agricultural-emissions</w:t>
        </w:r>
      </w:hyperlink>
      <w:r w:rsidRPr="007F7910">
        <w:t xml:space="preserve"> </w:t>
      </w:r>
    </w:p>
  </w:footnote>
  <w:footnote w:id="357">
    <w:p w14:paraId="308B1619" w14:textId="547EE4A5" w:rsidR="00493884" w:rsidRPr="00493884" w:rsidRDefault="00493884" w:rsidP="00F77EE6">
      <w:pPr>
        <w:pStyle w:val="FootnoteText"/>
        <w:spacing w:after="40"/>
        <w:rPr>
          <w:lang w:val="en-US"/>
        </w:rPr>
      </w:pPr>
      <w:r>
        <w:rPr>
          <w:rStyle w:val="FootnoteReference"/>
        </w:rPr>
        <w:footnoteRef/>
      </w:r>
      <w:r>
        <w:t xml:space="preserve"> </w:t>
      </w:r>
      <w:r>
        <w:rPr>
          <w:lang w:val="en-US"/>
        </w:rPr>
        <w:tab/>
      </w:r>
      <w:hyperlink r:id="rId242" w:history="1">
        <w:r>
          <w:rPr>
            <w:rStyle w:val="Hyperlink"/>
            <w:lang w:val="en-US"/>
          </w:rPr>
          <w:t>www.beehive.govt.nz/release/partnership-reduce-agricultural-emissions</w:t>
        </w:r>
      </w:hyperlink>
      <w:r>
        <w:rPr>
          <w:lang w:val="en-US"/>
        </w:rPr>
        <w:t xml:space="preserve"> </w:t>
      </w:r>
    </w:p>
  </w:footnote>
  <w:footnote w:id="358">
    <w:p w14:paraId="2C2916C2" w14:textId="77777777" w:rsidR="007420E6" w:rsidRPr="007F7910" w:rsidRDefault="007420E6" w:rsidP="007420E6">
      <w:pPr>
        <w:pStyle w:val="FootnoteText"/>
      </w:pPr>
      <w:r w:rsidRPr="007F7910">
        <w:rPr>
          <w:rStyle w:val="FootnoteReference"/>
        </w:rPr>
        <w:footnoteRef/>
      </w:r>
      <w:r w:rsidRPr="007F7910">
        <w:t xml:space="preserve"> </w:t>
      </w:r>
      <w:r>
        <w:tab/>
      </w:r>
      <w:r w:rsidRPr="007F7910">
        <w:t>The Strategic Science Investment Fund also includes infrastructure, which is not included in this figure.</w:t>
      </w:r>
    </w:p>
  </w:footnote>
  <w:footnote w:id="359">
    <w:p w14:paraId="3F5ACB12" w14:textId="513329EB" w:rsidR="007420E6" w:rsidRPr="007F7910" w:rsidRDefault="007420E6" w:rsidP="007420E6">
      <w:pPr>
        <w:pStyle w:val="FootnoteText"/>
      </w:pPr>
      <w:r w:rsidRPr="007F7910">
        <w:rPr>
          <w:rStyle w:val="FootnoteReference"/>
          <w:rFonts w:eastAsiaTheme="majorEastAsia"/>
        </w:rPr>
        <w:footnoteRef/>
      </w:r>
      <w:r w:rsidRPr="007F7910">
        <w:tab/>
      </w:r>
      <w:hyperlink r:id="rId243" w:history="1">
        <w:r w:rsidR="008733FD">
          <w:rPr>
            <w:rStyle w:val="Hyperlink"/>
          </w:rPr>
          <w:t>www.mbie.govt.nz/science-and-technology/science-and-innovation/funding-information-and-opportunities/investment-funds/national-science-challenges/the-11-challenges</w:t>
        </w:r>
      </w:hyperlink>
      <w:r w:rsidRPr="007F7910">
        <w:t xml:space="preserve"> </w:t>
      </w:r>
    </w:p>
  </w:footnote>
  <w:footnote w:id="360">
    <w:p w14:paraId="192D4D07" w14:textId="6808208C" w:rsidR="007420E6" w:rsidRDefault="007420E6" w:rsidP="007420E6">
      <w:pPr>
        <w:pStyle w:val="FootnoteText"/>
      </w:pPr>
      <w:r>
        <w:rPr>
          <w:rStyle w:val="FootnoteReference"/>
        </w:rPr>
        <w:footnoteRef/>
      </w:r>
      <w:r>
        <w:t xml:space="preserve"> </w:t>
      </w:r>
      <w:r>
        <w:tab/>
      </w:r>
      <w:hyperlink r:id="rId244" w:history="1">
        <w:r w:rsidR="0040658E">
          <w:rPr>
            <w:rStyle w:val="Hyperlink"/>
          </w:rPr>
          <w:t>deepsouthchallenge.co.nz</w:t>
        </w:r>
      </w:hyperlink>
    </w:p>
  </w:footnote>
  <w:footnote w:id="361">
    <w:p w14:paraId="79F0D710" w14:textId="20D37E38" w:rsidR="007420E6" w:rsidRPr="007F7910" w:rsidRDefault="007420E6" w:rsidP="007420E6">
      <w:pPr>
        <w:pStyle w:val="FootnoteText"/>
      </w:pPr>
      <w:r w:rsidRPr="007F7910">
        <w:rPr>
          <w:rStyle w:val="FootnoteReference"/>
        </w:rPr>
        <w:footnoteRef/>
      </w:r>
      <w:r w:rsidRPr="007F7910">
        <w:t xml:space="preserve"> </w:t>
      </w:r>
      <w:r>
        <w:tab/>
      </w:r>
      <w:hyperlink r:id="rId245" w:history="1">
        <w:r w:rsidR="0040658E">
          <w:rPr>
            <w:rStyle w:val="Hyperlink"/>
          </w:rPr>
          <w:t>resiliencechallenge.nz</w:t>
        </w:r>
      </w:hyperlink>
      <w:r w:rsidRPr="007F7910">
        <w:t xml:space="preserve"> </w:t>
      </w:r>
    </w:p>
  </w:footnote>
  <w:footnote w:id="362">
    <w:p w14:paraId="277772A1" w14:textId="44952EB4" w:rsidR="007420E6" w:rsidRPr="007F7910" w:rsidRDefault="007420E6" w:rsidP="007420E6">
      <w:pPr>
        <w:pStyle w:val="FootnoteText"/>
      </w:pPr>
      <w:r w:rsidRPr="007F7910">
        <w:rPr>
          <w:rStyle w:val="FootnoteReference"/>
        </w:rPr>
        <w:footnoteRef/>
      </w:r>
      <w:r w:rsidRPr="007F7910">
        <w:t xml:space="preserve"> </w:t>
      </w:r>
      <w:r>
        <w:tab/>
      </w:r>
      <w:hyperlink r:id="rId246" w:history="1">
        <w:r w:rsidR="0040658E">
          <w:rPr>
            <w:rStyle w:val="Hyperlink"/>
          </w:rPr>
          <w:t>ourlandandwater.nz</w:t>
        </w:r>
      </w:hyperlink>
      <w:r w:rsidRPr="007F7910">
        <w:t xml:space="preserve"> </w:t>
      </w:r>
    </w:p>
  </w:footnote>
  <w:footnote w:id="363">
    <w:p w14:paraId="2C756108" w14:textId="3D048FBA" w:rsidR="007420E6" w:rsidRPr="007F7910" w:rsidRDefault="007420E6" w:rsidP="00CE2428">
      <w:pPr>
        <w:pStyle w:val="FootnoteText"/>
        <w:spacing w:after="40" w:line="220" w:lineRule="atLeast"/>
      </w:pPr>
      <w:r w:rsidRPr="007F7910">
        <w:rPr>
          <w:rStyle w:val="FootnoteReference"/>
        </w:rPr>
        <w:footnoteRef/>
      </w:r>
      <w:r w:rsidRPr="007F7910">
        <w:t xml:space="preserve"> </w:t>
      </w:r>
      <w:r>
        <w:tab/>
      </w:r>
      <w:hyperlink r:id="rId247" w:history="1">
        <w:r w:rsidR="0040658E">
          <w:rPr>
            <w:rStyle w:val="Hyperlink"/>
          </w:rPr>
          <w:t>www.mbie.govt.nz/science-and-technology/science-and-innovation/funding-information-and-opportunities/investment-funds/endeavour-fund</w:t>
        </w:r>
      </w:hyperlink>
      <w:r w:rsidRPr="007F7910">
        <w:t xml:space="preserve"> </w:t>
      </w:r>
    </w:p>
  </w:footnote>
  <w:footnote w:id="364">
    <w:p w14:paraId="2E1841E1" w14:textId="14A0C170" w:rsidR="007420E6" w:rsidRPr="007F7910" w:rsidRDefault="007420E6" w:rsidP="00CE2428">
      <w:pPr>
        <w:pStyle w:val="FootnoteText"/>
        <w:spacing w:after="40" w:line="220" w:lineRule="atLeast"/>
      </w:pPr>
      <w:r w:rsidRPr="007F7910">
        <w:rPr>
          <w:rStyle w:val="FootnoteReference"/>
        </w:rPr>
        <w:footnoteRef/>
      </w:r>
      <w:r w:rsidRPr="007F7910">
        <w:t xml:space="preserve"> </w:t>
      </w:r>
      <w:r>
        <w:tab/>
      </w:r>
      <w:hyperlink r:id="rId248" w:history="1">
        <w:r w:rsidR="0040658E">
          <w:rPr>
            <w:rStyle w:val="Hyperlink"/>
          </w:rPr>
          <w:t>www.searise.nz</w:t>
        </w:r>
      </w:hyperlink>
      <w:r w:rsidRPr="007F7910">
        <w:t xml:space="preserve"> </w:t>
      </w:r>
    </w:p>
  </w:footnote>
  <w:footnote w:id="365">
    <w:p w14:paraId="73A423A3" w14:textId="6B8E00E3" w:rsidR="007420E6" w:rsidRPr="007F7910" w:rsidRDefault="007420E6" w:rsidP="00CE2428">
      <w:pPr>
        <w:pStyle w:val="FootnoteText"/>
        <w:spacing w:after="40" w:line="220" w:lineRule="atLeast"/>
      </w:pPr>
      <w:r w:rsidRPr="007F7910">
        <w:rPr>
          <w:rStyle w:val="FootnoteReference"/>
        </w:rPr>
        <w:footnoteRef/>
      </w:r>
      <w:r w:rsidRPr="007F7910">
        <w:t xml:space="preserve"> </w:t>
      </w:r>
      <w:r>
        <w:tab/>
      </w:r>
      <w:hyperlink r:id="rId249" w:history="1">
        <w:r w:rsidR="0040658E">
          <w:rPr>
            <w:rStyle w:val="Hyperlink"/>
          </w:rPr>
          <w:t>niwa.co.nz/natural-hazards/research-projects/future-coasts-aotearoa</w:t>
        </w:r>
      </w:hyperlink>
      <w:r w:rsidRPr="007F7910">
        <w:t xml:space="preserve"> </w:t>
      </w:r>
    </w:p>
  </w:footnote>
  <w:footnote w:id="366">
    <w:p w14:paraId="7AF80851" w14:textId="3DD374B8" w:rsidR="007420E6" w:rsidRPr="007F7910" w:rsidRDefault="007420E6" w:rsidP="00CE2428">
      <w:pPr>
        <w:pStyle w:val="FootnoteText"/>
        <w:spacing w:after="40" w:line="220" w:lineRule="atLeast"/>
      </w:pPr>
      <w:r w:rsidRPr="007F7910">
        <w:rPr>
          <w:rStyle w:val="FootnoteReference"/>
        </w:rPr>
        <w:footnoteRef/>
      </w:r>
      <w:r w:rsidRPr="007F7910">
        <w:t xml:space="preserve"> </w:t>
      </w:r>
      <w:r>
        <w:tab/>
      </w:r>
      <w:hyperlink r:id="rId250" w:history="1">
        <w:r w:rsidR="0040658E">
          <w:rPr>
            <w:rStyle w:val="Hyperlink"/>
          </w:rPr>
          <w:t>niwa.co.nz/climate/research-projects/carbon-watch-nz</w:t>
        </w:r>
      </w:hyperlink>
      <w:r w:rsidRPr="007F7910">
        <w:t xml:space="preserve"> </w:t>
      </w:r>
    </w:p>
  </w:footnote>
  <w:footnote w:id="367">
    <w:p w14:paraId="1863FF0B" w14:textId="42B69126" w:rsidR="007420E6" w:rsidRDefault="007420E6" w:rsidP="00CE2428">
      <w:pPr>
        <w:pStyle w:val="FootnoteText"/>
        <w:spacing w:after="40" w:line="220" w:lineRule="atLeast"/>
      </w:pPr>
      <w:r>
        <w:rPr>
          <w:rStyle w:val="FootnoteReference"/>
        </w:rPr>
        <w:footnoteRef/>
      </w:r>
      <w:r w:rsidR="0040658E">
        <w:tab/>
      </w:r>
      <w:hyperlink r:id="rId251" w:history="1">
        <w:r w:rsidR="0040658E" w:rsidRPr="00237FFB">
          <w:rPr>
            <w:rStyle w:val="Hyperlink"/>
          </w:rPr>
          <w:t>www.gns.cri.nz/research-projects/fjords-as-carbon-sinks</w:t>
        </w:r>
      </w:hyperlink>
    </w:p>
  </w:footnote>
  <w:footnote w:id="368">
    <w:p w14:paraId="4F3C06F6" w14:textId="77777777" w:rsidR="007420E6" w:rsidRPr="007F7910" w:rsidRDefault="007420E6" w:rsidP="00CE2428">
      <w:pPr>
        <w:pStyle w:val="FootnoteText"/>
        <w:spacing w:after="40" w:line="220" w:lineRule="atLeast"/>
      </w:pPr>
      <w:r w:rsidRPr="007F7910">
        <w:rPr>
          <w:rStyle w:val="FootnoteReference"/>
        </w:rPr>
        <w:footnoteRef/>
      </w:r>
      <w:r w:rsidRPr="007F7910">
        <w:t xml:space="preserve"> </w:t>
      </w:r>
      <w:r w:rsidRPr="007F7910">
        <w:tab/>
        <w:t>MetService, New Zealand’s national weather authority, is a state-owned enterprise meaning it operates as a commercial business.</w:t>
      </w:r>
    </w:p>
  </w:footnote>
  <w:footnote w:id="369">
    <w:p w14:paraId="4CE3ED86" w14:textId="4603CAAC" w:rsidR="007420E6" w:rsidRPr="007F7910" w:rsidRDefault="007420E6" w:rsidP="007420E6">
      <w:pPr>
        <w:pStyle w:val="FootnoteText"/>
      </w:pPr>
      <w:r w:rsidRPr="007F7910">
        <w:rPr>
          <w:rStyle w:val="FootnoteReference"/>
          <w:rFonts w:eastAsiaTheme="majorEastAsia"/>
          <w:szCs w:val="18"/>
        </w:rPr>
        <w:footnoteRef/>
      </w:r>
      <w:r w:rsidRPr="007F7910">
        <w:rPr>
          <w:szCs w:val="18"/>
        </w:rPr>
        <w:t xml:space="preserve"> </w:t>
      </w:r>
      <w:r w:rsidRPr="007F7910">
        <w:rPr>
          <w:szCs w:val="18"/>
        </w:rPr>
        <w:tab/>
      </w:r>
      <w:hyperlink r:id="rId252" w:history="1">
        <w:r w:rsidR="00F35DB2">
          <w:rPr>
            <w:rStyle w:val="Hyperlink"/>
          </w:rPr>
          <w:t>www.mbie.govt.nz/science-and-technology/science-and-innovation/funding-information-and-opportunities/investment-funds/who-got-funded</w:t>
        </w:r>
      </w:hyperlink>
    </w:p>
  </w:footnote>
  <w:footnote w:id="370">
    <w:p w14:paraId="5F1C0592" w14:textId="3ED71A6B" w:rsidR="007420E6" w:rsidRPr="007F7910" w:rsidRDefault="007420E6" w:rsidP="007420E6">
      <w:pPr>
        <w:pStyle w:val="FootnoteText"/>
      </w:pPr>
      <w:r w:rsidRPr="007F7910">
        <w:rPr>
          <w:rStyle w:val="FootnoteReference"/>
        </w:rPr>
        <w:footnoteRef/>
      </w:r>
      <w:r w:rsidRPr="007F7910">
        <w:t xml:space="preserve"> </w:t>
      </w:r>
      <w:r>
        <w:tab/>
      </w:r>
      <w:hyperlink r:id="rId253" w:history="1">
        <w:r w:rsidR="00F35DB2">
          <w:rPr>
            <w:rStyle w:val="Hyperlink"/>
          </w:rPr>
          <w:t>www.mpi.govt.nz/funding-rural-support/farming-funds-and-programmes/global-partnerships-in-livestock-emissions-research</w:t>
        </w:r>
      </w:hyperlink>
      <w:r w:rsidRPr="007F7910">
        <w:t xml:space="preserve"> </w:t>
      </w:r>
    </w:p>
  </w:footnote>
  <w:footnote w:id="371">
    <w:p w14:paraId="510E8E5A" w14:textId="77777777" w:rsidR="007420E6" w:rsidRPr="003812BC" w:rsidRDefault="007420E6" w:rsidP="007420E6">
      <w:pPr>
        <w:pStyle w:val="FootnoteText"/>
        <w:rPr>
          <w:rFonts w:asciiTheme="minorHAnsi" w:hAnsiTheme="minorHAnsi" w:cstheme="minorHAnsi"/>
          <w:spacing w:val="-2"/>
          <w:sz w:val="18"/>
          <w:szCs w:val="18"/>
        </w:rPr>
      </w:pPr>
      <w:r w:rsidRPr="007F7910">
        <w:rPr>
          <w:rStyle w:val="FootnoteReference"/>
          <w:rFonts w:asciiTheme="minorHAnsi" w:hAnsiTheme="minorHAnsi" w:cstheme="minorHAnsi"/>
          <w:sz w:val="18"/>
          <w:szCs w:val="18"/>
        </w:rPr>
        <w:footnoteRef/>
      </w:r>
      <w:r w:rsidRPr="007F7910">
        <w:rPr>
          <w:rFonts w:asciiTheme="minorHAnsi" w:hAnsiTheme="minorHAnsi" w:cstheme="minorHAnsi"/>
          <w:sz w:val="18"/>
          <w:szCs w:val="18"/>
        </w:rPr>
        <w:t xml:space="preserve"> </w:t>
      </w:r>
      <w:r w:rsidRPr="007F7910">
        <w:rPr>
          <w:rFonts w:asciiTheme="minorHAnsi" w:hAnsiTheme="minorHAnsi" w:cstheme="minorHAnsi"/>
          <w:sz w:val="18"/>
          <w:szCs w:val="18"/>
        </w:rPr>
        <w:tab/>
      </w:r>
      <w:r w:rsidRPr="003812BC">
        <w:rPr>
          <w:spacing w:val="-2"/>
        </w:rPr>
        <w:t xml:space="preserve">Ministry for the Environment. 2018. </w:t>
      </w:r>
      <w:hyperlink r:id="rId254" w:history="1">
        <w:r w:rsidRPr="003812BC">
          <w:rPr>
            <w:rStyle w:val="Hyperlink"/>
            <w:i/>
            <w:iCs/>
            <w:spacing w:val="-2"/>
          </w:rPr>
          <w:t>Climate Change Projections for New Zealand: Atmosphere Projections Based on Simulations from the IPCC Fifth Assessment, 2nd Edition</w:t>
        </w:r>
      </w:hyperlink>
      <w:r w:rsidRPr="003812BC">
        <w:rPr>
          <w:spacing w:val="-2"/>
        </w:rPr>
        <w:t xml:space="preserve">. Wellington: Ministry for the Environment. </w:t>
      </w:r>
    </w:p>
  </w:footnote>
  <w:footnote w:id="372">
    <w:p w14:paraId="3677E425" w14:textId="6A917841" w:rsidR="007420E6" w:rsidRDefault="007420E6" w:rsidP="002E2B5A">
      <w:pPr>
        <w:pStyle w:val="FootnoteText"/>
      </w:pPr>
      <w:r>
        <w:rPr>
          <w:rStyle w:val="FootnoteReference"/>
        </w:rPr>
        <w:footnoteRef/>
      </w:r>
      <w:r>
        <w:t xml:space="preserve"> </w:t>
      </w:r>
      <w:r w:rsidR="002E2B5A">
        <w:tab/>
      </w:r>
      <w:r w:rsidRPr="006E0898">
        <w:rPr>
          <w:rFonts w:eastAsiaTheme="majorEastAsia"/>
        </w:rPr>
        <w:t xml:space="preserve">Intergovernmental Panel on Climate Change. 2013. </w:t>
      </w:r>
      <w:hyperlink r:id="rId255" w:history="1">
        <w:r w:rsidRPr="002E2B5A">
          <w:rPr>
            <w:rStyle w:val="Hyperlink"/>
            <w:rFonts w:eastAsiaTheme="majorEastAsia"/>
            <w:i/>
          </w:rPr>
          <w:t>Climate Change 2013: The Physical Science Basis. Contribution of Working Group I to the Fifth Assessment Report of the Intergovernmental Panel on Climate Change</w:t>
        </w:r>
      </w:hyperlink>
      <w:r w:rsidRPr="006E0898">
        <w:rPr>
          <w:rFonts w:eastAsiaTheme="majorEastAsia"/>
        </w:rPr>
        <w:t xml:space="preserve">. Cambridge: Cambridge University Press. </w:t>
      </w:r>
    </w:p>
  </w:footnote>
  <w:footnote w:id="373">
    <w:p w14:paraId="307823ED" w14:textId="342E5A56" w:rsidR="007420E6" w:rsidRPr="007F7910" w:rsidRDefault="007420E6" w:rsidP="007420E6">
      <w:pPr>
        <w:pStyle w:val="FootnoteText"/>
      </w:pPr>
      <w:r w:rsidRPr="007F7910">
        <w:rPr>
          <w:rStyle w:val="FootnoteReference"/>
        </w:rPr>
        <w:footnoteRef/>
      </w:r>
      <w:r w:rsidRPr="007F7910">
        <w:t xml:space="preserve"> </w:t>
      </w:r>
      <w:r w:rsidRPr="007F7910">
        <w:tab/>
        <w:t xml:space="preserve">See </w:t>
      </w:r>
      <w:hyperlink r:id="rId256" w:history="1">
        <w:r w:rsidRPr="006E21B2">
          <w:rPr>
            <w:rStyle w:val="Hyperlink"/>
            <w:rFonts w:eastAsia="Calibri"/>
            <w:i/>
            <w:iCs/>
          </w:rPr>
          <w:t>Sixth Assessment Report</w:t>
        </w:r>
      </w:hyperlink>
      <w:r w:rsidRPr="007F7910">
        <w:rPr>
          <w:rFonts w:eastAsia="Calibri"/>
        </w:rPr>
        <w:t xml:space="preserve">, </w:t>
      </w:r>
      <w:r w:rsidRPr="007F7910">
        <w:t>chapter 11, Australasia.</w:t>
      </w:r>
    </w:p>
  </w:footnote>
  <w:footnote w:id="374">
    <w:p w14:paraId="0C0715B1" w14:textId="4E33ECBF" w:rsidR="007420E6" w:rsidRDefault="007420E6" w:rsidP="00615A65">
      <w:pPr>
        <w:pStyle w:val="FootnoteText"/>
      </w:pPr>
      <w:r>
        <w:rPr>
          <w:rStyle w:val="FootnoteReference"/>
        </w:rPr>
        <w:footnoteRef/>
      </w:r>
      <w:r w:rsidR="00615A65">
        <w:tab/>
      </w:r>
      <w:r w:rsidRPr="00E540D7">
        <w:rPr>
          <w:rFonts w:eastAsiaTheme="majorEastAsia"/>
        </w:rPr>
        <w:t>Intergovernmental Panel on Climate Change. 2021</w:t>
      </w:r>
      <w:hyperlink r:id="rId257" w:history="1">
        <w:r w:rsidRPr="00615A65">
          <w:rPr>
            <w:rStyle w:val="Hyperlink"/>
            <w:rFonts w:eastAsiaTheme="majorEastAsia"/>
          </w:rPr>
          <w:t xml:space="preserve">. </w:t>
        </w:r>
        <w:r w:rsidRPr="00615A65">
          <w:rPr>
            <w:rStyle w:val="Hyperlink"/>
            <w:rFonts w:eastAsiaTheme="majorEastAsia"/>
            <w:i/>
            <w:iCs/>
          </w:rPr>
          <w:t>Climate Change 2021: The Physical Science Basis. Contribution of Working Group I to the Sixth Assessment Report of the Intergovernmental Panel on Climate Change</w:t>
        </w:r>
      </w:hyperlink>
      <w:r w:rsidRPr="00E540D7">
        <w:rPr>
          <w:rFonts w:eastAsiaTheme="majorEastAsia"/>
        </w:rPr>
        <w:t xml:space="preserve">. Cambridge: </w:t>
      </w:r>
      <w:r w:rsidRPr="00615A65">
        <w:t>Intergovernmental</w:t>
      </w:r>
      <w:r w:rsidRPr="00E540D7">
        <w:rPr>
          <w:rFonts w:eastAsiaTheme="majorEastAsia"/>
        </w:rPr>
        <w:t xml:space="preserve"> Panel on Climate Change. </w:t>
      </w:r>
    </w:p>
  </w:footnote>
  <w:footnote w:id="375">
    <w:p w14:paraId="06D7CB92" w14:textId="791A6F7D" w:rsidR="007420E6" w:rsidRPr="007F7910" w:rsidRDefault="007420E6" w:rsidP="007420E6">
      <w:pPr>
        <w:pStyle w:val="FootnoteText"/>
      </w:pPr>
      <w:r w:rsidRPr="007F7910">
        <w:rPr>
          <w:rStyle w:val="FootnoteReference"/>
        </w:rPr>
        <w:footnoteRef/>
      </w:r>
      <w:r w:rsidRPr="007F7910">
        <w:t xml:space="preserve"> </w:t>
      </w:r>
      <w:r>
        <w:tab/>
      </w:r>
      <w:hyperlink r:id="rId258" w:history="1">
        <w:r w:rsidR="00615A65">
          <w:rPr>
            <w:rStyle w:val="Hyperlink"/>
          </w:rPr>
          <w:t>environment.govt.nz/publications/aotearoa-new-zealand-climate-change-projections-guidance</w:t>
        </w:r>
      </w:hyperlink>
      <w:r w:rsidRPr="007F7910">
        <w:t xml:space="preserve"> </w:t>
      </w:r>
    </w:p>
  </w:footnote>
  <w:footnote w:id="376">
    <w:p w14:paraId="28B0126D" w14:textId="4369BDCF" w:rsidR="00EC17A0" w:rsidRPr="00EC17A0" w:rsidRDefault="00EC17A0">
      <w:pPr>
        <w:pStyle w:val="FootnoteText"/>
        <w:rPr>
          <w:lang w:val="en-US"/>
        </w:rPr>
      </w:pPr>
      <w:r>
        <w:rPr>
          <w:rStyle w:val="FootnoteReference"/>
        </w:rPr>
        <w:footnoteRef/>
      </w:r>
      <w:r>
        <w:t xml:space="preserve"> </w:t>
      </w:r>
      <w:r>
        <w:rPr>
          <w:lang w:val="en-US"/>
        </w:rPr>
        <w:tab/>
      </w:r>
      <w:hyperlink r:id="rId259" w:history="1">
        <w:r>
          <w:rPr>
            <w:rStyle w:val="Hyperlink"/>
            <w:lang w:val="en-US"/>
          </w:rPr>
          <w:t>niwa.co.nz/climate/research-projects/updated-national-climate-projections-for-aotearoa-new-zealand</w:t>
        </w:r>
      </w:hyperlink>
      <w:r>
        <w:rPr>
          <w:lang w:val="en-US"/>
        </w:rPr>
        <w:t xml:space="preserve"> </w:t>
      </w:r>
    </w:p>
  </w:footnote>
  <w:footnote w:id="377">
    <w:p w14:paraId="1FA95038" w14:textId="50050634" w:rsidR="007420E6" w:rsidRPr="007F7910" w:rsidRDefault="007420E6" w:rsidP="007420E6">
      <w:pPr>
        <w:pStyle w:val="FootnoteText"/>
        <w:rPr>
          <w:rFonts w:eastAsia="Calibri" w:cs="Calibri"/>
        </w:rPr>
      </w:pPr>
      <w:r w:rsidRPr="007F7910">
        <w:rPr>
          <w:rStyle w:val="FootnoteReference"/>
          <w:szCs w:val="19"/>
        </w:rPr>
        <w:footnoteRef/>
      </w:r>
      <w:r w:rsidRPr="007F7910">
        <w:rPr>
          <w:szCs w:val="19"/>
        </w:rPr>
        <w:t xml:space="preserve"> </w:t>
      </w:r>
      <w:r>
        <w:rPr>
          <w:szCs w:val="19"/>
        </w:rPr>
        <w:tab/>
      </w:r>
      <w:hyperlink r:id="rId260" w:history="1">
        <w:r w:rsidR="001C1F9D">
          <w:rPr>
            <w:rStyle w:val="Hyperlink"/>
            <w:rFonts w:eastAsia="Calibri" w:cs="Calibri"/>
          </w:rPr>
          <w:t>www.searise.nz/maps-2</w:t>
        </w:r>
      </w:hyperlink>
    </w:p>
  </w:footnote>
  <w:footnote w:id="378">
    <w:p w14:paraId="3D774651" w14:textId="77777777" w:rsidR="007420E6" w:rsidRPr="007F7910" w:rsidRDefault="007420E6" w:rsidP="007420E6">
      <w:pPr>
        <w:pStyle w:val="FootnoteText"/>
      </w:pPr>
      <w:r w:rsidRPr="007F7910">
        <w:rPr>
          <w:rStyle w:val="FootnoteReference"/>
          <w:szCs w:val="19"/>
        </w:rPr>
        <w:footnoteRef/>
      </w:r>
      <w:r w:rsidRPr="007F7910">
        <w:rPr>
          <w:szCs w:val="19"/>
        </w:rPr>
        <w:t xml:space="preserve"> </w:t>
      </w:r>
      <w:r>
        <w:rPr>
          <w:szCs w:val="19"/>
        </w:rPr>
        <w:tab/>
      </w:r>
      <w:r w:rsidRPr="007F7910">
        <w:t xml:space="preserve">Ministry for the Environment. 2022. </w:t>
      </w:r>
      <w:hyperlink r:id="rId261" w:history="1">
        <w:r w:rsidRPr="00E32032">
          <w:rPr>
            <w:rStyle w:val="Hyperlink"/>
            <w:i/>
            <w:iCs/>
          </w:rPr>
          <w:t>Interim guidance on the use of new sea-level rise projections. Wellington: Ministry for the Environment</w:t>
        </w:r>
      </w:hyperlink>
      <w:r w:rsidRPr="007F7910">
        <w:t xml:space="preserve">. Wellington: Ministry for the Environment. </w:t>
      </w:r>
    </w:p>
  </w:footnote>
  <w:footnote w:id="379">
    <w:p w14:paraId="23D16054" w14:textId="77777777" w:rsidR="007420E6" w:rsidRPr="007F7910" w:rsidRDefault="007420E6" w:rsidP="007420E6">
      <w:pPr>
        <w:pStyle w:val="FootnoteText"/>
      </w:pPr>
      <w:r w:rsidRPr="007F7910">
        <w:rPr>
          <w:rStyle w:val="FootnoteReference"/>
          <w:rFonts w:eastAsiaTheme="majorEastAsia"/>
        </w:rPr>
        <w:footnoteRef/>
      </w:r>
      <w:r w:rsidRPr="007F7910">
        <w:t xml:space="preserve"> </w:t>
      </w:r>
      <w:r w:rsidRPr="007F7910">
        <w:tab/>
        <w:t xml:space="preserve">Ministry for the Environment. 2008. </w:t>
      </w:r>
      <w:hyperlink r:id="rId262" w:history="1">
        <w:r w:rsidRPr="007F7910">
          <w:rPr>
            <w:rStyle w:val="Hyperlink"/>
            <w:i/>
          </w:rPr>
          <w:t>Coastal Hazards and Climate Change: A Guidance Manual for Local Government in New Zealand</w:t>
        </w:r>
      </w:hyperlink>
      <w:r w:rsidRPr="007F7910">
        <w:rPr>
          <w:iCs/>
        </w:rPr>
        <w:t>.</w:t>
      </w:r>
      <w:r w:rsidRPr="007F7910">
        <w:t xml:space="preserve"> Wellington: Ministry for the Environment. </w:t>
      </w:r>
    </w:p>
  </w:footnote>
  <w:footnote w:id="380">
    <w:p w14:paraId="32693442" w14:textId="77777777" w:rsidR="007420E6" w:rsidRPr="007F7910" w:rsidRDefault="007420E6" w:rsidP="007420E6">
      <w:pPr>
        <w:pStyle w:val="FootnoteText"/>
      </w:pPr>
      <w:r w:rsidRPr="007F7910">
        <w:rPr>
          <w:rStyle w:val="FootnoteReference"/>
        </w:rPr>
        <w:footnoteRef/>
      </w:r>
      <w:r w:rsidRPr="007F7910">
        <w:t xml:space="preserve"> </w:t>
      </w:r>
      <w:r>
        <w:tab/>
      </w:r>
      <w:r w:rsidRPr="007F7910">
        <w:t xml:space="preserve">Cummings V, Lundquist C, Dunn M, Francis M, Horn P, Law M, Pinkerton M, Sutton P, Tracey D, Hansen L, Mielbrecht E. 2021. </w:t>
      </w:r>
      <w:r w:rsidRPr="00E32032">
        <w:rPr>
          <w:i/>
          <w:iCs/>
        </w:rPr>
        <w:t>Assessment of potential effects of climate-related changes in coastal and offshore waters on New Zealand’s seafood sector</w:t>
      </w:r>
      <w:r w:rsidRPr="007F7910">
        <w:t>. New Zealand Aquatic Environment and Biodiversity Report No. 261. Wellington: Fisheries New Zealand.</w:t>
      </w:r>
    </w:p>
  </w:footnote>
  <w:footnote w:id="381">
    <w:p w14:paraId="0906953B" w14:textId="5D3427D6" w:rsidR="007420E6" w:rsidRPr="007F7910" w:rsidRDefault="007420E6" w:rsidP="007420E6">
      <w:pPr>
        <w:pStyle w:val="FootnoteText"/>
      </w:pPr>
      <w:r w:rsidRPr="007F7910">
        <w:rPr>
          <w:rStyle w:val="FootnoteReference"/>
        </w:rPr>
        <w:footnoteRef/>
      </w:r>
      <w:r w:rsidRPr="007F7910">
        <w:t xml:space="preserve"> </w:t>
      </w:r>
      <w:r>
        <w:tab/>
      </w:r>
      <w:r w:rsidRPr="007F7910">
        <w:t xml:space="preserve">Dunn M. 2022. </w:t>
      </w:r>
      <w:r w:rsidRPr="00E32032">
        <w:rPr>
          <w:i/>
          <w:iCs/>
        </w:rPr>
        <w:t>Climate change and the distribution of commercially caught marine fish species in New Zealand</w:t>
      </w:r>
      <w:r w:rsidRPr="007F7910">
        <w:rPr>
          <w:i/>
          <w:iCs/>
        </w:rPr>
        <w:t xml:space="preserve"> </w:t>
      </w:r>
      <w:r w:rsidRPr="00E32032">
        <w:rPr>
          <w:i/>
          <w:iCs/>
        </w:rPr>
        <w:t xml:space="preserve">Part 1: Spatio-temporal changes since 1989. </w:t>
      </w:r>
      <w:r w:rsidRPr="007F7910">
        <w:t xml:space="preserve">New Zealand Aquatic Environment and Biodiversity Report No. 286. Wellington: Fisheries New Zealand. Dunn M, Goeden Z, Neubauer P, Behrens E, Arnold R. 2022. </w:t>
      </w:r>
      <w:r w:rsidRPr="00E32032">
        <w:rPr>
          <w:i/>
          <w:iCs/>
        </w:rPr>
        <w:t>Climate change and the distribution of commercially caught marine fish species in New Zealand. Part</w:t>
      </w:r>
      <w:r>
        <w:rPr>
          <w:i/>
          <w:iCs/>
        </w:rPr>
        <w:t> </w:t>
      </w:r>
      <w:r w:rsidRPr="00E32032">
        <w:rPr>
          <w:i/>
          <w:iCs/>
        </w:rPr>
        <w:t>2: Predicting changes in distribution</w:t>
      </w:r>
      <w:r w:rsidRPr="007F7910">
        <w:t>. New Zealand Aquatic Environment and Biodiversity Report No.</w:t>
      </w:r>
      <w:r w:rsidR="0044453D">
        <w:t> </w:t>
      </w:r>
      <w:r w:rsidRPr="007F7910">
        <w:t>287. Wellington: Fisheries New Zealand.</w:t>
      </w:r>
    </w:p>
  </w:footnote>
  <w:footnote w:id="382">
    <w:p w14:paraId="5C97B653" w14:textId="77777777" w:rsidR="007420E6" w:rsidRPr="007F7910" w:rsidRDefault="007420E6" w:rsidP="007420E6">
      <w:pPr>
        <w:pStyle w:val="FootnoteText"/>
      </w:pPr>
      <w:r w:rsidRPr="007F7910">
        <w:rPr>
          <w:rStyle w:val="FootnoteReference"/>
        </w:rPr>
        <w:footnoteRef/>
      </w:r>
      <w:r w:rsidRPr="007F7910">
        <w:t xml:space="preserve"> </w:t>
      </w:r>
      <w:r>
        <w:tab/>
      </w:r>
      <w:r w:rsidRPr="007F7910">
        <w:t>Neubauer P, A</w:t>
      </w:r>
      <w:r>
        <w:t>’</w:t>
      </w:r>
      <w:r w:rsidRPr="007F7910">
        <w:t xml:space="preserve">mar T, Dunn M. 2021. </w:t>
      </w:r>
      <w:r w:rsidRPr="00E32032">
        <w:rPr>
          <w:i/>
          <w:iCs/>
        </w:rPr>
        <w:t>Effects of climate and environmental variability on fishery stock assessment accuracy</w:t>
      </w:r>
      <w:r w:rsidRPr="007F7910">
        <w:t>. New Zealand Fisheries Assessment Report. Wellington: Fisheries New Zealand.</w:t>
      </w:r>
    </w:p>
  </w:footnote>
  <w:footnote w:id="383">
    <w:p w14:paraId="433A6957" w14:textId="77777777" w:rsidR="007420E6" w:rsidRPr="007F7910" w:rsidRDefault="007420E6" w:rsidP="007420E6">
      <w:pPr>
        <w:pStyle w:val="FootnoteText"/>
      </w:pPr>
      <w:r w:rsidRPr="007F7910">
        <w:rPr>
          <w:rStyle w:val="FootnoteReference"/>
        </w:rPr>
        <w:footnoteRef/>
      </w:r>
      <w:r w:rsidRPr="007F7910">
        <w:t xml:space="preserve"> </w:t>
      </w:r>
      <w:r>
        <w:tab/>
      </w:r>
      <w:r w:rsidRPr="007F7910">
        <w:t xml:space="preserve">Robinson K, Decima M, Pinkerton M, Stewart R. 2021. </w:t>
      </w:r>
      <w:r w:rsidRPr="00E32032">
        <w:rPr>
          <w:i/>
          <w:iCs/>
        </w:rPr>
        <w:t>Continuous Plankton Recorder sampling of zooplankton in the Southern Ocean 2002–2018: Spatial, seasonal, and long-term changes</w:t>
      </w:r>
      <w:r w:rsidRPr="007F7910">
        <w:t>. New Zealand Aquatic Environment and Biodiversity Report No. 257. Wellington: Fisheries New Zealand.</w:t>
      </w:r>
    </w:p>
  </w:footnote>
  <w:footnote w:id="384">
    <w:p w14:paraId="32E80A9E" w14:textId="77777777" w:rsidR="007420E6" w:rsidRPr="007F7910" w:rsidRDefault="007420E6" w:rsidP="007420E6">
      <w:pPr>
        <w:pStyle w:val="FootnoteText"/>
      </w:pPr>
      <w:r w:rsidRPr="007F7910">
        <w:rPr>
          <w:rStyle w:val="FootnoteReference"/>
        </w:rPr>
        <w:footnoteRef/>
      </w:r>
      <w:r w:rsidRPr="007F7910">
        <w:t xml:space="preserve"> </w:t>
      </w:r>
      <w:r>
        <w:tab/>
      </w:r>
      <w:r w:rsidRPr="007F7910">
        <w:t xml:space="preserve">Law C, Gall N, Barr N, Northcote L, Sabadel A, Gutierrez A, Rodriquez M, Meyers M, Miller M, Decima M, Robinson K, McComb K, Ragg N, Frost E, Ren J, Armstrong E, Safi K. 2021. </w:t>
      </w:r>
      <w:r w:rsidRPr="00A42C53">
        <w:rPr>
          <w:i/>
          <w:iCs/>
        </w:rPr>
        <w:t>The influence of warming and acidification on coastal plankton in New Zealand and potential effects on green-lipped mussels</w:t>
      </w:r>
      <w:r w:rsidRPr="007F7910">
        <w:t>. New Zealand Aquatic Environment and Biodiversity Report No. 277. Wellington: Fisheries New Zealand.</w:t>
      </w:r>
    </w:p>
  </w:footnote>
  <w:footnote w:id="385">
    <w:p w14:paraId="0AEC2B57" w14:textId="77777777" w:rsidR="007420E6" w:rsidRPr="007F7910" w:rsidRDefault="007420E6" w:rsidP="007420E6">
      <w:pPr>
        <w:pStyle w:val="FootnoteText"/>
      </w:pPr>
      <w:r w:rsidRPr="007F7910">
        <w:rPr>
          <w:rStyle w:val="FootnoteReference"/>
        </w:rPr>
        <w:footnoteRef/>
      </w:r>
      <w:r w:rsidRPr="007F7910">
        <w:t xml:space="preserve"> </w:t>
      </w:r>
      <w:r>
        <w:tab/>
      </w:r>
      <w:r w:rsidRPr="007F7910">
        <w:t xml:space="preserve">Parsons D, Allan B, Bian R, Herbert N, Gublin Y, McKenzie J, McMahon S, McQueen D, Pan H, Pether S, Radford C, Setiawan A, Munday P. 2021. </w:t>
      </w:r>
      <w:r w:rsidRPr="00A42C53">
        <w:rPr>
          <w:i/>
          <w:iCs/>
        </w:rPr>
        <w:t>Ocean acidification and elevated temperature effects on New</w:t>
      </w:r>
      <w:r>
        <w:rPr>
          <w:i/>
          <w:iCs/>
        </w:rPr>
        <w:t> </w:t>
      </w:r>
      <w:r w:rsidRPr="00A42C53">
        <w:rPr>
          <w:i/>
          <w:iCs/>
        </w:rPr>
        <w:t>Zealand snapper</w:t>
      </w:r>
      <w:r w:rsidRPr="007F7910">
        <w:t>. New Zealand Aquatic Environment and Biodiversity Report No. 275. Wellington: Fisheries New Zealand.</w:t>
      </w:r>
    </w:p>
  </w:footnote>
  <w:footnote w:id="386">
    <w:p w14:paraId="21475737" w14:textId="77777777" w:rsidR="007420E6" w:rsidRPr="007F7910" w:rsidRDefault="007420E6" w:rsidP="007420E6">
      <w:pPr>
        <w:pStyle w:val="FootnoteText"/>
      </w:pPr>
      <w:r w:rsidRPr="007F7910">
        <w:rPr>
          <w:rStyle w:val="FootnoteReference"/>
        </w:rPr>
        <w:footnoteRef/>
      </w:r>
      <w:r w:rsidRPr="007F7910">
        <w:t xml:space="preserve"> </w:t>
      </w:r>
      <w:r w:rsidRPr="007F7910">
        <w:tab/>
        <w:t xml:space="preserve">Roberts JO, Hendriks HR. 2022. </w:t>
      </w:r>
      <w:r w:rsidRPr="00A42C53">
        <w:rPr>
          <w:i/>
          <w:iCs/>
        </w:rPr>
        <w:t>Potential climate change effects on New Zealand marine mammals: A</w:t>
      </w:r>
      <w:r>
        <w:rPr>
          <w:i/>
          <w:iCs/>
        </w:rPr>
        <w:t> </w:t>
      </w:r>
      <w:r w:rsidRPr="00A42C53">
        <w:rPr>
          <w:i/>
          <w:iCs/>
        </w:rPr>
        <w:t>review</w:t>
      </w:r>
      <w:r w:rsidRPr="007F7910">
        <w:t xml:space="preserve">. DOC Research and Development Series 366. Wellington: Department of Conservation. </w:t>
      </w:r>
    </w:p>
  </w:footnote>
  <w:footnote w:id="387">
    <w:p w14:paraId="48E98BB5" w14:textId="1425F749" w:rsidR="007420E6" w:rsidRDefault="007420E6" w:rsidP="007420E6">
      <w:pPr>
        <w:pStyle w:val="FootnoteText"/>
      </w:pPr>
      <w:r>
        <w:rPr>
          <w:rStyle w:val="FootnoteReference"/>
        </w:rPr>
        <w:footnoteRef/>
      </w:r>
      <w:r>
        <w:t xml:space="preserve"> </w:t>
      </w:r>
      <w:r>
        <w:tab/>
      </w:r>
      <w:hyperlink r:id="rId263" w:history="1">
        <w:r w:rsidR="00D8582B">
          <w:rPr>
            <w:rStyle w:val="Hyperlink"/>
          </w:rPr>
          <w:t>deepsouthchallenge.co.nz/research-project/climate-change-risk-assessment-for-land-based-activities</w:t>
        </w:r>
      </w:hyperlink>
      <w:r>
        <w:rPr>
          <w:color w:val="FF0000"/>
        </w:rPr>
        <w:t xml:space="preserve"> </w:t>
      </w:r>
    </w:p>
  </w:footnote>
  <w:footnote w:id="388">
    <w:p w14:paraId="42A17778" w14:textId="4C8FE3EE" w:rsidR="007420E6" w:rsidRDefault="007420E6" w:rsidP="007420E6">
      <w:pPr>
        <w:pStyle w:val="FootnoteText"/>
      </w:pPr>
      <w:r>
        <w:rPr>
          <w:rStyle w:val="FootnoteReference"/>
        </w:rPr>
        <w:footnoteRef/>
      </w:r>
      <w:r>
        <w:t xml:space="preserve"> </w:t>
      </w:r>
      <w:r>
        <w:tab/>
      </w:r>
      <w:hyperlink r:id="rId264" w:history="1">
        <w:r w:rsidR="00D8582B">
          <w:rPr>
            <w:rStyle w:val="Hyperlink"/>
          </w:rPr>
          <w:t>deepsouthchallenge.co.nz/research-project/climate-change-its-effect-on-our-agricultural-land</w:t>
        </w:r>
      </w:hyperlink>
      <w:r>
        <w:rPr>
          <w:color w:val="FF0000"/>
        </w:rPr>
        <w:t xml:space="preserve"> </w:t>
      </w:r>
    </w:p>
  </w:footnote>
  <w:footnote w:id="389">
    <w:p w14:paraId="477112D5" w14:textId="0418FE4C" w:rsidR="007420E6" w:rsidRPr="00386A42" w:rsidRDefault="007420E6" w:rsidP="00386A42">
      <w:pPr>
        <w:pStyle w:val="FootnoteText"/>
      </w:pPr>
      <w:r>
        <w:rPr>
          <w:rStyle w:val="FootnoteReference"/>
        </w:rPr>
        <w:footnoteRef/>
      </w:r>
      <w:r>
        <w:t xml:space="preserve"> </w:t>
      </w:r>
      <w:r>
        <w:tab/>
      </w:r>
      <w:hyperlink r:id="rId265" w:history="1">
        <w:r w:rsidR="00386A42">
          <w:rPr>
            <w:rStyle w:val="Hyperlink"/>
          </w:rPr>
          <w:t>deepsouthchallenge.co.nz/research-project/primary-sector-preparedness-for-climate-change</w:t>
        </w:r>
      </w:hyperlink>
      <w:r>
        <w:rPr>
          <w:color w:val="FF0000"/>
        </w:rPr>
        <w:t xml:space="preserve"> </w:t>
      </w:r>
    </w:p>
  </w:footnote>
  <w:footnote w:id="390">
    <w:p w14:paraId="57EC3FDB" w14:textId="2BF3DA06" w:rsidR="007420E6" w:rsidRDefault="007420E6" w:rsidP="007420E6">
      <w:pPr>
        <w:pStyle w:val="FootnoteText"/>
      </w:pPr>
      <w:r w:rsidRPr="00A30C70">
        <w:rPr>
          <w:rStyle w:val="FootnoteReference"/>
          <w:color w:val="auto"/>
        </w:rPr>
        <w:footnoteRef/>
      </w:r>
      <w:r w:rsidRPr="0046465D">
        <w:rPr>
          <w:color w:val="FF0000"/>
        </w:rPr>
        <w:t xml:space="preserve"> </w:t>
      </w:r>
      <w:r w:rsidR="00386A42" w:rsidRPr="00386A42">
        <w:tab/>
      </w:r>
      <w:hyperlink r:id="rId266" w:history="1">
        <w:r w:rsidR="00386A42">
          <w:rPr>
            <w:rStyle w:val="Hyperlink"/>
          </w:rPr>
          <w:t>deepsouthchallenge.co.nz/research-project/climate-water-and-wine</w:t>
        </w:r>
      </w:hyperlink>
      <w:r>
        <w:rPr>
          <w:color w:val="FF0000"/>
        </w:rPr>
        <w:t xml:space="preserve"> </w:t>
      </w:r>
    </w:p>
  </w:footnote>
  <w:footnote w:id="391">
    <w:p w14:paraId="1D5AA388" w14:textId="04040155" w:rsidR="007420E6" w:rsidRDefault="007420E6" w:rsidP="007420E6">
      <w:pPr>
        <w:pStyle w:val="FootnoteText"/>
      </w:pPr>
      <w:r>
        <w:rPr>
          <w:rStyle w:val="FootnoteReference"/>
        </w:rPr>
        <w:footnoteRef/>
      </w:r>
      <w:r>
        <w:t xml:space="preserve"> </w:t>
      </w:r>
      <w:r>
        <w:tab/>
      </w:r>
      <w:hyperlink r:id="rId267" w:history="1">
        <w:r w:rsidR="00386A42">
          <w:rPr>
            <w:rStyle w:val="Hyperlink"/>
          </w:rPr>
          <w:t>deepsouthchallenge.co.nz/research-project/climate-change-and-drought-the-future-of-farms-and-rural-communities</w:t>
        </w:r>
      </w:hyperlink>
      <w:r w:rsidR="00F2020F" w:rsidRPr="00F2020F">
        <w:t>.</w:t>
      </w:r>
    </w:p>
  </w:footnote>
  <w:footnote w:id="392">
    <w:p w14:paraId="39404C42" w14:textId="2EF368E0" w:rsidR="007420E6" w:rsidRPr="00386A42" w:rsidRDefault="007420E6" w:rsidP="007420E6">
      <w:pPr>
        <w:pStyle w:val="FootnoteText"/>
      </w:pPr>
      <w:r>
        <w:rPr>
          <w:rStyle w:val="FootnoteReference"/>
        </w:rPr>
        <w:footnoteRef/>
      </w:r>
      <w:r>
        <w:t xml:space="preserve"> </w:t>
      </w:r>
      <w:r>
        <w:tab/>
      </w:r>
      <w:r w:rsidRPr="00A30C70">
        <w:t xml:space="preserve">Newton P, Lieffering M, Mackay A, Devantier B, Costall D, Rendel J, Hoogendoom C. 2022. </w:t>
      </w:r>
      <w:r w:rsidRPr="00A30C70">
        <w:rPr>
          <w:i/>
          <w:iCs/>
        </w:rPr>
        <w:t>Review of FACE (Free Air Carbon Dioxide Enrichment) results in relation to impacts of elevated carbon dioxide on future farm practices</w:t>
      </w:r>
      <w:r w:rsidRPr="00A30C70">
        <w:t xml:space="preserve">. MPI Technical Paper No: 2021/39. Wellington: Ministry for Primary Industries. </w:t>
      </w:r>
      <w:hyperlink r:id="rId268" w:history="1">
        <w:r w:rsidR="00386A42">
          <w:rPr>
            <w:rStyle w:val="Hyperlink"/>
          </w:rPr>
          <w:t>www.mpi.govt.nz/dmsdocument/50515-Review-of-FACE-Free-Air-Carbon-Dioxide-Enrichment-results-in-relation-to-impacts-of-elevated-carbon-dioxide-on-future-farm-practices</w:t>
        </w:r>
      </w:hyperlink>
      <w:r w:rsidR="00F2020F">
        <w:rPr>
          <w:rStyle w:val="Hyperlink"/>
        </w:rPr>
        <w:t>.</w:t>
      </w:r>
    </w:p>
  </w:footnote>
  <w:footnote w:id="393">
    <w:p w14:paraId="72BA4E20" w14:textId="28B3DE24" w:rsidR="007420E6" w:rsidRPr="00386A42" w:rsidRDefault="007420E6" w:rsidP="007420E6">
      <w:pPr>
        <w:pStyle w:val="FootnoteText"/>
      </w:pPr>
      <w:r>
        <w:rPr>
          <w:rStyle w:val="FootnoteReference"/>
        </w:rPr>
        <w:footnoteRef/>
      </w:r>
      <w:r>
        <w:t xml:space="preserve"> </w:t>
      </w:r>
      <w:r>
        <w:tab/>
      </w:r>
      <w:hyperlink r:id="rId269" w:history="1">
        <w:r w:rsidR="00386A42">
          <w:rPr>
            <w:rStyle w:val="Hyperlink"/>
          </w:rPr>
          <w:t>www.nzgajournal.org.nz/index.php/rps/article/view/3461</w:t>
        </w:r>
      </w:hyperlink>
      <w:r w:rsidR="00F2020F">
        <w:rPr>
          <w:rStyle w:val="Hyperlink"/>
        </w:rPr>
        <w:t>.</w:t>
      </w:r>
    </w:p>
  </w:footnote>
  <w:footnote w:id="394">
    <w:p w14:paraId="70540CC5" w14:textId="175DD0C4" w:rsidR="007420E6" w:rsidRPr="007F7910" w:rsidRDefault="007420E6" w:rsidP="007420E6">
      <w:pPr>
        <w:pStyle w:val="FootnoteText"/>
      </w:pPr>
      <w:r w:rsidRPr="007F7910">
        <w:rPr>
          <w:rStyle w:val="FootnoteReference"/>
        </w:rPr>
        <w:footnoteRef/>
      </w:r>
      <w:r w:rsidRPr="007F7910">
        <w:t xml:space="preserve"> </w:t>
      </w:r>
      <w:r>
        <w:tab/>
        <w:t>Lambie S, Orwin K, M</w:t>
      </w:r>
      <w:r>
        <w:rPr>
          <w:rFonts w:cs="Calibri"/>
        </w:rPr>
        <w:t>ü</w:t>
      </w:r>
      <w:r>
        <w:t xml:space="preserve">ller K, Lear G, Wakelin SA, Smaill S. </w:t>
      </w:r>
      <w:r>
        <w:rPr>
          <w:i/>
          <w:iCs/>
        </w:rPr>
        <w:t>Soil Microbes and Drought</w:t>
      </w:r>
      <w:r>
        <w:t xml:space="preserve">. Wellington: Ministry for Primary Industries. </w:t>
      </w:r>
      <w:hyperlink r:id="rId270" w:history="1">
        <w:r w:rsidR="00386A42">
          <w:rPr>
            <w:rStyle w:val="Hyperlink"/>
          </w:rPr>
          <w:t>www.mpi.govt.nz/dmsdocument/26743-slmacc-project-405211-soil-microbes-and-drought</w:t>
        </w:r>
      </w:hyperlink>
      <w:r w:rsidR="00F2020F">
        <w:rPr>
          <w:rStyle w:val="Hyperlink"/>
        </w:rPr>
        <w:t>.</w:t>
      </w:r>
    </w:p>
  </w:footnote>
  <w:footnote w:id="395">
    <w:p w14:paraId="637AD82D" w14:textId="5CB957C4" w:rsidR="007420E6" w:rsidRPr="007F7910" w:rsidRDefault="007420E6" w:rsidP="007420E6">
      <w:pPr>
        <w:pStyle w:val="FootnoteText"/>
      </w:pPr>
      <w:r w:rsidRPr="007F7910">
        <w:rPr>
          <w:rStyle w:val="FootnoteReference"/>
        </w:rPr>
        <w:footnoteRef/>
      </w:r>
      <w:r w:rsidRPr="00386A42">
        <w:t xml:space="preserve"> </w:t>
      </w:r>
      <w:r w:rsidRPr="00386A42">
        <w:tab/>
      </w:r>
      <w:r w:rsidRPr="00A30C70">
        <w:t xml:space="preserve">Collins D, Dark A, Zammit C, Bright J. 2022. </w:t>
      </w:r>
      <w:r w:rsidRPr="00A30C70">
        <w:rPr>
          <w:i/>
          <w:iCs/>
        </w:rPr>
        <w:t>Effects of climate change on irrigation supply and demand</w:t>
      </w:r>
      <w:r w:rsidRPr="00A30C70">
        <w:t xml:space="preserve">. MPI Technical Paper No: 2022/07. Wellington: Ministry for Primary Industries. </w:t>
      </w:r>
      <w:hyperlink r:id="rId271" w:history="1">
        <w:r w:rsidR="00386A42">
          <w:rPr>
            <w:rStyle w:val="Hyperlink"/>
          </w:rPr>
          <w:t>www.mpi.govt.nz/dmsdocument/50606/direct</w:t>
        </w:r>
      </w:hyperlink>
      <w:r w:rsidR="00B775E6">
        <w:rPr>
          <w:rStyle w:val="Hyperlink"/>
        </w:rPr>
        <w:t>.</w:t>
      </w:r>
    </w:p>
  </w:footnote>
  <w:footnote w:id="396">
    <w:p w14:paraId="7AC424DD" w14:textId="4D68D384" w:rsidR="007420E6" w:rsidRPr="007F7910" w:rsidRDefault="007420E6" w:rsidP="007420E6">
      <w:pPr>
        <w:pStyle w:val="FootnoteText"/>
      </w:pPr>
      <w:r w:rsidRPr="007F7910">
        <w:rPr>
          <w:rStyle w:val="FootnoteReference"/>
        </w:rPr>
        <w:footnoteRef/>
      </w:r>
      <w:r w:rsidRPr="007F7910">
        <w:t xml:space="preserve"> </w:t>
      </w:r>
      <w:r>
        <w:tab/>
      </w:r>
      <w:r w:rsidRPr="00A30C70">
        <w:t xml:space="preserve">Stevenson B, Garrett L, van der Weerden T, Beare M, Beets P, Bell N, Bowatte S, Clothier B, Curtin D, de Klein C, Davis M, Dickie I, Dodd M, Dominati E, Gentile R, Hedley C, Kirschbaum M, Mullan B, O’Callaghan M, Orwin K, Parfitt R, Shepherd M, Smaill S, Thomas S, Wakelin S. 2013. </w:t>
      </w:r>
      <w:r w:rsidRPr="00A30C70">
        <w:rPr>
          <w:i/>
          <w:iCs/>
        </w:rPr>
        <w:t>Review of the impacts of climate change on soil processes and the consequences for ecosystem services – Appendices</w:t>
      </w:r>
      <w:r w:rsidRPr="00A30C70">
        <w:t xml:space="preserve">. MPI Technical Paper No: 2018/41. Wellington: Ministry for Primary Industries. </w:t>
      </w:r>
      <w:hyperlink r:id="rId272" w:history="1">
        <w:r w:rsidR="00386A42">
          <w:rPr>
            <w:rStyle w:val="Hyperlink"/>
          </w:rPr>
          <w:t>www.mpi.govt.nz/dmsdocument/30101/direct</w:t>
        </w:r>
      </w:hyperlink>
      <w:r w:rsidR="00B775E6">
        <w:rPr>
          <w:rStyle w:val="Hyperlink"/>
        </w:rPr>
        <w:t>.</w:t>
      </w:r>
    </w:p>
  </w:footnote>
  <w:footnote w:id="397">
    <w:p w14:paraId="51C72F6A" w14:textId="49875C93" w:rsidR="007420E6" w:rsidRPr="007F7910" w:rsidRDefault="007420E6" w:rsidP="007420E6">
      <w:pPr>
        <w:pStyle w:val="FootnoteText"/>
      </w:pPr>
      <w:r w:rsidRPr="007F7910">
        <w:rPr>
          <w:rStyle w:val="FootnoteReference"/>
        </w:rPr>
        <w:footnoteRef/>
      </w:r>
      <w:r w:rsidRPr="007F7910">
        <w:t xml:space="preserve"> </w:t>
      </w:r>
      <w:r>
        <w:tab/>
      </w:r>
      <w:r w:rsidRPr="00A30C70">
        <w:t xml:space="preserve">Lake R, Bolton A, Brightwell G, Cookson A, Benschop J, Burgess S, Tait A. No date. </w:t>
      </w:r>
      <w:r w:rsidRPr="00A30C70">
        <w:rPr>
          <w:i/>
          <w:iCs/>
        </w:rPr>
        <w:t>Adapting to climate change: Information for the New Zealand food system</w:t>
      </w:r>
      <w:r w:rsidRPr="00A30C70">
        <w:t xml:space="preserve">. Wellington: Ministry for Primary Industries. </w:t>
      </w:r>
      <w:hyperlink r:id="rId273" w:history="1">
        <w:r w:rsidR="00386A42">
          <w:rPr>
            <w:rStyle w:val="Hyperlink"/>
          </w:rPr>
          <w:t>www.mpi.govt.nz/dmsdocument/28164-Adapting-to-climate-change-Information-for-the-New-Zealand-food-system</w:t>
        </w:r>
      </w:hyperlink>
      <w:r w:rsidR="00B775E6">
        <w:rPr>
          <w:rStyle w:val="Hyperlink"/>
        </w:rPr>
        <w:t>.</w:t>
      </w:r>
    </w:p>
  </w:footnote>
  <w:footnote w:id="398">
    <w:p w14:paraId="6172DC88" w14:textId="68F74346" w:rsidR="007420E6" w:rsidRPr="007F7910" w:rsidRDefault="007420E6" w:rsidP="007420E6">
      <w:pPr>
        <w:pStyle w:val="FootnoteText"/>
      </w:pPr>
      <w:r w:rsidRPr="007F7910">
        <w:rPr>
          <w:rStyle w:val="FootnoteReference"/>
        </w:rPr>
        <w:footnoteRef/>
      </w:r>
      <w:r w:rsidRPr="007F7910">
        <w:t xml:space="preserve"> </w:t>
      </w:r>
      <w:r>
        <w:tab/>
      </w:r>
      <w:r w:rsidRPr="00A30C70">
        <w:t xml:space="preserve">Vallee E, Wada M, Cogger N, Kelly V, Marshall J, Benschop J, Macara G, Tait A. 2020. </w:t>
      </w:r>
      <w:r w:rsidRPr="00A30C70">
        <w:rPr>
          <w:i/>
          <w:iCs/>
        </w:rPr>
        <w:t>Effects of climate change on grazing livestock health in New Zealand</w:t>
      </w:r>
      <w:r w:rsidRPr="00A30C70">
        <w:t xml:space="preserve">. MPI Technical Paper No: 2021/10. Wellington: Ministry for Primary Industries. </w:t>
      </w:r>
      <w:hyperlink r:id="rId274" w:history="1">
        <w:r w:rsidR="00386A42">
          <w:rPr>
            <w:rStyle w:val="Hyperlink"/>
          </w:rPr>
          <w:t>www.mpi.govt.nz/dmsdocument/45574-Effects-of-climate-change-on-grazing-livestock-health-in-New-Zealand</w:t>
        </w:r>
      </w:hyperlink>
      <w:r w:rsidR="00B775E6">
        <w:rPr>
          <w:rStyle w:val="Hyperlink"/>
        </w:rPr>
        <w:t>.</w:t>
      </w:r>
    </w:p>
  </w:footnote>
  <w:footnote w:id="399">
    <w:p w14:paraId="0E83443F" w14:textId="70DCC665" w:rsidR="007420E6" w:rsidRPr="007F7910" w:rsidRDefault="007420E6" w:rsidP="007420E6">
      <w:pPr>
        <w:pStyle w:val="FootnoteText"/>
      </w:pPr>
      <w:r w:rsidRPr="007F7910">
        <w:rPr>
          <w:rStyle w:val="FootnoteReference"/>
          <w:szCs w:val="19"/>
        </w:rPr>
        <w:footnoteRef/>
      </w:r>
      <w:r w:rsidRPr="007F7910">
        <w:t xml:space="preserve"> </w:t>
      </w:r>
      <w:r>
        <w:tab/>
      </w:r>
      <w:r w:rsidRPr="007F7910">
        <w:t xml:space="preserve">Watt MS, Kirschbaum MUF, Moore JR, Pearce HG, Bulman LS, Brockerhoff EG, Melia N. 2019. Assessment of multiple climate change effects on plantation forests in New Zealand. </w:t>
      </w:r>
      <w:r w:rsidRPr="007F7910">
        <w:rPr>
          <w:rStyle w:val="Emphasis"/>
          <w:szCs w:val="19"/>
        </w:rPr>
        <w:t>Forestry: An International Journal of Forest Research.</w:t>
      </w:r>
      <w:r w:rsidRPr="007F7910">
        <w:t xml:space="preserve"> 92(1): 1–15. </w:t>
      </w:r>
      <w:hyperlink r:id="rId275" w:history="1">
        <w:r w:rsidRPr="007F7910">
          <w:rPr>
            <w:rStyle w:val="Hyperlink"/>
            <w:szCs w:val="19"/>
          </w:rPr>
          <w:t>https://doi.org/10.1093/forestry/cpy024</w:t>
        </w:r>
      </w:hyperlink>
      <w:r w:rsidR="00B775E6">
        <w:rPr>
          <w:rStyle w:val="Hyperlink"/>
          <w:szCs w:val="19"/>
        </w:rPr>
        <w:t>.</w:t>
      </w:r>
    </w:p>
  </w:footnote>
  <w:footnote w:id="400">
    <w:p w14:paraId="5CDDDB82" w14:textId="77777777" w:rsidR="007420E6" w:rsidRPr="007F7910" w:rsidRDefault="007420E6" w:rsidP="007420E6">
      <w:pPr>
        <w:pStyle w:val="FootnoteText"/>
      </w:pPr>
      <w:r w:rsidRPr="007F7910">
        <w:rPr>
          <w:rStyle w:val="FootnoteReference"/>
          <w:rFonts w:asciiTheme="minorHAnsi" w:hAnsiTheme="minorHAnsi" w:cstheme="minorHAnsi"/>
          <w:szCs w:val="19"/>
        </w:rPr>
        <w:footnoteRef/>
      </w:r>
      <w:r w:rsidRPr="007F7910">
        <w:t xml:space="preserve"> </w:t>
      </w:r>
      <w:r>
        <w:tab/>
      </w:r>
      <w:r w:rsidRPr="007F7910">
        <w:t xml:space="preserve">Dunningham AG. 2022. </w:t>
      </w:r>
      <w:r w:rsidRPr="00E32032">
        <w:rPr>
          <w:i/>
          <w:iCs/>
        </w:rPr>
        <w:t>Understanding Business Climate Change Risk using the TCFD Process</w:t>
      </w:r>
      <w:r w:rsidRPr="007F7910">
        <w:t>. MPI Technical Paper No: 2021/40. Wellington: Ministry for Primary Industries.</w:t>
      </w:r>
    </w:p>
  </w:footnote>
  <w:footnote w:id="401">
    <w:p w14:paraId="463AF406" w14:textId="72CE82D7" w:rsidR="007420E6" w:rsidRPr="007F7910" w:rsidRDefault="007420E6" w:rsidP="007420E6">
      <w:pPr>
        <w:pStyle w:val="FootnoteText"/>
      </w:pPr>
      <w:r w:rsidRPr="007F7910">
        <w:rPr>
          <w:rStyle w:val="FootnoteReference"/>
        </w:rPr>
        <w:footnoteRef/>
      </w:r>
      <w:r w:rsidRPr="007F7910">
        <w:t xml:space="preserve"> </w:t>
      </w:r>
      <w:r>
        <w:tab/>
      </w:r>
      <w:r w:rsidRPr="00A30C70">
        <w:t xml:space="preserve">Langer ER, Wegner S, Pearce G, Melia N, Luff N, Palmer D. 2021. </w:t>
      </w:r>
      <w:r w:rsidRPr="00A30C70">
        <w:rPr>
          <w:i/>
          <w:iCs/>
        </w:rPr>
        <w:t>Adapting and mitigating wildfire risk due to climate change: extending knowledge and best practice</w:t>
      </w:r>
      <w:r w:rsidRPr="00A30C70">
        <w:t xml:space="preserve">. Report prepared for the Ministry for Primary Industries. Rotorua: Scion. </w:t>
      </w:r>
      <w:hyperlink r:id="rId276" w:history="1">
        <w:r w:rsidR="00CB76A4">
          <w:rPr>
            <w:rStyle w:val="Hyperlink"/>
          </w:rPr>
          <w:t>www.ruralfireresearch.co.nz/__data/assets/pdf_file/0003/80922/SLMACC-Contract-Final-report-submitted-to-MPI-linked.pdf</w:t>
        </w:r>
      </w:hyperlink>
      <w:r w:rsidR="00B775E6">
        <w:t>.</w:t>
      </w:r>
    </w:p>
  </w:footnote>
  <w:footnote w:id="402">
    <w:p w14:paraId="5EB0764D" w14:textId="480B3CFF" w:rsidR="007420E6" w:rsidRDefault="007420E6" w:rsidP="007420E6">
      <w:pPr>
        <w:pStyle w:val="FootnoteText"/>
      </w:pPr>
      <w:r>
        <w:rPr>
          <w:rStyle w:val="FootnoteReference"/>
        </w:rPr>
        <w:footnoteRef/>
      </w:r>
      <w:r>
        <w:t xml:space="preserve"> </w:t>
      </w:r>
      <w:r>
        <w:tab/>
      </w:r>
      <w:hyperlink r:id="rId277" w:history="1">
        <w:r w:rsidR="00CB76A4">
          <w:rPr>
            <w:rStyle w:val="Hyperlink"/>
          </w:rPr>
          <w:t>www.mbie.govt.nz/science-and-technology/science-and-innovation/funding-information-and-opportunities/investment-funds/endeavour-fund/success-stories/past-rounds/2021-endeavour-fund-successful-proposals/</w:t>
        </w:r>
      </w:hyperlink>
      <w:r w:rsidR="00B775E6" w:rsidRPr="00B775E6">
        <w:t>.</w:t>
      </w:r>
    </w:p>
  </w:footnote>
  <w:footnote w:id="403">
    <w:p w14:paraId="32B745EF" w14:textId="1D59F9ED" w:rsidR="007420E6" w:rsidRDefault="007420E6" w:rsidP="007420E6">
      <w:pPr>
        <w:pStyle w:val="FootnoteText"/>
      </w:pPr>
      <w:r>
        <w:rPr>
          <w:rStyle w:val="FootnoteReference"/>
        </w:rPr>
        <w:footnoteRef/>
      </w:r>
      <w:r>
        <w:t xml:space="preserve"> </w:t>
      </w:r>
      <w:r>
        <w:tab/>
        <w:t xml:space="preserve">Royal Society of New Zealand Te Aparangi. 2017. </w:t>
      </w:r>
      <w:r w:rsidRPr="00851CF5">
        <w:rPr>
          <w:i/>
          <w:iCs/>
        </w:rPr>
        <w:t>Human Health Impacts of Climate Change for New</w:t>
      </w:r>
      <w:r>
        <w:rPr>
          <w:i/>
          <w:iCs/>
        </w:rPr>
        <w:t> </w:t>
      </w:r>
      <w:r w:rsidRPr="00851CF5">
        <w:rPr>
          <w:i/>
          <w:iCs/>
        </w:rPr>
        <w:t>Zealand: Evidence summary</w:t>
      </w:r>
      <w:r>
        <w:t>. Wellington: Royal Society of New Zealand Te Aparangi.</w:t>
      </w:r>
    </w:p>
  </w:footnote>
  <w:footnote w:id="404">
    <w:p w14:paraId="3C02B31F" w14:textId="70F9DE66" w:rsidR="007420E6" w:rsidRDefault="007420E6" w:rsidP="007420E6">
      <w:pPr>
        <w:pStyle w:val="FootnoteText"/>
      </w:pPr>
      <w:r w:rsidRPr="00A30C70">
        <w:rPr>
          <w:rStyle w:val="FootnoteReference"/>
          <w:color w:val="auto"/>
        </w:rPr>
        <w:footnoteRef/>
      </w:r>
      <w:r w:rsidRPr="00E849CE">
        <w:t xml:space="preserve"> </w:t>
      </w:r>
      <w:r w:rsidRPr="00E849CE">
        <w:tab/>
      </w:r>
      <w:hyperlink r:id="rId278" w:history="1">
        <w:r w:rsidR="00E849CE">
          <w:rPr>
            <w:rStyle w:val="Hyperlink"/>
          </w:rPr>
          <w:t>deepsouthchallenge.co.nz/research-project/haumanu-hauora-health-responses-for-maori</w:t>
        </w:r>
      </w:hyperlink>
    </w:p>
  </w:footnote>
  <w:footnote w:id="405">
    <w:p w14:paraId="4E9E892C" w14:textId="1AB9460A" w:rsidR="007420E6" w:rsidRPr="000D0CBE" w:rsidRDefault="007420E6" w:rsidP="007420E6">
      <w:pPr>
        <w:pStyle w:val="FootnoteText"/>
      </w:pPr>
      <w:r w:rsidRPr="000D0CBE">
        <w:rPr>
          <w:rStyle w:val="FootnoteReference"/>
          <w:rFonts w:eastAsiaTheme="majorEastAsia"/>
        </w:rPr>
        <w:footnoteRef/>
      </w:r>
      <w:r w:rsidRPr="000D0CBE">
        <w:t xml:space="preserve"> </w:t>
      </w:r>
      <w:r w:rsidRPr="000D0CBE">
        <w:tab/>
      </w:r>
      <w:hyperlink r:id="rId279" w:history="1">
        <w:r w:rsidR="00E849CE">
          <w:rPr>
            <w:rStyle w:val="Hyperlink"/>
          </w:rPr>
          <w:t>www.deepsouthchallenge.co.nz</w:t>
        </w:r>
      </w:hyperlink>
      <w:r>
        <w:t xml:space="preserve"> </w:t>
      </w:r>
    </w:p>
  </w:footnote>
  <w:footnote w:id="406">
    <w:p w14:paraId="33013FD1" w14:textId="77777777" w:rsidR="007420E6" w:rsidRPr="007F7910" w:rsidRDefault="007420E6" w:rsidP="007420E6">
      <w:pPr>
        <w:pStyle w:val="FootnoteText"/>
      </w:pPr>
      <w:r w:rsidRPr="00A30C70">
        <w:rPr>
          <w:rStyle w:val="FootnoteReference"/>
          <w:rFonts w:eastAsiaTheme="majorEastAsia"/>
          <w:color w:val="auto"/>
        </w:rPr>
        <w:footnoteRef/>
      </w:r>
      <w:r w:rsidRPr="00A30C70">
        <w:t xml:space="preserve"> </w:t>
      </w:r>
      <w:r w:rsidRPr="00A30C70">
        <w:tab/>
        <w:t>The Vision Mātauranga programme of research is investing in iwi- and hapū-led research and adaptation strategies and research collaborations that support Māori aspirations.</w:t>
      </w:r>
    </w:p>
  </w:footnote>
  <w:footnote w:id="407">
    <w:p w14:paraId="51F9FECE" w14:textId="482E6F06" w:rsidR="007420E6" w:rsidRPr="007F7910" w:rsidRDefault="007420E6" w:rsidP="007420E6">
      <w:pPr>
        <w:pStyle w:val="FootnoteText"/>
      </w:pPr>
      <w:r w:rsidRPr="007F7910">
        <w:rPr>
          <w:rStyle w:val="FootnoteReference"/>
          <w:rFonts w:eastAsiaTheme="majorEastAsia"/>
        </w:rPr>
        <w:footnoteRef/>
      </w:r>
      <w:r w:rsidRPr="007F7910">
        <w:t xml:space="preserve"> </w:t>
      </w:r>
      <w:r w:rsidRPr="007F7910">
        <w:tab/>
      </w:r>
      <w:hyperlink r:id="rId280" w:history="1">
        <w:r w:rsidR="00E849CE">
          <w:rPr>
            <w:rStyle w:val="Hyperlink"/>
          </w:rPr>
          <w:t>www.mbie.govt.nz/science-and-technology/science-and-innovation/funding-information-and-opportunities/investment-funds/national-science-challenges</w:t>
        </w:r>
      </w:hyperlink>
      <w:r w:rsidRPr="007F7910">
        <w:t xml:space="preserve"> </w:t>
      </w:r>
    </w:p>
  </w:footnote>
  <w:footnote w:id="408">
    <w:p w14:paraId="7EB1026B" w14:textId="55287135" w:rsidR="007420E6" w:rsidRPr="007F7910" w:rsidRDefault="007420E6" w:rsidP="007420E6">
      <w:pPr>
        <w:pStyle w:val="FootnoteText"/>
      </w:pPr>
      <w:r w:rsidRPr="007F7910">
        <w:rPr>
          <w:rStyle w:val="FootnoteReference"/>
          <w:rFonts w:eastAsiaTheme="majorEastAsia"/>
        </w:rPr>
        <w:footnoteRef/>
      </w:r>
      <w:r w:rsidRPr="007F7910">
        <w:rPr>
          <w:rStyle w:val="FootnoteReference"/>
          <w:rFonts w:eastAsiaTheme="majorEastAsia"/>
        </w:rPr>
        <w:t xml:space="preserve"> </w:t>
      </w:r>
      <w:r w:rsidRPr="007F7910">
        <w:tab/>
      </w:r>
      <w:hyperlink r:id="rId281" w:history="1">
        <w:r w:rsidR="00E849CE">
          <w:rPr>
            <w:rStyle w:val="Hyperlink"/>
          </w:rPr>
          <w:t>niwa.co.nz/coasts-and-estuaries/research-projects/carim-coastal-acidification-rate-impacts-management</w:t>
        </w:r>
      </w:hyperlink>
      <w:r w:rsidRPr="007F7910">
        <w:t xml:space="preserve"> </w:t>
      </w:r>
    </w:p>
  </w:footnote>
  <w:footnote w:id="409">
    <w:p w14:paraId="67B6BE0D" w14:textId="40BAD5FB" w:rsidR="007420E6" w:rsidRPr="007F7910" w:rsidRDefault="007420E6" w:rsidP="007420E6">
      <w:pPr>
        <w:pStyle w:val="FootnoteText"/>
      </w:pPr>
      <w:r w:rsidRPr="007F7910">
        <w:rPr>
          <w:rStyle w:val="FootnoteReference"/>
          <w:rFonts w:eastAsiaTheme="majorEastAsia"/>
        </w:rPr>
        <w:footnoteRef/>
      </w:r>
      <w:r w:rsidRPr="007F7910">
        <w:t xml:space="preserve"> </w:t>
      </w:r>
      <w:r w:rsidRPr="007F7910">
        <w:rPr>
          <w:szCs w:val="18"/>
        </w:rPr>
        <w:tab/>
      </w:r>
      <w:r w:rsidRPr="007F7910">
        <w:t xml:space="preserve">NIWA, MWH, GNS, BRANZ. 2012. </w:t>
      </w:r>
      <w:r w:rsidRPr="007F7910">
        <w:rPr>
          <w:i/>
        </w:rPr>
        <w:t>Impacts of Climate Change on Urban Infrastructure and the Built Environment: Toolbox handbook</w:t>
      </w:r>
      <w:r w:rsidRPr="007F7910">
        <w:t xml:space="preserve">. Retrieved from </w:t>
      </w:r>
      <w:hyperlink r:id="rId282" w:history="1">
        <w:r w:rsidRPr="007F7910">
          <w:rPr>
            <w:rStyle w:val="Hyperlink"/>
          </w:rPr>
          <w:t>www.niwa.co.nz/climate/urban-impacts-toolbox</w:t>
        </w:r>
      </w:hyperlink>
      <w:r w:rsidR="00B775E6">
        <w:rPr>
          <w:rStyle w:val="Hyperlink"/>
        </w:rPr>
        <w:t>.</w:t>
      </w:r>
      <w:r w:rsidR="00280979">
        <w:rPr>
          <w:rStyle w:val="Hyperlink"/>
        </w:rPr>
        <w:t xml:space="preserve"> </w:t>
      </w:r>
    </w:p>
  </w:footnote>
  <w:footnote w:id="410">
    <w:p w14:paraId="68A5EA3D" w14:textId="410835E2" w:rsidR="007420E6" w:rsidRPr="00351A1F" w:rsidRDefault="007420E6" w:rsidP="007420E6">
      <w:pPr>
        <w:pStyle w:val="FootnoteText"/>
      </w:pPr>
      <w:r w:rsidRPr="007F7910">
        <w:rPr>
          <w:rStyle w:val="FootnoteReference"/>
        </w:rPr>
        <w:footnoteRef/>
      </w:r>
      <w:r w:rsidRPr="007F7910">
        <w:t xml:space="preserve"> </w:t>
      </w:r>
      <w:r>
        <w:tab/>
      </w:r>
      <w:r w:rsidRPr="007F7910">
        <w:t xml:space="preserve">Dunningham AD, Jones AG, Villamor G. 2022. </w:t>
      </w:r>
      <w:r w:rsidRPr="00351A1F">
        <w:rPr>
          <w:i/>
          <w:iCs/>
        </w:rPr>
        <w:t>Support for the National Climate Risk Assessment: Processes for the identification and quantification of climate change risk for the primary sectors</w:t>
      </w:r>
      <w:r w:rsidRPr="007F7910">
        <w:t xml:space="preserve">. </w:t>
      </w:r>
      <w:r w:rsidRPr="00351A1F">
        <w:t>MPI</w:t>
      </w:r>
      <w:r w:rsidR="00351A1F" w:rsidRPr="00351A1F">
        <w:t> </w:t>
      </w:r>
      <w:r w:rsidRPr="00351A1F">
        <w:t>Technical Paper No: 2022/03. Wellington: Ministry for Primary Industries.</w:t>
      </w:r>
    </w:p>
  </w:footnote>
  <w:footnote w:id="411">
    <w:p w14:paraId="4018071E" w14:textId="239C3F0A" w:rsidR="007420E6" w:rsidRDefault="007420E6" w:rsidP="007420E6">
      <w:pPr>
        <w:pStyle w:val="FootnoteText"/>
      </w:pPr>
      <w:r>
        <w:rPr>
          <w:rStyle w:val="FootnoteReference"/>
        </w:rPr>
        <w:footnoteRef/>
      </w:r>
      <w:r>
        <w:t xml:space="preserve"> </w:t>
      </w:r>
      <w:r>
        <w:tab/>
      </w:r>
      <w:hyperlink r:id="rId283" w:history="1">
        <w:r w:rsidR="00796BE2">
          <w:rPr>
            <w:rStyle w:val="Hyperlink"/>
          </w:rPr>
          <w:t>deepsouthchallenge.co.nz/wp-content/uploads/2021/01/Insurance-housing-and-climate-adaptation-current-knowledge-and-future-research.pdf</w:t>
        </w:r>
      </w:hyperlink>
      <w:r>
        <w:t xml:space="preserve"> </w:t>
      </w:r>
    </w:p>
  </w:footnote>
  <w:footnote w:id="412">
    <w:p w14:paraId="74D5E562" w14:textId="48FD69C8" w:rsidR="007420E6" w:rsidRDefault="007420E6" w:rsidP="007420E6">
      <w:pPr>
        <w:pStyle w:val="FootnoteText"/>
      </w:pPr>
      <w:r>
        <w:rPr>
          <w:rStyle w:val="FootnoteReference"/>
        </w:rPr>
        <w:footnoteRef/>
      </w:r>
      <w:r>
        <w:t xml:space="preserve"> </w:t>
      </w:r>
      <w:r>
        <w:tab/>
      </w:r>
      <w:hyperlink r:id="rId284" w:history="1">
        <w:r w:rsidR="00796BE2">
          <w:rPr>
            <w:rStyle w:val="Hyperlink"/>
          </w:rPr>
          <w:t>deepsouthchallenge.co.nz/research-project/climate-change-and-the-withdrawal-of-insurance/</w:t>
        </w:r>
      </w:hyperlink>
      <w:r>
        <w:t xml:space="preserve"> </w:t>
      </w:r>
    </w:p>
  </w:footnote>
  <w:footnote w:id="413">
    <w:p w14:paraId="4CCDD87D" w14:textId="0D93CEFA" w:rsidR="007420E6" w:rsidRDefault="007420E6" w:rsidP="007420E6">
      <w:pPr>
        <w:pStyle w:val="FootnoteText"/>
      </w:pPr>
      <w:r>
        <w:rPr>
          <w:rStyle w:val="FootnoteReference"/>
        </w:rPr>
        <w:footnoteRef/>
      </w:r>
      <w:r>
        <w:t xml:space="preserve"> </w:t>
      </w:r>
      <w:r>
        <w:tab/>
      </w:r>
      <w:hyperlink r:id="rId285" w:history="1">
        <w:r w:rsidR="00796BE2">
          <w:rPr>
            <w:rStyle w:val="Hyperlink"/>
          </w:rPr>
          <w:t>deepsouthchallenge.co.nz/research-project/how-should-the-risks-of-sea-level-rise-be-shared/</w:t>
        </w:r>
      </w:hyperlink>
      <w:r>
        <w:t xml:space="preserve"> </w:t>
      </w:r>
    </w:p>
  </w:footnote>
  <w:footnote w:id="414">
    <w:p w14:paraId="0FF6FEDE" w14:textId="6AC250E5" w:rsidR="007420E6" w:rsidRDefault="007420E6" w:rsidP="007420E6">
      <w:pPr>
        <w:pStyle w:val="FootnoteText"/>
      </w:pPr>
      <w:r>
        <w:rPr>
          <w:rStyle w:val="FootnoteReference"/>
        </w:rPr>
        <w:footnoteRef/>
      </w:r>
      <w:r>
        <w:t xml:space="preserve"> </w:t>
      </w:r>
      <w:r>
        <w:tab/>
      </w:r>
      <w:hyperlink r:id="rId286" w:history="1">
        <w:r w:rsidR="00796BE2">
          <w:rPr>
            <w:rStyle w:val="Hyperlink"/>
          </w:rPr>
          <w:t>deepsouthchallenge.co.nz/research-project/sea-level-rise-housing-and-insurance-liability-and-compensation/</w:t>
        </w:r>
      </w:hyperlink>
      <w:r>
        <w:t xml:space="preserve"> </w:t>
      </w:r>
    </w:p>
  </w:footnote>
  <w:footnote w:id="415">
    <w:p w14:paraId="119C3AC1" w14:textId="787BE679" w:rsidR="007420E6" w:rsidRDefault="007420E6" w:rsidP="007420E6">
      <w:pPr>
        <w:pStyle w:val="FootnoteText"/>
      </w:pPr>
      <w:r>
        <w:rPr>
          <w:rStyle w:val="FootnoteReference"/>
        </w:rPr>
        <w:footnoteRef/>
      </w:r>
      <w:r>
        <w:t xml:space="preserve"> </w:t>
      </w:r>
      <w:r>
        <w:tab/>
      </w:r>
      <w:hyperlink r:id="rId287" w:history="1">
        <w:r w:rsidR="00796BE2">
          <w:rPr>
            <w:rStyle w:val="Hyperlink"/>
          </w:rPr>
          <w:t>deepsouthchallenge.co.nz/research-project/drinking-water-drought-and-climate-change/</w:t>
        </w:r>
      </w:hyperlink>
      <w:r>
        <w:t xml:space="preserve"> </w:t>
      </w:r>
    </w:p>
  </w:footnote>
  <w:footnote w:id="416">
    <w:p w14:paraId="3186C91E" w14:textId="1B946067" w:rsidR="007420E6" w:rsidRPr="007F7910" w:rsidRDefault="007420E6" w:rsidP="007420E6">
      <w:pPr>
        <w:pStyle w:val="FootnoteText"/>
      </w:pPr>
      <w:r w:rsidRPr="007F7910">
        <w:rPr>
          <w:rStyle w:val="FootnoteReference"/>
        </w:rPr>
        <w:footnoteRef/>
      </w:r>
      <w:r w:rsidRPr="007F7910">
        <w:t xml:space="preserve"> </w:t>
      </w:r>
      <w:r>
        <w:tab/>
      </w:r>
      <w:hyperlink r:id="rId288" w:history="1">
        <w:r w:rsidR="00796BE2">
          <w:rPr>
            <w:rStyle w:val="Hyperlink"/>
          </w:rPr>
          <w:t>deepsouthchallenge.co.nz/wp-content/uploads/2021/01/Projected-Changes-in-New-Zealand-Drought-Risk-.pdf</w:t>
        </w:r>
      </w:hyperlink>
      <w:r w:rsidRPr="007F7910">
        <w:t xml:space="preserve"> </w:t>
      </w:r>
    </w:p>
  </w:footnote>
  <w:footnote w:id="417">
    <w:p w14:paraId="1ADE56EC" w14:textId="61D96BE9" w:rsidR="007420E6" w:rsidRPr="007F7910" w:rsidRDefault="007420E6" w:rsidP="007420E6">
      <w:pPr>
        <w:pStyle w:val="FootnoteText"/>
      </w:pPr>
      <w:r w:rsidRPr="007F7910">
        <w:rPr>
          <w:rStyle w:val="FootnoteReference"/>
        </w:rPr>
        <w:footnoteRef/>
      </w:r>
      <w:r w:rsidRPr="007F7910">
        <w:t xml:space="preserve"> </w:t>
      </w:r>
      <w:r>
        <w:tab/>
      </w:r>
      <w:hyperlink r:id="rId289" w:history="1">
        <w:r w:rsidR="00796BE2">
          <w:rPr>
            <w:rStyle w:val="Hyperlink"/>
          </w:rPr>
          <w:t>deepsouthchallenge.co.nz/wp-content/uploads/2021/01/Water-availability-under-climate-change-Final-Report.pdf</w:t>
        </w:r>
      </w:hyperlink>
      <w:r w:rsidRPr="007F7910">
        <w:t xml:space="preserve"> </w:t>
      </w:r>
    </w:p>
  </w:footnote>
  <w:footnote w:id="418">
    <w:p w14:paraId="5EB95919" w14:textId="1E925AE3" w:rsidR="007420E6" w:rsidRPr="007F7910" w:rsidRDefault="007420E6" w:rsidP="00796BE2">
      <w:pPr>
        <w:pStyle w:val="FootnoteText"/>
        <w:jc w:val="both"/>
      </w:pPr>
      <w:r w:rsidRPr="007F7910">
        <w:rPr>
          <w:rStyle w:val="FootnoteReference"/>
        </w:rPr>
        <w:footnoteRef/>
      </w:r>
      <w:r w:rsidRPr="007F7910">
        <w:t xml:space="preserve"> </w:t>
      </w:r>
      <w:r>
        <w:tab/>
      </w:r>
      <w:hyperlink r:id="rId290" w:history="1">
        <w:r w:rsidR="00796BE2">
          <w:rPr>
            <w:rStyle w:val="Hyperlink"/>
          </w:rPr>
          <w:t>www.mpi.govt.nz/about-mpi/our-work/fit-for-a-better-world-accelerating-our-economic-potential/water-availability-and-security/</w:t>
        </w:r>
      </w:hyperlink>
      <w:r w:rsidRPr="007F7910">
        <w:t xml:space="preserve"> </w:t>
      </w:r>
    </w:p>
  </w:footnote>
  <w:footnote w:id="419">
    <w:p w14:paraId="079C0B39" w14:textId="106D0DE8" w:rsidR="007420E6" w:rsidRPr="007F7910" w:rsidRDefault="007420E6" w:rsidP="007420E6">
      <w:pPr>
        <w:pStyle w:val="FootnoteText"/>
      </w:pPr>
      <w:r w:rsidRPr="007F7910">
        <w:rPr>
          <w:rStyle w:val="FootnoteReference"/>
        </w:rPr>
        <w:footnoteRef/>
      </w:r>
      <w:r w:rsidRPr="007F7910">
        <w:t xml:space="preserve"> </w:t>
      </w:r>
      <w:r>
        <w:tab/>
      </w:r>
      <w:hyperlink r:id="rId291" w:history="1">
        <w:r w:rsidR="00796BE2">
          <w:rPr>
            <w:rStyle w:val="Hyperlink"/>
          </w:rPr>
          <w:t>deepsouthchallenge.co.nz/wp-content/uploads/2021/01/Climate-Change-Adaptation-within-New-Zealands-Transport-System.pdf</w:t>
        </w:r>
      </w:hyperlink>
      <w:r w:rsidRPr="007F7910">
        <w:t xml:space="preserve"> </w:t>
      </w:r>
    </w:p>
  </w:footnote>
  <w:footnote w:id="420">
    <w:p w14:paraId="086735D8" w14:textId="77777777" w:rsidR="007420E6" w:rsidRPr="007F7910" w:rsidRDefault="007420E6" w:rsidP="007420E6">
      <w:pPr>
        <w:pStyle w:val="FootnoteText"/>
      </w:pPr>
      <w:r w:rsidRPr="007F7910">
        <w:rPr>
          <w:rStyle w:val="FootnoteReference"/>
          <w:rFonts w:eastAsiaTheme="majorEastAsia"/>
        </w:rPr>
        <w:footnoteRef/>
      </w:r>
      <w:r w:rsidRPr="007F7910">
        <w:tab/>
      </w:r>
      <w:hyperlink r:id="rId292" w:history="1">
        <w:r w:rsidRPr="007F7910">
          <w:rPr>
            <w:rStyle w:val="Hyperlink"/>
          </w:rPr>
          <w:t>www.niwa.co.nz/te-k%C5%ABwaha</w:t>
        </w:r>
      </w:hyperlink>
      <w:r w:rsidRPr="007F7910">
        <w:t xml:space="preserve"> </w:t>
      </w:r>
    </w:p>
  </w:footnote>
  <w:footnote w:id="421">
    <w:p w14:paraId="7A89526B" w14:textId="705575D6" w:rsidR="007420E6" w:rsidRPr="007F7910" w:rsidRDefault="007420E6" w:rsidP="007420E6">
      <w:pPr>
        <w:pStyle w:val="FootnoteText"/>
      </w:pPr>
      <w:r w:rsidRPr="007F7910">
        <w:rPr>
          <w:rStyle w:val="FootnoteReference"/>
        </w:rPr>
        <w:footnoteRef/>
      </w:r>
      <w:r w:rsidRPr="007F7910">
        <w:t xml:space="preserve"> </w:t>
      </w:r>
      <w:r>
        <w:tab/>
      </w:r>
      <w:hyperlink r:id="rId293" w:history="1">
        <w:r w:rsidR="00DB31D9">
          <w:rPr>
            <w:rStyle w:val="Hyperlink"/>
          </w:rPr>
          <w:t>www.nzagrc.org.nz/domestic/integrated-solutions</w:t>
        </w:r>
      </w:hyperlink>
      <w:r w:rsidRPr="007F7910">
        <w:t xml:space="preserve"> </w:t>
      </w:r>
    </w:p>
  </w:footnote>
  <w:footnote w:id="422">
    <w:p w14:paraId="012BC07F" w14:textId="1A95FE90" w:rsidR="007420E6" w:rsidRPr="007F7910" w:rsidRDefault="007420E6" w:rsidP="007420E6">
      <w:pPr>
        <w:pStyle w:val="FootnoteText"/>
      </w:pPr>
      <w:r w:rsidRPr="007F7910">
        <w:rPr>
          <w:rStyle w:val="FootnoteReference"/>
        </w:rPr>
        <w:footnoteRef/>
      </w:r>
      <w:r w:rsidRPr="007F7910">
        <w:t xml:space="preserve"> </w:t>
      </w:r>
      <w:r>
        <w:tab/>
      </w:r>
      <w:hyperlink r:id="rId294" w:history="1">
        <w:r w:rsidR="00DB31D9">
          <w:rPr>
            <w:rStyle w:val="Hyperlink"/>
          </w:rPr>
          <w:t>www.ravensdown.co.nz/expertise/a-vision-for-n-with-new-n-loss-project</w:t>
        </w:r>
      </w:hyperlink>
    </w:p>
  </w:footnote>
  <w:footnote w:id="423">
    <w:p w14:paraId="068471BA" w14:textId="7B4A4C39" w:rsidR="007420E6" w:rsidRPr="007F7910" w:rsidRDefault="007420E6" w:rsidP="007420E6">
      <w:pPr>
        <w:pStyle w:val="FootnoteText"/>
      </w:pPr>
      <w:r w:rsidRPr="007F7910">
        <w:rPr>
          <w:rStyle w:val="FootnoteReference"/>
        </w:rPr>
        <w:footnoteRef/>
      </w:r>
      <w:r w:rsidRPr="007F7910">
        <w:t xml:space="preserve"> </w:t>
      </w:r>
      <w:r>
        <w:tab/>
      </w:r>
      <w:hyperlink r:id="rId295" w:history="1">
        <w:r w:rsidR="00DB31D9">
          <w:rPr>
            <w:rStyle w:val="Hyperlink"/>
          </w:rPr>
          <w:t>ballance.co.nz/sfff-funding-announcement-dec2020</w:t>
        </w:r>
      </w:hyperlink>
      <w:r w:rsidRPr="007F7910">
        <w:t xml:space="preserve"> </w:t>
      </w:r>
    </w:p>
  </w:footnote>
  <w:footnote w:id="424">
    <w:p w14:paraId="220B98C8" w14:textId="4AB0FC9F" w:rsidR="007420E6" w:rsidRPr="007F7910" w:rsidRDefault="007420E6" w:rsidP="007420E6">
      <w:pPr>
        <w:pStyle w:val="FootnoteText"/>
      </w:pPr>
      <w:r w:rsidRPr="007F7910">
        <w:rPr>
          <w:rStyle w:val="FootnoteReference"/>
        </w:rPr>
        <w:footnoteRef/>
      </w:r>
      <w:r w:rsidRPr="007F7910">
        <w:t xml:space="preserve"> </w:t>
      </w:r>
      <w:r>
        <w:tab/>
      </w:r>
      <w:hyperlink r:id="rId296" w:history="1">
        <w:r w:rsidR="00DB31D9">
          <w:rPr>
            <w:rStyle w:val="Hyperlink"/>
          </w:rPr>
          <w:t>www.nzagrc.org.nz/assets/Publications/NZAGRC-Brochure-Mitigation-of-on-farm-GHG-Emissions.pdf</w:t>
        </w:r>
      </w:hyperlink>
      <w:r>
        <w:t xml:space="preserve"> </w:t>
      </w:r>
    </w:p>
  </w:footnote>
  <w:footnote w:id="425">
    <w:p w14:paraId="31F0F613" w14:textId="6A71C2DD" w:rsidR="007420E6" w:rsidRPr="007F7910" w:rsidRDefault="007420E6" w:rsidP="007420E6">
      <w:pPr>
        <w:pStyle w:val="FootnoteText"/>
      </w:pPr>
      <w:r w:rsidRPr="007F7910">
        <w:rPr>
          <w:rStyle w:val="FootnoteReference"/>
        </w:rPr>
        <w:footnoteRef/>
      </w:r>
      <w:r w:rsidRPr="007F7910">
        <w:rPr>
          <w:szCs w:val="18"/>
        </w:rPr>
        <w:tab/>
      </w:r>
      <w:hyperlink r:id="rId297" w:history="1">
        <w:r w:rsidR="00DB31D9">
          <w:rPr>
            <w:rStyle w:val="Hyperlink"/>
            <w:szCs w:val="18"/>
          </w:rPr>
          <w:t>www.mpi.govt.nz/science/open-data-and-forecasting/greenhouse-gas-reporting/agricultural-greenhouse-gas-inventory-reports/</w:t>
        </w:r>
      </w:hyperlink>
      <w:r>
        <w:rPr>
          <w:szCs w:val="18"/>
        </w:rPr>
        <w:t xml:space="preserve"> </w:t>
      </w:r>
    </w:p>
  </w:footnote>
  <w:footnote w:id="426">
    <w:p w14:paraId="041D010C" w14:textId="4216A60B" w:rsidR="007420E6" w:rsidRPr="007F7910" w:rsidRDefault="007420E6" w:rsidP="007420E6">
      <w:pPr>
        <w:pStyle w:val="FootnoteText"/>
      </w:pPr>
      <w:r w:rsidRPr="007F7910">
        <w:rPr>
          <w:rStyle w:val="FootnoteReference"/>
        </w:rPr>
        <w:footnoteRef/>
      </w:r>
      <w:r w:rsidRPr="007F7910">
        <w:t xml:space="preserve"> </w:t>
      </w:r>
      <w:r>
        <w:tab/>
      </w:r>
      <w:hyperlink r:id="rId298" w:history="1">
        <w:r w:rsidR="00DB31D9">
          <w:rPr>
            <w:rStyle w:val="Hyperlink"/>
          </w:rPr>
          <w:t>www.gns.cri.nz/research-projects/fjords-as-carbon-sinks/</w:t>
        </w:r>
      </w:hyperlink>
      <w:r w:rsidRPr="007F7910">
        <w:t xml:space="preserve"> </w:t>
      </w:r>
    </w:p>
  </w:footnote>
  <w:footnote w:id="427">
    <w:p w14:paraId="67BDE5C9" w14:textId="77777777" w:rsidR="007420E6" w:rsidRPr="00745AFD" w:rsidRDefault="007420E6" w:rsidP="007420E6">
      <w:pPr>
        <w:pStyle w:val="FootnoteText"/>
        <w:rPr>
          <w:rFonts w:asciiTheme="minorHAnsi" w:hAnsiTheme="minorHAnsi" w:cstheme="minorHAnsi"/>
          <w:szCs w:val="19"/>
        </w:rPr>
      </w:pPr>
      <w:r w:rsidRPr="007F7910">
        <w:rPr>
          <w:rStyle w:val="FootnoteReference"/>
        </w:rPr>
        <w:footnoteRef/>
      </w:r>
      <w:r w:rsidRPr="007F7910">
        <w:t xml:space="preserve"> </w:t>
      </w:r>
      <w:r>
        <w:tab/>
      </w:r>
      <w:r w:rsidRPr="00745AFD">
        <w:rPr>
          <w:rFonts w:asciiTheme="minorHAnsi" w:hAnsiTheme="minorHAnsi" w:cstheme="minorHAnsi"/>
          <w:szCs w:val="19"/>
        </w:rPr>
        <w:t xml:space="preserve">Paul TSH, Kimberley MO, Beets PN. 2021. Natural forests in New Zealand: A large terrestrial carbon pool in a national state of equilibrium. </w:t>
      </w:r>
      <w:r w:rsidRPr="00745AFD">
        <w:rPr>
          <w:rFonts w:asciiTheme="minorHAnsi" w:hAnsiTheme="minorHAnsi" w:cstheme="minorHAnsi"/>
          <w:i/>
          <w:iCs/>
          <w:szCs w:val="19"/>
        </w:rPr>
        <w:t>Forest Ecosystems</w:t>
      </w:r>
      <w:r w:rsidRPr="00745AFD">
        <w:rPr>
          <w:rFonts w:asciiTheme="minorHAnsi" w:hAnsiTheme="minorHAnsi" w:cstheme="minorHAnsi"/>
          <w:szCs w:val="19"/>
        </w:rPr>
        <w:t xml:space="preserve"> 8(1): 1–21.</w:t>
      </w:r>
    </w:p>
  </w:footnote>
  <w:footnote w:id="428">
    <w:p w14:paraId="7B254FF5" w14:textId="6F5362A1" w:rsidR="007420E6" w:rsidRDefault="007420E6" w:rsidP="007420E6">
      <w:pPr>
        <w:pStyle w:val="FootnoteText"/>
      </w:pPr>
      <w:r w:rsidRPr="00745AFD">
        <w:rPr>
          <w:rStyle w:val="FootnoteReference"/>
          <w:rFonts w:asciiTheme="minorHAnsi" w:hAnsiTheme="minorHAnsi" w:cstheme="minorHAnsi"/>
          <w:szCs w:val="19"/>
        </w:rPr>
        <w:footnoteRef/>
      </w:r>
      <w:r w:rsidRPr="00745AFD">
        <w:rPr>
          <w:rFonts w:asciiTheme="minorHAnsi" w:hAnsiTheme="minorHAnsi" w:cstheme="minorHAnsi"/>
          <w:szCs w:val="19"/>
        </w:rPr>
        <w:t xml:space="preserve"> </w:t>
      </w:r>
      <w:r>
        <w:rPr>
          <w:rFonts w:asciiTheme="minorHAnsi" w:hAnsiTheme="minorHAnsi" w:cstheme="minorHAnsi"/>
          <w:szCs w:val="19"/>
        </w:rPr>
        <w:tab/>
      </w:r>
      <w:r w:rsidRPr="00745AFD">
        <w:rPr>
          <w:rFonts w:asciiTheme="minorHAnsi" w:hAnsiTheme="minorHAnsi" w:cstheme="minorHAnsi"/>
          <w:szCs w:val="19"/>
        </w:rPr>
        <w:t xml:space="preserve">Ministry for the Environment. 2022. </w:t>
      </w:r>
      <w:r w:rsidRPr="002E6E1E">
        <w:rPr>
          <w:rFonts w:asciiTheme="minorHAnsi" w:hAnsiTheme="minorHAnsi" w:cstheme="minorHAnsi"/>
          <w:i/>
          <w:iCs/>
          <w:szCs w:val="19"/>
        </w:rPr>
        <w:t>New Zealand Greenhouse Gas Inventory 1990–2020</w:t>
      </w:r>
      <w:r w:rsidRPr="00745AFD">
        <w:rPr>
          <w:rFonts w:asciiTheme="minorHAnsi" w:hAnsiTheme="minorHAnsi" w:cstheme="minorHAnsi"/>
          <w:szCs w:val="19"/>
        </w:rPr>
        <w:t>. Wellington: Ministry for the Environment</w:t>
      </w:r>
      <w:r w:rsidR="002E6E1E">
        <w:rPr>
          <w:rFonts w:asciiTheme="minorHAnsi" w:hAnsiTheme="minorHAnsi" w:cstheme="minorHAnsi"/>
          <w:szCs w:val="19"/>
        </w:rPr>
        <w:t>.</w:t>
      </w:r>
    </w:p>
  </w:footnote>
  <w:footnote w:id="429">
    <w:p w14:paraId="65F0851A" w14:textId="60F3A1E0" w:rsidR="007A1468" w:rsidRPr="007A1468" w:rsidRDefault="007A1468">
      <w:pPr>
        <w:pStyle w:val="FootnoteText"/>
        <w:rPr>
          <w:lang w:val="en-US"/>
        </w:rPr>
      </w:pPr>
      <w:r>
        <w:rPr>
          <w:rStyle w:val="FootnoteReference"/>
        </w:rPr>
        <w:footnoteRef/>
      </w:r>
      <w:r>
        <w:t xml:space="preserve"> </w:t>
      </w:r>
      <w:r w:rsidR="00BA5B41">
        <w:rPr>
          <w:lang w:val="en-US"/>
        </w:rPr>
        <w:tab/>
      </w:r>
      <w:hyperlink r:id="rId299" w:history="1">
        <w:r w:rsidR="00BA5B41">
          <w:rPr>
            <w:rStyle w:val="Hyperlink"/>
            <w:lang w:val="en-US"/>
          </w:rPr>
          <w:t>www.gns.cri.nz/our-science/energy-futures/carbon-capture-and-storage</w:t>
        </w:r>
      </w:hyperlink>
      <w:r w:rsidR="00BA5B41">
        <w:rPr>
          <w:lang w:val="en-US"/>
        </w:rPr>
        <w:t xml:space="preserve"> </w:t>
      </w:r>
    </w:p>
  </w:footnote>
  <w:footnote w:id="430">
    <w:p w14:paraId="61795CCB" w14:textId="38FB1B4C" w:rsidR="007420E6" w:rsidRPr="007F7910" w:rsidRDefault="007420E6" w:rsidP="007420E6">
      <w:pPr>
        <w:pStyle w:val="FootnoteText"/>
      </w:pPr>
      <w:r w:rsidRPr="007F7910">
        <w:rPr>
          <w:rStyle w:val="FootnoteReference"/>
        </w:rPr>
        <w:footnoteRef/>
      </w:r>
      <w:r w:rsidRPr="007F7910">
        <w:t xml:space="preserve"> </w:t>
      </w:r>
      <w:r>
        <w:tab/>
      </w:r>
      <w:r w:rsidRPr="007F7910">
        <w:t xml:space="preserve">Scion. 2018. </w:t>
      </w:r>
      <w:r w:rsidRPr="00AD0A0F">
        <w:rPr>
          <w:i/>
          <w:iCs/>
        </w:rPr>
        <w:t>The New Zealand Biofuels Roadmap</w:t>
      </w:r>
      <w:r w:rsidRPr="007F7910">
        <w:rPr>
          <w:i/>
          <w:iCs/>
        </w:rPr>
        <w:t>: Summary Report</w:t>
      </w:r>
      <w:r w:rsidRPr="007F7910">
        <w:t xml:space="preserve">. </w:t>
      </w:r>
      <w:hyperlink r:id="rId300" w:history="1">
        <w:r w:rsidR="002E6E1E" w:rsidRPr="00237FFB">
          <w:rPr>
            <w:rStyle w:val="Hyperlink"/>
          </w:rPr>
          <w:t>www.scionresearch.com/__data/assets/pdf_file/0005/63293/Biofuels_summary_report.pdf</w:t>
        </w:r>
      </w:hyperlink>
      <w:r w:rsidRPr="007F7910">
        <w:t xml:space="preserve"> </w:t>
      </w:r>
    </w:p>
  </w:footnote>
  <w:footnote w:id="431">
    <w:p w14:paraId="07E9BC14" w14:textId="677C27EB" w:rsidR="007420E6" w:rsidRDefault="007420E6" w:rsidP="007420E6">
      <w:pPr>
        <w:pStyle w:val="FootnoteText"/>
      </w:pPr>
      <w:r>
        <w:rPr>
          <w:rStyle w:val="FootnoteReference"/>
        </w:rPr>
        <w:footnoteRef/>
      </w:r>
      <w:r>
        <w:t xml:space="preserve"> </w:t>
      </w:r>
      <w:r>
        <w:tab/>
      </w:r>
      <w:hyperlink r:id="rId301" w:history="1">
        <w:r w:rsidR="002E6E1E">
          <w:rPr>
            <w:rStyle w:val="Hyperlink"/>
          </w:rPr>
          <w:t>www.fan.ac.nz</w:t>
        </w:r>
      </w:hyperlink>
    </w:p>
  </w:footnote>
  <w:footnote w:id="432">
    <w:p w14:paraId="2CE1070F" w14:textId="2811489E" w:rsidR="007420E6" w:rsidRPr="007F7910" w:rsidRDefault="007420E6" w:rsidP="007420E6">
      <w:pPr>
        <w:pStyle w:val="FootnoteText"/>
      </w:pPr>
      <w:r w:rsidRPr="007F7910">
        <w:rPr>
          <w:rStyle w:val="FootnoteReference"/>
        </w:rPr>
        <w:footnoteRef/>
      </w:r>
      <w:r w:rsidRPr="007F7910">
        <w:t xml:space="preserve"> </w:t>
      </w:r>
      <w:r>
        <w:tab/>
      </w:r>
      <w:hyperlink r:id="rId302" w:history="1">
        <w:r w:rsidR="002E6E1E">
          <w:rPr>
            <w:rStyle w:val="Hyperlink"/>
          </w:rPr>
          <w:t>ahuora.waikato.ac.nz/energy</w:t>
        </w:r>
      </w:hyperlink>
      <w:r>
        <w:t xml:space="preserve"> </w:t>
      </w:r>
    </w:p>
  </w:footnote>
  <w:footnote w:id="433">
    <w:p w14:paraId="4FD8A257" w14:textId="20FD4655" w:rsidR="007420E6" w:rsidRPr="007F7910" w:rsidRDefault="007420E6" w:rsidP="007420E6">
      <w:pPr>
        <w:pStyle w:val="FootnoteText"/>
      </w:pPr>
      <w:r w:rsidRPr="007F7910">
        <w:rPr>
          <w:rStyle w:val="FootnoteReference"/>
        </w:rPr>
        <w:footnoteRef/>
      </w:r>
      <w:r w:rsidRPr="007F7910">
        <w:t xml:space="preserve"> </w:t>
      </w:r>
      <w:r>
        <w:tab/>
      </w:r>
      <w:hyperlink r:id="rId303" w:history="1">
        <w:r w:rsidR="002E6E1E">
          <w:rPr>
            <w:rStyle w:val="Hyperlink"/>
          </w:rPr>
          <w:t>www.mbie.govt.nz/science-and-technology/science-and-innovation/funding-information-and-opportunities/investment-funds/strategic-science-investment-fund/ssif-funded-programmes/the-research-trust-of-victoria-university-of-wellington/</w:t>
        </w:r>
      </w:hyperlink>
    </w:p>
  </w:footnote>
  <w:footnote w:id="434">
    <w:p w14:paraId="08C22660" w14:textId="431C0324" w:rsidR="00EE180C" w:rsidRPr="00602494" w:rsidRDefault="00EE180C" w:rsidP="00EE180C">
      <w:pPr>
        <w:pStyle w:val="FootnoteText"/>
        <w:rPr>
          <w:highlight w:val="yellow"/>
        </w:rPr>
      </w:pPr>
      <w:r w:rsidRPr="00A62F5E">
        <w:rPr>
          <w:rStyle w:val="Hyperlink"/>
          <w:sz w:val="22"/>
          <w:vertAlign w:val="superscript"/>
        </w:rPr>
        <w:footnoteRef/>
      </w:r>
      <w:r w:rsidRPr="00182DE2">
        <w:rPr>
          <w:rStyle w:val="Hyperlink"/>
        </w:rPr>
        <w:t xml:space="preserve"> </w:t>
      </w:r>
      <w:r w:rsidRPr="00182DE2">
        <w:rPr>
          <w:rStyle w:val="Hyperlink"/>
        </w:rPr>
        <w:tab/>
      </w:r>
      <w:hyperlink r:id="rId304" w:history="1">
        <w:r w:rsidRPr="00492825">
          <w:rPr>
            <w:rStyle w:val="Hyperlink"/>
          </w:rPr>
          <w:t>www.fuelsaver.govt.nz</w:t>
        </w:r>
      </w:hyperlink>
    </w:p>
  </w:footnote>
  <w:footnote w:id="435">
    <w:p w14:paraId="1B46F0DE" w14:textId="0DE37E8D" w:rsidR="00EE180C" w:rsidRDefault="00EE180C" w:rsidP="00EE180C">
      <w:pPr>
        <w:pStyle w:val="FootnoteText"/>
      </w:pPr>
      <w:r>
        <w:rPr>
          <w:rStyle w:val="FootnoteReference"/>
        </w:rPr>
        <w:footnoteRef/>
      </w:r>
      <w:r>
        <w:t xml:space="preserve"> </w:t>
      </w:r>
      <w:r>
        <w:tab/>
      </w:r>
      <w:hyperlink r:id="rId305" w:history="1">
        <w:r w:rsidR="004D4556">
          <w:rPr>
            <w:rStyle w:val="Hyperlink"/>
          </w:rPr>
          <w:t>genless.govt.nz/for-business/moving-people/vehicle-total-cost-of-ownership-calculator/</w:t>
        </w:r>
      </w:hyperlink>
      <w:r>
        <w:t xml:space="preserve"> </w:t>
      </w:r>
    </w:p>
  </w:footnote>
  <w:footnote w:id="436">
    <w:p w14:paraId="0B932CC6" w14:textId="494A2D10" w:rsidR="00EE180C" w:rsidRDefault="00EE180C" w:rsidP="00EE180C">
      <w:pPr>
        <w:pStyle w:val="FootnoteText"/>
      </w:pPr>
      <w:r>
        <w:rPr>
          <w:rStyle w:val="FootnoteReference"/>
        </w:rPr>
        <w:footnoteRef/>
      </w:r>
      <w:r>
        <w:t xml:space="preserve"> </w:t>
      </w:r>
      <w:r>
        <w:tab/>
      </w:r>
      <w:hyperlink r:id="rId306" w:history="1">
        <w:r w:rsidR="004D4556">
          <w:rPr>
            <w:rStyle w:val="Hyperlink"/>
          </w:rPr>
          <w:t>www.nzta.govt.nz/planning-and-investment/planning/transport-planning/planning-for-electric-vehicles/national-guidance-for-public-electric-vehicle-charging-infrastructure/</w:t>
        </w:r>
      </w:hyperlink>
      <w:r>
        <w:t xml:space="preserve"> </w:t>
      </w:r>
    </w:p>
  </w:footnote>
  <w:footnote w:id="437">
    <w:p w14:paraId="28295D48" w14:textId="50E26C57" w:rsidR="00EE180C" w:rsidRPr="004759CE" w:rsidRDefault="00EE180C" w:rsidP="00EE180C">
      <w:pPr>
        <w:pStyle w:val="FootnoteText"/>
        <w:rPr>
          <w:lang w:val="en-US"/>
        </w:rPr>
      </w:pPr>
      <w:r>
        <w:rPr>
          <w:rStyle w:val="FootnoteReference"/>
        </w:rPr>
        <w:footnoteRef/>
      </w:r>
      <w:r>
        <w:t xml:space="preserve"> </w:t>
      </w:r>
      <w:r>
        <w:tab/>
      </w:r>
      <w:hyperlink r:id="rId307" w:history="1">
        <w:r w:rsidR="004D4556">
          <w:rPr>
            <w:rStyle w:val="Hyperlink"/>
          </w:rPr>
          <w:t>www.eeca.govt.nz/co-funding/</w:t>
        </w:r>
      </w:hyperlink>
      <w:r>
        <w:t xml:space="preserve"> </w:t>
      </w:r>
    </w:p>
  </w:footnote>
  <w:footnote w:id="438">
    <w:p w14:paraId="55EC5338" w14:textId="7367C766" w:rsidR="00EE180C" w:rsidRPr="004759CE" w:rsidRDefault="00EE180C" w:rsidP="00EE180C">
      <w:pPr>
        <w:pStyle w:val="FootnoteText"/>
        <w:rPr>
          <w:lang w:val="en-US"/>
        </w:rPr>
      </w:pPr>
      <w:r>
        <w:rPr>
          <w:rStyle w:val="FootnoteReference"/>
        </w:rPr>
        <w:footnoteRef/>
      </w:r>
      <w:r>
        <w:t xml:space="preserve"> </w:t>
      </w:r>
      <w:r>
        <w:tab/>
      </w:r>
      <w:hyperlink r:id="rId308" w:history="1">
        <w:r w:rsidR="004D4556">
          <w:rPr>
            <w:rStyle w:val="Hyperlink"/>
          </w:rPr>
          <w:t>genless.govt.nz/stories/tailor-made-climate-advice-for-smaller-businesses/</w:t>
        </w:r>
      </w:hyperlink>
      <w:r>
        <w:t xml:space="preserve"> </w:t>
      </w:r>
    </w:p>
  </w:footnote>
  <w:footnote w:id="439">
    <w:p w14:paraId="664170CB" w14:textId="77777777" w:rsidR="00EE180C" w:rsidRDefault="00EE180C" w:rsidP="00EE180C">
      <w:pPr>
        <w:pStyle w:val="FootnoteText"/>
      </w:pPr>
      <w:r w:rsidRPr="28A883E2">
        <w:rPr>
          <w:rStyle w:val="FootnoteReference"/>
        </w:rPr>
        <w:footnoteRef/>
      </w:r>
      <w:r>
        <w:t xml:space="preserve"> </w:t>
      </w:r>
      <w:r>
        <w:tab/>
        <w:t xml:space="preserve">The </w:t>
      </w:r>
      <w:r w:rsidRPr="001A0CC3">
        <w:t>trading</w:t>
      </w:r>
      <w:r>
        <w:t xml:space="preserve"> name of Enviro-Mark Solutions Limited (a wholly owned subsidiary of Manaaki Whenua </w:t>
      </w:r>
      <w:r>
        <w:br/>
        <w:t xml:space="preserve">– Landcare Research, a Crown research institute). </w:t>
      </w:r>
    </w:p>
  </w:footnote>
  <w:footnote w:id="440">
    <w:p w14:paraId="779119B3" w14:textId="554A7981" w:rsidR="00EE180C" w:rsidRDefault="00EE180C" w:rsidP="00EE180C">
      <w:pPr>
        <w:pStyle w:val="FootnoteText"/>
      </w:pPr>
      <w:r>
        <w:rPr>
          <w:rStyle w:val="FootnoteReference"/>
        </w:rPr>
        <w:footnoteRef/>
      </w:r>
      <w:r>
        <w:t xml:space="preserve"> </w:t>
      </w:r>
      <w:r>
        <w:tab/>
      </w:r>
      <w:hyperlink r:id="rId309" w:history="1">
        <w:r w:rsidR="004D4556">
          <w:rPr>
            <w:rStyle w:val="Hyperlink"/>
          </w:rPr>
          <w:t>www.toitu.co.nz/what-we-offer/carbon-management</w:t>
        </w:r>
      </w:hyperlink>
      <w:r>
        <w:t xml:space="preserve"> </w:t>
      </w:r>
    </w:p>
  </w:footnote>
  <w:footnote w:id="441">
    <w:p w14:paraId="1493CED5" w14:textId="62221D0F" w:rsidR="00EE180C" w:rsidRDefault="00EE180C" w:rsidP="00EE180C">
      <w:pPr>
        <w:pStyle w:val="FootnoteText"/>
      </w:pPr>
      <w:r>
        <w:rPr>
          <w:rStyle w:val="FootnoteReference"/>
        </w:rPr>
        <w:footnoteRef/>
      </w:r>
      <w:r>
        <w:t xml:space="preserve"> </w:t>
      </w:r>
      <w:r>
        <w:tab/>
      </w:r>
      <w:hyperlink r:id="rId310" w:history="1">
        <w:r w:rsidR="004D4556">
          <w:rPr>
            <w:rStyle w:val="Hyperlink"/>
          </w:rPr>
          <w:t>www.toitu.co.nz/our-members/case-studies</w:t>
        </w:r>
      </w:hyperlink>
      <w:r>
        <w:t xml:space="preserve"> </w:t>
      </w:r>
    </w:p>
  </w:footnote>
  <w:footnote w:id="442">
    <w:p w14:paraId="05727CF3" w14:textId="52071F46" w:rsidR="00EE180C" w:rsidRPr="00602494" w:rsidRDefault="00EE180C" w:rsidP="00EE180C">
      <w:pPr>
        <w:pStyle w:val="FootnoteText"/>
        <w:rPr>
          <w:highlight w:val="yellow"/>
        </w:rPr>
      </w:pPr>
      <w:r w:rsidRPr="002A3660">
        <w:rPr>
          <w:rStyle w:val="FootnoteReference"/>
        </w:rPr>
        <w:footnoteRef/>
      </w:r>
      <w:r w:rsidRPr="002A3660">
        <w:t xml:space="preserve"> </w:t>
      </w:r>
      <w:r w:rsidRPr="002A3660">
        <w:tab/>
      </w:r>
      <w:hyperlink r:id="rId311" w:history="1">
        <w:r w:rsidR="004D4556">
          <w:rPr>
            <w:rStyle w:val="Hyperlink"/>
          </w:rPr>
          <w:t>environment.govt.nz/facts-and-science/climate-change/</w:t>
        </w:r>
      </w:hyperlink>
      <w:r>
        <w:t xml:space="preserve"> </w:t>
      </w:r>
    </w:p>
  </w:footnote>
  <w:footnote w:id="443">
    <w:p w14:paraId="14303944" w14:textId="0D683686" w:rsidR="00EE180C" w:rsidRDefault="00EE180C" w:rsidP="00EE180C">
      <w:pPr>
        <w:pStyle w:val="FootnoteText"/>
      </w:pPr>
      <w:r>
        <w:rPr>
          <w:rStyle w:val="FootnoteReference"/>
        </w:rPr>
        <w:footnoteRef/>
      </w:r>
      <w:r>
        <w:t xml:space="preserve"> </w:t>
      </w:r>
      <w:r>
        <w:tab/>
      </w:r>
      <w:hyperlink r:id="rId312" w:history="1">
        <w:r w:rsidR="004D4556">
          <w:rPr>
            <w:rStyle w:val="Hyperlink"/>
          </w:rPr>
          <w:t>environment.govt.nz/what-government-is-doing/</w:t>
        </w:r>
      </w:hyperlink>
      <w:r>
        <w:t xml:space="preserve"> </w:t>
      </w:r>
    </w:p>
  </w:footnote>
  <w:footnote w:id="444">
    <w:p w14:paraId="1911A804" w14:textId="761C5917" w:rsidR="00EE180C" w:rsidRPr="00602494" w:rsidRDefault="00EE180C" w:rsidP="00EE180C">
      <w:pPr>
        <w:pStyle w:val="FootnoteText"/>
        <w:rPr>
          <w:highlight w:val="yellow"/>
        </w:rPr>
      </w:pPr>
      <w:r w:rsidRPr="00724319">
        <w:rPr>
          <w:rStyle w:val="FootnoteReference"/>
        </w:rPr>
        <w:footnoteRef/>
      </w:r>
      <w:r w:rsidRPr="00724319">
        <w:t xml:space="preserve"> </w:t>
      </w:r>
      <w:r w:rsidRPr="00724319">
        <w:tab/>
      </w:r>
      <w:hyperlink r:id="rId313" w:history="1">
        <w:r w:rsidR="004D4556">
          <w:rPr>
            <w:rStyle w:val="Hyperlink"/>
          </w:rPr>
          <w:t>environment.govt.nz/what-government-is-doing/who-does-what-in-government-on-the-environment/</w:t>
        </w:r>
      </w:hyperlink>
      <w:r>
        <w:t xml:space="preserve"> </w:t>
      </w:r>
    </w:p>
  </w:footnote>
  <w:footnote w:id="445">
    <w:p w14:paraId="556771C6" w14:textId="26CD3156" w:rsidR="00EE180C" w:rsidRDefault="00EE180C" w:rsidP="00EE180C">
      <w:pPr>
        <w:pStyle w:val="FootnoteText"/>
      </w:pPr>
      <w:r>
        <w:rPr>
          <w:rStyle w:val="FootnoteReference"/>
        </w:rPr>
        <w:footnoteRef/>
      </w:r>
      <w:r>
        <w:t xml:space="preserve"> </w:t>
      </w:r>
      <w:r>
        <w:tab/>
      </w:r>
      <w:hyperlink r:id="rId314" w:history="1">
        <w:r w:rsidR="004D4556">
          <w:rPr>
            <w:rStyle w:val="Hyperlink"/>
          </w:rPr>
          <w:t>environment.govt.nz/what-you-can-do/</w:t>
        </w:r>
      </w:hyperlink>
      <w:r>
        <w:t xml:space="preserve"> </w:t>
      </w:r>
    </w:p>
  </w:footnote>
  <w:footnote w:id="446">
    <w:p w14:paraId="7C84AE57" w14:textId="2F196C75" w:rsidR="00EE180C" w:rsidRPr="00602494" w:rsidRDefault="00EE180C" w:rsidP="00EE180C">
      <w:pPr>
        <w:pStyle w:val="FootnoteText"/>
        <w:rPr>
          <w:highlight w:val="yellow"/>
        </w:rPr>
      </w:pPr>
      <w:r w:rsidRPr="004F0863">
        <w:rPr>
          <w:rStyle w:val="FootnoteReference"/>
        </w:rPr>
        <w:footnoteRef/>
      </w:r>
      <w:r w:rsidRPr="004F0863">
        <w:t xml:space="preserve"> </w:t>
      </w:r>
      <w:r w:rsidRPr="004F0863">
        <w:tab/>
        <w:t xml:space="preserve">Ministry for the Environment. 2020. </w:t>
      </w:r>
      <w:r w:rsidRPr="4BA1461B">
        <w:rPr>
          <w:i/>
          <w:iCs/>
        </w:rPr>
        <w:t xml:space="preserve">Our Atmosphere and Climate 2020. </w:t>
      </w:r>
      <w:r w:rsidRPr="004F0863">
        <w:t xml:space="preserve">Wellington: Ministry for the Environment. Retrieved from </w:t>
      </w:r>
      <w:hyperlink r:id="rId315" w:history="1">
        <w:r w:rsidR="004D4556">
          <w:rPr>
            <w:rStyle w:val="Hyperlink"/>
          </w:rPr>
          <w:t>environment.govt.nz/publications/our-atmosphere-and-climate-2020/</w:t>
        </w:r>
      </w:hyperlink>
      <w:r w:rsidRPr="004F0863">
        <w:t xml:space="preserve"> </w:t>
      </w:r>
      <w:r>
        <w:t>(14</w:t>
      </w:r>
      <w:r w:rsidR="004D4556">
        <w:t> </w:t>
      </w:r>
      <w:r>
        <w:t>October 2022).</w:t>
      </w:r>
    </w:p>
  </w:footnote>
  <w:footnote w:id="447">
    <w:p w14:paraId="092131A6" w14:textId="386C1DE7" w:rsidR="00EE180C" w:rsidRPr="00504701" w:rsidRDefault="00EE180C" w:rsidP="00EE180C">
      <w:pPr>
        <w:pStyle w:val="FootnoteText"/>
      </w:pPr>
      <w:r>
        <w:rPr>
          <w:rStyle w:val="FootnoteReference"/>
        </w:rPr>
        <w:footnoteRef/>
      </w:r>
      <w:r>
        <w:t xml:space="preserve"> </w:t>
      </w:r>
      <w:r>
        <w:tab/>
        <w:t xml:space="preserve">Ministry for the Environment. 2022. </w:t>
      </w:r>
      <w:r w:rsidRPr="4BA1461B">
        <w:rPr>
          <w:i/>
          <w:iCs/>
        </w:rPr>
        <w:t>Environment Aotearoa 2022.</w:t>
      </w:r>
      <w:r>
        <w:t xml:space="preserve"> Wellington: Ministry for the Environment. Retrieved from </w:t>
      </w:r>
      <w:hyperlink r:id="rId316" w:history="1">
        <w:r w:rsidR="004D4556">
          <w:rPr>
            <w:rStyle w:val="Hyperlink"/>
          </w:rPr>
          <w:t>environment.govt.nz/publications/environment-aotearoa-2022/</w:t>
        </w:r>
      </w:hyperlink>
      <w:r>
        <w:t xml:space="preserve"> (14 October 2022).</w:t>
      </w:r>
    </w:p>
  </w:footnote>
  <w:footnote w:id="448">
    <w:p w14:paraId="597A7276" w14:textId="77777777" w:rsidR="00EE180C" w:rsidRDefault="00EE180C" w:rsidP="00EE180C">
      <w:pPr>
        <w:pStyle w:val="FootnoteText"/>
      </w:pPr>
      <w:r>
        <w:rPr>
          <w:rStyle w:val="FootnoteReference"/>
        </w:rPr>
        <w:footnoteRef/>
      </w:r>
      <w:r>
        <w:t xml:space="preserve"> </w:t>
      </w:r>
      <w:r>
        <w:tab/>
        <w:t>F</w:t>
      </w:r>
      <w:r w:rsidRPr="009B3EDF">
        <w:t xml:space="preserve">or the purposes of </w:t>
      </w:r>
      <w:r>
        <w:t xml:space="preserve">producing </w:t>
      </w:r>
      <w:r w:rsidRPr="00CD3EBF">
        <w:rPr>
          <w:i/>
          <w:iCs/>
        </w:rPr>
        <w:t>Environment Aotearoa 2022</w:t>
      </w:r>
      <w:r>
        <w:t>, the Ministry</w:t>
      </w:r>
      <w:r w:rsidRPr="009B3EDF">
        <w:t xml:space="preserve"> adopted one of the definitions from the Environmental Protection Authority’s mātauranga guide</w:t>
      </w:r>
      <w:r>
        <w:t xml:space="preserve">, which describes mātauranga Māori as the body of knowledge arising from the experiences of Māori living in the environment of Aotearoa New Zealand. </w:t>
      </w:r>
      <w:r w:rsidRPr="009B3EDF">
        <w:t>Environmental Protection Authority</w:t>
      </w:r>
      <w:r>
        <w:t xml:space="preserve">. 2020. </w:t>
      </w:r>
      <w:r w:rsidRPr="4BA1461B">
        <w:rPr>
          <w:i/>
          <w:iCs/>
        </w:rPr>
        <w:t>Mātauranga Guide: Guide to the Mātauranga Framework</w:t>
      </w:r>
      <w:r>
        <w:t xml:space="preserve">. Wellington: </w:t>
      </w:r>
      <w:r w:rsidRPr="009B3EDF">
        <w:t>Environmental Protection Authority</w:t>
      </w:r>
      <w:r>
        <w:t xml:space="preserve">. Retrieved from </w:t>
      </w:r>
      <w:hyperlink r:id="rId317" w:history="1">
        <w:r w:rsidRPr="00DF261F">
          <w:rPr>
            <w:rStyle w:val="Hyperlink"/>
          </w:rPr>
          <w:t>www.epa.govt.nz/assets/ Uploads/Documents/Te-Hautu/Matauranga-Maori-Report_Companion-Guide.pdf</w:t>
        </w:r>
      </w:hyperlink>
      <w:r>
        <w:t xml:space="preserve"> (14 October 2022).</w:t>
      </w:r>
    </w:p>
  </w:footnote>
  <w:footnote w:id="449">
    <w:p w14:paraId="49860BCF" w14:textId="17C7E9A5" w:rsidR="00EE180C" w:rsidRDefault="00EE180C" w:rsidP="00EE180C">
      <w:pPr>
        <w:pStyle w:val="FootnoteText"/>
      </w:pPr>
      <w:r>
        <w:rPr>
          <w:rStyle w:val="FootnoteReference"/>
        </w:rPr>
        <w:footnoteRef/>
      </w:r>
      <w:r>
        <w:t xml:space="preserve"> </w:t>
      </w:r>
      <w:r>
        <w:tab/>
      </w:r>
      <w:hyperlink r:id="rId318" w:history="1">
        <w:r w:rsidR="004D4556">
          <w:rPr>
            <w:rStyle w:val="Hyperlink"/>
          </w:rPr>
          <w:t>environment.govt.nz/what-government-is-doing/areas-of-work/jobs-for-nature/</w:t>
        </w:r>
      </w:hyperlink>
      <w:r>
        <w:t xml:space="preserve"> </w:t>
      </w:r>
    </w:p>
  </w:footnote>
  <w:footnote w:id="450">
    <w:p w14:paraId="367FD01A" w14:textId="2A2E3E34" w:rsidR="00EE180C" w:rsidRDefault="00EE180C" w:rsidP="00EE180C">
      <w:pPr>
        <w:pStyle w:val="FootnoteText"/>
      </w:pPr>
      <w:r>
        <w:rPr>
          <w:rStyle w:val="FootnoteReference"/>
        </w:rPr>
        <w:footnoteRef/>
      </w:r>
      <w:r>
        <w:t xml:space="preserve"> </w:t>
      </w:r>
      <w:r>
        <w:tab/>
        <w:t xml:space="preserve">Ministry for the Environment. 2022. </w:t>
      </w:r>
      <w:r w:rsidRPr="4BA1461B">
        <w:rPr>
          <w:rFonts w:asciiTheme="minorHAnsi" w:hAnsiTheme="minorHAnsi"/>
          <w:i/>
          <w:iCs/>
          <w:szCs w:val="19"/>
        </w:rPr>
        <w:t>Te Hau Mārohi ki Anamata</w:t>
      </w:r>
      <w:r w:rsidRPr="4BA1461B">
        <w:rPr>
          <w:i/>
          <w:iCs/>
        </w:rPr>
        <w:t>: Towards a Productive, Sustainable and Inclusive Economy: Aotearoa New Zealand’s First Emissions Reduction Plan</w:t>
      </w:r>
      <w:r>
        <w:t xml:space="preserve">. Wellington: Ministry for the Environment. Retrieved from </w:t>
      </w:r>
      <w:hyperlink r:id="rId319" w:history="1">
        <w:r w:rsidR="004D4556">
          <w:rPr>
            <w:rStyle w:val="Hyperlink"/>
          </w:rPr>
          <w:t>environment.govt.nz/what-government-is-doing/areas-of-work/climate-change/emissions-reduction-plan/</w:t>
        </w:r>
      </w:hyperlink>
      <w:r>
        <w:t xml:space="preserve"> (14 October 2022).</w:t>
      </w:r>
    </w:p>
  </w:footnote>
  <w:footnote w:id="451">
    <w:p w14:paraId="605F4F5C" w14:textId="4EFF6FEC" w:rsidR="00EE180C" w:rsidRDefault="00EE180C" w:rsidP="00EE180C">
      <w:pPr>
        <w:pStyle w:val="FootnoteText"/>
      </w:pPr>
      <w:r>
        <w:rPr>
          <w:rStyle w:val="FootnoteReference"/>
        </w:rPr>
        <w:footnoteRef/>
      </w:r>
      <w:r>
        <w:t xml:space="preserve"> </w:t>
      </w:r>
      <w:r>
        <w:tab/>
        <w:t xml:space="preserve">Ministry for the Environment. 2022. </w:t>
      </w:r>
      <w:r w:rsidRPr="4BA1461B">
        <w:rPr>
          <w:i/>
          <w:iCs/>
        </w:rPr>
        <w:t>Aotearoa New Zealand’s First National Adaptation Plan</w:t>
      </w:r>
      <w:r>
        <w:t xml:space="preserve">. Wellington: Ministry for the Environment. Retrieved from </w:t>
      </w:r>
      <w:hyperlink r:id="rId320" w:history="1">
        <w:r w:rsidR="0098387E">
          <w:rPr>
            <w:rStyle w:val="Hyperlink"/>
          </w:rPr>
          <w:t>environment.govt.nz/what-government-is-doing/ areas-of-work/climate-change/adapting-to-climate-change/national-adaptation-plan/</w:t>
        </w:r>
      </w:hyperlink>
      <w:r>
        <w:t xml:space="preserve"> (14 October 2022). </w:t>
      </w:r>
    </w:p>
  </w:footnote>
  <w:footnote w:id="452">
    <w:p w14:paraId="43745510" w14:textId="53CBE9C2" w:rsidR="00EE180C" w:rsidRDefault="00EE180C" w:rsidP="00EE180C">
      <w:pPr>
        <w:pStyle w:val="FootnoteText"/>
      </w:pPr>
      <w:r>
        <w:rPr>
          <w:rStyle w:val="FootnoteReference"/>
        </w:rPr>
        <w:footnoteRef/>
      </w:r>
      <w:r>
        <w:t xml:space="preserve"> </w:t>
      </w:r>
      <w:r>
        <w:tab/>
      </w:r>
      <w:hyperlink r:id="rId321" w:history="1">
        <w:r w:rsidR="0098387E">
          <w:rPr>
            <w:rStyle w:val="Hyperlink"/>
          </w:rPr>
          <w:t>environment.govt.nz/what-government-is-doing/areas-of-work/climate-change/emissions-reduction-targets/greenhouse-gas-emissions-targets-and-reporting/</w:t>
        </w:r>
      </w:hyperlink>
      <w:r>
        <w:t xml:space="preserve"> </w:t>
      </w:r>
    </w:p>
  </w:footnote>
  <w:footnote w:id="453">
    <w:p w14:paraId="134B3FAB" w14:textId="6D6F666B" w:rsidR="00EE180C" w:rsidRDefault="00EE180C" w:rsidP="00EE180C">
      <w:pPr>
        <w:pStyle w:val="FootnoteText"/>
      </w:pPr>
      <w:r>
        <w:rPr>
          <w:rStyle w:val="FootnoteReference"/>
        </w:rPr>
        <w:footnoteRef/>
      </w:r>
      <w:r>
        <w:t xml:space="preserve"> </w:t>
      </w:r>
      <w:r>
        <w:tab/>
      </w:r>
      <w:hyperlink r:id="rId322" w:history="1">
        <w:r w:rsidR="0098387E">
          <w:rPr>
            <w:rStyle w:val="Hyperlink"/>
          </w:rPr>
          <w:t>environment.govt.nz/what-government-is-doing/areas-of-work/climate-change/emissions-reduction-targets/latest-update-on-new-zealands-2020-net-position/</w:t>
        </w:r>
      </w:hyperlink>
      <w:r>
        <w:t xml:space="preserve"> </w:t>
      </w:r>
    </w:p>
  </w:footnote>
  <w:footnote w:id="454">
    <w:p w14:paraId="48D63A7E" w14:textId="77777777" w:rsidR="00EE180C" w:rsidRPr="000D3339" w:rsidRDefault="00EE180C" w:rsidP="00EE180C">
      <w:pPr>
        <w:pStyle w:val="FootnoteText"/>
      </w:pPr>
      <w:r>
        <w:rPr>
          <w:rStyle w:val="FootnoteReference"/>
        </w:rPr>
        <w:footnoteRef/>
      </w:r>
      <w:r>
        <w:t xml:space="preserve"> </w:t>
      </w:r>
      <w:r>
        <w:tab/>
      </w:r>
      <w:r>
        <w:rPr>
          <w:lang w:val="en-US"/>
        </w:rPr>
        <w:t xml:space="preserve">Ministry for the Environment. 2022. </w:t>
      </w:r>
      <w:r w:rsidRPr="4BA1461B">
        <w:rPr>
          <w:i/>
          <w:iCs/>
          <w:lang w:val="en-US"/>
        </w:rPr>
        <w:t>New Zealand’s Fifth Biennial Report under the United Nations Framework Convention on Climate Change</w:t>
      </w:r>
      <w:r w:rsidRPr="00B10472">
        <w:rPr>
          <w:lang w:val="en-US"/>
        </w:rPr>
        <w:t>. Wellington: Ministry for</w:t>
      </w:r>
      <w:r>
        <w:rPr>
          <w:lang w:val="en-US"/>
        </w:rPr>
        <w:t xml:space="preserve"> </w:t>
      </w:r>
      <w:r w:rsidRPr="00B10472">
        <w:rPr>
          <w:lang w:val="en-US"/>
        </w:rPr>
        <w:t>the Environment</w:t>
      </w:r>
      <w:r>
        <w:rPr>
          <w:lang w:val="en-US"/>
        </w:rPr>
        <w:t>.</w:t>
      </w:r>
    </w:p>
  </w:footnote>
  <w:footnote w:id="455">
    <w:p w14:paraId="5D8ED687" w14:textId="714229C1" w:rsidR="00EE180C" w:rsidRDefault="00EE180C" w:rsidP="00EE180C">
      <w:pPr>
        <w:pStyle w:val="FootnoteText"/>
      </w:pPr>
      <w:r>
        <w:rPr>
          <w:rStyle w:val="FootnoteReference"/>
        </w:rPr>
        <w:footnoteRef/>
      </w:r>
      <w:r>
        <w:t xml:space="preserve"> </w:t>
      </w:r>
      <w:r>
        <w:tab/>
      </w:r>
      <w:hyperlink r:id="rId323" w:history="1">
        <w:r w:rsidR="0098387E">
          <w:rPr>
            <w:rStyle w:val="Hyperlink"/>
          </w:rPr>
          <w:t>environment.govt.nz/publications/report-upon-expiration-of-the-additional-period-for-fulfilling-commitments-by-new-zealand/</w:t>
        </w:r>
      </w:hyperlink>
      <w:r>
        <w:t xml:space="preserve"> </w:t>
      </w:r>
    </w:p>
  </w:footnote>
  <w:footnote w:id="456">
    <w:p w14:paraId="4BC8E251" w14:textId="30D81DB8" w:rsidR="00EE180C" w:rsidRDefault="00EE180C" w:rsidP="00EE180C">
      <w:pPr>
        <w:pStyle w:val="FootnoteText"/>
      </w:pPr>
      <w:r>
        <w:rPr>
          <w:rStyle w:val="FootnoteReference"/>
        </w:rPr>
        <w:footnoteRef/>
      </w:r>
      <w:r>
        <w:t xml:space="preserve"> </w:t>
      </w:r>
      <w:r>
        <w:tab/>
      </w:r>
      <w:hyperlink r:id="rId324" w:history="1">
        <w:r w:rsidR="0098387E">
          <w:rPr>
            <w:rStyle w:val="Hyperlink"/>
          </w:rPr>
          <w:t>environment.govt.nz/what-government-is-doing/areas-of-work/climate-change/nationally-determined-contribution/</w:t>
        </w:r>
      </w:hyperlink>
      <w:r>
        <w:t xml:space="preserve"> </w:t>
      </w:r>
    </w:p>
  </w:footnote>
  <w:footnote w:id="457">
    <w:p w14:paraId="749F1F21" w14:textId="432EAF0B" w:rsidR="00EE180C" w:rsidRPr="00602494" w:rsidRDefault="00EE180C" w:rsidP="00EE180C">
      <w:pPr>
        <w:pStyle w:val="FootnoteText"/>
        <w:rPr>
          <w:rStyle w:val="Hyperlink"/>
          <w:highlight w:val="yellow"/>
        </w:rPr>
      </w:pPr>
      <w:r w:rsidRPr="009F1B8F">
        <w:rPr>
          <w:rStyle w:val="FootnoteReference"/>
        </w:rPr>
        <w:footnoteRef/>
      </w:r>
      <w:r w:rsidRPr="009F1B8F">
        <w:t xml:space="preserve"> </w:t>
      </w:r>
      <w:r w:rsidRPr="009F1B8F">
        <w:tab/>
      </w:r>
      <w:hyperlink r:id="rId325" w:history="1">
        <w:r w:rsidR="0098387E">
          <w:rPr>
            <w:rStyle w:val="Hyperlink"/>
          </w:rPr>
          <w:t>environment.govt.nz/what-government-is-doing/areas-of-work/climate-change/ets/</w:t>
        </w:r>
      </w:hyperlink>
      <w:r>
        <w:t xml:space="preserve"> </w:t>
      </w:r>
    </w:p>
  </w:footnote>
  <w:footnote w:id="458">
    <w:p w14:paraId="177A2FCC" w14:textId="0CA54C31" w:rsidR="00EE180C" w:rsidRPr="00602494" w:rsidRDefault="00EE180C" w:rsidP="00EE180C">
      <w:pPr>
        <w:pStyle w:val="FootnoteText"/>
        <w:rPr>
          <w:highlight w:val="yellow"/>
        </w:rPr>
      </w:pPr>
      <w:r w:rsidRPr="00A72631">
        <w:rPr>
          <w:rStyle w:val="FootnoteReference"/>
        </w:rPr>
        <w:footnoteRef/>
      </w:r>
      <w:r w:rsidRPr="00A72631">
        <w:rPr>
          <w:rStyle w:val="FootnoteReference"/>
        </w:rPr>
        <w:t xml:space="preserve"> </w:t>
      </w:r>
      <w:r w:rsidRPr="0079437B">
        <w:rPr>
          <w:rStyle w:val="Hyperlink"/>
        </w:rPr>
        <w:tab/>
      </w:r>
      <w:hyperlink r:id="rId326" w:history="1">
        <w:r w:rsidR="0098387E">
          <w:rPr>
            <w:rStyle w:val="Hyperlink"/>
          </w:rPr>
          <w:t>www.epa.govt.nz/industry-areas/emissions-trading-scheme/</w:t>
        </w:r>
      </w:hyperlink>
      <w:r>
        <w:rPr>
          <w:rStyle w:val="Hyperlink"/>
        </w:rPr>
        <w:t xml:space="preserve"> </w:t>
      </w:r>
    </w:p>
  </w:footnote>
  <w:footnote w:id="459">
    <w:p w14:paraId="458873DC" w14:textId="77777777" w:rsidR="00EE180C" w:rsidRPr="00CE7AEE" w:rsidRDefault="00EE180C" w:rsidP="00EE180C">
      <w:pPr>
        <w:pStyle w:val="FootnoteText"/>
      </w:pPr>
      <w:r>
        <w:rPr>
          <w:rStyle w:val="FootnoteReference"/>
        </w:rPr>
        <w:footnoteRef/>
      </w:r>
      <w:r>
        <w:t xml:space="preserve"> </w:t>
      </w:r>
      <w:r>
        <w:tab/>
        <w:t xml:space="preserve">Ministry for the Environment. 2022. </w:t>
      </w:r>
      <w:hyperlink r:id="rId327" w:history="1">
        <w:r w:rsidRPr="00AF0ED8">
          <w:rPr>
            <w:rStyle w:val="Hyperlink"/>
            <w:i/>
            <w:iCs/>
          </w:rPr>
          <w:t>New Zealand’s Greenhouse Gas Inventory 1990–2020</w:t>
        </w:r>
      </w:hyperlink>
      <w:r w:rsidRPr="4BA1461B">
        <w:rPr>
          <w:i/>
          <w:iCs/>
        </w:rPr>
        <w:t>.</w:t>
      </w:r>
      <w:r>
        <w:t xml:space="preserve"> Wellington: Ministry for the Environment.</w:t>
      </w:r>
    </w:p>
  </w:footnote>
  <w:footnote w:id="460">
    <w:p w14:paraId="1ED19517" w14:textId="77777777" w:rsidR="00EE180C" w:rsidRPr="00602494" w:rsidRDefault="00EE180C" w:rsidP="00EE180C">
      <w:pPr>
        <w:pStyle w:val="FootnoteText"/>
        <w:rPr>
          <w:highlight w:val="yellow"/>
        </w:rPr>
      </w:pPr>
      <w:r w:rsidRPr="4BA1461B">
        <w:rPr>
          <w:rStyle w:val="FootnoteReference"/>
          <w:rFonts w:eastAsiaTheme="majorEastAsia"/>
        </w:rPr>
        <w:footnoteRef/>
      </w:r>
      <w:r w:rsidRPr="003F4F6D">
        <w:t xml:space="preserve"> </w:t>
      </w:r>
      <w:r w:rsidRPr="003F4F6D">
        <w:tab/>
        <w:t xml:space="preserve">At the time of the publication of the </w:t>
      </w:r>
      <w:r w:rsidRPr="4BA1461B">
        <w:rPr>
          <w:i/>
          <w:iCs/>
        </w:rPr>
        <w:t>Eighth National Communication</w:t>
      </w:r>
      <w:r w:rsidRPr="003F4F6D">
        <w:t xml:space="preserve">, the most recent </w:t>
      </w:r>
      <w:r>
        <w:t>s</w:t>
      </w:r>
      <w:r w:rsidRPr="003F4F6D">
        <w:t xml:space="preserve">napshot release is: Ministry for the Environment. 2022. </w:t>
      </w:r>
      <w:hyperlink r:id="rId328" w:history="1">
        <w:r w:rsidRPr="00A3270A">
          <w:rPr>
            <w:rStyle w:val="Hyperlink"/>
            <w:i/>
            <w:iCs/>
          </w:rPr>
          <w:t>New Zealand’s Greenhouse Gas Inventory 1990–2020</w:t>
        </w:r>
      </w:hyperlink>
      <w:r w:rsidRPr="003F4F6D">
        <w:t xml:space="preserve">. Wellington: Ministry for the Environment. </w:t>
      </w:r>
    </w:p>
  </w:footnote>
  <w:footnote w:id="461">
    <w:p w14:paraId="695168D9" w14:textId="7C3F8D10" w:rsidR="00EE180C" w:rsidRPr="00602494" w:rsidRDefault="00EE180C" w:rsidP="00EE180C">
      <w:pPr>
        <w:pStyle w:val="FootnoteText"/>
        <w:rPr>
          <w:highlight w:val="yellow"/>
        </w:rPr>
      </w:pPr>
      <w:r w:rsidRPr="000A04C6">
        <w:rPr>
          <w:rStyle w:val="FootnoteReference"/>
        </w:rPr>
        <w:footnoteRef/>
      </w:r>
      <w:r w:rsidRPr="002F4438">
        <w:tab/>
      </w:r>
      <w:hyperlink r:id="rId329" w:history="1">
        <w:r w:rsidR="00A72631">
          <w:rPr>
            <w:rStyle w:val="Hyperlink"/>
          </w:rPr>
          <w:t>environment.govt.nz/what-government-is-doing/areas-of-work/climate-change/emissions-reduction-targets/latest-update-on-new-zealands-2020-net-position/</w:t>
        </w:r>
      </w:hyperlink>
      <w:r>
        <w:t xml:space="preserve"> </w:t>
      </w:r>
    </w:p>
  </w:footnote>
  <w:footnote w:id="462">
    <w:p w14:paraId="73303056" w14:textId="787483C2" w:rsidR="00EE180C" w:rsidRPr="00602494" w:rsidRDefault="00EE180C" w:rsidP="00EE180C">
      <w:pPr>
        <w:pStyle w:val="FootnoteText"/>
        <w:rPr>
          <w:highlight w:val="yellow"/>
        </w:rPr>
      </w:pPr>
      <w:r w:rsidRPr="002D1BFC">
        <w:rPr>
          <w:rStyle w:val="FootnoteReference"/>
          <w:rFonts w:eastAsiaTheme="majorEastAsia"/>
          <w:szCs w:val="18"/>
        </w:rPr>
        <w:footnoteRef/>
      </w:r>
      <w:r>
        <w:t xml:space="preserve"> </w:t>
      </w:r>
      <w:r>
        <w:tab/>
      </w:r>
      <w:hyperlink r:id="rId330" w:anchor="NrAMBoEYF12TwCIByBTALo2wBM4egHYCcSW0QA" w:history="1">
        <w:r w:rsidR="00A72631">
          <w:rPr>
            <w:rStyle w:val="Hyperlink"/>
          </w:rPr>
          <w:t>emissionstracker.environment.govt.nz/#NrAMBoEYF12TwCIByBTALo2wBM4egHYCcSW0QA</w:t>
        </w:r>
      </w:hyperlink>
      <w:r>
        <w:t xml:space="preserve"> </w:t>
      </w:r>
    </w:p>
  </w:footnote>
  <w:footnote w:id="463">
    <w:p w14:paraId="1ABB357A" w14:textId="552ADB87" w:rsidR="00EE180C" w:rsidRDefault="00EE180C" w:rsidP="00EE180C">
      <w:pPr>
        <w:pStyle w:val="FootnoteText"/>
      </w:pPr>
      <w:r>
        <w:rPr>
          <w:rStyle w:val="FootnoteReference"/>
        </w:rPr>
        <w:footnoteRef/>
      </w:r>
      <w:r>
        <w:t xml:space="preserve"> </w:t>
      </w:r>
      <w:r>
        <w:tab/>
      </w:r>
      <w:hyperlink r:id="rId331" w:history="1">
        <w:r w:rsidR="00A72631">
          <w:rPr>
            <w:rStyle w:val="Hyperlink"/>
          </w:rPr>
          <w:t>www.stats.govt.nz/experimental/greenhouse-gas-emissions-industry-and-household-september-2020-quarter</w:t>
        </w:r>
      </w:hyperlink>
      <w:r>
        <w:t xml:space="preserve"> </w:t>
      </w:r>
    </w:p>
  </w:footnote>
  <w:footnote w:id="464">
    <w:p w14:paraId="1AFF41E5" w14:textId="4AAB99C3" w:rsidR="00EE180C" w:rsidRPr="00602494" w:rsidRDefault="00EE180C" w:rsidP="00EE180C">
      <w:pPr>
        <w:pStyle w:val="FootnoteText"/>
        <w:rPr>
          <w:highlight w:val="yellow"/>
        </w:rPr>
      </w:pPr>
      <w:r w:rsidRPr="00B7317D">
        <w:rPr>
          <w:rStyle w:val="FootnoteReference"/>
        </w:rPr>
        <w:footnoteRef/>
      </w:r>
      <w:r w:rsidRPr="00B7317D">
        <w:t xml:space="preserve"> </w:t>
      </w:r>
      <w:r w:rsidRPr="00B7317D">
        <w:tab/>
      </w:r>
      <w:hyperlink r:id="rId332" w:history="1">
        <w:r w:rsidR="00A72631">
          <w:rPr>
            <w:rStyle w:val="Hyperlink"/>
          </w:rPr>
          <w:t>www.epa.govt.nz/resources-and-publications/</w:t>
        </w:r>
      </w:hyperlink>
      <w:r>
        <w:t xml:space="preserve"> </w:t>
      </w:r>
    </w:p>
  </w:footnote>
  <w:footnote w:id="465">
    <w:p w14:paraId="4D8FA6FD" w14:textId="19E0DC85" w:rsidR="00EE180C" w:rsidRPr="00602494" w:rsidRDefault="00EE180C" w:rsidP="00EE180C">
      <w:pPr>
        <w:pStyle w:val="FootnoteText"/>
        <w:rPr>
          <w:highlight w:val="yellow"/>
        </w:rPr>
      </w:pPr>
      <w:r w:rsidRPr="00377B55">
        <w:rPr>
          <w:rStyle w:val="FootnoteReference"/>
        </w:rPr>
        <w:footnoteRef/>
      </w:r>
      <w:r w:rsidRPr="00377B55">
        <w:tab/>
      </w:r>
      <w:hyperlink r:id="rId333" w:history="1">
        <w:r w:rsidR="00A72631">
          <w:rPr>
            <w:rStyle w:val="Hyperlink"/>
          </w:rPr>
          <w:t>emissionsregister.govt.nz</w:t>
        </w:r>
      </w:hyperlink>
    </w:p>
  </w:footnote>
  <w:footnote w:id="466">
    <w:p w14:paraId="1B06059D" w14:textId="4AF9A1FD" w:rsidR="00EE180C" w:rsidRPr="00602494" w:rsidRDefault="00EE180C" w:rsidP="00EE180C">
      <w:pPr>
        <w:pStyle w:val="FootnoteText"/>
        <w:rPr>
          <w:highlight w:val="yellow"/>
        </w:rPr>
      </w:pPr>
      <w:r w:rsidRPr="00564555">
        <w:rPr>
          <w:rStyle w:val="FootnoteReference"/>
        </w:rPr>
        <w:footnoteRef/>
      </w:r>
      <w:r w:rsidRPr="00564555">
        <w:t xml:space="preserve"> </w:t>
      </w:r>
      <w:r w:rsidRPr="00564555">
        <w:tab/>
      </w:r>
      <w:hyperlink r:id="rId334" w:history="1">
        <w:r w:rsidR="00A72631">
          <w:rPr>
            <w:rStyle w:val="Hyperlink"/>
          </w:rPr>
          <w:t>mpi.govt.nz/growing-and-producing/forestry/forestry-in-the-emissions-trading-scheme</w:t>
        </w:r>
      </w:hyperlink>
      <w:r w:rsidRPr="00564555">
        <w:t xml:space="preserve"> </w:t>
      </w:r>
    </w:p>
  </w:footnote>
  <w:footnote w:id="467">
    <w:p w14:paraId="5112195F" w14:textId="4CE04CB7" w:rsidR="00EE180C" w:rsidRPr="00602494" w:rsidRDefault="00EE180C" w:rsidP="00EE180C">
      <w:pPr>
        <w:pStyle w:val="FootnoteText"/>
        <w:rPr>
          <w:highlight w:val="yellow"/>
        </w:rPr>
      </w:pPr>
      <w:r w:rsidRPr="009F35CB">
        <w:rPr>
          <w:rStyle w:val="FootnoteReference"/>
        </w:rPr>
        <w:footnoteRef/>
      </w:r>
      <w:r w:rsidRPr="009F35CB">
        <w:t xml:space="preserve"> </w:t>
      </w:r>
      <w:r w:rsidRPr="009F35CB">
        <w:tab/>
      </w:r>
      <w:hyperlink r:id="rId335" w:history="1">
        <w:r w:rsidR="00A72631">
          <w:rPr>
            <w:rStyle w:val="Hyperlink"/>
          </w:rPr>
          <w:t>environment.govt.nz/what-government-is-doing/areas-of-work/climate-change/ets/</w:t>
        </w:r>
      </w:hyperlink>
      <w:r>
        <w:t xml:space="preserve"> </w:t>
      </w:r>
    </w:p>
  </w:footnote>
  <w:footnote w:id="468">
    <w:p w14:paraId="3E643A56" w14:textId="55AF755D" w:rsidR="00EE180C" w:rsidRDefault="00EE180C" w:rsidP="00EE180C">
      <w:pPr>
        <w:pStyle w:val="FootnoteText"/>
      </w:pPr>
      <w:r>
        <w:rPr>
          <w:rStyle w:val="FootnoteReference"/>
        </w:rPr>
        <w:footnoteRef/>
      </w:r>
      <w:r>
        <w:t xml:space="preserve"> </w:t>
      </w:r>
      <w:r>
        <w:tab/>
      </w:r>
      <w:hyperlink r:id="rId336" w:history="1">
        <w:r w:rsidR="00A72631">
          <w:rPr>
            <w:rStyle w:val="Hyperlink"/>
          </w:rPr>
          <w:t>environment.govt.nz/what-government-is-doing/areas-of-work/climate-change/carbon-neutral-government-programme/</w:t>
        </w:r>
      </w:hyperlink>
      <w:r>
        <w:t xml:space="preserve"> </w:t>
      </w:r>
    </w:p>
  </w:footnote>
  <w:footnote w:id="469">
    <w:p w14:paraId="261ED381" w14:textId="471B0AAE" w:rsidR="00EE180C" w:rsidRDefault="00EE180C" w:rsidP="00EE180C">
      <w:pPr>
        <w:pStyle w:val="FootnoteText"/>
      </w:pPr>
      <w:r>
        <w:rPr>
          <w:rStyle w:val="FootnoteReference"/>
        </w:rPr>
        <w:footnoteRef/>
      </w:r>
      <w:r>
        <w:t xml:space="preserve"> </w:t>
      </w:r>
      <w:r>
        <w:tab/>
      </w:r>
      <w:hyperlink r:id="rId337" w:history="1">
        <w:r w:rsidR="00A72631">
          <w:rPr>
            <w:rStyle w:val="Hyperlink"/>
          </w:rPr>
          <w:t>environment.govt.nz/publications/cngp-measuring-and-reporting-ghg-emissions/</w:t>
        </w:r>
      </w:hyperlink>
      <w:r>
        <w:t xml:space="preserve"> </w:t>
      </w:r>
    </w:p>
  </w:footnote>
  <w:footnote w:id="470">
    <w:p w14:paraId="07A4C2AD" w14:textId="0DFB44C1" w:rsidR="00EE180C" w:rsidRDefault="00EE180C" w:rsidP="00EE180C">
      <w:pPr>
        <w:pStyle w:val="FootnoteText"/>
      </w:pPr>
      <w:r>
        <w:rPr>
          <w:rStyle w:val="FootnoteReference"/>
        </w:rPr>
        <w:footnoteRef/>
      </w:r>
      <w:r>
        <w:t xml:space="preserve"> </w:t>
      </w:r>
      <w:r>
        <w:tab/>
      </w:r>
      <w:hyperlink r:id="rId338" w:history="1">
        <w:r w:rsidR="00A72631">
          <w:rPr>
            <w:rStyle w:val="Hyperlink"/>
          </w:rPr>
          <w:t>www.mbie.govt.nz/building-and-energy/building/building-for-climate-change/</w:t>
        </w:r>
      </w:hyperlink>
      <w:r>
        <w:t xml:space="preserve"> </w:t>
      </w:r>
    </w:p>
  </w:footnote>
  <w:footnote w:id="471">
    <w:p w14:paraId="56CD0CE9" w14:textId="3D124A3F" w:rsidR="00EE180C" w:rsidRDefault="00EE180C" w:rsidP="00EE180C">
      <w:pPr>
        <w:pStyle w:val="FootnoteText"/>
      </w:pPr>
      <w:r>
        <w:rPr>
          <w:rStyle w:val="FootnoteReference"/>
        </w:rPr>
        <w:footnoteRef/>
      </w:r>
      <w:r>
        <w:t xml:space="preserve"> </w:t>
      </w:r>
      <w:r>
        <w:tab/>
      </w:r>
      <w:hyperlink r:id="rId339" w:history="1">
        <w:r w:rsidR="00A72631">
          <w:rPr>
            <w:rStyle w:val="Hyperlink"/>
          </w:rPr>
          <w:t>www.building.govt.nz/getting-started/building-for-climate-change/</w:t>
        </w:r>
      </w:hyperlink>
      <w:r>
        <w:t xml:space="preserve"> </w:t>
      </w:r>
    </w:p>
  </w:footnote>
  <w:footnote w:id="472">
    <w:p w14:paraId="13752AFA" w14:textId="62382E44" w:rsidR="00EE180C" w:rsidRPr="00602494" w:rsidRDefault="00EE180C" w:rsidP="00EE180C">
      <w:pPr>
        <w:pStyle w:val="FootnoteText"/>
        <w:rPr>
          <w:highlight w:val="yellow"/>
        </w:rPr>
      </w:pPr>
      <w:r w:rsidRPr="006C2360">
        <w:rPr>
          <w:rStyle w:val="FootnoteReference"/>
        </w:rPr>
        <w:footnoteRef/>
      </w:r>
      <w:r w:rsidRPr="006C2360">
        <w:t xml:space="preserve"> </w:t>
      </w:r>
      <w:r w:rsidRPr="006C2360">
        <w:tab/>
      </w:r>
      <w:hyperlink r:id="rId340" w:history="1">
        <w:r w:rsidR="00A72631">
          <w:rPr>
            <w:rStyle w:val="Hyperlink"/>
          </w:rPr>
          <w:t>environment.govt.nz/guides/measuring-and-reporting-greenhouse-gas-emissions-guide-for-organisations/</w:t>
        </w:r>
      </w:hyperlink>
      <w:r>
        <w:t xml:space="preserve"> </w:t>
      </w:r>
    </w:p>
  </w:footnote>
  <w:footnote w:id="473">
    <w:p w14:paraId="10FE749E" w14:textId="77777777" w:rsidR="00EE180C" w:rsidRPr="005308BF" w:rsidRDefault="00EE180C" w:rsidP="00824977">
      <w:pPr>
        <w:pStyle w:val="FootnoteText"/>
        <w:spacing w:after="40" w:line="230" w:lineRule="atLeast"/>
        <w:rPr>
          <w:rFonts w:eastAsia="Calibri"/>
        </w:rPr>
      </w:pPr>
      <w:r>
        <w:rPr>
          <w:rStyle w:val="FootnoteReference"/>
        </w:rPr>
        <w:footnoteRef/>
      </w:r>
      <w:r>
        <w:t xml:space="preserve"> </w:t>
      </w:r>
      <w:r>
        <w:tab/>
      </w:r>
      <w:r w:rsidRPr="55FDD712">
        <w:t xml:space="preserve">Ministry for the Environment. 2022. </w:t>
      </w:r>
      <w:hyperlink r:id="rId341" w:history="1">
        <w:r w:rsidRPr="00B504EB">
          <w:rPr>
            <w:rStyle w:val="Hyperlink"/>
            <w:i/>
            <w:iCs/>
          </w:rPr>
          <w:t>Interim guidance for voluntary climate change mitigation.</w:t>
        </w:r>
      </w:hyperlink>
      <w:r w:rsidRPr="55FDD712">
        <w:t xml:space="preserve"> Wellington: Ministry for the Environment.</w:t>
      </w:r>
    </w:p>
  </w:footnote>
  <w:footnote w:id="474">
    <w:p w14:paraId="0CCC82EE" w14:textId="77777777" w:rsidR="00EE180C" w:rsidRPr="00602494" w:rsidRDefault="00EE180C" w:rsidP="00824977">
      <w:pPr>
        <w:pStyle w:val="FootnoteText"/>
        <w:spacing w:after="40" w:line="230" w:lineRule="atLeast"/>
        <w:rPr>
          <w:highlight w:val="yellow"/>
        </w:rPr>
      </w:pPr>
      <w:r w:rsidRPr="4BA1461B">
        <w:rPr>
          <w:rStyle w:val="FootnoteReference"/>
          <w:rFonts w:eastAsiaTheme="majorEastAsia"/>
        </w:rPr>
        <w:footnoteRef/>
      </w:r>
      <w:r w:rsidRPr="00726222">
        <w:rPr>
          <w:szCs w:val="18"/>
        </w:rPr>
        <w:t xml:space="preserve"> </w:t>
      </w:r>
      <w:r w:rsidRPr="00726222">
        <w:rPr>
          <w:szCs w:val="18"/>
        </w:rPr>
        <w:tab/>
      </w:r>
      <w:r w:rsidRPr="00726222">
        <w:t xml:space="preserve">Ministry for the Environment 2018. </w:t>
      </w:r>
      <w:hyperlink r:id="rId342" w:history="1">
        <w:r w:rsidRPr="00BE056E">
          <w:rPr>
            <w:rStyle w:val="Hyperlink"/>
            <w:i/>
            <w:iCs/>
            <w:spacing w:val="-2"/>
          </w:rPr>
          <w:t>Climate Change Projections for New Zealand: Atmosphere Projections Based on Simulations from the IPCC Fifth Assessment, 2nd Edition</w:t>
        </w:r>
      </w:hyperlink>
      <w:r w:rsidRPr="00BE056E">
        <w:rPr>
          <w:spacing w:val="-2"/>
        </w:rPr>
        <w:t>. Wellington: Ministry for the Environment</w:t>
      </w:r>
      <w:r w:rsidRPr="00726222">
        <w:t>.</w:t>
      </w:r>
    </w:p>
  </w:footnote>
  <w:footnote w:id="475">
    <w:p w14:paraId="1CC79A69" w14:textId="77777777" w:rsidR="00EE180C" w:rsidRPr="00602494" w:rsidRDefault="00EE180C" w:rsidP="00824977">
      <w:pPr>
        <w:pStyle w:val="FootnoteText"/>
        <w:spacing w:after="40" w:line="230" w:lineRule="atLeast"/>
        <w:rPr>
          <w:highlight w:val="yellow"/>
        </w:rPr>
      </w:pPr>
      <w:r w:rsidRPr="4BA1461B">
        <w:rPr>
          <w:rStyle w:val="FootnoteReference"/>
          <w:rFonts w:eastAsiaTheme="majorEastAsia"/>
        </w:rPr>
        <w:footnoteRef/>
      </w:r>
      <w:r w:rsidRPr="006C2360">
        <w:rPr>
          <w:szCs w:val="18"/>
        </w:rPr>
        <w:t xml:space="preserve"> </w:t>
      </w:r>
      <w:r w:rsidRPr="006C2360">
        <w:rPr>
          <w:szCs w:val="18"/>
        </w:rPr>
        <w:tab/>
      </w:r>
      <w:r>
        <w:t xml:space="preserve">Ministry for the Environment. 2017. </w:t>
      </w:r>
      <w:hyperlink r:id="rId343" w:history="1">
        <w:r w:rsidRPr="00852C9A">
          <w:rPr>
            <w:rStyle w:val="Hyperlink"/>
            <w:i/>
            <w:iCs/>
          </w:rPr>
          <w:t>Coastal Hazards and Climate Change: Guidance for Local Government</w:t>
        </w:r>
      </w:hyperlink>
      <w:r>
        <w:t>. Wellington: Ministry for the Environment.</w:t>
      </w:r>
    </w:p>
  </w:footnote>
  <w:footnote w:id="476">
    <w:p w14:paraId="307B7F98" w14:textId="77777777" w:rsidR="00EE180C" w:rsidRDefault="00EE180C" w:rsidP="00824977">
      <w:pPr>
        <w:pStyle w:val="FootnoteText"/>
        <w:spacing w:after="40" w:line="230" w:lineRule="atLeast"/>
      </w:pPr>
      <w:r>
        <w:rPr>
          <w:rStyle w:val="FootnoteReference"/>
        </w:rPr>
        <w:footnoteRef/>
      </w:r>
      <w:r>
        <w:t xml:space="preserve"> </w:t>
      </w:r>
      <w:r>
        <w:tab/>
        <w:t xml:space="preserve">Ministry for the Environment. 2022. </w:t>
      </w:r>
      <w:hyperlink r:id="rId344" w:history="1">
        <w:r w:rsidRPr="00852C9A">
          <w:rPr>
            <w:rStyle w:val="Hyperlink"/>
            <w:i/>
            <w:iCs/>
          </w:rPr>
          <w:t>Interim Guidance on the Use of New Sea-level Rise Projections</w:t>
        </w:r>
      </w:hyperlink>
      <w:r>
        <w:t xml:space="preserve">. Wellington: Ministry for the Environment. </w:t>
      </w:r>
    </w:p>
  </w:footnote>
  <w:footnote w:id="477">
    <w:p w14:paraId="0CDAAEB5" w14:textId="5A80E022" w:rsidR="00EE180C" w:rsidRDefault="00EE180C" w:rsidP="00824977">
      <w:pPr>
        <w:pStyle w:val="FootnoteText"/>
        <w:spacing w:after="40" w:line="230" w:lineRule="atLeast"/>
      </w:pPr>
      <w:r>
        <w:rPr>
          <w:rStyle w:val="FootnoteReference"/>
        </w:rPr>
        <w:footnoteRef/>
      </w:r>
      <w:r>
        <w:t xml:space="preserve"> </w:t>
      </w:r>
      <w:r>
        <w:tab/>
      </w:r>
      <w:hyperlink r:id="rId345" w:history="1">
        <w:r w:rsidR="00EE18CC">
          <w:rPr>
            <w:rStyle w:val="Hyperlink"/>
          </w:rPr>
          <w:t>environment.govt.nz/publications/interim-guidance-on-the-use-of-new-sea-level-rise-projections-quick-reference-guide/</w:t>
        </w:r>
      </w:hyperlink>
      <w:r>
        <w:t xml:space="preserve"> </w:t>
      </w:r>
    </w:p>
  </w:footnote>
  <w:footnote w:id="478">
    <w:p w14:paraId="3C6D09FB" w14:textId="77777777" w:rsidR="00EE180C" w:rsidRDefault="00EE180C" w:rsidP="00824977">
      <w:pPr>
        <w:pStyle w:val="FootnoteText"/>
        <w:spacing w:after="40" w:line="230" w:lineRule="atLeast"/>
      </w:pPr>
      <w:r>
        <w:rPr>
          <w:rStyle w:val="FootnoteReference"/>
        </w:rPr>
        <w:footnoteRef/>
      </w:r>
      <w:r>
        <w:t xml:space="preserve"> </w:t>
      </w:r>
      <w:r>
        <w:tab/>
        <w:t xml:space="preserve">Ministry for the Environment. 2021. </w:t>
      </w:r>
      <w:hyperlink r:id="rId346" w:history="1">
        <w:r w:rsidRPr="00852C9A">
          <w:rPr>
            <w:rStyle w:val="Hyperlink"/>
            <w:i/>
            <w:iCs/>
          </w:rPr>
          <w:t xml:space="preserve">He Kupu </w:t>
        </w:r>
        <w:r w:rsidRPr="00852C9A">
          <w:rPr>
            <w:rStyle w:val="Hyperlink"/>
            <w:rFonts w:cs="Calibri"/>
            <w:i/>
            <w:iCs/>
          </w:rPr>
          <w:t>Ā</w:t>
        </w:r>
        <w:r w:rsidRPr="00852C9A">
          <w:rPr>
            <w:rStyle w:val="Hyperlink"/>
            <w:i/>
            <w:iCs/>
          </w:rPr>
          <w:t xml:space="preserve">rahi mō te Aromatawai Tūraru Huringa </w:t>
        </w:r>
        <w:r w:rsidRPr="00852C9A">
          <w:rPr>
            <w:rStyle w:val="Hyperlink"/>
            <w:rFonts w:cs="Calibri"/>
            <w:i/>
            <w:iCs/>
          </w:rPr>
          <w:t>Ā</w:t>
        </w:r>
        <w:r w:rsidRPr="00852C9A">
          <w:rPr>
            <w:rStyle w:val="Hyperlink"/>
            <w:i/>
            <w:iCs/>
          </w:rPr>
          <w:t xml:space="preserve">huarangi </w:t>
        </w:r>
        <w:r w:rsidRPr="00852C9A">
          <w:rPr>
            <w:rStyle w:val="Hyperlink"/>
            <w:rFonts w:cs="Calibri"/>
            <w:i/>
            <w:iCs/>
          </w:rPr>
          <w:t>Ā</w:t>
        </w:r>
        <w:r w:rsidRPr="00852C9A">
          <w:rPr>
            <w:rStyle w:val="Hyperlink"/>
            <w:i/>
            <w:iCs/>
          </w:rPr>
          <w:t>-rohe: A Guide to Local Climate Change Risk Assessments</w:t>
        </w:r>
      </w:hyperlink>
      <w:r>
        <w:t xml:space="preserve">. Wellington: Ministry for the Environment. </w:t>
      </w:r>
    </w:p>
  </w:footnote>
  <w:footnote w:id="479">
    <w:p w14:paraId="3E24ACD0" w14:textId="77777777" w:rsidR="00EE180C" w:rsidRPr="00602494" w:rsidRDefault="00EE180C" w:rsidP="00824977">
      <w:pPr>
        <w:pStyle w:val="FootnoteText"/>
        <w:spacing w:after="40" w:line="230" w:lineRule="atLeast"/>
        <w:rPr>
          <w:highlight w:val="yellow"/>
        </w:rPr>
      </w:pPr>
      <w:r w:rsidRPr="00ED273B">
        <w:rPr>
          <w:rStyle w:val="FootnoteReference"/>
          <w:rFonts w:eastAsiaTheme="majorEastAsia"/>
          <w:szCs w:val="18"/>
        </w:rPr>
        <w:footnoteRef/>
      </w:r>
      <w:r w:rsidRPr="00ED273B">
        <w:rPr>
          <w:szCs w:val="18"/>
        </w:rPr>
        <w:t xml:space="preserve"> </w:t>
      </w:r>
      <w:r w:rsidRPr="00ED273B">
        <w:rPr>
          <w:szCs w:val="18"/>
        </w:rPr>
        <w:tab/>
      </w:r>
      <w:hyperlink r:id="rId347" w:history="1">
        <w:r w:rsidRPr="00ED273B">
          <w:rPr>
            <w:rStyle w:val="Hyperlink"/>
            <w:rFonts w:eastAsiaTheme="majorEastAsia"/>
            <w:szCs w:val="18"/>
          </w:rPr>
          <w:t>www.mpi.govt.nz/protection-and-response/environment-and-natural-resources/climate-change-and-the-primary-industries/</w:t>
        </w:r>
      </w:hyperlink>
    </w:p>
  </w:footnote>
  <w:footnote w:id="480">
    <w:p w14:paraId="20067E1B" w14:textId="36502923" w:rsidR="00EE180C" w:rsidRPr="00457B03" w:rsidRDefault="00EE180C" w:rsidP="00824977">
      <w:pPr>
        <w:pStyle w:val="FootnoteText"/>
        <w:spacing w:after="40" w:line="230" w:lineRule="atLeast"/>
        <w:rPr>
          <w:rStyle w:val="Hyperlink"/>
          <w:rFonts w:eastAsia="Segoe UI"/>
        </w:rPr>
      </w:pPr>
      <w:r w:rsidRPr="1860C56A">
        <w:rPr>
          <w:rStyle w:val="FootnoteReference"/>
        </w:rPr>
        <w:footnoteRef/>
      </w:r>
      <w:r>
        <w:t xml:space="preserve"> </w:t>
      </w:r>
      <w:r>
        <w:tab/>
      </w:r>
      <w:hyperlink r:id="rId348" w:history="1">
        <w:r w:rsidR="00943645">
          <w:rPr>
            <w:rStyle w:val="Hyperlink"/>
            <w:rFonts w:eastAsia="Segoe UI"/>
          </w:rPr>
          <w:t>www.nzipim.co.nz/Event?Action=View&amp;Event_id=533</w:t>
        </w:r>
      </w:hyperlink>
    </w:p>
  </w:footnote>
  <w:footnote w:id="481">
    <w:p w14:paraId="3420A3C8" w14:textId="547F1931" w:rsidR="00EE180C" w:rsidRPr="00457B03" w:rsidRDefault="00EE180C" w:rsidP="00824977">
      <w:pPr>
        <w:pStyle w:val="FootnoteText"/>
        <w:spacing w:after="40" w:line="230" w:lineRule="atLeast"/>
        <w:rPr>
          <w:rStyle w:val="Hyperlink"/>
          <w:rFonts w:eastAsia="Segoe UI"/>
        </w:rPr>
      </w:pPr>
      <w:r w:rsidRPr="1860C56A">
        <w:rPr>
          <w:rStyle w:val="FootnoteReference"/>
        </w:rPr>
        <w:footnoteRef/>
      </w:r>
      <w:r>
        <w:t xml:space="preserve"> </w:t>
      </w:r>
      <w:r>
        <w:tab/>
      </w:r>
      <w:hyperlink r:id="rId349" w:history="1">
        <w:r w:rsidR="00943645">
          <w:rPr>
            <w:rStyle w:val="Hyperlink"/>
            <w:rFonts w:eastAsia="Segoe UI"/>
          </w:rPr>
          <w:t>www.nzipim.co.nz/</w:t>
        </w:r>
      </w:hyperlink>
      <w:r w:rsidRPr="00457B03">
        <w:rPr>
          <w:rStyle w:val="Hyperlink"/>
          <w:rFonts w:eastAsia="Segoe UI"/>
        </w:rPr>
        <w:t xml:space="preserve"> </w:t>
      </w:r>
    </w:p>
  </w:footnote>
  <w:footnote w:id="482">
    <w:p w14:paraId="6337FE8E" w14:textId="77777777" w:rsidR="00EE180C" w:rsidRDefault="00EE180C" w:rsidP="00824977">
      <w:pPr>
        <w:pStyle w:val="FootnoteText"/>
        <w:spacing w:after="40" w:line="220" w:lineRule="atLeast"/>
      </w:pPr>
      <w:r w:rsidRPr="1860C56A">
        <w:rPr>
          <w:rStyle w:val="FootnoteReference"/>
        </w:rPr>
        <w:footnoteRef/>
      </w:r>
      <w:r>
        <w:t xml:space="preserve"> </w:t>
      </w:r>
      <w:r>
        <w:tab/>
      </w:r>
      <w:r w:rsidRPr="000A52A4">
        <w:rPr>
          <w:rFonts w:eastAsia="Calibri"/>
        </w:rPr>
        <w:t>A small number of rural professionals have attended more than one seminar or workshop, and in some cases have attended both a seminar and a workshop.</w:t>
      </w:r>
      <w:r>
        <w:rPr>
          <w:rFonts w:eastAsia="Calibri"/>
        </w:rPr>
        <w:t xml:space="preserve"> </w:t>
      </w:r>
    </w:p>
  </w:footnote>
  <w:footnote w:id="483">
    <w:p w14:paraId="762D71B0" w14:textId="77777777" w:rsidR="00EE180C" w:rsidRDefault="00EE180C" w:rsidP="00EE180C">
      <w:pPr>
        <w:pStyle w:val="FootnoteText"/>
      </w:pPr>
      <w:r>
        <w:rPr>
          <w:rStyle w:val="FootnoteReference"/>
        </w:rPr>
        <w:footnoteRef/>
      </w:r>
      <w:r>
        <w:t xml:space="preserve"> </w:t>
      </w:r>
      <w:r>
        <w:tab/>
        <w:t>Whakatauk</w:t>
      </w:r>
      <w:r>
        <w:rPr>
          <w:rFonts w:cs="Calibri"/>
        </w:rPr>
        <w:t>ī</w:t>
      </w:r>
      <w:r>
        <w:t xml:space="preserve"> (proverb or saying) represent the wisdom guiding Māori culture.</w:t>
      </w:r>
    </w:p>
  </w:footnote>
  <w:footnote w:id="484">
    <w:p w14:paraId="486F608D" w14:textId="0DA92916" w:rsidR="00EE180C" w:rsidRDefault="00EE180C" w:rsidP="00EE180C">
      <w:pPr>
        <w:pStyle w:val="FootnoteText"/>
      </w:pPr>
      <w:r>
        <w:rPr>
          <w:rStyle w:val="FootnoteReference"/>
        </w:rPr>
        <w:footnoteRef/>
      </w:r>
      <w:r>
        <w:t xml:space="preserve"> </w:t>
      </w:r>
      <w:r>
        <w:tab/>
      </w:r>
      <w:hyperlink r:id="rId350" w:history="1">
        <w:r w:rsidR="00943645">
          <w:rPr>
            <w:rStyle w:val="Hyperlink"/>
          </w:rPr>
          <w:t>environment.govt.nz/what-government-is-doing/areas-of-work/climate-change/he-waka-eke-noa-primary-sector-climate-action-partnership/</w:t>
        </w:r>
      </w:hyperlink>
      <w:r>
        <w:t xml:space="preserve"> </w:t>
      </w:r>
    </w:p>
  </w:footnote>
  <w:footnote w:id="485">
    <w:p w14:paraId="73D7E58C" w14:textId="61173ACF" w:rsidR="00EE180C" w:rsidRDefault="00EE180C" w:rsidP="00EE180C">
      <w:pPr>
        <w:pStyle w:val="FootnoteText"/>
      </w:pPr>
      <w:r>
        <w:rPr>
          <w:rStyle w:val="FootnoteReference"/>
        </w:rPr>
        <w:footnoteRef/>
      </w:r>
      <w:r>
        <w:t xml:space="preserve"> </w:t>
      </w:r>
      <w:r>
        <w:tab/>
      </w:r>
      <w:hyperlink r:id="rId351" w:history="1">
        <w:r w:rsidR="00943645">
          <w:rPr>
            <w:rStyle w:val="Hyperlink"/>
          </w:rPr>
          <w:t>hewakaekenoa.nz/</w:t>
        </w:r>
      </w:hyperlink>
      <w:r>
        <w:t xml:space="preserve"> </w:t>
      </w:r>
    </w:p>
  </w:footnote>
  <w:footnote w:id="486">
    <w:p w14:paraId="3C8E3461" w14:textId="1D9D948F" w:rsidR="00EE180C" w:rsidRDefault="00EE180C" w:rsidP="00EE180C">
      <w:pPr>
        <w:pStyle w:val="FootnoteText"/>
      </w:pPr>
      <w:r>
        <w:rPr>
          <w:rStyle w:val="FootnoteReference"/>
        </w:rPr>
        <w:footnoteRef/>
      </w:r>
      <w:r>
        <w:t xml:space="preserve"> </w:t>
      </w:r>
      <w:r>
        <w:tab/>
      </w:r>
      <w:hyperlink r:id="rId352" w:history="1">
        <w:r w:rsidR="00943645">
          <w:rPr>
            <w:rStyle w:val="Hyperlink"/>
          </w:rPr>
          <w:t>environment.govt.nz/what-you-can-do/agricultural-emissions-calculator/</w:t>
        </w:r>
      </w:hyperlink>
      <w:r>
        <w:t xml:space="preserve"> </w:t>
      </w:r>
    </w:p>
  </w:footnote>
  <w:footnote w:id="487">
    <w:p w14:paraId="367C4548" w14:textId="6B6E6397" w:rsidR="00EE180C" w:rsidRDefault="00EE180C" w:rsidP="00EE180C">
      <w:pPr>
        <w:pStyle w:val="FootnoteText"/>
      </w:pPr>
      <w:r>
        <w:rPr>
          <w:rStyle w:val="FootnoteReference"/>
        </w:rPr>
        <w:footnoteRef/>
      </w:r>
      <w:r>
        <w:t xml:space="preserve"> </w:t>
      </w:r>
      <w:r>
        <w:tab/>
      </w:r>
      <w:hyperlink r:id="rId353" w:history="1">
        <w:r w:rsidR="00943645">
          <w:rPr>
            <w:rStyle w:val="Hyperlink"/>
          </w:rPr>
          <w:t>hewakaekenoa.nz/tools-and-calculators/</w:t>
        </w:r>
      </w:hyperlink>
      <w:r>
        <w:t xml:space="preserve"> </w:t>
      </w:r>
    </w:p>
  </w:footnote>
  <w:footnote w:id="488">
    <w:p w14:paraId="587A9F0A" w14:textId="5953B6CB" w:rsidR="00EE180C" w:rsidRDefault="00EE180C" w:rsidP="00EE180C">
      <w:pPr>
        <w:pStyle w:val="FootnoteText"/>
      </w:pPr>
      <w:r>
        <w:rPr>
          <w:rStyle w:val="FootnoteReference"/>
        </w:rPr>
        <w:footnoteRef/>
      </w:r>
      <w:r>
        <w:t xml:space="preserve"> </w:t>
      </w:r>
      <w:r>
        <w:tab/>
      </w:r>
      <w:hyperlink r:id="rId354" w:history="1">
        <w:r w:rsidR="00943645">
          <w:rPr>
            <w:rStyle w:val="Hyperlink"/>
          </w:rPr>
          <w:t>www.mpi.govt.nz/forestry/</w:t>
        </w:r>
      </w:hyperlink>
      <w:r>
        <w:t xml:space="preserve"> </w:t>
      </w:r>
    </w:p>
  </w:footnote>
  <w:footnote w:id="489">
    <w:p w14:paraId="73343233" w14:textId="7CCF1314" w:rsidR="00EE180C" w:rsidRDefault="00EE180C" w:rsidP="00EE180C">
      <w:pPr>
        <w:pStyle w:val="FootnoteText"/>
      </w:pPr>
      <w:r>
        <w:rPr>
          <w:rStyle w:val="FootnoteReference"/>
        </w:rPr>
        <w:footnoteRef/>
      </w:r>
      <w:r>
        <w:t xml:space="preserve"> </w:t>
      </w:r>
      <w:r>
        <w:tab/>
      </w:r>
      <w:hyperlink r:id="rId355" w:history="1">
        <w:r w:rsidR="00943645">
          <w:rPr>
            <w:rStyle w:val="Hyperlink"/>
          </w:rPr>
          <w:t>www.mpi.govt.nz/forestry/forest-industry-and-workforce/forestry-and-wood-processing-industry-transformation-plan/</w:t>
        </w:r>
      </w:hyperlink>
      <w:r>
        <w:t xml:space="preserve"> </w:t>
      </w:r>
    </w:p>
  </w:footnote>
  <w:footnote w:id="490">
    <w:p w14:paraId="3476BA20" w14:textId="39FEE75E" w:rsidR="00EE180C" w:rsidRDefault="00EE180C" w:rsidP="00EE180C">
      <w:pPr>
        <w:pStyle w:val="FootnoteText"/>
      </w:pPr>
      <w:r>
        <w:rPr>
          <w:rStyle w:val="FootnoteReference"/>
        </w:rPr>
        <w:footnoteRef/>
      </w:r>
      <w:r>
        <w:t xml:space="preserve"> </w:t>
      </w:r>
      <w:r>
        <w:tab/>
      </w:r>
      <w:hyperlink r:id="rId356" w:history="1">
        <w:r w:rsidR="00943645">
          <w:rPr>
            <w:rStyle w:val="Hyperlink"/>
          </w:rPr>
          <w:t>environment.govt.nz/what-you-can-do/environmental-education-resources/</w:t>
        </w:r>
      </w:hyperlink>
      <w:r>
        <w:t xml:space="preserve"> </w:t>
      </w:r>
    </w:p>
  </w:footnote>
  <w:footnote w:id="491">
    <w:p w14:paraId="49CF312B" w14:textId="77777777" w:rsidR="00EE180C" w:rsidRDefault="00EE180C" w:rsidP="00EE180C">
      <w:pPr>
        <w:pStyle w:val="FootnoteText"/>
      </w:pPr>
      <w:r>
        <w:rPr>
          <w:rStyle w:val="FootnoteReference"/>
        </w:rPr>
        <w:footnoteRef/>
      </w:r>
      <w:r>
        <w:t xml:space="preserve"> </w:t>
      </w:r>
      <w:r>
        <w:tab/>
      </w:r>
      <w:r w:rsidRPr="4BA1461B">
        <w:rPr>
          <w:spacing w:val="-1"/>
        </w:rPr>
        <w:t xml:space="preserve">Kura refers to schools </w:t>
      </w:r>
      <w:r w:rsidRPr="00741C87">
        <w:t xml:space="preserve">operating under Māori custom and using te reo Māori </w:t>
      </w:r>
      <w:r>
        <w:t xml:space="preserve">(the Māori language) </w:t>
      </w:r>
      <w:r w:rsidRPr="00741C87">
        <w:t>as the medium of instruction.</w:t>
      </w:r>
    </w:p>
  </w:footnote>
  <w:footnote w:id="492">
    <w:p w14:paraId="2C9E2CC4" w14:textId="77777777" w:rsidR="00EE180C" w:rsidRPr="00C53901" w:rsidRDefault="00EE180C" w:rsidP="00EE180C">
      <w:pPr>
        <w:pStyle w:val="FootnoteText"/>
      </w:pPr>
      <w:r>
        <w:rPr>
          <w:rStyle w:val="FootnoteReference"/>
        </w:rPr>
        <w:footnoteRef/>
      </w:r>
      <w:r>
        <w:t xml:space="preserve"> </w:t>
      </w:r>
      <w:r>
        <w:tab/>
        <w:t xml:space="preserve">Department of Conservation. 2017. </w:t>
      </w:r>
      <w:hyperlink r:id="rId357" w:history="1">
        <w:r w:rsidRPr="004046E0">
          <w:rPr>
            <w:rStyle w:val="Hyperlink"/>
            <w:i/>
            <w:iCs/>
          </w:rPr>
          <w:t>Mātauranga Whakauka Taiao – Environmental Education for Sustainability: Strategy and Action Plan</w:t>
        </w:r>
      </w:hyperlink>
      <w:r>
        <w:t>. Wellington: Department of Conservation.</w:t>
      </w:r>
    </w:p>
  </w:footnote>
  <w:footnote w:id="493">
    <w:p w14:paraId="4B28357E" w14:textId="77777777" w:rsidR="00EE180C" w:rsidRPr="007425A4" w:rsidRDefault="00EE180C" w:rsidP="00EE180C">
      <w:pPr>
        <w:pStyle w:val="FootnoteText"/>
      </w:pPr>
      <w:r w:rsidRPr="007425A4">
        <w:rPr>
          <w:rStyle w:val="FootnoteReference"/>
        </w:rPr>
        <w:footnoteRef/>
      </w:r>
      <w:r w:rsidRPr="007425A4">
        <w:t xml:space="preserve"> </w:t>
      </w:r>
      <w:r w:rsidRPr="007425A4">
        <w:tab/>
        <w:t xml:space="preserve">For further information, see </w:t>
      </w:r>
      <w:hyperlink r:id="rId358" w:history="1">
        <w:r w:rsidRPr="4BA1461B">
          <w:rPr>
            <w:rStyle w:val="Hyperlink"/>
            <w:rFonts w:eastAsiaTheme="majorEastAsia"/>
          </w:rPr>
          <w:t>www.doc.govt.nz/eefs</w:t>
        </w:r>
      </w:hyperlink>
      <w:r w:rsidRPr="4BA1461B">
        <w:rPr>
          <w:rStyle w:val="Hyperlink"/>
          <w:rFonts w:eastAsiaTheme="majorEastAsia"/>
        </w:rPr>
        <w:t xml:space="preserve">. </w:t>
      </w:r>
    </w:p>
  </w:footnote>
  <w:footnote w:id="494">
    <w:p w14:paraId="6098F7E4" w14:textId="46C3241A" w:rsidR="00EE180C" w:rsidRDefault="00EE180C" w:rsidP="00EE180C">
      <w:pPr>
        <w:pStyle w:val="FootnoteText"/>
      </w:pPr>
      <w:r w:rsidRPr="4BA1461B">
        <w:rPr>
          <w:rStyle w:val="FootnoteReference"/>
        </w:rPr>
        <w:footnoteRef/>
      </w:r>
      <w:r>
        <w:t xml:space="preserve"> </w:t>
      </w:r>
      <w:r>
        <w:tab/>
      </w:r>
      <w:hyperlink r:id="rId359" w:anchor="/home" w:history="1">
        <w:r w:rsidR="00943645">
          <w:rPr>
            <w:rStyle w:val="Hyperlink"/>
          </w:rPr>
          <w:t>putatara.education.govt.nz/#/home</w:t>
        </w:r>
      </w:hyperlink>
      <w:r>
        <w:t xml:space="preserve"> </w:t>
      </w:r>
    </w:p>
  </w:footnote>
  <w:footnote w:id="495">
    <w:p w14:paraId="676ACCDA" w14:textId="6F0E1AA3" w:rsidR="00EE180C" w:rsidRDefault="00EE180C" w:rsidP="00EE180C">
      <w:pPr>
        <w:pStyle w:val="FootnoteText"/>
      </w:pPr>
      <w:r>
        <w:rPr>
          <w:rStyle w:val="FootnoteReference"/>
        </w:rPr>
        <w:footnoteRef/>
      </w:r>
      <w:r>
        <w:t xml:space="preserve"> </w:t>
      </w:r>
      <w:r>
        <w:tab/>
      </w:r>
      <w:hyperlink r:id="rId360" w:history="1">
        <w:r w:rsidR="00943645">
          <w:rPr>
            <w:rStyle w:val="Hyperlink"/>
          </w:rPr>
          <w:t>tewhariki.tki.org.nz/</w:t>
        </w:r>
      </w:hyperlink>
      <w:r>
        <w:t xml:space="preserve"> </w:t>
      </w:r>
    </w:p>
  </w:footnote>
  <w:footnote w:id="496">
    <w:p w14:paraId="0741BE09" w14:textId="0F93084A" w:rsidR="00EE180C" w:rsidRDefault="00EE180C" w:rsidP="00EE180C">
      <w:pPr>
        <w:pStyle w:val="FootnoteText"/>
      </w:pPr>
      <w:r>
        <w:rPr>
          <w:rStyle w:val="FootnoteReference"/>
        </w:rPr>
        <w:footnoteRef/>
      </w:r>
      <w:r>
        <w:t xml:space="preserve"> </w:t>
      </w:r>
      <w:r>
        <w:tab/>
      </w:r>
      <w:hyperlink r:id="rId361" w:history="1">
        <w:r w:rsidR="00943645">
          <w:rPr>
            <w:rStyle w:val="Hyperlink"/>
          </w:rPr>
          <w:t>nzcurriculum.tki.org.nz/Curriculum-resources/Education-for-sustainability</w:t>
        </w:r>
      </w:hyperlink>
      <w:r>
        <w:t xml:space="preserve"> </w:t>
      </w:r>
    </w:p>
  </w:footnote>
  <w:footnote w:id="497">
    <w:p w14:paraId="002415E5" w14:textId="30A7A678" w:rsidR="00EE180C" w:rsidRPr="00602494" w:rsidRDefault="00EE180C" w:rsidP="00EE180C">
      <w:pPr>
        <w:pStyle w:val="FootnoteText"/>
        <w:rPr>
          <w:szCs w:val="18"/>
          <w:highlight w:val="yellow"/>
        </w:rPr>
      </w:pPr>
      <w:r w:rsidRPr="00741C87">
        <w:rPr>
          <w:rStyle w:val="FootnoteReference"/>
          <w:rFonts w:eastAsiaTheme="majorEastAsia"/>
          <w:szCs w:val="18"/>
        </w:rPr>
        <w:footnoteRef/>
      </w:r>
      <w:r w:rsidRPr="00994A1C">
        <w:rPr>
          <w:szCs w:val="18"/>
        </w:rPr>
        <w:tab/>
      </w:r>
      <w:hyperlink r:id="rId362" w:history="1">
        <w:r w:rsidR="00943645">
          <w:rPr>
            <w:rStyle w:val="Hyperlink"/>
            <w:szCs w:val="18"/>
          </w:rPr>
          <w:t>toimata.org.nz/</w:t>
        </w:r>
      </w:hyperlink>
      <w:r>
        <w:rPr>
          <w:szCs w:val="18"/>
        </w:rPr>
        <w:t xml:space="preserve"> </w:t>
      </w:r>
    </w:p>
  </w:footnote>
  <w:footnote w:id="498">
    <w:p w14:paraId="0368B5A2" w14:textId="77777777" w:rsidR="00EE180C" w:rsidRDefault="00EE180C" w:rsidP="00EE180C">
      <w:pPr>
        <w:pStyle w:val="FootnoteText"/>
      </w:pPr>
      <w:r w:rsidRPr="4E497C76">
        <w:rPr>
          <w:rStyle w:val="FootnoteReference"/>
        </w:rPr>
        <w:footnoteRef/>
      </w:r>
      <w:r>
        <w:t xml:space="preserve"> </w:t>
      </w:r>
      <w:r>
        <w:tab/>
        <w:t xml:space="preserve">See pages 62–63 of the first emissions reduction plan. Ministry for the Environment. 2022. </w:t>
      </w:r>
      <w:hyperlink r:id="rId363" w:history="1">
        <w:r w:rsidRPr="006F435C">
          <w:rPr>
            <w:rStyle w:val="Hyperlink"/>
            <w:i/>
            <w:iCs/>
          </w:rPr>
          <w:t>Te Hau Mārohi ki Anamata: Towards a Productive, Sustainable and Inclusive Economy: Aotearoa New Zealand’s First Emissions Reduction Plan</w:t>
        </w:r>
      </w:hyperlink>
      <w:r>
        <w:t xml:space="preserve">. Wellington: Ministry for the Environment. </w:t>
      </w:r>
    </w:p>
  </w:footnote>
  <w:footnote w:id="499">
    <w:p w14:paraId="630CA73F" w14:textId="46131AB8" w:rsidR="00EE180C" w:rsidRDefault="00EE180C" w:rsidP="00EE180C">
      <w:pPr>
        <w:pStyle w:val="FootnoteText"/>
      </w:pPr>
      <w:r w:rsidRPr="4E497C76">
        <w:rPr>
          <w:rStyle w:val="FootnoteReference"/>
        </w:rPr>
        <w:footnoteRef/>
      </w:r>
      <w:r>
        <w:t xml:space="preserve"> </w:t>
      </w:r>
      <w:r>
        <w:tab/>
      </w:r>
      <w:hyperlink r:id="rId364" w:history="1">
        <w:r w:rsidR="00943645">
          <w:rPr>
            <w:rStyle w:val="Hyperlink"/>
          </w:rPr>
          <w:t>www.tec.govt.nz/rove/reform-of-vocational-education/</w:t>
        </w:r>
      </w:hyperlink>
      <w:r>
        <w:t xml:space="preserve"> </w:t>
      </w:r>
    </w:p>
  </w:footnote>
  <w:footnote w:id="500">
    <w:p w14:paraId="77790837" w14:textId="5519EF1E" w:rsidR="00EE180C" w:rsidRDefault="00EE180C" w:rsidP="00EE180C">
      <w:pPr>
        <w:pStyle w:val="FootnoteText"/>
        <w:spacing w:after="40"/>
      </w:pPr>
      <w:r w:rsidRPr="4E497C76">
        <w:rPr>
          <w:rStyle w:val="FootnoteReference"/>
        </w:rPr>
        <w:footnoteRef/>
      </w:r>
      <w:r>
        <w:t xml:space="preserve"> </w:t>
      </w:r>
      <w:r>
        <w:tab/>
      </w:r>
      <w:hyperlink r:id="rId365" w:history="1">
        <w:r w:rsidR="00943645">
          <w:rPr>
            <w:rStyle w:val="Hyperlink"/>
          </w:rPr>
          <w:t>xn--tepkenga-szb.ac.nz/news/category/News/competenz-first-tito-to-transition-to-te-pukenga-whanau</w:t>
        </w:r>
      </w:hyperlink>
      <w:r>
        <w:t xml:space="preserve"> </w:t>
      </w:r>
    </w:p>
  </w:footnote>
  <w:footnote w:id="501">
    <w:p w14:paraId="793D285A" w14:textId="434D5151" w:rsidR="00EE180C" w:rsidRDefault="00EE180C" w:rsidP="00EE180C">
      <w:pPr>
        <w:pStyle w:val="FootnoteText"/>
        <w:spacing w:after="40"/>
      </w:pPr>
      <w:r w:rsidRPr="4E497C76">
        <w:rPr>
          <w:rStyle w:val="FootnoteReference"/>
        </w:rPr>
        <w:footnoteRef/>
      </w:r>
      <w:r>
        <w:t xml:space="preserve"> </w:t>
      </w:r>
      <w:r>
        <w:tab/>
      </w:r>
      <w:hyperlink r:id="rId366" w:history="1">
        <w:r w:rsidR="00943645">
          <w:rPr>
            <w:rStyle w:val="Hyperlink"/>
          </w:rPr>
          <w:t>tec.govt.nz/rove/coves/</w:t>
        </w:r>
      </w:hyperlink>
      <w:r>
        <w:t xml:space="preserve"> </w:t>
      </w:r>
    </w:p>
  </w:footnote>
  <w:footnote w:id="502">
    <w:p w14:paraId="3A4206FF" w14:textId="0EFCD0B6" w:rsidR="00EE180C" w:rsidRDefault="00EE180C" w:rsidP="00EE180C">
      <w:pPr>
        <w:pStyle w:val="FootnoteText"/>
      </w:pPr>
      <w:r w:rsidRPr="4E497C76">
        <w:rPr>
          <w:rStyle w:val="FootnoteReference"/>
        </w:rPr>
        <w:footnoteRef/>
      </w:r>
      <w:r>
        <w:t xml:space="preserve"> </w:t>
      </w:r>
      <w:r>
        <w:tab/>
      </w:r>
      <w:hyperlink r:id="rId367" w:history="1">
        <w:r w:rsidR="00943645">
          <w:rPr>
            <w:rStyle w:val="Hyperlink"/>
          </w:rPr>
          <w:t>www.workandincome.govt.nz/employers/subsidies-training-and-other-help/apprenticeship-boost/index.html</w:t>
        </w:r>
      </w:hyperlink>
      <w:r>
        <w:t xml:space="preserve"> </w:t>
      </w:r>
    </w:p>
  </w:footnote>
  <w:footnote w:id="503">
    <w:p w14:paraId="121339AF" w14:textId="1A47310B" w:rsidR="00EE180C" w:rsidRDefault="00EE180C" w:rsidP="00EE180C">
      <w:pPr>
        <w:pStyle w:val="FootnoteText"/>
      </w:pPr>
      <w:r w:rsidRPr="4E497C76">
        <w:rPr>
          <w:rStyle w:val="FootnoteReference"/>
        </w:rPr>
        <w:footnoteRef/>
      </w:r>
      <w:r>
        <w:t xml:space="preserve"> </w:t>
      </w:r>
      <w:r>
        <w:tab/>
      </w:r>
      <w:hyperlink r:id="rId368" w:history="1">
        <w:r w:rsidR="00943645">
          <w:rPr>
            <w:rStyle w:val="Hyperlink"/>
          </w:rPr>
          <w:t>www.tec.govt.nz/funding/funding-and-performance/funding/fund-finder/targeted-training-and-apprenticeship-fund/</w:t>
        </w:r>
      </w:hyperlink>
      <w:r>
        <w:t xml:space="preserve"> </w:t>
      </w:r>
    </w:p>
  </w:footnote>
  <w:footnote w:id="504">
    <w:p w14:paraId="0698A846" w14:textId="77777777" w:rsidR="00EE180C" w:rsidRDefault="00EE180C" w:rsidP="00EE180C">
      <w:pPr>
        <w:pStyle w:val="FootnoteText"/>
      </w:pPr>
      <w:r w:rsidRPr="4E497C76">
        <w:rPr>
          <w:rStyle w:val="FootnoteReference"/>
        </w:rPr>
        <w:footnoteRef/>
      </w:r>
      <w:r>
        <w:t xml:space="preserve"> </w:t>
      </w:r>
      <w:r>
        <w:tab/>
        <w:t>See page 49 of the first emissions reduction plan.</w:t>
      </w:r>
      <w:r w:rsidRPr="00F81E2F">
        <w:t xml:space="preserve"> </w:t>
      </w:r>
      <w:r>
        <w:t xml:space="preserve">Ministry for the Environment. 2022. </w:t>
      </w:r>
      <w:hyperlink r:id="rId369" w:history="1">
        <w:r w:rsidRPr="00DB1274">
          <w:rPr>
            <w:rStyle w:val="Hyperlink"/>
            <w:i/>
            <w:iCs/>
          </w:rPr>
          <w:t xml:space="preserve">Te Hau </w:t>
        </w:r>
        <w:r w:rsidRPr="00DB1274">
          <w:rPr>
            <w:rStyle w:val="Hyperlink"/>
            <w:rFonts w:cs="Calibri"/>
            <w:i/>
            <w:iCs/>
          </w:rPr>
          <w:t>Ā</w:t>
        </w:r>
        <w:r w:rsidRPr="00DB1274">
          <w:rPr>
            <w:rStyle w:val="Hyperlink"/>
            <w:i/>
            <w:iCs/>
          </w:rPr>
          <w:t>rohi ki Anamata: Towards a Productive, Sustainable and Inclusive Economy: Aotearoa New Zealand’s First Emissions Reduction Plan</w:t>
        </w:r>
      </w:hyperlink>
      <w:r>
        <w:t xml:space="preserve">. Wellington: Ministry for the Environment. </w:t>
      </w:r>
    </w:p>
  </w:footnote>
  <w:footnote w:id="505">
    <w:p w14:paraId="297C33AA" w14:textId="77777777" w:rsidR="00EE180C" w:rsidRPr="001A0AF1" w:rsidRDefault="00EE180C" w:rsidP="00EE180C">
      <w:pPr>
        <w:pStyle w:val="FootnoteText"/>
        <w:rPr>
          <w:lang w:val="en-US"/>
        </w:rPr>
      </w:pPr>
      <w:r>
        <w:rPr>
          <w:rStyle w:val="FootnoteReference"/>
        </w:rPr>
        <w:footnoteRef/>
      </w:r>
      <w:r>
        <w:t xml:space="preserve"> </w:t>
      </w:r>
      <w:r>
        <w:rPr>
          <w:lang w:val="en-US"/>
        </w:rPr>
        <w:tab/>
        <w:t xml:space="preserve">‘Kaupapa’ – </w:t>
      </w:r>
      <w:r w:rsidRPr="00A00428">
        <w:t>Māori approach, topic, customary practice, institution, agenda, principles, ideology</w:t>
      </w:r>
      <w:r>
        <w:t>,</w:t>
      </w:r>
      <w:r w:rsidRPr="00A00428">
        <w:t xml:space="preserve"> a philosophical doctrine incorporating the knowledge, skills, attitudes and values of Māori society</w:t>
      </w:r>
      <w:r>
        <w:t>; ‘whakapapa’ – g</w:t>
      </w:r>
      <w:r w:rsidRPr="00A9323F">
        <w:t>enealogy, genealogical table, lineage, descent</w:t>
      </w:r>
      <w:r>
        <w:t>; ‘</w:t>
      </w:r>
      <w:r w:rsidRPr="008D13F5">
        <w:rPr>
          <w:lang w:val="en-US"/>
        </w:rPr>
        <w:t>wairua</w:t>
      </w:r>
      <w:r>
        <w:rPr>
          <w:lang w:val="en-US"/>
        </w:rPr>
        <w:t>’ – s</w:t>
      </w:r>
      <w:r w:rsidRPr="00166C27">
        <w:t>pirit, soul</w:t>
      </w:r>
      <w:r>
        <w:t>; ‘</w:t>
      </w:r>
      <w:r w:rsidRPr="008D13F5">
        <w:rPr>
          <w:lang w:val="en-US"/>
        </w:rPr>
        <w:t>mana</w:t>
      </w:r>
      <w:r>
        <w:rPr>
          <w:lang w:val="en-US"/>
        </w:rPr>
        <w:t>’ –</w:t>
      </w:r>
      <w:r w:rsidRPr="00A64E77">
        <w:t xml:space="preserve"> </w:t>
      </w:r>
      <w:r>
        <w:t>p</w:t>
      </w:r>
      <w:r w:rsidRPr="00A00428">
        <w:t>restige, authority, control, power, influence, status, spiritual power, charisma</w:t>
      </w:r>
      <w:r>
        <w:t>;</w:t>
      </w:r>
      <w:r w:rsidRPr="008D13F5">
        <w:rPr>
          <w:lang w:val="en-US"/>
        </w:rPr>
        <w:t xml:space="preserve"> </w:t>
      </w:r>
      <w:r>
        <w:rPr>
          <w:lang w:val="en-US"/>
        </w:rPr>
        <w:t>‘</w:t>
      </w:r>
      <w:r w:rsidRPr="008D13F5">
        <w:rPr>
          <w:lang w:val="en-US"/>
        </w:rPr>
        <w:t>māramatanga</w:t>
      </w:r>
      <w:r>
        <w:rPr>
          <w:lang w:val="en-US"/>
        </w:rPr>
        <w:t>’ – e</w:t>
      </w:r>
      <w:r w:rsidRPr="00C33D10">
        <w:t>nlightenment, clarity, understanding</w:t>
      </w:r>
      <w:r>
        <w:t>;</w:t>
      </w:r>
      <w:r w:rsidRPr="008D13F5">
        <w:rPr>
          <w:lang w:val="en-US"/>
        </w:rPr>
        <w:t xml:space="preserve"> </w:t>
      </w:r>
      <w:r>
        <w:rPr>
          <w:lang w:val="en-US"/>
        </w:rPr>
        <w:t>‘</w:t>
      </w:r>
      <w:r w:rsidRPr="008D13F5">
        <w:rPr>
          <w:lang w:val="en-US"/>
        </w:rPr>
        <w:t>mauri</w:t>
      </w:r>
      <w:r>
        <w:rPr>
          <w:lang w:val="en-US"/>
        </w:rPr>
        <w:t>’ – l</w:t>
      </w:r>
      <w:r w:rsidRPr="00A00428">
        <w:t xml:space="preserve">ife principle, life force, </w:t>
      </w:r>
      <w:r w:rsidRPr="004E1CDE">
        <w:t>vital</w:t>
      </w:r>
      <w:r w:rsidRPr="00A00428">
        <w:t xml:space="preserve"> essence, special nature, a material symbol of a life principle, source of emotions – the essential quality and vitality of a being or entity</w:t>
      </w:r>
      <w:r>
        <w:t>,</w:t>
      </w:r>
      <w:r w:rsidRPr="00A00428">
        <w:t xml:space="preserve"> </w:t>
      </w:r>
      <w:r>
        <w:t>a</w:t>
      </w:r>
      <w:r w:rsidRPr="00A00428">
        <w:t>lso used for a physical object, individual, ecosystem or social group in which this essence is located</w:t>
      </w:r>
      <w:r>
        <w:t>;</w:t>
      </w:r>
      <w:r w:rsidRPr="008D13F5">
        <w:rPr>
          <w:lang w:val="en-US"/>
        </w:rPr>
        <w:t xml:space="preserve"> </w:t>
      </w:r>
      <w:r>
        <w:rPr>
          <w:lang w:val="en-US"/>
        </w:rPr>
        <w:t>‘</w:t>
      </w:r>
      <w:r w:rsidRPr="008D13F5">
        <w:rPr>
          <w:lang w:val="en-US"/>
        </w:rPr>
        <w:t>te ao tūroa</w:t>
      </w:r>
      <w:r>
        <w:rPr>
          <w:lang w:val="en-US"/>
        </w:rPr>
        <w:t xml:space="preserve">’ – </w:t>
      </w:r>
      <w:r>
        <w:rPr>
          <w:szCs w:val="20"/>
        </w:rPr>
        <w:t>t</w:t>
      </w:r>
      <w:r w:rsidRPr="00C33D10">
        <w:rPr>
          <w:szCs w:val="20"/>
        </w:rPr>
        <w:t>he natural world, the enduring world.</w:t>
      </w:r>
    </w:p>
  </w:footnote>
  <w:footnote w:id="506">
    <w:p w14:paraId="1CD6B702" w14:textId="4C5C5F62" w:rsidR="00EE180C" w:rsidRPr="00282EF6" w:rsidRDefault="00EE180C" w:rsidP="001B3A1B">
      <w:pPr>
        <w:pStyle w:val="FootnoteText"/>
        <w:spacing w:after="40"/>
      </w:pPr>
      <w:r w:rsidRPr="00282EF6">
        <w:rPr>
          <w:rStyle w:val="FootnoteReference"/>
        </w:rPr>
        <w:footnoteRef/>
      </w:r>
      <w:r w:rsidRPr="00403AEA">
        <w:tab/>
        <w:t xml:space="preserve">The </w:t>
      </w:r>
      <w:r w:rsidRPr="00282EF6">
        <w:t>Iwi Chair</w:t>
      </w:r>
      <w:r>
        <w:t xml:space="preserve">s </w:t>
      </w:r>
      <w:r w:rsidRPr="00403AEA">
        <w:t xml:space="preserve">Forum is a platform for sharing knowledge and information between the tangata whenua (people of the land – the indigenous people) of Aotearoa. See </w:t>
      </w:r>
      <w:hyperlink r:id="rId370" w:history="1">
        <w:r w:rsidR="00943645">
          <w:rPr>
            <w:rStyle w:val="Hyperlink"/>
          </w:rPr>
          <w:t>iwichairs.maori.nz</w:t>
        </w:r>
      </w:hyperlink>
      <w:r w:rsidRPr="00282EF6">
        <w:t>.</w:t>
      </w:r>
    </w:p>
  </w:footnote>
  <w:footnote w:id="507">
    <w:p w14:paraId="74378EAE" w14:textId="4FF3F48E" w:rsidR="00EE180C" w:rsidRDefault="00EE180C" w:rsidP="001B3A1B">
      <w:pPr>
        <w:pStyle w:val="FootnoteText"/>
        <w:spacing w:after="40"/>
      </w:pPr>
      <w:r>
        <w:rPr>
          <w:rStyle w:val="FootnoteReference"/>
        </w:rPr>
        <w:footnoteRef/>
      </w:r>
      <w:r>
        <w:t xml:space="preserve"> </w:t>
      </w:r>
      <w:r>
        <w:tab/>
      </w:r>
      <w:hyperlink r:id="rId371" w:history="1">
        <w:r w:rsidR="00943645">
          <w:rPr>
            <w:rStyle w:val="Hyperlink"/>
          </w:rPr>
          <w:t>deepsouthchallenge.co.nz/</w:t>
        </w:r>
      </w:hyperlink>
      <w:r>
        <w:t xml:space="preserve"> </w:t>
      </w:r>
    </w:p>
  </w:footnote>
  <w:footnote w:id="508">
    <w:p w14:paraId="1269A9F1" w14:textId="5C006253" w:rsidR="00EE180C" w:rsidRDefault="00EE180C" w:rsidP="00EE180C">
      <w:pPr>
        <w:pStyle w:val="FootnoteText"/>
      </w:pPr>
      <w:r>
        <w:rPr>
          <w:rStyle w:val="FootnoteReference"/>
        </w:rPr>
        <w:footnoteRef/>
      </w:r>
      <w:r>
        <w:t xml:space="preserve"> </w:t>
      </w:r>
      <w:r>
        <w:tab/>
      </w:r>
      <w:hyperlink r:id="rId372" w:history="1">
        <w:r w:rsidR="001B3A1B">
          <w:rPr>
            <w:rStyle w:val="Hyperlink"/>
          </w:rPr>
          <w:t>deepsouthchallenge.co.nz/resource/2019-conference-panel-he-wai-ora-water-in-our-changing-climate</w:t>
        </w:r>
      </w:hyperlink>
      <w:r>
        <w:t xml:space="preserve"> </w:t>
      </w:r>
    </w:p>
  </w:footnote>
  <w:footnote w:id="509">
    <w:p w14:paraId="7AA9386C" w14:textId="7AF2ED3A" w:rsidR="00EE180C" w:rsidRDefault="00EE180C" w:rsidP="00EE180C">
      <w:pPr>
        <w:pStyle w:val="FootnoteText"/>
      </w:pPr>
      <w:r>
        <w:rPr>
          <w:rStyle w:val="FootnoteReference"/>
        </w:rPr>
        <w:footnoteRef/>
      </w:r>
      <w:r>
        <w:t xml:space="preserve"> </w:t>
      </w:r>
      <w:r>
        <w:tab/>
      </w:r>
      <w:hyperlink r:id="rId373" w:history="1">
        <w:r w:rsidR="005168E1">
          <w:rPr>
            <w:rStyle w:val="Hyperlink"/>
          </w:rPr>
          <w:t>www.wgtn.ac.nz/igps</w:t>
        </w:r>
      </w:hyperlink>
      <w:r>
        <w:t xml:space="preserve"> </w:t>
      </w:r>
    </w:p>
  </w:footnote>
  <w:footnote w:id="510">
    <w:p w14:paraId="48E67814" w14:textId="7DC5991B" w:rsidR="00EE180C" w:rsidRDefault="00EE180C" w:rsidP="00EE180C">
      <w:pPr>
        <w:pStyle w:val="FootnoteText"/>
      </w:pPr>
      <w:r>
        <w:rPr>
          <w:rStyle w:val="FootnoteReference"/>
        </w:rPr>
        <w:footnoteRef/>
      </w:r>
      <w:r>
        <w:t xml:space="preserve"> </w:t>
      </w:r>
      <w:r>
        <w:tab/>
      </w:r>
      <w:hyperlink r:id="rId374" w:history="1">
        <w:r w:rsidR="005168E1">
          <w:rPr>
            <w:rStyle w:val="Hyperlink"/>
          </w:rPr>
          <w:t>www.motu.nz/</w:t>
        </w:r>
      </w:hyperlink>
      <w:r>
        <w:t xml:space="preserve"> </w:t>
      </w:r>
    </w:p>
  </w:footnote>
  <w:footnote w:id="511">
    <w:p w14:paraId="4C996005" w14:textId="06C04B6F" w:rsidR="00EE180C" w:rsidRDefault="00EE180C" w:rsidP="00EE180C">
      <w:pPr>
        <w:pStyle w:val="FootnoteText"/>
      </w:pPr>
      <w:r>
        <w:rPr>
          <w:rStyle w:val="FootnoteReference"/>
        </w:rPr>
        <w:footnoteRef/>
      </w:r>
      <w:r>
        <w:t xml:space="preserve"> </w:t>
      </w:r>
      <w:r>
        <w:tab/>
      </w:r>
      <w:hyperlink r:id="rId375" w:history="1">
        <w:r w:rsidR="005168E1">
          <w:rPr>
            <w:rStyle w:val="Hyperlink"/>
          </w:rPr>
          <w:t>www.motu.nz/resources/newsletters/</w:t>
        </w:r>
      </w:hyperlink>
      <w:r>
        <w:t xml:space="preserve"> </w:t>
      </w:r>
    </w:p>
  </w:footnote>
  <w:footnote w:id="512">
    <w:p w14:paraId="330587F8" w14:textId="0000ECCD" w:rsidR="00EE180C" w:rsidRDefault="00EE180C" w:rsidP="00EE180C">
      <w:pPr>
        <w:pStyle w:val="FootnoteText"/>
      </w:pPr>
      <w:r>
        <w:rPr>
          <w:rStyle w:val="FootnoteReference"/>
        </w:rPr>
        <w:footnoteRef/>
      </w:r>
      <w:r>
        <w:t xml:space="preserve"> </w:t>
      </w:r>
      <w:r>
        <w:tab/>
      </w:r>
      <w:hyperlink r:id="rId376" w:history="1">
        <w:r w:rsidR="005168E1">
          <w:rPr>
            <w:rStyle w:val="Hyperlink"/>
          </w:rPr>
          <w:t>www.motu.nz/resources/teaching-resources/</w:t>
        </w:r>
      </w:hyperlink>
      <w:r>
        <w:t xml:space="preserve"> </w:t>
      </w:r>
    </w:p>
  </w:footnote>
  <w:footnote w:id="513">
    <w:p w14:paraId="763DFB00" w14:textId="4F88B120" w:rsidR="00EE180C" w:rsidRPr="00602494" w:rsidRDefault="00EE180C" w:rsidP="00EE180C">
      <w:pPr>
        <w:pStyle w:val="FootnoteText"/>
        <w:rPr>
          <w:highlight w:val="yellow"/>
        </w:rPr>
      </w:pPr>
      <w:r w:rsidRPr="004C43B4">
        <w:rPr>
          <w:rStyle w:val="FootnoteReference"/>
        </w:rPr>
        <w:footnoteRef/>
      </w:r>
      <w:r w:rsidRPr="004C43B4">
        <w:t xml:space="preserve"> </w:t>
      </w:r>
      <w:r w:rsidRPr="004C43B4">
        <w:tab/>
      </w:r>
      <w:hyperlink r:id="rId377" w:history="1">
        <w:r w:rsidR="005168E1" w:rsidRPr="005168E1">
          <w:rPr>
            <w:rStyle w:val="Hyperlink"/>
          </w:rPr>
          <w:t>motu.nz/find-publications</w:t>
        </w:r>
      </w:hyperlink>
      <w:r w:rsidRPr="4BA1461B">
        <w:rPr>
          <w:rStyle w:val="Hyperlink"/>
          <w:rFonts w:eastAsiaTheme="majorEastAsia"/>
        </w:rPr>
        <w:t xml:space="preserve"> </w:t>
      </w:r>
    </w:p>
  </w:footnote>
  <w:footnote w:id="514">
    <w:p w14:paraId="42D31AE6" w14:textId="2F11772A" w:rsidR="00EE180C" w:rsidRPr="00602494" w:rsidRDefault="00EE180C" w:rsidP="00EE180C">
      <w:pPr>
        <w:pStyle w:val="FootnoteText"/>
        <w:rPr>
          <w:highlight w:val="yellow"/>
        </w:rPr>
      </w:pPr>
      <w:r w:rsidRPr="00152876">
        <w:rPr>
          <w:rStyle w:val="FootnoteReference"/>
        </w:rPr>
        <w:footnoteRef/>
      </w:r>
      <w:r w:rsidRPr="00152876">
        <w:t xml:space="preserve"> </w:t>
      </w:r>
      <w:r w:rsidRPr="00152876">
        <w:tab/>
      </w:r>
      <w:hyperlink r:id="rId378" w:history="1">
        <w:r w:rsidR="005168E1">
          <w:rPr>
            <w:rStyle w:val="Hyperlink"/>
          </w:rPr>
          <w:t>www.niwa.co.nz/climate/information-and-resources</w:t>
        </w:r>
      </w:hyperlink>
    </w:p>
  </w:footnote>
  <w:footnote w:id="515">
    <w:p w14:paraId="37BBB29C" w14:textId="3DE99005" w:rsidR="00EE180C" w:rsidRDefault="00EE180C" w:rsidP="00EE180C">
      <w:pPr>
        <w:pStyle w:val="FootnoteText"/>
      </w:pPr>
      <w:r>
        <w:rPr>
          <w:rStyle w:val="FootnoteReference"/>
        </w:rPr>
        <w:footnoteRef/>
      </w:r>
      <w:r>
        <w:t xml:space="preserve"> </w:t>
      </w:r>
      <w:r>
        <w:tab/>
      </w:r>
      <w:hyperlink r:id="rId379" w:history="1">
        <w:r w:rsidR="005168E1">
          <w:rPr>
            <w:rStyle w:val="Hyperlink"/>
          </w:rPr>
          <w:t>niwa.co.nz/education-and-training</w:t>
        </w:r>
      </w:hyperlink>
      <w:r>
        <w:t xml:space="preserve"> </w:t>
      </w:r>
    </w:p>
  </w:footnote>
  <w:footnote w:id="516">
    <w:p w14:paraId="36BFE855" w14:textId="155E10C9" w:rsidR="00EE180C" w:rsidRDefault="00EE180C" w:rsidP="00EE180C">
      <w:pPr>
        <w:pStyle w:val="FootnoteText"/>
      </w:pPr>
      <w:r>
        <w:rPr>
          <w:rStyle w:val="FootnoteReference"/>
        </w:rPr>
        <w:footnoteRef/>
      </w:r>
      <w:r>
        <w:t xml:space="preserve"> </w:t>
      </w:r>
      <w:r>
        <w:tab/>
      </w:r>
      <w:hyperlink r:id="rId380" w:history="1">
        <w:r w:rsidR="005168E1">
          <w:rPr>
            <w:rStyle w:val="Hyperlink"/>
          </w:rPr>
          <w:t>www.mbie.govt.nz/science-and-technology/science-and-innovation/funding-information-and-opportunities/investment-funds/endeavour-fund/</w:t>
        </w:r>
      </w:hyperlink>
      <w:r>
        <w:t xml:space="preserve"> </w:t>
      </w:r>
    </w:p>
  </w:footnote>
  <w:footnote w:id="517">
    <w:p w14:paraId="7B40E0AA" w14:textId="203B0757" w:rsidR="00EE180C" w:rsidRDefault="00EE180C" w:rsidP="00EE180C">
      <w:pPr>
        <w:pStyle w:val="FootnoteText"/>
      </w:pPr>
      <w:r>
        <w:rPr>
          <w:rStyle w:val="FootnoteReference"/>
        </w:rPr>
        <w:footnoteRef/>
      </w:r>
      <w:r>
        <w:t xml:space="preserve"> </w:t>
      </w:r>
      <w:r>
        <w:tab/>
      </w:r>
      <w:hyperlink r:id="rId381" w:history="1">
        <w:r w:rsidR="005168E1">
          <w:rPr>
            <w:rStyle w:val="Hyperlink"/>
          </w:rPr>
          <w:t>www.mbie.govt.nz/science-and-technology/science-and-innovation/funding-information-and-opportunities/investment-funds/endeavour-fund/success-stories/past-rounds/2019-endeavour-fund-successful-proposals/</w:t>
        </w:r>
      </w:hyperlink>
      <w:r>
        <w:t xml:space="preserve"> </w:t>
      </w:r>
    </w:p>
  </w:footnote>
  <w:footnote w:id="518">
    <w:p w14:paraId="02F7C728" w14:textId="77777777" w:rsidR="00EE180C" w:rsidRPr="001A0AF1" w:rsidRDefault="00EE180C" w:rsidP="00EE180C">
      <w:pPr>
        <w:pStyle w:val="FootnoteText"/>
        <w:rPr>
          <w:lang w:val="en-US"/>
        </w:rPr>
      </w:pPr>
      <w:r>
        <w:rPr>
          <w:rStyle w:val="FootnoteReference"/>
        </w:rPr>
        <w:footnoteRef/>
      </w:r>
      <w:r>
        <w:t xml:space="preserve"> </w:t>
      </w:r>
      <w:r>
        <w:rPr>
          <w:lang w:val="en-US"/>
        </w:rPr>
        <w:tab/>
      </w:r>
      <w:r w:rsidRPr="00DD2B5C">
        <w:rPr>
          <w:lang w:val="en-US"/>
        </w:rPr>
        <w:t>Tribe, large group descended from a common ancestor</w:t>
      </w:r>
      <w:r>
        <w:rPr>
          <w:lang w:val="en-US"/>
        </w:rPr>
        <w:t>.</w:t>
      </w:r>
    </w:p>
  </w:footnote>
  <w:footnote w:id="519">
    <w:p w14:paraId="76A0047F" w14:textId="1A8732A2" w:rsidR="00EE180C" w:rsidRDefault="00EE180C" w:rsidP="00EE180C">
      <w:pPr>
        <w:pStyle w:val="FootnoteText"/>
      </w:pPr>
      <w:r>
        <w:rPr>
          <w:rStyle w:val="FootnoteReference"/>
        </w:rPr>
        <w:footnoteRef/>
      </w:r>
      <w:r>
        <w:t xml:space="preserve"> </w:t>
      </w:r>
      <w:r>
        <w:tab/>
      </w:r>
      <w:hyperlink r:id="rId382" w:history="1">
        <w:r w:rsidR="005168E1">
          <w:rPr>
            <w:rStyle w:val="Hyperlink"/>
          </w:rPr>
          <w:t>www.mbie.govt.nz/science-and-technology/science-and-innovation/research-and-data/te-ara-paerangi-future-pathways/</w:t>
        </w:r>
      </w:hyperlink>
      <w:r>
        <w:t xml:space="preserve"> </w:t>
      </w:r>
    </w:p>
  </w:footnote>
  <w:footnote w:id="520">
    <w:p w14:paraId="73D97A77" w14:textId="1DA17535" w:rsidR="00EE180C" w:rsidRDefault="00EE180C" w:rsidP="00EE180C">
      <w:pPr>
        <w:pStyle w:val="FootnoteText"/>
      </w:pPr>
      <w:r>
        <w:rPr>
          <w:rStyle w:val="FootnoteReference"/>
        </w:rPr>
        <w:footnoteRef/>
      </w:r>
      <w:r>
        <w:t xml:space="preserve"> </w:t>
      </w:r>
      <w:r>
        <w:tab/>
      </w:r>
      <w:hyperlink r:id="rId383" w:history="1">
        <w:r w:rsidR="00CD7DF0">
          <w:rPr>
            <w:rStyle w:val="Hyperlink"/>
          </w:rPr>
          <w:t>www.mbie.govt.nz/science-and-technology/science-and-innovation/agencies-policies-and-budget-initiatives/vision-matauranga-policy/</w:t>
        </w:r>
      </w:hyperlink>
      <w:r>
        <w:t xml:space="preserve"> </w:t>
      </w:r>
    </w:p>
  </w:footnote>
  <w:footnote w:id="521">
    <w:p w14:paraId="793C2196" w14:textId="4064E5C6" w:rsidR="00EE180C" w:rsidRPr="00602494" w:rsidRDefault="00EE180C" w:rsidP="00EE180C">
      <w:pPr>
        <w:pStyle w:val="FootnoteText"/>
        <w:rPr>
          <w:highlight w:val="yellow"/>
        </w:rPr>
      </w:pPr>
      <w:r w:rsidRPr="002B596E">
        <w:rPr>
          <w:rStyle w:val="FootnoteReference"/>
          <w:rFonts w:eastAsiaTheme="majorEastAsia"/>
        </w:rPr>
        <w:footnoteRef/>
      </w:r>
      <w:r w:rsidRPr="002B596E">
        <w:t xml:space="preserve"> </w:t>
      </w:r>
      <w:r w:rsidRPr="002B596E">
        <w:tab/>
      </w:r>
      <w:hyperlink r:id="rId384" w:history="1">
        <w:r w:rsidR="00CD7DF0">
          <w:rPr>
            <w:rStyle w:val="Hyperlink"/>
          </w:rPr>
          <w:t>www.nzagrc.org.nz</w:t>
        </w:r>
      </w:hyperlink>
    </w:p>
  </w:footnote>
  <w:footnote w:id="522">
    <w:p w14:paraId="12E16929" w14:textId="389D2E43" w:rsidR="00EE180C" w:rsidRDefault="00EE180C" w:rsidP="00EE180C">
      <w:pPr>
        <w:pStyle w:val="FootnoteText"/>
      </w:pPr>
      <w:r>
        <w:rPr>
          <w:rStyle w:val="FootnoteReference"/>
        </w:rPr>
        <w:footnoteRef/>
      </w:r>
      <w:r>
        <w:t xml:space="preserve"> </w:t>
      </w:r>
      <w:r>
        <w:tab/>
      </w:r>
      <w:hyperlink r:id="rId385" w:history="1">
        <w:r w:rsidR="00CD7DF0">
          <w:rPr>
            <w:rStyle w:val="Hyperlink"/>
          </w:rPr>
          <w:t>www.agmatters.nz</w:t>
        </w:r>
      </w:hyperlink>
      <w:r>
        <w:t xml:space="preserve"> </w:t>
      </w:r>
    </w:p>
  </w:footnote>
  <w:footnote w:id="523">
    <w:p w14:paraId="6C8C127F" w14:textId="77554603" w:rsidR="00EE180C" w:rsidRDefault="00EE180C" w:rsidP="00EE180C">
      <w:pPr>
        <w:pStyle w:val="FootnoteText"/>
      </w:pPr>
      <w:r w:rsidRPr="7C30DCB9">
        <w:rPr>
          <w:rStyle w:val="FootnoteReference"/>
        </w:rPr>
        <w:footnoteRef/>
      </w:r>
      <w:r>
        <w:t xml:space="preserve"> </w:t>
      </w:r>
      <w:r>
        <w:tab/>
      </w:r>
      <w:hyperlink r:id="rId386" w:history="1">
        <w:r w:rsidR="00CD7DF0">
          <w:rPr>
            <w:rStyle w:val="Hyperlink"/>
          </w:rPr>
          <w:t>www.nzagrc.org.nz/publications</w:t>
        </w:r>
      </w:hyperlink>
    </w:p>
  </w:footnote>
  <w:footnote w:id="524">
    <w:p w14:paraId="54AE92B6" w14:textId="475196AC" w:rsidR="00EE180C" w:rsidRDefault="00EE180C" w:rsidP="00EE180C">
      <w:pPr>
        <w:pStyle w:val="FootnoteText"/>
      </w:pPr>
      <w:r>
        <w:rPr>
          <w:rStyle w:val="FootnoteReference"/>
        </w:rPr>
        <w:footnoteRef/>
      </w:r>
      <w:r>
        <w:t xml:space="preserve"> </w:t>
      </w:r>
      <w:r>
        <w:tab/>
      </w:r>
      <w:hyperlink r:id="rId387" w:history="1">
        <w:r w:rsidR="00CD7DF0">
          <w:rPr>
            <w:rStyle w:val="Hyperlink"/>
          </w:rPr>
          <w:t>www.royalsociety.org.nz/</w:t>
        </w:r>
      </w:hyperlink>
      <w:r>
        <w:t xml:space="preserve"> </w:t>
      </w:r>
    </w:p>
  </w:footnote>
  <w:footnote w:id="525">
    <w:p w14:paraId="483F44A1" w14:textId="4B6810B5" w:rsidR="00EE180C" w:rsidRPr="00602494" w:rsidRDefault="00EE180C" w:rsidP="00EE180C">
      <w:pPr>
        <w:pStyle w:val="FootnoteText"/>
        <w:rPr>
          <w:szCs w:val="18"/>
          <w:highlight w:val="yellow"/>
        </w:rPr>
      </w:pPr>
      <w:r w:rsidRPr="00641CDD">
        <w:rPr>
          <w:rStyle w:val="FootnoteReference"/>
          <w:rFonts w:eastAsiaTheme="majorEastAsia"/>
          <w:szCs w:val="18"/>
        </w:rPr>
        <w:footnoteRef/>
      </w:r>
      <w:r w:rsidRPr="00641CDD">
        <w:rPr>
          <w:szCs w:val="18"/>
        </w:rPr>
        <w:t xml:space="preserve"> </w:t>
      </w:r>
      <w:r w:rsidRPr="00641CDD">
        <w:rPr>
          <w:szCs w:val="18"/>
        </w:rPr>
        <w:tab/>
      </w:r>
      <w:hyperlink r:id="rId388" w:history="1">
        <w:r w:rsidR="00CD7DF0">
          <w:rPr>
            <w:rStyle w:val="Hyperlink"/>
            <w:rFonts w:eastAsiaTheme="majorEastAsia"/>
            <w:szCs w:val="18"/>
          </w:rPr>
          <w:t>www.sciencemediacentre.co.nz</w:t>
        </w:r>
      </w:hyperlink>
    </w:p>
  </w:footnote>
  <w:footnote w:id="526">
    <w:p w14:paraId="3E38BFA3" w14:textId="62901A91" w:rsidR="00EE180C" w:rsidRDefault="00EE180C" w:rsidP="00EE180C">
      <w:pPr>
        <w:pStyle w:val="FootnoteText"/>
      </w:pPr>
      <w:r>
        <w:rPr>
          <w:rStyle w:val="FootnoteReference"/>
        </w:rPr>
        <w:footnoteRef/>
      </w:r>
      <w:r>
        <w:t xml:space="preserve"> </w:t>
      </w:r>
      <w:r>
        <w:tab/>
      </w:r>
      <w:hyperlink r:id="rId389" w:history="1">
        <w:r w:rsidR="006F1F94">
          <w:rPr>
            <w:rStyle w:val="Hyperlink"/>
          </w:rPr>
          <w:t>www.sciencemediacentre.co.nz/savvy</w:t>
        </w:r>
      </w:hyperlink>
      <w:r>
        <w:t xml:space="preserve"> </w:t>
      </w:r>
    </w:p>
  </w:footnote>
  <w:footnote w:id="527">
    <w:p w14:paraId="221CA051" w14:textId="64C49E3A" w:rsidR="00EE180C" w:rsidRDefault="00EE180C" w:rsidP="00EE180C">
      <w:pPr>
        <w:pStyle w:val="FootnoteText"/>
      </w:pPr>
      <w:r>
        <w:rPr>
          <w:rStyle w:val="FootnoteReference"/>
        </w:rPr>
        <w:footnoteRef/>
      </w:r>
      <w:r>
        <w:t xml:space="preserve"> </w:t>
      </w:r>
      <w:r>
        <w:tab/>
      </w:r>
      <w:hyperlink r:id="rId390" w:history="1">
        <w:r w:rsidR="006F1F94">
          <w:rPr>
            <w:rStyle w:val="Hyperlink"/>
          </w:rPr>
          <w:t>www.scimex.org</w:t>
        </w:r>
      </w:hyperlink>
      <w:r>
        <w:t xml:space="preserve"> </w:t>
      </w:r>
    </w:p>
  </w:footnote>
  <w:footnote w:id="528">
    <w:p w14:paraId="3F3EFD92" w14:textId="196E0B19" w:rsidR="00EE180C" w:rsidRDefault="00EE180C" w:rsidP="00EE180C">
      <w:pPr>
        <w:pStyle w:val="FootnoteText"/>
      </w:pPr>
      <w:r>
        <w:rPr>
          <w:rStyle w:val="FootnoteReference"/>
        </w:rPr>
        <w:footnoteRef/>
      </w:r>
      <w:r>
        <w:t xml:space="preserve"> </w:t>
      </w:r>
      <w:r>
        <w:tab/>
      </w:r>
      <w:hyperlink r:id="rId391" w:history="1">
        <w:r w:rsidR="006F1F94">
          <w:rPr>
            <w:rStyle w:val="Hyperlink"/>
          </w:rPr>
          <w:t>www.sciencelearn.org.nz</w:t>
        </w:r>
      </w:hyperlink>
      <w:r>
        <w:t xml:space="preserve"> </w:t>
      </w:r>
    </w:p>
  </w:footnote>
  <w:footnote w:id="529">
    <w:p w14:paraId="6E92A214" w14:textId="244CBA9D" w:rsidR="00EE180C" w:rsidRDefault="00EE180C" w:rsidP="00EE180C">
      <w:pPr>
        <w:pStyle w:val="FootnoteText"/>
      </w:pPr>
      <w:r>
        <w:rPr>
          <w:rStyle w:val="FootnoteReference"/>
        </w:rPr>
        <w:footnoteRef/>
      </w:r>
      <w:r>
        <w:t xml:space="preserve"> </w:t>
      </w:r>
      <w:r>
        <w:tab/>
      </w:r>
      <w:hyperlink r:id="rId392" w:history="1">
        <w:r w:rsidR="006F1F94">
          <w:rPr>
            <w:rStyle w:val="Hyperlink"/>
          </w:rPr>
          <w:t>www.sciencelearn.org.nz/topics/climate-change</w:t>
        </w:r>
      </w:hyperlink>
      <w:r>
        <w:t xml:space="preserve"> </w:t>
      </w:r>
    </w:p>
  </w:footnote>
  <w:footnote w:id="530">
    <w:p w14:paraId="0A60C384" w14:textId="6DCBF083" w:rsidR="00EE180C" w:rsidRDefault="00EE180C" w:rsidP="00EE180C">
      <w:pPr>
        <w:pStyle w:val="FootnoteText"/>
      </w:pPr>
      <w:r>
        <w:rPr>
          <w:rStyle w:val="FootnoteReference"/>
        </w:rPr>
        <w:footnoteRef/>
      </w:r>
      <w:r>
        <w:t xml:space="preserve"> </w:t>
      </w:r>
      <w:r>
        <w:tab/>
      </w:r>
      <w:hyperlink r:id="rId393" w:history="1">
        <w:r w:rsidR="006F1F94">
          <w:rPr>
            <w:rStyle w:val="Hyperlink"/>
          </w:rPr>
          <w:t>www.sciencelearn.org.nz/resources/2963-our-atmosphere-and-climate-introduction%20</w:t>
        </w:r>
      </w:hyperlink>
      <w:r>
        <w:t xml:space="preserve"> </w:t>
      </w:r>
    </w:p>
  </w:footnote>
  <w:footnote w:id="531">
    <w:p w14:paraId="3D39684F" w14:textId="6BC20E1B" w:rsidR="00EE180C" w:rsidRDefault="00EE180C" w:rsidP="00EE180C">
      <w:pPr>
        <w:pStyle w:val="FootnoteText"/>
      </w:pPr>
      <w:r>
        <w:rPr>
          <w:rStyle w:val="FootnoteReference"/>
        </w:rPr>
        <w:footnoteRef/>
      </w:r>
      <w:r>
        <w:t xml:space="preserve"> </w:t>
      </w:r>
      <w:r>
        <w:tab/>
      </w:r>
      <w:hyperlink r:id="rId394" w:history="1">
        <w:r w:rsidR="006F1F94">
          <w:rPr>
            <w:rStyle w:val="Hyperlink"/>
          </w:rPr>
          <w:t>environment.govt.nz/what-you-can-do/campaigns/ourclimatefuture/</w:t>
        </w:r>
      </w:hyperlink>
      <w:r>
        <w:t xml:space="preserve"> </w:t>
      </w:r>
    </w:p>
  </w:footnote>
  <w:footnote w:id="532">
    <w:p w14:paraId="5E6371DE" w14:textId="3DB08F9A" w:rsidR="00EE180C" w:rsidRDefault="00EE180C" w:rsidP="00EE180C">
      <w:pPr>
        <w:pStyle w:val="FootnoteText"/>
      </w:pPr>
      <w:r>
        <w:rPr>
          <w:rStyle w:val="FootnoteReference"/>
        </w:rPr>
        <w:footnoteRef/>
      </w:r>
      <w:r>
        <w:t xml:space="preserve"> </w:t>
      </w:r>
      <w:r>
        <w:tab/>
      </w:r>
      <w:hyperlink r:id="rId395" w:history="1">
        <w:r w:rsidR="006F1F94">
          <w:rPr>
            <w:rStyle w:val="Hyperlink"/>
          </w:rPr>
          <w:t>consult.environment.govt.nz/climate/national-adaptation-plan/</w:t>
        </w:r>
      </w:hyperlink>
      <w:r>
        <w:t xml:space="preserve"> </w:t>
      </w:r>
    </w:p>
  </w:footnote>
  <w:footnote w:id="533">
    <w:p w14:paraId="28144351" w14:textId="435BC0AE" w:rsidR="00EE180C" w:rsidRDefault="00EE180C" w:rsidP="00EE180C">
      <w:pPr>
        <w:pStyle w:val="FootnoteText"/>
      </w:pPr>
      <w:r>
        <w:rPr>
          <w:rStyle w:val="FootnoteReference"/>
        </w:rPr>
        <w:footnoteRef/>
      </w:r>
      <w:r>
        <w:t xml:space="preserve"> </w:t>
      </w:r>
      <w:r>
        <w:tab/>
      </w:r>
      <w:hyperlink r:id="rId396" w:history="1">
        <w:r w:rsidR="006F1F94">
          <w:rPr>
            <w:rStyle w:val="Hyperlink"/>
          </w:rPr>
          <w:t>consult.environment.govt.nz/climate/erp-quick-submission/</w:t>
        </w:r>
      </w:hyperlink>
      <w:r>
        <w:t xml:space="preserve"> </w:t>
      </w:r>
    </w:p>
  </w:footnote>
  <w:footnote w:id="534">
    <w:p w14:paraId="2C6742F5" w14:textId="1C4D4B42" w:rsidR="00EE180C" w:rsidRDefault="00EE180C" w:rsidP="00EE180C">
      <w:pPr>
        <w:pStyle w:val="FootnoteText"/>
      </w:pPr>
      <w:r>
        <w:rPr>
          <w:rStyle w:val="FootnoteReference"/>
        </w:rPr>
        <w:footnoteRef/>
      </w:r>
      <w:r>
        <w:t xml:space="preserve"> </w:t>
      </w:r>
      <w:r>
        <w:tab/>
      </w:r>
      <w:hyperlink r:id="rId397" w:history="1">
        <w:r w:rsidR="006F1F94">
          <w:rPr>
            <w:rStyle w:val="Hyperlink"/>
          </w:rPr>
          <w:t>consult.environment.govt.nz/climate/emissions-reduction-plan/</w:t>
        </w:r>
      </w:hyperlink>
      <w:r>
        <w:t xml:space="preserve"> </w:t>
      </w:r>
    </w:p>
  </w:footnote>
  <w:footnote w:id="535">
    <w:p w14:paraId="10808441" w14:textId="7A9645A1" w:rsidR="00EE180C" w:rsidRDefault="00EE180C" w:rsidP="00EE180C">
      <w:pPr>
        <w:pStyle w:val="FootnoteText"/>
      </w:pPr>
      <w:r>
        <w:rPr>
          <w:rStyle w:val="FootnoteReference"/>
        </w:rPr>
        <w:footnoteRef/>
      </w:r>
      <w:r>
        <w:t xml:space="preserve"> </w:t>
      </w:r>
      <w:r>
        <w:tab/>
      </w:r>
      <w:hyperlink r:id="rId398" w:history="1">
        <w:r w:rsidR="006F1F94">
          <w:rPr>
            <w:rStyle w:val="Hyperlink"/>
          </w:rPr>
          <w:t>consult.environment.govt.nz/climate/proposed-changes-nz-ets-2022/</w:t>
        </w:r>
      </w:hyperlink>
      <w:r>
        <w:t xml:space="preserve"> </w:t>
      </w:r>
    </w:p>
  </w:footnote>
  <w:footnote w:id="536">
    <w:p w14:paraId="2D5E5D86" w14:textId="6ACFBB15" w:rsidR="00EE180C" w:rsidRDefault="00EE180C" w:rsidP="00EE180C">
      <w:pPr>
        <w:pStyle w:val="FootnoteText"/>
      </w:pPr>
      <w:r>
        <w:rPr>
          <w:rStyle w:val="FootnoteReference"/>
        </w:rPr>
        <w:footnoteRef/>
      </w:r>
      <w:r>
        <w:t xml:space="preserve"> </w:t>
      </w:r>
      <w:r>
        <w:tab/>
      </w:r>
      <w:hyperlink r:id="rId399" w:history="1">
        <w:r w:rsidR="006F1F94">
          <w:rPr>
            <w:rStyle w:val="Hyperlink"/>
          </w:rPr>
          <w:t>consult.environment.govt.nz/climate/reforming-industrial-allocation-in-the-nz-ets/</w:t>
        </w:r>
      </w:hyperlink>
      <w:r>
        <w:t xml:space="preserve"> </w:t>
      </w:r>
    </w:p>
  </w:footnote>
  <w:footnote w:id="537">
    <w:p w14:paraId="1836A218" w14:textId="03ED8816" w:rsidR="00EE180C" w:rsidRDefault="00EE180C" w:rsidP="00EE180C">
      <w:pPr>
        <w:pStyle w:val="FootnoteText"/>
      </w:pPr>
      <w:r>
        <w:rPr>
          <w:rStyle w:val="FootnoteReference"/>
        </w:rPr>
        <w:footnoteRef/>
      </w:r>
      <w:r>
        <w:t xml:space="preserve"> </w:t>
      </w:r>
      <w:r>
        <w:tab/>
      </w:r>
      <w:hyperlink r:id="rId400" w:history="1">
        <w:r w:rsidR="006F1F94">
          <w:rPr>
            <w:rStyle w:val="Hyperlink"/>
          </w:rPr>
          <w:t>consult.environment.govt.nz/climate/designing-a-governance-framework-for-the-nz-ets/</w:t>
        </w:r>
      </w:hyperlink>
      <w:r>
        <w:t xml:space="preserve"> </w:t>
      </w:r>
    </w:p>
  </w:footnote>
  <w:footnote w:id="538">
    <w:p w14:paraId="02F51FFB" w14:textId="090D8B0F" w:rsidR="00EE180C" w:rsidRDefault="00EE180C" w:rsidP="00EE180C">
      <w:pPr>
        <w:pStyle w:val="FootnoteText"/>
      </w:pPr>
      <w:r>
        <w:rPr>
          <w:rStyle w:val="FootnoteReference"/>
        </w:rPr>
        <w:footnoteRef/>
      </w:r>
      <w:r>
        <w:t xml:space="preserve"> </w:t>
      </w:r>
      <w:r>
        <w:tab/>
      </w:r>
      <w:hyperlink r:id="rId401" w:history="1">
        <w:r w:rsidR="006F1F94">
          <w:rPr>
            <w:rStyle w:val="Hyperlink"/>
          </w:rPr>
          <w:t>pastconsultations.environment.govt.nz/past-consultation/16</w:t>
        </w:r>
      </w:hyperlink>
      <w:r>
        <w:t xml:space="preserve"> </w:t>
      </w:r>
    </w:p>
  </w:footnote>
  <w:footnote w:id="539">
    <w:p w14:paraId="10D88893" w14:textId="45102457" w:rsidR="00EE180C" w:rsidRDefault="00EE180C" w:rsidP="00EE180C">
      <w:pPr>
        <w:pStyle w:val="FootnoteText"/>
      </w:pPr>
      <w:r>
        <w:rPr>
          <w:rStyle w:val="FootnoteReference"/>
        </w:rPr>
        <w:footnoteRef/>
      </w:r>
      <w:r>
        <w:t xml:space="preserve"> </w:t>
      </w:r>
      <w:r>
        <w:tab/>
      </w:r>
      <w:hyperlink r:id="rId402" w:history="1">
        <w:r w:rsidR="006F1F94">
          <w:rPr>
            <w:rStyle w:val="Hyperlink"/>
          </w:rPr>
          <w:t>pastconsultations.environment.govt.nz/past-consultation/6</w:t>
        </w:r>
      </w:hyperlink>
      <w:r>
        <w:t xml:space="preserve"> </w:t>
      </w:r>
    </w:p>
  </w:footnote>
  <w:footnote w:id="540">
    <w:p w14:paraId="5DFC1F35" w14:textId="0DF4D486" w:rsidR="00EE180C" w:rsidRDefault="00EE180C" w:rsidP="00EE180C">
      <w:pPr>
        <w:pStyle w:val="FootnoteText"/>
      </w:pPr>
      <w:r>
        <w:rPr>
          <w:rStyle w:val="FootnoteReference"/>
        </w:rPr>
        <w:footnoteRef/>
      </w:r>
      <w:r>
        <w:t xml:space="preserve"> </w:t>
      </w:r>
      <w:r>
        <w:tab/>
      </w:r>
      <w:hyperlink r:id="rId403" w:history="1">
        <w:r w:rsidR="006F1F94">
          <w:rPr>
            <w:rStyle w:val="Hyperlink"/>
          </w:rPr>
          <w:t>pastconsultations.environment.govt.nz/past-consultation/10</w:t>
        </w:r>
      </w:hyperlink>
      <w:r>
        <w:t xml:space="preserve"> </w:t>
      </w:r>
    </w:p>
  </w:footnote>
  <w:footnote w:id="541">
    <w:p w14:paraId="2C4620C0" w14:textId="5EAFE498" w:rsidR="00EE180C" w:rsidRDefault="00EE180C" w:rsidP="00EE180C">
      <w:pPr>
        <w:pStyle w:val="FootnoteText"/>
      </w:pPr>
      <w:r>
        <w:rPr>
          <w:rStyle w:val="FootnoteReference"/>
        </w:rPr>
        <w:footnoteRef/>
      </w:r>
      <w:r>
        <w:t xml:space="preserve"> </w:t>
      </w:r>
      <w:r>
        <w:tab/>
      </w:r>
      <w:hyperlink r:id="rId404" w:history="1">
        <w:r w:rsidR="006F1F94">
          <w:rPr>
            <w:rStyle w:val="Hyperlink"/>
          </w:rPr>
          <w:t>pastconsultations.environment.govt.nz/past-consultation/19</w:t>
        </w:r>
      </w:hyperlink>
      <w:r>
        <w:t xml:space="preserve"> </w:t>
      </w:r>
    </w:p>
  </w:footnote>
  <w:footnote w:id="542">
    <w:p w14:paraId="19634031" w14:textId="00EA636C" w:rsidR="00EE180C" w:rsidRDefault="00EE180C" w:rsidP="00EE180C">
      <w:pPr>
        <w:pStyle w:val="FootnoteText"/>
      </w:pPr>
      <w:r>
        <w:rPr>
          <w:rStyle w:val="FootnoteReference"/>
        </w:rPr>
        <w:footnoteRef/>
      </w:r>
      <w:r>
        <w:t xml:space="preserve"> </w:t>
      </w:r>
      <w:r>
        <w:tab/>
      </w:r>
      <w:hyperlink r:id="rId405" w:history="1">
        <w:r w:rsidR="006F1F94">
          <w:rPr>
            <w:rStyle w:val="Hyperlink"/>
          </w:rPr>
          <w:t>pastconsultations.environment.govt.nz/past-consultation/11</w:t>
        </w:r>
      </w:hyperlink>
      <w:r>
        <w:t xml:space="preserve"> </w:t>
      </w:r>
    </w:p>
  </w:footnote>
  <w:footnote w:id="543">
    <w:p w14:paraId="0FA2547F" w14:textId="52F8739D" w:rsidR="00EE180C" w:rsidRDefault="00EE180C" w:rsidP="00EE180C">
      <w:pPr>
        <w:pStyle w:val="FootnoteText"/>
      </w:pPr>
      <w:r>
        <w:rPr>
          <w:rStyle w:val="FootnoteReference"/>
        </w:rPr>
        <w:footnoteRef/>
      </w:r>
      <w:r>
        <w:t xml:space="preserve"> </w:t>
      </w:r>
      <w:r>
        <w:tab/>
      </w:r>
      <w:hyperlink r:id="rId406" w:history="1">
        <w:r w:rsidR="006F1F94">
          <w:rPr>
            <w:rStyle w:val="Hyperlink"/>
          </w:rPr>
          <w:t>pastconsultations.environment.govt.nz/past-consultation/12</w:t>
        </w:r>
      </w:hyperlink>
      <w:r>
        <w:t xml:space="preserve"> </w:t>
      </w:r>
    </w:p>
  </w:footnote>
  <w:footnote w:id="544">
    <w:p w14:paraId="6190448E" w14:textId="4181869A" w:rsidR="00EE180C" w:rsidRDefault="00EE180C" w:rsidP="00EE180C">
      <w:pPr>
        <w:pStyle w:val="FootnoteText"/>
      </w:pPr>
      <w:r>
        <w:rPr>
          <w:rStyle w:val="FootnoteReference"/>
        </w:rPr>
        <w:footnoteRef/>
      </w:r>
      <w:r>
        <w:t xml:space="preserve"> </w:t>
      </w:r>
      <w:r>
        <w:tab/>
      </w:r>
      <w:hyperlink r:id="rId407" w:history="1">
        <w:r w:rsidR="006F1F94">
          <w:rPr>
            <w:rStyle w:val="Hyperlink"/>
          </w:rPr>
          <w:t>pastconsultations.environment.govt.nz/past-consultation/5</w:t>
        </w:r>
      </w:hyperlink>
      <w:r>
        <w:t xml:space="preserve"> </w:t>
      </w:r>
    </w:p>
  </w:footnote>
  <w:footnote w:id="545">
    <w:p w14:paraId="76A2F32B" w14:textId="6B1F3DED" w:rsidR="00EE180C" w:rsidRDefault="00EE180C" w:rsidP="00EE180C">
      <w:pPr>
        <w:pStyle w:val="FootnoteText"/>
      </w:pPr>
      <w:r>
        <w:rPr>
          <w:rStyle w:val="FootnoteReference"/>
        </w:rPr>
        <w:footnoteRef/>
      </w:r>
      <w:r>
        <w:t xml:space="preserve"> </w:t>
      </w:r>
      <w:r>
        <w:tab/>
      </w:r>
      <w:hyperlink r:id="rId408" w:history="1">
        <w:r w:rsidR="006F1F94">
          <w:rPr>
            <w:rStyle w:val="Hyperlink"/>
          </w:rPr>
          <w:t>pastconsultations.environment.govt.nz/past-consultation/2</w:t>
        </w:r>
      </w:hyperlink>
      <w:r>
        <w:t xml:space="preserve"> </w:t>
      </w:r>
    </w:p>
  </w:footnote>
  <w:footnote w:id="546">
    <w:p w14:paraId="6457B4ED" w14:textId="7E0D4DCB" w:rsidR="00EE180C" w:rsidRDefault="00EE180C" w:rsidP="00EE180C">
      <w:pPr>
        <w:pStyle w:val="FootnoteText"/>
      </w:pPr>
      <w:r>
        <w:rPr>
          <w:rStyle w:val="FootnoteReference"/>
        </w:rPr>
        <w:footnoteRef/>
      </w:r>
      <w:r>
        <w:t xml:space="preserve"> </w:t>
      </w:r>
      <w:r>
        <w:tab/>
      </w:r>
      <w:hyperlink r:id="rId409" w:history="1">
        <w:r w:rsidR="006F1F94">
          <w:rPr>
            <w:rStyle w:val="Hyperlink"/>
          </w:rPr>
          <w:t>pastconsultations.environment.govt.nz/past-consultation/4</w:t>
        </w:r>
      </w:hyperlink>
      <w:r>
        <w:t xml:space="preserve"> </w:t>
      </w:r>
    </w:p>
  </w:footnote>
  <w:footnote w:id="547">
    <w:p w14:paraId="13C4CF21" w14:textId="05528132" w:rsidR="00EE180C" w:rsidRDefault="00EE180C" w:rsidP="00EE180C">
      <w:pPr>
        <w:pStyle w:val="FootnoteText"/>
      </w:pPr>
      <w:r>
        <w:rPr>
          <w:rStyle w:val="FootnoteReference"/>
        </w:rPr>
        <w:footnoteRef/>
      </w:r>
      <w:r>
        <w:t xml:space="preserve"> </w:t>
      </w:r>
      <w:r>
        <w:tab/>
      </w:r>
      <w:hyperlink r:id="rId410" w:history="1">
        <w:r w:rsidR="006F1F94">
          <w:rPr>
            <w:rStyle w:val="Hyperlink"/>
          </w:rPr>
          <w:t>www.blakenz.org/programmes/blake-inspire/</w:t>
        </w:r>
      </w:hyperlink>
      <w:r>
        <w:t xml:space="preserve"> </w:t>
      </w:r>
    </w:p>
  </w:footnote>
  <w:footnote w:id="548">
    <w:p w14:paraId="004ACF1A" w14:textId="25B6041D" w:rsidR="00EE180C" w:rsidRDefault="00EE180C" w:rsidP="00EE180C">
      <w:pPr>
        <w:pStyle w:val="FootnoteText"/>
      </w:pPr>
      <w:r>
        <w:rPr>
          <w:rStyle w:val="FootnoteReference"/>
        </w:rPr>
        <w:footnoteRef/>
      </w:r>
      <w:r>
        <w:t xml:space="preserve"> </w:t>
      </w:r>
      <w:r>
        <w:tab/>
      </w:r>
      <w:hyperlink r:id="rId411" w:history="1">
        <w:r w:rsidR="006F1F94">
          <w:rPr>
            <w:rStyle w:val="Hyperlink"/>
          </w:rPr>
          <w:t>www.festivalforthefuture.co</w:t>
        </w:r>
      </w:hyperlink>
      <w:r>
        <w:t xml:space="preserve"> </w:t>
      </w:r>
    </w:p>
  </w:footnote>
  <w:footnote w:id="549">
    <w:p w14:paraId="50F7CF11" w14:textId="0C091D3A" w:rsidR="00EE180C" w:rsidRPr="00602494" w:rsidRDefault="00EE180C" w:rsidP="00EE180C">
      <w:pPr>
        <w:pStyle w:val="FootnoteText"/>
        <w:rPr>
          <w:highlight w:val="yellow"/>
        </w:rPr>
      </w:pPr>
      <w:r w:rsidRPr="4BA1461B">
        <w:rPr>
          <w:rStyle w:val="FootnoteReference"/>
          <w:rFonts w:eastAsiaTheme="majorEastAsia"/>
        </w:rPr>
        <w:footnoteRef/>
      </w:r>
      <w:r w:rsidRPr="00485618">
        <w:t xml:space="preserve"> </w:t>
      </w:r>
      <w:r w:rsidRPr="00485618">
        <w:tab/>
      </w:r>
      <w:hyperlink r:id="rId412" w:history="1">
        <w:r w:rsidR="006F1F94">
          <w:rPr>
            <w:rStyle w:val="Hyperlink"/>
          </w:rPr>
          <w:t>environment.govt.nz/what-you-can-do/funding/community-environment-fund/</w:t>
        </w:r>
      </w:hyperlink>
      <w:r>
        <w:t xml:space="preserve"> </w:t>
      </w:r>
    </w:p>
  </w:footnote>
  <w:footnote w:id="550">
    <w:p w14:paraId="4DCFA8FA" w14:textId="5415E09E" w:rsidR="00EE180C" w:rsidRDefault="00EE180C" w:rsidP="00EE180C">
      <w:pPr>
        <w:pStyle w:val="FootnoteText"/>
      </w:pPr>
      <w:r>
        <w:rPr>
          <w:rStyle w:val="FootnoteReference"/>
        </w:rPr>
        <w:footnoteRef/>
      </w:r>
      <w:r>
        <w:t xml:space="preserve"> </w:t>
      </w:r>
      <w:r>
        <w:tab/>
      </w:r>
      <w:hyperlink r:id="rId413" w:history="1">
        <w:r w:rsidR="006F1F94">
          <w:rPr>
            <w:rStyle w:val="Hyperlink"/>
          </w:rPr>
          <w:t>environment.govt.nz/what-you-can-do/funding/waste-minimisation-fund/</w:t>
        </w:r>
      </w:hyperlink>
      <w:r>
        <w:t xml:space="preserve"> </w:t>
      </w:r>
    </w:p>
  </w:footnote>
  <w:footnote w:id="551">
    <w:p w14:paraId="329252F7" w14:textId="77777777" w:rsidR="00EE180C" w:rsidRPr="001A0AF1" w:rsidRDefault="00EE180C" w:rsidP="00EE180C">
      <w:pPr>
        <w:pStyle w:val="FootnoteText"/>
        <w:rPr>
          <w:lang w:val="en-US"/>
        </w:rPr>
      </w:pPr>
      <w:r>
        <w:rPr>
          <w:rStyle w:val="FootnoteReference"/>
        </w:rPr>
        <w:footnoteRef/>
      </w:r>
      <w:r>
        <w:t xml:space="preserve"> </w:t>
      </w:r>
      <w:r>
        <w:rPr>
          <w:lang w:val="en-US"/>
        </w:rPr>
        <w:tab/>
      </w:r>
      <w:r w:rsidRPr="0024667C">
        <w:rPr>
          <w:lang w:val="en-US"/>
        </w:rPr>
        <w:t>Courtyard</w:t>
      </w:r>
      <w:r>
        <w:rPr>
          <w:lang w:val="en-US"/>
        </w:rPr>
        <w:t xml:space="preserve"> – </w:t>
      </w:r>
      <w:r w:rsidRPr="0024667C">
        <w:rPr>
          <w:lang w:val="en-US"/>
        </w:rPr>
        <w:t>the open area in front of the wharenui (meeting house) where formal greetings and discussions take place. Often also used to include the complex of buildings around the marae.</w:t>
      </w:r>
    </w:p>
  </w:footnote>
  <w:footnote w:id="552">
    <w:p w14:paraId="3285A6E5" w14:textId="77777777" w:rsidR="00EE180C" w:rsidRPr="001A0AF1" w:rsidRDefault="00EE180C" w:rsidP="00EE180C">
      <w:pPr>
        <w:pStyle w:val="FootnoteText"/>
        <w:rPr>
          <w:lang w:val="en-US"/>
        </w:rPr>
      </w:pPr>
      <w:r>
        <w:rPr>
          <w:rStyle w:val="FootnoteReference"/>
        </w:rPr>
        <w:footnoteRef/>
      </w:r>
      <w:r>
        <w:t xml:space="preserve"> </w:t>
      </w:r>
      <w:r>
        <w:rPr>
          <w:lang w:val="en-US"/>
        </w:rPr>
        <w:tab/>
      </w:r>
      <w:r w:rsidRPr="00132323">
        <w:rPr>
          <w:lang w:val="en-US"/>
        </w:rPr>
        <w:t xml:space="preserve">Māori approach, </w:t>
      </w:r>
      <w:r w:rsidRPr="005508C1">
        <w:t>topic</w:t>
      </w:r>
      <w:r w:rsidRPr="00132323">
        <w:rPr>
          <w:lang w:val="en-US"/>
        </w:rPr>
        <w:t>, customary practice, institution, agenda, principles, ideology – a philosophical doctrine incorporating the knowledge, skills, attitudes and values of Māori society</w:t>
      </w:r>
      <w:r>
        <w:rPr>
          <w:lang w:val="en-US"/>
        </w:rPr>
        <w:t>.</w:t>
      </w:r>
    </w:p>
  </w:footnote>
  <w:footnote w:id="553">
    <w:p w14:paraId="4C607EE0" w14:textId="4494F46E" w:rsidR="00EE180C" w:rsidRDefault="00EE180C" w:rsidP="00EE180C">
      <w:pPr>
        <w:pStyle w:val="FootnoteText"/>
      </w:pPr>
      <w:r>
        <w:rPr>
          <w:rStyle w:val="FootnoteReference"/>
        </w:rPr>
        <w:footnoteRef/>
      </w:r>
      <w:r>
        <w:t xml:space="preserve"> </w:t>
      </w:r>
      <w:r>
        <w:tab/>
      </w:r>
      <w:hyperlink r:id="rId414" w:history="1">
        <w:r w:rsidR="006F1F94">
          <w:rPr>
            <w:rStyle w:val="Hyperlink"/>
          </w:rPr>
          <w:t>www.mpi.govt.nz/funding-rural-support/farming-funds-and-programmes/slmacc/slmacc-news/</w:t>
        </w:r>
      </w:hyperlink>
      <w:r>
        <w:t xml:space="preserve"> </w:t>
      </w:r>
    </w:p>
  </w:footnote>
  <w:footnote w:id="554">
    <w:p w14:paraId="2CF02F7E" w14:textId="43DDA2DD" w:rsidR="00EE180C" w:rsidRDefault="00EE180C" w:rsidP="00EE180C">
      <w:pPr>
        <w:pStyle w:val="FootnoteText"/>
      </w:pPr>
      <w:r>
        <w:rPr>
          <w:rStyle w:val="FootnoteReference"/>
        </w:rPr>
        <w:footnoteRef/>
      </w:r>
      <w:r>
        <w:t xml:space="preserve"> </w:t>
      </w:r>
      <w:r>
        <w:tab/>
      </w:r>
      <w:hyperlink r:id="rId415" w:history="1">
        <w:r w:rsidR="006F1F94">
          <w:rPr>
            <w:rStyle w:val="Hyperlink"/>
          </w:rPr>
          <w:t>www.sprep.org/pacific-year-coral-reef-2018-2019</w:t>
        </w:r>
      </w:hyperlink>
      <w:r>
        <w:t xml:space="preserve"> </w:t>
      </w:r>
    </w:p>
  </w:footnote>
  <w:footnote w:id="555">
    <w:p w14:paraId="155ABFA1" w14:textId="5DEECFE2" w:rsidR="00EE180C" w:rsidRDefault="00EE180C" w:rsidP="00EE180C">
      <w:pPr>
        <w:pStyle w:val="FootnoteText"/>
      </w:pPr>
      <w:r>
        <w:rPr>
          <w:rStyle w:val="FootnoteReference"/>
        </w:rPr>
        <w:footnoteRef/>
      </w:r>
      <w:r>
        <w:t xml:space="preserve"> </w:t>
      </w:r>
      <w:r>
        <w:tab/>
      </w:r>
      <w:hyperlink r:id="rId416" w:history="1">
        <w:r w:rsidR="006F1F94">
          <w:rPr>
            <w:rStyle w:val="Hyperlink"/>
          </w:rPr>
          <w:t>www.sprep.org/resources</w:t>
        </w:r>
      </w:hyperlink>
      <w:r>
        <w:t xml:space="preserve"> </w:t>
      </w:r>
    </w:p>
  </w:footnote>
  <w:footnote w:id="556">
    <w:p w14:paraId="55764892" w14:textId="43857908" w:rsidR="00EE180C" w:rsidRDefault="00EE180C" w:rsidP="00EE180C">
      <w:pPr>
        <w:pStyle w:val="FootnoteText"/>
      </w:pPr>
      <w:r>
        <w:rPr>
          <w:rStyle w:val="FootnoteReference"/>
        </w:rPr>
        <w:footnoteRef/>
      </w:r>
      <w:r>
        <w:t xml:space="preserve"> </w:t>
      </w:r>
      <w:r>
        <w:tab/>
      </w:r>
      <w:hyperlink r:id="rId417" w:history="1">
        <w:r w:rsidR="00835944">
          <w:rPr>
            <w:rStyle w:val="Hyperlink"/>
          </w:rPr>
          <w:t>globalresearchalliance.org/country/new-zealand/</w:t>
        </w:r>
      </w:hyperlink>
      <w:r>
        <w:t xml:space="preserve"> </w:t>
      </w:r>
    </w:p>
  </w:footnote>
  <w:footnote w:id="557">
    <w:p w14:paraId="35CAF503" w14:textId="785592DB" w:rsidR="00EE180C" w:rsidRDefault="00EE180C" w:rsidP="00EE180C">
      <w:pPr>
        <w:pStyle w:val="FootnoteText"/>
      </w:pPr>
      <w:r>
        <w:rPr>
          <w:rStyle w:val="FootnoteReference"/>
        </w:rPr>
        <w:footnoteRef/>
      </w:r>
      <w:r>
        <w:t xml:space="preserve"> </w:t>
      </w:r>
      <w:r>
        <w:tab/>
      </w:r>
      <w:hyperlink r:id="rId418" w:history="1">
        <w:r w:rsidR="00835944">
          <w:rPr>
            <w:rStyle w:val="Hyperlink"/>
          </w:rPr>
          <w:t>www.mpi.govt.nz/funding-rural-support/environment-and-natural-resources/international-response-to-climate-change/global-research-alliance-gra/</w:t>
        </w:r>
      </w:hyperlink>
      <w:r>
        <w:t xml:space="preserve"> </w:t>
      </w:r>
    </w:p>
  </w:footnote>
  <w:footnote w:id="558">
    <w:p w14:paraId="4626441D" w14:textId="45B5474E" w:rsidR="00EE180C" w:rsidRDefault="00EE180C" w:rsidP="00EE180C">
      <w:pPr>
        <w:pStyle w:val="FootnoteText"/>
      </w:pPr>
      <w:r>
        <w:rPr>
          <w:rStyle w:val="FootnoteReference"/>
        </w:rPr>
        <w:footnoteRef/>
      </w:r>
      <w:r>
        <w:t xml:space="preserve"> </w:t>
      </w:r>
      <w:r>
        <w:tab/>
      </w:r>
      <w:hyperlink r:id="rId419" w:history="1">
        <w:r w:rsidR="00835944">
          <w:rPr>
            <w:rStyle w:val="Hyperlink"/>
          </w:rPr>
          <w:t>globalresearchalliance.org/library/nz-grads/</w:t>
        </w:r>
      </w:hyperlink>
      <w:r>
        <w:t xml:space="preserve"> </w:t>
      </w:r>
    </w:p>
  </w:footnote>
  <w:footnote w:id="559">
    <w:p w14:paraId="450FE613" w14:textId="34FFDC2B" w:rsidR="00EE180C" w:rsidRPr="00602494" w:rsidRDefault="00EE180C" w:rsidP="00EE180C">
      <w:pPr>
        <w:pStyle w:val="FootnoteText"/>
        <w:rPr>
          <w:szCs w:val="18"/>
          <w:highlight w:val="yellow"/>
        </w:rPr>
      </w:pPr>
      <w:r w:rsidRPr="000A4B1E">
        <w:rPr>
          <w:rStyle w:val="FootnoteReference"/>
        </w:rPr>
        <w:footnoteRef/>
      </w:r>
      <w:r w:rsidRPr="000A4B1E">
        <w:rPr>
          <w:rStyle w:val="FootnoteReference"/>
        </w:rPr>
        <w:t xml:space="preserve"> </w:t>
      </w:r>
      <w:r>
        <w:rPr>
          <w:rStyle w:val="FootnoteReference"/>
        </w:rPr>
        <w:tab/>
      </w:r>
      <w:hyperlink r:id="rId420" w:history="1">
        <w:r w:rsidR="00835944">
          <w:rPr>
            <w:rStyle w:val="Hyperlink"/>
          </w:rPr>
          <w:t>livestockemissions.net/awards/learn-technical-training-award/</w:t>
        </w:r>
      </w:hyperlink>
      <w:r>
        <w:t xml:space="preserve"> </w:t>
      </w:r>
    </w:p>
  </w:footnote>
  <w:footnote w:id="560">
    <w:p w14:paraId="0DFA4311" w14:textId="4AB4DD56" w:rsidR="00EE180C" w:rsidRPr="000D0CBE" w:rsidRDefault="00EE180C" w:rsidP="00EE180C">
      <w:pPr>
        <w:pStyle w:val="FootnoteText"/>
      </w:pPr>
      <w:r w:rsidRPr="000A4B1E">
        <w:rPr>
          <w:rStyle w:val="FootnoteReference"/>
          <w:rFonts w:eastAsiaTheme="majorEastAsia"/>
          <w:szCs w:val="18"/>
        </w:rPr>
        <w:footnoteRef/>
      </w:r>
      <w:r w:rsidRPr="000A4B1E">
        <w:rPr>
          <w:szCs w:val="18"/>
        </w:rPr>
        <w:t xml:space="preserve"> </w:t>
      </w:r>
      <w:r w:rsidRPr="000A4B1E">
        <w:rPr>
          <w:szCs w:val="18"/>
        </w:rPr>
        <w:tab/>
      </w:r>
      <w:hyperlink r:id="rId421" w:history="1">
        <w:r w:rsidR="00835944">
          <w:rPr>
            <w:rStyle w:val="Hyperlink"/>
            <w:rFonts w:eastAsiaTheme="majorEastAsia"/>
            <w:szCs w:val="18"/>
          </w:rPr>
          <w:t>livestockemissions.net/awards/grass-award/</w:t>
        </w:r>
      </w:hyperlink>
    </w:p>
  </w:footnote>
  <w:footnote w:id="561">
    <w:p w14:paraId="54EBA6AF" w14:textId="6853FE86" w:rsidR="00EE180C" w:rsidRDefault="00EE180C" w:rsidP="00EE180C">
      <w:pPr>
        <w:pStyle w:val="FootnoteText"/>
      </w:pPr>
      <w:r>
        <w:rPr>
          <w:rStyle w:val="FootnoteReference"/>
        </w:rPr>
        <w:footnoteRef/>
      </w:r>
      <w:r>
        <w:tab/>
      </w:r>
      <w:hyperlink r:id="rId422" w:history="1">
        <w:r w:rsidR="00835944">
          <w:rPr>
            <w:rStyle w:val="Hyperlink"/>
          </w:rPr>
          <w:t>globalresearchalliance.org/library/cliff_grads-fellowship</w:t>
        </w:r>
      </w:hyperlink>
      <w:r>
        <w:t xml:space="preserve"> </w:t>
      </w:r>
    </w:p>
  </w:footnote>
  <w:footnote w:id="562">
    <w:p w14:paraId="6F667AA9" w14:textId="64B9A75F" w:rsidR="00EE180C" w:rsidRDefault="00EE180C" w:rsidP="00EE180C">
      <w:pPr>
        <w:pStyle w:val="FootnoteText"/>
      </w:pPr>
      <w:r>
        <w:rPr>
          <w:rStyle w:val="FootnoteReference"/>
        </w:rPr>
        <w:footnoteRef/>
      </w:r>
      <w:r>
        <w:tab/>
      </w:r>
      <w:hyperlink r:id="rId423" w:history="1">
        <w:r w:rsidR="00835944">
          <w:rPr>
            <w:rStyle w:val="Hyperlink"/>
          </w:rPr>
          <w:t>www.mpi.govt.nz/funding-rural-support/environment-and-natural-resources/international-response-to-climate-change/global-research-alliance-gra/</w:t>
        </w:r>
      </w:hyperlink>
      <w:r>
        <w:t xml:space="preserve"> </w:t>
      </w:r>
    </w:p>
  </w:footnote>
  <w:footnote w:id="563">
    <w:p w14:paraId="497CA599" w14:textId="493029CD" w:rsidR="00EE180C" w:rsidRDefault="00EE180C" w:rsidP="00EE180C">
      <w:pPr>
        <w:pStyle w:val="FootnoteText"/>
      </w:pPr>
      <w:r>
        <w:rPr>
          <w:rStyle w:val="FootnoteReference"/>
        </w:rPr>
        <w:footnoteRef/>
      </w:r>
      <w:r>
        <w:t xml:space="preserve"> </w:t>
      </w:r>
      <w:r>
        <w:tab/>
      </w:r>
      <w:hyperlink r:id="rId424" w:history="1">
        <w:r w:rsidR="00BF2770">
          <w:rPr>
            <w:rStyle w:val="Hyperlink"/>
          </w:rPr>
          <w:t>globalresearchalliance.org/n/webinar-gra-integrative-research-group-linkages-with-the-4p1000-initiative-and-the-circasa-project/</w:t>
        </w:r>
      </w:hyperlink>
      <w:r>
        <w:t xml:space="preserve"> </w:t>
      </w:r>
    </w:p>
  </w:footnote>
  <w:footnote w:id="564">
    <w:p w14:paraId="4DE9B054" w14:textId="5C9567C4" w:rsidR="00EE180C" w:rsidRDefault="00EE180C" w:rsidP="00EE180C">
      <w:pPr>
        <w:pStyle w:val="FootnoteText"/>
      </w:pPr>
      <w:r>
        <w:rPr>
          <w:rStyle w:val="FootnoteReference"/>
        </w:rPr>
        <w:footnoteRef/>
      </w:r>
      <w:r>
        <w:t xml:space="preserve"> </w:t>
      </w:r>
      <w:r>
        <w:tab/>
      </w:r>
      <w:hyperlink r:id="rId425" w:history="1">
        <w:r w:rsidR="00BF2770">
          <w:rPr>
            <w:rStyle w:val="Hyperlink"/>
          </w:rPr>
          <w:t>globalresearchalliance.org/n/webinar-meeting-monitoring-reporting-verification-methods-for-soil-carbon/</w:t>
        </w:r>
      </w:hyperlink>
      <w:r>
        <w:t xml:space="preserve"> </w:t>
      </w:r>
    </w:p>
  </w:footnote>
  <w:footnote w:id="565">
    <w:p w14:paraId="191E66E0" w14:textId="5D111BC0" w:rsidR="00EE180C" w:rsidRDefault="00EE180C" w:rsidP="00EE180C">
      <w:pPr>
        <w:pStyle w:val="FootnoteText"/>
      </w:pPr>
      <w:r>
        <w:rPr>
          <w:rStyle w:val="FootnoteReference"/>
        </w:rPr>
        <w:footnoteRef/>
      </w:r>
      <w:r>
        <w:t xml:space="preserve"> </w:t>
      </w:r>
      <w:r>
        <w:tab/>
      </w:r>
      <w:hyperlink r:id="rId426" w:history="1">
        <w:r w:rsidR="00BF2770">
          <w:rPr>
            <w:rStyle w:val="Hyperlink"/>
          </w:rPr>
          <w:t>globalresearchalliance.org/n/first-cliff-grads-alumni-workshop-indonesia-october-2019/</w:t>
        </w:r>
      </w:hyperlink>
      <w:r>
        <w:t xml:space="preserve"> </w:t>
      </w:r>
    </w:p>
  </w:footnote>
  <w:footnote w:id="566">
    <w:p w14:paraId="3E5D697B" w14:textId="42A272E1" w:rsidR="00EE180C" w:rsidRDefault="00EE180C" w:rsidP="00EE180C">
      <w:pPr>
        <w:pStyle w:val="FootnoteText"/>
      </w:pPr>
      <w:r>
        <w:rPr>
          <w:rStyle w:val="FootnoteReference"/>
        </w:rPr>
        <w:footnoteRef/>
      </w:r>
      <w:r>
        <w:t xml:space="preserve"> </w:t>
      </w:r>
      <w:r>
        <w:tab/>
      </w:r>
      <w:hyperlink r:id="rId427" w:history="1">
        <w:r w:rsidR="00BF2770">
          <w:rPr>
            <w:rStyle w:val="Hyperlink"/>
          </w:rPr>
          <w:t>globalresearchalliance.org/n/new-activity-data-guidance/</w:t>
        </w:r>
      </w:hyperlink>
      <w:r>
        <w:t xml:space="preserve"> </w:t>
      </w:r>
    </w:p>
  </w:footnote>
  <w:footnote w:id="567">
    <w:p w14:paraId="20A45FD0" w14:textId="501AF8E9" w:rsidR="00EE180C" w:rsidRDefault="00EE180C" w:rsidP="00EE180C">
      <w:pPr>
        <w:pStyle w:val="FootnoteText"/>
      </w:pPr>
      <w:r>
        <w:rPr>
          <w:rStyle w:val="FootnoteReference"/>
        </w:rPr>
        <w:footnoteRef/>
      </w:r>
      <w:r>
        <w:t xml:space="preserve"> </w:t>
      </w:r>
      <w:r>
        <w:tab/>
      </w:r>
      <w:hyperlink r:id="rId428" w:history="1">
        <w:r w:rsidR="00BF2770">
          <w:rPr>
            <w:rStyle w:val="Hyperlink"/>
          </w:rPr>
          <w:t>globalresearchalliance.org/n/progressing-partnerships-in-africa-gra-webinar-series-2020/</w:t>
        </w:r>
      </w:hyperlink>
      <w:r>
        <w:t xml:space="preserve"> </w:t>
      </w:r>
    </w:p>
  </w:footnote>
  <w:footnote w:id="568">
    <w:p w14:paraId="5CFC7704" w14:textId="26B57B5F" w:rsidR="00EE180C" w:rsidRDefault="00EE180C" w:rsidP="00EE180C">
      <w:pPr>
        <w:pStyle w:val="FootnoteText"/>
      </w:pPr>
      <w:r>
        <w:rPr>
          <w:rStyle w:val="FootnoteReference"/>
        </w:rPr>
        <w:footnoteRef/>
      </w:r>
      <w:r>
        <w:t xml:space="preserve"> </w:t>
      </w:r>
      <w:r>
        <w:tab/>
      </w:r>
      <w:hyperlink r:id="rId429" w:history="1">
        <w:r w:rsidR="00BF2770">
          <w:rPr>
            <w:rStyle w:val="Hyperlink"/>
          </w:rPr>
          <w:t>globalresearchalliance.org/n/africa-partnership-webinar-2-creating-impact-through-collaboration/</w:t>
        </w:r>
      </w:hyperlink>
      <w:r>
        <w:t xml:space="preserve"> </w:t>
      </w:r>
    </w:p>
  </w:footnote>
  <w:footnote w:id="569">
    <w:p w14:paraId="5C6EC718" w14:textId="0408E8AB" w:rsidR="00EE180C" w:rsidRDefault="00EE180C" w:rsidP="00EE180C">
      <w:pPr>
        <w:pStyle w:val="FootnoteText"/>
      </w:pPr>
      <w:r>
        <w:rPr>
          <w:rStyle w:val="FootnoteReference"/>
        </w:rPr>
        <w:footnoteRef/>
      </w:r>
      <w:r>
        <w:t xml:space="preserve"> </w:t>
      </w:r>
      <w:r>
        <w:tab/>
      </w:r>
      <w:hyperlink r:id="rId430" w:history="1">
        <w:r w:rsidR="00BF2770">
          <w:rPr>
            <w:rStyle w:val="Hyperlink"/>
          </w:rPr>
          <w:t>globalresearchalliance.org/n/africa-partnership-webinar-3-demonstrating-impact/</w:t>
        </w:r>
      </w:hyperlink>
      <w:r>
        <w:t xml:space="preserve"> </w:t>
      </w:r>
    </w:p>
  </w:footnote>
  <w:footnote w:id="570">
    <w:p w14:paraId="20D8BA1D" w14:textId="202BA079" w:rsidR="00EE180C" w:rsidRDefault="00EE180C" w:rsidP="00EE180C">
      <w:pPr>
        <w:pStyle w:val="FootnoteText"/>
      </w:pPr>
      <w:r>
        <w:rPr>
          <w:rStyle w:val="FootnoteReference"/>
        </w:rPr>
        <w:footnoteRef/>
      </w:r>
      <w:r>
        <w:t xml:space="preserve"> </w:t>
      </w:r>
      <w:r>
        <w:tab/>
      </w:r>
      <w:hyperlink r:id="rId431" w:history="1">
        <w:r w:rsidR="00BF2770">
          <w:rPr>
            <w:rStyle w:val="Hyperlink"/>
          </w:rPr>
          <w:t>globalresearchalliance.org/n/food-loss-and-waste-workshop-in-sri-lanka/</w:t>
        </w:r>
      </w:hyperlink>
      <w:r>
        <w:t xml:space="preserve"> </w:t>
      </w:r>
    </w:p>
  </w:footnote>
  <w:footnote w:id="571">
    <w:p w14:paraId="3568AE92" w14:textId="69475BEF" w:rsidR="00EE180C" w:rsidRDefault="00EE180C" w:rsidP="00EE180C">
      <w:pPr>
        <w:pStyle w:val="FootnoteText"/>
      </w:pPr>
      <w:r>
        <w:rPr>
          <w:rStyle w:val="FootnoteReference"/>
        </w:rPr>
        <w:footnoteRef/>
      </w:r>
      <w:r>
        <w:t xml:space="preserve"> </w:t>
      </w:r>
      <w:r>
        <w:tab/>
      </w:r>
      <w:hyperlink r:id="rId432" w:history="1">
        <w:r w:rsidR="00BF2770">
          <w:rPr>
            <w:rStyle w:val="Hyperlink"/>
          </w:rPr>
          <w:t>globalresearchalliance.org/n/manure-management-network-webinar-feb-2022/</w:t>
        </w:r>
      </w:hyperlink>
      <w:r>
        <w:t xml:space="preserve"> </w:t>
      </w:r>
    </w:p>
  </w:footnote>
  <w:footnote w:id="572">
    <w:p w14:paraId="0BFDEE2F" w14:textId="5714661A" w:rsidR="00EE180C" w:rsidRDefault="00EE180C" w:rsidP="00EE180C">
      <w:pPr>
        <w:pStyle w:val="FootnoteText"/>
      </w:pPr>
      <w:r>
        <w:rPr>
          <w:rStyle w:val="FootnoteReference"/>
        </w:rPr>
        <w:footnoteRef/>
      </w:r>
      <w:r>
        <w:t xml:space="preserve"> </w:t>
      </w:r>
      <w:r>
        <w:tab/>
      </w:r>
      <w:hyperlink r:id="rId433" w:history="1">
        <w:r w:rsidR="00BF2770">
          <w:rPr>
            <w:rStyle w:val="Hyperlink"/>
          </w:rPr>
          <w:t>globalresearchalliance.org/n/manure-management-projects-webinar/</w:t>
        </w:r>
      </w:hyperlink>
      <w:r>
        <w:t xml:space="preserve"> </w:t>
      </w:r>
    </w:p>
  </w:footnote>
  <w:footnote w:id="573">
    <w:p w14:paraId="27A73E11" w14:textId="1CCEE0F1" w:rsidR="00EE180C" w:rsidRDefault="00EE180C" w:rsidP="00EE180C">
      <w:pPr>
        <w:pStyle w:val="FootnoteText"/>
      </w:pPr>
      <w:r>
        <w:rPr>
          <w:rStyle w:val="FootnoteReference"/>
        </w:rPr>
        <w:footnoteRef/>
      </w:r>
      <w:r>
        <w:t xml:space="preserve"> </w:t>
      </w:r>
      <w:r>
        <w:tab/>
      </w:r>
      <w:hyperlink r:id="rId434" w:history="1">
        <w:r w:rsidR="00BF2770">
          <w:rPr>
            <w:rStyle w:val="Hyperlink"/>
          </w:rPr>
          <w:t>globalresearchalliance.org/n/new-joint-research-mechanism-on-climate-and-agriculture-launched-between-ireland-and-new-zealand/</w:t>
        </w:r>
      </w:hyperlink>
      <w:r>
        <w:t xml:space="preserve"> </w:t>
      </w:r>
    </w:p>
  </w:footnote>
  <w:footnote w:id="574">
    <w:p w14:paraId="5604E678" w14:textId="58CD28EC" w:rsidR="00EE180C" w:rsidRDefault="00EE180C" w:rsidP="00EE180C">
      <w:pPr>
        <w:pStyle w:val="FootnoteText"/>
      </w:pPr>
      <w:r>
        <w:rPr>
          <w:rStyle w:val="FootnoteReference"/>
        </w:rPr>
        <w:footnoteRef/>
      </w:r>
      <w:r>
        <w:t xml:space="preserve"> </w:t>
      </w:r>
      <w:r>
        <w:tab/>
      </w:r>
      <w:hyperlink r:id="rId435" w:history="1">
        <w:r w:rsidR="00BF2770">
          <w:rPr>
            <w:rStyle w:val="Hyperlink"/>
          </w:rPr>
          <w:t>globalresearchalliance.org/n/new-e-learning-available/</w:t>
        </w:r>
      </w:hyperlink>
      <w:r>
        <w:t xml:space="preserve"> </w:t>
      </w:r>
    </w:p>
  </w:footnote>
  <w:footnote w:id="575">
    <w:p w14:paraId="150A70B3" w14:textId="2D50DCF1" w:rsidR="00EE180C" w:rsidRDefault="00EE180C" w:rsidP="00EE180C">
      <w:pPr>
        <w:pStyle w:val="FootnoteText"/>
      </w:pPr>
      <w:r>
        <w:rPr>
          <w:rStyle w:val="FootnoteReference"/>
        </w:rPr>
        <w:footnoteRef/>
      </w:r>
      <w:r>
        <w:t xml:space="preserve"> </w:t>
      </w:r>
      <w:r>
        <w:tab/>
      </w:r>
      <w:hyperlink r:id="rId436" w:history="1">
        <w:r w:rsidR="00BF2770">
          <w:rPr>
            <w:rStyle w:val="Hyperlink"/>
          </w:rPr>
          <w:t>www.mfat.govt.nz/en/environment/climate-change/supporting-our-region/the-climate-change-programme</w:t>
        </w:r>
      </w:hyperlink>
      <w:r>
        <w:t xml:space="preserve"> </w:t>
      </w:r>
    </w:p>
  </w:footnote>
  <w:footnote w:id="576">
    <w:p w14:paraId="4C92341B" w14:textId="09B06C2B" w:rsidR="00EE180C" w:rsidRDefault="00EE180C" w:rsidP="00EE180C">
      <w:pPr>
        <w:pStyle w:val="FootnoteText"/>
      </w:pPr>
      <w:r>
        <w:rPr>
          <w:rStyle w:val="FootnoteReference"/>
        </w:rPr>
        <w:footnoteRef/>
      </w:r>
      <w:r>
        <w:t xml:space="preserve"> </w:t>
      </w:r>
      <w:r>
        <w:tab/>
      </w:r>
      <w:hyperlink r:id="rId437" w:history="1">
        <w:r w:rsidR="00BF2770">
          <w:rPr>
            <w:rStyle w:val="Hyperlink"/>
          </w:rPr>
          <w:t>public.wmo.int/en/media/news/pacific-island-climate-outlook-forum</w:t>
        </w:r>
      </w:hyperlink>
      <w:r>
        <w:t xml:space="preserve"> </w:t>
      </w:r>
    </w:p>
  </w:footnote>
  <w:footnote w:id="577">
    <w:p w14:paraId="450CBE90" w14:textId="77777777" w:rsidR="009C7728" w:rsidRPr="00463FF5" w:rsidRDefault="009C7728" w:rsidP="009C7728">
      <w:pPr>
        <w:pStyle w:val="FootnoteText"/>
        <w:rPr>
          <w:highlight w:val="yellow"/>
        </w:rPr>
      </w:pPr>
      <w:r w:rsidRPr="00EC5AD3">
        <w:rPr>
          <w:rStyle w:val="FootnoteReference"/>
        </w:rPr>
        <w:footnoteRef/>
      </w:r>
      <w:r w:rsidRPr="00EC5AD3">
        <w:t xml:space="preserve"> </w:t>
      </w:r>
      <w:r w:rsidRPr="00EC5AD3">
        <w:tab/>
      </w:r>
      <w:hyperlink r:id="rId438" w:history="1">
        <w:r w:rsidRPr="00EC5AD3">
          <w:rPr>
            <w:rStyle w:val="Hyperlink"/>
          </w:rPr>
          <w:t>emissionsregister.govt.nz</w:t>
        </w:r>
      </w:hyperlink>
      <w:r w:rsidRPr="00EC5AD3">
        <w:t xml:space="preserve"> </w:t>
      </w:r>
    </w:p>
  </w:footnote>
  <w:footnote w:id="578">
    <w:p w14:paraId="14F760E6" w14:textId="77777777" w:rsidR="009C7728" w:rsidRPr="00463FF5" w:rsidRDefault="009C7728" w:rsidP="009C7728">
      <w:pPr>
        <w:pStyle w:val="FootnoteText"/>
        <w:rPr>
          <w:highlight w:val="yellow"/>
        </w:rPr>
      </w:pPr>
      <w:r w:rsidRPr="007620F4">
        <w:rPr>
          <w:rStyle w:val="FootnoteReference"/>
        </w:rPr>
        <w:footnoteRef/>
      </w:r>
      <w:r w:rsidRPr="007620F4">
        <w:t xml:space="preserve"> </w:t>
      </w:r>
      <w:r w:rsidRPr="007620F4">
        <w:tab/>
        <w:t xml:space="preserve">Ministry for the Environment. 2022. </w:t>
      </w:r>
      <w:r w:rsidRPr="007620F4">
        <w:rPr>
          <w:i/>
        </w:rPr>
        <w:t>New Zealand’s Greenhouse Gas Inventory 1990–2020.</w:t>
      </w:r>
      <w:r w:rsidRPr="007620F4">
        <w:t xml:space="preserve"> Retrieved from </w:t>
      </w:r>
      <w:hyperlink r:id="rId439" w:history="1">
        <w:r w:rsidRPr="00B77F6A">
          <w:rPr>
            <w:rStyle w:val="Hyperlink"/>
          </w:rPr>
          <w:t>environment.govt.nz/publications/new-zealands-greenhouse-gas-inventory-1990-2020</w:t>
        </w:r>
      </w:hyperlink>
      <w:r w:rsidRPr="007F2B66">
        <w:t>.</w:t>
      </w:r>
    </w:p>
  </w:footnote>
  <w:footnote w:id="579">
    <w:p w14:paraId="714D0F13" w14:textId="77777777" w:rsidR="009C7728" w:rsidRPr="00463FF5" w:rsidRDefault="009C7728" w:rsidP="009C7728">
      <w:pPr>
        <w:pStyle w:val="FootnoteText"/>
        <w:rPr>
          <w:highlight w:val="yellow"/>
        </w:rPr>
      </w:pPr>
      <w:r w:rsidRPr="00BE721B">
        <w:rPr>
          <w:rStyle w:val="FootnoteReference"/>
        </w:rPr>
        <w:footnoteRef/>
      </w:r>
      <w:r w:rsidRPr="00BE721B">
        <w:t xml:space="preserve"> </w:t>
      </w:r>
      <w:r w:rsidRPr="00BE721B">
        <w:tab/>
        <w:t>IPCC</w:t>
      </w:r>
      <w:r>
        <w:t>.</w:t>
      </w:r>
      <w:r w:rsidRPr="00BE721B">
        <w:t xml:space="preserve"> 2006</w:t>
      </w:r>
      <w:r>
        <w:t>.</w:t>
      </w:r>
      <w:r w:rsidRPr="00BE721B">
        <w:t xml:space="preserve"> Eggleston HS, Buendia L, Miwa K, Ngara T</w:t>
      </w:r>
      <w:r>
        <w:t>,</w:t>
      </w:r>
      <w:r w:rsidRPr="00BE721B">
        <w:t xml:space="preserve"> Tanabe K (eds). </w:t>
      </w:r>
      <w:r w:rsidRPr="00530850">
        <w:rPr>
          <w:i/>
          <w:iCs/>
        </w:rPr>
        <w:t>2006 IPCC Guidelines for National Greenhouse Gas Inventories</w:t>
      </w:r>
      <w:r>
        <w:t xml:space="preserve">. </w:t>
      </w:r>
      <w:r w:rsidRPr="00BE721B">
        <w:t>National Greenhouse Gas Inventories Programme</w:t>
      </w:r>
      <w:r>
        <w:t>. Hayama:</w:t>
      </w:r>
      <w:r w:rsidRPr="00BE721B">
        <w:t xml:space="preserve"> I</w:t>
      </w:r>
      <w:r>
        <w:t>nstitute for Global Environmental Strategies</w:t>
      </w:r>
      <w:r w:rsidRPr="00BE721B">
        <w:t>.</w:t>
      </w:r>
    </w:p>
  </w:footnote>
  <w:footnote w:id="580">
    <w:p w14:paraId="34483C98" w14:textId="77777777" w:rsidR="009C7728" w:rsidRPr="00053B40" w:rsidRDefault="009C7728" w:rsidP="009C7728">
      <w:pPr>
        <w:pStyle w:val="FootnoteText"/>
      </w:pPr>
      <w:r w:rsidRPr="00053B40">
        <w:rPr>
          <w:rStyle w:val="FootnoteReference"/>
        </w:rPr>
        <w:footnoteRef/>
      </w:r>
      <w:r w:rsidRPr="00053B40">
        <w:t xml:space="preserve"> </w:t>
      </w:r>
      <w:r w:rsidRPr="00053B40">
        <w:tab/>
        <w:t>IPCC. 2014. Hiraishi</w:t>
      </w:r>
      <w:r w:rsidRPr="002069EE">
        <w:t xml:space="preserve"> </w:t>
      </w:r>
      <w:r w:rsidRPr="00053B40">
        <w:t>T, Krug</w:t>
      </w:r>
      <w:r w:rsidRPr="002069EE">
        <w:t xml:space="preserve"> </w:t>
      </w:r>
      <w:r w:rsidRPr="00053B40">
        <w:t>T, Tanabe</w:t>
      </w:r>
      <w:r w:rsidRPr="002069EE">
        <w:t xml:space="preserve"> </w:t>
      </w:r>
      <w:r w:rsidRPr="00053B40">
        <w:t>K, Srivastava</w:t>
      </w:r>
      <w:r w:rsidRPr="002069EE">
        <w:t xml:space="preserve"> </w:t>
      </w:r>
      <w:r w:rsidRPr="00053B40">
        <w:t>N, Baasansuren</w:t>
      </w:r>
      <w:r w:rsidRPr="002069EE">
        <w:t xml:space="preserve"> </w:t>
      </w:r>
      <w:r w:rsidRPr="00053B40">
        <w:t xml:space="preserve">J, et al (eds). </w:t>
      </w:r>
      <w:r w:rsidRPr="00053B40">
        <w:rPr>
          <w:i/>
        </w:rPr>
        <w:t>2013 Revised Supplementary Methods and Good Practice Guidance Arising from the Kyoto Protocol</w:t>
      </w:r>
      <w:r w:rsidRPr="00053B40">
        <w:t>.</w:t>
      </w:r>
      <w:r w:rsidRPr="00053B40">
        <w:rPr>
          <w:i/>
        </w:rPr>
        <w:t xml:space="preserve"> </w:t>
      </w:r>
      <w:r w:rsidRPr="00053B40">
        <w:t>Geneva, Switzerland: IPCC.</w:t>
      </w:r>
    </w:p>
  </w:footnote>
  <w:footnote w:id="581">
    <w:p w14:paraId="52497440" w14:textId="77777777" w:rsidR="009C7728" w:rsidRPr="00F232CF" w:rsidRDefault="009C7728" w:rsidP="009C7728">
      <w:pPr>
        <w:pStyle w:val="FootnoteText"/>
      </w:pPr>
      <w:r w:rsidRPr="00F232CF">
        <w:rPr>
          <w:rStyle w:val="FootnoteReference"/>
        </w:rPr>
        <w:footnoteRef/>
      </w:r>
      <w:r w:rsidRPr="00F232CF">
        <w:t xml:space="preserve"> </w:t>
      </w:r>
      <w:r w:rsidRPr="00F232CF">
        <w:tab/>
        <w:t xml:space="preserve">UNFCCC. 2013. FCCC/CP/2013/10/Add.3. </w:t>
      </w:r>
      <w:r w:rsidRPr="00F232CF">
        <w:rPr>
          <w:i/>
        </w:rPr>
        <w:t>Report of the Conference of the Parties on its nineteenth session, held in Warsaw from 11 to 23 November 2013, Addendum; Decision 24/CP.19 Revision of the UNFCCC reporting guidelines on annual inventories for Parties included in Annex I to the Convention</w:t>
      </w:r>
      <w:r w:rsidRPr="00F232CF">
        <w:t>.</w:t>
      </w:r>
    </w:p>
  </w:footnote>
  <w:footnote w:id="582">
    <w:p w14:paraId="66FD9DB4" w14:textId="77777777" w:rsidR="009C7728" w:rsidRPr="00D924B5" w:rsidRDefault="009C7728" w:rsidP="009C7728">
      <w:pPr>
        <w:pStyle w:val="FootnoteText"/>
      </w:pPr>
      <w:r w:rsidRPr="00D924B5">
        <w:rPr>
          <w:rStyle w:val="FootnoteReference"/>
        </w:rPr>
        <w:footnoteRef/>
      </w:r>
      <w:r w:rsidRPr="00D924B5">
        <w:t xml:space="preserve"> </w:t>
      </w:r>
      <w:r w:rsidRPr="00D924B5">
        <w:tab/>
        <w:t xml:space="preserve">UNFCCC. 2012. FCCC/KP/CMP/2011/10/Add.1. </w:t>
      </w:r>
      <w:r w:rsidRPr="00D924B5">
        <w:rPr>
          <w:i/>
        </w:rPr>
        <w:t>Report of the Conference of the Parties serving as the meeting of the Parties to the Kyoto Protocol on its seventh session, held in Durban from 28 November to</w:t>
      </w:r>
      <w:r>
        <w:rPr>
          <w:i/>
        </w:rPr>
        <w:t> </w:t>
      </w:r>
      <w:r w:rsidRPr="00D924B5">
        <w:rPr>
          <w:i/>
        </w:rPr>
        <w:t>11 December 2011; Decision 2/CMP.7, Land use, land-use change and forestry.</w:t>
      </w:r>
    </w:p>
  </w:footnote>
  <w:footnote w:id="583">
    <w:p w14:paraId="2A97F628" w14:textId="77777777" w:rsidR="009C7728" w:rsidRPr="00D924B5" w:rsidRDefault="009C7728" w:rsidP="009C7728">
      <w:pPr>
        <w:pStyle w:val="FootnoteText"/>
      </w:pPr>
      <w:r w:rsidRPr="00D924B5">
        <w:rPr>
          <w:rStyle w:val="FootnoteReference"/>
        </w:rPr>
        <w:footnoteRef/>
      </w:r>
      <w:r w:rsidRPr="00D924B5">
        <w:t xml:space="preserve"> </w:t>
      </w:r>
      <w:r w:rsidRPr="00D924B5">
        <w:tab/>
        <w:t xml:space="preserve">UNFCCC. 2013. FCCC/KP/CMP/2012/13/Add.1. </w:t>
      </w:r>
      <w:r w:rsidRPr="00D924B5">
        <w:rPr>
          <w:i/>
        </w:rPr>
        <w:t>Decision 2/CMP.8 Implications of the implementation of decisions 2/CMP.7 to 5/CMP.7 on the previous decisions on methodological issues related to the Kyoto Protocol, including those relating to Articles 5, 7 and 8 of the Kyoto Protocol, Annex 2.</w:t>
      </w:r>
    </w:p>
  </w:footnote>
  <w:footnote w:id="584">
    <w:p w14:paraId="22CB285C" w14:textId="77777777" w:rsidR="009C7728" w:rsidRPr="00D924B5" w:rsidRDefault="009C7728" w:rsidP="009C7728">
      <w:pPr>
        <w:pStyle w:val="FootnoteText"/>
      </w:pPr>
      <w:r w:rsidRPr="00D924B5">
        <w:rPr>
          <w:rStyle w:val="FootnoteReference"/>
        </w:rPr>
        <w:footnoteRef/>
      </w:r>
      <w:r w:rsidRPr="00D924B5">
        <w:t xml:space="preserve"> </w:t>
      </w:r>
      <w:r w:rsidRPr="00D924B5">
        <w:tab/>
        <w:t xml:space="preserve">UNFCCC. 2016. FCCC/KP/CMP/2015/8/Add.1. </w:t>
      </w:r>
      <w:r w:rsidRPr="00D924B5">
        <w:rPr>
          <w:i/>
        </w:rPr>
        <w:t>Decision 3/CMP.11 Implications of the implementation of decisions 2/CMP.7 to 4/CMP.7 and 1/CMP.8 on the previous decisions on methodological issues related to the Kyoto Protocol, including those relating to Articles 5, 7 and 8 of the Kyoto Protocol, part I: implications related to accounting and reporting and other related issues.</w:t>
      </w:r>
    </w:p>
  </w:footnote>
  <w:footnote w:id="585">
    <w:p w14:paraId="66D8245E" w14:textId="77777777" w:rsidR="009C7728" w:rsidRPr="00D924B5" w:rsidRDefault="009C7728" w:rsidP="009C7728">
      <w:pPr>
        <w:pStyle w:val="FootnoteText"/>
      </w:pPr>
      <w:r w:rsidRPr="00D924B5">
        <w:rPr>
          <w:rStyle w:val="FootnoteReference"/>
        </w:rPr>
        <w:footnoteRef/>
      </w:r>
      <w:r w:rsidRPr="00D924B5">
        <w:t xml:space="preserve"> </w:t>
      </w:r>
      <w:r w:rsidRPr="00D924B5">
        <w:tab/>
        <w:t>UNFCCC. 2016. FCCC/KP/CMP/2015/8/Add.1.</w:t>
      </w:r>
      <w:r w:rsidRPr="00D924B5">
        <w:rPr>
          <w:i/>
        </w:rPr>
        <w:t xml:space="preserve"> Decision 4/CMP.11 Implications of the implementation of decisions 2/CMP.7 to 4/CMP.7 and 1/CMP.8 on the previous decisions on methodological issues related to the Kyoto Protocol, including those relating to Articles 5, 7 and 8 of the Kyoto Protocol, part II: implications related to review and adjustments and other related issues.</w:t>
      </w:r>
    </w:p>
  </w:footnote>
  <w:footnote w:id="586">
    <w:p w14:paraId="0CF806EA" w14:textId="77777777" w:rsidR="009C7728" w:rsidRPr="004B4F5A" w:rsidRDefault="009C7728" w:rsidP="009C7728">
      <w:pPr>
        <w:pStyle w:val="FootnoteText"/>
      </w:pPr>
      <w:r w:rsidRPr="004B4F5A">
        <w:rPr>
          <w:rStyle w:val="FootnoteReference"/>
        </w:rPr>
        <w:footnoteRef/>
      </w:r>
      <w:r w:rsidRPr="004B4F5A">
        <w:t xml:space="preserve"> </w:t>
      </w:r>
      <w:r w:rsidRPr="004B4F5A">
        <w:tab/>
        <w:t xml:space="preserve">UNFCCC. 2005. FCCC/KP/CMP/2005/8/Add.3. </w:t>
      </w:r>
      <w:r w:rsidRPr="004B4F5A">
        <w:rPr>
          <w:i/>
        </w:rPr>
        <w:t>Land use, land-use change and forestry</w:t>
      </w:r>
      <w:r w:rsidRPr="004B4F5A">
        <w:t>.</w:t>
      </w:r>
    </w:p>
    <w:p w14:paraId="222DED8A" w14:textId="77777777" w:rsidR="009C7728" w:rsidRPr="004B4F5A" w:rsidRDefault="009C7728" w:rsidP="009C7728">
      <w:pPr>
        <w:pStyle w:val="FootnoteText"/>
        <w:ind w:firstLine="0"/>
      </w:pPr>
      <w:r w:rsidRPr="004B4F5A">
        <w:t xml:space="preserve">UNFCCC. 2005. FCCC/KP/CMP/2005/8/Add.2. </w:t>
      </w:r>
      <w:r w:rsidRPr="004B4F5A">
        <w:rPr>
          <w:i/>
        </w:rPr>
        <w:t>Modalities for the accounting of assigned amounts under Article 7, paragraph 4 of the Kyoto Protocol</w:t>
      </w:r>
      <w:r w:rsidRPr="004B4F5A">
        <w:t xml:space="preserve">. </w:t>
      </w:r>
    </w:p>
    <w:p w14:paraId="56FE9941" w14:textId="77777777" w:rsidR="009C7728" w:rsidRPr="004B4F5A" w:rsidRDefault="009C7728" w:rsidP="009C7728">
      <w:pPr>
        <w:pStyle w:val="FootnoteText"/>
        <w:ind w:firstLine="0"/>
      </w:pPr>
      <w:r w:rsidRPr="004B4F5A">
        <w:t xml:space="preserve">UNFCCC. 2005. FCCC/KP/CMP/2005/8/Add.2. </w:t>
      </w:r>
      <w:r w:rsidRPr="004B4F5A">
        <w:rPr>
          <w:i/>
        </w:rPr>
        <w:t>Standard electronic format for reporting Kyoto Protocol units</w:t>
      </w:r>
      <w:r w:rsidRPr="004B4F5A">
        <w:t>.</w:t>
      </w:r>
    </w:p>
    <w:p w14:paraId="004A2F74" w14:textId="77777777" w:rsidR="009C7728" w:rsidRPr="004B4F5A" w:rsidRDefault="009C7728" w:rsidP="009C7728">
      <w:pPr>
        <w:pStyle w:val="FootnoteText"/>
        <w:ind w:firstLine="0"/>
      </w:pPr>
      <w:r w:rsidRPr="004B4F5A">
        <w:t xml:space="preserve">UNFCCC. 2005. FCCC/KP/CMP/2005/8/Add.2. </w:t>
      </w:r>
      <w:r w:rsidRPr="004B4F5A">
        <w:rPr>
          <w:i/>
        </w:rPr>
        <w:t>Guidelines for the preparation of the information required under Article 7 of the Kyoto Protocol</w:t>
      </w:r>
      <w:r w:rsidRPr="004B4F5A">
        <w:t>.</w:t>
      </w:r>
    </w:p>
    <w:p w14:paraId="390B2AA4" w14:textId="77777777" w:rsidR="009C7728" w:rsidRPr="004B4F5A" w:rsidRDefault="009C7728" w:rsidP="009C7728">
      <w:pPr>
        <w:pStyle w:val="FootnoteText"/>
        <w:ind w:firstLine="0"/>
      </w:pPr>
      <w:r w:rsidRPr="004B4F5A">
        <w:t xml:space="preserve">UNFCCC. 2005. FCCC/KP/CMP/2005/8/Add.3 </w:t>
      </w:r>
      <w:r w:rsidRPr="004B4F5A">
        <w:rPr>
          <w:i/>
        </w:rPr>
        <w:t>Guidelines for national systems under Article 5, paragraph 1 of the Kyoto Protocol</w:t>
      </w:r>
      <w:r w:rsidRPr="004B4F5A">
        <w:t>.</w:t>
      </w:r>
    </w:p>
    <w:p w14:paraId="7C6FA394" w14:textId="77777777" w:rsidR="009C7728" w:rsidRPr="004B4F5A" w:rsidRDefault="009C7728" w:rsidP="009C7728">
      <w:pPr>
        <w:pStyle w:val="FootnoteText"/>
        <w:ind w:firstLine="0"/>
      </w:pPr>
      <w:r w:rsidRPr="004B4F5A">
        <w:t xml:space="preserve">UNFCCC. 2005. FCCC/KP/CMP/2005/8/Add.3 </w:t>
      </w:r>
      <w:r w:rsidRPr="004B4F5A">
        <w:rPr>
          <w:i/>
        </w:rPr>
        <w:t>Good practice guidance and adjustments under Article 5, paragraph 2 of the Kyoto Protocol</w:t>
      </w:r>
      <w:r w:rsidRPr="004B4F5A">
        <w:t>.</w:t>
      </w:r>
    </w:p>
    <w:p w14:paraId="61E3505C" w14:textId="77777777" w:rsidR="009C7728" w:rsidRPr="004B4F5A" w:rsidRDefault="009C7728" w:rsidP="009C7728">
      <w:pPr>
        <w:pStyle w:val="FootnoteText"/>
        <w:ind w:firstLine="0"/>
      </w:pPr>
      <w:r w:rsidRPr="004B4F5A">
        <w:t xml:space="preserve">UNFCCC. 2005. FCCC/KP/CMP/2005/8/Add.3 </w:t>
      </w:r>
      <w:r w:rsidRPr="004B4F5A">
        <w:rPr>
          <w:i/>
        </w:rPr>
        <w:t>Issues relating to adjustments under Article 5, paragraph 2 of the Kyoto Protocol</w:t>
      </w:r>
      <w:r w:rsidRPr="004B4F5A">
        <w:t>.</w:t>
      </w:r>
    </w:p>
    <w:p w14:paraId="688ED354" w14:textId="77777777" w:rsidR="009C7728" w:rsidRPr="004B4F5A" w:rsidRDefault="009C7728" w:rsidP="009C7728">
      <w:pPr>
        <w:pStyle w:val="FootnoteText"/>
        <w:ind w:firstLine="0"/>
      </w:pPr>
      <w:r w:rsidRPr="004B4F5A">
        <w:t xml:space="preserve">UNFCCC. 2005. FCCC/KP/CMP/2005/8/Add.3 </w:t>
      </w:r>
      <w:r w:rsidRPr="004B4F5A">
        <w:rPr>
          <w:i/>
        </w:rPr>
        <w:t>Guidelines for review under Article 8 of the Kyoto Protocol</w:t>
      </w:r>
      <w:r w:rsidRPr="004B4F5A">
        <w:t>.</w:t>
      </w:r>
    </w:p>
    <w:p w14:paraId="4A4E2BA9" w14:textId="77777777" w:rsidR="009C7728" w:rsidRPr="004B4F5A" w:rsidRDefault="009C7728" w:rsidP="009C7728">
      <w:pPr>
        <w:pStyle w:val="FootnoteText"/>
        <w:ind w:firstLine="0"/>
      </w:pPr>
      <w:r w:rsidRPr="004B4F5A">
        <w:t xml:space="preserve">UNFCCC. 2005. FCCC/KP/CMP/2005/8/Add.3 </w:t>
      </w:r>
      <w:r w:rsidRPr="004B4F5A">
        <w:rPr>
          <w:i/>
        </w:rPr>
        <w:t>Terms of service for lead reviewers</w:t>
      </w:r>
      <w:r w:rsidRPr="004B4F5A">
        <w:t>.</w:t>
      </w:r>
    </w:p>
    <w:p w14:paraId="33EDCCAF" w14:textId="77777777" w:rsidR="009C7728" w:rsidRPr="004B4F5A" w:rsidRDefault="009C7728" w:rsidP="009C7728">
      <w:pPr>
        <w:pStyle w:val="FootnoteText"/>
        <w:ind w:firstLine="0"/>
      </w:pPr>
      <w:r w:rsidRPr="004B4F5A">
        <w:t xml:space="preserve">UNFCCC. 2005. FCCC/KP/CMP/2005/8/Add.3 </w:t>
      </w:r>
      <w:r w:rsidRPr="004B4F5A">
        <w:rPr>
          <w:i/>
        </w:rPr>
        <w:t>Issues relating to the implementation of Article 8 of the Kyoto Protocol – 1 (Training programme for members of expert review teams)</w:t>
      </w:r>
      <w:r w:rsidRPr="004B4F5A">
        <w:t>.</w:t>
      </w:r>
    </w:p>
    <w:p w14:paraId="44D22AB1" w14:textId="77777777" w:rsidR="009C7728" w:rsidRPr="004B4F5A" w:rsidRDefault="009C7728" w:rsidP="009C7728">
      <w:pPr>
        <w:pStyle w:val="FootnoteText"/>
        <w:ind w:firstLine="0"/>
      </w:pPr>
      <w:r w:rsidRPr="004B4F5A">
        <w:t xml:space="preserve">UNFCCC. 2005. FCCC/KP/CMP/2005/8/Add.3 </w:t>
      </w:r>
      <w:r w:rsidRPr="004B4F5A">
        <w:rPr>
          <w:i/>
        </w:rPr>
        <w:t>Issues relating to the implementation of Article 8 of the Kyoto Protocol – 2 (Confidential information)</w:t>
      </w:r>
      <w:r w:rsidRPr="004B4F5A">
        <w:t>.</w:t>
      </w:r>
    </w:p>
  </w:footnote>
  <w:footnote w:id="587">
    <w:p w14:paraId="4DBCAF54" w14:textId="0D3E2E44" w:rsidR="009C7728" w:rsidRPr="00530850" w:rsidRDefault="009C7728" w:rsidP="009C7728">
      <w:pPr>
        <w:pStyle w:val="FootnoteText"/>
      </w:pPr>
      <w:r w:rsidRPr="00530850">
        <w:rPr>
          <w:rStyle w:val="FootnoteReference"/>
        </w:rPr>
        <w:footnoteRef/>
      </w:r>
      <w:r w:rsidRPr="00530850">
        <w:t xml:space="preserve"> </w:t>
      </w:r>
      <w:r w:rsidRPr="00530850">
        <w:tab/>
        <w:t xml:space="preserve">Ministry for the Environment. 2022. </w:t>
      </w:r>
      <w:r w:rsidRPr="00530850">
        <w:rPr>
          <w:i/>
        </w:rPr>
        <w:t>New Zealand’s Greenhouse Gas Inventory 1990–2020.</w:t>
      </w:r>
      <w:r w:rsidRPr="00530850">
        <w:t xml:space="preserve"> Retrieved from </w:t>
      </w:r>
      <w:hyperlink r:id="rId440" w:history="1">
        <w:r w:rsidR="00317A53">
          <w:rPr>
            <w:rStyle w:val="Hyperlink"/>
          </w:rPr>
          <w:t>environment.govt.nz/publications/new-zealands-greenhouse-gas-inventory-1990-2020</w:t>
        </w:r>
      </w:hyperlink>
      <w:r w:rsidRPr="00530850">
        <w:t>.</w:t>
      </w:r>
    </w:p>
  </w:footnote>
  <w:footnote w:id="588">
    <w:p w14:paraId="5A9EF9FD" w14:textId="77777777" w:rsidR="009C7728" w:rsidRPr="00530850" w:rsidRDefault="009C7728" w:rsidP="009C7728">
      <w:pPr>
        <w:pStyle w:val="FootnoteText"/>
      </w:pPr>
      <w:r w:rsidRPr="00530850">
        <w:rPr>
          <w:rStyle w:val="FootnoteReference"/>
        </w:rPr>
        <w:footnoteRef/>
      </w:r>
      <w:r w:rsidRPr="00530850">
        <w:t xml:space="preserve"> </w:t>
      </w:r>
      <w:r w:rsidRPr="00530850">
        <w:tab/>
        <w:t>Ibid.</w:t>
      </w:r>
    </w:p>
  </w:footnote>
  <w:footnote w:id="589">
    <w:p w14:paraId="1FE93BE6" w14:textId="77777777" w:rsidR="009C7728" w:rsidRPr="00AD186B" w:rsidRDefault="009C7728" w:rsidP="009C7728">
      <w:pPr>
        <w:pStyle w:val="FootnoteText"/>
      </w:pPr>
      <w:r>
        <w:rPr>
          <w:rStyle w:val="FootnoteReference"/>
        </w:rPr>
        <w:footnoteRef/>
      </w:r>
      <w:r>
        <w:tab/>
      </w:r>
      <w:r w:rsidRPr="008850F6">
        <w:t>Ministry of Business, Innovation and Employment. 2021.</w:t>
      </w:r>
      <w:r w:rsidRPr="00AE43F5">
        <w:rPr>
          <w:i/>
        </w:rPr>
        <w:t xml:space="preserve"> Energy in New Zealand</w:t>
      </w:r>
      <w:r w:rsidRPr="008850F6">
        <w:t>. Wellington:</w:t>
      </w:r>
      <w:r w:rsidRPr="00AD186B">
        <w:t xml:space="preserve"> </w:t>
      </w:r>
      <w:r w:rsidRPr="008850F6">
        <w:t>MBIE.</w:t>
      </w:r>
      <w:r>
        <w:t xml:space="preserve"> </w:t>
      </w:r>
      <w:r w:rsidRPr="00CB1C46">
        <w:rPr>
          <w:rFonts w:cs="Calibri"/>
        </w:rPr>
        <w:t xml:space="preserve">Retrieved </w:t>
      </w:r>
      <w:r w:rsidRPr="00CB1C46">
        <w:t xml:space="preserve">from </w:t>
      </w:r>
      <w:hyperlink r:id="rId441" w:history="1">
        <w:r w:rsidRPr="00CB1C46">
          <w:rPr>
            <w:rStyle w:val="Hyperlink"/>
          </w:rPr>
          <w:t>www.mbie.govt.nz/building-and-energy/energy-and-natural-resources/energy-statistics-and-modelling/energy-publications-and-technical-papers/energy-in-new-zealand</w:t>
        </w:r>
      </w:hyperlink>
      <w:r>
        <w:t>.</w:t>
      </w:r>
    </w:p>
  </w:footnote>
  <w:footnote w:id="590">
    <w:p w14:paraId="51ABA9FD" w14:textId="1B0FE6CC" w:rsidR="009C7728" w:rsidRPr="008850F6" w:rsidRDefault="009C7728" w:rsidP="009C7728">
      <w:pPr>
        <w:pStyle w:val="FootnoteText"/>
      </w:pPr>
      <w:r w:rsidRPr="00154107">
        <w:rPr>
          <w:rStyle w:val="FootnoteReference"/>
        </w:rPr>
        <w:footnoteRef/>
      </w:r>
      <w:r w:rsidRPr="00154107">
        <w:t xml:space="preserve"> </w:t>
      </w:r>
      <w:r w:rsidRPr="00154107">
        <w:tab/>
        <w:t xml:space="preserve">Ministry for the Environment. 2022. </w:t>
      </w:r>
      <w:r w:rsidRPr="00154107">
        <w:rPr>
          <w:i/>
        </w:rPr>
        <w:t>New Zealand’s Greenhouse Gas Inventory 1990–2020.</w:t>
      </w:r>
      <w:r w:rsidRPr="00154107">
        <w:t xml:space="preserve"> Retrieved from</w:t>
      </w:r>
      <w:r w:rsidRPr="00530850">
        <w:t xml:space="preserve"> </w:t>
      </w:r>
      <w:hyperlink r:id="rId442" w:history="1">
        <w:r w:rsidR="00317A53">
          <w:rPr>
            <w:rStyle w:val="Hyperlink"/>
          </w:rPr>
          <w:t>environment.govt.nz/publications/new-zealands-greenhouse-gas-inventory-1990-2020</w:t>
        </w:r>
      </w:hyperlink>
      <w:r w:rsidRPr="00530850">
        <w:t>.</w:t>
      </w:r>
    </w:p>
  </w:footnote>
  <w:footnote w:id="591">
    <w:p w14:paraId="41A53B08" w14:textId="77777777" w:rsidR="009C7728" w:rsidRDefault="009C7728" w:rsidP="009C7728">
      <w:pPr>
        <w:pStyle w:val="FootnoteText"/>
      </w:pPr>
      <w:r>
        <w:rPr>
          <w:rStyle w:val="FootnoteReference"/>
        </w:rPr>
        <w:footnoteRef/>
      </w:r>
      <w:r>
        <w:tab/>
      </w:r>
      <w:r w:rsidRPr="00ED41F2">
        <w:t>Hennessy W</w:t>
      </w:r>
      <w:r w:rsidRPr="00ED41F2" w:rsidDel="00871BF1">
        <w:t xml:space="preserve">. </w:t>
      </w:r>
      <w:r w:rsidRPr="00ED41F2">
        <w:t>2021.</w:t>
      </w:r>
      <w:r w:rsidRPr="00ED41F2" w:rsidDel="00871BF1">
        <w:t xml:space="preserve"> </w:t>
      </w:r>
      <w:r w:rsidRPr="00ED41F2">
        <w:t>Inventory of HFC, SF</w:t>
      </w:r>
      <w:r w:rsidRPr="00ED41F2">
        <w:rPr>
          <w:vertAlign w:val="subscript"/>
        </w:rPr>
        <w:t>6</w:t>
      </w:r>
      <w:r w:rsidRPr="00ED41F2">
        <w:t xml:space="preserve"> and Other Industrial Process Emissions for New Zealand 2020. Unpublished report </w:t>
      </w:r>
      <w:r>
        <w:t>prepared for</w:t>
      </w:r>
      <w:r w:rsidRPr="00ED41F2">
        <w:t xml:space="preserve"> the Ministry for the Environment</w:t>
      </w:r>
      <w:r w:rsidRPr="00871BF1">
        <w:t xml:space="preserve"> </w:t>
      </w:r>
      <w:r w:rsidRPr="00ED41F2">
        <w:t>by Verum Group Ltd.</w:t>
      </w:r>
    </w:p>
  </w:footnote>
  <w:footnote w:id="592">
    <w:p w14:paraId="7AD67FDD" w14:textId="77777777" w:rsidR="009C7728" w:rsidRDefault="009C7728" w:rsidP="009C7728">
      <w:pPr>
        <w:pStyle w:val="FootnoteText"/>
      </w:pPr>
      <w:r>
        <w:rPr>
          <w:rStyle w:val="FootnoteReference"/>
        </w:rPr>
        <w:footnoteRef/>
      </w:r>
      <w:r>
        <w:tab/>
      </w:r>
      <w:r w:rsidRPr="00ED41F2">
        <w:t>Hennessy W, Maxwell D</w:t>
      </w:r>
      <w:r w:rsidRPr="00ED41F2" w:rsidDel="00871BF1">
        <w:t xml:space="preserve">. </w:t>
      </w:r>
      <w:r w:rsidRPr="00ED41F2">
        <w:t>2006.</w:t>
      </w:r>
      <w:r w:rsidRPr="00ED41F2" w:rsidDel="00871BF1">
        <w:t xml:space="preserve"> </w:t>
      </w:r>
      <w:r w:rsidRPr="00ED41F2">
        <w:t>Inventory of HFC, PFC and SF</w:t>
      </w:r>
      <w:r w:rsidRPr="00ED41F2">
        <w:rPr>
          <w:vertAlign w:val="subscript"/>
        </w:rPr>
        <w:t>6</w:t>
      </w:r>
      <w:r w:rsidRPr="00ED41F2">
        <w:t xml:space="preserve"> Emissions for New Zealand 2004–2005. Unpublished report </w:t>
      </w:r>
      <w:r>
        <w:t>prepared for</w:t>
      </w:r>
      <w:r w:rsidRPr="00ED41F2">
        <w:t xml:space="preserve"> the Ministry for the Environment</w:t>
      </w:r>
      <w:r w:rsidRPr="00871BF1">
        <w:t xml:space="preserve"> </w:t>
      </w:r>
      <w:r w:rsidRPr="00ED41F2">
        <w:t>by CRL Energy Ltd.</w:t>
      </w:r>
    </w:p>
  </w:footnote>
  <w:footnote w:id="593">
    <w:p w14:paraId="11F438F3" w14:textId="77777777" w:rsidR="009C7728" w:rsidRDefault="009C7728" w:rsidP="009C7728">
      <w:pPr>
        <w:pStyle w:val="FootnoteText"/>
      </w:pPr>
      <w:r>
        <w:rPr>
          <w:rStyle w:val="FootnoteReference"/>
        </w:rPr>
        <w:footnoteRef/>
      </w:r>
      <w:r>
        <w:tab/>
        <w:t xml:space="preserve">Ministry for Primary Industries. 2022. </w:t>
      </w:r>
      <w:r w:rsidRPr="003C1751">
        <w:rPr>
          <w:i/>
        </w:rPr>
        <w:t xml:space="preserve">Methodology for </w:t>
      </w:r>
      <w:r w:rsidRPr="00175DE7">
        <w:rPr>
          <w:i/>
          <w:iCs/>
        </w:rPr>
        <w:t xml:space="preserve">Calculation </w:t>
      </w:r>
      <w:r w:rsidRPr="003C1751">
        <w:rPr>
          <w:i/>
        </w:rPr>
        <w:t xml:space="preserve">of New Zealand’s </w:t>
      </w:r>
      <w:r w:rsidRPr="00175DE7">
        <w:rPr>
          <w:i/>
          <w:iCs/>
        </w:rPr>
        <w:t>Agricultural Greenhouse Gas Emissions</w:t>
      </w:r>
      <w:r>
        <w:t xml:space="preserve">. Wellington: Ministry for Primary Industries. Retrieved from </w:t>
      </w:r>
      <w:hyperlink r:id="rId443" w:history="1">
        <w:r w:rsidRPr="00175DE7">
          <w:rPr>
            <w:rStyle w:val="Hyperlink"/>
          </w:rPr>
          <w:t>www.mpi.govt.nz/dmsdocument/13906-detailed-methodologies-for-agricultural-greenhouse-gas-emission-calculation</w:t>
        </w:r>
      </w:hyperlink>
    </w:p>
  </w:footnote>
  <w:footnote w:id="594">
    <w:p w14:paraId="613978E6" w14:textId="1C5FA838" w:rsidR="009C7728" w:rsidRDefault="009C7728" w:rsidP="009C7728">
      <w:pPr>
        <w:pStyle w:val="FootnoteText"/>
      </w:pPr>
      <w:r>
        <w:rPr>
          <w:rStyle w:val="FootnoteReference"/>
        </w:rPr>
        <w:footnoteRef/>
      </w:r>
      <w:r>
        <w:tab/>
      </w:r>
      <w:r w:rsidRPr="00154107">
        <w:t xml:space="preserve">Ministry for the Environment. 2022. </w:t>
      </w:r>
      <w:r w:rsidRPr="00154107">
        <w:rPr>
          <w:i/>
        </w:rPr>
        <w:t>New Zealand’s Greenhouse Gas Inventory 1990–2020.</w:t>
      </w:r>
      <w:r w:rsidRPr="00154107">
        <w:t xml:space="preserve"> Retrieved from</w:t>
      </w:r>
      <w:r w:rsidRPr="00530850">
        <w:t xml:space="preserve"> </w:t>
      </w:r>
      <w:hyperlink r:id="rId444" w:history="1">
        <w:r w:rsidR="00317A53">
          <w:rPr>
            <w:rStyle w:val="Hyperlink"/>
          </w:rPr>
          <w:t>environment.govt.nz/publications/new-zealands-greenhouse-gas-inventory-1990-2020</w:t>
        </w:r>
      </w:hyperlink>
      <w:r w:rsidRPr="00530850">
        <w:t>.</w:t>
      </w:r>
    </w:p>
  </w:footnote>
  <w:footnote w:id="595">
    <w:p w14:paraId="74DFF95A" w14:textId="77777777" w:rsidR="009C7728" w:rsidRDefault="009C7728" w:rsidP="009C7728">
      <w:pPr>
        <w:pStyle w:val="FootnoteText"/>
      </w:pPr>
      <w:r>
        <w:rPr>
          <w:rStyle w:val="FootnoteReference"/>
        </w:rPr>
        <w:footnoteRef/>
      </w:r>
      <w:r>
        <w:tab/>
        <w:t>Ibid.</w:t>
      </w:r>
    </w:p>
  </w:footnote>
  <w:footnote w:id="596">
    <w:p w14:paraId="4F6DDDD1" w14:textId="77777777" w:rsidR="009C7728" w:rsidRDefault="009C7728" w:rsidP="009C7728">
      <w:pPr>
        <w:pStyle w:val="FootnoteText"/>
      </w:pPr>
      <w:r>
        <w:rPr>
          <w:rStyle w:val="FootnoteReference"/>
        </w:rPr>
        <w:footnoteRef/>
      </w:r>
      <w:r>
        <w:tab/>
        <w:t>Ibid.</w:t>
      </w:r>
    </w:p>
  </w:footnote>
  <w:footnote w:id="597">
    <w:p w14:paraId="44E378F6" w14:textId="77777777" w:rsidR="009C7728" w:rsidRDefault="009C7728" w:rsidP="009C7728">
      <w:pPr>
        <w:pStyle w:val="FootnoteText"/>
      </w:pPr>
      <w:r>
        <w:rPr>
          <w:rStyle w:val="FootnoteReference"/>
        </w:rPr>
        <w:footnoteRef/>
      </w:r>
      <w:r>
        <w:tab/>
      </w:r>
      <w:r w:rsidRPr="00B65BBF">
        <w:t xml:space="preserve">Eunomia. </w:t>
      </w:r>
      <w:r>
        <w:t>2020</w:t>
      </w:r>
      <w:r w:rsidRPr="00B65BBF">
        <w:t>. Improvements to Estimates of Greenhouse Gas Emissions from Landfills.</w:t>
      </w:r>
      <w:r w:rsidRPr="00C54ABF">
        <w:t xml:space="preserve"> </w:t>
      </w:r>
      <w:r w:rsidRPr="00B65BBF">
        <w:t xml:space="preserve">Unpublished </w:t>
      </w:r>
      <w:r>
        <w:t>r</w:t>
      </w:r>
      <w:r w:rsidRPr="00B65BBF">
        <w:t xml:space="preserve">eport </w:t>
      </w:r>
      <w:r>
        <w:t>prepared for</w:t>
      </w:r>
      <w:r w:rsidRPr="00B65BBF">
        <w:t xml:space="preserve"> the Ministry for the Environment.</w:t>
      </w:r>
    </w:p>
  </w:footnote>
  <w:footnote w:id="598">
    <w:p w14:paraId="65A44DA1" w14:textId="552BF05B" w:rsidR="009C7728" w:rsidRDefault="009C7728" w:rsidP="009C7728">
      <w:pPr>
        <w:pStyle w:val="FootnoteText"/>
      </w:pPr>
      <w:r>
        <w:rPr>
          <w:rStyle w:val="FootnoteReference"/>
        </w:rPr>
        <w:footnoteRef/>
      </w:r>
      <w:r>
        <w:tab/>
      </w:r>
      <w:r>
        <w:rPr>
          <w:lang w:eastAsia="en-US"/>
        </w:rPr>
        <w:t xml:space="preserve">Cardno. 2015. </w:t>
      </w:r>
      <w:r>
        <w:rPr>
          <w:i/>
          <w:iCs/>
          <w:lang w:eastAsia="en-US"/>
        </w:rPr>
        <w:t>Greenhouse Gas Emissions from Industrial Wastewater Treatment.</w:t>
      </w:r>
      <w:r>
        <w:rPr>
          <w:lang w:eastAsia="en-US"/>
        </w:rPr>
        <w:t xml:space="preserve"> Report prepared for</w:t>
      </w:r>
      <w:r w:rsidR="002B2665">
        <w:rPr>
          <w:lang w:eastAsia="en-US"/>
        </w:rPr>
        <w:t> </w:t>
      </w:r>
      <w:r>
        <w:rPr>
          <w:lang w:eastAsia="en-US"/>
        </w:rPr>
        <w:t>the</w:t>
      </w:r>
      <w:r w:rsidR="002B2665">
        <w:rPr>
          <w:lang w:eastAsia="en-US"/>
        </w:rPr>
        <w:t> </w:t>
      </w:r>
      <w:r>
        <w:rPr>
          <w:lang w:eastAsia="en-US"/>
        </w:rPr>
        <w:t xml:space="preserve">Ministry for the Environment. Wellington: Ministry for the Environment. Retrieved from </w:t>
      </w:r>
      <w:hyperlink r:id="rId445" w:history="1">
        <w:r w:rsidR="00317A53">
          <w:rPr>
            <w:rStyle w:val="Hyperlink"/>
            <w:rFonts w:cs="Calibri"/>
            <w:lang w:eastAsia="en-US"/>
          </w:rPr>
          <w:t>environment.govt.nz/publications/greenhouse-gas-emissions-from-industrial-wastewater-treatment-inventory-basis-review</w:t>
        </w:r>
      </w:hyperlink>
      <w:r w:rsidRPr="00B65BBF">
        <w:t>.</w:t>
      </w:r>
    </w:p>
  </w:footnote>
  <w:footnote w:id="599">
    <w:p w14:paraId="6B4318A4" w14:textId="2A103BBA" w:rsidR="009C7728" w:rsidRDefault="009C7728" w:rsidP="009C7728">
      <w:pPr>
        <w:pStyle w:val="FootnoteText"/>
      </w:pPr>
      <w:r>
        <w:rPr>
          <w:rStyle w:val="FootnoteReference"/>
        </w:rPr>
        <w:footnoteRef/>
      </w:r>
      <w:r>
        <w:tab/>
      </w:r>
      <w:r w:rsidRPr="00154107">
        <w:t xml:space="preserve">Ministry for the Environment. 2022. </w:t>
      </w:r>
      <w:r w:rsidRPr="00154107">
        <w:rPr>
          <w:i/>
        </w:rPr>
        <w:t>New Zealand’s Greenhouse Gas Inventory 1990–2020.</w:t>
      </w:r>
      <w:r w:rsidRPr="00154107">
        <w:t xml:space="preserve"> </w:t>
      </w:r>
      <w:r>
        <w:t xml:space="preserve">Wellington: Ministry for the Environment. </w:t>
      </w:r>
      <w:r w:rsidRPr="00154107">
        <w:t>Retrieved from</w:t>
      </w:r>
      <w:r w:rsidRPr="00530850">
        <w:t xml:space="preserve"> </w:t>
      </w:r>
      <w:hyperlink r:id="rId446" w:history="1">
        <w:r w:rsidR="00317A53">
          <w:rPr>
            <w:rStyle w:val="Hyperlink"/>
          </w:rPr>
          <w:t>environment.govt.nz/publications/new-zealands-greenhouse-gas-inventory-1990-2020</w:t>
        </w:r>
      </w:hyperlink>
      <w:r w:rsidRPr="00530850">
        <w:t>.</w:t>
      </w:r>
    </w:p>
  </w:footnote>
  <w:footnote w:id="600">
    <w:p w14:paraId="08152EC9" w14:textId="0A62E02B" w:rsidR="009C7728" w:rsidRPr="0075141E" w:rsidRDefault="009C7728" w:rsidP="009C7728">
      <w:pPr>
        <w:pStyle w:val="FootnoteText"/>
      </w:pPr>
      <w:r w:rsidRPr="00B12FC8">
        <w:rPr>
          <w:rStyle w:val="FootnoteReference"/>
        </w:rPr>
        <w:footnoteRef/>
      </w:r>
      <w:r w:rsidRPr="00B12FC8">
        <w:t xml:space="preserve"> </w:t>
      </w:r>
      <w:r w:rsidRPr="00B12FC8">
        <w:tab/>
        <w:t>IP</w:t>
      </w:r>
      <w:r w:rsidR="00B24EC0">
        <w:t>C</w:t>
      </w:r>
      <w:r w:rsidRPr="00B12FC8">
        <w:t>C. 2006. Eggleston</w:t>
      </w:r>
      <w:r w:rsidRPr="007161D2">
        <w:t xml:space="preserve"> </w:t>
      </w:r>
      <w:r w:rsidRPr="00B12FC8">
        <w:t>HS, Buendia</w:t>
      </w:r>
      <w:r w:rsidRPr="007161D2">
        <w:t xml:space="preserve"> </w:t>
      </w:r>
      <w:r w:rsidRPr="00B12FC8">
        <w:t>L, Miwa</w:t>
      </w:r>
      <w:r w:rsidRPr="007161D2">
        <w:t xml:space="preserve"> </w:t>
      </w:r>
      <w:r w:rsidRPr="00B12FC8">
        <w:t>K, Ngara</w:t>
      </w:r>
      <w:r w:rsidRPr="007161D2">
        <w:t xml:space="preserve"> </w:t>
      </w:r>
      <w:r w:rsidRPr="00B12FC8">
        <w:t xml:space="preserve">T, Tanabe K (eds). </w:t>
      </w:r>
      <w:r w:rsidRPr="00B12FC8">
        <w:rPr>
          <w:i/>
        </w:rPr>
        <w:t>2006 IPCC Guidelines for National</w:t>
      </w:r>
      <w:r w:rsidRPr="0075141E">
        <w:rPr>
          <w:i/>
        </w:rPr>
        <w:t xml:space="preserve"> Greenhouse Gas Inventories. Volume 1. General Guidance and Reporting. </w:t>
      </w:r>
      <w:r w:rsidRPr="0075141E">
        <w:t>IPCC National Greenhouse Gas Inventories Programme. Hayama: Institute for Global Environmental Strategies, section 4.1.1, p 4.5.</w:t>
      </w:r>
    </w:p>
  </w:footnote>
  <w:footnote w:id="601">
    <w:p w14:paraId="2FB09B61" w14:textId="350CC774" w:rsidR="009C7728" w:rsidRPr="00CF0D42" w:rsidRDefault="009C7728" w:rsidP="009C7728">
      <w:pPr>
        <w:pStyle w:val="FootnoteText"/>
      </w:pPr>
      <w:r w:rsidRPr="00484A0E">
        <w:rPr>
          <w:rStyle w:val="FootnoteReference"/>
        </w:rPr>
        <w:footnoteRef/>
      </w:r>
      <w:r w:rsidRPr="00484A0E">
        <w:t xml:space="preserve"> </w:t>
      </w:r>
      <w:r w:rsidRPr="00484A0E">
        <w:tab/>
        <w:t>IP</w:t>
      </w:r>
      <w:r w:rsidR="00D549FF">
        <w:t>C</w:t>
      </w:r>
      <w:r w:rsidRPr="00484A0E">
        <w:t>C. 2006. Eggleston</w:t>
      </w:r>
      <w:r w:rsidRPr="008A62C7">
        <w:t xml:space="preserve"> </w:t>
      </w:r>
      <w:r w:rsidRPr="00484A0E">
        <w:t>HS, Buendia</w:t>
      </w:r>
      <w:r w:rsidRPr="008A62C7">
        <w:t xml:space="preserve"> </w:t>
      </w:r>
      <w:r w:rsidRPr="00484A0E">
        <w:t>L,</w:t>
      </w:r>
      <w:r w:rsidRPr="00484A0E" w:rsidDel="008A62C7">
        <w:t xml:space="preserve"> </w:t>
      </w:r>
      <w:r w:rsidRPr="00484A0E">
        <w:t>Miwa K, Ngara</w:t>
      </w:r>
      <w:r w:rsidRPr="008A62C7">
        <w:t xml:space="preserve"> </w:t>
      </w:r>
      <w:r w:rsidRPr="00484A0E">
        <w:t xml:space="preserve">T, Tanabe K (eds). </w:t>
      </w:r>
      <w:r w:rsidRPr="00484A0E">
        <w:rPr>
          <w:i/>
        </w:rPr>
        <w:t>2006 IPCC Guidelines for National</w:t>
      </w:r>
      <w:r w:rsidRPr="00CF0D42">
        <w:rPr>
          <w:i/>
        </w:rPr>
        <w:t xml:space="preserve"> Greenhouse Gas Inventories. Volume 1. General Guidance and Reporting. </w:t>
      </w:r>
      <w:r w:rsidRPr="00CF0D42">
        <w:t>IPCC National Greenhouse Gas Inventories Programme. Hayama: Institute for Global Environmental Strategies.</w:t>
      </w:r>
    </w:p>
  </w:footnote>
  <w:footnote w:id="602">
    <w:p w14:paraId="2545A138" w14:textId="77777777" w:rsidR="009C7728" w:rsidRDefault="009C7728" w:rsidP="009C7728">
      <w:pPr>
        <w:pStyle w:val="FootnoteText"/>
      </w:pPr>
      <w:r>
        <w:rPr>
          <w:rStyle w:val="FootnoteReference"/>
        </w:rPr>
        <w:footnoteRef/>
      </w:r>
      <w:r>
        <w:tab/>
      </w:r>
      <w:r w:rsidRPr="00CF0D42">
        <w:t xml:space="preserve">UNFCCC. 2013. FCCC/CP/2013/10/Add.3. </w:t>
      </w:r>
      <w:r w:rsidRPr="00CF0D42">
        <w:rPr>
          <w:i/>
        </w:rPr>
        <w:t>Report of the Conference of the Parties on its nineteenth session, held in Warsaw from 11 to 23 November 2013, Addendum; Decision 24/CP.19 Revision of the UNFCCC reporting guidelines on annual inventories for Parties included in Annex I to the Convention</w:t>
      </w:r>
      <w:r w:rsidRPr="00CF0D42">
        <w:t>.</w:t>
      </w:r>
    </w:p>
  </w:footnote>
  <w:footnote w:id="603">
    <w:p w14:paraId="7B46B808" w14:textId="403EC025" w:rsidR="009C7728" w:rsidRPr="00463FF5" w:rsidRDefault="009C7728" w:rsidP="009C7728">
      <w:pPr>
        <w:pStyle w:val="FootnoteText"/>
        <w:rPr>
          <w:highlight w:val="yellow"/>
        </w:rPr>
      </w:pPr>
      <w:r w:rsidRPr="00484A0E">
        <w:rPr>
          <w:rStyle w:val="FootnoteReference"/>
        </w:rPr>
        <w:footnoteRef/>
      </w:r>
      <w:r w:rsidRPr="00484A0E">
        <w:t xml:space="preserve"> </w:t>
      </w:r>
      <w:r w:rsidRPr="00484A0E">
        <w:tab/>
        <w:t xml:space="preserve">Ministry for the Environment. 2022. </w:t>
      </w:r>
      <w:r w:rsidRPr="00484A0E">
        <w:rPr>
          <w:i/>
        </w:rPr>
        <w:t>New Zealand’s Greenhouse Gas Inventory 1990–2020.</w:t>
      </w:r>
      <w:r w:rsidRPr="00484A0E">
        <w:t xml:space="preserve"> Wellington:</w:t>
      </w:r>
      <w:r>
        <w:t xml:space="preserve"> Ministry for the Environment. </w:t>
      </w:r>
      <w:r w:rsidRPr="00DF3506">
        <w:t xml:space="preserve">Retrieved from </w:t>
      </w:r>
      <w:hyperlink r:id="rId447" w:history="1">
        <w:r w:rsidR="002B2665">
          <w:rPr>
            <w:rStyle w:val="Hyperlink"/>
          </w:rPr>
          <w:t>environment.govt.nz/publications/new-zealands-greenhouse-gas-inventory-1990-2020</w:t>
        </w:r>
      </w:hyperlink>
      <w:r w:rsidRPr="00530850">
        <w:t>.</w:t>
      </w:r>
    </w:p>
  </w:footnote>
  <w:footnote w:id="604">
    <w:p w14:paraId="630F112D" w14:textId="7E8D37C0" w:rsidR="009C7728" w:rsidRPr="00463FF5" w:rsidRDefault="009C7728" w:rsidP="009C7728">
      <w:pPr>
        <w:pStyle w:val="FootnoteText"/>
        <w:rPr>
          <w:highlight w:val="yellow"/>
        </w:rPr>
      </w:pPr>
      <w:r w:rsidRPr="00B924F3">
        <w:rPr>
          <w:rStyle w:val="FootnoteReference"/>
        </w:rPr>
        <w:footnoteRef/>
      </w:r>
      <w:r w:rsidRPr="00B924F3">
        <w:t xml:space="preserve"> </w:t>
      </w:r>
      <w:r w:rsidRPr="00B924F3">
        <w:tab/>
        <w:t>IP</w:t>
      </w:r>
      <w:r w:rsidR="00D549FF">
        <w:t>C</w:t>
      </w:r>
      <w:r w:rsidRPr="00B924F3">
        <w:t>C. 2006. Eggleston</w:t>
      </w:r>
      <w:r w:rsidRPr="00FF59AD">
        <w:t xml:space="preserve"> </w:t>
      </w:r>
      <w:r w:rsidRPr="00B924F3">
        <w:t>HS, Buendia</w:t>
      </w:r>
      <w:r w:rsidRPr="00FF59AD">
        <w:t xml:space="preserve"> </w:t>
      </w:r>
      <w:r w:rsidRPr="00B924F3">
        <w:t>L, Miwa</w:t>
      </w:r>
      <w:r w:rsidRPr="00FF59AD">
        <w:t xml:space="preserve"> </w:t>
      </w:r>
      <w:r w:rsidRPr="00B924F3">
        <w:t>K, Ngara</w:t>
      </w:r>
      <w:r w:rsidRPr="00FF59AD">
        <w:t xml:space="preserve"> </w:t>
      </w:r>
      <w:r w:rsidRPr="00B924F3">
        <w:t xml:space="preserve">T, Tanabe K (eds). </w:t>
      </w:r>
      <w:r w:rsidRPr="00B924F3">
        <w:rPr>
          <w:i/>
        </w:rPr>
        <w:t>2006 IPCC Guidelines for National</w:t>
      </w:r>
      <w:r w:rsidRPr="0075141E">
        <w:rPr>
          <w:i/>
        </w:rPr>
        <w:t xml:space="preserve"> Greenhouse Gas Inventories. Volume 1. General Guidance and Reporting. </w:t>
      </w:r>
      <w:r w:rsidRPr="0075141E">
        <w:t xml:space="preserve">IPCC National Greenhouse Gas Inventories Programme. Hayama: Institute for Global Environmental Strategies, </w:t>
      </w:r>
      <w:r>
        <w:t>chapter 6</w:t>
      </w:r>
      <w:r w:rsidRPr="0075141E">
        <w:t>.</w:t>
      </w:r>
    </w:p>
  </w:footnote>
  <w:footnote w:id="605">
    <w:p w14:paraId="5412D85E" w14:textId="15CF18AD" w:rsidR="009C7728" w:rsidRDefault="009C7728" w:rsidP="009C7728">
      <w:pPr>
        <w:pStyle w:val="FootnoteText"/>
      </w:pPr>
      <w:r>
        <w:rPr>
          <w:rStyle w:val="FootnoteReference"/>
        </w:rPr>
        <w:footnoteRef/>
      </w:r>
      <w:r>
        <w:tab/>
      </w:r>
      <w:r w:rsidRPr="00484A0E">
        <w:t xml:space="preserve">Ministry for the Environment. 2022. </w:t>
      </w:r>
      <w:r w:rsidRPr="00484A0E">
        <w:rPr>
          <w:i/>
        </w:rPr>
        <w:t>New Zealand’s Greenhouse Gas Inventory 1990–2020.</w:t>
      </w:r>
      <w:r w:rsidRPr="00484A0E">
        <w:t xml:space="preserve"> Wellington:</w:t>
      </w:r>
      <w:r>
        <w:t xml:space="preserve"> Ministry for the Environment. </w:t>
      </w:r>
      <w:r w:rsidRPr="00DF3506">
        <w:t xml:space="preserve">Retrieved from </w:t>
      </w:r>
      <w:hyperlink r:id="rId448" w:history="1">
        <w:r w:rsidR="00D3471F">
          <w:rPr>
            <w:rStyle w:val="Hyperlink"/>
          </w:rPr>
          <w:t>environment.govt.nz/publications/new-zealands-greenhouse-gas-inventory-1990-2020</w:t>
        </w:r>
      </w:hyperlink>
      <w:r>
        <w:t>.</w:t>
      </w:r>
    </w:p>
  </w:footnote>
  <w:footnote w:id="606">
    <w:p w14:paraId="72037300" w14:textId="77777777" w:rsidR="009C7728" w:rsidRPr="00463FF5" w:rsidRDefault="009C7728" w:rsidP="009C7728">
      <w:pPr>
        <w:pStyle w:val="FootnoteText"/>
        <w:rPr>
          <w:highlight w:val="yellow"/>
        </w:rPr>
      </w:pPr>
      <w:r w:rsidRPr="006D0B47">
        <w:rPr>
          <w:rStyle w:val="FootnoteReference"/>
        </w:rPr>
        <w:footnoteRef/>
      </w:r>
      <w:r w:rsidRPr="006D0B47">
        <w:t xml:space="preserve"> </w:t>
      </w:r>
      <w:r w:rsidRPr="006D0B47">
        <w:tab/>
      </w:r>
      <w:r>
        <w:t>Ibid.</w:t>
      </w:r>
    </w:p>
  </w:footnote>
  <w:footnote w:id="607">
    <w:p w14:paraId="095FB393" w14:textId="400077DC" w:rsidR="009C7728" w:rsidRPr="008C65BF" w:rsidRDefault="009C7728" w:rsidP="009C7728">
      <w:pPr>
        <w:pStyle w:val="FootnoteText"/>
      </w:pPr>
      <w:r w:rsidRPr="008C65BF">
        <w:rPr>
          <w:rStyle w:val="FootnoteReference"/>
        </w:rPr>
        <w:footnoteRef/>
      </w:r>
      <w:r w:rsidRPr="008C65BF">
        <w:t xml:space="preserve"> </w:t>
      </w:r>
      <w:r w:rsidRPr="008C65BF">
        <w:tab/>
        <w:t>The review reports for each review event mentioned in this section are published by the UNFCCC and can</w:t>
      </w:r>
      <w:r w:rsidR="00D3471F">
        <w:t> </w:t>
      </w:r>
      <w:r w:rsidRPr="008C65BF">
        <w:t xml:space="preserve">be retrieved from </w:t>
      </w:r>
      <w:hyperlink r:id="rId449" w:history="1">
        <w:r w:rsidR="00D3471F">
          <w:rPr>
            <w:rStyle w:val="Hyperlink"/>
          </w:rPr>
          <w:t>unfccc.int/national_reports/annex_i_ghg_inventories/inventory_review_ reports/items/6616.php</w:t>
        </w:r>
      </w:hyperlink>
      <w:r w:rsidRPr="008C65BF">
        <w:rPr>
          <w:rStyle w:val="Hyperlink"/>
        </w:rPr>
        <w:t>.</w:t>
      </w:r>
      <w:r w:rsidRPr="008C65BF">
        <w:t xml:space="preserve"> </w:t>
      </w:r>
    </w:p>
  </w:footnote>
  <w:footnote w:id="608">
    <w:p w14:paraId="3778C986" w14:textId="77777777" w:rsidR="009C7728" w:rsidRPr="00525B6A" w:rsidRDefault="009C7728" w:rsidP="009C7728">
      <w:pPr>
        <w:pStyle w:val="FootnoteText"/>
      </w:pPr>
      <w:r w:rsidRPr="00525B6A">
        <w:rPr>
          <w:rStyle w:val="FootnoteReference"/>
        </w:rPr>
        <w:footnoteRef/>
      </w:r>
      <w:r w:rsidRPr="00525B6A">
        <w:t xml:space="preserve"> </w:t>
      </w:r>
      <w:r w:rsidRPr="00525B6A">
        <w:tab/>
      </w:r>
      <w:hyperlink r:id="rId450" w:history="1">
        <w:r w:rsidRPr="00525B6A">
          <w:rPr>
            <w:rStyle w:val="Hyperlink"/>
          </w:rPr>
          <w:t>https://emissionsregister.govt.nz</w:t>
        </w:r>
      </w:hyperlink>
      <w:r>
        <w:t>.</w:t>
      </w:r>
    </w:p>
  </w:footnote>
  <w:footnote w:id="609">
    <w:p w14:paraId="2FD7D938" w14:textId="77777777" w:rsidR="009C7728" w:rsidRPr="00463FF5" w:rsidRDefault="009C7728" w:rsidP="009C7728">
      <w:pPr>
        <w:pStyle w:val="FootnoteText"/>
        <w:rPr>
          <w:highlight w:val="yellow"/>
        </w:rPr>
      </w:pPr>
      <w:r w:rsidRPr="00525B6A">
        <w:rPr>
          <w:rStyle w:val="FootnoteReference"/>
        </w:rPr>
        <w:footnoteRef/>
      </w:r>
      <w:r w:rsidRPr="00525B6A">
        <w:t xml:space="preserve"> </w:t>
      </w:r>
      <w:r w:rsidRPr="00525B6A">
        <w:tab/>
        <w:t xml:space="preserve">Ministry for the Environment. 2020. </w:t>
      </w:r>
      <w:r w:rsidRPr="00525B6A">
        <w:rPr>
          <w:i/>
          <w:iCs/>
        </w:rPr>
        <w:t>New Zealand’s Greenhouse Gas Inventory 1990–2020.</w:t>
      </w:r>
      <w:r w:rsidRPr="00525B6A">
        <w:t xml:space="preserve"> </w:t>
      </w:r>
      <w:r>
        <w:t xml:space="preserve">Wellington: Ministry for the Environment. </w:t>
      </w:r>
      <w:r w:rsidRPr="00525B6A">
        <w:t xml:space="preserve">Retrieved from </w:t>
      </w:r>
      <w:hyperlink r:id="rId451" w:history="1">
        <w:r w:rsidRPr="00525B6A">
          <w:rPr>
            <w:rStyle w:val="Hyperlink"/>
          </w:rPr>
          <w:t>www.mfe.govt.nz/climate-change/reporting-greenhouse-gas-emissions/nzs-greenhouse-gas-inventory</w:t>
        </w:r>
      </w:hyperlink>
      <w:r w:rsidRPr="00525B6A">
        <w:t>, p 401.</w:t>
      </w:r>
    </w:p>
  </w:footnote>
  <w:footnote w:id="610">
    <w:p w14:paraId="06B51463" w14:textId="77777777" w:rsidR="009C7728" w:rsidRPr="00463FF5" w:rsidRDefault="009C7728" w:rsidP="009C7728">
      <w:pPr>
        <w:pStyle w:val="FootnoteText"/>
      </w:pPr>
      <w:r w:rsidRPr="3F806691">
        <w:rPr>
          <w:rStyle w:val="FootnoteReference"/>
        </w:rPr>
        <w:footnoteRef/>
      </w:r>
      <w:r w:rsidRPr="00E864F1">
        <w:tab/>
      </w:r>
      <w:r w:rsidRPr="3F806691">
        <w:t xml:space="preserve">New Zealand chose to take its 2020 emissions reduction target under the UNFCCC but will meet that target using rules applicable to the Kyoto Protocol’s second commitment period. </w:t>
      </w:r>
    </w:p>
  </w:footnote>
  <w:footnote w:id="611">
    <w:p w14:paraId="6BDBC1AD" w14:textId="77777777" w:rsidR="009C7728" w:rsidRDefault="009C7728" w:rsidP="009C7728">
      <w:pPr>
        <w:pStyle w:val="FootnoteText"/>
      </w:pPr>
      <w:r>
        <w:rPr>
          <w:rStyle w:val="FootnoteReference"/>
        </w:rPr>
        <w:footnoteRef/>
      </w:r>
      <w:r>
        <w:t xml:space="preserve"> </w:t>
      </w:r>
      <w:r>
        <w:tab/>
      </w:r>
      <w:r w:rsidRPr="4D701236">
        <w:rPr>
          <w:rFonts w:eastAsia="Calibri"/>
        </w:rPr>
        <w:t>Other measures are sustainable aviation fuels, aircraft technology and standards, and operational improvements (eg</w:t>
      </w:r>
      <w:r>
        <w:rPr>
          <w:rFonts w:eastAsia="Calibri"/>
        </w:rPr>
        <w:t>,</w:t>
      </w:r>
      <w:r w:rsidRPr="4D701236">
        <w:rPr>
          <w:rFonts w:eastAsia="Calibri"/>
        </w:rPr>
        <w:t xml:space="preserve"> improved ground operations and air traffic management).</w:t>
      </w:r>
    </w:p>
  </w:footnote>
  <w:footnote w:id="612">
    <w:p w14:paraId="68A1EE06" w14:textId="77777777" w:rsidR="009C7728" w:rsidRPr="006D4EF6" w:rsidRDefault="009C7728" w:rsidP="009C7728">
      <w:pPr>
        <w:pStyle w:val="FootnoteText"/>
      </w:pPr>
      <w:r>
        <w:rPr>
          <w:rStyle w:val="FootnoteReference"/>
        </w:rPr>
        <w:footnoteRef/>
      </w:r>
      <w:r>
        <w:t xml:space="preserve"> </w:t>
      </w:r>
      <w:r>
        <w:tab/>
      </w:r>
      <w:r>
        <w:rPr>
          <w:rFonts w:eastAsia="Calibri"/>
        </w:rPr>
        <w:t xml:space="preserve">Marine Environment Protection Committee. 2018. </w:t>
      </w:r>
      <w:r w:rsidRPr="54370560">
        <w:rPr>
          <w:rFonts w:eastAsia="Calibri" w:cs="Calibri"/>
        </w:rPr>
        <w:t xml:space="preserve">Initial </w:t>
      </w:r>
      <w:r>
        <w:rPr>
          <w:rFonts w:eastAsia="Calibri" w:cs="Calibri"/>
        </w:rPr>
        <w:t xml:space="preserve">IMO </w:t>
      </w:r>
      <w:r w:rsidRPr="54370560">
        <w:rPr>
          <w:rFonts w:eastAsia="Calibri" w:cs="Calibri"/>
        </w:rPr>
        <w:t>Strategy on the Reduction of GHG Emissions from Ships</w:t>
      </w:r>
      <w:r>
        <w:rPr>
          <w:rFonts w:eastAsia="Calibri" w:cs="Calibri"/>
        </w:rPr>
        <w:t>.</w:t>
      </w:r>
      <w:r>
        <w:rPr>
          <w:rFonts w:eastAsia="Calibri"/>
        </w:rPr>
        <w:t xml:space="preserve"> Retrieved from</w:t>
      </w:r>
      <w:r w:rsidRPr="4D701236">
        <w:rPr>
          <w:rFonts w:eastAsia="Calibri"/>
        </w:rPr>
        <w:t xml:space="preserve"> </w:t>
      </w:r>
      <w:hyperlink r:id="rId452" w:history="1">
        <w:r w:rsidRPr="00F9170D">
          <w:rPr>
            <w:rStyle w:val="Hyperlink"/>
            <w:rFonts w:eastAsia="Calibri" w:cs="Calibri"/>
            <w:szCs w:val="19"/>
          </w:rPr>
          <w:t>www.imo.org/en/OurWork/Environment/Pages/GHG-Emissions.aspx</w:t>
        </w:r>
      </w:hyperlink>
      <w:r>
        <w:rPr>
          <w:rFonts w:eastAsia="Calibri"/>
        </w:rPr>
        <w:t>.</w:t>
      </w:r>
    </w:p>
  </w:footnote>
  <w:footnote w:id="613">
    <w:p w14:paraId="4D08B024" w14:textId="77777777" w:rsidR="00DE1BDD" w:rsidRDefault="00DE1BDD" w:rsidP="00DE1BDD">
      <w:pPr>
        <w:pStyle w:val="FootnoteText"/>
      </w:pPr>
      <w:r w:rsidRPr="00B70175">
        <w:rPr>
          <w:rStyle w:val="FootnoteReference"/>
        </w:rPr>
        <w:footnoteRef/>
      </w:r>
      <w:r>
        <w:t xml:space="preserve"> </w:t>
      </w:r>
      <w:r>
        <w:tab/>
      </w:r>
      <w:hyperlink r:id="rId453" w:history="1">
        <w:r w:rsidRPr="00A50264">
          <w:rPr>
            <w:rStyle w:val="Hyperlink"/>
          </w:rPr>
          <w:t>https://gcos.wmo.int</w:t>
        </w:r>
      </w:hyperlink>
      <w:r w:rsidRPr="00FF26D7">
        <w:t>/</w:t>
      </w:r>
    </w:p>
  </w:footnote>
  <w:footnote w:id="614">
    <w:p w14:paraId="615A2566" w14:textId="77777777" w:rsidR="00DE1BDD" w:rsidRDefault="00DE1BDD" w:rsidP="00DE1BDD">
      <w:pPr>
        <w:pStyle w:val="FootnoteText"/>
      </w:pPr>
      <w:r w:rsidRPr="00B70175">
        <w:rPr>
          <w:rStyle w:val="FootnoteReference"/>
        </w:rPr>
        <w:footnoteRef/>
      </w:r>
      <w:r w:rsidRPr="00B70175">
        <w:rPr>
          <w:sz w:val="22"/>
        </w:rPr>
        <w:t xml:space="preserve"> </w:t>
      </w:r>
      <w:r>
        <w:tab/>
      </w:r>
      <w:hyperlink r:id="rId454" w:history="1">
        <w:r w:rsidRPr="00533245">
          <w:rPr>
            <w:rStyle w:val="Hyperlink"/>
          </w:rPr>
          <w:t>https://gcos.wmo.int/en/essential-climate-variables</w:t>
        </w:r>
      </w:hyperlink>
    </w:p>
  </w:footnote>
  <w:footnote w:id="615">
    <w:p w14:paraId="5A59AF77" w14:textId="77777777" w:rsidR="00DE1BDD" w:rsidRPr="000D0CBE" w:rsidRDefault="00DE1BDD" w:rsidP="00DE1BDD">
      <w:pPr>
        <w:pStyle w:val="FootnoteText"/>
      </w:pPr>
      <w:r w:rsidRPr="00B70175">
        <w:rPr>
          <w:rStyle w:val="FootnoteReference"/>
          <w:rFonts w:eastAsiaTheme="majorEastAsia"/>
        </w:rPr>
        <w:footnoteRef/>
      </w:r>
      <w:r>
        <w:tab/>
      </w:r>
      <w:r w:rsidRPr="000D0CBE">
        <w:t>UNFCCC</w:t>
      </w:r>
      <w:r>
        <w:t>.</w:t>
      </w:r>
      <w:r w:rsidRPr="000D0CBE">
        <w:t xml:space="preserve"> 2008</w:t>
      </w:r>
      <w:r>
        <w:t>.</w:t>
      </w:r>
      <w:r w:rsidRPr="000D0CBE">
        <w:rPr>
          <w:i/>
        </w:rPr>
        <w:t xml:space="preserve"> Decision 11/CP.13 Reporting on global observing systems for climate</w:t>
      </w:r>
      <w:r w:rsidRPr="000D0CBE">
        <w:t>, FCCC/CP/2007/6/Add.2</w:t>
      </w:r>
      <w:r>
        <w:t>. Retrieved from</w:t>
      </w:r>
      <w:r w:rsidRPr="000D0CBE">
        <w:t xml:space="preserve"> </w:t>
      </w:r>
      <w:hyperlink r:id="rId455" w:history="1">
        <w:r w:rsidRPr="000D0CBE">
          <w:rPr>
            <w:rStyle w:val="Hyperlink"/>
            <w:rFonts w:eastAsiaTheme="majorEastAsia"/>
          </w:rPr>
          <w:t>http://unfccc.int/resource/docs/2007/cop13/eng/06a02.pdf</w:t>
        </w:r>
      </w:hyperlink>
      <w:r>
        <w:t xml:space="preserve"> (12 September 2022).</w:t>
      </w:r>
    </w:p>
  </w:footnote>
  <w:footnote w:id="616">
    <w:p w14:paraId="3DAD5A46" w14:textId="77777777" w:rsidR="00DE1BDD" w:rsidRDefault="00DE1BDD" w:rsidP="00DE1BDD">
      <w:pPr>
        <w:pStyle w:val="FootnoteText"/>
      </w:pPr>
      <w:r w:rsidRPr="00244A71">
        <w:rPr>
          <w:rStyle w:val="FootnoteReference"/>
        </w:rPr>
        <w:footnoteRef/>
      </w:r>
      <w:r>
        <w:t xml:space="preserve"> </w:t>
      </w:r>
      <w:r>
        <w:tab/>
      </w:r>
      <w:hyperlink r:id="rId456" w:history="1">
        <w:r w:rsidRPr="00537740">
          <w:rPr>
            <w:rStyle w:val="Hyperlink"/>
          </w:rPr>
          <w:t>https://www.data.govt.nz/toolkit/policies/declaration-on-open-and-transparent-government</w:t>
        </w:r>
      </w:hyperlink>
    </w:p>
  </w:footnote>
  <w:footnote w:id="617">
    <w:p w14:paraId="3E6CF470" w14:textId="77777777" w:rsidR="00DE1BDD" w:rsidRPr="000D0CBE" w:rsidRDefault="00DE1BDD" w:rsidP="00DE1BDD">
      <w:pPr>
        <w:pStyle w:val="FootnoteText"/>
      </w:pPr>
      <w:r w:rsidRPr="00244A71">
        <w:rPr>
          <w:rStyle w:val="FootnoteReference"/>
          <w:rFonts w:eastAsiaTheme="majorEastAsia"/>
        </w:rPr>
        <w:footnoteRef/>
      </w:r>
      <w:r>
        <w:tab/>
      </w:r>
      <w:hyperlink r:id="rId457" w:history="1">
        <w:r w:rsidRPr="00E81803">
          <w:rPr>
            <w:rStyle w:val="Hyperlink"/>
          </w:rPr>
          <w:t>https://</w:t>
        </w:r>
        <w:r w:rsidRPr="00E81803">
          <w:rPr>
            <w:rStyle w:val="Hyperlink"/>
            <w:rFonts w:eastAsiaTheme="majorEastAsia"/>
          </w:rPr>
          <w:t>www.mfe.govt.nz/more/environmental-reporting/about-act</w:t>
        </w:r>
      </w:hyperlink>
    </w:p>
  </w:footnote>
  <w:footnote w:id="618">
    <w:p w14:paraId="74EA51B0" w14:textId="77777777" w:rsidR="00DE1BDD" w:rsidRPr="000D0CBE" w:rsidRDefault="00DE1BDD" w:rsidP="00DE1BDD">
      <w:pPr>
        <w:pStyle w:val="FootnoteText"/>
      </w:pPr>
      <w:r w:rsidRPr="00244A71">
        <w:rPr>
          <w:rStyle w:val="FootnoteReference"/>
          <w:rFonts w:eastAsiaTheme="majorEastAsia"/>
        </w:rPr>
        <w:footnoteRef/>
      </w:r>
      <w:r>
        <w:tab/>
      </w:r>
      <w:hyperlink r:id="rId458" w:history="1">
        <w:r w:rsidRPr="008448E8">
          <w:rPr>
            <w:rStyle w:val="Hyperlink"/>
          </w:rPr>
          <w:t>https://www.stats.govt.nz/about-us/legislation-policies-and-guidelines#tier-1-stats</w:t>
        </w:r>
      </w:hyperlink>
    </w:p>
  </w:footnote>
  <w:footnote w:id="619">
    <w:p w14:paraId="5C4CC772" w14:textId="77777777" w:rsidR="00DE1BDD" w:rsidRDefault="00DE1BDD" w:rsidP="00DE1BDD">
      <w:pPr>
        <w:pStyle w:val="FootnoteText"/>
      </w:pPr>
      <w:r>
        <w:rPr>
          <w:rStyle w:val="FootnoteReference"/>
        </w:rPr>
        <w:footnoteRef/>
      </w:r>
      <w:r>
        <w:t xml:space="preserve"> </w:t>
      </w:r>
      <w:r>
        <w:tab/>
      </w:r>
      <w:hyperlink r:id="rId459" w:history="1">
        <w:r w:rsidRPr="00017C26">
          <w:rPr>
            <w:rStyle w:val="Hyperlink"/>
          </w:rPr>
          <w:t>https://www.stats.govt.nz/tools/environmental-indicators</w:t>
        </w:r>
      </w:hyperlink>
    </w:p>
  </w:footnote>
  <w:footnote w:id="620">
    <w:p w14:paraId="088C39A8" w14:textId="77777777" w:rsidR="00DE1BDD" w:rsidRPr="000D0CBE" w:rsidRDefault="00DE1BDD" w:rsidP="00DE1BDD">
      <w:pPr>
        <w:pStyle w:val="FootnoteText"/>
      </w:pPr>
      <w:r w:rsidRPr="000D0CBE">
        <w:rPr>
          <w:rStyle w:val="FootnoteReference"/>
          <w:rFonts w:eastAsiaTheme="majorEastAsia"/>
        </w:rPr>
        <w:footnoteRef/>
      </w:r>
      <w:r>
        <w:tab/>
      </w:r>
      <w:hyperlink r:id="rId460" w:history="1">
        <w:r w:rsidRPr="00EE21ED">
          <w:rPr>
            <w:rStyle w:val="Hyperlink"/>
            <w:rFonts w:eastAsiaTheme="majorEastAsia"/>
          </w:rPr>
          <w:t>https://www.nems.org.nz</w:t>
        </w:r>
      </w:hyperlink>
    </w:p>
  </w:footnote>
  <w:footnote w:id="621">
    <w:p w14:paraId="068CA253" w14:textId="77777777" w:rsidR="00DE1BDD" w:rsidRPr="000D0CBE" w:rsidRDefault="00DE1BDD" w:rsidP="00DE1BDD">
      <w:pPr>
        <w:pStyle w:val="FootnoteText"/>
      </w:pPr>
      <w:r w:rsidRPr="000D0CBE">
        <w:rPr>
          <w:rStyle w:val="FootnoteReference"/>
          <w:rFonts w:eastAsiaTheme="majorEastAsia"/>
        </w:rPr>
        <w:footnoteRef/>
      </w:r>
      <w:r>
        <w:tab/>
      </w:r>
      <w:hyperlink r:id="rId461" w:history="1">
        <w:r w:rsidRPr="00EE21ED">
          <w:rPr>
            <w:rStyle w:val="Hyperlink"/>
            <w:rFonts w:eastAsiaTheme="majorEastAsia"/>
          </w:rPr>
          <w:t>https://www.nems.org.nz/documents/quality-code-schema</w:t>
        </w:r>
      </w:hyperlink>
    </w:p>
  </w:footnote>
  <w:footnote w:id="622">
    <w:p w14:paraId="5C3BF7C8" w14:textId="77777777" w:rsidR="00DE1BDD" w:rsidRDefault="00DE1BDD" w:rsidP="00DE1BDD">
      <w:pPr>
        <w:pStyle w:val="FootnoteText"/>
      </w:pPr>
      <w:r>
        <w:rPr>
          <w:rStyle w:val="FootnoteReference"/>
        </w:rPr>
        <w:footnoteRef/>
      </w:r>
      <w:r>
        <w:t xml:space="preserve"> </w:t>
      </w:r>
      <w:r>
        <w:tab/>
      </w:r>
      <w:hyperlink r:id="rId462" w:history="1">
        <w:r w:rsidRPr="002604D0">
          <w:rPr>
            <w:rStyle w:val="Hyperlink"/>
          </w:rPr>
          <w:t>https://environment.govt.nz/facts-and-science/environmental-reporting/improving-environmental-reporting-data</w:t>
        </w:r>
      </w:hyperlink>
    </w:p>
  </w:footnote>
  <w:footnote w:id="623">
    <w:p w14:paraId="039DA540" w14:textId="77777777" w:rsidR="00DE1BDD" w:rsidRPr="000D0CBE" w:rsidRDefault="00DE1BDD" w:rsidP="00DE1BDD">
      <w:pPr>
        <w:pStyle w:val="FootnoteText"/>
      </w:pPr>
      <w:r w:rsidRPr="000D0CBE">
        <w:rPr>
          <w:rStyle w:val="FootnoteReference"/>
          <w:rFonts w:eastAsiaTheme="majorEastAsia"/>
        </w:rPr>
        <w:footnoteRef/>
      </w:r>
      <w:r>
        <w:tab/>
      </w:r>
      <w:hyperlink r:id="rId463" w:history="1">
        <w:r w:rsidRPr="00E81803">
          <w:rPr>
            <w:rStyle w:val="Hyperlink"/>
          </w:rPr>
          <w:t>https://</w:t>
        </w:r>
        <w:r w:rsidRPr="00E81803">
          <w:rPr>
            <w:rStyle w:val="Hyperlink"/>
            <w:rFonts w:eastAsiaTheme="majorEastAsia"/>
          </w:rPr>
          <w:t>www.lawa.org.nz</w:t>
        </w:r>
      </w:hyperlink>
    </w:p>
  </w:footnote>
  <w:footnote w:id="624">
    <w:p w14:paraId="51D949D0" w14:textId="77777777" w:rsidR="00DE1BDD" w:rsidRDefault="00DE1BDD" w:rsidP="00DE1BDD">
      <w:pPr>
        <w:pStyle w:val="FootnoteText"/>
      </w:pPr>
      <w:r>
        <w:rPr>
          <w:rStyle w:val="FootnoteReference"/>
        </w:rPr>
        <w:footnoteRef/>
      </w:r>
      <w:r>
        <w:t xml:space="preserve"> </w:t>
      </w:r>
      <w:r>
        <w:tab/>
      </w:r>
      <w:hyperlink r:id="rId464" w:history="1">
        <w:r w:rsidRPr="00BE055C">
          <w:rPr>
            <w:rStyle w:val="Hyperlink"/>
          </w:rPr>
          <w:t>https://www.mbie.govt.nz/science-and-technology/science-and-innovation/funding-information-and-opportunities/investment-funds/strategic-science-investment-fund/funded-infrastructure/nationally-significant-collections-and-databases</w:t>
        </w:r>
      </w:hyperlink>
    </w:p>
  </w:footnote>
  <w:footnote w:id="625">
    <w:p w14:paraId="17F187EF" w14:textId="77777777" w:rsidR="00DE1BDD" w:rsidRPr="000D0CBE" w:rsidRDefault="00DE1BDD" w:rsidP="00DE1BDD">
      <w:pPr>
        <w:pStyle w:val="FootnoteText"/>
      </w:pPr>
      <w:r w:rsidRPr="000D0CBE">
        <w:rPr>
          <w:rStyle w:val="FootnoteReference"/>
          <w:rFonts w:eastAsiaTheme="majorEastAsia"/>
        </w:rPr>
        <w:footnoteRef/>
      </w:r>
      <w:r w:rsidRPr="000D0CBE">
        <w:t xml:space="preserve"> </w:t>
      </w:r>
      <w:r>
        <w:tab/>
      </w:r>
      <w:hyperlink r:id="rId465" w:history="1">
        <w:r w:rsidRPr="00C64041">
          <w:rPr>
            <w:rStyle w:val="Hyperlink"/>
          </w:rPr>
          <w:t>https://www.gbif.org</w:t>
        </w:r>
      </w:hyperlink>
    </w:p>
  </w:footnote>
  <w:footnote w:id="626">
    <w:p w14:paraId="27F8875C" w14:textId="77777777" w:rsidR="00DE1BDD" w:rsidRPr="000D0CBE" w:rsidRDefault="00DE1BDD" w:rsidP="00DE1BDD">
      <w:pPr>
        <w:pStyle w:val="FootnoteText"/>
      </w:pPr>
      <w:r w:rsidRPr="000D0CBE">
        <w:rPr>
          <w:rStyle w:val="FootnoteReference"/>
          <w:rFonts w:eastAsiaTheme="majorEastAsia"/>
        </w:rPr>
        <w:footnoteRef/>
      </w:r>
      <w:r>
        <w:tab/>
      </w:r>
      <w:hyperlink r:id="rId466" w:history="1">
        <w:r w:rsidRPr="00097BEF">
          <w:rPr>
            <w:rStyle w:val="Hyperlink"/>
          </w:rPr>
          <w:t>https://imos.org.au</w:t>
        </w:r>
      </w:hyperlink>
    </w:p>
  </w:footnote>
  <w:footnote w:id="627">
    <w:p w14:paraId="046D9C5B" w14:textId="77777777" w:rsidR="00DE1BDD" w:rsidRPr="000D0CBE" w:rsidRDefault="00DE1BDD" w:rsidP="00DE1BDD">
      <w:pPr>
        <w:pStyle w:val="FootnoteText"/>
      </w:pPr>
      <w:r w:rsidRPr="000D0CBE">
        <w:rPr>
          <w:rStyle w:val="FootnoteReference"/>
          <w:rFonts w:eastAsiaTheme="majorEastAsia"/>
        </w:rPr>
        <w:footnoteRef/>
      </w:r>
      <w:r>
        <w:tab/>
      </w:r>
      <w:hyperlink r:id="rId467" w:history="1">
        <w:r w:rsidRPr="00A50264">
          <w:rPr>
            <w:rStyle w:val="Hyperlink"/>
            <w:rFonts w:eastAsiaTheme="majorEastAsia"/>
          </w:rPr>
          <w:t>https://community.wmo.int/activity-areas/wis</w:t>
        </w:r>
      </w:hyperlink>
    </w:p>
  </w:footnote>
  <w:footnote w:id="628">
    <w:p w14:paraId="7C1410EB" w14:textId="77777777" w:rsidR="00DE1BDD" w:rsidRPr="000D0CBE" w:rsidRDefault="00DE1BDD" w:rsidP="00DE1BDD">
      <w:pPr>
        <w:pStyle w:val="FootnoteText"/>
      </w:pPr>
      <w:r w:rsidRPr="000D0CBE">
        <w:rPr>
          <w:rStyle w:val="FootnoteReference"/>
          <w:rFonts w:eastAsiaTheme="majorEastAsia"/>
        </w:rPr>
        <w:footnoteRef/>
      </w:r>
      <w:r>
        <w:tab/>
      </w:r>
      <w:hyperlink r:id="rId468" w:history="1">
        <w:r w:rsidRPr="00E07031">
          <w:rPr>
            <w:rStyle w:val="Hyperlink"/>
            <w:rFonts w:eastAsiaTheme="majorEastAsia"/>
          </w:rPr>
          <w:t>https://data.linz.govt.nz</w:t>
        </w:r>
      </w:hyperlink>
    </w:p>
  </w:footnote>
  <w:footnote w:id="629">
    <w:p w14:paraId="28D9FA9D" w14:textId="77777777" w:rsidR="00DE1BDD" w:rsidRDefault="00DE1BDD" w:rsidP="00DE1BDD">
      <w:pPr>
        <w:pStyle w:val="FootnoteText"/>
      </w:pPr>
      <w:r>
        <w:rPr>
          <w:rStyle w:val="FootnoteReference"/>
        </w:rPr>
        <w:footnoteRef/>
      </w:r>
      <w:r>
        <w:t xml:space="preserve"> </w:t>
      </w:r>
      <w:r>
        <w:tab/>
      </w:r>
      <w:hyperlink r:id="rId469" w:history="1">
        <w:r w:rsidRPr="00D72A79">
          <w:rPr>
            <w:rStyle w:val="Hyperlink"/>
          </w:rPr>
          <w:t>https://data.mfe.govt.nz</w:t>
        </w:r>
      </w:hyperlink>
    </w:p>
  </w:footnote>
  <w:footnote w:id="630">
    <w:p w14:paraId="4D701A99" w14:textId="77777777" w:rsidR="00DE1BDD" w:rsidRPr="000D0CBE" w:rsidRDefault="00DE1BDD" w:rsidP="00DE1BDD">
      <w:pPr>
        <w:pStyle w:val="FootnoteText"/>
      </w:pPr>
      <w:r w:rsidRPr="000D0CBE">
        <w:rPr>
          <w:rStyle w:val="FootnoteReference"/>
          <w:rFonts w:eastAsiaTheme="majorEastAsia"/>
        </w:rPr>
        <w:footnoteRef/>
      </w:r>
      <w:r>
        <w:tab/>
      </w:r>
      <w:hyperlink r:id="rId470" w:history="1">
        <w:r w:rsidRPr="000D7EFE">
          <w:rPr>
            <w:rStyle w:val="Hyperlink"/>
          </w:rPr>
          <w:t>http://data.gns.cri.nz/metadata</w:t>
        </w:r>
      </w:hyperlink>
    </w:p>
  </w:footnote>
  <w:footnote w:id="631">
    <w:p w14:paraId="60B936F2" w14:textId="77777777" w:rsidR="00DE1BDD" w:rsidRPr="000D0CBE" w:rsidRDefault="00DE1BDD" w:rsidP="00DE1BDD">
      <w:pPr>
        <w:pStyle w:val="FootnoteText"/>
      </w:pPr>
      <w:r w:rsidRPr="000D0CBE">
        <w:rPr>
          <w:rStyle w:val="FootnoteReference"/>
          <w:rFonts w:eastAsiaTheme="majorEastAsia"/>
        </w:rPr>
        <w:footnoteRef/>
      </w:r>
      <w:r>
        <w:tab/>
      </w:r>
      <w:hyperlink r:id="rId471" w:history="1">
        <w:r w:rsidRPr="00C26E32">
          <w:rPr>
            <w:rStyle w:val="Hyperlink"/>
            <w:rFonts w:eastAsiaTheme="majorEastAsia"/>
          </w:rPr>
          <w:t>http://dc.niwa.co.nz</w:t>
        </w:r>
      </w:hyperlink>
    </w:p>
  </w:footnote>
  <w:footnote w:id="632">
    <w:p w14:paraId="3C7DDA2D" w14:textId="77777777" w:rsidR="00DE1BDD" w:rsidRDefault="00DE1BDD" w:rsidP="00DE1BDD">
      <w:pPr>
        <w:pStyle w:val="FootnoteText"/>
      </w:pPr>
      <w:r>
        <w:rPr>
          <w:rStyle w:val="FootnoteReference"/>
        </w:rPr>
        <w:footnoteRef/>
      </w:r>
      <w:r>
        <w:t xml:space="preserve"> </w:t>
      </w:r>
      <w:r>
        <w:tab/>
      </w:r>
      <w:hyperlink r:id="rId472" w:history="1">
        <w:r w:rsidRPr="00A420E8">
          <w:rPr>
            <w:rStyle w:val="Hyperlink"/>
          </w:rPr>
          <w:t>https://lris.scinfo.org.nz</w:t>
        </w:r>
      </w:hyperlink>
    </w:p>
  </w:footnote>
  <w:footnote w:id="633">
    <w:p w14:paraId="4327B847" w14:textId="77777777" w:rsidR="00DE1BDD" w:rsidRPr="000D0CBE" w:rsidRDefault="00DE1BDD" w:rsidP="00DE1BDD">
      <w:pPr>
        <w:pStyle w:val="FootnoteText"/>
      </w:pPr>
      <w:r w:rsidRPr="000D0CBE">
        <w:rPr>
          <w:rStyle w:val="FootnoteReference"/>
          <w:rFonts w:eastAsiaTheme="majorEastAsia"/>
        </w:rPr>
        <w:footnoteRef/>
      </w:r>
      <w:r>
        <w:tab/>
      </w:r>
      <w:hyperlink r:id="rId473" w:history="1">
        <w:r w:rsidRPr="00F820F1">
          <w:rPr>
            <w:rStyle w:val="Hyperlink"/>
          </w:rPr>
          <w:t>https://datastore.landcareresearch.co.nz</w:t>
        </w:r>
      </w:hyperlink>
    </w:p>
  </w:footnote>
  <w:footnote w:id="634">
    <w:p w14:paraId="65D56404" w14:textId="77777777" w:rsidR="00DE1BDD" w:rsidRPr="000D0CBE" w:rsidRDefault="00DE1BDD" w:rsidP="00DE1BDD">
      <w:pPr>
        <w:pStyle w:val="FootnoteText"/>
      </w:pPr>
      <w:r w:rsidRPr="000D0CBE">
        <w:rPr>
          <w:rStyle w:val="FootnoteReference"/>
          <w:rFonts w:eastAsiaTheme="majorEastAsia"/>
        </w:rPr>
        <w:footnoteRef/>
      </w:r>
      <w:r>
        <w:tab/>
      </w:r>
      <w:hyperlink r:id="rId474" w:history="1">
        <w:r w:rsidRPr="000D0CBE">
          <w:rPr>
            <w:rStyle w:val="Hyperlink"/>
            <w:rFonts w:eastAsiaTheme="majorEastAsia"/>
          </w:rPr>
          <w:t>https://data.govt.nz</w:t>
        </w:r>
      </w:hyperlink>
    </w:p>
  </w:footnote>
  <w:footnote w:id="635">
    <w:p w14:paraId="466AE0B1" w14:textId="77777777" w:rsidR="00DE1BDD" w:rsidRDefault="00DE1BDD" w:rsidP="00DE1BDD">
      <w:pPr>
        <w:pStyle w:val="FootnoteText"/>
      </w:pPr>
      <w:r>
        <w:rPr>
          <w:rStyle w:val="FootnoteReference"/>
        </w:rPr>
        <w:footnoteRef/>
      </w:r>
      <w:r>
        <w:t xml:space="preserve"> </w:t>
      </w:r>
      <w:r>
        <w:tab/>
      </w:r>
      <w:hyperlink r:id="rId475" w:history="1">
        <w:r w:rsidRPr="00A32D92">
          <w:rPr>
            <w:rStyle w:val="Hyperlink"/>
          </w:rPr>
          <w:t>https://nedc.nz</w:t>
        </w:r>
      </w:hyperlink>
    </w:p>
  </w:footnote>
  <w:footnote w:id="636">
    <w:p w14:paraId="0D3ACE14" w14:textId="77777777" w:rsidR="00DE1BDD" w:rsidRPr="000D0CBE" w:rsidRDefault="00DE1BDD" w:rsidP="00DE1BDD">
      <w:pPr>
        <w:pStyle w:val="FootnoteText"/>
      </w:pPr>
      <w:r w:rsidRPr="000D0CBE">
        <w:rPr>
          <w:rStyle w:val="FootnoteReference"/>
          <w:rFonts w:eastAsiaTheme="majorEastAsia"/>
        </w:rPr>
        <w:footnoteRef/>
      </w:r>
      <w:r>
        <w:tab/>
      </w:r>
      <w:hyperlink r:id="rId476" w:history="1">
        <w:r w:rsidRPr="00E81803">
          <w:rPr>
            <w:rStyle w:val="Hyperlink"/>
          </w:rPr>
          <w:t>https://www.lawa.org.nz</w:t>
        </w:r>
      </w:hyperlink>
    </w:p>
  </w:footnote>
  <w:footnote w:id="637">
    <w:p w14:paraId="24009EB3" w14:textId="77777777" w:rsidR="00DE1BDD" w:rsidRDefault="00DE1BDD" w:rsidP="00DE1BDD">
      <w:pPr>
        <w:pStyle w:val="FootnoteText"/>
      </w:pPr>
      <w:r>
        <w:rPr>
          <w:rStyle w:val="FootnoteReference"/>
        </w:rPr>
        <w:footnoteRef/>
      </w:r>
      <w:r>
        <w:t xml:space="preserve"> </w:t>
      </w:r>
      <w:r>
        <w:tab/>
      </w:r>
      <w:hyperlink r:id="rId477" w:history="1">
        <w:r w:rsidRPr="00D84E91">
          <w:rPr>
            <w:rStyle w:val="Hyperlink"/>
          </w:rPr>
          <w:t>https://www.greenclimate.fund/project/fp147</w:t>
        </w:r>
      </w:hyperlink>
      <w:r>
        <w:t xml:space="preserve"> </w:t>
      </w:r>
    </w:p>
  </w:footnote>
  <w:footnote w:id="638">
    <w:p w14:paraId="46D4ECCD" w14:textId="77777777" w:rsidR="00DE1BDD" w:rsidRPr="000D0CBE" w:rsidRDefault="00DE1BDD" w:rsidP="00DE1BDD">
      <w:pPr>
        <w:pStyle w:val="FootnoteText"/>
      </w:pPr>
      <w:r w:rsidRPr="000D0CBE">
        <w:rPr>
          <w:rStyle w:val="FootnoteReference"/>
          <w:rFonts w:eastAsiaTheme="majorEastAsia"/>
        </w:rPr>
        <w:footnoteRef/>
      </w:r>
      <w:r>
        <w:tab/>
      </w:r>
      <w:hyperlink r:id="rId478" w:history="1">
        <w:r w:rsidRPr="007B61D2">
          <w:rPr>
            <w:rStyle w:val="Hyperlink"/>
          </w:rPr>
          <w:t>https://</w:t>
        </w:r>
        <w:r w:rsidRPr="007B61D2">
          <w:rPr>
            <w:rStyle w:val="Hyperlink"/>
            <w:rFonts w:eastAsiaTheme="majorEastAsia"/>
          </w:rPr>
          <w:t>www.pastglobalchanges.org</w:t>
        </w:r>
      </w:hyperlink>
    </w:p>
  </w:footnote>
  <w:footnote w:id="639">
    <w:p w14:paraId="718D6204" w14:textId="77777777" w:rsidR="00DE1BDD" w:rsidRPr="000D0CBE" w:rsidRDefault="00DE1BDD" w:rsidP="00DE1BDD">
      <w:pPr>
        <w:pStyle w:val="FootnoteText"/>
      </w:pPr>
      <w:r w:rsidRPr="000D0CBE">
        <w:rPr>
          <w:rStyle w:val="FootnoteReference"/>
          <w:rFonts w:eastAsiaTheme="majorEastAsia"/>
        </w:rPr>
        <w:footnoteRef/>
      </w:r>
      <w:r>
        <w:tab/>
      </w:r>
      <w:hyperlink r:id="rId479" w:history="1">
        <w:r w:rsidRPr="007A2492">
          <w:rPr>
            <w:rStyle w:val="Hyperlink"/>
            <w:rFonts w:eastAsiaTheme="majorEastAsia"/>
          </w:rPr>
          <w:t>https://futureearth.org</w:t>
        </w:r>
      </w:hyperlink>
    </w:p>
  </w:footnote>
  <w:footnote w:id="640">
    <w:p w14:paraId="57F622B8" w14:textId="77777777" w:rsidR="00DE1BDD" w:rsidRDefault="00DE1BDD" w:rsidP="00DE1BDD">
      <w:pPr>
        <w:pStyle w:val="FootnoteText"/>
      </w:pPr>
      <w:r>
        <w:rPr>
          <w:rStyle w:val="FootnoteReference"/>
        </w:rPr>
        <w:footnoteRef/>
      </w:r>
      <w:r>
        <w:t xml:space="preserve"> </w:t>
      </w:r>
      <w:r>
        <w:tab/>
      </w:r>
      <w:hyperlink r:id="rId480" w:history="1">
        <w:r w:rsidRPr="001A504A">
          <w:rPr>
            <w:rStyle w:val="Hyperlink"/>
          </w:rPr>
          <w:t>https://pastglobalchanges.org/science/wg/2k-network/projects</w:t>
        </w:r>
      </w:hyperlink>
    </w:p>
  </w:footnote>
  <w:footnote w:id="641">
    <w:p w14:paraId="189EE302" w14:textId="77777777" w:rsidR="00DE1BDD" w:rsidRPr="000D0CBE" w:rsidRDefault="00DE1BDD" w:rsidP="00DE1BDD">
      <w:pPr>
        <w:pStyle w:val="FootnoteText"/>
      </w:pPr>
      <w:r w:rsidRPr="000D0CBE">
        <w:rPr>
          <w:rStyle w:val="FootnoteReference"/>
          <w:rFonts w:eastAsiaTheme="majorEastAsia"/>
        </w:rPr>
        <w:footnoteRef/>
      </w:r>
      <w:r>
        <w:tab/>
      </w:r>
      <w:hyperlink r:id="rId481" w:history="1">
        <w:r w:rsidRPr="00C5749C">
          <w:rPr>
            <w:rStyle w:val="Hyperlink"/>
          </w:rPr>
          <w:t>https://</w:t>
        </w:r>
        <w:r w:rsidRPr="00C5749C">
          <w:rPr>
            <w:rStyle w:val="Hyperlink"/>
            <w:rFonts w:eastAsiaTheme="majorEastAsia"/>
          </w:rPr>
          <w:t>www.victoria.ac.nz/antarctic/research/research-prog/rice</w:t>
        </w:r>
      </w:hyperlink>
    </w:p>
  </w:footnote>
  <w:footnote w:id="642">
    <w:p w14:paraId="2277885D" w14:textId="77777777" w:rsidR="00DE1BDD" w:rsidRPr="000D0CBE" w:rsidRDefault="00DE1BDD" w:rsidP="00DE1BDD">
      <w:pPr>
        <w:pStyle w:val="FootnoteText"/>
      </w:pPr>
      <w:r w:rsidRPr="000D0CBE">
        <w:rPr>
          <w:rStyle w:val="FootnoteReference"/>
          <w:rFonts w:eastAsiaTheme="majorEastAsia"/>
        </w:rPr>
        <w:footnoteRef/>
      </w:r>
      <w:r>
        <w:tab/>
      </w:r>
      <w:hyperlink r:id="rId482" w:history="1">
        <w:r w:rsidRPr="00E22F19">
          <w:rPr>
            <w:rStyle w:val="Hyperlink"/>
          </w:rPr>
          <w:t xml:space="preserve">https://public.wmo.int/en/programmes/global-climate-observing-system/essential-climate-variables </w:t>
        </w:r>
      </w:hyperlink>
      <w:r>
        <w:t xml:space="preserve">and </w:t>
      </w:r>
      <w:hyperlink r:id="rId483" w:history="1">
        <w:r w:rsidRPr="00A50264">
          <w:rPr>
            <w:rStyle w:val="Hyperlink"/>
          </w:rPr>
          <w:t>https://gcos.wmo.int/en/essential-climate-variables</w:t>
        </w:r>
      </w:hyperlink>
    </w:p>
  </w:footnote>
  <w:footnote w:id="643">
    <w:p w14:paraId="5EB719F2" w14:textId="77777777" w:rsidR="00DE1BDD" w:rsidRDefault="00DE1BDD" w:rsidP="00DE1BDD">
      <w:pPr>
        <w:pStyle w:val="FootnoteText"/>
      </w:pPr>
      <w:r>
        <w:rPr>
          <w:rStyle w:val="FootnoteReference"/>
        </w:rPr>
        <w:footnoteRef/>
      </w:r>
      <w:r>
        <w:t xml:space="preserve"> </w:t>
      </w:r>
      <w:r>
        <w:tab/>
      </w:r>
      <w:hyperlink r:id="rId484" w:history="1">
        <w:r w:rsidRPr="00FE7939">
          <w:rPr>
            <w:rStyle w:val="Hyperlink"/>
          </w:rPr>
          <w:t>https://www.mbie.govt.nz/science-and-technology/science-and-innovation/funding-information-and-opportunities/investment-funds/strategic-science-investment-fund/funded-infrastructure/nationally-significant-collections-and-databases</w:t>
        </w:r>
      </w:hyperlink>
      <w:r>
        <w:t xml:space="preserve"> </w:t>
      </w:r>
    </w:p>
  </w:footnote>
  <w:footnote w:id="644">
    <w:p w14:paraId="316B41AA" w14:textId="77777777" w:rsidR="00DE1BDD" w:rsidRPr="000D0CBE" w:rsidRDefault="00DE1BDD" w:rsidP="00DE1BDD">
      <w:pPr>
        <w:pStyle w:val="FootnoteText"/>
      </w:pPr>
      <w:r w:rsidRPr="000D0CBE">
        <w:rPr>
          <w:rStyle w:val="FootnoteReference"/>
          <w:rFonts w:eastAsiaTheme="majorEastAsia"/>
        </w:rPr>
        <w:footnoteRef/>
      </w:r>
      <w:r>
        <w:tab/>
      </w:r>
      <w:r w:rsidRPr="00FB6317">
        <w:t>https://www.legislation.govt.nz/act/public/1992/0047/latest/DLM264292.html</w:t>
      </w:r>
    </w:p>
  </w:footnote>
  <w:footnote w:id="645">
    <w:p w14:paraId="7AC2EE0C" w14:textId="77777777" w:rsidR="00DE1BDD" w:rsidRDefault="00DE1BDD" w:rsidP="00DE1BDD">
      <w:pPr>
        <w:pStyle w:val="FootnoteText"/>
      </w:pPr>
      <w:r>
        <w:rPr>
          <w:rStyle w:val="FootnoteReference"/>
        </w:rPr>
        <w:footnoteRef/>
      </w:r>
      <w:r>
        <w:t xml:space="preserve"> </w:t>
      </w:r>
      <w:r>
        <w:tab/>
      </w:r>
      <w:r w:rsidRPr="00325778">
        <w:t>Harper A, Elley G, Pearson, C. 2021</w:t>
      </w:r>
      <w:r>
        <w:t>.</w:t>
      </w:r>
      <w:r w:rsidRPr="00325778">
        <w:t xml:space="preserve"> Hydrometeorological monitoring in the last ten years.</w:t>
      </w:r>
      <w:r>
        <w:t xml:space="preserve"> </w:t>
      </w:r>
      <w:r w:rsidRPr="0023134F">
        <w:rPr>
          <w:i/>
          <w:iCs/>
        </w:rPr>
        <w:t>Journal of Hydrology New Zealand</w:t>
      </w:r>
      <w:r w:rsidRPr="00325778">
        <w:t xml:space="preserve"> 60(2): 3</w:t>
      </w:r>
      <w:r>
        <w:t>–</w:t>
      </w:r>
      <w:r w:rsidRPr="00325778">
        <w:t xml:space="preserve">10. </w:t>
      </w:r>
      <w:hyperlink r:id="rId485" w:history="1">
        <w:r w:rsidRPr="00257FCB">
          <w:rPr>
            <w:rStyle w:val="Hyperlink"/>
          </w:rPr>
          <w:t>https://www.hydrologynz.org.nz/journal/volume-60-2021</w:t>
        </w:r>
      </w:hyperlink>
    </w:p>
  </w:footnote>
  <w:footnote w:id="646">
    <w:p w14:paraId="233333A7" w14:textId="77777777" w:rsidR="00DE1BDD" w:rsidRDefault="00DE1BDD" w:rsidP="00DE1BDD">
      <w:pPr>
        <w:pStyle w:val="FootnoteText"/>
      </w:pPr>
      <w:r>
        <w:rPr>
          <w:rStyle w:val="FootnoteReference"/>
        </w:rPr>
        <w:footnoteRef/>
      </w:r>
      <w:r>
        <w:t xml:space="preserve"> </w:t>
      </w:r>
      <w:r>
        <w:tab/>
      </w:r>
      <w:hyperlink r:id="rId486" w:history="1">
        <w:r w:rsidRPr="00AD5B13">
          <w:rPr>
            <w:rStyle w:val="Hyperlink"/>
          </w:rPr>
          <w:t>https://bsrn.awi.de/products/quality-code/comparisons/lauder-lau</w:t>
        </w:r>
      </w:hyperlink>
    </w:p>
  </w:footnote>
  <w:footnote w:id="647">
    <w:p w14:paraId="7E5159B7" w14:textId="77777777" w:rsidR="00DE1BDD" w:rsidRDefault="00DE1BDD" w:rsidP="00DE1BDD">
      <w:pPr>
        <w:pStyle w:val="FootnoteText"/>
      </w:pPr>
      <w:r>
        <w:rPr>
          <w:rStyle w:val="FootnoteReference"/>
        </w:rPr>
        <w:footnoteRef/>
      </w:r>
      <w:r>
        <w:t xml:space="preserve"> </w:t>
      </w:r>
      <w:r>
        <w:tab/>
      </w:r>
      <w:hyperlink r:id="rId487" w:history="1">
        <w:r w:rsidRPr="00892923">
          <w:rPr>
            <w:rStyle w:val="Hyperlink"/>
          </w:rPr>
          <w:t>https://gaw.kishou.go.jp</w:t>
        </w:r>
      </w:hyperlink>
    </w:p>
  </w:footnote>
  <w:footnote w:id="648">
    <w:p w14:paraId="11EBCFB3" w14:textId="77777777" w:rsidR="00DE1BDD" w:rsidRPr="000D0CBE" w:rsidRDefault="00DE1BDD" w:rsidP="00DE1BDD">
      <w:pPr>
        <w:pStyle w:val="FootnoteText"/>
      </w:pPr>
      <w:r w:rsidRPr="000D0CBE">
        <w:rPr>
          <w:rStyle w:val="FootnoteReference"/>
          <w:rFonts w:eastAsiaTheme="majorEastAsia"/>
        </w:rPr>
        <w:footnoteRef/>
      </w:r>
      <w:r>
        <w:tab/>
      </w:r>
      <w:hyperlink r:id="rId488" w:history="1">
        <w:r w:rsidRPr="00257FCB">
          <w:rPr>
            <w:rStyle w:val="Hyperlink"/>
          </w:rPr>
          <w:t>https://www.gosat.nies.go.jp/en</w:t>
        </w:r>
      </w:hyperlink>
    </w:p>
  </w:footnote>
  <w:footnote w:id="649">
    <w:p w14:paraId="1E8BB037" w14:textId="004E6A3F" w:rsidR="00DE1BDD" w:rsidRPr="000D0CBE" w:rsidRDefault="00DE1BDD" w:rsidP="00DE1BDD">
      <w:pPr>
        <w:pStyle w:val="FootnoteText"/>
      </w:pPr>
      <w:r w:rsidRPr="000D0CBE">
        <w:rPr>
          <w:rStyle w:val="FootnoteReference"/>
          <w:rFonts w:eastAsiaTheme="majorEastAsia"/>
        </w:rPr>
        <w:footnoteRef/>
      </w:r>
      <w:r>
        <w:tab/>
      </w:r>
      <w:hyperlink r:id="rId489" w:history="1">
        <w:r w:rsidR="005C4F61" w:rsidRPr="00237FFB">
          <w:rPr>
            <w:rStyle w:val="Hyperlink"/>
          </w:rPr>
          <w:t>https://www.nasa.gov/mission_pages/oco2/index.html</w:t>
        </w:r>
      </w:hyperlink>
      <w:r>
        <w:t xml:space="preserve"> and </w:t>
      </w:r>
      <w:hyperlink r:id="rId490" w:history="1">
        <w:r w:rsidRPr="00537740">
          <w:rPr>
            <w:rStyle w:val="Hyperlink"/>
          </w:rPr>
          <w:t>https://www.nasa.gov/mission_pages/oco3/index.html</w:t>
        </w:r>
      </w:hyperlink>
    </w:p>
  </w:footnote>
  <w:footnote w:id="650">
    <w:p w14:paraId="6FF3EB92" w14:textId="77777777" w:rsidR="00DE1BDD" w:rsidRDefault="00DE1BDD" w:rsidP="00DE1BDD">
      <w:pPr>
        <w:pStyle w:val="FootnoteText"/>
      </w:pPr>
      <w:r>
        <w:rPr>
          <w:rStyle w:val="FootnoteReference"/>
        </w:rPr>
        <w:footnoteRef/>
      </w:r>
      <w:r>
        <w:t xml:space="preserve"> </w:t>
      </w:r>
      <w:r>
        <w:tab/>
      </w:r>
      <w:hyperlink r:id="rId491" w:history="1">
        <w:r w:rsidRPr="00892923">
          <w:rPr>
            <w:rStyle w:val="Hyperlink"/>
          </w:rPr>
          <w:t>http://www.tropomi.eu</w:t>
        </w:r>
      </w:hyperlink>
    </w:p>
  </w:footnote>
  <w:footnote w:id="651">
    <w:p w14:paraId="7BA125B7" w14:textId="77777777" w:rsidR="00DE1BDD" w:rsidRPr="000D0CBE" w:rsidRDefault="00DE1BDD" w:rsidP="00DE1BDD">
      <w:pPr>
        <w:pStyle w:val="FootnoteText"/>
      </w:pPr>
      <w:r w:rsidRPr="000D0CBE">
        <w:rPr>
          <w:rStyle w:val="FootnoteReference"/>
          <w:rFonts w:eastAsiaTheme="majorEastAsia"/>
        </w:rPr>
        <w:footnoteRef/>
      </w:r>
      <w:r>
        <w:tab/>
      </w:r>
      <w:hyperlink r:id="rId492" w:history="1">
        <w:r w:rsidRPr="00161B83">
          <w:rPr>
            <w:rStyle w:val="Hyperlink"/>
          </w:rPr>
          <w:t>http://www.tccon.caltech.edu</w:t>
        </w:r>
      </w:hyperlink>
    </w:p>
  </w:footnote>
  <w:footnote w:id="652">
    <w:p w14:paraId="7030CA0D" w14:textId="77777777" w:rsidR="00DE1BDD" w:rsidRDefault="00DE1BDD" w:rsidP="00DE1BDD">
      <w:pPr>
        <w:pStyle w:val="FootnoteText"/>
      </w:pPr>
      <w:r>
        <w:rPr>
          <w:rStyle w:val="FootnoteReference"/>
        </w:rPr>
        <w:footnoteRef/>
      </w:r>
      <w:r>
        <w:t xml:space="preserve"> </w:t>
      </w:r>
      <w:r>
        <w:tab/>
      </w:r>
      <w:hyperlink r:id="rId493" w:history="1">
        <w:r w:rsidRPr="00892923">
          <w:rPr>
            <w:rStyle w:val="Hyperlink"/>
          </w:rPr>
          <w:t>https://www.methanesat.org</w:t>
        </w:r>
      </w:hyperlink>
    </w:p>
  </w:footnote>
  <w:footnote w:id="653">
    <w:p w14:paraId="1AC43635" w14:textId="77777777" w:rsidR="00DE1BDD" w:rsidRDefault="00DE1BDD" w:rsidP="00DE1BDD">
      <w:pPr>
        <w:pStyle w:val="FootnoteText"/>
      </w:pPr>
      <w:r>
        <w:rPr>
          <w:rStyle w:val="FootnoteReference"/>
        </w:rPr>
        <w:footnoteRef/>
      </w:r>
      <w:r>
        <w:t xml:space="preserve"> </w:t>
      </w:r>
      <w:r>
        <w:tab/>
      </w:r>
      <w:hyperlink r:id="rId494" w:history="1">
        <w:r w:rsidRPr="00161B83">
          <w:rPr>
            <w:rStyle w:val="Hyperlink"/>
          </w:rPr>
          <w:t>https://niwa.co.nz/climate/research-projects/carbon-watch-nz</w:t>
        </w:r>
      </w:hyperlink>
    </w:p>
  </w:footnote>
  <w:footnote w:id="654">
    <w:p w14:paraId="74604EDD" w14:textId="77777777" w:rsidR="00DE1BDD" w:rsidRDefault="00DE1BDD" w:rsidP="00DE1BDD">
      <w:pPr>
        <w:pStyle w:val="FootnoteText"/>
      </w:pPr>
      <w:r>
        <w:rPr>
          <w:rStyle w:val="FootnoteReference"/>
        </w:rPr>
        <w:footnoteRef/>
      </w:r>
      <w:r>
        <w:t xml:space="preserve"> </w:t>
      </w:r>
      <w:r>
        <w:tab/>
      </w:r>
      <w:hyperlink r:id="rId495" w:history="1">
        <w:r w:rsidRPr="00161B83">
          <w:rPr>
            <w:rStyle w:val="Hyperlink"/>
          </w:rPr>
          <w:t>https://www.ndaccdemo.org</w:t>
        </w:r>
      </w:hyperlink>
    </w:p>
  </w:footnote>
  <w:footnote w:id="655">
    <w:p w14:paraId="2DBE7CA8" w14:textId="77777777" w:rsidR="00DE1BDD" w:rsidRDefault="00DE1BDD" w:rsidP="00DE1BDD">
      <w:pPr>
        <w:pStyle w:val="FootnoteText"/>
      </w:pPr>
      <w:r>
        <w:rPr>
          <w:rStyle w:val="FootnoteReference"/>
        </w:rPr>
        <w:footnoteRef/>
      </w:r>
      <w:r>
        <w:t xml:space="preserve"> </w:t>
      </w:r>
      <w:r>
        <w:tab/>
      </w:r>
      <w:hyperlink r:id="rId496" w:history="1">
        <w:r w:rsidRPr="00161B83">
          <w:rPr>
            <w:rStyle w:val="Hyperlink"/>
          </w:rPr>
          <w:t>https://data.gns.cri.nz/metadata</w:t>
        </w:r>
      </w:hyperlink>
    </w:p>
  </w:footnote>
  <w:footnote w:id="656">
    <w:p w14:paraId="7FC102FB" w14:textId="77777777" w:rsidR="00DE1BDD" w:rsidRDefault="00DE1BDD" w:rsidP="00DE1BDD">
      <w:pPr>
        <w:pStyle w:val="FootnoteText"/>
      </w:pPr>
      <w:r>
        <w:rPr>
          <w:rStyle w:val="FootnoteReference"/>
        </w:rPr>
        <w:footnoteRef/>
      </w:r>
      <w:r>
        <w:t xml:space="preserve"> </w:t>
      </w:r>
      <w:r>
        <w:tab/>
      </w:r>
      <w:hyperlink r:id="rId497" w:history="1">
        <w:r w:rsidRPr="00161B83">
          <w:rPr>
            <w:rStyle w:val="Hyperlink"/>
          </w:rPr>
          <w:t>https://www.methanesat.org/</w:t>
        </w:r>
      </w:hyperlink>
    </w:p>
  </w:footnote>
  <w:footnote w:id="657">
    <w:p w14:paraId="2A9C621A" w14:textId="77777777" w:rsidR="00DE1BDD" w:rsidRDefault="00DE1BDD" w:rsidP="00DE1BDD">
      <w:pPr>
        <w:pStyle w:val="FootnoteText"/>
      </w:pPr>
      <w:r>
        <w:rPr>
          <w:rStyle w:val="FootnoteReference"/>
        </w:rPr>
        <w:footnoteRef/>
      </w:r>
      <w:r>
        <w:t xml:space="preserve"> </w:t>
      </w:r>
      <w:r>
        <w:tab/>
      </w:r>
      <w:hyperlink r:id="rId498" w:history="1">
        <w:r w:rsidRPr="004E6401">
          <w:rPr>
            <w:rStyle w:val="Hyperlink"/>
          </w:rPr>
          <w:t>http://hwe.niwa.co.nz</w:t>
        </w:r>
      </w:hyperlink>
    </w:p>
  </w:footnote>
  <w:footnote w:id="658">
    <w:p w14:paraId="4C6C504B" w14:textId="77777777" w:rsidR="00DE1BDD" w:rsidRPr="000D0CBE" w:rsidRDefault="00DE1BDD" w:rsidP="00DE1BDD">
      <w:pPr>
        <w:pStyle w:val="FootnoteText"/>
      </w:pPr>
      <w:r w:rsidRPr="000D0CBE">
        <w:rPr>
          <w:rStyle w:val="FootnoteReference"/>
          <w:rFonts w:eastAsiaTheme="majorEastAsia"/>
        </w:rPr>
        <w:footnoteRef/>
      </w:r>
      <w:r>
        <w:tab/>
      </w:r>
      <w:hyperlink r:id="rId499" w:history="1">
        <w:r w:rsidRPr="00465A7D">
          <w:rPr>
            <w:rStyle w:val="Hyperlink"/>
          </w:rPr>
          <w:t>https://public.wmo.int/en/programmes/global-climate-observing-system/essential-climate-variables</w:t>
        </w:r>
      </w:hyperlink>
      <w:r>
        <w:rPr>
          <w:rStyle w:val="Hyperlink"/>
        </w:rPr>
        <w:t xml:space="preserve"> </w:t>
      </w:r>
      <w:r>
        <w:t>and </w:t>
      </w:r>
      <w:hyperlink r:id="rId500" w:history="1">
        <w:r w:rsidRPr="00011493">
          <w:rPr>
            <w:rStyle w:val="Hyperlink"/>
          </w:rPr>
          <w:t>https://gcos.wmo.int/en/essential-climate-variables</w:t>
        </w:r>
      </w:hyperlink>
    </w:p>
  </w:footnote>
  <w:footnote w:id="659">
    <w:p w14:paraId="725126B5" w14:textId="77777777" w:rsidR="00DE1BDD" w:rsidRPr="000D0CBE" w:rsidRDefault="00DE1BDD" w:rsidP="00DE1BDD">
      <w:pPr>
        <w:pStyle w:val="FootnoteText"/>
      </w:pPr>
      <w:r w:rsidRPr="000D0CBE">
        <w:rPr>
          <w:rStyle w:val="FootnoteReference"/>
          <w:rFonts w:eastAsiaTheme="majorEastAsia"/>
        </w:rPr>
        <w:footnoteRef/>
      </w:r>
      <w:r w:rsidRPr="000D0CBE">
        <w:t xml:space="preserve"> </w:t>
      </w:r>
      <w:r>
        <w:tab/>
      </w:r>
      <w:hyperlink r:id="rId501" w:history="1">
        <w:r w:rsidRPr="00011493">
          <w:rPr>
            <w:rStyle w:val="Hyperlink"/>
          </w:rPr>
          <w:t>https://</w:t>
        </w:r>
        <w:r w:rsidRPr="00011493">
          <w:rPr>
            <w:rStyle w:val="Hyperlink"/>
            <w:rFonts w:eastAsiaTheme="majorEastAsia"/>
          </w:rPr>
          <w:t>www.linz.govt.nz/sea/tides/sea-level-data</w:t>
        </w:r>
      </w:hyperlink>
      <w:r w:rsidRPr="000D0CBE">
        <w:t xml:space="preserve"> </w:t>
      </w:r>
    </w:p>
  </w:footnote>
  <w:footnote w:id="660">
    <w:p w14:paraId="2E46E950" w14:textId="77777777" w:rsidR="00DE1BDD" w:rsidRDefault="00DE1BDD" w:rsidP="00DE1BDD">
      <w:pPr>
        <w:pStyle w:val="FootnoteText"/>
      </w:pPr>
      <w:r>
        <w:rPr>
          <w:rStyle w:val="FootnoteReference"/>
        </w:rPr>
        <w:footnoteRef/>
      </w:r>
      <w:r>
        <w:t xml:space="preserve"> </w:t>
      </w:r>
      <w:r>
        <w:tab/>
      </w:r>
      <w:hyperlink r:id="rId502" w:history="1">
        <w:r w:rsidRPr="00011493">
          <w:rPr>
            <w:rStyle w:val="Hyperlink"/>
          </w:rPr>
          <w:t>https://www.geonet.org.nz/tsunami/dart</w:t>
        </w:r>
      </w:hyperlink>
    </w:p>
  </w:footnote>
  <w:footnote w:id="661">
    <w:p w14:paraId="717169C4" w14:textId="77777777" w:rsidR="00DE1BDD" w:rsidRPr="000D0CBE" w:rsidRDefault="00DE1BDD" w:rsidP="00DE1BDD">
      <w:pPr>
        <w:pStyle w:val="FootnoteText"/>
      </w:pPr>
      <w:r w:rsidRPr="000D0CBE">
        <w:rPr>
          <w:rStyle w:val="FootnoteReference"/>
          <w:rFonts w:eastAsiaTheme="majorEastAsia"/>
        </w:rPr>
        <w:footnoteRef/>
      </w:r>
      <w:r w:rsidRPr="000D0CBE">
        <w:t xml:space="preserve"> </w:t>
      </w:r>
      <w:r>
        <w:tab/>
      </w:r>
      <w:hyperlink r:id="rId503" w:history="1">
        <w:r w:rsidRPr="00011493">
          <w:rPr>
            <w:rStyle w:val="Hyperlink"/>
          </w:rPr>
          <w:t>https://</w:t>
        </w:r>
        <w:r w:rsidRPr="00011493">
          <w:rPr>
            <w:rStyle w:val="Hyperlink"/>
            <w:rFonts w:eastAsiaTheme="majorEastAsia"/>
          </w:rPr>
          <w:t>www.niwa.co.nz/our-science/coasts/tools-and-resources/sea-levels</w:t>
        </w:r>
      </w:hyperlink>
    </w:p>
  </w:footnote>
  <w:footnote w:id="662">
    <w:p w14:paraId="26F37DE3" w14:textId="77777777" w:rsidR="00DE1BDD" w:rsidRPr="000D0CBE" w:rsidRDefault="00DE1BDD" w:rsidP="00DE1BDD">
      <w:pPr>
        <w:pStyle w:val="FootnoteText"/>
      </w:pPr>
      <w:r w:rsidRPr="000D0CBE">
        <w:rPr>
          <w:rStyle w:val="FootnoteReference"/>
          <w:rFonts w:eastAsiaTheme="majorEastAsia"/>
        </w:rPr>
        <w:footnoteRef/>
      </w:r>
      <w:r w:rsidRPr="000D0CBE">
        <w:t xml:space="preserve"> </w:t>
      </w:r>
      <w:r>
        <w:tab/>
      </w:r>
      <w:hyperlink r:id="rId504" w:history="1">
        <w:r w:rsidRPr="006E23C1">
          <w:rPr>
            <w:rStyle w:val="Hyperlink"/>
          </w:rPr>
          <w:t>https://</w:t>
        </w:r>
        <w:r w:rsidRPr="006E23C1">
          <w:rPr>
            <w:rStyle w:val="Hyperlink"/>
            <w:rFonts w:eastAsiaTheme="majorEastAsia"/>
          </w:rPr>
          <w:t>www.gloss-sealevel.org</w:t>
        </w:r>
      </w:hyperlink>
    </w:p>
  </w:footnote>
  <w:footnote w:id="663">
    <w:p w14:paraId="663146B4" w14:textId="77777777" w:rsidR="00DE1BDD" w:rsidRDefault="00DE1BDD" w:rsidP="00DE1BDD">
      <w:pPr>
        <w:pStyle w:val="FootnoteText"/>
      </w:pPr>
      <w:r>
        <w:rPr>
          <w:rStyle w:val="FootnoteReference"/>
        </w:rPr>
        <w:footnoteRef/>
      </w:r>
      <w:r>
        <w:t xml:space="preserve"> </w:t>
      </w:r>
      <w:r>
        <w:tab/>
      </w:r>
      <w:hyperlink r:id="rId505" w:history="1">
        <w:r w:rsidRPr="006E23C1">
          <w:rPr>
            <w:rStyle w:val="Hyperlink"/>
          </w:rPr>
          <w:t>https://www.psmsl.org/</w:t>
        </w:r>
      </w:hyperlink>
    </w:p>
  </w:footnote>
  <w:footnote w:id="664">
    <w:p w14:paraId="0B724E0C" w14:textId="77777777" w:rsidR="00DE1BDD" w:rsidRPr="000D0CBE" w:rsidRDefault="00DE1BDD" w:rsidP="00DE1BDD">
      <w:pPr>
        <w:pStyle w:val="FootnoteText"/>
      </w:pPr>
      <w:r w:rsidRPr="000D0CBE">
        <w:rPr>
          <w:rStyle w:val="FootnoteReference"/>
          <w:rFonts w:eastAsiaTheme="majorEastAsia"/>
        </w:rPr>
        <w:footnoteRef/>
      </w:r>
      <w:r w:rsidRPr="000D0CBE">
        <w:t xml:space="preserve"> </w:t>
      </w:r>
      <w:r>
        <w:tab/>
      </w:r>
      <w:hyperlink r:id="rId506" w:history="1">
        <w:r w:rsidRPr="006E23C1">
          <w:rPr>
            <w:rStyle w:val="Hyperlink"/>
          </w:rPr>
          <w:t>https://</w:t>
        </w:r>
        <w:r w:rsidRPr="006E23C1">
          <w:rPr>
            <w:rStyle w:val="Hyperlink"/>
            <w:rFonts w:eastAsiaTheme="majorEastAsia"/>
          </w:rPr>
          <w:t>www.niwa.co.nz/our-services/online-services/cam-era</w:t>
        </w:r>
      </w:hyperlink>
    </w:p>
  </w:footnote>
  <w:footnote w:id="665">
    <w:p w14:paraId="3B28CFFE" w14:textId="77777777" w:rsidR="00DE1BDD" w:rsidRDefault="00DE1BDD" w:rsidP="00DE1BDD">
      <w:pPr>
        <w:pStyle w:val="FootnoteText"/>
      </w:pPr>
      <w:r>
        <w:rPr>
          <w:rStyle w:val="FootnoteReference"/>
        </w:rPr>
        <w:footnoteRef/>
      </w:r>
      <w:r>
        <w:t xml:space="preserve"> </w:t>
      </w:r>
      <w:r>
        <w:tab/>
      </w:r>
      <w:hyperlink r:id="rId507" w:history="1">
        <w:r w:rsidRPr="006E23C1">
          <w:rPr>
            <w:rStyle w:val="Hyperlink"/>
          </w:rPr>
          <w:t>https://argo.ucsd.edu/</w:t>
        </w:r>
      </w:hyperlink>
    </w:p>
  </w:footnote>
  <w:footnote w:id="666">
    <w:p w14:paraId="27C00E81" w14:textId="77777777" w:rsidR="00DE1BDD" w:rsidRDefault="00DE1BDD" w:rsidP="00DE1BDD">
      <w:pPr>
        <w:pStyle w:val="FootnoteText"/>
      </w:pPr>
      <w:r>
        <w:rPr>
          <w:rStyle w:val="FootnoteReference"/>
        </w:rPr>
        <w:footnoteRef/>
      </w:r>
      <w:r>
        <w:t xml:space="preserve"> </w:t>
      </w:r>
      <w:r>
        <w:tab/>
      </w:r>
      <w:hyperlink r:id="rId508" w:history="1">
        <w:r w:rsidRPr="006E23C1">
          <w:rPr>
            <w:rStyle w:val="Hyperlink"/>
          </w:rPr>
          <w:t>https://sites.google.com/view/argofloats/rv-kaharoa</w:t>
        </w:r>
      </w:hyperlink>
    </w:p>
  </w:footnote>
  <w:footnote w:id="667">
    <w:p w14:paraId="0DF92C6E" w14:textId="77777777" w:rsidR="00DE1BDD" w:rsidRDefault="00DE1BDD" w:rsidP="00DE1BDD">
      <w:pPr>
        <w:pStyle w:val="FootnoteText"/>
      </w:pPr>
      <w:r>
        <w:rPr>
          <w:rStyle w:val="FootnoteReference"/>
        </w:rPr>
        <w:footnoteRef/>
      </w:r>
      <w:r>
        <w:t xml:space="preserve"> </w:t>
      </w:r>
      <w:r>
        <w:tab/>
      </w:r>
      <w:hyperlink r:id="rId509" w:history="1">
        <w:r w:rsidRPr="006E23C1">
          <w:rPr>
            <w:rStyle w:val="Hyperlink"/>
          </w:rPr>
          <w:t>https://www.socat.info/</w:t>
        </w:r>
      </w:hyperlink>
    </w:p>
  </w:footnote>
  <w:footnote w:id="668">
    <w:p w14:paraId="2B2A28F7" w14:textId="77777777" w:rsidR="00DE1BDD" w:rsidRDefault="00DE1BDD" w:rsidP="00BC42F3">
      <w:pPr>
        <w:pStyle w:val="FootnoteText"/>
        <w:spacing w:after="40"/>
      </w:pPr>
      <w:r>
        <w:rPr>
          <w:rStyle w:val="FootnoteReference"/>
        </w:rPr>
        <w:footnoteRef/>
      </w:r>
      <w:r>
        <w:t xml:space="preserve"> </w:t>
      </w:r>
      <w:r>
        <w:tab/>
      </w:r>
      <w:hyperlink r:id="rId510" w:history="1">
        <w:r w:rsidRPr="006E23C1">
          <w:rPr>
            <w:rStyle w:val="Hyperlink"/>
          </w:rPr>
          <w:t>https://www.otago.ac.nz/mots</w:t>
        </w:r>
      </w:hyperlink>
    </w:p>
  </w:footnote>
  <w:footnote w:id="669">
    <w:p w14:paraId="0B725DA1" w14:textId="3F25F7CD" w:rsidR="00DE1BDD" w:rsidRPr="000D0CBE" w:rsidRDefault="00DE1BDD" w:rsidP="00BC42F3">
      <w:pPr>
        <w:pStyle w:val="FootnoteText"/>
        <w:spacing w:after="40"/>
      </w:pPr>
      <w:r w:rsidRPr="000D0CBE">
        <w:rPr>
          <w:rStyle w:val="FootnoteReference"/>
          <w:rFonts w:eastAsiaTheme="majorEastAsia"/>
        </w:rPr>
        <w:footnoteRef/>
      </w:r>
      <w:r>
        <w:tab/>
      </w:r>
      <w:hyperlink r:id="rId511" w:history="1">
        <w:r w:rsidR="00EA179E" w:rsidRPr="00237FFB">
          <w:rPr>
            <w:rStyle w:val="Hyperlink"/>
          </w:rPr>
          <w:t>https://niwa.co.nz/coasts-and-oceans/research-projects/new-zealand-ocean-acidification-observing-network-nzoa-on</w:t>
        </w:r>
      </w:hyperlink>
    </w:p>
  </w:footnote>
  <w:footnote w:id="670">
    <w:p w14:paraId="3D7EB16C" w14:textId="77777777" w:rsidR="00DE1BDD" w:rsidRDefault="00DE1BDD" w:rsidP="00BC42F3">
      <w:pPr>
        <w:pStyle w:val="FootnoteText"/>
        <w:spacing w:after="40"/>
      </w:pPr>
      <w:r>
        <w:rPr>
          <w:rStyle w:val="FootnoteReference"/>
        </w:rPr>
        <w:footnoteRef/>
      </w:r>
      <w:r>
        <w:t xml:space="preserve"> </w:t>
      </w:r>
      <w:r>
        <w:tab/>
      </w:r>
      <w:hyperlink r:id="rId512" w:history="1">
        <w:r w:rsidRPr="006E23C1">
          <w:rPr>
            <w:rStyle w:val="Hyperlink"/>
          </w:rPr>
          <w:t>http://www.goa-on.org/</w:t>
        </w:r>
      </w:hyperlink>
    </w:p>
  </w:footnote>
  <w:footnote w:id="671">
    <w:p w14:paraId="40693E19" w14:textId="77777777" w:rsidR="00DE1BDD" w:rsidRPr="001015A6" w:rsidRDefault="00DE1BDD" w:rsidP="00BC42F3">
      <w:pPr>
        <w:pStyle w:val="FootnoteText"/>
        <w:spacing w:after="40"/>
        <w:rPr>
          <w:i/>
          <w:iCs/>
        </w:rPr>
      </w:pPr>
      <w:r>
        <w:rPr>
          <w:rStyle w:val="FootnoteReference"/>
        </w:rPr>
        <w:footnoteRef/>
      </w:r>
      <w:r>
        <w:t xml:space="preserve"> </w:t>
      </w:r>
      <w:r>
        <w:tab/>
      </w:r>
      <w:hyperlink r:id="rId513" w:history="1">
        <w:r w:rsidRPr="006E23C1">
          <w:rPr>
            <w:rStyle w:val="Hyperlink"/>
          </w:rPr>
          <w:t>https://nzodn.nz/</w:t>
        </w:r>
      </w:hyperlink>
    </w:p>
  </w:footnote>
  <w:footnote w:id="672">
    <w:p w14:paraId="208011F6" w14:textId="77777777" w:rsidR="00DE1BDD" w:rsidRDefault="00DE1BDD" w:rsidP="00BC42F3">
      <w:pPr>
        <w:pStyle w:val="FootnoteText"/>
        <w:spacing w:after="40"/>
      </w:pPr>
      <w:r>
        <w:rPr>
          <w:rStyle w:val="FootnoteReference"/>
        </w:rPr>
        <w:footnoteRef/>
      </w:r>
      <w:r>
        <w:t xml:space="preserve"> </w:t>
      </w:r>
      <w:r>
        <w:tab/>
      </w:r>
      <w:r w:rsidRPr="00352F49">
        <w:t>Pinkerton MH</w:t>
      </w:r>
      <w:r>
        <w:t>,</w:t>
      </w:r>
      <w:r w:rsidRPr="00352F49">
        <w:t xml:space="preserve"> Decima</w:t>
      </w:r>
      <w:r>
        <w:t xml:space="preserve"> </w:t>
      </w:r>
      <w:r w:rsidRPr="00352F49">
        <w:t>M</w:t>
      </w:r>
      <w:r>
        <w:t>,</w:t>
      </w:r>
      <w:r w:rsidRPr="00352F49">
        <w:t xml:space="preserve"> Kitchener</w:t>
      </w:r>
      <w:r w:rsidRPr="00C611EA">
        <w:t xml:space="preserve"> </w:t>
      </w:r>
      <w:r w:rsidRPr="00352F49">
        <w:t>J</w:t>
      </w:r>
      <w:r>
        <w:t>,</w:t>
      </w:r>
      <w:r w:rsidRPr="00352F49">
        <w:t xml:space="preserve"> Takahashi</w:t>
      </w:r>
      <w:r>
        <w:t xml:space="preserve"> </w:t>
      </w:r>
      <w:r w:rsidRPr="00352F49">
        <w:t>K</w:t>
      </w:r>
      <w:r>
        <w:t>,</w:t>
      </w:r>
      <w:r w:rsidRPr="00352F49">
        <w:t xml:space="preserve"> Robinson</w:t>
      </w:r>
      <w:r w:rsidRPr="00C611EA">
        <w:t xml:space="preserve"> </w:t>
      </w:r>
      <w:r w:rsidRPr="00352F49">
        <w:t>K</w:t>
      </w:r>
      <w:r>
        <w:t>,</w:t>
      </w:r>
      <w:r w:rsidRPr="00352F49">
        <w:t xml:space="preserve"> Stewart</w:t>
      </w:r>
      <w:r w:rsidRPr="00C611EA">
        <w:t xml:space="preserve"> </w:t>
      </w:r>
      <w:r w:rsidRPr="00352F49">
        <w:t>R</w:t>
      </w:r>
      <w:r>
        <w:t>,</w:t>
      </w:r>
      <w:r w:rsidRPr="00352F49">
        <w:t xml:space="preserve"> Hosie GW. 2020. Zooplankton in the Southern Ocean from the </w:t>
      </w:r>
      <w:r>
        <w:t>c</w:t>
      </w:r>
      <w:r w:rsidRPr="00352F49">
        <w:t xml:space="preserve">ontinuous </w:t>
      </w:r>
      <w:r>
        <w:t>p</w:t>
      </w:r>
      <w:r w:rsidRPr="00352F49">
        <w:t xml:space="preserve">lankton </w:t>
      </w:r>
      <w:r>
        <w:t>r</w:t>
      </w:r>
      <w:r w:rsidRPr="00352F49">
        <w:t xml:space="preserve">ecorder: </w:t>
      </w:r>
      <w:r>
        <w:t>D</w:t>
      </w:r>
      <w:r w:rsidRPr="00352F49">
        <w:t xml:space="preserve">istributions and long-term change. </w:t>
      </w:r>
      <w:r w:rsidRPr="001015A6">
        <w:rPr>
          <w:i/>
          <w:iCs/>
        </w:rPr>
        <w:t>Deep Sea Research Part I, Oceanographic Research Papers</w:t>
      </w:r>
      <w:r w:rsidRPr="00352F49">
        <w:t xml:space="preserve"> </w:t>
      </w:r>
      <w:r>
        <w:t xml:space="preserve">162: </w:t>
      </w:r>
      <w:r w:rsidRPr="00352F49">
        <w:t xml:space="preserve">103303. </w:t>
      </w:r>
      <w:r>
        <w:t xml:space="preserve">DOI: </w:t>
      </w:r>
      <w:r w:rsidRPr="00352F49">
        <w:t>10.1016/j.dsr.2020.103303</w:t>
      </w:r>
      <w:r>
        <w:t>.</w:t>
      </w:r>
    </w:p>
  </w:footnote>
  <w:footnote w:id="673">
    <w:p w14:paraId="6C3DCBC7" w14:textId="77777777" w:rsidR="00DE1BDD" w:rsidRDefault="00DE1BDD" w:rsidP="00DE1BDD">
      <w:pPr>
        <w:pStyle w:val="FootnoteText"/>
      </w:pPr>
      <w:r>
        <w:rPr>
          <w:rStyle w:val="FootnoteReference"/>
        </w:rPr>
        <w:footnoteRef/>
      </w:r>
      <w:r>
        <w:t xml:space="preserve"> </w:t>
      </w:r>
      <w:r>
        <w:tab/>
      </w:r>
      <w:r w:rsidRPr="0097606B">
        <w:t>Takahashi K</w:t>
      </w:r>
      <w:r>
        <w:t>,</w:t>
      </w:r>
      <w:r w:rsidRPr="0097606B">
        <w:t xml:space="preserve"> Hosie</w:t>
      </w:r>
      <w:r w:rsidRPr="003B342D">
        <w:t xml:space="preserve"> </w:t>
      </w:r>
      <w:r w:rsidRPr="0097606B">
        <w:t>G</w:t>
      </w:r>
      <w:r>
        <w:t>,</w:t>
      </w:r>
      <w:r w:rsidRPr="0097606B">
        <w:t xml:space="preserve"> Cowen</w:t>
      </w:r>
      <w:r w:rsidRPr="003B342D">
        <w:t xml:space="preserve"> </w:t>
      </w:r>
      <w:r w:rsidRPr="0097606B">
        <w:t>T</w:t>
      </w:r>
      <w:r>
        <w:t>,</w:t>
      </w:r>
      <w:r w:rsidRPr="0097606B">
        <w:t xml:space="preserve"> Hunt</w:t>
      </w:r>
      <w:r w:rsidRPr="003B342D">
        <w:t xml:space="preserve"> </w:t>
      </w:r>
      <w:r w:rsidRPr="0097606B">
        <w:t>B</w:t>
      </w:r>
      <w:r>
        <w:t>,</w:t>
      </w:r>
      <w:r w:rsidRPr="0097606B">
        <w:t xml:space="preserve"> Kitchener</w:t>
      </w:r>
      <w:r w:rsidRPr="003B342D">
        <w:t xml:space="preserve"> </w:t>
      </w:r>
      <w:r w:rsidRPr="0097606B">
        <w:t>J</w:t>
      </w:r>
      <w:r>
        <w:t>,</w:t>
      </w:r>
      <w:r w:rsidRPr="0097606B">
        <w:t xml:space="preserve"> McLeod</w:t>
      </w:r>
      <w:r w:rsidRPr="003B342D">
        <w:t xml:space="preserve"> </w:t>
      </w:r>
      <w:r w:rsidRPr="0097606B">
        <w:t>D</w:t>
      </w:r>
      <w:r>
        <w:t>,</w:t>
      </w:r>
      <w:r w:rsidRPr="0097606B">
        <w:t xml:space="preserve"> Meilland</w:t>
      </w:r>
      <w:r w:rsidRPr="003B342D">
        <w:t xml:space="preserve"> </w:t>
      </w:r>
      <w:r w:rsidRPr="0097606B">
        <w:t>J</w:t>
      </w:r>
      <w:r>
        <w:t>,</w:t>
      </w:r>
      <w:r w:rsidRPr="0097606B">
        <w:t xml:space="preserve"> Pinkerton</w:t>
      </w:r>
      <w:r w:rsidRPr="003B342D">
        <w:t xml:space="preserve"> </w:t>
      </w:r>
      <w:r w:rsidRPr="0097606B">
        <w:t>M</w:t>
      </w:r>
      <w:r>
        <w:t>,</w:t>
      </w:r>
      <w:r w:rsidRPr="0097606B">
        <w:t xml:space="preserve"> Raymond</w:t>
      </w:r>
      <w:r w:rsidRPr="003B342D">
        <w:t xml:space="preserve"> </w:t>
      </w:r>
      <w:r w:rsidRPr="0097606B">
        <w:t>B</w:t>
      </w:r>
      <w:r>
        <w:t>,</w:t>
      </w:r>
      <w:r w:rsidRPr="0097606B">
        <w:t xml:space="preserve"> Robinson</w:t>
      </w:r>
      <w:r w:rsidRPr="003B342D">
        <w:t xml:space="preserve"> </w:t>
      </w:r>
      <w:r w:rsidRPr="0097606B">
        <w:t>K</w:t>
      </w:r>
      <w:r>
        <w:t>,</w:t>
      </w:r>
      <w:r w:rsidRPr="0097606B">
        <w:t xml:space="preserve"> Swadling</w:t>
      </w:r>
      <w:r>
        <w:t>,</w:t>
      </w:r>
      <w:r w:rsidRPr="003B342D">
        <w:t xml:space="preserve"> </w:t>
      </w:r>
      <w:r w:rsidRPr="0097606B">
        <w:t>K.</w:t>
      </w:r>
      <w:r>
        <w:t xml:space="preserve"> </w:t>
      </w:r>
      <w:r w:rsidRPr="0097606B">
        <w:t xml:space="preserve">2021. </w:t>
      </w:r>
      <w:r w:rsidRPr="001015A6">
        <w:rPr>
          <w:i/>
          <w:iCs/>
        </w:rPr>
        <w:t>Report on the Status and Trends of Southern Ocean Zooplankton based on</w:t>
      </w:r>
      <w:r>
        <w:rPr>
          <w:i/>
          <w:iCs/>
        </w:rPr>
        <w:t> </w:t>
      </w:r>
      <w:r w:rsidRPr="001015A6">
        <w:rPr>
          <w:i/>
          <w:iCs/>
        </w:rPr>
        <w:t>the SCAR Southern Ocean Continuous Plankton Recorder (SO-CPR) Survey</w:t>
      </w:r>
      <w:r w:rsidRPr="0097606B">
        <w:t>. Cambridge</w:t>
      </w:r>
      <w:r>
        <w:t>:</w:t>
      </w:r>
      <w:r w:rsidRPr="0097606B">
        <w:t xml:space="preserve"> Scientific Committee on Antarctic Research</w:t>
      </w:r>
      <w:r>
        <w:t>.</w:t>
      </w:r>
      <w:r w:rsidRPr="0097606B">
        <w:t xml:space="preserve"> </w:t>
      </w:r>
      <w:r>
        <w:t>Retrieved from</w:t>
      </w:r>
      <w:r w:rsidRPr="0097606B">
        <w:t xml:space="preserve"> </w:t>
      </w:r>
      <w:hyperlink r:id="rId514" w:history="1">
        <w:r w:rsidRPr="00717FA3">
          <w:rPr>
            <w:rStyle w:val="Hyperlink"/>
          </w:rPr>
          <w:t>https://www.scar.org/scar-news/so-cpr-eg-news/so-zp-status-2020/</w:t>
        </w:r>
      </w:hyperlink>
      <w:r>
        <w:t xml:space="preserve"> (12 September 2022).</w:t>
      </w:r>
    </w:p>
  </w:footnote>
  <w:footnote w:id="674">
    <w:p w14:paraId="19BF8117" w14:textId="77777777" w:rsidR="00DE1BDD" w:rsidRDefault="00DE1BDD" w:rsidP="00DE1BDD">
      <w:pPr>
        <w:pStyle w:val="FootnoteText"/>
      </w:pPr>
      <w:r>
        <w:rPr>
          <w:rStyle w:val="FootnoteReference"/>
        </w:rPr>
        <w:footnoteRef/>
      </w:r>
      <w:r>
        <w:t xml:space="preserve"> </w:t>
      </w:r>
      <w:r>
        <w:tab/>
      </w:r>
      <w:hyperlink r:id="rId515" w:history="1">
        <w:r w:rsidRPr="00717FA3">
          <w:rPr>
            <w:rStyle w:val="Hyperlink"/>
          </w:rPr>
          <w:t>https://niwa.co.nz/our-science/coasts-and-oceans/tools-and-resources/southwestern-pacific-obis-node</w:t>
        </w:r>
      </w:hyperlink>
    </w:p>
  </w:footnote>
  <w:footnote w:id="675">
    <w:p w14:paraId="62C80321" w14:textId="77777777" w:rsidR="00DE1BDD" w:rsidRDefault="00DE1BDD" w:rsidP="00DE1BDD">
      <w:pPr>
        <w:pStyle w:val="FootnoteText"/>
      </w:pPr>
      <w:r>
        <w:rPr>
          <w:rStyle w:val="FootnoteReference"/>
        </w:rPr>
        <w:footnoteRef/>
      </w:r>
      <w:r>
        <w:t xml:space="preserve"> </w:t>
      </w:r>
      <w:r>
        <w:tab/>
      </w:r>
      <w:hyperlink r:id="rId516" w:history="1">
        <w:r w:rsidRPr="00076477">
          <w:rPr>
            <w:rStyle w:val="Hyperlink"/>
          </w:rPr>
          <w:t>https://obis.org/node/6c17c09e-5cc2-4d5a-8463-e866731d35a1</w:t>
        </w:r>
      </w:hyperlink>
    </w:p>
  </w:footnote>
  <w:footnote w:id="676">
    <w:p w14:paraId="2E2CF689" w14:textId="77777777" w:rsidR="00DE1BDD" w:rsidRDefault="00DE1BDD" w:rsidP="00DE1BDD">
      <w:pPr>
        <w:pStyle w:val="FootnoteText"/>
      </w:pPr>
      <w:r>
        <w:rPr>
          <w:rStyle w:val="FootnoteReference"/>
        </w:rPr>
        <w:footnoteRef/>
      </w:r>
      <w:r>
        <w:t xml:space="preserve"> </w:t>
      </w:r>
      <w:r>
        <w:tab/>
      </w:r>
      <w:hyperlink r:id="rId517" w:history="1">
        <w:r w:rsidRPr="00076477">
          <w:rPr>
            <w:rStyle w:val="Hyperlink"/>
          </w:rPr>
          <w:t>https://www.gbif.org/installation/f0d34585-ddcb-4915-9332-6043585e831a</w:t>
        </w:r>
      </w:hyperlink>
    </w:p>
  </w:footnote>
  <w:footnote w:id="677">
    <w:p w14:paraId="0DFAAEAE" w14:textId="77777777" w:rsidR="00DE1BDD" w:rsidRDefault="00DE1BDD" w:rsidP="00DE1BDD">
      <w:pPr>
        <w:pStyle w:val="FootnoteText"/>
      </w:pPr>
      <w:r>
        <w:rPr>
          <w:rStyle w:val="FootnoteReference"/>
        </w:rPr>
        <w:footnoteRef/>
      </w:r>
      <w:r>
        <w:t xml:space="preserve"> </w:t>
      </w:r>
      <w:r>
        <w:tab/>
      </w:r>
      <w:r w:rsidRPr="00FF423B">
        <w:t>Pinkerton MH</w:t>
      </w:r>
      <w:r>
        <w:t>,</w:t>
      </w:r>
      <w:r w:rsidRPr="00FF423B">
        <w:t xml:space="preserve"> Hayward</w:t>
      </w:r>
      <w:r w:rsidRPr="00A134DB">
        <w:t xml:space="preserve"> </w:t>
      </w:r>
      <w:r w:rsidRPr="00FF423B">
        <w:t>A.</w:t>
      </w:r>
      <w:r>
        <w:t xml:space="preserve"> </w:t>
      </w:r>
      <w:r w:rsidRPr="00FF423B">
        <w:t xml:space="preserve">2021. Tracking variability and long-term change in potential sea ice primary productivity using a novel light penetration index. </w:t>
      </w:r>
      <w:r w:rsidRPr="001015A6">
        <w:rPr>
          <w:i/>
          <w:iCs/>
        </w:rPr>
        <w:t>Journal of Marine Systems</w:t>
      </w:r>
      <w:r w:rsidRPr="00FF423B">
        <w:t xml:space="preserve"> 221: 103576.</w:t>
      </w:r>
    </w:p>
  </w:footnote>
  <w:footnote w:id="678">
    <w:p w14:paraId="650BF292" w14:textId="77777777" w:rsidR="00DE1BDD" w:rsidRDefault="00DE1BDD" w:rsidP="00DE1BDD">
      <w:pPr>
        <w:pStyle w:val="FootnoteText"/>
      </w:pPr>
      <w:r>
        <w:rPr>
          <w:rStyle w:val="FootnoteReference"/>
        </w:rPr>
        <w:footnoteRef/>
      </w:r>
      <w:r>
        <w:t xml:space="preserve"> </w:t>
      </w:r>
      <w:r>
        <w:tab/>
      </w:r>
      <w:hyperlink r:id="rId518" w:history="1">
        <w:r w:rsidRPr="00076477">
          <w:rPr>
            <w:rStyle w:val="Hyperlink"/>
          </w:rPr>
          <w:t>https://data-niwa.opendata.arcgis.com/documents/NIWA::niwa-scenz-ocean-colour-application/explore</w:t>
        </w:r>
      </w:hyperlink>
    </w:p>
  </w:footnote>
  <w:footnote w:id="679">
    <w:p w14:paraId="1665AF12" w14:textId="77777777" w:rsidR="00DE1BDD" w:rsidRDefault="00DE1BDD" w:rsidP="00DE1BDD">
      <w:pPr>
        <w:pStyle w:val="FootnoteText"/>
      </w:pPr>
      <w:r>
        <w:rPr>
          <w:rStyle w:val="FootnoteReference"/>
        </w:rPr>
        <w:footnoteRef/>
      </w:r>
      <w:r>
        <w:t xml:space="preserve"> </w:t>
      </w:r>
      <w:r>
        <w:tab/>
      </w:r>
      <w:r w:rsidRPr="00801297">
        <w:t>Broekhuizen N</w:t>
      </w:r>
      <w:r>
        <w:t>,</w:t>
      </w:r>
      <w:r w:rsidRPr="00801297">
        <w:t xml:space="preserve"> Plew</w:t>
      </w:r>
      <w:r w:rsidRPr="00A134DB">
        <w:t xml:space="preserve"> </w:t>
      </w:r>
      <w:r w:rsidRPr="00801297">
        <w:t>DR, Pinkerton</w:t>
      </w:r>
      <w:r w:rsidRPr="00A134DB">
        <w:t xml:space="preserve"> </w:t>
      </w:r>
      <w:r w:rsidRPr="00801297">
        <w:t>MH</w:t>
      </w:r>
      <w:r>
        <w:t>,</w:t>
      </w:r>
      <w:r w:rsidRPr="00801297">
        <w:t xml:space="preserve"> Gall</w:t>
      </w:r>
      <w:r w:rsidRPr="00A134DB">
        <w:t xml:space="preserve"> </w:t>
      </w:r>
      <w:r w:rsidRPr="00801297">
        <w:t xml:space="preserve">MG. 2021. Sea temperature rise over the period 2002–2020 in Pelorus Sound, New Zealand – with possible implications for the aquaculture industry. </w:t>
      </w:r>
      <w:r w:rsidRPr="001015A6">
        <w:rPr>
          <w:i/>
          <w:iCs/>
        </w:rPr>
        <w:t>New Zealand Journal of Marine and Freshwater Research</w:t>
      </w:r>
      <w:r w:rsidRPr="00801297">
        <w:t xml:space="preserve"> 55(1): 46</w:t>
      </w:r>
      <w:r>
        <w:t>–</w:t>
      </w:r>
      <w:r w:rsidRPr="00801297">
        <w:t>4.</w:t>
      </w:r>
    </w:p>
  </w:footnote>
  <w:footnote w:id="680">
    <w:p w14:paraId="55FA0BD2" w14:textId="77777777" w:rsidR="00DE1BDD" w:rsidRDefault="00DE1BDD" w:rsidP="00DE1BDD">
      <w:pPr>
        <w:pStyle w:val="FootnoteText"/>
      </w:pPr>
      <w:r>
        <w:rPr>
          <w:rStyle w:val="FootnoteReference"/>
        </w:rPr>
        <w:footnoteRef/>
      </w:r>
      <w:r>
        <w:t xml:space="preserve"> </w:t>
      </w:r>
      <w:r>
        <w:tab/>
      </w:r>
      <w:r w:rsidRPr="00DF5394">
        <w:t>Pinkerton MH</w:t>
      </w:r>
      <w:r>
        <w:t>,</w:t>
      </w:r>
      <w:r w:rsidRPr="00DF5394">
        <w:t xml:space="preserve"> Sutton</w:t>
      </w:r>
      <w:r w:rsidRPr="00953370">
        <w:t xml:space="preserve"> </w:t>
      </w:r>
      <w:r w:rsidRPr="00DF5394">
        <w:t>P</w:t>
      </w:r>
      <w:r>
        <w:t>,</w:t>
      </w:r>
      <w:r w:rsidRPr="00DF5394">
        <w:t xml:space="preserve"> Wood S. 2018. </w:t>
      </w:r>
      <w:r w:rsidRPr="001015A6">
        <w:rPr>
          <w:i/>
          <w:iCs/>
        </w:rPr>
        <w:t>Satellite indicators of phytoplankton and ocean surface temperature for New Zealand</w:t>
      </w:r>
      <w:r w:rsidRPr="00DF5394">
        <w:t>. NIWA report 2018180WN</w:t>
      </w:r>
      <w:r>
        <w:t>.</w:t>
      </w:r>
      <w:r w:rsidRPr="00DF5394">
        <w:t xml:space="preserve"> Prepared for Ministry for the Environment</w:t>
      </w:r>
      <w:r>
        <w:t xml:space="preserve"> by the </w:t>
      </w:r>
      <w:r w:rsidRPr="00446488">
        <w:t>National Institute of Water and Atmospheric Research</w:t>
      </w:r>
      <w:r w:rsidRPr="00DF5394">
        <w:t>.</w:t>
      </w:r>
      <w:r>
        <w:t xml:space="preserve"> Wellington: </w:t>
      </w:r>
      <w:r w:rsidRPr="00DF5394">
        <w:t>Ministry for the Environmen</w:t>
      </w:r>
      <w:r>
        <w:t>t.</w:t>
      </w:r>
    </w:p>
  </w:footnote>
  <w:footnote w:id="681">
    <w:p w14:paraId="74A45FA9" w14:textId="77777777" w:rsidR="00DE1BDD" w:rsidRDefault="00DE1BDD" w:rsidP="00DE1BDD">
      <w:pPr>
        <w:pStyle w:val="FootnoteText"/>
      </w:pPr>
      <w:r>
        <w:rPr>
          <w:rStyle w:val="FootnoteReference"/>
        </w:rPr>
        <w:footnoteRef/>
      </w:r>
      <w:r>
        <w:t xml:space="preserve"> </w:t>
      </w:r>
      <w:r>
        <w:tab/>
      </w:r>
      <w:r w:rsidRPr="00DF5394">
        <w:t xml:space="preserve">Pinkerton MH. 2019. </w:t>
      </w:r>
      <w:r w:rsidRPr="001015A6">
        <w:rPr>
          <w:i/>
          <w:iCs/>
        </w:rPr>
        <w:t>Change in environmental conditions of the Southern Ocean observed by satellites and data-assimilating models to 2019</w:t>
      </w:r>
      <w:r w:rsidRPr="00DF5394">
        <w:t xml:space="preserve">. Paper </w:t>
      </w:r>
      <w:r>
        <w:t xml:space="preserve">prepared </w:t>
      </w:r>
      <w:r w:rsidRPr="00DF5394">
        <w:t xml:space="preserve">for </w:t>
      </w:r>
      <w:r>
        <w:t xml:space="preserve">the </w:t>
      </w:r>
      <w:r w:rsidRPr="00F532B2">
        <w:t>Commission for the Conservation of Antarctic Marine Living Resources</w:t>
      </w:r>
      <w:r>
        <w:t>,</w:t>
      </w:r>
      <w:r w:rsidRPr="00DF5394">
        <w:t xml:space="preserve"> WG-EMM-19.</w:t>
      </w:r>
      <w:r>
        <w:t xml:space="preserve"> Tasmania: </w:t>
      </w:r>
      <w:r w:rsidRPr="00F532B2">
        <w:t>Commission for the Conservation of Antarctic Marine Living Resources</w:t>
      </w:r>
      <w:r>
        <w:t xml:space="preserve">. </w:t>
      </w:r>
      <w:r w:rsidRPr="00DF5394">
        <w:t>Pinkerton MH</w:t>
      </w:r>
      <w:r>
        <w:t>,</w:t>
      </w:r>
      <w:r w:rsidRPr="00DF5394">
        <w:t xml:space="preserve"> Boyd</w:t>
      </w:r>
      <w:r w:rsidRPr="001B2BE3">
        <w:t xml:space="preserve"> </w:t>
      </w:r>
      <w:r w:rsidRPr="00DF5394">
        <w:t>P</w:t>
      </w:r>
      <w:r>
        <w:t>,</w:t>
      </w:r>
      <w:r w:rsidRPr="00DF5394">
        <w:t xml:space="preserve"> Deppeler</w:t>
      </w:r>
      <w:r w:rsidRPr="001B2BE3">
        <w:t xml:space="preserve"> </w:t>
      </w:r>
      <w:r w:rsidRPr="00DF5394">
        <w:t>S</w:t>
      </w:r>
      <w:r>
        <w:t>,</w:t>
      </w:r>
      <w:r w:rsidRPr="00DF5394">
        <w:t xml:space="preserve"> Hayward</w:t>
      </w:r>
      <w:r w:rsidRPr="001B2BE3">
        <w:t xml:space="preserve"> </w:t>
      </w:r>
      <w:r w:rsidRPr="00DF5394">
        <w:t>A</w:t>
      </w:r>
      <w:r>
        <w:t>,</w:t>
      </w:r>
      <w:r w:rsidRPr="00DF5394">
        <w:t xml:space="preserve"> Hofer</w:t>
      </w:r>
      <w:r w:rsidRPr="001B2BE3">
        <w:t xml:space="preserve"> </w:t>
      </w:r>
      <w:r w:rsidRPr="00DF5394">
        <w:t>J</w:t>
      </w:r>
      <w:r>
        <w:t>,</w:t>
      </w:r>
      <w:r w:rsidRPr="00DF5394">
        <w:t xml:space="preserve"> Moreau S. 2021. Evidence for the impact of climate change on primary producers in the Southern Ocean. </w:t>
      </w:r>
      <w:r w:rsidRPr="001015A6">
        <w:rPr>
          <w:i/>
          <w:iCs/>
        </w:rPr>
        <w:t>Frontiers of Marine Science</w:t>
      </w:r>
      <w:r>
        <w:t>.</w:t>
      </w:r>
      <w:r w:rsidRPr="00DF5394">
        <w:t xml:space="preserve"> </w:t>
      </w:r>
      <w:r>
        <w:t>DOI</w:t>
      </w:r>
      <w:r w:rsidRPr="00DF5394">
        <w:t>: 10.3389/fevo.2021.592027.</w:t>
      </w:r>
    </w:p>
  </w:footnote>
  <w:footnote w:id="682">
    <w:p w14:paraId="60F6D792" w14:textId="77777777" w:rsidR="00DE1BDD" w:rsidRDefault="00DE1BDD" w:rsidP="00DE1BDD">
      <w:pPr>
        <w:pStyle w:val="FootnoteText"/>
      </w:pPr>
      <w:r>
        <w:rPr>
          <w:rStyle w:val="FootnoteReference"/>
        </w:rPr>
        <w:footnoteRef/>
      </w:r>
      <w:r>
        <w:t xml:space="preserve"> </w:t>
      </w:r>
      <w:r>
        <w:tab/>
      </w:r>
      <w:hyperlink r:id="rId519" w:history="1">
        <w:r w:rsidRPr="00076477">
          <w:rPr>
            <w:rStyle w:val="Hyperlink"/>
          </w:rPr>
          <w:t>https://www.ioc-sealevelmonitoring.org/index.php</w:t>
        </w:r>
      </w:hyperlink>
    </w:p>
  </w:footnote>
  <w:footnote w:id="683">
    <w:p w14:paraId="78B8DB92" w14:textId="77777777" w:rsidR="00DE1BDD" w:rsidRPr="001015A6" w:rsidRDefault="00DE1BDD" w:rsidP="00DE1BDD">
      <w:pPr>
        <w:pStyle w:val="FootnoteText"/>
        <w:rPr>
          <w:lang w:val="en-US"/>
        </w:rPr>
      </w:pPr>
      <w:r>
        <w:rPr>
          <w:rStyle w:val="FootnoteReference"/>
        </w:rPr>
        <w:footnoteRef/>
      </w:r>
      <w:r>
        <w:t xml:space="preserve"> </w:t>
      </w:r>
      <w:r>
        <w:tab/>
      </w:r>
      <w:r w:rsidRPr="00BF0371">
        <w:t>Global Ocean Observing System</w:t>
      </w:r>
      <w:r>
        <w:t>.</w:t>
      </w:r>
    </w:p>
  </w:footnote>
  <w:footnote w:id="684">
    <w:p w14:paraId="66CC6094" w14:textId="77777777" w:rsidR="00DE1BDD" w:rsidRPr="001015A6" w:rsidRDefault="00DE1BDD" w:rsidP="00DE1BDD">
      <w:pPr>
        <w:pStyle w:val="FootnoteText"/>
        <w:rPr>
          <w:lang w:val="en-US"/>
        </w:rPr>
      </w:pPr>
      <w:r>
        <w:rPr>
          <w:rStyle w:val="FootnoteReference"/>
        </w:rPr>
        <w:footnoteRef/>
      </w:r>
      <w:r>
        <w:t xml:space="preserve"> </w:t>
      </w:r>
      <w:r>
        <w:tab/>
      </w:r>
      <w:r w:rsidRPr="00BF0371">
        <w:t>Joint WMO/</w:t>
      </w:r>
      <w:r w:rsidRPr="00B21741">
        <w:t xml:space="preserve"> Intergovernmental Oceanographic Commission</w:t>
      </w:r>
      <w:r w:rsidRPr="00BF0371">
        <w:t xml:space="preserve"> Technical Commission for Oceanography and Marine Meteorology</w:t>
      </w:r>
      <w:r>
        <w:t>.</w:t>
      </w:r>
    </w:p>
  </w:footnote>
  <w:footnote w:id="685">
    <w:p w14:paraId="49A20760" w14:textId="77777777" w:rsidR="00DE1BDD" w:rsidRPr="000D0CBE" w:rsidRDefault="00DE1BDD" w:rsidP="00DE1BDD">
      <w:pPr>
        <w:pStyle w:val="FootnoteText"/>
      </w:pPr>
      <w:r w:rsidRPr="000D0CBE">
        <w:rPr>
          <w:rStyle w:val="FootnoteReference"/>
          <w:rFonts w:eastAsiaTheme="majorEastAsia"/>
        </w:rPr>
        <w:footnoteRef/>
      </w:r>
      <w:r>
        <w:tab/>
      </w:r>
      <w:hyperlink r:id="rId520" w:history="1">
        <w:r w:rsidRPr="00076477">
          <w:rPr>
            <w:rStyle w:val="Hyperlink"/>
          </w:rPr>
          <w:t>https://</w:t>
        </w:r>
        <w:r w:rsidRPr="00076477">
          <w:rPr>
            <w:rStyle w:val="Hyperlink"/>
            <w:rFonts w:eastAsiaTheme="majorEastAsia"/>
          </w:rPr>
          <w:t>www-hrx.ucsd.edu</w:t>
        </w:r>
      </w:hyperlink>
    </w:p>
  </w:footnote>
  <w:footnote w:id="686">
    <w:p w14:paraId="6801C025" w14:textId="77777777" w:rsidR="00DE1BDD" w:rsidRPr="000D0CBE" w:rsidRDefault="00DE1BDD" w:rsidP="00DE1BDD">
      <w:pPr>
        <w:pStyle w:val="FootnoteText"/>
      </w:pPr>
      <w:r w:rsidRPr="000D0CBE">
        <w:rPr>
          <w:rStyle w:val="FootnoteReference"/>
          <w:rFonts w:eastAsiaTheme="majorEastAsia"/>
        </w:rPr>
        <w:footnoteRef/>
      </w:r>
      <w:r>
        <w:tab/>
      </w:r>
      <w:hyperlink r:id="rId521" w:history="1">
        <w:r w:rsidRPr="00465A7D">
          <w:rPr>
            <w:rStyle w:val="Hyperlink"/>
          </w:rPr>
          <w:t>https://public.wmo.int/en/programmes/global-climate-observing-system/essential-climate-variables</w:t>
        </w:r>
      </w:hyperlink>
      <w:r>
        <w:rPr>
          <w:rStyle w:val="Hyperlink"/>
        </w:rPr>
        <w:t xml:space="preserve"> </w:t>
      </w:r>
      <w:r>
        <w:t>and </w:t>
      </w:r>
      <w:hyperlink r:id="rId522" w:history="1">
        <w:r w:rsidRPr="00076477">
          <w:rPr>
            <w:rStyle w:val="Hyperlink"/>
          </w:rPr>
          <w:t>https://gcos.wmo.int/en/essential-climate-variables</w:t>
        </w:r>
      </w:hyperlink>
    </w:p>
  </w:footnote>
  <w:footnote w:id="687">
    <w:p w14:paraId="26353637" w14:textId="77777777" w:rsidR="00DE1BDD" w:rsidRDefault="00DE1BDD" w:rsidP="00DE1BDD">
      <w:pPr>
        <w:pStyle w:val="FootnoteText"/>
      </w:pPr>
      <w:r>
        <w:rPr>
          <w:rStyle w:val="FootnoteReference"/>
        </w:rPr>
        <w:footnoteRef/>
      </w:r>
      <w:r>
        <w:t xml:space="preserve"> </w:t>
      </w:r>
      <w:r>
        <w:tab/>
      </w:r>
      <w:hyperlink r:id="rId523" w:history="1">
        <w:r w:rsidRPr="00076477">
          <w:rPr>
            <w:rStyle w:val="Hyperlink"/>
          </w:rPr>
          <w:t>https://www.stats.govt.nz/indicators/annual-glacier-ice-volumes</w:t>
        </w:r>
      </w:hyperlink>
    </w:p>
  </w:footnote>
  <w:footnote w:id="688">
    <w:p w14:paraId="626DAF99" w14:textId="77777777" w:rsidR="00DE1BDD" w:rsidRPr="000D0CBE" w:rsidRDefault="00DE1BDD" w:rsidP="00DE1BDD">
      <w:pPr>
        <w:pStyle w:val="FootnoteText"/>
      </w:pPr>
      <w:r w:rsidRPr="000D0CBE">
        <w:rPr>
          <w:rStyle w:val="FootnoteReference"/>
          <w:rFonts w:eastAsiaTheme="majorEastAsia"/>
        </w:rPr>
        <w:footnoteRef/>
      </w:r>
      <w:r>
        <w:tab/>
      </w:r>
      <w:hyperlink r:id="rId524" w:history="1">
        <w:r w:rsidRPr="00076477">
          <w:rPr>
            <w:rStyle w:val="Hyperlink"/>
          </w:rPr>
          <w:t>https://</w:t>
        </w:r>
        <w:r w:rsidRPr="00076477">
          <w:rPr>
            <w:rStyle w:val="Hyperlink"/>
            <w:rFonts w:eastAsiaTheme="majorEastAsia"/>
          </w:rPr>
          <w:t>www.sirg.org.nz</w:t>
        </w:r>
      </w:hyperlink>
      <w:r w:rsidRPr="000D0CBE">
        <w:t xml:space="preserve"> </w:t>
      </w:r>
    </w:p>
  </w:footnote>
  <w:footnote w:id="689">
    <w:p w14:paraId="24F675B2" w14:textId="77777777" w:rsidR="00DE1BDD" w:rsidRDefault="00DE1BDD" w:rsidP="00DE1BDD">
      <w:pPr>
        <w:pStyle w:val="FootnoteText"/>
      </w:pPr>
      <w:r>
        <w:rPr>
          <w:rStyle w:val="FootnoteReference"/>
        </w:rPr>
        <w:footnoteRef/>
      </w:r>
      <w:r>
        <w:t xml:space="preserve"> </w:t>
      </w:r>
      <w:r>
        <w:tab/>
      </w:r>
      <w:r w:rsidRPr="00C90CF3">
        <w:t xml:space="preserve">Pearson C, Ede M, Haddadchi A, Hudson N. 2021. Developments in surface water monitoring in the last ten years. </w:t>
      </w:r>
      <w:r w:rsidRPr="00C90CF3">
        <w:rPr>
          <w:i/>
          <w:iCs/>
        </w:rPr>
        <w:t>Journal of Hydrology New Zealand</w:t>
      </w:r>
      <w:r w:rsidRPr="00C90CF3">
        <w:t xml:space="preserve"> 60(2): 11–17. </w:t>
      </w:r>
      <w:hyperlink r:id="rId525" w:history="1">
        <w:r w:rsidRPr="00C90CF3">
          <w:rPr>
            <w:rStyle w:val="Hyperlink"/>
            <w:spacing w:val="-2"/>
          </w:rPr>
          <w:t>https://www.hydrologynz.org.nz/journal/volume-60-2021</w:t>
        </w:r>
      </w:hyperlink>
      <w:r w:rsidRPr="00C90CF3">
        <w:t xml:space="preserve">. </w:t>
      </w:r>
    </w:p>
  </w:footnote>
  <w:footnote w:id="690">
    <w:p w14:paraId="1E0E03D6" w14:textId="77777777" w:rsidR="00DE1BDD" w:rsidRDefault="00DE1BDD" w:rsidP="00DE1BDD">
      <w:pPr>
        <w:pStyle w:val="FootnoteText"/>
      </w:pPr>
      <w:r>
        <w:rPr>
          <w:rStyle w:val="FootnoteReference"/>
        </w:rPr>
        <w:footnoteRef/>
      </w:r>
      <w:r>
        <w:t xml:space="preserve"> </w:t>
      </w:r>
      <w:r>
        <w:tab/>
      </w:r>
      <w:hyperlink r:id="rId526" w:history="1">
        <w:r w:rsidRPr="00076477">
          <w:rPr>
            <w:rStyle w:val="Hyperlink"/>
          </w:rPr>
          <w:t>https://www.nems.org.nz/documents/</w:t>
        </w:r>
      </w:hyperlink>
    </w:p>
  </w:footnote>
  <w:footnote w:id="691">
    <w:p w14:paraId="1AB5D7E0" w14:textId="77777777" w:rsidR="00DE1BDD" w:rsidRPr="000D0CBE" w:rsidRDefault="00DE1BDD" w:rsidP="00DE1BDD">
      <w:pPr>
        <w:pStyle w:val="FootnoteText"/>
      </w:pPr>
      <w:r w:rsidRPr="000D0CBE">
        <w:rPr>
          <w:rStyle w:val="FootnoteReference"/>
          <w:rFonts w:eastAsiaTheme="majorEastAsia"/>
        </w:rPr>
        <w:footnoteRef/>
      </w:r>
      <w:r>
        <w:tab/>
      </w:r>
      <w:hyperlink r:id="rId527" w:history="1">
        <w:r w:rsidRPr="00076477">
          <w:rPr>
            <w:rStyle w:val="Hyperlink"/>
          </w:rPr>
          <w:t>https://</w:t>
        </w:r>
        <w:r w:rsidRPr="00076477">
          <w:rPr>
            <w:rStyle w:val="Hyperlink"/>
            <w:rFonts w:eastAsiaTheme="majorEastAsia"/>
          </w:rPr>
          <w:t>www.lawa.org.nz</w:t>
        </w:r>
      </w:hyperlink>
      <w:r w:rsidRPr="000D0CBE">
        <w:t xml:space="preserve"> </w:t>
      </w:r>
    </w:p>
  </w:footnote>
  <w:footnote w:id="692">
    <w:p w14:paraId="4D276984" w14:textId="77777777" w:rsidR="00DE1BDD" w:rsidRPr="000D0CBE" w:rsidRDefault="00DE1BDD" w:rsidP="00DE1BDD">
      <w:pPr>
        <w:pStyle w:val="FootnoteText"/>
      </w:pPr>
      <w:r w:rsidRPr="000D0CBE">
        <w:rPr>
          <w:rStyle w:val="FootnoteReference"/>
          <w:rFonts w:eastAsiaTheme="majorEastAsia"/>
        </w:rPr>
        <w:footnoteRef/>
      </w:r>
      <w:r>
        <w:tab/>
      </w:r>
      <w:hyperlink r:id="rId528" w:history="1">
        <w:r w:rsidRPr="00076477">
          <w:rPr>
            <w:rStyle w:val="Hyperlink"/>
          </w:rPr>
          <w:t>https://</w:t>
        </w:r>
        <w:r w:rsidRPr="00076477">
          <w:rPr>
            <w:rStyle w:val="Hyperlink"/>
            <w:rFonts w:eastAsiaTheme="majorEastAsia"/>
          </w:rPr>
          <w:t>www.bafg.de/GRDC/EN/Home/homepage_node.html</w:t>
        </w:r>
      </w:hyperlink>
    </w:p>
  </w:footnote>
  <w:footnote w:id="693">
    <w:p w14:paraId="7C07CF2E" w14:textId="77777777" w:rsidR="00DE1BDD" w:rsidRPr="000D0CBE" w:rsidRDefault="00DE1BDD" w:rsidP="00DE1BDD">
      <w:pPr>
        <w:pStyle w:val="FootnoteText"/>
      </w:pPr>
      <w:r w:rsidRPr="000D0CBE">
        <w:rPr>
          <w:rStyle w:val="FootnoteReference"/>
          <w:rFonts w:eastAsiaTheme="majorEastAsia"/>
        </w:rPr>
        <w:footnoteRef/>
      </w:r>
      <w:r>
        <w:tab/>
      </w:r>
      <w:hyperlink r:id="rId529" w:history="1">
        <w:r w:rsidRPr="00076477">
          <w:rPr>
            <w:rStyle w:val="Hyperlink"/>
          </w:rPr>
          <w:t>https://</w:t>
        </w:r>
        <w:r w:rsidRPr="00076477">
          <w:rPr>
            <w:rStyle w:val="Hyperlink"/>
            <w:rFonts w:eastAsiaTheme="majorEastAsia"/>
          </w:rPr>
          <w:t>www.unep.org/gemswater</w:t>
        </w:r>
      </w:hyperlink>
      <w:r w:rsidRPr="000D0CBE">
        <w:t xml:space="preserve"> </w:t>
      </w:r>
    </w:p>
  </w:footnote>
  <w:footnote w:id="694">
    <w:p w14:paraId="52A41CEF" w14:textId="77777777" w:rsidR="00DE1BDD" w:rsidRPr="000D0CBE" w:rsidRDefault="00DE1BDD" w:rsidP="00DE1BDD">
      <w:pPr>
        <w:pStyle w:val="FootnoteText"/>
      </w:pPr>
      <w:r w:rsidRPr="000D0CBE">
        <w:rPr>
          <w:rStyle w:val="FootnoteReference"/>
          <w:rFonts w:eastAsiaTheme="majorEastAsia"/>
        </w:rPr>
        <w:footnoteRef/>
      </w:r>
      <w:r w:rsidRPr="000D0CBE">
        <w:t xml:space="preserve"> </w:t>
      </w:r>
      <w:r>
        <w:tab/>
      </w:r>
      <w:hyperlink r:id="rId530" w:history="1">
        <w:r w:rsidRPr="00F625F4">
          <w:rPr>
            <w:rStyle w:val="Hyperlink"/>
          </w:rPr>
          <w:t>https://niwa.co.nz/climate/summaries</w:t>
        </w:r>
      </w:hyperlink>
    </w:p>
  </w:footnote>
  <w:footnote w:id="695">
    <w:p w14:paraId="7CF6D529" w14:textId="77777777" w:rsidR="00DE1BDD" w:rsidRDefault="00DE1BDD" w:rsidP="00DE1BDD">
      <w:pPr>
        <w:pStyle w:val="FootnoteText"/>
      </w:pPr>
      <w:r>
        <w:rPr>
          <w:rStyle w:val="FootnoteReference"/>
        </w:rPr>
        <w:footnoteRef/>
      </w:r>
      <w:r>
        <w:t xml:space="preserve"> </w:t>
      </w:r>
      <w:r>
        <w:tab/>
      </w:r>
      <w:hyperlink r:id="rId531" w:history="1">
        <w:r w:rsidRPr="00F625F4">
          <w:rPr>
            <w:rStyle w:val="Hyperlink"/>
          </w:rPr>
          <w:t>https://ggw.gns.cri.nz/</w:t>
        </w:r>
      </w:hyperlink>
    </w:p>
  </w:footnote>
  <w:footnote w:id="696">
    <w:p w14:paraId="245C8C05" w14:textId="77777777" w:rsidR="00DE1BDD" w:rsidRDefault="00DE1BDD" w:rsidP="00DE1BDD">
      <w:pPr>
        <w:pStyle w:val="FootnoteText"/>
      </w:pPr>
      <w:r>
        <w:rPr>
          <w:rStyle w:val="FootnoteReference"/>
        </w:rPr>
        <w:footnoteRef/>
      </w:r>
      <w:r>
        <w:t xml:space="preserve"> </w:t>
      </w:r>
      <w:r>
        <w:tab/>
      </w:r>
      <w:r w:rsidRPr="00EF7CCC">
        <w:t xml:space="preserve">Moreau M, Daughney C. 2021. Defining natural baselines for rates of change in New Zealand's groundwater quality: </w:t>
      </w:r>
      <w:r>
        <w:t>D</w:t>
      </w:r>
      <w:r w:rsidRPr="00EF7CCC">
        <w:t xml:space="preserve">ealing with incomplete or disparate datasets, accounting for impacted sites, and merging into state of the-environment reporting. </w:t>
      </w:r>
      <w:r w:rsidRPr="001015A6">
        <w:rPr>
          <w:i/>
          <w:iCs/>
        </w:rPr>
        <w:t>Science of The Total Environment</w:t>
      </w:r>
      <w:r w:rsidRPr="00EF7CCC">
        <w:t xml:space="preserve"> 755(2):</w:t>
      </w:r>
      <w:r>
        <w:t xml:space="preserve"> </w:t>
      </w:r>
      <w:r w:rsidRPr="00EF7CCC">
        <w:t xml:space="preserve">143292. </w:t>
      </w:r>
      <w:r>
        <w:t>DOI</w:t>
      </w:r>
      <w:r w:rsidRPr="00EF7CCC">
        <w:t>:</w:t>
      </w:r>
      <w:r>
        <w:t xml:space="preserve"> </w:t>
      </w:r>
      <w:r w:rsidRPr="00EF7CCC">
        <w:t>10.1016/j.scitotenv.2020.143292</w:t>
      </w:r>
      <w:r>
        <w:t>.</w:t>
      </w:r>
    </w:p>
  </w:footnote>
  <w:footnote w:id="697">
    <w:p w14:paraId="0D7454B1" w14:textId="77777777" w:rsidR="00DE1BDD" w:rsidRPr="000D0CBE" w:rsidRDefault="00DE1BDD" w:rsidP="00DE1BDD">
      <w:pPr>
        <w:pStyle w:val="FootnoteText"/>
      </w:pPr>
      <w:r w:rsidRPr="000D0CBE">
        <w:rPr>
          <w:rStyle w:val="FootnoteReference"/>
          <w:rFonts w:eastAsiaTheme="majorEastAsia"/>
        </w:rPr>
        <w:footnoteRef/>
      </w:r>
      <w:r>
        <w:tab/>
      </w:r>
      <w:hyperlink r:id="rId532" w:history="1">
        <w:r w:rsidRPr="00A66ACE">
          <w:rPr>
            <w:rStyle w:val="Hyperlink"/>
            <w:rFonts w:eastAsiaTheme="majorEastAsia"/>
          </w:rPr>
          <w:t>https://www.stats.govt.nz/indicators/groundwater-quality/</w:t>
        </w:r>
      </w:hyperlink>
      <w:r w:rsidRPr="000D0CBE">
        <w:t xml:space="preserve"> </w:t>
      </w:r>
    </w:p>
  </w:footnote>
  <w:footnote w:id="698">
    <w:p w14:paraId="42E1B89B" w14:textId="77777777" w:rsidR="00DE1BDD" w:rsidRPr="000D0CBE" w:rsidRDefault="00DE1BDD" w:rsidP="00DE1BDD">
      <w:pPr>
        <w:pStyle w:val="FootnoteText"/>
      </w:pPr>
      <w:r w:rsidRPr="000D0CBE">
        <w:rPr>
          <w:rStyle w:val="FootnoteReference"/>
          <w:rFonts w:eastAsiaTheme="majorEastAsia"/>
        </w:rPr>
        <w:footnoteRef/>
      </w:r>
      <w:r>
        <w:tab/>
      </w:r>
      <w:hyperlink r:id="rId533" w:history="1">
        <w:r w:rsidRPr="00F76A3B">
          <w:rPr>
            <w:rStyle w:val="Hyperlink"/>
            <w:rFonts w:eastAsiaTheme="majorEastAsia"/>
          </w:rPr>
          <w:t>https://lris.scinfo.org.nz/search/?q=lcdb</w:t>
        </w:r>
      </w:hyperlink>
    </w:p>
  </w:footnote>
  <w:footnote w:id="699">
    <w:p w14:paraId="6873F5E3" w14:textId="77777777" w:rsidR="00DE1BDD" w:rsidRPr="000D0CBE" w:rsidRDefault="00DE1BDD" w:rsidP="00DE1BDD">
      <w:pPr>
        <w:pStyle w:val="FootnoteText"/>
      </w:pPr>
      <w:r w:rsidRPr="000D0CBE">
        <w:rPr>
          <w:rStyle w:val="FootnoteReference"/>
          <w:rFonts w:eastAsiaTheme="majorEastAsia"/>
        </w:rPr>
        <w:footnoteRef/>
      </w:r>
      <w:r>
        <w:tab/>
      </w:r>
      <w:hyperlink r:id="rId534" w:history="1">
        <w:r w:rsidRPr="00F625F4">
          <w:rPr>
            <w:rStyle w:val="Hyperlink"/>
          </w:rPr>
          <w:t>https://</w:t>
        </w:r>
        <w:r w:rsidRPr="00F625F4">
          <w:rPr>
            <w:rStyle w:val="Hyperlink"/>
            <w:rFonts w:eastAsiaTheme="majorEastAsia"/>
          </w:rPr>
          <w:t>www.mfe.govt.nz/more/data/available-datasets/land-use-map</w:t>
        </w:r>
      </w:hyperlink>
      <w:r w:rsidRPr="000D0CBE">
        <w:t xml:space="preserve"> </w:t>
      </w:r>
    </w:p>
  </w:footnote>
  <w:footnote w:id="700">
    <w:p w14:paraId="43ACEEAA" w14:textId="77777777" w:rsidR="00DE1BDD" w:rsidRPr="000D0CBE" w:rsidRDefault="00DE1BDD" w:rsidP="00DE1BDD">
      <w:pPr>
        <w:pStyle w:val="FootnoteText"/>
      </w:pPr>
      <w:r w:rsidRPr="000D0CBE">
        <w:rPr>
          <w:rStyle w:val="FootnoteReference"/>
          <w:rFonts w:eastAsiaTheme="majorEastAsia"/>
        </w:rPr>
        <w:footnoteRef/>
      </w:r>
      <w:r w:rsidRPr="000D0CBE">
        <w:t xml:space="preserve"> </w:t>
      </w:r>
      <w:hyperlink r:id="rId535" w:history="1">
        <w:r>
          <w:rPr>
            <w:rStyle w:val="Hyperlink"/>
            <w:rFonts w:eastAsiaTheme="majorEastAsia"/>
          </w:rPr>
          <w:tab/>
        </w:r>
        <w:r>
          <w:t>https://</w:t>
        </w:r>
        <w:r w:rsidRPr="000D0CBE">
          <w:rPr>
            <w:rStyle w:val="Hyperlink"/>
            <w:rFonts w:eastAsiaTheme="majorEastAsia"/>
          </w:rPr>
          <w:t>www.nzagrc.org.nz/soil-carbon.html</w:t>
        </w:r>
      </w:hyperlink>
    </w:p>
  </w:footnote>
  <w:footnote w:id="701">
    <w:p w14:paraId="5C4CCA7F" w14:textId="77777777" w:rsidR="00DE1BDD" w:rsidRDefault="00DE1BDD" w:rsidP="00DE1BDD">
      <w:pPr>
        <w:pStyle w:val="FootnoteText"/>
      </w:pPr>
      <w:r>
        <w:rPr>
          <w:rStyle w:val="FootnoteReference"/>
        </w:rPr>
        <w:footnoteRef/>
      </w:r>
      <w:r>
        <w:t xml:space="preserve"> </w:t>
      </w:r>
      <w:r>
        <w:tab/>
      </w:r>
      <w:hyperlink r:id="rId536" w:history="1">
        <w:r w:rsidRPr="00F625F4">
          <w:rPr>
            <w:rStyle w:val="Hyperlink"/>
          </w:rPr>
          <w:t>https://www.landcareresearch.co.nz/news/a-new-national-soil-carbon-monitoring-system-for-agricultural-land/</w:t>
        </w:r>
      </w:hyperlink>
    </w:p>
  </w:footnote>
  <w:footnote w:id="702">
    <w:p w14:paraId="090142B5" w14:textId="77777777" w:rsidR="00DE1BDD" w:rsidRDefault="00DE1BDD" w:rsidP="00DE1BDD">
      <w:pPr>
        <w:pStyle w:val="FootnoteText"/>
      </w:pPr>
      <w:r>
        <w:rPr>
          <w:rStyle w:val="FootnoteReference"/>
        </w:rPr>
        <w:footnoteRef/>
      </w:r>
      <w:r>
        <w:t xml:space="preserve"> </w:t>
      </w:r>
      <w:r>
        <w:tab/>
      </w:r>
      <w:hyperlink r:id="rId537" w:history="1">
        <w:r w:rsidRPr="00516163">
          <w:rPr>
            <w:rStyle w:val="Hyperlink"/>
          </w:rPr>
          <w:t>https://niwa.co.nz/climate/research-projects/carbon-watch-nz</w:t>
        </w:r>
      </w:hyperlink>
    </w:p>
  </w:footnote>
  <w:footnote w:id="703">
    <w:p w14:paraId="1068C1B2" w14:textId="77777777" w:rsidR="00DE1BDD" w:rsidRPr="000D0CBE" w:rsidRDefault="00DE1BDD" w:rsidP="00DE1BDD">
      <w:pPr>
        <w:pStyle w:val="FootnoteText"/>
      </w:pPr>
      <w:r w:rsidRPr="000D0CBE">
        <w:rPr>
          <w:rStyle w:val="FootnoteReference"/>
          <w:rFonts w:eastAsiaTheme="majorEastAsia"/>
        </w:rPr>
        <w:footnoteRef/>
      </w:r>
      <w:r w:rsidRPr="000D0CBE">
        <w:t xml:space="preserve"> </w:t>
      </w:r>
      <w:r>
        <w:tab/>
      </w:r>
      <w:hyperlink r:id="rId538" w:history="1">
        <w:r w:rsidRPr="00892923">
          <w:rPr>
            <w:rStyle w:val="Hyperlink"/>
            <w:rFonts w:eastAsiaTheme="majorEastAsia"/>
          </w:rPr>
          <w:t>https://nvs.landcareresearch.co.nz/</w:t>
        </w:r>
      </w:hyperlink>
    </w:p>
  </w:footnote>
  <w:footnote w:id="704">
    <w:p w14:paraId="1DDB7606" w14:textId="77777777" w:rsidR="00DE1BDD" w:rsidRDefault="00DE1BDD" w:rsidP="00DE1BDD">
      <w:pPr>
        <w:pStyle w:val="FootnoteText"/>
      </w:pPr>
      <w:r>
        <w:rPr>
          <w:rStyle w:val="FootnoteReference"/>
        </w:rPr>
        <w:footnoteRef/>
      </w:r>
      <w:r>
        <w:t xml:space="preserve"> </w:t>
      </w:r>
      <w:r>
        <w:tab/>
      </w:r>
      <w:hyperlink r:id="rId539" w:history="1">
        <w:r w:rsidRPr="002B74B6">
          <w:rPr>
            <w:rStyle w:val="Hyperlink"/>
          </w:rPr>
          <w:t>https://www.doc.govt.nz/our-work/monitoring-reporting/plot-level-report</w:t>
        </w:r>
      </w:hyperlink>
    </w:p>
  </w:footnote>
  <w:footnote w:id="705">
    <w:p w14:paraId="074B8C0A" w14:textId="77777777" w:rsidR="00DE1BDD" w:rsidRDefault="00DE1BDD" w:rsidP="00DE1BDD">
      <w:pPr>
        <w:pStyle w:val="FootnoteText"/>
      </w:pPr>
      <w:r>
        <w:rPr>
          <w:rStyle w:val="FootnoteReference"/>
        </w:rPr>
        <w:footnoteRef/>
      </w:r>
      <w:r>
        <w:t xml:space="preserve"> </w:t>
      </w:r>
      <w:r>
        <w:tab/>
      </w:r>
      <w:hyperlink r:id="rId540" w:history="1">
        <w:r w:rsidRPr="00892923">
          <w:rPr>
            <w:rStyle w:val="Hyperlink"/>
          </w:rPr>
          <w:t>https://soils.landcareresearch.co.nz/tools/national-soils-database</w:t>
        </w:r>
      </w:hyperlink>
      <w:r>
        <w:t xml:space="preserve"> </w:t>
      </w:r>
    </w:p>
  </w:footnote>
  <w:footnote w:id="706">
    <w:p w14:paraId="78481686" w14:textId="77777777" w:rsidR="00DE1BDD" w:rsidRDefault="00DE1BDD" w:rsidP="00DE1BDD">
      <w:pPr>
        <w:pStyle w:val="FootnoteText"/>
      </w:pPr>
      <w:r>
        <w:rPr>
          <w:rStyle w:val="FootnoteReference"/>
        </w:rPr>
        <w:footnoteRef/>
      </w:r>
      <w:r>
        <w:t xml:space="preserve"> </w:t>
      </w:r>
      <w:r>
        <w:tab/>
      </w:r>
      <w:hyperlink r:id="rId541" w:history="1">
        <w:r w:rsidRPr="00892923">
          <w:rPr>
            <w:rStyle w:val="Hyperlink"/>
          </w:rPr>
          <w:t>https://lris.scinfo.org.nz/layer/48440-s-map-a-new-soil-spatial-information-system-for-new-zealand-current</w:t>
        </w:r>
      </w:hyperlink>
      <w:r>
        <w:t xml:space="preserve"> </w:t>
      </w:r>
    </w:p>
  </w:footnote>
  <w:footnote w:id="707">
    <w:p w14:paraId="00950A0B" w14:textId="77777777" w:rsidR="00DE1BDD" w:rsidRDefault="00DE1BDD" w:rsidP="00DE1BDD">
      <w:pPr>
        <w:pStyle w:val="FootnoteText"/>
      </w:pPr>
      <w:r>
        <w:rPr>
          <w:rStyle w:val="FootnoteReference"/>
        </w:rPr>
        <w:footnoteRef/>
      </w:r>
      <w:r>
        <w:t xml:space="preserve"> </w:t>
      </w:r>
      <w:r>
        <w:tab/>
      </w:r>
      <w:hyperlink r:id="rId542" w:history="1">
        <w:r w:rsidRPr="00A66ACE">
          <w:rPr>
            <w:rStyle w:val="Hyperlink"/>
          </w:rPr>
          <w:t>https://niwa.co.nz/climate/research-projects/carbonwatchnz/dailyco2measurements</w:t>
        </w:r>
      </w:hyperlink>
    </w:p>
  </w:footnote>
  <w:footnote w:id="708">
    <w:p w14:paraId="70AF091B" w14:textId="77777777" w:rsidR="00DE1BDD" w:rsidRDefault="00DE1BDD" w:rsidP="00DE1BDD">
      <w:pPr>
        <w:pStyle w:val="FootnoteText"/>
      </w:pPr>
      <w:r>
        <w:rPr>
          <w:rStyle w:val="FootnoteReference"/>
        </w:rPr>
        <w:footnoteRef/>
      </w:r>
      <w:r>
        <w:t xml:space="preserve"> </w:t>
      </w:r>
      <w:r>
        <w:tab/>
      </w:r>
      <w:bookmarkStart w:id="732" w:name="_Hlk107406904"/>
      <w:r>
        <w:fldChar w:fldCharType="begin"/>
      </w:r>
      <w:r>
        <w:instrText xml:space="preserve"> HYPERLINK "</w:instrText>
      </w:r>
      <w:r w:rsidRPr="00A14E6D">
        <w:instrText>https://ig3is.wmo.int/en/news/towards-international-standard-urban-ghg-monitoring-and-assessment</w:instrText>
      </w:r>
      <w:r>
        <w:instrText xml:space="preserve">" </w:instrText>
      </w:r>
      <w:r>
        <w:fldChar w:fldCharType="separate"/>
      </w:r>
      <w:r w:rsidRPr="00892923">
        <w:rPr>
          <w:rStyle w:val="Hyperlink"/>
        </w:rPr>
        <w:t>https://ig3is.wmo.int/en/news/towards-international-standard-urban-ghg-monitoring-and-assessment</w:t>
      </w:r>
      <w:bookmarkEnd w:id="732"/>
      <w:r>
        <w:fldChar w:fldCharType="end"/>
      </w:r>
      <w:r>
        <w:t xml:space="preserve"> </w:t>
      </w:r>
    </w:p>
  </w:footnote>
  <w:footnote w:id="709">
    <w:p w14:paraId="05FD4B19" w14:textId="77777777" w:rsidR="00DE1BDD" w:rsidRPr="000D0CBE" w:rsidRDefault="00DE1BDD" w:rsidP="00DE1BDD">
      <w:pPr>
        <w:pStyle w:val="FootnoteText"/>
      </w:pPr>
      <w:r w:rsidRPr="000D0CBE">
        <w:rPr>
          <w:rStyle w:val="FootnoteReference"/>
          <w:rFonts w:eastAsiaTheme="majorEastAsia"/>
        </w:rPr>
        <w:footnoteRef/>
      </w:r>
      <w:r>
        <w:tab/>
      </w:r>
      <w:hyperlink r:id="rId543" w:history="1">
        <w:r w:rsidRPr="00892923">
          <w:rPr>
            <w:rStyle w:val="Hyperlink"/>
          </w:rPr>
          <w:t>https://environment.govt.nz/publications/measuring-and-reporting-water-takes-an-introduction-to-the-resource-management-measurement-and-reporting-of-water-takes-regulations-2010/measuring-and-reporting-water-takes-an-introduction-to-the-resource-management-measurement-and-reporting-of-water-takes-regulations-2010</w:t>
        </w:r>
      </w:hyperlink>
      <w:r>
        <w:t xml:space="preserve"> </w:t>
      </w:r>
    </w:p>
  </w:footnote>
  <w:footnote w:id="710">
    <w:p w14:paraId="6136A784" w14:textId="77777777" w:rsidR="00DE1BDD" w:rsidRDefault="00DE1BDD" w:rsidP="00DE1BDD">
      <w:pPr>
        <w:pStyle w:val="FootnoteText"/>
      </w:pPr>
      <w:r>
        <w:rPr>
          <w:rStyle w:val="FootnoteReference"/>
        </w:rPr>
        <w:footnoteRef/>
      </w:r>
      <w:r>
        <w:t xml:space="preserve"> </w:t>
      </w:r>
      <w:r>
        <w:tab/>
      </w:r>
      <w:hyperlink r:id="rId544" w:history="1">
        <w:r w:rsidRPr="00892923">
          <w:rPr>
            <w:rStyle w:val="Hyperlink"/>
          </w:rPr>
          <w:t>http://glims.colorado.edu</w:t>
        </w:r>
      </w:hyperlink>
      <w:r>
        <w:t xml:space="preserve"> </w:t>
      </w:r>
    </w:p>
  </w:footnote>
  <w:footnote w:id="711">
    <w:p w14:paraId="08C55DF4" w14:textId="77777777" w:rsidR="00DE1BDD" w:rsidRDefault="00DE1BDD" w:rsidP="00DE1BDD">
      <w:pPr>
        <w:pStyle w:val="FootnoteText"/>
      </w:pPr>
      <w:r>
        <w:rPr>
          <w:rStyle w:val="FootnoteReference"/>
        </w:rPr>
        <w:footnoteRef/>
      </w:r>
      <w:r>
        <w:t xml:space="preserve"> </w:t>
      </w:r>
      <w:r>
        <w:tab/>
      </w:r>
      <w:hyperlink r:id="rId545" w:history="1">
        <w:r w:rsidRPr="00892923">
          <w:rPr>
            <w:rStyle w:val="Hyperlink"/>
          </w:rPr>
          <w:t>https://environment.govt.nz/facts-and-science/science-and-data/satellite-data-search</w:t>
        </w:r>
      </w:hyperlink>
      <w:r>
        <w:t xml:space="preserve"> </w:t>
      </w:r>
    </w:p>
  </w:footnote>
  <w:footnote w:id="712">
    <w:p w14:paraId="16B21BCE" w14:textId="77777777" w:rsidR="00DE1BDD" w:rsidRDefault="00DE1BDD" w:rsidP="00DE1BDD">
      <w:pPr>
        <w:pStyle w:val="FootnoteText"/>
      </w:pPr>
      <w:r>
        <w:rPr>
          <w:rStyle w:val="FootnoteReference"/>
        </w:rPr>
        <w:footnoteRef/>
      </w:r>
      <w:r>
        <w:t xml:space="preserve"> </w:t>
      </w:r>
      <w:r>
        <w:tab/>
      </w:r>
      <w:hyperlink r:id="rId546" w:history="1">
        <w:r w:rsidRPr="002B74B6">
          <w:rPr>
            <w:rStyle w:val="Hyperlink"/>
          </w:rPr>
          <w:t>https://www.doc.govt.nz/our-work/monitoring-reporting/plot-level-report</w:t>
        </w:r>
      </w:hyperlink>
    </w:p>
  </w:footnote>
  <w:footnote w:id="713">
    <w:p w14:paraId="49E17039" w14:textId="77777777" w:rsidR="00DE1BDD" w:rsidRPr="001015A6" w:rsidRDefault="00DE1BDD" w:rsidP="00DE1BDD">
      <w:pPr>
        <w:pStyle w:val="FootnoteText"/>
        <w:rPr>
          <w:lang w:val="en-US"/>
        </w:rPr>
      </w:pPr>
      <w:r>
        <w:rPr>
          <w:rStyle w:val="FootnoteReference"/>
        </w:rPr>
        <w:footnoteRef/>
      </w:r>
      <w:r>
        <w:t xml:space="preserve"> </w:t>
      </w:r>
      <w:r>
        <w:rPr>
          <w:lang w:val="en-US"/>
        </w:rPr>
        <w:tab/>
      </w:r>
      <w:r>
        <w:rPr>
          <w:lang w:val="en-US"/>
        </w:rPr>
        <w:tab/>
      </w:r>
      <w:r w:rsidRPr="00DD1EBF">
        <w:rPr>
          <w:lang w:val="en-US"/>
        </w:rPr>
        <w:t>Global Terrestrial Network for Permafrost</w:t>
      </w:r>
      <w:r>
        <w:rPr>
          <w:lang w:val="en-US"/>
        </w:rPr>
        <w:t>.</w:t>
      </w:r>
    </w:p>
  </w:footnote>
  <w:footnote w:id="714">
    <w:p w14:paraId="689B11FF" w14:textId="77777777" w:rsidR="00DE1BDD" w:rsidRDefault="00DE1BDD" w:rsidP="00DE1BDD">
      <w:pPr>
        <w:pStyle w:val="FootnoteText"/>
      </w:pPr>
      <w:r>
        <w:rPr>
          <w:rStyle w:val="FootnoteReference"/>
        </w:rPr>
        <w:footnoteRef/>
      </w:r>
      <w:r>
        <w:t xml:space="preserve"> </w:t>
      </w:r>
      <w:r>
        <w:tab/>
      </w:r>
      <w:hyperlink r:id="rId547" w:history="1">
        <w:r w:rsidRPr="00061750">
          <w:rPr>
            <w:rStyle w:val="Hyperlink"/>
          </w:rPr>
          <w:t>https://hwe.niwa.co.nz</w:t>
        </w:r>
      </w:hyperlink>
    </w:p>
  </w:footnote>
  <w:footnote w:id="715">
    <w:p w14:paraId="200E54EE" w14:textId="77777777" w:rsidR="00DE1BDD" w:rsidRDefault="00DE1BDD" w:rsidP="00DE1BDD">
      <w:pPr>
        <w:pStyle w:val="FootnoteText"/>
      </w:pPr>
      <w:r>
        <w:rPr>
          <w:rStyle w:val="FootnoteReference"/>
        </w:rPr>
        <w:footnoteRef/>
      </w:r>
      <w:r>
        <w:t xml:space="preserve"> </w:t>
      </w:r>
      <w:r>
        <w:tab/>
      </w:r>
      <w:hyperlink r:id="rId548" w:history="1">
        <w:r w:rsidRPr="00061750">
          <w:rPr>
            <w:rStyle w:val="Hyperlink"/>
          </w:rPr>
          <w:t>https://environment.govt.nz/facts-and-science/environmental-reporting/improving-environmental-reporting-data</w:t>
        </w:r>
      </w:hyperlink>
      <w:r>
        <w:t xml:space="preserve"> </w:t>
      </w:r>
    </w:p>
  </w:footnote>
  <w:footnote w:id="716">
    <w:p w14:paraId="60DCFA83" w14:textId="77777777" w:rsidR="00DE1BDD" w:rsidRDefault="00DE1BDD" w:rsidP="00DE1BDD">
      <w:pPr>
        <w:pStyle w:val="FootnoteText"/>
      </w:pPr>
      <w:r>
        <w:rPr>
          <w:rStyle w:val="FootnoteReference"/>
        </w:rPr>
        <w:footnoteRef/>
      </w:r>
      <w:r>
        <w:t xml:space="preserve"> </w:t>
      </w:r>
      <w:r>
        <w:tab/>
      </w:r>
      <w:hyperlink r:id="rId549" w:history="1">
        <w:r w:rsidRPr="00892923">
          <w:rPr>
            <w:rStyle w:val="Hyperlink"/>
          </w:rPr>
          <w:t>https://www.nems.org.nz</w:t>
        </w:r>
      </w:hyperlink>
      <w:r>
        <w:t xml:space="preserve"> </w:t>
      </w:r>
    </w:p>
  </w:footnote>
  <w:footnote w:id="717">
    <w:p w14:paraId="18835B71" w14:textId="77777777" w:rsidR="00DE1BDD" w:rsidRDefault="00DE1BDD" w:rsidP="00DE1BDD">
      <w:pPr>
        <w:pStyle w:val="FootnoteText"/>
      </w:pPr>
      <w:r>
        <w:rPr>
          <w:rStyle w:val="FootnoteReference"/>
        </w:rPr>
        <w:footnoteRef/>
      </w:r>
      <w:r>
        <w:t xml:space="preserve"> </w:t>
      </w:r>
      <w:r>
        <w:tab/>
      </w:r>
      <w:hyperlink r:id="rId550" w:history="1">
        <w:r w:rsidRPr="00892923">
          <w:rPr>
            <w:rStyle w:val="Hyperlink"/>
          </w:rPr>
          <w:t>https://www.lawa.org.nz</w:t>
        </w:r>
      </w:hyperlink>
      <w:r>
        <w:t xml:space="preserve"> </w:t>
      </w:r>
    </w:p>
  </w:footnote>
  <w:footnote w:id="718">
    <w:p w14:paraId="0257CE74" w14:textId="77777777" w:rsidR="00DE1BDD" w:rsidRDefault="00DE1BDD" w:rsidP="00DE1BDD">
      <w:pPr>
        <w:pStyle w:val="FootnoteText"/>
        <w:spacing w:after="40"/>
      </w:pPr>
      <w:r>
        <w:rPr>
          <w:rStyle w:val="FootnoteReference"/>
        </w:rPr>
        <w:footnoteRef/>
      </w:r>
      <w:r>
        <w:t xml:space="preserve"> </w:t>
      </w:r>
      <w:r>
        <w:tab/>
        <w:t>Estimated total number of relevant stations operated through various New Zealand agencies (with no quality constraints).</w:t>
      </w:r>
    </w:p>
  </w:footnote>
  <w:footnote w:id="719">
    <w:p w14:paraId="7D97E7CB" w14:textId="77777777" w:rsidR="00DE1BDD" w:rsidRDefault="00DE1BDD" w:rsidP="00DE1BDD">
      <w:pPr>
        <w:pStyle w:val="FootnoteText"/>
        <w:spacing w:after="40"/>
      </w:pPr>
      <w:r>
        <w:rPr>
          <w:rStyle w:val="FootnoteReference"/>
        </w:rPr>
        <w:footnoteRef/>
      </w:r>
      <w:r>
        <w:t xml:space="preserve"> </w:t>
      </w:r>
      <w:r>
        <w:tab/>
        <w:t>Estimated total number of relevant stations operated through various New Zealand agencies (complying with GCOS</w:t>
      </w:r>
      <w:r w:rsidRPr="005C2F84">
        <w:t xml:space="preserve"> </w:t>
      </w:r>
      <w:r>
        <w:t>c</w:t>
      </w:r>
      <w:r w:rsidRPr="005C2F84">
        <w:t xml:space="preserve">limate </w:t>
      </w:r>
      <w:r>
        <w:t>m</w:t>
      </w:r>
      <w:r w:rsidRPr="005C2F84">
        <w:t xml:space="preserve">onitoring </w:t>
      </w:r>
      <w:r>
        <w:t>p</w:t>
      </w:r>
      <w:r w:rsidRPr="005C2F84">
        <w:t xml:space="preserve">rinciples </w:t>
      </w:r>
      <w:r>
        <w:t>(GCMPs)).</w:t>
      </w:r>
    </w:p>
  </w:footnote>
  <w:footnote w:id="720">
    <w:p w14:paraId="47A444AB" w14:textId="77777777" w:rsidR="00DE1BDD" w:rsidRDefault="00DE1BDD" w:rsidP="00DE1BDD">
      <w:pPr>
        <w:pStyle w:val="FootnoteText"/>
        <w:spacing w:after="40"/>
      </w:pPr>
      <w:r>
        <w:rPr>
          <w:rStyle w:val="FootnoteReference"/>
        </w:rPr>
        <w:footnoteRef/>
      </w:r>
      <w:r>
        <w:t xml:space="preserve"> </w:t>
      </w:r>
      <w:r>
        <w:tab/>
      </w:r>
      <w:r w:rsidRPr="005C2F84">
        <w:t xml:space="preserve">Estimated total number of relevant stations operated through various New Zealand agencies </w:t>
      </w:r>
      <w:r>
        <w:t xml:space="preserve">in 2024 </w:t>
      </w:r>
      <w:r w:rsidRPr="005C2F84">
        <w:t>(with no quality constraints)</w:t>
      </w:r>
      <w:r>
        <w:t>.</w:t>
      </w:r>
    </w:p>
  </w:footnote>
  <w:footnote w:id="721">
    <w:p w14:paraId="03EB3083" w14:textId="77777777" w:rsidR="00DE1BDD" w:rsidRDefault="00DE1BDD" w:rsidP="00DE1BDD">
      <w:pPr>
        <w:pStyle w:val="FootnoteText"/>
        <w:spacing w:after="40"/>
      </w:pPr>
      <w:r>
        <w:rPr>
          <w:rStyle w:val="FootnoteReference"/>
        </w:rPr>
        <w:footnoteRef/>
      </w:r>
      <w:r>
        <w:t xml:space="preserve"> </w:t>
      </w:r>
      <w:r>
        <w:tab/>
        <w:t>Currently, nine more stations are being added, WMO ratification pending.</w:t>
      </w:r>
    </w:p>
  </w:footnote>
  <w:footnote w:id="722">
    <w:p w14:paraId="70B0C3A4" w14:textId="77777777" w:rsidR="00DE1BDD" w:rsidRDefault="00DE1BDD" w:rsidP="00DE1BDD">
      <w:pPr>
        <w:pStyle w:val="FootnoteText"/>
      </w:pPr>
      <w:r>
        <w:rPr>
          <w:rStyle w:val="FootnoteReference"/>
        </w:rPr>
        <w:footnoteRef/>
      </w:r>
      <w:r>
        <w:t xml:space="preserve"> </w:t>
      </w:r>
      <w:r>
        <w:tab/>
      </w:r>
      <w:hyperlink r:id="rId551" w:history="1">
        <w:r w:rsidRPr="002B74B6">
          <w:rPr>
            <w:rStyle w:val="Hyperlink"/>
          </w:rPr>
          <w:t>https://www.vos.noaa.gov/vosclim.shtml</w:t>
        </w:r>
      </w:hyperlink>
    </w:p>
  </w:footnote>
  <w:footnote w:id="723">
    <w:p w14:paraId="484E514E" w14:textId="77777777" w:rsidR="00DE1BDD" w:rsidRDefault="00DE1BDD" w:rsidP="00DE1BDD">
      <w:pPr>
        <w:pStyle w:val="FootnoteText"/>
      </w:pPr>
      <w:r>
        <w:rPr>
          <w:rStyle w:val="FootnoteReference"/>
        </w:rPr>
        <w:footnoteRef/>
      </w:r>
      <w:r>
        <w:t xml:space="preserve"> </w:t>
      </w:r>
      <w:r>
        <w:tab/>
      </w:r>
      <w:hyperlink r:id="rId552" w:history="1">
        <w:r w:rsidRPr="002B74B6">
          <w:rPr>
            <w:rStyle w:val="Hyperlink"/>
          </w:rPr>
          <w:t>https://www.aoml.noaa.gov/global-drifter-program</w:t>
        </w:r>
      </w:hyperlink>
    </w:p>
  </w:footnote>
  <w:footnote w:id="724">
    <w:p w14:paraId="7F91F85F" w14:textId="77777777" w:rsidR="00DE1BDD" w:rsidRDefault="00DE1BDD" w:rsidP="00DE1BDD">
      <w:pPr>
        <w:pStyle w:val="FootnoteText"/>
      </w:pPr>
      <w:r>
        <w:rPr>
          <w:rStyle w:val="FootnoteReference"/>
        </w:rPr>
        <w:footnoteRef/>
      </w:r>
      <w:r>
        <w:t xml:space="preserve"> </w:t>
      </w:r>
      <w:r>
        <w:tab/>
      </w:r>
      <w:hyperlink r:id="rId553" w:history="1">
        <w:r w:rsidRPr="002B74B6">
          <w:rPr>
            <w:rStyle w:val="Hyperlink"/>
          </w:rPr>
          <w:t>https://www.vos.noaa.gov/vos_scheme.shtml</w:t>
        </w:r>
      </w:hyperlink>
    </w:p>
  </w:footnote>
  <w:footnote w:id="725">
    <w:p w14:paraId="1DF248F4" w14:textId="77777777" w:rsidR="00DE1BDD" w:rsidRDefault="00DE1BDD" w:rsidP="00DE1BDD">
      <w:pPr>
        <w:pStyle w:val="FootnoteText"/>
      </w:pPr>
      <w:r>
        <w:rPr>
          <w:rStyle w:val="FootnoteReference"/>
        </w:rPr>
        <w:footnoteRef/>
      </w:r>
      <w:r>
        <w:t xml:space="preserve"> </w:t>
      </w:r>
      <w:r>
        <w:tab/>
      </w:r>
      <w:hyperlink r:id="rId554" w:history="1">
        <w:r w:rsidRPr="002B74B6">
          <w:rPr>
            <w:rStyle w:val="Hyperlink"/>
          </w:rPr>
          <w:t>https://community.wmo.int/ship-opportunity-programme</w:t>
        </w:r>
      </w:hyperlink>
    </w:p>
  </w:footnote>
  <w:footnote w:id="726">
    <w:p w14:paraId="72E5769B" w14:textId="77777777" w:rsidR="00DE1BDD" w:rsidRDefault="00DE1BDD" w:rsidP="00DE1BDD">
      <w:pPr>
        <w:pStyle w:val="FootnoteText"/>
      </w:pPr>
      <w:r>
        <w:rPr>
          <w:rStyle w:val="FootnoteReference"/>
        </w:rPr>
        <w:footnoteRef/>
      </w:r>
      <w:r>
        <w:t xml:space="preserve"> </w:t>
      </w:r>
      <w:r>
        <w:tab/>
      </w:r>
      <w:hyperlink r:id="rId555" w:history="1">
        <w:r w:rsidRPr="002B74B6">
          <w:rPr>
            <w:rStyle w:val="Hyperlink"/>
          </w:rPr>
          <w:t>https://www.bafg.de/GRDC/EN/04_spcldtbss/44_GTNR/gtnr_node.html</w:t>
        </w:r>
      </w:hyperlink>
    </w:p>
  </w:footnote>
  <w:footnote w:id="727">
    <w:p w14:paraId="6803FA76" w14:textId="77777777" w:rsidR="00DE1BDD" w:rsidRDefault="00DE1BDD" w:rsidP="00DE1BDD">
      <w:pPr>
        <w:pStyle w:val="FootnoteText"/>
      </w:pPr>
      <w:r>
        <w:rPr>
          <w:rStyle w:val="FootnoteReference"/>
        </w:rPr>
        <w:footnoteRef/>
      </w:r>
      <w:r>
        <w:t xml:space="preserve"> </w:t>
      </w:r>
      <w:r>
        <w:tab/>
      </w:r>
      <w:hyperlink r:id="rId556" w:history="1">
        <w:r w:rsidRPr="002B74B6">
          <w:rPr>
            <w:rStyle w:val="Hyperlink"/>
          </w:rPr>
          <w:t>https://gcos.wmo.int/en/networks/terrestrial</w:t>
        </w:r>
      </w:hyperlink>
    </w:p>
  </w:footnote>
  <w:footnote w:id="728">
    <w:p w14:paraId="7BAC7F45" w14:textId="77777777" w:rsidR="00DE1BDD" w:rsidRDefault="00DE1BDD" w:rsidP="00DE1BDD">
      <w:pPr>
        <w:pStyle w:val="FootnoteText"/>
      </w:pPr>
      <w:r>
        <w:rPr>
          <w:rStyle w:val="FootnoteReference"/>
        </w:rPr>
        <w:footnoteRef/>
      </w:r>
      <w:r>
        <w:t xml:space="preserve"> </w:t>
      </w:r>
      <w:r>
        <w:tab/>
      </w:r>
      <w:hyperlink r:id="rId557" w:history="1">
        <w:r w:rsidRPr="002B74B6">
          <w:rPr>
            <w:rStyle w:val="Hyperlink"/>
          </w:rPr>
          <w:t>https://www.gtn-g.ch/</w:t>
        </w:r>
      </w:hyperlink>
    </w:p>
  </w:footnote>
  <w:footnote w:id="729">
    <w:p w14:paraId="239B6451" w14:textId="77777777" w:rsidR="00DE1BDD" w:rsidRDefault="00DE1BDD" w:rsidP="00DE1BDD">
      <w:pPr>
        <w:pStyle w:val="FootnoteText"/>
      </w:pPr>
      <w:r>
        <w:rPr>
          <w:rStyle w:val="FootnoteReference"/>
        </w:rPr>
        <w:footnoteRef/>
      </w:r>
      <w:r>
        <w:t xml:space="preserve"> </w:t>
      </w:r>
      <w:r>
        <w:tab/>
      </w:r>
      <w:hyperlink r:id="rId558" w:history="1">
        <w:r w:rsidRPr="002B74B6">
          <w:rPr>
            <w:rStyle w:val="Hyperlink"/>
          </w:rPr>
          <w:t>https://gtnp.arcticportal.org/</w:t>
        </w:r>
      </w:hyperlink>
    </w:p>
  </w:footnote>
  <w:footnote w:id="730">
    <w:p w14:paraId="1B6440C8" w14:textId="77777777" w:rsidR="00DE1BDD" w:rsidRDefault="00DE1BDD" w:rsidP="00DE1BDD">
      <w:pPr>
        <w:pStyle w:val="FootnoteText"/>
      </w:pPr>
      <w:r>
        <w:rPr>
          <w:rStyle w:val="FootnoteReference"/>
        </w:rPr>
        <w:footnoteRef/>
      </w:r>
      <w:r>
        <w:t xml:space="preserve"> </w:t>
      </w:r>
      <w:r>
        <w:tab/>
        <w:t>W</w:t>
      </w:r>
      <w:r w:rsidRPr="0025212C">
        <w:t>ater</w:t>
      </w:r>
      <w:r>
        <w:t xml:space="preserve"> isotope </w:t>
      </w:r>
      <w:r w:rsidRPr="007E560D">
        <w:t>H</w:t>
      </w:r>
      <w:r w:rsidRPr="007E560D">
        <w:rPr>
          <w:vertAlign w:val="superscript"/>
        </w:rPr>
        <w:t>2</w:t>
      </w:r>
      <w:r w:rsidRPr="007E560D">
        <w:t>HO</w:t>
      </w:r>
      <w:r>
        <w:t>, also called semiheavy water.</w:t>
      </w:r>
    </w:p>
  </w:footnote>
  <w:footnote w:id="731">
    <w:p w14:paraId="70160BD3" w14:textId="77777777" w:rsidR="00DE1BDD" w:rsidRDefault="00DE1BDD" w:rsidP="00DE1BDD">
      <w:pPr>
        <w:pStyle w:val="FootnoteText"/>
      </w:pPr>
      <w:r>
        <w:rPr>
          <w:rStyle w:val="FootnoteReference"/>
        </w:rPr>
        <w:footnoteRef/>
      </w:r>
      <w:r>
        <w:t xml:space="preserve"> </w:t>
      </w:r>
      <w:r>
        <w:tab/>
      </w:r>
      <w:hyperlink r:id="rId559" w:history="1">
        <w:r w:rsidRPr="002B74B6">
          <w:rPr>
            <w:rStyle w:val="Hyperlink"/>
          </w:rPr>
          <w:t>https://www.imk-asf.kit.edu/english/COCCON.php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4C52C" w14:textId="77777777" w:rsidR="00FC49D2" w:rsidRDefault="00FC49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17FA" w14:textId="77777777" w:rsidR="00987F0B" w:rsidRPr="00DE7BF8" w:rsidRDefault="00987F0B" w:rsidP="009F1D7F">
    <w:pPr>
      <w:pStyle w:val="Header"/>
      <w:jc w:val="left"/>
      <w:rPr>
        <w:rFonts w:ascii="Calibri" w:hAnsi="Calibri"/>
      </w:rPr>
    </w:pPr>
    <w:r>
      <w:rPr>
        <w:rFonts w:ascii="Calibri" w:hAnsi="Calibri"/>
        <w:noProof/>
      </w:rPr>
      <w:drawing>
        <wp:inline distT="0" distB="0" distL="0" distR="0" wp14:anchorId="4F3388DF" wp14:editId="0716C4AF">
          <wp:extent cx="2117598" cy="695325"/>
          <wp:effectExtent l="0" t="0" r="0" b="0"/>
          <wp:docPr id="971881746" name="Picture 97188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7622" w14:textId="77777777" w:rsidR="00FC49D2" w:rsidRDefault="00FC49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F13A" w14:textId="77777777" w:rsidR="00987F0B" w:rsidRDefault="00987F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E9B0D" w14:textId="77777777" w:rsidR="00987F0B" w:rsidRDefault="00987F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AE2BA04"/>
    <w:lvl w:ilvl="0">
      <w:start w:val="1"/>
      <w:numFmt w:val="decimal"/>
      <w:pStyle w:val="Boxa"/>
      <w:lvlText w:val="%1."/>
      <w:lvlJc w:val="left"/>
      <w:pPr>
        <w:tabs>
          <w:tab w:val="num" w:pos="643"/>
        </w:tabs>
        <w:ind w:left="643" w:hanging="360"/>
      </w:pPr>
    </w:lvl>
  </w:abstractNum>
  <w:abstractNum w:abstractNumId="1" w15:restartNumberingAfterBreak="0">
    <w:nsid w:val="FFFFFF88"/>
    <w:multiLevelType w:val="singleLevel"/>
    <w:tmpl w:val="25965B84"/>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A91C019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D94E19"/>
    <w:multiLevelType w:val="hybridMultilevel"/>
    <w:tmpl w:val="3BA6A79A"/>
    <w:lvl w:ilvl="0" w:tplc="DFBA8776">
      <w:start w:val="4"/>
      <w:numFmt w:val="bullet"/>
      <w:pStyle w:val="Sub-bullet"/>
      <w:lvlText w:val=""/>
      <w:lvlJc w:val="left"/>
      <w:pPr>
        <w:tabs>
          <w:tab w:val="num" w:pos="0"/>
        </w:tabs>
        <w:ind w:left="680" w:hanging="283"/>
      </w:pPr>
      <w:rPr>
        <w:rFonts w:ascii="Symbol" w:eastAsia="Arial Unicode MS"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6DD4AB2"/>
    <w:multiLevelType w:val="multilevel"/>
    <w:tmpl w:val="B87CECBC"/>
    <w:lvl w:ilvl="0">
      <w:start w:val="1"/>
      <w:numFmt w:val="bulle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634FA2"/>
    <w:multiLevelType w:val="hybridMultilevel"/>
    <w:tmpl w:val="325C7F9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7271520"/>
    <w:multiLevelType w:val="hybridMultilevel"/>
    <w:tmpl w:val="3D684E2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B17DC"/>
    <w:multiLevelType w:val="hybridMultilevel"/>
    <w:tmpl w:val="64DA5B34"/>
    <w:lvl w:ilvl="0" w:tplc="3FD66E86">
      <w:start w:val="1"/>
      <w:numFmt w:val="bullet"/>
      <w:pStyle w:val="TableBullet"/>
      <w:lvlText w:val=""/>
      <w:lvlJc w:val="left"/>
      <w:pPr>
        <w:tabs>
          <w:tab w:val="num" w:pos="284"/>
        </w:tabs>
        <w:ind w:left="284" w:hanging="284"/>
      </w:pPr>
      <w:rPr>
        <w:rFonts w:ascii="Symbol" w:hAnsi="Symbol" w:hint="default"/>
        <w:sz w:val="14"/>
        <w:szCs w:val="14"/>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8"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9" w15:restartNumberingAfterBreak="0">
    <w:nsid w:val="53F11D5F"/>
    <w:multiLevelType w:val="hybridMultilevel"/>
    <w:tmpl w:val="F05C8746"/>
    <w:lvl w:ilvl="0" w:tplc="CC124E64">
      <w:start w:val="1"/>
      <w:numFmt w:val="decimal"/>
      <w:lvlText w:val="2.%1"/>
      <w:lvlJc w:val="left"/>
      <w:pPr>
        <w:ind w:left="851" w:hanging="851"/>
      </w:pPr>
      <w:rPr>
        <w:rFonts w:hint="default"/>
      </w:rPr>
    </w:lvl>
    <w:lvl w:ilvl="1" w:tplc="14090019" w:tentative="1">
      <w:start w:val="1"/>
      <w:numFmt w:val="lowerLetter"/>
      <w:lvlText w:val="%2."/>
      <w:lvlJc w:val="left"/>
      <w:pPr>
        <w:ind w:left="1505" w:hanging="360"/>
      </w:pPr>
    </w:lvl>
    <w:lvl w:ilvl="2" w:tplc="1409001B" w:tentative="1">
      <w:start w:val="1"/>
      <w:numFmt w:val="lowerRoman"/>
      <w:lvlText w:val="%3."/>
      <w:lvlJc w:val="right"/>
      <w:pPr>
        <w:ind w:left="2225" w:hanging="180"/>
      </w:pPr>
    </w:lvl>
    <w:lvl w:ilvl="3" w:tplc="1409000F" w:tentative="1">
      <w:start w:val="1"/>
      <w:numFmt w:val="decimal"/>
      <w:lvlText w:val="%4."/>
      <w:lvlJc w:val="left"/>
      <w:pPr>
        <w:ind w:left="2945" w:hanging="360"/>
      </w:pPr>
    </w:lvl>
    <w:lvl w:ilvl="4" w:tplc="14090019" w:tentative="1">
      <w:start w:val="1"/>
      <w:numFmt w:val="lowerLetter"/>
      <w:lvlText w:val="%5."/>
      <w:lvlJc w:val="left"/>
      <w:pPr>
        <w:ind w:left="3665" w:hanging="360"/>
      </w:pPr>
    </w:lvl>
    <w:lvl w:ilvl="5" w:tplc="1409001B" w:tentative="1">
      <w:start w:val="1"/>
      <w:numFmt w:val="lowerRoman"/>
      <w:lvlText w:val="%6."/>
      <w:lvlJc w:val="right"/>
      <w:pPr>
        <w:ind w:left="4385" w:hanging="180"/>
      </w:pPr>
    </w:lvl>
    <w:lvl w:ilvl="6" w:tplc="1409000F" w:tentative="1">
      <w:start w:val="1"/>
      <w:numFmt w:val="decimal"/>
      <w:lvlText w:val="%7."/>
      <w:lvlJc w:val="left"/>
      <w:pPr>
        <w:ind w:left="5105" w:hanging="360"/>
      </w:pPr>
    </w:lvl>
    <w:lvl w:ilvl="7" w:tplc="14090019" w:tentative="1">
      <w:start w:val="1"/>
      <w:numFmt w:val="lowerLetter"/>
      <w:lvlText w:val="%8."/>
      <w:lvlJc w:val="left"/>
      <w:pPr>
        <w:ind w:left="5825" w:hanging="360"/>
      </w:pPr>
    </w:lvl>
    <w:lvl w:ilvl="8" w:tplc="1409001B" w:tentative="1">
      <w:start w:val="1"/>
      <w:numFmt w:val="lowerRoman"/>
      <w:lvlText w:val="%9."/>
      <w:lvlJc w:val="right"/>
      <w:pPr>
        <w:ind w:left="6545" w:hanging="180"/>
      </w:pPr>
    </w:lvl>
  </w:abstractNum>
  <w:abstractNum w:abstractNumId="20"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724991209">
    <w:abstractNumId w:val="12"/>
  </w:num>
  <w:num w:numId="2" w16cid:durableId="1993177408">
    <w:abstractNumId w:val="18"/>
  </w:num>
  <w:num w:numId="3" w16cid:durableId="519121977">
    <w:abstractNumId w:val="15"/>
  </w:num>
  <w:num w:numId="4" w16cid:durableId="892697383">
    <w:abstractNumId w:val="11"/>
  </w:num>
  <w:num w:numId="5" w16cid:durableId="593051814">
    <w:abstractNumId w:val="7"/>
  </w:num>
  <w:num w:numId="6" w16cid:durableId="426385153">
    <w:abstractNumId w:val="17"/>
  </w:num>
  <w:num w:numId="7" w16cid:durableId="21824987">
    <w:abstractNumId w:val="16"/>
  </w:num>
  <w:num w:numId="8" w16cid:durableId="621115200">
    <w:abstractNumId w:val="22"/>
  </w:num>
  <w:num w:numId="9" w16cid:durableId="2099907324">
    <w:abstractNumId w:val="10"/>
  </w:num>
  <w:num w:numId="10" w16cid:durableId="671487379">
    <w:abstractNumId w:val="20"/>
  </w:num>
  <w:num w:numId="11" w16cid:durableId="33772961">
    <w:abstractNumId w:val="4"/>
  </w:num>
  <w:num w:numId="12" w16cid:durableId="1090466685">
    <w:abstractNumId w:val="8"/>
  </w:num>
  <w:num w:numId="13" w16cid:durableId="1016423024">
    <w:abstractNumId w:val="14"/>
  </w:num>
  <w:num w:numId="14" w16cid:durableId="2066682530">
    <w:abstractNumId w:val="6"/>
  </w:num>
  <w:num w:numId="15" w16cid:durableId="1095243796">
    <w:abstractNumId w:val="21"/>
  </w:num>
  <w:num w:numId="16" w16cid:durableId="16669797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07175829">
    <w:abstractNumId w:val="0"/>
  </w:num>
  <w:num w:numId="18" w16cid:durableId="285042155">
    <w:abstractNumId w:val="3"/>
  </w:num>
  <w:num w:numId="19" w16cid:durableId="811018652">
    <w:abstractNumId w:val="9"/>
  </w:num>
  <w:num w:numId="20" w16cid:durableId="323750338">
    <w:abstractNumId w:val="5"/>
  </w:num>
  <w:num w:numId="21" w16cid:durableId="21435720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42620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73512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0405800">
    <w:abstractNumId w:val="13"/>
  </w:num>
  <w:num w:numId="25" w16cid:durableId="1087463240">
    <w:abstractNumId w:val="2"/>
  </w:num>
  <w:num w:numId="26" w16cid:durableId="239678969">
    <w:abstractNumId w:val="1"/>
  </w:num>
  <w:num w:numId="27" w16cid:durableId="13656405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defaultTabStop w:val="397"/>
  <w:evenAndOddHeaders/>
  <w:drawingGridHorizontalSpacing w:val="110"/>
  <w:displayHorizontalDrawingGridEvery w:val="2"/>
  <w:characterSpacingControl w:val="doNotCompress"/>
  <w:hdrShapeDefaults>
    <o:shapedefaults v:ext="edit" spidmax="2065"/>
  </w:hdrShapeDefaults>
  <w:footnotePr>
    <w:footnote w:id="-1"/>
    <w:footnote w:id="0"/>
  </w:footnotePr>
  <w:endnotePr>
    <w:endnote w:id="-1"/>
    <w:endnote w:id="0"/>
  </w:endnotePr>
  <w:compat>
    <w:suppressBottomSpacing/>
    <w:suppressSpBfAfterPgBrk/>
    <w:doNotUseHTMLParagraphAutoSpacing/>
    <w:compatSetting w:name="compatibilityMode" w:uri="http://schemas.microsoft.com/office/word" w:val="12"/>
    <w:compatSetting w:name="overrideTableStyleFontSizeAndJustification" w:uri="http://schemas.microsoft.com/office/word" w:val="1"/>
    <w:compatSetting w:name="differentiateMultirowTableHeaders" w:uri="http://schemas.microsoft.com/office/word" w:val="1"/>
    <w:compatSetting w:name="useWord2013TrackBottomHyphenation" w:uri="http://schemas.microsoft.com/office/word" w:val="0"/>
  </w:compat>
  <w:rsids>
    <w:rsidRoot w:val="00093F18"/>
    <w:rsid w:val="000002F1"/>
    <w:rsid w:val="00000792"/>
    <w:rsid w:val="00000C1F"/>
    <w:rsid w:val="00000F04"/>
    <w:rsid w:val="00001BA3"/>
    <w:rsid w:val="00002E81"/>
    <w:rsid w:val="00003C4F"/>
    <w:rsid w:val="00004E0A"/>
    <w:rsid w:val="00004FD3"/>
    <w:rsid w:val="00006DF5"/>
    <w:rsid w:val="00006F95"/>
    <w:rsid w:val="00006FA1"/>
    <w:rsid w:val="00007023"/>
    <w:rsid w:val="0000709F"/>
    <w:rsid w:val="000071D6"/>
    <w:rsid w:val="00007959"/>
    <w:rsid w:val="00007DBB"/>
    <w:rsid w:val="00007F2D"/>
    <w:rsid w:val="00007FAC"/>
    <w:rsid w:val="00010A9C"/>
    <w:rsid w:val="00010ABA"/>
    <w:rsid w:val="00010E15"/>
    <w:rsid w:val="00010F57"/>
    <w:rsid w:val="0001100C"/>
    <w:rsid w:val="00011188"/>
    <w:rsid w:val="0001121B"/>
    <w:rsid w:val="000115FE"/>
    <w:rsid w:val="00012555"/>
    <w:rsid w:val="00013C87"/>
    <w:rsid w:val="00014236"/>
    <w:rsid w:val="000148F6"/>
    <w:rsid w:val="00015217"/>
    <w:rsid w:val="000159D2"/>
    <w:rsid w:val="00016264"/>
    <w:rsid w:val="00016993"/>
    <w:rsid w:val="00016CAB"/>
    <w:rsid w:val="00016E5B"/>
    <w:rsid w:val="0001717A"/>
    <w:rsid w:val="0001749B"/>
    <w:rsid w:val="00017D75"/>
    <w:rsid w:val="00017FE5"/>
    <w:rsid w:val="000206EE"/>
    <w:rsid w:val="00021910"/>
    <w:rsid w:val="00022E8D"/>
    <w:rsid w:val="0002348A"/>
    <w:rsid w:val="000235B5"/>
    <w:rsid w:val="00023BDA"/>
    <w:rsid w:val="00024708"/>
    <w:rsid w:val="00024EE7"/>
    <w:rsid w:val="00025F96"/>
    <w:rsid w:val="00025FAB"/>
    <w:rsid w:val="00026E89"/>
    <w:rsid w:val="000275A3"/>
    <w:rsid w:val="00030558"/>
    <w:rsid w:val="00030699"/>
    <w:rsid w:val="00030725"/>
    <w:rsid w:val="0003074D"/>
    <w:rsid w:val="00030DB8"/>
    <w:rsid w:val="0003189F"/>
    <w:rsid w:val="00031A83"/>
    <w:rsid w:val="0003213A"/>
    <w:rsid w:val="0003224B"/>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17E8"/>
    <w:rsid w:val="0004205F"/>
    <w:rsid w:val="000423C6"/>
    <w:rsid w:val="00042EDB"/>
    <w:rsid w:val="00043DC3"/>
    <w:rsid w:val="00044A50"/>
    <w:rsid w:val="00044C65"/>
    <w:rsid w:val="000458C7"/>
    <w:rsid w:val="00045991"/>
    <w:rsid w:val="00045E5C"/>
    <w:rsid w:val="00045EF5"/>
    <w:rsid w:val="00046288"/>
    <w:rsid w:val="00047941"/>
    <w:rsid w:val="00050A22"/>
    <w:rsid w:val="00050E27"/>
    <w:rsid w:val="0005144F"/>
    <w:rsid w:val="00051AF1"/>
    <w:rsid w:val="00051D1D"/>
    <w:rsid w:val="00051D42"/>
    <w:rsid w:val="00052152"/>
    <w:rsid w:val="000538A1"/>
    <w:rsid w:val="00055375"/>
    <w:rsid w:val="00056319"/>
    <w:rsid w:val="000564E7"/>
    <w:rsid w:val="00056770"/>
    <w:rsid w:val="00056D70"/>
    <w:rsid w:val="00057386"/>
    <w:rsid w:val="0005773B"/>
    <w:rsid w:val="00057EEF"/>
    <w:rsid w:val="000608C8"/>
    <w:rsid w:val="00060C75"/>
    <w:rsid w:val="000619CB"/>
    <w:rsid w:val="00061B7E"/>
    <w:rsid w:val="00061F5B"/>
    <w:rsid w:val="00062384"/>
    <w:rsid w:val="00062387"/>
    <w:rsid w:val="000632BF"/>
    <w:rsid w:val="000640D6"/>
    <w:rsid w:val="000640F0"/>
    <w:rsid w:val="00064247"/>
    <w:rsid w:val="0006434D"/>
    <w:rsid w:val="000643A1"/>
    <w:rsid w:val="00064679"/>
    <w:rsid w:val="00064A13"/>
    <w:rsid w:val="00064AF4"/>
    <w:rsid w:val="00064DB1"/>
    <w:rsid w:val="00065454"/>
    <w:rsid w:val="00065604"/>
    <w:rsid w:val="00065BA3"/>
    <w:rsid w:val="00065D3B"/>
    <w:rsid w:val="000667E9"/>
    <w:rsid w:val="00067128"/>
    <w:rsid w:val="000675CD"/>
    <w:rsid w:val="00067872"/>
    <w:rsid w:val="000678AC"/>
    <w:rsid w:val="000703B2"/>
    <w:rsid w:val="00070F27"/>
    <w:rsid w:val="00070FBF"/>
    <w:rsid w:val="000711EE"/>
    <w:rsid w:val="0007180E"/>
    <w:rsid w:val="00071AE4"/>
    <w:rsid w:val="00071CB5"/>
    <w:rsid w:val="00071CCB"/>
    <w:rsid w:val="00071D03"/>
    <w:rsid w:val="0007232B"/>
    <w:rsid w:val="000735A2"/>
    <w:rsid w:val="00074B2F"/>
    <w:rsid w:val="0007517E"/>
    <w:rsid w:val="00075786"/>
    <w:rsid w:val="00075FE1"/>
    <w:rsid w:val="00076667"/>
    <w:rsid w:val="00077473"/>
    <w:rsid w:val="00077481"/>
    <w:rsid w:val="000776F9"/>
    <w:rsid w:val="00077EE0"/>
    <w:rsid w:val="000802F9"/>
    <w:rsid w:val="0008145A"/>
    <w:rsid w:val="0008162D"/>
    <w:rsid w:val="000831C8"/>
    <w:rsid w:val="00083F5E"/>
    <w:rsid w:val="00084FBF"/>
    <w:rsid w:val="00084FDB"/>
    <w:rsid w:val="0008505C"/>
    <w:rsid w:val="00085C46"/>
    <w:rsid w:val="0008686A"/>
    <w:rsid w:val="00087175"/>
    <w:rsid w:val="000873E9"/>
    <w:rsid w:val="00087619"/>
    <w:rsid w:val="00087D35"/>
    <w:rsid w:val="00090FF7"/>
    <w:rsid w:val="0009111A"/>
    <w:rsid w:val="00091709"/>
    <w:rsid w:val="00091796"/>
    <w:rsid w:val="00091841"/>
    <w:rsid w:val="00091BA2"/>
    <w:rsid w:val="00091CB0"/>
    <w:rsid w:val="000932F6"/>
    <w:rsid w:val="00093B2C"/>
    <w:rsid w:val="00093D8A"/>
    <w:rsid w:val="00093F18"/>
    <w:rsid w:val="00094344"/>
    <w:rsid w:val="0009501F"/>
    <w:rsid w:val="000953C6"/>
    <w:rsid w:val="000953F4"/>
    <w:rsid w:val="0009590C"/>
    <w:rsid w:val="000959E7"/>
    <w:rsid w:val="00095C45"/>
    <w:rsid w:val="00095E7D"/>
    <w:rsid w:val="000964DE"/>
    <w:rsid w:val="00096949"/>
    <w:rsid w:val="00096D86"/>
    <w:rsid w:val="000972AB"/>
    <w:rsid w:val="00097B40"/>
    <w:rsid w:val="00097D0E"/>
    <w:rsid w:val="000A109B"/>
    <w:rsid w:val="000A136D"/>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156"/>
    <w:rsid w:val="000B36F9"/>
    <w:rsid w:val="000B3ABF"/>
    <w:rsid w:val="000B4074"/>
    <w:rsid w:val="000B4732"/>
    <w:rsid w:val="000B4BCD"/>
    <w:rsid w:val="000B66DC"/>
    <w:rsid w:val="000B6D1F"/>
    <w:rsid w:val="000C062F"/>
    <w:rsid w:val="000C0D71"/>
    <w:rsid w:val="000C1058"/>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A93"/>
    <w:rsid w:val="000D3CA7"/>
    <w:rsid w:val="000D46B1"/>
    <w:rsid w:val="000D5B16"/>
    <w:rsid w:val="000D5FD6"/>
    <w:rsid w:val="000D6201"/>
    <w:rsid w:val="000D6488"/>
    <w:rsid w:val="000D7088"/>
    <w:rsid w:val="000D770B"/>
    <w:rsid w:val="000D788E"/>
    <w:rsid w:val="000E0C47"/>
    <w:rsid w:val="000E1111"/>
    <w:rsid w:val="000E12B0"/>
    <w:rsid w:val="000E1BC8"/>
    <w:rsid w:val="000E1D32"/>
    <w:rsid w:val="000E26D8"/>
    <w:rsid w:val="000E2B94"/>
    <w:rsid w:val="000E3156"/>
    <w:rsid w:val="000E35B6"/>
    <w:rsid w:val="000E3BB8"/>
    <w:rsid w:val="000E3BE4"/>
    <w:rsid w:val="000E3D9B"/>
    <w:rsid w:val="000E3DFD"/>
    <w:rsid w:val="000E4261"/>
    <w:rsid w:val="000E4697"/>
    <w:rsid w:val="000E58C5"/>
    <w:rsid w:val="000E6203"/>
    <w:rsid w:val="000E6355"/>
    <w:rsid w:val="000E64CB"/>
    <w:rsid w:val="000E65FF"/>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08E"/>
    <w:rsid w:val="000F348D"/>
    <w:rsid w:val="000F369A"/>
    <w:rsid w:val="000F4463"/>
    <w:rsid w:val="000F5285"/>
    <w:rsid w:val="000F52E0"/>
    <w:rsid w:val="000F53A9"/>
    <w:rsid w:val="000F5897"/>
    <w:rsid w:val="000F6464"/>
    <w:rsid w:val="000F6628"/>
    <w:rsid w:val="000F673B"/>
    <w:rsid w:val="000F6C25"/>
    <w:rsid w:val="000F76EB"/>
    <w:rsid w:val="000F78AE"/>
    <w:rsid w:val="000F7E25"/>
    <w:rsid w:val="001007EE"/>
    <w:rsid w:val="00100F76"/>
    <w:rsid w:val="0010148E"/>
    <w:rsid w:val="00102202"/>
    <w:rsid w:val="0010253C"/>
    <w:rsid w:val="00102BD1"/>
    <w:rsid w:val="001047E8"/>
    <w:rsid w:val="0010486A"/>
    <w:rsid w:val="00104995"/>
    <w:rsid w:val="0010561C"/>
    <w:rsid w:val="00105C0F"/>
    <w:rsid w:val="00105E39"/>
    <w:rsid w:val="00106561"/>
    <w:rsid w:val="00106D63"/>
    <w:rsid w:val="001075F3"/>
    <w:rsid w:val="00107A01"/>
    <w:rsid w:val="00107C23"/>
    <w:rsid w:val="00110174"/>
    <w:rsid w:val="00110307"/>
    <w:rsid w:val="0011037B"/>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5B2"/>
    <w:rsid w:val="00117F9B"/>
    <w:rsid w:val="00120409"/>
    <w:rsid w:val="00121211"/>
    <w:rsid w:val="00121628"/>
    <w:rsid w:val="0012167D"/>
    <w:rsid w:val="00121CDA"/>
    <w:rsid w:val="00122189"/>
    <w:rsid w:val="00122280"/>
    <w:rsid w:val="00122468"/>
    <w:rsid w:val="00122555"/>
    <w:rsid w:val="00122D42"/>
    <w:rsid w:val="00123345"/>
    <w:rsid w:val="00123C46"/>
    <w:rsid w:val="0012470B"/>
    <w:rsid w:val="00124D7A"/>
    <w:rsid w:val="001254D5"/>
    <w:rsid w:val="00125C75"/>
    <w:rsid w:val="00125C7E"/>
    <w:rsid w:val="0012709A"/>
    <w:rsid w:val="00127945"/>
    <w:rsid w:val="00127D94"/>
    <w:rsid w:val="00127E90"/>
    <w:rsid w:val="001302C1"/>
    <w:rsid w:val="001306D3"/>
    <w:rsid w:val="00130AE8"/>
    <w:rsid w:val="001310BF"/>
    <w:rsid w:val="001336E4"/>
    <w:rsid w:val="00133E73"/>
    <w:rsid w:val="00133FDB"/>
    <w:rsid w:val="00134F4A"/>
    <w:rsid w:val="00135E4E"/>
    <w:rsid w:val="00136246"/>
    <w:rsid w:val="001364D4"/>
    <w:rsid w:val="001371C8"/>
    <w:rsid w:val="001372ED"/>
    <w:rsid w:val="00140496"/>
    <w:rsid w:val="00140DB5"/>
    <w:rsid w:val="00140FEF"/>
    <w:rsid w:val="00142B50"/>
    <w:rsid w:val="00143873"/>
    <w:rsid w:val="00143995"/>
    <w:rsid w:val="001439E9"/>
    <w:rsid w:val="00143C55"/>
    <w:rsid w:val="00143D02"/>
    <w:rsid w:val="00144C6F"/>
    <w:rsid w:val="00145089"/>
    <w:rsid w:val="001451E7"/>
    <w:rsid w:val="00145B2B"/>
    <w:rsid w:val="00145FDF"/>
    <w:rsid w:val="001462E3"/>
    <w:rsid w:val="0014720C"/>
    <w:rsid w:val="001472C2"/>
    <w:rsid w:val="00147458"/>
    <w:rsid w:val="00147E21"/>
    <w:rsid w:val="00150BA8"/>
    <w:rsid w:val="00150D19"/>
    <w:rsid w:val="0015181B"/>
    <w:rsid w:val="00151A9F"/>
    <w:rsid w:val="0015246D"/>
    <w:rsid w:val="00152B87"/>
    <w:rsid w:val="00153A96"/>
    <w:rsid w:val="00153D1C"/>
    <w:rsid w:val="001543E2"/>
    <w:rsid w:val="001548B4"/>
    <w:rsid w:val="00155B43"/>
    <w:rsid w:val="001565A2"/>
    <w:rsid w:val="001567C3"/>
    <w:rsid w:val="00156A12"/>
    <w:rsid w:val="001574FE"/>
    <w:rsid w:val="0015780B"/>
    <w:rsid w:val="00157B3F"/>
    <w:rsid w:val="00157F8A"/>
    <w:rsid w:val="00160C3D"/>
    <w:rsid w:val="00160C54"/>
    <w:rsid w:val="001610CC"/>
    <w:rsid w:val="00161B24"/>
    <w:rsid w:val="00161C41"/>
    <w:rsid w:val="00161DD5"/>
    <w:rsid w:val="001631C5"/>
    <w:rsid w:val="001633A4"/>
    <w:rsid w:val="001634D6"/>
    <w:rsid w:val="001648D3"/>
    <w:rsid w:val="001648DD"/>
    <w:rsid w:val="0016541E"/>
    <w:rsid w:val="00165705"/>
    <w:rsid w:val="00166389"/>
    <w:rsid w:val="00166E03"/>
    <w:rsid w:val="00167E4C"/>
    <w:rsid w:val="00171449"/>
    <w:rsid w:val="0017199C"/>
    <w:rsid w:val="00171C7E"/>
    <w:rsid w:val="00171F35"/>
    <w:rsid w:val="001722DD"/>
    <w:rsid w:val="00172552"/>
    <w:rsid w:val="00172873"/>
    <w:rsid w:val="00172CF7"/>
    <w:rsid w:val="0017319E"/>
    <w:rsid w:val="00173A1F"/>
    <w:rsid w:val="00173BC3"/>
    <w:rsid w:val="00174128"/>
    <w:rsid w:val="00174404"/>
    <w:rsid w:val="00174FE5"/>
    <w:rsid w:val="00175625"/>
    <w:rsid w:val="00175C34"/>
    <w:rsid w:val="00175F9A"/>
    <w:rsid w:val="00176E98"/>
    <w:rsid w:val="001778BD"/>
    <w:rsid w:val="00177996"/>
    <w:rsid w:val="00180B3F"/>
    <w:rsid w:val="00180C83"/>
    <w:rsid w:val="00180CE5"/>
    <w:rsid w:val="001811D9"/>
    <w:rsid w:val="0018173B"/>
    <w:rsid w:val="0018175B"/>
    <w:rsid w:val="001820A3"/>
    <w:rsid w:val="0018332A"/>
    <w:rsid w:val="00183D80"/>
    <w:rsid w:val="001842C8"/>
    <w:rsid w:val="00184956"/>
    <w:rsid w:val="00185044"/>
    <w:rsid w:val="001850DB"/>
    <w:rsid w:val="001854CC"/>
    <w:rsid w:val="0018599C"/>
    <w:rsid w:val="00185C61"/>
    <w:rsid w:val="00185E7C"/>
    <w:rsid w:val="001869EE"/>
    <w:rsid w:val="00186D00"/>
    <w:rsid w:val="001872A2"/>
    <w:rsid w:val="00187316"/>
    <w:rsid w:val="0018743A"/>
    <w:rsid w:val="001906C6"/>
    <w:rsid w:val="001907B8"/>
    <w:rsid w:val="00190A57"/>
    <w:rsid w:val="00190B3F"/>
    <w:rsid w:val="0019122C"/>
    <w:rsid w:val="00191389"/>
    <w:rsid w:val="00191908"/>
    <w:rsid w:val="00192DF3"/>
    <w:rsid w:val="0019301F"/>
    <w:rsid w:val="00193286"/>
    <w:rsid w:val="001937B8"/>
    <w:rsid w:val="001943A9"/>
    <w:rsid w:val="00194BB7"/>
    <w:rsid w:val="00194CC5"/>
    <w:rsid w:val="00194D17"/>
    <w:rsid w:val="001951B2"/>
    <w:rsid w:val="0019550F"/>
    <w:rsid w:val="0019565D"/>
    <w:rsid w:val="00197564"/>
    <w:rsid w:val="00197EC2"/>
    <w:rsid w:val="00197ECE"/>
    <w:rsid w:val="001A11DE"/>
    <w:rsid w:val="001A12AF"/>
    <w:rsid w:val="001A1CED"/>
    <w:rsid w:val="001A20A3"/>
    <w:rsid w:val="001A279B"/>
    <w:rsid w:val="001A2BED"/>
    <w:rsid w:val="001A2DC3"/>
    <w:rsid w:val="001A2E87"/>
    <w:rsid w:val="001A2E97"/>
    <w:rsid w:val="001A3869"/>
    <w:rsid w:val="001A38C2"/>
    <w:rsid w:val="001A6583"/>
    <w:rsid w:val="001A65C8"/>
    <w:rsid w:val="001A732E"/>
    <w:rsid w:val="001A7E8E"/>
    <w:rsid w:val="001A7F30"/>
    <w:rsid w:val="001B06E2"/>
    <w:rsid w:val="001B103A"/>
    <w:rsid w:val="001B103D"/>
    <w:rsid w:val="001B1513"/>
    <w:rsid w:val="001B1767"/>
    <w:rsid w:val="001B2221"/>
    <w:rsid w:val="001B2453"/>
    <w:rsid w:val="001B3A1B"/>
    <w:rsid w:val="001B3D48"/>
    <w:rsid w:val="001B52AC"/>
    <w:rsid w:val="001B5AF9"/>
    <w:rsid w:val="001B6439"/>
    <w:rsid w:val="001B6600"/>
    <w:rsid w:val="001B6B9B"/>
    <w:rsid w:val="001B6C27"/>
    <w:rsid w:val="001B7144"/>
    <w:rsid w:val="001B7E91"/>
    <w:rsid w:val="001C0393"/>
    <w:rsid w:val="001C147E"/>
    <w:rsid w:val="001C151B"/>
    <w:rsid w:val="001C19E5"/>
    <w:rsid w:val="001C1F9D"/>
    <w:rsid w:val="001C203F"/>
    <w:rsid w:val="001C25A3"/>
    <w:rsid w:val="001C3800"/>
    <w:rsid w:val="001C3C7B"/>
    <w:rsid w:val="001C5806"/>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3898"/>
    <w:rsid w:val="001D488C"/>
    <w:rsid w:val="001D4CDF"/>
    <w:rsid w:val="001D4F88"/>
    <w:rsid w:val="001D578D"/>
    <w:rsid w:val="001D5818"/>
    <w:rsid w:val="001D653A"/>
    <w:rsid w:val="001D7DEE"/>
    <w:rsid w:val="001E02CB"/>
    <w:rsid w:val="001E0E74"/>
    <w:rsid w:val="001E144F"/>
    <w:rsid w:val="001E14FD"/>
    <w:rsid w:val="001E180F"/>
    <w:rsid w:val="001E18BD"/>
    <w:rsid w:val="001E1C64"/>
    <w:rsid w:val="001E1CEC"/>
    <w:rsid w:val="001E2ECB"/>
    <w:rsid w:val="001E3561"/>
    <w:rsid w:val="001E4189"/>
    <w:rsid w:val="001E4B64"/>
    <w:rsid w:val="001E552A"/>
    <w:rsid w:val="001E57B9"/>
    <w:rsid w:val="001E5FAD"/>
    <w:rsid w:val="001E6773"/>
    <w:rsid w:val="001E6E8D"/>
    <w:rsid w:val="001E7EE4"/>
    <w:rsid w:val="001E7F76"/>
    <w:rsid w:val="001F0FAF"/>
    <w:rsid w:val="001F139F"/>
    <w:rsid w:val="001F1B3B"/>
    <w:rsid w:val="001F1E7E"/>
    <w:rsid w:val="001F2805"/>
    <w:rsid w:val="001F2E79"/>
    <w:rsid w:val="001F2F07"/>
    <w:rsid w:val="001F3076"/>
    <w:rsid w:val="001F3123"/>
    <w:rsid w:val="001F376D"/>
    <w:rsid w:val="001F418C"/>
    <w:rsid w:val="001F4B2D"/>
    <w:rsid w:val="001F4CE4"/>
    <w:rsid w:val="001F4E1B"/>
    <w:rsid w:val="001F4F40"/>
    <w:rsid w:val="001F50E0"/>
    <w:rsid w:val="001F594C"/>
    <w:rsid w:val="001F69FC"/>
    <w:rsid w:val="001F6D62"/>
    <w:rsid w:val="001F7675"/>
    <w:rsid w:val="00200FAE"/>
    <w:rsid w:val="0020102D"/>
    <w:rsid w:val="002010E2"/>
    <w:rsid w:val="00201B73"/>
    <w:rsid w:val="00202517"/>
    <w:rsid w:val="00202853"/>
    <w:rsid w:val="00202ADB"/>
    <w:rsid w:val="00202BB7"/>
    <w:rsid w:val="00202F97"/>
    <w:rsid w:val="0020435B"/>
    <w:rsid w:val="0020439B"/>
    <w:rsid w:val="00204533"/>
    <w:rsid w:val="00204F2D"/>
    <w:rsid w:val="00205566"/>
    <w:rsid w:val="002063AA"/>
    <w:rsid w:val="002072C2"/>
    <w:rsid w:val="00210549"/>
    <w:rsid w:val="0021069E"/>
    <w:rsid w:val="00210804"/>
    <w:rsid w:val="0021088F"/>
    <w:rsid w:val="00210F79"/>
    <w:rsid w:val="002113FE"/>
    <w:rsid w:val="00211737"/>
    <w:rsid w:val="0021181B"/>
    <w:rsid w:val="0021230F"/>
    <w:rsid w:val="002125B0"/>
    <w:rsid w:val="002125F6"/>
    <w:rsid w:val="00212A82"/>
    <w:rsid w:val="00214EA2"/>
    <w:rsid w:val="002160FA"/>
    <w:rsid w:val="002166DD"/>
    <w:rsid w:val="002168A2"/>
    <w:rsid w:val="00217867"/>
    <w:rsid w:val="002205E4"/>
    <w:rsid w:val="00220D67"/>
    <w:rsid w:val="002215B4"/>
    <w:rsid w:val="002215F8"/>
    <w:rsid w:val="00221F80"/>
    <w:rsid w:val="0022273A"/>
    <w:rsid w:val="00222D28"/>
    <w:rsid w:val="002231CC"/>
    <w:rsid w:val="0022392B"/>
    <w:rsid w:val="00223CF4"/>
    <w:rsid w:val="00224220"/>
    <w:rsid w:val="00224398"/>
    <w:rsid w:val="00224A81"/>
    <w:rsid w:val="00224E91"/>
    <w:rsid w:val="00225B4C"/>
    <w:rsid w:val="00225E1E"/>
    <w:rsid w:val="00226129"/>
    <w:rsid w:val="0022614D"/>
    <w:rsid w:val="00226458"/>
    <w:rsid w:val="00226AA2"/>
    <w:rsid w:val="00226E87"/>
    <w:rsid w:val="00227218"/>
    <w:rsid w:val="0022770A"/>
    <w:rsid w:val="00227BEE"/>
    <w:rsid w:val="00227FB4"/>
    <w:rsid w:val="0023057E"/>
    <w:rsid w:val="002312BC"/>
    <w:rsid w:val="002337E5"/>
    <w:rsid w:val="00233C06"/>
    <w:rsid w:val="00233F24"/>
    <w:rsid w:val="00234943"/>
    <w:rsid w:val="00234BBB"/>
    <w:rsid w:val="002356F4"/>
    <w:rsid w:val="00235995"/>
    <w:rsid w:val="00235F02"/>
    <w:rsid w:val="00236185"/>
    <w:rsid w:val="00236327"/>
    <w:rsid w:val="00236D28"/>
    <w:rsid w:val="002372BA"/>
    <w:rsid w:val="00237FE4"/>
    <w:rsid w:val="0024060B"/>
    <w:rsid w:val="00240656"/>
    <w:rsid w:val="00241610"/>
    <w:rsid w:val="00241AED"/>
    <w:rsid w:val="00241C93"/>
    <w:rsid w:val="00242D9F"/>
    <w:rsid w:val="00242F1F"/>
    <w:rsid w:val="00243182"/>
    <w:rsid w:val="00243928"/>
    <w:rsid w:val="00243946"/>
    <w:rsid w:val="00243BC5"/>
    <w:rsid w:val="00243C7D"/>
    <w:rsid w:val="00243E9A"/>
    <w:rsid w:val="00244371"/>
    <w:rsid w:val="00244704"/>
    <w:rsid w:val="00244AF8"/>
    <w:rsid w:val="00244BC5"/>
    <w:rsid w:val="00244E68"/>
    <w:rsid w:val="002456C5"/>
    <w:rsid w:val="00245724"/>
    <w:rsid w:val="00245ABE"/>
    <w:rsid w:val="00245C0B"/>
    <w:rsid w:val="00246EAE"/>
    <w:rsid w:val="002470EB"/>
    <w:rsid w:val="00247116"/>
    <w:rsid w:val="002471E5"/>
    <w:rsid w:val="002517A8"/>
    <w:rsid w:val="00251EEE"/>
    <w:rsid w:val="00253177"/>
    <w:rsid w:val="002538B8"/>
    <w:rsid w:val="0025396F"/>
    <w:rsid w:val="00254319"/>
    <w:rsid w:val="0025539F"/>
    <w:rsid w:val="00255872"/>
    <w:rsid w:val="00256147"/>
    <w:rsid w:val="00256388"/>
    <w:rsid w:val="00256E44"/>
    <w:rsid w:val="00257FC6"/>
    <w:rsid w:val="00260919"/>
    <w:rsid w:val="0026123D"/>
    <w:rsid w:val="002612FD"/>
    <w:rsid w:val="002613DC"/>
    <w:rsid w:val="00261755"/>
    <w:rsid w:val="00261AAA"/>
    <w:rsid w:val="00261F09"/>
    <w:rsid w:val="00262097"/>
    <w:rsid w:val="00262D20"/>
    <w:rsid w:val="002634AB"/>
    <w:rsid w:val="002638E0"/>
    <w:rsid w:val="00263C19"/>
    <w:rsid w:val="00263E9F"/>
    <w:rsid w:val="00264F03"/>
    <w:rsid w:val="00264F8F"/>
    <w:rsid w:val="0026507D"/>
    <w:rsid w:val="002655AE"/>
    <w:rsid w:val="0026591F"/>
    <w:rsid w:val="00265A65"/>
    <w:rsid w:val="002660F0"/>
    <w:rsid w:val="002675B6"/>
    <w:rsid w:val="00267A99"/>
    <w:rsid w:val="00270271"/>
    <w:rsid w:val="00272174"/>
    <w:rsid w:val="002721A6"/>
    <w:rsid w:val="002722E0"/>
    <w:rsid w:val="002730EC"/>
    <w:rsid w:val="00273100"/>
    <w:rsid w:val="002734AA"/>
    <w:rsid w:val="002735CC"/>
    <w:rsid w:val="00274588"/>
    <w:rsid w:val="00274A67"/>
    <w:rsid w:val="00274AA2"/>
    <w:rsid w:val="00275336"/>
    <w:rsid w:val="002756EF"/>
    <w:rsid w:val="00275708"/>
    <w:rsid w:val="00275C8A"/>
    <w:rsid w:val="002768CF"/>
    <w:rsid w:val="00276F82"/>
    <w:rsid w:val="002805DF"/>
    <w:rsid w:val="0028092D"/>
    <w:rsid w:val="00280979"/>
    <w:rsid w:val="002815D9"/>
    <w:rsid w:val="00282317"/>
    <w:rsid w:val="00282D25"/>
    <w:rsid w:val="00282DF9"/>
    <w:rsid w:val="00283A44"/>
    <w:rsid w:val="0028529F"/>
    <w:rsid w:val="00285687"/>
    <w:rsid w:val="002862E2"/>
    <w:rsid w:val="00287649"/>
    <w:rsid w:val="00287DAB"/>
    <w:rsid w:val="00287FB6"/>
    <w:rsid w:val="002900C5"/>
    <w:rsid w:val="0029011C"/>
    <w:rsid w:val="002901E0"/>
    <w:rsid w:val="0029075B"/>
    <w:rsid w:val="00290BB1"/>
    <w:rsid w:val="00291BC1"/>
    <w:rsid w:val="002933CA"/>
    <w:rsid w:val="00293611"/>
    <w:rsid w:val="00293A8F"/>
    <w:rsid w:val="00295155"/>
    <w:rsid w:val="00295824"/>
    <w:rsid w:val="00295D51"/>
    <w:rsid w:val="00296203"/>
    <w:rsid w:val="00296428"/>
    <w:rsid w:val="0029643D"/>
    <w:rsid w:val="00296ADB"/>
    <w:rsid w:val="0029706A"/>
    <w:rsid w:val="002972EE"/>
    <w:rsid w:val="00297F01"/>
    <w:rsid w:val="002A052D"/>
    <w:rsid w:val="002A0DF8"/>
    <w:rsid w:val="002A160D"/>
    <w:rsid w:val="002A1928"/>
    <w:rsid w:val="002A1F1F"/>
    <w:rsid w:val="002A204F"/>
    <w:rsid w:val="002A21B5"/>
    <w:rsid w:val="002A2631"/>
    <w:rsid w:val="002A2A0C"/>
    <w:rsid w:val="002A2A69"/>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CA"/>
    <w:rsid w:val="002B18F7"/>
    <w:rsid w:val="002B2665"/>
    <w:rsid w:val="002B28D9"/>
    <w:rsid w:val="002B2A4B"/>
    <w:rsid w:val="002B2F7A"/>
    <w:rsid w:val="002B3E18"/>
    <w:rsid w:val="002B3ED7"/>
    <w:rsid w:val="002B4669"/>
    <w:rsid w:val="002B4778"/>
    <w:rsid w:val="002B5E62"/>
    <w:rsid w:val="002B62E4"/>
    <w:rsid w:val="002B75B2"/>
    <w:rsid w:val="002B79B7"/>
    <w:rsid w:val="002C141D"/>
    <w:rsid w:val="002C19C0"/>
    <w:rsid w:val="002C2485"/>
    <w:rsid w:val="002C25E0"/>
    <w:rsid w:val="002C2A2D"/>
    <w:rsid w:val="002C36C0"/>
    <w:rsid w:val="002C3928"/>
    <w:rsid w:val="002C3B33"/>
    <w:rsid w:val="002C435E"/>
    <w:rsid w:val="002C43BB"/>
    <w:rsid w:val="002C44AB"/>
    <w:rsid w:val="002C5595"/>
    <w:rsid w:val="002C5E39"/>
    <w:rsid w:val="002C5FA2"/>
    <w:rsid w:val="002C7A02"/>
    <w:rsid w:val="002C7BD4"/>
    <w:rsid w:val="002D0107"/>
    <w:rsid w:val="002D02DE"/>
    <w:rsid w:val="002D062E"/>
    <w:rsid w:val="002D0850"/>
    <w:rsid w:val="002D0C69"/>
    <w:rsid w:val="002D0D43"/>
    <w:rsid w:val="002D144D"/>
    <w:rsid w:val="002D15C2"/>
    <w:rsid w:val="002D2B10"/>
    <w:rsid w:val="002D2B3E"/>
    <w:rsid w:val="002D386A"/>
    <w:rsid w:val="002D4100"/>
    <w:rsid w:val="002D477F"/>
    <w:rsid w:val="002D4F48"/>
    <w:rsid w:val="002D519B"/>
    <w:rsid w:val="002D5F67"/>
    <w:rsid w:val="002D621E"/>
    <w:rsid w:val="002D66AC"/>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B5A"/>
    <w:rsid w:val="002E2C52"/>
    <w:rsid w:val="002E342B"/>
    <w:rsid w:val="002E3B81"/>
    <w:rsid w:val="002E3D08"/>
    <w:rsid w:val="002E3E1D"/>
    <w:rsid w:val="002E3EEA"/>
    <w:rsid w:val="002E4D08"/>
    <w:rsid w:val="002E4DA5"/>
    <w:rsid w:val="002E4EBB"/>
    <w:rsid w:val="002E52B8"/>
    <w:rsid w:val="002E5DBF"/>
    <w:rsid w:val="002E5E01"/>
    <w:rsid w:val="002E60F5"/>
    <w:rsid w:val="002E6536"/>
    <w:rsid w:val="002E69F5"/>
    <w:rsid w:val="002E6CAA"/>
    <w:rsid w:val="002E6E1E"/>
    <w:rsid w:val="002E73EC"/>
    <w:rsid w:val="002F023D"/>
    <w:rsid w:val="002F10EC"/>
    <w:rsid w:val="002F1136"/>
    <w:rsid w:val="002F1231"/>
    <w:rsid w:val="002F1521"/>
    <w:rsid w:val="002F15EE"/>
    <w:rsid w:val="002F3632"/>
    <w:rsid w:val="002F3AFB"/>
    <w:rsid w:val="002F3C41"/>
    <w:rsid w:val="002F4C8E"/>
    <w:rsid w:val="002F5076"/>
    <w:rsid w:val="002F5839"/>
    <w:rsid w:val="002F5AA8"/>
    <w:rsid w:val="002F63EC"/>
    <w:rsid w:val="002F64D9"/>
    <w:rsid w:val="002F651D"/>
    <w:rsid w:val="002F6648"/>
    <w:rsid w:val="002F6E44"/>
    <w:rsid w:val="002F74FD"/>
    <w:rsid w:val="002F787B"/>
    <w:rsid w:val="002F7974"/>
    <w:rsid w:val="002F7D01"/>
    <w:rsid w:val="0030005C"/>
    <w:rsid w:val="00300369"/>
    <w:rsid w:val="0030100A"/>
    <w:rsid w:val="003012E1"/>
    <w:rsid w:val="00301D0A"/>
    <w:rsid w:val="003027B8"/>
    <w:rsid w:val="0030293F"/>
    <w:rsid w:val="00302947"/>
    <w:rsid w:val="00302C50"/>
    <w:rsid w:val="003031C2"/>
    <w:rsid w:val="003031D4"/>
    <w:rsid w:val="00303861"/>
    <w:rsid w:val="00303CCD"/>
    <w:rsid w:val="00304FFF"/>
    <w:rsid w:val="00305557"/>
    <w:rsid w:val="0030561F"/>
    <w:rsid w:val="00305CA3"/>
    <w:rsid w:val="00306E5C"/>
    <w:rsid w:val="00307C19"/>
    <w:rsid w:val="003103EC"/>
    <w:rsid w:val="003103F9"/>
    <w:rsid w:val="003105DE"/>
    <w:rsid w:val="00310732"/>
    <w:rsid w:val="00310BC9"/>
    <w:rsid w:val="00311762"/>
    <w:rsid w:val="00311E27"/>
    <w:rsid w:val="00311E98"/>
    <w:rsid w:val="00312215"/>
    <w:rsid w:val="0031249C"/>
    <w:rsid w:val="003125C3"/>
    <w:rsid w:val="00312896"/>
    <w:rsid w:val="00313A1E"/>
    <w:rsid w:val="00313EAC"/>
    <w:rsid w:val="00314094"/>
    <w:rsid w:val="003142F4"/>
    <w:rsid w:val="0031454E"/>
    <w:rsid w:val="00315977"/>
    <w:rsid w:val="0031611F"/>
    <w:rsid w:val="003175F0"/>
    <w:rsid w:val="00317A33"/>
    <w:rsid w:val="00317A53"/>
    <w:rsid w:val="00320339"/>
    <w:rsid w:val="00321214"/>
    <w:rsid w:val="003213D5"/>
    <w:rsid w:val="00323737"/>
    <w:rsid w:val="00323AD6"/>
    <w:rsid w:val="00323F27"/>
    <w:rsid w:val="003242EF"/>
    <w:rsid w:val="0032530E"/>
    <w:rsid w:val="00325339"/>
    <w:rsid w:val="003255AA"/>
    <w:rsid w:val="00326446"/>
    <w:rsid w:val="00326D9F"/>
    <w:rsid w:val="00330180"/>
    <w:rsid w:val="003314B6"/>
    <w:rsid w:val="00331A20"/>
    <w:rsid w:val="00331E65"/>
    <w:rsid w:val="00332D7B"/>
    <w:rsid w:val="00333107"/>
    <w:rsid w:val="0033343B"/>
    <w:rsid w:val="0033393C"/>
    <w:rsid w:val="003357EE"/>
    <w:rsid w:val="0033690F"/>
    <w:rsid w:val="00337368"/>
    <w:rsid w:val="003378A7"/>
    <w:rsid w:val="00337B4D"/>
    <w:rsid w:val="003407A9"/>
    <w:rsid w:val="00340BA3"/>
    <w:rsid w:val="00340BAF"/>
    <w:rsid w:val="00340C2B"/>
    <w:rsid w:val="00340F9A"/>
    <w:rsid w:val="00341018"/>
    <w:rsid w:val="003415F8"/>
    <w:rsid w:val="00341723"/>
    <w:rsid w:val="003420D9"/>
    <w:rsid w:val="003423E0"/>
    <w:rsid w:val="0034301A"/>
    <w:rsid w:val="0034377F"/>
    <w:rsid w:val="00343D76"/>
    <w:rsid w:val="00344DFD"/>
    <w:rsid w:val="003451D3"/>
    <w:rsid w:val="00346631"/>
    <w:rsid w:val="00346AAD"/>
    <w:rsid w:val="00346D96"/>
    <w:rsid w:val="00346F03"/>
    <w:rsid w:val="0034736A"/>
    <w:rsid w:val="0034747C"/>
    <w:rsid w:val="00347ABE"/>
    <w:rsid w:val="00347B6C"/>
    <w:rsid w:val="00350CE8"/>
    <w:rsid w:val="0035151C"/>
    <w:rsid w:val="00351A1F"/>
    <w:rsid w:val="00352254"/>
    <w:rsid w:val="003522A3"/>
    <w:rsid w:val="00352527"/>
    <w:rsid w:val="00353702"/>
    <w:rsid w:val="00353929"/>
    <w:rsid w:val="00353F9E"/>
    <w:rsid w:val="003540D1"/>
    <w:rsid w:val="00354265"/>
    <w:rsid w:val="003545BF"/>
    <w:rsid w:val="0035586A"/>
    <w:rsid w:val="0035611A"/>
    <w:rsid w:val="00356C3D"/>
    <w:rsid w:val="00360B75"/>
    <w:rsid w:val="0036151C"/>
    <w:rsid w:val="00361A9B"/>
    <w:rsid w:val="00362CCF"/>
    <w:rsid w:val="00362E08"/>
    <w:rsid w:val="003631DB"/>
    <w:rsid w:val="00364524"/>
    <w:rsid w:val="0036513A"/>
    <w:rsid w:val="00365237"/>
    <w:rsid w:val="0036559C"/>
    <w:rsid w:val="0036587E"/>
    <w:rsid w:val="00365C24"/>
    <w:rsid w:val="003660CD"/>
    <w:rsid w:val="00366AC2"/>
    <w:rsid w:val="00366B08"/>
    <w:rsid w:val="00366B13"/>
    <w:rsid w:val="00367496"/>
    <w:rsid w:val="003678BE"/>
    <w:rsid w:val="003700F8"/>
    <w:rsid w:val="00370949"/>
    <w:rsid w:val="003714F2"/>
    <w:rsid w:val="0037243B"/>
    <w:rsid w:val="0037251C"/>
    <w:rsid w:val="0037272C"/>
    <w:rsid w:val="00372B9A"/>
    <w:rsid w:val="003731BF"/>
    <w:rsid w:val="00375287"/>
    <w:rsid w:val="0037563A"/>
    <w:rsid w:val="00375791"/>
    <w:rsid w:val="00375826"/>
    <w:rsid w:val="00375994"/>
    <w:rsid w:val="00375C59"/>
    <w:rsid w:val="00375D00"/>
    <w:rsid w:val="00375DB1"/>
    <w:rsid w:val="00375E05"/>
    <w:rsid w:val="00376BB7"/>
    <w:rsid w:val="00376EEE"/>
    <w:rsid w:val="00377111"/>
    <w:rsid w:val="00377BA1"/>
    <w:rsid w:val="00377FF0"/>
    <w:rsid w:val="00380616"/>
    <w:rsid w:val="00380BA7"/>
    <w:rsid w:val="00381022"/>
    <w:rsid w:val="003814B8"/>
    <w:rsid w:val="00382895"/>
    <w:rsid w:val="00382909"/>
    <w:rsid w:val="00382EE1"/>
    <w:rsid w:val="00384258"/>
    <w:rsid w:val="00385131"/>
    <w:rsid w:val="0038620B"/>
    <w:rsid w:val="00386A42"/>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414"/>
    <w:rsid w:val="00397A28"/>
    <w:rsid w:val="00397B82"/>
    <w:rsid w:val="00397D79"/>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7E5"/>
    <w:rsid w:val="003A7D1D"/>
    <w:rsid w:val="003B1688"/>
    <w:rsid w:val="003B16F1"/>
    <w:rsid w:val="003B1FA4"/>
    <w:rsid w:val="003B1FE6"/>
    <w:rsid w:val="003B241D"/>
    <w:rsid w:val="003B2E96"/>
    <w:rsid w:val="003B3106"/>
    <w:rsid w:val="003B3974"/>
    <w:rsid w:val="003B39E0"/>
    <w:rsid w:val="003B3DAB"/>
    <w:rsid w:val="003B404D"/>
    <w:rsid w:val="003B4B34"/>
    <w:rsid w:val="003B4CDA"/>
    <w:rsid w:val="003B4F2D"/>
    <w:rsid w:val="003B5BD9"/>
    <w:rsid w:val="003B64A3"/>
    <w:rsid w:val="003B6DB8"/>
    <w:rsid w:val="003B72B9"/>
    <w:rsid w:val="003B774C"/>
    <w:rsid w:val="003B7D3A"/>
    <w:rsid w:val="003C0887"/>
    <w:rsid w:val="003C08AF"/>
    <w:rsid w:val="003C220C"/>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7BF"/>
    <w:rsid w:val="003D5A2D"/>
    <w:rsid w:val="003D5A34"/>
    <w:rsid w:val="003D5A9D"/>
    <w:rsid w:val="003D62C0"/>
    <w:rsid w:val="003D65F6"/>
    <w:rsid w:val="003D6911"/>
    <w:rsid w:val="003D7E4B"/>
    <w:rsid w:val="003E0035"/>
    <w:rsid w:val="003E0C14"/>
    <w:rsid w:val="003E0CC6"/>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361"/>
    <w:rsid w:val="003F0365"/>
    <w:rsid w:val="003F0B41"/>
    <w:rsid w:val="003F1E39"/>
    <w:rsid w:val="003F229D"/>
    <w:rsid w:val="003F25F0"/>
    <w:rsid w:val="003F2D5B"/>
    <w:rsid w:val="003F321F"/>
    <w:rsid w:val="003F439F"/>
    <w:rsid w:val="003F5AD2"/>
    <w:rsid w:val="003F5CA4"/>
    <w:rsid w:val="003F6D50"/>
    <w:rsid w:val="003F7006"/>
    <w:rsid w:val="003F7507"/>
    <w:rsid w:val="003F759B"/>
    <w:rsid w:val="003F7AD7"/>
    <w:rsid w:val="003F7C72"/>
    <w:rsid w:val="003F7D10"/>
    <w:rsid w:val="00401000"/>
    <w:rsid w:val="004016C6"/>
    <w:rsid w:val="0040179A"/>
    <w:rsid w:val="00401856"/>
    <w:rsid w:val="00401E98"/>
    <w:rsid w:val="00402371"/>
    <w:rsid w:val="004028A2"/>
    <w:rsid w:val="00402FEB"/>
    <w:rsid w:val="00403344"/>
    <w:rsid w:val="00403C82"/>
    <w:rsid w:val="0040449E"/>
    <w:rsid w:val="00404C44"/>
    <w:rsid w:val="00404EE8"/>
    <w:rsid w:val="0040510D"/>
    <w:rsid w:val="0040512D"/>
    <w:rsid w:val="0040602F"/>
    <w:rsid w:val="0040658E"/>
    <w:rsid w:val="00406AFB"/>
    <w:rsid w:val="00407382"/>
    <w:rsid w:val="0040791B"/>
    <w:rsid w:val="0041122D"/>
    <w:rsid w:val="00411893"/>
    <w:rsid w:val="00411958"/>
    <w:rsid w:val="00411B2A"/>
    <w:rsid w:val="00412973"/>
    <w:rsid w:val="00412D42"/>
    <w:rsid w:val="00412DA4"/>
    <w:rsid w:val="00412EB6"/>
    <w:rsid w:val="0041351F"/>
    <w:rsid w:val="004137C8"/>
    <w:rsid w:val="00413BF9"/>
    <w:rsid w:val="00413C25"/>
    <w:rsid w:val="004150F1"/>
    <w:rsid w:val="00415531"/>
    <w:rsid w:val="00416330"/>
    <w:rsid w:val="00416BAE"/>
    <w:rsid w:val="00417484"/>
    <w:rsid w:val="004176C7"/>
    <w:rsid w:val="00417877"/>
    <w:rsid w:val="00417D9F"/>
    <w:rsid w:val="00420229"/>
    <w:rsid w:val="00420DBA"/>
    <w:rsid w:val="00421311"/>
    <w:rsid w:val="0042209A"/>
    <w:rsid w:val="00422E13"/>
    <w:rsid w:val="0042350F"/>
    <w:rsid w:val="00423599"/>
    <w:rsid w:val="0042384C"/>
    <w:rsid w:val="00423893"/>
    <w:rsid w:val="00423BC9"/>
    <w:rsid w:val="004245F2"/>
    <w:rsid w:val="004255B4"/>
    <w:rsid w:val="00426766"/>
    <w:rsid w:val="004267D0"/>
    <w:rsid w:val="004276A8"/>
    <w:rsid w:val="004279CA"/>
    <w:rsid w:val="00427A82"/>
    <w:rsid w:val="00427EA2"/>
    <w:rsid w:val="00430115"/>
    <w:rsid w:val="00430A4B"/>
    <w:rsid w:val="00431C46"/>
    <w:rsid w:val="004327E6"/>
    <w:rsid w:val="004328ED"/>
    <w:rsid w:val="004329DC"/>
    <w:rsid w:val="00432AC6"/>
    <w:rsid w:val="00434C5E"/>
    <w:rsid w:val="00435765"/>
    <w:rsid w:val="004360B6"/>
    <w:rsid w:val="004362E5"/>
    <w:rsid w:val="00436356"/>
    <w:rsid w:val="004366B4"/>
    <w:rsid w:val="00440722"/>
    <w:rsid w:val="00441E01"/>
    <w:rsid w:val="004425D9"/>
    <w:rsid w:val="00442CA1"/>
    <w:rsid w:val="00443244"/>
    <w:rsid w:val="0044453D"/>
    <w:rsid w:val="00444AF6"/>
    <w:rsid w:val="0044519D"/>
    <w:rsid w:val="00445544"/>
    <w:rsid w:val="00445C0B"/>
    <w:rsid w:val="00446195"/>
    <w:rsid w:val="00447CD0"/>
    <w:rsid w:val="00447FC2"/>
    <w:rsid w:val="004502F4"/>
    <w:rsid w:val="004506F4"/>
    <w:rsid w:val="004509D1"/>
    <w:rsid w:val="00450A42"/>
    <w:rsid w:val="004513A5"/>
    <w:rsid w:val="0045156F"/>
    <w:rsid w:val="00451D50"/>
    <w:rsid w:val="00451ED8"/>
    <w:rsid w:val="00452EC4"/>
    <w:rsid w:val="00453340"/>
    <w:rsid w:val="004533A2"/>
    <w:rsid w:val="00453775"/>
    <w:rsid w:val="00453890"/>
    <w:rsid w:val="00454380"/>
    <w:rsid w:val="0045470C"/>
    <w:rsid w:val="004552C8"/>
    <w:rsid w:val="0045536C"/>
    <w:rsid w:val="00455A07"/>
    <w:rsid w:val="00455AC3"/>
    <w:rsid w:val="00455AEB"/>
    <w:rsid w:val="0045603C"/>
    <w:rsid w:val="00456053"/>
    <w:rsid w:val="00456054"/>
    <w:rsid w:val="00456068"/>
    <w:rsid w:val="004566F8"/>
    <w:rsid w:val="00456896"/>
    <w:rsid w:val="00456ADA"/>
    <w:rsid w:val="00456B0D"/>
    <w:rsid w:val="00457135"/>
    <w:rsid w:val="004575D1"/>
    <w:rsid w:val="0045770D"/>
    <w:rsid w:val="0045790F"/>
    <w:rsid w:val="00457D63"/>
    <w:rsid w:val="00457E21"/>
    <w:rsid w:val="0046007E"/>
    <w:rsid w:val="0046024B"/>
    <w:rsid w:val="00460E36"/>
    <w:rsid w:val="00461155"/>
    <w:rsid w:val="0046218C"/>
    <w:rsid w:val="004623D4"/>
    <w:rsid w:val="004625B0"/>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AD0"/>
    <w:rsid w:val="00472D9C"/>
    <w:rsid w:val="00473419"/>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6FDE"/>
    <w:rsid w:val="004875E1"/>
    <w:rsid w:val="004879FA"/>
    <w:rsid w:val="00487B37"/>
    <w:rsid w:val="00490636"/>
    <w:rsid w:val="004907AA"/>
    <w:rsid w:val="00490DF9"/>
    <w:rsid w:val="00490FF0"/>
    <w:rsid w:val="004910FE"/>
    <w:rsid w:val="00491198"/>
    <w:rsid w:val="00491565"/>
    <w:rsid w:val="004917E0"/>
    <w:rsid w:val="00491BF6"/>
    <w:rsid w:val="00491FED"/>
    <w:rsid w:val="00492F82"/>
    <w:rsid w:val="00492F87"/>
    <w:rsid w:val="00493341"/>
    <w:rsid w:val="00493884"/>
    <w:rsid w:val="004943C2"/>
    <w:rsid w:val="00494918"/>
    <w:rsid w:val="00494C65"/>
    <w:rsid w:val="00494F0C"/>
    <w:rsid w:val="00495557"/>
    <w:rsid w:val="0049618D"/>
    <w:rsid w:val="004965EF"/>
    <w:rsid w:val="00496F34"/>
    <w:rsid w:val="0049719D"/>
    <w:rsid w:val="00497FCD"/>
    <w:rsid w:val="004A007F"/>
    <w:rsid w:val="004A0D1E"/>
    <w:rsid w:val="004A0E66"/>
    <w:rsid w:val="004A0EEC"/>
    <w:rsid w:val="004A130F"/>
    <w:rsid w:val="004A14BD"/>
    <w:rsid w:val="004A17EF"/>
    <w:rsid w:val="004A1879"/>
    <w:rsid w:val="004A1BDA"/>
    <w:rsid w:val="004A22DA"/>
    <w:rsid w:val="004A2700"/>
    <w:rsid w:val="004A36C8"/>
    <w:rsid w:val="004A3721"/>
    <w:rsid w:val="004A3742"/>
    <w:rsid w:val="004A3791"/>
    <w:rsid w:val="004A37B8"/>
    <w:rsid w:val="004A3C95"/>
    <w:rsid w:val="004A3CC2"/>
    <w:rsid w:val="004A3ED3"/>
    <w:rsid w:val="004A43AD"/>
    <w:rsid w:val="004A47BC"/>
    <w:rsid w:val="004A4AC6"/>
    <w:rsid w:val="004A7C63"/>
    <w:rsid w:val="004B1199"/>
    <w:rsid w:val="004B16C4"/>
    <w:rsid w:val="004B1867"/>
    <w:rsid w:val="004B1FF1"/>
    <w:rsid w:val="004B2A64"/>
    <w:rsid w:val="004B41DA"/>
    <w:rsid w:val="004B470D"/>
    <w:rsid w:val="004B4764"/>
    <w:rsid w:val="004B4846"/>
    <w:rsid w:val="004B5394"/>
    <w:rsid w:val="004B5BDD"/>
    <w:rsid w:val="004B6DE3"/>
    <w:rsid w:val="004B6E9E"/>
    <w:rsid w:val="004B6F83"/>
    <w:rsid w:val="004B7458"/>
    <w:rsid w:val="004B781A"/>
    <w:rsid w:val="004B79F7"/>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45A"/>
    <w:rsid w:val="004C6572"/>
    <w:rsid w:val="004C6726"/>
    <w:rsid w:val="004C6BD6"/>
    <w:rsid w:val="004C6D4F"/>
    <w:rsid w:val="004C7541"/>
    <w:rsid w:val="004C7814"/>
    <w:rsid w:val="004D0650"/>
    <w:rsid w:val="004D18D5"/>
    <w:rsid w:val="004D1E71"/>
    <w:rsid w:val="004D2CDF"/>
    <w:rsid w:val="004D33CE"/>
    <w:rsid w:val="004D4556"/>
    <w:rsid w:val="004D4AAE"/>
    <w:rsid w:val="004D7C86"/>
    <w:rsid w:val="004E015E"/>
    <w:rsid w:val="004E0197"/>
    <w:rsid w:val="004E08F3"/>
    <w:rsid w:val="004E0E17"/>
    <w:rsid w:val="004E1122"/>
    <w:rsid w:val="004E1409"/>
    <w:rsid w:val="004E1786"/>
    <w:rsid w:val="004E1A87"/>
    <w:rsid w:val="004E1B8C"/>
    <w:rsid w:val="004E1BB0"/>
    <w:rsid w:val="004E23AF"/>
    <w:rsid w:val="004E3030"/>
    <w:rsid w:val="004E3311"/>
    <w:rsid w:val="004E38EC"/>
    <w:rsid w:val="004E3933"/>
    <w:rsid w:val="004E4549"/>
    <w:rsid w:val="004E4C83"/>
    <w:rsid w:val="004E4D53"/>
    <w:rsid w:val="004E4D84"/>
    <w:rsid w:val="004E4EBC"/>
    <w:rsid w:val="004E5104"/>
    <w:rsid w:val="004E5B06"/>
    <w:rsid w:val="004E5FA8"/>
    <w:rsid w:val="004E632F"/>
    <w:rsid w:val="004E64C0"/>
    <w:rsid w:val="004E684C"/>
    <w:rsid w:val="004E6DBC"/>
    <w:rsid w:val="004E6FF1"/>
    <w:rsid w:val="004E76DB"/>
    <w:rsid w:val="004E78B8"/>
    <w:rsid w:val="004F1E92"/>
    <w:rsid w:val="004F1F90"/>
    <w:rsid w:val="004F2401"/>
    <w:rsid w:val="004F2A44"/>
    <w:rsid w:val="004F2DAD"/>
    <w:rsid w:val="004F3306"/>
    <w:rsid w:val="004F34F7"/>
    <w:rsid w:val="004F55D6"/>
    <w:rsid w:val="004F565A"/>
    <w:rsid w:val="004F571B"/>
    <w:rsid w:val="004F64EB"/>
    <w:rsid w:val="004F6B50"/>
    <w:rsid w:val="004F7A74"/>
    <w:rsid w:val="004F7F9A"/>
    <w:rsid w:val="00500250"/>
    <w:rsid w:val="00500264"/>
    <w:rsid w:val="00500824"/>
    <w:rsid w:val="00500DAB"/>
    <w:rsid w:val="00501144"/>
    <w:rsid w:val="00501292"/>
    <w:rsid w:val="005013EF"/>
    <w:rsid w:val="005019E0"/>
    <w:rsid w:val="0050211F"/>
    <w:rsid w:val="005022E7"/>
    <w:rsid w:val="00502A93"/>
    <w:rsid w:val="005031C8"/>
    <w:rsid w:val="00503950"/>
    <w:rsid w:val="00505D36"/>
    <w:rsid w:val="00506083"/>
    <w:rsid w:val="005068D6"/>
    <w:rsid w:val="00506B86"/>
    <w:rsid w:val="00506EEC"/>
    <w:rsid w:val="00506FD4"/>
    <w:rsid w:val="00507FA1"/>
    <w:rsid w:val="005107FF"/>
    <w:rsid w:val="00510CBC"/>
    <w:rsid w:val="0051102D"/>
    <w:rsid w:val="005112A5"/>
    <w:rsid w:val="00511778"/>
    <w:rsid w:val="00511F48"/>
    <w:rsid w:val="00512448"/>
    <w:rsid w:val="0051253A"/>
    <w:rsid w:val="0051266C"/>
    <w:rsid w:val="00513B72"/>
    <w:rsid w:val="00515277"/>
    <w:rsid w:val="005158C2"/>
    <w:rsid w:val="005168E1"/>
    <w:rsid w:val="005169DE"/>
    <w:rsid w:val="005173B2"/>
    <w:rsid w:val="0051754D"/>
    <w:rsid w:val="0051785D"/>
    <w:rsid w:val="00517913"/>
    <w:rsid w:val="0052005F"/>
    <w:rsid w:val="00520200"/>
    <w:rsid w:val="00520E2D"/>
    <w:rsid w:val="00520F04"/>
    <w:rsid w:val="00521717"/>
    <w:rsid w:val="005224B2"/>
    <w:rsid w:val="00523B23"/>
    <w:rsid w:val="00523DFA"/>
    <w:rsid w:val="005242C5"/>
    <w:rsid w:val="005254BC"/>
    <w:rsid w:val="005256FC"/>
    <w:rsid w:val="00526C27"/>
    <w:rsid w:val="00526DFF"/>
    <w:rsid w:val="00526F53"/>
    <w:rsid w:val="00527360"/>
    <w:rsid w:val="00527473"/>
    <w:rsid w:val="00527EF9"/>
    <w:rsid w:val="005305FF"/>
    <w:rsid w:val="00530C9B"/>
    <w:rsid w:val="005321E7"/>
    <w:rsid w:val="00532334"/>
    <w:rsid w:val="005324AF"/>
    <w:rsid w:val="005332C1"/>
    <w:rsid w:val="0053368F"/>
    <w:rsid w:val="00533D32"/>
    <w:rsid w:val="0053402C"/>
    <w:rsid w:val="00534090"/>
    <w:rsid w:val="00534ABA"/>
    <w:rsid w:val="00535B33"/>
    <w:rsid w:val="00535FFF"/>
    <w:rsid w:val="00536082"/>
    <w:rsid w:val="0053616F"/>
    <w:rsid w:val="00536737"/>
    <w:rsid w:val="005368AD"/>
    <w:rsid w:val="005370BC"/>
    <w:rsid w:val="00537B35"/>
    <w:rsid w:val="00537DE7"/>
    <w:rsid w:val="00537EC4"/>
    <w:rsid w:val="00537FE4"/>
    <w:rsid w:val="0054027D"/>
    <w:rsid w:val="005410E9"/>
    <w:rsid w:val="00541222"/>
    <w:rsid w:val="00541A8D"/>
    <w:rsid w:val="00544DA0"/>
    <w:rsid w:val="00545229"/>
    <w:rsid w:val="005454BD"/>
    <w:rsid w:val="005457E4"/>
    <w:rsid w:val="00546C49"/>
    <w:rsid w:val="005476C7"/>
    <w:rsid w:val="0055010B"/>
    <w:rsid w:val="00550600"/>
    <w:rsid w:val="00550D59"/>
    <w:rsid w:val="005510AC"/>
    <w:rsid w:val="0055110D"/>
    <w:rsid w:val="00551F81"/>
    <w:rsid w:val="0055210F"/>
    <w:rsid w:val="00552CD7"/>
    <w:rsid w:val="0055300D"/>
    <w:rsid w:val="005533BE"/>
    <w:rsid w:val="005540A9"/>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2F"/>
    <w:rsid w:val="005664CC"/>
    <w:rsid w:val="0056664B"/>
    <w:rsid w:val="00567588"/>
    <w:rsid w:val="00567992"/>
    <w:rsid w:val="00567C3C"/>
    <w:rsid w:val="005702F8"/>
    <w:rsid w:val="00571231"/>
    <w:rsid w:val="00571767"/>
    <w:rsid w:val="00571E44"/>
    <w:rsid w:val="00573BF3"/>
    <w:rsid w:val="00573E61"/>
    <w:rsid w:val="0057411B"/>
    <w:rsid w:val="00574525"/>
    <w:rsid w:val="00574621"/>
    <w:rsid w:val="00574778"/>
    <w:rsid w:val="0057498F"/>
    <w:rsid w:val="00574DE9"/>
    <w:rsid w:val="00575DF4"/>
    <w:rsid w:val="0057765D"/>
    <w:rsid w:val="005777FC"/>
    <w:rsid w:val="005808EB"/>
    <w:rsid w:val="00580D37"/>
    <w:rsid w:val="00581FA0"/>
    <w:rsid w:val="00582B90"/>
    <w:rsid w:val="005831A7"/>
    <w:rsid w:val="00583321"/>
    <w:rsid w:val="0058341E"/>
    <w:rsid w:val="00583D7C"/>
    <w:rsid w:val="00584F3A"/>
    <w:rsid w:val="005853AB"/>
    <w:rsid w:val="00585748"/>
    <w:rsid w:val="005859C5"/>
    <w:rsid w:val="00585C79"/>
    <w:rsid w:val="00585FD0"/>
    <w:rsid w:val="00586144"/>
    <w:rsid w:val="00587785"/>
    <w:rsid w:val="0058788D"/>
    <w:rsid w:val="00587E29"/>
    <w:rsid w:val="00587FE6"/>
    <w:rsid w:val="00590128"/>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0DF"/>
    <w:rsid w:val="005A04BD"/>
    <w:rsid w:val="005A0A3F"/>
    <w:rsid w:val="005A114F"/>
    <w:rsid w:val="005A1F49"/>
    <w:rsid w:val="005A2364"/>
    <w:rsid w:val="005A2480"/>
    <w:rsid w:val="005A2B2C"/>
    <w:rsid w:val="005A2D6B"/>
    <w:rsid w:val="005A3252"/>
    <w:rsid w:val="005A33F7"/>
    <w:rsid w:val="005A3CA9"/>
    <w:rsid w:val="005A40CF"/>
    <w:rsid w:val="005A4A9C"/>
    <w:rsid w:val="005A4BAE"/>
    <w:rsid w:val="005A4F39"/>
    <w:rsid w:val="005A574D"/>
    <w:rsid w:val="005A5B5C"/>
    <w:rsid w:val="005A68E0"/>
    <w:rsid w:val="005A6E93"/>
    <w:rsid w:val="005A707A"/>
    <w:rsid w:val="005A7340"/>
    <w:rsid w:val="005A7F93"/>
    <w:rsid w:val="005B07EA"/>
    <w:rsid w:val="005B0A5C"/>
    <w:rsid w:val="005B0B20"/>
    <w:rsid w:val="005B0BD6"/>
    <w:rsid w:val="005B0EFB"/>
    <w:rsid w:val="005B1060"/>
    <w:rsid w:val="005B10B3"/>
    <w:rsid w:val="005B12B9"/>
    <w:rsid w:val="005B17C1"/>
    <w:rsid w:val="005B3737"/>
    <w:rsid w:val="005B3A42"/>
    <w:rsid w:val="005B3C25"/>
    <w:rsid w:val="005B3DF2"/>
    <w:rsid w:val="005B5515"/>
    <w:rsid w:val="005B55E8"/>
    <w:rsid w:val="005B5C5C"/>
    <w:rsid w:val="005B5D40"/>
    <w:rsid w:val="005B5EFC"/>
    <w:rsid w:val="005B6412"/>
    <w:rsid w:val="005B6698"/>
    <w:rsid w:val="005B68A7"/>
    <w:rsid w:val="005B6AC3"/>
    <w:rsid w:val="005B7FA0"/>
    <w:rsid w:val="005C055E"/>
    <w:rsid w:val="005C0FA1"/>
    <w:rsid w:val="005C1615"/>
    <w:rsid w:val="005C1D98"/>
    <w:rsid w:val="005C1DA5"/>
    <w:rsid w:val="005C2559"/>
    <w:rsid w:val="005C2873"/>
    <w:rsid w:val="005C2BF6"/>
    <w:rsid w:val="005C3210"/>
    <w:rsid w:val="005C34FC"/>
    <w:rsid w:val="005C3B5C"/>
    <w:rsid w:val="005C3B90"/>
    <w:rsid w:val="005C3C7F"/>
    <w:rsid w:val="005C4F61"/>
    <w:rsid w:val="005C5143"/>
    <w:rsid w:val="005C5639"/>
    <w:rsid w:val="005C5742"/>
    <w:rsid w:val="005C760E"/>
    <w:rsid w:val="005C7E9E"/>
    <w:rsid w:val="005D0008"/>
    <w:rsid w:val="005D18C9"/>
    <w:rsid w:val="005D1B72"/>
    <w:rsid w:val="005D2471"/>
    <w:rsid w:val="005D25A3"/>
    <w:rsid w:val="005D2779"/>
    <w:rsid w:val="005D3242"/>
    <w:rsid w:val="005D610C"/>
    <w:rsid w:val="005D66FD"/>
    <w:rsid w:val="005D74E7"/>
    <w:rsid w:val="005D7F7B"/>
    <w:rsid w:val="005E3BCD"/>
    <w:rsid w:val="005E3C08"/>
    <w:rsid w:val="005E4A87"/>
    <w:rsid w:val="005E4DA5"/>
    <w:rsid w:val="005E503E"/>
    <w:rsid w:val="005E59C7"/>
    <w:rsid w:val="005E5C93"/>
    <w:rsid w:val="005E5E7B"/>
    <w:rsid w:val="005E6095"/>
    <w:rsid w:val="005E6A3F"/>
    <w:rsid w:val="005E6DB8"/>
    <w:rsid w:val="005E7228"/>
    <w:rsid w:val="005E7284"/>
    <w:rsid w:val="005E79A3"/>
    <w:rsid w:val="005E7BAC"/>
    <w:rsid w:val="005F0E5C"/>
    <w:rsid w:val="005F134E"/>
    <w:rsid w:val="005F1365"/>
    <w:rsid w:val="005F2C1F"/>
    <w:rsid w:val="005F2E44"/>
    <w:rsid w:val="005F3690"/>
    <w:rsid w:val="005F3986"/>
    <w:rsid w:val="005F3E59"/>
    <w:rsid w:val="005F4C57"/>
    <w:rsid w:val="005F51B5"/>
    <w:rsid w:val="005F6774"/>
    <w:rsid w:val="005F79AA"/>
    <w:rsid w:val="0060020A"/>
    <w:rsid w:val="0060044B"/>
    <w:rsid w:val="006013D7"/>
    <w:rsid w:val="006014DB"/>
    <w:rsid w:val="00601587"/>
    <w:rsid w:val="00601AB7"/>
    <w:rsid w:val="00602079"/>
    <w:rsid w:val="006022F3"/>
    <w:rsid w:val="00602579"/>
    <w:rsid w:val="00602BA4"/>
    <w:rsid w:val="00602DA2"/>
    <w:rsid w:val="00602FF4"/>
    <w:rsid w:val="00603228"/>
    <w:rsid w:val="00604ACD"/>
    <w:rsid w:val="00604C15"/>
    <w:rsid w:val="00604DC2"/>
    <w:rsid w:val="006060C4"/>
    <w:rsid w:val="006065E8"/>
    <w:rsid w:val="00607133"/>
    <w:rsid w:val="00607866"/>
    <w:rsid w:val="00607C35"/>
    <w:rsid w:val="006111CC"/>
    <w:rsid w:val="00611777"/>
    <w:rsid w:val="0061189F"/>
    <w:rsid w:val="0061219B"/>
    <w:rsid w:val="00612D05"/>
    <w:rsid w:val="00613E24"/>
    <w:rsid w:val="00613FB6"/>
    <w:rsid w:val="006140C6"/>
    <w:rsid w:val="00614134"/>
    <w:rsid w:val="00614241"/>
    <w:rsid w:val="0061428D"/>
    <w:rsid w:val="00615411"/>
    <w:rsid w:val="0061599E"/>
    <w:rsid w:val="00615A65"/>
    <w:rsid w:val="00615AC7"/>
    <w:rsid w:val="006162E6"/>
    <w:rsid w:val="006171A5"/>
    <w:rsid w:val="00620309"/>
    <w:rsid w:val="0062159D"/>
    <w:rsid w:val="00621680"/>
    <w:rsid w:val="00621EC5"/>
    <w:rsid w:val="006223E0"/>
    <w:rsid w:val="006224D0"/>
    <w:rsid w:val="00622BCE"/>
    <w:rsid w:val="00622E29"/>
    <w:rsid w:val="00623643"/>
    <w:rsid w:val="00623717"/>
    <w:rsid w:val="00624018"/>
    <w:rsid w:val="006240C4"/>
    <w:rsid w:val="00624822"/>
    <w:rsid w:val="00624B3C"/>
    <w:rsid w:val="00625304"/>
    <w:rsid w:val="0062581B"/>
    <w:rsid w:val="006261F4"/>
    <w:rsid w:val="00626537"/>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B57"/>
    <w:rsid w:val="00643D62"/>
    <w:rsid w:val="0064427F"/>
    <w:rsid w:val="006446D5"/>
    <w:rsid w:val="00644A5E"/>
    <w:rsid w:val="00644A6C"/>
    <w:rsid w:val="00644D69"/>
    <w:rsid w:val="006457A8"/>
    <w:rsid w:val="00645EA0"/>
    <w:rsid w:val="00645F76"/>
    <w:rsid w:val="00646EB0"/>
    <w:rsid w:val="0064714D"/>
    <w:rsid w:val="0064727D"/>
    <w:rsid w:val="00647B32"/>
    <w:rsid w:val="00647C27"/>
    <w:rsid w:val="006502A2"/>
    <w:rsid w:val="006502CC"/>
    <w:rsid w:val="006519E6"/>
    <w:rsid w:val="00651CDE"/>
    <w:rsid w:val="00651FA4"/>
    <w:rsid w:val="00652326"/>
    <w:rsid w:val="006524F6"/>
    <w:rsid w:val="00652907"/>
    <w:rsid w:val="00652E06"/>
    <w:rsid w:val="00653FC4"/>
    <w:rsid w:val="00654C64"/>
    <w:rsid w:val="00654F91"/>
    <w:rsid w:val="00655361"/>
    <w:rsid w:val="00656253"/>
    <w:rsid w:val="00656799"/>
    <w:rsid w:val="00656B77"/>
    <w:rsid w:val="00656E72"/>
    <w:rsid w:val="006578A1"/>
    <w:rsid w:val="0066051A"/>
    <w:rsid w:val="0066137B"/>
    <w:rsid w:val="006615F2"/>
    <w:rsid w:val="0066174E"/>
    <w:rsid w:val="00661BBB"/>
    <w:rsid w:val="00661E57"/>
    <w:rsid w:val="00662412"/>
    <w:rsid w:val="006629E4"/>
    <w:rsid w:val="0066352E"/>
    <w:rsid w:val="00663783"/>
    <w:rsid w:val="00663E47"/>
    <w:rsid w:val="006644A7"/>
    <w:rsid w:val="00664BDE"/>
    <w:rsid w:val="00665127"/>
    <w:rsid w:val="0066565B"/>
    <w:rsid w:val="00665C44"/>
    <w:rsid w:val="00666284"/>
    <w:rsid w:val="00666753"/>
    <w:rsid w:val="006667F3"/>
    <w:rsid w:val="00667AEA"/>
    <w:rsid w:val="00667FC9"/>
    <w:rsid w:val="006704FA"/>
    <w:rsid w:val="00670687"/>
    <w:rsid w:val="006709EC"/>
    <w:rsid w:val="00670DC5"/>
    <w:rsid w:val="00671652"/>
    <w:rsid w:val="00671EE6"/>
    <w:rsid w:val="00671FAA"/>
    <w:rsid w:val="00672F26"/>
    <w:rsid w:val="00673EEF"/>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5E55"/>
    <w:rsid w:val="00686BA6"/>
    <w:rsid w:val="006871D0"/>
    <w:rsid w:val="0068751F"/>
    <w:rsid w:val="006900D1"/>
    <w:rsid w:val="00690297"/>
    <w:rsid w:val="00690634"/>
    <w:rsid w:val="0069115A"/>
    <w:rsid w:val="006912F1"/>
    <w:rsid w:val="00691387"/>
    <w:rsid w:val="0069255C"/>
    <w:rsid w:val="006927F2"/>
    <w:rsid w:val="006931E1"/>
    <w:rsid w:val="00694310"/>
    <w:rsid w:val="00694700"/>
    <w:rsid w:val="00694803"/>
    <w:rsid w:val="00694CE8"/>
    <w:rsid w:val="0069569E"/>
    <w:rsid w:val="006956C6"/>
    <w:rsid w:val="0069670D"/>
    <w:rsid w:val="00696EE3"/>
    <w:rsid w:val="0069715D"/>
    <w:rsid w:val="00697392"/>
    <w:rsid w:val="006973E5"/>
    <w:rsid w:val="00697664"/>
    <w:rsid w:val="00697681"/>
    <w:rsid w:val="0069770C"/>
    <w:rsid w:val="006A08F2"/>
    <w:rsid w:val="006A151A"/>
    <w:rsid w:val="006A1590"/>
    <w:rsid w:val="006A1E62"/>
    <w:rsid w:val="006A29FA"/>
    <w:rsid w:val="006A2A12"/>
    <w:rsid w:val="006A2DA4"/>
    <w:rsid w:val="006A2E9C"/>
    <w:rsid w:val="006A32E1"/>
    <w:rsid w:val="006A35E0"/>
    <w:rsid w:val="006A377F"/>
    <w:rsid w:val="006A384A"/>
    <w:rsid w:val="006A3875"/>
    <w:rsid w:val="006A3D40"/>
    <w:rsid w:val="006A40DB"/>
    <w:rsid w:val="006A561D"/>
    <w:rsid w:val="006A5A0C"/>
    <w:rsid w:val="006A5BA0"/>
    <w:rsid w:val="006A5BB1"/>
    <w:rsid w:val="006A5F88"/>
    <w:rsid w:val="006A79E9"/>
    <w:rsid w:val="006A7AF1"/>
    <w:rsid w:val="006A7D95"/>
    <w:rsid w:val="006B120D"/>
    <w:rsid w:val="006B13C1"/>
    <w:rsid w:val="006B2CC7"/>
    <w:rsid w:val="006B3AF9"/>
    <w:rsid w:val="006B44C5"/>
    <w:rsid w:val="006B5324"/>
    <w:rsid w:val="006B555F"/>
    <w:rsid w:val="006B5AEF"/>
    <w:rsid w:val="006B6242"/>
    <w:rsid w:val="006B690B"/>
    <w:rsid w:val="006B6C7C"/>
    <w:rsid w:val="006B6EA4"/>
    <w:rsid w:val="006B77BB"/>
    <w:rsid w:val="006B7F8F"/>
    <w:rsid w:val="006B7FC5"/>
    <w:rsid w:val="006C0248"/>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AAD"/>
    <w:rsid w:val="006C5CCA"/>
    <w:rsid w:val="006C625F"/>
    <w:rsid w:val="006C78A6"/>
    <w:rsid w:val="006C7AB4"/>
    <w:rsid w:val="006D006B"/>
    <w:rsid w:val="006D0B1A"/>
    <w:rsid w:val="006D105C"/>
    <w:rsid w:val="006D30E7"/>
    <w:rsid w:val="006D3816"/>
    <w:rsid w:val="006D48E7"/>
    <w:rsid w:val="006D491F"/>
    <w:rsid w:val="006D4947"/>
    <w:rsid w:val="006D5F16"/>
    <w:rsid w:val="006D63AD"/>
    <w:rsid w:val="006D6764"/>
    <w:rsid w:val="006D67D9"/>
    <w:rsid w:val="006D6C93"/>
    <w:rsid w:val="006D7573"/>
    <w:rsid w:val="006D76B5"/>
    <w:rsid w:val="006E0340"/>
    <w:rsid w:val="006E06F9"/>
    <w:rsid w:val="006E07A9"/>
    <w:rsid w:val="006E0CA4"/>
    <w:rsid w:val="006E0D91"/>
    <w:rsid w:val="006E1706"/>
    <w:rsid w:val="006E21B2"/>
    <w:rsid w:val="006E3CB2"/>
    <w:rsid w:val="006E3DA8"/>
    <w:rsid w:val="006E4835"/>
    <w:rsid w:val="006E5DAA"/>
    <w:rsid w:val="006E5F97"/>
    <w:rsid w:val="006E7006"/>
    <w:rsid w:val="006E73DA"/>
    <w:rsid w:val="006E7E52"/>
    <w:rsid w:val="006F00E7"/>
    <w:rsid w:val="006F0F6E"/>
    <w:rsid w:val="006F1B22"/>
    <w:rsid w:val="006F1BA4"/>
    <w:rsid w:val="006F1F94"/>
    <w:rsid w:val="006F2259"/>
    <w:rsid w:val="006F23E1"/>
    <w:rsid w:val="006F2F8F"/>
    <w:rsid w:val="006F2FDA"/>
    <w:rsid w:val="006F2FE5"/>
    <w:rsid w:val="006F3460"/>
    <w:rsid w:val="006F34FE"/>
    <w:rsid w:val="006F3615"/>
    <w:rsid w:val="006F3FA3"/>
    <w:rsid w:val="006F48BA"/>
    <w:rsid w:val="006F4AF9"/>
    <w:rsid w:val="006F4F3E"/>
    <w:rsid w:val="006F54EB"/>
    <w:rsid w:val="006F5CC1"/>
    <w:rsid w:val="006F67A5"/>
    <w:rsid w:val="006F762D"/>
    <w:rsid w:val="006F7B52"/>
    <w:rsid w:val="00700134"/>
    <w:rsid w:val="00700492"/>
    <w:rsid w:val="007005C1"/>
    <w:rsid w:val="007009AC"/>
    <w:rsid w:val="0070167E"/>
    <w:rsid w:val="00701E1B"/>
    <w:rsid w:val="00702ED0"/>
    <w:rsid w:val="0070352B"/>
    <w:rsid w:val="00703C09"/>
    <w:rsid w:val="0070434A"/>
    <w:rsid w:val="007048C4"/>
    <w:rsid w:val="00704C04"/>
    <w:rsid w:val="00704CC4"/>
    <w:rsid w:val="00705345"/>
    <w:rsid w:val="0070638D"/>
    <w:rsid w:val="00706DBF"/>
    <w:rsid w:val="00707125"/>
    <w:rsid w:val="00707A59"/>
    <w:rsid w:val="0071046B"/>
    <w:rsid w:val="00710AC6"/>
    <w:rsid w:val="00710C1D"/>
    <w:rsid w:val="00710DA9"/>
    <w:rsid w:val="00710F52"/>
    <w:rsid w:val="007110A3"/>
    <w:rsid w:val="00711108"/>
    <w:rsid w:val="00711213"/>
    <w:rsid w:val="007112A1"/>
    <w:rsid w:val="00711996"/>
    <w:rsid w:val="00711B3B"/>
    <w:rsid w:val="00711BA3"/>
    <w:rsid w:val="00711C35"/>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7D6"/>
    <w:rsid w:val="00720B38"/>
    <w:rsid w:val="00720CA7"/>
    <w:rsid w:val="0072147B"/>
    <w:rsid w:val="0072181E"/>
    <w:rsid w:val="00722267"/>
    <w:rsid w:val="0072285E"/>
    <w:rsid w:val="00722C62"/>
    <w:rsid w:val="0072321F"/>
    <w:rsid w:val="00723295"/>
    <w:rsid w:val="007238E2"/>
    <w:rsid w:val="007239B4"/>
    <w:rsid w:val="00723DEF"/>
    <w:rsid w:val="00724446"/>
    <w:rsid w:val="00724584"/>
    <w:rsid w:val="00724AA1"/>
    <w:rsid w:val="00724D39"/>
    <w:rsid w:val="007259F6"/>
    <w:rsid w:val="00725A19"/>
    <w:rsid w:val="00725B88"/>
    <w:rsid w:val="0072620A"/>
    <w:rsid w:val="00726356"/>
    <w:rsid w:val="007268C7"/>
    <w:rsid w:val="00726AAB"/>
    <w:rsid w:val="00727077"/>
    <w:rsid w:val="00730D2D"/>
    <w:rsid w:val="00730EA6"/>
    <w:rsid w:val="00731C15"/>
    <w:rsid w:val="00732045"/>
    <w:rsid w:val="0073204A"/>
    <w:rsid w:val="007322A0"/>
    <w:rsid w:val="00732C1A"/>
    <w:rsid w:val="00733766"/>
    <w:rsid w:val="00733CDC"/>
    <w:rsid w:val="00734B9A"/>
    <w:rsid w:val="00734CB3"/>
    <w:rsid w:val="00735695"/>
    <w:rsid w:val="007360CB"/>
    <w:rsid w:val="00737566"/>
    <w:rsid w:val="00740519"/>
    <w:rsid w:val="00741BA2"/>
    <w:rsid w:val="00741CF4"/>
    <w:rsid w:val="00741DCC"/>
    <w:rsid w:val="00741DE2"/>
    <w:rsid w:val="007420E6"/>
    <w:rsid w:val="007421A1"/>
    <w:rsid w:val="007427FE"/>
    <w:rsid w:val="00742C2F"/>
    <w:rsid w:val="00742C51"/>
    <w:rsid w:val="00743445"/>
    <w:rsid w:val="007436DC"/>
    <w:rsid w:val="00745E01"/>
    <w:rsid w:val="0074627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825"/>
    <w:rsid w:val="00753A93"/>
    <w:rsid w:val="00753FC4"/>
    <w:rsid w:val="00754E3E"/>
    <w:rsid w:val="00755663"/>
    <w:rsid w:val="00755DA2"/>
    <w:rsid w:val="00756386"/>
    <w:rsid w:val="00756603"/>
    <w:rsid w:val="007575C0"/>
    <w:rsid w:val="00757D2F"/>
    <w:rsid w:val="0076000E"/>
    <w:rsid w:val="00760C00"/>
    <w:rsid w:val="007610E9"/>
    <w:rsid w:val="00761728"/>
    <w:rsid w:val="00761C6C"/>
    <w:rsid w:val="00762B72"/>
    <w:rsid w:val="00762B9F"/>
    <w:rsid w:val="00763CCB"/>
    <w:rsid w:val="00763EDB"/>
    <w:rsid w:val="007642B4"/>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8C3"/>
    <w:rsid w:val="00772C3E"/>
    <w:rsid w:val="007736E8"/>
    <w:rsid w:val="00774400"/>
    <w:rsid w:val="00774851"/>
    <w:rsid w:val="00774ACE"/>
    <w:rsid w:val="00775823"/>
    <w:rsid w:val="00775F57"/>
    <w:rsid w:val="00776584"/>
    <w:rsid w:val="007769EF"/>
    <w:rsid w:val="00776D4F"/>
    <w:rsid w:val="00776DDC"/>
    <w:rsid w:val="007770F9"/>
    <w:rsid w:val="00777179"/>
    <w:rsid w:val="00777945"/>
    <w:rsid w:val="00777D40"/>
    <w:rsid w:val="00780425"/>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3C47"/>
    <w:rsid w:val="00794CBF"/>
    <w:rsid w:val="00795365"/>
    <w:rsid w:val="0079567E"/>
    <w:rsid w:val="007961D5"/>
    <w:rsid w:val="00796A6F"/>
    <w:rsid w:val="00796BE2"/>
    <w:rsid w:val="00796C5D"/>
    <w:rsid w:val="00797B06"/>
    <w:rsid w:val="00797B9C"/>
    <w:rsid w:val="007A0483"/>
    <w:rsid w:val="007A1065"/>
    <w:rsid w:val="007A1468"/>
    <w:rsid w:val="007A1520"/>
    <w:rsid w:val="007A1AF0"/>
    <w:rsid w:val="007A1D86"/>
    <w:rsid w:val="007A2A97"/>
    <w:rsid w:val="007A2CDC"/>
    <w:rsid w:val="007A371B"/>
    <w:rsid w:val="007A3832"/>
    <w:rsid w:val="007A3A0F"/>
    <w:rsid w:val="007A3E60"/>
    <w:rsid w:val="007A407D"/>
    <w:rsid w:val="007A42C3"/>
    <w:rsid w:val="007A464F"/>
    <w:rsid w:val="007A4C7F"/>
    <w:rsid w:val="007A6196"/>
    <w:rsid w:val="007A63D5"/>
    <w:rsid w:val="007A689A"/>
    <w:rsid w:val="007A68EA"/>
    <w:rsid w:val="007A6B7D"/>
    <w:rsid w:val="007A6E68"/>
    <w:rsid w:val="007A7629"/>
    <w:rsid w:val="007B0E9C"/>
    <w:rsid w:val="007B0FB3"/>
    <w:rsid w:val="007B1027"/>
    <w:rsid w:val="007B1691"/>
    <w:rsid w:val="007B174F"/>
    <w:rsid w:val="007B1863"/>
    <w:rsid w:val="007B19F2"/>
    <w:rsid w:val="007B22E0"/>
    <w:rsid w:val="007B28CA"/>
    <w:rsid w:val="007B358D"/>
    <w:rsid w:val="007B4ECF"/>
    <w:rsid w:val="007B5401"/>
    <w:rsid w:val="007B5FB4"/>
    <w:rsid w:val="007B630D"/>
    <w:rsid w:val="007B6B2B"/>
    <w:rsid w:val="007B7949"/>
    <w:rsid w:val="007B7D30"/>
    <w:rsid w:val="007C09E9"/>
    <w:rsid w:val="007C0FA9"/>
    <w:rsid w:val="007C18B5"/>
    <w:rsid w:val="007C2413"/>
    <w:rsid w:val="007C259A"/>
    <w:rsid w:val="007C25AE"/>
    <w:rsid w:val="007C3152"/>
    <w:rsid w:val="007C333B"/>
    <w:rsid w:val="007C38EF"/>
    <w:rsid w:val="007C3914"/>
    <w:rsid w:val="007C3CEA"/>
    <w:rsid w:val="007C3D92"/>
    <w:rsid w:val="007C3E98"/>
    <w:rsid w:val="007C41C8"/>
    <w:rsid w:val="007C4AAF"/>
    <w:rsid w:val="007C5A8F"/>
    <w:rsid w:val="007C5B38"/>
    <w:rsid w:val="007C76E8"/>
    <w:rsid w:val="007D01E6"/>
    <w:rsid w:val="007D035E"/>
    <w:rsid w:val="007D0396"/>
    <w:rsid w:val="007D0644"/>
    <w:rsid w:val="007D09F1"/>
    <w:rsid w:val="007D0E29"/>
    <w:rsid w:val="007D1801"/>
    <w:rsid w:val="007D1FE0"/>
    <w:rsid w:val="007D20BB"/>
    <w:rsid w:val="007D261E"/>
    <w:rsid w:val="007D2F61"/>
    <w:rsid w:val="007D3004"/>
    <w:rsid w:val="007D397A"/>
    <w:rsid w:val="007D3D0E"/>
    <w:rsid w:val="007D3D33"/>
    <w:rsid w:val="007D41C2"/>
    <w:rsid w:val="007D42B9"/>
    <w:rsid w:val="007D4F02"/>
    <w:rsid w:val="007D674C"/>
    <w:rsid w:val="007D6A94"/>
    <w:rsid w:val="007D6B7B"/>
    <w:rsid w:val="007D6CF1"/>
    <w:rsid w:val="007D7131"/>
    <w:rsid w:val="007D7BEC"/>
    <w:rsid w:val="007D7CE3"/>
    <w:rsid w:val="007E051A"/>
    <w:rsid w:val="007E0798"/>
    <w:rsid w:val="007E1B72"/>
    <w:rsid w:val="007E3EE3"/>
    <w:rsid w:val="007E57DE"/>
    <w:rsid w:val="007E5902"/>
    <w:rsid w:val="007E5A51"/>
    <w:rsid w:val="007E6719"/>
    <w:rsid w:val="007E68ED"/>
    <w:rsid w:val="007E69ED"/>
    <w:rsid w:val="007E7B2D"/>
    <w:rsid w:val="007F0221"/>
    <w:rsid w:val="007F034B"/>
    <w:rsid w:val="007F07B9"/>
    <w:rsid w:val="007F0928"/>
    <w:rsid w:val="007F15CE"/>
    <w:rsid w:val="007F1AC5"/>
    <w:rsid w:val="007F1E88"/>
    <w:rsid w:val="007F2CD7"/>
    <w:rsid w:val="007F3568"/>
    <w:rsid w:val="007F422D"/>
    <w:rsid w:val="007F499C"/>
    <w:rsid w:val="007F4DBA"/>
    <w:rsid w:val="007F519C"/>
    <w:rsid w:val="007F534D"/>
    <w:rsid w:val="007F54A2"/>
    <w:rsid w:val="007F54FE"/>
    <w:rsid w:val="007F5535"/>
    <w:rsid w:val="007F5D32"/>
    <w:rsid w:val="007F72DC"/>
    <w:rsid w:val="007F795F"/>
    <w:rsid w:val="0080069C"/>
    <w:rsid w:val="008006FD"/>
    <w:rsid w:val="00800B2C"/>
    <w:rsid w:val="0080148D"/>
    <w:rsid w:val="0080156B"/>
    <w:rsid w:val="00801A3A"/>
    <w:rsid w:val="008038E4"/>
    <w:rsid w:val="00804114"/>
    <w:rsid w:val="00804634"/>
    <w:rsid w:val="008047E8"/>
    <w:rsid w:val="0080531E"/>
    <w:rsid w:val="00805C3D"/>
    <w:rsid w:val="00806F1D"/>
    <w:rsid w:val="008077ED"/>
    <w:rsid w:val="0080785D"/>
    <w:rsid w:val="00807926"/>
    <w:rsid w:val="00807B6F"/>
    <w:rsid w:val="00807E93"/>
    <w:rsid w:val="00810172"/>
    <w:rsid w:val="00810762"/>
    <w:rsid w:val="00810858"/>
    <w:rsid w:val="00810EFF"/>
    <w:rsid w:val="00811314"/>
    <w:rsid w:val="00811A39"/>
    <w:rsid w:val="0081291B"/>
    <w:rsid w:val="00812EF7"/>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977"/>
    <w:rsid w:val="00824A81"/>
    <w:rsid w:val="00825306"/>
    <w:rsid w:val="008257B8"/>
    <w:rsid w:val="00825B3B"/>
    <w:rsid w:val="008260ED"/>
    <w:rsid w:val="0082699D"/>
    <w:rsid w:val="00826BFD"/>
    <w:rsid w:val="00826E6B"/>
    <w:rsid w:val="008275FD"/>
    <w:rsid w:val="00830BA1"/>
    <w:rsid w:val="00830EB2"/>
    <w:rsid w:val="00831652"/>
    <w:rsid w:val="0083202E"/>
    <w:rsid w:val="00832487"/>
    <w:rsid w:val="0083304F"/>
    <w:rsid w:val="008334C9"/>
    <w:rsid w:val="00833FAF"/>
    <w:rsid w:val="00834122"/>
    <w:rsid w:val="008352C5"/>
    <w:rsid w:val="008358A6"/>
    <w:rsid w:val="00835944"/>
    <w:rsid w:val="008359FB"/>
    <w:rsid w:val="00835C56"/>
    <w:rsid w:val="008360FC"/>
    <w:rsid w:val="00836E81"/>
    <w:rsid w:val="008377C1"/>
    <w:rsid w:val="00837C90"/>
    <w:rsid w:val="00837EB1"/>
    <w:rsid w:val="0084042B"/>
    <w:rsid w:val="008409BB"/>
    <w:rsid w:val="00841648"/>
    <w:rsid w:val="0084184A"/>
    <w:rsid w:val="008423F2"/>
    <w:rsid w:val="00842A30"/>
    <w:rsid w:val="00842E68"/>
    <w:rsid w:val="00842EF2"/>
    <w:rsid w:val="00842F71"/>
    <w:rsid w:val="008430D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323"/>
    <w:rsid w:val="00851728"/>
    <w:rsid w:val="00851DFF"/>
    <w:rsid w:val="00852E07"/>
    <w:rsid w:val="00853084"/>
    <w:rsid w:val="00853142"/>
    <w:rsid w:val="008540A6"/>
    <w:rsid w:val="00854420"/>
    <w:rsid w:val="00854481"/>
    <w:rsid w:val="00854E5F"/>
    <w:rsid w:val="008555EF"/>
    <w:rsid w:val="00856525"/>
    <w:rsid w:val="008566C1"/>
    <w:rsid w:val="00856A27"/>
    <w:rsid w:val="00856F00"/>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026"/>
    <w:rsid w:val="008672E2"/>
    <w:rsid w:val="0086793D"/>
    <w:rsid w:val="00867B1C"/>
    <w:rsid w:val="00870095"/>
    <w:rsid w:val="0087071B"/>
    <w:rsid w:val="008713D6"/>
    <w:rsid w:val="00871643"/>
    <w:rsid w:val="0087281D"/>
    <w:rsid w:val="008732D8"/>
    <w:rsid w:val="00873377"/>
    <w:rsid w:val="008733FD"/>
    <w:rsid w:val="00873523"/>
    <w:rsid w:val="00873577"/>
    <w:rsid w:val="0087409F"/>
    <w:rsid w:val="008746D3"/>
    <w:rsid w:val="00874D58"/>
    <w:rsid w:val="008750D2"/>
    <w:rsid w:val="00875AB5"/>
    <w:rsid w:val="00875C91"/>
    <w:rsid w:val="00875F85"/>
    <w:rsid w:val="00876C6B"/>
    <w:rsid w:val="00876DC9"/>
    <w:rsid w:val="00877125"/>
    <w:rsid w:val="008777C2"/>
    <w:rsid w:val="00881511"/>
    <w:rsid w:val="00882448"/>
    <w:rsid w:val="00882DF8"/>
    <w:rsid w:val="00882E0E"/>
    <w:rsid w:val="00882F1D"/>
    <w:rsid w:val="00883A4D"/>
    <w:rsid w:val="00883B21"/>
    <w:rsid w:val="00883F8F"/>
    <w:rsid w:val="00884235"/>
    <w:rsid w:val="00885285"/>
    <w:rsid w:val="00885985"/>
    <w:rsid w:val="00885E63"/>
    <w:rsid w:val="00885FF4"/>
    <w:rsid w:val="00886699"/>
    <w:rsid w:val="0088709A"/>
    <w:rsid w:val="00890B13"/>
    <w:rsid w:val="00891114"/>
    <w:rsid w:val="0089199F"/>
    <w:rsid w:val="00891C32"/>
    <w:rsid w:val="00891D7F"/>
    <w:rsid w:val="008921AE"/>
    <w:rsid w:val="00892265"/>
    <w:rsid w:val="0089233E"/>
    <w:rsid w:val="0089330E"/>
    <w:rsid w:val="00893A8E"/>
    <w:rsid w:val="00893E27"/>
    <w:rsid w:val="008945F7"/>
    <w:rsid w:val="0089463D"/>
    <w:rsid w:val="0089554F"/>
    <w:rsid w:val="008955E6"/>
    <w:rsid w:val="00895986"/>
    <w:rsid w:val="00895B5F"/>
    <w:rsid w:val="00896192"/>
    <w:rsid w:val="0089637C"/>
    <w:rsid w:val="008963CA"/>
    <w:rsid w:val="00896712"/>
    <w:rsid w:val="00896870"/>
    <w:rsid w:val="008969BD"/>
    <w:rsid w:val="008A0DFF"/>
    <w:rsid w:val="008A13BD"/>
    <w:rsid w:val="008A1596"/>
    <w:rsid w:val="008A19A4"/>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5D81"/>
    <w:rsid w:val="008A720F"/>
    <w:rsid w:val="008A7498"/>
    <w:rsid w:val="008A7C72"/>
    <w:rsid w:val="008B04F2"/>
    <w:rsid w:val="008B0D0E"/>
    <w:rsid w:val="008B12BB"/>
    <w:rsid w:val="008B1411"/>
    <w:rsid w:val="008B17A2"/>
    <w:rsid w:val="008B19C0"/>
    <w:rsid w:val="008B25F2"/>
    <w:rsid w:val="008B2643"/>
    <w:rsid w:val="008B2E5E"/>
    <w:rsid w:val="008B2FAE"/>
    <w:rsid w:val="008B3317"/>
    <w:rsid w:val="008B3AEE"/>
    <w:rsid w:val="008B3DFD"/>
    <w:rsid w:val="008B414B"/>
    <w:rsid w:val="008B4173"/>
    <w:rsid w:val="008B49D5"/>
    <w:rsid w:val="008B4E0E"/>
    <w:rsid w:val="008B4FB9"/>
    <w:rsid w:val="008B50C4"/>
    <w:rsid w:val="008B5715"/>
    <w:rsid w:val="008B5A2D"/>
    <w:rsid w:val="008B5BC2"/>
    <w:rsid w:val="008B5DCB"/>
    <w:rsid w:val="008B5E54"/>
    <w:rsid w:val="008B60BB"/>
    <w:rsid w:val="008B657C"/>
    <w:rsid w:val="008B6732"/>
    <w:rsid w:val="008B6850"/>
    <w:rsid w:val="008B68EC"/>
    <w:rsid w:val="008B711E"/>
    <w:rsid w:val="008C042F"/>
    <w:rsid w:val="008C057B"/>
    <w:rsid w:val="008C0CAC"/>
    <w:rsid w:val="008C13B4"/>
    <w:rsid w:val="008C1557"/>
    <w:rsid w:val="008C1B8C"/>
    <w:rsid w:val="008C223C"/>
    <w:rsid w:val="008C2306"/>
    <w:rsid w:val="008C26D1"/>
    <w:rsid w:val="008C2B7F"/>
    <w:rsid w:val="008C36AC"/>
    <w:rsid w:val="008C4953"/>
    <w:rsid w:val="008C4E44"/>
    <w:rsid w:val="008C6255"/>
    <w:rsid w:val="008C684B"/>
    <w:rsid w:val="008C6ABD"/>
    <w:rsid w:val="008C6F18"/>
    <w:rsid w:val="008C7685"/>
    <w:rsid w:val="008C7C32"/>
    <w:rsid w:val="008D007A"/>
    <w:rsid w:val="008D07DE"/>
    <w:rsid w:val="008D0831"/>
    <w:rsid w:val="008D0E40"/>
    <w:rsid w:val="008D1077"/>
    <w:rsid w:val="008D1E7F"/>
    <w:rsid w:val="008D2367"/>
    <w:rsid w:val="008D427A"/>
    <w:rsid w:val="008D4DD5"/>
    <w:rsid w:val="008D5657"/>
    <w:rsid w:val="008D6752"/>
    <w:rsid w:val="008D69E7"/>
    <w:rsid w:val="008D6FC1"/>
    <w:rsid w:val="008D7359"/>
    <w:rsid w:val="008E0140"/>
    <w:rsid w:val="008E0688"/>
    <w:rsid w:val="008E0BEF"/>
    <w:rsid w:val="008E0DE7"/>
    <w:rsid w:val="008E103C"/>
    <w:rsid w:val="008E266D"/>
    <w:rsid w:val="008E2F0C"/>
    <w:rsid w:val="008E3E23"/>
    <w:rsid w:val="008E4CDA"/>
    <w:rsid w:val="008E547B"/>
    <w:rsid w:val="008E5DF8"/>
    <w:rsid w:val="008E6EC6"/>
    <w:rsid w:val="008E7A1D"/>
    <w:rsid w:val="008E7C93"/>
    <w:rsid w:val="008F0168"/>
    <w:rsid w:val="008F0250"/>
    <w:rsid w:val="008F03B0"/>
    <w:rsid w:val="008F11F4"/>
    <w:rsid w:val="008F1952"/>
    <w:rsid w:val="008F254D"/>
    <w:rsid w:val="008F310B"/>
    <w:rsid w:val="008F322B"/>
    <w:rsid w:val="008F34CB"/>
    <w:rsid w:val="008F3519"/>
    <w:rsid w:val="008F3958"/>
    <w:rsid w:val="008F3AD3"/>
    <w:rsid w:val="008F3CA7"/>
    <w:rsid w:val="008F3E8B"/>
    <w:rsid w:val="008F443F"/>
    <w:rsid w:val="008F5DE5"/>
    <w:rsid w:val="008F5E42"/>
    <w:rsid w:val="008F63B1"/>
    <w:rsid w:val="008F6665"/>
    <w:rsid w:val="008F6973"/>
    <w:rsid w:val="008F6E6A"/>
    <w:rsid w:val="008F75E0"/>
    <w:rsid w:val="008F7AA7"/>
    <w:rsid w:val="008F7F94"/>
    <w:rsid w:val="00900947"/>
    <w:rsid w:val="00900EB8"/>
    <w:rsid w:val="00900FBA"/>
    <w:rsid w:val="009024A3"/>
    <w:rsid w:val="00902E5B"/>
    <w:rsid w:val="00903FD9"/>
    <w:rsid w:val="0090449F"/>
    <w:rsid w:val="00904CF5"/>
    <w:rsid w:val="00905259"/>
    <w:rsid w:val="0090556C"/>
    <w:rsid w:val="00905633"/>
    <w:rsid w:val="00905EAE"/>
    <w:rsid w:val="009060C4"/>
    <w:rsid w:val="0090627E"/>
    <w:rsid w:val="00906C91"/>
    <w:rsid w:val="00906C95"/>
    <w:rsid w:val="00907656"/>
    <w:rsid w:val="00907E47"/>
    <w:rsid w:val="009115EF"/>
    <w:rsid w:val="009116DD"/>
    <w:rsid w:val="00912D1C"/>
    <w:rsid w:val="00913019"/>
    <w:rsid w:val="00913BEC"/>
    <w:rsid w:val="00913F1E"/>
    <w:rsid w:val="00913FB2"/>
    <w:rsid w:val="009140C4"/>
    <w:rsid w:val="009144A9"/>
    <w:rsid w:val="0091468B"/>
    <w:rsid w:val="0091526F"/>
    <w:rsid w:val="009153D2"/>
    <w:rsid w:val="00915DDC"/>
    <w:rsid w:val="00916286"/>
    <w:rsid w:val="00916595"/>
    <w:rsid w:val="00916C47"/>
    <w:rsid w:val="009171AD"/>
    <w:rsid w:val="00917569"/>
    <w:rsid w:val="00920174"/>
    <w:rsid w:val="0092050F"/>
    <w:rsid w:val="009219D2"/>
    <w:rsid w:val="00921A4E"/>
    <w:rsid w:val="00921C95"/>
    <w:rsid w:val="00921D3E"/>
    <w:rsid w:val="00921E37"/>
    <w:rsid w:val="00922511"/>
    <w:rsid w:val="00922F07"/>
    <w:rsid w:val="00923463"/>
    <w:rsid w:val="00924373"/>
    <w:rsid w:val="00925238"/>
    <w:rsid w:val="00925ACF"/>
    <w:rsid w:val="0092615D"/>
    <w:rsid w:val="00926546"/>
    <w:rsid w:val="009265A1"/>
    <w:rsid w:val="0092663D"/>
    <w:rsid w:val="00927700"/>
    <w:rsid w:val="0093036E"/>
    <w:rsid w:val="00931224"/>
    <w:rsid w:val="0093264C"/>
    <w:rsid w:val="009333D3"/>
    <w:rsid w:val="009339B6"/>
    <w:rsid w:val="00933B4C"/>
    <w:rsid w:val="00933DC4"/>
    <w:rsid w:val="0093431B"/>
    <w:rsid w:val="009346D6"/>
    <w:rsid w:val="00934743"/>
    <w:rsid w:val="0093487E"/>
    <w:rsid w:val="00934FFE"/>
    <w:rsid w:val="00936405"/>
    <w:rsid w:val="00936B64"/>
    <w:rsid w:val="009379C4"/>
    <w:rsid w:val="00937B39"/>
    <w:rsid w:val="0094041A"/>
    <w:rsid w:val="00940D32"/>
    <w:rsid w:val="0094190D"/>
    <w:rsid w:val="00942354"/>
    <w:rsid w:val="00942681"/>
    <w:rsid w:val="00943645"/>
    <w:rsid w:val="00943A7E"/>
    <w:rsid w:val="00943E42"/>
    <w:rsid w:val="00943E5D"/>
    <w:rsid w:val="00944728"/>
    <w:rsid w:val="009453E8"/>
    <w:rsid w:val="00945664"/>
    <w:rsid w:val="00945AD1"/>
    <w:rsid w:val="00946213"/>
    <w:rsid w:val="00946ECB"/>
    <w:rsid w:val="00947268"/>
    <w:rsid w:val="0094750E"/>
    <w:rsid w:val="00947C94"/>
    <w:rsid w:val="009507C8"/>
    <w:rsid w:val="0095115E"/>
    <w:rsid w:val="0095118A"/>
    <w:rsid w:val="00952468"/>
    <w:rsid w:val="00952B54"/>
    <w:rsid w:val="00953CF8"/>
    <w:rsid w:val="00954767"/>
    <w:rsid w:val="0095487A"/>
    <w:rsid w:val="009548FB"/>
    <w:rsid w:val="0095538B"/>
    <w:rsid w:val="00957AF7"/>
    <w:rsid w:val="00960ACA"/>
    <w:rsid w:val="00960C4F"/>
    <w:rsid w:val="00961A28"/>
    <w:rsid w:val="00961C82"/>
    <w:rsid w:val="0096217C"/>
    <w:rsid w:val="00962441"/>
    <w:rsid w:val="009627FD"/>
    <w:rsid w:val="00963277"/>
    <w:rsid w:val="009640CE"/>
    <w:rsid w:val="00964B53"/>
    <w:rsid w:val="00964C3F"/>
    <w:rsid w:val="00964C6C"/>
    <w:rsid w:val="00965176"/>
    <w:rsid w:val="00965240"/>
    <w:rsid w:val="00965847"/>
    <w:rsid w:val="00965A3E"/>
    <w:rsid w:val="00965C48"/>
    <w:rsid w:val="009660AD"/>
    <w:rsid w:val="00966D9D"/>
    <w:rsid w:val="00966E4A"/>
    <w:rsid w:val="00967041"/>
    <w:rsid w:val="00967612"/>
    <w:rsid w:val="00970918"/>
    <w:rsid w:val="0097099E"/>
    <w:rsid w:val="00970CFB"/>
    <w:rsid w:val="0097137F"/>
    <w:rsid w:val="00971761"/>
    <w:rsid w:val="0097216F"/>
    <w:rsid w:val="009724EE"/>
    <w:rsid w:val="00972C3B"/>
    <w:rsid w:val="00973057"/>
    <w:rsid w:val="009734B2"/>
    <w:rsid w:val="00974403"/>
    <w:rsid w:val="0097456B"/>
    <w:rsid w:val="00974D50"/>
    <w:rsid w:val="009751AF"/>
    <w:rsid w:val="00975326"/>
    <w:rsid w:val="00975DEA"/>
    <w:rsid w:val="009766E0"/>
    <w:rsid w:val="00977CDF"/>
    <w:rsid w:val="0098043F"/>
    <w:rsid w:val="00981038"/>
    <w:rsid w:val="0098106E"/>
    <w:rsid w:val="00981511"/>
    <w:rsid w:val="00981D1C"/>
    <w:rsid w:val="00981E1C"/>
    <w:rsid w:val="00982118"/>
    <w:rsid w:val="00982C62"/>
    <w:rsid w:val="00982C91"/>
    <w:rsid w:val="00982F76"/>
    <w:rsid w:val="00982FA3"/>
    <w:rsid w:val="0098387E"/>
    <w:rsid w:val="009840FD"/>
    <w:rsid w:val="00984701"/>
    <w:rsid w:val="00984847"/>
    <w:rsid w:val="009849E8"/>
    <w:rsid w:val="00984BEC"/>
    <w:rsid w:val="00984FBF"/>
    <w:rsid w:val="00985EB8"/>
    <w:rsid w:val="00985FB3"/>
    <w:rsid w:val="00986566"/>
    <w:rsid w:val="00986CC1"/>
    <w:rsid w:val="00986F4E"/>
    <w:rsid w:val="00987191"/>
    <w:rsid w:val="00987A5A"/>
    <w:rsid w:val="00987CB4"/>
    <w:rsid w:val="00987F0B"/>
    <w:rsid w:val="0099097E"/>
    <w:rsid w:val="00991B9C"/>
    <w:rsid w:val="00991EE2"/>
    <w:rsid w:val="009921FC"/>
    <w:rsid w:val="009926D9"/>
    <w:rsid w:val="0099272B"/>
    <w:rsid w:val="00992A0E"/>
    <w:rsid w:val="0099399E"/>
    <w:rsid w:val="0099413C"/>
    <w:rsid w:val="00994230"/>
    <w:rsid w:val="0099479E"/>
    <w:rsid w:val="009951D8"/>
    <w:rsid w:val="00995355"/>
    <w:rsid w:val="009956CD"/>
    <w:rsid w:val="0099586F"/>
    <w:rsid w:val="0099619C"/>
    <w:rsid w:val="009965B6"/>
    <w:rsid w:val="00996CB5"/>
    <w:rsid w:val="0099719E"/>
    <w:rsid w:val="00997869"/>
    <w:rsid w:val="009A0169"/>
    <w:rsid w:val="009A0F54"/>
    <w:rsid w:val="009A1B56"/>
    <w:rsid w:val="009A2035"/>
    <w:rsid w:val="009A2A8A"/>
    <w:rsid w:val="009A3C93"/>
    <w:rsid w:val="009A3FD0"/>
    <w:rsid w:val="009A47B9"/>
    <w:rsid w:val="009A4FC8"/>
    <w:rsid w:val="009A51C7"/>
    <w:rsid w:val="009A59EC"/>
    <w:rsid w:val="009A5C56"/>
    <w:rsid w:val="009A5CA8"/>
    <w:rsid w:val="009A6ED0"/>
    <w:rsid w:val="009A706A"/>
    <w:rsid w:val="009A71AB"/>
    <w:rsid w:val="009A7745"/>
    <w:rsid w:val="009A78F9"/>
    <w:rsid w:val="009A7C3D"/>
    <w:rsid w:val="009B0156"/>
    <w:rsid w:val="009B0295"/>
    <w:rsid w:val="009B05BA"/>
    <w:rsid w:val="009B18E6"/>
    <w:rsid w:val="009B1B0E"/>
    <w:rsid w:val="009B2596"/>
    <w:rsid w:val="009B42B6"/>
    <w:rsid w:val="009B42CC"/>
    <w:rsid w:val="009B43D6"/>
    <w:rsid w:val="009B5081"/>
    <w:rsid w:val="009B5BB9"/>
    <w:rsid w:val="009B6985"/>
    <w:rsid w:val="009B69B3"/>
    <w:rsid w:val="009B7011"/>
    <w:rsid w:val="009B71E4"/>
    <w:rsid w:val="009B785C"/>
    <w:rsid w:val="009C04EE"/>
    <w:rsid w:val="009C0CD4"/>
    <w:rsid w:val="009C15E7"/>
    <w:rsid w:val="009C1721"/>
    <w:rsid w:val="009C17C8"/>
    <w:rsid w:val="009C249E"/>
    <w:rsid w:val="009C385B"/>
    <w:rsid w:val="009C3E3C"/>
    <w:rsid w:val="009C4353"/>
    <w:rsid w:val="009C46A2"/>
    <w:rsid w:val="009C49C2"/>
    <w:rsid w:val="009C4E2D"/>
    <w:rsid w:val="009C62C0"/>
    <w:rsid w:val="009C6A88"/>
    <w:rsid w:val="009C765D"/>
    <w:rsid w:val="009C7728"/>
    <w:rsid w:val="009C7ADA"/>
    <w:rsid w:val="009D000A"/>
    <w:rsid w:val="009D1A86"/>
    <w:rsid w:val="009D1E12"/>
    <w:rsid w:val="009D23C2"/>
    <w:rsid w:val="009D2DA9"/>
    <w:rsid w:val="009D2E93"/>
    <w:rsid w:val="009D2EA9"/>
    <w:rsid w:val="009D3038"/>
    <w:rsid w:val="009D34C0"/>
    <w:rsid w:val="009D35FB"/>
    <w:rsid w:val="009D4BBE"/>
    <w:rsid w:val="009D4E16"/>
    <w:rsid w:val="009D5893"/>
    <w:rsid w:val="009D59AF"/>
    <w:rsid w:val="009D6620"/>
    <w:rsid w:val="009D6C54"/>
    <w:rsid w:val="009D72B0"/>
    <w:rsid w:val="009D7729"/>
    <w:rsid w:val="009D77CE"/>
    <w:rsid w:val="009D7CDC"/>
    <w:rsid w:val="009D7DE3"/>
    <w:rsid w:val="009E004A"/>
    <w:rsid w:val="009E066B"/>
    <w:rsid w:val="009E128F"/>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772"/>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108"/>
    <w:rsid w:val="00A04429"/>
    <w:rsid w:val="00A0471B"/>
    <w:rsid w:val="00A05B3F"/>
    <w:rsid w:val="00A05EF1"/>
    <w:rsid w:val="00A06446"/>
    <w:rsid w:val="00A06697"/>
    <w:rsid w:val="00A06C40"/>
    <w:rsid w:val="00A06EDB"/>
    <w:rsid w:val="00A10586"/>
    <w:rsid w:val="00A10A48"/>
    <w:rsid w:val="00A10B77"/>
    <w:rsid w:val="00A110DA"/>
    <w:rsid w:val="00A1132B"/>
    <w:rsid w:val="00A11930"/>
    <w:rsid w:val="00A11B54"/>
    <w:rsid w:val="00A11C82"/>
    <w:rsid w:val="00A11CDC"/>
    <w:rsid w:val="00A121C5"/>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0EBC"/>
    <w:rsid w:val="00A216BC"/>
    <w:rsid w:val="00A21A4A"/>
    <w:rsid w:val="00A23069"/>
    <w:rsid w:val="00A23320"/>
    <w:rsid w:val="00A23931"/>
    <w:rsid w:val="00A23FD6"/>
    <w:rsid w:val="00A25317"/>
    <w:rsid w:val="00A254C4"/>
    <w:rsid w:val="00A25706"/>
    <w:rsid w:val="00A25ABD"/>
    <w:rsid w:val="00A25D84"/>
    <w:rsid w:val="00A26029"/>
    <w:rsid w:val="00A262E4"/>
    <w:rsid w:val="00A268EA"/>
    <w:rsid w:val="00A26C88"/>
    <w:rsid w:val="00A27701"/>
    <w:rsid w:val="00A31CE0"/>
    <w:rsid w:val="00A31FA9"/>
    <w:rsid w:val="00A333BF"/>
    <w:rsid w:val="00A33825"/>
    <w:rsid w:val="00A3398F"/>
    <w:rsid w:val="00A35583"/>
    <w:rsid w:val="00A363EF"/>
    <w:rsid w:val="00A36A4B"/>
    <w:rsid w:val="00A36DFE"/>
    <w:rsid w:val="00A370FD"/>
    <w:rsid w:val="00A3798C"/>
    <w:rsid w:val="00A37DD9"/>
    <w:rsid w:val="00A40ED7"/>
    <w:rsid w:val="00A40F83"/>
    <w:rsid w:val="00A412BA"/>
    <w:rsid w:val="00A41416"/>
    <w:rsid w:val="00A418ED"/>
    <w:rsid w:val="00A4200D"/>
    <w:rsid w:val="00A424BF"/>
    <w:rsid w:val="00A4258E"/>
    <w:rsid w:val="00A432D1"/>
    <w:rsid w:val="00A43716"/>
    <w:rsid w:val="00A437C7"/>
    <w:rsid w:val="00A442C5"/>
    <w:rsid w:val="00A44712"/>
    <w:rsid w:val="00A44AF5"/>
    <w:rsid w:val="00A44B8B"/>
    <w:rsid w:val="00A45EC4"/>
    <w:rsid w:val="00A47212"/>
    <w:rsid w:val="00A474EA"/>
    <w:rsid w:val="00A501B2"/>
    <w:rsid w:val="00A5034A"/>
    <w:rsid w:val="00A50FFA"/>
    <w:rsid w:val="00A539D1"/>
    <w:rsid w:val="00A54DAE"/>
    <w:rsid w:val="00A5626E"/>
    <w:rsid w:val="00A56D32"/>
    <w:rsid w:val="00A56D3B"/>
    <w:rsid w:val="00A57450"/>
    <w:rsid w:val="00A57479"/>
    <w:rsid w:val="00A57C08"/>
    <w:rsid w:val="00A600D9"/>
    <w:rsid w:val="00A604CD"/>
    <w:rsid w:val="00A605EF"/>
    <w:rsid w:val="00A60C35"/>
    <w:rsid w:val="00A61157"/>
    <w:rsid w:val="00A63228"/>
    <w:rsid w:val="00A637A0"/>
    <w:rsid w:val="00A63ECD"/>
    <w:rsid w:val="00A64093"/>
    <w:rsid w:val="00A640EB"/>
    <w:rsid w:val="00A64815"/>
    <w:rsid w:val="00A65043"/>
    <w:rsid w:val="00A66D07"/>
    <w:rsid w:val="00A66DF9"/>
    <w:rsid w:val="00A704E4"/>
    <w:rsid w:val="00A706F7"/>
    <w:rsid w:val="00A7136A"/>
    <w:rsid w:val="00A71C44"/>
    <w:rsid w:val="00A72296"/>
    <w:rsid w:val="00A72631"/>
    <w:rsid w:val="00A7388E"/>
    <w:rsid w:val="00A74544"/>
    <w:rsid w:val="00A74548"/>
    <w:rsid w:val="00A74DF2"/>
    <w:rsid w:val="00A74E4D"/>
    <w:rsid w:val="00A7592E"/>
    <w:rsid w:val="00A76C1F"/>
    <w:rsid w:val="00A77CB6"/>
    <w:rsid w:val="00A803FC"/>
    <w:rsid w:val="00A8071A"/>
    <w:rsid w:val="00A80DD9"/>
    <w:rsid w:val="00A80FCA"/>
    <w:rsid w:val="00A81CBC"/>
    <w:rsid w:val="00A81DE0"/>
    <w:rsid w:val="00A82506"/>
    <w:rsid w:val="00A837CE"/>
    <w:rsid w:val="00A83DB5"/>
    <w:rsid w:val="00A83FBA"/>
    <w:rsid w:val="00A84636"/>
    <w:rsid w:val="00A84FE1"/>
    <w:rsid w:val="00A85080"/>
    <w:rsid w:val="00A85337"/>
    <w:rsid w:val="00A85A7A"/>
    <w:rsid w:val="00A8626D"/>
    <w:rsid w:val="00A86406"/>
    <w:rsid w:val="00A86853"/>
    <w:rsid w:val="00A86B75"/>
    <w:rsid w:val="00A86E75"/>
    <w:rsid w:val="00A86F33"/>
    <w:rsid w:val="00A9065F"/>
    <w:rsid w:val="00A90B0E"/>
    <w:rsid w:val="00A91AA1"/>
    <w:rsid w:val="00A91C8C"/>
    <w:rsid w:val="00A91F0D"/>
    <w:rsid w:val="00A9226D"/>
    <w:rsid w:val="00A9235A"/>
    <w:rsid w:val="00A92A05"/>
    <w:rsid w:val="00A92FF7"/>
    <w:rsid w:val="00A93069"/>
    <w:rsid w:val="00A936E6"/>
    <w:rsid w:val="00A9468F"/>
    <w:rsid w:val="00A9498D"/>
    <w:rsid w:val="00A95335"/>
    <w:rsid w:val="00A9566B"/>
    <w:rsid w:val="00A9657F"/>
    <w:rsid w:val="00A9660F"/>
    <w:rsid w:val="00A971BC"/>
    <w:rsid w:val="00A9797D"/>
    <w:rsid w:val="00AA015F"/>
    <w:rsid w:val="00AA0C3A"/>
    <w:rsid w:val="00AA1723"/>
    <w:rsid w:val="00AA190D"/>
    <w:rsid w:val="00AA1FDD"/>
    <w:rsid w:val="00AA22C3"/>
    <w:rsid w:val="00AA230D"/>
    <w:rsid w:val="00AA252D"/>
    <w:rsid w:val="00AA2930"/>
    <w:rsid w:val="00AA44C1"/>
    <w:rsid w:val="00AA4941"/>
    <w:rsid w:val="00AA49E9"/>
    <w:rsid w:val="00AA4BCA"/>
    <w:rsid w:val="00AA5475"/>
    <w:rsid w:val="00AA5876"/>
    <w:rsid w:val="00AA6A8A"/>
    <w:rsid w:val="00AA6DD8"/>
    <w:rsid w:val="00AA6FA3"/>
    <w:rsid w:val="00AA6FA6"/>
    <w:rsid w:val="00AA70BB"/>
    <w:rsid w:val="00AA757C"/>
    <w:rsid w:val="00AA7EEA"/>
    <w:rsid w:val="00AA7F10"/>
    <w:rsid w:val="00AB01A0"/>
    <w:rsid w:val="00AB0391"/>
    <w:rsid w:val="00AB1930"/>
    <w:rsid w:val="00AB2151"/>
    <w:rsid w:val="00AB2C59"/>
    <w:rsid w:val="00AB2C8A"/>
    <w:rsid w:val="00AB3E36"/>
    <w:rsid w:val="00AB42B6"/>
    <w:rsid w:val="00AB4526"/>
    <w:rsid w:val="00AB4D67"/>
    <w:rsid w:val="00AB545D"/>
    <w:rsid w:val="00AB5497"/>
    <w:rsid w:val="00AB54D7"/>
    <w:rsid w:val="00AB57D3"/>
    <w:rsid w:val="00AB61BA"/>
    <w:rsid w:val="00AB6886"/>
    <w:rsid w:val="00AB694E"/>
    <w:rsid w:val="00AB6AE4"/>
    <w:rsid w:val="00AB6E00"/>
    <w:rsid w:val="00AB6F37"/>
    <w:rsid w:val="00AB769E"/>
    <w:rsid w:val="00AB7D55"/>
    <w:rsid w:val="00AC0681"/>
    <w:rsid w:val="00AC109B"/>
    <w:rsid w:val="00AC154B"/>
    <w:rsid w:val="00AC1B72"/>
    <w:rsid w:val="00AC26FE"/>
    <w:rsid w:val="00AC2D4B"/>
    <w:rsid w:val="00AC350D"/>
    <w:rsid w:val="00AC3568"/>
    <w:rsid w:val="00AC3CF2"/>
    <w:rsid w:val="00AC47EC"/>
    <w:rsid w:val="00AC4E5D"/>
    <w:rsid w:val="00AC64EA"/>
    <w:rsid w:val="00AC6C53"/>
    <w:rsid w:val="00AC6E85"/>
    <w:rsid w:val="00AC7284"/>
    <w:rsid w:val="00AC7BF1"/>
    <w:rsid w:val="00AC7CE6"/>
    <w:rsid w:val="00AC7EF6"/>
    <w:rsid w:val="00AD0828"/>
    <w:rsid w:val="00AD0B13"/>
    <w:rsid w:val="00AD0E69"/>
    <w:rsid w:val="00AD103D"/>
    <w:rsid w:val="00AD159C"/>
    <w:rsid w:val="00AD17FA"/>
    <w:rsid w:val="00AD19EC"/>
    <w:rsid w:val="00AD1B9B"/>
    <w:rsid w:val="00AD2717"/>
    <w:rsid w:val="00AD3DC4"/>
    <w:rsid w:val="00AD3FCF"/>
    <w:rsid w:val="00AD42EE"/>
    <w:rsid w:val="00AD4FF4"/>
    <w:rsid w:val="00AD531D"/>
    <w:rsid w:val="00AD600C"/>
    <w:rsid w:val="00AD63D6"/>
    <w:rsid w:val="00AD6CD5"/>
    <w:rsid w:val="00AD733B"/>
    <w:rsid w:val="00AD7449"/>
    <w:rsid w:val="00AD7CA7"/>
    <w:rsid w:val="00AD7CF4"/>
    <w:rsid w:val="00AE0040"/>
    <w:rsid w:val="00AE0D9A"/>
    <w:rsid w:val="00AE184D"/>
    <w:rsid w:val="00AE1C03"/>
    <w:rsid w:val="00AE23E3"/>
    <w:rsid w:val="00AE2C2D"/>
    <w:rsid w:val="00AE2F65"/>
    <w:rsid w:val="00AE317E"/>
    <w:rsid w:val="00AE35A5"/>
    <w:rsid w:val="00AE4051"/>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4E1A"/>
    <w:rsid w:val="00AF548B"/>
    <w:rsid w:val="00AF55E0"/>
    <w:rsid w:val="00AF5666"/>
    <w:rsid w:val="00AF5870"/>
    <w:rsid w:val="00AF6452"/>
    <w:rsid w:val="00AF6619"/>
    <w:rsid w:val="00AF66AD"/>
    <w:rsid w:val="00AF6CF4"/>
    <w:rsid w:val="00AF6CFD"/>
    <w:rsid w:val="00AF7505"/>
    <w:rsid w:val="00AF7BF1"/>
    <w:rsid w:val="00AF7DC1"/>
    <w:rsid w:val="00B000AE"/>
    <w:rsid w:val="00B0040B"/>
    <w:rsid w:val="00B00830"/>
    <w:rsid w:val="00B00AB5"/>
    <w:rsid w:val="00B00C36"/>
    <w:rsid w:val="00B00CC0"/>
    <w:rsid w:val="00B00F5C"/>
    <w:rsid w:val="00B019C1"/>
    <w:rsid w:val="00B0236E"/>
    <w:rsid w:val="00B02506"/>
    <w:rsid w:val="00B02ACE"/>
    <w:rsid w:val="00B02CC9"/>
    <w:rsid w:val="00B03913"/>
    <w:rsid w:val="00B03EC9"/>
    <w:rsid w:val="00B04CEA"/>
    <w:rsid w:val="00B05607"/>
    <w:rsid w:val="00B05A08"/>
    <w:rsid w:val="00B05A88"/>
    <w:rsid w:val="00B05B64"/>
    <w:rsid w:val="00B05F14"/>
    <w:rsid w:val="00B06737"/>
    <w:rsid w:val="00B0784C"/>
    <w:rsid w:val="00B07CE9"/>
    <w:rsid w:val="00B101D5"/>
    <w:rsid w:val="00B103C6"/>
    <w:rsid w:val="00B10633"/>
    <w:rsid w:val="00B10948"/>
    <w:rsid w:val="00B10B08"/>
    <w:rsid w:val="00B11A78"/>
    <w:rsid w:val="00B11CFB"/>
    <w:rsid w:val="00B12111"/>
    <w:rsid w:val="00B13E18"/>
    <w:rsid w:val="00B14109"/>
    <w:rsid w:val="00B14410"/>
    <w:rsid w:val="00B1485C"/>
    <w:rsid w:val="00B1486D"/>
    <w:rsid w:val="00B150D6"/>
    <w:rsid w:val="00B15373"/>
    <w:rsid w:val="00B15639"/>
    <w:rsid w:val="00B15D15"/>
    <w:rsid w:val="00B15E42"/>
    <w:rsid w:val="00B15EEE"/>
    <w:rsid w:val="00B16198"/>
    <w:rsid w:val="00B16A2C"/>
    <w:rsid w:val="00B16FB6"/>
    <w:rsid w:val="00B17022"/>
    <w:rsid w:val="00B1745B"/>
    <w:rsid w:val="00B21736"/>
    <w:rsid w:val="00B218B1"/>
    <w:rsid w:val="00B21A33"/>
    <w:rsid w:val="00B224AA"/>
    <w:rsid w:val="00B22998"/>
    <w:rsid w:val="00B229FE"/>
    <w:rsid w:val="00B2302B"/>
    <w:rsid w:val="00B24363"/>
    <w:rsid w:val="00B2456E"/>
    <w:rsid w:val="00B24979"/>
    <w:rsid w:val="00B24EC0"/>
    <w:rsid w:val="00B250A5"/>
    <w:rsid w:val="00B25651"/>
    <w:rsid w:val="00B26937"/>
    <w:rsid w:val="00B30243"/>
    <w:rsid w:val="00B30421"/>
    <w:rsid w:val="00B30DC8"/>
    <w:rsid w:val="00B313B6"/>
    <w:rsid w:val="00B315BB"/>
    <w:rsid w:val="00B31977"/>
    <w:rsid w:val="00B3235A"/>
    <w:rsid w:val="00B32531"/>
    <w:rsid w:val="00B333FE"/>
    <w:rsid w:val="00B3382B"/>
    <w:rsid w:val="00B340FD"/>
    <w:rsid w:val="00B35094"/>
    <w:rsid w:val="00B350F0"/>
    <w:rsid w:val="00B357AC"/>
    <w:rsid w:val="00B35992"/>
    <w:rsid w:val="00B35D32"/>
    <w:rsid w:val="00B35E4B"/>
    <w:rsid w:val="00B35FCC"/>
    <w:rsid w:val="00B36518"/>
    <w:rsid w:val="00B376B4"/>
    <w:rsid w:val="00B378CC"/>
    <w:rsid w:val="00B37D04"/>
    <w:rsid w:val="00B37E0D"/>
    <w:rsid w:val="00B40C77"/>
    <w:rsid w:val="00B41615"/>
    <w:rsid w:val="00B41A53"/>
    <w:rsid w:val="00B41FD8"/>
    <w:rsid w:val="00B420DF"/>
    <w:rsid w:val="00B428E2"/>
    <w:rsid w:val="00B42A2C"/>
    <w:rsid w:val="00B42A5C"/>
    <w:rsid w:val="00B42A98"/>
    <w:rsid w:val="00B42C22"/>
    <w:rsid w:val="00B42C64"/>
    <w:rsid w:val="00B43A1D"/>
    <w:rsid w:val="00B448EF"/>
    <w:rsid w:val="00B44D09"/>
    <w:rsid w:val="00B4604F"/>
    <w:rsid w:val="00B47493"/>
    <w:rsid w:val="00B474C8"/>
    <w:rsid w:val="00B474DF"/>
    <w:rsid w:val="00B47915"/>
    <w:rsid w:val="00B47EBA"/>
    <w:rsid w:val="00B50E18"/>
    <w:rsid w:val="00B513A9"/>
    <w:rsid w:val="00B51568"/>
    <w:rsid w:val="00B51610"/>
    <w:rsid w:val="00B5167B"/>
    <w:rsid w:val="00B520E3"/>
    <w:rsid w:val="00B52336"/>
    <w:rsid w:val="00B5388C"/>
    <w:rsid w:val="00B54C30"/>
    <w:rsid w:val="00B55CED"/>
    <w:rsid w:val="00B55D57"/>
    <w:rsid w:val="00B55E9D"/>
    <w:rsid w:val="00B55F80"/>
    <w:rsid w:val="00B56480"/>
    <w:rsid w:val="00B565D6"/>
    <w:rsid w:val="00B576A4"/>
    <w:rsid w:val="00B57998"/>
    <w:rsid w:val="00B57CD0"/>
    <w:rsid w:val="00B57DA9"/>
    <w:rsid w:val="00B60177"/>
    <w:rsid w:val="00B60639"/>
    <w:rsid w:val="00B60E23"/>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1154"/>
    <w:rsid w:val="00B71B4E"/>
    <w:rsid w:val="00B7220D"/>
    <w:rsid w:val="00B72911"/>
    <w:rsid w:val="00B749B6"/>
    <w:rsid w:val="00B74F07"/>
    <w:rsid w:val="00B7509A"/>
    <w:rsid w:val="00B7613E"/>
    <w:rsid w:val="00B766C1"/>
    <w:rsid w:val="00B76966"/>
    <w:rsid w:val="00B76B96"/>
    <w:rsid w:val="00B76EFB"/>
    <w:rsid w:val="00B77129"/>
    <w:rsid w:val="00B7719B"/>
    <w:rsid w:val="00B775E6"/>
    <w:rsid w:val="00B77C37"/>
    <w:rsid w:val="00B77DA6"/>
    <w:rsid w:val="00B807BF"/>
    <w:rsid w:val="00B809B1"/>
    <w:rsid w:val="00B81953"/>
    <w:rsid w:val="00B82543"/>
    <w:rsid w:val="00B82998"/>
    <w:rsid w:val="00B834B0"/>
    <w:rsid w:val="00B837F6"/>
    <w:rsid w:val="00B83DAE"/>
    <w:rsid w:val="00B83EF6"/>
    <w:rsid w:val="00B84FB4"/>
    <w:rsid w:val="00B86F2A"/>
    <w:rsid w:val="00B8756E"/>
    <w:rsid w:val="00B87DF9"/>
    <w:rsid w:val="00B91951"/>
    <w:rsid w:val="00B91A24"/>
    <w:rsid w:val="00B91A58"/>
    <w:rsid w:val="00B91EAD"/>
    <w:rsid w:val="00B91EFE"/>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5ABA"/>
    <w:rsid w:val="00BA5B41"/>
    <w:rsid w:val="00BA6194"/>
    <w:rsid w:val="00BA7EEE"/>
    <w:rsid w:val="00BB2008"/>
    <w:rsid w:val="00BB29DF"/>
    <w:rsid w:val="00BB2CFC"/>
    <w:rsid w:val="00BB33B9"/>
    <w:rsid w:val="00BB34DC"/>
    <w:rsid w:val="00BB35D0"/>
    <w:rsid w:val="00BB3AC4"/>
    <w:rsid w:val="00BB4999"/>
    <w:rsid w:val="00BB49B1"/>
    <w:rsid w:val="00BB4BCD"/>
    <w:rsid w:val="00BB52EB"/>
    <w:rsid w:val="00BB56C7"/>
    <w:rsid w:val="00BB5B62"/>
    <w:rsid w:val="00BB6502"/>
    <w:rsid w:val="00BB6BCD"/>
    <w:rsid w:val="00BB70F9"/>
    <w:rsid w:val="00BB7302"/>
    <w:rsid w:val="00BB7C9B"/>
    <w:rsid w:val="00BC1527"/>
    <w:rsid w:val="00BC2306"/>
    <w:rsid w:val="00BC2F31"/>
    <w:rsid w:val="00BC4036"/>
    <w:rsid w:val="00BC42D7"/>
    <w:rsid w:val="00BC42F3"/>
    <w:rsid w:val="00BC4F0A"/>
    <w:rsid w:val="00BC509F"/>
    <w:rsid w:val="00BC51D2"/>
    <w:rsid w:val="00BC64BE"/>
    <w:rsid w:val="00BC7155"/>
    <w:rsid w:val="00BC7550"/>
    <w:rsid w:val="00BD0B72"/>
    <w:rsid w:val="00BD0E03"/>
    <w:rsid w:val="00BD16B4"/>
    <w:rsid w:val="00BD2179"/>
    <w:rsid w:val="00BD2668"/>
    <w:rsid w:val="00BD3924"/>
    <w:rsid w:val="00BD450F"/>
    <w:rsid w:val="00BD4512"/>
    <w:rsid w:val="00BD4856"/>
    <w:rsid w:val="00BD4DA1"/>
    <w:rsid w:val="00BD52AA"/>
    <w:rsid w:val="00BD68BD"/>
    <w:rsid w:val="00BD795F"/>
    <w:rsid w:val="00BE01FD"/>
    <w:rsid w:val="00BE1061"/>
    <w:rsid w:val="00BE1321"/>
    <w:rsid w:val="00BE2893"/>
    <w:rsid w:val="00BE2EB4"/>
    <w:rsid w:val="00BE2F5A"/>
    <w:rsid w:val="00BE37BA"/>
    <w:rsid w:val="00BE37D3"/>
    <w:rsid w:val="00BE522A"/>
    <w:rsid w:val="00BE57B5"/>
    <w:rsid w:val="00BE5A84"/>
    <w:rsid w:val="00BE6454"/>
    <w:rsid w:val="00BE6725"/>
    <w:rsid w:val="00BE7A7C"/>
    <w:rsid w:val="00BE7CF4"/>
    <w:rsid w:val="00BF0A44"/>
    <w:rsid w:val="00BF0CEC"/>
    <w:rsid w:val="00BF0D17"/>
    <w:rsid w:val="00BF1A44"/>
    <w:rsid w:val="00BF1EDF"/>
    <w:rsid w:val="00BF2770"/>
    <w:rsid w:val="00BF487A"/>
    <w:rsid w:val="00BF4D3D"/>
    <w:rsid w:val="00BF5B8C"/>
    <w:rsid w:val="00BF66B7"/>
    <w:rsid w:val="00BF6A68"/>
    <w:rsid w:val="00BF7152"/>
    <w:rsid w:val="00BF73F0"/>
    <w:rsid w:val="00BF75B1"/>
    <w:rsid w:val="00BF75C9"/>
    <w:rsid w:val="00BF7BD3"/>
    <w:rsid w:val="00C00352"/>
    <w:rsid w:val="00C007CE"/>
    <w:rsid w:val="00C00A22"/>
    <w:rsid w:val="00C00F18"/>
    <w:rsid w:val="00C011DF"/>
    <w:rsid w:val="00C01D39"/>
    <w:rsid w:val="00C0200C"/>
    <w:rsid w:val="00C020A8"/>
    <w:rsid w:val="00C02B22"/>
    <w:rsid w:val="00C034A4"/>
    <w:rsid w:val="00C03DD0"/>
    <w:rsid w:val="00C04445"/>
    <w:rsid w:val="00C04705"/>
    <w:rsid w:val="00C04A7F"/>
    <w:rsid w:val="00C04E2B"/>
    <w:rsid w:val="00C051AA"/>
    <w:rsid w:val="00C05D90"/>
    <w:rsid w:val="00C060A0"/>
    <w:rsid w:val="00C07187"/>
    <w:rsid w:val="00C075C9"/>
    <w:rsid w:val="00C07FAD"/>
    <w:rsid w:val="00C106C4"/>
    <w:rsid w:val="00C111EA"/>
    <w:rsid w:val="00C114D9"/>
    <w:rsid w:val="00C119AD"/>
    <w:rsid w:val="00C11FF8"/>
    <w:rsid w:val="00C11FFA"/>
    <w:rsid w:val="00C1228D"/>
    <w:rsid w:val="00C13FED"/>
    <w:rsid w:val="00C14E7D"/>
    <w:rsid w:val="00C15722"/>
    <w:rsid w:val="00C161BC"/>
    <w:rsid w:val="00C16897"/>
    <w:rsid w:val="00C17C8A"/>
    <w:rsid w:val="00C200C9"/>
    <w:rsid w:val="00C218FD"/>
    <w:rsid w:val="00C21D8E"/>
    <w:rsid w:val="00C21F3E"/>
    <w:rsid w:val="00C22525"/>
    <w:rsid w:val="00C236E0"/>
    <w:rsid w:val="00C23DBB"/>
    <w:rsid w:val="00C23FE1"/>
    <w:rsid w:val="00C2410D"/>
    <w:rsid w:val="00C24BAF"/>
    <w:rsid w:val="00C25F8B"/>
    <w:rsid w:val="00C265C0"/>
    <w:rsid w:val="00C26964"/>
    <w:rsid w:val="00C26B9E"/>
    <w:rsid w:val="00C272EF"/>
    <w:rsid w:val="00C2732B"/>
    <w:rsid w:val="00C2753F"/>
    <w:rsid w:val="00C276A8"/>
    <w:rsid w:val="00C27975"/>
    <w:rsid w:val="00C300BC"/>
    <w:rsid w:val="00C318F7"/>
    <w:rsid w:val="00C319D2"/>
    <w:rsid w:val="00C31F85"/>
    <w:rsid w:val="00C32534"/>
    <w:rsid w:val="00C326EE"/>
    <w:rsid w:val="00C32951"/>
    <w:rsid w:val="00C32B7B"/>
    <w:rsid w:val="00C32C02"/>
    <w:rsid w:val="00C32CBC"/>
    <w:rsid w:val="00C32EFC"/>
    <w:rsid w:val="00C33235"/>
    <w:rsid w:val="00C33677"/>
    <w:rsid w:val="00C34137"/>
    <w:rsid w:val="00C3476B"/>
    <w:rsid w:val="00C350A1"/>
    <w:rsid w:val="00C35240"/>
    <w:rsid w:val="00C368B3"/>
    <w:rsid w:val="00C36BA6"/>
    <w:rsid w:val="00C36F07"/>
    <w:rsid w:val="00C37214"/>
    <w:rsid w:val="00C372E8"/>
    <w:rsid w:val="00C37887"/>
    <w:rsid w:val="00C409DC"/>
    <w:rsid w:val="00C40B1B"/>
    <w:rsid w:val="00C40E88"/>
    <w:rsid w:val="00C416A3"/>
    <w:rsid w:val="00C41785"/>
    <w:rsid w:val="00C41FC1"/>
    <w:rsid w:val="00C42761"/>
    <w:rsid w:val="00C434C2"/>
    <w:rsid w:val="00C436ED"/>
    <w:rsid w:val="00C43940"/>
    <w:rsid w:val="00C44342"/>
    <w:rsid w:val="00C4448F"/>
    <w:rsid w:val="00C44694"/>
    <w:rsid w:val="00C44744"/>
    <w:rsid w:val="00C448A4"/>
    <w:rsid w:val="00C448DF"/>
    <w:rsid w:val="00C457C1"/>
    <w:rsid w:val="00C46625"/>
    <w:rsid w:val="00C4665C"/>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3D9F"/>
    <w:rsid w:val="00C541DE"/>
    <w:rsid w:val="00C54C11"/>
    <w:rsid w:val="00C54C67"/>
    <w:rsid w:val="00C54E65"/>
    <w:rsid w:val="00C56324"/>
    <w:rsid w:val="00C5653B"/>
    <w:rsid w:val="00C565A3"/>
    <w:rsid w:val="00C5737C"/>
    <w:rsid w:val="00C577F7"/>
    <w:rsid w:val="00C6048A"/>
    <w:rsid w:val="00C60667"/>
    <w:rsid w:val="00C60ADB"/>
    <w:rsid w:val="00C61191"/>
    <w:rsid w:val="00C61AB9"/>
    <w:rsid w:val="00C61F84"/>
    <w:rsid w:val="00C62FF7"/>
    <w:rsid w:val="00C63135"/>
    <w:rsid w:val="00C637DC"/>
    <w:rsid w:val="00C63EE8"/>
    <w:rsid w:val="00C6432E"/>
    <w:rsid w:val="00C64A9A"/>
    <w:rsid w:val="00C65701"/>
    <w:rsid w:val="00C65718"/>
    <w:rsid w:val="00C65C81"/>
    <w:rsid w:val="00C65ED5"/>
    <w:rsid w:val="00C666DE"/>
    <w:rsid w:val="00C66772"/>
    <w:rsid w:val="00C66B22"/>
    <w:rsid w:val="00C66D2B"/>
    <w:rsid w:val="00C672EB"/>
    <w:rsid w:val="00C67580"/>
    <w:rsid w:val="00C6781C"/>
    <w:rsid w:val="00C67EA1"/>
    <w:rsid w:val="00C70AEE"/>
    <w:rsid w:val="00C7179A"/>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0B15"/>
    <w:rsid w:val="00C81D73"/>
    <w:rsid w:val="00C8243F"/>
    <w:rsid w:val="00C8289B"/>
    <w:rsid w:val="00C82D54"/>
    <w:rsid w:val="00C82F3B"/>
    <w:rsid w:val="00C834EF"/>
    <w:rsid w:val="00C837C4"/>
    <w:rsid w:val="00C83829"/>
    <w:rsid w:val="00C838A4"/>
    <w:rsid w:val="00C83EDD"/>
    <w:rsid w:val="00C84BF1"/>
    <w:rsid w:val="00C84CA2"/>
    <w:rsid w:val="00C85A36"/>
    <w:rsid w:val="00C85CD1"/>
    <w:rsid w:val="00C86C56"/>
    <w:rsid w:val="00C87166"/>
    <w:rsid w:val="00C8773E"/>
    <w:rsid w:val="00C87B45"/>
    <w:rsid w:val="00C87EDA"/>
    <w:rsid w:val="00C87EFC"/>
    <w:rsid w:val="00C90601"/>
    <w:rsid w:val="00C90D16"/>
    <w:rsid w:val="00C9116A"/>
    <w:rsid w:val="00C9265D"/>
    <w:rsid w:val="00C92824"/>
    <w:rsid w:val="00C9350A"/>
    <w:rsid w:val="00C937BA"/>
    <w:rsid w:val="00C949FC"/>
    <w:rsid w:val="00C960CF"/>
    <w:rsid w:val="00C96672"/>
    <w:rsid w:val="00C96678"/>
    <w:rsid w:val="00C96772"/>
    <w:rsid w:val="00C96B1F"/>
    <w:rsid w:val="00C96BF4"/>
    <w:rsid w:val="00C96CFA"/>
    <w:rsid w:val="00C96E5A"/>
    <w:rsid w:val="00C96EB5"/>
    <w:rsid w:val="00C97913"/>
    <w:rsid w:val="00CA0257"/>
    <w:rsid w:val="00CA0917"/>
    <w:rsid w:val="00CA102B"/>
    <w:rsid w:val="00CA1920"/>
    <w:rsid w:val="00CA247F"/>
    <w:rsid w:val="00CA283D"/>
    <w:rsid w:val="00CA29D1"/>
    <w:rsid w:val="00CA2A92"/>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37D1"/>
    <w:rsid w:val="00CB4230"/>
    <w:rsid w:val="00CB431B"/>
    <w:rsid w:val="00CB4A77"/>
    <w:rsid w:val="00CB4EA5"/>
    <w:rsid w:val="00CB557F"/>
    <w:rsid w:val="00CB592B"/>
    <w:rsid w:val="00CB5C5F"/>
    <w:rsid w:val="00CB5CBB"/>
    <w:rsid w:val="00CB600E"/>
    <w:rsid w:val="00CB65B8"/>
    <w:rsid w:val="00CB660B"/>
    <w:rsid w:val="00CB6CDF"/>
    <w:rsid w:val="00CB7264"/>
    <w:rsid w:val="00CB730F"/>
    <w:rsid w:val="00CB761C"/>
    <w:rsid w:val="00CB76A4"/>
    <w:rsid w:val="00CB76B5"/>
    <w:rsid w:val="00CB7AD6"/>
    <w:rsid w:val="00CC0495"/>
    <w:rsid w:val="00CC110F"/>
    <w:rsid w:val="00CC11B8"/>
    <w:rsid w:val="00CC1AF9"/>
    <w:rsid w:val="00CC20E0"/>
    <w:rsid w:val="00CC2818"/>
    <w:rsid w:val="00CC2F7A"/>
    <w:rsid w:val="00CC3A70"/>
    <w:rsid w:val="00CC3CE4"/>
    <w:rsid w:val="00CC4033"/>
    <w:rsid w:val="00CC40B8"/>
    <w:rsid w:val="00CC5444"/>
    <w:rsid w:val="00CC5631"/>
    <w:rsid w:val="00CC62A6"/>
    <w:rsid w:val="00CC676C"/>
    <w:rsid w:val="00CC7973"/>
    <w:rsid w:val="00CC7A11"/>
    <w:rsid w:val="00CD04A8"/>
    <w:rsid w:val="00CD051B"/>
    <w:rsid w:val="00CD1C5B"/>
    <w:rsid w:val="00CD1DB1"/>
    <w:rsid w:val="00CD22B5"/>
    <w:rsid w:val="00CD22F4"/>
    <w:rsid w:val="00CD25E1"/>
    <w:rsid w:val="00CD367C"/>
    <w:rsid w:val="00CD454A"/>
    <w:rsid w:val="00CD4F54"/>
    <w:rsid w:val="00CD4FFE"/>
    <w:rsid w:val="00CD57FA"/>
    <w:rsid w:val="00CD5A6E"/>
    <w:rsid w:val="00CD711F"/>
    <w:rsid w:val="00CD74A7"/>
    <w:rsid w:val="00CD79B2"/>
    <w:rsid w:val="00CD7DF0"/>
    <w:rsid w:val="00CE157C"/>
    <w:rsid w:val="00CE1AF6"/>
    <w:rsid w:val="00CE2298"/>
    <w:rsid w:val="00CE2428"/>
    <w:rsid w:val="00CE3064"/>
    <w:rsid w:val="00CE323C"/>
    <w:rsid w:val="00CE39E4"/>
    <w:rsid w:val="00CE4282"/>
    <w:rsid w:val="00CE54E1"/>
    <w:rsid w:val="00CE55B6"/>
    <w:rsid w:val="00CE5856"/>
    <w:rsid w:val="00CE5BDE"/>
    <w:rsid w:val="00CE6A6D"/>
    <w:rsid w:val="00CE774C"/>
    <w:rsid w:val="00CE7C75"/>
    <w:rsid w:val="00CE7CB3"/>
    <w:rsid w:val="00CF012E"/>
    <w:rsid w:val="00CF04D4"/>
    <w:rsid w:val="00CF0B4C"/>
    <w:rsid w:val="00CF1680"/>
    <w:rsid w:val="00CF1BD7"/>
    <w:rsid w:val="00CF21A5"/>
    <w:rsid w:val="00CF24AB"/>
    <w:rsid w:val="00CF2518"/>
    <w:rsid w:val="00CF26FD"/>
    <w:rsid w:val="00CF2DDE"/>
    <w:rsid w:val="00CF344A"/>
    <w:rsid w:val="00CF39A0"/>
    <w:rsid w:val="00CF3D1C"/>
    <w:rsid w:val="00CF4422"/>
    <w:rsid w:val="00CF4713"/>
    <w:rsid w:val="00CF4B12"/>
    <w:rsid w:val="00CF58FE"/>
    <w:rsid w:val="00CF5EBE"/>
    <w:rsid w:val="00CF6A4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4CF7"/>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A4E"/>
    <w:rsid w:val="00D21C8A"/>
    <w:rsid w:val="00D2297E"/>
    <w:rsid w:val="00D22DE5"/>
    <w:rsid w:val="00D233BD"/>
    <w:rsid w:val="00D233D7"/>
    <w:rsid w:val="00D23CBB"/>
    <w:rsid w:val="00D25806"/>
    <w:rsid w:val="00D25E9D"/>
    <w:rsid w:val="00D25F1C"/>
    <w:rsid w:val="00D26D2D"/>
    <w:rsid w:val="00D26DE6"/>
    <w:rsid w:val="00D26EE7"/>
    <w:rsid w:val="00D27B1E"/>
    <w:rsid w:val="00D27F51"/>
    <w:rsid w:val="00D30718"/>
    <w:rsid w:val="00D30FA4"/>
    <w:rsid w:val="00D31C6A"/>
    <w:rsid w:val="00D322FB"/>
    <w:rsid w:val="00D32475"/>
    <w:rsid w:val="00D32EF4"/>
    <w:rsid w:val="00D333F0"/>
    <w:rsid w:val="00D337B6"/>
    <w:rsid w:val="00D33F81"/>
    <w:rsid w:val="00D3471F"/>
    <w:rsid w:val="00D34850"/>
    <w:rsid w:val="00D35060"/>
    <w:rsid w:val="00D35A28"/>
    <w:rsid w:val="00D369D4"/>
    <w:rsid w:val="00D36A5F"/>
    <w:rsid w:val="00D36AD7"/>
    <w:rsid w:val="00D373E9"/>
    <w:rsid w:val="00D37C61"/>
    <w:rsid w:val="00D403FF"/>
    <w:rsid w:val="00D404C4"/>
    <w:rsid w:val="00D40CE9"/>
    <w:rsid w:val="00D42115"/>
    <w:rsid w:val="00D42389"/>
    <w:rsid w:val="00D42EFD"/>
    <w:rsid w:val="00D433BC"/>
    <w:rsid w:val="00D43615"/>
    <w:rsid w:val="00D44779"/>
    <w:rsid w:val="00D457D1"/>
    <w:rsid w:val="00D458AA"/>
    <w:rsid w:val="00D462E8"/>
    <w:rsid w:val="00D46338"/>
    <w:rsid w:val="00D46BA2"/>
    <w:rsid w:val="00D47234"/>
    <w:rsid w:val="00D47281"/>
    <w:rsid w:val="00D47581"/>
    <w:rsid w:val="00D50295"/>
    <w:rsid w:val="00D5069A"/>
    <w:rsid w:val="00D5093E"/>
    <w:rsid w:val="00D50E43"/>
    <w:rsid w:val="00D51469"/>
    <w:rsid w:val="00D522B3"/>
    <w:rsid w:val="00D52AA0"/>
    <w:rsid w:val="00D52B45"/>
    <w:rsid w:val="00D530EB"/>
    <w:rsid w:val="00D53393"/>
    <w:rsid w:val="00D535B6"/>
    <w:rsid w:val="00D5417B"/>
    <w:rsid w:val="00D549FF"/>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08"/>
    <w:rsid w:val="00D66E55"/>
    <w:rsid w:val="00D674E9"/>
    <w:rsid w:val="00D6799A"/>
    <w:rsid w:val="00D7009C"/>
    <w:rsid w:val="00D70F17"/>
    <w:rsid w:val="00D712DA"/>
    <w:rsid w:val="00D719EF"/>
    <w:rsid w:val="00D71FD6"/>
    <w:rsid w:val="00D72327"/>
    <w:rsid w:val="00D727E0"/>
    <w:rsid w:val="00D72B87"/>
    <w:rsid w:val="00D72C72"/>
    <w:rsid w:val="00D74160"/>
    <w:rsid w:val="00D754AA"/>
    <w:rsid w:val="00D75D22"/>
    <w:rsid w:val="00D75DA5"/>
    <w:rsid w:val="00D76C58"/>
    <w:rsid w:val="00D76CF2"/>
    <w:rsid w:val="00D76E7C"/>
    <w:rsid w:val="00D77B41"/>
    <w:rsid w:val="00D80B40"/>
    <w:rsid w:val="00D80DE4"/>
    <w:rsid w:val="00D8155B"/>
    <w:rsid w:val="00D816D5"/>
    <w:rsid w:val="00D81E79"/>
    <w:rsid w:val="00D825A5"/>
    <w:rsid w:val="00D825B7"/>
    <w:rsid w:val="00D8290E"/>
    <w:rsid w:val="00D82AD1"/>
    <w:rsid w:val="00D82E6E"/>
    <w:rsid w:val="00D83040"/>
    <w:rsid w:val="00D8323B"/>
    <w:rsid w:val="00D83489"/>
    <w:rsid w:val="00D83D13"/>
    <w:rsid w:val="00D84178"/>
    <w:rsid w:val="00D841AC"/>
    <w:rsid w:val="00D8582B"/>
    <w:rsid w:val="00D8589D"/>
    <w:rsid w:val="00D85A81"/>
    <w:rsid w:val="00D86466"/>
    <w:rsid w:val="00D86FAE"/>
    <w:rsid w:val="00D86FDC"/>
    <w:rsid w:val="00D870E8"/>
    <w:rsid w:val="00D87423"/>
    <w:rsid w:val="00D87452"/>
    <w:rsid w:val="00D87485"/>
    <w:rsid w:val="00D87842"/>
    <w:rsid w:val="00D907CB"/>
    <w:rsid w:val="00D91BF2"/>
    <w:rsid w:val="00D93322"/>
    <w:rsid w:val="00D93C1C"/>
    <w:rsid w:val="00D94026"/>
    <w:rsid w:val="00D94120"/>
    <w:rsid w:val="00D9446E"/>
    <w:rsid w:val="00D951DD"/>
    <w:rsid w:val="00D952ED"/>
    <w:rsid w:val="00D957FA"/>
    <w:rsid w:val="00D9664C"/>
    <w:rsid w:val="00D97404"/>
    <w:rsid w:val="00D97434"/>
    <w:rsid w:val="00D975A3"/>
    <w:rsid w:val="00D979D0"/>
    <w:rsid w:val="00DA08CA"/>
    <w:rsid w:val="00DA0F37"/>
    <w:rsid w:val="00DA101A"/>
    <w:rsid w:val="00DA122C"/>
    <w:rsid w:val="00DA1A06"/>
    <w:rsid w:val="00DA2FD5"/>
    <w:rsid w:val="00DA4434"/>
    <w:rsid w:val="00DA4715"/>
    <w:rsid w:val="00DA4838"/>
    <w:rsid w:val="00DA4989"/>
    <w:rsid w:val="00DA5721"/>
    <w:rsid w:val="00DA6173"/>
    <w:rsid w:val="00DA7477"/>
    <w:rsid w:val="00DA7573"/>
    <w:rsid w:val="00DA7BD4"/>
    <w:rsid w:val="00DA7C6C"/>
    <w:rsid w:val="00DB0191"/>
    <w:rsid w:val="00DB0359"/>
    <w:rsid w:val="00DB0EF6"/>
    <w:rsid w:val="00DB0F8A"/>
    <w:rsid w:val="00DB20FC"/>
    <w:rsid w:val="00DB23ED"/>
    <w:rsid w:val="00DB26A8"/>
    <w:rsid w:val="00DB27CF"/>
    <w:rsid w:val="00DB31D9"/>
    <w:rsid w:val="00DB324C"/>
    <w:rsid w:val="00DB3FD3"/>
    <w:rsid w:val="00DB5F2A"/>
    <w:rsid w:val="00DB6A2B"/>
    <w:rsid w:val="00DB6F45"/>
    <w:rsid w:val="00DB72B7"/>
    <w:rsid w:val="00DB7546"/>
    <w:rsid w:val="00DB782D"/>
    <w:rsid w:val="00DC04E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34F"/>
    <w:rsid w:val="00DC3BF1"/>
    <w:rsid w:val="00DC3CFC"/>
    <w:rsid w:val="00DC417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18C0"/>
    <w:rsid w:val="00DD1F33"/>
    <w:rsid w:val="00DD2893"/>
    <w:rsid w:val="00DD3857"/>
    <w:rsid w:val="00DD4717"/>
    <w:rsid w:val="00DD4F74"/>
    <w:rsid w:val="00DD531F"/>
    <w:rsid w:val="00DD556C"/>
    <w:rsid w:val="00DD5737"/>
    <w:rsid w:val="00DD5E81"/>
    <w:rsid w:val="00DD5EE3"/>
    <w:rsid w:val="00DD6C46"/>
    <w:rsid w:val="00DD6C7A"/>
    <w:rsid w:val="00DD6F44"/>
    <w:rsid w:val="00DD7993"/>
    <w:rsid w:val="00DD7CCA"/>
    <w:rsid w:val="00DE0BDE"/>
    <w:rsid w:val="00DE10CF"/>
    <w:rsid w:val="00DE1270"/>
    <w:rsid w:val="00DE1BDD"/>
    <w:rsid w:val="00DE1E1E"/>
    <w:rsid w:val="00DE223E"/>
    <w:rsid w:val="00DE238A"/>
    <w:rsid w:val="00DE2D33"/>
    <w:rsid w:val="00DE34EB"/>
    <w:rsid w:val="00DE3592"/>
    <w:rsid w:val="00DE3E78"/>
    <w:rsid w:val="00DE41F8"/>
    <w:rsid w:val="00DE4B9D"/>
    <w:rsid w:val="00DE50EA"/>
    <w:rsid w:val="00DE545C"/>
    <w:rsid w:val="00DE5C9F"/>
    <w:rsid w:val="00DE734E"/>
    <w:rsid w:val="00DE7887"/>
    <w:rsid w:val="00DE7BF8"/>
    <w:rsid w:val="00DF055B"/>
    <w:rsid w:val="00DF082C"/>
    <w:rsid w:val="00DF0DC3"/>
    <w:rsid w:val="00DF14F9"/>
    <w:rsid w:val="00DF1C2D"/>
    <w:rsid w:val="00DF1FAE"/>
    <w:rsid w:val="00DF2157"/>
    <w:rsid w:val="00DF25B1"/>
    <w:rsid w:val="00DF2AD9"/>
    <w:rsid w:val="00DF38A5"/>
    <w:rsid w:val="00DF461D"/>
    <w:rsid w:val="00DF4E39"/>
    <w:rsid w:val="00DF54D0"/>
    <w:rsid w:val="00DF580C"/>
    <w:rsid w:val="00DF5C1A"/>
    <w:rsid w:val="00DF6BCB"/>
    <w:rsid w:val="00DF6D45"/>
    <w:rsid w:val="00DF7042"/>
    <w:rsid w:val="00DF78FD"/>
    <w:rsid w:val="00DF7EFE"/>
    <w:rsid w:val="00E000F1"/>
    <w:rsid w:val="00E009DF"/>
    <w:rsid w:val="00E00E15"/>
    <w:rsid w:val="00E00F63"/>
    <w:rsid w:val="00E01210"/>
    <w:rsid w:val="00E01D50"/>
    <w:rsid w:val="00E02664"/>
    <w:rsid w:val="00E02B16"/>
    <w:rsid w:val="00E02C4D"/>
    <w:rsid w:val="00E031A5"/>
    <w:rsid w:val="00E0341B"/>
    <w:rsid w:val="00E0348F"/>
    <w:rsid w:val="00E035A6"/>
    <w:rsid w:val="00E038F5"/>
    <w:rsid w:val="00E03D67"/>
    <w:rsid w:val="00E04092"/>
    <w:rsid w:val="00E04510"/>
    <w:rsid w:val="00E04784"/>
    <w:rsid w:val="00E053E4"/>
    <w:rsid w:val="00E05569"/>
    <w:rsid w:val="00E05A6C"/>
    <w:rsid w:val="00E05EAA"/>
    <w:rsid w:val="00E05F59"/>
    <w:rsid w:val="00E0655D"/>
    <w:rsid w:val="00E0662A"/>
    <w:rsid w:val="00E07E64"/>
    <w:rsid w:val="00E1024A"/>
    <w:rsid w:val="00E10B17"/>
    <w:rsid w:val="00E10B67"/>
    <w:rsid w:val="00E12742"/>
    <w:rsid w:val="00E1286A"/>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6640"/>
    <w:rsid w:val="00E1702C"/>
    <w:rsid w:val="00E2096C"/>
    <w:rsid w:val="00E20CC5"/>
    <w:rsid w:val="00E213C8"/>
    <w:rsid w:val="00E21ACA"/>
    <w:rsid w:val="00E22B80"/>
    <w:rsid w:val="00E22C0E"/>
    <w:rsid w:val="00E22CFF"/>
    <w:rsid w:val="00E231CD"/>
    <w:rsid w:val="00E231E1"/>
    <w:rsid w:val="00E23888"/>
    <w:rsid w:val="00E23B9C"/>
    <w:rsid w:val="00E23CE3"/>
    <w:rsid w:val="00E23CF7"/>
    <w:rsid w:val="00E23E76"/>
    <w:rsid w:val="00E2406A"/>
    <w:rsid w:val="00E249DB"/>
    <w:rsid w:val="00E253A3"/>
    <w:rsid w:val="00E25402"/>
    <w:rsid w:val="00E254D0"/>
    <w:rsid w:val="00E259B0"/>
    <w:rsid w:val="00E25AF8"/>
    <w:rsid w:val="00E26AEC"/>
    <w:rsid w:val="00E2757B"/>
    <w:rsid w:val="00E2792D"/>
    <w:rsid w:val="00E3077D"/>
    <w:rsid w:val="00E30828"/>
    <w:rsid w:val="00E30B37"/>
    <w:rsid w:val="00E3109C"/>
    <w:rsid w:val="00E311D1"/>
    <w:rsid w:val="00E31C2D"/>
    <w:rsid w:val="00E32432"/>
    <w:rsid w:val="00E326AD"/>
    <w:rsid w:val="00E327D3"/>
    <w:rsid w:val="00E33B1E"/>
    <w:rsid w:val="00E34277"/>
    <w:rsid w:val="00E34624"/>
    <w:rsid w:val="00E35718"/>
    <w:rsid w:val="00E358E4"/>
    <w:rsid w:val="00E3621B"/>
    <w:rsid w:val="00E36F43"/>
    <w:rsid w:val="00E370E3"/>
    <w:rsid w:val="00E37F0C"/>
    <w:rsid w:val="00E40ADF"/>
    <w:rsid w:val="00E415FF"/>
    <w:rsid w:val="00E418E3"/>
    <w:rsid w:val="00E423DE"/>
    <w:rsid w:val="00E42F07"/>
    <w:rsid w:val="00E4370F"/>
    <w:rsid w:val="00E4441D"/>
    <w:rsid w:val="00E453AB"/>
    <w:rsid w:val="00E462E6"/>
    <w:rsid w:val="00E463A0"/>
    <w:rsid w:val="00E47839"/>
    <w:rsid w:val="00E51C0C"/>
    <w:rsid w:val="00E51CDE"/>
    <w:rsid w:val="00E5210B"/>
    <w:rsid w:val="00E53631"/>
    <w:rsid w:val="00E5388F"/>
    <w:rsid w:val="00E54239"/>
    <w:rsid w:val="00E54272"/>
    <w:rsid w:val="00E542BC"/>
    <w:rsid w:val="00E54521"/>
    <w:rsid w:val="00E54617"/>
    <w:rsid w:val="00E5484B"/>
    <w:rsid w:val="00E56023"/>
    <w:rsid w:val="00E561CC"/>
    <w:rsid w:val="00E56D6E"/>
    <w:rsid w:val="00E56FEF"/>
    <w:rsid w:val="00E577F9"/>
    <w:rsid w:val="00E57FB5"/>
    <w:rsid w:val="00E60006"/>
    <w:rsid w:val="00E60F14"/>
    <w:rsid w:val="00E61B23"/>
    <w:rsid w:val="00E61D4B"/>
    <w:rsid w:val="00E625BE"/>
    <w:rsid w:val="00E6284B"/>
    <w:rsid w:val="00E62D07"/>
    <w:rsid w:val="00E62DF6"/>
    <w:rsid w:val="00E63176"/>
    <w:rsid w:val="00E63A22"/>
    <w:rsid w:val="00E63B8F"/>
    <w:rsid w:val="00E63C45"/>
    <w:rsid w:val="00E646B5"/>
    <w:rsid w:val="00E65427"/>
    <w:rsid w:val="00E6543F"/>
    <w:rsid w:val="00E659FA"/>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A38"/>
    <w:rsid w:val="00E77EAC"/>
    <w:rsid w:val="00E81069"/>
    <w:rsid w:val="00E817AD"/>
    <w:rsid w:val="00E817EF"/>
    <w:rsid w:val="00E8184F"/>
    <w:rsid w:val="00E828D5"/>
    <w:rsid w:val="00E82D81"/>
    <w:rsid w:val="00E83259"/>
    <w:rsid w:val="00E839BE"/>
    <w:rsid w:val="00E83CAC"/>
    <w:rsid w:val="00E849CE"/>
    <w:rsid w:val="00E84C89"/>
    <w:rsid w:val="00E8517F"/>
    <w:rsid w:val="00E8520F"/>
    <w:rsid w:val="00E85E56"/>
    <w:rsid w:val="00E860DD"/>
    <w:rsid w:val="00E8713D"/>
    <w:rsid w:val="00E8730E"/>
    <w:rsid w:val="00E90329"/>
    <w:rsid w:val="00E90A5B"/>
    <w:rsid w:val="00E910D5"/>
    <w:rsid w:val="00E9173E"/>
    <w:rsid w:val="00E922C4"/>
    <w:rsid w:val="00E943AE"/>
    <w:rsid w:val="00E947B0"/>
    <w:rsid w:val="00E95D82"/>
    <w:rsid w:val="00E95F21"/>
    <w:rsid w:val="00E96273"/>
    <w:rsid w:val="00E96E97"/>
    <w:rsid w:val="00E97D49"/>
    <w:rsid w:val="00E97EE5"/>
    <w:rsid w:val="00EA0251"/>
    <w:rsid w:val="00EA1065"/>
    <w:rsid w:val="00EA1434"/>
    <w:rsid w:val="00EA179E"/>
    <w:rsid w:val="00EA1DC5"/>
    <w:rsid w:val="00EA2D21"/>
    <w:rsid w:val="00EA3B47"/>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04C"/>
    <w:rsid w:val="00EB05DA"/>
    <w:rsid w:val="00EB190F"/>
    <w:rsid w:val="00EB235B"/>
    <w:rsid w:val="00EB31A3"/>
    <w:rsid w:val="00EB325B"/>
    <w:rsid w:val="00EB3E22"/>
    <w:rsid w:val="00EB693B"/>
    <w:rsid w:val="00EB7BA9"/>
    <w:rsid w:val="00EB7D75"/>
    <w:rsid w:val="00EC04DC"/>
    <w:rsid w:val="00EC0B20"/>
    <w:rsid w:val="00EC0EE7"/>
    <w:rsid w:val="00EC17A0"/>
    <w:rsid w:val="00EC1C3A"/>
    <w:rsid w:val="00EC1F51"/>
    <w:rsid w:val="00EC2B1D"/>
    <w:rsid w:val="00EC4233"/>
    <w:rsid w:val="00EC4544"/>
    <w:rsid w:val="00EC4A85"/>
    <w:rsid w:val="00EC57B2"/>
    <w:rsid w:val="00EC58F4"/>
    <w:rsid w:val="00EC650B"/>
    <w:rsid w:val="00EC76A2"/>
    <w:rsid w:val="00EC7808"/>
    <w:rsid w:val="00EC7BFA"/>
    <w:rsid w:val="00ED042E"/>
    <w:rsid w:val="00ED1295"/>
    <w:rsid w:val="00ED2725"/>
    <w:rsid w:val="00ED2EBD"/>
    <w:rsid w:val="00ED34D1"/>
    <w:rsid w:val="00ED367F"/>
    <w:rsid w:val="00ED40BD"/>
    <w:rsid w:val="00ED4206"/>
    <w:rsid w:val="00ED4F0D"/>
    <w:rsid w:val="00ED58A2"/>
    <w:rsid w:val="00ED58C3"/>
    <w:rsid w:val="00ED5C71"/>
    <w:rsid w:val="00ED5EEE"/>
    <w:rsid w:val="00ED667C"/>
    <w:rsid w:val="00ED74DB"/>
    <w:rsid w:val="00ED7966"/>
    <w:rsid w:val="00ED7DA4"/>
    <w:rsid w:val="00EE01CC"/>
    <w:rsid w:val="00EE04EE"/>
    <w:rsid w:val="00EE1760"/>
    <w:rsid w:val="00EE180C"/>
    <w:rsid w:val="00EE18CC"/>
    <w:rsid w:val="00EE287D"/>
    <w:rsid w:val="00EE2906"/>
    <w:rsid w:val="00EE33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2F8C"/>
    <w:rsid w:val="00EF3978"/>
    <w:rsid w:val="00EF3AAC"/>
    <w:rsid w:val="00EF4393"/>
    <w:rsid w:val="00EF4D42"/>
    <w:rsid w:val="00EF4FD1"/>
    <w:rsid w:val="00EF5318"/>
    <w:rsid w:val="00EF708A"/>
    <w:rsid w:val="00EF72C3"/>
    <w:rsid w:val="00EF7420"/>
    <w:rsid w:val="00EF79CE"/>
    <w:rsid w:val="00F00152"/>
    <w:rsid w:val="00F00352"/>
    <w:rsid w:val="00F004FB"/>
    <w:rsid w:val="00F00B1B"/>
    <w:rsid w:val="00F00E37"/>
    <w:rsid w:val="00F010EE"/>
    <w:rsid w:val="00F01383"/>
    <w:rsid w:val="00F0167D"/>
    <w:rsid w:val="00F0177A"/>
    <w:rsid w:val="00F019D5"/>
    <w:rsid w:val="00F02500"/>
    <w:rsid w:val="00F032E2"/>
    <w:rsid w:val="00F037E3"/>
    <w:rsid w:val="00F03FF2"/>
    <w:rsid w:val="00F04F9E"/>
    <w:rsid w:val="00F052EC"/>
    <w:rsid w:val="00F06A47"/>
    <w:rsid w:val="00F06A7D"/>
    <w:rsid w:val="00F06E0B"/>
    <w:rsid w:val="00F0717F"/>
    <w:rsid w:val="00F0747A"/>
    <w:rsid w:val="00F07849"/>
    <w:rsid w:val="00F07882"/>
    <w:rsid w:val="00F07883"/>
    <w:rsid w:val="00F10177"/>
    <w:rsid w:val="00F10D83"/>
    <w:rsid w:val="00F1196B"/>
    <w:rsid w:val="00F11A6A"/>
    <w:rsid w:val="00F126BD"/>
    <w:rsid w:val="00F12C9F"/>
    <w:rsid w:val="00F13433"/>
    <w:rsid w:val="00F134FC"/>
    <w:rsid w:val="00F1350E"/>
    <w:rsid w:val="00F13B64"/>
    <w:rsid w:val="00F14137"/>
    <w:rsid w:val="00F14419"/>
    <w:rsid w:val="00F1470E"/>
    <w:rsid w:val="00F147A5"/>
    <w:rsid w:val="00F14AA7"/>
    <w:rsid w:val="00F15884"/>
    <w:rsid w:val="00F15B8E"/>
    <w:rsid w:val="00F16665"/>
    <w:rsid w:val="00F16FB0"/>
    <w:rsid w:val="00F1733B"/>
    <w:rsid w:val="00F17474"/>
    <w:rsid w:val="00F201CC"/>
    <w:rsid w:val="00F2020F"/>
    <w:rsid w:val="00F20487"/>
    <w:rsid w:val="00F20F65"/>
    <w:rsid w:val="00F2106D"/>
    <w:rsid w:val="00F22337"/>
    <w:rsid w:val="00F22D65"/>
    <w:rsid w:val="00F23175"/>
    <w:rsid w:val="00F23F90"/>
    <w:rsid w:val="00F23FB0"/>
    <w:rsid w:val="00F24069"/>
    <w:rsid w:val="00F2480A"/>
    <w:rsid w:val="00F24891"/>
    <w:rsid w:val="00F24B9F"/>
    <w:rsid w:val="00F24CA6"/>
    <w:rsid w:val="00F256AE"/>
    <w:rsid w:val="00F25773"/>
    <w:rsid w:val="00F257FA"/>
    <w:rsid w:val="00F26004"/>
    <w:rsid w:val="00F270E8"/>
    <w:rsid w:val="00F27EF5"/>
    <w:rsid w:val="00F27FDB"/>
    <w:rsid w:val="00F30251"/>
    <w:rsid w:val="00F3045C"/>
    <w:rsid w:val="00F305CC"/>
    <w:rsid w:val="00F314DA"/>
    <w:rsid w:val="00F3179A"/>
    <w:rsid w:val="00F31D54"/>
    <w:rsid w:val="00F32357"/>
    <w:rsid w:val="00F32C70"/>
    <w:rsid w:val="00F339BF"/>
    <w:rsid w:val="00F34E02"/>
    <w:rsid w:val="00F3549E"/>
    <w:rsid w:val="00F35521"/>
    <w:rsid w:val="00F35DB2"/>
    <w:rsid w:val="00F361AD"/>
    <w:rsid w:val="00F365A7"/>
    <w:rsid w:val="00F36758"/>
    <w:rsid w:val="00F3681C"/>
    <w:rsid w:val="00F3769D"/>
    <w:rsid w:val="00F40452"/>
    <w:rsid w:val="00F404F4"/>
    <w:rsid w:val="00F40559"/>
    <w:rsid w:val="00F4143E"/>
    <w:rsid w:val="00F41CC5"/>
    <w:rsid w:val="00F41D25"/>
    <w:rsid w:val="00F423C2"/>
    <w:rsid w:val="00F433F8"/>
    <w:rsid w:val="00F433FE"/>
    <w:rsid w:val="00F435CE"/>
    <w:rsid w:val="00F43627"/>
    <w:rsid w:val="00F43781"/>
    <w:rsid w:val="00F4463C"/>
    <w:rsid w:val="00F44F5C"/>
    <w:rsid w:val="00F473A5"/>
    <w:rsid w:val="00F473F3"/>
    <w:rsid w:val="00F474B8"/>
    <w:rsid w:val="00F478CA"/>
    <w:rsid w:val="00F47CE2"/>
    <w:rsid w:val="00F501F3"/>
    <w:rsid w:val="00F505CB"/>
    <w:rsid w:val="00F50A98"/>
    <w:rsid w:val="00F50E5F"/>
    <w:rsid w:val="00F51460"/>
    <w:rsid w:val="00F51667"/>
    <w:rsid w:val="00F521DC"/>
    <w:rsid w:val="00F53199"/>
    <w:rsid w:val="00F53BD0"/>
    <w:rsid w:val="00F53F67"/>
    <w:rsid w:val="00F541A1"/>
    <w:rsid w:val="00F5456E"/>
    <w:rsid w:val="00F54A8A"/>
    <w:rsid w:val="00F54B09"/>
    <w:rsid w:val="00F54BEA"/>
    <w:rsid w:val="00F54E8A"/>
    <w:rsid w:val="00F559A8"/>
    <w:rsid w:val="00F55C21"/>
    <w:rsid w:val="00F55E5F"/>
    <w:rsid w:val="00F55F6D"/>
    <w:rsid w:val="00F56010"/>
    <w:rsid w:val="00F5736B"/>
    <w:rsid w:val="00F57880"/>
    <w:rsid w:val="00F608AB"/>
    <w:rsid w:val="00F60BE7"/>
    <w:rsid w:val="00F6159C"/>
    <w:rsid w:val="00F61714"/>
    <w:rsid w:val="00F6238F"/>
    <w:rsid w:val="00F629B0"/>
    <w:rsid w:val="00F63E59"/>
    <w:rsid w:val="00F64BE0"/>
    <w:rsid w:val="00F64D44"/>
    <w:rsid w:val="00F65B68"/>
    <w:rsid w:val="00F67846"/>
    <w:rsid w:val="00F67B42"/>
    <w:rsid w:val="00F70B72"/>
    <w:rsid w:val="00F70C72"/>
    <w:rsid w:val="00F70DEF"/>
    <w:rsid w:val="00F70EA3"/>
    <w:rsid w:val="00F71398"/>
    <w:rsid w:val="00F72686"/>
    <w:rsid w:val="00F7294C"/>
    <w:rsid w:val="00F72C5F"/>
    <w:rsid w:val="00F73549"/>
    <w:rsid w:val="00F75782"/>
    <w:rsid w:val="00F77EE6"/>
    <w:rsid w:val="00F808C8"/>
    <w:rsid w:val="00F80C1D"/>
    <w:rsid w:val="00F81130"/>
    <w:rsid w:val="00F8160A"/>
    <w:rsid w:val="00F818F7"/>
    <w:rsid w:val="00F81BDB"/>
    <w:rsid w:val="00F8325D"/>
    <w:rsid w:val="00F832A9"/>
    <w:rsid w:val="00F832B0"/>
    <w:rsid w:val="00F83307"/>
    <w:rsid w:val="00F833A5"/>
    <w:rsid w:val="00F844D3"/>
    <w:rsid w:val="00F84629"/>
    <w:rsid w:val="00F84B71"/>
    <w:rsid w:val="00F84CD1"/>
    <w:rsid w:val="00F84F0E"/>
    <w:rsid w:val="00F84FC1"/>
    <w:rsid w:val="00F8519E"/>
    <w:rsid w:val="00F8558F"/>
    <w:rsid w:val="00F85DC7"/>
    <w:rsid w:val="00F85FF5"/>
    <w:rsid w:val="00F864A2"/>
    <w:rsid w:val="00F86BB4"/>
    <w:rsid w:val="00F870F5"/>
    <w:rsid w:val="00F879D9"/>
    <w:rsid w:val="00F902D2"/>
    <w:rsid w:val="00F90B12"/>
    <w:rsid w:val="00F90CBD"/>
    <w:rsid w:val="00F9109E"/>
    <w:rsid w:val="00F9177E"/>
    <w:rsid w:val="00F91E4F"/>
    <w:rsid w:val="00F91FDF"/>
    <w:rsid w:val="00F92AA1"/>
    <w:rsid w:val="00F92F17"/>
    <w:rsid w:val="00F92FDC"/>
    <w:rsid w:val="00F931D2"/>
    <w:rsid w:val="00F93431"/>
    <w:rsid w:val="00F93953"/>
    <w:rsid w:val="00F93A4A"/>
    <w:rsid w:val="00F93D27"/>
    <w:rsid w:val="00F95DD6"/>
    <w:rsid w:val="00F96370"/>
    <w:rsid w:val="00F96421"/>
    <w:rsid w:val="00F975B6"/>
    <w:rsid w:val="00F97940"/>
    <w:rsid w:val="00F97BA3"/>
    <w:rsid w:val="00F97EA2"/>
    <w:rsid w:val="00F97F0D"/>
    <w:rsid w:val="00FA0B0A"/>
    <w:rsid w:val="00FA121C"/>
    <w:rsid w:val="00FA1407"/>
    <w:rsid w:val="00FA1A68"/>
    <w:rsid w:val="00FA1B1A"/>
    <w:rsid w:val="00FA1C32"/>
    <w:rsid w:val="00FA2747"/>
    <w:rsid w:val="00FA2A33"/>
    <w:rsid w:val="00FA2C8F"/>
    <w:rsid w:val="00FA2CF7"/>
    <w:rsid w:val="00FA3410"/>
    <w:rsid w:val="00FA360B"/>
    <w:rsid w:val="00FA3860"/>
    <w:rsid w:val="00FA3A50"/>
    <w:rsid w:val="00FA4750"/>
    <w:rsid w:val="00FA4763"/>
    <w:rsid w:val="00FA4830"/>
    <w:rsid w:val="00FA5032"/>
    <w:rsid w:val="00FA53A4"/>
    <w:rsid w:val="00FA5954"/>
    <w:rsid w:val="00FA6980"/>
    <w:rsid w:val="00FA6CDF"/>
    <w:rsid w:val="00FA7BB5"/>
    <w:rsid w:val="00FA7C85"/>
    <w:rsid w:val="00FB12D8"/>
    <w:rsid w:val="00FB176A"/>
    <w:rsid w:val="00FB1CDC"/>
    <w:rsid w:val="00FB238A"/>
    <w:rsid w:val="00FB2446"/>
    <w:rsid w:val="00FB28DC"/>
    <w:rsid w:val="00FB2C81"/>
    <w:rsid w:val="00FB3BC4"/>
    <w:rsid w:val="00FB3F9C"/>
    <w:rsid w:val="00FB3FDE"/>
    <w:rsid w:val="00FB4676"/>
    <w:rsid w:val="00FB5552"/>
    <w:rsid w:val="00FB5789"/>
    <w:rsid w:val="00FB5F3A"/>
    <w:rsid w:val="00FB65E5"/>
    <w:rsid w:val="00FB6AA9"/>
    <w:rsid w:val="00FB6AD4"/>
    <w:rsid w:val="00FB7C80"/>
    <w:rsid w:val="00FB7F22"/>
    <w:rsid w:val="00FC00F3"/>
    <w:rsid w:val="00FC0A33"/>
    <w:rsid w:val="00FC1416"/>
    <w:rsid w:val="00FC14B2"/>
    <w:rsid w:val="00FC1823"/>
    <w:rsid w:val="00FC2198"/>
    <w:rsid w:val="00FC26A4"/>
    <w:rsid w:val="00FC2C93"/>
    <w:rsid w:val="00FC2DE7"/>
    <w:rsid w:val="00FC325A"/>
    <w:rsid w:val="00FC33ED"/>
    <w:rsid w:val="00FC43AD"/>
    <w:rsid w:val="00FC49D2"/>
    <w:rsid w:val="00FC5876"/>
    <w:rsid w:val="00FC62F5"/>
    <w:rsid w:val="00FC731E"/>
    <w:rsid w:val="00FC7827"/>
    <w:rsid w:val="00FD035A"/>
    <w:rsid w:val="00FD19F1"/>
    <w:rsid w:val="00FD1A7E"/>
    <w:rsid w:val="00FD1D4D"/>
    <w:rsid w:val="00FD2CC3"/>
    <w:rsid w:val="00FD31BF"/>
    <w:rsid w:val="00FD3CC7"/>
    <w:rsid w:val="00FD4148"/>
    <w:rsid w:val="00FD44AF"/>
    <w:rsid w:val="00FD4D5B"/>
    <w:rsid w:val="00FD6453"/>
    <w:rsid w:val="00FD67FD"/>
    <w:rsid w:val="00FD7778"/>
    <w:rsid w:val="00FD7CB2"/>
    <w:rsid w:val="00FD7D46"/>
    <w:rsid w:val="00FD7D8B"/>
    <w:rsid w:val="00FE022F"/>
    <w:rsid w:val="00FE0AF2"/>
    <w:rsid w:val="00FE0E31"/>
    <w:rsid w:val="00FE1AA6"/>
    <w:rsid w:val="00FE1C47"/>
    <w:rsid w:val="00FE22DD"/>
    <w:rsid w:val="00FE2984"/>
    <w:rsid w:val="00FE2CFB"/>
    <w:rsid w:val="00FE3A4D"/>
    <w:rsid w:val="00FE4929"/>
    <w:rsid w:val="00FE4A60"/>
    <w:rsid w:val="00FE54E0"/>
    <w:rsid w:val="00FE55F0"/>
    <w:rsid w:val="00FE6331"/>
    <w:rsid w:val="00FE685B"/>
    <w:rsid w:val="00FE6C12"/>
    <w:rsid w:val="00FE7894"/>
    <w:rsid w:val="00FE7D28"/>
    <w:rsid w:val="00FF01FA"/>
    <w:rsid w:val="00FF0869"/>
    <w:rsid w:val="00FF21B5"/>
    <w:rsid w:val="00FF21C3"/>
    <w:rsid w:val="00FF28DD"/>
    <w:rsid w:val="00FF2A11"/>
    <w:rsid w:val="00FF2AA0"/>
    <w:rsid w:val="00FF3F6C"/>
    <w:rsid w:val="00FF4603"/>
    <w:rsid w:val="00FF4B07"/>
    <w:rsid w:val="00FF4BFC"/>
    <w:rsid w:val="00FF4C11"/>
    <w:rsid w:val="00FF56B9"/>
    <w:rsid w:val="00FF57E8"/>
    <w:rsid w:val="00FF58C0"/>
    <w:rsid w:val="00FF5948"/>
    <w:rsid w:val="00FF669F"/>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2"/>
    </o:shapelayout>
  </w:shapeDefaults>
  <w:decimalSymbol w:val="."/>
  <w:listSeparator w:val=","/>
  <w14:docId w14:val="71D9CB37"/>
  <w14:defaultImageDpi w14:val="330"/>
  <w15:docId w15:val="{C517B93B-52FE-431D-ABDF-1CCC38894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qFormat="1"/>
    <w:lsdException w:name="header" w:semiHidden="1" w:unhideWhenUsed="1" w:qFormat="1"/>
    <w:lsdException w:name="footer" w:semiHidden="1" w:uiPriority="0" w:unhideWhenUsed="1" w:qFormat="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qFormat="1"/>
    <w:lsdException w:name="annotation reference" w:semiHidden="1" w:unhideWhenUsed="1"/>
    <w:lsdException w:name="line number" w:semiHidden="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iPriority="0"/>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0"/>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2231C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111CC"/>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4E1B8C"/>
    <w:pPr>
      <w:spacing w:before="240"/>
      <w:outlineLvl w:val="3"/>
    </w:pPr>
    <w:rPr>
      <w:sz w:val="24"/>
    </w:rPr>
  </w:style>
  <w:style w:type="paragraph" w:styleId="Heading5">
    <w:name w:val="heading 5"/>
    <w:basedOn w:val="Normal"/>
    <w:next w:val="BodyText"/>
    <w:link w:val="Heading5Char"/>
    <w:qFormat/>
    <w:rsid w:val="00BB33B9"/>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qFormat/>
    <w:rsid w:val="00B1745B"/>
    <w:pPr>
      <w:keepNext/>
      <w:spacing w:before="240" w:after="0"/>
      <w:jc w:val="left"/>
      <w:outlineLvl w:val="5"/>
    </w:pPr>
    <w:rPr>
      <w:rFonts w:eastAsia="Times New Roman" w:cs="Calibri"/>
      <w:b/>
      <w:szCs w:val="20"/>
      <w:lang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111CC"/>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4E1B8C"/>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BB33B9"/>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aliases w:val="RS Table Grid a"/>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qFormat/>
    <w:rsid w:val="00EA64B4"/>
    <w:pPr>
      <w:jc w:val="center"/>
    </w:pPr>
    <w:rPr>
      <w:rFonts w:ascii="Arial" w:hAnsi="Arial"/>
      <w:sz w:val="16"/>
    </w:rPr>
  </w:style>
  <w:style w:type="character" w:customStyle="1" w:styleId="HeaderChar">
    <w:name w:val="Header Char"/>
    <w:basedOn w:val="DefaultParagraphFont"/>
    <w:link w:val="Header"/>
    <w:uiPriority w:val="99"/>
    <w:semiHidden/>
    <w:rsid w:val="00F03FF2"/>
    <w:rPr>
      <w:rFonts w:ascii="Arial" w:eastAsiaTheme="minorEastAsia" w:hAnsi="Arial"/>
      <w:sz w:val="16"/>
      <w:lang w:eastAsia="en-NZ"/>
    </w:rPr>
  </w:style>
  <w:style w:type="paragraph" w:styleId="Quote">
    <w:name w:val="Quote"/>
    <w:basedOn w:val="Normal"/>
    <w:next w:val="BodyText"/>
    <w:link w:val="QuoteChar"/>
    <w:uiPriority w:val="6"/>
    <w:qFormat/>
    <w:rsid w:val="00684D9B"/>
    <w:pPr>
      <w:spacing w:before="60" w:after="60"/>
      <w:ind w:left="567" w:right="567"/>
      <w:jc w:val="left"/>
    </w:pPr>
    <w:rPr>
      <w:sz w:val="20"/>
    </w:rPr>
  </w:style>
  <w:style w:type="character" w:customStyle="1" w:styleId="QuoteChar">
    <w:name w:val="Quote Char"/>
    <w:basedOn w:val="DefaultParagraphFont"/>
    <w:link w:val="Quote"/>
    <w:uiPriority w:val="6"/>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3"/>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qFormat/>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uiPriority w:val="1"/>
    <w:qFormat/>
    <w:rsid w:val="006065E8"/>
    <w:pPr>
      <w:numPr>
        <w:numId w:val="3"/>
      </w:numPr>
      <w:tabs>
        <w:tab w:val="left" w:pos="794"/>
      </w:tabs>
      <w:spacing w:before="0"/>
      <w:jc w:val="left"/>
    </w:pPr>
  </w:style>
  <w:style w:type="paragraph" w:customStyle="1" w:styleId="Figureheading">
    <w:name w:val="Figure heading"/>
    <w:basedOn w:val="Normal"/>
    <w:next w:val="BodyText"/>
    <w:link w:val="FigureheadingChar"/>
    <w:rsid w:val="00EC76A2"/>
    <w:pPr>
      <w:keepNext/>
      <w:spacing w:line="260" w:lineRule="atLeast"/>
      <w:ind w:left="1134" w:hanging="1134"/>
      <w:jc w:val="left"/>
    </w:pPr>
    <w:rPr>
      <w:b/>
      <w:sz w:val="20"/>
    </w:rPr>
  </w:style>
  <w:style w:type="character" w:styleId="FootnoteReference">
    <w:name w:val="footnote reference"/>
    <w:uiPriority w:val="99"/>
    <w:qFormat/>
    <w:rsid w:val="00EA64B4"/>
    <w:rPr>
      <w:rFonts w:ascii="Calibri" w:hAnsi="Calibri"/>
      <w:color w:val="183C47"/>
      <w:sz w:val="22"/>
      <w:vertAlign w:val="superscript"/>
    </w:rPr>
  </w:style>
  <w:style w:type="paragraph" w:styleId="FootnoteText">
    <w:name w:val="footnote text"/>
    <w:basedOn w:val="Normal"/>
    <w:link w:val="FootnoteTextChar"/>
    <w:uiPriority w:val="99"/>
    <w:qFormat/>
    <w:rsid w:val="004566F8"/>
    <w:pPr>
      <w:spacing w:before="0" w:after="60" w:line="240" w:lineRule="atLeast"/>
      <w:ind w:left="340" w:hanging="340"/>
      <w:jc w:val="left"/>
    </w:pPr>
    <w:rPr>
      <w:sz w:val="19"/>
    </w:rPr>
  </w:style>
  <w:style w:type="character" w:customStyle="1" w:styleId="FootnoteTextChar">
    <w:name w:val="Footnote Text Char"/>
    <w:basedOn w:val="DefaultParagraphFont"/>
    <w:link w:val="FootnoteText"/>
    <w:uiPriority w:val="99"/>
    <w:rsid w:val="002231CC"/>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99"/>
    <w:rsid w:val="00EA64B4"/>
    <w:pPr>
      <w:jc w:val="left"/>
    </w:pPr>
  </w:style>
  <w:style w:type="paragraph" w:customStyle="1" w:styleId="Note">
    <w:name w:val="Note"/>
    <w:basedOn w:val="BodyText"/>
    <w:next w:val="Normal"/>
    <w:link w:val="NoteChar"/>
    <w:uiPriority w:val="1"/>
    <w:qFormat/>
    <w:rsid w:val="00120409"/>
    <w:pPr>
      <w:spacing w:line="240" w:lineRule="atLeast"/>
    </w:pPr>
    <w:rPr>
      <w:sz w:val="18"/>
    </w:rPr>
  </w:style>
  <w:style w:type="paragraph" w:customStyle="1" w:styleId="References">
    <w:name w:val="References"/>
    <w:basedOn w:val="Normal"/>
    <w:link w:val="ReferencesChar"/>
    <w:uiPriority w:val="99"/>
    <w:qFormat/>
    <w:rsid w:val="00554B30"/>
    <w:pPr>
      <w:spacing w:before="0" w:line="260" w:lineRule="atLeast"/>
      <w:jc w:val="left"/>
    </w:pPr>
    <w:rPr>
      <w:sz w:val="20"/>
    </w:rPr>
  </w:style>
  <w:style w:type="paragraph" w:customStyle="1" w:styleId="Source">
    <w:name w:val="Source"/>
    <w:basedOn w:val="Note"/>
    <w:next w:val="Normal"/>
    <w:uiPriority w:val="99"/>
    <w:qFormat/>
    <w:rsid w:val="0080785D"/>
    <w:pPr>
      <w:spacing w:before="0"/>
    </w:pPr>
  </w:style>
  <w:style w:type="paragraph" w:styleId="Title">
    <w:name w:val="Title"/>
    <w:basedOn w:val="Normal"/>
    <w:link w:val="TitleChar"/>
    <w:uiPriority w:val="99"/>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99"/>
    <w:rsid w:val="00987F0B"/>
    <w:rPr>
      <w:rFonts w:ascii="Georgia" w:eastAsiaTheme="minorEastAsia" w:hAnsi="Georgia"/>
      <w:b/>
      <w:color w:val="1B556B"/>
      <w:sz w:val="56"/>
      <w:lang w:eastAsia="en-NZ"/>
    </w:rPr>
  </w:style>
  <w:style w:type="paragraph" w:styleId="Subtitle">
    <w:name w:val="Subtitle"/>
    <w:basedOn w:val="Title"/>
    <w:link w:val="SubtitleChar"/>
    <w:uiPriority w:val="99"/>
    <w:qFormat/>
    <w:rsid w:val="00623717"/>
    <w:pPr>
      <w:spacing w:before="600" w:line="520" w:lineRule="atLeast"/>
    </w:pPr>
    <w:rPr>
      <w:sz w:val="36"/>
      <w:szCs w:val="36"/>
    </w:rPr>
  </w:style>
  <w:style w:type="character" w:customStyle="1" w:styleId="SubtitleChar">
    <w:name w:val="Subtitle Char"/>
    <w:basedOn w:val="DefaultParagraphFont"/>
    <w:link w:val="Subtitle"/>
    <w:uiPriority w:val="99"/>
    <w:rsid w:val="00987F0B"/>
    <w:rPr>
      <w:rFonts w:ascii="Georgia" w:eastAsiaTheme="minorEastAsia" w:hAnsi="Georgia"/>
      <w:b/>
      <w:color w:val="1B556B"/>
      <w:sz w:val="36"/>
      <w:szCs w:val="36"/>
      <w:lang w:eastAsia="en-NZ"/>
    </w:rPr>
  </w:style>
  <w:style w:type="paragraph" w:customStyle="1" w:styleId="Tableheading">
    <w:name w:val="Table heading"/>
    <w:basedOn w:val="Normal"/>
    <w:next w:val="Normal"/>
    <w:link w:val="TableheadingChar"/>
    <w:qFormat/>
    <w:rsid w:val="00BB7302"/>
    <w:pPr>
      <w:keepNext/>
      <w:spacing w:line="260" w:lineRule="atLeast"/>
      <w:ind w:left="1134" w:hanging="1134"/>
      <w:jc w:val="left"/>
    </w:pPr>
    <w:rPr>
      <w:b/>
      <w:sz w:val="20"/>
    </w:rPr>
  </w:style>
  <w:style w:type="paragraph" w:customStyle="1" w:styleId="TableText">
    <w:name w:val="TableText"/>
    <w:basedOn w:val="Normal"/>
    <w:link w:val="TableTextChar"/>
    <w:qFormat/>
    <w:rsid w:val="00EA64B4"/>
    <w:pPr>
      <w:spacing w:before="60" w:after="60" w:line="240" w:lineRule="atLeast"/>
      <w:jc w:val="left"/>
    </w:pPr>
    <w:rPr>
      <w:sz w:val="18"/>
    </w:rPr>
  </w:style>
  <w:style w:type="paragraph" w:customStyle="1" w:styleId="TableTextbold">
    <w:name w:val="TableText bold"/>
    <w:basedOn w:val="TableText"/>
    <w:link w:val="TableTextboldChar"/>
    <w:qFormat/>
    <w:rsid w:val="007420E6"/>
    <w:rPr>
      <w:b/>
    </w:rPr>
  </w:style>
  <w:style w:type="paragraph" w:styleId="TOC1">
    <w:name w:val="toc 1"/>
    <w:basedOn w:val="Normal"/>
    <w:next w:val="Normal"/>
    <w:uiPriority w:val="39"/>
    <w:rsid w:val="00486FDE"/>
    <w:pPr>
      <w:tabs>
        <w:tab w:val="left" w:pos="567"/>
        <w:tab w:val="right" w:pos="8505"/>
      </w:tabs>
      <w:spacing w:before="240" w:after="0" w:line="240" w:lineRule="auto"/>
      <w:ind w:right="567"/>
      <w:jc w:val="left"/>
    </w:pPr>
    <w:rPr>
      <w:noProof/>
    </w:rPr>
  </w:style>
  <w:style w:type="paragraph" w:styleId="TOC2">
    <w:name w:val="toc 2"/>
    <w:basedOn w:val="Normal"/>
    <w:next w:val="Normal"/>
    <w:uiPriority w:val="39"/>
    <w:qFormat/>
    <w:rsid w:val="00486FDE"/>
    <w:pPr>
      <w:tabs>
        <w:tab w:val="left" w:pos="1134"/>
        <w:tab w:val="right" w:pos="8505"/>
      </w:tabs>
      <w:spacing w:before="60" w:after="40" w:line="240" w:lineRule="auto"/>
      <w:ind w:left="1134" w:right="567" w:hanging="567"/>
      <w:jc w:val="left"/>
    </w:pPr>
    <w:rPr>
      <w:noProof/>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link w:val="FooteroddChar"/>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2"/>
    <w:qFormat/>
    <w:rsid w:val="005B6698"/>
    <w:pPr>
      <w:numPr>
        <w:numId w:val="4"/>
      </w:numPr>
      <w:spacing w:before="0"/>
      <w:jc w:val="left"/>
    </w:pPr>
  </w:style>
  <w:style w:type="paragraph" w:customStyle="1" w:styleId="Sub-lista">
    <w:name w:val="Sub-list a"/>
    <w:aliases w:val="b"/>
    <w:basedOn w:val="Normal"/>
    <w:uiPriority w:val="3"/>
    <w:rsid w:val="00074B2F"/>
    <w:pPr>
      <w:numPr>
        <w:numId w:val="5"/>
      </w:numPr>
      <w:spacing w:before="0" w:line="240" w:lineRule="atLeast"/>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533D32"/>
    <w:rPr>
      <w:sz w:val="16"/>
      <w:szCs w:val="16"/>
    </w:rPr>
  </w:style>
  <w:style w:type="paragraph" w:styleId="Revision">
    <w:name w:val="Revision"/>
    <w:hidden/>
    <w:uiPriority w:val="99"/>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character" w:customStyle="1" w:styleId="Heading6Char">
    <w:name w:val="Heading 6 Char"/>
    <w:basedOn w:val="DefaultParagraphFont"/>
    <w:link w:val="Heading6"/>
    <w:rsid w:val="00B1745B"/>
    <w:rPr>
      <w:rFonts w:ascii="Calibri" w:eastAsia="Times New Roman" w:hAnsi="Calibri" w:cs="Calibri"/>
      <w:b/>
      <w:szCs w:val="20"/>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aliases w:val="Caption MFAT"/>
    <w:basedOn w:val="Normal"/>
    <w:next w:val="Normal"/>
    <w:link w:val="CaptionChar"/>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A85A7A"/>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1"/>
    <w:semiHidden/>
    <w:rsid w:val="00C15722"/>
    <w:pPr>
      <w:numPr>
        <w:numId w:val="11"/>
      </w:numPr>
      <w:spacing w:before="0"/>
      <w:ind w:left="681" w:hanging="397"/>
    </w:pPr>
  </w:style>
  <w:style w:type="paragraph" w:customStyle="1" w:styleId="Greentext-casestudytables">
    <w:name w:val="Green text - case study tables"/>
    <w:basedOn w:val="BodyText"/>
    <w:uiPriority w:val="1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2"/>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link w:val="BoxbulletChar"/>
    <w:uiPriority w:val="1"/>
    <w:qFormat/>
    <w:rsid w:val="005D3242"/>
    <w:pPr>
      <w:numPr>
        <w:numId w:val="2"/>
      </w:numPr>
      <w:tabs>
        <w:tab w:val="left" w:pos="680"/>
      </w:tabs>
      <w:spacing w:before="0"/>
      <w:ind w:left="681" w:hanging="397"/>
    </w:pPr>
    <w:rPr>
      <w:rFonts w:cs="Times New Roman"/>
      <w:szCs w:val="20"/>
    </w:rPr>
  </w:style>
  <w:style w:type="paragraph" w:customStyle="1" w:styleId="Boxheading">
    <w:name w:val="Box heading"/>
    <w:basedOn w:val="Boxtext"/>
    <w:next w:val="Boxtext"/>
    <w:link w:val="BoxheadingChar"/>
    <w:uiPriority w:val="1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1"/>
    <w:semiHidden/>
    <w:qFormat/>
    <w:rsid w:val="00C15722"/>
    <w:pPr>
      <w:numPr>
        <w:numId w:val="15"/>
      </w:numPr>
      <w:spacing w:before="0"/>
      <w:ind w:left="1077" w:hanging="397"/>
    </w:pPr>
  </w:style>
  <w:style w:type="character" w:styleId="UnresolvedMention">
    <w:name w:val="Unresolved Mention"/>
    <w:basedOn w:val="DefaultParagraphFont"/>
    <w:uiPriority w:val="99"/>
    <w:semiHidden/>
    <w:unhideWhenUsed/>
    <w:rsid w:val="00194D17"/>
    <w:rPr>
      <w:color w:val="605E5C"/>
      <w:shd w:val="clear" w:color="auto" w:fill="E1DFDD"/>
    </w:rPr>
  </w:style>
  <w:style w:type="character" w:customStyle="1" w:styleId="NoteChar">
    <w:name w:val="Note Char"/>
    <w:link w:val="Note"/>
    <w:uiPriority w:val="1"/>
    <w:rsid w:val="00120409"/>
    <w:rPr>
      <w:rFonts w:ascii="Calibri" w:eastAsiaTheme="minorEastAsia" w:hAnsi="Calibri"/>
      <w:sz w:val="18"/>
      <w:lang w:eastAsia="en-NZ"/>
    </w:rPr>
  </w:style>
  <w:style w:type="character" w:customStyle="1" w:styleId="TableheadingChar">
    <w:name w:val="Table heading Char"/>
    <w:basedOn w:val="DefaultParagraphFont"/>
    <w:link w:val="Tableheading"/>
    <w:rsid w:val="00BB7302"/>
    <w:rPr>
      <w:rFonts w:ascii="Calibri" w:eastAsiaTheme="minorEastAsia" w:hAnsi="Calibri"/>
      <w:b/>
      <w:sz w:val="20"/>
      <w:lang w:eastAsia="en-NZ"/>
    </w:rPr>
  </w:style>
  <w:style w:type="paragraph" w:customStyle="1" w:styleId="Heading2notTOC">
    <w:name w:val="Heading 2 not TOC"/>
    <w:basedOn w:val="Heading2"/>
    <w:qFormat/>
    <w:rsid w:val="00236185"/>
  </w:style>
  <w:style w:type="character" w:customStyle="1" w:styleId="FigureheadingChar">
    <w:name w:val="Figure heading Char"/>
    <w:link w:val="Figureheading"/>
    <w:rsid w:val="00EC76A2"/>
    <w:rPr>
      <w:rFonts w:ascii="Calibri" w:eastAsiaTheme="minorEastAsia" w:hAnsi="Calibri"/>
      <w:b/>
      <w:sz w:val="20"/>
      <w:lang w:eastAsia="en-NZ"/>
    </w:rPr>
  </w:style>
  <w:style w:type="character" w:customStyle="1" w:styleId="TableTextChar">
    <w:name w:val="TableText Char"/>
    <w:basedOn w:val="DefaultParagraphFont"/>
    <w:link w:val="TableText"/>
    <w:rsid w:val="00FD1D4D"/>
    <w:rPr>
      <w:rFonts w:ascii="Calibri" w:eastAsiaTheme="minorEastAsia" w:hAnsi="Calibri"/>
      <w:sz w:val="18"/>
      <w:lang w:eastAsia="en-NZ"/>
    </w:rPr>
  </w:style>
  <w:style w:type="character" w:customStyle="1" w:styleId="TableTextboldChar">
    <w:name w:val="TableText bold Char"/>
    <w:basedOn w:val="TableTextChar"/>
    <w:link w:val="TableTextbold"/>
    <w:rsid w:val="007420E6"/>
    <w:rPr>
      <w:rFonts w:ascii="Calibri" w:eastAsiaTheme="minorEastAsia" w:hAnsi="Calibri"/>
      <w:b/>
      <w:sz w:val="18"/>
      <w:lang w:eastAsia="en-NZ"/>
    </w:rPr>
  </w:style>
  <w:style w:type="character" w:customStyle="1" w:styleId="BoxbulletChar">
    <w:name w:val="Box bullet Char"/>
    <w:link w:val="Boxbullet"/>
    <w:uiPriority w:val="1"/>
    <w:rsid w:val="0020439B"/>
    <w:rPr>
      <w:rFonts w:ascii="Calibri" w:eastAsiaTheme="minorEastAsia" w:hAnsi="Calibri" w:cs="Times New Roman"/>
      <w:color w:val="1B556B"/>
      <w:sz w:val="20"/>
      <w:szCs w:val="20"/>
      <w:lang w:eastAsia="en-NZ"/>
    </w:rPr>
  </w:style>
  <w:style w:type="character" w:customStyle="1" w:styleId="BoxheadingChar">
    <w:name w:val="Box heading Char"/>
    <w:link w:val="Boxheading"/>
    <w:uiPriority w:val="1"/>
    <w:rsid w:val="0020439B"/>
    <w:rPr>
      <w:rFonts w:ascii="Calibri" w:eastAsiaTheme="minorEastAsia" w:hAnsi="Calibri" w:cs="Times New Roman"/>
      <w:b/>
      <w:color w:val="1B556B"/>
      <w:szCs w:val="20"/>
      <w:lang w:eastAsia="en-NZ"/>
    </w:rPr>
  </w:style>
  <w:style w:type="paragraph" w:styleId="CommentText">
    <w:name w:val="annotation text"/>
    <w:basedOn w:val="Normal"/>
    <w:link w:val="CommentTextChar"/>
    <w:uiPriority w:val="99"/>
    <w:semiHidden/>
    <w:rsid w:val="00533D32"/>
    <w:pPr>
      <w:spacing w:before="0" w:after="200" w:line="240" w:lineRule="auto"/>
      <w:jc w:val="left"/>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533D32"/>
    <w:rPr>
      <w:rFonts w:ascii="Calibri" w:eastAsia="Times New Roman" w:hAnsi="Calibri" w:cs="Times New Roman"/>
      <w:sz w:val="20"/>
      <w:szCs w:val="20"/>
      <w:lang w:eastAsia="en-NZ"/>
    </w:rPr>
  </w:style>
  <w:style w:type="paragraph" w:customStyle="1" w:styleId="Default">
    <w:name w:val="Default"/>
    <w:semiHidden/>
    <w:rsid w:val="00711C35"/>
    <w:pPr>
      <w:autoSpaceDE w:val="0"/>
      <w:autoSpaceDN w:val="0"/>
      <w:adjustRightInd w:val="0"/>
      <w:spacing w:after="0" w:line="240" w:lineRule="auto"/>
    </w:pPr>
    <w:rPr>
      <w:rFonts w:ascii="Calibri" w:eastAsia="Calibri" w:hAnsi="Calibri" w:cs="Calibri"/>
      <w:color w:val="000000"/>
      <w:sz w:val="24"/>
      <w:szCs w:val="24"/>
      <w:lang w:eastAsia="en-NZ"/>
    </w:rPr>
  </w:style>
  <w:style w:type="paragraph" w:customStyle="1" w:styleId="Blueboxtext">
    <w:name w:val="Blue box text"/>
    <w:basedOn w:val="Normal"/>
    <w:uiPriority w:val="11"/>
    <w:semiHidden/>
    <w:qFormat/>
    <w:rsid w:val="007C259A"/>
    <w:pPr>
      <w:spacing w:line="260" w:lineRule="atLeast"/>
      <w:ind w:left="284" w:right="284"/>
      <w:jc w:val="left"/>
    </w:pPr>
    <w:rPr>
      <w:rFonts w:eastAsia="Times New Roman" w:cs="Times New Roman"/>
      <w:color w:val="1C556C"/>
      <w:sz w:val="20"/>
    </w:rPr>
  </w:style>
  <w:style w:type="paragraph" w:customStyle="1" w:styleId="Blue-boxbullet">
    <w:name w:val="Blue-box bullet"/>
    <w:basedOn w:val="Blueboxtext"/>
    <w:uiPriority w:val="11"/>
    <w:semiHidden/>
    <w:qFormat/>
    <w:rsid w:val="007C259A"/>
    <w:pPr>
      <w:tabs>
        <w:tab w:val="left" w:pos="680"/>
      </w:tabs>
      <w:spacing w:before="0"/>
      <w:ind w:left="644" w:hanging="360"/>
    </w:pPr>
    <w:rPr>
      <w:szCs w:val="20"/>
    </w:rPr>
  </w:style>
  <w:style w:type="paragraph" w:customStyle="1" w:styleId="Blueboxheading">
    <w:name w:val="Blue box heading"/>
    <w:basedOn w:val="Blueboxtext"/>
    <w:next w:val="Blueboxtext"/>
    <w:uiPriority w:val="11"/>
    <w:semiHidden/>
    <w:qFormat/>
    <w:rsid w:val="007C259A"/>
    <w:pPr>
      <w:keepNext/>
      <w:spacing w:before="240" w:after="0"/>
    </w:pPr>
    <w:rPr>
      <w:rFonts w:ascii="Georgia" w:hAnsi="Georgia"/>
      <w:b/>
      <w:szCs w:val="20"/>
    </w:rPr>
  </w:style>
  <w:style w:type="paragraph" w:customStyle="1" w:styleId="Blue-boxsub-bullet">
    <w:name w:val="Blue-box sub-bullet"/>
    <w:basedOn w:val="Blueboxtext"/>
    <w:uiPriority w:val="11"/>
    <w:semiHidden/>
    <w:qFormat/>
    <w:rsid w:val="007C259A"/>
    <w:pPr>
      <w:spacing w:before="0"/>
      <w:ind w:left="1077" w:hanging="397"/>
    </w:pPr>
    <w:rPr>
      <w:szCs w:val="20"/>
    </w:rPr>
  </w:style>
  <w:style w:type="paragraph" w:customStyle="1" w:styleId="TableTextBold0">
    <w:name w:val="TableText Bold"/>
    <w:basedOn w:val="TableText"/>
    <w:link w:val="TableTextBoldChar0"/>
    <w:qFormat/>
    <w:rsid w:val="007C259A"/>
    <w:pPr>
      <w:tabs>
        <w:tab w:val="left" w:pos="567"/>
      </w:tabs>
    </w:pPr>
    <w:rPr>
      <w:rFonts w:eastAsia="Times New Roman" w:cs="Calibri"/>
      <w:b/>
      <w:szCs w:val="20"/>
      <w:lang w:eastAsia="en-US"/>
    </w:rPr>
  </w:style>
  <w:style w:type="character" w:customStyle="1" w:styleId="TableTextBoldChar0">
    <w:name w:val="TableText Bold Char"/>
    <w:link w:val="TableTextBold0"/>
    <w:rsid w:val="007C259A"/>
    <w:rPr>
      <w:rFonts w:ascii="Calibri" w:eastAsia="Times New Roman" w:hAnsi="Calibri" w:cs="Calibri"/>
      <w:b/>
      <w:sz w:val="18"/>
      <w:szCs w:val="20"/>
    </w:rPr>
  </w:style>
  <w:style w:type="paragraph" w:customStyle="1" w:styleId="CTFTableheading">
    <w:name w:val="CTF Table heading"/>
    <w:basedOn w:val="Tableheading"/>
    <w:next w:val="BodyText"/>
    <w:uiPriority w:val="99"/>
    <w:rsid w:val="0003074D"/>
    <w:pPr>
      <w:tabs>
        <w:tab w:val="left" w:pos="1134"/>
      </w:tabs>
      <w:ind w:left="0" w:firstLine="0"/>
    </w:pPr>
    <w:rPr>
      <w:rFonts w:eastAsia="Times New Roman" w:cs="Times New Roman"/>
      <w:b w:val="0"/>
      <w:i/>
    </w:rPr>
  </w:style>
  <w:style w:type="table" w:customStyle="1" w:styleId="TableGrid1">
    <w:name w:val="Table Grid1"/>
    <w:basedOn w:val="TableNormal"/>
    <w:next w:val="TableGrid"/>
    <w:rsid w:val="007C259A"/>
    <w:pPr>
      <w:spacing w:after="0" w:line="240" w:lineRule="auto"/>
    </w:pPr>
    <w:rPr>
      <w:rFonts w:ascii="Calibri" w:eastAsia="Calibri" w:hAnsi="Calibri" w:cs="Times New Roman"/>
      <w:sz w:val="24"/>
      <w:szCs w:val="24"/>
      <w:lang w:val="en-AU"/>
    </w:rPr>
    <w:tblPr>
      <w:tblInd w:w="0" w:type="nil"/>
      <w:tblBorders>
        <w:top w:val="single" w:sz="4" w:space="0" w:color="1B556B" w:themeColor="text2"/>
        <w:bottom w:val="single" w:sz="4" w:space="0" w:color="1B556B" w:themeColor="text2"/>
        <w:insideH w:val="single" w:sz="4" w:space="0" w:color="1B556B" w:themeColor="text2"/>
        <w:insideV w:val="single" w:sz="4" w:space="0" w:color="1B556B" w:themeColor="text2"/>
      </w:tblBorders>
    </w:tblPr>
  </w:style>
  <w:style w:type="paragraph" w:styleId="NormalWeb">
    <w:name w:val="Normal (Web)"/>
    <w:basedOn w:val="Normal"/>
    <w:uiPriority w:val="99"/>
    <w:semiHidden/>
    <w:rsid w:val="007C259A"/>
    <w:pPr>
      <w:spacing w:before="100" w:beforeAutospacing="1" w:after="100" w:afterAutospacing="1" w:line="240" w:lineRule="auto"/>
      <w:jc w:val="left"/>
    </w:pPr>
    <w:rPr>
      <w:rFonts w:ascii="Times New Roman" w:hAnsi="Times New Roman" w:cs="Times New Roman"/>
      <w:sz w:val="24"/>
      <w:szCs w:val="24"/>
    </w:rPr>
  </w:style>
  <w:style w:type="table" w:styleId="GridTable2-Accent1">
    <w:name w:val="Grid Table 2 Accent 1"/>
    <w:basedOn w:val="TableNormal"/>
    <w:uiPriority w:val="47"/>
    <w:rsid w:val="007C259A"/>
    <w:pPr>
      <w:spacing w:after="0" w:line="240" w:lineRule="auto"/>
    </w:pPr>
    <w:tblPr>
      <w:tblStyleRowBandSize w:val="1"/>
      <w:tblStyleColBandSize w:val="1"/>
      <w:tblBorders>
        <w:top w:val="single" w:sz="2" w:space="0" w:color="4CAAD0" w:themeColor="accent1" w:themeTint="99"/>
        <w:bottom w:val="single" w:sz="2" w:space="0" w:color="4CAAD0" w:themeColor="accent1" w:themeTint="99"/>
        <w:insideH w:val="single" w:sz="2" w:space="0" w:color="4CAAD0" w:themeColor="accent1" w:themeTint="99"/>
        <w:insideV w:val="single" w:sz="2" w:space="0" w:color="4CAAD0" w:themeColor="accent1" w:themeTint="99"/>
      </w:tblBorders>
    </w:tblPr>
    <w:tblStylePr w:type="firstRow">
      <w:rPr>
        <w:b/>
        <w:bCs/>
      </w:rPr>
      <w:tblPr/>
      <w:tcPr>
        <w:tcBorders>
          <w:top w:val="nil"/>
          <w:bottom w:val="single" w:sz="12" w:space="0" w:color="4CAAD0" w:themeColor="accent1" w:themeTint="99"/>
          <w:insideH w:val="nil"/>
          <w:insideV w:val="nil"/>
        </w:tcBorders>
        <w:shd w:val="clear" w:color="auto" w:fill="FFFFFF" w:themeFill="background1"/>
      </w:tcPr>
    </w:tblStylePr>
    <w:tblStylePr w:type="lastRow">
      <w:rPr>
        <w:b/>
        <w:bCs/>
      </w:rPr>
      <w:tblPr/>
      <w:tcPr>
        <w:tcBorders>
          <w:top w:val="double" w:sz="2" w:space="0" w:color="4CAA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2EF" w:themeFill="accent1" w:themeFillTint="33"/>
      </w:tcPr>
    </w:tblStylePr>
    <w:tblStylePr w:type="band1Horz">
      <w:tblPr/>
      <w:tcPr>
        <w:shd w:val="clear" w:color="auto" w:fill="C3E2EF" w:themeFill="accent1" w:themeFillTint="33"/>
      </w:tcPr>
    </w:tblStylePr>
  </w:style>
  <w:style w:type="character" w:customStyle="1" w:styleId="UnresolvedMention1">
    <w:name w:val="Unresolved Mention1"/>
    <w:basedOn w:val="DefaultParagraphFont"/>
    <w:uiPriority w:val="99"/>
    <w:semiHidden/>
    <w:unhideWhenUsed/>
    <w:rsid w:val="007C259A"/>
    <w:rPr>
      <w:color w:val="605E5C"/>
      <w:shd w:val="clear" w:color="auto" w:fill="E1DFDD"/>
    </w:rPr>
  </w:style>
  <w:style w:type="paragraph" w:styleId="NoSpacing">
    <w:name w:val="No Spacing"/>
    <w:uiPriority w:val="1"/>
    <w:semiHidden/>
    <w:qFormat/>
    <w:rsid w:val="007C259A"/>
    <w:pPr>
      <w:spacing w:after="0" w:line="240" w:lineRule="auto"/>
      <w:jc w:val="both"/>
    </w:pPr>
    <w:rPr>
      <w:rFonts w:ascii="Calibri" w:hAnsi="Calibri"/>
      <w:lang w:eastAsia="en-NZ"/>
    </w:rPr>
  </w:style>
  <w:style w:type="paragraph" w:styleId="Bibliography">
    <w:name w:val="Bibliography"/>
    <w:basedOn w:val="Normal"/>
    <w:next w:val="Normal"/>
    <w:uiPriority w:val="37"/>
    <w:semiHidden/>
    <w:unhideWhenUsed/>
    <w:rsid w:val="007C259A"/>
    <w:pPr>
      <w:spacing w:before="0" w:after="160" w:line="259" w:lineRule="auto"/>
      <w:jc w:val="left"/>
    </w:pPr>
    <w:rPr>
      <w:rFonts w:eastAsia="Calibri" w:cs="Times New Roman"/>
      <w:lang w:eastAsia="en-US"/>
    </w:rPr>
  </w:style>
  <w:style w:type="paragraph" w:customStyle="1" w:styleId="Footnote">
    <w:name w:val="Footnote"/>
    <w:basedOn w:val="Normal"/>
    <w:uiPriority w:val="23"/>
    <w:semiHidden/>
    <w:rsid w:val="007C259A"/>
    <w:pPr>
      <w:spacing w:before="0" w:after="60" w:line="240" w:lineRule="atLeast"/>
      <w:ind w:left="284" w:hanging="284"/>
      <w:jc w:val="left"/>
    </w:pPr>
    <w:rPr>
      <w:sz w:val="19"/>
    </w:rPr>
  </w:style>
  <w:style w:type="paragraph" w:styleId="ListNumber2">
    <w:name w:val="List Number 2"/>
    <w:basedOn w:val="Normal"/>
    <w:uiPriority w:val="99"/>
    <w:semiHidden/>
    <w:unhideWhenUsed/>
    <w:rsid w:val="007C259A"/>
    <w:pPr>
      <w:tabs>
        <w:tab w:val="num" w:pos="643"/>
      </w:tabs>
      <w:ind w:left="643" w:hanging="360"/>
      <w:contextualSpacing/>
    </w:pPr>
  </w:style>
  <w:style w:type="character" w:styleId="PageNumber">
    <w:name w:val="page number"/>
    <w:uiPriority w:val="49"/>
    <w:semiHidden/>
    <w:rsid w:val="007C259A"/>
    <w:rPr>
      <w:rFonts w:ascii="Verdana" w:hAnsi="Verdana"/>
      <w:sz w:val="18"/>
      <w:lang w:val="en-US"/>
    </w:rPr>
  </w:style>
  <w:style w:type="table" w:customStyle="1" w:styleId="Table-Grid">
    <w:name w:val="Table-Grid"/>
    <w:basedOn w:val="TableNormal"/>
    <w:uiPriority w:val="99"/>
    <w:rsid w:val="007C259A"/>
    <w:pPr>
      <w:spacing w:after="0" w:line="240" w:lineRule="auto"/>
    </w:pPr>
    <w:rPr>
      <w:rFonts w:ascii="Calibri" w:eastAsia="Times New Roman" w:hAnsi="Calibri" w:cs="Times New Roman"/>
      <w:sz w:val="18"/>
      <w:szCs w:val="20"/>
    </w:rPr>
    <w:tblPr>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top w:w="57" w:type="dxa"/>
        <w:left w:w="85" w:type="dxa"/>
        <w:bottom w:w="57" w:type="dxa"/>
        <w:right w:w="0" w:type="dxa"/>
      </w:tblCellMar>
    </w:tblPr>
    <w:tcPr>
      <w:shd w:val="clear" w:color="auto" w:fill="FFFFFF" w:themeFill="background1"/>
    </w:tcPr>
  </w:style>
  <w:style w:type="paragraph" w:styleId="PlainText">
    <w:name w:val="Plain Text"/>
    <w:basedOn w:val="Normal"/>
    <w:link w:val="PlainTextChar"/>
    <w:semiHidden/>
    <w:unhideWhenUsed/>
    <w:rsid w:val="007C259A"/>
    <w:pPr>
      <w:spacing w:before="0" w:after="0" w:line="240" w:lineRule="auto"/>
      <w:jc w:val="left"/>
    </w:pPr>
    <w:rPr>
      <w:rFonts w:eastAsiaTheme="minorHAnsi" w:cs="Calibri"/>
      <w:lang w:eastAsia="en-US"/>
    </w:rPr>
  </w:style>
  <w:style w:type="character" w:customStyle="1" w:styleId="PlainTextChar">
    <w:name w:val="Plain Text Char"/>
    <w:basedOn w:val="DefaultParagraphFont"/>
    <w:link w:val="PlainText"/>
    <w:semiHidden/>
    <w:rsid w:val="007C259A"/>
    <w:rPr>
      <w:rFonts w:ascii="Calibri" w:hAnsi="Calibri" w:cs="Calibri"/>
    </w:rPr>
  </w:style>
  <w:style w:type="character" w:customStyle="1" w:styleId="UnresolvedMention2">
    <w:name w:val="Unresolved Mention2"/>
    <w:basedOn w:val="DefaultParagraphFont"/>
    <w:uiPriority w:val="99"/>
    <w:semiHidden/>
    <w:unhideWhenUsed/>
    <w:rsid w:val="007C259A"/>
    <w:rPr>
      <w:color w:val="605E5C"/>
      <w:shd w:val="clear" w:color="auto" w:fill="E1DFDD"/>
    </w:rPr>
  </w:style>
  <w:style w:type="character" w:styleId="Emphasis">
    <w:name w:val="Emphasis"/>
    <w:basedOn w:val="DefaultParagraphFont"/>
    <w:uiPriority w:val="20"/>
    <w:semiHidden/>
    <w:qFormat/>
    <w:rsid w:val="007C259A"/>
    <w:rPr>
      <w:i/>
      <w:iCs/>
    </w:rPr>
  </w:style>
  <w:style w:type="character" w:customStyle="1" w:styleId="UnresolvedMention3">
    <w:name w:val="Unresolved Mention3"/>
    <w:basedOn w:val="DefaultParagraphFont"/>
    <w:uiPriority w:val="99"/>
    <w:semiHidden/>
    <w:unhideWhenUsed/>
    <w:rsid w:val="007C259A"/>
    <w:rPr>
      <w:color w:val="605E5C"/>
      <w:shd w:val="clear" w:color="auto" w:fill="E1DFDD"/>
    </w:rPr>
  </w:style>
  <w:style w:type="paragraph" w:customStyle="1" w:styleId="CASESTUDYHEADING0">
    <w:name w:val="CASE STUDY HEADING"/>
    <w:basedOn w:val="BodyText"/>
    <w:uiPriority w:val="11"/>
    <w:semiHidden/>
    <w:qFormat/>
    <w:rsid w:val="00ED2EBD"/>
    <w:pPr>
      <w:spacing w:before="0" w:after="0"/>
    </w:pPr>
    <w:rPr>
      <w:rFonts w:eastAsia="Times New Roman" w:cs="Times New Roman"/>
      <w:color w:val="FFFFFF" w:themeColor="background1"/>
      <w:sz w:val="24"/>
      <w:szCs w:val="24"/>
    </w:rPr>
  </w:style>
  <w:style w:type="paragraph" w:customStyle="1" w:styleId="Boxa">
    <w:name w:val="Box a"/>
    <w:aliases w:val="b list"/>
    <w:basedOn w:val="Sub-listi"/>
    <w:semiHidden/>
    <w:qFormat/>
    <w:rsid w:val="00B71B4E"/>
    <w:pPr>
      <w:numPr>
        <w:numId w:val="17"/>
      </w:numPr>
      <w:pBdr>
        <w:top w:val="single" w:sz="6" w:space="15" w:color="0092CF"/>
        <w:left w:val="single" w:sz="6" w:space="15" w:color="0092CF"/>
        <w:bottom w:val="single" w:sz="6" w:space="15" w:color="0092CF"/>
        <w:right w:val="single" w:sz="6" w:space="15" w:color="0092CF"/>
      </w:pBdr>
      <w:tabs>
        <w:tab w:val="left" w:pos="426"/>
      </w:tabs>
      <w:spacing w:before="120" w:after="0"/>
      <w:ind w:right="284"/>
      <w:jc w:val="both"/>
    </w:pPr>
    <w:rPr>
      <w:rFonts w:eastAsia="Times New Roman" w:cs="Times New Roman"/>
      <w:color w:val="0092CF"/>
      <w:sz w:val="20"/>
      <w:szCs w:val="20"/>
    </w:rPr>
  </w:style>
  <w:style w:type="paragraph" w:customStyle="1" w:styleId="BoxBullet0">
    <w:name w:val="Box Bullet"/>
    <w:basedOn w:val="Normal"/>
    <w:semiHidden/>
    <w:rsid w:val="00987F0B"/>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0">
    <w:name w:val="BoxHeading"/>
    <w:basedOn w:val="Normal"/>
    <w:next w:val="Normal"/>
    <w:semiHidden/>
    <w:rsid w:val="00987F0B"/>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paragraph" w:customStyle="1" w:styleId="Tablecaption">
    <w:name w:val="Table caption"/>
    <w:basedOn w:val="Normal"/>
    <w:link w:val="TablecaptionChar"/>
    <w:semiHidden/>
    <w:qFormat/>
    <w:rsid w:val="00B71B4E"/>
    <w:pPr>
      <w:keepNext/>
      <w:spacing w:before="240" w:after="60" w:line="240" w:lineRule="auto"/>
      <w:ind w:left="1134" w:hanging="1134"/>
    </w:pPr>
    <w:rPr>
      <w:rFonts w:asciiTheme="minorHAnsi" w:eastAsia="Times New Roman" w:hAnsiTheme="minorHAnsi" w:cs="Times New Roman"/>
      <w:b/>
      <w:bCs/>
      <w:i/>
      <w:sz w:val="20"/>
      <w:szCs w:val="18"/>
      <w:lang w:eastAsia="en-US"/>
    </w:rPr>
  </w:style>
  <w:style w:type="character" w:customStyle="1" w:styleId="TablecaptionChar">
    <w:name w:val="Table caption Char"/>
    <w:basedOn w:val="DefaultParagraphFont"/>
    <w:link w:val="Tablecaption"/>
    <w:semiHidden/>
    <w:rsid w:val="00B71B4E"/>
    <w:rPr>
      <w:rFonts w:eastAsia="Times New Roman" w:cs="Times New Roman"/>
      <w:b/>
      <w:bCs/>
      <w:i/>
      <w:sz w:val="20"/>
      <w:szCs w:val="18"/>
    </w:rPr>
  </w:style>
  <w:style w:type="table" w:customStyle="1" w:styleId="TableGrid12">
    <w:name w:val="Table Grid12"/>
    <w:basedOn w:val="TableNormal"/>
    <w:next w:val="TableGrid"/>
    <w:uiPriority w:val="59"/>
    <w:rsid w:val="00B71B4E"/>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B71B4E"/>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oddChar">
    <w:name w:val="Footer odd Char"/>
    <w:basedOn w:val="DefaultParagraphFont"/>
    <w:link w:val="Footerodd"/>
    <w:uiPriority w:val="99"/>
    <w:rsid w:val="00B71B4E"/>
    <w:rPr>
      <w:rFonts w:ascii="Calibri" w:eastAsiaTheme="minorEastAsia" w:hAnsi="Calibri"/>
      <w:sz w:val="16"/>
      <w:lang w:eastAsia="en-NZ"/>
    </w:rPr>
  </w:style>
  <w:style w:type="table" w:styleId="LightList-Accent1">
    <w:name w:val="Light List Accent 1"/>
    <w:basedOn w:val="TableNormal"/>
    <w:uiPriority w:val="61"/>
    <w:rsid w:val="00B71B4E"/>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styleId="LightGrid-Accent1">
    <w:name w:val="Light Grid Accent 1"/>
    <w:basedOn w:val="TableNormal"/>
    <w:uiPriority w:val="62"/>
    <w:rsid w:val="00B71B4E"/>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styleId="ColorfulList-Accent6">
    <w:name w:val="Colorful List Accent 6"/>
    <w:basedOn w:val="TableNormal"/>
    <w:uiPriority w:val="72"/>
    <w:rsid w:val="00B71B4E"/>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Noteundertable">
    <w:name w:val="Note under table"/>
    <w:basedOn w:val="Note"/>
    <w:link w:val="NoteundertableChar"/>
    <w:semiHidden/>
    <w:qFormat/>
    <w:rsid w:val="00B71B4E"/>
    <w:pPr>
      <w:widowControl w:val="0"/>
      <w:tabs>
        <w:tab w:val="left" w:pos="567"/>
      </w:tabs>
      <w:adjustRightInd w:val="0"/>
      <w:spacing w:before="0" w:line="240" w:lineRule="auto"/>
      <w:ind w:left="567" w:hanging="567"/>
      <w:jc w:val="both"/>
      <w:textAlignment w:val="baseline"/>
    </w:pPr>
    <w:rPr>
      <w:rFonts w:eastAsia="Times New Roman" w:cs="Times New Roman"/>
    </w:rPr>
  </w:style>
  <w:style w:type="character" w:customStyle="1" w:styleId="NoteundertableChar">
    <w:name w:val="Note under table Char"/>
    <w:basedOn w:val="DefaultParagraphFont"/>
    <w:link w:val="Noteundertable"/>
    <w:semiHidden/>
    <w:rsid w:val="00B71B4E"/>
    <w:rPr>
      <w:rFonts w:ascii="Calibri" w:eastAsia="Times New Roman" w:hAnsi="Calibri" w:cs="Times New Roman"/>
      <w:sz w:val="18"/>
      <w:lang w:eastAsia="en-NZ"/>
    </w:rPr>
  </w:style>
  <w:style w:type="paragraph" w:styleId="DocumentMap">
    <w:name w:val="Document Map"/>
    <w:basedOn w:val="Normal"/>
    <w:link w:val="DocumentMapChar"/>
    <w:uiPriority w:val="99"/>
    <w:semiHidden/>
    <w:unhideWhenUsed/>
    <w:rsid w:val="00B71B4E"/>
    <w:pPr>
      <w:spacing w:after="0" w:line="240" w:lineRule="auto"/>
      <w:ind w:left="567"/>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B71B4E"/>
    <w:rPr>
      <w:rFonts w:ascii="Tahoma" w:eastAsia="Times New Roman" w:hAnsi="Tahoma" w:cs="Tahoma"/>
      <w:sz w:val="16"/>
      <w:szCs w:val="16"/>
      <w:lang w:eastAsia="en-NZ"/>
    </w:rPr>
  </w:style>
  <w:style w:type="paragraph" w:customStyle="1" w:styleId="Sub-bullet">
    <w:name w:val="Sub-bullet"/>
    <w:basedOn w:val="Normal"/>
    <w:semiHidden/>
    <w:rsid w:val="00B71B4E"/>
    <w:pPr>
      <w:numPr>
        <w:numId w:val="18"/>
      </w:numPr>
      <w:tabs>
        <w:tab w:val="clear" w:pos="0"/>
      </w:tabs>
      <w:spacing w:after="0" w:line="240" w:lineRule="auto"/>
    </w:pPr>
    <w:rPr>
      <w:rFonts w:ascii="Times New Roman" w:eastAsia="Times New Roman" w:hAnsi="Times New Roman" w:cs="Times New Roman"/>
      <w:szCs w:val="20"/>
    </w:rPr>
  </w:style>
  <w:style w:type="character" w:styleId="HTMLCite">
    <w:name w:val="HTML Cite"/>
    <w:uiPriority w:val="99"/>
    <w:semiHidden/>
    <w:unhideWhenUsed/>
    <w:rsid w:val="00B71B4E"/>
    <w:rPr>
      <w:i w:val="0"/>
      <w:iCs w:val="0"/>
      <w:color w:val="388222"/>
    </w:rPr>
  </w:style>
  <w:style w:type="paragraph" w:styleId="TOCHeading">
    <w:name w:val="TOC Heading"/>
    <w:basedOn w:val="Heading1"/>
    <w:next w:val="Normal"/>
    <w:uiPriority w:val="39"/>
    <w:semiHidden/>
    <w:qFormat/>
    <w:rsid w:val="00B71B4E"/>
    <w:pPr>
      <w:keepLines/>
      <w:tabs>
        <w:tab w:val="clear" w:pos="851"/>
      </w:tabs>
      <w:spacing w:before="480" w:after="0" w:line="280" w:lineRule="atLeast"/>
      <w:ind w:left="680" w:hanging="680"/>
      <w:jc w:val="both"/>
      <w:outlineLvl w:val="9"/>
    </w:pPr>
    <w:rPr>
      <w:rFonts w:asciiTheme="majorHAnsi" w:hAnsiTheme="majorHAnsi"/>
      <w:color w:val="153F50" w:themeColor="accent1" w:themeShade="BF"/>
      <w:sz w:val="28"/>
    </w:rPr>
  </w:style>
  <w:style w:type="character" w:customStyle="1" w:styleId="ColorfulGrid-Accent1Char">
    <w:name w:val="Colorful Grid - Accent 1 Char"/>
    <w:link w:val="ColorfulGrid-Accent1"/>
    <w:rsid w:val="00B71B4E"/>
    <w:rPr>
      <w:rFonts w:ascii="Times New Roman" w:eastAsia="Times New Roman" w:hAnsi="Times New Roman" w:cs="Times New Roman"/>
      <w:sz w:val="20"/>
      <w:szCs w:val="20"/>
    </w:rPr>
  </w:style>
  <w:style w:type="table" w:styleId="ColorfulGrid-Accent1">
    <w:name w:val="Colorful Grid Accent 1"/>
    <w:basedOn w:val="TableNormal"/>
    <w:link w:val="ColorfulGrid-Accent1Char"/>
    <w:rsid w:val="00B71B4E"/>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ReferencesChar">
    <w:name w:val="References Char"/>
    <w:link w:val="References"/>
    <w:semiHidden/>
    <w:rsid w:val="002231CC"/>
    <w:rPr>
      <w:rFonts w:ascii="Calibri" w:eastAsiaTheme="minorEastAsia" w:hAnsi="Calibri"/>
      <w:sz w:val="20"/>
      <w:lang w:eastAsia="en-NZ"/>
    </w:rPr>
  </w:style>
  <w:style w:type="paragraph" w:styleId="TOC5">
    <w:name w:val="toc 5"/>
    <w:basedOn w:val="Normal"/>
    <w:next w:val="Normal"/>
    <w:autoRedefine/>
    <w:uiPriority w:val="39"/>
    <w:semiHidden/>
    <w:rsid w:val="00B71B4E"/>
    <w:pPr>
      <w:spacing w:after="0"/>
      <w:ind w:left="880"/>
    </w:pPr>
    <w:rPr>
      <w:rFonts w:eastAsia="Calibri" w:cs="Times New Roman"/>
      <w:sz w:val="18"/>
      <w:szCs w:val="18"/>
    </w:rPr>
  </w:style>
  <w:style w:type="paragraph" w:styleId="TOC6">
    <w:name w:val="toc 6"/>
    <w:basedOn w:val="Normal"/>
    <w:next w:val="Normal"/>
    <w:autoRedefine/>
    <w:uiPriority w:val="39"/>
    <w:semiHidden/>
    <w:rsid w:val="00B71B4E"/>
    <w:pPr>
      <w:spacing w:after="0"/>
      <w:ind w:left="1100"/>
    </w:pPr>
    <w:rPr>
      <w:rFonts w:eastAsia="Calibri" w:cs="Times New Roman"/>
      <w:sz w:val="18"/>
      <w:szCs w:val="18"/>
    </w:rPr>
  </w:style>
  <w:style w:type="paragraph" w:styleId="TOC7">
    <w:name w:val="toc 7"/>
    <w:basedOn w:val="Normal"/>
    <w:next w:val="Normal"/>
    <w:autoRedefine/>
    <w:uiPriority w:val="39"/>
    <w:semiHidden/>
    <w:rsid w:val="00B71B4E"/>
    <w:pPr>
      <w:spacing w:after="0"/>
      <w:ind w:left="1320"/>
    </w:pPr>
    <w:rPr>
      <w:rFonts w:eastAsia="Calibri" w:cs="Times New Roman"/>
      <w:sz w:val="18"/>
      <w:szCs w:val="18"/>
    </w:rPr>
  </w:style>
  <w:style w:type="paragraph" w:styleId="TOC8">
    <w:name w:val="toc 8"/>
    <w:basedOn w:val="Normal"/>
    <w:next w:val="Normal"/>
    <w:autoRedefine/>
    <w:uiPriority w:val="39"/>
    <w:semiHidden/>
    <w:rsid w:val="00B71B4E"/>
    <w:pPr>
      <w:spacing w:after="0"/>
      <w:ind w:left="1540"/>
    </w:pPr>
    <w:rPr>
      <w:rFonts w:eastAsia="Calibri" w:cs="Times New Roman"/>
      <w:sz w:val="18"/>
      <w:szCs w:val="18"/>
    </w:rPr>
  </w:style>
  <w:style w:type="paragraph" w:styleId="TOC9">
    <w:name w:val="toc 9"/>
    <w:basedOn w:val="Normal"/>
    <w:next w:val="Normal"/>
    <w:autoRedefine/>
    <w:uiPriority w:val="39"/>
    <w:semiHidden/>
    <w:rsid w:val="00B71B4E"/>
    <w:pPr>
      <w:spacing w:after="0"/>
      <w:ind w:left="1760"/>
    </w:pPr>
    <w:rPr>
      <w:rFonts w:eastAsia="Calibri" w:cs="Times New Roman"/>
      <w:sz w:val="18"/>
      <w:szCs w:val="18"/>
    </w:rPr>
  </w:style>
  <w:style w:type="table" w:styleId="LightShading-Accent3">
    <w:name w:val="Light Shading Accent 3"/>
    <w:basedOn w:val="TableNormal"/>
    <w:uiPriority w:val="60"/>
    <w:rsid w:val="00B71B4E"/>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styleId="ColorfulList-Accent4">
    <w:name w:val="Colorful List Accent 4"/>
    <w:basedOn w:val="TableNormal"/>
    <w:uiPriority w:val="72"/>
    <w:rsid w:val="00B71B4E"/>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styleId="MediumShading1-Accent3">
    <w:name w:val="Medium Shading 1 Accent 3"/>
    <w:basedOn w:val="TableNormal"/>
    <w:uiPriority w:val="63"/>
    <w:rsid w:val="00B71B4E"/>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B71B4E"/>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styleId="ColorfulGrid-Accent3">
    <w:name w:val="Colorful Grid Accent 3"/>
    <w:basedOn w:val="TableNormal"/>
    <w:uiPriority w:val="73"/>
    <w:rsid w:val="00B71B4E"/>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GridTable1Light-Accent41">
    <w:name w:val="Grid Table 1 Light - Accent 41"/>
    <w:basedOn w:val="TableNormal"/>
    <w:uiPriority w:val="46"/>
    <w:rsid w:val="00B71B4E"/>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1">
    <w:name w:val="Colorful Grid - Accent 11"/>
    <w:basedOn w:val="TableNormal"/>
    <w:next w:val="ColorfulGrid-Accent1"/>
    <w:rsid w:val="00B71B4E"/>
    <w:pPr>
      <w:spacing w:after="0" w:line="240" w:lineRule="auto"/>
    </w:pPr>
    <w:rPr>
      <w:rFonts w:ascii="Times New Roman" w:eastAsia="Times New Roman" w:hAnsi="Times New Roman" w:cs="Times New Roman"/>
      <w:sz w:val="20"/>
      <w:szCs w:val="20"/>
      <w:lang w:val="x-none" w:eastAsia="x-none"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1">
    <w:name w:val="Table-Grid1"/>
    <w:basedOn w:val="TableNormal"/>
    <w:uiPriority w:val="99"/>
    <w:rsid w:val="00B71B4E"/>
    <w:pPr>
      <w:spacing w:after="0" w:line="240" w:lineRule="auto"/>
    </w:pPr>
    <w:rPr>
      <w:rFonts w:ascii="Times New Roman" w:eastAsia="Times New Roman" w:hAnsi="Times New Roman" w:cs="Times New Roman"/>
      <w:sz w:val="20"/>
      <w:szCs w:val="20"/>
      <w:lang w:eastAsia="en-NZ"/>
    </w:rPr>
    <w:tblPr>
      <w:tblBorders>
        <w:top w:val="single" w:sz="6" w:space="0" w:color="808080"/>
        <w:bottom w:val="single" w:sz="6" w:space="0" w:color="808080"/>
      </w:tblBorders>
      <w:tblCellMar>
        <w:top w:w="57" w:type="dxa"/>
        <w:left w:w="85" w:type="dxa"/>
        <w:bottom w:w="57" w:type="dxa"/>
        <w:right w:w="0" w:type="dxa"/>
      </w:tblCellMar>
    </w:tblPr>
    <w:tcPr>
      <w:shd w:val="clear" w:color="auto" w:fill="FFFFFF"/>
    </w:tcPr>
  </w:style>
  <w:style w:type="table" w:customStyle="1" w:styleId="LightShading-Accent31">
    <w:name w:val="Light Shading - Accent 31"/>
    <w:basedOn w:val="TableNormal"/>
    <w:next w:val="LightShading-Accent3"/>
    <w:uiPriority w:val="60"/>
    <w:rsid w:val="00B71B4E"/>
    <w:pPr>
      <w:spacing w:after="0" w:line="240" w:lineRule="auto"/>
    </w:pPr>
    <w:rPr>
      <w:rFonts w:ascii="Calibri" w:eastAsia="Calibri" w:hAnsi="Calibri" w:cs="Times New Roman"/>
      <w:color w:val="76923C"/>
      <w:sz w:val="20"/>
      <w:szCs w:val="20"/>
      <w:lang w:eastAsia="en-N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olorfulList-Accent41">
    <w:name w:val="Colorful List - Accent 41"/>
    <w:basedOn w:val="TableNormal"/>
    <w:next w:val="ColorfulList-Accent4"/>
    <w:uiPriority w:val="72"/>
    <w:rsid w:val="00B71B4E"/>
    <w:pPr>
      <w:spacing w:after="0" w:line="240" w:lineRule="auto"/>
    </w:pPr>
    <w:rPr>
      <w:rFonts w:ascii="Calibri" w:eastAsia="Calibri" w:hAnsi="Calibri" w:cs="Times New Roman"/>
      <w:color w:val="000000"/>
      <w:sz w:val="20"/>
      <w:szCs w:val="20"/>
      <w:lang w:eastAsia="en-NZ"/>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Shading1-Accent31">
    <w:name w:val="Medium Shading 1 - Accent 31"/>
    <w:basedOn w:val="TableNormal"/>
    <w:next w:val="MediumShading1-Accent3"/>
    <w:uiPriority w:val="63"/>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List-Accent41">
    <w:name w:val="Light List - Accent 41"/>
    <w:basedOn w:val="TableNormal"/>
    <w:next w:val="LightList-Accent4"/>
    <w:uiPriority w:val="61"/>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ColorfulGrid-Accent31">
    <w:name w:val="Colorful Grid - Accent 31"/>
    <w:basedOn w:val="TableNormal"/>
    <w:next w:val="ColorfulGrid-Accent3"/>
    <w:uiPriority w:val="73"/>
    <w:rsid w:val="00B71B4E"/>
    <w:pPr>
      <w:spacing w:after="0" w:line="240" w:lineRule="auto"/>
    </w:pPr>
    <w:rPr>
      <w:rFonts w:ascii="Calibri" w:eastAsia="Calibri" w:hAnsi="Calibri" w:cs="Times New Roman"/>
      <w:color w:val="000000"/>
      <w:sz w:val="20"/>
      <w:szCs w:val="20"/>
      <w:lang w:eastAsia="en-NZ"/>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List-Accent31">
    <w:name w:val="Light List - Accent 31"/>
    <w:basedOn w:val="TableNormal"/>
    <w:next w:val="LightList-Accent3"/>
    <w:uiPriority w:val="61"/>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dTable1LightAccent41">
    <w:name w:val="Grid Table 1 Light Accent 41"/>
    <w:basedOn w:val="TableNormal"/>
    <w:uiPriority w:val="46"/>
    <w:rsid w:val="00B71B4E"/>
    <w:pPr>
      <w:spacing w:after="0" w:line="240" w:lineRule="auto"/>
    </w:pPr>
    <w:rPr>
      <w:rFonts w:ascii="Calibri" w:eastAsia="Times New Roman" w:hAnsi="Calibri" w:cs="Times New Roman"/>
      <w:sz w:val="20"/>
      <w:szCs w:val="20"/>
      <w:lang w:eastAsia="en-NZ"/>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eGrid3">
    <w:name w:val="Table Grid3"/>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71B4E"/>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B71B4E"/>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olorfulList-Accent61">
    <w:name w:val="Colorful List - Accent 61"/>
    <w:basedOn w:val="TableNormal"/>
    <w:next w:val="ColorfulList-Accent6"/>
    <w:uiPriority w:val="72"/>
    <w:rsid w:val="00B71B4E"/>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5">
    <w:name w:val="Table Grid5"/>
    <w:basedOn w:val="TableNormal"/>
    <w:next w:val="TableGrid"/>
    <w:rsid w:val="00B71B4E"/>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
    <w:name w:val="Colorful Grid - Accent 12"/>
    <w:basedOn w:val="TableNormal"/>
    <w:next w:val="ColorfulGrid-Accent1"/>
    <w:rsid w:val="00B71B4E"/>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
    <w:name w:val="Table-Grid2"/>
    <w:basedOn w:val="TableNormal"/>
    <w:uiPriority w:val="99"/>
    <w:rsid w:val="00B71B4E"/>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2">
    <w:name w:val="Light Shading - Accent 32"/>
    <w:basedOn w:val="TableNormal"/>
    <w:next w:val="LightShading-Accent3"/>
    <w:uiPriority w:val="60"/>
    <w:rsid w:val="00B71B4E"/>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2">
    <w:name w:val="Colorful List - Accent 42"/>
    <w:basedOn w:val="TableNormal"/>
    <w:next w:val="ColorfulList-Accent4"/>
    <w:uiPriority w:val="72"/>
    <w:rsid w:val="00B71B4E"/>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2">
    <w:name w:val="Medium Shading 1 - Accent 32"/>
    <w:basedOn w:val="TableNormal"/>
    <w:next w:val="MediumShading1-Accent3"/>
    <w:uiPriority w:val="63"/>
    <w:rsid w:val="00B71B4E"/>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2">
    <w:name w:val="Light List - Accent 42"/>
    <w:basedOn w:val="TableNormal"/>
    <w:next w:val="LightList-Accent4"/>
    <w:uiPriority w:val="61"/>
    <w:rsid w:val="00B71B4E"/>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2">
    <w:name w:val="Colorful Grid - Accent 32"/>
    <w:basedOn w:val="TableNormal"/>
    <w:next w:val="ColorfulGrid-Accent3"/>
    <w:uiPriority w:val="73"/>
    <w:rsid w:val="00B71B4E"/>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2">
    <w:name w:val="Light List - Accent 32"/>
    <w:basedOn w:val="TableNormal"/>
    <w:next w:val="LightList-Accent3"/>
    <w:uiPriority w:val="61"/>
    <w:rsid w:val="00B71B4E"/>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2">
    <w:name w:val="Grid Table 1 Light Accent 42"/>
    <w:basedOn w:val="TableNormal"/>
    <w:uiPriority w:val="46"/>
    <w:rsid w:val="00B71B4E"/>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6">
    <w:name w:val="Table Grid6"/>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71B4E"/>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5">
    <w:name w:val="Grid Table 1 Light - Accent 415"/>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character" w:customStyle="1" w:styleId="Mention1">
    <w:name w:val="Mention1"/>
    <w:basedOn w:val="DefaultParagraphFont"/>
    <w:uiPriority w:val="99"/>
    <w:semiHidden/>
    <w:unhideWhenUsed/>
    <w:rsid w:val="00B71B4E"/>
    <w:rPr>
      <w:color w:val="2B579A"/>
      <w:shd w:val="clear" w:color="auto" w:fill="E6E6E6"/>
    </w:rPr>
  </w:style>
  <w:style w:type="table" w:customStyle="1" w:styleId="GridTable1Light1">
    <w:name w:val="Grid Table 1 Light1"/>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9">
    <w:name w:val="Table Grid9"/>
    <w:basedOn w:val="TableNormal"/>
    <w:next w:val="TableGrid"/>
    <w:uiPriority w:val="59"/>
    <w:rsid w:val="00B71B4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LightShading-Accent1"/>
    <w:uiPriority w:val="60"/>
    <w:rsid w:val="00B71B4E"/>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2">
    <w:name w:val="Light List - Accent 12"/>
    <w:basedOn w:val="TableNormal"/>
    <w:next w:val="LightList-Accent1"/>
    <w:uiPriority w:val="61"/>
    <w:rsid w:val="00B71B4E"/>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customStyle="1" w:styleId="LightGrid-Accent12">
    <w:name w:val="Light Grid - Accent 12"/>
    <w:basedOn w:val="TableNormal"/>
    <w:next w:val="LightGrid-Accent1"/>
    <w:uiPriority w:val="62"/>
    <w:rsid w:val="00B71B4E"/>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ColorfulList-Accent62">
    <w:name w:val="Colorful List - Accent 62"/>
    <w:basedOn w:val="TableNormal"/>
    <w:next w:val="ColorfulList-Accent6"/>
    <w:uiPriority w:val="72"/>
    <w:rsid w:val="00B71B4E"/>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13">
    <w:name w:val="Table Grid13"/>
    <w:basedOn w:val="TableNormal"/>
    <w:next w:val="TableGrid"/>
    <w:rsid w:val="00B71B4E"/>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3">
    <w:name w:val="Colorful Grid - Accent 13"/>
    <w:basedOn w:val="TableNormal"/>
    <w:next w:val="ColorfulGrid-Accent1"/>
    <w:rsid w:val="00B71B4E"/>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3">
    <w:name w:val="Table-Grid3"/>
    <w:basedOn w:val="TableNormal"/>
    <w:uiPriority w:val="99"/>
    <w:rsid w:val="00B71B4E"/>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3">
    <w:name w:val="Light Shading - Accent 33"/>
    <w:basedOn w:val="TableNormal"/>
    <w:next w:val="LightShading-Accent3"/>
    <w:uiPriority w:val="60"/>
    <w:rsid w:val="00B71B4E"/>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3">
    <w:name w:val="Colorful List - Accent 43"/>
    <w:basedOn w:val="TableNormal"/>
    <w:next w:val="ColorfulList-Accent4"/>
    <w:uiPriority w:val="72"/>
    <w:rsid w:val="00B71B4E"/>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3">
    <w:name w:val="Medium Shading 1 - Accent 33"/>
    <w:basedOn w:val="TableNormal"/>
    <w:next w:val="MediumShading1-Accent3"/>
    <w:uiPriority w:val="63"/>
    <w:rsid w:val="00B71B4E"/>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3">
    <w:name w:val="Light List - Accent 43"/>
    <w:basedOn w:val="TableNormal"/>
    <w:next w:val="LightList-Accent4"/>
    <w:uiPriority w:val="61"/>
    <w:rsid w:val="00B71B4E"/>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3">
    <w:name w:val="Colorful Grid - Accent 33"/>
    <w:basedOn w:val="TableNormal"/>
    <w:next w:val="ColorfulGrid-Accent3"/>
    <w:uiPriority w:val="73"/>
    <w:rsid w:val="00B71B4E"/>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3">
    <w:name w:val="Light List - Accent 33"/>
    <w:basedOn w:val="TableNormal"/>
    <w:next w:val="LightList-Accent3"/>
    <w:uiPriority w:val="61"/>
    <w:rsid w:val="00B71B4E"/>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3">
    <w:name w:val="Grid Table 1 Light Accent 43"/>
    <w:basedOn w:val="TableNormal"/>
    <w:uiPriority w:val="46"/>
    <w:rsid w:val="00B71B4E"/>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21">
    <w:name w:val="Table Grid21"/>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11">
    <w:name w:val="Colorful Grid - Accent 111"/>
    <w:basedOn w:val="TableNormal"/>
    <w:next w:val="ColorfulGrid-Accent1"/>
    <w:rsid w:val="00B71B4E"/>
    <w:pPr>
      <w:spacing w:after="0" w:line="240" w:lineRule="auto"/>
    </w:pPr>
    <w:rPr>
      <w:rFonts w:ascii="Times New Roman" w:eastAsia="Times New Roman" w:hAnsi="Times New Roman" w:cs="Times New Roman"/>
      <w:sz w:val="20"/>
      <w:szCs w:val="20"/>
      <w:lang w:val="x-none" w:eastAsia="x-none"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11">
    <w:name w:val="Table-Grid11"/>
    <w:basedOn w:val="TableNormal"/>
    <w:uiPriority w:val="99"/>
    <w:rsid w:val="00B71B4E"/>
    <w:pPr>
      <w:spacing w:after="0" w:line="240" w:lineRule="auto"/>
    </w:pPr>
    <w:rPr>
      <w:rFonts w:ascii="Times New Roman" w:eastAsia="Times New Roman" w:hAnsi="Times New Roman" w:cs="Times New Roman"/>
      <w:sz w:val="20"/>
      <w:szCs w:val="20"/>
      <w:lang w:eastAsia="en-NZ"/>
    </w:rPr>
    <w:tblPr>
      <w:tblBorders>
        <w:top w:val="single" w:sz="6" w:space="0" w:color="808080"/>
        <w:bottom w:val="single" w:sz="6" w:space="0" w:color="808080"/>
      </w:tblBorders>
      <w:tblCellMar>
        <w:top w:w="57" w:type="dxa"/>
        <w:left w:w="85" w:type="dxa"/>
        <w:bottom w:w="57" w:type="dxa"/>
        <w:right w:w="0" w:type="dxa"/>
      </w:tblCellMar>
    </w:tblPr>
    <w:tcPr>
      <w:shd w:val="clear" w:color="auto" w:fill="FFFFFF"/>
    </w:tcPr>
  </w:style>
  <w:style w:type="table" w:customStyle="1" w:styleId="LightShading-Accent311">
    <w:name w:val="Light Shading - Accent 311"/>
    <w:basedOn w:val="TableNormal"/>
    <w:next w:val="LightShading-Accent3"/>
    <w:uiPriority w:val="60"/>
    <w:rsid w:val="00B71B4E"/>
    <w:pPr>
      <w:spacing w:after="0" w:line="240" w:lineRule="auto"/>
    </w:pPr>
    <w:rPr>
      <w:rFonts w:ascii="Calibri" w:eastAsia="Calibri" w:hAnsi="Calibri" w:cs="Times New Roman"/>
      <w:color w:val="76923C"/>
      <w:sz w:val="20"/>
      <w:szCs w:val="20"/>
      <w:lang w:eastAsia="en-N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olorfulList-Accent411">
    <w:name w:val="Colorful List - Accent 411"/>
    <w:basedOn w:val="TableNormal"/>
    <w:next w:val="ColorfulList-Accent4"/>
    <w:uiPriority w:val="72"/>
    <w:rsid w:val="00B71B4E"/>
    <w:pPr>
      <w:spacing w:after="0" w:line="240" w:lineRule="auto"/>
    </w:pPr>
    <w:rPr>
      <w:rFonts w:ascii="Calibri" w:eastAsia="Calibri" w:hAnsi="Calibri" w:cs="Times New Roman"/>
      <w:color w:val="000000"/>
      <w:sz w:val="20"/>
      <w:szCs w:val="20"/>
      <w:lang w:eastAsia="en-NZ"/>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Shading1-Accent311">
    <w:name w:val="Medium Shading 1 - Accent 311"/>
    <w:basedOn w:val="TableNormal"/>
    <w:next w:val="MediumShading1-Accent3"/>
    <w:uiPriority w:val="63"/>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List-Accent411">
    <w:name w:val="Light List - Accent 411"/>
    <w:basedOn w:val="TableNormal"/>
    <w:next w:val="LightList-Accent4"/>
    <w:uiPriority w:val="61"/>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ColorfulGrid-Accent311">
    <w:name w:val="Colorful Grid - Accent 311"/>
    <w:basedOn w:val="TableNormal"/>
    <w:next w:val="ColorfulGrid-Accent3"/>
    <w:uiPriority w:val="73"/>
    <w:rsid w:val="00B71B4E"/>
    <w:pPr>
      <w:spacing w:after="0" w:line="240" w:lineRule="auto"/>
    </w:pPr>
    <w:rPr>
      <w:rFonts w:ascii="Calibri" w:eastAsia="Calibri" w:hAnsi="Calibri" w:cs="Times New Roman"/>
      <w:color w:val="000000"/>
      <w:sz w:val="20"/>
      <w:szCs w:val="20"/>
      <w:lang w:eastAsia="en-NZ"/>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List-Accent311">
    <w:name w:val="Light List - Accent 311"/>
    <w:basedOn w:val="TableNormal"/>
    <w:next w:val="LightList-Accent3"/>
    <w:uiPriority w:val="61"/>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dTable1LightAccent411">
    <w:name w:val="Grid Table 1 Light Accent 411"/>
    <w:basedOn w:val="TableNormal"/>
    <w:uiPriority w:val="46"/>
    <w:rsid w:val="00B71B4E"/>
    <w:pPr>
      <w:spacing w:after="0" w:line="240" w:lineRule="auto"/>
    </w:pPr>
    <w:rPr>
      <w:rFonts w:ascii="Calibri" w:eastAsia="Times New Roman" w:hAnsi="Calibri" w:cs="Times New Roman"/>
      <w:sz w:val="20"/>
      <w:szCs w:val="20"/>
      <w:lang w:eastAsia="en-NZ"/>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eGrid31">
    <w:name w:val="Table Grid31"/>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71B4E"/>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1">
    <w:name w:val="Table Grid111"/>
    <w:basedOn w:val="TableNormal"/>
    <w:next w:val="TableGrid"/>
    <w:uiPriority w:val="59"/>
    <w:rsid w:val="00B71B4E"/>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olorfulList-Accent611">
    <w:name w:val="Colorful List - Accent 611"/>
    <w:basedOn w:val="TableNormal"/>
    <w:next w:val="ColorfulList-Accent6"/>
    <w:uiPriority w:val="72"/>
    <w:rsid w:val="00B71B4E"/>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51">
    <w:name w:val="Table Grid51"/>
    <w:basedOn w:val="TableNormal"/>
    <w:next w:val="TableGrid"/>
    <w:rsid w:val="00B71B4E"/>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1">
    <w:name w:val="Colorful Grid - Accent 121"/>
    <w:basedOn w:val="TableNormal"/>
    <w:next w:val="ColorfulGrid-Accent1"/>
    <w:rsid w:val="00B71B4E"/>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1">
    <w:name w:val="Table-Grid21"/>
    <w:basedOn w:val="TableNormal"/>
    <w:uiPriority w:val="99"/>
    <w:rsid w:val="00B71B4E"/>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21">
    <w:name w:val="Light Shading - Accent 321"/>
    <w:basedOn w:val="TableNormal"/>
    <w:next w:val="LightShading-Accent3"/>
    <w:uiPriority w:val="60"/>
    <w:rsid w:val="00B71B4E"/>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21">
    <w:name w:val="Colorful List - Accent 421"/>
    <w:basedOn w:val="TableNormal"/>
    <w:next w:val="ColorfulList-Accent4"/>
    <w:uiPriority w:val="72"/>
    <w:rsid w:val="00B71B4E"/>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21">
    <w:name w:val="Medium Shading 1 - Accent 321"/>
    <w:basedOn w:val="TableNormal"/>
    <w:next w:val="MediumShading1-Accent3"/>
    <w:uiPriority w:val="63"/>
    <w:rsid w:val="00B71B4E"/>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21">
    <w:name w:val="Light List - Accent 421"/>
    <w:basedOn w:val="TableNormal"/>
    <w:next w:val="LightList-Accent4"/>
    <w:uiPriority w:val="61"/>
    <w:rsid w:val="00B71B4E"/>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21">
    <w:name w:val="Colorful Grid - Accent 321"/>
    <w:basedOn w:val="TableNormal"/>
    <w:next w:val="ColorfulGrid-Accent3"/>
    <w:uiPriority w:val="73"/>
    <w:rsid w:val="00B71B4E"/>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21">
    <w:name w:val="Light List - Accent 321"/>
    <w:basedOn w:val="TableNormal"/>
    <w:next w:val="LightList-Accent3"/>
    <w:uiPriority w:val="61"/>
    <w:rsid w:val="00B71B4E"/>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21">
    <w:name w:val="Grid Table 1 Light Accent 421"/>
    <w:basedOn w:val="TableNormal"/>
    <w:uiPriority w:val="46"/>
    <w:rsid w:val="00B71B4E"/>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61">
    <w:name w:val="Table Grid61"/>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B71B4E"/>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1">
    <w:name w:val="Grid Table 1 Light - Accent 411"/>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11">
    <w:name w:val="Grid Table 1 Light11"/>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ghtShading-Accent111">
    <w:name w:val="Light Shading - Accent 111"/>
    <w:basedOn w:val="TableNormal"/>
    <w:uiPriority w:val="60"/>
    <w:rsid w:val="00B71B4E"/>
    <w:pPr>
      <w:spacing w:after="0" w:line="240" w:lineRule="auto"/>
    </w:pPr>
    <w:rPr>
      <w:rFonts w:ascii="Calibri" w:eastAsia="Calibri"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
    <w:name w:val="Light List - Accent 111"/>
    <w:basedOn w:val="TableNormal"/>
    <w:uiPriority w:val="61"/>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
    <w:name w:val="Light Grid - Accent 111"/>
    <w:basedOn w:val="TableNormal"/>
    <w:uiPriority w:val="62"/>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81">
    <w:name w:val="Table Grid81"/>
    <w:basedOn w:val="TableNormal"/>
    <w:next w:val="TableGrid"/>
    <w:uiPriority w:val="59"/>
    <w:rsid w:val="00B71B4E"/>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1">
    <w:name w:val="Table Grid121"/>
    <w:basedOn w:val="TableNormal"/>
    <w:next w:val="TableGrid"/>
    <w:uiPriority w:val="59"/>
    <w:rsid w:val="00B71B4E"/>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4">
    <w:name w:val="Colorful Grid - Accent 14"/>
    <w:basedOn w:val="TableNormal"/>
    <w:next w:val="ColorfulGrid-Accent1"/>
    <w:rsid w:val="00B71B4E"/>
    <w:pPr>
      <w:spacing w:after="0" w:line="240" w:lineRule="auto"/>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4">
    <w:name w:val="Table-Grid4"/>
    <w:basedOn w:val="TableNormal"/>
    <w:uiPriority w:val="99"/>
    <w:rsid w:val="00B71B4E"/>
    <w:pPr>
      <w:spacing w:after="0" w:line="240" w:lineRule="auto"/>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4">
    <w:name w:val="Light Shading - Accent 34"/>
    <w:basedOn w:val="TableNormal"/>
    <w:next w:val="LightShading-Accent3"/>
    <w:uiPriority w:val="60"/>
    <w:rsid w:val="00B71B4E"/>
    <w:pPr>
      <w:spacing w:after="0" w:line="240" w:lineRule="auto"/>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4">
    <w:name w:val="Colorful List - Accent 44"/>
    <w:basedOn w:val="TableNormal"/>
    <w:next w:val="ColorfulList-Accent4"/>
    <w:uiPriority w:val="72"/>
    <w:rsid w:val="00B71B4E"/>
    <w:pPr>
      <w:spacing w:after="0" w:line="240" w:lineRule="auto"/>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4">
    <w:name w:val="Medium Shading 1 - Accent 34"/>
    <w:basedOn w:val="TableNormal"/>
    <w:next w:val="MediumShading1-Accent3"/>
    <w:uiPriority w:val="63"/>
    <w:rsid w:val="00B71B4E"/>
    <w:pPr>
      <w:spacing w:after="0" w:line="240" w:lineRule="auto"/>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4">
    <w:name w:val="Light List - Accent 44"/>
    <w:basedOn w:val="TableNormal"/>
    <w:next w:val="LightList-Accent4"/>
    <w:uiPriority w:val="61"/>
    <w:rsid w:val="00B71B4E"/>
    <w:pPr>
      <w:spacing w:after="0" w:line="240" w:lineRule="auto"/>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4">
    <w:name w:val="Colorful Grid - Accent 34"/>
    <w:basedOn w:val="TableNormal"/>
    <w:next w:val="ColorfulGrid-Accent3"/>
    <w:uiPriority w:val="73"/>
    <w:rsid w:val="00B71B4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4">
    <w:name w:val="Light List - Accent 34"/>
    <w:basedOn w:val="TableNormal"/>
    <w:next w:val="LightList-Accent3"/>
    <w:uiPriority w:val="61"/>
    <w:rsid w:val="00B71B4E"/>
    <w:pPr>
      <w:spacing w:after="0" w:line="240" w:lineRule="auto"/>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4">
    <w:name w:val="Grid Table 1 Light Accent 44"/>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Accent412">
    <w:name w:val="Grid Table 1 Light - Accent 412"/>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character" w:customStyle="1" w:styleId="FootnoteTextChar1">
    <w:name w:val="Footnote Text Char1"/>
    <w:aliases w:val="fn Char1,Geneva 9 Char1,Font: Geneva 9 Char1,Boston 10 Char1,f Char1,ft Char2,Fotnotstext Char Char1,ft Char Char1,single space Char1,FOOTNOTES Char1,ADB Char1,single space1 Char1,footnote text1 Char1,FOOTNOTES1 Char1,fn1 Char1"/>
    <w:basedOn w:val="DefaultParagraphFont"/>
    <w:uiPriority w:val="99"/>
    <w:semiHidden/>
    <w:rsid w:val="00B71B4E"/>
    <w:rPr>
      <w:sz w:val="20"/>
      <w:szCs w:val="20"/>
    </w:rPr>
  </w:style>
  <w:style w:type="character" w:customStyle="1" w:styleId="CommentTextChar1">
    <w:name w:val="Comment Text Char1"/>
    <w:aliases w:val="Char7 Char1"/>
    <w:basedOn w:val="DefaultParagraphFont"/>
    <w:uiPriority w:val="99"/>
    <w:semiHidden/>
    <w:rsid w:val="00B71B4E"/>
    <w:rPr>
      <w:sz w:val="20"/>
      <w:szCs w:val="20"/>
    </w:rPr>
  </w:style>
  <w:style w:type="character" w:customStyle="1" w:styleId="FooterChar1">
    <w:name w:val="Footer Char1"/>
    <w:aliases w:val="Footer MFAT Char1"/>
    <w:basedOn w:val="DefaultParagraphFont"/>
    <w:uiPriority w:val="22"/>
    <w:semiHidden/>
    <w:rsid w:val="00B71B4E"/>
  </w:style>
  <w:style w:type="table" w:customStyle="1" w:styleId="TableGrid14">
    <w:name w:val="Table Grid14"/>
    <w:basedOn w:val="TableNormal"/>
    <w:next w:val="TableGrid"/>
    <w:uiPriority w:val="59"/>
    <w:rsid w:val="00B71B4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3">
    <w:name w:val="Light Shading - Accent 13"/>
    <w:basedOn w:val="TableNormal"/>
    <w:next w:val="LightShading-Accent1"/>
    <w:uiPriority w:val="60"/>
    <w:rsid w:val="00B71B4E"/>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3">
    <w:name w:val="Light List - Accent 13"/>
    <w:basedOn w:val="TableNormal"/>
    <w:next w:val="LightList-Accent1"/>
    <w:uiPriority w:val="61"/>
    <w:rsid w:val="00B71B4E"/>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customStyle="1" w:styleId="LightGrid-Accent13">
    <w:name w:val="Light Grid - Accent 13"/>
    <w:basedOn w:val="TableNormal"/>
    <w:next w:val="LightGrid-Accent1"/>
    <w:uiPriority w:val="62"/>
    <w:rsid w:val="00B71B4E"/>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ColorfulList-Accent63">
    <w:name w:val="Colorful List - Accent 63"/>
    <w:basedOn w:val="TableNormal"/>
    <w:next w:val="ColorfulList-Accent6"/>
    <w:uiPriority w:val="72"/>
    <w:rsid w:val="00B71B4E"/>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15">
    <w:name w:val="Table Grid15"/>
    <w:basedOn w:val="TableNormal"/>
    <w:next w:val="TableGrid"/>
    <w:rsid w:val="00B71B4E"/>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5">
    <w:name w:val="Colorful Grid - Accent 15"/>
    <w:basedOn w:val="TableNormal"/>
    <w:next w:val="ColorfulGrid-Accent1"/>
    <w:rsid w:val="00B71B4E"/>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5">
    <w:name w:val="Table-Grid5"/>
    <w:basedOn w:val="TableNormal"/>
    <w:uiPriority w:val="99"/>
    <w:rsid w:val="00B71B4E"/>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5">
    <w:name w:val="Light Shading - Accent 35"/>
    <w:basedOn w:val="TableNormal"/>
    <w:next w:val="LightShading-Accent3"/>
    <w:uiPriority w:val="60"/>
    <w:rsid w:val="00B71B4E"/>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5">
    <w:name w:val="Colorful List - Accent 45"/>
    <w:basedOn w:val="TableNormal"/>
    <w:next w:val="ColorfulList-Accent4"/>
    <w:uiPriority w:val="72"/>
    <w:rsid w:val="00B71B4E"/>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5">
    <w:name w:val="Medium Shading 1 - Accent 35"/>
    <w:basedOn w:val="TableNormal"/>
    <w:next w:val="MediumShading1-Accent3"/>
    <w:uiPriority w:val="63"/>
    <w:rsid w:val="00B71B4E"/>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5">
    <w:name w:val="Light List - Accent 45"/>
    <w:basedOn w:val="TableNormal"/>
    <w:next w:val="LightList-Accent4"/>
    <w:uiPriority w:val="61"/>
    <w:rsid w:val="00B71B4E"/>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5">
    <w:name w:val="Colorful Grid - Accent 35"/>
    <w:basedOn w:val="TableNormal"/>
    <w:next w:val="ColorfulGrid-Accent3"/>
    <w:uiPriority w:val="73"/>
    <w:rsid w:val="00B71B4E"/>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5">
    <w:name w:val="Light List - Accent 35"/>
    <w:basedOn w:val="TableNormal"/>
    <w:next w:val="LightList-Accent3"/>
    <w:uiPriority w:val="61"/>
    <w:rsid w:val="00B71B4E"/>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13">
    <w:name w:val="Grid Table 1 Light - Accent 413"/>
    <w:basedOn w:val="TableNormal"/>
    <w:uiPriority w:val="46"/>
    <w:rsid w:val="00B71B4E"/>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22">
    <w:name w:val="Table Grid22"/>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12">
    <w:name w:val="Colorful Grid - Accent 112"/>
    <w:basedOn w:val="TableNormal"/>
    <w:next w:val="ColorfulGrid-Accent1"/>
    <w:rsid w:val="00B71B4E"/>
    <w:pPr>
      <w:spacing w:after="0" w:line="240" w:lineRule="auto"/>
    </w:pPr>
    <w:rPr>
      <w:rFonts w:ascii="Times New Roman" w:eastAsia="Times New Roman" w:hAnsi="Times New Roman" w:cs="Times New Roman"/>
      <w:sz w:val="20"/>
      <w:szCs w:val="20"/>
      <w:lang w:val="x-none" w:eastAsia="x-none"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12">
    <w:name w:val="Table-Grid12"/>
    <w:basedOn w:val="TableNormal"/>
    <w:uiPriority w:val="99"/>
    <w:rsid w:val="00B71B4E"/>
    <w:pPr>
      <w:spacing w:after="0" w:line="240" w:lineRule="auto"/>
    </w:pPr>
    <w:rPr>
      <w:rFonts w:ascii="Times New Roman" w:eastAsia="Times New Roman" w:hAnsi="Times New Roman" w:cs="Times New Roman"/>
      <w:sz w:val="20"/>
      <w:szCs w:val="20"/>
      <w:lang w:eastAsia="en-NZ"/>
    </w:rPr>
    <w:tblPr>
      <w:tblBorders>
        <w:top w:val="single" w:sz="6" w:space="0" w:color="808080"/>
        <w:bottom w:val="single" w:sz="6" w:space="0" w:color="808080"/>
      </w:tblBorders>
      <w:tblCellMar>
        <w:top w:w="57" w:type="dxa"/>
        <w:left w:w="85" w:type="dxa"/>
        <w:bottom w:w="57" w:type="dxa"/>
        <w:right w:w="0" w:type="dxa"/>
      </w:tblCellMar>
    </w:tblPr>
    <w:tcPr>
      <w:shd w:val="clear" w:color="auto" w:fill="FFFFFF"/>
    </w:tcPr>
  </w:style>
  <w:style w:type="table" w:customStyle="1" w:styleId="LightShading-Accent312">
    <w:name w:val="Light Shading - Accent 312"/>
    <w:basedOn w:val="TableNormal"/>
    <w:next w:val="LightShading-Accent3"/>
    <w:uiPriority w:val="60"/>
    <w:rsid w:val="00B71B4E"/>
    <w:pPr>
      <w:spacing w:after="0" w:line="240" w:lineRule="auto"/>
    </w:pPr>
    <w:rPr>
      <w:rFonts w:ascii="Calibri" w:eastAsia="Calibri" w:hAnsi="Calibri" w:cs="Times New Roman"/>
      <w:color w:val="76923C"/>
      <w:sz w:val="20"/>
      <w:szCs w:val="20"/>
      <w:lang w:eastAsia="en-N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olorfulList-Accent412">
    <w:name w:val="Colorful List - Accent 412"/>
    <w:basedOn w:val="TableNormal"/>
    <w:next w:val="ColorfulList-Accent4"/>
    <w:uiPriority w:val="72"/>
    <w:rsid w:val="00B71B4E"/>
    <w:pPr>
      <w:spacing w:after="0" w:line="240" w:lineRule="auto"/>
    </w:pPr>
    <w:rPr>
      <w:rFonts w:ascii="Calibri" w:eastAsia="Calibri" w:hAnsi="Calibri" w:cs="Times New Roman"/>
      <w:color w:val="000000"/>
      <w:sz w:val="20"/>
      <w:szCs w:val="20"/>
      <w:lang w:eastAsia="en-NZ"/>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Shading1-Accent312">
    <w:name w:val="Medium Shading 1 - Accent 312"/>
    <w:basedOn w:val="TableNormal"/>
    <w:next w:val="MediumShading1-Accent3"/>
    <w:uiPriority w:val="63"/>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List-Accent412">
    <w:name w:val="Light List - Accent 412"/>
    <w:basedOn w:val="TableNormal"/>
    <w:next w:val="LightList-Accent4"/>
    <w:uiPriority w:val="61"/>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ColorfulGrid-Accent312">
    <w:name w:val="Colorful Grid - Accent 312"/>
    <w:basedOn w:val="TableNormal"/>
    <w:next w:val="ColorfulGrid-Accent3"/>
    <w:uiPriority w:val="73"/>
    <w:rsid w:val="00B71B4E"/>
    <w:pPr>
      <w:spacing w:after="0" w:line="240" w:lineRule="auto"/>
    </w:pPr>
    <w:rPr>
      <w:rFonts w:ascii="Calibri" w:eastAsia="Calibri" w:hAnsi="Calibri" w:cs="Times New Roman"/>
      <w:color w:val="000000"/>
      <w:sz w:val="20"/>
      <w:szCs w:val="20"/>
      <w:lang w:eastAsia="en-NZ"/>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List-Accent312">
    <w:name w:val="Light List - Accent 312"/>
    <w:basedOn w:val="TableNormal"/>
    <w:next w:val="LightList-Accent3"/>
    <w:uiPriority w:val="61"/>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dTable1LightAccent412">
    <w:name w:val="Grid Table 1 Light Accent 412"/>
    <w:basedOn w:val="TableNormal"/>
    <w:uiPriority w:val="46"/>
    <w:rsid w:val="00B71B4E"/>
    <w:pPr>
      <w:spacing w:after="0" w:line="240" w:lineRule="auto"/>
    </w:pPr>
    <w:rPr>
      <w:rFonts w:ascii="Calibri" w:eastAsia="Times New Roman" w:hAnsi="Calibri" w:cs="Times New Roman"/>
      <w:sz w:val="20"/>
      <w:szCs w:val="20"/>
      <w:lang w:eastAsia="en-NZ"/>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eGrid32">
    <w:name w:val="Table Grid32"/>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B71B4E"/>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2">
    <w:name w:val="Table Grid112"/>
    <w:basedOn w:val="TableNormal"/>
    <w:next w:val="TableGrid"/>
    <w:uiPriority w:val="59"/>
    <w:rsid w:val="00B71B4E"/>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olorfulList-Accent612">
    <w:name w:val="Colorful List - Accent 612"/>
    <w:basedOn w:val="TableNormal"/>
    <w:next w:val="ColorfulList-Accent6"/>
    <w:uiPriority w:val="72"/>
    <w:rsid w:val="00B71B4E"/>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52">
    <w:name w:val="Table Grid52"/>
    <w:basedOn w:val="TableNormal"/>
    <w:next w:val="TableGrid"/>
    <w:rsid w:val="00B71B4E"/>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2">
    <w:name w:val="Colorful Grid - Accent 122"/>
    <w:basedOn w:val="TableNormal"/>
    <w:next w:val="ColorfulGrid-Accent1"/>
    <w:rsid w:val="00B71B4E"/>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2">
    <w:name w:val="Table-Grid22"/>
    <w:basedOn w:val="TableNormal"/>
    <w:uiPriority w:val="99"/>
    <w:rsid w:val="00B71B4E"/>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22">
    <w:name w:val="Light Shading - Accent 322"/>
    <w:basedOn w:val="TableNormal"/>
    <w:next w:val="LightShading-Accent3"/>
    <w:uiPriority w:val="60"/>
    <w:rsid w:val="00B71B4E"/>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22">
    <w:name w:val="Colorful List - Accent 422"/>
    <w:basedOn w:val="TableNormal"/>
    <w:next w:val="ColorfulList-Accent4"/>
    <w:uiPriority w:val="72"/>
    <w:rsid w:val="00B71B4E"/>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22">
    <w:name w:val="Medium Shading 1 - Accent 322"/>
    <w:basedOn w:val="TableNormal"/>
    <w:next w:val="MediumShading1-Accent3"/>
    <w:uiPriority w:val="63"/>
    <w:rsid w:val="00B71B4E"/>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22">
    <w:name w:val="Light List - Accent 422"/>
    <w:basedOn w:val="TableNormal"/>
    <w:next w:val="LightList-Accent4"/>
    <w:uiPriority w:val="61"/>
    <w:rsid w:val="00B71B4E"/>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22">
    <w:name w:val="Colorful Grid - Accent 322"/>
    <w:basedOn w:val="TableNormal"/>
    <w:next w:val="ColorfulGrid-Accent3"/>
    <w:uiPriority w:val="73"/>
    <w:rsid w:val="00B71B4E"/>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22">
    <w:name w:val="Light List - Accent 322"/>
    <w:basedOn w:val="TableNormal"/>
    <w:next w:val="LightList-Accent3"/>
    <w:uiPriority w:val="61"/>
    <w:rsid w:val="00B71B4E"/>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22">
    <w:name w:val="Grid Table 1 Light Accent 422"/>
    <w:basedOn w:val="TableNormal"/>
    <w:uiPriority w:val="46"/>
    <w:rsid w:val="00B71B4E"/>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62">
    <w:name w:val="Table Grid62"/>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B71B4E"/>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11">
    <w:name w:val="Grid Table 1 Light - Accent 4111"/>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12">
    <w:name w:val="Grid Table 1 Light12"/>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B71B4E"/>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4">
    <w:name w:val="Grid Table 1 Light - Accent 414"/>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13">
    <w:name w:val="Grid Table 1 Light13"/>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olorfulList-Accent64">
    <w:name w:val="Colorful List - Accent 64"/>
    <w:basedOn w:val="TableNormal"/>
    <w:next w:val="ColorfulList-Accent6"/>
    <w:uiPriority w:val="72"/>
    <w:rsid w:val="00B71B4E"/>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17">
    <w:name w:val="Table Grid17"/>
    <w:basedOn w:val="TableNormal"/>
    <w:next w:val="TableGrid"/>
    <w:rsid w:val="00B71B4E"/>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6">
    <w:name w:val="Colorful Grid - Accent 16"/>
    <w:basedOn w:val="TableNormal"/>
    <w:next w:val="ColorfulGrid-Accent1"/>
    <w:rsid w:val="00B71B4E"/>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6">
    <w:name w:val="Table-Grid6"/>
    <w:basedOn w:val="TableNormal"/>
    <w:uiPriority w:val="99"/>
    <w:rsid w:val="00B71B4E"/>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6">
    <w:name w:val="Light Shading - Accent 36"/>
    <w:basedOn w:val="TableNormal"/>
    <w:next w:val="LightShading-Accent3"/>
    <w:uiPriority w:val="60"/>
    <w:rsid w:val="00B71B4E"/>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6">
    <w:name w:val="Colorful List - Accent 46"/>
    <w:basedOn w:val="TableNormal"/>
    <w:next w:val="ColorfulList-Accent4"/>
    <w:uiPriority w:val="72"/>
    <w:rsid w:val="00B71B4E"/>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6">
    <w:name w:val="Medium Shading 1 - Accent 36"/>
    <w:basedOn w:val="TableNormal"/>
    <w:next w:val="MediumShading1-Accent3"/>
    <w:uiPriority w:val="63"/>
    <w:rsid w:val="00B71B4E"/>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6">
    <w:name w:val="Light List - Accent 46"/>
    <w:basedOn w:val="TableNormal"/>
    <w:next w:val="LightList-Accent4"/>
    <w:uiPriority w:val="61"/>
    <w:rsid w:val="00B71B4E"/>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6">
    <w:name w:val="Colorful Grid - Accent 36"/>
    <w:basedOn w:val="TableNormal"/>
    <w:next w:val="ColorfulGrid-Accent3"/>
    <w:uiPriority w:val="73"/>
    <w:rsid w:val="00B71B4E"/>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6">
    <w:name w:val="Light List - Accent 36"/>
    <w:basedOn w:val="TableNormal"/>
    <w:next w:val="LightList-Accent3"/>
    <w:uiPriority w:val="61"/>
    <w:rsid w:val="00B71B4E"/>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5">
    <w:name w:val="Grid Table 1 Light Accent 45"/>
    <w:basedOn w:val="TableNormal"/>
    <w:uiPriority w:val="46"/>
    <w:rsid w:val="00B71B4E"/>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18">
    <w:name w:val="Table Grid18"/>
    <w:basedOn w:val="TableNormal"/>
    <w:next w:val="TableGrid"/>
    <w:uiPriority w:val="59"/>
    <w:rsid w:val="00B71B4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4">
    <w:name w:val="Light Shading - Accent 14"/>
    <w:basedOn w:val="TableNormal"/>
    <w:next w:val="LightShading-Accent1"/>
    <w:uiPriority w:val="60"/>
    <w:rsid w:val="00B71B4E"/>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4">
    <w:name w:val="Light List - Accent 14"/>
    <w:basedOn w:val="TableNormal"/>
    <w:next w:val="LightList-Accent1"/>
    <w:uiPriority w:val="61"/>
    <w:rsid w:val="00B71B4E"/>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customStyle="1" w:styleId="LightGrid-Accent14">
    <w:name w:val="Light Grid - Accent 14"/>
    <w:basedOn w:val="TableNormal"/>
    <w:next w:val="LightGrid-Accent1"/>
    <w:uiPriority w:val="62"/>
    <w:rsid w:val="00B71B4E"/>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ColorfulList-Accent65">
    <w:name w:val="Colorful List - Accent 65"/>
    <w:basedOn w:val="TableNormal"/>
    <w:next w:val="ColorfulList-Accent6"/>
    <w:uiPriority w:val="72"/>
    <w:rsid w:val="00B71B4E"/>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19">
    <w:name w:val="Table Grid19"/>
    <w:basedOn w:val="TableNormal"/>
    <w:next w:val="TableGrid"/>
    <w:rsid w:val="00B71B4E"/>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7">
    <w:name w:val="Colorful Grid - Accent 17"/>
    <w:basedOn w:val="TableNormal"/>
    <w:next w:val="ColorfulGrid-Accent1"/>
    <w:rsid w:val="00B71B4E"/>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7">
    <w:name w:val="Table-Grid7"/>
    <w:basedOn w:val="TableNormal"/>
    <w:uiPriority w:val="99"/>
    <w:rsid w:val="00B71B4E"/>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7">
    <w:name w:val="Light Shading - Accent 37"/>
    <w:basedOn w:val="TableNormal"/>
    <w:next w:val="LightShading-Accent3"/>
    <w:uiPriority w:val="60"/>
    <w:rsid w:val="00B71B4E"/>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7">
    <w:name w:val="Colorful List - Accent 47"/>
    <w:basedOn w:val="TableNormal"/>
    <w:next w:val="ColorfulList-Accent4"/>
    <w:uiPriority w:val="72"/>
    <w:rsid w:val="00B71B4E"/>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7">
    <w:name w:val="Medium Shading 1 - Accent 37"/>
    <w:basedOn w:val="TableNormal"/>
    <w:next w:val="MediumShading1-Accent3"/>
    <w:uiPriority w:val="63"/>
    <w:rsid w:val="00B71B4E"/>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7">
    <w:name w:val="Light List - Accent 47"/>
    <w:basedOn w:val="TableNormal"/>
    <w:next w:val="LightList-Accent4"/>
    <w:uiPriority w:val="61"/>
    <w:rsid w:val="00B71B4E"/>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7">
    <w:name w:val="Colorful Grid - Accent 37"/>
    <w:basedOn w:val="TableNormal"/>
    <w:next w:val="ColorfulGrid-Accent3"/>
    <w:uiPriority w:val="73"/>
    <w:rsid w:val="00B71B4E"/>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7">
    <w:name w:val="Light List - Accent 37"/>
    <w:basedOn w:val="TableNormal"/>
    <w:next w:val="LightList-Accent3"/>
    <w:uiPriority w:val="61"/>
    <w:rsid w:val="00B71B4E"/>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16">
    <w:name w:val="Grid Table 1 Light - Accent 416"/>
    <w:basedOn w:val="TableNormal"/>
    <w:uiPriority w:val="46"/>
    <w:rsid w:val="00B71B4E"/>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23">
    <w:name w:val="Table Grid23"/>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13">
    <w:name w:val="Colorful Grid - Accent 113"/>
    <w:basedOn w:val="TableNormal"/>
    <w:next w:val="ColorfulGrid-Accent1"/>
    <w:rsid w:val="00B71B4E"/>
    <w:pPr>
      <w:spacing w:after="0" w:line="240" w:lineRule="auto"/>
    </w:pPr>
    <w:rPr>
      <w:rFonts w:ascii="Times New Roman" w:eastAsia="Times New Roman" w:hAnsi="Times New Roman" w:cs="Times New Roman"/>
      <w:sz w:val="20"/>
      <w:szCs w:val="20"/>
      <w:lang w:val="x-none" w:eastAsia="x-none"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13">
    <w:name w:val="Table-Grid13"/>
    <w:basedOn w:val="TableNormal"/>
    <w:uiPriority w:val="99"/>
    <w:rsid w:val="00B71B4E"/>
    <w:pPr>
      <w:spacing w:after="0" w:line="240" w:lineRule="auto"/>
    </w:pPr>
    <w:rPr>
      <w:rFonts w:ascii="Times New Roman" w:eastAsia="Times New Roman" w:hAnsi="Times New Roman" w:cs="Times New Roman"/>
      <w:sz w:val="20"/>
      <w:szCs w:val="20"/>
      <w:lang w:eastAsia="en-NZ"/>
    </w:rPr>
    <w:tblPr>
      <w:tblBorders>
        <w:top w:val="single" w:sz="6" w:space="0" w:color="808080"/>
        <w:bottom w:val="single" w:sz="6" w:space="0" w:color="808080"/>
      </w:tblBorders>
      <w:tblCellMar>
        <w:top w:w="57" w:type="dxa"/>
        <w:left w:w="85" w:type="dxa"/>
        <w:bottom w:w="57" w:type="dxa"/>
        <w:right w:w="0" w:type="dxa"/>
      </w:tblCellMar>
    </w:tblPr>
    <w:tcPr>
      <w:shd w:val="clear" w:color="auto" w:fill="FFFFFF"/>
    </w:tcPr>
  </w:style>
  <w:style w:type="table" w:customStyle="1" w:styleId="LightShading-Accent313">
    <w:name w:val="Light Shading - Accent 313"/>
    <w:basedOn w:val="TableNormal"/>
    <w:next w:val="LightShading-Accent3"/>
    <w:uiPriority w:val="60"/>
    <w:rsid w:val="00B71B4E"/>
    <w:pPr>
      <w:spacing w:after="0" w:line="240" w:lineRule="auto"/>
    </w:pPr>
    <w:rPr>
      <w:rFonts w:ascii="Calibri" w:eastAsia="Calibri" w:hAnsi="Calibri" w:cs="Times New Roman"/>
      <w:color w:val="76923C"/>
      <w:sz w:val="20"/>
      <w:szCs w:val="20"/>
      <w:lang w:eastAsia="en-N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olorfulList-Accent413">
    <w:name w:val="Colorful List - Accent 413"/>
    <w:basedOn w:val="TableNormal"/>
    <w:next w:val="ColorfulList-Accent4"/>
    <w:uiPriority w:val="72"/>
    <w:rsid w:val="00B71B4E"/>
    <w:pPr>
      <w:spacing w:after="0" w:line="240" w:lineRule="auto"/>
    </w:pPr>
    <w:rPr>
      <w:rFonts w:ascii="Calibri" w:eastAsia="Calibri" w:hAnsi="Calibri" w:cs="Times New Roman"/>
      <w:color w:val="000000"/>
      <w:sz w:val="20"/>
      <w:szCs w:val="20"/>
      <w:lang w:eastAsia="en-NZ"/>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Shading1-Accent313">
    <w:name w:val="Medium Shading 1 - Accent 313"/>
    <w:basedOn w:val="TableNormal"/>
    <w:next w:val="MediumShading1-Accent3"/>
    <w:uiPriority w:val="63"/>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List-Accent413">
    <w:name w:val="Light List - Accent 413"/>
    <w:basedOn w:val="TableNormal"/>
    <w:next w:val="LightList-Accent4"/>
    <w:uiPriority w:val="61"/>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ColorfulGrid-Accent313">
    <w:name w:val="Colorful Grid - Accent 313"/>
    <w:basedOn w:val="TableNormal"/>
    <w:next w:val="ColorfulGrid-Accent3"/>
    <w:uiPriority w:val="73"/>
    <w:rsid w:val="00B71B4E"/>
    <w:pPr>
      <w:spacing w:after="0" w:line="240" w:lineRule="auto"/>
    </w:pPr>
    <w:rPr>
      <w:rFonts w:ascii="Calibri" w:eastAsia="Calibri" w:hAnsi="Calibri" w:cs="Times New Roman"/>
      <w:color w:val="000000"/>
      <w:sz w:val="20"/>
      <w:szCs w:val="20"/>
      <w:lang w:eastAsia="en-NZ"/>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List-Accent313">
    <w:name w:val="Light List - Accent 313"/>
    <w:basedOn w:val="TableNormal"/>
    <w:next w:val="LightList-Accent3"/>
    <w:uiPriority w:val="61"/>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dTable1LightAccent413">
    <w:name w:val="Grid Table 1 Light Accent 413"/>
    <w:basedOn w:val="TableNormal"/>
    <w:uiPriority w:val="46"/>
    <w:rsid w:val="00B71B4E"/>
    <w:pPr>
      <w:spacing w:after="0" w:line="240" w:lineRule="auto"/>
    </w:pPr>
    <w:rPr>
      <w:rFonts w:ascii="Calibri" w:eastAsia="Times New Roman" w:hAnsi="Calibri" w:cs="Times New Roman"/>
      <w:sz w:val="20"/>
      <w:szCs w:val="20"/>
      <w:lang w:eastAsia="en-NZ"/>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eGrid33">
    <w:name w:val="Table Grid33"/>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B71B4E"/>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3">
    <w:name w:val="Table Grid113"/>
    <w:basedOn w:val="TableNormal"/>
    <w:next w:val="TableGrid"/>
    <w:uiPriority w:val="59"/>
    <w:rsid w:val="00B71B4E"/>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olorfulList-Accent613">
    <w:name w:val="Colorful List - Accent 613"/>
    <w:basedOn w:val="TableNormal"/>
    <w:next w:val="ColorfulList-Accent6"/>
    <w:uiPriority w:val="72"/>
    <w:rsid w:val="00B71B4E"/>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53">
    <w:name w:val="Table Grid53"/>
    <w:basedOn w:val="TableNormal"/>
    <w:next w:val="TableGrid"/>
    <w:rsid w:val="00B71B4E"/>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
    <w:name w:val="Colorful Grid - Accent 123"/>
    <w:basedOn w:val="TableNormal"/>
    <w:next w:val="ColorfulGrid-Accent1"/>
    <w:rsid w:val="00B71B4E"/>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3">
    <w:name w:val="Table-Grid23"/>
    <w:basedOn w:val="TableNormal"/>
    <w:uiPriority w:val="99"/>
    <w:rsid w:val="00B71B4E"/>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23">
    <w:name w:val="Light Shading - Accent 323"/>
    <w:basedOn w:val="TableNormal"/>
    <w:next w:val="LightShading-Accent3"/>
    <w:uiPriority w:val="60"/>
    <w:rsid w:val="00B71B4E"/>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23">
    <w:name w:val="Colorful List - Accent 423"/>
    <w:basedOn w:val="TableNormal"/>
    <w:next w:val="ColorfulList-Accent4"/>
    <w:uiPriority w:val="72"/>
    <w:rsid w:val="00B71B4E"/>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23">
    <w:name w:val="Medium Shading 1 - Accent 323"/>
    <w:basedOn w:val="TableNormal"/>
    <w:next w:val="MediumShading1-Accent3"/>
    <w:uiPriority w:val="63"/>
    <w:rsid w:val="00B71B4E"/>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23">
    <w:name w:val="Light List - Accent 423"/>
    <w:basedOn w:val="TableNormal"/>
    <w:next w:val="LightList-Accent4"/>
    <w:uiPriority w:val="61"/>
    <w:rsid w:val="00B71B4E"/>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23">
    <w:name w:val="Colorful Grid - Accent 323"/>
    <w:basedOn w:val="TableNormal"/>
    <w:next w:val="ColorfulGrid-Accent3"/>
    <w:uiPriority w:val="73"/>
    <w:rsid w:val="00B71B4E"/>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23">
    <w:name w:val="Light List - Accent 323"/>
    <w:basedOn w:val="TableNormal"/>
    <w:next w:val="LightList-Accent3"/>
    <w:uiPriority w:val="61"/>
    <w:rsid w:val="00B71B4E"/>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23">
    <w:name w:val="Grid Table 1 Light Accent 423"/>
    <w:basedOn w:val="TableNormal"/>
    <w:uiPriority w:val="46"/>
    <w:rsid w:val="00B71B4E"/>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63">
    <w:name w:val="Table Grid63"/>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B71B4E"/>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51">
    <w:name w:val="Grid Table 1 Light - Accent 4151"/>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14">
    <w:name w:val="Grid Table 1 Light14"/>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ghtShading-Accent112">
    <w:name w:val="Light Shading - Accent 112"/>
    <w:basedOn w:val="TableNormal"/>
    <w:uiPriority w:val="60"/>
    <w:rsid w:val="00B71B4E"/>
    <w:pPr>
      <w:spacing w:after="0" w:line="240" w:lineRule="auto"/>
    </w:pPr>
    <w:rPr>
      <w:rFonts w:ascii="Calibri" w:eastAsia="Calibri"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2">
    <w:name w:val="Light List - Accent 112"/>
    <w:basedOn w:val="TableNormal"/>
    <w:uiPriority w:val="61"/>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
    <w:name w:val="Light Grid - Accent 112"/>
    <w:basedOn w:val="TableNormal"/>
    <w:uiPriority w:val="62"/>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82">
    <w:name w:val="Table Grid82"/>
    <w:basedOn w:val="TableNormal"/>
    <w:next w:val="TableGrid"/>
    <w:uiPriority w:val="59"/>
    <w:rsid w:val="00B71B4E"/>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2">
    <w:name w:val="Table Grid122"/>
    <w:basedOn w:val="TableNormal"/>
    <w:next w:val="TableGrid"/>
    <w:uiPriority w:val="59"/>
    <w:rsid w:val="00B71B4E"/>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1">
    <w:name w:val="Table Grid91"/>
    <w:basedOn w:val="TableNormal"/>
    <w:next w:val="TableGrid"/>
    <w:uiPriority w:val="59"/>
    <w:rsid w:val="00B71B4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1">
    <w:name w:val="Light Shading - Accent 121"/>
    <w:basedOn w:val="TableNormal"/>
    <w:next w:val="LightShading-Accent1"/>
    <w:uiPriority w:val="60"/>
    <w:rsid w:val="00B71B4E"/>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21">
    <w:name w:val="Light List - Accent 121"/>
    <w:basedOn w:val="TableNormal"/>
    <w:next w:val="LightList-Accent1"/>
    <w:uiPriority w:val="61"/>
    <w:rsid w:val="00B71B4E"/>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customStyle="1" w:styleId="LightGrid-Accent121">
    <w:name w:val="Light Grid - Accent 121"/>
    <w:basedOn w:val="TableNormal"/>
    <w:next w:val="LightGrid-Accent1"/>
    <w:uiPriority w:val="62"/>
    <w:rsid w:val="00B71B4E"/>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ColorfulList-Accent621">
    <w:name w:val="Colorful List - Accent 621"/>
    <w:basedOn w:val="TableNormal"/>
    <w:next w:val="ColorfulList-Accent6"/>
    <w:uiPriority w:val="72"/>
    <w:rsid w:val="00B71B4E"/>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131">
    <w:name w:val="Table Grid131"/>
    <w:basedOn w:val="TableNormal"/>
    <w:next w:val="TableGrid"/>
    <w:rsid w:val="00B71B4E"/>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31">
    <w:name w:val="Colorful Grid - Accent 131"/>
    <w:basedOn w:val="TableNormal"/>
    <w:next w:val="ColorfulGrid-Accent1"/>
    <w:rsid w:val="00B71B4E"/>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31">
    <w:name w:val="Table-Grid31"/>
    <w:basedOn w:val="TableNormal"/>
    <w:uiPriority w:val="99"/>
    <w:rsid w:val="00B71B4E"/>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31">
    <w:name w:val="Light Shading - Accent 331"/>
    <w:basedOn w:val="TableNormal"/>
    <w:next w:val="LightShading-Accent3"/>
    <w:uiPriority w:val="60"/>
    <w:rsid w:val="00B71B4E"/>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31">
    <w:name w:val="Colorful List - Accent 431"/>
    <w:basedOn w:val="TableNormal"/>
    <w:next w:val="ColorfulList-Accent4"/>
    <w:uiPriority w:val="72"/>
    <w:rsid w:val="00B71B4E"/>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31">
    <w:name w:val="Medium Shading 1 - Accent 331"/>
    <w:basedOn w:val="TableNormal"/>
    <w:next w:val="MediumShading1-Accent3"/>
    <w:uiPriority w:val="63"/>
    <w:rsid w:val="00B71B4E"/>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31">
    <w:name w:val="Light List - Accent 431"/>
    <w:basedOn w:val="TableNormal"/>
    <w:next w:val="LightList-Accent4"/>
    <w:uiPriority w:val="61"/>
    <w:rsid w:val="00B71B4E"/>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31">
    <w:name w:val="Colorful Grid - Accent 331"/>
    <w:basedOn w:val="TableNormal"/>
    <w:next w:val="ColorfulGrid-Accent3"/>
    <w:uiPriority w:val="73"/>
    <w:rsid w:val="00B71B4E"/>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31">
    <w:name w:val="Light List - Accent 331"/>
    <w:basedOn w:val="TableNormal"/>
    <w:next w:val="LightList-Accent3"/>
    <w:uiPriority w:val="61"/>
    <w:rsid w:val="00B71B4E"/>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31">
    <w:name w:val="Grid Table 1 Light Accent 431"/>
    <w:basedOn w:val="TableNormal"/>
    <w:uiPriority w:val="46"/>
    <w:rsid w:val="00B71B4E"/>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211">
    <w:name w:val="Table Grid211"/>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111">
    <w:name w:val="Colorful Grid - Accent 1111"/>
    <w:basedOn w:val="TableNormal"/>
    <w:next w:val="ColorfulGrid-Accent1"/>
    <w:rsid w:val="00B71B4E"/>
    <w:pPr>
      <w:spacing w:after="0" w:line="240" w:lineRule="auto"/>
    </w:pPr>
    <w:rPr>
      <w:rFonts w:ascii="Times New Roman" w:eastAsia="Times New Roman" w:hAnsi="Times New Roman" w:cs="Times New Roman"/>
      <w:sz w:val="20"/>
      <w:szCs w:val="20"/>
      <w:lang w:val="x-none" w:eastAsia="x-none"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111">
    <w:name w:val="Table-Grid111"/>
    <w:basedOn w:val="TableNormal"/>
    <w:uiPriority w:val="99"/>
    <w:rsid w:val="00B71B4E"/>
    <w:pPr>
      <w:spacing w:after="0" w:line="240" w:lineRule="auto"/>
    </w:pPr>
    <w:rPr>
      <w:rFonts w:ascii="Times New Roman" w:eastAsia="Times New Roman" w:hAnsi="Times New Roman" w:cs="Times New Roman"/>
      <w:sz w:val="20"/>
      <w:szCs w:val="20"/>
      <w:lang w:eastAsia="en-NZ"/>
    </w:rPr>
    <w:tblPr>
      <w:tblBorders>
        <w:top w:val="single" w:sz="6" w:space="0" w:color="808080"/>
        <w:bottom w:val="single" w:sz="6" w:space="0" w:color="808080"/>
      </w:tblBorders>
      <w:tblCellMar>
        <w:top w:w="57" w:type="dxa"/>
        <w:left w:w="85" w:type="dxa"/>
        <w:bottom w:w="57" w:type="dxa"/>
        <w:right w:w="0" w:type="dxa"/>
      </w:tblCellMar>
    </w:tblPr>
    <w:tcPr>
      <w:shd w:val="clear" w:color="auto" w:fill="FFFFFF"/>
    </w:tcPr>
  </w:style>
  <w:style w:type="table" w:customStyle="1" w:styleId="LightShading-Accent3111">
    <w:name w:val="Light Shading - Accent 3111"/>
    <w:basedOn w:val="TableNormal"/>
    <w:next w:val="LightShading-Accent3"/>
    <w:uiPriority w:val="60"/>
    <w:rsid w:val="00B71B4E"/>
    <w:pPr>
      <w:spacing w:after="0" w:line="240" w:lineRule="auto"/>
    </w:pPr>
    <w:rPr>
      <w:rFonts w:ascii="Calibri" w:eastAsia="Calibri" w:hAnsi="Calibri" w:cs="Times New Roman"/>
      <w:color w:val="76923C"/>
      <w:sz w:val="20"/>
      <w:szCs w:val="20"/>
      <w:lang w:eastAsia="en-N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olorfulList-Accent4111">
    <w:name w:val="Colorful List - Accent 4111"/>
    <w:basedOn w:val="TableNormal"/>
    <w:next w:val="ColorfulList-Accent4"/>
    <w:uiPriority w:val="72"/>
    <w:rsid w:val="00B71B4E"/>
    <w:pPr>
      <w:spacing w:after="0" w:line="240" w:lineRule="auto"/>
    </w:pPr>
    <w:rPr>
      <w:rFonts w:ascii="Calibri" w:eastAsia="Calibri" w:hAnsi="Calibri" w:cs="Times New Roman"/>
      <w:color w:val="000000"/>
      <w:sz w:val="20"/>
      <w:szCs w:val="20"/>
      <w:lang w:eastAsia="en-NZ"/>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Shading1-Accent3111">
    <w:name w:val="Medium Shading 1 - Accent 3111"/>
    <w:basedOn w:val="TableNormal"/>
    <w:next w:val="MediumShading1-Accent3"/>
    <w:uiPriority w:val="63"/>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List-Accent4111">
    <w:name w:val="Light List - Accent 4111"/>
    <w:basedOn w:val="TableNormal"/>
    <w:next w:val="LightList-Accent4"/>
    <w:uiPriority w:val="61"/>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ColorfulGrid-Accent3111">
    <w:name w:val="Colorful Grid - Accent 3111"/>
    <w:basedOn w:val="TableNormal"/>
    <w:next w:val="ColorfulGrid-Accent3"/>
    <w:uiPriority w:val="73"/>
    <w:rsid w:val="00B71B4E"/>
    <w:pPr>
      <w:spacing w:after="0" w:line="240" w:lineRule="auto"/>
    </w:pPr>
    <w:rPr>
      <w:rFonts w:ascii="Calibri" w:eastAsia="Calibri" w:hAnsi="Calibri" w:cs="Times New Roman"/>
      <w:color w:val="000000"/>
      <w:sz w:val="20"/>
      <w:szCs w:val="20"/>
      <w:lang w:eastAsia="en-NZ"/>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List-Accent3111">
    <w:name w:val="Light List - Accent 3111"/>
    <w:basedOn w:val="TableNormal"/>
    <w:next w:val="LightList-Accent3"/>
    <w:uiPriority w:val="61"/>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dTable1LightAccent4111">
    <w:name w:val="Grid Table 1 Light Accent 4111"/>
    <w:basedOn w:val="TableNormal"/>
    <w:uiPriority w:val="46"/>
    <w:rsid w:val="00B71B4E"/>
    <w:pPr>
      <w:spacing w:after="0" w:line="240" w:lineRule="auto"/>
    </w:pPr>
    <w:rPr>
      <w:rFonts w:ascii="Calibri" w:eastAsia="Times New Roman" w:hAnsi="Calibri" w:cs="Times New Roman"/>
      <w:sz w:val="20"/>
      <w:szCs w:val="20"/>
      <w:lang w:eastAsia="en-NZ"/>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eGrid311">
    <w:name w:val="Table Grid311"/>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B71B4E"/>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11">
    <w:name w:val="Table Grid1111"/>
    <w:basedOn w:val="TableNormal"/>
    <w:next w:val="TableGrid"/>
    <w:uiPriority w:val="59"/>
    <w:rsid w:val="00B71B4E"/>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olorfulList-Accent6111">
    <w:name w:val="Colorful List - Accent 6111"/>
    <w:basedOn w:val="TableNormal"/>
    <w:next w:val="ColorfulList-Accent6"/>
    <w:uiPriority w:val="72"/>
    <w:rsid w:val="00B71B4E"/>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511">
    <w:name w:val="Table Grid511"/>
    <w:basedOn w:val="TableNormal"/>
    <w:next w:val="TableGrid"/>
    <w:rsid w:val="00B71B4E"/>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11">
    <w:name w:val="Colorful Grid - Accent 1211"/>
    <w:basedOn w:val="TableNormal"/>
    <w:next w:val="ColorfulGrid-Accent1"/>
    <w:rsid w:val="00B71B4E"/>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11">
    <w:name w:val="Table-Grid211"/>
    <w:basedOn w:val="TableNormal"/>
    <w:uiPriority w:val="99"/>
    <w:rsid w:val="00B71B4E"/>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211">
    <w:name w:val="Light Shading - Accent 3211"/>
    <w:basedOn w:val="TableNormal"/>
    <w:next w:val="LightShading-Accent3"/>
    <w:uiPriority w:val="60"/>
    <w:rsid w:val="00B71B4E"/>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211">
    <w:name w:val="Colorful List - Accent 4211"/>
    <w:basedOn w:val="TableNormal"/>
    <w:next w:val="ColorfulList-Accent4"/>
    <w:uiPriority w:val="72"/>
    <w:rsid w:val="00B71B4E"/>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211">
    <w:name w:val="Medium Shading 1 - Accent 3211"/>
    <w:basedOn w:val="TableNormal"/>
    <w:next w:val="MediumShading1-Accent3"/>
    <w:uiPriority w:val="63"/>
    <w:rsid w:val="00B71B4E"/>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211">
    <w:name w:val="Light List - Accent 4211"/>
    <w:basedOn w:val="TableNormal"/>
    <w:next w:val="LightList-Accent4"/>
    <w:uiPriority w:val="61"/>
    <w:rsid w:val="00B71B4E"/>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211">
    <w:name w:val="Colorful Grid - Accent 3211"/>
    <w:basedOn w:val="TableNormal"/>
    <w:next w:val="ColorfulGrid-Accent3"/>
    <w:uiPriority w:val="73"/>
    <w:rsid w:val="00B71B4E"/>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211">
    <w:name w:val="Light List - Accent 3211"/>
    <w:basedOn w:val="TableNormal"/>
    <w:next w:val="LightList-Accent3"/>
    <w:uiPriority w:val="61"/>
    <w:rsid w:val="00B71B4E"/>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211">
    <w:name w:val="Grid Table 1 Light Accent 4211"/>
    <w:basedOn w:val="TableNormal"/>
    <w:uiPriority w:val="46"/>
    <w:rsid w:val="00B71B4E"/>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611">
    <w:name w:val="Table Grid611"/>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B71B4E"/>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12">
    <w:name w:val="Grid Table 1 Light - Accent 4112"/>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111">
    <w:name w:val="Grid Table 1 Light111"/>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ghtShading-Accent1111">
    <w:name w:val="Light Shading - Accent 1111"/>
    <w:basedOn w:val="TableNormal"/>
    <w:uiPriority w:val="60"/>
    <w:rsid w:val="00B71B4E"/>
    <w:pPr>
      <w:spacing w:after="0" w:line="240" w:lineRule="auto"/>
    </w:pPr>
    <w:rPr>
      <w:rFonts w:ascii="Calibri" w:eastAsia="Calibri"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1">
    <w:name w:val="Light List - Accent 1111"/>
    <w:basedOn w:val="TableNormal"/>
    <w:uiPriority w:val="61"/>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
    <w:name w:val="Light Grid - Accent 1111"/>
    <w:basedOn w:val="TableNormal"/>
    <w:uiPriority w:val="62"/>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811">
    <w:name w:val="Table Grid811"/>
    <w:basedOn w:val="TableNormal"/>
    <w:next w:val="TableGrid"/>
    <w:uiPriority w:val="59"/>
    <w:rsid w:val="00B71B4E"/>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11">
    <w:name w:val="Table Grid1211"/>
    <w:basedOn w:val="TableNormal"/>
    <w:next w:val="TableGrid"/>
    <w:uiPriority w:val="59"/>
    <w:rsid w:val="00B71B4E"/>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1">
    <w:name w:val="Table Grid101"/>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41">
    <w:name w:val="Colorful Grid - Accent 141"/>
    <w:basedOn w:val="TableNormal"/>
    <w:next w:val="ColorfulGrid-Accent1"/>
    <w:rsid w:val="00B71B4E"/>
    <w:pPr>
      <w:spacing w:after="0" w:line="240" w:lineRule="auto"/>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41">
    <w:name w:val="Table-Grid41"/>
    <w:basedOn w:val="TableNormal"/>
    <w:uiPriority w:val="99"/>
    <w:rsid w:val="00B71B4E"/>
    <w:pPr>
      <w:spacing w:after="0" w:line="240" w:lineRule="auto"/>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41">
    <w:name w:val="Light Shading - Accent 341"/>
    <w:basedOn w:val="TableNormal"/>
    <w:next w:val="LightShading-Accent3"/>
    <w:uiPriority w:val="60"/>
    <w:rsid w:val="00B71B4E"/>
    <w:pPr>
      <w:spacing w:after="0" w:line="240" w:lineRule="auto"/>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41">
    <w:name w:val="Colorful List - Accent 441"/>
    <w:basedOn w:val="TableNormal"/>
    <w:next w:val="ColorfulList-Accent4"/>
    <w:uiPriority w:val="72"/>
    <w:rsid w:val="00B71B4E"/>
    <w:pPr>
      <w:spacing w:after="0" w:line="240" w:lineRule="auto"/>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41">
    <w:name w:val="Medium Shading 1 - Accent 341"/>
    <w:basedOn w:val="TableNormal"/>
    <w:next w:val="MediumShading1-Accent3"/>
    <w:uiPriority w:val="63"/>
    <w:rsid w:val="00B71B4E"/>
    <w:pPr>
      <w:spacing w:after="0" w:line="240" w:lineRule="auto"/>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41">
    <w:name w:val="Light List - Accent 441"/>
    <w:basedOn w:val="TableNormal"/>
    <w:next w:val="LightList-Accent4"/>
    <w:uiPriority w:val="61"/>
    <w:rsid w:val="00B71B4E"/>
    <w:pPr>
      <w:spacing w:after="0" w:line="240" w:lineRule="auto"/>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41">
    <w:name w:val="Colorful Grid - Accent 341"/>
    <w:basedOn w:val="TableNormal"/>
    <w:next w:val="ColorfulGrid-Accent3"/>
    <w:uiPriority w:val="73"/>
    <w:rsid w:val="00B71B4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41">
    <w:name w:val="Light List - Accent 341"/>
    <w:basedOn w:val="TableNormal"/>
    <w:next w:val="LightList-Accent3"/>
    <w:uiPriority w:val="61"/>
    <w:rsid w:val="00B71B4E"/>
    <w:pPr>
      <w:spacing w:after="0" w:line="240" w:lineRule="auto"/>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41">
    <w:name w:val="Grid Table 1 Light Accent 441"/>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Accent4121">
    <w:name w:val="Grid Table 1 Light - Accent 4121"/>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141">
    <w:name w:val="Table Grid141"/>
    <w:basedOn w:val="TableNormal"/>
    <w:next w:val="TableGrid"/>
    <w:uiPriority w:val="59"/>
    <w:rsid w:val="00B71B4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31">
    <w:name w:val="Light Shading - Accent 131"/>
    <w:basedOn w:val="TableNormal"/>
    <w:next w:val="LightShading-Accent1"/>
    <w:uiPriority w:val="60"/>
    <w:rsid w:val="00B71B4E"/>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31">
    <w:name w:val="Light List - Accent 131"/>
    <w:basedOn w:val="TableNormal"/>
    <w:next w:val="LightList-Accent1"/>
    <w:uiPriority w:val="61"/>
    <w:rsid w:val="00B71B4E"/>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customStyle="1" w:styleId="LightGrid-Accent131">
    <w:name w:val="Light Grid - Accent 131"/>
    <w:basedOn w:val="TableNormal"/>
    <w:next w:val="LightGrid-Accent1"/>
    <w:uiPriority w:val="62"/>
    <w:rsid w:val="00B71B4E"/>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ColorfulList-Accent631">
    <w:name w:val="Colorful List - Accent 631"/>
    <w:basedOn w:val="TableNormal"/>
    <w:next w:val="ColorfulList-Accent6"/>
    <w:uiPriority w:val="72"/>
    <w:rsid w:val="00B71B4E"/>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151">
    <w:name w:val="Table Grid151"/>
    <w:basedOn w:val="TableNormal"/>
    <w:next w:val="TableGrid"/>
    <w:rsid w:val="00B71B4E"/>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51">
    <w:name w:val="Colorful Grid - Accent 151"/>
    <w:basedOn w:val="TableNormal"/>
    <w:next w:val="ColorfulGrid-Accent1"/>
    <w:rsid w:val="00B71B4E"/>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51">
    <w:name w:val="Table-Grid51"/>
    <w:basedOn w:val="TableNormal"/>
    <w:uiPriority w:val="99"/>
    <w:rsid w:val="00B71B4E"/>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51">
    <w:name w:val="Light Shading - Accent 351"/>
    <w:basedOn w:val="TableNormal"/>
    <w:next w:val="LightShading-Accent3"/>
    <w:uiPriority w:val="60"/>
    <w:rsid w:val="00B71B4E"/>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51">
    <w:name w:val="Colorful List - Accent 451"/>
    <w:basedOn w:val="TableNormal"/>
    <w:next w:val="ColorfulList-Accent4"/>
    <w:uiPriority w:val="72"/>
    <w:rsid w:val="00B71B4E"/>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51">
    <w:name w:val="Medium Shading 1 - Accent 351"/>
    <w:basedOn w:val="TableNormal"/>
    <w:next w:val="MediumShading1-Accent3"/>
    <w:uiPriority w:val="63"/>
    <w:rsid w:val="00B71B4E"/>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51">
    <w:name w:val="Light List - Accent 451"/>
    <w:basedOn w:val="TableNormal"/>
    <w:next w:val="LightList-Accent4"/>
    <w:uiPriority w:val="61"/>
    <w:rsid w:val="00B71B4E"/>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51">
    <w:name w:val="Colorful Grid - Accent 351"/>
    <w:basedOn w:val="TableNormal"/>
    <w:next w:val="ColorfulGrid-Accent3"/>
    <w:uiPriority w:val="73"/>
    <w:rsid w:val="00B71B4E"/>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51">
    <w:name w:val="Light List - Accent 351"/>
    <w:basedOn w:val="TableNormal"/>
    <w:next w:val="LightList-Accent3"/>
    <w:uiPriority w:val="61"/>
    <w:rsid w:val="00B71B4E"/>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131">
    <w:name w:val="Grid Table 1 Light - Accent 4131"/>
    <w:basedOn w:val="TableNormal"/>
    <w:uiPriority w:val="46"/>
    <w:rsid w:val="00B71B4E"/>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221">
    <w:name w:val="Table Grid221"/>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121">
    <w:name w:val="Colorful Grid - Accent 1121"/>
    <w:basedOn w:val="TableNormal"/>
    <w:next w:val="ColorfulGrid-Accent1"/>
    <w:rsid w:val="00B71B4E"/>
    <w:pPr>
      <w:spacing w:after="0" w:line="240" w:lineRule="auto"/>
    </w:pPr>
    <w:rPr>
      <w:rFonts w:ascii="Times New Roman" w:eastAsia="Times New Roman" w:hAnsi="Times New Roman" w:cs="Times New Roman"/>
      <w:sz w:val="20"/>
      <w:szCs w:val="20"/>
      <w:lang w:val="x-none" w:eastAsia="x-none"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121">
    <w:name w:val="Table-Grid121"/>
    <w:basedOn w:val="TableNormal"/>
    <w:uiPriority w:val="99"/>
    <w:rsid w:val="00B71B4E"/>
    <w:pPr>
      <w:spacing w:after="0" w:line="240" w:lineRule="auto"/>
    </w:pPr>
    <w:rPr>
      <w:rFonts w:ascii="Times New Roman" w:eastAsia="Times New Roman" w:hAnsi="Times New Roman" w:cs="Times New Roman"/>
      <w:sz w:val="20"/>
      <w:szCs w:val="20"/>
      <w:lang w:eastAsia="en-NZ"/>
    </w:rPr>
    <w:tblPr>
      <w:tblBorders>
        <w:top w:val="single" w:sz="6" w:space="0" w:color="808080"/>
        <w:bottom w:val="single" w:sz="6" w:space="0" w:color="808080"/>
      </w:tblBorders>
      <w:tblCellMar>
        <w:top w:w="57" w:type="dxa"/>
        <w:left w:w="85" w:type="dxa"/>
        <w:bottom w:w="57" w:type="dxa"/>
        <w:right w:w="0" w:type="dxa"/>
      </w:tblCellMar>
    </w:tblPr>
    <w:tcPr>
      <w:shd w:val="clear" w:color="auto" w:fill="FFFFFF"/>
    </w:tcPr>
  </w:style>
  <w:style w:type="table" w:customStyle="1" w:styleId="LightShading-Accent3121">
    <w:name w:val="Light Shading - Accent 3121"/>
    <w:basedOn w:val="TableNormal"/>
    <w:next w:val="LightShading-Accent3"/>
    <w:uiPriority w:val="60"/>
    <w:rsid w:val="00B71B4E"/>
    <w:pPr>
      <w:spacing w:after="0" w:line="240" w:lineRule="auto"/>
    </w:pPr>
    <w:rPr>
      <w:rFonts w:ascii="Calibri" w:eastAsia="Calibri" w:hAnsi="Calibri" w:cs="Times New Roman"/>
      <w:color w:val="76923C"/>
      <w:sz w:val="20"/>
      <w:szCs w:val="20"/>
      <w:lang w:eastAsia="en-N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olorfulList-Accent4121">
    <w:name w:val="Colorful List - Accent 4121"/>
    <w:basedOn w:val="TableNormal"/>
    <w:next w:val="ColorfulList-Accent4"/>
    <w:uiPriority w:val="72"/>
    <w:rsid w:val="00B71B4E"/>
    <w:pPr>
      <w:spacing w:after="0" w:line="240" w:lineRule="auto"/>
    </w:pPr>
    <w:rPr>
      <w:rFonts w:ascii="Calibri" w:eastAsia="Calibri" w:hAnsi="Calibri" w:cs="Times New Roman"/>
      <w:color w:val="000000"/>
      <w:sz w:val="20"/>
      <w:szCs w:val="20"/>
      <w:lang w:eastAsia="en-NZ"/>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Shading1-Accent3121">
    <w:name w:val="Medium Shading 1 - Accent 3121"/>
    <w:basedOn w:val="TableNormal"/>
    <w:next w:val="MediumShading1-Accent3"/>
    <w:uiPriority w:val="63"/>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List-Accent4121">
    <w:name w:val="Light List - Accent 4121"/>
    <w:basedOn w:val="TableNormal"/>
    <w:next w:val="LightList-Accent4"/>
    <w:uiPriority w:val="61"/>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ColorfulGrid-Accent3121">
    <w:name w:val="Colorful Grid - Accent 3121"/>
    <w:basedOn w:val="TableNormal"/>
    <w:next w:val="ColorfulGrid-Accent3"/>
    <w:uiPriority w:val="73"/>
    <w:rsid w:val="00B71B4E"/>
    <w:pPr>
      <w:spacing w:after="0" w:line="240" w:lineRule="auto"/>
    </w:pPr>
    <w:rPr>
      <w:rFonts w:ascii="Calibri" w:eastAsia="Calibri" w:hAnsi="Calibri" w:cs="Times New Roman"/>
      <w:color w:val="000000"/>
      <w:sz w:val="20"/>
      <w:szCs w:val="20"/>
      <w:lang w:eastAsia="en-NZ"/>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List-Accent3121">
    <w:name w:val="Light List - Accent 3121"/>
    <w:basedOn w:val="TableNormal"/>
    <w:next w:val="LightList-Accent3"/>
    <w:uiPriority w:val="61"/>
    <w:rsid w:val="00B71B4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dTable1LightAccent4121">
    <w:name w:val="Grid Table 1 Light Accent 4121"/>
    <w:basedOn w:val="TableNormal"/>
    <w:uiPriority w:val="46"/>
    <w:rsid w:val="00B71B4E"/>
    <w:pPr>
      <w:spacing w:after="0" w:line="240" w:lineRule="auto"/>
    </w:pPr>
    <w:rPr>
      <w:rFonts w:ascii="Calibri" w:eastAsia="Times New Roman" w:hAnsi="Calibri" w:cs="Times New Roman"/>
      <w:sz w:val="20"/>
      <w:szCs w:val="20"/>
      <w:lang w:eastAsia="en-NZ"/>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eGrid321">
    <w:name w:val="Table Grid321"/>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71B4E"/>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21">
    <w:name w:val="Table Grid1121"/>
    <w:basedOn w:val="TableNormal"/>
    <w:next w:val="TableGrid"/>
    <w:uiPriority w:val="59"/>
    <w:rsid w:val="00B71B4E"/>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olorfulList-Accent6121">
    <w:name w:val="Colorful List - Accent 6121"/>
    <w:basedOn w:val="TableNormal"/>
    <w:next w:val="ColorfulList-Accent6"/>
    <w:uiPriority w:val="72"/>
    <w:rsid w:val="00B71B4E"/>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521">
    <w:name w:val="Table Grid521"/>
    <w:basedOn w:val="TableNormal"/>
    <w:next w:val="TableGrid"/>
    <w:rsid w:val="00B71B4E"/>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21">
    <w:name w:val="Colorful Grid - Accent 1221"/>
    <w:basedOn w:val="TableNormal"/>
    <w:next w:val="ColorfulGrid-Accent1"/>
    <w:rsid w:val="00B71B4E"/>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21">
    <w:name w:val="Table-Grid221"/>
    <w:basedOn w:val="TableNormal"/>
    <w:uiPriority w:val="99"/>
    <w:rsid w:val="00B71B4E"/>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221">
    <w:name w:val="Light Shading - Accent 3221"/>
    <w:basedOn w:val="TableNormal"/>
    <w:next w:val="LightShading-Accent3"/>
    <w:uiPriority w:val="60"/>
    <w:rsid w:val="00B71B4E"/>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221">
    <w:name w:val="Colorful List - Accent 4221"/>
    <w:basedOn w:val="TableNormal"/>
    <w:next w:val="ColorfulList-Accent4"/>
    <w:uiPriority w:val="72"/>
    <w:rsid w:val="00B71B4E"/>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221">
    <w:name w:val="Medium Shading 1 - Accent 3221"/>
    <w:basedOn w:val="TableNormal"/>
    <w:next w:val="MediumShading1-Accent3"/>
    <w:uiPriority w:val="63"/>
    <w:rsid w:val="00B71B4E"/>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221">
    <w:name w:val="Light List - Accent 4221"/>
    <w:basedOn w:val="TableNormal"/>
    <w:next w:val="LightList-Accent4"/>
    <w:uiPriority w:val="61"/>
    <w:rsid w:val="00B71B4E"/>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221">
    <w:name w:val="Colorful Grid - Accent 3221"/>
    <w:basedOn w:val="TableNormal"/>
    <w:next w:val="ColorfulGrid-Accent3"/>
    <w:uiPriority w:val="73"/>
    <w:rsid w:val="00B71B4E"/>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221">
    <w:name w:val="Light List - Accent 3221"/>
    <w:basedOn w:val="TableNormal"/>
    <w:next w:val="LightList-Accent3"/>
    <w:uiPriority w:val="61"/>
    <w:rsid w:val="00B71B4E"/>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221">
    <w:name w:val="Grid Table 1 Light Accent 4221"/>
    <w:basedOn w:val="TableNormal"/>
    <w:uiPriority w:val="46"/>
    <w:rsid w:val="00B71B4E"/>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621">
    <w:name w:val="Table Grid621"/>
    <w:basedOn w:val="TableNormal"/>
    <w:next w:val="TableGrid"/>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B71B4E"/>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111">
    <w:name w:val="Grid Table 1 Light - Accent 41111"/>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121">
    <w:name w:val="Grid Table 1 Light121"/>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1">
    <w:name w:val="Table Grid161"/>
    <w:basedOn w:val="TableNormal"/>
    <w:next w:val="TableGrid"/>
    <w:uiPriority w:val="59"/>
    <w:rsid w:val="00B71B4E"/>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41">
    <w:name w:val="Grid Table 1 Light - Accent 4141"/>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131">
    <w:name w:val="Grid Table 1 Light131"/>
    <w:basedOn w:val="TableNormal"/>
    <w:uiPriority w:val="46"/>
    <w:rsid w:val="00B71B4E"/>
    <w:pPr>
      <w:spacing w:after="0" w:line="240" w:lineRule="auto"/>
    </w:pPr>
    <w:rPr>
      <w:rFonts w:eastAsiaTheme="minorEastAsia"/>
      <w:lang w:eastAsia="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olorfulList-Accent641">
    <w:name w:val="Colorful List - Accent 641"/>
    <w:basedOn w:val="TableNormal"/>
    <w:next w:val="ColorfulList-Accent6"/>
    <w:uiPriority w:val="72"/>
    <w:rsid w:val="00B71B4E"/>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171">
    <w:name w:val="Table Grid171"/>
    <w:basedOn w:val="TableNormal"/>
    <w:next w:val="TableGrid"/>
    <w:rsid w:val="00B71B4E"/>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61">
    <w:name w:val="Colorful Grid - Accent 161"/>
    <w:basedOn w:val="TableNormal"/>
    <w:next w:val="ColorfulGrid-Accent1"/>
    <w:rsid w:val="00B71B4E"/>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61">
    <w:name w:val="Table-Grid61"/>
    <w:basedOn w:val="TableNormal"/>
    <w:uiPriority w:val="99"/>
    <w:rsid w:val="00B71B4E"/>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61">
    <w:name w:val="Light Shading - Accent 361"/>
    <w:basedOn w:val="TableNormal"/>
    <w:next w:val="LightShading-Accent3"/>
    <w:uiPriority w:val="60"/>
    <w:rsid w:val="00B71B4E"/>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61">
    <w:name w:val="Colorful List - Accent 461"/>
    <w:basedOn w:val="TableNormal"/>
    <w:next w:val="ColorfulList-Accent4"/>
    <w:uiPriority w:val="72"/>
    <w:rsid w:val="00B71B4E"/>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61">
    <w:name w:val="Medium Shading 1 - Accent 361"/>
    <w:basedOn w:val="TableNormal"/>
    <w:next w:val="MediumShading1-Accent3"/>
    <w:uiPriority w:val="63"/>
    <w:rsid w:val="00B71B4E"/>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61">
    <w:name w:val="Light List - Accent 461"/>
    <w:basedOn w:val="TableNormal"/>
    <w:next w:val="LightList-Accent4"/>
    <w:uiPriority w:val="61"/>
    <w:rsid w:val="00B71B4E"/>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61">
    <w:name w:val="Colorful Grid - Accent 361"/>
    <w:basedOn w:val="TableNormal"/>
    <w:next w:val="ColorfulGrid-Accent3"/>
    <w:uiPriority w:val="73"/>
    <w:rsid w:val="00B71B4E"/>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61">
    <w:name w:val="Light List - Accent 361"/>
    <w:basedOn w:val="TableNormal"/>
    <w:next w:val="LightList-Accent3"/>
    <w:uiPriority w:val="61"/>
    <w:rsid w:val="00B71B4E"/>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51">
    <w:name w:val="Grid Table 1 Light Accent 451"/>
    <w:basedOn w:val="TableNormal"/>
    <w:uiPriority w:val="46"/>
    <w:rsid w:val="00B71B4E"/>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paragraph" w:customStyle="1" w:styleId="Tableboldblue">
    <w:name w:val="Table bold blue"/>
    <w:basedOn w:val="Normal"/>
    <w:semiHidden/>
    <w:qFormat/>
    <w:rsid w:val="00B71B4E"/>
    <w:pPr>
      <w:spacing w:before="60" w:after="60" w:line="240" w:lineRule="auto"/>
      <w:jc w:val="left"/>
    </w:pPr>
    <w:rPr>
      <w:rFonts w:ascii="Arial" w:eastAsia="Times New Roman" w:hAnsi="Arial" w:cs="Times New Roman"/>
      <w:b/>
      <w:color w:val="365F91"/>
      <w:sz w:val="16"/>
      <w:lang w:eastAsia="en-US"/>
    </w:rPr>
  </w:style>
  <w:style w:type="paragraph" w:customStyle="1" w:styleId="Tabletext0">
    <w:name w:val="Table text"/>
    <w:basedOn w:val="Normal"/>
    <w:uiPriority w:val="16"/>
    <w:semiHidden/>
    <w:rsid w:val="00B71B4E"/>
    <w:pPr>
      <w:tabs>
        <w:tab w:val="left" w:pos="567"/>
      </w:tabs>
      <w:spacing w:before="0" w:after="0" w:line="240" w:lineRule="auto"/>
      <w:jc w:val="left"/>
    </w:pPr>
    <w:rPr>
      <w:rFonts w:ascii="Verdana" w:eastAsia="Times New Roman" w:hAnsi="Verdana" w:cs="Times New Roman"/>
      <w:sz w:val="18"/>
      <w:szCs w:val="24"/>
      <w:lang w:eastAsia="en-US"/>
    </w:rPr>
  </w:style>
  <w:style w:type="table" w:customStyle="1" w:styleId="TableGrid110">
    <w:name w:val="Table Grid110"/>
    <w:basedOn w:val="TableNormal"/>
    <w:next w:val="TableGrid"/>
    <w:rsid w:val="00B71B4E"/>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4">
    <w:name w:val="Table Grid114"/>
    <w:basedOn w:val="TableNormal"/>
    <w:next w:val="TableGrid"/>
    <w:rsid w:val="00B71B4E"/>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STableGrida1">
    <w:name w:val="RS Table Grid a1"/>
    <w:basedOn w:val="TableNormal"/>
    <w:next w:val="TableGrid"/>
    <w:uiPriority w:val="59"/>
    <w:rsid w:val="00B71B4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B71B4E"/>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ge-intro">
    <w:name w:val="page-intro"/>
    <w:basedOn w:val="Normal"/>
    <w:uiPriority w:val="99"/>
    <w:semiHidden/>
    <w:rsid w:val="0090449F"/>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TablesText">
    <w:name w:val="Tables Text"/>
    <w:basedOn w:val="Normal"/>
    <w:rsid w:val="007420E6"/>
    <w:pPr>
      <w:spacing w:before="0" w:after="0" w:line="240" w:lineRule="auto"/>
      <w:jc w:val="left"/>
    </w:pPr>
    <w:rPr>
      <w:rFonts w:ascii="Arial Narrow" w:eastAsiaTheme="minorHAnsi" w:hAnsi="Arial Narrow" w:cs="Calibri"/>
      <w:sz w:val="20"/>
      <w:szCs w:val="20"/>
      <w:lang w:eastAsia="en-US"/>
    </w:rPr>
  </w:style>
  <w:style w:type="table" w:customStyle="1" w:styleId="MinistryfortheEnvironment">
    <w:name w:val="Ministry for the Environment"/>
    <w:basedOn w:val="TableNormal"/>
    <w:uiPriority w:val="99"/>
    <w:rsid w:val="00ED2EBD"/>
    <w:pPr>
      <w:spacing w:after="0" w:line="240" w:lineRule="auto"/>
    </w:pPr>
    <w:rPr>
      <w:rFonts w:ascii="Calibri" w:eastAsia="Calibri" w:hAnsi="Calibri" w:cs="Times New Roman"/>
      <w:sz w:val="20"/>
      <w:szCs w:val="20"/>
      <w:lang w:eastAsia="en-NZ"/>
    </w:rPr>
    <w:tblPr>
      <w:tblBorders>
        <w:bottom w:val="single" w:sz="4" w:space="0" w:color="1B556B" w:themeColor="text2"/>
        <w:insideH w:val="single" w:sz="4" w:space="0" w:color="1B556B" w:themeColor="text2"/>
        <w:insideV w:val="single" w:sz="4" w:space="0" w:color="1B556B" w:themeColor="text2"/>
      </w:tblBorders>
      <w:tblCellMar>
        <w:bottom w:w="57" w:type="dxa"/>
      </w:tblCellMar>
    </w:tblPr>
    <w:tblStylePr w:type="firstRow">
      <w:rPr>
        <w:b/>
        <w:color w:val="FFFFFF" w:themeColor="background1"/>
      </w:rPr>
      <w:tblPr/>
      <w:tcPr>
        <w:shd w:val="clear" w:color="auto" w:fill="1B556B" w:themeFill="text2"/>
      </w:tcPr>
    </w:tblStylePr>
  </w:style>
  <w:style w:type="table" w:customStyle="1" w:styleId="CaseStudy">
    <w:name w:val="Case Study"/>
    <w:basedOn w:val="TableNormal"/>
    <w:uiPriority w:val="99"/>
    <w:rsid w:val="00ED2EBD"/>
    <w:pPr>
      <w:spacing w:after="0" w:line="240" w:lineRule="auto"/>
    </w:pPr>
    <w:tblPr>
      <w:tblCellMar>
        <w:top w:w="113" w:type="dxa"/>
        <w:left w:w="284" w:type="dxa"/>
        <w:bottom w:w="113" w:type="dxa"/>
        <w:right w:w="284" w:type="dxa"/>
      </w:tblCellMar>
    </w:tblPr>
    <w:tcPr>
      <w:shd w:val="clear" w:color="auto" w:fill="CFE5E5"/>
    </w:tcPr>
    <w:tblStylePr w:type="firstRow">
      <w:rPr>
        <w:b/>
        <w:i w:val="0"/>
        <w:caps/>
        <w:smallCaps w:val="0"/>
        <w:color w:val="FFFFFF" w:themeColor="background1"/>
        <w:sz w:val="24"/>
      </w:rPr>
      <w:tblPr/>
      <w:tcPr>
        <w:shd w:val="clear" w:color="auto" w:fill="0F7B7D"/>
      </w:tcPr>
    </w:tblStylePr>
  </w:style>
  <w:style w:type="paragraph" w:customStyle="1" w:styleId="PullQuote">
    <w:name w:val="Pull Quote"/>
    <w:basedOn w:val="BodyText"/>
    <w:uiPriority w:val="6"/>
    <w:semiHidden/>
    <w:qFormat/>
    <w:rsid w:val="00ED2EBD"/>
    <w:pPr>
      <w:spacing w:before="0" w:after="200"/>
      <w:ind w:left="283" w:right="284"/>
      <w:jc w:val="both"/>
    </w:pPr>
    <w:rPr>
      <w:rFonts w:eastAsia="Times New Roman" w:cs="Times New Roman"/>
      <w:color w:val="FFFFFF" w:themeColor="background1"/>
      <w:sz w:val="24"/>
      <w:szCs w:val="24"/>
    </w:rPr>
  </w:style>
  <w:style w:type="table" w:customStyle="1" w:styleId="BlueBox">
    <w:name w:val="Blue Box"/>
    <w:basedOn w:val="TableNormal"/>
    <w:uiPriority w:val="99"/>
    <w:rsid w:val="00ED2EBD"/>
    <w:pPr>
      <w:spacing w:after="0" w:line="240" w:lineRule="auto"/>
    </w:pPr>
    <w:tblPr/>
    <w:tcPr>
      <w:shd w:val="clear" w:color="auto" w:fill="D2DDE2"/>
    </w:tcPr>
  </w:style>
  <w:style w:type="character" w:customStyle="1" w:styleId="CaptionChar">
    <w:name w:val="Caption Char"/>
    <w:aliases w:val="Caption MFAT Char"/>
    <w:basedOn w:val="DefaultParagraphFont"/>
    <w:link w:val="Caption"/>
    <w:semiHidden/>
    <w:rsid w:val="00DE1BDD"/>
    <w:rPr>
      <w:rFonts w:ascii="Times New Roman" w:eastAsia="Times New Roman" w:hAnsi="Times New Roman" w:cs="Times New Roman"/>
      <w:b/>
      <w:bCs/>
      <w:color w:val="1C556C" w:themeColor="accent1"/>
      <w:sz w:val="18"/>
      <w:szCs w:val="18"/>
    </w:rPr>
  </w:style>
  <w:style w:type="table" w:customStyle="1" w:styleId="StyleNIR">
    <w:name w:val="Style_NIR"/>
    <w:basedOn w:val="TableNormal"/>
    <w:uiPriority w:val="99"/>
    <w:rsid w:val="00DE1BDD"/>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1">
    <w:name w:val="Style_NIR1"/>
    <w:basedOn w:val="TableNormal"/>
    <w:uiPriority w:val="99"/>
    <w:rsid w:val="00DE1BDD"/>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2">
    <w:name w:val="Style_NIR2"/>
    <w:basedOn w:val="TableNormal"/>
    <w:uiPriority w:val="99"/>
    <w:rsid w:val="00DE1BDD"/>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11">
    <w:name w:val="Style_NIR11"/>
    <w:basedOn w:val="TableNormal"/>
    <w:uiPriority w:val="99"/>
    <w:rsid w:val="00DE1BDD"/>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3">
    <w:name w:val="Style_NIR3"/>
    <w:basedOn w:val="TableNormal"/>
    <w:uiPriority w:val="99"/>
    <w:rsid w:val="00DE1BDD"/>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12">
    <w:name w:val="Style_NIR12"/>
    <w:basedOn w:val="TableNormal"/>
    <w:uiPriority w:val="99"/>
    <w:rsid w:val="00DE1BDD"/>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4">
    <w:name w:val="Style_NIR4"/>
    <w:basedOn w:val="TableNormal"/>
    <w:uiPriority w:val="99"/>
    <w:rsid w:val="00DE1BDD"/>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5">
    <w:name w:val="Style_NIR5"/>
    <w:basedOn w:val="TableNormal"/>
    <w:uiPriority w:val="99"/>
    <w:rsid w:val="00DE1BDD"/>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13">
    <w:name w:val="Style_NIR13"/>
    <w:basedOn w:val="TableNormal"/>
    <w:uiPriority w:val="99"/>
    <w:rsid w:val="00DE1BDD"/>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21">
    <w:name w:val="Style_NIR21"/>
    <w:basedOn w:val="TableNormal"/>
    <w:uiPriority w:val="99"/>
    <w:rsid w:val="00DE1BDD"/>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111">
    <w:name w:val="Style_NIR111"/>
    <w:basedOn w:val="TableNormal"/>
    <w:uiPriority w:val="99"/>
    <w:rsid w:val="00DE1BDD"/>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31">
    <w:name w:val="Style_NIR31"/>
    <w:basedOn w:val="TableNormal"/>
    <w:uiPriority w:val="99"/>
    <w:rsid w:val="00DE1BDD"/>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121">
    <w:name w:val="Style_NIR121"/>
    <w:basedOn w:val="TableNormal"/>
    <w:uiPriority w:val="99"/>
    <w:rsid w:val="00DE1BDD"/>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41">
    <w:name w:val="Style_NIR41"/>
    <w:basedOn w:val="TableNormal"/>
    <w:uiPriority w:val="99"/>
    <w:rsid w:val="00DE1BDD"/>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paragraph" w:customStyle="1" w:styleId="Heading1notTOC">
    <w:name w:val="Heading 1 not TOC"/>
    <w:basedOn w:val="Heading1"/>
    <w:semiHidden/>
    <w:qFormat/>
    <w:rsid w:val="00DE1BDD"/>
    <w:pPr>
      <w:spacing w:line="240" w:lineRule="auto"/>
      <w:ind w:left="851" w:hanging="851"/>
    </w:pPr>
  </w:style>
  <w:style w:type="paragraph" w:customStyle="1" w:styleId="Heading2forTOC">
    <w:name w:val="Heading 2 for TOC"/>
    <w:basedOn w:val="Heading2notTOC"/>
    <w:semiHidden/>
    <w:qFormat/>
    <w:rsid w:val="00DE1BDD"/>
    <w:pPr>
      <w:spacing w:before="240" w:line="240" w:lineRule="auto"/>
    </w:pPr>
  </w:style>
  <w:style w:type="paragraph" w:customStyle="1" w:styleId="Heading1notforTOC">
    <w:name w:val="Heading 1 not for TOC"/>
    <w:basedOn w:val="Heading1"/>
    <w:rsid w:val="00226458"/>
  </w:style>
  <w:style w:type="paragraph" w:customStyle="1" w:styleId="Heading2GCOS">
    <w:name w:val="Heading 2 GCOS"/>
    <w:basedOn w:val="Heading2notTOC"/>
    <w:rsid w:val="00D337B6"/>
  </w:style>
  <w:style w:type="character" w:styleId="Mention">
    <w:name w:val="Mention"/>
    <w:basedOn w:val="DefaultParagraphFont"/>
    <w:uiPriority w:val="99"/>
    <w:semiHidden/>
    <w:rsid w:val="00CA1920"/>
    <w:rPr>
      <w:color w:val="2B579A"/>
      <w:shd w:val="clear" w:color="auto" w:fill="E1DFDD"/>
    </w:rPr>
  </w:style>
  <w:style w:type="table" w:styleId="ListTable3-Accent1">
    <w:name w:val="List Table 3 Accent 1"/>
    <w:basedOn w:val="TableNormal"/>
    <w:uiPriority w:val="48"/>
    <w:rsid w:val="00CA1920"/>
    <w:pPr>
      <w:spacing w:after="0" w:line="240" w:lineRule="auto"/>
    </w:pPr>
    <w:rPr>
      <w:rFonts w:ascii="Calibri" w:eastAsia="Calibri" w:hAnsi="Calibri" w:cs="Times New Roman"/>
      <w:sz w:val="20"/>
      <w:szCs w:val="20"/>
      <w:lang w:eastAsia="en-NZ"/>
    </w:rPr>
    <w:tblPr>
      <w:tblStyleRowBandSize w:val="1"/>
      <w:tblStyleColBandSize w:val="1"/>
      <w:tblBorders>
        <w:top w:val="single" w:sz="4" w:space="0" w:color="1C556C" w:themeColor="accent1"/>
        <w:left w:val="single" w:sz="4" w:space="0" w:color="1C556C" w:themeColor="accent1"/>
        <w:bottom w:val="single" w:sz="4" w:space="0" w:color="1C556C" w:themeColor="accent1"/>
        <w:right w:val="single" w:sz="4" w:space="0" w:color="1C556C" w:themeColor="accent1"/>
      </w:tblBorders>
    </w:tblPr>
    <w:tblStylePr w:type="firstRow">
      <w:rPr>
        <w:b/>
        <w:bCs/>
        <w:color w:val="FFFFFF" w:themeColor="background1"/>
      </w:rPr>
      <w:tblPr/>
      <w:tcPr>
        <w:shd w:val="clear" w:color="auto" w:fill="1C556C" w:themeFill="accent1"/>
      </w:tcPr>
    </w:tblStylePr>
    <w:tblStylePr w:type="lastRow">
      <w:rPr>
        <w:b/>
        <w:bCs/>
      </w:rPr>
      <w:tblPr/>
      <w:tcPr>
        <w:tcBorders>
          <w:top w:val="double" w:sz="4" w:space="0" w:color="1C55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556C" w:themeColor="accent1"/>
          <w:right w:val="single" w:sz="4" w:space="0" w:color="1C556C" w:themeColor="accent1"/>
        </w:tcBorders>
      </w:tcPr>
    </w:tblStylePr>
    <w:tblStylePr w:type="band1Horz">
      <w:tblPr/>
      <w:tcPr>
        <w:tcBorders>
          <w:top w:val="single" w:sz="4" w:space="0" w:color="1C556C" w:themeColor="accent1"/>
          <w:bottom w:val="single" w:sz="4" w:space="0" w:color="1C55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556C" w:themeColor="accent1"/>
          <w:left w:val="nil"/>
        </w:tcBorders>
      </w:tcPr>
    </w:tblStylePr>
    <w:tblStylePr w:type="swCell">
      <w:tblPr/>
      <w:tcPr>
        <w:tcBorders>
          <w:top w:val="double" w:sz="4" w:space="0" w:color="1C556C" w:themeColor="accent1"/>
          <w:right w:val="nil"/>
        </w:tcBorders>
      </w:tcPr>
    </w:tblStylePr>
  </w:style>
  <w:style w:type="table" w:styleId="GridTable4-Accent2">
    <w:name w:val="Grid Table 4 Accent 2"/>
    <w:basedOn w:val="TableNormal"/>
    <w:uiPriority w:val="49"/>
    <w:rsid w:val="00CA1920"/>
    <w:pPr>
      <w:spacing w:after="0" w:line="240" w:lineRule="auto"/>
    </w:pPr>
    <w:rPr>
      <w:rFonts w:ascii="Calibri" w:eastAsia="Calibri" w:hAnsi="Calibri" w:cs="Times New Roman"/>
      <w:sz w:val="20"/>
      <w:szCs w:val="20"/>
      <w:lang w:eastAsia="en-NZ"/>
    </w:rPr>
    <w:tblPr>
      <w:tblStyleRowBandSize w:val="1"/>
      <w:tblStyleColBandSize w:val="1"/>
      <w:tblBorders>
        <w:top w:val="single" w:sz="4" w:space="0" w:color="74B9D2" w:themeColor="accent2" w:themeTint="99"/>
        <w:left w:val="single" w:sz="4" w:space="0" w:color="74B9D2" w:themeColor="accent2" w:themeTint="99"/>
        <w:bottom w:val="single" w:sz="4" w:space="0" w:color="74B9D2" w:themeColor="accent2" w:themeTint="99"/>
        <w:right w:val="single" w:sz="4" w:space="0" w:color="74B9D2" w:themeColor="accent2" w:themeTint="99"/>
        <w:insideH w:val="single" w:sz="4" w:space="0" w:color="74B9D2" w:themeColor="accent2" w:themeTint="99"/>
        <w:insideV w:val="single" w:sz="4" w:space="0" w:color="74B9D2" w:themeColor="accent2" w:themeTint="99"/>
      </w:tblBorders>
    </w:tblPr>
    <w:tblStylePr w:type="firstRow">
      <w:rPr>
        <w:b/>
        <w:bCs/>
        <w:color w:val="FFFFFF" w:themeColor="background1"/>
      </w:rPr>
      <w:tblPr/>
      <w:tcPr>
        <w:tcBorders>
          <w:top w:val="single" w:sz="4" w:space="0" w:color="32809C" w:themeColor="accent2"/>
          <w:left w:val="single" w:sz="4" w:space="0" w:color="32809C" w:themeColor="accent2"/>
          <w:bottom w:val="single" w:sz="4" w:space="0" w:color="32809C" w:themeColor="accent2"/>
          <w:right w:val="single" w:sz="4" w:space="0" w:color="32809C" w:themeColor="accent2"/>
          <w:insideH w:val="nil"/>
          <w:insideV w:val="nil"/>
        </w:tcBorders>
        <w:shd w:val="clear" w:color="auto" w:fill="32809C" w:themeFill="accent2"/>
      </w:tcPr>
    </w:tblStylePr>
    <w:tblStylePr w:type="lastRow">
      <w:rPr>
        <w:b/>
        <w:bCs/>
      </w:rPr>
      <w:tblPr/>
      <w:tcPr>
        <w:tcBorders>
          <w:top w:val="double" w:sz="4" w:space="0" w:color="32809C" w:themeColor="accent2"/>
        </w:tcBorders>
      </w:tcPr>
    </w:tblStylePr>
    <w:tblStylePr w:type="firstCol">
      <w:rPr>
        <w:b/>
        <w:bCs/>
      </w:rPr>
    </w:tblStylePr>
    <w:tblStylePr w:type="lastCol">
      <w:rPr>
        <w:b/>
        <w:bCs/>
      </w:rPr>
    </w:tblStylePr>
    <w:tblStylePr w:type="band1Vert">
      <w:tblPr/>
      <w:tcPr>
        <w:shd w:val="clear" w:color="auto" w:fill="D0E7F0" w:themeFill="accent2" w:themeFillTint="33"/>
      </w:tcPr>
    </w:tblStylePr>
    <w:tblStylePr w:type="band1Horz">
      <w:tblPr/>
      <w:tcPr>
        <w:shd w:val="clear" w:color="auto" w:fill="D0E7F0" w:themeFill="accent2" w:themeFillTint="33"/>
      </w:tcPr>
    </w:tblStylePr>
  </w:style>
  <w:style w:type="table" w:styleId="GridTable4-Accent1">
    <w:name w:val="Grid Table 4 Accent 1"/>
    <w:basedOn w:val="TableNormal"/>
    <w:uiPriority w:val="49"/>
    <w:rsid w:val="00CA1920"/>
    <w:pPr>
      <w:spacing w:after="0" w:line="240" w:lineRule="auto"/>
    </w:pPr>
    <w:rPr>
      <w:rFonts w:ascii="Calibri" w:eastAsia="Calibri" w:hAnsi="Calibri" w:cs="Times New Roman"/>
      <w:sz w:val="20"/>
      <w:szCs w:val="20"/>
      <w:lang w:eastAsia="en-NZ"/>
    </w:rPr>
    <w:tblPr>
      <w:tblStyleRowBandSize w:val="1"/>
      <w:tblStyleColBandSize w:val="1"/>
      <w:tblBorders>
        <w:top w:val="single" w:sz="4" w:space="0" w:color="4CAAD0" w:themeColor="accent1" w:themeTint="99"/>
        <w:left w:val="single" w:sz="4" w:space="0" w:color="4CAAD0" w:themeColor="accent1" w:themeTint="99"/>
        <w:bottom w:val="single" w:sz="4" w:space="0" w:color="4CAAD0" w:themeColor="accent1" w:themeTint="99"/>
        <w:right w:val="single" w:sz="4" w:space="0" w:color="4CAAD0" w:themeColor="accent1" w:themeTint="99"/>
        <w:insideH w:val="single" w:sz="4" w:space="0" w:color="4CAAD0" w:themeColor="accent1" w:themeTint="99"/>
        <w:insideV w:val="single" w:sz="4" w:space="0" w:color="4CAAD0" w:themeColor="accent1" w:themeTint="99"/>
      </w:tblBorders>
    </w:tblPr>
    <w:tblStylePr w:type="firstRow">
      <w:rPr>
        <w:b/>
        <w:bCs/>
        <w:color w:val="FFFFFF" w:themeColor="background1"/>
      </w:rPr>
      <w:tblPr/>
      <w:tcPr>
        <w:tcBorders>
          <w:top w:val="single" w:sz="4" w:space="0" w:color="1C556C" w:themeColor="accent1"/>
          <w:left w:val="single" w:sz="4" w:space="0" w:color="1C556C" w:themeColor="accent1"/>
          <w:bottom w:val="single" w:sz="4" w:space="0" w:color="1C556C" w:themeColor="accent1"/>
          <w:right w:val="single" w:sz="4" w:space="0" w:color="1C556C" w:themeColor="accent1"/>
          <w:insideH w:val="nil"/>
          <w:insideV w:val="nil"/>
        </w:tcBorders>
        <w:shd w:val="clear" w:color="auto" w:fill="1C556C" w:themeFill="accent1"/>
      </w:tcPr>
    </w:tblStylePr>
    <w:tblStylePr w:type="lastRow">
      <w:rPr>
        <w:b/>
        <w:bCs/>
      </w:rPr>
      <w:tblPr/>
      <w:tcPr>
        <w:tcBorders>
          <w:top w:val="double" w:sz="4" w:space="0" w:color="1C556C" w:themeColor="accent1"/>
        </w:tcBorders>
      </w:tcPr>
    </w:tblStylePr>
    <w:tblStylePr w:type="firstCol">
      <w:rPr>
        <w:b/>
        <w:bCs/>
      </w:rPr>
    </w:tblStylePr>
    <w:tblStylePr w:type="lastCol">
      <w:rPr>
        <w:b/>
        <w:bCs/>
      </w:rPr>
    </w:tblStylePr>
    <w:tblStylePr w:type="band1Vert">
      <w:tblPr/>
      <w:tcPr>
        <w:shd w:val="clear" w:color="auto" w:fill="C3E2EF" w:themeFill="accent1" w:themeFillTint="33"/>
      </w:tcPr>
    </w:tblStylePr>
    <w:tblStylePr w:type="band1Horz">
      <w:tblPr/>
      <w:tcPr>
        <w:shd w:val="clear" w:color="auto" w:fill="C3E2EF" w:themeFill="accent1" w:themeFillTint="33"/>
      </w:tcPr>
    </w:tblStylePr>
  </w:style>
  <w:style w:type="paragraph" w:styleId="ListBullet">
    <w:name w:val="List Bullet"/>
    <w:basedOn w:val="Normal"/>
    <w:uiPriority w:val="99"/>
    <w:semiHidden/>
    <w:rsid w:val="00CA1920"/>
    <w:pPr>
      <w:numPr>
        <w:numId w:val="25"/>
      </w:numPr>
      <w:contextualSpacing/>
    </w:pPr>
    <w:rPr>
      <w:rFonts w:eastAsia="Times New Roman" w:cs="Times New Roman"/>
    </w:rPr>
  </w:style>
  <w:style w:type="paragraph" w:styleId="ListNumber">
    <w:name w:val="List Number"/>
    <w:basedOn w:val="Normal"/>
    <w:uiPriority w:val="99"/>
    <w:semiHidden/>
    <w:rsid w:val="00CA1920"/>
    <w:pPr>
      <w:numPr>
        <w:numId w:val="26"/>
      </w:numPr>
      <w:contextualSpacing/>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fat.govt.nz/assets/Aid/Climate-finance/International-Climate-Finance-Strategy-FINAL-16Aug22-low-res.pdf" TargetMode="External"/><Relationship Id="rId21" Type="http://schemas.openxmlformats.org/officeDocument/2006/relationships/footer" Target="footer4.xml"/><Relationship Id="rId42" Type="http://schemas.openxmlformats.org/officeDocument/2006/relationships/chart" Target="charts/chart2.xml"/><Relationship Id="rId63" Type="http://schemas.openxmlformats.org/officeDocument/2006/relationships/image" Target="media/image22.png"/><Relationship Id="rId84" Type="http://schemas.openxmlformats.org/officeDocument/2006/relationships/footer" Target="footer23.xml"/><Relationship Id="rId138" Type="http://schemas.openxmlformats.org/officeDocument/2006/relationships/hyperlink" Target="http://www.epa.govt.nz" TargetMode="External"/><Relationship Id="rId107" Type="http://schemas.openxmlformats.org/officeDocument/2006/relationships/chart" Target="charts/chart27.xml"/><Relationship Id="rId11" Type="http://schemas.openxmlformats.org/officeDocument/2006/relationships/image" Target="media/image1.jpeg"/><Relationship Id="rId32" Type="http://schemas.openxmlformats.org/officeDocument/2006/relationships/image" Target="media/image4.jpeg"/><Relationship Id="rId53" Type="http://schemas.openxmlformats.org/officeDocument/2006/relationships/chart" Target="charts/chart5.xml"/><Relationship Id="rId74" Type="http://schemas.openxmlformats.org/officeDocument/2006/relationships/image" Target="media/image29.jpeg"/><Relationship Id="rId128" Type="http://schemas.openxmlformats.org/officeDocument/2006/relationships/footer" Target="footer40.xml"/><Relationship Id="rId149"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chart" Target="charts/chart15.xml"/><Relationship Id="rId22" Type="http://schemas.openxmlformats.org/officeDocument/2006/relationships/footer" Target="footer5.xml"/><Relationship Id="rId27" Type="http://schemas.openxmlformats.org/officeDocument/2006/relationships/footer" Target="footer10.xml"/><Relationship Id="rId43" Type="http://schemas.openxmlformats.org/officeDocument/2006/relationships/image" Target="media/image9.png"/><Relationship Id="rId48" Type="http://schemas.openxmlformats.org/officeDocument/2006/relationships/image" Target="media/image11.png"/><Relationship Id="rId64" Type="http://schemas.openxmlformats.org/officeDocument/2006/relationships/image" Target="media/image23.png"/><Relationship Id="rId69" Type="http://schemas.openxmlformats.org/officeDocument/2006/relationships/image" Target="media/image27.png"/><Relationship Id="rId113" Type="http://schemas.openxmlformats.org/officeDocument/2006/relationships/image" Target="media/image32.jpeg"/><Relationship Id="rId118" Type="http://schemas.openxmlformats.org/officeDocument/2006/relationships/footer" Target="footer31.xml"/><Relationship Id="rId134" Type="http://schemas.openxmlformats.org/officeDocument/2006/relationships/image" Target="media/image35.emf"/><Relationship Id="rId139" Type="http://schemas.openxmlformats.org/officeDocument/2006/relationships/hyperlink" Target="https://environment.govt.nz/assets/publications/GhG-Inventory/New-Zealand-Greenhouse-Gas-Inventory-1990-2020-Annexes.pdf" TargetMode="External"/><Relationship Id="rId80" Type="http://schemas.openxmlformats.org/officeDocument/2006/relationships/chart" Target="charts/chart7.xml"/><Relationship Id="rId85" Type="http://schemas.openxmlformats.org/officeDocument/2006/relationships/footer" Target="footer24.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5.png"/><Relationship Id="rId38" Type="http://schemas.openxmlformats.org/officeDocument/2006/relationships/image" Target="media/image6.png"/><Relationship Id="rId59" Type="http://schemas.openxmlformats.org/officeDocument/2006/relationships/image" Target="media/image18.png"/><Relationship Id="rId103" Type="http://schemas.openxmlformats.org/officeDocument/2006/relationships/chart" Target="charts/chart23.xml"/><Relationship Id="rId108" Type="http://schemas.openxmlformats.org/officeDocument/2006/relationships/footer" Target="footer27.xml"/><Relationship Id="rId124" Type="http://schemas.openxmlformats.org/officeDocument/2006/relationships/footer" Target="footer36.xml"/><Relationship Id="rId129" Type="http://schemas.openxmlformats.org/officeDocument/2006/relationships/footer" Target="footer41.xml"/><Relationship Id="rId54" Type="http://schemas.openxmlformats.org/officeDocument/2006/relationships/footer" Target="footer19.xml"/><Relationship Id="rId70" Type="http://schemas.openxmlformats.org/officeDocument/2006/relationships/footer" Target="footer21.xml"/><Relationship Id="rId75" Type="http://schemas.openxmlformats.org/officeDocument/2006/relationships/hyperlink" Target="https://en.wikipedia.org/wiki/Crown_entity" TargetMode="External"/><Relationship Id="rId91" Type="http://schemas.openxmlformats.org/officeDocument/2006/relationships/chart" Target="charts/chart11.xml"/><Relationship Id="rId96" Type="http://schemas.openxmlformats.org/officeDocument/2006/relationships/chart" Target="charts/chart16.xml"/><Relationship Id="rId140" Type="http://schemas.openxmlformats.org/officeDocument/2006/relationships/footer" Target="footer43.xml"/><Relationship Id="rId14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footer" Target="footer11.xml"/><Relationship Id="rId49" Type="http://schemas.openxmlformats.org/officeDocument/2006/relationships/image" Target="media/image12.png"/><Relationship Id="rId114" Type="http://schemas.openxmlformats.org/officeDocument/2006/relationships/image" Target="media/image33.jpeg"/><Relationship Id="rId119" Type="http://schemas.openxmlformats.org/officeDocument/2006/relationships/footer" Target="footer32.xml"/><Relationship Id="rId44" Type="http://schemas.openxmlformats.org/officeDocument/2006/relationships/image" Target="media/image10.png"/><Relationship Id="rId60" Type="http://schemas.openxmlformats.org/officeDocument/2006/relationships/image" Target="media/image19.png"/><Relationship Id="rId65" Type="http://schemas.openxmlformats.org/officeDocument/2006/relationships/image" Target="media/image24.png"/><Relationship Id="rId81" Type="http://schemas.openxmlformats.org/officeDocument/2006/relationships/hyperlink" Target="https://ministryforenvironment.sharepoint.com/sites/ECM-EM-ER/Shared%20Documents/03%20-%20National%20communications_6562365/08%20-%20Eighth%20National%20Communication%20(December%202022%20submission)/04.%20Chapter%20production/04%20Policies%20and%20measures/www.mfe.govt.nz/publications/fresh-water/national-policy-statement-freshwater-management-2014." TargetMode="External"/><Relationship Id="rId86" Type="http://schemas.openxmlformats.org/officeDocument/2006/relationships/footer" Target="footer25.xml"/><Relationship Id="rId130" Type="http://schemas.openxmlformats.org/officeDocument/2006/relationships/footer" Target="footer42.xml"/><Relationship Id="rId135" Type="http://schemas.openxmlformats.org/officeDocument/2006/relationships/package" Target="embeddings/Microsoft_Visio_Drawing.vsdx"/><Relationship Id="rId13" Type="http://schemas.openxmlformats.org/officeDocument/2006/relationships/header" Target="header2.xml"/><Relationship Id="rId18" Type="http://schemas.openxmlformats.org/officeDocument/2006/relationships/hyperlink" Target="https://environment.govt.nz/" TargetMode="External"/><Relationship Id="rId39" Type="http://schemas.openxmlformats.org/officeDocument/2006/relationships/image" Target="media/image7.png"/><Relationship Id="rId109" Type="http://schemas.openxmlformats.org/officeDocument/2006/relationships/footer" Target="footer28.xml"/><Relationship Id="rId34" Type="http://schemas.openxmlformats.org/officeDocument/2006/relationships/footer" Target="footer15.xml"/><Relationship Id="rId50" Type="http://schemas.openxmlformats.org/officeDocument/2006/relationships/image" Target="media/image13.png"/><Relationship Id="rId55" Type="http://schemas.openxmlformats.org/officeDocument/2006/relationships/footer" Target="footer20.xml"/><Relationship Id="rId76" Type="http://schemas.openxmlformats.org/officeDocument/2006/relationships/hyperlink" Target="https://en.wikipedia.org/wiki/Productivity" TargetMode="External"/><Relationship Id="rId97" Type="http://schemas.openxmlformats.org/officeDocument/2006/relationships/chart" Target="charts/chart17.xml"/><Relationship Id="rId104" Type="http://schemas.openxmlformats.org/officeDocument/2006/relationships/chart" Target="charts/chart24.xml"/><Relationship Id="rId120" Type="http://schemas.openxmlformats.org/officeDocument/2006/relationships/footer" Target="footer33.xml"/><Relationship Id="rId125" Type="http://schemas.openxmlformats.org/officeDocument/2006/relationships/footer" Target="footer37.xml"/><Relationship Id="rId141" Type="http://schemas.openxmlformats.org/officeDocument/2006/relationships/footer" Target="footer44.xml"/><Relationship Id="rId146" Type="http://schemas.openxmlformats.org/officeDocument/2006/relationships/footer" Target="footer47.xml"/><Relationship Id="rId7" Type="http://schemas.openxmlformats.org/officeDocument/2006/relationships/settings" Target="settings.xml"/><Relationship Id="rId71" Type="http://schemas.openxmlformats.org/officeDocument/2006/relationships/footer" Target="footer22.xml"/><Relationship Id="rId92" Type="http://schemas.openxmlformats.org/officeDocument/2006/relationships/chart" Target="charts/chart12.xml"/><Relationship Id="rId2" Type="http://schemas.openxmlformats.org/officeDocument/2006/relationships/customXml" Target="../customXml/item2.xml"/><Relationship Id="rId29" Type="http://schemas.openxmlformats.org/officeDocument/2006/relationships/footer" Target="footer12.xml"/><Relationship Id="rId24" Type="http://schemas.openxmlformats.org/officeDocument/2006/relationships/footer" Target="footer7.xml"/><Relationship Id="rId40" Type="http://schemas.openxmlformats.org/officeDocument/2006/relationships/image" Target="media/image8.png"/><Relationship Id="rId45" Type="http://schemas.openxmlformats.org/officeDocument/2006/relationships/chart" Target="charts/chart3.xml"/><Relationship Id="rId66" Type="http://schemas.openxmlformats.org/officeDocument/2006/relationships/image" Target="media/image25.png"/><Relationship Id="rId87" Type="http://schemas.openxmlformats.org/officeDocument/2006/relationships/footer" Target="footer26.xml"/><Relationship Id="rId110" Type="http://schemas.openxmlformats.org/officeDocument/2006/relationships/image" Target="media/image30.png"/><Relationship Id="rId115" Type="http://schemas.openxmlformats.org/officeDocument/2006/relationships/footer" Target="footer29.xml"/><Relationship Id="rId131" Type="http://schemas.openxmlformats.org/officeDocument/2006/relationships/hyperlink" Target="mailto:andrea.brandon1@mfe.govt.nz" TargetMode="External"/><Relationship Id="rId136" Type="http://schemas.openxmlformats.org/officeDocument/2006/relationships/image" Target="media/image36.png"/><Relationship Id="rId61" Type="http://schemas.openxmlformats.org/officeDocument/2006/relationships/image" Target="media/image20.png"/><Relationship Id="rId82" Type="http://schemas.openxmlformats.org/officeDocument/2006/relationships/hyperlink" Target="https://environment.govt.nz/acts-and-regulations/acts/waste-minimisation-act-2008/" TargetMode="Externa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footer" Target="footer13.xml"/><Relationship Id="rId35" Type="http://schemas.openxmlformats.org/officeDocument/2006/relationships/footer" Target="footer16.xml"/><Relationship Id="rId56" Type="http://schemas.openxmlformats.org/officeDocument/2006/relationships/image" Target="media/image15.png"/><Relationship Id="rId77" Type="http://schemas.openxmlformats.org/officeDocument/2006/relationships/hyperlink" Target="https://environment.govt.nz/what-government-is-doing/areas-of-work/climate-change/adapting-to-climate-change/national-adaptation-plan/" TargetMode="External"/><Relationship Id="rId100" Type="http://schemas.openxmlformats.org/officeDocument/2006/relationships/chart" Target="charts/chart20.xml"/><Relationship Id="rId105" Type="http://schemas.openxmlformats.org/officeDocument/2006/relationships/chart" Target="charts/chart25.xml"/><Relationship Id="rId126" Type="http://schemas.openxmlformats.org/officeDocument/2006/relationships/footer" Target="footer38.xml"/><Relationship Id="rId147" Type="http://schemas.openxmlformats.org/officeDocument/2006/relationships/footer" Target="footer48.xm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image" Target="media/image28.png"/><Relationship Id="rId93" Type="http://schemas.openxmlformats.org/officeDocument/2006/relationships/chart" Target="charts/chart13.xml"/><Relationship Id="rId98" Type="http://schemas.openxmlformats.org/officeDocument/2006/relationships/chart" Target="charts/chart18.xml"/><Relationship Id="rId121" Type="http://schemas.openxmlformats.org/officeDocument/2006/relationships/hyperlink" Target="http://www.mfat.govt.nz/en/aid-and-development/our-approach-to-aid/evaluation-and-research/" TargetMode="External"/><Relationship Id="rId142" Type="http://schemas.openxmlformats.org/officeDocument/2006/relationships/footer" Target="footer45.xml"/><Relationship Id="rId3" Type="http://schemas.openxmlformats.org/officeDocument/2006/relationships/customXml" Target="../customXml/item3.xml"/><Relationship Id="rId25" Type="http://schemas.openxmlformats.org/officeDocument/2006/relationships/footer" Target="footer8.xml"/><Relationship Id="rId46" Type="http://schemas.openxmlformats.org/officeDocument/2006/relationships/hyperlink" Target="http://www.mbie.govt.nz/building-and-energy/energy-and-natural-resources/energy-statistics-and-modelling/energy-statistics/new-zealand-energy-sector-greenhouse-gas-emissions/" TargetMode="External"/><Relationship Id="rId67" Type="http://schemas.openxmlformats.org/officeDocument/2006/relationships/chart" Target="charts/chart6.xml"/><Relationship Id="rId116" Type="http://schemas.openxmlformats.org/officeDocument/2006/relationships/footer" Target="footer30.xml"/><Relationship Id="rId137" Type="http://schemas.openxmlformats.org/officeDocument/2006/relationships/hyperlink" Target="http://emissionsregister.govt.nz" TargetMode="External"/><Relationship Id="rId20" Type="http://schemas.openxmlformats.org/officeDocument/2006/relationships/header" Target="header5.xml"/><Relationship Id="rId41" Type="http://schemas.openxmlformats.org/officeDocument/2006/relationships/chart" Target="charts/chart1.xml"/><Relationship Id="rId62" Type="http://schemas.openxmlformats.org/officeDocument/2006/relationships/image" Target="media/image21.png"/><Relationship Id="rId83" Type="http://schemas.openxmlformats.org/officeDocument/2006/relationships/hyperlink" Target="https://ministryforenvironment.sharepoint.com/sites/ECM-EM-ER/Shared%20Documents/03%20-%20National%20communications_6562365/08%20-%20Eighth%20National%20Communication%20(December%202022%20submission)/04.%20Chapter%20production/04%20Policies%20and%20measures/Waste%20disposal%20levy%20expansion%20|%20Ministry%20for%20the%20Environment" TargetMode="External"/><Relationship Id="rId88" Type="http://schemas.openxmlformats.org/officeDocument/2006/relationships/chart" Target="charts/chart8.xml"/><Relationship Id="rId111" Type="http://schemas.openxmlformats.org/officeDocument/2006/relationships/image" Target="media/image31.jpeg"/><Relationship Id="rId132" Type="http://schemas.openxmlformats.org/officeDocument/2006/relationships/hyperlink" Target="http://www.mfe.govt.nz" TargetMode="External"/><Relationship Id="rId15" Type="http://schemas.openxmlformats.org/officeDocument/2006/relationships/footer" Target="footer2.xml"/><Relationship Id="rId36" Type="http://schemas.openxmlformats.org/officeDocument/2006/relationships/footer" Target="footer17.xml"/><Relationship Id="rId57" Type="http://schemas.openxmlformats.org/officeDocument/2006/relationships/image" Target="media/image16.png"/><Relationship Id="rId106" Type="http://schemas.openxmlformats.org/officeDocument/2006/relationships/chart" Target="charts/chart26.xml"/><Relationship Id="rId127" Type="http://schemas.openxmlformats.org/officeDocument/2006/relationships/footer" Target="footer39.xml"/><Relationship Id="rId10" Type="http://schemas.openxmlformats.org/officeDocument/2006/relationships/endnotes" Target="endnotes.xml"/><Relationship Id="rId31" Type="http://schemas.openxmlformats.org/officeDocument/2006/relationships/footer" Target="footer14.xml"/><Relationship Id="rId52" Type="http://schemas.openxmlformats.org/officeDocument/2006/relationships/hyperlink" Target="http://www.environment.govt.nz/facts-and-science/waste/estimates-of-waste-generated" TargetMode="External"/><Relationship Id="rId73" Type="http://schemas.openxmlformats.org/officeDocument/2006/relationships/hyperlink" Target="https://environment.govt.nz/what-government-is-doing/areas-of-work/climate-change/emissions-reduction-plan/" TargetMode="External"/><Relationship Id="rId78" Type="http://schemas.openxmlformats.org/officeDocument/2006/relationships/hyperlink" Target="https://www.eeca.govt.nz/co-funding/industry-decarbonisation/about-the-government-investment-in-decarbonising-industry-fund/" TargetMode="External"/><Relationship Id="rId94" Type="http://schemas.openxmlformats.org/officeDocument/2006/relationships/chart" Target="charts/chart14.xml"/><Relationship Id="rId99" Type="http://schemas.openxmlformats.org/officeDocument/2006/relationships/chart" Target="charts/chart19.xml"/><Relationship Id="rId101" Type="http://schemas.openxmlformats.org/officeDocument/2006/relationships/chart" Target="charts/chart21.xml"/><Relationship Id="rId122" Type="http://schemas.openxmlformats.org/officeDocument/2006/relationships/footer" Target="footer34.xml"/><Relationship Id="rId143" Type="http://schemas.openxmlformats.org/officeDocument/2006/relationships/footer" Target="footer46.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9.xml"/><Relationship Id="rId47" Type="http://schemas.openxmlformats.org/officeDocument/2006/relationships/chart" Target="charts/chart4.xml"/><Relationship Id="rId68" Type="http://schemas.openxmlformats.org/officeDocument/2006/relationships/image" Target="media/image26.png"/><Relationship Id="rId89" Type="http://schemas.openxmlformats.org/officeDocument/2006/relationships/chart" Target="charts/chart9.xml"/><Relationship Id="rId112" Type="http://schemas.openxmlformats.org/officeDocument/2006/relationships/hyperlink" Target="https://environment.govt.nz/assets/publications/Files/Interim-guidance-on-the-use-of-new-sea-level-rise-projections-August-2022.pdf" TargetMode="External"/><Relationship Id="rId133" Type="http://schemas.openxmlformats.org/officeDocument/2006/relationships/image" Target="media/image34.png"/><Relationship Id="rId16" Type="http://schemas.openxmlformats.org/officeDocument/2006/relationships/header" Target="header3.xml"/><Relationship Id="rId37" Type="http://schemas.openxmlformats.org/officeDocument/2006/relationships/footer" Target="footer18.xml"/><Relationship Id="rId58" Type="http://schemas.openxmlformats.org/officeDocument/2006/relationships/image" Target="media/image17.png"/><Relationship Id="rId79" Type="http://schemas.openxmlformats.org/officeDocument/2006/relationships/hyperlink" Target="https://www.eeca.govt.nz/co-funding/energy-and-carbon-reduction/" TargetMode="External"/><Relationship Id="rId102" Type="http://schemas.openxmlformats.org/officeDocument/2006/relationships/chart" Target="charts/chart22.xml"/><Relationship Id="rId123" Type="http://schemas.openxmlformats.org/officeDocument/2006/relationships/footer" Target="footer35.xml"/><Relationship Id="rId144" Type="http://schemas.openxmlformats.org/officeDocument/2006/relationships/image" Target="media/image37.png"/><Relationship Id="rId90" Type="http://schemas.openxmlformats.org/officeDocument/2006/relationships/chart" Target="charts/chart10.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17" Type="http://schemas.openxmlformats.org/officeDocument/2006/relationships/hyperlink" Target="https://www.mbie.govt.nz/building-and-energy/energy-and-natural-resources/energy-hardship/support-for-energy-education-in-communities-programme/" TargetMode="External"/><Relationship Id="rId21" Type="http://schemas.openxmlformats.org/officeDocument/2006/relationships/hyperlink" Target="https://niwa.co.nz/sites/niwa.co.nz/files/2021_Annual_Climate_Summary_NIWA11Jan2022.pdf" TargetMode="External"/><Relationship Id="rId324" Type="http://schemas.openxmlformats.org/officeDocument/2006/relationships/hyperlink" Target="https://environment.govt.nz/what-government-is-doing/areas-of-work/climate-change/nationally-determined-contribution/" TargetMode="External"/><Relationship Id="rId531" Type="http://schemas.openxmlformats.org/officeDocument/2006/relationships/hyperlink" Target="https://ggw.gns.cri.nz/" TargetMode="External"/><Relationship Id="rId170" Type="http://schemas.openxmlformats.org/officeDocument/2006/relationships/hyperlink" Target="https://aus01.safelinks.protection.outlook.com/?url=https%3A%2F%2Flink.springer.com%2Farticle%2F10.1186%2Fs40663-021-00312-0&amp;data=05%7C01%7CMarion.Sorez%40mfe.govt.nz%7Ca2c13eb4dfe14203d7d608dad0ca7b63%7C761dd003d4ff40498a728549b20fcbb1%7C0%7C0%7C638051865315700809%7CUnknown%7CTWFpbGZsb3d8eyJWIjoiMC4wLjAwMDAiLCJQIjoiV2luMzIiLCJBTiI6Ik1haWwiLCJXVCI6Mn0%3D%7C3000%7C%7C%7C&amp;sdata=%2F9%2F7uvG8NUworr3Hs9fcid0frN3dUHgTspodhPh9uUQ%3D&amp;reserved=0" TargetMode="External"/><Relationship Id="rId268" Type="http://schemas.openxmlformats.org/officeDocument/2006/relationships/hyperlink" Target="https://www.mpi.govt.nz/dmsdocument/50515-Review-of-FACE-Free-Air-Carbon-Dioxide-Enrichment-results-in-relation-to-impacts-of-elevated-carbon-dioxide-on-future-farm-practices" TargetMode="External"/><Relationship Id="rId475" Type="http://schemas.openxmlformats.org/officeDocument/2006/relationships/hyperlink" Target="https://nedc.nz" TargetMode="External"/><Relationship Id="rId32" Type="http://schemas.openxmlformats.org/officeDocument/2006/relationships/hyperlink" Target="http://www.stats.govt.nz/reports/housing-in-aotearoa-2020" TargetMode="External"/><Relationship Id="rId128" Type="http://schemas.openxmlformats.org/officeDocument/2006/relationships/hyperlink" Target="https://www.eeca.govt.nz/assets/EECA-Resources/Research-papers-guides/Warmer-Kiwis-Study-Interim-Report-2021.pdf" TargetMode="External"/><Relationship Id="rId335" Type="http://schemas.openxmlformats.org/officeDocument/2006/relationships/hyperlink" Target="https://environment.govt.nz/what-government-is-doing/areas-of-work/climate-change/ets/" TargetMode="External"/><Relationship Id="rId542" Type="http://schemas.openxmlformats.org/officeDocument/2006/relationships/hyperlink" Target="https://niwa.co.nz/climate/research-projects/carbonwatchnz/dailyco2measurements" TargetMode="External"/><Relationship Id="rId181" Type="http://schemas.openxmlformats.org/officeDocument/2006/relationships/hyperlink" Target="https://environment.govt.nz/%20publications/new-zealands-seventh-national-communication-under-the-united-nations-framework-convention-on-climate-change-and-the-kyoto-protocol/" TargetMode="External"/><Relationship Id="rId402" Type="http://schemas.openxmlformats.org/officeDocument/2006/relationships/hyperlink" Target="https://pastconsultations.environment.govt.nz/past-consultation/6" TargetMode="External"/><Relationship Id="rId279" Type="http://schemas.openxmlformats.org/officeDocument/2006/relationships/hyperlink" Target="http://www.deepsouthchallenge.co.nz/" TargetMode="External"/><Relationship Id="rId486" Type="http://schemas.openxmlformats.org/officeDocument/2006/relationships/hyperlink" Target="https://bsrn.awi.de/products/quality-code/comparisons/lauder-lau" TargetMode="External"/><Relationship Id="rId43" Type="http://schemas.openxmlformats.org/officeDocument/2006/relationships/hyperlink" Target="https://statisticsnz.shinyapps.io/trade_dashboard/" TargetMode="External"/><Relationship Id="rId139" Type="http://schemas.openxmlformats.org/officeDocument/2006/relationships/hyperlink" Target="https://www.mpi.govt.nz/funding-rural-support/sustainable-food-fibre-futures/" TargetMode="External"/><Relationship Id="rId346" Type="http://schemas.openxmlformats.org/officeDocument/2006/relationships/hyperlink" Target="https://environment.govt.nz/publications/a-guide-to-local-climate-change-risk-assessments/" TargetMode="External"/><Relationship Id="rId553" Type="http://schemas.openxmlformats.org/officeDocument/2006/relationships/hyperlink" Target="https://www.vos.noaa.gov/vos_scheme.shtml" TargetMode="External"/><Relationship Id="rId192" Type="http://schemas.openxmlformats.org/officeDocument/2006/relationships/hyperlink" Target="https://environment.govt.nz/assets/publications/Climate-Change-Projections-Guidance-FINAL.pdf" TargetMode="External"/><Relationship Id="rId206" Type="http://schemas.openxmlformats.org/officeDocument/2006/relationships/hyperlink" Target="https://environment.govt.nz/assets/Publications/Files/coastal-hazards-guide-final.pdf" TargetMode="External"/><Relationship Id="rId413" Type="http://schemas.openxmlformats.org/officeDocument/2006/relationships/hyperlink" Target="https://environment.govt.nz/what-you-can-do/funding/waste-minimisation-fund/" TargetMode="External"/><Relationship Id="rId497" Type="http://schemas.openxmlformats.org/officeDocument/2006/relationships/hyperlink" Target="https://www.methanesat.org/" TargetMode="External"/><Relationship Id="rId357" Type="http://schemas.openxmlformats.org/officeDocument/2006/relationships/hyperlink" Target="https://www.doc.govt.nz/Documents/getting-involved/students-and-teachers/environmental-education-for-sustainability-strategy-and-action-plan.pdf" TargetMode="External"/><Relationship Id="rId54" Type="http://schemas.openxmlformats.org/officeDocument/2006/relationships/hyperlink" Target="http://www.mbie.govt.nz/building-and-energy/energy-and-natural-resources/energy-statistics-and-modelling/energy-statistics/oil-statistics/" TargetMode="External"/><Relationship Id="rId217" Type="http://schemas.openxmlformats.org/officeDocument/2006/relationships/hyperlink" Target="https://static1.squarespace.com/static/62439881aa935837b9ad6ac9/t/625508f12b21ed14780a9ae8/1649740042225/FINAL%2BBranded%2B-%2BAotearoa%2BCircle%2B-%2BSeafood%2BSector%2BClimate%2BAdaptation%2BStrategy.pdf" TargetMode="External"/><Relationship Id="rId259" Type="http://schemas.openxmlformats.org/officeDocument/2006/relationships/hyperlink" Target="https://niwa.co.nz/climate/research-projects/updated-national-climate-projections-for-aotearoa-new-zealand" TargetMode="External"/><Relationship Id="rId424" Type="http://schemas.openxmlformats.org/officeDocument/2006/relationships/hyperlink" Target="https://globalresearchalliance.org/n/webinar-gra-integrative-research-group-linkages-with-the-4p1000-initiative-and-the-circasa-project/" TargetMode="External"/><Relationship Id="rId466" Type="http://schemas.openxmlformats.org/officeDocument/2006/relationships/hyperlink" Target="https://imos.org.au" TargetMode="External"/><Relationship Id="rId23" Type="http://schemas.openxmlformats.org/officeDocument/2006/relationships/hyperlink" Target="http://www.stats.govt.nz/indicators/sunshine-hours" TargetMode="External"/><Relationship Id="rId119" Type="http://schemas.openxmlformats.org/officeDocument/2006/relationships/hyperlink" Target="https://www.eeca.govt.nz/strategic-focus-areas/productive-and-low-emissions-business/" TargetMode="External"/><Relationship Id="rId270" Type="http://schemas.openxmlformats.org/officeDocument/2006/relationships/hyperlink" Target="https://www.mpi.govt.nz/dmsdocument/26743-slmacc-project-405211-soil-microbes-and-drought" TargetMode="External"/><Relationship Id="rId326" Type="http://schemas.openxmlformats.org/officeDocument/2006/relationships/hyperlink" Target="https://www.epa.govt.nz/industry-areas/emissions-trading-scheme/" TargetMode="External"/><Relationship Id="rId533" Type="http://schemas.openxmlformats.org/officeDocument/2006/relationships/hyperlink" Target="https://lris.scinfo.org.nz/search/?q=lcdb" TargetMode="External"/><Relationship Id="rId65" Type="http://schemas.openxmlformats.org/officeDocument/2006/relationships/hyperlink" Target="http://www.itf-oecd.org/sites/default/files/docs/%20decarbonising-maritime-transport.pdf" TargetMode="External"/><Relationship Id="rId130" Type="http://schemas.openxmlformats.org/officeDocument/2006/relationships/hyperlink" Target="https://www.nzta.govt.nz/walking-cycling-and-public-transport/keeping-cities-moving/" TargetMode="External"/><Relationship Id="rId368" Type="http://schemas.openxmlformats.org/officeDocument/2006/relationships/hyperlink" Target="https://www.tec.govt.nz/funding/funding-and-performance/funding/fund-finder/targeted-training-and-apprenticeship-fund/" TargetMode="External"/><Relationship Id="rId172" Type="http://schemas.openxmlformats.org/officeDocument/2006/relationships/hyperlink" Target="https://environment.govt.nz/assets/%20publications/GhG-Inventory/New-Zealand-Greenhouse-Gas-Inventory-1990-2020-Chapters-1-15.pdf" TargetMode="External"/><Relationship Id="rId228" Type="http://schemas.openxmlformats.org/officeDocument/2006/relationships/hyperlink" Target="http://www.livestockemissions.net" TargetMode="External"/><Relationship Id="rId435" Type="http://schemas.openxmlformats.org/officeDocument/2006/relationships/hyperlink" Target="https://globalresearchalliance.org/n/new-e-learning-available/" TargetMode="External"/><Relationship Id="rId477" Type="http://schemas.openxmlformats.org/officeDocument/2006/relationships/hyperlink" Target="https://www.greenclimate.fund/project/fp147" TargetMode="External"/><Relationship Id="rId281" Type="http://schemas.openxmlformats.org/officeDocument/2006/relationships/hyperlink" Target="https://niwa.co.nz/coasts-and-estuaries/research-projects/carim-coastal-acidification-rate-impacts-management" TargetMode="External"/><Relationship Id="rId337" Type="http://schemas.openxmlformats.org/officeDocument/2006/relationships/hyperlink" Target="https://environment.govt.nz/publications/cngp-measuring-and-reporting-ghg-emissions/" TargetMode="External"/><Relationship Id="rId502" Type="http://schemas.openxmlformats.org/officeDocument/2006/relationships/hyperlink" Target="https://www.geonet.org.nz/tsunami/dart" TargetMode="External"/><Relationship Id="rId34" Type="http://schemas.openxmlformats.org/officeDocument/2006/relationships/hyperlink" Target="http://www.stats.govt.nz/infoshare/" TargetMode="External"/><Relationship Id="rId76" Type="http://schemas.openxmlformats.org/officeDocument/2006/relationships/hyperlink" Target="http://www.mpi.govt.nz/dmsdocument/51754-Situation-and-Outlook-for-Primary-Industries-SOPI-June-2022" TargetMode="External"/><Relationship Id="rId141" Type="http://schemas.openxmlformats.org/officeDocument/2006/relationships/hyperlink" Target="https://environment.govt.nz/publications/new-zealands-greenhouse-gas-inventory-1990-2019/" TargetMode="External"/><Relationship Id="rId379" Type="http://schemas.openxmlformats.org/officeDocument/2006/relationships/hyperlink" Target="https://niwa.co.nz/education-and-training" TargetMode="External"/><Relationship Id="rId544" Type="http://schemas.openxmlformats.org/officeDocument/2006/relationships/hyperlink" Target="http://glims.colorado.edu" TargetMode="External"/><Relationship Id="rId7" Type="http://schemas.openxmlformats.org/officeDocument/2006/relationships/hyperlink" Target="https://www.mpi.govt.nz/funding-rural-support/environment-and-natural-resources/centre-for-climate-action-on-agricultural-emissions/" TargetMode="External"/><Relationship Id="rId183" Type="http://schemas.openxmlformats.org/officeDocument/2006/relationships/hyperlink" Target="https://www.mpi.govt.nz/forestry/forestry-in-the-emissions-trading-scheme/" TargetMode="External"/><Relationship Id="rId239" Type="http://schemas.openxmlformats.org/officeDocument/2006/relationships/hyperlink" Target="https://www.mpi.govt.nz/funding-rural-support/farming-funds-and-programmes/slmacc/" TargetMode="External"/><Relationship Id="rId390" Type="http://schemas.openxmlformats.org/officeDocument/2006/relationships/hyperlink" Target="https://www.scimex.org/" TargetMode="External"/><Relationship Id="rId404" Type="http://schemas.openxmlformats.org/officeDocument/2006/relationships/hyperlink" Target="https://pastconsultations.environment.govt.nz/past-consultation/19" TargetMode="External"/><Relationship Id="rId446" Type="http://schemas.openxmlformats.org/officeDocument/2006/relationships/hyperlink" Target="https://environment.govt.nz/publications/new-zealands-greenhouse-gas-inventory-1990-2020" TargetMode="External"/><Relationship Id="rId250" Type="http://schemas.openxmlformats.org/officeDocument/2006/relationships/hyperlink" Target="https://niwa.co.nz/climate/research-projects/carbon-watch-nz" TargetMode="External"/><Relationship Id="rId292" Type="http://schemas.openxmlformats.org/officeDocument/2006/relationships/hyperlink" Target="https://www.niwa.co.nz/te-k%C5%ABwaha" TargetMode="External"/><Relationship Id="rId306" Type="http://schemas.openxmlformats.org/officeDocument/2006/relationships/hyperlink" Target="https://www.nzta.govt.nz/planning-and-investment/planning/transport-planning/planning-for-electric-vehicles/national-guidance-for-public-electric-vehicle-charging-infrastructure/" TargetMode="External"/><Relationship Id="rId488" Type="http://schemas.openxmlformats.org/officeDocument/2006/relationships/hyperlink" Target="http://www.gosat.nies.go.jp/en" TargetMode="External"/><Relationship Id="rId45" Type="http://schemas.openxmlformats.org/officeDocument/2006/relationships/hyperlink" Target="https://www.mbie.govt.nz/assets/energy-in-new-zealand-2021.pdf" TargetMode="External"/><Relationship Id="rId87" Type="http://schemas.openxmlformats.org/officeDocument/2006/relationships/hyperlink" Target="http://www.mpi.govt.nz/dmsdocument/48667-2021-Forestry-and-wood-processing-labour-force-survey" TargetMode="External"/><Relationship Id="rId110" Type="http://schemas.openxmlformats.org/officeDocument/2006/relationships/hyperlink" Target="https://productivity.govt.nz/assets/Documents/4e01d69a83/Productivity-Commission_Low-emissions-economy_Final-Report.pdf" TargetMode="External"/><Relationship Id="rId348" Type="http://schemas.openxmlformats.org/officeDocument/2006/relationships/hyperlink" Target="https://www.nzipim.co.nz/Event?Action=View&amp;Event_id=533" TargetMode="External"/><Relationship Id="rId513" Type="http://schemas.openxmlformats.org/officeDocument/2006/relationships/hyperlink" Target="https://nzodn.nz/" TargetMode="External"/><Relationship Id="rId555" Type="http://schemas.openxmlformats.org/officeDocument/2006/relationships/hyperlink" Target="https://www.bafg.de/GRDC/EN/04_spcldtbss/44_GTNR/gtnr_node.html" TargetMode="External"/><Relationship Id="rId152" Type="http://schemas.openxmlformats.org/officeDocument/2006/relationships/hyperlink" Target="http://www.transport.govt.nz/assets/%20Uploads/Data/Transport-outlook-updated/Vehicle-Fleet-Emissions-Model-Documentation-20220608.pdf" TargetMode="External"/><Relationship Id="rId194" Type="http://schemas.openxmlformats.org/officeDocument/2006/relationships/hyperlink" Target="https://environment.govt.nz/assets/publications/Files/Interim-guidance-on-the-use-of-new-sea-level-rise-projections-August-2022.pdf" TargetMode="External"/><Relationship Id="rId208" Type="http://schemas.openxmlformats.org/officeDocument/2006/relationships/hyperlink" Target="https://environment.govt.nz/assets/Publications/Files/ccatwg-report-web.pdf" TargetMode="External"/><Relationship Id="rId415" Type="http://schemas.openxmlformats.org/officeDocument/2006/relationships/hyperlink" Target="https://www.sprep.org/pacific-year-coral-reef-2018-2019" TargetMode="External"/><Relationship Id="rId457" Type="http://schemas.openxmlformats.org/officeDocument/2006/relationships/hyperlink" Target="http://www.mfe.govt.nz/more/environmental-reporting/about-act" TargetMode="External"/><Relationship Id="rId261" Type="http://schemas.openxmlformats.org/officeDocument/2006/relationships/hyperlink" Target="https://environment.govt.nz/publications/interim-guidance-on-the-use-of-new-sea-level-rise-projections/" TargetMode="External"/><Relationship Id="rId499" Type="http://schemas.openxmlformats.org/officeDocument/2006/relationships/hyperlink" Target="https://public.wmo.int/en/programmes/global-climate-observing-system/essential-climate-variables" TargetMode="External"/><Relationship Id="rId14" Type="http://schemas.openxmlformats.org/officeDocument/2006/relationships/hyperlink" Target="http://www.TeAra.govt.nz/en/natural-environment/page-1" TargetMode="External"/><Relationship Id="rId56" Type="http://schemas.openxmlformats.org/officeDocument/2006/relationships/hyperlink" Target="https://www.mbie.govt.nz/assets/energy-in-new-zealand-2021.pdf" TargetMode="External"/><Relationship Id="rId317" Type="http://schemas.openxmlformats.org/officeDocument/2006/relationships/hyperlink" Target="http://www.epa.govt.nz/assets/%20Uploads/Documents/Te-Hautu/Matauranga-Maori-Report_Companion-Guide.pdf" TargetMode="External"/><Relationship Id="rId359" Type="http://schemas.openxmlformats.org/officeDocument/2006/relationships/hyperlink" Target="https://putatara.education.govt.nz/" TargetMode="External"/><Relationship Id="rId524" Type="http://schemas.openxmlformats.org/officeDocument/2006/relationships/hyperlink" Target="http://www.sirg.org.nz/" TargetMode="External"/><Relationship Id="rId98" Type="http://schemas.openxmlformats.org/officeDocument/2006/relationships/hyperlink" Target="http://www.tokelau.org.nz/site/tokelau/files/ClimateChange/LivCStrategy_web-2.pdf" TargetMode="External"/><Relationship Id="rId121" Type="http://schemas.openxmlformats.org/officeDocument/2006/relationships/hyperlink" Target="https://www.mbie.govt.nz/building-and-energy/energy-and-natural-resources/energy-hardship/support-for-energy-education-in-communities-programme/" TargetMode="External"/><Relationship Id="rId163" Type="http://schemas.openxmlformats.org/officeDocument/2006/relationships/hyperlink" Target="https://environment.govt.nz/assets/publications/GhG-Inventory/New-Zealand-Greenhouse-Gas-Inventory-1990-2020-Chapters-1-15.pdf" TargetMode="External"/><Relationship Id="rId219" Type="http://schemas.openxmlformats.org/officeDocument/2006/relationships/hyperlink" Target="http://www.mfat.govt.nz/en/aid-and-development/climate-change-support/" TargetMode="External"/><Relationship Id="rId370" Type="http://schemas.openxmlformats.org/officeDocument/2006/relationships/hyperlink" Target="http://iwichairs.maori.nz/" TargetMode="External"/><Relationship Id="rId426" Type="http://schemas.openxmlformats.org/officeDocument/2006/relationships/hyperlink" Target="https://globalresearchalliance.org/n/first-cliff-grads-alumni-workshop-indonesia-october-2019/" TargetMode="External"/><Relationship Id="rId230" Type="http://schemas.openxmlformats.org/officeDocument/2006/relationships/hyperlink" Target="https://www.mbie.govt.nz/dmsdocument/7252-national-statement-of-science-investment-2015-2025" TargetMode="External"/><Relationship Id="rId468" Type="http://schemas.openxmlformats.org/officeDocument/2006/relationships/hyperlink" Target="https://data.linz.govt.nz" TargetMode="External"/><Relationship Id="rId25" Type="http://schemas.openxmlformats.org/officeDocument/2006/relationships/hyperlink" Target="http://www.stats.govt.nz/indicators/coastal-sea-level-rise" TargetMode="External"/><Relationship Id="rId67" Type="http://schemas.openxmlformats.org/officeDocument/2006/relationships/hyperlink" Target="http://www.transport.govt.nz/assets/Uploads/Report/The-New-Zealand-Rail-Plan.pdf" TargetMode="External"/><Relationship Id="rId272" Type="http://schemas.openxmlformats.org/officeDocument/2006/relationships/hyperlink" Target="https://www.mpi.govt.nz/dmsdocument/30101/direct" TargetMode="External"/><Relationship Id="rId328" Type="http://schemas.openxmlformats.org/officeDocument/2006/relationships/hyperlink" Target="https://environment.govt.nz/publications/new-zealands-greenhouse-gas-inventory-1990-2020-snapshot/" TargetMode="External"/><Relationship Id="rId535" Type="http://schemas.openxmlformats.org/officeDocument/2006/relationships/hyperlink" Target="http://www.nzagrc.org.nz/soil-carbon.html" TargetMode="External"/><Relationship Id="rId132" Type="http://schemas.openxmlformats.org/officeDocument/2006/relationships/hyperlink" Target="https://www.nzta.govt.nz/resources/requirements-for-urban-buses/" TargetMode="External"/><Relationship Id="rId174" Type="http://schemas.openxmlformats.org/officeDocument/2006/relationships/hyperlink" Target="https://environment.govt.nz/assets/publications/GhG-Inventory/New-Zealand-Greenhouse-Gas-Inventory-1990-2020-Chapters-1-15.pdf" TargetMode="External"/><Relationship Id="rId381" Type="http://schemas.openxmlformats.org/officeDocument/2006/relationships/hyperlink" Target="https://www.mbie.govt.nz/science-and-technology/science-and-innovation/funding-information-and-opportunities/investment-funds/endeavour-fund/success-stories/past-rounds/2019-endeavour-fund-successful-proposals/" TargetMode="External"/><Relationship Id="rId241" Type="http://schemas.openxmlformats.org/officeDocument/2006/relationships/hyperlink" Target="https://www.mpi.govt.nz/funding-rural-support/environment-and-natural-resources/centre-for-climate-action-on-agricultural-emissions" TargetMode="External"/><Relationship Id="rId437" Type="http://schemas.openxmlformats.org/officeDocument/2006/relationships/hyperlink" Target="https://public.wmo.int/en/media/news/pacific-island-climate-outlook-forum" TargetMode="External"/><Relationship Id="rId479" Type="http://schemas.openxmlformats.org/officeDocument/2006/relationships/hyperlink" Target="https://futureearth.org" TargetMode="External"/><Relationship Id="rId36" Type="http://schemas.openxmlformats.org/officeDocument/2006/relationships/hyperlink" Target="https://statisticsnz.shinyapps.io/trade_dashboard/" TargetMode="External"/><Relationship Id="rId283" Type="http://schemas.openxmlformats.org/officeDocument/2006/relationships/hyperlink" Target="https://deepsouthchallenge.co.nz/wp-content/uploads/2021/01/Insurance-housing-and-climate-adaptation-current-knowledge-and-future-research.pdf" TargetMode="External"/><Relationship Id="rId339" Type="http://schemas.openxmlformats.org/officeDocument/2006/relationships/hyperlink" Target="https://www.building.govt.nz/getting-started/building-for-climate-change/" TargetMode="External"/><Relationship Id="rId490" Type="http://schemas.openxmlformats.org/officeDocument/2006/relationships/hyperlink" Target="https://www.nasa.gov/mission_pages/oco3/index.html" TargetMode="External"/><Relationship Id="rId504" Type="http://schemas.openxmlformats.org/officeDocument/2006/relationships/hyperlink" Target="http://www.gloss-sealevel.org/" TargetMode="External"/><Relationship Id="rId546" Type="http://schemas.openxmlformats.org/officeDocument/2006/relationships/hyperlink" Target="https://www.doc.govt.nz/our-work/monitoring-reporting/plot-level-report" TargetMode="External"/><Relationship Id="rId78" Type="http://schemas.openxmlformats.org/officeDocument/2006/relationships/hyperlink" Target="https://environment.govt.nz/publications/new-zealands-greenhouse-gas-inventory-1990-2020/" TargetMode="External"/><Relationship Id="rId101" Type="http://schemas.openxmlformats.org/officeDocument/2006/relationships/hyperlink" Target="https://environment.govt.nz/what-government-is-doing/areas-of-work/climate-change/emissions-reduction-targets/latest-update-on-new-zealands-2020-net-position/" TargetMode="External"/><Relationship Id="rId143" Type="http://schemas.openxmlformats.org/officeDocument/2006/relationships/hyperlink" Target="https://www.mpi.govt.nz/dmsdocument/45232-Emissions-Trading-Scheme-for-Forestry-land-statistics-" TargetMode="External"/><Relationship Id="rId185" Type="http://schemas.openxmlformats.org/officeDocument/2006/relationships/hyperlink" Target="https://environment.govt.nz/publications/new-zealands-greenhouse-gas-inventory-1990-2020/" TargetMode="External"/><Relationship Id="rId350" Type="http://schemas.openxmlformats.org/officeDocument/2006/relationships/hyperlink" Target="https://environment.govt.nz/what-government-is-doing/areas-of-work/climate-change/he-waka-eke-noa-primary-sector-climate-action-partnership/" TargetMode="External"/><Relationship Id="rId406" Type="http://schemas.openxmlformats.org/officeDocument/2006/relationships/hyperlink" Target="https://pastconsultations.environment.govt.nz/past-consultation/12" TargetMode="External"/><Relationship Id="rId9" Type="http://schemas.openxmlformats.org/officeDocument/2006/relationships/hyperlink" Target="https://genless.govt.nz/" TargetMode="External"/><Relationship Id="rId210" Type="http://schemas.openxmlformats.org/officeDocument/2006/relationships/hyperlink" Target="https://environment.govt.nz/assets/publications/FINAL-PDF-Adaptation-Preparedness-2020-21-Baseline-report.pdf" TargetMode="External"/><Relationship Id="rId392" Type="http://schemas.openxmlformats.org/officeDocument/2006/relationships/hyperlink" Target="https://www.sciencelearn.org.nz/topics/climate-change" TargetMode="External"/><Relationship Id="rId448" Type="http://schemas.openxmlformats.org/officeDocument/2006/relationships/hyperlink" Target="https://environment.govt.nz/publications/new-zealands-greenhouse-gas-inventory-1990-2020" TargetMode="External"/><Relationship Id="rId252" Type="http://schemas.openxmlformats.org/officeDocument/2006/relationships/hyperlink" Target="https://www.mbie.govt.nz/science-and-technology/science-and-innovation/funding-information-and-opportunities/investment-funds/who-got-funded/" TargetMode="External"/><Relationship Id="rId294" Type="http://schemas.openxmlformats.org/officeDocument/2006/relationships/hyperlink" Target="https://www.ravensdown.co.nz/expertise/a-vision-for-n-with-new-n-loss-project" TargetMode="External"/><Relationship Id="rId308" Type="http://schemas.openxmlformats.org/officeDocument/2006/relationships/hyperlink" Target="https://genless.govt.nz/stories/tailor-made-climate-advice-for-smaller-businesses/" TargetMode="External"/><Relationship Id="rId515" Type="http://schemas.openxmlformats.org/officeDocument/2006/relationships/hyperlink" Target="https://niwa.co.nz/our-science/coasts-and-oceans/tools-and-resources/southwestern-pacific-obis-node" TargetMode="External"/><Relationship Id="rId47" Type="http://schemas.openxmlformats.org/officeDocument/2006/relationships/hyperlink" Target="http://energydashboard.mbie.govt.nz/" TargetMode="External"/><Relationship Id="rId89" Type="http://schemas.openxmlformats.org/officeDocument/2006/relationships/hyperlink" Target="https://www.mpi.govt.nz/forestry/forest-industry-and-workforce/forestry-wood-processing-data/new-zealand-forest-data/" TargetMode="External"/><Relationship Id="rId112" Type="http://schemas.openxmlformats.org/officeDocument/2006/relationships/hyperlink" Target="https://www.treasury.govt.nz/sites/default/files/2021-05/est21-v3-envir.pdf" TargetMode="External"/><Relationship Id="rId154" Type="http://schemas.openxmlformats.org/officeDocument/2006/relationships/hyperlink" Target="https://environment.govt.nz/what-government-is-doing/international-action/vienna-convention-and-montreal-protocol/kigali-amendment-to-the-montreal-protocol/" TargetMode="External"/><Relationship Id="rId361" Type="http://schemas.openxmlformats.org/officeDocument/2006/relationships/hyperlink" Target="https://nzcurriculum.tki.org.nz/Curriculum-resources/Education-for-sustainability" TargetMode="External"/><Relationship Id="rId557" Type="http://schemas.openxmlformats.org/officeDocument/2006/relationships/hyperlink" Target="https://www.gtn-g.ch/" TargetMode="External"/><Relationship Id="rId196" Type="http://schemas.openxmlformats.org/officeDocument/2006/relationships/hyperlink" Target="https://environment.govt.nz/assets/Publications/Files/Climate-change-projections-2nd-edition-final.pdf" TargetMode="External"/><Relationship Id="rId417" Type="http://schemas.openxmlformats.org/officeDocument/2006/relationships/hyperlink" Target="https://globalresearchalliance.org/country/new-zealand/" TargetMode="External"/><Relationship Id="rId459" Type="http://schemas.openxmlformats.org/officeDocument/2006/relationships/hyperlink" Target="https://d.docs.live.net/d82e1fd947f4c33e/Desktop/www.stats.govt.nz/tools/environmental-indicators" TargetMode="External"/><Relationship Id="rId16" Type="http://schemas.openxmlformats.org/officeDocument/2006/relationships/hyperlink" Target="http://www.stats.govt.nz/infoshare/ViewTable.aspx?pxID=52c50811-0063-46c8-9623-608fa3be1e8a" TargetMode="External"/><Relationship Id="rId221" Type="http://schemas.openxmlformats.org/officeDocument/2006/relationships/hyperlink" Target="http://unfccc.int/resource/docs/2011/cop17/eng/09a01.pdf" TargetMode="External"/><Relationship Id="rId263" Type="http://schemas.openxmlformats.org/officeDocument/2006/relationships/hyperlink" Target="https://d.docs.live.net/d82e1fd947f4c33e/Documents/Work/Environment%20-%20Ministry%20for/NC8%20and%20BR5/NC8/Formatting/deepsouthchallenge.co.nz/research-project/climate-change-risk-assessment-for-land-based-activities" TargetMode="External"/><Relationship Id="rId319" Type="http://schemas.openxmlformats.org/officeDocument/2006/relationships/hyperlink" Target="https://environment.govt.nz/what-government-is-doing/areas-of-work/climate-change/emissions-reduction-plan/" TargetMode="External"/><Relationship Id="rId470" Type="http://schemas.openxmlformats.org/officeDocument/2006/relationships/hyperlink" Target="http://data.gns.cri.nz/metadata" TargetMode="External"/><Relationship Id="rId526" Type="http://schemas.openxmlformats.org/officeDocument/2006/relationships/hyperlink" Target="https://www.nems.org.nz/documents/" TargetMode="External"/><Relationship Id="rId58" Type="http://schemas.openxmlformats.org/officeDocument/2006/relationships/hyperlink" Target="https://environment.govt.nz/publications/new-zealands-greenhouse-gas-inventory-1990-2020/" TargetMode="External"/><Relationship Id="rId123" Type="http://schemas.openxmlformats.org/officeDocument/2006/relationships/hyperlink" Target="https://www.nzgbc.org.nz/homestar" TargetMode="External"/><Relationship Id="rId330" Type="http://schemas.openxmlformats.org/officeDocument/2006/relationships/hyperlink" Target="https://emissionstracker.environment.govt.nz/" TargetMode="External"/><Relationship Id="rId165" Type="http://schemas.openxmlformats.org/officeDocument/2006/relationships/hyperlink" Target="https://www.mpi.govt.nz/dmsdocument/39095/direct" TargetMode="External"/><Relationship Id="rId372" Type="http://schemas.openxmlformats.org/officeDocument/2006/relationships/hyperlink" Target="https://deepsouthchallenge.co.nz/resource/2019-conference-panel-he-wai-ora-water-in-our-changing-climate/" TargetMode="External"/><Relationship Id="rId428" Type="http://schemas.openxmlformats.org/officeDocument/2006/relationships/hyperlink" Target="https://globalresearchalliance.org/n/progressing-partnerships-in-africa-gra-webinar-series-2020/" TargetMode="External"/><Relationship Id="rId232" Type="http://schemas.openxmlformats.org/officeDocument/2006/relationships/hyperlink" Target="https://environment.govt.nz/assets/Publications/Files/conservation-and-environment-science-roadmap.pdf" TargetMode="External"/><Relationship Id="rId274" Type="http://schemas.openxmlformats.org/officeDocument/2006/relationships/hyperlink" Target="https://www.mpi.govt.nz/dmsdocument/45574-Effects-of-climate-change-on-grazing-livestock-health-in-New-Zealand" TargetMode="External"/><Relationship Id="rId481" Type="http://schemas.openxmlformats.org/officeDocument/2006/relationships/hyperlink" Target="http://www.victoria.ac.nz/antarctic/research/research-prog/rice" TargetMode="External"/><Relationship Id="rId27" Type="http://schemas.openxmlformats.org/officeDocument/2006/relationships/hyperlink" Target="https://www.parliament.nz/en/mps-and-electorates/political-parties/" TargetMode="External"/><Relationship Id="rId69" Type="http://schemas.openxmlformats.org/officeDocument/2006/relationships/hyperlink" Target="https://www.transport.govt.nz/statistics-and-insights/freight-and-logistics/sheet/figs-rail" TargetMode="External"/><Relationship Id="rId134" Type="http://schemas.openxmlformats.org/officeDocument/2006/relationships/hyperlink" Target="https://www.nzta.govt.nz/vehicles/clean-car-programme/clean-car-discount/overview/" TargetMode="External"/><Relationship Id="rId537" Type="http://schemas.openxmlformats.org/officeDocument/2006/relationships/hyperlink" Target="https://niwa.co.nz/climate/research-projects/carbon-watch-nz" TargetMode="External"/><Relationship Id="rId80" Type="http://schemas.openxmlformats.org/officeDocument/2006/relationships/hyperlink" Target="https://environment.govt.nz/publications/new-zealands-greenhouse-gas-inventory-1990-2020/" TargetMode="External"/><Relationship Id="rId176" Type="http://schemas.openxmlformats.org/officeDocument/2006/relationships/hyperlink" Target="https://environment.govt.nz/assets/publications/GhG-Inventory/New-Zealand-Greenhouse-Gas-Inventory-1990-2020-Chapters-1-15.pdf" TargetMode="External"/><Relationship Id="rId341" Type="http://schemas.openxmlformats.org/officeDocument/2006/relationships/hyperlink" Target="https://environment.govt.nz/assets/publications/interim-guidance-voluntary-climate-change-mitigation.pdf" TargetMode="External"/><Relationship Id="rId383" Type="http://schemas.openxmlformats.org/officeDocument/2006/relationships/hyperlink" Target="https://www.mbie.govt.nz/science-and-technology/science-and-innovation/agencies-policies-and-budget-initiatives/vision-matauranga-policy/" TargetMode="External"/><Relationship Id="rId439" Type="http://schemas.openxmlformats.org/officeDocument/2006/relationships/hyperlink" Target="https://environment.govt.nz/publications/new-zealands-greenhouse-gas-inventory-1990-2020" TargetMode="External"/><Relationship Id="rId201" Type="http://schemas.openxmlformats.org/officeDocument/2006/relationships/hyperlink" Target="https://www.doc.govt.nz/great-walks" TargetMode="External"/><Relationship Id="rId243" Type="http://schemas.openxmlformats.org/officeDocument/2006/relationships/hyperlink" Target="https://www.mbie.govt.nz/science-and-technology/science-and-innovation/funding-information-and-opportunities/investment-funds/national-science-challenges/the-11-challenges/" TargetMode="External"/><Relationship Id="rId285" Type="http://schemas.openxmlformats.org/officeDocument/2006/relationships/hyperlink" Target="https://deepsouthchallenge.co.nz/research-project/how-should-the-risks-of-sea-level-rise-be-shared/" TargetMode="External"/><Relationship Id="rId450" Type="http://schemas.openxmlformats.org/officeDocument/2006/relationships/hyperlink" Target="https://emissionsregister.govt.nz/" TargetMode="External"/><Relationship Id="rId506" Type="http://schemas.openxmlformats.org/officeDocument/2006/relationships/hyperlink" Target="https://www.niwa.co.nz/our-services/online-services/cam-era" TargetMode="External"/><Relationship Id="rId38" Type="http://schemas.openxmlformats.org/officeDocument/2006/relationships/hyperlink" Target="https://statisticsnz.shinyapps.io/trade_dashboard/" TargetMode="External"/><Relationship Id="rId103" Type="http://schemas.openxmlformats.org/officeDocument/2006/relationships/hyperlink" Target="https://www.legislation.govt.nz/act/public/2002/0040/latest/whole.html" TargetMode="External"/><Relationship Id="rId310" Type="http://schemas.openxmlformats.org/officeDocument/2006/relationships/hyperlink" Target="https://www.toitu.co.nz/our-members/case-studies" TargetMode="External"/><Relationship Id="rId492" Type="http://schemas.openxmlformats.org/officeDocument/2006/relationships/hyperlink" Target="http://www.tccon.caltech.edu/" TargetMode="External"/><Relationship Id="rId548" Type="http://schemas.openxmlformats.org/officeDocument/2006/relationships/hyperlink" Target="https://environment.govt.nz/facts-and-science/environmental-reporting/improving-environmental-reporting-data" TargetMode="External"/><Relationship Id="rId91" Type="http://schemas.openxmlformats.org/officeDocument/2006/relationships/hyperlink" Target="https://environment.govt.nz/publications/new-zealands-greenhouse-gas-inventory-1990-2020/" TargetMode="External"/><Relationship Id="rId145" Type="http://schemas.openxmlformats.org/officeDocument/2006/relationships/hyperlink" Target="https://environment.govt.nz/what-government-is-doing/areas-of-work/waste/waste-disposal-levy/" TargetMode="External"/><Relationship Id="rId187" Type="http://schemas.openxmlformats.org/officeDocument/2006/relationships/hyperlink" Target="https://environment.govt.nz/publications/new-zealands-greenhouse-gas-inventory-1990-2019/" TargetMode="External"/><Relationship Id="rId352" Type="http://schemas.openxmlformats.org/officeDocument/2006/relationships/hyperlink" Target="https://environment.govt.nz/what-you-can-do/agricultural-emissions-calculator/" TargetMode="External"/><Relationship Id="rId394" Type="http://schemas.openxmlformats.org/officeDocument/2006/relationships/hyperlink" Target="https://environment.govt.nz/what-you-can-do/campaigns/ourclimatefuture/" TargetMode="External"/><Relationship Id="rId408" Type="http://schemas.openxmlformats.org/officeDocument/2006/relationships/hyperlink" Target="https://pastconsultations.environment.govt.nz/past-consultation/2" TargetMode="External"/><Relationship Id="rId212" Type="http://schemas.openxmlformats.org/officeDocument/2006/relationships/hyperlink" Target="https://ministryforenvironment.sharepoint.com/sites/MFE-EXT-8thNatlCommNC85thBiennialReportBR5/Shared%20Documents/General/03%20Chapter%20production/06%20Vulnerability%20assessment/08%20Edited%20and%20proofed%20copy/South%20Dunedin%20Future%20Programme" TargetMode="External"/><Relationship Id="rId254" Type="http://schemas.openxmlformats.org/officeDocument/2006/relationships/hyperlink" Target="https://environment.govt.nz/assets/Publications/Files/Climate-change-projections-2nd-edition-final.pdf" TargetMode="External"/><Relationship Id="rId49" Type="http://schemas.openxmlformats.org/officeDocument/2006/relationships/hyperlink" Target="https://environment.govt.nz/publications/new-zealands-greenhouse-gas-inventory-1990-2020/" TargetMode="External"/><Relationship Id="rId114" Type="http://schemas.openxmlformats.org/officeDocument/2006/relationships/hyperlink" Target="https://www.mbie.govt.nz/building-and-energy/energy-and-natural-resources/low-emissions-economy/energy-efficiency-in-new-zealand/maori-and-public-housing-renewable-energy-fund" TargetMode="External"/><Relationship Id="rId296" Type="http://schemas.openxmlformats.org/officeDocument/2006/relationships/hyperlink" Target="https://www.nzagrc.org.nz/assets/Publications/NZAGRC-Brochure-Mitigation-of-on-farm-GHG-Emissions.pdf" TargetMode="External"/><Relationship Id="rId461" Type="http://schemas.openxmlformats.org/officeDocument/2006/relationships/hyperlink" Target="https://www.nems.org.nz/documents/quality-code-schema" TargetMode="External"/><Relationship Id="rId517" Type="http://schemas.openxmlformats.org/officeDocument/2006/relationships/hyperlink" Target="https://www.gbif.org/installation/f0d34585-ddcb-4915-9332-6043585e831a" TargetMode="External"/><Relationship Id="rId559" Type="http://schemas.openxmlformats.org/officeDocument/2006/relationships/hyperlink" Target="https://www.imk-asf.kit.edu/english/COCCON.php" TargetMode="External"/><Relationship Id="rId60" Type="http://schemas.openxmlformats.org/officeDocument/2006/relationships/hyperlink" Target="http://www.stats.govt.nz/information-releases/international-travel-march-2022" TargetMode="External"/><Relationship Id="rId156" Type="http://schemas.openxmlformats.org/officeDocument/2006/relationships/hyperlink" Target="http://www.mpi.govt.nz/agriculture/farm-management-the-environment-and-land-use/protecting-freshwater-health/" TargetMode="External"/><Relationship Id="rId198" Type="http://schemas.openxmlformats.org/officeDocument/2006/relationships/hyperlink" Target="https://environment.govt.nz/assets/publications/climate-change/MFE-AoG-20664-GF-National-Adaptation-Plan-2022-WEB.pdf" TargetMode="External"/><Relationship Id="rId321" Type="http://schemas.openxmlformats.org/officeDocument/2006/relationships/hyperlink" Target="https://environment.govt.nz/what-government-is-doing/areas-of-work/climate-change/emissions-reduction-targets/greenhouse-gas-emissions-targets-and-reporting/" TargetMode="External"/><Relationship Id="rId363" Type="http://schemas.openxmlformats.org/officeDocument/2006/relationships/hyperlink" Target="https://environment.govt.nz/assets/publications/Aotearoa-New-Zealands-first-emissions-reduction-plan.pdf" TargetMode="External"/><Relationship Id="rId419" Type="http://schemas.openxmlformats.org/officeDocument/2006/relationships/hyperlink" Target="https://globalresearchalliance.org/library/nz-grads/" TargetMode="External"/><Relationship Id="rId223" Type="http://schemas.openxmlformats.org/officeDocument/2006/relationships/hyperlink" Target="http://www.sprep.org" TargetMode="External"/><Relationship Id="rId430" Type="http://schemas.openxmlformats.org/officeDocument/2006/relationships/hyperlink" Target="https://globalresearchalliance.org/n/africa-partnership-webinar-3-demonstrating-impact/" TargetMode="External"/><Relationship Id="rId18" Type="http://schemas.openxmlformats.org/officeDocument/2006/relationships/hyperlink" Target="https://www.stats.govt.nz/information-releases/national-population-projections-2022base2073/" TargetMode="External"/><Relationship Id="rId265" Type="http://schemas.openxmlformats.org/officeDocument/2006/relationships/hyperlink" Target="https://deepsouthchallenge.co.nz/research-project/primary-sector-preparedness-for-climate-change/" TargetMode="External"/><Relationship Id="rId472" Type="http://schemas.openxmlformats.org/officeDocument/2006/relationships/hyperlink" Target="https://lris.scinfo.org.nz" TargetMode="External"/><Relationship Id="rId528" Type="http://schemas.openxmlformats.org/officeDocument/2006/relationships/hyperlink" Target="http://www.bafg.de/GRDC/EN/Home/homepage_node.html" TargetMode="External"/><Relationship Id="rId125" Type="http://schemas.openxmlformats.org/officeDocument/2006/relationships/hyperlink" Target="https://www.nabersnz.govt.nz/" TargetMode="External"/><Relationship Id="rId167" Type="http://schemas.openxmlformats.org/officeDocument/2006/relationships/hyperlink" Target="https://environment.govt.nz/assets/publications/GhG-Inventory/New-Zealand-Greenhouse-Gas-Inventory-1990-2020-Chapters-1-15.pdf" TargetMode="External"/><Relationship Id="rId332" Type="http://schemas.openxmlformats.org/officeDocument/2006/relationships/hyperlink" Target="https://www.epa.govt.nz/resources-and-publications/" TargetMode="External"/><Relationship Id="rId374" Type="http://schemas.openxmlformats.org/officeDocument/2006/relationships/hyperlink" Target="https://www.motu.nz/" TargetMode="External"/><Relationship Id="rId71" Type="http://schemas.openxmlformats.org/officeDocument/2006/relationships/hyperlink" Target="http://www.stats.govt.nz/information-releases/agricultural-production-statistics-year-to-june-2021-final/" TargetMode="External"/><Relationship Id="rId234" Type="http://schemas.openxmlformats.org/officeDocument/2006/relationships/hyperlink" Target="https://www.mfat.govt.nz/assets/Environment/Antarctica-and-the-Southern-Ocean/Aotearoa-New-Zealand-Antarctic-Research-Directions-and-Priorities-2021-2030.pdf" TargetMode="External"/><Relationship Id="rId2" Type="http://schemas.openxmlformats.org/officeDocument/2006/relationships/hyperlink" Target="https://environment.govt.nz/publications/new-zealands-greenhouse-gas-inventory-1990-2020/" TargetMode="External"/><Relationship Id="rId29" Type="http://schemas.openxmlformats.org/officeDocument/2006/relationships/hyperlink" Target="http://www.stats.govt.nz/information-releases/2018-census-population-and-dwelling-counts" TargetMode="External"/><Relationship Id="rId276" Type="http://schemas.openxmlformats.org/officeDocument/2006/relationships/hyperlink" Target="https://www.ruralfireresearch.co.nz/__data/assets/pdf_file/0003/80922/SLMACC-Contract-Final-report-submitted-to-MPI-linked.pdf" TargetMode="External"/><Relationship Id="rId441" Type="http://schemas.openxmlformats.org/officeDocument/2006/relationships/hyperlink" Target="http://www.mbie.govt.nz/building-and-energy/energy-and-natural-resources/energy-statistics-and-modelling/energy-publications-and-technical-papers/energy-in-new-zealand/" TargetMode="External"/><Relationship Id="rId483" Type="http://schemas.openxmlformats.org/officeDocument/2006/relationships/hyperlink" Target="https://gcos.wmo.int/en/essential-climate-variables" TargetMode="External"/><Relationship Id="rId539" Type="http://schemas.openxmlformats.org/officeDocument/2006/relationships/hyperlink" Target="https://www.doc.govt.nz/our-work/monitoring-reporting/plot-level-report" TargetMode="External"/><Relationship Id="rId40" Type="http://schemas.openxmlformats.org/officeDocument/2006/relationships/hyperlink" Target="https://statisticsnz.shinyapps.io/trade_dashboard/" TargetMode="External"/><Relationship Id="rId136" Type="http://schemas.openxmlformats.org/officeDocument/2006/relationships/hyperlink" Target="https://www.imo.org/en/OurWork/Environment/Pages/GHG-Emissions.aspx" TargetMode="External"/><Relationship Id="rId178" Type="http://schemas.openxmlformats.org/officeDocument/2006/relationships/hyperlink" Target="http://www.teururakau.govt.nz/dmsdocument/37113/direct%20" TargetMode="External"/><Relationship Id="rId301" Type="http://schemas.openxmlformats.org/officeDocument/2006/relationships/hyperlink" Target="https://www.fan.ac.nz/" TargetMode="External"/><Relationship Id="rId343" Type="http://schemas.openxmlformats.org/officeDocument/2006/relationships/hyperlink" Target="https://environment.govt.nz/assets/Publications/Files/coastal-hazards-guide-final.pdf" TargetMode="External"/><Relationship Id="rId550" Type="http://schemas.openxmlformats.org/officeDocument/2006/relationships/hyperlink" Target="https://www.lawa.org.nz" TargetMode="External"/><Relationship Id="rId82" Type="http://schemas.openxmlformats.org/officeDocument/2006/relationships/hyperlink" Target="https://statisticsnz.shinyapps.io/trade_dashboard/" TargetMode="External"/><Relationship Id="rId203" Type="http://schemas.openxmlformats.org/officeDocument/2006/relationships/hyperlink" Target="https://environment.govt.nz/assets/Publications/Files/national-climate-change-risk-assessment-main-report.pdf" TargetMode="External"/><Relationship Id="rId385" Type="http://schemas.openxmlformats.org/officeDocument/2006/relationships/hyperlink" Target="https://www.agmatters.nz/" TargetMode="External"/><Relationship Id="rId245" Type="http://schemas.openxmlformats.org/officeDocument/2006/relationships/hyperlink" Target="https://resiliencechallenge.nz/" TargetMode="External"/><Relationship Id="rId287" Type="http://schemas.openxmlformats.org/officeDocument/2006/relationships/hyperlink" Target="https://deepsouthchallenge.co.nz/research-project/drinking-water-drought-and-climate-change/" TargetMode="External"/><Relationship Id="rId410" Type="http://schemas.openxmlformats.org/officeDocument/2006/relationships/hyperlink" Target="https://www.blakenz.org/programmes/blake-inspire/" TargetMode="External"/><Relationship Id="rId452" Type="http://schemas.openxmlformats.org/officeDocument/2006/relationships/hyperlink" Target="http://www.imo.org/en/OurWork/Environment/Pages/GHG-Emissions.aspx" TargetMode="External"/><Relationship Id="rId494" Type="http://schemas.openxmlformats.org/officeDocument/2006/relationships/hyperlink" Target="https://niwa.co.nz/climate/research-projects/carbon-watch-nz" TargetMode="External"/><Relationship Id="rId508" Type="http://schemas.openxmlformats.org/officeDocument/2006/relationships/hyperlink" Target="https://sites.google.com/view/argofloats/rv-kaharoa" TargetMode="External"/><Relationship Id="rId105" Type="http://schemas.openxmlformats.org/officeDocument/2006/relationships/hyperlink" Target="https://environment.govt.nz/publications/report-upon-expiration-of-the-additional-period-for-fulfilling-commitments-by-new-zealand/" TargetMode="External"/><Relationship Id="rId147" Type="http://schemas.openxmlformats.org/officeDocument/2006/relationships/hyperlink" Target="http://www.hud.govt.nz/our-work/healthy-homes-standards/" TargetMode="External"/><Relationship Id="rId312" Type="http://schemas.openxmlformats.org/officeDocument/2006/relationships/hyperlink" Target="https://environment.govt.nz/what-government-is-doing/" TargetMode="External"/><Relationship Id="rId354" Type="http://schemas.openxmlformats.org/officeDocument/2006/relationships/hyperlink" Target="https://www.mpi.govt.nz/forestry/" TargetMode="External"/><Relationship Id="rId51" Type="http://schemas.openxmlformats.org/officeDocument/2006/relationships/hyperlink" Target="http://www.mbie.govt.nz/info-services/sectors-industries/energy/electricity-market/electricity-industry/chronology-of-new-zealand-electricity-reform" TargetMode="External"/><Relationship Id="rId93" Type="http://schemas.openxmlformats.org/officeDocument/2006/relationships/hyperlink" Target="https://environment.govt.nz/publications/new-zealands-greenhouse-gas-inventory-1990-2020/" TargetMode="External"/><Relationship Id="rId189" Type="http://schemas.openxmlformats.org/officeDocument/2006/relationships/hyperlink" Target="https://www.stats.govt.nz/topics/atmosphere-and-climate" TargetMode="External"/><Relationship Id="rId396" Type="http://schemas.openxmlformats.org/officeDocument/2006/relationships/hyperlink" Target="https://consult.environment.govt.nz/climate/erp-quick-submission/" TargetMode="External"/><Relationship Id="rId214" Type="http://schemas.openxmlformats.org/officeDocument/2006/relationships/hyperlink" Target="https://ministryforenvironment.sharepoint.com/sites/MFE-EXT-8thNatlCommNC85thBiennialReportBR5/Shared%20Documents/General/03%20Chapter%20production/06%20Vulnerability%20assessment/08%20Edited%20and%20proofed%20copy/Clifton%20to%20Tangoio%20Coastal%20Hazards%20Strategy%202120" TargetMode="External"/><Relationship Id="rId256" Type="http://schemas.openxmlformats.org/officeDocument/2006/relationships/hyperlink" Target="https://www.ipcc.ch/report/ar6/wg2/" TargetMode="External"/><Relationship Id="rId298" Type="http://schemas.openxmlformats.org/officeDocument/2006/relationships/hyperlink" Target="https://www.gns.cri.nz/research-projects/fjords-as-carbon-sinks/" TargetMode="External"/><Relationship Id="rId421" Type="http://schemas.openxmlformats.org/officeDocument/2006/relationships/hyperlink" Target="https://livestockemissions.net/awards/grass-award/" TargetMode="External"/><Relationship Id="rId463" Type="http://schemas.openxmlformats.org/officeDocument/2006/relationships/hyperlink" Target="http://www.lawa.org.nz/" TargetMode="External"/><Relationship Id="rId519" Type="http://schemas.openxmlformats.org/officeDocument/2006/relationships/hyperlink" Target="https://www.ioc-sealevelmonitoring.org/index.php" TargetMode="External"/><Relationship Id="rId116" Type="http://schemas.openxmlformats.org/officeDocument/2006/relationships/hyperlink" Target="https://genless.govt.nz/" TargetMode="External"/><Relationship Id="rId158" Type="http://schemas.openxmlformats.org/officeDocument/2006/relationships/hyperlink" Target="https://hewakaekenoa.nz/" TargetMode="External"/><Relationship Id="rId323" Type="http://schemas.openxmlformats.org/officeDocument/2006/relationships/hyperlink" Target="https://environment.govt.nz/publications/report-upon-expiration-of-the-additional-period-for-fulfilling-commitments-by-new-zealand/" TargetMode="External"/><Relationship Id="rId530" Type="http://schemas.openxmlformats.org/officeDocument/2006/relationships/hyperlink" Target="https://niwa.co.nz/climate/summaries" TargetMode="External"/><Relationship Id="rId20" Type="http://schemas.openxmlformats.org/officeDocument/2006/relationships/hyperlink" Target="http://www.niwa.co.nz/education-and-training/schools/resources/climate/overview" TargetMode="External"/><Relationship Id="rId62" Type="http://schemas.openxmlformats.org/officeDocument/2006/relationships/hyperlink" Target="http://www.stats.govt.nz/infoshare/ViewTable.aspx?pxID=52c50811-0063-46c8-9623-608fa3be1e8a" TargetMode="External"/><Relationship Id="rId365" Type="http://schemas.openxmlformats.org/officeDocument/2006/relationships/hyperlink" Target="https://tep&#363;kenga.ac.nz/news/category/News/competenz-first-tito-to-transition-to-te-pukenga-whanau" TargetMode="External"/><Relationship Id="rId225" Type="http://schemas.openxmlformats.org/officeDocument/2006/relationships/hyperlink" Target="http://www.spc.int" TargetMode="External"/><Relationship Id="rId267" Type="http://schemas.openxmlformats.org/officeDocument/2006/relationships/hyperlink" Target="https://deepsouthchallenge.co.nz/research-project/climate-change-and-drought-the-future-of-farms-and-rural-communities/" TargetMode="External"/><Relationship Id="rId432" Type="http://schemas.openxmlformats.org/officeDocument/2006/relationships/hyperlink" Target="https://globalresearchalliance.org/n/manure-management-network-webinar-feb-2022/" TargetMode="External"/><Relationship Id="rId474" Type="http://schemas.openxmlformats.org/officeDocument/2006/relationships/hyperlink" Target="https://data.govt.nz/" TargetMode="External"/><Relationship Id="rId127" Type="http://schemas.openxmlformats.org/officeDocument/2006/relationships/hyperlink" Target="https://www.nabersnz.govt.nz/about-nabersnz/background/" TargetMode="External"/><Relationship Id="rId31" Type="http://schemas.openxmlformats.org/officeDocument/2006/relationships/hyperlink" Target="https://www.stats.govt.nz/information-releases/dwelling-and-household-estimates-june-2022-quarter" TargetMode="External"/><Relationship Id="rId73" Type="http://schemas.openxmlformats.org/officeDocument/2006/relationships/hyperlink" Target="https://environment.govt.nz/assets/publications/Aotearoa-New-Zealands-first-emissions-reduction-plan.pdf" TargetMode="External"/><Relationship Id="rId169" Type="http://schemas.openxmlformats.org/officeDocument/2006/relationships/hyperlink" Target="https://environment.govt.nz/publications/new-zealands-greenhouse-gas-inventory-1990-2020" TargetMode="External"/><Relationship Id="rId334" Type="http://schemas.openxmlformats.org/officeDocument/2006/relationships/hyperlink" Target="https://mpi.govt.nz/growing-and-producing/forestry/forestry-in-the-emissions-trading-scheme" TargetMode="External"/><Relationship Id="rId376" Type="http://schemas.openxmlformats.org/officeDocument/2006/relationships/hyperlink" Target="https://www.motu.nz/resources/teaching-resources/" TargetMode="External"/><Relationship Id="rId541" Type="http://schemas.openxmlformats.org/officeDocument/2006/relationships/hyperlink" Target="https://lris.scinfo.org.nz/layer/48440-s-map-a-new-soil-spatial-information-system-for-new-zealand-current" TargetMode="External"/><Relationship Id="rId4" Type="http://schemas.openxmlformats.org/officeDocument/2006/relationships/hyperlink" Target="https://environment.govt.nz/publications/aotearoa-new-zealands-first-emissions-reduction-plan/" TargetMode="External"/><Relationship Id="rId180" Type="http://schemas.openxmlformats.org/officeDocument/2006/relationships/hyperlink" Target="https://environment.govt.nz/assets/publications/Files/Aotearoa-New-Zealands-first-emissions-reduction-plan-Technical-information-annex.pdf" TargetMode="External"/><Relationship Id="rId236" Type="http://schemas.openxmlformats.org/officeDocument/2006/relationships/hyperlink" Target="https://www.mbie.govt.nz/science-and-technology/science-and-innovation/agencies-policies-and-budget-initiatives/vision-matauranga-policy" TargetMode="External"/><Relationship Id="rId278" Type="http://schemas.openxmlformats.org/officeDocument/2006/relationships/hyperlink" Target="https://deepsouthchallenge.co.nz/research-project/haumanu-hauora-health-responses-for-maori/" TargetMode="External"/><Relationship Id="rId401" Type="http://schemas.openxmlformats.org/officeDocument/2006/relationships/hyperlink" Target="https://pastconsultations.environment.govt.nz/past-consultation/16" TargetMode="External"/><Relationship Id="rId443" Type="http://schemas.openxmlformats.org/officeDocument/2006/relationships/hyperlink" Target="http://www.mpi.govt.nz/dmsdocument/13906-detailed-methodologies-for-agricultural-greenhouse-gas-emission-calculation" TargetMode="External"/><Relationship Id="rId303" Type="http://schemas.openxmlformats.org/officeDocument/2006/relationships/hyperlink" Target="https://www.mbie.govt.nz/science-and-technology/science-and-innovation/funding-information-and-opportunities/investment-funds/strategic-science-investment-fund/ssif-funded-programmes/the-research-trust-of-victoria-university-of-wellington/" TargetMode="External"/><Relationship Id="rId485" Type="http://schemas.openxmlformats.org/officeDocument/2006/relationships/hyperlink" Target="https://www.hydrologynz.org.nz/journal/volume-60-2021" TargetMode="External"/><Relationship Id="rId42" Type="http://schemas.openxmlformats.org/officeDocument/2006/relationships/hyperlink" Target="https://www.mbie.govt.nz/assets/tourism-satellite-account-year-ended-march-2021.pdf" TargetMode="External"/><Relationship Id="rId84" Type="http://schemas.openxmlformats.org/officeDocument/2006/relationships/hyperlink" Target="https://environment.govt.nz/publications/our-marine-environment-2019/" TargetMode="External"/><Relationship Id="rId138" Type="http://schemas.openxmlformats.org/officeDocument/2006/relationships/hyperlink" Target="https://www.beehive.govt.nz/release/partnership-reduce-agricultural-emissions" TargetMode="External"/><Relationship Id="rId345" Type="http://schemas.openxmlformats.org/officeDocument/2006/relationships/hyperlink" Target="https://environment.govt.nz/publications/interim-guidance-on-the-use-of-new-sea-level-rise-projections-quick-reference-guide/" TargetMode="External"/><Relationship Id="rId387" Type="http://schemas.openxmlformats.org/officeDocument/2006/relationships/hyperlink" Target="https://www.royalsociety.org.nz/" TargetMode="External"/><Relationship Id="rId510" Type="http://schemas.openxmlformats.org/officeDocument/2006/relationships/hyperlink" Target="https://www.otago.ac.nz/mots" TargetMode="External"/><Relationship Id="rId552" Type="http://schemas.openxmlformats.org/officeDocument/2006/relationships/hyperlink" Target="https://www.aoml.noaa.gov/global-drifter-program" TargetMode="External"/><Relationship Id="rId191" Type="http://schemas.openxmlformats.org/officeDocument/2006/relationships/hyperlink" Target="https://environment.govt.nz/assets/Publications/Files/Climate-change-projections-2nd-edition-final.pdf" TargetMode="External"/><Relationship Id="rId205" Type="http://schemas.openxmlformats.org/officeDocument/2006/relationships/hyperlink" Target="https://environment.govt.nz/assets/publications/climate-risk-assessment-guide.pdf" TargetMode="External"/><Relationship Id="rId247" Type="http://schemas.openxmlformats.org/officeDocument/2006/relationships/hyperlink" Target="https://www.mbie.govt.nz/science-and-technology/science-and-innovation/funding-information-and-opportunities/investment-funds/endeavour-fund/" TargetMode="External"/><Relationship Id="rId412" Type="http://schemas.openxmlformats.org/officeDocument/2006/relationships/hyperlink" Target="https://environment.govt.nz/what-you-can-do/funding/community-environment-fund/" TargetMode="External"/><Relationship Id="rId107" Type="http://schemas.openxmlformats.org/officeDocument/2006/relationships/hyperlink" Target="https://environment.govt.nz/what-government-is-doing/areas-of-work/climate-change/emissions-reduction-plan/" TargetMode="External"/><Relationship Id="rId289" Type="http://schemas.openxmlformats.org/officeDocument/2006/relationships/hyperlink" Target="https://deepsouthchallenge.co.nz/wp-content/uploads/2021/01/Water-availability-under-climate-change-Final-Report.pdf" TargetMode="External"/><Relationship Id="rId454" Type="http://schemas.openxmlformats.org/officeDocument/2006/relationships/hyperlink" Target="https://gcos.wmo.int/en/essential-climate-variables" TargetMode="External"/><Relationship Id="rId496" Type="http://schemas.openxmlformats.org/officeDocument/2006/relationships/hyperlink" Target="https://data.gns.cri.nz/metadata" TargetMode="External"/><Relationship Id="rId11" Type="http://schemas.openxmlformats.org/officeDocument/2006/relationships/hyperlink" Target="http://www.cbd.int/countries/profile/?country=nz" TargetMode="External"/><Relationship Id="rId53" Type="http://schemas.openxmlformats.org/officeDocument/2006/relationships/hyperlink" Target="http://www.mbie.govt.nz/building-and-energy/energy-and-natural-resources/%20energy-statistics-and-modelling/energy-statistics/new-zealand-energy-sector-greenhouse-gas-emissions" TargetMode="External"/><Relationship Id="rId149" Type="http://schemas.openxmlformats.org/officeDocument/2006/relationships/hyperlink" Target="https://environment.govt.nz/assets/Publications/Files/fourth-biennial-report.pdf" TargetMode="External"/><Relationship Id="rId314" Type="http://schemas.openxmlformats.org/officeDocument/2006/relationships/hyperlink" Target="https://environment.govt.nz/what-you-can-do/" TargetMode="External"/><Relationship Id="rId356" Type="http://schemas.openxmlformats.org/officeDocument/2006/relationships/hyperlink" Target="https://environment.govt.nz/what-you-can-do/environmental-education-resources/" TargetMode="External"/><Relationship Id="rId398" Type="http://schemas.openxmlformats.org/officeDocument/2006/relationships/hyperlink" Target="https://consult.environment.govt.nz/climate/proposed-changes-nz-ets-2022/" TargetMode="External"/><Relationship Id="rId521" Type="http://schemas.openxmlformats.org/officeDocument/2006/relationships/hyperlink" Target="https://public.wmo.int/en/programmes/global-climate-observing-system/essential-climate-variables" TargetMode="External"/><Relationship Id="rId95" Type="http://schemas.openxmlformats.org/officeDocument/2006/relationships/hyperlink" Target="https://environment.govt.nz/facts-and-science/waste/estimates-of-waste-generated/" TargetMode="External"/><Relationship Id="rId160" Type="http://schemas.openxmlformats.org/officeDocument/2006/relationships/hyperlink" Target="https://environment.govt.nz/assets/Publications/Files/fourth-biennial-report.pdf" TargetMode="External"/><Relationship Id="rId216" Type="http://schemas.openxmlformats.org/officeDocument/2006/relationships/hyperlink" Target="https://environment.govt.nz/what-you-can-do/stories/an-iwi-shows-how-we-can-adjust-and-thrive-in-a-changing-climate/" TargetMode="External"/><Relationship Id="rId423" Type="http://schemas.openxmlformats.org/officeDocument/2006/relationships/hyperlink" Target="https://www.mpi.govt.nz/funding-rural-support/environment-and-natural-resources/international-response-to-climate-change/global-research-alliance-gra/" TargetMode="External"/><Relationship Id="rId258" Type="http://schemas.openxmlformats.org/officeDocument/2006/relationships/hyperlink" Target="https://environment.govt.nz/publications/aotearoa-new-zealand-climate-change-projections-guidance/" TargetMode="External"/><Relationship Id="rId465" Type="http://schemas.openxmlformats.org/officeDocument/2006/relationships/hyperlink" Target="http://www.gbif.org/" TargetMode="External"/><Relationship Id="rId22" Type="http://schemas.openxmlformats.org/officeDocument/2006/relationships/hyperlink" Target="https://niwa.co.nz/our-science/climate/publications/regional-climatologies/west_coast" TargetMode="External"/><Relationship Id="rId64" Type="http://schemas.openxmlformats.org/officeDocument/2006/relationships/hyperlink" Target="http://www.stats.govt.nz/infoshare/ViewTable.aspx?pxID=52c50811-0063-46c8-9623-608fa3be1e8a" TargetMode="External"/><Relationship Id="rId118" Type="http://schemas.openxmlformats.org/officeDocument/2006/relationships/hyperlink" Target="https://www.eeca.govt.nz/co-funding/insulation-and-heater-grants/warmer-kiwi-homes-programme/?gclid=EAIaIQobChMIp9r-vIqw9QIVrZhmAh0R5QX_EAAYAiAAEgIPl_D_BwE" TargetMode="External"/><Relationship Id="rId325" Type="http://schemas.openxmlformats.org/officeDocument/2006/relationships/hyperlink" Target="https://environment.govt.nz/what-government-is-doing/areas-of-work/climate-change/ets/" TargetMode="External"/><Relationship Id="rId367" Type="http://schemas.openxmlformats.org/officeDocument/2006/relationships/hyperlink" Target="https://www.workandincome.govt.nz/employers/subsidies-training-and-other-help/apprenticeship-boost/index.html" TargetMode="External"/><Relationship Id="rId532" Type="http://schemas.openxmlformats.org/officeDocument/2006/relationships/hyperlink" Target="https://www.stats.govt.nz/indicators/groundwater-quality/" TargetMode="External"/><Relationship Id="rId171" Type="http://schemas.openxmlformats.org/officeDocument/2006/relationships/hyperlink" Target="https://unfccc.int/sites/default/files/resource/NewZealand_complete.pdf" TargetMode="External"/><Relationship Id="rId227" Type="http://schemas.openxmlformats.org/officeDocument/2006/relationships/hyperlink" Target="https://theprif.org/" TargetMode="External"/><Relationship Id="rId269" Type="http://schemas.openxmlformats.org/officeDocument/2006/relationships/hyperlink" Target="https://www.nzgajournal.org.nz/index.php/rps/article/view/3461" TargetMode="External"/><Relationship Id="rId434" Type="http://schemas.openxmlformats.org/officeDocument/2006/relationships/hyperlink" Target="https://globalresearchalliance.org/n/new-joint-research-mechanism-on-climate-and-agriculture-launched-between-ireland-and-new-zealand/" TargetMode="External"/><Relationship Id="rId476" Type="http://schemas.openxmlformats.org/officeDocument/2006/relationships/hyperlink" Target="https://www.lawa.org.nz/" TargetMode="External"/><Relationship Id="rId33" Type="http://schemas.openxmlformats.org/officeDocument/2006/relationships/hyperlink" Target="https://www.stats.govt.nz/information-releases/national-accounts-industry-production-and-investment-year-ended-march-2020/" TargetMode="External"/><Relationship Id="rId129" Type="http://schemas.openxmlformats.org/officeDocument/2006/relationships/hyperlink" Target="https://environment.govt.nz/publications/new-zealands-greenhouse-gas-inventory-1990-2020/" TargetMode="External"/><Relationship Id="rId280" Type="http://schemas.openxmlformats.org/officeDocument/2006/relationships/hyperlink" Target="https://www.mbie.govt.nz/science-and-technology/science-and-innovation/funding-information-and-opportunities/investment-funds/national-science-challenges/" TargetMode="External"/><Relationship Id="rId336" Type="http://schemas.openxmlformats.org/officeDocument/2006/relationships/hyperlink" Target="https://environment.govt.nz/what-government-is-doing/areas-of-work/climate-change/carbon-neutral-government-programme/" TargetMode="External"/><Relationship Id="rId501" Type="http://schemas.openxmlformats.org/officeDocument/2006/relationships/hyperlink" Target="http://www.linz.govt.nz/sea/tides/sea-level-data" TargetMode="External"/><Relationship Id="rId543" Type="http://schemas.openxmlformats.org/officeDocument/2006/relationships/hyperlink" Target="https://environment.govt.nz/publications/measuring-and-reporting-water-takes-an-introduction-to-the-resource-management-measurement-and-reporting-of-water-takes-regulations-2010/measuring-and-reporting-water-takes-an-introduction-to-the-resource-management-measurement-and-reporting-of-water-takes-regulations-2010" TargetMode="External"/><Relationship Id="rId75" Type="http://schemas.openxmlformats.org/officeDocument/2006/relationships/hyperlink" Target="http://www.stats.govt.nz/large-datasets/csv-files-for-download/overseas-merchandise-trade-datasets" TargetMode="External"/><Relationship Id="rId140" Type="http://schemas.openxmlformats.org/officeDocument/2006/relationships/hyperlink" Target="https://www.mpi.govt.nz/funding-rural-support/farming-funds-and-programmes/slmacc/" TargetMode="External"/><Relationship Id="rId182" Type="http://schemas.openxmlformats.org/officeDocument/2006/relationships/hyperlink" Target="http://www.mpi.govt.nz/dmsdocument/52405-Afforestation-and-Deforestation-Intentions-Survey-2021" TargetMode="External"/><Relationship Id="rId378" Type="http://schemas.openxmlformats.org/officeDocument/2006/relationships/hyperlink" Target="https://www.niwa.co.nz/climate/information-and-resources" TargetMode="External"/><Relationship Id="rId403" Type="http://schemas.openxmlformats.org/officeDocument/2006/relationships/hyperlink" Target="https://pastconsultations.environment.govt.nz/past-consultation/10" TargetMode="External"/><Relationship Id="rId6" Type="http://schemas.openxmlformats.org/officeDocument/2006/relationships/hyperlink" Target="https://hewakaekenoa.nz/" TargetMode="External"/><Relationship Id="rId238" Type="http://schemas.openxmlformats.org/officeDocument/2006/relationships/hyperlink" Target="https://www.nzagrc.org.nz/" TargetMode="External"/><Relationship Id="rId445" Type="http://schemas.openxmlformats.org/officeDocument/2006/relationships/hyperlink" Target="https://environment.govt.nz/publications/greenhouse-gas-emissions-from-industrial-wastewater-treatment-inventory-basis-review" TargetMode="External"/><Relationship Id="rId487" Type="http://schemas.openxmlformats.org/officeDocument/2006/relationships/hyperlink" Target="https://gaw.kishou.go.jp" TargetMode="External"/><Relationship Id="rId291" Type="http://schemas.openxmlformats.org/officeDocument/2006/relationships/hyperlink" Target="https://deepsouthchallenge.co.nz/wp-content/uploads/2021/01/Climate-Change-Adaptation-within-New-Zealands-Transport-System.pdf" TargetMode="External"/><Relationship Id="rId305" Type="http://schemas.openxmlformats.org/officeDocument/2006/relationships/hyperlink" Target="https://genless.govt.nz/for-business/moving-people/vehicle-total-cost-of-ownership-calculator/" TargetMode="External"/><Relationship Id="rId347" Type="http://schemas.openxmlformats.org/officeDocument/2006/relationships/hyperlink" Target="http://www.mpi.govt.nz/protection-and-response/environment-and-natural-resources/climate-change-and-the-primary-industries/" TargetMode="External"/><Relationship Id="rId512" Type="http://schemas.openxmlformats.org/officeDocument/2006/relationships/hyperlink" Target="http://www.goa-on.org/" TargetMode="External"/><Relationship Id="rId44" Type="http://schemas.openxmlformats.org/officeDocument/2006/relationships/hyperlink" Target="http://www.mbie.govt.nz/dmsdocument/23550-energy-in-new-zealand-2022-pdf" TargetMode="External"/><Relationship Id="rId86" Type="http://schemas.openxmlformats.org/officeDocument/2006/relationships/hyperlink" Target="https://statisticsnz.shinyapps.io/trade_dashboard/" TargetMode="External"/><Relationship Id="rId151" Type="http://schemas.openxmlformats.org/officeDocument/2006/relationships/hyperlink" Target="https://www.eeca.govt.nz/co-funding/industry-decarbonisation/about-the-government-investment-in-decarbonising-industry-fund/" TargetMode="External"/><Relationship Id="rId389" Type="http://schemas.openxmlformats.org/officeDocument/2006/relationships/hyperlink" Target="https://www.sciencemediacentre.co.nz/savvy/" TargetMode="External"/><Relationship Id="rId554" Type="http://schemas.openxmlformats.org/officeDocument/2006/relationships/hyperlink" Target="https://community.wmo.int/ship-opportunity-programme" TargetMode="External"/><Relationship Id="rId193" Type="http://schemas.openxmlformats.org/officeDocument/2006/relationships/hyperlink" Target="https://environment.govt.nz/assets/Publications/Files/coastal-hazards-guide-final.pdf" TargetMode="External"/><Relationship Id="rId207" Type="http://schemas.openxmlformats.org/officeDocument/2006/relationships/hyperlink" Target="https://environment.govt.nz/assets/publications/Files/Interim-guidance-on-the-use-of-new-sea-level-rise-projections-August-2022.pdf" TargetMode="External"/><Relationship Id="rId249" Type="http://schemas.openxmlformats.org/officeDocument/2006/relationships/hyperlink" Target="https://niwa.co.nz/natural-hazards/research-projects/future-coasts-aotearoa" TargetMode="External"/><Relationship Id="rId414" Type="http://schemas.openxmlformats.org/officeDocument/2006/relationships/hyperlink" Target="https://www.mpi.govt.nz/funding-rural-support/farming-funds-and-programmes/slmacc/slmacc-news/" TargetMode="External"/><Relationship Id="rId456" Type="http://schemas.openxmlformats.org/officeDocument/2006/relationships/hyperlink" Target="https://d.docs.live.net/d82e1fd947f4c33e/Desktop/www.data.govt.nz/toolkit/policies/declaration-on-open-and-transparent-government" TargetMode="External"/><Relationship Id="rId498" Type="http://schemas.openxmlformats.org/officeDocument/2006/relationships/hyperlink" Target="http://hwe.niwa.co.nz/" TargetMode="External"/><Relationship Id="rId13" Type="http://schemas.openxmlformats.org/officeDocument/2006/relationships/hyperlink" Target="http://www.stats.govt.nz/infoshare/ViewTable.aspx?pxID=52c50811-0063-46c8-9623-608fa3be1e8a" TargetMode="External"/><Relationship Id="rId109" Type="http://schemas.openxmlformats.org/officeDocument/2006/relationships/hyperlink" Target="http://www.doc.govt.nz/nature/%20biodiversity/aotearoa-new-zealand-biodiversity-strategy/te-mana-o-te-taiao-summary/" TargetMode="External"/><Relationship Id="rId260" Type="http://schemas.openxmlformats.org/officeDocument/2006/relationships/hyperlink" Target="https://www.searise.nz/maps-2" TargetMode="External"/><Relationship Id="rId316" Type="http://schemas.openxmlformats.org/officeDocument/2006/relationships/hyperlink" Target="https://environment.govt.nz/publications/environment-aotearoa-2022/" TargetMode="External"/><Relationship Id="rId523" Type="http://schemas.openxmlformats.org/officeDocument/2006/relationships/hyperlink" Target="https://www.stats.govt.nz/indicators/annual-glacier-ice-volumes" TargetMode="External"/><Relationship Id="rId55" Type="http://schemas.openxmlformats.org/officeDocument/2006/relationships/hyperlink" Target="https://www.mbie.govt.nz/assets/energy-in-new-zealand-2021.pdf" TargetMode="External"/><Relationship Id="rId97" Type="http://schemas.openxmlformats.org/officeDocument/2006/relationships/hyperlink" Target="https://environment.govt.nz/assets/Publications/Files/wastewater-sector-report.pdf" TargetMode="External"/><Relationship Id="rId120" Type="http://schemas.openxmlformats.org/officeDocument/2006/relationships/hyperlink" Target="http://www.genless.govt.nz" TargetMode="External"/><Relationship Id="rId358" Type="http://schemas.openxmlformats.org/officeDocument/2006/relationships/hyperlink" Target="http://www.doc.govt.nz/eefs" TargetMode="External"/><Relationship Id="rId162" Type="http://schemas.openxmlformats.org/officeDocument/2006/relationships/hyperlink" Target="https://environment.govt.nz/assets/Publications/New-Zealands-Greenhouse-Gas-Inventory-1990-2019-Volume-1-Chapters-1-15.pdf" TargetMode="External"/><Relationship Id="rId218" Type="http://schemas.openxmlformats.org/officeDocument/2006/relationships/hyperlink" Target="https://ourlandandwater.nz/wp-content/uploads/2021/11/Growing-Kai-Under-Increasing-Dry_Report_Final.pdf" TargetMode="External"/><Relationship Id="rId425" Type="http://schemas.openxmlformats.org/officeDocument/2006/relationships/hyperlink" Target="https://globalresearchalliance.org/n/webinar-meeting-monitoring-reporting-verification-methods-for-soil-carbon/" TargetMode="External"/><Relationship Id="rId467" Type="http://schemas.openxmlformats.org/officeDocument/2006/relationships/hyperlink" Target="https://community.wmo.int/activity-areas/wis" TargetMode="External"/><Relationship Id="rId271" Type="http://schemas.openxmlformats.org/officeDocument/2006/relationships/hyperlink" Target="https://www.mpi.govt.nz/dmsdocument/50606/direct" TargetMode="External"/><Relationship Id="rId24" Type="http://schemas.openxmlformats.org/officeDocument/2006/relationships/hyperlink" Target="https://environment.govt.nz/facts-and-science/climate-change/about-sea-level-rise/" TargetMode="External"/><Relationship Id="rId66" Type="http://schemas.openxmlformats.org/officeDocument/2006/relationships/hyperlink" Target="https://environment.govt.nz/publications/new-zealands-greenhouse-gas-inventory-1990-2019/" TargetMode="External"/><Relationship Id="rId131" Type="http://schemas.openxmlformats.org/officeDocument/2006/relationships/hyperlink" Target="https://www.nzta.govt.nz/planning-and-investment/national-land-transport-programme/" TargetMode="External"/><Relationship Id="rId327" Type="http://schemas.openxmlformats.org/officeDocument/2006/relationships/hyperlink" Target="https://environment.govt.nz/publications/new-zealands-greenhouse-gas-inventory-1990-2020/" TargetMode="External"/><Relationship Id="rId369" Type="http://schemas.openxmlformats.org/officeDocument/2006/relationships/hyperlink" Target="https://environment.govt.nz/assets/publications/Aotearoa-New-Zealands-first-emissions-reduction-plan.pdf" TargetMode="External"/><Relationship Id="rId534" Type="http://schemas.openxmlformats.org/officeDocument/2006/relationships/hyperlink" Target="http://www.mfe.govt.nz/more/data/available-datasets/land-use-map" TargetMode="External"/><Relationship Id="rId173" Type="http://schemas.openxmlformats.org/officeDocument/2006/relationships/hyperlink" Target="https://www.mpi.govt.nz/dmsdocument/47671-Wood-Availability-Forecast-New-Zealand-2021-to-2060" TargetMode="External"/><Relationship Id="rId229" Type="http://schemas.openxmlformats.org/officeDocument/2006/relationships/hyperlink" Target="https://www.mbie.govt.nz/dmsdocument/7252-national-statement-of-science-investment-2015-2025" TargetMode="External"/><Relationship Id="rId380" Type="http://schemas.openxmlformats.org/officeDocument/2006/relationships/hyperlink" Target="https://www.mbie.govt.nz/science-and-technology/science-and-innovation/funding-information-and-opportunities/investment-funds/endeavour-fund/" TargetMode="External"/><Relationship Id="rId436" Type="http://schemas.openxmlformats.org/officeDocument/2006/relationships/hyperlink" Target="https://www.mfat.govt.nz/en/environment/climate-change/supporting-our-region/the-climate-change-programme/" TargetMode="External"/><Relationship Id="rId240" Type="http://schemas.openxmlformats.org/officeDocument/2006/relationships/hyperlink" Target="http://www.AgMatters.co.nz" TargetMode="External"/><Relationship Id="rId478" Type="http://schemas.openxmlformats.org/officeDocument/2006/relationships/hyperlink" Target="http://www.pastglobalchanges.org/" TargetMode="External"/><Relationship Id="rId35" Type="http://schemas.openxmlformats.org/officeDocument/2006/relationships/hyperlink" Target="http://www.stats.govt.nz/information-releases/gross-domestic-product-march-2022-quarter/" TargetMode="External"/><Relationship Id="rId77" Type="http://schemas.openxmlformats.org/officeDocument/2006/relationships/hyperlink" Target="https://data.oecd.org/agrpolicy/agricultural-support.htm" TargetMode="External"/><Relationship Id="rId100" Type="http://schemas.openxmlformats.org/officeDocument/2006/relationships/hyperlink" Target="https://environment.govt.nz/facts-and-science/climate-change/measuring-greenhouse-gas-emissions/about-new-zealands-greenhouse-gas-inventory/" TargetMode="External"/><Relationship Id="rId282" Type="http://schemas.openxmlformats.org/officeDocument/2006/relationships/hyperlink" Target="http://www.niwa.co.nz/climate/urban-impacts-toolbox" TargetMode="External"/><Relationship Id="rId338" Type="http://schemas.openxmlformats.org/officeDocument/2006/relationships/hyperlink" Target="https://www.mbie.govt.nz/building-and-energy/building/building-for-climate-change/" TargetMode="External"/><Relationship Id="rId503" Type="http://schemas.openxmlformats.org/officeDocument/2006/relationships/hyperlink" Target="http://www.niwa.co.nz/our-science/coasts/tools-and-resources/sea-levels" TargetMode="External"/><Relationship Id="rId545" Type="http://schemas.openxmlformats.org/officeDocument/2006/relationships/hyperlink" Target="https://environment.govt.nz/facts-and-science/science-and-data/satellite-data-search" TargetMode="External"/><Relationship Id="rId8" Type="http://schemas.openxmlformats.org/officeDocument/2006/relationships/hyperlink" Target="https://environment.govt.nz/publications/arotakenga-huringa-ahuarangi-a-framework-for-the-national-climate-change-risk-assessment-for-aotearoa-new-zealand/" TargetMode="External"/><Relationship Id="rId142" Type="http://schemas.openxmlformats.org/officeDocument/2006/relationships/hyperlink" Target="https://www.mpi.govt.nz/forestry/forestry-in-the-emissions-trading-scheme/about-forestry-in-the-emissions-trading-scheme/different-kinds-of-forest-land-in-the-ets/" TargetMode="External"/><Relationship Id="rId184" Type="http://schemas.openxmlformats.org/officeDocument/2006/relationships/hyperlink" Target="https://environment.govt.nz/assets/Publications/Files/fourth-biennial-report.pdf" TargetMode="External"/><Relationship Id="rId391" Type="http://schemas.openxmlformats.org/officeDocument/2006/relationships/hyperlink" Target="https://www.sciencelearn.org.nz/" TargetMode="External"/><Relationship Id="rId405" Type="http://schemas.openxmlformats.org/officeDocument/2006/relationships/hyperlink" Target="https://pastconsultations.environment.govt.nz/past-consultation/11" TargetMode="External"/><Relationship Id="rId447" Type="http://schemas.openxmlformats.org/officeDocument/2006/relationships/hyperlink" Target="https://environment.govt.nz/publications/new-zealands-greenhouse-gas-inventory-1990-2020" TargetMode="External"/><Relationship Id="rId251" Type="http://schemas.openxmlformats.org/officeDocument/2006/relationships/hyperlink" Target="http://www.gns.cri.nz/research-projects/fjords-as-carbon-sinks" TargetMode="External"/><Relationship Id="rId489" Type="http://schemas.openxmlformats.org/officeDocument/2006/relationships/hyperlink" Target="https://www.nasa.gov/mission_pages/oco2/index.html" TargetMode="External"/><Relationship Id="rId46" Type="http://schemas.openxmlformats.org/officeDocument/2006/relationships/hyperlink" Target="https://environment.govt.nz/publications/new-zealands-greenhouse-gas-inventory-1990-2020/" TargetMode="External"/><Relationship Id="rId293" Type="http://schemas.openxmlformats.org/officeDocument/2006/relationships/hyperlink" Target="https://www.nzagrc.org.nz/domestic/integrated-solutions/" TargetMode="External"/><Relationship Id="rId307" Type="http://schemas.openxmlformats.org/officeDocument/2006/relationships/hyperlink" Target="https://www.eeca.govt.nz/co-funding/" TargetMode="External"/><Relationship Id="rId349" Type="http://schemas.openxmlformats.org/officeDocument/2006/relationships/hyperlink" Target="https://www.nzipim.co.nz/" TargetMode="External"/><Relationship Id="rId514" Type="http://schemas.openxmlformats.org/officeDocument/2006/relationships/hyperlink" Target="http://www.scar.org/scar-news/so-cpr-eg-news/so-zp-status-2020/" TargetMode="External"/><Relationship Id="rId556" Type="http://schemas.openxmlformats.org/officeDocument/2006/relationships/hyperlink" Target="https://gcos.wmo.int/en/networks/terrestrial" TargetMode="External"/><Relationship Id="rId88" Type="http://schemas.openxmlformats.org/officeDocument/2006/relationships/hyperlink" Target="https://environment.govt.nz/publications/new-zealands-greenhouse-gas-inventory-1990-2020/" TargetMode="External"/><Relationship Id="rId111" Type="http://schemas.openxmlformats.org/officeDocument/2006/relationships/hyperlink" Target="http://www.mfe.govt.nz/publications/climate-change/transitioning-low-emissions-future-government-response-productivity" TargetMode="External"/><Relationship Id="rId153" Type="http://schemas.openxmlformats.org/officeDocument/2006/relationships/hyperlink" Target="http://www.mbie.govt.nz/building-and-energy/energy-and-natural-resources/energy-statistics-and-modelling/energy-modelling/electricity-demand-and-generation-scenarios/" TargetMode="External"/><Relationship Id="rId195" Type="http://schemas.openxmlformats.org/officeDocument/2006/relationships/hyperlink" Target="https://environment.govt.nz/assets/publications/Climate-Change-Projections-Guidance-FINAL.pdf" TargetMode="External"/><Relationship Id="rId209" Type="http://schemas.openxmlformats.org/officeDocument/2006/relationships/hyperlink" Target="https://environment.govt.nz/assets/publications/climate-change/MFE-AoG-20664-GF-National-Adaptation-Plan-2022-WEB.pdf" TargetMode="External"/><Relationship Id="rId360" Type="http://schemas.openxmlformats.org/officeDocument/2006/relationships/hyperlink" Target="https://tewhariki.tki.org.nz/" TargetMode="External"/><Relationship Id="rId416" Type="http://schemas.openxmlformats.org/officeDocument/2006/relationships/hyperlink" Target="https://www.sprep.org/resources" TargetMode="External"/><Relationship Id="rId220" Type="http://schemas.openxmlformats.org/officeDocument/2006/relationships/hyperlink" Target="http://gsd.spc.int/frdp/" TargetMode="External"/><Relationship Id="rId458" Type="http://schemas.openxmlformats.org/officeDocument/2006/relationships/hyperlink" Target="https://d.docs.live.net/d82e1fd947f4c33e/Desktop/www.stats.govt.nz/about-us/legislation-policies-and-guidelines" TargetMode="External"/><Relationship Id="rId15" Type="http://schemas.openxmlformats.org/officeDocument/2006/relationships/hyperlink" Target="https://www.stats.govt.nz/information-releases/national-population-projections-2022base2073/" TargetMode="External"/><Relationship Id="rId57" Type="http://schemas.openxmlformats.org/officeDocument/2006/relationships/hyperlink" Target="http://www.transport.govt.nz/statistics-and-insights/fleet-statistics/2020-annual-fleet-statistics/" TargetMode="External"/><Relationship Id="rId262" Type="http://schemas.openxmlformats.org/officeDocument/2006/relationships/hyperlink" Target="https://environment.govt.nz/assets/Publications/Files/coastal-hazards-guide-final.pdf" TargetMode="External"/><Relationship Id="rId318" Type="http://schemas.openxmlformats.org/officeDocument/2006/relationships/hyperlink" Target="https://environment.govt.nz/what-government-is-doing/areas-of-work/jobs-for-nature/" TargetMode="External"/><Relationship Id="rId525" Type="http://schemas.openxmlformats.org/officeDocument/2006/relationships/hyperlink" Target="https://www.hydrologynz.org.nz/journal/volume-60-2021" TargetMode="External"/><Relationship Id="rId99" Type="http://schemas.openxmlformats.org/officeDocument/2006/relationships/hyperlink" Target="http://www.tokelau.org.nz/site/tokelau/files/ClimateChange/LivCImplementPlan_web-2.pdf" TargetMode="External"/><Relationship Id="rId122" Type="http://schemas.openxmlformats.org/officeDocument/2006/relationships/hyperlink" Target="https://www.building.govt.nz/getting-started/building-for-climate-change/emissions-reduction/" TargetMode="External"/><Relationship Id="rId164" Type="http://schemas.openxmlformats.org/officeDocument/2006/relationships/hyperlink" Target="https://environment.govt.nz/assets/Publications/Files/fourth-biennial-report.pdf" TargetMode="External"/><Relationship Id="rId371" Type="http://schemas.openxmlformats.org/officeDocument/2006/relationships/hyperlink" Target="https://deepsouthchallenge.co.nz/" TargetMode="External"/><Relationship Id="rId427" Type="http://schemas.openxmlformats.org/officeDocument/2006/relationships/hyperlink" Target="https://globalresearchalliance.org/n/new-activity-data-guidance/" TargetMode="External"/><Relationship Id="rId469" Type="http://schemas.openxmlformats.org/officeDocument/2006/relationships/hyperlink" Target="https://data.mfe.govt.nz" TargetMode="External"/><Relationship Id="rId26" Type="http://schemas.openxmlformats.org/officeDocument/2006/relationships/hyperlink" Target="https://gg.govt.nz/governor-general" TargetMode="External"/><Relationship Id="rId231" Type="http://schemas.openxmlformats.org/officeDocument/2006/relationships/hyperlink" Target="https://environment.govt.nz/facts-and-science/science-and-data/environment-and-climate-research-strategy/" TargetMode="External"/><Relationship Id="rId273" Type="http://schemas.openxmlformats.org/officeDocument/2006/relationships/hyperlink" Target="https://www.mpi.govt.nz/dmsdocument/28164-Adapting-to-climate-change-Information-for-the-New-Zealand-food-system" TargetMode="External"/><Relationship Id="rId329" Type="http://schemas.openxmlformats.org/officeDocument/2006/relationships/hyperlink" Target="https://environment.govt.nz/what-government-is-doing/areas-of-work/climate-change/emissions-reduction-targets/latest-update-on-new-zealands-2020-net-position/" TargetMode="External"/><Relationship Id="rId480" Type="http://schemas.openxmlformats.org/officeDocument/2006/relationships/hyperlink" Target="https://pastglobalchanges.org/science/wg/2k-network/projects" TargetMode="External"/><Relationship Id="rId536" Type="http://schemas.openxmlformats.org/officeDocument/2006/relationships/hyperlink" Target="https://www.landcareresearch.co.nz/news/a-new-national-soil-carbon-monitoring-system-for-agricultural-land/" TargetMode="External"/><Relationship Id="rId68" Type="http://schemas.openxmlformats.org/officeDocument/2006/relationships/hyperlink" Target="http://www.transport.govt.nz/statistics-and-insights/public-transport/sheet/boardings-all-modes" TargetMode="External"/><Relationship Id="rId133" Type="http://schemas.openxmlformats.org/officeDocument/2006/relationships/hyperlink" Target="https://www.transport.govt.nz/area-of-interest/environment-and-climate-change/electric-vehicles-programme/" TargetMode="External"/><Relationship Id="rId175" Type="http://schemas.openxmlformats.org/officeDocument/2006/relationships/hyperlink" Target="http://www.mpi.govt.nz/dmsdocument/52405-Afforestation-and-Deforestation-Intentions-Survey-2021" TargetMode="External"/><Relationship Id="rId340" Type="http://schemas.openxmlformats.org/officeDocument/2006/relationships/hyperlink" Target="https://environment.govt.nz/guides/measuring-and-reporting-greenhouse-gas-emissions-guide-for-organisations/" TargetMode="External"/><Relationship Id="rId200" Type="http://schemas.openxmlformats.org/officeDocument/2006/relationships/hyperlink" Target="https://www.stats.govt.nz/indicators/ocean-acidification/" TargetMode="External"/><Relationship Id="rId382" Type="http://schemas.openxmlformats.org/officeDocument/2006/relationships/hyperlink" Target="https://www.mbie.govt.nz/science-and-technology/science-and-innovation/research-and-data/te-ara-paerangi-future-pathways/" TargetMode="External"/><Relationship Id="rId438" Type="http://schemas.openxmlformats.org/officeDocument/2006/relationships/hyperlink" Target="https://emissionsregister.govt.nz" TargetMode="External"/><Relationship Id="rId242" Type="http://schemas.openxmlformats.org/officeDocument/2006/relationships/hyperlink" Target="https://www.beehive.govt.nz/release/partnership-reduce-agricultural-emissions" TargetMode="External"/><Relationship Id="rId284" Type="http://schemas.openxmlformats.org/officeDocument/2006/relationships/hyperlink" Target="https://deepsouthchallenge.co.nz/research-project/climate-change-and-the-withdrawal-of-insurance/" TargetMode="External"/><Relationship Id="rId491" Type="http://schemas.openxmlformats.org/officeDocument/2006/relationships/hyperlink" Target="http://www.tropomi.eu" TargetMode="External"/><Relationship Id="rId505" Type="http://schemas.openxmlformats.org/officeDocument/2006/relationships/hyperlink" Target="https://www.psmsl.org/" TargetMode="External"/><Relationship Id="rId37" Type="http://schemas.openxmlformats.org/officeDocument/2006/relationships/hyperlink" Target="http://www.stats.govt.nz/infoshare/ViewTable.aspx?pxID=52c50811-0063-46c8-9623-608fa3be1e8a" TargetMode="External"/><Relationship Id="rId79" Type="http://schemas.openxmlformats.org/officeDocument/2006/relationships/hyperlink" Target="https://environment.govt.nz/publications/new-zealands-greenhouse-gas-inventory-1990-2020-snapshot/" TargetMode="External"/><Relationship Id="rId102" Type="http://schemas.openxmlformats.org/officeDocument/2006/relationships/hyperlink" Target="https://environment.govt.nz/assets/Publications/framework-for-climate-change-policy-and-key-upcoming-decisions.pdf" TargetMode="External"/><Relationship Id="rId144" Type="http://schemas.openxmlformats.org/officeDocument/2006/relationships/hyperlink" Target="https://environment.govt.nz/acts-and-regulations/acts/waste-minimisation-act-2008/" TargetMode="External"/><Relationship Id="rId547" Type="http://schemas.openxmlformats.org/officeDocument/2006/relationships/hyperlink" Target="https://hwe.niwa.co.nz" TargetMode="External"/><Relationship Id="rId90" Type="http://schemas.openxmlformats.org/officeDocument/2006/relationships/hyperlink" Target="https://www.mpi.govt.nz/forestry/new-zealand-forests-forest-industry/about-new-zealands-forests/" TargetMode="External"/><Relationship Id="rId186" Type="http://schemas.openxmlformats.org/officeDocument/2006/relationships/hyperlink" Target="https://environment.govt.nz/publications/new-zealands-greenhouse-gas-inventory-1990-2018/" TargetMode="External"/><Relationship Id="rId351" Type="http://schemas.openxmlformats.org/officeDocument/2006/relationships/hyperlink" Target="https://hewakaekenoa.nz/" TargetMode="External"/><Relationship Id="rId393" Type="http://schemas.openxmlformats.org/officeDocument/2006/relationships/hyperlink" Target="https://www.sciencelearn.org.nz/resources/2963-our-atmosphere-and-climate-introduction" TargetMode="External"/><Relationship Id="rId407" Type="http://schemas.openxmlformats.org/officeDocument/2006/relationships/hyperlink" Target="https://pastconsultations.environment.govt.nz/past-consultation/5" TargetMode="External"/><Relationship Id="rId449" Type="http://schemas.openxmlformats.org/officeDocument/2006/relationships/hyperlink" Target="http://unfccc.int/national_reports/annex_i_ghg_inventories/inventory_review_%20reports/items/6616.php" TargetMode="External"/><Relationship Id="rId211" Type="http://schemas.openxmlformats.org/officeDocument/2006/relationships/hyperlink" Target="https://environment.govt.nz/assets/publications/climate-change/MFE-AoG-20664-GF-National-Adaptation-Plan-2022-WEB.pdf" TargetMode="External"/><Relationship Id="rId253" Type="http://schemas.openxmlformats.org/officeDocument/2006/relationships/hyperlink" Target="https://www.mpi.govt.nz/funding-rural-support/farming-funds-and-programmes/global-partnerships-in-livestock-emissions-research" TargetMode="External"/><Relationship Id="rId295" Type="http://schemas.openxmlformats.org/officeDocument/2006/relationships/hyperlink" Target="https://ballance.co.nz/sfff-funding-announcement-dec2020" TargetMode="External"/><Relationship Id="rId309" Type="http://schemas.openxmlformats.org/officeDocument/2006/relationships/hyperlink" Target="https://www.toitu.co.nz/what-we-offer/carbon-management" TargetMode="External"/><Relationship Id="rId460" Type="http://schemas.openxmlformats.org/officeDocument/2006/relationships/hyperlink" Target="https://www.nems.org.nz" TargetMode="External"/><Relationship Id="rId516" Type="http://schemas.openxmlformats.org/officeDocument/2006/relationships/hyperlink" Target="https://obis.org/node/6c17c09e-5cc2-4d5a-8463-e866731d35a1" TargetMode="External"/><Relationship Id="rId48" Type="http://schemas.openxmlformats.org/officeDocument/2006/relationships/hyperlink" Target="http://energydashboard.mbie.govt.nz/" TargetMode="External"/><Relationship Id="rId113" Type="http://schemas.openxmlformats.org/officeDocument/2006/relationships/hyperlink" Target="https://environment.govt.nz/publications/new-zealands-greenhouse-gas-inventory-1990-2020/" TargetMode="External"/><Relationship Id="rId320" Type="http://schemas.openxmlformats.org/officeDocument/2006/relationships/hyperlink" Target="https://environment.govt.nz/what-government-is-doing/%20areas-of-work/climate-change/adapting-to-climate-change/national-adaptation-plan/" TargetMode="External"/><Relationship Id="rId558" Type="http://schemas.openxmlformats.org/officeDocument/2006/relationships/hyperlink" Target="https://gtnp.arcticportal.org/" TargetMode="External"/><Relationship Id="rId155" Type="http://schemas.openxmlformats.org/officeDocument/2006/relationships/hyperlink" Target="https://treaties.un.org/doc/Publication/CN/2019/CN.490.2019-Eng.pdf" TargetMode="External"/><Relationship Id="rId197" Type="http://schemas.openxmlformats.org/officeDocument/2006/relationships/hyperlink" Target="https://environment.govt.nz/assets/Publications/Files/Climate-change-projections-2nd-edition-final.pdf" TargetMode="External"/><Relationship Id="rId362" Type="http://schemas.openxmlformats.org/officeDocument/2006/relationships/hyperlink" Target="https://toimata.org.nz/" TargetMode="External"/><Relationship Id="rId418" Type="http://schemas.openxmlformats.org/officeDocument/2006/relationships/hyperlink" Target="https://www.mpi.govt.nz/funding-rural-support/environment-and-natural-resources/international-response-to-climate-change/global-research-alliance-gra/" TargetMode="External"/><Relationship Id="rId222" Type="http://schemas.openxmlformats.org/officeDocument/2006/relationships/hyperlink" Target="http://www.mfat.govt.nz/assets/Aid-Prog-docs/Policy/Policy-Statement-New-Zealands-International-Cooperation-for-Effective-Sustainable-Development-ICESD.pdf" TargetMode="External"/><Relationship Id="rId264" Type="http://schemas.openxmlformats.org/officeDocument/2006/relationships/hyperlink" Target="https://deepsouthchallenge.co.nz/research-project/climate-change-its-effect-on-our-agricultural-land/" TargetMode="External"/><Relationship Id="rId471" Type="http://schemas.openxmlformats.org/officeDocument/2006/relationships/hyperlink" Target="http://dc.niwa.co.nz" TargetMode="External"/><Relationship Id="rId17" Type="http://schemas.openxmlformats.org/officeDocument/2006/relationships/hyperlink" Target="https://www.stats.govt.nz/information-releases/national-population-projections-2022base2073/" TargetMode="External"/><Relationship Id="rId59" Type="http://schemas.openxmlformats.org/officeDocument/2006/relationships/hyperlink" Target="http://www.stats.govt.nz/infoshare/" TargetMode="External"/><Relationship Id="rId124" Type="http://schemas.openxmlformats.org/officeDocument/2006/relationships/hyperlink" Target="https://www.nzgbc.org.nz/greenstar" TargetMode="External"/><Relationship Id="rId527" Type="http://schemas.openxmlformats.org/officeDocument/2006/relationships/hyperlink" Target="https://www.lawa.org.nz/" TargetMode="External"/><Relationship Id="rId70" Type="http://schemas.openxmlformats.org/officeDocument/2006/relationships/hyperlink" Target="https://environment.govt.nz/publications/new-zealands-greenhouse-gas-inventory-1990-2019/" TargetMode="External"/><Relationship Id="rId166" Type="http://schemas.openxmlformats.org/officeDocument/2006/relationships/hyperlink" Target="http://www.ipcc-nggip.iges.or.jp/public/2006gl/" TargetMode="External"/><Relationship Id="rId331" Type="http://schemas.openxmlformats.org/officeDocument/2006/relationships/hyperlink" Target="https://www.stats.govt.nz/experimental/greenhouse-gas-emissions-industry-and-household-september-2020-quarter" TargetMode="External"/><Relationship Id="rId373" Type="http://schemas.openxmlformats.org/officeDocument/2006/relationships/hyperlink" Target="https://www.wgtn.ac.nz/igps" TargetMode="External"/><Relationship Id="rId429" Type="http://schemas.openxmlformats.org/officeDocument/2006/relationships/hyperlink" Target="https://globalresearchalliance.org/n/africa-partnership-webinar-2-creating-impact-through-collaboration/" TargetMode="External"/><Relationship Id="rId1" Type="http://schemas.openxmlformats.org/officeDocument/2006/relationships/hyperlink" Target="https://www.legislation.govt.nz/act/public/2002/0040/latest/whole.html%20-%20LMS282014" TargetMode="External"/><Relationship Id="rId233" Type="http://schemas.openxmlformats.org/officeDocument/2006/relationships/hyperlink" Target="http://www.mpi.govt.nz/science/primary-sector-science-roadmap-te-ao-turoa/" TargetMode="External"/><Relationship Id="rId440" Type="http://schemas.openxmlformats.org/officeDocument/2006/relationships/hyperlink" Target="https://environment.govt.nz/publications/new-zealands-greenhouse-gas-inventory-1990-2020/" TargetMode="External"/><Relationship Id="rId28" Type="http://schemas.openxmlformats.org/officeDocument/2006/relationships/hyperlink" Target="http://www.stats.govt.nz/information-releases/2018-census-urban-accessibility-dataset" TargetMode="External"/><Relationship Id="rId275" Type="http://schemas.openxmlformats.org/officeDocument/2006/relationships/hyperlink" Target="https://aus01.safelinks.protection.outlook.com/?url=https%3A%2F%2Fdoi.org%2F10.1093%2Fforestry%2Fcpy024&amp;data=05%7C01%7CTim.Payn%40scionresearch.com%7C270dfc1ad41144c44a4b08daa1ae7312%7C912c7b2ae3384788b809a191b86cdea0%7C0%7C0%7C638000067875816784%7CUnknown%7CTWFpbGZsb3d8eyJWIjoiMC4wLjAwMDAiLCJQIjoiV2luMzIiLCJBTiI6Ik1haWwiLCJXVCI6Mn0%3D%7C3000%7C%7C%7C&amp;sdata=Wup3fnjTcjg1cTP2%2BVkomoy5X2Zk5kTk0MVQFKoZaTg%3D&amp;reserved=0" TargetMode="External"/><Relationship Id="rId300" Type="http://schemas.openxmlformats.org/officeDocument/2006/relationships/hyperlink" Target="http://www.scionresearch.com/__data/assets/pdf_file/0005/63293/Biofuels_summary_report.pdf" TargetMode="External"/><Relationship Id="rId482" Type="http://schemas.openxmlformats.org/officeDocument/2006/relationships/hyperlink" Target="https://public.wmo.int/en/programmes/global-climate-observing-system/essential-climate-variables%20" TargetMode="External"/><Relationship Id="rId538" Type="http://schemas.openxmlformats.org/officeDocument/2006/relationships/hyperlink" Target="https://nvs.landcareresearch.co.nz/" TargetMode="External"/><Relationship Id="rId81" Type="http://schemas.openxmlformats.org/officeDocument/2006/relationships/hyperlink" Target="http://www.seafoodnewzealand.org/industry/key-facts/" TargetMode="External"/><Relationship Id="rId135" Type="http://schemas.openxmlformats.org/officeDocument/2006/relationships/hyperlink" Target="https://www.nzta.govt.nz/vehicles/clean-car-programme/clean-car-standard/overview/" TargetMode="External"/><Relationship Id="rId177" Type="http://schemas.openxmlformats.org/officeDocument/2006/relationships/hyperlink" Target="http://www.mpi.govt.nz/dmsdocument/52405-Afforestation-and-Deforestation-Intentions-Survey-2021" TargetMode="External"/><Relationship Id="rId342" Type="http://schemas.openxmlformats.org/officeDocument/2006/relationships/hyperlink" Target="https://environment.govt.nz/publications/climate-change-projections-for-new-zealand/" TargetMode="External"/><Relationship Id="rId384" Type="http://schemas.openxmlformats.org/officeDocument/2006/relationships/hyperlink" Target="http://www.nzagrc.org.nz/" TargetMode="External"/><Relationship Id="rId202" Type="http://schemas.openxmlformats.org/officeDocument/2006/relationships/hyperlink" Target="https://environment.govt.nz/assets/Publications/Files/arotakenga-huringa-ahuarangi-framework-for-national-climate-change-risk-assessment-for-aotearoa-FINAL.pdf" TargetMode="External"/><Relationship Id="rId244" Type="http://schemas.openxmlformats.org/officeDocument/2006/relationships/hyperlink" Target="https://deepsouthchallenge.co.nz/" TargetMode="External"/><Relationship Id="rId39" Type="http://schemas.openxmlformats.org/officeDocument/2006/relationships/hyperlink" Target="http://dx.doi.org/10.1787/9789264268203-en" TargetMode="External"/><Relationship Id="rId286" Type="http://schemas.openxmlformats.org/officeDocument/2006/relationships/hyperlink" Target="https://deepsouthchallenge.co.nz/research-project/sea-level-rise-housing-and-insurance-liability-and-compensation/" TargetMode="External"/><Relationship Id="rId451" Type="http://schemas.openxmlformats.org/officeDocument/2006/relationships/hyperlink" Target="http://www.mfe.govt.nz/climate-change/reporting-greenhouse-gas-emissions/nzs-greenhouse-gas-inventory" TargetMode="External"/><Relationship Id="rId493" Type="http://schemas.openxmlformats.org/officeDocument/2006/relationships/hyperlink" Target="https://www.methanesat.org" TargetMode="External"/><Relationship Id="rId507" Type="http://schemas.openxmlformats.org/officeDocument/2006/relationships/hyperlink" Target="https://argo.ucsd.edu/" TargetMode="External"/><Relationship Id="rId549" Type="http://schemas.openxmlformats.org/officeDocument/2006/relationships/hyperlink" Target="https://www.nems.org.nz" TargetMode="External"/><Relationship Id="rId50" Type="http://schemas.openxmlformats.org/officeDocument/2006/relationships/hyperlink" Target="http://www.mbie.govt.nz/building-and-energy/energy-and-natural-resources/low-emissions-economy/nz-battery/" TargetMode="External"/><Relationship Id="rId104" Type="http://schemas.openxmlformats.org/officeDocument/2006/relationships/hyperlink" Target="https://unfccc.int/sites/default/files/NDC/2022-06/New%20Zealand%20NDC%20November%202021.pdf" TargetMode="External"/><Relationship Id="rId146" Type="http://schemas.openxmlformats.org/officeDocument/2006/relationships/hyperlink" Target="https://consult.environment.govt.nz/waste/taking-responsibility-for-our-waste/" TargetMode="External"/><Relationship Id="rId188" Type="http://schemas.openxmlformats.org/officeDocument/2006/relationships/hyperlink" Target="https://environment.govt.nz/publications/new-zealands-greenhouse-gas-inventory-1990-2020/" TargetMode="External"/><Relationship Id="rId311" Type="http://schemas.openxmlformats.org/officeDocument/2006/relationships/hyperlink" Target="https://environment.govt.nz/facts-and-science/climate-change/" TargetMode="External"/><Relationship Id="rId353" Type="http://schemas.openxmlformats.org/officeDocument/2006/relationships/hyperlink" Target="https://hewakaekenoa.nz/tools-and-calculators/" TargetMode="External"/><Relationship Id="rId395" Type="http://schemas.openxmlformats.org/officeDocument/2006/relationships/hyperlink" Target="https://consult.environment.govt.nz/climate/national-adaptation-plan/" TargetMode="External"/><Relationship Id="rId409" Type="http://schemas.openxmlformats.org/officeDocument/2006/relationships/hyperlink" Target="https://pastconsultations.environment.govt.nz/past-consultation/4" TargetMode="External"/><Relationship Id="rId92" Type="http://schemas.openxmlformats.org/officeDocument/2006/relationships/hyperlink" Target="https://environment.govt.nz/publications/new-zealands-greenhouse-gas-inventory-1990-2020/" TargetMode="External"/><Relationship Id="rId213" Type="http://schemas.openxmlformats.org/officeDocument/2006/relationships/hyperlink" Target="http://www.dunedin.govt.nz/council/council-projects/south-dunedin-future/the-south-dunedin-future-programme" TargetMode="External"/><Relationship Id="rId420" Type="http://schemas.openxmlformats.org/officeDocument/2006/relationships/hyperlink" Target="https://livestockemissions.net/awards/learn-technical-training-award/" TargetMode="External"/><Relationship Id="rId255" Type="http://schemas.openxmlformats.org/officeDocument/2006/relationships/hyperlink" Target="https://www.ipcc.ch/report/ar5/wg1/" TargetMode="External"/><Relationship Id="rId297" Type="http://schemas.openxmlformats.org/officeDocument/2006/relationships/hyperlink" Target="http://www.mpi.govt.nz/science/open-data-and-forecasting/greenhouse-gas-reporting/agricultural-greenhouse-gas-inventory-reports/" TargetMode="External"/><Relationship Id="rId462" Type="http://schemas.openxmlformats.org/officeDocument/2006/relationships/hyperlink" Target="https://environment.govt.nz/facts-and-science/environmental-reporting/improving-environmental-reporting-data" TargetMode="External"/><Relationship Id="rId518" Type="http://schemas.openxmlformats.org/officeDocument/2006/relationships/hyperlink" Target="https://data-niwa.opendata.arcgis.com/documents/NIWA::niwa-scenz-ocean-colour-application/explore" TargetMode="External"/><Relationship Id="rId115" Type="http://schemas.openxmlformats.org/officeDocument/2006/relationships/hyperlink" Target="https://www.eeca.govt.nz/regulations/equipment-energy-efficiency/about-the-e3-programme/" TargetMode="External"/><Relationship Id="rId157" Type="http://schemas.openxmlformats.org/officeDocument/2006/relationships/hyperlink" Target="https://environment.govt.nz/acts-and-regulations/freshwater-implementation-guidance/agriculture-and-horticulture/synthetic-nitrogen-fertiliser-cap-in-place-from-1-july" TargetMode="External"/><Relationship Id="rId322" Type="http://schemas.openxmlformats.org/officeDocument/2006/relationships/hyperlink" Target="https://environment.govt.nz/what-government-is-doing/areas-of-work/climate-change/emissions-reduction-targets/latest-update-on-new-zealands-2020-net-position/" TargetMode="External"/><Relationship Id="rId364" Type="http://schemas.openxmlformats.org/officeDocument/2006/relationships/hyperlink" Target="https://www.tec.govt.nz/rove/reform-of-vocational-education/" TargetMode="External"/><Relationship Id="rId61" Type="http://schemas.openxmlformats.org/officeDocument/2006/relationships/hyperlink" Target="http://www.stats.govt.nz/infoshare/ViewTable.aspx?pxID=52c50811-0063-46c8-9623-608fa3be1e8a" TargetMode="External"/><Relationship Id="rId199" Type="http://schemas.openxmlformats.org/officeDocument/2006/relationships/hyperlink" Target="https://www.searise.nz/" TargetMode="External"/><Relationship Id="rId19" Type="http://schemas.openxmlformats.org/officeDocument/2006/relationships/hyperlink" Target="http://www.stats.govt.nz/2018-census/data-quality-for-2018-census" TargetMode="External"/><Relationship Id="rId224" Type="http://schemas.openxmlformats.org/officeDocument/2006/relationships/hyperlink" Target="http://www.ffa.int/" TargetMode="External"/><Relationship Id="rId266" Type="http://schemas.openxmlformats.org/officeDocument/2006/relationships/hyperlink" Target="https://deepsouthchallenge.co.nz/research-project/climate-water-and-wine/" TargetMode="External"/><Relationship Id="rId431" Type="http://schemas.openxmlformats.org/officeDocument/2006/relationships/hyperlink" Target="https://globalresearchalliance.org/n/food-loss-and-waste-workshop-in-sri-lanka/" TargetMode="External"/><Relationship Id="rId473" Type="http://schemas.openxmlformats.org/officeDocument/2006/relationships/hyperlink" Target="https://datastore.landcareresearch.co.nz" TargetMode="External"/><Relationship Id="rId529" Type="http://schemas.openxmlformats.org/officeDocument/2006/relationships/hyperlink" Target="https://www.unep.org/gemswater/" TargetMode="External"/><Relationship Id="rId30" Type="http://schemas.openxmlformats.org/officeDocument/2006/relationships/hyperlink" Target="http://www.stats.govt.nz/information-releases/2018-census-urban-accessibility-dataset" TargetMode="External"/><Relationship Id="rId126" Type="http://schemas.openxmlformats.org/officeDocument/2006/relationships/hyperlink" Target="https://passivehouse.nz/" TargetMode="External"/><Relationship Id="rId168" Type="http://schemas.openxmlformats.org/officeDocument/2006/relationships/hyperlink" Target="https://environment.govt.nz/assets/%20publications/GhG-Inventory/New-Zealand-Greenhouse-Gas-Inventory-1990-2020-Chapters-1-15.pdf" TargetMode="External"/><Relationship Id="rId333" Type="http://schemas.openxmlformats.org/officeDocument/2006/relationships/hyperlink" Target="https://emissionsregister.govt.nz/" TargetMode="External"/><Relationship Id="rId540" Type="http://schemas.openxmlformats.org/officeDocument/2006/relationships/hyperlink" Target="https://soils.landcareresearch.co.nz/tools/national-soils-database" TargetMode="External"/><Relationship Id="rId72" Type="http://schemas.openxmlformats.org/officeDocument/2006/relationships/hyperlink" Target="https://environment.govt.nz/publications/new-zealands-greenhouse-gas-inventory-1990-2020/" TargetMode="External"/><Relationship Id="rId375" Type="http://schemas.openxmlformats.org/officeDocument/2006/relationships/hyperlink" Target="https://www.motu.nz/resources/newsletters/" TargetMode="External"/><Relationship Id="rId3" Type="http://schemas.openxmlformats.org/officeDocument/2006/relationships/hyperlink" Target="https://www.tokelau.org.nz/site/tokelau/files/ClimateChange/LivCStrategy_web-2.pdf" TargetMode="External"/><Relationship Id="rId235" Type="http://schemas.openxmlformats.org/officeDocument/2006/relationships/hyperlink" Target="https://waitangitribunal.govt.nz/news/ko-aotearoa-tenei-report-on-the-wai-262-claim-released/" TargetMode="External"/><Relationship Id="rId277" Type="http://schemas.openxmlformats.org/officeDocument/2006/relationships/hyperlink" Target="https://www.mbie.govt.nz/science-and-technology/science-and-innovation/funding-information-and-opportunities/investment-funds/endeavour-fund/success-stories/past-rounds/2021-endeavour-fund-successful-proposals/" TargetMode="External"/><Relationship Id="rId400" Type="http://schemas.openxmlformats.org/officeDocument/2006/relationships/hyperlink" Target="https://consult.environment.govt.nz/climate/designing-a-governance-framework-for-the-nz-ets/" TargetMode="External"/><Relationship Id="rId442" Type="http://schemas.openxmlformats.org/officeDocument/2006/relationships/hyperlink" Target="https://environment.govt.nz/publications/new-zealands-greenhouse-gas-inventory-1990-2020" TargetMode="External"/><Relationship Id="rId484" Type="http://schemas.openxmlformats.org/officeDocument/2006/relationships/hyperlink" Target="https://d.docs.live.net/d82e1fd947f4c33e/Desktop/www.mbie.govt.nz/science-and-technology/science-and-innovation/funding-information-and-opportunities/investment-funds/strategic-science-investment-fund/funded-infrastructure/nationally-significant-collections-and-databases" TargetMode="External"/><Relationship Id="rId137" Type="http://schemas.openxmlformats.org/officeDocument/2006/relationships/hyperlink" Target="https://environment.govt.nz/publications/new-zealands-greenhouse-gas-inventory-1990-2020/" TargetMode="External"/><Relationship Id="rId302" Type="http://schemas.openxmlformats.org/officeDocument/2006/relationships/hyperlink" Target="https://ahuora.waikato.ac.nz/energy" TargetMode="External"/><Relationship Id="rId344" Type="http://schemas.openxmlformats.org/officeDocument/2006/relationships/hyperlink" Target="https://environment.govt.nz/publications/interim-guidance-on-the-use-of-new-sea-level-rise-projections/" TargetMode="External"/><Relationship Id="rId41" Type="http://schemas.openxmlformats.org/officeDocument/2006/relationships/hyperlink" Target="http://www.mbie.govt.nz/assets/tourism-satellite-account-year-ended-march-2021.pdf" TargetMode="External"/><Relationship Id="rId83" Type="http://schemas.openxmlformats.org/officeDocument/2006/relationships/hyperlink" Target="https://www.mpi.govt.nz/science/fisheries-research-and-science/about-our-fisheries-research/aquatic-environment-and-biodiversity-annual-review-aebar" TargetMode="External"/><Relationship Id="rId179" Type="http://schemas.openxmlformats.org/officeDocument/2006/relationships/hyperlink" Target="https://www.beehive.govt.nz/sites/default/files/2022-05/CERF%20investments.pdf" TargetMode="External"/><Relationship Id="rId386" Type="http://schemas.openxmlformats.org/officeDocument/2006/relationships/hyperlink" Target="https://www.nzagrc.org.nz/publications" TargetMode="External"/><Relationship Id="rId551" Type="http://schemas.openxmlformats.org/officeDocument/2006/relationships/hyperlink" Target="https://www.vos.noaa.gov/vosclim.shtml" TargetMode="External"/><Relationship Id="rId190" Type="http://schemas.openxmlformats.org/officeDocument/2006/relationships/hyperlink" Target="https://environment.govt.nz/assets/publications/Files/Interim-guidance-on-the-use-of-new-sea-level-rise-projections-August-2022.pdf" TargetMode="External"/><Relationship Id="rId204" Type="http://schemas.openxmlformats.org/officeDocument/2006/relationships/hyperlink" Target="https://environment.govt.nz/assets/Publications/Files/national-climate-change-risk-assessment-technical-report.pdf" TargetMode="External"/><Relationship Id="rId246" Type="http://schemas.openxmlformats.org/officeDocument/2006/relationships/hyperlink" Target="https://ourlandandwater.nz/" TargetMode="External"/><Relationship Id="rId288" Type="http://schemas.openxmlformats.org/officeDocument/2006/relationships/hyperlink" Target="https://deepsouthchallenge.co.nz/wp-content/uploads/2021/01/Projected-Changes-in-New-Zealand-Drought-Risk-.pdf" TargetMode="External"/><Relationship Id="rId411" Type="http://schemas.openxmlformats.org/officeDocument/2006/relationships/hyperlink" Target="https://www.festivalforthefuture.co/" TargetMode="External"/><Relationship Id="rId453" Type="http://schemas.openxmlformats.org/officeDocument/2006/relationships/hyperlink" Target="https://gcos.wmo.int" TargetMode="External"/><Relationship Id="rId509" Type="http://schemas.openxmlformats.org/officeDocument/2006/relationships/hyperlink" Target="https://www.socat.info/" TargetMode="External"/><Relationship Id="rId106" Type="http://schemas.openxmlformats.org/officeDocument/2006/relationships/hyperlink" Target="http://unfccc.int/files/kyoto_protocol/reporting/true-up_period_reports_under_the_kyoto_protocol/%20application/pdf/true-up_period_report_by_new_zealand_2015.pdf" TargetMode="External"/><Relationship Id="rId313" Type="http://schemas.openxmlformats.org/officeDocument/2006/relationships/hyperlink" Target="https://environment.govt.nz/what-government-is-doing/who-does-what-in-government-on-the-environment/" TargetMode="External"/><Relationship Id="rId495" Type="http://schemas.openxmlformats.org/officeDocument/2006/relationships/hyperlink" Target="https://www.ndaccdemo.org" TargetMode="External"/><Relationship Id="rId10" Type="http://schemas.openxmlformats.org/officeDocument/2006/relationships/hyperlink" Target="https://globalresearchalliance.org/library/nz-grads/" TargetMode="External"/><Relationship Id="rId52" Type="http://schemas.openxmlformats.org/officeDocument/2006/relationships/hyperlink" Target="http://energydashboard.mbie.govt.nz/" TargetMode="External"/><Relationship Id="rId94" Type="http://schemas.openxmlformats.org/officeDocument/2006/relationships/hyperlink" Target="https://environment.govt.nz/publications/new-zealands-greenhouse-gas-inventory-1990-2020/" TargetMode="External"/><Relationship Id="rId148" Type="http://schemas.openxmlformats.org/officeDocument/2006/relationships/hyperlink" Target="https://www.treasury.govt.nz/publications/legislation/regulatory-impact-assessments" TargetMode="External"/><Relationship Id="rId355" Type="http://schemas.openxmlformats.org/officeDocument/2006/relationships/hyperlink" Target="https://www.mpi.govt.nz/forestry/forest-industry-and-workforce/forestry-and-wood-processing-industry-transformation-plan/" TargetMode="External"/><Relationship Id="rId397" Type="http://schemas.openxmlformats.org/officeDocument/2006/relationships/hyperlink" Target="https://consult.environment.govt.nz/climate/emissions-reduction-plan/" TargetMode="External"/><Relationship Id="rId520" Type="http://schemas.openxmlformats.org/officeDocument/2006/relationships/hyperlink" Target="http://www-hrx.ucsd.edu/" TargetMode="External"/><Relationship Id="rId215" Type="http://schemas.openxmlformats.org/officeDocument/2006/relationships/hyperlink" Target="https://environment.govt.nz/what-you-can-do/stories/clifton-to-tangoio-coastal-hazards-strategy-2120/" TargetMode="External"/><Relationship Id="rId257" Type="http://schemas.openxmlformats.org/officeDocument/2006/relationships/hyperlink" Target="https://www.ipcc.ch/report/ar6/wg1/" TargetMode="External"/><Relationship Id="rId422" Type="http://schemas.openxmlformats.org/officeDocument/2006/relationships/hyperlink" Target="https://globalresearchalliance.org/library/cliff_grads-fellowship/" TargetMode="External"/><Relationship Id="rId464" Type="http://schemas.openxmlformats.org/officeDocument/2006/relationships/hyperlink" Target="https://d.docs.live.net/d82e1fd947f4c33e/Desktop/www.mbie.govt.nz/science-and-technology/science-and-innovation/funding-information-and-opportunities/investment-funds/strategic-science-investment-fund/funded-infrastructure/nationally-significant-collections-and-databases" TargetMode="External"/><Relationship Id="rId299" Type="http://schemas.openxmlformats.org/officeDocument/2006/relationships/hyperlink" Target="https://www.gns.cri.nz/our-science/energy-futures/carbon-capture-and-storage/" TargetMode="External"/><Relationship Id="rId63" Type="http://schemas.openxmlformats.org/officeDocument/2006/relationships/hyperlink" Target="http://www.stats.govt.nz/infoshare/ViewTable.aspx?pxID=52c50811-0063-46c8-9623-608fa3be1e8a" TargetMode="External"/><Relationship Id="rId159" Type="http://schemas.openxmlformats.org/officeDocument/2006/relationships/hyperlink" Target="https://environment.govt.nz/assets/publications/GhG-Inventory/New-Zealand-Greenhouse-Gas-Inventory-1990-2020-Chapters-1-15.pdf" TargetMode="External"/><Relationship Id="rId366" Type="http://schemas.openxmlformats.org/officeDocument/2006/relationships/hyperlink" Target="https://tec.govt.nz/rove/coves/" TargetMode="External"/><Relationship Id="rId226" Type="http://schemas.openxmlformats.org/officeDocument/2006/relationships/hyperlink" Target="http://www.forumsec.org" TargetMode="External"/><Relationship Id="rId433" Type="http://schemas.openxmlformats.org/officeDocument/2006/relationships/hyperlink" Target="https://globalresearchalliance.org/n/manure-management-projects-webinar/" TargetMode="External"/><Relationship Id="rId74" Type="http://schemas.openxmlformats.org/officeDocument/2006/relationships/hyperlink" Target="http://www.stats.govt.nz/large-datasets/csv-files-for-download/overseas-merchandise-trade-datasets" TargetMode="External"/><Relationship Id="rId377" Type="http://schemas.openxmlformats.org/officeDocument/2006/relationships/hyperlink" Target="https://motu.nz/find-publications/" TargetMode="External"/><Relationship Id="rId500" Type="http://schemas.openxmlformats.org/officeDocument/2006/relationships/hyperlink" Target="https://gcos.wmo.int/en/essential-climate-variables" TargetMode="External"/><Relationship Id="rId5" Type="http://schemas.openxmlformats.org/officeDocument/2006/relationships/hyperlink" Target="https://environment.govt.nz/publications/aotearoa-new-zealands-first-national-adaptation-plan/" TargetMode="External"/><Relationship Id="rId237" Type="http://schemas.openxmlformats.org/officeDocument/2006/relationships/hyperlink" Target="https://www.aucklandmuseum.com/discover/research/rangitahua" TargetMode="External"/><Relationship Id="rId444" Type="http://schemas.openxmlformats.org/officeDocument/2006/relationships/hyperlink" Target="https://environment.govt.nz/publications/new-zealands-greenhouse-gas-inventory-1990-2020/" TargetMode="External"/><Relationship Id="rId290" Type="http://schemas.openxmlformats.org/officeDocument/2006/relationships/hyperlink" Target="https://www.mpi.govt.nz/about-mpi/our-work/fit-for-a-better-world-accelerating-our-economic-potential/water-availability-and-security/" TargetMode="External"/><Relationship Id="rId304" Type="http://schemas.openxmlformats.org/officeDocument/2006/relationships/hyperlink" Target="http://www.fuelsaver.govt.nz/" TargetMode="External"/><Relationship Id="rId388" Type="http://schemas.openxmlformats.org/officeDocument/2006/relationships/hyperlink" Target="http://www.sciencemediacentre.co.nz/" TargetMode="External"/><Relationship Id="rId511" Type="http://schemas.openxmlformats.org/officeDocument/2006/relationships/hyperlink" Target="https://niwa.co.nz/coasts-and-oceans/research-projects/new-zealand-ocean-acidification-observing-network-nzoa-on" TargetMode="External"/><Relationship Id="rId85" Type="http://schemas.openxmlformats.org/officeDocument/2006/relationships/hyperlink" Target="http://www.stats.govt.nz/indicators/ocean-acidification" TargetMode="External"/><Relationship Id="rId150" Type="http://schemas.openxmlformats.org/officeDocument/2006/relationships/hyperlink" Target="https://environment.govt.nz/publications/new-zealands-greenhouse-gas-inventory-1990-2020" TargetMode="External"/><Relationship Id="rId248" Type="http://schemas.openxmlformats.org/officeDocument/2006/relationships/hyperlink" Target="https://www.searise.nz/" TargetMode="External"/><Relationship Id="rId455" Type="http://schemas.openxmlformats.org/officeDocument/2006/relationships/hyperlink" Target="http://unfccc.int/resource/docs/2007/cop13/eng/06a02.pdf" TargetMode="External"/><Relationship Id="rId12" Type="http://schemas.openxmlformats.org/officeDocument/2006/relationships/hyperlink" Target="http://www.stats.govt.nz/infoshare/ViewTable.aspx?pxID=52c50811-0063-46c8-9623-608fa3be1e8a" TargetMode="External"/><Relationship Id="rId108" Type="http://schemas.openxmlformats.org/officeDocument/2006/relationships/hyperlink" Target="https://ukcop26.org/supporting-the-conditions-for-a-just-transition-internationally/" TargetMode="External"/><Relationship Id="rId315" Type="http://schemas.openxmlformats.org/officeDocument/2006/relationships/hyperlink" Target="https://environment.govt.nz/publications/our-atmosphere-and-climate-2020/" TargetMode="External"/><Relationship Id="rId522" Type="http://schemas.openxmlformats.org/officeDocument/2006/relationships/hyperlink" Target="https://gcos.wmo.int/en/essential-climate-variables" TargetMode="External"/><Relationship Id="rId96" Type="http://schemas.openxmlformats.org/officeDocument/2006/relationships/hyperlink" Target="https://environment.govt.nz/assets/Publications/Files/wastewater-sector-report.pdf" TargetMode="External"/><Relationship Id="rId161" Type="http://schemas.openxmlformats.org/officeDocument/2006/relationships/hyperlink" Target="https://environment.govt.nz/assets/Publications/Files/%20new-zealands-greenhouse-gas-inventory-1990-2018-vol-1.pdf" TargetMode="External"/><Relationship Id="rId399" Type="http://schemas.openxmlformats.org/officeDocument/2006/relationships/hyperlink" Target="https://consult.environment.govt.nz/climate/reforming-industrial-allocation-in-the-nz-e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2022%20Dec%20202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feprodfps01\barnettf$\downloads\national-accounts-industry-production-and-investment-year-ended-march-2020%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https://ministryforenvironment.sharepoint.com/sites/ECM-Pol-CAP/Shared%20Documents/08%20-%20Modelling%20and%20Forecasting_5121424/01%20-%20GHG%20emission%20projections_8309049/18%20-%20October%202022%20projections/Graphs%20-%20Agriculture%20(October%202022).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https://ministryforenvironment.sharepoint.com/sites/ECM-Pol-CAP/Shared%20Documents/08%20-%20Modelling%20and%20Forecasting_5121424/01%20-%20GHG%20emission%20projections_8309049/18%20-%20October%202022%20projections/Graphs%20-%20Energy%20(October%202022).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mfeprodfps01\barnettf$\downloads\annual-emissions-data-table%20(4).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mfeprodfps01\barnettf$\downloads\NZVehicleFleet%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oleObject" Target="file:///\\mfeprodfps01.mfe.mfe.govt.nz\FileArchive\Current%20Databases%20retain%20in%20m%20drive\NZCAS%20datasets\UN%20Reporting\Restricted\2020%20NIR\3rd%20run\Calc_Processes\CRF%20Exporter\Analysis%20and%20Results\1%20-%20Figures%20711-712.xlsm"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3" Type="http://schemas.openxmlformats.org/officeDocument/2006/relationships/oleObject" Target="https://ministryforenvironment.sharepoint.com/sites/MFE-EXT-8thNatlCommNC85thBiennialReportBR5/Shared%20Documents/General/03%20Chapter%20production/04%20Targets,%20policies%20and%20measures/09%20Final%20for%20compilation%20and%20formatting/Emissions%20intensi"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ministryforenvironment.sharepoint.com/sites/ECM-Pol-CAP/Shared%20Documents/08%20-%20Modelling%20and%20Forecasting_5121424/01%20-%20GHG%20emission%20projections_8309049/18%20-%20October%202022%20projections/Graphs%20-%20Gross%20(October%202022).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912493947965244"/>
          <c:y val="4.5663281009541395E-2"/>
          <c:w val="0.49469540966363212"/>
          <c:h val="0.9048467002566507"/>
        </c:manualLayout>
      </c:layout>
      <c:barChart>
        <c:barDir val="bar"/>
        <c:grouping val="clustered"/>
        <c:varyColors val="0"/>
        <c:ser>
          <c:idx val="0"/>
          <c:order val="0"/>
          <c:tx>
            <c:strRef>
              <c:f>'Table 2'!$BA$44</c:f>
              <c:strCache>
                <c:ptCount val="1"/>
                <c:pt idx="0">
                  <c:v>Primary Industries</c:v>
                </c:pt>
              </c:strCache>
            </c:strRef>
          </c:tx>
          <c:spPr>
            <a:solidFill>
              <a:schemeClr val="accent3"/>
            </a:solidFill>
            <a:ln>
              <a:noFill/>
            </a:ln>
            <a:effectLst/>
          </c:spPr>
          <c:invertIfNegative val="0"/>
          <c:cat>
            <c:multiLvlStrRef>
              <c:f>'Table 2'!$BA$44:$BB$74</c:f>
              <c:multiLvlStrCache>
                <c:ptCount val="31"/>
                <c:lvl>
                  <c:pt idx="0">
                    <c:v>Forestry and logging</c:v>
                  </c:pt>
                  <c:pt idx="1">
                    <c:v>Mining</c:v>
                  </c:pt>
                  <c:pt idx="2">
                    <c:v>Fishing, aquaculture and primary industries support services</c:v>
                  </c:pt>
                  <c:pt idx="3">
                    <c:v>Agriculture</c:v>
                  </c:pt>
                  <c:pt idx="4">
                    <c:v>Textile, leather, clothing and footwear manufacturing</c:v>
                  </c:pt>
                  <c:pt idx="5">
                    <c:v>Printing</c:v>
                  </c:pt>
                  <c:pt idx="6">
                    <c:v>Furniture and other manufacturing</c:v>
                  </c:pt>
                  <c:pt idx="7">
                    <c:v>Non-metallic mineral product manufacturing</c:v>
                  </c:pt>
                  <c:pt idx="8">
                    <c:v>Wood and paper products manufacturing</c:v>
                  </c:pt>
                  <c:pt idx="9">
                    <c:v>Metal product manufacturing</c:v>
                  </c:pt>
                  <c:pt idx="10">
                    <c:v>Transport equipment, machinery and equipment manufacturing</c:v>
                  </c:pt>
                  <c:pt idx="11">
                    <c:v>Petroleum, chemical, polymer and rubber product manufacturing</c:v>
                  </c:pt>
                  <c:pt idx="12">
                    <c:v>Electricity, gas, water and waste services</c:v>
                  </c:pt>
                  <c:pt idx="13">
                    <c:v>Food, beverage and tobacco product manufacturing</c:v>
                  </c:pt>
                  <c:pt idx="14">
                    <c:v>Construction</c:v>
                  </c:pt>
                  <c:pt idx="15">
                    <c:v>Local government administration</c:v>
                  </c:pt>
                  <c:pt idx="16">
                    <c:v>Arts and recreation services</c:v>
                  </c:pt>
                  <c:pt idx="17">
                    <c:v>Other services</c:v>
                  </c:pt>
                  <c:pt idx="18">
                    <c:v>Administrative and support services</c:v>
                  </c:pt>
                  <c:pt idx="19">
                    <c:v>Information media and telecommunications</c:v>
                  </c:pt>
                  <c:pt idx="20">
                    <c:v>Accommodation and food services</c:v>
                  </c:pt>
                  <c:pt idx="21">
                    <c:v>Central government administration, defence, and public safety</c:v>
                  </c:pt>
                  <c:pt idx="22">
                    <c:v>Education and training</c:v>
                  </c:pt>
                  <c:pt idx="23">
                    <c:v>Transport, postal, and warehousing</c:v>
                  </c:pt>
                  <c:pt idx="24">
                    <c:v>Retail trade</c:v>
                  </c:pt>
                  <c:pt idx="25">
                    <c:v>Wholesale trade</c:v>
                  </c:pt>
                  <c:pt idx="26">
                    <c:v>Financial and insurance services</c:v>
                  </c:pt>
                  <c:pt idx="27">
                    <c:v>Health care and social assistance</c:v>
                  </c:pt>
                  <c:pt idx="28">
                    <c:v>Rental, hiring, and real estate services</c:v>
                  </c:pt>
                  <c:pt idx="29">
                    <c:v>Owner-occupied property operation</c:v>
                  </c:pt>
                  <c:pt idx="30">
                    <c:v>Professional, scientific, and technical services</c:v>
                  </c:pt>
                </c:lvl>
                <c:lvl>
                  <c:pt idx="0">
                    <c:v>Primary Industries</c:v>
                  </c:pt>
                  <c:pt idx="4">
                    <c:v>Goods producing services</c:v>
                  </c:pt>
                  <c:pt idx="15">
                    <c:v>Service industries</c:v>
                  </c:pt>
                </c:lvl>
              </c:multiLvlStrCache>
            </c:multiLvlStrRef>
          </c:cat>
          <c:val>
            <c:numRef>
              <c:f>'Table 2'!$BC$44:$BC$74</c:f>
              <c:numCache>
                <c:formatCode>0%</c:formatCode>
                <c:ptCount val="31"/>
                <c:pt idx="0">
                  <c:v>5.4913586901593507E-3</c:v>
                </c:pt>
                <c:pt idx="1">
                  <c:v>9.5711349930936909E-3</c:v>
                </c:pt>
                <c:pt idx="2">
                  <c:v>9.6991543981403503E-3</c:v>
                </c:pt>
                <c:pt idx="3">
                  <c:v>4.6511471212478527E-2</c:v>
                </c:pt>
              </c:numCache>
            </c:numRef>
          </c:val>
          <c:extLst>
            <c:ext xmlns:c16="http://schemas.microsoft.com/office/drawing/2014/chart" uri="{C3380CC4-5D6E-409C-BE32-E72D297353CC}">
              <c16:uniqueId val="{00000000-A667-46FF-8E46-7E9754169D7C}"/>
            </c:ext>
          </c:extLst>
        </c:ser>
        <c:ser>
          <c:idx val="1"/>
          <c:order val="1"/>
          <c:tx>
            <c:strRef>
              <c:f>'Table 2'!$BA$48</c:f>
              <c:strCache>
                <c:ptCount val="1"/>
                <c:pt idx="0">
                  <c:v>Goods producing services</c:v>
                </c:pt>
              </c:strCache>
            </c:strRef>
          </c:tx>
          <c:spPr>
            <a:solidFill>
              <a:schemeClr val="accent2"/>
            </a:solidFill>
            <a:ln>
              <a:noFill/>
            </a:ln>
            <a:effectLst/>
          </c:spPr>
          <c:invertIfNegative val="0"/>
          <c:cat>
            <c:multiLvlStrRef>
              <c:f>'Table 2'!$BA$44:$BB$74</c:f>
              <c:multiLvlStrCache>
                <c:ptCount val="31"/>
                <c:lvl>
                  <c:pt idx="0">
                    <c:v>Forestry and logging</c:v>
                  </c:pt>
                  <c:pt idx="1">
                    <c:v>Mining</c:v>
                  </c:pt>
                  <c:pt idx="2">
                    <c:v>Fishing, aquaculture and primary industries support services</c:v>
                  </c:pt>
                  <c:pt idx="3">
                    <c:v>Agriculture</c:v>
                  </c:pt>
                  <c:pt idx="4">
                    <c:v>Textile, leather, clothing and footwear manufacturing</c:v>
                  </c:pt>
                  <c:pt idx="5">
                    <c:v>Printing</c:v>
                  </c:pt>
                  <c:pt idx="6">
                    <c:v>Furniture and other manufacturing</c:v>
                  </c:pt>
                  <c:pt idx="7">
                    <c:v>Non-metallic mineral product manufacturing</c:v>
                  </c:pt>
                  <c:pt idx="8">
                    <c:v>Wood and paper products manufacturing</c:v>
                  </c:pt>
                  <c:pt idx="9">
                    <c:v>Metal product manufacturing</c:v>
                  </c:pt>
                  <c:pt idx="10">
                    <c:v>Transport equipment, machinery and equipment manufacturing</c:v>
                  </c:pt>
                  <c:pt idx="11">
                    <c:v>Petroleum, chemical, polymer and rubber product manufacturing</c:v>
                  </c:pt>
                  <c:pt idx="12">
                    <c:v>Electricity, gas, water and waste services</c:v>
                  </c:pt>
                  <c:pt idx="13">
                    <c:v>Food, beverage and tobacco product manufacturing</c:v>
                  </c:pt>
                  <c:pt idx="14">
                    <c:v>Construction</c:v>
                  </c:pt>
                  <c:pt idx="15">
                    <c:v>Local government administration</c:v>
                  </c:pt>
                  <c:pt idx="16">
                    <c:v>Arts and recreation services</c:v>
                  </c:pt>
                  <c:pt idx="17">
                    <c:v>Other services</c:v>
                  </c:pt>
                  <c:pt idx="18">
                    <c:v>Administrative and support services</c:v>
                  </c:pt>
                  <c:pt idx="19">
                    <c:v>Information media and telecommunications</c:v>
                  </c:pt>
                  <c:pt idx="20">
                    <c:v>Accommodation and food services</c:v>
                  </c:pt>
                  <c:pt idx="21">
                    <c:v>Central government administration, defence, and public safety</c:v>
                  </c:pt>
                  <c:pt idx="22">
                    <c:v>Education and training</c:v>
                  </c:pt>
                  <c:pt idx="23">
                    <c:v>Transport, postal, and warehousing</c:v>
                  </c:pt>
                  <c:pt idx="24">
                    <c:v>Retail trade</c:v>
                  </c:pt>
                  <c:pt idx="25">
                    <c:v>Wholesale trade</c:v>
                  </c:pt>
                  <c:pt idx="26">
                    <c:v>Financial and insurance services</c:v>
                  </c:pt>
                  <c:pt idx="27">
                    <c:v>Health care and social assistance</c:v>
                  </c:pt>
                  <c:pt idx="28">
                    <c:v>Rental, hiring, and real estate services</c:v>
                  </c:pt>
                  <c:pt idx="29">
                    <c:v>Owner-occupied property operation</c:v>
                  </c:pt>
                  <c:pt idx="30">
                    <c:v>Professional, scientific, and technical services</c:v>
                  </c:pt>
                </c:lvl>
                <c:lvl>
                  <c:pt idx="0">
                    <c:v>Primary Industries</c:v>
                  </c:pt>
                  <c:pt idx="4">
                    <c:v>Goods producing services</c:v>
                  </c:pt>
                  <c:pt idx="15">
                    <c:v>Service industries</c:v>
                  </c:pt>
                </c:lvl>
              </c:multiLvlStrCache>
            </c:multiLvlStrRef>
          </c:cat>
          <c:val>
            <c:numRef>
              <c:f>'Table 2'!$BD$44:$BD$74</c:f>
              <c:numCache>
                <c:formatCode>General</c:formatCode>
                <c:ptCount val="31"/>
                <c:pt idx="4" formatCode="0%">
                  <c:v>2.0887376612876056E-3</c:v>
                </c:pt>
                <c:pt idx="5" formatCode="0%">
                  <c:v>2.2302327931812823E-3</c:v>
                </c:pt>
                <c:pt idx="6" formatCode="0%">
                  <c:v>2.8332715695852844E-3</c:v>
                </c:pt>
                <c:pt idx="7" formatCode="0%">
                  <c:v>3.8574268099585622E-3</c:v>
                </c:pt>
                <c:pt idx="8" formatCode="0%">
                  <c:v>7.7350672101876494E-3</c:v>
                </c:pt>
                <c:pt idx="9" formatCode="0%">
                  <c:v>1.0325775696526632E-2</c:v>
                </c:pt>
                <c:pt idx="10" formatCode="0%">
                  <c:v>1.8431425395007243E-2</c:v>
                </c:pt>
                <c:pt idx="11" formatCode="0%">
                  <c:v>1.8903075834652831E-2</c:v>
                </c:pt>
                <c:pt idx="12" formatCode="0%">
                  <c:v>2.9959909712630125E-2</c:v>
                </c:pt>
                <c:pt idx="13" formatCode="0%">
                  <c:v>4.0885355253849003E-2</c:v>
                </c:pt>
                <c:pt idx="14" formatCode="0%">
                  <c:v>7.579759458275781E-2</c:v>
                </c:pt>
              </c:numCache>
            </c:numRef>
          </c:val>
          <c:extLst>
            <c:ext xmlns:c16="http://schemas.microsoft.com/office/drawing/2014/chart" uri="{C3380CC4-5D6E-409C-BE32-E72D297353CC}">
              <c16:uniqueId val="{00000001-A667-46FF-8E46-7E9754169D7C}"/>
            </c:ext>
          </c:extLst>
        </c:ser>
        <c:ser>
          <c:idx val="2"/>
          <c:order val="2"/>
          <c:tx>
            <c:strRef>
              <c:f>'Table 2'!$BA$59</c:f>
              <c:strCache>
                <c:ptCount val="1"/>
                <c:pt idx="0">
                  <c:v>Service industries</c:v>
                </c:pt>
              </c:strCache>
            </c:strRef>
          </c:tx>
          <c:spPr>
            <a:solidFill>
              <a:schemeClr val="tx2">
                <a:lumMod val="60000"/>
                <a:lumOff val="40000"/>
              </a:schemeClr>
            </a:solidFill>
            <a:ln>
              <a:noFill/>
            </a:ln>
            <a:effectLst/>
          </c:spPr>
          <c:invertIfNegative val="0"/>
          <c:cat>
            <c:multiLvlStrRef>
              <c:f>'Table 2'!$BA$44:$BB$74</c:f>
              <c:multiLvlStrCache>
                <c:ptCount val="31"/>
                <c:lvl>
                  <c:pt idx="0">
                    <c:v>Forestry and logging</c:v>
                  </c:pt>
                  <c:pt idx="1">
                    <c:v>Mining</c:v>
                  </c:pt>
                  <c:pt idx="2">
                    <c:v>Fishing, aquaculture and primary industries support services</c:v>
                  </c:pt>
                  <c:pt idx="3">
                    <c:v>Agriculture</c:v>
                  </c:pt>
                  <c:pt idx="4">
                    <c:v>Textile, leather, clothing and footwear manufacturing</c:v>
                  </c:pt>
                  <c:pt idx="5">
                    <c:v>Printing</c:v>
                  </c:pt>
                  <c:pt idx="6">
                    <c:v>Furniture and other manufacturing</c:v>
                  </c:pt>
                  <c:pt idx="7">
                    <c:v>Non-metallic mineral product manufacturing</c:v>
                  </c:pt>
                  <c:pt idx="8">
                    <c:v>Wood and paper products manufacturing</c:v>
                  </c:pt>
                  <c:pt idx="9">
                    <c:v>Metal product manufacturing</c:v>
                  </c:pt>
                  <c:pt idx="10">
                    <c:v>Transport equipment, machinery and equipment manufacturing</c:v>
                  </c:pt>
                  <c:pt idx="11">
                    <c:v>Petroleum, chemical, polymer and rubber product manufacturing</c:v>
                  </c:pt>
                  <c:pt idx="12">
                    <c:v>Electricity, gas, water and waste services</c:v>
                  </c:pt>
                  <c:pt idx="13">
                    <c:v>Food, beverage and tobacco product manufacturing</c:v>
                  </c:pt>
                  <c:pt idx="14">
                    <c:v>Construction</c:v>
                  </c:pt>
                  <c:pt idx="15">
                    <c:v>Local government administration</c:v>
                  </c:pt>
                  <c:pt idx="16">
                    <c:v>Arts and recreation services</c:v>
                  </c:pt>
                  <c:pt idx="17">
                    <c:v>Other services</c:v>
                  </c:pt>
                  <c:pt idx="18">
                    <c:v>Administrative and support services</c:v>
                  </c:pt>
                  <c:pt idx="19">
                    <c:v>Information media and telecommunications</c:v>
                  </c:pt>
                  <c:pt idx="20">
                    <c:v>Accommodation and food services</c:v>
                  </c:pt>
                  <c:pt idx="21">
                    <c:v>Central government administration, defence, and public safety</c:v>
                  </c:pt>
                  <c:pt idx="22">
                    <c:v>Education and training</c:v>
                  </c:pt>
                  <c:pt idx="23">
                    <c:v>Transport, postal, and warehousing</c:v>
                  </c:pt>
                  <c:pt idx="24">
                    <c:v>Retail trade</c:v>
                  </c:pt>
                  <c:pt idx="25">
                    <c:v>Wholesale trade</c:v>
                  </c:pt>
                  <c:pt idx="26">
                    <c:v>Financial and insurance services</c:v>
                  </c:pt>
                  <c:pt idx="27">
                    <c:v>Health care and social assistance</c:v>
                  </c:pt>
                  <c:pt idx="28">
                    <c:v>Rental, hiring, and real estate services</c:v>
                  </c:pt>
                  <c:pt idx="29">
                    <c:v>Owner-occupied property operation</c:v>
                  </c:pt>
                  <c:pt idx="30">
                    <c:v>Professional, scientific, and technical services</c:v>
                  </c:pt>
                </c:lvl>
                <c:lvl>
                  <c:pt idx="0">
                    <c:v>Primary Industries</c:v>
                  </c:pt>
                  <c:pt idx="4">
                    <c:v>Goods producing services</c:v>
                  </c:pt>
                  <c:pt idx="15">
                    <c:v>Service industries</c:v>
                  </c:pt>
                </c:lvl>
              </c:multiLvlStrCache>
            </c:multiLvlStrRef>
          </c:cat>
          <c:val>
            <c:numRef>
              <c:f>'Table 2'!$BE$44:$BE$74</c:f>
              <c:numCache>
                <c:formatCode>General</c:formatCode>
                <c:ptCount val="31"/>
                <c:pt idx="15" formatCode="0%">
                  <c:v>5.4812518950240882E-3</c:v>
                </c:pt>
                <c:pt idx="16" formatCode="0%">
                  <c:v>1.4513357814237106E-2</c:v>
                </c:pt>
                <c:pt idx="17" formatCode="0%">
                  <c:v>2.0351716470707139E-2</c:v>
                </c:pt>
                <c:pt idx="18" formatCode="0%">
                  <c:v>2.0809891183505711E-2</c:v>
                </c:pt>
                <c:pt idx="19" formatCode="0%">
                  <c:v>2.3538725870026613E-2</c:v>
                </c:pt>
                <c:pt idx="20" formatCode="0%">
                  <c:v>2.3791395748408179E-2</c:v>
                </c:pt>
                <c:pt idx="21" formatCode="0%">
                  <c:v>4.0157666004110096E-2</c:v>
                </c:pt>
                <c:pt idx="22" formatCode="0%">
                  <c:v>4.7023548832665164E-2</c:v>
                </c:pt>
                <c:pt idx="23" formatCode="0%">
                  <c:v>4.7084189603476739E-2</c:v>
                </c:pt>
                <c:pt idx="24" formatCode="0%">
                  <c:v>4.7515412862581277E-2</c:v>
                </c:pt>
                <c:pt idx="25" formatCode="0%">
                  <c:v>4.9011218542600141E-2</c:v>
                </c:pt>
                <c:pt idx="26" formatCode="0%">
                  <c:v>5.99602466058013E-2</c:v>
                </c:pt>
                <c:pt idx="27" formatCode="0%">
                  <c:v>6.5737964491459758E-2</c:v>
                </c:pt>
                <c:pt idx="28" formatCode="0%">
                  <c:v>7.9675234982986898E-2</c:v>
                </c:pt>
                <c:pt idx="29" formatCode="0%">
                  <c:v>8.014014755920898E-2</c:v>
                </c:pt>
                <c:pt idx="30" formatCode="0%">
                  <c:v>9.0887039719704882E-2</c:v>
                </c:pt>
              </c:numCache>
            </c:numRef>
          </c:val>
          <c:extLst>
            <c:ext xmlns:c16="http://schemas.microsoft.com/office/drawing/2014/chart" uri="{C3380CC4-5D6E-409C-BE32-E72D297353CC}">
              <c16:uniqueId val="{00000002-A667-46FF-8E46-7E9754169D7C}"/>
            </c:ext>
          </c:extLst>
        </c:ser>
        <c:dLbls>
          <c:showLegendKey val="0"/>
          <c:showVal val="0"/>
          <c:showCatName val="0"/>
          <c:showSerName val="0"/>
          <c:showPercent val="0"/>
          <c:showBubbleSize val="0"/>
        </c:dLbls>
        <c:gapWidth val="0"/>
        <c:overlap val="43"/>
        <c:axId val="2027062255"/>
        <c:axId val="2027063087"/>
      </c:barChart>
      <c:catAx>
        <c:axId val="20270622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crossAx val="2027063087"/>
        <c:crosses val="autoZero"/>
        <c:auto val="0"/>
        <c:lblAlgn val="ctr"/>
        <c:lblOffset val="100"/>
        <c:noMultiLvlLbl val="0"/>
      </c:catAx>
      <c:valAx>
        <c:axId val="20270630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7062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a:t>Energy</a:t>
            </a:r>
          </a:p>
        </c:rich>
      </c:tx>
      <c:overlay val="1"/>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'Energy AR4'!$A$7</c:f>
              <c:strCache>
                <c:ptCount val="1"/>
                <c:pt idx="0">
                  <c:v>Without measures</c:v>
                </c:pt>
              </c:strCache>
            </c:strRef>
          </c:tx>
          <c:spPr>
            <a:ln w="19050" cap="rnd">
              <a:solidFill>
                <a:srgbClr val="1B556B"/>
              </a:solidFill>
              <a:round/>
            </a:ln>
            <a:effectLst/>
          </c:spPr>
          <c:marker>
            <c:symbol val="none"/>
          </c:marker>
          <c:xVal>
            <c:numRef>
              <c:f>'Energy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'Energy AR4'!$B$7:$BJ$7</c:f>
              <c:numCache>
                <c:formatCode>#,##0.00</c:formatCode>
                <c:ptCount val="61"/>
                <c:pt idx="0">
                  <c:v>15.751695544646063</c:v>
                </c:pt>
                <c:pt idx="1">
                  <c:v>16.260977254827516</c:v>
                </c:pt>
                <c:pt idx="2">
                  <c:v>17.758407978599234</c:v>
                </c:pt>
                <c:pt idx="3">
                  <c:v>16.84025600167087</c:v>
                </c:pt>
                <c:pt idx="4">
                  <c:v>16.497883331652176</c:v>
                </c:pt>
                <c:pt idx="5">
                  <c:v>15.618558565281802</c:v>
                </c:pt>
                <c:pt idx="6">
                  <c:v>17.083433621498493</c:v>
                </c:pt>
                <c:pt idx="7">
                  <c:v>18.888639588246836</c:v>
                </c:pt>
                <c:pt idx="8">
                  <c:v>17.101688792533114</c:v>
                </c:pt>
                <c:pt idx="9">
                  <c:v>18.1868786325463</c:v>
                </c:pt>
                <c:pt idx="10">
                  <c:v>18.370705268883331</c:v>
                </c:pt>
                <c:pt idx="11">
                  <c:v>20.333204974158051</c:v>
                </c:pt>
                <c:pt idx="12">
                  <c:v>19.827022505400844</c:v>
                </c:pt>
                <c:pt idx="13">
                  <c:v>20.715944376900111</c:v>
                </c:pt>
                <c:pt idx="14">
                  <c:v>20.063934177798689</c:v>
                </c:pt>
                <c:pt idx="15">
                  <c:v>21.586328922276167</c:v>
                </c:pt>
                <c:pt idx="16">
                  <c:v>21.865545676828599</c:v>
                </c:pt>
                <c:pt idx="17">
                  <c:v>20.354793772872497</c:v>
                </c:pt>
                <c:pt idx="18">
                  <c:v>21.481299268102134</c:v>
                </c:pt>
                <c:pt idx="19">
                  <c:v>18.990540654804409</c:v>
                </c:pt>
                <c:pt idx="20">
                  <c:v>18.898063747481601</c:v>
                </c:pt>
                <c:pt idx="21">
                  <c:v>18.239020672574455</c:v>
                </c:pt>
                <c:pt idx="22">
                  <c:v>19.946007179442013</c:v>
                </c:pt>
                <c:pt idx="23">
                  <c:v>19.007820653993861</c:v>
                </c:pt>
                <c:pt idx="24">
                  <c:v>18.819419437008783</c:v>
                </c:pt>
                <c:pt idx="25">
                  <c:v>18.600457290979207</c:v>
                </c:pt>
                <c:pt idx="26">
                  <c:v>17.094626559841227</c:v>
                </c:pt>
                <c:pt idx="27">
                  <c:v>17.649118290466973</c:v>
                </c:pt>
                <c:pt idx="28">
                  <c:v>17.39796844021074</c:v>
                </c:pt>
                <c:pt idx="29">
                  <c:v>19.265366209734616</c:v>
                </c:pt>
                <c:pt idx="30">
                  <c:v>18.285001429148974</c:v>
                </c:pt>
                <c:pt idx="31">
                  <c:v>18.117735669699858</c:v>
                </c:pt>
                <c:pt idx="32">
                  <c:v>18.724830882585501</c:v>
                </c:pt>
                <c:pt idx="33">
                  <c:v>18.526346275168446</c:v>
                </c:pt>
                <c:pt idx="34">
                  <c:v>18.135543403101067</c:v>
                </c:pt>
                <c:pt idx="35">
                  <c:v>15.912531805513158</c:v>
                </c:pt>
                <c:pt idx="36">
                  <c:v>16.067730669001694</c:v>
                </c:pt>
                <c:pt idx="37">
                  <c:v>16.228156222142481</c:v>
                </c:pt>
                <c:pt idx="38">
                  <c:v>16.081765153765119</c:v>
                </c:pt>
                <c:pt idx="39">
                  <c:v>15.965806996596434</c:v>
                </c:pt>
                <c:pt idx="40">
                  <c:v>16.052423894650577</c:v>
                </c:pt>
                <c:pt idx="41">
                  <c:v>16.078611097126707</c:v>
                </c:pt>
                <c:pt idx="42">
                  <c:v>16.09808203628063</c:v>
                </c:pt>
                <c:pt idx="43">
                  <c:v>16.112202745732979</c:v>
                </c:pt>
                <c:pt idx="44">
                  <c:v>15.951500435889177</c:v>
                </c:pt>
                <c:pt idx="45">
                  <c:v>15.986221090184147</c:v>
                </c:pt>
                <c:pt idx="46">
                  <c:v>16.022844706775377</c:v>
                </c:pt>
                <c:pt idx="47">
                  <c:v>16.062715982045088</c:v>
                </c:pt>
                <c:pt idx="48">
                  <c:v>15.396773230283634</c:v>
                </c:pt>
                <c:pt idx="49">
                  <c:v>15.295277016729806</c:v>
                </c:pt>
                <c:pt idx="50">
                  <c:v>15.299626454693026</c:v>
                </c:pt>
                <c:pt idx="51">
                  <c:v>14.695546208192814</c:v>
                </c:pt>
                <c:pt idx="52">
                  <c:v>14.700594322758768</c:v>
                </c:pt>
                <c:pt idx="53">
                  <c:v>14.706189370348751</c:v>
                </c:pt>
                <c:pt idx="54">
                  <c:v>14.712444926968498</c:v>
                </c:pt>
                <c:pt idx="55">
                  <c:v>14.71747687505464</c:v>
                </c:pt>
                <c:pt idx="56">
                  <c:v>14.721563553572201</c:v>
                </c:pt>
                <c:pt idx="57">
                  <c:v>14.724581836671399</c:v>
                </c:pt>
                <c:pt idx="58">
                  <c:v>14.730328857715488</c:v>
                </c:pt>
                <c:pt idx="59">
                  <c:v>14.742298564941064</c:v>
                </c:pt>
                <c:pt idx="60">
                  <c:v>14.753022810198431</c:v>
                </c:pt>
              </c:numCache>
            </c:numRef>
          </c:yVal>
          <c:smooth val="0"/>
          <c:extLst>
            <c:ext xmlns:c16="http://schemas.microsoft.com/office/drawing/2014/chart" uri="{C3380CC4-5D6E-409C-BE32-E72D297353CC}">
              <c16:uniqueId val="{00000000-16A8-4084-AF9B-341698EEC32B}"/>
            </c:ext>
          </c:extLst>
        </c:ser>
        <c:ser>
          <c:idx val="0"/>
          <c:order val="1"/>
          <c:tx>
            <c:strRef>
              <c:f>'Energy AR4'!$A$8</c:f>
              <c:strCache>
                <c:ptCount val="1"/>
                <c:pt idx="0">
                  <c:v>With additional measures</c:v>
                </c:pt>
              </c:strCache>
            </c:strRef>
          </c:tx>
          <c:spPr>
            <a:ln w="19050" cap="rnd">
              <a:solidFill>
                <a:srgbClr val="2C9986"/>
              </a:solidFill>
              <a:round/>
            </a:ln>
            <a:effectLst/>
          </c:spPr>
          <c:marker>
            <c:symbol val="none"/>
          </c:marker>
          <c:xVal>
            <c:numRef>
              <c:f>'Energy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'Energy AR4'!$B$8:$BJ$8</c:f>
              <c:numCache>
                <c:formatCode>#,##0.00</c:formatCode>
                <c:ptCount val="61"/>
                <c:pt idx="0">
                  <c:v>15.751695544646063</c:v>
                </c:pt>
                <c:pt idx="1">
                  <c:v>16.260977254827516</c:v>
                </c:pt>
                <c:pt idx="2">
                  <c:v>17.758407978599234</c:v>
                </c:pt>
                <c:pt idx="3">
                  <c:v>16.84025600167087</c:v>
                </c:pt>
                <c:pt idx="4">
                  <c:v>16.497883331652176</c:v>
                </c:pt>
                <c:pt idx="5">
                  <c:v>15.618558565281802</c:v>
                </c:pt>
                <c:pt idx="6">
                  <c:v>17.083433621498493</c:v>
                </c:pt>
                <c:pt idx="7">
                  <c:v>18.888639588246836</c:v>
                </c:pt>
                <c:pt idx="8">
                  <c:v>17.101688792533114</c:v>
                </c:pt>
                <c:pt idx="9">
                  <c:v>18.1868786325463</c:v>
                </c:pt>
                <c:pt idx="10">
                  <c:v>18.370705268883331</c:v>
                </c:pt>
                <c:pt idx="11">
                  <c:v>20.333204974158051</c:v>
                </c:pt>
                <c:pt idx="12">
                  <c:v>19.827022505400844</c:v>
                </c:pt>
                <c:pt idx="13">
                  <c:v>20.715944376900111</c:v>
                </c:pt>
                <c:pt idx="14">
                  <c:v>20.063934177798689</c:v>
                </c:pt>
                <c:pt idx="15">
                  <c:v>21.586328922276167</c:v>
                </c:pt>
                <c:pt idx="16">
                  <c:v>21.865545676828599</c:v>
                </c:pt>
                <c:pt idx="17">
                  <c:v>20.354793772872497</c:v>
                </c:pt>
                <c:pt idx="18">
                  <c:v>21.481299268102134</c:v>
                </c:pt>
                <c:pt idx="19">
                  <c:v>18.990540654804409</c:v>
                </c:pt>
                <c:pt idx="20">
                  <c:v>18.898063747481601</c:v>
                </c:pt>
                <c:pt idx="21">
                  <c:v>18.239020672574455</c:v>
                </c:pt>
                <c:pt idx="22">
                  <c:v>19.946007179442013</c:v>
                </c:pt>
                <c:pt idx="23">
                  <c:v>19.007820653993861</c:v>
                </c:pt>
                <c:pt idx="24">
                  <c:v>18.819419437008783</c:v>
                </c:pt>
                <c:pt idx="25">
                  <c:v>18.600457290979207</c:v>
                </c:pt>
                <c:pt idx="26">
                  <c:v>17.094626559841227</c:v>
                </c:pt>
                <c:pt idx="27">
                  <c:v>17.649118290466973</c:v>
                </c:pt>
                <c:pt idx="28">
                  <c:v>17.39796844021074</c:v>
                </c:pt>
                <c:pt idx="29">
                  <c:v>19.265366209734616</c:v>
                </c:pt>
                <c:pt idx="30">
                  <c:v>18.285001429148974</c:v>
                </c:pt>
                <c:pt idx="31">
                  <c:v>18.117735669699858</c:v>
                </c:pt>
                <c:pt idx="32">
                  <c:v>16.783822248703846</c:v>
                </c:pt>
                <c:pt idx="33">
                  <c:v>16.495193460488778</c:v>
                </c:pt>
                <c:pt idx="34">
                  <c:v>16.009443018722688</c:v>
                </c:pt>
                <c:pt idx="35">
                  <c:v>13.588006877600517</c:v>
                </c:pt>
                <c:pt idx="36">
                  <c:v>13.239832090275103</c:v>
                </c:pt>
                <c:pt idx="37">
                  <c:v>12.761042734601148</c:v>
                </c:pt>
                <c:pt idx="38">
                  <c:v>12.150795932511961</c:v>
                </c:pt>
                <c:pt idx="39">
                  <c:v>11.606814827496029</c:v>
                </c:pt>
                <c:pt idx="40">
                  <c:v>11.337687974029132</c:v>
                </c:pt>
                <c:pt idx="41">
                  <c:v>11.172029851375257</c:v>
                </c:pt>
                <c:pt idx="42">
                  <c:v>11.032146615650417</c:v>
                </c:pt>
                <c:pt idx="43">
                  <c:v>10.900458656069327</c:v>
                </c:pt>
                <c:pt idx="44">
                  <c:v>10.644810839561567</c:v>
                </c:pt>
                <c:pt idx="45">
                  <c:v>10.487541860805605</c:v>
                </c:pt>
                <c:pt idx="46">
                  <c:v>10.35816238412721</c:v>
                </c:pt>
                <c:pt idx="47">
                  <c:v>10.276880938311869</c:v>
                </c:pt>
                <c:pt idx="48">
                  <c:v>9.4281319027788637</c:v>
                </c:pt>
                <c:pt idx="49">
                  <c:v>9.2759610286340628</c:v>
                </c:pt>
                <c:pt idx="50">
                  <c:v>9.2410548474790755</c:v>
                </c:pt>
                <c:pt idx="51">
                  <c:v>8.6313055769190381</c:v>
                </c:pt>
                <c:pt idx="52">
                  <c:v>8.6119119212821893</c:v>
                </c:pt>
                <c:pt idx="53">
                  <c:v>8.6180797566167779</c:v>
                </c:pt>
                <c:pt idx="54">
                  <c:v>8.6495433298358364</c:v>
                </c:pt>
                <c:pt idx="55">
                  <c:v>8.4360641529297204</c:v>
                </c:pt>
                <c:pt idx="56">
                  <c:v>8.515165531174901</c:v>
                </c:pt>
                <c:pt idx="57">
                  <c:v>8.5374764489470909</c:v>
                </c:pt>
                <c:pt idx="58">
                  <c:v>8.4500004263908188</c:v>
                </c:pt>
                <c:pt idx="59">
                  <c:v>8.4183940804846937</c:v>
                </c:pt>
                <c:pt idx="60">
                  <c:v>8.3051486011023865</c:v>
                </c:pt>
              </c:numCache>
            </c:numRef>
          </c:yVal>
          <c:smooth val="0"/>
          <c:extLst>
            <c:ext xmlns:c16="http://schemas.microsoft.com/office/drawing/2014/chart" uri="{C3380CC4-5D6E-409C-BE32-E72D297353CC}">
              <c16:uniqueId val="{00000001-16A8-4084-AF9B-341698EEC32B}"/>
            </c:ext>
          </c:extLst>
        </c:ser>
        <c:ser>
          <c:idx val="1"/>
          <c:order val="2"/>
          <c:tx>
            <c:strRef>
              <c:f>'Energy AR4'!$A$6</c:f>
              <c:strCache>
                <c:ptCount val="1"/>
                <c:pt idx="0">
                  <c:v>With existing measures </c:v>
                </c:pt>
              </c:strCache>
            </c:strRef>
          </c:tx>
          <c:spPr>
            <a:ln w="19050" cap="rnd">
              <a:solidFill>
                <a:srgbClr val="A0A0A0"/>
              </a:solidFill>
              <a:round/>
            </a:ln>
            <a:effectLst/>
          </c:spPr>
          <c:marker>
            <c:symbol val="none"/>
          </c:marker>
          <c:xVal>
            <c:numRef>
              <c:f>'Energy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'Energy AR4'!$B$6:$BJ$6</c:f>
              <c:numCache>
                <c:formatCode>#,##0.00</c:formatCode>
                <c:ptCount val="61"/>
                <c:pt idx="0">
                  <c:v>15.751695544646063</c:v>
                </c:pt>
                <c:pt idx="1">
                  <c:v>16.260977254827516</c:v>
                </c:pt>
                <c:pt idx="2">
                  <c:v>17.758407978599234</c:v>
                </c:pt>
                <c:pt idx="3">
                  <c:v>16.84025600167087</c:v>
                </c:pt>
                <c:pt idx="4">
                  <c:v>16.497883331652176</c:v>
                </c:pt>
                <c:pt idx="5">
                  <c:v>15.618558565281802</c:v>
                </c:pt>
                <c:pt idx="6">
                  <c:v>17.083433621498493</c:v>
                </c:pt>
                <c:pt idx="7">
                  <c:v>18.888639588246836</c:v>
                </c:pt>
                <c:pt idx="8">
                  <c:v>17.101688792533114</c:v>
                </c:pt>
                <c:pt idx="9">
                  <c:v>18.1868786325463</c:v>
                </c:pt>
                <c:pt idx="10">
                  <c:v>18.370705268883331</c:v>
                </c:pt>
                <c:pt idx="11">
                  <c:v>20.333204974158051</c:v>
                </c:pt>
                <c:pt idx="12">
                  <c:v>19.827022505400844</c:v>
                </c:pt>
                <c:pt idx="13">
                  <c:v>20.715944376900111</c:v>
                </c:pt>
                <c:pt idx="14">
                  <c:v>20.063934177798689</c:v>
                </c:pt>
                <c:pt idx="15">
                  <c:v>21.586328922276167</c:v>
                </c:pt>
                <c:pt idx="16">
                  <c:v>21.865545676828599</c:v>
                </c:pt>
                <c:pt idx="17">
                  <c:v>20.354793772872497</c:v>
                </c:pt>
                <c:pt idx="18">
                  <c:v>21.481299268102134</c:v>
                </c:pt>
                <c:pt idx="19">
                  <c:v>18.990540654804409</c:v>
                </c:pt>
                <c:pt idx="20">
                  <c:v>18.898063747481601</c:v>
                </c:pt>
                <c:pt idx="21">
                  <c:v>18.239020672574455</c:v>
                </c:pt>
                <c:pt idx="22">
                  <c:v>19.946007179442013</c:v>
                </c:pt>
                <c:pt idx="23">
                  <c:v>19.007820653993861</c:v>
                </c:pt>
                <c:pt idx="24">
                  <c:v>18.819419437008783</c:v>
                </c:pt>
                <c:pt idx="25">
                  <c:v>18.600457290979207</c:v>
                </c:pt>
                <c:pt idx="26">
                  <c:v>17.094626559841227</c:v>
                </c:pt>
                <c:pt idx="27">
                  <c:v>17.649118290466973</c:v>
                </c:pt>
                <c:pt idx="28">
                  <c:v>17.39796844021074</c:v>
                </c:pt>
                <c:pt idx="29">
                  <c:v>19.265366209734616</c:v>
                </c:pt>
                <c:pt idx="30">
                  <c:v>18.285001429148974</c:v>
                </c:pt>
                <c:pt idx="31">
                  <c:v>18.117735669699858</c:v>
                </c:pt>
                <c:pt idx="32">
                  <c:v>16.783822248703846</c:v>
                </c:pt>
                <c:pt idx="33">
                  <c:v>16.495193460488778</c:v>
                </c:pt>
                <c:pt idx="34">
                  <c:v>16.010308364056002</c:v>
                </c:pt>
                <c:pt idx="35">
                  <c:v>13.589801563441338</c:v>
                </c:pt>
                <c:pt idx="36">
                  <c:v>13.347905219622383</c:v>
                </c:pt>
                <c:pt idx="37">
                  <c:v>13.122361026719485</c:v>
                </c:pt>
                <c:pt idx="38">
                  <c:v>12.904394415233948</c:v>
                </c:pt>
                <c:pt idx="39">
                  <c:v>12.36006081314869</c:v>
                </c:pt>
                <c:pt idx="40">
                  <c:v>12.050365798679406</c:v>
                </c:pt>
                <c:pt idx="41">
                  <c:v>11.842872055758589</c:v>
                </c:pt>
                <c:pt idx="42">
                  <c:v>11.660801983342974</c:v>
                </c:pt>
                <c:pt idx="43">
                  <c:v>11.487077407869124</c:v>
                </c:pt>
                <c:pt idx="44">
                  <c:v>11.189566123456016</c:v>
                </c:pt>
                <c:pt idx="45">
                  <c:v>10.990541117196308</c:v>
                </c:pt>
                <c:pt idx="46">
                  <c:v>10.806119576024148</c:v>
                </c:pt>
                <c:pt idx="47">
                  <c:v>10.666574891779032</c:v>
                </c:pt>
                <c:pt idx="48">
                  <c:v>9.7912569640760481</c:v>
                </c:pt>
                <c:pt idx="49">
                  <c:v>9.6121009766486978</c:v>
                </c:pt>
                <c:pt idx="50">
                  <c:v>9.5499510243219063</c:v>
                </c:pt>
                <c:pt idx="51">
                  <c:v>8.9221055123870272</c:v>
                </c:pt>
                <c:pt idx="52">
                  <c:v>8.9030046185492715</c:v>
                </c:pt>
                <c:pt idx="53">
                  <c:v>8.9093961671028286</c:v>
                </c:pt>
                <c:pt idx="54">
                  <c:v>8.9407756460473387</c:v>
                </c:pt>
                <c:pt idx="55">
                  <c:v>8.7273219357272165</c:v>
                </c:pt>
                <c:pt idx="56">
                  <c:v>8.7427508718746179</c:v>
                </c:pt>
                <c:pt idx="57">
                  <c:v>8.6562184359582073</c:v>
                </c:pt>
                <c:pt idx="58">
                  <c:v>8.4712592034707743</c:v>
                </c:pt>
                <c:pt idx="59">
                  <c:v>8.4247116697591213</c:v>
                </c:pt>
                <c:pt idx="60">
                  <c:v>8.3115427569975768</c:v>
                </c:pt>
              </c:numCache>
            </c:numRef>
          </c:yVal>
          <c:smooth val="0"/>
          <c:extLst>
            <c:ext xmlns:c16="http://schemas.microsoft.com/office/drawing/2014/chart" uri="{C3380CC4-5D6E-409C-BE32-E72D297353CC}">
              <c16:uniqueId val="{00000002-16A8-4084-AF9B-341698EEC32B}"/>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4793388429752067E-2"/>
              <c:y val="0.205685833542245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a:t>Transport</a:t>
            </a:r>
          </a:p>
        </c:rich>
      </c:tx>
      <c:overlay val="1"/>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Transport (October 2022).xlsx]Transport AR4'!$A$7</c:f>
              <c:strCache>
                <c:ptCount val="1"/>
                <c:pt idx="0">
                  <c:v>Without measures</c:v>
                </c:pt>
              </c:strCache>
            </c:strRef>
          </c:tx>
          <c:spPr>
            <a:ln w="19050" cap="rnd">
              <a:solidFill>
                <a:srgbClr val="1B556B"/>
              </a:solidFill>
              <a:round/>
            </a:ln>
            <a:effectLst/>
          </c:spPr>
          <c:marker>
            <c:symbol val="none"/>
          </c:marker>
          <c:xVal>
            <c:numRef>
              <c:f>'[Graphs - Transport (October 2022).xlsx]Transport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Transport (October 2022).xlsx]Transport AR4'!$B$7:$BJ$7</c:f>
              <c:numCache>
                <c:formatCode>#,##0.00</c:formatCode>
                <c:ptCount val="61"/>
                <c:pt idx="0">
                  <c:v>8.1261945618773641</c:v>
                </c:pt>
                <c:pt idx="1">
                  <c:v>8.1066611218732056</c:v>
                </c:pt>
                <c:pt idx="2">
                  <c:v>8.4699964545997553</c:v>
                </c:pt>
                <c:pt idx="3">
                  <c:v>8.9226885824844082</c:v>
                </c:pt>
                <c:pt idx="4">
                  <c:v>9.5838002483498972</c:v>
                </c:pt>
                <c:pt idx="5">
                  <c:v>10.247564720783124</c:v>
                </c:pt>
                <c:pt idx="6">
                  <c:v>10.378724398951666</c:v>
                </c:pt>
                <c:pt idx="7">
                  <c:v>10.605333888617775</c:v>
                </c:pt>
                <c:pt idx="8">
                  <c:v>10.810458340752643</c:v>
                </c:pt>
                <c:pt idx="9">
                  <c:v>11.096605458727842</c:v>
                </c:pt>
                <c:pt idx="10">
                  <c:v>11.648310343290637</c:v>
                </c:pt>
                <c:pt idx="11">
                  <c:v>11.705871223077454</c:v>
                </c:pt>
                <c:pt idx="12">
                  <c:v>12.162021231248525</c:v>
                </c:pt>
                <c:pt idx="13">
                  <c:v>12.697797549640933</c:v>
                </c:pt>
                <c:pt idx="14">
                  <c:v>12.992367162928625</c:v>
                </c:pt>
                <c:pt idx="15">
                  <c:v>13.063440862686894</c:v>
                </c:pt>
                <c:pt idx="16">
                  <c:v>13.182198504199004</c:v>
                </c:pt>
                <c:pt idx="17">
                  <c:v>13.284992866370896</c:v>
                </c:pt>
                <c:pt idx="18">
                  <c:v>13.294225883363469</c:v>
                </c:pt>
                <c:pt idx="19">
                  <c:v>13.101358582123062</c:v>
                </c:pt>
                <c:pt idx="20">
                  <c:v>13.349430557950935</c:v>
                </c:pt>
                <c:pt idx="21">
                  <c:v>13.332409411931089</c:v>
                </c:pt>
                <c:pt idx="22">
                  <c:v>13.007116439083779</c:v>
                </c:pt>
                <c:pt idx="23">
                  <c:v>13.081546380520193</c:v>
                </c:pt>
                <c:pt idx="24">
                  <c:v>13.339864677518117</c:v>
                </c:pt>
                <c:pt idx="25">
                  <c:v>13.805244153119684</c:v>
                </c:pt>
                <c:pt idx="26">
                  <c:v>13.906698788477291</c:v>
                </c:pt>
                <c:pt idx="27">
                  <c:v>14.803831142883821</c:v>
                </c:pt>
                <c:pt idx="28">
                  <c:v>15.12625856944361</c:v>
                </c:pt>
                <c:pt idx="29">
                  <c:v>14.655005281626373</c:v>
                </c:pt>
                <c:pt idx="30">
                  <c:v>13.176418043782192</c:v>
                </c:pt>
                <c:pt idx="31">
                  <c:v>13.852622005024672</c:v>
                </c:pt>
                <c:pt idx="32">
                  <c:v>14.708771508494632</c:v>
                </c:pt>
                <c:pt idx="33">
                  <c:v>15.237434482598202</c:v>
                </c:pt>
                <c:pt idx="34">
                  <c:v>15.285438344244527</c:v>
                </c:pt>
                <c:pt idx="35">
                  <c:v>15.32881595389067</c:v>
                </c:pt>
                <c:pt idx="36">
                  <c:v>15.363553673859881</c:v>
                </c:pt>
                <c:pt idx="37">
                  <c:v>15.36765693378511</c:v>
                </c:pt>
                <c:pt idx="38">
                  <c:v>15.354723533274953</c:v>
                </c:pt>
                <c:pt idx="39">
                  <c:v>15.304486376645109</c:v>
                </c:pt>
                <c:pt idx="40">
                  <c:v>15.232689077639813</c:v>
                </c:pt>
                <c:pt idx="41">
                  <c:v>15.127423224912961</c:v>
                </c:pt>
                <c:pt idx="42">
                  <c:v>15.000397078358809</c:v>
                </c:pt>
                <c:pt idx="43">
                  <c:v>14.848602206363832</c:v>
                </c:pt>
                <c:pt idx="44">
                  <c:v>14.644234511813618</c:v>
                </c:pt>
                <c:pt idx="45">
                  <c:v>14.411541936062912</c:v>
                </c:pt>
                <c:pt idx="46">
                  <c:v>14.143648538386408</c:v>
                </c:pt>
                <c:pt idx="47">
                  <c:v>13.835556963867932</c:v>
                </c:pt>
                <c:pt idx="48">
                  <c:v>13.480342730364534</c:v>
                </c:pt>
                <c:pt idx="49">
                  <c:v>13.079396257613473</c:v>
                </c:pt>
                <c:pt idx="50">
                  <c:v>12.644847029983518</c:v>
                </c:pt>
                <c:pt idx="51">
                  <c:v>12.207626965197115</c:v>
                </c:pt>
                <c:pt idx="52">
                  <c:v>11.772703750814681</c:v>
                </c:pt>
                <c:pt idx="53">
                  <c:v>11.344584427906048</c:v>
                </c:pt>
                <c:pt idx="54">
                  <c:v>10.945538811934997</c:v>
                </c:pt>
                <c:pt idx="55">
                  <c:v>10.563813865492936</c:v>
                </c:pt>
                <c:pt idx="56">
                  <c:v>10.201443561443494</c:v>
                </c:pt>
                <c:pt idx="57">
                  <c:v>9.8547975598998114</c:v>
                </c:pt>
                <c:pt idx="58">
                  <c:v>9.5284050017828115</c:v>
                </c:pt>
                <c:pt idx="59">
                  <c:v>9.222878894160738</c:v>
                </c:pt>
                <c:pt idx="60">
                  <c:v>8.9396828118524088</c:v>
                </c:pt>
              </c:numCache>
            </c:numRef>
          </c:yVal>
          <c:smooth val="0"/>
          <c:extLst>
            <c:ext xmlns:c16="http://schemas.microsoft.com/office/drawing/2014/chart" uri="{C3380CC4-5D6E-409C-BE32-E72D297353CC}">
              <c16:uniqueId val="{00000000-CB2E-4931-B065-FA63523DCDE5}"/>
            </c:ext>
          </c:extLst>
        </c:ser>
        <c:ser>
          <c:idx val="0"/>
          <c:order val="1"/>
          <c:tx>
            <c:strRef>
              <c:f>'[Graphs - Transport (October 2022).xlsx]Transport AR4'!$A$8</c:f>
              <c:strCache>
                <c:ptCount val="1"/>
                <c:pt idx="0">
                  <c:v>With additional measures</c:v>
                </c:pt>
              </c:strCache>
            </c:strRef>
          </c:tx>
          <c:spPr>
            <a:ln w="19050" cap="rnd">
              <a:solidFill>
                <a:srgbClr val="2C9986"/>
              </a:solidFill>
              <a:round/>
            </a:ln>
            <a:effectLst/>
          </c:spPr>
          <c:marker>
            <c:symbol val="none"/>
          </c:marker>
          <c:xVal>
            <c:numRef>
              <c:f>'[Graphs - Transport (October 2022).xlsx]Transport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Transport (October 2022).xlsx]Transport AR4'!$B$8:$BJ$8</c:f>
              <c:numCache>
                <c:formatCode>#,##0.00</c:formatCode>
                <c:ptCount val="61"/>
                <c:pt idx="0">
                  <c:v>8.1261945618773641</c:v>
                </c:pt>
                <c:pt idx="1">
                  <c:v>8.1066611218732056</c:v>
                </c:pt>
                <c:pt idx="2">
                  <c:v>8.4699964545997553</c:v>
                </c:pt>
                <c:pt idx="3">
                  <c:v>8.9226885824844082</c:v>
                </c:pt>
                <c:pt idx="4">
                  <c:v>9.5838002483498972</c:v>
                </c:pt>
                <c:pt idx="5">
                  <c:v>10.247564720783124</c:v>
                </c:pt>
                <c:pt idx="6">
                  <c:v>10.378724398951666</c:v>
                </c:pt>
                <c:pt idx="7">
                  <c:v>10.605333888617775</c:v>
                </c:pt>
                <c:pt idx="8">
                  <c:v>10.810458340752643</c:v>
                </c:pt>
                <c:pt idx="9">
                  <c:v>11.096605458727842</c:v>
                </c:pt>
                <c:pt idx="10">
                  <c:v>11.648310343290637</c:v>
                </c:pt>
                <c:pt idx="11">
                  <c:v>11.705871223077454</c:v>
                </c:pt>
                <c:pt idx="12">
                  <c:v>12.162021231248525</c:v>
                </c:pt>
                <c:pt idx="13">
                  <c:v>12.697797549640933</c:v>
                </c:pt>
                <c:pt idx="14">
                  <c:v>12.992367162928625</c:v>
                </c:pt>
                <c:pt idx="15">
                  <c:v>13.063440862686894</c:v>
                </c:pt>
                <c:pt idx="16">
                  <c:v>13.182198504199004</c:v>
                </c:pt>
                <c:pt idx="17">
                  <c:v>13.284992866370896</c:v>
                </c:pt>
                <c:pt idx="18">
                  <c:v>13.294225883363469</c:v>
                </c:pt>
                <c:pt idx="19">
                  <c:v>13.101358582123062</c:v>
                </c:pt>
                <c:pt idx="20">
                  <c:v>13.349430557950935</c:v>
                </c:pt>
                <c:pt idx="21">
                  <c:v>13.332409411931089</c:v>
                </c:pt>
                <c:pt idx="22">
                  <c:v>13.007116439083779</c:v>
                </c:pt>
                <c:pt idx="23">
                  <c:v>13.081546380520193</c:v>
                </c:pt>
                <c:pt idx="24">
                  <c:v>13.339864677518117</c:v>
                </c:pt>
                <c:pt idx="25">
                  <c:v>13.805244153119684</c:v>
                </c:pt>
                <c:pt idx="26">
                  <c:v>13.906698788477291</c:v>
                </c:pt>
                <c:pt idx="27">
                  <c:v>14.803831142883821</c:v>
                </c:pt>
                <c:pt idx="28">
                  <c:v>15.12625856944361</c:v>
                </c:pt>
                <c:pt idx="29">
                  <c:v>14.655005281626373</c:v>
                </c:pt>
                <c:pt idx="30">
                  <c:v>13.176418043782192</c:v>
                </c:pt>
                <c:pt idx="31">
                  <c:v>13.852622005024672</c:v>
                </c:pt>
                <c:pt idx="32">
                  <c:v>14.62116459463452</c:v>
                </c:pt>
                <c:pt idx="33">
                  <c:v>15.112825062597175</c:v>
                </c:pt>
                <c:pt idx="34">
                  <c:v>15.116957578449266</c:v>
                </c:pt>
                <c:pt idx="35">
                  <c:v>15.111280540259662</c:v>
                </c:pt>
                <c:pt idx="36">
                  <c:v>15.090252868926211</c:v>
                </c:pt>
                <c:pt idx="37">
                  <c:v>15.056239738201178</c:v>
                </c:pt>
                <c:pt idx="38">
                  <c:v>15.006421040494335</c:v>
                </c:pt>
                <c:pt idx="39">
                  <c:v>14.915883588061082</c:v>
                </c:pt>
                <c:pt idx="40">
                  <c:v>14.798504279521639</c:v>
                </c:pt>
                <c:pt idx="41">
                  <c:v>14.653806040436741</c:v>
                </c:pt>
                <c:pt idx="42">
                  <c:v>14.483525688495229</c:v>
                </c:pt>
                <c:pt idx="43">
                  <c:v>14.285747796368341</c:v>
                </c:pt>
                <c:pt idx="44">
                  <c:v>14.034469676310925</c:v>
                </c:pt>
                <c:pt idx="45">
                  <c:v>13.754279236645512</c:v>
                </c:pt>
                <c:pt idx="46">
                  <c:v>13.347727194788474</c:v>
                </c:pt>
                <c:pt idx="47">
                  <c:v>12.901737901950048</c:v>
                </c:pt>
                <c:pt idx="48">
                  <c:v>12.410565850519768</c:v>
                </c:pt>
                <c:pt idx="49">
                  <c:v>11.963970593583111</c:v>
                </c:pt>
                <c:pt idx="50">
                  <c:v>11.470232290013737</c:v>
                </c:pt>
                <c:pt idx="51">
                  <c:v>10.973608889156056</c:v>
                </c:pt>
                <c:pt idx="52">
                  <c:v>10.484895921116699</c:v>
                </c:pt>
                <c:pt idx="53">
                  <c:v>9.8922889869463138</c:v>
                </c:pt>
                <c:pt idx="54">
                  <c:v>9.4495319082241469</c:v>
                </c:pt>
                <c:pt idx="55">
                  <c:v>9.0262331091755819</c:v>
                </c:pt>
                <c:pt idx="56">
                  <c:v>8.6252765870312604</c:v>
                </c:pt>
                <c:pt idx="57">
                  <c:v>8.1282645290156061</c:v>
                </c:pt>
                <c:pt idx="58">
                  <c:v>7.7684722576090959</c:v>
                </c:pt>
                <c:pt idx="59">
                  <c:v>7.4310385394339162</c:v>
                </c:pt>
                <c:pt idx="60">
                  <c:v>7.11768707756708</c:v>
                </c:pt>
              </c:numCache>
            </c:numRef>
          </c:yVal>
          <c:smooth val="0"/>
          <c:extLst>
            <c:ext xmlns:c16="http://schemas.microsoft.com/office/drawing/2014/chart" uri="{C3380CC4-5D6E-409C-BE32-E72D297353CC}">
              <c16:uniqueId val="{00000001-CB2E-4931-B065-FA63523DCDE5}"/>
            </c:ext>
          </c:extLst>
        </c:ser>
        <c:ser>
          <c:idx val="1"/>
          <c:order val="2"/>
          <c:tx>
            <c:strRef>
              <c:f>'[Graphs - Transport (October 2022).xlsx]Transport AR4'!$A$6</c:f>
              <c:strCache>
                <c:ptCount val="1"/>
                <c:pt idx="0">
                  <c:v>With existing measures </c:v>
                </c:pt>
              </c:strCache>
            </c:strRef>
          </c:tx>
          <c:spPr>
            <a:ln w="19050" cap="rnd">
              <a:solidFill>
                <a:srgbClr val="A0A0A0"/>
              </a:solidFill>
              <a:round/>
            </a:ln>
            <a:effectLst/>
          </c:spPr>
          <c:marker>
            <c:symbol val="none"/>
          </c:marker>
          <c:xVal>
            <c:numRef>
              <c:f>'[Graphs - Transport (October 2022).xlsx]Transport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Transport (October 2022).xlsx]Transport AR4'!$B$6:$BJ$6</c:f>
              <c:numCache>
                <c:formatCode>#,##0.00</c:formatCode>
                <c:ptCount val="61"/>
                <c:pt idx="0">
                  <c:v>8.1261945618773641</c:v>
                </c:pt>
                <c:pt idx="1">
                  <c:v>8.1066611218732056</c:v>
                </c:pt>
                <c:pt idx="2">
                  <c:v>8.4699964545997553</c:v>
                </c:pt>
                <c:pt idx="3">
                  <c:v>8.9226885824844082</c:v>
                </c:pt>
                <c:pt idx="4">
                  <c:v>9.5838002483498972</c:v>
                </c:pt>
                <c:pt idx="5">
                  <c:v>10.247564720783124</c:v>
                </c:pt>
                <c:pt idx="6">
                  <c:v>10.378724398951666</c:v>
                </c:pt>
                <c:pt idx="7">
                  <c:v>10.605333888617775</c:v>
                </c:pt>
                <c:pt idx="8">
                  <c:v>10.810458340752643</c:v>
                </c:pt>
                <c:pt idx="9">
                  <c:v>11.096605458727842</c:v>
                </c:pt>
                <c:pt idx="10">
                  <c:v>11.648310343290637</c:v>
                </c:pt>
                <c:pt idx="11">
                  <c:v>11.705871223077454</c:v>
                </c:pt>
                <c:pt idx="12">
                  <c:v>12.162021231248525</c:v>
                </c:pt>
                <c:pt idx="13">
                  <c:v>12.697797549640933</c:v>
                </c:pt>
                <c:pt idx="14">
                  <c:v>12.992367162928625</c:v>
                </c:pt>
                <c:pt idx="15">
                  <c:v>13.063440862686894</c:v>
                </c:pt>
                <c:pt idx="16">
                  <c:v>13.182198504199004</c:v>
                </c:pt>
                <c:pt idx="17">
                  <c:v>13.284992866370896</c:v>
                </c:pt>
                <c:pt idx="18">
                  <c:v>13.294225883363469</c:v>
                </c:pt>
                <c:pt idx="19">
                  <c:v>13.101358582123062</c:v>
                </c:pt>
                <c:pt idx="20">
                  <c:v>13.349430557950935</c:v>
                </c:pt>
                <c:pt idx="21">
                  <c:v>13.332409411931089</c:v>
                </c:pt>
                <c:pt idx="22">
                  <c:v>13.007116439083779</c:v>
                </c:pt>
                <c:pt idx="23">
                  <c:v>13.081546380520193</c:v>
                </c:pt>
                <c:pt idx="24">
                  <c:v>13.339864677518117</c:v>
                </c:pt>
                <c:pt idx="25">
                  <c:v>13.805244153119684</c:v>
                </c:pt>
                <c:pt idx="26">
                  <c:v>13.906698788477291</c:v>
                </c:pt>
                <c:pt idx="27">
                  <c:v>14.803831142883821</c:v>
                </c:pt>
                <c:pt idx="28">
                  <c:v>15.12625856944361</c:v>
                </c:pt>
                <c:pt idx="29">
                  <c:v>14.655005281626373</c:v>
                </c:pt>
                <c:pt idx="30">
                  <c:v>13.176418043782192</c:v>
                </c:pt>
                <c:pt idx="31">
                  <c:v>13.852622005024672</c:v>
                </c:pt>
                <c:pt idx="32">
                  <c:v>14.62116459463452</c:v>
                </c:pt>
                <c:pt idx="33">
                  <c:v>15.112825062597175</c:v>
                </c:pt>
                <c:pt idx="34">
                  <c:v>15.116957578449266</c:v>
                </c:pt>
                <c:pt idx="35">
                  <c:v>15.111280540259662</c:v>
                </c:pt>
                <c:pt idx="36">
                  <c:v>15.090252868926211</c:v>
                </c:pt>
                <c:pt idx="37">
                  <c:v>15.056239738201178</c:v>
                </c:pt>
                <c:pt idx="38">
                  <c:v>15.006421040494335</c:v>
                </c:pt>
                <c:pt idx="39">
                  <c:v>14.915883588061082</c:v>
                </c:pt>
                <c:pt idx="40">
                  <c:v>14.798504279521639</c:v>
                </c:pt>
                <c:pt idx="41">
                  <c:v>14.653806040436741</c:v>
                </c:pt>
                <c:pt idx="42">
                  <c:v>14.483525688495229</c:v>
                </c:pt>
                <c:pt idx="43">
                  <c:v>14.285747796368341</c:v>
                </c:pt>
                <c:pt idx="44">
                  <c:v>14.034469676310925</c:v>
                </c:pt>
                <c:pt idx="45">
                  <c:v>13.754279236645512</c:v>
                </c:pt>
                <c:pt idx="46">
                  <c:v>13.347727194788474</c:v>
                </c:pt>
                <c:pt idx="47">
                  <c:v>12.901737901950048</c:v>
                </c:pt>
                <c:pt idx="48">
                  <c:v>12.410565850519768</c:v>
                </c:pt>
                <c:pt idx="49">
                  <c:v>11.963970593583111</c:v>
                </c:pt>
                <c:pt idx="50">
                  <c:v>11.470232290013737</c:v>
                </c:pt>
                <c:pt idx="51">
                  <c:v>10.973608889156056</c:v>
                </c:pt>
                <c:pt idx="52">
                  <c:v>10.484895921116699</c:v>
                </c:pt>
                <c:pt idx="53">
                  <c:v>9.8922889869463138</c:v>
                </c:pt>
                <c:pt idx="54">
                  <c:v>9.4495319082241469</c:v>
                </c:pt>
                <c:pt idx="55">
                  <c:v>9.0262331091755819</c:v>
                </c:pt>
                <c:pt idx="56">
                  <c:v>8.6252765870312604</c:v>
                </c:pt>
                <c:pt idx="57">
                  <c:v>8.1282645290156061</c:v>
                </c:pt>
                <c:pt idx="58">
                  <c:v>7.7684722576090959</c:v>
                </c:pt>
                <c:pt idx="59">
                  <c:v>7.4310385394339162</c:v>
                </c:pt>
                <c:pt idx="60">
                  <c:v>7.11768707756708</c:v>
                </c:pt>
              </c:numCache>
            </c:numRef>
          </c:yVal>
          <c:smooth val="0"/>
          <c:extLst>
            <c:ext xmlns:c16="http://schemas.microsoft.com/office/drawing/2014/chart" uri="{C3380CC4-5D6E-409C-BE32-E72D297353CC}">
              <c16:uniqueId val="{00000002-CB2E-4931-B065-FA63523DCDE5}"/>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2038567493112948E-2"/>
              <c:y val="0.205685833542245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a:t>IPPU</a:t>
            </a:r>
          </a:p>
        </c:rich>
      </c:tx>
      <c:overlay val="1"/>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'IPPU AR4'!$A$7</c:f>
              <c:strCache>
                <c:ptCount val="1"/>
                <c:pt idx="0">
                  <c:v>Without measures</c:v>
                </c:pt>
              </c:strCache>
            </c:strRef>
          </c:tx>
          <c:spPr>
            <a:ln w="19050" cap="rnd">
              <a:solidFill>
                <a:srgbClr val="1B556B"/>
              </a:solidFill>
              <a:round/>
            </a:ln>
            <a:effectLst/>
          </c:spPr>
          <c:marker>
            <c:symbol val="none"/>
          </c:marker>
          <c:xVal>
            <c:numRef>
              <c:f>'IPPU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'IPPU AR4'!$B$7:$BJ$7</c:f>
              <c:numCache>
                <c:formatCode>#,##0.00</c:formatCode>
                <c:ptCount val="61"/>
                <c:pt idx="0">
                  <c:v>3.5799241346438944</c:v>
                </c:pt>
                <c:pt idx="1">
                  <c:v>3.728611122298783</c:v>
                </c:pt>
                <c:pt idx="2">
                  <c:v>3.3740926125681883</c:v>
                </c:pt>
                <c:pt idx="3">
                  <c:v>3.2135951241235365</c:v>
                </c:pt>
                <c:pt idx="4">
                  <c:v>3.0875404877327042</c:v>
                </c:pt>
                <c:pt idx="5">
                  <c:v>3.1811796461035478</c:v>
                </c:pt>
                <c:pt idx="6">
                  <c:v>3.381126605122049</c:v>
                </c:pt>
                <c:pt idx="7">
                  <c:v>3.2606224635469223</c:v>
                </c:pt>
                <c:pt idx="8">
                  <c:v>3.2873705731099414</c:v>
                </c:pt>
                <c:pt idx="9">
                  <c:v>3.4160209520024547</c:v>
                </c:pt>
                <c:pt idx="10">
                  <c:v>3.4532901264725906</c:v>
                </c:pt>
                <c:pt idx="11">
                  <c:v>3.5888546517167823</c:v>
                </c:pt>
                <c:pt idx="12">
                  <c:v>3.663463325040615</c:v>
                </c:pt>
                <c:pt idx="13">
                  <c:v>3.8677990163088984</c:v>
                </c:pt>
                <c:pt idx="14">
                  <c:v>3.9266675223151526</c:v>
                </c:pt>
                <c:pt idx="15">
                  <c:v>4.043882144118303</c:v>
                </c:pt>
                <c:pt idx="16">
                  <c:v>4.1317633321559208</c:v>
                </c:pt>
                <c:pt idx="17">
                  <c:v>4.3667778878017067</c:v>
                </c:pt>
                <c:pt idx="18">
                  <c:v>4.2529308283284735</c:v>
                </c:pt>
                <c:pt idx="19">
                  <c:v>4.21210702315547</c:v>
                </c:pt>
                <c:pt idx="20">
                  <c:v>4.5571439482241693</c:v>
                </c:pt>
                <c:pt idx="21">
                  <c:v>4.6101716466848748</c:v>
                </c:pt>
                <c:pt idx="22">
                  <c:v>4.6943530374893427</c:v>
                </c:pt>
                <c:pt idx="23">
                  <c:v>4.8274155897621043</c:v>
                </c:pt>
                <c:pt idx="24">
                  <c:v>4.997787852146323</c:v>
                </c:pt>
                <c:pt idx="25">
                  <c:v>5.127739695293914</c:v>
                </c:pt>
                <c:pt idx="26">
                  <c:v>4.8733021927174294</c:v>
                </c:pt>
                <c:pt idx="27">
                  <c:v>4.9179520713713272</c:v>
                </c:pt>
                <c:pt idx="28">
                  <c:v>4.8147360338575229</c:v>
                </c:pt>
                <c:pt idx="29">
                  <c:v>4.8515815356850549</c:v>
                </c:pt>
                <c:pt idx="30">
                  <c:v>4.609128856362215</c:v>
                </c:pt>
                <c:pt idx="31">
                  <c:v>4.8367030723220426</c:v>
                </c:pt>
                <c:pt idx="32">
                  <c:v>4.8644090287477049</c:v>
                </c:pt>
                <c:pt idx="33">
                  <c:v>4.8560028623883555</c:v>
                </c:pt>
                <c:pt idx="34">
                  <c:v>4.8776252097985671</c:v>
                </c:pt>
                <c:pt idx="35">
                  <c:v>4.2466796856800135</c:v>
                </c:pt>
                <c:pt idx="36">
                  <c:v>4.2554986908111987</c:v>
                </c:pt>
                <c:pt idx="37">
                  <c:v>4.2630552760828131</c:v>
                </c:pt>
                <c:pt idx="38">
                  <c:v>4.257208834893758</c:v>
                </c:pt>
                <c:pt idx="39">
                  <c:v>4.2684552942915639</c:v>
                </c:pt>
                <c:pt idx="40">
                  <c:v>4.2208271206408359</c:v>
                </c:pt>
                <c:pt idx="41">
                  <c:v>4.2001663835478134</c:v>
                </c:pt>
                <c:pt idx="42">
                  <c:v>4.1838952650085854</c:v>
                </c:pt>
                <c:pt idx="43">
                  <c:v>4.1653434130026934</c:v>
                </c:pt>
                <c:pt idx="44">
                  <c:v>4.1383797484541445</c:v>
                </c:pt>
                <c:pt idx="45">
                  <c:v>4.1008429687516781</c:v>
                </c:pt>
                <c:pt idx="46">
                  <c:v>4.0850118322115359</c:v>
                </c:pt>
                <c:pt idx="47">
                  <c:v>4.0520834249091493</c:v>
                </c:pt>
                <c:pt idx="48">
                  <c:v>4.0192676547183614</c:v>
                </c:pt>
                <c:pt idx="49">
                  <c:v>3.9883579004721956</c:v>
                </c:pt>
                <c:pt idx="50">
                  <c:v>3.9354121676756839</c:v>
                </c:pt>
                <c:pt idx="51">
                  <c:v>3.9089440151975117</c:v>
                </c:pt>
                <c:pt idx="52">
                  <c:v>3.8890306581150988</c:v>
                </c:pt>
                <c:pt idx="53">
                  <c:v>3.8731051776576204</c:v>
                </c:pt>
                <c:pt idx="54">
                  <c:v>3.8555165219009333</c:v>
                </c:pt>
                <c:pt idx="55">
                  <c:v>3.8408438433240715</c:v>
                </c:pt>
                <c:pt idx="56">
                  <c:v>3.8357034233554335</c:v>
                </c:pt>
                <c:pt idx="57">
                  <c:v>3.8143636245345998</c:v>
                </c:pt>
                <c:pt idx="58">
                  <c:v>3.7953350861609443</c:v>
                </c:pt>
                <c:pt idx="59">
                  <c:v>3.7779984573265839</c:v>
                </c:pt>
                <c:pt idx="60">
                  <c:v>3.7598833924290882</c:v>
                </c:pt>
              </c:numCache>
            </c:numRef>
          </c:yVal>
          <c:smooth val="0"/>
          <c:extLst>
            <c:ext xmlns:c16="http://schemas.microsoft.com/office/drawing/2014/chart" uri="{C3380CC4-5D6E-409C-BE32-E72D297353CC}">
              <c16:uniqueId val="{00000000-02AD-426A-B316-0F23C95C715A}"/>
            </c:ext>
          </c:extLst>
        </c:ser>
        <c:ser>
          <c:idx val="0"/>
          <c:order val="1"/>
          <c:tx>
            <c:strRef>
              <c:f>'IPPU AR4'!$A$8</c:f>
              <c:strCache>
                <c:ptCount val="1"/>
                <c:pt idx="0">
                  <c:v>With additional measures</c:v>
                </c:pt>
              </c:strCache>
            </c:strRef>
          </c:tx>
          <c:spPr>
            <a:ln w="19050" cap="rnd">
              <a:solidFill>
                <a:srgbClr val="2C9986"/>
              </a:solidFill>
              <a:round/>
            </a:ln>
            <a:effectLst/>
          </c:spPr>
          <c:marker>
            <c:symbol val="none"/>
          </c:marker>
          <c:xVal>
            <c:numRef>
              <c:f>'IPPU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'IPPU AR4'!$B$8:$BJ$8</c:f>
              <c:numCache>
                <c:formatCode>#,##0.00</c:formatCode>
                <c:ptCount val="61"/>
                <c:pt idx="0">
                  <c:v>3.5799241346438944</c:v>
                </c:pt>
                <c:pt idx="1">
                  <c:v>3.728611122298783</c:v>
                </c:pt>
                <c:pt idx="2">
                  <c:v>3.3740926125681883</c:v>
                </c:pt>
                <c:pt idx="3">
                  <c:v>3.2134642440055905</c:v>
                </c:pt>
                <c:pt idx="4">
                  <c:v>3.0828039477327041</c:v>
                </c:pt>
                <c:pt idx="5">
                  <c:v>3.1744319661035476</c:v>
                </c:pt>
                <c:pt idx="6">
                  <c:v>3.3655491486420486</c:v>
                </c:pt>
                <c:pt idx="7">
                  <c:v>3.2533568142669225</c:v>
                </c:pt>
                <c:pt idx="8">
                  <c:v>3.2370127278299416</c:v>
                </c:pt>
                <c:pt idx="9">
                  <c:v>3.4129403172224544</c:v>
                </c:pt>
                <c:pt idx="10">
                  <c:v>3.4432215068220406</c:v>
                </c:pt>
                <c:pt idx="11">
                  <c:v>3.5584810172775563</c:v>
                </c:pt>
                <c:pt idx="12">
                  <c:v>3.6804558967406149</c:v>
                </c:pt>
                <c:pt idx="13">
                  <c:v>3.9165350179642089</c:v>
                </c:pt>
                <c:pt idx="14">
                  <c:v>3.9529972705192842</c:v>
                </c:pt>
                <c:pt idx="15">
                  <c:v>4.0616484302342872</c:v>
                </c:pt>
                <c:pt idx="16">
                  <c:v>4.1711765319764371</c:v>
                </c:pt>
                <c:pt idx="17">
                  <c:v>4.4311900620868068</c:v>
                </c:pt>
                <c:pt idx="18">
                  <c:v>4.3224399267639475</c:v>
                </c:pt>
                <c:pt idx="19">
                  <c:v>4.2745913164439058</c:v>
                </c:pt>
                <c:pt idx="20">
                  <c:v>4.5911325441158439</c:v>
                </c:pt>
                <c:pt idx="21">
                  <c:v>4.6273865476130052</c:v>
                </c:pt>
                <c:pt idx="22">
                  <c:v>4.7031898738720033</c:v>
                </c:pt>
                <c:pt idx="23">
                  <c:v>4.8363461555290792</c:v>
                </c:pt>
                <c:pt idx="24">
                  <c:v>5.0069811906990509</c:v>
                </c:pt>
                <c:pt idx="25">
                  <c:v>5.1373234307296034</c:v>
                </c:pt>
                <c:pt idx="26">
                  <c:v>4.8830727657886479</c:v>
                </c:pt>
                <c:pt idx="27">
                  <c:v>4.9284399302853483</c:v>
                </c:pt>
                <c:pt idx="28">
                  <c:v>4.8250737740304519</c:v>
                </c:pt>
                <c:pt idx="29">
                  <c:v>4.8610458918188213</c:v>
                </c:pt>
                <c:pt idx="30">
                  <c:v>4.6183537995997179</c:v>
                </c:pt>
                <c:pt idx="31">
                  <c:v>4.7509852977020302</c:v>
                </c:pt>
                <c:pt idx="32">
                  <c:v>4.6607919625560985</c:v>
                </c:pt>
                <c:pt idx="33">
                  <c:v>4.6275222495634196</c:v>
                </c:pt>
                <c:pt idx="34">
                  <c:v>4.6104611124146979</c:v>
                </c:pt>
                <c:pt idx="35">
                  <c:v>3.9401230500092752</c:v>
                </c:pt>
                <c:pt idx="36">
                  <c:v>3.9165562376510819</c:v>
                </c:pt>
                <c:pt idx="37">
                  <c:v>3.8960359523948327</c:v>
                </c:pt>
                <c:pt idx="38">
                  <c:v>3.8648679029473731</c:v>
                </c:pt>
                <c:pt idx="39">
                  <c:v>3.855844049876914</c:v>
                </c:pt>
                <c:pt idx="40">
                  <c:v>3.8106470829231047</c:v>
                </c:pt>
                <c:pt idx="41">
                  <c:v>3.7515723132934098</c:v>
                </c:pt>
                <c:pt idx="42">
                  <c:v>3.7029800466966458</c:v>
                </c:pt>
                <c:pt idx="43">
                  <c:v>3.6476696699782813</c:v>
                </c:pt>
                <c:pt idx="44">
                  <c:v>3.5631124933350167</c:v>
                </c:pt>
                <c:pt idx="45">
                  <c:v>3.47591125096984</c:v>
                </c:pt>
                <c:pt idx="46">
                  <c:v>3.3889162413527205</c:v>
                </c:pt>
                <c:pt idx="47">
                  <c:v>3.2960082953824257</c:v>
                </c:pt>
                <c:pt idx="48">
                  <c:v>3.2213683029506255</c:v>
                </c:pt>
                <c:pt idx="49">
                  <c:v>3.1498429421107454</c:v>
                </c:pt>
                <c:pt idx="50">
                  <c:v>3.0586958543815044</c:v>
                </c:pt>
                <c:pt idx="51">
                  <c:v>2.9887789591703484</c:v>
                </c:pt>
                <c:pt idx="52">
                  <c:v>2.9283147907333418</c:v>
                </c:pt>
                <c:pt idx="53">
                  <c:v>2.8957743644803702</c:v>
                </c:pt>
                <c:pt idx="54">
                  <c:v>2.8640412542181299</c:v>
                </c:pt>
                <c:pt idx="55">
                  <c:v>2.8376008617409796</c:v>
                </c:pt>
                <c:pt idx="56">
                  <c:v>2.8284223253418661</c:v>
                </c:pt>
                <c:pt idx="57">
                  <c:v>2.8176347239071666</c:v>
                </c:pt>
                <c:pt idx="58">
                  <c:v>2.8143529154725604</c:v>
                </c:pt>
                <c:pt idx="59">
                  <c:v>2.8117963948784035</c:v>
                </c:pt>
                <c:pt idx="60">
                  <c:v>2.8097034268806507</c:v>
                </c:pt>
              </c:numCache>
            </c:numRef>
          </c:yVal>
          <c:smooth val="0"/>
          <c:extLst>
            <c:ext xmlns:c16="http://schemas.microsoft.com/office/drawing/2014/chart" uri="{C3380CC4-5D6E-409C-BE32-E72D297353CC}">
              <c16:uniqueId val="{00000001-02AD-426A-B316-0F23C95C715A}"/>
            </c:ext>
          </c:extLst>
        </c:ser>
        <c:ser>
          <c:idx val="1"/>
          <c:order val="2"/>
          <c:tx>
            <c:strRef>
              <c:f>'IPPU AR4'!$A$6</c:f>
              <c:strCache>
                <c:ptCount val="1"/>
                <c:pt idx="0">
                  <c:v>With existing measures</c:v>
                </c:pt>
              </c:strCache>
            </c:strRef>
          </c:tx>
          <c:spPr>
            <a:ln w="19050" cap="rnd">
              <a:solidFill>
                <a:srgbClr val="A0A0A0"/>
              </a:solidFill>
              <a:round/>
            </a:ln>
            <a:effectLst/>
          </c:spPr>
          <c:marker>
            <c:symbol val="none"/>
          </c:marker>
          <c:xVal>
            <c:numRef>
              <c:f>'IPPU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'IPPU AR4'!$B$6:$BJ$6</c:f>
              <c:numCache>
                <c:formatCode>#,##0.00</c:formatCode>
                <c:ptCount val="61"/>
                <c:pt idx="0">
                  <c:v>3.5799241346438944</c:v>
                </c:pt>
                <c:pt idx="1">
                  <c:v>3.728611122298783</c:v>
                </c:pt>
                <c:pt idx="2">
                  <c:v>3.3740926125681883</c:v>
                </c:pt>
                <c:pt idx="3">
                  <c:v>3.2134642440055905</c:v>
                </c:pt>
                <c:pt idx="4">
                  <c:v>3.0828039477327041</c:v>
                </c:pt>
                <c:pt idx="5">
                  <c:v>3.1744319661035476</c:v>
                </c:pt>
                <c:pt idx="6">
                  <c:v>3.3655491486420486</c:v>
                </c:pt>
                <c:pt idx="7">
                  <c:v>3.2533568142669225</c:v>
                </c:pt>
                <c:pt idx="8">
                  <c:v>3.2370127278299416</c:v>
                </c:pt>
                <c:pt idx="9">
                  <c:v>3.4129403172224544</c:v>
                </c:pt>
                <c:pt idx="10">
                  <c:v>3.4432215068220406</c:v>
                </c:pt>
                <c:pt idx="11">
                  <c:v>3.5584810172775563</c:v>
                </c:pt>
                <c:pt idx="12">
                  <c:v>3.6804558967406149</c:v>
                </c:pt>
                <c:pt idx="13">
                  <c:v>3.9165350179642089</c:v>
                </c:pt>
                <c:pt idx="14">
                  <c:v>3.9529972705192842</c:v>
                </c:pt>
                <c:pt idx="15">
                  <c:v>4.0616484302342872</c:v>
                </c:pt>
                <c:pt idx="16">
                  <c:v>4.1711765319764371</c:v>
                </c:pt>
                <c:pt idx="17">
                  <c:v>4.4311900620868068</c:v>
                </c:pt>
                <c:pt idx="18">
                  <c:v>4.3224399267639475</c:v>
                </c:pt>
                <c:pt idx="19">
                  <c:v>4.2745913164439058</c:v>
                </c:pt>
                <c:pt idx="20">
                  <c:v>4.5911325441158439</c:v>
                </c:pt>
                <c:pt idx="21">
                  <c:v>4.6273865476130052</c:v>
                </c:pt>
                <c:pt idx="22">
                  <c:v>4.7031898738720033</c:v>
                </c:pt>
                <c:pt idx="23">
                  <c:v>4.8363461555290792</c:v>
                </c:pt>
                <c:pt idx="24">
                  <c:v>5.0069811906990509</c:v>
                </c:pt>
                <c:pt idx="25">
                  <c:v>5.1373234307296034</c:v>
                </c:pt>
                <c:pt idx="26">
                  <c:v>4.8830727657886479</c:v>
                </c:pt>
                <c:pt idx="27">
                  <c:v>4.9284399302853483</c:v>
                </c:pt>
                <c:pt idx="28">
                  <c:v>4.8250737740304519</c:v>
                </c:pt>
                <c:pt idx="29">
                  <c:v>4.8610458918188213</c:v>
                </c:pt>
                <c:pt idx="30">
                  <c:v>4.6183537995997179</c:v>
                </c:pt>
                <c:pt idx="31">
                  <c:v>4.7517230977220297</c:v>
                </c:pt>
                <c:pt idx="32">
                  <c:v>4.7127104342991348</c:v>
                </c:pt>
                <c:pt idx="33">
                  <c:v>4.6842865359938441</c:v>
                </c:pt>
                <c:pt idx="34">
                  <c:v>4.682172147729319</c:v>
                </c:pt>
                <c:pt idx="35">
                  <c:v>4.0196005713884722</c:v>
                </c:pt>
                <c:pt idx="36">
                  <c:v>3.9859784380955525</c:v>
                </c:pt>
                <c:pt idx="37">
                  <c:v>3.9760449634946808</c:v>
                </c:pt>
                <c:pt idx="38">
                  <c:v>3.9662961109905268</c:v>
                </c:pt>
                <c:pt idx="39">
                  <c:v>3.9555644040523132</c:v>
                </c:pt>
                <c:pt idx="40">
                  <c:v>3.9102814439302747</c:v>
                </c:pt>
                <c:pt idx="41">
                  <c:v>3.8645683608139763</c:v>
                </c:pt>
                <c:pt idx="42">
                  <c:v>3.8364094834923788</c:v>
                </c:pt>
                <c:pt idx="43">
                  <c:v>3.8047600334341114</c:v>
                </c:pt>
                <c:pt idx="44">
                  <c:v>3.763623992524836</c:v>
                </c:pt>
                <c:pt idx="45">
                  <c:v>3.7179531212115982</c:v>
                </c:pt>
                <c:pt idx="46">
                  <c:v>3.6577887707121692</c:v>
                </c:pt>
                <c:pt idx="47">
                  <c:v>3.6149499307704893</c:v>
                </c:pt>
                <c:pt idx="48">
                  <c:v>3.5724639111895824</c:v>
                </c:pt>
                <c:pt idx="49">
                  <c:v>3.5322825121905397</c:v>
                </c:pt>
                <c:pt idx="50">
                  <c:v>3.4702970238768684</c:v>
                </c:pt>
                <c:pt idx="51">
                  <c:v>3.4334955994216272</c:v>
                </c:pt>
                <c:pt idx="52">
                  <c:v>3.4083689516887552</c:v>
                </c:pt>
                <c:pt idx="53">
                  <c:v>3.3888609355082071</c:v>
                </c:pt>
                <c:pt idx="54">
                  <c:v>3.3690662715582036</c:v>
                </c:pt>
                <c:pt idx="55">
                  <c:v>3.3530128381533739</c:v>
                </c:pt>
                <c:pt idx="56">
                  <c:v>3.3319230664417696</c:v>
                </c:pt>
                <c:pt idx="57">
                  <c:v>3.3140702789767165</c:v>
                </c:pt>
                <c:pt idx="58">
                  <c:v>3.2987970209623652</c:v>
                </c:pt>
                <c:pt idx="59">
                  <c:v>3.2860177367475898</c:v>
                </c:pt>
                <c:pt idx="60">
                  <c:v>3.2737504031348479</c:v>
                </c:pt>
              </c:numCache>
            </c:numRef>
          </c:yVal>
          <c:smooth val="0"/>
          <c:extLst>
            <c:ext xmlns:c16="http://schemas.microsoft.com/office/drawing/2014/chart" uri="{C3380CC4-5D6E-409C-BE32-E72D297353CC}">
              <c16:uniqueId val="{00000002-02AD-426A-B316-0F23C95C715A}"/>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1.9485038274182326E-2"/>
              <c:y val="0.202575235869118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a:t>Agriculture</a:t>
            </a:r>
          </a:p>
        </c:rich>
      </c:tx>
      <c:overlay val="1"/>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Agriculture (October 2022).xlsx]Agriculture AR4'!$A$7</c:f>
              <c:strCache>
                <c:ptCount val="1"/>
                <c:pt idx="0">
                  <c:v>Without measures</c:v>
                </c:pt>
              </c:strCache>
            </c:strRef>
          </c:tx>
          <c:spPr>
            <a:ln w="19050" cap="rnd">
              <a:solidFill>
                <a:srgbClr val="1B556B"/>
              </a:solidFill>
              <a:round/>
            </a:ln>
            <a:effectLst/>
          </c:spPr>
          <c:marker>
            <c:symbol val="none"/>
          </c:marker>
          <c:xVal>
            <c:numRef>
              <c:f>'[Graphs - Agriculture (October 2022).xlsx]Agriculture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Agriculture (October 2022).xlsx]Agriculture AR4'!$B$7:$BJ$7</c:f>
              <c:numCache>
                <c:formatCode>#,##0.00</c:formatCode>
                <c:ptCount val="61"/>
                <c:pt idx="0">
                  <c:v>33.792883792640808</c:v>
                </c:pt>
                <c:pt idx="1">
                  <c:v>34.022507497623636</c:v>
                </c:pt>
                <c:pt idx="2">
                  <c:v>33.570976096954396</c:v>
                </c:pt>
                <c:pt idx="3">
                  <c:v>33.956386055454061</c:v>
                </c:pt>
                <c:pt idx="4">
                  <c:v>35.133357696970464</c:v>
                </c:pt>
                <c:pt idx="5">
                  <c:v>35.734697114699834</c:v>
                </c:pt>
                <c:pt idx="6">
                  <c:v>36.038256988676849</c:v>
                </c:pt>
                <c:pt idx="7">
                  <c:v>36.893059160199911</c:v>
                </c:pt>
                <c:pt idx="8">
                  <c:v>36.287576027291088</c:v>
                </c:pt>
                <c:pt idx="9">
                  <c:v>36.4681927193405</c:v>
                </c:pt>
                <c:pt idx="10">
                  <c:v>37.614876691713242</c:v>
                </c:pt>
                <c:pt idx="11">
                  <c:v>38.445135385291039</c:v>
                </c:pt>
                <c:pt idx="12">
                  <c:v>38.452902957963296</c:v>
                </c:pt>
                <c:pt idx="13">
                  <c:v>39.075426769755133</c:v>
                </c:pt>
                <c:pt idx="14">
                  <c:v>39.219068962221193</c:v>
                </c:pt>
                <c:pt idx="15">
                  <c:v>39.571899890630839</c:v>
                </c:pt>
                <c:pt idx="16">
                  <c:v>39.427397347479413</c:v>
                </c:pt>
                <c:pt idx="17">
                  <c:v>38.508095057663354</c:v>
                </c:pt>
                <c:pt idx="18">
                  <c:v>37.33225130830543</c:v>
                </c:pt>
                <c:pt idx="19">
                  <c:v>37.535958522506562</c:v>
                </c:pt>
                <c:pt idx="20">
                  <c:v>37.711495238636978</c:v>
                </c:pt>
                <c:pt idx="21">
                  <c:v>38.474508405818668</c:v>
                </c:pt>
                <c:pt idx="22">
                  <c:v>39.331899915214073</c:v>
                </c:pt>
                <c:pt idx="23">
                  <c:v>39.439756153211761</c:v>
                </c:pt>
                <c:pt idx="24">
                  <c:v>40.061447710317459</c:v>
                </c:pt>
                <c:pt idx="25">
                  <c:v>39.561828163792178</c:v>
                </c:pt>
                <c:pt idx="26">
                  <c:v>39.201395923377305</c:v>
                </c:pt>
                <c:pt idx="27">
                  <c:v>39.26139940831353</c:v>
                </c:pt>
                <c:pt idx="28">
                  <c:v>39.582612036184976</c:v>
                </c:pt>
                <c:pt idx="29">
                  <c:v>39.870308594877059</c:v>
                </c:pt>
                <c:pt idx="30">
                  <c:v>39.82196418373546</c:v>
                </c:pt>
                <c:pt idx="31">
                  <c:v>39.838440771038847</c:v>
                </c:pt>
                <c:pt idx="32">
                  <c:v>39.200005593880846</c:v>
                </c:pt>
                <c:pt idx="33">
                  <c:v>38.70993813507895</c:v>
                </c:pt>
                <c:pt idx="34">
                  <c:v>38.423072234488735</c:v>
                </c:pt>
                <c:pt idx="35">
                  <c:v>38.225908615689796</c:v>
                </c:pt>
                <c:pt idx="36">
                  <c:v>38.183518690146968</c:v>
                </c:pt>
                <c:pt idx="37">
                  <c:v>38.208382688447699</c:v>
                </c:pt>
                <c:pt idx="38">
                  <c:v>38.255178578630264</c:v>
                </c:pt>
                <c:pt idx="39">
                  <c:v>38.306278686401157</c:v>
                </c:pt>
                <c:pt idx="40">
                  <c:v>38.34641834643805</c:v>
                </c:pt>
                <c:pt idx="41">
                  <c:v>38.393956490856134</c:v>
                </c:pt>
                <c:pt idx="42">
                  <c:v>38.446657766198555</c:v>
                </c:pt>
                <c:pt idx="43">
                  <c:v>38.505915731791099</c:v>
                </c:pt>
                <c:pt idx="44">
                  <c:v>38.557051396583205</c:v>
                </c:pt>
                <c:pt idx="45">
                  <c:v>38.597096223865393</c:v>
                </c:pt>
                <c:pt idx="46">
                  <c:v>38.637863569673051</c:v>
                </c:pt>
                <c:pt idx="47">
                  <c:v>38.691873717920096</c:v>
                </c:pt>
                <c:pt idx="48">
                  <c:v>38.729336680704151</c:v>
                </c:pt>
                <c:pt idx="49">
                  <c:v>38.761093167856743</c:v>
                </c:pt>
                <c:pt idx="50">
                  <c:v>38.7933685383233</c:v>
                </c:pt>
                <c:pt idx="51">
                  <c:v>38.821869889315501</c:v>
                </c:pt>
                <c:pt idx="52">
                  <c:v>38.850900572365866</c:v>
                </c:pt>
                <c:pt idx="53">
                  <c:v>38.896892059291936</c:v>
                </c:pt>
                <c:pt idx="54">
                  <c:v>38.940504025168238</c:v>
                </c:pt>
                <c:pt idx="55">
                  <c:v>38.963981689248349</c:v>
                </c:pt>
                <c:pt idx="56">
                  <c:v>38.981800460826527</c:v>
                </c:pt>
                <c:pt idx="57">
                  <c:v>39.00337303797447</c:v>
                </c:pt>
                <c:pt idx="58">
                  <c:v>39.034039680280507</c:v>
                </c:pt>
                <c:pt idx="59">
                  <c:v>39.052212350064828</c:v>
                </c:pt>
                <c:pt idx="60">
                  <c:v>39.070247010518251</c:v>
                </c:pt>
              </c:numCache>
            </c:numRef>
          </c:yVal>
          <c:smooth val="0"/>
          <c:extLst>
            <c:ext xmlns:c16="http://schemas.microsoft.com/office/drawing/2014/chart" uri="{C3380CC4-5D6E-409C-BE32-E72D297353CC}">
              <c16:uniqueId val="{00000000-C1A5-40B3-BCB2-64171A82BB4B}"/>
            </c:ext>
          </c:extLst>
        </c:ser>
        <c:ser>
          <c:idx val="0"/>
          <c:order val="1"/>
          <c:tx>
            <c:strRef>
              <c:f>'[Graphs - Agriculture (October 2022).xlsx]Agriculture AR4'!$A$8</c:f>
              <c:strCache>
                <c:ptCount val="1"/>
                <c:pt idx="0">
                  <c:v>With additional measures</c:v>
                </c:pt>
              </c:strCache>
            </c:strRef>
          </c:tx>
          <c:spPr>
            <a:ln w="19050" cap="rnd">
              <a:solidFill>
                <a:srgbClr val="2C9986"/>
              </a:solidFill>
              <a:round/>
            </a:ln>
            <a:effectLst/>
          </c:spPr>
          <c:marker>
            <c:symbol val="none"/>
          </c:marker>
          <c:xVal>
            <c:numRef>
              <c:f>'[Graphs - Agriculture (October 2022).xlsx]Agriculture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Agriculture (October 2022).xlsx]Agriculture AR4'!$B$8:$BJ$8</c:f>
              <c:numCache>
                <c:formatCode>#,##0.00</c:formatCode>
                <c:ptCount val="61"/>
                <c:pt idx="0">
                  <c:v>33.792883792640808</c:v>
                </c:pt>
                <c:pt idx="1">
                  <c:v>34.022507497623636</c:v>
                </c:pt>
                <c:pt idx="2">
                  <c:v>33.570976096954389</c:v>
                </c:pt>
                <c:pt idx="3">
                  <c:v>33.956386055454061</c:v>
                </c:pt>
                <c:pt idx="4">
                  <c:v>35.133357696970464</c:v>
                </c:pt>
                <c:pt idx="5">
                  <c:v>35.734697114699827</c:v>
                </c:pt>
                <c:pt idx="6">
                  <c:v>36.038256988676856</c:v>
                </c:pt>
                <c:pt idx="7">
                  <c:v>36.893059160199904</c:v>
                </c:pt>
                <c:pt idx="8">
                  <c:v>36.287576027291081</c:v>
                </c:pt>
                <c:pt idx="9">
                  <c:v>36.4681927193405</c:v>
                </c:pt>
                <c:pt idx="10">
                  <c:v>37.614876691713242</c:v>
                </c:pt>
                <c:pt idx="11">
                  <c:v>38.445135385291039</c:v>
                </c:pt>
                <c:pt idx="12">
                  <c:v>38.452902957963296</c:v>
                </c:pt>
                <c:pt idx="13">
                  <c:v>39.07542676975514</c:v>
                </c:pt>
                <c:pt idx="14">
                  <c:v>39.219068962221186</c:v>
                </c:pt>
                <c:pt idx="15">
                  <c:v>39.571899890630839</c:v>
                </c:pt>
                <c:pt idx="16">
                  <c:v>39.427397347479413</c:v>
                </c:pt>
                <c:pt idx="17">
                  <c:v>38.508095057663354</c:v>
                </c:pt>
                <c:pt idx="18">
                  <c:v>37.332251308305423</c:v>
                </c:pt>
                <c:pt idx="19">
                  <c:v>37.535958522506562</c:v>
                </c:pt>
                <c:pt idx="20">
                  <c:v>37.711495238636978</c:v>
                </c:pt>
                <c:pt idx="21">
                  <c:v>38.362269547036156</c:v>
                </c:pt>
                <c:pt idx="22">
                  <c:v>39.203363521824549</c:v>
                </c:pt>
                <c:pt idx="23">
                  <c:v>39.30676218172534</c:v>
                </c:pt>
                <c:pt idx="24">
                  <c:v>39.922771805596412</c:v>
                </c:pt>
                <c:pt idx="25">
                  <c:v>39.415789030060481</c:v>
                </c:pt>
                <c:pt idx="26">
                  <c:v>39.042960218724666</c:v>
                </c:pt>
                <c:pt idx="27">
                  <c:v>39.082390698957632</c:v>
                </c:pt>
                <c:pt idx="28">
                  <c:v>39.36828675373129</c:v>
                </c:pt>
                <c:pt idx="29">
                  <c:v>39.518641021140887</c:v>
                </c:pt>
                <c:pt idx="30">
                  <c:v>39.425543845121211</c:v>
                </c:pt>
                <c:pt idx="31">
                  <c:v>39.441856411024546</c:v>
                </c:pt>
                <c:pt idx="32">
                  <c:v>38.80977673878197</c:v>
                </c:pt>
                <c:pt idx="33">
                  <c:v>38.102910383019228</c:v>
                </c:pt>
                <c:pt idx="34">
                  <c:v>37.732159256607446</c:v>
                </c:pt>
                <c:pt idx="35">
                  <c:v>37.390570258167038</c:v>
                </c:pt>
                <c:pt idx="36">
                  <c:v>37.104808186813969</c:v>
                </c:pt>
                <c:pt idx="37">
                  <c:v>36.85330188705737</c:v>
                </c:pt>
                <c:pt idx="38">
                  <c:v>36.624272130865222</c:v>
                </c:pt>
                <c:pt idx="39">
                  <c:v>36.399778471201593</c:v>
                </c:pt>
                <c:pt idx="40">
                  <c:v>36.16528980988393</c:v>
                </c:pt>
                <c:pt idx="41">
                  <c:v>35.938540303559002</c:v>
                </c:pt>
                <c:pt idx="42">
                  <c:v>35.716857580804579</c:v>
                </c:pt>
                <c:pt idx="43">
                  <c:v>35.501447359423267</c:v>
                </c:pt>
                <c:pt idx="44">
                  <c:v>35.281864379413271</c:v>
                </c:pt>
                <c:pt idx="45">
                  <c:v>35.107737683735785</c:v>
                </c:pt>
                <c:pt idx="46">
                  <c:v>35.035289027380912</c:v>
                </c:pt>
                <c:pt idx="47">
                  <c:v>35.011343479613892</c:v>
                </c:pt>
                <c:pt idx="48">
                  <c:v>34.972453554876154</c:v>
                </c:pt>
                <c:pt idx="49">
                  <c:v>34.928139262380782</c:v>
                </c:pt>
                <c:pt idx="50">
                  <c:v>34.884511488617569</c:v>
                </c:pt>
                <c:pt idx="51">
                  <c:v>34.837744955532386</c:v>
                </c:pt>
                <c:pt idx="52">
                  <c:v>34.791777603901089</c:v>
                </c:pt>
                <c:pt idx="53">
                  <c:v>34.761260313652819</c:v>
                </c:pt>
                <c:pt idx="54">
                  <c:v>34.728877289503103</c:v>
                </c:pt>
                <c:pt idx="55">
                  <c:v>34.678180096041686</c:v>
                </c:pt>
                <c:pt idx="56">
                  <c:v>34.622210744790962</c:v>
                </c:pt>
                <c:pt idx="57">
                  <c:v>34.570418323736511</c:v>
                </c:pt>
                <c:pt idx="58">
                  <c:v>34.527284911912119</c:v>
                </c:pt>
                <c:pt idx="59">
                  <c:v>34.478203889268556</c:v>
                </c:pt>
                <c:pt idx="60">
                  <c:v>34.467454565315499</c:v>
                </c:pt>
              </c:numCache>
            </c:numRef>
          </c:yVal>
          <c:smooth val="0"/>
          <c:extLst>
            <c:ext xmlns:c16="http://schemas.microsoft.com/office/drawing/2014/chart" uri="{C3380CC4-5D6E-409C-BE32-E72D297353CC}">
              <c16:uniqueId val="{00000001-C1A5-40B3-BCB2-64171A82BB4B}"/>
            </c:ext>
          </c:extLst>
        </c:ser>
        <c:ser>
          <c:idx val="1"/>
          <c:order val="2"/>
          <c:tx>
            <c:strRef>
              <c:f>'[Graphs - Agriculture (October 2022).xlsx]Agriculture AR4'!$A$6</c:f>
              <c:strCache>
                <c:ptCount val="1"/>
                <c:pt idx="0">
                  <c:v>With existing measures </c:v>
                </c:pt>
              </c:strCache>
            </c:strRef>
          </c:tx>
          <c:spPr>
            <a:ln w="19050" cap="rnd">
              <a:solidFill>
                <a:srgbClr val="A0A0A0"/>
              </a:solidFill>
              <a:round/>
            </a:ln>
            <a:effectLst/>
          </c:spPr>
          <c:marker>
            <c:symbol val="none"/>
          </c:marker>
          <c:xVal>
            <c:numRef>
              <c:f>'[Graphs - Agriculture (October 2022).xlsx]Agriculture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Agriculture (October 2022).xlsx]Agriculture AR4'!$B$6:$BJ$6</c:f>
              <c:numCache>
                <c:formatCode>#,##0.00</c:formatCode>
                <c:ptCount val="61"/>
                <c:pt idx="0">
                  <c:v>33.792883792640808</c:v>
                </c:pt>
                <c:pt idx="1">
                  <c:v>34.022507497623636</c:v>
                </c:pt>
                <c:pt idx="2">
                  <c:v>33.570976096954389</c:v>
                </c:pt>
                <c:pt idx="3">
                  <c:v>33.956386055454061</c:v>
                </c:pt>
                <c:pt idx="4">
                  <c:v>35.133357696970464</c:v>
                </c:pt>
                <c:pt idx="5">
                  <c:v>35.734697114699827</c:v>
                </c:pt>
                <c:pt idx="6">
                  <c:v>36.038256988676856</c:v>
                </c:pt>
                <c:pt idx="7">
                  <c:v>36.893059160199904</c:v>
                </c:pt>
                <c:pt idx="8">
                  <c:v>36.287576027291081</c:v>
                </c:pt>
                <c:pt idx="9">
                  <c:v>36.4681927193405</c:v>
                </c:pt>
                <c:pt idx="10">
                  <c:v>37.614876691713242</c:v>
                </c:pt>
                <c:pt idx="11">
                  <c:v>38.445135385291039</c:v>
                </c:pt>
                <c:pt idx="12">
                  <c:v>38.452902957963296</c:v>
                </c:pt>
                <c:pt idx="13">
                  <c:v>39.07542676975514</c:v>
                </c:pt>
                <c:pt idx="14">
                  <c:v>39.219068962221186</c:v>
                </c:pt>
                <c:pt idx="15">
                  <c:v>39.571899890630839</c:v>
                </c:pt>
                <c:pt idx="16">
                  <c:v>39.427397347479413</c:v>
                </c:pt>
                <c:pt idx="17">
                  <c:v>38.508095057663354</c:v>
                </c:pt>
                <c:pt idx="18">
                  <c:v>37.332251308305423</c:v>
                </c:pt>
                <c:pt idx="19">
                  <c:v>37.535958522506562</c:v>
                </c:pt>
                <c:pt idx="20">
                  <c:v>37.711495238636978</c:v>
                </c:pt>
                <c:pt idx="21">
                  <c:v>38.362269547036156</c:v>
                </c:pt>
                <c:pt idx="22">
                  <c:v>39.203363521824549</c:v>
                </c:pt>
                <c:pt idx="23">
                  <c:v>39.30676218172534</c:v>
                </c:pt>
                <c:pt idx="24">
                  <c:v>39.922771805596412</c:v>
                </c:pt>
                <c:pt idx="25">
                  <c:v>39.415789030060481</c:v>
                </c:pt>
                <c:pt idx="26">
                  <c:v>39.042960218724666</c:v>
                </c:pt>
                <c:pt idx="27">
                  <c:v>39.082390698957632</c:v>
                </c:pt>
                <c:pt idx="28">
                  <c:v>39.36828675373129</c:v>
                </c:pt>
                <c:pt idx="29">
                  <c:v>39.518641021140887</c:v>
                </c:pt>
                <c:pt idx="30">
                  <c:v>39.425543845121211</c:v>
                </c:pt>
                <c:pt idx="31">
                  <c:v>39.441856411024546</c:v>
                </c:pt>
                <c:pt idx="32">
                  <c:v>38.80977673878197</c:v>
                </c:pt>
                <c:pt idx="33">
                  <c:v>38.111323003270464</c:v>
                </c:pt>
                <c:pt idx="34">
                  <c:v>37.755640236675724</c:v>
                </c:pt>
                <c:pt idx="35">
                  <c:v>37.432574094086718</c:v>
                </c:pt>
                <c:pt idx="36">
                  <c:v>37.165434347208979</c:v>
                </c:pt>
                <c:pt idx="37">
                  <c:v>36.932373397467444</c:v>
                </c:pt>
                <c:pt idx="38">
                  <c:v>36.72164415602046</c:v>
                </c:pt>
                <c:pt idx="39">
                  <c:v>36.51528984438508</c:v>
                </c:pt>
                <c:pt idx="40">
                  <c:v>36.29875814262752</c:v>
                </c:pt>
                <c:pt idx="41">
                  <c:v>36.089771795796487</c:v>
                </c:pt>
                <c:pt idx="42">
                  <c:v>35.885793882510185</c:v>
                </c:pt>
                <c:pt idx="43">
                  <c:v>35.687995271768003</c:v>
                </c:pt>
                <c:pt idx="44">
                  <c:v>35.485805717684897</c:v>
                </c:pt>
                <c:pt idx="45">
                  <c:v>35.329955810677674</c:v>
                </c:pt>
                <c:pt idx="46">
                  <c:v>35.276060449745863</c:v>
                </c:pt>
                <c:pt idx="47">
                  <c:v>35.270763789136474</c:v>
                </c:pt>
                <c:pt idx="48">
                  <c:v>35.250470345883407</c:v>
                </c:pt>
                <c:pt idx="49">
                  <c:v>35.224884567429761</c:v>
                </c:pt>
                <c:pt idx="50">
                  <c:v>35.200015908062923</c:v>
                </c:pt>
                <c:pt idx="51">
                  <c:v>35.172025407412789</c:v>
                </c:pt>
                <c:pt idx="52">
                  <c:v>35.144940431431209</c:v>
                </c:pt>
                <c:pt idx="53">
                  <c:v>35.133544403596026</c:v>
                </c:pt>
                <c:pt idx="54">
                  <c:v>35.120186872183254</c:v>
                </c:pt>
                <c:pt idx="55">
                  <c:v>35.088479051973387</c:v>
                </c:pt>
                <c:pt idx="56">
                  <c:v>35.051671094101657</c:v>
                </c:pt>
                <c:pt idx="57">
                  <c:v>35.018972994910627</c:v>
                </c:pt>
                <c:pt idx="58">
                  <c:v>34.99497086531062</c:v>
                </c:pt>
                <c:pt idx="59">
                  <c:v>34.963588639769249</c:v>
                </c:pt>
                <c:pt idx="60">
                  <c:v>34.939702889162056</c:v>
                </c:pt>
              </c:numCache>
            </c:numRef>
          </c:yVal>
          <c:smooth val="0"/>
          <c:extLst>
            <c:ext xmlns:c16="http://schemas.microsoft.com/office/drawing/2014/chart" uri="{C3380CC4-5D6E-409C-BE32-E72D297353CC}">
              <c16:uniqueId val="{00000002-C1A5-40B3-BCB2-64171A82BB4B}"/>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5000000000000001E-2"/>
              <c:y val="0.22037229890313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a:t>LULUCF </a:t>
            </a:r>
          </a:p>
        </c:rich>
      </c:tx>
      <c:overlay val="1"/>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LULUCF reporting (October 2022).xlsx]LULUCF reporting AR4'!$A$7</c:f>
              <c:strCache>
                <c:ptCount val="1"/>
                <c:pt idx="0">
                  <c:v>Without measures</c:v>
                </c:pt>
              </c:strCache>
            </c:strRef>
          </c:tx>
          <c:spPr>
            <a:ln w="19050" cap="rnd">
              <a:solidFill>
                <a:srgbClr val="1B556B"/>
              </a:solidFill>
              <a:round/>
            </a:ln>
            <a:effectLst/>
          </c:spPr>
          <c:marker>
            <c:symbol val="none"/>
          </c:marker>
          <c:xVal>
            <c:numRef>
              <c:f>'[Graphs - LULUCF reporting (October 2022).xlsx]LULUCF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LULUCF reporting (October 2022).xlsx]LULUCF reporting AR4'!$B$7:$BJ$7</c:f>
              <c:numCache>
                <c:formatCode>#,##0.00</c:formatCode>
                <c:ptCount val="61"/>
                <c:pt idx="0">
                  <c:v>-21.229218466251229</c:v>
                </c:pt>
                <c:pt idx="1">
                  <c:v>-23.276626096730269</c:v>
                </c:pt>
                <c:pt idx="2">
                  <c:v>-23.04445629416659</c:v>
                </c:pt>
                <c:pt idx="3">
                  <c:v>-23.862378025365061</c:v>
                </c:pt>
                <c:pt idx="4">
                  <c:v>-23.668758888465117</c:v>
                </c:pt>
                <c:pt idx="5">
                  <c:v>-22.474817330078618</c:v>
                </c:pt>
                <c:pt idx="6">
                  <c:v>-22.034473700453301</c:v>
                </c:pt>
                <c:pt idx="7">
                  <c:v>-22.646755357863849</c:v>
                </c:pt>
                <c:pt idx="8">
                  <c:v>-23.235288314686898</c:v>
                </c:pt>
                <c:pt idx="9">
                  <c:v>-25.902979374231226</c:v>
                </c:pt>
                <c:pt idx="10">
                  <c:v>-26.648510143004074</c:v>
                </c:pt>
                <c:pt idx="11">
                  <c:v>-27.048315841049053</c:v>
                </c:pt>
                <c:pt idx="12">
                  <c:v>-25.495626919141824</c:v>
                </c:pt>
                <c:pt idx="13">
                  <c:v>-26.495922746290283</c:v>
                </c:pt>
                <c:pt idx="14">
                  <c:v>-28.000792579578793</c:v>
                </c:pt>
                <c:pt idx="15">
                  <c:v>-30.839552038106341</c:v>
                </c:pt>
                <c:pt idx="16">
                  <c:v>-29.233133128354478</c:v>
                </c:pt>
                <c:pt idx="17">
                  <c:v>-30.573140037726567</c:v>
                </c:pt>
                <c:pt idx="18">
                  <c:v>-28.240447165147422</c:v>
                </c:pt>
                <c:pt idx="19">
                  <c:v>-27.12819206066068</c:v>
                </c:pt>
                <c:pt idx="20">
                  <c:v>-28.206145638475942</c:v>
                </c:pt>
                <c:pt idx="21">
                  <c:v>-28.477968368806867</c:v>
                </c:pt>
                <c:pt idx="22">
                  <c:v>-25.610180720473757</c:v>
                </c:pt>
                <c:pt idx="23">
                  <c:v>-24.912774446686804</c:v>
                </c:pt>
                <c:pt idx="24">
                  <c:v>-25.098742792975585</c:v>
                </c:pt>
                <c:pt idx="25">
                  <c:v>-24.800906940637436</c:v>
                </c:pt>
                <c:pt idx="26">
                  <c:v>-22.523757650373859</c:v>
                </c:pt>
                <c:pt idx="27">
                  <c:v>-19.020959565306331</c:v>
                </c:pt>
                <c:pt idx="28">
                  <c:v>-18.738538297154523</c:v>
                </c:pt>
                <c:pt idx="29">
                  <c:v>-17.859386326943753</c:v>
                </c:pt>
                <c:pt idx="30">
                  <c:v>-17.043467379860331</c:v>
                </c:pt>
                <c:pt idx="31">
                  <c:v>-13.062142739013648</c:v>
                </c:pt>
                <c:pt idx="32">
                  <c:v>-10.534255204982328</c:v>
                </c:pt>
                <c:pt idx="33">
                  <c:v>-7.3796196627646244</c:v>
                </c:pt>
                <c:pt idx="34">
                  <c:v>-4.5836017733432435</c:v>
                </c:pt>
                <c:pt idx="35">
                  <c:v>-2.3708709063233275</c:v>
                </c:pt>
                <c:pt idx="36">
                  <c:v>-0.46829661475355344</c:v>
                </c:pt>
                <c:pt idx="37">
                  <c:v>0.4583072407079562</c:v>
                </c:pt>
                <c:pt idx="38">
                  <c:v>1.3284213815667965</c:v>
                </c:pt>
                <c:pt idx="39">
                  <c:v>1.7696774879079591</c:v>
                </c:pt>
                <c:pt idx="40">
                  <c:v>1.4822012906506306</c:v>
                </c:pt>
                <c:pt idx="41">
                  <c:v>0.74214540956141306</c:v>
                </c:pt>
                <c:pt idx="42">
                  <c:v>-0.20980659733434592</c:v>
                </c:pt>
                <c:pt idx="43">
                  <c:v>-1.4207562963744245</c:v>
                </c:pt>
                <c:pt idx="44">
                  <c:v>-3.1870338655793695</c:v>
                </c:pt>
                <c:pt idx="45">
                  <c:v>-4.8605943253738237</c:v>
                </c:pt>
                <c:pt idx="46">
                  <c:v>-6.7719168583846177</c:v>
                </c:pt>
                <c:pt idx="47">
                  <c:v>-9.1316574330280744</c:v>
                </c:pt>
                <c:pt idx="48">
                  <c:v>-10.284351859052542</c:v>
                </c:pt>
                <c:pt idx="49">
                  <c:v>-11.599685289531077</c:v>
                </c:pt>
                <c:pt idx="50">
                  <c:v>-12.886437829980263</c:v>
                </c:pt>
                <c:pt idx="51">
                  <c:v>-11.464660187960913</c:v>
                </c:pt>
                <c:pt idx="52">
                  <c:v>-10.993546647578878</c:v>
                </c:pt>
                <c:pt idx="53">
                  <c:v>-10.119446268306248</c:v>
                </c:pt>
                <c:pt idx="54">
                  <c:v>-9.8871296440858174</c:v>
                </c:pt>
                <c:pt idx="55">
                  <c:v>-7.7182212275034381</c:v>
                </c:pt>
                <c:pt idx="56">
                  <c:v>-8.5640750465492772</c:v>
                </c:pt>
                <c:pt idx="57">
                  <c:v>-15.672306168659237</c:v>
                </c:pt>
                <c:pt idx="58">
                  <c:v>-17.572521317740012</c:v>
                </c:pt>
                <c:pt idx="59">
                  <c:v>-15.074094184245901</c:v>
                </c:pt>
                <c:pt idx="60">
                  <c:v>-16.090862545675236</c:v>
                </c:pt>
              </c:numCache>
            </c:numRef>
          </c:yVal>
          <c:smooth val="0"/>
          <c:extLst>
            <c:ext xmlns:c16="http://schemas.microsoft.com/office/drawing/2014/chart" uri="{C3380CC4-5D6E-409C-BE32-E72D297353CC}">
              <c16:uniqueId val="{00000000-189D-4166-8FFB-11FB631830B0}"/>
            </c:ext>
          </c:extLst>
        </c:ser>
        <c:ser>
          <c:idx val="0"/>
          <c:order val="1"/>
          <c:tx>
            <c:strRef>
              <c:f>'[Graphs - LULUCF reporting (October 2022).xlsx]LULUCF reporting AR4'!$A$8</c:f>
              <c:strCache>
                <c:ptCount val="1"/>
                <c:pt idx="0">
                  <c:v>With additional measures</c:v>
                </c:pt>
              </c:strCache>
            </c:strRef>
          </c:tx>
          <c:spPr>
            <a:ln w="19050" cap="rnd">
              <a:solidFill>
                <a:srgbClr val="2C9986"/>
              </a:solidFill>
              <a:round/>
            </a:ln>
            <a:effectLst/>
          </c:spPr>
          <c:marker>
            <c:symbol val="none"/>
          </c:marker>
          <c:xVal>
            <c:numRef>
              <c:f>'[Graphs - LULUCF reporting (October 2022).xlsx]LULUCF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LULUCF reporting (October 2022).xlsx]LULUCF reporting AR4'!$B$8:$BJ$8</c:f>
              <c:numCache>
                <c:formatCode>#,##0.00</c:formatCode>
                <c:ptCount val="6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pt idx="31">
                  <c:v>-19.673284392195033</c:v>
                </c:pt>
                <c:pt idx="32">
                  <c:v>-16.92168302096394</c:v>
                </c:pt>
                <c:pt idx="33">
                  <c:v>-14.032743139667806</c:v>
                </c:pt>
                <c:pt idx="34">
                  <c:v>-10.930559138609819</c:v>
                </c:pt>
                <c:pt idx="35">
                  <c:v>-9.6377400809398122</c:v>
                </c:pt>
                <c:pt idx="36">
                  <c:v>-9.0731366963012015</c:v>
                </c:pt>
                <c:pt idx="37">
                  <c:v>-9.1314127576547666</c:v>
                </c:pt>
                <c:pt idx="38">
                  <c:v>-9.8913207512128967</c:v>
                </c:pt>
                <c:pt idx="39">
                  <c:v>-11.456336001803622</c:v>
                </c:pt>
                <c:pt idx="40">
                  <c:v>-13.42764269872908</c:v>
                </c:pt>
                <c:pt idx="41">
                  <c:v>-16.245879827405115</c:v>
                </c:pt>
                <c:pt idx="42">
                  <c:v>-18.942605253275254</c:v>
                </c:pt>
                <c:pt idx="43">
                  <c:v>-21.862613897957626</c:v>
                </c:pt>
                <c:pt idx="44">
                  <c:v>-25.026991734513246</c:v>
                </c:pt>
                <c:pt idx="45">
                  <c:v>-28.033027374156177</c:v>
                </c:pt>
                <c:pt idx="46">
                  <c:v>-30.84575986146038</c:v>
                </c:pt>
                <c:pt idx="47">
                  <c:v>-33.561794422382299</c:v>
                </c:pt>
                <c:pt idx="48">
                  <c:v>-35.068947288202367</c:v>
                </c:pt>
                <c:pt idx="49">
                  <c:v>-37.01533785349725</c:v>
                </c:pt>
                <c:pt idx="50">
                  <c:v>-38.716012200779502</c:v>
                </c:pt>
                <c:pt idx="51">
                  <c:v>-38.930951521192121</c:v>
                </c:pt>
                <c:pt idx="52">
                  <c:v>-40.008783988065105</c:v>
                </c:pt>
                <c:pt idx="53">
                  <c:v>-40.749280530053149</c:v>
                </c:pt>
                <c:pt idx="54">
                  <c:v>-42.63231872693175</c:v>
                </c:pt>
                <c:pt idx="55">
                  <c:v>-42.906285010500575</c:v>
                </c:pt>
                <c:pt idx="56">
                  <c:v>-44.871539339374912</c:v>
                </c:pt>
                <c:pt idx="57">
                  <c:v>-45.233711079805914</c:v>
                </c:pt>
                <c:pt idx="58">
                  <c:v>-48.127051460551435</c:v>
                </c:pt>
                <c:pt idx="59">
                  <c:v>-46.373184444297515</c:v>
                </c:pt>
                <c:pt idx="60">
                  <c:v>-44.499806439945743</c:v>
                </c:pt>
              </c:numCache>
            </c:numRef>
          </c:yVal>
          <c:smooth val="0"/>
          <c:extLst>
            <c:ext xmlns:c16="http://schemas.microsoft.com/office/drawing/2014/chart" uri="{C3380CC4-5D6E-409C-BE32-E72D297353CC}">
              <c16:uniqueId val="{00000001-189D-4166-8FFB-11FB631830B0}"/>
            </c:ext>
          </c:extLst>
        </c:ser>
        <c:ser>
          <c:idx val="1"/>
          <c:order val="2"/>
          <c:tx>
            <c:strRef>
              <c:f>'[Graphs - LULUCF reporting (October 2022).xlsx]LULUCF reporting AR4'!$A$6</c:f>
              <c:strCache>
                <c:ptCount val="1"/>
                <c:pt idx="0">
                  <c:v>With existing measures </c:v>
                </c:pt>
              </c:strCache>
            </c:strRef>
          </c:tx>
          <c:spPr>
            <a:ln w="19050" cap="rnd">
              <a:solidFill>
                <a:srgbClr val="A0A0A0"/>
              </a:solidFill>
              <a:round/>
            </a:ln>
            <a:effectLst/>
          </c:spPr>
          <c:marker>
            <c:symbol val="none"/>
          </c:marker>
          <c:xVal>
            <c:numRef>
              <c:f>'[Graphs - LULUCF reporting (October 2022).xlsx]LULUCF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LULUCF reporting (October 2022).xlsx]LULUCF reporting AR4'!$B$6:$BJ$6</c:f>
              <c:numCache>
                <c:formatCode>#,##0.00</c:formatCode>
                <c:ptCount val="6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pt idx="31">
                  <c:v>-19.673284392195033</c:v>
                </c:pt>
                <c:pt idx="32">
                  <c:v>-16.92168302096394</c:v>
                </c:pt>
                <c:pt idx="33">
                  <c:v>-14.052454512262646</c:v>
                </c:pt>
                <c:pt idx="34">
                  <c:v>-10.949902779689831</c:v>
                </c:pt>
                <c:pt idx="35">
                  <c:v>-9.5329671678866887</c:v>
                </c:pt>
                <c:pt idx="36">
                  <c:v>-8.7159881754096293</c:v>
                </c:pt>
                <c:pt idx="37">
                  <c:v>-8.5716823783904754</c:v>
                </c:pt>
                <c:pt idx="38">
                  <c:v>-9.1004574152315563</c:v>
                </c:pt>
                <c:pt idx="39">
                  <c:v>-10.372344070047996</c:v>
                </c:pt>
                <c:pt idx="40">
                  <c:v>-12.013711991429005</c:v>
                </c:pt>
                <c:pt idx="41">
                  <c:v>-14.451042290744184</c:v>
                </c:pt>
                <c:pt idx="42">
                  <c:v>-16.904061626057477</c:v>
                </c:pt>
                <c:pt idx="43">
                  <c:v>-19.679995378274089</c:v>
                </c:pt>
                <c:pt idx="44">
                  <c:v>-22.606618313075462</c:v>
                </c:pt>
                <c:pt idx="45">
                  <c:v>-25.476162834296069</c:v>
                </c:pt>
                <c:pt idx="46">
                  <c:v>-28.356521839811602</c:v>
                </c:pt>
                <c:pt idx="47">
                  <c:v>-31.205175567045085</c:v>
                </c:pt>
                <c:pt idx="48">
                  <c:v>-33.061548178475675</c:v>
                </c:pt>
                <c:pt idx="49">
                  <c:v>-34.266078232180703</c:v>
                </c:pt>
                <c:pt idx="50">
                  <c:v>-35.72429984232086</c:v>
                </c:pt>
                <c:pt idx="51">
                  <c:v>-35.778219249416161</c:v>
                </c:pt>
                <c:pt idx="52">
                  <c:v>-36.621204063558835</c:v>
                </c:pt>
                <c:pt idx="53">
                  <c:v>-37.114382683100402</c:v>
                </c:pt>
                <c:pt idx="54">
                  <c:v>-38.703847599044209</c:v>
                </c:pt>
                <c:pt idx="55">
                  <c:v>-38.646548009835911</c:v>
                </c:pt>
                <c:pt idx="56">
                  <c:v>-40.247264193382826</c:v>
                </c:pt>
                <c:pt idx="57">
                  <c:v>-40.400591381052763</c:v>
                </c:pt>
                <c:pt idx="58">
                  <c:v>-43.203015667392918</c:v>
                </c:pt>
                <c:pt idx="59">
                  <c:v>-41.280666175214812</c:v>
                </c:pt>
                <c:pt idx="60">
                  <c:v>-39.488796672319857</c:v>
                </c:pt>
              </c:numCache>
            </c:numRef>
          </c:yVal>
          <c:smooth val="0"/>
          <c:extLst>
            <c:ext xmlns:c16="http://schemas.microsoft.com/office/drawing/2014/chart" uri="{C3380CC4-5D6E-409C-BE32-E72D297353CC}">
              <c16:uniqueId val="{00000002-189D-4166-8FFB-11FB631830B0}"/>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7777777777777776E-2"/>
              <c:y val="0.231790208319108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a:t>Waste</a:t>
            </a:r>
          </a:p>
        </c:rich>
      </c:tx>
      <c:overlay val="1"/>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'Waste AR4'!$A$7</c:f>
              <c:strCache>
                <c:ptCount val="1"/>
                <c:pt idx="0">
                  <c:v>Without measures</c:v>
                </c:pt>
              </c:strCache>
            </c:strRef>
          </c:tx>
          <c:spPr>
            <a:ln w="19050" cap="rnd">
              <a:solidFill>
                <a:srgbClr val="1B556B"/>
              </a:solidFill>
              <a:round/>
            </a:ln>
            <a:effectLst/>
          </c:spPr>
          <c:marker>
            <c:symbol val="none"/>
          </c:marker>
          <c:xVal>
            <c:numRef>
              <c:f>'Waste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'Waste AR4'!$B$7:$BJ$7</c:f>
              <c:numCache>
                <c:formatCode>#,##0.00</c:formatCode>
                <c:ptCount val="61"/>
                <c:pt idx="0">
                  <c:v>3.9431148437609993</c:v>
                </c:pt>
                <c:pt idx="1">
                  <c:v>4.053490208714134</c:v>
                </c:pt>
                <c:pt idx="2">
                  <c:v>4.1554982918697778</c:v>
                </c:pt>
                <c:pt idx="3">
                  <c:v>4.2583736048143717</c:v>
                </c:pt>
                <c:pt idx="4">
                  <c:v>4.142483403093248</c:v>
                </c:pt>
                <c:pt idx="5">
                  <c:v>4.2345138945426006</c:v>
                </c:pt>
                <c:pt idx="6">
                  <c:v>4.322410556875302</c:v>
                </c:pt>
                <c:pt idx="7">
                  <c:v>4.3838816265317115</c:v>
                </c:pt>
                <c:pt idx="8">
                  <c:v>4.3823146435590266</c:v>
                </c:pt>
                <c:pt idx="9">
                  <c:v>4.4082468195561146</c:v>
                </c:pt>
                <c:pt idx="10">
                  <c:v>4.4345633502413193</c:v>
                </c:pt>
                <c:pt idx="11">
                  <c:v>4.4576683229025305</c:v>
                </c:pt>
                <c:pt idx="12">
                  <c:v>4.4689149716222909</c:v>
                </c:pt>
                <c:pt idx="13">
                  <c:v>4.3750104850215354</c:v>
                </c:pt>
                <c:pt idx="14">
                  <c:v>4.3889774342791545</c:v>
                </c:pt>
                <c:pt idx="15">
                  <c:v>4.3782979179897792</c:v>
                </c:pt>
                <c:pt idx="16">
                  <c:v>4.3587899263850769</c:v>
                </c:pt>
                <c:pt idx="17">
                  <c:v>4.3310101553585989</c:v>
                </c:pt>
                <c:pt idx="18">
                  <c:v>4.2680819818117506</c:v>
                </c:pt>
                <c:pt idx="19">
                  <c:v>4.3147744679792615</c:v>
                </c:pt>
                <c:pt idx="20">
                  <c:v>4.2982590202233553</c:v>
                </c:pt>
                <c:pt idx="21">
                  <c:v>4.2322365539428235</c:v>
                </c:pt>
                <c:pt idx="22">
                  <c:v>4.2056253372939052</c:v>
                </c:pt>
                <c:pt idx="23">
                  <c:v>4.1713187643219483</c:v>
                </c:pt>
                <c:pt idx="24">
                  <c:v>4.1321725049383264</c:v>
                </c:pt>
                <c:pt idx="25">
                  <c:v>4.0906256779750212</c:v>
                </c:pt>
                <c:pt idx="26">
                  <c:v>4.0752315660283607</c:v>
                </c:pt>
                <c:pt idx="27">
                  <c:v>4.037184209112322</c:v>
                </c:pt>
                <c:pt idx="28">
                  <c:v>4.0113270973639121</c:v>
                </c:pt>
                <c:pt idx="29">
                  <c:v>3.9325855352514538</c:v>
                </c:pt>
                <c:pt idx="30">
                  <c:v>3.8464293710249446</c:v>
                </c:pt>
                <c:pt idx="31">
                  <c:v>3.8235242350293532</c:v>
                </c:pt>
                <c:pt idx="32">
                  <c:v>3.8057501709230048</c:v>
                </c:pt>
                <c:pt idx="33">
                  <c:v>3.8007730740627754</c:v>
                </c:pt>
                <c:pt idx="34">
                  <c:v>3.7925412725378878</c:v>
                </c:pt>
                <c:pt idx="35">
                  <c:v>3.7773550231054864</c:v>
                </c:pt>
                <c:pt idx="36">
                  <c:v>3.7659129845616657</c:v>
                </c:pt>
                <c:pt idx="37">
                  <c:v>3.7536334593362861</c:v>
                </c:pt>
                <c:pt idx="38">
                  <c:v>3.7381951346499029</c:v>
                </c:pt>
                <c:pt idx="39">
                  <c:v>3.7209660865418561</c:v>
                </c:pt>
                <c:pt idx="40">
                  <c:v>3.7073080777641865</c:v>
                </c:pt>
                <c:pt idx="41">
                  <c:v>3.6922221775788322</c:v>
                </c:pt>
                <c:pt idx="42">
                  <c:v>3.6820458519062966</c:v>
                </c:pt>
                <c:pt idx="43">
                  <c:v>3.6732926022858705</c:v>
                </c:pt>
                <c:pt idx="44">
                  <c:v>3.667063228754829</c:v>
                </c:pt>
                <c:pt idx="45">
                  <c:v>3.6600290096534276</c:v>
                </c:pt>
                <c:pt idx="46">
                  <c:v>3.6550035370770506</c:v>
                </c:pt>
                <c:pt idx="47">
                  <c:v>3.6512320326005856</c:v>
                </c:pt>
                <c:pt idx="48">
                  <c:v>3.6481617475026882</c:v>
                </c:pt>
                <c:pt idx="49">
                  <c:v>3.6478648697832861</c:v>
                </c:pt>
                <c:pt idx="50">
                  <c:v>3.6485469826661276</c:v>
                </c:pt>
                <c:pt idx="51">
                  <c:v>3.6499505987737622</c:v>
                </c:pt>
                <c:pt idx="52">
                  <c:v>3.6516644575894155</c:v>
                </c:pt>
                <c:pt idx="53">
                  <c:v>3.6536011071537908</c:v>
                </c:pt>
                <c:pt idx="54">
                  <c:v>3.6576190880634418</c:v>
                </c:pt>
                <c:pt idx="55">
                  <c:v>3.6599228253099674</c:v>
                </c:pt>
                <c:pt idx="56">
                  <c:v>3.6654446339477209</c:v>
                </c:pt>
                <c:pt idx="57">
                  <c:v>3.6719921636421944</c:v>
                </c:pt>
                <c:pt idx="58">
                  <c:v>3.6794038724949196</c:v>
                </c:pt>
                <c:pt idx="59">
                  <c:v>3.6872364383401761</c:v>
                </c:pt>
                <c:pt idx="60">
                  <c:v>3.695412027224092</c:v>
                </c:pt>
              </c:numCache>
            </c:numRef>
          </c:yVal>
          <c:smooth val="0"/>
          <c:extLst>
            <c:ext xmlns:c16="http://schemas.microsoft.com/office/drawing/2014/chart" uri="{C3380CC4-5D6E-409C-BE32-E72D297353CC}">
              <c16:uniqueId val="{00000000-3F2C-49C2-9905-5FE69309C71F}"/>
            </c:ext>
          </c:extLst>
        </c:ser>
        <c:ser>
          <c:idx val="0"/>
          <c:order val="1"/>
          <c:tx>
            <c:strRef>
              <c:f>'Waste AR4'!$A$8</c:f>
              <c:strCache>
                <c:ptCount val="1"/>
                <c:pt idx="0">
                  <c:v>With additional measures</c:v>
                </c:pt>
              </c:strCache>
            </c:strRef>
          </c:tx>
          <c:spPr>
            <a:ln w="19050" cap="rnd">
              <a:solidFill>
                <a:srgbClr val="2C9986"/>
              </a:solidFill>
              <a:round/>
            </a:ln>
            <a:effectLst/>
          </c:spPr>
          <c:marker>
            <c:symbol val="none"/>
          </c:marker>
          <c:xVal>
            <c:numRef>
              <c:f>'Waste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'Waste AR4'!$B$8:$BJ$8</c:f>
              <c:numCache>
                <c:formatCode>#,##0.00</c:formatCode>
                <c:ptCount val="61"/>
                <c:pt idx="0">
                  <c:v>3.9431148437610002</c:v>
                </c:pt>
                <c:pt idx="1">
                  <c:v>4.0534902087141358</c:v>
                </c:pt>
                <c:pt idx="2">
                  <c:v>4.1554982918697823</c:v>
                </c:pt>
                <c:pt idx="3">
                  <c:v>4.2583736048143734</c:v>
                </c:pt>
                <c:pt idx="4">
                  <c:v>4.142483403093248</c:v>
                </c:pt>
                <c:pt idx="5">
                  <c:v>4.2345138945425989</c:v>
                </c:pt>
                <c:pt idx="6">
                  <c:v>4.3224105568753037</c:v>
                </c:pt>
                <c:pt idx="7">
                  <c:v>4.3838816265317098</c:v>
                </c:pt>
                <c:pt idx="8">
                  <c:v>4.3823146435590292</c:v>
                </c:pt>
                <c:pt idx="9">
                  <c:v>4.4082468195561182</c:v>
                </c:pt>
                <c:pt idx="10">
                  <c:v>4.434563350241322</c:v>
                </c:pt>
                <c:pt idx="11">
                  <c:v>4.4576683229025287</c:v>
                </c:pt>
                <c:pt idx="12">
                  <c:v>4.4689149716222945</c:v>
                </c:pt>
                <c:pt idx="13">
                  <c:v>4.3750104850215381</c:v>
                </c:pt>
                <c:pt idx="14">
                  <c:v>4.3889774342791545</c:v>
                </c:pt>
                <c:pt idx="15">
                  <c:v>4.3782979179897792</c:v>
                </c:pt>
                <c:pt idx="16">
                  <c:v>4.1817615086289521</c:v>
                </c:pt>
                <c:pt idx="17">
                  <c:v>4.1439617197080096</c:v>
                </c:pt>
                <c:pt idx="18">
                  <c:v>4.0594482204096254</c:v>
                </c:pt>
                <c:pt idx="19">
                  <c:v>3.9276535894400473</c:v>
                </c:pt>
                <c:pt idx="20">
                  <c:v>3.8716705327271712</c:v>
                </c:pt>
                <c:pt idx="21">
                  <c:v>3.7246524301970592</c:v>
                </c:pt>
                <c:pt idx="22">
                  <c:v>3.6186264952923923</c:v>
                </c:pt>
                <c:pt idx="23">
                  <c:v>3.5696605244596871</c:v>
                </c:pt>
                <c:pt idx="24">
                  <c:v>3.5258769759207129</c:v>
                </c:pt>
                <c:pt idx="25">
                  <c:v>3.4878272949084952</c:v>
                </c:pt>
                <c:pt idx="26">
                  <c:v>3.460678767352797</c:v>
                </c:pt>
                <c:pt idx="27">
                  <c:v>3.4222815565735121</c:v>
                </c:pt>
                <c:pt idx="28">
                  <c:v>3.3583579591975865</c:v>
                </c:pt>
                <c:pt idx="29">
                  <c:v>3.312699815013239</c:v>
                </c:pt>
                <c:pt idx="30">
                  <c:v>3.2688701197571044</c:v>
                </c:pt>
                <c:pt idx="31">
                  <c:v>3.2401429266574073</c:v>
                </c:pt>
                <c:pt idx="32">
                  <c:v>3.2161881047217271</c:v>
                </c:pt>
                <c:pt idx="33">
                  <c:v>3.1975797106958552</c:v>
                </c:pt>
                <c:pt idx="34">
                  <c:v>3.1731091442226571</c:v>
                </c:pt>
                <c:pt idx="35">
                  <c:v>3.137782775682326</c:v>
                </c:pt>
                <c:pt idx="36">
                  <c:v>3.0406271075888172</c:v>
                </c:pt>
                <c:pt idx="37">
                  <c:v>2.95611740319573</c:v>
                </c:pt>
                <c:pt idx="38">
                  <c:v>2.879751176820613</c:v>
                </c:pt>
                <c:pt idx="39">
                  <c:v>2.8618128501394855</c:v>
                </c:pt>
                <c:pt idx="40">
                  <c:v>2.8403525377531507</c:v>
                </c:pt>
                <c:pt idx="41">
                  <c:v>2.7774140943407812</c:v>
                </c:pt>
                <c:pt idx="42">
                  <c:v>2.7363024613297093</c:v>
                </c:pt>
                <c:pt idx="43">
                  <c:v>2.7060863494443343</c:v>
                </c:pt>
                <c:pt idx="44">
                  <c:v>2.6816161890462458</c:v>
                </c:pt>
                <c:pt idx="45">
                  <c:v>2.6610912770014865</c:v>
                </c:pt>
                <c:pt idx="46">
                  <c:v>2.6431379536825044</c:v>
                </c:pt>
                <c:pt idx="47">
                  <c:v>2.6271941126343181</c:v>
                </c:pt>
                <c:pt idx="48">
                  <c:v>2.6127776713887596</c:v>
                </c:pt>
                <c:pt idx="49">
                  <c:v>2.5995523275919332</c:v>
                </c:pt>
                <c:pt idx="50">
                  <c:v>2.5877472645642428</c:v>
                </c:pt>
                <c:pt idx="51">
                  <c:v>2.5771050175357257</c:v>
                </c:pt>
                <c:pt idx="52">
                  <c:v>2.5674623237817409</c:v>
                </c:pt>
                <c:pt idx="53">
                  <c:v>2.5587777585241005</c:v>
                </c:pt>
                <c:pt idx="54">
                  <c:v>2.5507608354627509</c:v>
                </c:pt>
                <c:pt idx="55">
                  <c:v>2.5435182001615466</c:v>
                </c:pt>
                <c:pt idx="56">
                  <c:v>2.5370149328964064</c:v>
                </c:pt>
                <c:pt idx="57">
                  <c:v>2.5311319733352247</c:v>
                </c:pt>
                <c:pt idx="58">
                  <c:v>2.5258635684921162</c:v>
                </c:pt>
                <c:pt idx="59">
                  <c:v>2.5209012466000034</c:v>
                </c:pt>
                <c:pt idx="60">
                  <c:v>2.5165558925654636</c:v>
                </c:pt>
              </c:numCache>
            </c:numRef>
          </c:yVal>
          <c:smooth val="0"/>
          <c:extLst>
            <c:ext xmlns:c16="http://schemas.microsoft.com/office/drawing/2014/chart" uri="{C3380CC4-5D6E-409C-BE32-E72D297353CC}">
              <c16:uniqueId val="{00000001-3F2C-49C2-9905-5FE69309C71F}"/>
            </c:ext>
          </c:extLst>
        </c:ser>
        <c:ser>
          <c:idx val="1"/>
          <c:order val="2"/>
          <c:tx>
            <c:strRef>
              <c:f>'Waste AR4'!$A$6</c:f>
              <c:strCache>
                <c:ptCount val="1"/>
                <c:pt idx="0">
                  <c:v>With existing measures</c:v>
                </c:pt>
              </c:strCache>
            </c:strRef>
          </c:tx>
          <c:spPr>
            <a:ln w="19050" cap="rnd">
              <a:solidFill>
                <a:srgbClr val="A0A0A0"/>
              </a:solidFill>
              <a:round/>
            </a:ln>
            <a:effectLst/>
          </c:spPr>
          <c:marker>
            <c:symbol val="none"/>
          </c:marker>
          <c:xVal>
            <c:numRef>
              <c:f>'Waste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'Waste AR4'!$B$6:$BJ$6</c:f>
              <c:numCache>
                <c:formatCode>#,##0.00</c:formatCode>
                <c:ptCount val="61"/>
                <c:pt idx="0">
                  <c:v>3.9431148437610002</c:v>
                </c:pt>
                <c:pt idx="1">
                  <c:v>4.0534902087141358</c:v>
                </c:pt>
                <c:pt idx="2">
                  <c:v>4.1554982918697823</c:v>
                </c:pt>
                <c:pt idx="3">
                  <c:v>4.2583736048143734</c:v>
                </c:pt>
                <c:pt idx="4">
                  <c:v>4.142483403093248</c:v>
                </c:pt>
                <c:pt idx="5">
                  <c:v>4.2345138945425989</c:v>
                </c:pt>
                <c:pt idx="6">
                  <c:v>4.3224105568753037</c:v>
                </c:pt>
                <c:pt idx="7">
                  <c:v>4.3838816265317098</c:v>
                </c:pt>
                <c:pt idx="8">
                  <c:v>4.3823146435590292</c:v>
                </c:pt>
                <c:pt idx="9">
                  <c:v>4.4082468195561182</c:v>
                </c:pt>
                <c:pt idx="10">
                  <c:v>4.434563350241322</c:v>
                </c:pt>
                <c:pt idx="11">
                  <c:v>4.4576683229025287</c:v>
                </c:pt>
                <c:pt idx="12">
                  <c:v>4.4689149716222945</c:v>
                </c:pt>
                <c:pt idx="13">
                  <c:v>4.3750104850215381</c:v>
                </c:pt>
                <c:pt idx="14">
                  <c:v>4.3889774342791545</c:v>
                </c:pt>
                <c:pt idx="15">
                  <c:v>4.3782979179897792</c:v>
                </c:pt>
                <c:pt idx="16">
                  <c:v>4.1817615086289521</c:v>
                </c:pt>
                <c:pt idx="17">
                  <c:v>4.1439617197080096</c:v>
                </c:pt>
                <c:pt idx="18">
                  <c:v>4.0594482204096254</c:v>
                </c:pt>
                <c:pt idx="19">
                  <c:v>3.9276535894400473</c:v>
                </c:pt>
                <c:pt idx="20">
                  <c:v>3.8716705327271712</c:v>
                </c:pt>
                <c:pt idx="21">
                  <c:v>3.7246524301970592</c:v>
                </c:pt>
                <c:pt idx="22">
                  <c:v>3.6186264952923923</c:v>
                </c:pt>
                <c:pt idx="23">
                  <c:v>3.5696605244596871</c:v>
                </c:pt>
                <c:pt idx="24">
                  <c:v>3.5258769759207129</c:v>
                </c:pt>
                <c:pt idx="25">
                  <c:v>3.4878272949084952</c:v>
                </c:pt>
                <c:pt idx="26">
                  <c:v>3.460678767352797</c:v>
                </c:pt>
                <c:pt idx="27">
                  <c:v>3.4222815565735121</c:v>
                </c:pt>
                <c:pt idx="28">
                  <c:v>3.3583579591975865</c:v>
                </c:pt>
                <c:pt idx="29">
                  <c:v>3.312699815013239</c:v>
                </c:pt>
                <c:pt idx="30">
                  <c:v>3.2688701197571044</c:v>
                </c:pt>
                <c:pt idx="31">
                  <c:v>3.2401429266616453</c:v>
                </c:pt>
                <c:pt idx="32">
                  <c:v>3.2161924703638505</c:v>
                </c:pt>
                <c:pt idx="33">
                  <c:v>3.1975961994752717</c:v>
                </c:pt>
                <c:pt idx="34">
                  <c:v>3.1731666193143324</c:v>
                </c:pt>
                <c:pt idx="35">
                  <c:v>3.1379027931632129</c:v>
                </c:pt>
                <c:pt idx="36">
                  <c:v>3.1047205210215196</c:v>
                </c:pt>
                <c:pt idx="37">
                  <c:v>3.0734861936768403</c:v>
                </c:pt>
                <c:pt idx="38">
                  <c:v>3.0417995813290437</c:v>
                </c:pt>
                <c:pt idx="39">
                  <c:v>3.0105571512953686</c:v>
                </c:pt>
                <c:pt idx="40">
                  <c:v>2.9824899327651928</c:v>
                </c:pt>
                <c:pt idx="41">
                  <c:v>2.9555455181769612</c:v>
                </c:pt>
                <c:pt idx="42">
                  <c:v>2.9345533282878749</c:v>
                </c:pt>
                <c:pt idx="43">
                  <c:v>2.9161121298926904</c:v>
                </c:pt>
                <c:pt idx="44">
                  <c:v>2.8992494393202142</c:v>
                </c:pt>
                <c:pt idx="45">
                  <c:v>2.8843250006317351</c:v>
                </c:pt>
                <c:pt idx="46">
                  <c:v>2.8704590597780273</c:v>
                </c:pt>
                <c:pt idx="47">
                  <c:v>2.8576959024243469</c:v>
                </c:pt>
                <c:pt idx="48">
                  <c:v>2.8458870205729188</c:v>
                </c:pt>
                <c:pt idx="49">
                  <c:v>2.8348687562354917</c:v>
                </c:pt>
                <c:pt idx="50">
                  <c:v>2.8249445965470485</c:v>
                </c:pt>
                <c:pt idx="51">
                  <c:v>2.8162315135230815</c:v>
                </c:pt>
                <c:pt idx="52">
                  <c:v>2.8084713472458351</c:v>
                </c:pt>
                <c:pt idx="53">
                  <c:v>2.8016351158421924</c:v>
                </c:pt>
                <c:pt idx="54">
                  <c:v>2.7954322796599516</c:v>
                </c:pt>
                <c:pt idx="55">
                  <c:v>2.7900174741534607</c:v>
                </c:pt>
                <c:pt idx="56">
                  <c:v>2.785334664128952</c:v>
                </c:pt>
                <c:pt idx="57">
                  <c:v>2.7811266143242532</c:v>
                </c:pt>
                <c:pt idx="58">
                  <c:v>2.7774755461193119</c:v>
                </c:pt>
                <c:pt idx="59">
                  <c:v>2.7741226021022167</c:v>
                </c:pt>
                <c:pt idx="60">
                  <c:v>2.7713319559228853</c:v>
                </c:pt>
              </c:numCache>
            </c:numRef>
          </c:yVal>
          <c:smooth val="0"/>
          <c:extLst>
            <c:ext xmlns:c16="http://schemas.microsoft.com/office/drawing/2014/chart" uri="{C3380CC4-5D6E-409C-BE32-E72D297353CC}">
              <c16:uniqueId val="{00000002-3F2C-49C2-9905-5FE69309C71F}"/>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ax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7777777777777776E-2"/>
              <c:y val="0.20320275175352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100"/>
              <a:t>Tokelau</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1"/>
          <c:order val="2"/>
          <c:tx>
            <c:strRef>
              <c:f>'[Chart in Microsoft Word]Tokelau AR4'!$A$6</c:f>
              <c:strCache>
                <c:ptCount val="1"/>
                <c:pt idx="0">
                  <c:v>With existing measures </c:v>
                </c:pt>
              </c:strCache>
            </c:strRef>
          </c:tx>
          <c:spPr>
            <a:ln w="19050" cap="rnd">
              <a:solidFill>
                <a:srgbClr val="A0A0A0"/>
              </a:solidFill>
              <a:round/>
            </a:ln>
            <a:effectLst/>
          </c:spPr>
          <c:marker>
            <c:symbol val="none"/>
          </c:marker>
          <c:xVal>
            <c:numRef>
              <c:f>'[Chart in Microsoft Word]Tokelau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'[Chart in Microsoft Word]Tokelau AR4'!$B$6:$BJ$6</c:f>
              <c:numCache>
                <c:formatCode>#,##0.00</c:formatCode>
                <c:ptCount val="61"/>
                <c:pt idx="0">
                  <c:v>3.1677545631145802E-3</c:v>
                </c:pt>
                <c:pt idx="1">
                  <c:v>3.2795404104723901E-3</c:v>
                </c:pt>
                <c:pt idx="2">
                  <c:v>3.2422000609002898E-3</c:v>
                </c:pt>
                <c:pt idx="3">
                  <c:v>3.2051520732639099E-3</c:v>
                </c:pt>
                <c:pt idx="4">
                  <c:v>3.1719204343993203E-3</c:v>
                </c:pt>
                <c:pt idx="5">
                  <c:v>3.1403400907512205E-3</c:v>
                </c:pt>
                <c:pt idx="6">
                  <c:v>3.1108150138538597E-3</c:v>
                </c:pt>
                <c:pt idx="7">
                  <c:v>3.2065859118437798E-3</c:v>
                </c:pt>
                <c:pt idx="8">
                  <c:v>3.3021722417532506E-3</c:v>
                </c:pt>
                <c:pt idx="9">
                  <c:v>3.3975993280416401E-3</c:v>
                </c:pt>
                <c:pt idx="10">
                  <c:v>3.4923024576276498E-3</c:v>
                </c:pt>
                <c:pt idx="11">
                  <c:v>3.5893296943967598E-3</c:v>
                </c:pt>
                <c:pt idx="12">
                  <c:v>3.5907792121803103E-3</c:v>
                </c:pt>
                <c:pt idx="13">
                  <c:v>3.5881895640248896E-3</c:v>
                </c:pt>
                <c:pt idx="14">
                  <c:v>4.0382458960680993E-3</c:v>
                </c:pt>
                <c:pt idx="15">
                  <c:v>4.4871763867560697E-3</c:v>
                </c:pt>
                <c:pt idx="16">
                  <c:v>4.4729146130783898E-3</c:v>
                </c:pt>
                <c:pt idx="17">
                  <c:v>4.4829808128773402E-3</c:v>
                </c:pt>
                <c:pt idx="18">
                  <c:v>4.49666992503122E-3</c:v>
                </c:pt>
                <c:pt idx="19">
                  <c:v>4.5096928619252699E-3</c:v>
                </c:pt>
                <c:pt idx="20">
                  <c:v>4.5241778819436205E-3</c:v>
                </c:pt>
                <c:pt idx="21">
                  <c:v>4.5408084074535192E-3</c:v>
                </c:pt>
                <c:pt idx="22">
                  <c:v>4.2679932825015095E-3</c:v>
                </c:pt>
                <c:pt idx="23">
                  <c:v>3.5191078222249293E-3</c:v>
                </c:pt>
                <c:pt idx="24">
                  <c:v>3.4834252500748303E-3</c:v>
                </c:pt>
                <c:pt idx="25">
                  <c:v>3.4234365658441699E-3</c:v>
                </c:pt>
                <c:pt idx="26">
                  <c:v>3.4471920609272901E-3</c:v>
                </c:pt>
                <c:pt idx="27">
                  <c:v>3.53256616437933E-3</c:v>
                </c:pt>
                <c:pt idx="28">
                  <c:v>3.6361615606897296E-3</c:v>
                </c:pt>
                <c:pt idx="29">
                  <c:v>4.3001327115023804E-3</c:v>
                </c:pt>
                <c:pt idx="30">
                  <c:v>4.1787870702019005E-3</c:v>
                </c:pt>
                <c:pt idx="31">
                  <c:v>3.5272020567145182E-3</c:v>
                </c:pt>
                <c:pt idx="32">
                  <c:v>3.5343407886073291E-3</c:v>
                </c:pt>
                <c:pt idx="33">
                  <c:v>3.5414909667268075E-3</c:v>
                </c:pt>
                <c:pt idx="34">
                  <c:v>3.5486527055352199E-3</c:v>
                </c:pt>
                <c:pt idx="35">
                  <c:v>3.5558261206394557E-3</c:v>
                </c:pt>
                <c:pt idx="36">
                  <c:v>3.546500157525832E-3</c:v>
                </c:pt>
                <c:pt idx="37">
                  <c:v>3.537186105401578E-3</c:v>
                </c:pt>
                <c:pt idx="38">
                  <c:v>3.5278840833765875E-3</c:v>
                </c:pt>
                <c:pt idx="39">
                  <c:v>3.5185942117518525E-3</c:v>
                </c:pt>
                <c:pt idx="40">
                  <c:v>3.509316612031375E-3</c:v>
                </c:pt>
                <c:pt idx="41">
                  <c:v>3.5000514069341991E-3</c:v>
                </c:pt>
                <c:pt idx="42">
                  <c:v>3.4907987204065576E-3</c:v>
                </c:pt>
                <c:pt idx="43">
                  <c:v>3.4815586776341442E-3</c:v>
                </c:pt>
                <c:pt idx="44">
                  <c:v>3.4723314050545133E-3</c:v>
                </c:pt>
                <c:pt idx="45">
                  <c:v>3.4631170303695909E-3</c:v>
                </c:pt>
                <c:pt idx="46">
                  <c:v>3.4539156825583251E-3</c:v>
                </c:pt>
                <c:pt idx="47">
                  <c:v>3.4447274918894522E-3</c:v>
                </c:pt>
                <c:pt idx="48">
                  <c:v>3.4355525899343975E-3</c:v>
                </c:pt>
                <c:pt idx="49">
                  <c:v>3.4263911095802962E-3</c:v>
                </c:pt>
                <c:pt idx="50">
                  <c:v>3.4172431850431604E-3</c:v>
                </c:pt>
                <c:pt idx="51">
                  <c:v>3.4081089518811581E-3</c:v>
                </c:pt>
                <c:pt idx="52">
                  <c:v>3.3989885470080421E-3</c:v>
                </c:pt>
                <c:pt idx="53">
                  <c:v>3.3898821087067011E-3</c:v>
                </c:pt>
                <c:pt idx="54">
                  <c:v>3.3807897766428515E-3</c:v>
                </c:pt>
                <c:pt idx="55">
                  <c:v>3.3717116918788692E-3</c:v>
                </c:pt>
                <c:pt idx="56">
                  <c:v>3.3626548302210855E-3</c:v>
                </c:pt>
                <c:pt idx="57">
                  <c:v>3.3536226540196116E-3</c:v>
                </c:pt>
                <c:pt idx="58">
                  <c:v>3.351015871111153E-3</c:v>
                </c:pt>
                <c:pt idx="59">
                  <c:v>3.3696768901905426E-3</c:v>
                </c:pt>
                <c:pt idx="60">
                  <c:v>3.38835288332528E-3</c:v>
                </c:pt>
              </c:numCache>
            </c:numRef>
          </c:yVal>
          <c:smooth val="0"/>
          <c:extLst>
            <c:ext xmlns:c16="http://schemas.microsoft.com/office/drawing/2014/chart" uri="{C3380CC4-5D6E-409C-BE32-E72D297353CC}">
              <c16:uniqueId val="{00000000-ECEC-4429-9728-7123C5B07DD1}"/>
            </c:ext>
          </c:extLst>
        </c:ser>
        <c:dLbls>
          <c:showLegendKey val="0"/>
          <c:showVal val="0"/>
          <c:showCatName val="0"/>
          <c:showSerName val="0"/>
          <c:showPercent val="0"/>
          <c:showBubbleSize val="0"/>
        </c:dLbls>
        <c:axId val="456858200"/>
        <c:axId val="456854920"/>
        <c:extLst>
          <c:ext xmlns:c15="http://schemas.microsoft.com/office/drawing/2012/chart" uri="{02D57815-91ED-43cb-92C2-25804820EDAC}">
            <c15:filteredScatterSeries>
              <c15:ser>
                <c:idx val="2"/>
                <c:order val="0"/>
                <c:tx>
                  <c:strRef>
                    <c:extLst>
                      <c:ext uri="{02D57815-91ED-43cb-92C2-25804820EDAC}">
                        <c15:formulaRef>
                          <c15:sqref>'[Chart in Microsoft Word]Tokelau AR4'!$A$7</c15:sqref>
                        </c15:formulaRef>
                      </c:ext>
                    </c:extLst>
                    <c:strCache>
                      <c:ptCount val="1"/>
                      <c:pt idx="0">
                        <c:v>Without measures</c:v>
                      </c:pt>
                    </c:strCache>
                  </c:strRef>
                </c:tx>
                <c:spPr>
                  <a:ln w="19050" cap="rnd">
                    <a:solidFill>
                      <a:srgbClr val="1B556B"/>
                    </a:solidFill>
                    <a:round/>
                  </a:ln>
                  <a:effectLst/>
                </c:spPr>
                <c:marker>
                  <c:symbol val="none"/>
                </c:marker>
                <c:xVal>
                  <c:numRef>
                    <c:extLst>
                      <c:ext uri="{02D57815-91ED-43cb-92C2-25804820EDAC}">
                        <c15:formulaRef>
                          <c15:sqref>'[Chart in Microsoft Word]Tokelau AR4'!$B$5:$BJ$5</c15:sqref>
                        </c15:formulaRef>
                      </c:ext>
                    </c:extLst>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extLst>
                      <c:ext uri="{02D57815-91ED-43cb-92C2-25804820EDAC}">
                        <c15:formulaRef>
                          <c15:sqref>'[Chart in Microsoft Word]Tokelau AR4'!$B$7:$BJ$7</c15:sqref>
                        </c15:formulaRef>
                      </c:ext>
                    </c:extLst>
                    <c:numCache>
                      <c:formatCode>#,##0.00</c:formatCode>
                      <c:ptCount val="61"/>
                      <c:pt idx="0">
                        <c:v>3.1677545631145802E-3</c:v>
                      </c:pt>
                      <c:pt idx="1">
                        <c:v>3.2795404104723901E-3</c:v>
                      </c:pt>
                      <c:pt idx="2">
                        <c:v>3.2422000609002898E-3</c:v>
                      </c:pt>
                      <c:pt idx="3">
                        <c:v>3.2051520732639099E-3</c:v>
                      </c:pt>
                      <c:pt idx="4">
                        <c:v>3.1719204343993203E-3</c:v>
                      </c:pt>
                      <c:pt idx="5">
                        <c:v>3.1403400907512205E-3</c:v>
                      </c:pt>
                      <c:pt idx="6">
                        <c:v>3.1108150138538597E-3</c:v>
                      </c:pt>
                      <c:pt idx="7">
                        <c:v>3.2065859118437798E-3</c:v>
                      </c:pt>
                      <c:pt idx="8">
                        <c:v>3.3021722417532506E-3</c:v>
                      </c:pt>
                      <c:pt idx="9">
                        <c:v>3.3975993280416401E-3</c:v>
                      </c:pt>
                      <c:pt idx="10">
                        <c:v>3.4923024576276498E-3</c:v>
                      </c:pt>
                      <c:pt idx="11">
                        <c:v>3.5893296943967598E-3</c:v>
                      </c:pt>
                      <c:pt idx="12">
                        <c:v>3.5907792121803103E-3</c:v>
                      </c:pt>
                      <c:pt idx="13">
                        <c:v>3.5881895640248896E-3</c:v>
                      </c:pt>
                      <c:pt idx="14">
                        <c:v>4.0382458960680993E-3</c:v>
                      </c:pt>
                      <c:pt idx="15">
                        <c:v>4.4871763867560697E-3</c:v>
                      </c:pt>
                      <c:pt idx="16">
                        <c:v>4.4729146130783898E-3</c:v>
                      </c:pt>
                      <c:pt idx="17">
                        <c:v>4.4829808128773402E-3</c:v>
                      </c:pt>
                      <c:pt idx="18">
                        <c:v>4.49666992503122E-3</c:v>
                      </c:pt>
                      <c:pt idx="19">
                        <c:v>4.5096928619252699E-3</c:v>
                      </c:pt>
                      <c:pt idx="20">
                        <c:v>4.5241778819436205E-3</c:v>
                      </c:pt>
                      <c:pt idx="21">
                        <c:v>4.5408084074535192E-3</c:v>
                      </c:pt>
                      <c:pt idx="22">
                        <c:v>4.2679932825015095E-3</c:v>
                      </c:pt>
                      <c:pt idx="23">
                        <c:v>3.5191078222249293E-3</c:v>
                      </c:pt>
                      <c:pt idx="24">
                        <c:v>3.4834252500748303E-3</c:v>
                      </c:pt>
                      <c:pt idx="25">
                        <c:v>3.4234365658441699E-3</c:v>
                      </c:pt>
                      <c:pt idx="26">
                        <c:v>3.4471920609272901E-3</c:v>
                      </c:pt>
                      <c:pt idx="27">
                        <c:v>3.53256616437933E-3</c:v>
                      </c:pt>
                      <c:pt idx="28">
                        <c:v>3.6361615606897296E-3</c:v>
                      </c:pt>
                      <c:pt idx="29">
                        <c:v>4.3001327115023804E-3</c:v>
                      </c:pt>
                      <c:pt idx="30">
                        <c:v>4.1787870702019005E-3</c:v>
                      </c:pt>
                      <c:pt idx="31">
                        <c:v>3.5272020567145182E-3</c:v>
                      </c:pt>
                      <c:pt idx="32">
                        <c:v>3.5343407886073291E-3</c:v>
                      </c:pt>
                      <c:pt idx="33">
                        <c:v>3.5414909667268075E-3</c:v>
                      </c:pt>
                      <c:pt idx="34">
                        <c:v>3.5486527055352199E-3</c:v>
                      </c:pt>
                      <c:pt idx="35">
                        <c:v>3.5558261206394557E-3</c:v>
                      </c:pt>
                      <c:pt idx="36">
                        <c:v>3.546500157525832E-3</c:v>
                      </c:pt>
                      <c:pt idx="37">
                        <c:v>3.537186105401578E-3</c:v>
                      </c:pt>
                      <c:pt idx="38">
                        <c:v>3.5278840833765875E-3</c:v>
                      </c:pt>
                      <c:pt idx="39">
                        <c:v>3.5185942117518525E-3</c:v>
                      </c:pt>
                      <c:pt idx="40">
                        <c:v>3.509316612031375E-3</c:v>
                      </c:pt>
                      <c:pt idx="41">
                        <c:v>3.5000514069341991E-3</c:v>
                      </c:pt>
                      <c:pt idx="42">
                        <c:v>3.4907987204065576E-3</c:v>
                      </c:pt>
                      <c:pt idx="43">
                        <c:v>3.4815586776341442E-3</c:v>
                      </c:pt>
                      <c:pt idx="44">
                        <c:v>3.4723314050545133E-3</c:v>
                      </c:pt>
                      <c:pt idx="45">
                        <c:v>3.4631170303695909E-3</c:v>
                      </c:pt>
                      <c:pt idx="46">
                        <c:v>3.4539156825583251E-3</c:v>
                      </c:pt>
                      <c:pt idx="47">
                        <c:v>3.4447274918894522E-3</c:v>
                      </c:pt>
                      <c:pt idx="48">
                        <c:v>3.4355525899343975E-3</c:v>
                      </c:pt>
                      <c:pt idx="49">
                        <c:v>3.4263911095802962E-3</c:v>
                      </c:pt>
                      <c:pt idx="50">
                        <c:v>3.4172431850431604E-3</c:v>
                      </c:pt>
                      <c:pt idx="51">
                        <c:v>3.4081089518811581E-3</c:v>
                      </c:pt>
                      <c:pt idx="52">
                        <c:v>3.3989885470080421E-3</c:v>
                      </c:pt>
                      <c:pt idx="53">
                        <c:v>3.3898821087067011E-3</c:v>
                      </c:pt>
                      <c:pt idx="54">
                        <c:v>3.3807897766428515E-3</c:v>
                      </c:pt>
                      <c:pt idx="55">
                        <c:v>3.3717116918788692E-3</c:v>
                      </c:pt>
                      <c:pt idx="56">
                        <c:v>3.3626548302210855E-3</c:v>
                      </c:pt>
                      <c:pt idx="57">
                        <c:v>3.3536226540196116E-3</c:v>
                      </c:pt>
                      <c:pt idx="58">
                        <c:v>3.351015871111153E-3</c:v>
                      </c:pt>
                      <c:pt idx="59">
                        <c:v>3.3696768901905426E-3</c:v>
                      </c:pt>
                      <c:pt idx="60">
                        <c:v>3.38835288332528E-3</c:v>
                      </c:pt>
                    </c:numCache>
                  </c:numRef>
                </c:yVal>
                <c:smooth val="0"/>
                <c:extLst>
                  <c:ext xmlns:c16="http://schemas.microsoft.com/office/drawing/2014/chart" uri="{C3380CC4-5D6E-409C-BE32-E72D297353CC}">
                    <c16:uniqueId val="{00000001-ECEC-4429-9728-7123C5B07DD1}"/>
                  </c:ext>
                </c:extLst>
              </c15:ser>
            </c15:filteredScatterSeries>
            <c15:filteredScatterSeries>
              <c15:ser>
                <c:idx val="0"/>
                <c:order val="1"/>
                <c:tx>
                  <c:strRef>
                    <c:extLst xmlns:c15="http://schemas.microsoft.com/office/drawing/2012/chart">
                      <c:ext xmlns:c15="http://schemas.microsoft.com/office/drawing/2012/chart" uri="{02D57815-91ED-43cb-92C2-25804820EDAC}">
                        <c15:formulaRef>
                          <c15:sqref>'[Chart in Microsoft Word]Tokelau AR4'!$A$8</c15:sqref>
                        </c15:formulaRef>
                      </c:ext>
                    </c:extLst>
                    <c:strCache>
                      <c:ptCount val="1"/>
                      <c:pt idx="0">
                        <c:v>With additional measures</c:v>
                      </c:pt>
                    </c:strCache>
                  </c:strRef>
                </c:tx>
                <c:spPr>
                  <a:ln w="19050" cap="rnd">
                    <a:solidFill>
                      <a:srgbClr val="2C9986"/>
                    </a:solidFill>
                    <a:round/>
                  </a:ln>
                  <a:effectLst/>
                </c:spPr>
                <c:marker>
                  <c:symbol val="none"/>
                </c:marker>
                <c:xVal>
                  <c:numRef>
                    <c:extLst xmlns:c15="http://schemas.microsoft.com/office/drawing/2012/chart">
                      <c:ext xmlns:c15="http://schemas.microsoft.com/office/drawing/2012/chart" uri="{02D57815-91ED-43cb-92C2-25804820EDAC}">
                        <c15:formulaRef>
                          <c15:sqref>'[Chart in Microsoft Word]Tokelau AR4'!$B$5:$BJ$5</c15:sqref>
                        </c15:formulaRef>
                      </c:ext>
                    </c:extLst>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extLst xmlns:c15="http://schemas.microsoft.com/office/drawing/2012/chart">
                      <c:ext xmlns:c15="http://schemas.microsoft.com/office/drawing/2012/chart" uri="{02D57815-91ED-43cb-92C2-25804820EDAC}">
                        <c15:formulaRef>
                          <c15:sqref>'[Chart in Microsoft Word]Tokelau AR4'!$B$8:$BJ$8</c15:sqref>
                        </c15:formulaRef>
                      </c:ext>
                    </c:extLst>
                    <c:numCache>
                      <c:formatCode>#,##0.00</c:formatCode>
                      <c:ptCount val="61"/>
                      <c:pt idx="0">
                        <c:v>3.1677545631145802E-3</c:v>
                      </c:pt>
                      <c:pt idx="1">
                        <c:v>3.2795404104723901E-3</c:v>
                      </c:pt>
                      <c:pt idx="2">
                        <c:v>3.2422000609002898E-3</c:v>
                      </c:pt>
                      <c:pt idx="3">
                        <c:v>3.2051520732639099E-3</c:v>
                      </c:pt>
                      <c:pt idx="4">
                        <c:v>3.1719204343993203E-3</c:v>
                      </c:pt>
                      <c:pt idx="5">
                        <c:v>3.1403400907512205E-3</c:v>
                      </c:pt>
                      <c:pt idx="6">
                        <c:v>3.1108150138538597E-3</c:v>
                      </c:pt>
                      <c:pt idx="7">
                        <c:v>3.2065859118437798E-3</c:v>
                      </c:pt>
                      <c:pt idx="8">
                        <c:v>3.3021722417532506E-3</c:v>
                      </c:pt>
                      <c:pt idx="9">
                        <c:v>3.3975993280416401E-3</c:v>
                      </c:pt>
                      <c:pt idx="10">
                        <c:v>3.4923024576276498E-3</c:v>
                      </c:pt>
                      <c:pt idx="11">
                        <c:v>3.5893296943967598E-3</c:v>
                      </c:pt>
                      <c:pt idx="12">
                        <c:v>3.5907792121803103E-3</c:v>
                      </c:pt>
                      <c:pt idx="13">
                        <c:v>3.5881895640248896E-3</c:v>
                      </c:pt>
                      <c:pt idx="14">
                        <c:v>4.0382458960680993E-3</c:v>
                      </c:pt>
                      <c:pt idx="15">
                        <c:v>4.4871763867560697E-3</c:v>
                      </c:pt>
                      <c:pt idx="16">
                        <c:v>4.4729146130783898E-3</c:v>
                      </c:pt>
                      <c:pt idx="17">
                        <c:v>4.4829808128773402E-3</c:v>
                      </c:pt>
                      <c:pt idx="18">
                        <c:v>4.49666992503122E-3</c:v>
                      </c:pt>
                      <c:pt idx="19">
                        <c:v>4.5096928619252699E-3</c:v>
                      </c:pt>
                      <c:pt idx="20">
                        <c:v>4.5241778819436205E-3</c:v>
                      </c:pt>
                      <c:pt idx="21">
                        <c:v>4.5408084074535192E-3</c:v>
                      </c:pt>
                      <c:pt idx="22">
                        <c:v>4.2679932825015095E-3</c:v>
                      </c:pt>
                      <c:pt idx="23">
                        <c:v>3.5191078222249293E-3</c:v>
                      </c:pt>
                      <c:pt idx="24">
                        <c:v>3.4834252500748303E-3</c:v>
                      </c:pt>
                      <c:pt idx="25">
                        <c:v>3.4234365658441699E-3</c:v>
                      </c:pt>
                      <c:pt idx="26">
                        <c:v>3.4471920609272901E-3</c:v>
                      </c:pt>
                      <c:pt idx="27">
                        <c:v>3.53256616437933E-3</c:v>
                      </c:pt>
                      <c:pt idx="28">
                        <c:v>3.6361615606897296E-3</c:v>
                      </c:pt>
                      <c:pt idx="29">
                        <c:v>4.3001327115023804E-3</c:v>
                      </c:pt>
                      <c:pt idx="30">
                        <c:v>4.1787870702019005E-3</c:v>
                      </c:pt>
                      <c:pt idx="31">
                        <c:v>3.5272020567145182E-3</c:v>
                      </c:pt>
                      <c:pt idx="32">
                        <c:v>3.5343407886073291E-3</c:v>
                      </c:pt>
                      <c:pt idx="33">
                        <c:v>3.5414909667268075E-3</c:v>
                      </c:pt>
                      <c:pt idx="34">
                        <c:v>3.5486527055352199E-3</c:v>
                      </c:pt>
                      <c:pt idx="35">
                        <c:v>3.5558261206394557E-3</c:v>
                      </c:pt>
                      <c:pt idx="36">
                        <c:v>3.546500157525832E-3</c:v>
                      </c:pt>
                      <c:pt idx="37">
                        <c:v>3.537186105401578E-3</c:v>
                      </c:pt>
                      <c:pt idx="38">
                        <c:v>3.5278840833765875E-3</c:v>
                      </c:pt>
                      <c:pt idx="39">
                        <c:v>3.5185942117518525E-3</c:v>
                      </c:pt>
                      <c:pt idx="40">
                        <c:v>3.509316612031375E-3</c:v>
                      </c:pt>
                      <c:pt idx="41">
                        <c:v>3.5000514069341991E-3</c:v>
                      </c:pt>
                      <c:pt idx="42">
                        <c:v>3.4907987204065576E-3</c:v>
                      </c:pt>
                      <c:pt idx="43">
                        <c:v>3.4815586776341442E-3</c:v>
                      </c:pt>
                      <c:pt idx="44">
                        <c:v>3.4723314050545133E-3</c:v>
                      </c:pt>
                      <c:pt idx="45">
                        <c:v>3.4631170303695909E-3</c:v>
                      </c:pt>
                      <c:pt idx="46">
                        <c:v>3.4539156825583251E-3</c:v>
                      </c:pt>
                      <c:pt idx="47">
                        <c:v>3.4447274918894522E-3</c:v>
                      </c:pt>
                      <c:pt idx="48">
                        <c:v>3.4355525899343975E-3</c:v>
                      </c:pt>
                      <c:pt idx="49">
                        <c:v>3.4263911095802962E-3</c:v>
                      </c:pt>
                      <c:pt idx="50">
                        <c:v>3.4172431850431604E-3</c:v>
                      </c:pt>
                      <c:pt idx="51">
                        <c:v>3.4081089518811581E-3</c:v>
                      </c:pt>
                      <c:pt idx="52">
                        <c:v>3.3989885470080421E-3</c:v>
                      </c:pt>
                      <c:pt idx="53">
                        <c:v>3.3898821087067011E-3</c:v>
                      </c:pt>
                      <c:pt idx="54">
                        <c:v>3.3807897766428515E-3</c:v>
                      </c:pt>
                      <c:pt idx="55">
                        <c:v>3.3717116918788692E-3</c:v>
                      </c:pt>
                      <c:pt idx="56">
                        <c:v>3.3626548302210855E-3</c:v>
                      </c:pt>
                      <c:pt idx="57">
                        <c:v>3.3536226540196116E-3</c:v>
                      </c:pt>
                      <c:pt idx="58">
                        <c:v>3.351015871111153E-3</c:v>
                      </c:pt>
                      <c:pt idx="59">
                        <c:v>3.3696768901905426E-3</c:v>
                      </c:pt>
                      <c:pt idx="60">
                        <c:v>3.38835288332528E-3</c:v>
                      </c:pt>
                    </c:numCache>
                  </c:numRef>
                </c:yVal>
                <c:smooth val="0"/>
                <c:extLst xmlns:c15="http://schemas.microsoft.com/office/drawing/2012/chart">
                  <c:ext xmlns:c16="http://schemas.microsoft.com/office/drawing/2014/chart" uri="{C3380CC4-5D6E-409C-BE32-E72D297353CC}">
                    <c16:uniqueId val="{00000002-ECEC-4429-9728-7123C5B07DD1}"/>
                  </c:ext>
                </c:extLst>
              </c15:ser>
            </c15:filteredScatterSeries>
          </c:ext>
        </c:extLst>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ax val="6.0000000000000019E-3"/>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7777777777777776E-2"/>
              <c:y val="0.202155539588595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100"/>
              <a:t>CO</a:t>
            </a:r>
            <a:r>
              <a:rPr lang="en-NZ" sz="1100" baseline="-25000"/>
              <a:t>2</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Gases Net UNFCCC (October 2022).xlsx]CO2'!$A$7</c:f>
              <c:strCache>
                <c:ptCount val="1"/>
                <c:pt idx="0">
                  <c:v>Without measures</c:v>
                </c:pt>
              </c:strCache>
            </c:strRef>
          </c:tx>
          <c:spPr>
            <a:ln w="19050" cap="rnd">
              <a:solidFill>
                <a:srgbClr val="1B556B"/>
              </a:solidFill>
              <a:round/>
            </a:ln>
            <a:effectLst/>
          </c:spPr>
          <c:marker>
            <c:symbol val="none"/>
          </c:marker>
          <c:xVal>
            <c:numRef>
              <c:f>'[Graphs - Gases Net UNFCCC (October 2022).xlsx]CO2'!$B$5:$BJ$5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2022).xlsx]CO2'!$B$7:$BJ$7</c:f>
              <c:numCache>
                <c:formatCode>#,##0.00</c:formatCode>
                <c:ptCount val="61"/>
                <c:pt idx="0">
                  <c:v>3.8784523438516052</c:v>
                </c:pt>
                <c:pt idx="1">
                  <c:v>2.537679595627504</c:v>
                </c:pt>
                <c:pt idx="2">
                  <c:v>4.7363037115618472</c:v>
                </c:pt>
                <c:pt idx="3">
                  <c:v>3.4831422783621702</c:v>
                </c:pt>
                <c:pt idx="4">
                  <c:v>3.7842586915063174</c:v>
                </c:pt>
                <c:pt idx="5">
                  <c:v>5.0737366228418459</c:v>
                </c:pt>
                <c:pt idx="6">
                  <c:v>6.7873035686509509</c:v>
                </c:pt>
                <c:pt idx="7">
                  <c:v>8.1377209613168198</c:v>
                </c:pt>
                <c:pt idx="8">
                  <c:v>6.0913712050122903</c:v>
                </c:pt>
                <c:pt idx="9">
                  <c:v>5.0792102870990048</c:v>
                </c:pt>
                <c:pt idx="10">
                  <c:v>5.1174024212980065</c:v>
                </c:pt>
                <c:pt idx="11">
                  <c:v>6.8475563668242554</c:v>
                </c:pt>
                <c:pt idx="12">
                  <c:v>8.5656777109246942</c:v>
                </c:pt>
                <c:pt idx="13">
                  <c:v>9.2632456334233098</c:v>
                </c:pt>
                <c:pt idx="14">
                  <c:v>7.3643547774177724</c:v>
                </c:pt>
                <c:pt idx="15">
                  <c:v>6.0758819410365286</c:v>
                </c:pt>
                <c:pt idx="16">
                  <c:v>7.5880826623250686</c:v>
                </c:pt>
                <c:pt idx="17">
                  <c:v>5.2767510501722716</c:v>
                </c:pt>
                <c:pt idx="18">
                  <c:v>8.8278256697976722</c:v>
                </c:pt>
                <c:pt idx="19">
                  <c:v>7.0314296276514758</c:v>
                </c:pt>
                <c:pt idx="20">
                  <c:v>6.1561026270376864</c:v>
                </c:pt>
                <c:pt idx="21">
                  <c:v>5.3719152631588409</c:v>
                </c:pt>
                <c:pt idx="22">
                  <c:v>9.9091822171719777</c:v>
                </c:pt>
                <c:pt idx="23">
                  <c:v>9.9163475894401767</c:v>
                </c:pt>
                <c:pt idx="24">
                  <c:v>9.9610664376427582</c:v>
                </c:pt>
                <c:pt idx="25">
                  <c:v>10.636039490406864</c:v>
                </c:pt>
                <c:pt idx="26">
                  <c:v>11.240123530877799</c:v>
                </c:pt>
                <c:pt idx="27">
                  <c:v>16.318644461923597</c:v>
                </c:pt>
                <c:pt idx="28">
                  <c:v>16.654810832962333</c:v>
                </c:pt>
                <c:pt idx="29">
                  <c:v>18.911819720958739</c:v>
                </c:pt>
                <c:pt idx="30">
                  <c:v>17.060307574073644</c:v>
                </c:pt>
                <c:pt idx="31">
                  <c:v>21.707803132907792</c:v>
                </c:pt>
                <c:pt idx="32">
                  <c:v>25.632015192492105</c:v>
                </c:pt>
                <c:pt idx="33">
                  <c:v>29.148767038105238</c:v>
                </c:pt>
                <c:pt idx="34">
                  <c:v>31.594395868279172</c:v>
                </c:pt>
                <c:pt idx="35">
                  <c:v>31.085541449443621</c:v>
                </c:pt>
                <c:pt idx="36">
                  <c:v>33.178484624408767</c:v>
                </c:pt>
                <c:pt idx="37">
                  <c:v>34.271763246968661</c:v>
                </c:pt>
                <c:pt idx="38">
                  <c:v>34.986110846755516</c:v>
                </c:pt>
                <c:pt idx="39">
                  <c:v>35.26291528235123</c:v>
                </c:pt>
                <c:pt idx="40">
                  <c:v>34.992059981911609</c:v>
                </c:pt>
                <c:pt idx="41">
                  <c:v>34.175549272060422</c:v>
                </c:pt>
                <c:pt idx="42">
                  <c:v>33.118530753018725</c:v>
                </c:pt>
                <c:pt idx="43">
                  <c:v>31.773241018582283</c:v>
                </c:pt>
                <c:pt idx="44">
                  <c:v>29.64555285081488</c:v>
                </c:pt>
                <c:pt idx="45">
                  <c:v>27.777469769298719</c:v>
                </c:pt>
                <c:pt idx="46">
                  <c:v>25.639201970189241</c:v>
                </c:pt>
                <c:pt idx="47">
                  <c:v>23.015982929915271</c:v>
                </c:pt>
                <c:pt idx="48">
                  <c:v>20.847852656043184</c:v>
                </c:pt>
                <c:pt idx="49">
                  <c:v>19.035686460789758</c:v>
                </c:pt>
                <c:pt idx="50">
                  <c:v>17.324685770265742</c:v>
                </c:pt>
                <c:pt idx="51">
                  <c:v>17.711567822102527</c:v>
                </c:pt>
                <c:pt idx="52">
                  <c:v>17.758724810119844</c:v>
                </c:pt>
                <c:pt idx="53">
                  <c:v>18.216639362290742</c:v>
                </c:pt>
                <c:pt idx="54">
                  <c:v>18.062387996520339</c:v>
                </c:pt>
                <c:pt idx="55">
                  <c:v>19.859938964851615</c:v>
                </c:pt>
                <c:pt idx="56">
                  <c:v>18.660924104531567</c:v>
                </c:pt>
                <c:pt idx="57">
                  <c:v>11.214352765446534</c:v>
                </c:pt>
                <c:pt idx="58">
                  <c:v>8.9985931241036123</c:v>
                </c:pt>
                <c:pt idx="59">
                  <c:v>11.2070452907552</c:v>
                </c:pt>
                <c:pt idx="60">
                  <c:v>9.9221433678716302</c:v>
                </c:pt>
              </c:numCache>
            </c:numRef>
          </c:yVal>
          <c:smooth val="0"/>
          <c:extLst>
            <c:ext xmlns:c16="http://schemas.microsoft.com/office/drawing/2014/chart" uri="{C3380CC4-5D6E-409C-BE32-E72D297353CC}">
              <c16:uniqueId val="{00000000-CCA7-4F16-BBE4-03D3551B417D}"/>
            </c:ext>
          </c:extLst>
        </c:ser>
        <c:ser>
          <c:idx val="0"/>
          <c:order val="1"/>
          <c:tx>
            <c:strRef>
              <c:f>'[Graphs - Gases Net UNFCCC (October 2022).xlsx]CO2'!$A$8</c:f>
              <c:strCache>
                <c:ptCount val="1"/>
                <c:pt idx="0">
                  <c:v>With additional measures</c:v>
                </c:pt>
              </c:strCache>
            </c:strRef>
          </c:tx>
          <c:spPr>
            <a:ln w="19050" cap="rnd">
              <a:solidFill>
                <a:srgbClr val="2C9986"/>
              </a:solidFill>
              <a:round/>
            </a:ln>
            <a:effectLst/>
          </c:spPr>
          <c:marker>
            <c:symbol val="none"/>
          </c:marker>
          <c:xVal>
            <c:numRef>
              <c:f>'[Graphs - Gases Net UNFCCC (October 2022).xlsx]CO2'!$B$5:$BJ$5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2022).xlsx]CO2'!$B$8:$BJ$8</c:f>
              <c:numCache>
                <c:formatCode>#,##0.00</c:formatCode>
                <c:ptCount val="61"/>
                <c:pt idx="0">
                  <c:v>3.8784523438516088</c:v>
                </c:pt>
                <c:pt idx="1">
                  <c:v>2.5376795956275076</c:v>
                </c:pt>
                <c:pt idx="2">
                  <c:v>4.7363037115618507</c:v>
                </c:pt>
                <c:pt idx="3">
                  <c:v>3.5039875928675928</c:v>
                </c:pt>
                <c:pt idx="4">
                  <c:v>3.819138845962013</c:v>
                </c:pt>
                <c:pt idx="5">
                  <c:v>5.1026557601652049</c:v>
                </c:pt>
                <c:pt idx="6">
                  <c:v>6.8372773822530695</c:v>
                </c:pt>
                <c:pt idx="7">
                  <c:v>8.1608383457025635</c:v>
                </c:pt>
                <c:pt idx="8">
                  <c:v>6.067446805654936</c:v>
                </c:pt>
                <c:pt idx="9">
                  <c:v>4.9625404136424871</c:v>
                </c:pt>
                <c:pt idx="10">
                  <c:v>4.8310153003925764</c:v>
                </c:pt>
                <c:pt idx="11">
                  <c:v>6.4167524941565084</c:v>
                </c:pt>
                <c:pt idx="12">
                  <c:v>7.991837929879221</c:v>
                </c:pt>
                <c:pt idx="13">
                  <c:v>8.5014654249612978</c:v>
                </c:pt>
                <c:pt idx="14">
                  <c:v>8.1653867092320258</c:v>
                </c:pt>
                <c:pt idx="15">
                  <c:v>11.490896772113953</c:v>
                </c:pt>
                <c:pt idx="16">
                  <c:v>13.458239112347401</c:v>
                </c:pt>
                <c:pt idx="17">
                  <c:v>13.772745051822533</c:v>
                </c:pt>
                <c:pt idx="18">
                  <c:v>7.6453087320119222</c:v>
                </c:pt>
                <c:pt idx="19">
                  <c:v>5.8931169560689343</c:v>
                </c:pt>
                <c:pt idx="20">
                  <c:v>5.0359787976467016</c:v>
                </c:pt>
                <c:pt idx="21">
                  <c:v>4.2196850008422304</c:v>
                </c:pt>
                <c:pt idx="22">
                  <c:v>8.794225844440696</c:v>
                </c:pt>
                <c:pt idx="23">
                  <c:v>8.5338611070242205</c:v>
                </c:pt>
                <c:pt idx="24">
                  <c:v>8.4104411402334058</c:v>
                </c:pt>
                <c:pt idx="25">
                  <c:v>8.8267833638118507</c:v>
                </c:pt>
                <c:pt idx="26">
                  <c:v>7.5259115213344758</c:v>
                </c:pt>
                <c:pt idx="27">
                  <c:v>10.635801885277639</c:v>
                </c:pt>
                <c:pt idx="28">
                  <c:v>11.09104347165707</c:v>
                </c:pt>
                <c:pt idx="29">
                  <c:v>13.73628920456019</c:v>
                </c:pt>
                <c:pt idx="30">
                  <c:v>10.790520143586683</c:v>
                </c:pt>
                <c:pt idx="31">
                  <c:v>15.096661479726414</c:v>
                </c:pt>
                <c:pt idx="32">
                  <c:v>17.239596388249819</c:v>
                </c:pt>
                <c:pt idx="33">
                  <c:v>20.35983345712706</c:v>
                </c:pt>
                <c:pt idx="34">
                  <c:v>22.972381114159415</c:v>
                </c:pt>
                <c:pt idx="35">
                  <c:v>21.294873617384489</c:v>
                </c:pt>
                <c:pt idx="36">
                  <c:v>21.486102382367193</c:v>
                </c:pt>
                <c:pt idx="37">
                  <c:v>20.912290028181477</c:v>
                </c:pt>
                <c:pt idx="38">
                  <c:v>19.488935455696357</c:v>
                </c:pt>
                <c:pt idx="39">
                  <c:v>17.286484767062841</c:v>
                </c:pt>
                <c:pt idx="40">
                  <c:v>14.924934239291876</c:v>
                </c:pt>
                <c:pt idx="41">
                  <c:v>11.792212264779391</c:v>
                </c:pt>
                <c:pt idx="42">
                  <c:v>8.7812597087249884</c:v>
                </c:pt>
                <c:pt idx="43">
                  <c:v>5.5286300027843867</c:v>
                </c:pt>
                <c:pt idx="44">
                  <c:v>1.8525096429675976</c:v>
                </c:pt>
                <c:pt idx="45">
                  <c:v>-1.5938282356156668</c:v>
                </c:pt>
                <c:pt idx="46">
                  <c:v>-4.940791311211485</c:v>
                </c:pt>
                <c:pt idx="47">
                  <c:v>-8.1846751216291089</c:v>
                </c:pt>
                <c:pt idx="48">
                  <c:v>-11.046998067018396</c:v>
                </c:pt>
                <c:pt idx="49">
                  <c:v>-13.592542990783475</c:v>
                </c:pt>
                <c:pt idx="50">
                  <c:v>-15.829631252422221</c:v>
                </c:pt>
                <c:pt idx="51">
                  <c:v>-17.152134295580275</c:v>
                </c:pt>
                <c:pt idx="52">
                  <c:v>-18.736041482806254</c:v>
                </c:pt>
                <c:pt idx="53">
                  <c:v>-20.062562604299352</c:v>
                </c:pt>
                <c:pt idx="54">
                  <c:v>-22.360113722138081</c:v>
                </c:pt>
                <c:pt idx="55">
                  <c:v>-23.263492595650298</c:v>
                </c:pt>
                <c:pt idx="56">
                  <c:v>-25.548961522121793</c:v>
                </c:pt>
                <c:pt idx="57">
                  <c:v>-26.383762947194832</c:v>
                </c:pt>
                <c:pt idx="58">
                  <c:v>-29.720112188070537</c:v>
                </c:pt>
                <c:pt idx="59">
                  <c:v>-28.332371412634537</c:v>
                </c:pt>
                <c:pt idx="60">
                  <c:v>-26.888579300217948</c:v>
                </c:pt>
              </c:numCache>
            </c:numRef>
          </c:yVal>
          <c:smooth val="0"/>
          <c:extLst>
            <c:ext xmlns:c16="http://schemas.microsoft.com/office/drawing/2014/chart" uri="{C3380CC4-5D6E-409C-BE32-E72D297353CC}">
              <c16:uniqueId val="{00000001-CCA7-4F16-BBE4-03D3551B417D}"/>
            </c:ext>
          </c:extLst>
        </c:ser>
        <c:ser>
          <c:idx val="1"/>
          <c:order val="2"/>
          <c:tx>
            <c:strRef>
              <c:f>'[Graphs - Gases Net UNFCCC (October 2022).xlsx]CO2'!$A$6</c:f>
              <c:strCache>
                <c:ptCount val="1"/>
                <c:pt idx="0">
                  <c:v>With existing measures </c:v>
                </c:pt>
              </c:strCache>
            </c:strRef>
          </c:tx>
          <c:spPr>
            <a:ln w="19050" cap="rnd">
              <a:solidFill>
                <a:srgbClr val="A0A0A0"/>
              </a:solidFill>
              <a:round/>
            </a:ln>
            <a:effectLst/>
          </c:spPr>
          <c:marker>
            <c:symbol val="none"/>
          </c:marker>
          <c:xVal>
            <c:numRef>
              <c:f>'[Graphs - Gases Net UNFCCC (October 2022).xlsx]CO2'!$B$5:$BJ$5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2022).xlsx]CO2'!$B$6:$BJ$6</c:f>
              <c:numCache>
                <c:formatCode>#,##0.00</c:formatCode>
                <c:ptCount val="61"/>
                <c:pt idx="0">
                  <c:v>3.8784523438516088</c:v>
                </c:pt>
                <c:pt idx="1">
                  <c:v>2.5376795956275076</c:v>
                </c:pt>
                <c:pt idx="2">
                  <c:v>4.7363037115618507</c:v>
                </c:pt>
                <c:pt idx="3">
                  <c:v>3.5039875928675928</c:v>
                </c:pt>
                <c:pt idx="4">
                  <c:v>3.819138845962013</c:v>
                </c:pt>
                <c:pt idx="5">
                  <c:v>5.1026557601652049</c:v>
                </c:pt>
                <c:pt idx="6">
                  <c:v>6.8372773822530695</c:v>
                </c:pt>
                <c:pt idx="7">
                  <c:v>8.1608383457025635</c:v>
                </c:pt>
                <c:pt idx="8">
                  <c:v>6.067446805654936</c:v>
                </c:pt>
                <c:pt idx="9">
                  <c:v>4.9625404136424871</c:v>
                </c:pt>
                <c:pt idx="10">
                  <c:v>4.8310153003925764</c:v>
                </c:pt>
                <c:pt idx="11">
                  <c:v>6.4167524941565084</c:v>
                </c:pt>
                <c:pt idx="12">
                  <c:v>7.991837929879221</c:v>
                </c:pt>
                <c:pt idx="13">
                  <c:v>8.5014654249612978</c:v>
                </c:pt>
                <c:pt idx="14">
                  <c:v>8.1653867092320258</c:v>
                </c:pt>
                <c:pt idx="15">
                  <c:v>11.490896772113953</c:v>
                </c:pt>
                <c:pt idx="16">
                  <c:v>13.458239112347401</c:v>
                </c:pt>
                <c:pt idx="17">
                  <c:v>13.772745051822533</c:v>
                </c:pt>
                <c:pt idx="18">
                  <c:v>7.6453087320119222</c:v>
                </c:pt>
                <c:pt idx="19">
                  <c:v>5.8931169560689343</c:v>
                </c:pt>
                <c:pt idx="20">
                  <c:v>5.0359787976467016</c:v>
                </c:pt>
                <c:pt idx="21">
                  <c:v>4.2196850008422304</c:v>
                </c:pt>
                <c:pt idx="22">
                  <c:v>8.794225844440696</c:v>
                </c:pt>
                <c:pt idx="23">
                  <c:v>8.5338611070242205</c:v>
                </c:pt>
                <c:pt idx="24">
                  <c:v>8.4104411402334058</c:v>
                </c:pt>
                <c:pt idx="25">
                  <c:v>8.8267833638118507</c:v>
                </c:pt>
                <c:pt idx="26">
                  <c:v>7.5259115213344758</c:v>
                </c:pt>
                <c:pt idx="27">
                  <c:v>10.635801885277639</c:v>
                </c:pt>
                <c:pt idx="28">
                  <c:v>11.09104347165707</c:v>
                </c:pt>
                <c:pt idx="29">
                  <c:v>13.73628920456019</c:v>
                </c:pt>
                <c:pt idx="30">
                  <c:v>10.790520143586683</c:v>
                </c:pt>
                <c:pt idx="31">
                  <c:v>15.096661479726414</c:v>
                </c:pt>
                <c:pt idx="32">
                  <c:v>17.239596388249819</c:v>
                </c:pt>
                <c:pt idx="33">
                  <c:v>20.340122084532219</c:v>
                </c:pt>
                <c:pt idx="34">
                  <c:v>22.953902818412715</c:v>
                </c:pt>
                <c:pt idx="35">
                  <c:v>21.401441216278428</c:v>
                </c:pt>
                <c:pt idx="36">
                  <c:v>21.951324032606049</c:v>
                </c:pt>
                <c:pt idx="37">
                  <c:v>21.833338699564109</c:v>
                </c:pt>
                <c:pt idx="38">
                  <c:v>21.033397274399682</c:v>
                </c:pt>
                <c:pt idx="39">
                  <c:v>19.123722684471129</c:v>
                </c:pt>
                <c:pt idx="40">
                  <c:v>17.051542771242229</c:v>
                </c:pt>
                <c:pt idx="41">
                  <c:v>14.257892005823656</c:v>
                </c:pt>
                <c:pt idx="42">
                  <c:v>11.448458703635323</c:v>
                </c:pt>
                <c:pt idx="43">
                  <c:v>8.2978672742677198</c:v>
                </c:pt>
                <c:pt idx="44">
                  <c:v>4.8176383482998304</c:v>
                </c:pt>
                <c:pt idx="45">
                  <c:v>1.4660355606351443</c:v>
                </c:pt>
                <c:pt idx="46">
                  <c:v>-2.0035960976657665</c:v>
                </c:pt>
                <c:pt idx="47">
                  <c:v>-5.4383623128247285</c:v>
                </c:pt>
                <c:pt idx="48">
                  <c:v>-8.6764738959945191</c:v>
                </c:pt>
                <c:pt idx="49">
                  <c:v>-10.507143421452295</c:v>
                </c:pt>
                <c:pt idx="50">
                  <c:v>-12.529022717120753</c:v>
                </c:pt>
                <c:pt idx="51">
                  <c:v>-13.708602088336324</c:v>
                </c:pt>
                <c:pt idx="52">
                  <c:v>-15.057368861032893</c:v>
                </c:pt>
                <c:pt idx="53">
                  <c:v>-16.136348346860558</c:v>
                </c:pt>
                <c:pt idx="54">
                  <c:v>-18.140410278039038</c:v>
                </c:pt>
                <c:pt idx="55">
                  <c:v>-18.712497812188136</c:v>
                </c:pt>
                <c:pt idx="56">
                  <c:v>-20.697101035429995</c:v>
                </c:pt>
                <c:pt idx="57">
                  <c:v>-21.431901261430564</c:v>
                </c:pt>
                <c:pt idx="58">
                  <c:v>-24.77481761783206</c:v>
                </c:pt>
                <c:pt idx="59">
                  <c:v>-23.23353555427741</c:v>
                </c:pt>
                <c:pt idx="60">
                  <c:v>-21.871175376696868</c:v>
                </c:pt>
              </c:numCache>
            </c:numRef>
          </c:yVal>
          <c:smooth val="0"/>
          <c:extLst>
            <c:ext xmlns:c16="http://schemas.microsoft.com/office/drawing/2014/chart" uri="{C3380CC4-5D6E-409C-BE32-E72D297353CC}">
              <c16:uniqueId val="{00000002-CCA7-4F16-BBE4-03D3551B417D}"/>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1.9444444444444445E-2"/>
              <c:y val="0.231790208319108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100"/>
              <a:t>CH</a:t>
            </a:r>
            <a:r>
              <a:rPr lang="en-NZ" sz="1100" baseline="-25000"/>
              <a:t>4</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Gases Net UNFCCC (October 2022).xlsx]CH4'!$A$7</c:f>
              <c:strCache>
                <c:ptCount val="1"/>
                <c:pt idx="0">
                  <c:v>Without measures</c:v>
                </c:pt>
              </c:strCache>
            </c:strRef>
          </c:tx>
          <c:spPr>
            <a:ln w="19050" cap="rnd">
              <a:solidFill>
                <a:srgbClr val="1B556B"/>
              </a:solidFill>
              <a:round/>
            </a:ln>
            <a:effectLst/>
          </c:spPr>
          <c:marker>
            <c:symbol val="none"/>
          </c:marker>
          <c:xVal>
            <c:numRef>
              <c:f>'[Graphs - Gases Net UNFCCC (October 2022).xlsx]CH4'!$B$5:$BJ$5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2022).xlsx]CH4'!$B$7:$BJ$7</c:f>
              <c:numCache>
                <c:formatCode>#,##0.00</c:formatCode>
                <c:ptCount val="61"/>
                <c:pt idx="0">
                  <c:v>33.041221256505864</c:v>
                </c:pt>
                <c:pt idx="1">
                  <c:v>33.256374526410212</c:v>
                </c:pt>
                <c:pt idx="2">
                  <c:v>32.850721113618725</c:v>
                </c:pt>
                <c:pt idx="3">
                  <c:v>33.165136504765492</c:v>
                </c:pt>
                <c:pt idx="4">
                  <c:v>34.071638971983326</c:v>
                </c:pt>
                <c:pt idx="5">
                  <c:v>34.314433477843686</c:v>
                </c:pt>
                <c:pt idx="6">
                  <c:v>34.969316523138694</c:v>
                </c:pt>
                <c:pt idx="7">
                  <c:v>35.762952702210121</c:v>
                </c:pt>
                <c:pt idx="8">
                  <c:v>35.145182874407261</c:v>
                </c:pt>
                <c:pt idx="9">
                  <c:v>35.207389549516115</c:v>
                </c:pt>
                <c:pt idx="10">
                  <c:v>36.0216200744185</c:v>
                </c:pt>
                <c:pt idx="11">
                  <c:v>36.445113748178805</c:v>
                </c:pt>
                <c:pt idx="12">
                  <c:v>36.156636478198088</c:v>
                </c:pt>
                <c:pt idx="13">
                  <c:v>36.242709108820442</c:v>
                </c:pt>
                <c:pt idx="14">
                  <c:v>36.290717977304666</c:v>
                </c:pt>
                <c:pt idx="15">
                  <c:v>36.633803744932152</c:v>
                </c:pt>
                <c:pt idx="16">
                  <c:v>37.140623332667026</c:v>
                </c:pt>
                <c:pt idx="17">
                  <c:v>36.131525363051942</c:v>
                </c:pt>
                <c:pt idx="18">
                  <c:v>34.65520945166859</c:v>
                </c:pt>
                <c:pt idx="19">
                  <c:v>35.007283156035591</c:v>
                </c:pt>
                <c:pt idx="20">
                  <c:v>35.283328896113538</c:v>
                </c:pt>
                <c:pt idx="21">
                  <c:v>35.603221405946776</c:v>
                </c:pt>
                <c:pt idx="22">
                  <c:v>36.013989454439731</c:v>
                </c:pt>
                <c:pt idx="23">
                  <c:v>35.98064832658013</c:v>
                </c:pt>
                <c:pt idx="24">
                  <c:v>36.282888697787392</c:v>
                </c:pt>
                <c:pt idx="25">
                  <c:v>35.797048301906919</c:v>
                </c:pt>
                <c:pt idx="26">
                  <c:v>35.398798021158377</c:v>
                </c:pt>
                <c:pt idx="27">
                  <c:v>35.27801027263682</c:v>
                </c:pt>
                <c:pt idx="28">
                  <c:v>35.351584012053237</c:v>
                </c:pt>
                <c:pt idx="29">
                  <c:v>35.51266609314515</c:v>
                </c:pt>
                <c:pt idx="30">
                  <c:v>35.274015810105723</c:v>
                </c:pt>
                <c:pt idx="31">
                  <c:v>35.288216854935108</c:v>
                </c:pt>
                <c:pt idx="32">
                  <c:v>34.818670745694924</c:v>
                </c:pt>
                <c:pt idx="33">
                  <c:v>34.399799355525239</c:v>
                </c:pt>
                <c:pt idx="34">
                  <c:v>34.157164464672341</c:v>
                </c:pt>
                <c:pt idx="35">
                  <c:v>33.974838352355206</c:v>
                </c:pt>
                <c:pt idx="36">
                  <c:v>33.925530751810477</c:v>
                </c:pt>
                <c:pt idx="37">
                  <c:v>33.930151209038449</c:v>
                </c:pt>
                <c:pt idx="38">
                  <c:v>33.95133044781948</c:v>
                </c:pt>
                <c:pt idx="39">
                  <c:v>33.975882996199651</c:v>
                </c:pt>
                <c:pt idx="40">
                  <c:v>33.962427496357115</c:v>
                </c:pt>
                <c:pt idx="41">
                  <c:v>33.983730415323272</c:v>
                </c:pt>
                <c:pt idx="42">
                  <c:v>34.016482821499565</c:v>
                </c:pt>
                <c:pt idx="43">
                  <c:v>34.054165007062302</c:v>
                </c:pt>
                <c:pt idx="44">
                  <c:v>34.088760285308027</c:v>
                </c:pt>
                <c:pt idx="45">
                  <c:v>34.114874276653701</c:v>
                </c:pt>
                <c:pt idx="46">
                  <c:v>34.141697688978581</c:v>
                </c:pt>
                <c:pt idx="47">
                  <c:v>34.181047506319622</c:v>
                </c:pt>
                <c:pt idx="48">
                  <c:v>34.207321314255211</c:v>
                </c:pt>
                <c:pt idx="49">
                  <c:v>34.231883259163766</c:v>
                </c:pt>
                <c:pt idx="50">
                  <c:v>34.228361192379062</c:v>
                </c:pt>
                <c:pt idx="51">
                  <c:v>34.251726329442413</c:v>
                </c:pt>
                <c:pt idx="52">
                  <c:v>34.275870066926771</c:v>
                </c:pt>
                <c:pt idx="53">
                  <c:v>34.312988987887913</c:v>
                </c:pt>
                <c:pt idx="54">
                  <c:v>34.349781169221586</c:v>
                </c:pt>
                <c:pt idx="55">
                  <c:v>34.370190810463413</c:v>
                </c:pt>
                <c:pt idx="56">
                  <c:v>34.389037503443262</c:v>
                </c:pt>
                <c:pt idx="57">
                  <c:v>34.410799763269466</c:v>
                </c:pt>
                <c:pt idx="58">
                  <c:v>34.441053007778088</c:v>
                </c:pt>
                <c:pt idx="59">
                  <c:v>34.463033270866489</c:v>
                </c:pt>
                <c:pt idx="60">
                  <c:v>34.484030189190221</c:v>
                </c:pt>
              </c:numCache>
            </c:numRef>
          </c:yVal>
          <c:smooth val="0"/>
          <c:extLst>
            <c:ext xmlns:c16="http://schemas.microsoft.com/office/drawing/2014/chart" uri="{C3380CC4-5D6E-409C-BE32-E72D297353CC}">
              <c16:uniqueId val="{00000000-4784-4E6A-BE31-F92F2F397E43}"/>
            </c:ext>
          </c:extLst>
        </c:ser>
        <c:ser>
          <c:idx val="0"/>
          <c:order val="1"/>
          <c:tx>
            <c:strRef>
              <c:f>'[Graphs - Gases Net UNFCCC (October 2022).xlsx]CH4'!$A$8</c:f>
              <c:strCache>
                <c:ptCount val="1"/>
                <c:pt idx="0">
                  <c:v>With additional measures</c:v>
                </c:pt>
              </c:strCache>
            </c:strRef>
          </c:tx>
          <c:spPr>
            <a:ln w="19050" cap="rnd">
              <a:solidFill>
                <a:srgbClr val="2C9986"/>
              </a:solidFill>
              <a:round/>
            </a:ln>
            <a:effectLst/>
          </c:spPr>
          <c:marker>
            <c:symbol val="none"/>
          </c:marker>
          <c:xVal>
            <c:numRef>
              <c:f>'[Graphs - Gases Net UNFCCC (October 2022).xlsx]CH4'!$B$5:$BJ$5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2022).xlsx]CH4'!$B$8:$BJ$8</c:f>
              <c:numCache>
                <c:formatCode>#,##0.00</c:formatCode>
                <c:ptCount val="61"/>
                <c:pt idx="0">
                  <c:v>33.041221256505864</c:v>
                </c:pt>
                <c:pt idx="1">
                  <c:v>33.256374526410212</c:v>
                </c:pt>
                <c:pt idx="2">
                  <c:v>32.850721113618725</c:v>
                </c:pt>
                <c:pt idx="3">
                  <c:v>33.165136504765492</c:v>
                </c:pt>
                <c:pt idx="4">
                  <c:v>34.071638971983326</c:v>
                </c:pt>
                <c:pt idx="5">
                  <c:v>34.314433477843679</c:v>
                </c:pt>
                <c:pt idx="6">
                  <c:v>34.969316523138694</c:v>
                </c:pt>
                <c:pt idx="7">
                  <c:v>35.762952702210114</c:v>
                </c:pt>
                <c:pt idx="8">
                  <c:v>35.145182874407247</c:v>
                </c:pt>
                <c:pt idx="9">
                  <c:v>35.207389549516115</c:v>
                </c:pt>
                <c:pt idx="10">
                  <c:v>36.0216200744185</c:v>
                </c:pt>
                <c:pt idx="11">
                  <c:v>36.445113748178798</c:v>
                </c:pt>
                <c:pt idx="12">
                  <c:v>36.156636478198088</c:v>
                </c:pt>
                <c:pt idx="13">
                  <c:v>36.242709108820442</c:v>
                </c:pt>
                <c:pt idx="14">
                  <c:v>36.290717977304666</c:v>
                </c:pt>
                <c:pt idx="15">
                  <c:v>36.633803744932152</c:v>
                </c:pt>
                <c:pt idx="16">
                  <c:v>36.963594914910907</c:v>
                </c:pt>
                <c:pt idx="17">
                  <c:v>35.944476927401361</c:v>
                </c:pt>
                <c:pt idx="18">
                  <c:v>34.446575690266464</c:v>
                </c:pt>
                <c:pt idx="19">
                  <c:v>34.620162277496384</c:v>
                </c:pt>
                <c:pt idx="20">
                  <c:v>34.856740408617362</c:v>
                </c:pt>
                <c:pt idx="21">
                  <c:v>34.997354037795958</c:v>
                </c:pt>
                <c:pt idx="22">
                  <c:v>35.314422106805004</c:v>
                </c:pt>
                <c:pt idx="23">
                  <c:v>35.26248272164041</c:v>
                </c:pt>
                <c:pt idx="24">
                  <c:v>35.554938406215037</c:v>
                </c:pt>
                <c:pt idx="25">
                  <c:v>35.066385786369622</c:v>
                </c:pt>
                <c:pt idx="26">
                  <c:v>34.646157054869178</c:v>
                </c:pt>
                <c:pt idx="27">
                  <c:v>34.507580199915097</c:v>
                </c:pt>
                <c:pt idx="28">
                  <c:v>34.51251161103751</c:v>
                </c:pt>
                <c:pt idx="29">
                  <c:v>34.594172802664012</c:v>
                </c:pt>
                <c:pt idx="30">
                  <c:v>34.354603882333066</c:v>
                </c:pt>
                <c:pt idx="31">
                  <c:v>34.362898573508048</c:v>
                </c:pt>
                <c:pt idx="32">
                  <c:v>33.88218085706896</c:v>
                </c:pt>
                <c:pt idx="33">
                  <c:v>33.27448204532746</c:v>
                </c:pt>
                <c:pt idx="34">
                  <c:v>32.945908973439607</c:v>
                </c:pt>
                <c:pt idx="35">
                  <c:v>32.620781033142158</c:v>
                </c:pt>
                <c:pt idx="36">
                  <c:v>32.298133134173021</c:v>
                </c:pt>
                <c:pt idx="37">
                  <c:v>32.013452785030381</c:v>
                </c:pt>
                <c:pt idx="38">
                  <c:v>31.756559413642037</c:v>
                </c:pt>
                <c:pt idx="39">
                  <c:v>31.561518704144806</c:v>
                </c:pt>
                <c:pt idx="40">
                  <c:v>31.31934648647481</c:v>
                </c:pt>
                <c:pt idx="41">
                  <c:v>31.079550856935768</c:v>
                </c:pt>
                <c:pt idx="42">
                  <c:v>30.867942715406961</c:v>
                </c:pt>
                <c:pt idx="43">
                  <c:v>30.670637676088461</c:v>
                </c:pt>
                <c:pt idx="44">
                  <c:v>30.4789347856908</c:v>
                </c:pt>
                <c:pt idx="45">
                  <c:v>30.330579782131196</c:v>
                </c:pt>
                <c:pt idx="46">
                  <c:v>30.250449445367554</c:v>
                </c:pt>
                <c:pt idx="47">
                  <c:v>30.216674241680018</c:v>
                </c:pt>
                <c:pt idx="48">
                  <c:v>30.187579802482208</c:v>
                </c:pt>
                <c:pt idx="49">
                  <c:v>30.141378942098655</c:v>
                </c:pt>
                <c:pt idx="50">
                  <c:v>30.075451121598629</c:v>
                </c:pt>
                <c:pt idx="51">
                  <c:v>30.031227732485785</c:v>
                </c:pt>
                <c:pt idx="52">
                  <c:v>29.984956167444466</c:v>
                </c:pt>
                <c:pt idx="53">
                  <c:v>29.95190828100371</c:v>
                </c:pt>
                <c:pt idx="54">
                  <c:v>29.922203390065985</c:v>
                </c:pt>
                <c:pt idx="55">
                  <c:v>29.868640617088925</c:v>
                </c:pt>
                <c:pt idx="56">
                  <c:v>29.816782870797681</c:v>
                </c:pt>
                <c:pt idx="57">
                  <c:v>29.766527036007403</c:v>
                </c:pt>
                <c:pt idx="58">
                  <c:v>29.722908313243135</c:v>
                </c:pt>
                <c:pt idx="59">
                  <c:v>29.67624082008372</c:v>
                </c:pt>
                <c:pt idx="60">
                  <c:v>29.668225361512953</c:v>
                </c:pt>
              </c:numCache>
            </c:numRef>
          </c:yVal>
          <c:smooth val="0"/>
          <c:extLst>
            <c:ext xmlns:c16="http://schemas.microsoft.com/office/drawing/2014/chart" uri="{C3380CC4-5D6E-409C-BE32-E72D297353CC}">
              <c16:uniqueId val="{00000001-4784-4E6A-BE31-F92F2F397E43}"/>
            </c:ext>
          </c:extLst>
        </c:ser>
        <c:ser>
          <c:idx val="1"/>
          <c:order val="2"/>
          <c:tx>
            <c:strRef>
              <c:f>'[Graphs - Gases Net UNFCCC (October 2022).xlsx]CH4'!$A$6</c:f>
              <c:strCache>
                <c:ptCount val="1"/>
                <c:pt idx="0">
                  <c:v>With existing measures </c:v>
                </c:pt>
              </c:strCache>
            </c:strRef>
          </c:tx>
          <c:spPr>
            <a:ln w="19050" cap="rnd">
              <a:solidFill>
                <a:srgbClr val="A0A0A0"/>
              </a:solidFill>
              <a:round/>
            </a:ln>
            <a:effectLst/>
          </c:spPr>
          <c:marker>
            <c:symbol val="none"/>
          </c:marker>
          <c:xVal>
            <c:numRef>
              <c:f>'[Graphs - Gases Net UNFCCC (October 2022).xlsx]CH4'!$B$5:$BJ$5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2022).xlsx]CH4'!$B$6:$BJ$6</c:f>
              <c:numCache>
                <c:formatCode>#,##0.00</c:formatCode>
                <c:ptCount val="61"/>
                <c:pt idx="0">
                  <c:v>33.041221256505864</c:v>
                </c:pt>
                <c:pt idx="1">
                  <c:v>33.256374526410212</c:v>
                </c:pt>
                <c:pt idx="2">
                  <c:v>32.850721113618725</c:v>
                </c:pt>
                <c:pt idx="3">
                  <c:v>33.165136504765492</c:v>
                </c:pt>
                <c:pt idx="4">
                  <c:v>34.071638971983326</c:v>
                </c:pt>
                <c:pt idx="5">
                  <c:v>34.314433477843679</c:v>
                </c:pt>
                <c:pt idx="6">
                  <c:v>34.969316523138694</c:v>
                </c:pt>
                <c:pt idx="7">
                  <c:v>35.762952702210114</c:v>
                </c:pt>
                <c:pt idx="8">
                  <c:v>35.145182874407247</c:v>
                </c:pt>
                <c:pt idx="9">
                  <c:v>35.207389549516115</c:v>
                </c:pt>
                <c:pt idx="10">
                  <c:v>36.0216200744185</c:v>
                </c:pt>
                <c:pt idx="11">
                  <c:v>36.445113748178798</c:v>
                </c:pt>
                <c:pt idx="12">
                  <c:v>36.156636478198088</c:v>
                </c:pt>
                <c:pt idx="13">
                  <c:v>36.242709108820442</c:v>
                </c:pt>
                <c:pt idx="14">
                  <c:v>36.290717977304666</c:v>
                </c:pt>
                <c:pt idx="15">
                  <c:v>36.633803744932152</c:v>
                </c:pt>
                <c:pt idx="16">
                  <c:v>36.963594914910907</c:v>
                </c:pt>
                <c:pt idx="17">
                  <c:v>35.944476927401361</c:v>
                </c:pt>
                <c:pt idx="18">
                  <c:v>34.446575690266464</c:v>
                </c:pt>
                <c:pt idx="19">
                  <c:v>34.620162277496384</c:v>
                </c:pt>
                <c:pt idx="20">
                  <c:v>34.856740408617362</c:v>
                </c:pt>
                <c:pt idx="21">
                  <c:v>34.997354037795958</c:v>
                </c:pt>
                <c:pt idx="22">
                  <c:v>35.314422106805004</c:v>
                </c:pt>
                <c:pt idx="23">
                  <c:v>35.26248272164041</c:v>
                </c:pt>
                <c:pt idx="24">
                  <c:v>35.554938406215037</c:v>
                </c:pt>
                <c:pt idx="25">
                  <c:v>35.066385786369622</c:v>
                </c:pt>
                <c:pt idx="26">
                  <c:v>34.646157054869178</c:v>
                </c:pt>
                <c:pt idx="27">
                  <c:v>34.507580199915097</c:v>
                </c:pt>
                <c:pt idx="28">
                  <c:v>34.51251161103751</c:v>
                </c:pt>
                <c:pt idx="29">
                  <c:v>34.594172802664012</c:v>
                </c:pt>
                <c:pt idx="30">
                  <c:v>34.354603882333066</c:v>
                </c:pt>
                <c:pt idx="31">
                  <c:v>34.362898573511984</c:v>
                </c:pt>
                <c:pt idx="32">
                  <c:v>33.882184961789108</c:v>
                </c:pt>
                <c:pt idx="33">
                  <c:v>33.281847796897061</c:v>
                </c:pt>
                <c:pt idx="34">
                  <c:v>32.966463546518561</c:v>
                </c:pt>
                <c:pt idx="35">
                  <c:v>32.657631536358089</c:v>
                </c:pt>
                <c:pt idx="36">
                  <c:v>32.41528208454956</c:v>
                </c:pt>
                <c:pt idx="37">
                  <c:v>32.201184035997322</c:v>
                </c:pt>
                <c:pt idx="38">
                  <c:v>32.007427572693125</c:v>
                </c:pt>
                <c:pt idx="39">
                  <c:v>31.818358401090794</c:v>
                </c:pt>
                <c:pt idx="40">
                  <c:v>31.592065976200733</c:v>
                </c:pt>
                <c:pt idx="41">
                  <c:v>31.403911427001962</c:v>
                </c:pt>
                <c:pt idx="42">
                  <c:v>31.228012694718817</c:v>
                </c:pt>
                <c:pt idx="43">
                  <c:v>31.057987815269378</c:v>
                </c:pt>
                <c:pt idx="44">
                  <c:v>30.889205671296402</c:v>
                </c:pt>
                <c:pt idx="45">
                  <c:v>30.76246884009203</c:v>
                </c:pt>
                <c:pt idx="46">
                  <c:v>30.702689520566729</c:v>
                </c:pt>
                <c:pt idx="47">
                  <c:v>30.688442185280778</c:v>
                </c:pt>
                <c:pt idx="48">
                  <c:v>30.678253456699096</c:v>
                </c:pt>
                <c:pt idx="49">
                  <c:v>30.650666856434999</c:v>
                </c:pt>
                <c:pt idx="50">
                  <c:v>30.603113265974937</c:v>
                </c:pt>
                <c:pt idx="51">
                  <c:v>30.577326197629354</c:v>
                </c:pt>
                <c:pt idx="52">
                  <c:v>30.549535049288661</c:v>
                </c:pt>
                <c:pt idx="53">
                  <c:v>30.535140322332246</c:v>
                </c:pt>
                <c:pt idx="54">
                  <c:v>30.523971353916874</c:v>
                </c:pt>
                <c:pt idx="55">
                  <c:v>30.488918954634059</c:v>
                </c:pt>
                <c:pt idx="56">
                  <c:v>30.455707375892565</c:v>
                </c:pt>
                <c:pt idx="57">
                  <c:v>30.423894052898145</c:v>
                </c:pt>
                <c:pt idx="58">
                  <c:v>30.398689337586145</c:v>
                </c:pt>
                <c:pt idx="59">
                  <c:v>30.369201948493576</c:v>
                </c:pt>
                <c:pt idx="60">
                  <c:v>30.351419808533478</c:v>
                </c:pt>
              </c:numCache>
            </c:numRef>
          </c:yVal>
          <c:smooth val="0"/>
          <c:extLst>
            <c:ext xmlns:c16="http://schemas.microsoft.com/office/drawing/2014/chart" uri="{C3380CC4-5D6E-409C-BE32-E72D297353CC}">
              <c16:uniqueId val="{00000002-4784-4E6A-BE31-F92F2F397E43}"/>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1.9444444444444445E-2"/>
              <c:y val="0.20320275175352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100"/>
              <a:t>N</a:t>
            </a:r>
            <a:r>
              <a:rPr lang="en-NZ" sz="1100" baseline="-25000"/>
              <a:t>2</a:t>
            </a:r>
            <a:r>
              <a:rPr lang="en-NZ" sz="1100"/>
              <a:t>O</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Gases Net UNFCCC (October 2022).xlsx]N2O'!$A$7</c:f>
              <c:strCache>
                <c:ptCount val="1"/>
                <c:pt idx="0">
                  <c:v>Without measures</c:v>
                </c:pt>
              </c:strCache>
            </c:strRef>
          </c:tx>
          <c:spPr>
            <a:ln w="19050" cap="rnd">
              <a:solidFill>
                <a:srgbClr val="1B556B"/>
              </a:solidFill>
              <a:round/>
            </a:ln>
            <a:effectLst/>
          </c:spPr>
          <c:marker>
            <c:symbol val="none"/>
          </c:marker>
          <c:xVal>
            <c:numRef>
              <c:f>'[Graphs - Gases Net UNFCCC (October 2022).xlsx]N2O'!$B$5:$BJ$5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2022).xlsx]N2O'!$B$7:$BJ$7</c:f>
              <c:numCache>
                <c:formatCode>#,##0.00</c:formatCode>
                <c:ptCount val="61"/>
                <c:pt idx="0">
                  <c:v>6.1181664175235362</c:v>
                </c:pt>
                <c:pt idx="1">
                  <c:v>6.1801946549797666</c:v>
                </c:pt>
                <c:pt idx="2">
                  <c:v>6.2166624153050911</c:v>
                </c:pt>
                <c:pt idx="3">
                  <c:v>6.4505097770098345</c:v>
                </c:pt>
                <c:pt idx="4">
                  <c:v>6.7013301346266489</c:v>
                </c:pt>
                <c:pt idx="5">
                  <c:v>6.9477076412993428</c:v>
                </c:pt>
                <c:pt idx="6">
                  <c:v>7.0424025280568072</c:v>
                </c:pt>
                <c:pt idx="7">
                  <c:v>7.1399382574335668</c:v>
                </c:pt>
                <c:pt idx="8">
                  <c:v>7.0767503906300284</c:v>
                </c:pt>
                <c:pt idx="9">
                  <c:v>7.1011669808349902</c:v>
                </c:pt>
                <c:pt idx="10">
                  <c:v>7.4068156820376165</c:v>
                </c:pt>
                <c:pt idx="11">
                  <c:v>7.7722201833199369</c:v>
                </c:pt>
                <c:pt idx="12">
                  <c:v>7.8678018046008882</c:v>
                </c:pt>
                <c:pt idx="13">
                  <c:v>8.1265792894884701</c:v>
                </c:pt>
                <c:pt idx="14">
                  <c:v>8.2549101258313495</c:v>
                </c:pt>
                <c:pt idx="15">
                  <c:v>8.328061426071848</c:v>
                </c:pt>
                <c:pt idx="16">
                  <c:v>8.1212837488727914</c:v>
                </c:pt>
                <c:pt idx="17">
                  <c:v>7.9477801314699201</c:v>
                </c:pt>
                <c:pt idx="18">
                  <c:v>7.9011985862300316</c:v>
                </c:pt>
                <c:pt idx="19">
                  <c:v>7.9028277463088834</c:v>
                </c:pt>
                <c:pt idx="20">
                  <c:v>8.0361216960586646</c:v>
                </c:pt>
                <c:pt idx="21">
                  <c:v>8.2250678940075801</c:v>
                </c:pt>
                <c:pt idx="22">
                  <c:v>8.3340474800412228</c:v>
                </c:pt>
                <c:pt idx="23">
                  <c:v>8.3531757994842319</c:v>
                </c:pt>
                <c:pt idx="24">
                  <c:v>8.594667691493818</c:v>
                </c:pt>
                <c:pt idx="25">
                  <c:v>8.5036840719064593</c:v>
                </c:pt>
                <c:pt idx="26">
                  <c:v>8.5161937070335192</c:v>
                </c:pt>
                <c:pt idx="27">
                  <c:v>8.5246693416145511</c:v>
                </c:pt>
                <c:pt idx="28">
                  <c:v>8.6358088493897753</c:v>
                </c:pt>
                <c:pt idx="29">
                  <c:v>8.718626100837918</c:v>
                </c:pt>
                <c:pt idx="30">
                  <c:v>8.7896629054016238</c:v>
                </c:pt>
                <c:pt idx="31">
                  <c:v>8.8303815562168051</c:v>
                </c:pt>
                <c:pt idx="32">
                  <c:v>8.7222978171792143</c:v>
                </c:pt>
                <c:pt idx="33">
                  <c:v>8.5922471777466871</c:v>
                </c:pt>
                <c:pt idx="34">
                  <c:v>8.5502998433357273</c:v>
                </c:pt>
                <c:pt idx="35">
                  <c:v>8.5154544314901042</c:v>
                </c:pt>
                <c:pt idx="36">
                  <c:v>8.5130780641724346</c:v>
                </c:pt>
                <c:pt idx="37">
                  <c:v>8.521422440959098</c:v>
                </c:pt>
                <c:pt idx="38">
                  <c:v>8.5304878078672211</c:v>
                </c:pt>
                <c:pt idx="39">
                  <c:v>8.5402938697168906</c:v>
                </c:pt>
                <c:pt idx="40">
                  <c:v>8.5513295037814938</c:v>
                </c:pt>
                <c:pt idx="41">
                  <c:v>8.5618221456725774</c:v>
                </c:pt>
                <c:pt idx="42">
                  <c:v>8.5710081091963328</c:v>
                </c:pt>
                <c:pt idx="43">
                  <c:v>8.5823379124122532</c:v>
                </c:pt>
                <c:pt idx="44">
                  <c:v>8.5907759731756475</c:v>
                </c:pt>
                <c:pt idx="45">
                  <c:v>8.5959694048543405</c:v>
                </c:pt>
                <c:pt idx="46">
                  <c:v>8.602302884856698</c:v>
                </c:pt>
                <c:pt idx="47">
                  <c:v>8.6102023036520237</c:v>
                </c:pt>
                <c:pt idx="48">
                  <c:v>8.6143654041972759</c:v>
                </c:pt>
                <c:pt idx="49">
                  <c:v>8.6174387398872874</c:v>
                </c:pt>
                <c:pt idx="50">
                  <c:v>8.620636172118985</c:v>
                </c:pt>
                <c:pt idx="51">
                  <c:v>8.6226010426159903</c:v>
                </c:pt>
                <c:pt idx="52">
                  <c:v>8.6251400062574959</c:v>
                </c:pt>
                <c:pt idx="53">
                  <c:v>8.6314939796226895</c:v>
                </c:pt>
                <c:pt idx="54">
                  <c:v>8.6380176821300942</c:v>
                </c:pt>
                <c:pt idx="55">
                  <c:v>8.6399932099667218</c:v>
                </c:pt>
                <c:pt idx="56">
                  <c:v>8.6413365350213862</c:v>
                </c:pt>
                <c:pt idx="57">
                  <c:v>8.6444082378869247</c:v>
                </c:pt>
                <c:pt idx="58">
                  <c:v>8.6491792479396334</c:v>
                </c:pt>
                <c:pt idx="59">
                  <c:v>8.6517347656824732</c:v>
                </c:pt>
                <c:pt idx="60">
                  <c:v>8.6547683979389856</c:v>
                </c:pt>
              </c:numCache>
            </c:numRef>
          </c:yVal>
          <c:smooth val="0"/>
          <c:extLst>
            <c:ext xmlns:c16="http://schemas.microsoft.com/office/drawing/2014/chart" uri="{C3380CC4-5D6E-409C-BE32-E72D297353CC}">
              <c16:uniqueId val="{00000000-904F-42A5-B73C-3E31ABB7E487}"/>
            </c:ext>
          </c:extLst>
        </c:ser>
        <c:ser>
          <c:idx val="0"/>
          <c:order val="1"/>
          <c:tx>
            <c:strRef>
              <c:f>'[Graphs - Gases Net UNFCCC (October 2022).xlsx]N2O'!$A$8</c:f>
              <c:strCache>
                <c:ptCount val="1"/>
                <c:pt idx="0">
                  <c:v>With additional measures</c:v>
                </c:pt>
              </c:strCache>
            </c:strRef>
          </c:tx>
          <c:spPr>
            <a:ln w="19050" cap="rnd">
              <a:solidFill>
                <a:srgbClr val="2C9986"/>
              </a:solidFill>
              <a:round/>
            </a:ln>
            <a:effectLst/>
          </c:spPr>
          <c:marker>
            <c:symbol val="none"/>
          </c:marker>
          <c:xVal>
            <c:numRef>
              <c:f>'[Graphs - Gases Net UNFCCC (October 2022).xlsx]N2O'!$B$5:$BJ$5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2022).xlsx]N2O'!$B$8:$BJ$8</c:f>
              <c:numCache>
                <c:formatCode>#,##0.00</c:formatCode>
                <c:ptCount val="61"/>
                <c:pt idx="0">
                  <c:v>6.1181664175235388</c:v>
                </c:pt>
                <c:pt idx="1">
                  <c:v>6.1801946549797648</c:v>
                </c:pt>
                <c:pt idx="2">
                  <c:v>6.2166624153050885</c:v>
                </c:pt>
                <c:pt idx="3">
                  <c:v>6.4505097770098336</c:v>
                </c:pt>
                <c:pt idx="4">
                  <c:v>6.7013301346266472</c:v>
                </c:pt>
                <c:pt idx="5">
                  <c:v>6.9477076412993446</c:v>
                </c:pt>
                <c:pt idx="6">
                  <c:v>7.0424025280568108</c:v>
                </c:pt>
                <c:pt idx="7">
                  <c:v>7.1399382574335668</c:v>
                </c:pt>
                <c:pt idx="8">
                  <c:v>7.0767503906300329</c:v>
                </c:pt>
                <c:pt idx="9">
                  <c:v>7.1011669808349911</c:v>
                </c:pt>
                <c:pt idx="10">
                  <c:v>7.4068156820376156</c:v>
                </c:pt>
                <c:pt idx="11">
                  <c:v>7.7722201833199378</c:v>
                </c:pt>
                <c:pt idx="12">
                  <c:v>7.86780180460089</c:v>
                </c:pt>
                <c:pt idx="13">
                  <c:v>8.1265792894884772</c:v>
                </c:pt>
                <c:pt idx="14">
                  <c:v>8.2549101258313495</c:v>
                </c:pt>
                <c:pt idx="15">
                  <c:v>8.328061426071848</c:v>
                </c:pt>
                <c:pt idx="16">
                  <c:v>8.121283748872786</c:v>
                </c:pt>
                <c:pt idx="17">
                  <c:v>7.9477801314699175</c:v>
                </c:pt>
                <c:pt idx="18">
                  <c:v>7.9011985862300289</c:v>
                </c:pt>
                <c:pt idx="19">
                  <c:v>7.9028277463088807</c:v>
                </c:pt>
                <c:pt idx="20">
                  <c:v>8.036121696058661</c:v>
                </c:pt>
                <c:pt idx="21">
                  <c:v>8.2111122796301199</c:v>
                </c:pt>
                <c:pt idx="22">
                  <c:v>8.3180795922849118</c:v>
                </c:pt>
                <c:pt idx="23">
                  <c:v>8.3366891930752658</c:v>
                </c:pt>
                <c:pt idx="24">
                  <c:v>8.5776465493275147</c:v>
                </c:pt>
                <c:pt idx="25">
                  <c:v>8.4855090706455307</c:v>
                </c:pt>
                <c:pt idx="26">
                  <c:v>8.4958461699945076</c:v>
                </c:pt>
                <c:pt idx="27">
                  <c:v>8.5011880524415613</c:v>
                </c:pt>
                <c:pt idx="28">
                  <c:v>8.6075868297854878</c:v>
                </c:pt>
                <c:pt idx="29">
                  <c:v>8.6655660973446622</c:v>
                </c:pt>
                <c:pt idx="30">
                  <c:v>8.7350952432921911</c:v>
                </c:pt>
                <c:pt idx="31">
                  <c:v>8.7757341692575999</c:v>
                </c:pt>
                <c:pt idx="32">
                  <c:v>8.6553722250239407</c:v>
                </c:pt>
                <c:pt idx="33">
                  <c:v>8.4873912419121194</c:v>
                </c:pt>
                <c:pt idx="34">
                  <c:v>8.4316864670514935</c:v>
                </c:pt>
                <c:pt idx="35">
                  <c:v>8.3763394616562401</c:v>
                </c:pt>
                <c:pt idx="36">
                  <c:v>8.3228220783376923</c:v>
                </c:pt>
                <c:pt idx="37">
                  <c:v>8.2767465447354702</c:v>
                </c:pt>
                <c:pt idx="38">
                  <c:v>8.2340699806960185</c:v>
                </c:pt>
                <c:pt idx="39">
                  <c:v>8.191826778062179</c:v>
                </c:pt>
                <c:pt idx="40">
                  <c:v>8.1546874715990487</c:v>
                </c:pt>
                <c:pt idx="41">
                  <c:v>8.1108907736117164</c:v>
                </c:pt>
                <c:pt idx="42">
                  <c:v>8.0656702171774146</c:v>
                </c:pt>
                <c:pt idx="43">
                  <c:v>8.022345532732281</c:v>
                </c:pt>
                <c:pt idx="44">
                  <c:v>7.9765983229974662</c:v>
                </c:pt>
                <c:pt idx="45">
                  <c:v>7.9348906539313937</c:v>
                </c:pt>
                <c:pt idx="46">
                  <c:v>7.9246576148598971</c:v>
                </c:pt>
                <c:pt idx="47">
                  <c:v>7.9208743665581949</c:v>
                </c:pt>
                <c:pt idx="48">
                  <c:v>7.9136768005905775</c:v>
                </c:pt>
                <c:pt idx="49">
                  <c:v>7.9045118447660414</c:v>
                </c:pt>
                <c:pt idx="50">
                  <c:v>7.8954457797967885</c:v>
                </c:pt>
                <c:pt idx="51">
                  <c:v>7.8852812016882137</c:v>
                </c:pt>
                <c:pt idx="52">
                  <c:v>7.8757675247326562</c:v>
                </c:pt>
                <c:pt idx="53">
                  <c:v>7.8710822423895639</c:v>
                </c:pt>
                <c:pt idx="54">
                  <c:v>7.8655146079888407</c:v>
                </c:pt>
                <c:pt idx="55">
                  <c:v>7.8557114840486282</c:v>
                </c:pt>
                <c:pt idx="56">
                  <c:v>7.8454280875983002</c:v>
                </c:pt>
                <c:pt idx="57">
                  <c:v>7.8379384434902324</c:v>
                </c:pt>
                <c:pt idx="58">
                  <c:v>7.8309428639677368</c:v>
                </c:pt>
                <c:pt idx="59">
                  <c:v>7.8227651680837287</c:v>
                </c:pt>
                <c:pt idx="60">
                  <c:v>7.8208334761925729</c:v>
                </c:pt>
              </c:numCache>
            </c:numRef>
          </c:yVal>
          <c:smooth val="0"/>
          <c:extLst>
            <c:ext xmlns:c16="http://schemas.microsoft.com/office/drawing/2014/chart" uri="{C3380CC4-5D6E-409C-BE32-E72D297353CC}">
              <c16:uniqueId val="{00000001-904F-42A5-B73C-3E31ABB7E487}"/>
            </c:ext>
          </c:extLst>
        </c:ser>
        <c:ser>
          <c:idx val="1"/>
          <c:order val="2"/>
          <c:tx>
            <c:strRef>
              <c:f>'[Graphs - Gases Net UNFCCC (October 2022).xlsx]N2O'!$A$6</c:f>
              <c:strCache>
                <c:ptCount val="1"/>
                <c:pt idx="0">
                  <c:v>With existing measures</c:v>
                </c:pt>
              </c:strCache>
            </c:strRef>
          </c:tx>
          <c:spPr>
            <a:ln w="19050" cap="rnd">
              <a:solidFill>
                <a:srgbClr val="A0A0A0"/>
              </a:solidFill>
              <a:round/>
            </a:ln>
            <a:effectLst/>
          </c:spPr>
          <c:marker>
            <c:symbol val="none"/>
          </c:marker>
          <c:xVal>
            <c:numRef>
              <c:f>'[Graphs - Gases Net UNFCCC (October 2022).xlsx]N2O'!$B$5:$BJ$5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2022).xlsx]N2O'!$B$6:$BJ$6</c:f>
              <c:numCache>
                <c:formatCode>#,##0.00</c:formatCode>
                <c:ptCount val="61"/>
                <c:pt idx="0">
                  <c:v>6.1181664175235388</c:v>
                </c:pt>
                <c:pt idx="1">
                  <c:v>6.1801946549797648</c:v>
                </c:pt>
                <c:pt idx="2">
                  <c:v>6.2166624153050885</c:v>
                </c:pt>
                <c:pt idx="3">
                  <c:v>6.4505097770098336</c:v>
                </c:pt>
                <c:pt idx="4">
                  <c:v>6.7013301346266472</c:v>
                </c:pt>
                <c:pt idx="5">
                  <c:v>6.9477076412993446</c:v>
                </c:pt>
                <c:pt idx="6">
                  <c:v>7.0424025280568108</c:v>
                </c:pt>
                <c:pt idx="7">
                  <c:v>7.1399382574335668</c:v>
                </c:pt>
                <c:pt idx="8">
                  <c:v>7.0767503906300329</c:v>
                </c:pt>
                <c:pt idx="9">
                  <c:v>7.1011669808349911</c:v>
                </c:pt>
                <c:pt idx="10">
                  <c:v>7.4068156820376156</c:v>
                </c:pt>
                <c:pt idx="11">
                  <c:v>7.7722201833199378</c:v>
                </c:pt>
                <c:pt idx="12">
                  <c:v>7.86780180460089</c:v>
                </c:pt>
                <c:pt idx="13">
                  <c:v>8.1265792894884772</c:v>
                </c:pt>
                <c:pt idx="14">
                  <c:v>8.2549101258313495</c:v>
                </c:pt>
                <c:pt idx="15">
                  <c:v>8.328061426071848</c:v>
                </c:pt>
                <c:pt idx="16">
                  <c:v>8.121283748872786</c:v>
                </c:pt>
                <c:pt idx="17">
                  <c:v>7.9477801314699175</c:v>
                </c:pt>
                <c:pt idx="18">
                  <c:v>7.9011985862300289</c:v>
                </c:pt>
                <c:pt idx="19">
                  <c:v>7.9028277463088807</c:v>
                </c:pt>
                <c:pt idx="20">
                  <c:v>8.036121696058661</c:v>
                </c:pt>
                <c:pt idx="21">
                  <c:v>8.2111122796301199</c:v>
                </c:pt>
                <c:pt idx="22">
                  <c:v>8.3180795922849118</c:v>
                </c:pt>
                <c:pt idx="23">
                  <c:v>8.3366891930752658</c:v>
                </c:pt>
                <c:pt idx="24">
                  <c:v>8.5776465493275147</c:v>
                </c:pt>
                <c:pt idx="25">
                  <c:v>8.4855090706455307</c:v>
                </c:pt>
                <c:pt idx="26">
                  <c:v>8.4958461699945076</c:v>
                </c:pt>
                <c:pt idx="27">
                  <c:v>8.5011880524415613</c:v>
                </c:pt>
                <c:pt idx="28">
                  <c:v>8.6075868297854878</c:v>
                </c:pt>
                <c:pt idx="29">
                  <c:v>8.6655660973446622</c:v>
                </c:pt>
                <c:pt idx="30">
                  <c:v>8.7350952432921911</c:v>
                </c:pt>
                <c:pt idx="31">
                  <c:v>8.7757341692579089</c:v>
                </c:pt>
                <c:pt idx="32">
                  <c:v>8.6553724859459216</c:v>
                </c:pt>
                <c:pt idx="33">
                  <c:v>8.4884545993731759</c:v>
                </c:pt>
                <c:pt idx="34">
                  <c:v>8.4346703491324924</c:v>
                </c:pt>
                <c:pt idx="35">
                  <c:v>8.3816128118408724</c:v>
                </c:pt>
                <c:pt idx="36">
                  <c:v>8.3303927017888686</c:v>
                </c:pt>
                <c:pt idx="37">
                  <c:v>8.2854555946597124</c:v>
                </c:pt>
                <c:pt idx="38">
                  <c:v>8.2426222513085925</c:v>
                </c:pt>
                <c:pt idx="39">
                  <c:v>8.1992427554555611</c:v>
                </c:pt>
                <c:pt idx="40">
                  <c:v>8.1575737096287568</c:v>
                </c:pt>
                <c:pt idx="41">
                  <c:v>8.115893119619189</c:v>
                </c:pt>
                <c:pt idx="42">
                  <c:v>8.0727874065293275</c:v>
                </c:pt>
                <c:pt idx="43">
                  <c:v>8.031569086344458</c:v>
                </c:pt>
                <c:pt idx="44">
                  <c:v>7.9879020259374558</c:v>
                </c:pt>
                <c:pt idx="45">
                  <c:v>7.9484534465426986</c:v>
                </c:pt>
                <c:pt idx="46">
                  <c:v>7.9405100681212</c:v>
                </c:pt>
                <c:pt idx="47">
                  <c:v>7.9390285222700472</c:v>
                </c:pt>
                <c:pt idx="48">
                  <c:v>7.9341292865650965</c:v>
                </c:pt>
                <c:pt idx="49">
                  <c:v>7.9272856641222305</c:v>
                </c:pt>
                <c:pt idx="50">
                  <c:v>7.9204853868486405</c:v>
                </c:pt>
                <c:pt idx="51">
                  <c:v>7.9125896844124037</c:v>
                </c:pt>
                <c:pt idx="52">
                  <c:v>7.9053604938826822</c:v>
                </c:pt>
                <c:pt idx="53">
                  <c:v>7.9029916483223275</c:v>
                </c:pt>
                <c:pt idx="54">
                  <c:v>7.8997276710153024</c:v>
                </c:pt>
                <c:pt idx="55">
                  <c:v>7.8922313764271026</c:v>
                </c:pt>
                <c:pt idx="56">
                  <c:v>7.8842836630466531</c:v>
                </c:pt>
                <c:pt idx="57">
                  <c:v>7.8791207387626327</c:v>
                </c:pt>
                <c:pt idx="58">
                  <c:v>7.874459770650426</c:v>
                </c:pt>
                <c:pt idx="59">
                  <c:v>7.8684101456767772</c:v>
                </c:pt>
                <c:pt idx="60">
                  <c:v>7.8646634163760201</c:v>
                </c:pt>
              </c:numCache>
            </c:numRef>
          </c:yVal>
          <c:smooth val="0"/>
          <c:extLst>
            <c:ext xmlns:c16="http://schemas.microsoft.com/office/drawing/2014/chart" uri="{C3380CC4-5D6E-409C-BE32-E72D297353CC}">
              <c16:uniqueId val="{00000002-904F-42A5-B73C-3E31ABB7E487}"/>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2222222222222223E-2"/>
              <c:y val="0.20320275175352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Sheet1!$C$13</c:f>
              <c:strCache>
                <c:ptCount val="1"/>
                <c:pt idx="0">
                  <c:v>2018</c:v>
                </c:pt>
              </c:strCache>
            </c:strRef>
          </c:tx>
          <c:spPr>
            <a:solidFill>
              <a:schemeClr val="accent1"/>
            </a:solidFill>
            <a:ln>
              <a:noFill/>
            </a:ln>
            <a:effectLst/>
          </c:spPr>
          <c:invertIfNegative val="0"/>
          <c:cat>
            <c:strRef>
              <c:f>Sheet1!$B$14:$B$19</c:f>
              <c:strCache>
                <c:ptCount val="6"/>
                <c:pt idx="0">
                  <c:v>International tourism</c:v>
                </c:pt>
                <c:pt idx="1">
                  <c:v>Dairy products, including casein</c:v>
                </c:pt>
                <c:pt idx="2">
                  <c:v>Meat and meat products</c:v>
                </c:pt>
                <c:pt idx="3">
                  <c:v>Wood and wood products</c:v>
                </c:pt>
                <c:pt idx="4">
                  <c:v>Fruit</c:v>
                </c:pt>
                <c:pt idx="5">
                  <c:v>Seafood</c:v>
                </c:pt>
              </c:strCache>
            </c:strRef>
          </c:cat>
          <c:val>
            <c:numRef>
              <c:f>Sheet1!$C$14:$C$19</c:f>
              <c:numCache>
                <c:formatCode>#,##0.0</c:formatCode>
                <c:ptCount val="6"/>
                <c:pt idx="0">
                  <c:v>16.32</c:v>
                </c:pt>
                <c:pt idx="1">
                  <c:v>15.077999999999999</c:v>
                </c:pt>
                <c:pt idx="2">
                  <c:v>6.7969999999999997</c:v>
                </c:pt>
                <c:pt idx="3">
                  <c:v>6.1440000000000001</c:v>
                </c:pt>
                <c:pt idx="4">
                  <c:v>2.6480000000000001</c:v>
                </c:pt>
                <c:pt idx="5">
                  <c:v>1.619</c:v>
                </c:pt>
              </c:numCache>
            </c:numRef>
          </c:val>
          <c:extLst>
            <c:ext xmlns:c16="http://schemas.microsoft.com/office/drawing/2014/chart" uri="{C3380CC4-5D6E-409C-BE32-E72D297353CC}">
              <c16:uniqueId val="{00000000-9734-442A-A332-F1ED9220C965}"/>
            </c:ext>
          </c:extLst>
        </c:ser>
        <c:ser>
          <c:idx val="1"/>
          <c:order val="1"/>
          <c:tx>
            <c:strRef>
              <c:f>Sheet1!$D$13</c:f>
              <c:strCache>
                <c:ptCount val="1"/>
                <c:pt idx="0">
                  <c:v>2019</c:v>
                </c:pt>
              </c:strCache>
            </c:strRef>
          </c:tx>
          <c:spPr>
            <a:solidFill>
              <a:schemeClr val="accent2"/>
            </a:solidFill>
            <a:ln>
              <a:noFill/>
            </a:ln>
            <a:effectLst/>
          </c:spPr>
          <c:invertIfNegative val="0"/>
          <c:cat>
            <c:strRef>
              <c:f>Sheet1!$B$14:$B$19</c:f>
              <c:strCache>
                <c:ptCount val="6"/>
                <c:pt idx="0">
                  <c:v>International tourism</c:v>
                </c:pt>
                <c:pt idx="1">
                  <c:v>Dairy products, including casein</c:v>
                </c:pt>
                <c:pt idx="2">
                  <c:v>Meat and meat products</c:v>
                </c:pt>
                <c:pt idx="3">
                  <c:v>Wood and wood products</c:v>
                </c:pt>
                <c:pt idx="4">
                  <c:v>Fruit</c:v>
                </c:pt>
                <c:pt idx="5">
                  <c:v>Seafood</c:v>
                </c:pt>
              </c:strCache>
            </c:strRef>
          </c:cat>
          <c:val>
            <c:numRef>
              <c:f>Sheet1!$D$14:$D$19</c:f>
              <c:numCache>
                <c:formatCode>#,##0.0</c:formatCode>
                <c:ptCount val="6"/>
                <c:pt idx="0">
                  <c:v>17.164000000000001</c:v>
                </c:pt>
                <c:pt idx="1">
                  <c:v>15.574</c:v>
                </c:pt>
                <c:pt idx="2">
                  <c:v>7.6319999999999997</c:v>
                </c:pt>
                <c:pt idx="3">
                  <c:v>6.7729999999999997</c:v>
                </c:pt>
                <c:pt idx="4">
                  <c:v>3.294</c:v>
                </c:pt>
                <c:pt idx="5">
                  <c:v>1.696</c:v>
                </c:pt>
              </c:numCache>
            </c:numRef>
          </c:val>
          <c:extLst>
            <c:ext xmlns:c16="http://schemas.microsoft.com/office/drawing/2014/chart" uri="{C3380CC4-5D6E-409C-BE32-E72D297353CC}">
              <c16:uniqueId val="{00000001-9734-442A-A332-F1ED9220C965}"/>
            </c:ext>
          </c:extLst>
        </c:ser>
        <c:ser>
          <c:idx val="2"/>
          <c:order val="2"/>
          <c:tx>
            <c:strRef>
              <c:f>Sheet1!$E$13</c:f>
              <c:strCache>
                <c:ptCount val="1"/>
                <c:pt idx="0">
                  <c:v>2020</c:v>
                </c:pt>
              </c:strCache>
            </c:strRef>
          </c:tx>
          <c:spPr>
            <a:solidFill>
              <a:schemeClr val="accent5"/>
            </a:solidFill>
            <a:ln>
              <a:noFill/>
            </a:ln>
            <a:effectLst/>
          </c:spPr>
          <c:invertIfNegative val="0"/>
          <c:cat>
            <c:strRef>
              <c:f>Sheet1!$B$14:$B$19</c:f>
              <c:strCache>
                <c:ptCount val="6"/>
                <c:pt idx="0">
                  <c:v>International tourism</c:v>
                </c:pt>
                <c:pt idx="1">
                  <c:v>Dairy products, including casein</c:v>
                </c:pt>
                <c:pt idx="2">
                  <c:v>Meat and meat products</c:v>
                </c:pt>
                <c:pt idx="3">
                  <c:v>Wood and wood products</c:v>
                </c:pt>
                <c:pt idx="4">
                  <c:v>Fruit</c:v>
                </c:pt>
                <c:pt idx="5">
                  <c:v>Seafood</c:v>
                </c:pt>
              </c:strCache>
            </c:strRef>
          </c:cat>
          <c:val>
            <c:numRef>
              <c:f>Sheet1!$E$14:$E$19</c:f>
              <c:numCache>
                <c:formatCode>#,##0.0</c:formatCode>
                <c:ptCount val="6"/>
                <c:pt idx="0">
                  <c:v>17.690999999999999</c:v>
                </c:pt>
                <c:pt idx="1">
                  <c:v>17.146000000000001</c:v>
                </c:pt>
                <c:pt idx="2">
                  <c:v>8.3010000000000002</c:v>
                </c:pt>
                <c:pt idx="3">
                  <c:v>5.9160000000000004</c:v>
                </c:pt>
                <c:pt idx="4">
                  <c:v>3.5179999999999998</c:v>
                </c:pt>
                <c:pt idx="5">
                  <c:v>1.8140000000000001</c:v>
                </c:pt>
              </c:numCache>
            </c:numRef>
          </c:val>
          <c:extLst>
            <c:ext xmlns:c16="http://schemas.microsoft.com/office/drawing/2014/chart" uri="{C3380CC4-5D6E-409C-BE32-E72D297353CC}">
              <c16:uniqueId val="{00000002-9734-442A-A332-F1ED9220C965}"/>
            </c:ext>
          </c:extLst>
        </c:ser>
        <c:ser>
          <c:idx val="3"/>
          <c:order val="3"/>
          <c:tx>
            <c:strRef>
              <c:f>Sheet1!$F$13</c:f>
              <c:strCache>
                <c:ptCount val="1"/>
                <c:pt idx="0">
                  <c:v>2021</c:v>
                </c:pt>
              </c:strCache>
            </c:strRef>
          </c:tx>
          <c:spPr>
            <a:solidFill>
              <a:schemeClr val="accent6"/>
            </a:solidFill>
            <a:ln>
              <a:noFill/>
            </a:ln>
            <a:effectLst/>
          </c:spPr>
          <c:invertIfNegative val="0"/>
          <c:cat>
            <c:strRef>
              <c:f>Sheet1!$B$14:$B$19</c:f>
              <c:strCache>
                <c:ptCount val="6"/>
                <c:pt idx="0">
                  <c:v>International tourism</c:v>
                </c:pt>
                <c:pt idx="1">
                  <c:v>Dairy products, including casein</c:v>
                </c:pt>
                <c:pt idx="2">
                  <c:v>Meat and meat products</c:v>
                </c:pt>
                <c:pt idx="3">
                  <c:v>Wood and wood products</c:v>
                </c:pt>
                <c:pt idx="4">
                  <c:v>Fruit</c:v>
                </c:pt>
                <c:pt idx="5">
                  <c:v>Seafood</c:v>
                </c:pt>
              </c:strCache>
            </c:strRef>
          </c:cat>
          <c:val>
            <c:numRef>
              <c:f>Sheet1!$F$14:$F$19</c:f>
              <c:numCache>
                <c:formatCode>#,##0.0</c:formatCode>
                <c:ptCount val="6"/>
                <c:pt idx="0">
                  <c:v>1.496</c:v>
                </c:pt>
                <c:pt idx="1">
                  <c:v>16.501000000000001</c:v>
                </c:pt>
                <c:pt idx="2">
                  <c:v>7.9</c:v>
                </c:pt>
                <c:pt idx="3">
                  <c:v>5.883</c:v>
                </c:pt>
                <c:pt idx="4">
                  <c:v>3.9380000000000002</c:v>
                </c:pt>
                <c:pt idx="5">
                  <c:v>1.548</c:v>
                </c:pt>
              </c:numCache>
            </c:numRef>
          </c:val>
          <c:extLst>
            <c:ext xmlns:c16="http://schemas.microsoft.com/office/drawing/2014/chart" uri="{C3380CC4-5D6E-409C-BE32-E72D297353CC}">
              <c16:uniqueId val="{00000003-9734-442A-A332-F1ED9220C965}"/>
            </c:ext>
          </c:extLst>
        </c:ser>
        <c:dLbls>
          <c:showLegendKey val="0"/>
          <c:showVal val="0"/>
          <c:showCatName val="0"/>
          <c:showSerName val="0"/>
          <c:showPercent val="0"/>
          <c:showBubbleSize val="0"/>
        </c:dLbls>
        <c:gapWidth val="219"/>
        <c:overlap val="-27"/>
        <c:axId val="1095750847"/>
        <c:axId val="1787258895"/>
      </c:barChart>
      <c:catAx>
        <c:axId val="1095750847"/>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87258895"/>
        <c:crosses val="autoZero"/>
        <c:auto val="1"/>
        <c:lblAlgn val="ctr"/>
        <c:lblOffset val="100"/>
        <c:noMultiLvlLbl val="0"/>
      </c:catAx>
      <c:valAx>
        <c:axId val="1787258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NZ" sz="800"/>
                  <a:t>NZ$</a:t>
                </a:r>
                <a:r>
                  <a:rPr lang="en-NZ" sz="800" baseline="0"/>
                  <a:t> (Billion)</a:t>
                </a:r>
                <a:endParaRPr lang="en-NZ"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95750847"/>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100"/>
              <a:t>SF</a:t>
            </a:r>
            <a:r>
              <a:rPr lang="en-NZ" sz="1100" baseline="-25000"/>
              <a:t>6</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Gases Net UNFCCC (October 2022).xlsx]SF6'!$A$7</c:f>
              <c:strCache>
                <c:ptCount val="1"/>
                <c:pt idx="0">
                  <c:v>Without measures</c:v>
                </c:pt>
              </c:strCache>
            </c:strRef>
          </c:tx>
          <c:spPr>
            <a:ln w="19050" cap="rnd">
              <a:solidFill>
                <a:srgbClr val="1B556B"/>
              </a:solidFill>
              <a:round/>
            </a:ln>
            <a:effectLst/>
          </c:spPr>
          <c:marker>
            <c:symbol val="none"/>
          </c:marker>
          <c:xVal>
            <c:numRef>
              <c:f>'[Graphs - Gases Net UNFCCC (October 2022).xlsx]SF6'!$B$5:$BJ$5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2022).xlsx]SF6'!$B$7:$BJ$7</c:f>
              <c:numCache>
                <c:formatCode>#,##0.00</c:formatCode>
                <c:ptCount val="61"/>
                <c:pt idx="0">
                  <c:v>1.9972800000000002E-2</c:v>
                </c:pt>
                <c:pt idx="1">
                  <c:v>2.0862000000000002E-2</c:v>
                </c:pt>
                <c:pt idx="2">
                  <c:v>2.19051E-2</c:v>
                </c:pt>
                <c:pt idx="3">
                  <c:v>2.2692555000000003E-2</c:v>
                </c:pt>
                <c:pt idx="4">
                  <c:v>2.3430462750000002E-2</c:v>
                </c:pt>
                <c:pt idx="5">
                  <c:v>2.4416165887500001E-2</c:v>
                </c:pt>
                <c:pt idx="6">
                  <c:v>2.4647454181932003E-2</c:v>
                </c:pt>
                <c:pt idx="7">
                  <c:v>2.5584566891040002E-2</c:v>
                </c:pt>
                <c:pt idx="8">
                  <c:v>2.4857395235591998E-2</c:v>
                </c:pt>
                <c:pt idx="9">
                  <c:v>2.4564684997212E-2</c:v>
                </c:pt>
                <c:pt idx="10">
                  <c:v>1.9564154978928001E-2</c:v>
                </c:pt>
                <c:pt idx="11">
                  <c:v>2.0036733223044004E-2</c:v>
                </c:pt>
                <c:pt idx="12">
                  <c:v>2.3317375610243999E-2</c:v>
                </c:pt>
                <c:pt idx="13">
                  <c:v>2.5187358493152002E-2</c:v>
                </c:pt>
                <c:pt idx="14">
                  <c:v>2.8915838524356002E-2</c:v>
                </c:pt>
                <c:pt idx="15">
                  <c:v>2.5413534264468001E-2</c:v>
                </c:pt>
                <c:pt idx="16">
                  <c:v>2.1045871043916E-2</c:v>
                </c:pt>
                <c:pt idx="17">
                  <c:v>1.9874624517840001E-2</c:v>
                </c:pt>
                <c:pt idx="18">
                  <c:v>1.9341221609292001E-2</c:v>
                </c:pt>
                <c:pt idx="19">
                  <c:v>2.2536088782707998E-2</c:v>
                </c:pt>
                <c:pt idx="20">
                  <c:v>2.2837506235068E-2</c:v>
                </c:pt>
                <c:pt idx="21">
                  <c:v>1.8939779918303999E-2</c:v>
                </c:pt>
                <c:pt idx="22">
                  <c:v>2.0899298127840003E-2</c:v>
                </c:pt>
                <c:pt idx="23">
                  <c:v>1.8184997495460001E-2</c:v>
                </c:pt>
                <c:pt idx="24">
                  <c:v>1.6800824780352001E-2</c:v>
                </c:pt>
                <c:pt idx="25">
                  <c:v>1.6464598579620002E-2</c:v>
                </c:pt>
                <c:pt idx="26">
                  <c:v>1.7362992753264E-2</c:v>
                </c:pt>
                <c:pt idx="27">
                  <c:v>1.4789757179172001E-2</c:v>
                </c:pt>
                <c:pt idx="28">
                  <c:v>1.4708877705876E-2</c:v>
                </c:pt>
                <c:pt idx="29">
                  <c:v>1.5981121896743999E-2</c:v>
                </c:pt>
                <c:pt idx="30">
                  <c:v>1.6685422931471999E-2</c:v>
                </c:pt>
                <c:pt idx="31">
                  <c:v>1.6688333656541689E-2</c:v>
                </c:pt>
                <c:pt idx="32">
                  <c:v>1.7023294849457301E-2</c:v>
                </c:pt>
                <c:pt idx="33">
                  <c:v>1.7397702599270683E-2</c:v>
                </c:pt>
                <c:pt idx="34">
                  <c:v>1.7758387196423087E-2</c:v>
                </c:pt>
                <c:pt idx="35">
                  <c:v>1.8084324677111949E-2</c:v>
                </c:pt>
                <c:pt idx="36">
                  <c:v>1.8404390333006424E-2</c:v>
                </c:pt>
                <c:pt idx="37">
                  <c:v>1.8717782684261153E-2</c:v>
                </c:pt>
                <c:pt idx="38">
                  <c:v>1.902111942960797E-2</c:v>
                </c:pt>
                <c:pt idx="39">
                  <c:v>1.9298033119594746E-2</c:v>
                </c:pt>
                <c:pt idx="40">
                  <c:v>1.9551120776005324E-2</c:v>
                </c:pt>
                <c:pt idx="41">
                  <c:v>1.9795395343442185E-2</c:v>
                </c:pt>
                <c:pt idx="42">
                  <c:v>2.0031631834238558E-2</c:v>
                </c:pt>
                <c:pt idx="43">
                  <c:v>2.0260362620208323E-2</c:v>
                </c:pt>
                <c:pt idx="44">
                  <c:v>2.0482300703063127E-2</c:v>
                </c:pt>
                <c:pt idx="45">
                  <c:v>2.0699251472448568E-2</c:v>
                </c:pt>
                <c:pt idx="46">
                  <c:v>2.0915387312155528E-2</c:v>
                </c:pt>
                <c:pt idx="47">
                  <c:v>2.113311490678163E-2</c:v>
                </c:pt>
                <c:pt idx="48">
                  <c:v>2.1352440460182864E-2</c:v>
                </c:pt>
                <c:pt idx="49">
                  <c:v>2.1574264009991434E-2</c:v>
                </c:pt>
                <c:pt idx="50">
                  <c:v>2.1798876656387162E-2</c:v>
                </c:pt>
                <c:pt idx="51">
                  <c:v>2.2026155912287189E-2</c:v>
                </c:pt>
                <c:pt idx="52">
                  <c:v>2.2256763758145552E-2</c:v>
                </c:pt>
                <c:pt idx="53">
                  <c:v>2.2490645077269545E-2</c:v>
                </c:pt>
                <c:pt idx="54">
                  <c:v>2.2727589866306967E-2</c:v>
                </c:pt>
                <c:pt idx="55">
                  <c:v>2.2968402847827769E-2</c:v>
                </c:pt>
                <c:pt idx="56">
                  <c:v>2.3213255300830109E-2</c:v>
                </c:pt>
                <c:pt idx="57">
                  <c:v>2.3461730406944714E-2</c:v>
                </c:pt>
                <c:pt idx="58">
                  <c:v>2.371504619299656E-2</c:v>
                </c:pt>
                <c:pt idx="59">
                  <c:v>2.3973770857065754E-2</c:v>
                </c:pt>
                <c:pt idx="60">
                  <c:v>2.4238252984160831E-2</c:v>
                </c:pt>
              </c:numCache>
            </c:numRef>
          </c:yVal>
          <c:smooth val="0"/>
          <c:extLst>
            <c:ext xmlns:c16="http://schemas.microsoft.com/office/drawing/2014/chart" uri="{C3380CC4-5D6E-409C-BE32-E72D297353CC}">
              <c16:uniqueId val="{00000000-7DBD-42AA-B5CC-8868F2059651}"/>
            </c:ext>
          </c:extLst>
        </c:ser>
        <c:ser>
          <c:idx val="0"/>
          <c:order val="1"/>
          <c:tx>
            <c:strRef>
              <c:f>'[Graphs - Gases Net UNFCCC (October 2022).xlsx]SF6'!$A$8</c:f>
              <c:strCache>
                <c:ptCount val="1"/>
                <c:pt idx="0">
                  <c:v>With additional measures</c:v>
                </c:pt>
              </c:strCache>
            </c:strRef>
          </c:tx>
          <c:spPr>
            <a:ln w="19050" cap="rnd">
              <a:solidFill>
                <a:srgbClr val="2C9986"/>
              </a:solidFill>
              <a:round/>
            </a:ln>
            <a:effectLst/>
          </c:spPr>
          <c:marker>
            <c:symbol val="none"/>
          </c:marker>
          <c:xVal>
            <c:numRef>
              <c:f>'[Graphs - Gases Net UNFCCC (October 2022).xlsx]SF6'!$B$5:$BJ$5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2022).xlsx]SF6'!$B$8:$BJ$8</c:f>
              <c:numCache>
                <c:formatCode>#,##0.00</c:formatCode>
                <c:ptCount val="61"/>
                <c:pt idx="0">
                  <c:v>1.9972800000000002E-2</c:v>
                </c:pt>
                <c:pt idx="1">
                  <c:v>2.0862000000000002E-2</c:v>
                </c:pt>
                <c:pt idx="2">
                  <c:v>2.19051E-2</c:v>
                </c:pt>
                <c:pt idx="3">
                  <c:v>2.2692555000000003E-2</c:v>
                </c:pt>
                <c:pt idx="4">
                  <c:v>2.3430462750000002E-2</c:v>
                </c:pt>
                <c:pt idx="5">
                  <c:v>2.4416165887500001E-2</c:v>
                </c:pt>
                <c:pt idx="6">
                  <c:v>2.4647454181932003E-2</c:v>
                </c:pt>
                <c:pt idx="7">
                  <c:v>2.5584566891040002E-2</c:v>
                </c:pt>
                <c:pt idx="8">
                  <c:v>2.4857395235591998E-2</c:v>
                </c:pt>
                <c:pt idx="9">
                  <c:v>2.4564684997212E-2</c:v>
                </c:pt>
                <c:pt idx="10">
                  <c:v>1.9564154978928001E-2</c:v>
                </c:pt>
                <c:pt idx="11">
                  <c:v>2.0036733223044004E-2</c:v>
                </c:pt>
                <c:pt idx="12">
                  <c:v>2.3317375610243999E-2</c:v>
                </c:pt>
                <c:pt idx="13">
                  <c:v>2.5187358493152002E-2</c:v>
                </c:pt>
                <c:pt idx="14">
                  <c:v>2.8915838524356002E-2</c:v>
                </c:pt>
                <c:pt idx="15">
                  <c:v>2.5413534264468001E-2</c:v>
                </c:pt>
                <c:pt idx="16">
                  <c:v>2.1045871043916E-2</c:v>
                </c:pt>
                <c:pt idx="17">
                  <c:v>1.9874624517840001E-2</c:v>
                </c:pt>
                <c:pt idx="18">
                  <c:v>1.9341221609292001E-2</c:v>
                </c:pt>
                <c:pt idx="19">
                  <c:v>2.2536088782707998E-2</c:v>
                </c:pt>
                <c:pt idx="20">
                  <c:v>2.2837506235068E-2</c:v>
                </c:pt>
                <c:pt idx="21">
                  <c:v>1.8939779918303999E-2</c:v>
                </c:pt>
                <c:pt idx="22">
                  <c:v>2.0899298127840003E-2</c:v>
                </c:pt>
                <c:pt idx="23">
                  <c:v>1.8184997495460001E-2</c:v>
                </c:pt>
                <c:pt idx="24">
                  <c:v>1.6800824780352001E-2</c:v>
                </c:pt>
                <c:pt idx="25">
                  <c:v>1.6464598579620002E-2</c:v>
                </c:pt>
                <c:pt idx="26">
                  <c:v>1.7362992753264E-2</c:v>
                </c:pt>
                <c:pt idx="27">
                  <c:v>1.4789757179172001E-2</c:v>
                </c:pt>
                <c:pt idx="28">
                  <c:v>1.4708877705876E-2</c:v>
                </c:pt>
                <c:pt idx="29">
                  <c:v>1.5981121896743999E-2</c:v>
                </c:pt>
                <c:pt idx="30">
                  <c:v>1.6685422931471999E-2</c:v>
                </c:pt>
                <c:pt idx="31">
                  <c:v>1.6688333656541689E-2</c:v>
                </c:pt>
                <c:pt idx="32">
                  <c:v>1.7023294849457301E-2</c:v>
                </c:pt>
                <c:pt idx="33">
                  <c:v>1.7397702599270683E-2</c:v>
                </c:pt>
                <c:pt idx="34">
                  <c:v>1.7758387196423087E-2</c:v>
                </c:pt>
                <c:pt idx="35">
                  <c:v>1.8084324677111949E-2</c:v>
                </c:pt>
                <c:pt idx="36">
                  <c:v>1.8404390333006424E-2</c:v>
                </c:pt>
                <c:pt idx="37">
                  <c:v>1.8717782684261153E-2</c:v>
                </c:pt>
                <c:pt idx="38">
                  <c:v>1.902111942960797E-2</c:v>
                </c:pt>
                <c:pt idx="39">
                  <c:v>1.9298033119594746E-2</c:v>
                </c:pt>
                <c:pt idx="40">
                  <c:v>1.9551120776005324E-2</c:v>
                </c:pt>
                <c:pt idx="41">
                  <c:v>1.9795395343442185E-2</c:v>
                </c:pt>
                <c:pt idx="42">
                  <c:v>2.0031631834238558E-2</c:v>
                </c:pt>
                <c:pt idx="43">
                  <c:v>2.0260362620208323E-2</c:v>
                </c:pt>
                <c:pt idx="44">
                  <c:v>2.0482300703063127E-2</c:v>
                </c:pt>
                <c:pt idx="45">
                  <c:v>2.0699251472448568E-2</c:v>
                </c:pt>
                <c:pt idx="46">
                  <c:v>2.0915387312155528E-2</c:v>
                </c:pt>
                <c:pt idx="47">
                  <c:v>2.113311490678163E-2</c:v>
                </c:pt>
                <c:pt idx="48">
                  <c:v>2.1352440460182864E-2</c:v>
                </c:pt>
                <c:pt idx="49">
                  <c:v>2.1574264009991434E-2</c:v>
                </c:pt>
                <c:pt idx="50">
                  <c:v>2.1798876656387162E-2</c:v>
                </c:pt>
                <c:pt idx="51">
                  <c:v>2.2026155912287189E-2</c:v>
                </c:pt>
                <c:pt idx="52">
                  <c:v>2.2256763758145552E-2</c:v>
                </c:pt>
                <c:pt idx="53">
                  <c:v>2.2490645077269545E-2</c:v>
                </c:pt>
                <c:pt idx="54">
                  <c:v>2.2727589866306967E-2</c:v>
                </c:pt>
                <c:pt idx="55">
                  <c:v>2.2968402847827769E-2</c:v>
                </c:pt>
                <c:pt idx="56">
                  <c:v>2.3213255300830109E-2</c:v>
                </c:pt>
                <c:pt idx="57">
                  <c:v>2.3461730406944714E-2</c:v>
                </c:pt>
                <c:pt idx="58">
                  <c:v>2.371504619299656E-2</c:v>
                </c:pt>
                <c:pt idx="59">
                  <c:v>2.3973770857065754E-2</c:v>
                </c:pt>
                <c:pt idx="60">
                  <c:v>2.4238252984160831E-2</c:v>
                </c:pt>
              </c:numCache>
            </c:numRef>
          </c:yVal>
          <c:smooth val="0"/>
          <c:extLst>
            <c:ext xmlns:c16="http://schemas.microsoft.com/office/drawing/2014/chart" uri="{C3380CC4-5D6E-409C-BE32-E72D297353CC}">
              <c16:uniqueId val="{00000001-7DBD-42AA-B5CC-8868F2059651}"/>
            </c:ext>
          </c:extLst>
        </c:ser>
        <c:ser>
          <c:idx val="1"/>
          <c:order val="2"/>
          <c:tx>
            <c:strRef>
              <c:f>'[Graphs - Gases Net UNFCCC (October 2022).xlsx]SF6'!$A$6</c:f>
              <c:strCache>
                <c:ptCount val="1"/>
                <c:pt idx="0">
                  <c:v>With existing measures </c:v>
                </c:pt>
              </c:strCache>
            </c:strRef>
          </c:tx>
          <c:spPr>
            <a:ln w="19050" cap="rnd">
              <a:solidFill>
                <a:srgbClr val="A0A0A0"/>
              </a:solidFill>
              <a:round/>
            </a:ln>
            <a:effectLst/>
          </c:spPr>
          <c:marker>
            <c:symbol val="none"/>
          </c:marker>
          <c:xVal>
            <c:numRef>
              <c:f>'[Graphs - Gases Net UNFCCC (October 2022).xlsx]SF6'!$B$5:$BJ$5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2022).xlsx]SF6'!$B$6:$BJ$6</c:f>
              <c:numCache>
                <c:formatCode>#,##0.00</c:formatCode>
                <c:ptCount val="61"/>
                <c:pt idx="0">
                  <c:v>1.9972800000000002E-2</c:v>
                </c:pt>
                <c:pt idx="1">
                  <c:v>2.0862000000000002E-2</c:v>
                </c:pt>
                <c:pt idx="2">
                  <c:v>2.19051E-2</c:v>
                </c:pt>
                <c:pt idx="3">
                  <c:v>2.2692555000000003E-2</c:v>
                </c:pt>
                <c:pt idx="4">
                  <c:v>2.3430462750000002E-2</c:v>
                </c:pt>
                <c:pt idx="5">
                  <c:v>2.4416165887500001E-2</c:v>
                </c:pt>
                <c:pt idx="6">
                  <c:v>2.4647454181932003E-2</c:v>
                </c:pt>
                <c:pt idx="7">
                  <c:v>2.5584566891040002E-2</c:v>
                </c:pt>
                <c:pt idx="8">
                  <c:v>2.4857395235591998E-2</c:v>
                </c:pt>
                <c:pt idx="9">
                  <c:v>2.4564684997212E-2</c:v>
                </c:pt>
                <c:pt idx="10">
                  <c:v>1.9564154978928001E-2</c:v>
                </c:pt>
                <c:pt idx="11">
                  <c:v>2.0036733223044004E-2</c:v>
                </c:pt>
                <c:pt idx="12">
                  <c:v>2.3317375610243999E-2</c:v>
                </c:pt>
                <c:pt idx="13">
                  <c:v>2.5187358493152002E-2</c:v>
                </c:pt>
                <c:pt idx="14">
                  <c:v>2.8915838524356002E-2</c:v>
                </c:pt>
                <c:pt idx="15">
                  <c:v>2.5413534264468001E-2</c:v>
                </c:pt>
                <c:pt idx="16">
                  <c:v>2.1045871043916E-2</c:v>
                </c:pt>
                <c:pt idx="17">
                  <c:v>1.9874624517840001E-2</c:v>
                </c:pt>
                <c:pt idx="18">
                  <c:v>1.9341221609292001E-2</c:v>
                </c:pt>
                <c:pt idx="19">
                  <c:v>2.2536088782707998E-2</c:v>
                </c:pt>
                <c:pt idx="20">
                  <c:v>2.2837506235068E-2</c:v>
                </c:pt>
                <c:pt idx="21">
                  <c:v>1.8939779918303999E-2</c:v>
                </c:pt>
                <c:pt idx="22">
                  <c:v>2.0899298127840003E-2</c:v>
                </c:pt>
                <c:pt idx="23">
                  <c:v>1.8184997495460001E-2</c:v>
                </c:pt>
                <c:pt idx="24">
                  <c:v>1.6800824780352001E-2</c:v>
                </c:pt>
                <c:pt idx="25">
                  <c:v>1.6464598579620002E-2</c:v>
                </c:pt>
                <c:pt idx="26">
                  <c:v>1.7362992753264E-2</c:v>
                </c:pt>
                <c:pt idx="27">
                  <c:v>1.4789757179172001E-2</c:v>
                </c:pt>
                <c:pt idx="28">
                  <c:v>1.4708877705876E-2</c:v>
                </c:pt>
                <c:pt idx="29">
                  <c:v>1.5981121896743999E-2</c:v>
                </c:pt>
                <c:pt idx="30">
                  <c:v>1.6685422931471999E-2</c:v>
                </c:pt>
                <c:pt idx="31">
                  <c:v>1.6688333656541689E-2</c:v>
                </c:pt>
                <c:pt idx="32">
                  <c:v>1.7023294849457301E-2</c:v>
                </c:pt>
                <c:pt idx="33">
                  <c:v>1.7397702599270683E-2</c:v>
                </c:pt>
                <c:pt idx="34">
                  <c:v>1.7758387196423087E-2</c:v>
                </c:pt>
                <c:pt idx="35">
                  <c:v>1.8084324677111949E-2</c:v>
                </c:pt>
                <c:pt idx="36">
                  <c:v>1.8404390333006424E-2</c:v>
                </c:pt>
                <c:pt idx="37">
                  <c:v>1.8717782684261153E-2</c:v>
                </c:pt>
                <c:pt idx="38">
                  <c:v>1.902111942960797E-2</c:v>
                </c:pt>
                <c:pt idx="39">
                  <c:v>1.9298033119594746E-2</c:v>
                </c:pt>
                <c:pt idx="40">
                  <c:v>1.9551120776005324E-2</c:v>
                </c:pt>
                <c:pt idx="41">
                  <c:v>1.9795395343442185E-2</c:v>
                </c:pt>
                <c:pt idx="42">
                  <c:v>2.0031631834238558E-2</c:v>
                </c:pt>
                <c:pt idx="43">
                  <c:v>2.0260362620208323E-2</c:v>
                </c:pt>
                <c:pt idx="44">
                  <c:v>2.0482300703063127E-2</c:v>
                </c:pt>
                <c:pt idx="45">
                  <c:v>2.0699251472448568E-2</c:v>
                </c:pt>
                <c:pt idx="46">
                  <c:v>2.0915387312155528E-2</c:v>
                </c:pt>
                <c:pt idx="47">
                  <c:v>2.113311490678163E-2</c:v>
                </c:pt>
                <c:pt idx="48">
                  <c:v>2.1352440460182864E-2</c:v>
                </c:pt>
                <c:pt idx="49">
                  <c:v>2.1574264009991434E-2</c:v>
                </c:pt>
                <c:pt idx="50">
                  <c:v>2.1798876656387162E-2</c:v>
                </c:pt>
                <c:pt idx="51">
                  <c:v>2.2026155912287189E-2</c:v>
                </c:pt>
                <c:pt idx="52">
                  <c:v>2.2256763758145552E-2</c:v>
                </c:pt>
                <c:pt idx="53">
                  <c:v>2.2490645077269545E-2</c:v>
                </c:pt>
                <c:pt idx="54">
                  <c:v>2.2727589866306967E-2</c:v>
                </c:pt>
                <c:pt idx="55">
                  <c:v>2.2968402847827769E-2</c:v>
                </c:pt>
                <c:pt idx="56">
                  <c:v>2.3213255300830109E-2</c:v>
                </c:pt>
                <c:pt idx="57">
                  <c:v>2.3461730406944714E-2</c:v>
                </c:pt>
                <c:pt idx="58">
                  <c:v>2.371504619299656E-2</c:v>
                </c:pt>
                <c:pt idx="59">
                  <c:v>2.3973770857065754E-2</c:v>
                </c:pt>
                <c:pt idx="60">
                  <c:v>2.4238252984160831E-2</c:v>
                </c:pt>
              </c:numCache>
            </c:numRef>
          </c:yVal>
          <c:smooth val="0"/>
          <c:extLst>
            <c:ext xmlns:c16="http://schemas.microsoft.com/office/drawing/2014/chart" uri="{C3380CC4-5D6E-409C-BE32-E72D297353CC}">
              <c16:uniqueId val="{00000002-7DBD-42AA-B5CC-8868F2059651}"/>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1.6666666666666666E-2"/>
              <c:y val="0.20788988557119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100"/>
              <a:t>HFCs</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Gases Net UNFCCC (October 2022).xlsx]HFCs'!$A$7</c:f>
              <c:strCache>
                <c:ptCount val="1"/>
                <c:pt idx="0">
                  <c:v>Without measures</c:v>
                </c:pt>
              </c:strCache>
            </c:strRef>
          </c:tx>
          <c:spPr>
            <a:ln w="19050" cap="rnd">
              <a:solidFill>
                <a:srgbClr val="1B556B"/>
              </a:solidFill>
              <a:round/>
            </a:ln>
            <a:effectLst/>
          </c:spPr>
          <c:marker>
            <c:symbol val="none"/>
          </c:marker>
          <c:xVal>
            <c:numRef>
              <c:f>'[Graphs - Gases Net UNFCCC (October 2022).xlsx]HFCs'!$B$5:$BJ$5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2022).xlsx]HFCs'!$B$7:$BJ$7</c:f>
              <c:numCache>
                <c:formatCode>#,##0.00</c:formatCode>
                <c:ptCount val="61"/>
                <c:pt idx="0">
                  <c:v>0</c:v>
                </c:pt>
                <c:pt idx="1">
                  <c:v>0</c:v>
                </c:pt>
                <c:pt idx="2">
                  <c:v>2.859999999999999E-4</c:v>
                </c:pt>
                <c:pt idx="3">
                  <c:v>4.8838011794613589E-4</c:v>
                </c:pt>
                <c:pt idx="4">
                  <c:v>1.2641938901479501E-2</c:v>
                </c:pt>
                <c:pt idx="5">
                  <c:v>3.1266043550667366E-2</c:v>
                </c:pt>
                <c:pt idx="6">
                  <c:v>6.9938211656522489E-2</c:v>
                </c:pt>
                <c:pt idx="7">
                  <c:v>0.12068574733958987</c:v>
                </c:pt>
                <c:pt idx="8">
                  <c:v>0.14787746951549746</c:v>
                </c:pt>
                <c:pt idx="9">
                  <c:v>0.19536470482271273</c:v>
                </c:pt>
                <c:pt idx="10">
                  <c:v>0.24371590732163606</c:v>
                </c:pt>
                <c:pt idx="11">
                  <c:v>0.33047071424516161</c:v>
                </c:pt>
                <c:pt idx="12">
                  <c:v>0.38437103201201822</c:v>
                </c:pt>
                <c:pt idx="13">
                  <c:v>0.45510925067498292</c:v>
                </c:pt>
                <c:pt idx="14">
                  <c:v>0.5562469567819408</c:v>
                </c:pt>
                <c:pt idx="15">
                  <c:v>0.67624442967739573</c:v>
                </c:pt>
                <c:pt idx="16">
                  <c:v>0.75926730839780565</c:v>
                </c:pt>
                <c:pt idx="17">
                  <c:v>0.85267605394139034</c:v>
                </c:pt>
                <c:pt idx="18">
                  <c:v>0.94379637538327443</c:v>
                </c:pt>
                <c:pt idx="19">
                  <c:v>1.0131222939913462</c:v>
                </c:pt>
                <c:pt idx="20">
                  <c:v>1.066818776478071</c:v>
                </c:pt>
                <c:pt idx="21">
                  <c:v>1.160623054564152</c:v>
                </c:pt>
                <c:pt idx="22">
                  <c:v>1.2535091247941446</c:v>
                </c:pt>
                <c:pt idx="23">
                  <c:v>1.302120234997405</c:v>
                </c:pt>
                <c:pt idx="24">
                  <c:v>1.3265993743561262</c:v>
                </c:pt>
                <c:pt idx="25">
                  <c:v>1.3765898009958992</c:v>
                </c:pt>
                <c:pt idx="26">
                  <c:v>1.409774904077242</c:v>
                </c:pt>
                <c:pt idx="27">
                  <c:v>1.455486566201879</c:v>
                </c:pt>
                <c:pt idx="28">
                  <c:v>1.468691304462886</c:v>
                </c:pt>
                <c:pt idx="29">
                  <c:v>1.4715363122077547</c:v>
                </c:pt>
                <c:pt idx="30">
                  <c:v>1.4710658956244738</c:v>
                </c:pt>
                <c:pt idx="31">
                  <c:v>1.4852235068184241</c:v>
                </c:pt>
                <c:pt idx="32">
                  <c:v>1.5009424385991021</c:v>
                </c:pt>
                <c:pt idx="33">
                  <c:v>1.5141085518992343</c:v>
                </c:pt>
                <c:pt idx="34">
                  <c:v>1.5324519484262427</c:v>
                </c:pt>
                <c:pt idx="35">
                  <c:v>1.5300574457103866</c:v>
                </c:pt>
                <c:pt idx="36">
                  <c:v>1.5359667630607121</c:v>
                </c:pt>
                <c:pt idx="37">
                  <c:v>1.5406743269572838</c:v>
                </c:pt>
                <c:pt idx="38">
                  <c:v>1.5320702789923486</c:v>
                </c:pt>
                <c:pt idx="39">
                  <c:v>1.5407993412084569</c:v>
                </c:pt>
                <c:pt idx="40">
                  <c:v>1.5200090215698971</c:v>
                </c:pt>
                <c:pt idx="41">
                  <c:v>1.497127606591085</c:v>
                </c:pt>
                <c:pt idx="42">
                  <c:v>1.4787088835900719</c:v>
                </c:pt>
                <c:pt idx="43">
                  <c:v>1.458077660802636</c:v>
                </c:pt>
                <c:pt idx="44">
                  <c:v>1.4290963773190439</c:v>
                </c:pt>
                <c:pt idx="45">
                  <c:v>1.3895873178948916</c:v>
                </c:pt>
                <c:pt idx="46">
                  <c:v>1.3717913100846866</c:v>
                </c:pt>
                <c:pt idx="47">
                  <c:v>1.336883561012971</c:v>
                </c:pt>
                <c:pt idx="48">
                  <c:v>1.3020739221548998</c:v>
                </c:pt>
                <c:pt idx="49">
                  <c:v>1.269147590183201</c:v>
                </c:pt>
                <c:pt idx="50">
                  <c:v>1.2432985751262664</c:v>
                </c:pt>
                <c:pt idx="51">
                  <c:v>1.2147642475944567</c:v>
                </c:pt>
                <c:pt idx="52">
                  <c:v>1.1927544555496958</c:v>
                </c:pt>
                <c:pt idx="53">
                  <c:v>1.1747027812819988</c:v>
                </c:pt>
                <c:pt idx="54">
                  <c:v>1.1549600819886083</c:v>
                </c:pt>
                <c:pt idx="55">
                  <c:v>1.1380981944888295</c:v>
                </c:pt>
                <c:pt idx="56">
                  <c:v>1.1307318431292614</c:v>
                </c:pt>
                <c:pt idx="57">
                  <c:v>1.1071331797073858</c:v>
                </c:pt>
                <c:pt idx="58">
                  <c:v>1.0858017705514411</c:v>
                </c:pt>
                <c:pt idx="59">
                  <c:v>1.0661130993164518</c:v>
                </c:pt>
                <c:pt idx="60">
                  <c:v>1.045593651445365</c:v>
                </c:pt>
              </c:numCache>
            </c:numRef>
          </c:yVal>
          <c:smooth val="0"/>
          <c:extLst>
            <c:ext xmlns:c16="http://schemas.microsoft.com/office/drawing/2014/chart" uri="{C3380CC4-5D6E-409C-BE32-E72D297353CC}">
              <c16:uniqueId val="{00000000-D870-4400-B236-F104B105D824}"/>
            </c:ext>
          </c:extLst>
        </c:ser>
        <c:ser>
          <c:idx val="0"/>
          <c:order val="1"/>
          <c:tx>
            <c:strRef>
              <c:f>'[Graphs - Gases Net UNFCCC (October 2022).xlsx]HFCs'!$A$8</c:f>
              <c:strCache>
                <c:ptCount val="1"/>
                <c:pt idx="0">
                  <c:v>With additional measures</c:v>
                </c:pt>
              </c:strCache>
            </c:strRef>
          </c:tx>
          <c:spPr>
            <a:ln w="19050" cap="rnd">
              <a:solidFill>
                <a:srgbClr val="2C9986"/>
              </a:solidFill>
              <a:round/>
            </a:ln>
            <a:effectLst/>
          </c:spPr>
          <c:marker>
            <c:symbol val="none"/>
          </c:marker>
          <c:xVal>
            <c:numRef>
              <c:f>'[Graphs - Gases Net UNFCCC (October 2022).xlsx]HFCs'!$B$5:$BJ$5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2022).xlsx]HFCs'!$B$8:$BJ$8</c:f>
              <c:numCache>
                <c:formatCode>#,##0.00</c:formatCode>
                <c:ptCount val="61"/>
                <c:pt idx="0">
                  <c:v>0</c:v>
                </c:pt>
                <c:pt idx="1">
                  <c:v>0</c:v>
                </c:pt>
                <c:pt idx="2">
                  <c:v>2.8600000000000001E-4</c:v>
                </c:pt>
                <c:pt idx="3">
                  <c:v>3.5749999999999996E-4</c:v>
                </c:pt>
                <c:pt idx="4">
                  <c:v>7.9053989014794858E-3</c:v>
                </c:pt>
                <c:pt idx="5">
                  <c:v>2.4518363550667364E-2</c:v>
                </c:pt>
                <c:pt idx="6">
                  <c:v>5.4360755176522543E-2</c:v>
                </c:pt>
                <c:pt idx="7">
                  <c:v>0.11342009805958986</c:v>
                </c:pt>
                <c:pt idx="8">
                  <c:v>9.7519624235497468E-2</c:v>
                </c:pt>
                <c:pt idx="9">
                  <c:v>0.19228407004271272</c:v>
                </c:pt>
                <c:pt idx="10">
                  <c:v>0.23364728767108625</c:v>
                </c:pt>
                <c:pt idx="11">
                  <c:v>0.30009707980593553</c:v>
                </c:pt>
                <c:pt idx="12">
                  <c:v>0.40136360371201835</c:v>
                </c:pt>
                <c:pt idx="13">
                  <c:v>0.5038452523302932</c:v>
                </c:pt>
                <c:pt idx="14">
                  <c:v>0.58257670498607239</c:v>
                </c:pt>
                <c:pt idx="15">
                  <c:v>0.69401071579338014</c:v>
                </c:pt>
                <c:pt idx="16">
                  <c:v>0.79868050821832248</c:v>
                </c:pt>
                <c:pt idx="17">
                  <c:v>0.91708822822648906</c:v>
                </c:pt>
                <c:pt idx="18">
                  <c:v>1.013305473818749</c:v>
                </c:pt>
                <c:pt idx="19">
                  <c:v>1.0756065872797822</c:v>
                </c:pt>
                <c:pt idx="20">
                  <c:v>1.1008073723697456</c:v>
                </c:pt>
                <c:pt idx="21">
                  <c:v>1.1778379554922829</c:v>
                </c:pt>
                <c:pt idx="22">
                  <c:v>1.2623459611768046</c:v>
                </c:pt>
                <c:pt idx="23">
                  <c:v>1.3110508007643811</c:v>
                </c:pt>
                <c:pt idx="24">
                  <c:v>1.3357927129088545</c:v>
                </c:pt>
                <c:pt idx="25">
                  <c:v>1.3861735364315877</c:v>
                </c:pt>
                <c:pt idx="26">
                  <c:v>1.4195454771484608</c:v>
                </c:pt>
                <c:pt idx="27">
                  <c:v>1.4659744251158999</c:v>
                </c:pt>
                <c:pt idx="28">
                  <c:v>1.4790290446358159</c:v>
                </c:pt>
                <c:pt idx="29">
                  <c:v>1.4810006683415207</c:v>
                </c:pt>
                <c:pt idx="30">
                  <c:v>1.4802908388619769</c:v>
                </c:pt>
                <c:pt idx="31">
                  <c:v>1.3995057321984119</c:v>
                </c:pt>
                <c:pt idx="32">
                  <c:v>1.2973253724074965</c:v>
                </c:pt>
                <c:pt idx="33">
                  <c:v>1.2856279390742986</c:v>
                </c:pt>
                <c:pt idx="34">
                  <c:v>1.2652878510423731</c:v>
                </c:pt>
                <c:pt idx="35">
                  <c:v>1.2235008100396474</c:v>
                </c:pt>
                <c:pt idx="36">
                  <c:v>1.1970243099005957</c:v>
                </c:pt>
                <c:pt idx="37">
                  <c:v>1.1736550032693038</c:v>
                </c:pt>
                <c:pt idx="38">
                  <c:v>1.1397293470459642</c:v>
                </c:pt>
                <c:pt idx="39">
                  <c:v>1.1281880967938063</c:v>
                </c:pt>
                <c:pt idx="40">
                  <c:v>1.1098289838521653</c:v>
                </c:pt>
                <c:pt idx="41">
                  <c:v>1.0485335363366817</c:v>
                </c:pt>
                <c:pt idx="42">
                  <c:v>0.99779366527813229</c:v>
                </c:pt>
                <c:pt idx="43">
                  <c:v>0.94040391777822396</c:v>
                </c:pt>
                <c:pt idx="44">
                  <c:v>0.85382912219991591</c:v>
                </c:pt>
                <c:pt idx="45">
                  <c:v>0.76465560011305367</c:v>
                </c:pt>
                <c:pt idx="46">
                  <c:v>0.67569571922587091</c:v>
                </c:pt>
                <c:pt idx="47">
                  <c:v>0.58080843148624772</c:v>
                </c:pt>
                <c:pt idx="48">
                  <c:v>0.5041745703871634</c:v>
                </c:pt>
                <c:pt idx="49">
                  <c:v>0.43063263182175071</c:v>
                </c:pt>
                <c:pt idx="50">
                  <c:v>0.3665822618320867</c:v>
                </c:pt>
                <c:pt idx="51">
                  <c:v>0.29459919156729336</c:v>
                </c:pt>
                <c:pt idx="52">
                  <c:v>0.23203858816793854</c:v>
                </c:pt>
                <c:pt idx="53">
                  <c:v>0.1973719681047483</c:v>
                </c:pt>
                <c:pt idx="54">
                  <c:v>0.16348481430580492</c:v>
                </c:pt>
                <c:pt idx="55">
                  <c:v>0.13485521290573782</c:v>
                </c:pt>
                <c:pt idx="56">
                  <c:v>0.12345074511569437</c:v>
                </c:pt>
                <c:pt idx="57">
                  <c:v>0.11040427907995279</c:v>
                </c:pt>
                <c:pt idx="58">
                  <c:v>0.10481959986305736</c:v>
                </c:pt>
                <c:pt idx="59">
                  <c:v>9.9911036868271449E-2</c:v>
                </c:pt>
                <c:pt idx="60">
                  <c:v>9.5413685896926739E-2</c:v>
                </c:pt>
              </c:numCache>
            </c:numRef>
          </c:yVal>
          <c:smooth val="0"/>
          <c:extLst>
            <c:ext xmlns:c16="http://schemas.microsoft.com/office/drawing/2014/chart" uri="{C3380CC4-5D6E-409C-BE32-E72D297353CC}">
              <c16:uniqueId val="{00000001-D870-4400-B236-F104B105D824}"/>
            </c:ext>
          </c:extLst>
        </c:ser>
        <c:ser>
          <c:idx val="1"/>
          <c:order val="2"/>
          <c:tx>
            <c:strRef>
              <c:f>'[Graphs - Gases Net UNFCCC (October 2022).xlsx]HFCs'!$A$6</c:f>
              <c:strCache>
                <c:ptCount val="1"/>
                <c:pt idx="0">
                  <c:v>With existing measures </c:v>
                </c:pt>
              </c:strCache>
            </c:strRef>
          </c:tx>
          <c:spPr>
            <a:ln w="19050" cap="rnd">
              <a:solidFill>
                <a:srgbClr val="A0A0A0"/>
              </a:solidFill>
              <a:round/>
            </a:ln>
            <a:effectLst/>
          </c:spPr>
          <c:marker>
            <c:symbol val="none"/>
          </c:marker>
          <c:xVal>
            <c:numRef>
              <c:f>'[Graphs - Gases Net UNFCCC (October 2022).xlsx]HFCs'!$B$5:$BJ$5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2022).xlsx]HFCs'!$B$6:$BJ$6</c:f>
              <c:numCache>
                <c:formatCode>#,##0.00</c:formatCode>
                <c:ptCount val="61"/>
                <c:pt idx="0">
                  <c:v>0</c:v>
                </c:pt>
                <c:pt idx="1">
                  <c:v>0</c:v>
                </c:pt>
                <c:pt idx="2">
                  <c:v>2.8600000000000001E-4</c:v>
                </c:pt>
                <c:pt idx="3">
                  <c:v>3.5749999999999996E-4</c:v>
                </c:pt>
                <c:pt idx="4">
                  <c:v>7.9053989014794858E-3</c:v>
                </c:pt>
                <c:pt idx="5">
                  <c:v>2.4518363550667364E-2</c:v>
                </c:pt>
                <c:pt idx="6">
                  <c:v>5.4360755176522543E-2</c:v>
                </c:pt>
                <c:pt idx="7">
                  <c:v>0.11342009805958986</c:v>
                </c:pt>
                <c:pt idx="8">
                  <c:v>9.7519624235497468E-2</c:v>
                </c:pt>
                <c:pt idx="9">
                  <c:v>0.19228407004271272</c:v>
                </c:pt>
                <c:pt idx="10">
                  <c:v>0.23364728767108625</c:v>
                </c:pt>
                <c:pt idx="11">
                  <c:v>0.30009707980593553</c:v>
                </c:pt>
                <c:pt idx="12">
                  <c:v>0.40136360371201835</c:v>
                </c:pt>
                <c:pt idx="13">
                  <c:v>0.5038452523302932</c:v>
                </c:pt>
                <c:pt idx="14">
                  <c:v>0.58257670498607239</c:v>
                </c:pt>
                <c:pt idx="15">
                  <c:v>0.69401071579338014</c:v>
                </c:pt>
                <c:pt idx="16">
                  <c:v>0.79868050821832248</c:v>
                </c:pt>
                <c:pt idx="17">
                  <c:v>0.91708822822648906</c:v>
                </c:pt>
                <c:pt idx="18">
                  <c:v>1.013305473818749</c:v>
                </c:pt>
                <c:pt idx="19">
                  <c:v>1.0756065872797822</c:v>
                </c:pt>
                <c:pt idx="20">
                  <c:v>1.1008073723697456</c:v>
                </c:pt>
                <c:pt idx="21">
                  <c:v>1.1778379554922829</c:v>
                </c:pt>
                <c:pt idx="22">
                  <c:v>1.2623459611768046</c:v>
                </c:pt>
                <c:pt idx="23">
                  <c:v>1.3110508007643811</c:v>
                </c:pt>
                <c:pt idx="24">
                  <c:v>1.3357927129088545</c:v>
                </c:pt>
                <c:pt idx="25">
                  <c:v>1.3861735364315877</c:v>
                </c:pt>
                <c:pt idx="26">
                  <c:v>1.4195454771484608</c:v>
                </c:pt>
                <c:pt idx="27">
                  <c:v>1.4659744251158999</c:v>
                </c:pt>
                <c:pt idx="28">
                  <c:v>1.4790290446358159</c:v>
                </c:pt>
                <c:pt idx="29">
                  <c:v>1.4810006683415207</c:v>
                </c:pt>
                <c:pt idx="30">
                  <c:v>1.4802908388619769</c:v>
                </c:pt>
                <c:pt idx="31">
                  <c:v>1.4002435322184119</c:v>
                </c:pt>
                <c:pt idx="32">
                  <c:v>1.3492438441505328</c:v>
                </c:pt>
                <c:pt idx="33">
                  <c:v>1.3423922255047229</c:v>
                </c:pt>
                <c:pt idx="34">
                  <c:v>1.3369988863569937</c:v>
                </c:pt>
                <c:pt idx="35">
                  <c:v>1.302978331418845</c:v>
                </c:pt>
                <c:pt idx="36">
                  <c:v>1.2664465103450664</c:v>
                </c:pt>
                <c:pt idx="37">
                  <c:v>1.2536640143691513</c:v>
                </c:pt>
                <c:pt idx="38">
                  <c:v>1.2411575550891176</c:v>
                </c:pt>
                <c:pt idx="39">
                  <c:v>1.2279084509692058</c:v>
                </c:pt>
                <c:pt idx="40">
                  <c:v>1.2094633448593355</c:v>
                </c:pt>
                <c:pt idx="41">
                  <c:v>1.1615295838572479</c:v>
                </c:pt>
                <c:pt idx="42">
                  <c:v>1.1312231020738654</c:v>
                </c:pt>
                <c:pt idx="43">
                  <c:v>1.097494281234054</c:v>
                </c:pt>
                <c:pt idx="44">
                  <c:v>1.0543406213897351</c:v>
                </c:pt>
                <c:pt idx="45">
                  <c:v>1.0066974703548119</c:v>
                </c:pt>
                <c:pt idx="46">
                  <c:v>0.9445682485853194</c:v>
                </c:pt>
                <c:pt idx="47">
                  <c:v>0.89975006687431092</c:v>
                </c:pt>
                <c:pt idx="48">
                  <c:v>0.85527017862611976</c:v>
                </c:pt>
                <c:pt idx="49">
                  <c:v>0.81307220190154528</c:v>
                </c:pt>
                <c:pt idx="50">
                  <c:v>0.77818343132745094</c:v>
                </c:pt>
                <c:pt idx="51">
                  <c:v>0.73931583181857186</c:v>
                </c:pt>
                <c:pt idx="52">
                  <c:v>0.71209274912335185</c:v>
                </c:pt>
                <c:pt idx="53">
                  <c:v>0.69045853913258515</c:v>
                </c:pt>
                <c:pt idx="54">
                  <c:v>0.66850983164587852</c:v>
                </c:pt>
                <c:pt idx="55">
                  <c:v>0.65026718931813232</c:v>
                </c:pt>
                <c:pt idx="56">
                  <c:v>0.62695148621559749</c:v>
                </c:pt>
                <c:pt idx="57">
                  <c:v>0.60683983414950238</c:v>
                </c:pt>
                <c:pt idx="58">
                  <c:v>0.58926370535286199</c:v>
                </c:pt>
                <c:pt idx="59">
                  <c:v>0.57413237873745793</c:v>
                </c:pt>
                <c:pt idx="60">
                  <c:v>0.55946066215112444</c:v>
                </c:pt>
              </c:numCache>
            </c:numRef>
          </c:yVal>
          <c:smooth val="0"/>
          <c:extLst>
            <c:ext xmlns:c16="http://schemas.microsoft.com/office/drawing/2014/chart" uri="{C3380CC4-5D6E-409C-BE32-E72D297353CC}">
              <c16:uniqueId val="{00000002-D870-4400-B236-F104B105D824}"/>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2222222222222223E-2"/>
              <c:y val="0.20320275175352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a:t>PFCs</a:t>
            </a:r>
          </a:p>
        </c:rich>
      </c:tx>
      <c:overlay val="1"/>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Gases Net UNFCCC (October 2022).xlsx]PFCs'!$A$7</c:f>
              <c:strCache>
                <c:ptCount val="1"/>
                <c:pt idx="0">
                  <c:v>Without measures</c:v>
                </c:pt>
              </c:strCache>
            </c:strRef>
          </c:tx>
          <c:spPr>
            <a:ln w="19050" cap="rnd">
              <a:solidFill>
                <a:srgbClr val="1B556B"/>
              </a:solidFill>
              <a:round/>
            </a:ln>
            <a:effectLst/>
          </c:spPr>
          <c:marker>
            <c:symbol val="none"/>
          </c:marker>
          <c:xVal>
            <c:numRef>
              <c:f>'[Graphs - Gases Net UNFCCC (October 2022).xlsx]PFCs'!$B$5:$BJ$5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2022).xlsx]PFCs'!$B$7:$BJ$7</c:f>
              <c:numCache>
                <c:formatCode>#,##0.00</c:formatCode>
                <c:ptCount val="61"/>
                <c:pt idx="0">
                  <c:v>0.90994934800000005</c:v>
                </c:pt>
                <c:pt idx="1">
                  <c:v>0.90378987199999994</c:v>
                </c:pt>
                <c:pt idx="2">
                  <c:v>0.46187900000000004</c:v>
                </c:pt>
                <c:pt idx="3">
                  <c:v>0.21015700000000001</c:v>
                </c:pt>
                <c:pt idx="4">
                  <c:v>0.18617800000000001</c:v>
                </c:pt>
                <c:pt idx="5">
                  <c:v>0.15327700000000002</c:v>
                </c:pt>
                <c:pt idx="6">
                  <c:v>0.27898099999999998</c:v>
                </c:pt>
                <c:pt idx="7">
                  <c:v>0.20110572000000002</c:v>
                </c:pt>
                <c:pt idx="8">
                  <c:v>0.15138290000000001</c:v>
                </c:pt>
                <c:pt idx="9">
                  <c:v>6.8666600000000008E-2</c:v>
                </c:pt>
                <c:pt idx="10">
                  <c:v>6.7609700000000009E-2</c:v>
                </c:pt>
                <c:pt idx="11">
                  <c:v>7.0610300000000015E-2</c:v>
                </c:pt>
                <c:pt idx="12">
                  <c:v>8.4484449999999989E-2</c:v>
                </c:pt>
                <c:pt idx="13">
                  <c:v>0.12681300000000001</c:v>
                </c:pt>
                <c:pt idx="14">
                  <c:v>9.9115250000000002E-2</c:v>
                </c:pt>
                <c:pt idx="15">
                  <c:v>6.9379800000000005E-2</c:v>
                </c:pt>
                <c:pt idx="16">
                  <c:v>0.10673165</c:v>
                </c:pt>
                <c:pt idx="17">
                  <c:v>4.8405459999999997E-2</c:v>
                </c:pt>
                <c:pt idx="18">
                  <c:v>4.5467469999999996E-2</c:v>
                </c:pt>
                <c:pt idx="19">
                  <c:v>5.3857970000000005E-2</c:v>
                </c:pt>
                <c:pt idx="20">
                  <c:v>4.7561550000000001E-2</c:v>
                </c:pt>
                <c:pt idx="21">
                  <c:v>3.5151732956845004E-2</c:v>
                </c:pt>
                <c:pt idx="22">
                  <c:v>4.7461606756948001E-2</c:v>
                </c:pt>
                <c:pt idx="23">
                  <c:v>4.8125254947890002E-2</c:v>
                </c:pt>
                <c:pt idx="24">
                  <c:v>7.3409788143055391E-2</c:v>
                </c:pt>
                <c:pt idx="25">
                  <c:v>5.8585213292659692E-2</c:v>
                </c:pt>
                <c:pt idx="26">
                  <c:v>4.8691416228474005E-2</c:v>
                </c:pt>
                <c:pt idx="27">
                  <c:v>6.0457723449999994E-2</c:v>
                </c:pt>
                <c:pt idx="28">
                  <c:v>7.2396164892824008E-2</c:v>
                </c:pt>
                <c:pt idx="29">
                  <c:v>8.9131613895999995E-2</c:v>
                </c:pt>
                <c:pt idx="30">
                  <c:v>8.7915683126720018E-2</c:v>
                </c:pt>
                <c:pt idx="31">
                  <c:v>8.2096831623164751E-2</c:v>
                </c:pt>
                <c:pt idx="32">
                  <c:v>8.2096831623164751E-2</c:v>
                </c:pt>
                <c:pt idx="33">
                  <c:v>8.2096831623164751E-2</c:v>
                </c:pt>
                <c:pt idx="34">
                  <c:v>8.2096831623164751E-2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numCache>
            </c:numRef>
          </c:yVal>
          <c:smooth val="0"/>
          <c:extLst>
            <c:ext xmlns:c16="http://schemas.microsoft.com/office/drawing/2014/chart" uri="{C3380CC4-5D6E-409C-BE32-E72D297353CC}">
              <c16:uniqueId val="{00000000-F1A8-475D-B057-A27AE313A345}"/>
            </c:ext>
          </c:extLst>
        </c:ser>
        <c:ser>
          <c:idx val="0"/>
          <c:order val="1"/>
          <c:tx>
            <c:strRef>
              <c:f>'[Graphs - Gases Net UNFCCC (October 2022).xlsx]PFCs'!$A$8</c:f>
              <c:strCache>
                <c:ptCount val="1"/>
                <c:pt idx="0">
                  <c:v>With additional measures</c:v>
                </c:pt>
              </c:strCache>
            </c:strRef>
          </c:tx>
          <c:spPr>
            <a:ln w="19050" cap="rnd">
              <a:solidFill>
                <a:srgbClr val="2C9986"/>
              </a:solidFill>
              <a:round/>
            </a:ln>
            <a:effectLst/>
          </c:spPr>
          <c:marker>
            <c:symbol val="none"/>
          </c:marker>
          <c:xVal>
            <c:numRef>
              <c:f>'[Graphs - Gases Net UNFCCC (October 2022).xlsx]PFCs'!$B$5:$BJ$5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2022).xlsx]PFCs'!$B$8:$BJ$8</c:f>
              <c:numCache>
                <c:formatCode>#,##0.00</c:formatCode>
                <c:ptCount val="61"/>
                <c:pt idx="0">
                  <c:v>0.90994934800000005</c:v>
                </c:pt>
                <c:pt idx="1">
                  <c:v>0.90378987199999994</c:v>
                </c:pt>
                <c:pt idx="2">
                  <c:v>0.46187900000000004</c:v>
                </c:pt>
                <c:pt idx="3">
                  <c:v>0.21015700000000001</c:v>
                </c:pt>
                <c:pt idx="4">
                  <c:v>0.18617800000000001</c:v>
                </c:pt>
                <c:pt idx="5">
                  <c:v>0.15327700000000002</c:v>
                </c:pt>
                <c:pt idx="6">
                  <c:v>0.27898099999999998</c:v>
                </c:pt>
                <c:pt idx="7">
                  <c:v>0.20110572000000002</c:v>
                </c:pt>
                <c:pt idx="8">
                  <c:v>0.15138290000000001</c:v>
                </c:pt>
                <c:pt idx="9">
                  <c:v>6.8666600000000008E-2</c:v>
                </c:pt>
                <c:pt idx="10">
                  <c:v>6.7609700000000009E-2</c:v>
                </c:pt>
                <c:pt idx="11">
                  <c:v>7.0610300000000015E-2</c:v>
                </c:pt>
                <c:pt idx="12">
                  <c:v>8.4484449999999989E-2</c:v>
                </c:pt>
                <c:pt idx="13">
                  <c:v>0.12681300000000001</c:v>
                </c:pt>
                <c:pt idx="14">
                  <c:v>9.9115250000000002E-2</c:v>
                </c:pt>
                <c:pt idx="15">
                  <c:v>6.9379800000000005E-2</c:v>
                </c:pt>
                <c:pt idx="16">
                  <c:v>0.10673165</c:v>
                </c:pt>
                <c:pt idx="17">
                  <c:v>4.8405459999999997E-2</c:v>
                </c:pt>
                <c:pt idx="18">
                  <c:v>4.5467469999999996E-2</c:v>
                </c:pt>
                <c:pt idx="19">
                  <c:v>5.3857970000000005E-2</c:v>
                </c:pt>
                <c:pt idx="20">
                  <c:v>4.7561550000000001E-2</c:v>
                </c:pt>
                <c:pt idx="21">
                  <c:v>3.5151732956845004E-2</c:v>
                </c:pt>
                <c:pt idx="22">
                  <c:v>4.7461606756948001E-2</c:v>
                </c:pt>
                <c:pt idx="23">
                  <c:v>4.8125254947890002E-2</c:v>
                </c:pt>
                <c:pt idx="24">
                  <c:v>7.3409788143055391E-2</c:v>
                </c:pt>
                <c:pt idx="25">
                  <c:v>5.8585213292659692E-2</c:v>
                </c:pt>
                <c:pt idx="26">
                  <c:v>4.8691416228474005E-2</c:v>
                </c:pt>
                <c:pt idx="27">
                  <c:v>6.0457723449999994E-2</c:v>
                </c:pt>
                <c:pt idx="28">
                  <c:v>7.2396164892824008E-2</c:v>
                </c:pt>
                <c:pt idx="29">
                  <c:v>8.9131613895999995E-2</c:v>
                </c:pt>
                <c:pt idx="30">
                  <c:v>8.7915683126720018E-2</c:v>
                </c:pt>
                <c:pt idx="31">
                  <c:v>8.2096831623164751E-2</c:v>
                </c:pt>
                <c:pt idx="32">
                  <c:v>8.2096831623164751E-2</c:v>
                </c:pt>
                <c:pt idx="33">
                  <c:v>8.2096831623164751E-2</c:v>
                </c:pt>
                <c:pt idx="34">
                  <c:v>8.2096831623164751E-2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numCache>
            </c:numRef>
          </c:yVal>
          <c:smooth val="0"/>
          <c:extLst>
            <c:ext xmlns:c16="http://schemas.microsoft.com/office/drawing/2014/chart" uri="{C3380CC4-5D6E-409C-BE32-E72D297353CC}">
              <c16:uniqueId val="{00000001-F1A8-475D-B057-A27AE313A345}"/>
            </c:ext>
          </c:extLst>
        </c:ser>
        <c:ser>
          <c:idx val="1"/>
          <c:order val="2"/>
          <c:tx>
            <c:strRef>
              <c:f>'[Graphs - Gases Net UNFCCC (October 2022).xlsx]PFCs'!$A$6</c:f>
              <c:strCache>
                <c:ptCount val="1"/>
                <c:pt idx="0">
                  <c:v>With existing measures </c:v>
                </c:pt>
              </c:strCache>
            </c:strRef>
          </c:tx>
          <c:spPr>
            <a:ln w="19050" cap="rnd">
              <a:solidFill>
                <a:srgbClr val="A0A0A0"/>
              </a:solidFill>
              <a:round/>
            </a:ln>
            <a:effectLst/>
          </c:spPr>
          <c:marker>
            <c:symbol val="none"/>
          </c:marker>
          <c:xVal>
            <c:numRef>
              <c:f>'[Graphs - Gases Net UNFCCC (October 2022).xlsx]PFCs'!$B$5:$BJ$5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2022).xlsx]PFCs'!$B$6:$BJ$6</c:f>
              <c:numCache>
                <c:formatCode>#,##0.00</c:formatCode>
                <c:ptCount val="61"/>
                <c:pt idx="0">
                  <c:v>0.90994934800000005</c:v>
                </c:pt>
                <c:pt idx="1">
                  <c:v>0.90378987199999994</c:v>
                </c:pt>
                <c:pt idx="2">
                  <c:v>0.46187900000000004</c:v>
                </c:pt>
                <c:pt idx="3">
                  <c:v>0.21015700000000001</c:v>
                </c:pt>
                <c:pt idx="4">
                  <c:v>0.18617800000000001</c:v>
                </c:pt>
                <c:pt idx="5">
                  <c:v>0.15327700000000002</c:v>
                </c:pt>
                <c:pt idx="6">
                  <c:v>0.27898099999999998</c:v>
                </c:pt>
                <c:pt idx="7">
                  <c:v>0.20110572000000002</c:v>
                </c:pt>
                <c:pt idx="8">
                  <c:v>0.15138290000000001</c:v>
                </c:pt>
                <c:pt idx="9">
                  <c:v>6.8666600000000008E-2</c:v>
                </c:pt>
                <c:pt idx="10">
                  <c:v>6.7609700000000009E-2</c:v>
                </c:pt>
                <c:pt idx="11">
                  <c:v>7.0610300000000015E-2</c:v>
                </c:pt>
                <c:pt idx="12">
                  <c:v>8.4484449999999989E-2</c:v>
                </c:pt>
                <c:pt idx="13">
                  <c:v>0.12681300000000001</c:v>
                </c:pt>
                <c:pt idx="14">
                  <c:v>9.9115250000000002E-2</c:v>
                </c:pt>
                <c:pt idx="15">
                  <c:v>6.9379800000000005E-2</c:v>
                </c:pt>
                <c:pt idx="16">
                  <c:v>0.10673165</c:v>
                </c:pt>
                <c:pt idx="17">
                  <c:v>4.8405459999999997E-2</c:v>
                </c:pt>
                <c:pt idx="18">
                  <c:v>4.5467469999999996E-2</c:v>
                </c:pt>
                <c:pt idx="19">
                  <c:v>5.3857970000000005E-2</c:v>
                </c:pt>
                <c:pt idx="20">
                  <c:v>4.7561550000000001E-2</c:v>
                </c:pt>
                <c:pt idx="21">
                  <c:v>3.5151732956845004E-2</c:v>
                </c:pt>
                <c:pt idx="22">
                  <c:v>4.7461606756948001E-2</c:v>
                </c:pt>
                <c:pt idx="23">
                  <c:v>4.8125254947890002E-2</c:v>
                </c:pt>
                <c:pt idx="24">
                  <c:v>7.3409788143055391E-2</c:v>
                </c:pt>
                <c:pt idx="25">
                  <c:v>5.8585213292659692E-2</c:v>
                </c:pt>
                <c:pt idx="26">
                  <c:v>4.8691416228474005E-2</c:v>
                </c:pt>
                <c:pt idx="27">
                  <c:v>6.0457723449999994E-2</c:v>
                </c:pt>
                <c:pt idx="28">
                  <c:v>7.2396164892824008E-2</c:v>
                </c:pt>
                <c:pt idx="29">
                  <c:v>8.9131613895999995E-2</c:v>
                </c:pt>
                <c:pt idx="30">
                  <c:v>8.7915683126720018E-2</c:v>
                </c:pt>
                <c:pt idx="31">
                  <c:v>8.2096831623164751E-2</c:v>
                </c:pt>
                <c:pt idx="32">
                  <c:v>8.2096831623164751E-2</c:v>
                </c:pt>
                <c:pt idx="33">
                  <c:v>8.2096831623164751E-2</c:v>
                </c:pt>
                <c:pt idx="34">
                  <c:v>8.2096831623164751E-2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numCache>
            </c:numRef>
          </c:yVal>
          <c:smooth val="0"/>
          <c:extLst>
            <c:ext xmlns:c16="http://schemas.microsoft.com/office/drawing/2014/chart" uri="{C3380CC4-5D6E-409C-BE32-E72D297353CC}">
              <c16:uniqueId val="{00000002-F1A8-475D-B057-A27AE313A345}"/>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2222222222222223E-2"/>
              <c:y val="0.20320275175352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'Energy AR4'!$A$9</c:f>
              <c:strCache>
                <c:ptCount val="1"/>
                <c:pt idx="0">
                  <c:v>High scenario</c:v>
                </c:pt>
              </c:strCache>
            </c:strRef>
          </c:tx>
          <c:spPr>
            <a:ln w="19050" cap="rnd">
              <a:solidFill>
                <a:srgbClr val="DA5A28"/>
              </a:solidFill>
              <a:round/>
            </a:ln>
            <a:effectLst/>
          </c:spPr>
          <c:marker>
            <c:symbol val="none"/>
          </c:marker>
          <c:xVal>
            <c:numRef>
              <c:f>'Energy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'Energy AR4'!$B$9:$BJ$9</c:f>
              <c:numCache>
                <c:formatCode>#,##0.00</c:formatCode>
                <c:ptCount val="61"/>
                <c:pt idx="0">
                  <c:v>15.751695544646063</c:v>
                </c:pt>
                <c:pt idx="1">
                  <c:v>16.260977254827516</c:v>
                </c:pt>
                <c:pt idx="2">
                  <c:v>17.758407978599234</c:v>
                </c:pt>
                <c:pt idx="3">
                  <c:v>16.84025600167087</c:v>
                </c:pt>
                <c:pt idx="4">
                  <c:v>16.497883331652176</c:v>
                </c:pt>
                <c:pt idx="5">
                  <c:v>15.618558565281802</c:v>
                </c:pt>
                <c:pt idx="6">
                  <c:v>17.083433621498493</c:v>
                </c:pt>
                <c:pt idx="7">
                  <c:v>18.888639588246836</c:v>
                </c:pt>
                <c:pt idx="8">
                  <c:v>17.101688792533114</c:v>
                </c:pt>
                <c:pt idx="9">
                  <c:v>18.1868786325463</c:v>
                </c:pt>
                <c:pt idx="10">
                  <c:v>18.370705268883331</c:v>
                </c:pt>
                <c:pt idx="11">
                  <c:v>20.333204974158051</c:v>
                </c:pt>
                <c:pt idx="12">
                  <c:v>19.827022505400844</c:v>
                </c:pt>
                <c:pt idx="13">
                  <c:v>20.715944376900111</c:v>
                </c:pt>
                <c:pt idx="14">
                  <c:v>20.063934177798689</c:v>
                </c:pt>
                <c:pt idx="15">
                  <c:v>21.586328922276167</c:v>
                </c:pt>
                <c:pt idx="16">
                  <c:v>21.865545676828599</c:v>
                </c:pt>
                <c:pt idx="17">
                  <c:v>20.354793772872497</c:v>
                </c:pt>
                <c:pt idx="18">
                  <c:v>21.481299268102134</c:v>
                </c:pt>
                <c:pt idx="19">
                  <c:v>18.990540654804409</c:v>
                </c:pt>
                <c:pt idx="20">
                  <c:v>18.898063747481601</c:v>
                </c:pt>
                <c:pt idx="21">
                  <c:v>18.239020672574455</c:v>
                </c:pt>
                <c:pt idx="22">
                  <c:v>19.946007179442013</c:v>
                </c:pt>
                <c:pt idx="23">
                  <c:v>19.007820653993861</c:v>
                </c:pt>
                <c:pt idx="24">
                  <c:v>18.819419437008783</c:v>
                </c:pt>
                <c:pt idx="25">
                  <c:v>18.600457290979207</c:v>
                </c:pt>
                <c:pt idx="26">
                  <c:v>17.094626559841227</c:v>
                </c:pt>
                <c:pt idx="27">
                  <c:v>17.649118290466973</c:v>
                </c:pt>
                <c:pt idx="28">
                  <c:v>17.39796844021074</c:v>
                </c:pt>
                <c:pt idx="29">
                  <c:v>19.265366209734616</c:v>
                </c:pt>
                <c:pt idx="30">
                  <c:v>18.285001429148974</c:v>
                </c:pt>
                <c:pt idx="31">
                  <c:v>18.117735669699858</c:v>
                </c:pt>
                <c:pt idx="32">
                  <c:v>16.783823408037264</c:v>
                </c:pt>
                <c:pt idx="33">
                  <c:v>16.495196120555814</c:v>
                </c:pt>
                <c:pt idx="34">
                  <c:v>16.010313423635111</c:v>
                </c:pt>
                <c:pt idx="35">
                  <c:v>13.589810828914878</c:v>
                </c:pt>
                <c:pt idx="36">
                  <c:v>13.371601535011592</c:v>
                </c:pt>
                <c:pt idx="37">
                  <c:v>13.205485326393687</c:v>
                </c:pt>
                <c:pt idx="38">
                  <c:v>13.024036179452413</c:v>
                </c:pt>
                <c:pt idx="39">
                  <c:v>12.531420464711546</c:v>
                </c:pt>
                <c:pt idx="40">
                  <c:v>12.267092625050399</c:v>
                </c:pt>
                <c:pt idx="41">
                  <c:v>12.113380066507395</c:v>
                </c:pt>
                <c:pt idx="42">
                  <c:v>11.989067127772678</c:v>
                </c:pt>
                <c:pt idx="43">
                  <c:v>11.895196187691733</c:v>
                </c:pt>
                <c:pt idx="44">
                  <c:v>11.681508327334345</c:v>
                </c:pt>
                <c:pt idx="45">
                  <c:v>11.514924984951417</c:v>
                </c:pt>
                <c:pt idx="46">
                  <c:v>11.403898604714362</c:v>
                </c:pt>
                <c:pt idx="47">
                  <c:v>11.301027955648584</c:v>
                </c:pt>
                <c:pt idx="48">
                  <c:v>10.719979711483774</c:v>
                </c:pt>
                <c:pt idx="49">
                  <c:v>10.548927407470712</c:v>
                </c:pt>
                <c:pt idx="50">
                  <c:v>10.553706559040974</c:v>
                </c:pt>
                <c:pt idx="51">
                  <c:v>9.9308832865951366</c:v>
                </c:pt>
                <c:pt idx="52">
                  <c:v>9.8638839707223127</c:v>
                </c:pt>
                <c:pt idx="53">
                  <c:v>9.7575619640178921</c:v>
                </c:pt>
                <c:pt idx="54">
                  <c:v>9.7008648325235907</c:v>
                </c:pt>
                <c:pt idx="55">
                  <c:v>9.570803784698116</c:v>
                </c:pt>
                <c:pt idx="56">
                  <c:v>9.6164717851195309</c:v>
                </c:pt>
                <c:pt idx="57">
                  <c:v>9.5390630667943093</c:v>
                </c:pt>
                <c:pt idx="58">
                  <c:v>9.5092197411438733</c:v>
                </c:pt>
                <c:pt idx="59">
                  <c:v>9.5132517945047645</c:v>
                </c:pt>
                <c:pt idx="60">
                  <c:v>9.5336024462253697</c:v>
                </c:pt>
              </c:numCache>
            </c:numRef>
          </c:yVal>
          <c:smooth val="0"/>
          <c:extLst>
            <c:ext xmlns:c16="http://schemas.microsoft.com/office/drawing/2014/chart" uri="{C3380CC4-5D6E-409C-BE32-E72D297353CC}">
              <c16:uniqueId val="{00000000-F671-422E-91BF-A929CF8BE04B}"/>
            </c:ext>
          </c:extLst>
        </c:ser>
        <c:ser>
          <c:idx val="0"/>
          <c:order val="1"/>
          <c:tx>
            <c:strRef>
              <c:f>'Energy AR4'!$A$10</c:f>
              <c:strCache>
                <c:ptCount val="1"/>
                <c:pt idx="0">
                  <c:v>Low scenario</c:v>
                </c:pt>
              </c:strCache>
            </c:strRef>
          </c:tx>
          <c:spPr>
            <a:ln w="19050" cap="rnd">
              <a:solidFill>
                <a:srgbClr val="32809C"/>
              </a:solidFill>
              <a:round/>
            </a:ln>
            <a:effectLst/>
          </c:spPr>
          <c:marker>
            <c:symbol val="none"/>
          </c:marker>
          <c:xVal>
            <c:numRef>
              <c:f>'Energy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'Energy AR4'!$B$10:$BJ$10</c:f>
              <c:numCache>
                <c:formatCode>#,##0.00</c:formatCode>
                <c:ptCount val="61"/>
                <c:pt idx="0">
                  <c:v>15.751695544646063</c:v>
                </c:pt>
                <c:pt idx="1">
                  <c:v>16.260977254827516</c:v>
                </c:pt>
                <c:pt idx="2">
                  <c:v>17.758407978599234</c:v>
                </c:pt>
                <c:pt idx="3">
                  <c:v>16.84025600167087</c:v>
                </c:pt>
                <c:pt idx="4">
                  <c:v>16.497883331652176</c:v>
                </c:pt>
                <c:pt idx="5">
                  <c:v>15.618558565281802</c:v>
                </c:pt>
                <c:pt idx="6">
                  <c:v>17.083433621498493</c:v>
                </c:pt>
                <c:pt idx="7">
                  <c:v>18.888639588246836</c:v>
                </c:pt>
                <c:pt idx="8">
                  <c:v>17.101688792533114</c:v>
                </c:pt>
                <c:pt idx="9">
                  <c:v>18.1868786325463</c:v>
                </c:pt>
                <c:pt idx="10">
                  <c:v>18.370705268883331</c:v>
                </c:pt>
                <c:pt idx="11">
                  <c:v>20.333204974158051</c:v>
                </c:pt>
                <c:pt idx="12">
                  <c:v>19.827022505400844</c:v>
                </c:pt>
                <c:pt idx="13">
                  <c:v>20.715944376900111</c:v>
                </c:pt>
                <c:pt idx="14">
                  <c:v>20.063934177798689</c:v>
                </c:pt>
                <c:pt idx="15">
                  <c:v>21.586328922276167</c:v>
                </c:pt>
                <c:pt idx="16">
                  <c:v>21.865545676828599</c:v>
                </c:pt>
                <c:pt idx="17">
                  <c:v>20.354793772872497</c:v>
                </c:pt>
                <c:pt idx="18">
                  <c:v>21.481299268102134</c:v>
                </c:pt>
                <c:pt idx="19">
                  <c:v>18.990540654804409</c:v>
                </c:pt>
                <c:pt idx="20">
                  <c:v>18.898063747481601</c:v>
                </c:pt>
                <c:pt idx="21">
                  <c:v>18.239020672574455</c:v>
                </c:pt>
                <c:pt idx="22">
                  <c:v>19.946007179442013</c:v>
                </c:pt>
                <c:pt idx="23">
                  <c:v>19.007820653993861</c:v>
                </c:pt>
                <c:pt idx="24">
                  <c:v>18.819419437008783</c:v>
                </c:pt>
                <c:pt idx="25">
                  <c:v>18.600457290979207</c:v>
                </c:pt>
                <c:pt idx="26">
                  <c:v>17.094626559841227</c:v>
                </c:pt>
                <c:pt idx="27">
                  <c:v>17.649118290466973</c:v>
                </c:pt>
                <c:pt idx="28">
                  <c:v>17.39796844021074</c:v>
                </c:pt>
                <c:pt idx="29">
                  <c:v>19.265366209734616</c:v>
                </c:pt>
                <c:pt idx="30">
                  <c:v>18.285001429148974</c:v>
                </c:pt>
                <c:pt idx="31">
                  <c:v>18.117735669699858</c:v>
                </c:pt>
                <c:pt idx="32">
                  <c:v>16.725159209451515</c:v>
                </c:pt>
                <c:pt idx="33">
                  <c:v>16.436529448994744</c:v>
                </c:pt>
                <c:pt idx="34">
                  <c:v>15.259803577847816</c:v>
                </c:pt>
                <c:pt idx="35">
                  <c:v>13.531135989135866</c:v>
                </c:pt>
                <c:pt idx="36">
                  <c:v>13.267934354514084</c:v>
                </c:pt>
                <c:pt idx="37">
                  <c:v>13.020565845626949</c:v>
                </c:pt>
                <c:pt idx="38">
                  <c:v>12.728890836216101</c:v>
                </c:pt>
                <c:pt idx="39">
                  <c:v>12.144991366352587</c:v>
                </c:pt>
                <c:pt idx="40">
                  <c:v>11.795155702830481</c:v>
                </c:pt>
                <c:pt idx="41">
                  <c:v>11.551273897019509</c:v>
                </c:pt>
                <c:pt idx="42">
                  <c:v>11.333983898871447</c:v>
                </c:pt>
                <c:pt idx="43">
                  <c:v>11.128418715341008</c:v>
                </c:pt>
                <c:pt idx="44">
                  <c:v>10.786399151073145</c:v>
                </c:pt>
                <c:pt idx="45">
                  <c:v>10.56590930501573</c:v>
                </c:pt>
                <c:pt idx="46">
                  <c:v>10.344698299905463</c:v>
                </c:pt>
                <c:pt idx="47">
                  <c:v>10.145868403517781</c:v>
                </c:pt>
                <c:pt idx="48">
                  <c:v>9.2123846092737658</c:v>
                </c:pt>
                <c:pt idx="49">
                  <c:v>9.0126792045475579</c:v>
                </c:pt>
                <c:pt idx="50">
                  <c:v>8.9697236882892231</c:v>
                </c:pt>
                <c:pt idx="51">
                  <c:v>8.3136034447900933</c:v>
                </c:pt>
                <c:pt idx="52">
                  <c:v>8.2673561482292701</c:v>
                </c:pt>
                <c:pt idx="53">
                  <c:v>8.2004537935516524</c:v>
                </c:pt>
                <c:pt idx="54">
                  <c:v>8.1582018268643566</c:v>
                </c:pt>
                <c:pt idx="55">
                  <c:v>7.9932270361196309</c:v>
                </c:pt>
                <c:pt idx="56">
                  <c:v>7.931321962359009</c:v>
                </c:pt>
                <c:pt idx="57">
                  <c:v>7.8368200013836811</c:v>
                </c:pt>
                <c:pt idx="58">
                  <c:v>7.7687859016390419</c:v>
                </c:pt>
                <c:pt idx="59">
                  <c:v>7.7271876760288247</c:v>
                </c:pt>
                <c:pt idx="60">
                  <c:v>7.6197429698446797</c:v>
                </c:pt>
              </c:numCache>
            </c:numRef>
          </c:yVal>
          <c:smooth val="0"/>
          <c:extLst>
            <c:ext xmlns:c16="http://schemas.microsoft.com/office/drawing/2014/chart" uri="{C3380CC4-5D6E-409C-BE32-E72D297353CC}">
              <c16:uniqueId val="{00000001-F671-422E-91BF-A929CF8BE04B}"/>
            </c:ext>
          </c:extLst>
        </c:ser>
        <c:ser>
          <c:idx val="1"/>
          <c:order val="2"/>
          <c:tx>
            <c:strRef>
              <c:f>'Energy AR4'!$A$6</c:f>
              <c:strCache>
                <c:ptCount val="1"/>
                <c:pt idx="0">
                  <c:v>With existing measures </c:v>
                </c:pt>
              </c:strCache>
            </c:strRef>
          </c:tx>
          <c:spPr>
            <a:ln w="19050" cap="rnd">
              <a:solidFill>
                <a:srgbClr val="A0A0A0"/>
              </a:solidFill>
              <a:round/>
            </a:ln>
            <a:effectLst/>
          </c:spPr>
          <c:marker>
            <c:symbol val="none"/>
          </c:marker>
          <c:xVal>
            <c:numRef>
              <c:f>'Energy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'Energy AR4'!$B$6:$BJ$6</c:f>
              <c:numCache>
                <c:formatCode>#,##0.00</c:formatCode>
                <c:ptCount val="61"/>
                <c:pt idx="0">
                  <c:v>15.751695544646063</c:v>
                </c:pt>
                <c:pt idx="1">
                  <c:v>16.260977254827516</c:v>
                </c:pt>
                <c:pt idx="2">
                  <c:v>17.758407978599234</c:v>
                </c:pt>
                <c:pt idx="3">
                  <c:v>16.84025600167087</c:v>
                </c:pt>
                <c:pt idx="4">
                  <c:v>16.497883331652176</c:v>
                </c:pt>
                <c:pt idx="5">
                  <c:v>15.618558565281802</c:v>
                </c:pt>
                <c:pt idx="6">
                  <c:v>17.083433621498493</c:v>
                </c:pt>
                <c:pt idx="7">
                  <c:v>18.888639588246836</c:v>
                </c:pt>
                <c:pt idx="8">
                  <c:v>17.101688792533114</c:v>
                </c:pt>
                <c:pt idx="9">
                  <c:v>18.1868786325463</c:v>
                </c:pt>
                <c:pt idx="10">
                  <c:v>18.370705268883331</c:v>
                </c:pt>
                <c:pt idx="11">
                  <c:v>20.333204974158051</c:v>
                </c:pt>
                <c:pt idx="12">
                  <c:v>19.827022505400844</c:v>
                </c:pt>
                <c:pt idx="13">
                  <c:v>20.715944376900111</c:v>
                </c:pt>
                <c:pt idx="14">
                  <c:v>20.063934177798689</c:v>
                </c:pt>
                <c:pt idx="15">
                  <c:v>21.586328922276167</c:v>
                </c:pt>
                <c:pt idx="16">
                  <c:v>21.865545676828599</c:v>
                </c:pt>
                <c:pt idx="17">
                  <c:v>20.354793772872497</c:v>
                </c:pt>
                <c:pt idx="18">
                  <c:v>21.481299268102134</c:v>
                </c:pt>
                <c:pt idx="19">
                  <c:v>18.990540654804409</c:v>
                </c:pt>
                <c:pt idx="20">
                  <c:v>18.898063747481601</c:v>
                </c:pt>
                <c:pt idx="21">
                  <c:v>18.239020672574455</c:v>
                </c:pt>
                <c:pt idx="22">
                  <c:v>19.946007179442013</c:v>
                </c:pt>
                <c:pt idx="23">
                  <c:v>19.007820653993861</c:v>
                </c:pt>
                <c:pt idx="24">
                  <c:v>18.819419437008783</c:v>
                </c:pt>
                <c:pt idx="25">
                  <c:v>18.600457290979207</c:v>
                </c:pt>
                <c:pt idx="26">
                  <c:v>17.094626559841227</c:v>
                </c:pt>
                <c:pt idx="27">
                  <c:v>17.649118290466973</c:v>
                </c:pt>
                <c:pt idx="28">
                  <c:v>17.39796844021074</c:v>
                </c:pt>
                <c:pt idx="29">
                  <c:v>19.265366209734616</c:v>
                </c:pt>
                <c:pt idx="30">
                  <c:v>18.285001429148974</c:v>
                </c:pt>
                <c:pt idx="31">
                  <c:v>18.117735669699858</c:v>
                </c:pt>
                <c:pt idx="32">
                  <c:v>16.783822248703846</c:v>
                </c:pt>
                <c:pt idx="33">
                  <c:v>16.495193460488778</c:v>
                </c:pt>
                <c:pt idx="34">
                  <c:v>16.010308364056002</c:v>
                </c:pt>
                <c:pt idx="35">
                  <c:v>13.589801563441338</c:v>
                </c:pt>
                <c:pt idx="36">
                  <c:v>13.347905219622383</c:v>
                </c:pt>
                <c:pt idx="37">
                  <c:v>13.122361026719485</c:v>
                </c:pt>
                <c:pt idx="38">
                  <c:v>12.904394415233948</c:v>
                </c:pt>
                <c:pt idx="39">
                  <c:v>12.36006081314869</c:v>
                </c:pt>
                <c:pt idx="40">
                  <c:v>12.050365798679406</c:v>
                </c:pt>
                <c:pt idx="41">
                  <c:v>11.842872055758589</c:v>
                </c:pt>
                <c:pt idx="42">
                  <c:v>11.660801983342974</c:v>
                </c:pt>
                <c:pt idx="43">
                  <c:v>11.487077407869124</c:v>
                </c:pt>
                <c:pt idx="44">
                  <c:v>11.189566123456016</c:v>
                </c:pt>
                <c:pt idx="45">
                  <c:v>10.990541117196308</c:v>
                </c:pt>
                <c:pt idx="46">
                  <c:v>10.806119576024148</c:v>
                </c:pt>
                <c:pt idx="47">
                  <c:v>10.666574891779032</c:v>
                </c:pt>
                <c:pt idx="48">
                  <c:v>9.7912569640760481</c:v>
                </c:pt>
                <c:pt idx="49">
                  <c:v>9.6121009766486978</c:v>
                </c:pt>
                <c:pt idx="50">
                  <c:v>9.5499510243219063</c:v>
                </c:pt>
                <c:pt idx="51">
                  <c:v>8.9221055123870272</c:v>
                </c:pt>
                <c:pt idx="52">
                  <c:v>8.9030046185492715</c:v>
                </c:pt>
                <c:pt idx="53">
                  <c:v>8.9093961671028286</c:v>
                </c:pt>
                <c:pt idx="54">
                  <c:v>8.9407756460473387</c:v>
                </c:pt>
                <c:pt idx="55">
                  <c:v>8.7273219357272165</c:v>
                </c:pt>
                <c:pt idx="56">
                  <c:v>8.7427508718746179</c:v>
                </c:pt>
                <c:pt idx="57">
                  <c:v>8.6562184359582073</c:v>
                </c:pt>
                <c:pt idx="58">
                  <c:v>8.4712592034707743</c:v>
                </c:pt>
                <c:pt idx="59">
                  <c:v>8.4247116697591213</c:v>
                </c:pt>
                <c:pt idx="60">
                  <c:v>8.3115427569975768</c:v>
                </c:pt>
              </c:numCache>
            </c:numRef>
          </c:yVal>
          <c:smooth val="0"/>
          <c:extLst>
            <c:ext xmlns:c16="http://schemas.microsoft.com/office/drawing/2014/chart" uri="{C3380CC4-5D6E-409C-BE32-E72D297353CC}">
              <c16:uniqueId val="{00000002-F671-422E-91BF-A929CF8BE04B}"/>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1309340594293832E-2"/>
              <c:y val="0.247016650885079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'[Graphs - Agriculture (October 2022).xlsx]Agriculture AR4'!$A$9</c:f>
              <c:strCache>
                <c:ptCount val="1"/>
                <c:pt idx="0">
                  <c:v>High scenario</c:v>
                </c:pt>
              </c:strCache>
            </c:strRef>
          </c:tx>
          <c:spPr>
            <a:ln w="19050" cap="rnd">
              <a:solidFill>
                <a:srgbClr val="DA5A28"/>
              </a:solidFill>
              <a:round/>
            </a:ln>
            <a:effectLst/>
          </c:spPr>
          <c:marker>
            <c:symbol val="none"/>
          </c:marker>
          <c:xVal>
            <c:numRef>
              <c:f>'[Graphs - Agriculture (October 2022).xlsx]Agriculture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Agriculture (October 2022).xlsx]Agriculture AR4'!$B$9:$BJ$9</c:f>
              <c:numCache>
                <c:formatCode>#,##0.00</c:formatCode>
                <c:ptCount val="61"/>
                <c:pt idx="0">
                  <c:v>33.792883792640808</c:v>
                </c:pt>
                <c:pt idx="1">
                  <c:v>34.022507497623636</c:v>
                </c:pt>
                <c:pt idx="2">
                  <c:v>33.570976096954389</c:v>
                </c:pt>
                <c:pt idx="3">
                  <c:v>33.956386055454061</c:v>
                </c:pt>
                <c:pt idx="4">
                  <c:v>35.133357696970464</c:v>
                </c:pt>
                <c:pt idx="5">
                  <c:v>35.734697114699827</c:v>
                </c:pt>
                <c:pt idx="6">
                  <c:v>36.038256988676856</c:v>
                </c:pt>
                <c:pt idx="7">
                  <c:v>36.893059160199904</c:v>
                </c:pt>
                <c:pt idx="8">
                  <c:v>36.287576027291081</c:v>
                </c:pt>
                <c:pt idx="9">
                  <c:v>36.4681927193405</c:v>
                </c:pt>
                <c:pt idx="10">
                  <c:v>37.614876691713242</c:v>
                </c:pt>
                <c:pt idx="11">
                  <c:v>38.445135385291039</c:v>
                </c:pt>
                <c:pt idx="12">
                  <c:v>38.452902957963296</c:v>
                </c:pt>
                <c:pt idx="13">
                  <c:v>39.07542676975514</c:v>
                </c:pt>
                <c:pt idx="14">
                  <c:v>39.219068962221186</c:v>
                </c:pt>
                <c:pt idx="15">
                  <c:v>39.571899890630839</c:v>
                </c:pt>
                <c:pt idx="16">
                  <c:v>39.427397347479413</c:v>
                </c:pt>
                <c:pt idx="17">
                  <c:v>38.508095057663354</c:v>
                </c:pt>
                <c:pt idx="18">
                  <c:v>37.332251308305423</c:v>
                </c:pt>
                <c:pt idx="19">
                  <c:v>37.535958522506562</c:v>
                </c:pt>
                <c:pt idx="20">
                  <c:v>37.711495238636978</c:v>
                </c:pt>
                <c:pt idx="21">
                  <c:v>38.362269547036156</c:v>
                </c:pt>
                <c:pt idx="22">
                  <c:v>39.203363521824549</c:v>
                </c:pt>
                <c:pt idx="23">
                  <c:v>39.30676218172534</c:v>
                </c:pt>
                <c:pt idx="24">
                  <c:v>39.922771805596412</c:v>
                </c:pt>
                <c:pt idx="25">
                  <c:v>39.415789030060481</c:v>
                </c:pt>
                <c:pt idx="26">
                  <c:v>39.042960218724666</c:v>
                </c:pt>
                <c:pt idx="27">
                  <c:v>39.082390698957632</c:v>
                </c:pt>
                <c:pt idx="28">
                  <c:v>39.36828675373129</c:v>
                </c:pt>
                <c:pt idx="29">
                  <c:v>39.518641021140887</c:v>
                </c:pt>
                <c:pt idx="30">
                  <c:v>39.425543845121211</c:v>
                </c:pt>
                <c:pt idx="31">
                  <c:v>40.467344677711175</c:v>
                </c:pt>
                <c:pt idx="32">
                  <c:v>39.818830933990306</c:v>
                </c:pt>
                <c:pt idx="33">
                  <c:v>39.102217401355496</c:v>
                </c:pt>
                <c:pt idx="34">
                  <c:v>38.737286882829302</c:v>
                </c:pt>
                <c:pt idx="35">
                  <c:v>38.405821020532976</c:v>
                </c:pt>
                <c:pt idx="36">
                  <c:v>38.384460593797435</c:v>
                </c:pt>
                <c:pt idx="37">
                  <c:v>38.394895384007157</c:v>
                </c:pt>
                <c:pt idx="38">
                  <c:v>38.425528444859808</c:v>
                </c:pt>
                <c:pt idx="39">
                  <c:v>38.457903264106371</c:v>
                </c:pt>
                <c:pt idx="40">
                  <c:v>38.476683631185168</c:v>
                </c:pt>
                <c:pt idx="41">
                  <c:v>38.327337647135863</c:v>
                </c:pt>
                <c:pt idx="42">
                  <c:v>38.18248469099084</c:v>
                </c:pt>
                <c:pt idx="43">
                  <c:v>38.0434029597047</c:v>
                </c:pt>
                <c:pt idx="44">
                  <c:v>37.898840506487467</c:v>
                </c:pt>
                <c:pt idx="45">
                  <c:v>37.803052717425111</c:v>
                </c:pt>
                <c:pt idx="46">
                  <c:v>37.81593680212756</c:v>
                </c:pt>
                <c:pt idx="47">
                  <c:v>37.880800309532567</c:v>
                </c:pt>
                <c:pt idx="48">
                  <c:v>37.929506092170541</c:v>
                </c:pt>
                <c:pt idx="49">
                  <c:v>37.972425563689285</c:v>
                </c:pt>
                <c:pt idx="50">
                  <c:v>38.016017180707962</c:v>
                </c:pt>
                <c:pt idx="51">
                  <c:v>38.056131490820633</c:v>
                </c:pt>
                <c:pt idx="52">
                  <c:v>38.09711542767144</c:v>
                </c:pt>
                <c:pt idx="53">
                  <c:v>38.155029222305281</c:v>
                </c:pt>
                <c:pt idx="54">
                  <c:v>38.210763316935378</c:v>
                </c:pt>
                <c:pt idx="55">
                  <c:v>38.246442166650986</c:v>
                </c:pt>
                <c:pt idx="56">
                  <c:v>38.276424834759013</c:v>
                </c:pt>
                <c:pt idx="57">
                  <c:v>38.310756456432216</c:v>
                </c:pt>
                <c:pt idx="58">
                  <c:v>38.354488068380441</c:v>
                </c:pt>
                <c:pt idx="59">
                  <c:v>38.39002032646664</c:v>
                </c:pt>
                <c:pt idx="60">
                  <c:v>38.433673178078259</c:v>
                </c:pt>
              </c:numCache>
            </c:numRef>
          </c:yVal>
          <c:smooth val="0"/>
          <c:extLst>
            <c:ext xmlns:c16="http://schemas.microsoft.com/office/drawing/2014/chart" uri="{C3380CC4-5D6E-409C-BE32-E72D297353CC}">
              <c16:uniqueId val="{00000000-C9BB-4D34-9725-50F1C24B23A2}"/>
            </c:ext>
          </c:extLst>
        </c:ser>
        <c:ser>
          <c:idx val="0"/>
          <c:order val="1"/>
          <c:tx>
            <c:strRef>
              <c:f>'[Graphs - Agriculture (October 2022).xlsx]Agriculture AR4'!$A$10</c:f>
              <c:strCache>
                <c:ptCount val="1"/>
                <c:pt idx="0">
                  <c:v>Low scenario</c:v>
                </c:pt>
              </c:strCache>
            </c:strRef>
          </c:tx>
          <c:spPr>
            <a:ln w="19050" cap="rnd">
              <a:solidFill>
                <a:srgbClr val="32809C"/>
              </a:solidFill>
              <a:round/>
            </a:ln>
            <a:effectLst/>
          </c:spPr>
          <c:marker>
            <c:symbol val="none"/>
          </c:marker>
          <c:xVal>
            <c:numRef>
              <c:f>'[Graphs - Agriculture (October 2022).xlsx]Agriculture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Agriculture (October 2022).xlsx]Agriculture AR4'!$B$10:$BJ$10</c:f>
              <c:numCache>
                <c:formatCode>#,##0.00</c:formatCode>
                <c:ptCount val="61"/>
                <c:pt idx="0">
                  <c:v>33.792883792640808</c:v>
                </c:pt>
                <c:pt idx="1">
                  <c:v>34.022507497623636</c:v>
                </c:pt>
                <c:pt idx="2">
                  <c:v>33.570976096954389</c:v>
                </c:pt>
                <c:pt idx="3">
                  <c:v>33.956386055454061</c:v>
                </c:pt>
                <c:pt idx="4">
                  <c:v>35.133357696970464</c:v>
                </c:pt>
                <c:pt idx="5">
                  <c:v>35.734697114699827</c:v>
                </c:pt>
                <c:pt idx="6">
                  <c:v>36.038256988676856</c:v>
                </c:pt>
                <c:pt idx="7">
                  <c:v>36.893059160199904</c:v>
                </c:pt>
                <c:pt idx="8">
                  <c:v>36.287576027291081</c:v>
                </c:pt>
                <c:pt idx="9">
                  <c:v>36.4681927193405</c:v>
                </c:pt>
                <c:pt idx="10">
                  <c:v>37.614876691713242</c:v>
                </c:pt>
                <c:pt idx="11">
                  <c:v>38.445135385291039</c:v>
                </c:pt>
                <c:pt idx="12">
                  <c:v>38.452902957963296</c:v>
                </c:pt>
                <c:pt idx="13">
                  <c:v>39.07542676975514</c:v>
                </c:pt>
                <c:pt idx="14">
                  <c:v>39.219068962221186</c:v>
                </c:pt>
                <c:pt idx="15">
                  <c:v>39.571899890630839</c:v>
                </c:pt>
                <c:pt idx="16">
                  <c:v>39.427397347479413</c:v>
                </c:pt>
                <c:pt idx="17">
                  <c:v>38.508095057663354</c:v>
                </c:pt>
                <c:pt idx="18">
                  <c:v>37.332251308305423</c:v>
                </c:pt>
                <c:pt idx="19">
                  <c:v>37.535958522506562</c:v>
                </c:pt>
                <c:pt idx="20">
                  <c:v>37.711495238636978</c:v>
                </c:pt>
                <c:pt idx="21">
                  <c:v>38.362269547036156</c:v>
                </c:pt>
                <c:pt idx="22">
                  <c:v>39.203363521824549</c:v>
                </c:pt>
                <c:pt idx="23">
                  <c:v>39.30676218172534</c:v>
                </c:pt>
                <c:pt idx="24">
                  <c:v>39.922771805596412</c:v>
                </c:pt>
                <c:pt idx="25">
                  <c:v>39.415789030060481</c:v>
                </c:pt>
                <c:pt idx="26">
                  <c:v>39.042960218724666</c:v>
                </c:pt>
                <c:pt idx="27">
                  <c:v>39.082390698957632</c:v>
                </c:pt>
                <c:pt idx="28">
                  <c:v>39.36828675373129</c:v>
                </c:pt>
                <c:pt idx="29">
                  <c:v>39.518641021140887</c:v>
                </c:pt>
                <c:pt idx="30">
                  <c:v>39.425543845121211</c:v>
                </c:pt>
                <c:pt idx="31">
                  <c:v>38.416368144337902</c:v>
                </c:pt>
                <c:pt idx="32">
                  <c:v>37.800722543573642</c:v>
                </c:pt>
                <c:pt idx="33">
                  <c:v>37.120428605185431</c:v>
                </c:pt>
                <c:pt idx="34">
                  <c:v>36.77399359052216</c:v>
                </c:pt>
                <c:pt idx="35">
                  <c:v>36.45932716764046</c:v>
                </c:pt>
                <c:pt idx="36">
                  <c:v>35.946408100620523</c:v>
                </c:pt>
                <c:pt idx="37">
                  <c:v>35.469851410927731</c:v>
                </c:pt>
                <c:pt idx="38">
                  <c:v>35.017759867181113</c:v>
                </c:pt>
                <c:pt idx="39">
                  <c:v>34.572676424663797</c:v>
                </c:pt>
                <c:pt idx="40">
                  <c:v>34.120832654069872</c:v>
                </c:pt>
                <c:pt idx="41">
                  <c:v>33.852205944457097</c:v>
                </c:pt>
                <c:pt idx="42">
                  <c:v>33.589103074029531</c:v>
                </c:pt>
                <c:pt idx="43">
                  <c:v>33.332587583831312</c:v>
                </c:pt>
                <c:pt idx="44">
                  <c:v>33.072770928882328</c:v>
                </c:pt>
                <c:pt idx="45">
                  <c:v>32.856858903930238</c:v>
                </c:pt>
                <c:pt idx="46">
                  <c:v>32.736184097364152</c:v>
                </c:pt>
                <c:pt idx="47">
                  <c:v>32.660727268740374</c:v>
                </c:pt>
                <c:pt idx="48">
                  <c:v>32.571434599596266</c:v>
                </c:pt>
                <c:pt idx="49">
                  <c:v>32.477343571170238</c:v>
                </c:pt>
                <c:pt idx="50">
                  <c:v>32.384014635417884</c:v>
                </c:pt>
                <c:pt idx="51">
                  <c:v>32.287919324004932</c:v>
                </c:pt>
                <c:pt idx="52">
                  <c:v>32.192765435190992</c:v>
                </c:pt>
                <c:pt idx="53">
                  <c:v>32.112059584886765</c:v>
                </c:pt>
                <c:pt idx="54">
                  <c:v>32.029610427431123</c:v>
                </c:pt>
                <c:pt idx="55">
                  <c:v>31.930515937295784</c:v>
                </c:pt>
                <c:pt idx="56">
                  <c:v>31.826917353444312</c:v>
                </c:pt>
                <c:pt idx="57">
                  <c:v>31.727189533389023</c:v>
                </c:pt>
                <c:pt idx="58">
                  <c:v>31.635453662240803</c:v>
                </c:pt>
                <c:pt idx="59">
                  <c:v>31.537156953071865</c:v>
                </c:pt>
                <c:pt idx="60">
                  <c:v>31.445732600245851</c:v>
                </c:pt>
              </c:numCache>
            </c:numRef>
          </c:yVal>
          <c:smooth val="0"/>
          <c:extLst>
            <c:ext xmlns:c16="http://schemas.microsoft.com/office/drawing/2014/chart" uri="{C3380CC4-5D6E-409C-BE32-E72D297353CC}">
              <c16:uniqueId val="{00000001-C9BB-4D34-9725-50F1C24B23A2}"/>
            </c:ext>
          </c:extLst>
        </c:ser>
        <c:ser>
          <c:idx val="1"/>
          <c:order val="2"/>
          <c:tx>
            <c:strRef>
              <c:f>'[Graphs - Agriculture (October 2022).xlsx]Agriculture AR4'!$A$6</c:f>
              <c:strCache>
                <c:ptCount val="1"/>
                <c:pt idx="0">
                  <c:v>With existing measures </c:v>
                </c:pt>
              </c:strCache>
            </c:strRef>
          </c:tx>
          <c:spPr>
            <a:ln w="19050" cap="rnd">
              <a:solidFill>
                <a:srgbClr val="A0A0A0"/>
              </a:solidFill>
              <a:round/>
            </a:ln>
            <a:effectLst/>
          </c:spPr>
          <c:marker>
            <c:symbol val="none"/>
          </c:marker>
          <c:xVal>
            <c:numRef>
              <c:f>'[Graphs - Agriculture (October 2022).xlsx]Agriculture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Agriculture (October 2022).xlsx]Agriculture AR4'!$B$6:$BJ$6</c:f>
              <c:numCache>
                <c:formatCode>#,##0.00</c:formatCode>
                <c:ptCount val="61"/>
                <c:pt idx="0">
                  <c:v>33.792883792640808</c:v>
                </c:pt>
                <c:pt idx="1">
                  <c:v>34.022507497623636</c:v>
                </c:pt>
                <c:pt idx="2">
                  <c:v>33.570976096954389</c:v>
                </c:pt>
                <c:pt idx="3">
                  <c:v>33.956386055454061</c:v>
                </c:pt>
                <c:pt idx="4">
                  <c:v>35.133357696970464</c:v>
                </c:pt>
                <c:pt idx="5">
                  <c:v>35.734697114699827</c:v>
                </c:pt>
                <c:pt idx="6">
                  <c:v>36.038256988676856</c:v>
                </c:pt>
                <c:pt idx="7">
                  <c:v>36.893059160199904</c:v>
                </c:pt>
                <c:pt idx="8">
                  <c:v>36.287576027291081</c:v>
                </c:pt>
                <c:pt idx="9">
                  <c:v>36.4681927193405</c:v>
                </c:pt>
                <c:pt idx="10">
                  <c:v>37.614876691713242</c:v>
                </c:pt>
                <c:pt idx="11">
                  <c:v>38.445135385291039</c:v>
                </c:pt>
                <c:pt idx="12">
                  <c:v>38.452902957963296</c:v>
                </c:pt>
                <c:pt idx="13">
                  <c:v>39.07542676975514</c:v>
                </c:pt>
                <c:pt idx="14">
                  <c:v>39.219068962221186</c:v>
                </c:pt>
                <c:pt idx="15">
                  <c:v>39.571899890630839</c:v>
                </c:pt>
                <c:pt idx="16">
                  <c:v>39.427397347479413</c:v>
                </c:pt>
                <c:pt idx="17">
                  <c:v>38.508095057663354</c:v>
                </c:pt>
                <c:pt idx="18">
                  <c:v>37.332251308305423</c:v>
                </c:pt>
                <c:pt idx="19">
                  <c:v>37.535958522506562</c:v>
                </c:pt>
                <c:pt idx="20">
                  <c:v>37.711495238636978</c:v>
                </c:pt>
                <c:pt idx="21">
                  <c:v>38.362269547036156</c:v>
                </c:pt>
                <c:pt idx="22">
                  <c:v>39.203363521824549</c:v>
                </c:pt>
                <c:pt idx="23">
                  <c:v>39.30676218172534</c:v>
                </c:pt>
                <c:pt idx="24">
                  <c:v>39.922771805596412</c:v>
                </c:pt>
                <c:pt idx="25">
                  <c:v>39.415789030060481</c:v>
                </c:pt>
                <c:pt idx="26">
                  <c:v>39.042960218724666</c:v>
                </c:pt>
                <c:pt idx="27">
                  <c:v>39.082390698957632</c:v>
                </c:pt>
                <c:pt idx="28">
                  <c:v>39.36828675373129</c:v>
                </c:pt>
                <c:pt idx="29">
                  <c:v>39.518641021140887</c:v>
                </c:pt>
                <c:pt idx="30">
                  <c:v>39.425543845121211</c:v>
                </c:pt>
                <c:pt idx="31">
                  <c:v>39.441856411024546</c:v>
                </c:pt>
                <c:pt idx="32">
                  <c:v>38.80977673878197</c:v>
                </c:pt>
                <c:pt idx="33">
                  <c:v>38.111323003270464</c:v>
                </c:pt>
                <c:pt idx="34">
                  <c:v>37.755640236675724</c:v>
                </c:pt>
                <c:pt idx="35">
                  <c:v>37.432574094086718</c:v>
                </c:pt>
                <c:pt idx="36">
                  <c:v>37.165434347208979</c:v>
                </c:pt>
                <c:pt idx="37">
                  <c:v>36.932373397467444</c:v>
                </c:pt>
                <c:pt idx="38">
                  <c:v>36.72164415602046</c:v>
                </c:pt>
                <c:pt idx="39">
                  <c:v>36.51528984438508</c:v>
                </c:pt>
                <c:pt idx="40">
                  <c:v>36.29875814262752</c:v>
                </c:pt>
                <c:pt idx="41">
                  <c:v>36.089771795796487</c:v>
                </c:pt>
                <c:pt idx="42">
                  <c:v>35.885793882510185</c:v>
                </c:pt>
                <c:pt idx="43">
                  <c:v>35.687995271768003</c:v>
                </c:pt>
                <c:pt idx="44">
                  <c:v>35.485805717684897</c:v>
                </c:pt>
                <c:pt idx="45">
                  <c:v>35.329955810677674</c:v>
                </c:pt>
                <c:pt idx="46">
                  <c:v>35.276060449745863</c:v>
                </c:pt>
                <c:pt idx="47">
                  <c:v>35.270763789136474</c:v>
                </c:pt>
                <c:pt idx="48">
                  <c:v>35.250470345883407</c:v>
                </c:pt>
                <c:pt idx="49">
                  <c:v>35.224884567429761</c:v>
                </c:pt>
                <c:pt idx="50">
                  <c:v>35.200015908062923</c:v>
                </c:pt>
                <c:pt idx="51">
                  <c:v>35.172025407412789</c:v>
                </c:pt>
                <c:pt idx="52">
                  <c:v>35.144940431431209</c:v>
                </c:pt>
                <c:pt idx="53">
                  <c:v>35.133544403596026</c:v>
                </c:pt>
                <c:pt idx="54">
                  <c:v>35.120186872183254</c:v>
                </c:pt>
                <c:pt idx="55">
                  <c:v>35.088479051973387</c:v>
                </c:pt>
                <c:pt idx="56">
                  <c:v>35.051671094101657</c:v>
                </c:pt>
                <c:pt idx="57">
                  <c:v>35.018972994910627</c:v>
                </c:pt>
                <c:pt idx="58">
                  <c:v>34.99497086531062</c:v>
                </c:pt>
                <c:pt idx="59">
                  <c:v>34.963588639769249</c:v>
                </c:pt>
                <c:pt idx="60">
                  <c:v>34.939702889162056</c:v>
                </c:pt>
              </c:numCache>
            </c:numRef>
          </c:yVal>
          <c:smooth val="0"/>
          <c:extLst>
            <c:ext xmlns:c16="http://schemas.microsoft.com/office/drawing/2014/chart" uri="{C3380CC4-5D6E-409C-BE32-E72D297353CC}">
              <c16:uniqueId val="{00000002-C9BB-4D34-9725-50F1C24B23A2}"/>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'LULUCF reporting AR4'!$A$7</c:f>
              <c:strCache>
                <c:ptCount val="1"/>
                <c:pt idx="0">
                  <c:v>Without measures</c:v>
                </c:pt>
              </c:strCache>
            </c:strRef>
          </c:tx>
          <c:spPr>
            <a:ln w="19050" cap="rnd">
              <a:solidFill>
                <a:srgbClr val="1B556B"/>
              </a:solidFill>
              <a:round/>
            </a:ln>
            <a:effectLst/>
          </c:spPr>
          <c:marker>
            <c:symbol val="none"/>
          </c:marker>
          <c:xVal>
            <c:numRef>
              <c:f>'LULUCF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'LULUCF reporting AR4'!$B$7:$BJ$7</c:f>
              <c:numCache>
                <c:formatCode>#,##0.00</c:formatCode>
                <c:ptCount val="61"/>
                <c:pt idx="0">
                  <c:v>-21.229218466251229</c:v>
                </c:pt>
                <c:pt idx="1">
                  <c:v>-23.276626096730269</c:v>
                </c:pt>
                <c:pt idx="2">
                  <c:v>-23.04445629416659</c:v>
                </c:pt>
                <c:pt idx="3">
                  <c:v>-23.862378025365061</c:v>
                </c:pt>
                <c:pt idx="4">
                  <c:v>-23.668758888465117</c:v>
                </c:pt>
                <c:pt idx="5">
                  <c:v>-22.474817330078618</c:v>
                </c:pt>
                <c:pt idx="6">
                  <c:v>-22.034473700453301</c:v>
                </c:pt>
                <c:pt idx="7">
                  <c:v>-22.646755357863849</c:v>
                </c:pt>
                <c:pt idx="8">
                  <c:v>-23.235288314686898</c:v>
                </c:pt>
                <c:pt idx="9">
                  <c:v>-25.902979374231226</c:v>
                </c:pt>
                <c:pt idx="10">
                  <c:v>-26.648510143004074</c:v>
                </c:pt>
                <c:pt idx="11">
                  <c:v>-27.048315841049053</c:v>
                </c:pt>
                <c:pt idx="12">
                  <c:v>-25.495626919141824</c:v>
                </c:pt>
                <c:pt idx="13">
                  <c:v>-26.495922746290283</c:v>
                </c:pt>
                <c:pt idx="14">
                  <c:v>-28.000792579578793</c:v>
                </c:pt>
                <c:pt idx="15">
                  <c:v>-30.839552038106341</c:v>
                </c:pt>
                <c:pt idx="16">
                  <c:v>-29.233133128354478</c:v>
                </c:pt>
                <c:pt idx="17">
                  <c:v>-30.573140037726567</c:v>
                </c:pt>
                <c:pt idx="18">
                  <c:v>-28.240447165147422</c:v>
                </c:pt>
                <c:pt idx="19">
                  <c:v>-27.12819206066068</c:v>
                </c:pt>
                <c:pt idx="20">
                  <c:v>-28.206145638475942</c:v>
                </c:pt>
                <c:pt idx="21">
                  <c:v>-28.477968368806867</c:v>
                </c:pt>
                <c:pt idx="22">
                  <c:v>-25.610180720473757</c:v>
                </c:pt>
                <c:pt idx="23">
                  <c:v>-24.912774446686804</c:v>
                </c:pt>
                <c:pt idx="24">
                  <c:v>-25.098742792975585</c:v>
                </c:pt>
                <c:pt idx="25">
                  <c:v>-24.800906940637436</c:v>
                </c:pt>
                <c:pt idx="26">
                  <c:v>-22.523757650373859</c:v>
                </c:pt>
                <c:pt idx="27">
                  <c:v>-19.020959565306331</c:v>
                </c:pt>
                <c:pt idx="28">
                  <c:v>-18.738538297154523</c:v>
                </c:pt>
                <c:pt idx="29">
                  <c:v>-17.859386326943753</c:v>
                </c:pt>
                <c:pt idx="30">
                  <c:v>-17.043467379860331</c:v>
                </c:pt>
                <c:pt idx="31">
                  <c:v>-13.062142739013648</c:v>
                </c:pt>
                <c:pt idx="32">
                  <c:v>-10.534255204982328</c:v>
                </c:pt>
                <c:pt idx="33">
                  <c:v>-7.3796196627646244</c:v>
                </c:pt>
                <c:pt idx="34">
                  <c:v>-4.5836017733432435</c:v>
                </c:pt>
                <c:pt idx="35">
                  <c:v>-2.3708709063233275</c:v>
                </c:pt>
                <c:pt idx="36">
                  <c:v>-0.46829661475355344</c:v>
                </c:pt>
                <c:pt idx="37">
                  <c:v>0.4583072407079562</c:v>
                </c:pt>
                <c:pt idx="38">
                  <c:v>1.3284213815667965</c:v>
                </c:pt>
                <c:pt idx="39">
                  <c:v>1.7696774879079591</c:v>
                </c:pt>
                <c:pt idx="40">
                  <c:v>1.4822012906506306</c:v>
                </c:pt>
                <c:pt idx="41">
                  <c:v>0.74214540956141306</c:v>
                </c:pt>
                <c:pt idx="42">
                  <c:v>-0.20980659733434592</c:v>
                </c:pt>
                <c:pt idx="43">
                  <c:v>-1.4207562963744245</c:v>
                </c:pt>
                <c:pt idx="44">
                  <c:v>-3.1870338655793695</c:v>
                </c:pt>
                <c:pt idx="45">
                  <c:v>-4.8605943253738237</c:v>
                </c:pt>
                <c:pt idx="46">
                  <c:v>-6.7719168583846177</c:v>
                </c:pt>
                <c:pt idx="47">
                  <c:v>-9.1316574330280744</c:v>
                </c:pt>
                <c:pt idx="48">
                  <c:v>-10.284351859052542</c:v>
                </c:pt>
                <c:pt idx="49">
                  <c:v>-11.599685289531077</c:v>
                </c:pt>
                <c:pt idx="50">
                  <c:v>-12.886437829980263</c:v>
                </c:pt>
                <c:pt idx="51">
                  <c:v>-11.464660187960913</c:v>
                </c:pt>
                <c:pt idx="52">
                  <c:v>-10.993546647578878</c:v>
                </c:pt>
                <c:pt idx="53">
                  <c:v>-10.119446268306248</c:v>
                </c:pt>
                <c:pt idx="54">
                  <c:v>-9.8871296440858174</c:v>
                </c:pt>
                <c:pt idx="55">
                  <c:v>-7.7182212275034381</c:v>
                </c:pt>
                <c:pt idx="56">
                  <c:v>-8.5640750465492772</c:v>
                </c:pt>
                <c:pt idx="57">
                  <c:v>-15.672306168659237</c:v>
                </c:pt>
                <c:pt idx="58">
                  <c:v>-17.572521317740012</c:v>
                </c:pt>
                <c:pt idx="59">
                  <c:v>-15.074094184245901</c:v>
                </c:pt>
                <c:pt idx="60">
                  <c:v>-16.090862545675236</c:v>
                </c:pt>
              </c:numCache>
            </c:numRef>
          </c:yVal>
          <c:smooth val="0"/>
          <c:extLst>
            <c:ext xmlns:c16="http://schemas.microsoft.com/office/drawing/2014/chart" uri="{C3380CC4-5D6E-409C-BE32-E72D297353CC}">
              <c16:uniqueId val="{00000000-4F13-407C-8461-DD2E8B1C5F42}"/>
            </c:ext>
          </c:extLst>
        </c:ser>
        <c:ser>
          <c:idx val="0"/>
          <c:order val="1"/>
          <c:tx>
            <c:strRef>
              <c:f>'LULUCF reporting AR4'!$A$8</c:f>
              <c:strCache>
                <c:ptCount val="1"/>
                <c:pt idx="0">
                  <c:v>With additional measures</c:v>
                </c:pt>
              </c:strCache>
            </c:strRef>
          </c:tx>
          <c:spPr>
            <a:ln w="19050" cap="rnd">
              <a:solidFill>
                <a:srgbClr val="2C9986"/>
              </a:solidFill>
              <a:round/>
            </a:ln>
            <a:effectLst/>
          </c:spPr>
          <c:marker>
            <c:symbol val="none"/>
          </c:marker>
          <c:xVal>
            <c:numRef>
              <c:f>'LULUCF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'LULUCF reporting AR4'!$B$8:$BJ$8</c:f>
              <c:numCache>
                <c:formatCode>#,##0.00</c:formatCode>
                <c:ptCount val="6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pt idx="31">
                  <c:v>-19.673284392195033</c:v>
                </c:pt>
                <c:pt idx="32">
                  <c:v>-16.92168302096394</c:v>
                </c:pt>
                <c:pt idx="33">
                  <c:v>-14.032743139667806</c:v>
                </c:pt>
                <c:pt idx="34">
                  <c:v>-10.930559138609819</c:v>
                </c:pt>
                <c:pt idx="35">
                  <c:v>-9.6377400809398122</c:v>
                </c:pt>
                <c:pt idx="36">
                  <c:v>-9.0731366963012015</c:v>
                </c:pt>
                <c:pt idx="37">
                  <c:v>-9.1314127576547666</c:v>
                </c:pt>
                <c:pt idx="38">
                  <c:v>-9.8913207512128967</c:v>
                </c:pt>
                <c:pt idx="39">
                  <c:v>-11.456336001803622</c:v>
                </c:pt>
                <c:pt idx="40">
                  <c:v>-13.42764269872908</c:v>
                </c:pt>
                <c:pt idx="41">
                  <c:v>-16.245879827405115</c:v>
                </c:pt>
                <c:pt idx="42">
                  <c:v>-18.942605253275254</c:v>
                </c:pt>
                <c:pt idx="43">
                  <c:v>-21.862613897957626</c:v>
                </c:pt>
                <c:pt idx="44">
                  <c:v>-25.026991734513246</c:v>
                </c:pt>
                <c:pt idx="45">
                  <c:v>-28.033027374156177</c:v>
                </c:pt>
                <c:pt idx="46">
                  <c:v>-30.84575986146038</c:v>
                </c:pt>
                <c:pt idx="47">
                  <c:v>-33.561794422382299</c:v>
                </c:pt>
                <c:pt idx="48">
                  <c:v>-35.068947288202367</c:v>
                </c:pt>
                <c:pt idx="49">
                  <c:v>-37.01533785349725</c:v>
                </c:pt>
                <c:pt idx="50">
                  <c:v>-38.716012200779502</c:v>
                </c:pt>
                <c:pt idx="51">
                  <c:v>-38.930951521192121</c:v>
                </c:pt>
                <c:pt idx="52">
                  <c:v>-40.008783988065105</c:v>
                </c:pt>
                <c:pt idx="53">
                  <c:v>-40.749280530053149</c:v>
                </c:pt>
                <c:pt idx="54">
                  <c:v>-42.63231872693175</c:v>
                </c:pt>
                <c:pt idx="55">
                  <c:v>-42.906285010500575</c:v>
                </c:pt>
                <c:pt idx="56">
                  <c:v>-44.871539339374912</c:v>
                </c:pt>
                <c:pt idx="57">
                  <c:v>-45.233711079805914</c:v>
                </c:pt>
                <c:pt idx="58">
                  <c:v>-48.127051460551435</c:v>
                </c:pt>
                <c:pt idx="59">
                  <c:v>-46.373184444297515</c:v>
                </c:pt>
                <c:pt idx="60">
                  <c:v>-44.499806439945743</c:v>
                </c:pt>
              </c:numCache>
            </c:numRef>
          </c:yVal>
          <c:smooth val="0"/>
          <c:extLst>
            <c:ext xmlns:c16="http://schemas.microsoft.com/office/drawing/2014/chart" uri="{C3380CC4-5D6E-409C-BE32-E72D297353CC}">
              <c16:uniqueId val="{00000001-4F13-407C-8461-DD2E8B1C5F42}"/>
            </c:ext>
          </c:extLst>
        </c:ser>
        <c:ser>
          <c:idx val="1"/>
          <c:order val="2"/>
          <c:tx>
            <c:strRef>
              <c:f>'LULUCF reporting AR4'!$A$6</c:f>
              <c:strCache>
                <c:ptCount val="1"/>
                <c:pt idx="0">
                  <c:v>With existing measures </c:v>
                </c:pt>
              </c:strCache>
            </c:strRef>
          </c:tx>
          <c:spPr>
            <a:ln w="19050" cap="rnd">
              <a:solidFill>
                <a:srgbClr val="A0A0A0"/>
              </a:solidFill>
              <a:round/>
            </a:ln>
            <a:effectLst/>
          </c:spPr>
          <c:marker>
            <c:symbol val="none"/>
          </c:marker>
          <c:xVal>
            <c:numRef>
              <c:f>'LULUCF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'LULUCF reporting AR4'!$B$6:$BJ$6</c:f>
              <c:numCache>
                <c:formatCode>#,##0.00</c:formatCode>
                <c:ptCount val="6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pt idx="31">
                  <c:v>-19.673284392195033</c:v>
                </c:pt>
                <c:pt idx="32">
                  <c:v>-16.92168302096394</c:v>
                </c:pt>
                <c:pt idx="33">
                  <c:v>-14.052454512262646</c:v>
                </c:pt>
                <c:pt idx="34">
                  <c:v>-10.949902779689831</c:v>
                </c:pt>
                <c:pt idx="35">
                  <c:v>-9.5329671678866887</c:v>
                </c:pt>
                <c:pt idx="36">
                  <c:v>-8.7159881754096293</c:v>
                </c:pt>
                <c:pt idx="37">
                  <c:v>-8.5716823783904754</c:v>
                </c:pt>
                <c:pt idx="38">
                  <c:v>-9.1004574152315563</c:v>
                </c:pt>
                <c:pt idx="39">
                  <c:v>-10.372344070047996</c:v>
                </c:pt>
                <c:pt idx="40">
                  <c:v>-12.013711991429005</c:v>
                </c:pt>
                <c:pt idx="41">
                  <c:v>-14.451042290744184</c:v>
                </c:pt>
                <c:pt idx="42">
                  <c:v>-16.904061626057477</c:v>
                </c:pt>
                <c:pt idx="43">
                  <c:v>-19.679995378274089</c:v>
                </c:pt>
                <c:pt idx="44">
                  <c:v>-22.606618313075462</c:v>
                </c:pt>
                <c:pt idx="45">
                  <c:v>-25.476162834296069</c:v>
                </c:pt>
                <c:pt idx="46">
                  <c:v>-28.356521839811602</c:v>
                </c:pt>
                <c:pt idx="47">
                  <c:v>-31.205175567045085</c:v>
                </c:pt>
                <c:pt idx="48">
                  <c:v>-33.061548178475675</c:v>
                </c:pt>
                <c:pt idx="49">
                  <c:v>-34.266078232180703</c:v>
                </c:pt>
                <c:pt idx="50">
                  <c:v>-35.72429984232086</c:v>
                </c:pt>
                <c:pt idx="51">
                  <c:v>-35.778219249416161</c:v>
                </c:pt>
                <c:pt idx="52">
                  <c:v>-36.621204063558835</c:v>
                </c:pt>
                <c:pt idx="53">
                  <c:v>-37.114382683100402</c:v>
                </c:pt>
                <c:pt idx="54">
                  <c:v>-38.703847599044209</c:v>
                </c:pt>
                <c:pt idx="55">
                  <c:v>-38.646548009835911</c:v>
                </c:pt>
                <c:pt idx="56">
                  <c:v>-40.247264193382826</c:v>
                </c:pt>
                <c:pt idx="57">
                  <c:v>-40.400591381052763</c:v>
                </c:pt>
                <c:pt idx="58">
                  <c:v>-43.203015667392918</c:v>
                </c:pt>
                <c:pt idx="59">
                  <c:v>-41.280666175214812</c:v>
                </c:pt>
                <c:pt idx="60">
                  <c:v>-39.488796672319857</c:v>
                </c:pt>
              </c:numCache>
            </c:numRef>
          </c:yVal>
          <c:smooth val="0"/>
          <c:extLst>
            <c:ext xmlns:c16="http://schemas.microsoft.com/office/drawing/2014/chart" uri="{C3380CC4-5D6E-409C-BE32-E72D297353CC}">
              <c16:uniqueId val="{00000002-4F13-407C-8461-DD2E8B1C5F42}"/>
            </c:ext>
          </c:extLst>
        </c:ser>
        <c:ser>
          <c:idx val="3"/>
          <c:order val="3"/>
          <c:tx>
            <c:v>2020 National GHG Inventory Report</c:v>
          </c:tx>
          <c:spPr>
            <a:ln w="19050" cap="rnd">
              <a:solidFill>
                <a:srgbClr val="322F37"/>
              </a:solidFill>
              <a:prstDash val="sysDash"/>
              <a:round/>
            </a:ln>
            <a:effectLst/>
          </c:spPr>
          <c:marker>
            <c:symbol val="none"/>
          </c:marker>
          <c:xVal>
            <c:numRef>
              <c:f>'LULUCF reporting AR4'!$B$5:$AF$5</c:f>
              <c:numCache>
                <c:formatCode>0</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'LULUCF reporting AR4'!$B$6:$AF$6</c:f>
              <c:numCache>
                <c:formatCode>#,##0.00</c:formatCode>
                <c:ptCount val="3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numCache>
            </c:numRef>
          </c:yVal>
          <c:smooth val="0"/>
          <c:extLst>
            <c:ext xmlns:c16="http://schemas.microsoft.com/office/drawing/2014/chart" uri="{C3380CC4-5D6E-409C-BE32-E72D297353CC}">
              <c16:uniqueId val="{00000003-4F13-407C-8461-DD2E8B1C5F42}"/>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ax val="1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Removals (Mt CO</a:t>
                </a:r>
                <a:r>
                  <a:rPr lang="en-NZ" baseline="-25000"/>
                  <a:t>2</a:t>
                </a:r>
                <a:r>
                  <a:rPr lang="en-NZ"/>
                  <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v>WEM - Lower</c:v>
          </c:tx>
          <c:spPr>
            <a:ln w="19050" cap="rnd">
              <a:solidFill>
                <a:srgbClr val="DA5A28"/>
              </a:solidFill>
              <a:round/>
            </a:ln>
            <a:effectLst/>
          </c:spPr>
          <c:marker>
            <c:symbol val="none"/>
          </c:marker>
          <c:xVal>
            <c:numRef>
              <c:f>'LULUCF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'LULUCF reporting AR4'!$B$9:$BJ$9</c:f>
              <c:numCache>
                <c:formatCode>#,##0.00</c:formatCode>
                <c:ptCount val="6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pt idx="31">
                  <c:v>-16.912374954717976</c:v>
                </c:pt>
                <c:pt idx="32">
                  <c:v>-12.797476427626048</c:v>
                </c:pt>
                <c:pt idx="33">
                  <c:v>-8.5694392850477108</c:v>
                </c:pt>
                <c:pt idx="34">
                  <c:v>-4.1078662015611176</c:v>
                </c:pt>
                <c:pt idx="35">
                  <c:v>-2.7071997446329048</c:v>
                </c:pt>
                <c:pt idx="36">
                  <c:v>-1.8900653326063719</c:v>
                </c:pt>
                <c:pt idx="37">
                  <c:v>-1.706063219008549</c:v>
                </c:pt>
                <c:pt idx="38">
                  <c:v>-2.1322495882173351</c:v>
                </c:pt>
                <c:pt idx="39">
                  <c:v>-3.2229041828577905</c:v>
                </c:pt>
                <c:pt idx="40">
                  <c:v>-4.6279125759960218</c:v>
                </c:pt>
                <c:pt idx="41">
                  <c:v>-6.7885517024715814</c:v>
                </c:pt>
                <c:pt idx="42">
                  <c:v>-8.9366712087881162</c:v>
                </c:pt>
                <c:pt idx="43">
                  <c:v>-11.418709230246666</c:v>
                </c:pt>
                <c:pt idx="44">
                  <c:v>-14.082100552257845</c:v>
                </c:pt>
                <c:pt idx="45">
                  <c:v>-16.697192145718624</c:v>
                </c:pt>
                <c:pt idx="46">
                  <c:v>-19.416137442579529</c:v>
                </c:pt>
                <c:pt idx="47">
                  <c:v>-22.097719885572843</c:v>
                </c:pt>
                <c:pt idx="48">
                  <c:v>-23.777013832240208</c:v>
                </c:pt>
                <c:pt idx="49">
                  <c:v>-24.794191213721458</c:v>
                </c:pt>
                <c:pt idx="50">
                  <c:v>-26.056188262211993</c:v>
                </c:pt>
                <c:pt idx="51">
                  <c:v>-25.816945278112417</c:v>
                </c:pt>
                <c:pt idx="52">
                  <c:v>-26.360381451875593</c:v>
                </c:pt>
                <c:pt idx="53">
                  <c:v>-26.549294848046724</c:v>
                </c:pt>
                <c:pt idx="54">
                  <c:v>-27.831302129889366</c:v>
                </c:pt>
                <c:pt idx="55">
                  <c:v>-27.464718952268253</c:v>
                </c:pt>
                <c:pt idx="56">
                  <c:v>-28.754978131099584</c:v>
                </c:pt>
                <c:pt idx="57">
                  <c:v>-28.593764571935459</c:v>
                </c:pt>
                <c:pt idx="58">
                  <c:v>-31.07313879658771</c:v>
                </c:pt>
                <c:pt idx="59">
                  <c:v>-28.832935443065992</c:v>
                </c:pt>
                <c:pt idx="60">
                  <c:v>-26.951841014609823</c:v>
                </c:pt>
              </c:numCache>
            </c:numRef>
          </c:yVal>
          <c:smooth val="0"/>
          <c:extLst>
            <c:ext xmlns:c16="http://schemas.microsoft.com/office/drawing/2014/chart" uri="{C3380CC4-5D6E-409C-BE32-E72D297353CC}">
              <c16:uniqueId val="{00000000-FEF8-4C90-8C1A-8643BC39B34E}"/>
            </c:ext>
          </c:extLst>
        </c:ser>
        <c:ser>
          <c:idx val="0"/>
          <c:order val="1"/>
          <c:tx>
            <c:v>WEM - Upper</c:v>
          </c:tx>
          <c:spPr>
            <a:ln w="19050" cap="rnd">
              <a:solidFill>
                <a:srgbClr val="32809C"/>
              </a:solidFill>
              <a:round/>
            </a:ln>
            <a:effectLst/>
          </c:spPr>
          <c:marker>
            <c:symbol val="none"/>
          </c:marker>
          <c:xVal>
            <c:numRef>
              <c:f>'LULUCF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'LULUCF reporting AR4'!$B$10:$BJ$10</c:f>
              <c:numCache>
                <c:formatCode>#,##0.00</c:formatCode>
                <c:ptCount val="6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pt idx="31">
                  <c:v>-22.243849447736629</c:v>
                </c:pt>
                <c:pt idx="32">
                  <c:v>-20.760538886288696</c:v>
                </c:pt>
                <c:pt idx="33">
                  <c:v>-19.155223228646786</c:v>
                </c:pt>
                <c:pt idx="34">
                  <c:v>-17.316907627430133</c:v>
                </c:pt>
                <c:pt idx="35">
                  <c:v>-15.884255677052233</c:v>
                </c:pt>
                <c:pt idx="36">
                  <c:v>-15.067984920424806</c:v>
                </c:pt>
                <c:pt idx="37">
                  <c:v>-14.963928256284484</c:v>
                </c:pt>
                <c:pt idx="38">
                  <c:v>-15.59584477705803</c:v>
                </c:pt>
                <c:pt idx="39">
                  <c:v>-17.049516308350618</c:v>
                </c:pt>
                <c:pt idx="40">
                  <c:v>-18.927796574274574</c:v>
                </c:pt>
                <c:pt idx="41">
                  <c:v>-21.642370862729543</c:v>
                </c:pt>
                <c:pt idx="42">
                  <c:v>-24.400842843339756</c:v>
                </c:pt>
                <c:pt idx="43">
                  <c:v>-27.471225142614593</c:v>
                </c:pt>
                <c:pt idx="44">
                  <c:v>-30.661632506506329</c:v>
                </c:pt>
                <c:pt idx="45">
                  <c:v>-33.786182771786926</c:v>
                </c:pt>
                <c:pt idx="46">
                  <c:v>-36.826715586203903</c:v>
                </c:pt>
                <c:pt idx="47">
                  <c:v>-39.841205083257719</c:v>
                </c:pt>
                <c:pt idx="48">
                  <c:v>-41.873425230365022</c:v>
                </c:pt>
                <c:pt idx="49">
                  <c:v>-43.26408121254066</c:v>
                </c:pt>
                <c:pt idx="50">
                  <c:v>-44.917117799718021</c:v>
                </c:pt>
                <c:pt idx="51">
                  <c:v>-45.264399888589828</c:v>
                </c:pt>
                <c:pt idx="52">
                  <c:v>-46.406946407501081</c:v>
                </c:pt>
                <c:pt idx="53">
                  <c:v>-47.204216088609549</c:v>
                </c:pt>
                <c:pt idx="54">
                  <c:v>-49.100777250658368</c:v>
                </c:pt>
                <c:pt idx="55">
                  <c:v>-49.352399861866736</c:v>
                </c:pt>
                <c:pt idx="56">
                  <c:v>-51.263211662133116</c:v>
                </c:pt>
                <c:pt idx="57">
                  <c:v>-51.730718208640987</c:v>
                </c:pt>
                <c:pt idx="58">
                  <c:v>-54.8558311686729</c:v>
                </c:pt>
                <c:pt idx="59">
                  <c:v>-53.250974149842271</c:v>
                </c:pt>
                <c:pt idx="60">
                  <c:v>-52.517695888124635</c:v>
                </c:pt>
              </c:numCache>
            </c:numRef>
          </c:yVal>
          <c:smooth val="0"/>
          <c:extLst>
            <c:ext xmlns:c16="http://schemas.microsoft.com/office/drawing/2014/chart" uri="{C3380CC4-5D6E-409C-BE32-E72D297353CC}">
              <c16:uniqueId val="{00000001-FEF8-4C90-8C1A-8643BC39B34E}"/>
            </c:ext>
          </c:extLst>
        </c:ser>
        <c:ser>
          <c:idx val="1"/>
          <c:order val="2"/>
          <c:tx>
            <c:strRef>
              <c:f>'LULUCF reporting AR4'!$A$6</c:f>
              <c:strCache>
                <c:ptCount val="1"/>
                <c:pt idx="0">
                  <c:v>With existing measures </c:v>
                </c:pt>
              </c:strCache>
            </c:strRef>
          </c:tx>
          <c:spPr>
            <a:ln w="19050" cap="rnd">
              <a:solidFill>
                <a:srgbClr val="A0A0A0"/>
              </a:solidFill>
              <a:round/>
            </a:ln>
            <a:effectLst/>
          </c:spPr>
          <c:marker>
            <c:symbol val="none"/>
          </c:marker>
          <c:xVal>
            <c:numRef>
              <c:f>'LULUCF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'LULUCF reporting AR4'!$B$6:$BJ$6</c:f>
              <c:numCache>
                <c:formatCode>#,##0.00</c:formatCode>
                <c:ptCount val="6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pt idx="31">
                  <c:v>-19.673284392195033</c:v>
                </c:pt>
                <c:pt idx="32">
                  <c:v>-16.92168302096394</c:v>
                </c:pt>
                <c:pt idx="33">
                  <c:v>-14.052454512262646</c:v>
                </c:pt>
                <c:pt idx="34">
                  <c:v>-10.949902779689831</c:v>
                </c:pt>
                <c:pt idx="35">
                  <c:v>-9.5329671678866887</c:v>
                </c:pt>
                <c:pt idx="36">
                  <c:v>-8.7159881754096293</c:v>
                </c:pt>
                <c:pt idx="37">
                  <c:v>-8.5716823783904754</c:v>
                </c:pt>
                <c:pt idx="38">
                  <c:v>-9.1004574152315563</c:v>
                </c:pt>
                <c:pt idx="39">
                  <c:v>-10.372344070047996</c:v>
                </c:pt>
                <c:pt idx="40">
                  <c:v>-12.013711991429005</c:v>
                </c:pt>
                <c:pt idx="41">
                  <c:v>-14.451042290744184</c:v>
                </c:pt>
                <c:pt idx="42">
                  <c:v>-16.904061626057477</c:v>
                </c:pt>
                <c:pt idx="43">
                  <c:v>-19.679995378274089</c:v>
                </c:pt>
                <c:pt idx="44">
                  <c:v>-22.606618313075462</c:v>
                </c:pt>
                <c:pt idx="45">
                  <c:v>-25.476162834296069</c:v>
                </c:pt>
                <c:pt idx="46">
                  <c:v>-28.356521839811602</c:v>
                </c:pt>
                <c:pt idx="47">
                  <c:v>-31.205175567045085</c:v>
                </c:pt>
                <c:pt idx="48">
                  <c:v>-33.061548178475675</c:v>
                </c:pt>
                <c:pt idx="49">
                  <c:v>-34.266078232180703</c:v>
                </c:pt>
                <c:pt idx="50">
                  <c:v>-35.72429984232086</c:v>
                </c:pt>
                <c:pt idx="51">
                  <c:v>-35.778219249416161</c:v>
                </c:pt>
                <c:pt idx="52">
                  <c:v>-36.621204063558835</c:v>
                </c:pt>
                <c:pt idx="53">
                  <c:v>-37.114382683100402</c:v>
                </c:pt>
                <c:pt idx="54">
                  <c:v>-38.703847599044209</c:v>
                </c:pt>
                <c:pt idx="55">
                  <c:v>-38.646548009835911</c:v>
                </c:pt>
                <c:pt idx="56">
                  <c:v>-40.247264193382826</c:v>
                </c:pt>
                <c:pt idx="57">
                  <c:v>-40.400591381052763</c:v>
                </c:pt>
                <c:pt idx="58">
                  <c:v>-43.203015667392918</c:v>
                </c:pt>
                <c:pt idx="59">
                  <c:v>-41.280666175214812</c:v>
                </c:pt>
                <c:pt idx="60">
                  <c:v>-39.488796672319857</c:v>
                </c:pt>
              </c:numCache>
            </c:numRef>
          </c:yVal>
          <c:smooth val="0"/>
          <c:extLst>
            <c:ext xmlns:c16="http://schemas.microsoft.com/office/drawing/2014/chart" uri="{C3380CC4-5D6E-409C-BE32-E72D297353CC}">
              <c16:uniqueId val="{00000002-FEF8-4C90-8C1A-8643BC39B34E}"/>
            </c:ext>
          </c:extLst>
        </c:ser>
        <c:ser>
          <c:idx val="3"/>
          <c:order val="3"/>
          <c:tx>
            <c:v>2020 National GHG Inventory</c:v>
          </c:tx>
          <c:spPr>
            <a:ln w="19050" cap="rnd">
              <a:solidFill>
                <a:srgbClr val="1B556B"/>
              </a:solidFill>
              <a:prstDash val="sysDash"/>
              <a:round/>
            </a:ln>
            <a:effectLst/>
          </c:spPr>
          <c:marker>
            <c:symbol val="none"/>
          </c:marker>
          <c:xVal>
            <c:numRef>
              <c:f>'LULUCF reporting AR4'!$B$5:$AF$5</c:f>
              <c:numCache>
                <c:formatCode>0</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'LULUCF reporting AR4'!$B$6:$AF$6</c:f>
              <c:numCache>
                <c:formatCode>#,##0.00</c:formatCode>
                <c:ptCount val="3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numCache>
            </c:numRef>
          </c:yVal>
          <c:smooth val="0"/>
          <c:extLst>
            <c:ext xmlns:c16="http://schemas.microsoft.com/office/drawing/2014/chart" uri="{C3380CC4-5D6E-409C-BE32-E72D297353CC}">
              <c16:uniqueId val="{00000003-FEF8-4C90-8C1A-8643BC39B34E}"/>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Removals (Mt CO</a:t>
                </a:r>
                <a:r>
                  <a:rPr lang="en-NZ" baseline="-25000"/>
                  <a:t>2</a:t>
                </a:r>
                <a:r>
                  <a:rPr lang="en-NZ"/>
                  <a:t>-e)</a:t>
                </a:r>
              </a:p>
            </c:rich>
          </c:tx>
          <c:layout>
            <c:manualLayout>
              <c:xMode val="edge"/>
              <c:yMode val="edge"/>
              <c:x val="1.8816888157121014E-2"/>
              <c:y val="0.243501437320334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a:t>Tokelau</a:t>
            </a:r>
          </a:p>
        </c:rich>
      </c:tx>
      <c:overlay val="1"/>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1"/>
          <c:order val="2"/>
          <c:tx>
            <c:strRef>
              <c:f>'[Chart in Microsoft Word]Tokelau AR4'!$A$6</c:f>
              <c:strCache>
                <c:ptCount val="1"/>
                <c:pt idx="0">
                  <c:v>With existing measures </c:v>
                </c:pt>
              </c:strCache>
            </c:strRef>
          </c:tx>
          <c:spPr>
            <a:ln w="19050" cap="rnd">
              <a:solidFill>
                <a:srgbClr val="A0A0A0"/>
              </a:solidFill>
              <a:round/>
            </a:ln>
            <a:effectLst/>
          </c:spPr>
          <c:marker>
            <c:symbol val="none"/>
          </c:marker>
          <c:xVal>
            <c:numRef>
              <c:f>'[Chart in Microsoft Word]Tokelau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'[Chart in Microsoft Word]Tokelau AR4'!$B$6:$BJ$6</c:f>
              <c:numCache>
                <c:formatCode>#,##0.00</c:formatCode>
                <c:ptCount val="61"/>
                <c:pt idx="0">
                  <c:v>3.1677545631145802E-3</c:v>
                </c:pt>
                <c:pt idx="1">
                  <c:v>3.2795404104723901E-3</c:v>
                </c:pt>
                <c:pt idx="2">
                  <c:v>3.2422000609002898E-3</c:v>
                </c:pt>
                <c:pt idx="3">
                  <c:v>3.2051520732639099E-3</c:v>
                </c:pt>
                <c:pt idx="4">
                  <c:v>3.1719204343993203E-3</c:v>
                </c:pt>
                <c:pt idx="5">
                  <c:v>3.1403400907512205E-3</c:v>
                </c:pt>
                <c:pt idx="6">
                  <c:v>3.1108150138538597E-3</c:v>
                </c:pt>
                <c:pt idx="7">
                  <c:v>3.2065859118437798E-3</c:v>
                </c:pt>
                <c:pt idx="8">
                  <c:v>3.3021722417532506E-3</c:v>
                </c:pt>
                <c:pt idx="9">
                  <c:v>3.3975993280416401E-3</c:v>
                </c:pt>
                <c:pt idx="10">
                  <c:v>3.4923024576276498E-3</c:v>
                </c:pt>
                <c:pt idx="11">
                  <c:v>3.5893296943967598E-3</c:v>
                </c:pt>
                <c:pt idx="12">
                  <c:v>3.5907792121803103E-3</c:v>
                </c:pt>
                <c:pt idx="13">
                  <c:v>3.5881895640248896E-3</c:v>
                </c:pt>
                <c:pt idx="14">
                  <c:v>4.0382458960680993E-3</c:v>
                </c:pt>
                <c:pt idx="15">
                  <c:v>4.4871763867560697E-3</c:v>
                </c:pt>
                <c:pt idx="16">
                  <c:v>4.4729146130783898E-3</c:v>
                </c:pt>
                <c:pt idx="17">
                  <c:v>4.4829808128773402E-3</c:v>
                </c:pt>
                <c:pt idx="18">
                  <c:v>4.49666992503122E-3</c:v>
                </c:pt>
                <c:pt idx="19">
                  <c:v>4.5096928619252699E-3</c:v>
                </c:pt>
                <c:pt idx="20">
                  <c:v>4.5241778819436205E-3</c:v>
                </c:pt>
                <c:pt idx="21">
                  <c:v>4.5408084074535192E-3</c:v>
                </c:pt>
                <c:pt idx="22">
                  <c:v>4.2679932825015095E-3</c:v>
                </c:pt>
                <c:pt idx="23">
                  <c:v>3.5191078222249293E-3</c:v>
                </c:pt>
                <c:pt idx="24">
                  <c:v>3.4834252500748303E-3</c:v>
                </c:pt>
                <c:pt idx="25">
                  <c:v>3.4234365658441699E-3</c:v>
                </c:pt>
                <c:pt idx="26">
                  <c:v>3.4471920609272901E-3</c:v>
                </c:pt>
                <c:pt idx="27">
                  <c:v>3.53256616437933E-3</c:v>
                </c:pt>
                <c:pt idx="28">
                  <c:v>3.6361615606897296E-3</c:v>
                </c:pt>
                <c:pt idx="29">
                  <c:v>4.3001327115023804E-3</c:v>
                </c:pt>
                <c:pt idx="30">
                  <c:v>4.1787870702019005E-3</c:v>
                </c:pt>
                <c:pt idx="31">
                  <c:v>3.5272020567145182E-3</c:v>
                </c:pt>
                <c:pt idx="32">
                  <c:v>3.5343407886073291E-3</c:v>
                </c:pt>
                <c:pt idx="33">
                  <c:v>3.5414909667268075E-3</c:v>
                </c:pt>
                <c:pt idx="34">
                  <c:v>3.5486527055352199E-3</c:v>
                </c:pt>
                <c:pt idx="35">
                  <c:v>3.5558261206394557E-3</c:v>
                </c:pt>
                <c:pt idx="36">
                  <c:v>3.546500157525832E-3</c:v>
                </c:pt>
                <c:pt idx="37">
                  <c:v>3.537186105401578E-3</c:v>
                </c:pt>
                <c:pt idx="38">
                  <c:v>3.5278840833765875E-3</c:v>
                </c:pt>
                <c:pt idx="39">
                  <c:v>3.5185942117518525E-3</c:v>
                </c:pt>
                <c:pt idx="40">
                  <c:v>3.509316612031375E-3</c:v>
                </c:pt>
                <c:pt idx="41">
                  <c:v>3.5000514069341991E-3</c:v>
                </c:pt>
                <c:pt idx="42">
                  <c:v>3.4907987204065576E-3</c:v>
                </c:pt>
                <c:pt idx="43">
                  <c:v>3.4815586776341442E-3</c:v>
                </c:pt>
                <c:pt idx="44">
                  <c:v>3.4723314050545133E-3</c:v>
                </c:pt>
                <c:pt idx="45">
                  <c:v>3.4631170303695909E-3</c:v>
                </c:pt>
                <c:pt idx="46">
                  <c:v>3.4539156825583251E-3</c:v>
                </c:pt>
                <c:pt idx="47">
                  <c:v>3.4447274918894522E-3</c:v>
                </c:pt>
                <c:pt idx="48">
                  <c:v>3.4355525899343975E-3</c:v>
                </c:pt>
                <c:pt idx="49">
                  <c:v>3.4263911095802962E-3</c:v>
                </c:pt>
                <c:pt idx="50">
                  <c:v>3.4172431850431604E-3</c:v>
                </c:pt>
                <c:pt idx="51">
                  <c:v>3.4081089518811581E-3</c:v>
                </c:pt>
                <c:pt idx="52">
                  <c:v>3.3989885470080421E-3</c:v>
                </c:pt>
                <c:pt idx="53">
                  <c:v>3.3898821087067011E-3</c:v>
                </c:pt>
                <c:pt idx="54">
                  <c:v>3.3807897766428515E-3</c:v>
                </c:pt>
                <c:pt idx="55">
                  <c:v>3.3717116918788692E-3</c:v>
                </c:pt>
                <c:pt idx="56">
                  <c:v>3.3626548302210855E-3</c:v>
                </c:pt>
                <c:pt idx="57">
                  <c:v>3.3536226540196116E-3</c:v>
                </c:pt>
                <c:pt idx="58">
                  <c:v>3.351015871111153E-3</c:v>
                </c:pt>
                <c:pt idx="59">
                  <c:v>3.3696768901905426E-3</c:v>
                </c:pt>
                <c:pt idx="60">
                  <c:v>3.38835288332528E-3</c:v>
                </c:pt>
              </c:numCache>
            </c:numRef>
          </c:yVal>
          <c:smooth val="0"/>
          <c:extLst>
            <c:ext xmlns:c16="http://schemas.microsoft.com/office/drawing/2014/chart" uri="{C3380CC4-5D6E-409C-BE32-E72D297353CC}">
              <c16:uniqueId val="{00000000-ED1D-4AE8-B649-2C5B3D6144A0}"/>
            </c:ext>
          </c:extLst>
        </c:ser>
        <c:dLbls>
          <c:showLegendKey val="0"/>
          <c:showVal val="0"/>
          <c:showCatName val="0"/>
          <c:showSerName val="0"/>
          <c:showPercent val="0"/>
          <c:showBubbleSize val="0"/>
        </c:dLbls>
        <c:axId val="456858200"/>
        <c:axId val="456854920"/>
        <c:extLst>
          <c:ext xmlns:c15="http://schemas.microsoft.com/office/drawing/2012/chart" uri="{02D57815-91ED-43cb-92C2-25804820EDAC}">
            <c15:filteredScatterSeries>
              <c15:ser>
                <c:idx val="2"/>
                <c:order val="0"/>
                <c:tx>
                  <c:strRef>
                    <c:extLst>
                      <c:ext uri="{02D57815-91ED-43cb-92C2-25804820EDAC}">
                        <c15:formulaRef>
                          <c15:sqref>'[Chart in Microsoft Word]Tokelau AR4'!$A$7</c15:sqref>
                        </c15:formulaRef>
                      </c:ext>
                    </c:extLst>
                    <c:strCache>
                      <c:ptCount val="1"/>
                      <c:pt idx="0">
                        <c:v>Without measures</c:v>
                      </c:pt>
                    </c:strCache>
                  </c:strRef>
                </c:tx>
                <c:spPr>
                  <a:ln w="19050" cap="rnd">
                    <a:solidFill>
                      <a:srgbClr val="1B556B"/>
                    </a:solidFill>
                    <a:round/>
                  </a:ln>
                  <a:effectLst/>
                </c:spPr>
                <c:marker>
                  <c:symbol val="none"/>
                </c:marker>
                <c:xVal>
                  <c:numRef>
                    <c:extLst>
                      <c:ext uri="{02D57815-91ED-43cb-92C2-25804820EDAC}">
                        <c15:formulaRef>
                          <c15:sqref>'[Chart in Microsoft Word]Tokelau AR4'!$B$5:$BJ$5</c15:sqref>
                        </c15:formulaRef>
                      </c:ext>
                    </c:extLst>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extLst>
                      <c:ext uri="{02D57815-91ED-43cb-92C2-25804820EDAC}">
                        <c15:formulaRef>
                          <c15:sqref>'[Chart in Microsoft Word]Tokelau AR4'!$B$7:$BJ$7</c15:sqref>
                        </c15:formulaRef>
                      </c:ext>
                    </c:extLst>
                    <c:numCache>
                      <c:formatCode>#,##0.00</c:formatCode>
                      <c:ptCount val="61"/>
                      <c:pt idx="0">
                        <c:v>3.1677545631145802E-3</c:v>
                      </c:pt>
                      <c:pt idx="1">
                        <c:v>3.2795404104723901E-3</c:v>
                      </c:pt>
                      <c:pt idx="2">
                        <c:v>3.2422000609002898E-3</c:v>
                      </c:pt>
                      <c:pt idx="3">
                        <c:v>3.2051520732639099E-3</c:v>
                      </c:pt>
                      <c:pt idx="4">
                        <c:v>3.1719204343993203E-3</c:v>
                      </c:pt>
                      <c:pt idx="5">
                        <c:v>3.1403400907512205E-3</c:v>
                      </c:pt>
                      <c:pt idx="6">
                        <c:v>3.1108150138538597E-3</c:v>
                      </c:pt>
                      <c:pt idx="7">
                        <c:v>3.2065859118437798E-3</c:v>
                      </c:pt>
                      <c:pt idx="8">
                        <c:v>3.3021722417532506E-3</c:v>
                      </c:pt>
                      <c:pt idx="9">
                        <c:v>3.3975993280416401E-3</c:v>
                      </c:pt>
                      <c:pt idx="10">
                        <c:v>3.4923024576276498E-3</c:v>
                      </c:pt>
                      <c:pt idx="11">
                        <c:v>3.5893296943967598E-3</c:v>
                      </c:pt>
                      <c:pt idx="12">
                        <c:v>3.5907792121803103E-3</c:v>
                      </c:pt>
                      <c:pt idx="13">
                        <c:v>3.5881895640248896E-3</c:v>
                      </c:pt>
                      <c:pt idx="14">
                        <c:v>4.0382458960680993E-3</c:v>
                      </c:pt>
                      <c:pt idx="15">
                        <c:v>4.4871763867560697E-3</c:v>
                      </c:pt>
                      <c:pt idx="16">
                        <c:v>4.4729146130783898E-3</c:v>
                      </c:pt>
                      <c:pt idx="17">
                        <c:v>4.4829808128773402E-3</c:v>
                      </c:pt>
                      <c:pt idx="18">
                        <c:v>4.49666992503122E-3</c:v>
                      </c:pt>
                      <c:pt idx="19">
                        <c:v>4.5096928619252699E-3</c:v>
                      </c:pt>
                      <c:pt idx="20">
                        <c:v>4.5241778819436205E-3</c:v>
                      </c:pt>
                      <c:pt idx="21">
                        <c:v>4.5408084074535192E-3</c:v>
                      </c:pt>
                      <c:pt idx="22">
                        <c:v>4.2679932825015095E-3</c:v>
                      </c:pt>
                      <c:pt idx="23">
                        <c:v>3.5191078222249293E-3</c:v>
                      </c:pt>
                      <c:pt idx="24">
                        <c:v>3.4834252500748303E-3</c:v>
                      </c:pt>
                      <c:pt idx="25">
                        <c:v>3.4234365658441699E-3</c:v>
                      </c:pt>
                      <c:pt idx="26">
                        <c:v>3.4471920609272901E-3</c:v>
                      </c:pt>
                      <c:pt idx="27">
                        <c:v>3.53256616437933E-3</c:v>
                      </c:pt>
                      <c:pt idx="28">
                        <c:v>3.6361615606897296E-3</c:v>
                      </c:pt>
                      <c:pt idx="29">
                        <c:v>4.3001327115023804E-3</c:v>
                      </c:pt>
                      <c:pt idx="30">
                        <c:v>4.1787870702019005E-3</c:v>
                      </c:pt>
                      <c:pt idx="31">
                        <c:v>3.5272020567145182E-3</c:v>
                      </c:pt>
                      <c:pt idx="32">
                        <c:v>3.5343407886073291E-3</c:v>
                      </c:pt>
                      <c:pt idx="33">
                        <c:v>3.5414909667268075E-3</c:v>
                      </c:pt>
                      <c:pt idx="34">
                        <c:v>3.5486527055352199E-3</c:v>
                      </c:pt>
                      <c:pt idx="35">
                        <c:v>3.5558261206394557E-3</c:v>
                      </c:pt>
                      <c:pt idx="36">
                        <c:v>3.546500157525832E-3</c:v>
                      </c:pt>
                      <c:pt idx="37">
                        <c:v>3.537186105401578E-3</c:v>
                      </c:pt>
                      <c:pt idx="38">
                        <c:v>3.5278840833765875E-3</c:v>
                      </c:pt>
                      <c:pt idx="39">
                        <c:v>3.5185942117518525E-3</c:v>
                      </c:pt>
                      <c:pt idx="40">
                        <c:v>3.509316612031375E-3</c:v>
                      </c:pt>
                      <c:pt idx="41">
                        <c:v>3.5000514069341991E-3</c:v>
                      </c:pt>
                      <c:pt idx="42">
                        <c:v>3.4907987204065576E-3</c:v>
                      </c:pt>
                      <c:pt idx="43">
                        <c:v>3.4815586776341442E-3</c:v>
                      </c:pt>
                      <c:pt idx="44">
                        <c:v>3.4723314050545133E-3</c:v>
                      </c:pt>
                      <c:pt idx="45">
                        <c:v>3.4631170303695909E-3</c:v>
                      </c:pt>
                      <c:pt idx="46">
                        <c:v>3.4539156825583251E-3</c:v>
                      </c:pt>
                      <c:pt idx="47">
                        <c:v>3.4447274918894522E-3</c:v>
                      </c:pt>
                      <c:pt idx="48">
                        <c:v>3.4355525899343975E-3</c:v>
                      </c:pt>
                      <c:pt idx="49">
                        <c:v>3.4263911095802962E-3</c:v>
                      </c:pt>
                      <c:pt idx="50">
                        <c:v>3.4172431850431604E-3</c:v>
                      </c:pt>
                      <c:pt idx="51">
                        <c:v>3.4081089518811581E-3</c:v>
                      </c:pt>
                      <c:pt idx="52">
                        <c:v>3.3989885470080421E-3</c:v>
                      </c:pt>
                      <c:pt idx="53">
                        <c:v>3.3898821087067011E-3</c:v>
                      </c:pt>
                      <c:pt idx="54">
                        <c:v>3.3807897766428515E-3</c:v>
                      </c:pt>
                      <c:pt idx="55">
                        <c:v>3.3717116918788692E-3</c:v>
                      </c:pt>
                      <c:pt idx="56">
                        <c:v>3.3626548302210855E-3</c:v>
                      </c:pt>
                      <c:pt idx="57">
                        <c:v>3.3536226540196116E-3</c:v>
                      </c:pt>
                      <c:pt idx="58">
                        <c:v>3.351015871111153E-3</c:v>
                      </c:pt>
                      <c:pt idx="59">
                        <c:v>3.3696768901905426E-3</c:v>
                      </c:pt>
                      <c:pt idx="60">
                        <c:v>3.38835288332528E-3</c:v>
                      </c:pt>
                    </c:numCache>
                  </c:numRef>
                </c:yVal>
                <c:smooth val="0"/>
                <c:extLst>
                  <c:ext xmlns:c16="http://schemas.microsoft.com/office/drawing/2014/chart" uri="{C3380CC4-5D6E-409C-BE32-E72D297353CC}">
                    <c16:uniqueId val="{00000001-ED1D-4AE8-B649-2C5B3D6144A0}"/>
                  </c:ext>
                </c:extLst>
              </c15:ser>
            </c15:filteredScatterSeries>
            <c15:filteredScatterSeries>
              <c15:ser>
                <c:idx val="0"/>
                <c:order val="1"/>
                <c:tx>
                  <c:strRef>
                    <c:extLst xmlns:c15="http://schemas.microsoft.com/office/drawing/2012/chart">
                      <c:ext xmlns:c15="http://schemas.microsoft.com/office/drawing/2012/chart" uri="{02D57815-91ED-43cb-92C2-25804820EDAC}">
                        <c15:formulaRef>
                          <c15:sqref>'[Chart in Microsoft Word]Tokelau AR4'!$A$8</c15:sqref>
                        </c15:formulaRef>
                      </c:ext>
                    </c:extLst>
                    <c:strCache>
                      <c:ptCount val="1"/>
                      <c:pt idx="0">
                        <c:v>With additional measures</c:v>
                      </c:pt>
                    </c:strCache>
                  </c:strRef>
                </c:tx>
                <c:spPr>
                  <a:ln w="19050" cap="rnd">
                    <a:solidFill>
                      <a:srgbClr val="2C9986"/>
                    </a:solidFill>
                    <a:round/>
                  </a:ln>
                  <a:effectLst/>
                </c:spPr>
                <c:marker>
                  <c:symbol val="none"/>
                </c:marker>
                <c:xVal>
                  <c:numRef>
                    <c:extLst xmlns:c15="http://schemas.microsoft.com/office/drawing/2012/chart">
                      <c:ext xmlns:c15="http://schemas.microsoft.com/office/drawing/2012/chart" uri="{02D57815-91ED-43cb-92C2-25804820EDAC}">
                        <c15:formulaRef>
                          <c15:sqref>'[Chart in Microsoft Word]Tokelau AR4'!$B$5:$BJ$5</c15:sqref>
                        </c15:formulaRef>
                      </c:ext>
                    </c:extLst>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extLst xmlns:c15="http://schemas.microsoft.com/office/drawing/2012/chart">
                      <c:ext xmlns:c15="http://schemas.microsoft.com/office/drawing/2012/chart" uri="{02D57815-91ED-43cb-92C2-25804820EDAC}">
                        <c15:formulaRef>
                          <c15:sqref>'[Chart in Microsoft Word]Tokelau AR4'!$B$8:$BJ$8</c15:sqref>
                        </c15:formulaRef>
                      </c:ext>
                    </c:extLst>
                    <c:numCache>
                      <c:formatCode>#,##0.00</c:formatCode>
                      <c:ptCount val="61"/>
                      <c:pt idx="0">
                        <c:v>3.1677545631145802E-3</c:v>
                      </c:pt>
                      <c:pt idx="1">
                        <c:v>3.2795404104723901E-3</c:v>
                      </c:pt>
                      <c:pt idx="2">
                        <c:v>3.2422000609002898E-3</c:v>
                      </c:pt>
                      <c:pt idx="3">
                        <c:v>3.2051520732639099E-3</c:v>
                      </c:pt>
                      <c:pt idx="4">
                        <c:v>3.1719204343993203E-3</c:v>
                      </c:pt>
                      <c:pt idx="5">
                        <c:v>3.1403400907512205E-3</c:v>
                      </c:pt>
                      <c:pt idx="6">
                        <c:v>3.1108150138538597E-3</c:v>
                      </c:pt>
                      <c:pt idx="7">
                        <c:v>3.2065859118437798E-3</c:v>
                      </c:pt>
                      <c:pt idx="8">
                        <c:v>3.3021722417532506E-3</c:v>
                      </c:pt>
                      <c:pt idx="9">
                        <c:v>3.3975993280416401E-3</c:v>
                      </c:pt>
                      <c:pt idx="10">
                        <c:v>3.4923024576276498E-3</c:v>
                      </c:pt>
                      <c:pt idx="11">
                        <c:v>3.5893296943967598E-3</c:v>
                      </c:pt>
                      <c:pt idx="12">
                        <c:v>3.5907792121803103E-3</c:v>
                      </c:pt>
                      <c:pt idx="13">
                        <c:v>3.5881895640248896E-3</c:v>
                      </c:pt>
                      <c:pt idx="14">
                        <c:v>4.0382458960680993E-3</c:v>
                      </c:pt>
                      <c:pt idx="15">
                        <c:v>4.4871763867560697E-3</c:v>
                      </c:pt>
                      <c:pt idx="16">
                        <c:v>4.4729146130783898E-3</c:v>
                      </c:pt>
                      <c:pt idx="17">
                        <c:v>4.4829808128773402E-3</c:v>
                      </c:pt>
                      <c:pt idx="18">
                        <c:v>4.49666992503122E-3</c:v>
                      </c:pt>
                      <c:pt idx="19">
                        <c:v>4.5096928619252699E-3</c:v>
                      </c:pt>
                      <c:pt idx="20">
                        <c:v>4.5241778819436205E-3</c:v>
                      </c:pt>
                      <c:pt idx="21">
                        <c:v>4.5408084074535192E-3</c:v>
                      </c:pt>
                      <c:pt idx="22">
                        <c:v>4.2679932825015095E-3</c:v>
                      </c:pt>
                      <c:pt idx="23">
                        <c:v>3.5191078222249293E-3</c:v>
                      </c:pt>
                      <c:pt idx="24">
                        <c:v>3.4834252500748303E-3</c:v>
                      </c:pt>
                      <c:pt idx="25">
                        <c:v>3.4234365658441699E-3</c:v>
                      </c:pt>
                      <c:pt idx="26">
                        <c:v>3.4471920609272901E-3</c:v>
                      </c:pt>
                      <c:pt idx="27">
                        <c:v>3.53256616437933E-3</c:v>
                      </c:pt>
                      <c:pt idx="28">
                        <c:v>3.6361615606897296E-3</c:v>
                      </c:pt>
                      <c:pt idx="29">
                        <c:v>4.3001327115023804E-3</c:v>
                      </c:pt>
                      <c:pt idx="30">
                        <c:v>4.1787870702019005E-3</c:v>
                      </c:pt>
                      <c:pt idx="31">
                        <c:v>3.5272020567145182E-3</c:v>
                      </c:pt>
                      <c:pt idx="32">
                        <c:v>3.5343407886073291E-3</c:v>
                      </c:pt>
                      <c:pt idx="33">
                        <c:v>3.5414909667268075E-3</c:v>
                      </c:pt>
                      <c:pt idx="34">
                        <c:v>3.5486527055352199E-3</c:v>
                      </c:pt>
                      <c:pt idx="35">
                        <c:v>3.5558261206394557E-3</c:v>
                      </c:pt>
                      <c:pt idx="36">
                        <c:v>3.546500157525832E-3</c:v>
                      </c:pt>
                      <c:pt idx="37">
                        <c:v>3.537186105401578E-3</c:v>
                      </c:pt>
                      <c:pt idx="38">
                        <c:v>3.5278840833765875E-3</c:v>
                      </c:pt>
                      <c:pt idx="39">
                        <c:v>3.5185942117518525E-3</c:v>
                      </c:pt>
                      <c:pt idx="40">
                        <c:v>3.509316612031375E-3</c:v>
                      </c:pt>
                      <c:pt idx="41">
                        <c:v>3.5000514069341991E-3</c:v>
                      </c:pt>
                      <c:pt idx="42">
                        <c:v>3.4907987204065576E-3</c:v>
                      </c:pt>
                      <c:pt idx="43">
                        <c:v>3.4815586776341442E-3</c:v>
                      </c:pt>
                      <c:pt idx="44">
                        <c:v>3.4723314050545133E-3</c:v>
                      </c:pt>
                      <c:pt idx="45">
                        <c:v>3.4631170303695909E-3</c:v>
                      </c:pt>
                      <c:pt idx="46">
                        <c:v>3.4539156825583251E-3</c:v>
                      </c:pt>
                      <c:pt idx="47">
                        <c:v>3.4447274918894522E-3</c:v>
                      </c:pt>
                      <c:pt idx="48">
                        <c:v>3.4355525899343975E-3</c:v>
                      </c:pt>
                      <c:pt idx="49">
                        <c:v>3.4263911095802962E-3</c:v>
                      </c:pt>
                      <c:pt idx="50">
                        <c:v>3.4172431850431604E-3</c:v>
                      </c:pt>
                      <c:pt idx="51">
                        <c:v>3.4081089518811581E-3</c:v>
                      </c:pt>
                      <c:pt idx="52">
                        <c:v>3.3989885470080421E-3</c:v>
                      </c:pt>
                      <c:pt idx="53">
                        <c:v>3.3898821087067011E-3</c:v>
                      </c:pt>
                      <c:pt idx="54">
                        <c:v>3.3807897766428515E-3</c:v>
                      </c:pt>
                      <c:pt idx="55">
                        <c:v>3.3717116918788692E-3</c:v>
                      </c:pt>
                      <c:pt idx="56">
                        <c:v>3.3626548302210855E-3</c:v>
                      </c:pt>
                      <c:pt idx="57">
                        <c:v>3.3536226540196116E-3</c:v>
                      </c:pt>
                      <c:pt idx="58">
                        <c:v>3.351015871111153E-3</c:v>
                      </c:pt>
                      <c:pt idx="59">
                        <c:v>3.3696768901905426E-3</c:v>
                      </c:pt>
                      <c:pt idx="60">
                        <c:v>3.38835288332528E-3</c:v>
                      </c:pt>
                    </c:numCache>
                  </c:numRef>
                </c:yVal>
                <c:smooth val="0"/>
                <c:extLst xmlns:c15="http://schemas.microsoft.com/office/drawing/2012/chart">
                  <c:ext xmlns:c16="http://schemas.microsoft.com/office/drawing/2014/chart" uri="{C3380CC4-5D6E-409C-BE32-E72D297353CC}">
                    <c16:uniqueId val="{00000002-ED1D-4AE8-B649-2C5B3D6144A0}"/>
                  </c:ext>
                </c:extLst>
              </c15:ser>
            </c15:filteredScatterSeries>
          </c:ext>
        </c:extLst>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ax val="6.0000000000000019E-3"/>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7.0563330589203813E-3"/>
              <c:y val="0.247822651200857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9422572178478"/>
          <c:y val="5.0925925925925923E-2"/>
          <c:w val="0.6787338145231846"/>
          <c:h val="0.81041229221347333"/>
        </c:manualLayout>
      </c:layout>
      <c:areaChart>
        <c:grouping val="stacked"/>
        <c:varyColors val="0"/>
        <c:ser>
          <c:idx val="0"/>
          <c:order val="0"/>
          <c:tx>
            <c:strRef>
              <c:f>'CO2-e'!$D$69</c:f>
              <c:strCache>
                <c:ptCount val="1"/>
                <c:pt idx="0">
                  <c:v>Road</c:v>
                </c:pt>
              </c:strCache>
            </c:strRef>
          </c:tx>
          <c:spPr>
            <a:solidFill>
              <a:schemeClr val="accent1"/>
            </a:solidFill>
            <a:ln>
              <a:noFill/>
            </a:ln>
            <a:effectLst/>
          </c:spPr>
          <c:cat>
            <c:numRef>
              <c:f>'CO2-e'!$E$11:$AI$11</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'CO2-e'!$E$69:$AI$69</c:f>
              <c:numCache>
                <c:formatCode>#,##0.00;\-#,##0.00;\-</c:formatCode>
                <c:ptCount val="31"/>
                <c:pt idx="0">
                  <c:v>6829.135135221265</c:v>
                </c:pt>
                <c:pt idx="1">
                  <c:v>6901.2760532180346</c:v>
                </c:pt>
                <c:pt idx="2">
                  <c:v>7198.2658985615526</c:v>
                </c:pt>
                <c:pt idx="3">
                  <c:v>7527.3401407649826</c:v>
                </c:pt>
                <c:pt idx="4">
                  <c:v>7956.4740306869244</c:v>
                </c:pt>
                <c:pt idx="5">
                  <c:v>8606.6391345257216</c:v>
                </c:pt>
                <c:pt idx="6">
                  <c:v>8806.4166614278292</c:v>
                </c:pt>
                <c:pt idx="7">
                  <c:v>9142.5912476757439</c:v>
                </c:pt>
                <c:pt idx="8">
                  <c:v>9359.4055126611893</c:v>
                </c:pt>
                <c:pt idx="9">
                  <c:v>9563.6655458134373</c:v>
                </c:pt>
                <c:pt idx="10">
                  <c:v>9774.4367589878457</c:v>
                </c:pt>
                <c:pt idx="11">
                  <c:v>9901.2007088447481</c:v>
                </c:pt>
                <c:pt idx="12">
                  <c:v>10429.328474474858</c:v>
                </c:pt>
                <c:pt idx="13">
                  <c:v>10814.454664251409</c:v>
                </c:pt>
                <c:pt idx="14">
                  <c:v>11108.85625706344</c:v>
                </c:pt>
                <c:pt idx="15">
                  <c:v>11230.501935361412</c:v>
                </c:pt>
                <c:pt idx="16">
                  <c:v>11415.319760712471</c:v>
                </c:pt>
                <c:pt idx="17">
                  <c:v>11703.474627425196</c:v>
                </c:pt>
                <c:pt idx="18">
                  <c:v>11693.196579306377</c:v>
                </c:pt>
                <c:pt idx="19">
                  <c:v>11543.381576907459</c:v>
                </c:pt>
                <c:pt idx="20">
                  <c:v>11899.685974203854</c:v>
                </c:pt>
                <c:pt idx="21">
                  <c:v>11833.225655346743</c:v>
                </c:pt>
                <c:pt idx="22">
                  <c:v>11672.89150547514</c:v>
                </c:pt>
                <c:pt idx="23">
                  <c:v>11614.636965261925</c:v>
                </c:pt>
                <c:pt idx="24">
                  <c:v>11946.721706904103</c:v>
                </c:pt>
                <c:pt idx="25">
                  <c:v>12338.158975037804</c:v>
                </c:pt>
                <c:pt idx="26">
                  <c:v>12534.906706244841</c:v>
                </c:pt>
                <c:pt idx="27">
                  <c:v>13376.738191686001</c:v>
                </c:pt>
                <c:pt idx="28">
                  <c:v>13612.906584941127</c:v>
                </c:pt>
                <c:pt idx="29">
                  <c:v>13115.853973298606</c:v>
                </c:pt>
                <c:pt idx="30">
                  <c:v>12048.208283402986</c:v>
                </c:pt>
              </c:numCache>
            </c:numRef>
          </c:val>
          <c:extLst>
            <c:ext xmlns:c16="http://schemas.microsoft.com/office/drawing/2014/chart" uri="{C3380CC4-5D6E-409C-BE32-E72D297353CC}">
              <c16:uniqueId val="{00000000-10C2-4E3A-AF2F-24DB14E047AC}"/>
            </c:ext>
          </c:extLst>
        </c:ser>
        <c:ser>
          <c:idx val="1"/>
          <c:order val="1"/>
          <c:tx>
            <c:strRef>
              <c:f>'CO2-e'!$D$70</c:f>
              <c:strCache>
                <c:ptCount val="1"/>
                <c:pt idx="0">
                  <c:v>Petrol</c:v>
                </c:pt>
              </c:strCache>
            </c:strRef>
          </c:tx>
          <c:spPr>
            <a:solidFill>
              <a:schemeClr val="accent2"/>
            </a:solidFill>
            <a:ln>
              <a:noFill/>
            </a:ln>
            <a:effectLst/>
          </c:spPr>
          <c:cat>
            <c:numRef>
              <c:f>'CO2-e'!$E$11:$AI$11</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'CO2-e'!$E$70:$AI$70</c:f>
            </c:numRef>
          </c:val>
          <c:extLst>
            <c:ext xmlns:c16="http://schemas.microsoft.com/office/drawing/2014/chart" uri="{C3380CC4-5D6E-409C-BE32-E72D297353CC}">
              <c16:uniqueId val="{00000001-10C2-4E3A-AF2F-24DB14E047AC}"/>
            </c:ext>
          </c:extLst>
        </c:ser>
        <c:ser>
          <c:idx val="2"/>
          <c:order val="2"/>
          <c:tx>
            <c:strRef>
              <c:f>'CO2-e'!$D$71</c:f>
              <c:strCache>
                <c:ptCount val="1"/>
                <c:pt idx="0">
                  <c:v>Premium Petrol</c:v>
                </c:pt>
              </c:strCache>
            </c:strRef>
          </c:tx>
          <c:spPr>
            <a:solidFill>
              <a:schemeClr val="accent3"/>
            </a:solidFill>
            <a:ln>
              <a:noFill/>
            </a:ln>
            <a:effectLst/>
          </c:spPr>
          <c:cat>
            <c:numRef>
              <c:f>'CO2-e'!$E$11:$AI$11</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'CO2-e'!$E$71:$AI$71</c:f>
            </c:numRef>
          </c:val>
          <c:extLst>
            <c:ext xmlns:c16="http://schemas.microsoft.com/office/drawing/2014/chart" uri="{C3380CC4-5D6E-409C-BE32-E72D297353CC}">
              <c16:uniqueId val="{00000002-10C2-4E3A-AF2F-24DB14E047AC}"/>
            </c:ext>
          </c:extLst>
        </c:ser>
        <c:ser>
          <c:idx val="3"/>
          <c:order val="3"/>
          <c:tx>
            <c:strRef>
              <c:f>'CO2-e'!$D$72</c:f>
              <c:strCache>
                <c:ptCount val="1"/>
                <c:pt idx="0">
                  <c:v>Regular Petrol</c:v>
                </c:pt>
              </c:strCache>
            </c:strRef>
          </c:tx>
          <c:spPr>
            <a:solidFill>
              <a:schemeClr val="accent4"/>
            </a:solidFill>
            <a:ln>
              <a:noFill/>
            </a:ln>
            <a:effectLst/>
          </c:spPr>
          <c:cat>
            <c:numRef>
              <c:f>'CO2-e'!$E$11:$AI$11</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'CO2-e'!$E$72:$AI$72</c:f>
            </c:numRef>
          </c:val>
          <c:extLst>
            <c:ext xmlns:c16="http://schemas.microsoft.com/office/drawing/2014/chart" uri="{C3380CC4-5D6E-409C-BE32-E72D297353CC}">
              <c16:uniqueId val="{00000003-10C2-4E3A-AF2F-24DB14E047AC}"/>
            </c:ext>
          </c:extLst>
        </c:ser>
        <c:ser>
          <c:idx val="4"/>
          <c:order val="4"/>
          <c:tx>
            <c:strRef>
              <c:f>'CO2-e'!$D$73</c:f>
              <c:strCache>
                <c:ptCount val="1"/>
                <c:pt idx="0">
                  <c:v>Diesel</c:v>
                </c:pt>
              </c:strCache>
            </c:strRef>
          </c:tx>
          <c:spPr>
            <a:solidFill>
              <a:schemeClr val="accent5"/>
            </a:solidFill>
            <a:ln>
              <a:noFill/>
            </a:ln>
            <a:effectLst/>
          </c:spPr>
          <c:cat>
            <c:numRef>
              <c:f>'CO2-e'!$E$11:$AI$11</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'CO2-e'!$E$73:$AI$73</c:f>
            </c:numRef>
          </c:val>
          <c:extLst>
            <c:ext xmlns:c16="http://schemas.microsoft.com/office/drawing/2014/chart" uri="{C3380CC4-5D6E-409C-BE32-E72D297353CC}">
              <c16:uniqueId val="{00000004-10C2-4E3A-AF2F-24DB14E047AC}"/>
            </c:ext>
          </c:extLst>
        </c:ser>
        <c:ser>
          <c:idx val="5"/>
          <c:order val="5"/>
          <c:tx>
            <c:strRef>
              <c:f>'CO2-e'!$D$74</c:f>
              <c:strCache>
                <c:ptCount val="1"/>
                <c:pt idx="0">
                  <c:v>Natural Gas</c:v>
                </c:pt>
              </c:strCache>
            </c:strRef>
          </c:tx>
          <c:spPr>
            <a:solidFill>
              <a:schemeClr val="accent6"/>
            </a:solidFill>
            <a:ln>
              <a:noFill/>
            </a:ln>
            <a:effectLst/>
          </c:spPr>
          <c:cat>
            <c:numRef>
              <c:f>'CO2-e'!$E$11:$AI$11</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'CO2-e'!$E$74:$AI$74</c:f>
            </c:numRef>
          </c:val>
          <c:extLst>
            <c:ext xmlns:c16="http://schemas.microsoft.com/office/drawing/2014/chart" uri="{C3380CC4-5D6E-409C-BE32-E72D297353CC}">
              <c16:uniqueId val="{00000005-10C2-4E3A-AF2F-24DB14E047AC}"/>
            </c:ext>
          </c:extLst>
        </c:ser>
        <c:ser>
          <c:idx val="6"/>
          <c:order val="6"/>
          <c:tx>
            <c:strRef>
              <c:f>'CO2-e'!$D$75</c:f>
              <c:strCache>
                <c:ptCount val="1"/>
                <c:pt idx="0">
                  <c:v>LPG</c:v>
                </c:pt>
              </c:strCache>
            </c:strRef>
          </c:tx>
          <c:spPr>
            <a:solidFill>
              <a:schemeClr val="accent1">
                <a:lumMod val="60000"/>
              </a:schemeClr>
            </a:solidFill>
            <a:ln>
              <a:noFill/>
            </a:ln>
            <a:effectLst/>
          </c:spPr>
          <c:cat>
            <c:numRef>
              <c:f>'CO2-e'!$E$11:$AI$11</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'CO2-e'!$E$75:$AI$75</c:f>
            </c:numRef>
          </c:val>
          <c:extLst>
            <c:ext xmlns:c16="http://schemas.microsoft.com/office/drawing/2014/chart" uri="{C3380CC4-5D6E-409C-BE32-E72D297353CC}">
              <c16:uniqueId val="{00000006-10C2-4E3A-AF2F-24DB14E047AC}"/>
            </c:ext>
          </c:extLst>
        </c:ser>
        <c:ser>
          <c:idx val="7"/>
          <c:order val="7"/>
          <c:tx>
            <c:strRef>
              <c:f>'CO2-e'!$D$76</c:f>
              <c:strCache>
                <c:ptCount val="1"/>
                <c:pt idx="0">
                  <c:v>Rail</c:v>
                </c:pt>
              </c:strCache>
            </c:strRef>
          </c:tx>
          <c:spPr>
            <a:solidFill>
              <a:schemeClr val="accent6"/>
            </a:solidFill>
            <a:ln>
              <a:noFill/>
            </a:ln>
            <a:effectLst/>
          </c:spPr>
          <c:cat>
            <c:numRef>
              <c:f>'CO2-e'!$E$11:$AI$11</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'CO2-e'!$E$76:$AI$76</c:f>
              <c:numCache>
                <c:formatCode>#,##0.00;\-#,##0.00;\-</c:formatCode>
                <c:ptCount val="31"/>
                <c:pt idx="0">
                  <c:v>87.6835370169931</c:v>
                </c:pt>
                <c:pt idx="1">
                  <c:v>114.584332452727</c:v>
                </c:pt>
                <c:pt idx="2">
                  <c:v>142.89458798196</c:v>
                </c:pt>
                <c:pt idx="3">
                  <c:v>152.533087633203</c:v>
                </c:pt>
                <c:pt idx="4">
                  <c:v>159.781366977071</c:v>
                </c:pt>
                <c:pt idx="5">
                  <c:v>172.67915925045199</c:v>
                </c:pt>
                <c:pt idx="6">
                  <c:v>170.23559406711601</c:v>
                </c:pt>
                <c:pt idx="7">
                  <c:v>178.45963896555401</c:v>
                </c:pt>
                <c:pt idx="8">
                  <c:v>171.82666862312999</c:v>
                </c:pt>
                <c:pt idx="9">
                  <c:v>198.54845495783599</c:v>
                </c:pt>
                <c:pt idx="10">
                  <c:v>273.38883195926201</c:v>
                </c:pt>
                <c:pt idx="11">
                  <c:v>215.64826904656999</c:v>
                </c:pt>
                <c:pt idx="12">
                  <c:v>180.23603280781799</c:v>
                </c:pt>
                <c:pt idx="13">
                  <c:v>188.454962898926</c:v>
                </c:pt>
                <c:pt idx="14">
                  <c:v>194.45833707179</c:v>
                </c:pt>
                <c:pt idx="15">
                  <c:v>172.540967967516</c:v>
                </c:pt>
                <c:pt idx="16">
                  <c:v>174.806649719489</c:v>
                </c:pt>
                <c:pt idx="17">
                  <c:v>178.142275892919</c:v>
                </c:pt>
                <c:pt idx="18">
                  <c:v>172.405117125027</c:v>
                </c:pt>
                <c:pt idx="19">
                  <c:v>182.324572717747</c:v>
                </c:pt>
                <c:pt idx="20">
                  <c:v>159.15691093568401</c:v>
                </c:pt>
                <c:pt idx="21">
                  <c:v>169.99894323769701</c:v>
                </c:pt>
                <c:pt idx="22">
                  <c:v>171.11333922092999</c:v>
                </c:pt>
                <c:pt idx="23">
                  <c:v>164.55418144358299</c:v>
                </c:pt>
                <c:pt idx="24">
                  <c:v>159.09204220256601</c:v>
                </c:pt>
                <c:pt idx="25">
                  <c:v>155.06857721736199</c:v>
                </c:pt>
                <c:pt idx="26">
                  <c:v>144.481549613092</c:v>
                </c:pt>
                <c:pt idx="27">
                  <c:v>124.41702442800501</c:v>
                </c:pt>
                <c:pt idx="28">
                  <c:v>135.20488204588901</c:v>
                </c:pt>
                <c:pt idx="29">
                  <c:v>141.666364292937</c:v>
                </c:pt>
                <c:pt idx="30">
                  <c:v>126.20348242020501</c:v>
                </c:pt>
              </c:numCache>
            </c:numRef>
          </c:val>
          <c:extLst>
            <c:ext xmlns:c16="http://schemas.microsoft.com/office/drawing/2014/chart" uri="{C3380CC4-5D6E-409C-BE32-E72D297353CC}">
              <c16:uniqueId val="{00000007-10C2-4E3A-AF2F-24DB14E047AC}"/>
            </c:ext>
          </c:extLst>
        </c:ser>
        <c:ser>
          <c:idx val="8"/>
          <c:order val="8"/>
          <c:tx>
            <c:strRef>
              <c:f>'CO2-e'!$D$77</c:f>
              <c:strCache>
                <c:ptCount val="1"/>
                <c:pt idx="0">
                  <c:v>Diesel</c:v>
                </c:pt>
              </c:strCache>
            </c:strRef>
          </c:tx>
          <c:spPr>
            <a:solidFill>
              <a:schemeClr val="accent3">
                <a:lumMod val="60000"/>
              </a:schemeClr>
            </a:solidFill>
            <a:ln>
              <a:noFill/>
            </a:ln>
            <a:effectLst/>
          </c:spPr>
          <c:cat>
            <c:numRef>
              <c:f>'CO2-e'!$E$11:$AI$11</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'CO2-e'!$E$77:$AI$77</c:f>
            </c:numRef>
          </c:val>
          <c:extLst>
            <c:ext xmlns:c16="http://schemas.microsoft.com/office/drawing/2014/chart" uri="{C3380CC4-5D6E-409C-BE32-E72D297353CC}">
              <c16:uniqueId val="{00000008-10C2-4E3A-AF2F-24DB14E047AC}"/>
            </c:ext>
          </c:extLst>
        </c:ser>
        <c:ser>
          <c:idx val="9"/>
          <c:order val="9"/>
          <c:tx>
            <c:strRef>
              <c:f>'CO2-e'!$D$78</c:f>
              <c:strCache>
                <c:ptCount val="1"/>
                <c:pt idx="0">
                  <c:v>Aviation</c:v>
                </c:pt>
              </c:strCache>
            </c:strRef>
          </c:tx>
          <c:spPr>
            <a:solidFill>
              <a:schemeClr val="accent3"/>
            </a:solidFill>
            <a:ln>
              <a:noFill/>
            </a:ln>
            <a:effectLst/>
          </c:spPr>
          <c:cat>
            <c:numRef>
              <c:f>'CO2-e'!$E$11:$AI$11</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'CO2-e'!$E$78:$AI$78</c:f>
              <c:numCache>
                <c:formatCode>#,##0.00;\-#,##0.00;\-</c:formatCode>
                <c:ptCount val="31"/>
                <c:pt idx="0">
                  <c:v>948.32825308078895</c:v>
                </c:pt>
                <c:pt idx="1">
                  <c:v>821.94452494727398</c:v>
                </c:pt>
                <c:pt idx="2">
                  <c:v>814.11938805696605</c:v>
                </c:pt>
                <c:pt idx="3">
                  <c:v>942.04289528205595</c:v>
                </c:pt>
                <c:pt idx="4">
                  <c:v>1087.6078541039401</c:v>
                </c:pt>
                <c:pt idx="5">
                  <c:v>1120.25171566327</c:v>
                </c:pt>
                <c:pt idx="6">
                  <c:v>1100.0462564786401</c:v>
                </c:pt>
                <c:pt idx="7">
                  <c:v>1048.4441301659699</c:v>
                </c:pt>
                <c:pt idx="8">
                  <c:v>1103.6044765234101</c:v>
                </c:pt>
                <c:pt idx="9">
                  <c:v>1086.1411763937699</c:v>
                </c:pt>
                <c:pt idx="10">
                  <c:v>1182.7313695544101</c:v>
                </c:pt>
                <c:pt idx="11">
                  <c:v>1211.04150448684</c:v>
                </c:pt>
                <c:pt idx="12">
                  <c:v>1121.74421069253</c:v>
                </c:pt>
                <c:pt idx="13">
                  <c:v>1251.43559829695</c:v>
                </c:pt>
                <c:pt idx="14">
                  <c:v>1288.1904071884301</c:v>
                </c:pt>
                <c:pt idx="15">
                  <c:v>1196.2917637062701</c:v>
                </c:pt>
                <c:pt idx="16">
                  <c:v>1220.0330260174901</c:v>
                </c:pt>
                <c:pt idx="17">
                  <c:v>1004.31108245284</c:v>
                </c:pt>
                <c:pt idx="18">
                  <c:v>1088.4869335795299</c:v>
                </c:pt>
                <c:pt idx="19">
                  <c:v>1037.38873366762</c:v>
                </c:pt>
                <c:pt idx="20">
                  <c:v>964.74068004088099</c:v>
                </c:pt>
                <c:pt idx="21">
                  <c:v>989.199095865255</c:v>
                </c:pt>
                <c:pt idx="22">
                  <c:v>820.51371089748397</c:v>
                </c:pt>
                <c:pt idx="23">
                  <c:v>863.59327153721199</c:v>
                </c:pt>
                <c:pt idx="24">
                  <c:v>818.11223797497905</c:v>
                </c:pt>
                <c:pt idx="25">
                  <c:v>856.39119694772603</c:v>
                </c:pt>
                <c:pt idx="26">
                  <c:v>926.32470725230803</c:v>
                </c:pt>
                <c:pt idx="27">
                  <c:v>996.75223520131601</c:v>
                </c:pt>
                <c:pt idx="28">
                  <c:v>1078.98230255473</c:v>
                </c:pt>
                <c:pt idx="29">
                  <c:v>1025.0613531316999</c:v>
                </c:pt>
                <c:pt idx="30">
                  <c:v>709.75794815844199</c:v>
                </c:pt>
              </c:numCache>
            </c:numRef>
          </c:val>
          <c:extLst>
            <c:ext xmlns:c16="http://schemas.microsoft.com/office/drawing/2014/chart" uri="{C3380CC4-5D6E-409C-BE32-E72D297353CC}">
              <c16:uniqueId val="{00000009-10C2-4E3A-AF2F-24DB14E047AC}"/>
            </c:ext>
          </c:extLst>
        </c:ser>
        <c:ser>
          <c:idx val="10"/>
          <c:order val="10"/>
          <c:tx>
            <c:strRef>
              <c:f>'CO2-e'!$D$79</c:f>
              <c:strCache>
                <c:ptCount val="1"/>
                <c:pt idx="0">
                  <c:v>Liquid Fuels</c:v>
                </c:pt>
              </c:strCache>
            </c:strRef>
          </c:tx>
          <c:spPr>
            <a:solidFill>
              <a:schemeClr val="accent5">
                <a:lumMod val="60000"/>
              </a:schemeClr>
            </a:solidFill>
            <a:ln>
              <a:noFill/>
            </a:ln>
            <a:effectLst/>
          </c:spPr>
          <c:cat>
            <c:numRef>
              <c:f>'CO2-e'!$E$11:$AI$11</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'CO2-e'!$E$79:$AI$79</c:f>
            </c:numRef>
          </c:val>
          <c:extLst>
            <c:ext xmlns:c16="http://schemas.microsoft.com/office/drawing/2014/chart" uri="{C3380CC4-5D6E-409C-BE32-E72D297353CC}">
              <c16:uniqueId val="{0000000A-10C2-4E3A-AF2F-24DB14E047AC}"/>
            </c:ext>
          </c:extLst>
        </c:ser>
        <c:ser>
          <c:idx val="11"/>
          <c:order val="11"/>
          <c:tx>
            <c:strRef>
              <c:f>'CO2-e'!$D$80</c:f>
              <c:strCache>
                <c:ptCount val="1"/>
                <c:pt idx="0">
                  <c:v>Marine</c:v>
                </c:pt>
              </c:strCache>
            </c:strRef>
          </c:tx>
          <c:spPr>
            <a:solidFill>
              <a:schemeClr val="accent4"/>
            </a:solidFill>
            <a:ln>
              <a:noFill/>
            </a:ln>
            <a:effectLst/>
          </c:spPr>
          <c:cat>
            <c:numRef>
              <c:f>'CO2-e'!$E$11:$AI$11</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'CO2-e'!$E$80:$AI$80</c:f>
              <c:numCache>
                <c:formatCode>#,##0.00;\-#,##0.00;\-</c:formatCode>
                <c:ptCount val="31"/>
                <c:pt idx="0">
                  <c:v>255.53153428791398</c:v>
                </c:pt>
                <c:pt idx="1">
                  <c:v>263.21537801592456</c:v>
                </c:pt>
                <c:pt idx="2">
                  <c:v>306.42443028081607</c:v>
                </c:pt>
                <c:pt idx="3">
                  <c:v>295.46466892396569</c:v>
                </c:pt>
                <c:pt idx="4">
                  <c:v>372.31813048254025</c:v>
                </c:pt>
                <c:pt idx="5">
                  <c:v>337.74585716552275</c:v>
                </c:pt>
                <c:pt idx="6">
                  <c:v>290.64451536627337</c:v>
                </c:pt>
                <c:pt idx="7">
                  <c:v>217.82265952597791</c:v>
                </c:pt>
                <c:pt idx="8">
                  <c:v>151.50812560825145</c:v>
                </c:pt>
                <c:pt idx="9">
                  <c:v>224.49358847022799</c:v>
                </c:pt>
                <c:pt idx="10">
                  <c:v>382.08770758482257</c:v>
                </c:pt>
                <c:pt idx="11">
                  <c:v>349.50893831853512</c:v>
                </c:pt>
                <c:pt idx="12">
                  <c:v>398.12693120877867</c:v>
                </c:pt>
                <c:pt idx="13">
                  <c:v>406.45254163582325</c:v>
                </c:pt>
                <c:pt idx="14">
                  <c:v>366.83531306800177</c:v>
                </c:pt>
                <c:pt idx="15">
                  <c:v>428.46577681761534</c:v>
                </c:pt>
                <c:pt idx="16">
                  <c:v>338.31785915327794</c:v>
                </c:pt>
                <c:pt idx="17">
                  <c:v>362.41883818690042</c:v>
                </c:pt>
                <c:pt idx="18">
                  <c:v>292.00057373836898</c:v>
                </c:pt>
                <c:pt idx="19">
                  <c:v>297.48728800740929</c:v>
                </c:pt>
                <c:pt idx="20">
                  <c:v>278.44631886739973</c:v>
                </c:pt>
                <c:pt idx="21">
                  <c:v>296.37056615992316</c:v>
                </c:pt>
                <c:pt idx="22">
                  <c:v>296.9701482633177</c:v>
                </c:pt>
                <c:pt idx="23">
                  <c:v>391.63000589201204</c:v>
                </c:pt>
                <c:pt idx="24">
                  <c:v>371.89593962845754</c:v>
                </c:pt>
                <c:pt idx="25">
                  <c:v>423.79688288228419</c:v>
                </c:pt>
                <c:pt idx="26">
                  <c:v>269.18336053488304</c:v>
                </c:pt>
                <c:pt idx="27">
                  <c:v>270.873052602141</c:v>
                </c:pt>
                <c:pt idx="28">
                  <c:v>264.36048348739001</c:v>
                </c:pt>
                <c:pt idx="29">
                  <c:v>332.29629453944301</c:v>
                </c:pt>
                <c:pt idx="30">
                  <c:v>274.484721154353</c:v>
                </c:pt>
              </c:numCache>
            </c:numRef>
          </c:val>
          <c:extLst>
            <c:ext xmlns:c16="http://schemas.microsoft.com/office/drawing/2014/chart" uri="{C3380CC4-5D6E-409C-BE32-E72D297353CC}">
              <c16:uniqueId val="{0000000B-10C2-4E3A-AF2F-24DB14E047AC}"/>
            </c:ext>
          </c:extLst>
        </c:ser>
        <c:dLbls>
          <c:showLegendKey val="0"/>
          <c:showVal val="0"/>
          <c:showCatName val="0"/>
          <c:showSerName val="0"/>
          <c:showPercent val="0"/>
          <c:showBubbleSize val="0"/>
        </c:dLbls>
        <c:axId val="1021339584"/>
        <c:axId val="1021340000"/>
      </c:areaChart>
      <c:catAx>
        <c:axId val="1021339584"/>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21340000"/>
        <c:crosses val="autoZero"/>
        <c:auto val="1"/>
        <c:lblAlgn val="ctr"/>
        <c:lblOffset val="100"/>
        <c:tickLblSkip val="2"/>
        <c:tickMarkSkip val="2"/>
        <c:noMultiLvlLbl val="0"/>
      </c:catAx>
      <c:valAx>
        <c:axId val="10213400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sz="800"/>
                  <a:t>Kilotonnes of carbon</a:t>
                </a:r>
                <a:r>
                  <a:rPr lang="en-NZ" sz="800" baseline="0"/>
                  <a:t> dioxide equivalent (kt CO</a:t>
                </a:r>
                <a:r>
                  <a:rPr lang="en-NZ" sz="800" baseline="-25000"/>
                  <a:t>2</a:t>
                </a:r>
                <a:r>
                  <a:rPr lang="en-NZ" sz="800" baseline="0"/>
                  <a:t>-e)</a:t>
                </a:r>
                <a:endParaRPr lang="en-NZ" sz="800"/>
              </a:p>
            </c:rich>
          </c:tx>
          <c:layout>
            <c:manualLayout>
              <c:xMode val="edge"/>
              <c:yMode val="edge"/>
              <c:x val="1.9444444444444445E-2"/>
              <c:y val="7.049540682414696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339584"/>
        <c:crosses val="autoZero"/>
        <c:crossBetween val="midCat"/>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0314960629919"/>
          <c:y val="5.0925925925925923E-2"/>
          <c:w val="0.80930796150481188"/>
          <c:h val="0.8416746864975212"/>
        </c:manualLayout>
      </c:layout>
      <c:lineChart>
        <c:grouping val="standard"/>
        <c:varyColors val="0"/>
        <c:ser>
          <c:idx val="0"/>
          <c:order val="0"/>
          <c:spPr>
            <a:ln w="28575" cap="rnd">
              <a:solidFill>
                <a:schemeClr val="accent1"/>
              </a:solidFill>
              <a:round/>
            </a:ln>
            <a:effectLst/>
          </c:spPr>
          <c:marker>
            <c:symbol val="none"/>
          </c:marker>
          <c:cat>
            <c:numRef>
              <c:f>'1.4 to 1.7'!$A$3:$A$23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'1.4 to 1.7'!$F$3:$F$23</c:f>
              <c:numCache>
                <c:formatCode>#,##0</c:formatCode>
                <c:ptCount val="21"/>
                <c:pt idx="0">
                  <c:v>646.8291987453664</c:v>
                </c:pt>
                <c:pt idx="1">
                  <c:v>660.86761521806375</c:v>
                </c:pt>
                <c:pt idx="2">
                  <c:v>670.84076400851154</c:v>
                </c:pt>
                <c:pt idx="3">
                  <c:v>685.38010679249965</c:v>
                </c:pt>
                <c:pt idx="4">
                  <c:v>701.56842594631621</c:v>
                </c:pt>
                <c:pt idx="5">
                  <c:v>717.96859500133064</c:v>
                </c:pt>
                <c:pt idx="6">
                  <c:v>724.15358141535808</c:v>
                </c:pt>
                <c:pt idx="7">
                  <c:v>731.41050837023181</c:v>
                </c:pt>
                <c:pt idx="8">
                  <c:v>729.92956589110884</c:v>
                </c:pt>
                <c:pt idx="9">
                  <c:v>720.67274164303308</c:v>
                </c:pt>
                <c:pt idx="10">
                  <c:v>717.86510654927463</c:v>
                </c:pt>
                <c:pt idx="11">
                  <c:v>711.33552346405668</c:v>
                </c:pt>
                <c:pt idx="12">
                  <c:v>718.34762682639075</c:v>
                </c:pt>
                <c:pt idx="13">
                  <c:v>730.35775396253598</c:v>
                </c:pt>
                <c:pt idx="14">
                  <c:v>743.95535773599954</c:v>
                </c:pt>
                <c:pt idx="15">
                  <c:v>755.74435307136503</c:v>
                </c:pt>
                <c:pt idx="16">
                  <c:v>770.3464296321439</c:v>
                </c:pt>
                <c:pt idx="17">
                  <c:v>786.16115024205783</c:v>
                </c:pt>
                <c:pt idx="18">
                  <c:v>796.18540289003181</c:v>
                </c:pt>
                <c:pt idx="19">
                  <c:v>804.46720899869433</c:v>
                </c:pt>
                <c:pt idx="20">
                  <c:v>795.64175698802057</c:v>
                </c:pt>
              </c:numCache>
            </c:numRef>
          </c:val>
          <c:smooth val="0"/>
          <c:extLst>
            <c:ext xmlns:c16="http://schemas.microsoft.com/office/drawing/2014/chart" uri="{C3380CC4-5D6E-409C-BE32-E72D297353CC}">
              <c16:uniqueId val="{00000000-5D33-41AD-A1E6-8D3B9B50062F}"/>
            </c:ext>
          </c:extLst>
        </c:ser>
        <c:dLbls>
          <c:showLegendKey val="0"/>
          <c:showVal val="0"/>
          <c:showCatName val="0"/>
          <c:showSerName val="0"/>
          <c:showPercent val="0"/>
          <c:showBubbleSize val="0"/>
        </c:dLbls>
        <c:smooth val="0"/>
        <c:axId val="1180382048"/>
        <c:axId val="1180383296"/>
      </c:lineChart>
      <c:catAx>
        <c:axId val="1180382048"/>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0383296"/>
        <c:crosses val="autoZero"/>
        <c:auto val="1"/>
        <c:lblAlgn val="ctr"/>
        <c:lblOffset val="100"/>
        <c:tickLblSkip val="2"/>
        <c:tickMarkSkip val="2"/>
        <c:noMultiLvlLbl val="0"/>
      </c:catAx>
      <c:valAx>
        <c:axId val="1180383296"/>
        <c:scaling>
          <c:orientation val="minMax"/>
          <c:min val="6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 per 1000</a:t>
                </a:r>
                <a:r>
                  <a:rPr lang="en-NZ" baseline="0"/>
                  <a:t> people</a:t>
                </a:r>
                <a:endParaRPr lang="en-N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03820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Sheet1!$E$27</c:f>
              <c:strCache>
                <c:ptCount val="1"/>
                <c:pt idx="0">
                  <c:v>Percentage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Sheet1!$C$28:$C$35</c:f>
              <c:strCache>
                <c:ptCount val="8"/>
                <c:pt idx="0">
                  <c:v>Sludge</c:v>
                </c:pt>
                <c:pt idx="1">
                  <c:v>Nappies</c:v>
                </c:pt>
                <c:pt idx="2">
                  <c:v>Textile</c:v>
                </c:pt>
                <c:pt idx="3">
                  <c:v>Garden</c:v>
                </c:pt>
                <c:pt idx="4">
                  <c:v>Paper</c:v>
                </c:pt>
                <c:pt idx="5">
                  <c:v>Food</c:v>
                </c:pt>
                <c:pt idx="6">
                  <c:v>Wood</c:v>
                </c:pt>
                <c:pt idx="7">
                  <c:v>Inert*</c:v>
                </c:pt>
              </c:strCache>
            </c:strRef>
          </c:cat>
          <c:val>
            <c:numRef>
              <c:f>Sheet1!$E$28:$E$35</c:f>
              <c:numCache>
                <c:formatCode>0%</c:formatCode>
                <c:ptCount val="8"/>
                <c:pt idx="0">
                  <c:v>1.9199999999999998E-2</c:v>
                </c:pt>
                <c:pt idx="1">
                  <c:v>2.4700000000000003E-2</c:v>
                </c:pt>
                <c:pt idx="2">
                  <c:v>5.0199999999999995E-2</c:v>
                </c:pt>
                <c:pt idx="3">
                  <c:v>5.74E-2</c:v>
                </c:pt>
                <c:pt idx="4">
                  <c:v>5.8899999999999994E-2</c:v>
                </c:pt>
                <c:pt idx="5">
                  <c:v>9.01E-2</c:v>
                </c:pt>
                <c:pt idx="6">
                  <c:v>0.12619999999999998</c:v>
                </c:pt>
                <c:pt idx="7">
                  <c:v>0.57320000000000004</c:v>
                </c:pt>
              </c:numCache>
            </c:numRef>
          </c:val>
          <c:extLst>
            <c:ext xmlns:c16="http://schemas.microsoft.com/office/drawing/2014/chart" uri="{C3380CC4-5D6E-409C-BE32-E72D297353CC}">
              <c16:uniqueId val="{00000000-0C41-4AC9-AD80-F3A7693AF58A}"/>
            </c:ext>
          </c:extLst>
        </c:ser>
        <c:dLbls>
          <c:showLegendKey val="0"/>
          <c:showVal val="0"/>
          <c:showCatName val="0"/>
          <c:showSerName val="0"/>
          <c:showPercent val="0"/>
          <c:showBubbleSize val="0"/>
        </c:dLbls>
        <c:gapWidth val="219"/>
        <c:overlap val="-27"/>
        <c:axId val="473467999"/>
        <c:axId val="473462175"/>
      </c:barChart>
      <c:catAx>
        <c:axId val="473467999"/>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462175"/>
        <c:crosses val="autoZero"/>
        <c:auto val="1"/>
        <c:lblAlgn val="ctr"/>
        <c:lblOffset val="100"/>
        <c:noMultiLvlLbl val="0"/>
      </c:catAx>
      <c:valAx>
        <c:axId val="473462175"/>
        <c:scaling>
          <c:orientation val="minMax"/>
        </c:scaling>
        <c:delete val="0"/>
        <c:axPos val="l"/>
        <c:numFmt formatCode="0%"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467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90500495556136"/>
          <c:y val="2.9993176927968712E-2"/>
          <c:w val="0.83705481464263465"/>
          <c:h val="0.76269127896316791"/>
        </c:manualLayout>
      </c:layout>
      <c:lineChart>
        <c:grouping val="standard"/>
        <c:varyColors val="0"/>
        <c:ser>
          <c:idx val="0"/>
          <c:order val="0"/>
          <c:tx>
            <c:strRef>
              <c:f>Analysis!$A$2</c:f>
              <c:strCache>
                <c:ptCount val="1"/>
                <c:pt idx="0">
                  <c:v>Total</c:v>
                </c:pt>
              </c:strCache>
            </c:strRef>
          </c:tx>
          <c:spPr>
            <a:ln>
              <a:solidFill>
                <a:srgbClr val="BF2F37"/>
              </a:solidFill>
            </a:ln>
          </c:spPr>
          <c:marker>
            <c:symbol val="none"/>
          </c:marker>
          <c:cat>
            <c:strRef>
              <c:f>Analysis!$B$1:$AF$1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Analysis!$B$2:$AF$2</c:f>
              <c:numCache>
                <c:formatCode>#,##0.0</c:formatCode>
                <c:ptCount val="31"/>
                <c:pt idx="0">
                  <c:v>-21229.218466251226</c:v>
                </c:pt>
                <c:pt idx="1">
                  <c:v>-23276.62609673027</c:v>
                </c:pt>
                <c:pt idx="2">
                  <c:v>-23044.456294166586</c:v>
                </c:pt>
                <c:pt idx="3">
                  <c:v>-23841.532710859639</c:v>
                </c:pt>
                <c:pt idx="4">
                  <c:v>-23633.87873400942</c:v>
                </c:pt>
                <c:pt idx="5">
                  <c:v>-22445.898192755263</c:v>
                </c:pt>
                <c:pt idx="6">
                  <c:v>-21984.499886851183</c:v>
                </c:pt>
                <c:pt idx="7">
                  <c:v>-22623.637973478111</c:v>
                </c:pt>
                <c:pt idx="8">
                  <c:v>-23259.212714044254</c:v>
                </c:pt>
                <c:pt idx="9">
                  <c:v>-26019.649247687743</c:v>
                </c:pt>
                <c:pt idx="10">
                  <c:v>-26934.897263909501</c:v>
                </c:pt>
                <c:pt idx="11">
                  <c:v>-27479.119713716802</c:v>
                </c:pt>
                <c:pt idx="12">
                  <c:v>-26069.466700187299</c:v>
                </c:pt>
                <c:pt idx="13">
                  <c:v>-27257.702954752294</c:v>
                </c:pt>
                <c:pt idx="14">
                  <c:v>-27199.760647764539</c:v>
                </c:pt>
                <c:pt idx="15">
                  <c:v>-25424.537207028916</c:v>
                </c:pt>
                <c:pt idx="16">
                  <c:v>-23362.976678332143</c:v>
                </c:pt>
                <c:pt idx="17">
                  <c:v>-22077.146036076301</c:v>
                </c:pt>
                <c:pt idx="18">
                  <c:v>-29422.964102933172</c:v>
                </c:pt>
                <c:pt idx="19">
                  <c:v>-28266.504732243222</c:v>
                </c:pt>
                <c:pt idx="20">
                  <c:v>-29326.269467866925</c:v>
                </c:pt>
                <c:pt idx="21">
                  <c:v>-29630.198631123476</c:v>
                </c:pt>
                <c:pt idx="22">
                  <c:v>-26725.137093205038</c:v>
                </c:pt>
                <c:pt idx="23">
                  <c:v>-26295.260929102755</c:v>
                </c:pt>
                <c:pt idx="24">
                  <c:v>-26649.368090384934</c:v>
                </c:pt>
                <c:pt idx="25">
                  <c:v>-26610.16306723245</c:v>
                </c:pt>
                <c:pt idx="26">
                  <c:v>-26237.969659917188</c:v>
                </c:pt>
                <c:pt idx="27">
                  <c:v>-24703.802141952292</c:v>
                </c:pt>
                <c:pt idx="28">
                  <c:v>-24302.305658459783</c:v>
                </c:pt>
                <c:pt idx="29">
                  <c:v>-23034.916843342304</c:v>
                </c:pt>
                <c:pt idx="30">
                  <c:v>-23313.254810347295</c:v>
                </c:pt>
              </c:numCache>
            </c:numRef>
          </c:val>
          <c:smooth val="0"/>
          <c:extLst>
            <c:ext xmlns:c16="http://schemas.microsoft.com/office/drawing/2014/chart" uri="{C3380CC4-5D6E-409C-BE32-E72D297353CC}">
              <c16:uniqueId val="{00000000-7055-428E-9919-2AC12633E517}"/>
            </c:ext>
          </c:extLst>
        </c:ser>
        <c:ser>
          <c:idx val="1"/>
          <c:order val="1"/>
          <c:tx>
            <c:strRef>
              <c:f>Analysis!$A$3</c:f>
              <c:strCache>
                <c:ptCount val="1"/>
                <c:pt idx="0">
                  <c:v>Forest land</c:v>
                </c:pt>
              </c:strCache>
            </c:strRef>
          </c:tx>
          <c:spPr>
            <a:ln>
              <a:solidFill>
                <a:srgbClr val="A0A0A0"/>
              </a:solidFill>
            </a:ln>
          </c:spPr>
          <c:marker>
            <c:symbol val="none"/>
          </c:marker>
          <c:cat>
            <c:strRef>
              <c:f>Analysis!$B$1:$AF$1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Analysis!$B$3:$AF$3</c:f>
              <c:numCache>
                <c:formatCode>#,##0.0</c:formatCode>
                <c:ptCount val="31"/>
                <c:pt idx="0">
                  <c:v>-20068.328285233714</c:v>
                </c:pt>
                <c:pt idx="1">
                  <c:v>-21115.998812943162</c:v>
                </c:pt>
                <c:pt idx="2">
                  <c:v>-20728.771881563964</c:v>
                </c:pt>
                <c:pt idx="3">
                  <c:v>-21290.442838843646</c:v>
                </c:pt>
                <c:pt idx="4">
                  <c:v>-20902.837743103082</c:v>
                </c:pt>
                <c:pt idx="5">
                  <c:v>-19556.139862731834</c:v>
                </c:pt>
                <c:pt idx="6">
                  <c:v>-19235.26745258956</c:v>
                </c:pt>
                <c:pt idx="7">
                  <c:v>-19816.07437415162</c:v>
                </c:pt>
                <c:pt idx="8">
                  <c:v>-21920.029710357598</c:v>
                </c:pt>
                <c:pt idx="9">
                  <c:v>-23284.737192116412</c:v>
                </c:pt>
                <c:pt idx="10">
                  <c:v>-25643.856534448823</c:v>
                </c:pt>
                <c:pt idx="11">
                  <c:v>-25462.469935674209</c:v>
                </c:pt>
                <c:pt idx="12">
                  <c:v>-22988.750792592582</c:v>
                </c:pt>
                <c:pt idx="13">
                  <c:v>-26212.158836505158</c:v>
                </c:pt>
                <c:pt idx="14">
                  <c:v>-29616.776724841209</c:v>
                </c:pt>
                <c:pt idx="15">
                  <c:v>-32679.652895356074</c:v>
                </c:pt>
                <c:pt idx="16">
                  <c:v>-33180.397576138021</c:v>
                </c:pt>
                <c:pt idx="17">
                  <c:v>-36442.82159735114</c:v>
                </c:pt>
                <c:pt idx="18">
                  <c:v>-30359.759613457729</c:v>
                </c:pt>
                <c:pt idx="19">
                  <c:v>-30692.426738317386</c:v>
                </c:pt>
                <c:pt idx="20">
                  <c:v>-30695.650593005364</c:v>
                </c:pt>
                <c:pt idx="21">
                  <c:v>-29346.987793616783</c:v>
                </c:pt>
                <c:pt idx="22">
                  <c:v>-27697.19371762708</c:v>
                </c:pt>
                <c:pt idx="23">
                  <c:v>-28464.468432275225</c:v>
                </c:pt>
                <c:pt idx="24">
                  <c:v>-27468.510523544275</c:v>
                </c:pt>
                <c:pt idx="25">
                  <c:v>-27020.866437441498</c:v>
                </c:pt>
                <c:pt idx="26">
                  <c:v>-25869.14711303086</c:v>
                </c:pt>
                <c:pt idx="27">
                  <c:v>-21977.014875869336</c:v>
                </c:pt>
                <c:pt idx="28">
                  <c:v>-19654.213835695151</c:v>
                </c:pt>
                <c:pt idx="29">
                  <c:v>-19068.359793417883</c:v>
                </c:pt>
                <c:pt idx="30">
                  <c:v>-19704.721206642098</c:v>
                </c:pt>
              </c:numCache>
            </c:numRef>
          </c:val>
          <c:smooth val="0"/>
          <c:extLst>
            <c:ext xmlns:c16="http://schemas.microsoft.com/office/drawing/2014/chart" uri="{C3380CC4-5D6E-409C-BE32-E72D297353CC}">
              <c16:uniqueId val="{00000001-7055-428E-9919-2AC12633E517}"/>
            </c:ext>
          </c:extLst>
        </c:ser>
        <c:ser>
          <c:idx val="2"/>
          <c:order val="2"/>
          <c:tx>
            <c:strRef>
              <c:f>Analysis!$A$4</c:f>
              <c:strCache>
                <c:ptCount val="1"/>
                <c:pt idx="0">
                  <c:v>Cropland</c:v>
                </c:pt>
              </c:strCache>
            </c:strRef>
          </c:tx>
          <c:spPr>
            <a:ln>
              <a:solidFill>
                <a:srgbClr val="DA5A28"/>
              </a:solidFill>
            </a:ln>
          </c:spPr>
          <c:marker>
            <c:symbol val="none"/>
          </c:marker>
          <c:cat>
            <c:strRef>
              <c:f>Analysis!$B$1:$AF$1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Analysis!$B$4:$AF$4</c:f>
              <c:numCache>
                <c:formatCode>#,##0.0</c:formatCode>
                <c:ptCount val="31"/>
                <c:pt idx="0">
                  <c:v>476.1843091587985</c:v>
                </c:pt>
                <c:pt idx="1">
                  <c:v>478.86461033458517</c:v>
                </c:pt>
                <c:pt idx="2">
                  <c:v>481.54491150957205</c:v>
                </c:pt>
                <c:pt idx="3">
                  <c:v>484.22521268172022</c:v>
                </c:pt>
                <c:pt idx="4">
                  <c:v>486.90551386046218</c:v>
                </c:pt>
                <c:pt idx="5">
                  <c:v>489.58581503438904</c:v>
                </c:pt>
                <c:pt idx="6">
                  <c:v>492.26611620765686</c:v>
                </c:pt>
                <c:pt idx="7">
                  <c:v>496.87073500732089</c:v>
                </c:pt>
                <c:pt idx="8">
                  <c:v>499.73592184650806</c:v>
                </c:pt>
                <c:pt idx="9">
                  <c:v>502.60110868596649</c:v>
                </c:pt>
                <c:pt idx="10">
                  <c:v>518.58432505158135</c:v>
                </c:pt>
                <c:pt idx="11">
                  <c:v>520.96814325571052</c:v>
                </c:pt>
                <c:pt idx="12">
                  <c:v>519.40998825875465</c:v>
                </c:pt>
                <c:pt idx="13">
                  <c:v>535.36781117679823</c:v>
                </c:pt>
                <c:pt idx="14">
                  <c:v>561.98712530329828</c:v>
                </c:pt>
                <c:pt idx="15">
                  <c:v>611.28651819137292</c:v>
                </c:pt>
                <c:pt idx="16">
                  <c:v>637.52311030227213</c:v>
                </c:pt>
                <c:pt idx="17">
                  <c:v>683.65938927230934</c:v>
                </c:pt>
                <c:pt idx="18">
                  <c:v>508.46652699761984</c:v>
                </c:pt>
                <c:pt idx="19">
                  <c:v>490.79326409723376</c:v>
                </c:pt>
                <c:pt idx="20">
                  <c:v>488.67354189139076</c:v>
                </c:pt>
                <c:pt idx="21">
                  <c:v>482.30915847457902</c:v>
                </c:pt>
                <c:pt idx="22">
                  <c:v>465.80515108084489</c:v>
                </c:pt>
                <c:pt idx="23">
                  <c:v>521.99405911134227</c:v>
                </c:pt>
                <c:pt idx="24">
                  <c:v>460.36261873390566</c:v>
                </c:pt>
                <c:pt idx="25">
                  <c:v>419.05224472603243</c:v>
                </c:pt>
                <c:pt idx="26">
                  <c:v>421.60322551726028</c:v>
                </c:pt>
                <c:pt idx="27">
                  <c:v>395.58317969760265</c:v>
                </c:pt>
                <c:pt idx="28">
                  <c:v>391.16867263451962</c:v>
                </c:pt>
                <c:pt idx="29">
                  <c:v>386.75416557143598</c:v>
                </c:pt>
                <c:pt idx="30">
                  <c:v>382.32742646485383</c:v>
                </c:pt>
              </c:numCache>
            </c:numRef>
          </c:val>
          <c:smooth val="0"/>
          <c:extLst>
            <c:ext xmlns:c16="http://schemas.microsoft.com/office/drawing/2014/chart" uri="{C3380CC4-5D6E-409C-BE32-E72D297353CC}">
              <c16:uniqueId val="{00000002-7055-428E-9919-2AC12633E517}"/>
            </c:ext>
          </c:extLst>
        </c:ser>
        <c:ser>
          <c:idx val="3"/>
          <c:order val="3"/>
          <c:tx>
            <c:strRef>
              <c:f>Analysis!$A$5</c:f>
              <c:strCache>
                <c:ptCount val="1"/>
                <c:pt idx="0">
                  <c:v>Grassland</c:v>
                </c:pt>
              </c:strCache>
            </c:strRef>
          </c:tx>
          <c:spPr>
            <a:ln>
              <a:solidFill>
                <a:srgbClr val="1B556B"/>
              </a:solidFill>
            </a:ln>
          </c:spPr>
          <c:marker>
            <c:symbol val="none"/>
          </c:marker>
          <c:cat>
            <c:strRef>
              <c:f>Analysis!$B$1:$AF$1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Analysis!$B$5:$AF$5</c:f>
              <c:numCache>
                <c:formatCode>#,##0.0</c:formatCode>
                <c:ptCount val="31"/>
                <c:pt idx="0">
                  <c:v>724.74198414483772</c:v>
                </c:pt>
                <c:pt idx="1">
                  <c:v>805.53287023124255</c:v>
                </c:pt>
                <c:pt idx="2">
                  <c:v>906.42533548791448</c:v>
                </c:pt>
                <c:pt idx="3">
                  <c:v>1012.9775491846226</c:v>
                </c:pt>
                <c:pt idx="4">
                  <c:v>1102.8599900305562</c:v>
                </c:pt>
                <c:pt idx="5">
                  <c:v>1122.0141704442669</c:v>
                </c:pt>
                <c:pt idx="6">
                  <c:v>1156.2098371077905</c:v>
                </c:pt>
                <c:pt idx="7">
                  <c:v>1177.9992760900395</c:v>
                </c:pt>
                <c:pt idx="8">
                  <c:v>1251.8978019948963</c:v>
                </c:pt>
                <c:pt idx="9">
                  <c:v>1242.7368680391121</c:v>
                </c:pt>
                <c:pt idx="10">
                  <c:v>3210.833473848113</c:v>
                </c:pt>
                <c:pt idx="11">
                  <c:v>3189.3242796857348</c:v>
                </c:pt>
                <c:pt idx="12">
                  <c:v>2952.5752750330494</c:v>
                </c:pt>
                <c:pt idx="13">
                  <c:v>4326.4810192458508</c:v>
                </c:pt>
                <c:pt idx="14">
                  <c:v>6792.2098494206803</c:v>
                </c:pt>
                <c:pt idx="15">
                  <c:v>10972.173022724361</c:v>
                </c:pt>
                <c:pt idx="16">
                  <c:v>13379.952942019267</c:v>
                </c:pt>
                <c:pt idx="17">
                  <c:v>17807.604483890824</c:v>
                </c:pt>
                <c:pt idx="18">
                  <c:v>4406.8694672336542</c:v>
                </c:pt>
                <c:pt idx="19">
                  <c:v>6741.8823063595437</c:v>
                </c:pt>
                <c:pt idx="20">
                  <c:v>7245.9084281842597</c:v>
                </c:pt>
                <c:pt idx="21">
                  <c:v>6140.2596675174409</c:v>
                </c:pt>
                <c:pt idx="22">
                  <c:v>7705.4521409493382</c:v>
                </c:pt>
                <c:pt idx="23">
                  <c:v>9951.3079700930648</c:v>
                </c:pt>
                <c:pt idx="24">
                  <c:v>7771.1467106916953</c:v>
                </c:pt>
                <c:pt idx="25">
                  <c:v>6449.2511854856693</c:v>
                </c:pt>
                <c:pt idx="26">
                  <c:v>6686.778112770965</c:v>
                </c:pt>
                <c:pt idx="27">
                  <c:v>5261.1701799045823</c:v>
                </c:pt>
                <c:pt idx="28">
                  <c:v>3993.5077018365932</c:v>
                </c:pt>
                <c:pt idx="29">
                  <c:v>4373.0780428659964</c:v>
                </c:pt>
                <c:pt idx="30">
                  <c:v>2570.192244044737</c:v>
                </c:pt>
              </c:numCache>
            </c:numRef>
          </c:val>
          <c:smooth val="0"/>
          <c:extLst>
            <c:ext xmlns:c16="http://schemas.microsoft.com/office/drawing/2014/chart" uri="{C3380CC4-5D6E-409C-BE32-E72D297353CC}">
              <c16:uniqueId val="{00000003-7055-428E-9919-2AC12633E517}"/>
            </c:ext>
          </c:extLst>
        </c:ser>
        <c:ser>
          <c:idx val="4"/>
          <c:order val="4"/>
          <c:tx>
            <c:strRef>
              <c:f>Analysis!$A$6</c:f>
              <c:strCache>
                <c:ptCount val="1"/>
                <c:pt idx="0">
                  <c:v>Wetlands</c:v>
                </c:pt>
              </c:strCache>
            </c:strRef>
          </c:tx>
          <c:spPr>
            <a:ln>
              <a:solidFill>
                <a:srgbClr val="743C24"/>
              </a:solidFill>
            </a:ln>
          </c:spPr>
          <c:marker>
            <c:symbol val="none"/>
          </c:marker>
          <c:cat>
            <c:strRef>
              <c:f>Analysis!$B$1:$AF$1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Analysis!$B$6:$AF$6</c:f>
              <c:numCache>
                <c:formatCode>#,##0.0</c:formatCode>
                <c:ptCount val="31"/>
                <c:pt idx="0">
                  <c:v>-10.46361278573163</c:v>
                </c:pt>
                <c:pt idx="1">
                  <c:v>-8.7450327045364507</c:v>
                </c:pt>
                <c:pt idx="2">
                  <c:v>-10.63261929040368</c:v>
                </c:pt>
                <c:pt idx="3">
                  <c:v>-8.9551058759105597</c:v>
                </c:pt>
                <c:pt idx="4">
                  <c:v>-6.3150924617798001</c:v>
                </c:pt>
                <c:pt idx="5">
                  <c:v>-4.3860457139630702</c:v>
                </c:pt>
                <c:pt idx="6">
                  <c:v>-6.4661322998260902</c:v>
                </c:pt>
                <c:pt idx="7">
                  <c:v>-2.3384032535891999</c:v>
                </c:pt>
                <c:pt idx="8">
                  <c:v>-2.06560013491073</c:v>
                </c:pt>
                <c:pt idx="9">
                  <c:v>-2.9734636825399301</c:v>
                </c:pt>
                <c:pt idx="10">
                  <c:v>3.0838387637403999</c:v>
                </c:pt>
                <c:pt idx="11">
                  <c:v>3.2458697308452602</c:v>
                </c:pt>
                <c:pt idx="12">
                  <c:v>4.2293650097180997</c:v>
                </c:pt>
                <c:pt idx="13">
                  <c:v>6.85709594271E-3</c:v>
                </c:pt>
                <c:pt idx="14">
                  <c:v>4.6722023623512703</c:v>
                </c:pt>
                <c:pt idx="15">
                  <c:v>18.33098953899356</c:v>
                </c:pt>
                <c:pt idx="16">
                  <c:v>27.752624452768931</c:v>
                </c:pt>
                <c:pt idx="17">
                  <c:v>36.616333328661121</c:v>
                </c:pt>
                <c:pt idx="18">
                  <c:v>23.908187776606152</c:v>
                </c:pt>
                <c:pt idx="19">
                  <c:v>31.511061558901851</c:v>
                </c:pt>
                <c:pt idx="20">
                  <c:v>28.060810769201581</c:v>
                </c:pt>
                <c:pt idx="21">
                  <c:v>34.747691596085303</c:v>
                </c:pt>
                <c:pt idx="22">
                  <c:v>20.008618758323351</c:v>
                </c:pt>
                <c:pt idx="23">
                  <c:v>50.176525202862408</c:v>
                </c:pt>
                <c:pt idx="24">
                  <c:v>49.70296277582765</c:v>
                </c:pt>
                <c:pt idx="25">
                  <c:v>22.48531374111305</c:v>
                </c:pt>
                <c:pt idx="26">
                  <c:v>35.053967578957689</c:v>
                </c:pt>
                <c:pt idx="27">
                  <c:v>13.67254556410508</c:v>
                </c:pt>
                <c:pt idx="28">
                  <c:v>13.383984621346761</c:v>
                </c:pt>
                <c:pt idx="29">
                  <c:v>13.36206252677618</c:v>
                </c:pt>
                <c:pt idx="30">
                  <c:v>13.370945183842631</c:v>
                </c:pt>
              </c:numCache>
            </c:numRef>
          </c:val>
          <c:smooth val="0"/>
          <c:extLst>
            <c:ext xmlns:c16="http://schemas.microsoft.com/office/drawing/2014/chart" uri="{C3380CC4-5D6E-409C-BE32-E72D297353CC}">
              <c16:uniqueId val="{00000004-7055-428E-9919-2AC12633E517}"/>
            </c:ext>
          </c:extLst>
        </c:ser>
        <c:ser>
          <c:idx val="5"/>
          <c:order val="5"/>
          <c:tx>
            <c:strRef>
              <c:f>Analysis!$A$7</c:f>
              <c:strCache>
                <c:ptCount val="1"/>
                <c:pt idx="0">
                  <c:v>Settlements </c:v>
                </c:pt>
              </c:strCache>
            </c:strRef>
          </c:tx>
          <c:spPr>
            <a:ln>
              <a:solidFill>
                <a:srgbClr val="32809C"/>
              </a:solidFill>
            </a:ln>
          </c:spPr>
          <c:marker>
            <c:symbol val="none"/>
          </c:marker>
          <c:cat>
            <c:strRef>
              <c:f>Analysis!$B$1:$AF$1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Analysis!$B$7:$AF$7</c:f>
              <c:numCache>
                <c:formatCode>#,##0.0</c:formatCode>
                <c:ptCount val="31"/>
                <c:pt idx="0">
                  <c:v>75.425048639929969</c:v>
                </c:pt>
                <c:pt idx="1">
                  <c:v>76.965625330084208</c:v>
                </c:pt>
                <c:pt idx="2">
                  <c:v>78.503909936514845</c:v>
                </c:pt>
                <c:pt idx="3">
                  <c:v>80.253066296721315</c:v>
                </c:pt>
                <c:pt idx="4">
                  <c:v>82.765504047268834</c:v>
                </c:pt>
                <c:pt idx="5">
                  <c:v>85.962416089508778</c:v>
                </c:pt>
                <c:pt idx="6">
                  <c:v>88.216655561139717</c:v>
                </c:pt>
                <c:pt idx="7">
                  <c:v>90.692264719337985</c:v>
                </c:pt>
                <c:pt idx="8">
                  <c:v>92.881800485822254</c:v>
                </c:pt>
                <c:pt idx="9">
                  <c:v>94.17165581426552</c:v>
                </c:pt>
                <c:pt idx="10">
                  <c:v>109.22628536277715</c:v>
                </c:pt>
                <c:pt idx="11">
                  <c:v>109.62157095027055</c:v>
                </c:pt>
                <c:pt idx="12">
                  <c:v>107.83183464655171</c:v>
                </c:pt>
                <c:pt idx="13">
                  <c:v>123.74308987824543</c:v>
                </c:pt>
                <c:pt idx="14">
                  <c:v>150.74732995465931</c:v>
                </c:pt>
                <c:pt idx="15">
                  <c:v>203.38441359226624</c:v>
                </c:pt>
                <c:pt idx="16">
                  <c:v>230.53537883808045</c:v>
                </c:pt>
                <c:pt idx="17">
                  <c:v>279.19618789991205</c:v>
                </c:pt>
                <c:pt idx="18">
                  <c:v>99.886095198172754</c:v>
                </c:pt>
                <c:pt idx="19">
                  <c:v>109.05636759834897</c:v>
                </c:pt>
                <c:pt idx="20">
                  <c:v>111.47341830139587</c:v>
                </c:pt>
                <c:pt idx="21">
                  <c:v>123.64749319824868</c:v>
                </c:pt>
                <c:pt idx="22">
                  <c:v>119.74974886274158</c:v>
                </c:pt>
                <c:pt idx="23">
                  <c:v>111.70500592867909</c:v>
                </c:pt>
                <c:pt idx="24">
                  <c:v>123.43555027245746</c:v>
                </c:pt>
                <c:pt idx="25">
                  <c:v>122.08872361402837</c:v>
                </c:pt>
                <c:pt idx="26">
                  <c:v>144.70050280064859</c:v>
                </c:pt>
                <c:pt idx="27">
                  <c:v>123.52323645714696</c:v>
                </c:pt>
                <c:pt idx="28">
                  <c:v>123.07958291906404</c:v>
                </c:pt>
                <c:pt idx="29">
                  <c:v>127.78764521737172</c:v>
                </c:pt>
                <c:pt idx="30">
                  <c:v>124.05906661762317</c:v>
                </c:pt>
              </c:numCache>
            </c:numRef>
          </c:val>
          <c:smooth val="0"/>
          <c:extLst>
            <c:ext xmlns:c16="http://schemas.microsoft.com/office/drawing/2014/chart" uri="{C3380CC4-5D6E-409C-BE32-E72D297353CC}">
              <c16:uniqueId val="{00000005-7055-428E-9919-2AC12633E517}"/>
            </c:ext>
          </c:extLst>
        </c:ser>
        <c:ser>
          <c:idx val="6"/>
          <c:order val="6"/>
          <c:tx>
            <c:strRef>
              <c:f>Analysis!$A$8</c:f>
              <c:strCache>
                <c:ptCount val="1"/>
                <c:pt idx="0">
                  <c:v>Other land</c:v>
                </c:pt>
              </c:strCache>
            </c:strRef>
          </c:tx>
          <c:spPr>
            <a:ln>
              <a:solidFill>
                <a:srgbClr val="2C9986"/>
              </a:solidFill>
            </a:ln>
          </c:spPr>
          <c:marker>
            <c:symbol val="none"/>
          </c:marker>
          <c:cat>
            <c:strRef>
              <c:f>Analysis!$B$1:$AF$1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Analysis!$B$8:$AF$8</c:f>
              <c:numCache>
                <c:formatCode>#,##0.0</c:formatCode>
                <c:ptCount val="31"/>
                <c:pt idx="0">
                  <c:v>13.600980464631309</c:v>
                </c:pt>
                <c:pt idx="1">
                  <c:v>14.95140107964059</c:v>
                </c:pt>
                <c:pt idx="2">
                  <c:v>16.301821695001209</c:v>
                </c:pt>
                <c:pt idx="3">
                  <c:v>17.652242310333591</c:v>
                </c:pt>
                <c:pt idx="4">
                  <c:v>19.002662925744531</c:v>
                </c:pt>
                <c:pt idx="5">
                  <c:v>20.353083540861832</c:v>
                </c:pt>
                <c:pt idx="6">
                  <c:v>21.703504155913709</c:v>
                </c:pt>
                <c:pt idx="7">
                  <c:v>25.13174901392453</c:v>
                </c:pt>
                <c:pt idx="8">
                  <c:v>27.094270113521699</c:v>
                </c:pt>
                <c:pt idx="9">
                  <c:v>29.056791213209259</c:v>
                </c:pt>
                <c:pt idx="10">
                  <c:v>47.617513410346866</c:v>
                </c:pt>
                <c:pt idx="11">
                  <c:v>49.420366350391177</c:v>
                </c:pt>
                <c:pt idx="12">
                  <c:v>47.867573987526903</c:v>
                </c:pt>
                <c:pt idx="13">
                  <c:v>57.93113166791106</c:v>
                </c:pt>
                <c:pt idx="14">
                  <c:v>74.925099983929798</c:v>
                </c:pt>
                <c:pt idx="15">
                  <c:v>98.486616183112275</c:v>
                </c:pt>
                <c:pt idx="16">
                  <c:v>115.61119212056006</c:v>
                </c:pt>
                <c:pt idx="17">
                  <c:v>145.72545818091737</c:v>
                </c:pt>
                <c:pt idx="18">
                  <c:v>78.579931858797067</c:v>
                </c:pt>
                <c:pt idx="19">
                  <c:v>132.08984089995883</c:v>
                </c:pt>
                <c:pt idx="20">
                  <c:v>161.5126175945897</c:v>
                </c:pt>
                <c:pt idx="21">
                  <c:v>219.59996051020119</c:v>
                </c:pt>
                <c:pt idx="22">
                  <c:v>207.49909957629254</c:v>
                </c:pt>
                <c:pt idx="23">
                  <c:v>191.74973115970889</c:v>
                </c:pt>
                <c:pt idx="24">
                  <c:v>176.32638038126441</c:v>
                </c:pt>
                <c:pt idx="25">
                  <c:v>246.41582234974521</c:v>
                </c:pt>
                <c:pt idx="26">
                  <c:v>217.69234798743341</c:v>
                </c:pt>
                <c:pt idx="27">
                  <c:v>133.79609870383405</c:v>
                </c:pt>
                <c:pt idx="28">
                  <c:v>136.12720075328295</c:v>
                </c:pt>
                <c:pt idx="29">
                  <c:v>152.75216514372383</c:v>
                </c:pt>
                <c:pt idx="30">
                  <c:v>118.36636146244413</c:v>
                </c:pt>
              </c:numCache>
            </c:numRef>
          </c:val>
          <c:smooth val="0"/>
          <c:extLst>
            <c:ext xmlns:c16="http://schemas.microsoft.com/office/drawing/2014/chart" uri="{C3380CC4-5D6E-409C-BE32-E72D297353CC}">
              <c16:uniqueId val="{00000006-7055-428E-9919-2AC12633E517}"/>
            </c:ext>
          </c:extLst>
        </c:ser>
        <c:ser>
          <c:idx val="7"/>
          <c:order val="7"/>
          <c:tx>
            <c:strRef>
              <c:f>Analysis!$A$9</c:f>
              <c:strCache>
                <c:ptCount val="1"/>
                <c:pt idx="0">
                  <c:v>Indirect emissions</c:v>
                </c:pt>
              </c:strCache>
            </c:strRef>
          </c:tx>
          <c:spPr>
            <a:ln>
              <a:solidFill>
                <a:srgbClr val="5E3C88"/>
              </a:solidFill>
            </a:ln>
          </c:spPr>
          <c:marker>
            <c:symbol val="none"/>
          </c:marker>
          <c:cat>
            <c:strRef>
              <c:f>Analysis!$B$1:$AF$1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Analysis!$B$9:$AF$9</c:f>
              <c:numCache>
                <c:formatCode>#,##0.0</c:formatCode>
                <c:ptCount val="31"/>
                <c:pt idx="0">
                  <c:v>40.833676967876663</c:v>
                </c:pt>
                <c:pt idx="1">
                  <c:v>40.308266338092139</c:v>
                </c:pt>
                <c:pt idx="2">
                  <c:v>41.061385126108959</c:v>
                </c:pt>
                <c:pt idx="3">
                  <c:v>42.062669200391781</c:v>
                </c:pt>
                <c:pt idx="4">
                  <c:v>44.315752281694017</c:v>
                </c:pt>
                <c:pt idx="5">
                  <c:v>45.26598916924948</c:v>
                </c:pt>
                <c:pt idx="6">
                  <c:v>46.447562077610279</c:v>
                </c:pt>
                <c:pt idx="7">
                  <c:v>47.102928620166757</c:v>
                </c:pt>
                <c:pt idx="8">
                  <c:v>47.314297076942943</c:v>
                </c:pt>
                <c:pt idx="9">
                  <c:v>46.977491519839496</c:v>
                </c:pt>
                <c:pt idx="10">
                  <c:v>46.62873791143582</c:v>
                </c:pt>
                <c:pt idx="11">
                  <c:v>46.143639399136241</c:v>
                </c:pt>
                <c:pt idx="12">
                  <c:v>44.95880880171044</c:v>
                </c:pt>
                <c:pt idx="13">
                  <c:v>43.551124720145019</c:v>
                </c:pt>
                <c:pt idx="14">
                  <c:v>41.8045029045375</c:v>
                </c:pt>
                <c:pt idx="15">
                  <c:v>40.191603435446119</c:v>
                </c:pt>
                <c:pt idx="16">
                  <c:v>38.921231391324419</c:v>
                </c:pt>
                <c:pt idx="17">
                  <c:v>38.060333016636278</c:v>
                </c:pt>
                <c:pt idx="18">
                  <c:v>37.052943259659664</c:v>
                </c:pt>
                <c:pt idx="19">
                  <c:v>36.028207638452216</c:v>
                </c:pt>
                <c:pt idx="20">
                  <c:v>35.51208000257914</c:v>
                </c:pt>
                <c:pt idx="21">
                  <c:v>35.374764643520137</c:v>
                </c:pt>
                <c:pt idx="22">
                  <c:v>33.992931014970459</c:v>
                </c:pt>
                <c:pt idx="23">
                  <c:v>31.68895271882036</c:v>
                </c:pt>
                <c:pt idx="24">
                  <c:v>27.91131227226796</c:v>
                </c:pt>
                <c:pt idx="25">
                  <c:v>25.162748699575161</c:v>
                </c:pt>
                <c:pt idx="26">
                  <c:v>22.111521142676782</c:v>
                </c:pt>
                <c:pt idx="27">
                  <c:v>19.998621472329098</c:v>
                </c:pt>
                <c:pt idx="28">
                  <c:v>18.18496523786018</c:v>
                </c:pt>
                <c:pt idx="29">
                  <c:v>17.558659131243878</c:v>
                </c:pt>
                <c:pt idx="30">
                  <c:v>17.72713708979882</c:v>
                </c:pt>
              </c:numCache>
            </c:numRef>
          </c:val>
          <c:smooth val="0"/>
          <c:extLst>
            <c:ext xmlns:c16="http://schemas.microsoft.com/office/drawing/2014/chart" uri="{C3380CC4-5D6E-409C-BE32-E72D297353CC}">
              <c16:uniqueId val="{00000007-7055-428E-9919-2AC12633E517}"/>
            </c:ext>
          </c:extLst>
        </c:ser>
        <c:ser>
          <c:idx val="8"/>
          <c:order val="8"/>
          <c:tx>
            <c:strRef>
              <c:f>Analysis!$A$10</c:f>
              <c:strCache>
                <c:ptCount val="1"/>
                <c:pt idx="0">
                  <c:v>Harvested wood products</c:v>
                </c:pt>
              </c:strCache>
            </c:strRef>
          </c:tx>
          <c:marker>
            <c:symbol val="none"/>
          </c:marker>
          <c:cat>
            <c:strRef>
              <c:f>Analysis!$B$1:$AF$1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Analysis!$B$10:$AF$10</c:f>
              <c:numCache>
                <c:formatCode>#,##0.0</c:formatCode>
                <c:ptCount val="31"/>
                <c:pt idx="0">
                  <c:v>-2481.2125676078545</c:v>
                </c:pt>
                <c:pt idx="1">
                  <c:v>-3568.5050243962169</c:v>
                </c:pt>
                <c:pt idx="2">
                  <c:v>-3828.8891570673313</c:v>
                </c:pt>
                <c:pt idx="3">
                  <c:v>-4179.3055058138725</c:v>
                </c:pt>
                <c:pt idx="4">
                  <c:v>-4460.5753215902851</c:v>
                </c:pt>
                <c:pt idx="5">
                  <c:v>-4648.5537585877428</c:v>
                </c:pt>
                <c:pt idx="6">
                  <c:v>-4547.6099770719093</c:v>
                </c:pt>
                <c:pt idx="7">
                  <c:v>-4643.022149523692</c:v>
                </c:pt>
                <c:pt idx="8">
                  <c:v>-3256.0414950694353</c:v>
                </c:pt>
                <c:pt idx="9">
                  <c:v>-4647.4825071611849</c:v>
                </c:pt>
                <c:pt idx="10">
                  <c:v>-5227.0149038086747</c:v>
                </c:pt>
                <c:pt idx="11">
                  <c:v>-5935.3736474146808</c:v>
                </c:pt>
                <c:pt idx="12">
                  <c:v>-6757.5887533320274</c:v>
                </c:pt>
                <c:pt idx="13">
                  <c:v>-6132.6251520320284</c:v>
                </c:pt>
                <c:pt idx="14">
                  <c:v>-5209.330032852783</c:v>
                </c:pt>
                <c:pt idx="15">
                  <c:v>-4688.7374753383929</c:v>
                </c:pt>
                <c:pt idx="16">
                  <c:v>-4612.875581318398</c:v>
                </c:pt>
                <c:pt idx="17">
                  <c:v>-4625.1866243144241</c:v>
                </c:pt>
                <c:pt idx="18">
                  <c:v>-4217.9676417999517</c:v>
                </c:pt>
                <c:pt idx="19">
                  <c:v>-5115.4390420782775</c:v>
                </c:pt>
                <c:pt idx="20">
                  <c:v>-6701.7597716049768</c:v>
                </c:pt>
                <c:pt idx="21">
                  <c:v>-7319.149573446769</c:v>
                </c:pt>
                <c:pt idx="22">
                  <c:v>-7580.4510658204654</c:v>
                </c:pt>
                <c:pt idx="23">
                  <c:v>-8689.4147410420064</c:v>
                </c:pt>
                <c:pt idx="24">
                  <c:v>-7789.7431019680789</c:v>
                </c:pt>
                <c:pt idx="25">
                  <c:v>-6873.7526684071145</c:v>
                </c:pt>
                <c:pt idx="26">
                  <c:v>-7896.7622246842675</c:v>
                </c:pt>
                <c:pt idx="27">
                  <c:v>-8674.5311278825557</c:v>
                </c:pt>
                <c:pt idx="28">
                  <c:v>-9323.5439307672987</c:v>
                </c:pt>
                <c:pt idx="29">
                  <c:v>-9037.8497903809694</c:v>
                </c:pt>
                <c:pt idx="30">
                  <c:v>-6834.5767845684959</c:v>
                </c:pt>
              </c:numCache>
            </c:numRef>
          </c:val>
          <c:smooth val="0"/>
          <c:extLst>
            <c:ext xmlns:c16="http://schemas.microsoft.com/office/drawing/2014/chart" uri="{C3380CC4-5D6E-409C-BE32-E72D297353CC}">
              <c16:uniqueId val="{00000008-7055-428E-9919-2AC12633E517}"/>
            </c:ext>
          </c:extLst>
        </c:ser>
        <c:dLbls>
          <c:showLegendKey val="0"/>
          <c:showVal val="0"/>
          <c:showCatName val="0"/>
          <c:showSerName val="0"/>
          <c:showPercent val="0"/>
          <c:showBubbleSize val="0"/>
        </c:dLbls>
        <c:smooth val="0"/>
        <c:axId val="128192896"/>
        <c:axId val="128194432"/>
      </c:lineChart>
      <c:catAx>
        <c:axId val="128192896"/>
        <c:scaling>
          <c:orientation val="minMax"/>
        </c:scaling>
        <c:delete val="0"/>
        <c:axPos val="b"/>
        <c:majorGridlines>
          <c:spPr>
            <a:ln w="6350">
              <a:solidFill>
                <a:sysClr val="window" lastClr="FFFFFF">
                  <a:lumMod val="85000"/>
                </a:sysClr>
              </a:solidFill>
              <a:prstDash val="dash"/>
            </a:ln>
          </c:spPr>
        </c:majorGridlines>
        <c:numFmt formatCode="General" sourceLinked="0"/>
        <c:majorTickMark val="cross"/>
        <c:minorTickMark val="none"/>
        <c:tickLblPos val="low"/>
        <c:spPr>
          <a:ln w="12700">
            <a:solidFill>
              <a:sysClr val="windowText" lastClr="000000"/>
            </a:solidFill>
          </a:ln>
        </c:spPr>
        <c:txPr>
          <a:bodyPr rot="-5400000" vert="horz"/>
          <a:lstStyle/>
          <a:p>
            <a:pPr>
              <a:defRPr sz="700">
                <a:latin typeface="Arial" panose="020B0604020202020204" pitchFamily="34" charset="0"/>
                <a:cs typeface="Arial" panose="020B0604020202020204" pitchFamily="34" charset="0"/>
              </a:defRPr>
            </a:pPr>
            <a:endParaRPr lang="en-US"/>
          </a:p>
        </c:txPr>
        <c:crossAx val="128194432"/>
        <c:crosses val="autoZero"/>
        <c:auto val="1"/>
        <c:lblAlgn val="ctr"/>
        <c:lblOffset val="100"/>
        <c:tickLblSkip val="2"/>
        <c:noMultiLvlLbl val="0"/>
      </c:catAx>
      <c:valAx>
        <c:axId val="128194432"/>
        <c:scaling>
          <c:orientation val="minMax"/>
        </c:scaling>
        <c:delete val="0"/>
        <c:axPos val="l"/>
        <c:majorGridlines>
          <c:spPr>
            <a:ln w="6350">
              <a:solidFill>
                <a:sysClr val="window" lastClr="FFFFFF">
                  <a:lumMod val="85000"/>
                </a:sysClr>
              </a:solidFill>
            </a:ln>
          </c:spPr>
        </c:majorGridlines>
        <c:title>
          <c:tx>
            <c:rich>
              <a:bodyPr rot="-5400000" vert="horz"/>
              <a:lstStyle/>
              <a:p>
                <a:pPr>
                  <a:defRPr sz="800" b="0">
                    <a:latin typeface="Arial" panose="020B0604020202020204" pitchFamily="34" charset="0"/>
                    <a:cs typeface="Arial" panose="020B0604020202020204" pitchFamily="34" charset="0"/>
                  </a:defRPr>
                </a:pPr>
                <a:r>
                  <a:rPr lang="en-NZ" sz="800"/>
                  <a:t>kt CO</a:t>
                </a:r>
                <a:r>
                  <a:rPr lang="en-NZ" sz="800" baseline="-25000"/>
                  <a:t>2</a:t>
                </a:r>
                <a:r>
                  <a:rPr lang="en-NZ" sz="800" baseline="0"/>
                  <a:t>-equivalent</a:t>
                </a:r>
                <a:endParaRPr lang="en-NZ" sz="800"/>
              </a:p>
            </c:rich>
          </c:tx>
          <c:layout>
            <c:manualLayout>
              <c:xMode val="edge"/>
              <c:yMode val="edge"/>
              <c:x val="1.0123963739556506E-2"/>
              <c:y val="0.29312098757973687"/>
            </c:manualLayout>
          </c:layout>
          <c:overlay val="0"/>
        </c:title>
        <c:numFmt formatCode="#,##0" sourceLinked="0"/>
        <c:majorTickMark val="out"/>
        <c:minorTickMark val="none"/>
        <c:tickLblPos val="nextTo"/>
        <c:spPr>
          <a:ln w="12700">
            <a:solidFill>
              <a:sysClr val="windowText" lastClr="000000"/>
            </a:solidFill>
          </a:ln>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crossAx val="128192896"/>
        <c:crosses val="autoZero"/>
        <c:crossBetween val="midCat"/>
      </c:valAx>
    </c:plotArea>
    <c:legend>
      <c:legendPos val="b"/>
      <c:layout>
        <c:manualLayout>
          <c:xMode val="edge"/>
          <c:yMode val="edge"/>
          <c:x val="4.4992819334207887E-2"/>
          <c:y val="0.88030423871382335"/>
          <c:w val="0.93696622681481112"/>
          <c:h val="0.11413060160648625"/>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43368652992449"/>
          <c:y val="0.10137006780149238"/>
          <c:w val="0.80862762525054743"/>
          <c:h val="0.66400978645902653"/>
        </c:manualLayout>
      </c:layout>
      <c:lineChart>
        <c:grouping val="standard"/>
        <c:varyColors val="0"/>
        <c:ser>
          <c:idx val="0"/>
          <c:order val="0"/>
          <c:tx>
            <c:strRef>
              <c:f>'[Emissions intensity graph.xlsx]Sheet1 (2)'!$C$2</c:f>
              <c:strCache>
                <c:ptCount val="1"/>
                <c:pt idx="0">
                  <c:v>Milk solids</c:v>
                </c:pt>
              </c:strCache>
            </c:strRef>
          </c:tx>
          <c:spPr>
            <a:ln w="38100" cap="rnd">
              <a:solidFill>
                <a:schemeClr val="accent1"/>
              </a:solidFill>
              <a:round/>
            </a:ln>
            <a:effectLst/>
          </c:spPr>
          <c:marker>
            <c:symbol val="none"/>
          </c:marker>
          <c:cat>
            <c:numRef>
              <c:f>'[Emissions intensity graph.xlsx]Sheet1 (2)'!$B$3:$B$33</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'[Emissions intensity graph.xlsx]Sheet1 (2)'!$C$3:$C$33</c:f>
              <c:numCache>
                <c:formatCode>0.0</c:formatCode>
                <c:ptCount val="31"/>
                <c:pt idx="0">
                  <c:v>1</c:v>
                </c:pt>
                <c:pt idx="1">
                  <c:v>0.98260739487440096</c:v>
                </c:pt>
                <c:pt idx="2">
                  <c:v>0.96190421851459051</c:v>
                </c:pt>
                <c:pt idx="3">
                  <c:v>0.92554489355703018</c:v>
                </c:pt>
                <c:pt idx="4">
                  <c:v>0.92701031656928301</c:v>
                </c:pt>
                <c:pt idx="5">
                  <c:v>0.9494984064500045</c:v>
                </c:pt>
                <c:pt idx="6">
                  <c:v>0.90990972532459724</c:v>
                </c:pt>
                <c:pt idx="7">
                  <c:v>0.88537146233262065</c:v>
                </c:pt>
                <c:pt idx="8">
                  <c:v>0.88182149448425551</c:v>
                </c:pt>
                <c:pt idx="9">
                  <c:v>0.84796277378928342</c:v>
                </c:pt>
                <c:pt idx="10">
                  <c:v>0.82426182360616795</c:v>
                </c:pt>
                <c:pt idx="11">
                  <c:v>0.81882989052999311</c:v>
                </c:pt>
                <c:pt idx="12">
                  <c:v>0.82532718073481892</c:v>
                </c:pt>
                <c:pt idx="13">
                  <c:v>0.81134916735947771</c:v>
                </c:pt>
                <c:pt idx="14">
                  <c:v>0.80188664248021446</c:v>
                </c:pt>
                <c:pt idx="15">
                  <c:v>0.7923738163837869</c:v>
                </c:pt>
                <c:pt idx="16">
                  <c:v>0.77056580332393831</c:v>
                </c:pt>
                <c:pt idx="17">
                  <c:v>0.77354754577642371</c:v>
                </c:pt>
                <c:pt idx="18">
                  <c:v>0.78496836065688258</c:v>
                </c:pt>
                <c:pt idx="19">
                  <c:v>0.7824778246331674</c:v>
                </c:pt>
                <c:pt idx="20">
                  <c:v>0.77860604659027777</c:v>
                </c:pt>
                <c:pt idx="21">
                  <c:v>0.75990954099562624</c:v>
                </c:pt>
                <c:pt idx="22">
                  <c:v>0.76184093469591463</c:v>
                </c:pt>
                <c:pt idx="23">
                  <c:v>0.75568856966890607</c:v>
                </c:pt>
                <c:pt idx="24">
                  <c:v>0.73627730982556172</c:v>
                </c:pt>
                <c:pt idx="25">
                  <c:v>0.72479122569436383</c:v>
                </c:pt>
                <c:pt idx="26">
                  <c:v>0.73009426712523795</c:v>
                </c:pt>
                <c:pt idx="27">
                  <c:v>0.73248087631919312</c:v>
                </c:pt>
                <c:pt idx="28">
                  <c:v>0.72794925489879092</c:v>
                </c:pt>
                <c:pt idx="29">
                  <c:v>0.71388873367190209</c:v>
                </c:pt>
                <c:pt idx="30">
                  <c:v>0.70337893909250759</c:v>
                </c:pt>
              </c:numCache>
            </c:numRef>
          </c:val>
          <c:smooth val="0"/>
          <c:extLst>
            <c:ext xmlns:c16="http://schemas.microsoft.com/office/drawing/2014/chart" uri="{C3380CC4-5D6E-409C-BE32-E72D297353CC}">
              <c16:uniqueId val="{00000000-8AE8-4F60-B634-9642CFBDD3C5}"/>
            </c:ext>
          </c:extLst>
        </c:ser>
        <c:ser>
          <c:idx val="1"/>
          <c:order val="1"/>
          <c:tx>
            <c:strRef>
              <c:f>'[Emissions intensity graph.xlsx]Sheet1 (2)'!$D$2</c:f>
              <c:strCache>
                <c:ptCount val="1"/>
                <c:pt idx="0">
                  <c:v>Beef and dairy meat</c:v>
                </c:pt>
              </c:strCache>
            </c:strRef>
          </c:tx>
          <c:spPr>
            <a:ln w="38100" cap="rnd">
              <a:solidFill>
                <a:schemeClr val="accent2"/>
              </a:solidFill>
              <a:round/>
            </a:ln>
            <a:effectLst/>
          </c:spPr>
          <c:marker>
            <c:symbol val="none"/>
          </c:marker>
          <c:cat>
            <c:numRef>
              <c:f>'[Emissions intensity graph.xlsx]Sheet1 (2)'!$B$3:$B$33</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'[Emissions intensity graph.xlsx]Sheet1 (2)'!$D$3:$D$33</c:f>
              <c:numCache>
                <c:formatCode>0.0</c:formatCode>
                <c:ptCount val="31"/>
                <c:pt idx="0">
                  <c:v>1</c:v>
                </c:pt>
                <c:pt idx="1">
                  <c:v>1.0044983715000966</c:v>
                </c:pt>
                <c:pt idx="2">
                  <c:v>1.0352220246244446</c:v>
                </c:pt>
                <c:pt idx="3">
                  <c:v>0.96261500003184841</c:v>
                </c:pt>
                <c:pt idx="4">
                  <c:v>1.0348970574085625</c:v>
                </c:pt>
                <c:pt idx="5">
                  <c:v>0.95419895561430113</c:v>
                </c:pt>
                <c:pt idx="6">
                  <c:v>0.91246258012744774</c:v>
                </c:pt>
                <c:pt idx="7">
                  <c:v>0.90198517102940945</c:v>
                </c:pt>
                <c:pt idx="8">
                  <c:v>0.89763197578436427</c:v>
                </c:pt>
                <c:pt idx="9">
                  <c:v>0.97547295135140699</c:v>
                </c:pt>
                <c:pt idx="10">
                  <c:v>0.97730913842895706</c:v>
                </c:pt>
                <c:pt idx="11">
                  <c:v>0.99378540279344685</c:v>
                </c:pt>
                <c:pt idx="12">
                  <c:v>0.96030807170104981</c:v>
                </c:pt>
                <c:pt idx="13">
                  <c:v>0.84718988580963495</c:v>
                </c:pt>
                <c:pt idx="14">
                  <c:v>0.81031932425683906</c:v>
                </c:pt>
                <c:pt idx="15">
                  <c:v>0.85930792521316712</c:v>
                </c:pt>
                <c:pt idx="16">
                  <c:v>0.89753692229361326</c:v>
                </c:pt>
                <c:pt idx="17">
                  <c:v>0.935688355365633</c:v>
                </c:pt>
                <c:pt idx="18">
                  <c:v>0.82385032355420407</c:v>
                </c:pt>
                <c:pt idx="19">
                  <c:v>0.83623247644089937</c:v>
                </c:pt>
                <c:pt idx="20">
                  <c:v>0.77993611829942888</c:v>
                </c:pt>
                <c:pt idx="21">
                  <c:v>0.82311680490420436</c:v>
                </c:pt>
                <c:pt idx="22">
                  <c:v>0.7803899865077264</c:v>
                </c:pt>
                <c:pt idx="23">
                  <c:v>0.76554881093798632</c:v>
                </c:pt>
                <c:pt idx="24">
                  <c:v>0.71277199565003879</c:v>
                </c:pt>
                <c:pt idx="25">
                  <c:v>0.66441506856607335</c:v>
                </c:pt>
                <c:pt idx="26">
                  <c:v>0.71111744786377529</c:v>
                </c:pt>
                <c:pt idx="27">
                  <c:v>0.71676647617592937</c:v>
                </c:pt>
                <c:pt idx="28">
                  <c:v>0.70591016046637589</c:v>
                </c:pt>
                <c:pt idx="29">
                  <c:v>0.70310921424773665</c:v>
                </c:pt>
                <c:pt idx="30">
                  <c:v>0.69805657089319029</c:v>
                </c:pt>
              </c:numCache>
            </c:numRef>
          </c:val>
          <c:smooth val="0"/>
          <c:extLst>
            <c:ext xmlns:c16="http://schemas.microsoft.com/office/drawing/2014/chart" uri="{C3380CC4-5D6E-409C-BE32-E72D297353CC}">
              <c16:uniqueId val="{00000001-8AE8-4F60-B634-9642CFBDD3C5}"/>
            </c:ext>
          </c:extLst>
        </c:ser>
        <c:ser>
          <c:idx val="2"/>
          <c:order val="2"/>
          <c:tx>
            <c:strRef>
              <c:f>'[Emissions intensity graph.xlsx]Sheet1 (2)'!$E$2</c:f>
              <c:strCache>
                <c:ptCount val="1"/>
                <c:pt idx="0">
                  <c:v>Sheep meat</c:v>
                </c:pt>
              </c:strCache>
            </c:strRef>
          </c:tx>
          <c:spPr>
            <a:ln w="38100" cap="rnd">
              <a:solidFill>
                <a:srgbClr val="92D050"/>
              </a:solidFill>
              <a:round/>
            </a:ln>
            <a:effectLst/>
          </c:spPr>
          <c:marker>
            <c:symbol val="none"/>
          </c:marker>
          <c:cat>
            <c:numRef>
              <c:f>'[Emissions intensity graph.xlsx]Sheet1 (2)'!$B$3:$B$33</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'[Emissions intensity graph.xlsx]Sheet1 (2)'!$E$3:$E$33</c:f>
              <c:numCache>
                <c:formatCode>0.0</c:formatCode>
                <c:ptCount val="31"/>
                <c:pt idx="0">
                  <c:v>1</c:v>
                </c:pt>
                <c:pt idx="1">
                  <c:v>0.96543067816134009</c:v>
                </c:pt>
                <c:pt idx="2">
                  <c:v>0.94317074392217082</c:v>
                </c:pt>
                <c:pt idx="3">
                  <c:v>0.92553872947831206</c:v>
                </c:pt>
                <c:pt idx="4">
                  <c:v>0.92091721877608512</c:v>
                </c:pt>
                <c:pt idx="5">
                  <c:v>0.8646923343272015</c:v>
                </c:pt>
                <c:pt idx="6">
                  <c:v>0.88390737408348408</c:v>
                </c:pt>
                <c:pt idx="7">
                  <c:v>0.85889307174406448</c:v>
                </c:pt>
                <c:pt idx="8">
                  <c:v>0.89055984902080898</c:v>
                </c:pt>
                <c:pt idx="9">
                  <c:v>0.90215386126532626</c:v>
                </c:pt>
                <c:pt idx="10">
                  <c:v>0.84084535120099491</c:v>
                </c:pt>
                <c:pt idx="11">
                  <c:v>0.80456713669358793</c:v>
                </c:pt>
                <c:pt idx="12">
                  <c:v>0.79789785483964659</c:v>
                </c:pt>
                <c:pt idx="13">
                  <c:v>0.76446116901492911</c:v>
                </c:pt>
                <c:pt idx="14">
                  <c:v>0.81949965962350324</c:v>
                </c:pt>
                <c:pt idx="15">
                  <c:v>0.80037641410000193</c:v>
                </c:pt>
                <c:pt idx="16">
                  <c:v>0.78065793973223152</c:v>
                </c:pt>
                <c:pt idx="17">
                  <c:v>0.70500838654488207</c:v>
                </c:pt>
                <c:pt idx="18">
                  <c:v>0.61467766147424996</c:v>
                </c:pt>
                <c:pt idx="19">
                  <c:v>0.74375814177045596</c:v>
                </c:pt>
                <c:pt idx="20">
                  <c:v>0.74186136465752583</c:v>
                </c:pt>
                <c:pt idx="21">
                  <c:v>0.76511866697083575</c:v>
                </c:pt>
                <c:pt idx="22">
                  <c:v>0.74564304570597795</c:v>
                </c:pt>
                <c:pt idx="23">
                  <c:v>0.69103285006896065</c:v>
                </c:pt>
                <c:pt idx="24">
                  <c:v>0.68197353698618945</c:v>
                </c:pt>
                <c:pt idx="25">
                  <c:v>0.64817795648113541</c:v>
                </c:pt>
                <c:pt idx="26">
                  <c:v>0.69295837746130207</c:v>
                </c:pt>
                <c:pt idx="27">
                  <c:v>0.65898180942532814</c:v>
                </c:pt>
                <c:pt idx="28">
                  <c:v>0.67044521216922892</c:v>
                </c:pt>
                <c:pt idx="29">
                  <c:v>0.68994490938410891</c:v>
                </c:pt>
                <c:pt idx="30">
                  <c:v>0.65502936197572026</c:v>
                </c:pt>
              </c:numCache>
            </c:numRef>
          </c:val>
          <c:smooth val="0"/>
          <c:extLst>
            <c:ext xmlns:c16="http://schemas.microsoft.com/office/drawing/2014/chart" uri="{C3380CC4-5D6E-409C-BE32-E72D297353CC}">
              <c16:uniqueId val="{00000002-8AE8-4F60-B634-9642CFBDD3C5}"/>
            </c:ext>
          </c:extLst>
        </c:ser>
        <c:dLbls>
          <c:showLegendKey val="0"/>
          <c:showVal val="0"/>
          <c:showCatName val="0"/>
          <c:showSerName val="0"/>
          <c:showPercent val="0"/>
          <c:showBubbleSize val="0"/>
        </c:dLbls>
        <c:smooth val="0"/>
        <c:axId val="763072992"/>
        <c:axId val="763070040"/>
      </c:lineChart>
      <c:catAx>
        <c:axId val="76307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63070040"/>
        <c:crosses val="autoZero"/>
        <c:auto val="1"/>
        <c:lblAlgn val="ctr"/>
        <c:lblOffset val="100"/>
        <c:tickLblSkip val="5"/>
        <c:tickMarkSkip val="5"/>
        <c:noMultiLvlLbl val="0"/>
      </c:catAx>
      <c:valAx>
        <c:axId val="763070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NZ" sz="1000"/>
                  <a:t>Emissions intensity index</a:t>
                </a:r>
              </a:p>
            </c:rich>
          </c:tx>
          <c:layout>
            <c:manualLayout>
              <c:xMode val="edge"/>
              <c:yMode val="edge"/>
              <c:x val="1.7665939905659941E-2"/>
              <c:y val="0.156003959796759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6307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'Gross AR4'!$A$7</c:f>
              <c:strCache>
                <c:ptCount val="1"/>
                <c:pt idx="0">
                  <c:v>Without measures</c:v>
                </c:pt>
              </c:strCache>
            </c:strRef>
          </c:tx>
          <c:spPr>
            <a:ln w="19050" cap="rnd">
              <a:solidFill>
                <a:srgbClr val="1B556B"/>
              </a:solidFill>
              <a:round/>
            </a:ln>
            <a:effectLst/>
          </c:spPr>
          <c:marker>
            <c:symbol val="none"/>
          </c:marker>
          <c:xVal>
            <c:numRef>
              <c:f>'Gross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'Gross AR4'!$B$7:$BJ$7</c:f>
              <c:numCache>
                <c:formatCode>#,##0.00</c:formatCode>
                <c:ptCount val="61"/>
                <c:pt idx="0">
                  <c:v>65.196980632132252</c:v>
                </c:pt>
                <c:pt idx="1">
                  <c:v>66.175526745747746</c:v>
                </c:pt>
                <c:pt idx="2">
                  <c:v>67.332213634652248</c:v>
                </c:pt>
                <c:pt idx="3">
                  <c:v>67.194504520620512</c:v>
                </c:pt>
                <c:pt idx="4">
                  <c:v>68.448237088232887</c:v>
                </c:pt>
                <c:pt idx="5">
                  <c:v>69.019654281501658</c:v>
                </c:pt>
                <c:pt idx="6">
                  <c:v>71.207062986138212</c:v>
                </c:pt>
                <c:pt idx="7">
                  <c:v>74.034743313055003</c:v>
                </c:pt>
                <c:pt idx="8">
                  <c:v>71.872710549487564</c:v>
                </c:pt>
                <c:pt idx="9">
                  <c:v>73.579342181501261</c:v>
                </c:pt>
                <c:pt idx="10">
                  <c:v>75.525238083058767</c:v>
                </c:pt>
                <c:pt idx="11">
                  <c:v>78.534323886840255</c:v>
                </c:pt>
                <c:pt idx="12">
                  <c:v>78.577915770487778</c:v>
                </c:pt>
                <c:pt idx="13">
                  <c:v>80.73556638719063</c:v>
                </c:pt>
                <c:pt idx="14">
                  <c:v>80.595053505438869</c:v>
                </c:pt>
                <c:pt idx="15">
                  <c:v>82.648336914088745</c:v>
                </c:pt>
                <c:pt idx="16">
                  <c:v>82.970167701661111</c:v>
                </c:pt>
                <c:pt idx="17">
                  <c:v>80.850152720879933</c:v>
                </c:pt>
                <c:pt idx="18">
                  <c:v>80.633285939836298</c:v>
                </c:pt>
                <c:pt idx="19">
                  <c:v>78.159248943430711</c:v>
                </c:pt>
                <c:pt idx="20">
                  <c:v>78.818916690398979</c:v>
                </c:pt>
                <c:pt idx="21">
                  <c:v>78.892887499359375</c:v>
                </c:pt>
                <c:pt idx="22">
                  <c:v>81.189269901805631</c:v>
                </c:pt>
                <c:pt idx="23">
                  <c:v>80.531376649632094</c:v>
                </c:pt>
                <c:pt idx="24">
                  <c:v>81.354175607179073</c:v>
                </c:pt>
                <c:pt idx="25">
                  <c:v>81.189318417725872</c:v>
                </c:pt>
                <c:pt idx="26">
                  <c:v>79.15470222250255</c:v>
                </c:pt>
                <c:pt idx="27">
                  <c:v>80.673017688312356</c:v>
                </c:pt>
                <c:pt idx="28">
                  <c:v>80.936538338621446</c:v>
                </c:pt>
                <c:pt idx="29">
                  <c:v>82.579147289886052</c:v>
                </c:pt>
                <c:pt idx="30">
                  <c:v>79.743120671123975</c:v>
                </c:pt>
                <c:pt idx="31">
                  <c:v>80.472552955171494</c:v>
                </c:pt>
                <c:pt idx="32">
                  <c:v>81.307301525420286</c:v>
                </c:pt>
                <c:pt idx="33">
                  <c:v>81.134036320263448</c:v>
                </c:pt>
                <c:pt idx="34">
                  <c:v>80.517769116876309</c:v>
                </c:pt>
                <c:pt idx="35">
                  <c:v>77.494846909999779</c:v>
                </c:pt>
                <c:pt idx="36">
                  <c:v>77.639761208538943</c:v>
                </c:pt>
                <c:pt idx="37">
                  <c:v>77.8244217658998</c:v>
                </c:pt>
                <c:pt idx="38">
                  <c:v>77.690599119297374</c:v>
                </c:pt>
                <c:pt idx="39">
                  <c:v>77.569512034687875</c:v>
                </c:pt>
                <c:pt idx="40">
                  <c:v>77.56317583374549</c:v>
                </c:pt>
                <c:pt idx="41">
                  <c:v>77.495879425429393</c:v>
                </c:pt>
                <c:pt idx="42">
                  <c:v>77.414568796473276</c:v>
                </c:pt>
                <c:pt idx="43">
                  <c:v>77.30883825785412</c:v>
                </c:pt>
                <c:pt idx="44">
                  <c:v>76.961701652900018</c:v>
                </c:pt>
                <c:pt idx="45">
                  <c:v>76.75919434554794</c:v>
                </c:pt>
                <c:pt idx="46">
                  <c:v>76.547826099805988</c:v>
                </c:pt>
                <c:pt idx="47">
                  <c:v>76.296906848834752</c:v>
                </c:pt>
                <c:pt idx="48">
                  <c:v>75.2773175961633</c:v>
                </c:pt>
                <c:pt idx="49">
                  <c:v>74.775415603565079</c:v>
                </c:pt>
                <c:pt idx="50">
                  <c:v>74.32521841652671</c:v>
                </c:pt>
                <c:pt idx="51">
                  <c:v>73.287345785628602</c:v>
                </c:pt>
                <c:pt idx="52">
                  <c:v>72.868292750190832</c:v>
                </c:pt>
                <c:pt idx="53">
                  <c:v>72.477762024466855</c:v>
                </c:pt>
                <c:pt idx="54">
                  <c:v>72.115004163812742</c:v>
                </c:pt>
                <c:pt idx="55">
                  <c:v>71.749410810121844</c:v>
                </c:pt>
                <c:pt idx="56">
                  <c:v>71.409318287975594</c:v>
                </c:pt>
                <c:pt idx="57">
                  <c:v>71.07246184537648</c:v>
                </c:pt>
                <c:pt idx="58">
                  <c:v>70.770863514305788</c:v>
                </c:pt>
                <c:pt idx="59">
                  <c:v>70.485994381723572</c:v>
                </c:pt>
                <c:pt idx="60">
                  <c:v>70.221636405105599</c:v>
                </c:pt>
              </c:numCache>
            </c:numRef>
          </c:yVal>
          <c:smooth val="0"/>
          <c:extLst>
            <c:ext xmlns:c16="http://schemas.microsoft.com/office/drawing/2014/chart" uri="{C3380CC4-5D6E-409C-BE32-E72D297353CC}">
              <c16:uniqueId val="{00000000-42EB-4AE0-A89A-CA6AE42245BC}"/>
            </c:ext>
          </c:extLst>
        </c:ser>
        <c:ser>
          <c:idx val="0"/>
          <c:order val="1"/>
          <c:tx>
            <c:strRef>
              <c:f>'Gross AR4'!$A$8</c:f>
              <c:strCache>
                <c:ptCount val="1"/>
                <c:pt idx="0">
                  <c:v>With additional measures</c:v>
                </c:pt>
              </c:strCache>
            </c:strRef>
          </c:tx>
          <c:spPr>
            <a:ln w="19050" cap="rnd">
              <a:solidFill>
                <a:srgbClr val="2C9986"/>
              </a:solidFill>
              <a:round/>
            </a:ln>
            <a:effectLst/>
          </c:spPr>
          <c:marker>
            <c:symbol val="none"/>
          </c:marker>
          <c:xVal>
            <c:numRef>
              <c:f>'Gross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'Gross AR4'!$B$8:$BJ$8</c:f>
              <c:numCache>
                <c:formatCode>#,##0.00</c:formatCode>
                <c:ptCount val="61"/>
                <c:pt idx="0">
                  <c:v>65.196980632132252</c:v>
                </c:pt>
                <c:pt idx="1">
                  <c:v>66.175526745747746</c:v>
                </c:pt>
                <c:pt idx="2">
                  <c:v>67.332213634652234</c:v>
                </c:pt>
                <c:pt idx="3">
                  <c:v>67.194373640502576</c:v>
                </c:pt>
                <c:pt idx="4">
                  <c:v>68.44350054823289</c:v>
                </c:pt>
                <c:pt idx="5">
                  <c:v>69.012906601501641</c:v>
                </c:pt>
                <c:pt idx="6">
                  <c:v>71.191485529658223</c:v>
                </c:pt>
                <c:pt idx="7">
                  <c:v>74.027477663775002</c:v>
                </c:pt>
                <c:pt idx="8">
                  <c:v>71.82235270420756</c:v>
                </c:pt>
                <c:pt idx="9">
                  <c:v>73.57626154672127</c:v>
                </c:pt>
                <c:pt idx="10">
                  <c:v>75.515169463408213</c:v>
                </c:pt>
                <c:pt idx="11">
                  <c:v>78.503950252401012</c:v>
                </c:pt>
                <c:pt idx="12">
                  <c:v>78.594908342187779</c:v>
                </c:pt>
                <c:pt idx="13">
                  <c:v>80.784302388845958</c:v>
                </c:pt>
                <c:pt idx="14">
                  <c:v>80.621383253642989</c:v>
                </c:pt>
                <c:pt idx="15">
                  <c:v>82.666103200204731</c:v>
                </c:pt>
                <c:pt idx="16">
                  <c:v>82.832552483725507</c:v>
                </c:pt>
                <c:pt idx="17">
                  <c:v>80.727516459514447</c:v>
                </c:pt>
                <c:pt idx="18">
                  <c:v>80.494161276869647</c:v>
                </c:pt>
                <c:pt idx="19">
                  <c:v>77.834612358179925</c:v>
                </c:pt>
                <c:pt idx="20">
                  <c:v>78.426316798794474</c:v>
                </c:pt>
                <c:pt idx="21">
                  <c:v>78.290279417759223</c:v>
                </c:pt>
                <c:pt idx="22">
                  <c:v>80.482571502797228</c:v>
                </c:pt>
                <c:pt idx="23">
                  <c:v>79.805655004050394</c:v>
                </c:pt>
                <c:pt idx="24">
                  <c:v>80.618397511993138</c:v>
                </c:pt>
                <c:pt idx="25">
                  <c:v>80.450064636363308</c:v>
                </c:pt>
                <c:pt idx="26">
                  <c:v>78.391484292245536</c:v>
                </c:pt>
                <c:pt idx="27">
                  <c:v>79.889594185331646</c:v>
                </c:pt>
                <c:pt idx="28">
                  <c:v>80.079581658174376</c:v>
                </c:pt>
                <c:pt idx="29">
                  <c:v>81.617058352045447</c:v>
                </c:pt>
                <c:pt idx="30">
                  <c:v>78.778366024479396</c:v>
                </c:pt>
                <c:pt idx="31">
                  <c:v>79.406869512165244</c:v>
                </c:pt>
                <c:pt idx="32">
                  <c:v>78.095277990186773</c:v>
                </c:pt>
                <c:pt idx="33">
                  <c:v>77.539572357331181</c:v>
                </c:pt>
                <c:pt idx="34">
                  <c:v>76.645678763122291</c:v>
                </c:pt>
                <c:pt idx="35">
                  <c:v>73.17131932783947</c:v>
                </c:pt>
                <c:pt idx="36">
                  <c:v>72.395622991412708</c:v>
                </c:pt>
                <c:pt idx="37">
                  <c:v>71.526274901555666</c:v>
                </c:pt>
                <c:pt idx="38">
                  <c:v>70.529636067722876</c:v>
                </c:pt>
                <c:pt idx="39">
                  <c:v>69.643652380986865</c:v>
                </c:pt>
                <c:pt idx="40">
                  <c:v>68.955991000722989</c:v>
                </c:pt>
                <c:pt idx="41">
                  <c:v>68.296862654412138</c:v>
                </c:pt>
                <c:pt idx="42">
                  <c:v>67.675303191696997</c:v>
                </c:pt>
                <c:pt idx="43">
                  <c:v>67.044891389961194</c:v>
                </c:pt>
                <c:pt idx="44">
                  <c:v>66.209345909072084</c:v>
                </c:pt>
                <c:pt idx="45">
                  <c:v>65.490024426188597</c:v>
                </c:pt>
                <c:pt idx="46">
                  <c:v>64.776686717014385</c:v>
                </c:pt>
                <c:pt idx="47">
                  <c:v>64.116609455384435</c:v>
                </c:pt>
                <c:pt idx="48">
                  <c:v>62.648732835104106</c:v>
                </c:pt>
                <c:pt idx="49">
                  <c:v>61.920892545410211</c:v>
                </c:pt>
                <c:pt idx="50">
                  <c:v>61.245658988241182</c:v>
                </c:pt>
                <c:pt idx="51">
                  <c:v>60.011951507265422</c:v>
                </c:pt>
                <c:pt idx="52">
                  <c:v>59.387761549362061</c:v>
                </c:pt>
                <c:pt idx="53">
                  <c:v>58.729571062329086</c:v>
                </c:pt>
                <c:pt idx="54">
                  <c:v>58.246135407020617</c:v>
                </c:pt>
                <c:pt idx="55">
                  <c:v>57.524968131741403</c:v>
                </c:pt>
                <c:pt idx="56">
                  <c:v>57.131452776065622</c:v>
                </c:pt>
                <c:pt idx="57">
                  <c:v>56.588279621595625</c:v>
                </c:pt>
                <c:pt idx="58">
                  <c:v>56.089325095747824</c:v>
                </c:pt>
                <c:pt idx="59">
                  <c:v>55.663703827555771</c:v>
                </c:pt>
                <c:pt idx="60">
                  <c:v>55.219937916314407</c:v>
                </c:pt>
              </c:numCache>
            </c:numRef>
          </c:yVal>
          <c:smooth val="0"/>
          <c:extLst>
            <c:ext xmlns:c16="http://schemas.microsoft.com/office/drawing/2014/chart" uri="{C3380CC4-5D6E-409C-BE32-E72D297353CC}">
              <c16:uniqueId val="{00000001-42EB-4AE0-A89A-CA6AE42245BC}"/>
            </c:ext>
          </c:extLst>
        </c:ser>
        <c:ser>
          <c:idx val="1"/>
          <c:order val="2"/>
          <c:tx>
            <c:strRef>
              <c:f>'Gross AR4'!$A$6</c:f>
              <c:strCache>
                <c:ptCount val="1"/>
                <c:pt idx="0">
                  <c:v>With existing measures </c:v>
                </c:pt>
              </c:strCache>
            </c:strRef>
          </c:tx>
          <c:spPr>
            <a:ln w="19050" cap="rnd">
              <a:solidFill>
                <a:srgbClr val="A0A0A0"/>
              </a:solidFill>
              <a:round/>
            </a:ln>
            <a:effectLst/>
          </c:spPr>
          <c:marker>
            <c:symbol val="none"/>
          </c:marker>
          <c:xVal>
            <c:numRef>
              <c:f>'Gross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'Gross AR4'!$B$6:$BJ$6</c:f>
              <c:numCache>
                <c:formatCode>#,##0.00</c:formatCode>
                <c:ptCount val="61"/>
                <c:pt idx="0">
                  <c:v>65.196980632132252</c:v>
                </c:pt>
                <c:pt idx="1">
                  <c:v>66.175526745747746</c:v>
                </c:pt>
                <c:pt idx="2">
                  <c:v>67.332213634652234</c:v>
                </c:pt>
                <c:pt idx="3">
                  <c:v>67.194373640502576</c:v>
                </c:pt>
                <c:pt idx="4">
                  <c:v>68.44350054823289</c:v>
                </c:pt>
                <c:pt idx="5">
                  <c:v>69.012906601501641</c:v>
                </c:pt>
                <c:pt idx="6">
                  <c:v>71.191485529658223</c:v>
                </c:pt>
                <c:pt idx="7">
                  <c:v>74.027477663775002</c:v>
                </c:pt>
                <c:pt idx="8">
                  <c:v>71.82235270420756</c:v>
                </c:pt>
                <c:pt idx="9">
                  <c:v>73.57626154672127</c:v>
                </c:pt>
                <c:pt idx="10">
                  <c:v>75.515169463408213</c:v>
                </c:pt>
                <c:pt idx="11">
                  <c:v>78.503950252401012</c:v>
                </c:pt>
                <c:pt idx="12">
                  <c:v>78.594908342187779</c:v>
                </c:pt>
                <c:pt idx="13">
                  <c:v>80.784302388845958</c:v>
                </c:pt>
                <c:pt idx="14">
                  <c:v>80.621383253642989</c:v>
                </c:pt>
                <c:pt idx="15">
                  <c:v>82.666103200204731</c:v>
                </c:pt>
                <c:pt idx="16">
                  <c:v>82.832552483725507</c:v>
                </c:pt>
                <c:pt idx="17">
                  <c:v>80.727516459514447</c:v>
                </c:pt>
                <c:pt idx="18">
                  <c:v>80.494161276869647</c:v>
                </c:pt>
                <c:pt idx="19">
                  <c:v>77.834612358179925</c:v>
                </c:pt>
                <c:pt idx="20">
                  <c:v>78.426316798794474</c:v>
                </c:pt>
                <c:pt idx="21">
                  <c:v>78.290279417759223</c:v>
                </c:pt>
                <c:pt idx="22">
                  <c:v>80.482571502797228</c:v>
                </c:pt>
                <c:pt idx="23">
                  <c:v>79.805655004050394</c:v>
                </c:pt>
                <c:pt idx="24">
                  <c:v>80.618397511993138</c:v>
                </c:pt>
                <c:pt idx="25">
                  <c:v>80.450064636363308</c:v>
                </c:pt>
                <c:pt idx="26">
                  <c:v>78.391484292245536</c:v>
                </c:pt>
                <c:pt idx="27">
                  <c:v>79.889594185331646</c:v>
                </c:pt>
                <c:pt idx="28">
                  <c:v>80.079581658174376</c:v>
                </c:pt>
                <c:pt idx="29">
                  <c:v>81.617058352045447</c:v>
                </c:pt>
                <c:pt idx="30">
                  <c:v>78.778366024479396</c:v>
                </c:pt>
                <c:pt idx="31">
                  <c:v>79.407607312189469</c:v>
                </c:pt>
                <c:pt idx="32">
                  <c:v>78.147200827571922</c:v>
                </c:pt>
                <c:pt idx="33">
                  <c:v>77.604765752792275</c:v>
                </c:pt>
                <c:pt idx="34">
                  <c:v>76.741793598930172</c:v>
                </c:pt>
                <c:pt idx="35">
                  <c:v>73.294715388460048</c:v>
                </c:pt>
                <c:pt idx="36">
                  <c:v>72.697837895032166</c:v>
                </c:pt>
                <c:pt idx="37">
                  <c:v>72.164042505665037</c:v>
                </c:pt>
                <c:pt idx="38">
                  <c:v>71.644083188151697</c:v>
                </c:pt>
                <c:pt idx="39">
                  <c:v>70.760874395154289</c:v>
                </c:pt>
                <c:pt idx="40">
                  <c:v>70.043908914136068</c:v>
                </c:pt>
                <c:pt idx="41">
                  <c:v>69.410063822389702</c:v>
                </c:pt>
                <c:pt idx="42">
                  <c:v>68.804575164849055</c:v>
                </c:pt>
                <c:pt idx="43">
                  <c:v>68.185174198009904</c:v>
                </c:pt>
                <c:pt idx="44">
                  <c:v>67.376187280701942</c:v>
                </c:pt>
                <c:pt idx="45">
                  <c:v>66.68051740339321</c:v>
                </c:pt>
                <c:pt idx="46">
                  <c:v>65.961608966731234</c:v>
                </c:pt>
                <c:pt idx="47">
                  <c:v>65.315167143552287</c:v>
                </c:pt>
                <c:pt idx="48">
                  <c:v>63.87407964483166</c:v>
                </c:pt>
                <c:pt idx="49">
                  <c:v>63.171533797197185</c:v>
                </c:pt>
                <c:pt idx="50">
                  <c:v>62.518858086007533</c:v>
                </c:pt>
                <c:pt idx="51">
                  <c:v>61.320875030852463</c:v>
                </c:pt>
                <c:pt idx="52">
                  <c:v>60.753080258578777</c:v>
                </c:pt>
                <c:pt idx="53">
                  <c:v>60.129115491104265</c:v>
                </c:pt>
                <c:pt idx="54">
                  <c:v>59.678373767449536</c:v>
                </c:pt>
                <c:pt idx="55">
                  <c:v>58.988436120874894</c:v>
                </c:pt>
                <c:pt idx="56">
                  <c:v>58.540318938408475</c:v>
                </c:pt>
                <c:pt idx="57">
                  <c:v>57.902006475839428</c:v>
                </c:pt>
                <c:pt idx="58">
                  <c:v>57.314325909343289</c:v>
                </c:pt>
                <c:pt idx="59">
                  <c:v>56.882848864702289</c:v>
                </c:pt>
                <c:pt idx="60">
                  <c:v>56.417403435667772</c:v>
                </c:pt>
              </c:numCache>
            </c:numRef>
          </c:yVal>
          <c:smooth val="0"/>
          <c:extLst>
            <c:ext xmlns:c16="http://schemas.microsoft.com/office/drawing/2014/chart" uri="{C3380CC4-5D6E-409C-BE32-E72D297353CC}">
              <c16:uniqueId val="{00000002-42EB-4AE0-A89A-CA6AE42245BC}"/>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1.5269118208423464E-2"/>
              <c:y val="0.228116220337206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'[Graphs - Gases Net UNFCCC (October 2022).xlsx]Total Net UNFCCC'!$A$7</c:f>
              <c:strCache>
                <c:ptCount val="1"/>
                <c:pt idx="0">
                  <c:v>Without measures</c:v>
                </c:pt>
              </c:strCache>
            </c:strRef>
          </c:tx>
          <c:spPr>
            <a:ln w="19050" cap="rnd">
              <a:solidFill>
                <a:srgbClr val="1B556B"/>
              </a:solidFill>
              <a:round/>
            </a:ln>
            <a:effectLst/>
          </c:spPr>
          <c:marker>
            <c:symbol val="none"/>
          </c:marker>
          <c:xVal>
            <c:numRef>
              <c:f>'[Graphs - Gases Net UNFCCC (October 2022).xlsx]Total Net UNFCCC'!$B$5:$BJ$5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2022).xlsx]Total Net UNFCCC'!$B$7:$BJ$7</c:f>
              <c:numCache>
                <c:formatCode>#,##0.00</c:formatCode>
                <c:ptCount val="61"/>
                <c:pt idx="0">
                  <c:v>43.967762165881005</c:v>
                </c:pt>
                <c:pt idx="1">
                  <c:v>42.898900649017477</c:v>
                </c:pt>
                <c:pt idx="2">
                  <c:v>44.287757340485662</c:v>
                </c:pt>
                <c:pt idx="3">
                  <c:v>43.332126495255444</c:v>
                </c:pt>
                <c:pt idx="4">
                  <c:v>44.779478199767773</c:v>
                </c:pt>
                <c:pt idx="5">
                  <c:v>46.544836951423044</c:v>
                </c:pt>
                <c:pt idx="6">
                  <c:v>49.1725892856849</c:v>
                </c:pt>
                <c:pt idx="7">
                  <c:v>51.38798795519115</c:v>
                </c:pt>
                <c:pt idx="8">
                  <c:v>48.637422234800667</c:v>
                </c:pt>
                <c:pt idx="9">
                  <c:v>47.676362807270031</c:v>
                </c:pt>
                <c:pt idx="10">
                  <c:v>48.876727940054685</c:v>
                </c:pt>
                <c:pt idx="11">
                  <c:v>51.486008045791202</c:v>
                </c:pt>
                <c:pt idx="12">
                  <c:v>53.082288851345936</c:v>
                </c:pt>
                <c:pt idx="13">
                  <c:v>54.239643640900347</c:v>
                </c:pt>
                <c:pt idx="14">
                  <c:v>52.594260925860084</c:v>
                </c:pt>
                <c:pt idx="15">
                  <c:v>51.80878487598239</c:v>
                </c:pt>
                <c:pt idx="16">
                  <c:v>53.737034573306609</c:v>
                </c:pt>
                <c:pt idx="17">
                  <c:v>50.277012683153359</c:v>
                </c:pt>
                <c:pt idx="18">
                  <c:v>52.392838774688855</c:v>
                </c:pt>
                <c:pt idx="19">
                  <c:v>51.031056882770002</c:v>
                </c:pt>
                <c:pt idx="20">
                  <c:v>50.612771051923033</c:v>
                </c:pt>
                <c:pt idx="21">
                  <c:v>50.414919130552505</c:v>
                </c:pt>
                <c:pt idx="22">
                  <c:v>55.579089181331859</c:v>
                </c:pt>
                <c:pt idx="23">
                  <c:v>55.618602202945297</c:v>
                </c:pt>
                <c:pt idx="24">
                  <c:v>56.255432814203502</c:v>
                </c:pt>
                <c:pt idx="25">
                  <c:v>56.388411477088425</c:v>
                </c:pt>
                <c:pt idx="26">
                  <c:v>56.630944572128676</c:v>
                </c:pt>
                <c:pt idx="27">
                  <c:v>61.652058123006022</c:v>
                </c:pt>
                <c:pt idx="28">
                  <c:v>62.198000041466933</c:v>
                </c:pt>
                <c:pt idx="29">
                  <c:v>64.719760962942303</c:v>
                </c:pt>
                <c:pt idx="30">
                  <c:v>62.699653291263665</c:v>
                </c:pt>
                <c:pt idx="31">
                  <c:v>67.410410216157842</c:v>
                </c:pt>
                <c:pt idx="32">
                  <c:v>70.773046320437956</c:v>
                </c:pt>
                <c:pt idx="33">
                  <c:v>73.754416657498837</c:v>
                </c:pt>
                <c:pt idx="34">
                  <c:v>75.934167343533062</c:v>
                </c:pt>
                <c:pt idx="35">
                  <c:v>75.123976003676432</c:v>
                </c:pt>
                <c:pt idx="36">
                  <c:v>77.171464593785402</c:v>
                </c:pt>
                <c:pt idx="37">
                  <c:v>78.282729006607752</c:v>
                </c:pt>
                <c:pt idx="38">
                  <c:v>79.019020500864173</c:v>
                </c:pt>
                <c:pt idx="39">
                  <c:v>79.339189522595831</c:v>
                </c:pt>
                <c:pt idx="40">
                  <c:v>79.045377124396111</c:v>
                </c:pt>
                <c:pt idx="41">
                  <c:v>78.238024834990796</c:v>
                </c:pt>
                <c:pt idx="42">
                  <c:v>77.204762199138941</c:v>
                </c:pt>
                <c:pt idx="43">
                  <c:v>75.888081961479685</c:v>
                </c:pt>
                <c:pt idx="44">
                  <c:v>73.774667787320666</c:v>
                </c:pt>
                <c:pt idx="45">
                  <c:v>71.898600020174101</c:v>
                </c:pt>
                <c:pt idx="46">
                  <c:v>69.775909241421374</c:v>
                </c:pt>
                <c:pt idx="47">
                  <c:v>67.16524941580667</c:v>
                </c:pt>
                <c:pt idx="48">
                  <c:v>64.992965737110751</c:v>
                </c:pt>
                <c:pt idx="49">
                  <c:v>63.175730314034013</c:v>
                </c:pt>
                <c:pt idx="50">
                  <c:v>61.438780586546443</c:v>
                </c:pt>
                <c:pt idx="51">
                  <c:v>61.822685597667679</c:v>
                </c:pt>
                <c:pt idx="52">
                  <c:v>61.874746102611951</c:v>
                </c:pt>
                <c:pt idx="53">
                  <c:v>62.358315756160614</c:v>
                </c:pt>
                <c:pt idx="54">
                  <c:v>62.227874519726939</c:v>
                </c:pt>
                <c:pt idx="55">
                  <c:v>64.03118958261841</c:v>
                </c:pt>
                <c:pt idx="56">
                  <c:v>62.84524324142631</c:v>
                </c:pt>
                <c:pt idx="57">
                  <c:v>55.400155676717247</c:v>
                </c:pt>
                <c:pt idx="58">
                  <c:v>53.198342196565775</c:v>
                </c:pt>
                <c:pt idx="59">
                  <c:v>55.411900197477692</c:v>
                </c:pt>
                <c:pt idx="60">
                  <c:v>54.130773859430363</c:v>
                </c:pt>
              </c:numCache>
            </c:numRef>
          </c:yVal>
          <c:smooth val="0"/>
          <c:extLst>
            <c:ext xmlns:c16="http://schemas.microsoft.com/office/drawing/2014/chart" uri="{C3380CC4-5D6E-409C-BE32-E72D297353CC}">
              <c16:uniqueId val="{00000000-3AE8-4A9B-809C-8F059A5346B4}"/>
            </c:ext>
          </c:extLst>
        </c:ser>
        <c:ser>
          <c:idx val="0"/>
          <c:order val="1"/>
          <c:tx>
            <c:strRef>
              <c:f>'[Graphs - Gases Net UNFCCC (October 2022).xlsx]Total Net UNFCCC'!$A$8</c:f>
              <c:strCache>
                <c:ptCount val="1"/>
                <c:pt idx="0">
                  <c:v>With additional measures</c:v>
                </c:pt>
              </c:strCache>
            </c:strRef>
          </c:tx>
          <c:spPr>
            <a:ln w="19050" cap="rnd">
              <a:solidFill>
                <a:srgbClr val="2C9986"/>
              </a:solidFill>
              <a:round/>
            </a:ln>
            <a:effectLst/>
          </c:spPr>
          <c:marker>
            <c:symbol val="none"/>
          </c:marker>
          <c:xVal>
            <c:numRef>
              <c:f>'[Graphs - Gases Net UNFCCC (October 2022).xlsx]Total Net UNFCCC'!$B$5:$BJ$5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2022).xlsx]Total Net UNFCCC'!$B$8:$BJ$8</c:f>
              <c:numCache>
                <c:formatCode>#,##0.00</c:formatCode>
                <c:ptCount val="61"/>
                <c:pt idx="0">
                  <c:v>43.967762165881005</c:v>
                </c:pt>
                <c:pt idx="1">
                  <c:v>42.898900649017484</c:v>
                </c:pt>
                <c:pt idx="2">
                  <c:v>44.287757340485669</c:v>
                </c:pt>
                <c:pt idx="3">
                  <c:v>43.352840929642923</c:v>
                </c:pt>
                <c:pt idx="4">
                  <c:v>44.809621814223462</c:v>
                </c:pt>
                <c:pt idx="5">
                  <c:v>46.567008408746403</c:v>
                </c:pt>
                <c:pt idx="6">
                  <c:v>49.206985642807034</c:v>
                </c:pt>
                <c:pt idx="7">
                  <c:v>51.403839690296877</c:v>
                </c:pt>
                <c:pt idx="8">
                  <c:v>48.563139990163307</c:v>
                </c:pt>
                <c:pt idx="9">
                  <c:v>47.55661229903351</c:v>
                </c:pt>
                <c:pt idx="10">
                  <c:v>48.580272199498708</c:v>
                </c:pt>
                <c:pt idx="11">
                  <c:v>51.024830538684228</c:v>
                </c:pt>
                <c:pt idx="12">
                  <c:v>52.525441642000459</c:v>
                </c:pt>
                <c:pt idx="13">
                  <c:v>53.526599434093654</c:v>
                </c:pt>
                <c:pt idx="14">
                  <c:v>53.421622605878468</c:v>
                </c:pt>
                <c:pt idx="15">
                  <c:v>57.241565993175804</c:v>
                </c:pt>
                <c:pt idx="16">
                  <c:v>59.469575805393333</c:v>
                </c:pt>
                <c:pt idx="17">
                  <c:v>58.65037042343814</c:v>
                </c:pt>
                <c:pt idx="18">
                  <c:v>51.071197173936454</c:v>
                </c:pt>
                <c:pt idx="19">
                  <c:v>49.56810762593669</c:v>
                </c:pt>
                <c:pt idx="20">
                  <c:v>49.100047330927531</c:v>
                </c:pt>
                <c:pt idx="21">
                  <c:v>48.660080786635746</c:v>
                </c:pt>
                <c:pt idx="22">
                  <c:v>53.7574344095922</c:v>
                </c:pt>
                <c:pt idx="23">
                  <c:v>53.510394074947634</c:v>
                </c:pt>
                <c:pt idx="24">
                  <c:v>53.969029421608219</c:v>
                </c:pt>
                <c:pt idx="25">
                  <c:v>53.839901569130859</c:v>
                </c:pt>
                <c:pt idx="26">
                  <c:v>52.15351463232836</c:v>
                </c:pt>
                <c:pt idx="27">
                  <c:v>55.185792043379372</c:v>
                </c:pt>
                <c:pt idx="28">
                  <c:v>55.77727599971459</c:v>
                </c:pt>
                <c:pt idx="29">
                  <c:v>58.582141508703131</c:v>
                </c:pt>
                <c:pt idx="30">
                  <c:v>55.465111214132108</c:v>
                </c:pt>
                <c:pt idx="31">
                  <c:v>59.733585119970172</c:v>
                </c:pt>
                <c:pt idx="32">
                  <c:v>61.17359496922284</c:v>
                </c:pt>
                <c:pt idx="33">
                  <c:v>63.506829217663366</c:v>
                </c:pt>
                <c:pt idx="34">
                  <c:v>65.715119624512468</c:v>
                </c:pt>
                <c:pt idx="35">
                  <c:v>63.533579246899649</c:v>
                </c:pt>
                <c:pt idx="36">
                  <c:v>63.32248629511151</c:v>
                </c:pt>
                <c:pt idx="37">
                  <c:v>62.394862143900895</c:v>
                </c:pt>
                <c:pt idx="38">
                  <c:v>60.638315316509988</c:v>
                </c:pt>
                <c:pt idx="39">
                  <c:v>58.18731637918323</c:v>
                </c:pt>
                <c:pt idx="40">
                  <c:v>55.528348301993908</c:v>
                </c:pt>
                <c:pt idx="41">
                  <c:v>52.050982827007005</c:v>
                </c:pt>
                <c:pt idx="42">
                  <c:v>48.73269793842173</c:v>
                </c:pt>
                <c:pt idx="43">
                  <c:v>45.182277492003564</c:v>
                </c:pt>
                <c:pt idx="44">
                  <c:v>41.182354174558853</c:v>
                </c:pt>
                <c:pt idx="45">
                  <c:v>37.456997052032428</c:v>
                </c:pt>
                <c:pt idx="46">
                  <c:v>33.930926855553999</c:v>
                </c:pt>
                <c:pt idx="47">
                  <c:v>30.554815033002132</c:v>
                </c:pt>
                <c:pt idx="48">
                  <c:v>27.579785546901739</c:v>
                </c:pt>
                <c:pt idx="49">
                  <c:v>24.905554691912965</c:v>
                </c:pt>
                <c:pt idx="50">
                  <c:v>22.529646787461669</c:v>
                </c:pt>
                <c:pt idx="51">
                  <c:v>21.080999986073301</c:v>
                </c:pt>
                <c:pt idx="52">
                  <c:v>19.378977561296953</c:v>
                </c:pt>
                <c:pt idx="53">
                  <c:v>17.980290532275937</c:v>
                </c:pt>
                <c:pt idx="54">
                  <c:v>15.613816680088856</c:v>
                </c:pt>
                <c:pt idx="55">
                  <c:v>14.618683121240821</c:v>
                </c:pt>
                <c:pt idx="56">
                  <c:v>12.259913436690711</c:v>
                </c:pt>
                <c:pt idx="57">
                  <c:v>11.354568541789702</c:v>
                </c:pt>
                <c:pt idx="58">
                  <c:v>7.9622736351963876</c:v>
                </c:pt>
                <c:pt idx="59">
                  <c:v>9.290519383258248</c:v>
                </c:pt>
                <c:pt idx="60">
                  <c:v>10.720131476368664</c:v>
                </c:pt>
              </c:numCache>
            </c:numRef>
          </c:yVal>
          <c:smooth val="0"/>
          <c:extLst>
            <c:ext xmlns:c16="http://schemas.microsoft.com/office/drawing/2014/chart" uri="{C3380CC4-5D6E-409C-BE32-E72D297353CC}">
              <c16:uniqueId val="{00000001-3AE8-4A9B-809C-8F059A5346B4}"/>
            </c:ext>
          </c:extLst>
        </c:ser>
        <c:ser>
          <c:idx val="1"/>
          <c:order val="2"/>
          <c:tx>
            <c:strRef>
              <c:f>'[Graphs - Gases Net UNFCCC (October 2022).xlsx]Total Net UNFCCC'!$A$6</c:f>
              <c:strCache>
                <c:ptCount val="1"/>
                <c:pt idx="0">
                  <c:v>With existing measures </c:v>
                </c:pt>
              </c:strCache>
            </c:strRef>
          </c:tx>
          <c:spPr>
            <a:ln w="19050" cap="rnd">
              <a:solidFill>
                <a:srgbClr val="A0A0A0"/>
              </a:solidFill>
              <a:round/>
            </a:ln>
            <a:effectLst/>
          </c:spPr>
          <c:marker>
            <c:symbol val="none"/>
          </c:marker>
          <c:xVal>
            <c:numRef>
              <c:f>'[Graphs - Gases Net UNFCCC (October 2022).xlsx]Total Net UNFCCC'!$B$5:$BJ$5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2022).xlsx]Total Net UNFCCC'!$B$6:$BJ$6</c:f>
              <c:numCache>
                <c:formatCode>#,##0.00</c:formatCode>
                <c:ptCount val="61"/>
                <c:pt idx="0">
                  <c:v>43.967762165881005</c:v>
                </c:pt>
                <c:pt idx="1">
                  <c:v>42.898900649017484</c:v>
                </c:pt>
                <c:pt idx="2">
                  <c:v>44.287757340485669</c:v>
                </c:pt>
                <c:pt idx="3">
                  <c:v>43.352840929642923</c:v>
                </c:pt>
                <c:pt idx="4">
                  <c:v>44.809621814223462</c:v>
                </c:pt>
                <c:pt idx="5">
                  <c:v>46.567008408746403</c:v>
                </c:pt>
                <c:pt idx="6">
                  <c:v>49.206985642807034</c:v>
                </c:pt>
                <c:pt idx="7">
                  <c:v>51.403839690296877</c:v>
                </c:pt>
                <c:pt idx="8">
                  <c:v>48.563139990163307</c:v>
                </c:pt>
                <c:pt idx="9">
                  <c:v>47.55661229903351</c:v>
                </c:pt>
                <c:pt idx="10">
                  <c:v>48.580272199498708</c:v>
                </c:pt>
                <c:pt idx="11">
                  <c:v>51.024830538684228</c:v>
                </c:pt>
                <c:pt idx="12">
                  <c:v>52.525441642000459</c:v>
                </c:pt>
                <c:pt idx="13">
                  <c:v>53.526599434093654</c:v>
                </c:pt>
                <c:pt idx="14">
                  <c:v>53.421622605878468</c:v>
                </c:pt>
                <c:pt idx="15">
                  <c:v>57.241565993175804</c:v>
                </c:pt>
                <c:pt idx="16">
                  <c:v>59.469575805393333</c:v>
                </c:pt>
                <c:pt idx="17">
                  <c:v>58.65037042343814</c:v>
                </c:pt>
                <c:pt idx="18">
                  <c:v>51.071197173936454</c:v>
                </c:pt>
                <c:pt idx="19">
                  <c:v>49.56810762593669</c:v>
                </c:pt>
                <c:pt idx="20">
                  <c:v>49.100047330927531</c:v>
                </c:pt>
                <c:pt idx="21">
                  <c:v>48.660080786635746</c:v>
                </c:pt>
                <c:pt idx="22">
                  <c:v>53.7574344095922</c:v>
                </c:pt>
                <c:pt idx="23">
                  <c:v>53.510394074947634</c:v>
                </c:pt>
                <c:pt idx="24">
                  <c:v>53.969029421608219</c:v>
                </c:pt>
                <c:pt idx="25">
                  <c:v>53.839901569130859</c:v>
                </c:pt>
                <c:pt idx="26">
                  <c:v>52.15351463232836</c:v>
                </c:pt>
                <c:pt idx="27">
                  <c:v>55.185792043379372</c:v>
                </c:pt>
                <c:pt idx="28">
                  <c:v>55.77727599971459</c:v>
                </c:pt>
                <c:pt idx="29">
                  <c:v>58.582141508703131</c:v>
                </c:pt>
                <c:pt idx="30">
                  <c:v>55.465111214132108</c:v>
                </c:pt>
                <c:pt idx="31">
                  <c:v>59.734322919994419</c:v>
                </c:pt>
                <c:pt idx="32">
                  <c:v>61.225517806608003</c:v>
                </c:pt>
                <c:pt idx="33">
                  <c:v>63.552311240529612</c:v>
                </c:pt>
                <c:pt idx="34">
                  <c:v>65.791890819240351</c:v>
                </c:pt>
                <c:pt idx="35">
                  <c:v>63.761748220573345</c:v>
                </c:pt>
                <c:pt idx="36">
                  <c:v>63.981849719622552</c:v>
                </c:pt>
                <c:pt idx="37">
                  <c:v>63.59236012727456</c:v>
                </c:pt>
                <c:pt idx="38">
                  <c:v>62.543625772920123</c:v>
                </c:pt>
                <c:pt idx="39">
                  <c:v>60.388530325106281</c:v>
                </c:pt>
                <c:pt idx="40">
                  <c:v>58.030196922707063</c:v>
                </c:pt>
                <c:pt idx="41">
                  <c:v>54.959021531645497</c:v>
                </c:pt>
                <c:pt idx="42">
                  <c:v>51.900513538791571</c:v>
                </c:pt>
                <c:pt idx="43">
                  <c:v>48.505178819735825</c:v>
                </c:pt>
                <c:pt idx="44">
                  <c:v>44.769568967626491</c:v>
                </c:pt>
                <c:pt idx="45">
                  <c:v>41.204354569097134</c:v>
                </c:pt>
                <c:pt idx="46">
                  <c:v>37.605087126919642</c:v>
                </c:pt>
                <c:pt idx="47">
                  <c:v>34.109991576507191</c:v>
                </c:pt>
                <c:pt idx="48">
                  <c:v>30.812531466355978</c:v>
                </c:pt>
                <c:pt idx="49">
                  <c:v>28.905455565016471</c:v>
                </c:pt>
                <c:pt idx="50">
                  <c:v>26.794558243686662</c:v>
                </c:pt>
                <c:pt idx="51">
                  <c:v>25.542655781436292</c:v>
                </c:pt>
                <c:pt idx="52">
                  <c:v>24.131876195019945</c:v>
                </c:pt>
                <c:pt idx="53">
                  <c:v>23.01473280800387</c:v>
                </c:pt>
                <c:pt idx="54">
                  <c:v>20.974526168405323</c:v>
                </c:pt>
                <c:pt idx="55">
                  <c:v>20.341888111038983</c:v>
                </c:pt>
                <c:pt idx="56">
                  <c:v>18.29305474502565</c:v>
                </c:pt>
                <c:pt idx="57">
                  <c:v>17.501415094786662</c:v>
                </c:pt>
                <c:pt idx="58">
                  <c:v>14.111310241950369</c:v>
                </c:pt>
                <c:pt idx="59">
                  <c:v>15.602182689487465</c:v>
                </c:pt>
                <c:pt idx="60">
                  <c:v>16.928606763347915</c:v>
                </c:pt>
              </c:numCache>
            </c:numRef>
          </c:yVal>
          <c:smooth val="0"/>
          <c:extLst>
            <c:ext xmlns:c16="http://schemas.microsoft.com/office/drawing/2014/chart" uri="{C3380CC4-5D6E-409C-BE32-E72D297353CC}">
              <c16:uniqueId val="{00000002-3AE8-4A9B-809C-8F059A5346B4}"/>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1.8092530369604547E-2"/>
              <c:y val="0.250501159559110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BB92DAAEE9DCBE4E9CA82CF20D181B24" ma:contentTypeVersion="8" ma:contentTypeDescription="Create a new document." ma:contentTypeScope="" ma:versionID="761962de91466342fcaf111799ec2398">
  <xsd:schema xmlns:xsd="http://www.w3.org/2001/XMLSchema" xmlns:xs="http://www.w3.org/2001/XMLSchema" xmlns:p="http://schemas.microsoft.com/office/2006/metadata/properties" xmlns:ns1="http://schemas.microsoft.com/sharepoint/v3" xmlns:ns2="26a55b3b-e789-4b92-842c-e87f719c26c1" xmlns:ns3="45ee9810-2fa9-4364-9e6a-bdc016d6d067" targetNamespace="http://schemas.microsoft.com/office/2006/metadata/properties" ma:root="true" ma:fieldsID="d9bd3d81b2ea8191d47484d77f4aa184" ns1:_="" ns2:_="" ns3:_="">
    <xsd:import namespace="http://schemas.microsoft.com/sharepoint/v3"/>
    <xsd:import namespace="26a55b3b-e789-4b92-842c-e87f719c26c1"/>
    <xsd:import namespace="45ee9810-2fa9-4364-9e6a-bdc016d6d0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a55b3b-e789-4b92-842c-e87f719c26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ee9810-2fa9-4364-9e6a-bdc016d6d0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F0CF8A7-6AEA-4017-B84E-A82C69A82DFB}">
  <ds:schemaRefs>
    <ds:schemaRef ds:uri="http://schemas.microsoft.com/sharepoint/v3/contenttype/forms"/>
  </ds:schemaRefs>
</ds:datastoreItem>
</file>

<file path=customXml/itemProps2.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3.xml><?xml version="1.0" encoding="utf-8"?>
<ds:datastoreItem xmlns:ds="http://schemas.openxmlformats.org/officeDocument/2006/customXml" ds:itemID="{A8571CEA-168A-4B20-914E-BC3C670FA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a55b3b-e789-4b92-842c-e87f719c26c1"/>
    <ds:schemaRef ds:uri="45ee9810-2fa9-4364-9e6a-bdc016d6d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AFE480-3372-4872-B37C-BC6C5DD97BAE}">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MfE report template 22 Dec 2021</Template>
  <TotalTime>142</TotalTime>
  <Pages>440</Pages>
  <Words>166008</Words>
  <Characters>946246</Characters>
  <Application>Microsoft Office Word</Application>
  <DocSecurity>0</DocSecurity>
  <Lines>7885</Lines>
  <Paragraphs>2220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WalshK</cp:lastModifiedBy>
  <cp:revision>84</cp:revision>
  <cp:lastPrinted>2022-12-12T22:21:00Z</cp:lastPrinted>
  <dcterms:created xsi:type="dcterms:W3CDTF">2022-12-12T20:09:00Z</dcterms:created>
  <dcterms:modified xsi:type="dcterms:W3CDTF">2022-12-21T21:01:00Z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0x010100BB92DAAEE9DCBE4E9CA82CF20D181B24</vt:lpwstr>
  </property>
  <property fmtid="{D5CDD505-2E9C-101B-9397-08002B2CF9AE}" pid="3" name="MSIP_Label_52dda6cc-d61d-4fd2-bf18-9b3017d931cc_Enabled">
    <vt:lpwstr>true</vt:lpwstr>
  </property>
  <property fmtid="{D5CDD505-2E9C-101B-9397-08002B2CF9AE}" pid="4" name="MSIP_Label_52dda6cc-d61d-4fd2-bf18-9b3017d931cc_SetDate">
    <vt:lpwstr>2022-12-21T21:01:10Z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92939a1b-4b0b-4465-8d08-b2a92bd9b706</vt:lpwstr>
  </property>
  <property fmtid="{D5CDD505-2E9C-101B-9397-08002B2CF9AE}" pid="9" name="MSIP_Label_52dda6cc-d61d-4fd2-bf18-9b3017d931cc_ContentBits">
    <vt:lpwstr>0</vt:lpwstr>
  </property>
</Properties>
</file>